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colors2.xml" ContentType="application/vnd.ms-office.chartcolorstyle+xml"/>
  <Override PartName="/word/charts/chart/style1.xml" ContentType="application/vnd.ms-office.chartstyle+xml"/>
  <Override PartName="/word/charts/chart/style2.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6E3891" w:rsidRPr="00381831" w:rsidP="006E3891" w14:paraId="6461C9D4" w14:textId="77777777">
      <w:pPr>
        <w:pStyle w:val="NoSpacing"/>
        <w:jc w:val="center"/>
        <w:rPr>
          <w:rFonts w:cstheme="minorHAnsi"/>
          <w:i/>
          <w:iCs/>
          <w:sz w:val="24"/>
          <w:szCs w:val="24"/>
        </w:rPr>
      </w:pPr>
      <w:r w:rsidRPr="00381831">
        <w:rPr>
          <w:rFonts w:cstheme="minorHAnsi"/>
          <w:i/>
          <w:iCs/>
          <w:sz w:val="24"/>
          <w:szCs w:val="24"/>
        </w:rPr>
        <w:t>*** E.O. 12866 Review – Draft – Do Not Cite, Quote, or Release During Review***</w:t>
      </w:r>
    </w:p>
    <w:p w:rsidR="006E3891" w:rsidRPr="00381831" w:rsidP="006E3891" w14:paraId="1688C115" w14:textId="77777777">
      <w:pPr>
        <w:pStyle w:val="NoSpacing"/>
        <w:jc w:val="center"/>
        <w:rPr>
          <w:rFonts w:cstheme="minorHAnsi"/>
          <w:i/>
          <w:iCs/>
          <w:sz w:val="24"/>
          <w:szCs w:val="24"/>
        </w:rPr>
      </w:pPr>
      <w:r w:rsidRPr="002859FE">
        <w:rPr>
          <w:rFonts w:cstheme="minorHAnsi"/>
          <w:i/>
          <w:iCs/>
          <w:sz w:val="24"/>
          <w:szCs w:val="24"/>
        </w:rPr>
        <w:t xml:space="preserve">Clean Air Act Risk Management Program Regulations </w:t>
      </w:r>
      <w:r w:rsidR="009E148E">
        <w:rPr>
          <w:rFonts w:cstheme="minorHAnsi"/>
          <w:i/>
          <w:iCs/>
          <w:sz w:val="24"/>
          <w:szCs w:val="24"/>
        </w:rPr>
        <w:t>F</w:t>
      </w:r>
      <w:r w:rsidR="00D424DD">
        <w:rPr>
          <w:rFonts w:cstheme="minorHAnsi"/>
          <w:i/>
          <w:iCs/>
          <w:sz w:val="24"/>
          <w:szCs w:val="24"/>
        </w:rPr>
        <w:t>inal Rule</w:t>
      </w:r>
      <w:r w:rsidR="009E148E">
        <w:rPr>
          <w:rFonts w:cstheme="minorHAnsi"/>
          <w:i/>
          <w:iCs/>
          <w:sz w:val="24"/>
          <w:szCs w:val="24"/>
        </w:rPr>
        <w:t xml:space="preserve"> </w:t>
      </w:r>
      <w:r w:rsidR="0026198C">
        <w:rPr>
          <w:rFonts w:cstheme="minorHAnsi"/>
          <w:i/>
          <w:iCs/>
          <w:sz w:val="24"/>
          <w:szCs w:val="24"/>
        </w:rPr>
        <w:t>RIA</w:t>
      </w:r>
      <w:r w:rsidR="00AD4992">
        <w:rPr>
          <w:rFonts w:cstheme="minorHAnsi"/>
          <w:i/>
          <w:iCs/>
          <w:sz w:val="24"/>
          <w:szCs w:val="24"/>
        </w:rPr>
        <w:t xml:space="preserve"> </w:t>
      </w:r>
      <w:r w:rsidRPr="00381831">
        <w:rPr>
          <w:rFonts w:cstheme="minorHAnsi"/>
          <w:i/>
          <w:iCs/>
          <w:sz w:val="24"/>
          <w:szCs w:val="24"/>
        </w:rPr>
        <w:t>20230</w:t>
      </w:r>
      <w:r>
        <w:rPr>
          <w:rFonts w:cstheme="minorHAnsi"/>
          <w:i/>
          <w:iCs/>
          <w:sz w:val="24"/>
          <w:szCs w:val="24"/>
        </w:rPr>
        <w:t>9</w:t>
      </w:r>
      <w:r w:rsidR="00BD6051">
        <w:rPr>
          <w:rFonts w:cstheme="minorHAnsi"/>
          <w:i/>
          <w:iCs/>
          <w:sz w:val="24"/>
          <w:szCs w:val="24"/>
        </w:rPr>
        <w:t>20</w:t>
      </w:r>
      <w:r w:rsidRPr="00381831">
        <w:rPr>
          <w:rFonts w:cstheme="minorHAnsi"/>
          <w:i/>
          <w:iCs/>
          <w:sz w:val="24"/>
          <w:szCs w:val="24"/>
        </w:rPr>
        <w:t>_EO 12866</w:t>
      </w:r>
      <w:r w:rsidR="00AD4992">
        <w:rPr>
          <w:rFonts w:cstheme="minorHAnsi"/>
          <w:i/>
          <w:iCs/>
          <w:sz w:val="24"/>
          <w:szCs w:val="24"/>
        </w:rPr>
        <w:t xml:space="preserve"> </w:t>
      </w:r>
      <w:r w:rsidRPr="00381831">
        <w:rPr>
          <w:rFonts w:cstheme="minorHAnsi"/>
          <w:i/>
          <w:iCs/>
          <w:sz w:val="24"/>
          <w:szCs w:val="24"/>
        </w:rPr>
        <w:t>Initiated</w:t>
      </w:r>
    </w:p>
    <w:p w:rsidR="00B51678" w:rsidP="009B7A0D" w14:paraId="1763F343" w14:textId="77777777">
      <w:pPr>
        <w:jc w:val="center"/>
        <w:rPr>
          <w:rFonts w:ascii="Times New Roman" w:hAnsi="Times New Roman" w:cs="Times New Roman"/>
          <w:b/>
          <w:bCs/>
          <w:sz w:val="36"/>
          <w:szCs w:val="36"/>
        </w:rPr>
      </w:pPr>
      <w:r>
        <w:rPr>
          <w:rFonts w:ascii="Times New Roman" w:hAnsi="Times New Roman" w:cs="Times New Roman"/>
          <w:b/>
          <w:bCs/>
          <w:sz w:val="36"/>
          <w:szCs w:val="36"/>
        </w:rPr>
        <w:t xml:space="preserve">                             </w:t>
      </w:r>
    </w:p>
    <w:p w:rsidR="000063B7" w:rsidP="009B7A0D" w14:paraId="70780064" w14:textId="77777777">
      <w:pPr>
        <w:jc w:val="center"/>
        <w:rPr>
          <w:rFonts w:ascii="Times New Roman" w:hAnsi="Times New Roman" w:cs="Times New Roman"/>
          <w:b/>
          <w:bCs/>
          <w:sz w:val="36"/>
          <w:szCs w:val="36"/>
        </w:rPr>
      </w:pPr>
    </w:p>
    <w:p w:rsidR="00254DEC" w:rsidP="009B7A0D" w14:paraId="46B3FF3A" w14:textId="77777777">
      <w:pPr>
        <w:jc w:val="center"/>
        <w:rPr>
          <w:rFonts w:ascii="Times New Roman" w:hAnsi="Times New Roman" w:cs="Times New Roman"/>
          <w:b/>
          <w:bCs/>
          <w:sz w:val="36"/>
          <w:szCs w:val="36"/>
        </w:rPr>
      </w:pPr>
    </w:p>
    <w:p w:rsidR="00254DEC" w:rsidP="009B7A0D" w14:paraId="02533A80" w14:textId="77777777">
      <w:pPr>
        <w:jc w:val="center"/>
        <w:rPr>
          <w:rFonts w:ascii="Times New Roman" w:hAnsi="Times New Roman" w:cs="Times New Roman"/>
          <w:b/>
          <w:bCs/>
          <w:sz w:val="36"/>
          <w:szCs w:val="36"/>
        </w:rPr>
      </w:pPr>
    </w:p>
    <w:p w:rsidR="009B7A0D" w:rsidP="009B7A0D" w14:paraId="4DF7FF97" w14:textId="45648AA7">
      <w:pPr>
        <w:jc w:val="center"/>
        <w:rPr>
          <w:rFonts w:ascii="Times New Roman" w:hAnsi="Times New Roman" w:cs="Times New Roman"/>
          <w:b/>
          <w:bCs/>
          <w:sz w:val="36"/>
          <w:szCs w:val="36"/>
        </w:rPr>
      </w:pPr>
      <w:r>
        <w:rPr>
          <w:rFonts w:ascii="Times New Roman" w:hAnsi="Times New Roman" w:cs="Times New Roman"/>
          <w:b/>
          <w:bCs/>
          <w:sz w:val="36"/>
          <w:szCs w:val="36"/>
        </w:rPr>
        <w:t>Regulatory Impact Analysis</w:t>
      </w:r>
    </w:p>
    <w:p w:rsidR="009B7A0D" w:rsidP="009B7A0D" w14:paraId="3E151B73" w14:textId="77777777">
      <w:pPr>
        <w:jc w:val="center"/>
        <w:rPr>
          <w:rFonts w:ascii="Times New Roman" w:hAnsi="Times New Roman" w:cs="Times New Roman"/>
          <w:b/>
          <w:bCs/>
          <w:sz w:val="36"/>
          <w:szCs w:val="36"/>
        </w:rPr>
      </w:pPr>
    </w:p>
    <w:p w:rsidR="009B7A0D" w:rsidP="009B7A0D" w14:paraId="4ACAE238" w14:textId="77777777">
      <w:pPr>
        <w:jc w:val="center"/>
        <w:rPr>
          <w:rFonts w:ascii="Times New Roman" w:hAnsi="Times New Roman" w:cs="Times New Roman"/>
          <w:b/>
          <w:bCs/>
          <w:sz w:val="36"/>
          <w:szCs w:val="36"/>
        </w:rPr>
      </w:pPr>
    </w:p>
    <w:p w:rsidR="008623E4" w:rsidP="009B7A0D" w14:paraId="64555735" w14:textId="77777777">
      <w:pPr>
        <w:jc w:val="center"/>
        <w:rPr>
          <w:rFonts w:ascii="Times New Roman" w:hAnsi="Times New Roman" w:cs="Times New Roman"/>
          <w:sz w:val="36"/>
          <w:szCs w:val="36"/>
        </w:rPr>
      </w:pPr>
      <w:r w:rsidRPr="00C57AEB">
        <w:rPr>
          <w:rFonts w:ascii="Times New Roman" w:hAnsi="Times New Roman" w:cs="Times New Roman"/>
          <w:sz w:val="36"/>
          <w:szCs w:val="36"/>
        </w:rPr>
        <w:t>Safer Communities by Chemical Accident Prevention</w:t>
      </w:r>
      <w:r>
        <w:rPr>
          <w:rFonts w:ascii="Times New Roman" w:hAnsi="Times New Roman" w:cs="Times New Roman"/>
          <w:sz w:val="36"/>
          <w:szCs w:val="36"/>
        </w:rPr>
        <w:t xml:space="preserve"> </w:t>
      </w:r>
    </w:p>
    <w:p w:rsidR="009B7A0D" w:rsidRPr="00493E10" w:rsidP="009B7A0D" w14:paraId="38FF766E" w14:textId="77777777">
      <w:pPr>
        <w:jc w:val="center"/>
        <w:rPr>
          <w:rFonts w:ascii="Times New Roman" w:hAnsi="Times New Roman" w:cs="Times New Roman"/>
          <w:sz w:val="36"/>
          <w:szCs w:val="36"/>
        </w:rPr>
      </w:pPr>
      <w:r>
        <w:rPr>
          <w:rFonts w:ascii="Times New Roman" w:hAnsi="Times New Roman" w:cs="Times New Roman"/>
          <w:sz w:val="36"/>
          <w:szCs w:val="36"/>
        </w:rPr>
        <w:t>Final</w:t>
      </w:r>
      <w:r w:rsidR="008623E4">
        <w:rPr>
          <w:rFonts w:ascii="Times New Roman" w:hAnsi="Times New Roman" w:cs="Times New Roman"/>
          <w:sz w:val="36"/>
          <w:szCs w:val="36"/>
        </w:rPr>
        <w:t xml:space="preserve"> Rule </w:t>
      </w:r>
    </w:p>
    <w:p w:rsidR="009B7A0D" w:rsidP="009B7A0D" w14:paraId="3B6F1C33" w14:textId="77777777">
      <w:pPr>
        <w:jc w:val="center"/>
        <w:rPr>
          <w:rFonts w:ascii="Times New Roman" w:hAnsi="Times New Roman" w:cs="Times New Roman"/>
          <w:sz w:val="32"/>
          <w:szCs w:val="32"/>
        </w:rPr>
      </w:pPr>
    </w:p>
    <w:p w:rsidR="00B819EF" w:rsidP="009B7A0D" w14:paraId="309999E2" w14:textId="77777777">
      <w:pPr>
        <w:jc w:val="center"/>
        <w:rPr>
          <w:rFonts w:ascii="Times New Roman" w:hAnsi="Times New Roman" w:cs="Times New Roman"/>
          <w:sz w:val="32"/>
          <w:szCs w:val="32"/>
        </w:rPr>
      </w:pPr>
    </w:p>
    <w:p w:rsidR="009B7A0D" w:rsidP="009B7A0D" w14:paraId="0FB14646" w14:textId="77777777">
      <w:pPr>
        <w:jc w:val="center"/>
        <w:rPr>
          <w:rFonts w:ascii="Times New Roman" w:hAnsi="Times New Roman" w:cs="Times New Roman"/>
          <w:sz w:val="32"/>
          <w:szCs w:val="32"/>
        </w:rPr>
      </w:pPr>
    </w:p>
    <w:p w:rsidR="00843659" w:rsidP="009B7A0D" w14:paraId="1EE1B6BC" w14:textId="77777777">
      <w:pPr>
        <w:jc w:val="center"/>
        <w:rPr>
          <w:rFonts w:ascii="Times New Roman" w:hAnsi="Times New Roman" w:cs="Times New Roman"/>
          <w:sz w:val="32"/>
          <w:szCs w:val="32"/>
        </w:rPr>
      </w:pPr>
    </w:p>
    <w:p w:rsidR="00843659" w:rsidP="009B7A0D" w14:paraId="542C12D4" w14:textId="77777777">
      <w:pPr>
        <w:jc w:val="center"/>
        <w:rPr>
          <w:rFonts w:ascii="Times New Roman" w:hAnsi="Times New Roman" w:cs="Times New Roman"/>
          <w:sz w:val="32"/>
          <w:szCs w:val="32"/>
        </w:rPr>
      </w:pPr>
    </w:p>
    <w:p w:rsidR="00843659" w:rsidP="009B7A0D" w14:paraId="39DB2243" w14:textId="77777777">
      <w:pPr>
        <w:jc w:val="center"/>
        <w:rPr>
          <w:rFonts w:ascii="Times New Roman" w:hAnsi="Times New Roman" w:cs="Times New Roman"/>
          <w:sz w:val="32"/>
          <w:szCs w:val="32"/>
        </w:rPr>
      </w:pPr>
    </w:p>
    <w:p w:rsidR="009B7A0D" w:rsidP="009B7A0D" w14:paraId="26BE369D" w14:textId="77777777">
      <w:pPr>
        <w:jc w:val="center"/>
        <w:rPr>
          <w:rFonts w:ascii="Times New Roman" w:hAnsi="Times New Roman" w:cs="Times New Roman"/>
          <w:sz w:val="32"/>
          <w:szCs w:val="32"/>
        </w:rPr>
      </w:pPr>
    </w:p>
    <w:p w:rsidR="009B7A0D" w:rsidRPr="00976F5B" w:rsidP="00843659" w14:paraId="6A41E971" w14:textId="77777777">
      <w:pPr>
        <w:spacing w:after="0" w:line="240" w:lineRule="auto"/>
        <w:jc w:val="center"/>
        <w:rPr>
          <w:rFonts w:ascii="Times New Roman" w:hAnsi="Times New Roman" w:cs="Times New Roman"/>
          <w:sz w:val="26"/>
          <w:szCs w:val="26"/>
        </w:rPr>
      </w:pPr>
      <w:r w:rsidRPr="00976F5B">
        <w:rPr>
          <w:rFonts w:ascii="Times New Roman" w:hAnsi="Times New Roman" w:cs="Times New Roman"/>
          <w:sz w:val="26"/>
          <w:szCs w:val="26"/>
        </w:rPr>
        <w:t>U.S. Environmental Protection Agency (EPA)</w:t>
      </w:r>
    </w:p>
    <w:p w:rsidR="009B7A0D" w:rsidRPr="00976F5B" w:rsidP="00843659" w14:paraId="7DA58E08" w14:textId="77777777">
      <w:pPr>
        <w:spacing w:after="0" w:line="240" w:lineRule="auto"/>
        <w:jc w:val="center"/>
        <w:rPr>
          <w:rFonts w:ascii="Times New Roman" w:hAnsi="Times New Roman" w:cs="Times New Roman"/>
          <w:sz w:val="26"/>
          <w:szCs w:val="26"/>
        </w:rPr>
      </w:pPr>
      <w:r w:rsidRPr="00976F5B">
        <w:rPr>
          <w:rFonts w:ascii="Times New Roman" w:hAnsi="Times New Roman" w:cs="Times New Roman"/>
          <w:sz w:val="26"/>
          <w:szCs w:val="26"/>
        </w:rPr>
        <w:t>Office of Land and Emergency Management (OLEM)</w:t>
      </w:r>
    </w:p>
    <w:p w:rsidR="009B7A0D" w:rsidRPr="00976F5B" w:rsidP="00843659" w14:paraId="5346BE05" w14:textId="77777777">
      <w:pPr>
        <w:spacing w:after="0" w:line="240" w:lineRule="auto"/>
        <w:jc w:val="center"/>
        <w:rPr>
          <w:rFonts w:ascii="Times New Roman" w:hAnsi="Times New Roman" w:cs="Times New Roman"/>
          <w:sz w:val="26"/>
          <w:szCs w:val="26"/>
        </w:rPr>
      </w:pPr>
      <w:r w:rsidRPr="00976F5B">
        <w:rPr>
          <w:rFonts w:ascii="Times New Roman" w:hAnsi="Times New Roman" w:cs="Times New Roman"/>
          <w:sz w:val="26"/>
          <w:szCs w:val="26"/>
        </w:rPr>
        <w:t>Office of Emergency Management (OEM)</w:t>
      </w:r>
    </w:p>
    <w:p w:rsidR="009B7A0D" w:rsidP="00843659" w14:paraId="5BF49C0F" w14:textId="77777777">
      <w:pPr>
        <w:spacing w:after="0" w:line="240" w:lineRule="auto"/>
        <w:jc w:val="center"/>
        <w:rPr>
          <w:rFonts w:ascii="Times New Roman" w:hAnsi="Times New Roman" w:cs="Times New Roman"/>
          <w:sz w:val="26"/>
          <w:szCs w:val="26"/>
        </w:rPr>
      </w:pPr>
      <w:r w:rsidRPr="00976F5B">
        <w:rPr>
          <w:rFonts w:ascii="Times New Roman" w:hAnsi="Times New Roman" w:cs="Times New Roman"/>
          <w:sz w:val="26"/>
          <w:szCs w:val="26"/>
        </w:rPr>
        <w:t>1200 Pennsylvania Avenue, NW (Mail Code</w:t>
      </w:r>
      <w:r>
        <w:rPr>
          <w:rFonts w:ascii="Times New Roman" w:hAnsi="Times New Roman" w:cs="Times New Roman"/>
          <w:sz w:val="26"/>
          <w:szCs w:val="26"/>
        </w:rPr>
        <w:t xml:space="preserve"> 5104A)</w:t>
      </w:r>
    </w:p>
    <w:p w:rsidR="009B7A0D" w:rsidRPr="00976F5B" w:rsidP="00843659" w14:paraId="5213C7E9" w14:textId="7777777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Washington, </w:t>
      </w:r>
      <w:r w:rsidR="00843659">
        <w:rPr>
          <w:rFonts w:ascii="Times New Roman" w:hAnsi="Times New Roman" w:cs="Times New Roman"/>
          <w:sz w:val="26"/>
          <w:szCs w:val="26"/>
        </w:rPr>
        <w:t>D.C.</w:t>
      </w:r>
      <w:r>
        <w:rPr>
          <w:rFonts w:ascii="Times New Roman" w:hAnsi="Times New Roman" w:cs="Times New Roman"/>
          <w:sz w:val="26"/>
          <w:szCs w:val="26"/>
        </w:rPr>
        <w:t xml:space="preserve"> 20460 USA</w:t>
      </w:r>
    </w:p>
    <w:p w:rsidR="009B7A0D" w:rsidRPr="00976F5B" w:rsidP="009B7A0D" w14:paraId="5BE91507" w14:textId="77777777">
      <w:pPr>
        <w:jc w:val="center"/>
        <w:rPr>
          <w:rFonts w:ascii="Times New Roman" w:hAnsi="Times New Roman" w:cs="Times New Roman"/>
          <w:sz w:val="26"/>
          <w:szCs w:val="26"/>
        </w:rPr>
      </w:pPr>
    </w:p>
    <w:p w:rsidR="009B7A0D" w:rsidRPr="00976F5B" w:rsidP="009B7A0D" w14:paraId="17D89027" w14:textId="77777777">
      <w:pPr>
        <w:jc w:val="center"/>
        <w:rPr>
          <w:rFonts w:ascii="Times New Roman" w:hAnsi="Times New Roman" w:cs="Times New Roman"/>
          <w:sz w:val="26"/>
          <w:szCs w:val="26"/>
        </w:rPr>
      </w:pPr>
    </w:p>
    <w:p w:rsidR="009B7A0D" w:rsidP="003B1632" w14:paraId="6A1EDD24" w14:textId="77777777">
      <w:pPr>
        <w:tabs>
          <w:tab w:val="left" w:pos="2970"/>
          <w:tab w:val="center" w:pos="499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B32B1F">
        <w:rPr>
          <w:rFonts w:ascii="Times New Roman" w:hAnsi="Times New Roman" w:cs="Times New Roman"/>
          <w:sz w:val="26"/>
          <w:szCs w:val="26"/>
        </w:rPr>
        <w:t xml:space="preserve">August </w:t>
      </w:r>
      <w:r w:rsidR="00D44E84">
        <w:rPr>
          <w:rFonts w:ascii="Times New Roman" w:hAnsi="Times New Roman" w:cs="Times New Roman"/>
          <w:sz w:val="26"/>
          <w:szCs w:val="26"/>
        </w:rPr>
        <w:t>30</w:t>
      </w:r>
      <w:r w:rsidRPr="00DE1B64" w:rsidR="00DE1B64">
        <w:rPr>
          <w:rFonts w:ascii="Times New Roman" w:hAnsi="Times New Roman" w:cs="Times New Roman"/>
          <w:sz w:val="26"/>
          <w:szCs w:val="26"/>
        </w:rPr>
        <w:t xml:space="preserve">, </w:t>
      </w:r>
      <w:r w:rsidRPr="00DE1B64">
        <w:rPr>
          <w:rFonts w:ascii="Times New Roman" w:hAnsi="Times New Roman" w:cs="Times New Roman"/>
          <w:sz w:val="26"/>
          <w:szCs w:val="26"/>
        </w:rPr>
        <w:t>202</w:t>
      </w:r>
      <w:r w:rsidRPr="00DE1B64" w:rsidR="001B0C72">
        <w:rPr>
          <w:rFonts w:ascii="Times New Roman" w:hAnsi="Times New Roman" w:cs="Times New Roman"/>
          <w:sz w:val="26"/>
          <w:szCs w:val="26"/>
        </w:rPr>
        <w:t>3</w:t>
      </w:r>
    </w:p>
    <w:p w:rsidR="007D7949" w:rsidP="00F03CB7" w14:paraId="3D169807" w14:textId="77777777">
      <w:pPr>
        <w:jc w:val="center"/>
        <w:rPr>
          <w:rFonts w:ascii="Times New Roman" w:hAnsi="Times New Roman" w:cs="Times New Roman"/>
          <w:sz w:val="26"/>
          <w:szCs w:val="26"/>
        </w:rPr>
      </w:pPr>
    </w:p>
    <w:p w:rsidR="005B2E2F" w14:paraId="26D3183D" w14:textId="64C05E6B">
      <w:pPr>
        <w:pStyle w:val="TOC1"/>
        <w:rPr>
          <w:rFonts w:asciiTheme="minorHAnsi" w:eastAsiaTheme="minorEastAsia" w:hAnsiTheme="minorHAnsi" w:cstheme="minorBidi"/>
          <w:b w:val="0"/>
          <w:bCs w:val="0"/>
          <w:caps w:val="0"/>
          <w:kern w:val="2"/>
          <w:sz w:val="22"/>
          <w:szCs w:val="22"/>
          <w14:ligatures w14:val="standardContextual"/>
        </w:rPr>
      </w:pPr>
      <w:r w:rsidRPr="30E8CA22">
        <w:fldChar w:fldCharType="begin"/>
      </w:r>
      <w:r>
        <w:instrText xml:space="preserve"> TOC \o "1-3" \h \z \u </w:instrText>
      </w:r>
      <w:r w:rsidRPr="30E8CA22">
        <w:fldChar w:fldCharType="separate"/>
      </w:r>
      <w:hyperlink w:anchor="_Toc144303503" w:history="1">
        <w:r w:rsidRPr="0023025B">
          <w:rPr>
            <w:rStyle w:val="Hyperlink"/>
          </w:rPr>
          <w:t>Executive Summary</w:t>
        </w:r>
        <w:r>
          <w:rPr>
            <w:webHidden/>
          </w:rPr>
          <w:tab/>
        </w:r>
        <w:r>
          <w:rPr>
            <w:webHidden/>
          </w:rPr>
          <w:fldChar w:fldCharType="begin"/>
        </w:r>
        <w:r>
          <w:rPr>
            <w:webHidden/>
          </w:rPr>
          <w:instrText xml:space="preserve"> PAGEREF _Toc144303503 \h </w:instrText>
        </w:r>
        <w:r>
          <w:rPr>
            <w:webHidden/>
          </w:rPr>
          <w:fldChar w:fldCharType="separate"/>
        </w:r>
        <w:r w:rsidR="005F6304">
          <w:rPr>
            <w:webHidden/>
          </w:rPr>
          <w:t>6</w:t>
        </w:r>
        <w:r>
          <w:rPr>
            <w:webHidden/>
          </w:rPr>
          <w:fldChar w:fldCharType="end"/>
        </w:r>
      </w:hyperlink>
    </w:p>
    <w:p w:rsidR="005B2E2F" w14:paraId="0B55B1E2" w14:textId="4DFB779E">
      <w:pPr>
        <w:pStyle w:val="TOC1"/>
        <w:rPr>
          <w:rFonts w:asciiTheme="minorHAnsi" w:eastAsiaTheme="minorEastAsia" w:hAnsiTheme="minorHAnsi" w:cstheme="minorBidi"/>
          <w:b w:val="0"/>
          <w:bCs w:val="0"/>
          <w:caps w:val="0"/>
          <w:kern w:val="2"/>
          <w:sz w:val="22"/>
          <w:szCs w:val="22"/>
          <w14:ligatures w14:val="standardContextual"/>
        </w:rPr>
      </w:pPr>
      <w:hyperlink w:anchor="_Toc144303504" w:history="1">
        <w:r w:rsidRPr="0023025B" w:rsidR="00827144">
          <w:rPr>
            <w:rStyle w:val="Hyperlink"/>
          </w:rPr>
          <w:t>CHAPTER 1: Introduction and Background</w:t>
        </w:r>
        <w:r w:rsidR="00827144">
          <w:rPr>
            <w:webHidden/>
          </w:rPr>
          <w:tab/>
        </w:r>
        <w:r w:rsidR="00827144">
          <w:rPr>
            <w:webHidden/>
          </w:rPr>
          <w:fldChar w:fldCharType="begin"/>
        </w:r>
        <w:r w:rsidR="00827144">
          <w:rPr>
            <w:webHidden/>
          </w:rPr>
          <w:instrText xml:space="preserve"> PAGEREF _Toc144303504 \h </w:instrText>
        </w:r>
        <w:r w:rsidR="00827144">
          <w:rPr>
            <w:webHidden/>
          </w:rPr>
          <w:fldChar w:fldCharType="separate"/>
        </w:r>
        <w:r w:rsidR="005F6304">
          <w:rPr>
            <w:webHidden/>
          </w:rPr>
          <w:t>15</w:t>
        </w:r>
        <w:r w:rsidR="00827144">
          <w:rPr>
            <w:webHidden/>
          </w:rPr>
          <w:fldChar w:fldCharType="end"/>
        </w:r>
      </w:hyperlink>
    </w:p>
    <w:p w:rsidR="005B2E2F" w14:paraId="7195D6C8" w14:textId="60B6AD34">
      <w:pPr>
        <w:pStyle w:val="TOC2"/>
        <w:rPr>
          <w:rFonts w:asciiTheme="minorHAnsi" w:eastAsiaTheme="minorEastAsia" w:hAnsiTheme="minorHAnsi" w:cstheme="minorBidi"/>
          <w:kern w:val="2"/>
          <w:sz w:val="22"/>
          <w:szCs w:val="22"/>
          <w14:ligatures w14:val="standardContextual"/>
        </w:rPr>
      </w:pPr>
      <w:hyperlink w:anchor="_Toc144303505" w:history="1">
        <w:r w:rsidRPr="0023025B" w:rsidR="00827144">
          <w:rPr>
            <w:rStyle w:val="Hyperlink"/>
          </w:rPr>
          <w:t>1.1 History and Need for the Rule</w:t>
        </w:r>
        <w:r w:rsidR="00827144">
          <w:rPr>
            <w:webHidden/>
          </w:rPr>
          <w:tab/>
        </w:r>
        <w:r w:rsidR="00827144">
          <w:rPr>
            <w:webHidden/>
          </w:rPr>
          <w:fldChar w:fldCharType="begin"/>
        </w:r>
        <w:r w:rsidR="00827144">
          <w:rPr>
            <w:webHidden/>
          </w:rPr>
          <w:instrText xml:space="preserve"> PAGEREF _Toc144303505 \h </w:instrText>
        </w:r>
        <w:r w:rsidR="00827144">
          <w:rPr>
            <w:webHidden/>
          </w:rPr>
          <w:fldChar w:fldCharType="separate"/>
        </w:r>
        <w:r w:rsidR="005F6304">
          <w:rPr>
            <w:webHidden/>
          </w:rPr>
          <w:t>15</w:t>
        </w:r>
        <w:r w:rsidR="00827144">
          <w:rPr>
            <w:webHidden/>
          </w:rPr>
          <w:fldChar w:fldCharType="end"/>
        </w:r>
      </w:hyperlink>
    </w:p>
    <w:p w:rsidR="005B2E2F" w14:paraId="1C5DB2E4" w14:textId="4EE841E0">
      <w:pPr>
        <w:pStyle w:val="TOC2"/>
        <w:rPr>
          <w:rFonts w:asciiTheme="minorHAnsi" w:eastAsiaTheme="minorEastAsia" w:hAnsiTheme="minorHAnsi" w:cstheme="minorBidi"/>
          <w:kern w:val="2"/>
          <w:sz w:val="22"/>
          <w:szCs w:val="22"/>
          <w14:ligatures w14:val="standardContextual"/>
        </w:rPr>
      </w:pPr>
      <w:hyperlink w:anchor="_Toc144303509" w:history="1">
        <w:r w:rsidRPr="0023025B" w:rsidR="00827144">
          <w:rPr>
            <w:rStyle w:val="Hyperlink"/>
          </w:rPr>
          <w:t>1.2 Organization of the Analysis</w:t>
        </w:r>
        <w:r w:rsidR="00827144">
          <w:rPr>
            <w:webHidden/>
          </w:rPr>
          <w:tab/>
        </w:r>
        <w:r w:rsidR="00827144">
          <w:rPr>
            <w:webHidden/>
          </w:rPr>
          <w:fldChar w:fldCharType="begin"/>
        </w:r>
        <w:r w:rsidR="00827144">
          <w:rPr>
            <w:webHidden/>
          </w:rPr>
          <w:instrText xml:space="preserve"> PAGEREF _Toc144303509 \h </w:instrText>
        </w:r>
        <w:r w:rsidR="00827144">
          <w:rPr>
            <w:webHidden/>
          </w:rPr>
          <w:fldChar w:fldCharType="separate"/>
        </w:r>
        <w:r w:rsidR="005F6304">
          <w:rPr>
            <w:webHidden/>
          </w:rPr>
          <w:t>20</w:t>
        </w:r>
        <w:r w:rsidR="00827144">
          <w:rPr>
            <w:webHidden/>
          </w:rPr>
          <w:fldChar w:fldCharType="end"/>
        </w:r>
      </w:hyperlink>
    </w:p>
    <w:p w:rsidR="005B2E2F" w14:paraId="51A48E99" w14:textId="7B7B6329">
      <w:pPr>
        <w:pStyle w:val="TOC1"/>
        <w:rPr>
          <w:rFonts w:asciiTheme="minorHAnsi" w:eastAsiaTheme="minorEastAsia" w:hAnsiTheme="minorHAnsi" w:cstheme="minorBidi"/>
          <w:b w:val="0"/>
          <w:bCs w:val="0"/>
          <w:caps w:val="0"/>
          <w:kern w:val="2"/>
          <w:sz w:val="22"/>
          <w:szCs w:val="22"/>
          <w14:ligatures w14:val="standardContextual"/>
        </w:rPr>
      </w:pPr>
      <w:hyperlink w:anchor="_Toc144303510" w:history="1">
        <w:r w:rsidRPr="0023025B" w:rsidR="00827144">
          <w:rPr>
            <w:rStyle w:val="Hyperlink"/>
          </w:rPr>
          <w:t>CHAPTER 2: Final Rule Provisions</w:t>
        </w:r>
        <w:r w:rsidR="00827144">
          <w:rPr>
            <w:webHidden/>
          </w:rPr>
          <w:tab/>
        </w:r>
        <w:r w:rsidR="00827144">
          <w:rPr>
            <w:webHidden/>
          </w:rPr>
          <w:fldChar w:fldCharType="begin"/>
        </w:r>
        <w:r w:rsidR="00827144">
          <w:rPr>
            <w:webHidden/>
          </w:rPr>
          <w:instrText xml:space="preserve"> PAGEREF _Toc144303510 \h </w:instrText>
        </w:r>
        <w:r w:rsidR="00827144">
          <w:rPr>
            <w:webHidden/>
          </w:rPr>
          <w:fldChar w:fldCharType="separate"/>
        </w:r>
        <w:r w:rsidR="005F6304">
          <w:rPr>
            <w:webHidden/>
          </w:rPr>
          <w:t>21</w:t>
        </w:r>
        <w:r w:rsidR="00827144">
          <w:rPr>
            <w:webHidden/>
          </w:rPr>
          <w:fldChar w:fldCharType="end"/>
        </w:r>
      </w:hyperlink>
    </w:p>
    <w:p w:rsidR="005B2E2F" w14:paraId="30FF5F25" w14:textId="5279DA59">
      <w:pPr>
        <w:pStyle w:val="TOC2"/>
        <w:rPr>
          <w:rFonts w:asciiTheme="minorHAnsi" w:eastAsiaTheme="minorEastAsia" w:hAnsiTheme="minorHAnsi" w:cstheme="minorBidi"/>
          <w:kern w:val="2"/>
          <w:sz w:val="22"/>
          <w:szCs w:val="22"/>
          <w14:ligatures w14:val="standardContextual"/>
        </w:rPr>
      </w:pPr>
      <w:hyperlink w:anchor="_Toc144303511" w:history="1">
        <w:r w:rsidRPr="0023025B" w:rsidR="00827144">
          <w:rPr>
            <w:rStyle w:val="Hyperlink"/>
          </w:rPr>
          <w:t>2.1 Summary of Provisions and Applicability to Private Sector Facilities</w:t>
        </w:r>
        <w:r w:rsidR="00827144">
          <w:rPr>
            <w:webHidden/>
          </w:rPr>
          <w:tab/>
        </w:r>
        <w:r w:rsidR="00827144">
          <w:rPr>
            <w:webHidden/>
          </w:rPr>
          <w:fldChar w:fldCharType="begin"/>
        </w:r>
        <w:r w:rsidR="00827144">
          <w:rPr>
            <w:webHidden/>
          </w:rPr>
          <w:instrText xml:space="preserve"> PAGEREF _Toc144303511 \h </w:instrText>
        </w:r>
        <w:r w:rsidR="00827144">
          <w:rPr>
            <w:webHidden/>
          </w:rPr>
          <w:fldChar w:fldCharType="separate"/>
        </w:r>
        <w:r w:rsidR="005F6304">
          <w:rPr>
            <w:webHidden/>
          </w:rPr>
          <w:t>21</w:t>
        </w:r>
        <w:r w:rsidR="00827144">
          <w:rPr>
            <w:webHidden/>
          </w:rPr>
          <w:fldChar w:fldCharType="end"/>
        </w:r>
      </w:hyperlink>
    </w:p>
    <w:p w:rsidR="005B2E2F" w14:paraId="4FF1E6EE" w14:textId="751D929B">
      <w:pPr>
        <w:pStyle w:val="TOC2"/>
        <w:rPr>
          <w:rFonts w:asciiTheme="minorHAnsi" w:eastAsiaTheme="minorEastAsia" w:hAnsiTheme="minorHAnsi" w:cstheme="minorBidi"/>
          <w:kern w:val="2"/>
          <w:sz w:val="22"/>
          <w:szCs w:val="22"/>
          <w14:ligatures w14:val="standardContextual"/>
        </w:rPr>
      </w:pPr>
      <w:hyperlink w:anchor="_Toc144303516" w:history="1">
        <w:r w:rsidRPr="0023025B" w:rsidR="00827144">
          <w:rPr>
            <w:rStyle w:val="Hyperlink"/>
          </w:rPr>
          <w:t>2.2 Applicability to Government-owned Facilities and Entities</w:t>
        </w:r>
        <w:r w:rsidR="00827144">
          <w:rPr>
            <w:webHidden/>
          </w:rPr>
          <w:tab/>
        </w:r>
        <w:r w:rsidR="00827144">
          <w:rPr>
            <w:webHidden/>
          </w:rPr>
          <w:fldChar w:fldCharType="begin"/>
        </w:r>
        <w:r w:rsidR="00827144">
          <w:rPr>
            <w:webHidden/>
          </w:rPr>
          <w:instrText xml:space="preserve"> PAGEREF _Toc144303516 \h </w:instrText>
        </w:r>
        <w:r w:rsidR="00827144">
          <w:rPr>
            <w:webHidden/>
          </w:rPr>
          <w:fldChar w:fldCharType="separate"/>
        </w:r>
        <w:r w:rsidR="005F6304">
          <w:rPr>
            <w:webHidden/>
          </w:rPr>
          <w:t>25</w:t>
        </w:r>
        <w:r w:rsidR="00827144">
          <w:rPr>
            <w:webHidden/>
          </w:rPr>
          <w:fldChar w:fldCharType="end"/>
        </w:r>
      </w:hyperlink>
    </w:p>
    <w:p w:rsidR="005B2E2F" w14:paraId="0E352629" w14:textId="305BF97A">
      <w:pPr>
        <w:pStyle w:val="TOC2"/>
        <w:rPr>
          <w:rFonts w:asciiTheme="minorHAnsi" w:eastAsiaTheme="minorEastAsia" w:hAnsiTheme="minorHAnsi" w:cstheme="minorBidi"/>
          <w:kern w:val="2"/>
          <w:sz w:val="22"/>
          <w:szCs w:val="22"/>
          <w14:ligatures w14:val="standardContextual"/>
        </w:rPr>
      </w:pPr>
      <w:hyperlink w:anchor="_Toc144303517" w:history="1">
        <w:r w:rsidRPr="0023025B" w:rsidR="00827144">
          <w:rPr>
            <w:rStyle w:val="Hyperlink"/>
          </w:rPr>
          <w:t>2.3 Changes in the Final Rule RIA from the Proposed Rule RIA</w:t>
        </w:r>
        <w:r w:rsidR="00827144">
          <w:rPr>
            <w:webHidden/>
          </w:rPr>
          <w:tab/>
        </w:r>
        <w:r w:rsidR="00827144">
          <w:rPr>
            <w:webHidden/>
          </w:rPr>
          <w:fldChar w:fldCharType="begin"/>
        </w:r>
        <w:r w:rsidR="00827144">
          <w:rPr>
            <w:webHidden/>
          </w:rPr>
          <w:instrText xml:space="preserve"> PAGEREF _Toc144303517 \h </w:instrText>
        </w:r>
        <w:r w:rsidR="00827144">
          <w:rPr>
            <w:webHidden/>
          </w:rPr>
          <w:fldChar w:fldCharType="separate"/>
        </w:r>
        <w:r w:rsidR="005F6304">
          <w:rPr>
            <w:webHidden/>
          </w:rPr>
          <w:t>25</w:t>
        </w:r>
        <w:r w:rsidR="00827144">
          <w:rPr>
            <w:webHidden/>
          </w:rPr>
          <w:fldChar w:fldCharType="end"/>
        </w:r>
      </w:hyperlink>
    </w:p>
    <w:p w:rsidR="005B2E2F" w14:paraId="2805A360" w14:textId="56040EE2">
      <w:pPr>
        <w:pStyle w:val="TOC1"/>
        <w:rPr>
          <w:rFonts w:asciiTheme="minorHAnsi" w:eastAsiaTheme="minorEastAsia" w:hAnsiTheme="minorHAnsi" w:cstheme="minorBidi"/>
          <w:b w:val="0"/>
          <w:bCs w:val="0"/>
          <w:caps w:val="0"/>
          <w:kern w:val="2"/>
          <w:sz w:val="22"/>
          <w:szCs w:val="22"/>
          <w14:ligatures w14:val="standardContextual"/>
        </w:rPr>
      </w:pPr>
      <w:hyperlink w:anchor="_Toc144303518" w:history="1">
        <w:r w:rsidRPr="0023025B" w:rsidR="00827144">
          <w:rPr>
            <w:rStyle w:val="Hyperlink"/>
          </w:rPr>
          <w:t>CHAPTER 3: Universe of RMP Facilities and</w:t>
        </w:r>
        <w:r w:rsidR="00827144">
          <w:rPr>
            <w:webHidden/>
          </w:rPr>
          <w:tab/>
        </w:r>
        <w:r w:rsidR="00827144">
          <w:rPr>
            <w:webHidden/>
          </w:rPr>
          <w:fldChar w:fldCharType="begin"/>
        </w:r>
        <w:r w:rsidR="00827144">
          <w:rPr>
            <w:webHidden/>
          </w:rPr>
          <w:instrText xml:space="preserve"> PAGEREF _Toc144303518 \h </w:instrText>
        </w:r>
        <w:r w:rsidR="00827144">
          <w:rPr>
            <w:webHidden/>
          </w:rPr>
          <w:fldChar w:fldCharType="separate"/>
        </w:r>
        <w:r w:rsidR="005F6304">
          <w:rPr>
            <w:webHidden/>
          </w:rPr>
          <w:t>26</w:t>
        </w:r>
        <w:r w:rsidR="00827144">
          <w:rPr>
            <w:webHidden/>
          </w:rPr>
          <w:fldChar w:fldCharType="end"/>
        </w:r>
      </w:hyperlink>
    </w:p>
    <w:p w:rsidR="005B2E2F" w14:paraId="7B59615A" w14:textId="18E5DC00">
      <w:pPr>
        <w:pStyle w:val="TOC2"/>
        <w:rPr>
          <w:rFonts w:asciiTheme="minorHAnsi" w:eastAsiaTheme="minorEastAsia" w:hAnsiTheme="minorHAnsi" w:cstheme="minorBidi"/>
          <w:kern w:val="2"/>
          <w:sz w:val="22"/>
          <w:szCs w:val="22"/>
          <w14:ligatures w14:val="standardContextual"/>
        </w:rPr>
      </w:pPr>
      <w:hyperlink w:anchor="_Toc144303519" w:history="1">
        <w:r w:rsidRPr="0023025B" w:rsidR="00827144">
          <w:rPr>
            <w:rStyle w:val="Hyperlink"/>
          </w:rPr>
          <w:t>3.1 Universe of RMP Facilities</w:t>
        </w:r>
        <w:r w:rsidR="00827144">
          <w:rPr>
            <w:webHidden/>
          </w:rPr>
          <w:tab/>
        </w:r>
        <w:r w:rsidR="00827144">
          <w:rPr>
            <w:webHidden/>
          </w:rPr>
          <w:fldChar w:fldCharType="begin"/>
        </w:r>
        <w:r w:rsidR="00827144">
          <w:rPr>
            <w:webHidden/>
          </w:rPr>
          <w:instrText xml:space="preserve"> PAGEREF _Toc144303519 \h </w:instrText>
        </w:r>
        <w:r w:rsidR="00827144">
          <w:rPr>
            <w:webHidden/>
          </w:rPr>
          <w:fldChar w:fldCharType="separate"/>
        </w:r>
        <w:r w:rsidR="005F6304">
          <w:rPr>
            <w:webHidden/>
          </w:rPr>
          <w:t>26</w:t>
        </w:r>
        <w:r w:rsidR="00827144">
          <w:rPr>
            <w:webHidden/>
          </w:rPr>
          <w:fldChar w:fldCharType="end"/>
        </w:r>
      </w:hyperlink>
    </w:p>
    <w:p w:rsidR="005B2E2F" w14:paraId="2EF8C4D7" w14:textId="40B44FF4">
      <w:pPr>
        <w:pStyle w:val="TOC2"/>
        <w:rPr>
          <w:rFonts w:asciiTheme="minorHAnsi" w:eastAsiaTheme="minorEastAsia" w:hAnsiTheme="minorHAnsi" w:cstheme="minorBidi"/>
          <w:kern w:val="2"/>
          <w:sz w:val="22"/>
          <w:szCs w:val="22"/>
          <w14:ligatures w14:val="standardContextual"/>
        </w:rPr>
      </w:pPr>
      <w:hyperlink w:anchor="_Toc144303524" w:history="1">
        <w:r w:rsidRPr="0023025B" w:rsidR="00827144">
          <w:rPr>
            <w:rStyle w:val="Hyperlink"/>
          </w:rPr>
          <w:t>3.2 Number and Costs of Baseline Accidents</w:t>
        </w:r>
        <w:r w:rsidR="00827144">
          <w:rPr>
            <w:webHidden/>
          </w:rPr>
          <w:tab/>
        </w:r>
        <w:r w:rsidR="00827144">
          <w:rPr>
            <w:webHidden/>
          </w:rPr>
          <w:fldChar w:fldCharType="begin"/>
        </w:r>
        <w:r w:rsidR="00827144">
          <w:rPr>
            <w:webHidden/>
          </w:rPr>
          <w:instrText xml:space="preserve"> PAGEREF _Toc144303524 \h </w:instrText>
        </w:r>
        <w:r w:rsidR="00827144">
          <w:rPr>
            <w:webHidden/>
          </w:rPr>
          <w:fldChar w:fldCharType="separate"/>
        </w:r>
        <w:r w:rsidR="005F6304">
          <w:rPr>
            <w:webHidden/>
          </w:rPr>
          <w:t>34</w:t>
        </w:r>
        <w:r w:rsidR="00827144">
          <w:rPr>
            <w:webHidden/>
          </w:rPr>
          <w:fldChar w:fldCharType="end"/>
        </w:r>
      </w:hyperlink>
    </w:p>
    <w:p w:rsidR="005B2E2F" w14:paraId="18A42B6C" w14:textId="79FB537F">
      <w:pPr>
        <w:pStyle w:val="TOC2"/>
        <w:rPr>
          <w:rFonts w:asciiTheme="minorHAnsi" w:eastAsiaTheme="minorEastAsia" w:hAnsiTheme="minorHAnsi" w:cstheme="minorBidi"/>
          <w:kern w:val="2"/>
          <w:sz w:val="22"/>
          <w:szCs w:val="22"/>
          <w14:ligatures w14:val="standardContextual"/>
        </w:rPr>
      </w:pPr>
      <w:hyperlink w:anchor="_Toc144303531" w:history="1">
        <w:r w:rsidRPr="0023025B" w:rsidR="00827144">
          <w:rPr>
            <w:rStyle w:val="Hyperlink"/>
          </w:rPr>
          <w:t>3.3 Limitations</w:t>
        </w:r>
        <w:r w:rsidR="00827144">
          <w:rPr>
            <w:webHidden/>
          </w:rPr>
          <w:tab/>
        </w:r>
        <w:r w:rsidR="00827144">
          <w:rPr>
            <w:webHidden/>
          </w:rPr>
          <w:fldChar w:fldCharType="begin"/>
        </w:r>
        <w:r w:rsidR="00827144">
          <w:rPr>
            <w:webHidden/>
          </w:rPr>
          <w:instrText xml:space="preserve"> PAGEREF _Toc144303531 \h </w:instrText>
        </w:r>
        <w:r w:rsidR="00827144">
          <w:rPr>
            <w:webHidden/>
          </w:rPr>
          <w:fldChar w:fldCharType="separate"/>
        </w:r>
        <w:r w:rsidR="005F6304">
          <w:rPr>
            <w:webHidden/>
          </w:rPr>
          <w:t>50</w:t>
        </w:r>
        <w:r w:rsidR="00827144">
          <w:rPr>
            <w:webHidden/>
          </w:rPr>
          <w:fldChar w:fldCharType="end"/>
        </w:r>
      </w:hyperlink>
    </w:p>
    <w:p w:rsidR="005B2E2F" w14:paraId="6D22945D" w14:textId="052064EC">
      <w:pPr>
        <w:pStyle w:val="TOC1"/>
        <w:rPr>
          <w:rFonts w:asciiTheme="minorHAnsi" w:eastAsiaTheme="minorEastAsia" w:hAnsiTheme="minorHAnsi" w:cstheme="minorBidi"/>
          <w:b w:val="0"/>
          <w:bCs w:val="0"/>
          <w:caps w:val="0"/>
          <w:kern w:val="2"/>
          <w:sz w:val="22"/>
          <w:szCs w:val="22"/>
          <w14:ligatures w14:val="standardContextual"/>
        </w:rPr>
      </w:pPr>
      <w:hyperlink w:anchor="_Toc144303532" w:history="1">
        <w:r w:rsidRPr="0023025B" w:rsidR="00827144">
          <w:rPr>
            <w:rStyle w:val="Hyperlink"/>
          </w:rPr>
          <w:t>CHAPTER 4: Costs of Final Rule Revisions</w:t>
        </w:r>
        <w:r w:rsidR="00827144">
          <w:rPr>
            <w:webHidden/>
          </w:rPr>
          <w:tab/>
        </w:r>
        <w:r w:rsidR="00827144">
          <w:rPr>
            <w:webHidden/>
          </w:rPr>
          <w:fldChar w:fldCharType="begin"/>
        </w:r>
        <w:r w:rsidR="00827144">
          <w:rPr>
            <w:webHidden/>
          </w:rPr>
          <w:instrText xml:space="preserve"> PAGEREF _Toc144303532 \h </w:instrText>
        </w:r>
        <w:r w:rsidR="00827144">
          <w:rPr>
            <w:webHidden/>
          </w:rPr>
          <w:fldChar w:fldCharType="separate"/>
        </w:r>
        <w:r w:rsidR="005F6304">
          <w:rPr>
            <w:webHidden/>
          </w:rPr>
          <w:t>51</w:t>
        </w:r>
        <w:r w:rsidR="00827144">
          <w:rPr>
            <w:webHidden/>
          </w:rPr>
          <w:fldChar w:fldCharType="end"/>
        </w:r>
      </w:hyperlink>
    </w:p>
    <w:p w:rsidR="005B2E2F" w14:paraId="62A2B496" w14:textId="0C3818B3">
      <w:pPr>
        <w:pStyle w:val="TOC2"/>
        <w:rPr>
          <w:rFonts w:asciiTheme="minorHAnsi" w:eastAsiaTheme="minorEastAsia" w:hAnsiTheme="minorHAnsi" w:cstheme="minorBidi"/>
          <w:kern w:val="2"/>
          <w:sz w:val="22"/>
          <w:szCs w:val="22"/>
          <w14:ligatures w14:val="standardContextual"/>
        </w:rPr>
      </w:pPr>
      <w:hyperlink w:anchor="_Toc144303533" w:history="1">
        <w:r w:rsidRPr="0023025B" w:rsidR="00827144">
          <w:rPr>
            <w:rStyle w:val="Hyperlink"/>
          </w:rPr>
          <w:t>4.1 Analysis Baseline</w:t>
        </w:r>
        <w:r w:rsidR="00827144">
          <w:rPr>
            <w:webHidden/>
          </w:rPr>
          <w:tab/>
        </w:r>
        <w:r w:rsidR="00827144">
          <w:rPr>
            <w:webHidden/>
          </w:rPr>
          <w:fldChar w:fldCharType="begin"/>
        </w:r>
        <w:r w:rsidR="00827144">
          <w:rPr>
            <w:webHidden/>
          </w:rPr>
          <w:instrText xml:space="preserve"> PAGEREF _Toc144303533 \h </w:instrText>
        </w:r>
        <w:r w:rsidR="00827144">
          <w:rPr>
            <w:webHidden/>
          </w:rPr>
          <w:fldChar w:fldCharType="separate"/>
        </w:r>
        <w:r w:rsidR="005F6304">
          <w:rPr>
            <w:webHidden/>
          </w:rPr>
          <w:t>51</w:t>
        </w:r>
        <w:r w:rsidR="00827144">
          <w:rPr>
            <w:webHidden/>
          </w:rPr>
          <w:fldChar w:fldCharType="end"/>
        </w:r>
      </w:hyperlink>
    </w:p>
    <w:p w:rsidR="005B2E2F" w14:paraId="16F6C1A0" w14:textId="62DB46AE">
      <w:pPr>
        <w:pStyle w:val="TOC2"/>
        <w:rPr>
          <w:rFonts w:asciiTheme="minorHAnsi" w:eastAsiaTheme="minorEastAsia" w:hAnsiTheme="minorHAnsi" w:cstheme="minorBidi"/>
          <w:kern w:val="2"/>
          <w:sz w:val="22"/>
          <w:szCs w:val="22"/>
          <w14:ligatures w14:val="standardContextual"/>
        </w:rPr>
      </w:pPr>
      <w:hyperlink w:anchor="_Toc144303534" w:history="1">
        <w:r w:rsidRPr="0023025B" w:rsidR="00827144">
          <w:rPr>
            <w:rStyle w:val="Hyperlink"/>
          </w:rPr>
          <w:t>4.2 Wage Rates</w:t>
        </w:r>
        <w:r w:rsidR="00827144">
          <w:rPr>
            <w:webHidden/>
          </w:rPr>
          <w:tab/>
        </w:r>
        <w:r w:rsidR="00827144">
          <w:rPr>
            <w:webHidden/>
          </w:rPr>
          <w:fldChar w:fldCharType="begin"/>
        </w:r>
        <w:r w:rsidR="00827144">
          <w:rPr>
            <w:webHidden/>
          </w:rPr>
          <w:instrText xml:space="preserve"> PAGEREF _Toc144303534 \h </w:instrText>
        </w:r>
        <w:r w:rsidR="00827144">
          <w:rPr>
            <w:webHidden/>
          </w:rPr>
          <w:fldChar w:fldCharType="separate"/>
        </w:r>
        <w:r w:rsidR="005F6304">
          <w:rPr>
            <w:webHidden/>
          </w:rPr>
          <w:t>52</w:t>
        </w:r>
        <w:r w:rsidR="00827144">
          <w:rPr>
            <w:webHidden/>
          </w:rPr>
          <w:fldChar w:fldCharType="end"/>
        </w:r>
      </w:hyperlink>
    </w:p>
    <w:p w:rsidR="005B2E2F" w14:paraId="136ED684" w14:textId="7808EA30">
      <w:pPr>
        <w:pStyle w:val="TOC2"/>
        <w:rPr>
          <w:rFonts w:asciiTheme="minorHAnsi" w:eastAsiaTheme="minorEastAsia" w:hAnsiTheme="minorHAnsi" w:cstheme="minorBidi"/>
          <w:kern w:val="2"/>
          <w:sz w:val="22"/>
          <w:szCs w:val="22"/>
          <w14:ligatures w14:val="standardContextual"/>
        </w:rPr>
      </w:pPr>
      <w:hyperlink w:anchor="_Toc144303535" w:history="1">
        <w:r w:rsidRPr="0023025B" w:rsidR="00827144">
          <w:rPr>
            <w:rStyle w:val="Hyperlink"/>
          </w:rPr>
          <w:t>4.3 Rule Familiarization</w:t>
        </w:r>
        <w:r w:rsidR="00827144">
          <w:rPr>
            <w:webHidden/>
          </w:rPr>
          <w:tab/>
        </w:r>
        <w:r w:rsidR="00827144">
          <w:rPr>
            <w:webHidden/>
          </w:rPr>
          <w:fldChar w:fldCharType="begin"/>
        </w:r>
        <w:r w:rsidR="00827144">
          <w:rPr>
            <w:webHidden/>
          </w:rPr>
          <w:instrText xml:space="preserve"> PAGEREF _Toc144303535 \h </w:instrText>
        </w:r>
        <w:r w:rsidR="00827144">
          <w:rPr>
            <w:webHidden/>
          </w:rPr>
          <w:fldChar w:fldCharType="separate"/>
        </w:r>
        <w:r w:rsidR="005F6304">
          <w:rPr>
            <w:webHidden/>
          </w:rPr>
          <w:t>52</w:t>
        </w:r>
        <w:r w:rsidR="00827144">
          <w:rPr>
            <w:webHidden/>
          </w:rPr>
          <w:fldChar w:fldCharType="end"/>
        </w:r>
      </w:hyperlink>
    </w:p>
    <w:p w:rsidR="005B2E2F" w14:paraId="1E28530F" w14:textId="397B3FDA">
      <w:pPr>
        <w:pStyle w:val="TOC2"/>
        <w:rPr>
          <w:rFonts w:asciiTheme="minorHAnsi" w:eastAsiaTheme="minorEastAsia" w:hAnsiTheme="minorHAnsi" w:cstheme="minorBidi"/>
          <w:kern w:val="2"/>
          <w:sz w:val="22"/>
          <w:szCs w:val="22"/>
          <w14:ligatures w14:val="standardContextual"/>
        </w:rPr>
      </w:pPr>
      <w:hyperlink w:anchor="_Toc144303536" w:history="1">
        <w:r w:rsidRPr="0023025B" w:rsidR="00827144">
          <w:rPr>
            <w:rStyle w:val="Hyperlink"/>
          </w:rPr>
          <w:t>4.4 Prevention Program Provisions</w:t>
        </w:r>
        <w:r w:rsidR="00827144">
          <w:rPr>
            <w:webHidden/>
          </w:rPr>
          <w:tab/>
        </w:r>
        <w:r w:rsidR="00827144">
          <w:rPr>
            <w:webHidden/>
          </w:rPr>
          <w:fldChar w:fldCharType="begin"/>
        </w:r>
        <w:r w:rsidR="00827144">
          <w:rPr>
            <w:webHidden/>
          </w:rPr>
          <w:instrText xml:space="preserve"> PAGEREF _Toc144303536 \h </w:instrText>
        </w:r>
        <w:r w:rsidR="00827144">
          <w:rPr>
            <w:webHidden/>
          </w:rPr>
          <w:fldChar w:fldCharType="separate"/>
        </w:r>
        <w:r w:rsidR="005F6304">
          <w:rPr>
            <w:webHidden/>
          </w:rPr>
          <w:t>53</w:t>
        </w:r>
        <w:r w:rsidR="00827144">
          <w:rPr>
            <w:webHidden/>
          </w:rPr>
          <w:fldChar w:fldCharType="end"/>
        </w:r>
      </w:hyperlink>
    </w:p>
    <w:p w:rsidR="005B2E2F" w14:paraId="0C071668" w14:textId="59682404">
      <w:pPr>
        <w:pStyle w:val="TOC2"/>
        <w:rPr>
          <w:rFonts w:asciiTheme="minorHAnsi" w:eastAsiaTheme="minorEastAsia" w:hAnsiTheme="minorHAnsi" w:cstheme="minorBidi"/>
          <w:kern w:val="2"/>
          <w:sz w:val="22"/>
          <w:szCs w:val="22"/>
          <w14:ligatures w14:val="standardContextual"/>
        </w:rPr>
      </w:pPr>
      <w:hyperlink w:anchor="_Toc144303543" w:history="1">
        <w:r w:rsidRPr="0023025B" w:rsidR="00827144">
          <w:rPr>
            <w:rStyle w:val="Hyperlink"/>
          </w:rPr>
          <w:t>4.5 RMP Justifications</w:t>
        </w:r>
        <w:r w:rsidR="00827144">
          <w:rPr>
            <w:webHidden/>
          </w:rPr>
          <w:tab/>
        </w:r>
        <w:r w:rsidR="00827144">
          <w:rPr>
            <w:webHidden/>
          </w:rPr>
          <w:fldChar w:fldCharType="begin"/>
        </w:r>
        <w:r w:rsidR="00827144">
          <w:rPr>
            <w:webHidden/>
          </w:rPr>
          <w:instrText xml:space="preserve"> PAGEREF _Toc144303543 \h </w:instrText>
        </w:r>
        <w:r w:rsidR="00827144">
          <w:rPr>
            <w:webHidden/>
          </w:rPr>
          <w:fldChar w:fldCharType="separate"/>
        </w:r>
        <w:r w:rsidR="005F6304">
          <w:rPr>
            <w:webHidden/>
          </w:rPr>
          <w:t>62</w:t>
        </w:r>
        <w:r w:rsidR="00827144">
          <w:rPr>
            <w:webHidden/>
          </w:rPr>
          <w:fldChar w:fldCharType="end"/>
        </w:r>
      </w:hyperlink>
    </w:p>
    <w:p w:rsidR="005B2E2F" w14:paraId="06F350DA" w14:textId="7F0DBB4A">
      <w:pPr>
        <w:pStyle w:val="TOC2"/>
        <w:rPr>
          <w:rFonts w:asciiTheme="minorHAnsi" w:eastAsiaTheme="minorEastAsia" w:hAnsiTheme="minorHAnsi" w:cstheme="minorBidi"/>
          <w:kern w:val="2"/>
          <w:sz w:val="22"/>
          <w:szCs w:val="22"/>
          <w14:ligatures w14:val="standardContextual"/>
        </w:rPr>
      </w:pPr>
      <w:hyperlink w:anchor="_Toc144303545" w:history="1">
        <w:r w:rsidRPr="0023025B" w:rsidR="00827144">
          <w:rPr>
            <w:rStyle w:val="Hyperlink"/>
          </w:rPr>
          <w:t>4.6 Emergency Response</w:t>
        </w:r>
        <w:r w:rsidR="00827144">
          <w:rPr>
            <w:webHidden/>
          </w:rPr>
          <w:tab/>
        </w:r>
        <w:r w:rsidR="00827144">
          <w:rPr>
            <w:webHidden/>
          </w:rPr>
          <w:fldChar w:fldCharType="begin"/>
        </w:r>
        <w:r w:rsidR="00827144">
          <w:rPr>
            <w:webHidden/>
          </w:rPr>
          <w:instrText xml:space="preserve"> PAGEREF _Toc144303545 \h </w:instrText>
        </w:r>
        <w:r w:rsidR="00827144">
          <w:rPr>
            <w:webHidden/>
          </w:rPr>
          <w:fldChar w:fldCharType="separate"/>
        </w:r>
        <w:r w:rsidR="005F6304">
          <w:rPr>
            <w:webHidden/>
          </w:rPr>
          <w:t>63</w:t>
        </w:r>
        <w:r w:rsidR="00827144">
          <w:rPr>
            <w:webHidden/>
          </w:rPr>
          <w:fldChar w:fldCharType="end"/>
        </w:r>
      </w:hyperlink>
    </w:p>
    <w:p w:rsidR="005B2E2F" w14:paraId="3F717018" w14:textId="0521DD8E">
      <w:pPr>
        <w:pStyle w:val="TOC2"/>
        <w:rPr>
          <w:rFonts w:asciiTheme="minorHAnsi" w:eastAsiaTheme="minorEastAsia" w:hAnsiTheme="minorHAnsi" w:cstheme="minorBidi"/>
          <w:kern w:val="2"/>
          <w:sz w:val="22"/>
          <w:szCs w:val="22"/>
          <w14:ligatures w14:val="standardContextual"/>
        </w:rPr>
      </w:pPr>
      <w:hyperlink w:anchor="_Toc144303547" w:history="1">
        <w:r w:rsidRPr="0023025B" w:rsidR="00827144">
          <w:rPr>
            <w:rStyle w:val="Hyperlink"/>
          </w:rPr>
          <w:t>4.7 Information Availability</w:t>
        </w:r>
        <w:r w:rsidR="00827144">
          <w:rPr>
            <w:webHidden/>
          </w:rPr>
          <w:tab/>
        </w:r>
        <w:r w:rsidR="00827144">
          <w:rPr>
            <w:webHidden/>
          </w:rPr>
          <w:fldChar w:fldCharType="begin"/>
        </w:r>
        <w:r w:rsidR="00827144">
          <w:rPr>
            <w:webHidden/>
          </w:rPr>
          <w:instrText xml:space="preserve"> PAGEREF _Toc144303547 \h </w:instrText>
        </w:r>
        <w:r w:rsidR="00827144">
          <w:rPr>
            <w:webHidden/>
          </w:rPr>
          <w:fldChar w:fldCharType="separate"/>
        </w:r>
        <w:r w:rsidR="005F6304">
          <w:rPr>
            <w:webHidden/>
          </w:rPr>
          <w:t>63</w:t>
        </w:r>
        <w:r w:rsidR="00827144">
          <w:rPr>
            <w:webHidden/>
          </w:rPr>
          <w:fldChar w:fldCharType="end"/>
        </w:r>
      </w:hyperlink>
    </w:p>
    <w:p w:rsidR="005B2E2F" w14:paraId="7DE62BB2" w14:textId="756A0DE2">
      <w:pPr>
        <w:pStyle w:val="TOC1"/>
        <w:rPr>
          <w:rFonts w:asciiTheme="minorHAnsi" w:eastAsiaTheme="minorEastAsia" w:hAnsiTheme="minorHAnsi" w:cstheme="minorBidi"/>
          <w:b w:val="0"/>
          <w:bCs w:val="0"/>
          <w:caps w:val="0"/>
          <w:kern w:val="2"/>
          <w:sz w:val="22"/>
          <w:szCs w:val="22"/>
          <w14:ligatures w14:val="standardContextual"/>
        </w:rPr>
      </w:pPr>
      <w:hyperlink w:anchor="_Toc144303548" w:history="1">
        <w:r w:rsidRPr="0023025B" w:rsidR="00827144">
          <w:rPr>
            <w:rStyle w:val="Hyperlink"/>
          </w:rPr>
          <w:t>CHAPTER 5: Total Estimated Costs of the Final Rule</w:t>
        </w:r>
        <w:r w:rsidR="00827144">
          <w:rPr>
            <w:webHidden/>
          </w:rPr>
          <w:tab/>
        </w:r>
        <w:r w:rsidR="00827144">
          <w:rPr>
            <w:webHidden/>
          </w:rPr>
          <w:fldChar w:fldCharType="begin"/>
        </w:r>
        <w:r w:rsidR="00827144">
          <w:rPr>
            <w:webHidden/>
          </w:rPr>
          <w:instrText xml:space="preserve"> PAGEREF _Toc144303548 \h </w:instrText>
        </w:r>
        <w:r w:rsidR="00827144">
          <w:rPr>
            <w:webHidden/>
          </w:rPr>
          <w:fldChar w:fldCharType="separate"/>
        </w:r>
        <w:r w:rsidR="005F6304">
          <w:rPr>
            <w:webHidden/>
          </w:rPr>
          <w:t>66</w:t>
        </w:r>
        <w:r w:rsidR="00827144">
          <w:rPr>
            <w:webHidden/>
          </w:rPr>
          <w:fldChar w:fldCharType="end"/>
        </w:r>
      </w:hyperlink>
    </w:p>
    <w:p w:rsidR="005B2E2F" w14:paraId="022749D9" w14:textId="27E52E0B">
      <w:pPr>
        <w:pStyle w:val="TOC2"/>
        <w:rPr>
          <w:rFonts w:asciiTheme="minorHAnsi" w:eastAsiaTheme="minorEastAsia" w:hAnsiTheme="minorHAnsi" w:cstheme="minorBidi"/>
          <w:kern w:val="2"/>
          <w:sz w:val="22"/>
          <w:szCs w:val="22"/>
          <w14:ligatures w14:val="standardContextual"/>
        </w:rPr>
      </w:pPr>
      <w:hyperlink w:anchor="_Toc144303549" w:history="1">
        <w:r w:rsidRPr="0023025B" w:rsidR="00827144">
          <w:rPr>
            <w:rStyle w:val="Hyperlink"/>
          </w:rPr>
          <w:t>5.1 Analytical</w:t>
        </w:r>
        <w:r w:rsidRPr="0023025B" w:rsidR="00827144">
          <w:rPr>
            <w:rStyle w:val="Hyperlink"/>
            <w:spacing w:val="-14"/>
          </w:rPr>
          <w:t xml:space="preserve"> </w:t>
        </w:r>
        <w:r w:rsidRPr="0023025B" w:rsidR="00827144">
          <w:rPr>
            <w:rStyle w:val="Hyperlink"/>
          </w:rPr>
          <w:t>Assumptions</w:t>
        </w:r>
        <w:r w:rsidR="00827144">
          <w:rPr>
            <w:webHidden/>
          </w:rPr>
          <w:tab/>
        </w:r>
        <w:r w:rsidR="00827144">
          <w:rPr>
            <w:webHidden/>
          </w:rPr>
          <w:fldChar w:fldCharType="begin"/>
        </w:r>
        <w:r w:rsidR="00827144">
          <w:rPr>
            <w:webHidden/>
          </w:rPr>
          <w:instrText xml:space="preserve"> PAGEREF _Toc144303549 \h </w:instrText>
        </w:r>
        <w:r w:rsidR="00827144">
          <w:rPr>
            <w:webHidden/>
          </w:rPr>
          <w:fldChar w:fldCharType="separate"/>
        </w:r>
        <w:r w:rsidR="005F6304">
          <w:rPr>
            <w:webHidden/>
          </w:rPr>
          <w:t>66</w:t>
        </w:r>
        <w:r w:rsidR="00827144">
          <w:rPr>
            <w:webHidden/>
          </w:rPr>
          <w:fldChar w:fldCharType="end"/>
        </w:r>
      </w:hyperlink>
    </w:p>
    <w:p w:rsidR="005B2E2F" w14:paraId="3848B8D0" w14:textId="5C638A0F">
      <w:pPr>
        <w:pStyle w:val="TOC2"/>
        <w:rPr>
          <w:rFonts w:asciiTheme="minorHAnsi" w:eastAsiaTheme="minorEastAsia" w:hAnsiTheme="minorHAnsi" w:cstheme="minorBidi"/>
          <w:kern w:val="2"/>
          <w:sz w:val="22"/>
          <w:szCs w:val="22"/>
          <w14:ligatures w14:val="standardContextual"/>
        </w:rPr>
      </w:pPr>
      <w:hyperlink w:anchor="_Toc144303553" w:history="1">
        <w:r w:rsidRPr="0023025B" w:rsidR="00827144">
          <w:rPr>
            <w:rStyle w:val="Hyperlink"/>
          </w:rPr>
          <w:t>5.2 Rule</w:t>
        </w:r>
        <w:r w:rsidRPr="0023025B" w:rsidR="00827144">
          <w:rPr>
            <w:rStyle w:val="Hyperlink"/>
            <w:spacing w:val="-12"/>
          </w:rPr>
          <w:t xml:space="preserve"> </w:t>
        </w:r>
        <w:r w:rsidRPr="0023025B" w:rsidR="00827144">
          <w:rPr>
            <w:rStyle w:val="Hyperlink"/>
          </w:rPr>
          <w:t>Familiarization</w:t>
        </w:r>
        <w:r w:rsidR="00827144">
          <w:rPr>
            <w:webHidden/>
          </w:rPr>
          <w:tab/>
        </w:r>
        <w:r w:rsidR="00827144">
          <w:rPr>
            <w:webHidden/>
          </w:rPr>
          <w:fldChar w:fldCharType="begin"/>
        </w:r>
        <w:r w:rsidR="00827144">
          <w:rPr>
            <w:webHidden/>
          </w:rPr>
          <w:instrText xml:space="preserve"> PAGEREF _Toc144303553 \h </w:instrText>
        </w:r>
        <w:r w:rsidR="00827144">
          <w:rPr>
            <w:webHidden/>
          </w:rPr>
          <w:fldChar w:fldCharType="separate"/>
        </w:r>
        <w:r w:rsidR="005F6304">
          <w:rPr>
            <w:webHidden/>
          </w:rPr>
          <w:t>67</w:t>
        </w:r>
        <w:r w:rsidR="00827144">
          <w:rPr>
            <w:webHidden/>
          </w:rPr>
          <w:fldChar w:fldCharType="end"/>
        </w:r>
      </w:hyperlink>
    </w:p>
    <w:p w:rsidR="005B2E2F" w14:paraId="58E6D922" w14:textId="1B2651CC">
      <w:pPr>
        <w:pStyle w:val="TOC2"/>
        <w:rPr>
          <w:rFonts w:asciiTheme="minorHAnsi" w:eastAsiaTheme="minorEastAsia" w:hAnsiTheme="minorHAnsi" w:cstheme="minorBidi"/>
          <w:kern w:val="2"/>
          <w:sz w:val="22"/>
          <w:szCs w:val="22"/>
          <w14:ligatures w14:val="standardContextual"/>
        </w:rPr>
      </w:pPr>
      <w:hyperlink w:anchor="_Toc144303554" w:history="1">
        <w:r w:rsidRPr="0023025B" w:rsidR="00827144">
          <w:rPr>
            <w:rStyle w:val="Hyperlink"/>
          </w:rPr>
          <w:t>5.3 Prevention</w:t>
        </w:r>
        <w:r w:rsidRPr="0023025B" w:rsidR="00827144">
          <w:rPr>
            <w:rStyle w:val="Hyperlink"/>
            <w:spacing w:val="-22"/>
          </w:rPr>
          <w:t xml:space="preserve"> </w:t>
        </w:r>
        <w:r w:rsidRPr="0023025B" w:rsidR="00827144">
          <w:rPr>
            <w:rStyle w:val="Hyperlink"/>
          </w:rPr>
          <w:t>Program</w:t>
        </w:r>
        <w:r w:rsidRPr="0023025B" w:rsidR="00827144">
          <w:rPr>
            <w:rStyle w:val="Hyperlink"/>
            <w:spacing w:val="-25"/>
          </w:rPr>
          <w:t xml:space="preserve"> </w:t>
        </w:r>
        <w:r w:rsidRPr="0023025B" w:rsidR="00827144">
          <w:rPr>
            <w:rStyle w:val="Hyperlink"/>
          </w:rPr>
          <w:t>Rule</w:t>
        </w:r>
        <w:r w:rsidRPr="0023025B" w:rsidR="00827144">
          <w:rPr>
            <w:rStyle w:val="Hyperlink"/>
            <w:spacing w:val="-11"/>
          </w:rPr>
          <w:t xml:space="preserve"> </w:t>
        </w:r>
        <w:r w:rsidRPr="0023025B" w:rsidR="00827144">
          <w:rPr>
            <w:rStyle w:val="Hyperlink"/>
          </w:rPr>
          <w:t>Provisions</w:t>
        </w:r>
        <w:r w:rsidR="00827144">
          <w:rPr>
            <w:webHidden/>
          </w:rPr>
          <w:tab/>
        </w:r>
        <w:r w:rsidR="00827144">
          <w:rPr>
            <w:webHidden/>
          </w:rPr>
          <w:fldChar w:fldCharType="begin"/>
        </w:r>
        <w:r w:rsidR="00827144">
          <w:rPr>
            <w:webHidden/>
          </w:rPr>
          <w:instrText xml:space="preserve"> PAGEREF _Toc144303554 \h </w:instrText>
        </w:r>
        <w:r w:rsidR="00827144">
          <w:rPr>
            <w:webHidden/>
          </w:rPr>
          <w:fldChar w:fldCharType="separate"/>
        </w:r>
        <w:r w:rsidR="005F6304">
          <w:rPr>
            <w:webHidden/>
          </w:rPr>
          <w:t>68</w:t>
        </w:r>
        <w:r w:rsidR="00827144">
          <w:rPr>
            <w:webHidden/>
          </w:rPr>
          <w:fldChar w:fldCharType="end"/>
        </w:r>
      </w:hyperlink>
    </w:p>
    <w:p w:rsidR="005B2E2F" w14:paraId="2B24C877" w14:textId="40E15EFC">
      <w:pPr>
        <w:pStyle w:val="TOC2"/>
        <w:rPr>
          <w:rFonts w:asciiTheme="minorHAnsi" w:eastAsiaTheme="minorEastAsia" w:hAnsiTheme="minorHAnsi" w:cstheme="minorBidi"/>
          <w:kern w:val="2"/>
          <w:sz w:val="22"/>
          <w:szCs w:val="22"/>
          <w14:ligatures w14:val="standardContextual"/>
        </w:rPr>
      </w:pPr>
      <w:hyperlink w:anchor="_Toc144303563" w:history="1">
        <w:r w:rsidRPr="0023025B" w:rsidR="00827144">
          <w:rPr>
            <w:rStyle w:val="Hyperlink"/>
          </w:rPr>
          <w:t>5.5 Emergency Response</w:t>
        </w:r>
        <w:r w:rsidR="00827144">
          <w:rPr>
            <w:webHidden/>
          </w:rPr>
          <w:tab/>
        </w:r>
        <w:r w:rsidR="00827144">
          <w:rPr>
            <w:webHidden/>
          </w:rPr>
          <w:fldChar w:fldCharType="begin"/>
        </w:r>
        <w:r w:rsidR="00827144">
          <w:rPr>
            <w:webHidden/>
          </w:rPr>
          <w:instrText xml:space="preserve"> PAGEREF _Toc144303563 \h </w:instrText>
        </w:r>
        <w:r w:rsidR="00827144">
          <w:rPr>
            <w:webHidden/>
          </w:rPr>
          <w:fldChar w:fldCharType="separate"/>
        </w:r>
        <w:r w:rsidR="005F6304">
          <w:rPr>
            <w:webHidden/>
          </w:rPr>
          <w:t>74</w:t>
        </w:r>
        <w:r w:rsidR="00827144">
          <w:rPr>
            <w:webHidden/>
          </w:rPr>
          <w:fldChar w:fldCharType="end"/>
        </w:r>
      </w:hyperlink>
    </w:p>
    <w:p w:rsidR="005B2E2F" w14:paraId="3D2B5246" w14:textId="3F1DB652">
      <w:pPr>
        <w:pStyle w:val="TOC2"/>
        <w:rPr>
          <w:rFonts w:asciiTheme="minorHAnsi" w:eastAsiaTheme="minorEastAsia" w:hAnsiTheme="minorHAnsi" w:cstheme="minorBidi"/>
          <w:kern w:val="2"/>
          <w:sz w:val="22"/>
          <w:szCs w:val="22"/>
          <w14:ligatures w14:val="standardContextual"/>
        </w:rPr>
      </w:pPr>
      <w:hyperlink w:anchor="_Toc144303565" w:history="1">
        <w:r w:rsidRPr="0023025B" w:rsidR="00827144">
          <w:rPr>
            <w:rStyle w:val="Hyperlink"/>
          </w:rPr>
          <w:t>5.6 Information Availability to the Public</w:t>
        </w:r>
        <w:r w:rsidR="00827144">
          <w:rPr>
            <w:webHidden/>
          </w:rPr>
          <w:tab/>
        </w:r>
        <w:r w:rsidR="00827144">
          <w:rPr>
            <w:webHidden/>
          </w:rPr>
          <w:fldChar w:fldCharType="begin"/>
        </w:r>
        <w:r w:rsidR="00827144">
          <w:rPr>
            <w:webHidden/>
          </w:rPr>
          <w:instrText xml:space="preserve"> PAGEREF _Toc144303565 \h </w:instrText>
        </w:r>
        <w:r w:rsidR="00827144">
          <w:rPr>
            <w:webHidden/>
          </w:rPr>
          <w:fldChar w:fldCharType="separate"/>
        </w:r>
        <w:r w:rsidR="005F6304">
          <w:rPr>
            <w:webHidden/>
          </w:rPr>
          <w:t>74</w:t>
        </w:r>
        <w:r w:rsidR="00827144">
          <w:rPr>
            <w:webHidden/>
          </w:rPr>
          <w:fldChar w:fldCharType="end"/>
        </w:r>
      </w:hyperlink>
    </w:p>
    <w:p w:rsidR="005B2E2F" w14:paraId="4200277D" w14:textId="3317FBEE">
      <w:pPr>
        <w:pStyle w:val="TOC2"/>
        <w:rPr>
          <w:rFonts w:asciiTheme="minorHAnsi" w:eastAsiaTheme="minorEastAsia" w:hAnsiTheme="minorHAnsi" w:cstheme="minorBidi"/>
          <w:kern w:val="2"/>
          <w:sz w:val="22"/>
          <w:szCs w:val="22"/>
          <w14:ligatures w14:val="standardContextual"/>
        </w:rPr>
      </w:pPr>
      <w:hyperlink w:anchor="_Toc144303568" w:history="1">
        <w:r w:rsidRPr="0023025B" w:rsidR="00827144">
          <w:rPr>
            <w:rStyle w:val="Hyperlink"/>
          </w:rPr>
          <w:t>5.7 Important Cost</w:t>
        </w:r>
        <w:r w:rsidRPr="0023025B" w:rsidR="00827144">
          <w:rPr>
            <w:rStyle w:val="Hyperlink"/>
            <w:spacing w:val="-9"/>
          </w:rPr>
          <w:t xml:space="preserve"> </w:t>
        </w:r>
        <w:r w:rsidRPr="0023025B" w:rsidR="00827144">
          <w:rPr>
            <w:rStyle w:val="Hyperlink"/>
          </w:rPr>
          <w:t>Uncertainties</w:t>
        </w:r>
        <w:r w:rsidRPr="0023025B" w:rsidR="00827144">
          <w:rPr>
            <w:rStyle w:val="Hyperlink"/>
            <w:spacing w:val="-7"/>
          </w:rPr>
          <w:t xml:space="preserve"> and Indirect Costs </w:t>
        </w:r>
        <w:r w:rsidRPr="0023025B" w:rsidR="00827144">
          <w:rPr>
            <w:rStyle w:val="Hyperlink"/>
          </w:rPr>
          <w:t>Associated</w:t>
        </w:r>
        <w:r w:rsidRPr="0023025B" w:rsidR="00827144">
          <w:rPr>
            <w:rStyle w:val="Hyperlink"/>
            <w:spacing w:val="-19"/>
          </w:rPr>
          <w:t xml:space="preserve"> </w:t>
        </w:r>
        <w:r w:rsidRPr="0023025B" w:rsidR="00827144">
          <w:rPr>
            <w:rStyle w:val="Hyperlink"/>
          </w:rPr>
          <w:t>with</w:t>
        </w:r>
        <w:r w:rsidRPr="0023025B" w:rsidR="00827144">
          <w:rPr>
            <w:rStyle w:val="Hyperlink"/>
            <w:spacing w:val="-18"/>
          </w:rPr>
          <w:t xml:space="preserve"> </w:t>
        </w:r>
        <w:r w:rsidRPr="0023025B" w:rsidR="00827144">
          <w:rPr>
            <w:rStyle w:val="Hyperlink"/>
          </w:rPr>
          <w:t>Prevention</w:t>
        </w:r>
        <w:r w:rsidRPr="0023025B" w:rsidR="00827144">
          <w:rPr>
            <w:rStyle w:val="Hyperlink"/>
            <w:spacing w:val="-18"/>
          </w:rPr>
          <w:t xml:space="preserve"> </w:t>
        </w:r>
        <w:r w:rsidRPr="0023025B" w:rsidR="00827144">
          <w:rPr>
            <w:rStyle w:val="Hyperlink"/>
          </w:rPr>
          <w:t>Program</w:t>
        </w:r>
        <w:r w:rsidRPr="0023025B" w:rsidR="00827144">
          <w:rPr>
            <w:rStyle w:val="Hyperlink"/>
            <w:spacing w:val="-23"/>
          </w:rPr>
          <w:t xml:space="preserve"> </w:t>
        </w:r>
        <w:r w:rsidRPr="0023025B" w:rsidR="00827144">
          <w:rPr>
            <w:rStyle w:val="Hyperlink"/>
          </w:rPr>
          <w:t>Provisions</w:t>
        </w:r>
        <w:r w:rsidR="00827144">
          <w:rPr>
            <w:webHidden/>
          </w:rPr>
          <w:tab/>
        </w:r>
        <w:r w:rsidR="00827144">
          <w:rPr>
            <w:webHidden/>
          </w:rPr>
          <w:fldChar w:fldCharType="begin"/>
        </w:r>
        <w:r w:rsidR="00827144">
          <w:rPr>
            <w:webHidden/>
          </w:rPr>
          <w:instrText xml:space="preserve"> PAGEREF _Toc144303568 \h </w:instrText>
        </w:r>
        <w:r w:rsidR="00827144">
          <w:rPr>
            <w:webHidden/>
          </w:rPr>
          <w:fldChar w:fldCharType="separate"/>
        </w:r>
        <w:r w:rsidR="005F6304">
          <w:rPr>
            <w:webHidden/>
          </w:rPr>
          <w:t>75</w:t>
        </w:r>
        <w:r w:rsidR="00827144">
          <w:rPr>
            <w:webHidden/>
          </w:rPr>
          <w:fldChar w:fldCharType="end"/>
        </w:r>
      </w:hyperlink>
    </w:p>
    <w:p w:rsidR="005B2E2F" w14:paraId="1AF7BB02" w14:textId="6581BFA9">
      <w:pPr>
        <w:pStyle w:val="TOC2"/>
        <w:rPr>
          <w:rFonts w:asciiTheme="minorHAnsi" w:eastAsiaTheme="minorEastAsia" w:hAnsiTheme="minorHAnsi" w:cstheme="minorBidi"/>
          <w:kern w:val="2"/>
          <w:sz w:val="22"/>
          <w:szCs w:val="22"/>
          <w14:ligatures w14:val="standardContextual"/>
        </w:rPr>
      </w:pPr>
      <w:hyperlink w:anchor="_Toc144303572" w:history="1">
        <w:r w:rsidRPr="0023025B" w:rsidR="00827144">
          <w:rPr>
            <w:rStyle w:val="Hyperlink"/>
          </w:rPr>
          <w:t>5.8 Total</w:t>
        </w:r>
        <w:r w:rsidRPr="0023025B" w:rsidR="00827144">
          <w:rPr>
            <w:rStyle w:val="Hyperlink"/>
            <w:spacing w:val="1"/>
          </w:rPr>
          <w:t xml:space="preserve"> Estimated </w:t>
        </w:r>
        <w:r w:rsidRPr="0023025B" w:rsidR="00827144">
          <w:rPr>
            <w:rStyle w:val="Hyperlink"/>
          </w:rPr>
          <w:t>Costs</w:t>
        </w:r>
        <w:r w:rsidR="00827144">
          <w:rPr>
            <w:webHidden/>
          </w:rPr>
          <w:tab/>
        </w:r>
        <w:r w:rsidR="00827144">
          <w:rPr>
            <w:webHidden/>
          </w:rPr>
          <w:fldChar w:fldCharType="begin"/>
        </w:r>
        <w:r w:rsidR="00827144">
          <w:rPr>
            <w:webHidden/>
          </w:rPr>
          <w:instrText xml:space="preserve"> PAGEREF _Toc144303572 \h </w:instrText>
        </w:r>
        <w:r w:rsidR="00827144">
          <w:rPr>
            <w:webHidden/>
          </w:rPr>
          <w:fldChar w:fldCharType="separate"/>
        </w:r>
        <w:r w:rsidR="005F6304">
          <w:rPr>
            <w:webHidden/>
          </w:rPr>
          <w:t>77</w:t>
        </w:r>
        <w:r w:rsidR="00827144">
          <w:rPr>
            <w:webHidden/>
          </w:rPr>
          <w:fldChar w:fldCharType="end"/>
        </w:r>
      </w:hyperlink>
    </w:p>
    <w:p w:rsidR="005B2E2F" w14:paraId="2CCDF1FA" w14:textId="60992656">
      <w:pPr>
        <w:pStyle w:val="TOC1"/>
        <w:rPr>
          <w:rFonts w:asciiTheme="minorHAnsi" w:eastAsiaTheme="minorEastAsia" w:hAnsiTheme="minorHAnsi" w:cstheme="minorBidi"/>
          <w:b w:val="0"/>
          <w:bCs w:val="0"/>
          <w:caps w:val="0"/>
          <w:kern w:val="2"/>
          <w:sz w:val="22"/>
          <w:szCs w:val="22"/>
          <w14:ligatures w14:val="standardContextual"/>
        </w:rPr>
      </w:pPr>
      <w:hyperlink w:anchor="_Toc144303573" w:history="1">
        <w:r w:rsidRPr="0023025B" w:rsidR="00827144">
          <w:rPr>
            <w:rStyle w:val="Hyperlink"/>
          </w:rPr>
          <w:t>CHAPTER 6: Total Benefits of the Final Rule</w:t>
        </w:r>
        <w:r w:rsidR="00827144">
          <w:rPr>
            <w:webHidden/>
          </w:rPr>
          <w:tab/>
        </w:r>
        <w:r w:rsidR="00827144">
          <w:rPr>
            <w:webHidden/>
          </w:rPr>
          <w:fldChar w:fldCharType="begin"/>
        </w:r>
        <w:r w:rsidR="00827144">
          <w:rPr>
            <w:webHidden/>
          </w:rPr>
          <w:instrText xml:space="preserve"> PAGEREF _Toc144303573 \h </w:instrText>
        </w:r>
        <w:r w:rsidR="00827144">
          <w:rPr>
            <w:webHidden/>
          </w:rPr>
          <w:fldChar w:fldCharType="separate"/>
        </w:r>
        <w:r w:rsidR="005F6304">
          <w:rPr>
            <w:webHidden/>
          </w:rPr>
          <w:t>80</w:t>
        </w:r>
        <w:r w:rsidR="00827144">
          <w:rPr>
            <w:webHidden/>
          </w:rPr>
          <w:fldChar w:fldCharType="end"/>
        </w:r>
      </w:hyperlink>
    </w:p>
    <w:p w:rsidR="005B2E2F" w14:paraId="73C8CAC6" w14:textId="6858DF6F">
      <w:pPr>
        <w:pStyle w:val="TOC2"/>
        <w:rPr>
          <w:rFonts w:asciiTheme="minorHAnsi" w:eastAsiaTheme="minorEastAsia" w:hAnsiTheme="minorHAnsi" w:cstheme="minorBidi"/>
          <w:kern w:val="2"/>
          <w:sz w:val="22"/>
          <w:szCs w:val="22"/>
          <w14:ligatures w14:val="standardContextual"/>
        </w:rPr>
      </w:pPr>
      <w:hyperlink w:anchor="_Toc144303574" w:history="1">
        <w:r w:rsidRPr="0023025B" w:rsidR="00827144">
          <w:rPr>
            <w:rStyle w:val="Hyperlink"/>
          </w:rPr>
          <w:t>6.1 Benefit Categories</w:t>
        </w:r>
        <w:r w:rsidR="00827144">
          <w:rPr>
            <w:webHidden/>
          </w:rPr>
          <w:tab/>
        </w:r>
        <w:r w:rsidR="00827144">
          <w:rPr>
            <w:webHidden/>
          </w:rPr>
          <w:fldChar w:fldCharType="begin"/>
        </w:r>
        <w:r w:rsidR="00827144">
          <w:rPr>
            <w:webHidden/>
          </w:rPr>
          <w:instrText xml:space="preserve"> PAGEREF _Toc144303574 \h </w:instrText>
        </w:r>
        <w:r w:rsidR="00827144">
          <w:rPr>
            <w:webHidden/>
          </w:rPr>
          <w:fldChar w:fldCharType="separate"/>
        </w:r>
        <w:r w:rsidR="005F6304">
          <w:rPr>
            <w:webHidden/>
          </w:rPr>
          <w:t>81</w:t>
        </w:r>
        <w:r w:rsidR="00827144">
          <w:rPr>
            <w:webHidden/>
          </w:rPr>
          <w:fldChar w:fldCharType="end"/>
        </w:r>
      </w:hyperlink>
    </w:p>
    <w:p w:rsidR="005B2E2F" w14:paraId="79180EA7" w14:textId="273600F9">
      <w:pPr>
        <w:pStyle w:val="TOC2"/>
        <w:rPr>
          <w:rFonts w:asciiTheme="minorHAnsi" w:eastAsiaTheme="minorEastAsia" w:hAnsiTheme="minorHAnsi" w:cstheme="minorBidi"/>
          <w:kern w:val="2"/>
          <w:sz w:val="22"/>
          <w:szCs w:val="22"/>
          <w14:ligatures w14:val="standardContextual"/>
        </w:rPr>
      </w:pPr>
      <w:hyperlink w:anchor="_Toc144303580" w:history="1">
        <w:r w:rsidRPr="0023025B" w:rsidR="00827144">
          <w:rPr>
            <w:rStyle w:val="Hyperlink"/>
          </w:rPr>
          <w:t>6.2 Benefit Categories Associated with Accident Prevention</w:t>
        </w:r>
        <w:r w:rsidRPr="0023025B" w:rsidR="00827144">
          <w:rPr>
            <w:rStyle w:val="Hyperlink"/>
            <w:spacing w:val="-28"/>
          </w:rPr>
          <w:t xml:space="preserve"> </w:t>
        </w:r>
        <w:r w:rsidRPr="0023025B" w:rsidR="00827144">
          <w:rPr>
            <w:rStyle w:val="Hyperlink"/>
          </w:rPr>
          <w:t>and Mitigation</w:t>
        </w:r>
        <w:r w:rsidR="00827144">
          <w:rPr>
            <w:webHidden/>
          </w:rPr>
          <w:tab/>
        </w:r>
        <w:r w:rsidR="00827144">
          <w:rPr>
            <w:webHidden/>
          </w:rPr>
          <w:fldChar w:fldCharType="begin"/>
        </w:r>
        <w:r w:rsidR="00827144">
          <w:rPr>
            <w:webHidden/>
          </w:rPr>
          <w:instrText xml:space="preserve"> PAGEREF _Toc144303580 \h </w:instrText>
        </w:r>
        <w:r w:rsidR="00827144">
          <w:rPr>
            <w:webHidden/>
          </w:rPr>
          <w:fldChar w:fldCharType="separate"/>
        </w:r>
        <w:r w:rsidR="005F6304">
          <w:rPr>
            <w:webHidden/>
          </w:rPr>
          <w:t>87</w:t>
        </w:r>
        <w:r w:rsidR="00827144">
          <w:rPr>
            <w:webHidden/>
          </w:rPr>
          <w:fldChar w:fldCharType="end"/>
        </w:r>
      </w:hyperlink>
    </w:p>
    <w:p w:rsidR="005B2E2F" w14:paraId="2AF71F45" w14:textId="106FAE2A">
      <w:pPr>
        <w:pStyle w:val="TOC2"/>
        <w:rPr>
          <w:rFonts w:asciiTheme="minorHAnsi" w:eastAsiaTheme="minorEastAsia" w:hAnsiTheme="minorHAnsi" w:cstheme="minorBidi"/>
          <w:kern w:val="2"/>
          <w:sz w:val="22"/>
          <w:szCs w:val="22"/>
          <w14:ligatures w14:val="standardContextual"/>
        </w:rPr>
      </w:pPr>
      <w:hyperlink w:anchor="_Toc144303590" w:history="1">
        <w:r w:rsidRPr="0023025B" w:rsidR="00827144">
          <w:rPr>
            <w:rStyle w:val="Hyperlink"/>
          </w:rPr>
          <w:t>6.3 Avoided Accident</w:t>
        </w:r>
        <w:r w:rsidRPr="0023025B" w:rsidR="00827144">
          <w:rPr>
            <w:rStyle w:val="Hyperlink"/>
            <w:spacing w:val="-5"/>
          </w:rPr>
          <w:t xml:space="preserve"> </w:t>
        </w:r>
        <w:r w:rsidRPr="0023025B" w:rsidR="00827144">
          <w:rPr>
            <w:rStyle w:val="Hyperlink"/>
          </w:rPr>
          <w:t>Impacts: Breakeven Analysis</w:t>
        </w:r>
        <w:r w:rsidR="00827144">
          <w:rPr>
            <w:webHidden/>
          </w:rPr>
          <w:tab/>
        </w:r>
        <w:r w:rsidR="00827144">
          <w:rPr>
            <w:webHidden/>
          </w:rPr>
          <w:fldChar w:fldCharType="begin"/>
        </w:r>
        <w:r w:rsidR="00827144">
          <w:rPr>
            <w:webHidden/>
          </w:rPr>
          <w:instrText xml:space="preserve"> PAGEREF _Toc144303590 \h </w:instrText>
        </w:r>
        <w:r w:rsidR="00827144">
          <w:rPr>
            <w:webHidden/>
          </w:rPr>
          <w:fldChar w:fldCharType="separate"/>
        </w:r>
        <w:r w:rsidR="005F6304">
          <w:rPr>
            <w:webHidden/>
          </w:rPr>
          <w:t>93</w:t>
        </w:r>
        <w:r w:rsidR="00827144">
          <w:rPr>
            <w:webHidden/>
          </w:rPr>
          <w:fldChar w:fldCharType="end"/>
        </w:r>
      </w:hyperlink>
    </w:p>
    <w:p w:rsidR="005B2E2F" w14:paraId="6577649E" w14:textId="73CC3878">
      <w:pPr>
        <w:pStyle w:val="TOC2"/>
        <w:rPr>
          <w:rFonts w:asciiTheme="minorHAnsi" w:eastAsiaTheme="minorEastAsia" w:hAnsiTheme="minorHAnsi" w:cstheme="minorBidi"/>
          <w:kern w:val="2"/>
          <w:sz w:val="22"/>
          <w:szCs w:val="22"/>
          <w14:ligatures w14:val="standardContextual"/>
        </w:rPr>
      </w:pPr>
      <w:hyperlink w:anchor="_Toc144303591" w:history="1">
        <w:r w:rsidRPr="0023025B" w:rsidR="00827144">
          <w:rPr>
            <w:rStyle w:val="Hyperlink"/>
          </w:rPr>
          <w:t>6.4 Conclusions</w:t>
        </w:r>
        <w:r w:rsidR="00827144">
          <w:rPr>
            <w:webHidden/>
          </w:rPr>
          <w:tab/>
        </w:r>
        <w:r w:rsidR="00827144">
          <w:rPr>
            <w:webHidden/>
          </w:rPr>
          <w:fldChar w:fldCharType="begin"/>
        </w:r>
        <w:r w:rsidR="00827144">
          <w:rPr>
            <w:webHidden/>
          </w:rPr>
          <w:instrText xml:space="preserve"> PAGEREF _Toc144303591 \h </w:instrText>
        </w:r>
        <w:r w:rsidR="00827144">
          <w:rPr>
            <w:webHidden/>
          </w:rPr>
          <w:fldChar w:fldCharType="separate"/>
        </w:r>
        <w:r w:rsidR="005F6304">
          <w:rPr>
            <w:webHidden/>
          </w:rPr>
          <w:t>97</w:t>
        </w:r>
        <w:r w:rsidR="00827144">
          <w:rPr>
            <w:webHidden/>
          </w:rPr>
          <w:fldChar w:fldCharType="end"/>
        </w:r>
      </w:hyperlink>
    </w:p>
    <w:p w:rsidR="005B2E2F" w14:paraId="305BF756" w14:textId="2D6309B4">
      <w:pPr>
        <w:pStyle w:val="TOC1"/>
        <w:rPr>
          <w:rFonts w:asciiTheme="minorHAnsi" w:eastAsiaTheme="minorEastAsia" w:hAnsiTheme="minorHAnsi" w:cstheme="minorBidi"/>
          <w:b w:val="0"/>
          <w:bCs w:val="0"/>
          <w:caps w:val="0"/>
          <w:kern w:val="2"/>
          <w:sz w:val="22"/>
          <w:szCs w:val="22"/>
          <w14:ligatures w14:val="standardContextual"/>
        </w:rPr>
      </w:pPr>
      <w:hyperlink w:anchor="_Toc144303592" w:history="1">
        <w:r w:rsidRPr="0023025B" w:rsidR="00827144">
          <w:rPr>
            <w:rStyle w:val="Hyperlink"/>
          </w:rPr>
          <w:t>CHAPTER 7: Regulatory Alternatives Considered</w:t>
        </w:r>
        <w:r w:rsidR="00827144">
          <w:rPr>
            <w:webHidden/>
          </w:rPr>
          <w:tab/>
        </w:r>
        <w:r w:rsidR="00827144">
          <w:rPr>
            <w:webHidden/>
          </w:rPr>
          <w:fldChar w:fldCharType="begin"/>
        </w:r>
        <w:r w:rsidR="00827144">
          <w:rPr>
            <w:webHidden/>
          </w:rPr>
          <w:instrText xml:space="preserve"> PAGEREF _Toc144303592 \h </w:instrText>
        </w:r>
        <w:r w:rsidR="00827144">
          <w:rPr>
            <w:webHidden/>
          </w:rPr>
          <w:fldChar w:fldCharType="separate"/>
        </w:r>
        <w:r w:rsidR="005F6304">
          <w:rPr>
            <w:webHidden/>
          </w:rPr>
          <w:t>98</w:t>
        </w:r>
        <w:r w:rsidR="00827144">
          <w:rPr>
            <w:webHidden/>
          </w:rPr>
          <w:fldChar w:fldCharType="end"/>
        </w:r>
      </w:hyperlink>
    </w:p>
    <w:p w:rsidR="005B2E2F" w14:paraId="532C7455" w14:textId="140508AA">
      <w:pPr>
        <w:pStyle w:val="TOC2"/>
        <w:rPr>
          <w:rFonts w:asciiTheme="minorHAnsi" w:eastAsiaTheme="minorEastAsia" w:hAnsiTheme="minorHAnsi" w:cstheme="minorBidi"/>
          <w:kern w:val="2"/>
          <w:sz w:val="22"/>
          <w:szCs w:val="22"/>
          <w14:ligatures w14:val="standardContextual"/>
        </w:rPr>
      </w:pPr>
      <w:hyperlink w:anchor="_Toc144303593" w:history="1">
        <w:r w:rsidRPr="0023025B" w:rsidR="00827144">
          <w:rPr>
            <w:rStyle w:val="Hyperlink"/>
          </w:rPr>
          <w:t>7.1 Lower-cost Regulatory Alternative</w:t>
        </w:r>
        <w:r w:rsidR="00827144">
          <w:rPr>
            <w:webHidden/>
          </w:rPr>
          <w:tab/>
        </w:r>
        <w:r w:rsidR="00827144">
          <w:rPr>
            <w:webHidden/>
          </w:rPr>
          <w:fldChar w:fldCharType="begin"/>
        </w:r>
        <w:r w:rsidR="00827144">
          <w:rPr>
            <w:webHidden/>
          </w:rPr>
          <w:instrText xml:space="preserve"> PAGEREF _Toc144303593 \h </w:instrText>
        </w:r>
        <w:r w:rsidR="00827144">
          <w:rPr>
            <w:webHidden/>
          </w:rPr>
          <w:fldChar w:fldCharType="separate"/>
        </w:r>
        <w:r w:rsidR="005F6304">
          <w:rPr>
            <w:webHidden/>
          </w:rPr>
          <w:t>98</w:t>
        </w:r>
        <w:r w:rsidR="00827144">
          <w:rPr>
            <w:webHidden/>
          </w:rPr>
          <w:fldChar w:fldCharType="end"/>
        </w:r>
      </w:hyperlink>
    </w:p>
    <w:p w:rsidR="005B2E2F" w14:paraId="6B77D5C4" w14:textId="79DE22EE">
      <w:pPr>
        <w:pStyle w:val="TOC2"/>
        <w:rPr>
          <w:rFonts w:asciiTheme="minorHAnsi" w:eastAsiaTheme="minorEastAsia" w:hAnsiTheme="minorHAnsi" w:cstheme="minorBidi"/>
          <w:kern w:val="2"/>
          <w:sz w:val="22"/>
          <w:szCs w:val="22"/>
          <w14:ligatures w14:val="standardContextual"/>
        </w:rPr>
      </w:pPr>
      <w:hyperlink w:anchor="_Toc144303598" w:history="1">
        <w:r w:rsidRPr="0023025B" w:rsidR="00827144">
          <w:rPr>
            <w:rStyle w:val="Hyperlink"/>
          </w:rPr>
          <w:t>7.2 Higher Cost Regulatory Alternative</w:t>
        </w:r>
        <w:r w:rsidR="00827144">
          <w:rPr>
            <w:webHidden/>
          </w:rPr>
          <w:tab/>
        </w:r>
        <w:r w:rsidR="00827144">
          <w:rPr>
            <w:webHidden/>
          </w:rPr>
          <w:fldChar w:fldCharType="begin"/>
        </w:r>
        <w:r w:rsidR="00827144">
          <w:rPr>
            <w:webHidden/>
          </w:rPr>
          <w:instrText xml:space="preserve"> PAGEREF _Toc144303598 \h </w:instrText>
        </w:r>
        <w:r w:rsidR="00827144">
          <w:rPr>
            <w:webHidden/>
          </w:rPr>
          <w:fldChar w:fldCharType="separate"/>
        </w:r>
        <w:r w:rsidR="005F6304">
          <w:rPr>
            <w:webHidden/>
          </w:rPr>
          <w:t>101</w:t>
        </w:r>
        <w:r w:rsidR="00827144">
          <w:rPr>
            <w:webHidden/>
          </w:rPr>
          <w:fldChar w:fldCharType="end"/>
        </w:r>
      </w:hyperlink>
    </w:p>
    <w:p w:rsidR="005B2E2F" w14:paraId="6F50A7D4" w14:textId="075C644C">
      <w:pPr>
        <w:pStyle w:val="TOC2"/>
        <w:rPr>
          <w:rFonts w:asciiTheme="minorHAnsi" w:eastAsiaTheme="minorEastAsia" w:hAnsiTheme="minorHAnsi" w:cstheme="minorBidi"/>
          <w:kern w:val="2"/>
          <w:sz w:val="22"/>
          <w:szCs w:val="22"/>
          <w14:ligatures w14:val="standardContextual"/>
        </w:rPr>
      </w:pPr>
      <w:hyperlink w:anchor="_Toc144303599" w:history="1">
        <w:r w:rsidRPr="0023025B" w:rsidR="00827144">
          <w:rPr>
            <w:rStyle w:val="Hyperlink"/>
          </w:rPr>
          <w:t>7.3 Summary of Regulatory Alternatives</w:t>
        </w:r>
        <w:r w:rsidR="00827144">
          <w:rPr>
            <w:webHidden/>
          </w:rPr>
          <w:tab/>
        </w:r>
        <w:r w:rsidR="00827144">
          <w:rPr>
            <w:webHidden/>
          </w:rPr>
          <w:fldChar w:fldCharType="begin"/>
        </w:r>
        <w:r w:rsidR="00827144">
          <w:rPr>
            <w:webHidden/>
          </w:rPr>
          <w:instrText xml:space="preserve"> PAGEREF _Toc144303599 \h </w:instrText>
        </w:r>
        <w:r w:rsidR="00827144">
          <w:rPr>
            <w:webHidden/>
          </w:rPr>
          <w:fldChar w:fldCharType="separate"/>
        </w:r>
        <w:r w:rsidR="005F6304">
          <w:rPr>
            <w:webHidden/>
          </w:rPr>
          <w:t>103</w:t>
        </w:r>
        <w:r w:rsidR="00827144">
          <w:rPr>
            <w:webHidden/>
          </w:rPr>
          <w:fldChar w:fldCharType="end"/>
        </w:r>
      </w:hyperlink>
    </w:p>
    <w:p w:rsidR="005B2E2F" w14:paraId="044351F3" w14:textId="3681469B">
      <w:pPr>
        <w:pStyle w:val="TOC1"/>
        <w:rPr>
          <w:rFonts w:asciiTheme="minorHAnsi" w:eastAsiaTheme="minorEastAsia" w:hAnsiTheme="minorHAnsi" w:cstheme="minorBidi"/>
          <w:b w:val="0"/>
          <w:bCs w:val="0"/>
          <w:caps w:val="0"/>
          <w:kern w:val="2"/>
          <w:sz w:val="22"/>
          <w:szCs w:val="22"/>
          <w14:ligatures w14:val="standardContextual"/>
        </w:rPr>
      </w:pPr>
      <w:hyperlink w:anchor="_Toc144303600" w:history="1">
        <w:r w:rsidRPr="0023025B" w:rsidR="00827144">
          <w:rPr>
            <w:rStyle w:val="Hyperlink"/>
          </w:rPr>
          <w:t>CHAPTER 8: Small Entity Analysis</w:t>
        </w:r>
        <w:r w:rsidR="00827144">
          <w:rPr>
            <w:webHidden/>
          </w:rPr>
          <w:tab/>
        </w:r>
        <w:r w:rsidR="00827144">
          <w:rPr>
            <w:webHidden/>
          </w:rPr>
          <w:fldChar w:fldCharType="begin"/>
        </w:r>
        <w:r w:rsidR="00827144">
          <w:rPr>
            <w:webHidden/>
          </w:rPr>
          <w:instrText xml:space="preserve"> PAGEREF _Toc144303600 \h </w:instrText>
        </w:r>
        <w:r w:rsidR="00827144">
          <w:rPr>
            <w:webHidden/>
          </w:rPr>
          <w:fldChar w:fldCharType="separate"/>
        </w:r>
        <w:r w:rsidR="005F6304">
          <w:rPr>
            <w:webHidden/>
          </w:rPr>
          <w:t>106</w:t>
        </w:r>
        <w:r w:rsidR="00827144">
          <w:rPr>
            <w:webHidden/>
          </w:rPr>
          <w:fldChar w:fldCharType="end"/>
        </w:r>
      </w:hyperlink>
    </w:p>
    <w:p w:rsidR="005B2E2F" w14:paraId="25AB9A57" w14:textId="79884281">
      <w:pPr>
        <w:pStyle w:val="TOC2"/>
        <w:rPr>
          <w:rFonts w:asciiTheme="minorHAnsi" w:eastAsiaTheme="minorEastAsia" w:hAnsiTheme="minorHAnsi" w:cstheme="minorBidi"/>
          <w:kern w:val="2"/>
          <w:sz w:val="22"/>
          <w:szCs w:val="22"/>
          <w14:ligatures w14:val="standardContextual"/>
        </w:rPr>
      </w:pPr>
      <w:hyperlink w:anchor="_Toc144303601" w:history="1">
        <w:r w:rsidRPr="0023025B" w:rsidR="00827144">
          <w:rPr>
            <w:rStyle w:val="Hyperlink"/>
          </w:rPr>
          <w:t>8.1 RMP Affected Sectors</w:t>
        </w:r>
        <w:r w:rsidR="00827144">
          <w:rPr>
            <w:webHidden/>
          </w:rPr>
          <w:tab/>
        </w:r>
        <w:r w:rsidR="00827144">
          <w:rPr>
            <w:webHidden/>
          </w:rPr>
          <w:fldChar w:fldCharType="begin"/>
        </w:r>
        <w:r w:rsidR="00827144">
          <w:rPr>
            <w:webHidden/>
          </w:rPr>
          <w:instrText xml:space="preserve"> PAGEREF _Toc144303601 \h </w:instrText>
        </w:r>
        <w:r w:rsidR="00827144">
          <w:rPr>
            <w:webHidden/>
          </w:rPr>
          <w:fldChar w:fldCharType="separate"/>
        </w:r>
        <w:r w:rsidR="005F6304">
          <w:rPr>
            <w:webHidden/>
          </w:rPr>
          <w:t>106</w:t>
        </w:r>
        <w:r w:rsidR="00827144">
          <w:rPr>
            <w:webHidden/>
          </w:rPr>
          <w:fldChar w:fldCharType="end"/>
        </w:r>
      </w:hyperlink>
    </w:p>
    <w:p w:rsidR="005B2E2F" w14:paraId="434CC4E3" w14:textId="157065AC">
      <w:pPr>
        <w:pStyle w:val="TOC2"/>
        <w:rPr>
          <w:rFonts w:asciiTheme="minorHAnsi" w:eastAsiaTheme="minorEastAsia" w:hAnsiTheme="minorHAnsi" w:cstheme="minorBidi"/>
          <w:kern w:val="2"/>
          <w:sz w:val="22"/>
          <w:szCs w:val="22"/>
          <w14:ligatures w14:val="standardContextual"/>
        </w:rPr>
      </w:pPr>
      <w:hyperlink w:anchor="_Toc144303602" w:history="1">
        <w:r w:rsidRPr="0023025B" w:rsidR="00827144">
          <w:rPr>
            <w:rStyle w:val="Hyperlink"/>
          </w:rPr>
          <w:t>8.2 Estimating the Number of Small Entities</w:t>
        </w:r>
        <w:r w:rsidR="00827144">
          <w:rPr>
            <w:webHidden/>
          </w:rPr>
          <w:tab/>
        </w:r>
        <w:r w:rsidR="00827144">
          <w:rPr>
            <w:webHidden/>
          </w:rPr>
          <w:fldChar w:fldCharType="begin"/>
        </w:r>
        <w:r w:rsidR="00827144">
          <w:rPr>
            <w:webHidden/>
          </w:rPr>
          <w:instrText xml:space="preserve"> PAGEREF _Toc144303602 \h </w:instrText>
        </w:r>
        <w:r w:rsidR="00827144">
          <w:rPr>
            <w:webHidden/>
          </w:rPr>
          <w:fldChar w:fldCharType="separate"/>
        </w:r>
        <w:r w:rsidR="005F6304">
          <w:rPr>
            <w:webHidden/>
          </w:rPr>
          <w:t>107</w:t>
        </w:r>
        <w:r w:rsidR="00827144">
          <w:rPr>
            <w:webHidden/>
          </w:rPr>
          <w:fldChar w:fldCharType="end"/>
        </w:r>
      </w:hyperlink>
    </w:p>
    <w:p w:rsidR="005B2E2F" w14:paraId="732A04AA" w14:textId="2F1F26F1">
      <w:pPr>
        <w:pStyle w:val="TOC2"/>
        <w:rPr>
          <w:rFonts w:asciiTheme="minorHAnsi" w:eastAsiaTheme="minorEastAsia" w:hAnsiTheme="minorHAnsi" w:cstheme="minorBidi"/>
          <w:kern w:val="2"/>
          <w:sz w:val="22"/>
          <w:szCs w:val="22"/>
          <w14:ligatures w14:val="standardContextual"/>
        </w:rPr>
      </w:pPr>
      <w:hyperlink w:anchor="_Toc144303605" w:history="1">
        <w:r w:rsidRPr="0023025B" w:rsidR="00827144">
          <w:rPr>
            <w:rStyle w:val="Hyperlink"/>
          </w:rPr>
          <w:t>8.3 Economic Impact on Small Entities</w:t>
        </w:r>
        <w:r w:rsidR="00827144">
          <w:rPr>
            <w:webHidden/>
          </w:rPr>
          <w:tab/>
        </w:r>
        <w:r w:rsidR="00827144">
          <w:rPr>
            <w:webHidden/>
          </w:rPr>
          <w:fldChar w:fldCharType="begin"/>
        </w:r>
        <w:r w:rsidR="00827144">
          <w:rPr>
            <w:webHidden/>
          </w:rPr>
          <w:instrText xml:space="preserve"> PAGEREF _Toc144303605 \h </w:instrText>
        </w:r>
        <w:r w:rsidR="00827144">
          <w:rPr>
            <w:webHidden/>
          </w:rPr>
          <w:fldChar w:fldCharType="separate"/>
        </w:r>
        <w:r w:rsidR="005F6304">
          <w:rPr>
            <w:webHidden/>
          </w:rPr>
          <w:t>110</w:t>
        </w:r>
        <w:r w:rsidR="00827144">
          <w:rPr>
            <w:webHidden/>
          </w:rPr>
          <w:fldChar w:fldCharType="end"/>
        </w:r>
      </w:hyperlink>
    </w:p>
    <w:p w:rsidR="005B2E2F" w14:paraId="2E01E38C" w14:textId="63ED8E00">
      <w:pPr>
        <w:pStyle w:val="TOC2"/>
        <w:rPr>
          <w:rFonts w:asciiTheme="minorHAnsi" w:eastAsiaTheme="minorEastAsia" w:hAnsiTheme="minorHAnsi" w:cstheme="minorBidi"/>
          <w:kern w:val="2"/>
          <w:sz w:val="22"/>
          <w:szCs w:val="22"/>
          <w14:ligatures w14:val="standardContextual"/>
        </w:rPr>
      </w:pPr>
      <w:hyperlink w:anchor="_Toc144303608" w:history="1">
        <w:r w:rsidRPr="0023025B" w:rsidR="00827144">
          <w:rPr>
            <w:rStyle w:val="Hyperlink"/>
          </w:rPr>
          <w:t>8.4 Conclusion</w:t>
        </w:r>
        <w:r w:rsidR="00827144">
          <w:rPr>
            <w:webHidden/>
          </w:rPr>
          <w:tab/>
        </w:r>
        <w:r w:rsidR="00827144">
          <w:rPr>
            <w:webHidden/>
          </w:rPr>
          <w:fldChar w:fldCharType="begin"/>
        </w:r>
        <w:r w:rsidR="00827144">
          <w:rPr>
            <w:webHidden/>
          </w:rPr>
          <w:instrText xml:space="preserve"> PAGEREF _Toc144303608 \h </w:instrText>
        </w:r>
        <w:r w:rsidR="00827144">
          <w:rPr>
            <w:webHidden/>
          </w:rPr>
          <w:fldChar w:fldCharType="separate"/>
        </w:r>
        <w:r w:rsidR="005F6304">
          <w:rPr>
            <w:webHidden/>
          </w:rPr>
          <w:t>117</w:t>
        </w:r>
        <w:r w:rsidR="00827144">
          <w:rPr>
            <w:webHidden/>
          </w:rPr>
          <w:fldChar w:fldCharType="end"/>
        </w:r>
      </w:hyperlink>
    </w:p>
    <w:p w:rsidR="005B2E2F" w14:paraId="19833A05" w14:textId="63B421FD">
      <w:pPr>
        <w:pStyle w:val="TOC1"/>
        <w:rPr>
          <w:rFonts w:asciiTheme="minorHAnsi" w:eastAsiaTheme="minorEastAsia" w:hAnsiTheme="minorHAnsi" w:cstheme="minorBidi"/>
          <w:b w:val="0"/>
          <w:bCs w:val="0"/>
          <w:caps w:val="0"/>
          <w:kern w:val="2"/>
          <w:sz w:val="22"/>
          <w:szCs w:val="22"/>
          <w14:ligatures w14:val="standardContextual"/>
        </w:rPr>
      </w:pPr>
      <w:hyperlink w:anchor="_Toc144303609" w:history="1">
        <w:r w:rsidRPr="0023025B" w:rsidR="00827144">
          <w:rPr>
            <w:rStyle w:val="Hyperlink"/>
          </w:rPr>
          <w:t>CHAPTER 9: Communities with Environmental Justice Concerns</w:t>
        </w:r>
        <w:r w:rsidR="00827144">
          <w:rPr>
            <w:webHidden/>
          </w:rPr>
          <w:tab/>
        </w:r>
        <w:r w:rsidR="00827144">
          <w:rPr>
            <w:webHidden/>
          </w:rPr>
          <w:fldChar w:fldCharType="begin"/>
        </w:r>
        <w:r w:rsidR="00827144">
          <w:rPr>
            <w:webHidden/>
          </w:rPr>
          <w:instrText xml:space="preserve"> PAGEREF _Toc144303609 \h </w:instrText>
        </w:r>
        <w:r w:rsidR="00827144">
          <w:rPr>
            <w:webHidden/>
          </w:rPr>
          <w:fldChar w:fldCharType="separate"/>
        </w:r>
        <w:r w:rsidR="005F6304">
          <w:rPr>
            <w:webHidden/>
          </w:rPr>
          <w:t>119</w:t>
        </w:r>
        <w:r w:rsidR="00827144">
          <w:rPr>
            <w:webHidden/>
          </w:rPr>
          <w:fldChar w:fldCharType="end"/>
        </w:r>
      </w:hyperlink>
    </w:p>
    <w:p w:rsidR="005B2E2F" w14:paraId="5A558238" w14:textId="5DAEFF59">
      <w:pPr>
        <w:pStyle w:val="TOC2"/>
        <w:rPr>
          <w:rFonts w:asciiTheme="minorHAnsi" w:eastAsiaTheme="minorEastAsia" w:hAnsiTheme="minorHAnsi" w:cstheme="minorBidi"/>
          <w:kern w:val="2"/>
          <w:sz w:val="22"/>
          <w:szCs w:val="22"/>
          <w14:ligatures w14:val="standardContextual"/>
        </w:rPr>
      </w:pPr>
      <w:hyperlink w:anchor="_Toc144303610" w:history="1">
        <w:r w:rsidRPr="0023025B" w:rsidR="00827144">
          <w:rPr>
            <w:rStyle w:val="Hyperlink"/>
          </w:rPr>
          <w:t>9.1 Background</w:t>
        </w:r>
        <w:r w:rsidR="00827144">
          <w:rPr>
            <w:webHidden/>
          </w:rPr>
          <w:tab/>
        </w:r>
        <w:r w:rsidR="00827144">
          <w:rPr>
            <w:webHidden/>
          </w:rPr>
          <w:fldChar w:fldCharType="begin"/>
        </w:r>
        <w:r w:rsidR="00827144">
          <w:rPr>
            <w:webHidden/>
          </w:rPr>
          <w:instrText xml:space="preserve"> PAGEREF _Toc144303610 \h </w:instrText>
        </w:r>
        <w:r w:rsidR="00827144">
          <w:rPr>
            <w:webHidden/>
          </w:rPr>
          <w:fldChar w:fldCharType="separate"/>
        </w:r>
        <w:r w:rsidR="005F6304">
          <w:rPr>
            <w:webHidden/>
          </w:rPr>
          <w:t>119</w:t>
        </w:r>
        <w:r w:rsidR="00827144">
          <w:rPr>
            <w:webHidden/>
          </w:rPr>
          <w:fldChar w:fldCharType="end"/>
        </w:r>
      </w:hyperlink>
    </w:p>
    <w:p w:rsidR="005B2E2F" w14:paraId="1D718539" w14:textId="08A33D29">
      <w:pPr>
        <w:pStyle w:val="TOC2"/>
        <w:rPr>
          <w:rFonts w:asciiTheme="minorHAnsi" w:eastAsiaTheme="minorEastAsia" w:hAnsiTheme="minorHAnsi" w:cstheme="minorBidi"/>
          <w:kern w:val="2"/>
          <w:sz w:val="22"/>
          <w:szCs w:val="22"/>
          <w14:ligatures w14:val="standardContextual"/>
        </w:rPr>
      </w:pPr>
      <w:hyperlink w:anchor="_Toc144303611" w:history="1">
        <w:r w:rsidRPr="0023025B" w:rsidR="00827144">
          <w:rPr>
            <w:rStyle w:val="Hyperlink"/>
          </w:rPr>
          <w:t>9.2 Methods</w:t>
        </w:r>
        <w:r w:rsidR="00827144">
          <w:rPr>
            <w:webHidden/>
          </w:rPr>
          <w:tab/>
        </w:r>
        <w:r w:rsidR="00827144">
          <w:rPr>
            <w:webHidden/>
          </w:rPr>
          <w:fldChar w:fldCharType="begin"/>
        </w:r>
        <w:r w:rsidR="00827144">
          <w:rPr>
            <w:webHidden/>
          </w:rPr>
          <w:instrText xml:space="preserve"> PAGEREF _Toc144303611 \h </w:instrText>
        </w:r>
        <w:r w:rsidR="00827144">
          <w:rPr>
            <w:webHidden/>
          </w:rPr>
          <w:fldChar w:fldCharType="separate"/>
        </w:r>
        <w:r w:rsidR="005F6304">
          <w:rPr>
            <w:webHidden/>
          </w:rPr>
          <w:t>120</w:t>
        </w:r>
        <w:r w:rsidR="00827144">
          <w:rPr>
            <w:webHidden/>
          </w:rPr>
          <w:fldChar w:fldCharType="end"/>
        </w:r>
      </w:hyperlink>
    </w:p>
    <w:p w:rsidR="005B2E2F" w14:paraId="27109E3F" w14:textId="0306AED9">
      <w:pPr>
        <w:pStyle w:val="TOC2"/>
        <w:rPr>
          <w:rFonts w:asciiTheme="minorHAnsi" w:eastAsiaTheme="minorEastAsia" w:hAnsiTheme="minorHAnsi" w:cstheme="minorBidi"/>
          <w:kern w:val="2"/>
          <w:sz w:val="22"/>
          <w:szCs w:val="22"/>
          <w14:ligatures w14:val="standardContextual"/>
        </w:rPr>
      </w:pPr>
      <w:hyperlink w:anchor="_Toc144303612" w:history="1">
        <w:r w:rsidRPr="0023025B" w:rsidR="00827144">
          <w:rPr>
            <w:rStyle w:val="Hyperlink"/>
          </w:rPr>
          <w:t>9.3 Results Characterizing Baseline Conditions</w:t>
        </w:r>
        <w:r w:rsidR="00827144">
          <w:rPr>
            <w:webHidden/>
          </w:rPr>
          <w:tab/>
        </w:r>
        <w:r w:rsidR="00827144">
          <w:rPr>
            <w:webHidden/>
          </w:rPr>
          <w:fldChar w:fldCharType="begin"/>
        </w:r>
        <w:r w:rsidR="00827144">
          <w:rPr>
            <w:webHidden/>
          </w:rPr>
          <w:instrText xml:space="preserve"> PAGEREF _Toc144303612 \h </w:instrText>
        </w:r>
        <w:r w:rsidR="00827144">
          <w:rPr>
            <w:webHidden/>
          </w:rPr>
          <w:fldChar w:fldCharType="separate"/>
        </w:r>
        <w:r w:rsidR="005F6304">
          <w:rPr>
            <w:webHidden/>
          </w:rPr>
          <w:t>123</w:t>
        </w:r>
        <w:r w:rsidR="00827144">
          <w:rPr>
            <w:webHidden/>
          </w:rPr>
          <w:fldChar w:fldCharType="end"/>
        </w:r>
      </w:hyperlink>
    </w:p>
    <w:p w:rsidR="005B2E2F" w14:paraId="439395C0" w14:textId="51B3C59D">
      <w:pPr>
        <w:pStyle w:val="TOC2"/>
        <w:rPr>
          <w:rFonts w:asciiTheme="minorHAnsi" w:eastAsiaTheme="minorEastAsia" w:hAnsiTheme="minorHAnsi" w:cstheme="minorBidi"/>
          <w:kern w:val="2"/>
          <w:sz w:val="22"/>
          <w:szCs w:val="22"/>
          <w14:ligatures w14:val="standardContextual"/>
        </w:rPr>
      </w:pPr>
      <w:hyperlink w:anchor="_Toc144303613" w:history="1">
        <w:r w:rsidRPr="0023025B" w:rsidR="00827144">
          <w:rPr>
            <w:rStyle w:val="Hyperlink"/>
          </w:rPr>
          <w:t>9.4 Conclusions</w:t>
        </w:r>
        <w:r w:rsidR="00827144">
          <w:rPr>
            <w:webHidden/>
          </w:rPr>
          <w:tab/>
        </w:r>
        <w:r w:rsidR="00827144">
          <w:rPr>
            <w:webHidden/>
          </w:rPr>
          <w:fldChar w:fldCharType="begin"/>
        </w:r>
        <w:r w:rsidR="00827144">
          <w:rPr>
            <w:webHidden/>
          </w:rPr>
          <w:instrText xml:space="preserve"> PAGEREF _Toc144303613 \h </w:instrText>
        </w:r>
        <w:r w:rsidR="00827144">
          <w:rPr>
            <w:webHidden/>
          </w:rPr>
          <w:fldChar w:fldCharType="separate"/>
        </w:r>
        <w:r w:rsidR="005F6304">
          <w:rPr>
            <w:webHidden/>
          </w:rPr>
          <w:t>132</w:t>
        </w:r>
        <w:r w:rsidR="00827144">
          <w:rPr>
            <w:webHidden/>
          </w:rPr>
          <w:fldChar w:fldCharType="end"/>
        </w:r>
      </w:hyperlink>
    </w:p>
    <w:p w:rsidR="005B2E2F" w14:paraId="0FE4CFCD" w14:textId="71A17EBE">
      <w:pPr>
        <w:pStyle w:val="TOC2"/>
        <w:rPr>
          <w:rFonts w:asciiTheme="minorHAnsi" w:eastAsiaTheme="minorEastAsia" w:hAnsiTheme="minorHAnsi" w:cstheme="minorBidi"/>
          <w:kern w:val="2"/>
          <w:sz w:val="22"/>
          <w:szCs w:val="22"/>
          <w14:ligatures w14:val="standardContextual"/>
        </w:rPr>
      </w:pPr>
      <w:hyperlink w:anchor="_Toc144303614" w:history="1">
        <w:r w:rsidRPr="0023025B" w:rsidR="00827144">
          <w:rPr>
            <w:rStyle w:val="Hyperlink"/>
          </w:rPr>
          <w:t>9.5 Climate Change Impacts</w:t>
        </w:r>
        <w:r w:rsidR="00827144">
          <w:rPr>
            <w:webHidden/>
          </w:rPr>
          <w:tab/>
        </w:r>
        <w:r w:rsidR="00827144">
          <w:rPr>
            <w:webHidden/>
          </w:rPr>
          <w:fldChar w:fldCharType="begin"/>
        </w:r>
        <w:r w:rsidR="00827144">
          <w:rPr>
            <w:webHidden/>
          </w:rPr>
          <w:instrText xml:space="preserve"> PAGEREF _Toc144303614 \h </w:instrText>
        </w:r>
        <w:r w:rsidR="00827144">
          <w:rPr>
            <w:webHidden/>
          </w:rPr>
          <w:fldChar w:fldCharType="separate"/>
        </w:r>
        <w:r w:rsidR="005F6304">
          <w:rPr>
            <w:webHidden/>
          </w:rPr>
          <w:t>132</w:t>
        </w:r>
        <w:r w:rsidR="00827144">
          <w:rPr>
            <w:webHidden/>
          </w:rPr>
          <w:fldChar w:fldCharType="end"/>
        </w:r>
      </w:hyperlink>
    </w:p>
    <w:p w:rsidR="005B2E2F" w14:paraId="5804B846" w14:textId="7FFBB4D4">
      <w:pPr>
        <w:pStyle w:val="TOC1"/>
        <w:rPr>
          <w:rFonts w:asciiTheme="minorHAnsi" w:eastAsiaTheme="minorEastAsia" w:hAnsiTheme="minorHAnsi" w:cstheme="minorBidi"/>
          <w:b w:val="0"/>
          <w:bCs w:val="0"/>
          <w:caps w:val="0"/>
          <w:kern w:val="2"/>
          <w:sz w:val="22"/>
          <w:szCs w:val="22"/>
          <w14:ligatures w14:val="standardContextual"/>
        </w:rPr>
      </w:pPr>
      <w:hyperlink w:anchor="_Toc144303615" w:history="1">
        <w:r w:rsidRPr="0023025B" w:rsidR="00827144">
          <w:rPr>
            <w:rStyle w:val="Hyperlink"/>
          </w:rPr>
          <w:t>CHAPTER 10: Limitations and Conclusions</w:t>
        </w:r>
        <w:r w:rsidR="00827144">
          <w:rPr>
            <w:webHidden/>
          </w:rPr>
          <w:tab/>
        </w:r>
        <w:r w:rsidR="00827144">
          <w:rPr>
            <w:webHidden/>
          </w:rPr>
          <w:fldChar w:fldCharType="begin"/>
        </w:r>
        <w:r w:rsidR="00827144">
          <w:rPr>
            <w:webHidden/>
          </w:rPr>
          <w:instrText xml:space="preserve"> PAGEREF _Toc144303615 \h </w:instrText>
        </w:r>
        <w:r w:rsidR="00827144">
          <w:rPr>
            <w:webHidden/>
          </w:rPr>
          <w:fldChar w:fldCharType="separate"/>
        </w:r>
        <w:r w:rsidR="005F6304">
          <w:rPr>
            <w:webHidden/>
          </w:rPr>
          <w:t>135</w:t>
        </w:r>
        <w:r w:rsidR="00827144">
          <w:rPr>
            <w:webHidden/>
          </w:rPr>
          <w:fldChar w:fldCharType="end"/>
        </w:r>
      </w:hyperlink>
    </w:p>
    <w:p w:rsidR="005B2E2F" w14:paraId="481E363D" w14:textId="1898B234">
      <w:pPr>
        <w:pStyle w:val="TOC2"/>
        <w:rPr>
          <w:rFonts w:asciiTheme="minorHAnsi" w:eastAsiaTheme="minorEastAsia" w:hAnsiTheme="minorHAnsi" w:cstheme="minorBidi"/>
          <w:kern w:val="2"/>
          <w:sz w:val="22"/>
          <w:szCs w:val="22"/>
          <w14:ligatures w14:val="standardContextual"/>
        </w:rPr>
      </w:pPr>
      <w:hyperlink w:anchor="_Toc144303616" w:history="1">
        <w:r w:rsidRPr="0023025B" w:rsidR="00827144">
          <w:rPr>
            <w:rStyle w:val="Hyperlink"/>
          </w:rPr>
          <w:t>10.1 Limitations and Conclusions</w:t>
        </w:r>
        <w:r w:rsidR="00827144">
          <w:rPr>
            <w:webHidden/>
          </w:rPr>
          <w:tab/>
        </w:r>
        <w:r w:rsidR="00827144">
          <w:rPr>
            <w:webHidden/>
          </w:rPr>
          <w:fldChar w:fldCharType="begin"/>
        </w:r>
        <w:r w:rsidR="00827144">
          <w:rPr>
            <w:webHidden/>
          </w:rPr>
          <w:instrText xml:space="preserve"> PAGEREF _Toc144303616 \h </w:instrText>
        </w:r>
        <w:r w:rsidR="00827144">
          <w:rPr>
            <w:webHidden/>
          </w:rPr>
          <w:fldChar w:fldCharType="separate"/>
        </w:r>
        <w:r w:rsidR="005F6304">
          <w:rPr>
            <w:webHidden/>
          </w:rPr>
          <w:t>135</w:t>
        </w:r>
        <w:r w:rsidR="00827144">
          <w:rPr>
            <w:webHidden/>
          </w:rPr>
          <w:fldChar w:fldCharType="end"/>
        </w:r>
      </w:hyperlink>
    </w:p>
    <w:p w:rsidR="005B2E2F" w14:paraId="4A138FB6" w14:textId="181512AD">
      <w:pPr>
        <w:pStyle w:val="TOC1"/>
        <w:rPr>
          <w:rFonts w:asciiTheme="minorHAnsi" w:eastAsiaTheme="minorEastAsia" w:hAnsiTheme="minorHAnsi" w:cstheme="minorBidi"/>
          <w:b w:val="0"/>
          <w:bCs w:val="0"/>
          <w:caps w:val="0"/>
          <w:kern w:val="2"/>
          <w:sz w:val="22"/>
          <w:szCs w:val="22"/>
          <w14:ligatures w14:val="standardContextual"/>
        </w:rPr>
      </w:pPr>
      <w:hyperlink w:anchor="_Toc144303617" w:history="1">
        <w:r w:rsidRPr="0023025B" w:rsidR="00827144">
          <w:rPr>
            <w:rStyle w:val="Hyperlink"/>
          </w:rPr>
          <w:t>CHAPTER 11: Analyses Required Under Applicable Statutes and Executive Orders</w:t>
        </w:r>
        <w:r w:rsidR="00827144">
          <w:rPr>
            <w:webHidden/>
          </w:rPr>
          <w:tab/>
        </w:r>
        <w:r w:rsidR="00827144">
          <w:rPr>
            <w:webHidden/>
          </w:rPr>
          <w:fldChar w:fldCharType="begin"/>
        </w:r>
        <w:r w:rsidR="00827144">
          <w:rPr>
            <w:webHidden/>
          </w:rPr>
          <w:instrText xml:space="preserve"> PAGEREF _Toc144303617 \h </w:instrText>
        </w:r>
        <w:r w:rsidR="00827144">
          <w:rPr>
            <w:webHidden/>
          </w:rPr>
          <w:fldChar w:fldCharType="separate"/>
        </w:r>
        <w:r w:rsidR="005F6304">
          <w:rPr>
            <w:webHidden/>
          </w:rPr>
          <w:t>138</w:t>
        </w:r>
        <w:r w:rsidR="00827144">
          <w:rPr>
            <w:webHidden/>
          </w:rPr>
          <w:fldChar w:fldCharType="end"/>
        </w:r>
      </w:hyperlink>
    </w:p>
    <w:p w:rsidR="005B2E2F" w14:paraId="6B7D12E1" w14:textId="65F1DE0A">
      <w:pPr>
        <w:pStyle w:val="TOC2"/>
        <w:rPr>
          <w:rFonts w:asciiTheme="minorHAnsi" w:eastAsiaTheme="minorEastAsia" w:hAnsiTheme="minorHAnsi" w:cstheme="minorBidi"/>
          <w:kern w:val="2"/>
          <w:sz w:val="22"/>
          <w:szCs w:val="22"/>
          <w14:ligatures w14:val="standardContextual"/>
        </w:rPr>
      </w:pPr>
      <w:hyperlink w:anchor="_Toc144303618" w:history="1">
        <w:r w:rsidRPr="0023025B" w:rsidR="00827144">
          <w:rPr>
            <w:rStyle w:val="Hyperlink"/>
          </w:rPr>
          <w:t>11.1 Executive Order 12866: Regulatory Planning and Review and Executive Order 14094 Modernizing Regulatory Review</w:t>
        </w:r>
        <w:r w:rsidR="00827144">
          <w:rPr>
            <w:webHidden/>
          </w:rPr>
          <w:tab/>
        </w:r>
        <w:r w:rsidR="00827144">
          <w:rPr>
            <w:webHidden/>
          </w:rPr>
          <w:fldChar w:fldCharType="begin"/>
        </w:r>
        <w:r w:rsidR="00827144">
          <w:rPr>
            <w:webHidden/>
          </w:rPr>
          <w:instrText xml:space="preserve"> PAGEREF _Toc144303618 \h </w:instrText>
        </w:r>
        <w:r w:rsidR="00827144">
          <w:rPr>
            <w:webHidden/>
          </w:rPr>
          <w:fldChar w:fldCharType="separate"/>
        </w:r>
        <w:r w:rsidR="005F6304">
          <w:rPr>
            <w:webHidden/>
          </w:rPr>
          <w:t>138</w:t>
        </w:r>
        <w:r w:rsidR="00827144">
          <w:rPr>
            <w:webHidden/>
          </w:rPr>
          <w:fldChar w:fldCharType="end"/>
        </w:r>
      </w:hyperlink>
    </w:p>
    <w:p w:rsidR="005B2E2F" w14:paraId="384A32CE" w14:textId="4CA01069">
      <w:pPr>
        <w:pStyle w:val="TOC2"/>
        <w:rPr>
          <w:rFonts w:asciiTheme="minorHAnsi" w:eastAsiaTheme="minorEastAsia" w:hAnsiTheme="minorHAnsi" w:cstheme="minorBidi"/>
          <w:kern w:val="2"/>
          <w:sz w:val="22"/>
          <w:szCs w:val="22"/>
          <w14:ligatures w14:val="standardContextual"/>
        </w:rPr>
      </w:pPr>
      <w:hyperlink w:anchor="_Toc144303619" w:history="1">
        <w:r w:rsidRPr="0023025B" w:rsidR="00827144">
          <w:rPr>
            <w:rStyle w:val="Hyperlink"/>
          </w:rPr>
          <w:t>11.2 Unfunded Mandates Reform Act</w:t>
        </w:r>
        <w:r w:rsidR="00827144">
          <w:rPr>
            <w:webHidden/>
          </w:rPr>
          <w:tab/>
        </w:r>
        <w:r w:rsidR="00827144">
          <w:rPr>
            <w:webHidden/>
          </w:rPr>
          <w:fldChar w:fldCharType="begin"/>
        </w:r>
        <w:r w:rsidR="00827144">
          <w:rPr>
            <w:webHidden/>
          </w:rPr>
          <w:instrText xml:space="preserve"> PAGEREF _Toc144303619 \h </w:instrText>
        </w:r>
        <w:r w:rsidR="00827144">
          <w:rPr>
            <w:webHidden/>
          </w:rPr>
          <w:fldChar w:fldCharType="separate"/>
        </w:r>
        <w:r w:rsidR="005F6304">
          <w:rPr>
            <w:webHidden/>
          </w:rPr>
          <w:t>138</w:t>
        </w:r>
        <w:r w:rsidR="00827144">
          <w:rPr>
            <w:webHidden/>
          </w:rPr>
          <w:fldChar w:fldCharType="end"/>
        </w:r>
      </w:hyperlink>
    </w:p>
    <w:p w:rsidR="005B2E2F" w14:paraId="118BE66D" w14:textId="17FA896A">
      <w:pPr>
        <w:pStyle w:val="TOC2"/>
        <w:rPr>
          <w:rFonts w:asciiTheme="minorHAnsi" w:eastAsiaTheme="minorEastAsia" w:hAnsiTheme="minorHAnsi" w:cstheme="minorBidi"/>
          <w:kern w:val="2"/>
          <w:sz w:val="22"/>
          <w:szCs w:val="22"/>
          <w14:ligatures w14:val="standardContextual"/>
        </w:rPr>
      </w:pPr>
      <w:hyperlink w:anchor="_Toc144303620" w:history="1">
        <w:r w:rsidRPr="0023025B" w:rsidR="00827144">
          <w:rPr>
            <w:rStyle w:val="Hyperlink"/>
          </w:rPr>
          <w:t>11.3 Federalism</w:t>
        </w:r>
        <w:r w:rsidR="00827144">
          <w:rPr>
            <w:webHidden/>
          </w:rPr>
          <w:tab/>
        </w:r>
        <w:r w:rsidR="00827144">
          <w:rPr>
            <w:webHidden/>
          </w:rPr>
          <w:fldChar w:fldCharType="begin"/>
        </w:r>
        <w:r w:rsidR="00827144">
          <w:rPr>
            <w:webHidden/>
          </w:rPr>
          <w:instrText xml:space="preserve"> PAGEREF _Toc144303620 \h </w:instrText>
        </w:r>
        <w:r w:rsidR="00827144">
          <w:rPr>
            <w:webHidden/>
          </w:rPr>
          <w:fldChar w:fldCharType="separate"/>
        </w:r>
        <w:r w:rsidR="005F6304">
          <w:rPr>
            <w:webHidden/>
          </w:rPr>
          <w:t>138</w:t>
        </w:r>
        <w:r w:rsidR="00827144">
          <w:rPr>
            <w:webHidden/>
          </w:rPr>
          <w:fldChar w:fldCharType="end"/>
        </w:r>
      </w:hyperlink>
    </w:p>
    <w:p w:rsidR="005B2E2F" w14:paraId="3F13920E" w14:textId="7322E1E9">
      <w:pPr>
        <w:pStyle w:val="TOC2"/>
        <w:rPr>
          <w:rFonts w:asciiTheme="minorHAnsi" w:eastAsiaTheme="minorEastAsia" w:hAnsiTheme="minorHAnsi" w:cstheme="minorBidi"/>
          <w:kern w:val="2"/>
          <w:sz w:val="22"/>
          <w:szCs w:val="22"/>
          <w14:ligatures w14:val="standardContextual"/>
        </w:rPr>
      </w:pPr>
      <w:hyperlink w:anchor="_Toc144303621" w:history="1">
        <w:r w:rsidRPr="0023025B" w:rsidR="00827144">
          <w:rPr>
            <w:rStyle w:val="Hyperlink"/>
          </w:rPr>
          <w:t>11.4 Employment Impacts</w:t>
        </w:r>
        <w:r w:rsidR="00827144">
          <w:rPr>
            <w:webHidden/>
          </w:rPr>
          <w:tab/>
        </w:r>
        <w:r w:rsidR="00827144">
          <w:rPr>
            <w:webHidden/>
          </w:rPr>
          <w:fldChar w:fldCharType="begin"/>
        </w:r>
        <w:r w:rsidR="00827144">
          <w:rPr>
            <w:webHidden/>
          </w:rPr>
          <w:instrText xml:space="preserve"> PAGEREF _Toc144303621 \h </w:instrText>
        </w:r>
        <w:r w:rsidR="00827144">
          <w:rPr>
            <w:webHidden/>
          </w:rPr>
          <w:fldChar w:fldCharType="separate"/>
        </w:r>
        <w:r w:rsidR="005F6304">
          <w:rPr>
            <w:webHidden/>
          </w:rPr>
          <w:t>139</w:t>
        </w:r>
        <w:r w:rsidR="00827144">
          <w:rPr>
            <w:webHidden/>
          </w:rPr>
          <w:fldChar w:fldCharType="end"/>
        </w:r>
      </w:hyperlink>
    </w:p>
    <w:p w:rsidR="005B2E2F" w14:paraId="6CD6EE3D" w14:textId="76A3D2A9">
      <w:pPr>
        <w:pStyle w:val="TOC2"/>
        <w:rPr>
          <w:rFonts w:asciiTheme="minorHAnsi" w:eastAsiaTheme="minorEastAsia" w:hAnsiTheme="minorHAnsi" w:cstheme="minorBidi"/>
          <w:kern w:val="2"/>
          <w:sz w:val="22"/>
          <w:szCs w:val="22"/>
          <w14:ligatures w14:val="standardContextual"/>
        </w:rPr>
      </w:pPr>
      <w:hyperlink w:anchor="_Toc144303622" w:history="1">
        <w:r w:rsidRPr="0023025B" w:rsidR="00827144">
          <w:rPr>
            <w:rStyle w:val="Hyperlink"/>
          </w:rPr>
          <w:t>11.5 Paperwork Reduction Act of 1995</w:t>
        </w:r>
        <w:r w:rsidR="00827144">
          <w:rPr>
            <w:webHidden/>
          </w:rPr>
          <w:tab/>
        </w:r>
        <w:r w:rsidR="00827144">
          <w:rPr>
            <w:webHidden/>
          </w:rPr>
          <w:fldChar w:fldCharType="begin"/>
        </w:r>
        <w:r w:rsidR="00827144">
          <w:rPr>
            <w:webHidden/>
          </w:rPr>
          <w:instrText xml:space="preserve"> PAGEREF _Toc144303622 \h </w:instrText>
        </w:r>
        <w:r w:rsidR="00827144">
          <w:rPr>
            <w:webHidden/>
          </w:rPr>
          <w:fldChar w:fldCharType="separate"/>
        </w:r>
        <w:r w:rsidR="005F6304">
          <w:rPr>
            <w:webHidden/>
          </w:rPr>
          <w:t>142</w:t>
        </w:r>
        <w:r w:rsidR="00827144">
          <w:rPr>
            <w:webHidden/>
          </w:rPr>
          <w:fldChar w:fldCharType="end"/>
        </w:r>
      </w:hyperlink>
    </w:p>
    <w:p w:rsidR="005B2E2F" w14:paraId="0C7E7B1F" w14:textId="546A2E6E">
      <w:pPr>
        <w:pStyle w:val="TOC2"/>
        <w:rPr>
          <w:rFonts w:asciiTheme="minorHAnsi" w:eastAsiaTheme="minorEastAsia" w:hAnsiTheme="minorHAnsi" w:cstheme="minorBidi"/>
          <w:kern w:val="2"/>
          <w:sz w:val="22"/>
          <w:szCs w:val="22"/>
          <w14:ligatures w14:val="standardContextual"/>
        </w:rPr>
      </w:pPr>
      <w:hyperlink w:anchor="_Toc144303623" w:history="1">
        <w:r w:rsidRPr="0023025B" w:rsidR="00827144">
          <w:rPr>
            <w:rStyle w:val="Hyperlink"/>
          </w:rPr>
          <w:t>11.6 National Technology Transfer and Advancement Act</w:t>
        </w:r>
        <w:r w:rsidR="00827144">
          <w:rPr>
            <w:webHidden/>
          </w:rPr>
          <w:tab/>
        </w:r>
        <w:r w:rsidR="00827144">
          <w:rPr>
            <w:webHidden/>
          </w:rPr>
          <w:fldChar w:fldCharType="begin"/>
        </w:r>
        <w:r w:rsidR="00827144">
          <w:rPr>
            <w:webHidden/>
          </w:rPr>
          <w:instrText xml:space="preserve"> PAGEREF _Toc144303623 \h </w:instrText>
        </w:r>
        <w:r w:rsidR="00827144">
          <w:rPr>
            <w:webHidden/>
          </w:rPr>
          <w:fldChar w:fldCharType="separate"/>
        </w:r>
        <w:r w:rsidR="005F6304">
          <w:rPr>
            <w:webHidden/>
          </w:rPr>
          <w:t>143</w:t>
        </w:r>
        <w:r w:rsidR="00827144">
          <w:rPr>
            <w:webHidden/>
          </w:rPr>
          <w:fldChar w:fldCharType="end"/>
        </w:r>
      </w:hyperlink>
    </w:p>
    <w:p w:rsidR="005B2E2F" w14:paraId="6B460989" w14:textId="47DF4B28">
      <w:pPr>
        <w:pStyle w:val="TOC2"/>
        <w:rPr>
          <w:rFonts w:asciiTheme="minorHAnsi" w:eastAsiaTheme="minorEastAsia" w:hAnsiTheme="minorHAnsi" w:cstheme="minorBidi"/>
          <w:kern w:val="2"/>
          <w:sz w:val="22"/>
          <w:szCs w:val="22"/>
          <w14:ligatures w14:val="standardContextual"/>
        </w:rPr>
      </w:pPr>
      <w:hyperlink w:anchor="_Toc144303624" w:history="1">
        <w:r w:rsidRPr="0023025B" w:rsidR="00827144">
          <w:rPr>
            <w:rStyle w:val="Hyperlink"/>
          </w:rPr>
          <w:t>11.7 Consultation and Coordination with Indian Tribal Governments</w:t>
        </w:r>
        <w:r w:rsidR="00827144">
          <w:rPr>
            <w:webHidden/>
          </w:rPr>
          <w:tab/>
        </w:r>
        <w:r w:rsidR="00827144">
          <w:rPr>
            <w:webHidden/>
          </w:rPr>
          <w:fldChar w:fldCharType="begin"/>
        </w:r>
        <w:r w:rsidR="00827144">
          <w:rPr>
            <w:webHidden/>
          </w:rPr>
          <w:instrText xml:space="preserve"> PAGEREF _Toc144303624 \h </w:instrText>
        </w:r>
        <w:r w:rsidR="00827144">
          <w:rPr>
            <w:webHidden/>
          </w:rPr>
          <w:fldChar w:fldCharType="separate"/>
        </w:r>
        <w:r w:rsidR="005F6304">
          <w:rPr>
            <w:webHidden/>
          </w:rPr>
          <w:t>143</w:t>
        </w:r>
        <w:r w:rsidR="00827144">
          <w:rPr>
            <w:webHidden/>
          </w:rPr>
          <w:fldChar w:fldCharType="end"/>
        </w:r>
      </w:hyperlink>
    </w:p>
    <w:p w:rsidR="005B2E2F" w14:paraId="78E8AC3A" w14:textId="0F2B3CCF">
      <w:pPr>
        <w:pStyle w:val="TOC2"/>
        <w:rPr>
          <w:rFonts w:asciiTheme="minorHAnsi" w:eastAsiaTheme="minorEastAsia" w:hAnsiTheme="minorHAnsi" w:cstheme="minorBidi"/>
          <w:kern w:val="2"/>
          <w:sz w:val="22"/>
          <w:szCs w:val="22"/>
          <w14:ligatures w14:val="standardContextual"/>
        </w:rPr>
      </w:pPr>
      <w:hyperlink w:anchor="_Toc144303625" w:history="1">
        <w:r w:rsidRPr="0023025B" w:rsidR="00827144">
          <w:rPr>
            <w:rStyle w:val="Hyperlink"/>
          </w:rPr>
          <w:t>11.8 Executive Order 13045: Protection of Children from Environmental Health Risks and Safety Risks</w:t>
        </w:r>
        <w:r w:rsidR="00827144">
          <w:rPr>
            <w:webHidden/>
          </w:rPr>
          <w:tab/>
        </w:r>
        <w:r w:rsidR="00827144">
          <w:rPr>
            <w:webHidden/>
          </w:rPr>
          <w:fldChar w:fldCharType="begin"/>
        </w:r>
        <w:r w:rsidR="00827144">
          <w:rPr>
            <w:webHidden/>
          </w:rPr>
          <w:instrText xml:space="preserve"> PAGEREF _Toc144303625 \h </w:instrText>
        </w:r>
        <w:r w:rsidR="00827144">
          <w:rPr>
            <w:webHidden/>
          </w:rPr>
          <w:fldChar w:fldCharType="separate"/>
        </w:r>
        <w:r w:rsidR="005F6304">
          <w:rPr>
            <w:webHidden/>
          </w:rPr>
          <w:t>143</w:t>
        </w:r>
        <w:r w:rsidR="00827144">
          <w:rPr>
            <w:webHidden/>
          </w:rPr>
          <w:fldChar w:fldCharType="end"/>
        </w:r>
      </w:hyperlink>
    </w:p>
    <w:p w:rsidR="005B2E2F" w14:paraId="112416CC" w14:textId="5037CCE1">
      <w:pPr>
        <w:pStyle w:val="TOC2"/>
        <w:rPr>
          <w:rFonts w:asciiTheme="minorHAnsi" w:eastAsiaTheme="minorEastAsia" w:hAnsiTheme="minorHAnsi" w:cstheme="minorBidi"/>
          <w:kern w:val="2"/>
          <w:sz w:val="22"/>
          <w:szCs w:val="22"/>
          <w14:ligatures w14:val="standardContextual"/>
        </w:rPr>
      </w:pPr>
      <w:hyperlink w:anchor="_Toc144303626" w:history="1">
        <w:r w:rsidRPr="0023025B" w:rsidR="00827144">
          <w:rPr>
            <w:rStyle w:val="Hyperlink"/>
          </w:rPr>
          <w:t>11.9 Executive Order 13211: Actions Concerning Regulations That Significantly Affect Energy Supply, Distribution, or Use</w:t>
        </w:r>
        <w:r w:rsidR="00827144">
          <w:rPr>
            <w:webHidden/>
          </w:rPr>
          <w:tab/>
        </w:r>
        <w:r w:rsidR="00827144">
          <w:rPr>
            <w:webHidden/>
          </w:rPr>
          <w:fldChar w:fldCharType="begin"/>
        </w:r>
        <w:r w:rsidR="00827144">
          <w:rPr>
            <w:webHidden/>
          </w:rPr>
          <w:instrText xml:space="preserve"> PAGEREF _Toc144303626 \h </w:instrText>
        </w:r>
        <w:r w:rsidR="00827144">
          <w:rPr>
            <w:webHidden/>
          </w:rPr>
          <w:fldChar w:fldCharType="separate"/>
        </w:r>
        <w:r w:rsidR="005F6304">
          <w:rPr>
            <w:webHidden/>
          </w:rPr>
          <w:t>144</w:t>
        </w:r>
        <w:r w:rsidR="00827144">
          <w:rPr>
            <w:webHidden/>
          </w:rPr>
          <w:fldChar w:fldCharType="end"/>
        </w:r>
      </w:hyperlink>
    </w:p>
    <w:p w:rsidR="005B2E2F" w14:paraId="308B4EFA" w14:textId="49BAFA9B">
      <w:pPr>
        <w:pStyle w:val="TOC1"/>
        <w:rPr>
          <w:rFonts w:asciiTheme="minorHAnsi" w:eastAsiaTheme="minorEastAsia" w:hAnsiTheme="minorHAnsi" w:cstheme="minorBidi"/>
          <w:b w:val="0"/>
          <w:bCs w:val="0"/>
          <w:caps w:val="0"/>
          <w:kern w:val="2"/>
          <w:sz w:val="22"/>
          <w:szCs w:val="22"/>
          <w14:ligatures w14:val="standardContextual"/>
        </w:rPr>
      </w:pPr>
      <w:hyperlink w:anchor="_Toc144303627" w:history="1">
        <w:r w:rsidRPr="0023025B" w:rsidR="00827144">
          <w:rPr>
            <w:rStyle w:val="Hyperlink"/>
          </w:rPr>
          <w:t>APPENDIX A: Cost Estimates of HF Alkylation Conversion</w:t>
        </w:r>
        <w:r w:rsidR="00827144">
          <w:rPr>
            <w:webHidden/>
          </w:rPr>
          <w:tab/>
        </w:r>
        <w:r w:rsidR="00827144">
          <w:rPr>
            <w:webHidden/>
          </w:rPr>
          <w:fldChar w:fldCharType="begin"/>
        </w:r>
        <w:r w:rsidR="00827144">
          <w:rPr>
            <w:webHidden/>
          </w:rPr>
          <w:instrText xml:space="preserve"> PAGEREF _Toc144303627 \h </w:instrText>
        </w:r>
        <w:r w:rsidR="00827144">
          <w:rPr>
            <w:webHidden/>
          </w:rPr>
          <w:fldChar w:fldCharType="separate"/>
        </w:r>
        <w:r w:rsidR="005F6304">
          <w:rPr>
            <w:webHidden/>
          </w:rPr>
          <w:t>145</w:t>
        </w:r>
        <w:r w:rsidR="00827144">
          <w:rPr>
            <w:webHidden/>
          </w:rPr>
          <w:fldChar w:fldCharType="end"/>
        </w:r>
      </w:hyperlink>
    </w:p>
    <w:p w:rsidR="005B2E2F" w14:paraId="6B618F81" w14:textId="34E3D3AC">
      <w:pPr>
        <w:pStyle w:val="TOC1"/>
        <w:rPr>
          <w:rFonts w:asciiTheme="minorHAnsi" w:eastAsiaTheme="minorEastAsia" w:hAnsiTheme="minorHAnsi" w:cstheme="minorBidi"/>
          <w:b w:val="0"/>
          <w:bCs w:val="0"/>
          <w:caps w:val="0"/>
          <w:kern w:val="2"/>
          <w:sz w:val="22"/>
          <w:szCs w:val="22"/>
          <w14:ligatures w14:val="standardContextual"/>
        </w:rPr>
      </w:pPr>
      <w:hyperlink w:anchor="_Toc144303628" w:history="1">
        <w:r w:rsidRPr="0023025B" w:rsidR="00827144">
          <w:rPr>
            <w:rStyle w:val="Hyperlink"/>
          </w:rPr>
          <w:t>APPENDIX B: Property and Business Losses in the Petrochemical Sector</w:t>
        </w:r>
        <w:r w:rsidR="00827144">
          <w:rPr>
            <w:webHidden/>
          </w:rPr>
          <w:tab/>
        </w:r>
        <w:r w:rsidR="00827144">
          <w:rPr>
            <w:webHidden/>
          </w:rPr>
          <w:fldChar w:fldCharType="begin"/>
        </w:r>
        <w:r w:rsidR="00827144">
          <w:rPr>
            <w:webHidden/>
          </w:rPr>
          <w:instrText xml:space="preserve"> PAGEREF _Toc144303628 \h </w:instrText>
        </w:r>
        <w:r w:rsidR="00827144">
          <w:rPr>
            <w:webHidden/>
          </w:rPr>
          <w:fldChar w:fldCharType="separate"/>
        </w:r>
        <w:r w:rsidR="005F6304">
          <w:rPr>
            <w:webHidden/>
          </w:rPr>
          <w:t>147</w:t>
        </w:r>
        <w:r w:rsidR="00827144">
          <w:rPr>
            <w:webHidden/>
          </w:rPr>
          <w:fldChar w:fldCharType="end"/>
        </w:r>
      </w:hyperlink>
    </w:p>
    <w:p w:rsidR="005B2E2F" w14:paraId="18CB3B08" w14:textId="6E0E7B64">
      <w:pPr>
        <w:pStyle w:val="TOC1"/>
        <w:rPr>
          <w:rFonts w:asciiTheme="minorHAnsi" w:eastAsiaTheme="minorEastAsia" w:hAnsiTheme="minorHAnsi" w:cstheme="minorBidi"/>
          <w:b w:val="0"/>
          <w:bCs w:val="0"/>
          <w:caps w:val="0"/>
          <w:kern w:val="2"/>
          <w:sz w:val="22"/>
          <w:szCs w:val="22"/>
          <w14:ligatures w14:val="standardContextual"/>
        </w:rPr>
      </w:pPr>
      <w:hyperlink w:anchor="_Toc144303629" w:history="1">
        <w:r w:rsidRPr="0023025B" w:rsidR="00827144">
          <w:rPr>
            <w:rStyle w:val="Hyperlink"/>
          </w:rPr>
          <w:t>APPENDIX C: Small Entity Analysis Data Comparison</w:t>
        </w:r>
        <w:r w:rsidR="00827144">
          <w:rPr>
            <w:webHidden/>
          </w:rPr>
          <w:tab/>
        </w:r>
        <w:r w:rsidR="00827144">
          <w:rPr>
            <w:webHidden/>
          </w:rPr>
          <w:fldChar w:fldCharType="begin"/>
        </w:r>
        <w:r w:rsidR="00827144">
          <w:rPr>
            <w:webHidden/>
          </w:rPr>
          <w:instrText xml:space="preserve"> PAGEREF _Toc144303629 \h </w:instrText>
        </w:r>
        <w:r w:rsidR="00827144">
          <w:rPr>
            <w:webHidden/>
          </w:rPr>
          <w:fldChar w:fldCharType="separate"/>
        </w:r>
        <w:r w:rsidR="005F6304">
          <w:rPr>
            <w:webHidden/>
          </w:rPr>
          <w:t>149</w:t>
        </w:r>
        <w:r w:rsidR="00827144">
          <w:rPr>
            <w:webHidden/>
          </w:rPr>
          <w:fldChar w:fldCharType="end"/>
        </w:r>
      </w:hyperlink>
    </w:p>
    <w:p w:rsidR="005B2E2F" w14:paraId="47A45C6D" w14:textId="444C6953">
      <w:pPr>
        <w:pStyle w:val="TOC2"/>
        <w:rPr>
          <w:rFonts w:asciiTheme="minorHAnsi" w:eastAsiaTheme="minorEastAsia" w:hAnsiTheme="minorHAnsi" w:cstheme="minorBidi"/>
          <w:kern w:val="2"/>
          <w:sz w:val="22"/>
          <w:szCs w:val="22"/>
          <w14:ligatures w14:val="standardContextual"/>
        </w:rPr>
      </w:pPr>
      <w:hyperlink w:anchor="_Toc144303630" w:history="1">
        <w:r w:rsidRPr="0023025B" w:rsidR="00827144">
          <w:rPr>
            <w:rStyle w:val="Hyperlink"/>
          </w:rPr>
          <w:t>C.1 Proposed Rule Data Comparison</w:t>
        </w:r>
        <w:r w:rsidR="00827144">
          <w:rPr>
            <w:webHidden/>
          </w:rPr>
          <w:tab/>
        </w:r>
        <w:r w:rsidR="00827144">
          <w:rPr>
            <w:webHidden/>
          </w:rPr>
          <w:fldChar w:fldCharType="begin"/>
        </w:r>
        <w:r w:rsidR="00827144">
          <w:rPr>
            <w:webHidden/>
          </w:rPr>
          <w:instrText xml:space="preserve"> PAGEREF _Toc144303630 \h </w:instrText>
        </w:r>
        <w:r w:rsidR="00827144">
          <w:rPr>
            <w:webHidden/>
          </w:rPr>
          <w:fldChar w:fldCharType="separate"/>
        </w:r>
        <w:r w:rsidR="005F6304">
          <w:rPr>
            <w:webHidden/>
          </w:rPr>
          <w:t>149</w:t>
        </w:r>
        <w:r w:rsidR="00827144">
          <w:rPr>
            <w:webHidden/>
          </w:rPr>
          <w:fldChar w:fldCharType="end"/>
        </w:r>
      </w:hyperlink>
    </w:p>
    <w:p w:rsidR="005B2E2F" w14:paraId="077A961F" w14:textId="2A6D3F0F">
      <w:pPr>
        <w:pStyle w:val="TOC2"/>
        <w:rPr>
          <w:rFonts w:asciiTheme="minorHAnsi" w:eastAsiaTheme="minorEastAsia" w:hAnsiTheme="minorHAnsi" w:cstheme="minorBidi"/>
          <w:kern w:val="2"/>
          <w:sz w:val="22"/>
          <w:szCs w:val="22"/>
          <w14:ligatures w14:val="standardContextual"/>
        </w:rPr>
      </w:pPr>
      <w:hyperlink w:anchor="_Toc144303631" w:history="1">
        <w:r w:rsidRPr="0023025B" w:rsidR="00827144">
          <w:rPr>
            <w:rStyle w:val="Hyperlink"/>
          </w:rPr>
          <w:t>C.2 Final Rule Data Comparison</w:t>
        </w:r>
        <w:r w:rsidR="00827144">
          <w:rPr>
            <w:webHidden/>
          </w:rPr>
          <w:tab/>
        </w:r>
        <w:r w:rsidR="00827144">
          <w:rPr>
            <w:webHidden/>
          </w:rPr>
          <w:fldChar w:fldCharType="begin"/>
        </w:r>
        <w:r w:rsidR="00827144">
          <w:rPr>
            <w:webHidden/>
          </w:rPr>
          <w:instrText xml:space="preserve"> PAGEREF _Toc144303631 \h </w:instrText>
        </w:r>
        <w:r w:rsidR="00827144">
          <w:rPr>
            <w:webHidden/>
          </w:rPr>
          <w:fldChar w:fldCharType="separate"/>
        </w:r>
        <w:r w:rsidR="005F6304">
          <w:rPr>
            <w:webHidden/>
          </w:rPr>
          <w:t>154</w:t>
        </w:r>
        <w:r w:rsidR="00827144">
          <w:rPr>
            <w:webHidden/>
          </w:rPr>
          <w:fldChar w:fldCharType="end"/>
        </w:r>
      </w:hyperlink>
    </w:p>
    <w:p w:rsidR="005B2E2F" w14:paraId="04DDD28C" w14:textId="223AAC17">
      <w:pPr>
        <w:pStyle w:val="TOC1"/>
        <w:rPr>
          <w:rFonts w:asciiTheme="minorHAnsi" w:eastAsiaTheme="minorEastAsia" w:hAnsiTheme="minorHAnsi" w:cstheme="minorBidi"/>
          <w:b w:val="0"/>
          <w:bCs w:val="0"/>
          <w:caps w:val="0"/>
          <w:kern w:val="2"/>
          <w:sz w:val="22"/>
          <w:szCs w:val="22"/>
          <w14:ligatures w14:val="standardContextual"/>
        </w:rPr>
      </w:pPr>
      <w:hyperlink w:anchor="_Toc144303632" w:history="1">
        <w:r w:rsidRPr="0023025B" w:rsidR="00827144">
          <w:rPr>
            <w:rStyle w:val="Hyperlink"/>
          </w:rPr>
          <w:t>APPENDIX D: STAA Implementation Measure Costs</w:t>
        </w:r>
        <w:r w:rsidR="00827144">
          <w:rPr>
            <w:webHidden/>
          </w:rPr>
          <w:tab/>
        </w:r>
        <w:r w:rsidR="00827144">
          <w:rPr>
            <w:webHidden/>
          </w:rPr>
          <w:fldChar w:fldCharType="begin"/>
        </w:r>
        <w:r w:rsidR="00827144">
          <w:rPr>
            <w:webHidden/>
          </w:rPr>
          <w:instrText xml:space="preserve"> PAGEREF _Toc144303632 \h </w:instrText>
        </w:r>
        <w:r w:rsidR="00827144">
          <w:rPr>
            <w:webHidden/>
          </w:rPr>
          <w:fldChar w:fldCharType="separate"/>
        </w:r>
        <w:r w:rsidR="005F6304">
          <w:rPr>
            <w:webHidden/>
          </w:rPr>
          <w:t>159</w:t>
        </w:r>
        <w:r w:rsidR="00827144">
          <w:rPr>
            <w:webHidden/>
          </w:rPr>
          <w:fldChar w:fldCharType="end"/>
        </w:r>
      </w:hyperlink>
    </w:p>
    <w:p w:rsidR="005B2E2F" w14:paraId="4CE2E993" w14:textId="62C2D752">
      <w:pPr>
        <w:pStyle w:val="TOC1"/>
        <w:rPr>
          <w:rFonts w:asciiTheme="minorHAnsi" w:eastAsiaTheme="minorEastAsia" w:hAnsiTheme="minorHAnsi" w:cstheme="minorBidi"/>
          <w:b w:val="0"/>
          <w:bCs w:val="0"/>
          <w:caps w:val="0"/>
          <w:kern w:val="2"/>
          <w:sz w:val="22"/>
          <w:szCs w:val="22"/>
          <w14:ligatures w14:val="standardContextual"/>
        </w:rPr>
      </w:pPr>
      <w:hyperlink w:anchor="_Toc144303633" w:history="1">
        <w:r w:rsidRPr="0023025B" w:rsidR="00827144">
          <w:rPr>
            <w:rStyle w:val="Hyperlink"/>
          </w:rPr>
          <w:t>APPENDIX E: UMRA Written Statement</w:t>
        </w:r>
        <w:r w:rsidR="00827144">
          <w:rPr>
            <w:webHidden/>
          </w:rPr>
          <w:tab/>
        </w:r>
        <w:r w:rsidR="00827144">
          <w:rPr>
            <w:webHidden/>
          </w:rPr>
          <w:fldChar w:fldCharType="begin"/>
        </w:r>
        <w:r w:rsidR="00827144">
          <w:rPr>
            <w:webHidden/>
          </w:rPr>
          <w:instrText xml:space="preserve"> PAGEREF _Toc144303633 \h </w:instrText>
        </w:r>
        <w:r w:rsidR="00827144">
          <w:rPr>
            <w:webHidden/>
          </w:rPr>
          <w:fldChar w:fldCharType="separate"/>
        </w:r>
        <w:r w:rsidR="005F6304">
          <w:rPr>
            <w:webHidden/>
          </w:rPr>
          <w:t>170</w:t>
        </w:r>
        <w:r w:rsidR="00827144">
          <w:rPr>
            <w:webHidden/>
          </w:rPr>
          <w:fldChar w:fldCharType="end"/>
        </w:r>
      </w:hyperlink>
    </w:p>
    <w:p w:rsidR="00FC2143" w:rsidP="30E8CA22" w14:paraId="38278664" w14:textId="77777777">
      <w:pPr>
        <w:rPr>
          <w:rFonts w:ascii="Times New Roman" w:hAnsi="Times New Roman" w:cs="Times New Roman"/>
          <w:sz w:val="24"/>
          <w:szCs w:val="24"/>
        </w:rPr>
      </w:pPr>
      <w:r w:rsidRPr="30E8CA22">
        <w:rPr>
          <w:rFonts w:ascii="Times New Roman" w:hAnsi="Times New Roman" w:cs="Times New Roman"/>
          <w:b/>
          <w:bCs/>
          <w:caps/>
          <w:sz w:val="24"/>
          <w:szCs w:val="24"/>
        </w:rPr>
        <w:fldChar w:fldCharType="end"/>
      </w:r>
    </w:p>
    <w:p w:rsidR="009B7A0D" w:rsidP="00E80E2C" w14:paraId="5F5B89EF" w14:textId="77777777">
      <w:pPr>
        <w:jc w:val="center"/>
        <w:rPr>
          <w:rFonts w:ascii="Times New Roman" w:hAnsi="Times New Roman" w:cs="Times New Roman"/>
          <w:b/>
          <w:bCs/>
          <w:sz w:val="36"/>
          <w:szCs w:val="36"/>
        </w:rPr>
      </w:pPr>
      <w:r>
        <w:rPr>
          <w:rFonts w:ascii="Times New Roman" w:hAnsi="Times New Roman" w:cs="Times New Roman"/>
          <w:b/>
          <w:bCs/>
          <w:sz w:val="36"/>
          <w:szCs w:val="36"/>
        </w:rPr>
        <w:br w:type="page"/>
      </w:r>
    </w:p>
    <w:p w:rsidR="002A6AEF" w:rsidP="00FA518F" w14:paraId="55C78D55" w14:textId="77777777">
      <w:pPr>
        <w:jc w:val="center"/>
        <w:rPr>
          <w:rFonts w:ascii="Times New Roman" w:hAnsi="Times New Roman" w:cs="Times New Roman"/>
          <w:b/>
          <w:bCs/>
          <w:sz w:val="36"/>
          <w:szCs w:val="36"/>
        </w:rPr>
        <w:sectPr w:rsidSect="005379A2">
          <w:headerReference w:type="even" r:id="rId10"/>
          <w:headerReference w:type="default" r:id="rId11"/>
          <w:footerReference w:type="even" r:id="rId12"/>
          <w:footerReference w:type="default" r:id="rId13"/>
          <w:headerReference w:type="first" r:id="rId14"/>
          <w:footerReference w:type="first" r:id="rId15"/>
          <w:pgSz w:w="12240" w:h="15840"/>
          <w:pgMar w:top="1500" w:right="1100" w:bottom="920" w:left="1160" w:header="0" w:footer="738" w:gutter="0"/>
          <w:cols w:space="720"/>
          <w:docGrid w:linePitch="299"/>
        </w:sectPr>
      </w:pPr>
    </w:p>
    <w:p w:rsidR="00FA518F" w:rsidP="00DE63DF" w14:paraId="6385EB37" w14:textId="77777777">
      <w:pPr>
        <w:jc w:val="center"/>
        <w:rPr>
          <w:b/>
          <w:bCs/>
        </w:rPr>
      </w:pPr>
      <w:r w:rsidRPr="00DE63DF">
        <w:rPr>
          <w:rFonts w:ascii="Times New Roman" w:hAnsi="Times New Roman" w:cs="Times New Roman"/>
          <w:b/>
          <w:sz w:val="36"/>
          <w:szCs w:val="36"/>
        </w:rPr>
        <w:t>Acronyms</w:t>
      </w:r>
    </w:p>
    <w:p w:rsidR="00FA518F" w:rsidRPr="00114504" w:rsidP="00FA518F" w14:paraId="239D880E" w14:textId="77777777">
      <w:pPr>
        <w:rPr>
          <w:rFonts w:ascii="Times New Roman" w:hAnsi="Times New Roman" w:cs="Times New Roman"/>
          <w:b/>
          <w:bCs/>
          <w:sz w:val="24"/>
          <w:szCs w:val="24"/>
        </w:rPr>
      </w:pPr>
      <w:r w:rsidRPr="00114504">
        <w:rPr>
          <w:rFonts w:ascii="Times New Roman" w:hAnsi="Times New Roman" w:cs="Times New Roman"/>
          <w:b/>
          <w:bCs/>
          <w:sz w:val="24"/>
          <w:szCs w:val="24"/>
        </w:rPr>
        <w:t>Acronym</w:t>
      </w:r>
      <w:r w:rsidRPr="00114504">
        <w:rPr>
          <w:rFonts w:ascii="Times New Roman" w:hAnsi="Times New Roman" w:cs="Times New Roman"/>
          <w:b/>
          <w:bCs/>
          <w:sz w:val="24"/>
          <w:szCs w:val="24"/>
        </w:rPr>
        <w:tab/>
      </w:r>
      <w:r w:rsidRPr="00114504">
        <w:rPr>
          <w:rFonts w:ascii="Times New Roman" w:hAnsi="Times New Roman" w:cs="Times New Roman"/>
          <w:b/>
          <w:bCs/>
          <w:sz w:val="24"/>
          <w:szCs w:val="24"/>
        </w:rPr>
        <w:tab/>
        <w:t>Definition</w:t>
      </w:r>
    </w:p>
    <w:p w:rsidR="00FB4CE0" w:rsidP="00FB4CE0" w14:paraId="6D794A37" w14:textId="77777777">
      <w:pPr>
        <w:rPr>
          <w:rFonts w:ascii="Times New Roman" w:hAnsi="Times New Roman" w:cs="Times New Roman"/>
          <w:sz w:val="24"/>
          <w:szCs w:val="24"/>
        </w:rPr>
      </w:pPr>
      <w:r>
        <w:rPr>
          <w:rFonts w:ascii="Times New Roman" w:hAnsi="Times New Roman" w:cs="Times New Roman"/>
          <w:sz w:val="24"/>
          <w:szCs w:val="24"/>
        </w:rPr>
        <w:t>AFPM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American Fuel &amp; Petrochemical Manufacturers </w:t>
      </w:r>
    </w:p>
    <w:p w:rsidR="003648C0" w:rsidP="00FB4CE0" w14:paraId="6121049C" w14:textId="77777777">
      <w:pPr>
        <w:rPr>
          <w:rFonts w:ascii="Times New Roman" w:hAnsi="Times New Roman" w:cs="Times New Roman"/>
          <w:sz w:val="24"/>
          <w:szCs w:val="24"/>
        </w:rPr>
      </w:pPr>
      <w:r>
        <w:rPr>
          <w:rFonts w:ascii="Times New Roman" w:hAnsi="Times New Roman" w:cs="Times New Roman"/>
          <w:sz w:val="24"/>
          <w:szCs w:val="24"/>
        </w:rPr>
        <w:t>API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American Petroleum Institute</w:t>
      </w:r>
    </w:p>
    <w:p w:rsidR="00582B47" w:rsidP="00FB4CE0" w14:paraId="4ABAAC6A" w14:textId="77777777">
      <w:pPr>
        <w:rPr>
          <w:rFonts w:ascii="Times New Roman" w:hAnsi="Times New Roman" w:cs="Times New Roman"/>
          <w:sz w:val="24"/>
          <w:szCs w:val="24"/>
        </w:rPr>
      </w:pPr>
      <w:r>
        <w:rPr>
          <w:rFonts w:ascii="Times New Roman" w:hAnsi="Times New Roman" w:cs="Times New Roman"/>
          <w:sz w:val="24"/>
          <w:szCs w:val="24"/>
        </w:rPr>
        <w:t>ASEC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82B47">
        <w:rPr>
          <w:rFonts w:ascii="Times New Roman" w:hAnsi="Times New Roman" w:cs="Times New Roman"/>
          <w:sz w:val="24"/>
          <w:szCs w:val="24"/>
        </w:rPr>
        <w:t>Annual Social and Economic Supplement</w:t>
      </w:r>
    </w:p>
    <w:p w:rsidR="0050714D" w:rsidP="00FB4CE0" w14:paraId="76752CE1" w14:textId="77777777">
      <w:pPr>
        <w:rPr>
          <w:rFonts w:ascii="Times New Roman" w:hAnsi="Times New Roman" w:cs="Times New Roman"/>
          <w:sz w:val="24"/>
          <w:szCs w:val="24"/>
        </w:rPr>
      </w:pPr>
      <w:r>
        <w:rPr>
          <w:rFonts w:ascii="Times New Roman" w:hAnsi="Times New Roman" w:cs="Times New Roman"/>
          <w:sz w:val="24"/>
          <w:szCs w:val="24"/>
        </w:rPr>
        <w:t>ASM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Annual Survey of Manufacturers</w:t>
      </w:r>
    </w:p>
    <w:p w:rsidR="004F05D5" w:rsidP="00FB4CE0" w14:paraId="0847B3CB" w14:textId="77777777">
      <w:pPr>
        <w:rPr>
          <w:rFonts w:ascii="Times New Roman" w:hAnsi="Times New Roman" w:cs="Times New Roman"/>
          <w:sz w:val="24"/>
          <w:szCs w:val="24"/>
        </w:rPr>
      </w:pPr>
      <w:r>
        <w:rPr>
          <w:rFonts w:ascii="Times New Roman" w:hAnsi="Times New Roman" w:cs="Times New Roman"/>
          <w:sz w:val="24"/>
          <w:szCs w:val="24"/>
        </w:rPr>
        <w:t>AWWA</w:t>
      </w:r>
      <w:r>
        <w:rPr>
          <w:rFonts w:ascii="Times New Roman" w:hAnsi="Times New Roman" w:cs="Times New Roman"/>
          <w:sz w:val="24"/>
          <w:szCs w:val="24"/>
        </w:rPr>
        <w:tab/>
      </w:r>
      <w:r>
        <w:rPr>
          <w:rFonts w:ascii="Times New Roman" w:hAnsi="Times New Roman" w:cs="Times New Roman"/>
          <w:sz w:val="24"/>
          <w:szCs w:val="24"/>
        </w:rPr>
        <w:tab/>
        <w:t>American Water Works Association</w:t>
      </w:r>
    </w:p>
    <w:p w:rsidR="005A552C" w:rsidP="00FB4CE0" w14:paraId="41C9368E" w14:textId="77777777">
      <w:pPr>
        <w:rPr>
          <w:rFonts w:ascii="Times New Roman" w:hAnsi="Times New Roman" w:cs="Times New Roman"/>
          <w:sz w:val="24"/>
          <w:szCs w:val="24"/>
        </w:rPr>
      </w:pPr>
      <w:r>
        <w:rPr>
          <w:rFonts w:ascii="Times New Roman" w:hAnsi="Times New Roman" w:cs="Times New Roman"/>
          <w:sz w:val="24"/>
          <w:szCs w:val="24"/>
        </w:rPr>
        <w:t>BEA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50F54">
        <w:rPr>
          <w:rFonts w:ascii="Times New Roman" w:hAnsi="Times New Roman" w:cs="Times New Roman"/>
          <w:sz w:val="24"/>
          <w:szCs w:val="24"/>
        </w:rPr>
        <w:t>Bureau of Economic Analysis</w:t>
      </w:r>
    </w:p>
    <w:p w:rsidR="006B6F93" w:rsidRPr="00AB4F6A" w:rsidP="00FB4CE0" w14:paraId="5F3ECE2F" w14:textId="77777777">
      <w:pPr>
        <w:rPr>
          <w:rFonts w:ascii="Times New Roman" w:hAnsi="Times New Roman" w:cs="Times New Roman"/>
          <w:sz w:val="24"/>
          <w:szCs w:val="24"/>
        </w:rPr>
      </w:pPr>
      <w:r>
        <w:rPr>
          <w:rFonts w:ascii="Times New Roman" w:hAnsi="Times New Roman" w:cs="Times New Roman"/>
          <w:sz w:val="24"/>
          <w:szCs w:val="24"/>
        </w:rPr>
        <w:t>BLS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Bureau of Labor Statistics</w:t>
      </w:r>
    </w:p>
    <w:p w:rsidR="00FB4CE0" w:rsidP="00FB4CE0" w14:paraId="0778D0CC" w14:textId="77777777">
      <w:pPr>
        <w:rPr>
          <w:rFonts w:ascii="Times New Roman" w:hAnsi="Times New Roman" w:cs="Times New Roman"/>
          <w:sz w:val="24"/>
          <w:szCs w:val="24"/>
        </w:rPr>
      </w:pPr>
      <w:r>
        <w:rPr>
          <w:rFonts w:ascii="Times New Roman" w:hAnsi="Times New Roman" w:cs="Times New Roman"/>
          <w:sz w:val="24"/>
          <w:szCs w:val="24"/>
        </w:rPr>
        <w:t>CAA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Clean Air Act </w:t>
      </w:r>
    </w:p>
    <w:p w:rsidR="00572E57" w:rsidP="00FB4CE0" w14:paraId="40EECEEB" w14:textId="77777777">
      <w:pPr>
        <w:rPr>
          <w:rFonts w:ascii="Times New Roman" w:hAnsi="Times New Roman" w:cs="Times New Roman"/>
          <w:sz w:val="24"/>
          <w:szCs w:val="24"/>
        </w:rPr>
      </w:pPr>
      <w:r>
        <w:rPr>
          <w:rFonts w:ascii="Times New Roman" w:hAnsi="Times New Roman" w:cs="Times New Roman"/>
          <w:sz w:val="24"/>
          <w:szCs w:val="24"/>
        </w:rPr>
        <w:t>CBP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County Business Patterns</w:t>
      </w:r>
    </w:p>
    <w:p w:rsidR="00FB4CE0" w:rsidP="00FB4CE0" w14:paraId="2484D8AD" w14:textId="77777777">
      <w:pPr>
        <w:rPr>
          <w:rFonts w:ascii="Times New Roman" w:hAnsi="Times New Roman" w:cs="Times New Roman"/>
          <w:sz w:val="24"/>
          <w:szCs w:val="24"/>
        </w:rPr>
      </w:pPr>
      <w:r>
        <w:rPr>
          <w:rFonts w:ascii="Times New Roman" w:hAnsi="Times New Roman" w:cs="Times New Roman"/>
          <w:sz w:val="24"/>
          <w:szCs w:val="24"/>
        </w:rPr>
        <w:t>CSAG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Chemical Safety Advocacy Group </w:t>
      </w:r>
    </w:p>
    <w:p w:rsidR="00FA518F" w:rsidRPr="00114504" w:rsidP="00FA518F" w14:paraId="17792D62" w14:textId="77777777">
      <w:pPr>
        <w:rPr>
          <w:rFonts w:ascii="Times New Roman" w:hAnsi="Times New Roman" w:cs="Times New Roman"/>
          <w:sz w:val="24"/>
          <w:szCs w:val="24"/>
        </w:rPr>
      </w:pPr>
      <w:r w:rsidRPr="00114504">
        <w:rPr>
          <w:rFonts w:ascii="Times New Roman" w:hAnsi="Times New Roman" w:cs="Times New Roman"/>
          <w:sz w:val="24"/>
          <w:szCs w:val="24"/>
        </w:rPr>
        <w:t>CSB</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r>
      <w:r w:rsidR="00FB4CE0">
        <w:rPr>
          <w:rFonts w:ascii="Times New Roman" w:hAnsi="Times New Roman" w:cs="Times New Roman"/>
          <w:sz w:val="24"/>
          <w:szCs w:val="24"/>
        </w:rPr>
        <w:t xml:space="preserve">U.S. </w:t>
      </w:r>
      <w:r w:rsidRPr="00114504">
        <w:rPr>
          <w:rFonts w:ascii="Times New Roman" w:hAnsi="Times New Roman" w:cs="Times New Roman"/>
          <w:sz w:val="24"/>
          <w:szCs w:val="24"/>
        </w:rPr>
        <w:t>Chemical Safety Board</w:t>
      </w:r>
    </w:p>
    <w:p w:rsidR="00BE133A" w:rsidP="00FA518F" w14:paraId="1ECEB57C" w14:textId="77777777">
      <w:pPr>
        <w:rPr>
          <w:rFonts w:ascii="Times New Roman" w:hAnsi="Times New Roman" w:cs="Times New Roman"/>
          <w:sz w:val="24"/>
          <w:szCs w:val="24"/>
        </w:rPr>
      </w:pPr>
      <w:r>
        <w:rPr>
          <w:rFonts w:ascii="Times New Roman" w:hAnsi="Times New Roman" w:cs="Times New Roman"/>
          <w:sz w:val="24"/>
          <w:szCs w:val="24"/>
        </w:rPr>
        <w:t xml:space="preserve">DUNS </w:t>
      </w:r>
      <w:r w:rsidR="00E5505B">
        <w:rPr>
          <w:rFonts w:ascii="Times New Roman" w:hAnsi="Times New Roman" w:cs="Times New Roman"/>
          <w:sz w:val="24"/>
          <w:szCs w:val="24"/>
        </w:rPr>
        <w:tab/>
      </w:r>
      <w:r w:rsidR="00E5505B">
        <w:rPr>
          <w:rFonts w:ascii="Times New Roman" w:hAnsi="Times New Roman" w:cs="Times New Roman"/>
          <w:sz w:val="24"/>
          <w:szCs w:val="24"/>
        </w:rPr>
        <w:tab/>
      </w:r>
      <w:r>
        <w:rPr>
          <w:rFonts w:ascii="Times New Roman" w:hAnsi="Times New Roman" w:cs="Times New Roman"/>
          <w:sz w:val="24"/>
          <w:szCs w:val="24"/>
        </w:rPr>
        <w:tab/>
        <w:t xml:space="preserve">Data universal numbering system </w:t>
      </w:r>
    </w:p>
    <w:p w:rsidR="00E85587" w:rsidRPr="00AB4F6A" w:rsidP="00FA518F" w14:paraId="7B152851" w14:textId="77777777">
      <w:pPr>
        <w:rPr>
          <w:rFonts w:ascii="Times New Roman" w:hAnsi="Times New Roman" w:cs="Times New Roman"/>
          <w:sz w:val="24"/>
          <w:szCs w:val="24"/>
        </w:rPr>
      </w:pPr>
      <w:r>
        <w:rPr>
          <w:rFonts w:ascii="Times New Roman" w:hAnsi="Times New Roman" w:cs="Times New Roman"/>
          <w:sz w:val="24"/>
          <w:szCs w:val="24"/>
        </w:rPr>
        <w:t>D</w:t>
      </w:r>
      <w:r w:rsidR="00160ACE">
        <w:rPr>
          <w:rFonts w:ascii="Times New Roman" w:hAnsi="Times New Roman" w:cs="Times New Roman"/>
          <w:sz w:val="24"/>
          <w:szCs w:val="24"/>
        </w:rPr>
        <w:t>.</w:t>
      </w:r>
      <w:r>
        <w:rPr>
          <w:rFonts w:ascii="Times New Roman" w:hAnsi="Times New Roman" w:cs="Times New Roman"/>
          <w:sz w:val="24"/>
          <w:szCs w:val="24"/>
        </w:rPr>
        <w:t>C</w:t>
      </w:r>
      <w:r w:rsidR="00160ACE">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District of Columbia </w:t>
      </w:r>
    </w:p>
    <w:p w:rsidR="00FA518F" w:rsidRPr="00114504" w:rsidP="00FA518F" w14:paraId="75B89632" w14:textId="77777777">
      <w:pPr>
        <w:rPr>
          <w:rFonts w:ascii="Times New Roman" w:hAnsi="Times New Roman" w:cs="Times New Roman"/>
          <w:sz w:val="24"/>
          <w:szCs w:val="24"/>
        </w:rPr>
      </w:pPr>
      <w:r w:rsidRPr="00114504">
        <w:rPr>
          <w:rFonts w:ascii="Times New Roman" w:hAnsi="Times New Roman" w:cs="Times New Roman"/>
          <w:sz w:val="24"/>
          <w:szCs w:val="24"/>
        </w:rPr>
        <w:t>E</w:t>
      </w:r>
      <w:r w:rsidR="00160ACE">
        <w:rPr>
          <w:rFonts w:ascii="Times New Roman" w:hAnsi="Times New Roman" w:cs="Times New Roman"/>
          <w:sz w:val="24"/>
          <w:szCs w:val="24"/>
        </w:rPr>
        <w:t>.</w:t>
      </w:r>
      <w:r w:rsidRPr="00114504">
        <w:rPr>
          <w:rFonts w:ascii="Times New Roman" w:hAnsi="Times New Roman" w:cs="Times New Roman"/>
          <w:sz w:val="24"/>
          <w:szCs w:val="24"/>
        </w:rPr>
        <w:t>O</w:t>
      </w:r>
      <w:r w:rsidR="00160ACE">
        <w:rPr>
          <w:rFonts w:ascii="Times New Roman" w:hAnsi="Times New Roman" w:cs="Times New Roman"/>
          <w:sz w:val="24"/>
          <w:szCs w:val="24"/>
        </w:rPr>
        <w:t>.</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t>Executive Order</w:t>
      </w:r>
    </w:p>
    <w:p w:rsidR="00FA518F" w:rsidRPr="00114504" w:rsidP="00FA518F" w14:paraId="4566F639" w14:textId="77777777">
      <w:pPr>
        <w:rPr>
          <w:rFonts w:ascii="Times New Roman" w:hAnsi="Times New Roman" w:cs="Times New Roman"/>
          <w:sz w:val="24"/>
          <w:szCs w:val="24"/>
        </w:rPr>
      </w:pPr>
      <w:r w:rsidRPr="00114504">
        <w:rPr>
          <w:rFonts w:ascii="Times New Roman" w:hAnsi="Times New Roman" w:cs="Times New Roman"/>
          <w:sz w:val="24"/>
          <w:szCs w:val="24"/>
        </w:rPr>
        <w:t>EPA</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t>U.S. Environmental Protection Agency</w:t>
      </w:r>
    </w:p>
    <w:p w:rsidR="00FA518F" w:rsidRPr="00114504" w:rsidP="00FA518F" w14:paraId="1A00BE81" w14:textId="77777777">
      <w:pPr>
        <w:rPr>
          <w:rFonts w:ascii="Times New Roman" w:hAnsi="Times New Roman" w:cs="Times New Roman"/>
          <w:sz w:val="24"/>
          <w:szCs w:val="24"/>
        </w:rPr>
      </w:pPr>
      <w:r w:rsidRPr="00114504">
        <w:rPr>
          <w:rFonts w:ascii="Times New Roman" w:hAnsi="Times New Roman" w:cs="Times New Roman"/>
          <w:sz w:val="24"/>
          <w:szCs w:val="24"/>
        </w:rPr>
        <w:t>EPCRA</w:t>
      </w:r>
      <w:r w:rsidRPr="00114504">
        <w:rPr>
          <w:rFonts w:ascii="Times New Roman" w:hAnsi="Times New Roman" w:cs="Times New Roman"/>
          <w:sz w:val="24"/>
          <w:szCs w:val="24"/>
        </w:rPr>
        <w:tab/>
      </w:r>
      <w:r w:rsidRPr="00114504">
        <w:rPr>
          <w:rFonts w:ascii="Times New Roman" w:hAnsi="Times New Roman" w:cs="Times New Roman"/>
          <w:sz w:val="24"/>
          <w:szCs w:val="24"/>
        </w:rPr>
        <w:tab/>
        <w:t>Emergency Planning and Community Right to Know Act</w:t>
      </w:r>
    </w:p>
    <w:p w:rsidR="002F631E" w:rsidP="00FB4CE0" w14:paraId="29990D84" w14:textId="77777777">
      <w:pPr>
        <w:rPr>
          <w:rFonts w:ascii="Times New Roman" w:hAnsi="Times New Roman" w:cs="Times New Roman"/>
          <w:sz w:val="24"/>
          <w:szCs w:val="24"/>
        </w:rPr>
      </w:pPr>
      <w:r>
        <w:rPr>
          <w:rFonts w:ascii="Times New Roman" w:hAnsi="Times New Roman" w:cs="Times New Roman"/>
          <w:sz w:val="24"/>
          <w:szCs w:val="24"/>
        </w:rPr>
        <w:t>GDP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Gross Domestic Product</w:t>
      </w:r>
    </w:p>
    <w:p w:rsidR="00FB4CE0" w:rsidP="00FB4CE0" w14:paraId="6FA852B3" w14:textId="77777777">
      <w:pPr>
        <w:rPr>
          <w:rFonts w:ascii="Times New Roman" w:hAnsi="Times New Roman" w:cs="Times New Roman"/>
          <w:sz w:val="24"/>
          <w:szCs w:val="24"/>
        </w:rPr>
      </w:pPr>
      <w:r>
        <w:rPr>
          <w:rFonts w:ascii="Times New Roman" w:hAnsi="Times New Roman" w:cs="Times New Roman"/>
          <w:sz w:val="24"/>
          <w:szCs w:val="24"/>
        </w:rPr>
        <w:t>FTE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506A5">
        <w:rPr>
          <w:rFonts w:ascii="Times New Roman" w:hAnsi="Times New Roman" w:cs="Times New Roman"/>
          <w:sz w:val="24"/>
          <w:szCs w:val="24"/>
        </w:rPr>
        <w:t>F</w:t>
      </w:r>
      <w:r>
        <w:rPr>
          <w:rFonts w:ascii="Times New Roman" w:hAnsi="Times New Roman" w:cs="Times New Roman"/>
          <w:sz w:val="24"/>
          <w:szCs w:val="24"/>
        </w:rPr>
        <w:t>ull-time</w:t>
      </w:r>
      <w:r w:rsidR="00C832BB">
        <w:rPr>
          <w:rFonts w:ascii="Times New Roman" w:hAnsi="Times New Roman" w:cs="Times New Roman"/>
          <w:sz w:val="24"/>
          <w:szCs w:val="24"/>
        </w:rPr>
        <w:t xml:space="preserve"> </w:t>
      </w:r>
      <w:r w:rsidRPr="00AB4F6A" w:rsidR="00C832BB">
        <w:rPr>
          <w:rFonts w:ascii="Times New Roman" w:hAnsi="Times New Roman" w:cs="Times New Roman"/>
          <w:sz w:val="24"/>
          <w:szCs w:val="24"/>
        </w:rPr>
        <w:t>employee</w:t>
      </w:r>
      <w:r w:rsidR="00C832B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B4CE0" w:rsidP="00FB4CE0" w14:paraId="27797D63" w14:textId="77777777">
      <w:pPr>
        <w:rPr>
          <w:rFonts w:ascii="Times New Roman" w:hAnsi="Times New Roman" w:cs="Times New Roman"/>
          <w:sz w:val="24"/>
          <w:szCs w:val="24"/>
        </w:rPr>
      </w:pPr>
      <w:r>
        <w:rPr>
          <w:rFonts w:ascii="Times New Roman" w:hAnsi="Times New Roman" w:cs="Times New Roman"/>
          <w:sz w:val="24"/>
          <w:szCs w:val="24"/>
        </w:rPr>
        <w:t>HF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506A5">
        <w:rPr>
          <w:rFonts w:ascii="Times New Roman" w:hAnsi="Times New Roman" w:cs="Times New Roman"/>
          <w:sz w:val="24"/>
          <w:szCs w:val="24"/>
        </w:rPr>
        <w:t>H</w:t>
      </w:r>
      <w:r>
        <w:rPr>
          <w:rFonts w:ascii="Times New Roman" w:hAnsi="Times New Roman" w:cs="Times New Roman"/>
          <w:sz w:val="24"/>
          <w:szCs w:val="24"/>
        </w:rPr>
        <w:t xml:space="preserve">ydrofluoric acid </w:t>
      </w:r>
    </w:p>
    <w:p w:rsidR="00FB4CE0" w:rsidP="00FB4CE0" w14:paraId="7ACC0937" w14:textId="77777777">
      <w:pPr>
        <w:rPr>
          <w:rFonts w:ascii="Times New Roman" w:hAnsi="Times New Roman" w:cs="Times New Roman"/>
          <w:sz w:val="24"/>
          <w:szCs w:val="24"/>
        </w:rPr>
      </w:pPr>
      <w:r>
        <w:rPr>
          <w:rFonts w:ascii="Times New Roman" w:hAnsi="Times New Roman" w:cs="Times New Roman"/>
          <w:sz w:val="24"/>
          <w:szCs w:val="24"/>
        </w:rPr>
        <w:t>HHS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U.S. Department of Health </w:t>
      </w:r>
      <w:r w:rsidR="00A423D3">
        <w:rPr>
          <w:rFonts w:ascii="Times New Roman" w:hAnsi="Times New Roman" w:cs="Times New Roman"/>
          <w:sz w:val="24"/>
          <w:szCs w:val="24"/>
        </w:rPr>
        <w:t>&amp;</w:t>
      </w:r>
      <w:r>
        <w:rPr>
          <w:rFonts w:ascii="Times New Roman" w:hAnsi="Times New Roman" w:cs="Times New Roman"/>
          <w:sz w:val="24"/>
          <w:szCs w:val="24"/>
        </w:rPr>
        <w:t xml:space="preserve"> Human Services </w:t>
      </w:r>
    </w:p>
    <w:p w:rsidR="008F2620" w:rsidRPr="00AB4F6A" w:rsidP="00FB4CE0" w14:paraId="008A8369" w14:textId="77777777">
      <w:pPr>
        <w:rPr>
          <w:rFonts w:ascii="Times New Roman" w:hAnsi="Times New Roman" w:cs="Times New Roman"/>
          <w:sz w:val="24"/>
          <w:szCs w:val="24"/>
        </w:rPr>
      </w:pPr>
      <w:r>
        <w:rPr>
          <w:rFonts w:ascii="Times New Roman" w:hAnsi="Times New Roman" w:cs="Times New Roman"/>
          <w:sz w:val="24"/>
          <w:szCs w:val="24"/>
        </w:rPr>
        <w:t>ICR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Information Collection Request</w:t>
      </w:r>
    </w:p>
    <w:p w:rsidR="00940645" w:rsidRPr="00AB4F6A" w:rsidP="00FB4CE0" w14:paraId="5CE01382" w14:textId="77777777">
      <w:pPr>
        <w:rPr>
          <w:rFonts w:ascii="Times New Roman" w:hAnsi="Times New Roman" w:cs="Times New Roman"/>
          <w:sz w:val="24"/>
          <w:szCs w:val="24"/>
        </w:rPr>
      </w:pPr>
      <w:r>
        <w:rPr>
          <w:rFonts w:ascii="Times New Roman" w:hAnsi="Times New Roman" w:cs="Times New Roman"/>
          <w:sz w:val="24"/>
          <w:szCs w:val="24"/>
        </w:rPr>
        <w:t>ISD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83167">
        <w:rPr>
          <w:rFonts w:ascii="Times New Roman" w:hAnsi="Times New Roman" w:cs="Times New Roman"/>
          <w:sz w:val="24"/>
          <w:szCs w:val="24"/>
        </w:rPr>
        <w:t>I</w:t>
      </w:r>
      <w:r>
        <w:rPr>
          <w:rFonts w:ascii="Times New Roman" w:hAnsi="Times New Roman" w:cs="Times New Roman"/>
          <w:sz w:val="24"/>
          <w:szCs w:val="24"/>
        </w:rPr>
        <w:t>nherently safer design</w:t>
      </w:r>
    </w:p>
    <w:p w:rsidR="00FB4CE0" w:rsidP="00FB4CE0" w14:paraId="1B593D31" w14:textId="77777777">
      <w:pPr>
        <w:rPr>
          <w:rFonts w:ascii="Times New Roman" w:hAnsi="Times New Roman" w:cs="Times New Roman"/>
          <w:sz w:val="24"/>
          <w:szCs w:val="24"/>
        </w:rPr>
      </w:pPr>
      <w:r>
        <w:rPr>
          <w:rFonts w:ascii="Times New Roman" w:hAnsi="Times New Roman" w:cs="Times New Roman"/>
          <w:sz w:val="24"/>
          <w:szCs w:val="24"/>
        </w:rPr>
        <w:t>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83167">
        <w:rPr>
          <w:rFonts w:ascii="Times New Roman" w:hAnsi="Times New Roman" w:cs="Times New Roman"/>
          <w:sz w:val="24"/>
          <w:szCs w:val="24"/>
        </w:rPr>
        <w:t>I</w:t>
      </w:r>
      <w:r>
        <w:rPr>
          <w:rFonts w:ascii="Times New Roman" w:hAnsi="Times New Roman" w:cs="Times New Roman"/>
          <w:sz w:val="24"/>
          <w:szCs w:val="24"/>
        </w:rPr>
        <w:t>nherently safer technolog</w:t>
      </w:r>
      <w:r w:rsidR="00940645">
        <w:rPr>
          <w:rFonts w:ascii="Times New Roman" w:hAnsi="Times New Roman" w:cs="Times New Roman"/>
          <w:sz w:val="24"/>
          <w:szCs w:val="24"/>
        </w:rPr>
        <w:t>y</w:t>
      </w:r>
      <w:r>
        <w:rPr>
          <w:rFonts w:ascii="Times New Roman" w:hAnsi="Times New Roman" w:cs="Times New Roman"/>
          <w:sz w:val="24"/>
          <w:szCs w:val="24"/>
        </w:rPr>
        <w:t xml:space="preserve"> </w:t>
      </w:r>
    </w:p>
    <w:p w:rsidR="00FB2092" w:rsidP="00FB4CE0" w14:paraId="498D535F" w14:textId="77777777">
      <w:pPr>
        <w:rPr>
          <w:rFonts w:ascii="Times New Roman" w:hAnsi="Times New Roman" w:cs="Times New Roman"/>
          <w:sz w:val="24"/>
          <w:szCs w:val="24"/>
        </w:rPr>
      </w:pPr>
      <w:r>
        <w:rPr>
          <w:rFonts w:ascii="Times New Roman" w:hAnsi="Times New Roman" w:cs="Times New Roman"/>
          <w:sz w:val="24"/>
          <w:szCs w:val="24"/>
        </w:rPr>
        <w:t>IPAWS</w:t>
      </w:r>
      <w:r>
        <w:rPr>
          <w:rFonts w:ascii="Times New Roman" w:hAnsi="Times New Roman" w:cs="Times New Roman"/>
          <w:sz w:val="24"/>
          <w:szCs w:val="24"/>
        </w:rPr>
        <w:tab/>
      </w:r>
      <w:r>
        <w:rPr>
          <w:rFonts w:ascii="Times New Roman" w:hAnsi="Times New Roman" w:cs="Times New Roman"/>
          <w:sz w:val="24"/>
          <w:szCs w:val="24"/>
        </w:rPr>
        <w:tab/>
        <w:t>Integrated Public Alert and Warning System</w:t>
      </w:r>
    </w:p>
    <w:p w:rsidR="00FB4CE0" w:rsidRPr="00114504" w:rsidP="00FB4CE0" w14:paraId="4DC443CB" w14:textId="77777777">
      <w:pPr>
        <w:rPr>
          <w:rFonts w:ascii="Times New Roman" w:hAnsi="Times New Roman" w:cs="Times New Roman"/>
          <w:sz w:val="24"/>
          <w:szCs w:val="24"/>
        </w:rPr>
      </w:pPr>
      <w:r>
        <w:rPr>
          <w:rFonts w:ascii="Times New Roman" w:hAnsi="Times New Roman" w:cs="Times New Roman"/>
          <w:sz w:val="24"/>
          <w:szCs w:val="24"/>
        </w:rPr>
        <w:t>LEPC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50573">
        <w:rPr>
          <w:rFonts w:ascii="Times New Roman" w:hAnsi="Times New Roman" w:cs="Times New Roman"/>
          <w:sz w:val="24"/>
          <w:szCs w:val="24"/>
        </w:rPr>
        <w:t>L</w:t>
      </w:r>
      <w:r>
        <w:rPr>
          <w:rFonts w:ascii="Times New Roman" w:hAnsi="Times New Roman" w:cs="Times New Roman"/>
          <w:sz w:val="24"/>
          <w:szCs w:val="24"/>
        </w:rPr>
        <w:t xml:space="preserve">ocal </w:t>
      </w:r>
      <w:r w:rsidR="00350573">
        <w:rPr>
          <w:rFonts w:ascii="Times New Roman" w:hAnsi="Times New Roman" w:cs="Times New Roman"/>
          <w:sz w:val="24"/>
          <w:szCs w:val="24"/>
        </w:rPr>
        <w:t>E</w:t>
      </w:r>
      <w:r>
        <w:rPr>
          <w:rFonts w:ascii="Times New Roman" w:hAnsi="Times New Roman" w:cs="Times New Roman"/>
          <w:sz w:val="24"/>
          <w:szCs w:val="24"/>
        </w:rPr>
        <w:t xml:space="preserve">mergency </w:t>
      </w:r>
      <w:r w:rsidR="00350573">
        <w:rPr>
          <w:rFonts w:ascii="Times New Roman" w:hAnsi="Times New Roman" w:cs="Times New Roman"/>
          <w:sz w:val="24"/>
          <w:szCs w:val="24"/>
        </w:rPr>
        <w:t>P</w:t>
      </w:r>
      <w:r>
        <w:rPr>
          <w:rFonts w:ascii="Times New Roman" w:hAnsi="Times New Roman" w:cs="Times New Roman"/>
          <w:sz w:val="24"/>
          <w:szCs w:val="24"/>
        </w:rPr>
        <w:t xml:space="preserve">lanning </w:t>
      </w:r>
      <w:r w:rsidR="00350573">
        <w:rPr>
          <w:rFonts w:ascii="Times New Roman" w:hAnsi="Times New Roman" w:cs="Times New Roman"/>
          <w:sz w:val="24"/>
          <w:szCs w:val="24"/>
        </w:rPr>
        <w:t>C</w:t>
      </w:r>
      <w:r>
        <w:rPr>
          <w:rFonts w:ascii="Times New Roman" w:hAnsi="Times New Roman" w:cs="Times New Roman"/>
          <w:sz w:val="24"/>
          <w:szCs w:val="24"/>
        </w:rPr>
        <w:t xml:space="preserve">ommittee </w:t>
      </w:r>
    </w:p>
    <w:p w:rsidR="00FA518F" w:rsidRPr="00114504" w:rsidP="00FA518F" w14:paraId="7D69AC3E" w14:textId="77777777">
      <w:pPr>
        <w:rPr>
          <w:rFonts w:ascii="Times New Roman" w:hAnsi="Times New Roman" w:cs="Times New Roman"/>
          <w:sz w:val="24"/>
          <w:szCs w:val="24"/>
        </w:rPr>
      </w:pPr>
      <w:r w:rsidRPr="00114504">
        <w:rPr>
          <w:rFonts w:ascii="Times New Roman" w:hAnsi="Times New Roman" w:cs="Times New Roman"/>
          <w:sz w:val="24"/>
          <w:szCs w:val="24"/>
        </w:rPr>
        <w:t>NAICS</w:t>
      </w:r>
      <w:r w:rsidRPr="00114504">
        <w:rPr>
          <w:rFonts w:ascii="Times New Roman" w:hAnsi="Times New Roman" w:cs="Times New Roman"/>
          <w:sz w:val="24"/>
          <w:szCs w:val="24"/>
        </w:rPr>
        <w:tab/>
      </w:r>
      <w:r w:rsidRPr="00114504">
        <w:rPr>
          <w:rFonts w:ascii="Times New Roman" w:hAnsi="Times New Roman" w:cs="Times New Roman"/>
          <w:sz w:val="24"/>
          <w:szCs w:val="24"/>
        </w:rPr>
        <w:tab/>
        <w:t>North American Industrial Classification System</w:t>
      </w:r>
    </w:p>
    <w:p w:rsidR="00FB4CE0" w:rsidRPr="00114504" w:rsidP="00FB4CE0" w14:paraId="5A01BD22" w14:textId="77777777">
      <w:pPr>
        <w:rPr>
          <w:rFonts w:ascii="Times New Roman" w:hAnsi="Times New Roman" w:cs="Times New Roman"/>
          <w:sz w:val="24"/>
          <w:szCs w:val="24"/>
        </w:rPr>
      </w:pPr>
      <w:r>
        <w:rPr>
          <w:rFonts w:ascii="Times New Roman" w:hAnsi="Times New Roman" w:cs="Times New Roman"/>
          <w:sz w:val="24"/>
          <w:szCs w:val="24"/>
        </w:rPr>
        <w:t>NIPA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National Income and Product Accounts </w:t>
      </w:r>
    </w:p>
    <w:p w:rsidR="00FA518F" w:rsidRPr="00114504" w:rsidP="00FA518F" w14:paraId="0FC1AFE0" w14:textId="77777777">
      <w:pPr>
        <w:rPr>
          <w:rFonts w:ascii="Times New Roman" w:hAnsi="Times New Roman" w:cs="Times New Roman"/>
          <w:sz w:val="24"/>
          <w:szCs w:val="24"/>
        </w:rPr>
      </w:pPr>
      <w:r w:rsidRPr="00114504">
        <w:rPr>
          <w:rFonts w:ascii="Times New Roman" w:hAnsi="Times New Roman" w:cs="Times New Roman"/>
          <w:sz w:val="24"/>
          <w:szCs w:val="24"/>
        </w:rPr>
        <w:t>NPRM</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t xml:space="preserve">Notice of </w:t>
      </w:r>
      <w:r w:rsidRPr="0018685F" w:rsidR="00D32ADF">
        <w:rPr>
          <w:rFonts w:ascii="Times New Roman" w:hAnsi="Times New Roman" w:cs="Times New Roman"/>
          <w:sz w:val="24"/>
          <w:szCs w:val="24"/>
        </w:rPr>
        <w:t>Propose</w:t>
      </w:r>
      <w:r w:rsidRPr="0018685F">
        <w:rPr>
          <w:rFonts w:ascii="Times New Roman" w:hAnsi="Times New Roman" w:cs="Times New Roman"/>
          <w:sz w:val="24"/>
          <w:szCs w:val="24"/>
        </w:rPr>
        <w:t>d</w:t>
      </w:r>
      <w:r w:rsidRPr="00114504">
        <w:rPr>
          <w:rFonts w:ascii="Times New Roman" w:hAnsi="Times New Roman" w:cs="Times New Roman"/>
          <w:sz w:val="24"/>
          <w:szCs w:val="24"/>
        </w:rPr>
        <w:t xml:space="preserve"> Rulemaking</w:t>
      </w:r>
    </w:p>
    <w:p w:rsidR="00FB4CE0" w:rsidRPr="00114504" w:rsidP="00FB4CE0" w14:paraId="1484D4C8" w14:textId="77777777">
      <w:pPr>
        <w:rPr>
          <w:rFonts w:ascii="Times New Roman" w:hAnsi="Times New Roman" w:cs="Times New Roman"/>
          <w:sz w:val="24"/>
          <w:szCs w:val="24"/>
        </w:rPr>
      </w:pPr>
      <w:r>
        <w:rPr>
          <w:rFonts w:ascii="Times New Roman" w:hAnsi="Times New Roman" w:cs="Times New Roman"/>
          <w:sz w:val="24"/>
          <w:szCs w:val="24"/>
        </w:rPr>
        <w:t>NTTAA</w:t>
      </w:r>
      <w:r>
        <w:rPr>
          <w:rFonts w:ascii="Times New Roman" w:hAnsi="Times New Roman" w:cs="Times New Roman"/>
          <w:sz w:val="24"/>
          <w:szCs w:val="24"/>
        </w:rPr>
        <w:tab/>
      </w:r>
      <w:r>
        <w:rPr>
          <w:rFonts w:ascii="Times New Roman" w:hAnsi="Times New Roman" w:cs="Times New Roman"/>
          <w:sz w:val="24"/>
          <w:szCs w:val="24"/>
        </w:rPr>
        <w:tab/>
        <w:t xml:space="preserve">National Technology Transfer and Advancement Act </w:t>
      </w:r>
    </w:p>
    <w:p w:rsidR="00FA518F" w:rsidRPr="00114504" w:rsidP="00FA518F" w14:paraId="46E3BD2B" w14:textId="77777777">
      <w:pPr>
        <w:rPr>
          <w:rFonts w:ascii="Times New Roman" w:hAnsi="Times New Roman" w:cs="Times New Roman"/>
          <w:sz w:val="24"/>
          <w:szCs w:val="24"/>
        </w:rPr>
      </w:pPr>
      <w:r w:rsidRPr="00114504">
        <w:rPr>
          <w:rFonts w:ascii="Times New Roman" w:hAnsi="Times New Roman" w:cs="Times New Roman"/>
          <w:sz w:val="24"/>
          <w:szCs w:val="24"/>
        </w:rPr>
        <w:t>OCA</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r>
      <w:r w:rsidR="003B5828">
        <w:rPr>
          <w:rFonts w:ascii="Times New Roman" w:hAnsi="Times New Roman" w:cs="Times New Roman"/>
          <w:sz w:val="24"/>
          <w:szCs w:val="24"/>
        </w:rPr>
        <w:t>O</w:t>
      </w:r>
      <w:r w:rsidR="00986800">
        <w:rPr>
          <w:rFonts w:ascii="Times New Roman" w:hAnsi="Times New Roman" w:cs="Times New Roman"/>
          <w:sz w:val="24"/>
          <w:szCs w:val="24"/>
        </w:rPr>
        <w:t>ffsite</w:t>
      </w:r>
      <w:r w:rsidRPr="00114504">
        <w:rPr>
          <w:rFonts w:ascii="Times New Roman" w:hAnsi="Times New Roman" w:cs="Times New Roman"/>
          <w:sz w:val="24"/>
          <w:szCs w:val="24"/>
        </w:rPr>
        <w:t xml:space="preserve"> </w:t>
      </w:r>
      <w:r w:rsidR="003B5828">
        <w:rPr>
          <w:rFonts w:ascii="Times New Roman" w:hAnsi="Times New Roman" w:cs="Times New Roman"/>
          <w:sz w:val="24"/>
          <w:szCs w:val="24"/>
        </w:rPr>
        <w:t>C</w:t>
      </w:r>
      <w:r w:rsidRPr="00114504">
        <w:rPr>
          <w:rFonts w:ascii="Times New Roman" w:hAnsi="Times New Roman" w:cs="Times New Roman"/>
          <w:sz w:val="24"/>
          <w:szCs w:val="24"/>
        </w:rPr>
        <w:t>onsequence</w:t>
      </w:r>
      <w:r w:rsidR="003B5828">
        <w:rPr>
          <w:rFonts w:ascii="Times New Roman" w:hAnsi="Times New Roman" w:cs="Times New Roman"/>
          <w:sz w:val="24"/>
          <w:szCs w:val="24"/>
        </w:rPr>
        <w:t>s</w:t>
      </w:r>
      <w:r w:rsidRPr="00114504">
        <w:rPr>
          <w:rFonts w:ascii="Times New Roman" w:hAnsi="Times New Roman" w:cs="Times New Roman"/>
          <w:sz w:val="24"/>
          <w:szCs w:val="24"/>
        </w:rPr>
        <w:t xml:space="preserve"> </w:t>
      </w:r>
      <w:r w:rsidR="003B5828">
        <w:rPr>
          <w:rFonts w:ascii="Times New Roman" w:hAnsi="Times New Roman" w:cs="Times New Roman"/>
          <w:sz w:val="24"/>
          <w:szCs w:val="24"/>
        </w:rPr>
        <w:t>A</w:t>
      </w:r>
      <w:r w:rsidRPr="00114504">
        <w:rPr>
          <w:rFonts w:ascii="Times New Roman" w:hAnsi="Times New Roman" w:cs="Times New Roman"/>
          <w:sz w:val="24"/>
          <w:szCs w:val="24"/>
        </w:rPr>
        <w:t>nalysis</w:t>
      </w:r>
    </w:p>
    <w:p w:rsidR="00FA518F" w:rsidP="00FA518F" w14:paraId="29DD0386" w14:textId="77777777">
      <w:pPr>
        <w:rPr>
          <w:rFonts w:ascii="Times New Roman" w:hAnsi="Times New Roman" w:cs="Times New Roman"/>
          <w:sz w:val="24"/>
          <w:szCs w:val="24"/>
        </w:rPr>
      </w:pPr>
      <w:r w:rsidRPr="00114504">
        <w:rPr>
          <w:rFonts w:ascii="Times New Roman" w:hAnsi="Times New Roman" w:cs="Times New Roman"/>
          <w:sz w:val="24"/>
          <w:szCs w:val="24"/>
        </w:rPr>
        <w:t>OEM</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t>Office of Emergency Management</w:t>
      </w:r>
    </w:p>
    <w:p w:rsidR="00FF4971" w:rsidRPr="00114504" w:rsidP="00FA518F" w14:paraId="1EDCEA8C" w14:textId="77777777">
      <w:pPr>
        <w:rPr>
          <w:rFonts w:ascii="Times New Roman" w:hAnsi="Times New Roman" w:cs="Times New Roman"/>
          <w:sz w:val="24"/>
          <w:szCs w:val="24"/>
        </w:rPr>
      </w:pPr>
      <w:r>
        <w:rPr>
          <w:rFonts w:ascii="Times New Roman" w:hAnsi="Times New Roman" w:cs="Times New Roman"/>
          <w:sz w:val="24"/>
          <w:szCs w:val="24"/>
        </w:rPr>
        <w:t>OEWS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Occupational Employment and Wage </w:t>
      </w:r>
      <w:r w:rsidR="00FE735F">
        <w:rPr>
          <w:rFonts w:ascii="Times New Roman" w:hAnsi="Times New Roman" w:cs="Times New Roman"/>
          <w:sz w:val="24"/>
          <w:szCs w:val="24"/>
        </w:rPr>
        <w:t>Statistics</w:t>
      </w:r>
    </w:p>
    <w:p w:rsidR="00FB4CE0" w:rsidRPr="00114504" w:rsidP="00FB4CE0" w14:paraId="1C1EBF8C" w14:textId="77777777">
      <w:pPr>
        <w:rPr>
          <w:rFonts w:ascii="Times New Roman" w:hAnsi="Times New Roman" w:cs="Times New Roman"/>
          <w:sz w:val="24"/>
          <w:szCs w:val="24"/>
        </w:rPr>
      </w:pPr>
      <w:r>
        <w:rPr>
          <w:rFonts w:ascii="Times New Roman" w:hAnsi="Times New Roman" w:cs="Times New Roman"/>
          <w:sz w:val="24"/>
          <w:szCs w:val="24"/>
        </w:rPr>
        <w:t>OSWER</w:t>
      </w:r>
      <w:r>
        <w:rPr>
          <w:rFonts w:ascii="Times New Roman" w:hAnsi="Times New Roman" w:cs="Times New Roman"/>
          <w:sz w:val="24"/>
          <w:szCs w:val="24"/>
        </w:rPr>
        <w:tab/>
      </w:r>
      <w:r>
        <w:rPr>
          <w:rFonts w:ascii="Times New Roman" w:hAnsi="Times New Roman" w:cs="Times New Roman"/>
          <w:sz w:val="24"/>
          <w:szCs w:val="24"/>
        </w:rPr>
        <w:tab/>
        <w:t xml:space="preserve">Office of Solid Waste and Emergency Response </w:t>
      </w:r>
    </w:p>
    <w:p w:rsidR="00FA518F" w:rsidRPr="00114504" w:rsidP="00FA518F" w14:paraId="62A72AA9" w14:textId="77777777">
      <w:pPr>
        <w:rPr>
          <w:rFonts w:ascii="Times New Roman" w:hAnsi="Times New Roman" w:cs="Times New Roman"/>
          <w:sz w:val="24"/>
          <w:szCs w:val="24"/>
        </w:rPr>
      </w:pPr>
      <w:r w:rsidRPr="00114504">
        <w:rPr>
          <w:rFonts w:ascii="Times New Roman" w:hAnsi="Times New Roman" w:cs="Times New Roman"/>
          <w:sz w:val="24"/>
          <w:szCs w:val="24"/>
        </w:rPr>
        <w:t>OLEM</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t>Office of Land and Emergency Management</w:t>
      </w:r>
    </w:p>
    <w:p w:rsidR="00FB4CE0" w:rsidP="00FB4CE0" w14:paraId="421C7634" w14:textId="77777777">
      <w:pPr>
        <w:rPr>
          <w:rFonts w:ascii="Times New Roman" w:hAnsi="Times New Roman" w:cs="Times New Roman"/>
          <w:sz w:val="24"/>
          <w:szCs w:val="24"/>
        </w:rPr>
      </w:pPr>
      <w:r>
        <w:rPr>
          <w:rFonts w:ascii="Times New Roman" w:hAnsi="Times New Roman" w:cs="Times New Roman"/>
          <w:sz w:val="24"/>
          <w:szCs w:val="24"/>
        </w:rPr>
        <w:t>OMB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Office of Management and Budget </w:t>
      </w:r>
    </w:p>
    <w:p w:rsidR="00FB4CE0" w:rsidP="00FB4CE0" w14:paraId="58EF7671" w14:textId="77777777">
      <w:pPr>
        <w:rPr>
          <w:rFonts w:ascii="Times New Roman" w:hAnsi="Times New Roman" w:cs="Times New Roman"/>
          <w:sz w:val="24"/>
          <w:szCs w:val="24"/>
        </w:rPr>
      </w:pPr>
      <w:r>
        <w:rPr>
          <w:rFonts w:ascii="Times New Roman" w:hAnsi="Times New Roman" w:cs="Times New Roman"/>
          <w:sz w:val="24"/>
          <w:szCs w:val="24"/>
        </w:rPr>
        <w:t>OSHA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Occupational Safety &amp; Health Administration </w:t>
      </w:r>
    </w:p>
    <w:p w:rsidR="00FB4CE0" w:rsidP="00FB4CE0" w14:paraId="759FA6D0" w14:textId="77777777">
      <w:pPr>
        <w:rPr>
          <w:rFonts w:ascii="Times New Roman" w:hAnsi="Times New Roman" w:cs="Times New Roman"/>
          <w:sz w:val="24"/>
          <w:szCs w:val="24"/>
        </w:rPr>
      </w:pPr>
      <w:r>
        <w:rPr>
          <w:rFonts w:ascii="Times New Roman" w:hAnsi="Times New Roman" w:cs="Times New Roman"/>
          <w:sz w:val="24"/>
          <w:szCs w:val="24"/>
        </w:rPr>
        <w:t>PHA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Process Hazard Analysis </w:t>
      </w:r>
    </w:p>
    <w:p w:rsidR="00FA518F" w:rsidRPr="00114504" w:rsidP="00FA518F" w14:paraId="08CF6AA2" w14:textId="77777777">
      <w:pPr>
        <w:rPr>
          <w:rFonts w:ascii="Times New Roman" w:hAnsi="Times New Roman" w:cs="Times New Roman"/>
          <w:sz w:val="24"/>
          <w:szCs w:val="24"/>
        </w:rPr>
      </w:pPr>
      <w:r w:rsidRPr="00114504">
        <w:rPr>
          <w:rFonts w:ascii="Times New Roman" w:hAnsi="Times New Roman" w:cs="Times New Roman"/>
          <w:sz w:val="24"/>
          <w:szCs w:val="24"/>
        </w:rPr>
        <w:t>PSM</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AB4F6A" w:rsidR="002A7F3D">
        <w:rPr>
          <w:rFonts w:ascii="Times New Roman" w:hAnsi="Times New Roman" w:cs="Times New Roman"/>
          <w:sz w:val="24"/>
          <w:szCs w:val="24"/>
        </w:rPr>
        <w:t>P</w:t>
      </w:r>
      <w:r w:rsidRPr="00AB4F6A">
        <w:rPr>
          <w:rFonts w:ascii="Times New Roman" w:hAnsi="Times New Roman" w:cs="Times New Roman"/>
          <w:sz w:val="24"/>
          <w:szCs w:val="24"/>
        </w:rPr>
        <w:t xml:space="preserve">rocess </w:t>
      </w:r>
      <w:r w:rsidRPr="00AB4F6A" w:rsidR="002A7F3D">
        <w:rPr>
          <w:rFonts w:ascii="Times New Roman" w:hAnsi="Times New Roman" w:cs="Times New Roman"/>
          <w:sz w:val="24"/>
          <w:szCs w:val="24"/>
        </w:rPr>
        <w:t>S</w:t>
      </w:r>
      <w:r w:rsidRPr="00AB4F6A">
        <w:rPr>
          <w:rFonts w:ascii="Times New Roman" w:hAnsi="Times New Roman" w:cs="Times New Roman"/>
          <w:sz w:val="24"/>
          <w:szCs w:val="24"/>
        </w:rPr>
        <w:t xml:space="preserve">afety </w:t>
      </w:r>
      <w:r w:rsidRPr="00AB4F6A" w:rsidR="002A7F3D">
        <w:rPr>
          <w:rFonts w:ascii="Times New Roman" w:hAnsi="Times New Roman" w:cs="Times New Roman"/>
          <w:sz w:val="24"/>
          <w:szCs w:val="24"/>
        </w:rPr>
        <w:t>M</w:t>
      </w:r>
      <w:r w:rsidRPr="00AB4F6A">
        <w:rPr>
          <w:rFonts w:ascii="Times New Roman" w:hAnsi="Times New Roman" w:cs="Times New Roman"/>
          <w:sz w:val="24"/>
          <w:szCs w:val="24"/>
        </w:rPr>
        <w:t>anagement</w:t>
      </w:r>
    </w:p>
    <w:p w:rsidR="003B3DD6" w:rsidRPr="00114504" w:rsidP="00FA518F" w14:paraId="183A8014" w14:textId="77777777">
      <w:pPr>
        <w:rPr>
          <w:rFonts w:ascii="Times New Roman" w:hAnsi="Times New Roman" w:cs="Times New Roman"/>
          <w:sz w:val="24"/>
          <w:szCs w:val="24"/>
        </w:rPr>
      </w:pPr>
      <w:r>
        <w:rPr>
          <w:rFonts w:ascii="Times New Roman" w:hAnsi="Times New Roman" w:cs="Times New Roman"/>
          <w:sz w:val="24"/>
          <w:szCs w:val="24"/>
        </w:rPr>
        <w:t>RAG</w:t>
      </w:r>
      <w:r w:rsidR="00D42DF8">
        <w:rPr>
          <w:rFonts w:ascii="Times New Roman" w:hAnsi="Times New Roman" w:cs="Times New Roman"/>
          <w:sz w:val="24"/>
          <w:szCs w:val="24"/>
        </w:rPr>
        <w:t>AGEP</w:t>
      </w:r>
      <w:r>
        <w:rPr>
          <w:rFonts w:ascii="Times New Roman" w:hAnsi="Times New Roman" w:cs="Times New Roman"/>
          <w:sz w:val="24"/>
          <w:szCs w:val="24"/>
        </w:rPr>
        <w:tab/>
      </w:r>
      <w:r>
        <w:rPr>
          <w:rFonts w:ascii="Times New Roman" w:hAnsi="Times New Roman" w:cs="Times New Roman"/>
          <w:sz w:val="24"/>
          <w:szCs w:val="24"/>
        </w:rPr>
        <w:tab/>
        <w:t>R</w:t>
      </w:r>
      <w:r w:rsidRPr="003B3DD6">
        <w:rPr>
          <w:rFonts w:ascii="Times New Roman" w:hAnsi="Times New Roman" w:cs="Times New Roman"/>
          <w:sz w:val="24"/>
          <w:szCs w:val="24"/>
        </w:rPr>
        <w:t xml:space="preserve">ecognized </w:t>
      </w:r>
      <w:r w:rsidR="00D42DF8">
        <w:rPr>
          <w:rFonts w:ascii="Times New Roman" w:hAnsi="Times New Roman" w:cs="Times New Roman"/>
          <w:sz w:val="24"/>
          <w:szCs w:val="24"/>
        </w:rPr>
        <w:t>a</w:t>
      </w:r>
      <w:r w:rsidRPr="003B3DD6">
        <w:rPr>
          <w:rFonts w:ascii="Times New Roman" w:hAnsi="Times New Roman" w:cs="Times New Roman"/>
          <w:sz w:val="24"/>
          <w:szCs w:val="24"/>
        </w:rPr>
        <w:t>nd Generally Accepted Good Engineering Practices</w:t>
      </w:r>
    </w:p>
    <w:p w:rsidR="00FB4CE0" w:rsidRPr="00114504" w:rsidP="00FB4CE0" w14:paraId="17502DB9" w14:textId="77777777">
      <w:pPr>
        <w:rPr>
          <w:rFonts w:ascii="Times New Roman" w:hAnsi="Times New Roman" w:cs="Times New Roman"/>
          <w:sz w:val="24"/>
          <w:szCs w:val="24"/>
        </w:rPr>
      </w:pPr>
      <w:r>
        <w:rPr>
          <w:rFonts w:ascii="Times New Roman" w:hAnsi="Times New Roman" w:cs="Times New Roman"/>
          <w:sz w:val="24"/>
          <w:szCs w:val="24"/>
        </w:rPr>
        <w:t>RFA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Regulatory Flexibility Act </w:t>
      </w:r>
    </w:p>
    <w:p w:rsidR="00FA518F" w:rsidRPr="00114504" w:rsidP="00FA518F" w14:paraId="79F6DD5B" w14:textId="77777777">
      <w:pPr>
        <w:rPr>
          <w:rFonts w:ascii="Times New Roman" w:hAnsi="Times New Roman" w:cs="Times New Roman"/>
          <w:sz w:val="24"/>
          <w:szCs w:val="24"/>
        </w:rPr>
      </w:pPr>
      <w:r w:rsidRPr="00114504">
        <w:rPr>
          <w:rFonts w:ascii="Times New Roman" w:hAnsi="Times New Roman" w:cs="Times New Roman"/>
          <w:sz w:val="24"/>
          <w:szCs w:val="24"/>
        </w:rPr>
        <w:t>RFI</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r>
      <w:r w:rsidR="009506A5">
        <w:rPr>
          <w:rFonts w:ascii="Times New Roman" w:hAnsi="Times New Roman" w:cs="Times New Roman"/>
          <w:sz w:val="24"/>
          <w:szCs w:val="24"/>
        </w:rPr>
        <w:t>R</w:t>
      </w:r>
      <w:r w:rsidRPr="00114504">
        <w:rPr>
          <w:rFonts w:ascii="Times New Roman" w:hAnsi="Times New Roman" w:cs="Times New Roman"/>
          <w:sz w:val="24"/>
          <w:szCs w:val="24"/>
        </w:rPr>
        <w:t xml:space="preserve">equest for </w:t>
      </w:r>
      <w:r w:rsidR="009506A5">
        <w:rPr>
          <w:rFonts w:ascii="Times New Roman" w:hAnsi="Times New Roman" w:cs="Times New Roman"/>
          <w:sz w:val="24"/>
          <w:szCs w:val="24"/>
        </w:rPr>
        <w:t>I</w:t>
      </w:r>
      <w:r w:rsidRPr="00114504">
        <w:rPr>
          <w:rFonts w:ascii="Times New Roman" w:hAnsi="Times New Roman" w:cs="Times New Roman"/>
          <w:sz w:val="24"/>
          <w:szCs w:val="24"/>
        </w:rPr>
        <w:t>nformation</w:t>
      </w:r>
    </w:p>
    <w:p w:rsidR="00FA518F" w:rsidRPr="00114504" w:rsidP="00FA518F" w14:paraId="0E96F362" w14:textId="77777777">
      <w:pPr>
        <w:rPr>
          <w:rFonts w:ascii="Times New Roman" w:hAnsi="Times New Roman" w:cs="Times New Roman"/>
          <w:sz w:val="24"/>
          <w:szCs w:val="24"/>
        </w:rPr>
      </w:pPr>
      <w:r w:rsidRPr="00114504">
        <w:rPr>
          <w:rFonts w:ascii="Times New Roman" w:hAnsi="Times New Roman" w:cs="Times New Roman"/>
          <w:sz w:val="24"/>
          <w:szCs w:val="24"/>
        </w:rPr>
        <w:t>RIA</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t>Regulatory Impact Analysis</w:t>
      </w:r>
    </w:p>
    <w:p w:rsidR="00FA518F" w:rsidRPr="00114504" w:rsidP="00FA518F" w14:paraId="5003ABE0" w14:textId="77777777">
      <w:pPr>
        <w:rPr>
          <w:rFonts w:ascii="Times New Roman" w:hAnsi="Times New Roman" w:cs="Times New Roman"/>
          <w:sz w:val="24"/>
          <w:szCs w:val="24"/>
        </w:rPr>
      </w:pPr>
      <w:r w:rsidRPr="00114504">
        <w:rPr>
          <w:rFonts w:ascii="Times New Roman" w:hAnsi="Times New Roman" w:cs="Times New Roman"/>
          <w:sz w:val="24"/>
          <w:szCs w:val="24"/>
        </w:rPr>
        <w:t>RMP</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r>
      <w:r w:rsidR="008B2F3B">
        <w:rPr>
          <w:rFonts w:ascii="Times New Roman" w:hAnsi="Times New Roman" w:cs="Times New Roman"/>
          <w:sz w:val="24"/>
          <w:szCs w:val="24"/>
        </w:rPr>
        <w:t>R</w:t>
      </w:r>
      <w:r w:rsidRPr="00114504">
        <w:rPr>
          <w:rFonts w:ascii="Times New Roman" w:hAnsi="Times New Roman" w:cs="Times New Roman"/>
          <w:sz w:val="24"/>
          <w:szCs w:val="24"/>
        </w:rPr>
        <w:t xml:space="preserve">isk </w:t>
      </w:r>
      <w:r w:rsidR="008B2F3B">
        <w:rPr>
          <w:rFonts w:ascii="Times New Roman" w:hAnsi="Times New Roman" w:cs="Times New Roman"/>
          <w:sz w:val="24"/>
          <w:szCs w:val="24"/>
        </w:rPr>
        <w:t>M</w:t>
      </w:r>
      <w:r w:rsidRPr="00114504">
        <w:rPr>
          <w:rFonts w:ascii="Times New Roman" w:hAnsi="Times New Roman" w:cs="Times New Roman"/>
          <w:sz w:val="24"/>
          <w:szCs w:val="24"/>
        </w:rPr>
        <w:t xml:space="preserve">anagement </w:t>
      </w:r>
      <w:r w:rsidR="008B2F3B">
        <w:rPr>
          <w:rFonts w:ascii="Times New Roman" w:hAnsi="Times New Roman" w:cs="Times New Roman"/>
          <w:sz w:val="24"/>
          <w:szCs w:val="24"/>
        </w:rPr>
        <w:t>P</w:t>
      </w:r>
      <w:r w:rsidR="009139F8">
        <w:rPr>
          <w:rFonts w:ascii="Times New Roman" w:hAnsi="Times New Roman" w:cs="Times New Roman"/>
          <w:sz w:val="24"/>
          <w:szCs w:val="24"/>
        </w:rPr>
        <w:t xml:space="preserve">rogram </w:t>
      </w:r>
    </w:p>
    <w:p w:rsidR="00FB4CE0" w:rsidP="00FB4CE0" w14:paraId="37E58FD6" w14:textId="77777777">
      <w:pPr>
        <w:rPr>
          <w:rFonts w:ascii="Times New Roman" w:hAnsi="Times New Roman" w:cs="Times New Roman"/>
          <w:sz w:val="24"/>
          <w:szCs w:val="24"/>
        </w:rPr>
      </w:pPr>
      <w:r>
        <w:rPr>
          <w:rFonts w:ascii="Times New Roman" w:hAnsi="Times New Roman" w:cs="Times New Roman"/>
          <w:sz w:val="24"/>
          <w:szCs w:val="24"/>
        </w:rPr>
        <w:t>SBA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Small Business Administration </w:t>
      </w:r>
    </w:p>
    <w:p w:rsidR="007A70F4" w:rsidP="00FB4CE0" w14:paraId="7CCBC7F3" w14:textId="77777777">
      <w:pPr>
        <w:rPr>
          <w:rFonts w:ascii="Times New Roman" w:hAnsi="Times New Roman" w:cs="Times New Roman"/>
          <w:sz w:val="24"/>
          <w:szCs w:val="24"/>
        </w:rPr>
      </w:pPr>
      <w:r>
        <w:rPr>
          <w:rFonts w:ascii="Times New Roman" w:hAnsi="Times New Roman" w:cs="Times New Roman"/>
          <w:sz w:val="24"/>
          <w:szCs w:val="24"/>
        </w:rPr>
        <w:t>SDS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4208D">
        <w:rPr>
          <w:rFonts w:ascii="Times New Roman" w:hAnsi="Times New Roman" w:cs="Times New Roman"/>
          <w:sz w:val="24"/>
          <w:szCs w:val="24"/>
        </w:rPr>
        <w:t>S</w:t>
      </w:r>
      <w:r>
        <w:rPr>
          <w:rFonts w:ascii="Times New Roman" w:hAnsi="Times New Roman" w:cs="Times New Roman"/>
          <w:sz w:val="24"/>
          <w:szCs w:val="24"/>
        </w:rPr>
        <w:t xml:space="preserve">afety </w:t>
      </w:r>
      <w:r w:rsidR="00A4208D">
        <w:rPr>
          <w:rFonts w:ascii="Times New Roman" w:hAnsi="Times New Roman" w:cs="Times New Roman"/>
          <w:sz w:val="24"/>
          <w:szCs w:val="24"/>
        </w:rPr>
        <w:t>D</w:t>
      </w:r>
      <w:r>
        <w:rPr>
          <w:rFonts w:ascii="Times New Roman" w:hAnsi="Times New Roman" w:cs="Times New Roman"/>
          <w:sz w:val="24"/>
          <w:szCs w:val="24"/>
        </w:rPr>
        <w:t xml:space="preserve">ata </w:t>
      </w:r>
      <w:r w:rsidR="00A4208D">
        <w:rPr>
          <w:rFonts w:ascii="Times New Roman" w:hAnsi="Times New Roman" w:cs="Times New Roman"/>
          <w:sz w:val="24"/>
          <w:szCs w:val="24"/>
        </w:rPr>
        <w:t>S</w:t>
      </w:r>
      <w:r>
        <w:rPr>
          <w:rFonts w:ascii="Times New Roman" w:hAnsi="Times New Roman" w:cs="Times New Roman"/>
          <w:sz w:val="24"/>
          <w:szCs w:val="24"/>
        </w:rPr>
        <w:t xml:space="preserve">heet </w:t>
      </w:r>
    </w:p>
    <w:p w:rsidR="00FB4CE0" w:rsidP="00FB4CE0" w14:paraId="30C2B2DC" w14:textId="77777777">
      <w:pPr>
        <w:rPr>
          <w:rFonts w:ascii="Times New Roman" w:hAnsi="Times New Roman" w:cs="Times New Roman"/>
          <w:sz w:val="24"/>
          <w:szCs w:val="24"/>
        </w:rPr>
      </w:pPr>
      <w:r>
        <w:rPr>
          <w:rFonts w:ascii="Times New Roman" w:hAnsi="Times New Roman" w:cs="Times New Roman"/>
          <w:sz w:val="24"/>
          <w:szCs w:val="24"/>
        </w:rPr>
        <w:t>STAA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60ACE">
        <w:rPr>
          <w:rFonts w:ascii="Times New Roman" w:hAnsi="Times New Roman" w:cs="Times New Roman"/>
          <w:sz w:val="24"/>
          <w:szCs w:val="24"/>
        </w:rPr>
        <w:t>S</w:t>
      </w:r>
      <w:r>
        <w:rPr>
          <w:rFonts w:ascii="Times New Roman" w:hAnsi="Times New Roman" w:cs="Times New Roman"/>
          <w:sz w:val="24"/>
          <w:szCs w:val="24"/>
        </w:rPr>
        <w:t xml:space="preserve">afer </w:t>
      </w:r>
      <w:r w:rsidR="00160ACE">
        <w:rPr>
          <w:rFonts w:ascii="Times New Roman" w:hAnsi="Times New Roman" w:cs="Times New Roman"/>
          <w:sz w:val="24"/>
          <w:szCs w:val="24"/>
        </w:rPr>
        <w:t>T</w:t>
      </w:r>
      <w:r>
        <w:rPr>
          <w:rFonts w:ascii="Times New Roman" w:hAnsi="Times New Roman" w:cs="Times New Roman"/>
          <w:sz w:val="24"/>
          <w:szCs w:val="24"/>
        </w:rPr>
        <w:t xml:space="preserve">echnology and </w:t>
      </w:r>
      <w:r w:rsidR="00077CB7">
        <w:rPr>
          <w:rFonts w:ascii="Times New Roman" w:hAnsi="Times New Roman" w:cs="Times New Roman"/>
          <w:sz w:val="24"/>
          <w:szCs w:val="24"/>
        </w:rPr>
        <w:t>A</w:t>
      </w:r>
      <w:r>
        <w:rPr>
          <w:rFonts w:ascii="Times New Roman" w:hAnsi="Times New Roman" w:cs="Times New Roman"/>
          <w:sz w:val="24"/>
          <w:szCs w:val="24"/>
        </w:rPr>
        <w:t xml:space="preserve">lternatives </w:t>
      </w:r>
      <w:r w:rsidR="00160ACE">
        <w:rPr>
          <w:rFonts w:ascii="Times New Roman" w:hAnsi="Times New Roman" w:cs="Times New Roman"/>
          <w:sz w:val="24"/>
          <w:szCs w:val="24"/>
        </w:rPr>
        <w:t>An</w:t>
      </w:r>
      <w:r>
        <w:rPr>
          <w:rFonts w:ascii="Times New Roman" w:hAnsi="Times New Roman" w:cs="Times New Roman"/>
          <w:sz w:val="24"/>
          <w:szCs w:val="24"/>
        </w:rPr>
        <w:t xml:space="preserve">alysis </w:t>
      </w:r>
    </w:p>
    <w:p w:rsidR="00FB4CE0" w:rsidRPr="00114504" w:rsidP="00FB4CE0" w14:paraId="385465E2" w14:textId="77777777">
      <w:pPr>
        <w:rPr>
          <w:rFonts w:ascii="Times New Roman" w:hAnsi="Times New Roman" w:cs="Times New Roman"/>
          <w:sz w:val="24"/>
          <w:szCs w:val="24"/>
        </w:rPr>
      </w:pPr>
      <w:r>
        <w:rPr>
          <w:rFonts w:ascii="Times New Roman" w:hAnsi="Times New Roman" w:cs="Times New Roman"/>
          <w:sz w:val="24"/>
          <w:szCs w:val="24"/>
        </w:rPr>
        <w:t>TRI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Toxic Release Inventory </w:t>
      </w:r>
    </w:p>
    <w:p w:rsidR="00FA518F" w:rsidRPr="00114504" w:rsidP="00FA518F" w14:paraId="18D55F47" w14:textId="77777777">
      <w:pPr>
        <w:rPr>
          <w:rFonts w:ascii="Times New Roman" w:hAnsi="Times New Roman" w:cs="Times New Roman"/>
          <w:sz w:val="24"/>
          <w:szCs w:val="24"/>
        </w:rPr>
      </w:pPr>
      <w:r w:rsidRPr="00114504">
        <w:rPr>
          <w:rFonts w:ascii="Times New Roman" w:hAnsi="Times New Roman" w:cs="Times New Roman"/>
          <w:sz w:val="24"/>
          <w:szCs w:val="24"/>
        </w:rPr>
        <w:t>TQ</w:t>
      </w:r>
      <w:r w:rsidRPr="00114504">
        <w:rPr>
          <w:rFonts w:ascii="Times New Roman" w:hAnsi="Times New Roman" w:cs="Times New Roman"/>
          <w:sz w:val="24"/>
          <w:szCs w:val="24"/>
        </w:rPr>
        <w:tab/>
      </w:r>
      <w:r w:rsidRPr="00114504">
        <w:rPr>
          <w:rFonts w:ascii="Times New Roman" w:hAnsi="Times New Roman" w:cs="Times New Roman"/>
          <w:sz w:val="24"/>
          <w:szCs w:val="24"/>
        </w:rPr>
        <w:tab/>
      </w:r>
      <w:r w:rsidRPr="00114504">
        <w:rPr>
          <w:rFonts w:ascii="Times New Roman" w:hAnsi="Times New Roman" w:cs="Times New Roman"/>
          <w:sz w:val="24"/>
          <w:szCs w:val="24"/>
        </w:rPr>
        <w:tab/>
      </w:r>
      <w:r w:rsidR="00422579">
        <w:rPr>
          <w:rFonts w:ascii="Times New Roman" w:hAnsi="Times New Roman" w:cs="Times New Roman"/>
          <w:sz w:val="24"/>
          <w:szCs w:val="24"/>
        </w:rPr>
        <w:t>T</w:t>
      </w:r>
      <w:r w:rsidRPr="00114504">
        <w:rPr>
          <w:rFonts w:ascii="Times New Roman" w:hAnsi="Times New Roman" w:cs="Times New Roman"/>
          <w:sz w:val="24"/>
          <w:szCs w:val="24"/>
        </w:rPr>
        <w:t>hreshold quantity</w:t>
      </w:r>
    </w:p>
    <w:p w:rsidR="00E85587" w:rsidRPr="00AB4F6A" w:rsidP="00FA518F" w14:paraId="4CB4E7E8" w14:textId="77777777">
      <w:pPr>
        <w:rPr>
          <w:rFonts w:ascii="Times New Roman" w:hAnsi="Times New Roman" w:cs="Times New Roman"/>
          <w:sz w:val="24"/>
          <w:szCs w:val="24"/>
        </w:rPr>
      </w:pPr>
      <w:r>
        <w:rPr>
          <w:rFonts w:ascii="Times New Roman" w:hAnsi="Times New Roman" w:cs="Times New Roman"/>
          <w:sz w:val="24"/>
          <w:szCs w:val="24"/>
        </w:rPr>
        <w:t>U</w:t>
      </w:r>
      <w:r w:rsidR="003715E2">
        <w:rPr>
          <w:rFonts w:ascii="Times New Roman" w:hAnsi="Times New Roman" w:cs="Times New Roman"/>
          <w:sz w:val="24"/>
          <w:szCs w:val="24"/>
        </w:rPr>
        <w:t>.</w:t>
      </w:r>
      <w:r>
        <w:rPr>
          <w:rFonts w:ascii="Times New Roman" w:hAnsi="Times New Roman" w:cs="Times New Roman"/>
          <w:sz w:val="24"/>
          <w:szCs w:val="24"/>
        </w:rPr>
        <w:t>S</w:t>
      </w:r>
      <w:r w:rsidR="003715E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United States </w:t>
      </w:r>
    </w:p>
    <w:p w:rsidR="00FB4CE0" w:rsidP="00FB4CE0" w14:paraId="53318333" w14:textId="77777777">
      <w:pPr>
        <w:rPr>
          <w:rFonts w:ascii="Times New Roman" w:hAnsi="Times New Roman" w:cs="Times New Roman"/>
          <w:sz w:val="24"/>
          <w:szCs w:val="24"/>
        </w:rPr>
      </w:pPr>
      <w:r>
        <w:rPr>
          <w:rFonts w:ascii="Times New Roman" w:hAnsi="Times New Roman" w:cs="Times New Roman"/>
          <w:sz w:val="24"/>
          <w:szCs w:val="24"/>
        </w:rPr>
        <w:t>VSL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506A5">
        <w:rPr>
          <w:rFonts w:ascii="Times New Roman" w:hAnsi="Times New Roman" w:cs="Times New Roman"/>
          <w:sz w:val="24"/>
          <w:szCs w:val="24"/>
        </w:rPr>
        <w:t>V</w:t>
      </w:r>
      <w:r>
        <w:rPr>
          <w:rFonts w:ascii="Times New Roman" w:hAnsi="Times New Roman" w:cs="Times New Roman"/>
          <w:sz w:val="24"/>
          <w:szCs w:val="24"/>
        </w:rPr>
        <w:t>alue of</w:t>
      </w:r>
      <w:r w:rsidR="00716B60">
        <w:rPr>
          <w:rFonts w:ascii="Times New Roman" w:hAnsi="Times New Roman" w:cs="Times New Roman"/>
          <w:sz w:val="24"/>
          <w:szCs w:val="24"/>
        </w:rPr>
        <w:t xml:space="preserve"> a</w:t>
      </w:r>
      <w:r>
        <w:rPr>
          <w:rFonts w:ascii="Times New Roman" w:hAnsi="Times New Roman" w:cs="Times New Roman"/>
          <w:sz w:val="24"/>
          <w:szCs w:val="24"/>
        </w:rPr>
        <w:t xml:space="preserve"> statistical life </w:t>
      </w:r>
    </w:p>
    <w:p w:rsidR="00975E60" w:rsidP="00FB4CE0" w14:paraId="2D832627" w14:textId="77777777">
      <w:pPr>
        <w:rPr>
          <w:rFonts w:ascii="Times New Roman" w:hAnsi="Times New Roman" w:cs="Times New Roman"/>
          <w:sz w:val="24"/>
          <w:szCs w:val="24"/>
        </w:rPr>
        <w:sectPr w:rsidSect="005379A2">
          <w:footerReference w:type="default" r:id="rId16"/>
          <w:pgSz w:w="12240" w:h="15840"/>
          <w:pgMar w:top="1500" w:right="1100" w:bottom="920" w:left="1160" w:header="0" w:footer="738" w:gutter="0"/>
          <w:pgNumType w:start="1"/>
          <w:cols w:space="720"/>
        </w:sectPr>
      </w:pPr>
      <w:r>
        <w:rPr>
          <w:rFonts w:ascii="Times New Roman" w:hAnsi="Times New Roman" w:cs="Times New Roman"/>
          <w:sz w:val="24"/>
          <w:szCs w:val="24"/>
        </w:rPr>
        <w:t>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506A5">
        <w:rPr>
          <w:rFonts w:ascii="Times New Roman" w:hAnsi="Times New Roman" w:cs="Times New Roman"/>
          <w:sz w:val="24"/>
          <w:szCs w:val="24"/>
        </w:rPr>
        <w:t>W</w:t>
      </w:r>
      <w:r>
        <w:rPr>
          <w:rFonts w:ascii="Times New Roman" w:hAnsi="Times New Roman" w:cs="Times New Roman"/>
          <w:sz w:val="24"/>
          <w:szCs w:val="24"/>
        </w:rPr>
        <w:t xml:space="preserve">illingness to pay </w:t>
      </w:r>
    </w:p>
    <w:p w:rsidR="009B7A0D" w:rsidRPr="00DA70D2" w:rsidP="009B7A0D" w14:paraId="1B5B6BDB" w14:textId="77777777">
      <w:pPr>
        <w:pStyle w:val="Heading1"/>
      </w:pPr>
      <w:bookmarkStart w:id="0" w:name="_Toc98856200"/>
      <w:bookmarkStart w:id="1" w:name="_Toc144303503"/>
      <w:r w:rsidRPr="00DA70D2">
        <w:t>Executive Summary</w:t>
      </w:r>
      <w:bookmarkEnd w:id="0"/>
      <w:bookmarkEnd w:id="1"/>
    </w:p>
    <w:p w:rsidR="009B7A0D" w:rsidRPr="00C2595C" w:rsidP="00C2595C" w14:paraId="1D456131" w14:textId="77777777">
      <w:pPr>
        <w:spacing w:after="0" w:line="240" w:lineRule="auto"/>
        <w:rPr>
          <w:rFonts w:ascii="Times New Roman" w:hAnsi="Times New Roman" w:cs="Times New Roman"/>
          <w:b/>
        </w:rPr>
      </w:pPr>
      <w:r w:rsidRPr="00C2595C">
        <w:rPr>
          <w:rFonts w:ascii="Times New Roman" w:hAnsi="Times New Roman" w:cs="Times New Roman"/>
          <w:b/>
        </w:rPr>
        <w:t>Introduction</w:t>
      </w:r>
    </w:p>
    <w:p w:rsidR="00E80E2C" w:rsidP="00E80E2C" w14:paraId="09AE43DC" w14:textId="77777777">
      <w:pPr>
        <w:spacing w:after="0" w:line="240" w:lineRule="auto"/>
        <w:ind w:firstLine="360"/>
        <w:rPr>
          <w:rFonts w:ascii="Times New Roman" w:hAnsi="Times New Roman" w:cs="Times New Roman"/>
        </w:rPr>
      </w:pPr>
      <w:r>
        <w:rPr>
          <w:rFonts w:ascii="Times New Roman" w:hAnsi="Times New Roman" w:cs="Times New Roman"/>
        </w:rPr>
        <w:tab/>
      </w:r>
      <w:r w:rsidRPr="00C2595C" w:rsidR="005B38E8">
        <w:rPr>
          <w:rFonts w:ascii="Times New Roman" w:hAnsi="Times New Roman" w:cs="Times New Roman"/>
        </w:rPr>
        <w:t xml:space="preserve">To bolster resilience to the impacts of climate change and prioritize environmental justice </w:t>
      </w:r>
      <w:r w:rsidRPr="00C2595C" w:rsidR="00CA5ED5">
        <w:rPr>
          <w:rFonts w:ascii="Times New Roman" w:hAnsi="Times New Roman" w:cs="Times New Roman"/>
        </w:rPr>
        <w:t xml:space="preserve">through environmental policy and regulation </w:t>
      </w:r>
      <w:r w:rsidRPr="00C2595C" w:rsidR="005B38E8">
        <w:rPr>
          <w:rFonts w:ascii="Times New Roman" w:hAnsi="Times New Roman" w:cs="Times New Roman"/>
        </w:rPr>
        <w:t xml:space="preserve">in the United States, President Biden issued Executive Order </w:t>
      </w:r>
      <w:r w:rsidRPr="00C2595C" w:rsidR="004A6E56">
        <w:rPr>
          <w:rFonts w:ascii="Times New Roman" w:hAnsi="Times New Roman" w:cs="Times New Roman"/>
        </w:rPr>
        <w:t>(</w:t>
      </w:r>
      <w:r w:rsidR="00843659">
        <w:rPr>
          <w:rFonts w:ascii="Times New Roman" w:hAnsi="Times New Roman" w:cs="Times New Roman"/>
        </w:rPr>
        <w:t>E.O.</w:t>
      </w:r>
      <w:r w:rsidRPr="00C2595C" w:rsidR="004A6E56">
        <w:rPr>
          <w:rFonts w:ascii="Times New Roman" w:hAnsi="Times New Roman" w:cs="Times New Roman"/>
        </w:rPr>
        <w:t xml:space="preserve">) </w:t>
      </w:r>
      <w:r w:rsidRPr="00C2595C" w:rsidR="005B38E8">
        <w:rPr>
          <w:rFonts w:ascii="Times New Roman" w:hAnsi="Times New Roman" w:cs="Times New Roman"/>
        </w:rPr>
        <w:t xml:space="preserve">13990, Protecting Public Health and the Environment and Restoring Science to Tackle the Climate Crisis. The </w:t>
      </w:r>
      <w:r w:rsidR="00843659">
        <w:rPr>
          <w:rFonts w:ascii="Times New Roman" w:hAnsi="Times New Roman" w:cs="Times New Roman"/>
        </w:rPr>
        <w:t>E.O.</w:t>
      </w:r>
      <w:r w:rsidRPr="00C2595C" w:rsidR="005B38E8">
        <w:rPr>
          <w:rFonts w:ascii="Times New Roman" w:hAnsi="Times New Roman" w:cs="Times New Roman"/>
        </w:rPr>
        <w:t xml:space="preserve"> directs </w:t>
      </w:r>
      <w:r w:rsidRPr="00C2595C" w:rsidR="001039CB">
        <w:rPr>
          <w:rFonts w:ascii="Times New Roman" w:hAnsi="Times New Roman" w:cs="Times New Roman"/>
        </w:rPr>
        <w:t>F</w:t>
      </w:r>
      <w:r w:rsidRPr="00C2595C" w:rsidR="005B38E8">
        <w:rPr>
          <w:rFonts w:ascii="Times New Roman" w:hAnsi="Times New Roman" w:cs="Times New Roman"/>
        </w:rPr>
        <w:t xml:space="preserve">ederal agencies to review </w:t>
      </w:r>
      <w:r w:rsidR="005C1B6F">
        <w:rPr>
          <w:rFonts w:ascii="Times New Roman" w:hAnsi="Times New Roman" w:cs="Times New Roman"/>
        </w:rPr>
        <w:t>current</w:t>
      </w:r>
      <w:r w:rsidRPr="00C2595C" w:rsidR="005B38E8">
        <w:rPr>
          <w:rFonts w:ascii="Times New Roman" w:hAnsi="Times New Roman" w:cs="Times New Roman"/>
        </w:rPr>
        <w:t xml:space="preserve"> regulations and take action to address </w:t>
      </w:r>
      <w:r w:rsidRPr="00C2595C" w:rsidR="000831AC">
        <w:rPr>
          <w:rFonts w:ascii="Times New Roman" w:hAnsi="Times New Roman" w:cs="Times New Roman"/>
        </w:rPr>
        <w:t>the</w:t>
      </w:r>
      <w:r w:rsidR="00843659">
        <w:rPr>
          <w:rFonts w:ascii="Times New Roman" w:hAnsi="Times New Roman" w:cs="Times New Roman"/>
        </w:rPr>
        <w:t>se issues</w:t>
      </w:r>
      <w:r w:rsidRPr="00C2595C" w:rsidR="005B38E8">
        <w:rPr>
          <w:rFonts w:ascii="Times New Roman" w:hAnsi="Times New Roman" w:cs="Times New Roman"/>
        </w:rPr>
        <w:t xml:space="preserve">. </w:t>
      </w:r>
      <w:r w:rsidR="00843659">
        <w:rPr>
          <w:rFonts w:ascii="Times New Roman" w:hAnsi="Times New Roman" w:cs="Times New Roman"/>
        </w:rPr>
        <w:t xml:space="preserve">To support these priorities, </w:t>
      </w:r>
      <w:r w:rsidRPr="00C2595C" w:rsidR="005B38E8">
        <w:rPr>
          <w:rFonts w:ascii="Times New Roman" w:hAnsi="Times New Roman" w:cs="Times New Roman"/>
        </w:rPr>
        <w:t xml:space="preserve">EPA reviewed </w:t>
      </w:r>
      <w:r w:rsidR="00A16E91">
        <w:rPr>
          <w:rFonts w:ascii="Times New Roman" w:hAnsi="Times New Roman" w:cs="Times New Roman"/>
        </w:rPr>
        <w:t>and proposed revisions to</w:t>
      </w:r>
      <w:r w:rsidRPr="00C2595C" w:rsidR="005B38E8">
        <w:rPr>
          <w:rFonts w:ascii="Times New Roman" w:hAnsi="Times New Roman" w:cs="Times New Roman"/>
        </w:rPr>
        <w:t xml:space="preserve"> the current </w:t>
      </w:r>
      <w:r w:rsidRPr="00C2595C" w:rsidR="00CA5ED5">
        <w:rPr>
          <w:rFonts w:ascii="Times New Roman" w:hAnsi="Times New Roman" w:cs="Times New Roman"/>
        </w:rPr>
        <w:t>Risk Management Program (</w:t>
      </w:r>
      <w:r w:rsidRPr="00C2595C" w:rsidR="005B38E8">
        <w:rPr>
          <w:rFonts w:ascii="Times New Roman" w:hAnsi="Times New Roman" w:cs="Times New Roman"/>
        </w:rPr>
        <w:t>RMP</w:t>
      </w:r>
      <w:r w:rsidRPr="00C2595C" w:rsidR="00CA5ED5">
        <w:rPr>
          <w:rFonts w:ascii="Times New Roman" w:hAnsi="Times New Roman" w:cs="Times New Roman"/>
        </w:rPr>
        <w:t>)</w:t>
      </w:r>
      <w:r>
        <w:rPr>
          <w:rStyle w:val="FootnoteReference"/>
          <w:rFonts w:ascii="Times New Roman" w:hAnsi="Times New Roman" w:cs="Times New Roman"/>
        </w:rPr>
        <w:footnoteReference w:id="3"/>
      </w:r>
      <w:r w:rsidRPr="00C2595C" w:rsidR="005B38E8">
        <w:rPr>
          <w:rFonts w:ascii="Times New Roman" w:hAnsi="Times New Roman" w:cs="Times New Roman"/>
        </w:rPr>
        <w:t xml:space="preserve"> regulation</w:t>
      </w:r>
      <w:r w:rsidR="00130F04">
        <w:rPr>
          <w:rFonts w:ascii="Times New Roman" w:hAnsi="Times New Roman" w:cs="Times New Roman"/>
        </w:rPr>
        <w:t>.</w:t>
      </w:r>
      <w:r w:rsidR="00A16E91">
        <w:rPr>
          <w:rFonts w:ascii="Times New Roman" w:hAnsi="Times New Roman" w:cs="Times New Roman"/>
        </w:rPr>
        <w:t xml:space="preserve"> </w:t>
      </w:r>
    </w:p>
    <w:p w:rsidR="00E819DC" w:rsidP="00E80E2C" w14:paraId="7D6E0517" w14:textId="77777777">
      <w:pPr>
        <w:spacing w:after="0" w:line="240" w:lineRule="auto"/>
        <w:ind w:firstLine="360"/>
        <w:rPr>
          <w:rFonts w:ascii="Times New Roman" w:hAnsi="Times New Roman" w:cs="Times New Roman"/>
        </w:rPr>
      </w:pPr>
    </w:p>
    <w:p w:rsidR="005B38E8" w:rsidP="00E80E2C" w14:paraId="00C65013" w14:textId="0562527E">
      <w:pPr>
        <w:spacing w:after="0" w:line="240" w:lineRule="auto"/>
        <w:ind w:firstLine="360"/>
        <w:rPr>
          <w:rFonts w:ascii="Times New Roman" w:hAnsi="Times New Roman" w:cs="Times New Roman"/>
        </w:rPr>
      </w:pPr>
      <w:r>
        <w:rPr>
          <w:rFonts w:ascii="Times New Roman" w:hAnsi="Times New Roman" w:cs="Times New Roman"/>
        </w:rPr>
        <w:tab/>
      </w:r>
      <w:r w:rsidRPr="00C2595C">
        <w:rPr>
          <w:rFonts w:ascii="Times New Roman" w:hAnsi="Times New Roman" w:cs="Times New Roman"/>
        </w:rPr>
        <w:t>The purpose of th</w:t>
      </w:r>
      <w:r w:rsidR="00A16E91">
        <w:rPr>
          <w:rFonts w:ascii="Times New Roman" w:hAnsi="Times New Roman" w:cs="Times New Roman"/>
        </w:rPr>
        <w:t xml:space="preserve">e final </w:t>
      </w:r>
      <w:r w:rsidR="007C56CA">
        <w:rPr>
          <w:rFonts w:ascii="Times New Roman" w:hAnsi="Times New Roman" w:cs="Times New Roman"/>
        </w:rPr>
        <w:t xml:space="preserve">Safer Communities by Chemical Accident Prevention (SCCAP) </w:t>
      </w:r>
      <w:r w:rsidR="0015259E">
        <w:rPr>
          <w:rFonts w:ascii="Times New Roman" w:hAnsi="Times New Roman" w:cs="Times New Roman"/>
        </w:rPr>
        <w:t xml:space="preserve">final </w:t>
      </w:r>
      <w:r w:rsidR="007C56CA">
        <w:rPr>
          <w:rFonts w:ascii="Times New Roman" w:hAnsi="Times New Roman" w:cs="Times New Roman"/>
        </w:rPr>
        <w:t>rule</w:t>
      </w:r>
      <w:r w:rsidRPr="00C2595C">
        <w:rPr>
          <w:rFonts w:ascii="Times New Roman" w:hAnsi="Times New Roman" w:cs="Times New Roman"/>
        </w:rPr>
        <w:t xml:space="preserve"> is to </w:t>
      </w:r>
      <w:r w:rsidR="00D13E5F">
        <w:rPr>
          <w:rFonts w:ascii="Times New Roman" w:hAnsi="Times New Roman" w:cs="Times New Roman"/>
        </w:rPr>
        <w:t>make</w:t>
      </w:r>
      <w:r w:rsidRPr="00C2595C">
        <w:rPr>
          <w:rFonts w:ascii="Times New Roman" w:hAnsi="Times New Roman" w:cs="Times New Roman"/>
        </w:rPr>
        <w:t xml:space="preserve"> changes to the current </w:t>
      </w:r>
      <w:r w:rsidRPr="00C2595C" w:rsidR="00136C75">
        <w:rPr>
          <w:rFonts w:ascii="Times New Roman" w:hAnsi="Times New Roman" w:cs="Times New Roman"/>
        </w:rPr>
        <w:t>RMP</w:t>
      </w:r>
      <w:r w:rsidRPr="00C2595C">
        <w:rPr>
          <w:rFonts w:ascii="Times New Roman" w:hAnsi="Times New Roman" w:cs="Times New Roman"/>
        </w:rPr>
        <w:t xml:space="preserve"> rule in order to improve safety at facilities that use and distribute hazardous chemicals. EPA believes that the </w:t>
      </w:r>
      <w:r w:rsidRPr="00C2595C" w:rsidR="00CA5ED5">
        <w:rPr>
          <w:rFonts w:ascii="Times New Roman" w:hAnsi="Times New Roman" w:cs="Times New Roman"/>
        </w:rPr>
        <w:t>RMP</w:t>
      </w:r>
      <w:r w:rsidRPr="00C2595C">
        <w:rPr>
          <w:rFonts w:ascii="Times New Roman" w:hAnsi="Times New Roman" w:cs="Times New Roman"/>
        </w:rPr>
        <w:t xml:space="preserve"> regulations have been effective in preventing and mitigating chemical accidents in the </w:t>
      </w:r>
      <w:r w:rsidR="00FC781B">
        <w:rPr>
          <w:rFonts w:ascii="Times New Roman" w:hAnsi="Times New Roman" w:cs="Times New Roman"/>
        </w:rPr>
        <w:t>U.S.</w:t>
      </w:r>
      <w:r w:rsidRPr="00C2595C" w:rsidR="002C0B55">
        <w:rPr>
          <w:rFonts w:ascii="Times New Roman" w:hAnsi="Times New Roman" w:cs="Times New Roman"/>
        </w:rPr>
        <w:t xml:space="preserve"> </w:t>
      </w:r>
      <w:r w:rsidR="00637B9A">
        <w:rPr>
          <w:rFonts w:ascii="Times New Roman" w:hAnsi="Times New Roman" w:cs="Times New Roman"/>
        </w:rPr>
        <w:t xml:space="preserve">However, because </w:t>
      </w:r>
      <w:r w:rsidRPr="003441EA" w:rsidR="00637B9A">
        <w:rPr>
          <w:rFonts w:ascii="Times New Roman" w:hAnsi="Times New Roman" w:cs="Times New Roman"/>
        </w:rPr>
        <w:t xml:space="preserve">major RMP accidents continue to occur, </w:t>
      </w:r>
      <w:r w:rsidRPr="00C2595C" w:rsidR="00637B9A">
        <w:rPr>
          <w:rFonts w:ascii="Times New Roman" w:hAnsi="Times New Roman" w:cs="Times New Roman"/>
        </w:rPr>
        <w:t xml:space="preserve"> </w:t>
      </w:r>
      <w:r w:rsidRPr="00637B9A" w:rsidR="00637B9A">
        <w:rPr>
          <w:rFonts w:ascii="Times New Roman" w:hAnsi="Times New Roman" w:cs="Times New Roman"/>
        </w:rPr>
        <w:t xml:space="preserve"> </w:t>
      </w:r>
      <w:r w:rsidRPr="003441EA" w:rsidR="00637B9A">
        <w:rPr>
          <w:rFonts w:ascii="Times New Roman" w:hAnsi="Times New Roman" w:cs="Times New Roman"/>
        </w:rPr>
        <w:t xml:space="preserve">EPA </w:t>
      </w:r>
      <w:r w:rsidR="00637B9A">
        <w:rPr>
          <w:rFonts w:ascii="Times New Roman" w:hAnsi="Times New Roman" w:cs="Times New Roman"/>
        </w:rPr>
        <w:t>in this</w:t>
      </w:r>
      <w:r w:rsidRPr="003441EA" w:rsidR="00637B9A">
        <w:rPr>
          <w:rFonts w:ascii="Times New Roman" w:hAnsi="Times New Roman" w:cs="Times New Roman"/>
        </w:rPr>
        <w:t xml:space="preserve"> final rule </w:t>
      </w:r>
      <w:r w:rsidR="00637B9A">
        <w:rPr>
          <w:rFonts w:ascii="Times New Roman" w:hAnsi="Times New Roman" w:cs="Times New Roman"/>
        </w:rPr>
        <w:t xml:space="preserve">is taking further steps to help </w:t>
      </w:r>
      <w:r w:rsidRPr="003441EA" w:rsidR="00637B9A">
        <w:rPr>
          <w:rFonts w:ascii="Times New Roman" w:hAnsi="Times New Roman" w:cs="Times New Roman"/>
        </w:rPr>
        <w:t>protect human health and the environment from chemical hazards</w:t>
      </w:r>
      <w:r w:rsidR="00637B9A">
        <w:rPr>
          <w:rFonts w:ascii="Times New Roman" w:hAnsi="Times New Roman" w:cs="Times New Roman"/>
        </w:rPr>
        <w:t>.</w:t>
      </w:r>
      <w:r w:rsidRPr="003441EA" w:rsidR="00637B9A">
        <w:rPr>
          <w:rFonts w:ascii="Times New Roman" w:hAnsi="Times New Roman" w:cs="Times New Roman"/>
        </w:rPr>
        <w:t xml:space="preserve"> </w:t>
      </w:r>
      <w:r w:rsidR="00637B9A">
        <w:rPr>
          <w:rFonts w:ascii="Times New Roman" w:hAnsi="Times New Roman" w:cs="Times New Roman"/>
        </w:rPr>
        <w:t xml:space="preserve"> T</w:t>
      </w:r>
      <w:r w:rsidRPr="00C2595C" w:rsidR="00637B9A">
        <w:rPr>
          <w:rFonts w:ascii="Times New Roman" w:hAnsi="Times New Roman" w:cs="Times New Roman"/>
        </w:rPr>
        <w:t xml:space="preserve">he </w:t>
      </w:r>
      <w:r w:rsidR="00A36438">
        <w:rPr>
          <w:rFonts w:ascii="Times New Roman" w:hAnsi="Times New Roman" w:cs="Times New Roman"/>
        </w:rPr>
        <w:t>final rule</w:t>
      </w:r>
      <w:r w:rsidRPr="00C2595C" w:rsidR="00A36438">
        <w:rPr>
          <w:rFonts w:ascii="Times New Roman" w:hAnsi="Times New Roman" w:cs="Times New Roman"/>
        </w:rPr>
        <w:t xml:space="preserve"> </w:t>
      </w:r>
      <w:r w:rsidRPr="00C2595C">
        <w:rPr>
          <w:rFonts w:ascii="Times New Roman" w:hAnsi="Times New Roman" w:cs="Times New Roman"/>
        </w:rPr>
        <w:t>revisions</w:t>
      </w:r>
      <w:r w:rsidR="00843659">
        <w:rPr>
          <w:rFonts w:ascii="Times New Roman" w:hAnsi="Times New Roman" w:cs="Times New Roman"/>
        </w:rPr>
        <w:t>,</w:t>
      </w:r>
      <w:r w:rsidRPr="00C2595C">
        <w:rPr>
          <w:rFonts w:ascii="Times New Roman" w:hAnsi="Times New Roman" w:cs="Times New Roman"/>
        </w:rPr>
        <w:t xml:space="preserve"> </w:t>
      </w:r>
      <w:r w:rsidR="00843659">
        <w:rPr>
          <w:rFonts w:ascii="Times New Roman" w:hAnsi="Times New Roman" w:cs="Times New Roman"/>
        </w:rPr>
        <w:t xml:space="preserve">by giving </w:t>
      </w:r>
      <w:r w:rsidRPr="00C2595C" w:rsidR="002C0B55">
        <w:rPr>
          <w:rFonts w:ascii="Times New Roman" w:hAnsi="Times New Roman" w:cs="Times New Roman"/>
        </w:rPr>
        <w:t>special consideration to concerns about climate change and environmental justice and build</w:t>
      </w:r>
      <w:r w:rsidR="00843659">
        <w:rPr>
          <w:rFonts w:ascii="Times New Roman" w:hAnsi="Times New Roman" w:cs="Times New Roman"/>
        </w:rPr>
        <w:t>ing</w:t>
      </w:r>
      <w:r w:rsidRPr="00C2595C" w:rsidR="002C0B55">
        <w:rPr>
          <w:rFonts w:ascii="Times New Roman" w:hAnsi="Times New Roman" w:cs="Times New Roman"/>
        </w:rPr>
        <w:t xml:space="preserve"> on lessons learned from the </w:t>
      </w:r>
      <w:r w:rsidR="005C1B6F">
        <w:rPr>
          <w:rFonts w:ascii="Times New Roman" w:hAnsi="Times New Roman" w:cs="Times New Roman"/>
        </w:rPr>
        <w:t>current</w:t>
      </w:r>
      <w:r w:rsidRPr="00C2595C" w:rsidR="002C0B55">
        <w:rPr>
          <w:rFonts w:ascii="Times New Roman" w:hAnsi="Times New Roman" w:cs="Times New Roman"/>
        </w:rPr>
        <w:t xml:space="preserve"> regulatory program</w:t>
      </w:r>
      <w:r w:rsidR="00843659">
        <w:rPr>
          <w:rFonts w:ascii="Times New Roman" w:hAnsi="Times New Roman" w:cs="Times New Roman"/>
        </w:rPr>
        <w:t>,</w:t>
      </w:r>
      <w:r w:rsidRPr="00C2595C" w:rsidR="002C0B55">
        <w:rPr>
          <w:rFonts w:ascii="Times New Roman" w:hAnsi="Times New Roman" w:cs="Times New Roman"/>
        </w:rPr>
        <w:t xml:space="preserve"> </w:t>
      </w:r>
      <w:r w:rsidRPr="64601F32" w:rsidR="00590A72">
        <w:rPr>
          <w:rFonts w:ascii="Times New Roman" w:hAnsi="Times New Roman" w:cs="Times New Roman"/>
        </w:rPr>
        <w:t>will</w:t>
      </w:r>
      <w:r w:rsidRPr="00C2595C">
        <w:rPr>
          <w:rFonts w:ascii="Times New Roman" w:hAnsi="Times New Roman" w:cs="Times New Roman"/>
        </w:rPr>
        <w:t xml:space="preserve"> further protect human health and the environment from chemical hazards</w:t>
      </w:r>
      <w:r w:rsidRPr="00C2595C" w:rsidR="009C3547">
        <w:rPr>
          <w:rFonts w:ascii="Times New Roman" w:hAnsi="Times New Roman" w:cs="Times New Roman"/>
        </w:rPr>
        <w:t xml:space="preserve"> </w:t>
      </w:r>
      <w:r w:rsidRPr="00C2595C">
        <w:rPr>
          <w:rFonts w:ascii="Times New Roman" w:hAnsi="Times New Roman" w:cs="Times New Roman"/>
        </w:rPr>
        <w:t xml:space="preserve">through advancement of </w:t>
      </w:r>
      <w:r w:rsidR="00634064">
        <w:rPr>
          <w:rFonts w:ascii="Times New Roman" w:hAnsi="Times New Roman" w:cs="Times New Roman"/>
        </w:rPr>
        <w:t>p</w:t>
      </w:r>
      <w:r w:rsidRPr="00C2595C">
        <w:rPr>
          <w:rFonts w:ascii="Times New Roman" w:hAnsi="Times New Roman" w:cs="Times New Roman"/>
        </w:rPr>
        <w:t xml:space="preserve">rocess </w:t>
      </w:r>
      <w:r w:rsidR="00634064">
        <w:rPr>
          <w:rFonts w:ascii="Times New Roman" w:hAnsi="Times New Roman" w:cs="Times New Roman"/>
        </w:rPr>
        <w:t>s</w:t>
      </w:r>
      <w:r w:rsidRPr="00C2595C">
        <w:rPr>
          <w:rFonts w:ascii="Times New Roman" w:hAnsi="Times New Roman" w:cs="Times New Roman"/>
        </w:rPr>
        <w:t xml:space="preserve">afety. These revisions are </w:t>
      </w:r>
      <w:r w:rsidRPr="00C2595C" w:rsidR="00F371F3">
        <w:rPr>
          <w:rFonts w:ascii="Times New Roman" w:hAnsi="Times New Roman" w:cs="Times New Roman"/>
        </w:rPr>
        <w:t>informed by</w:t>
      </w:r>
      <w:r w:rsidRPr="00C2595C">
        <w:rPr>
          <w:rFonts w:ascii="Times New Roman" w:hAnsi="Times New Roman" w:cs="Times New Roman"/>
        </w:rPr>
        <w:t xml:space="preserve"> </w:t>
      </w:r>
      <w:r w:rsidR="00843659">
        <w:rPr>
          <w:rFonts w:ascii="Times New Roman" w:hAnsi="Times New Roman" w:cs="Times New Roman"/>
        </w:rPr>
        <w:t xml:space="preserve">EPA’s </w:t>
      </w:r>
      <w:r w:rsidRPr="00C2595C">
        <w:rPr>
          <w:rFonts w:ascii="Times New Roman" w:hAnsi="Times New Roman" w:cs="Times New Roman"/>
        </w:rPr>
        <w:t>review</w:t>
      </w:r>
      <w:r w:rsidR="00843659">
        <w:rPr>
          <w:rFonts w:ascii="Times New Roman" w:hAnsi="Times New Roman" w:cs="Times New Roman"/>
        </w:rPr>
        <w:t xml:space="preserve"> of</w:t>
      </w:r>
      <w:r w:rsidRPr="00C2595C">
        <w:rPr>
          <w:rFonts w:ascii="Times New Roman" w:hAnsi="Times New Roman" w:cs="Times New Roman"/>
        </w:rPr>
        <w:t xml:space="preserve"> the </w:t>
      </w:r>
      <w:r w:rsidR="00843659">
        <w:rPr>
          <w:rFonts w:ascii="Times New Roman" w:hAnsi="Times New Roman" w:cs="Times New Roman"/>
        </w:rPr>
        <w:t>current</w:t>
      </w:r>
      <w:r w:rsidRPr="00C2595C">
        <w:rPr>
          <w:rFonts w:ascii="Times New Roman" w:hAnsi="Times New Roman" w:cs="Times New Roman"/>
        </w:rPr>
        <w:t xml:space="preserve"> </w:t>
      </w:r>
      <w:r w:rsidRPr="00C2595C" w:rsidR="00CA5ED5">
        <w:rPr>
          <w:rFonts w:ascii="Times New Roman" w:hAnsi="Times New Roman" w:cs="Times New Roman"/>
        </w:rPr>
        <w:t xml:space="preserve">RMP </w:t>
      </w:r>
      <w:r w:rsidRPr="00C2595C" w:rsidR="00E82EB8">
        <w:rPr>
          <w:rFonts w:ascii="Times New Roman" w:hAnsi="Times New Roman" w:cs="Times New Roman"/>
        </w:rPr>
        <w:t>rule</w:t>
      </w:r>
      <w:r w:rsidRPr="64601F32" w:rsidR="00590A72">
        <w:rPr>
          <w:rFonts w:ascii="Times New Roman" w:hAnsi="Times New Roman" w:cs="Times New Roman"/>
        </w:rPr>
        <w:t xml:space="preserve"> and data</w:t>
      </w:r>
      <w:r w:rsidR="005F2D26">
        <w:rPr>
          <w:rFonts w:ascii="Times New Roman" w:hAnsi="Times New Roman" w:cs="Times New Roman"/>
        </w:rPr>
        <w:t>,</w:t>
      </w:r>
      <w:r w:rsidR="00C84666">
        <w:rPr>
          <w:rFonts w:ascii="Times New Roman" w:hAnsi="Times New Roman" w:cs="Times New Roman"/>
        </w:rPr>
        <w:t xml:space="preserve"> </w:t>
      </w:r>
      <w:r w:rsidRPr="008A3298" w:rsidR="00E82EB8">
        <w:rPr>
          <w:rFonts w:ascii="Times New Roman" w:hAnsi="Times New Roman" w:cs="Times New Roman"/>
        </w:rPr>
        <w:t>information</w:t>
      </w:r>
      <w:r w:rsidRPr="008A3298" w:rsidR="008A3298">
        <w:rPr>
          <w:rFonts w:ascii="Times New Roman" w:hAnsi="Times New Roman" w:cs="Times New Roman"/>
        </w:rPr>
        <w:t xml:space="preserve"> collected </w:t>
      </w:r>
      <w:r w:rsidR="00124E91">
        <w:rPr>
          <w:rFonts w:ascii="Times New Roman" w:hAnsi="Times New Roman" w:cs="Times New Roman"/>
        </w:rPr>
        <w:t xml:space="preserve">by EPA </w:t>
      </w:r>
      <w:r w:rsidRPr="008A3298" w:rsidR="008A3298">
        <w:rPr>
          <w:rFonts w:ascii="Times New Roman" w:hAnsi="Times New Roman" w:cs="Times New Roman"/>
        </w:rPr>
        <w:t xml:space="preserve">through oral testimonies from the </w:t>
      </w:r>
      <w:r w:rsidR="008A3298">
        <w:rPr>
          <w:rFonts w:ascii="Times New Roman" w:hAnsi="Times New Roman" w:cs="Times New Roman"/>
        </w:rPr>
        <w:t xml:space="preserve">summer 2021 </w:t>
      </w:r>
      <w:r w:rsidRPr="008A3298" w:rsidR="008A3298">
        <w:rPr>
          <w:rFonts w:ascii="Times New Roman" w:hAnsi="Times New Roman" w:cs="Times New Roman"/>
        </w:rPr>
        <w:t xml:space="preserve">listening sessions </w:t>
      </w:r>
      <w:r w:rsidRPr="00B82E14" w:rsidR="00B82E14">
        <w:rPr>
          <w:rFonts w:ascii="Times New Roman" w:hAnsi="Times New Roman" w:cs="Times New Roman"/>
        </w:rPr>
        <w:t>on June 16 and July 8, 2021</w:t>
      </w:r>
      <w:r w:rsidR="00E82EB8">
        <w:rPr>
          <w:rFonts w:ascii="Times New Roman" w:hAnsi="Times New Roman" w:cs="Times New Roman"/>
        </w:rPr>
        <w:t xml:space="preserve">, </w:t>
      </w:r>
      <w:r w:rsidR="00EE06CD">
        <w:rPr>
          <w:rFonts w:ascii="Times New Roman" w:hAnsi="Times New Roman" w:cs="Times New Roman"/>
        </w:rPr>
        <w:t xml:space="preserve">written </w:t>
      </w:r>
      <w:r w:rsidR="007E276E">
        <w:rPr>
          <w:rFonts w:ascii="Times New Roman" w:hAnsi="Times New Roman" w:cs="Times New Roman"/>
        </w:rPr>
        <w:t xml:space="preserve">public comments submitted in response to </w:t>
      </w:r>
      <w:r w:rsidR="00E276A2">
        <w:rPr>
          <w:rFonts w:ascii="Times New Roman" w:hAnsi="Times New Roman" w:cs="Times New Roman"/>
        </w:rPr>
        <w:t xml:space="preserve">a </w:t>
      </w:r>
      <w:r w:rsidR="00880BDB">
        <w:rPr>
          <w:rFonts w:ascii="Times New Roman" w:hAnsi="Times New Roman" w:cs="Times New Roman"/>
        </w:rPr>
        <w:t xml:space="preserve">request </w:t>
      </w:r>
      <w:r w:rsidR="0015259E">
        <w:rPr>
          <w:rFonts w:ascii="Times New Roman" w:hAnsi="Times New Roman" w:cs="Times New Roman"/>
        </w:rPr>
        <w:t xml:space="preserve">for comment </w:t>
      </w:r>
      <w:r w:rsidR="00DA07F0">
        <w:rPr>
          <w:rFonts w:ascii="Times New Roman" w:hAnsi="Times New Roman" w:cs="Times New Roman"/>
        </w:rPr>
        <w:t xml:space="preserve">published </w:t>
      </w:r>
      <w:r w:rsidR="00E855E7">
        <w:rPr>
          <w:rFonts w:ascii="Times New Roman" w:hAnsi="Times New Roman" w:cs="Times New Roman"/>
        </w:rPr>
        <w:t>by EPA</w:t>
      </w:r>
      <w:r w:rsidR="00DA07F0">
        <w:rPr>
          <w:rFonts w:ascii="Times New Roman" w:hAnsi="Times New Roman" w:cs="Times New Roman"/>
        </w:rPr>
        <w:t xml:space="preserve"> </w:t>
      </w:r>
      <w:r w:rsidR="004868CE">
        <w:rPr>
          <w:rFonts w:ascii="Times New Roman" w:hAnsi="Times New Roman" w:cs="Times New Roman"/>
        </w:rPr>
        <w:t>prior to the development of the proposed rule</w:t>
      </w:r>
      <w:r w:rsidRPr="00DD5501" w:rsidR="00DD5501">
        <w:rPr>
          <w:rFonts w:ascii="Times New Roman" w:hAnsi="Times New Roman" w:cs="Times New Roman"/>
        </w:rPr>
        <w:t xml:space="preserve"> (86 FR 28828; May 28, 2021)</w:t>
      </w:r>
      <w:r w:rsidR="00A77F60">
        <w:rPr>
          <w:rFonts w:ascii="Times New Roman" w:hAnsi="Times New Roman" w:cs="Times New Roman"/>
        </w:rPr>
        <w:t xml:space="preserve">, </w:t>
      </w:r>
      <w:r w:rsidR="00E82EB8">
        <w:rPr>
          <w:rFonts w:ascii="Times New Roman" w:hAnsi="Times New Roman" w:cs="Times New Roman"/>
        </w:rPr>
        <w:t>as well as the proposal’s open written comment period and</w:t>
      </w:r>
      <w:r w:rsidRPr="008A3298" w:rsidR="008A3298">
        <w:rPr>
          <w:rFonts w:ascii="Times New Roman" w:hAnsi="Times New Roman" w:cs="Times New Roman"/>
        </w:rPr>
        <w:t xml:space="preserve"> </w:t>
      </w:r>
      <w:r w:rsidR="008A3298">
        <w:rPr>
          <w:rFonts w:ascii="Times New Roman" w:hAnsi="Times New Roman" w:cs="Times New Roman"/>
        </w:rPr>
        <w:t xml:space="preserve">September 2022 </w:t>
      </w:r>
      <w:r w:rsidR="00E82EB8">
        <w:rPr>
          <w:rFonts w:ascii="Times New Roman" w:hAnsi="Times New Roman" w:cs="Times New Roman"/>
        </w:rPr>
        <w:t xml:space="preserve">public </w:t>
      </w:r>
      <w:r w:rsidRPr="008A3298" w:rsidR="008A3298">
        <w:rPr>
          <w:rFonts w:ascii="Times New Roman" w:hAnsi="Times New Roman" w:cs="Times New Roman"/>
        </w:rPr>
        <w:t>hearings</w:t>
      </w:r>
      <w:r w:rsidR="00A97C9E">
        <w:rPr>
          <w:rFonts w:ascii="Times New Roman" w:hAnsi="Times New Roman" w:cs="Times New Roman"/>
        </w:rPr>
        <w:t>.</w:t>
      </w:r>
      <w:r w:rsidRPr="008A3298" w:rsidR="008A3298">
        <w:rPr>
          <w:rFonts w:ascii="Times New Roman" w:hAnsi="Times New Roman" w:cs="Times New Roman"/>
        </w:rPr>
        <w:t xml:space="preserve"> </w:t>
      </w:r>
    </w:p>
    <w:p w:rsidR="00E819DC" w:rsidP="00C668F6" w14:paraId="52FAA12C" w14:textId="77777777">
      <w:pPr>
        <w:tabs>
          <w:tab w:val="left" w:pos="2720"/>
        </w:tabs>
        <w:spacing w:after="0" w:line="240" w:lineRule="auto"/>
        <w:ind w:firstLine="360"/>
        <w:rPr>
          <w:rFonts w:ascii="Times New Roman" w:hAnsi="Times New Roman" w:cs="Times New Roman"/>
        </w:rPr>
      </w:pPr>
      <w:r>
        <w:rPr>
          <w:rFonts w:ascii="Times New Roman" w:hAnsi="Times New Roman" w:cs="Times New Roman"/>
        </w:rPr>
        <w:tab/>
      </w:r>
    </w:p>
    <w:p w:rsidR="005B38E8" w:rsidRPr="00C2595C" w:rsidP="00E80E2C" w14:paraId="7405FEA2" w14:textId="77777777">
      <w:pPr>
        <w:spacing w:after="0" w:line="240" w:lineRule="auto"/>
        <w:ind w:firstLine="360"/>
        <w:rPr>
          <w:rFonts w:ascii="Times New Roman" w:hAnsi="Times New Roman" w:cs="Times New Roman"/>
        </w:rPr>
      </w:pPr>
      <w:r>
        <w:rPr>
          <w:rFonts w:ascii="Times New Roman" w:hAnsi="Times New Roman" w:cs="Times New Roman"/>
        </w:rPr>
        <w:tab/>
      </w:r>
      <w:r w:rsidRPr="00C2595C">
        <w:rPr>
          <w:rFonts w:ascii="Times New Roman" w:hAnsi="Times New Roman" w:cs="Times New Roman"/>
        </w:rPr>
        <w:t xml:space="preserve">The </w:t>
      </w:r>
      <w:r w:rsidR="00A36438">
        <w:rPr>
          <w:rFonts w:ascii="Times New Roman" w:hAnsi="Times New Roman" w:cs="Times New Roman"/>
        </w:rPr>
        <w:t>final rule</w:t>
      </w:r>
      <w:r w:rsidRPr="00C2595C" w:rsidR="00A36438">
        <w:rPr>
          <w:rFonts w:ascii="Times New Roman" w:hAnsi="Times New Roman" w:cs="Times New Roman"/>
        </w:rPr>
        <w:t xml:space="preserve"> </w:t>
      </w:r>
      <w:r w:rsidRPr="00C2595C">
        <w:rPr>
          <w:rFonts w:ascii="Times New Roman" w:hAnsi="Times New Roman" w:cs="Times New Roman"/>
        </w:rPr>
        <w:t>revisions</w:t>
      </w:r>
      <w:r w:rsidRPr="00C2595C" w:rsidR="00E61DBB">
        <w:rPr>
          <w:rFonts w:ascii="Times New Roman" w:hAnsi="Times New Roman" w:cs="Times New Roman"/>
        </w:rPr>
        <w:t xml:space="preserve"> seek to improve chemical process safety, assist in planning, prepar</w:t>
      </w:r>
      <w:r w:rsidR="00A16E91">
        <w:rPr>
          <w:rFonts w:ascii="Times New Roman" w:hAnsi="Times New Roman" w:cs="Times New Roman"/>
        </w:rPr>
        <w:t>ing for,</w:t>
      </w:r>
      <w:r w:rsidRPr="00C2595C" w:rsidR="00E61DBB">
        <w:rPr>
          <w:rFonts w:ascii="Times New Roman" w:hAnsi="Times New Roman" w:cs="Times New Roman"/>
        </w:rPr>
        <w:t xml:space="preserve"> and responding to RMP accidents, and improve public awareness of chemical hazards at regulated sources. </w:t>
      </w:r>
      <w:r w:rsidRPr="00C2595C" w:rsidR="00DF1FCD">
        <w:rPr>
          <w:rFonts w:ascii="Times New Roman" w:hAnsi="Times New Roman" w:cs="Times New Roman"/>
        </w:rPr>
        <w:t>To accomplish this, t</w:t>
      </w:r>
      <w:r w:rsidRPr="00C2595C" w:rsidR="00E61DBB">
        <w:rPr>
          <w:rFonts w:ascii="Times New Roman" w:hAnsi="Times New Roman" w:cs="Times New Roman"/>
        </w:rPr>
        <w:t xml:space="preserve">hese </w:t>
      </w:r>
      <w:r w:rsidR="00A36438">
        <w:rPr>
          <w:rFonts w:ascii="Times New Roman" w:hAnsi="Times New Roman" w:cs="Times New Roman"/>
        </w:rPr>
        <w:t>final rule</w:t>
      </w:r>
      <w:r w:rsidRPr="00C2595C" w:rsidR="00A36438">
        <w:rPr>
          <w:rFonts w:ascii="Times New Roman" w:hAnsi="Times New Roman" w:cs="Times New Roman"/>
        </w:rPr>
        <w:t xml:space="preserve"> </w:t>
      </w:r>
      <w:r w:rsidRPr="00C2595C" w:rsidR="009B7237">
        <w:rPr>
          <w:rFonts w:ascii="Times New Roman" w:hAnsi="Times New Roman" w:cs="Times New Roman"/>
        </w:rPr>
        <w:t>provisions</w:t>
      </w:r>
      <w:r w:rsidRPr="00C2595C">
        <w:rPr>
          <w:rFonts w:ascii="Times New Roman" w:hAnsi="Times New Roman" w:cs="Times New Roman"/>
        </w:rPr>
        <w:t xml:space="preserve"> include several changes to the accident prevention program</w:t>
      </w:r>
      <w:r w:rsidR="00B40BE0">
        <w:rPr>
          <w:rFonts w:ascii="Times New Roman" w:hAnsi="Times New Roman" w:cs="Times New Roman"/>
        </w:rPr>
        <w:t xml:space="preserve"> </w:t>
      </w:r>
      <w:r w:rsidRPr="00C2595C">
        <w:rPr>
          <w:rFonts w:ascii="Times New Roman" w:hAnsi="Times New Roman" w:cs="Times New Roman"/>
        </w:rPr>
        <w:t xml:space="preserve">requirements, enhancements to the emergency preparedness requirements, </w:t>
      </w:r>
      <w:r w:rsidRPr="00C2595C" w:rsidR="00F371F3">
        <w:rPr>
          <w:rFonts w:ascii="Times New Roman" w:hAnsi="Times New Roman" w:cs="Times New Roman"/>
        </w:rPr>
        <w:t xml:space="preserve">changes to </w:t>
      </w:r>
      <w:r w:rsidRPr="00C2595C">
        <w:rPr>
          <w:rFonts w:ascii="Times New Roman" w:hAnsi="Times New Roman" w:cs="Times New Roman"/>
        </w:rPr>
        <w:t xml:space="preserve">increase public availability of chemical hazard information, and changes </w:t>
      </w:r>
      <w:r w:rsidRPr="00C2595C" w:rsidR="00E61DBB">
        <w:rPr>
          <w:rFonts w:ascii="Times New Roman" w:hAnsi="Times New Roman" w:cs="Times New Roman"/>
        </w:rPr>
        <w:t xml:space="preserve">or clarifications </w:t>
      </w:r>
      <w:r w:rsidRPr="00C2595C">
        <w:rPr>
          <w:rFonts w:ascii="Times New Roman" w:hAnsi="Times New Roman" w:cs="Times New Roman"/>
        </w:rPr>
        <w:t>to</w:t>
      </w:r>
      <w:r w:rsidRPr="00C2595C" w:rsidR="00E61DBB">
        <w:rPr>
          <w:rFonts w:ascii="Times New Roman" w:hAnsi="Times New Roman" w:cs="Times New Roman"/>
        </w:rPr>
        <w:t xml:space="preserve"> </w:t>
      </w:r>
      <w:r w:rsidRPr="00C2595C">
        <w:rPr>
          <w:rFonts w:ascii="Times New Roman" w:hAnsi="Times New Roman" w:cs="Times New Roman"/>
        </w:rPr>
        <w:t xml:space="preserve">certain regulatory definitions or </w:t>
      </w:r>
      <w:r w:rsidR="00A16E91">
        <w:rPr>
          <w:rFonts w:ascii="Times New Roman" w:hAnsi="Times New Roman" w:cs="Times New Roman"/>
        </w:rPr>
        <w:t>issues</w:t>
      </w:r>
      <w:r w:rsidRPr="00C2595C">
        <w:rPr>
          <w:rFonts w:ascii="Times New Roman" w:hAnsi="Times New Roman" w:cs="Times New Roman"/>
        </w:rPr>
        <w:t xml:space="preserve">. </w:t>
      </w:r>
      <w:r w:rsidR="00130F04">
        <w:rPr>
          <w:rFonts w:ascii="Times New Roman" w:hAnsi="Times New Roman" w:cs="Times New Roman"/>
        </w:rPr>
        <w:t>Some</w:t>
      </w:r>
      <w:r w:rsidRPr="00C2595C" w:rsidR="00130F04">
        <w:rPr>
          <w:rFonts w:ascii="Times New Roman" w:hAnsi="Times New Roman" w:cs="Times New Roman"/>
        </w:rPr>
        <w:t xml:space="preserve"> final</w:t>
      </w:r>
      <w:r w:rsidR="000D358B">
        <w:rPr>
          <w:rFonts w:ascii="Times New Roman" w:hAnsi="Times New Roman" w:cs="Times New Roman"/>
        </w:rPr>
        <w:t xml:space="preserve"> rule</w:t>
      </w:r>
      <w:r w:rsidRPr="00C2595C" w:rsidR="000D358B">
        <w:rPr>
          <w:rFonts w:ascii="Times New Roman" w:hAnsi="Times New Roman" w:cs="Times New Roman"/>
        </w:rPr>
        <w:t xml:space="preserve"> </w:t>
      </w:r>
      <w:r w:rsidRPr="00C2595C" w:rsidR="00ED6BCD">
        <w:rPr>
          <w:rFonts w:ascii="Times New Roman" w:hAnsi="Times New Roman" w:cs="Times New Roman"/>
        </w:rPr>
        <w:t xml:space="preserve">provisions </w:t>
      </w:r>
      <w:r w:rsidR="00843659">
        <w:rPr>
          <w:rFonts w:ascii="Times New Roman" w:hAnsi="Times New Roman" w:cs="Times New Roman"/>
        </w:rPr>
        <w:t>ta</w:t>
      </w:r>
      <w:r w:rsidRPr="00C2595C" w:rsidR="00ED6BCD">
        <w:rPr>
          <w:rFonts w:ascii="Times New Roman" w:hAnsi="Times New Roman" w:cs="Times New Roman"/>
        </w:rPr>
        <w:t xml:space="preserve">rget facilities in close proximity </w:t>
      </w:r>
      <w:r w:rsidRPr="00C2595C" w:rsidR="005C6B37">
        <w:rPr>
          <w:rFonts w:ascii="Times New Roman" w:hAnsi="Times New Roman" w:cs="Times New Roman"/>
        </w:rPr>
        <w:t xml:space="preserve">to </w:t>
      </w:r>
      <w:r w:rsidRPr="00C2595C" w:rsidR="00B42950">
        <w:rPr>
          <w:rFonts w:ascii="Times New Roman" w:hAnsi="Times New Roman" w:cs="Times New Roman"/>
        </w:rPr>
        <w:t xml:space="preserve">certain </w:t>
      </w:r>
      <w:r w:rsidRPr="00C2595C" w:rsidR="005C6B37">
        <w:rPr>
          <w:rFonts w:ascii="Times New Roman" w:hAnsi="Times New Roman" w:cs="Times New Roman"/>
        </w:rPr>
        <w:t>other facilities</w:t>
      </w:r>
      <w:r w:rsidRPr="00C2595C" w:rsidR="00ED6BCD">
        <w:rPr>
          <w:rFonts w:ascii="Times New Roman" w:hAnsi="Times New Roman" w:cs="Times New Roman"/>
        </w:rPr>
        <w:t xml:space="preserve"> and/or facilities that have had recent accidents</w:t>
      </w:r>
      <w:r w:rsidR="00A16E91">
        <w:rPr>
          <w:rFonts w:ascii="Times New Roman" w:hAnsi="Times New Roman" w:cs="Times New Roman"/>
        </w:rPr>
        <w:t xml:space="preserve"> and/or facilities using a certain hazardous process (HF alkylation)</w:t>
      </w:r>
      <w:r w:rsidRPr="00C2595C" w:rsidR="00ED6BCD">
        <w:rPr>
          <w:rFonts w:ascii="Times New Roman" w:hAnsi="Times New Roman" w:cs="Times New Roman"/>
        </w:rPr>
        <w:t xml:space="preserve">. </w:t>
      </w:r>
    </w:p>
    <w:p w:rsidR="00C2595C" w:rsidP="00C2595C" w14:paraId="25067681" w14:textId="77777777">
      <w:pPr>
        <w:spacing w:after="0" w:line="240" w:lineRule="auto"/>
        <w:rPr>
          <w:rFonts w:ascii="Times New Roman" w:hAnsi="Times New Roman" w:cs="Times New Roman"/>
          <w:b/>
          <w:bCs/>
        </w:rPr>
      </w:pPr>
    </w:p>
    <w:p w:rsidR="000B0389" w:rsidRPr="00C2595C" w:rsidP="000B0389" w14:paraId="03FCEAD7" w14:textId="77777777">
      <w:pPr>
        <w:pStyle w:val="Default"/>
        <w:rPr>
          <w:rFonts w:ascii="Times New Roman" w:hAnsi="Times New Roman" w:cs="Times New Roman"/>
          <w:b/>
          <w:sz w:val="22"/>
          <w:szCs w:val="22"/>
        </w:rPr>
      </w:pPr>
      <w:r w:rsidRPr="00C2595C">
        <w:rPr>
          <w:rFonts w:ascii="Times New Roman" w:hAnsi="Times New Roman" w:cs="Times New Roman"/>
          <w:b/>
          <w:sz w:val="22"/>
          <w:szCs w:val="22"/>
        </w:rPr>
        <w:t>Provisions Analyzed in this RIA</w:t>
      </w:r>
    </w:p>
    <w:p w:rsidR="003A7769" w:rsidRPr="00C2595C" w:rsidP="00EE068C" w14:paraId="18C9E185" w14:textId="77777777">
      <w:pPr>
        <w:spacing w:after="0" w:line="240" w:lineRule="auto"/>
        <w:rPr>
          <w:rFonts w:ascii="Times New Roman" w:hAnsi="Times New Roman" w:cs="Times New Roman"/>
        </w:rPr>
      </w:pPr>
      <w:r>
        <w:rPr>
          <w:rFonts w:ascii="Times New Roman" w:hAnsi="Times New Roman" w:cs="Times New Roman"/>
        </w:rPr>
        <w:tab/>
      </w:r>
      <w:r w:rsidRPr="00C2595C" w:rsidR="00470D9D">
        <w:rPr>
          <w:rFonts w:ascii="Times New Roman" w:hAnsi="Times New Roman" w:cs="Times New Roman"/>
        </w:rPr>
        <w:t>Th</w:t>
      </w:r>
      <w:r w:rsidRPr="00C2595C" w:rsidR="009366F2">
        <w:rPr>
          <w:rFonts w:ascii="Times New Roman" w:hAnsi="Times New Roman" w:cs="Times New Roman"/>
        </w:rPr>
        <w:t>is</w:t>
      </w:r>
      <w:r w:rsidRPr="00C2595C" w:rsidR="00470D9D">
        <w:rPr>
          <w:rFonts w:ascii="Times New Roman" w:hAnsi="Times New Roman" w:cs="Times New Roman"/>
        </w:rPr>
        <w:t xml:space="preserve"> </w:t>
      </w:r>
      <w:r w:rsidRPr="00C2595C" w:rsidR="00F828B6">
        <w:rPr>
          <w:rFonts w:ascii="Times New Roman" w:hAnsi="Times New Roman" w:cs="Times New Roman"/>
        </w:rPr>
        <w:t>Regulatory Impact Analysis (</w:t>
      </w:r>
      <w:r w:rsidRPr="00C2595C" w:rsidR="00470D9D">
        <w:rPr>
          <w:rFonts w:ascii="Times New Roman" w:hAnsi="Times New Roman" w:cs="Times New Roman"/>
        </w:rPr>
        <w:t>RIA</w:t>
      </w:r>
      <w:r w:rsidRPr="00C2595C" w:rsidR="00F828B6">
        <w:rPr>
          <w:rFonts w:ascii="Times New Roman" w:hAnsi="Times New Roman" w:cs="Times New Roman"/>
        </w:rPr>
        <w:t>)</w:t>
      </w:r>
      <w:r w:rsidRPr="00C2595C" w:rsidR="00470D9D">
        <w:rPr>
          <w:rFonts w:ascii="Times New Roman" w:hAnsi="Times New Roman" w:cs="Times New Roman"/>
        </w:rPr>
        <w:t xml:space="preserve"> analyze</w:t>
      </w:r>
      <w:r w:rsidRPr="00C2595C" w:rsidR="009366F2">
        <w:rPr>
          <w:rFonts w:ascii="Times New Roman" w:hAnsi="Times New Roman" w:cs="Times New Roman"/>
        </w:rPr>
        <w:t>s</w:t>
      </w:r>
      <w:r w:rsidRPr="00C2595C" w:rsidR="00470D9D">
        <w:rPr>
          <w:rFonts w:ascii="Times New Roman" w:hAnsi="Times New Roman" w:cs="Times New Roman"/>
        </w:rPr>
        <w:t xml:space="preserve"> the following new requirements and revisions to </w:t>
      </w:r>
      <w:r w:rsidR="005C1B6F">
        <w:rPr>
          <w:rFonts w:ascii="Times New Roman" w:hAnsi="Times New Roman" w:cs="Times New Roman"/>
        </w:rPr>
        <w:t>current</w:t>
      </w:r>
      <w:r w:rsidRPr="00C2595C" w:rsidR="00470D9D">
        <w:rPr>
          <w:rFonts w:ascii="Times New Roman" w:hAnsi="Times New Roman" w:cs="Times New Roman"/>
        </w:rPr>
        <w:t xml:space="preserve"> requirements</w:t>
      </w:r>
      <w:r w:rsidR="002A16D8">
        <w:rPr>
          <w:rFonts w:ascii="Times New Roman" w:hAnsi="Times New Roman" w:cs="Times New Roman"/>
        </w:rPr>
        <w:t>.</w:t>
      </w:r>
    </w:p>
    <w:p w:rsidR="000F7DFA" w:rsidP="00F03CB7" w14:paraId="13DD73A0" w14:textId="77777777">
      <w:pPr>
        <w:spacing w:after="0" w:line="240" w:lineRule="auto"/>
        <w:rPr>
          <w:rFonts w:ascii="Times New Roman" w:hAnsi="Times New Roman" w:cs="Times New Roman"/>
        </w:rPr>
      </w:pPr>
    </w:p>
    <w:p w:rsidR="00E80E2C" w:rsidP="009724D3" w14:paraId="31A97F77" w14:textId="77777777">
      <w:pPr>
        <w:spacing w:after="0" w:line="240" w:lineRule="auto"/>
        <w:rPr>
          <w:rFonts w:ascii="Times New Roman" w:hAnsi="Times New Roman" w:cs="Times New Roman"/>
        </w:rPr>
      </w:pPr>
      <w:r w:rsidRPr="00DA58AF">
        <w:rPr>
          <w:rFonts w:ascii="Times New Roman" w:hAnsi="Times New Roman" w:cs="Times New Roman"/>
          <w:b/>
          <w:bCs/>
        </w:rPr>
        <w:t>Prevention Program</w:t>
      </w:r>
    </w:p>
    <w:p w:rsidR="0068767E" w:rsidRPr="0003391E" w:rsidP="0068767E" w14:paraId="4E8BD6DD" w14:textId="77777777">
      <w:pPr>
        <w:spacing w:after="0" w:line="240" w:lineRule="auto"/>
        <w:rPr>
          <w:rFonts w:ascii="Times New Roman" w:hAnsi="Times New Roman" w:cs="Times New Roman"/>
          <w:i/>
        </w:rPr>
      </w:pPr>
      <w:r w:rsidRPr="0003391E">
        <w:rPr>
          <w:rFonts w:ascii="Times New Roman" w:hAnsi="Times New Roman" w:cs="Times New Roman"/>
          <w:i/>
        </w:rPr>
        <w:t>Safer Technology and Alternatives Analysis (STAA)— (</w:t>
      </w:r>
      <w:r>
        <w:rPr>
          <w:rFonts w:ascii="Times New Roman" w:hAnsi="Times New Roman" w:cs="Times New Roman"/>
          <w:i/>
        </w:rPr>
        <w:t>R</w:t>
      </w:r>
      <w:r w:rsidRPr="0003391E">
        <w:rPr>
          <w:rFonts w:ascii="Times New Roman" w:hAnsi="Times New Roman" w:cs="Times New Roman"/>
          <w:i/>
        </w:rPr>
        <w:t>evisions apply to §68.3 and §68.67)</w:t>
      </w:r>
    </w:p>
    <w:p w:rsidR="0068767E" w:rsidP="0068767E" w14:paraId="65BEC5EF" w14:textId="77777777">
      <w:pPr>
        <w:spacing w:after="0" w:line="240" w:lineRule="auto"/>
        <w:ind w:firstLine="360"/>
        <w:rPr>
          <w:rFonts w:ascii="Times New Roman" w:hAnsi="Times New Roman" w:cs="Times New Roman"/>
        </w:rPr>
      </w:pPr>
      <w:r>
        <w:rPr>
          <w:rFonts w:ascii="Times New Roman" w:hAnsi="Times New Roman" w:cs="Times New Roman"/>
        </w:rPr>
        <w:tab/>
        <w:t>The current RMP rule does not require</w:t>
      </w:r>
      <w:r w:rsidRPr="0003391E">
        <w:rPr>
          <w:rFonts w:ascii="Times New Roman" w:hAnsi="Times New Roman" w:cs="Times New Roman"/>
        </w:rPr>
        <w:t xml:space="preserve"> facilities to conduct a STAA. </w:t>
      </w:r>
      <w:r w:rsidRPr="00691344">
        <w:rPr>
          <w:rFonts w:ascii="Times New Roman" w:hAnsi="Times New Roman" w:cs="Times New Roman"/>
        </w:rPr>
        <w:t>The</w:t>
      </w:r>
      <w:r w:rsidR="00C84666">
        <w:rPr>
          <w:rFonts w:ascii="Times New Roman" w:hAnsi="Times New Roman" w:cs="Times New Roman"/>
        </w:rPr>
        <w:t xml:space="preserve"> final rule</w:t>
      </w:r>
      <w:r w:rsidRPr="00691344">
        <w:rPr>
          <w:rFonts w:ascii="Times New Roman" w:hAnsi="Times New Roman" w:cs="Times New Roman"/>
        </w:rPr>
        <w:t xml:space="preserve"> STAA requirement includes two parts: the </w:t>
      </w:r>
      <w:r w:rsidR="00E25B3A">
        <w:rPr>
          <w:rFonts w:ascii="Times New Roman" w:hAnsi="Times New Roman" w:cs="Times New Roman"/>
        </w:rPr>
        <w:t>initial evaluation</w:t>
      </w:r>
      <w:r w:rsidRPr="00691344">
        <w:rPr>
          <w:rFonts w:ascii="Times New Roman" w:hAnsi="Times New Roman" w:cs="Times New Roman"/>
        </w:rPr>
        <w:t xml:space="preserve"> to identify alternatives and a </w:t>
      </w:r>
      <w:r w:rsidR="00E25B3A">
        <w:rPr>
          <w:rFonts w:ascii="Times New Roman" w:hAnsi="Times New Roman" w:cs="Times New Roman"/>
        </w:rPr>
        <w:t>practicability assessment</w:t>
      </w:r>
      <w:r w:rsidRPr="00691344">
        <w:rPr>
          <w:rFonts w:ascii="Times New Roman" w:hAnsi="Times New Roman" w:cs="Times New Roman"/>
        </w:rPr>
        <w:t xml:space="preserve"> to determine the costs and assess the reasonableness of implementing technology alternatives. </w:t>
      </w:r>
      <w:r w:rsidRPr="0003391E">
        <w:rPr>
          <w:rFonts w:ascii="Times New Roman" w:hAnsi="Times New Roman" w:cs="Times New Roman"/>
        </w:rPr>
        <w:t xml:space="preserve">Under the </w:t>
      </w:r>
      <w:r>
        <w:rPr>
          <w:rFonts w:ascii="Times New Roman" w:hAnsi="Times New Roman" w:cs="Times New Roman"/>
        </w:rPr>
        <w:t>final</w:t>
      </w:r>
      <w:r w:rsidRPr="0003391E">
        <w:rPr>
          <w:rFonts w:ascii="Times New Roman" w:hAnsi="Times New Roman" w:cs="Times New Roman"/>
        </w:rPr>
        <w:t xml:space="preserve"> rule, </w:t>
      </w:r>
      <w:r>
        <w:rPr>
          <w:rFonts w:ascii="Times New Roman" w:hAnsi="Times New Roman" w:cs="Times New Roman"/>
        </w:rPr>
        <w:t xml:space="preserve">all </w:t>
      </w:r>
      <w:r w:rsidRPr="0003391E">
        <w:rPr>
          <w:rFonts w:ascii="Times New Roman" w:hAnsi="Times New Roman" w:cs="Times New Roman"/>
        </w:rPr>
        <w:t xml:space="preserve">facilities with Program 3 processes in </w:t>
      </w:r>
      <w:r w:rsidRPr="006A1268" w:rsidR="006A1268">
        <w:rPr>
          <w:rFonts w:ascii="Times New Roman" w:hAnsi="Times New Roman" w:cs="Times New Roman"/>
        </w:rPr>
        <w:t xml:space="preserve">North American Industrial Classification System </w:t>
      </w:r>
      <w:r w:rsidR="006A1268">
        <w:rPr>
          <w:rFonts w:ascii="Times New Roman" w:hAnsi="Times New Roman" w:cs="Times New Roman"/>
        </w:rPr>
        <w:t>(</w:t>
      </w:r>
      <w:r w:rsidRPr="0003391E">
        <w:rPr>
          <w:rFonts w:ascii="Times New Roman" w:hAnsi="Times New Roman" w:cs="Times New Roman"/>
        </w:rPr>
        <w:t>NAICS</w:t>
      </w:r>
      <w:r w:rsidR="006A1268">
        <w:rPr>
          <w:rFonts w:ascii="Times New Roman" w:hAnsi="Times New Roman" w:cs="Times New Roman"/>
        </w:rPr>
        <w:t>)</w:t>
      </w:r>
      <w:r w:rsidRPr="0003391E">
        <w:rPr>
          <w:rFonts w:ascii="Times New Roman" w:hAnsi="Times New Roman" w:cs="Times New Roman"/>
        </w:rPr>
        <w:t xml:space="preserve"> code 324 and 325</w:t>
      </w:r>
      <w:r>
        <w:rPr>
          <w:rFonts w:ascii="Times New Roman" w:hAnsi="Times New Roman" w:cs="Times New Roman"/>
        </w:rPr>
        <w:t xml:space="preserve"> are required to conduct the </w:t>
      </w:r>
      <w:r w:rsidR="00E25B3A">
        <w:rPr>
          <w:rFonts w:ascii="Times New Roman" w:hAnsi="Times New Roman" w:cs="Times New Roman"/>
        </w:rPr>
        <w:t>initial evaluation</w:t>
      </w:r>
      <w:r>
        <w:rPr>
          <w:rFonts w:ascii="Times New Roman" w:hAnsi="Times New Roman" w:cs="Times New Roman"/>
        </w:rPr>
        <w:t>. Of those facilities, facilities</w:t>
      </w:r>
      <w:r w:rsidRPr="0003391E">
        <w:rPr>
          <w:rFonts w:ascii="Times New Roman" w:hAnsi="Times New Roman" w:cs="Times New Roman"/>
        </w:rPr>
        <w:t xml:space="preserve"> </w:t>
      </w:r>
      <w:r w:rsidR="00C84666">
        <w:rPr>
          <w:rFonts w:ascii="Times New Roman" w:hAnsi="Times New Roman" w:cs="Times New Roman"/>
        </w:rPr>
        <w:t>that have had</w:t>
      </w:r>
      <w:r>
        <w:rPr>
          <w:rFonts w:ascii="Times New Roman" w:hAnsi="Times New Roman" w:cs="Times New Roman"/>
        </w:rPr>
        <w:t xml:space="preserve"> an accident </w:t>
      </w:r>
      <w:r w:rsidRPr="001D4AB4" w:rsidR="001D4AB4">
        <w:rPr>
          <w:rFonts w:ascii="Times New Roman" w:hAnsi="Times New Roman" w:cs="Times New Roman"/>
        </w:rPr>
        <w:t>since the</w:t>
      </w:r>
      <w:r w:rsidR="00EE0624">
        <w:rPr>
          <w:rFonts w:ascii="Times New Roman" w:hAnsi="Times New Roman" w:cs="Times New Roman"/>
        </w:rPr>
        <w:t>ir</w:t>
      </w:r>
      <w:r w:rsidRPr="001D4AB4" w:rsidR="001D4AB4">
        <w:rPr>
          <w:rFonts w:ascii="Times New Roman" w:hAnsi="Times New Roman" w:cs="Times New Roman"/>
        </w:rPr>
        <w:t xml:space="preserve"> most recent </w:t>
      </w:r>
      <w:r w:rsidR="003811A6">
        <w:rPr>
          <w:rFonts w:ascii="Times New Roman" w:hAnsi="Times New Roman" w:cs="Times New Roman"/>
        </w:rPr>
        <w:t>Pro</w:t>
      </w:r>
      <w:r w:rsidRPr="001D4AB4" w:rsidR="001D4AB4">
        <w:rPr>
          <w:rFonts w:ascii="Times New Roman" w:hAnsi="Times New Roman" w:cs="Times New Roman"/>
        </w:rPr>
        <w:t xml:space="preserve">cess </w:t>
      </w:r>
      <w:r w:rsidR="003811A6">
        <w:rPr>
          <w:rFonts w:ascii="Times New Roman" w:hAnsi="Times New Roman" w:cs="Times New Roman"/>
        </w:rPr>
        <w:t>H</w:t>
      </w:r>
      <w:r w:rsidRPr="001D4AB4" w:rsidR="001D4AB4">
        <w:rPr>
          <w:rFonts w:ascii="Times New Roman" w:hAnsi="Times New Roman" w:cs="Times New Roman"/>
        </w:rPr>
        <w:t xml:space="preserve">azard </w:t>
      </w:r>
      <w:r w:rsidR="003811A6">
        <w:rPr>
          <w:rFonts w:ascii="Times New Roman" w:hAnsi="Times New Roman" w:cs="Times New Roman"/>
        </w:rPr>
        <w:t>A</w:t>
      </w:r>
      <w:r w:rsidRPr="001D4AB4" w:rsidR="001D4AB4">
        <w:rPr>
          <w:rFonts w:ascii="Times New Roman" w:hAnsi="Times New Roman" w:cs="Times New Roman"/>
        </w:rPr>
        <w:t xml:space="preserve">nalysis </w:t>
      </w:r>
      <w:r w:rsidR="00090486">
        <w:rPr>
          <w:rFonts w:ascii="Times New Roman" w:hAnsi="Times New Roman" w:cs="Times New Roman"/>
        </w:rPr>
        <w:t xml:space="preserve">(PHA) </w:t>
      </w:r>
      <w:r>
        <w:rPr>
          <w:rFonts w:ascii="Times New Roman" w:hAnsi="Times New Roman" w:cs="Times New Roman"/>
        </w:rPr>
        <w:t>or</w:t>
      </w:r>
      <w:r w:rsidR="00090486">
        <w:rPr>
          <w:rFonts w:ascii="Times New Roman" w:hAnsi="Times New Roman" w:cs="Times New Roman"/>
        </w:rPr>
        <w:t xml:space="preserve"> are</w:t>
      </w:r>
      <w:r w:rsidRPr="0003391E">
        <w:rPr>
          <w:rFonts w:ascii="Times New Roman" w:hAnsi="Times New Roman" w:cs="Times New Roman"/>
        </w:rPr>
        <w:t xml:space="preserve"> located within one mile of another </w:t>
      </w:r>
      <w:r>
        <w:rPr>
          <w:rFonts w:ascii="Times New Roman" w:hAnsi="Times New Roman" w:cs="Times New Roman"/>
        </w:rPr>
        <w:t xml:space="preserve">facility with </w:t>
      </w:r>
      <w:r w:rsidRPr="0003391E">
        <w:rPr>
          <w:rFonts w:ascii="Times New Roman" w:hAnsi="Times New Roman" w:cs="Times New Roman"/>
        </w:rPr>
        <w:t xml:space="preserve">a process in NAICS code 324 or 325, </w:t>
      </w:r>
      <w:r w:rsidR="00090486">
        <w:rPr>
          <w:rFonts w:ascii="Times New Roman" w:hAnsi="Times New Roman" w:cs="Times New Roman"/>
        </w:rPr>
        <w:t xml:space="preserve">also </w:t>
      </w:r>
      <w:r w:rsidR="00001356">
        <w:rPr>
          <w:rFonts w:ascii="Times New Roman" w:hAnsi="Times New Roman" w:cs="Times New Roman"/>
        </w:rPr>
        <w:t>are</w:t>
      </w:r>
      <w:r w:rsidRPr="0003391E">
        <w:rPr>
          <w:rFonts w:ascii="Times New Roman" w:hAnsi="Times New Roman" w:cs="Times New Roman"/>
        </w:rPr>
        <w:t xml:space="preserve"> required to conduct a </w:t>
      </w:r>
      <w:r w:rsidR="00E25B3A">
        <w:rPr>
          <w:rFonts w:ascii="Times New Roman" w:hAnsi="Times New Roman" w:cs="Times New Roman"/>
        </w:rPr>
        <w:t>practicability assessment</w:t>
      </w:r>
      <w:r>
        <w:rPr>
          <w:rFonts w:ascii="Times New Roman" w:hAnsi="Times New Roman" w:cs="Times New Roman"/>
        </w:rPr>
        <w:t>.</w:t>
      </w:r>
      <w:r>
        <w:rPr>
          <w:rStyle w:val="FootnoteReference"/>
          <w:rFonts w:ascii="Times New Roman" w:hAnsi="Times New Roman" w:cs="Times New Roman"/>
        </w:rPr>
        <w:footnoteReference w:id="4"/>
      </w:r>
      <w:r w:rsidRPr="0003391E">
        <w:rPr>
          <w:rFonts w:ascii="Times New Roman" w:hAnsi="Times New Roman" w:cs="Times New Roman"/>
        </w:rPr>
        <w:t xml:space="preserve"> The </w:t>
      </w:r>
      <w:r>
        <w:rPr>
          <w:rFonts w:ascii="Times New Roman" w:hAnsi="Times New Roman" w:cs="Times New Roman"/>
        </w:rPr>
        <w:t>final</w:t>
      </w:r>
      <w:r w:rsidRPr="0003391E">
        <w:rPr>
          <w:rFonts w:ascii="Times New Roman" w:hAnsi="Times New Roman" w:cs="Times New Roman"/>
        </w:rPr>
        <w:t xml:space="preserve"> rule also require</w:t>
      </w:r>
      <w:r>
        <w:rPr>
          <w:rFonts w:ascii="Times New Roman" w:hAnsi="Times New Roman" w:cs="Times New Roman"/>
        </w:rPr>
        <w:t>s</w:t>
      </w:r>
      <w:r w:rsidRPr="0003391E">
        <w:rPr>
          <w:rFonts w:ascii="Times New Roman" w:hAnsi="Times New Roman" w:cs="Times New Roman"/>
        </w:rPr>
        <w:t xml:space="preserve"> that all facilities in NAICS 324 using hydrofluoric acid (HF) in an alkylation unit (approximately 45 facilities) </w:t>
      </w:r>
      <w:r>
        <w:rPr>
          <w:rFonts w:ascii="Times New Roman" w:hAnsi="Times New Roman" w:cs="Times New Roman"/>
        </w:rPr>
        <w:t xml:space="preserve">conduct a </w:t>
      </w:r>
      <w:r w:rsidR="00E25B3A">
        <w:rPr>
          <w:rFonts w:ascii="Times New Roman" w:hAnsi="Times New Roman" w:cs="Times New Roman"/>
        </w:rPr>
        <w:t>practicability assessment</w:t>
      </w:r>
      <w:r>
        <w:rPr>
          <w:rFonts w:ascii="Times New Roman" w:hAnsi="Times New Roman" w:cs="Times New Roman"/>
        </w:rPr>
        <w:t xml:space="preserve"> to assess inherently</w:t>
      </w:r>
      <w:r w:rsidRPr="0003391E">
        <w:rPr>
          <w:rFonts w:ascii="Times New Roman" w:hAnsi="Times New Roman" w:cs="Times New Roman"/>
        </w:rPr>
        <w:t xml:space="preserve"> safer alternatives to HF alkylation, regardless of </w:t>
      </w:r>
      <w:r>
        <w:rPr>
          <w:rFonts w:ascii="Times New Roman" w:hAnsi="Times New Roman" w:cs="Times New Roman"/>
        </w:rPr>
        <w:t xml:space="preserve">accident history or </w:t>
      </w:r>
      <w:r w:rsidRPr="0003391E">
        <w:rPr>
          <w:rFonts w:ascii="Times New Roman" w:hAnsi="Times New Roman" w:cs="Times New Roman"/>
        </w:rPr>
        <w:t>proximity to another NAICS 324- or 325-regulated facility.</w:t>
      </w:r>
      <w:r w:rsidR="00BC29A7">
        <w:rPr>
          <w:rFonts w:ascii="Times New Roman" w:hAnsi="Times New Roman" w:cs="Times New Roman"/>
        </w:rPr>
        <w:t xml:space="preserve"> </w:t>
      </w:r>
    </w:p>
    <w:p w:rsidR="0068767E" w:rsidRPr="0003391E" w:rsidP="0068767E" w14:paraId="62BC4002" w14:textId="77777777">
      <w:pPr>
        <w:spacing w:after="0" w:line="240" w:lineRule="auto"/>
        <w:rPr>
          <w:rFonts w:ascii="Times New Roman" w:hAnsi="Times New Roman" w:cs="Times New Roman"/>
        </w:rPr>
      </w:pPr>
    </w:p>
    <w:p w:rsidR="0068767E" w:rsidRPr="0003391E" w:rsidP="0068767E" w14:paraId="6AF072ED" w14:textId="77777777">
      <w:pPr>
        <w:spacing w:after="0" w:line="240" w:lineRule="auto"/>
        <w:rPr>
          <w:rFonts w:ascii="Times New Roman" w:hAnsi="Times New Roman" w:cs="Times New Roman"/>
          <w:i/>
        </w:rPr>
      </w:pPr>
      <w:r>
        <w:rPr>
          <w:rFonts w:ascii="Times New Roman" w:hAnsi="Times New Roman" w:cs="Times New Roman"/>
          <w:i/>
        </w:rPr>
        <w:t>STAA Implementation</w:t>
      </w:r>
      <w:r w:rsidRPr="0003391E">
        <w:rPr>
          <w:rFonts w:ascii="Times New Roman" w:hAnsi="Times New Roman" w:cs="Times New Roman"/>
          <w:i/>
        </w:rPr>
        <w:t>— (</w:t>
      </w:r>
      <w:r>
        <w:rPr>
          <w:rFonts w:ascii="Times New Roman" w:hAnsi="Times New Roman" w:cs="Times New Roman"/>
          <w:i/>
        </w:rPr>
        <w:t>R</w:t>
      </w:r>
      <w:r w:rsidRPr="0003391E">
        <w:rPr>
          <w:rFonts w:ascii="Times New Roman" w:hAnsi="Times New Roman" w:cs="Times New Roman"/>
          <w:i/>
        </w:rPr>
        <w:t>evisions apply to §68.3 and §68.67)</w:t>
      </w:r>
    </w:p>
    <w:p w:rsidR="0068767E" w:rsidP="0068767E" w14:paraId="2575E503" w14:textId="77777777">
      <w:pPr>
        <w:spacing w:after="0" w:line="240" w:lineRule="auto"/>
        <w:ind w:firstLine="360"/>
        <w:rPr>
          <w:rFonts w:ascii="Times New Roman" w:hAnsi="Times New Roman" w:cs="Times New Roman"/>
        </w:rPr>
      </w:pPr>
      <w:r>
        <w:rPr>
          <w:rFonts w:ascii="Times New Roman" w:hAnsi="Times New Roman" w:cs="Times New Roman"/>
        </w:rPr>
        <w:tab/>
        <w:t xml:space="preserve">Under the final rule, all facilities required to conduct a STAA </w:t>
      </w:r>
      <w:r w:rsidR="00E25B3A">
        <w:rPr>
          <w:rFonts w:ascii="Times New Roman" w:hAnsi="Times New Roman" w:cs="Times New Roman"/>
        </w:rPr>
        <w:t>practicability assessment</w:t>
      </w:r>
      <w:r>
        <w:rPr>
          <w:rFonts w:ascii="Times New Roman" w:hAnsi="Times New Roman" w:cs="Times New Roman"/>
        </w:rPr>
        <w:t xml:space="preserve"> (i.e., </w:t>
      </w:r>
      <w:r w:rsidRPr="0003391E">
        <w:rPr>
          <w:rFonts w:ascii="Times New Roman" w:hAnsi="Times New Roman" w:cs="Times New Roman"/>
        </w:rPr>
        <w:t>Program 3 NAICS 324 and 325</w:t>
      </w:r>
      <w:r>
        <w:rPr>
          <w:rFonts w:ascii="Times New Roman" w:hAnsi="Times New Roman" w:cs="Times New Roman"/>
        </w:rPr>
        <w:t xml:space="preserve"> facilities</w:t>
      </w:r>
      <w:r w:rsidRPr="0003391E">
        <w:rPr>
          <w:rFonts w:ascii="Times New Roman" w:hAnsi="Times New Roman" w:cs="Times New Roman"/>
        </w:rPr>
        <w:t xml:space="preserve"> </w:t>
      </w:r>
      <w:r w:rsidR="00C84666">
        <w:rPr>
          <w:rFonts w:ascii="Times New Roman" w:hAnsi="Times New Roman" w:cs="Times New Roman"/>
        </w:rPr>
        <w:t xml:space="preserve">that have had </w:t>
      </w:r>
      <w:r>
        <w:rPr>
          <w:rFonts w:ascii="Times New Roman" w:hAnsi="Times New Roman" w:cs="Times New Roman"/>
        </w:rPr>
        <w:t xml:space="preserve">an accident </w:t>
      </w:r>
      <w:r w:rsidRPr="001D4AB4" w:rsidR="001D4AB4">
        <w:rPr>
          <w:rFonts w:ascii="Times New Roman" w:hAnsi="Times New Roman" w:cs="Times New Roman"/>
        </w:rPr>
        <w:t>since the</w:t>
      </w:r>
      <w:r w:rsidR="00EE0624">
        <w:rPr>
          <w:rFonts w:ascii="Times New Roman" w:hAnsi="Times New Roman" w:cs="Times New Roman"/>
        </w:rPr>
        <w:t>ir</w:t>
      </w:r>
      <w:r w:rsidRPr="001D4AB4" w:rsidR="001D4AB4">
        <w:rPr>
          <w:rFonts w:ascii="Times New Roman" w:hAnsi="Times New Roman" w:cs="Times New Roman"/>
        </w:rPr>
        <w:t xml:space="preserve"> most recent </w:t>
      </w:r>
      <w:r w:rsidR="003D312E">
        <w:rPr>
          <w:rFonts w:ascii="Times New Roman" w:hAnsi="Times New Roman" w:cs="Times New Roman"/>
        </w:rPr>
        <w:t>PHA</w:t>
      </w:r>
      <w:r>
        <w:rPr>
          <w:rFonts w:ascii="Times New Roman" w:hAnsi="Times New Roman" w:cs="Times New Roman"/>
        </w:rPr>
        <w:t>, with an HF unit in a NAICS 324 process, or</w:t>
      </w:r>
      <w:r w:rsidRPr="0003391E">
        <w:rPr>
          <w:rFonts w:ascii="Times New Roman" w:hAnsi="Times New Roman" w:cs="Times New Roman"/>
        </w:rPr>
        <w:t xml:space="preserve"> </w:t>
      </w:r>
      <w:r w:rsidR="003D312E">
        <w:rPr>
          <w:rFonts w:ascii="Times New Roman" w:hAnsi="Times New Roman" w:cs="Times New Roman"/>
        </w:rPr>
        <w:t xml:space="preserve">are </w:t>
      </w:r>
      <w:r>
        <w:rPr>
          <w:rFonts w:ascii="Times New Roman" w:hAnsi="Times New Roman" w:cs="Times New Roman"/>
        </w:rPr>
        <w:t xml:space="preserve">located </w:t>
      </w:r>
      <w:r w:rsidRPr="0003391E">
        <w:rPr>
          <w:rFonts w:ascii="Times New Roman" w:hAnsi="Times New Roman" w:cs="Times New Roman"/>
        </w:rPr>
        <w:t xml:space="preserve">within one mile of another </w:t>
      </w:r>
      <w:r>
        <w:rPr>
          <w:rFonts w:ascii="Times New Roman" w:hAnsi="Times New Roman" w:cs="Times New Roman"/>
        </w:rPr>
        <w:t xml:space="preserve">facility with a </w:t>
      </w:r>
      <w:r w:rsidRPr="0003391E">
        <w:rPr>
          <w:rFonts w:ascii="Times New Roman" w:hAnsi="Times New Roman" w:cs="Times New Roman"/>
        </w:rPr>
        <w:t>NAICS 324 or 325</w:t>
      </w:r>
      <w:r>
        <w:rPr>
          <w:rFonts w:ascii="Times New Roman" w:hAnsi="Times New Roman" w:cs="Times New Roman"/>
        </w:rPr>
        <w:t xml:space="preserve"> process)</w:t>
      </w:r>
      <w:r w:rsidRPr="0003391E">
        <w:rPr>
          <w:rFonts w:ascii="Times New Roman" w:hAnsi="Times New Roman" w:cs="Times New Roman"/>
        </w:rPr>
        <w:t xml:space="preserve"> </w:t>
      </w:r>
      <w:r w:rsidR="003D312E">
        <w:rPr>
          <w:rFonts w:ascii="Times New Roman" w:hAnsi="Times New Roman" w:cs="Times New Roman"/>
        </w:rPr>
        <w:t xml:space="preserve">also </w:t>
      </w:r>
      <w:r>
        <w:rPr>
          <w:rFonts w:ascii="Times New Roman" w:hAnsi="Times New Roman" w:cs="Times New Roman"/>
        </w:rPr>
        <w:t>are</w:t>
      </w:r>
      <w:r w:rsidRPr="0003391E">
        <w:rPr>
          <w:rFonts w:ascii="Times New Roman" w:hAnsi="Times New Roman" w:cs="Times New Roman"/>
        </w:rPr>
        <w:t xml:space="preserve"> </w:t>
      </w:r>
      <w:r>
        <w:rPr>
          <w:rFonts w:ascii="Times New Roman" w:hAnsi="Times New Roman" w:cs="Times New Roman"/>
        </w:rPr>
        <w:t xml:space="preserve"> </w:t>
      </w:r>
      <w:r w:rsidRPr="0003391E">
        <w:rPr>
          <w:rFonts w:ascii="Times New Roman" w:hAnsi="Times New Roman" w:cs="Times New Roman"/>
        </w:rPr>
        <w:t xml:space="preserve">required to </w:t>
      </w:r>
      <w:r>
        <w:rPr>
          <w:rFonts w:ascii="Times New Roman" w:hAnsi="Times New Roman" w:cs="Times New Roman"/>
        </w:rPr>
        <w:t xml:space="preserve">implement </w:t>
      </w:r>
      <w:r w:rsidRPr="00815D5F" w:rsidR="00815D5F">
        <w:rPr>
          <w:rFonts w:ascii="Times New Roman" w:hAnsi="Times New Roman" w:cs="Times New Roman"/>
        </w:rPr>
        <w:t xml:space="preserve">at least one passive measure at the </w:t>
      </w:r>
      <w:r w:rsidR="00815D5F">
        <w:rPr>
          <w:rFonts w:ascii="Times New Roman" w:hAnsi="Times New Roman" w:cs="Times New Roman"/>
        </w:rPr>
        <w:t>facility</w:t>
      </w:r>
      <w:r w:rsidRPr="00815D5F" w:rsidR="00815D5F">
        <w:rPr>
          <w:rFonts w:ascii="Times New Roman" w:hAnsi="Times New Roman" w:cs="Times New Roman"/>
        </w:rPr>
        <w:t xml:space="preserve">, or an inherently safer technology or design, or a combination of active and procedural measures </w:t>
      </w:r>
      <w:r w:rsidR="00A31E0C">
        <w:rPr>
          <w:rFonts w:ascii="Times New Roman" w:hAnsi="Times New Roman" w:cs="Times New Roman"/>
        </w:rPr>
        <w:t>causing</w:t>
      </w:r>
      <w:r w:rsidRPr="00815D5F" w:rsidR="00815D5F">
        <w:rPr>
          <w:rFonts w:ascii="Times New Roman" w:hAnsi="Times New Roman" w:cs="Times New Roman"/>
        </w:rPr>
        <w:t xml:space="preserve"> equivalent to or greater than the risk reduction of a passive measure</w:t>
      </w:r>
      <w:r w:rsidRPr="0003391E">
        <w:rPr>
          <w:rFonts w:ascii="Times New Roman" w:hAnsi="Times New Roman" w:cs="Times New Roman"/>
        </w:rPr>
        <w:t xml:space="preserve">. EPA </w:t>
      </w:r>
      <w:r>
        <w:rPr>
          <w:rFonts w:ascii="Times New Roman" w:hAnsi="Times New Roman" w:cs="Times New Roman"/>
        </w:rPr>
        <w:t xml:space="preserve">is providing facilities with flexibility to choose either one or a combination of </w:t>
      </w:r>
      <w:r w:rsidR="00351F26">
        <w:rPr>
          <w:rFonts w:ascii="Times New Roman" w:hAnsi="Times New Roman" w:cs="Times New Roman"/>
        </w:rPr>
        <w:t>inherently safer technolog</w:t>
      </w:r>
      <w:r w:rsidR="00093FAB">
        <w:rPr>
          <w:rFonts w:ascii="Times New Roman" w:hAnsi="Times New Roman" w:cs="Times New Roman"/>
        </w:rPr>
        <w:t xml:space="preserve">y </w:t>
      </w:r>
      <w:r w:rsidR="001B098A">
        <w:rPr>
          <w:rFonts w:ascii="Times New Roman" w:hAnsi="Times New Roman" w:cs="Times New Roman"/>
        </w:rPr>
        <w:t>(IST)</w:t>
      </w:r>
      <w:r w:rsidR="00351F26">
        <w:rPr>
          <w:rFonts w:ascii="Times New Roman" w:hAnsi="Times New Roman" w:cs="Times New Roman"/>
        </w:rPr>
        <w:t xml:space="preserve"> or</w:t>
      </w:r>
      <w:r w:rsidR="001B098A">
        <w:rPr>
          <w:rFonts w:ascii="Times New Roman" w:hAnsi="Times New Roman" w:cs="Times New Roman"/>
        </w:rPr>
        <w:t xml:space="preserve"> inherently safer</w:t>
      </w:r>
      <w:r w:rsidR="00351F26">
        <w:rPr>
          <w:rFonts w:ascii="Times New Roman" w:hAnsi="Times New Roman" w:cs="Times New Roman"/>
        </w:rPr>
        <w:t xml:space="preserve"> design</w:t>
      </w:r>
      <w:r>
        <w:rPr>
          <w:rFonts w:ascii="Times New Roman" w:hAnsi="Times New Roman" w:cs="Times New Roman"/>
        </w:rPr>
        <w:t xml:space="preserve"> </w:t>
      </w:r>
      <w:r w:rsidR="00351F26">
        <w:rPr>
          <w:rFonts w:ascii="Times New Roman" w:hAnsi="Times New Roman" w:cs="Times New Roman"/>
        </w:rPr>
        <w:t>(</w:t>
      </w:r>
      <w:r w:rsidR="00635428">
        <w:rPr>
          <w:rFonts w:ascii="Times New Roman" w:hAnsi="Times New Roman" w:cs="Times New Roman"/>
        </w:rPr>
        <w:t>ISD</w:t>
      </w:r>
      <w:r w:rsidR="00351F26">
        <w:rPr>
          <w:rFonts w:ascii="Times New Roman" w:hAnsi="Times New Roman" w:cs="Times New Roman"/>
        </w:rPr>
        <w:t>)</w:t>
      </w:r>
      <w:r>
        <w:rPr>
          <w:rFonts w:ascii="Times New Roman" w:hAnsi="Times New Roman" w:cs="Times New Roman"/>
        </w:rPr>
        <w:t xml:space="preserve">, passive, active, or procedural measures, </w:t>
      </w:r>
      <w:r w:rsidR="003D312E">
        <w:rPr>
          <w:rFonts w:ascii="Times New Roman" w:hAnsi="Times New Roman" w:cs="Times New Roman"/>
        </w:rPr>
        <w:t>p</w:t>
      </w:r>
      <w:r w:rsidR="00093FAB">
        <w:rPr>
          <w:rFonts w:ascii="Times New Roman" w:hAnsi="Times New Roman" w:cs="Times New Roman"/>
        </w:rPr>
        <w:t xml:space="preserve">rovided </w:t>
      </w:r>
      <w:r>
        <w:rPr>
          <w:rFonts w:ascii="Times New Roman" w:hAnsi="Times New Roman" w:cs="Times New Roman"/>
        </w:rPr>
        <w:t xml:space="preserve">it </w:t>
      </w:r>
      <w:r w:rsidR="00F72D37">
        <w:rPr>
          <w:rFonts w:ascii="Times New Roman" w:hAnsi="Times New Roman" w:cs="Times New Roman"/>
        </w:rPr>
        <w:t>reduces risk</w:t>
      </w:r>
      <w:r>
        <w:rPr>
          <w:rFonts w:ascii="Times New Roman" w:hAnsi="Times New Roman" w:cs="Times New Roman"/>
        </w:rPr>
        <w:t xml:space="preserve"> at least as much as a practicable passive measure </w:t>
      </w:r>
      <w:r w:rsidR="000E7A75">
        <w:rPr>
          <w:rFonts w:ascii="Times New Roman" w:hAnsi="Times New Roman" w:cs="Times New Roman"/>
        </w:rPr>
        <w:t>would achieve</w:t>
      </w:r>
      <w:r>
        <w:rPr>
          <w:rFonts w:ascii="Times New Roman" w:hAnsi="Times New Roman" w:cs="Times New Roman"/>
        </w:rPr>
        <w:t>.</w:t>
      </w:r>
    </w:p>
    <w:p w:rsidR="0068767E" w:rsidRPr="0003391E" w:rsidP="0068767E" w14:paraId="36DF61C2" w14:textId="77777777">
      <w:pPr>
        <w:spacing w:after="0" w:line="240" w:lineRule="auto"/>
        <w:rPr>
          <w:rFonts w:ascii="Times New Roman" w:hAnsi="Times New Roman" w:cs="Times New Roman"/>
        </w:rPr>
      </w:pPr>
    </w:p>
    <w:p w:rsidR="0068767E" w:rsidRPr="0003391E" w:rsidP="0068767E" w14:paraId="32B615C3" w14:textId="77777777">
      <w:pPr>
        <w:spacing w:after="0" w:line="240" w:lineRule="auto"/>
        <w:rPr>
          <w:rFonts w:ascii="Times New Roman" w:hAnsi="Times New Roman" w:cs="Times New Roman"/>
          <w:i/>
        </w:rPr>
      </w:pPr>
      <w:r w:rsidRPr="0003391E">
        <w:rPr>
          <w:rFonts w:ascii="Times New Roman" w:hAnsi="Times New Roman" w:cs="Times New Roman"/>
          <w:i/>
        </w:rPr>
        <w:t>Root Cause Analysis— (</w:t>
      </w:r>
      <w:r>
        <w:rPr>
          <w:rFonts w:ascii="Times New Roman" w:hAnsi="Times New Roman" w:cs="Times New Roman"/>
          <w:i/>
        </w:rPr>
        <w:t>R</w:t>
      </w:r>
      <w:r w:rsidRPr="0003391E">
        <w:rPr>
          <w:rFonts w:ascii="Times New Roman" w:hAnsi="Times New Roman" w:cs="Times New Roman"/>
          <w:i/>
        </w:rPr>
        <w:t>evisions apply to §§68.60 and 68.81)</w:t>
      </w:r>
    </w:p>
    <w:p w:rsidR="0068767E" w:rsidRPr="0003391E" w:rsidP="0068767E" w14:paraId="0E6D9BDB"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Under the </w:t>
      </w:r>
      <w:r>
        <w:rPr>
          <w:rFonts w:ascii="Times New Roman" w:hAnsi="Times New Roman" w:cs="Times New Roman"/>
        </w:rPr>
        <w:t>current</w:t>
      </w:r>
      <w:r w:rsidRPr="0003391E">
        <w:rPr>
          <w:rFonts w:ascii="Times New Roman" w:hAnsi="Times New Roman" w:cs="Times New Roman"/>
        </w:rPr>
        <w:t xml:space="preserve"> RMP r</w:t>
      </w:r>
      <w:r>
        <w:rPr>
          <w:rFonts w:ascii="Times New Roman" w:hAnsi="Times New Roman" w:cs="Times New Roman"/>
        </w:rPr>
        <w:t>ule</w:t>
      </w:r>
      <w:r w:rsidRPr="0003391E">
        <w:rPr>
          <w:rFonts w:ascii="Times New Roman" w:hAnsi="Times New Roman" w:cs="Times New Roman"/>
        </w:rPr>
        <w:t xml:space="preserve">, facilities are required to conduct an incident investigation following an </w:t>
      </w:r>
      <w:r>
        <w:rPr>
          <w:rFonts w:ascii="Times New Roman" w:hAnsi="Times New Roman" w:cs="Times New Roman"/>
        </w:rPr>
        <w:t>incident</w:t>
      </w:r>
      <w:r w:rsidRPr="0003391E">
        <w:rPr>
          <w:rFonts w:ascii="Times New Roman" w:hAnsi="Times New Roman" w:cs="Times New Roman"/>
        </w:rPr>
        <w:t xml:space="preserve"> which resulted or reasonably could have resulted in a catastrophic release. The </w:t>
      </w:r>
      <w:r>
        <w:rPr>
          <w:rFonts w:ascii="Times New Roman" w:hAnsi="Times New Roman" w:cs="Times New Roman"/>
        </w:rPr>
        <w:t>final</w:t>
      </w:r>
      <w:r w:rsidRPr="0003391E">
        <w:rPr>
          <w:rFonts w:ascii="Times New Roman" w:hAnsi="Times New Roman" w:cs="Times New Roman"/>
        </w:rPr>
        <w:t xml:space="preserve"> rule require</w:t>
      </w:r>
      <w:r w:rsidR="00001356">
        <w:rPr>
          <w:rFonts w:ascii="Times New Roman" w:hAnsi="Times New Roman" w:cs="Times New Roman"/>
        </w:rPr>
        <w:t>s</w:t>
      </w:r>
      <w:r w:rsidRPr="0003391E">
        <w:rPr>
          <w:rFonts w:ascii="Times New Roman" w:hAnsi="Times New Roman" w:cs="Times New Roman"/>
        </w:rPr>
        <w:t xml:space="preserve"> facilities to conduct a root cause analysis as part of an incident investigation following an RMP-reportable accident. A root cause analysis is a formal process to identify underlying reasons for failures that led to accidental releases. These analyses require staff </w:t>
      </w:r>
      <w:r w:rsidRPr="00070F44" w:rsidR="00070F44">
        <w:rPr>
          <w:rFonts w:ascii="Times New Roman" w:hAnsi="Times New Roman" w:cs="Times New Roman"/>
        </w:rPr>
        <w:t>knowledgeable in selection and use of root cause analysis techniques</w:t>
      </w:r>
      <w:r w:rsidRPr="0003391E">
        <w:rPr>
          <w:rFonts w:ascii="Times New Roman" w:hAnsi="Times New Roman" w:cs="Times New Roman"/>
        </w:rPr>
        <w:t xml:space="preserve">. The incident investigation revisions apply to all facilities with Program 2 and 3 processes that experience an RMP-reportable accident. There are approximately 100 accidents with </w:t>
      </w:r>
      <w:r w:rsidR="003532C8">
        <w:rPr>
          <w:rFonts w:ascii="Times New Roman" w:hAnsi="Times New Roman" w:cs="Times New Roman"/>
        </w:rPr>
        <w:t>RMP-</w:t>
      </w:r>
      <w:r w:rsidR="00EA2B80">
        <w:rPr>
          <w:rFonts w:ascii="Times New Roman" w:hAnsi="Times New Roman" w:cs="Times New Roman"/>
        </w:rPr>
        <w:t>reportable</w:t>
      </w:r>
      <w:r w:rsidRPr="0003391E">
        <w:rPr>
          <w:rFonts w:ascii="Times New Roman" w:hAnsi="Times New Roman" w:cs="Times New Roman"/>
        </w:rPr>
        <w:t xml:space="preserve"> impacts per year in the baseline (see Exhibit </w:t>
      </w:r>
      <w:r w:rsidR="00AD6F11">
        <w:rPr>
          <w:rFonts w:ascii="Times New Roman" w:hAnsi="Times New Roman" w:cs="Times New Roman"/>
        </w:rPr>
        <w:t>3-</w:t>
      </w:r>
      <w:r w:rsidR="00827D86">
        <w:rPr>
          <w:rFonts w:ascii="Times New Roman" w:hAnsi="Times New Roman" w:cs="Times New Roman"/>
        </w:rPr>
        <w:t>11</w:t>
      </w:r>
      <w:r w:rsidRPr="0003391E">
        <w:rPr>
          <w:rFonts w:ascii="Times New Roman" w:hAnsi="Times New Roman" w:cs="Times New Roman"/>
        </w:rPr>
        <w:t>)</w:t>
      </w:r>
      <w:r>
        <w:rPr>
          <w:rFonts w:ascii="Times New Roman" w:hAnsi="Times New Roman" w:cs="Times New Roman"/>
        </w:rPr>
        <w:t>.</w:t>
      </w:r>
    </w:p>
    <w:p w:rsidR="0068767E" w:rsidP="0068767E" w14:paraId="1E00D503" w14:textId="77777777">
      <w:pPr>
        <w:spacing w:after="0" w:line="240" w:lineRule="auto"/>
        <w:ind w:firstLine="720"/>
        <w:rPr>
          <w:rFonts w:ascii="Times New Roman" w:hAnsi="Times New Roman" w:cs="Times New Roman"/>
        </w:rPr>
      </w:pPr>
    </w:p>
    <w:p w:rsidR="0068767E" w:rsidRPr="0003391E" w:rsidP="0068767E" w14:paraId="20F88D43" w14:textId="77777777">
      <w:pPr>
        <w:spacing w:after="0" w:line="240" w:lineRule="auto"/>
        <w:rPr>
          <w:rFonts w:ascii="Times New Roman" w:hAnsi="Times New Roman" w:cs="Times New Roman"/>
          <w:i/>
        </w:rPr>
      </w:pPr>
      <w:r w:rsidRPr="0003391E">
        <w:rPr>
          <w:rFonts w:ascii="Times New Roman" w:hAnsi="Times New Roman" w:cs="Times New Roman"/>
          <w:i/>
        </w:rPr>
        <w:t>Third-Party Audits— (</w:t>
      </w:r>
      <w:r>
        <w:rPr>
          <w:rFonts w:ascii="Times New Roman" w:hAnsi="Times New Roman" w:cs="Times New Roman"/>
          <w:i/>
        </w:rPr>
        <w:t>R</w:t>
      </w:r>
      <w:r w:rsidRPr="0003391E">
        <w:rPr>
          <w:rFonts w:ascii="Times New Roman" w:hAnsi="Times New Roman" w:cs="Times New Roman"/>
          <w:i/>
        </w:rPr>
        <w:t>evisions apply to §§68.58 and 68.79 and new §§68.59 and 68.80)</w:t>
      </w:r>
    </w:p>
    <w:p w:rsidR="0068767E" w:rsidP="0068767E" w14:paraId="7A500D84"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The </w:t>
      </w:r>
      <w:r>
        <w:rPr>
          <w:rFonts w:ascii="Times New Roman" w:hAnsi="Times New Roman" w:cs="Times New Roman"/>
        </w:rPr>
        <w:t>current RMP</w:t>
      </w:r>
      <w:r w:rsidRPr="0003391E">
        <w:rPr>
          <w:rFonts w:ascii="Times New Roman" w:hAnsi="Times New Roman" w:cs="Times New Roman"/>
        </w:rPr>
        <w:t xml:space="preserve"> rule requires facilities to conduct a compliance audit of Program 2 and Program 3 processes at least once every three years. Th</w:t>
      </w:r>
      <w:r>
        <w:rPr>
          <w:rFonts w:ascii="Times New Roman" w:hAnsi="Times New Roman" w:cs="Times New Roman"/>
        </w:rPr>
        <w:t>is</w:t>
      </w:r>
      <w:r w:rsidRPr="0003391E">
        <w:rPr>
          <w:rFonts w:ascii="Times New Roman" w:hAnsi="Times New Roman" w:cs="Times New Roman"/>
        </w:rPr>
        <w:t xml:space="preserve"> </w:t>
      </w:r>
      <w:r>
        <w:rPr>
          <w:rFonts w:ascii="Times New Roman" w:hAnsi="Times New Roman" w:cs="Times New Roman"/>
        </w:rPr>
        <w:t>final</w:t>
      </w:r>
      <w:r w:rsidRPr="0003391E">
        <w:rPr>
          <w:rFonts w:ascii="Times New Roman" w:hAnsi="Times New Roman" w:cs="Times New Roman"/>
        </w:rPr>
        <w:t xml:space="preserve"> rule</w:t>
      </w:r>
      <w:r>
        <w:rPr>
          <w:rFonts w:ascii="Times New Roman" w:hAnsi="Times New Roman" w:cs="Times New Roman"/>
        </w:rPr>
        <w:t>,</w:t>
      </w:r>
      <w:r w:rsidRPr="0003391E">
        <w:rPr>
          <w:rFonts w:ascii="Times New Roman" w:hAnsi="Times New Roman" w:cs="Times New Roman"/>
        </w:rPr>
        <w:t xml:space="preserve"> also applicable to Program 2 and Program 3 processes</w:t>
      </w:r>
      <w:r>
        <w:rPr>
          <w:rFonts w:ascii="Times New Roman" w:hAnsi="Times New Roman" w:cs="Times New Roman"/>
        </w:rPr>
        <w:t>,</w:t>
      </w:r>
      <w:r w:rsidRPr="0003391E">
        <w:rPr>
          <w:rFonts w:ascii="Times New Roman" w:hAnsi="Times New Roman" w:cs="Times New Roman"/>
        </w:rPr>
        <w:t xml:space="preserve"> require</w:t>
      </w:r>
      <w:r>
        <w:rPr>
          <w:rFonts w:ascii="Times New Roman" w:hAnsi="Times New Roman" w:cs="Times New Roman"/>
        </w:rPr>
        <w:t>s</w:t>
      </w:r>
      <w:r w:rsidRPr="0003391E">
        <w:rPr>
          <w:rFonts w:ascii="Times New Roman" w:hAnsi="Times New Roman" w:cs="Times New Roman"/>
        </w:rPr>
        <w:t xml:space="preserve"> the next required compliance audit to be a third-party audit when any one of the following conditions applies:</w:t>
      </w:r>
    </w:p>
    <w:p w:rsidR="0068767E" w:rsidRPr="0003391E" w:rsidP="0068767E" w14:paraId="6C237A69" w14:textId="77777777">
      <w:pPr>
        <w:spacing w:after="0" w:line="240" w:lineRule="auto"/>
        <w:ind w:firstLine="360"/>
        <w:rPr>
          <w:rFonts w:ascii="Times New Roman" w:hAnsi="Times New Roman" w:cs="Times New Roman"/>
        </w:rPr>
      </w:pPr>
    </w:p>
    <w:p w:rsidR="0068767E" w:rsidRPr="00AF4AF6" w:rsidP="00082826" w14:paraId="281BF8EB" w14:textId="77777777">
      <w:pPr>
        <w:pStyle w:val="ListParagraph"/>
        <w:numPr>
          <w:ilvl w:val="0"/>
          <w:numId w:val="13"/>
        </w:numPr>
        <w:spacing w:after="0" w:line="240" w:lineRule="auto"/>
        <w:contextualSpacing w:val="0"/>
        <w:rPr>
          <w:rFonts w:ascii="Times New Roman" w:hAnsi="Times New Roman" w:cs="Times New Roman"/>
        </w:rPr>
      </w:pPr>
      <w:r w:rsidRPr="0003391E">
        <w:rPr>
          <w:rFonts w:ascii="Times New Roman" w:hAnsi="Times New Roman" w:cs="Times New Roman"/>
        </w:rPr>
        <w:t xml:space="preserve">The facility has had </w:t>
      </w:r>
      <w:r>
        <w:rPr>
          <w:rFonts w:ascii="Times New Roman" w:hAnsi="Times New Roman" w:cs="Times New Roman"/>
        </w:rPr>
        <w:t>an</w:t>
      </w:r>
      <w:r w:rsidRPr="0003391E">
        <w:rPr>
          <w:rFonts w:ascii="Times New Roman" w:hAnsi="Times New Roman" w:cs="Times New Roman"/>
        </w:rPr>
        <w:t xml:space="preserve"> RMP-reportable accident; or</w:t>
      </w:r>
    </w:p>
    <w:p w:rsidR="0068767E" w:rsidRPr="00E610BD" w:rsidP="00082826" w14:paraId="54292311" w14:textId="77777777">
      <w:pPr>
        <w:pStyle w:val="ListParagraph"/>
        <w:numPr>
          <w:ilvl w:val="0"/>
          <w:numId w:val="13"/>
        </w:numPr>
        <w:spacing w:after="0" w:line="240" w:lineRule="auto"/>
        <w:contextualSpacing w:val="0"/>
        <w:rPr>
          <w:rFonts w:ascii="Times New Roman" w:hAnsi="Times New Roman" w:cs="Times New Roman"/>
        </w:rPr>
      </w:pPr>
      <w:r w:rsidRPr="0003391E">
        <w:rPr>
          <w:rFonts w:ascii="Times New Roman" w:hAnsi="Times New Roman" w:cs="Times New Roman"/>
        </w:rPr>
        <w:t xml:space="preserve">An implementing agency requires a third-party audit either due to conditions at the </w:t>
      </w:r>
      <w:r w:rsidR="00921FE3">
        <w:rPr>
          <w:rFonts w:ascii="Times New Roman" w:hAnsi="Times New Roman" w:cs="Times New Roman"/>
        </w:rPr>
        <w:t>facility</w:t>
      </w:r>
      <w:r w:rsidRPr="0003391E">
        <w:rPr>
          <w:rFonts w:ascii="Times New Roman" w:hAnsi="Times New Roman" w:cs="Times New Roman"/>
        </w:rPr>
        <w:t xml:space="preserve"> that could lead to an accidental release of a regulated substance, or due to a previous third-party audit that failed to meet the competency or independence criteria of §68.80(c).</w:t>
      </w:r>
    </w:p>
    <w:p w:rsidR="0068767E" w:rsidP="00E610BD" w14:paraId="493318E5" w14:textId="77777777">
      <w:pPr>
        <w:spacing w:after="0" w:line="240" w:lineRule="auto"/>
        <w:ind w:firstLine="360"/>
        <w:rPr>
          <w:rFonts w:ascii="Times New Roman" w:hAnsi="Times New Roman" w:cs="Times New Roman"/>
          <w:i/>
        </w:rPr>
      </w:pPr>
      <w:r>
        <w:rPr>
          <w:rFonts w:ascii="Times New Roman" w:hAnsi="Times New Roman" w:cs="Times New Roman"/>
        </w:rPr>
        <w:tab/>
      </w:r>
    </w:p>
    <w:p w:rsidR="0068767E" w:rsidP="0068767E" w14:paraId="484EDB3D" w14:textId="77777777">
      <w:pPr>
        <w:spacing w:after="0" w:line="240" w:lineRule="auto"/>
        <w:rPr>
          <w:rFonts w:ascii="Times New Roman" w:hAnsi="Times New Roman" w:cs="Times New Roman"/>
          <w:i/>
        </w:rPr>
      </w:pPr>
      <w:r w:rsidRPr="0003391E">
        <w:rPr>
          <w:rFonts w:ascii="Times New Roman" w:hAnsi="Times New Roman" w:cs="Times New Roman"/>
          <w:i/>
        </w:rPr>
        <w:t>Employee Participation—</w:t>
      </w:r>
      <w:r>
        <w:rPr>
          <w:rFonts w:ascii="Times New Roman" w:hAnsi="Times New Roman" w:cs="Times New Roman"/>
          <w:i/>
          <w:iCs/>
        </w:rPr>
        <w:t xml:space="preserve"> </w:t>
      </w:r>
      <w:r w:rsidRPr="0003391E">
        <w:rPr>
          <w:rFonts w:ascii="Times New Roman" w:hAnsi="Times New Roman" w:cs="Times New Roman"/>
          <w:i/>
        </w:rPr>
        <w:t>(</w:t>
      </w:r>
      <w:r>
        <w:rPr>
          <w:rFonts w:ascii="Times New Roman" w:hAnsi="Times New Roman" w:cs="Times New Roman"/>
          <w:i/>
          <w:iCs/>
        </w:rPr>
        <w:t>P</w:t>
      </w:r>
      <w:r w:rsidRPr="0003391E">
        <w:rPr>
          <w:rFonts w:ascii="Times New Roman" w:hAnsi="Times New Roman" w:cs="Times New Roman"/>
          <w:i/>
        </w:rPr>
        <w:t>rovisions apply to §68.83)</w:t>
      </w:r>
    </w:p>
    <w:p w:rsidR="0068767E" w:rsidRPr="0003391E" w:rsidP="0068767E" w14:paraId="143D8908" w14:textId="77777777">
      <w:pPr>
        <w:pStyle w:val="NormalWeb"/>
        <w:shd w:val="clear" w:color="auto" w:fill="FFFFFF" w:themeFill="background1"/>
        <w:spacing w:before="0" w:beforeAutospacing="0" w:after="0" w:afterAutospacing="0"/>
        <w:ind w:firstLine="360"/>
        <w:rPr>
          <w:color w:val="242424"/>
          <w:sz w:val="22"/>
          <w:szCs w:val="22"/>
        </w:rPr>
      </w:pPr>
      <w:r>
        <w:rPr>
          <w:sz w:val="22"/>
          <w:szCs w:val="22"/>
        </w:rPr>
        <w:tab/>
        <w:t>Under the current RMP rule</w:t>
      </w:r>
      <w:r w:rsidRPr="0003391E">
        <w:rPr>
          <w:sz w:val="22"/>
          <w:szCs w:val="22"/>
        </w:rPr>
        <w:t xml:space="preserve">, </w:t>
      </w:r>
      <w:r>
        <w:rPr>
          <w:sz w:val="22"/>
          <w:szCs w:val="22"/>
        </w:rPr>
        <w:t xml:space="preserve">Program 3 process </w:t>
      </w:r>
      <w:r w:rsidRPr="0003391E">
        <w:rPr>
          <w:sz w:val="22"/>
          <w:szCs w:val="22"/>
        </w:rPr>
        <w:t>facilit</w:t>
      </w:r>
      <w:r>
        <w:rPr>
          <w:sz w:val="22"/>
          <w:szCs w:val="22"/>
        </w:rPr>
        <w:t xml:space="preserve">ies’ </w:t>
      </w:r>
      <w:r w:rsidRPr="0003391E">
        <w:rPr>
          <w:sz w:val="22"/>
          <w:szCs w:val="22"/>
        </w:rPr>
        <w:t>employee participation plans require</w:t>
      </w:r>
      <w:r w:rsidRPr="0003391E">
        <w:rPr>
          <w:color w:val="242424"/>
          <w:sz w:val="22"/>
          <w:szCs w:val="22"/>
        </w:rPr>
        <w:t> the owner or operator to consult with employees and their representatives on the conduct and development of process hazards analyses and on the development of the other elements of process safety management</w:t>
      </w:r>
      <w:r w:rsidR="00FC0F3B">
        <w:rPr>
          <w:color w:val="242424"/>
          <w:sz w:val="22"/>
          <w:szCs w:val="22"/>
        </w:rPr>
        <w:t xml:space="preserve"> (PSM)</w:t>
      </w:r>
      <w:r w:rsidRPr="0003391E">
        <w:rPr>
          <w:color w:val="242424"/>
          <w:sz w:val="22"/>
          <w:szCs w:val="22"/>
        </w:rPr>
        <w:t>. The owner or operator</w:t>
      </w:r>
      <w:r>
        <w:rPr>
          <w:color w:val="242424"/>
          <w:sz w:val="22"/>
          <w:szCs w:val="22"/>
        </w:rPr>
        <w:t xml:space="preserve"> must</w:t>
      </w:r>
      <w:r w:rsidRPr="0003391E">
        <w:rPr>
          <w:color w:val="242424"/>
          <w:sz w:val="22"/>
          <w:szCs w:val="22"/>
        </w:rPr>
        <w:t xml:space="preserve"> provide employees and their representatives access to process hazard analyses and to all other information required to be developed under th</w:t>
      </w:r>
      <w:r w:rsidR="00341460">
        <w:rPr>
          <w:color w:val="242424"/>
          <w:sz w:val="22"/>
          <w:szCs w:val="22"/>
        </w:rPr>
        <w:t>e current</w:t>
      </w:r>
      <w:r w:rsidRPr="0003391E">
        <w:rPr>
          <w:color w:val="242424"/>
          <w:sz w:val="22"/>
          <w:szCs w:val="22"/>
        </w:rPr>
        <w:t xml:space="preserve"> rule.</w:t>
      </w:r>
    </w:p>
    <w:p w:rsidR="0068767E" w:rsidRPr="0003391E" w:rsidP="0068767E" w14:paraId="17BEB187" w14:textId="77777777">
      <w:pPr>
        <w:pStyle w:val="CommentText"/>
        <w:spacing w:after="0"/>
        <w:rPr>
          <w:rFonts w:ascii="Times New Roman" w:hAnsi="Times New Roman" w:cs="Times New Roman"/>
          <w:sz w:val="22"/>
          <w:szCs w:val="22"/>
        </w:rPr>
      </w:pPr>
    </w:p>
    <w:p w:rsidR="0068767E" w:rsidP="0068767E" w14:paraId="09AD55AC"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The </w:t>
      </w:r>
      <w:r>
        <w:rPr>
          <w:rFonts w:ascii="Times New Roman" w:hAnsi="Times New Roman" w:cs="Times New Roman"/>
        </w:rPr>
        <w:t>final</w:t>
      </w:r>
      <w:r w:rsidRPr="0003391E">
        <w:rPr>
          <w:rFonts w:ascii="Times New Roman" w:hAnsi="Times New Roman" w:cs="Times New Roman"/>
        </w:rPr>
        <w:t xml:space="preserve"> rule revise</w:t>
      </w:r>
      <w:r>
        <w:rPr>
          <w:rFonts w:ascii="Times New Roman" w:hAnsi="Times New Roman" w:cs="Times New Roman"/>
        </w:rPr>
        <w:t>s</w:t>
      </w:r>
      <w:r w:rsidRPr="0003391E">
        <w:rPr>
          <w:rFonts w:ascii="Times New Roman" w:hAnsi="Times New Roman" w:cs="Times New Roman"/>
        </w:rPr>
        <w:t xml:space="preserve"> §68.83 and other aspects of employee participation to require </w:t>
      </w:r>
      <w:r>
        <w:rPr>
          <w:rFonts w:ascii="Times New Roman" w:hAnsi="Times New Roman" w:cs="Times New Roman"/>
        </w:rPr>
        <w:t>six</w:t>
      </w:r>
      <w:r w:rsidRPr="0003391E">
        <w:rPr>
          <w:rFonts w:ascii="Times New Roman" w:hAnsi="Times New Roman" w:cs="Times New Roman"/>
        </w:rPr>
        <w:t xml:space="preserve"> new components</w:t>
      </w:r>
      <w:r>
        <w:rPr>
          <w:rFonts w:ascii="Times New Roman" w:hAnsi="Times New Roman" w:cs="Times New Roman"/>
        </w:rPr>
        <w:t>:</w:t>
      </w:r>
    </w:p>
    <w:p w:rsidR="0068767E" w:rsidRPr="0003391E" w:rsidP="0068767E" w14:paraId="59BC61DA" w14:textId="77777777">
      <w:pPr>
        <w:spacing w:after="0" w:line="240" w:lineRule="auto"/>
        <w:ind w:firstLine="360"/>
        <w:rPr>
          <w:rFonts w:ascii="Times New Roman" w:hAnsi="Times New Roman" w:cs="Times New Roman"/>
        </w:rPr>
      </w:pPr>
    </w:p>
    <w:p w:rsidR="0068767E" w:rsidRPr="005A403A" w:rsidP="00082826" w14:paraId="2B02D525" w14:textId="77777777">
      <w:pPr>
        <w:pStyle w:val="ListParagraph"/>
        <w:numPr>
          <w:ilvl w:val="0"/>
          <w:numId w:val="12"/>
        </w:numPr>
        <w:spacing w:after="0" w:line="240" w:lineRule="auto"/>
        <w:contextualSpacing w:val="0"/>
        <w:rPr>
          <w:rFonts w:ascii="Times New Roman" w:hAnsi="Times New Roman" w:cs="Times New Roman"/>
        </w:rPr>
      </w:pPr>
      <w:r>
        <w:rPr>
          <w:rFonts w:ascii="Times New Roman" w:hAnsi="Times New Roman" w:cs="Times New Roman"/>
        </w:rPr>
        <w:t xml:space="preserve">Program 2 facilities must develop written employee participation plans of action, which detail employee roles in using reasonable judgment and communication procedures to identify, raise, and address safety concerns. Facilities </w:t>
      </w:r>
      <w:bookmarkStart w:id="2" w:name="_Hlk141772517"/>
      <w:r>
        <w:rPr>
          <w:rFonts w:ascii="Times New Roman" w:hAnsi="Times New Roman" w:cs="Times New Roman"/>
        </w:rPr>
        <w:t xml:space="preserve">must also develop and implement a process for employees to report on hazards and noncompliance </w:t>
      </w:r>
      <w:bookmarkEnd w:id="2"/>
      <w:r>
        <w:rPr>
          <w:rFonts w:ascii="Times New Roman" w:hAnsi="Times New Roman" w:cs="Times New Roman"/>
        </w:rPr>
        <w:t>and must provide employees and their representatives access to hazard reviews and all other information required to be developed under th</w:t>
      </w:r>
      <w:r w:rsidR="00385FCE">
        <w:rPr>
          <w:rFonts w:ascii="Times New Roman" w:hAnsi="Times New Roman" w:cs="Times New Roman"/>
        </w:rPr>
        <w:t>e</w:t>
      </w:r>
      <w:r>
        <w:rPr>
          <w:rFonts w:ascii="Times New Roman" w:hAnsi="Times New Roman" w:cs="Times New Roman"/>
        </w:rPr>
        <w:t xml:space="preserve"> rule.</w:t>
      </w:r>
    </w:p>
    <w:p w:rsidR="0068767E" w:rsidRPr="005A403A" w:rsidP="00082826" w14:paraId="26B7A3F7" w14:textId="77777777">
      <w:pPr>
        <w:pStyle w:val="ListParagraph"/>
        <w:numPr>
          <w:ilvl w:val="0"/>
          <w:numId w:val="12"/>
        </w:numPr>
        <w:spacing w:after="0" w:line="240" w:lineRule="auto"/>
        <w:contextualSpacing w:val="0"/>
        <w:rPr>
          <w:rFonts w:ascii="Times New Roman" w:hAnsi="Times New Roman" w:cs="Times New Roman"/>
        </w:rPr>
      </w:pPr>
      <w:r w:rsidRPr="0003391E">
        <w:rPr>
          <w:rFonts w:ascii="Times New Roman" w:hAnsi="Times New Roman" w:cs="Times New Roman"/>
        </w:rPr>
        <w:t xml:space="preserve">The </w:t>
      </w:r>
      <w:r>
        <w:rPr>
          <w:rFonts w:ascii="Times New Roman" w:hAnsi="Times New Roman" w:cs="Times New Roman"/>
        </w:rPr>
        <w:t xml:space="preserve">Program 3 </w:t>
      </w:r>
      <w:r w:rsidRPr="0003391E">
        <w:rPr>
          <w:rFonts w:ascii="Times New Roman" w:hAnsi="Times New Roman" w:cs="Times New Roman"/>
        </w:rPr>
        <w:t>employee participation plan must include the consultation of employees and their representatives regarding how to address, correct, resolve, document, and implement recommendations of process hazard analyses, incident investigations, and compliance audits.</w:t>
      </w:r>
    </w:p>
    <w:p w:rsidR="0068767E" w:rsidRPr="005A403A" w:rsidP="00082826" w14:paraId="6E1A050F" w14:textId="77777777">
      <w:pPr>
        <w:pStyle w:val="ListParagraph"/>
        <w:numPr>
          <w:ilvl w:val="0"/>
          <w:numId w:val="12"/>
        </w:numPr>
        <w:spacing w:after="0" w:line="240" w:lineRule="auto"/>
        <w:contextualSpacing w:val="0"/>
        <w:rPr>
          <w:rFonts w:ascii="Times New Roman" w:hAnsi="Times New Roman" w:cs="Times New Roman"/>
        </w:rPr>
      </w:pPr>
      <w:r w:rsidRPr="0003391E">
        <w:rPr>
          <w:rFonts w:ascii="Times New Roman" w:hAnsi="Times New Roman" w:cs="Times New Roman"/>
        </w:rPr>
        <w:t xml:space="preserve">The </w:t>
      </w:r>
      <w:r>
        <w:rPr>
          <w:rFonts w:ascii="Times New Roman" w:hAnsi="Times New Roman" w:cs="Times New Roman"/>
        </w:rPr>
        <w:t xml:space="preserve">Program 3 </w:t>
      </w:r>
      <w:r w:rsidRPr="0003391E">
        <w:rPr>
          <w:rFonts w:ascii="Times New Roman" w:hAnsi="Times New Roman" w:cs="Times New Roman"/>
        </w:rPr>
        <w:t xml:space="preserve">employee participation plan must include and ensure that effective methods are in place so that employees </w:t>
      </w:r>
      <w:r>
        <w:rPr>
          <w:rFonts w:ascii="Times New Roman" w:hAnsi="Times New Roman" w:cs="Times New Roman"/>
        </w:rPr>
        <w:t xml:space="preserve">knowledgeable in the process </w:t>
      </w:r>
      <w:r w:rsidRPr="0003391E">
        <w:rPr>
          <w:rFonts w:ascii="Times New Roman" w:hAnsi="Times New Roman" w:cs="Times New Roman"/>
        </w:rPr>
        <w:t>and their representatives have specific</w:t>
      </w:r>
      <w:r>
        <w:rPr>
          <w:rFonts w:ascii="Times New Roman" w:hAnsi="Times New Roman" w:cs="Times New Roman"/>
        </w:rPr>
        <w:t xml:space="preserve"> stop </w:t>
      </w:r>
      <w:r>
        <w:rPr>
          <w:rFonts w:ascii="Times New Roman" w:hAnsi="Times New Roman" w:cs="Times New Roman"/>
        </w:rPr>
        <w:t xml:space="preserve">work </w:t>
      </w:r>
      <w:r w:rsidRPr="0003391E">
        <w:rPr>
          <w:rFonts w:ascii="Times New Roman" w:hAnsi="Times New Roman" w:cs="Times New Roman"/>
        </w:rPr>
        <w:t>authorities</w:t>
      </w:r>
      <w:r>
        <w:rPr>
          <w:rFonts w:ascii="Times New Roman" w:hAnsi="Times New Roman" w:cs="Times New Roman"/>
        </w:rPr>
        <w:t xml:space="preserve"> based on a potential for a catastrophic release. </w:t>
      </w:r>
      <w:r w:rsidRPr="0003391E">
        <w:rPr>
          <w:rFonts w:ascii="Times New Roman" w:hAnsi="Times New Roman" w:cs="Times New Roman"/>
        </w:rPr>
        <w:t>The specific authorities must include:</w:t>
      </w:r>
    </w:p>
    <w:p w:rsidR="0068767E" w:rsidP="00082826" w14:paraId="7740F17A" w14:textId="77777777">
      <w:pPr>
        <w:pStyle w:val="ListParagraph"/>
        <w:numPr>
          <w:ilvl w:val="1"/>
          <w:numId w:val="12"/>
        </w:numPr>
        <w:spacing w:after="0" w:line="240" w:lineRule="auto"/>
        <w:contextualSpacing w:val="0"/>
        <w:rPr>
          <w:rFonts w:ascii="Times New Roman" w:hAnsi="Times New Roman" w:cs="Times New Roman"/>
        </w:rPr>
      </w:pPr>
      <w:r w:rsidRPr="00AF4AF6">
        <w:rPr>
          <w:rFonts w:ascii="Times New Roman" w:hAnsi="Times New Roman" w:cs="Times New Roman"/>
        </w:rPr>
        <w:t xml:space="preserve">Recommending to the operator in charge of a unit that an operation or process </w:t>
      </w:r>
      <w:r w:rsidR="002923AF">
        <w:rPr>
          <w:rFonts w:ascii="Times New Roman" w:hAnsi="Times New Roman" w:cs="Times New Roman"/>
        </w:rPr>
        <w:t xml:space="preserve">be </w:t>
      </w:r>
      <w:r w:rsidRPr="00AF4AF6">
        <w:rPr>
          <w:rFonts w:ascii="Times New Roman" w:hAnsi="Times New Roman" w:cs="Times New Roman"/>
        </w:rPr>
        <w:t>shut down</w:t>
      </w:r>
      <w:r>
        <w:rPr>
          <w:rFonts w:ascii="Times New Roman" w:hAnsi="Times New Roman" w:cs="Times New Roman"/>
        </w:rPr>
        <w:t xml:space="preserve">, </w:t>
      </w:r>
      <w:r w:rsidRPr="00AF4AF6" w:rsidR="002923AF">
        <w:rPr>
          <w:rFonts w:ascii="Times New Roman" w:hAnsi="Times New Roman" w:cs="Times New Roman"/>
        </w:rPr>
        <w:t>partially or completely</w:t>
      </w:r>
      <w:r w:rsidR="002923AF">
        <w:rPr>
          <w:rFonts w:ascii="Times New Roman" w:hAnsi="Times New Roman" w:cs="Times New Roman"/>
        </w:rPr>
        <w:t>,</w:t>
      </w:r>
      <w:r w:rsidRPr="00AF4AF6" w:rsidR="002923AF">
        <w:rPr>
          <w:rFonts w:ascii="Times New Roman" w:hAnsi="Times New Roman" w:cs="Times New Roman"/>
        </w:rPr>
        <w:t xml:space="preserve"> </w:t>
      </w:r>
      <w:r>
        <w:rPr>
          <w:rFonts w:ascii="Times New Roman" w:hAnsi="Times New Roman" w:cs="Times New Roman"/>
        </w:rPr>
        <w:t>based on the potential for a catastrophic release</w:t>
      </w:r>
      <w:r w:rsidRPr="00AF4AF6">
        <w:rPr>
          <w:rFonts w:ascii="Times New Roman" w:hAnsi="Times New Roman" w:cs="Times New Roman"/>
        </w:rPr>
        <w:t>;</w:t>
      </w:r>
    </w:p>
    <w:p w:rsidR="0068767E" w:rsidRPr="005A403A" w:rsidP="00082826" w14:paraId="117CDE38" w14:textId="77777777">
      <w:pPr>
        <w:pStyle w:val="ListParagraph"/>
        <w:numPr>
          <w:ilvl w:val="1"/>
          <w:numId w:val="12"/>
        </w:numPr>
        <w:spacing w:after="0" w:line="240" w:lineRule="auto"/>
        <w:contextualSpacing w:val="0"/>
        <w:rPr>
          <w:rFonts w:ascii="Times New Roman" w:hAnsi="Times New Roman" w:cs="Times New Roman"/>
        </w:rPr>
      </w:pPr>
      <w:r w:rsidRPr="005A403A">
        <w:rPr>
          <w:rFonts w:ascii="Times New Roman" w:hAnsi="Times New Roman" w:cs="Times New Roman"/>
        </w:rPr>
        <w:t>Allowing a qualified operator in charge of a unit to</w:t>
      </w:r>
      <w:r w:rsidR="00413380">
        <w:rPr>
          <w:rFonts w:ascii="Times New Roman" w:hAnsi="Times New Roman" w:cs="Times New Roman"/>
        </w:rPr>
        <w:t xml:space="preserve"> shut down,</w:t>
      </w:r>
      <w:r w:rsidRPr="005A403A">
        <w:rPr>
          <w:rFonts w:ascii="Times New Roman" w:hAnsi="Times New Roman" w:cs="Times New Roman"/>
        </w:rPr>
        <w:t xml:space="preserve"> partially or completely</w:t>
      </w:r>
      <w:r w:rsidR="00413380">
        <w:rPr>
          <w:rFonts w:ascii="Times New Roman" w:hAnsi="Times New Roman" w:cs="Times New Roman"/>
        </w:rPr>
        <w:t xml:space="preserve">, </w:t>
      </w:r>
      <w:r w:rsidRPr="005A403A">
        <w:rPr>
          <w:rFonts w:ascii="Times New Roman" w:hAnsi="Times New Roman" w:cs="Times New Roman"/>
        </w:rPr>
        <w:t>an operation or process based on the potential for a catastrophic release.</w:t>
      </w:r>
    </w:p>
    <w:p w:rsidR="0068767E" w:rsidRPr="005A403A" w:rsidP="00082826" w14:paraId="7E65B86C" w14:textId="77777777">
      <w:pPr>
        <w:pStyle w:val="ListParagraph"/>
        <w:numPr>
          <w:ilvl w:val="0"/>
          <w:numId w:val="12"/>
        </w:numPr>
        <w:spacing w:after="0" w:line="240" w:lineRule="auto"/>
        <w:contextualSpacing w:val="0"/>
        <w:rPr>
          <w:rFonts w:ascii="Times New Roman" w:hAnsi="Times New Roman" w:cs="Times New Roman"/>
        </w:rPr>
      </w:pPr>
      <w:r w:rsidRPr="005A403A">
        <w:rPr>
          <w:rFonts w:ascii="Times New Roman" w:hAnsi="Times New Roman" w:cs="Times New Roman"/>
        </w:rPr>
        <w:t xml:space="preserve"> </w:t>
      </w:r>
      <w:r w:rsidR="00756B66">
        <w:rPr>
          <w:rFonts w:ascii="Times New Roman" w:hAnsi="Times New Roman" w:cs="Times New Roman"/>
        </w:rPr>
        <w:t xml:space="preserve">Program 3 </w:t>
      </w:r>
      <w:r w:rsidRPr="005A403A">
        <w:rPr>
          <w:rFonts w:ascii="Times New Roman" w:hAnsi="Times New Roman" w:cs="Times New Roman"/>
        </w:rPr>
        <w:t xml:space="preserve">employee participation plans </w:t>
      </w:r>
      <w:r w:rsidRPr="00756B66" w:rsidR="00756B66">
        <w:rPr>
          <w:rFonts w:ascii="Times New Roman" w:hAnsi="Times New Roman" w:cs="Times New Roman"/>
        </w:rPr>
        <w:t xml:space="preserve">must </w:t>
      </w:r>
      <w:r w:rsidR="00385FCE">
        <w:rPr>
          <w:rFonts w:ascii="Times New Roman" w:hAnsi="Times New Roman" w:cs="Times New Roman"/>
        </w:rPr>
        <w:t xml:space="preserve">include </w:t>
      </w:r>
      <w:r w:rsidRPr="00756B66" w:rsidR="00756B66">
        <w:rPr>
          <w:rFonts w:ascii="Times New Roman" w:hAnsi="Times New Roman" w:cs="Times New Roman"/>
        </w:rPr>
        <w:t>a process for employees to report on hazards and noncompliance</w:t>
      </w:r>
      <w:r w:rsidRPr="005A403A">
        <w:rPr>
          <w:rFonts w:ascii="Times New Roman" w:hAnsi="Times New Roman" w:cs="Times New Roman"/>
        </w:rPr>
        <w:t>.</w:t>
      </w:r>
    </w:p>
    <w:p w:rsidR="0068767E" w:rsidP="00082826" w14:paraId="1F60FC46" w14:textId="77777777">
      <w:pPr>
        <w:pStyle w:val="ListParagraph"/>
        <w:numPr>
          <w:ilvl w:val="0"/>
          <w:numId w:val="12"/>
        </w:numPr>
        <w:spacing w:after="0" w:line="240" w:lineRule="auto"/>
        <w:contextualSpacing w:val="0"/>
        <w:rPr>
          <w:rFonts w:ascii="Times New Roman" w:hAnsi="Times New Roman" w:cs="Times New Roman"/>
        </w:rPr>
      </w:pPr>
      <w:r>
        <w:rPr>
          <w:rFonts w:ascii="Times New Roman" w:hAnsi="Times New Roman" w:cs="Times New Roman"/>
        </w:rPr>
        <w:t>Program 2 and Program 3 facilities must provide an annual written or electronic notice to employees indicating RMP information is available.</w:t>
      </w:r>
      <w:r w:rsidRPr="0003391E">
        <w:rPr>
          <w:rFonts w:ascii="Times New Roman" w:hAnsi="Times New Roman" w:cs="Times New Roman"/>
        </w:rPr>
        <w:t xml:space="preserve"> </w:t>
      </w:r>
    </w:p>
    <w:p w:rsidR="0068767E" w:rsidP="00082826" w14:paraId="66BAD8C7" w14:textId="77777777">
      <w:pPr>
        <w:pStyle w:val="ListParagraph"/>
        <w:numPr>
          <w:ilvl w:val="0"/>
          <w:numId w:val="12"/>
        </w:numPr>
        <w:spacing w:after="0" w:line="240" w:lineRule="auto"/>
        <w:contextualSpacing w:val="0"/>
        <w:rPr>
          <w:rFonts w:ascii="Times New Roman" w:hAnsi="Times New Roman" w:cs="Times New Roman"/>
        </w:rPr>
      </w:pPr>
      <w:r>
        <w:rPr>
          <w:rFonts w:ascii="Times New Roman" w:hAnsi="Times New Roman" w:cs="Times New Roman"/>
        </w:rPr>
        <w:t>Program 2 and Program 3 facilities must provide training to inform employees, their representatives, and management involved in the process of the details of the written employee participation plan.</w:t>
      </w:r>
    </w:p>
    <w:p w:rsidR="0068767E" w:rsidP="005A403A" w14:paraId="291B31D8" w14:textId="77777777">
      <w:pPr>
        <w:spacing w:after="0" w:line="240" w:lineRule="auto"/>
        <w:rPr>
          <w:rFonts w:ascii="Times New Roman" w:hAnsi="Times New Roman" w:cs="Times New Roman"/>
        </w:rPr>
      </w:pPr>
    </w:p>
    <w:p w:rsidR="0068767E" w:rsidRPr="0003391E" w:rsidP="0068767E" w14:paraId="1354065C" w14:textId="77777777">
      <w:pPr>
        <w:spacing w:after="0" w:line="240" w:lineRule="auto"/>
        <w:rPr>
          <w:rFonts w:ascii="Times New Roman" w:hAnsi="Times New Roman" w:cs="Times New Roman"/>
          <w:i/>
        </w:rPr>
      </w:pPr>
      <w:r w:rsidRPr="0003391E">
        <w:rPr>
          <w:rFonts w:ascii="Times New Roman" w:hAnsi="Times New Roman" w:cs="Times New Roman"/>
          <w:i/>
        </w:rPr>
        <w:t>Backup Power for Perimeter Monitors— (</w:t>
      </w:r>
      <w:r>
        <w:rPr>
          <w:rFonts w:ascii="Times New Roman" w:hAnsi="Times New Roman" w:cs="Times New Roman"/>
          <w:i/>
        </w:rPr>
        <w:t>R</w:t>
      </w:r>
      <w:r w:rsidRPr="0003391E">
        <w:rPr>
          <w:rFonts w:ascii="Times New Roman" w:hAnsi="Times New Roman" w:cs="Times New Roman"/>
          <w:i/>
        </w:rPr>
        <w:t>evisions apply to §§68.50 and 68.67)</w:t>
      </w:r>
    </w:p>
    <w:p w:rsidR="0068767E" w:rsidP="0068767E" w14:paraId="1984B790" w14:textId="77777777">
      <w:pPr>
        <w:spacing w:after="0" w:line="240" w:lineRule="auto"/>
        <w:ind w:firstLine="360"/>
        <w:rPr>
          <w:rFonts w:ascii="Times New Roman" w:hAnsi="Times New Roman" w:cs="Times New Roman"/>
          <w:b/>
          <w:bCs/>
        </w:rPr>
      </w:pPr>
      <w:r>
        <w:rPr>
          <w:rFonts w:ascii="Times New Roman" w:hAnsi="Times New Roman" w:cs="Times New Roman"/>
        </w:rPr>
        <w:tab/>
      </w:r>
      <w:r w:rsidRPr="0003391E">
        <w:rPr>
          <w:rFonts w:ascii="Times New Roman" w:hAnsi="Times New Roman" w:cs="Times New Roman"/>
        </w:rPr>
        <w:t xml:space="preserve">The </w:t>
      </w:r>
      <w:r>
        <w:rPr>
          <w:rFonts w:ascii="Times New Roman" w:hAnsi="Times New Roman" w:cs="Times New Roman"/>
        </w:rPr>
        <w:t>final</w:t>
      </w:r>
      <w:r w:rsidRPr="0003391E">
        <w:rPr>
          <w:rFonts w:ascii="Times New Roman" w:hAnsi="Times New Roman" w:cs="Times New Roman"/>
        </w:rPr>
        <w:t xml:space="preserve"> rule require</w:t>
      </w:r>
      <w:r>
        <w:rPr>
          <w:rFonts w:ascii="Times New Roman" w:hAnsi="Times New Roman" w:cs="Times New Roman"/>
        </w:rPr>
        <w:t>s</w:t>
      </w:r>
      <w:r w:rsidRPr="0003391E">
        <w:rPr>
          <w:rFonts w:ascii="Times New Roman" w:hAnsi="Times New Roman" w:cs="Times New Roman"/>
        </w:rPr>
        <w:t xml:space="preserve"> air control or monitoring equipment associated with prevention and detection of accidental releases from RMP-regulated processes </w:t>
      </w:r>
      <w:r w:rsidR="00B7001D">
        <w:rPr>
          <w:rFonts w:ascii="Times New Roman" w:hAnsi="Times New Roman" w:cs="Times New Roman"/>
        </w:rPr>
        <w:t xml:space="preserve">where power loss has been identified as a major hazard </w:t>
      </w:r>
      <w:r w:rsidRPr="0003391E">
        <w:rPr>
          <w:rFonts w:ascii="Times New Roman" w:hAnsi="Times New Roman" w:cs="Times New Roman"/>
        </w:rPr>
        <w:t xml:space="preserve">to have standby or backup power. </w:t>
      </w:r>
    </w:p>
    <w:p w:rsidR="0068767E" w:rsidP="0068767E" w14:paraId="1382D560" w14:textId="77777777">
      <w:pPr>
        <w:spacing w:after="0" w:line="240" w:lineRule="auto"/>
        <w:rPr>
          <w:rFonts w:ascii="Times New Roman" w:hAnsi="Times New Roman" w:cs="Times New Roman"/>
          <w:b/>
          <w:bCs/>
          <w:iCs/>
        </w:rPr>
      </w:pPr>
    </w:p>
    <w:p w:rsidR="0068767E" w:rsidRPr="0003391E" w:rsidP="0068767E" w14:paraId="4C3B345C" w14:textId="4BDDE9E4">
      <w:pPr>
        <w:spacing w:after="0" w:line="240" w:lineRule="auto"/>
        <w:rPr>
          <w:rFonts w:ascii="Times New Roman" w:hAnsi="Times New Roman" w:cs="Times New Roman"/>
          <w:i/>
        </w:rPr>
      </w:pPr>
      <w:r>
        <w:rPr>
          <w:rFonts w:ascii="Times New Roman" w:hAnsi="Times New Roman" w:cs="Times New Roman"/>
          <w:b/>
          <w:bCs/>
          <w:iCs/>
        </w:rPr>
        <w:t>RMP Justification</w:t>
      </w:r>
      <w:r w:rsidR="00637B9A">
        <w:rPr>
          <w:rFonts w:ascii="Times New Roman" w:hAnsi="Times New Roman" w:cs="Times New Roman"/>
          <w:b/>
          <w:bCs/>
          <w:iCs/>
        </w:rPr>
        <w:t xml:space="preserve"> </w:t>
      </w:r>
      <w:r>
        <w:rPr>
          <w:rFonts w:ascii="Times New Roman" w:hAnsi="Times New Roman" w:cs="Times New Roman"/>
          <w:i/>
        </w:rPr>
        <w:t>Hazard Evaluation Amplifications</w:t>
      </w:r>
      <w:r w:rsidRPr="0003391E">
        <w:rPr>
          <w:rFonts w:ascii="Times New Roman" w:hAnsi="Times New Roman" w:cs="Times New Roman"/>
          <w:i/>
        </w:rPr>
        <w:t>— (</w:t>
      </w:r>
      <w:r>
        <w:rPr>
          <w:rFonts w:ascii="Times New Roman" w:hAnsi="Times New Roman" w:cs="Times New Roman"/>
          <w:i/>
        </w:rPr>
        <w:t>R</w:t>
      </w:r>
      <w:r w:rsidRPr="0003391E">
        <w:rPr>
          <w:rFonts w:ascii="Times New Roman" w:hAnsi="Times New Roman" w:cs="Times New Roman"/>
          <w:i/>
        </w:rPr>
        <w:t xml:space="preserve">evisions apply to </w:t>
      </w:r>
      <w:r w:rsidRPr="00E61769">
        <w:rPr>
          <w:rFonts w:ascii="Times New Roman" w:hAnsi="Times New Roman" w:cs="Times New Roman"/>
          <w:i/>
        </w:rPr>
        <w:t>§§</w:t>
      </w:r>
      <w:r w:rsidRPr="0003391E">
        <w:rPr>
          <w:rFonts w:ascii="Times New Roman" w:hAnsi="Times New Roman" w:cs="Times New Roman"/>
          <w:i/>
        </w:rPr>
        <w:t>68.</w:t>
      </w:r>
      <w:r w:rsidRPr="00E61769">
        <w:rPr>
          <w:rFonts w:ascii="Times New Roman" w:hAnsi="Times New Roman" w:cs="Times New Roman"/>
          <w:i/>
        </w:rPr>
        <w:t>50 and 68.67</w:t>
      </w:r>
      <w:r w:rsidRPr="0003391E">
        <w:rPr>
          <w:rFonts w:ascii="Times New Roman" w:hAnsi="Times New Roman" w:cs="Times New Roman"/>
          <w:i/>
        </w:rPr>
        <w:t>)</w:t>
      </w:r>
    </w:p>
    <w:p w:rsidR="0068767E" w:rsidP="0068767E" w14:paraId="16548BD6"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The </w:t>
      </w:r>
      <w:r>
        <w:rPr>
          <w:rFonts w:ascii="Times New Roman" w:hAnsi="Times New Roman" w:cs="Times New Roman"/>
        </w:rPr>
        <w:t>final</w:t>
      </w:r>
      <w:r w:rsidRPr="0003391E">
        <w:rPr>
          <w:rFonts w:ascii="Times New Roman" w:hAnsi="Times New Roman" w:cs="Times New Roman"/>
        </w:rPr>
        <w:t xml:space="preserve"> rule require</w:t>
      </w:r>
      <w:r>
        <w:rPr>
          <w:rFonts w:ascii="Times New Roman" w:hAnsi="Times New Roman" w:cs="Times New Roman"/>
        </w:rPr>
        <w:t>s</w:t>
      </w:r>
      <w:r w:rsidRPr="0003391E">
        <w:rPr>
          <w:rFonts w:ascii="Times New Roman" w:hAnsi="Times New Roman" w:cs="Times New Roman"/>
        </w:rPr>
        <w:t xml:space="preserve"> </w:t>
      </w:r>
      <w:r>
        <w:rPr>
          <w:rFonts w:ascii="Times New Roman" w:hAnsi="Times New Roman" w:cs="Times New Roman"/>
        </w:rPr>
        <w:t xml:space="preserve">that </w:t>
      </w:r>
      <w:r w:rsidRPr="0003391E">
        <w:rPr>
          <w:rFonts w:ascii="Times New Roman" w:hAnsi="Times New Roman" w:cs="Times New Roman"/>
        </w:rPr>
        <w:t xml:space="preserve">hazard </w:t>
      </w:r>
      <w:r>
        <w:rPr>
          <w:rFonts w:ascii="Times New Roman" w:hAnsi="Times New Roman" w:cs="Times New Roman"/>
        </w:rPr>
        <w:t>evaluations explicitly address natural hazards and the risk of power failure</w:t>
      </w:r>
      <w:r w:rsidR="00440795">
        <w:rPr>
          <w:rFonts w:ascii="Times New Roman" w:hAnsi="Times New Roman" w:cs="Times New Roman"/>
        </w:rPr>
        <w:t>.</w:t>
      </w:r>
      <w:r>
        <w:rPr>
          <w:rFonts w:ascii="Times New Roman" w:hAnsi="Times New Roman" w:cs="Times New Roman"/>
        </w:rPr>
        <w:t xml:space="preserve"> </w:t>
      </w:r>
      <w:r w:rsidRPr="00A17590">
        <w:rPr>
          <w:rFonts w:ascii="Times New Roman" w:hAnsi="Times New Roman" w:cs="Times New Roman"/>
        </w:rPr>
        <w:t>EPA believes that because natural hazards and power loss continue to be factor</w:t>
      </w:r>
      <w:r w:rsidR="00B01EA6">
        <w:rPr>
          <w:rFonts w:ascii="Times New Roman" w:hAnsi="Times New Roman" w:cs="Times New Roman"/>
        </w:rPr>
        <w:t>s</w:t>
      </w:r>
      <w:r w:rsidRPr="00A17590">
        <w:rPr>
          <w:rFonts w:ascii="Times New Roman" w:hAnsi="Times New Roman" w:cs="Times New Roman"/>
        </w:rPr>
        <w:t xml:space="preserve"> in RMP accidents and present growing threat</w:t>
      </w:r>
      <w:r w:rsidR="00B01EA6">
        <w:rPr>
          <w:rFonts w:ascii="Times New Roman" w:hAnsi="Times New Roman" w:cs="Times New Roman"/>
        </w:rPr>
        <w:t>s</w:t>
      </w:r>
      <w:r w:rsidRPr="00A17590">
        <w:rPr>
          <w:rFonts w:ascii="Times New Roman" w:hAnsi="Times New Roman" w:cs="Times New Roman"/>
        </w:rPr>
        <w:t xml:space="preserve"> to process safety at RMP facilities, a requirement to evaluate and control natural hazards</w:t>
      </w:r>
      <w:r w:rsidR="007D2BA0">
        <w:rPr>
          <w:rFonts w:ascii="Times New Roman" w:hAnsi="Times New Roman" w:cs="Times New Roman"/>
        </w:rPr>
        <w:t xml:space="preserve"> and power loss</w:t>
      </w:r>
      <w:r w:rsidR="004054C2">
        <w:rPr>
          <w:rFonts w:ascii="Times New Roman" w:hAnsi="Times New Roman" w:cs="Times New Roman"/>
        </w:rPr>
        <w:t xml:space="preserve"> risks</w:t>
      </w:r>
      <w:r w:rsidRPr="00A17590">
        <w:rPr>
          <w:rFonts w:ascii="Times New Roman" w:hAnsi="Times New Roman" w:cs="Times New Roman"/>
        </w:rPr>
        <w:t xml:space="preserve"> should be explicitly stated in the RMP regulation. </w:t>
      </w:r>
      <w:r>
        <w:rPr>
          <w:rFonts w:ascii="Times New Roman" w:hAnsi="Times New Roman" w:cs="Times New Roman"/>
        </w:rPr>
        <w:t xml:space="preserve">Hazard evaluations also </w:t>
      </w:r>
      <w:r w:rsidR="005F6558">
        <w:rPr>
          <w:rFonts w:ascii="Times New Roman" w:hAnsi="Times New Roman" w:cs="Times New Roman"/>
        </w:rPr>
        <w:t>must</w:t>
      </w:r>
      <w:r>
        <w:rPr>
          <w:rFonts w:ascii="Times New Roman" w:hAnsi="Times New Roman" w:cs="Times New Roman"/>
        </w:rPr>
        <w:t xml:space="preserve"> explicitly define stationary source siting as inclusive of processes, equipment, buildings within the stationary source, hazards posed by proximate stationary sources, and accidental release consequences posed by proximity to the public and public receptors</w:t>
      </w:r>
      <w:r w:rsidRPr="0003391E">
        <w:rPr>
          <w:rFonts w:ascii="Times New Roman" w:hAnsi="Times New Roman" w:cs="Times New Roman"/>
        </w:rPr>
        <w:t xml:space="preserve">. </w:t>
      </w:r>
      <w:r w:rsidRPr="00CE5FBE">
        <w:rPr>
          <w:rFonts w:ascii="Times New Roman" w:hAnsi="Times New Roman" w:cs="Times New Roman"/>
        </w:rPr>
        <w:t>The final rule require</w:t>
      </w:r>
      <w:r w:rsidR="00001356">
        <w:rPr>
          <w:rFonts w:ascii="Times New Roman" w:hAnsi="Times New Roman" w:cs="Times New Roman"/>
        </w:rPr>
        <w:t>s</w:t>
      </w:r>
      <w:r w:rsidRPr="00CE5FBE">
        <w:rPr>
          <w:rFonts w:ascii="Times New Roman" w:hAnsi="Times New Roman" w:cs="Times New Roman"/>
        </w:rPr>
        <w:t xml:space="preserve"> that </w:t>
      </w:r>
      <w:r w:rsidR="008946DC">
        <w:rPr>
          <w:rFonts w:ascii="Times New Roman" w:hAnsi="Times New Roman" w:cs="Times New Roman"/>
        </w:rPr>
        <w:t>risk management plan</w:t>
      </w:r>
      <w:r w:rsidRPr="00CE5FBE">
        <w:rPr>
          <w:rFonts w:ascii="Times New Roman" w:hAnsi="Times New Roman" w:cs="Times New Roman"/>
        </w:rPr>
        <w:t>s explicitly include declined natural hazard, power loss, and siting evaluation recommendations and their associated justifications.</w:t>
      </w:r>
    </w:p>
    <w:p w:rsidR="0068767E" w:rsidP="0068767E" w14:paraId="44853F1F" w14:textId="77777777">
      <w:pPr>
        <w:spacing w:after="0" w:line="240" w:lineRule="auto"/>
        <w:rPr>
          <w:rFonts w:ascii="Times New Roman" w:hAnsi="Times New Roman" w:cs="Times New Roman"/>
        </w:rPr>
      </w:pPr>
    </w:p>
    <w:p w:rsidR="0068767E" w:rsidRPr="0003391E" w:rsidP="0068767E" w14:paraId="46D372CF" w14:textId="77777777">
      <w:pPr>
        <w:spacing w:after="0" w:line="240" w:lineRule="auto"/>
        <w:rPr>
          <w:rFonts w:ascii="Times New Roman" w:hAnsi="Times New Roman" w:cs="Times New Roman"/>
          <w:i/>
        </w:rPr>
      </w:pPr>
      <w:r>
        <w:rPr>
          <w:rFonts w:ascii="Times New Roman" w:hAnsi="Times New Roman" w:cs="Times New Roman"/>
          <w:i/>
        </w:rPr>
        <w:t xml:space="preserve">RAGAGEP </w:t>
      </w:r>
      <w:r w:rsidR="006060FA">
        <w:rPr>
          <w:rFonts w:ascii="Times New Roman" w:hAnsi="Times New Roman" w:cs="Times New Roman"/>
          <w:i/>
        </w:rPr>
        <w:t>gap analysis</w:t>
      </w:r>
      <w:r w:rsidRPr="0003391E">
        <w:rPr>
          <w:rFonts w:ascii="Times New Roman" w:hAnsi="Times New Roman" w:cs="Times New Roman"/>
          <w:i/>
        </w:rPr>
        <w:t>— (</w:t>
      </w:r>
      <w:r>
        <w:rPr>
          <w:rFonts w:ascii="Times New Roman" w:hAnsi="Times New Roman" w:cs="Times New Roman"/>
          <w:i/>
        </w:rPr>
        <w:t>R</w:t>
      </w:r>
      <w:r w:rsidRPr="0003391E">
        <w:rPr>
          <w:rFonts w:ascii="Times New Roman" w:hAnsi="Times New Roman" w:cs="Times New Roman"/>
          <w:i/>
        </w:rPr>
        <w:t xml:space="preserve">evisions apply to </w:t>
      </w:r>
      <w:r w:rsidRPr="00E61769">
        <w:rPr>
          <w:rFonts w:ascii="Times New Roman" w:hAnsi="Times New Roman" w:cs="Times New Roman"/>
          <w:i/>
        </w:rPr>
        <w:t>§§68.</w:t>
      </w:r>
      <w:r>
        <w:rPr>
          <w:rFonts w:ascii="Times New Roman" w:hAnsi="Times New Roman" w:cs="Times New Roman"/>
          <w:i/>
        </w:rPr>
        <w:t>69</w:t>
      </w:r>
      <w:r w:rsidRPr="00E61769">
        <w:rPr>
          <w:rFonts w:ascii="Times New Roman" w:hAnsi="Times New Roman" w:cs="Times New Roman"/>
          <w:i/>
        </w:rPr>
        <w:t xml:space="preserve"> and 68.</w:t>
      </w:r>
      <w:r>
        <w:rPr>
          <w:rFonts w:ascii="Times New Roman" w:hAnsi="Times New Roman" w:cs="Times New Roman"/>
          <w:i/>
        </w:rPr>
        <w:t>175</w:t>
      </w:r>
      <w:r w:rsidRPr="0003391E">
        <w:rPr>
          <w:rFonts w:ascii="Times New Roman" w:hAnsi="Times New Roman" w:cs="Times New Roman"/>
          <w:i/>
        </w:rPr>
        <w:t>)</w:t>
      </w:r>
    </w:p>
    <w:p w:rsidR="0068767E" w:rsidP="0068767E" w14:paraId="38E85447" w14:textId="77777777">
      <w:pPr>
        <w:spacing w:after="0" w:line="240" w:lineRule="auto"/>
        <w:ind w:firstLine="720"/>
        <w:rPr>
          <w:rFonts w:ascii="Times New Roman" w:hAnsi="Times New Roman" w:cs="Times New Roman"/>
        </w:rPr>
      </w:pPr>
      <w:r>
        <w:rPr>
          <w:rFonts w:ascii="Times New Roman" w:hAnsi="Times New Roman" w:cs="Times New Roman"/>
        </w:rPr>
        <w:t xml:space="preserve">The final rule requires that </w:t>
      </w:r>
      <w:r w:rsidR="008946DC">
        <w:rPr>
          <w:rFonts w:ascii="Times New Roman" w:hAnsi="Times New Roman" w:cs="Times New Roman"/>
        </w:rPr>
        <w:t>risk management plans</w:t>
      </w:r>
      <w:r>
        <w:rPr>
          <w:rFonts w:ascii="Times New Roman" w:hAnsi="Times New Roman" w:cs="Times New Roman"/>
        </w:rPr>
        <w:t xml:space="preserve"> explicitly include declined PHA recommendations associated with adopting practices from the most recent version of RAGAGEP and their associated justifications. </w:t>
      </w:r>
    </w:p>
    <w:p w:rsidR="0068767E" w:rsidP="0068767E" w14:paraId="43F602E8" w14:textId="77777777">
      <w:pPr>
        <w:spacing w:after="0" w:line="240" w:lineRule="auto"/>
        <w:rPr>
          <w:rFonts w:ascii="Times New Roman" w:hAnsi="Times New Roman" w:cs="Times New Roman"/>
        </w:rPr>
      </w:pPr>
    </w:p>
    <w:p w:rsidR="0068767E" w:rsidRPr="00D243A1" w:rsidP="0068767E" w14:paraId="4FDA5353" w14:textId="77777777">
      <w:pPr>
        <w:spacing w:after="0" w:line="240" w:lineRule="auto"/>
        <w:rPr>
          <w:rFonts w:ascii="Times New Roman" w:hAnsi="Times New Roman" w:cs="Times New Roman"/>
          <w:b/>
          <w:bCs/>
        </w:rPr>
      </w:pPr>
      <w:r w:rsidRPr="00D243A1">
        <w:rPr>
          <w:rFonts w:ascii="Times New Roman" w:hAnsi="Times New Roman" w:cs="Times New Roman"/>
          <w:b/>
          <w:bCs/>
        </w:rPr>
        <w:t>Emergency Response</w:t>
      </w:r>
    </w:p>
    <w:p w:rsidR="0068767E" w:rsidRPr="0003391E" w:rsidP="0068767E" w14:paraId="05BB7737" w14:textId="77777777">
      <w:pPr>
        <w:spacing w:after="0" w:line="240" w:lineRule="auto"/>
        <w:rPr>
          <w:rFonts w:ascii="Times New Roman" w:hAnsi="Times New Roman" w:cs="Times New Roman"/>
          <w:i/>
        </w:rPr>
      </w:pPr>
      <w:r>
        <w:rPr>
          <w:rFonts w:ascii="Times New Roman" w:hAnsi="Times New Roman" w:cs="Times New Roman"/>
          <w:i/>
        </w:rPr>
        <w:t>Community Notification of RMP Accidents</w:t>
      </w:r>
      <w:r w:rsidRPr="0003391E">
        <w:rPr>
          <w:rFonts w:ascii="Times New Roman" w:hAnsi="Times New Roman" w:cs="Times New Roman"/>
          <w:i/>
        </w:rPr>
        <w:t>—</w:t>
      </w:r>
      <w:r>
        <w:rPr>
          <w:rFonts w:ascii="Times New Roman" w:hAnsi="Times New Roman" w:cs="Times New Roman"/>
          <w:i/>
          <w:iCs/>
        </w:rPr>
        <w:t xml:space="preserve"> </w:t>
      </w:r>
      <w:r w:rsidRPr="0003391E">
        <w:rPr>
          <w:rFonts w:ascii="Times New Roman" w:hAnsi="Times New Roman" w:cs="Times New Roman"/>
          <w:i/>
        </w:rPr>
        <w:t>(</w:t>
      </w:r>
      <w:r>
        <w:rPr>
          <w:rFonts w:ascii="Times New Roman" w:hAnsi="Times New Roman" w:cs="Times New Roman"/>
          <w:i/>
          <w:iCs/>
        </w:rPr>
        <w:t>P</w:t>
      </w:r>
      <w:r w:rsidRPr="0003391E">
        <w:rPr>
          <w:rFonts w:ascii="Times New Roman" w:hAnsi="Times New Roman" w:cs="Times New Roman"/>
          <w:i/>
        </w:rPr>
        <w:t xml:space="preserve">revisions apply to §§68.90 and 68.95) </w:t>
      </w:r>
    </w:p>
    <w:p w:rsidR="0068767E" w:rsidP="0068767E" w14:paraId="03D92737"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The </w:t>
      </w:r>
      <w:r>
        <w:rPr>
          <w:rFonts w:ascii="Times New Roman" w:hAnsi="Times New Roman" w:cs="Times New Roman"/>
        </w:rPr>
        <w:t>final</w:t>
      </w:r>
      <w:r w:rsidRPr="0003391E">
        <w:rPr>
          <w:rFonts w:ascii="Times New Roman" w:hAnsi="Times New Roman" w:cs="Times New Roman"/>
        </w:rPr>
        <w:t xml:space="preserve"> rule add</w:t>
      </w:r>
      <w:r w:rsidR="00001356">
        <w:rPr>
          <w:rFonts w:ascii="Times New Roman" w:hAnsi="Times New Roman" w:cs="Times New Roman"/>
        </w:rPr>
        <w:t>s</w:t>
      </w:r>
      <w:r w:rsidRPr="0003391E">
        <w:rPr>
          <w:rFonts w:ascii="Times New Roman" w:hAnsi="Times New Roman" w:cs="Times New Roman"/>
        </w:rPr>
        <w:t xml:space="preserve"> a requirement to RMP facility owners and operators who designate themselves as a non-responding facility to develop and implement, as necessary, procedures for informing the public and the appropriate emergency response agencies about accidental releases of RMP-regulated substances. EPA is also </w:t>
      </w:r>
      <w:r>
        <w:rPr>
          <w:rFonts w:ascii="Times New Roman" w:hAnsi="Times New Roman" w:cs="Times New Roman"/>
        </w:rPr>
        <w:t>requiring</w:t>
      </w:r>
      <w:r w:rsidRPr="0003391E">
        <w:rPr>
          <w:rFonts w:ascii="Times New Roman" w:hAnsi="Times New Roman" w:cs="Times New Roman"/>
        </w:rPr>
        <w:t xml:space="preserve"> that responding and non-responding facilities ensure that:</w:t>
      </w:r>
    </w:p>
    <w:p w:rsidR="0068767E" w:rsidRPr="0003391E" w:rsidP="0068767E" w14:paraId="3CC21F3B" w14:textId="77777777">
      <w:pPr>
        <w:spacing w:after="0" w:line="240" w:lineRule="auto"/>
        <w:ind w:firstLine="360"/>
        <w:rPr>
          <w:rFonts w:ascii="Times New Roman" w:hAnsi="Times New Roman" w:cs="Times New Roman"/>
        </w:rPr>
      </w:pPr>
    </w:p>
    <w:p w:rsidR="0068767E" w:rsidRPr="0003391E" w:rsidP="00082826" w14:paraId="7E34E163" w14:textId="77777777">
      <w:pPr>
        <w:pStyle w:val="ListParagraph"/>
        <w:numPr>
          <w:ilvl w:val="0"/>
          <w:numId w:val="15"/>
        </w:numPr>
        <w:spacing w:after="0" w:line="240" w:lineRule="auto"/>
        <w:contextualSpacing w:val="0"/>
        <w:rPr>
          <w:rFonts w:ascii="Times New Roman" w:hAnsi="Times New Roman" w:cs="Times New Roman"/>
        </w:rPr>
      </w:pPr>
      <w:r w:rsidRPr="0003391E">
        <w:rPr>
          <w:rFonts w:ascii="Times New Roman" w:hAnsi="Times New Roman" w:cs="Times New Roman"/>
        </w:rPr>
        <w:t>A community notification system is in place</w:t>
      </w:r>
      <w:r>
        <w:rPr>
          <w:rFonts w:ascii="Times New Roman" w:hAnsi="Times New Roman" w:cs="Times New Roman"/>
        </w:rPr>
        <w:t>;</w:t>
      </w:r>
    </w:p>
    <w:p w:rsidR="0068767E" w:rsidRPr="0003391E" w:rsidP="00082826" w14:paraId="4DB793B1" w14:textId="77777777">
      <w:pPr>
        <w:pStyle w:val="ListParagraph"/>
        <w:numPr>
          <w:ilvl w:val="0"/>
          <w:numId w:val="15"/>
        </w:numPr>
        <w:spacing w:after="0" w:line="240" w:lineRule="auto"/>
        <w:contextualSpacing w:val="0"/>
        <w:rPr>
          <w:rFonts w:ascii="Times New Roman" w:hAnsi="Times New Roman" w:cs="Times New Roman"/>
        </w:rPr>
      </w:pPr>
      <w:r w:rsidRPr="0003391E">
        <w:rPr>
          <w:rFonts w:ascii="Times New Roman" w:hAnsi="Times New Roman" w:cs="Times New Roman"/>
        </w:rPr>
        <w:t>The public is promptly notified of an RMP accident release</w:t>
      </w:r>
      <w:r>
        <w:rPr>
          <w:rFonts w:ascii="Times New Roman" w:hAnsi="Times New Roman" w:cs="Times New Roman"/>
        </w:rPr>
        <w:t>; and</w:t>
      </w:r>
      <w:r w:rsidRPr="0003391E">
        <w:rPr>
          <w:rFonts w:ascii="Times New Roman" w:hAnsi="Times New Roman" w:cs="Times New Roman"/>
        </w:rPr>
        <w:t xml:space="preserve"> </w:t>
      </w:r>
    </w:p>
    <w:p w:rsidR="0068767E" w:rsidP="00082826" w14:paraId="16A9C98A" w14:textId="77777777">
      <w:pPr>
        <w:pStyle w:val="ListParagraph"/>
        <w:numPr>
          <w:ilvl w:val="0"/>
          <w:numId w:val="15"/>
        </w:numPr>
        <w:spacing w:after="0" w:line="240" w:lineRule="auto"/>
        <w:contextualSpacing w:val="0"/>
        <w:rPr>
          <w:rFonts w:ascii="Times New Roman" w:hAnsi="Times New Roman" w:cs="Times New Roman"/>
        </w:rPr>
      </w:pPr>
      <w:r w:rsidRPr="0003391E">
        <w:rPr>
          <w:rFonts w:ascii="Times New Roman" w:hAnsi="Times New Roman" w:cs="Times New Roman"/>
        </w:rPr>
        <w:t>The notification provide</w:t>
      </w:r>
      <w:r w:rsidR="00603F34">
        <w:rPr>
          <w:rFonts w:ascii="Times New Roman" w:hAnsi="Times New Roman" w:cs="Times New Roman"/>
        </w:rPr>
        <w:t>s</w:t>
      </w:r>
      <w:r w:rsidRPr="0003391E">
        <w:rPr>
          <w:rFonts w:ascii="Times New Roman" w:hAnsi="Times New Roman" w:cs="Times New Roman"/>
        </w:rPr>
        <w:t xml:space="preserve"> appropriate, timely data and information to local responders with the current understanding and best estimates of the nature of the release.</w:t>
      </w:r>
    </w:p>
    <w:p w:rsidR="0068767E" w:rsidRPr="0003391E" w:rsidP="0068767E" w14:paraId="0AA57D9D" w14:textId="77777777">
      <w:pPr>
        <w:pStyle w:val="ListParagraph"/>
        <w:spacing w:after="0" w:line="240" w:lineRule="auto"/>
        <w:ind w:left="1080"/>
        <w:contextualSpacing w:val="0"/>
        <w:rPr>
          <w:rFonts w:ascii="Times New Roman" w:hAnsi="Times New Roman" w:cs="Times New Roman"/>
        </w:rPr>
      </w:pPr>
    </w:p>
    <w:p w:rsidR="0068767E" w:rsidRPr="004432B9" w:rsidP="0068767E" w14:paraId="09D0B8A5" w14:textId="77777777">
      <w:pPr>
        <w:spacing w:after="0" w:line="240" w:lineRule="auto"/>
        <w:rPr>
          <w:rFonts w:ascii="Times New Roman" w:hAnsi="Times New Roman" w:cs="Times New Roman"/>
          <w:b/>
          <w:bCs/>
          <w:iCs/>
        </w:rPr>
      </w:pPr>
      <w:r w:rsidRPr="004432B9">
        <w:rPr>
          <w:rFonts w:ascii="Times New Roman" w:hAnsi="Times New Roman" w:cs="Times New Roman"/>
          <w:b/>
          <w:bCs/>
          <w:iCs/>
        </w:rPr>
        <w:t>Information Availability</w:t>
      </w:r>
    </w:p>
    <w:p w:rsidR="0068767E" w:rsidRPr="0003391E" w:rsidP="0068767E" w14:paraId="274845CB" w14:textId="77777777">
      <w:pPr>
        <w:spacing w:after="0" w:line="240" w:lineRule="auto"/>
        <w:rPr>
          <w:rFonts w:ascii="Times New Roman" w:hAnsi="Times New Roman" w:cs="Times New Roman"/>
          <w:i/>
        </w:rPr>
      </w:pPr>
      <w:r w:rsidRPr="0003391E">
        <w:rPr>
          <w:rFonts w:ascii="Times New Roman" w:hAnsi="Times New Roman" w:cs="Times New Roman"/>
          <w:i/>
        </w:rPr>
        <w:t>Information Availability— (revisions apply to §68.210)</w:t>
      </w:r>
    </w:p>
    <w:p w:rsidR="005A403A" w:rsidRPr="0003391E" w:rsidP="005A403A" w14:paraId="1AAA4AE6"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The </w:t>
      </w:r>
      <w:r>
        <w:rPr>
          <w:rFonts w:ascii="Times New Roman" w:hAnsi="Times New Roman" w:cs="Times New Roman"/>
        </w:rPr>
        <w:t>final</w:t>
      </w:r>
      <w:r w:rsidRPr="0003391E">
        <w:rPr>
          <w:rFonts w:ascii="Times New Roman" w:hAnsi="Times New Roman" w:cs="Times New Roman"/>
        </w:rPr>
        <w:t xml:space="preserve"> rule require</w:t>
      </w:r>
      <w:r w:rsidR="00001356">
        <w:rPr>
          <w:rFonts w:ascii="Times New Roman" w:hAnsi="Times New Roman" w:cs="Times New Roman"/>
        </w:rPr>
        <w:t>s</w:t>
      </w:r>
      <w:r w:rsidRPr="0003391E">
        <w:rPr>
          <w:rFonts w:ascii="Times New Roman" w:hAnsi="Times New Roman" w:cs="Times New Roman"/>
        </w:rPr>
        <w:t xml:space="preserve"> all facilities to disclose certain chemical hazard information to the public residing</w:t>
      </w:r>
      <w:r>
        <w:rPr>
          <w:rFonts w:ascii="Times New Roman" w:hAnsi="Times New Roman" w:cs="Times New Roman"/>
        </w:rPr>
        <w:t>, working, or spending significant time</w:t>
      </w:r>
      <w:r w:rsidRPr="0003391E">
        <w:rPr>
          <w:rFonts w:ascii="Times New Roman" w:hAnsi="Times New Roman" w:cs="Times New Roman"/>
        </w:rPr>
        <w:t xml:space="preserve"> within 6 miles</w:t>
      </w:r>
      <w:r>
        <w:rPr>
          <w:rStyle w:val="FootnoteReference"/>
          <w:rFonts w:ascii="Times New Roman" w:hAnsi="Times New Roman" w:cs="Times New Roman"/>
        </w:rPr>
        <w:footnoteReference w:id="5"/>
      </w:r>
      <w:r w:rsidRPr="0003391E">
        <w:rPr>
          <w:rFonts w:ascii="Times New Roman" w:hAnsi="Times New Roman" w:cs="Times New Roman"/>
        </w:rPr>
        <w:t xml:space="preserve"> of the facility in the language </w:t>
      </w:r>
      <w:r>
        <w:rPr>
          <w:rFonts w:ascii="Times New Roman" w:hAnsi="Times New Roman" w:cs="Times New Roman"/>
        </w:rPr>
        <w:t xml:space="preserve">(either English or one of two </w:t>
      </w:r>
      <w:r>
        <w:rPr>
          <w:rFonts w:ascii="Times New Roman" w:hAnsi="Times New Roman" w:cs="Times New Roman"/>
        </w:rPr>
        <w:t xml:space="preserve">other major languages used in the community) </w:t>
      </w:r>
      <w:r w:rsidRPr="0003391E">
        <w:rPr>
          <w:rFonts w:ascii="Times New Roman" w:hAnsi="Times New Roman" w:cs="Times New Roman"/>
        </w:rPr>
        <w:t>requested by the requester.</w:t>
      </w:r>
      <w:r>
        <w:rPr>
          <w:rStyle w:val="FootnoteReference"/>
          <w:rFonts w:ascii="Times New Roman" w:hAnsi="Times New Roman" w:cs="Times New Roman"/>
        </w:rPr>
        <w:footnoteReference w:id="6"/>
      </w:r>
      <w:r w:rsidRPr="0003391E">
        <w:rPr>
          <w:rFonts w:ascii="Times New Roman" w:hAnsi="Times New Roman" w:cs="Times New Roman"/>
        </w:rPr>
        <w:t xml:space="preserve"> These are new information availability requirements, not currently required. </w:t>
      </w:r>
      <w:r>
        <w:rPr>
          <w:rFonts w:ascii="Times New Roman" w:hAnsi="Times New Roman" w:cs="Times New Roman"/>
        </w:rPr>
        <w:t>EPA is requiring owners and operators to maintain a record of request</w:t>
      </w:r>
      <w:r w:rsidR="001A5C5B">
        <w:rPr>
          <w:rFonts w:ascii="Times New Roman" w:hAnsi="Times New Roman" w:cs="Times New Roman"/>
        </w:rPr>
        <w:t>e</w:t>
      </w:r>
      <w:r>
        <w:rPr>
          <w:rFonts w:ascii="Times New Roman" w:hAnsi="Times New Roman" w:cs="Times New Roman"/>
        </w:rPr>
        <w:t xml:space="preserve">rs. </w:t>
      </w:r>
      <w:r w:rsidRPr="0003391E">
        <w:rPr>
          <w:rFonts w:ascii="Times New Roman" w:hAnsi="Times New Roman" w:cs="Times New Roman"/>
        </w:rPr>
        <w:t xml:space="preserve">The facility or its parent company, if applicable, </w:t>
      </w:r>
      <w:r>
        <w:rPr>
          <w:rFonts w:ascii="Times New Roman" w:hAnsi="Times New Roman" w:cs="Times New Roman"/>
        </w:rPr>
        <w:t xml:space="preserve">also </w:t>
      </w:r>
      <w:r w:rsidRPr="0003391E" w:rsidR="00481E3B">
        <w:rPr>
          <w:rFonts w:ascii="Times New Roman" w:hAnsi="Times New Roman" w:cs="Times New Roman"/>
        </w:rPr>
        <w:t>must</w:t>
      </w:r>
      <w:r w:rsidRPr="0003391E">
        <w:rPr>
          <w:rFonts w:ascii="Times New Roman" w:hAnsi="Times New Roman" w:cs="Times New Roman"/>
        </w:rPr>
        <w:t xml:space="preserve"> </w:t>
      </w:r>
      <w:r>
        <w:rPr>
          <w:rFonts w:ascii="Times New Roman" w:hAnsi="Times New Roman" w:cs="Times New Roman"/>
        </w:rPr>
        <w:t xml:space="preserve">provide ongoing notification through publicly accessible means </w:t>
      </w:r>
      <w:r w:rsidR="005A5696">
        <w:rPr>
          <w:rFonts w:ascii="Times New Roman" w:hAnsi="Times New Roman" w:cs="Times New Roman"/>
        </w:rPr>
        <w:t xml:space="preserve">regarding </w:t>
      </w:r>
      <w:r>
        <w:rPr>
          <w:rFonts w:ascii="Times New Roman" w:hAnsi="Times New Roman" w:cs="Times New Roman"/>
        </w:rPr>
        <w:t>what</w:t>
      </w:r>
      <w:r w:rsidRPr="0003391E">
        <w:rPr>
          <w:rFonts w:ascii="Times New Roman" w:hAnsi="Times New Roman" w:cs="Times New Roman"/>
        </w:rPr>
        <w:t xml:space="preserve"> information </w:t>
      </w:r>
      <w:r>
        <w:rPr>
          <w:rFonts w:ascii="Times New Roman" w:hAnsi="Times New Roman" w:cs="Times New Roman"/>
        </w:rPr>
        <w:t xml:space="preserve">is </w:t>
      </w:r>
      <w:r w:rsidRPr="0003391E">
        <w:rPr>
          <w:rFonts w:ascii="Times New Roman" w:hAnsi="Times New Roman" w:cs="Times New Roman"/>
        </w:rPr>
        <w:t xml:space="preserve">available </w:t>
      </w:r>
      <w:r>
        <w:rPr>
          <w:rFonts w:ascii="Times New Roman" w:hAnsi="Times New Roman" w:cs="Times New Roman"/>
        </w:rPr>
        <w:t xml:space="preserve">upon request for those members of the public, how to request that information, and where to access information on community preparedness. </w:t>
      </w:r>
    </w:p>
    <w:p w:rsidR="0068767E" w:rsidRPr="00E80470" w:rsidP="00281014" w14:paraId="12081E58" w14:textId="77777777">
      <w:pPr>
        <w:pStyle w:val="TOC3"/>
        <w:spacing w:line="240" w:lineRule="auto"/>
        <w:ind w:left="0"/>
        <w:rPr>
          <w:rFonts w:ascii="Times New Roman" w:hAnsi="Times New Roman" w:eastAsiaTheme="minorEastAsia" w:cs="Times New Roman"/>
          <w:noProof/>
          <w:sz w:val="22"/>
          <w:szCs w:val="22"/>
          <w:u w:val="single"/>
        </w:rPr>
      </w:pPr>
    </w:p>
    <w:p w:rsidR="00837F16" w:rsidRPr="00C2595C" w:rsidP="00C2595C" w14:paraId="5C80BFB4" w14:textId="77777777">
      <w:pPr>
        <w:keepNext/>
        <w:spacing w:after="0" w:line="240" w:lineRule="auto"/>
        <w:rPr>
          <w:rFonts w:ascii="Times New Roman" w:hAnsi="Times New Roman" w:cs="Times New Roman"/>
          <w:b/>
        </w:rPr>
      </w:pPr>
      <w:r w:rsidRPr="00C2595C">
        <w:rPr>
          <w:rFonts w:ascii="Times New Roman" w:hAnsi="Times New Roman" w:cs="Times New Roman"/>
          <w:b/>
        </w:rPr>
        <w:t xml:space="preserve">Regulatory Alternatives to the </w:t>
      </w:r>
      <w:r w:rsidR="005A403A">
        <w:rPr>
          <w:rFonts w:ascii="Times New Roman" w:hAnsi="Times New Roman" w:cs="Times New Roman"/>
          <w:b/>
        </w:rPr>
        <w:t>Final</w:t>
      </w:r>
      <w:r w:rsidRPr="00C2595C">
        <w:rPr>
          <w:rFonts w:ascii="Times New Roman" w:hAnsi="Times New Roman" w:cs="Times New Roman"/>
          <w:b/>
        </w:rPr>
        <w:t xml:space="preserve"> Rule</w:t>
      </w:r>
    </w:p>
    <w:p w:rsidR="003645FE" w:rsidRPr="00C2595C" w:rsidP="003645FE" w14:paraId="52473CE6" w14:textId="31BDC62F">
      <w:pPr>
        <w:keepNext/>
        <w:spacing w:after="0" w:line="240" w:lineRule="auto"/>
        <w:ind w:firstLine="360"/>
        <w:rPr>
          <w:rFonts w:ascii="Times New Roman" w:hAnsi="Times New Roman" w:cs="Times New Roman"/>
        </w:rPr>
      </w:pPr>
      <w:r>
        <w:rPr>
          <w:rFonts w:ascii="Times New Roman" w:hAnsi="Times New Roman" w:cs="Times New Roman"/>
        </w:rPr>
        <w:tab/>
      </w:r>
      <w:r w:rsidRPr="00C2595C" w:rsidR="00BE2D14">
        <w:rPr>
          <w:rFonts w:ascii="Times New Roman" w:hAnsi="Times New Roman" w:cs="Times New Roman"/>
        </w:rPr>
        <w:t>T</w:t>
      </w:r>
      <w:r w:rsidRPr="00C2595C" w:rsidR="00E36539">
        <w:rPr>
          <w:rFonts w:ascii="Times New Roman" w:hAnsi="Times New Roman" w:cs="Times New Roman"/>
        </w:rPr>
        <w:t>he RIA analyzed</w:t>
      </w:r>
      <w:r w:rsidRPr="00C2595C" w:rsidR="005B38E8">
        <w:rPr>
          <w:rFonts w:ascii="Times New Roman" w:hAnsi="Times New Roman" w:cs="Times New Roman"/>
        </w:rPr>
        <w:t xml:space="preserve"> several</w:t>
      </w:r>
      <w:r w:rsidRPr="00C2595C" w:rsidR="00BE2D14">
        <w:rPr>
          <w:rFonts w:ascii="Times New Roman" w:hAnsi="Times New Roman" w:cs="Times New Roman"/>
        </w:rPr>
        <w:t xml:space="preserve"> regulatory</w:t>
      </w:r>
      <w:r w:rsidRPr="00C2595C" w:rsidR="005B38E8">
        <w:rPr>
          <w:rFonts w:ascii="Times New Roman" w:hAnsi="Times New Roman" w:cs="Times New Roman"/>
        </w:rPr>
        <w:t xml:space="preserve"> alternatives </w:t>
      </w:r>
      <w:r w:rsidRPr="00C2595C" w:rsidR="00BE2D14">
        <w:rPr>
          <w:rFonts w:ascii="Times New Roman" w:hAnsi="Times New Roman" w:cs="Times New Roman"/>
        </w:rPr>
        <w:t>to the</w:t>
      </w:r>
      <w:r w:rsidR="005A403A">
        <w:rPr>
          <w:rFonts w:ascii="Times New Roman" w:hAnsi="Times New Roman" w:cs="Times New Roman"/>
        </w:rPr>
        <w:t xml:space="preserve"> final</w:t>
      </w:r>
      <w:r w:rsidRPr="00C2595C" w:rsidR="00BE2D14">
        <w:rPr>
          <w:rFonts w:ascii="Times New Roman" w:hAnsi="Times New Roman" w:cs="Times New Roman"/>
        </w:rPr>
        <w:t xml:space="preserve"> rule. </w:t>
      </w:r>
      <w:r w:rsidRPr="00C2595C" w:rsidR="005B38E8">
        <w:rPr>
          <w:rFonts w:ascii="Times New Roman" w:hAnsi="Times New Roman" w:cs="Times New Roman"/>
        </w:rPr>
        <w:t>EPA considered one regulatory alternative with lower costs</w:t>
      </w:r>
      <w:r w:rsidR="00F433E1">
        <w:rPr>
          <w:rFonts w:ascii="Times New Roman" w:hAnsi="Times New Roman" w:cs="Times New Roman"/>
        </w:rPr>
        <w:t xml:space="preserve"> than the final rule</w:t>
      </w:r>
      <w:r w:rsidR="003C22AE">
        <w:rPr>
          <w:rFonts w:ascii="Times New Roman" w:hAnsi="Times New Roman" w:cs="Times New Roman"/>
        </w:rPr>
        <w:t xml:space="preserve"> costs</w:t>
      </w:r>
      <w:r w:rsidRPr="00C2595C" w:rsidR="005B38E8">
        <w:rPr>
          <w:rFonts w:ascii="Times New Roman" w:hAnsi="Times New Roman" w:cs="Times New Roman"/>
        </w:rPr>
        <w:t xml:space="preserve"> and </w:t>
      </w:r>
      <w:r w:rsidRPr="00C2595C" w:rsidR="008D5242">
        <w:rPr>
          <w:rFonts w:ascii="Times New Roman" w:hAnsi="Times New Roman" w:cs="Times New Roman"/>
        </w:rPr>
        <w:t>one</w:t>
      </w:r>
      <w:r w:rsidRPr="00C2595C" w:rsidR="005B38E8">
        <w:rPr>
          <w:rFonts w:ascii="Times New Roman" w:hAnsi="Times New Roman" w:cs="Times New Roman"/>
        </w:rPr>
        <w:t xml:space="preserve"> with higher costs. </w:t>
      </w:r>
      <w:r w:rsidRPr="00C2595C" w:rsidR="005B38E8">
        <w:rPr>
          <w:rFonts w:ascii="Times New Roman" w:hAnsi="Times New Roman" w:cs="Times New Roman"/>
        </w:rPr>
        <w:t>The low</w:t>
      </w:r>
      <w:r w:rsidR="00481E3B">
        <w:rPr>
          <w:rFonts w:ascii="Times New Roman" w:hAnsi="Times New Roman" w:cs="Times New Roman"/>
        </w:rPr>
        <w:t xml:space="preserve">er </w:t>
      </w:r>
      <w:r w:rsidRPr="00C2595C" w:rsidR="005B38E8">
        <w:rPr>
          <w:rFonts w:ascii="Times New Roman" w:hAnsi="Times New Roman" w:cs="Times New Roman"/>
        </w:rPr>
        <w:t xml:space="preserve">cost regulatory alternative </w:t>
      </w:r>
      <w:r w:rsidR="007F30C1">
        <w:rPr>
          <w:rFonts w:ascii="Times New Roman" w:hAnsi="Times New Roman" w:cs="Times New Roman"/>
        </w:rPr>
        <w:t xml:space="preserve">is the same as the final rule </w:t>
      </w:r>
      <w:r w:rsidR="0096068E">
        <w:rPr>
          <w:rFonts w:ascii="Times New Roman" w:hAnsi="Times New Roman" w:cs="Times New Roman"/>
        </w:rPr>
        <w:t xml:space="preserve">except that it </w:t>
      </w:r>
      <w:r w:rsidRPr="00C2595C" w:rsidR="005B38E8">
        <w:rPr>
          <w:rFonts w:ascii="Times New Roman" w:hAnsi="Times New Roman" w:cs="Times New Roman"/>
        </w:rPr>
        <w:t xml:space="preserve">considers alternatives for three provisions: </w:t>
      </w:r>
      <w:r w:rsidR="00D936AC">
        <w:rPr>
          <w:rFonts w:ascii="Times New Roman" w:hAnsi="Times New Roman" w:cs="Times New Roman"/>
        </w:rPr>
        <w:t>r</w:t>
      </w:r>
      <w:r w:rsidRPr="00C2595C" w:rsidR="00361044">
        <w:rPr>
          <w:rFonts w:ascii="Times New Roman" w:hAnsi="Times New Roman" w:cs="Times New Roman"/>
        </w:rPr>
        <w:t>oot cause analysis</w:t>
      </w:r>
      <w:r w:rsidR="00361044">
        <w:rPr>
          <w:rFonts w:ascii="Times New Roman" w:hAnsi="Times New Roman" w:cs="Times New Roman"/>
        </w:rPr>
        <w:t>,</w:t>
      </w:r>
      <w:r w:rsidRPr="00C2595C" w:rsidR="00361044">
        <w:rPr>
          <w:rFonts w:ascii="Times New Roman" w:hAnsi="Times New Roman" w:cs="Times New Roman"/>
        </w:rPr>
        <w:t xml:space="preserve"> </w:t>
      </w:r>
      <w:r w:rsidR="00361044">
        <w:rPr>
          <w:rFonts w:ascii="Times New Roman" w:hAnsi="Times New Roman" w:cs="Times New Roman"/>
        </w:rPr>
        <w:t>t</w:t>
      </w:r>
      <w:r w:rsidRPr="00C2595C" w:rsidR="005B38E8">
        <w:rPr>
          <w:rFonts w:ascii="Times New Roman" w:hAnsi="Times New Roman" w:cs="Times New Roman"/>
        </w:rPr>
        <w:t>hird</w:t>
      </w:r>
      <w:r w:rsidRPr="00C2595C" w:rsidR="00D547A0">
        <w:rPr>
          <w:rFonts w:ascii="Times New Roman" w:hAnsi="Times New Roman" w:cs="Times New Roman"/>
        </w:rPr>
        <w:t>-</w:t>
      </w:r>
      <w:r w:rsidRPr="00C2595C" w:rsidR="005B38E8">
        <w:rPr>
          <w:rFonts w:ascii="Times New Roman" w:hAnsi="Times New Roman" w:cs="Times New Roman"/>
        </w:rPr>
        <w:t>party audits</w:t>
      </w:r>
      <w:r w:rsidR="00481E3B">
        <w:rPr>
          <w:rFonts w:ascii="Times New Roman" w:hAnsi="Times New Roman" w:cs="Times New Roman"/>
        </w:rPr>
        <w:t>,</w:t>
      </w:r>
      <w:r w:rsidRPr="00C2595C" w:rsidR="00A004FE">
        <w:rPr>
          <w:rFonts w:ascii="Times New Roman" w:hAnsi="Times New Roman" w:cs="Times New Roman"/>
        </w:rPr>
        <w:t xml:space="preserve"> and employee participation</w:t>
      </w:r>
      <w:r w:rsidRPr="00C2595C" w:rsidR="002D5A1D">
        <w:rPr>
          <w:rFonts w:ascii="Times New Roman" w:hAnsi="Times New Roman" w:cs="Times New Roman"/>
        </w:rPr>
        <w:t>.</w:t>
      </w:r>
      <w:r w:rsidRPr="00C2595C" w:rsidR="00D547A0">
        <w:rPr>
          <w:rFonts w:ascii="Times New Roman" w:hAnsi="Times New Roman" w:cs="Times New Roman"/>
        </w:rPr>
        <w:t xml:space="preserve"> </w:t>
      </w:r>
      <w:r w:rsidRPr="00C2595C" w:rsidR="00F17193">
        <w:rPr>
          <w:rFonts w:ascii="Times New Roman" w:hAnsi="Times New Roman" w:cs="Times New Roman"/>
        </w:rPr>
        <w:t>The</w:t>
      </w:r>
      <w:r w:rsidRPr="00C2595C" w:rsidR="00D547A0">
        <w:rPr>
          <w:rFonts w:ascii="Times New Roman" w:hAnsi="Times New Roman" w:cs="Times New Roman"/>
        </w:rPr>
        <w:t xml:space="preserve"> higher cost alternative</w:t>
      </w:r>
      <w:r w:rsidRPr="00C2595C" w:rsidR="002D5A1D">
        <w:rPr>
          <w:rFonts w:ascii="Times New Roman" w:hAnsi="Times New Roman" w:cs="Times New Roman"/>
        </w:rPr>
        <w:t xml:space="preserve"> </w:t>
      </w:r>
      <w:r w:rsidRPr="00C2595C" w:rsidR="0059304B">
        <w:rPr>
          <w:rFonts w:ascii="Times New Roman" w:hAnsi="Times New Roman" w:cs="Times New Roman"/>
        </w:rPr>
        <w:t>appl</w:t>
      </w:r>
      <w:r w:rsidRPr="00C2595C" w:rsidR="00F17193">
        <w:rPr>
          <w:rFonts w:ascii="Times New Roman" w:hAnsi="Times New Roman" w:cs="Times New Roman"/>
        </w:rPr>
        <w:t>ies</w:t>
      </w:r>
      <w:r w:rsidRPr="00C2595C" w:rsidR="0059304B">
        <w:rPr>
          <w:rFonts w:ascii="Times New Roman" w:hAnsi="Times New Roman" w:cs="Times New Roman"/>
        </w:rPr>
        <w:t xml:space="preserve"> the </w:t>
      </w:r>
      <w:r w:rsidRPr="00C2595C" w:rsidR="00F17193">
        <w:rPr>
          <w:rFonts w:ascii="Times New Roman" w:hAnsi="Times New Roman" w:cs="Times New Roman"/>
        </w:rPr>
        <w:t xml:space="preserve">STAA </w:t>
      </w:r>
      <w:r w:rsidR="00361044">
        <w:rPr>
          <w:rFonts w:ascii="Times New Roman" w:hAnsi="Times New Roman" w:cs="Times New Roman"/>
        </w:rPr>
        <w:t xml:space="preserve">and </w:t>
      </w:r>
      <w:r w:rsidRPr="00C2595C" w:rsidR="00361044">
        <w:rPr>
          <w:rFonts w:ascii="Times New Roman" w:hAnsi="Times New Roman" w:cs="Times New Roman"/>
        </w:rPr>
        <w:t>third-party audit provision</w:t>
      </w:r>
      <w:r w:rsidR="00465C9B">
        <w:rPr>
          <w:rFonts w:ascii="Times New Roman" w:hAnsi="Times New Roman" w:cs="Times New Roman"/>
        </w:rPr>
        <w:t xml:space="preserve">s to a broader set of </w:t>
      </w:r>
      <w:r w:rsidR="00D43C12">
        <w:rPr>
          <w:rFonts w:ascii="Times New Roman" w:hAnsi="Times New Roman" w:cs="Times New Roman"/>
        </w:rPr>
        <w:t xml:space="preserve">facilities but is otherwise </w:t>
      </w:r>
      <w:r w:rsidR="00EB2D85">
        <w:rPr>
          <w:rFonts w:ascii="Times New Roman" w:hAnsi="Times New Roman" w:cs="Times New Roman"/>
        </w:rPr>
        <w:t>the same as the final rule</w:t>
      </w:r>
      <w:r w:rsidRPr="00C2595C" w:rsidR="0059304B">
        <w:rPr>
          <w:rFonts w:ascii="Times New Roman" w:hAnsi="Times New Roman" w:cs="Times New Roman"/>
        </w:rPr>
        <w:t>.</w:t>
      </w:r>
      <w:r w:rsidRPr="00C2595C" w:rsidR="00D547A0">
        <w:rPr>
          <w:rFonts w:ascii="Times New Roman" w:hAnsi="Times New Roman" w:cs="Times New Roman"/>
        </w:rPr>
        <w:t xml:space="preserve"> </w:t>
      </w:r>
      <w:r w:rsidRPr="00C2595C" w:rsidR="004A6E21">
        <w:rPr>
          <w:rFonts w:ascii="Times New Roman" w:hAnsi="Times New Roman" w:cs="Times New Roman"/>
        </w:rPr>
        <w:t>See Chapter</w:t>
      </w:r>
      <w:r w:rsidRPr="00C2595C" w:rsidR="00FF02D3">
        <w:rPr>
          <w:rFonts w:ascii="Times New Roman" w:hAnsi="Times New Roman" w:cs="Times New Roman"/>
        </w:rPr>
        <w:t xml:space="preserve"> 7 for a description of each regulatory alternative EPA considered</w:t>
      </w:r>
      <w:r w:rsidR="009F5E3A">
        <w:rPr>
          <w:rFonts w:ascii="Times New Roman" w:hAnsi="Times New Roman" w:cs="Times New Roman"/>
        </w:rPr>
        <w:t xml:space="preserve">, </w:t>
      </w:r>
      <w:r w:rsidR="004F46C2">
        <w:rPr>
          <w:rFonts w:ascii="Times New Roman" w:hAnsi="Times New Roman" w:cs="Times New Roman"/>
        </w:rPr>
        <w:t xml:space="preserve">estimates of the incremental </w:t>
      </w:r>
      <w:r w:rsidR="00F82874">
        <w:rPr>
          <w:rFonts w:ascii="Times New Roman" w:hAnsi="Times New Roman" w:cs="Times New Roman"/>
        </w:rPr>
        <w:t>costs</w:t>
      </w:r>
      <w:r w:rsidR="00E53CBF">
        <w:rPr>
          <w:rFonts w:ascii="Times New Roman" w:hAnsi="Times New Roman" w:cs="Times New Roman"/>
        </w:rPr>
        <w:t xml:space="preserve"> of the alternatives</w:t>
      </w:r>
      <w:r w:rsidR="00B65359">
        <w:rPr>
          <w:rFonts w:ascii="Times New Roman" w:hAnsi="Times New Roman" w:cs="Times New Roman"/>
        </w:rPr>
        <w:t xml:space="preserve"> relative to a</w:t>
      </w:r>
      <w:r w:rsidR="00B65359">
        <w:rPr>
          <w:rFonts w:ascii="Times New Roman" w:hAnsi="Times New Roman" w:cs="Times New Roman"/>
        </w:rPr>
        <w:t xml:space="preserve"> baseline </w:t>
      </w:r>
      <w:r w:rsidR="00B65359">
        <w:rPr>
          <w:rFonts w:ascii="Times New Roman" w:hAnsi="Times New Roman" w:cs="Times New Roman"/>
        </w:rPr>
        <w:t>of</w:t>
      </w:r>
      <w:r w:rsidR="003F112F">
        <w:rPr>
          <w:rFonts w:ascii="Times New Roman" w:hAnsi="Times New Roman" w:cs="Times New Roman"/>
        </w:rPr>
        <w:t xml:space="preserve"> no new rulemaking</w:t>
      </w:r>
      <w:r w:rsidR="00A313BF">
        <w:rPr>
          <w:rFonts w:ascii="Times New Roman" w:hAnsi="Times New Roman" w:cs="Times New Roman"/>
        </w:rPr>
        <w:t xml:space="preserve"> and breakeven analyses of those alternatives</w:t>
      </w:r>
      <w:r>
        <w:rPr>
          <w:rFonts w:ascii="Times New Roman" w:hAnsi="Times New Roman" w:cs="Times New Roman"/>
        </w:rPr>
        <w:t>.</w:t>
      </w:r>
    </w:p>
    <w:p w:rsidR="005E0AE5" w:rsidRPr="00C2595C" w:rsidP="00ED47B5" w14:paraId="11F81B99" w14:textId="77777777">
      <w:pPr>
        <w:keepNext/>
        <w:spacing w:after="0" w:line="240" w:lineRule="auto"/>
        <w:rPr>
          <w:rFonts w:ascii="Times New Roman" w:hAnsi="Times New Roman" w:cs="Times New Roman"/>
        </w:rPr>
      </w:pPr>
    </w:p>
    <w:p w:rsidR="00B25562" w:rsidRPr="00C2595C" w:rsidP="00ED4316" w14:paraId="76478077" w14:textId="77777777">
      <w:pPr>
        <w:spacing w:after="0" w:line="240" w:lineRule="auto"/>
        <w:rPr>
          <w:rFonts w:ascii="Times New Roman" w:hAnsi="Times New Roman" w:cs="Times New Roman"/>
          <w:b/>
        </w:rPr>
      </w:pPr>
      <w:r w:rsidRPr="00C2595C">
        <w:rPr>
          <w:rFonts w:ascii="Times New Roman" w:hAnsi="Times New Roman" w:cs="Times New Roman"/>
          <w:b/>
        </w:rPr>
        <w:t xml:space="preserve">Universe of RMP </w:t>
      </w:r>
      <w:r w:rsidRPr="00C2595C" w:rsidR="007846A1">
        <w:rPr>
          <w:rFonts w:ascii="Times New Roman" w:hAnsi="Times New Roman" w:cs="Times New Roman"/>
          <w:b/>
        </w:rPr>
        <w:t>Facilit</w:t>
      </w:r>
      <w:r w:rsidRPr="00C2595C" w:rsidR="00A12D27">
        <w:rPr>
          <w:rFonts w:ascii="Times New Roman" w:hAnsi="Times New Roman" w:cs="Times New Roman"/>
          <w:b/>
        </w:rPr>
        <w:t>ies</w:t>
      </w:r>
    </w:p>
    <w:p w:rsidR="00292881" w:rsidRPr="00C2595C" w:rsidP="00D936AC" w14:paraId="301844CD" w14:textId="77777777">
      <w:pPr>
        <w:spacing w:after="0" w:line="240" w:lineRule="auto"/>
        <w:ind w:firstLine="360"/>
        <w:rPr>
          <w:rFonts w:ascii="Times New Roman" w:hAnsi="Times New Roman" w:cs="Times New Roman"/>
        </w:rPr>
      </w:pPr>
      <w:r>
        <w:rPr>
          <w:rFonts w:ascii="Times New Roman" w:hAnsi="Times New Roman" w:cs="Times New Roman"/>
        </w:rPr>
        <w:tab/>
      </w:r>
      <w:r w:rsidR="007B7A63">
        <w:rPr>
          <w:rFonts w:ascii="Times New Roman" w:hAnsi="Times New Roman" w:cs="Times New Roman"/>
        </w:rPr>
        <w:t>Recent data show that</w:t>
      </w:r>
      <w:r w:rsidRPr="00C2595C" w:rsidR="005B38E8">
        <w:rPr>
          <w:rFonts w:ascii="Times New Roman" w:hAnsi="Times New Roman" w:cs="Times New Roman"/>
        </w:rPr>
        <w:t xml:space="preserve"> 11,740 facilities have filed current </w:t>
      </w:r>
      <w:r w:rsidR="009B2521">
        <w:rPr>
          <w:rFonts w:ascii="Times New Roman" w:hAnsi="Times New Roman" w:cs="Times New Roman"/>
        </w:rPr>
        <w:t>risk management plan</w:t>
      </w:r>
      <w:r w:rsidRPr="00C2595C" w:rsidR="005B38E8">
        <w:rPr>
          <w:rFonts w:ascii="Times New Roman" w:hAnsi="Times New Roman" w:cs="Times New Roman"/>
        </w:rPr>
        <w:t xml:space="preserve">s with EPA and are potentially affected by the </w:t>
      </w:r>
      <w:r w:rsidR="00937ADE">
        <w:rPr>
          <w:rFonts w:ascii="Times New Roman" w:hAnsi="Times New Roman" w:cs="Times New Roman"/>
        </w:rPr>
        <w:t>final</w:t>
      </w:r>
      <w:r w:rsidRPr="00C2595C" w:rsidR="005B38E8">
        <w:rPr>
          <w:rFonts w:ascii="Times New Roman" w:hAnsi="Times New Roman" w:cs="Times New Roman"/>
        </w:rPr>
        <w:t xml:space="preserve"> rule. These facilities range from petroleum refineries and large chemical manufacturers to water and wastewater treatment systems; chemical and petroleum wholesalers and terminals; food manufacturers, packing plants, and other cold storage facilities with ammonia refrigeration systems; agricultural chemical distributors; midstream gas plants; and a limited number of other sources that use</w:t>
      </w:r>
      <w:r w:rsidR="00D936AC">
        <w:rPr>
          <w:rFonts w:ascii="Times New Roman" w:hAnsi="Times New Roman" w:cs="Times New Roman"/>
        </w:rPr>
        <w:t xml:space="preserve"> </w:t>
      </w:r>
      <w:r w:rsidRPr="00C2595C" w:rsidR="005B38E8">
        <w:rPr>
          <w:rFonts w:ascii="Times New Roman" w:hAnsi="Times New Roman" w:cs="Times New Roman"/>
        </w:rPr>
        <w:t>RMP-regulated substances.</w:t>
      </w:r>
      <w:r w:rsidRPr="00C2595C" w:rsidR="00E575C0">
        <w:rPr>
          <w:rFonts w:ascii="Times New Roman" w:hAnsi="Times New Roman" w:cs="Times New Roman"/>
        </w:rPr>
        <w:t xml:space="preserve"> A</w:t>
      </w:r>
      <w:r w:rsidRPr="00C2595C" w:rsidR="005B38E8">
        <w:rPr>
          <w:rFonts w:ascii="Times New Roman" w:hAnsi="Times New Roman" w:cs="Times New Roman"/>
        </w:rPr>
        <w:t xml:space="preserve"> </w:t>
      </w:r>
      <w:r w:rsidRPr="00C2595C" w:rsidR="00941633">
        <w:rPr>
          <w:rFonts w:ascii="Times New Roman" w:hAnsi="Times New Roman" w:cs="Times New Roman"/>
        </w:rPr>
        <w:t>table of</w:t>
      </w:r>
      <w:r w:rsidRPr="00C2595C" w:rsidR="005B38E8">
        <w:rPr>
          <w:rFonts w:ascii="Times New Roman" w:hAnsi="Times New Roman" w:cs="Times New Roman"/>
        </w:rPr>
        <w:t xml:space="preserve"> the number of </w:t>
      </w:r>
      <w:r w:rsidRPr="00C2595C" w:rsidR="00941633">
        <w:rPr>
          <w:rFonts w:ascii="Times New Roman" w:hAnsi="Times New Roman" w:cs="Times New Roman"/>
        </w:rPr>
        <w:t xml:space="preserve">affected </w:t>
      </w:r>
      <w:r w:rsidRPr="00C2595C" w:rsidR="005B38E8">
        <w:rPr>
          <w:rFonts w:ascii="Times New Roman" w:hAnsi="Times New Roman" w:cs="Times New Roman"/>
        </w:rPr>
        <w:t xml:space="preserve">facilities by sector and </w:t>
      </w:r>
      <w:r w:rsidRPr="00C2595C" w:rsidR="00941633">
        <w:rPr>
          <w:rFonts w:ascii="Times New Roman" w:hAnsi="Times New Roman" w:cs="Times New Roman"/>
        </w:rPr>
        <w:t xml:space="preserve">NAICS </w:t>
      </w:r>
      <w:r w:rsidRPr="00C2595C" w:rsidR="00110341">
        <w:rPr>
          <w:rFonts w:ascii="Times New Roman" w:hAnsi="Times New Roman" w:cs="Times New Roman"/>
        </w:rPr>
        <w:t>code can be found in</w:t>
      </w:r>
      <w:r w:rsidRPr="00C2595C" w:rsidR="00E93077">
        <w:rPr>
          <w:rFonts w:ascii="Times New Roman" w:hAnsi="Times New Roman" w:cs="Times New Roman"/>
        </w:rPr>
        <w:t xml:space="preserve"> Exhibit 3-1</w:t>
      </w:r>
      <w:r w:rsidRPr="00C2595C" w:rsidR="005B38E8">
        <w:rPr>
          <w:rFonts w:ascii="Times New Roman" w:hAnsi="Times New Roman" w:cs="Times New Roman"/>
        </w:rPr>
        <w:t>.</w:t>
      </w:r>
    </w:p>
    <w:p w:rsidR="00EA40FD" w:rsidP="00292881" w14:paraId="2E1431C8" w14:textId="77777777">
      <w:pPr>
        <w:spacing w:after="0" w:line="240" w:lineRule="auto"/>
        <w:rPr>
          <w:rFonts w:ascii="Times New Roman" w:hAnsi="Times New Roman" w:cs="Times New Roman"/>
        </w:rPr>
      </w:pPr>
    </w:p>
    <w:p w:rsidR="00292881" w:rsidRPr="00C2595C" w:rsidP="00292881" w14:paraId="57C6A02B" w14:textId="77777777">
      <w:pPr>
        <w:spacing w:after="0" w:line="240" w:lineRule="auto"/>
        <w:rPr>
          <w:rFonts w:ascii="Times New Roman" w:hAnsi="Times New Roman" w:cs="Times New Roman"/>
          <w:b/>
        </w:rPr>
      </w:pPr>
      <w:bookmarkStart w:id="3" w:name="_Hlk107989068"/>
      <w:r w:rsidRPr="00C2595C">
        <w:rPr>
          <w:rFonts w:ascii="Times New Roman" w:hAnsi="Times New Roman" w:cs="Times New Roman"/>
          <w:b/>
        </w:rPr>
        <w:t xml:space="preserve">Summary of </w:t>
      </w:r>
      <w:r w:rsidRPr="00C2595C" w:rsidR="00A34591">
        <w:rPr>
          <w:rFonts w:ascii="Times New Roman" w:hAnsi="Times New Roman" w:cs="Times New Roman"/>
          <w:b/>
        </w:rPr>
        <w:t>Estimated Co</w:t>
      </w:r>
      <w:r w:rsidRPr="00C2595C">
        <w:rPr>
          <w:rFonts w:ascii="Times New Roman" w:hAnsi="Times New Roman" w:cs="Times New Roman"/>
          <w:b/>
        </w:rPr>
        <w:t>sts</w:t>
      </w:r>
      <w:r w:rsidR="00772C56">
        <w:rPr>
          <w:rFonts w:ascii="Times New Roman" w:hAnsi="Times New Roman" w:cs="Times New Roman"/>
          <w:b/>
        </w:rPr>
        <w:t xml:space="preserve"> of the Final Rule</w:t>
      </w:r>
    </w:p>
    <w:p w:rsidR="005B38E8" w:rsidP="00281014" w14:paraId="79FB7BA4" w14:textId="5868CA25">
      <w:pPr>
        <w:spacing w:after="0" w:line="240" w:lineRule="auto"/>
        <w:ind w:firstLine="360"/>
        <w:rPr>
          <w:rFonts w:ascii="Times New Roman" w:hAnsi="Times New Roman" w:cs="Times New Roman"/>
        </w:rPr>
      </w:pPr>
      <w:r>
        <w:rPr>
          <w:rFonts w:ascii="Times New Roman" w:hAnsi="Times New Roman" w:cs="Times New Roman"/>
        </w:rPr>
        <w:tab/>
      </w:r>
      <w:r w:rsidRPr="00C2595C" w:rsidR="00ED4316">
        <w:rPr>
          <w:rFonts w:ascii="Times New Roman" w:hAnsi="Times New Roman" w:cs="Times New Roman"/>
        </w:rPr>
        <w:t xml:space="preserve">Exhibit </w:t>
      </w:r>
      <w:r w:rsidRPr="00C2595C" w:rsidR="00BE2D14">
        <w:rPr>
          <w:rFonts w:ascii="Times New Roman" w:hAnsi="Times New Roman" w:cs="Times New Roman"/>
        </w:rPr>
        <w:t>ES-1</w:t>
      </w:r>
      <w:r w:rsidRPr="00C2595C">
        <w:rPr>
          <w:rFonts w:ascii="Times New Roman" w:hAnsi="Times New Roman" w:cs="Times New Roman"/>
        </w:rPr>
        <w:t xml:space="preserve"> presents a summary of the </w:t>
      </w:r>
      <w:r w:rsidR="001E416E">
        <w:rPr>
          <w:rFonts w:ascii="Times New Roman" w:hAnsi="Times New Roman" w:cs="Times New Roman"/>
        </w:rPr>
        <w:t>total undiscounted, discounted, and</w:t>
      </w:r>
      <w:r w:rsidRPr="00C2595C">
        <w:rPr>
          <w:rFonts w:ascii="Times New Roman" w:hAnsi="Times New Roman" w:cs="Times New Roman"/>
        </w:rPr>
        <w:t xml:space="preserve"> annualized costs</w:t>
      </w:r>
      <w:r w:rsidR="00772C56">
        <w:rPr>
          <w:rFonts w:ascii="Times New Roman" w:hAnsi="Times New Roman" w:cs="Times New Roman"/>
        </w:rPr>
        <w:t xml:space="preserve"> of the final rule</w:t>
      </w:r>
      <w:r w:rsidRPr="00C2595C">
        <w:rPr>
          <w:rFonts w:ascii="Times New Roman" w:hAnsi="Times New Roman" w:cs="Times New Roman"/>
        </w:rPr>
        <w:t xml:space="preserve">. In total, EPA estimates annualized costs of </w:t>
      </w:r>
      <w:r w:rsidRPr="00C2595C">
        <w:rPr>
          <w:rFonts w:ascii="Times New Roman" w:hAnsi="Times New Roman" w:cs="Times New Roman"/>
        </w:rPr>
        <w:t>$</w:t>
      </w:r>
      <w:r w:rsidR="00CB361D">
        <w:rPr>
          <w:rFonts w:ascii="Times New Roman" w:hAnsi="Times New Roman" w:cs="Times New Roman"/>
        </w:rPr>
        <w:t>25</w:t>
      </w:r>
      <w:r w:rsidR="00CA3A5A">
        <w:rPr>
          <w:rFonts w:ascii="Times New Roman" w:hAnsi="Times New Roman" w:cs="Times New Roman"/>
        </w:rPr>
        <w:t>6</w:t>
      </w:r>
      <w:r w:rsidR="00CB361D">
        <w:rPr>
          <w:rFonts w:ascii="Times New Roman" w:hAnsi="Times New Roman" w:cs="Times New Roman"/>
        </w:rPr>
        <w:t>.</w:t>
      </w:r>
      <w:r w:rsidR="00CA3A5A">
        <w:rPr>
          <w:rFonts w:ascii="Times New Roman" w:hAnsi="Times New Roman" w:cs="Times New Roman"/>
        </w:rPr>
        <w:t>9</w:t>
      </w:r>
      <w:r w:rsidRPr="00C2595C">
        <w:rPr>
          <w:rFonts w:ascii="Times New Roman" w:hAnsi="Times New Roman" w:cs="Times New Roman"/>
        </w:rPr>
        <w:t xml:space="preserve"> </w:t>
      </w:r>
      <w:r w:rsidRPr="00C2595C">
        <w:rPr>
          <w:rFonts w:ascii="Times New Roman" w:hAnsi="Times New Roman" w:cs="Times New Roman"/>
        </w:rPr>
        <w:t>million at a 3</w:t>
      </w:r>
      <w:r w:rsidRPr="00C2595C" w:rsidR="008E5876">
        <w:rPr>
          <w:rFonts w:ascii="Times New Roman" w:hAnsi="Times New Roman" w:cs="Times New Roman"/>
        </w:rPr>
        <w:t xml:space="preserve"> percent</w:t>
      </w:r>
      <w:r w:rsidRPr="00C2595C">
        <w:rPr>
          <w:rFonts w:ascii="Times New Roman" w:hAnsi="Times New Roman" w:cs="Times New Roman"/>
        </w:rPr>
        <w:t xml:space="preserve"> discount rate and </w:t>
      </w:r>
      <w:r w:rsidRPr="00C2595C" w:rsidR="00C07958">
        <w:rPr>
          <w:rFonts w:ascii="Times New Roman" w:hAnsi="Times New Roman" w:cs="Times New Roman"/>
        </w:rPr>
        <w:t>$</w:t>
      </w:r>
      <w:r w:rsidR="00C07958">
        <w:rPr>
          <w:rFonts w:ascii="Times New Roman" w:hAnsi="Times New Roman" w:cs="Times New Roman"/>
        </w:rPr>
        <w:t>296.9</w:t>
      </w:r>
      <w:r w:rsidRPr="00C2595C" w:rsidR="008540A0">
        <w:rPr>
          <w:rFonts w:ascii="Times New Roman" w:hAnsi="Times New Roman" w:cs="Times New Roman"/>
        </w:rPr>
        <w:t xml:space="preserve"> </w:t>
      </w:r>
      <w:r w:rsidRPr="00C2595C">
        <w:rPr>
          <w:rFonts w:ascii="Times New Roman" w:hAnsi="Times New Roman" w:cs="Times New Roman"/>
        </w:rPr>
        <w:t>million at a 7</w:t>
      </w:r>
      <w:r w:rsidRPr="00C2595C" w:rsidR="008E5876">
        <w:rPr>
          <w:rFonts w:ascii="Times New Roman" w:hAnsi="Times New Roman" w:cs="Times New Roman"/>
        </w:rPr>
        <w:t xml:space="preserve"> percent</w:t>
      </w:r>
      <w:r w:rsidRPr="00C2595C">
        <w:rPr>
          <w:rFonts w:ascii="Times New Roman" w:hAnsi="Times New Roman" w:cs="Times New Roman"/>
        </w:rPr>
        <w:t xml:space="preserve"> discount rate</w:t>
      </w:r>
      <w:r w:rsidRPr="00C2595C" w:rsidR="00064B03">
        <w:rPr>
          <w:rFonts w:ascii="Times New Roman" w:hAnsi="Times New Roman" w:cs="Times New Roman"/>
        </w:rPr>
        <w:t xml:space="preserve"> over a 10-yea</w:t>
      </w:r>
      <w:r w:rsidRPr="00C2595C" w:rsidR="00292881">
        <w:rPr>
          <w:rFonts w:ascii="Times New Roman" w:hAnsi="Times New Roman" w:cs="Times New Roman"/>
        </w:rPr>
        <w:t>r period.</w:t>
      </w:r>
      <w:r w:rsidR="006810AA">
        <w:rPr>
          <w:rFonts w:ascii="Times New Roman" w:hAnsi="Times New Roman" w:cs="Times New Roman"/>
        </w:rPr>
        <w:t xml:space="preserve"> </w:t>
      </w:r>
      <w:r w:rsidRPr="00C2595C" w:rsidR="006810AA">
        <w:rPr>
          <w:rFonts w:ascii="Times New Roman" w:hAnsi="Times New Roman" w:cs="Times New Roman"/>
        </w:rPr>
        <w:t>The provision</w:t>
      </w:r>
      <w:r w:rsidR="00603F0A">
        <w:rPr>
          <w:rFonts w:ascii="Times New Roman" w:hAnsi="Times New Roman" w:cs="Times New Roman"/>
        </w:rPr>
        <w:t>s</w:t>
      </w:r>
      <w:r w:rsidRPr="00C2595C" w:rsidR="006810AA">
        <w:rPr>
          <w:rFonts w:ascii="Times New Roman" w:hAnsi="Times New Roman" w:cs="Times New Roman"/>
        </w:rPr>
        <w:t xml:space="preserve"> associated with the largest annualized cost </w:t>
      </w:r>
      <w:r w:rsidR="005E1114">
        <w:rPr>
          <w:rFonts w:ascii="Times New Roman" w:hAnsi="Times New Roman" w:cs="Times New Roman"/>
        </w:rPr>
        <w:t xml:space="preserve">at a 3 percent </w:t>
      </w:r>
      <w:r w:rsidR="003E1ADB">
        <w:rPr>
          <w:rFonts w:ascii="Times New Roman" w:hAnsi="Times New Roman" w:cs="Times New Roman"/>
        </w:rPr>
        <w:t xml:space="preserve">discount </w:t>
      </w:r>
      <w:r w:rsidR="00603F0A">
        <w:rPr>
          <w:rFonts w:ascii="Times New Roman" w:hAnsi="Times New Roman" w:cs="Times New Roman"/>
        </w:rPr>
        <w:t xml:space="preserve">rate </w:t>
      </w:r>
      <w:r w:rsidR="00AD6F2A">
        <w:rPr>
          <w:rFonts w:ascii="Times New Roman" w:hAnsi="Times New Roman" w:cs="Times New Roman"/>
        </w:rPr>
        <w:t>are</w:t>
      </w:r>
      <w:r w:rsidRPr="00C2595C" w:rsidR="006810AA">
        <w:rPr>
          <w:rFonts w:ascii="Times New Roman" w:hAnsi="Times New Roman" w:cs="Times New Roman"/>
        </w:rPr>
        <w:t xml:space="preserve"> STAA </w:t>
      </w:r>
      <w:r w:rsidR="00FD7EF8">
        <w:rPr>
          <w:rFonts w:ascii="Times New Roman" w:hAnsi="Times New Roman" w:cs="Times New Roman"/>
        </w:rPr>
        <w:t>i</w:t>
      </w:r>
      <w:r w:rsidR="001A0DFC">
        <w:rPr>
          <w:rFonts w:ascii="Times New Roman" w:hAnsi="Times New Roman" w:cs="Times New Roman"/>
        </w:rPr>
        <w:t>mplementation</w:t>
      </w:r>
      <w:r w:rsidRPr="00C2595C" w:rsidR="006810AA">
        <w:rPr>
          <w:rFonts w:ascii="Times New Roman" w:hAnsi="Times New Roman" w:cs="Times New Roman"/>
        </w:rPr>
        <w:t xml:space="preserve"> ($</w:t>
      </w:r>
      <w:r w:rsidR="001A32B1">
        <w:rPr>
          <w:rFonts w:ascii="Times New Roman" w:hAnsi="Times New Roman" w:cs="Times New Roman"/>
        </w:rPr>
        <w:t>168.7</w:t>
      </w:r>
      <w:r w:rsidRPr="00C2595C" w:rsidR="006810AA">
        <w:rPr>
          <w:rFonts w:ascii="Times New Roman" w:hAnsi="Times New Roman" w:cs="Times New Roman"/>
        </w:rPr>
        <w:t xml:space="preserve"> million), </w:t>
      </w:r>
      <w:r w:rsidR="00BA3B73">
        <w:rPr>
          <w:rFonts w:ascii="Times New Roman" w:hAnsi="Times New Roman" w:cs="Times New Roman"/>
        </w:rPr>
        <w:t xml:space="preserve">STAA </w:t>
      </w:r>
      <w:r w:rsidR="00E25B3A">
        <w:rPr>
          <w:rFonts w:ascii="Times New Roman" w:hAnsi="Times New Roman" w:cs="Times New Roman"/>
        </w:rPr>
        <w:t>practicability assessment</w:t>
      </w:r>
      <w:r w:rsidR="00BA3B73">
        <w:rPr>
          <w:rFonts w:ascii="Times New Roman" w:hAnsi="Times New Roman" w:cs="Times New Roman"/>
        </w:rPr>
        <w:t xml:space="preserve"> ($27.0</w:t>
      </w:r>
      <w:r w:rsidR="00C6108A">
        <w:rPr>
          <w:rFonts w:ascii="Times New Roman" w:hAnsi="Times New Roman" w:cs="Times New Roman"/>
        </w:rPr>
        <w:t xml:space="preserve"> million</w:t>
      </w:r>
      <w:r w:rsidR="00BA3B73">
        <w:rPr>
          <w:rFonts w:ascii="Times New Roman" w:hAnsi="Times New Roman" w:cs="Times New Roman"/>
        </w:rPr>
        <w:t>),</w:t>
      </w:r>
      <w:r w:rsidR="00772C56">
        <w:rPr>
          <w:rFonts w:ascii="Times New Roman" w:hAnsi="Times New Roman" w:cs="Times New Roman"/>
        </w:rPr>
        <w:t xml:space="preserve"> and</w:t>
      </w:r>
      <w:r w:rsidR="00BA3B73">
        <w:rPr>
          <w:rFonts w:ascii="Times New Roman" w:hAnsi="Times New Roman" w:cs="Times New Roman"/>
        </w:rPr>
        <w:t xml:space="preserve"> STAA</w:t>
      </w:r>
      <w:r w:rsidRPr="00C2595C" w:rsidR="006810AA">
        <w:rPr>
          <w:rFonts w:ascii="Times New Roman" w:hAnsi="Times New Roman" w:cs="Times New Roman"/>
        </w:rPr>
        <w:t xml:space="preserve"> </w:t>
      </w:r>
      <w:r w:rsidR="002D17E9">
        <w:rPr>
          <w:rFonts w:ascii="Times New Roman" w:hAnsi="Times New Roman" w:cs="Times New Roman"/>
        </w:rPr>
        <w:t xml:space="preserve">initial evaluation </w:t>
      </w:r>
      <w:r w:rsidRPr="00EE1F9A" w:rsidR="002D17E9">
        <w:rPr>
          <w:rFonts w:ascii="Times New Roman" w:hAnsi="Times New Roman" w:cs="Times New Roman"/>
        </w:rPr>
        <w:t>(</w:t>
      </w:r>
      <w:r w:rsidRPr="00EE1F9A" w:rsidR="00C6108A">
        <w:rPr>
          <w:rFonts w:ascii="Times New Roman" w:hAnsi="Times New Roman" w:cs="Times New Roman"/>
        </w:rPr>
        <w:t>$18</w:t>
      </w:r>
      <w:r w:rsidRPr="00EE1F9A" w:rsidR="006810AA">
        <w:rPr>
          <w:rFonts w:ascii="Times New Roman" w:hAnsi="Times New Roman" w:cs="Times New Roman"/>
        </w:rPr>
        <w:t>.</w:t>
      </w:r>
      <w:r w:rsidRPr="00EE1F9A" w:rsidR="003A7327">
        <w:rPr>
          <w:rFonts w:ascii="Times New Roman" w:hAnsi="Times New Roman" w:cs="Times New Roman"/>
        </w:rPr>
        <w:t>5</w:t>
      </w:r>
      <w:r w:rsidRPr="00C2595C" w:rsidR="006810AA">
        <w:rPr>
          <w:rFonts w:ascii="Times New Roman" w:hAnsi="Times New Roman" w:cs="Times New Roman"/>
        </w:rPr>
        <w:t xml:space="preserve"> </w:t>
      </w:r>
      <w:r w:rsidRPr="00C2595C" w:rsidR="006810AA">
        <w:rPr>
          <w:rFonts w:ascii="Times New Roman" w:hAnsi="Times New Roman" w:cs="Times New Roman"/>
        </w:rPr>
        <w:t xml:space="preserve">million), followed by </w:t>
      </w:r>
      <w:r w:rsidR="00B65F5A">
        <w:rPr>
          <w:rFonts w:ascii="Times New Roman" w:hAnsi="Times New Roman" w:cs="Times New Roman"/>
        </w:rPr>
        <w:t>inf</w:t>
      </w:r>
      <w:r w:rsidR="004A0AF9">
        <w:rPr>
          <w:rFonts w:ascii="Times New Roman" w:hAnsi="Times New Roman" w:cs="Times New Roman"/>
        </w:rPr>
        <w:t>ormation availability</w:t>
      </w:r>
      <w:r w:rsidRPr="00C2595C" w:rsidR="006810AA">
        <w:rPr>
          <w:rFonts w:ascii="Times New Roman" w:hAnsi="Times New Roman" w:cs="Times New Roman"/>
        </w:rPr>
        <w:t xml:space="preserve"> ($</w:t>
      </w:r>
      <w:r w:rsidR="004A0AF9">
        <w:rPr>
          <w:rFonts w:ascii="Times New Roman" w:hAnsi="Times New Roman" w:cs="Times New Roman"/>
        </w:rPr>
        <w:t>12.8</w:t>
      </w:r>
      <w:r w:rsidRPr="00C2595C" w:rsidR="006810AA">
        <w:rPr>
          <w:rFonts w:ascii="Times New Roman" w:hAnsi="Times New Roman" w:cs="Times New Roman"/>
        </w:rPr>
        <w:t xml:space="preserve"> million), </w:t>
      </w:r>
      <w:r w:rsidR="005C3A2E">
        <w:rPr>
          <w:rFonts w:ascii="Times New Roman" w:hAnsi="Times New Roman" w:cs="Times New Roman"/>
        </w:rPr>
        <w:t>employee participation plan</w:t>
      </w:r>
      <w:r w:rsidRPr="005A0E64" w:rsidR="006810AA">
        <w:rPr>
          <w:rFonts w:ascii="Times New Roman" w:hAnsi="Times New Roman" w:cs="Times New Roman"/>
        </w:rPr>
        <w:t xml:space="preserve"> ($</w:t>
      </w:r>
      <w:r w:rsidR="005C3A2E">
        <w:rPr>
          <w:rFonts w:ascii="Times New Roman" w:hAnsi="Times New Roman" w:cs="Times New Roman"/>
        </w:rPr>
        <w:t>11.</w:t>
      </w:r>
      <w:r w:rsidRPr="00C2595C" w:rsidR="006810AA">
        <w:rPr>
          <w:rFonts w:ascii="Times New Roman" w:hAnsi="Times New Roman" w:cs="Times New Roman"/>
        </w:rPr>
        <w:t>5 million</w:t>
      </w:r>
      <w:r w:rsidR="00603F0A">
        <w:rPr>
          <w:rFonts w:ascii="Times New Roman" w:hAnsi="Times New Roman" w:cs="Times New Roman"/>
        </w:rPr>
        <w:t>)</w:t>
      </w:r>
      <w:r w:rsidRPr="00C2595C" w:rsidR="006810AA">
        <w:rPr>
          <w:rFonts w:ascii="Times New Roman" w:hAnsi="Times New Roman" w:cs="Times New Roman"/>
        </w:rPr>
        <w:t xml:space="preserve">, </w:t>
      </w:r>
      <w:r w:rsidR="00C95BD5">
        <w:rPr>
          <w:rFonts w:ascii="Times New Roman" w:hAnsi="Times New Roman" w:cs="Times New Roman"/>
        </w:rPr>
        <w:t>third</w:t>
      </w:r>
      <w:r w:rsidR="004C4A23">
        <w:rPr>
          <w:rFonts w:ascii="Times New Roman" w:hAnsi="Times New Roman" w:cs="Times New Roman"/>
        </w:rPr>
        <w:t>-</w:t>
      </w:r>
      <w:r w:rsidR="00C95BD5">
        <w:rPr>
          <w:rFonts w:ascii="Times New Roman" w:hAnsi="Times New Roman" w:cs="Times New Roman"/>
        </w:rPr>
        <w:t>party a</w:t>
      </w:r>
      <w:r w:rsidR="002477F6">
        <w:rPr>
          <w:rFonts w:ascii="Times New Roman" w:hAnsi="Times New Roman" w:cs="Times New Roman"/>
        </w:rPr>
        <w:t>udits</w:t>
      </w:r>
      <w:r w:rsidRPr="00C2595C" w:rsidR="006810AA">
        <w:rPr>
          <w:rFonts w:ascii="Times New Roman" w:hAnsi="Times New Roman" w:cs="Times New Roman"/>
        </w:rPr>
        <w:t xml:space="preserve"> ($</w:t>
      </w:r>
      <w:r w:rsidR="002477F6">
        <w:rPr>
          <w:rFonts w:ascii="Times New Roman" w:hAnsi="Times New Roman" w:cs="Times New Roman"/>
        </w:rPr>
        <w:t>7.5</w:t>
      </w:r>
      <w:r w:rsidRPr="00C2595C" w:rsidR="006810AA">
        <w:rPr>
          <w:rFonts w:ascii="Times New Roman" w:hAnsi="Times New Roman" w:cs="Times New Roman"/>
        </w:rPr>
        <w:t xml:space="preserve"> million), </w:t>
      </w:r>
      <w:r w:rsidR="00816E29">
        <w:rPr>
          <w:rFonts w:ascii="Times New Roman" w:hAnsi="Times New Roman" w:cs="Times New Roman"/>
        </w:rPr>
        <w:t>rule familiarization ($5.8 million), and a community notification system ($4.0 million)</w:t>
      </w:r>
      <w:r w:rsidRPr="00C2595C" w:rsidR="006810AA">
        <w:rPr>
          <w:rFonts w:ascii="Times New Roman" w:hAnsi="Times New Roman" w:cs="Times New Roman"/>
        </w:rPr>
        <w:t xml:space="preserve">. The remaining provisions impose annualized costs of less than $1 million, including </w:t>
      </w:r>
      <w:r w:rsidR="00F73524">
        <w:rPr>
          <w:rFonts w:ascii="Times New Roman" w:hAnsi="Times New Roman" w:cs="Times New Roman"/>
        </w:rPr>
        <w:t>root cause analysis</w:t>
      </w:r>
      <w:r w:rsidRPr="00C2595C" w:rsidR="006810AA">
        <w:rPr>
          <w:rFonts w:ascii="Times New Roman" w:hAnsi="Times New Roman" w:cs="Times New Roman"/>
        </w:rPr>
        <w:t xml:space="preserve"> ($0.</w:t>
      </w:r>
      <w:r w:rsidR="00F73524">
        <w:rPr>
          <w:rFonts w:ascii="Times New Roman" w:hAnsi="Times New Roman" w:cs="Times New Roman"/>
        </w:rPr>
        <w:t>7</w:t>
      </w:r>
      <w:r w:rsidRPr="00C2595C" w:rsidR="006810AA">
        <w:rPr>
          <w:rFonts w:ascii="Times New Roman" w:hAnsi="Times New Roman" w:cs="Times New Roman"/>
        </w:rPr>
        <w:t xml:space="preserve"> million), </w:t>
      </w:r>
      <w:r w:rsidRPr="005A0E64" w:rsidR="006810AA">
        <w:rPr>
          <w:rFonts w:ascii="Times New Roman" w:hAnsi="Times New Roman" w:cs="Times New Roman"/>
        </w:rPr>
        <w:t>emergency backup power for perimeter</w:t>
      </w:r>
      <w:r w:rsidRPr="00C2595C" w:rsidR="006810AA">
        <w:rPr>
          <w:rFonts w:ascii="Times New Roman" w:hAnsi="Times New Roman" w:cs="Times New Roman"/>
        </w:rPr>
        <w:t xml:space="preserve"> monitors used to detect RMP-regulated substances ($0.</w:t>
      </w:r>
      <w:r w:rsidR="003A100C">
        <w:rPr>
          <w:rFonts w:ascii="Times New Roman" w:hAnsi="Times New Roman" w:cs="Times New Roman"/>
        </w:rPr>
        <w:t>3</w:t>
      </w:r>
      <w:r w:rsidRPr="00C2595C" w:rsidR="006810AA">
        <w:rPr>
          <w:rFonts w:ascii="Times New Roman" w:hAnsi="Times New Roman" w:cs="Times New Roman"/>
        </w:rPr>
        <w:t xml:space="preserve"> million)</w:t>
      </w:r>
      <w:r w:rsidR="00A45521">
        <w:rPr>
          <w:rFonts w:ascii="Times New Roman" w:hAnsi="Times New Roman" w:cs="Times New Roman"/>
        </w:rPr>
        <w:t>, and RMP justifications (</w:t>
      </w:r>
      <w:r w:rsidR="00403193">
        <w:rPr>
          <w:rFonts w:ascii="Times New Roman" w:hAnsi="Times New Roman" w:cs="Times New Roman"/>
        </w:rPr>
        <w:t>$0.1 million)</w:t>
      </w:r>
      <w:r w:rsidRPr="00C2595C" w:rsidR="006810AA">
        <w:rPr>
          <w:rFonts w:ascii="Times New Roman" w:hAnsi="Times New Roman" w:cs="Times New Roman"/>
        </w:rPr>
        <w:t>.</w:t>
      </w:r>
    </w:p>
    <w:p w:rsidR="00772C56" w:rsidRPr="00C2595C" w:rsidP="00281014" w14:paraId="3FC3439B" w14:textId="77777777">
      <w:pPr>
        <w:spacing w:after="0" w:line="240" w:lineRule="auto"/>
        <w:ind w:firstLine="360"/>
        <w:rPr>
          <w:rFonts w:ascii="Times New Roman" w:hAnsi="Times New Roman" w:cs="Times New Roman"/>
        </w:rPr>
      </w:pPr>
    </w:p>
    <w:p w:rsidR="00281014" w:rsidRPr="00281014" w:rsidP="00281014" w14:paraId="4105630E" w14:textId="77777777">
      <w:pPr>
        <w:pStyle w:val="Caption"/>
        <w:jc w:val="center"/>
        <w:rPr>
          <w:rFonts w:ascii="Times New Roman" w:hAnsi="Times New Roman" w:cs="Times New Roman"/>
          <w:b/>
          <w:bCs/>
          <w:i w:val="0"/>
          <w:iCs w:val="0"/>
          <w:color w:val="auto"/>
          <w:sz w:val="22"/>
          <w:szCs w:val="22"/>
        </w:rPr>
      </w:pPr>
      <w:bookmarkStart w:id="4" w:name="_Toc100922733"/>
      <w:bookmarkStart w:id="5" w:name="_Toc100922739"/>
      <w:bookmarkStart w:id="6" w:name="_Hlk99526533"/>
      <w:r w:rsidRPr="00281014">
        <w:rPr>
          <w:rFonts w:ascii="Times New Roman" w:hAnsi="Times New Roman" w:cs="Times New Roman"/>
          <w:b/>
          <w:bCs/>
          <w:i w:val="0"/>
          <w:iCs w:val="0"/>
          <w:color w:val="auto"/>
          <w:sz w:val="22"/>
          <w:szCs w:val="22"/>
        </w:rPr>
        <w:t>Exhibit ES</w:t>
      </w:r>
      <w:r w:rsidR="00305374">
        <w:rPr>
          <w:rFonts w:ascii="Times New Roman" w:hAnsi="Times New Roman" w:cs="Times New Roman"/>
          <w:b/>
          <w:bCs/>
          <w:i w:val="0"/>
          <w:iCs w:val="0"/>
          <w:color w:val="auto"/>
          <w:sz w:val="22"/>
          <w:szCs w:val="22"/>
        </w:rPr>
        <w:noBreakHyphen/>
      </w:r>
      <w:r w:rsidR="00305374">
        <w:rPr>
          <w:rFonts w:ascii="Times New Roman" w:hAnsi="Times New Roman" w:cs="Times New Roman"/>
          <w:b/>
          <w:bCs/>
          <w:i w:val="0"/>
          <w:iCs w:val="0"/>
          <w:color w:val="auto"/>
          <w:sz w:val="22"/>
          <w:szCs w:val="22"/>
        </w:rPr>
        <w:fldChar w:fldCharType="begin"/>
      </w:r>
      <w:r w:rsidR="00305374">
        <w:rPr>
          <w:rFonts w:ascii="Times New Roman" w:hAnsi="Times New Roman" w:cs="Times New Roman"/>
          <w:b/>
          <w:bCs/>
          <w:i w:val="0"/>
          <w:iCs w:val="0"/>
          <w:color w:val="auto"/>
          <w:sz w:val="22"/>
          <w:szCs w:val="22"/>
        </w:rPr>
        <w:instrText xml:space="preserve"> SEQ Exhibit \* ARABIC \s 1 </w:instrText>
      </w:r>
      <w:r w:rsidR="00305374">
        <w:rPr>
          <w:rFonts w:ascii="Times New Roman" w:hAnsi="Times New Roman" w:cs="Times New Roman"/>
          <w:b/>
          <w:bCs/>
          <w:i w:val="0"/>
          <w:iCs w:val="0"/>
          <w:color w:val="auto"/>
          <w:sz w:val="22"/>
          <w:szCs w:val="22"/>
        </w:rPr>
        <w:fldChar w:fldCharType="separate"/>
      </w:r>
      <w:r w:rsidR="009543B3">
        <w:rPr>
          <w:rFonts w:ascii="Times New Roman" w:hAnsi="Times New Roman" w:cs="Times New Roman"/>
          <w:b/>
          <w:bCs/>
          <w:i w:val="0"/>
          <w:iCs w:val="0"/>
          <w:noProof/>
          <w:color w:val="auto"/>
          <w:sz w:val="22"/>
          <w:szCs w:val="22"/>
        </w:rPr>
        <w:t>1</w:t>
      </w:r>
      <w:r w:rsidR="00305374">
        <w:rPr>
          <w:rFonts w:ascii="Times New Roman" w:hAnsi="Times New Roman" w:cs="Times New Roman"/>
          <w:b/>
          <w:bCs/>
          <w:i w:val="0"/>
          <w:iCs w:val="0"/>
          <w:color w:val="auto"/>
          <w:sz w:val="22"/>
          <w:szCs w:val="22"/>
        </w:rPr>
        <w:fldChar w:fldCharType="end"/>
      </w:r>
      <w:r w:rsidRPr="00281014">
        <w:rPr>
          <w:rFonts w:ascii="Times New Roman" w:hAnsi="Times New Roman" w:cs="Times New Roman"/>
          <w:b/>
          <w:bCs/>
          <w:i w:val="0"/>
          <w:iCs w:val="0"/>
          <w:color w:val="auto"/>
          <w:sz w:val="22"/>
          <w:szCs w:val="22"/>
        </w:rPr>
        <w:t>. Summary of Estimated Costs (millions, 202</w:t>
      </w:r>
      <w:r w:rsidR="00D76EEA">
        <w:rPr>
          <w:rFonts w:ascii="Times New Roman" w:hAnsi="Times New Roman" w:cs="Times New Roman"/>
          <w:b/>
          <w:bCs/>
          <w:i w:val="0"/>
          <w:iCs w:val="0"/>
          <w:color w:val="auto"/>
          <w:sz w:val="22"/>
          <w:szCs w:val="22"/>
        </w:rPr>
        <w:t>2</w:t>
      </w:r>
      <w:r w:rsidRPr="00281014">
        <w:rPr>
          <w:rFonts w:ascii="Times New Roman" w:hAnsi="Times New Roman" w:cs="Times New Roman"/>
          <w:b/>
          <w:bCs/>
          <w:i w:val="0"/>
          <w:iCs w:val="0"/>
          <w:color w:val="auto"/>
          <w:sz w:val="22"/>
          <w:szCs w:val="22"/>
        </w:rPr>
        <w:t xml:space="preserve"> dollars).</w:t>
      </w:r>
      <w:bookmarkEnd w:id="4"/>
      <w:bookmarkEnd w:id="5"/>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724"/>
        <w:gridCol w:w="1260"/>
        <w:gridCol w:w="1530"/>
        <w:gridCol w:w="1530"/>
        <w:gridCol w:w="1260"/>
        <w:gridCol w:w="1170"/>
      </w:tblGrid>
      <w:tr w14:paraId="76649B26" w14:textId="77777777" w:rsidTr="00495E08">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52"/>
          <w:tblHeader/>
          <w:jc w:val="center"/>
        </w:trPr>
        <w:tc>
          <w:tcPr>
            <w:tcW w:w="2724" w:type="dxa"/>
            <w:tcBorders>
              <w:left w:val="single" w:sz="6" w:space="0" w:color="000000"/>
              <w:bottom w:val="single" w:sz="6" w:space="0" w:color="000000"/>
              <w:right w:val="single" w:sz="6" w:space="0" w:color="000000"/>
            </w:tcBorders>
            <w:shd w:val="clear" w:color="auto" w:fill="DADADA"/>
            <w:vAlign w:val="center"/>
          </w:tcPr>
          <w:p w:rsidR="00107287" w:rsidRPr="00281014" w:rsidP="00692EB0" w14:paraId="06B5F073" w14:textId="77777777">
            <w:pPr>
              <w:spacing w:after="0" w:line="240" w:lineRule="auto"/>
              <w:ind w:firstLine="79"/>
              <w:rPr>
                <w:rFonts w:ascii="Times New Roman" w:hAnsi="Times New Roman" w:cs="Times New Roman"/>
                <w:b/>
                <w:sz w:val="20"/>
                <w:szCs w:val="20"/>
              </w:rPr>
            </w:pPr>
            <w:bookmarkStart w:id="7" w:name="_Hlk99374606"/>
            <w:r w:rsidRPr="00281014">
              <w:rPr>
                <w:rFonts w:ascii="Times New Roman" w:hAnsi="Times New Roman" w:cs="Times New Roman"/>
                <w:b/>
                <w:sz w:val="20"/>
                <w:szCs w:val="20"/>
              </w:rPr>
              <w:t>Cost Elements</w:t>
            </w:r>
          </w:p>
        </w:tc>
        <w:tc>
          <w:tcPr>
            <w:tcW w:w="1260" w:type="dxa"/>
            <w:tcBorders>
              <w:left w:val="single" w:sz="6" w:space="0" w:color="000000"/>
              <w:bottom w:val="single" w:sz="6" w:space="0" w:color="000000"/>
              <w:right w:val="single" w:sz="6" w:space="0" w:color="000000"/>
            </w:tcBorders>
            <w:shd w:val="clear" w:color="auto" w:fill="DADADA"/>
            <w:vAlign w:val="center"/>
          </w:tcPr>
          <w:p w:rsidR="00107287" w:rsidRPr="00281014" w:rsidP="00C2595C" w14:paraId="0CD60F86" w14:textId="77777777">
            <w:pPr>
              <w:spacing w:after="0" w:line="240" w:lineRule="auto"/>
              <w:jc w:val="center"/>
              <w:rPr>
                <w:rFonts w:ascii="Times New Roman" w:hAnsi="Times New Roman" w:cs="Times New Roman"/>
                <w:b/>
                <w:sz w:val="20"/>
                <w:szCs w:val="20"/>
              </w:rPr>
            </w:pPr>
            <w:r w:rsidRPr="00281014">
              <w:rPr>
                <w:rFonts w:ascii="Times New Roman" w:hAnsi="Times New Roman" w:cs="Times New Roman"/>
                <w:b/>
                <w:sz w:val="20"/>
                <w:szCs w:val="20"/>
              </w:rPr>
              <w:t>Total Undiscounted</w:t>
            </w:r>
          </w:p>
        </w:tc>
        <w:tc>
          <w:tcPr>
            <w:tcW w:w="1530" w:type="dxa"/>
            <w:tcBorders>
              <w:left w:val="single" w:sz="6" w:space="0" w:color="000000"/>
              <w:bottom w:val="single" w:sz="6" w:space="0" w:color="000000"/>
              <w:right w:val="single" w:sz="6" w:space="0" w:color="000000"/>
            </w:tcBorders>
            <w:shd w:val="clear" w:color="auto" w:fill="DADADA"/>
            <w:vAlign w:val="center"/>
          </w:tcPr>
          <w:p w:rsidR="00107287" w:rsidP="00C2595C" w14:paraId="0B1E2D72" w14:textId="77777777">
            <w:pPr>
              <w:spacing w:after="0" w:line="240" w:lineRule="auto"/>
              <w:ind w:right="85"/>
              <w:jc w:val="center"/>
              <w:rPr>
                <w:rFonts w:ascii="Times New Roman" w:hAnsi="Times New Roman" w:cs="Times New Roman"/>
                <w:b/>
                <w:sz w:val="20"/>
                <w:szCs w:val="20"/>
              </w:rPr>
            </w:pPr>
            <w:r w:rsidRPr="00281014">
              <w:rPr>
                <w:rFonts w:ascii="Times New Roman" w:hAnsi="Times New Roman" w:cs="Times New Roman"/>
                <w:b/>
                <w:sz w:val="20"/>
                <w:szCs w:val="20"/>
              </w:rPr>
              <w:t xml:space="preserve">Total </w:t>
            </w:r>
          </w:p>
          <w:p w:rsidR="00107287" w:rsidP="00C2595C" w14:paraId="1FC236DF" w14:textId="77777777">
            <w:pPr>
              <w:spacing w:after="0" w:line="240" w:lineRule="auto"/>
              <w:ind w:right="85"/>
              <w:jc w:val="center"/>
              <w:rPr>
                <w:rFonts w:ascii="Times New Roman" w:hAnsi="Times New Roman" w:cs="Times New Roman"/>
                <w:b/>
                <w:sz w:val="20"/>
                <w:szCs w:val="20"/>
              </w:rPr>
            </w:pPr>
            <w:r w:rsidRPr="00281014">
              <w:rPr>
                <w:rFonts w:ascii="Times New Roman" w:hAnsi="Times New Roman" w:cs="Times New Roman"/>
                <w:b/>
                <w:sz w:val="20"/>
                <w:szCs w:val="20"/>
              </w:rPr>
              <w:t>Discounted</w:t>
            </w:r>
          </w:p>
          <w:p w:rsidR="00107287" w:rsidRPr="00281014" w:rsidP="00C2595C" w14:paraId="78BFD549" w14:textId="77777777">
            <w:pPr>
              <w:spacing w:after="0" w:line="240" w:lineRule="auto"/>
              <w:ind w:right="85"/>
              <w:jc w:val="center"/>
              <w:rPr>
                <w:rFonts w:ascii="Times New Roman" w:hAnsi="Times New Roman" w:cs="Times New Roman"/>
                <w:b/>
                <w:sz w:val="20"/>
                <w:szCs w:val="20"/>
              </w:rPr>
            </w:pPr>
            <w:r>
              <w:rPr>
                <w:rFonts w:ascii="Times New Roman" w:hAnsi="Times New Roman" w:cs="Times New Roman"/>
                <w:b/>
                <w:sz w:val="20"/>
                <w:szCs w:val="20"/>
              </w:rPr>
              <w:t xml:space="preserve"> </w:t>
            </w:r>
            <w:r w:rsidRPr="00281014">
              <w:rPr>
                <w:rFonts w:ascii="Times New Roman" w:hAnsi="Times New Roman" w:cs="Times New Roman"/>
                <w:b/>
                <w:sz w:val="20"/>
                <w:szCs w:val="20"/>
              </w:rPr>
              <w:t>(3%)</w:t>
            </w:r>
          </w:p>
        </w:tc>
        <w:tc>
          <w:tcPr>
            <w:tcW w:w="1530" w:type="dxa"/>
            <w:tcBorders>
              <w:left w:val="single" w:sz="6" w:space="0" w:color="000000"/>
              <w:bottom w:val="single" w:sz="6" w:space="0" w:color="000000"/>
              <w:right w:val="single" w:sz="6" w:space="0" w:color="000000"/>
            </w:tcBorders>
            <w:shd w:val="clear" w:color="auto" w:fill="DADADA"/>
            <w:vAlign w:val="center"/>
          </w:tcPr>
          <w:p w:rsidR="00107287" w:rsidP="00C2595C" w14:paraId="72664E46" w14:textId="77777777">
            <w:pPr>
              <w:spacing w:after="0" w:line="240" w:lineRule="auto"/>
              <w:ind w:right="85"/>
              <w:jc w:val="center"/>
              <w:rPr>
                <w:rFonts w:ascii="Times New Roman" w:hAnsi="Times New Roman" w:cs="Times New Roman"/>
                <w:b/>
                <w:sz w:val="20"/>
                <w:szCs w:val="20"/>
              </w:rPr>
            </w:pPr>
            <w:r w:rsidRPr="00281014">
              <w:rPr>
                <w:rFonts w:ascii="Times New Roman" w:hAnsi="Times New Roman" w:cs="Times New Roman"/>
                <w:b/>
                <w:sz w:val="20"/>
                <w:szCs w:val="20"/>
              </w:rPr>
              <w:t xml:space="preserve">Total </w:t>
            </w:r>
          </w:p>
          <w:p w:rsidR="00107287" w:rsidP="00C2595C" w14:paraId="59D5BDE7" w14:textId="77777777">
            <w:pPr>
              <w:spacing w:after="0" w:line="240" w:lineRule="auto"/>
              <w:ind w:right="85"/>
              <w:jc w:val="center"/>
              <w:rPr>
                <w:rFonts w:ascii="Times New Roman" w:hAnsi="Times New Roman" w:cs="Times New Roman"/>
                <w:b/>
                <w:sz w:val="20"/>
                <w:szCs w:val="20"/>
              </w:rPr>
            </w:pPr>
            <w:r w:rsidRPr="00281014">
              <w:rPr>
                <w:rFonts w:ascii="Times New Roman" w:hAnsi="Times New Roman" w:cs="Times New Roman"/>
                <w:b/>
                <w:sz w:val="20"/>
                <w:szCs w:val="20"/>
              </w:rPr>
              <w:t xml:space="preserve">Discounted </w:t>
            </w:r>
          </w:p>
          <w:p w:rsidR="00107287" w:rsidRPr="00281014" w:rsidP="00C2595C" w14:paraId="77E3251A" w14:textId="77777777">
            <w:pPr>
              <w:spacing w:after="0" w:line="240" w:lineRule="auto"/>
              <w:ind w:right="85"/>
              <w:jc w:val="center"/>
              <w:rPr>
                <w:rFonts w:ascii="Times New Roman" w:hAnsi="Times New Roman" w:cs="Times New Roman"/>
                <w:b/>
                <w:sz w:val="20"/>
                <w:szCs w:val="20"/>
              </w:rPr>
            </w:pPr>
            <w:r w:rsidRPr="00281014">
              <w:rPr>
                <w:rFonts w:ascii="Times New Roman" w:hAnsi="Times New Roman" w:cs="Times New Roman"/>
                <w:b/>
                <w:sz w:val="20"/>
                <w:szCs w:val="20"/>
              </w:rPr>
              <w:t>(7%)</w:t>
            </w:r>
          </w:p>
        </w:tc>
        <w:tc>
          <w:tcPr>
            <w:tcW w:w="1260" w:type="dxa"/>
            <w:tcBorders>
              <w:left w:val="single" w:sz="6" w:space="0" w:color="000000"/>
              <w:bottom w:val="single" w:sz="6" w:space="0" w:color="000000"/>
              <w:right w:val="single" w:sz="6" w:space="0" w:color="000000"/>
            </w:tcBorders>
            <w:shd w:val="clear" w:color="auto" w:fill="DADADA"/>
            <w:vAlign w:val="center"/>
          </w:tcPr>
          <w:p w:rsidR="00107287" w:rsidRPr="00281014" w:rsidP="00C2595C" w14:paraId="60133CA5" w14:textId="77777777">
            <w:pPr>
              <w:spacing w:after="0" w:line="240" w:lineRule="auto"/>
              <w:ind w:right="108"/>
              <w:jc w:val="center"/>
              <w:rPr>
                <w:rFonts w:ascii="Times New Roman" w:hAnsi="Times New Roman" w:cs="Times New Roman"/>
                <w:sz w:val="20"/>
                <w:szCs w:val="20"/>
              </w:rPr>
            </w:pPr>
            <w:r w:rsidRPr="00281014">
              <w:rPr>
                <w:rFonts w:ascii="Times New Roman" w:hAnsi="Times New Roman" w:cs="Times New Roman"/>
                <w:b/>
                <w:sz w:val="20"/>
                <w:szCs w:val="20"/>
              </w:rPr>
              <w:t>Annualized (3%)</w:t>
            </w:r>
          </w:p>
        </w:tc>
        <w:tc>
          <w:tcPr>
            <w:tcW w:w="1170" w:type="dxa"/>
            <w:tcBorders>
              <w:left w:val="single" w:sz="6" w:space="0" w:color="000000"/>
              <w:bottom w:val="single" w:sz="6" w:space="0" w:color="000000"/>
              <w:right w:val="single" w:sz="6" w:space="0" w:color="000000"/>
            </w:tcBorders>
            <w:shd w:val="clear" w:color="auto" w:fill="DADADA"/>
            <w:vAlign w:val="center"/>
          </w:tcPr>
          <w:p w:rsidR="00107287" w:rsidRPr="00281014" w:rsidP="00C2595C" w14:paraId="5D0A7CDA" w14:textId="77777777">
            <w:pPr>
              <w:spacing w:after="0" w:line="240" w:lineRule="auto"/>
              <w:ind w:right="78"/>
              <w:jc w:val="center"/>
              <w:rPr>
                <w:rFonts w:ascii="Times New Roman" w:hAnsi="Times New Roman" w:cs="Times New Roman"/>
                <w:b/>
                <w:sz w:val="20"/>
                <w:szCs w:val="20"/>
              </w:rPr>
            </w:pPr>
            <w:r w:rsidRPr="00281014">
              <w:rPr>
                <w:rFonts w:ascii="Times New Roman" w:hAnsi="Times New Roman" w:cs="Times New Roman"/>
                <w:b/>
                <w:sz w:val="20"/>
                <w:szCs w:val="20"/>
              </w:rPr>
              <w:t>Annualized (7%)</w:t>
            </w:r>
          </w:p>
        </w:tc>
      </w:tr>
      <w:tr w14:paraId="5A62B78F" w14:textId="77777777" w:rsidTr="003B2C69">
        <w:tblPrEx>
          <w:tblW w:w="0" w:type="auto"/>
          <w:jc w:val="center"/>
          <w:tblLayout w:type="fixed"/>
          <w:tblCellMar>
            <w:left w:w="0" w:type="dxa"/>
            <w:right w:w="0" w:type="dxa"/>
          </w:tblCellMar>
          <w:tblLook w:val="01E0"/>
        </w:tblPrEx>
        <w:trPr>
          <w:trHeight w:val="285"/>
          <w:jc w:val="center"/>
        </w:trPr>
        <w:tc>
          <w:tcPr>
            <w:tcW w:w="2724"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0CA0E67C" w14:textId="709D07B7">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Rule Familiarization</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13B6E942" w14:textId="08658827">
            <w:pPr>
              <w:spacing w:after="0" w:line="240" w:lineRule="auto"/>
              <w:ind w:left="133" w:right="102"/>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50.9</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6B1F4405" w14:textId="38DFD8E1">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49.5</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298152C1" w14:textId="74903E2C">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47.6</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55616D" w:rsidP="00364037" w14:paraId="61506EFB" w14:textId="1B259317">
            <w:pPr>
              <w:spacing w:after="0" w:line="240" w:lineRule="auto"/>
              <w:jc w:val="center"/>
              <w:rPr>
                <w:rFonts w:ascii="Times New Roman" w:hAnsi="Times New Roman" w:cs="Times New Roman"/>
                <w:sz w:val="20"/>
                <w:szCs w:val="20"/>
              </w:rPr>
            </w:pPr>
            <w:r w:rsidRPr="0055616D">
              <w:rPr>
                <w:rFonts w:ascii="Times New Roman" w:hAnsi="Times New Roman" w:cs="Times New Roman"/>
                <w:sz w:val="20"/>
                <w:szCs w:val="20"/>
              </w:rPr>
              <w:t>$5.</w:t>
            </w:r>
            <w:r>
              <w:rPr>
                <w:rFonts w:ascii="Times New Roman" w:hAnsi="Times New Roman" w:cs="Times New Roman"/>
                <w:sz w:val="20"/>
                <w:szCs w:val="20"/>
              </w:rPr>
              <w:t>8</w:t>
            </w:r>
          </w:p>
        </w:tc>
        <w:tc>
          <w:tcPr>
            <w:tcW w:w="1170" w:type="dxa"/>
            <w:tcBorders>
              <w:top w:val="single" w:sz="6" w:space="0" w:color="000000"/>
              <w:left w:val="single" w:sz="6" w:space="0" w:color="000000"/>
              <w:bottom w:val="single" w:sz="6" w:space="0" w:color="000000"/>
              <w:right w:val="single" w:sz="6" w:space="0" w:color="000000"/>
            </w:tcBorders>
            <w:vAlign w:val="center"/>
          </w:tcPr>
          <w:p w:rsidR="00364037" w:rsidRPr="0055616D" w:rsidP="00364037" w14:paraId="65BE8E37" w14:textId="106A3ABC">
            <w:pPr>
              <w:spacing w:after="0" w:line="240" w:lineRule="auto"/>
              <w:ind w:left="75" w:right="59"/>
              <w:jc w:val="center"/>
              <w:rPr>
                <w:rFonts w:ascii="Times New Roman" w:hAnsi="Times New Roman" w:cs="Times New Roman"/>
                <w:sz w:val="20"/>
                <w:szCs w:val="20"/>
              </w:rPr>
            </w:pPr>
            <w:r w:rsidRPr="0055616D">
              <w:rPr>
                <w:rFonts w:ascii="Times New Roman" w:hAnsi="Times New Roman" w:cs="Times New Roman"/>
                <w:sz w:val="20"/>
                <w:szCs w:val="20"/>
              </w:rPr>
              <w:t>$6.</w:t>
            </w:r>
            <w:r>
              <w:rPr>
                <w:rFonts w:ascii="Times New Roman" w:hAnsi="Times New Roman" w:cs="Times New Roman"/>
                <w:sz w:val="20"/>
                <w:szCs w:val="20"/>
              </w:rPr>
              <w:t>8</w:t>
            </w:r>
          </w:p>
        </w:tc>
      </w:tr>
      <w:tr w14:paraId="7112D68A" w14:textId="77777777">
        <w:tblPrEx>
          <w:tblW w:w="0" w:type="auto"/>
          <w:jc w:val="center"/>
          <w:tblLayout w:type="fixed"/>
          <w:tblCellMar>
            <w:left w:w="0" w:type="dxa"/>
            <w:right w:w="0" w:type="dxa"/>
          </w:tblCellMar>
          <w:tblLook w:val="01E0"/>
        </w:tblPrEx>
        <w:trPr>
          <w:trHeight w:val="285"/>
          <w:jc w:val="center"/>
        </w:trPr>
        <w:tc>
          <w:tcPr>
            <w:tcW w:w="9474" w:type="dxa"/>
            <w:gridSpan w:val="6"/>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1828D227" w14:textId="228D5120">
            <w:pPr>
              <w:spacing w:after="0" w:line="240" w:lineRule="auto"/>
              <w:ind w:left="75" w:right="59"/>
              <w:rPr>
                <w:rFonts w:ascii="Times New Roman" w:hAnsi="Times New Roman" w:cs="Times New Roman"/>
                <w:sz w:val="20"/>
                <w:szCs w:val="20"/>
              </w:rPr>
            </w:pPr>
            <w:r w:rsidRPr="00281014">
              <w:rPr>
                <w:rFonts w:ascii="Times New Roman" w:hAnsi="Times New Roman" w:cs="Times New Roman"/>
                <w:sz w:val="20"/>
                <w:szCs w:val="20"/>
              </w:rPr>
              <w:t>Safer Technology Alternatives Analysis</w:t>
            </w:r>
            <w:r>
              <w:rPr>
                <w:rFonts w:ascii="Times New Roman" w:hAnsi="Times New Roman" w:cs="Times New Roman"/>
                <w:sz w:val="20"/>
                <w:szCs w:val="20"/>
              </w:rPr>
              <w:t xml:space="preserve"> (STAA)</w:t>
            </w:r>
          </w:p>
        </w:tc>
      </w:tr>
      <w:tr w14:paraId="4C131733" w14:textId="77777777" w:rsidTr="003B2C69">
        <w:tblPrEx>
          <w:tblW w:w="0" w:type="auto"/>
          <w:jc w:val="center"/>
          <w:tblLayout w:type="fixed"/>
          <w:tblCellMar>
            <w:left w:w="0" w:type="dxa"/>
            <w:right w:w="0" w:type="dxa"/>
          </w:tblCellMar>
          <w:tblLook w:val="01E0"/>
        </w:tblPrEx>
        <w:trPr>
          <w:trHeight w:val="285"/>
          <w:jc w:val="center"/>
        </w:trPr>
        <w:tc>
          <w:tcPr>
            <w:tcW w:w="2724" w:type="dxa"/>
            <w:tcBorders>
              <w:top w:val="single" w:sz="6" w:space="0" w:color="000000"/>
              <w:left w:val="single" w:sz="6" w:space="0" w:color="000000"/>
              <w:bottom w:val="single" w:sz="6" w:space="0" w:color="000000"/>
              <w:right w:val="single" w:sz="6" w:space="0" w:color="000000"/>
            </w:tcBorders>
            <w:vAlign w:val="center"/>
          </w:tcPr>
          <w:p w:rsidR="00364037" w:rsidRPr="00820920" w:rsidP="00364037" w14:paraId="7ABD6B0F" w14:textId="72C75C69">
            <w:pPr>
              <w:spacing w:after="0" w:line="240" w:lineRule="auto"/>
              <w:ind w:left="112"/>
              <w:jc w:val="right"/>
              <w:rPr>
                <w:rFonts w:ascii="Times New Roman" w:hAnsi="Times New Roman" w:cs="Times New Roman"/>
                <w:i/>
                <w:sz w:val="20"/>
                <w:szCs w:val="20"/>
              </w:rPr>
            </w:pPr>
            <w:r w:rsidRPr="00820920">
              <w:rPr>
                <w:rFonts w:ascii="Times New Roman" w:hAnsi="Times New Roman" w:cs="Times New Roman"/>
                <w:i/>
                <w:iCs/>
                <w:sz w:val="20"/>
                <w:szCs w:val="20"/>
              </w:rPr>
              <w:t>Initial Evaluation</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4FC11343" w14:textId="471FDBD0">
            <w:pPr>
              <w:spacing w:after="0" w:line="240" w:lineRule="auto"/>
              <w:ind w:left="133" w:right="102"/>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176.49</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3D0CD213" w14:textId="2C408365">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158.2</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2FE3E97C" w14:textId="41FD8272">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138.3</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558117EE" w14:textId="35823791">
            <w:pPr>
              <w:spacing w:after="0" w:line="240" w:lineRule="auto"/>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18</w:t>
            </w:r>
            <w:r w:rsidRPr="00281014">
              <w:rPr>
                <w:rFonts w:ascii="Times New Roman" w:hAnsi="Times New Roman" w:cs="Times New Roman"/>
                <w:sz w:val="20"/>
                <w:szCs w:val="20"/>
              </w:rPr>
              <w:t>.</w:t>
            </w:r>
            <w:r>
              <w:rPr>
                <w:rFonts w:ascii="Times New Roman" w:hAnsi="Times New Roman" w:cs="Times New Roman"/>
                <w:sz w:val="20"/>
                <w:szCs w:val="20"/>
              </w:rPr>
              <w:t>5</w:t>
            </w:r>
          </w:p>
        </w:tc>
        <w:tc>
          <w:tcPr>
            <w:tcW w:w="117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547FF627" w14:textId="5F9A7B95">
            <w:pPr>
              <w:spacing w:after="0" w:line="240" w:lineRule="auto"/>
              <w:ind w:left="75" w:right="59"/>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19.7</w:t>
            </w:r>
          </w:p>
        </w:tc>
      </w:tr>
      <w:tr w14:paraId="7251F42F" w14:textId="77777777">
        <w:tblPrEx>
          <w:tblW w:w="0" w:type="auto"/>
          <w:jc w:val="center"/>
          <w:tblLayout w:type="fixed"/>
          <w:tblCellMar>
            <w:left w:w="0" w:type="dxa"/>
            <w:right w:w="0" w:type="dxa"/>
          </w:tblCellMar>
          <w:tblLook w:val="01E0"/>
        </w:tblPrEx>
        <w:trPr>
          <w:trHeight w:val="285"/>
          <w:jc w:val="center"/>
        </w:trPr>
        <w:tc>
          <w:tcPr>
            <w:tcW w:w="2724" w:type="dxa"/>
            <w:tcBorders>
              <w:top w:val="single" w:sz="6" w:space="0" w:color="000000"/>
              <w:left w:val="single" w:sz="6" w:space="0" w:color="000000"/>
              <w:bottom w:val="single" w:sz="6" w:space="0" w:color="000000"/>
              <w:right w:val="single" w:sz="6" w:space="0" w:color="000000"/>
            </w:tcBorders>
            <w:vAlign w:val="center"/>
          </w:tcPr>
          <w:p w:rsidR="00364037" w:rsidRPr="00820920" w:rsidP="00364037" w14:paraId="136DE1FC" w14:textId="6B0292EC">
            <w:pPr>
              <w:spacing w:after="0" w:line="240" w:lineRule="auto"/>
              <w:ind w:left="112"/>
              <w:jc w:val="right"/>
              <w:rPr>
                <w:rFonts w:ascii="Times New Roman" w:hAnsi="Times New Roman" w:cs="Times New Roman"/>
                <w:i/>
                <w:iCs/>
                <w:sz w:val="20"/>
                <w:szCs w:val="20"/>
              </w:rPr>
            </w:pPr>
            <w:r>
              <w:rPr>
                <w:rFonts w:ascii="Times New Roman" w:hAnsi="Times New Roman" w:cs="Times New Roman"/>
                <w:i/>
                <w:iCs/>
                <w:sz w:val="20"/>
                <w:szCs w:val="20"/>
              </w:rPr>
              <w:t>Practicability Assessment</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79834DF2" w14:textId="012BA1B4">
            <w:pPr>
              <w:spacing w:after="0" w:line="240" w:lineRule="auto"/>
              <w:ind w:left="133" w:right="102"/>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256.9</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3D522F1B" w14:textId="19443D98">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230.2</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14E5F1C2" w14:textId="7A1A9C58">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201</w:t>
            </w:r>
            <w:r w:rsidRPr="00281014">
              <w:rPr>
                <w:rFonts w:ascii="Times New Roman" w:hAnsi="Times New Roman" w:cs="Times New Roman"/>
                <w:sz w:val="20"/>
                <w:szCs w:val="20"/>
              </w:rPr>
              <w:t>.0</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547855E0" w14:textId="3FF52814">
            <w:pPr>
              <w:spacing w:after="0" w:line="240" w:lineRule="auto"/>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27.0</w:t>
            </w:r>
          </w:p>
        </w:tc>
        <w:tc>
          <w:tcPr>
            <w:tcW w:w="117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27834745" w14:textId="5660CDC0">
            <w:pPr>
              <w:spacing w:after="0" w:line="240" w:lineRule="auto"/>
              <w:ind w:left="75" w:right="59"/>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28.6</w:t>
            </w:r>
          </w:p>
        </w:tc>
      </w:tr>
      <w:tr w14:paraId="387E1F44" w14:textId="77777777">
        <w:tblPrEx>
          <w:tblW w:w="0" w:type="auto"/>
          <w:jc w:val="center"/>
          <w:tblLayout w:type="fixed"/>
          <w:tblCellMar>
            <w:left w:w="0" w:type="dxa"/>
            <w:right w:w="0" w:type="dxa"/>
          </w:tblCellMar>
          <w:tblLook w:val="01E0"/>
        </w:tblPrEx>
        <w:trPr>
          <w:trHeight w:val="285"/>
          <w:jc w:val="center"/>
        </w:trPr>
        <w:tc>
          <w:tcPr>
            <w:tcW w:w="2724" w:type="dxa"/>
            <w:tcBorders>
              <w:top w:val="single" w:sz="6" w:space="0" w:color="000000"/>
              <w:left w:val="single" w:sz="6" w:space="0" w:color="000000"/>
              <w:bottom w:val="single" w:sz="6" w:space="0" w:color="000000"/>
              <w:right w:val="single" w:sz="6" w:space="0" w:color="000000"/>
            </w:tcBorders>
            <w:vAlign w:val="center"/>
          </w:tcPr>
          <w:p w:rsidR="00364037" w:rsidRPr="00820920" w:rsidP="00364037" w14:paraId="4D11B246" w14:textId="632D8AEA">
            <w:pPr>
              <w:spacing w:after="0" w:line="240" w:lineRule="auto"/>
              <w:ind w:left="112"/>
              <w:jc w:val="right"/>
              <w:rPr>
                <w:rFonts w:ascii="Times New Roman" w:hAnsi="Times New Roman" w:cs="Times New Roman"/>
                <w:i/>
                <w:iCs/>
                <w:sz w:val="20"/>
                <w:szCs w:val="20"/>
              </w:rPr>
            </w:pPr>
            <w:r w:rsidRPr="00820920">
              <w:rPr>
                <w:rFonts w:ascii="Times New Roman" w:hAnsi="Times New Roman" w:cs="Times New Roman"/>
                <w:i/>
                <w:iCs/>
                <w:sz w:val="20"/>
                <w:szCs w:val="20"/>
              </w:rPr>
              <w:t xml:space="preserve">Implementation </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3AF1035E" w14:textId="0DBDBDF2">
            <w:pPr>
              <w:spacing w:after="0" w:line="240" w:lineRule="auto"/>
              <w:ind w:left="133" w:right="102"/>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1,700.4</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4B1B021E" w14:textId="218AD415">
            <w:pPr>
              <w:spacing w:after="0" w:line="240" w:lineRule="auto"/>
              <w:ind w:right="437"/>
              <w:jc w:val="right"/>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1,438.9</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662D11FC" w14:textId="4AC3C406">
            <w:pPr>
              <w:spacing w:after="0" w:line="240" w:lineRule="auto"/>
              <w:ind w:right="437"/>
              <w:jc w:val="right"/>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1,172.6</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6A17EF9F" w14:textId="70A798FA">
            <w:pPr>
              <w:spacing w:after="0" w:line="240" w:lineRule="auto"/>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168.7</w:t>
            </w:r>
          </w:p>
        </w:tc>
        <w:tc>
          <w:tcPr>
            <w:tcW w:w="117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3350A95D" w14:textId="10377260">
            <w:pPr>
              <w:spacing w:after="0" w:line="240" w:lineRule="auto"/>
              <w:ind w:left="75" w:right="59"/>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204.9</w:t>
            </w:r>
          </w:p>
        </w:tc>
      </w:tr>
      <w:tr w14:paraId="446C377F" w14:textId="77777777" w:rsidTr="003B2C69">
        <w:tblPrEx>
          <w:tblW w:w="0" w:type="auto"/>
          <w:jc w:val="center"/>
          <w:tblLayout w:type="fixed"/>
          <w:tblCellMar>
            <w:left w:w="0" w:type="dxa"/>
            <w:right w:w="0" w:type="dxa"/>
          </w:tblCellMar>
          <w:tblLook w:val="01E0"/>
        </w:tblPrEx>
        <w:trPr>
          <w:trHeight w:val="285"/>
          <w:jc w:val="center"/>
        </w:trPr>
        <w:tc>
          <w:tcPr>
            <w:tcW w:w="2724"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59823C4F" w14:textId="34A24EF1">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Root Cause Analysis</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74507CE9" w14:textId="18EB2EA2">
            <w:pPr>
              <w:spacing w:after="0" w:line="240" w:lineRule="auto"/>
              <w:ind w:left="133" w:right="102"/>
              <w:jc w:val="center"/>
              <w:rPr>
                <w:rFonts w:ascii="Times New Roman" w:hAnsi="Times New Roman" w:cs="Times New Roman"/>
                <w:sz w:val="20"/>
                <w:szCs w:val="20"/>
              </w:rPr>
            </w:pPr>
            <w:r w:rsidRPr="00281014">
              <w:rPr>
                <w:rFonts w:ascii="Times New Roman" w:hAnsi="Times New Roman" w:cs="Times New Roman"/>
                <w:sz w:val="20"/>
                <w:szCs w:val="20"/>
              </w:rPr>
              <w:t>$7.3</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4ED4EB28" w14:textId="7A216296">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$6.2</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594E48C1" w14:textId="62FE9F1A">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$5.1</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2B49EB2E" w14:textId="44956804">
            <w:pPr>
              <w:spacing w:after="0" w:line="240" w:lineRule="auto"/>
              <w:jc w:val="center"/>
              <w:rPr>
                <w:rFonts w:ascii="Times New Roman" w:hAnsi="Times New Roman" w:cs="Times New Roman"/>
                <w:sz w:val="20"/>
                <w:szCs w:val="20"/>
              </w:rPr>
            </w:pPr>
            <w:r w:rsidRPr="00281014">
              <w:rPr>
                <w:rFonts w:ascii="Times New Roman" w:hAnsi="Times New Roman" w:cs="Times New Roman"/>
                <w:sz w:val="20"/>
                <w:szCs w:val="20"/>
              </w:rPr>
              <w:t>$0.7</w:t>
            </w:r>
          </w:p>
        </w:tc>
        <w:tc>
          <w:tcPr>
            <w:tcW w:w="117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4DD02019" w14:textId="2E76AEA9">
            <w:pPr>
              <w:spacing w:after="0" w:line="240" w:lineRule="auto"/>
              <w:ind w:left="75" w:right="59"/>
              <w:jc w:val="center"/>
              <w:rPr>
                <w:rFonts w:ascii="Times New Roman" w:hAnsi="Times New Roman" w:cs="Times New Roman"/>
                <w:sz w:val="20"/>
                <w:szCs w:val="20"/>
              </w:rPr>
            </w:pPr>
            <w:r w:rsidRPr="00281014">
              <w:rPr>
                <w:rFonts w:ascii="Times New Roman" w:hAnsi="Times New Roman" w:cs="Times New Roman"/>
                <w:sz w:val="20"/>
                <w:szCs w:val="20"/>
              </w:rPr>
              <w:t>$0.7</w:t>
            </w:r>
          </w:p>
        </w:tc>
      </w:tr>
      <w:tr w14:paraId="0C37D761" w14:textId="77777777" w:rsidTr="003B2C69">
        <w:tblPrEx>
          <w:tblW w:w="0" w:type="auto"/>
          <w:jc w:val="center"/>
          <w:tblLayout w:type="fixed"/>
          <w:tblCellMar>
            <w:left w:w="0" w:type="dxa"/>
            <w:right w:w="0" w:type="dxa"/>
          </w:tblCellMar>
          <w:tblLook w:val="01E0"/>
        </w:tblPrEx>
        <w:trPr>
          <w:trHeight w:val="285"/>
          <w:jc w:val="center"/>
        </w:trPr>
        <w:tc>
          <w:tcPr>
            <w:tcW w:w="2724"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0699E9DE" w14:textId="0A52F3FF">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Third-party Audits</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59AD9E3F" w14:textId="2FAEC466">
            <w:pPr>
              <w:spacing w:after="0" w:line="240" w:lineRule="auto"/>
              <w:ind w:left="133" w:right="102"/>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75.2</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749CC45B" w14:textId="540EE47C">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64.2</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3D25BF5C" w14:textId="39ED1065">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52.8</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6C2B0044" w14:textId="0CD041A2">
            <w:pPr>
              <w:spacing w:after="0" w:line="240" w:lineRule="auto"/>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7.5</w:t>
            </w:r>
          </w:p>
        </w:tc>
        <w:tc>
          <w:tcPr>
            <w:tcW w:w="117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48B6145C" w14:textId="42160F58">
            <w:pPr>
              <w:spacing w:after="0" w:line="240" w:lineRule="auto"/>
              <w:ind w:left="75" w:right="59"/>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7.5</w:t>
            </w:r>
          </w:p>
        </w:tc>
      </w:tr>
      <w:tr w14:paraId="4E6E5F05" w14:textId="77777777" w:rsidTr="003B2C69">
        <w:tblPrEx>
          <w:tblW w:w="0" w:type="auto"/>
          <w:jc w:val="center"/>
          <w:tblLayout w:type="fixed"/>
          <w:tblCellMar>
            <w:left w:w="0" w:type="dxa"/>
            <w:right w:w="0" w:type="dxa"/>
          </w:tblCellMar>
          <w:tblLook w:val="01E0"/>
        </w:tblPrEx>
        <w:trPr>
          <w:trHeight w:val="282"/>
          <w:jc w:val="center"/>
        </w:trPr>
        <w:tc>
          <w:tcPr>
            <w:tcW w:w="2724" w:type="dxa"/>
            <w:tcBorders>
              <w:top w:val="single" w:sz="6" w:space="0" w:color="000000"/>
              <w:left w:val="single" w:sz="6" w:space="0" w:color="000000"/>
              <w:right w:val="single" w:sz="6" w:space="0" w:color="000000"/>
            </w:tcBorders>
            <w:vAlign w:val="center"/>
          </w:tcPr>
          <w:p w:rsidR="00364037" w:rsidRPr="00281014" w:rsidP="00364037" w14:paraId="554E626E" w14:textId="2EDA5D2F">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Employee Participation Plan</w:t>
            </w:r>
          </w:p>
        </w:tc>
        <w:tc>
          <w:tcPr>
            <w:tcW w:w="1260" w:type="dxa"/>
            <w:tcBorders>
              <w:top w:val="single" w:sz="6" w:space="0" w:color="000000"/>
              <w:left w:val="single" w:sz="6" w:space="0" w:color="000000"/>
              <w:right w:val="single" w:sz="6" w:space="0" w:color="000000"/>
            </w:tcBorders>
            <w:vAlign w:val="center"/>
          </w:tcPr>
          <w:p w:rsidR="00364037" w:rsidRPr="00281014" w:rsidP="00364037" w14:paraId="3B22E6A9" w14:textId="441F2C91">
            <w:pPr>
              <w:spacing w:after="0" w:line="240" w:lineRule="auto"/>
              <w:ind w:left="131" w:right="115"/>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114.7</w:t>
            </w:r>
          </w:p>
        </w:tc>
        <w:tc>
          <w:tcPr>
            <w:tcW w:w="1530" w:type="dxa"/>
            <w:tcBorders>
              <w:top w:val="single" w:sz="6" w:space="0" w:color="000000"/>
              <w:left w:val="single" w:sz="6" w:space="0" w:color="000000"/>
              <w:right w:val="single" w:sz="6" w:space="0" w:color="000000"/>
            </w:tcBorders>
            <w:vAlign w:val="center"/>
          </w:tcPr>
          <w:p w:rsidR="00364037" w:rsidRPr="00281014" w:rsidP="00364037" w14:paraId="44F7ACEC" w14:textId="6A480486">
            <w:pPr>
              <w:spacing w:after="0" w:line="240" w:lineRule="auto"/>
              <w:ind w:left="453"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97.9</w:t>
            </w:r>
          </w:p>
        </w:tc>
        <w:tc>
          <w:tcPr>
            <w:tcW w:w="1530" w:type="dxa"/>
            <w:tcBorders>
              <w:top w:val="single" w:sz="6" w:space="0" w:color="000000"/>
              <w:left w:val="single" w:sz="6" w:space="0" w:color="000000"/>
              <w:right w:val="single" w:sz="6" w:space="0" w:color="000000"/>
            </w:tcBorders>
            <w:vAlign w:val="center"/>
          </w:tcPr>
          <w:p w:rsidR="00364037" w:rsidRPr="00281014" w:rsidP="00364037" w14:paraId="6CB1B72B" w14:textId="74D8C3BE">
            <w:pPr>
              <w:spacing w:after="0" w:line="240" w:lineRule="auto"/>
              <w:ind w:left="453"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80.</w:t>
            </w:r>
            <w:r w:rsidRPr="00281014">
              <w:rPr>
                <w:rFonts w:ascii="Times New Roman" w:hAnsi="Times New Roman" w:cs="Times New Roman"/>
                <w:sz w:val="20"/>
                <w:szCs w:val="20"/>
              </w:rPr>
              <w:t>6</w:t>
            </w:r>
          </w:p>
        </w:tc>
        <w:tc>
          <w:tcPr>
            <w:tcW w:w="1260" w:type="dxa"/>
            <w:tcBorders>
              <w:top w:val="single" w:sz="6" w:space="0" w:color="000000"/>
              <w:left w:val="single" w:sz="6" w:space="0" w:color="000000"/>
              <w:right w:val="single" w:sz="6" w:space="0" w:color="000000"/>
            </w:tcBorders>
            <w:vAlign w:val="center"/>
          </w:tcPr>
          <w:p w:rsidR="00364037" w:rsidRPr="00281014" w:rsidP="00364037" w14:paraId="78CCD9DD" w14:textId="6175F326">
            <w:pPr>
              <w:spacing w:after="0" w:line="240" w:lineRule="auto"/>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11.5</w:t>
            </w:r>
          </w:p>
        </w:tc>
        <w:tc>
          <w:tcPr>
            <w:tcW w:w="1170" w:type="dxa"/>
            <w:tcBorders>
              <w:top w:val="single" w:sz="6" w:space="0" w:color="000000"/>
              <w:left w:val="single" w:sz="6" w:space="0" w:color="000000"/>
              <w:right w:val="single" w:sz="6" w:space="0" w:color="000000"/>
            </w:tcBorders>
            <w:vAlign w:val="center"/>
          </w:tcPr>
          <w:p w:rsidR="00364037" w:rsidRPr="00281014" w:rsidP="00364037" w14:paraId="65CEED31" w14:textId="18AC33EF">
            <w:pPr>
              <w:spacing w:after="0" w:line="240" w:lineRule="auto"/>
              <w:ind w:left="75" w:right="59"/>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11.5</w:t>
            </w:r>
          </w:p>
        </w:tc>
      </w:tr>
      <w:tr w14:paraId="2F4D7B50" w14:textId="77777777">
        <w:tblPrEx>
          <w:tblW w:w="0" w:type="auto"/>
          <w:jc w:val="center"/>
          <w:tblLayout w:type="fixed"/>
          <w:tblCellMar>
            <w:left w:w="0" w:type="dxa"/>
            <w:right w:w="0" w:type="dxa"/>
          </w:tblCellMar>
          <w:tblLook w:val="01E0"/>
        </w:tblPrEx>
        <w:trPr>
          <w:trHeight w:val="552"/>
          <w:jc w:val="center"/>
        </w:trPr>
        <w:tc>
          <w:tcPr>
            <w:tcW w:w="2724" w:type="dxa"/>
            <w:tcBorders>
              <w:left w:val="single" w:sz="6" w:space="0" w:color="000000"/>
              <w:bottom w:val="single" w:sz="6" w:space="0" w:color="000000"/>
              <w:right w:val="single" w:sz="6" w:space="0" w:color="000000"/>
            </w:tcBorders>
            <w:vAlign w:val="center"/>
          </w:tcPr>
          <w:p w:rsidR="00364037" w:rsidRPr="00281014" w:rsidP="00364037" w14:paraId="7B402412" w14:textId="40925376">
            <w:pPr>
              <w:spacing w:after="0" w:line="240" w:lineRule="auto"/>
              <w:ind w:left="112" w:right="85"/>
              <w:rPr>
                <w:rFonts w:ascii="Times New Roman" w:hAnsi="Times New Roman" w:cs="Times New Roman"/>
                <w:sz w:val="20"/>
                <w:szCs w:val="20"/>
              </w:rPr>
            </w:pPr>
            <w:r w:rsidRPr="00281014">
              <w:rPr>
                <w:rFonts w:ascii="Times New Roman" w:hAnsi="Times New Roman" w:cs="Times New Roman"/>
                <w:sz w:val="20"/>
                <w:szCs w:val="20"/>
              </w:rPr>
              <w:t>Backup Power for Perimeter Monitors</w:t>
            </w:r>
          </w:p>
        </w:tc>
        <w:tc>
          <w:tcPr>
            <w:tcW w:w="1260" w:type="dxa"/>
            <w:tcBorders>
              <w:left w:val="single" w:sz="6" w:space="0" w:color="000000"/>
              <w:bottom w:val="single" w:sz="6" w:space="0" w:color="000000"/>
              <w:right w:val="single" w:sz="6" w:space="0" w:color="000000"/>
            </w:tcBorders>
            <w:vAlign w:val="center"/>
          </w:tcPr>
          <w:p w:rsidR="00364037" w:rsidRPr="0055616D" w:rsidP="00364037" w14:paraId="66B4BDE6" w14:textId="2160898B">
            <w:pPr>
              <w:spacing w:after="0" w:line="240" w:lineRule="auto"/>
              <w:ind w:left="131" w:right="115"/>
              <w:jc w:val="center"/>
              <w:rPr>
                <w:rFonts w:ascii="Times New Roman" w:hAnsi="Times New Roman" w:cs="Times New Roman"/>
                <w:sz w:val="20"/>
                <w:szCs w:val="20"/>
              </w:rPr>
            </w:pPr>
            <w:r w:rsidRPr="0055616D">
              <w:rPr>
                <w:rFonts w:ascii="Times New Roman" w:hAnsi="Times New Roman" w:cs="Times New Roman"/>
                <w:sz w:val="20"/>
                <w:szCs w:val="20"/>
              </w:rPr>
              <w:t>$</w:t>
            </w:r>
            <w:r>
              <w:rPr>
                <w:rFonts w:ascii="Times New Roman" w:hAnsi="Times New Roman" w:cs="Times New Roman"/>
                <w:sz w:val="20"/>
                <w:szCs w:val="20"/>
              </w:rPr>
              <w:t>3.3</w:t>
            </w:r>
          </w:p>
        </w:tc>
        <w:tc>
          <w:tcPr>
            <w:tcW w:w="1530" w:type="dxa"/>
            <w:tcBorders>
              <w:left w:val="single" w:sz="6" w:space="0" w:color="000000"/>
              <w:bottom w:val="single" w:sz="6" w:space="0" w:color="000000"/>
              <w:right w:val="single" w:sz="6" w:space="0" w:color="000000"/>
            </w:tcBorders>
            <w:vAlign w:val="center"/>
          </w:tcPr>
          <w:p w:rsidR="00364037" w:rsidRPr="0055616D" w:rsidP="00364037" w14:paraId="3EE60808" w14:textId="260F27F1">
            <w:pPr>
              <w:spacing w:after="0" w:line="240" w:lineRule="auto"/>
              <w:ind w:left="453" w:right="437"/>
              <w:jc w:val="center"/>
              <w:rPr>
                <w:rFonts w:ascii="Times New Roman" w:hAnsi="Times New Roman" w:cs="Times New Roman"/>
                <w:sz w:val="20"/>
                <w:szCs w:val="20"/>
              </w:rPr>
            </w:pPr>
            <w:r w:rsidRPr="0055616D">
              <w:rPr>
                <w:rFonts w:ascii="Times New Roman" w:hAnsi="Times New Roman" w:cs="Times New Roman"/>
                <w:sz w:val="20"/>
                <w:szCs w:val="20"/>
              </w:rPr>
              <w:t>$</w:t>
            </w:r>
            <w:r>
              <w:rPr>
                <w:rFonts w:ascii="Times New Roman" w:hAnsi="Times New Roman" w:cs="Times New Roman"/>
                <w:sz w:val="20"/>
                <w:szCs w:val="20"/>
              </w:rPr>
              <w:t>2.8</w:t>
            </w:r>
          </w:p>
        </w:tc>
        <w:tc>
          <w:tcPr>
            <w:tcW w:w="1530" w:type="dxa"/>
            <w:tcBorders>
              <w:left w:val="single" w:sz="6" w:space="0" w:color="000000"/>
              <w:bottom w:val="single" w:sz="6" w:space="0" w:color="000000"/>
              <w:right w:val="single" w:sz="6" w:space="0" w:color="000000"/>
            </w:tcBorders>
            <w:vAlign w:val="center"/>
          </w:tcPr>
          <w:p w:rsidR="00364037" w:rsidRPr="0055616D" w:rsidP="00364037" w14:paraId="19CEEED4" w14:textId="6B20896C">
            <w:pPr>
              <w:spacing w:after="0" w:line="240" w:lineRule="auto"/>
              <w:ind w:left="453" w:right="437"/>
              <w:jc w:val="center"/>
              <w:rPr>
                <w:rFonts w:ascii="Times New Roman" w:hAnsi="Times New Roman" w:cs="Times New Roman"/>
                <w:sz w:val="20"/>
                <w:szCs w:val="20"/>
              </w:rPr>
            </w:pPr>
            <w:r w:rsidRPr="0055616D">
              <w:rPr>
                <w:rFonts w:ascii="Times New Roman" w:hAnsi="Times New Roman" w:cs="Times New Roman"/>
                <w:sz w:val="20"/>
                <w:szCs w:val="20"/>
              </w:rPr>
              <w:t>$</w:t>
            </w:r>
            <w:r>
              <w:rPr>
                <w:rFonts w:ascii="Times New Roman" w:hAnsi="Times New Roman" w:cs="Times New Roman"/>
                <w:sz w:val="20"/>
                <w:szCs w:val="20"/>
              </w:rPr>
              <w:t>2.3</w:t>
            </w:r>
          </w:p>
        </w:tc>
        <w:tc>
          <w:tcPr>
            <w:tcW w:w="1260" w:type="dxa"/>
            <w:tcBorders>
              <w:left w:val="single" w:sz="6" w:space="0" w:color="000000"/>
              <w:bottom w:val="single" w:sz="6" w:space="0" w:color="000000"/>
              <w:right w:val="single" w:sz="6" w:space="0" w:color="000000"/>
            </w:tcBorders>
            <w:vAlign w:val="center"/>
          </w:tcPr>
          <w:p w:rsidR="00364037" w:rsidRPr="0055616D" w:rsidP="00364037" w14:paraId="32ACFF47" w14:textId="1D9C957A">
            <w:pPr>
              <w:spacing w:after="0" w:line="240" w:lineRule="auto"/>
              <w:jc w:val="center"/>
              <w:rPr>
                <w:rFonts w:ascii="Times New Roman" w:hAnsi="Times New Roman" w:cs="Times New Roman"/>
                <w:sz w:val="20"/>
                <w:szCs w:val="20"/>
              </w:rPr>
            </w:pPr>
            <w:r w:rsidRPr="0055616D">
              <w:rPr>
                <w:rFonts w:ascii="Times New Roman" w:hAnsi="Times New Roman" w:cs="Times New Roman"/>
                <w:sz w:val="20"/>
                <w:szCs w:val="20"/>
              </w:rPr>
              <w:t>$0.</w:t>
            </w:r>
            <w:r>
              <w:rPr>
                <w:rFonts w:ascii="Times New Roman" w:hAnsi="Times New Roman" w:cs="Times New Roman"/>
                <w:sz w:val="20"/>
                <w:szCs w:val="20"/>
              </w:rPr>
              <w:t>3</w:t>
            </w:r>
          </w:p>
        </w:tc>
        <w:tc>
          <w:tcPr>
            <w:tcW w:w="1170" w:type="dxa"/>
            <w:tcBorders>
              <w:left w:val="single" w:sz="6" w:space="0" w:color="000000"/>
              <w:bottom w:val="single" w:sz="6" w:space="0" w:color="000000"/>
              <w:right w:val="single" w:sz="6" w:space="0" w:color="000000"/>
            </w:tcBorders>
            <w:vAlign w:val="center"/>
          </w:tcPr>
          <w:p w:rsidR="00364037" w:rsidRPr="0055616D" w:rsidP="00364037" w14:paraId="31CA0C7A" w14:textId="13A92F65">
            <w:pPr>
              <w:spacing w:after="0" w:line="240" w:lineRule="auto"/>
              <w:ind w:left="89" w:right="58"/>
              <w:jc w:val="center"/>
              <w:rPr>
                <w:rFonts w:ascii="Times New Roman" w:hAnsi="Times New Roman" w:cs="Times New Roman"/>
                <w:sz w:val="20"/>
                <w:szCs w:val="20"/>
              </w:rPr>
            </w:pPr>
            <w:r w:rsidRPr="0055616D">
              <w:rPr>
                <w:rFonts w:ascii="Times New Roman" w:hAnsi="Times New Roman" w:cs="Times New Roman"/>
                <w:sz w:val="20"/>
                <w:szCs w:val="20"/>
              </w:rPr>
              <w:t>$0.</w:t>
            </w:r>
            <w:r>
              <w:rPr>
                <w:rFonts w:ascii="Times New Roman" w:hAnsi="Times New Roman" w:cs="Times New Roman"/>
                <w:sz w:val="20"/>
                <w:szCs w:val="20"/>
              </w:rPr>
              <w:t>3</w:t>
            </w:r>
          </w:p>
        </w:tc>
      </w:tr>
      <w:tr w14:paraId="3EF42838" w14:textId="77777777" w:rsidTr="00FA04B8">
        <w:tblPrEx>
          <w:tblW w:w="0" w:type="auto"/>
          <w:jc w:val="center"/>
          <w:tblLayout w:type="fixed"/>
          <w:tblCellMar>
            <w:left w:w="0" w:type="dxa"/>
            <w:right w:w="0" w:type="dxa"/>
          </w:tblCellMar>
          <w:tblLook w:val="01E0"/>
        </w:tblPrEx>
        <w:trPr>
          <w:trHeight w:val="370"/>
          <w:jc w:val="center"/>
        </w:trPr>
        <w:tc>
          <w:tcPr>
            <w:tcW w:w="9474" w:type="dxa"/>
            <w:gridSpan w:val="6"/>
            <w:tcBorders>
              <w:left w:val="single" w:sz="6" w:space="0" w:color="000000"/>
              <w:bottom w:val="single" w:sz="6" w:space="0" w:color="000000"/>
              <w:right w:val="single" w:sz="6" w:space="0" w:color="000000"/>
            </w:tcBorders>
            <w:vAlign w:val="center"/>
          </w:tcPr>
          <w:p w:rsidR="00364037" w:rsidRPr="0055616D" w:rsidP="00364037" w14:paraId="4A80817B" w14:textId="02511C32">
            <w:pPr>
              <w:spacing w:after="0" w:line="240" w:lineRule="auto"/>
              <w:ind w:left="89" w:right="58"/>
              <w:rPr>
                <w:rFonts w:ascii="Times New Roman" w:hAnsi="Times New Roman" w:cs="Times New Roman"/>
                <w:sz w:val="20"/>
                <w:szCs w:val="20"/>
              </w:rPr>
            </w:pPr>
            <w:r>
              <w:rPr>
                <w:rFonts w:ascii="Times New Roman" w:hAnsi="Times New Roman" w:cs="Times New Roman"/>
                <w:sz w:val="20"/>
                <w:szCs w:val="20"/>
              </w:rPr>
              <w:t>RMP Justifications</w:t>
            </w:r>
          </w:p>
        </w:tc>
      </w:tr>
      <w:tr w14:paraId="11065686" w14:textId="77777777" w:rsidTr="00FA04B8">
        <w:tblPrEx>
          <w:tblW w:w="0" w:type="auto"/>
          <w:jc w:val="center"/>
          <w:tblLayout w:type="fixed"/>
          <w:tblCellMar>
            <w:left w:w="0" w:type="dxa"/>
            <w:right w:w="0" w:type="dxa"/>
          </w:tblCellMar>
          <w:tblLook w:val="01E0"/>
        </w:tblPrEx>
        <w:trPr>
          <w:trHeight w:val="343"/>
          <w:jc w:val="center"/>
        </w:trPr>
        <w:tc>
          <w:tcPr>
            <w:tcW w:w="2724" w:type="dxa"/>
            <w:tcBorders>
              <w:left w:val="single" w:sz="6" w:space="0" w:color="000000"/>
              <w:bottom w:val="single" w:sz="6" w:space="0" w:color="000000"/>
              <w:right w:val="single" w:sz="6" w:space="0" w:color="000000"/>
            </w:tcBorders>
            <w:vAlign w:val="center"/>
          </w:tcPr>
          <w:p w:rsidR="00364037" w:rsidRPr="00FC0991" w:rsidP="00364037" w14:paraId="37B7D2B2" w14:textId="0A2A3697">
            <w:pPr>
              <w:spacing w:after="0" w:line="240" w:lineRule="auto"/>
              <w:ind w:left="112" w:right="85"/>
              <w:jc w:val="right"/>
              <w:rPr>
                <w:rFonts w:ascii="Times New Roman" w:hAnsi="Times New Roman" w:cs="Times New Roman"/>
                <w:i/>
                <w:sz w:val="20"/>
                <w:szCs w:val="20"/>
              </w:rPr>
            </w:pPr>
            <w:r w:rsidRPr="00FC0991">
              <w:rPr>
                <w:rFonts w:ascii="Times New Roman" w:hAnsi="Times New Roman" w:cs="Times New Roman"/>
                <w:i/>
                <w:iCs/>
                <w:sz w:val="20"/>
                <w:szCs w:val="20"/>
              </w:rPr>
              <w:t>No Backup Power</w:t>
            </w:r>
          </w:p>
        </w:tc>
        <w:tc>
          <w:tcPr>
            <w:tcW w:w="1260" w:type="dxa"/>
            <w:tcBorders>
              <w:left w:val="single" w:sz="6" w:space="0" w:color="000000"/>
              <w:bottom w:val="single" w:sz="6" w:space="0" w:color="000000"/>
              <w:right w:val="single" w:sz="6" w:space="0" w:color="000000"/>
            </w:tcBorders>
            <w:vAlign w:val="center"/>
          </w:tcPr>
          <w:p w:rsidR="00364037" w:rsidRPr="0055616D" w:rsidP="00364037" w14:paraId="221AD527" w14:textId="2401FD35">
            <w:pPr>
              <w:spacing w:after="0" w:line="240" w:lineRule="auto"/>
              <w:ind w:left="131" w:right="115"/>
              <w:jc w:val="center"/>
              <w:rPr>
                <w:rFonts w:ascii="Times New Roman" w:hAnsi="Times New Roman" w:cs="Times New Roman"/>
                <w:sz w:val="20"/>
                <w:szCs w:val="20"/>
              </w:rPr>
            </w:pPr>
            <w:r w:rsidRPr="0055616D">
              <w:rPr>
                <w:rFonts w:ascii="Times New Roman" w:hAnsi="Times New Roman" w:cs="Times New Roman"/>
                <w:sz w:val="20"/>
                <w:szCs w:val="20"/>
              </w:rPr>
              <w:t>$</w:t>
            </w:r>
            <w:r>
              <w:rPr>
                <w:rFonts w:ascii="Times New Roman" w:hAnsi="Times New Roman" w:cs="Times New Roman"/>
                <w:sz w:val="20"/>
                <w:szCs w:val="20"/>
              </w:rPr>
              <w:t>.2</w:t>
            </w:r>
          </w:p>
        </w:tc>
        <w:tc>
          <w:tcPr>
            <w:tcW w:w="1530" w:type="dxa"/>
            <w:tcBorders>
              <w:left w:val="single" w:sz="6" w:space="0" w:color="000000"/>
              <w:bottom w:val="single" w:sz="6" w:space="0" w:color="000000"/>
              <w:right w:val="single" w:sz="6" w:space="0" w:color="000000"/>
            </w:tcBorders>
            <w:vAlign w:val="center"/>
          </w:tcPr>
          <w:p w:rsidR="00364037" w:rsidRPr="0055616D" w:rsidP="00364037" w14:paraId="7A6FEE84" w14:textId="074417F7">
            <w:pPr>
              <w:spacing w:after="0" w:line="240" w:lineRule="auto"/>
              <w:ind w:left="453" w:right="437"/>
              <w:jc w:val="center"/>
              <w:rPr>
                <w:rFonts w:ascii="Times New Roman" w:hAnsi="Times New Roman" w:cs="Times New Roman"/>
                <w:sz w:val="20"/>
                <w:szCs w:val="20"/>
              </w:rPr>
            </w:pPr>
            <w:r w:rsidRPr="0055616D">
              <w:rPr>
                <w:rFonts w:ascii="Times New Roman" w:hAnsi="Times New Roman" w:cs="Times New Roman"/>
                <w:sz w:val="20"/>
                <w:szCs w:val="20"/>
              </w:rPr>
              <w:t>$0.</w:t>
            </w:r>
            <w:r>
              <w:rPr>
                <w:rFonts w:ascii="Times New Roman" w:hAnsi="Times New Roman" w:cs="Times New Roman"/>
                <w:sz w:val="20"/>
                <w:szCs w:val="20"/>
              </w:rPr>
              <w:t>1</w:t>
            </w:r>
          </w:p>
        </w:tc>
        <w:tc>
          <w:tcPr>
            <w:tcW w:w="1530" w:type="dxa"/>
            <w:tcBorders>
              <w:left w:val="single" w:sz="6" w:space="0" w:color="000000"/>
              <w:bottom w:val="single" w:sz="6" w:space="0" w:color="000000"/>
              <w:right w:val="single" w:sz="6" w:space="0" w:color="000000"/>
            </w:tcBorders>
            <w:vAlign w:val="center"/>
          </w:tcPr>
          <w:p w:rsidR="00364037" w:rsidRPr="0055616D" w:rsidP="00364037" w14:paraId="331E2462" w14:textId="7F635110">
            <w:pPr>
              <w:spacing w:after="0" w:line="240" w:lineRule="auto"/>
              <w:ind w:left="453" w:right="437"/>
              <w:jc w:val="center"/>
              <w:rPr>
                <w:rFonts w:ascii="Times New Roman" w:hAnsi="Times New Roman" w:cs="Times New Roman"/>
                <w:sz w:val="20"/>
                <w:szCs w:val="20"/>
              </w:rPr>
            </w:pPr>
            <w:r w:rsidRPr="0055616D">
              <w:rPr>
                <w:rFonts w:ascii="Times New Roman" w:hAnsi="Times New Roman" w:cs="Times New Roman"/>
                <w:sz w:val="20"/>
                <w:szCs w:val="20"/>
              </w:rPr>
              <w:t>$0.</w:t>
            </w:r>
            <w:r>
              <w:rPr>
                <w:rFonts w:ascii="Times New Roman" w:hAnsi="Times New Roman" w:cs="Times New Roman"/>
                <w:sz w:val="20"/>
                <w:szCs w:val="20"/>
              </w:rPr>
              <w:t>1</w:t>
            </w:r>
          </w:p>
        </w:tc>
        <w:tc>
          <w:tcPr>
            <w:tcW w:w="1260" w:type="dxa"/>
            <w:tcBorders>
              <w:left w:val="single" w:sz="6" w:space="0" w:color="000000"/>
              <w:bottom w:val="single" w:sz="6" w:space="0" w:color="000000"/>
              <w:right w:val="single" w:sz="6" w:space="0" w:color="000000"/>
            </w:tcBorders>
            <w:vAlign w:val="center"/>
          </w:tcPr>
          <w:p w:rsidR="00364037" w:rsidRPr="0055616D" w:rsidP="00364037" w14:paraId="266682C5" w14:textId="7C43F838">
            <w:pPr>
              <w:spacing w:after="0" w:line="240" w:lineRule="auto"/>
              <w:jc w:val="center"/>
              <w:rPr>
                <w:rFonts w:ascii="Times New Roman" w:hAnsi="Times New Roman" w:cs="Times New Roman"/>
                <w:sz w:val="20"/>
                <w:szCs w:val="20"/>
              </w:rPr>
            </w:pPr>
            <w:r w:rsidRPr="0055616D">
              <w:rPr>
                <w:rFonts w:ascii="Times New Roman" w:hAnsi="Times New Roman" w:cs="Times New Roman"/>
                <w:sz w:val="20"/>
                <w:szCs w:val="20"/>
              </w:rPr>
              <w:t>$0.0**</w:t>
            </w:r>
          </w:p>
        </w:tc>
        <w:tc>
          <w:tcPr>
            <w:tcW w:w="1170" w:type="dxa"/>
            <w:tcBorders>
              <w:left w:val="single" w:sz="6" w:space="0" w:color="000000"/>
              <w:bottom w:val="single" w:sz="6" w:space="0" w:color="000000"/>
              <w:right w:val="single" w:sz="6" w:space="0" w:color="000000"/>
            </w:tcBorders>
            <w:vAlign w:val="center"/>
          </w:tcPr>
          <w:p w:rsidR="00364037" w:rsidRPr="0055616D" w:rsidP="00364037" w14:paraId="45B377C3" w14:textId="64C7C8F4">
            <w:pPr>
              <w:spacing w:after="0" w:line="240" w:lineRule="auto"/>
              <w:ind w:left="89" w:right="58"/>
              <w:jc w:val="center"/>
              <w:rPr>
                <w:rFonts w:ascii="Times New Roman" w:hAnsi="Times New Roman" w:cs="Times New Roman"/>
                <w:sz w:val="20"/>
                <w:szCs w:val="20"/>
              </w:rPr>
            </w:pPr>
            <w:r w:rsidRPr="0055616D">
              <w:rPr>
                <w:rFonts w:ascii="Times New Roman" w:hAnsi="Times New Roman" w:cs="Times New Roman"/>
                <w:sz w:val="20"/>
                <w:szCs w:val="20"/>
              </w:rPr>
              <w:t>$0.0**</w:t>
            </w:r>
          </w:p>
        </w:tc>
      </w:tr>
      <w:tr w14:paraId="7FA6F39A" w14:textId="77777777" w:rsidTr="00FA04B8">
        <w:tblPrEx>
          <w:tblW w:w="0" w:type="auto"/>
          <w:jc w:val="center"/>
          <w:tblLayout w:type="fixed"/>
          <w:tblCellMar>
            <w:left w:w="0" w:type="dxa"/>
            <w:right w:w="0" w:type="dxa"/>
          </w:tblCellMar>
          <w:tblLook w:val="01E0"/>
        </w:tblPrEx>
        <w:trPr>
          <w:trHeight w:val="343"/>
          <w:jc w:val="center"/>
        </w:trPr>
        <w:tc>
          <w:tcPr>
            <w:tcW w:w="2724" w:type="dxa"/>
            <w:tcBorders>
              <w:left w:val="single" w:sz="6" w:space="0" w:color="000000"/>
              <w:bottom w:val="single" w:sz="6" w:space="0" w:color="000000"/>
              <w:right w:val="single" w:sz="6" w:space="0" w:color="000000"/>
            </w:tcBorders>
            <w:vAlign w:val="center"/>
          </w:tcPr>
          <w:p w:rsidR="00364037" w:rsidRPr="00FC0991" w:rsidP="00364037" w14:paraId="3B320E9F" w14:textId="2CF34096">
            <w:pPr>
              <w:spacing w:after="0" w:line="240" w:lineRule="auto"/>
              <w:ind w:left="112" w:right="85"/>
              <w:jc w:val="right"/>
              <w:rPr>
                <w:rFonts w:ascii="Times New Roman" w:hAnsi="Times New Roman" w:cs="Times New Roman"/>
                <w:i/>
                <w:sz w:val="20"/>
                <w:szCs w:val="20"/>
              </w:rPr>
            </w:pPr>
            <w:r w:rsidRPr="00FC0991">
              <w:rPr>
                <w:rFonts w:ascii="Times New Roman" w:hAnsi="Times New Roman" w:cs="Times New Roman"/>
                <w:i/>
                <w:iCs/>
                <w:sz w:val="20"/>
                <w:szCs w:val="20"/>
              </w:rPr>
              <w:t>Natural Hazards</w:t>
            </w:r>
          </w:p>
        </w:tc>
        <w:tc>
          <w:tcPr>
            <w:tcW w:w="1260" w:type="dxa"/>
            <w:tcBorders>
              <w:left w:val="single" w:sz="6" w:space="0" w:color="000000"/>
              <w:bottom w:val="single" w:sz="6" w:space="0" w:color="000000"/>
              <w:right w:val="single" w:sz="6" w:space="0" w:color="000000"/>
            </w:tcBorders>
            <w:vAlign w:val="center"/>
          </w:tcPr>
          <w:p w:rsidR="00364037" w:rsidRPr="0055616D" w:rsidP="00364037" w14:paraId="0A67CF98" w14:textId="5290E17F">
            <w:pPr>
              <w:spacing w:after="0" w:line="240" w:lineRule="auto"/>
              <w:ind w:left="131" w:right="115"/>
              <w:jc w:val="center"/>
              <w:rPr>
                <w:rFonts w:ascii="Times New Roman" w:hAnsi="Times New Roman" w:cs="Times New Roman"/>
                <w:sz w:val="20"/>
                <w:szCs w:val="20"/>
              </w:rPr>
            </w:pPr>
            <w:r w:rsidRPr="0055616D">
              <w:rPr>
                <w:rFonts w:ascii="Times New Roman" w:hAnsi="Times New Roman" w:cs="Times New Roman"/>
                <w:sz w:val="20"/>
                <w:szCs w:val="20"/>
              </w:rPr>
              <w:t>$</w:t>
            </w:r>
            <w:r>
              <w:rPr>
                <w:rFonts w:ascii="Times New Roman" w:hAnsi="Times New Roman" w:cs="Times New Roman"/>
                <w:sz w:val="20"/>
                <w:szCs w:val="20"/>
              </w:rPr>
              <w:t>.</w:t>
            </w:r>
            <w:r w:rsidRPr="0055616D">
              <w:rPr>
                <w:rFonts w:ascii="Times New Roman" w:hAnsi="Times New Roman" w:cs="Times New Roman"/>
                <w:sz w:val="20"/>
                <w:szCs w:val="20"/>
              </w:rPr>
              <w:t>4</w:t>
            </w:r>
          </w:p>
        </w:tc>
        <w:tc>
          <w:tcPr>
            <w:tcW w:w="1530" w:type="dxa"/>
            <w:tcBorders>
              <w:left w:val="single" w:sz="6" w:space="0" w:color="000000"/>
              <w:bottom w:val="single" w:sz="6" w:space="0" w:color="000000"/>
              <w:right w:val="single" w:sz="6" w:space="0" w:color="000000"/>
            </w:tcBorders>
            <w:vAlign w:val="center"/>
          </w:tcPr>
          <w:p w:rsidR="00364037" w:rsidRPr="0055616D" w:rsidP="00364037" w14:paraId="4B93A7ED" w14:textId="59F0CFA8">
            <w:pPr>
              <w:spacing w:after="0" w:line="240" w:lineRule="auto"/>
              <w:ind w:left="453" w:right="437"/>
              <w:jc w:val="center"/>
              <w:rPr>
                <w:rFonts w:ascii="Times New Roman" w:hAnsi="Times New Roman" w:cs="Times New Roman"/>
                <w:sz w:val="20"/>
                <w:szCs w:val="20"/>
              </w:rPr>
            </w:pPr>
            <w:r w:rsidRPr="0055616D">
              <w:rPr>
                <w:rFonts w:ascii="Times New Roman" w:hAnsi="Times New Roman" w:cs="Times New Roman"/>
                <w:sz w:val="20"/>
                <w:szCs w:val="20"/>
              </w:rPr>
              <w:t>$0.</w:t>
            </w:r>
            <w:r>
              <w:rPr>
                <w:rFonts w:ascii="Times New Roman" w:hAnsi="Times New Roman" w:cs="Times New Roman"/>
                <w:sz w:val="20"/>
                <w:szCs w:val="20"/>
              </w:rPr>
              <w:t>4</w:t>
            </w:r>
          </w:p>
        </w:tc>
        <w:tc>
          <w:tcPr>
            <w:tcW w:w="1530" w:type="dxa"/>
            <w:tcBorders>
              <w:left w:val="single" w:sz="6" w:space="0" w:color="000000"/>
              <w:bottom w:val="single" w:sz="6" w:space="0" w:color="000000"/>
              <w:right w:val="single" w:sz="6" w:space="0" w:color="000000"/>
            </w:tcBorders>
            <w:vAlign w:val="center"/>
          </w:tcPr>
          <w:p w:rsidR="00364037" w:rsidRPr="0055616D" w:rsidP="00364037" w14:paraId="7A9E014A" w14:textId="7485D4A8">
            <w:pPr>
              <w:spacing w:after="0" w:line="240" w:lineRule="auto"/>
              <w:ind w:left="453" w:right="437"/>
              <w:jc w:val="center"/>
              <w:rPr>
                <w:rFonts w:ascii="Times New Roman" w:hAnsi="Times New Roman" w:cs="Times New Roman"/>
                <w:sz w:val="20"/>
                <w:szCs w:val="20"/>
              </w:rPr>
            </w:pPr>
            <w:r w:rsidRPr="0055616D">
              <w:rPr>
                <w:rFonts w:ascii="Times New Roman" w:hAnsi="Times New Roman" w:cs="Times New Roman"/>
                <w:sz w:val="20"/>
                <w:szCs w:val="20"/>
              </w:rPr>
              <w:t>$0.</w:t>
            </w:r>
            <w:r>
              <w:rPr>
                <w:rFonts w:ascii="Times New Roman" w:hAnsi="Times New Roman" w:cs="Times New Roman"/>
                <w:sz w:val="20"/>
                <w:szCs w:val="20"/>
              </w:rPr>
              <w:t>3</w:t>
            </w:r>
          </w:p>
        </w:tc>
        <w:tc>
          <w:tcPr>
            <w:tcW w:w="1260" w:type="dxa"/>
            <w:tcBorders>
              <w:left w:val="single" w:sz="6" w:space="0" w:color="000000"/>
              <w:bottom w:val="single" w:sz="6" w:space="0" w:color="000000"/>
              <w:right w:val="single" w:sz="6" w:space="0" w:color="000000"/>
            </w:tcBorders>
            <w:vAlign w:val="center"/>
          </w:tcPr>
          <w:p w:rsidR="00364037" w:rsidRPr="0055616D" w:rsidP="00364037" w14:paraId="1AA47E0E" w14:textId="161D6072">
            <w:pPr>
              <w:spacing w:after="0" w:line="240" w:lineRule="auto"/>
              <w:jc w:val="center"/>
              <w:rPr>
                <w:rFonts w:ascii="Times New Roman" w:hAnsi="Times New Roman" w:cs="Times New Roman"/>
                <w:sz w:val="20"/>
                <w:szCs w:val="20"/>
              </w:rPr>
            </w:pPr>
            <w:r w:rsidRPr="0055616D">
              <w:rPr>
                <w:rFonts w:ascii="Times New Roman" w:hAnsi="Times New Roman" w:cs="Times New Roman"/>
                <w:sz w:val="20"/>
                <w:szCs w:val="20"/>
              </w:rPr>
              <w:t>$0.0**</w:t>
            </w:r>
          </w:p>
        </w:tc>
        <w:tc>
          <w:tcPr>
            <w:tcW w:w="1170" w:type="dxa"/>
            <w:tcBorders>
              <w:left w:val="single" w:sz="6" w:space="0" w:color="000000"/>
              <w:bottom w:val="single" w:sz="6" w:space="0" w:color="000000"/>
              <w:right w:val="single" w:sz="6" w:space="0" w:color="000000"/>
            </w:tcBorders>
            <w:vAlign w:val="center"/>
          </w:tcPr>
          <w:p w:rsidR="00364037" w:rsidRPr="0055616D" w:rsidP="00364037" w14:paraId="33849077" w14:textId="0E3F1D64">
            <w:pPr>
              <w:spacing w:after="0" w:line="240" w:lineRule="auto"/>
              <w:ind w:left="89" w:right="58"/>
              <w:jc w:val="center"/>
              <w:rPr>
                <w:rFonts w:ascii="Times New Roman" w:hAnsi="Times New Roman" w:cs="Times New Roman"/>
                <w:sz w:val="20"/>
                <w:szCs w:val="20"/>
              </w:rPr>
            </w:pPr>
            <w:r w:rsidRPr="0055616D">
              <w:rPr>
                <w:rFonts w:ascii="Times New Roman" w:hAnsi="Times New Roman" w:cs="Times New Roman"/>
                <w:sz w:val="20"/>
                <w:szCs w:val="20"/>
              </w:rPr>
              <w:t>$0.0**</w:t>
            </w:r>
          </w:p>
        </w:tc>
      </w:tr>
      <w:tr w14:paraId="3261918E" w14:textId="77777777" w:rsidTr="00FA04B8">
        <w:tblPrEx>
          <w:tblW w:w="0" w:type="auto"/>
          <w:jc w:val="center"/>
          <w:tblLayout w:type="fixed"/>
          <w:tblCellMar>
            <w:left w:w="0" w:type="dxa"/>
            <w:right w:w="0" w:type="dxa"/>
          </w:tblCellMar>
          <w:tblLook w:val="01E0"/>
        </w:tblPrEx>
        <w:trPr>
          <w:trHeight w:val="253"/>
          <w:jc w:val="center"/>
        </w:trPr>
        <w:tc>
          <w:tcPr>
            <w:tcW w:w="2724" w:type="dxa"/>
            <w:tcBorders>
              <w:left w:val="single" w:sz="6" w:space="0" w:color="000000"/>
              <w:bottom w:val="single" w:sz="6" w:space="0" w:color="000000"/>
              <w:right w:val="single" w:sz="6" w:space="0" w:color="000000"/>
            </w:tcBorders>
            <w:vAlign w:val="center"/>
          </w:tcPr>
          <w:p w:rsidR="00364037" w:rsidRPr="00FC0991" w:rsidP="00364037" w14:paraId="42DC5AFF" w14:textId="7BA0F0DC">
            <w:pPr>
              <w:spacing w:after="0" w:line="240" w:lineRule="auto"/>
              <w:ind w:left="112" w:right="85"/>
              <w:jc w:val="right"/>
              <w:rPr>
                <w:rFonts w:ascii="Times New Roman" w:hAnsi="Times New Roman" w:cs="Times New Roman"/>
                <w:i/>
                <w:sz w:val="20"/>
                <w:szCs w:val="20"/>
              </w:rPr>
            </w:pPr>
            <w:r w:rsidRPr="00FC0991">
              <w:rPr>
                <w:rFonts w:ascii="Times New Roman" w:hAnsi="Times New Roman" w:cs="Times New Roman"/>
                <w:i/>
                <w:iCs/>
                <w:sz w:val="20"/>
                <w:szCs w:val="20"/>
              </w:rPr>
              <w:t>Facility Siting</w:t>
            </w:r>
          </w:p>
        </w:tc>
        <w:tc>
          <w:tcPr>
            <w:tcW w:w="1260" w:type="dxa"/>
            <w:tcBorders>
              <w:left w:val="single" w:sz="6" w:space="0" w:color="000000"/>
              <w:bottom w:val="single" w:sz="6" w:space="0" w:color="000000"/>
              <w:right w:val="single" w:sz="6" w:space="0" w:color="000000"/>
            </w:tcBorders>
            <w:vAlign w:val="center"/>
          </w:tcPr>
          <w:p w:rsidR="00364037" w:rsidRPr="0055616D" w:rsidP="00364037" w14:paraId="1A9BD2D0" w14:textId="3CE54A9E">
            <w:pPr>
              <w:spacing w:after="0" w:line="240" w:lineRule="auto"/>
              <w:ind w:left="131" w:right="115"/>
              <w:jc w:val="center"/>
              <w:rPr>
                <w:rFonts w:ascii="Times New Roman" w:hAnsi="Times New Roman" w:cs="Times New Roman"/>
                <w:sz w:val="20"/>
                <w:szCs w:val="20"/>
              </w:rPr>
            </w:pPr>
            <w:r w:rsidRPr="0055616D">
              <w:rPr>
                <w:rFonts w:ascii="Times New Roman" w:hAnsi="Times New Roman" w:cs="Times New Roman"/>
                <w:sz w:val="20"/>
                <w:szCs w:val="20"/>
              </w:rPr>
              <w:t>$</w:t>
            </w:r>
            <w:r>
              <w:rPr>
                <w:rFonts w:ascii="Times New Roman" w:hAnsi="Times New Roman" w:cs="Times New Roman"/>
                <w:sz w:val="20"/>
                <w:szCs w:val="20"/>
              </w:rPr>
              <w:t>.</w:t>
            </w:r>
            <w:r w:rsidRPr="0055616D">
              <w:rPr>
                <w:rFonts w:ascii="Times New Roman" w:hAnsi="Times New Roman" w:cs="Times New Roman"/>
                <w:sz w:val="20"/>
                <w:szCs w:val="20"/>
              </w:rPr>
              <w:t>4</w:t>
            </w:r>
          </w:p>
        </w:tc>
        <w:tc>
          <w:tcPr>
            <w:tcW w:w="1530" w:type="dxa"/>
            <w:tcBorders>
              <w:left w:val="single" w:sz="6" w:space="0" w:color="000000"/>
              <w:bottom w:val="single" w:sz="6" w:space="0" w:color="000000"/>
              <w:right w:val="single" w:sz="6" w:space="0" w:color="000000"/>
            </w:tcBorders>
            <w:vAlign w:val="center"/>
          </w:tcPr>
          <w:p w:rsidR="00364037" w:rsidRPr="0055616D" w:rsidP="00364037" w14:paraId="66F337CC" w14:textId="31AC33B8">
            <w:pPr>
              <w:spacing w:after="0" w:line="240" w:lineRule="auto"/>
              <w:ind w:left="453" w:right="437"/>
              <w:jc w:val="center"/>
              <w:rPr>
                <w:rFonts w:ascii="Times New Roman" w:hAnsi="Times New Roman" w:cs="Times New Roman"/>
                <w:sz w:val="20"/>
                <w:szCs w:val="20"/>
              </w:rPr>
            </w:pPr>
            <w:r w:rsidRPr="0055616D">
              <w:rPr>
                <w:rFonts w:ascii="Times New Roman" w:hAnsi="Times New Roman" w:cs="Times New Roman"/>
                <w:sz w:val="20"/>
                <w:szCs w:val="20"/>
              </w:rPr>
              <w:t>$0.</w:t>
            </w:r>
            <w:r>
              <w:rPr>
                <w:rFonts w:ascii="Times New Roman" w:hAnsi="Times New Roman" w:cs="Times New Roman"/>
                <w:sz w:val="20"/>
                <w:szCs w:val="20"/>
              </w:rPr>
              <w:t>4</w:t>
            </w:r>
          </w:p>
        </w:tc>
        <w:tc>
          <w:tcPr>
            <w:tcW w:w="1530" w:type="dxa"/>
            <w:tcBorders>
              <w:left w:val="single" w:sz="6" w:space="0" w:color="000000"/>
              <w:bottom w:val="single" w:sz="6" w:space="0" w:color="000000"/>
              <w:right w:val="single" w:sz="6" w:space="0" w:color="000000"/>
            </w:tcBorders>
            <w:vAlign w:val="center"/>
          </w:tcPr>
          <w:p w:rsidR="00364037" w:rsidRPr="0055616D" w:rsidP="00364037" w14:paraId="1BB07CD4" w14:textId="282F2CF2">
            <w:pPr>
              <w:spacing w:after="0" w:line="240" w:lineRule="auto"/>
              <w:ind w:left="453" w:right="437"/>
              <w:jc w:val="center"/>
              <w:rPr>
                <w:rFonts w:ascii="Times New Roman" w:hAnsi="Times New Roman" w:cs="Times New Roman"/>
                <w:sz w:val="20"/>
                <w:szCs w:val="20"/>
              </w:rPr>
            </w:pPr>
            <w:r w:rsidRPr="0055616D">
              <w:rPr>
                <w:rFonts w:ascii="Times New Roman" w:hAnsi="Times New Roman" w:cs="Times New Roman"/>
                <w:sz w:val="20"/>
                <w:szCs w:val="20"/>
              </w:rPr>
              <w:t>$0.</w:t>
            </w:r>
            <w:r>
              <w:rPr>
                <w:rFonts w:ascii="Times New Roman" w:hAnsi="Times New Roman" w:cs="Times New Roman"/>
                <w:sz w:val="20"/>
                <w:szCs w:val="20"/>
              </w:rPr>
              <w:t>3</w:t>
            </w:r>
          </w:p>
        </w:tc>
        <w:tc>
          <w:tcPr>
            <w:tcW w:w="1260" w:type="dxa"/>
            <w:tcBorders>
              <w:left w:val="single" w:sz="6" w:space="0" w:color="000000"/>
              <w:bottom w:val="single" w:sz="6" w:space="0" w:color="000000"/>
              <w:right w:val="single" w:sz="6" w:space="0" w:color="000000"/>
            </w:tcBorders>
            <w:vAlign w:val="center"/>
          </w:tcPr>
          <w:p w:rsidR="00364037" w:rsidRPr="0055616D" w:rsidP="00364037" w14:paraId="5CB1A42F" w14:textId="78708E54">
            <w:pPr>
              <w:spacing w:after="0" w:line="240" w:lineRule="auto"/>
              <w:jc w:val="center"/>
              <w:rPr>
                <w:rFonts w:ascii="Times New Roman" w:hAnsi="Times New Roman" w:cs="Times New Roman"/>
                <w:sz w:val="20"/>
                <w:szCs w:val="20"/>
              </w:rPr>
            </w:pPr>
            <w:r w:rsidRPr="0055616D">
              <w:rPr>
                <w:rFonts w:ascii="Times New Roman" w:hAnsi="Times New Roman" w:cs="Times New Roman"/>
                <w:sz w:val="20"/>
                <w:szCs w:val="20"/>
              </w:rPr>
              <w:t>$0.0**</w:t>
            </w:r>
          </w:p>
        </w:tc>
        <w:tc>
          <w:tcPr>
            <w:tcW w:w="1170" w:type="dxa"/>
            <w:tcBorders>
              <w:left w:val="single" w:sz="6" w:space="0" w:color="000000"/>
              <w:bottom w:val="single" w:sz="6" w:space="0" w:color="000000"/>
              <w:right w:val="single" w:sz="6" w:space="0" w:color="000000"/>
            </w:tcBorders>
            <w:vAlign w:val="center"/>
          </w:tcPr>
          <w:p w:rsidR="00364037" w:rsidRPr="0055616D" w:rsidP="00364037" w14:paraId="25F490BE" w14:textId="5A2CC92E">
            <w:pPr>
              <w:spacing w:after="0" w:line="240" w:lineRule="auto"/>
              <w:ind w:left="89" w:right="58"/>
              <w:jc w:val="center"/>
              <w:rPr>
                <w:rFonts w:ascii="Times New Roman" w:hAnsi="Times New Roman" w:cs="Times New Roman"/>
                <w:sz w:val="20"/>
                <w:szCs w:val="20"/>
              </w:rPr>
            </w:pPr>
            <w:r w:rsidRPr="0055616D">
              <w:rPr>
                <w:rFonts w:ascii="Times New Roman" w:hAnsi="Times New Roman" w:cs="Times New Roman"/>
                <w:sz w:val="20"/>
                <w:szCs w:val="20"/>
              </w:rPr>
              <w:t>$0.0**</w:t>
            </w:r>
          </w:p>
        </w:tc>
      </w:tr>
      <w:tr w14:paraId="358FB34D" w14:textId="77777777" w:rsidTr="00FA04B8">
        <w:tblPrEx>
          <w:tblW w:w="0" w:type="auto"/>
          <w:jc w:val="center"/>
          <w:tblLayout w:type="fixed"/>
          <w:tblCellMar>
            <w:left w:w="0" w:type="dxa"/>
            <w:right w:w="0" w:type="dxa"/>
          </w:tblCellMar>
          <w:tblLook w:val="01E0"/>
        </w:tblPrEx>
        <w:trPr>
          <w:trHeight w:val="325"/>
          <w:jc w:val="center"/>
        </w:trPr>
        <w:tc>
          <w:tcPr>
            <w:tcW w:w="2724" w:type="dxa"/>
            <w:tcBorders>
              <w:left w:val="single" w:sz="6" w:space="0" w:color="000000"/>
              <w:bottom w:val="single" w:sz="6" w:space="0" w:color="000000"/>
              <w:right w:val="single" w:sz="6" w:space="0" w:color="000000"/>
            </w:tcBorders>
            <w:vAlign w:val="center"/>
          </w:tcPr>
          <w:p w:rsidR="00364037" w:rsidRPr="00FC0991" w:rsidP="00364037" w14:paraId="6419C7D4" w14:textId="3521DD9C">
            <w:pPr>
              <w:spacing w:after="0" w:line="240" w:lineRule="auto"/>
              <w:ind w:left="112" w:right="85"/>
              <w:jc w:val="right"/>
              <w:rPr>
                <w:rFonts w:ascii="Times New Roman" w:hAnsi="Times New Roman" w:cs="Times New Roman"/>
                <w:i/>
                <w:sz w:val="20"/>
                <w:szCs w:val="20"/>
              </w:rPr>
            </w:pPr>
            <w:r w:rsidRPr="00FC0991">
              <w:rPr>
                <w:rFonts w:ascii="Times New Roman" w:hAnsi="Times New Roman" w:cs="Times New Roman"/>
                <w:i/>
                <w:iCs/>
                <w:sz w:val="20"/>
                <w:szCs w:val="20"/>
              </w:rPr>
              <w:t>RAGAGEP</w:t>
            </w:r>
          </w:p>
        </w:tc>
        <w:tc>
          <w:tcPr>
            <w:tcW w:w="1260" w:type="dxa"/>
            <w:tcBorders>
              <w:left w:val="single" w:sz="6" w:space="0" w:color="000000"/>
              <w:bottom w:val="single" w:sz="6" w:space="0" w:color="000000"/>
              <w:right w:val="single" w:sz="6" w:space="0" w:color="000000"/>
            </w:tcBorders>
            <w:vAlign w:val="center"/>
          </w:tcPr>
          <w:p w:rsidR="00364037" w:rsidRPr="0055616D" w:rsidP="00364037" w14:paraId="4C1408A6" w14:textId="71660F9E">
            <w:pPr>
              <w:spacing w:after="0" w:line="240" w:lineRule="auto"/>
              <w:ind w:left="131" w:right="115"/>
              <w:jc w:val="center"/>
              <w:rPr>
                <w:rFonts w:ascii="Times New Roman" w:hAnsi="Times New Roman" w:cs="Times New Roman"/>
                <w:sz w:val="20"/>
                <w:szCs w:val="20"/>
              </w:rPr>
            </w:pPr>
            <w:r w:rsidRPr="0055616D">
              <w:rPr>
                <w:rFonts w:ascii="Times New Roman" w:hAnsi="Times New Roman" w:cs="Times New Roman"/>
                <w:sz w:val="20"/>
                <w:szCs w:val="20"/>
              </w:rPr>
              <w:t>$</w:t>
            </w:r>
            <w:r>
              <w:rPr>
                <w:rFonts w:ascii="Times New Roman" w:hAnsi="Times New Roman" w:cs="Times New Roman"/>
                <w:sz w:val="20"/>
                <w:szCs w:val="20"/>
              </w:rPr>
              <w:t>.3</w:t>
            </w:r>
          </w:p>
        </w:tc>
        <w:tc>
          <w:tcPr>
            <w:tcW w:w="1530" w:type="dxa"/>
            <w:tcBorders>
              <w:left w:val="single" w:sz="6" w:space="0" w:color="000000"/>
              <w:bottom w:val="single" w:sz="6" w:space="0" w:color="000000"/>
              <w:right w:val="single" w:sz="6" w:space="0" w:color="000000"/>
            </w:tcBorders>
            <w:vAlign w:val="center"/>
          </w:tcPr>
          <w:p w:rsidR="00364037" w:rsidRPr="0055616D" w:rsidP="00364037" w14:paraId="379CB314" w14:textId="7A821AE6">
            <w:pPr>
              <w:spacing w:after="0" w:line="240" w:lineRule="auto"/>
              <w:ind w:left="453" w:right="437"/>
              <w:jc w:val="center"/>
              <w:rPr>
                <w:rFonts w:ascii="Times New Roman" w:hAnsi="Times New Roman" w:cs="Times New Roman"/>
                <w:sz w:val="20"/>
                <w:szCs w:val="20"/>
              </w:rPr>
            </w:pPr>
            <w:r w:rsidRPr="0055616D">
              <w:rPr>
                <w:rFonts w:ascii="Times New Roman" w:hAnsi="Times New Roman" w:cs="Times New Roman"/>
                <w:sz w:val="20"/>
                <w:szCs w:val="20"/>
              </w:rPr>
              <w:t>$0.</w:t>
            </w:r>
            <w:r>
              <w:rPr>
                <w:rFonts w:ascii="Times New Roman" w:hAnsi="Times New Roman" w:cs="Times New Roman"/>
                <w:sz w:val="20"/>
                <w:szCs w:val="20"/>
              </w:rPr>
              <w:t>2</w:t>
            </w:r>
          </w:p>
        </w:tc>
        <w:tc>
          <w:tcPr>
            <w:tcW w:w="1530" w:type="dxa"/>
            <w:tcBorders>
              <w:left w:val="single" w:sz="6" w:space="0" w:color="000000"/>
              <w:bottom w:val="single" w:sz="6" w:space="0" w:color="000000"/>
              <w:right w:val="single" w:sz="6" w:space="0" w:color="000000"/>
            </w:tcBorders>
            <w:vAlign w:val="center"/>
          </w:tcPr>
          <w:p w:rsidR="00364037" w:rsidRPr="0055616D" w:rsidP="00364037" w14:paraId="118ED9E4" w14:textId="29341731">
            <w:pPr>
              <w:spacing w:after="0" w:line="240" w:lineRule="auto"/>
              <w:ind w:left="453" w:right="437"/>
              <w:jc w:val="center"/>
              <w:rPr>
                <w:rFonts w:ascii="Times New Roman" w:hAnsi="Times New Roman" w:cs="Times New Roman"/>
                <w:sz w:val="20"/>
                <w:szCs w:val="20"/>
              </w:rPr>
            </w:pPr>
            <w:r w:rsidRPr="0055616D">
              <w:rPr>
                <w:rFonts w:ascii="Times New Roman" w:hAnsi="Times New Roman" w:cs="Times New Roman"/>
                <w:sz w:val="20"/>
                <w:szCs w:val="20"/>
              </w:rPr>
              <w:t>$0.</w:t>
            </w:r>
            <w:r>
              <w:rPr>
                <w:rFonts w:ascii="Times New Roman" w:hAnsi="Times New Roman" w:cs="Times New Roman"/>
                <w:sz w:val="20"/>
                <w:szCs w:val="20"/>
              </w:rPr>
              <w:t>2</w:t>
            </w:r>
          </w:p>
        </w:tc>
        <w:tc>
          <w:tcPr>
            <w:tcW w:w="1260" w:type="dxa"/>
            <w:tcBorders>
              <w:left w:val="single" w:sz="6" w:space="0" w:color="000000"/>
              <w:bottom w:val="single" w:sz="6" w:space="0" w:color="000000"/>
              <w:right w:val="single" w:sz="6" w:space="0" w:color="000000"/>
            </w:tcBorders>
            <w:vAlign w:val="center"/>
          </w:tcPr>
          <w:p w:rsidR="00364037" w:rsidRPr="0055616D" w:rsidP="00364037" w14:paraId="3049A837" w14:textId="6754D040">
            <w:pPr>
              <w:spacing w:after="0" w:line="240" w:lineRule="auto"/>
              <w:jc w:val="center"/>
              <w:rPr>
                <w:rFonts w:ascii="Times New Roman" w:hAnsi="Times New Roman" w:cs="Times New Roman"/>
                <w:sz w:val="20"/>
                <w:szCs w:val="20"/>
              </w:rPr>
            </w:pPr>
            <w:r w:rsidRPr="0055616D">
              <w:rPr>
                <w:rFonts w:ascii="Times New Roman" w:hAnsi="Times New Roman" w:cs="Times New Roman"/>
                <w:sz w:val="20"/>
                <w:szCs w:val="20"/>
              </w:rPr>
              <w:t>$0.0**</w:t>
            </w:r>
          </w:p>
        </w:tc>
        <w:tc>
          <w:tcPr>
            <w:tcW w:w="1170" w:type="dxa"/>
            <w:tcBorders>
              <w:left w:val="single" w:sz="6" w:space="0" w:color="000000"/>
              <w:bottom w:val="single" w:sz="6" w:space="0" w:color="000000"/>
              <w:right w:val="single" w:sz="6" w:space="0" w:color="000000"/>
            </w:tcBorders>
            <w:vAlign w:val="center"/>
          </w:tcPr>
          <w:p w:rsidR="00364037" w:rsidRPr="0055616D" w:rsidP="00364037" w14:paraId="14C71C27" w14:textId="38B9C348">
            <w:pPr>
              <w:spacing w:after="0" w:line="240" w:lineRule="auto"/>
              <w:ind w:left="89" w:right="58"/>
              <w:jc w:val="center"/>
              <w:rPr>
                <w:rFonts w:ascii="Times New Roman" w:hAnsi="Times New Roman" w:cs="Times New Roman"/>
                <w:sz w:val="20"/>
                <w:szCs w:val="20"/>
              </w:rPr>
            </w:pPr>
            <w:r w:rsidRPr="0055616D">
              <w:rPr>
                <w:rFonts w:ascii="Times New Roman" w:hAnsi="Times New Roman" w:cs="Times New Roman"/>
                <w:sz w:val="20"/>
                <w:szCs w:val="20"/>
              </w:rPr>
              <w:t>$0.0**</w:t>
            </w:r>
          </w:p>
        </w:tc>
      </w:tr>
      <w:tr w14:paraId="59CE5391" w14:textId="77777777" w:rsidTr="003B2C69">
        <w:tblPrEx>
          <w:tblW w:w="0" w:type="auto"/>
          <w:jc w:val="center"/>
          <w:tblLayout w:type="fixed"/>
          <w:tblCellMar>
            <w:left w:w="0" w:type="dxa"/>
            <w:right w:w="0" w:type="dxa"/>
          </w:tblCellMar>
          <w:tblLook w:val="01E0"/>
        </w:tblPrEx>
        <w:trPr>
          <w:trHeight w:val="285"/>
          <w:jc w:val="center"/>
        </w:trPr>
        <w:tc>
          <w:tcPr>
            <w:tcW w:w="2724"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64DE4E1D" w14:textId="226A47B0">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Community Notification System</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3F6790C4" w14:textId="3CF9F7C8">
            <w:pPr>
              <w:spacing w:after="0" w:line="240" w:lineRule="auto"/>
              <w:ind w:left="133" w:right="102"/>
              <w:jc w:val="center"/>
              <w:rPr>
                <w:rFonts w:ascii="Times New Roman" w:hAnsi="Times New Roman" w:cs="Times New Roman"/>
                <w:sz w:val="20"/>
                <w:szCs w:val="20"/>
              </w:rPr>
            </w:pPr>
            <w:r w:rsidRPr="00281014">
              <w:rPr>
                <w:rFonts w:ascii="Times New Roman" w:hAnsi="Times New Roman" w:cs="Times New Roman"/>
                <w:sz w:val="20"/>
                <w:szCs w:val="20"/>
              </w:rPr>
              <w:t>$3</w:t>
            </w:r>
            <w:r>
              <w:rPr>
                <w:rFonts w:ascii="Times New Roman" w:hAnsi="Times New Roman" w:cs="Times New Roman"/>
                <w:sz w:val="20"/>
                <w:szCs w:val="20"/>
              </w:rPr>
              <w:t>9.7</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03298E11" w14:textId="0619B99C">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$3</w:t>
            </w:r>
            <w:r>
              <w:rPr>
                <w:rFonts w:ascii="Times New Roman" w:hAnsi="Times New Roman" w:cs="Times New Roman"/>
                <w:sz w:val="20"/>
                <w:szCs w:val="20"/>
              </w:rPr>
              <w:t>3.9</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6C3BD400" w14:textId="22293A41">
            <w:pPr>
              <w:spacing w:after="0" w:line="240" w:lineRule="auto"/>
              <w:ind w:left="468"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27.9</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4E40FC30" w14:textId="502ACFA5">
            <w:pPr>
              <w:spacing w:after="0" w:line="240" w:lineRule="auto"/>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4.0</w:t>
            </w:r>
          </w:p>
        </w:tc>
        <w:tc>
          <w:tcPr>
            <w:tcW w:w="117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2E17957B" w14:textId="0C2654E5">
            <w:pPr>
              <w:spacing w:after="0" w:line="240" w:lineRule="auto"/>
              <w:ind w:left="75" w:right="59"/>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4.0</w:t>
            </w:r>
          </w:p>
        </w:tc>
      </w:tr>
      <w:tr w14:paraId="3A8124E0" w14:textId="77777777" w:rsidTr="003B2C69">
        <w:tblPrEx>
          <w:tblW w:w="0" w:type="auto"/>
          <w:jc w:val="center"/>
          <w:tblLayout w:type="fixed"/>
          <w:tblCellMar>
            <w:left w:w="0" w:type="dxa"/>
            <w:right w:w="0" w:type="dxa"/>
          </w:tblCellMar>
          <w:tblLook w:val="01E0"/>
        </w:tblPrEx>
        <w:trPr>
          <w:trHeight w:val="300"/>
          <w:jc w:val="center"/>
        </w:trPr>
        <w:tc>
          <w:tcPr>
            <w:tcW w:w="2724"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5B68D13E" w14:textId="7B1F3510">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Information Availability</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5F30231E" w14:textId="766E7899">
            <w:pPr>
              <w:spacing w:after="0" w:line="240" w:lineRule="auto"/>
              <w:ind w:left="131" w:right="115"/>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127.6</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54C02FCE" w14:textId="5E449294">
            <w:pPr>
              <w:spacing w:after="0" w:line="240" w:lineRule="auto"/>
              <w:ind w:left="453"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108</w:t>
            </w:r>
            <w:r w:rsidRPr="00281014">
              <w:rPr>
                <w:rFonts w:ascii="Times New Roman" w:hAnsi="Times New Roman" w:cs="Times New Roman"/>
                <w:sz w:val="20"/>
                <w:szCs w:val="20"/>
              </w:rPr>
              <w:t>.8</w:t>
            </w:r>
          </w:p>
        </w:tc>
        <w:tc>
          <w:tcPr>
            <w:tcW w:w="153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6BF6DFFA" w14:textId="3C4E900F">
            <w:pPr>
              <w:spacing w:after="0" w:line="240" w:lineRule="auto"/>
              <w:ind w:left="453" w:right="437"/>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89.6</w:t>
            </w:r>
          </w:p>
        </w:tc>
        <w:tc>
          <w:tcPr>
            <w:tcW w:w="126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78FB7A78" w14:textId="74D9499E">
            <w:pPr>
              <w:spacing w:after="0" w:line="240" w:lineRule="auto"/>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12.8</w:t>
            </w:r>
          </w:p>
        </w:tc>
        <w:tc>
          <w:tcPr>
            <w:tcW w:w="1170" w:type="dxa"/>
            <w:tcBorders>
              <w:top w:val="single" w:sz="6" w:space="0" w:color="000000"/>
              <w:left w:val="single" w:sz="6" w:space="0" w:color="000000"/>
              <w:bottom w:val="single" w:sz="6" w:space="0" w:color="000000"/>
              <w:right w:val="single" w:sz="6" w:space="0" w:color="000000"/>
            </w:tcBorders>
            <w:vAlign w:val="center"/>
          </w:tcPr>
          <w:p w:rsidR="00364037" w:rsidRPr="00281014" w:rsidP="00364037" w14:paraId="62964926" w14:textId="059C1E0D">
            <w:pPr>
              <w:spacing w:after="0" w:line="240" w:lineRule="auto"/>
              <w:ind w:left="89" w:right="58"/>
              <w:jc w:val="center"/>
              <w:rPr>
                <w:rFonts w:ascii="Times New Roman" w:hAnsi="Times New Roman" w:cs="Times New Roman"/>
                <w:sz w:val="20"/>
                <w:szCs w:val="20"/>
              </w:rPr>
            </w:pPr>
            <w:r w:rsidRPr="00281014">
              <w:rPr>
                <w:rFonts w:ascii="Times New Roman" w:hAnsi="Times New Roman" w:cs="Times New Roman"/>
                <w:sz w:val="20"/>
                <w:szCs w:val="20"/>
              </w:rPr>
              <w:t>$</w:t>
            </w:r>
            <w:r>
              <w:rPr>
                <w:rFonts w:ascii="Times New Roman" w:hAnsi="Times New Roman" w:cs="Times New Roman"/>
                <w:sz w:val="20"/>
                <w:szCs w:val="20"/>
              </w:rPr>
              <w:t>12.8</w:t>
            </w:r>
          </w:p>
        </w:tc>
      </w:tr>
      <w:tr w14:paraId="4CC72073" w14:textId="77777777" w:rsidTr="003B2C69">
        <w:tblPrEx>
          <w:tblW w:w="0" w:type="auto"/>
          <w:jc w:val="center"/>
          <w:tblLayout w:type="fixed"/>
          <w:tblCellMar>
            <w:left w:w="0" w:type="dxa"/>
            <w:right w:w="0" w:type="dxa"/>
          </w:tblCellMar>
          <w:tblLook w:val="01E0"/>
        </w:tblPrEx>
        <w:trPr>
          <w:trHeight w:val="282"/>
          <w:jc w:val="center"/>
        </w:trPr>
        <w:tc>
          <w:tcPr>
            <w:tcW w:w="2724" w:type="dxa"/>
            <w:tcBorders>
              <w:left w:val="single" w:sz="6" w:space="0" w:color="000000"/>
              <w:bottom w:val="single" w:sz="6" w:space="0" w:color="000000"/>
              <w:right w:val="single" w:sz="6" w:space="0" w:color="000000"/>
            </w:tcBorders>
            <w:vAlign w:val="center"/>
          </w:tcPr>
          <w:p w:rsidR="00364037" w:rsidRPr="00281014" w:rsidP="00364037" w14:paraId="077078B3" w14:textId="25320FD1">
            <w:pPr>
              <w:spacing w:after="0" w:line="240" w:lineRule="auto"/>
              <w:ind w:left="517"/>
              <w:rPr>
                <w:rFonts w:ascii="Times New Roman" w:hAnsi="Times New Roman" w:cs="Times New Roman"/>
                <w:b/>
                <w:sz w:val="20"/>
                <w:szCs w:val="20"/>
              </w:rPr>
            </w:pPr>
            <w:r w:rsidRPr="00281014">
              <w:rPr>
                <w:rFonts w:ascii="Times New Roman" w:hAnsi="Times New Roman" w:cs="Times New Roman"/>
                <w:b/>
                <w:sz w:val="20"/>
                <w:szCs w:val="20"/>
              </w:rPr>
              <w:t>Total Cost*</w:t>
            </w:r>
          </w:p>
        </w:tc>
        <w:tc>
          <w:tcPr>
            <w:tcW w:w="1260" w:type="dxa"/>
            <w:tcBorders>
              <w:left w:val="single" w:sz="6" w:space="0" w:color="000000"/>
              <w:bottom w:val="single" w:sz="6" w:space="0" w:color="000000"/>
              <w:right w:val="single" w:sz="6" w:space="0" w:color="000000"/>
            </w:tcBorders>
            <w:vAlign w:val="center"/>
          </w:tcPr>
          <w:p w:rsidR="00364037" w:rsidRPr="00281014" w:rsidP="00364037" w14:paraId="00D31DE8" w14:textId="1475A89A">
            <w:pPr>
              <w:spacing w:after="0" w:line="240" w:lineRule="auto"/>
              <w:ind w:left="133" w:right="102"/>
              <w:jc w:val="center"/>
              <w:rPr>
                <w:rFonts w:ascii="Times New Roman" w:hAnsi="Times New Roman" w:cs="Times New Roman"/>
                <w:b/>
                <w:sz w:val="20"/>
                <w:szCs w:val="20"/>
              </w:rPr>
            </w:pPr>
            <w:r w:rsidRPr="00281014">
              <w:rPr>
                <w:rFonts w:ascii="Times New Roman" w:hAnsi="Times New Roman" w:cs="Times New Roman"/>
                <w:b/>
                <w:sz w:val="20"/>
                <w:szCs w:val="20"/>
              </w:rPr>
              <w:t>$</w:t>
            </w:r>
            <w:r>
              <w:rPr>
                <w:rFonts w:ascii="Times New Roman" w:hAnsi="Times New Roman" w:cs="Times New Roman"/>
                <w:b/>
                <w:sz w:val="20"/>
                <w:szCs w:val="20"/>
              </w:rPr>
              <w:t>2,554.0</w:t>
            </w:r>
          </w:p>
        </w:tc>
        <w:tc>
          <w:tcPr>
            <w:tcW w:w="1530" w:type="dxa"/>
            <w:tcBorders>
              <w:left w:val="single" w:sz="6" w:space="0" w:color="000000"/>
              <w:bottom w:val="single" w:sz="6" w:space="0" w:color="000000"/>
              <w:right w:val="single" w:sz="6" w:space="0" w:color="000000"/>
            </w:tcBorders>
            <w:vAlign w:val="center"/>
          </w:tcPr>
          <w:p w:rsidR="00364037" w:rsidRPr="00281014" w:rsidP="00364037" w14:paraId="3E2F0D92" w14:textId="00D1D33F">
            <w:pPr>
              <w:spacing w:after="0" w:line="240" w:lineRule="auto"/>
              <w:ind w:right="437"/>
              <w:jc w:val="right"/>
              <w:rPr>
                <w:rFonts w:ascii="Times New Roman" w:hAnsi="Times New Roman" w:cs="Times New Roman"/>
                <w:b/>
                <w:sz w:val="20"/>
                <w:szCs w:val="20"/>
              </w:rPr>
            </w:pPr>
            <w:r w:rsidRPr="00281014">
              <w:rPr>
                <w:rFonts w:ascii="Times New Roman" w:hAnsi="Times New Roman" w:cs="Times New Roman"/>
                <w:b/>
                <w:sz w:val="20"/>
                <w:szCs w:val="20"/>
              </w:rPr>
              <w:t>$</w:t>
            </w:r>
            <w:r>
              <w:rPr>
                <w:rFonts w:ascii="Times New Roman" w:hAnsi="Times New Roman" w:cs="Times New Roman"/>
                <w:b/>
                <w:sz w:val="20"/>
                <w:szCs w:val="20"/>
              </w:rPr>
              <w:t>2,191.7</w:t>
            </w:r>
          </w:p>
        </w:tc>
        <w:tc>
          <w:tcPr>
            <w:tcW w:w="1530" w:type="dxa"/>
            <w:tcBorders>
              <w:left w:val="single" w:sz="6" w:space="0" w:color="000000"/>
              <w:bottom w:val="single" w:sz="6" w:space="0" w:color="000000"/>
              <w:right w:val="single" w:sz="6" w:space="0" w:color="000000"/>
            </w:tcBorders>
            <w:vAlign w:val="center"/>
          </w:tcPr>
          <w:p w:rsidR="00364037" w:rsidRPr="00281014" w:rsidP="00364037" w14:paraId="2E286E09" w14:textId="0CA1CD50">
            <w:pPr>
              <w:spacing w:after="0" w:line="240" w:lineRule="auto"/>
              <w:ind w:right="437"/>
              <w:jc w:val="right"/>
              <w:rPr>
                <w:rFonts w:ascii="Times New Roman" w:hAnsi="Times New Roman" w:cs="Times New Roman"/>
                <w:b/>
                <w:sz w:val="20"/>
                <w:szCs w:val="20"/>
              </w:rPr>
            </w:pPr>
            <w:r w:rsidRPr="00281014">
              <w:rPr>
                <w:rFonts w:ascii="Times New Roman" w:hAnsi="Times New Roman" w:cs="Times New Roman"/>
                <w:b/>
                <w:sz w:val="20"/>
                <w:szCs w:val="20"/>
              </w:rPr>
              <w:t>$</w:t>
            </w:r>
            <w:r>
              <w:rPr>
                <w:rFonts w:ascii="Times New Roman" w:hAnsi="Times New Roman" w:cs="Times New Roman"/>
                <w:b/>
                <w:sz w:val="20"/>
                <w:szCs w:val="20"/>
              </w:rPr>
              <w:t>1,818.9</w:t>
            </w:r>
          </w:p>
        </w:tc>
        <w:tc>
          <w:tcPr>
            <w:tcW w:w="1260" w:type="dxa"/>
            <w:tcBorders>
              <w:left w:val="single" w:sz="6" w:space="0" w:color="000000"/>
              <w:bottom w:val="single" w:sz="6" w:space="0" w:color="000000"/>
              <w:right w:val="single" w:sz="6" w:space="0" w:color="000000"/>
            </w:tcBorders>
            <w:vAlign w:val="center"/>
          </w:tcPr>
          <w:p w:rsidR="00364037" w:rsidRPr="00281014" w:rsidP="00364037" w14:paraId="601225F6" w14:textId="728AAE8D">
            <w:pPr>
              <w:spacing w:after="0" w:line="240" w:lineRule="auto"/>
              <w:ind w:hanging="5"/>
              <w:jc w:val="center"/>
              <w:rPr>
                <w:rFonts w:ascii="Times New Roman" w:hAnsi="Times New Roman" w:cs="Times New Roman"/>
                <w:b/>
                <w:sz w:val="20"/>
                <w:szCs w:val="20"/>
              </w:rPr>
            </w:pPr>
            <w:r w:rsidRPr="00281014">
              <w:rPr>
                <w:rFonts w:ascii="Times New Roman" w:hAnsi="Times New Roman" w:cs="Times New Roman"/>
                <w:b/>
                <w:sz w:val="20"/>
                <w:szCs w:val="20"/>
              </w:rPr>
              <w:t>$</w:t>
            </w:r>
            <w:r>
              <w:rPr>
                <w:rFonts w:ascii="Times New Roman" w:hAnsi="Times New Roman" w:cs="Times New Roman"/>
                <w:b/>
                <w:sz w:val="20"/>
                <w:szCs w:val="20"/>
              </w:rPr>
              <w:t>256.9</w:t>
            </w:r>
          </w:p>
        </w:tc>
        <w:tc>
          <w:tcPr>
            <w:tcW w:w="1170" w:type="dxa"/>
            <w:tcBorders>
              <w:left w:val="single" w:sz="6" w:space="0" w:color="000000"/>
              <w:bottom w:val="single" w:sz="6" w:space="0" w:color="000000"/>
              <w:right w:val="single" w:sz="6" w:space="0" w:color="000000"/>
            </w:tcBorders>
            <w:vAlign w:val="center"/>
          </w:tcPr>
          <w:p w:rsidR="00364037" w:rsidRPr="00281014" w:rsidP="00364037" w14:paraId="33472E47" w14:textId="4D573DE0">
            <w:pPr>
              <w:spacing w:after="0" w:line="240" w:lineRule="auto"/>
              <w:ind w:left="75" w:right="59"/>
              <w:jc w:val="center"/>
              <w:rPr>
                <w:rFonts w:ascii="Times New Roman" w:hAnsi="Times New Roman" w:cs="Times New Roman"/>
                <w:b/>
                <w:sz w:val="20"/>
                <w:szCs w:val="20"/>
              </w:rPr>
            </w:pPr>
            <w:r w:rsidRPr="00281014">
              <w:rPr>
                <w:rFonts w:ascii="Times New Roman" w:hAnsi="Times New Roman" w:cs="Times New Roman"/>
                <w:b/>
                <w:sz w:val="20"/>
                <w:szCs w:val="20"/>
              </w:rPr>
              <w:t>$</w:t>
            </w:r>
            <w:r>
              <w:rPr>
                <w:rFonts w:ascii="Times New Roman" w:hAnsi="Times New Roman" w:cs="Times New Roman"/>
                <w:b/>
                <w:sz w:val="20"/>
                <w:szCs w:val="20"/>
              </w:rPr>
              <w:t>296.9</w:t>
            </w:r>
          </w:p>
        </w:tc>
      </w:tr>
    </w:tbl>
    <w:bookmarkEnd w:id="7"/>
    <w:p w:rsidR="005B38E8" w:rsidRPr="00281014" w:rsidP="00C2595C" w14:paraId="0E34C0A2" w14:textId="7777777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BF7455">
        <w:rPr>
          <w:rFonts w:ascii="Times New Roman" w:hAnsi="Times New Roman" w:cs="Times New Roman"/>
          <w:sz w:val="18"/>
          <w:szCs w:val="18"/>
        </w:rPr>
        <w:t xml:space="preserve">         </w:t>
      </w:r>
      <w:r w:rsidRPr="00281014">
        <w:rPr>
          <w:rFonts w:ascii="Times New Roman" w:hAnsi="Times New Roman" w:cs="Times New Roman"/>
          <w:sz w:val="18"/>
          <w:szCs w:val="18"/>
        </w:rPr>
        <w:t>*Totals may not sum due to rounding</w:t>
      </w:r>
      <w:r w:rsidRPr="00281014" w:rsidR="00E93077">
        <w:rPr>
          <w:rFonts w:ascii="Times New Roman" w:hAnsi="Times New Roman" w:cs="Times New Roman"/>
          <w:sz w:val="18"/>
          <w:szCs w:val="18"/>
        </w:rPr>
        <w:t>.</w:t>
      </w:r>
    </w:p>
    <w:p w:rsidR="00E22913" w:rsidRPr="00281014" w:rsidP="00C2595C" w14:paraId="18CECD10" w14:textId="7777777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BF7455">
        <w:rPr>
          <w:rFonts w:ascii="Times New Roman" w:hAnsi="Times New Roman" w:cs="Times New Roman"/>
          <w:sz w:val="18"/>
          <w:szCs w:val="18"/>
        </w:rPr>
        <w:t xml:space="preserve">         </w:t>
      </w:r>
      <w:r>
        <w:rPr>
          <w:rFonts w:ascii="Times New Roman" w:hAnsi="Times New Roman" w:cs="Times New Roman"/>
          <w:sz w:val="18"/>
          <w:szCs w:val="18"/>
        </w:rPr>
        <w:t xml:space="preserve">  ** </w:t>
      </w:r>
      <w:r w:rsidR="00B06502">
        <w:rPr>
          <w:rFonts w:ascii="Times New Roman" w:hAnsi="Times New Roman" w:cs="Times New Roman"/>
          <w:sz w:val="18"/>
          <w:szCs w:val="18"/>
        </w:rPr>
        <w:t xml:space="preserve">Costs </w:t>
      </w:r>
      <w:r w:rsidR="002E032A">
        <w:rPr>
          <w:rFonts w:ascii="Times New Roman" w:hAnsi="Times New Roman" w:cs="Times New Roman"/>
          <w:sz w:val="18"/>
          <w:szCs w:val="18"/>
        </w:rPr>
        <w:t>are zero due to rounding</w:t>
      </w:r>
      <w:r w:rsidR="002E13CA">
        <w:rPr>
          <w:rFonts w:ascii="Times New Roman" w:hAnsi="Times New Roman" w:cs="Times New Roman"/>
          <w:sz w:val="18"/>
          <w:szCs w:val="18"/>
        </w:rPr>
        <w:t>.</w:t>
      </w:r>
      <w:r w:rsidR="002E032A">
        <w:rPr>
          <w:rFonts w:ascii="Times New Roman" w:hAnsi="Times New Roman" w:cs="Times New Roman"/>
          <w:sz w:val="18"/>
          <w:szCs w:val="18"/>
        </w:rPr>
        <w:t xml:space="preserve"> </w:t>
      </w:r>
      <w:r>
        <w:rPr>
          <w:rFonts w:ascii="Times New Roman" w:hAnsi="Times New Roman" w:cs="Times New Roman"/>
          <w:sz w:val="18"/>
          <w:szCs w:val="18"/>
        </w:rPr>
        <w:t xml:space="preserve">Unrounded </w:t>
      </w:r>
      <w:r w:rsidR="00B06502">
        <w:rPr>
          <w:rFonts w:ascii="Times New Roman" w:hAnsi="Times New Roman" w:cs="Times New Roman"/>
          <w:sz w:val="18"/>
          <w:szCs w:val="18"/>
        </w:rPr>
        <w:t xml:space="preserve">costs </w:t>
      </w:r>
      <w:r>
        <w:rPr>
          <w:rFonts w:ascii="Times New Roman" w:hAnsi="Times New Roman" w:cs="Times New Roman"/>
          <w:sz w:val="18"/>
          <w:szCs w:val="18"/>
        </w:rPr>
        <w:t>are</w:t>
      </w:r>
      <w:r w:rsidR="002E032A">
        <w:rPr>
          <w:rFonts w:ascii="Times New Roman" w:hAnsi="Times New Roman" w:cs="Times New Roman"/>
          <w:sz w:val="18"/>
          <w:szCs w:val="18"/>
        </w:rPr>
        <w:t xml:space="preserve"> </w:t>
      </w:r>
      <w:r w:rsidR="005D1DA9">
        <w:rPr>
          <w:rFonts w:ascii="Times New Roman" w:hAnsi="Times New Roman" w:cs="Times New Roman"/>
          <w:sz w:val="18"/>
          <w:szCs w:val="18"/>
        </w:rPr>
        <w:t>$15,798 for No Backup Power</w:t>
      </w:r>
      <w:r w:rsidR="00AB5AFA">
        <w:rPr>
          <w:rFonts w:ascii="Times New Roman" w:hAnsi="Times New Roman" w:cs="Times New Roman"/>
          <w:sz w:val="18"/>
          <w:szCs w:val="18"/>
        </w:rPr>
        <w:t>,</w:t>
      </w:r>
      <w:r w:rsidR="005D1DA9">
        <w:rPr>
          <w:rFonts w:ascii="Times New Roman" w:hAnsi="Times New Roman" w:cs="Times New Roman"/>
          <w:sz w:val="18"/>
          <w:szCs w:val="18"/>
        </w:rPr>
        <w:t xml:space="preserve"> </w:t>
      </w:r>
      <w:r w:rsidR="002E032A">
        <w:rPr>
          <w:rFonts w:ascii="Times New Roman" w:hAnsi="Times New Roman" w:cs="Times New Roman"/>
          <w:sz w:val="18"/>
          <w:szCs w:val="18"/>
        </w:rPr>
        <w:t>$</w:t>
      </w:r>
      <w:r w:rsidR="00095FCE">
        <w:rPr>
          <w:rFonts w:ascii="Times New Roman" w:hAnsi="Times New Roman" w:cs="Times New Roman"/>
          <w:sz w:val="18"/>
          <w:szCs w:val="18"/>
        </w:rPr>
        <w:t>4</w:t>
      </w:r>
      <w:r w:rsidR="0009343B">
        <w:rPr>
          <w:rFonts w:ascii="Times New Roman" w:hAnsi="Times New Roman" w:cs="Times New Roman"/>
          <w:sz w:val="18"/>
          <w:szCs w:val="18"/>
        </w:rPr>
        <w:t xml:space="preserve">2,307 </w:t>
      </w:r>
      <w:r w:rsidR="009D5D87">
        <w:rPr>
          <w:rFonts w:ascii="Times New Roman" w:hAnsi="Times New Roman" w:cs="Times New Roman"/>
          <w:sz w:val="18"/>
          <w:szCs w:val="18"/>
        </w:rPr>
        <w:t xml:space="preserve">for </w:t>
      </w:r>
      <w:r w:rsidR="00C216D4">
        <w:rPr>
          <w:rFonts w:ascii="Times New Roman" w:hAnsi="Times New Roman" w:cs="Times New Roman"/>
          <w:sz w:val="18"/>
          <w:szCs w:val="18"/>
        </w:rPr>
        <w:t>Natural Hazards</w:t>
      </w:r>
      <w:r w:rsidR="00BC0176">
        <w:rPr>
          <w:rFonts w:ascii="Times New Roman" w:hAnsi="Times New Roman" w:cs="Times New Roman"/>
          <w:sz w:val="18"/>
          <w:szCs w:val="18"/>
        </w:rPr>
        <w:t xml:space="preserve"> and </w:t>
      </w:r>
      <w:r w:rsidR="00C216D4">
        <w:rPr>
          <w:rFonts w:ascii="Times New Roman" w:hAnsi="Times New Roman" w:cs="Times New Roman"/>
          <w:sz w:val="18"/>
          <w:szCs w:val="18"/>
        </w:rPr>
        <w:t>Facility Siting,</w:t>
      </w:r>
      <w:r w:rsidR="002E032A">
        <w:rPr>
          <w:rFonts w:ascii="Times New Roman" w:hAnsi="Times New Roman" w:cs="Times New Roman"/>
          <w:sz w:val="18"/>
          <w:szCs w:val="18"/>
        </w:rPr>
        <w:t xml:space="preserve"> and </w:t>
      </w:r>
      <w:r w:rsidR="00BC0176">
        <w:rPr>
          <w:rFonts w:ascii="Times New Roman" w:hAnsi="Times New Roman" w:cs="Times New Roman"/>
          <w:sz w:val="18"/>
          <w:szCs w:val="18"/>
        </w:rPr>
        <w:t xml:space="preserve">$27,582 for </w:t>
      </w:r>
      <w:r w:rsidR="00C216D4">
        <w:rPr>
          <w:rFonts w:ascii="Times New Roman" w:hAnsi="Times New Roman" w:cs="Times New Roman"/>
          <w:sz w:val="18"/>
          <w:szCs w:val="18"/>
        </w:rPr>
        <w:t>RAGAGEP</w:t>
      </w:r>
      <w:r w:rsidR="002E032A">
        <w:rPr>
          <w:rFonts w:ascii="Times New Roman" w:hAnsi="Times New Roman" w:cs="Times New Roman"/>
          <w:sz w:val="18"/>
          <w:szCs w:val="18"/>
        </w:rPr>
        <w:t xml:space="preserve">. </w:t>
      </w:r>
    </w:p>
    <w:p w:rsidR="00281014" w:rsidRPr="00C2595C" w:rsidP="00C2595C" w14:paraId="509D99DB" w14:textId="77777777">
      <w:pPr>
        <w:spacing w:after="0" w:line="240" w:lineRule="auto"/>
        <w:rPr>
          <w:rFonts w:ascii="Times New Roman" w:hAnsi="Times New Roman" w:cs="Times New Roman"/>
        </w:rPr>
      </w:pPr>
    </w:p>
    <w:p w:rsidR="00F97E89" w:rsidP="00C96755" w14:paraId="4924457E" w14:textId="77777777">
      <w:pPr>
        <w:spacing w:after="0" w:line="240" w:lineRule="auto"/>
        <w:rPr>
          <w:rFonts w:ascii="Times New Roman" w:hAnsi="Times New Roman" w:cs="Times New Roman"/>
        </w:rPr>
      </w:pPr>
      <w:r>
        <w:rPr>
          <w:rFonts w:ascii="Times New Roman" w:hAnsi="Times New Roman" w:cs="Times New Roman"/>
        </w:rPr>
        <w:tab/>
      </w:r>
      <w:r w:rsidR="003E1ADB">
        <w:rPr>
          <w:rFonts w:ascii="Times New Roman" w:hAnsi="Times New Roman" w:cs="Times New Roman"/>
        </w:rPr>
        <w:t xml:space="preserve">Exhibit ES-2 provides undiscounted yearly costs for the </w:t>
      </w:r>
      <w:r w:rsidR="00C25089">
        <w:rPr>
          <w:rFonts w:ascii="Times New Roman" w:hAnsi="Times New Roman" w:cs="Times New Roman"/>
        </w:rPr>
        <w:t>final</w:t>
      </w:r>
      <w:r w:rsidR="003E1ADB">
        <w:rPr>
          <w:rFonts w:ascii="Times New Roman" w:hAnsi="Times New Roman" w:cs="Times New Roman"/>
        </w:rPr>
        <w:t xml:space="preserve"> rule provi</w:t>
      </w:r>
      <w:r w:rsidR="00D43E40">
        <w:rPr>
          <w:rFonts w:ascii="Times New Roman" w:hAnsi="Times New Roman" w:cs="Times New Roman"/>
        </w:rPr>
        <w:t>si</w:t>
      </w:r>
      <w:r w:rsidR="003E1ADB">
        <w:rPr>
          <w:rFonts w:ascii="Times New Roman" w:hAnsi="Times New Roman" w:cs="Times New Roman"/>
        </w:rPr>
        <w:t xml:space="preserve">ons, for Years </w:t>
      </w:r>
      <w:r w:rsidR="00345EA5">
        <w:rPr>
          <w:rFonts w:ascii="Times New Roman" w:hAnsi="Times New Roman" w:cs="Times New Roman"/>
        </w:rPr>
        <w:t>1</w:t>
      </w:r>
      <w:r w:rsidR="003E1ADB">
        <w:rPr>
          <w:rFonts w:ascii="Times New Roman" w:hAnsi="Times New Roman" w:cs="Times New Roman"/>
        </w:rPr>
        <w:t xml:space="preserve">-10. </w:t>
      </w:r>
      <w:r w:rsidR="00D43E40">
        <w:rPr>
          <w:rFonts w:ascii="Times New Roman" w:hAnsi="Times New Roman" w:cs="Times New Roman"/>
        </w:rPr>
        <w:t xml:space="preserve">Rule familiarization </w:t>
      </w:r>
      <w:r>
        <w:rPr>
          <w:rFonts w:ascii="Times New Roman" w:hAnsi="Times New Roman" w:cs="Times New Roman"/>
        </w:rPr>
        <w:t>costs are incurred only in Year 1, and therefore are $0 in subsequent years.</w:t>
      </w:r>
    </w:p>
    <w:p w:rsidR="00C96755" w:rsidRPr="00C96755" w:rsidP="00C96755" w14:paraId="0F8AD1F0" w14:textId="77777777">
      <w:pPr>
        <w:spacing w:after="0" w:line="240" w:lineRule="auto"/>
        <w:rPr>
          <w:rFonts w:ascii="Times New Roman" w:hAnsi="Times New Roman" w:cs="Times New Roman"/>
        </w:rPr>
      </w:pPr>
    </w:p>
    <w:p w:rsidR="00424321" w:rsidRPr="00281014" w:rsidP="00424321" w14:paraId="5BA48B86" w14:textId="77777777">
      <w:pPr>
        <w:pStyle w:val="Caption"/>
        <w:jc w:val="center"/>
        <w:rPr>
          <w:rFonts w:ascii="Times New Roman" w:hAnsi="Times New Roman" w:cs="Times New Roman"/>
          <w:b/>
          <w:bCs/>
          <w:i w:val="0"/>
          <w:iCs w:val="0"/>
          <w:color w:val="auto"/>
          <w:sz w:val="22"/>
          <w:szCs w:val="22"/>
        </w:rPr>
      </w:pPr>
      <w:r w:rsidRPr="00281014">
        <w:rPr>
          <w:rFonts w:ascii="Times New Roman" w:hAnsi="Times New Roman" w:cs="Times New Roman"/>
          <w:b/>
          <w:bCs/>
          <w:i w:val="0"/>
          <w:iCs w:val="0"/>
          <w:color w:val="auto"/>
          <w:sz w:val="22"/>
          <w:szCs w:val="22"/>
        </w:rPr>
        <w:t>Exhibit ES</w:t>
      </w:r>
      <w:r>
        <w:rPr>
          <w:rFonts w:ascii="Times New Roman" w:hAnsi="Times New Roman" w:cs="Times New Roman"/>
          <w:b/>
          <w:bCs/>
          <w:i w:val="0"/>
          <w:iCs w:val="0"/>
          <w:color w:val="auto"/>
          <w:sz w:val="22"/>
          <w:szCs w:val="22"/>
        </w:rPr>
        <w:noBreakHyphen/>
        <w:t>2</w:t>
      </w:r>
      <w:r w:rsidRPr="00281014">
        <w:rPr>
          <w:rFonts w:ascii="Times New Roman" w:hAnsi="Times New Roman" w:cs="Times New Roman"/>
          <w:b/>
          <w:bCs/>
          <w:i w:val="0"/>
          <w:iCs w:val="0"/>
          <w:color w:val="auto"/>
          <w:sz w:val="22"/>
          <w:szCs w:val="22"/>
        </w:rPr>
        <w:t xml:space="preserve">. Summary of </w:t>
      </w:r>
      <w:r w:rsidRPr="00E81DC0">
        <w:rPr>
          <w:rFonts w:ascii="Times New Roman" w:hAnsi="Times New Roman" w:cs="Times New Roman"/>
          <w:b/>
          <w:bCs/>
          <w:i w:val="0"/>
          <w:iCs w:val="0"/>
          <w:color w:val="auto"/>
          <w:sz w:val="22"/>
          <w:szCs w:val="22"/>
        </w:rPr>
        <w:t xml:space="preserve">Estimated </w:t>
      </w:r>
      <w:r w:rsidR="002D6001">
        <w:rPr>
          <w:rFonts w:ascii="Times New Roman" w:hAnsi="Times New Roman" w:cs="Times New Roman"/>
          <w:b/>
          <w:bCs/>
          <w:i w:val="0"/>
          <w:iCs w:val="0"/>
          <w:color w:val="auto"/>
          <w:sz w:val="22"/>
          <w:szCs w:val="22"/>
        </w:rPr>
        <w:t xml:space="preserve">Undiscounted </w:t>
      </w:r>
      <w:r w:rsidRPr="002D6001">
        <w:rPr>
          <w:rFonts w:ascii="Times New Roman" w:hAnsi="Times New Roman" w:cs="Times New Roman"/>
          <w:b/>
          <w:i w:val="0"/>
          <w:color w:val="auto"/>
          <w:sz w:val="22"/>
          <w:szCs w:val="22"/>
        </w:rPr>
        <w:t>Yearly</w:t>
      </w:r>
      <w:r w:rsidRPr="00E81DC0">
        <w:rPr>
          <w:rFonts w:ascii="Times New Roman" w:hAnsi="Times New Roman" w:cs="Times New Roman"/>
          <w:b/>
          <w:bCs/>
          <w:i w:val="0"/>
          <w:iCs w:val="0"/>
          <w:color w:val="auto"/>
          <w:sz w:val="22"/>
          <w:szCs w:val="22"/>
        </w:rPr>
        <w:t xml:space="preserve"> Costs</w:t>
      </w:r>
      <w:r w:rsidRPr="00281014">
        <w:rPr>
          <w:rFonts w:ascii="Times New Roman" w:hAnsi="Times New Roman" w:cs="Times New Roman"/>
          <w:b/>
          <w:bCs/>
          <w:i w:val="0"/>
          <w:iCs w:val="0"/>
          <w:color w:val="auto"/>
          <w:sz w:val="22"/>
          <w:szCs w:val="22"/>
        </w:rPr>
        <w:t xml:space="preserve"> (millions, 202</w:t>
      </w:r>
      <w:r w:rsidR="00B072A5">
        <w:rPr>
          <w:rFonts w:ascii="Times New Roman" w:hAnsi="Times New Roman" w:cs="Times New Roman"/>
          <w:b/>
          <w:bCs/>
          <w:i w:val="0"/>
          <w:iCs w:val="0"/>
          <w:color w:val="auto"/>
          <w:sz w:val="22"/>
          <w:szCs w:val="22"/>
        </w:rPr>
        <w:t>2</w:t>
      </w:r>
      <w:r w:rsidRPr="00281014">
        <w:rPr>
          <w:rFonts w:ascii="Times New Roman" w:hAnsi="Times New Roman" w:cs="Times New Roman"/>
          <w:b/>
          <w:bCs/>
          <w:i w:val="0"/>
          <w:iCs w:val="0"/>
          <w:color w:val="auto"/>
          <w:sz w:val="22"/>
          <w:szCs w:val="22"/>
        </w:rPr>
        <w:t xml:space="preserve"> dollars).</w:t>
      </w:r>
      <w:bookmarkEnd w:id="6"/>
    </w:p>
    <w:tbl>
      <w:tblPr>
        <w:tblW w:w="991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6"/>
        <w:gridCol w:w="774"/>
        <w:gridCol w:w="720"/>
        <w:gridCol w:w="719"/>
        <w:gridCol w:w="763"/>
        <w:gridCol w:w="839"/>
        <w:gridCol w:w="839"/>
        <w:gridCol w:w="839"/>
        <w:gridCol w:w="839"/>
        <w:gridCol w:w="839"/>
        <w:gridCol w:w="919"/>
      </w:tblGrid>
      <w:tr w14:paraId="6DD44C25" w14:textId="77777777" w:rsidTr="00182AC2">
        <w:tblPrEx>
          <w:tblW w:w="991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602"/>
          <w:tblHeader/>
        </w:trPr>
        <w:tc>
          <w:tcPr>
            <w:tcW w:w="1826" w:type="dxa"/>
            <w:tcBorders>
              <w:left w:val="single" w:sz="6" w:space="0" w:color="000000"/>
              <w:bottom w:val="single" w:sz="6" w:space="0" w:color="000000"/>
              <w:right w:val="single" w:sz="6" w:space="0" w:color="000000"/>
            </w:tcBorders>
            <w:shd w:val="clear" w:color="auto" w:fill="DADADA"/>
            <w:vAlign w:val="center"/>
          </w:tcPr>
          <w:p w:rsidR="005D4EF4" w:rsidRPr="00281014" w:rsidP="005D4EF4" w14:paraId="52897B61" w14:textId="77777777">
            <w:pPr>
              <w:spacing w:after="0" w:line="240" w:lineRule="auto"/>
              <w:ind w:firstLine="79"/>
              <w:rPr>
                <w:rFonts w:ascii="Times New Roman" w:hAnsi="Times New Roman" w:cs="Times New Roman"/>
                <w:b/>
                <w:sz w:val="20"/>
                <w:szCs w:val="20"/>
              </w:rPr>
            </w:pPr>
            <w:r w:rsidRPr="00281014">
              <w:rPr>
                <w:rFonts w:ascii="Times New Roman" w:hAnsi="Times New Roman" w:cs="Times New Roman"/>
                <w:b/>
                <w:sz w:val="20"/>
                <w:szCs w:val="20"/>
              </w:rPr>
              <w:t>Cost Elements</w:t>
            </w:r>
          </w:p>
        </w:tc>
        <w:tc>
          <w:tcPr>
            <w:tcW w:w="774" w:type="dxa"/>
            <w:tcBorders>
              <w:left w:val="single" w:sz="6" w:space="0" w:color="000000"/>
              <w:bottom w:val="single" w:sz="6" w:space="0" w:color="000000"/>
              <w:right w:val="single" w:sz="6" w:space="0" w:color="000000"/>
            </w:tcBorders>
            <w:shd w:val="clear" w:color="auto" w:fill="DADADA"/>
            <w:vAlign w:val="center"/>
          </w:tcPr>
          <w:p w:rsidR="005D4EF4" w:rsidP="005D4EF4" w14:paraId="7F4F210F"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1</w:t>
            </w:r>
          </w:p>
        </w:tc>
        <w:tc>
          <w:tcPr>
            <w:tcW w:w="720" w:type="dxa"/>
            <w:tcBorders>
              <w:left w:val="single" w:sz="6" w:space="0" w:color="000000"/>
              <w:bottom w:val="single" w:sz="6" w:space="0" w:color="000000"/>
              <w:right w:val="single" w:sz="6" w:space="0" w:color="000000"/>
            </w:tcBorders>
            <w:shd w:val="clear" w:color="auto" w:fill="DADADA"/>
            <w:vAlign w:val="center"/>
          </w:tcPr>
          <w:p w:rsidR="005D4EF4" w:rsidRPr="00DD38E1" w:rsidP="005D4EF4" w14:paraId="19B44113"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2</w:t>
            </w:r>
          </w:p>
        </w:tc>
        <w:tc>
          <w:tcPr>
            <w:tcW w:w="719" w:type="dxa"/>
            <w:tcBorders>
              <w:left w:val="single" w:sz="6" w:space="0" w:color="000000"/>
              <w:bottom w:val="single" w:sz="6" w:space="0" w:color="000000"/>
              <w:right w:val="single" w:sz="6" w:space="0" w:color="000000"/>
            </w:tcBorders>
            <w:shd w:val="clear" w:color="auto" w:fill="DADADA"/>
            <w:vAlign w:val="center"/>
          </w:tcPr>
          <w:p w:rsidR="005D4EF4" w:rsidRPr="00DD38E1" w:rsidP="005D4EF4" w14:paraId="33313CDC"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3</w:t>
            </w:r>
          </w:p>
        </w:tc>
        <w:tc>
          <w:tcPr>
            <w:tcW w:w="763" w:type="dxa"/>
            <w:tcBorders>
              <w:left w:val="single" w:sz="6" w:space="0" w:color="000000"/>
              <w:bottom w:val="single" w:sz="6" w:space="0" w:color="000000"/>
              <w:right w:val="single" w:sz="6" w:space="0" w:color="000000"/>
            </w:tcBorders>
            <w:shd w:val="clear" w:color="auto" w:fill="DADADA"/>
            <w:vAlign w:val="center"/>
          </w:tcPr>
          <w:p w:rsidR="005D4EF4" w:rsidRPr="00DD38E1" w:rsidP="005D4EF4" w14:paraId="02F89E4A"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4</w:t>
            </w:r>
          </w:p>
        </w:tc>
        <w:tc>
          <w:tcPr>
            <w:tcW w:w="839" w:type="dxa"/>
            <w:tcBorders>
              <w:left w:val="single" w:sz="6" w:space="0" w:color="000000"/>
              <w:bottom w:val="single" w:sz="6" w:space="0" w:color="000000"/>
              <w:right w:val="single" w:sz="6" w:space="0" w:color="000000"/>
            </w:tcBorders>
            <w:shd w:val="clear" w:color="auto" w:fill="DADADA"/>
            <w:vAlign w:val="center"/>
          </w:tcPr>
          <w:p w:rsidR="005D4EF4" w:rsidP="005D4EF4" w14:paraId="16DD329C"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5</w:t>
            </w:r>
          </w:p>
        </w:tc>
        <w:tc>
          <w:tcPr>
            <w:tcW w:w="839" w:type="dxa"/>
            <w:tcBorders>
              <w:left w:val="single" w:sz="6" w:space="0" w:color="000000"/>
              <w:bottom w:val="single" w:sz="6" w:space="0" w:color="000000"/>
              <w:right w:val="single" w:sz="6" w:space="0" w:color="000000"/>
            </w:tcBorders>
            <w:shd w:val="clear" w:color="auto" w:fill="DADADA"/>
            <w:vAlign w:val="center"/>
          </w:tcPr>
          <w:p w:rsidR="005D4EF4" w:rsidRPr="00DD38E1" w:rsidP="005D4EF4" w14:paraId="3EEB4737" w14:textId="77777777">
            <w:pPr>
              <w:spacing w:after="0" w:line="240" w:lineRule="auto"/>
              <w:ind w:right="78"/>
              <w:jc w:val="center"/>
              <w:rPr>
                <w:rFonts w:ascii="Times New Roman" w:hAnsi="Times New Roman" w:cs="Times New Roman"/>
                <w:b/>
                <w:sz w:val="20"/>
                <w:szCs w:val="20"/>
              </w:rPr>
            </w:pPr>
            <w:r w:rsidRPr="00DD38E1">
              <w:rPr>
                <w:rFonts w:ascii="Times New Roman" w:hAnsi="Times New Roman" w:cs="Times New Roman"/>
                <w:b/>
                <w:sz w:val="20"/>
                <w:szCs w:val="20"/>
              </w:rPr>
              <w:t>Year</w:t>
            </w:r>
            <w:r>
              <w:rPr>
                <w:rFonts w:ascii="Times New Roman" w:hAnsi="Times New Roman" w:cs="Times New Roman"/>
                <w:b/>
                <w:sz w:val="20"/>
                <w:szCs w:val="20"/>
              </w:rPr>
              <w:t xml:space="preserve"> 6</w:t>
            </w:r>
          </w:p>
        </w:tc>
        <w:tc>
          <w:tcPr>
            <w:tcW w:w="839" w:type="dxa"/>
            <w:tcBorders>
              <w:left w:val="single" w:sz="6" w:space="0" w:color="000000"/>
              <w:bottom w:val="single" w:sz="6" w:space="0" w:color="000000"/>
              <w:right w:val="single" w:sz="6" w:space="0" w:color="000000"/>
            </w:tcBorders>
            <w:shd w:val="clear" w:color="auto" w:fill="D9D9D9" w:themeFill="background1" w:themeFillShade="D9"/>
            <w:vAlign w:val="center"/>
          </w:tcPr>
          <w:p w:rsidR="005D4EF4" w:rsidP="005D4EF4" w14:paraId="6317F0D4"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7</w:t>
            </w:r>
          </w:p>
        </w:tc>
        <w:tc>
          <w:tcPr>
            <w:tcW w:w="839" w:type="dxa"/>
            <w:tcBorders>
              <w:left w:val="single" w:sz="6" w:space="0" w:color="000000"/>
              <w:bottom w:val="single" w:sz="6" w:space="0" w:color="000000"/>
              <w:right w:val="single" w:sz="6" w:space="0" w:color="000000"/>
            </w:tcBorders>
            <w:shd w:val="clear" w:color="auto" w:fill="DADADA"/>
            <w:vAlign w:val="center"/>
          </w:tcPr>
          <w:p w:rsidR="005D4EF4" w:rsidRPr="00DD38E1" w:rsidP="005D4EF4" w14:paraId="287EEBC7" w14:textId="77777777">
            <w:pPr>
              <w:spacing w:after="0" w:line="240" w:lineRule="auto"/>
              <w:ind w:right="78"/>
              <w:jc w:val="center"/>
              <w:rPr>
                <w:rFonts w:ascii="Times New Roman" w:hAnsi="Times New Roman" w:cs="Times New Roman"/>
                <w:b/>
                <w:sz w:val="20"/>
                <w:szCs w:val="20"/>
              </w:rPr>
            </w:pPr>
            <w:r w:rsidRPr="00DD38E1">
              <w:rPr>
                <w:rFonts w:ascii="Times New Roman" w:hAnsi="Times New Roman" w:cs="Times New Roman"/>
                <w:b/>
                <w:sz w:val="20"/>
                <w:szCs w:val="20"/>
              </w:rPr>
              <w:t>Year</w:t>
            </w:r>
            <w:r>
              <w:rPr>
                <w:rFonts w:ascii="Times New Roman" w:hAnsi="Times New Roman" w:cs="Times New Roman"/>
                <w:b/>
                <w:sz w:val="20"/>
                <w:szCs w:val="20"/>
              </w:rPr>
              <w:t xml:space="preserve"> 8</w:t>
            </w:r>
          </w:p>
        </w:tc>
        <w:tc>
          <w:tcPr>
            <w:tcW w:w="839" w:type="dxa"/>
            <w:tcBorders>
              <w:left w:val="single" w:sz="6" w:space="0" w:color="000000"/>
              <w:bottom w:val="single" w:sz="6" w:space="0" w:color="000000"/>
              <w:right w:val="single" w:sz="6" w:space="0" w:color="000000"/>
            </w:tcBorders>
            <w:shd w:val="clear" w:color="auto" w:fill="DADADA"/>
            <w:vAlign w:val="center"/>
          </w:tcPr>
          <w:p w:rsidR="005D4EF4" w:rsidRPr="00DD38E1" w:rsidP="005D4EF4" w14:paraId="28280750" w14:textId="77777777">
            <w:pPr>
              <w:spacing w:after="0" w:line="240" w:lineRule="auto"/>
              <w:ind w:right="78"/>
              <w:jc w:val="center"/>
              <w:rPr>
                <w:rFonts w:ascii="Times New Roman" w:hAnsi="Times New Roman" w:cs="Times New Roman"/>
                <w:b/>
                <w:sz w:val="20"/>
                <w:szCs w:val="20"/>
              </w:rPr>
            </w:pPr>
            <w:r w:rsidRPr="00DD38E1">
              <w:rPr>
                <w:rFonts w:ascii="Times New Roman" w:hAnsi="Times New Roman" w:cs="Times New Roman"/>
                <w:b/>
                <w:sz w:val="20"/>
                <w:szCs w:val="20"/>
              </w:rPr>
              <w:t>Year</w:t>
            </w:r>
            <w:r>
              <w:rPr>
                <w:rFonts w:ascii="Times New Roman" w:hAnsi="Times New Roman" w:cs="Times New Roman"/>
                <w:b/>
                <w:sz w:val="20"/>
                <w:szCs w:val="20"/>
              </w:rPr>
              <w:t xml:space="preserve"> 9</w:t>
            </w:r>
          </w:p>
        </w:tc>
        <w:tc>
          <w:tcPr>
            <w:tcW w:w="919" w:type="dxa"/>
            <w:tcBorders>
              <w:left w:val="single" w:sz="6" w:space="0" w:color="000000"/>
              <w:bottom w:val="single" w:sz="6" w:space="0" w:color="000000"/>
              <w:right w:val="single" w:sz="6" w:space="0" w:color="000000"/>
            </w:tcBorders>
            <w:shd w:val="clear" w:color="auto" w:fill="DADADA"/>
            <w:vAlign w:val="center"/>
          </w:tcPr>
          <w:p w:rsidR="005D4EF4" w:rsidRPr="00DD38E1" w:rsidP="005D4EF4" w14:paraId="22AD4F9F" w14:textId="77777777">
            <w:pPr>
              <w:spacing w:after="0" w:line="240" w:lineRule="auto"/>
              <w:ind w:right="78"/>
              <w:jc w:val="center"/>
              <w:rPr>
                <w:rFonts w:ascii="Times New Roman" w:hAnsi="Times New Roman" w:cs="Times New Roman"/>
                <w:b/>
                <w:sz w:val="20"/>
                <w:szCs w:val="20"/>
              </w:rPr>
            </w:pPr>
            <w:r w:rsidRPr="00DD38E1">
              <w:rPr>
                <w:rFonts w:ascii="Times New Roman" w:hAnsi="Times New Roman" w:cs="Times New Roman"/>
                <w:b/>
                <w:sz w:val="20"/>
                <w:szCs w:val="20"/>
              </w:rPr>
              <w:t>Year</w:t>
            </w:r>
            <w:r>
              <w:rPr>
                <w:rFonts w:ascii="Times New Roman" w:hAnsi="Times New Roman" w:cs="Times New Roman"/>
                <w:b/>
                <w:sz w:val="20"/>
                <w:szCs w:val="20"/>
              </w:rPr>
              <w:t xml:space="preserve"> 10</w:t>
            </w:r>
          </w:p>
        </w:tc>
      </w:tr>
      <w:tr w14:paraId="2B38EDE8" w14:textId="77777777" w:rsidTr="005D4EF4">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281014" w:rsidP="007B1531" w14:paraId="047A08ED" w14:textId="51744397">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Rule Familiarization</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58B52BB6" w14:textId="0131537D">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$50.9</w:t>
            </w:r>
          </w:p>
        </w:tc>
        <w:tc>
          <w:tcPr>
            <w:tcW w:w="720" w:type="dxa"/>
            <w:tcBorders>
              <w:top w:val="single" w:sz="6" w:space="0" w:color="000000"/>
              <w:left w:val="single" w:sz="6" w:space="0" w:color="000000"/>
              <w:bottom w:val="single" w:sz="6" w:space="0" w:color="000000"/>
              <w:right w:val="single" w:sz="6" w:space="0" w:color="000000"/>
            </w:tcBorders>
          </w:tcPr>
          <w:p w:rsidR="007B1531" w:rsidRPr="00DD38E1" w:rsidP="007B1531" w14:paraId="395AC720" w14:textId="658A872C">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c>
          <w:tcPr>
            <w:tcW w:w="719" w:type="dxa"/>
            <w:tcBorders>
              <w:top w:val="single" w:sz="6" w:space="0" w:color="000000"/>
              <w:left w:val="single" w:sz="6" w:space="0" w:color="000000"/>
              <w:bottom w:val="single" w:sz="6" w:space="0" w:color="000000"/>
              <w:right w:val="single" w:sz="6" w:space="0" w:color="000000"/>
            </w:tcBorders>
          </w:tcPr>
          <w:p w:rsidR="007B1531" w:rsidRPr="00DD38E1" w:rsidP="007B1531" w14:paraId="6A95E094" w14:textId="0FEF741B">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c>
          <w:tcPr>
            <w:tcW w:w="763" w:type="dxa"/>
            <w:tcBorders>
              <w:top w:val="single" w:sz="6" w:space="0" w:color="000000"/>
              <w:left w:val="single" w:sz="6" w:space="0" w:color="000000"/>
              <w:bottom w:val="single" w:sz="6" w:space="0" w:color="000000"/>
              <w:right w:val="single" w:sz="6" w:space="0" w:color="000000"/>
            </w:tcBorders>
          </w:tcPr>
          <w:p w:rsidR="007B1531" w:rsidRPr="00DD38E1" w:rsidP="007B1531" w14:paraId="12D57253" w14:textId="4782F2C8">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Borders>
              <w:top w:val="single" w:sz="6" w:space="0" w:color="000000"/>
              <w:left w:val="single" w:sz="6" w:space="0" w:color="000000"/>
              <w:bottom w:val="single" w:sz="6" w:space="0" w:color="000000"/>
              <w:right w:val="single" w:sz="6" w:space="0" w:color="000000"/>
            </w:tcBorders>
          </w:tcPr>
          <w:p w:rsidR="007B1531" w:rsidRPr="00DD38E1" w:rsidP="007B1531" w14:paraId="218F847D" w14:textId="35D2A01F">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Borders>
              <w:top w:val="single" w:sz="6" w:space="0" w:color="000000"/>
              <w:left w:val="single" w:sz="6" w:space="0" w:color="000000"/>
              <w:bottom w:val="single" w:sz="6" w:space="0" w:color="000000"/>
              <w:right w:val="single" w:sz="6" w:space="0" w:color="000000"/>
            </w:tcBorders>
          </w:tcPr>
          <w:p w:rsidR="007B1531" w:rsidRPr="00DD38E1" w:rsidP="007B1531" w14:paraId="19DA7AF1" w14:textId="2786EB01">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c>
          <w:tcPr>
            <w:tcW w:w="839" w:type="dxa"/>
            <w:tcBorders>
              <w:top w:val="single" w:sz="6" w:space="0" w:color="000000"/>
              <w:left w:val="single" w:sz="6" w:space="0" w:color="000000"/>
              <w:bottom w:val="single" w:sz="6" w:space="0" w:color="000000"/>
              <w:right w:val="single" w:sz="6" w:space="0" w:color="000000"/>
            </w:tcBorders>
          </w:tcPr>
          <w:p w:rsidR="007B1531" w:rsidRPr="00DD38E1" w:rsidP="007B1531" w14:paraId="6DAB269F" w14:textId="53E53A76">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Borders>
              <w:top w:val="single" w:sz="6" w:space="0" w:color="000000"/>
              <w:left w:val="single" w:sz="6" w:space="0" w:color="000000"/>
              <w:bottom w:val="single" w:sz="6" w:space="0" w:color="000000"/>
              <w:right w:val="single" w:sz="6" w:space="0" w:color="000000"/>
            </w:tcBorders>
          </w:tcPr>
          <w:p w:rsidR="007B1531" w:rsidRPr="00DD38E1" w:rsidP="007B1531" w14:paraId="59F58F02" w14:textId="602A4D2E">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c>
          <w:tcPr>
            <w:tcW w:w="839" w:type="dxa"/>
            <w:tcBorders>
              <w:top w:val="single" w:sz="6" w:space="0" w:color="000000"/>
              <w:left w:val="single" w:sz="6" w:space="0" w:color="000000"/>
              <w:bottom w:val="single" w:sz="6" w:space="0" w:color="000000"/>
              <w:right w:val="single" w:sz="6" w:space="0" w:color="000000"/>
            </w:tcBorders>
          </w:tcPr>
          <w:p w:rsidR="007B1531" w:rsidRPr="00DD38E1" w:rsidP="007B1531" w14:paraId="3C7C1346" w14:textId="11828C04">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c>
          <w:tcPr>
            <w:tcW w:w="919" w:type="dxa"/>
            <w:tcBorders>
              <w:top w:val="single" w:sz="6" w:space="0" w:color="000000"/>
              <w:left w:val="single" w:sz="6" w:space="0" w:color="000000"/>
              <w:bottom w:val="single" w:sz="6" w:space="0" w:color="000000"/>
              <w:right w:val="single" w:sz="6" w:space="0" w:color="000000"/>
            </w:tcBorders>
          </w:tcPr>
          <w:p w:rsidR="007B1531" w:rsidRPr="00DD38E1" w:rsidP="007B1531" w14:paraId="7EFC2C35" w14:textId="7C430E7A">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r>
      <w:tr w14:paraId="55CAB9F3" w14:textId="77777777" w:rsidTr="005D4EF4">
        <w:tblPrEx>
          <w:tblW w:w="9916" w:type="dxa"/>
          <w:tblInd w:w="-8" w:type="dxa"/>
          <w:tblLayout w:type="fixed"/>
          <w:tblCellMar>
            <w:left w:w="0" w:type="dxa"/>
            <w:right w:w="0" w:type="dxa"/>
          </w:tblCellMar>
          <w:tblLook w:val="01E0"/>
        </w:tblPrEx>
        <w:trPr>
          <w:trHeight w:val="310"/>
        </w:trPr>
        <w:tc>
          <w:tcPr>
            <w:tcW w:w="9916" w:type="dxa"/>
            <w:gridSpan w:val="11"/>
            <w:tcBorders>
              <w:top w:val="single" w:sz="6" w:space="0" w:color="000000"/>
              <w:left w:val="single" w:sz="6" w:space="0" w:color="000000"/>
              <w:bottom w:val="single" w:sz="6" w:space="0" w:color="000000"/>
              <w:right w:val="single" w:sz="6" w:space="0" w:color="000000"/>
            </w:tcBorders>
            <w:vAlign w:val="center"/>
          </w:tcPr>
          <w:p w:rsidR="007B1531" w:rsidRPr="009251F5" w:rsidP="007B1531" w14:paraId="420BB27A" w14:textId="1BC2E81B">
            <w:pPr>
              <w:spacing w:after="0" w:line="240" w:lineRule="auto"/>
              <w:ind w:left="75" w:right="59"/>
              <w:rPr>
                <w:rFonts w:ascii="Times New Roman" w:hAnsi="Times New Roman" w:cs="Times New Roman"/>
                <w:b/>
                <w:sz w:val="20"/>
                <w:szCs w:val="20"/>
              </w:rPr>
            </w:pPr>
            <w:r w:rsidRPr="009251F5">
              <w:rPr>
                <w:rFonts w:ascii="Times New Roman" w:hAnsi="Times New Roman" w:cs="Times New Roman"/>
                <w:b/>
                <w:bCs/>
                <w:sz w:val="20"/>
                <w:szCs w:val="20"/>
              </w:rPr>
              <w:t>STAA</w:t>
            </w:r>
          </w:p>
        </w:tc>
      </w:tr>
      <w:tr w14:paraId="150D7350" w14:textId="77777777" w:rsidTr="005D4EF4">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83454F" w:rsidP="007B1531" w14:paraId="5D4C91FE" w14:textId="36C022B8">
            <w:pPr>
              <w:spacing w:after="0" w:line="240" w:lineRule="auto"/>
              <w:ind w:left="112"/>
              <w:jc w:val="right"/>
              <w:rPr>
                <w:rFonts w:ascii="Times New Roman" w:hAnsi="Times New Roman" w:cs="Times New Roman"/>
                <w:i/>
                <w:iCs/>
                <w:sz w:val="20"/>
                <w:szCs w:val="20"/>
              </w:rPr>
            </w:pPr>
            <w:r w:rsidRPr="0083454F">
              <w:rPr>
                <w:rFonts w:ascii="Times New Roman" w:hAnsi="Times New Roman" w:cs="Times New Roman"/>
                <w:i/>
                <w:iCs/>
                <w:sz w:val="20"/>
                <w:szCs w:val="20"/>
              </w:rPr>
              <w:t xml:space="preserve">Initial </w:t>
            </w:r>
            <w:r>
              <w:rPr>
                <w:rFonts w:ascii="Times New Roman" w:hAnsi="Times New Roman" w:cs="Times New Roman"/>
                <w:i/>
                <w:iCs/>
                <w:sz w:val="20"/>
                <w:szCs w:val="20"/>
              </w:rPr>
              <w:t>Evaluation</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5D899AA2" w14:textId="26ED8E85">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$29.9</w:t>
            </w:r>
          </w:p>
        </w:tc>
        <w:tc>
          <w:tcPr>
            <w:tcW w:w="720" w:type="dxa"/>
            <w:tcBorders>
              <w:top w:val="single" w:sz="6" w:space="0" w:color="000000"/>
              <w:left w:val="single" w:sz="6" w:space="0" w:color="000000"/>
              <w:bottom w:val="single" w:sz="6" w:space="0" w:color="000000"/>
              <w:right w:val="single" w:sz="6" w:space="0" w:color="000000"/>
            </w:tcBorders>
          </w:tcPr>
          <w:p w:rsidR="007B1531" w:rsidP="007B1531" w14:paraId="02FE1F22" w14:textId="02815D7C">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$29.9</w:t>
            </w:r>
          </w:p>
        </w:tc>
        <w:tc>
          <w:tcPr>
            <w:tcW w:w="719" w:type="dxa"/>
            <w:tcBorders>
              <w:top w:val="single" w:sz="6" w:space="0" w:color="000000"/>
              <w:left w:val="single" w:sz="6" w:space="0" w:color="000000"/>
              <w:bottom w:val="single" w:sz="6" w:space="0" w:color="000000"/>
              <w:right w:val="single" w:sz="6" w:space="0" w:color="000000"/>
            </w:tcBorders>
          </w:tcPr>
          <w:p w:rsidR="007B1531" w:rsidP="007B1531" w14:paraId="69FD0C81" w14:textId="37EC175E">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$29.9</w:t>
            </w:r>
          </w:p>
        </w:tc>
        <w:tc>
          <w:tcPr>
            <w:tcW w:w="763" w:type="dxa"/>
            <w:tcBorders>
              <w:top w:val="single" w:sz="6" w:space="0" w:color="000000"/>
              <w:left w:val="single" w:sz="6" w:space="0" w:color="000000"/>
              <w:bottom w:val="single" w:sz="6" w:space="0" w:color="000000"/>
              <w:right w:val="single" w:sz="6" w:space="0" w:color="000000"/>
            </w:tcBorders>
          </w:tcPr>
          <w:p w:rsidR="007B1531" w:rsidP="007B1531" w14:paraId="2BD590B3" w14:textId="77494943">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$29.9</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3B1CF9B8" w14:textId="518C978F">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$29.9</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61A4E7C0" w14:textId="199F2B7C">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$5.4</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0E5B9DC6" w14:textId="0A53E20E">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$5.4</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6BC0736B" w14:textId="4F13FACB">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$5.4</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5118BC71" w14:textId="4C891111">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$5.4</w:t>
            </w:r>
          </w:p>
        </w:tc>
        <w:tc>
          <w:tcPr>
            <w:tcW w:w="919" w:type="dxa"/>
            <w:tcBorders>
              <w:top w:val="single" w:sz="6" w:space="0" w:color="000000"/>
              <w:left w:val="single" w:sz="6" w:space="0" w:color="000000"/>
              <w:bottom w:val="single" w:sz="6" w:space="0" w:color="000000"/>
              <w:right w:val="single" w:sz="6" w:space="0" w:color="000000"/>
            </w:tcBorders>
          </w:tcPr>
          <w:p w:rsidR="007B1531" w:rsidRPr="00281014" w:rsidP="007B1531" w14:paraId="3D021C88" w14:textId="4160926A">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$5.4</w:t>
            </w:r>
          </w:p>
        </w:tc>
      </w:tr>
      <w:tr w14:paraId="51A0CD5F" w14:textId="77777777" w:rsidTr="005D4EF4">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83454F" w:rsidP="007B1531" w14:paraId="400D78BD" w14:textId="6AC68245">
            <w:pPr>
              <w:spacing w:after="0" w:line="240" w:lineRule="auto"/>
              <w:ind w:left="112"/>
              <w:jc w:val="right"/>
              <w:rPr>
                <w:rFonts w:ascii="Times New Roman" w:hAnsi="Times New Roman" w:cs="Times New Roman"/>
                <w:i/>
                <w:iCs/>
                <w:sz w:val="20"/>
                <w:szCs w:val="20"/>
              </w:rPr>
            </w:pPr>
            <w:r>
              <w:rPr>
                <w:rFonts w:ascii="Times New Roman" w:hAnsi="Times New Roman" w:cs="Times New Roman"/>
                <w:i/>
                <w:iCs/>
                <w:sz w:val="20"/>
                <w:szCs w:val="20"/>
              </w:rPr>
              <w:t>Practicability Assessment</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5FDDB8BC" w14:textId="30DDD329">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$43.2</w:t>
            </w:r>
          </w:p>
        </w:tc>
        <w:tc>
          <w:tcPr>
            <w:tcW w:w="720" w:type="dxa"/>
            <w:tcBorders>
              <w:top w:val="single" w:sz="6" w:space="0" w:color="000000"/>
              <w:left w:val="single" w:sz="6" w:space="0" w:color="000000"/>
              <w:bottom w:val="single" w:sz="6" w:space="0" w:color="000000"/>
              <w:right w:val="single" w:sz="6" w:space="0" w:color="000000"/>
            </w:tcBorders>
          </w:tcPr>
          <w:p w:rsidR="007B1531" w:rsidP="007B1531" w14:paraId="5804E87A" w14:textId="48FA9FE4">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$43.2</w:t>
            </w:r>
          </w:p>
        </w:tc>
        <w:tc>
          <w:tcPr>
            <w:tcW w:w="719" w:type="dxa"/>
            <w:tcBorders>
              <w:top w:val="single" w:sz="6" w:space="0" w:color="000000"/>
              <w:left w:val="single" w:sz="6" w:space="0" w:color="000000"/>
              <w:bottom w:val="single" w:sz="6" w:space="0" w:color="000000"/>
              <w:right w:val="single" w:sz="6" w:space="0" w:color="000000"/>
            </w:tcBorders>
          </w:tcPr>
          <w:p w:rsidR="007B1531" w:rsidP="007B1531" w14:paraId="4F57648A" w14:textId="51D4B90E">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$43.2</w:t>
            </w:r>
          </w:p>
        </w:tc>
        <w:tc>
          <w:tcPr>
            <w:tcW w:w="763" w:type="dxa"/>
            <w:tcBorders>
              <w:top w:val="single" w:sz="6" w:space="0" w:color="000000"/>
              <w:left w:val="single" w:sz="6" w:space="0" w:color="000000"/>
              <w:bottom w:val="single" w:sz="6" w:space="0" w:color="000000"/>
              <w:right w:val="single" w:sz="6" w:space="0" w:color="000000"/>
            </w:tcBorders>
          </w:tcPr>
          <w:p w:rsidR="007B1531" w:rsidP="007B1531" w14:paraId="66B8E244" w14:textId="68CC3602">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$43.2</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5DCD2644" w14:textId="7D40E874">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$43.2</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2241D732" w14:textId="3E22A26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$8.2</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52E9607F" w14:textId="51BD116C">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$8.2</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5E27BEFA" w14:textId="5D524B6D">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$8.2</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35D66AAB" w14:textId="392483B8">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$8.2</w:t>
            </w:r>
          </w:p>
        </w:tc>
        <w:tc>
          <w:tcPr>
            <w:tcW w:w="919" w:type="dxa"/>
            <w:tcBorders>
              <w:top w:val="single" w:sz="6" w:space="0" w:color="000000"/>
              <w:left w:val="single" w:sz="6" w:space="0" w:color="000000"/>
              <w:bottom w:val="single" w:sz="6" w:space="0" w:color="000000"/>
              <w:right w:val="single" w:sz="6" w:space="0" w:color="000000"/>
            </w:tcBorders>
          </w:tcPr>
          <w:p w:rsidR="007B1531" w:rsidRPr="00281014" w:rsidP="007B1531" w14:paraId="7DC6E088" w14:textId="48DDEBA1">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$8.2</w:t>
            </w:r>
          </w:p>
        </w:tc>
      </w:tr>
      <w:tr w14:paraId="3CF526EE" w14:textId="77777777" w:rsidTr="005D4EF4">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83454F" w:rsidP="007B1531" w14:paraId="20F39B0B" w14:textId="79A6570B">
            <w:pPr>
              <w:spacing w:after="0" w:line="240" w:lineRule="auto"/>
              <w:ind w:left="112"/>
              <w:jc w:val="right"/>
              <w:rPr>
                <w:rFonts w:ascii="Times New Roman" w:hAnsi="Times New Roman" w:cs="Times New Roman"/>
                <w:i/>
                <w:sz w:val="20"/>
                <w:szCs w:val="20"/>
              </w:rPr>
            </w:pPr>
            <w:r w:rsidRPr="0083454F">
              <w:rPr>
                <w:rFonts w:ascii="Times New Roman" w:hAnsi="Times New Roman" w:cs="Times New Roman"/>
                <w:i/>
                <w:iCs/>
                <w:sz w:val="20"/>
                <w:szCs w:val="20"/>
              </w:rPr>
              <w:t>Implementation</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3C8FAD31" w14:textId="5530E6AC">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$145.0</w:t>
            </w:r>
          </w:p>
        </w:tc>
        <w:tc>
          <w:tcPr>
            <w:tcW w:w="720" w:type="dxa"/>
            <w:tcBorders>
              <w:top w:val="single" w:sz="6" w:space="0" w:color="000000"/>
              <w:left w:val="single" w:sz="6" w:space="0" w:color="000000"/>
              <w:bottom w:val="single" w:sz="6" w:space="0" w:color="000000"/>
              <w:right w:val="single" w:sz="6" w:space="0" w:color="000000"/>
            </w:tcBorders>
          </w:tcPr>
          <w:p w:rsidR="007B1531" w:rsidP="007B1531" w14:paraId="6EF4137B" w14:textId="4CB7A4F1">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$150.5</w:t>
            </w:r>
          </w:p>
        </w:tc>
        <w:tc>
          <w:tcPr>
            <w:tcW w:w="719" w:type="dxa"/>
            <w:tcBorders>
              <w:top w:val="single" w:sz="6" w:space="0" w:color="000000"/>
              <w:left w:val="single" w:sz="6" w:space="0" w:color="000000"/>
              <w:bottom w:val="single" w:sz="6" w:space="0" w:color="000000"/>
              <w:right w:val="single" w:sz="6" w:space="0" w:color="000000"/>
            </w:tcBorders>
          </w:tcPr>
          <w:p w:rsidR="007B1531" w:rsidP="007B1531" w14:paraId="249C37FE" w14:textId="6E93B8D3">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$156.1</w:t>
            </w:r>
          </w:p>
        </w:tc>
        <w:tc>
          <w:tcPr>
            <w:tcW w:w="763" w:type="dxa"/>
            <w:tcBorders>
              <w:top w:val="single" w:sz="6" w:space="0" w:color="000000"/>
              <w:left w:val="single" w:sz="6" w:space="0" w:color="000000"/>
              <w:bottom w:val="single" w:sz="6" w:space="0" w:color="000000"/>
              <w:right w:val="single" w:sz="6" w:space="0" w:color="000000"/>
            </w:tcBorders>
          </w:tcPr>
          <w:p w:rsidR="007B1531" w:rsidP="007B1531" w14:paraId="181CCABE" w14:textId="3E3DF443">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$161.7</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239A88BB" w14:textId="7D1C9FE0">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$167.3</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7A7C4020" w14:textId="6158B021">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$172.8</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0BB515CC" w14:textId="51C6F29A">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$178.4</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3D11E47D" w14:textId="737746D5">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$184.0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72775DC8" w14:textId="130FC478">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$189.6</w:t>
            </w:r>
          </w:p>
        </w:tc>
        <w:tc>
          <w:tcPr>
            <w:tcW w:w="919" w:type="dxa"/>
            <w:tcBorders>
              <w:top w:val="single" w:sz="6" w:space="0" w:color="000000"/>
              <w:left w:val="single" w:sz="6" w:space="0" w:color="000000"/>
              <w:bottom w:val="single" w:sz="6" w:space="0" w:color="000000"/>
              <w:right w:val="single" w:sz="6" w:space="0" w:color="000000"/>
            </w:tcBorders>
          </w:tcPr>
          <w:p w:rsidR="007B1531" w:rsidRPr="00281014" w:rsidP="007B1531" w14:paraId="6855C1B5" w14:textId="594FA634">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$195.1</w:t>
            </w:r>
          </w:p>
        </w:tc>
      </w:tr>
      <w:tr w14:paraId="09767F48" w14:textId="77777777" w:rsidTr="005D4EF4">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281014" w:rsidP="007B1531" w14:paraId="23E33AB3" w14:textId="49C719B7">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Root Cause Analysis</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5F4FAE61" w14:textId="07672DA0">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$0.8</w:t>
            </w:r>
          </w:p>
        </w:tc>
        <w:tc>
          <w:tcPr>
            <w:tcW w:w="720" w:type="dxa"/>
            <w:tcBorders>
              <w:top w:val="single" w:sz="6" w:space="0" w:color="000000"/>
              <w:left w:val="single" w:sz="6" w:space="0" w:color="000000"/>
              <w:bottom w:val="single" w:sz="6" w:space="0" w:color="000000"/>
              <w:right w:val="single" w:sz="6" w:space="0" w:color="000000"/>
            </w:tcBorders>
          </w:tcPr>
          <w:p w:rsidR="007B1531" w:rsidP="007B1531" w14:paraId="0EE1B8C6" w14:textId="7893D149">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$0.8</w:t>
            </w:r>
          </w:p>
        </w:tc>
        <w:tc>
          <w:tcPr>
            <w:tcW w:w="719" w:type="dxa"/>
            <w:tcBorders>
              <w:top w:val="single" w:sz="6" w:space="0" w:color="000000"/>
              <w:left w:val="single" w:sz="6" w:space="0" w:color="000000"/>
              <w:bottom w:val="single" w:sz="6" w:space="0" w:color="000000"/>
              <w:right w:val="single" w:sz="6" w:space="0" w:color="000000"/>
            </w:tcBorders>
          </w:tcPr>
          <w:p w:rsidR="007B1531" w:rsidP="007B1531" w14:paraId="047A4F3D" w14:textId="3D275055">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$0.8</w:t>
            </w:r>
          </w:p>
        </w:tc>
        <w:tc>
          <w:tcPr>
            <w:tcW w:w="763" w:type="dxa"/>
            <w:tcBorders>
              <w:top w:val="single" w:sz="6" w:space="0" w:color="000000"/>
              <w:left w:val="single" w:sz="6" w:space="0" w:color="000000"/>
              <w:bottom w:val="single" w:sz="6" w:space="0" w:color="000000"/>
              <w:right w:val="single" w:sz="6" w:space="0" w:color="000000"/>
            </w:tcBorders>
          </w:tcPr>
          <w:p w:rsidR="007B1531" w:rsidP="007B1531" w14:paraId="633E7953" w14:textId="7A9447C7">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$0.8</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6EC15EC2" w14:textId="051B3E07">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$0.8</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0B5D311D" w14:textId="5ACA1E95">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r w:rsidRPr="00081C95">
              <w:rPr>
                <w:rFonts w:ascii="Times New Roman" w:hAnsi="Times New Roman" w:cs="Times New Roman"/>
                <w:sz w:val="20"/>
                <w:szCs w:val="20"/>
              </w:rPr>
              <w:t>8</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1131EA19" w14:textId="13DABE96">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$0.8</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42EE7C47" w14:textId="056A9141">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r w:rsidRPr="00081C95">
              <w:rPr>
                <w:rFonts w:ascii="Times New Roman" w:hAnsi="Times New Roman" w:cs="Times New Roman"/>
                <w:sz w:val="20"/>
                <w:szCs w:val="20"/>
              </w:rPr>
              <w:t>8</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5222764D" w14:textId="63D2E8BB">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r w:rsidRPr="00081C95">
              <w:rPr>
                <w:rFonts w:ascii="Times New Roman" w:hAnsi="Times New Roman" w:cs="Times New Roman"/>
                <w:sz w:val="20"/>
                <w:szCs w:val="20"/>
              </w:rPr>
              <w:t>8</w:t>
            </w:r>
          </w:p>
        </w:tc>
        <w:tc>
          <w:tcPr>
            <w:tcW w:w="919" w:type="dxa"/>
            <w:tcBorders>
              <w:top w:val="single" w:sz="6" w:space="0" w:color="000000"/>
              <w:left w:val="single" w:sz="6" w:space="0" w:color="000000"/>
              <w:bottom w:val="single" w:sz="6" w:space="0" w:color="000000"/>
              <w:right w:val="single" w:sz="6" w:space="0" w:color="000000"/>
            </w:tcBorders>
          </w:tcPr>
          <w:p w:rsidR="007B1531" w:rsidRPr="00281014" w:rsidP="007B1531" w14:paraId="0F213EE5" w14:textId="3D3EEC14">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r w:rsidRPr="00081C95">
              <w:rPr>
                <w:rFonts w:ascii="Times New Roman" w:hAnsi="Times New Roman" w:cs="Times New Roman"/>
                <w:sz w:val="20"/>
                <w:szCs w:val="20"/>
              </w:rPr>
              <w:t>8</w:t>
            </w:r>
          </w:p>
        </w:tc>
      </w:tr>
      <w:tr w14:paraId="6C81054C" w14:textId="77777777" w:rsidTr="005D4EF4">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281014" w:rsidP="007B1531" w14:paraId="21FDA774" w14:textId="6708515C">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Third-party Audits</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1B0DCCC2" w14:textId="64277F86">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720" w:type="dxa"/>
            <w:tcBorders>
              <w:top w:val="single" w:sz="6" w:space="0" w:color="000000"/>
              <w:left w:val="single" w:sz="6" w:space="0" w:color="000000"/>
              <w:bottom w:val="single" w:sz="6" w:space="0" w:color="000000"/>
              <w:right w:val="single" w:sz="6" w:space="0" w:color="000000"/>
            </w:tcBorders>
          </w:tcPr>
          <w:p w:rsidR="007B1531" w:rsidP="007B1531" w14:paraId="7B74EA1E" w14:textId="6664AAA9">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719" w:type="dxa"/>
            <w:tcBorders>
              <w:top w:val="single" w:sz="6" w:space="0" w:color="000000"/>
              <w:left w:val="single" w:sz="6" w:space="0" w:color="000000"/>
              <w:bottom w:val="single" w:sz="6" w:space="0" w:color="000000"/>
              <w:right w:val="single" w:sz="6" w:space="0" w:color="000000"/>
            </w:tcBorders>
          </w:tcPr>
          <w:p w:rsidR="007B1531" w:rsidP="007B1531" w14:paraId="4F467137" w14:textId="2F7E1ED9">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763" w:type="dxa"/>
            <w:tcBorders>
              <w:top w:val="single" w:sz="6" w:space="0" w:color="000000"/>
              <w:left w:val="single" w:sz="6" w:space="0" w:color="000000"/>
              <w:bottom w:val="single" w:sz="6" w:space="0" w:color="000000"/>
              <w:right w:val="single" w:sz="6" w:space="0" w:color="000000"/>
            </w:tcBorders>
          </w:tcPr>
          <w:p w:rsidR="007B1531" w:rsidP="007B1531" w14:paraId="5C722F9C" w14:textId="7EA48D72">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$7.5</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23994B57" w14:textId="0AD7D103">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$7.5</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4AEC1003" w14:textId="28C3A511">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5D2F20E6" w14:textId="4484F9A7">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$7.5</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740E0147" w14:textId="57959FEE">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5853E5F2" w14:textId="0D664D0B">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919" w:type="dxa"/>
            <w:tcBorders>
              <w:top w:val="single" w:sz="6" w:space="0" w:color="000000"/>
              <w:left w:val="single" w:sz="6" w:space="0" w:color="000000"/>
              <w:bottom w:val="single" w:sz="6" w:space="0" w:color="000000"/>
              <w:right w:val="single" w:sz="6" w:space="0" w:color="000000"/>
            </w:tcBorders>
          </w:tcPr>
          <w:p w:rsidR="007B1531" w:rsidRPr="00281014" w:rsidP="007B1531" w14:paraId="25A95726" w14:textId="0E18D041">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r>
      <w:tr w14:paraId="22790459" w14:textId="77777777" w:rsidTr="005D4EF4">
        <w:tblPrEx>
          <w:tblW w:w="9916" w:type="dxa"/>
          <w:tblInd w:w="-8" w:type="dxa"/>
          <w:tblLayout w:type="fixed"/>
          <w:tblCellMar>
            <w:left w:w="0" w:type="dxa"/>
            <w:right w:w="0" w:type="dxa"/>
          </w:tblCellMar>
          <w:tblLook w:val="01E0"/>
        </w:tblPrEx>
        <w:trPr>
          <w:trHeight w:val="307"/>
        </w:trPr>
        <w:tc>
          <w:tcPr>
            <w:tcW w:w="1826" w:type="dxa"/>
            <w:tcBorders>
              <w:top w:val="single" w:sz="6" w:space="0" w:color="000000"/>
              <w:left w:val="single" w:sz="6" w:space="0" w:color="000000"/>
              <w:right w:val="single" w:sz="6" w:space="0" w:color="000000"/>
            </w:tcBorders>
            <w:vAlign w:val="center"/>
          </w:tcPr>
          <w:p w:rsidR="007B1531" w:rsidRPr="00281014" w:rsidP="007B1531" w14:paraId="2CB5332A" w14:textId="5CA942C3">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Employee Participation Plan</w:t>
            </w:r>
          </w:p>
        </w:tc>
        <w:tc>
          <w:tcPr>
            <w:tcW w:w="774" w:type="dxa"/>
            <w:tcBorders>
              <w:top w:val="single" w:sz="6" w:space="0" w:color="000000"/>
              <w:left w:val="single" w:sz="6" w:space="0" w:color="000000"/>
              <w:right w:val="single" w:sz="6" w:space="0" w:color="000000"/>
            </w:tcBorders>
          </w:tcPr>
          <w:p w:rsidR="007B1531" w:rsidRPr="00281014" w:rsidP="007B1531" w14:paraId="3E78A428" w14:textId="319F887F">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720" w:type="dxa"/>
            <w:tcBorders>
              <w:top w:val="single" w:sz="6" w:space="0" w:color="000000"/>
              <w:left w:val="single" w:sz="6" w:space="0" w:color="000000"/>
              <w:right w:val="single" w:sz="6" w:space="0" w:color="000000"/>
            </w:tcBorders>
          </w:tcPr>
          <w:p w:rsidR="007B1531" w:rsidP="007B1531" w14:paraId="353E5A77" w14:textId="67B7036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719" w:type="dxa"/>
            <w:tcBorders>
              <w:top w:val="single" w:sz="6" w:space="0" w:color="000000"/>
              <w:left w:val="single" w:sz="6" w:space="0" w:color="000000"/>
              <w:right w:val="single" w:sz="6" w:space="0" w:color="000000"/>
            </w:tcBorders>
          </w:tcPr>
          <w:p w:rsidR="007B1531" w:rsidP="007B1531" w14:paraId="34214918" w14:textId="739C6D4C">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763" w:type="dxa"/>
            <w:tcBorders>
              <w:top w:val="single" w:sz="6" w:space="0" w:color="000000"/>
              <w:left w:val="single" w:sz="6" w:space="0" w:color="000000"/>
              <w:right w:val="single" w:sz="6" w:space="0" w:color="000000"/>
            </w:tcBorders>
          </w:tcPr>
          <w:p w:rsidR="007B1531" w:rsidP="007B1531" w14:paraId="7BFDEA98" w14:textId="24022BF8">
            <w:pPr>
              <w:spacing w:after="0" w:line="240" w:lineRule="auto"/>
              <w:ind w:left="75" w:right="59"/>
              <w:jc w:val="center"/>
              <w:rPr>
                <w:rFonts w:ascii="Times New Roman" w:hAnsi="Times New Roman" w:cs="Times New Roman"/>
                <w:sz w:val="20"/>
                <w:szCs w:val="20"/>
              </w:rPr>
            </w:pPr>
            <w:r w:rsidRPr="00170096">
              <w:rPr>
                <w:rFonts w:ascii="Times New Roman" w:hAnsi="Times New Roman" w:cs="Times New Roman"/>
                <w:sz w:val="20"/>
                <w:szCs w:val="20"/>
              </w:rPr>
              <w:t>$11.5</w:t>
            </w:r>
          </w:p>
        </w:tc>
        <w:tc>
          <w:tcPr>
            <w:tcW w:w="839" w:type="dxa"/>
            <w:tcBorders>
              <w:top w:val="single" w:sz="6" w:space="0" w:color="000000"/>
              <w:left w:val="single" w:sz="6" w:space="0" w:color="000000"/>
              <w:right w:val="single" w:sz="6" w:space="0" w:color="000000"/>
            </w:tcBorders>
          </w:tcPr>
          <w:p w:rsidR="007B1531" w:rsidP="007B1531" w14:paraId="571DB0FE" w14:textId="5D041F36">
            <w:pPr>
              <w:spacing w:after="0" w:line="240" w:lineRule="auto"/>
              <w:ind w:left="75" w:right="59"/>
              <w:jc w:val="center"/>
              <w:rPr>
                <w:rFonts w:ascii="Times New Roman" w:hAnsi="Times New Roman" w:cs="Times New Roman"/>
                <w:sz w:val="20"/>
                <w:szCs w:val="20"/>
              </w:rPr>
            </w:pPr>
            <w:r w:rsidRPr="00170096">
              <w:rPr>
                <w:rFonts w:ascii="Times New Roman" w:hAnsi="Times New Roman" w:cs="Times New Roman"/>
                <w:sz w:val="20"/>
                <w:szCs w:val="20"/>
              </w:rPr>
              <w:t>$11.5</w:t>
            </w:r>
          </w:p>
        </w:tc>
        <w:tc>
          <w:tcPr>
            <w:tcW w:w="839" w:type="dxa"/>
            <w:tcBorders>
              <w:top w:val="single" w:sz="6" w:space="0" w:color="000000"/>
              <w:left w:val="single" w:sz="6" w:space="0" w:color="000000"/>
              <w:right w:val="single" w:sz="6" w:space="0" w:color="000000"/>
            </w:tcBorders>
          </w:tcPr>
          <w:p w:rsidR="007B1531" w:rsidP="007B1531" w14:paraId="291BF025" w14:textId="4306A503">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839" w:type="dxa"/>
            <w:tcBorders>
              <w:top w:val="single" w:sz="6" w:space="0" w:color="000000"/>
              <w:left w:val="single" w:sz="6" w:space="0" w:color="000000"/>
              <w:right w:val="single" w:sz="6" w:space="0" w:color="000000"/>
            </w:tcBorders>
          </w:tcPr>
          <w:p w:rsidR="007B1531" w:rsidP="007B1531" w14:paraId="2FD87630" w14:textId="0D32E6AC">
            <w:pPr>
              <w:spacing w:after="0" w:line="240" w:lineRule="auto"/>
              <w:ind w:left="75" w:right="59"/>
              <w:jc w:val="center"/>
              <w:rPr>
                <w:rFonts w:ascii="Times New Roman" w:hAnsi="Times New Roman" w:cs="Times New Roman"/>
                <w:sz w:val="20"/>
                <w:szCs w:val="20"/>
              </w:rPr>
            </w:pPr>
            <w:r w:rsidRPr="00170096">
              <w:rPr>
                <w:rFonts w:ascii="Times New Roman" w:hAnsi="Times New Roman" w:cs="Times New Roman"/>
                <w:sz w:val="20"/>
                <w:szCs w:val="20"/>
              </w:rPr>
              <w:t>$11.5</w:t>
            </w:r>
          </w:p>
        </w:tc>
        <w:tc>
          <w:tcPr>
            <w:tcW w:w="839" w:type="dxa"/>
            <w:tcBorders>
              <w:top w:val="single" w:sz="6" w:space="0" w:color="000000"/>
              <w:left w:val="single" w:sz="6" w:space="0" w:color="000000"/>
              <w:right w:val="single" w:sz="6" w:space="0" w:color="000000"/>
            </w:tcBorders>
          </w:tcPr>
          <w:p w:rsidR="007B1531" w:rsidP="007B1531" w14:paraId="1E3AD280" w14:textId="38733F36">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839" w:type="dxa"/>
            <w:tcBorders>
              <w:top w:val="single" w:sz="6" w:space="0" w:color="000000"/>
              <w:left w:val="single" w:sz="6" w:space="0" w:color="000000"/>
              <w:right w:val="single" w:sz="6" w:space="0" w:color="000000"/>
            </w:tcBorders>
          </w:tcPr>
          <w:p w:rsidR="007B1531" w:rsidP="007B1531" w14:paraId="51AA41C7" w14:textId="7828CB08">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919" w:type="dxa"/>
            <w:tcBorders>
              <w:top w:val="single" w:sz="6" w:space="0" w:color="000000"/>
              <w:left w:val="single" w:sz="6" w:space="0" w:color="000000"/>
              <w:right w:val="single" w:sz="6" w:space="0" w:color="000000"/>
            </w:tcBorders>
          </w:tcPr>
          <w:p w:rsidR="007B1531" w:rsidRPr="00281014" w:rsidP="007B1531" w14:paraId="0BAA61DD" w14:textId="763627F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r>
      <w:tr w14:paraId="771D1AD5" w14:textId="77777777" w:rsidTr="005D4EF4">
        <w:tblPrEx>
          <w:tblW w:w="9916" w:type="dxa"/>
          <w:tblInd w:w="-8" w:type="dxa"/>
          <w:tblLayout w:type="fixed"/>
          <w:tblCellMar>
            <w:left w:w="0" w:type="dxa"/>
            <w:right w:w="0" w:type="dxa"/>
          </w:tblCellMar>
          <w:tblLook w:val="01E0"/>
        </w:tblPrEx>
        <w:trPr>
          <w:trHeight w:val="602"/>
        </w:trPr>
        <w:tc>
          <w:tcPr>
            <w:tcW w:w="1826" w:type="dxa"/>
            <w:tcBorders>
              <w:left w:val="single" w:sz="6" w:space="0" w:color="000000"/>
              <w:bottom w:val="single" w:sz="6" w:space="0" w:color="000000"/>
              <w:right w:val="single" w:sz="6" w:space="0" w:color="000000"/>
            </w:tcBorders>
            <w:vAlign w:val="center"/>
          </w:tcPr>
          <w:p w:rsidR="007B1531" w:rsidRPr="00281014" w:rsidP="007B1531" w14:paraId="17A8927E" w14:textId="4E6DA95D">
            <w:pPr>
              <w:spacing w:after="0" w:line="240" w:lineRule="auto"/>
              <w:ind w:left="112" w:right="85"/>
              <w:rPr>
                <w:rFonts w:ascii="Times New Roman" w:hAnsi="Times New Roman" w:cs="Times New Roman"/>
                <w:sz w:val="20"/>
                <w:szCs w:val="20"/>
              </w:rPr>
            </w:pPr>
            <w:r w:rsidRPr="00281014">
              <w:rPr>
                <w:rFonts w:ascii="Times New Roman" w:hAnsi="Times New Roman" w:cs="Times New Roman"/>
                <w:sz w:val="20"/>
                <w:szCs w:val="20"/>
              </w:rPr>
              <w:t>Backup Power for Perimeter Monitors</w:t>
            </w:r>
          </w:p>
        </w:tc>
        <w:tc>
          <w:tcPr>
            <w:tcW w:w="774" w:type="dxa"/>
            <w:tcBorders>
              <w:left w:val="single" w:sz="6" w:space="0" w:color="000000"/>
              <w:bottom w:val="single" w:sz="6" w:space="0" w:color="000000"/>
              <w:right w:val="single" w:sz="6" w:space="0" w:color="000000"/>
            </w:tcBorders>
          </w:tcPr>
          <w:p w:rsidR="007B1531" w:rsidRPr="00281014" w:rsidP="007B1531" w14:paraId="39089C2E" w14:textId="10FE85FF">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$0.3</w:t>
            </w:r>
          </w:p>
        </w:tc>
        <w:tc>
          <w:tcPr>
            <w:tcW w:w="720" w:type="dxa"/>
            <w:tcBorders>
              <w:left w:val="single" w:sz="6" w:space="0" w:color="000000"/>
              <w:bottom w:val="single" w:sz="6" w:space="0" w:color="000000"/>
              <w:right w:val="single" w:sz="6" w:space="0" w:color="000000"/>
            </w:tcBorders>
          </w:tcPr>
          <w:p w:rsidR="007B1531" w:rsidP="007B1531" w14:paraId="1A5C513A" w14:textId="05B58053">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$0.3</w:t>
            </w:r>
          </w:p>
        </w:tc>
        <w:tc>
          <w:tcPr>
            <w:tcW w:w="719" w:type="dxa"/>
            <w:tcBorders>
              <w:left w:val="single" w:sz="6" w:space="0" w:color="000000"/>
              <w:bottom w:val="single" w:sz="6" w:space="0" w:color="000000"/>
              <w:right w:val="single" w:sz="6" w:space="0" w:color="000000"/>
            </w:tcBorders>
          </w:tcPr>
          <w:p w:rsidR="007B1531" w:rsidP="007B1531" w14:paraId="62A4E09B" w14:textId="28E1D004">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$0.3</w:t>
            </w:r>
          </w:p>
        </w:tc>
        <w:tc>
          <w:tcPr>
            <w:tcW w:w="763" w:type="dxa"/>
            <w:tcBorders>
              <w:left w:val="single" w:sz="6" w:space="0" w:color="000000"/>
              <w:bottom w:val="single" w:sz="6" w:space="0" w:color="000000"/>
              <w:right w:val="single" w:sz="6" w:space="0" w:color="000000"/>
            </w:tcBorders>
          </w:tcPr>
          <w:p w:rsidR="007B1531" w:rsidP="007B1531" w14:paraId="6A497F89" w14:textId="6C149AFF">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$0.3</w:t>
            </w:r>
          </w:p>
        </w:tc>
        <w:tc>
          <w:tcPr>
            <w:tcW w:w="839" w:type="dxa"/>
            <w:tcBorders>
              <w:left w:val="single" w:sz="6" w:space="0" w:color="000000"/>
              <w:bottom w:val="single" w:sz="6" w:space="0" w:color="000000"/>
              <w:right w:val="single" w:sz="6" w:space="0" w:color="000000"/>
            </w:tcBorders>
          </w:tcPr>
          <w:p w:rsidR="007B1531" w:rsidP="007B1531" w14:paraId="20AE93D2" w14:textId="0BCAB2F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$0.4</w:t>
            </w:r>
          </w:p>
        </w:tc>
        <w:tc>
          <w:tcPr>
            <w:tcW w:w="839" w:type="dxa"/>
            <w:tcBorders>
              <w:left w:val="single" w:sz="6" w:space="0" w:color="000000"/>
              <w:bottom w:val="single" w:sz="6" w:space="0" w:color="000000"/>
              <w:right w:val="single" w:sz="6" w:space="0" w:color="000000"/>
            </w:tcBorders>
          </w:tcPr>
          <w:p w:rsidR="007B1531" w:rsidP="007B1531" w14:paraId="6469AC17" w14:textId="10FB15A8">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$0.4</w:t>
            </w:r>
          </w:p>
        </w:tc>
        <w:tc>
          <w:tcPr>
            <w:tcW w:w="839" w:type="dxa"/>
            <w:tcBorders>
              <w:left w:val="single" w:sz="6" w:space="0" w:color="000000"/>
              <w:bottom w:val="single" w:sz="6" w:space="0" w:color="000000"/>
              <w:right w:val="single" w:sz="6" w:space="0" w:color="000000"/>
            </w:tcBorders>
          </w:tcPr>
          <w:p w:rsidR="007B1531" w:rsidP="007B1531" w14:paraId="44FBCF2A" w14:textId="7600A74F">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$0.4</w:t>
            </w:r>
          </w:p>
        </w:tc>
        <w:tc>
          <w:tcPr>
            <w:tcW w:w="839" w:type="dxa"/>
            <w:tcBorders>
              <w:left w:val="single" w:sz="6" w:space="0" w:color="000000"/>
              <w:bottom w:val="single" w:sz="6" w:space="0" w:color="000000"/>
              <w:right w:val="single" w:sz="6" w:space="0" w:color="000000"/>
            </w:tcBorders>
          </w:tcPr>
          <w:p w:rsidR="007B1531" w:rsidP="007B1531" w14:paraId="0B474BD0" w14:textId="5CDB9745">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$0.4</w:t>
            </w:r>
          </w:p>
        </w:tc>
        <w:tc>
          <w:tcPr>
            <w:tcW w:w="839" w:type="dxa"/>
            <w:tcBorders>
              <w:left w:val="single" w:sz="6" w:space="0" w:color="000000"/>
              <w:bottom w:val="single" w:sz="6" w:space="0" w:color="000000"/>
              <w:right w:val="single" w:sz="6" w:space="0" w:color="000000"/>
            </w:tcBorders>
          </w:tcPr>
          <w:p w:rsidR="007B1531" w:rsidP="007B1531" w14:paraId="49341DF7" w14:textId="1380F661">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$0.4</w:t>
            </w:r>
          </w:p>
        </w:tc>
        <w:tc>
          <w:tcPr>
            <w:tcW w:w="919" w:type="dxa"/>
            <w:tcBorders>
              <w:left w:val="single" w:sz="6" w:space="0" w:color="000000"/>
              <w:bottom w:val="single" w:sz="6" w:space="0" w:color="000000"/>
              <w:right w:val="single" w:sz="6" w:space="0" w:color="000000"/>
            </w:tcBorders>
          </w:tcPr>
          <w:p w:rsidR="007B1531" w:rsidRPr="00281014" w:rsidP="007B1531" w14:paraId="6F6E576E" w14:textId="0FD124C6">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$0.4</w:t>
            </w:r>
          </w:p>
        </w:tc>
      </w:tr>
      <w:tr w14:paraId="0B960392" w14:textId="77777777" w:rsidTr="005D4EF4">
        <w:tblPrEx>
          <w:tblW w:w="9916" w:type="dxa"/>
          <w:tblInd w:w="-8" w:type="dxa"/>
          <w:tblLayout w:type="fixed"/>
          <w:tblCellMar>
            <w:left w:w="0" w:type="dxa"/>
            <w:right w:w="0" w:type="dxa"/>
          </w:tblCellMar>
          <w:tblLook w:val="01E0"/>
        </w:tblPrEx>
        <w:trPr>
          <w:trHeight w:val="310"/>
        </w:trPr>
        <w:tc>
          <w:tcPr>
            <w:tcW w:w="9916" w:type="dxa"/>
            <w:gridSpan w:val="11"/>
            <w:tcBorders>
              <w:top w:val="single" w:sz="6" w:space="0" w:color="000000"/>
              <w:left w:val="single" w:sz="6" w:space="0" w:color="000000"/>
              <w:bottom w:val="single" w:sz="6" w:space="0" w:color="000000"/>
              <w:right w:val="single" w:sz="6" w:space="0" w:color="000000"/>
            </w:tcBorders>
            <w:vAlign w:val="center"/>
          </w:tcPr>
          <w:p w:rsidR="007B1531" w:rsidRPr="009251F5" w:rsidP="007B1531" w14:paraId="329B5198" w14:textId="7577CB04">
            <w:pPr>
              <w:spacing w:after="0" w:line="240" w:lineRule="auto"/>
              <w:ind w:left="75" w:right="59"/>
              <w:rPr>
                <w:rFonts w:ascii="Times New Roman" w:hAnsi="Times New Roman" w:cs="Times New Roman"/>
                <w:b/>
                <w:sz w:val="20"/>
                <w:szCs w:val="20"/>
              </w:rPr>
            </w:pPr>
            <w:r w:rsidRPr="009251F5">
              <w:rPr>
                <w:rFonts w:ascii="Times New Roman" w:hAnsi="Times New Roman" w:cs="Times New Roman"/>
                <w:b/>
                <w:sz w:val="20"/>
                <w:szCs w:val="20"/>
              </w:rPr>
              <w:t>Justifications</w:t>
            </w:r>
            <w:r>
              <w:rPr>
                <w:rFonts w:ascii="Times New Roman" w:hAnsi="Times New Roman" w:cs="Times New Roman"/>
                <w:b/>
                <w:sz w:val="20"/>
                <w:szCs w:val="20"/>
              </w:rPr>
              <w:t>**</w:t>
            </w:r>
          </w:p>
        </w:tc>
      </w:tr>
      <w:tr w14:paraId="05CC5AB2" w14:textId="77777777" w:rsidTr="005D4EF4">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8F0E95" w:rsidP="007B1531" w14:paraId="1513B93B" w14:textId="122A9444">
            <w:pPr>
              <w:spacing w:after="0" w:line="240" w:lineRule="auto"/>
              <w:ind w:left="112"/>
              <w:jc w:val="right"/>
              <w:rPr>
                <w:rFonts w:ascii="Times New Roman" w:hAnsi="Times New Roman" w:cs="Times New Roman"/>
                <w:i/>
                <w:sz w:val="20"/>
                <w:szCs w:val="20"/>
              </w:rPr>
            </w:pPr>
            <w:r w:rsidRPr="008F0E95">
              <w:rPr>
                <w:rFonts w:ascii="Times New Roman" w:hAnsi="Times New Roman" w:cs="Times New Roman"/>
                <w:i/>
                <w:sz w:val="20"/>
                <w:szCs w:val="20"/>
              </w:rPr>
              <w:t>No Backup Power</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30B5C0F6" w14:textId="7ABD328A">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20" w:type="dxa"/>
            <w:tcBorders>
              <w:top w:val="single" w:sz="6" w:space="0" w:color="000000"/>
              <w:left w:val="single" w:sz="6" w:space="0" w:color="000000"/>
              <w:bottom w:val="single" w:sz="6" w:space="0" w:color="000000"/>
              <w:right w:val="single" w:sz="6" w:space="0" w:color="000000"/>
            </w:tcBorders>
          </w:tcPr>
          <w:p w:rsidR="007B1531" w:rsidP="007B1531" w14:paraId="47B85D81" w14:textId="4E2AA93C">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19" w:type="dxa"/>
            <w:tcBorders>
              <w:top w:val="single" w:sz="6" w:space="0" w:color="000000"/>
              <w:left w:val="single" w:sz="6" w:space="0" w:color="000000"/>
              <w:bottom w:val="single" w:sz="6" w:space="0" w:color="000000"/>
              <w:right w:val="single" w:sz="6" w:space="0" w:color="000000"/>
            </w:tcBorders>
          </w:tcPr>
          <w:p w:rsidR="007B1531" w:rsidP="007B1531" w14:paraId="06E80A4A" w14:textId="283608E0">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63" w:type="dxa"/>
            <w:tcBorders>
              <w:top w:val="single" w:sz="6" w:space="0" w:color="000000"/>
              <w:left w:val="single" w:sz="6" w:space="0" w:color="000000"/>
              <w:bottom w:val="single" w:sz="6" w:space="0" w:color="000000"/>
              <w:right w:val="single" w:sz="6" w:space="0" w:color="000000"/>
            </w:tcBorders>
          </w:tcPr>
          <w:p w:rsidR="007B1531" w:rsidP="007B1531" w14:paraId="0EDF65FE" w14:textId="4BA4281C">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2B588217" w14:textId="6843884C">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7D836466" w14:textId="424FFA6D">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34AF982A" w14:textId="69183081">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4F6D4784" w14:textId="6CBE09B0">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2E5D7F00" w14:textId="34B3D0D3">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919" w:type="dxa"/>
            <w:tcBorders>
              <w:top w:val="single" w:sz="6" w:space="0" w:color="000000"/>
              <w:left w:val="single" w:sz="6" w:space="0" w:color="000000"/>
              <w:bottom w:val="single" w:sz="6" w:space="0" w:color="000000"/>
              <w:right w:val="single" w:sz="6" w:space="0" w:color="000000"/>
            </w:tcBorders>
          </w:tcPr>
          <w:p w:rsidR="007B1531" w:rsidRPr="00281014" w:rsidP="007B1531" w14:paraId="53DDF9FE" w14:textId="6479CB18">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r>
      <w:tr w14:paraId="7D480536" w14:textId="77777777" w:rsidTr="005D4EF4">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8F0E95" w:rsidP="007B1531" w14:paraId="0BC014D7" w14:textId="2475CD66">
            <w:pPr>
              <w:spacing w:after="0" w:line="240" w:lineRule="auto"/>
              <w:ind w:left="112"/>
              <w:jc w:val="right"/>
              <w:rPr>
                <w:rFonts w:ascii="Times New Roman" w:hAnsi="Times New Roman" w:cs="Times New Roman"/>
                <w:i/>
                <w:sz w:val="20"/>
                <w:szCs w:val="20"/>
              </w:rPr>
            </w:pPr>
            <w:r w:rsidRPr="008F0E95">
              <w:rPr>
                <w:rFonts w:ascii="Times New Roman" w:hAnsi="Times New Roman" w:cs="Times New Roman"/>
                <w:i/>
                <w:sz w:val="20"/>
                <w:szCs w:val="20"/>
              </w:rPr>
              <w:t>Natural Hazards</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62EC3C18" w14:textId="2B2E0A2E">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20" w:type="dxa"/>
            <w:tcBorders>
              <w:top w:val="single" w:sz="6" w:space="0" w:color="000000"/>
              <w:left w:val="single" w:sz="6" w:space="0" w:color="000000"/>
              <w:bottom w:val="single" w:sz="6" w:space="0" w:color="000000"/>
              <w:right w:val="single" w:sz="6" w:space="0" w:color="000000"/>
            </w:tcBorders>
          </w:tcPr>
          <w:p w:rsidR="007B1531" w:rsidP="007B1531" w14:paraId="1BCA4335" w14:textId="355848F4">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19" w:type="dxa"/>
            <w:tcBorders>
              <w:top w:val="single" w:sz="6" w:space="0" w:color="000000"/>
              <w:left w:val="single" w:sz="6" w:space="0" w:color="000000"/>
              <w:bottom w:val="single" w:sz="6" w:space="0" w:color="000000"/>
              <w:right w:val="single" w:sz="6" w:space="0" w:color="000000"/>
            </w:tcBorders>
          </w:tcPr>
          <w:p w:rsidR="007B1531" w:rsidP="007B1531" w14:paraId="3980FD9B" w14:textId="18A6519A">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63" w:type="dxa"/>
            <w:tcBorders>
              <w:top w:val="single" w:sz="6" w:space="0" w:color="000000"/>
              <w:left w:val="single" w:sz="6" w:space="0" w:color="000000"/>
              <w:bottom w:val="single" w:sz="6" w:space="0" w:color="000000"/>
              <w:right w:val="single" w:sz="6" w:space="0" w:color="000000"/>
            </w:tcBorders>
          </w:tcPr>
          <w:p w:rsidR="007B1531" w:rsidP="007B1531" w14:paraId="248DE360" w14:textId="5A0EA4A5">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725898F6" w14:textId="70A8421D">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4BF11352" w14:textId="6B37129E">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7A7F17AA" w14:textId="2959497D">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78BBBDA7" w14:textId="7A9969DD">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5567BB42" w14:textId="2F330566">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919" w:type="dxa"/>
            <w:tcBorders>
              <w:top w:val="single" w:sz="6" w:space="0" w:color="000000"/>
              <w:left w:val="single" w:sz="6" w:space="0" w:color="000000"/>
              <w:bottom w:val="single" w:sz="6" w:space="0" w:color="000000"/>
              <w:right w:val="single" w:sz="6" w:space="0" w:color="000000"/>
            </w:tcBorders>
          </w:tcPr>
          <w:p w:rsidR="007B1531" w:rsidRPr="00281014" w:rsidP="007B1531" w14:paraId="0787BC1B" w14:textId="12483700">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r>
      <w:tr w14:paraId="5EDDDAC3" w14:textId="77777777" w:rsidTr="005D4EF4">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8F0E95" w:rsidP="007B1531" w14:paraId="4EFCEBAB" w14:textId="085C9050">
            <w:pPr>
              <w:spacing w:after="0" w:line="240" w:lineRule="auto"/>
              <w:ind w:left="112"/>
              <w:jc w:val="right"/>
              <w:rPr>
                <w:rFonts w:ascii="Times New Roman" w:hAnsi="Times New Roman" w:cs="Times New Roman"/>
                <w:i/>
                <w:sz w:val="20"/>
                <w:szCs w:val="20"/>
              </w:rPr>
            </w:pPr>
            <w:r w:rsidRPr="008F0E95">
              <w:rPr>
                <w:rFonts w:ascii="Times New Roman" w:hAnsi="Times New Roman" w:cs="Times New Roman"/>
                <w:i/>
                <w:sz w:val="20"/>
                <w:szCs w:val="20"/>
              </w:rPr>
              <w:t>Facility Siting</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57E9CD1F" w14:textId="7253958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20" w:type="dxa"/>
            <w:tcBorders>
              <w:top w:val="single" w:sz="6" w:space="0" w:color="000000"/>
              <w:left w:val="single" w:sz="6" w:space="0" w:color="000000"/>
              <w:bottom w:val="single" w:sz="6" w:space="0" w:color="000000"/>
              <w:right w:val="single" w:sz="6" w:space="0" w:color="000000"/>
            </w:tcBorders>
          </w:tcPr>
          <w:p w:rsidR="007B1531" w:rsidP="007B1531" w14:paraId="3F6EFB79" w14:textId="08BF6C4F">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19" w:type="dxa"/>
            <w:tcBorders>
              <w:top w:val="single" w:sz="6" w:space="0" w:color="000000"/>
              <w:left w:val="single" w:sz="6" w:space="0" w:color="000000"/>
              <w:bottom w:val="single" w:sz="6" w:space="0" w:color="000000"/>
              <w:right w:val="single" w:sz="6" w:space="0" w:color="000000"/>
            </w:tcBorders>
          </w:tcPr>
          <w:p w:rsidR="007B1531" w:rsidP="007B1531" w14:paraId="1FB2294D" w14:textId="5DDD4E5F">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63" w:type="dxa"/>
            <w:tcBorders>
              <w:top w:val="single" w:sz="6" w:space="0" w:color="000000"/>
              <w:left w:val="single" w:sz="6" w:space="0" w:color="000000"/>
              <w:bottom w:val="single" w:sz="6" w:space="0" w:color="000000"/>
              <w:right w:val="single" w:sz="6" w:space="0" w:color="000000"/>
            </w:tcBorders>
          </w:tcPr>
          <w:p w:rsidR="007B1531" w:rsidP="007B1531" w14:paraId="10E7285F" w14:textId="407F2B04">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0F047D3C" w14:textId="06EA1859">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3A452D88" w14:textId="7B030DCA">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0AF07FDE" w14:textId="6EBE762C">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476629BC" w14:textId="707FAE64">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355BF314" w14:textId="048087B5">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919" w:type="dxa"/>
            <w:tcBorders>
              <w:top w:val="single" w:sz="6" w:space="0" w:color="000000"/>
              <w:left w:val="single" w:sz="6" w:space="0" w:color="000000"/>
              <w:bottom w:val="single" w:sz="6" w:space="0" w:color="000000"/>
              <w:right w:val="single" w:sz="6" w:space="0" w:color="000000"/>
            </w:tcBorders>
          </w:tcPr>
          <w:p w:rsidR="007B1531" w:rsidRPr="00281014" w:rsidP="007B1531" w14:paraId="238921AE" w14:textId="07C4CB7D">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r>
      <w:tr w14:paraId="0CF0BA16" w14:textId="77777777" w:rsidTr="005D4EF4">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8F0E95" w:rsidP="007B1531" w14:paraId="001E60C8" w14:textId="7833706D">
            <w:pPr>
              <w:spacing w:after="0" w:line="240" w:lineRule="auto"/>
              <w:ind w:left="112"/>
              <w:jc w:val="right"/>
              <w:rPr>
                <w:rFonts w:ascii="Times New Roman" w:hAnsi="Times New Roman" w:cs="Times New Roman"/>
                <w:i/>
                <w:sz w:val="20"/>
                <w:szCs w:val="20"/>
              </w:rPr>
            </w:pPr>
            <w:r w:rsidRPr="008F0E95">
              <w:rPr>
                <w:rFonts w:ascii="Times New Roman" w:hAnsi="Times New Roman" w:cs="Times New Roman"/>
                <w:i/>
                <w:sz w:val="20"/>
                <w:szCs w:val="20"/>
              </w:rPr>
              <w:t>RAGAGEP</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28738863" w14:textId="39E05715">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20" w:type="dxa"/>
            <w:tcBorders>
              <w:top w:val="single" w:sz="6" w:space="0" w:color="000000"/>
              <w:left w:val="single" w:sz="6" w:space="0" w:color="000000"/>
              <w:bottom w:val="single" w:sz="6" w:space="0" w:color="000000"/>
              <w:right w:val="single" w:sz="6" w:space="0" w:color="000000"/>
            </w:tcBorders>
          </w:tcPr>
          <w:p w:rsidR="007B1531" w:rsidP="007B1531" w14:paraId="73440C7D" w14:textId="489DF0FC">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19" w:type="dxa"/>
            <w:tcBorders>
              <w:top w:val="single" w:sz="6" w:space="0" w:color="000000"/>
              <w:left w:val="single" w:sz="6" w:space="0" w:color="000000"/>
              <w:bottom w:val="single" w:sz="6" w:space="0" w:color="000000"/>
              <w:right w:val="single" w:sz="6" w:space="0" w:color="000000"/>
            </w:tcBorders>
          </w:tcPr>
          <w:p w:rsidR="007B1531" w:rsidP="007B1531" w14:paraId="14A00D6D" w14:textId="2C4EF409">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63" w:type="dxa"/>
            <w:tcBorders>
              <w:top w:val="single" w:sz="6" w:space="0" w:color="000000"/>
              <w:left w:val="single" w:sz="6" w:space="0" w:color="000000"/>
              <w:bottom w:val="single" w:sz="6" w:space="0" w:color="000000"/>
              <w:right w:val="single" w:sz="6" w:space="0" w:color="000000"/>
            </w:tcBorders>
          </w:tcPr>
          <w:p w:rsidR="007B1531" w:rsidP="007B1531" w14:paraId="5B2FC55E" w14:textId="2B82981F">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52B39EE2" w14:textId="019D5970">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4FE327FB" w14:textId="2965E178">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5881A6E4" w14:textId="1F1C58AB">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00EC6973" w14:textId="2C9D871B">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0896147B" w14:textId="7E3F51E1">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919" w:type="dxa"/>
            <w:tcBorders>
              <w:top w:val="single" w:sz="6" w:space="0" w:color="000000"/>
              <w:left w:val="single" w:sz="6" w:space="0" w:color="000000"/>
              <w:bottom w:val="single" w:sz="6" w:space="0" w:color="000000"/>
              <w:right w:val="single" w:sz="6" w:space="0" w:color="000000"/>
            </w:tcBorders>
          </w:tcPr>
          <w:p w:rsidR="007B1531" w:rsidRPr="00281014" w:rsidP="007B1531" w14:paraId="009C72E7" w14:textId="38FF160D">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r>
      <w:tr w14:paraId="7C895283" w14:textId="77777777" w:rsidTr="005D4EF4">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281014" w:rsidP="007B1531" w14:paraId="0A1F95A2" w14:textId="20F754FA">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Community Notification System</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78BC0E96" w14:textId="16E4BE39">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720" w:type="dxa"/>
            <w:tcBorders>
              <w:top w:val="single" w:sz="6" w:space="0" w:color="000000"/>
              <w:left w:val="single" w:sz="6" w:space="0" w:color="000000"/>
              <w:bottom w:val="single" w:sz="6" w:space="0" w:color="000000"/>
              <w:right w:val="single" w:sz="6" w:space="0" w:color="000000"/>
            </w:tcBorders>
          </w:tcPr>
          <w:p w:rsidR="007B1531" w:rsidP="007B1531" w14:paraId="61888D2C" w14:textId="35AAA791">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719" w:type="dxa"/>
            <w:tcBorders>
              <w:top w:val="single" w:sz="6" w:space="0" w:color="000000"/>
              <w:left w:val="single" w:sz="6" w:space="0" w:color="000000"/>
              <w:bottom w:val="single" w:sz="6" w:space="0" w:color="000000"/>
              <w:right w:val="single" w:sz="6" w:space="0" w:color="000000"/>
            </w:tcBorders>
          </w:tcPr>
          <w:p w:rsidR="007B1531" w:rsidP="007B1531" w14:paraId="4E9CB46A" w14:textId="4E4486EA">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763" w:type="dxa"/>
            <w:tcBorders>
              <w:top w:val="single" w:sz="6" w:space="0" w:color="000000"/>
              <w:left w:val="single" w:sz="6" w:space="0" w:color="000000"/>
              <w:bottom w:val="single" w:sz="6" w:space="0" w:color="000000"/>
              <w:right w:val="single" w:sz="6" w:space="0" w:color="000000"/>
            </w:tcBorders>
          </w:tcPr>
          <w:p w:rsidR="007B1531" w:rsidP="007B1531" w14:paraId="6CC221C5" w14:textId="1DB906BF">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6E96658B" w14:textId="082F8C02">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1AC283C1" w14:textId="59368049">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33453923" w14:textId="43AC3598">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01ADCC22" w14:textId="0FD8BB29">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037CF4B8" w14:textId="370384C0">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919" w:type="dxa"/>
            <w:tcBorders>
              <w:top w:val="single" w:sz="6" w:space="0" w:color="000000"/>
              <w:left w:val="single" w:sz="6" w:space="0" w:color="000000"/>
              <w:bottom w:val="single" w:sz="6" w:space="0" w:color="000000"/>
              <w:right w:val="single" w:sz="6" w:space="0" w:color="000000"/>
            </w:tcBorders>
          </w:tcPr>
          <w:p w:rsidR="007B1531" w:rsidRPr="00281014" w:rsidP="007B1531" w14:paraId="6BC4EB72" w14:textId="6D29D87E">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r>
      <w:tr w14:paraId="6F6E5673" w14:textId="77777777" w:rsidTr="005D4EF4">
        <w:tblPrEx>
          <w:tblW w:w="9916" w:type="dxa"/>
          <w:tblInd w:w="-8" w:type="dxa"/>
          <w:tblLayout w:type="fixed"/>
          <w:tblCellMar>
            <w:left w:w="0" w:type="dxa"/>
            <w:right w:w="0" w:type="dxa"/>
          </w:tblCellMar>
          <w:tblLook w:val="01E0"/>
        </w:tblPrEx>
        <w:trPr>
          <w:trHeight w:val="326"/>
        </w:trPr>
        <w:tc>
          <w:tcPr>
            <w:tcW w:w="1826" w:type="dxa"/>
            <w:tcBorders>
              <w:top w:val="single" w:sz="6" w:space="0" w:color="000000"/>
              <w:left w:val="single" w:sz="6" w:space="0" w:color="000000"/>
              <w:bottom w:val="single" w:sz="6" w:space="0" w:color="000000"/>
              <w:right w:val="single" w:sz="6" w:space="0" w:color="000000"/>
            </w:tcBorders>
            <w:vAlign w:val="center"/>
          </w:tcPr>
          <w:p w:rsidR="007B1531" w:rsidRPr="00281014" w:rsidP="007B1531" w14:paraId="3B2F620D" w14:textId="6E7D973E">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Information Availability</w:t>
            </w:r>
          </w:p>
        </w:tc>
        <w:tc>
          <w:tcPr>
            <w:tcW w:w="774" w:type="dxa"/>
            <w:tcBorders>
              <w:top w:val="single" w:sz="6" w:space="0" w:color="000000"/>
              <w:left w:val="single" w:sz="6" w:space="0" w:color="000000"/>
              <w:bottom w:val="single" w:sz="6" w:space="0" w:color="000000"/>
              <w:right w:val="single" w:sz="6" w:space="0" w:color="000000"/>
            </w:tcBorders>
          </w:tcPr>
          <w:p w:rsidR="007B1531" w:rsidRPr="00281014" w:rsidP="007B1531" w14:paraId="23D16D4F" w14:textId="63CCDCE2">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720" w:type="dxa"/>
            <w:tcBorders>
              <w:top w:val="single" w:sz="6" w:space="0" w:color="000000"/>
              <w:left w:val="single" w:sz="6" w:space="0" w:color="000000"/>
              <w:bottom w:val="single" w:sz="6" w:space="0" w:color="000000"/>
              <w:right w:val="single" w:sz="6" w:space="0" w:color="000000"/>
            </w:tcBorders>
          </w:tcPr>
          <w:p w:rsidR="007B1531" w:rsidP="007B1531" w14:paraId="345B2859" w14:textId="2C60DAA4">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719" w:type="dxa"/>
            <w:tcBorders>
              <w:top w:val="single" w:sz="6" w:space="0" w:color="000000"/>
              <w:left w:val="single" w:sz="6" w:space="0" w:color="000000"/>
              <w:bottom w:val="single" w:sz="6" w:space="0" w:color="000000"/>
              <w:right w:val="single" w:sz="6" w:space="0" w:color="000000"/>
            </w:tcBorders>
          </w:tcPr>
          <w:p w:rsidR="007B1531" w:rsidP="007B1531" w14:paraId="28279E19" w14:textId="03A74BA5">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763" w:type="dxa"/>
            <w:tcBorders>
              <w:top w:val="single" w:sz="6" w:space="0" w:color="000000"/>
              <w:left w:val="single" w:sz="6" w:space="0" w:color="000000"/>
              <w:bottom w:val="single" w:sz="6" w:space="0" w:color="000000"/>
              <w:right w:val="single" w:sz="6" w:space="0" w:color="000000"/>
            </w:tcBorders>
          </w:tcPr>
          <w:p w:rsidR="007B1531" w:rsidP="007B1531" w14:paraId="12E8EEAA" w14:textId="59DECA96">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0D18B179" w14:textId="7A21A242">
            <w:pPr>
              <w:spacing w:after="0" w:line="240" w:lineRule="auto"/>
              <w:ind w:left="89" w:right="58"/>
              <w:jc w:val="center"/>
              <w:rPr>
                <w:rFonts w:ascii="Times New Roman" w:hAnsi="Times New Roman" w:cs="Times New Roman"/>
                <w:sz w:val="20"/>
                <w:szCs w:val="20"/>
              </w:rPr>
            </w:pPr>
            <w:r w:rsidRPr="00F706B7">
              <w:rPr>
                <w:rFonts w:ascii="Times New Roman" w:hAnsi="Times New Roman" w:cs="Times New Roman"/>
                <w:sz w:val="20"/>
                <w:szCs w:val="20"/>
              </w:rPr>
              <w:t>$12.8</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075D2DE7" w14:textId="6E72A590">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1CB69A36" w14:textId="0D49840D">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2446D24D" w14:textId="4E81F953">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839" w:type="dxa"/>
            <w:tcBorders>
              <w:top w:val="single" w:sz="6" w:space="0" w:color="000000"/>
              <w:left w:val="single" w:sz="6" w:space="0" w:color="000000"/>
              <w:bottom w:val="single" w:sz="6" w:space="0" w:color="000000"/>
              <w:right w:val="single" w:sz="6" w:space="0" w:color="000000"/>
            </w:tcBorders>
          </w:tcPr>
          <w:p w:rsidR="007B1531" w:rsidP="007B1531" w14:paraId="4BFE8ECA" w14:textId="17C01DEB">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919" w:type="dxa"/>
            <w:tcBorders>
              <w:top w:val="single" w:sz="6" w:space="0" w:color="000000"/>
              <w:left w:val="single" w:sz="6" w:space="0" w:color="000000"/>
              <w:bottom w:val="single" w:sz="6" w:space="0" w:color="000000"/>
              <w:right w:val="single" w:sz="6" w:space="0" w:color="000000"/>
            </w:tcBorders>
          </w:tcPr>
          <w:p w:rsidR="007B1531" w:rsidRPr="00281014" w:rsidP="007B1531" w14:paraId="7FB8CBC6" w14:textId="37041855">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r>
      <w:tr w14:paraId="2069A655" w14:textId="77777777" w:rsidTr="005D4EF4">
        <w:tblPrEx>
          <w:tblW w:w="9916" w:type="dxa"/>
          <w:tblInd w:w="-8" w:type="dxa"/>
          <w:tblLayout w:type="fixed"/>
          <w:tblCellMar>
            <w:left w:w="0" w:type="dxa"/>
            <w:right w:w="0" w:type="dxa"/>
          </w:tblCellMar>
          <w:tblLook w:val="01E0"/>
        </w:tblPrEx>
        <w:trPr>
          <w:trHeight w:val="307"/>
        </w:trPr>
        <w:tc>
          <w:tcPr>
            <w:tcW w:w="1826" w:type="dxa"/>
            <w:tcBorders>
              <w:left w:val="single" w:sz="6" w:space="0" w:color="000000"/>
              <w:bottom w:val="single" w:sz="6" w:space="0" w:color="000000"/>
              <w:right w:val="single" w:sz="6" w:space="0" w:color="000000"/>
            </w:tcBorders>
            <w:vAlign w:val="center"/>
          </w:tcPr>
          <w:p w:rsidR="007B1531" w:rsidRPr="00281014" w:rsidP="007B1531" w14:paraId="76F76CCA" w14:textId="5DE08EF3">
            <w:pPr>
              <w:spacing w:after="0" w:line="240" w:lineRule="auto"/>
              <w:ind w:left="517"/>
              <w:rPr>
                <w:rFonts w:ascii="Times New Roman" w:hAnsi="Times New Roman" w:cs="Times New Roman"/>
                <w:b/>
                <w:sz w:val="20"/>
                <w:szCs w:val="20"/>
              </w:rPr>
            </w:pPr>
            <w:r w:rsidRPr="00281014">
              <w:rPr>
                <w:rFonts w:ascii="Times New Roman" w:hAnsi="Times New Roman" w:cs="Times New Roman"/>
                <w:b/>
                <w:sz w:val="20"/>
                <w:szCs w:val="20"/>
              </w:rPr>
              <w:t>Total Cost*</w:t>
            </w:r>
          </w:p>
        </w:tc>
        <w:tc>
          <w:tcPr>
            <w:tcW w:w="774" w:type="dxa"/>
            <w:tcBorders>
              <w:left w:val="single" w:sz="6" w:space="0" w:color="000000"/>
              <w:bottom w:val="single" w:sz="6" w:space="0" w:color="000000"/>
              <w:right w:val="single" w:sz="6" w:space="0" w:color="000000"/>
            </w:tcBorders>
          </w:tcPr>
          <w:p w:rsidR="007B1531" w:rsidRPr="00281014" w:rsidP="007B1531" w14:paraId="0D157AB2" w14:textId="04A56BC3">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$305.8</w:t>
            </w:r>
          </w:p>
        </w:tc>
        <w:tc>
          <w:tcPr>
            <w:tcW w:w="720" w:type="dxa"/>
            <w:tcBorders>
              <w:left w:val="single" w:sz="6" w:space="0" w:color="000000"/>
              <w:bottom w:val="single" w:sz="6" w:space="0" w:color="000000"/>
              <w:right w:val="single" w:sz="6" w:space="0" w:color="000000"/>
            </w:tcBorders>
          </w:tcPr>
          <w:p w:rsidR="007B1531" w:rsidP="007B1531" w14:paraId="0C10B524" w14:textId="5923DD5F">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$260.5</w:t>
            </w:r>
          </w:p>
        </w:tc>
        <w:tc>
          <w:tcPr>
            <w:tcW w:w="719" w:type="dxa"/>
            <w:tcBorders>
              <w:left w:val="single" w:sz="6" w:space="0" w:color="000000"/>
              <w:bottom w:val="single" w:sz="6" w:space="0" w:color="000000"/>
              <w:right w:val="single" w:sz="6" w:space="0" w:color="000000"/>
            </w:tcBorders>
          </w:tcPr>
          <w:p w:rsidR="007B1531" w:rsidP="007B1531" w14:paraId="7801DB93" w14:textId="4FF074EE">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$266.1</w:t>
            </w:r>
          </w:p>
        </w:tc>
        <w:tc>
          <w:tcPr>
            <w:tcW w:w="763" w:type="dxa"/>
            <w:tcBorders>
              <w:left w:val="single" w:sz="6" w:space="0" w:color="000000"/>
              <w:bottom w:val="single" w:sz="6" w:space="0" w:color="000000"/>
              <w:right w:val="single" w:sz="6" w:space="0" w:color="000000"/>
            </w:tcBorders>
          </w:tcPr>
          <w:p w:rsidR="007B1531" w:rsidP="007B1531" w14:paraId="7A518AC3" w14:textId="56C2AC1F">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$271.7</w:t>
            </w:r>
          </w:p>
        </w:tc>
        <w:tc>
          <w:tcPr>
            <w:tcW w:w="839" w:type="dxa"/>
            <w:tcBorders>
              <w:left w:val="single" w:sz="6" w:space="0" w:color="000000"/>
              <w:bottom w:val="single" w:sz="6" w:space="0" w:color="000000"/>
              <w:right w:val="single" w:sz="6" w:space="0" w:color="000000"/>
            </w:tcBorders>
          </w:tcPr>
          <w:p w:rsidR="007B1531" w:rsidP="007B1531" w14:paraId="25455E7E" w14:textId="0551FD0E">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$277.3</w:t>
            </w:r>
          </w:p>
        </w:tc>
        <w:tc>
          <w:tcPr>
            <w:tcW w:w="839" w:type="dxa"/>
            <w:tcBorders>
              <w:left w:val="single" w:sz="6" w:space="0" w:color="000000"/>
              <w:bottom w:val="single" w:sz="6" w:space="0" w:color="000000"/>
              <w:right w:val="single" w:sz="6" w:space="0" w:color="000000"/>
            </w:tcBorders>
          </w:tcPr>
          <w:p w:rsidR="007B1531" w:rsidP="007B1531" w14:paraId="7146C0CB" w14:textId="3565A2C1">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$223.4</w:t>
            </w:r>
          </w:p>
        </w:tc>
        <w:tc>
          <w:tcPr>
            <w:tcW w:w="839" w:type="dxa"/>
            <w:tcBorders>
              <w:left w:val="single" w:sz="6" w:space="0" w:color="000000"/>
              <w:bottom w:val="single" w:sz="6" w:space="0" w:color="000000"/>
              <w:right w:val="single" w:sz="6" w:space="0" w:color="000000"/>
            </w:tcBorders>
          </w:tcPr>
          <w:p w:rsidR="007B1531" w:rsidP="007B1531" w14:paraId="425F0E5A" w14:textId="4F58275D">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$229.0</w:t>
            </w:r>
          </w:p>
        </w:tc>
        <w:tc>
          <w:tcPr>
            <w:tcW w:w="839" w:type="dxa"/>
            <w:tcBorders>
              <w:left w:val="single" w:sz="6" w:space="0" w:color="000000"/>
              <w:bottom w:val="single" w:sz="6" w:space="0" w:color="000000"/>
              <w:right w:val="single" w:sz="6" w:space="0" w:color="000000"/>
            </w:tcBorders>
          </w:tcPr>
          <w:p w:rsidR="007B1531" w:rsidP="007B1531" w14:paraId="53B66E08" w14:textId="1721A773">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$234.5</w:t>
            </w:r>
          </w:p>
        </w:tc>
        <w:tc>
          <w:tcPr>
            <w:tcW w:w="839" w:type="dxa"/>
            <w:tcBorders>
              <w:left w:val="single" w:sz="6" w:space="0" w:color="000000"/>
              <w:bottom w:val="single" w:sz="6" w:space="0" w:color="000000"/>
              <w:right w:val="single" w:sz="6" w:space="0" w:color="000000"/>
            </w:tcBorders>
          </w:tcPr>
          <w:p w:rsidR="007B1531" w:rsidP="007B1531" w14:paraId="18A812DC" w14:textId="01219862">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$240.1</w:t>
            </w:r>
          </w:p>
        </w:tc>
        <w:tc>
          <w:tcPr>
            <w:tcW w:w="919" w:type="dxa"/>
            <w:tcBorders>
              <w:left w:val="single" w:sz="6" w:space="0" w:color="000000"/>
              <w:bottom w:val="single" w:sz="6" w:space="0" w:color="000000"/>
              <w:right w:val="single" w:sz="6" w:space="0" w:color="000000"/>
            </w:tcBorders>
          </w:tcPr>
          <w:p w:rsidR="007B1531" w:rsidRPr="00281014" w:rsidP="007B1531" w14:paraId="02E82F42" w14:textId="00DFA486">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$245.7</w:t>
            </w:r>
          </w:p>
        </w:tc>
      </w:tr>
    </w:tbl>
    <w:p w:rsidR="00424321" w:rsidP="00424321" w14:paraId="101EDCEE" w14:textId="7777777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Pr="00281014">
        <w:rPr>
          <w:rFonts w:ascii="Times New Roman" w:hAnsi="Times New Roman" w:cs="Times New Roman"/>
          <w:sz w:val="18"/>
          <w:szCs w:val="18"/>
        </w:rPr>
        <w:t>*Totals may not sum due to rounding.</w:t>
      </w:r>
    </w:p>
    <w:p w:rsidR="00587E7C" w:rsidRPr="00281014" w:rsidP="00424321" w14:paraId="0B0E5CF9" w14:textId="7777777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061738">
        <w:rPr>
          <w:rFonts w:ascii="Times New Roman" w:hAnsi="Times New Roman" w:cs="Times New Roman"/>
          <w:sz w:val="18"/>
          <w:szCs w:val="18"/>
        </w:rPr>
        <w:t>Costs</w:t>
      </w:r>
      <w:r>
        <w:rPr>
          <w:rFonts w:ascii="Times New Roman" w:hAnsi="Times New Roman" w:cs="Times New Roman"/>
          <w:sz w:val="18"/>
          <w:szCs w:val="18"/>
        </w:rPr>
        <w:t xml:space="preserve"> are zero due to rounding</w:t>
      </w:r>
      <w:r w:rsidR="002E13CA">
        <w:rPr>
          <w:rFonts w:ascii="Times New Roman" w:hAnsi="Times New Roman" w:cs="Times New Roman"/>
          <w:sz w:val="18"/>
          <w:szCs w:val="18"/>
        </w:rPr>
        <w:t>.</w:t>
      </w:r>
      <w:r>
        <w:rPr>
          <w:rFonts w:ascii="Times New Roman" w:hAnsi="Times New Roman" w:cs="Times New Roman"/>
          <w:sz w:val="18"/>
          <w:szCs w:val="18"/>
        </w:rPr>
        <w:t xml:space="preserve"> Unrounded </w:t>
      </w:r>
      <w:r w:rsidR="00061738">
        <w:rPr>
          <w:rFonts w:ascii="Times New Roman" w:hAnsi="Times New Roman" w:cs="Times New Roman"/>
          <w:sz w:val="18"/>
          <w:szCs w:val="18"/>
        </w:rPr>
        <w:t>costs</w:t>
      </w:r>
      <w:r>
        <w:rPr>
          <w:rFonts w:ascii="Times New Roman" w:hAnsi="Times New Roman" w:cs="Times New Roman"/>
          <w:sz w:val="18"/>
          <w:szCs w:val="18"/>
        </w:rPr>
        <w:t xml:space="preserve"> are $15,798 for No Backup Power</w:t>
      </w:r>
      <w:r w:rsidR="00D25228">
        <w:rPr>
          <w:rFonts w:ascii="Times New Roman" w:hAnsi="Times New Roman" w:cs="Times New Roman"/>
          <w:sz w:val="18"/>
          <w:szCs w:val="18"/>
        </w:rPr>
        <w:t>,</w:t>
      </w:r>
      <w:r>
        <w:rPr>
          <w:rFonts w:ascii="Times New Roman" w:hAnsi="Times New Roman" w:cs="Times New Roman"/>
          <w:sz w:val="18"/>
          <w:szCs w:val="18"/>
        </w:rPr>
        <w:t xml:space="preserve"> $42,307 for Natural Hazards</w:t>
      </w:r>
      <w:r w:rsidR="00D25228">
        <w:rPr>
          <w:rFonts w:ascii="Times New Roman" w:hAnsi="Times New Roman" w:cs="Times New Roman"/>
          <w:sz w:val="18"/>
          <w:szCs w:val="18"/>
        </w:rPr>
        <w:t xml:space="preserve"> and</w:t>
      </w:r>
      <w:r>
        <w:rPr>
          <w:rFonts w:ascii="Times New Roman" w:hAnsi="Times New Roman" w:cs="Times New Roman"/>
          <w:sz w:val="18"/>
          <w:szCs w:val="18"/>
        </w:rPr>
        <w:t xml:space="preserve"> Facility Siting, and </w:t>
      </w:r>
      <w:r w:rsidR="00D25228">
        <w:rPr>
          <w:rFonts w:ascii="Times New Roman" w:hAnsi="Times New Roman" w:cs="Times New Roman"/>
          <w:sz w:val="18"/>
          <w:szCs w:val="18"/>
        </w:rPr>
        <w:t xml:space="preserve">$27,582 for </w:t>
      </w:r>
      <w:r>
        <w:rPr>
          <w:rFonts w:ascii="Times New Roman" w:hAnsi="Times New Roman" w:cs="Times New Roman"/>
          <w:sz w:val="18"/>
          <w:szCs w:val="18"/>
        </w:rPr>
        <w:t>RAGAGEP.</w:t>
      </w:r>
    </w:p>
    <w:p w:rsidR="00424321" w:rsidRPr="00281014" w:rsidP="00424321" w14:paraId="41116D03" w14:textId="7777777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p>
    <w:p w:rsidR="005B38E8" w:rsidRPr="00C2595C" w:rsidP="00C2595C" w14:paraId="548FDA8A" w14:textId="77777777">
      <w:pPr>
        <w:keepNext/>
        <w:spacing w:after="0" w:line="240" w:lineRule="auto"/>
        <w:rPr>
          <w:rFonts w:ascii="Times New Roman" w:hAnsi="Times New Roman" w:cs="Times New Roman"/>
          <w:b/>
        </w:rPr>
      </w:pPr>
      <w:r>
        <w:rPr>
          <w:rFonts w:ascii="Times New Roman" w:hAnsi="Times New Roman" w:cs="Times New Roman"/>
          <w:b/>
        </w:rPr>
        <w:t>Ba</w:t>
      </w:r>
      <w:r w:rsidRPr="00C2595C" w:rsidR="00A34591">
        <w:rPr>
          <w:rFonts w:ascii="Times New Roman" w:hAnsi="Times New Roman" w:cs="Times New Roman"/>
          <w:b/>
        </w:rPr>
        <w:t>s</w:t>
      </w:r>
      <w:r>
        <w:rPr>
          <w:rFonts w:ascii="Times New Roman" w:hAnsi="Times New Roman" w:cs="Times New Roman"/>
          <w:b/>
        </w:rPr>
        <w:t>eline Damages</w:t>
      </w:r>
    </w:p>
    <w:p w:rsidR="005A354C" w:rsidP="00281014" w14:paraId="2DBFC0CB" w14:textId="7E5FDB39">
      <w:pPr>
        <w:keepNext/>
        <w:spacing w:after="0" w:line="240" w:lineRule="auto"/>
        <w:ind w:firstLine="360"/>
        <w:rPr>
          <w:rFonts w:ascii="Times New Roman" w:hAnsi="Times New Roman" w:cs="Times New Roman"/>
        </w:rPr>
      </w:pPr>
      <w:r>
        <w:rPr>
          <w:rFonts w:ascii="Times New Roman" w:hAnsi="Times New Roman" w:cs="Times New Roman"/>
        </w:rPr>
        <w:tab/>
      </w:r>
      <w:r w:rsidRPr="00C2595C" w:rsidR="005B38E8">
        <w:rPr>
          <w:rFonts w:ascii="Times New Roman" w:hAnsi="Times New Roman" w:cs="Times New Roman"/>
        </w:rPr>
        <w:t xml:space="preserve">Accidents and releases from RMP facilities occur every year, </w:t>
      </w:r>
      <w:r w:rsidR="00A02CBD">
        <w:rPr>
          <w:rFonts w:ascii="Times New Roman" w:hAnsi="Times New Roman" w:cs="Times New Roman"/>
        </w:rPr>
        <w:t>involving toxic vapors,</w:t>
      </w:r>
      <w:r w:rsidRPr="00C2595C" w:rsidR="005B38E8">
        <w:rPr>
          <w:rFonts w:ascii="Times New Roman" w:hAnsi="Times New Roman" w:cs="Times New Roman"/>
        </w:rPr>
        <w:t xml:space="preserve"> fires</w:t>
      </w:r>
      <w:r w:rsidR="00ED289F">
        <w:rPr>
          <w:rFonts w:ascii="Times New Roman" w:hAnsi="Times New Roman" w:cs="Times New Roman"/>
        </w:rPr>
        <w:t xml:space="preserve">, </w:t>
      </w:r>
      <w:r w:rsidR="00A02CBD">
        <w:rPr>
          <w:rFonts w:ascii="Times New Roman" w:hAnsi="Times New Roman" w:cs="Times New Roman"/>
        </w:rPr>
        <w:t>and</w:t>
      </w:r>
      <w:r w:rsidR="00F86D46">
        <w:rPr>
          <w:rFonts w:ascii="Times New Roman" w:hAnsi="Times New Roman" w:cs="Times New Roman"/>
        </w:rPr>
        <w:t xml:space="preserve"> </w:t>
      </w:r>
      <w:r w:rsidRPr="00C2595C" w:rsidR="005B38E8">
        <w:rPr>
          <w:rFonts w:ascii="Times New Roman" w:hAnsi="Times New Roman" w:cs="Times New Roman"/>
        </w:rPr>
        <w:t>explosions</w:t>
      </w:r>
      <w:r w:rsidR="00ED289F">
        <w:rPr>
          <w:rFonts w:ascii="Times New Roman" w:hAnsi="Times New Roman" w:cs="Times New Roman"/>
        </w:rPr>
        <w:t>,</w:t>
      </w:r>
      <w:r w:rsidR="004B736B">
        <w:rPr>
          <w:rFonts w:ascii="Times New Roman" w:hAnsi="Times New Roman" w:cs="Times New Roman"/>
        </w:rPr>
        <w:t xml:space="preserve"> and</w:t>
      </w:r>
      <w:r w:rsidR="00A02CBD">
        <w:rPr>
          <w:rFonts w:ascii="Times New Roman" w:hAnsi="Times New Roman" w:cs="Times New Roman"/>
        </w:rPr>
        <w:t xml:space="preserve"> resulting in fatalities, injuries,</w:t>
      </w:r>
      <w:r w:rsidR="004B736B">
        <w:rPr>
          <w:rFonts w:ascii="Times New Roman" w:hAnsi="Times New Roman" w:cs="Times New Roman"/>
        </w:rPr>
        <w:t xml:space="preserve"> </w:t>
      </w:r>
      <w:r w:rsidR="00766955">
        <w:rPr>
          <w:rFonts w:ascii="Times New Roman" w:hAnsi="Times New Roman" w:cs="Times New Roman"/>
        </w:rPr>
        <w:t xml:space="preserve">property </w:t>
      </w:r>
      <w:r w:rsidRPr="00C2595C" w:rsidR="005B38E8">
        <w:rPr>
          <w:rFonts w:ascii="Times New Roman" w:hAnsi="Times New Roman" w:cs="Times New Roman"/>
        </w:rPr>
        <w:t>damage</w:t>
      </w:r>
      <w:r w:rsidR="00A02CBD">
        <w:rPr>
          <w:rFonts w:ascii="Times New Roman" w:hAnsi="Times New Roman" w:cs="Times New Roman"/>
        </w:rPr>
        <w:t>, evacuations</w:t>
      </w:r>
      <w:r w:rsidR="00630D47">
        <w:rPr>
          <w:rFonts w:ascii="Times New Roman" w:hAnsi="Times New Roman" w:cs="Times New Roman"/>
        </w:rPr>
        <w:t>, and more</w:t>
      </w:r>
      <w:r w:rsidRPr="00C2595C" w:rsidR="005B38E8">
        <w:rPr>
          <w:rFonts w:ascii="Times New Roman" w:hAnsi="Times New Roman" w:cs="Times New Roman"/>
        </w:rPr>
        <w:t>.</w:t>
      </w:r>
      <w:r w:rsidRPr="00C2595C" w:rsidR="00C3144D">
        <w:rPr>
          <w:rFonts w:ascii="Times New Roman" w:hAnsi="Times New Roman" w:cs="Times New Roman"/>
        </w:rPr>
        <w:t xml:space="preserve"> </w:t>
      </w:r>
      <w:r w:rsidRPr="4DA5F9B9" w:rsidR="00015597">
        <w:rPr>
          <w:rFonts w:ascii="Times New Roman" w:hAnsi="Times New Roman" w:cs="Times New Roman"/>
        </w:rPr>
        <w:t>Using</w:t>
      </w:r>
      <w:r w:rsidRPr="00C2595C" w:rsidR="005B38E8">
        <w:rPr>
          <w:rFonts w:ascii="Times New Roman" w:hAnsi="Times New Roman" w:cs="Times New Roman"/>
        </w:rPr>
        <w:t xml:space="preserve"> data on</w:t>
      </w:r>
      <w:r w:rsidRPr="4DA5F9B9" w:rsidR="00CD48A0">
        <w:rPr>
          <w:rFonts w:ascii="Times New Roman" w:hAnsi="Times New Roman" w:cs="Times New Roman"/>
        </w:rPr>
        <w:t xml:space="preserve"> </w:t>
      </w:r>
      <w:r w:rsidRPr="4DA5F9B9" w:rsidR="0030688C">
        <w:rPr>
          <w:rFonts w:ascii="Times New Roman" w:hAnsi="Times New Roman" w:cs="Times New Roman"/>
        </w:rPr>
        <w:t xml:space="preserve">facility-reported </w:t>
      </w:r>
      <w:r w:rsidRPr="4DA5F9B9" w:rsidR="00015597">
        <w:rPr>
          <w:rFonts w:ascii="Times New Roman" w:hAnsi="Times New Roman" w:cs="Times New Roman"/>
        </w:rPr>
        <w:t>accident impacts</w:t>
      </w:r>
      <w:r w:rsidRPr="4DA5F9B9" w:rsidR="00CD48A0">
        <w:rPr>
          <w:rFonts w:ascii="Times New Roman" w:hAnsi="Times New Roman" w:cs="Times New Roman"/>
        </w:rPr>
        <w:t xml:space="preserve"> </w:t>
      </w:r>
      <w:r w:rsidRPr="4DA5F9B9" w:rsidR="009A6475">
        <w:rPr>
          <w:rFonts w:ascii="Times New Roman" w:hAnsi="Times New Roman" w:cs="Times New Roman"/>
        </w:rPr>
        <w:t>from the RMP Accident Database</w:t>
      </w:r>
      <w:r w:rsidRPr="4DA5F9B9" w:rsidR="00A85BD2">
        <w:rPr>
          <w:rFonts w:ascii="Times New Roman" w:hAnsi="Times New Roman" w:cs="Times New Roman"/>
        </w:rPr>
        <w:t xml:space="preserve">, </w:t>
      </w:r>
      <w:r w:rsidRPr="4DA5F9B9" w:rsidR="00613D8B">
        <w:rPr>
          <w:rFonts w:ascii="Times New Roman" w:hAnsi="Times New Roman" w:cs="Times New Roman"/>
        </w:rPr>
        <w:t>EPA</w:t>
      </w:r>
      <w:r w:rsidRPr="4DA5F9B9" w:rsidR="005B38E8">
        <w:rPr>
          <w:rFonts w:ascii="Times New Roman" w:hAnsi="Times New Roman" w:cs="Times New Roman"/>
        </w:rPr>
        <w:t xml:space="preserve"> </w:t>
      </w:r>
      <w:r w:rsidRPr="4DA5F9B9" w:rsidR="00801E0B">
        <w:rPr>
          <w:rFonts w:ascii="Times New Roman" w:hAnsi="Times New Roman" w:cs="Times New Roman"/>
        </w:rPr>
        <w:t>summarizes</w:t>
      </w:r>
      <w:r w:rsidRPr="4DA5F9B9" w:rsidR="005B38E8">
        <w:rPr>
          <w:rFonts w:ascii="Times New Roman" w:hAnsi="Times New Roman" w:cs="Times New Roman"/>
        </w:rPr>
        <w:t xml:space="preserve"> </w:t>
      </w:r>
      <w:r w:rsidRPr="00C2595C" w:rsidR="005B38E8">
        <w:rPr>
          <w:rFonts w:ascii="Times New Roman" w:hAnsi="Times New Roman" w:cs="Times New Roman"/>
        </w:rPr>
        <w:t xml:space="preserve">the damages that </w:t>
      </w:r>
      <w:r w:rsidR="009115C5">
        <w:rPr>
          <w:rFonts w:ascii="Times New Roman" w:hAnsi="Times New Roman" w:cs="Times New Roman"/>
        </w:rPr>
        <w:t>we</w:t>
      </w:r>
      <w:r w:rsidRPr="00C2595C" w:rsidR="00F41D0E">
        <w:rPr>
          <w:rFonts w:ascii="Times New Roman" w:hAnsi="Times New Roman" w:cs="Times New Roman"/>
        </w:rPr>
        <w:t xml:space="preserve">re caused by </w:t>
      </w:r>
      <w:r w:rsidR="003532C8">
        <w:rPr>
          <w:rFonts w:ascii="Times New Roman" w:hAnsi="Times New Roman" w:cs="Times New Roman"/>
        </w:rPr>
        <w:t>RMP-</w:t>
      </w:r>
      <w:r w:rsidRPr="00C2595C" w:rsidR="00F41D0E">
        <w:rPr>
          <w:rFonts w:ascii="Times New Roman" w:hAnsi="Times New Roman" w:cs="Times New Roman"/>
        </w:rPr>
        <w:t xml:space="preserve">reportable </w:t>
      </w:r>
      <w:r w:rsidRPr="00C2595C" w:rsidR="00354D92">
        <w:rPr>
          <w:rFonts w:ascii="Times New Roman" w:hAnsi="Times New Roman" w:cs="Times New Roman"/>
        </w:rPr>
        <w:t>accident</w:t>
      </w:r>
      <w:r w:rsidRPr="00C2595C" w:rsidR="00F41D0E">
        <w:rPr>
          <w:rFonts w:ascii="Times New Roman" w:hAnsi="Times New Roman" w:cs="Times New Roman"/>
        </w:rPr>
        <w:t xml:space="preserve">s </w:t>
      </w:r>
      <w:r w:rsidR="009115C5">
        <w:rPr>
          <w:rFonts w:ascii="Times New Roman" w:hAnsi="Times New Roman" w:cs="Times New Roman"/>
        </w:rPr>
        <w:t>during each of the five years from 2016 to 2020</w:t>
      </w:r>
      <w:r w:rsidR="00901DF0">
        <w:rPr>
          <w:rFonts w:ascii="Times New Roman" w:hAnsi="Times New Roman" w:cs="Times New Roman"/>
        </w:rPr>
        <w:t xml:space="preserve">, the most recent five-year period for which </w:t>
      </w:r>
      <w:r w:rsidRPr="4DA5F9B9" w:rsidR="004D0CEC">
        <w:rPr>
          <w:rFonts w:ascii="Times New Roman" w:hAnsi="Times New Roman" w:cs="Times New Roman"/>
        </w:rPr>
        <w:t xml:space="preserve">RMP program </w:t>
      </w:r>
      <w:r w:rsidR="00901DF0">
        <w:rPr>
          <w:rFonts w:ascii="Times New Roman" w:hAnsi="Times New Roman" w:cs="Times New Roman"/>
        </w:rPr>
        <w:t xml:space="preserve">data is available. </w:t>
      </w:r>
      <w:r w:rsidR="00113DE6">
        <w:rPr>
          <w:rFonts w:ascii="Times New Roman" w:hAnsi="Times New Roman" w:cs="Times New Roman"/>
        </w:rPr>
        <w:t>Exhibit ES-</w:t>
      </w:r>
      <w:r w:rsidR="00CF41CB">
        <w:rPr>
          <w:rFonts w:ascii="Times New Roman" w:hAnsi="Times New Roman" w:cs="Times New Roman"/>
        </w:rPr>
        <w:t>3</w:t>
      </w:r>
      <w:r w:rsidRPr="00C2595C" w:rsidR="005B38E8">
        <w:rPr>
          <w:rFonts w:ascii="Times New Roman" w:hAnsi="Times New Roman" w:cs="Times New Roman"/>
        </w:rPr>
        <w:t xml:space="preserve"> summariz</w:t>
      </w:r>
      <w:r w:rsidR="00C364F0">
        <w:rPr>
          <w:rFonts w:ascii="Times New Roman" w:hAnsi="Times New Roman" w:cs="Times New Roman"/>
        </w:rPr>
        <w:t>es</w:t>
      </w:r>
      <w:r w:rsidRPr="4DA5F9B9" w:rsidR="005B38E8">
        <w:rPr>
          <w:rFonts w:ascii="Times New Roman" w:hAnsi="Times New Roman" w:cs="Times New Roman"/>
        </w:rPr>
        <w:t xml:space="preserve"> </w:t>
      </w:r>
      <w:r w:rsidRPr="4DA5F9B9" w:rsidR="00551A23">
        <w:rPr>
          <w:rFonts w:ascii="Times New Roman" w:hAnsi="Times New Roman" w:cs="Times New Roman"/>
        </w:rPr>
        <w:t>reported</w:t>
      </w:r>
      <w:r w:rsidRPr="4DA5F9B9" w:rsidR="005B38E8">
        <w:rPr>
          <w:rFonts w:ascii="Times New Roman" w:hAnsi="Times New Roman" w:cs="Times New Roman"/>
        </w:rPr>
        <w:t xml:space="preserve"> </w:t>
      </w:r>
      <w:r w:rsidRPr="00C2595C" w:rsidR="005B38E8">
        <w:rPr>
          <w:rFonts w:ascii="Times New Roman" w:hAnsi="Times New Roman" w:cs="Times New Roman"/>
        </w:rPr>
        <w:t>RMP accident impacts and, when possible</w:t>
      </w:r>
      <w:r w:rsidRPr="00C2595C" w:rsidR="005B38E8">
        <w:rPr>
          <w:rFonts w:ascii="Times New Roman" w:hAnsi="Times New Roman" w:cs="Times New Roman"/>
        </w:rPr>
        <w:t>, monetiz</w:t>
      </w:r>
      <w:r w:rsidR="00C364F0">
        <w:rPr>
          <w:rFonts w:ascii="Times New Roman" w:hAnsi="Times New Roman" w:cs="Times New Roman"/>
        </w:rPr>
        <w:t>es</w:t>
      </w:r>
      <w:r w:rsidRPr="00C2595C" w:rsidR="005B38E8">
        <w:rPr>
          <w:rFonts w:ascii="Times New Roman" w:hAnsi="Times New Roman" w:cs="Times New Roman"/>
        </w:rPr>
        <w:t xml:space="preserve"> them.</w:t>
      </w:r>
      <w:r>
        <w:rPr>
          <w:rStyle w:val="FootnoteReference"/>
          <w:rFonts w:ascii="Times New Roman" w:hAnsi="Times New Roman" w:cs="Times New Roman"/>
        </w:rPr>
        <w:footnoteReference w:id="7"/>
      </w:r>
      <w:r w:rsidRPr="00C2595C" w:rsidR="005B38E8">
        <w:rPr>
          <w:rFonts w:ascii="Times New Roman" w:hAnsi="Times New Roman" w:cs="Times New Roman"/>
        </w:rPr>
        <w:t xml:space="preserve"> </w:t>
      </w:r>
      <w:r w:rsidR="00682CDD">
        <w:rPr>
          <w:rFonts w:ascii="Times New Roman" w:hAnsi="Times New Roman" w:cs="Times New Roman"/>
        </w:rPr>
        <w:t xml:space="preserve">During this timeframe, </w:t>
      </w:r>
      <w:r w:rsidR="00415015">
        <w:rPr>
          <w:rFonts w:ascii="Times New Roman" w:hAnsi="Times New Roman" w:cs="Times New Roman"/>
        </w:rPr>
        <w:t>488</w:t>
      </w:r>
      <w:r w:rsidR="00ED289F">
        <w:rPr>
          <w:rFonts w:ascii="Times New Roman" w:hAnsi="Times New Roman" w:cs="Times New Roman"/>
        </w:rPr>
        <w:t xml:space="preserve"> RMP</w:t>
      </w:r>
      <w:r w:rsidR="00682CDD">
        <w:rPr>
          <w:rFonts w:ascii="Times New Roman" w:hAnsi="Times New Roman" w:cs="Times New Roman"/>
        </w:rPr>
        <w:t xml:space="preserve"> accidents </w:t>
      </w:r>
      <w:r w:rsidR="00B10DD0">
        <w:rPr>
          <w:rFonts w:ascii="Times New Roman" w:hAnsi="Times New Roman" w:cs="Times New Roman"/>
        </w:rPr>
        <w:t>with either or both onsite and offsite damages occurred at RMP facilities.</w:t>
      </w:r>
      <w:r w:rsidR="00A27800">
        <w:rPr>
          <w:rFonts w:ascii="Times New Roman" w:hAnsi="Times New Roman" w:cs="Times New Roman"/>
        </w:rPr>
        <w:t xml:space="preserve"> </w:t>
      </w:r>
      <w:r w:rsidRPr="4DA5F9B9" w:rsidR="00637B9A">
        <w:rPr>
          <w:rFonts w:ascii="Times New Roman" w:hAnsi="Times New Roman" w:cs="Times New Roman"/>
        </w:rPr>
        <w:t xml:space="preserve">The reported impacts </w:t>
      </w:r>
      <w:r w:rsidR="00637B9A">
        <w:rPr>
          <w:rFonts w:ascii="Times New Roman" w:hAnsi="Times New Roman" w:cs="Times New Roman"/>
        </w:rPr>
        <w:t xml:space="preserve">in the RIA </w:t>
      </w:r>
      <w:r w:rsidRPr="4DA5F9B9" w:rsidR="00637B9A">
        <w:rPr>
          <w:rFonts w:ascii="Times New Roman" w:hAnsi="Times New Roman" w:cs="Times New Roman"/>
        </w:rPr>
        <w:t>correspond to program requirements</w:t>
      </w:r>
      <w:r w:rsidR="00637B9A">
        <w:rPr>
          <w:rFonts w:ascii="Times New Roman" w:hAnsi="Times New Roman" w:cs="Times New Roman"/>
        </w:rPr>
        <w:t xml:space="preserve"> (40 CFR 68.42 and 68.168)</w:t>
      </w:r>
      <w:r w:rsidRPr="4DA5F9B9" w:rsidR="00637B9A">
        <w:rPr>
          <w:rFonts w:ascii="Times New Roman" w:hAnsi="Times New Roman" w:cs="Times New Roman"/>
        </w:rPr>
        <w:t>, but many additional accident impacts are not required to be reported and thus are not reflected in EPA’s monetized estimates.</w:t>
      </w:r>
    </w:p>
    <w:p w:rsidR="005A354C" w:rsidP="00281014" w14:paraId="3053EB5D" w14:textId="77777777">
      <w:pPr>
        <w:keepNext/>
        <w:spacing w:after="0" w:line="240" w:lineRule="auto"/>
        <w:ind w:firstLine="360"/>
        <w:rPr>
          <w:rFonts w:ascii="Times New Roman" w:hAnsi="Times New Roman" w:cs="Times New Roman"/>
        </w:rPr>
      </w:pPr>
    </w:p>
    <w:p w:rsidR="00692EB0" w:rsidRPr="00692EB0" w:rsidP="008D21EE" w14:paraId="1E790A6E" w14:textId="77777777">
      <w:pPr>
        <w:keepNext/>
        <w:spacing w:after="120" w:line="240" w:lineRule="auto"/>
        <w:ind w:firstLine="360"/>
        <w:rPr>
          <w:rFonts w:ascii="Times New Roman" w:hAnsi="Times New Roman" w:cs="Times New Roman"/>
          <w:b/>
          <w:bCs/>
          <w:i/>
          <w:iCs/>
        </w:rPr>
      </w:pPr>
      <w:bookmarkStart w:id="8" w:name="_Toc100922734"/>
      <w:bookmarkStart w:id="9" w:name="_Toc100922740"/>
      <w:r>
        <w:rPr>
          <w:rFonts w:ascii="Times New Roman" w:hAnsi="Times New Roman" w:cs="Times New Roman"/>
          <w:b/>
          <w:bCs/>
        </w:rPr>
        <w:t>E</w:t>
      </w:r>
      <w:r w:rsidRPr="00692EB0">
        <w:rPr>
          <w:rFonts w:ascii="Times New Roman" w:hAnsi="Times New Roman" w:cs="Times New Roman"/>
          <w:b/>
          <w:bCs/>
        </w:rPr>
        <w:t>xhibit ES</w:t>
      </w:r>
      <w:r w:rsidR="00305374">
        <w:rPr>
          <w:rFonts w:ascii="Times New Roman" w:hAnsi="Times New Roman" w:cs="Times New Roman"/>
          <w:b/>
          <w:bCs/>
        </w:rPr>
        <w:noBreakHyphen/>
      </w:r>
      <w:r w:rsidR="00CF41CB">
        <w:rPr>
          <w:rFonts w:ascii="Times New Roman" w:hAnsi="Times New Roman" w:cs="Times New Roman"/>
          <w:b/>
          <w:bCs/>
        </w:rPr>
        <w:t>3</w:t>
      </w:r>
      <w:r w:rsidRPr="00692EB0">
        <w:rPr>
          <w:rFonts w:ascii="Times New Roman" w:hAnsi="Times New Roman" w:cs="Times New Roman"/>
          <w:b/>
          <w:bCs/>
        </w:rPr>
        <w:t xml:space="preserve">. Summary of </w:t>
      </w:r>
      <w:r w:rsidR="00970DDF">
        <w:rPr>
          <w:rFonts w:ascii="Times New Roman" w:hAnsi="Times New Roman" w:cs="Times New Roman"/>
          <w:b/>
          <w:bCs/>
        </w:rPr>
        <w:t>Q</w:t>
      </w:r>
      <w:r w:rsidRPr="00692EB0">
        <w:rPr>
          <w:rFonts w:ascii="Times New Roman" w:hAnsi="Times New Roman" w:cs="Times New Roman"/>
          <w:b/>
          <w:bCs/>
        </w:rPr>
        <w:t xml:space="preserve">uantified </w:t>
      </w:r>
      <w:r w:rsidR="00970DDF">
        <w:rPr>
          <w:rFonts w:ascii="Times New Roman" w:hAnsi="Times New Roman" w:cs="Times New Roman"/>
          <w:b/>
          <w:bCs/>
        </w:rPr>
        <w:t>B</w:t>
      </w:r>
      <w:r w:rsidRPr="00692EB0">
        <w:rPr>
          <w:rFonts w:ascii="Times New Roman" w:hAnsi="Times New Roman" w:cs="Times New Roman"/>
          <w:b/>
          <w:bCs/>
        </w:rPr>
        <w:t xml:space="preserve">aseline </w:t>
      </w:r>
      <w:r w:rsidR="00970DDF">
        <w:rPr>
          <w:rFonts w:ascii="Times New Roman" w:hAnsi="Times New Roman" w:cs="Times New Roman"/>
          <w:b/>
          <w:bCs/>
        </w:rPr>
        <w:t>D</w:t>
      </w:r>
      <w:r w:rsidRPr="00692EB0">
        <w:rPr>
          <w:rFonts w:ascii="Times New Roman" w:hAnsi="Times New Roman" w:cs="Times New Roman"/>
          <w:b/>
          <w:bCs/>
        </w:rPr>
        <w:t>amages 2016-2020 (millions, 202</w:t>
      </w:r>
      <w:r w:rsidR="007F7D04">
        <w:rPr>
          <w:rFonts w:ascii="Times New Roman" w:hAnsi="Times New Roman" w:cs="Times New Roman"/>
          <w:b/>
          <w:bCs/>
        </w:rPr>
        <w:t>2</w:t>
      </w:r>
      <w:r w:rsidRPr="00692EB0">
        <w:rPr>
          <w:rFonts w:ascii="Times New Roman" w:hAnsi="Times New Roman" w:cs="Times New Roman"/>
          <w:b/>
          <w:bCs/>
        </w:rPr>
        <w:t xml:space="preserve"> dollars).</w:t>
      </w:r>
      <w:bookmarkEnd w:id="8"/>
      <w:bookmarkEnd w:id="9"/>
    </w:p>
    <w:tbl>
      <w:tblPr>
        <w:tblW w:w="9960" w:type="dxa"/>
        <w:jc w:val="center"/>
        <w:tblLook w:val="04A0"/>
      </w:tblPr>
      <w:tblGrid>
        <w:gridCol w:w="1677"/>
        <w:gridCol w:w="1068"/>
        <w:gridCol w:w="1152"/>
        <w:gridCol w:w="1555"/>
        <w:gridCol w:w="3003"/>
        <w:gridCol w:w="1505"/>
      </w:tblGrid>
      <w:tr w14:paraId="03BCAA86" w14:textId="77777777" w:rsidTr="000063B7">
        <w:tblPrEx>
          <w:tblW w:w="9960" w:type="dxa"/>
          <w:jc w:val="center"/>
          <w:tblLook w:val="04A0"/>
        </w:tblPrEx>
        <w:trPr>
          <w:trHeight w:val="220"/>
          <w:jc w:val="center"/>
        </w:trPr>
        <w:tc>
          <w:tcPr>
            <w:tcW w:w="1677"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E96098" w:rsidRPr="00692EB0" w:rsidP="00692EB0" w14:paraId="2491E7EB" w14:textId="77777777">
            <w:pPr>
              <w:spacing w:after="0" w:line="240" w:lineRule="auto"/>
              <w:jc w:val="center"/>
              <w:rPr>
                <w:rFonts w:ascii="Times New Roman" w:eastAsia="Times New Roman" w:hAnsi="Times New Roman" w:cs="Times New Roman"/>
                <w:color w:val="000000"/>
                <w:sz w:val="20"/>
                <w:szCs w:val="20"/>
              </w:rPr>
            </w:pPr>
          </w:p>
        </w:tc>
        <w:tc>
          <w:tcPr>
            <w:tcW w:w="1068" w:type="dxa"/>
            <w:tcBorders>
              <w:top w:val="single" w:sz="8" w:space="0" w:color="000000"/>
              <w:left w:val="nil"/>
              <w:bottom w:val="single" w:sz="8" w:space="0" w:color="000000"/>
              <w:right w:val="single" w:sz="8" w:space="0" w:color="000000"/>
            </w:tcBorders>
            <w:shd w:val="clear" w:color="000000" w:fill="D9D9D9"/>
            <w:vAlign w:val="center"/>
            <w:hideMark/>
          </w:tcPr>
          <w:p w:rsidR="00E96098" w:rsidRPr="00692EB0" w:rsidP="00837F16" w14:paraId="0C7AE091" w14:textId="77777777">
            <w:pPr>
              <w:spacing w:after="0" w:line="240" w:lineRule="auto"/>
              <w:jc w:val="center"/>
              <w:rPr>
                <w:rFonts w:ascii="Times New Roman" w:eastAsia="Times New Roman" w:hAnsi="Times New Roman" w:cs="Times New Roman"/>
                <w:b/>
                <w:color w:val="000000"/>
                <w:sz w:val="20"/>
                <w:szCs w:val="20"/>
              </w:rPr>
            </w:pPr>
            <w:r w:rsidRPr="00692EB0">
              <w:rPr>
                <w:rFonts w:ascii="Times New Roman" w:eastAsia="Times New Roman" w:hAnsi="Times New Roman" w:cs="Times New Roman"/>
                <w:b/>
                <w:color w:val="000000"/>
                <w:sz w:val="20"/>
                <w:szCs w:val="20"/>
              </w:rPr>
              <w:t>Unit Value</w:t>
            </w:r>
          </w:p>
        </w:tc>
        <w:tc>
          <w:tcPr>
            <w:tcW w:w="1152" w:type="dxa"/>
            <w:tcBorders>
              <w:top w:val="single" w:sz="8" w:space="0" w:color="000000"/>
              <w:left w:val="nil"/>
              <w:bottom w:val="single" w:sz="8" w:space="0" w:color="000000"/>
              <w:right w:val="single" w:sz="8" w:space="0" w:color="000000"/>
            </w:tcBorders>
            <w:shd w:val="clear" w:color="000000" w:fill="D9D9D9"/>
            <w:vAlign w:val="center"/>
            <w:hideMark/>
          </w:tcPr>
          <w:p w:rsidR="00E96098" w:rsidRPr="00692EB0" w:rsidP="00837F16" w14:paraId="6105C502" w14:textId="77777777">
            <w:pPr>
              <w:spacing w:after="0" w:line="240" w:lineRule="auto"/>
              <w:jc w:val="center"/>
              <w:rPr>
                <w:rFonts w:ascii="Times New Roman" w:eastAsia="Times New Roman" w:hAnsi="Times New Roman" w:cs="Times New Roman"/>
                <w:b/>
                <w:color w:val="000000"/>
                <w:sz w:val="20"/>
                <w:szCs w:val="20"/>
              </w:rPr>
            </w:pPr>
            <w:r w:rsidRPr="00692EB0">
              <w:rPr>
                <w:rFonts w:ascii="Times New Roman" w:eastAsia="Times New Roman" w:hAnsi="Times New Roman" w:cs="Times New Roman"/>
                <w:b/>
                <w:color w:val="000000"/>
                <w:sz w:val="20"/>
                <w:szCs w:val="20"/>
              </w:rPr>
              <w:t>5-Year Total</w:t>
            </w:r>
          </w:p>
        </w:tc>
        <w:tc>
          <w:tcPr>
            <w:tcW w:w="1555" w:type="dxa"/>
            <w:tcBorders>
              <w:top w:val="single" w:sz="8" w:space="0" w:color="000000"/>
              <w:left w:val="nil"/>
              <w:bottom w:val="single" w:sz="8" w:space="0" w:color="000000"/>
              <w:right w:val="single" w:sz="8" w:space="0" w:color="000000"/>
            </w:tcBorders>
            <w:shd w:val="clear" w:color="000000" w:fill="D9D9D9"/>
            <w:vAlign w:val="center"/>
            <w:hideMark/>
          </w:tcPr>
          <w:p w:rsidR="00E96098" w:rsidRPr="00692EB0" w:rsidP="00837F16" w14:paraId="3563CF9E" w14:textId="77777777">
            <w:pPr>
              <w:spacing w:after="0" w:line="240" w:lineRule="auto"/>
              <w:jc w:val="center"/>
              <w:rPr>
                <w:rFonts w:ascii="Times New Roman" w:eastAsia="Times New Roman" w:hAnsi="Times New Roman" w:cs="Times New Roman"/>
                <w:b/>
                <w:color w:val="000000"/>
                <w:sz w:val="20"/>
                <w:szCs w:val="20"/>
              </w:rPr>
            </w:pPr>
            <w:r w:rsidRPr="00692EB0">
              <w:rPr>
                <w:rFonts w:ascii="Times New Roman" w:eastAsia="Times New Roman" w:hAnsi="Times New Roman" w:cs="Times New Roman"/>
                <w:b/>
                <w:color w:val="000000"/>
                <w:sz w:val="20"/>
                <w:szCs w:val="20"/>
              </w:rPr>
              <w:t>Average/Year</w:t>
            </w:r>
          </w:p>
        </w:tc>
        <w:tc>
          <w:tcPr>
            <w:tcW w:w="3003" w:type="dxa"/>
            <w:tcBorders>
              <w:top w:val="single" w:sz="8" w:space="0" w:color="000000"/>
              <w:left w:val="nil"/>
              <w:bottom w:val="single" w:sz="8" w:space="0" w:color="000000"/>
              <w:right w:val="single" w:sz="8" w:space="0" w:color="000000"/>
            </w:tcBorders>
            <w:shd w:val="clear" w:color="000000" w:fill="D9D9D9"/>
            <w:vAlign w:val="center"/>
            <w:hideMark/>
          </w:tcPr>
          <w:p w:rsidR="00E96098" w:rsidRPr="00692EB0" w:rsidP="00837F16" w14:paraId="5120BDD5" w14:textId="77777777">
            <w:pPr>
              <w:spacing w:after="0" w:line="240" w:lineRule="auto"/>
              <w:jc w:val="center"/>
              <w:rPr>
                <w:rFonts w:ascii="Times New Roman" w:eastAsia="Times New Roman" w:hAnsi="Times New Roman" w:cs="Times New Roman"/>
                <w:b/>
                <w:color w:val="000000"/>
                <w:sz w:val="20"/>
                <w:szCs w:val="20"/>
              </w:rPr>
            </w:pPr>
            <w:r w:rsidRPr="00692EB0">
              <w:rPr>
                <w:rFonts w:ascii="Times New Roman" w:eastAsia="Times New Roman" w:hAnsi="Times New Roman" w:cs="Times New Roman"/>
                <w:b/>
                <w:color w:val="000000"/>
                <w:sz w:val="20"/>
                <w:szCs w:val="20"/>
              </w:rPr>
              <w:t>Average/Accident</w:t>
            </w:r>
          </w:p>
        </w:tc>
        <w:tc>
          <w:tcPr>
            <w:tcW w:w="1505" w:type="dxa"/>
            <w:tcBorders>
              <w:top w:val="single" w:sz="8" w:space="0" w:color="000000"/>
              <w:left w:val="nil"/>
              <w:bottom w:val="single" w:sz="8" w:space="0" w:color="000000"/>
              <w:right w:val="single" w:sz="8" w:space="0" w:color="000000"/>
            </w:tcBorders>
            <w:shd w:val="clear" w:color="000000" w:fill="D9D9D9"/>
            <w:vAlign w:val="center"/>
          </w:tcPr>
          <w:p w:rsidR="00E96098" w:rsidRPr="00692EB0" w:rsidP="00837F16" w14:paraId="701F819F" w14:textId="7777777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Median</w:t>
            </w:r>
            <w:r w:rsidR="00F15826">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/Accident</w:t>
            </w:r>
          </w:p>
        </w:tc>
      </w:tr>
      <w:tr w14:paraId="63462714" w14:textId="77777777">
        <w:tblPrEx>
          <w:tblW w:w="9960" w:type="dxa"/>
          <w:jc w:val="center"/>
          <w:tblLook w:val="04A0"/>
        </w:tblPrEx>
        <w:trPr>
          <w:trHeight w:val="179"/>
          <w:jc w:val="center"/>
        </w:trPr>
        <w:tc>
          <w:tcPr>
            <w:tcW w:w="9960" w:type="dxa"/>
            <w:gridSpan w:val="6"/>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EA4E87" w:rsidRPr="00B40BE0" w:rsidP="00B40BE0" w14:paraId="77E69099" w14:textId="77777777">
            <w:pPr>
              <w:spacing w:after="0" w:line="240" w:lineRule="auto"/>
              <w:rPr>
                <w:rFonts w:ascii="Times New Roman" w:eastAsia="Times New Roman" w:hAnsi="Times New Roman" w:cs="Times New Roman"/>
                <w:b/>
                <w:bCs/>
                <w:color w:val="000000"/>
                <w:sz w:val="20"/>
                <w:szCs w:val="20"/>
              </w:rPr>
            </w:pPr>
            <w:r w:rsidRPr="00B40BE0">
              <w:rPr>
                <w:rFonts w:ascii="Times New Roman" w:eastAsia="Times New Roman" w:hAnsi="Times New Roman" w:cs="Times New Roman"/>
                <w:b/>
                <w:bCs/>
                <w:color w:val="000000"/>
                <w:sz w:val="20"/>
                <w:szCs w:val="20"/>
              </w:rPr>
              <w:t>Onsite</w:t>
            </w:r>
          </w:p>
        </w:tc>
      </w:tr>
      <w:tr w14:paraId="69B69A31" w14:textId="77777777" w:rsidTr="00E96098">
        <w:tblPrEx>
          <w:tblW w:w="9960" w:type="dxa"/>
          <w:jc w:val="center"/>
          <w:tblLook w:val="04A0"/>
        </w:tblPrEx>
        <w:trPr>
          <w:trHeight w:val="157"/>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24610D" w:rsidRPr="00692EB0" w:rsidP="0024610D" w14:paraId="155620E1" w14:textId="77777777">
            <w:pPr>
              <w:spacing w:after="0" w:line="240" w:lineRule="auto"/>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Fatalities</w:t>
            </w:r>
          </w:p>
        </w:tc>
        <w:tc>
          <w:tcPr>
            <w:tcW w:w="1068" w:type="dxa"/>
            <w:tcBorders>
              <w:top w:val="nil"/>
              <w:left w:val="nil"/>
              <w:bottom w:val="single" w:sz="8" w:space="0" w:color="000000"/>
              <w:right w:val="single" w:sz="8" w:space="0" w:color="000000"/>
            </w:tcBorders>
            <w:shd w:val="clear" w:color="auto" w:fill="auto"/>
            <w:vAlign w:val="center"/>
            <w:hideMark/>
          </w:tcPr>
          <w:p w:rsidR="0024610D" w:rsidRPr="00692EB0" w:rsidP="0024610D" w14:paraId="24381FD2"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10.4</w:t>
            </w:r>
          </w:p>
        </w:tc>
        <w:tc>
          <w:tcPr>
            <w:tcW w:w="1152" w:type="dxa"/>
            <w:tcBorders>
              <w:top w:val="nil"/>
              <w:left w:val="nil"/>
              <w:bottom w:val="single" w:sz="8" w:space="0" w:color="000000"/>
              <w:right w:val="single" w:sz="8" w:space="0" w:color="000000"/>
            </w:tcBorders>
            <w:shd w:val="clear" w:color="auto" w:fill="auto"/>
            <w:vAlign w:val="center"/>
            <w:hideMark/>
          </w:tcPr>
          <w:p w:rsidR="0024610D" w:rsidRPr="0024610D" w:rsidP="0024610D" w14:paraId="18298B17" w14:textId="77777777">
            <w:pPr>
              <w:spacing w:after="0" w:line="240" w:lineRule="auto"/>
              <w:jc w:val="center"/>
              <w:rPr>
                <w:rFonts w:ascii="Times New Roman" w:eastAsia="Times New Roman" w:hAnsi="Times New Roman" w:cs="Times New Roman"/>
                <w:color w:val="000000"/>
                <w:sz w:val="20"/>
                <w:szCs w:val="20"/>
              </w:rPr>
            </w:pPr>
            <w:r w:rsidRPr="0024610D">
              <w:rPr>
                <w:rFonts w:ascii="Times New Roman" w:hAnsi="Times New Roman" w:cs="Times New Roman"/>
                <w:color w:val="000000"/>
                <w:sz w:val="20"/>
                <w:szCs w:val="20"/>
              </w:rPr>
              <w:t xml:space="preserve">$187.9 </w:t>
            </w:r>
          </w:p>
        </w:tc>
        <w:tc>
          <w:tcPr>
            <w:tcW w:w="1555" w:type="dxa"/>
            <w:tcBorders>
              <w:top w:val="nil"/>
              <w:left w:val="nil"/>
              <w:bottom w:val="single" w:sz="8" w:space="0" w:color="000000"/>
              <w:right w:val="single" w:sz="8" w:space="0" w:color="000000"/>
            </w:tcBorders>
            <w:shd w:val="clear" w:color="auto" w:fill="auto"/>
            <w:vAlign w:val="center"/>
            <w:hideMark/>
          </w:tcPr>
          <w:p w:rsidR="0024610D" w:rsidRPr="0024610D" w:rsidP="0024610D" w14:paraId="0CC9B5FE" w14:textId="77777777">
            <w:pPr>
              <w:spacing w:after="0" w:line="240" w:lineRule="auto"/>
              <w:jc w:val="center"/>
              <w:rPr>
                <w:rFonts w:ascii="Times New Roman" w:eastAsia="Times New Roman" w:hAnsi="Times New Roman" w:cs="Times New Roman"/>
                <w:color w:val="000000"/>
                <w:sz w:val="20"/>
                <w:szCs w:val="20"/>
              </w:rPr>
            </w:pPr>
            <w:r w:rsidRPr="0024610D">
              <w:rPr>
                <w:rFonts w:ascii="Times New Roman" w:hAnsi="Times New Roman" w:cs="Times New Roman"/>
                <w:color w:val="000000"/>
                <w:sz w:val="20"/>
                <w:szCs w:val="20"/>
              </w:rPr>
              <w:t xml:space="preserve">$37.57 </w:t>
            </w:r>
          </w:p>
        </w:tc>
        <w:tc>
          <w:tcPr>
            <w:tcW w:w="3003" w:type="dxa"/>
            <w:tcBorders>
              <w:top w:val="nil"/>
              <w:left w:val="nil"/>
              <w:bottom w:val="single" w:sz="8" w:space="0" w:color="000000"/>
              <w:right w:val="single" w:sz="8" w:space="0" w:color="000000"/>
            </w:tcBorders>
            <w:shd w:val="clear" w:color="auto" w:fill="auto"/>
            <w:vAlign w:val="center"/>
            <w:hideMark/>
          </w:tcPr>
          <w:p w:rsidR="0024610D" w:rsidRPr="0024610D" w:rsidP="0024610D" w14:paraId="31579370"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w:t>
            </w:r>
            <w:r w:rsidRPr="0024610D">
              <w:rPr>
                <w:rFonts w:ascii="Times New Roman" w:hAnsi="Times New Roman" w:cs="Times New Roman"/>
                <w:color w:val="000000"/>
                <w:sz w:val="20"/>
                <w:szCs w:val="20"/>
              </w:rPr>
              <w:t xml:space="preserve">38 </w:t>
            </w:r>
          </w:p>
        </w:tc>
        <w:tc>
          <w:tcPr>
            <w:tcW w:w="1505" w:type="dxa"/>
            <w:tcBorders>
              <w:top w:val="nil"/>
              <w:left w:val="nil"/>
              <w:bottom w:val="single" w:sz="8" w:space="0" w:color="000000"/>
              <w:right w:val="single" w:sz="8" w:space="0" w:color="000000"/>
            </w:tcBorders>
          </w:tcPr>
          <w:p w:rsidR="0024610D" w:rsidRPr="00692EB0" w:rsidP="0024610D" w14:paraId="07BFF214"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3534B39C" w14:textId="77777777" w:rsidTr="00E96098">
        <w:tblPrEx>
          <w:tblW w:w="9960" w:type="dxa"/>
          <w:jc w:val="center"/>
          <w:tblLook w:val="04A0"/>
        </w:tblPrEx>
        <w:trPr>
          <w:trHeight w:val="157"/>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24610D" w:rsidRPr="00692EB0" w:rsidP="0024610D" w14:paraId="1D463B18" w14:textId="77777777">
            <w:pPr>
              <w:spacing w:after="0" w:line="240" w:lineRule="auto"/>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Injuries</w:t>
            </w:r>
          </w:p>
        </w:tc>
        <w:tc>
          <w:tcPr>
            <w:tcW w:w="1068" w:type="dxa"/>
            <w:tcBorders>
              <w:top w:val="nil"/>
              <w:left w:val="nil"/>
              <w:bottom w:val="single" w:sz="8" w:space="0" w:color="000000"/>
              <w:right w:val="single" w:sz="8" w:space="0" w:color="000000"/>
            </w:tcBorders>
            <w:shd w:val="clear" w:color="auto" w:fill="auto"/>
            <w:vAlign w:val="center"/>
            <w:hideMark/>
          </w:tcPr>
          <w:p w:rsidR="0024610D" w:rsidRPr="00692EB0" w:rsidP="0024610D" w14:paraId="2A55D3C6"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$0.05</w:t>
            </w:r>
          </w:p>
        </w:tc>
        <w:tc>
          <w:tcPr>
            <w:tcW w:w="1152" w:type="dxa"/>
            <w:tcBorders>
              <w:top w:val="nil"/>
              <w:left w:val="nil"/>
              <w:bottom w:val="single" w:sz="8" w:space="0" w:color="000000"/>
              <w:right w:val="single" w:sz="8" w:space="0" w:color="000000"/>
            </w:tcBorders>
            <w:shd w:val="clear" w:color="auto" w:fill="auto"/>
            <w:vAlign w:val="center"/>
            <w:hideMark/>
          </w:tcPr>
          <w:p w:rsidR="0024610D" w:rsidRPr="0024610D" w:rsidP="0024610D" w14:paraId="39AA146B" w14:textId="77777777">
            <w:pPr>
              <w:spacing w:after="0" w:line="240" w:lineRule="auto"/>
              <w:jc w:val="center"/>
              <w:rPr>
                <w:rFonts w:ascii="Times New Roman" w:eastAsia="Times New Roman" w:hAnsi="Times New Roman" w:cs="Times New Roman"/>
                <w:color w:val="000000"/>
                <w:sz w:val="20"/>
                <w:szCs w:val="20"/>
              </w:rPr>
            </w:pPr>
            <w:r w:rsidRPr="0024610D">
              <w:rPr>
                <w:rFonts w:ascii="Times New Roman" w:hAnsi="Times New Roman" w:cs="Times New Roman"/>
                <w:color w:val="000000"/>
                <w:sz w:val="20"/>
                <w:szCs w:val="20"/>
              </w:rPr>
              <w:t xml:space="preserve">$28.75 </w:t>
            </w:r>
          </w:p>
        </w:tc>
        <w:tc>
          <w:tcPr>
            <w:tcW w:w="1555" w:type="dxa"/>
            <w:tcBorders>
              <w:top w:val="nil"/>
              <w:left w:val="nil"/>
              <w:bottom w:val="single" w:sz="8" w:space="0" w:color="000000"/>
              <w:right w:val="single" w:sz="8" w:space="0" w:color="000000"/>
            </w:tcBorders>
            <w:shd w:val="clear" w:color="auto" w:fill="auto"/>
            <w:vAlign w:val="center"/>
            <w:hideMark/>
          </w:tcPr>
          <w:p w:rsidR="0024610D" w:rsidRPr="0024610D" w:rsidP="0024610D" w14:paraId="4CDE1D45"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$5.</w:t>
            </w:r>
            <w:r w:rsidRPr="0024610D">
              <w:rPr>
                <w:rFonts w:ascii="Times New Roman" w:hAnsi="Times New Roman" w:cs="Times New Roman"/>
                <w:color w:val="000000"/>
                <w:sz w:val="20"/>
                <w:szCs w:val="20"/>
              </w:rPr>
              <w:t xml:space="preserve">75 </w:t>
            </w:r>
          </w:p>
        </w:tc>
        <w:tc>
          <w:tcPr>
            <w:tcW w:w="3003" w:type="dxa"/>
            <w:tcBorders>
              <w:top w:val="nil"/>
              <w:left w:val="nil"/>
              <w:bottom w:val="single" w:sz="8" w:space="0" w:color="000000"/>
              <w:right w:val="single" w:sz="8" w:space="0" w:color="000000"/>
            </w:tcBorders>
            <w:shd w:val="clear" w:color="auto" w:fill="auto"/>
            <w:vAlign w:val="center"/>
            <w:hideMark/>
          </w:tcPr>
          <w:p w:rsidR="0024610D" w:rsidRPr="0024610D" w:rsidP="0024610D" w14:paraId="0015B617"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$0.06</w:t>
            </w:r>
            <w:r w:rsidRPr="0024610D">
              <w:rPr>
                <w:rFonts w:ascii="Times New Roman" w:hAnsi="Times New Roman" w:cs="Times New Roman"/>
                <w:color w:val="000000"/>
                <w:sz w:val="20"/>
                <w:szCs w:val="20"/>
              </w:rPr>
              <w:t xml:space="preserve"> </w:t>
            </w:r>
          </w:p>
        </w:tc>
        <w:tc>
          <w:tcPr>
            <w:tcW w:w="1505" w:type="dxa"/>
            <w:tcBorders>
              <w:top w:val="nil"/>
              <w:left w:val="nil"/>
              <w:bottom w:val="single" w:sz="8" w:space="0" w:color="000000"/>
              <w:right w:val="single" w:sz="8" w:space="0" w:color="000000"/>
            </w:tcBorders>
          </w:tcPr>
          <w:p w:rsidR="0024610D" w:rsidRPr="00692EB0" w:rsidP="0024610D" w14:paraId="5BF7318C"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w:t>
            </w:r>
          </w:p>
        </w:tc>
      </w:tr>
      <w:tr w14:paraId="0E0ABAFA" w14:textId="77777777" w:rsidTr="00E96098">
        <w:tblPrEx>
          <w:tblW w:w="9960" w:type="dxa"/>
          <w:jc w:val="center"/>
          <w:tblLook w:val="04A0"/>
        </w:tblPrEx>
        <w:trPr>
          <w:trHeight w:val="226"/>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24610D" w:rsidRPr="00692EB0" w:rsidP="0024610D" w14:paraId="41DB306D" w14:textId="77777777">
            <w:pPr>
              <w:spacing w:after="0" w:line="240" w:lineRule="auto"/>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Property Damage</w:t>
            </w:r>
          </w:p>
        </w:tc>
        <w:tc>
          <w:tcPr>
            <w:tcW w:w="1068" w:type="dxa"/>
            <w:tcBorders>
              <w:top w:val="nil"/>
              <w:left w:val="nil"/>
              <w:bottom w:val="single" w:sz="8" w:space="0" w:color="000000"/>
              <w:right w:val="single" w:sz="8" w:space="0" w:color="000000"/>
            </w:tcBorders>
            <w:shd w:val="clear" w:color="auto" w:fill="auto"/>
            <w:vAlign w:val="center"/>
            <w:hideMark/>
          </w:tcPr>
          <w:p w:rsidR="0024610D" w:rsidRPr="00692EB0" w:rsidP="0024610D" w14:paraId="10DDADC0" w14:textId="77777777">
            <w:pPr>
              <w:spacing w:after="0" w:line="240" w:lineRule="auto"/>
              <w:jc w:val="center"/>
              <w:rPr>
                <w:rFonts w:ascii="Times New Roman" w:eastAsia="Times New Roman" w:hAnsi="Times New Roman" w:cs="Times New Roman"/>
                <w:color w:val="000000"/>
                <w:sz w:val="20"/>
                <w:szCs w:val="20"/>
              </w:rPr>
            </w:pPr>
          </w:p>
        </w:tc>
        <w:tc>
          <w:tcPr>
            <w:tcW w:w="1152" w:type="dxa"/>
            <w:tcBorders>
              <w:top w:val="nil"/>
              <w:left w:val="nil"/>
              <w:bottom w:val="single" w:sz="8" w:space="0" w:color="000000"/>
              <w:right w:val="single" w:sz="8" w:space="0" w:color="000000"/>
            </w:tcBorders>
            <w:shd w:val="clear" w:color="auto" w:fill="auto"/>
            <w:vAlign w:val="center"/>
            <w:hideMark/>
          </w:tcPr>
          <w:p w:rsidR="0024610D" w:rsidRPr="0024610D" w:rsidP="0024610D" w14:paraId="235F64A9"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$2,</w:t>
            </w:r>
            <w:r w:rsidRPr="0024610D">
              <w:rPr>
                <w:rFonts w:ascii="Times New Roman" w:hAnsi="Times New Roman" w:cs="Times New Roman"/>
                <w:color w:val="000000"/>
                <w:sz w:val="20"/>
                <w:szCs w:val="20"/>
              </w:rPr>
              <w:t xml:space="preserve">273 </w:t>
            </w:r>
          </w:p>
        </w:tc>
        <w:tc>
          <w:tcPr>
            <w:tcW w:w="1555" w:type="dxa"/>
            <w:tcBorders>
              <w:top w:val="nil"/>
              <w:left w:val="nil"/>
              <w:bottom w:val="single" w:sz="8" w:space="0" w:color="000000"/>
              <w:right w:val="single" w:sz="8" w:space="0" w:color="000000"/>
            </w:tcBorders>
            <w:shd w:val="clear" w:color="auto" w:fill="auto"/>
            <w:vAlign w:val="center"/>
            <w:hideMark/>
          </w:tcPr>
          <w:p w:rsidR="0024610D" w:rsidRPr="0024610D" w:rsidP="0024610D" w14:paraId="1DA56CEE" w14:textId="77777777">
            <w:pPr>
              <w:spacing w:after="0" w:line="240" w:lineRule="auto"/>
              <w:jc w:val="center"/>
              <w:rPr>
                <w:rFonts w:ascii="Times New Roman" w:eastAsia="Times New Roman" w:hAnsi="Times New Roman" w:cs="Times New Roman"/>
                <w:color w:val="000000"/>
                <w:sz w:val="20"/>
                <w:szCs w:val="20"/>
              </w:rPr>
            </w:pPr>
            <w:r w:rsidRPr="0024610D">
              <w:rPr>
                <w:rFonts w:ascii="Times New Roman" w:hAnsi="Times New Roman" w:cs="Times New Roman"/>
                <w:color w:val="000000"/>
                <w:sz w:val="20"/>
                <w:szCs w:val="20"/>
              </w:rPr>
              <w:t xml:space="preserve">$454.58 </w:t>
            </w:r>
          </w:p>
        </w:tc>
        <w:tc>
          <w:tcPr>
            <w:tcW w:w="3003" w:type="dxa"/>
            <w:tcBorders>
              <w:top w:val="nil"/>
              <w:left w:val="nil"/>
              <w:bottom w:val="single" w:sz="8" w:space="0" w:color="000000"/>
              <w:right w:val="single" w:sz="8" w:space="0" w:color="000000"/>
            </w:tcBorders>
            <w:shd w:val="clear" w:color="auto" w:fill="auto"/>
            <w:vAlign w:val="center"/>
            <w:hideMark/>
          </w:tcPr>
          <w:p w:rsidR="0024610D" w:rsidRPr="0024610D" w:rsidP="0024610D" w14:paraId="6E50AF83"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$4.</w:t>
            </w:r>
            <w:r w:rsidRPr="0024610D">
              <w:rPr>
                <w:rFonts w:ascii="Times New Roman" w:hAnsi="Times New Roman" w:cs="Times New Roman"/>
                <w:color w:val="000000"/>
                <w:sz w:val="20"/>
                <w:szCs w:val="20"/>
              </w:rPr>
              <w:t xml:space="preserve">66 </w:t>
            </w:r>
          </w:p>
        </w:tc>
        <w:tc>
          <w:tcPr>
            <w:tcW w:w="1505" w:type="dxa"/>
            <w:tcBorders>
              <w:top w:val="nil"/>
              <w:left w:val="nil"/>
              <w:bottom w:val="single" w:sz="8" w:space="0" w:color="000000"/>
              <w:right w:val="single" w:sz="8" w:space="0" w:color="000000"/>
            </w:tcBorders>
          </w:tcPr>
          <w:p w:rsidR="0024610D" w:rsidRPr="00692EB0" w:rsidP="0024610D" w14:paraId="286A389E"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559561A0" w14:textId="77777777" w:rsidTr="00E96098">
        <w:tblPrEx>
          <w:tblW w:w="9960" w:type="dxa"/>
          <w:jc w:val="center"/>
          <w:tblLook w:val="04A0"/>
        </w:tblPrEx>
        <w:trPr>
          <w:trHeight w:val="253"/>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24610D" w:rsidRPr="00692EB0" w:rsidP="0024610D" w14:paraId="4CB3B76D" w14:textId="77777777">
            <w:pPr>
              <w:spacing w:after="0" w:line="240" w:lineRule="auto"/>
              <w:rPr>
                <w:rFonts w:ascii="Times New Roman" w:hAnsi="Times New Roman" w:cs="Times New Roman"/>
                <w:b/>
                <w:color w:val="000000"/>
                <w:sz w:val="20"/>
                <w:szCs w:val="20"/>
              </w:rPr>
            </w:pPr>
            <w:r w:rsidRPr="00692EB0">
              <w:rPr>
                <w:rFonts w:ascii="Times New Roman" w:hAnsi="Times New Roman" w:cs="Times New Roman"/>
                <w:b/>
                <w:color w:val="000000"/>
                <w:sz w:val="20"/>
                <w:szCs w:val="20"/>
              </w:rPr>
              <w:t>Onsite Total</w:t>
            </w:r>
          </w:p>
        </w:tc>
        <w:tc>
          <w:tcPr>
            <w:tcW w:w="1068" w:type="dxa"/>
            <w:tcBorders>
              <w:top w:val="nil"/>
              <w:left w:val="nil"/>
              <w:bottom w:val="single" w:sz="8" w:space="0" w:color="000000"/>
              <w:right w:val="single" w:sz="8" w:space="0" w:color="000000"/>
            </w:tcBorders>
            <w:shd w:val="clear" w:color="auto" w:fill="auto"/>
            <w:vAlign w:val="center"/>
            <w:hideMark/>
          </w:tcPr>
          <w:p w:rsidR="0024610D" w:rsidRPr="00692EB0" w:rsidP="0024610D" w14:paraId="2590A9B0" w14:textId="77777777">
            <w:pPr>
              <w:spacing w:after="0" w:line="240" w:lineRule="auto"/>
              <w:jc w:val="center"/>
              <w:rPr>
                <w:rFonts w:ascii="Times New Roman" w:eastAsia="Times New Roman" w:hAnsi="Times New Roman" w:cs="Times New Roman"/>
                <w:color w:val="000000"/>
                <w:sz w:val="20"/>
                <w:szCs w:val="20"/>
              </w:rPr>
            </w:pPr>
          </w:p>
        </w:tc>
        <w:tc>
          <w:tcPr>
            <w:tcW w:w="1152" w:type="dxa"/>
            <w:tcBorders>
              <w:top w:val="nil"/>
              <w:left w:val="nil"/>
              <w:bottom w:val="single" w:sz="8" w:space="0" w:color="000000"/>
              <w:right w:val="single" w:sz="8" w:space="0" w:color="000000"/>
            </w:tcBorders>
            <w:shd w:val="clear" w:color="auto" w:fill="auto"/>
            <w:vAlign w:val="center"/>
            <w:hideMark/>
          </w:tcPr>
          <w:p w:rsidR="0024610D" w:rsidRPr="0024610D" w:rsidP="0024610D" w14:paraId="39CA9DA7" w14:textId="77777777">
            <w:pPr>
              <w:spacing w:after="0" w:line="240" w:lineRule="auto"/>
              <w:jc w:val="center"/>
              <w:rPr>
                <w:rFonts w:ascii="Times New Roman" w:eastAsia="Times New Roman" w:hAnsi="Times New Roman" w:cs="Times New Roman"/>
                <w:color w:val="000000"/>
                <w:sz w:val="20"/>
                <w:szCs w:val="20"/>
              </w:rPr>
            </w:pPr>
            <w:r w:rsidRPr="0024610D">
              <w:rPr>
                <w:rFonts w:ascii="Times New Roman" w:hAnsi="Times New Roman" w:cs="Times New Roman"/>
                <w:b/>
                <w:bCs/>
                <w:color w:val="000000"/>
                <w:sz w:val="20"/>
                <w:szCs w:val="20"/>
              </w:rPr>
              <w:t xml:space="preserve">$2,489.49 </w:t>
            </w:r>
          </w:p>
        </w:tc>
        <w:tc>
          <w:tcPr>
            <w:tcW w:w="1555" w:type="dxa"/>
            <w:tcBorders>
              <w:top w:val="nil"/>
              <w:left w:val="nil"/>
              <w:bottom w:val="single" w:sz="8" w:space="0" w:color="000000"/>
              <w:right w:val="single" w:sz="8" w:space="0" w:color="000000"/>
            </w:tcBorders>
            <w:shd w:val="clear" w:color="auto" w:fill="auto"/>
            <w:vAlign w:val="center"/>
            <w:hideMark/>
          </w:tcPr>
          <w:p w:rsidR="0024610D" w:rsidRPr="0024610D" w:rsidP="0024610D" w14:paraId="2D0EEBE8" w14:textId="77777777">
            <w:pPr>
              <w:spacing w:after="0" w:line="240" w:lineRule="auto"/>
              <w:jc w:val="center"/>
              <w:rPr>
                <w:rFonts w:ascii="Times New Roman" w:eastAsia="Times New Roman" w:hAnsi="Times New Roman" w:cs="Times New Roman"/>
                <w:color w:val="000000"/>
                <w:sz w:val="20"/>
                <w:szCs w:val="20"/>
              </w:rPr>
            </w:pPr>
            <w:r w:rsidRPr="0024610D">
              <w:rPr>
                <w:rFonts w:ascii="Times New Roman" w:hAnsi="Times New Roman" w:cs="Times New Roman"/>
                <w:b/>
                <w:bCs/>
                <w:color w:val="000000"/>
                <w:sz w:val="20"/>
                <w:szCs w:val="20"/>
              </w:rPr>
              <w:t xml:space="preserve">$497.90 </w:t>
            </w:r>
          </w:p>
        </w:tc>
        <w:tc>
          <w:tcPr>
            <w:tcW w:w="3003" w:type="dxa"/>
            <w:tcBorders>
              <w:top w:val="nil"/>
              <w:left w:val="nil"/>
              <w:bottom w:val="single" w:sz="8" w:space="0" w:color="000000"/>
              <w:right w:val="single" w:sz="8" w:space="0" w:color="000000"/>
            </w:tcBorders>
            <w:shd w:val="clear" w:color="auto" w:fill="auto"/>
            <w:vAlign w:val="center"/>
            <w:hideMark/>
          </w:tcPr>
          <w:p w:rsidR="0024610D" w:rsidRPr="0024610D" w:rsidP="0024610D" w14:paraId="307CEDC3" w14:textId="77777777">
            <w:pPr>
              <w:spacing w:after="0" w:line="240" w:lineRule="auto"/>
              <w:jc w:val="center"/>
              <w:rPr>
                <w:rFonts w:ascii="Times New Roman" w:eastAsia="Times New Roman" w:hAnsi="Times New Roman" w:cs="Times New Roman"/>
                <w:color w:val="000000"/>
                <w:sz w:val="20"/>
                <w:szCs w:val="20"/>
              </w:rPr>
            </w:pPr>
            <w:r w:rsidRPr="0024610D">
              <w:rPr>
                <w:rFonts w:ascii="Times New Roman" w:hAnsi="Times New Roman" w:cs="Times New Roman"/>
                <w:b/>
                <w:bCs/>
                <w:color w:val="000000"/>
                <w:sz w:val="20"/>
                <w:szCs w:val="20"/>
              </w:rPr>
              <w:t xml:space="preserve">$5.10 </w:t>
            </w:r>
          </w:p>
        </w:tc>
        <w:tc>
          <w:tcPr>
            <w:tcW w:w="1505" w:type="dxa"/>
            <w:tcBorders>
              <w:top w:val="nil"/>
              <w:left w:val="nil"/>
              <w:bottom w:val="single" w:sz="8" w:space="0" w:color="000000"/>
              <w:right w:val="single" w:sz="8" w:space="0" w:color="000000"/>
            </w:tcBorders>
          </w:tcPr>
          <w:p w:rsidR="0024610D" w:rsidRPr="00692EB0" w:rsidP="0024610D" w14:paraId="43BA1A72" w14:textId="7777777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$0.05</w:t>
            </w:r>
          </w:p>
        </w:tc>
      </w:tr>
      <w:tr w14:paraId="4CC9F75D" w14:textId="77777777">
        <w:tblPrEx>
          <w:tblW w:w="9960" w:type="dxa"/>
          <w:jc w:val="center"/>
          <w:tblLook w:val="04A0"/>
        </w:tblPrEx>
        <w:trPr>
          <w:trHeight w:val="157"/>
          <w:jc w:val="center"/>
        </w:trPr>
        <w:tc>
          <w:tcPr>
            <w:tcW w:w="9960" w:type="dxa"/>
            <w:gridSpan w:val="6"/>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EA4E87" w:rsidRPr="00B40BE0" w:rsidP="00B40BE0" w14:paraId="5ECF2BA3" w14:textId="77777777">
            <w:pPr>
              <w:spacing w:after="0" w:line="240" w:lineRule="auto"/>
              <w:rPr>
                <w:rFonts w:ascii="Times New Roman" w:eastAsia="Times New Roman" w:hAnsi="Times New Roman" w:cs="Times New Roman"/>
                <w:b/>
                <w:bCs/>
                <w:color w:val="000000"/>
                <w:sz w:val="20"/>
                <w:szCs w:val="20"/>
              </w:rPr>
            </w:pPr>
            <w:r w:rsidRPr="00B40BE0">
              <w:rPr>
                <w:rFonts w:ascii="Times New Roman" w:eastAsia="Times New Roman" w:hAnsi="Times New Roman" w:cs="Times New Roman"/>
                <w:b/>
                <w:bCs/>
                <w:color w:val="000000"/>
                <w:sz w:val="20"/>
                <w:szCs w:val="20"/>
              </w:rPr>
              <w:t>Offsite</w:t>
            </w:r>
          </w:p>
        </w:tc>
      </w:tr>
      <w:tr w14:paraId="74A367CA" w14:textId="77777777" w:rsidTr="00E96098">
        <w:tblPrEx>
          <w:tblW w:w="9960" w:type="dxa"/>
          <w:jc w:val="center"/>
          <w:tblLook w:val="04A0"/>
        </w:tblPrEx>
        <w:trPr>
          <w:trHeight w:val="204"/>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E96098" w:rsidRPr="00692EB0" w:rsidP="00837F16" w14:paraId="7B237AE1" w14:textId="77777777">
            <w:pPr>
              <w:spacing w:after="0" w:line="240" w:lineRule="auto"/>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Fatalities</w:t>
            </w:r>
          </w:p>
        </w:tc>
        <w:tc>
          <w:tcPr>
            <w:tcW w:w="1068" w:type="dxa"/>
            <w:tcBorders>
              <w:top w:val="nil"/>
              <w:left w:val="nil"/>
              <w:bottom w:val="single" w:sz="8" w:space="0" w:color="000000"/>
              <w:right w:val="single" w:sz="8" w:space="0" w:color="000000"/>
            </w:tcBorders>
            <w:shd w:val="clear" w:color="auto" w:fill="auto"/>
            <w:vAlign w:val="center"/>
            <w:hideMark/>
          </w:tcPr>
          <w:p w:rsidR="00E96098" w:rsidRPr="00692EB0" w:rsidP="00837F16" w14:paraId="1B2E109D"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w:t>
            </w:r>
          </w:p>
        </w:tc>
        <w:tc>
          <w:tcPr>
            <w:tcW w:w="1152" w:type="dxa"/>
            <w:tcBorders>
              <w:top w:val="nil"/>
              <w:left w:val="nil"/>
              <w:bottom w:val="single" w:sz="8" w:space="0" w:color="000000"/>
              <w:right w:val="single" w:sz="8" w:space="0" w:color="000000"/>
            </w:tcBorders>
            <w:shd w:val="clear" w:color="auto" w:fill="auto"/>
            <w:vAlign w:val="center"/>
            <w:hideMark/>
          </w:tcPr>
          <w:p w:rsidR="00E96098" w:rsidRPr="00692EB0" w:rsidP="00837F16" w14:paraId="514008B6"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$0.00</w:t>
            </w:r>
          </w:p>
        </w:tc>
        <w:tc>
          <w:tcPr>
            <w:tcW w:w="1555" w:type="dxa"/>
            <w:tcBorders>
              <w:top w:val="nil"/>
              <w:left w:val="nil"/>
              <w:bottom w:val="single" w:sz="8" w:space="0" w:color="000000"/>
              <w:right w:val="single" w:sz="8" w:space="0" w:color="000000"/>
            </w:tcBorders>
            <w:shd w:val="clear" w:color="auto" w:fill="auto"/>
            <w:vAlign w:val="center"/>
            <w:hideMark/>
          </w:tcPr>
          <w:p w:rsidR="00E96098" w:rsidRPr="00692EB0" w:rsidP="00837F16" w14:paraId="209B185E"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$0.00</w:t>
            </w:r>
          </w:p>
        </w:tc>
        <w:tc>
          <w:tcPr>
            <w:tcW w:w="3003" w:type="dxa"/>
            <w:tcBorders>
              <w:top w:val="nil"/>
              <w:left w:val="nil"/>
              <w:bottom w:val="single" w:sz="8" w:space="0" w:color="000000"/>
              <w:right w:val="single" w:sz="8" w:space="0" w:color="000000"/>
            </w:tcBorders>
            <w:shd w:val="clear" w:color="auto" w:fill="auto"/>
            <w:vAlign w:val="center"/>
            <w:hideMark/>
          </w:tcPr>
          <w:p w:rsidR="00E96098" w:rsidRPr="00692EB0" w:rsidP="00837F16" w14:paraId="7902975A"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$0.00</w:t>
            </w:r>
          </w:p>
        </w:tc>
        <w:tc>
          <w:tcPr>
            <w:tcW w:w="1505" w:type="dxa"/>
            <w:tcBorders>
              <w:top w:val="nil"/>
              <w:left w:val="nil"/>
              <w:bottom w:val="single" w:sz="8" w:space="0" w:color="000000"/>
              <w:right w:val="single" w:sz="8" w:space="0" w:color="000000"/>
            </w:tcBorders>
          </w:tcPr>
          <w:p w:rsidR="00E96098" w:rsidRPr="00692EB0" w:rsidP="00837F16" w14:paraId="7375434A"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143FE524" w14:textId="77777777" w:rsidTr="00E96098">
        <w:tblPrEx>
          <w:tblW w:w="9960" w:type="dxa"/>
          <w:jc w:val="center"/>
          <w:tblLook w:val="04A0"/>
        </w:tblPrEx>
        <w:trPr>
          <w:trHeight w:val="236"/>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E96098" w:rsidRPr="00692EB0" w:rsidP="00837F16" w14:paraId="3BD19E9A" w14:textId="77777777">
            <w:pPr>
              <w:spacing w:after="0" w:line="240" w:lineRule="auto"/>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Hospitalizations</w:t>
            </w:r>
          </w:p>
        </w:tc>
        <w:tc>
          <w:tcPr>
            <w:tcW w:w="1068" w:type="dxa"/>
            <w:tcBorders>
              <w:top w:val="nil"/>
              <w:left w:val="nil"/>
              <w:bottom w:val="single" w:sz="8" w:space="0" w:color="000000"/>
              <w:right w:val="single" w:sz="8" w:space="0" w:color="000000"/>
            </w:tcBorders>
            <w:shd w:val="clear" w:color="auto" w:fill="auto"/>
            <w:vAlign w:val="center"/>
            <w:hideMark/>
          </w:tcPr>
          <w:p w:rsidR="00E96098" w:rsidRPr="00692EB0" w:rsidP="00837F16" w14:paraId="73BE5B46"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$0.045</w:t>
            </w:r>
          </w:p>
        </w:tc>
        <w:tc>
          <w:tcPr>
            <w:tcW w:w="1152" w:type="dxa"/>
            <w:tcBorders>
              <w:top w:val="nil"/>
              <w:left w:val="nil"/>
              <w:bottom w:val="single" w:sz="8" w:space="0" w:color="000000"/>
              <w:right w:val="single" w:sz="8" w:space="0" w:color="000000"/>
            </w:tcBorders>
            <w:shd w:val="clear" w:color="auto" w:fill="auto"/>
            <w:vAlign w:val="center"/>
            <w:hideMark/>
          </w:tcPr>
          <w:p w:rsidR="00E96098" w:rsidRPr="00692EB0" w:rsidP="00837F16" w14:paraId="68C08AC2"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$1.40</w:t>
            </w:r>
          </w:p>
        </w:tc>
        <w:tc>
          <w:tcPr>
            <w:tcW w:w="1555" w:type="dxa"/>
            <w:tcBorders>
              <w:top w:val="nil"/>
              <w:left w:val="nil"/>
              <w:bottom w:val="single" w:sz="8" w:space="0" w:color="000000"/>
              <w:right w:val="single" w:sz="8" w:space="0" w:color="000000"/>
            </w:tcBorders>
            <w:shd w:val="clear" w:color="auto" w:fill="auto"/>
            <w:vAlign w:val="center"/>
            <w:hideMark/>
          </w:tcPr>
          <w:p w:rsidR="00E96098" w:rsidRPr="00692EB0" w:rsidP="00837F16" w14:paraId="3D9817E8"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$0.28</w:t>
            </w:r>
          </w:p>
        </w:tc>
        <w:tc>
          <w:tcPr>
            <w:tcW w:w="3003" w:type="dxa"/>
            <w:tcBorders>
              <w:top w:val="nil"/>
              <w:left w:val="nil"/>
              <w:bottom w:val="single" w:sz="8" w:space="0" w:color="000000"/>
              <w:right w:val="single" w:sz="8" w:space="0" w:color="000000"/>
            </w:tcBorders>
            <w:shd w:val="clear" w:color="auto" w:fill="auto"/>
            <w:vAlign w:val="center"/>
            <w:hideMark/>
          </w:tcPr>
          <w:p w:rsidR="00E96098" w:rsidRPr="00692EB0" w:rsidP="00837F16" w14:paraId="0ED9FA8C"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$0.00</w:t>
            </w:r>
          </w:p>
        </w:tc>
        <w:tc>
          <w:tcPr>
            <w:tcW w:w="1505" w:type="dxa"/>
            <w:tcBorders>
              <w:top w:val="nil"/>
              <w:left w:val="nil"/>
              <w:bottom w:val="single" w:sz="8" w:space="0" w:color="000000"/>
              <w:right w:val="single" w:sz="8" w:space="0" w:color="000000"/>
            </w:tcBorders>
          </w:tcPr>
          <w:p w:rsidR="00E96098" w:rsidRPr="00692EB0" w:rsidP="00837F16" w14:paraId="5B6D897A"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03A11C75" w14:textId="77777777" w:rsidTr="00E96098">
        <w:tblPrEx>
          <w:tblW w:w="9960" w:type="dxa"/>
          <w:jc w:val="center"/>
          <w:tblLook w:val="04A0"/>
        </w:tblPrEx>
        <w:trPr>
          <w:trHeight w:val="217"/>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E96098" w:rsidRPr="00692EB0" w:rsidP="00837F16" w14:paraId="7246450E" w14:textId="77777777">
            <w:pPr>
              <w:spacing w:after="0" w:line="240" w:lineRule="auto"/>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Medical Treatment</w:t>
            </w:r>
          </w:p>
        </w:tc>
        <w:tc>
          <w:tcPr>
            <w:tcW w:w="1068" w:type="dxa"/>
            <w:tcBorders>
              <w:top w:val="nil"/>
              <w:left w:val="nil"/>
              <w:bottom w:val="single" w:sz="8" w:space="0" w:color="000000"/>
              <w:right w:val="single" w:sz="8" w:space="0" w:color="000000"/>
            </w:tcBorders>
            <w:shd w:val="clear" w:color="auto" w:fill="auto"/>
            <w:vAlign w:val="center"/>
            <w:hideMark/>
          </w:tcPr>
          <w:p w:rsidR="00E96098" w:rsidRPr="00692EB0" w:rsidP="00837F16" w14:paraId="0CD42605"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$0.001</w:t>
            </w:r>
          </w:p>
        </w:tc>
        <w:tc>
          <w:tcPr>
            <w:tcW w:w="1152" w:type="dxa"/>
            <w:tcBorders>
              <w:top w:val="nil"/>
              <w:left w:val="nil"/>
              <w:bottom w:val="single" w:sz="8" w:space="0" w:color="000000"/>
              <w:right w:val="single" w:sz="8" w:space="0" w:color="000000"/>
            </w:tcBorders>
            <w:shd w:val="clear" w:color="auto" w:fill="auto"/>
            <w:vAlign w:val="center"/>
            <w:hideMark/>
          </w:tcPr>
          <w:p w:rsidR="00E96098" w:rsidRPr="00692EB0" w:rsidP="00837F16" w14:paraId="41C35214"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$0.13</w:t>
            </w:r>
          </w:p>
        </w:tc>
        <w:tc>
          <w:tcPr>
            <w:tcW w:w="1555" w:type="dxa"/>
            <w:tcBorders>
              <w:top w:val="nil"/>
              <w:left w:val="nil"/>
              <w:bottom w:val="single" w:sz="8" w:space="0" w:color="000000"/>
              <w:right w:val="single" w:sz="8" w:space="0" w:color="000000"/>
            </w:tcBorders>
            <w:shd w:val="clear" w:color="auto" w:fill="auto"/>
            <w:vAlign w:val="center"/>
            <w:hideMark/>
          </w:tcPr>
          <w:p w:rsidR="00E96098" w:rsidRPr="00692EB0" w:rsidP="00837F16" w14:paraId="7D308EF2"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$0.03</w:t>
            </w:r>
          </w:p>
        </w:tc>
        <w:tc>
          <w:tcPr>
            <w:tcW w:w="3003" w:type="dxa"/>
            <w:tcBorders>
              <w:top w:val="nil"/>
              <w:left w:val="nil"/>
              <w:bottom w:val="single" w:sz="8" w:space="0" w:color="000000"/>
              <w:right w:val="single" w:sz="8" w:space="0" w:color="000000"/>
            </w:tcBorders>
            <w:shd w:val="clear" w:color="auto" w:fill="auto"/>
            <w:vAlign w:val="center"/>
            <w:hideMark/>
          </w:tcPr>
          <w:p w:rsidR="00E96098" w:rsidRPr="00692EB0" w:rsidP="00837F16" w14:paraId="4AE8D745"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$0.00</w:t>
            </w:r>
          </w:p>
        </w:tc>
        <w:tc>
          <w:tcPr>
            <w:tcW w:w="1505" w:type="dxa"/>
            <w:tcBorders>
              <w:top w:val="nil"/>
              <w:left w:val="nil"/>
              <w:bottom w:val="single" w:sz="8" w:space="0" w:color="000000"/>
              <w:right w:val="single" w:sz="8" w:space="0" w:color="000000"/>
            </w:tcBorders>
          </w:tcPr>
          <w:p w:rsidR="00E96098" w:rsidRPr="00692EB0" w:rsidP="00837F16" w14:paraId="6197478F"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6CD9310E" w14:textId="77777777" w:rsidTr="00E96098">
        <w:tblPrEx>
          <w:tblW w:w="9960" w:type="dxa"/>
          <w:jc w:val="center"/>
          <w:tblLook w:val="04A0"/>
        </w:tblPrEx>
        <w:trPr>
          <w:trHeight w:val="157"/>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E96098" w:rsidRPr="00692EB0" w:rsidP="00837F16" w14:paraId="56CD705F" w14:textId="77777777">
            <w:pPr>
              <w:spacing w:after="0" w:line="240" w:lineRule="auto"/>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Evacuations*</w:t>
            </w:r>
          </w:p>
        </w:tc>
        <w:tc>
          <w:tcPr>
            <w:tcW w:w="1068" w:type="dxa"/>
            <w:tcBorders>
              <w:top w:val="nil"/>
              <w:left w:val="nil"/>
              <w:bottom w:val="single" w:sz="8" w:space="0" w:color="000000"/>
              <w:right w:val="single" w:sz="8" w:space="0" w:color="000000"/>
            </w:tcBorders>
            <w:shd w:val="clear" w:color="auto" w:fill="auto"/>
            <w:vAlign w:val="center"/>
            <w:hideMark/>
          </w:tcPr>
          <w:p w:rsidR="00E96098" w:rsidRPr="00692EB0" w:rsidP="00837F16" w14:paraId="225CCB60"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$0.00</w:t>
            </w:r>
            <w:r w:rsidR="0024610D">
              <w:rPr>
                <w:rFonts w:ascii="Times New Roman" w:eastAsia="Times New Roman" w:hAnsi="Times New Roman" w:cs="Times New Roman"/>
                <w:color w:val="000000"/>
                <w:sz w:val="20"/>
                <w:szCs w:val="20"/>
              </w:rPr>
              <w:t>0</w:t>
            </w:r>
          </w:p>
        </w:tc>
        <w:tc>
          <w:tcPr>
            <w:tcW w:w="1152" w:type="dxa"/>
            <w:tcBorders>
              <w:top w:val="nil"/>
              <w:left w:val="nil"/>
              <w:bottom w:val="single" w:sz="8" w:space="0" w:color="000000"/>
              <w:right w:val="single" w:sz="8" w:space="0" w:color="000000"/>
            </w:tcBorders>
            <w:shd w:val="clear" w:color="auto" w:fill="auto"/>
            <w:vAlign w:val="center"/>
            <w:hideMark/>
          </w:tcPr>
          <w:p w:rsidR="00E96098" w:rsidRPr="00692EB0" w:rsidP="00837F16" w14:paraId="5CF2D3B3"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$1</w:t>
            </w:r>
            <w:r w:rsidR="00444526">
              <w:rPr>
                <w:rFonts w:ascii="Times New Roman" w:eastAsia="Times New Roman" w:hAnsi="Times New Roman" w:cs="Times New Roman"/>
                <w:color w:val="000000"/>
                <w:sz w:val="20"/>
                <w:szCs w:val="20"/>
              </w:rPr>
              <w:t>8.99</w:t>
            </w:r>
          </w:p>
        </w:tc>
        <w:tc>
          <w:tcPr>
            <w:tcW w:w="1555" w:type="dxa"/>
            <w:tcBorders>
              <w:top w:val="nil"/>
              <w:left w:val="nil"/>
              <w:bottom w:val="single" w:sz="8" w:space="0" w:color="000000"/>
              <w:right w:val="single" w:sz="8" w:space="0" w:color="000000"/>
            </w:tcBorders>
            <w:shd w:val="clear" w:color="auto" w:fill="auto"/>
            <w:vAlign w:val="center"/>
            <w:hideMark/>
          </w:tcPr>
          <w:p w:rsidR="00E96098" w:rsidRPr="00692EB0" w:rsidP="00837F16" w14:paraId="6AB07236"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w:t>
            </w:r>
            <w:r w:rsidR="00027EDE">
              <w:rPr>
                <w:rFonts w:ascii="Times New Roman" w:eastAsia="Times New Roman" w:hAnsi="Times New Roman" w:cs="Times New Roman"/>
                <w:color w:val="000000"/>
                <w:sz w:val="20"/>
                <w:szCs w:val="20"/>
              </w:rPr>
              <w:t>3.80</w:t>
            </w:r>
          </w:p>
        </w:tc>
        <w:tc>
          <w:tcPr>
            <w:tcW w:w="3003" w:type="dxa"/>
            <w:tcBorders>
              <w:top w:val="nil"/>
              <w:left w:val="nil"/>
              <w:bottom w:val="single" w:sz="8" w:space="0" w:color="000000"/>
              <w:right w:val="single" w:sz="8" w:space="0" w:color="000000"/>
            </w:tcBorders>
            <w:shd w:val="clear" w:color="auto" w:fill="auto"/>
            <w:vAlign w:val="center"/>
            <w:hideMark/>
          </w:tcPr>
          <w:p w:rsidR="00E96098" w:rsidRPr="00692EB0" w:rsidP="00837F16" w14:paraId="0E1A68F2"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w:t>
            </w:r>
            <w:r w:rsidR="00220A2D">
              <w:rPr>
                <w:rFonts w:ascii="Times New Roman" w:eastAsia="Times New Roman" w:hAnsi="Times New Roman" w:cs="Times New Roman"/>
                <w:color w:val="000000"/>
                <w:sz w:val="20"/>
                <w:szCs w:val="20"/>
              </w:rPr>
              <w:t>4</w:t>
            </w:r>
          </w:p>
        </w:tc>
        <w:tc>
          <w:tcPr>
            <w:tcW w:w="1505" w:type="dxa"/>
            <w:tcBorders>
              <w:top w:val="nil"/>
              <w:left w:val="nil"/>
              <w:bottom w:val="single" w:sz="8" w:space="0" w:color="000000"/>
              <w:right w:val="single" w:sz="8" w:space="0" w:color="000000"/>
            </w:tcBorders>
          </w:tcPr>
          <w:p w:rsidR="00E96098" w:rsidRPr="00692EB0" w:rsidP="00837F16" w14:paraId="2638D1E6"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009D3A62" w14:textId="77777777" w:rsidTr="00E96098">
        <w:tblPrEx>
          <w:tblW w:w="9960" w:type="dxa"/>
          <w:jc w:val="center"/>
          <w:tblLook w:val="04A0"/>
        </w:tblPrEx>
        <w:trPr>
          <w:trHeight w:val="308"/>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E96098" w:rsidRPr="00692EB0" w:rsidP="00837F16" w14:paraId="633BD162" w14:textId="77777777">
            <w:pPr>
              <w:spacing w:after="0" w:line="240" w:lineRule="auto"/>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Sheltering in Place*</w:t>
            </w:r>
          </w:p>
        </w:tc>
        <w:tc>
          <w:tcPr>
            <w:tcW w:w="1068" w:type="dxa"/>
            <w:tcBorders>
              <w:top w:val="nil"/>
              <w:left w:val="nil"/>
              <w:bottom w:val="single" w:sz="8" w:space="0" w:color="000000"/>
              <w:right w:val="single" w:sz="8" w:space="0" w:color="000000"/>
            </w:tcBorders>
            <w:shd w:val="clear" w:color="auto" w:fill="auto"/>
            <w:vAlign w:val="center"/>
            <w:hideMark/>
          </w:tcPr>
          <w:p w:rsidR="00E96098" w:rsidRPr="00692EB0" w:rsidP="00837F16" w14:paraId="08DC7AA4"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$0.00</w:t>
            </w:r>
            <w:r w:rsidR="0024610D">
              <w:rPr>
                <w:rFonts w:ascii="Times New Roman" w:eastAsia="Times New Roman" w:hAnsi="Times New Roman" w:cs="Times New Roman"/>
                <w:color w:val="000000"/>
                <w:sz w:val="20"/>
                <w:szCs w:val="20"/>
              </w:rPr>
              <w:t>0</w:t>
            </w:r>
          </w:p>
        </w:tc>
        <w:tc>
          <w:tcPr>
            <w:tcW w:w="1152" w:type="dxa"/>
            <w:tcBorders>
              <w:top w:val="nil"/>
              <w:left w:val="nil"/>
              <w:bottom w:val="single" w:sz="8" w:space="0" w:color="000000"/>
              <w:right w:val="single" w:sz="8" w:space="0" w:color="000000"/>
            </w:tcBorders>
            <w:shd w:val="clear" w:color="auto" w:fill="auto"/>
            <w:vAlign w:val="center"/>
            <w:hideMark/>
          </w:tcPr>
          <w:p w:rsidR="00E96098" w:rsidRPr="00692EB0" w:rsidP="00837F16" w14:paraId="0D59977C"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w:t>
            </w:r>
            <w:r w:rsidR="00C21294">
              <w:rPr>
                <w:rFonts w:ascii="Times New Roman" w:eastAsia="Times New Roman" w:hAnsi="Times New Roman" w:cs="Times New Roman"/>
                <w:color w:val="000000"/>
                <w:sz w:val="20"/>
                <w:szCs w:val="20"/>
              </w:rPr>
              <w:t>12.58</w:t>
            </w:r>
          </w:p>
        </w:tc>
        <w:tc>
          <w:tcPr>
            <w:tcW w:w="1555" w:type="dxa"/>
            <w:tcBorders>
              <w:top w:val="nil"/>
              <w:left w:val="nil"/>
              <w:bottom w:val="single" w:sz="8" w:space="0" w:color="000000"/>
              <w:right w:val="single" w:sz="8" w:space="0" w:color="000000"/>
            </w:tcBorders>
            <w:shd w:val="clear" w:color="auto" w:fill="auto"/>
            <w:vAlign w:val="center"/>
            <w:hideMark/>
          </w:tcPr>
          <w:p w:rsidR="00E96098" w:rsidRPr="00692EB0" w:rsidP="00837F16" w14:paraId="41152279"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w:t>
            </w:r>
            <w:r w:rsidR="00027EDE">
              <w:rPr>
                <w:rFonts w:ascii="Times New Roman" w:eastAsia="Times New Roman" w:hAnsi="Times New Roman" w:cs="Times New Roman"/>
                <w:color w:val="000000"/>
                <w:sz w:val="20"/>
                <w:szCs w:val="20"/>
              </w:rPr>
              <w:t>2.52</w:t>
            </w:r>
          </w:p>
        </w:tc>
        <w:tc>
          <w:tcPr>
            <w:tcW w:w="3003" w:type="dxa"/>
            <w:tcBorders>
              <w:top w:val="nil"/>
              <w:left w:val="nil"/>
              <w:bottom w:val="single" w:sz="8" w:space="0" w:color="000000"/>
              <w:right w:val="single" w:sz="8" w:space="0" w:color="000000"/>
            </w:tcBorders>
            <w:shd w:val="clear" w:color="auto" w:fill="auto"/>
            <w:vAlign w:val="center"/>
            <w:hideMark/>
          </w:tcPr>
          <w:p w:rsidR="00E96098" w:rsidRPr="00692EB0" w:rsidP="00837F16" w14:paraId="62D85F29" w14:textId="77777777">
            <w:pPr>
              <w:spacing w:after="0" w:line="240" w:lineRule="auto"/>
              <w:jc w:val="center"/>
              <w:rPr>
                <w:rFonts w:ascii="Times New Roman" w:eastAsia="Times New Roman" w:hAnsi="Times New Roman" w:cs="Times New Roman"/>
                <w:color w:val="000000"/>
                <w:sz w:val="20"/>
                <w:szCs w:val="20"/>
              </w:rPr>
            </w:pPr>
            <w:r w:rsidRPr="00692EB0">
              <w:rPr>
                <w:rFonts w:ascii="Times New Roman" w:eastAsia="Times New Roman" w:hAnsi="Times New Roman" w:cs="Times New Roman"/>
                <w:color w:val="000000"/>
                <w:sz w:val="20"/>
                <w:szCs w:val="20"/>
              </w:rPr>
              <w:t>$0.0</w:t>
            </w:r>
            <w:r w:rsidR="003B0267">
              <w:rPr>
                <w:rFonts w:ascii="Times New Roman" w:eastAsia="Times New Roman" w:hAnsi="Times New Roman" w:cs="Times New Roman"/>
                <w:color w:val="000000"/>
                <w:sz w:val="20"/>
                <w:szCs w:val="20"/>
              </w:rPr>
              <w:t>3</w:t>
            </w:r>
          </w:p>
        </w:tc>
        <w:tc>
          <w:tcPr>
            <w:tcW w:w="1505" w:type="dxa"/>
            <w:tcBorders>
              <w:top w:val="nil"/>
              <w:left w:val="nil"/>
              <w:bottom w:val="single" w:sz="8" w:space="0" w:color="000000"/>
              <w:right w:val="single" w:sz="8" w:space="0" w:color="000000"/>
            </w:tcBorders>
          </w:tcPr>
          <w:p w:rsidR="00E96098" w:rsidRPr="00692EB0" w:rsidP="00837F16" w14:paraId="21C7949E"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16DF7BF5" w14:textId="77777777" w:rsidTr="00E96098">
        <w:tblPrEx>
          <w:tblW w:w="9960" w:type="dxa"/>
          <w:jc w:val="center"/>
          <w:tblLook w:val="04A0"/>
        </w:tblPrEx>
        <w:trPr>
          <w:trHeight w:val="190"/>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E96098" w:rsidRPr="00692EB0" w:rsidP="00837F16" w14:paraId="2AD571EF" w14:textId="77777777">
            <w:pPr>
              <w:spacing w:after="0" w:line="240" w:lineRule="auto"/>
              <w:rPr>
                <w:rFonts w:ascii="Times New Roman" w:hAnsi="Times New Roman" w:cs="Times New Roman"/>
                <w:color w:val="000000"/>
                <w:sz w:val="20"/>
                <w:szCs w:val="20"/>
              </w:rPr>
            </w:pPr>
            <w:r w:rsidRPr="00692EB0">
              <w:rPr>
                <w:rFonts w:ascii="Times New Roman" w:hAnsi="Times New Roman" w:cs="Times New Roman"/>
                <w:color w:val="000000"/>
                <w:sz w:val="20"/>
                <w:szCs w:val="20"/>
              </w:rPr>
              <w:t>Property Damage</w:t>
            </w:r>
          </w:p>
        </w:tc>
        <w:tc>
          <w:tcPr>
            <w:tcW w:w="1068" w:type="dxa"/>
            <w:tcBorders>
              <w:top w:val="nil"/>
              <w:left w:val="nil"/>
              <w:bottom w:val="single" w:sz="8" w:space="0" w:color="000000"/>
              <w:right w:val="single" w:sz="8" w:space="0" w:color="000000"/>
            </w:tcBorders>
            <w:shd w:val="clear" w:color="auto" w:fill="auto"/>
            <w:vAlign w:val="center"/>
            <w:hideMark/>
          </w:tcPr>
          <w:p w:rsidR="00E96098" w:rsidRPr="00692EB0" w:rsidP="00692EB0" w14:paraId="5980975E" w14:textId="77777777">
            <w:pPr>
              <w:spacing w:after="0" w:line="240" w:lineRule="auto"/>
              <w:jc w:val="center"/>
              <w:rPr>
                <w:rFonts w:ascii="Times New Roman" w:hAnsi="Times New Roman" w:cs="Times New Roman"/>
                <w:color w:val="000000"/>
                <w:sz w:val="20"/>
                <w:szCs w:val="20"/>
              </w:rPr>
            </w:pPr>
          </w:p>
        </w:tc>
        <w:tc>
          <w:tcPr>
            <w:tcW w:w="1152" w:type="dxa"/>
            <w:tcBorders>
              <w:top w:val="nil"/>
              <w:left w:val="nil"/>
              <w:bottom w:val="single" w:sz="8" w:space="0" w:color="000000"/>
              <w:right w:val="single" w:sz="8" w:space="0" w:color="000000"/>
            </w:tcBorders>
            <w:shd w:val="clear" w:color="auto" w:fill="auto"/>
            <w:vAlign w:val="center"/>
            <w:hideMark/>
          </w:tcPr>
          <w:p w:rsidR="00E96098" w:rsidRPr="00692EB0" w:rsidP="00837F16" w14:paraId="353BE9AC" w14:textId="77777777">
            <w:pPr>
              <w:spacing w:after="0" w:line="240" w:lineRule="auto"/>
              <w:jc w:val="center"/>
              <w:rPr>
                <w:rFonts w:ascii="Times New Roman" w:hAnsi="Times New Roman" w:cs="Times New Roman"/>
                <w:color w:val="000000"/>
                <w:sz w:val="20"/>
                <w:szCs w:val="20"/>
              </w:rPr>
            </w:pPr>
            <w:r w:rsidRPr="00692EB0">
              <w:rPr>
                <w:rFonts w:ascii="Times New Roman" w:hAnsi="Times New Roman" w:cs="Times New Roman"/>
                <w:color w:val="000000"/>
                <w:sz w:val="20"/>
                <w:szCs w:val="20"/>
              </w:rPr>
              <w:t>$1</w:t>
            </w:r>
            <w:r w:rsidR="00052F8D">
              <w:rPr>
                <w:rFonts w:ascii="Times New Roman" w:hAnsi="Times New Roman" w:cs="Times New Roman"/>
                <w:color w:val="000000"/>
                <w:sz w:val="20"/>
                <w:szCs w:val="20"/>
              </w:rPr>
              <w:t>78.55</w:t>
            </w:r>
          </w:p>
        </w:tc>
        <w:tc>
          <w:tcPr>
            <w:tcW w:w="1555" w:type="dxa"/>
            <w:tcBorders>
              <w:top w:val="nil"/>
              <w:left w:val="nil"/>
              <w:bottom w:val="single" w:sz="8" w:space="0" w:color="000000"/>
              <w:right w:val="single" w:sz="8" w:space="0" w:color="000000"/>
            </w:tcBorders>
            <w:shd w:val="clear" w:color="auto" w:fill="auto"/>
            <w:vAlign w:val="center"/>
            <w:hideMark/>
          </w:tcPr>
          <w:p w:rsidR="00E96098" w:rsidRPr="00692EB0" w:rsidP="00837F16" w14:paraId="568038A9"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$35.71</w:t>
            </w:r>
          </w:p>
        </w:tc>
        <w:tc>
          <w:tcPr>
            <w:tcW w:w="3003" w:type="dxa"/>
            <w:tcBorders>
              <w:top w:val="nil"/>
              <w:left w:val="nil"/>
              <w:bottom w:val="single" w:sz="8" w:space="0" w:color="000000"/>
              <w:right w:val="single" w:sz="8" w:space="0" w:color="000000"/>
            </w:tcBorders>
            <w:shd w:val="clear" w:color="auto" w:fill="auto"/>
            <w:vAlign w:val="center"/>
            <w:hideMark/>
          </w:tcPr>
          <w:p w:rsidR="00E96098" w:rsidRPr="00692EB0" w:rsidP="00837F16" w14:paraId="100A88AF"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052F8D">
              <w:rPr>
                <w:rFonts w:ascii="Times New Roman" w:hAnsi="Times New Roman" w:cs="Times New Roman"/>
                <w:color w:val="000000"/>
                <w:sz w:val="20"/>
                <w:szCs w:val="20"/>
              </w:rPr>
              <w:t>37</w:t>
            </w:r>
          </w:p>
        </w:tc>
        <w:tc>
          <w:tcPr>
            <w:tcW w:w="1505" w:type="dxa"/>
            <w:tcBorders>
              <w:top w:val="nil"/>
              <w:left w:val="nil"/>
              <w:bottom w:val="single" w:sz="8" w:space="0" w:color="000000"/>
              <w:right w:val="single" w:sz="8" w:space="0" w:color="000000"/>
            </w:tcBorders>
          </w:tcPr>
          <w:p w:rsidR="00E96098" w:rsidRPr="00692EB0" w:rsidP="00837F16" w14:paraId="7F2A5A84" w14:textId="77777777">
            <w:pPr>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318760DE" w14:textId="77777777" w:rsidTr="00E96098">
        <w:tblPrEx>
          <w:tblW w:w="9960" w:type="dxa"/>
          <w:jc w:val="center"/>
          <w:tblLook w:val="04A0"/>
        </w:tblPrEx>
        <w:trPr>
          <w:trHeight w:val="244"/>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0E6A88" w:rsidRPr="00692EB0" w:rsidP="000E6A88" w14:paraId="16A31F2D" w14:textId="77777777">
            <w:pPr>
              <w:spacing w:after="0" w:line="240" w:lineRule="auto"/>
              <w:rPr>
                <w:rFonts w:ascii="Times New Roman" w:hAnsi="Times New Roman" w:cs="Times New Roman"/>
                <w:b/>
                <w:color w:val="000000"/>
                <w:sz w:val="20"/>
                <w:szCs w:val="20"/>
              </w:rPr>
            </w:pPr>
            <w:r w:rsidRPr="00692EB0">
              <w:rPr>
                <w:rFonts w:ascii="Times New Roman" w:hAnsi="Times New Roman" w:cs="Times New Roman"/>
                <w:b/>
                <w:color w:val="000000"/>
                <w:sz w:val="20"/>
                <w:szCs w:val="20"/>
              </w:rPr>
              <w:t>Offsite Total</w:t>
            </w:r>
          </w:p>
        </w:tc>
        <w:tc>
          <w:tcPr>
            <w:tcW w:w="1068" w:type="dxa"/>
            <w:tcBorders>
              <w:top w:val="nil"/>
              <w:left w:val="nil"/>
              <w:bottom w:val="single" w:sz="8" w:space="0" w:color="000000"/>
              <w:right w:val="single" w:sz="8" w:space="0" w:color="000000"/>
            </w:tcBorders>
            <w:shd w:val="clear" w:color="auto" w:fill="auto"/>
            <w:vAlign w:val="center"/>
            <w:hideMark/>
          </w:tcPr>
          <w:p w:rsidR="000E6A88" w:rsidRPr="00692EB0" w:rsidP="000E6A88" w14:paraId="0AEFCB88" w14:textId="77777777">
            <w:pPr>
              <w:spacing w:after="0" w:line="240" w:lineRule="auto"/>
              <w:jc w:val="center"/>
              <w:rPr>
                <w:rFonts w:ascii="Times New Roman" w:eastAsia="Times New Roman" w:hAnsi="Times New Roman" w:cs="Times New Roman"/>
                <w:color w:val="000000"/>
                <w:sz w:val="20"/>
                <w:szCs w:val="20"/>
              </w:rPr>
            </w:pPr>
          </w:p>
        </w:tc>
        <w:tc>
          <w:tcPr>
            <w:tcW w:w="1152" w:type="dxa"/>
            <w:tcBorders>
              <w:top w:val="nil"/>
              <w:left w:val="nil"/>
              <w:bottom w:val="single" w:sz="8" w:space="0" w:color="000000"/>
              <w:right w:val="single" w:sz="8" w:space="0" w:color="000000"/>
            </w:tcBorders>
            <w:shd w:val="clear" w:color="auto" w:fill="auto"/>
            <w:vAlign w:val="center"/>
            <w:hideMark/>
          </w:tcPr>
          <w:p w:rsidR="000E6A88" w:rsidRPr="000E6A88" w:rsidP="000E6A88" w14:paraId="2C5FCD24" w14:textId="77777777">
            <w:pPr>
              <w:spacing w:after="0" w:line="240" w:lineRule="auto"/>
              <w:jc w:val="center"/>
              <w:rPr>
                <w:rFonts w:ascii="Times New Roman" w:eastAsia="Times New Roman" w:hAnsi="Times New Roman" w:cs="Times New Roman"/>
                <w:color w:val="000000"/>
                <w:sz w:val="20"/>
                <w:szCs w:val="20"/>
              </w:rPr>
            </w:pPr>
            <w:r w:rsidRPr="000E6A88">
              <w:rPr>
                <w:rFonts w:ascii="Times New Roman" w:hAnsi="Times New Roman" w:cs="Times New Roman"/>
                <w:b/>
                <w:bCs/>
                <w:color w:val="000000"/>
                <w:sz w:val="20"/>
                <w:szCs w:val="20"/>
              </w:rPr>
              <w:t>$2</w:t>
            </w:r>
            <w:r w:rsidR="00C21294">
              <w:rPr>
                <w:rFonts w:ascii="Times New Roman" w:hAnsi="Times New Roman" w:cs="Times New Roman"/>
                <w:b/>
                <w:bCs/>
                <w:color w:val="000000"/>
                <w:sz w:val="20"/>
                <w:szCs w:val="20"/>
              </w:rPr>
              <w:t>11.66</w:t>
            </w:r>
          </w:p>
        </w:tc>
        <w:tc>
          <w:tcPr>
            <w:tcW w:w="1555" w:type="dxa"/>
            <w:tcBorders>
              <w:top w:val="nil"/>
              <w:left w:val="nil"/>
              <w:bottom w:val="single" w:sz="8" w:space="0" w:color="000000"/>
              <w:right w:val="single" w:sz="8" w:space="0" w:color="000000"/>
            </w:tcBorders>
            <w:shd w:val="clear" w:color="auto" w:fill="auto"/>
            <w:vAlign w:val="center"/>
            <w:hideMark/>
          </w:tcPr>
          <w:p w:rsidR="000E6A88" w:rsidRPr="000E6A88" w:rsidP="000E6A88" w14:paraId="724DA269" w14:textId="77777777">
            <w:pPr>
              <w:spacing w:after="0" w:line="240" w:lineRule="auto"/>
              <w:jc w:val="center"/>
              <w:rPr>
                <w:rFonts w:ascii="Times New Roman" w:eastAsia="Times New Roman" w:hAnsi="Times New Roman" w:cs="Times New Roman"/>
                <w:color w:val="000000"/>
                <w:sz w:val="20"/>
                <w:szCs w:val="20"/>
              </w:rPr>
            </w:pPr>
            <w:r w:rsidRPr="000E6A88">
              <w:rPr>
                <w:rFonts w:ascii="Times New Roman" w:hAnsi="Times New Roman" w:cs="Times New Roman"/>
                <w:b/>
                <w:bCs/>
                <w:color w:val="000000"/>
                <w:sz w:val="20"/>
                <w:szCs w:val="20"/>
              </w:rPr>
              <w:t>$4</w:t>
            </w:r>
            <w:r w:rsidR="00521817">
              <w:rPr>
                <w:rFonts w:ascii="Times New Roman" w:hAnsi="Times New Roman" w:cs="Times New Roman"/>
                <w:b/>
                <w:bCs/>
                <w:color w:val="000000"/>
                <w:sz w:val="20"/>
                <w:szCs w:val="20"/>
              </w:rPr>
              <w:t>2.33</w:t>
            </w:r>
          </w:p>
        </w:tc>
        <w:tc>
          <w:tcPr>
            <w:tcW w:w="3003" w:type="dxa"/>
            <w:tcBorders>
              <w:top w:val="nil"/>
              <w:left w:val="nil"/>
              <w:bottom w:val="single" w:sz="8" w:space="0" w:color="000000"/>
              <w:right w:val="single" w:sz="8" w:space="0" w:color="000000"/>
            </w:tcBorders>
            <w:shd w:val="clear" w:color="auto" w:fill="auto"/>
            <w:vAlign w:val="center"/>
            <w:hideMark/>
          </w:tcPr>
          <w:p w:rsidR="000E6A88" w:rsidRPr="000E6A88" w:rsidP="000E6A88" w14:paraId="275C8929"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$0.4</w:t>
            </w:r>
            <w:r w:rsidR="003B0267">
              <w:rPr>
                <w:rFonts w:ascii="Times New Roman" w:eastAsia="Times New Roman" w:hAnsi="Times New Roman" w:cs="Times New Roman"/>
                <w:b/>
                <w:color w:val="000000"/>
                <w:sz w:val="20"/>
                <w:szCs w:val="20"/>
              </w:rPr>
              <w:t>3</w:t>
            </w:r>
          </w:p>
        </w:tc>
        <w:tc>
          <w:tcPr>
            <w:tcW w:w="1505" w:type="dxa"/>
            <w:tcBorders>
              <w:top w:val="nil"/>
              <w:left w:val="nil"/>
              <w:bottom w:val="single" w:sz="8" w:space="0" w:color="000000"/>
              <w:right w:val="single" w:sz="8" w:space="0" w:color="000000"/>
            </w:tcBorders>
          </w:tcPr>
          <w:p w:rsidR="000E6A88" w:rsidRPr="00692EB0" w:rsidP="000E6A88" w14:paraId="2406BCD8" w14:textId="7777777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$0.00</w:t>
            </w:r>
          </w:p>
        </w:tc>
      </w:tr>
      <w:tr w14:paraId="5A6EC834" w14:textId="77777777" w:rsidTr="00E96098">
        <w:tblPrEx>
          <w:tblW w:w="9960" w:type="dxa"/>
          <w:jc w:val="center"/>
          <w:tblLook w:val="04A0"/>
        </w:tblPrEx>
        <w:trPr>
          <w:trHeight w:val="157"/>
          <w:jc w:val="center"/>
        </w:trPr>
        <w:tc>
          <w:tcPr>
            <w:tcW w:w="1677" w:type="dxa"/>
            <w:tcBorders>
              <w:top w:val="nil"/>
              <w:left w:val="single" w:sz="8" w:space="0" w:color="000000"/>
              <w:bottom w:val="single" w:sz="8" w:space="0" w:color="000000"/>
              <w:right w:val="single" w:sz="8" w:space="0" w:color="000000"/>
            </w:tcBorders>
            <w:shd w:val="clear" w:color="auto" w:fill="auto"/>
            <w:vAlign w:val="center"/>
            <w:hideMark/>
          </w:tcPr>
          <w:p w:rsidR="000E6A88" w:rsidRPr="00692EB0" w:rsidP="000E6A88" w14:paraId="319BF98B" w14:textId="77777777">
            <w:pPr>
              <w:spacing w:after="0" w:line="240" w:lineRule="auto"/>
              <w:rPr>
                <w:rFonts w:ascii="Times New Roman" w:hAnsi="Times New Roman" w:cs="Times New Roman"/>
                <w:b/>
                <w:color w:val="000000"/>
                <w:sz w:val="20"/>
                <w:szCs w:val="20"/>
              </w:rPr>
            </w:pPr>
            <w:r w:rsidRPr="00692EB0">
              <w:rPr>
                <w:rFonts w:ascii="Times New Roman" w:hAnsi="Times New Roman" w:cs="Times New Roman"/>
                <w:b/>
                <w:color w:val="000000"/>
                <w:sz w:val="20"/>
                <w:szCs w:val="20"/>
              </w:rPr>
              <w:t>Total</w:t>
            </w:r>
            <w:r>
              <w:rPr>
                <w:rFonts w:ascii="Times New Roman" w:hAnsi="Times New Roman" w:cs="Times New Roman"/>
                <w:b/>
                <w:color w:val="000000"/>
                <w:sz w:val="20"/>
                <w:szCs w:val="20"/>
              </w:rPr>
              <w:t>**</w:t>
            </w:r>
          </w:p>
        </w:tc>
        <w:tc>
          <w:tcPr>
            <w:tcW w:w="1068" w:type="dxa"/>
            <w:tcBorders>
              <w:top w:val="nil"/>
              <w:left w:val="nil"/>
              <w:bottom w:val="single" w:sz="8" w:space="0" w:color="000000"/>
              <w:right w:val="single" w:sz="8" w:space="0" w:color="000000"/>
            </w:tcBorders>
            <w:shd w:val="clear" w:color="auto" w:fill="auto"/>
            <w:vAlign w:val="center"/>
            <w:hideMark/>
          </w:tcPr>
          <w:p w:rsidR="000E6A88" w:rsidRPr="00692EB0" w:rsidP="000E6A88" w14:paraId="47C11B9E" w14:textId="77777777">
            <w:pPr>
              <w:spacing w:after="0" w:line="240" w:lineRule="auto"/>
              <w:jc w:val="center"/>
              <w:rPr>
                <w:rFonts w:ascii="Times New Roman" w:eastAsia="Times New Roman" w:hAnsi="Times New Roman" w:cs="Times New Roman"/>
                <w:color w:val="000000"/>
                <w:sz w:val="20"/>
                <w:szCs w:val="20"/>
              </w:rPr>
            </w:pPr>
          </w:p>
        </w:tc>
        <w:tc>
          <w:tcPr>
            <w:tcW w:w="1152" w:type="dxa"/>
            <w:tcBorders>
              <w:top w:val="nil"/>
              <w:left w:val="nil"/>
              <w:bottom w:val="single" w:sz="8" w:space="0" w:color="000000"/>
              <w:right w:val="single" w:sz="8" w:space="0" w:color="000000"/>
            </w:tcBorders>
            <w:shd w:val="clear" w:color="auto" w:fill="auto"/>
            <w:vAlign w:val="center"/>
            <w:hideMark/>
          </w:tcPr>
          <w:p w:rsidR="000E6A88" w:rsidRPr="000E6A88" w:rsidP="000E6A88" w14:paraId="564D593C" w14:textId="77777777">
            <w:pPr>
              <w:spacing w:after="0" w:line="240" w:lineRule="auto"/>
              <w:jc w:val="center"/>
              <w:rPr>
                <w:rFonts w:ascii="Times New Roman" w:eastAsia="Times New Roman" w:hAnsi="Times New Roman" w:cs="Times New Roman"/>
                <w:color w:val="000000"/>
                <w:sz w:val="20"/>
                <w:szCs w:val="20"/>
              </w:rPr>
            </w:pPr>
            <w:r w:rsidRPr="000E6A88">
              <w:rPr>
                <w:rFonts w:ascii="Times New Roman" w:hAnsi="Times New Roman" w:cs="Times New Roman"/>
                <w:b/>
                <w:bCs/>
                <w:color w:val="000000"/>
                <w:sz w:val="20"/>
                <w:szCs w:val="20"/>
              </w:rPr>
              <w:t>$2,</w:t>
            </w:r>
            <w:r w:rsidR="00F64926">
              <w:rPr>
                <w:rFonts w:ascii="Times New Roman" w:hAnsi="Times New Roman" w:cs="Times New Roman"/>
                <w:b/>
                <w:bCs/>
                <w:color w:val="000000"/>
                <w:sz w:val="20"/>
                <w:szCs w:val="20"/>
              </w:rPr>
              <w:t>701.14</w:t>
            </w:r>
          </w:p>
        </w:tc>
        <w:tc>
          <w:tcPr>
            <w:tcW w:w="1555" w:type="dxa"/>
            <w:tcBorders>
              <w:top w:val="nil"/>
              <w:left w:val="nil"/>
              <w:bottom w:val="single" w:sz="8" w:space="0" w:color="000000"/>
              <w:right w:val="single" w:sz="8" w:space="0" w:color="000000"/>
            </w:tcBorders>
            <w:shd w:val="clear" w:color="auto" w:fill="auto"/>
            <w:vAlign w:val="center"/>
            <w:hideMark/>
          </w:tcPr>
          <w:p w:rsidR="000E6A88" w:rsidRPr="000E6A88" w:rsidP="000E6A88" w14:paraId="70652EA8" w14:textId="77777777">
            <w:pPr>
              <w:spacing w:after="0" w:line="240" w:lineRule="auto"/>
              <w:jc w:val="center"/>
              <w:rPr>
                <w:rFonts w:ascii="Times New Roman" w:eastAsia="Times New Roman" w:hAnsi="Times New Roman" w:cs="Times New Roman"/>
                <w:color w:val="000000"/>
                <w:sz w:val="20"/>
                <w:szCs w:val="20"/>
              </w:rPr>
            </w:pPr>
            <w:r w:rsidRPr="000E6A88">
              <w:rPr>
                <w:rFonts w:ascii="Times New Roman" w:hAnsi="Times New Roman" w:cs="Times New Roman"/>
                <w:b/>
                <w:bCs/>
                <w:color w:val="000000"/>
                <w:sz w:val="20"/>
                <w:szCs w:val="20"/>
              </w:rPr>
              <w:t>$5</w:t>
            </w:r>
            <w:r w:rsidR="006C527D">
              <w:rPr>
                <w:rFonts w:ascii="Times New Roman" w:hAnsi="Times New Roman" w:cs="Times New Roman"/>
                <w:b/>
                <w:bCs/>
                <w:color w:val="000000"/>
                <w:sz w:val="20"/>
                <w:szCs w:val="20"/>
              </w:rPr>
              <w:t>40.23</w:t>
            </w:r>
          </w:p>
        </w:tc>
        <w:tc>
          <w:tcPr>
            <w:tcW w:w="3003" w:type="dxa"/>
            <w:tcBorders>
              <w:top w:val="nil"/>
              <w:left w:val="nil"/>
              <w:bottom w:val="single" w:sz="8" w:space="0" w:color="000000"/>
              <w:right w:val="single" w:sz="8" w:space="0" w:color="000000"/>
            </w:tcBorders>
            <w:shd w:val="clear" w:color="auto" w:fill="auto"/>
            <w:vAlign w:val="center"/>
            <w:hideMark/>
          </w:tcPr>
          <w:p w:rsidR="000E6A88" w:rsidRPr="000E6A88" w:rsidP="000E6A88" w14:paraId="74BBD764" w14:textId="77777777">
            <w:pPr>
              <w:spacing w:after="0" w:line="240" w:lineRule="auto"/>
              <w:jc w:val="center"/>
              <w:rPr>
                <w:rFonts w:ascii="Times New Roman" w:eastAsia="Times New Roman" w:hAnsi="Times New Roman" w:cs="Times New Roman"/>
                <w:color w:val="000000"/>
                <w:sz w:val="20"/>
                <w:szCs w:val="20"/>
              </w:rPr>
            </w:pPr>
            <w:r w:rsidRPr="000E6A88">
              <w:rPr>
                <w:rFonts w:ascii="Times New Roman" w:hAnsi="Times New Roman" w:cs="Times New Roman"/>
                <w:b/>
                <w:bCs/>
                <w:color w:val="000000"/>
                <w:sz w:val="20"/>
                <w:szCs w:val="20"/>
              </w:rPr>
              <w:t>$5.</w:t>
            </w:r>
            <w:r w:rsidR="00052F8D">
              <w:rPr>
                <w:rFonts w:ascii="Times New Roman" w:hAnsi="Times New Roman" w:cs="Times New Roman"/>
                <w:b/>
                <w:bCs/>
                <w:color w:val="000000"/>
                <w:sz w:val="20"/>
                <w:szCs w:val="20"/>
              </w:rPr>
              <w:t>5</w:t>
            </w:r>
            <w:r w:rsidR="00055960">
              <w:rPr>
                <w:rFonts w:ascii="Times New Roman" w:hAnsi="Times New Roman" w:cs="Times New Roman"/>
                <w:b/>
                <w:bCs/>
                <w:color w:val="000000"/>
                <w:sz w:val="20"/>
                <w:szCs w:val="20"/>
              </w:rPr>
              <w:t>4</w:t>
            </w:r>
            <w:r w:rsidRPr="000E6A88">
              <w:rPr>
                <w:rFonts w:ascii="Times New Roman" w:hAnsi="Times New Roman" w:cs="Times New Roman"/>
                <w:b/>
                <w:bCs/>
                <w:color w:val="000000"/>
                <w:sz w:val="20"/>
                <w:szCs w:val="20"/>
              </w:rPr>
              <w:t xml:space="preserve"> </w:t>
            </w:r>
          </w:p>
        </w:tc>
        <w:tc>
          <w:tcPr>
            <w:tcW w:w="1505" w:type="dxa"/>
            <w:tcBorders>
              <w:top w:val="nil"/>
              <w:left w:val="nil"/>
              <w:bottom w:val="single" w:sz="8" w:space="0" w:color="000000"/>
              <w:right w:val="single" w:sz="8" w:space="0" w:color="000000"/>
            </w:tcBorders>
          </w:tcPr>
          <w:p w:rsidR="000E6A88" w:rsidRPr="00692EB0" w:rsidP="000E6A88" w14:paraId="65431AFA" w14:textId="7777777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$0.05</w:t>
            </w:r>
          </w:p>
        </w:tc>
      </w:tr>
    </w:tbl>
    <w:p w:rsidR="005B38E8" w:rsidP="00C2595C" w14:paraId="6703557F" w14:textId="77777777">
      <w:pPr>
        <w:widowControl w:val="0"/>
        <w:tabs>
          <w:tab w:val="left" w:pos="817"/>
        </w:tabs>
        <w:autoSpaceDE w:val="0"/>
        <w:autoSpaceDN w:val="0"/>
        <w:spacing w:after="0" w:line="240" w:lineRule="auto"/>
        <w:ind w:right="777"/>
        <w:rPr>
          <w:rFonts w:ascii="Times New Roman" w:hAnsi="Times New Roman" w:cs="Times New Roman"/>
          <w:sz w:val="18"/>
          <w:szCs w:val="18"/>
        </w:rPr>
      </w:pPr>
      <w:r w:rsidRPr="00281014">
        <w:rPr>
          <w:rFonts w:ascii="Times New Roman" w:hAnsi="Times New Roman" w:cs="Times New Roman"/>
          <w:sz w:val="18"/>
          <w:szCs w:val="18"/>
        </w:rPr>
        <w:t xml:space="preserve">* The unit value </w:t>
      </w:r>
      <w:r w:rsidRPr="00281014" w:rsidR="444508EC">
        <w:rPr>
          <w:rFonts w:ascii="Times New Roman" w:hAnsi="Times New Roman" w:cs="Times New Roman"/>
          <w:sz w:val="18"/>
          <w:szCs w:val="18"/>
        </w:rPr>
        <w:t xml:space="preserve">is $293 </w:t>
      </w:r>
      <w:r w:rsidRPr="00281014">
        <w:rPr>
          <w:rFonts w:ascii="Times New Roman" w:hAnsi="Times New Roman" w:cs="Times New Roman"/>
          <w:sz w:val="18"/>
          <w:szCs w:val="18"/>
        </w:rPr>
        <w:t xml:space="preserve">for evacuations and </w:t>
      </w:r>
      <w:r w:rsidRPr="00281014" w:rsidR="271C0E8A">
        <w:rPr>
          <w:rFonts w:ascii="Times New Roman" w:hAnsi="Times New Roman" w:cs="Times New Roman"/>
          <w:sz w:val="18"/>
          <w:szCs w:val="18"/>
        </w:rPr>
        <w:t xml:space="preserve">$147 </w:t>
      </w:r>
      <w:r w:rsidRPr="00281014">
        <w:rPr>
          <w:rFonts w:ascii="Times New Roman" w:hAnsi="Times New Roman" w:cs="Times New Roman"/>
          <w:sz w:val="18"/>
          <w:szCs w:val="18"/>
        </w:rPr>
        <w:t>for sheltering</w:t>
      </w:r>
      <w:r w:rsidR="00F3730A">
        <w:rPr>
          <w:rFonts w:ascii="Times New Roman" w:hAnsi="Times New Roman" w:cs="Times New Roman"/>
          <w:sz w:val="18"/>
          <w:szCs w:val="18"/>
        </w:rPr>
        <w:t>-</w:t>
      </w:r>
      <w:r w:rsidRPr="00281014">
        <w:rPr>
          <w:rFonts w:ascii="Times New Roman" w:hAnsi="Times New Roman" w:cs="Times New Roman"/>
          <w:sz w:val="18"/>
          <w:szCs w:val="18"/>
        </w:rPr>
        <w:t>in place</w:t>
      </w:r>
      <w:r w:rsidRPr="00281014" w:rsidR="5AED85F8">
        <w:rPr>
          <w:rFonts w:ascii="Times New Roman" w:hAnsi="Times New Roman" w:cs="Times New Roman"/>
          <w:sz w:val="18"/>
          <w:szCs w:val="18"/>
        </w:rPr>
        <w:t>,</w:t>
      </w:r>
      <w:r w:rsidRPr="00281014">
        <w:rPr>
          <w:rFonts w:ascii="Times New Roman" w:hAnsi="Times New Roman" w:cs="Times New Roman"/>
          <w:sz w:val="18"/>
          <w:szCs w:val="18"/>
        </w:rPr>
        <w:t xml:space="preserve"> so when expressed in rounded millions</w:t>
      </w:r>
      <w:r w:rsidR="00F82AFE">
        <w:rPr>
          <w:rFonts w:ascii="Times New Roman" w:hAnsi="Times New Roman" w:cs="Times New Roman"/>
          <w:sz w:val="18"/>
          <w:szCs w:val="18"/>
        </w:rPr>
        <w:t>,</w:t>
      </w:r>
      <w:r w:rsidRPr="00281014">
        <w:rPr>
          <w:rFonts w:ascii="Times New Roman" w:hAnsi="Times New Roman" w:cs="Times New Roman"/>
          <w:sz w:val="18"/>
          <w:szCs w:val="18"/>
        </w:rPr>
        <w:t xml:space="preserve"> the value represented in the table is</w:t>
      </w:r>
      <w:r w:rsidRPr="00281014">
        <w:rPr>
          <w:rFonts w:ascii="Times New Roman" w:hAnsi="Times New Roman" w:cs="Times New Roman"/>
          <w:spacing w:val="-9"/>
          <w:sz w:val="18"/>
          <w:szCs w:val="18"/>
        </w:rPr>
        <w:t xml:space="preserve"> </w:t>
      </w:r>
      <w:r w:rsidRPr="00281014">
        <w:rPr>
          <w:rFonts w:ascii="Times New Roman" w:hAnsi="Times New Roman" w:cs="Times New Roman"/>
          <w:sz w:val="18"/>
          <w:szCs w:val="18"/>
        </w:rPr>
        <w:t>zero.</w:t>
      </w:r>
    </w:p>
    <w:p w:rsidR="00B561AD" w:rsidRPr="00281014" w:rsidP="00C2595C" w14:paraId="05F3C47A" w14:textId="77777777">
      <w:pPr>
        <w:widowControl w:val="0"/>
        <w:tabs>
          <w:tab w:val="left" w:pos="817"/>
        </w:tabs>
        <w:autoSpaceDE w:val="0"/>
        <w:autoSpaceDN w:val="0"/>
        <w:spacing w:after="0" w:line="240" w:lineRule="auto"/>
        <w:ind w:right="777"/>
        <w:rPr>
          <w:rFonts w:ascii="Times New Roman" w:hAnsi="Times New Roman" w:cs="Times New Roman"/>
          <w:sz w:val="18"/>
          <w:szCs w:val="18"/>
        </w:rPr>
      </w:pPr>
      <w:r w:rsidRPr="00281014">
        <w:rPr>
          <w:rFonts w:ascii="Times New Roman" w:hAnsi="Times New Roman" w:cs="Times New Roman"/>
          <w:sz w:val="18"/>
          <w:szCs w:val="18"/>
        </w:rPr>
        <w:t>*</w:t>
      </w:r>
      <w:r>
        <w:rPr>
          <w:rFonts w:ascii="Times New Roman" w:hAnsi="Times New Roman" w:cs="Times New Roman"/>
          <w:sz w:val="18"/>
          <w:szCs w:val="18"/>
        </w:rPr>
        <w:t>*</w:t>
      </w:r>
      <w:r w:rsidRPr="00281014">
        <w:rPr>
          <w:rFonts w:ascii="Times New Roman" w:hAnsi="Times New Roman" w:cs="Times New Roman"/>
          <w:sz w:val="18"/>
          <w:szCs w:val="18"/>
        </w:rPr>
        <w:t>Totals may not sum due to rounding.</w:t>
      </w:r>
    </w:p>
    <w:p w:rsidR="00281014" w:rsidRPr="00C2595C" w:rsidP="00C2595C" w14:paraId="73C53FE7" w14:textId="77777777">
      <w:pPr>
        <w:widowControl w:val="0"/>
        <w:tabs>
          <w:tab w:val="left" w:pos="817"/>
        </w:tabs>
        <w:autoSpaceDE w:val="0"/>
        <w:autoSpaceDN w:val="0"/>
        <w:spacing w:after="0" w:line="240" w:lineRule="auto"/>
        <w:ind w:right="777"/>
        <w:rPr>
          <w:rFonts w:ascii="Times New Roman" w:hAnsi="Times New Roman" w:cs="Times New Roman"/>
        </w:rPr>
      </w:pPr>
    </w:p>
    <w:p w:rsidR="005E689B" w:rsidP="005E689B" w14:paraId="71317AF9" w14:textId="3E6A24ED">
      <w:pPr>
        <w:spacing w:after="0" w:line="240" w:lineRule="auto"/>
        <w:ind w:firstLine="360"/>
        <w:rPr>
          <w:rFonts w:ascii="Times New Roman" w:hAnsi="Times New Roman" w:cs="Times New Roman"/>
        </w:rPr>
      </w:pPr>
      <w:r>
        <w:rPr>
          <w:rFonts w:ascii="Times New Roman" w:hAnsi="Times New Roman" w:cs="Times New Roman"/>
        </w:rPr>
        <w:tab/>
      </w:r>
      <w:r w:rsidRPr="00C2595C" w:rsidR="005B38E8">
        <w:rPr>
          <w:rFonts w:ascii="Times New Roman" w:hAnsi="Times New Roman" w:cs="Times New Roman"/>
        </w:rPr>
        <w:t xml:space="preserve">EPA monetized </w:t>
      </w:r>
      <w:r w:rsidR="00551A23">
        <w:rPr>
          <w:rFonts w:ascii="Times New Roman" w:hAnsi="Times New Roman" w:cs="Times New Roman"/>
        </w:rPr>
        <w:t>reported</w:t>
      </w:r>
      <w:r w:rsidRPr="00C2595C" w:rsidR="005B38E8">
        <w:rPr>
          <w:rFonts w:ascii="Times New Roman" w:hAnsi="Times New Roman" w:cs="Times New Roman"/>
        </w:rPr>
        <w:t xml:space="preserve"> </w:t>
      </w:r>
      <w:r w:rsidRPr="00C2595C" w:rsidR="00986800">
        <w:rPr>
          <w:rFonts w:ascii="Times New Roman" w:hAnsi="Times New Roman" w:cs="Times New Roman"/>
        </w:rPr>
        <w:t>onsite</w:t>
      </w:r>
      <w:r w:rsidRPr="00C2595C" w:rsidR="005B38E8">
        <w:rPr>
          <w:rFonts w:ascii="Times New Roman" w:hAnsi="Times New Roman" w:cs="Times New Roman"/>
        </w:rPr>
        <w:t xml:space="preserve"> and </w:t>
      </w:r>
      <w:r w:rsidRPr="00C2595C" w:rsidR="00986800">
        <w:rPr>
          <w:rFonts w:ascii="Times New Roman" w:hAnsi="Times New Roman" w:cs="Times New Roman"/>
        </w:rPr>
        <w:t>offsite</w:t>
      </w:r>
      <w:r w:rsidRPr="00C2595C" w:rsidR="005B38E8">
        <w:rPr>
          <w:rFonts w:ascii="Times New Roman" w:hAnsi="Times New Roman" w:cs="Times New Roman"/>
        </w:rPr>
        <w:t xml:space="preserve"> damages</w:t>
      </w:r>
      <w:r w:rsidR="00970DDF">
        <w:rPr>
          <w:rFonts w:ascii="Times New Roman" w:hAnsi="Times New Roman" w:cs="Times New Roman"/>
        </w:rPr>
        <w:t xml:space="preserve"> when possibl</w:t>
      </w:r>
      <w:r w:rsidR="00837954">
        <w:rPr>
          <w:rFonts w:ascii="Times New Roman" w:hAnsi="Times New Roman" w:cs="Times New Roman"/>
        </w:rPr>
        <w:t>e</w:t>
      </w:r>
      <w:r w:rsidRPr="00C2595C" w:rsidR="005B38E8">
        <w:rPr>
          <w:rFonts w:ascii="Times New Roman" w:hAnsi="Times New Roman" w:cs="Times New Roman"/>
        </w:rPr>
        <w:t xml:space="preserve">. EPA estimated total average annual </w:t>
      </w:r>
      <w:r w:rsidRPr="00C2595C" w:rsidR="00986800">
        <w:rPr>
          <w:rFonts w:ascii="Times New Roman" w:hAnsi="Times New Roman" w:cs="Times New Roman"/>
          <w:i/>
          <w:iCs/>
        </w:rPr>
        <w:t>onsite</w:t>
      </w:r>
      <w:r w:rsidRPr="00C2595C" w:rsidR="005B38E8">
        <w:rPr>
          <w:rFonts w:ascii="Times New Roman" w:hAnsi="Times New Roman" w:cs="Times New Roman"/>
          <w:i/>
          <w:iCs/>
        </w:rPr>
        <w:t xml:space="preserve"> </w:t>
      </w:r>
      <w:r w:rsidRPr="00C2595C" w:rsidR="005B38E8">
        <w:rPr>
          <w:rFonts w:ascii="Times New Roman" w:hAnsi="Times New Roman" w:cs="Times New Roman"/>
        </w:rPr>
        <w:t>damages of $</w:t>
      </w:r>
      <w:r w:rsidRPr="00C2595C" w:rsidR="00A629BD">
        <w:rPr>
          <w:rFonts w:ascii="Times New Roman" w:hAnsi="Times New Roman" w:cs="Times New Roman"/>
        </w:rPr>
        <w:t>4</w:t>
      </w:r>
      <w:r w:rsidR="00C91E6C">
        <w:rPr>
          <w:rFonts w:ascii="Times New Roman" w:hAnsi="Times New Roman" w:cs="Times New Roman"/>
        </w:rPr>
        <w:t>97.9</w:t>
      </w:r>
      <w:r w:rsidRPr="00C2595C" w:rsidR="005B38E8">
        <w:rPr>
          <w:rFonts w:ascii="Times New Roman" w:hAnsi="Times New Roman" w:cs="Times New Roman"/>
        </w:rPr>
        <w:t xml:space="preserve"> million. The largest monetized</w:t>
      </w:r>
      <w:r w:rsidR="009E4A6F">
        <w:rPr>
          <w:rFonts w:ascii="Times New Roman" w:hAnsi="Times New Roman" w:cs="Times New Roman"/>
        </w:rPr>
        <w:t>,</w:t>
      </w:r>
      <w:r w:rsidRPr="00C2595C" w:rsidR="005B38E8">
        <w:rPr>
          <w:rFonts w:ascii="Times New Roman" w:hAnsi="Times New Roman" w:cs="Times New Roman"/>
        </w:rPr>
        <w:t xml:space="preserve"> average annual</w:t>
      </w:r>
      <w:r w:rsidR="009E4A6F">
        <w:rPr>
          <w:rFonts w:ascii="Times New Roman" w:hAnsi="Times New Roman" w:cs="Times New Roman"/>
        </w:rPr>
        <w:t>,</w:t>
      </w:r>
      <w:r w:rsidRPr="00C2595C" w:rsidR="005B38E8">
        <w:rPr>
          <w:rFonts w:ascii="Times New Roman" w:hAnsi="Times New Roman" w:cs="Times New Roman"/>
        </w:rPr>
        <w:t xml:space="preserve"> </w:t>
      </w:r>
      <w:r w:rsidRPr="00C2595C" w:rsidR="00986800">
        <w:rPr>
          <w:rFonts w:ascii="Times New Roman" w:hAnsi="Times New Roman" w:cs="Times New Roman"/>
        </w:rPr>
        <w:t>onsite</w:t>
      </w:r>
      <w:r w:rsidRPr="00C2595C" w:rsidR="005B38E8">
        <w:rPr>
          <w:rFonts w:ascii="Times New Roman" w:hAnsi="Times New Roman" w:cs="Times New Roman"/>
        </w:rPr>
        <w:t xml:space="preserve"> damage</w:t>
      </w:r>
      <w:r w:rsidR="002C11A4">
        <w:rPr>
          <w:rFonts w:ascii="Times New Roman" w:hAnsi="Times New Roman" w:cs="Times New Roman"/>
        </w:rPr>
        <w:t xml:space="preserve"> category</w:t>
      </w:r>
      <w:r w:rsidRPr="00C2595C" w:rsidR="005B38E8">
        <w:rPr>
          <w:rFonts w:ascii="Times New Roman" w:hAnsi="Times New Roman" w:cs="Times New Roman"/>
        </w:rPr>
        <w:t xml:space="preserve"> was property </w:t>
      </w:r>
      <w:r w:rsidRPr="00C2595C" w:rsidR="005B38E8">
        <w:rPr>
          <w:rFonts w:ascii="Times New Roman" w:hAnsi="Times New Roman" w:cs="Times New Roman"/>
        </w:rPr>
        <w:t>damage</w:t>
      </w:r>
      <w:r w:rsidR="002C11A4">
        <w:rPr>
          <w:rFonts w:ascii="Times New Roman" w:hAnsi="Times New Roman" w:cs="Times New Roman"/>
        </w:rPr>
        <w:t>,</w:t>
      </w:r>
      <w:r w:rsidRPr="00C2595C" w:rsidR="005B38E8">
        <w:rPr>
          <w:rFonts w:ascii="Times New Roman" w:hAnsi="Times New Roman" w:cs="Times New Roman"/>
        </w:rPr>
        <w:t xml:space="preserve"> which resulted in average annual damage of approximately $</w:t>
      </w:r>
      <w:r w:rsidRPr="00C2595C" w:rsidR="00136D35">
        <w:rPr>
          <w:rFonts w:ascii="Times New Roman" w:hAnsi="Times New Roman" w:cs="Times New Roman"/>
        </w:rPr>
        <w:t>4</w:t>
      </w:r>
      <w:r w:rsidR="00C91E6C">
        <w:rPr>
          <w:rFonts w:ascii="Times New Roman" w:hAnsi="Times New Roman" w:cs="Times New Roman"/>
        </w:rPr>
        <w:t>54.58</w:t>
      </w:r>
      <w:r w:rsidRPr="00C2595C" w:rsidR="005B38E8">
        <w:rPr>
          <w:rFonts w:ascii="Times New Roman" w:hAnsi="Times New Roman" w:cs="Times New Roman"/>
        </w:rPr>
        <w:t xml:space="preserve"> million. The next largest impact was </w:t>
      </w:r>
      <w:r w:rsidRPr="00C2595C" w:rsidR="00986800">
        <w:rPr>
          <w:rFonts w:ascii="Times New Roman" w:hAnsi="Times New Roman" w:cs="Times New Roman"/>
        </w:rPr>
        <w:t>onsite</w:t>
      </w:r>
      <w:r w:rsidRPr="00C2595C" w:rsidR="005B38E8">
        <w:rPr>
          <w:rFonts w:ascii="Times New Roman" w:hAnsi="Times New Roman" w:cs="Times New Roman"/>
        </w:rPr>
        <w:t xml:space="preserve"> fatalities ($</w:t>
      </w:r>
      <w:r w:rsidR="00C91E6C">
        <w:rPr>
          <w:rFonts w:ascii="Times New Roman" w:hAnsi="Times New Roman" w:cs="Times New Roman"/>
        </w:rPr>
        <w:t>37.57</w:t>
      </w:r>
      <w:r w:rsidRPr="00C2595C" w:rsidR="005B38E8">
        <w:rPr>
          <w:rFonts w:ascii="Times New Roman" w:hAnsi="Times New Roman" w:cs="Times New Roman"/>
        </w:rPr>
        <w:t xml:space="preserve"> million) and injuries ($5.</w:t>
      </w:r>
      <w:r w:rsidR="00C91E6C">
        <w:rPr>
          <w:rFonts w:ascii="Times New Roman" w:hAnsi="Times New Roman" w:cs="Times New Roman"/>
        </w:rPr>
        <w:t>7</w:t>
      </w:r>
      <w:r w:rsidRPr="00C2595C" w:rsidR="005B38E8">
        <w:rPr>
          <w:rFonts w:ascii="Times New Roman" w:hAnsi="Times New Roman" w:cs="Times New Roman"/>
        </w:rPr>
        <w:t xml:space="preserve">5 million).  </w:t>
      </w:r>
    </w:p>
    <w:p w:rsidR="005A354C" w:rsidP="005E689B" w14:paraId="12479E9E" w14:textId="77777777">
      <w:pPr>
        <w:spacing w:after="0" w:line="240" w:lineRule="auto"/>
        <w:ind w:firstLine="360"/>
        <w:rPr>
          <w:rFonts w:ascii="Times New Roman" w:hAnsi="Times New Roman" w:cs="Times New Roman"/>
        </w:rPr>
      </w:pPr>
    </w:p>
    <w:p w:rsidR="00BC6693" w:rsidP="00C35185" w14:paraId="609CC620" w14:textId="09175E76">
      <w:pPr>
        <w:spacing w:after="0" w:line="240" w:lineRule="auto"/>
        <w:ind w:firstLine="360"/>
        <w:rPr>
          <w:rFonts w:ascii="Times New Roman" w:hAnsi="Times New Roman" w:cs="Times New Roman"/>
        </w:rPr>
      </w:pPr>
      <w:r>
        <w:rPr>
          <w:rFonts w:ascii="Times New Roman" w:hAnsi="Times New Roman" w:cs="Times New Roman"/>
        </w:rPr>
        <w:t xml:space="preserve">Again, reflecting reported impacts, </w:t>
      </w:r>
      <w:r w:rsidRPr="00C2595C" w:rsidR="005B38E8">
        <w:rPr>
          <w:rFonts w:ascii="Times New Roman" w:hAnsi="Times New Roman" w:cs="Times New Roman"/>
        </w:rPr>
        <w:t xml:space="preserve">EPA estimated total average annual </w:t>
      </w:r>
      <w:r w:rsidRPr="00C2595C" w:rsidR="00986800">
        <w:rPr>
          <w:rFonts w:ascii="Times New Roman" w:hAnsi="Times New Roman" w:cs="Times New Roman"/>
          <w:i/>
        </w:rPr>
        <w:t>offsite</w:t>
      </w:r>
      <w:r w:rsidRPr="00C2595C" w:rsidR="005B38E8">
        <w:rPr>
          <w:rFonts w:ascii="Times New Roman" w:hAnsi="Times New Roman" w:cs="Times New Roman"/>
        </w:rPr>
        <w:t xml:space="preserve"> damages of $</w:t>
      </w:r>
      <w:r w:rsidRPr="00C2595C" w:rsidR="00136D35">
        <w:rPr>
          <w:rFonts w:ascii="Times New Roman" w:hAnsi="Times New Roman" w:cs="Times New Roman"/>
        </w:rPr>
        <w:t>4</w:t>
      </w:r>
      <w:r w:rsidR="005A684F">
        <w:rPr>
          <w:rFonts w:ascii="Times New Roman" w:hAnsi="Times New Roman" w:cs="Times New Roman"/>
        </w:rPr>
        <w:t>2.33</w:t>
      </w:r>
      <w:r w:rsidRPr="00C2595C" w:rsidR="005B38E8">
        <w:rPr>
          <w:rFonts w:ascii="Times New Roman" w:hAnsi="Times New Roman" w:cs="Times New Roman"/>
        </w:rPr>
        <w:t xml:space="preserve"> million. The largest monetized</w:t>
      </w:r>
      <w:r w:rsidR="009E4A6F">
        <w:rPr>
          <w:rFonts w:ascii="Times New Roman" w:hAnsi="Times New Roman" w:cs="Times New Roman"/>
        </w:rPr>
        <w:t>,</w:t>
      </w:r>
      <w:r w:rsidRPr="00C2595C" w:rsidR="005B38E8">
        <w:rPr>
          <w:rFonts w:ascii="Times New Roman" w:hAnsi="Times New Roman" w:cs="Times New Roman"/>
        </w:rPr>
        <w:t xml:space="preserve"> average annual</w:t>
      </w:r>
      <w:r w:rsidR="009E4A6F">
        <w:rPr>
          <w:rFonts w:ascii="Times New Roman" w:hAnsi="Times New Roman" w:cs="Times New Roman"/>
        </w:rPr>
        <w:t>,</w:t>
      </w:r>
      <w:r w:rsidRPr="00C2595C" w:rsidR="005B38E8">
        <w:rPr>
          <w:rFonts w:ascii="Times New Roman" w:hAnsi="Times New Roman" w:cs="Times New Roman"/>
        </w:rPr>
        <w:t xml:space="preserve"> </w:t>
      </w:r>
      <w:r w:rsidRPr="00C2595C" w:rsidR="00986800">
        <w:rPr>
          <w:rFonts w:ascii="Times New Roman" w:hAnsi="Times New Roman" w:cs="Times New Roman"/>
        </w:rPr>
        <w:t>offsite</w:t>
      </w:r>
      <w:r w:rsidRPr="00C2595C" w:rsidR="005B38E8">
        <w:rPr>
          <w:rFonts w:ascii="Times New Roman" w:hAnsi="Times New Roman" w:cs="Times New Roman"/>
        </w:rPr>
        <w:t xml:space="preserve"> damage</w:t>
      </w:r>
      <w:r w:rsidR="00B15194">
        <w:rPr>
          <w:rFonts w:ascii="Times New Roman" w:hAnsi="Times New Roman" w:cs="Times New Roman"/>
        </w:rPr>
        <w:t xml:space="preserve"> category</w:t>
      </w:r>
      <w:r w:rsidRPr="00C2595C" w:rsidR="005B38E8">
        <w:rPr>
          <w:rFonts w:ascii="Times New Roman" w:hAnsi="Times New Roman" w:cs="Times New Roman"/>
        </w:rPr>
        <w:t xml:space="preserve"> was property damage</w:t>
      </w:r>
      <w:r w:rsidR="002C11A4">
        <w:rPr>
          <w:rFonts w:ascii="Times New Roman" w:hAnsi="Times New Roman" w:cs="Times New Roman"/>
        </w:rPr>
        <w:t>,</w:t>
      </w:r>
      <w:r w:rsidRPr="00C2595C" w:rsidR="005B38E8">
        <w:rPr>
          <w:rFonts w:ascii="Times New Roman" w:hAnsi="Times New Roman" w:cs="Times New Roman"/>
        </w:rPr>
        <w:t xml:space="preserve"> which resulted in average annual damage of approximately $3</w:t>
      </w:r>
      <w:r w:rsidR="001C39C6">
        <w:rPr>
          <w:rFonts w:ascii="Times New Roman" w:hAnsi="Times New Roman" w:cs="Times New Roman"/>
        </w:rPr>
        <w:t>5.71</w:t>
      </w:r>
      <w:r w:rsidRPr="00C2595C" w:rsidR="005B38E8">
        <w:rPr>
          <w:rFonts w:ascii="Times New Roman" w:hAnsi="Times New Roman" w:cs="Times New Roman"/>
        </w:rPr>
        <w:t xml:space="preserve"> million. The next largest impact was from evacuations ($</w:t>
      </w:r>
      <w:r w:rsidR="005A684F">
        <w:rPr>
          <w:rFonts w:ascii="Times New Roman" w:hAnsi="Times New Roman" w:cs="Times New Roman"/>
        </w:rPr>
        <w:t>3.80</w:t>
      </w:r>
      <w:r w:rsidRPr="00C2595C" w:rsidR="005B38E8">
        <w:rPr>
          <w:rFonts w:ascii="Times New Roman" w:hAnsi="Times New Roman" w:cs="Times New Roman"/>
        </w:rPr>
        <w:t xml:space="preserve"> million),</w:t>
      </w:r>
      <w:r w:rsidRPr="00C2595C" w:rsidR="00835781">
        <w:rPr>
          <w:rFonts w:ascii="Times New Roman" w:hAnsi="Times New Roman" w:cs="Times New Roman"/>
        </w:rPr>
        <w:t xml:space="preserve"> sheltering in place</w:t>
      </w:r>
      <w:r w:rsidRPr="00C2595C" w:rsidR="005B38E8">
        <w:rPr>
          <w:rFonts w:ascii="Times New Roman" w:hAnsi="Times New Roman" w:cs="Times New Roman"/>
        </w:rPr>
        <w:t xml:space="preserve"> ($</w:t>
      </w:r>
      <w:r w:rsidR="00BD5762">
        <w:rPr>
          <w:rFonts w:ascii="Times New Roman" w:hAnsi="Times New Roman" w:cs="Times New Roman"/>
        </w:rPr>
        <w:t>2.52</w:t>
      </w:r>
      <w:r w:rsidRPr="00C2595C" w:rsidR="005B38E8">
        <w:rPr>
          <w:rFonts w:ascii="Times New Roman" w:hAnsi="Times New Roman" w:cs="Times New Roman"/>
        </w:rPr>
        <w:t xml:space="preserve"> million), hospitalizations ($0</w:t>
      </w:r>
      <w:r w:rsidR="001C39C6">
        <w:rPr>
          <w:rFonts w:ascii="Times New Roman" w:hAnsi="Times New Roman" w:cs="Times New Roman"/>
        </w:rPr>
        <w:t>.</w:t>
      </w:r>
      <w:r w:rsidR="0004364C">
        <w:rPr>
          <w:rFonts w:ascii="Times New Roman" w:hAnsi="Times New Roman" w:cs="Times New Roman"/>
        </w:rPr>
        <w:t>28</w:t>
      </w:r>
      <w:r w:rsidRPr="00C2595C" w:rsidR="005B38E8">
        <w:rPr>
          <w:rFonts w:ascii="Times New Roman" w:hAnsi="Times New Roman" w:cs="Times New Roman"/>
        </w:rPr>
        <w:t xml:space="preserve"> million), and medical treatment ($0.03 million). In total, EPA estimated monetized damages from RMP facility accidents</w:t>
      </w:r>
      <w:r w:rsidRPr="00C2595C" w:rsidR="002E0C52">
        <w:rPr>
          <w:rFonts w:ascii="Times New Roman" w:hAnsi="Times New Roman" w:cs="Times New Roman"/>
        </w:rPr>
        <w:t xml:space="preserve"> over the </w:t>
      </w:r>
      <w:r w:rsidRPr="00C2595C" w:rsidR="001E2DDB">
        <w:rPr>
          <w:rFonts w:ascii="Times New Roman" w:hAnsi="Times New Roman" w:cs="Times New Roman"/>
        </w:rPr>
        <w:t>five-</w:t>
      </w:r>
      <w:r w:rsidRPr="00C2595C" w:rsidR="002E0C52">
        <w:rPr>
          <w:rFonts w:ascii="Times New Roman" w:hAnsi="Times New Roman" w:cs="Times New Roman"/>
        </w:rPr>
        <w:t>year period</w:t>
      </w:r>
      <w:r w:rsidRPr="00C2595C" w:rsidR="005B38E8">
        <w:rPr>
          <w:rFonts w:ascii="Times New Roman" w:hAnsi="Times New Roman" w:cs="Times New Roman"/>
        </w:rPr>
        <w:t xml:space="preserve"> of $</w:t>
      </w:r>
      <w:r w:rsidR="0004364C">
        <w:rPr>
          <w:rFonts w:ascii="Times New Roman" w:hAnsi="Times New Roman" w:cs="Times New Roman"/>
        </w:rPr>
        <w:t>5</w:t>
      </w:r>
      <w:r w:rsidR="00A90646">
        <w:rPr>
          <w:rFonts w:ascii="Times New Roman" w:hAnsi="Times New Roman" w:cs="Times New Roman"/>
        </w:rPr>
        <w:t>40.23</w:t>
      </w:r>
      <w:r w:rsidRPr="00C2595C" w:rsidR="005B38E8">
        <w:rPr>
          <w:rFonts w:ascii="Times New Roman" w:hAnsi="Times New Roman" w:cs="Times New Roman"/>
        </w:rPr>
        <w:t xml:space="preserve"> million per year.</w:t>
      </w:r>
      <w:r>
        <w:rPr>
          <w:rStyle w:val="FootnoteReference"/>
          <w:rFonts w:ascii="Times New Roman" w:hAnsi="Times New Roman" w:cs="Times New Roman"/>
        </w:rPr>
        <w:footnoteReference w:id="8"/>
      </w:r>
      <w:r w:rsidRPr="00C2595C" w:rsidR="005B38E8">
        <w:rPr>
          <w:rFonts w:ascii="Times New Roman" w:hAnsi="Times New Roman" w:cs="Times New Roman"/>
        </w:rPr>
        <w:t xml:space="preserve"> </w:t>
      </w:r>
    </w:p>
    <w:p w:rsidR="0077431B" w:rsidRPr="0016513A" w:rsidP="00A90941" w14:paraId="5FF08471" w14:textId="31533D49">
      <w:pPr>
        <w:pStyle w:val="pf0"/>
        <w:rPr>
          <w:sz w:val="22"/>
          <w:szCs w:val="22"/>
        </w:rPr>
      </w:pPr>
      <w:r>
        <w:tab/>
      </w:r>
      <w:r w:rsidRPr="0016513A" w:rsidR="00AC174C">
        <w:rPr>
          <w:sz w:val="22"/>
          <w:szCs w:val="22"/>
        </w:rPr>
        <w:t xml:space="preserve">Overall, monetized damages from </w:t>
      </w:r>
      <w:r w:rsidRPr="0016513A" w:rsidR="009A6475">
        <w:rPr>
          <w:sz w:val="22"/>
          <w:szCs w:val="22"/>
        </w:rPr>
        <w:t xml:space="preserve">reported </w:t>
      </w:r>
      <w:r w:rsidRPr="0016513A" w:rsidR="00AC174C">
        <w:rPr>
          <w:sz w:val="22"/>
          <w:szCs w:val="22"/>
        </w:rPr>
        <w:t>accident</w:t>
      </w:r>
      <w:r w:rsidRPr="0016513A" w:rsidR="009A6475">
        <w:rPr>
          <w:sz w:val="22"/>
          <w:szCs w:val="22"/>
        </w:rPr>
        <w:t xml:space="preserve"> impact</w:t>
      </w:r>
      <w:r w:rsidRPr="0016513A" w:rsidR="00AC174C">
        <w:rPr>
          <w:sz w:val="22"/>
          <w:szCs w:val="22"/>
        </w:rPr>
        <w:t>s in the RMP Accident Database from 2016 through 2020 ranged from a low of $10</w:t>
      </w:r>
      <w:r w:rsidRPr="0016513A" w:rsidR="00C17312">
        <w:rPr>
          <w:sz w:val="22"/>
          <w:szCs w:val="22"/>
        </w:rPr>
        <w:t>0</w:t>
      </w:r>
      <w:r w:rsidRPr="0016513A" w:rsidR="00AC174C">
        <w:rPr>
          <w:sz w:val="22"/>
          <w:szCs w:val="22"/>
        </w:rPr>
        <w:t xml:space="preserve"> to a high of $</w:t>
      </w:r>
      <w:r w:rsidRPr="0016513A" w:rsidR="00C17312">
        <w:rPr>
          <w:sz w:val="22"/>
          <w:szCs w:val="22"/>
        </w:rPr>
        <w:t>700</w:t>
      </w:r>
      <w:r w:rsidRPr="0016513A" w:rsidR="00AC174C">
        <w:rPr>
          <w:sz w:val="22"/>
          <w:szCs w:val="22"/>
        </w:rPr>
        <w:t xml:space="preserve"> million, with a </w:t>
      </w:r>
      <w:r w:rsidRPr="0016513A" w:rsidR="006D7C37">
        <w:rPr>
          <w:sz w:val="22"/>
          <w:szCs w:val="22"/>
        </w:rPr>
        <w:t xml:space="preserve">median </w:t>
      </w:r>
      <w:r w:rsidRPr="0016513A" w:rsidR="00B45E59">
        <w:rPr>
          <w:sz w:val="22"/>
          <w:szCs w:val="22"/>
        </w:rPr>
        <w:t xml:space="preserve">accident value </w:t>
      </w:r>
      <w:r w:rsidRPr="0016513A" w:rsidR="0072043A">
        <w:rPr>
          <w:sz w:val="22"/>
          <w:szCs w:val="22"/>
        </w:rPr>
        <w:t xml:space="preserve">of $50,000 </w:t>
      </w:r>
      <w:r w:rsidRPr="0016513A" w:rsidR="00B45E59">
        <w:rPr>
          <w:sz w:val="22"/>
          <w:szCs w:val="22"/>
        </w:rPr>
        <w:t>for the 488</w:t>
      </w:r>
      <w:r w:rsidRPr="0016513A" w:rsidR="00591724">
        <w:rPr>
          <w:sz w:val="22"/>
          <w:szCs w:val="22"/>
        </w:rPr>
        <w:t xml:space="preserve"> RMP</w:t>
      </w:r>
      <w:r w:rsidRPr="0016513A" w:rsidR="00B45E59">
        <w:rPr>
          <w:sz w:val="22"/>
          <w:szCs w:val="22"/>
        </w:rPr>
        <w:t xml:space="preserve"> </w:t>
      </w:r>
      <w:r w:rsidRPr="0016513A" w:rsidR="00B440A0">
        <w:rPr>
          <w:sz w:val="22"/>
          <w:szCs w:val="22"/>
        </w:rPr>
        <w:t xml:space="preserve">impact </w:t>
      </w:r>
      <w:r w:rsidRPr="0016513A" w:rsidR="00B45E59">
        <w:rPr>
          <w:sz w:val="22"/>
          <w:szCs w:val="22"/>
        </w:rPr>
        <w:t>accidents</w:t>
      </w:r>
      <w:r w:rsidRPr="0016513A" w:rsidR="00B440A0">
        <w:rPr>
          <w:sz w:val="22"/>
          <w:szCs w:val="22"/>
        </w:rPr>
        <w:t>.</w:t>
      </w:r>
      <w:r w:rsidRPr="0016513A" w:rsidR="00AC174C">
        <w:rPr>
          <w:sz w:val="22"/>
          <w:szCs w:val="22"/>
        </w:rPr>
        <w:t xml:space="preserve"> </w:t>
      </w:r>
      <w:r w:rsidRPr="0016513A" w:rsidR="003978FB">
        <w:rPr>
          <w:sz w:val="22"/>
          <w:szCs w:val="22"/>
        </w:rPr>
        <w:t xml:space="preserve">Median values were zero in all damage categories except for onsite (worker) injuries. </w:t>
      </w:r>
      <w:r w:rsidRPr="0016513A" w:rsidR="00C6571D">
        <w:rPr>
          <w:sz w:val="22"/>
          <w:szCs w:val="22"/>
        </w:rPr>
        <w:t>While an important objective of the final rule is to reduce the probability of a major catastrophe, the baseline damage</w:t>
      </w:r>
      <w:r w:rsidRPr="0016513A" w:rsidR="009E551E">
        <w:rPr>
          <w:sz w:val="22"/>
          <w:szCs w:val="22"/>
        </w:rPr>
        <w:t xml:space="preserve">s in Exhibit ES-3 </w:t>
      </w:r>
      <w:r w:rsidRPr="0016513A" w:rsidR="009E551E">
        <w:rPr>
          <w:sz w:val="22"/>
          <w:szCs w:val="22"/>
        </w:rPr>
        <w:t xml:space="preserve">do not reflect </w:t>
      </w:r>
      <w:r w:rsidR="00540C29">
        <w:rPr>
          <w:sz w:val="22"/>
          <w:szCs w:val="22"/>
        </w:rPr>
        <w:t>the full</w:t>
      </w:r>
      <w:r w:rsidR="003438E0">
        <w:rPr>
          <w:sz w:val="22"/>
          <w:szCs w:val="22"/>
        </w:rPr>
        <w:t xml:space="preserve"> </w:t>
      </w:r>
      <w:r w:rsidRPr="0016513A" w:rsidR="009E551E">
        <w:rPr>
          <w:sz w:val="22"/>
          <w:szCs w:val="22"/>
        </w:rPr>
        <w:t xml:space="preserve">costs of a </w:t>
      </w:r>
      <w:r w:rsidRPr="000571BC" w:rsidR="009E551E">
        <w:rPr>
          <w:sz w:val="22"/>
          <w:szCs w:val="22"/>
        </w:rPr>
        <w:t>catastrophe.</w:t>
      </w:r>
      <w:r w:rsidR="0016513A">
        <w:rPr>
          <w:rStyle w:val="cf01"/>
          <w:sz w:val="22"/>
          <w:szCs w:val="22"/>
        </w:rPr>
        <w:t xml:space="preserve"> </w:t>
      </w:r>
      <w:r w:rsidR="00830B4C">
        <w:rPr>
          <w:rStyle w:val="cf01"/>
          <w:rFonts w:ascii="Times New Roman" w:hAnsi="Times New Roman" w:cs="Times New Roman"/>
          <w:sz w:val="22"/>
          <w:szCs w:val="22"/>
        </w:rPr>
        <w:t>However, the baseline damages shed light on the nature and extent of existing costs from RMP facility accidents.</w:t>
      </w:r>
      <w:r w:rsidR="00F47A10">
        <w:rPr>
          <w:rStyle w:val="cf01"/>
          <w:rFonts w:ascii="Times New Roman" w:hAnsi="Times New Roman" w:cs="Times New Roman"/>
          <w:sz w:val="22"/>
          <w:szCs w:val="22"/>
        </w:rPr>
        <w:t xml:space="preserve"> EPA has determin</w:t>
      </w:r>
      <w:r w:rsidR="00DE08EB">
        <w:rPr>
          <w:rStyle w:val="cf01"/>
          <w:rFonts w:ascii="Times New Roman" w:hAnsi="Times New Roman" w:cs="Times New Roman"/>
          <w:sz w:val="22"/>
          <w:szCs w:val="22"/>
        </w:rPr>
        <w:t>ed</w:t>
      </w:r>
      <w:r w:rsidR="00F47A10">
        <w:rPr>
          <w:rStyle w:val="cf01"/>
          <w:rFonts w:ascii="Times New Roman" w:hAnsi="Times New Roman" w:cs="Times New Roman"/>
          <w:sz w:val="22"/>
          <w:szCs w:val="22"/>
        </w:rPr>
        <w:t xml:space="preserve"> that the final rule provisions will help mitigate these costs</w:t>
      </w:r>
      <w:r w:rsidR="00DE08EB">
        <w:rPr>
          <w:rStyle w:val="cf01"/>
          <w:rFonts w:ascii="Times New Roman" w:hAnsi="Times New Roman" w:cs="Times New Roman"/>
          <w:sz w:val="22"/>
          <w:szCs w:val="22"/>
        </w:rPr>
        <w:t>.</w:t>
      </w:r>
    </w:p>
    <w:p w:rsidR="0077431B" w:rsidP="000571BC" w14:paraId="57F59FD2" w14:textId="77777777">
      <w:pPr>
        <w:spacing w:after="0" w:line="240" w:lineRule="auto"/>
      </w:pPr>
    </w:p>
    <w:p w:rsidR="00C35185" w:rsidP="00AF6AF5" w14:paraId="621FEFD7" w14:textId="508AB8A9">
      <w:pPr>
        <w:spacing w:after="0" w:line="240" w:lineRule="auto"/>
        <w:ind w:firstLine="720"/>
        <w:rPr>
          <w:rFonts w:ascii="Times New Roman" w:hAnsi="Times New Roman" w:cs="Times New Roman"/>
        </w:rPr>
      </w:pPr>
      <w:r>
        <w:rPr>
          <w:rFonts w:ascii="Times New Roman" w:hAnsi="Times New Roman" w:cs="Times New Roman"/>
        </w:rPr>
        <w:t xml:space="preserve">In addition to </w:t>
      </w:r>
      <w:r w:rsidR="003C69EB">
        <w:rPr>
          <w:rFonts w:ascii="Times New Roman" w:hAnsi="Times New Roman" w:cs="Times New Roman"/>
        </w:rPr>
        <w:t>the</w:t>
      </w:r>
      <w:r>
        <w:rPr>
          <w:rFonts w:ascii="Times New Roman" w:hAnsi="Times New Roman" w:cs="Times New Roman"/>
        </w:rPr>
        <w:t xml:space="preserve"> monetized baseline </w:t>
      </w:r>
      <w:r w:rsidR="003C69EB">
        <w:rPr>
          <w:rFonts w:ascii="Times New Roman" w:hAnsi="Times New Roman" w:cs="Times New Roman"/>
        </w:rPr>
        <w:t xml:space="preserve">accident </w:t>
      </w:r>
      <w:r>
        <w:rPr>
          <w:rFonts w:ascii="Times New Roman" w:hAnsi="Times New Roman" w:cs="Times New Roman"/>
        </w:rPr>
        <w:t>damages</w:t>
      </w:r>
      <w:r w:rsidR="003C69EB">
        <w:rPr>
          <w:rFonts w:ascii="Times New Roman" w:hAnsi="Times New Roman" w:cs="Times New Roman"/>
        </w:rPr>
        <w:t xml:space="preserve"> reflecting</w:t>
      </w:r>
      <w:r w:rsidR="00F570C5">
        <w:rPr>
          <w:rFonts w:ascii="Times New Roman" w:hAnsi="Times New Roman" w:cs="Times New Roman"/>
        </w:rPr>
        <w:t xml:space="preserve"> impacts required to be reported by</w:t>
      </w:r>
      <w:r w:rsidR="003C69EB">
        <w:rPr>
          <w:rFonts w:ascii="Times New Roman" w:hAnsi="Times New Roman" w:cs="Times New Roman"/>
        </w:rPr>
        <w:t xml:space="preserve"> RMP facilit</w:t>
      </w:r>
      <w:r w:rsidR="00F570C5">
        <w:rPr>
          <w:rFonts w:ascii="Times New Roman" w:hAnsi="Times New Roman" w:cs="Times New Roman"/>
        </w:rPr>
        <w:t>ies</w:t>
      </w:r>
      <w:r>
        <w:rPr>
          <w:rFonts w:ascii="Times New Roman" w:hAnsi="Times New Roman" w:cs="Times New Roman"/>
        </w:rPr>
        <w:t xml:space="preserve">, there are many </w:t>
      </w:r>
      <w:r w:rsidR="003C69EB">
        <w:rPr>
          <w:rFonts w:ascii="Times New Roman" w:hAnsi="Times New Roman" w:cs="Times New Roman"/>
        </w:rPr>
        <w:t xml:space="preserve">additional </w:t>
      </w:r>
      <w:r w:rsidR="007E76E7">
        <w:rPr>
          <w:rFonts w:ascii="Times New Roman" w:hAnsi="Times New Roman" w:cs="Times New Roman"/>
        </w:rPr>
        <w:t xml:space="preserve">RMP </w:t>
      </w:r>
      <w:r>
        <w:rPr>
          <w:rFonts w:ascii="Times New Roman" w:hAnsi="Times New Roman" w:cs="Times New Roman"/>
        </w:rPr>
        <w:t>accident</w:t>
      </w:r>
      <w:r w:rsidR="007E76E7">
        <w:rPr>
          <w:rFonts w:ascii="Times New Roman" w:hAnsi="Times New Roman" w:cs="Times New Roman"/>
        </w:rPr>
        <w:t xml:space="preserve"> impact</w:t>
      </w:r>
      <w:r>
        <w:rPr>
          <w:rFonts w:ascii="Times New Roman" w:hAnsi="Times New Roman" w:cs="Times New Roman"/>
        </w:rPr>
        <w:t>s  that EPA was unable to quantify or monetize</w:t>
      </w:r>
      <w:r w:rsidR="00672725">
        <w:rPr>
          <w:rFonts w:ascii="Times New Roman" w:hAnsi="Times New Roman" w:cs="Times New Roman"/>
        </w:rPr>
        <w:t xml:space="preserve"> due to a lack of data</w:t>
      </w:r>
      <w:r>
        <w:rPr>
          <w:rFonts w:ascii="Times New Roman" w:hAnsi="Times New Roman" w:cs="Times New Roman"/>
        </w:rPr>
        <w:t xml:space="preserve">. </w:t>
      </w:r>
      <w:r w:rsidRPr="00C2595C">
        <w:rPr>
          <w:rFonts w:ascii="Times New Roman" w:hAnsi="Times New Roman" w:cs="Times New Roman"/>
        </w:rPr>
        <w:t>Unquantified b</w:t>
      </w:r>
      <w:r>
        <w:rPr>
          <w:rFonts w:ascii="Times New Roman" w:hAnsi="Times New Roman" w:cs="Times New Roman"/>
        </w:rPr>
        <w:t>aseline damages</w:t>
      </w:r>
      <w:r w:rsidRPr="00C2595C">
        <w:rPr>
          <w:rFonts w:ascii="Times New Roman" w:hAnsi="Times New Roman" w:cs="Times New Roman"/>
        </w:rPr>
        <w:t xml:space="preserve"> include </w:t>
      </w:r>
      <w:r w:rsidR="00D13763">
        <w:rPr>
          <w:rFonts w:ascii="Times New Roman" w:hAnsi="Times New Roman" w:cs="Times New Roman"/>
        </w:rPr>
        <w:t xml:space="preserve">potential </w:t>
      </w:r>
      <w:r w:rsidR="00F730E5">
        <w:rPr>
          <w:rFonts w:ascii="Times New Roman" w:hAnsi="Times New Roman" w:cs="Times New Roman"/>
        </w:rPr>
        <w:t>health</w:t>
      </w:r>
      <w:r w:rsidR="00A97AEB">
        <w:rPr>
          <w:rFonts w:ascii="Times New Roman" w:hAnsi="Times New Roman" w:cs="Times New Roman"/>
        </w:rPr>
        <w:t xml:space="preserve"> risks from </w:t>
      </w:r>
      <w:r w:rsidR="008B1319">
        <w:rPr>
          <w:rFonts w:ascii="Times New Roman" w:hAnsi="Times New Roman" w:cs="Times New Roman"/>
        </w:rPr>
        <w:t xml:space="preserve">exposure to </w:t>
      </w:r>
      <w:r w:rsidR="00A97AEB">
        <w:rPr>
          <w:rFonts w:ascii="Times New Roman" w:hAnsi="Times New Roman" w:cs="Times New Roman"/>
        </w:rPr>
        <w:t xml:space="preserve">toxic chemicals, </w:t>
      </w:r>
      <w:r w:rsidRPr="00C2595C">
        <w:rPr>
          <w:rFonts w:ascii="Times New Roman" w:hAnsi="Times New Roman" w:cs="Times New Roman"/>
        </w:rPr>
        <w:t xml:space="preserve">lost productivity, responder costs, transaction costs, </w:t>
      </w:r>
      <w:r>
        <w:rPr>
          <w:rFonts w:ascii="Times New Roman" w:hAnsi="Times New Roman" w:cs="Times New Roman"/>
        </w:rPr>
        <w:t>negative impacts on</w:t>
      </w:r>
      <w:r w:rsidRPr="00C2595C">
        <w:rPr>
          <w:rFonts w:ascii="Times New Roman" w:hAnsi="Times New Roman" w:cs="Times New Roman"/>
        </w:rPr>
        <w:t xml:space="preserve"> property values</w:t>
      </w:r>
      <w:r w:rsidR="00344DC5">
        <w:rPr>
          <w:rFonts w:ascii="Times New Roman" w:hAnsi="Times New Roman" w:cs="Times New Roman"/>
        </w:rPr>
        <w:t>,</w:t>
      </w:r>
      <w:r w:rsidRPr="00C2595C">
        <w:rPr>
          <w:rFonts w:ascii="Times New Roman" w:hAnsi="Times New Roman" w:cs="Times New Roman"/>
        </w:rPr>
        <w:t xml:space="preserve"> environmental</w:t>
      </w:r>
      <w:r>
        <w:rPr>
          <w:rFonts w:ascii="Times New Roman" w:hAnsi="Times New Roman" w:cs="Times New Roman"/>
        </w:rPr>
        <w:t xml:space="preserve"> damages</w:t>
      </w:r>
      <w:r w:rsidR="00344DC5">
        <w:rPr>
          <w:rFonts w:ascii="Times New Roman" w:hAnsi="Times New Roman" w:cs="Times New Roman"/>
        </w:rPr>
        <w:t>,</w:t>
      </w:r>
      <w:r>
        <w:rPr>
          <w:rFonts w:ascii="Times New Roman" w:hAnsi="Times New Roman" w:cs="Times New Roman"/>
        </w:rPr>
        <w:t xml:space="preserve"> </w:t>
      </w:r>
      <w:r w:rsidR="00B755B9">
        <w:rPr>
          <w:rFonts w:ascii="Times New Roman" w:hAnsi="Times New Roman" w:cs="Times New Roman"/>
        </w:rPr>
        <w:t xml:space="preserve">unquantified </w:t>
      </w:r>
      <w:r w:rsidR="00720DEF">
        <w:rPr>
          <w:rFonts w:ascii="Times New Roman" w:hAnsi="Times New Roman" w:cs="Times New Roman"/>
        </w:rPr>
        <w:t xml:space="preserve">evacuation and shelter-in-place costs, </w:t>
      </w:r>
      <w:r w:rsidRPr="00C2595C">
        <w:rPr>
          <w:rFonts w:ascii="Times New Roman" w:hAnsi="Times New Roman" w:cs="Times New Roman"/>
        </w:rPr>
        <w:t xml:space="preserve">and </w:t>
      </w:r>
      <w:r>
        <w:rPr>
          <w:rFonts w:ascii="Times New Roman" w:hAnsi="Times New Roman" w:cs="Times New Roman"/>
        </w:rPr>
        <w:t xml:space="preserve">damages related to </w:t>
      </w:r>
      <w:r w:rsidRPr="00C2595C">
        <w:rPr>
          <w:rFonts w:ascii="Times New Roman" w:hAnsi="Times New Roman" w:cs="Times New Roman"/>
        </w:rPr>
        <w:t>catastrophic releases.</w:t>
      </w:r>
      <w:r w:rsidR="00026C61">
        <w:rPr>
          <w:rFonts w:ascii="Times New Roman" w:hAnsi="Times New Roman" w:cs="Times New Roman"/>
        </w:rPr>
        <w:t xml:space="preserve"> </w:t>
      </w:r>
      <w:r w:rsidR="00FF45C5">
        <w:rPr>
          <w:rFonts w:ascii="Times New Roman" w:eastAsia="MS Mincho" w:hAnsi="Times New Roman" w:cs="Times New Roman"/>
        </w:rPr>
        <w:t>In</w:t>
      </w:r>
      <w:r w:rsidRPr="00FF45C5" w:rsidR="003D1617">
        <w:rPr>
          <w:rFonts w:ascii="Times New Roman" w:eastAsia="MS Mincho" w:hAnsi="Times New Roman" w:cs="Times New Roman"/>
        </w:rPr>
        <w:t xml:space="preserve"> some cases, t</w:t>
      </w:r>
      <w:r w:rsidRPr="003D1617" w:rsidR="003D1617">
        <w:rPr>
          <w:rFonts w:ascii="Times New Roman" w:hAnsi="Times New Roman" w:cs="Times New Roman"/>
        </w:rPr>
        <w:t xml:space="preserve">hese damages </w:t>
      </w:r>
      <w:r w:rsidR="003D1617">
        <w:rPr>
          <w:rFonts w:ascii="Times New Roman" w:hAnsi="Times New Roman" w:cs="Times New Roman"/>
        </w:rPr>
        <w:t xml:space="preserve">could </w:t>
      </w:r>
      <w:r w:rsidRPr="003D1617" w:rsidR="003D1617">
        <w:rPr>
          <w:rFonts w:ascii="Times New Roman" w:hAnsi="Times New Roman" w:cs="Times New Roman"/>
        </w:rPr>
        <w:t xml:space="preserve">be even more detrimental to </w:t>
      </w:r>
      <w:r w:rsidR="00112BA2">
        <w:rPr>
          <w:rFonts w:ascii="Times New Roman" w:hAnsi="Times New Roman" w:cs="Times New Roman"/>
        </w:rPr>
        <w:t>society</w:t>
      </w:r>
      <w:r w:rsidRPr="003D1617" w:rsidR="003D1617">
        <w:rPr>
          <w:rFonts w:ascii="Times New Roman" w:hAnsi="Times New Roman" w:cs="Times New Roman"/>
        </w:rPr>
        <w:t xml:space="preserve"> than those damages that can be quantified. </w:t>
      </w:r>
      <w:r w:rsidR="00026C61">
        <w:rPr>
          <w:rFonts w:ascii="Times New Roman" w:hAnsi="Times New Roman" w:cs="Times New Roman"/>
        </w:rPr>
        <w:t>These categories are discussed in detail in</w:t>
      </w:r>
      <w:r w:rsidR="006C08F8">
        <w:rPr>
          <w:rFonts w:ascii="Times New Roman" w:hAnsi="Times New Roman" w:cs="Times New Roman"/>
        </w:rPr>
        <w:t xml:space="preserve"> Chapter</w:t>
      </w:r>
      <w:r w:rsidR="00026C61">
        <w:rPr>
          <w:rFonts w:ascii="Times New Roman" w:hAnsi="Times New Roman" w:cs="Times New Roman"/>
        </w:rPr>
        <w:t xml:space="preserve"> </w:t>
      </w:r>
      <w:r w:rsidR="00E77F06">
        <w:rPr>
          <w:rFonts w:ascii="Times New Roman" w:hAnsi="Times New Roman" w:cs="Times New Roman"/>
        </w:rPr>
        <w:t>6</w:t>
      </w:r>
      <w:r w:rsidR="00026C61">
        <w:rPr>
          <w:rFonts w:ascii="Times New Roman" w:hAnsi="Times New Roman" w:cs="Times New Roman"/>
        </w:rPr>
        <w:t>.</w:t>
      </w:r>
    </w:p>
    <w:bookmarkEnd w:id="3"/>
    <w:p w:rsidR="007A2A7D" w:rsidRPr="00C2595C" w:rsidP="00146C18" w14:paraId="7E40FC05" w14:textId="77777777">
      <w:pPr>
        <w:spacing w:after="0" w:line="240" w:lineRule="auto"/>
        <w:ind w:firstLine="720"/>
        <w:rPr>
          <w:rFonts w:ascii="Times New Roman" w:hAnsi="Times New Roman" w:cs="Times New Roman"/>
        </w:rPr>
      </w:pPr>
    </w:p>
    <w:p w:rsidR="00AB13E7" w:rsidP="00314558" w14:paraId="1E1141C2" w14:textId="155AA3A6">
      <w:pPr>
        <w:spacing w:after="0" w:line="240" w:lineRule="auto"/>
        <w:rPr>
          <w:rFonts w:ascii="Times New Roman" w:hAnsi="Times New Roman" w:cs="Times New Roman"/>
          <w:b/>
        </w:rPr>
      </w:pPr>
      <w:r>
        <w:rPr>
          <w:rFonts w:ascii="Times New Roman" w:hAnsi="Times New Roman" w:cs="Times New Roman"/>
          <w:b/>
        </w:rPr>
        <w:t>Summary of Benefits</w:t>
      </w:r>
    </w:p>
    <w:p w:rsidR="004C1142" w:rsidP="00433B51" w14:paraId="17145F5C" w14:textId="5206E247">
      <w:pPr>
        <w:spacing w:after="0" w:line="240" w:lineRule="auto"/>
        <w:ind w:firstLine="720"/>
        <w:rPr>
          <w:rFonts w:ascii="Times New Roman" w:hAnsi="Times New Roman" w:cs="Times New Roman"/>
        </w:rPr>
      </w:pPr>
      <w:r>
        <w:rPr>
          <w:rFonts w:ascii="Times New Roman" w:hAnsi="Times New Roman" w:cs="Times New Roman"/>
        </w:rPr>
        <w:t>EPA expects the final rule to reduce accident risks across the spectrum of RMP facilities and accident categories. The rule requirements are targeted at reducing both the probability and the magnitude of the full range of accident types</w:t>
      </w:r>
      <w:r w:rsidRPr="00A02C18">
        <w:rPr>
          <w:rFonts w:ascii="Times New Roman" w:hAnsi="Times New Roman" w:cs="Times New Roman"/>
        </w:rPr>
        <w:t xml:space="preserve"> </w:t>
      </w:r>
      <w:r>
        <w:rPr>
          <w:rFonts w:ascii="Times New Roman" w:hAnsi="Times New Roman" w:cs="Times New Roman"/>
        </w:rPr>
        <w:t>regulated by the RMP program including fires, explosions, and releases of toxic vapors. Accident risks posed by the variety of RMP facilities in numerous</w:t>
      </w:r>
      <w:r w:rsidR="00340290">
        <w:rPr>
          <w:rFonts w:ascii="Times New Roman" w:hAnsi="Times New Roman" w:cs="Times New Roman"/>
        </w:rPr>
        <w:t xml:space="preserve"> </w:t>
      </w:r>
      <w:r>
        <w:rPr>
          <w:rFonts w:ascii="Times New Roman" w:hAnsi="Times New Roman" w:cs="Times New Roman"/>
        </w:rPr>
        <w:t xml:space="preserve">industries </w:t>
      </w:r>
      <w:r w:rsidR="00340290">
        <w:rPr>
          <w:rFonts w:ascii="Times New Roman" w:hAnsi="Times New Roman" w:cs="Times New Roman"/>
        </w:rPr>
        <w:t>(</w:t>
      </w:r>
      <w:r>
        <w:rPr>
          <w:rFonts w:ascii="Times New Roman" w:hAnsi="Times New Roman" w:cs="Times New Roman"/>
        </w:rPr>
        <w:t>listed in Exhibit 3-1</w:t>
      </w:r>
      <w:r w:rsidR="00340290">
        <w:rPr>
          <w:rFonts w:ascii="Times New Roman" w:hAnsi="Times New Roman" w:cs="Times New Roman"/>
        </w:rPr>
        <w:t>)</w:t>
      </w:r>
      <w:r>
        <w:rPr>
          <w:rFonts w:ascii="Times New Roman" w:hAnsi="Times New Roman" w:cs="Times New Roman"/>
        </w:rPr>
        <w:t xml:space="preserve"> should decrease</w:t>
      </w:r>
      <w:r w:rsidR="00801E0B">
        <w:rPr>
          <w:rFonts w:ascii="Times New Roman" w:hAnsi="Times New Roman" w:cs="Times New Roman"/>
        </w:rPr>
        <w:t>,</w:t>
      </w:r>
      <w:r>
        <w:rPr>
          <w:rFonts w:ascii="Times New Roman" w:hAnsi="Times New Roman" w:cs="Times New Roman"/>
        </w:rPr>
        <w:t xml:space="preserve"> with larger impacts expected for P3 facilities and especially petroleum refineries and chemical manufacturers that meet the three conditions for </w:t>
      </w:r>
      <w:r w:rsidR="00801E0B">
        <w:rPr>
          <w:rFonts w:ascii="Times New Roman" w:hAnsi="Times New Roman" w:cs="Times New Roman"/>
        </w:rPr>
        <w:t xml:space="preserve">the </w:t>
      </w:r>
      <w:r>
        <w:rPr>
          <w:rFonts w:ascii="Times New Roman" w:hAnsi="Times New Roman" w:cs="Times New Roman"/>
        </w:rPr>
        <w:t>STAA practicability and implementation</w:t>
      </w:r>
      <w:r w:rsidR="00801E0B">
        <w:rPr>
          <w:rFonts w:ascii="Times New Roman" w:hAnsi="Times New Roman" w:cs="Times New Roman"/>
        </w:rPr>
        <w:t xml:space="preserve"> requirements</w:t>
      </w:r>
      <w:r>
        <w:rPr>
          <w:rFonts w:ascii="Times New Roman" w:hAnsi="Times New Roman" w:cs="Times New Roman"/>
        </w:rPr>
        <w:t xml:space="preserve">. </w:t>
      </w:r>
      <w:r w:rsidR="008C0A8E">
        <w:rPr>
          <w:rFonts w:ascii="Times New Roman" w:hAnsi="Times New Roman" w:cs="Times New Roman"/>
        </w:rPr>
        <w:t>Avoided accident</w:t>
      </w:r>
      <w:r w:rsidR="00EF5839">
        <w:rPr>
          <w:rFonts w:ascii="Times New Roman" w:hAnsi="Times New Roman" w:cs="Times New Roman"/>
        </w:rPr>
        <w:t xml:space="preserve"> </w:t>
      </w:r>
      <w:r w:rsidRPr="30864C0E" w:rsidR="00EF5839">
        <w:rPr>
          <w:rFonts w:ascii="Times New Roman" w:hAnsi="Times New Roman" w:cs="Times New Roman"/>
        </w:rPr>
        <w:t>damage</w:t>
      </w:r>
      <w:r w:rsidRPr="30864C0E" w:rsidR="6332CBC0">
        <w:rPr>
          <w:rFonts w:ascii="Times New Roman" w:hAnsi="Times New Roman" w:cs="Times New Roman"/>
        </w:rPr>
        <w:t>s</w:t>
      </w:r>
      <w:r w:rsidR="00EF5839">
        <w:rPr>
          <w:rFonts w:ascii="Times New Roman" w:hAnsi="Times New Roman" w:cs="Times New Roman"/>
        </w:rPr>
        <w:t xml:space="preserve"> include</w:t>
      </w:r>
      <w:r w:rsidR="009D1372">
        <w:rPr>
          <w:rFonts w:ascii="Times New Roman" w:hAnsi="Times New Roman" w:cs="Times New Roman"/>
        </w:rPr>
        <w:t xml:space="preserve"> </w:t>
      </w:r>
      <w:r w:rsidR="008C0A8E">
        <w:rPr>
          <w:rFonts w:ascii="Times New Roman" w:hAnsi="Times New Roman" w:cs="Times New Roman"/>
        </w:rPr>
        <w:t xml:space="preserve">those that are required to be reported </w:t>
      </w:r>
      <w:r w:rsidR="00801E0B">
        <w:rPr>
          <w:rFonts w:ascii="Times New Roman" w:hAnsi="Times New Roman" w:cs="Times New Roman"/>
        </w:rPr>
        <w:t xml:space="preserve">by RMP facilities </w:t>
      </w:r>
      <w:r w:rsidR="008C0A8E">
        <w:rPr>
          <w:rFonts w:ascii="Times New Roman" w:hAnsi="Times New Roman" w:cs="Times New Roman"/>
        </w:rPr>
        <w:t>such as</w:t>
      </w:r>
      <w:r w:rsidR="009D1372">
        <w:rPr>
          <w:rFonts w:ascii="Times New Roman" w:hAnsi="Times New Roman" w:cs="Times New Roman"/>
        </w:rPr>
        <w:t xml:space="preserve"> fatalities, injuries, property damage, hospitalizations, medical treatment, </w:t>
      </w:r>
      <w:r w:rsidR="00E83DE7">
        <w:rPr>
          <w:rFonts w:ascii="Times New Roman" w:hAnsi="Times New Roman" w:cs="Times New Roman"/>
        </w:rPr>
        <w:t xml:space="preserve">evacuations, </w:t>
      </w:r>
      <w:r w:rsidR="009D1372">
        <w:rPr>
          <w:rFonts w:ascii="Times New Roman" w:hAnsi="Times New Roman" w:cs="Times New Roman"/>
        </w:rPr>
        <w:t xml:space="preserve">sheltering-in-place and </w:t>
      </w:r>
      <w:r w:rsidR="00026C61">
        <w:rPr>
          <w:rFonts w:ascii="Times New Roman" w:hAnsi="Times New Roman" w:cs="Times New Roman"/>
        </w:rPr>
        <w:t>others</w:t>
      </w:r>
      <w:r w:rsidR="009D1372">
        <w:rPr>
          <w:rFonts w:ascii="Times New Roman" w:hAnsi="Times New Roman" w:cs="Times New Roman"/>
        </w:rPr>
        <w:t xml:space="preserve">. EPA also expects that the </w:t>
      </w:r>
      <w:r w:rsidR="00D75F50">
        <w:rPr>
          <w:rFonts w:ascii="Times New Roman" w:hAnsi="Times New Roman" w:cs="Times New Roman"/>
        </w:rPr>
        <w:t>final</w:t>
      </w:r>
      <w:r w:rsidR="009D1372">
        <w:rPr>
          <w:rFonts w:ascii="Times New Roman" w:hAnsi="Times New Roman" w:cs="Times New Roman"/>
        </w:rPr>
        <w:t xml:space="preserve"> rule provisions </w:t>
      </w:r>
      <w:r w:rsidR="009449B7">
        <w:rPr>
          <w:rFonts w:ascii="Times New Roman" w:hAnsi="Times New Roman" w:cs="Times New Roman"/>
        </w:rPr>
        <w:t>will</w:t>
      </w:r>
      <w:r w:rsidR="009D1372">
        <w:rPr>
          <w:rFonts w:ascii="Times New Roman" w:hAnsi="Times New Roman" w:cs="Times New Roman"/>
        </w:rPr>
        <w:t xml:space="preserve"> reduce baseline damages that are not </w:t>
      </w:r>
      <w:r w:rsidR="004D6D24">
        <w:rPr>
          <w:rFonts w:ascii="Times New Roman" w:hAnsi="Times New Roman" w:cs="Times New Roman"/>
        </w:rPr>
        <w:t xml:space="preserve">required to be reported </w:t>
      </w:r>
      <w:r w:rsidR="0017561F">
        <w:rPr>
          <w:rFonts w:ascii="Times New Roman" w:hAnsi="Times New Roman" w:cs="Times New Roman"/>
        </w:rPr>
        <w:t xml:space="preserve">such as </w:t>
      </w:r>
      <w:r w:rsidR="00BF4BFF">
        <w:rPr>
          <w:rFonts w:ascii="Times New Roman" w:hAnsi="Times New Roman" w:cs="Times New Roman"/>
        </w:rPr>
        <w:t xml:space="preserve">taxpayer-funded </w:t>
      </w:r>
      <w:r w:rsidR="0017561F">
        <w:rPr>
          <w:rFonts w:ascii="Times New Roman" w:hAnsi="Times New Roman" w:cs="Times New Roman"/>
        </w:rPr>
        <w:t>responder costs</w:t>
      </w:r>
      <w:r w:rsidR="009D1372">
        <w:rPr>
          <w:rFonts w:ascii="Times New Roman" w:hAnsi="Times New Roman" w:cs="Times New Roman"/>
        </w:rPr>
        <w:t>,</w:t>
      </w:r>
      <w:r w:rsidR="00BF4BFF">
        <w:rPr>
          <w:rFonts w:ascii="Times New Roman" w:hAnsi="Times New Roman" w:cs="Times New Roman"/>
        </w:rPr>
        <w:t xml:space="preserve"> transaction costs for parties affected by the accident,</w:t>
      </w:r>
      <w:r w:rsidR="009D1372">
        <w:rPr>
          <w:rFonts w:ascii="Times New Roman" w:hAnsi="Times New Roman" w:cs="Times New Roman"/>
        </w:rPr>
        <w:t xml:space="preserve"> property value </w:t>
      </w:r>
      <w:r w:rsidR="009D1372">
        <w:rPr>
          <w:rFonts w:ascii="Times New Roman" w:hAnsi="Times New Roman" w:cs="Times New Roman"/>
        </w:rPr>
        <w:t>reductions</w:t>
      </w:r>
      <w:r w:rsidR="00BF4BFF">
        <w:rPr>
          <w:rFonts w:ascii="Times New Roman" w:hAnsi="Times New Roman" w:cs="Times New Roman"/>
        </w:rPr>
        <w:t xml:space="preserve"> in neighborhoods nearby</w:t>
      </w:r>
      <w:r w:rsidR="009D1372">
        <w:rPr>
          <w:rFonts w:ascii="Times New Roman" w:hAnsi="Times New Roman" w:cs="Times New Roman"/>
        </w:rPr>
        <w:t>,</w:t>
      </w:r>
      <w:r w:rsidR="0017561F">
        <w:rPr>
          <w:rFonts w:ascii="Times New Roman" w:hAnsi="Times New Roman" w:cs="Times New Roman"/>
        </w:rPr>
        <w:t xml:space="preserve"> </w:t>
      </w:r>
      <w:r w:rsidR="00196173">
        <w:rPr>
          <w:rFonts w:ascii="Times New Roman" w:hAnsi="Times New Roman" w:cs="Times New Roman"/>
        </w:rPr>
        <w:t xml:space="preserve">unmonetized </w:t>
      </w:r>
      <w:r w:rsidR="002A6CFC">
        <w:rPr>
          <w:rFonts w:ascii="Times New Roman" w:hAnsi="Times New Roman" w:cs="Times New Roman"/>
        </w:rPr>
        <w:t xml:space="preserve">costs of evacuations and sheltering-in-place, the costs of potential health </w:t>
      </w:r>
      <w:r w:rsidR="008B1319">
        <w:rPr>
          <w:rFonts w:ascii="Times New Roman" w:hAnsi="Times New Roman" w:cs="Times New Roman"/>
        </w:rPr>
        <w:t>risks from exposure to toxic chemicals</w:t>
      </w:r>
      <w:r w:rsidR="002A6CFC">
        <w:rPr>
          <w:rFonts w:ascii="Times New Roman" w:hAnsi="Times New Roman" w:cs="Times New Roman"/>
        </w:rPr>
        <w:t xml:space="preserve">, </w:t>
      </w:r>
      <w:r w:rsidR="00B333AA">
        <w:rPr>
          <w:rFonts w:ascii="Times New Roman" w:hAnsi="Times New Roman" w:cs="Times New Roman"/>
        </w:rPr>
        <w:t xml:space="preserve">lost productivity, </w:t>
      </w:r>
      <w:r w:rsidR="002A6CFC">
        <w:rPr>
          <w:rFonts w:ascii="Times New Roman" w:hAnsi="Times New Roman" w:cs="Times New Roman"/>
        </w:rPr>
        <w:t xml:space="preserve">and more. </w:t>
      </w:r>
      <w:r w:rsidR="00801E0B">
        <w:rPr>
          <w:rFonts w:ascii="Times New Roman" w:hAnsi="Times New Roman" w:cs="Times New Roman"/>
        </w:rPr>
        <w:t>In addition,</w:t>
      </w:r>
      <w:r w:rsidR="002A6CFC">
        <w:rPr>
          <w:rFonts w:ascii="Times New Roman" w:hAnsi="Times New Roman" w:cs="Times New Roman"/>
        </w:rPr>
        <w:t xml:space="preserve"> information benefits will be experienced</w:t>
      </w:r>
      <w:r w:rsidR="0013224B">
        <w:rPr>
          <w:rFonts w:ascii="Times New Roman" w:hAnsi="Times New Roman" w:cs="Times New Roman"/>
        </w:rPr>
        <w:t xml:space="preserve"> due to several final</w:t>
      </w:r>
      <w:r w:rsidR="00C60712">
        <w:rPr>
          <w:rFonts w:ascii="Times New Roman" w:hAnsi="Times New Roman" w:cs="Times New Roman"/>
        </w:rPr>
        <w:t xml:space="preserve"> rule</w:t>
      </w:r>
      <w:r w:rsidR="0013224B">
        <w:rPr>
          <w:rFonts w:ascii="Times New Roman" w:hAnsi="Times New Roman" w:cs="Times New Roman"/>
        </w:rPr>
        <w:t xml:space="preserve"> provisions such as the community notification requirements and the back</w:t>
      </w:r>
      <w:r w:rsidR="00C60712">
        <w:rPr>
          <w:rFonts w:ascii="Times New Roman" w:hAnsi="Times New Roman" w:cs="Times New Roman"/>
        </w:rPr>
        <w:t>-</w:t>
      </w:r>
      <w:r w:rsidR="0013224B">
        <w:rPr>
          <w:rFonts w:ascii="Times New Roman" w:hAnsi="Times New Roman" w:cs="Times New Roman"/>
        </w:rPr>
        <w:t xml:space="preserve">up </w:t>
      </w:r>
      <w:r w:rsidR="005200CF">
        <w:rPr>
          <w:rFonts w:ascii="Times New Roman" w:hAnsi="Times New Roman" w:cs="Times New Roman"/>
        </w:rPr>
        <w:t>power</w:t>
      </w:r>
      <w:r w:rsidR="0013224B">
        <w:rPr>
          <w:rFonts w:ascii="Times New Roman" w:hAnsi="Times New Roman" w:cs="Times New Roman"/>
        </w:rPr>
        <w:t xml:space="preserve"> for </w:t>
      </w:r>
      <w:r w:rsidR="00134D7A">
        <w:rPr>
          <w:rFonts w:ascii="Times New Roman" w:hAnsi="Times New Roman" w:cs="Times New Roman"/>
        </w:rPr>
        <w:t>monitor</w:t>
      </w:r>
      <w:r w:rsidR="00C60712">
        <w:rPr>
          <w:rFonts w:ascii="Times New Roman" w:hAnsi="Times New Roman" w:cs="Times New Roman"/>
        </w:rPr>
        <w:t>ing equipment</w:t>
      </w:r>
      <w:r w:rsidR="0013224B">
        <w:rPr>
          <w:rFonts w:ascii="Times New Roman" w:hAnsi="Times New Roman" w:cs="Times New Roman"/>
        </w:rPr>
        <w:t xml:space="preserve">. Finally, the rule will reduce the </w:t>
      </w:r>
      <w:r w:rsidR="00C60712">
        <w:rPr>
          <w:rFonts w:ascii="Times New Roman" w:hAnsi="Times New Roman" w:cs="Times New Roman"/>
        </w:rPr>
        <w:t>likelihood</w:t>
      </w:r>
      <w:r w:rsidR="0013224B">
        <w:rPr>
          <w:rFonts w:ascii="Times New Roman" w:hAnsi="Times New Roman" w:cs="Times New Roman"/>
        </w:rPr>
        <w:t xml:space="preserve"> of </w:t>
      </w:r>
      <w:r w:rsidR="00B06F62">
        <w:rPr>
          <w:rFonts w:ascii="Times New Roman" w:hAnsi="Times New Roman" w:cs="Times New Roman"/>
        </w:rPr>
        <w:t xml:space="preserve">major </w:t>
      </w:r>
      <w:r w:rsidR="0017561F">
        <w:rPr>
          <w:rFonts w:ascii="Times New Roman" w:hAnsi="Times New Roman" w:cs="Times New Roman"/>
        </w:rPr>
        <w:t>catastrophes</w:t>
      </w:r>
      <w:r w:rsidR="00026C61">
        <w:rPr>
          <w:rFonts w:ascii="Times New Roman" w:hAnsi="Times New Roman" w:cs="Times New Roman"/>
        </w:rPr>
        <w:t>.</w:t>
      </w:r>
      <w:r w:rsidRPr="00AB13E7" w:rsidR="00827144">
        <w:rPr>
          <w:rFonts w:ascii="Times New Roman" w:hAnsi="Times New Roman" w:cs="Times New Roman"/>
        </w:rPr>
        <w:t xml:space="preserve"> </w:t>
      </w:r>
      <w:r w:rsidRPr="00C2595C" w:rsidR="00827144">
        <w:rPr>
          <w:rFonts w:ascii="Times New Roman" w:hAnsi="Times New Roman" w:cs="Times New Roman"/>
        </w:rPr>
        <w:t xml:space="preserve">Although EPA was unable to quantify the reductions in damages that may </w:t>
      </w:r>
      <w:r w:rsidR="00026C61">
        <w:rPr>
          <w:rFonts w:ascii="Times New Roman" w:hAnsi="Times New Roman" w:cs="Times New Roman"/>
        </w:rPr>
        <w:t xml:space="preserve">result from </w:t>
      </w:r>
      <w:r w:rsidRPr="00C2595C" w:rsidR="00827144">
        <w:rPr>
          <w:rFonts w:ascii="Times New Roman" w:hAnsi="Times New Roman" w:cs="Times New Roman"/>
        </w:rPr>
        <w:t xml:space="preserve">the </w:t>
      </w:r>
      <w:r w:rsidR="00D75F50">
        <w:rPr>
          <w:rFonts w:ascii="Times New Roman" w:hAnsi="Times New Roman" w:cs="Times New Roman"/>
        </w:rPr>
        <w:t>final</w:t>
      </w:r>
      <w:r w:rsidR="0017561F">
        <w:rPr>
          <w:rFonts w:ascii="Times New Roman" w:hAnsi="Times New Roman" w:cs="Times New Roman"/>
        </w:rPr>
        <w:t xml:space="preserve"> rule</w:t>
      </w:r>
      <w:r w:rsidRPr="00C2595C" w:rsidR="00827144">
        <w:rPr>
          <w:rFonts w:ascii="Times New Roman" w:hAnsi="Times New Roman" w:cs="Times New Roman"/>
        </w:rPr>
        <w:t xml:space="preserve"> </w:t>
      </w:r>
      <w:r w:rsidR="0017561F">
        <w:rPr>
          <w:rFonts w:ascii="Times New Roman" w:hAnsi="Times New Roman" w:cs="Times New Roman"/>
        </w:rPr>
        <w:t>p</w:t>
      </w:r>
      <w:r w:rsidRPr="00C2595C" w:rsidR="00827144">
        <w:rPr>
          <w:rFonts w:ascii="Times New Roman" w:hAnsi="Times New Roman" w:cs="Times New Roman"/>
        </w:rPr>
        <w:t>r</w:t>
      </w:r>
      <w:r w:rsidR="0017561F">
        <w:rPr>
          <w:rFonts w:ascii="Times New Roman" w:hAnsi="Times New Roman" w:cs="Times New Roman"/>
        </w:rPr>
        <w:t>o</w:t>
      </w:r>
      <w:r w:rsidRPr="00C2595C" w:rsidR="00827144">
        <w:rPr>
          <w:rFonts w:ascii="Times New Roman" w:hAnsi="Times New Roman" w:cs="Times New Roman"/>
        </w:rPr>
        <w:t>visions,</w:t>
      </w:r>
      <w:r w:rsidRPr="00AB13E7" w:rsidR="00827144">
        <w:rPr>
          <w:rFonts w:ascii="Times New Roman" w:hAnsi="Times New Roman" w:cs="Times New Roman"/>
        </w:rPr>
        <w:t xml:space="preserve"> </w:t>
      </w:r>
      <w:r w:rsidRPr="00C2595C" w:rsidR="00827144">
        <w:rPr>
          <w:rFonts w:ascii="Times New Roman" w:hAnsi="Times New Roman" w:cs="Times New Roman"/>
        </w:rPr>
        <w:t xml:space="preserve">EPA expects that a </w:t>
      </w:r>
      <w:r w:rsidR="005200CF">
        <w:rPr>
          <w:rFonts w:ascii="Times New Roman" w:hAnsi="Times New Roman" w:cs="Times New Roman"/>
        </w:rPr>
        <w:t xml:space="preserve">substantial </w:t>
      </w:r>
      <w:r w:rsidRPr="00C2595C" w:rsidR="00827144">
        <w:rPr>
          <w:rFonts w:ascii="Times New Roman" w:hAnsi="Times New Roman" w:cs="Times New Roman"/>
        </w:rPr>
        <w:t xml:space="preserve">portion of future damages </w:t>
      </w:r>
      <w:r w:rsidR="009449B7">
        <w:rPr>
          <w:rFonts w:ascii="Times New Roman" w:hAnsi="Times New Roman" w:cs="Times New Roman"/>
        </w:rPr>
        <w:t>will</w:t>
      </w:r>
      <w:r w:rsidRPr="00C2595C" w:rsidR="00827144">
        <w:rPr>
          <w:rFonts w:ascii="Times New Roman" w:hAnsi="Times New Roman" w:cs="Times New Roman"/>
        </w:rPr>
        <w:t xml:space="preserve"> be prevented by the </w:t>
      </w:r>
      <w:r w:rsidR="00D75F50">
        <w:rPr>
          <w:rFonts w:ascii="Times New Roman" w:hAnsi="Times New Roman" w:cs="Times New Roman"/>
        </w:rPr>
        <w:t>final</w:t>
      </w:r>
      <w:r w:rsidRPr="00C2595C" w:rsidR="00827144">
        <w:rPr>
          <w:rFonts w:ascii="Times New Roman" w:hAnsi="Times New Roman" w:cs="Times New Roman"/>
        </w:rPr>
        <w:t xml:space="preserve"> rule.</w:t>
      </w:r>
      <w:r w:rsidRPr="00AB13E7" w:rsidR="00827144">
        <w:rPr>
          <w:rFonts w:ascii="Times New Roman" w:hAnsi="Times New Roman" w:cs="Times New Roman"/>
        </w:rPr>
        <w:t xml:space="preserve"> </w:t>
      </w:r>
    </w:p>
    <w:p w:rsidR="00AB13E7" w:rsidP="00433B51" w14:paraId="039B0286" w14:textId="77777777">
      <w:pPr>
        <w:spacing w:after="0" w:line="240" w:lineRule="auto"/>
        <w:ind w:firstLine="720"/>
        <w:rPr>
          <w:rFonts w:ascii="Times New Roman" w:hAnsi="Times New Roman" w:cs="Times New Roman"/>
          <w:b/>
        </w:rPr>
      </w:pPr>
    </w:p>
    <w:p w:rsidR="00314558" w:rsidP="00314558" w14:paraId="6CBC87B3" w14:textId="67567DFB">
      <w:pPr>
        <w:spacing w:after="0" w:line="240" w:lineRule="auto"/>
        <w:rPr>
          <w:rFonts w:ascii="Times New Roman" w:hAnsi="Times New Roman" w:cs="Times New Roman"/>
          <w:b/>
        </w:rPr>
      </w:pPr>
      <w:r w:rsidRPr="00C2595C">
        <w:rPr>
          <w:rFonts w:ascii="Times New Roman" w:hAnsi="Times New Roman" w:cs="Times New Roman"/>
          <w:b/>
        </w:rPr>
        <w:t xml:space="preserve">Costs </w:t>
      </w:r>
      <w:r w:rsidRPr="00C2595C" w:rsidR="00BC7FC1">
        <w:rPr>
          <w:rFonts w:ascii="Times New Roman" w:hAnsi="Times New Roman" w:cs="Times New Roman"/>
          <w:b/>
        </w:rPr>
        <w:t>R</w:t>
      </w:r>
      <w:r w:rsidRPr="00C2595C">
        <w:rPr>
          <w:rFonts w:ascii="Times New Roman" w:hAnsi="Times New Roman" w:cs="Times New Roman"/>
          <w:b/>
        </w:rPr>
        <w:t>elative to B</w:t>
      </w:r>
      <w:r w:rsidRPr="00C2595C" w:rsidR="00B77FA9">
        <w:rPr>
          <w:rFonts w:ascii="Times New Roman" w:hAnsi="Times New Roman" w:cs="Times New Roman"/>
          <w:b/>
        </w:rPr>
        <w:t>enefits</w:t>
      </w:r>
      <w:r w:rsidR="009D1372">
        <w:rPr>
          <w:rFonts w:ascii="Times New Roman" w:hAnsi="Times New Roman" w:cs="Times New Roman"/>
          <w:b/>
        </w:rPr>
        <w:t xml:space="preserve">: </w:t>
      </w:r>
      <w:r w:rsidR="009F5494">
        <w:rPr>
          <w:rFonts w:ascii="Times New Roman" w:hAnsi="Times New Roman" w:cs="Times New Roman"/>
          <w:b/>
        </w:rPr>
        <w:t>A</w:t>
      </w:r>
      <w:r w:rsidR="001A51F2">
        <w:rPr>
          <w:rFonts w:ascii="Times New Roman" w:hAnsi="Times New Roman" w:cs="Times New Roman"/>
          <w:b/>
        </w:rPr>
        <w:t xml:space="preserve"> Limited</w:t>
      </w:r>
      <w:r w:rsidR="009F5494">
        <w:rPr>
          <w:rFonts w:ascii="Times New Roman" w:hAnsi="Times New Roman" w:cs="Times New Roman"/>
          <w:b/>
        </w:rPr>
        <w:t xml:space="preserve"> </w:t>
      </w:r>
      <w:r w:rsidR="009D1372">
        <w:rPr>
          <w:rFonts w:ascii="Times New Roman" w:hAnsi="Times New Roman" w:cs="Times New Roman"/>
          <w:b/>
        </w:rPr>
        <w:t>Breakeven Analysis</w:t>
      </w:r>
    </w:p>
    <w:p w:rsidR="00F10DDB" w:rsidP="00580650" w14:paraId="754DAEEB" w14:textId="2435F0DC">
      <w:pPr>
        <w:spacing w:after="0" w:line="240" w:lineRule="auto"/>
        <w:rPr>
          <w:rFonts w:ascii="Times New Roman" w:hAnsi="Times New Roman" w:cs="Times New Roman"/>
          <w:b/>
        </w:rPr>
      </w:pPr>
      <w:r>
        <w:rPr>
          <w:rFonts w:ascii="Times New Roman" w:hAnsi="Times New Roman" w:cs="Times New Roman"/>
          <w:b/>
        </w:rPr>
        <w:tab/>
      </w:r>
    </w:p>
    <w:p w:rsidR="00923F8D" w:rsidP="00F10DDB" w14:paraId="33FC7553" w14:textId="159F8688">
      <w:pPr>
        <w:spacing w:after="0" w:line="240" w:lineRule="auto"/>
        <w:ind w:firstLine="720"/>
        <w:rPr>
          <w:rFonts w:ascii="Times New Roman" w:hAnsi="Times New Roman" w:cs="Times New Roman"/>
        </w:rPr>
      </w:pPr>
      <w:r w:rsidRPr="009348B0">
        <w:rPr>
          <w:rFonts w:ascii="Times New Roman" w:hAnsi="Times New Roman" w:cs="Times New Roman"/>
        </w:rPr>
        <w:t xml:space="preserve">EPA is unable to estimate quantitative benefits for the final rule because EPA has no data to project the specific contribution of each final rule provision to reductions in the frequency or severity of future accidents. As shown by accident trends, accident frequency and severity are difficult to predict. </w:t>
      </w:r>
      <w:r w:rsidR="00460AC4">
        <w:rPr>
          <w:rFonts w:ascii="Times New Roman" w:hAnsi="Times New Roman" w:cs="Times New Roman"/>
        </w:rPr>
        <w:t>In addition</w:t>
      </w:r>
      <w:r w:rsidR="00134D7A">
        <w:rPr>
          <w:rFonts w:ascii="Times New Roman" w:hAnsi="Times New Roman" w:cs="Times New Roman"/>
        </w:rPr>
        <w:t>,</w:t>
      </w:r>
      <w:r w:rsidR="00A25C02">
        <w:rPr>
          <w:rFonts w:ascii="Times New Roman" w:hAnsi="Times New Roman" w:cs="Times New Roman"/>
        </w:rPr>
        <w:t xml:space="preserve"> EPA does not have data to estimate the value of</w:t>
      </w:r>
      <w:r w:rsidR="00460AC4">
        <w:rPr>
          <w:rFonts w:ascii="Times New Roman" w:hAnsi="Times New Roman" w:cs="Times New Roman"/>
        </w:rPr>
        <w:t xml:space="preserve"> all</w:t>
      </w:r>
      <w:r w:rsidR="00A25C02">
        <w:rPr>
          <w:rFonts w:ascii="Times New Roman" w:hAnsi="Times New Roman" w:cs="Times New Roman"/>
        </w:rPr>
        <w:t xml:space="preserve"> categories of</w:t>
      </w:r>
      <w:r w:rsidR="00460AC4">
        <w:rPr>
          <w:rFonts w:ascii="Times New Roman" w:hAnsi="Times New Roman" w:cs="Times New Roman"/>
        </w:rPr>
        <w:t xml:space="preserve"> </w:t>
      </w:r>
      <w:r w:rsidR="00A25C02">
        <w:rPr>
          <w:rFonts w:ascii="Times New Roman" w:hAnsi="Times New Roman" w:cs="Times New Roman"/>
        </w:rPr>
        <w:t xml:space="preserve">baseline damages that will be reduced by the final rule, nor is there data to estimate the value of improved information due to the final rule. </w:t>
      </w:r>
      <w:r w:rsidR="008C58AA">
        <w:rPr>
          <w:rFonts w:ascii="Times New Roman" w:hAnsi="Times New Roman" w:cs="Times New Roman"/>
        </w:rPr>
        <w:t>Therefore, the</w:t>
      </w:r>
      <w:r w:rsidR="00BC0D9E">
        <w:rPr>
          <w:rFonts w:ascii="Times New Roman" w:hAnsi="Times New Roman" w:cs="Times New Roman"/>
        </w:rPr>
        <w:t xml:space="preserve"> incremental impact on </w:t>
      </w:r>
      <w:r w:rsidR="00751292">
        <w:rPr>
          <w:rFonts w:ascii="Times New Roman" w:hAnsi="Times New Roman" w:cs="Times New Roman"/>
        </w:rPr>
        <w:t>the</w:t>
      </w:r>
      <w:r w:rsidR="00BC0D9E">
        <w:rPr>
          <w:rFonts w:ascii="Times New Roman" w:hAnsi="Times New Roman" w:cs="Times New Roman"/>
        </w:rPr>
        <w:t xml:space="preserve"> risk</w:t>
      </w:r>
      <w:r w:rsidR="00751292">
        <w:rPr>
          <w:rFonts w:ascii="Times New Roman" w:hAnsi="Times New Roman" w:cs="Times New Roman"/>
        </w:rPr>
        <w:t xml:space="preserve"> of a</w:t>
      </w:r>
      <w:r w:rsidR="00EE4EDE">
        <w:rPr>
          <w:rFonts w:ascii="Times New Roman" w:hAnsi="Times New Roman" w:cs="Times New Roman"/>
        </w:rPr>
        <w:t>n RMP facility</w:t>
      </w:r>
      <w:r w:rsidR="00751292">
        <w:rPr>
          <w:rFonts w:ascii="Times New Roman" w:hAnsi="Times New Roman" w:cs="Times New Roman"/>
        </w:rPr>
        <w:t xml:space="preserve"> release</w:t>
      </w:r>
      <w:r w:rsidR="00BC0D9E">
        <w:rPr>
          <w:rFonts w:ascii="Times New Roman" w:hAnsi="Times New Roman" w:cs="Times New Roman"/>
        </w:rPr>
        <w:t xml:space="preserve"> </w:t>
      </w:r>
      <w:r w:rsidR="00EE4EDE">
        <w:rPr>
          <w:rFonts w:ascii="Times New Roman" w:hAnsi="Times New Roman" w:cs="Times New Roman"/>
        </w:rPr>
        <w:t>resulting from</w:t>
      </w:r>
      <w:r w:rsidR="00BC0D9E">
        <w:rPr>
          <w:rFonts w:ascii="Times New Roman" w:hAnsi="Times New Roman" w:cs="Times New Roman"/>
        </w:rPr>
        <w:t xml:space="preserve"> each of the revised </w:t>
      </w:r>
      <w:r w:rsidR="005C6955">
        <w:rPr>
          <w:rFonts w:ascii="Times New Roman" w:hAnsi="Times New Roman" w:cs="Times New Roman"/>
        </w:rPr>
        <w:t>RMP rule provisions is</w:t>
      </w:r>
      <w:r w:rsidR="001A3FBE">
        <w:rPr>
          <w:rFonts w:ascii="Times New Roman" w:hAnsi="Times New Roman" w:cs="Times New Roman"/>
        </w:rPr>
        <w:t xml:space="preserve"> uncertain</w:t>
      </w:r>
      <w:r w:rsidR="005A0F33">
        <w:rPr>
          <w:rFonts w:ascii="Times New Roman" w:hAnsi="Times New Roman" w:cs="Times New Roman"/>
        </w:rPr>
        <w:t xml:space="preserve"> </w:t>
      </w:r>
      <w:r w:rsidR="005A47CA">
        <w:rPr>
          <w:rFonts w:ascii="Times New Roman" w:hAnsi="Times New Roman" w:cs="Times New Roman"/>
        </w:rPr>
        <w:t xml:space="preserve">and </w:t>
      </w:r>
      <w:r w:rsidR="005A0F33">
        <w:rPr>
          <w:rFonts w:ascii="Times New Roman" w:hAnsi="Times New Roman" w:cs="Times New Roman"/>
        </w:rPr>
        <w:t xml:space="preserve">the </w:t>
      </w:r>
      <w:r w:rsidR="00FD4381">
        <w:rPr>
          <w:rFonts w:ascii="Times New Roman" w:hAnsi="Times New Roman" w:cs="Times New Roman"/>
        </w:rPr>
        <w:t xml:space="preserve">full </w:t>
      </w:r>
      <w:r w:rsidR="00B8009A">
        <w:rPr>
          <w:rFonts w:ascii="Times New Roman" w:hAnsi="Times New Roman" w:cs="Times New Roman"/>
        </w:rPr>
        <w:t xml:space="preserve">value of </w:t>
      </w:r>
      <w:r w:rsidR="005A47CA">
        <w:rPr>
          <w:rFonts w:ascii="Times New Roman" w:hAnsi="Times New Roman" w:cs="Times New Roman"/>
        </w:rPr>
        <w:t xml:space="preserve">reduced risks is </w:t>
      </w:r>
      <w:r w:rsidR="00FD4381">
        <w:rPr>
          <w:rFonts w:ascii="Times New Roman" w:hAnsi="Times New Roman" w:cs="Times New Roman"/>
        </w:rPr>
        <w:t xml:space="preserve">unknown. </w:t>
      </w:r>
      <w:r w:rsidR="00366E8A">
        <w:rPr>
          <w:rFonts w:ascii="Times New Roman" w:hAnsi="Times New Roman" w:cs="Times New Roman"/>
        </w:rPr>
        <w:t>Th</w:t>
      </w:r>
      <w:r w:rsidR="00FD4381">
        <w:rPr>
          <w:rFonts w:ascii="Times New Roman" w:hAnsi="Times New Roman" w:cs="Times New Roman"/>
        </w:rPr>
        <w:t>ese</w:t>
      </w:r>
      <w:r w:rsidR="00366E8A">
        <w:rPr>
          <w:rFonts w:ascii="Times New Roman" w:hAnsi="Times New Roman" w:cs="Times New Roman"/>
        </w:rPr>
        <w:t xml:space="preserve"> un</w:t>
      </w:r>
      <w:r w:rsidR="00FD4381">
        <w:rPr>
          <w:rFonts w:ascii="Times New Roman" w:hAnsi="Times New Roman" w:cs="Times New Roman"/>
        </w:rPr>
        <w:t>knowns</w:t>
      </w:r>
      <w:r w:rsidR="00E870DC">
        <w:rPr>
          <w:rFonts w:ascii="Times New Roman" w:hAnsi="Times New Roman" w:cs="Times New Roman"/>
        </w:rPr>
        <w:t xml:space="preserve"> </w:t>
      </w:r>
      <w:r w:rsidR="005B3DBD">
        <w:rPr>
          <w:rFonts w:ascii="Times New Roman" w:hAnsi="Times New Roman" w:cs="Times New Roman"/>
        </w:rPr>
        <w:t>prevent</w:t>
      </w:r>
      <w:r w:rsidR="00E870DC">
        <w:rPr>
          <w:rFonts w:ascii="Times New Roman" w:hAnsi="Times New Roman" w:cs="Times New Roman"/>
        </w:rPr>
        <w:t xml:space="preserve"> EPA from conducting </w:t>
      </w:r>
      <w:r w:rsidR="00B8009A">
        <w:rPr>
          <w:rFonts w:ascii="Times New Roman" w:hAnsi="Times New Roman" w:cs="Times New Roman"/>
        </w:rPr>
        <w:t xml:space="preserve">a </w:t>
      </w:r>
      <w:r w:rsidR="00E870DC">
        <w:rPr>
          <w:rFonts w:ascii="Times New Roman" w:hAnsi="Times New Roman" w:cs="Times New Roman"/>
        </w:rPr>
        <w:t>standard</w:t>
      </w:r>
      <w:r w:rsidR="005B3DBD">
        <w:rPr>
          <w:rFonts w:ascii="Times New Roman" w:hAnsi="Times New Roman" w:cs="Times New Roman"/>
        </w:rPr>
        <w:t xml:space="preserve"> </w:t>
      </w:r>
      <w:r w:rsidR="00B8009A">
        <w:rPr>
          <w:rFonts w:ascii="Times New Roman" w:hAnsi="Times New Roman" w:cs="Times New Roman"/>
        </w:rPr>
        <w:t xml:space="preserve">benefit </w:t>
      </w:r>
      <w:r w:rsidR="005B3DBD">
        <w:rPr>
          <w:rFonts w:ascii="Times New Roman" w:hAnsi="Times New Roman" w:cs="Times New Roman"/>
        </w:rPr>
        <w:t xml:space="preserve">cost analysis. </w:t>
      </w:r>
    </w:p>
    <w:p w:rsidR="00923F8D" w:rsidP="00F10DDB" w14:paraId="65A787F5" w14:textId="77777777">
      <w:pPr>
        <w:spacing w:after="0" w:line="240" w:lineRule="auto"/>
        <w:ind w:firstLine="720"/>
        <w:rPr>
          <w:rFonts w:ascii="Times New Roman" w:hAnsi="Times New Roman" w:cs="Times New Roman"/>
        </w:rPr>
      </w:pPr>
    </w:p>
    <w:p w:rsidR="00802C3B" w:rsidP="00802C3B" w14:paraId="4C0AB89A" w14:textId="2E1A1203">
      <w:pPr>
        <w:spacing w:after="0" w:line="240" w:lineRule="auto"/>
        <w:ind w:firstLine="720"/>
        <w:rPr>
          <w:rFonts w:ascii="Times New Roman" w:hAnsi="Times New Roman" w:cs="Times New Roman"/>
        </w:rPr>
      </w:pPr>
      <w:r w:rsidRPr="78BF25F5">
        <w:rPr>
          <w:rFonts w:ascii="Times New Roman" w:hAnsi="Times New Roman" w:cs="Times New Roman"/>
        </w:rPr>
        <w:t>Instead, to provide insight into the trade-off between the costs and benefits of the final rule provisions</w:t>
      </w:r>
      <w:r w:rsidRPr="78BF25F5" w:rsidR="005E7C0F">
        <w:rPr>
          <w:rFonts w:ascii="Times New Roman" w:hAnsi="Times New Roman" w:cs="Times New Roman"/>
        </w:rPr>
        <w:t xml:space="preserve">, this RIA presents </w:t>
      </w:r>
      <w:r w:rsidRPr="78BF25F5" w:rsidR="00D10241">
        <w:rPr>
          <w:rFonts w:ascii="Times New Roman" w:hAnsi="Times New Roman" w:cs="Times New Roman"/>
        </w:rPr>
        <w:t xml:space="preserve">a </w:t>
      </w:r>
      <w:r w:rsidR="00801E0B">
        <w:rPr>
          <w:rFonts w:ascii="Times New Roman" w:hAnsi="Times New Roman" w:cs="Times New Roman"/>
        </w:rPr>
        <w:t>breakeven analysis limited by incomplete information. The results of this analysis should be viewed with caution. It consists of a simple comparison between the estimated annualized costs of the rule and the limited set of monetized baseline accident impacts. The annualized costs of the final rule (at a 3 percent discount rate) are estimated as $257 million, while average annual monetized accident impacts based on self-reported RMP facility data are estimated</w:t>
      </w:r>
      <w:r w:rsidR="00B8009A">
        <w:rPr>
          <w:rFonts w:ascii="Times New Roman" w:hAnsi="Times New Roman" w:cs="Times New Roman"/>
        </w:rPr>
        <w:t xml:space="preserve"> as </w:t>
      </w:r>
      <w:r w:rsidR="00801E0B">
        <w:rPr>
          <w:rFonts w:ascii="Times New Roman" w:hAnsi="Times New Roman" w:cs="Times New Roman"/>
        </w:rPr>
        <w:t>$540 million. The many baseline accident impacts that are not reflected in the $540 million baseline accident cost estimate, yet are expected to be avoided as a benefit of the final provisions, include</w:t>
      </w:r>
      <w:r w:rsidR="00E84E75">
        <w:rPr>
          <w:rFonts w:ascii="Times New Roman" w:hAnsi="Times New Roman" w:cs="Times New Roman"/>
        </w:rPr>
        <w:t xml:space="preserve"> responder costs, </w:t>
      </w:r>
      <w:r w:rsidR="00801E0B">
        <w:rPr>
          <w:rFonts w:ascii="Times New Roman" w:hAnsi="Times New Roman" w:cs="Times New Roman"/>
        </w:rPr>
        <w:t xml:space="preserve">transaction costs, </w:t>
      </w:r>
      <w:r w:rsidR="00E84E75">
        <w:rPr>
          <w:rFonts w:ascii="Times New Roman" w:hAnsi="Times New Roman" w:cs="Times New Roman"/>
        </w:rPr>
        <w:t xml:space="preserve">property value </w:t>
      </w:r>
      <w:r w:rsidR="00801E0B">
        <w:rPr>
          <w:rFonts w:ascii="Times New Roman" w:hAnsi="Times New Roman" w:cs="Times New Roman"/>
        </w:rPr>
        <w:t xml:space="preserve">reductions, unmonetized costs of evacuations and sheltering-in-place, the costs of potential health </w:t>
      </w:r>
      <w:r w:rsidR="008B1319">
        <w:rPr>
          <w:rFonts w:ascii="Times New Roman" w:hAnsi="Times New Roman" w:cs="Times New Roman"/>
        </w:rPr>
        <w:t>risks from exposure to toxic chemicals</w:t>
      </w:r>
      <w:r w:rsidR="00801E0B">
        <w:rPr>
          <w:rFonts w:ascii="Times New Roman" w:hAnsi="Times New Roman" w:cs="Times New Roman"/>
        </w:rPr>
        <w:t>, and productivity losses, among others. The $540 million estimate also does not reflect the full set of baseline inefficiencies that will be improved due to the improved information offered by several of the final provisions such as the community notification requirements and the back-up power for monitors. Finally, as explained above, the baseline estimate of costs does not include</w:t>
      </w:r>
      <w:r w:rsidR="00A27557">
        <w:rPr>
          <w:rFonts w:ascii="Times New Roman" w:hAnsi="Times New Roman" w:cs="Times New Roman"/>
        </w:rPr>
        <w:t xml:space="preserve"> </w:t>
      </w:r>
      <w:r w:rsidRPr="78BF25F5">
        <w:rPr>
          <w:rFonts w:ascii="Times New Roman" w:hAnsi="Times New Roman" w:cs="Times New Roman"/>
        </w:rPr>
        <w:t>major catastrophic loss</w:t>
      </w:r>
      <w:r w:rsidRPr="78BF25F5" w:rsidR="00C751A5">
        <w:rPr>
          <w:rFonts w:ascii="Times New Roman" w:hAnsi="Times New Roman" w:cs="Times New Roman"/>
        </w:rPr>
        <w:t>es</w:t>
      </w:r>
      <w:r>
        <w:rPr>
          <w:rFonts w:ascii="Times New Roman" w:hAnsi="Times New Roman" w:cs="Times New Roman"/>
        </w:rPr>
        <w:t xml:space="preserve">. In light of these numerous unmonetized impacts, </w:t>
      </w:r>
      <w:r>
        <w:rPr>
          <w:rFonts w:ascii="Times New Roman" w:hAnsi="Times New Roman" w:cs="Times New Roman"/>
        </w:rPr>
        <w:t>the estimate of baseline costs potentially reduced by the final rule is only partial</w:t>
      </w:r>
      <w:r w:rsidR="002D4F2A">
        <w:rPr>
          <w:rFonts w:ascii="Times New Roman" w:hAnsi="Times New Roman" w:cs="Times New Roman"/>
        </w:rPr>
        <w:t xml:space="preserve"> and is a conservative estimate</w:t>
      </w:r>
      <w:r>
        <w:rPr>
          <w:rFonts w:ascii="Times New Roman" w:hAnsi="Times New Roman" w:cs="Times New Roman"/>
        </w:rPr>
        <w:t xml:space="preserve">. </w:t>
      </w:r>
    </w:p>
    <w:p w:rsidR="00923F8D" w:rsidP="00F10DDB" w14:paraId="79AEC8EA" w14:textId="77777777">
      <w:pPr>
        <w:spacing w:after="0" w:line="240" w:lineRule="auto"/>
        <w:ind w:firstLine="720"/>
        <w:rPr>
          <w:rFonts w:ascii="Times New Roman" w:hAnsi="Times New Roman" w:cs="Times New Roman"/>
        </w:rPr>
      </w:pPr>
    </w:p>
    <w:p w:rsidR="004C1142" w:rsidP="00AF6AF5" w14:paraId="17AEC0A3" w14:textId="4C737AA5">
      <w:pPr>
        <w:spacing w:after="0" w:line="240" w:lineRule="auto"/>
        <w:ind w:firstLine="720"/>
        <w:rPr>
          <w:rFonts w:ascii="Times New Roman" w:hAnsi="Times New Roman" w:cs="Times New Roman"/>
        </w:rPr>
      </w:pPr>
      <w:r>
        <w:rPr>
          <w:rFonts w:ascii="Times New Roman" w:hAnsi="Times New Roman" w:cs="Times New Roman"/>
        </w:rPr>
        <w:t>The limited breakeven analysis suggests that t</w:t>
      </w:r>
      <w:r w:rsidRPr="00C2275C" w:rsidR="00827144">
        <w:rPr>
          <w:rFonts w:ascii="Times New Roman" w:hAnsi="Times New Roman" w:cs="Times New Roman"/>
        </w:rPr>
        <w:t xml:space="preserve">he </w:t>
      </w:r>
      <w:r w:rsidR="00D75F50">
        <w:rPr>
          <w:rFonts w:ascii="Times New Roman" w:hAnsi="Times New Roman" w:cs="Times New Roman"/>
        </w:rPr>
        <w:t>final</w:t>
      </w:r>
      <w:r w:rsidRPr="00C2275C" w:rsidR="00827144">
        <w:rPr>
          <w:rFonts w:ascii="Times New Roman" w:hAnsi="Times New Roman" w:cs="Times New Roman"/>
        </w:rPr>
        <w:t xml:space="preserve"> rule </w:t>
      </w:r>
      <w:r w:rsidR="009449B7">
        <w:rPr>
          <w:rFonts w:ascii="Times New Roman" w:hAnsi="Times New Roman" w:cs="Times New Roman"/>
        </w:rPr>
        <w:t>will</w:t>
      </w:r>
      <w:r w:rsidRPr="00C2275C" w:rsidR="00827144">
        <w:rPr>
          <w:rFonts w:ascii="Times New Roman" w:hAnsi="Times New Roman" w:cs="Times New Roman"/>
        </w:rPr>
        <w:t xml:space="preserve"> need to reduce damages valued </w:t>
      </w:r>
      <w:r w:rsidRPr="001A0503" w:rsidR="00827144">
        <w:rPr>
          <w:rFonts w:ascii="Times New Roman" w:hAnsi="Times New Roman" w:cs="Times New Roman"/>
        </w:rPr>
        <w:t>at approximately $</w:t>
      </w:r>
      <w:r w:rsidR="002105EE">
        <w:rPr>
          <w:rFonts w:ascii="Times New Roman" w:hAnsi="Times New Roman" w:cs="Times New Roman"/>
        </w:rPr>
        <w:t>2</w:t>
      </w:r>
      <w:r w:rsidRPr="001A0503" w:rsidR="00827144">
        <w:rPr>
          <w:rFonts w:ascii="Times New Roman" w:hAnsi="Times New Roman" w:cs="Times New Roman"/>
        </w:rPr>
        <w:t xml:space="preserve"> </w:t>
      </w:r>
      <w:r w:rsidR="002105EE">
        <w:rPr>
          <w:rFonts w:ascii="Times New Roman" w:hAnsi="Times New Roman" w:cs="Times New Roman"/>
        </w:rPr>
        <w:t>b</w:t>
      </w:r>
      <w:r w:rsidRPr="001A0503" w:rsidR="00827144">
        <w:rPr>
          <w:rFonts w:ascii="Times New Roman" w:hAnsi="Times New Roman" w:cs="Times New Roman"/>
        </w:rPr>
        <w:t>illion over any number of future accidents to achieve breakeven. Alternatively</w:t>
      </w:r>
      <w:r w:rsidRPr="001A0503" w:rsidR="00FE2293">
        <w:rPr>
          <w:rFonts w:ascii="Times New Roman" w:hAnsi="Times New Roman" w:cs="Times New Roman"/>
        </w:rPr>
        <w:t>,</w:t>
      </w:r>
      <w:r w:rsidRPr="001A0503" w:rsidR="00827144">
        <w:rPr>
          <w:rFonts w:ascii="Times New Roman" w:hAnsi="Times New Roman" w:cs="Times New Roman"/>
        </w:rPr>
        <w:t xml:space="preserve"> on an annual basis</w:t>
      </w:r>
      <w:r w:rsidR="00D00B92">
        <w:rPr>
          <w:rFonts w:ascii="Times New Roman" w:hAnsi="Times New Roman" w:cs="Times New Roman"/>
        </w:rPr>
        <w:t>,</w:t>
      </w:r>
      <w:r w:rsidRPr="001A0503" w:rsidR="00827144">
        <w:rPr>
          <w:rFonts w:ascii="Times New Roman" w:hAnsi="Times New Roman" w:cs="Times New Roman"/>
        </w:rPr>
        <w:t xml:space="preserve"> given estimated </w:t>
      </w:r>
      <w:r w:rsidRPr="00AF6AF5" w:rsidR="00827144">
        <w:rPr>
          <w:rFonts w:ascii="Times New Roman" w:hAnsi="Times New Roman" w:cs="Times New Roman"/>
        </w:rPr>
        <w:t xml:space="preserve">annualized costs of </w:t>
      </w:r>
      <w:r w:rsidRPr="00AF6AF5" w:rsidR="00827144">
        <w:rPr>
          <w:rFonts w:ascii="Times New Roman" w:hAnsi="Times New Roman"/>
        </w:rPr>
        <w:t>approximately $</w:t>
      </w:r>
      <w:r w:rsidRPr="00AF6AF5" w:rsidR="0021350A">
        <w:rPr>
          <w:rFonts w:ascii="Times New Roman" w:hAnsi="Times New Roman"/>
        </w:rPr>
        <w:t>257</w:t>
      </w:r>
      <w:r w:rsidRPr="00AF6AF5" w:rsidR="00827144">
        <w:rPr>
          <w:rFonts w:ascii="Times New Roman" w:hAnsi="Times New Roman" w:cs="Times New Roman"/>
        </w:rPr>
        <w:t xml:space="preserve"> million </w:t>
      </w:r>
      <w:r w:rsidRPr="00AF6AF5" w:rsidR="00456EA7">
        <w:rPr>
          <w:rFonts w:ascii="Times New Roman" w:hAnsi="Times New Roman" w:cs="Times New Roman"/>
        </w:rPr>
        <w:t xml:space="preserve">(3% discount rate) </w:t>
      </w:r>
      <w:r w:rsidRPr="00AF6AF5" w:rsidR="00827144">
        <w:rPr>
          <w:rFonts w:ascii="Times New Roman" w:hAnsi="Times New Roman" w:cs="Times New Roman"/>
        </w:rPr>
        <w:t xml:space="preserve">and an estimated number of annual accidents of about 100, </w:t>
      </w:r>
      <w:r w:rsidRPr="00AF6AF5" w:rsidR="00BC2D52">
        <w:rPr>
          <w:rFonts w:ascii="Times New Roman" w:hAnsi="Times New Roman" w:cs="Times New Roman"/>
        </w:rPr>
        <w:t xml:space="preserve">fewer than </w:t>
      </w:r>
      <w:r w:rsidRPr="00AF6AF5" w:rsidR="00827144">
        <w:rPr>
          <w:rFonts w:ascii="Times New Roman" w:hAnsi="Times New Roman" w:cs="Times New Roman"/>
        </w:rPr>
        <w:t xml:space="preserve">approximately </w:t>
      </w:r>
      <w:r w:rsidRPr="00AF6AF5" w:rsidR="00A96B2A">
        <w:rPr>
          <w:rFonts w:ascii="Times New Roman" w:hAnsi="Times New Roman" w:cs="Times New Roman"/>
        </w:rPr>
        <w:t>47</w:t>
      </w:r>
      <w:r w:rsidRPr="00AF6AF5" w:rsidR="00827144">
        <w:rPr>
          <w:rFonts w:ascii="Times New Roman" w:hAnsi="Times New Roman" w:cs="Times New Roman"/>
        </w:rPr>
        <w:t xml:space="preserve"> accidents</w:t>
      </w:r>
      <w:r w:rsidRPr="001A0503" w:rsidR="00827144">
        <w:rPr>
          <w:rFonts w:ascii="Times New Roman" w:hAnsi="Times New Roman" w:cs="Times New Roman"/>
        </w:rPr>
        <w:t>, each with average</w:t>
      </w:r>
      <w:r w:rsidRPr="00C2275C" w:rsidR="00827144">
        <w:rPr>
          <w:rFonts w:ascii="Times New Roman" w:hAnsi="Times New Roman" w:cs="Times New Roman"/>
        </w:rPr>
        <w:t xml:space="preserve"> monetized damages of approximately $5</w:t>
      </w:r>
      <w:r w:rsidR="00A96B2A">
        <w:rPr>
          <w:rFonts w:ascii="Times New Roman" w:hAnsi="Times New Roman" w:cs="Times New Roman"/>
        </w:rPr>
        <w:t>.5</w:t>
      </w:r>
      <w:r w:rsidRPr="00C2275C" w:rsidR="00827144">
        <w:rPr>
          <w:rFonts w:ascii="Times New Roman" w:hAnsi="Times New Roman" w:cs="Times New Roman"/>
        </w:rPr>
        <w:t xml:space="preserve"> million as estimated for the most recent five-year baseline period, </w:t>
      </w:r>
      <w:r w:rsidR="009449B7">
        <w:rPr>
          <w:rFonts w:ascii="Times New Roman" w:hAnsi="Times New Roman" w:cs="Times New Roman"/>
        </w:rPr>
        <w:t>will</w:t>
      </w:r>
      <w:r w:rsidRPr="00C2275C" w:rsidR="00827144">
        <w:rPr>
          <w:rFonts w:ascii="Times New Roman" w:hAnsi="Times New Roman" w:cs="Times New Roman"/>
        </w:rPr>
        <w:t xml:space="preserve"> need to be prevented annually by the </w:t>
      </w:r>
      <w:r w:rsidR="00D75F50">
        <w:rPr>
          <w:rFonts w:ascii="Times New Roman" w:hAnsi="Times New Roman" w:cs="Times New Roman"/>
        </w:rPr>
        <w:t>final</w:t>
      </w:r>
      <w:r w:rsidRPr="00C2275C" w:rsidR="00827144">
        <w:rPr>
          <w:rFonts w:ascii="Times New Roman" w:hAnsi="Times New Roman" w:cs="Times New Roman"/>
        </w:rPr>
        <w:t xml:space="preserve"> rule</w:t>
      </w:r>
      <w:r w:rsidRPr="00294FB0" w:rsidR="00A609C5">
        <w:rPr>
          <w:rFonts w:ascii="Times New Roman" w:hAnsi="Times New Roman" w:cs="Times New Roman"/>
        </w:rPr>
        <w:t xml:space="preserve"> to breakeven</w:t>
      </w:r>
      <w:r w:rsidR="00827144">
        <w:rPr>
          <w:rFonts w:ascii="Times New Roman" w:hAnsi="Times New Roman" w:cs="Times New Roman"/>
        </w:rPr>
        <w:t xml:space="preserve">. </w:t>
      </w:r>
      <w:r w:rsidR="009B7D4C">
        <w:rPr>
          <w:rFonts w:ascii="Times New Roman" w:hAnsi="Times New Roman" w:cs="Times New Roman"/>
        </w:rPr>
        <w:t>Breaking even with</w:t>
      </w:r>
      <w:r w:rsidRPr="00C2275C" w:rsidR="00827144">
        <w:rPr>
          <w:rFonts w:ascii="Times New Roman" w:hAnsi="Times New Roman" w:cs="Times New Roman"/>
        </w:rPr>
        <w:t xml:space="preserve"> fewer than </w:t>
      </w:r>
      <w:r w:rsidR="00603291">
        <w:rPr>
          <w:rFonts w:ascii="Times New Roman" w:hAnsi="Times New Roman" w:cs="Times New Roman"/>
        </w:rPr>
        <w:t>47</w:t>
      </w:r>
      <w:r w:rsidRPr="00C2275C" w:rsidR="00827144">
        <w:rPr>
          <w:rFonts w:ascii="Times New Roman" w:hAnsi="Times New Roman" w:cs="Times New Roman"/>
        </w:rPr>
        <w:t xml:space="preserve"> </w:t>
      </w:r>
      <w:r w:rsidR="009449B7">
        <w:rPr>
          <w:rFonts w:ascii="Times New Roman" w:hAnsi="Times New Roman" w:cs="Times New Roman"/>
        </w:rPr>
        <w:t>will</w:t>
      </w:r>
      <w:r w:rsidRPr="00C2275C" w:rsidR="00827144">
        <w:rPr>
          <w:rFonts w:ascii="Times New Roman" w:hAnsi="Times New Roman" w:cs="Times New Roman"/>
        </w:rPr>
        <w:t xml:space="preserve"> depend on </w:t>
      </w:r>
      <w:r w:rsidR="0080626D">
        <w:rPr>
          <w:rFonts w:ascii="Times New Roman" w:hAnsi="Times New Roman" w:cs="Times New Roman"/>
        </w:rPr>
        <w:t>whether high magnitude accidents are prevented and also</w:t>
      </w:r>
      <w:r w:rsidRPr="00C2275C" w:rsidR="00827144">
        <w:rPr>
          <w:rFonts w:ascii="Times New Roman" w:hAnsi="Times New Roman" w:cs="Times New Roman"/>
        </w:rPr>
        <w:t xml:space="preserve"> on the value of the unquantified accident damages that </w:t>
      </w:r>
      <w:r w:rsidR="009449B7">
        <w:rPr>
          <w:rFonts w:ascii="Times New Roman" w:hAnsi="Times New Roman" w:cs="Times New Roman"/>
        </w:rPr>
        <w:t>will</w:t>
      </w:r>
      <w:r w:rsidRPr="00C2275C" w:rsidR="00827144">
        <w:rPr>
          <w:rFonts w:ascii="Times New Roman" w:hAnsi="Times New Roman" w:cs="Times New Roman"/>
        </w:rPr>
        <w:t xml:space="preserve"> be avoided</w:t>
      </w:r>
      <w:r w:rsidR="00827144">
        <w:rPr>
          <w:rFonts w:ascii="Times New Roman" w:hAnsi="Times New Roman" w:cs="Times New Roman"/>
        </w:rPr>
        <w:t>.</w:t>
      </w:r>
      <w:r w:rsidRPr="00C2275C" w:rsidR="00827144">
        <w:rPr>
          <w:rFonts w:ascii="Times New Roman" w:hAnsi="Times New Roman" w:cs="Times New Roman"/>
        </w:rPr>
        <w:t xml:space="preserve"> </w:t>
      </w:r>
      <w:bookmarkStart w:id="11" w:name="_Hlk150246252"/>
      <w:r w:rsidR="00CA1DC1">
        <w:rPr>
          <w:rFonts w:ascii="Times New Roman" w:hAnsi="Times New Roman" w:cs="Times New Roman"/>
        </w:rPr>
        <w:t xml:space="preserve">As the range of monetized accident impacts suggests (from $100 to $700 million for 2016 to 2020), the variation in monetized damages is substantial. Preventing a single high </w:t>
      </w:r>
      <w:r w:rsidR="00010F27">
        <w:rPr>
          <w:rFonts w:ascii="Times New Roman" w:hAnsi="Times New Roman" w:cs="Times New Roman"/>
        </w:rPr>
        <w:t>cost accident annually would offset annual rule costs.</w:t>
      </w:r>
      <w:r w:rsidR="008952FB">
        <w:rPr>
          <w:rFonts w:ascii="Times New Roman" w:hAnsi="Times New Roman" w:cs="Times New Roman"/>
        </w:rPr>
        <w:t xml:space="preserve"> In sum, w</w:t>
      </w:r>
      <w:r w:rsidRPr="00C2275C" w:rsidR="00827144">
        <w:rPr>
          <w:rFonts w:ascii="Times New Roman" w:hAnsi="Times New Roman" w:cs="Times New Roman"/>
        </w:rPr>
        <w:t>hen</w:t>
      </w:r>
      <w:r w:rsidRPr="00C2275C" w:rsidR="00827144">
        <w:rPr>
          <w:rFonts w:ascii="Times New Roman" w:hAnsi="Times New Roman" w:cs="Times New Roman"/>
        </w:rPr>
        <w:t xml:space="preserve"> considering the rule’s likely benefits </w:t>
      </w:r>
      <w:r w:rsidR="00456EA7">
        <w:rPr>
          <w:rFonts w:ascii="Times New Roman" w:hAnsi="Times New Roman" w:cs="Times New Roman"/>
        </w:rPr>
        <w:t>of</w:t>
      </w:r>
      <w:r w:rsidRPr="00C2275C" w:rsidR="00827144">
        <w:rPr>
          <w:rFonts w:ascii="Times New Roman" w:hAnsi="Times New Roman" w:cs="Times New Roman"/>
        </w:rPr>
        <w:t xml:space="preserve"> avoiding some portion of the monetized accident impacts, as well as the additional </w:t>
      </w:r>
      <w:r w:rsidR="002E1A45">
        <w:rPr>
          <w:rFonts w:ascii="Times New Roman" w:hAnsi="Times New Roman" w:cs="Times New Roman"/>
        </w:rPr>
        <w:t>un</w:t>
      </w:r>
      <w:r w:rsidRPr="00C2275C" w:rsidR="00827144">
        <w:rPr>
          <w:rFonts w:ascii="Times New Roman" w:hAnsi="Times New Roman" w:cs="Times New Roman"/>
        </w:rPr>
        <w:t>monetized benefits</w:t>
      </w:r>
      <w:r w:rsidR="003A2800">
        <w:rPr>
          <w:rFonts w:ascii="Times New Roman" w:hAnsi="Times New Roman" w:cs="Times New Roman"/>
        </w:rPr>
        <w:t>,</w:t>
      </w:r>
      <w:r w:rsidRPr="00C2275C" w:rsidR="00827144">
        <w:rPr>
          <w:rFonts w:ascii="Times New Roman" w:hAnsi="Times New Roman" w:cs="Times New Roman"/>
        </w:rPr>
        <w:t xml:space="preserve"> EPA believes the costs of the rule are reasonable in comparison to its </w:t>
      </w:r>
      <w:r w:rsidR="00A609C5">
        <w:rPr>
          <w:rFonts w:ascii="Times New Roman" w:hAnsi="Times New Roman" w:cs="Times New Roman"/>
        </w:rPr>
        <w:t xml:space="preserve">expected </w:t>
      </w:r>
      <w:r w:rsidRPr="00C2275C" w:rsidR="00827144">
        <w:rPr>
          <w:rFonts w:ascii="Times New Roman" w:hAnsi="Times New Roman" w:cs="Times New Roman"/>
        </w:rPr>
        <w:t>benefits</w:t>
      </w:r>
      <w:r w:rsidR="00827144">
        <w:rPr>
          <w:rFonts w:ascii="Times New Roman" w:hAnsi="Times New Roman" w:cs="Times New Roman"/>
        </w:rPr>
        <w:t>.</w:t>
      </w:r>
      <w:r w:rsidRPr="00BD77BA" w:rsidR="00BD77BA">
        <w:t xml:space="preserve"> </w:t>
      </w:r>
      <w:r w:rsidRPr="00BD77BA" w:rsidR="00BD77BA">
        <w:rPr>
          <w:rFonts w:ascii="Times New Roman" w:hAnsi="Times New Roman" w:cs="Times New Roman"/>
        </w:rPr>
        <w:t xml:space="preserve">When assessing the reasonableness of the benefits and burdens of various regulatory options, EPA </w:t>
      </w:r>
      <w:r w:rsidR="00BD77BA">
        <w:rPr>
          <w:rFonts w:ascii="Times New Roman" w:hAnsi="Times New Roman" w:cs="Times New Roman"/>
        </w:rPr>
        <w:t xml:space="preserve">must </w:t>
      </w:r>
      <w:r w:rsidRPr="00BD77BA" w:rsidR="00BD77BA">
        <w:rPr>
          <w:rFonts w:ascii="Times New Roman" w:hAnsi="Times New Roman" w:cs="Times New Roman"/>
        </w:rPr>
        <w:t xml:space="preserve">place weight on both preventing more common accidental releases captured in the accident history portion of the RMP database while also placing weight on less quantifiable potential catastrophic events. </w:t>
      </w:r>
      <w:r w:rsidR="00BD77BA">
        <w:rPr>
          <w:rFonts w:ascii="Times New Roman" w:hAnsi="Times New Roman" w:cs="Times New Roman"/>
        </w:rPr>
        <w:t xml:space="preserve">The Agency’s </w:t>
      </w:r>
      <w:r w:rsidRPr="00BD77BA" w:rsidR="00BD77BA">
        <w:rPr>
          <w:rFonts w:ascii="Times New Roman" w:hAnsi="Times New Roman" w:cs="Times New Roman"/>
        </w:rPr>
        <w:t>judgment as to what regulations are “reasonable” is informed by both quantifiable and unquantifiable burdens and benefits.</w:t>
      </w:r>
      <w:bookmarkEnd w:id="11"/>
    </w:p>
    <w:p w:rsidR="00DC5A92" w:rsidRPr="00580650" w:rsidP="00580650" w14:paraId="2620E231" w14:textId="77777777">
      <w:pPr>
        <w:spacing w:after="0" w:line="240" w:lineRule="auto"/>
        <w:rPr>
          <w:rFonts w:ascii="Times New Roman" w:hAnsi="Times New Roman" w:cs="Times New Roman"/>
          <w:b/>
        </w:rPr>
      </w:pPr>
    </w:p>
    <w:p w:rsidR="009B7A0D" w:rsidP="00692EB0" w14:paraId="56923563" w14:textId="77777777">
      <w:pPr>
        <w:spacing w:after="0" w:line="240" w:lineRule="auto"/>
        <w:ind w:firstLine="360"/>
        <w:rPr>
          <w:rFonts w:ascii="Times New Roman" w:hAnsi="Times New Roman" w:cs="Times New Roman"/>
          <w:b/>
          <w:bCs/>
          <w:sz w:val="36"/>
          <w:szCs w:val="36"/>
        </w:rPr>
      </w:pPr>
      <w:r>
        <w:rPr>
          <w:rFonts w:ascii="Times New Roman" w:hAnsi="Times New Roman" w:cs="Times New Roman"/>
        </w:rPr>
        <w:tab/>
      </w:r>
      <w:r>
        <w:rPr>
          <w:rFonts w:ascii="Times New Roman" w:hAnsi="Times New Roman" w:cs="Times New Roman"/>
          <w:b/>
          <w:bCs/>
          <w:sz w:val="36"/>
          <w:szCs w:val="36"/>
        </w:rPr>
        <w:br w:type="page"/>
      </w:r>
    </w:p>
    <w:p w:rsidR="00673838" w:rsidP="000409BE" w14:paraId="4216EAA9" w14:textId="77777777">
      <w:pPr>
        <w:pStyle w:val="Heading1"/>
      </w:pPr>
      <w:bookmarkStart w:id="12" w:name="_Toc144303504"/>
      <w:bookmarkStart w:id="13" w:name="_Toc98856201"/>
      <w:r w:rsidRPr="000409BE">
        <w:t>CHAPTER 1</w:t>
      </w:r>
      <w:r w:rsidR="00BF42A8">
        <w:t>: Introduction and Background</w:t>
      </w:r>
      <w:bookmarkEnd w:id="12"/>
    </w:p>
    <w:p w:rsidR="00093C0A" w:rsidRPr="006213CF" w:rsidP="00C07306" w14:paraId="04352B1E" w14:textId="77777777">
      <w:pPr>
        <w:pStyle w:val="Heading2"/>
      </w:pPr>
      <w:bookmarkStart w:id="14" w:name="_Toc98856202"/>
      <w:bookmarkStart w:id="15" w:name="_Toc144303505"/>
      <w:bookmarkEnd w:id="13"/>
      <w:r w:rsidRPr="006213CF">
        <w:t>1.1 History and Need for the Rule</w:t>
      </w:r>
      <w:bookmarkEnd w:id="14"/>
      <w:bookmarkEnd w:id="15"/>
    </w:p>
    <w:p w:rsidR="006213CF" w:rsidP="006213CF" w14:paraId="06C3C996" w14:textId="77777777">
      <w:pPr>
        <w:spacing w:after="0" w:line="240" w:lineRule="auto"/>
        <w:rPr>
          <w:rFonts w:ascii="Times New Roman" w:hAnsi="Times New Roman" w:cs="Times New Roman"/>
          <w:i/>
        </w:rPr>
      </w:pPr>
    </w:p>
    <w:p w:rsidR="00093C0A" w:rsidRPr="00F73030" w:rsidP="00F73030" w14:paraId="20192F00" w14:textId="77777777">
      <w:pPr>
        <w:pStyle w:val="Heading3"/>
        <w:rPr>
          <w:rFonts w:ascii="Times New Roman" w:hAnsi="Times New Roman" w:cs="Times New Roman"/>
          <w:sz w:val="22"/>
          <w:szCs w:val="22"/>
        </w:rPr>
      </w:pPr>
      <w:bookmarkStart w:id="16" w:name="_Toc141732899"/>
      <w:bookmarkStart w:id="17" w:name="_Toc141733110"/>
      <w:bookmarkStart w:id="18" w:name="_Toc142404014"/>
      <w:bookmarkStart w:id="19" w:name="_Toc144213823"/>
      <w:bookmarkStart w:id="20" w:name="_Toc144283568"/>
      <w:bookmarkStart w:id="21" w:name="_Toc144303506"/>
      <w:r w:rsidRPr="00F73030">
        <w:rPr>
          <w:rFonts w:ascii="Times New Roman" w:hAnsi="Times New Roman" w:cs="Times New Roman"/>
          <w:sz w:val="22"/>
          <w:szCs w:val="22"/>
        </w:rPr>
        <w:t>1.1.1 Overview of the Risk Management Program</w:t>
      </w:r>
      <w:bookmarkEnd w:id="16"/>
      <w:bookmarkEnd w:id="17"/>
      <w:bookmarkEnd w:id="18"/>
      <w:bookmarkEnd w:id="19"/>
      <w:bookmarkEnd w:id="20"/>
      <w:bookmarkEnd w:id="21"/>
    </w:p>
    <w:p w:rsidR="007A2A7D" w:rsidP="006213CF" w14:paraId="012CCCA0" w14:textId="77777777">
      <w:pPr>
        <w:spacing w:after="0" w:line="240" w:lineRule="auto"/>
        <w:ind w:firstLine="360"/>
        <w:rPr>
          <w:rFonts w:ascii="Times New Roman" w:hAnsi="Times New Roman" w:cs="Times New Roman"/>
        </w:rPr>
      </w:pPr>
      <w:r>
        <w:rPr>
          <w:rFonts w:ascii="Times New Roman" w:hAnsi="Times New Roman" w:cs="Times New Roman"/>
        </w:rPr>
        <w:tab/>
      </w:r>
      <w:r w:rsidRPr="006213CF" w:rsidR="00093C0A">
        <w:rPr>
          <w:rFonts w:ascii="Times New Roman" w:hAnsi="Times New Roman" w:cs="Times New Roman"/>
        </w:rPr>
        <w:t>Serious chemical accidents occurring in the 1970s and 1980s, including accidents in Bhopal, India</w:t>
      </w:r>
      <w:r w:rsidR="002105C9">
        <w:rPr>
          <w:rFonts w:ascii="Times New Roman" w:hAnsi="Times New Roman" w:cs="Times New Roman"/>
        </w:rPr>
        <w:t>;</w:t>
      </w:r>
      <w:r w:rsidRPr="006213CF" w:rsidR="00093C0A">
        <w:rPr>
          <w:rFonts w:ascii="Times New Roman" w:hAnsi="Times New Roman" w:cs="Times New Roman"/>
        </w:rPr>
        <w:t xml:space="preserve"> Seveso, Italy</w:t>
      </w:r>
      <w:r w:rsidR="002105C9">
        <w:rPr>
          <w:rFonts w:ascii="Times New Roman" w:hAnsi="Times New Roman" w:cs="Times New Roman"/>
        </w:rPr>
        <w:t>;</w:t>
      </w:r>
      <w:r w:rsidRPr="006213CF" w:rsidR="00093C0A">
        <w:rPr>
          <w:rFonts w:ascii="Times New Roman" w:hAnsi="Times New Roman" w:cs="Times New Roman"/>
        </w:rPr>
        <w:t xml:space="preserve"> and Pasadena, Texas, led to a series of legislative reforms relating to chemical safety in industrialized countries.</w:t>
      </w:r>
      <w:r>
        <w:rPr>
          <w:rStyle w:val="FootnoteReference"/>
          <w:rFonts w:ascii="Times New Roman" w:hAnsi="Times New Roman" w:cs="Times New Roman"/>
        </w:rPr>
        <w:footnoteReference w:id="9"/>
      </w:r>
      <w:r w:rsidRPr="006213CF" w:rsidR="002952D0">
        <w:rPr>
          <w:rFonts w:ascii="Times New Roman" w:hAnsi="Times New Roman" w:cs="Times New Roman"/>
          <w:vertAlign w:val="superscript"/>
        </w:rPr>
        <w:t>,</w:t>
      </w:r>
      <w:r>
        <w:rPr>
          <w:rStyle w:val="FootnoteReference"/>
          <w:rFonts w:ascii="Times New Roman" w:hAnsi="Times New Roman" w:cs="Times New Roman"/>
        </w:rPr>
        <w:footnoteReference w:id="10"/>
      </w:r>
      <w:r w:rsidRPr="006213CF" w:rsidR="00093C0A">
        <w:rPr>
          <w:rFonts w:ascii="Times New Roman" w:hAnsi="Times New Roman" w:cs="Times New Roman"/>
        </w:rPr>
        <w:t xml:space="preserve"> In the </w:t>
      </w:r>
      <w:r w:rsidR="00FC781B">
        <w:rPr>
          <w:rFonts w:ascii="Times New Roman" w:hAnsi="Times New Roman" w:cs="Times New Roman"/>
        </w:rPr>
        <w:t>U</w:t>
      </w:r>
      <w:r w:rsidR="00FE1A72">
        <w:rPr>
          <w:rFonts w:ascii="Times New Roman" w:hAnsi="Times New Roman" w:cs="Times New Roman"/>
        </w:rPr>
        <w:t>nited States,</w:t>
      </w:r>
      <w:r w:rsidRPr="006213CF" w:rsidR="00093C0A">
        <w:rPr>
          <w:rFonts w:ascii="Times New Roman" w:hAnsi="Times New Roman" w:cs="Times New Roman"/>
        </w:rPr>
        <w:t xml:space="preserve">, the Emergency Planning and Community Right to Know Act (EPCRA) was enacted in 1986 to promote community emergency planning and preparedness and provide local responders and the public with information about the chemical hazards in their community (42 U.S.C. 11002 et seq.). In 1990, sections 112(r) and 304 of the Clean Air Act (CAA) were enacted to help prevent severe chemical facility accidents. Section 304 required the Occupational Safety </w:t>
      </w:r>
      <w:r w:rsidRPr="006213CF" w:rsidR="00557B13">
        <w:rPr>
          <w:rFonts w:ascii="Times New Roman" w:hAnsi="Times New Roman" w:cs="Times New Roman"/>
        </w:rPr>
        <w:t>&amp;</w:t>
      </w:r>
      <w:r w:rsidRPr="006213CF" w:rsidR="00093C0A">
        <w:rPr>
          <w:rFonts w:ascii="Times New Roman" w:hAnsi="Times New Roman" w:cs="Times New Roman"/>
        </w:rPr>
        <w:t xml:space="preserve"> Health Administration (OSHA) to publish a chemical process safety standard </w:t>
      </w:r>
      <w:r w:rsidRPr="006213CF" w:rsidR="007A6125">
        <w:rPr>
          <w:rFonts w:ascii="Times New Roman" w:hAnsi="Times New Roman" w:cs="Times New Roman"/>
        </w:rPr>
        <w:t xml:space="preserve">(Process Safety Management, or PSM standard) </w:t>
      </w:r>
      <w:r w:rsidRPr="006213CF" w:rsidR="00093C0A">
        <w:rPr>
          <w:rFonts w:ascii="Times New Roman" w:hAnsi="Times New Roman" w:cs="Times New Roman"/>
        </w:rPr>
        <w:t xml:space="preserve">to prevent accidental releases of chemicals that could pose a threat to employees. Section 112(r) required the Environmental Protection Agency (EPA) to publish Accidental Release Prevention Program regulations to </w:t>
      </w:r>
      <w:r w:rsidR="00E657BA">
        <w:rPr>
          <w:rFonts w:ascii="Times New Roman" w:hAnsi="Times New Roman" w:cs="Times New Roman"/>
        </w:rPr>
        <w:t xml:space="preserve">detect and </w:t>
      </w:r>
      <w:r w:rsidRPr="006213CF" w:rsidR="00093C0A">
        <w:rPr>
          <w:rFonts w:ascii="Times New Roman" w:hAnsi="Times New Roman" w:cs="Times New Roman"/>
        </w:rPr>
        <w:t xml:space="preserve">prevent </w:t>
      </w:r>
      <w:r w:rsidR="00E657BA">
        <w:rPr>
          <w:rFonts w:ascii="Times New Roman" w:hAnsi="Times New Roman" w:cs="Times New Roman"/>
        </w:rPr>
        <w:t>or minimize</w:t>
      </w:r>
      <w:r w:rsidRPr="006213CF" w:rsidR="00093C0A">
        <w:rPr>
          <w:rFonts w:ascii="Times New Roman" w:hAnsi="Times New Roman" w:cs="Times New Roman"/>
        </w:rPr>
        <w:t xml:space="preserve"> chemical releases </w:t>
      </w:r>
      <w:r w:rsidR="00E657BA">
        <w:rPr>
          <w:rFonts w:ascii="Times New Roman" w:hAnsi="Times New Roman" w:cs="Times New Roman"/>
        </w:rPr>
        <w:t>and</w:t>
      </w:r>
      <w:r w:rsidRPr="006213CF" w:rsidR="00093C0A">
        <w:rPr>
          <w:rFonts w:ascii="Times New Roman" w:hAnsi="Times New Roman" w:cs="Times New Roman"/>
        </w:rPr>
        <w:t xml:space="preserve"> their consequences if they occur. </w:t>
      </w:r>
    </w:p>
    <w:p w:rsidR="005A354C" w:rsidP="006213CF" w14:paraId="2EB2BD64" w14:textId="77777777">
      <w:pPr>
        <w:spacing w:after="0" w:line="240" w:lineRule="auto"/>
        <w:ind w:firstLine="360"/>
        <w:rPr>
          <w:rFonts w:ascii="Times New Roman" w:hAnsi="Times New Roman" w:cs="Times New Roman"/>
        </w:rPr>
      </w:pPr>
    </w:p>
    <w:p w:rsidR="00093C0A" w:rsidP="006213CF" w14:paraId="1A185FB3" w14:textId="77777777">
      <w:pPr>
        <w:spacing w:after="0" w:line="240" w:lineRule="auto"/>
        <w:ind w:firstLine="360"/>
        <w:rPr>
          <w:rFonts w:ascii="Times New Roman" w:hAnsi="Times New Roman" w:cs="Times New Roman"/>
        </w:rPr>
      </w:pPr>
      <w:r>
        <w:rPr>
          <w:rFonts w:ascii="Times New Roman" w:hAnsi="Times New Roman" w:cs="Times New Roman"/>
        </w:rPr>
        <w:tab/>
      </w:r>
      <w:r w:rsidRPr="006213CF">
        <w:rPr>
          <w:rFonts w:ascii="Times New Roman" w:hAnsi="Times New Roman" w:cs="Times New Roman"/>
        </w:rPr>
        <w:t>CAA section 112(r) required EPA to develop a list of at least 100 regulated</w:t>
      </w:r>
      <w:r w:rsidRPr="006213CF" w:rsidR="00F1235B">
        <w:rPr>
          <w:rFonts w:ascii="Times New Roman" w:hAnsi="Times New Roman" w:cs="Times New Roman"/>
        </w:rPr>
        <w:t xml:space="preserve"> substances </w:t>
      </w:r>
      <w:r w:rsidRPr="006213CF">
        <w:rPr>
          <w:rFonts w:ascii="Times New Roman" w:hAnsi="Times New Roman" w:cs="Times New Roman"/>
        </w:rPr>
        <w:t xml:space="preserve">known to cause or </w:t>
      </w:r>
      <w:r w:rsidRPr="006213CF" w:rsidR="00F1235B">
        <w:rPr>
          <w:rFonts w:ascii="Times New Roman" w:hAnsi="Times New Roman" w:cs="Times New Roman"/>
        </w:rPr>
        <w:t xml:space="preserve">that </w:t>
      </w:r>
      <w:r w:rsidRPr="006213CF">
        <w:rPr>
          <w:rFonts w:ascii="Times New Roman" w:hAnsi="Times New Roman" w:cs="Times New Roman"/>
        </w:rPr>
        <w:t xml:space="preserve">may reasonably be anticipated to cause death, injury, or serious adverse effects to human health or the environment (42 U.S.C 7412(r)). EPA was also required to establish threshold quantities (TQs) for these substances that determine the applicability of rules to prevent accidental releases of these substances. Section 112(r)(7)(B) required EPA to promulgate reasonable regulations and appropriate guidance to provide, to the greatest extent practicable, for the prevention and detection of accidental releases of regulated substances and for response to such releases by the owners or operators of the sources of such releases. The section mandates that the regulations require the owner or operator of a </w:t>
      </w:r>
      <w:r w:rsidRPr="006213CF" w:rsidR="00354D92">
        <w:rPr>
          <w:rFonts w:ascii="Times New Roman" w:hAnsi="Times New Roman" w:cs="Times New Roman"/>
        </w:rPr>
        <w:t>facility</w:t>
      </w:r>
      <w:r w:rsidRPr="006213CF">
        <w:rPr>
          <w:rFonts w:ascii="Times New Roman" w:hAnsi="Times New Roman" w:cs="Times New Roman"/>
        </w:rPr>
        <w:t xml:space="preserve"> “to prepare and implement a risk management plan to detect and prevent or minimize accidental releases of such substances from the </w:t>
      </w:r>
      <w:r w:rsidRPr="006213CF" w:rsidR="00354D92">
        <w:rPr>
          <w:rFonts w:ascii="Times New Roman" w:hAnsi="Times New Roman" w:cs="Times New Roman"/>
        </w:rPr>
        <w:t>facility</w:t>
      </w:r>
      <w:r w:rsidRPr="006213CF">
        <w:rPr>
          <w:rFonts w:ascii="Times New Roman" w:hAnsi="Times New Roman" w:cs="Times New Roman"/>
        </w:rPr>
        <w:t xml:space="preserve">, and to provide a prompt emergency response to any such releases in order to protect human health and the environment.” The section further mandates that the plan include: </w:t>
      </w:r>
    </w:p>
    <w:p w:rsidR="006213CF" w:rsidRPr="006213CF" w:rsidP="006213CF" w14:paraId="341C281D" w14:textId="77777777">
      <w:pPr>
        <w:spacing w:after="0" w:line="240" w:lineRule="auto"/>
        <w:ind w:firstLine="360"/>
        <w:rPr>
          <w:rFonts w:ascii="Times New Roman" w:hAnsi="Times New Roman" w:cs="Times New Roman"/>
        </w:rPr>
      </w:pPr>
    </w:p>
    <w:p w:rsidR="00093C0A" w:rsidRPr="006213CF" w:rsidP="006213CF" w14:paraId="373BA6B5" w14:textId="77777777">
      <w:pPr>
        <w:numPr>
          <w:ilvl w:val="0"/>
          <w:numId w:val="1"/>
        </w:numPr>
        <w:spacing w:after="0" w:line="240" w:lineRule="auto"/>
        <w:rPr>
          <w:rFonts w:ascii="Times New Roman" w:hAnsi="Times New Roman" w:cs="Times New Roman"/>
        </w:rPr>
      </w:pPr>
      <w:r w:rsidRPr="006213CF">
        <w:rPr>
          <w:rFonts w:ascii="Times New Roman" w:hAnsi="Times New Roman" w:cs="Times New Roman"/>
        </w:rPr>
        <w:t xml:space="preserve">A hazard assessment to assess the potential effects of an accidental release of any regulated substance. This assessment </w:t>
      </w:r>
      <w:r w:rsidRPr="006213CF" w:rsidR="00150FD1">
        <w:rPr>
          <w:rFonts w:ascii="Times New Roman" w:hAnsi="Times New Roman" w:cs="Times New Roman"/>
        </w:rPr>
        <w:t>must</w:t>
      </w:r>
      <w:r w:rsidRPr="006213CF" w:rsidR="00491AE7">
        <w:rPr>
          <w:rFonts w:ascii="Times New Roman" w:hAnsi="Times New Roman" w:cs="Times New Roman"/>
        </w:rPr>
        <w:t xml:space="preserve"> </w:t>
      </w:r>
      <w:r w:rsidRPr="006213CF">
        <w:rPr>
          <w:rFonts w:ascii="Times New Roman" w:hAnsi="Times New Roman" w:cs="Times New Roman"/>
        </w:rPr>
        <w:t xml:space="preserve">include an estimate of potential release quantities and a determination of downwind effects, including potential exposures to affected populations. Such assessment </w:t>
      </w:r>
      <w:r w:rsidRPr="006213CF" w:rsidR="00150FD1">
        <w:rPr>
          <w:rFonts w:ascii="Times New Roman" w:hAnsi="Times New Roman" w:cs="Times New Roman"/>
        </w:rPr>
        <w:t>must</w:t>
      </w:r>
      <w:r w:rsidRPr="006213CF">
        <w:rPr>
          <w:rFonts w:ascii="Times New Roman" w:hAnsi="Times New Roman" w:cs="Times New Roman"/>
        </w:rPr>
        <w:t xml:space="preserve"> include a previous release history of the past </w:t>
      </w:r>
      <w:r w:rsidRPr="006213CF" w:rsidR="007A6125">
        <w:rPr>
          <w:rFonts w:ascii="Times New Roman" w:hAnsi="Times New Roman" w:cs="Times New Roman"/>
        </w:rPr>
        <w:t>five</w:t>
      </w:r>
      <w:r w:rsidRPr="006213CF">
        <w:rPr>
          <w:rFonts w:ascii="Times New Roman" w:hAnsi="Times New Roman" w:cs="Times New Roman"/>
        </w:rPr>
        <w:t xml:space="preserve"> years, including the size, concentration, and duration of releases, and </w:t>
      </w:r>
      <w:r w:rsidRPr="006213CF" w:rsidR="00150FD1">
        <w:rPr>
          <w:rFonts w:ascii="Times New Roman" w:hAnsi="Times New Roman" w:cs="Times New Roman"/>
        </w:rPr>
        <w:t>must</w:t>
      </w:r>
      <w:r w:rsidRPr="006213CF">
        <w:rPr>
          <w:rFonts w:ascii="Times New Roman" w:hAnsi="Times New Roman" w:cs="Times New Roman"/>
        </w:rPr>
        <w:t xml:space="preserve"> include an evaluation of worst</w:t>
      </w:r>
      <w:r w:rsidR="006A5EA4">
        <w:rPr>
          <w:rFonts w:ascii="Times New Roman" w:hAnsi="Times New Roman" w:cs="Times New Roman"/>
        </w:rPr>
        <w:t>-</w:t>
      </w:r>
      <w:r w:rsidRPr="006213CF">
        <w:rPr>
          <w:rFonts w:ascii="Times New Roman" w:hAnsi="Times New Roman" w:cs="Times New Roman"/>
        </w:rPr>
        <w:t xml:space="preserve">case accidental releases. </w:t>
      </w:r>
    </w:p>
    <w:p w:rsidR="00093C0A" w:rsidRPr="006213CF" w:rsidP="006213CF" w14:paraId="06773880" w14:textId="77777777">
      <w:pPr>
        <w:numPr>
          <w:ilvl w:val="0"/>
          <w:numId w:val="1"/>
        </w:numPr>
        <w:spacing w:after="0" w:line="240" w:lineRule="auto"/>
        <w:rPr>
          <w:rFonts w:ascii="Times New Roman" w:hAnsi="Times New Roman" w:cs="Times New Roman"/>
        </w:rPr>
      </w:pPr>
      <w:r w:rsidRPr="006213CF">
        <w:rPr>
          <w:rFonts w:ascii="Times New Roman" w:hAnsi="Times New Roman" w:cs="Times New Roman"/>
        </w:rPr>
        <w:t>A program for preventing accidental releases of regulated substances, including safety precautions and maintenance, monitoring and employee training measures to be used at the source.</w:t>
      </w:r>
    </w:p>
    <w:p w:rsidR="00093C0A" w:rsidP="006213CF" w14:paraId="26BF2DEA" w14:textId="77777777">
      <w:pPr>
        <w:numPr>
          <w:ilvl w:val="0"/>
          <w:numId w:val="1"/>
        </w:numPr>
        <w:spacing w:after="0" w:line="240" w:lineRule="auto"/>
        <w:rPr>
          <w:rFonts w:ascii="Times New Roman" w:hAnsi="Times New Roman" w:cs="Times New Roman"/>
        </w:rPr>
      </w:pPr>
      <w:r w:rsidRPr="006213CF">
        <w:rPr>
          <w:rFonts w:ascii="Times New Roman" w:hAnsi="Times New Roman" w:cs="Times New Roman"/>
        </w:rPr>
        <w:t>A response program providing for specific actions to be taken in response to an accidental release of a regulated substance</w:t>
      </w:r>
      <w:r w:rsidRPr="006213CF" w:rsidR="00491AE7">
        <w:rPr>
          <w:rFonts w:ascii="Times New Roman" w:hAnsi="Times New Roman" w:cs="Times New Roman"/>
        </w:rPr>
        <w:t xml:space="preserve"> </w:t>
      </w:r>
      <w:r w:rsidRPr="006213CF">
        <w:rPr>
          <w:rFonts w:ascii="Times New Roman" w:hAnsi="Times New Roman" w:cs="Times New Roman"/>
        </w:rPr>
        <w:t xml:space="preserve">to protect human health and the environment, including procedures for informing the public and local agencies responsible for responding to accidental releases, emergency health care, and employee training measures. </w:t>
      </w:r>
    </w:p>
    <w:p w:rsidR="006213CF" w:rsidRPr="006213CF" w:rsidP="006213CF" w14:paraId="0F513251" w14:textId="77777777">
      <w:pPr>
        <w:spacing w:after="0" w:line="240" w:lineRule="auto"/>
        <w:ind w:left="720"/>
        <w:rPr>
          <w:rFonts w:ascii="Times New Roman" w:hAnsi="Times New Roman" w:cs="Times New Roman"/>
        </w:rPr>
      </w:pPr>
    </w:p>
    <w:p w:rsidR="00BC1799" w:rsidP="006213CF" w14:paraId="39040BC4" w14:textId="77777777">
      <w:pPr>
        <w:autoSpaceDE w:val="0"/>
        <w:autoSpaceDN w:val="0"/>
        <w:adjustRightInd w:val="0"/>
        <w:spacing w:after="0" w:line="240" w:lineRule="auto"/>
        <w:ind w:firstLine="360"/>
        <w:rPr>
          <w:rFonts w:ascii="Times New Roman" w:hAnsi="Times New Roman" w:cs="Times New Roman"/>
          <w:color w:val="000000" w:themeColor="text1"/>
        </w:rPr>
      </w:pPr>
      <w:r>
        <w:rPr>
          <w:rFonts w:ascii="Times New Roman" w:hAnsi="Times New Roman" w:cs="Times New Roman"/>
          <w:color w:val="000000" w:themeColor="text1"/>
        </w:rPr>
        <w:tab/>
      </w:r>
      <w:r w:rsidRPr="47B0FB50" w:rsidR="00093C0A">
        <w:rPr>
          <w:rFonts w:ascii="Times New Roman" w:hAnsi="Times New Roman" w:cs="Times New Roman"/>
          <w:color w:val="000000" w:themeColor="text1"/>
        </w:rPr>
        <w:t xml:space="preserve">Finally, section </w:t>
      </w:r>
      <w:r w:rsidRPr="47B0FB50" w:rsidR="007A6125">
        <w:rPr>
          <w:rFonts w:ascii="Times New Roman" w:hAnsi="Times New Roman" w:cs="Times New Roman"/>
          <w:color w:val="000000" w:themeColor="text1"/>
        </w:rPr>
        <w:t xml:space="preserve">112(r) </w:t>
      </w:r>
      <w:r w:rsidRPr="47B0FB50" w:rsidR="00093C0A">
        <w:rPr>
          <w:rFonts w:ascii="Times New Roman" w:hAnsi="Times New Roman" w:cs="Times New Roman"/>
          <w:color w:val="000000" w:themeColor="text1"/>
        </w:rPr>
        <w:t xml:space="preserve">requires the owner or operator of an affected </w:t>
      </w:r>
      <w:r w:rsidRPr="47B0FB50" w:rsidR="00354D92">
        <w:rPr>
          <w:rFonts w:ascii="Times New Roman" w:hAnsi="Times New Roman" w:cs="Times New Roman"/>
          <w:color w:val="000000" w:themeColor="text1"/>
        </w:rPr>
        <w:t>facility</w:t>
      </w:r>
      <w:r w:rsidRPr="47B0FB50" w:rsidR="00093C0A">
        <w:rPr>
          <w:rFonts w:ascii="Times New Roman" w:hAnsi="Times New Roman" w:cs="Times New Roman"/>
          <w:color w:val="000000" w:themeColor="text1"/>
        </w:rPr>
        <w:t xml:space="preserve"> to develop and file a</w:t>
      </w:r>
      <w:r w:rsidRPr="47B0FB50" w:rsidR="007A6125">
        <w:rPr>
          <w:rFonts w:ascii="Times New Roman" w:hAnsi="Times New Roman" w:cs="Times New Roman"/>
          <w:color w:val="000000" w:themeColor="text1"/>
        </w:rPr>
        <w:t xml:space="preserve"> Risk Management Plan</w:t>
      </w:r>
      <w:r w:rsidRPr="47B0FB50" w:rsidR="00093C0A">
        <w:rPr>
          <w:rFonts w:ascii="Times New Roman" w:hAnsi="Times New Roman" w:cs="Times New Roman"/>
          <w:color w:val="000000" w:themeColor="text1"/>
        </w:rPr>
        <w:t xml:space="preserve"> with EPA, the </w:t>
      </w:r>
      <w:r w:rsidRPr="47B0FB50" w:rsidR="00A353D7">
        <w:rPr>
          <w:rFonts w:ascii="Times New Roman" w:hAnsi="Times New Roman" w:cs="Times New Roman"/>
          <w:color w:val="000000" w:themeColor="text1"/>
        </w:rPr>
        <w:t xml:space="preserve">U.S. </w:t>
      </w:r>
      <w:r w:rsidRPr="47B0FB50" w:rsidR="00093C0A">
        <w:rPr>
          <w:rFonts w:ascii="Times New Roman" w:hAnsi="Times New Roman" w:cs="Times New Roman"/>
          <w:color w:val="000000" w:themeColor="text1"/>
        </w:rPr>
        <w:t xml:space="preserve">Chemical Safety Board (CSB) (also established under the section), </w:t>
      </w:r>
      <w:r w:rsidR="008C1DCA">
        <w:rPr>
          <w:rFonts w:ascii="Times New Roman" w:hAnsi="Times New Roman" w:cs="Times New Roman"/>
          <w:color w:val="000000" w:themeColor="text1"/>
        </w:rPr>
        <w:t>and</w:t>
      </w:r>
      <w:r w:rsidRPr="47B0FB50" w:rsidR="00093C0A">
        <w:rPr>
          <w:rFonts w:ascii="Times New Roman" w:hAnsi="Times New Roman" w:cs="Times New Roman"/>
          <w:color w:val="000000" w:themeColor="text1"/>
        </w:rPr>
        <w:t xml:space="preserve"> State, and local response agencies. </w:t>
      </w:r>
    </w:p>
    <w:p w:rsidR="00BE2A50" w:rsidP="006213CF" w14:paraId="6B443CD6" w14:textId="77777777">
      <w:pPr>
        <w:autoSpaceDE w:val="0"/>
        <w:autoSpaceDN w:val="0"/>
        <w:adjustRightInd w:val="0"/>
        <w:spacing w:after="0" w:line="240" w:lineRule="auto"/>
        <w:ind w:firstLine="360"/>
        <w:rPr>
          <w:rFonts w:ascii="Times New Roman" w:hAnsi="Times New Roman" w:cs="Times New Roman"/>
          <w:color w:val="000000" w:themeColor="text1"/>
        </w:rPr>
      </w:pPr>
    </w:p>
    <w:p w:rsidR="00093C0A" w:rsidP="006213CF" w14:paraId="33DEC764" w14:textId="77777777">
      <w:pPr>
        <w:autoSpaceDE w:val="0"/>
        <w:autoSpaceDN w:val="0"/>
        <w:adjustRightInd w:val="0"/>
        <w:spacing w:after="0" w:line="240" w:lineRule="auto"/>
        <w:ind w:firstLine="360"/>
        <w:rPr>
          <w:rFonts w:ascii="Times New Roman" w:hAnsi="Times New Roman" w:cs="Times New Roman"/>
          <w:color w:val="000000" w:themeColor="text1"/>
        </w:rPr>
      </w:pPr>
      <w:r>
        <w:rPr>
          <w:rFonts w:ascii="Times New Roman" w:hAnsi="Times New Roman" w:cs="Times New Roman"/>
          <w:color w:val="000000" w:themeColor="text1"/>
        </w:rPr>
        <w:tab/>
      </w:r>
      <w:r w:rsidRPr="47B0FB50">
        <w:rPr>
          <w:rFonts w:ascii="Times New Roman" w:hAnsi="Times New Roman" w:cs="Times New Roman"/>
          <w:color w:val="000000" w:themeColor="text1"/>
        </w:rPr>
        <w:t xml:space="preserve">OSHA adopted its </w:t>
      </w:r>
      <w:r w:rsidRPr="47B0FB50" w:rsidR="007D17AD">
        <w:rPr>
          <w:rFonts w:ascii="Times New Roman" w:hAnsi="Times New Roman" w:cs="Times New Roman"/>
          <w:color w:val="000000" w:themeColor="text1"/>
        </w:rPr>
        <w:t>PSM</w:t>
      </w:r>
      <w:r w:rsidRPr="47B0FB50">
        <w:rPr>
          <w:rFonts w:ascii="Times New Roman" w:hAnsi="Times New Roman" w:cs="Times New Roman"/>
          <w:color w:val="000000" w:themeColor="text1"/>
        </w:rPr>
        <w:t xml:space="preserve"> standard (codified at 29 CFR 1910.119) in 1992 (57 FR 6403, Feb. 24, 1992). </w:t>
      </w:r>
      <w:r w:rsidRPr="00BE2A50" w:rsidR="00BE2A50">
        <w:rPr>
          <w:rFonts w:ascii="Times New Roman" w:hAnsi="Times New Roman" w:cs="Times New Roman"/>
          <w:color w:val="000000" w:themeColor="text1"/>
        </w:rPr>
        <w:t xml:space="preserve">The PSM standard requires facilities to develop and implement an integrated approach to chemical process safety </w:t>
      </w:r>
      <w:r w:rsidR="00C33142">
        <w:rPr>
          <w:rFonts w:ascii="Times New Roman" w:hAnsi="Times New Roman" w:cs="Times New Roman"/>
          <w:color w:val="000000" w:themeColor="text1"/>
        </w:rPr>
        <w:t xml:space="preserve">and </w:t>
      </w:r>
      <w:r w:rsidRPr="00BE2A50" w:rsidR="00BE2A50">
        <w:rPr>
          <w:rFonts w:ascii="Times New Roman" w:hAnsi="Times New Roman" w:cs="Times New Roman"/>
          <w:color w:val="000000" w:themeColor="text1"/>
        </w:rPr>
        <w:t>includ</w:t>
      </w:r>
      <w:r w:rsidR="00C33142">
        <w:rPr>
          <w:rFonts w:ascii="Times New Roman" w:hAnsi="Times New Roman" w:cs="Times New Roman"/>
          <w:color w:val="000000" w:themeColor="text1"/>
        </w:rPr>
        <w:t>e</w:t>
      </w:r>
      <w:r w:rsidRPr="00BE2A50" w:rsidR="00BE2A50">
        <w:rPr>
          <w:rFonts w:ascii="Times New Roman" w:hAnsi="Times New Roman" w:cs="Times New Roman"/>
          <w:color w:val="000000" w:themeColor="text1"/>
        </w:rPr>
        <w:t xml:space="preserve"> the following elements: accurate, up-to-date diagrams of all process equipment; an analysis of the process hazards; standard operating procedures; training; maintenance; pre-startup reviews; management of change; compliance audits; incident investigation; employee participation; hot-work</w:t>
      </w:r>
      <w:r>
        <w:rPr>
          <w:rStyle w:val="FootnoteReference"/>
          <w:rFonts w:ascii="Times New Roman" w:hAnsi="Times New Roman" w:cs="Times New Roman"/>
          <w:color w:val="000000" w:themeColor="text1"/>
        </w:rPr>
        <w:footnoteReference w:id="11"/>
      </w:r>
      <w:r w:rsidRPr="00BE2A50" w:rsidR="00BE2A50">
        <w:rPr>
          <w:rFonts w:ascii="Times New Roman" w:hAnsi="Times New Roman" w:cs="Times New Roman"/>
          <w:color w:val="000000" w:themeColor="text1"/>
        </w:rPr>
        <w:t xml:space="preserve"> permits; contractor training; and emergency response.</w:t>
      </w:r>
      <w:r w:rsidR="00BE2A50">
        <w:rPr>
          <w:rFonts w:ascii="Times New Roman" w:hAnsi="Times New Roman" w:cs="Times New Roman"/>
          <w:color w:val="000000" w:themeColor="text1"/>
        </w:rPr>
        <w:t xml:space="preserve"> </w:t>
      </w:r>
      <w:r w:rsidRPr="47B0FB50">
        <w:rPr>
          <w:rFonts w:ascii="Times New Roman" w:hAnsi="Times New Roman" w:cs="Times New Roman"/>
          <w:color w:val="000000" w:themeColor="text1"/>
        </w:rPr>
        <w:t xml:space="preserve">The applicability of the PSM standard is driven by the presence of specific chemicals in quantities above thresholds set in the standard. </w:t>
      </w:r>
    </w:p>
    <w:p w:rsidR="00BC1799" w:rsidP="006213CF" w14:paraId="049425AB" w14:textId="77777777">
      <w:pPr>
        <w:autoSpaceDE w:val="0"/>
        <w:autoSpaceDN w:val="0"/>
        <w:adjustRightInd w:val="0"/>
        <w:spacing w:after="0" w:line="240" w:lineRule="auto"/>
        <w:ind w:firstLine="360"/>
        <w:rPr>
          <w:rFonts w:ascii="Times New Roman" w:hAnsi="Times New Roman" w:cs="Times New Roman"/>
          <w:color w:val="000000"/>
        </w:rPr>
      </w:pPr>
    </w:p>
    <w:p w:rsidR="007A2A7D" w:rsidP="006213CF" w14:paraId="4275B889" w14:textId="77777777">
      <w:pPr>
        <w:autoSpaceDE w:val="0"/>
        <w:autoSpaceDN w:val="0"/>
        <w:adjustRightInd w:val="0"/>
        <w:spacing w:after="0" w:line="240" w:lineRule="auto"/>
        <w:ind w:firstLine="360"/>
        <w:rPr>
          <w:rFonts w:ascii="Times New Roman" w:hAnsi="Times New Roman" w:cs="Times New Roman"/>
          <w:color w:val="000000" w:themeColor="text1"/>
        </w:rPr>
      </w:pPr>
      <w:r>
        <w:rPr>
          <w:rFonts w:ascii="Times New Roman" w:hAnsi="Times New Roman" w:cs="Times New Roman"/>
          <w:color w:val="000000" w:themeColor="text1"/>
        </w:rPr>
        <w:tab/>
      </w:r>
      <w:r w:rsidRPr="47B0FB50" w:rsidR="00093C0A">
        <w:rPr>
          <w:rFonts w:ascii="Times New Roman" w:hAnsi="Times New Roman" w:cs="Times New Roman"/>
          <w:color w:val="000000" w:themeColor="text1"/>
        </w:rPr>
        <w:t xml:space="preserve">EPA published its section 112(r) regulations in two stages − a list of regulated substances and TQs in 1994 (59 FR 4478, January 31, 1994), and the </w:t>
      </w:r>
      <w:r w:rsidR="00C5504F">
        <w:rPr>
          <w:rFonts w:ascii="Times New Roman" w:hAnsi="Times New Roman" w:cs="Times New Roman"/>
          <w:color w:val="000000" w:themeColor="text1"/>
        </w:rPr>
        <w:t>RMP</w:t>
      </w:r>
      <w:r w:rsidRPr="47B0FB50" w:rsidR="00093C0A">
        <w:rPr>
          <w:rFonts w:ascii="Times New Roman" w:hAnsi="Times New Roman" w:cs="Times New Roman"/>
          <w:color w:val="000000" w:themeColor="text1"/>
        </w:rPr>
        <w:t xml:space="preserve"> requirements in 1996 (61 FR 31731, June 20, 1996); both are codified at 40 CFR part 68. As required by section 112(r), part 68 includes several major requirements that were not covered by the PSM standard. These include a hazard assessment consisting of an </w:t>
      </w:r>
      <w:r w:rsidRPr="47B0FB50" w:rsidR="00986800">
        <w:rPr>
          <w:rFonts w:ascii="Times New Roman" w:hAnsi="Times New Roman" w:cs="Times New Roman"/>
          <w:color w:val="000000" w:themeColor="text1"/>
        </w:rPr>
        <w:t>offsite</w:t>
      </w:r>
      <w:r w:rsidRPr="47B0FB50" w:rsidR="00093C0A">
        <w:rPr>
          <w:rFonts w:ascii="Times New Roman" w:hAnsi="Times New Roman" w:cs="Times New Roman"/>
          <w:color w:val="000000" w:themeColor="text1"/>
        </w:rPr>
        <w:t xml:space="preserve"> consequence</w:t>
      </w:r>
      <w:r w:rsidR="00B64D92">
        <w:rPr>
          <w:rFonts w:ascii="Times New Roman" w:hAnsi="Times New Roman" w:cs="Times New Roman"/>
          <w:color w:val="000000" w:themeColor="text1"/>
        </w:rPr>
        <w:t>s</w:t>
      </w:r>
      <w:r w:rsidRPr="47B0FB50" w:rsidR="00093C0A">
        <w:rPr>
          <w:rFonts w:ascii="Times New Roman" w:hAnsi="Times New Roman" w:cs="Times New Roman"/>
          <w:color w:val="000000" w:themeColor="text1"/>
        </w:rPr>
        <w:t xml:space="preserve"> analysis (OCA) and five-year accident history, and the development and submission of a</w:t>
      </w:r>
      <w:r w:rsidRPr="47B0FB50" w:rsidR="006B1948">
        <w:rPr>
          <w:rFonts w:ascii="Times New Roman" w:hAnsi="Times New Roman" w:cs="Times New Roman"/>
          <w:color w:val="000000" w:themeColor="text1"/>
        </w:rPr>
        <w:t xml:space="preserve"> risk management plan </w:t>
      </w:r>
      <w:r w:rsidRPr="47B0FB50" w:rsidR="00093C0A">
        <w:rPr>
          <w:rFonts w:ascii="Times New Roman" w:hAnsi="Times New Roman" w:cs="Times New Roman"/>
          <w:color w:val="000000" w:themeColor="text1"/>
        </w:rPr>
        <w:t xml:space="preserve">that summarizes a source’s </w:t>
      </w:r>
      <w:r w:rsidR="00C5504F">
        <w:rPr>
          <w:rFonts w:ascii="Times New Roman" w:hAnsi="Times New Roman" w:cs="Times New Roman"/>
          <w:color w:val="000000" w:themeColor="text1"/>
        </w:rPr>
        <w:t>RMP</w:t>
      </w:r>
      <w:r w:rsidRPr="47B0FB50" w:rsidR="00093C0A">
        <w:rPr>
          <w:rFonts w:ascii="Times New Roman" w:hAnsi="Times New Roman" w:cs="Times New Roman"/>
          <w:color w:val="000000" w:themeColor="text1"/>
        </w:rPr>
        <w:t xml:space="preserve">. EPA also required stationary sources to develop a management system to oversee the program and included emergency response program requirements beyond those contained in the PSM standard. RMPs were first submitted to EPA in June 1999 and must be updated at least every </w:t>
      </w:r>
      <w:r w:rsidRPr="47B0FB50" w:rsidR="003B5828">
        <w:rPr>
          <w:rFonts w:ascii="Times New Roman" w:hAnsi="Times New Roman" w:cs="Times New Roman"/>
          <w:color w:val="000000" w:themeColor="text1"/>
        </w:rPr>
        <w:t>five</w:t>
      </w:r>
      <w:r w:rsidRPr="47B0FB50" w:rsidR="00093C0A">
        <w:rPr>
          <w:rFonts w:ascii="Times New Roman" w:hAnsi="Times New Roman" w:cs="Times New Roman"/>
          <w:color w:val="000000" w:themeColor="text1"/>
        </w:rPr>
        <w:t xml:space="preserve"> years. EPA has amended the rule over time to modify the list of substances, </w:t>
      </w:r>
      <w:r w:rsidR="00FD4733">
        <w:rPr>
          <w:rFonts w:ascii="Times New Roman" w:hAnsi="Times New Roman" w:cs="Times New Roman"/>
          <w:color w:val="000000" w:themeColor="text1"/>
        </w:rPr>
        <w:t>revise</w:t>
      </w:r>
      <w:r w:rsidRPr="47B0FB50" w:rsidR="00093C0A">
        <w:rPr>
          <w:rFonts w:ascii="Times New Roman" w:hAnsi="Times New Roman" w:cs="Times New Roman"/>
          <w:color w:val="000000" w:themeColor="text1"/>
        </w:rPr>
        <w:t xml:space="preserve"> data requirements, and to address other issues. The primary requirements adopted in 1996, however, remain in place. </w:t>
      </w:r>
    </w:p>
    <w:p w:rsidR="005A354C" w:rsidP="006213CF" w14:paraId="39352813" w14:textId="77777777">
      <w:pPr>
        <w:autoSpaceDE w:val="0"/>
        <w:autoSpaceDN w:val="0"/>
        <w:adjustRightInd w:val="0"/>
        <w:spacing w:after="0" w:line="240" w:lineRule="auto"/>
        <w:ind w:firstLine="360"/>
        <w:rPr>
          <w:rFonts w:ascii="Times New Roman" w:hAnsi="Times New Roman" w:cs="Times New Roman"/>
          <w:color w:val="000000"/>
        </w:rPr>
      </w:pPr>
    </w:p>
    <w:p w:rsidR="007A2A7D" w:rsidP="006213CF" w14:paraId="474F459B" w14:textId="77777777">
      <w:pPr>
        <w:autoSpaceDE w:val="0"/>
        <w:autoSpaceDN w:val="0"/>
        <w:adjustRightInd w:val="0"/>
        <w:spacing w:after="0" w:line="240" w:lineRule="auto"/>
        <w:ind w:firstLine="360"/>
        <w:rPr>
          <w:rFonts w:ascii="Times New Roman" w:hAnsi="Times New Roman" w:cs="Times New Roman"/>
          <w:color w:val="000000" w:themeColor="text1"/>
        </w:rPr>
      </w:pPr>
      <w:r>
        <w:rPr>
          <w:rFonts w:ascii="Times New Roman" w:hAnsi="Times New Roman" w:cs="Times New Roman"/>
          <w:color w:val="000000" w:themeColor="text1"/>
        </w:rPr>
        <w:tab/>
      </w:r>
      <w:r w:rsidRPr="47B0FB50" w:rsidR="00093C0A">
        <w:rPr>
          <w:rFonts w:ascii="Times New Roman" w:hAnsi="Times New Roman" w:cs="Times New Roman"/>
          <w:color w:val="000000" w:themeColor="text1"/>
        </w:rPr>
        <w:t xml:space="preserve">The </w:t>
      </w:r>
      <w:r w:rsidRPr="47B0FB50" w:rsidR="003B5828">
        <w:rPr>
          <w:rFonts w:ascii="Times New Roman" w:hAnsi="Times New Roman" w:cs="Times New Roman"/>
          <w:color w:val="000000" w:themeColor="text1"/>
        </w:rPr>
        <w:t xml:space="preserve">RMP </w:t>
      </w:r>
      <w:r w:rsidRPr="47B0FB50" w:rsidR="00093C0A">
        <w:rPr>
          <w:rFonts w:ascii="Times New Roman" w:hAnsi="Times New Roman" w:cs="Times New Roman"/>
          <w:color w:val="000000" w:themeColor="text1"/>
        </w:rPr>
        <w:t xml:space="preserve">rule establishes three program levels and requires facility owners or operators to conduct hazard assessments and submit RMPs regardless of the program level. Program 1 requirements apply to processes that </w:t>
      </w:r>
      <w:r w:rsidR="009449B7">
        <w:rPr>
          <w:rFonts w:ascii="Times New Roman" w:hAnsi="Times New Roman" w:cs="Times New Roman"/>
          <w:color w:val="000000" w:themeColor="text1"/>
        </w:rPr>
        <w:t>will</w:t>
      </w:r>
      <w:r w:rsidRPr="47B0FB50" w:rsidR="00093C0A">
        <w:rPr>
          <w:rFonts w:ascii="Times New Roman" w:hAnsi="Times New Roman" w:cs="Times New Roman"/>
          <w:color w:val="000000" w:themeColor="text1"/>
        </w:rPr>
        <w:t xml:space="preserve"> not affect the public in the case of a worst</w:t>
      </w:r>
      <w:r w:rsidR="006A5EA4">
        <w:rPr>
          <w:rFonts w:ascii="Times New Roman" w:hAnsi="Times New Roman" w:cs="Times New Roman"/>
          <w:color w:val="000000" w:themeColor="text1"/>
        </w:rPr>
        <w:t>-</w:t>
      </w:r>
      <w:r w:rsidRPr="47B0FB50" w:rsidR="00093C0A">
        <w:rPr>
          <w:rFonts w:ascii="Times New Roman" w:hAnsi="Times New Roman" w:cs="Times New Roman"/>
          <w:color w:val="000000" w:themeColor="text1"/>
        </w:rPr>
        <w:t xml:space="preserve">case release and with no accidents with specific </w:t>
      </w:r>
      <w:r w:rsidRPr="47B0FB50" w:rsidR="00986800">
        <w:rPr>
          <w:rFonts w:ascii="Times New Roman" w:hAnsi="Times New Roman" w:cs="Times New Roman"/>
          <w:color w:val="000000" w:themeColor="text1"/>
        </w:rPr>
        <w:t>offsite</w:t>
      </w:r>
      <w:r w:rsidRPr="47B0FB50" w:rsidR="00093C0A">
        <w:rPr>
          <w:rFonts w:ascii="Times New Roman" w:hAnsi="Times New Roman" w:cs="Times New Roman"/>
          <w:color w:val="000000" w:themeColor="text1"/>
        </w:rPr>
        <w:t xml:space="preserve"> consequences within the past five years. P</w:t>
      </w:r>
      <w:r w:rsidRPr="47B0FB50" w:rsidR="007F1F6B">
        <w:rPr>
          <w:rFonts w:ascii="Times New Roman" w:hAnsi="Times New Roman" w:cs="Times New Roman"/>
          <w:color w:val="000000" w:themeColor="text1"/>
        </w:rPr>
        <w:t xml:space="preserve">rogram </w:t>
      </w:r>
      <w:r w:rsidRPr="47B0FB50" w:rsidR="00093C0A">
        <w:rPr>
          <w:rFonts w:ascii="Times New Roman" w:hAnsi="Times New Roman" w:cs="Times New Roman"/>
          <w:color w:val="000000" w:themeColor="text1"/>
        </w:rPr>
        <w:t xml:space="preserve">1 provisions impose limited hazard assessment requirements and emergency response requirements. </w:t>
      </w:r>
    </w:p>
    <w:p w:rsidR="005A354C" w:rsidP="006213CF" w14:paraId="472E29F1" w14:textId="77777777">
      <w:pPr>
        <w:autoSpaceDE w:val="0"/>
        <w:autoSpaceDN w:val="0"/>
        <w:adjustRightInd w:val="0"/>
        <w:spacing w:after="0" w:line="240" w:lineRule="auto"/>
        <w:ind w:firstLine="360"/>
        <w:rPr>
          <w:rFonts w:ascii="Times New Roman" w:hAnsi="Times New Roman" w:cs="Times New Roman"/>
          <w:color w:val="000000"/>
        </w:rPr>
      </w:pPr>
    </w:p>
    <w:p w:rsidR="007A2A7D" w:rsidP="006213CF" w14:paraId="510BEC33" w14:textId="77777777">
      <w:pPr>
        <w:autoSpaceDE w:val="0"/>
        <w:autoSpaceDN w:val="0"/>
        <w:adjustRightInd w:val="0"/>
        <w:spacing w:after="0" w:line="240" w:lineRule="auto"/>
        <w:ind w:firstLine="360"/>
        <w:rPr>
          <w:rFonts w:ascii="Times New Roman" w:hAnsi="Times New Roman" w:cs="Times New Roman"/>
        </w:rPr>
      </w:pPr>
      <w:r>
        <w:rPr>
          <w:rFonts w:ascii="Times New Roman" w:hAnsi="Times New Roman" w:cs="Times New Roman"/>
          <w:color w:val="000000"/>
        </w:rPr>
        <w:tab/>
      </w:r>
      <w:r w:rsidRPr="006213CF" w:rsidR="00093C0A">
        <w:rPr>
          <w:rFonts w:ascii="Times New Roman" w:hAnsi="Times New Roman" w:cs="Times New Roman"/>
          <w:color w:val="000000"/>
        </w:rPr>
        <w:t xml:space="preserve">Program 2 </w:t>
      </w:r>
      <w:r w:rsidRPr="006213CF" w:rsidR="006B1948">
        <w:rPr>
          <w:rFonts w:ascii="Times New Roman" w:hAnsi="Times New Roman" w:cs="Times New Roman"/>
          <w:color w:val="000000"/>
        </w:rPr>
        <w:t xml:space="preserve">provisions </w:t>
      </w:r>
      <w:r w:rsidRPr="006213CF" w:rsidR="00093C0A">
        <w:rPr>
          <w:rFonts w:ascii="Times New Roman" w:hAnsi="Times New Roman" w:cs="Times New Roman"/>
          <w:color w:val="000000"/>
        </w:rPr>
        <w:t>appl</w:t>
      </w:r>
      <w:r w:rsidRPr="006213CF" w:rsidR="006B1948">
        <w:rPr>
          <w:rFonts w:ascii="Times New Roman" w:hAnsi="Times New Roman" w:cs="Times New Roman"/>
          <w:color w:val="000000"/>
        </w:rPr>
        <w:t>y</w:t>
      </w:r>
      <w:r w:rsidRPr="006213CF" w:rsidR="00093C0A">
        <w:rPr>
          <w:rFonts w:ascii="Times New Roman" w:hAnsi="Times New Roman" w:cs="Times New Roman"/>
          <w:color w:val="000000"/>
        </w:rPr>
        <w:t xml:space="preserve"> to processes not eligible for P</w:t>
      </w:r>
      <w:r w:rsidRPr="006213CF" w:rsidR="007F1F6B">
        <w:rPr>
          <w:rFonts w:ascii="Times New Roman" w:hAnsi="Times New Roman" w:cs="Times New Roman"/>
          <w:color w:val="000000"/>
        </w:rPr>
        <w:t xml:space="preserve">rogram </w:t>
      </w:r>
      <w:r w:rsidRPr="006213CF" w:rsidR="00093C0A">
        <w:rPr>
          <w:rFonts w:ascii="Times New Roman" w:hAnsi="Times New Roman" w:cs="Times New Roman"/>
          <w:color w:val="000000"/>
        </w:rPr>
        <w:t xml:space="preserve">1 or subject to Program 3, and impose streamlined prevention program requirements, including safety information, hazard review, operating </w:t>
      </w:r>
      <w:r w:rsidRPr="006213CF" w:rsidR="00093C0A">
        <w:rPr>
          <w:rFonts w:ascii="Times New Roman" w:hAnsi="Times New Roman" w:cs="Times New Roman"/>
        </w:rPr>
        <w:t xml:space="preserve">procedures, training, maintenance, compliance audits, and incident investigation elements. </w:t>
      </w:r>
      <w:r w:rsidRPr="006213CF" w:rsidR="007F1F6B">
        <w:rPr>
          <w:rFonts w:ascii="Times New Roman" w:hAnsi="Times New Roman" w:cs="Times New Roman"/>
        </w:rPr>
        <w:t>Program 2</w:t>
      </w:r>
      <w:r w:rsidRPr="006213CF" w:rsidR="00093C0A">
        <w:rPr>
          <w:rFonts w:ascii="Times New Roman" w:hAnsi="Times New Roman" w:cs="Times New Roman"/>
        </w:rPr>
        <w:t xml:space="preserve"> provisions also impose hazard assessment, management, and emergency response requirements. </w:t>
      </w:r>
      <w:r w:rsidRPr="006213CF" w:rsidR="007F1F6B">
        <w:rPr>
          <w:rFonts w:ascii="Times New Roman" w:hAnsi="Times New Roman" w:cs="Times New Roman"/>
        </w:rPr>
        <w:t>Program 2</w:t>
      </w:r>
      <w:r w:rsidRPr="006213CF" w:rsidR="00093C0A">
        <w:rPr>
          <w:rFonts w:ascii="Times New Roman" w:hAnsi="Times New Roman" w:cs="Times New Roman"/>
        </w:rPr>
        <w:t xml:space="preserve"> processes are primarily </w:t>
      </w:r>
      <w:r w:rsidRPr="002105C9" w:rsidR="002105C9">
        <w:rPr>
          <w:rFonts w:ascii="Times New Roman" w:hAnsi="Times New Roman" w:cs="Times New Roman"/>
        </w:rPr>
        <w:t>agricultural chemical distributors, chemical wholesalers,</w:t>
      </w:r>
      <w:r w:rsidR="002105C9">
        <w:rPr>
          <w:rFonts w:ascii="Times New Roman" w:hAnsi="Times New Roman" w:cs="Times New Roman"/>
        </w:rPr>
        <w:t xml:space="preserve"> and </w:t>
      </w:r>
      <w:r w:rsidRPr="006213CF" w:rsidR="00093C0A">
        <w:rPr>
          <w:rFonts w:ascii="Times New Roman" w:hAnsi="Times New Roman" w:cs="Times New Roman"/>
        </w:rPr>
        <w:t>chlorine use at publicly owned water and wastewater facilities</w:t>
      </w:r>
      <w:r w:rsidR="00F667BF">
        <w:rPr>
          <w:rFonts w:ascii="Times New Roman" w:hAnsi="Times New Roman" w:cs="Times New Roman"/>
        </w:rPr>
        <w:t xml:space="preserve"> </w:t>
      </w:r>
      <w:r w:rsidRPr="006213CF" w:rsidR="00093C0A">
        <w:rPr>
          <w:rFonts w:ascii="Times New Roman" w:hAnsi="Times New Roman" w:cs="Times New Roman"/>
        </w:rPr>
        <w:t xml:space="preserve">in States without OSHA-approved State </w:t>
      </w:r>
      <w:r w:rsidR="007739FA">
        <w:rPr>
          <w:rFonts w:ascii="Times New Roman" w:hAnsi="Times New Roman" w:cs="Times New Roman"/>
        </w:rPr>
        <w:t>P</w:t>
      </w:r>
      <w:r w:rsidRPr="006213CF" w:rsidR="00093C0A">
        <w:rPr>
          <w:rFonts w:ascii="Times New Roman" w:hAnsi="Times New Roman" w:cs="Times New Roman"/>
        </w:rPr>
        <w:t xml:space="preserve">lans. To further reduce the burden on facilities with </w:t>
      </w:r>
      <w:r w:rsidRPr="006213CF" w:rsidR="007F1F6B">
        <w:rPr>
          <w:rFonts w:ascii="Times New Roman" w:hAnsi="Times New Roman" w:cs="Times New Roman"/>
        </w:rPr>
        <w:t>Program 2</w:t>
      </w:r>
      <w:r w:rsidRPr="006213CF" w:rsidR="00093C0A">
        <w:rPr>
          <w:rFonts w:ascii="Times New Roman" w:hAnsi="Times New Roman" w:cs="Times New Roman"/>
        </w:rPr>
        <w:t xml:space="preserve"> processes, EPA developed and published several industry-specific guidance documents</w:t>
      </w:r>
      <w:r>
        <w:rPr>
          <w:rStyle w:val="FootnoteReference"/>
          <w:rFonts w:ascii="Times New Roman" w:hAnsi="Times New Roman" w:cs="Times New Roman"/>
        </w:rPr>
        <w:footnoteReference w:id="12"/>
      </w:r>
      <w:r w:rsidRPr="006213CF" w:rsidR="00093C0A">
        <w:rPr>
          <w:rFonts w:ascii="Times New Roman" w:hAnsi="Times New Roman" w:cs="Times New Roman"/>
        </w:rPr>
        <w:t xml:space="preserve"> and an OCA guidance document.</w:t>
      </w:r>
    </w:p>
    <w:p w:rsidR="005A354C" w:rsidRPr="00C72A6F" w:rsidP="006213CF" w14:paraId="51713EB6" w14:textId="77777777">
      <w:pPr>
        <w:autoSpaceDE w:val="0"/>
        <w:autoSpaceDN w:val="0"/>
        <w:adjustRightInd w:val="0"/>
        <w:spacing w:after="0" w:line="240" w:lineRule="auto"/>
        <w:ind w:firstLine="360"/>
        <w:rPr>
          <w:rFonts w:ascii="Times New Roman" w:hAnsi="Times New Roman" w:cs="Times New Roman"/>
        </w:rPr>
      </w:pPr>
    </w:p>
    <w:p w:rsidR="00093C0A" w:rsidP="006213CF" w14:paraId="007FB253" w14:textId="77777777">
      <w:pPr>
        <w:autoSpaceDE w:val="0"/>
        <w:autoSpaceDN w:val="0"/>
        <w:adjustRightInd w:val="0"/>
        <w:spacing w:after="0" w:line="240" w:lineRule="auto"/>
        <w:ind w:firstLine="360"/>
        <w:rPr>
          <w:rFonts w:ascii="Times New Roman" w:hAnsi="Times New Roman" w:cs="Times New Roman"/>
        </w:rPr>
      </w:pPr>
      <w:r>
        <w:rPr>
          <w:rFonts w:ascii="Times New Roman" w:hAnsi="Times New Roman" w:cs="Times New Roman"/>
          <w:color w:val="000000" w:themeColor="text1"/>
        </w:rPr>
        <w:tab/>
      </w:r>
      <w:r w:rsidRPr="3FE25B5C" w:rsidR="00AB34CF">
        <w:rPr>
          <w:rFonts w:ascii="Times New Roman" w:hAnsi="Times New Roman" w:cs="Times New Roman"/>
          <w:color w:val="000000" w:themeColor="text1"/>
        </w:rPr>
        <w:t>Program 3</w:t>
      </w:r>
      <w:r w:rsidRPr="006213CF">
        <w:rPr>
          <w:rFonts w:ascii="Times New Roman" w:hAnsi="Times New Roman" w:cs="Times New Roman"/>
        </w:rPr>
        <w:t xml:space="preserve"> requirements apply to processes not eligible for P</w:t>
      </w:r>
      <w:r w:rsidRPr="006213CF" w:rsidR="007F1F6B">
        <w:rPr>
          <w:rFonts w:ascii="Times New Roman" w:hAnsi="Times New Roman" w:cs="Times New Roman"/>
        </w:rPr>
        <w:t xml:space="preserve">rogram </w:t>
      </w:r>
      <w:r w:rsidRPr="006213CF">
        <w:rPr>
          <w:rFonts w:ascii="Times New Roman" w:hAnsi="Times New Roman" w:cs="Times New Roman"/>
        </w:rPr>
        <w:t xml:space="preserve">1 and </w:t>
      </w:r>
      <w:r w:rsidR="007D7330">
        <w:rPr>
          <w:rFonts w:ascii="Times New Roman" w:hAnsi="Times New Roman" w:cs="Times New Roman"/>
        </w:rPr>
        <w:t xml:space="preserve">that </w:t>
      </w:r>
      <w:r w:rsidRPr="006213CF">
        <w:rPr>
          <w:rFonts w:ascii="Times New Roman" w:hAnsi="Times New Roman" w:cs="Times New Roman"/>
        </w:rPr>
        <w:t>are either subject to OSHA's PSM standard, under Federal or State OSHA programs, or classified in one of ten specified NAICS codes (1997 version) listed at 40 CFR 68.10(d)(1). The ten NAICS codes are:</w:t>
      </w:r>
    </w:p>
    <w:p w:rsidR="006213CF" w:rsidRPr="006213CF" w:rsidP="006213CF" w14:paraId="3DE8C456" w14:textId="77777777">
      <w:pPr>
        <w:autoSpaceDE w:val="0"/>
        <w:autoSpaceDN w:val="0"/>
        <w:adjustRightInd w:val="0"/>
        <w:spacing w:after="0" w:line="240" w:lineRule="auto"/>
        <w:ind w:firstLine="360"/>
        <w:rPr>
          <w:rFonts w:ascii="Times New Roman" w:hAnsi="Times New Roman" w:cs="Times New Roman"/>
          <w:color w:val="000000"/>
        </w:rPr>
      </w:pPr>
    </w:p>
    <w:p w:rsidR="00093C0A" w:rsidRPr="006213CF" w:rsidP="006213CF" w14:paraId="25C0FB33"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32211 (pulp mills) </w:t>
      </w:r>
    </w:p>
    <w:p w:rsidR="003B5828" w:rsidRPr="006213CF" w:rsidP="006213CF" w14:paraId="77719E4D"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32411 (petroleum refineries)</w:t>
      </w:r>
    </w:p>
    <w:p w:rsidR="00093C0A" w:rsidRPr="006213CF" w:rsidP="006213CF" w14:paraId="5CD2FAD0"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32511 (petrochemical manufacturing)</w:t>
      </w:r>
    </w:p>
    <w:p w:rsidR="00093C0A" w:rsidRPr="006213CF" w:rsidP="006213CF" w14:paraId="24ECEDBB"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325181 (alkali and chlorine manufacturing)</w:t>
      </w:r>
    </w:p>
    <w:p w:rsidR="00093C0A" w:rsidRPr="006213CF" w:rsidP="006213CF" w14:paraId="3068F58D"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325188 (all other basic inorganic chemical manufacturing)</w:t>
      </w:r>
    </w:p>
    <w:p w:rsidR="00093C0A" w:rsidRPr="006213CF" w:rsidP="006213CF" w14:paraId="45A0FB2A"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325192 (cyclic crude and intermediate manufacturing)</w:t>
      </w:r>
    </w:p>
    <w:p w:rsidR="00093C0A" w:rsidRPr="006213CF" w:rsidP="006213CF" w14:paraId="4BD04509"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325199 (all other basic organic chemical manufacturing)</w:t>
      </w:r>
    </w:p>
    <w:p w:rsidR="00093C0A" w:rsidRPr="006213CF" w:rsidP="006213CF" w14:paraId="0FF54EC0"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325211 (plastics material and resin manufacturing)</w:t>
      </w:r>
    </w:p>
    <w:p w:rsidR="00093C0A" w:rsidRPr="006213CF" w:rsidP="006213CF" w14:paraId="50DAE57B"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325311 (nitrogenous fertilizer manufacturing)</w:t>
      </w:r>
    </w:p>
    <w:p w:rsidR="00D456FF" w:rsidP="006213CF" w14:paraId="78A26F54"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32532 (pesticide and other agricultural chemical manufacturing)</w:t>
      </w:r>
    </w:p>
    <w:p w:rsidR="006213CF" w:rsidRPr="006213CF" w:rsidP="006213CF" w14:paraId="0A95ECF2" w14:textId="77777777">
      <w:pPr>
        <w:pStyle w:val="ListParagraph"/>
        <w:spacing w:after="0" w:line="240" w:lineRule="auto"/>
        <w:contextualSpacing w:val="0"/>
        <w:rPr>
          <w:rFonts w:ascii="Times New Roman" w:hAnsi="Times New Roman" w:cs="Times New Roman"/>
        </w:rPr>
      </w:pPr>
    </w:p>
    <w:p w:rsidR="00491AE7" w:rsidP="006213CF" w14:paraId="34AFA41B" w14:textId="77777777">
      <w:pPr>
        <w:spacing w:after="0" w:line="240" w:lineRule="auto"/>
        <w:ind w:firstLine="360"/>
        <w:rPr>
          <w:rFonts w:ascii="Times New Roman" w:hAnsi="Times New Roman" w:cs="Times New Roman"/>
        </w:rPr>
      </w:pPr>
      <w:r>
        <w:rPr>
          <w:rFonts w:ascii="Times New Roman" w:hAnsi="Times New Roman" w:cs="Times New Roman"/>
          <w:color w:val="000000" w:themeColor="text1"/>
        </w:rPr>
        <w:tab/>
      </w:r>
      <w:r w:rsidRPr="3FE25B5C">
        <w:rPr>
          <w:rFonts w:ascii="Times New Roman" w:hAnsi="Times New Roman" w:cs="Times New Roman"/>
          <w:color w:val="000000" w:themeColor="text1"/>
        </w:rPr>
        <w:t>Program 3</w:t>
      </w:r>
      <w:r w:rsidRPr="006213CF">
        <w:rPr>
          <w:rFonts w:ascii="Times New Roman" w:hAnsi="Times New Roman" w:cs="Times New Roman"/>
        </w:rPr>
        <w:t xml:space="preserve"> requirements impose elements nearly identical to those in OSHA’s PSM standard</w:t>
      </w:r>
      <w:r w:rsidRPr="006213CF" w:rsidR="00FF0FC8">
        <w:rPr>
          <w:rFonts w:ascii="Times New Roman" w:hAnsi="Times New Roman" w:cs="Times New Roman"/>
        </w:rPr>
        <w:t>.</w:t>
      </w:r>
      <w:r w:rsidRPr="006213CF">
        <w:rPr>
          <w:rFonts w:ascii="Times New Roman" w:hAnsi="Times New Roman" w:cs="Times New Roman"/>
        </w:rPr>
        <w:t xml:space="preserve"> The </w:t>
      </w:r>
      <w:r w:rsidRPr="3FE25B5C">
        <w:rPr>
          <w:rFonts w:ascii="Times New Roman" w:hAnsi="Times New Roman" w:cs="Times New Roman"/>
          <w:color w:val="000000" w:themeColor="text1"/>
        </w:rPr>
        <w:t>Program 3</w:t>
      </w:r>
      <w:r w:rsidRPr="006213CF">
        <w:rPr>
          <w:rFonts w:ascii="Times New Roman" w:hAnsi="Times New Roman" w:cs="Times New Roman"/>
        </w:rPr>
        <w:t xml:space="preserve"> prevention program includes requirements relating to the following: </w:t>
      </w:r>
    </w:p>
    <w:p w:rsidR="006213CF" w:rsidRPr="006213CF" w:rsidP="006213CF" w14:paraId="51376F62" w14:textId="77777777">
      <w:pPr>
        <w:spacing w:after="0" w:line="240" w:lineRule="auto"/>
        <w:ind w:firstLine="360"/>
        <w:rPr>
          <w:rFonts w:ascii="Times New Roman" w:hAnsi="Times New Roman" w:cs="Times New Roman"/>
        </w:rPr>
      </w:pPr>
    </w:p>
    <w:p w:rsidR="00093C0A" w:rsidRPr="006213CF" w:rsidP="006213CF" w14:paraId="56B8D8B1"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Process safety information </w:t>
      </w:r>
    </w:p>
    <w:p w:rsidR="00093C0A" w:rsidRPr="006213CF" w:rsidP="006213CF" w14:paraId="0C5DF331"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PHA </w:t>
      </w:r>
    </w:p>
    <w:p w:rsidR="00093C0A" w:rsidRPr="006213CF" w:rsidP="006213CF" w14:paraId="0B476011"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Operating procedures </w:t>
      </w:r>
    </w:p>
    <w:p w:rsidR="00093C0A" w:rsidRPr="006213CF" w:rsidP="006213CF" w14:paraId="4C3D27AB"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Training </w:t>
      </w:r>
    </w:p>
    <w:p w:rsidR="00093C0A" w:rsidRPr="006213CF" w:rsidP="006213CF" w14:paraId="6127AD80"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Mechanical integrity </w:t>
      </w:r>
    </w:p>
    <w:p w:rsidR="00093C0A" w:rsidRPr="006213CF" w:rsidP="006213CF" w14:paraId="4A37F44C"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Management of change </w:t>
      </w:r>
    </w:p>
    <w:p w:rsidR="00093C0A" w:rsidRPr="006213CF" w:rsidP="006213CF" w14:paraId="5FA3D78E"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Pre-startup review </w:t>
      </w:r>
    </w:p>
    <w:p w:rsidR="00093C0A" w:rsidRPr="006213CF" w:rsidP="006213CF" w14:paraId="2B915B86"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Compliance audits </w:t>
      </w:r>
    </w:p>
    <w:p w:rsidR="00093C0A" w:rsidRPr="006213CF" w:rsidP="006213CF" w14:paraId="0270DD9A"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Incident investigations </w:t>
      </w:r>
    </w:p>
    <w:p w:rsidR="00093C0A" w:rsidRPr="006213CF" w:rsidP="006213CF" w14:paraId="3EF22015"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Employee participation </w:t>
      </w:r>
    </w:p>
    <w:p w:rsidR="00093C0A" w:rsidRPr="006213CF" w:rsidP="006213CF" w14:paraId="69C595E1"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Hot</w:t>
      </w:r>
      <w:r w:rsidR="00F667BF">
        <w:rPr>
          <w:rFonts w:ascii="Times New Roman" w:hAnsi="Times New Roman" w:cs="Times New Roman"/>
        </w:rPr>
        <w:t>-</w:t>
      </w:r>
      <w:r w:rsidRPr="006213CF">
        <w:rPr>
          <w:rFonts w:ascii="Times New Roman" w:hAnsi="Times New Roman" w:cs="Times New Roman"/>
        </w:rPr>
        <w:t xml:space="preserve">work permits, and </w:t>
      </w:r>
    </w:p>
    <w:p w:rsidR="00093C0A" w:rsidP="006213CF" w14:paraId="5C13B7D2" w14:textId="77777777">
      <w:pPr>
        <w:pStyle w:val="ListParagraph"/>
        <w:numPr>
          <w:ilvl w:val="0"/>
          <w:numId w:val="2"/>
        </w:numPr>
        <w:spacing w:after="0" w:line="240" w:lineRule="auto"/>
        <w:contextualSpacing w:val="0"/>
        <w:rPr>
          <w:rFonts w:ascii="Times New Roman" w:hAnsi="Times New Roman" w:cs="Times New Roman"/>
        </w:rPr>
      </w:pPr>
      <w:r w:rsidRPr="006213CF">
        <w:rPr>
          <w:rFonts w:ascii="Times New Roman" w:hAnsi="Times New Roman" w:cs="Times New Roman"/>
        </w:rPr>
        <w:t xml:space="preserve">Contractors. </w:t>
      </w:r>
    </w:p>
    <w:p w:rsidR="006213CF" w:rsidRPr="006213CF" w:rsidP="006213CF" w14:paraId="7B7FE062" w14:textId="77777777">
      <w:pPr>
        <w:pStyle w:val="ListParagraph"/>
        <w:spacing w:after="0" w:line="240" w:lineRule="auto"/>
        <w:contextualSpacing w:val="0"/>
        <w:rPr>
          <w:rFonts w:ascii="Times New Roman" w:hAnsi="Times New Roman" w:cs="Times New Roman"/>
        </w:rPr>
      </w:pPr>
    </w:p>
    <w:p w:rsidR="00491AE7" w:rsidP="006213CF" w14:paraId="73CFFB6C" w14:textId="77777777">
      <w:pPr>
        <w:spacing w:after="0" w:line="240" w:lineRule="auto"/>
        <w:ind w:firstLine="360"/>
        <w:rPr>
          <w:rFonts w:ascii="Times New Roman" w:hAnsi="Times New Roman" w:cs="Times New Roman"/>
        </w:rPr>
      </w:pPr>
      <w:r>
        <w:rPr>
          <w:rFonts w:ascii="Times New Roman" w:hAnsi="Times New Roman" w:cs="Times New Roman"/>
          <w:color w:val="000000" w:themeColor="text1"/>
        </w:rPr>
        <w:tab/>
      </w:r>
      <w:r w:rsidRPr="3FE25B5C">
        <w:rPr>
          <w:rFonts w:ascii="Times New Roman" w:hAnsi="Times New Roman" w:cs="Times New Roman"/>
          <w:color w:val="000000" w:themeColor="text1"/>
        </w:rPr>
        <w:t>Program 3</w:t>
      </w:r>
      <w:r w:rsidRPr="006213CF">
        <w:rPr>
          <w:rFonts w:ascii="Times New Roman" w:hAnsi="Times New Roman" w:cs="Times New Roman"/>
        </w:rPr>
        <w:t xml:space="preserve"> provisions also impose the same hazard assessment, management, and emergency response requirements that are required for Program 2. </w:t>
      </w:r>
    </w:p>
    <w:p w:rsidR="006213CF" w:rsidRPr="006213CF" w:rsidP="006213CF" w14:paraId="0CED46C3" w14:textId="77777777">
      <w:pPr>
        <w:spacing w:after="0" w:line="240" w:lineRule="auto"/>
        <w:ind w:firstLine="360"/>
        <w:rPr>
          <w:rFonts w:ascii="Times New Roman" w:hAnsi="Times New Roman" w:cs="Times New Roman"/>
        </w:rPr>
      </w:pPr>
    </w:p>
    <w:p w:rsidR="00491AE7" w:rsidRPr="006213CF" w:rsidP="006213CF" w14:paraId="05C0694E" w14:textId="77777777">
      <w:pPr>
        <w:spacing w:after="0" w:line="240" w:lineRule="auto"/>
        <w:ind w:firstLine="360"/>
        <w:rPr>
          <w:rFonts w:ascii="Times New Roman" w:hAnsi="Times New Roman" w:cs="Times New Roman"/>
        </w:rPr>
      </w:pPr>
      <w:r>
        <w:rPr>
          <w:rFonts w:ascii="Times New Roman" w:hAnsi="Times New Roman" w:cs="Times New Roman"/>
        </w:rPr>
        <w:tab/>
      </w:r>
      <w:r w:rsidRPr="006213CF">
        <w:rPr>
          <w:rFonts w:ascii="Times New Roman" w:hAnsi="Times New Roman" w:cs="Times New Roman"/>
        </w:rPr>
        <w:t>The following flow chart demonstrates how facilities determine the program level to which they are subject:</w:t>
      </w:r>
      <w:r>
        <w:rPr>
          <w:rStyle w:val="FootnoteReference"/>
          <w:rFonts w:ascii="Times New Roman" w:hAnsi="Times New Roman" w:cs="Times New Roman"/>
        </w:rPr>
        <w:footnoteReference w:id="13"/>
      </w:r>
    </w:p>
    <w:p w:rsidR="00093C0A" w:rsidRPr="006213CF" w:rsidP="00BF42A8" w14:paraId="41948D3C" w14:textId="77777777">
      <w:pPr>
        <w:spacing w:after="0" w:line="240" w:lineRule="auto"/>
        <w:jc w:val="center"/>
        <w:rPr>
          <w:rFonts w:ascii="Times New Roman" w:hAnsi="Times New Roman" w:cs="Times New Roman"/>
        </w:rPr>
      </w:pPr>
      <w:r w:rsidRPr="006213CF">
        <w:rPr>
          <w:rFonts w:ascii="Times New Roman" w:hAnsi="Times New Roman" w:cs="Times New Roman"/>
          <w:noProof/>
        </w:rPr>
        <w:drawing>
          <wp:inline distT="0" distB="0" distL="0" distR="0">
            <wp:extent cx="5023108" cy="3295819"/>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023108" cy="3295819"/>
                    </a:xfrm>
                    <a:prstGeom prst="rect">
                      <a:avLst/>
                    </a:prstGeom>
                  </pic:spPr>
                </pic:pic>
              </a:graphicData>
            </a:graphic>
          </wp:inline>
        </w:drawing>
      </w:r>
    </w:p>
    <w:p w:rsidR="00BF42A8" w:rsidRPr="006213CF" w:rsidP="00BF42A8" w14:paraId="7AFAFD9A" w14:textId="77777777">
      <w:pPr>
        <w:spacing w:after="0" w:line="240" w:lineRule="auto"/>
        <w:jc w:val="center"/>
        <w:rPr>
          <w:rFonts w:ascii="Times New Roman" w:hAnsi="Times New Roman" w:cs="Times New Roman"/>
        </w:rPr>
      </w:pPr>
    </w:p>
    <w:p w:rsidR="00093C0A" w:rsidRPr="003952C1" w:rsidP="003952C1" w14:paraId="09DFEFBD" w14:textId="2C3555FE">
      <w:r>
        <w:rPr>
          <w:rFonts w:ascii="Times New Roman" w:hAnsi="Times New Roman" w:cs="Times New Roman"/>
        </w:rPr>
        <w:tab/>
      </w:r>
      <w:r w:rsidRPr="006213CF">
        <w:rPr>
          <w:rFonts w:ascii="Times New Roman" w:hAnsi="Times New Roman" w:cs="Times New Roman"/>
        </w:rPr>
        <w:t xml:space="preserve">Facilities that are exempt from the OSHA PSM standard may be subject to EPA requirements under the RMP rule. This </w:t>
      </w:r>
      <w:r w:rsidR="0047070E">
        <w:rPr>
          <w:rFonts w:ascii="Times New Roman" w:hAnsi="Times New Roman" w:cs="Times New Roman"/>
        </w:rPr>
        <w:t>can</w:t>
      </w:r>
      <w:r w:rsidR="00604DA0">
        <w:rPr>
          <w:rFonts w:ascii="Times New Roman" w:hAnsi="Times New Roman" w:cs="Times New Roman"/>
        </w:rPr>
        <w:t xml:space="preserve"> </w:t>
      </w:r>
      <w:r w:rsidRPr="006213CF">
        <w:rPr>
          <w:rFonts w:ascii="Times New Roman" w:hAnsi="Times New Roman" w:cs="Times New Roman"/>
        </w:rPr>
        <w:t xml:space="preserve">occur for several reasons. First, the lists of substances regulated are not identical; for </w:t>
      </w:r>
      <w:r w:rsidRPr="006213CF">
        <w:rPr>
          <w:rFonts w:ascii="Times New Roman" w:hAnsi="Times New Roman" w:cs="Times New Roman"/>
        </w:rPr>
        <w:t xml:space="preserve">example, EPA lists aqueous ammonia </w:t>
      </w:r>
      <w:r w:rsidR="001D48B4">
        <w:rPr>
          <w:rFonts w:ascii="Times New Roman" w:hAnsi="Times New Roman" w:cs="Times New Roman"/>
        </w:rPr>
        <w:t xml:space="preserve">in </w:t>
      </w:r>
      <w:r w:rsidRPr="006213CF">
        <w:rPr>
          <w:rFonts w:ascii="Times New Roman" w:hAnsi="Times New Roman" w:cs="Times New Roman"/>
        </w:rPr>
        <w:t>any solution that is 20 percent ammonia or more</w:t>
      </w:r>
      <w:r w:rsidRPr="006213CF" w:rsidR="00A42830">
        <w:rPr>
          <w:rFonts w:ascii="Times New Roman" w:hAnsi="Times New Roman" w:cs="Times New Roman"/>
        </w:rPr>
        <w:t xml:space="preserve"> while</w:t>
      </w:r>
      <w:r w:rsidRPr="006213CF">
        <w:rPr>
          <w:rFonts w:ascii="Times New Roman" w:hAnsi="Times New Roman" w:cs="Times New Roman"/>
        </w:rPr>
        <w:t xml:space="preserve"> OSHA covers </w:t>
      </w:r>
      <w:r w:rsidR="001D48B4">
        <w:rPr>
          <w:rFonts w:ascii="Times New Roman" w:hAnsi="Times New Roman" w:cs="Times New Roman"/>
        </w:rPr>
        <w:t xml:space="preserve">aqueous ammonia </w:t>
      </w:r>
      <w:r w:rsidRPr="006213CF">
        <w:rPr>
          <w:rFonts w:ascii="Times New Roman" w:hAnsi="Times New Roman" w:cs="Times New Roman"/>
        </w:rPr>
        <w:t>only at concentrations of 44 percent or more. Second, because OSHA has no authority over State and local government employees, the OSHA PSM standard does not apply to publicly</w:t>
      </w:r>
      <w:r w:rsidRPr="006213CF" w:rsidR="00A42830">
        <w:rPr>
          <w:rFonts w:ascii="Times New Roman" w:hAnsi="Times New Roman" w:cs="Times New Roman"/>
        </w:rPr>
        <w:t>-</w:t>
      </w:r>
      <w:r w:rsidRPr="006213CF">
        <w:rPr>
          <w:rFonts w:ascii="Times New Roman" w:hAnsi="Times New Roman" w:cs="Times New Roman"/>
        </w:rPr>
        <w:t xml:space="preserve">owned facilities (mainly water and wastewater treatment systems) in States where OSHA implements and enforces the standard (about half the States). </w:t>
      </w:r>
      <w:r w:rsidRPr="003723D7" w:rsidR="0028360B">
        <w:rPr>
          <w:rFonts w:ascii="Times New Roman" w:hAnsi="Times New Roman" w:cs="Times New Roman"/>
        </w:rPr>
        <w:t xml:space="preserve">States </w:t>
      </w:r>
      <w:r w:rsidRPr="001D01BD" w:rsidR="0028360B">
        <w:rPr>
          <w:rFonts w:ascii="Times New Roman" w:hAnsi="Times New Roman" w:cs="Times New Roman"/>
        </w:rPr>
        <w:t xml:space="preserve">with OSHA-approved workplace safety and health programs </w:t>
      </w:r>
      <w:r w:rsidR="0028360B">
        <w:rPr>
          <w:rFonts w:ascii="Times New Roman" w:hAnsi="Times New Roman" w:cs="Times New Roman"/>
        </w:rPr>
        <w:t>(</w:t>
      </w:r>
      <w:r w:rsidRPr="003723D7" w:rsidR="0028360B">
        <w:rPr>
          <w:rFonts w:ascii="Times New Roman" w:hAnsi="Times New Roman" w:cs="Times New Roman"/>
        </w:rPr>
        <w:t>referred to as State-</w:t>
      </w:r>
      <w:r w:rsidR="0028360B">
        <w:rPr>
          <w:rFonts w:ascii="Times New Roman" w:hAnsi="Times New Roman" w:cs="Times New Roman"/>
        </w:rPr>
        <w:t>P</w:t>
      </w:r>
      <w:r w:rsidRPr="003723D7" w:rsidR="0028360B">
        <w:rPr>
          <w:rFonts w:ascii="Times New Roman" w:hAnsi="Times New Roman" w:cs="Times New Roman"/>
        </w:rPr>
        <w:t>lan</w:t>
      </w:r>
      <w:r w:rsidR="0028360B">
        <w:rPr>
          <w:rFonts w:ascii="Times New Roman" w:hAnsi="Times New Roman" w:cs="Times New Roman"/>
        </w:rPr>
        <w:t>s</w:t>
      </w:r>
      <w:r w:rsidRPr="003723D7" w:rsidR="0028360B">
        <w:rPr>
          <w:rFonts w:ascii="Times New Roman" w:hAnsi="Times New Roman" w:cs="Times New Roman"/>
        </w:rPr>
        <w:t>)</w:t>
      </w:r>
      <w:r w:rsidRPr="001D01BD" w:rsidR="0028360B">
        <w:rPr>
          <w:rFonts w:ascii="Times New Roman" w:hAnsi="Times New Roman" w:cs="Times New Roman"/>
        </w:rPr>
        <w:t xml:space="preserve"> </w:t>
      </w:r>
      <w:r w:rsidR="0028360B">
        <w:rPr>
          <w:rFonts w:ascii="Times New Roman" w:hAnsi="Times New Roman" w:cs="Times New Roman"/>
        </w:rPr>
        <w:t xml:space="preserve">must </w:t>
      </w:r>
      <w:r w:rsidRPr="003723D7" w:rsidR="0028360B">
        <w:rPr>
          <w:rFonts w:ascii="Times New Roman" w:hAnsi="Times New Roman" w:cs="Times New Roman"/>
        </w:rPr>
        <w:t xml:space="preserve">implement and enforce </w:t>
      </w:r>
      <w:r w:rsidR="0028360B">
        <w:rPr>
          <w:rFonts w:ascii="Times New Roman" w:hAnsi="Times New Roman" w:cs="Times New Roman"/>
        </w:rPr>
        <w:t xml:space="preserve">standards </w:t>
      </w:r>
      <w:r w:rsidRPr="001D01BD" w:rsidR="0028360B">
        <w:rPr>
          <w:rFonts w:ascii="Times New Roman" w:hAnsi="Times New Roman" w:cs="Times New Roman"/>
        </w:rPr>
        <w:t xml:space="preserve">that are at least as effective as federal </w:t>
      </w:r>
      <w:r w:rsidRPr="003723D7" w:rsidR="0028360B">
        <w:rPr>
          <w:rFonts w:ascii="Times New Roman" w:hAnsi="Times New Roman" w:cs="Times New Roman"/>
        </w:rPr>
        <w:t xml:space="preserve">OSHA standards  </w:t>
      </w:r>
      <w:r w:rsidR="0028360B">
        <w:rPr>
          <w:rFonts w:ascii="Times New Roman" w:hAnsi="Times New Roman" w:cs="Times New Roman"/>
        </w:rPr>
        <w:t>for protecting workers</w:t>
      </w:r>
      <w:r w:rsidRPr="003723D7" w:rsidR="0028360B">
        <w:rPr>
          <w:rFonts w:ascii="Times New Roman" w:hAnsi="Times New Roman" w:cs="Times New Roman"/>
        </w:rPr>
        <w:t xml:space="preserve">, </w:t>
      </w:r>
      <w:r w:rsidRPr="001C55D1" w:rsidR="0028360B">
        <w:rPr>
          <w:rFonts w:ascii="Times New Roman" w:hAnsi="Times New Roman" w:cs="Times New Roman"/>
        </w:rPr>
        <w:t>and must also provide equivalent protection to</w:t>
      </w:r>
      <w:r w:rsidR="0028360B">
        <w:rPr>
          <w:rFonts w:ascii="Times New Roman" w:hAnsi="Times New Roman" w:cs="Times New Roman"/>
        </w:rPr>
        <w:t xml:space="preserve"> </w:t>
      </w:r>
      <w:r w:rsidRPr="003723D7" w:rsidR="0028360B">
        <w:rPr>
          <w:rFonts w:ascii="Times New Roman" w:hAnsi="Times New Roman" w:cs="Times New Roman"/>
        </w:rPr>
        <w:t xml:space="preserve">State and local government employees as a condition of </w:t>
      </w:r>
      <w:r w:rsidR="0028360B">
        <w:rPr>
          <w:rFonts w:ascii="Times New Roman" w:hAnsi="Times New Roman" w:cs="Times New Roman"/>
        </w:rPr>
        <w:t>OSHA approval</w:t>
      </w:r>
      <w:r w:rsidRPr="003723D7">
        <w:rPr>
          <w:rFonts w:ascii="Times New Roman" w:hAnsi="Times New Roman" w:cs="Times New Roman"/>
        </w:rPr>
        <w:t>.</w:t>
      </w:r>
      <w:r w:rsidR="003952C1">
        <w:rPr>
          <w:rFonts w:ascii="Times New Roman" w:hAnsi="Times New Roman" w:cs="Times New Roman"/>
        </w:rPr>
        <w:t xml:space="preserve"> </w:t>
      </w:r>
      <w:r w:rsidR="003952C1">
        <w:rPr>
          <w:rStyle w:val="FootnoteTextChar"/>
          <w:rFonts w:ascii="Times New Roman" w:hAnsi="Times New Roman" w:cs="Times New Roman"/>
          <w:sz w:val="22"/>
          <w:szCs w:val="22"/>
        </w:rPr>
        <w:t>L</w:t>
      </w:r>
      <w:r w:rsidRPr="006213CF">
        <w:rPr>
          <w:rFonts w:ascii="Times New Roman" w:hAnsi="Times New Roman" w:cs="Times New Roman"/>
        </w:rPr>
        <w:t xml:space="preserve">ast, regulatory exemptions are not identical; for example, the OSHA PSM standard exempts normally unoccupied remote facilities, but the RMP rule does not. </w:t>
      </w:r>
    </w:p>
    <w:p w:rsidR="006213CF" w:rsidRPr="003952C1" w:rsidP="003952C1" w14:paraId="6EFCE3A0" w14:textId="1CC15B65">
      <w:pPr>
        <w:keepNext/>
        <w:tabs>
          <w:tab w:val="left" w:pos="1190"/>
        </w:tabs>
        <w:spacing w:after="0" w:line="240" w:lineRule="auto"/>
        <w:rPr>
          <w:rFonts w:ascii="Times New Roman" w:hAnsi="Times New Roman" w:cs="Times New Roman"/>
          <w:iCs/>
        </w:rPr>
      </w:pPr>
      <w:r>
        <w:rPr>
          <w:rFonts w:ascii="Times New Roman" w:hAnsi="Times New Roman" w:cs="Times New Roman"/>
          <w:i/>
        </w:rPr>
        <w:tab/>
      </w:r>
    </w:p>
    <w:p w:rsidR="001225EB" w:rsidRPr="00F73030" w:rsidP="00F73030" w14:paraId="76B55347" w14:textId="77777777">
      <w:pPr>
        <w:pStyle w:val="Heading3"/>
        <w:rPr>
          <w:rFonts w:ascii="Times New Roman" w:hAnsi="Times New Roman" w:cs="Times New Roman"/>
          <w:sz w:val="22"/>
          <w:szCs w:val="22"/>
        </w:rPr>
      </w:pPr>
      <w:bookmarkStart w:id="22" w:name="_Toc141732900"/>
      <w:bookmarkStart w:id="23" w:name="_Toc141733111"/>
      <w:bookmarkStart w:id="24" w:name="_Toc142404015"/>
      <w:bookmarkStart w:id="25" w:name="_Toc144213824"/>
      <w:bookmarkStart w:id="26" w:name="_Toc144283569"/>
      <w:bookmarkStart w:id="27" w:name="_Toc144303507"/>
      <w:r w:rsidRPr="00F73030">
        <w:rPr>
          <w:rFonts w:ascii="Times New Roman" w:hAnsi="Times New Roman" w:cs="Times New Roman"/>
          <w:sz w:val="22"/>
          <w:szCs w:val="22"/>
        </w:rPr>
        <w:t xml:space="preserve">1.1.2 </w:t>
      </w:r>
      <w:r w:rsidRPr="00F73030" w:rsidR="00093C0A">
        <w:rPr>
          <w:rFonts w:ascii="Times New Roman" w:hAnsi="Times New Roman" w:cs="Times New Roman"/>
          <w:sz w:val="22"/>
          <w:szCs w:val="22"/>
        </w:rPr>
        <w:t>Other Recent Rulemakings and Related Actions</w:t>
      </w:r>
      <w:bookmarkEnd w:id="22"/>
      <w:bookmarkEnd w:id="23"/>
      <w:bookmarkEnd w:id="24"/>
      <w:bookmarkEnd w:id="25"/>
      <w:bookmarkEnd w:id="26"/>
      <w:bookmarkEnd w:id="27"/>
    </w:p>
    <w:p w:rsidR="001225EB" w:rsidRPr="00901100" w:rsidP="001225EB" w14:paraId="2548C933" w14:textId="77777777">
      <w:pPr>
        <w:keepNext/>
        <w:spacing w:after="0" w:line="240" w:lineRule="auto"/>
        <w:rPr>
          <w:rFonts w:ascii="Times New Roman" w:hAnsi="Times New Roman" w:cs="Times New Roman"/>
          <w:i/>
        </w:rPr>
      </w:pPr>
      <w:r>
        <w:rPr>
          <w:rFonts w:ascii="Times New Roman" w:hAnsi="Times New Roman" w:cs="Times New Roman"/>
        </w:rPr>
        <w:tab/>
      </w:r>
      <w:r w:rsidRPr="006213CF" w:rsidR="00093C0A">
        <w:rPr>
          <w:rFonts w:ascii="Times New Roman" w:hAnsi="Times New Roman" w:cs="Times New Roman"/>
        </w:rPr>
        <w:t xml:space="preserve">In response to catastrophic chemical facility </w:t>
      </w:r>
      <w:r w:rsidR="00E04C55">
        <w:rPr>
          <w:rFonts w:ascii="Times New Roman" w:hAnsi="Times New Roman" w:cs="Times New Roman"/>
        </w:rPr>
        <w:t>accidents</w:t>
      </w:r>
      <w:r w:rsidRPr="006213CF" w:rsidR="00093C0A">
        <w:rPr>
          <w:rFonts w:ascii="Times New Roman" w:hAnsi="Times New Roman" w:cs="Times New Roman"/>
        </w:rPr>
        <w:t xml:space="preserve"> such as the </w:t>
      </w:r>
      <w:r w:rsidRPr="006213CF" w:rsidR="00A42830">
        <w:rPr>
          <w:rFonts w:ascii="Times New Roman" w:hAnsi="Times New Roman" w:cs="Times New Roman"/>
        </w:rPr>
        <w:t xml:space="preserve">2013 </w:t>
      </w:r>
      <w:r w:rsidRPr="006213CF" w:rsidR="00BD2B29">
        <w:rPr>
          <w:rFonts w:ascii="Times New Roman" w:hAnsi="Times New Roman" w:cs="Times New Roman"/>
        </w:rPr>
        <w:t xml:space="preserve">explosion at the </w:t>
      </w:r>
      <w:r w:rsidRPr="006213CF" w:rsidR="00093C0A">
        <w:rPr>
          <w:rFonts w:ascii="Times New Roman" w:hAnsi="Times New Roman" w:cs="Times New Roman"/>
        </w:rPr>
        <w:t xml:space="preserve">West Texas </w:t>
      </w:r>
      <w:r w:rsidRPr="006213CF" w:rsidR="00BD2B29">
        <w:rPr>
          <w:rFonts w:ascii="Times New Roman" w:hAnsi="Times New Roman" w:cs="Times New Roman"/>
        </w:rPr>
        <w:t>Fertilizer Company in</w:t>
      </w:r>
      <w:r w:rsidRPr="006213CF" w:rsidR="00093C0A">
        <w:rPr>
          <w:rFonts w:ascii="Times New Roman" w:hAnsi="Times New Roman" w:cs="Times New Roman"/>
        </w:rPr>
        <w:t xml:space="preserve"> West, Texas and others,</w:t>
      </w:r>
      <w:r>
        <w:rPr>
          <w:rStyle w:val="FootnoteReference"/>
          <w:rFonts w:ascii="Times New Roman" w:hAnsi="Times New Roman" w:cs="Times New Roman"/>
        </w:rPr>
        <w:footnoteReference w:id="14"/>
      </w:r>
      <w:r w:rsidRPr="006213CF" w:rsidR="00093C0A">
        <w:rPr>
          <w:rFonts w:ascii="Times New Roman" w:hAnsi="Times New Roman" w:cs="Times New Roman"/>
        </w:rPr>
        <w:t xml:space="preserve"> in 2013, President Obama issued </w:t>
      </w:r>
      <w:r w:rsidR="00843659">
        <w:rPr>
          <w:rFonts w:ascii="Times New Roman" w:hAnsi="Times New Roman" w:cs="Times New Roman"/>
        </w:rPr>
        <w:t>E.O.</w:t>
      </w:r>
      <w:r w:rsidRPr="006213CF" w:rsidR="00093C0A">
        <w:rPr>
          <w:rFonts w:ascii="Times New Roman" w:hAnsi="Times New Roman" w:cs="Times New Roman"/>
        </w:rPr>
        <w:t xml:space="preserve"> 13650, entitled Improving Chemical Facility Safety and Security.</w:t>
      </w:r>
      <w:r>
        <w:rPr>
          <w:rStyle w:val="FootnoteReference"/>
          <w:rFonts w:ascii="Times New Roman" w:hAnsi="Times New Roman" w:cs="Times New Roman"/>
        </w:rPr>
        <w:footnoteReference w:id="15"/>
      </w:r>
      <w:r w:rsidRPr="006213CF" w:rsidR="00093C0A">
        <w:rPr>
          <w:rFonts w:ascii="Times New Roman" w:hAnsi="Times New Roman" w:cs="Times New Roman"/>
        </w:rPr>
        <w:t xml:space="preserve"> This </w:t>
      </w:r>
      <w:r w:rsidR="00843659">
        <w:rPr>
          <w:rFonts w:ascii="Times New Roman" w:hAnsi="Times New Roman" w:cs="Times New Roman"/>
        </w:rPr>
        <w:t>E.O.</w:t>
      </w:r>
      <w:r w:rsidRPr="006213CF" w:rsidR="00093C0A">
        <w:rPr>
          <w:rFonts w:ascii="Times New Roman" w:hAnsi="Times New Roman" w:cs="Times New Roman"/>
        </w:rPr>
        <w:t xml:space="preserve"> require</w:t>
      </w:r>
      <w:r w:rsidR="00311F96">
        <w:rPr>
          <w:rFonts w:ascii="Times New Roman" w:hAnsi="Times New Roman" w:cs="Times New Roman"/>
        </w:rPr>
        <w:t>s</w:t>
      </w:r>
      <w:r w:rsidRPr="006213CF" w:rsidR="00093C0A">
        <w:rPr>
          <w:rFonts w:ascii="Times New Roman" w:hAnsi="Times New Roman" w:cs="Times New Roman"/>
        </w:rPr>
        <w:t xml:space="preserve"> EPA and OSHA to consider whether and how to update and modernize the RMP rule and PSM standard, among other </w:t>
      </w:r>
      <w:r w:rsidR="00F11859">
        <w:rPr>
          <w:rFonts w:ascii="Times New Roman" w:hAnsi="Times New Roman" w:cs="Times New Roman"/>
        </w:rPr>
        <w:t>requirements</w:t>
      </w:r>
      <w:r w:rsidRPr="006213CF" w:rsidR="00093C0A">
        <w:rPr>
          <w:rFonts w:ascii="Times New Roman" w:hAnsi="Times New Roman" w:cs="Times New Roman"/>
        </w:rPr>
        <w:t>. Both EPA and OSHA conducted public listening sessions</w:t>
      </w:r>
      <w:r>
        <w:rPr>
          <w:rStyle w:val="FootnoteReference"/>
          <w:rFonts w:ascii="Times New Roman" w:hAnsi="Times New Roman" w:cs="Times New Roman"/>
        </w:rPr>
        <w:footnoteReference w:id="16"/>
      </w:r>
      <w:r w:rsidRPr="006213CF" w:rsidR="00093C0A">
        <w:rPr>
          <w:rFonts w:ascii="Times New Roman" w:hAnsi="Times New Roman" w:cs="Times New Roman"/>
          <w:vertAlign w:val="superscript"/>
        </w:rPr>
        <w:t xml:space="preserve"> </w:t>
      </w:r>
      <w:r w:rsidRPr="006213CF" w:rsidR="00093C0A">
        <w:rPr>
          <w:rFonts w:ascii="Times New Roman" w:hAnsi="Times New Roman" w:cs="Times New Roman"/>
        </w:rPr>
        <w:t>and issued request</w:t>
      </w:r>
      <w:r w:rsidR="00780DE5">
        <w:rPr>
          <w:rFonts w:ascii="Times New Roman" w:hAnsi="Times New Roman" w:cs="Times New Roman"/>
        </w:rPr>
        <w:t>s</w:t>
      </w:r>
      <w:r w:rsidRPr="006213CF" w:rsidR="00093C0A">
        <w:rPr>
          <w:rFonts w:ascii="Times New Roman" w:hAnsi="Times New Roman" w:cs="Times New Roman"/>
        </w:rPr>
        <w:t xml:space="preserve"> for information (RFI</w:t>
      </w:r>
      <w:r w:rsidR="00780DE5">
        <w:rPr>
          <w:rFonts w:ascii="Times New Roman" w:hAnsi="Times New Roman" w:cs="Times New Roman"/>
        </w:rPr>
        <w:t>s</w:t>
      </w:r>
      <w:r w:rsidRPr="006213CF" w:rsidR="00093C0A">
        <w:rPr>
          <w:rFonts w:ascii="Times New Roman" w:hAnsi="Times New Roman" w:cs="Times New Roman"/>
        </w:rPr>
        <w:t>) to seek input from the public and the regulated community on potential revisions to the rules.</w:t>
      </w:r>
      <w:r>
        <w:rPr>
          <w:rStyle w:val="FootnoteReference"/>
          <w:rFonts w:ascii="Times New Roman" w:hAnsi="Times New Roman" w:cs="Times New Roman"/>
        </w:rPr>
        <w:footnoteReference w:id="17"/>
      </w:r>
      <w:r w:rsidRPr="006213CF" w:rsidR="004F7ED4">
        <w:rPr>
          <w:rFonts w:ascii="Times New Roman" w:hAnsi="Times New Roman" w:cs="Times New Roman"/>
        </w:rPr>
        <w:t xml:space="preserve"> </w:t>
      </w:r>
      <w:r w:rsidRPr="006213CF" w:rsidR="00093C0A">
        <w:rPr>
          <w:rFonts w:ascii="Times New Roman" w:hAnsi="Times New Roman" w:cs="Times New Roman"/>
        </w:rPr>
        <w:t xml:space="preserve">Based on feedback received from the RFIs and public listening sessions, EPA subsequently published a </w:t>
      </w:r>
      <w:r w:rsidRPr="00901100" w:rsidR="00093C0A">
        <w:rPr>
          <w:rFonts w:ascii="Times New Roman" w:hAnsi="Times New Roman" w:cs="Times New Roman"/>
        </w:rPr>
        <w:t xml:space="preserve">Notice of </w:t>
      </w:r>
      <w:r w:rsidRPr="000C1F46" w:rsidR="00D32ADF">
        <w:rPr>
          <w:rFonts w:ascii="Times New Roman" w:hAnsi="Times New Roman" w:cs="Times New Roman"/>
        </w:rPr>
        <w:t>Propose</w:t>
      </w:r>
      <w:r w:rsidRPr="00901100" w:rsidR="00093C0A">
        <w:rPr>
          <w:rFonts w:ascii="Times New Roman" w:hAnsi="Times New Roman" w:cs="Times New Roman"/>
        </w:rPr>
        <w:t>d Rulemaking (NPRM) on March 14, 2016 (81 FR 13637</w:t>
      </w:r>
      <w:r w:rsidRPr="00901100" w:rsidR="00722FA7">
        <w:rPr>
          <w:rFonts w:ascii="Times New Roman" w:hAnsi="Times New Roman" w:cs="Times New Roman"/>
        </w:rPr>
        <w:t>)</w:t>
      </w:r>
      <w:r w:rsidRPr="00901100" w:rsidR="00093C0A">
        <w:rPr>
          <w:rFonts w:ascii="Times New Roman" w:hAnsi="Times New Roman" w:cs="Times New Roman"/>
        </w:rPr>
        <w:t xml:space="preserve">. The </w:t>
      </w:r>
      <w:r w:rsidR="00227FF3">
        <w:rPr>
          <w:rFonts w:ascii="Times New Roman" w:hAnsi="Times New Roman" w:cs="Times New Roman"/>
        </w:rPr>
        <w:t>2017</w:t>
      </w:r>
      <w:r w:rsidRPr="00901100" w:rsidR="00093C0A">
        <w:rPr>
          <w:rFonts w:ascii="Times New Roman" w:hAnsi="Times New Roman" w:cs="Times New Roman"/>
        </w:rPr>
        <w:t xml:space="preserve"> </w:t>
      </w:r>
      <w:r w:rsidRPr="00901100" w:rsidR="00DA51DA">
        <w:rPr>
          <w:rFonts w:ascii="Times New Roman" w:hAnsi="Times New Roman" w:cs="Times New Roman"/>
        </w:rPr>
        <w:t>a</w:t>
      </w:r>
      <w:r w:rsidRPr="00901100" w:rsidR="00093C0A">
        <w:rPr>
          <w:rFonts w:ascii="Times New Roman" w:hAnsi="Times New Roman" w:cs="Times New Roman"/>
        </w:rPr>
        <w:t xml:space="preserve">mendments rule </w:t>
      </w:r>
      <w:r w:rsidR="00227FF3">
        <w:rPr>
          <w:rFonts w:ascii="Times New Roman" w:hAnsi="Times New Roman" w:cs="Times New Roman"/>
        </w:rPr>
        <w:t xml:space="preserve">(Accidental Release Prevention Requirements: Risk Management Programs Under the Clean Air Act) </w:t>
      </w:r>
      <w:r w:rsidRPr="00901100" w:rsidR="00093C0A">
        <w:rPr>
          <w:rFonts w:ascii="Times New Roman" w:hAnsi="Times New Roman" w:cs="Times New Roman"/>
        </w:rPr>
        <w:t xml:space="preserve">was the result of EPA’s consideration of the public comments received on the RFI and NPRM, recommendations from the CSB, comments received during </w:t>
      </w:r>
      <w:r w:rsidRPr="00901100" w:rsidR="00843659">
        <w:rPr>
          <w:rFonts w:ascii="Times New Roman" w:hAnsi="Times New Roman" w:cs="Times New Roman"/>
        </w:rPr>
        <w:t>E.O.</w:t>
      </w:r>
      <w:r w:rsidRPr="00901100" w:rsidR="00093C0A">
        <w:rPr>
          <w:rFonts w:ascii="Times New Roman" w:hAnsi="Times New Roman" w:cs="Times New Roman"/>
        </w:rPr>
        <w:t xml:space="preserve"> 13650 listening sessions, and information gained by EPA through inspection of RMP facilities and enforcement of the rule over the previous 17 years. The final </w:t>
      </w:r>
      <w:r w:rsidRPr="00901100" w:rsidR="0017702C">
        <w:rPr>
          <w:rFonts w:ascii="Times New Roman" w:hAnsi="Times New Roman" w:cs="Times New Roman"/>
        </w:rPr>
        <w:t>a</w:t>
      </w:r>
      <w:r w:rsidRPr="00901100" w:rsidR="00093C0A">
        <w:rPr>
          <w:rFonts w:ascii="Times New Roman" w:hAnsi="Times New Roman" w:cs="Times New Roman"/>
        </w:rPr>
        <w:t xml:space="preserve">mendments rule was published in the </w:t>
      </w:r>
      <w:r w:rsidRPr="00901100" w:rsidR="00093C0A">
        <w:rPr>
          <w:rFonts w:ascii="Times New Roman" w:hAnsi="Times New Roman" w:cs="Times New Roman"/>
          <w:i/>
        </w:rPr>
        <w:t>Federal Register</w:t>
      </w:r>
      <w:r w:rsidRPr="00901100" w:rsidR="00093C0A">
        <w:rPr>
          <w:rFonts w:ascii="Times New Roman" w:hAnsi="Times New Roman" w:cs="Times New Roman"/>
        </w:rPr>
        <w:t xml:space="preserve"> on January 13, 2017 (82 FR 4594</w:t>
      </w:r>
      <w:bookmarkStart w:id="28" w:name="_Hlk103868272"/>
      <w:r w:rsidRPr="00901100" w:rsidR="00C0240A">
        <w:rPr>
          <w:rFonts w:ascii="Times New Roman" w:hAnsi="Times New Roman" w:cs="Times New Roman"/>
        </w:rPr>
        <w:t>, hereafter referred to as the “2017 amendments rule”</w:t>
      </w:r>
      <w:bookmarkEnd w:id="28"/>
      <w:r w:rsidRPr="00901100" w:rsidR="00093C0A">
        <w:rPr>
          <w:rFonts w:ascii="Times New Roman" w:hAnsi="Times New Roman" w:cs="Times New Roman"/>
        </w:rPr>
        <w:t>).</w:t>
      </w:r>
    </w:p>
    <w:p w:rsidR="001225EB" w:rsidRPr="00901100" w:rsidP="001225EB" w14:paraId="745B6D7C" w14:textId="77777777">
      <w:pPr>
        <w:keepNext/>
        <w:spacing w:after="0" w:line="240" w:lineRule="auto"/>
        <w:rPr>
          <w:rFonts w:ascii="Times New Roman" w:hAnsi="Times New Roman" w:cs="Times New Roman"/>
          <w:i/>
        </w:rPr>
      </w:pPr>
    </w:p>
    <w:p w:rsidR="00093C0A" w:rsidRPr="001225EB" w:rsidP="001225EB" w14:paraId="72842495" w14:textId="77777777">
      <w:pPr>
        <w:keepNext/>
        <w:spacing w:after="0" w:line="240" w:lineRule="auto"/>
        <w:rPr>
          <w:rFonts w:ascii="Times New Roman" w:hAnsi="Times New Roman" w:cs="Times New Roman"/>
          <w:i/>
        </w:rPr>
      </w:pPr>
      <w:r w:rsidRPr="00901100">
        <w:rPr>
          <w:rFonts w:ascii="Times New Roman" w:hAnsi="Times New Roman" w:cs="Times New Roman"/>
        </w:rPr>
        <w:tab/>
        <w:t xml:space="preserve">In response to the </w:t>
      </w:r>
      <w:r w:rsidRPr="00901100" w:rsidR="008030D0">
        <w:rPr>
          <w:rFonts w:ascii="Times New Roman" w:hAnsi="Times New Roman" w:cs="Times New Roman"/>
        </w:rPr>
        <w:t>2017 a</w:t>
      </w:r>
      <w:r w:rsidRPr="00901100">
        <w:rPr>
          <w:rFonts w:ascii="Times New Roman" w:hAnsi="Times New Roman" w:cs="Times New Roman"/>
        </w:rPr>
        <w:t>mendments rule, EPA received three petitions for reconsideration from stakeholders,</w:t>
      </w:r>
      <w:r>
        <w:rPr>
          <w:rStyle w:val="FootnoteReference"/>
          <w:rFonts w:ascii="Times New Roman" w:hAnsi="Times New Roman" w:cs="Times New Roman"/>
        </w:rPr>
        <w:footnoteReference w:id="18"/>
      </w:r>
      <w:r w:rsidRPr="00901100" w:rsidR="00F12B05">
        <w:rPr>
          <w:rFonts w:ascii="Times New Roman" w:hAnsi="Times New Roman" w:cs="Times New Roman"/>
          <w:vertAlign w:val="superscript"/>
        </w:rPr>
        <w:t>,</w:t>
      </w:r>
      <w:r>
        <w:rPr>
          <w:rStyle w:val="FootnoteReference"/>
          <w:rFonts w:ascii="Times New Roman" w:hAnsi="Times New Roman" w:cs="Times New Roman"/>
        </w:rPr>
        <w:footnoteReference w:id="19"/>
      </w:r>
      <w:r w:rsidRPr="00901100" w:rsidR="00875242">
        <w:rPr>
          <w:rFonts w:ascii="Times New Roman" w:hAnsi="Times New Roman" w:cs="Times New Roman"/>
          <w:vertAlign w:val="superscript"/>
        </w:rPr>
        <w:t>,</w:t>
      </w:r>
      <w:r>
        <w:rPr>
          <w:rStyle w:val="FootnoteReference"/>
          <w:rFonts w:ascii="Times New Roman" w:hAnsi="Times New Roman" w:cs="Times New Roman"/>
        </w:rPr>
        <w:footnoteReference w:id="20"/>
      </w:r>
      <w:r w:rsidRPr="00901100" w:rsidR="00875242">
        <w:rPr>
          <w:rFonts w:ascii="Times New Roman" w:hAnsi="Times New Roman" w:cs="Times New Roman"/>
          <w:vertAlign w:val="superscript"/>
        </w:rPr>
        <w:t xml:space="preserve"> </w:t>
      </w:r>
      <w:r w:rsidRPr="00901100">
        <w:rPr>
          <w:rFonts w:ascii="Times New Roman" w:hAnsi="Times New Roman" w:cs="Times New Roman"/>
        </w:rPr>
        <w:t xml:space="preserve">expressing concerns and requesting a delay or stay in the rule’s implementation. On May 30, 2018, EPA published a </w:t>
      </w:r>
      <w:r w:rsidRPr="000C1F46" w:rsidR="00D32ADF">
        <w:rPr>
          <w:rFonts w:ascii="Times New Roman" w:hAnsi="Times New Roman" w:cs="Times New Roman"/>
        </w:rPr>
        <w:t>propose</w:t>
      </w:r>
      <w:r w:rsidRPr="00901100">
        <w:rPr>
          <w:rFonts w:ascii="Times New Roman" w:hAnsi="Times New Roman" w:cs="Times New Roman"/>
        </w:rPr>
        <w:t xml:space="preserve">d rule reconsidering the </w:t>
      </w:r>
      <w:r w:rsidRPr="00901100" w:rsidR="008030D0">
        <w:rPr>
          <w:rFonts w:ascii="Times New Roman" w:hAnsi="Times New Roman" w:cs="Times New Roman"/>
        </w:rPr>
        <w:t>2017 a</w:t>
      </w:r>
      <w:r w:rsidRPr="00901100">
        <w:rPr>
          <w:rFonts w:ascii="Times New Roman" w:hAnsi="Times New Roman" w:cs="Times New Roman"/>
        </w:rPr>
        <w:t xml:space="preserve">mendments rule. The final </w:t>
      </w:r>
      <w:r w:rsidRPr="00901100" w:rsidR="0017702C">
        <w:rPr>
          <w:rFonts w:ascii="Times New Roman" w:hAnsi="Times New Roman" w:cs="Times New Roman"/>
        </w:rPr>
        <w:t>r</w:t>
      </w:r>
      <w:r w:rsidRPr="00901100">
        <w:rPr>
          <w:rFonts w:ascii="Times New Roman" w:hAnsi="Times New Roman" w:cs="Times New Roman"/>
        </w:rPr>
        <w:t xml:space="preserve">econsideration rule </w:t>
      </w:r>
      <w:r w:rsidR="006F0C38">
        <w:rPr>
          <w:rFonts w:ascii="Times New Roman" w:hAnsi="Times New Roman" w:cs="Times New Roman"/>
        </w:rPr>
        <w:t>(Accidental Release Prevention Requirements: Risk Management Programs Under the Clean Air Act</w:t>
      </w:r>
      <w:r w:rsidR="000C73BD">
        <w:rPr>
          <w:rFonts w:ascii="Times New Roman" w:hAnsi="Times New Roman" w:cs="Times New Roman"/>
        </w:rPr>
        <w:t xml:space="preserve">) </w:t>
      </w:r>
      <w:r w:rsidRPr="00901100">
        <w:rPr>
          <w:rFonts w:ascii="Times New Roman" w:hAnsi="Times New Roman" w:cs="Times New Roman"/>
        </w:rPr>
        <w:t xml:space="preserve">was published in the </w:t>
      </w:r>
      <w:r w:rsidRPr="00901100">
        <w:rPr>
          <w:rFonts w:ascii="Times New Roman" w:hAnsi="Times New Roman" w:cs="Times New Roman"/>
          <w:i/>
        </w:rPr>
        <w:t>Federal Register</w:t>
      </w:r>
      <w:r w:rsidRPr="00901100">
        <w:rPr>
          <w:rFonts w:ascii="Times New Roman" w:hAnsi="Times New Roman" w:cs="Times New Roman"/>
        </w:rPr>
        <w:t xml:space="preserve"> on December 19, 2</w:t>
      </w:r>
      <w:r w:rsidRPr="006213CF">
        <w:rPr>
          <w:rFonts w:ascii="Times New Roman" w:hAnsi="Times New Roman" w:cs="Times New Roman"/>
        </w:rPr>
        <w:t>019 (84 FR 69834</w:t>
      </w:r>
      <w:r w:rsidR="001338FD">
        <w:rPr>
          <w:rFonts w:ascii="Times New Roman" w:hAnsi="Times New Roman" w:cs="Times New Roman"/>
        </w:rPr>
        <w:t xml:space="preserve">, </w:t>
      </w:r>
      <w:r w:rsidRPr="00D002B4" w:rsidR="001338FD">
        <w:rPr>
          <w:rFonts w:ascii="Times New Roman" w:hAnsi="Times New Roman" w:cs="Times New Roman"/>
        </w:rPr>
        <w:t>hereafter referred to as the “201</w:t>
      </w:r>
      <w:r w:rsidR="001338FD">
        <w:rPr>
          <w:rFonts w:ascii="Times New Roman" w:hAnsi="Times New Roman" w:cs="Times New Roman"/>
        </w:rPr>
        <w:t>9</w:t>
      </w:r>
      <w:r w:rsidRPr="00D002B4" w:rsidR="001338FD">
        <w:rPr>
          <w:rFonts w:ascii="Times New Roman" w:hAnsi="Times New Roman" w:cs="Times New Roman"/>
        </w:rPr>
        <w:t xml:space="preserve"> </w:t>
      </w:r>
      <w:r w:rsidR="001338FD">
        <w:rPr>
          <w:rFonts w:ascii="Times New Roman" w:hAnsi="Times New Roman" w:cs="Times New Roman"/>
        </w:rPr>
        <w:t>recons</w:t>
      </w:r>
      <w:r w:rsidR="00C0240A">
        <w:rPr>
          <w:rFonts w:ascii="Times New Roman" w:hAnsi="Times New Roman" w:cs="Times New Roman"/>
        </w:rPr>
        <w:t>i</w:t>
      </w:r>
      <w:r w:rsidR="001338FD">
        <w:rPr>
          <w:rFonts w:ascii="Times New Roman" w:hAnsi="Times New Roman" w:cs="Times New Roman"/>
        </w:rPr>
        <w:t>deration</w:t>
      </w:r>
      <w:r w:rsidRPr="00D002B4" w:rsidR="001338FD">
        <w:rPr>
          <w:rFonts w:ascii="Times New Roman" w:hAnsi="Times New Roman" w:cs="Times New Roman"/>
        </w:rPr>
        <w:t xml:space="preserve"> rule”</w:t>
      </w:r>
      <w:r w:rsidRPr="006213CF">
        <w:rPr>
          <w:rFonts w:ascii="Times New Roman" w:hAnsi="Times New Roman" w:cs="Times New Roman"/>
        </w:rPr>
        <w:t>).</w:t>
      </w:r>
    </w:p>
    <w:p w:rsidR="006213CF" w:rsidP="006213CF" w14:paraId="527C4FC1" w14:textId="77777777">
      <w:pPr>
        <w:spacing w:after="0" w:line="240" w:lineRule="auto"/>
        <w:rPr>
          <w:rFonts w:ascii="Times New Roman" w:hAnsi="Times New Roman" w:cs="Times New Roman"/>
          <w:i/>
        </w:rPr>
      </w:pPr>
    </w:p>
    <w:p w:rsidR="00093C0A" w:rsidRPr="00F73030" w:rsidP="00F73030" w14:paraId="060C810C" w14:textId="77777777">
      <w:pPr>
        <w:pStyle w:val="Heading3"/>
        <w:rPr>
          <w:rFonts w:ascii="Times New Roman" w:hAnsi="Times New Roman" w:cs="Times New Roman"/>
          <w:sz w:val="22"/>
          <w:szCs w:val="22"/>
        </w:rPr>
      </w:pPr>
      <w:bookmarkStart w:id="29" w:name="_Toc141732901"/>
      <w:bookmarkStart w:id="30" w:name="_Toc141733112"/>
      <w:bookmarkStart w:id="31" w:name="_Toc142404016"/>
      <w:bookmarkStart w:id="32" w:name="_Toc144213825"/>
      <w:bookmarkStart w:id="33" w:name="_Toc144283570"/>
      <w:bookmarkStart w:id="34" w:name="_Toc144303508"/>
      <w:r w:rsidRPr="00F73030">
        <w:rPr>
          <w:rFonts w:ascii="Times New Roman" w:hAnsi="Times New Roman" w:cs="Times New Roman"/>
          <w:sz w:val="22"/>
          <w:szCs w:val="22"/>
        </w:rPr>
        <w:t xml:space="preserve">1.1.3 Recent Events and Rationale Leading to </w:t>
      </w:r>
      <w:r w:rsidRPr="00F73030" w:rsidR="00FE67D6">
        <w:rPr>
          <w:rFonts w:ascii="Times New Roman" w:hAnsi="Times New Roman" w:cs="Times New Roman"/>
          <w:sz w:val="22"/>
          <w:szCs w:val="22"/>
        </w:rPr>
        <w:t>the Final</w:t>
      </w:r>
      <w:r w:rsidRPr="00F73030">
        <w:rPr>
          <w:rFonts w:ascii="Times New Roman" w:hAnsi="Times New Roman" w:cs="Times New Roman"/>
          <w:sz w:val="22"/>
          <w:szCs w:val="22"/>
        </w:rPr>
        <w:t xml:space="preserve"> Rule</w:t>
      </w:r>
      <w:bookmarkEnd w:id="29"/>
      <w:bookmarkEnd w:id="30"/>
      <w:bookmarkEnd w:id="31"/>
      <w:bookmarkEnd w:id="32"/>
      <w:bookmarkEnd w:id="33"/>
      <w:bookmarkEnd w:id="34"/>
    </w:p>
    <w:p w:rsidR="00093C0A" w:rsidP="006213CF" w14:paraId="28BF6C59" w14:textId="77777777">
      <w:pPr>
        <w:spacing w:after="0" w:line="240" w:lineRule="auto"/>
        <w:ind w:firstLine="360"/>
        <w:rPr>
          <w:rFonts w:ascii="Times New Roman" w:hAnsi="Times New Roman" w:cs="Times New Roman"/>
        </w:rPr>
      </w:pPr>
      <w:r>
        <w:rPr>
          <w:rFonts w:ascii="Times New Roman" w:hAnsi="Times New Roman" w:cs="Times New Roman"/>
        </w:rPr>
        <w:tab/>
      </w:r>
      <w:r w:rsidRPr="006213CF">
        <w:rPr>
          <w:rFonts w:ascii="Times New Roman" w:hAnsi="Times New Roman" w:cs="Times New Roman"/>
        </w:rPr>
        <w:t xml:space="preserve">On January 20, 2021, President Biden issued </w:t>
      </w:r>
      <w:r w:rsidR="00843659">
        <w:rPr>
          <w:rFonts w:ascii="Times New Roman" w:hAnsi="Times New Roman" w:cs="Times New Roman"/>
        </w:rPr>
        <w:t>E.O.</w:t>
      </w:r>
      <w:r w:rsidRPr="006213CF">
        <w:rPr>
          <w:rFonts w:ascii="Times New Roman" w:hAnsi="Times New Roman" w:cs="Times New Roman"/>
        </w:rPr>
        <w:t xml:space="preserve"> 13990, Protecting Public Health and the Environment and Restoring Science to Tackle the Climate Crisis.</w:t>
      </w:r>
      <w:r>
        <w:rPr>
          <w:rStyle w:val="FootnoteReference"/>
          <w:rFonts w:ascii="Times New Roman" w:hAnsi="Times New Roman" w:cs="Times New Roman"/>
        </w:rPr>
        <w:footnoteReference w:id="21"/>
      </w:r>
      <w:r w:rsidRPr="006213CF">
        <w:rPr>
          <w:rFonts w:ascii="Times New Roman" w:hAnsi="Times New Roman" w:cs="Times New Roman"/>
        </w:rPr>
        <w:t xml:space="preserve"> </w:t>
      </w:r>
      <w:r w:rsidR="000767CF">
        <w:rPr>
          <w:rFonts w:ascii="Times New Roman" w:hAnsi="Times New Roman" w:cs="Times New Roman"/>
        </w:rPr>
        <w:t>E.O.</w:t>
      </w:r>
      <w:r w:rsidRPr="006213CF">
        <w:rPr>
          <w:rFonts w:ascii="Times New Roman" w:hAnsi="Times New Roman" w:cs="Times New Roman"/>
        </w:rPr>
        <w:t xml:space="preserve"> 13990 directed Federal agencies to review </w:t>
      </w:r>
      <w:r w:rsidR="005C1B6F">
        <w:rPr>
          <w:rFonts w:ascii="Times New Roman" w:hAnsi="Times New Roman" w:cs="Times New Roman"/>
        </w:rPr>
        <w:t>current</w:t>
      </w:r>
      <w:r w:rsidRPr="006213CF">
        <w:rPr>
          <w:rFonts w:ascii="Times New Roman" w:hAnsi="Times New Roman" w:cs="Times New Roman"/>
        </w:rPr>
        <w:t xml:space="preserve"> regulations and take action to address priorities established by the current Administration, including bolstering resilience to the impacts of climate change and prioritizing environmental justice.  </w:t>
      </w:r>
      <w:r w:rsidR="006D1920">
        <w:rPr>
          <w:rFonts w:ascii="Times New Roman" w:hAnsi="Times New Roman" w:cs="Times New Roman"/>
        </w:rPr>
        <w:t>T</w:t>
      </w:r>
      <w:r w:rsidRPr="006213CF">
        <w:rPr>
          <w:rFonts w:ascii="Times New Roman" w:hAnsi="Times New Roman" w:cs="Times New Roman"/>
        </w:rPr>
        <w:t xml:space="preserve">he </w:t>
      </w:r>
      <w:r w:rsidR="00843659">
        <w:rPr>
          <w:rFonts w:ascii="Times New Roman" w:hAnsi="Times New Roman" w:cs="Times New Roman"/>
        </w:rPr>
        <w:t>E.O.</w:t>
      </w:r>
      <w:r w:rsidRPr="006213CF">
        <w:rPr>
          <w:rFonts w:ascii="Times New Roman" w:hAnsi="Times New Roman" w:cs="Times New Roman"/>
        </w:rPr>
        <w:t xml:space="preserve"> did not direct the Agency to publish a solicitation for information from the public</w:t>
      </w:r>
      <w:r w:rsidR="00E31E84">
        <w:rPr>
          <w:rFonts w:ascii="Times New Roman" w:hAnsi="Times New Roman" w:cs="Times New Roman"/>
        </w:rPr>
        <w:t>. However</w:t>
      </w:r>
      <w:r w:rsidRPr="006213CF">
        <w:rPr>
          <w:rFonts w:ascii="Times New Roman" w:hAnsi="Times New Roman" w:cs="Times New Roman"/>
        </w:rPr>
        <w:t xml:space="preserve">, </w:t>
      </w:r>
      <w:r w:rsidR="00780DE5">
        <w:rPr>
          <w:rFonts w:ascii="Times New Roman" w:hAnsi="Times New Roman" w:cs="Times New Roman"/>
        </w:rPr>
        <w:t>on May 28, 2021</w:t>
      </w:r>
      <w:r w:rsidRPr="006213CF">
        <w:rPr>
          <w:rFonts w:ascii="Times New Roman" w:hAnsi="Times New Roman" w:cs="Times New Roman"/>
        </w:rPr>
        <w:t xml:space="preserve"> EPA issued a notice of virtual public listening sessions and request for public comment to obtain information on the adequacy of </w:t>
      </w:r>
      <w:r w:rsidR="00780DE5">
        <w:rPr>
          <w:rFonts w:ascii="Times New Roman" w:hAnsi="Times New Roman" w:cs="Times New Roman"/>
        </w:rPr>
        <w:t>prior</w:t>
      </w:r>
      <w:r w:rsidRPr="006213CF">
        <w:rPr>
          <w:rFonts w:ascii="Times New Roman" w:hAnsi="Times New Roman" w:cs="Times New Roman"/>
        </w:rPr>
        <w:t xml:space="preserve"> revisions to the RMP regulations</w:t>
      </w:r>
      <w:r w:rsidRPr="006213CF" w:rsidR="00A145E3">
        <w:rPr>
          <w:rFonts w:ascii="Times New Roman" w:hAnsi="Times New Roman" w:cs="Times New Roman"/>
        </w:rPr>
        <w:t xml:space="preserve"> including </w:t>
      </w:r>
      <w:r w:rsidRPr="006213CF" w:rsidR="00354D92">
        <w:rPr>
          <w:rFonts w:ascii="Times New Roman" w:hAnsi="Times New Roman" w:cs="Times New Roman"/>
        </w:rPr>
        <w:t xml:space="preserve">the </w:t>
      </w:r>
      <w:r w:rsidR="003372C2">
        <w:rPr>
          <w:rFonts w:ascii="Times New Roman" w:hAnsi="Times New Roman" w:cs="Times New Roman"/>
        </w:rPr>
        <w:t>2017 a</w:t>
      </w:r>
      <w:r w:rsidRPr="006213CF" w:rsidR="00A145E3">
        <w:rPr>
          <w:rFonts w:ascii="Times New Roman" w:hAnsi="Times New Roman" w:cs="Times New Roman"/>
        </w:rPr>
        <w:t xml:space="preserve">mendments and </w:t>
      </w:r>
      <w:r w:rsidR="0010162A">
        <w:rPr>
          <w:rFonts w:ascii="Times New Roman" w:hAnsi="Times New Roman" w:cs="Times New Roman"/>
        </w:rPr>
        <w:t>2019 r</w:t>
      </w:r>
      <w:r w:rsidRPr="006213CF" w:rsidR="00A145E3">
        <w:rPr>
          <w:rFonts w:ascii="Times New Roman" w:hAnsi="Times New Roman" w:cs="Times New Roman"/>
        </w:rPr>
        <w:t>econ</w:t>
      </w:r>
      <w:r w:rsidRPr="006213CF" w:rsidR="00354D92">
        <w:rPr>
          <w:rFonts w:ascii="Times New Roman" w:hAnsi="Times New Roman" w:cs="Times New Roman"/>
        </w:rPr>
        <w:t>sideration rules</w:t>
      </w:r>
      <w:r w:rsidRPr="006213CF">
        <w:rPr>
          <w:rFonts w:ascii="Times New Roman" w:hAnsi="Times New Roman" w:cs="Times New Roman"/>
        </w:rPr>
        <w:t>. The virtual listening sessions were held on June 16 and July 8, 2021</w:t>
      </w:r>
      <w:r w:rsidR="00D11599">
        <w:rPr>
          <w:rFonts w:ascii="Times New Roman" w:hAnsi="Times New Roman" w:cs="Times New Roman"/>
        </w:rPr>
        <w:t xml:space="preserve"> </w:t>
      </w:r>
      <w:r w:rsidRPr="006213CF">
        <w:rPr>
          <w:rFonts w:ascii="Times New Roman" w:hAnsi="Times New Roman" w:cs="Times New Roman"/>
        </w:rPr>
        <w:t xml:space="preserve">and were attended by OSHA to foster continued coordination with EPA. Commenters discussed revisions and updates to the </w:t>
      </w:r>
      <w:r w:rsidR="00500D10">
        <w:rPr>
          <w:rFonts w:ascii="Times New Roman" w:hAnsi="Times New Roman" w:cs="Times New Roman"/>
        </w:rPr>
        <w:t>p</w:t>
      </w:r>
      <w:r w:rsidRPr="006213CF">
        <w:rPr>
          <w:rFonts w:ascii="Times New Roman" w:hAnsi="Times New Roman" w:cs="Times New Roman"/>
        </w:rPr>
        <w:t xml:space="preserve">revention </w:t>
      </w:r>
      <w:r w:rsidR="00500D10">
        <w:rPr>
          <w:rFonts w:ascii="Times New Roman" w:hAnsi="Times New Roman" w:cs="Times New Roman"/>
        </w:rPr>
        <w:t>p</w:t>
      </w:r>
      <w:r w:rsidRPr="006213CF">
        <w:rPr>
          <w:rFonts w:ascii="Times New Roman" w:hAnsi="Times New Roman" w:cs="Times New Roman"/>
        </w:rPr>
        <w:t xml:space="preserve">rogram, </w:t>
      </w:r>
      <w:r w:rsidR="00500D10">
        <w:rPr>
          <w:rFonts w:ascii="Times New Roman" w:hAnsi="Times New Roman" w:cs="Times New Roman"/>
        </w:rPr>
        <w:t>e</w:t>
      </w:r>
      <w:r w:rsidRPr="006213CF">
        <w:rPr>
          <w:rFonts w:ascii="Times New Roman" w:hAnsi="Times New Roman" w:cs="Times New Roman"/>
        </w:rPr>
        <w:t xml:space="preserve">mergency </w:t>
      </w:r>
      <w:r w:rsidR="00500D10">
        <w:rPr>
          <w:rFonts w:ascii="Times New Roman" w:hAnsi="Times New Roman" w:cs="Times New Roman"/>
        </w:rPr>
        <w:t>r</w:t>
      </w:r>
      <w:r w:rsidRPr="006213CF">
        <w:rPr>
          <w:rFonts w:ascii="Times New Roman" w:hAnsi="Times New Roman" w:cs="Times New Roman"/>
        </w:rPr>
        <w:t>esponse</w:t>
      </w:r>
      <w:r w:rsidR="00780DE5">
        <w:rPr>
          <w:rFonts w:ascii="Times New Roman" w:hAnsi="Times New Roman" w:cs="Times New Roman"/>
        </w:rPr>
        <w:t xml:space="preserve"> requirements</w:t>
      </w:r>
      <w:r w:rsidRPr="006213CF">
        <w:rPr>
          <w:rFonts w:ascii="Times New Roman" w:hAnsi="Times New Roman" w:cs="Times New Roman"/>
        </w:rPr>
        <w:t xml:space="preserve">, </w:t>
      </w:r>
      <w:r w:rsidR="00500D10">
        <w:rPr>
          <w:rFonts w:ascii="Times New Roman" w:hAnsi="Times New Roman" w:cs="Times New Roman"/>
        </w:rPr>
        <w:t>i</w:t>
      </w:r>
      <w:r w:rsidRPr="006213CF">
        <w:rPr>
          <w:rFonts w:ascii="Times New Roman" w:hAnsi="Times New Roman" w:cs="Times New Roman"/>
        </w:rPr>
        <w:t xml:space="preserve">nformation </w:t>
      </w:r>
      <w:r w:rsidR="00500D10">
        <w:rPr>
          <w:rFonts w:ascii="Times New Roman" w:hAnsi="Times New Roman" w:cs="Times New Roman"/>
        </w:rPr>
        <w:t>a</w:t>
      </w:r>
      <w:r w:rsidRPr="006213CF">
        <w:rPr>
          <w:rFonts w:ascii="Times New Roman" w:hAnsi="Times New Roman" w:cs="Times New Roman"/>
        </w:rPr>
        <w:t>vailability</w:t>
      </w:r>
      <w:r w:rsidR="00780DE5">
        <w:rPr>
          <w:rFonts w:ascii="Times New Roman" w:hAnsi="Times New Roman" w:cs="Times New Roman"/>
        </w:rPr>
        <w:t xml:space="preserve"> requirements</w:t>
      </w:r>
      <w:r w:rsidRPr="006213CF">
        <w:rPr>
          <w:rFonts w:ascii="Times New Roman" w:hAnsi="Times New Roman" w:cs="Times New Roman"/>
        </w:rPr>
        <w:t>, and regulated chemicals. Commenters also discussed the importance of incorporating climate changes risks and impacts into the RMP regulations and expanding the application of environmental justice.</w:t>
      </w:r>
    </w:p>
    <w:p w:rsidR="007A2A7D" w:rsidP="006213CF" w14:paraId="52AC54A5" w14:textId="77777777">
      <w:pPr>
        <w:spacing w:after="0" w:line="240" w:lineRule="auto"/>
        <w:ind w:firstLine="360"/>
        <w:rPr>
          <w:rFonts w:ascii="Times New Roman" w:hAnsi="Times New Roman" w:cs="Times New Roman"/>
        </w:rPr>
      </w:pPr>
    </w:p>
    <w:p w:rsidR="007A2A7D" w:rsidP="006213CF" w14:paraId="38380E44" w14:textId="362CF6A5">
      <w:pPr>
        <w:spacing w:after="0" w:line="240" w:lineRule="auto"/>
        <w:ind w:firstLine="360"/>
        <w:rPr>
          <w:rFonts w:ascii="Times New Roman" w:hAnsi="Times New Roman" w:cs="Times New Roman"/>
        </w:rPr>
      </w:pPr>
      <w:r>
        <w:rPr>
          <w:rFonts w:ascii="Times New Roman" w:hAnsi="Times New Roman" w:cs="Times New Roman"/>
        </w:rPr>
        <w:tab/>
      </w:r>
      <w:r w:rsidRPr="006213CF" w:rsidR="00093C0A">
        <w:rPr>
          <w:rFonts w:ascii="Times New Roman" w:hAnsi="Times New Roman" w:cs="Times New Roman"/>
        </w:rPr>
        <w:t xml:space="preserve">The RMP regulations have contributed to the prevention and mitigation of chemical accidents in the </w:t>
      </w:r>
      <w:r w:rsidR="006830A3">
        <w:rPr>
          <w:rFonts w:ascii="Times New Roman" w:hAnsi="Times New Roman" w:cs="Times New Roman"/>
        </w:rPr>
        <w:t>U</w:t>
      </w:r>
      <w:r w:rsidR="0094722D">
        <w:rPr>
          <w:rFonts w:ascii="Times New Roman" w:hAnsi="Times New Roman" w:cs="Times New Roman"/>
        </w:rPr>
        <w:t>nited States</w:t>
      </w:r>
      <w:r w:rsidRPr="006213CF" w:rsidR="00093C0A">
        <w:rPr>
          <w:rFonts w:ascii="Times New Roman" w:hAnsi="Times New Roman" w:cs="Times New Roman"/>
        </w:rPr>
        <w:t xml:space="preserve">. </w:t>
      </w:r>
      <w:r w:rsidR="00780DE5">
        <w:rPr>
          <w:rFonts w:ascii="Times New Roman" w:hAnsi="Times New Roman" w:cs="Times New Roman"/>
        </w:rPr>
        <w:t>A</w:t>
      </w:r>
      <w:r w:rsidRPr="006213CF" w:rsidR="00093C0A">
        <w:rPr>
          <w:rFonts w:ascii="Times New Roman" w:hAnsi="Times New Roman" w:cs="Times New Roman"/>
        </w:rPr>
        <w:t>ccident histories submitted with RMPs have shown a reduction in the frequency of accidents since the beginning of the program</w:t>
      </w:r>
      <w:r w:rsidR="00780DE5">
        <w:rPr>
          <w:rFonts w:ascii="Times New Roman" w:hAnsi="Times New Roman" w:cs="Times New Roman"/>
        </w:rPr>
        <w:t>. However</w:t>
      </w:r>
      <w:r w:rsidRPr="006213CF" w:rsidR="00093C0A">
        <w:rPr>
          <w:rFonts w:ascii="Times New Roman" w:hAnsi="Times New Roman" w:cs="Times New Roman"/>
        </w:rPr>
        <w:t>, serious chemical releases from RMP-regulated processes</w:t>
      </w:r>
      <w:r w:rsidRPr="006213CF" w:rsidR="00DF3E27">
        <w:rPr>
          <w:rFonts w:ascii="Times New Roman" w:hAnsi="Times New Roman" w:cs="Times New Roman"/>
        </w:rPr>
        <w:t xml:space="preserve"> have continued.</w:t>
      </w:r>
      <w:r w:rsidRPr="006213CF" w:rsidR="00093C0A">
        <w:rPr>
          <w:rFonts w:ascii="Times New Roman" w:hAnsi="Times New Roman" w:cs="Times New Roman"/>
        </w:rPr>
        <w:t xml:space="preserve"> RMP data for 2011 through 2020, the most recent 10-year period with complete information, show that each year an average124 accidents </w:t>
      </w:r>
      <w:r w:rsidRPr="006213CF" w:rsidR="00722FA7">
        <w:rPr>
          <w:rFonts w:ascii="Times New Roman" w:hAnsi="Times New Roman" w:cs="Times New Roman"/>
        </w:rPr>
        <w:t>occu</w:t>
      </w:r>
      <w:r w:rsidR="00DC3383">
        <w:rPr>
          <w:rFonts w:ascii="Times New Roman" w:hAnsi="Times New Roman" w:cs="Times New Roman"/>
        </w:rPr>
        <w:t>r</w:t>
      </w:r>
      <w:r w:rsidRPr="006213CF" w:rsidR="00722FA7">
        <w:rPr>
          <w:rFonts w:ascii="Times New Roman" w:hAnsi="Times New Roman" w:cs="Times New Roman"/>
        </w:rPr>
        <w:t>r</w:t>
      </w:r>
      <w:r w:rsidR="00780DE5">
        <w:rPr>
          <w:rFonts w:ascii="Times New Roman" w:hAnsi="Times New Roman" w:cs="Times New Roman"/>
        </w:rPr>
        <w:t>ed</w:t>
      </w:r>
      <w:r w:rsidRPr="006213CF" w:rsidR="00093C0A">
        <w:rPr>
          <w:rFonts w:ascii="Times New Roman" w:hAnsi="Times New Roman" w:cs="Times New Roman"/>
        </w:rPr>
        <w:t xml:space="preserve"> with </w:t>
      </w:r>
      <w:r w:rsidR="003532C8">
        <w:rPr>
          <w:rFonts w:ascii="Times New Roman" w:hAnsi="Times New Roman" w:cs="Times New Roman"/>
        </w:rPr>
        <w:t>RMP-</w:t>
      </w:r>
      <w:r w:rsidRPr="006213CF" w:rsidR="00093C0A">
        <w:rPr>
          <w:rFonts w:ascii="Times New Roman" w:hAnsi="Times New Roman" w:cs="Times New Roman"/>
        </w:rPr>
        <w:t xml:space="preserve">reportable impacts. RMP data for 2016 through 2020, the most recent </w:t>
      </w:r>
      <w:r w:rsidRPr="006213CF" w:rsidR="007479B8">
        <w:rPr>
          <w:rFonts w:ascii="Times New Roman" w:hAnsi="Times New Roman" w:cs="Times New Roman"/>
        </w:rPr>
        <w:t>five-year</w:t>
      </w:r>
      <w:r w:rsidRPr="006213CF" w:rsidR="00093C0A">
        <w:rPr>
          <w:rFonts w:ascii="Times New Roman" w:hAnsi="Times New Roman" w:cs="Times New Roman"/>
        </w:rPr>
        <w:t xml:space="preserve"> period with complete information, averaged </w:t>
      </w:r>
      <w:r w:rsidRPr="006213CF" w:rsidR="00266493">
        <w:rPr>
          <w:rFonts w:ascii="Times New Roman" w:hAnsi="Times New Roman" w:cs="Times New Roman"/>
        </w:rPr>
        <w:t xml:space="preserve">an annual </w:t>
      </w:r>
      <w:r w:rsidRPr="006213CF" w:rsidR="00093C0A">
        <w:rPr>
          <w:rFonts w:ascii="Times New Roman" w:hAnsi="Times New Roman" w:cs="Times New Roman"/>
        </w:rPr>
        <w:t xml:space="preserve">98 accidents with </w:t>
      </w:r>
      <w:r w:rsidR="003532C8">
        <w:rPr>
          <w:rFonts w:ascii="Times New Roman" w:hAnsi="Times New Roman" w:cs="Times New Roman"/>
        </w:rPr>
        <w:t>RMP-</w:t>
      </w:r>
      <w:r w:rsidRPr="006213CF" w:rsidR="00093C0A">
        <w:rPr>
          <w:rFonts w:ascii="Times New Roman" w:hAnsi="Times New Roman" w:cs="Times New Roman"/>
        </w:rPr>
        <w:t xml:space="preserve">reportable impacts. </w:t>
      </w:r>
      <w:r w:rsidRPr="006213CF" w:rsidR="00354D92">
        <w:rPr>
          <w:rFonts w:ascii="Times New Roman" w:hAnsi="Times New Roman" w:cs="Times New Roman"/>
        </w:rPr>
        <w:t>RMP-reportable accidents</w:t>
      </w:r>
      <w:r w:rsidRPr="006213CF" w:rsidR="00093C0A">
        <w:rPr>
          <w:rFonts w:ascii="Times New Roman" w:hAnsi="Times New Roman" w:cs="Times New Roman"/>
        </w:rPr>
        <w:t xml:space="preserve"> remain a significant concern to communities, particularly those located </w:t>
      </w:r>
      <w:r w:rsidRPr="006213CF" w:rsidR="0005035A">
        <w:rPr>
          <w:rFonts w:ascii="Times New Roman" w:hAnsi="Times New Roman" w:cs="Times New Roman"/>
        </w:rPr>
        <w:t>near</w:t>
      </w:r>
      <w:r w:rsidRPr="006213CF" w:rsidR="00093C0A">
        <w:rPr>
          <w:rFonts w:ascii="Times New Roman" w:hAnsi="Times New Roman" w:cs="Times New Roman"/>
        </w:rPr>
        <w:t xml:space="preserve"> the </w:t>
      </w:r>
      <w:r w:rsidRPr="006213CF" w:rsidR="007838BD">
        <w:rPr>
          <w:rFonts w:ascii="Times New Roman" w:hAnsi="Times New Roman" w:cs="Times New Roman"/>
        </w:rPr>
        <w:t>perimeter</w:t>
      </w:r>
      <w:r w:rsidRPr="006213CF" w:rsidR="00093C0A">
        <w:rPr>
          <w:rFonts w:ascii="Times New Roman" w:hAnsi="Times New Roman" w:cs="Times New Roman"/>
        </w:rPr>
        <w:t xml:space="preserve"> of the facilities, and impose </w:t>
      </w:r>
      <w:r w:rsidRPr="006213CF" w:rsidR="00C87398">
        <w:rPr>
          <w:rFonts w:ascii="Times New Roman" w:hAnsi="Times New Roman" w:cs="Times New Roman"/>
        </w:rPr>
        <w:t xml:space="preserve">significant social costs </w:t>
      </w:r>
      <w:r w:rsidRPr="006213CF" w:rsidR="00093C0A">
        <w:rPr>
          <w:rFonts w:ascii="Times New Roman" w:hAnsi="Times New Roman" w:cs="Times New Roman"/>
        </w:rPr>
        <w:t xml:space="preserve">annually. EPA believes that the revisions to the </w:t>
      </w:r>
      <w:r w:rsidR="00C5504F">
        <w:rPr>
          <w:rFonts w:ascii="Times New Roman" w:hAnsi="Times New Roman" w:cs="Times New Roman"/>
        </w:rPr>
        <w:t>RMP</w:t>
      </w:r>
      <w:r w:rsidRPr="006213CF" w:rsidR="00093C0A">
        <w:rPr>
          <w:rFonts w:ascii="Times New Roman" w:hAnsi="Times New Roman" w:cs="Times New Roman"/>
        </w:rPr>
        <w:t xml:space="preserve"> in this</w:t>
      </w:r>
      <w:r w:rsidR="00FE67D6">
        <w:rPr>
          <w:rFonts w:ascii="Times New Roman" w:hAnsi="Times New Roman" w:cs="Times New Roman"/>
        </w:rPr>
        <w:t xml:space="preserve"> final</w:t>
      </w:r>
      <w:r w:rsidRPr="006213CF" w:rsidR="00093C0A">
        <w:rPr>
          <w:rFonts w:ascii="Times New Roman" w:hAnsi="Times New Roman" w:cs="Times New Roman"/>
        </w:rPr>
        <w:t xml:space="preserve"> rule will further protect</w:t>
      </w:r>
      <w:r w:rsidRPr="006213CF" w:rsidR="0005035A">
        <w:rPr>
          <w:rFonts w:ascii="Times New Roman" w:hAnsi="Times New Roman" w:cs="Times New Roman"/>
        </w:rPr>
        <w:t xml:space="preserve"> </w:t>
      </w:r>
      <w:r w:rsidRPr="006213CF" w:rsidR="00093C0A">
        <w:rPr>
          <w:rFonts w:ascii="Times New Roman" w:hAnsi="Times New Roman" w:cs="Times New Roman"/>
        </w:rPr>
        <w:t xml:space="preserve">human health and the environment from chemical hazards through advancement of enhanced </w:t>
      </w:r>
      <w:r w:rsidRPr="006213CF" w:rsidR="00DC784F">
        <w:rPr>
          <w:rFonts w:ascii="Times New Roman" w:hAnsi="Times New Roman" w:cs="Times New Roman"/>
        </w:rPr>
        <w:t>PSM</w:t>
      </w:r>
      <w:r w:rsidRPr="006213CF" w:rsidR="00093C0A">
        <w:rPr>
          <w:rFonts w:ascii="Times New Roman" w:hAnsi="Times New Roman" w:cs="Times New Roman"/>
        </w:rPr>
        <w:t xml:space="preserve">. </w:t>
      </w:r>
    </w:p>
    <w:p w:rsidR="009244BC" w:rsidP="006213CF" w14:paraId="598815C0" w14:textId="77777777">
      <w:pPr>
        <w:spacing w:after="0" w:line="240" w:lineRule="auto"/>
        <w:ind w:firstLine="360"/>
        <w:rPr>
          <w:rFonts w:ascii="Times New Roman" w:hAnsi="Times New Roman" w:cs="Times New Roman"/>
        </w:rPr>
      </w:pPr>
    </w:p>
    <w:p w:rsidR="007A2A7D" w:rsidP="006213CF" w14:paraId="54B758CA" w14:textId="77777777">
      <w:pPr>
        <w:spacing w:after="0" w:line="240" w:lineRule="auto"/>
        <w:ind w:firstLine="360"/>
        <w:rPr>
          <w:rFonts w:ascii="Times New Roman" w:hAnsi="Times New Roman" w:cs="Times New Roman"/>
        </w:rPr>
      </w:pPr>
      <w:r>
        <w:rPr>
          <w:rFonts w:ascii="Times New Roman" w:hAnsi="Times New Roman" w:cs="Times New Roman"/>
        </w:rPr>
        <w:tab/>
      </w:r>
      <w:r w:rsidRPr="006213CF" w:rsidR="00093C0A">
        <w:rPr>
          <w:rFonts w:ascii="Times New Roman" w:hAnsi="Times New Roman" w:cs="Times New Roman"/>
        </w:rPr>
        <w:t>Facilities subject to the RMP regulation pose significant risks to the public and the environment because of the types and quantities of hazardous substances they store and use</w:t>
      </w:r>
      <w:r w:rsidRPr="006213CF" w:rsidR="00491AE7">
        <w:rPr>
          <w:rFonts w:ascii="Times New Roman" w:hAnsi="Times New Roman" w:cs="Times New Roman"/>
        </w:rPr>
        <w:t xml:space="preserve"> </w:t>
      </w:r>
      <w:r w:rsidRPr="006213CF" w:rsidR="00EB0581">
        <w:rPr>
          <w:rFonts w:ascii="Times New Roman" w:hAnsi="Times New Roman" w:cs="Times New Roman"/>
        </w:rPr>
        <w:t>in chemical processes</w:t>
      </w:r>
      <w:r w:rsidRPr="006213CF" w:rsidR="00093C0A">
        <w:rPr>
          <w:rFonts w:ascii="Times New Roman" w:hAnsi="Times New Roman" w:cs="Times New Roman"/>
        </w:rPr>
        <w:t xml:space="preserve">. These risks stem from potential accidental chemical releases </w:t>
      </w:r>
      <w:r w:rsidR="00D24AF4">
        <w:rPr>
          <w:rFonts w:ascii="Times New Roman" w:hAnsi="Times New Roman" w:cs="Times New Roman"/>
        </w:rPr>
        <w:t>which</w:t>
      </w:r>
      <w:r w:rsidRPr="006213CF" w:rsidR="00093C0A">
        <w:rPr>
          <w:rFonts w:ascii="Times New Roman" w:hAnsi="Times New Roman" w:cs="Times New Roman"/>
        </w:rPr>
        <w:t xml:space="preserve"> can cause fires, explosions, and harmful vapor clouds. Chemical accidents</w:t>
      </w:r>
      <w:r w:rsidRPr="006213CF" w:rsidR="00A145E3">
        <w:rPr>
          <w:rFonts w:ascii="Times New Roman" w:hAnsi="Times New Roman" w:cs="Times New Roman"/>
        </w:rPr>
        <w:t xml:space="preserve"> and their resulting impacts</w:t>
      </w:r>
      <w:r w:rsidRPr="006213CF" w:rsidR="00093C0A">
        <w:rPr>
          <w:rFonts w:ascii="Times New Roman" w:hAnsi="Times New Roman" w:cs="Times New Roman"/>
        </w:rPr>
        <w:t xml:space="preserve"> not only kill and injure people but can cause significant damage to property, goods produced, plant equipment and structures; and nearby industrial, commercial, and residential buildings, equipment, and furnishings. Damage can also occur to the natural environment and negatively affect nearby ecosystems and wildlife. Resources, such as emergency personnel and equipment, are diverted to address the fire, explosion, or vapor cloud. </w:t>
      </w:r>
      <w:r w:rsidR="00534F90">
        <w:rPr>
          <w:rFonts w:ascii="Times New Roman" w:hAnsi="Times New Roman" w:cs="Times New Roman"/>
        </w:rPr>
        <w:t xml:space="preserve">Residents living nearby may need to shelter-in-place or evacuate. </w:t>
      </w:r>
      <w:r w:rsidRPr="006213CF" w:rsidR="00093C0A">
        <w:rPr>
          <w:rFonts w:ascii="Times New Roman" w:hAnsi="Times New Roman" w:cs="Times New Roman"/>
        </w:rPr>
        <w:t xml:space="preserve">Properties located near the accident may lose value because of the perceived risks posed by proximity to </w:t>
      </w:r>
      <w:r w:rsidRPr="006213CF" w:rsidR="00A145E3">
        <w:rPr>
          <w:rFonts w:ascii="Times New Roman" w:hAnsi="Times New Roman" w:cs="Times New Roman"/>
        </w:rPr>
        <w:t>a facility that has had an accident.</w:t>
      </w:r>
    </w:p>
    <w:p w:rsidR="009244BC" w:rsidP="006213CF" w14:paraId="18D628C2" w14:textId="77777777">
      <w:pPr>
        <w:spacing w:after="0" w:line="240" w:lineRule="auto"/>
        <w:ind w:firstLine="360"/>
        <w:rPr>
          <w:rFonts w:ascii="Times New Roman" w:hAnsi="Times New Roman" w:cs="Times New Roman"/>
        </w:rPr>
      </w:pPr>
    </w:p>
    <w:p w:rsidR="007A2A7D" w:rsidP="0003391E" w14:paraId="6AE6591D" w14:textId="77777777">
      <w:pPr>
        <w:spacing w:after="0" w:line="240" w:lineRule="auto"/>
        <w:ind w:firstLine="360"/>
        <w:rPr>
          <w:rFonts w:ascii="Times New Roman" w:hAnsi="Times New Roman" w:cs="Times New Roman"/>
        </w:rPr>
      </w:pPr>
      <w:r>
        <w:rPr>
          <w:rFonts w:ascii="Times New Roman" w:hAnsi="Times New Roman" w:cs="Times New Roman"/>
        </w:rPr>
        <w:tab/>
      </w:r>
      <w:r w:rsidR="00C55469">
        <w:rPr>
          <w:rFonts w:ascii="Times New Roman" w:hAnsi="Times New Roman" w:cs="Times New Roman"/>
        </w:rPr>
        <w:t>EPA expects t</w:t>
      </w:r>
      <w:r w:rsidRPr="006213CF" w:rsidR="00093C0A">
        <w:rPr>
          <w:rFonts w:ascii="Times New Roman" w:hAnsi="Times New Roman" w:cs="Times New Roman"/>
        </w:rPr>
        <w:t xml:space="preserve">he benefits of </w:t>
      </w:r>
      <w:r w:rsidR="00901100">
        <w:rPr>
          <w:rFonts w:ascii="Times New Roman" w:hAnsi="Times New Roman" w:cs="Times New Roman"/>
        </w:rPr>
        <w:t>the final</w:t>
      </w:r>
      <w:r w:rsidRPr="006213CF" w:rsidR="00093C0A">
        <w:rPr>
          <w:rFonts w:ascii="Times New Roman" w:hAnsi="Times New Roman" w:cs="Times New Roman"/>
        </w:rPr>
        <w:t xml:space="preserve"> rule to include reductions in the number</w:t>
      </w:r>
      <w:r w:rsidR="00A34E0B">
        <w:rPr>
          <w:rFonts w:ascii="Times New Roman" w:hAnsi="Times New Roman" w:cs="Times New Roman"/>
        </w:rPr>
        <w:t>s</w:t>
      </w:r>
      <w:r w:rsidRPr="006213CF" w:rsidR="00093C0A">
        <w:rPr>
          <w:rFonts w:ascii="Times New Roman" w:hAnsi="Times New Roman" w:cs="Times New Roman"/>
        </w:rPr>
        <w:t xml:space="preserve"> of people killed, injured, and evacuated or otherwise inconvenienced by</w:t>
      </w:r>
      <w:r w:rsidRPr="006213CF" w:rsidR="00835781">
        <w:rPr>
          <w:rFonts w:ascii="Times New Roman" w:hAnsi="Times New Roman" w:cs="Times New Roman"/>
        </w:rPr>
        <w:t xml:space="preserve"> sheltering</w:t>
      </w:r>
      <w:r w:rsidR="00C26994">
        <w:rPr>
          <w:rFonts w:ascii="Times New Roman" w:hAnsi="Times New Roman" w:cs="Times New Roman"/>
        </w:rPr>
        <w:t>-</w:t>
      </w:r>
      <w:r w:rsidRPr="006213CF" w:rsidR="00835781">
        <w:rPr>
          <w:rFonts w:ascii="Times New Roman" w:hAnsi="Times New Roman" w:cs="Times New Roman"/>
        </w:rPr>
        <w:t>in</w:t>
      </w:r>
      <w:r w:rsidR="00C26994">
        <w:rPr>
          <w:rFonts w:ascii="Times New Roman" w:hAnsi="Times New Roman" w:cs="Times New Roman"/>
        </w:rPr>
        <w:t>-</w:t>
      </w:r>
      <w:r w:rsidRPr="006213CF" w:rsidR="00835781">
        <w:rPr>
          <w:rFonts w:ascii="Times New Roman" w:hAnsi="Times New Roman" w:cs="Times New Roman"/>
        </w:rPr>
        <w:t>place</w:t>
      </w:r>
      <w:r w:rsidRPr="006213CF" w:rsidR="00093C0A">
        <w:rPr>
          <w:rFonts w:ascii="Times New Roman" w:hAnsi="Times New Roman" w:cs="Times New Roman"/>
        </w:rPr>
        <w:t xml:space="preserve">; reductions in the damage caused to property </w:t>
      </w:r>
      <w:r w:rsidRPr="006213CF" w:rsidR="00986800">
        <w:rPr>
          <w:rFonts w:ascii="Times New Roman" w:hAnsi="Times New Roman" w:cs="Times New Roman"/>
        </w:rPr>
        <w:t>onsite</w:t>
      </w:r>
      <w:r w:rsidRPr="006213CF" w:rsidR="00093C0A">
        <w:rPr>
          <w:rFonts w:ascii="Times New Roman" w:hAnsi="Times New Roman" w:cs="Times New Roman"/>
        </w:rPr>
        <w:t xml:space="preserve"> and </w:t>
      </w:r>
      <w:r w:rsidRPr="006213CF" w:rsidR="00986800">
        <w:rPr>
          <w:rFonts w:ascii="Times New Roman" w:hAnsi="Times New Roman" w:cs="Times New Roman"/>
        </w:rPr>
        <w:t>offsite</w:t>
      </w:r>
      <w:r w:rsidRPr="006213CF" w:rsidR="00093C0A">
        <w:rPr>
          <w:rFonts w:ascii="Times New Roman" w:hAnsi="Times New Roman" w:cs="Times New Roman"/>
        </w:rPr>
        <w:t xml:space="preserve"> including product, equipment, and buildings; reductions in damages to the environment and ecosystems; and reductions in </w:t>
      </w:r>
      <w:r w:rsidR="00534F90">
        <w:rPr>
          <w:rFonts w:ascii="Times New Roman" w:hAnsi="Times New Roman" w:cs="Times New Roman"/>
        </w:rPr>
        <w:t xml:space="preserve">emergency response and other </w:t>
      </w:r>
      <w:r w:rsidRPr="006213CF" w:rsidR="00093C0A">
        <w:rPr>
          <w:rFonts w:ascii="Times New Roman" w:hAnsi="Times New Roman" w:cs="Times New Roman"/>
        </w:rPr>
        <w:t xml:space="preserve">resources diverted to </w:t>
      </w:r>
      <w:r w:rsidR="00534F90">
        <w:rPr>
          <w:rFonts w:ascii="Times New Roman" w:hAnsi="Times New Roman" w:cs="Times New Roman"/>
        </w:rPr>
        <w:t xml:space="preserve">protect people, </w:t>
      </w:r>
      <w:r w:rsidRPr="006213CF" w:rsidR="00093C0A">
        <w:rPr>
          <w:rFonts w:ascii="Times New Roman" w:hAnsi="Times New Roman" w:cs="Times New Roman"/>
        </w:rPr>
        <w:t>extinguish fires</w:t>
      </w:r>
      <w:r w:rsidR="00534F90">
        <w:rPr>
          <w:rFonts w:ascii="Times New Roman" w:hAnsi="Times New Roman" w:cs="Times New Roman"/>
        </w:rPr>
        <w:t>,</w:t>
      </w:r>
      <w:r w:rsidRPr="006213CF" w:rsidR="00093C0A">
        <w:rPr>
          <w:rFonts w:ascii="Times New Roman" w:hAnsi="Times New Roman" w:cs="Times New Roman"/>
        </w:rPr>
        <w:t xml:space="preserve"> and clean up affected areas. The </w:t>
      </w:r>
      <w:r w:rsidR="00901100">
        <w:rPr>
          <w:rFonts w:ascii="Times New Roman" w:hAnsi="Times New Roman" w:cs="Times New Roman"/>
        </w:rPr>
        <w:t>final</w:t>
      </w:r>
      <w:r w:rsidRPr="006213CF" w:rsidR="00901100">
        <w:rPr>
          <w:rFonts w:ascii="Times New Roman" w:hAnsi="Times New Roman" w:cs="Times New Roman"/>
        </w:rPr>
        <w:t xml:space="preserve"> </w:t>
      </w:r>
      <w:r w:rsidRPr="006213CF" w:rsidR="00093C0A">
        <w:rPr>
          <w:rFonts w:ascii="Times New Roman" w:hAnsi="Times New Roman" w:cs="Times New Roman"/>
        </w:rPr>
        <w:t xml:space="preserve">rule </w:t>
      </w:r>
      <w:r w:rsidR="009449B7">
        <w:rPr>
          <w:rFonts w:ascii="Times New Roman" w:hAnsi="Times New Roman" w:cs="Times New Roman"/>
        </w:rPr>
        <w:t>will</w:t>
      </w:r>
      <w:r w:rsidRPr="006213CF" w:rsidR="00093C0A">
        <w:rPr>
          <w:rFonts w:ascii="Times New Roman" w:hAnsi="Times New Roman" w:cs="Times New Roman"/>
        </w:rPr>
        <w:t xml:space="preserve"> also provide other benefits, such as increased public information, </w:t>
      </w:r>
      <w:r w:rsidR="00534F90">
        <w:rPr>
          <w:rFonts w:ascii="Times New Roman" w:hAnsi="Times New Roman" w:cs="Times New Roman"/>
        </w:rPr>
        <w:t>leading to</w:t>
      </w:r>
      <w:r w:rsidRPr="006213CF" w:rsidR="00EB0581">
        <w:rPr>
          <w:rFonts w:ascii="Times New Roman" w:hAnsi="Times New Roman" w:cs="Times New Roman"/>
        </w:rPr>
        <w:t xml:space="preserve"> more efficient decisions </w:t>
      </w:r>
      <w:r w:rsidR="00534F90">
        <w:rPr>
          <w:rFonts w:ascii="Times New Roman" w:hAnsi="Times New Roman" w:cs="Times New Roman"/>
        </w:rPr>
        <w:t>in nearby property markets and regarding</w:t>
      </w:r>
      <w:r w:rsidRPr="006213CF" w:rsidR="00EB0581">
        <w:rPr>
          <w:rFonts w:ascii="Times New Roman" w:hAnsi="Times New Roman" w:cs="Times New Roman"/>
        </w:rPr>
        <w:t xml:space="preserve"> emergency response preparedness</w:t>
      </w:r>
      <w:r w:rsidRPr="006213CF" w:rsidR="00093C0A">
        <w:rPr>
          <w:rFonts w:ascii="Times New Roman" w:hAnsi="Times New Roman" w:cs="Times New Roman"/>
        </w:rPr>
        <w:t>.</w:t>
      </w:r>
      <w:r w:rsidRPr="006213CF" w:rsidR="004B10B8">
        <w:rPr>
          <w:rFonts w:ascii="Times New Roman" w:hAnsi="Times New Roman" w:cs="Times New Roman"/>
        </w:rPr>
        <w:t xml:space="preserve"> The </w:t>
      </w:r>
      <w:r w:rsidR="00901100">
        <w:rPr>
          <w:rFonts w:ascii="Times New Roman" w:hAnsi="Times New Roman" w:cs="Times New Roman"/>
        </w:rPr>
        <w:t>final rule</w:t>
      </w:r>
      <w:r w:rsidRPr="006213CF" w:rsidR="00901100">
        <w:rPr>
          <w:rFonts w:ascii="Times New Roman" w:hAnsi="Times New Roman" w:cs="Times New Roman"/>
        </w:rPr>
        <w:t xml:space="preserve"> </w:t>
      </w:r>
      <w:r w:rsidRPr="006213CF" w:rsidR="004B10B8">
        <w:rPr>
          <w:rFonts w:ascii="Times New Roman" w:hAnsi="Times New Roman" w:cs="Times New Roman"/>
        </w:rPr>
        <w:t xml:space="preserve">provisions reduce the probability of a catastrophic release. By reducing the chance of an accidental release, the </w:t>
      </w:r>
      <w:r w:rsidR="00FE67D6">
        <w:rPr>
          <w:rFonts w:ascii="Times New Roman" w:hAnsi="Times New Roman" w:cs="Times New Roman"/>
        </w:rPr>
        <w:t>final</w:t>
      </w:r>
      <w:r w:rsidRPr="006213CF" w:rsidR="004B10B8">
        <w:rPr>
          <w:rFonts w:ascii="Times New Roman" w:hAnsi="Times New Roman" w:cs="Times New Roman"/>
        </w:rPr>
        <w:t xml:space="preserve"> rule also avoids </w:t>
      </w:r>
      <w:r w:rsidR="00C26994">
        <w:rPr>
          <w:rFonts w:ascii="Times New Roman" w:hAnsi="Times New Roman" w:cs="Times New Roman"/>
        </w:rPr>
        <w:t>expenditures</w:t>
      </w:r>
      <w:r w:rsidRPr="006213CF" w:rsidR="004B10B8">
        <w:rPr>
          <w:rFonts w:ascii="Times New Roman" w:hAnsi="Times New Roman" w:cs="Times New Roman"/>
        </w:rPr>
        <w:t xml:space="preserve"> on lawsuits and other transactions to address resulting accidental harms.</w:t>
      </w:r>
    </w:p>
    <w:p w:rsidR="009244BC" w:rsidP="0003391E" w14:paraId="21F5A80C" w14:textId="77777777">
      <w:pPr>
        <w:spacing w:after="0" w:line="240" w:lineRule="auto"/>
        <w:ind w:firstLine="360"/>
        <w:rPr>
          <w:rFonts w:ascii="Times New Roman" w:hAnsi="Times New Roman" w:cs="Times New Roman"/>
        </w:rPr>
      </w:pPr>
    </w:p>
    <w:p w:rsidR="00093C0A" w:rsidRPr="006213CF" w:rsidP="0003391E" w14:paraId="683C873C" w14:textId="77777777">
      <w:pPr>
        <w:spacing w:after="0" w:line="240" w:lineRule="auto"/>
        <w:ind w:firstLine="360"/>
        <w:rPr>
          <w:rFonts w:ascii="Times New Roman" w:hAnsi="Times New Roman" w:cs="Times New Roman"/>
        </w:rPr>
      </w:pPr>
      <w:r>
        <w:rPr>
          <w:rFonts w:ascii="Times New Roman" w:hAnsi="Times New Roman" w:cs="Times New Roman"/>
        </w:rPr>
        <w:tab/>
      </w:r>
      <w:r w:rsidR="006749B6">
        <w:rPr>
          <w:rFonts w:ascii="Times New Roman" w:hAnsi="Times New Roman" w:cs="Times New Roman"/>
        </w:rPr>
        <w:t>Some</w:t>
      </w:r>
      <w:r w:rsidRPr="006213CF">
        <w:rPr>
          <w:rFonts w:ascii="Times New Roman" w:hAnsi="Times New Roman" w:cs="Times New Roman"/>
        </w:rPr>
        <w:t xml:space="preserve"> of the </w:t>
      </w:r>
      <w:r w:rsidR="000B1DAA">
        <w:rPr>
          <w:rFonts w:ascii="Times New Roman" w:hAnsi="Times New Roman" w:cs="Times New Roman"/>
        </w:rPr>
        <w:t>final rule</w:t>
      </w:r>
      <w:r w:rsidRPr="006213CF">
        <w:rPr>
          <w:rFonts w:ascii="Times New Roman" w:hAnsi="Times New Roman" w:cs="Times New Roman"/>
        </w:rPr>
        <w:t xml:space="preserve"> provisions target </w:t>
      </w:r>
      <w:r w:rsidRPr="006213CF" w:rsidR="004B10B8">
        <w:rPr>
          <w:rFonts w:ascii="Times New Roman" w:hAnsi="Times New Roman" w:cs="Times New Roman"/>
        </w:rPr>
        <w:t>RMP</w:t>
      </w:r>
      <w:r w:rsidRPr="006213CF">
        <w:rPr>
          <w:rFonts w:ascii="Times New Roman" w:hAnsi="Times New Roman" w:cs="Times New Roman"/>
        </w:rPr>
        <w:t xml:space="preserve"> facilities in close proximity </w:t>
      </w:r>
      <w:r w:rsidRPr="006213CF" w:rsidR="004B10B8">
        <w:rPr>
          <w:rFonts w:ascii="Times New Roman" w:hAnsi="Times New Roman" w:cs="Times New Roman"/>
        </w:rPr>
        <w:t>to certain other RMP facilities</w:t>
      </w:r>
      <w:r w:rsidRPr="006213CF">
        <w:rPr>
          <w:rFonts w:ascii="Times New Roman" w:hAnsi="Times New Roman" w:cs="Times New Roman"/>
        </w:rPr>
        <w:t xml:space="preserve"> and/or </w:t>
      </w:r>
      <w:r w:rsidRPr="006213CF" w:rsidR="004B10B8">
        <w:rPr>
          <w:rFonts w:ascii="Times New Roman" w:hAnsi="Times New Roman" w:cs="Times New Roman"/>
        </w:rPr>
        <w:t xml:space="preserve">RMP </w:t>
      </w:r>
      <w:r w:rsidRPr="006213CF">
        <w:rPr>
          <w:rFonts w:ascii="Times New Roman" w:hAnsi="Times New Roman" w:cs="Times New Roman"/>
        </w:rPr>
        <w:t xml:space="preserve">facilities that have had recent accidents. Both types of facilities </w:t>
      </w:r>
      <w:r w:rsidRPr="006213CF" w:rsidR="001B33FA">
        <w:rPr>
          <w:rFonts w:ascii="Times New Roman" w:hAnsi="Times New Roman" w:cs="Times New Roman"/>
        </w:rPr>
        <w:t>increase the</w:t>
      </w:r>
      <w:r w:rsidRPr="006213CF">
        <w:rPr>
          <w:rFonts w:ascii="Times New Roman" w:hAnsi="Times New Roman" w:cs="Times New Roman"/>
        </w:rPr>
        <w:t xml:space="preserve"> likelihood of exposures </w:t>
      </w:r>
      <w:r w:rsidRPr="006213CF" w:rsidR="001B33FA">
        <w:rPr>
          <w:rFonts w:ascii="Times New Roman" w:hAnsi="Times New Roman" w:cs="Times New Roman"/>
        </w:rPr>
        <w:t xml:space="preserve">to nearby communities </w:t>
      </w:r>
      <w:r w:rsidRPr="006213CF">
        <w:rPr>
          <w:rFonts w:ascii="Times New Roman" w:hAnsi="Times New Roman" w:cs="Times New Roman"/>
        </w:rPr>
        <w:t xml:space="preserve">to a future accident’s </w:t>
      </w:r>
      <w:r w:rsidRPr="006213CF" w:rsidR="00986800">
        <w:rPr>
          <w:rFonts w:ascii="Times New Roman" w:hAnsi="Times New Roman" w:cs="Times New Roman"/>
        </w:rPr>
        <w:t>offsite</w:t>
      </w:r>
      <w:r w:rsidRPr="006213CF">
        <w:rPr>
          <w:rFonts w:ascii="Times New Roman" w:hAnsi="Times New Roman" w:cs="Times New Roman"/>
        </w:rPr>
        <w:t xml:space="preserve"> impacts. Because communities with environmental justice </w:t>
      </w:r>
      <w:r w:rsidRPr="006213CF">
        <w:rPr>
          <w:rFonts w:ascii="Times New Roman" w:hAnsi="Times New Roman" w:cs="Times New Roman"/>
        </w:rPr>
        <w:t xml:space="preserve">concerns are over-represented in these nearby communities, the </w:t>
      </w:r>
      <w:r w:rsidR="00901100">
        <w:rPr>
          <w:rFonts w:ascii="Times New Roman" w:hAnsi="Times New Roman" w:cs="Times New Roman"/>
        </w:rPr>
        <w:t>final rule</w:t>
      </w:r>
      <w:r w:rsidRPr="006213CF" w:rsidR="00901100">
        <w:rPr>
          <w:rFonts w:ascii="Times New Roman" w:hAnsi="Times New Roman" w:cs="Times New Roman"/>
        </w:rPr>
        <w:t xml:space="preserve"> </w:t>
      </w:r>
      <w:r w:rsidRPr="006213CF">
        <w:rPr>
          <w:rFonts w:ascii="Times New Roman" w:hAnsi="Times New Roman" w:cs="Times New Roman"/>
        </w:rPr>
        <w:t xml:space="preserve">provisions </w:t>
      </w:r>
      <w:r w:rsidR="009449B7">
        <w:rPr>
          <w:rFonts w:ascii="Times New Roman" w:hAnsi="Times New Roman" w:cs="Times New Roman"/>
        </w:rPr>
        <w:t>will</w:t>
      </w:r>
      <w:r w:rsidRPr="006213CF">
        <w:rPr>
          <w:rFonts w:ascii="Times New Roman" w:hAnsi="Times New Roman" w:cs="Times New Roman"/>
        </w:rPr>
        <w:t xml:space="preserve"> provide proportionately greater relief to historically marginalized fenceline communities than </w:t>
      </w:r>
      <w:r w:rsidRPr="006213CF" w:rsidR="004B10B8">
        <w:rPr>
          <w:rFonts w:ascii="Times New Roman" w:hAnsi="Times New Roman" w:cs="Times New Roman"/>
        </w:rPr>
        <w:t xml:space="preserve">to </w:t>
      </w:r>
      <w:r w:rsidRPr="006213CF">
        <w:rPr>
          <w:rFonts w:ascii="Times New Roman" w:hAnsi="Times New Roman" w:cs="Times New Roman"/>
        </w:rPr>
        <w:t>the general population.</w:t>
      </w:r>
    </w:p>
    <w:p w:rsidR="000905FF" w:rsidRPr="006213CF" w:rsidP="006213CF" w14:paraId="751CEF72" w14:textId="77777777">
      <w:pPr>
        <w:spacing w:after="0" w:line="240" w:lineRule="auto"/>
        <w:ind w:firstLine="720"/>
        <w:rPr>
          <w:rFonts w:ascii="Times New Roman" w:hAnsi="Times New Roman" w:cs="Times New Roman"/>
        </w:rPr>
      </w:pPr>
    </w:p>
    <w:p w:rsidR="00093C0A" w:rsidRPr="006213CF" w:rsidP="00C07306" w14:paraId="721AE2C5" w14:textId="77777777">
      <w:pPr>
        <w:pStyle w:val="Heading2"/>
      </w:pPr>
      <w:bookmarkStart w:id="35" w:name="_Toc98856203"/>
      <w:bookmarkStart w:id="36" w:name="_Toc144303509"/>
      <w:r w:rsidRPr="006213CF">
        <w:t>1.2 Organization of the Analysis</w:t>
      </w:r>
      <w:bookmarkEnd w:id="35"/>
      <w:bookmarkEnd w:id="36"/>
      <w:r w:rsidRPr="006213CF">
        <w:t xml:space="preserve"> </w:t>
      </w:r>
    </w:p>
    <w:p w:rsidR="00093C0A" w:rsidP="00C72A6F" w14:paraId="0C7A913C" w14:textId="77777777">
      <w:pPr>
        <w:spacing w:after="0" w:line="240" w:lineRule="auto"/>
        <w:ind w:firstLine="360"/>
        <w:rPr>
          <w:rFonts w:ascii="Times New Roman" w:hAnsi="Times New Roman" w:cs="Times New Roman"/>
        </w:rPr>
      </w:pPr>
      <w:r>
        <w:rPr>
          <w:rFonts w:ascii="Times New Roman" w:hAnsi="Times New Roman" w:cs="Times New Roman"/>
        </w:rPr>
        <w:tab/>
      </w:r>
      <w:r w:rsidRPr="006213CF">
        <w:rPr>
          <w:rFonts w:ascii="Times New Roman" w:hAnsi="Times New Roman" w:cs="Times New Roman"/>
        </w:rPr>
        <w:t xml:space="preserve">This RIA is organized as follows: </w:t>
      </w:r>
    </w:p>
    <w:p w:rsidR="0003391E" w:rsidRPr="006213CF" w:rsidP="006213CF" w14:paraId="55227367" w14:textId="77777777">
      <w:pPr>
        <w:spacing w:after="0" w:line="240" w:lineRule="auto"/>
        <w:rPr>
          <w:rFonts w:ascii="Times New Roman" w:hAnsi="Times New Roman" w:cs="Times New Roman"/>
        </w:rPr>
      </w:pPr>
    </w:p>
    <w:p w:rsidR="00093C0A" w:rsidRPr="006213CF" w:rsidP="006213CF" w14:paraId="25B210A2" w14:textId="77777777">
      <w:pPr>
        <w:numPr>
          <w:ilvl w:val="0"/>
          <w:numId w:val="3"/>
        </w:numPr>
        <w:spacing w:after="0" w:line="240" w:lineRule="auto"/>
        <w:rPr>
          <w:rFonts w:ascii="Times New Roman" w:hAnsi="Times New Roman" w:cs="Times New Roman"/>
        </w:rPr>
      </w:pPr>
      <w:r w:rsidRPr="006213CF">
        <w:rPr>
          <w:rFonts w:ascii="Times New Roman" w:hAnsi="Times New Roman" w:cs="Times New Roman"/>
        </w:rPr>
        <w:t xml:space="preserve">Chapter 2 describes </w:t>
      </w:r>
      <w:r w:rsidRPr="006213CF" w:rsidR="00957FFD">
        <w:rPr>
          <w:rFonts w:ascii="Times New Roman" w:hAnsi="Times New Roman" w:cs="Times New Roman"/>
        </w:rPr>
        <w:t>RMP</w:t>
      </w:r>
      <w:r w:rsidRPr="006213CF">
        <w:rPr>
          <w:rFonts w:ascii="Times New Roman" w:hAnsi="Times New Roman" w:cs="Times New Roman"/>
        </w:rPr>
        <w:t xml:space="preserve"> provisions that EPA is adding or </w:t>
      </w:r>
      <w:r w:rsidRPr="006213CF" w:rsidR="006076C9">
        <w:rPr>
          <w:rFonts w:ascii="Times New Roman" w:hAnsi="Times New Roman" w:cs="Times New Roman"/>
        </w:rPr>
        <w:t>revising</w:t>
      </w:r>
      <w:r w:rsidRPr="006213CF">
        <w:rPr>
          <w:rFonts w:ascii="Times New Roman" w:hAnsi="Times New Roman" w:cs="Times New Roman"/>
        </w:rPr>
        <w:t>.</w:t>
      </w:r>
    </w:p>
    <w:p w:rsidR="00093C0A" w:rsidRPr="006213CF" w:rsidP="006213CF" w14:paraId="3B34E501" w14:textId="77777777">
      <w:pPr>
        <w:numPr>
          <w:ilvl w:val="0"/>
          <w:numId w:val="3"/>
        </w:numPr>
        <w:spacing w:after="0" w:line="240" w:lineRule="auto"/>
        <w:rPr>
          <w:rFonts w:ascii="Times New Roman" w:hAnsi="Times New Roman" w:cs="Times New Roman"/>
        </w:rPr>
      </w:pPr>
      <w:r w:rsidRPr="006213CF">
        <w:rPr>
          <w:rFonts w:ascii="Times New Roman" w:hAnsi="Times New Roman" w:cs="Times New Roman"/>
        </w:rPr>
        <w:t xml:space="preserve">Chapter 3 discusses the universe of regulated entities and the various divisions used in the analysis. </w:t>
      </w:r>
    </w:p>
    <w:p w:rsidR="00093C0A" w:rsidRPr="006213CF" w:rsidP="006213CF" w14:paraId="77421C25" w14:textId="77777777">
      <w:pPr>
        <w:numPr>
          <w:ilvl w:val="0"/>
          <w:numId w:val="3"/>
        </w:numPr>
        <w:spacing w:after="0" w:line="240" w:lineRule="auto"/>
        <w:rPr>
          <w:rFonts w:ascii="Times New Roman" w:hAnsi="Times New Roman" w:cs="Times New Roman"/>
        </w:rPr>
      </w:pPr>
      <w:r w:rsidRPr="006213CF">
        <w:rPr>
          <w:rFonts w:ascii="Times New Roman" w:hAnsi="Times New Roman" w:cs="Times New Roman"/>
        </w:rPr>
        <w:t xml:space="preserve">Chapter 4 discusses the basis for cost estimates for each of the provisions and alternatives and presents the unit costs. </w:t>
      </w:r>
    </w:p>
    <w:p w:rsidR="00093C0A" w:rsidRPr="006213CF" w:rsidP="006213CF" w14:paraId="3E3EADE7" w14:textId="77777777">
      <w:pPr>
        <w:numPr>
          <w:ilvl w:val="0"/>
          <w:numId w:val="3"/>
        </w:numPr>
        <w:spacing w:after="0" w:line="240" w:lineRule="auto"/>
        <w:rPr>
          <w:rFonts w:ascii="Times New Roman" w:hAnsi="Times New Roman" w:cs="Times New Roman"/>
        </w:rPr>
      </w:pPr>
      <w:r w:rsidRPr="006213CF">
        <w:rPr>
          <w:rFonts w:ascii="Times New Roman" w:hAnsi="Times New Roman" w:cs="Times New Roman"/>
        </w:rPr>
        <w:t xml:space="preserve">Chapter 5 presents the total </w:t>
      </w:r>
      <w:r w:rsidRPr="006213CF" w:rsidR="001B33FA">
        <w:rPr>
          <w:rFonts w:ascii="Times New Roman" w:hAnsi="Times New Roman" w:cs="Times New Roman"/>
        </w:rPr>
        <w:t xml:space="preserve">estimated </w:t>
      </w:r>
      <w:r w:rsidRPr="006213CF">
        <w:rPr>
          <w:rFonts w:ascii="Times New Roman" w:hAnsi="Times New Roman" w:cs="Times New Roman"/>
        </w:rPr>
        <w:t xml:space="preserve">costs </w:t>
      </w:r>
      <w:r w:rsidRPr="006213CF" w:rsidR="004B10B8">
        <w:rPr>
          <w:rFonts w:ascii="Times New Roman" w:hAnsi="Times New Roman" w:cs="Times New Roman"/>
        </w:rPr>
        <w:t xml:space="preserve">for each provision and for all provisions combined. </w:t>
      </w:r>
      <w:r w:rsidRPr="006213CF">
        <w:rPr>
          <w:rFonts w:ascii="Times New Roman" w:hAnsi="Times New Roman" w:cs="Times New Roman"/>
        </w:rPr>
        <w:t xml:space="preserve"> </w:t>
      </w:r>
    </w:p>
    <w:p w:rsidR="00093C0A" w:rsidRPr="006213CF" w:rsidP="006213CF" w14:paraId="05A25781" w14:textId="77777777">
      <w:pPr>
        <w:numPr>
          <w:ilvl w:val="0"/>
          <w:numId w:val="3"/>
        </w:numPr>
        <w:spacing w:after="0" w:line="240" w:lineRule="auto"/>
        <w:rPr>
          <w:rFonts w:ascii="Times New Roman" w:hAnsi="Times New Roman" w:cs="Times New Roman"/>
        </w:rPr>
      </w:pPr>
      <w:r w:rsidRPr="006213CF">
        <w:rPr>
          <w:rFonts w:ascii="Times New Roman" w:hAnsi="Times New Roman" w:cs="Times New Roman"/>
        </w:rPr>
        <w:t xml:space="preserve">Chapter 6 discusses the </w:t>
      </w:r>
      <w:r w:rsidRPr="006213CF" w:rsidR="004B10B8">
        <w:rPr>
          <w:rFonts w:ascii="Times New Roman" w:hAnsi="Times New Roman" w:cs="Times New Roman"/>
        </w:rPr>
        <w:t>social</w:t>
      </w:r>
      <w:r w:rsidRPr="006213CF" w:rsidR="001B33FA">
        <w:rPr>
          <w:rFonts w:ascii="Times New Roman" w:hAnsi="Times New Roman" w:cs="Times New Roman"/>
        </w:rPr>
        <w:t xml:space="preserve"> </w:t>
      </w:r>
      <w:r w:rsidRPr="006213CF">
        <w:rPr>
          <w:rFonts w:ascii="Times New Roman" w:hAnsi="Times New Roman" w:cs="Times New Roman"/>
        </w:rPr>
        <w:t xml:space="preserve">benefits of the rule. </w:t>
      </w:r>
    </w:p>
    <w:p w:rsidR="00093C0A" w:rsidRPr="006213CF" w:rsidP="006213CF" w14:paraId="4003A882" w14:textId="77777777">
      <w:pPr>
        <w:numPr>
          <w:ilvl w:val="0"/>
          <w:numId w:val="3"/>
        </w:numPr>
        <w:spacing w:after="0" w:line="240" w:lineRule="auto"/>
        <w:rPr>
          <w:rFonts w:ascii="Times New Roman" w:hAnsi="Times New Roman" w:cs="Times New Roman"/>
        </w:rPr>
      </w:pPr>
      <w:r w:rsidRPr="006213CF">
        <w:rPr>
          <w:rFonts w:ascii="Times New Roman" w:hAnsi="Times New Roman" w:cs="Times New Roman"/>
        </w:rPr>
        <w:t>Chapter 7 discusses the regulatory alternatives analyzed.</w:t>
      </w:r>
    </w:p>
    <w:p w:rsidR="00093C0A" w:rsidRPr="006213CF" w:rsidP="006213CF" w14:paraId="6764695A" w14:textId="77777777">
      <w:pPr>
        <w:numPr>
          <w:ilvl w:val="0"/>
          <w:numId w:val="3"/>
        </w:numPr>
        <w:spacing w:after="0" w:line="240" w:lineRule="auto"/>
        <w:rPr>
          <w:rFonts w:ascii="Times New Roman" w:hAnsi="Times New Roman" w:cs="Times New Roman"/>
        </w:rPr>
      </w:pPr>
      <w:r w:rsidRPr="006213CF">
        <w:rPr>
          <w:rFonts w:ascii="Times New Roman" w:hAnsi="Times New Roman" w:cs="Times New Roman"/>
        </w:rPr>
        <w:t>Chapter 8 presents the small entity impacts</w:t>
      </w:r>
      <w:r w:rsidR="00D243A1">
        <w:rPr>
          <w:rFonts w:ascii="Times New Roman" w:hAnsi="Times New Roman" w:cs="Times New Roman"/>
        </w:rPr>
        <w:t xml:space="preserve"> analysis.</w:t>
      </w:r>
    </w:p>
    <w:p w:rsidR="00093C0A" w:rsidRPr="006213CF" w:rsidP="006213CF" w14:paraId="122A91A4" w14:textId="77777777">
      <w:pPr>
        <w:numPr>
          <w:ilvl w:val="0"/>
          <w:numId w:val="3"/>
        </w:numPr>
        <w:spacing w:after="0" w:line="240" w:lineRule="auto"/>
        <w:rPr>
          <w:rFonts w:ascii="Times New Roman" w:hAnsi="Times New Roman" w:cs="Times New Roman"/>
        </w:rPr>
      </w:pPr>
      <w:r w:rsidRPr="006213CF">
        <w:rPr>
          <w:rFonts w:ascii="Times New Roman" w:hAnsi="Times New Roman" w:cs="Times New Roman"/>
        </w:rPr>
        <w:t xml:space="preserve">Chapter 9 presents the environmental justice analysis. </w:t>
      </w:r>
    </w:p>
    <w:p w:rsidR="00093C0A" w:rsidRPr="006213CF" w:rsidP="006213CF" w14:paraId="0622024B" w14:textId="77777777">
      <w:pPr>
        <w:numPr>
          <w:ilvl w:val="0"/>
          <w:numId w:val="3"/>
        </w:numPr>
        <w:spacing w:after="0" w:line="240" w:lineRule="auto"/>
        <w:rPr>
          <w:rFonts w:ascii="Times New Roman" w:hAnsi="Times New Roman" w:cs="Times New Roman"/>
        </w:rPr>
      </w:pPr>
      <w:r w:rsidRPr="006213CF">
        <w:rPr>
          <w:rFonts w:ascii="Times New Roman" w:hAnsi="Times New Roman" w:cs="Times New Roman"/>
        </w:rPr>
        <w:t xml:space="preserve">Chapter 10 discusses limitations of the </w:t>
      </w:r>
      <w:r w:rsidR="00D243A1">
        <w:rPr>
          <w:rFonts w:ascii="Times New Roman" w:hAnsi="Times New Roman" w:cs="Times New Roman"/>
        </w:rPr>
        <w:t>analysis</w:t>
      </w:r>
      <w:r w:rsidRPr="006213CF">
        <w:rPr>
          <w:rFonts w:ascii="Times New Roman" w:hAnsi="Times New Roman" w:cs="Times New Roman"/>
        </w:rPr>
        <w:t xml:space="preserve"> and conclusions. </w:t>
      </w:r>
    </w:p>
    <w:p w:rsidR="00093C0A" w:rsidP="006213CF" w14:paraId="61BEB62F" w14:textId="77777777">
      <w:pPr>
        <w:numPr>
          <w:ilvl w:val="0"/>
          <w:numId w:val="3"/>
        </w:numPr>
        <w:spacing w:after="0" w:line="240" w:lineRule="auto"/>
      </w:pPr>
      <w:r w:rsidRPr="006213CF">
        <w:rPr>
          <w:rFonts w:ascii="Times New Roman" w:hAnsi="Times New Roman" w:cs="Times New Roman"/>
        </w:rPr>
        <w:t xml:space="preserve">Chapter 11 discusses other analyses required under applicable </w:t>
      </w:r>
      <w:r w:rsidR="00D243A1">
        <w:rPr>
          <w:rFonts w:ascii="Times New Roman" w:hAnsi="Times New Roman" w:cs="Times New Roman"/>
        </w:rPr>
        <w:t>st</w:t>
      </w:r>
      <w:r w:rsidRPr="006213CF">
        <w:rPr>
          <w:rFonts w:ascii="Times New Roman" w:hAnsi="Times New Roman" w:cs="Times New Roman"/>
        </w:rPr>
        <w:t xml:space="preserve">atutes and </w:t>
      </w:r>
      <w:r w:rsidR="00843659">
        <w:rPr>
          <w:rFonts w:ascii="Times New Roman" w:hAnsi="Times New Roman" w:cs="Times New Roman"/>
        </w:rPr>
        <w:t>E.Os.</w:t>
      </w:r>
      <w:r>
        <w:br w:type="page"/>
      </w:r>
    </w:p>
    <w:p w:rsidR="006647B0" w:rsidP="000409BE" w14:paraId="6C601917" w14:textId="77777777">
      <w:pPr>
        <w:pStyle w:val="Heading1"/>
      </w:pPr>
      <w:bookmarkStart w:id="37" w:name="_Toc144303510"/>
      <w:bookmarkStart w:id="38" w:name="_Toc98856204"/>
      <w:r w:rsidRPr="00E95F8A">
        <w:t>CHAPTER 2</w:t>
      </w:r>
      <w:r w:rsidR="00BF42A8">
        <w:t xml:space="preserve">: </w:t>
      </w:r>
      <w:r w:rsidR="0092595A">
        <w:t>Final</w:t>
      </w:r>
      <w:r w:rsidR="00BF42A8">
        <w:t xml:space="preserve"> Rule Provisions</w:t>
      </w:r>
      <w:bookmarkEnd w:id="37"/>
    </w:p>
    <w:bookmarkEnd w:id="38"/>
    <w:p w:rsidR="00093C0A" w:rsidP="0003391E" w14:paraId="3DAF7666"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This chapter presents a summary of the provisions in the </w:t>
      </w:r>
      <w:r w:rsidR="0092595A">
        <w:rPr>
          <w:rFonts w:ascii="Times New Roman" w:hAnsi="Times New Roman" w:cs="Times New Roman"/>
        </w:rPr>
        <w:t>final</w:t>
      </w:r>
      <w:r w:rsidRPr="0003391E">
        <w:rPr>
          <w:rFonts w:ascii="Times New Roman" w:hAnsi="Times New Roman" w:cs="Times New Roman"/>
        </w:rPr>
        <w:t xml:space="preserve"> rule</w:t>
      </w:r>
      <w:r w:rsidRPr="0003391E" w:rsidR="00292881">
        <w:rPr>
          <w:rFonts w:ascii="Times New Roman" w:hAnsi="Times New Roman" w:cs="Times New Roman"/>
        </w:rPr>
        <w:t xml:space="preserve"> that EPA has determined impose new costs</w:t>
      </w:r>
      <w:r w:rsidRPr="0003391E">
        <w:rPr>
          <w:rFonts w:ascii="Times New Roman" w:hAnsi="Times New Roman" w:cs="Times New Roman"/>
        </w:rPr>
        <w:t xml:space="preserve">. </w:t>
      </w:r>
      <w:r w:rsidR="00C0547A">
        <w:rPr>
          <w:rFonts w:ascii="Times New Roman" w:hAnsi="Times New Roman" w:cs="Times New Roman"/>
        </w:rPr>
        <w:t xml:space="preserve">Total benefits of the final rule are addressed in Chapter 6. </w:t>
      </w:r>
      <w:r w:rsidRPr="0003391E">
        <w:rPr>
          <w:rFonts w:ascii="Times New Roman" w:hAnsi="Times New Roman" w:cs="Times New Roman"/>
        </w:rPr>
        <w:t xml:space="preserve">The </w:t>
      </w:r>
      <w:r w:rsidR="0092595A">
        <w:rPr>
          <w:rFonts w:ascii="Times New Roman" w:hAnsi="Times New Roman" w:cs="Times New Roman"/>
        </w:rPr>
        <w:t>final</w:t>
      </w:r>
      <w:r w:rsidRPr="0003391E">
        <w:rPr>
          <w:rFonts w:ascii="Times New Roman" w:hAnsi="Times New Roman" w:cs="Times New Roman"/>
        </w:rPr>
        <w:t xml:space="preserve"> provisions include additions</w:t>
      </w:r>
      <w:r w:rsidR="00EA40FD">
        <w:rPr>
          <w:rFonts w:ascii="Times New Roman" w:hAnsi="Times New Roman" w:cs="Times New Roman"/>
        </w:rPr>
        <w:t xml:space="preserve"> and </w:t>
      </w:r>
      <w:r w:rsidRPr="0003391E">
        <w:rPr>
          <w:rFonts w:ascii="Times New Roman" w:hAnsi="Times New Roman" w:cs="Times New Roman"/>
        </w:rPr>
        <w:t xml:space="preserve">revisions to </w:t>
      </w:r>
      <w:r w:rsidR="00EA40FD">
        <w:rPr>
          <w:rFonts w:ascii="Times New Roman" w:hAnsi="Times New Roman" w:cs="Times New Roman"/>
        </w:rPr>
        <w:t xml:space="preserve">existing RMP </w:t>
      </w:r>
      <w:r w:rsidRPr="0003391E">
        <w:rPr>
          <w:rFonts w:ascii="Times New Roman" w:hAnsi="Times New Roman" w:cs="Times New Roman"/>
        </w:rPr>
        <w:t>requirements</w:t>
      </w:r>
      <w:r w:rsidR="00EA40FD">
        <w:rPr>
          <w:rFonts w:ascii="Times New Roman" w:hAnsi="Times New Roman" w:cs="Times New Roman"/>
        </w:rPr>
        <w:t>.</w:t>
      </w:r>
    </w:p>
    <w:p w:rsidR="00EA40FD" w:rsidP="0003391E" w14:paraId="0F5E0864" w14:textId="77777777">
      <w:pPr>
        <w:spacing w:after="0" w:line="240" w:lineRule="auto"/>
        <w:ind w:firstLine="360"/>
        <w:rPr>
          <w:rFonts w:ascii="Times New Roman" w:hAnsi="Times New Roman" w:cs="Times New Roman"/>
        </w:rPr>
      </w:pPr>
    </w:p>
    <w:p w:rsidR="00093C0A" w:rsidRPr="0003391E" w:rsidP="00C07306" w14:paraId="257495EF" w14:textId="77777777">
      <w:pPr>
        <w:pStyle w:val="Heading2"/>
      </w:pPr>
      <w:bookmarkStart w:id="39" w:name="_Toc98856205"/>
      <w:bookmarkStart w:id="40" w:name="_Toc144303511"/>
      <w:r w:rsidRPr="0003391E">
        <w:t xml:space="preserve">2.1 Summary of Provisions </w:t>
      </w:r>
      <w:r w:rsidRPr="0003391E" w:rsidR="00146132">
        <w:t xml:space="preserve">and Applicability to Private Sector </w:t>
      </w:r>
      <w:r w:rsidRPr="0003391E">
        <w:t>Facilities</w:t>
      </w:r>
      <w:bookmarkEnd w:id="39"/>
      <w:bookmarkEnd w:id="40"/>
      <w:r w:rsidRPr="0003391E">
        <w:t xml:space="preserve"> </w:t>
      </w:r>
    </w:p>
    <w:p w:rsidR="00093C0A" w:rsidP="0003391E" w14:paraId="04A8AEBF"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The RIA analyzed the following </w:t>
      </w:r>
      <w:r w:rsidRPr="0003391E" w:rsidR="00402856">
        <w:rPr>
          <w:rFonts w:ascii="Times New Roman" w:hAnsi="Times New Roman" w:cs="Times New Roman"/>
        </w:rPr>
        <w:t xml:space="preserve">new </w:t>
      </w:r>
      <w:r w:rsidRPr="0003391E">
        <w:rPr>
          <w:rFonts w:ascii="Times New Roman" w:hAnsi="Times New Roman" w:cs="Times New Roman"/>
        </w:rPr>
        <w:t xml:space="preserve">requirements and revisions to </w:t>
      </w:r>
      <w:r w:rsidR="005C1B6F">
        <w:rPr>
          <w:rFonts w:ascii="Times New Roman" w:hAnsi="Times New Roman" w:cs="Times New Roman"/>
        </w:rPr>
        <w:t>current</w:t>
      </w:r>
      <w:r w:rsidRPr="0003391E">
        <w:rPr>
          <w:rFonts w:ascii="Times New Roman" w:hAnsi="Times New Roman" w:cs="Times New Roman"/>
        </w:rPr>
        <w:t xml:space="preserve"> requirements:</w:t>
      </w:r>
    </w:p>
    <w:p w:rsidR="00D243A1" w:rsidRPr="0003391E" w:rsidP="0003391E" w14:paraId="56447C59" w14:textId="77777777">
      <w:pPr>
        <w:spacing w:after="0" w:line="240" w:lineRule="auto"/>
        <w:ind w:firstLine="360"/>
        <w:rPr>
          <w:rFonts w:ascii="Times New Roman" w:hAnsi="Times New Roman" w:cs="Times New Roman"/>
        </w:rPr>
      </w:pPr>
    </w:p>
    <w:p w:rsidR="00D243A1" w:rsidRPr="00F73030" w:rsidP="00F73030" w14:paraId="1C634D8F" w14:textId="77777777">
      <w:pPr>
        <w:pStyle w:val="Heading3"/>
        <w:rPr>
          <w:rFonts w:ascii="Times New Roman" w:hAnsi="Times New Roman" w:cs="Times New Roman"/>
          <w:b w:val="0"/>
          <w:sz w:val="22"/>
          <w:szCs w:val="22"/>
        </w:rPr>
      </w:pPr>
      <w:bookmarkStart w:id="41" w:name="_Toc141732905"/>
      <w:bookmarkStart w:id="42" w:name="_Toc141733116"/>
      <w:bookmarkStart w:id="43" w:name="_Toc142404020"/>
      <w:bookmarkStart w:id="44" w:name="_Toc144213829"/>
      <w:bookmarkStart w:id="45" w:name="_Toc144283574"/>
      <w:bookmarkStart w:id="46" w:name="_Toc144303512"/>
      <w:r w:rsidRPr="00F73030">
        <w:rPr>
          <w:rFonts w:ascii="Times New Roman" w:hAnsi="Times New Roman" w:cs="Times New Roman"/>
          <w:sz w:val="22"/>
          <w:szCs w:val="22"/>
        </w:rPr>
        <w:t xml:space="preserve">2.1.1 New Prevention </w:t>
      </w:r>
      <w:r w:rsidRPr="00F73030" w:rsidR="00904E3F">
        <w:rPr>
          <w:rFonts w:ascii="Times New Roman" w:hAnsi="Times New Roman" w:cs="Times New Roman"/>
          <w:sz w:val="22"/>
          <w:szCs w:val="22"/>
        </w:rPr>
        <w:t xml:space="preserve">Program </w:t>
      </w:r>
      <w:r w:rsidRPr="00F73030">
        <w:rPr>
          <w:rFonts w:ascii="Times New Roman" w:hAnsi="Times New Roman" w:cs="Times New Roman"/>
          <w:sz w:val="22"/>
          <w:szCs w:val="22"/>
        </w:rPr>
        <w:t>Provisions</w:t>
      </w:r>
      <w:bookmarkEnd w:id="41"/>
      <w:bookmarkEnd w:id="42"/>
      <w:bookmarkEnd w:id="43"/>
      <w:bookmarkEnd w:id="44"/>
      <w:bookmarkEnd w:id="45"/>
      <w:bookmarkEnd w:id="46"/>
    </w:p>
    <w:p w:rsidR="00B46BD9" w:rsidRPr="0064610C" w:rsidP="00A053DA" w14:paraId="28A317A8" w14:textId="77777777">
      <w:pPr>
        <w:rPr>
          <w:rFonts w:ascii="Times New Roman" w:hAnsi="Times New Roman" w:cs="Times New Roman"/>
        </w:rPr>
      </w:pPr>
      <w:bookmarkStart w:id="47" w:name="_Hlk141347702"/>
      <w:r w:rsidRPr="00A053DA">
        <w:tab/>
      </w:r>
      <w:r w:rsidRPr="0064610C" w:rsidR="006874DB">
        <w:rPr>
          <w:rFonts w:ascii="Times New Roman" w:hAnsi="Times New Roman" w:cs="Times New Roman"/>
        </w:rPr>
        <w:t>New prevention program provisions</w:t>
      </w:r>
      <w:r w:rsidRPr="0064610C" w:rsidR="00AB3E74">
        <w:rPr>
          <w:rFonts w:ascii="Times New Roman" w:hAnsi="Times New Roman" w:cs="Times New Roman"/>
        </w:rPr>
        <w:t xml:space="preserve"> </w:t>
      </w:r>
      <w:r w:rsidRPr="0064610C" w:rsidR="009050C6">
        <w:rPr>
          <w:rFonts w:ascii="Times New Roman" w:hAnsi="Times New Roman" w:cs="Times New Roman"/>
        </w:rPr>
        <w:t>include</w:t>
      </w:r>
      <w:r w:rsidRPr="0064610C" w:rsidR="00D85A60">
        <w:rPr>
          <w:rFonts w:ascii="Times New Roman" w:hAnsi="Times New Roman" w:cs="Times New Roman"/>
        </w:rPr>
        <w:t xml:space="preserve"> requirements for</w:t>
      </w:r>
      <w:r w:rsidRPr="0064610C" w:rsidR="009050C6">
        <w:rPr>
          <w:rFonts w:ascii="Times New Roman" w:hAnsi="Times New Roman" w:cs="Times New Roman"/>
        </w:rPr>
        <w:t xml:space="preserve"> STAA, root cause analysis, third</w:t>
      </w:r>
      <w:r w:rsidR="004C4D7F">
        <w:rPr>
          <w:rFonts w:ascii="Times New Roman" w:hAnsi="Times New Roman" w:cs="Times New Roman"/>
        </w:rPr>
        <w:t>-</w:t>
      </w:r>
      <w:r w:rsidRPr="0064610C" w:rsidR="009050C6">
        <w:rPr>
          <w:rFonts w:ascii="Times New Roman" w:hAnsi="Times New Roman" w:cs="Times New Roman"/>
        </w:rPr>
        <w:t xml:space="preserve">party audits, </w:t>
      </w:r>
      <w:r w:rsidRPr="0064610C" w:rsidR="00F21FF4">
        <w:rPr>
          <w:rFonts w:ascii="Times New Roman" w:hAnsi="Times New Roman" w:cs="Times New Roman"/>
        </w:rPr>
        <w:t xml:space="preserve">employee participation, and </w:t>
      </w:r>
      <w:r w:rsidRPr="0064610C">
        <w:rPr>
          <w:rFonts w:ascii="Times New Roman" w:hAnsi="Times New Roman" w:cs="Times New Roman"/>
        </w:rPr>
        <w:t>backup</w:t>
      </w:r>
      <w:r w:rsidRPr="0064610C" w:rsidR="00F21FF4">
        <w:rPr>
          <w:rFonts w:ascii="Times New Roman" w:hAnsi="Times New Roman" w:cs="Times New Roman"/>
        </w:rPr>
        <w:t xml:space="preserve"> power for </w:t>
      </w:r>
      <w:r w:rsidRPr="0064610C" w:rsidR="009556AB">
        <w:rPr>
          <w:rFonts w:ascii="Times New Roman" w:hAnsi="Times New Roman" w:cs="Times New Roman"/>
        </w:rPr>
        <w:t xml:space="preserve">perimeter monitors. </w:t>
      </w:r>
    </w:p>
    <w:p w:rsidR="00CE70B0" w:rsidP="0064610C" w14:paraId="13CF3E0F" w14:textId="77777777">
      <w:pPr>
        <w:rPr>
          <w:rFonts w:ascii="Times New Roman" w:hAnsi="Times New Roman" w:cs="Times New Roman"/>
        </w:rPr>
      </w:pPr>
      <w:r w:rsidRPr="00A053DA">
        <w:rPr>
          <w:rFonts w:ascii="Times New Roman" w:hAnsi="Times New Roman" w:cs="Times New Roman"/>
        </w:rPr>
        <w:tab/>
      </w:r>
      <w:r w:rsidRPr="005F2738" w:rsidR="00427B18">
        <w:rPr>
          <w:rFonts w:ascii="Times New Roman" w:hAnsi="Times New Roman" w:cs="Times New Roman"/>
        </w:rPr>
        <w:t xml:space="preserve">The current RMP </w:t>
      </w:r>
      <w:r w:rsidRPr="005F2738" w:rsidR="001E5F5A">
        <w:rPr>
          <w:rFonts w:ascii="Times New Roman" w:hAnsi="Times New Roman" w:cs="Times New Roman"/>
        </w:rPr>
        <w:t xml:space="preserve">regulations </w:t>
      </w:r>
      <w:r w:rsidRPr="005F2738" w:rsidR="00427B18">
        <w:rPr>
          <w:rFonts w:ascii="Times New Roman" w:hAnsi="Times New Roman" w:cs="Times New Roman"/>
        </w:rPr>
        <w:t xml:space="preserve">do not require facilities to conduct a STAA. The STAA requirement in the final rule includes multiple </w:t>
      </w:r>
      <w:r w:rsidRPr="005F2738">
        <w:rPr>
          <w:rFonts w:ascii="Times New Roman" w:hAnsi="Times New Roman" w:cs="Times New Roman"/>
        </w:rPr>
        <w:t>components</w:t>
      </w:r>
      <w:r w:rsidRPr="005F2738" w:rsidR="00427B18">
        <w:rPr>
          <w:rFonts w:ascii="Times New Roman" w:hAnsi="Times New Roman" w:cs="Times New Roman"/>
        </w:rPr>
        <w:t xml:space="preserve">: the initial evaluation to identify alternatives, a practicability assessment to determine the costs and assess the reasonableness of implementing technology alternatives, and in some cases, implementation </w:t>
      </w:r>
      <w:r w:rsidRPr="005F2738">
        <w:rPr>
          <w:rFonts w:ascii="Times New Roman" w:hAnsi="Times New Roman" w:cs="Times New Roman"/>
        </w:rPr>
        <w:t xml:space="preserve">of safer measures. </w:t>
      </w:r>
      <w:r w:rsidRPr="005F2738" w:rsidR="00427B18">
        <w:rPr>
          <w:rFonts w:ascii="Times New Roman" w:hAnsi="Times New Roman" w:cs="Times New Roman"/>
        </w:rPr>
        <w:t>The former two</w:t>
      </w:r>
      <w:r w:rsidRPr="005F2738">
        <w:rPr>
          <w:rFonts w:ascii="Times New Roman" w:hAnsi="Times New Roman" w:cs="Times New Roman"/>
        </w:rPr>
        <w:t xml:space="preserve"> components are </w:t>
      </w:r>
      <w:r w:rsidRPr="005F2738" w:rsidR="00427B18">
        <w:rPr>
          <w:rFonts w:ascii="Times New Roman" w:hAnsi="Times New Roman" w:cs="Times New Roman"/>
        </w:rPr>
        <w:t>discussed under 2.1.1.</w:t>
      </w:r>
      <w:r w:rsidRPr="005F2738">
        <w:rPr>
          <w:rFonts w:ascii="Times New Roman" w:hAnsi="Times New Roman" w:cs="Times New Roman"/>
        </w:rPr>
        <w:t>1 and the</w:t>
      </w:r>
      <w:r w:rsidRPr="005F2738" w:rsidR="00E76C74">
        <w:rPr>
          <w:rFonts w:ascii="Times New Roman" w:hAnsi="Times New Roman" w:cs="Times New Roman"/>
        </w:rPr>
        <w:t xml:space="preserve"> </w:t>
      </w:r>
      <w:r w:rsidRPr="005F2738">
        <w:rPr>
          <w:rFonts w:ascii="Times New Roman" w:hAnsi="Times New Roman" w:cs="Times New Roman"/>
        </w:rPr>
        <w:t>implementation component is discussed under 2.1.1.</w:t>
      </w:r>
      <w:r w:rsidRPr="005F2738" w:rsidR="00427B18">
        <w:rPr>
          <w:rFonts w:ascii="Times New Roman" w:hAnsi="Times New Roman" w:cs="Times New Roman"/>
        </w:rPr>
        <w:t>2.</w:t>
      </w:r>
    </w:p>
    <w:p w:rsidR="00D243A1" w:rsidRPr="00A053DA" w:rsidP="00F73030" w14:paraId="108C7781" w14:textId="77777777">
      <w:pPr>
        <w:pStyle w:val="Heading4"/>
        <w:rPr>
          <w:rFonts w:ascii="Times New Roman" w:hAnsi="Times New Roman" w:cs="Times New Roman"/>
          <w:color w:val="auto"/>
        </w:rPr>
      </w:pPr>
      <w:r w:rsidRPr="00A053DA">
        <w:rPr>
          <w:rFonts w:ascii="Times New Roman" w:hAnsi="Times New Roman" w:cs="Times New Roman"/>
          <w:color w:val="auto"/>
        </w:rPr>
        <w:t>2.1.1.1 STAA— (</w:t>
      </w:r>
      <w:r w:rsidRPr="00A053DA" w:rsidR="00924A95">
        <w:rPr>
          <w:rFonts w:ascii="Times New Roman" w:hAnsi="Times New Roman" w:cs="Times New Roman"/>
          <w:color w:val="auto"/>
        </w:rPr>
        <w:t>R</w:t>
      </w:r>
      <w:r w:rsidRPr="00A053DA">
        <w:rPr>
          <w:rFonts w:ascii="Times New Roman" w:hAnsi="Times New Roman" w:cs="Times New Roman"/>
          <w:color w:val="auto"/>
        </w:rPr>
        <w:t>evisions apply to §68.3 and §68.67)</w:t>
      </w:r>
    </w:p>
    <w:p w:rsidR="00D243A1" w:rsidP="00D243A1" w14:paraId="77D15039"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Under the </w:t>
      </w:r>
      <w:r w:rsidR="00E116B0">
        <w:rPr>
          <w:rFonts w:ascii="Times New Roman" w:hAnsi="Times New Roman" w:cs="Times New Roman"/>
        </w:rPr>
        <w:t>final</w:t>
      </w:r>
      <w:r w:rsidRPr="0003391E" w:rsidR="00E116B0">
        <w:rPr>
          <w:rFonts w:ascii="Times New Roman" w:hAnsi="Times New Roman" w:cs="Times New Roman"/>
        </w:rPr>
        <w:t xml:space="preserve"> </w:t>
      </w:r>
      <w:r w:rsidRPr="0003391E">
        <w:rPr>
          <w:rFonts w:ascii="Times New Roman" w:hAnsi="Times New Roman" w:cs="Times New Roman"/>
        </w:rPr>
        <w:t xml:space="preserve">rule, </w:t>
      </w:r>
      <w:r w:rsidR="00205418">
        <w:rPr>
          <w:rFonts w:ascii="Times New Roman" w:hAnsi="Times New Roman" w:cs="Times New Roman"/>
        </w:rPr>
        <w:t xml:space="preserve">all </w:t>
      </w:r>
      <w:r w:rsidRPr="0003391E">
        <w:rPr>
          <w:rFonts w:ascii="Times New Roman" w:hAnsi="Times New Roman" w:cs="Times New Roman"/>
        </w:rPr>
        <w:t>facilities with Program 3 processes in NAICS code</w:t>
      </w:r>
      <w:r w:rsidR="00F149E3">
        <w:rPr>
          <w:rFonts w:ascii="Times New Roman" w:hAnsi="Times New Roman" w:cs="Times New Roman"/>
        </w:rPr>
        <w:t>s</w:t>
      </w:r>
      <w:r w:rsidRPr="0003391E">
        <w:rPr>
          <w:rFonts w:ascii="Times New Roman" w:hAnsi="Times New Roman" w:cs="Times New Roman"/>
        </w:rPr>
        <w:t xml:space="preserve"> 324 and 325</w:t>
      </w:r>
      <w:r w:rsidR="00205418">
        <w:rPr>
          <w:rFonts w:ascii="Times New Roman" w:hAnsi="Times New Roman" w:cs="Times New Roman"/>
        </w:rPr>
        <w:t xml:space="preserve"> </w:t>
      </w:r>
      <w:r w:rsidR="00BA395D">
        <w:rPr>
          <w:rFonts w:ascii="Times New Roman" w:hAnsi="Times New Roman" w:cs="Times New Roman"/>
        </w:rPr>
        <w:t>will be</w:t>
      </w:r>
      <w:r w:rsidR="00205418">
        <w:rPr>
          <w:rFonts w:ascii="Times New Roman" w:hAnsi="Times New Roman" w:cs="Times New Roman"/>
        </w:rPr>
        <w:t xml:space="preserve"> required </w:t>
      </w:r>
      <w:r w:rsidR="00451574">
        <w:rPr>
          <w:rFonts w:ascii="Times New Roman" w:hAnsi="Times New Roman" w:cs="Times New Roman"/>
        </w:rPr>
        <w:t xml:space="preserve">to conduct </w:t>
      </w:r>
      <w:r w:rsidR="00CE70B0">
        <w:rPr>
          <w:rFonts w:ascii="Times New Roman" w:hAnsi="Times New Roman" w:cs="Times New Roman"/>
        </w:rPr>
        <w:t>an</w:t>
      </w:r>
      <w:r w:rsidR="00552D8F">
        <w:rPr>
          <w:rFonts w:ascii="Times New Roman" w:hAnsi="Times New Roman" w:cs="Times New Roman"/>
        </w:rPr>
        <w:t xml:space="preserve"> </w:t>
      </w:r>
      <w:r w:rsidR="00E25B3A">
        <w:rPr>
          <w:rFonts w:ascii="Times New Roman" w:hAnsi="Times New Roman" w:cs="Times New Roman"/>
        </w:rPr>
        <w:t>initial evaluation</w:t>
      </w:r>
      <w:r w:rsidR="00124003">
        <w:rPr>
          <w:rFonts w:ascii="Times New Roman" w:hAnsi="Times New Roman" w:cs="Times New Roman"/>
        </w:rPr>
        <w:t xml:space="preserve"> of safer technologies and alternatives</w:t>
      </w:r>
      <w:r w:rsidR="00D205DA">
        <w:rPr>
          <w:rFonts w:ascii="Times New Roman" w:hAnsi="Times New Roman" w:cs="Times New Roman"/>
        </w:rPr>
        <w:t xml:space="preserve">. </w:t>
      </w:r>
      <w:r w:rsidR="004C37E5">
        <w:rPr>
          <w:rFonts w:ascii="Times New Roman" w:hAnsi="Times New Roman" w:cs="Times New Roman"/>
        </w:rPr>
        <w:t>Of</w:t>
      </w:r>
      <w:r w:rsidR="00044C1D">
        <w:rPr>
          <w:rFonts w:ascii="Times New Roman" w:hAnsi="Times New Roman" w:cs="Times New Roman"/>
        </w:rPr>
        <w:t xml:space="preserve"> those facilities, facilities</w:t>
      </w:r>
      <w:r w:rsidRPr="0003391E">
        <w:rPr>
          <w:rFonts w:ascii="Times New Roman" w:hAnsi="Times New Roman" w:cs="Times New Roman"/>
        </w:rPr>
        <w:t xml:space="preserve"> </w:t>
      </w:r>
      <w:r w:rsidR="00F23C00">
        <w:rPr>
          <w:rFonts w:ascii="Times New Roman" w:hAnsi="Times New Roman" w:cs="Times New Roman"/>
        </w:rPr>
        <w:t>that have had</w:t>
      </w:r>
      <w:r w:rsidR="00205418">
        <w:rPr>
          <w:rFonts w:ascii="Times New Roman" w:hAnsi="Times New Roman" w:cs="Times New Roman"/>
        </w:rPr>
        <w:t xml:space="preserve"> an accident </w:t>
      </w:r>
      <w:bookmarkStart w:id="48" w:name="_Hlk141786913"/>
      <w:r w:rsidRPr="001D4AB4" w:rsidR="001D4AB4">
        <w:rPr>
          <w:rFonts w:ascii="Times New Roman" w:hAnsi="Times New Roman" w:cs="Times New Roman"/>
        </w:rPr>
        <w:t>since the</w:t>
      </w:r>
      <w:r w:rsidR="00EE0624">
        <w:rPr>
          <w:rFonts w:ascii="Times New Roman" w:hAnsi="Times New Roman" w:cs="Times New Roman"/>
        </w:rPr>
        <w:t>ir</w:t>
      </w:r>
      <w:r w:rsidRPr="001D4AB4" w:rsidR="001D4AB4">
        <w:rPr>
          <w:rFonts w:ascii="Times New Roman" w:hAnsi="Times New Roman" w:cs="Times New Roman"/>
        </w:rPr>
        <w:t xml:space="preserve"> most recent process hazard analysis </w:t>
      </w:r>
      <w:bookmarkEnd w:id="48"/>
      <w:r w:rsidR="00205418">
        <w:rPr>
          <w:rFonts w:ascii="Times New Roman" w:hAnsi="Times New Roman" w:cs="Times New Roman"/>
        </w:rPr>
        <w:t>or</w:t>
      </w:r>
      <w:r w:rsidRPr="0003391E">
        <w:rPr>
          <w:rFonts w:ascii="Times New Roman" w:hAnsi="Times New Roman" w:cs="Times New Roman"/>
        </w:rPr>
        <w:t xml:space="preserve"> </w:t>
      </w:r>
      <w:r w:rsidR="00832A1F">
        <w:rPr>
          <w:rFonts w:ascii="Times New Roman" w:hAnsi="Times New Roman" w:cs="Times New Roman"/>
        </w:rPr>
        <w:t xml:space="preserve">that are </w:t>
      </w:r>
      <w:r w:rsidRPr="0003391E">
        <w:rPr>
          <w:rFonts w:ascii="Times New Roman" w:hAnsi="Times New Roman" w:cs="Times New Roman"/>
        </w:rPr>
        <w:t xml:space="preserve">located within one mile of another </w:t>
      </w:r>
      <w:r w:rsidR="008E5A42">
        <w:rPr>
          <w:rFonts w:ascii="Times New Roman" w:hAnsi="Times New Roman" w:cs="Times New Roman"/>
        </w:rPr>
        <w:t xml:space="preserve">facility with </w:t>
      </w:r>
      <w:r w:rsidRPr="0003391E">
        <w:rPr>
          <w:rFonts w:ascii="Times New Roman" w:hAnsi="Times New Roman" w:cs="Times New Roman"/>
        </w:rPr>
        <w:t xml:space="preserve">a </w:t>
      </w:r>
      <w:r w:rsidR="001C6E82">
        <w:rPr>
          <w:rFonts w:ascii="Times New Roman" w:hAnsi="Times New Roman" w:cs="Times New Roman"/>
        </w:rPr>
        <w:t xml:space="preserve">covered </w:t>
      </w:r>
      <w:r w:rsidRPr="0003391E">
        <w:rPr>
          <w:rFonts w:ascii="Times New Roman" w:hAnsi="Times New Roman" w:cs="Times New Roman"/>
        </w:rPr>
        <w:t xml:space="preserve">process in NAICS code 324 or 325, </w:t>
      </w:r>
      <w:r w:rsidR="009449B7">
        <w:rPr>
          <w:rFonts w:ascii="Times New Roman" w:hAnsi="Times New Roman" w:cs="Times New Roman"/>
        </w:rPr>
        <w:t>will</w:t>
      </w:r>
      <w:r w:rsidRPr="0003391E">
        <w:rPr>
          <w:rFonts w:ascii="Times New Roman" w:hAnsi="Times New Roman" w:cs="Times New Roman"/>
        </w:rPr>
        <w:t xml:space="preserve"> be required to </w:t>
      </w:r>
      <w:r w:rsidR="00C12EBE">
        <w:rPr>
          <w:rFonts w:ascii="Times New Roman" w:hAnsi="Times New Roman" w:cs="Times New Roman"/>
        </w:rPr>
        <w:t xml:space="preserve">also </w:t>
      </w:r>
      <w:r w:rsidRPr="0003391E">
        <w:rPr>
          <w:rFonts w:ascii="Times New Roman" w:hAnsi="Times New Roman" w:cs="Times New Roman"/>
        </w:rPr>
        <w:t xml:space="preserve">conduct a </w:t>
      </w:r>
      <w:r w:rsidR="00E25B3A">
        <w:rPr>
          <w:rFonts w:ascii="Times New Roman" w:hAnsi="Times New Roman" w:cs="Times New Roman"/>
        </w:rPr>
        <w:t>practicability assessment</w:t>
      </w:r>
      <w:r w:rsidR="00364D5D">
        <w:rPr>
          <w:rFonts w:ascii="Times New Roman" w:hAnsi="Times New Roman" w:cs="Times New Roman"/>
        </w:rPr>
        <w:t>.</w:t>
      </w:r>
      <w:r>
        <w:rPr>
          <w:rStyle w:val="FootnoteReference"/>
          <w:rFonts w:ascii="Times New Roman" w:hAnsi="Times New Roman" w:cs="Times New Roman"/>
        </w:rPr>
        <w:footnoteReference w:id="22"/>
      </w:r>
      <w:r w:rsidRPr="0003391E">
        <w:rPr>
          <w:rFonts w:ascii="Times New Roman" w:hAnsi="Times New Roman" w:cs="Times New Roman"/>
        </w:rPr>
        <w:t xml:space="preserve"> The </w:t>
      </w:r>
      <w:r w:rsidR="00617DB7">
        <w:rPr>
          <w:rFonts w:ascii="Times New Roman" w:hAnsi="Times New Roman" w:cs="Times New Roman"/>
        </w:rPr>
        <w:t>final</w:t>
      </w:r>
      <w:r w:rsidRPr="0003391E">
        <w:rPr>
          <w:rFonts w:ascii="Times New Roman" w:hAnsi="Times New Roman" w:cs="Times New Roman"/>
        </w:rPr>
        <w:t xml:space="preserve"> rule also require</w:t>
      </w:r>
      <w:r w:rsidR="005A32B2">
        <w:rPr>
          <w:rFonts w:ascii="Times New Roman" w:hAnsi="Times New Roman" w:cs="Times New Roman"/>
        </w:rPr>
        <w:t>s</w:t>
      </w:r>
      <w:r w:rsidRPr="0003391E">
        <w:rPr>
          <w:rFonts w:ascii="Times New Roman" w:hAnsi="Times New Roman" w:cs="Times New Roman"/>
        </w:rPr>
        <w:t xml:space="preserve"> that all facilities in NAICS 324 using HF in an alkylation unit (approximately 45 facilities) </w:t>
      </w:r>
      <w:r w:rsidR="00333389">
        <w:rPr>
          <w:rFonts w:ascii="Times New Roman" w:hAnsi="Times New Roman" w:cs="Times New Roman"/>
        </w:rPr>
        <w:t xml:space="preserve">conduct a </w:t>
      </w:r>
      <w:r w:rsidR="00E25B3A">
        <w:rPr>
          <w:rFonts w:ascii="Times New Roman" w:hAnsi="Times New Roman" w:cs="Times New Roman"/>
        </w:rPr>
        <w:t>practicability assessment</w:t>
      </w:r>
      <w:r w:rsidR="00AC783F">
        <w:rPr>
          <w:rFonts w:ascii="Times New Roman" w:hAnsi="Times New Roman" w:cs="Times New Roman"/>
        </w:rPr>
        <w:t xml:space="preserve"> to </w:t>
      </w:r>
      <w:r w:rsidR="001F3F72">
        <w:rPr>
          <w:rFonts w:ascii="Times New Roman" w:hAnsi="Times New Roman" w:cs="Times New Roman"/>
        </w:rPr>
        <w:t>assess</w:t>
      </w:r>
      <w:r w:rsidR="009122B1">
        <w:rPr>
          <w:rFonts w:ascii="Times New Roman" w:hAnsi="Times New Roman" w:cs="Times New Roman"/>
        </w:rPr>
        <w:t xml:space="preserve"> inherently</w:t>
      </w:r>
      <w:r w:rsidRPr="0003391E" w:rsidR="001F3F72">
        <w:rPr>
          <w:rFonts w:ascii="Times New Roman" w:hAnsi="Times New Roman" w:cs="Times New Roman"/>
        </w:rPr>
        <w:t xml:space="preserve"> </w:t>
      </w:r>
      <w:r w:rsidRPr="0003391E">
        <w:rPr>
          <w:rFonts w:ascii="Times New Roman" w:hAnsi="Times New Roman" w:cs="Times New Roman"/>
        </w:rPr>
        <w:t xml:space="preserve">safer alternatives to HF alkylation, regardless of </w:t>
      </w:r>
      <w:r w:rsidR="00AC783F">
        <w:rPr>
          <w:rFonts w:ascii="Times New Roman" w:hAnsi="Times New Roman" w:cs="Times New Roman"/>
        </w:rPr>
        <w:t xml:space="preserve">accident history or </w:t>
      </w:r>
      <w:r w:rsidRPr="0003391E">
        <w:rPr>
          <w:rFonts w:ascii="Times New Roman" w:hAnsi="Times New Roman" w:cs="Times New Roman"/>
        </w:rPr>
        <w:t xml:space="preserve">proximity to another NAICS 324- or 325-regulated facility. Because EPA is </w:t>
      </w:r>
      <w:r w:rsidR="003915D4">
        <w:rPr>
          <w:rFonts w:ascii="Times New Roman" w:hAnsi="Times New Roman" w:cs="Times New Roman"/>
        </w:rPr>
        <w:t>requiring</w:t>
      </w:r>
      <w:r w:rsidRPr="0003391E">
        <w:rPr>
          <w:rFonts w:ascii="Times New Roman" w:hAnsi="Times New Roman" w:cs="Times New Roman"/>
        </w:rPr>
        <w:t xml:space="preserve"> STAA only in </w:t>
      </w:r>
      <w:r w:rsidR="008C68D4">
        <w:rPr>
          <w:rFonts w:ascii="Times New Roman" w:hAnsi="Times New Roman" w:cs="Times New Roman"/>
        </w:rPr>
        <w:t>sectors</w:t>
      </w:r>
      <w:r w:rsidRPr="0003391E">
        <w:rPr>
          <w:rFonts w:ascii="Times New Roman" w:hAnsi="Times New Roman" w:cs="Times New Roman"/>
        </w:rPr>
        <w:t xml:space="preserve"> with the most frequent and severe documented and continuing accidents, EPA expects the total burden of the STAA provision to be lower than the total burden that </w:t>
      </w:r>
      <w:r w:rsidR="009449B7">
        <w:rPr>
          <w:rFonts w:ascii="Times New Roman" w:hAnsi="Times New Roman" w:cs="Times New Roman"/>
        </w:rPr>
        <w:t>w</w:t>
      </w:r>
      <w:r w:rsidR="001B6B21">
        <w:rPr>
          <w:rFonts w:ascii="Times New Roman" w:hAnsi="Times New Roman" w:cs="Times New Roman"/>
        </w:rPr>
        <w:t>ould</w:t>
      </w:r>
      <w:r w:rsidRPr="0003391E">
        <w:rPr>
          <w:rFonts w:ascii="Times New Roman" w:hAnsi="Times New Roman" w:cs="Times New Roman"/>
        </w:rPr>
        <w:t xml:space="preserve"> hav</w:t>
      </w:r>
      <w:r w:rsidR="001B6B21">
        <w:rPr>
          <w:rFonts w:ascii="Times New Roman" w:hAnsi="Times New Roman" w:cs="Times New Roman"/>
        </w:rPr>
        <w:t>e</w:t>
      </w:r>
      <w:r w:rsidRPr="0003391E">
        <w:rPr>
          <w:rFonts w:ascii="Times New Roman" w:hAnsi="Times New Roman" w:cs="Times New Roman"/>
        </w:rPr>
        <w:t xml:space="preserve"> been imposed by the </w:t>
      </w:r>
      <w:r w:rsidR="003372C2">
        <w:rPr>
          <w:rFonts w:ascii="Times New Roman" w:hAnsi="Times New Roman" w:cs="Times New Roman"/>
        </w:rPr>
        <w:t>2017 a</w:t>
      </w:r>
      <w:r w:rsidRPr="0003391E">
        <w:rPr>
          <w:rFonts w:ascii="Times New Roman" w:hAnsi="Times New Roman" w:cs="Times New Roman"/>
        </w:rPr>
        <w:t xml:space="preserve">mendments rule’s </w:t>
      </w:r>
      <w:r w:rsidRPr="003E02D4" w:rsidR="00D32ADF">
        <w:rPr>
          <w:rFonts w:ascii="Times New Roman" w:hAnsi="Times New Roman" w:cs="Times New Roman"/>
        </w:rPr>
        <w:t>propose</w:t>
      </w:r>
      <w:r w:rsidRPr="00F03C25">
        <w:rPr>
          <w:rFonts w:ascii="Times New Roman" w:hAnsi="Times New Roman" w:cs="Times New Roman"/>
        </w:rPr>
        <w:t>d</w:t>
      </w:r>
      <w:r w:rsidRPr="0003391E">
        <w:rPr>
          <w:rFonts w:ascii="Times New Roman" w:hAnsi="Times New Roman" w:cs="Times New Roman"/>
        </w:rPr>
        <w:t xml:space="preserve"> STAA provision</w:t>
      </w:r>
      <w:r w:rsidR="001B6B21">
        <w:rPr>
          <w:rFonts w:ascii="Times New Roman" w:hAnsi="Times New Roman" w:cs="Times New Roman"/>
        </w:rPr>
        <w:t xml:space="preserve"> (but removed in the 2019 reconsideration rule)</w:t>
      </w:r>
      <w:r w:rsidRPr="0003391E">
        <w:rPr>
          <w:rFonts w:ascii="Times New Roman" w:hAnsi="Times New Roman" w:cs="Times New Roman"/>
        </w:rPr>
        <w:t xml:space="preserve">, which </w:t>
      </w:r>
      <w:r w:rsidR="001B6B21">
        <w:rPr>
          <w:rFonts w:ascii="Times New Roman" w:hAnsi="Times New Roman" w:cs="Times New Roman"/>
        </w:rPr>
        <w:t xml:space="preserve">would have </w:t>
      </w:r>
      <w:r w:rsidRPr="0003391E">
        <w:rPr>
          <w:rFonts w:ascii="Times New Roman" w:hAnsi="Times New Roman" w:cs="Times New Roman"/>
        </w:rPr>
        <w:t xml:space="preserve">applied more broadly. </w:t>
      </w:r>
    </w:p>
    <w:bookmarkEnd w:id="47"/>
    <w:p w:rsidR="0053065E" w:rsidRPr="0003391E" w:rsidP="0003391E" w14:paraId="33FF9C09" w14:textId="77777777">
      <w:pPr>
        <w:spacing w:after="0" w:line="240" w:lineRule="auto"/>
        <w:rPr>
          <w:rFonts w:ascii="Times New Roman" w:hAnsi="Times New Roman" w:cs="Times New Roman"/>
        </w:rPr>
      </w:pPr>
    </w:p>
    <w:p w:rsidR="00DB6C48" w:rsidRPr="003B4FB9" w:rsidP="003B4FB9" w14:paraId="7011CC86" w14:textId="77777777">
      <w:pPr>
        <w:pStyle w:val="Heading4"/>
        <w:rPr>
          <w:rFonts w:ascii="Times New Roman" w:hAnsi="Times New Roman" w:cs="Times New Roman"/>
          <w:color w:val="auto"/>
        </w:rPr>
      </w:pPr>
      <w:r w:rsidRPr="003B4FB9">
        <w:rPr>
          <w:rFonts w:ascii="Times New Roman" w:hAnsi="Times New Roman" w:cs="Times New Roman"/>
          <w:color w:val="auto"/>
        </w:rPr>
        <w:t xml:space="preserve">2.1.1.2 </w:t>
      </w:r>
      <w:r w:rsidRPr="003B4FB9" w:rsidR="006110C9">
        <w:rPr>
          <w:rFonts w:ascii="Times New Roman" w:hAnsi="Times New Roman" w:cs="Times New Roman"/>
          <w:color w:val="auto"/>
        </w:rPr>
        <w:t>STAA Implementation</w:t>
      </w:r>
      <w:r w:rsidRPr="003B4FB9">
        <w:rPr>
          <w:rFonts w:ascii="Times New Roman" w:hAnsi="Times New Roman" w:cs="Times New Roman"/>
          <w:color w:val="auto"/>
        </w:rPr>
        <w:t>— (</w:t>
      </w:r>
      <w:r w:rsidRPr="003B4FB9" w:rsidR="00924A95">
        <w:rPr>
          <w:rFonts w:ascii="Times New Roman" w:hAnsi="Times New Roman" w:cs="Times New Roman"/>
          <w:color w:val="auto"/>
        </w:rPr>
        <w:t>R</w:t>
      </w:r>
      <w:r w:rsidRPr="003B4FB9">
        <w:rPr>
          <w:rFonts w:ascii="Times New Roman" w:hAnsi="Times New Roman" w:cs="Times New Roman"/>
          <w:color w:val="auto"/>
        </w:rPr>
        <w:t>evisions apply to §68.3 and §68.67)</w:t>
      </w:r>
    </w:p>
    <w:p w:rsidR="00DB6C48" w:rsidP="006110C9" w14:paraId="75E026EA" w14:textId="77777777">
      <w:pPr>
        <w:spacing w:after="0" w:line="240" w:lineRule="auto"/>
        <w:ind w:firstLine="360"/>
        <w:rPr>
          <w:rFonts w:ascii="Times New Roman" w:hAnsi="Times New Roman" w:cs="Times New Roman"/>
        </w:rPr>
      </w:pPr>
      <w:r>
        <w:rPr>
          <w:rFonts w:ascii="Times New Roman" w:hAnsi="Times New Roman" w:cs="Times New Roman"/>
        </w:rPr>
        <w:tab/>
      </w:r>
      <w:r w:rsidR="008868AF">
        <w:rPr>
          <w:rFonts w:ascii="Times New Roman" w:hAnsi="Times New Roman" w:cs="Times New Roman"/>
        </w:rPr>
        <w:t>Under the final rule, all facilities required</w:t>
      </w:r>
      <w:r w:rsidR="00CC5D25">
        <w:rPr>
          <w:rFonts w:ascii="Times New Roman" w:hAnsi="Times New Roman" w:cs="Times New Roman"/>
        </w:rPr>
        <w:t xml:space="preserve"> to conduct a STAA </w:t>
      </w:r>
      <w:r w:rsidR="00E25B3A">
        <w:rPr>
          <w:rFonts w:ascii="Times New Roman" w:hAnsi="Times New Roman" w:cs="Times New Roman"/>
        </w:rPr>
        <w:t>practicability assessment</w:t>
      </w:r>
      <w:r w:rsidR="00CC5D25">
        <w:rPr>
          <w:rFonts w:ascii="Times New Roman" w:hAnsi="Times New Roman" w:cs="Times New Roman"/>
        </w:rPr>
        <w:t xml:space="preserve"> (i.e., </w:t>
      </w:r>
      <w:r w:rsidRPr="0003391E">
        <w:rPr>
          <w:rFonts w:ascii="Times New Roman" w:hAnsi="Times New Roman" w:cs="Times New Roman"/>
        </w:rPr>
        <w:t>Program 3 NAICS 324 and 325</w:t>
      </w:r>
      <w:r>
        <w:rPr>
          <w:rFonts w:ascii="Times New Roman" w:hAnsi="Times New Roman" w:cs="Times New Roman"/>
        </w:rPr>
        <w:t xml:space="preserve"> facilities</w:t>
      </w:r>
      <w:r w:rsidRPr="0003391E">
        <w:rPr>
          <w:rFonts w:ascii="Times New Roman" w:hAnsi="Times New Roman" w:cs="Times New Roman"/>
        </w:rPr>
        <w:t xml:space="preserve"> </w:t>
      </w:r>
      <w:r w:rsidR="00A83B03">
        <w:rPr>
          <w:rFonts w:ascii="Times New Roman" w:hAnsi="Times New Roman" w:cs="Times New Roman"/>
        </w:rPr>
        <w:t xml:space="preserve">that have had an accident </w:t>
      </w:r>
      <w:r w:rsidRPr="001D4AB4" w:rsidR="001D4AB4">
        <w:rPr>
          <w:rFonts w:ascii="Times New Roman" w:hAnsi="Times New Roman" w:cs="Times New Roman"/>
        </w:rPr>
        <w:t>since the</w:t>
      </w:r>
      <w:r w:rsidR="00EE0624">
        <w:rPr>
          <w:rFonts w:ascii="Times New Roman" w:hAnsi="Times New Roman" w:cs="Times New Roman"/>
        </w:rPr>
        <w:t>ir</w:t>
      </w:r>
      <w:r w:rsidRPr="001D4AB4" w:rsidR="001D4AB4">
        <w:rPr>
          <w:rFonts w:ascii="Times New Roman" w:hAnsi="Times New Roman" w:cs="Times New Roman"/>
        </w:rPr>
        <w:t xml:space="preserve"> most recent process hazard analysis</w:t>
      </w:r>
      <w:r w:rsidR="00226CAC">
        <w:rPr>
          <w:rFonts w:ascii="Times New Roman" w:hAnsi="Times New Roman" w:cs="Times New Roman"/>
        </w:rPr>
        <w:t>, with an HF unit in a NAICS 324 process,</w:t>
      </w:r>
      <w:r>
        <w:rPr>
          <w:rFonts w:ascii="Times New Roman" w:hAnsi="Times New Roman" w:cs="Times New Roman"/>
        </w:rPr>
        <w:t xml:space="preserve"> or</w:t>
      </w:r>
      <w:r w:rsidRPr="0003391E">
        <w:rPr>
          <w:rFonts w:ascii="Times New Roman" w:hAnsi="Times New Roman" w:cs="Times New Roman"/>
        </w:rPr>
        <w:t xml:space="preserve"> </w:t>
      </w:r>
      <w:r w:rsidR="00B215F2">
        <w:rPr>
          <w:rFonts w:ascii="Times New Roman" w:hAnsi="Times New Roman" w:cs="Times New Roman"/>
        </w:rPr>
        <w:t xml:space="preserve">located </w:t>
      </w:r>
      <w:r w:rsidRPr="0003391E">
        <w:rPr>
          <w:rFonts w:ascii="Times New Roman" w:hAnsi="Times New Roman" w:cs="Times New Roman"/>
        </w:rPr>
        <w:t xml:space="preserve">within one mile of another </w:t>
      </w:r>
      <w:r w:rsidR="00BD6E52">
        <w:rPr>
          <w:rFonts w:ascii="Times New Roman" w:hAnsi="Times New Roman" w:cs="Times New Roman"/>
        </w:rPr>
        <w:t xml:space="preserve">facility with a </w:t>
      </w:r>
      <w:r w:rsidRPr="0003391E">
        <w:rPr>
          <w:rFonts w:ascii="Times New Roman" w:hAnsi="Times New Roman" w:cs="Times New Roman"/>
        </w:rPr>
        <w:t>NAICS 324 or 325</w:t>
      </w:r>
      <w:r w:rsidR="00BD6E52">
        <w:rPr>
          <w:rFonts w:ascii="Times New Roman" w:hAnsi="Times New Roman" w:cs="Times New Roman"/>
        </w:rPr>
        <w:t xml:space="preserve"> process</w:t>
      </w:r>
      <w:r w:rsidR="00810514">
        <w:rPr>
          <w:rFonts w:ascii="Times New Roman" w:hAnsi="Times New Roman" w:cs="Times New Roman"/>
        </w:rPr>
        <w:t>)</w:t>
      </w:r>
      <w:r w:rsidRPr="0003391E">
        <w:rPr>
          <w:rFonts w:ascii="Times New Roman" w:hAnsi="Times New Roman" w:cs="Times New Roman"/>
        </w:rPr>
        <w:t xml:space="preserve"> </w:t>
      </w:r>
      <w:r w:rsidR="00F03B59">
        <w:rPr>
          <w:rFonts w:ascii="Times New Roman" w:hAnsi="Times New Roman" w:cs="Times New Roman"/>
        </w:rPr>
        <w:t>are</w:t>
      </w:r>
      <w:r w:rsidRPr="0003391E" w:rsidR="00F03B59">
        <w:rPr>
          <w:rFonts w:ascii="Times New Roman" w:hAnsi="Times New Roman" w:cs="Times New Roman"/>
        </w:rPr>
        <w:t xml:space="preserve"> </w:t>
      </w:r>
      <w:r w:rsidRPr="0003391E">
        <w:rPr>
          <w:rFonts w:ascii="Times New Roman" w:hAnsi="Times New Roman" w:cs="Times New Roman"/>
        </w:rPr>
        <w:t xml:space="preserve">required to </w:t>
      </w:r>
      <w:r w:rsidR="0080403E">
        <w:rPr>
          <w:rFonts w:ascii="Times New Roman" w:hAnsi="Times New Roman" w:cs="Times New Roman"/>
        </w:rPr>
        <w:t xml:space="preserve">implement </w:t>
      </w:r>
      <w:r w:rsidRPr="00815D5F" w:rsidR="00815D5F">
        <w:rPr>
          <w:rFonts w:ascii="Times New Roman" w:hAnsi="Times New Roman" w:cs="Times New Roman"/>
        </w:rPr>
        <w:t xml:space="preserve">at least one passive measure at the </w:t>
      </w:r>
      <w:r w:rsidR="00815D5F">
        <w:rPr>
          <w:rFonts w:ascii="Times New Roman" w:hAnsi="Times New Roman" w:cs="Times New Roman"/>
        </w:rPr>
        <w:t>facility</w:t>
      </w:r>
      <w:r w:rsidRPr="00815D5F" w:rsidR="00815D5F">
        <w:rPr>
          <w:rFonts w:ascii="Times New Roman" w:hAnsi="Times New Roman" w:cs="Times New Roman"/>
        </w:rPr>
        <w:t>, or an inherently safer technology or design, or a combination of active and procedural measures equivalent to or greater than the risk reduction of a passive measure</w:t>
      </w:r>
      <w:r w:rsidRPr="0003391E">
        <w:rPr>
          <w:rFonts w:ascii="Times New Roman" w:hAnsi="Times New Roman" w:cs="Times New Roman"/>
        </w:rPr>
        <w:t>.</w:t>
      </w:r>
      <w:r w:rsidR="000C1F46">
        <w:rPr>
          <w:rFonts w:ascii="Times New Roman" w:hAnsi="Times New Roman" w:cs="Times New Roman"/>
        </w:rPr>
        <w:t xml:space="preserve"> </w:t>
      </w:r>
      <w:r w:rsidRPr="0003391E">
        <w:rPr>
          <w:rFonts w:ascii="Times New Roman" w:hAnsi="Times New Roman" w:cs="Times New Roman"/>
        </w:rPr>
        <w:t xml:space="preserve">EPA </w:t>
      </w:r>
      <w:r w:rsidR="00D62177">
        <w:rPr>
          <w:rFonts w:ascii="Times New Roman" w:hAnsi="Times New Roman" w:cs="Times New Roman"/>
        </w:rPr>
        <w:t xml:space="preserve">is </w:t>
      </w:r>
      <w:r w:rsidR="00504FF1">
        <w:rPr>
          <w:rFonts w:ascii="Times New Roman" w:hAnsi="Times New Roman" w:cs="Times New Roman"/>
        </w:rPr>
        <w:t xml:space="preserve">providing facilities with flexibility </w:t>
      </w:r>
      <w:r w:rsidR="00723EDA">
        <w:rPr>
          <w:rFonts w:ascii="Times New Roman" w:hAnsi="Times New Roman" w:cs="Times New Roman"/>
        </w:rPr>
        <w:t xml:space="preserve">to choose </w:t>
      </w:r>
      <w:r w:rsidR="00273691">
        <w:rPr>
          <w:rFonts w:ascii="Times New Roman" w:hAnsi="Times New Roman" w:cs="Times New Roman"/>
        </w:rPr>
        <w:t xml:space="preserve">either </w:t>
      </w:r>
      <w:r w:rsidR="003A3724">
        <w:rPr>
          <w:rFonts w:ascii="Times New Roman" w:hAnsi="Times New Roman" w:cs="Times New Roman"/>
        </w:rPr>
        <w:t xml:space="preserve">one or a combination of </w:t>
      </w:r>
      <w:r w:rsidR="00435359">
        <w:rPr>
          <w:rFonts w:ascii="Times New Roman" w:hAnsi="Times New Roman" w:cs="Times New Roman"/>
        </w:rPr>
        <w:t>IST</w:t>
      </w:r>
      <w:r w:rsidR="00635428">
        <w:rPr>
          <w:rFonts w:ascii="Times New Roman" w:hAnsi="Times New Roman" w:cs="Times New Roman"/>
        </w:rPr>
        <w:t>/ISD</w:t>
      </w:r>
      <w:r w:rsidR="00435359">
        <w:rPr>
          <w:rFonts w:ascii="Times New Roman" w:hAnsi="Times New Roman" w:cs="Times New Roman"/>
        </w:rPr>
        <w:t>, passive, active, or procedural measures</w:t>
      </w:r>
      <w:r w:rsidR="005D15D4">
        <w:rPr>
          <w:rFonts w:ascii="Times New Roman" w:hAnsi="Times New Roman" w:cs="Times New Roman"/>
        </w:rPr>
        <w:t>,</w:t>
      </w:r>
      <w:r w:rsidR="00435359">
        <w:rPr>
          <w:rFonts w:ascii="Times New Roman" w:hAnsi="Times New Roman" w:cs="Times New Roman"/>
        </w:rPr>
        <w:t xml:space="preserve"> </w:t>
      </w:r>
      <w:r w:rsidR="00A83B03">
        <w:rPr>
          <w:rFonts w:ascii="Times New Roman" w:hAnsi="Times New Roman" w:cs="Times New Roman"/>
        </w:rPr>
        <w:t xml:space="preserve">provided </w:t>
      </w:r>
      <w:r w:rsidR="005E7CFC">
        <w:rPr>
          <w:rFonts w:ascii="Times New Roman" w:hAnsi="Times New Roman" w:cs="Times New Roman"/>
        </w:rPr>
        <w:t>the choice</w:t>
      </w:r>
      <w:r w:rsidR="00A164D0">
        <w:rPr>
          <w:rFonts w:ascii="Times New Roman" w:hAnsi="Times New Roman" w:cs="Times New Roman"/>
        </w:rPr>
        <w:t xml:space="preserve"> </w:t>
      </w:r>
      <w:r w:rsidR="00713FD2">
        <w:rPr>
          <w:rFonts w:ascii="Times New Roman" w:hAnsi="Times New Roman" w:cs="Times New Roman"/>
        </w:rPr>
        <w:t>reduces risk</w:t>
      </w:r>
      <w:r w:rsidR="007758E7">
        <w:rPr>
          <w:rFonts w:ascii="Times New Roman" w:hAnsi="Times New Roman" w:cs="Times New Roman"/>
        </w:rPr>
        <w:t xml:space="preserve"> </w:t>
      </w:r>
      <w:r w:rsidR="0079358A">
        <w:rPr>
          <w:rFonts w:ascii="Times New Roman" w:hAnsi="Times New Roman" w:cs="Times New Roman"/>
        </w:rPr>
        <w:t xml:space="preserve">at least as much as </w:t>
      </w:r>
      <w:r w:rsidR="00F52EA5">
        <w:rPr>
          <w:rFonts w:ascii="Times New Roman" w:hAnsi="Times New Roman" w:cs="Times New Roman"/>
        </w:rPr>
        <w:t>a practicable passive measure</w:t>
      </w:r>
      <w:r w:rsidR="00E93E9E">
        <w:rPr>
          <w:rFonts w:ascii="Times New Roman" w:hAnsi="Times New Roman" w:cs="Times New Roman"/>
        </w:rPr>
        <w:t xml:space="preserve"> </w:t>
      </w:r>
      <w:r w:rsidR="00027E08">
        <w:rPr>
          <w:rFonts w:ascii="Times New Roman" w:hAnsi="Times New Roman" w:cs="Times New Roman"/>
        </w:rPr>
        <w:t xml:space="preserve">would </w:t>
      </w:r>
      <w:r w:rsidR="00A83B03">
        <w:rPr>
          <w:rFonts w:ascii="Times New Roman" w:hAnsi="Times New Roman" w:cs="Times New Roman"/>
        </w:rPr>
        <w:t>achieve</w:t>
      </w:r>
      <w:r w:rsidR="004F0DCE">
        <w:rPr>
          <w:rFonts w:ascii="Times New Roman" w:hAnsi="Times New Roman" w:cs="Times New Roman"/>
        </w:rPr>
        <w:t>.</w:t>
      </w:r>
    </w:p>
    <w:p w:rsidR="00DB6C48" w:rsidRPr="0003391E" w:rsidP="0003391E" w14:paraId="3341D120" w14:textId="77777777">
      <w:pPr>
        <w:spacing w:after="0" w:line="240" w:lineRule="auto"/>
        <w:rPr>
          <w:rFonts w:ascii="Times New Roman" w:hAnsi="Times New Roman" w:cs="Times New Roman"/>
        </w:rPr>
      </w:pPr>
    </w:p>
    <w:p w:rsidR="00093C0A" w:rsidRPr="003B4FB9" w:rsidP="003B4FB9" w14:paraId="7F0084AC" w14:textId="77777777">
      <w:pPr>
        <w:pStyle w:val="Heading4"/>
        <w:rPr>
          <w:rFonts w:ascii="Times New Roman" w:hAnsi="Times New Roman" w:cs="Times New Roman"/>
          <w:color w:val="auto"/>
        </w:rPr>
      </w:pPr>
      <w:r w:rsidRPr="003B4FB9">
        <w:rPr>
          <w:rFonts w:ascii="Times New Roman" w:hAnsi="Times New Roman" w:cs="Times New Roman"/>
          <w:color w:val="auto"/>
        </w:rPr>
        <w:t>2.1.1.3 Root Cause Analysis— (</w:t>
      </w:r>
      <w:r w:rsidRPr="003B4FB9" w:rsidR="00924A95">
        <w:rPr>
          <w:rFonts w:ascii="Times New Roman" w:hAnsi="Times New Roman" w:cs="Times New Roman"/>
          <w:color w:val="auto"/>
        </w:rPr>
        <w:t>R</w:t>
      </w:r>
      <w:r w:rsidRPr="003B4FB9">
        <w:rPr>
          <w:rFonts w:ascii="Times New Roman" w:hAnsi="Times New Roman" w:cs="Times New Roman"/>
          <w:color w:val="auto"/>
        </w:rPr>
        <w:t>evisions apply to §§68.60 and 68.81)</w:t>
      </w:r>
    </w:p>
    <w:p w:rsidR="00093C0A" w:rsidRPr="0003391E" w:rsidP="00AF4AF6" w14:paraId="51EEC8B3"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sidR="00D12811">
        <w:rPr>
          <w:rFonts w:ascii="Times New Roman" w:hAnsi="Times New Roman" w:cs="Times New Roman"/>
        </w:rPr>
        <w:t xml:space="preserve">A root cause analysis is a formal process to identify underlying reasons for failures that lead to accidental releases. These analyses usually require staff trained in the technique. </w:t>
      </w:r>
      <w:r w:rsidRPr="0003391E" w:rsidR="00CD2C40">
        <w:rPr>
          <w:rFonts w:ascii="Times New Roman" w:hAnsi="Times New Roman" w:cs="Times New Roman"/>
        </w:rPr>
        <w:t xml:space="preserve">Under the </w:t>
      </w:r>
      <w:r w:rsidR="00110128">
        <w:rPr>
          <w:rFonts w:ascii="Times New Roman" w:hAnsi="Times New Roman" w:cs="Times New Roman"/>
        </w:rPr>
        <w:t>current</w:t>
      </w:r>
      <w:r w:rsidRPr="0003391E" w:rsidR="00CD2C40">
        <w:rPr>
          <w:rFonts w:ascii="Times New Roman" w:hAnsi="Times New Roman" w:cs="Times New Roman"/>
        </w:rPr>
        <w:t xml:space="preserve"> RMP r</w:t>
      </w:r>
      <w:r w:rsidR="00110128">
        <w:rPr>
          <w:rFonts w:ascii="Times New Roman" w:hAnsi="Times New Roman" w:cs="Times New Roman"/>
        </w:rPr>
        <w:t>ule</w:t>
      </w:r>
      <w:r w:rsidRPr="0003391E" w:rsidR="00CD2C40">
        <w:rPr>
          <w:rFonts w:ascii="Times New Roman" w:hAnsi="Times New Roman" w:cs="Times New Roman"/>
        </w:rPr>
        <w:t xml:space="preserve">, facilities </w:t>
      </w:r>
      <w:r w:rsidRPr="0003391E" w:rsidR="00354D92">
        <w:rPr>
          <w:rFonts w:ascii="Times New Roman" w:hAnsi="Times New Roman" w:cs="Times New Roman"/>
        </w:rPr>
        <w:t>are required to</w:t>
      </w:r>
      <w:r w:rsidRPr="0003391E" w:rsidR="00CD2C40">
        <w:rPr>
          <w:rFonts w:ascii="Times New Roman" w:hAnsi="Times New Roman" w:cs="Times New Roman"/>
        </w:rPr>
        <w:t xml:space="preserve"> conduct an incident investigation following an </w:t>
      </w:r>
      <w:r w:rsidR="00D11599">
        <w:rPr>
          <w:rFonts w:ascii="Times New Roman" w:hAnsi="Times New Roman" w:cs="Times New Roman"/>
        </w:rPr>
        <w:t>incident</w:t>
      </w:r>
      <w:r w:rsidRPr="0003391E" w:rsidR="00CD2C40">
        <w:rPr>
          <w:rFonts w:ascii="Times New Roman" w:hAnsi="Times New Roman" w:cs="Times New Roman"/>
        </w:rPr>
        <w:t xml:space="preserve"> </w:t>
      </w:r>
      <w:r w:rsidR="00A83B03">
        <w:rPr>
          <w:rFonts w:ascii="Times New Roman" w:hAnsi="Times New Roman" w:cs="Times New Roman"/>
        </w:rPr>
        <w:t>that</w:t>
      </w:r>
      <w:r w:rsidRPr="0003391E" w:rsidR="00354D92">
        <w:rPr>
          <w:rFonts w:ascii="Times New Roman" w:hAnsi="Times New Roman" w:cs="Times New Roman"/>
        </w:rPr>
        <w:t xml:space="preserve"> resulted or reasonably could have resulted in a catastrophic release.</w:t>
      </w:r>
      <w:r w:rsidRPr="0003391E" w:rsidR="00CD2C40">
        <w:rPr>
          <w:rFonts w:ascii="Times New Roman" w:hAnsi="Times New Roman" w:cs="Times New Roman"/>
        </w:rPr>
        <w:t xml:space="preserve"> </w:t>
      </w:r>
      <w:r w:rsidRPr="0003391E" w:rsidR="00EA1A08">
        <w:rPr>
          <w:rFonts w:ascii="Times New Roman" w:hAnsi="Times New Roman" w:cs="Times New Roman"/>
        </w:rPr>
        <w:t xml:space="preserve">The </w:t>
      </w:r>
      <w:r w:rsidR="004064EF">
        <w:rPr>
          <w:rFonts w:ascii="Times New Roman" w:hAnsi="Times New Roman" w:cs="Times New Roman"/>
        </w:rPr>
        <w:t>final</w:t>
      </w:r>
      <w:r w:rsidRPr="0003391E" w:rsidR="004064EF">
        <w:rPr>
          <w:rFonts w:ascii="Times New Roman" w:hAnsi="Times New Roman" w:cs="Times New Roman"/>
        </w:rPr>
        <w:t xml:space="preserve"> </w:t>
      </w:r>
      <w:r w:rsidRPr="0003391E" w:rsidR="00EA1A08">
        <w:rPr>
          <w:rFonts w:ascii="Times New Roman" w:hAnsi="Times New Roman" w:cs="Times New Roman"/>
        </w:rPr>
        <w:t>rule require</w:t>
      </w:r>
      <w:r w:rsidR="009449B7">
        <w:rPr>
          <w:rFonts w:ascii="Times New Roman" w:hAnsi="Times New Roman" w:cs="Times New Roman"/>
        </w:rPr>
        <w:t>s</w:t>
      </w:r>
      <w:r w:rsidRPr="0003391E" w:rsidR="00EA1A08">
        <w:rPr>
          <w:rFonts w:ascii="Times New Roman" w:hAnsi="Times New Roman" w:cs="Times New Roman"/>
        </w:rPr>
        <w:t xml:space="preserve"> facilities to conduct a root cause analysis as part of an incident investigation following an RMP-reportable accident. </w:t>
      </w:r>
      <w:r w:rsidRPr="0003391E">
        <w:rPr>
          <w:rFonts w:ascii="Times New Roman" w:hAnsi="Times New Roman" w:cs="Times New Roman"/>
        </w:rPr>
        <w:t xml:space="preserve">The </w:t>
      </w:r>
      <w:r w:rsidR="00D12811">
        <w:rPr>
          <w:rFonts w:ascii="Times New Roman" w:hAnsi="Times New Roman" w:cs="Times New Roman"/>
        </w:rPr>
        <w:t>new requirement</w:t>
      </w:r>
      <w:r w:rsidRPr="0003391E">
        <w:rPr>
          <w:rFonts w:ascii="Times New Roman" w:hAnsi="Times New Roman" w:cs="Times New Roman"/>
        </w:rPr>
        <w:t xml:space="preserve"> </w:t>
      </w:r>
      <w:r w:rsidR="009449B7">
        <w:rPr>
          <w:rFonts w:ascii="Times New Roman" w:hAnsi="Times New Roman" w:cs="Times New Roman"/>
        </w:rPr>
        <w:t>will</w:t>
      </w:r>
      <w:r w:rsidRPr="0003391E">
        <w:rPr>
          <w:rFonts w:ascii="Times New Roman" w:hAnsi="Times New Roman" w:cs="Times New Roman"/>
        </w:rPr>
        <w:t xml:space="preserve"> apply to all facilities </w:t>
      </w:r>
      <w:r w:rsidRPr="0003391E">
        <w:rPr>
          <w:rFonts w:ascii="Times New Roman" w:hAnsi="Times New Roman" w:cs="Times New Roman"/>
        </w:rPr>
        <w:t xml:space="preserve">with Program 2 and 3 processes that experience an RMP-reportable accident. </w:t>
      </w:r>
      <w:r w:rsidRPr="0003391E" w:rsidR="00CD2C40">
        <w:rPr>
          <w:rFonts w:ascii="Times New Roman" w:hAnsi="Times New Roman" w:cs="Times New Roman"/>
        </w:rPr>
        <w:t>There are approximately 100 accidents</w:t>
      </w:r>
      <w:r w:rsidRPr="0003391E" w:rsidR="00905178">
        <w:rPr>
          <w:rFonts w:ascii="Times New Roman" w:hAnsi="Times New Roman" w:cs="Times New Roman"/>
        </w:rPr>
        <w:t xml:space="preserve"> with onsite impacts</w:t>
      </w:r>
      <w:r w:rsidRPr="0003391E" w:rsidR="00CD2C40">
        <w:rPr>
          <w:rFonts w:ascii="Times New Roman" w:hAnsi="Times New Roman" w:cs="Times New Roman"/>
        </w:rPr>
        <w:t xml:space="preserve"> per year in the baseline (see Exhibit </w:t>
      </w:r>
      <w:r w:rsidR="00D73E96">
        <w:rPr>
          <w:rFonts w:ascii="Times New Roman" w:hAnsi="Times New Roman" w:cs="Times New Roman"/>
        </w:rPr>
        <w:t>3-11</w:t>
      </w:r>
      <w:r w:rsidRPr="0003391E" w:rsidR="00905178">
        <w:rPr>
          <w:rFonts w:ascii="Times New Roman" w:hAnsi="Times New Roman" w:cs="Times New Roman"/>
        </w:rPr>
        <w:t>)</w:t>
      </w:r>
      <w:r w:rsidR="00540D6A">
        <w:rPr>
          <w:rFonts w:ascii="Times New Roman" w:hAnsi="Times New Roman" w:cs="Times New Roman"/>
        </w:rPr>
        <w:t>.</w:t>
      </w:r>
    </w:p>
    <w:p w:rsidR="0053065E" w:rsidP="0003391E" w14:paraId="50964B93" w14:textId="77777777">
      <w:pPr>
        <w:spacing w:after="0" w:line="240" w:lineRule="auto"/>
        <w:ind w:firstLine="720"/>
        <w:rPr>
          <w:rFonts w:ascii="Times New Roman" w:hAnsi="Times New Roman" w:cs="Times New Roman"/>
        </w:rPr>
      </w:pPr>
    </w:p>
    <w:p w:rsidR="00D243A1" w:rsidRPr="003B4FB9" w:rsidP="003B4FB9" w14:paraId="30DE2A5C" w14:textId="77777777">
      <w:pPr>
        <w:pStyle w:val="Heading4"/>
        <w:rPr>
          <w:rFonts w:ascii="Times New Roman" w:hAnsi="Times New Roman" w:cs="Times New Roman"/>
        </w:rPr>
      </w:pPr>
      <w:r w:rsidRPr="003B4FB9">
        <w:rPr>
          <w:rFonts w:ascii="Times New Roman" w:hAnsi="Times New Roman" w:cs="Times New Roman"/>
          <w:color w:val="auto"/>
        </w:rPr>
        <w:t>2.1.1.4 Third-Party Audits— (</w:t>
      </w:r>
      <w:r w:rsidRPr="003B4FB9" w:rsidR="00924A95">
        <w:rPr>
          <w:rFonts w:ascii="Times New Roman" w:hAnsi="Times New Roman" w:cs="Times New Roman"/>
          <w:color w:val="auto"/>
        </w:rPr>
        <w:t>R</w:t>
      </w:r>
      <w:r w:rsidRPr="003B4FB9">
        <w:rPr>
          <w:rFonts w:ascii="Times New Roman" w:hAnsi="Times New Roman" w:cs="Times New Roman"/>
          <w:color w:val="auto"/>
        </w:rPr>
        <w:t>evisions apply to §§68.58 and 68.79 and new §§68.59 and 68.80)</w:t>
      </w:r>
    </w:p>
    <w:p w:rsidR="00D243A1" w:rsidP="00D243A1" w14:paraId="560BCABC"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The </w:t>
      </w:r>
      <w:r>
        <w:rPr>
          <w:rFonts w:ascii="Times New Roman" w:hAnsi="Times New Roman" w:cs="Times New Roman"/>
        </w:rPr>
        <w:t>current</w:t>
      </w:r>
      <w:r w:rsidR="00110128">
        <w:rPr>
          <w:rFonts w:ascii="Times New Roman" w:hAnsi="Times New Roman" w:cs="Times New Roman"/>
        </w:rPr>
        <w:t xml:space="preserve"> RMP</w:t>
      </w:r>
      <w:r w:rsidRPr="0003391E">
        <w:rPr>
          <w:rFonts w:ascii="Times New Roman" w:hAnsi="Times New Roman" w:cs="Times New Roman"/>
        </w:rPr>
        <w:t xml:space="preserve"> rule requires facilities to conduct a compliance audit of Program 2 and Program 3 processes at least once every three years. Th</w:t>
      </w:r>
      <w:r w:rsidR="005C3F69">
        <w:rPr>
          <w:rFonts w:ascii="Times New Roman" w:hAnsi="Times New Roman" w:cs="Times New Roman"/>
        </w:rPr>
        <w:t>e</w:t>
      </w:r>
      <w:r w:rsidRPr="0003391E">
        <w:rPr>
          <w:rFonts w:ascii="Times New Roman" w:hAnsi="Times New Roman" w:cs="Times New Roman"/>
        </w:rPr>
        <w:t xml:space="preserve"> </w:t>
      </w:r>
      <w:r w:rsidR="00C3116F">
        <w:rPr>
          <w:rFonts w:ascii="Times New Roman" w:hAnsi="Times New Roman" w:cs="Times New Roman"/>
        </w:rPr>
        <w:t>final</w:t>
      </w:r>
      <w:r w:rsidRPr="0003391E" w:rsidR="00C3116F">
        <w:rPr>
          <w:rFonts w:ascii="Times New Roman" w:hAnsi="Times New Roman" w:cs="Times New Roman"/>
        </w:rPr>
        <w:t xml:space="preserve"> </w:t>
      </w:r>
      <w:r w:rsidRPr="0003391E">
        <w:rPr>
          <w:rFonts w:ascii="Times New Roman" w:hAnsi="Times New Roman" w:cs="Times New Roman"/>
        </w:rPr>
        <w:t>rule</w:t>
      </w:r>
      <w:r w:rsidR="00D976EE">
        <w:rPr>
          <w:rFonts w:ascii="Times New Roman" w:hAnsi="Times New Roman" w:cs="Times New Roman"/>
        </w:rPr>
        <w:t>,</w:t>
      </w:r>
      <w:r w:rsidRPr="0003391E">
        <w:rPr>
          <w:rFonts w:ascii="Times New Roman" w:hAnsi="Times New Roman" w:cs="Times New Roman"/>
        </w:rPr>
        <w:t xml:space="preserve"> also applicable to Program 2 and Program 3 processes</w:t>
      </w:r>
      <w:r w:rsidR="00D976EE">
        <w:rPr>
          <w:rFonts w:ascii="Times New Roman" w:hAnsi="Times New Roman" w:cs="Times New Roman"/>
        </w:rPr>
        <w:t>,</w:t>
      </w:r>
      <w:r w:rsidRPr="0003391E">
        <w:rPr>
          <w:rFonts w:ascii="Times New Roman" w:hAnsi="Times New Roman" w:cs="Times New Roman"/>
        </w:rPr>
        <w:t xml:space="preserve"> require</w:t>
      </w:r>
      <w:r w:rsidR="004A5D9A">
        <w:rPr>
          <w:rFonts w:ascii="Times New Roman" w:hAnsi="Times New Roman" w:cs="Times New Roman"/>
        </w:rPr>
        <w:t>s</w:t>
      </w:r>
      <w:r w:rsidRPr="0003391E">
        <w:rPr>
          <w:rFonts w:ascii="Times New Roman" w:hAnsi="Times New Roman" w:cs="Times New Roman"/>
        </w:rPr>
        <w:t xml:space="preserve"> the next required compliance audit to be a third-party audit when any one of the following conditions applies:</w:t>
      </w:r>
    </w:p>
    <w:p w:rsidR="00D243A1" w:rsidRPr="0003391E" w:rsidP="00D243A1" w14:paraId="1D6D7ACC" w14:textId="77777777">
      <w:pPr>
        <w:spacing w:after="0" w:line="240" w:lineRule="auto"/>
        <w:ind w:firstLine="360"/>
        <w:rPr>
          <w:rFonts w:ascii="Times New Roman" w:hAnsi="Times New Roman" w:cs="Times New Roman"/>
        </w:rPr>
      </w:pPr>
    </w:p>
    <w:p w:rsidR="00D243A1" w:rsidRPr="00AF4AF6" w:rsidP="00082826" w14:paraId="0C0C9830" w14:textId="77777777">
      <w:pPr>
        <w:pStyle w:val="ListParagraph"/>
        <w:numPr>
          <w:ilvl w:val="0"/>
          <w:numId w:val="19"/>
        </w:numPr>
        <w:spacing w:after="0" w:line="240" w:lineRule="auto"/>
        <w:rPr>
          <w:rFonts w:ascii="Times New Roman" w:hAnsi="Times New Roman" w:cs="Times New Roman"/>
        </w:rPr>
      </w:pPr>
      <w:r w:rsidRPr="0003391E">
        <w:rPr>
          <w:rFonts w:ascii="Times New Roman" w:hAnsi="Times New Roman" w:cs="Times New Roman"/>
        </w:rPr>
        <w:t xml:space="preserve">The facility has had </w:t>
      </w:r>
      <w:r w:rsidR="00356DB9">
        <w:rPr>
          <w:rFonts w:ascii="Times New Roman" w:hAnsi="Times New Roman" w:cs="Times New Roman"/>
        </w:rPr>
        <w:t>an</w:t>
      </w:r>
      <w:r w:rsidRPr="0003391E" w:rsidR="00310B3B">
        <w:rPr>
          <w:rFonts w:ascii="Times New Roman" w:hAnsi="Times New Roman" w:cs="Times New Roman"/>
        </w:rPr>
        <w:t xml:space="preserve"> </w:t>
      </w:r>
      <w:r w:rsidRPr="0003391E">
        <w:rPr>
          <w:rFonts w:ascii="Times New Roman" w:hAnsi="Times New Roman" w:cs="Times New Roman"/>
        </w:rPr>
        <w:t>RMP-reportable accident; or</w:t>
      </w:r>
    </w:p>
    <w:p w:rsidR="00D243A1" w:rsidRPr="0003391E" w:rsidP="00082826" w14:paraId="5A372621" w14:textId="77777777">
      <w:pPr>
        <w:pStyle w:val="ListParagraph"/>
        <w:numPr>
          <w:ilvl w:val="0"/>
          <w:numId w:val="19"/>
        </w:numPr>
        <w:spacing w:after="0" w:line="240" w:lineRule="auto"/>
        <w:contextualSpacing w:val="0"/>
        <w:rPr>
          <w:rFonts w:ascii="Times New Roman" w:hAnsi="Times New Roman" w:cs="Times New Roman"/>
        </w:rPr>
      </w:pPr>
      <w:r w:rsidRPr="0003391E">
        <w:rPr>
          <w:rFonts w:ascii="Times New Roman" w:hAnsi="Times New Roman" w:cs="Times New Roman"/>
        </w:rPr>
        <w:t>An implementing agency requires a third-party audit either due to conditions at the stationary source that could lead to an accidental release of a regulated substance, or due to a previous third-party audit that failed to meet the competency or independence criteria of §68.80(c).</w:t>
      </w:r>
    </w:p>
    <w:p w:rsidR="00D243A1" w:rsidRPr="0003391E" w:rsidP="00B01405" w14:paraId="10BE9EC7" w14:textId="77777777">
      <w:pPr>
        <w:spacing w:after="0" w:line="240" w:lineRule="auto"/>
        <w:ind w:left="720"/>
        <w:rPr>
          <w:rFonts w:ascii="Times New Roman" w:hAnsi="Times New Roman" w:cs="Times New Roman"/>
        </w:rPr>
      </w:pPr>
      <w:r w:rsidRPr="0003391E">
        <w:rPr>
          <w:rFonts w:ascii="Times New Roman" w:hAnsi="Times New Roman" w:cs="Times New Roman"/>
        </w:rPr>
        <w:tab/>
      </w:r>
    </w:p>
    <w:p w:rsidR="006458D6" w:rsidP="00B01405" w14:paraId="7BDDE326" w14:textId="77777777">
      <w:pPr>
        <w:spacing w:after="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EPA believes that these third-party audit provisions </w:t>
      </w:r>
      <w:r w:rsidR="000673C0">
        <w:rPr>
          <w:rFonts w:ascii="Times New Roman" w:hAnsi="Times New Roman" w:cs="Times New Roman"/>
        </w:rPr>
        <w:t>will</w:t>
      </w:r>
      <w:r w:rsidRPr="0003391E" w:rsidR="000673C0">
        <w:rPr>
          <w:rFonts w:ascii="Times New Roman" w:hAnsi="Times New Roman" w:cs="Times New Roman"/>
        </w:rPr>
        <w:t xml:space="preserve"> </w:t>
      </w:r>
      <w:r w:rsidRPr="0003391E">
        <w:rPr>
          <w:rFonts w:ascii="Times New Roman" w:hAnsi="Times New Roman" w:cs="Times New Roman"/>
        </w:rPr>
        <w:t>help ensure that owners and operators of RMP facilities objectively and adequately explore all opportunities to prevent or minimize accidental releases of regulated substances to protect human health and the environment. EPA estimates that only a small numbe</w:t>
      </w:r>
      <w:r w:rsidR="00454FBB">
        <w:rPr>
          <w:rFonts w:ascii="Times New Roman" w:hAnsi="Times New Roman" w:cs="Times New Roman"/>
        </w:rPr>
        <w:t xml:space="preserve">r of </w:t>
      </w:r>
      <w:r w:rsidRPr="0003391E">
        <w:rPr>
          <w:rFonts w:ascii="Times New Roman" w:hAnsi="Times New Roman" w:cs="Times New Roman"/>
        </w:rPr>
        <w:t xml:space="preserve">facilities </w:t>
      </w:r>
      <w:r w:rsidR="009449B7">
        <w:rPr>
          <w:rFonts w:ascii="Times New Roman" w:hAnsi="Times New Roman" w:cs="Times New Roman"/>
        </w:rPr>
        <w:t>will</w:t>
      </w:r>
      <w:r w:rsidRPr="0003391E">
        <w:rPr>
          <w:rFonts w:ascii="Times New Roman" w:hAnsi="Times New Roman" w:cs="Times New Roman"/>
        </w:rPr>
        <w:t xml:space="preserve"> be subject to the third-party audit requirement each year</w:t>
      </w:r>
      <w:r w:rsidR="00DC3383">
        <w:rPr>
          <w:rFonts w:ascii="Times New Roman" w:hAnsi="Times New Roman" w:cs="Times New Roman"/>
        </w:rPr>
        <w:t>.</w:t>
      </w:r>
    </w:p>
    <w:p w:rsidR="00B01405" w:rsidRPr="00AD2B6F" w:rsidP="00B01405" w14:paraId="0A60251D" w14:textId="77777777">
      <w:pPr>
        <w:spacing w:after="0"/>
      </w:pPr>
    </w:p>
    <w:p w:rsidR="00093C0A" w:rsidRPr="003B4FB9" w:rsidP="003B4FB9" w14:paraId="257C8A33" w14:textId="77777777">
      <w:pPr>
        <w:pStyle w:val="Heading4"/>
        <w:rPr>
          <w:rFonts w:ascii="Times New Roman" w:hAnsi="Times New Roman" w:cs="Times New Roman"/>
          <w:color w:val="auto"/>
        </w:rPr>
      </w:pPr>
      <w:r w:rsidRPr="003B4FB9">
        <w:rPr>
          <w:rFonts w:ascii="Times New Roman" w:hAnsi="Times New Roman" w:cs="Times New Roman"/>
          <w:color w:val="auto"/>
        </w:rPr>
        <w:t>2.1.1.5 Employee Participation— (</w:t>
      </w:r>
      <w:r w:rsidRPr="003B4FB9" w:rsidR="00546AF0">
        <w:rPr>
          <w:rFonts w:ascii="Times New Roman" w:hAnsi="Times New Roman" w:cs="Times New Roman"/>
          <w:color w:val="auto"/>
        </w:rPr>
        <w:t>P</w:t>
      </w:r>
      <w:r w:rsidRPr="003B4FB9">
        <w:rPr>
          <w:rFonts w:ascii="Times New Roman" w:hAnsi="Times New Roman" w:cs="Times New Roman"/>
          <w:color w:val="auto"/>
        </w:rPr>
        <w:t>r</w:t>
      </w:r>
      <w:r w:rsidRPr="003B4FB9" w:rsidR="00546AF0">
        <w:rPr>
          <w:rFonts w:ascii="Times New Roman" w:hAnsi="Times New Roman" w:cs="Times New Roman"/>
          <w:color w:val="auto"/>
        </w:rPr>
        <w:t>o</w:t>
      </w:r>
      <w:r w:rsidRPr="003B4FB9">
        <w:rPr>
          <w:rFonts w:ascii="Times New Roman" w:hAnsi="Times New Roman" w:cs="Times New Roman"/>
          <w:color w:val="auto"/>
        </w:rPr>
        <w:t>visions apply to §68.83)</w:t>
      </w:r>
    </w:p>
    <w:p w:rsidR="00354D92" w:rsidRPr="0003391E" w:rsidP="1AC11E7E" w14:paraId="35CE9700" w14:textId="77777777">
      <w:pPr>
        <w:pStyle w:val="NormalWeb"/>
        <w:shd w:val="clear" w:color="auto" w:fill="FFFFFF" w:themeFill="background1"/>
        <w:spacing w:before="0" w:beforeAutospacing="0" w:after="0" w:afterAutospacing="0"/>
        <w:ind w:firstLine="360"/>
        <w:rPr>
          <w:color w:val="242424"/>
          <w:sz w:val="22"/>
          <w:szCs w:val="22"/>
        </w:rPr>
      </w:pPr>
      <w:r>
        <w:rPr>
          <w:sz w:val="22"/>
          <w:szCs w:val="22"/>
        </w:rPr>
        <w:tab/>
      </w:r>
      <w:r w:rsidR="0031735F">
        <w:rPr>
          <w:sz w:val="22"/>
          <w:szCs w:val="22"/>
        </w:rPr>
        <w:t>Under the current RMP rule</w:t>
      </w:r>
      <w:r w:rsidRPr="0003391E" w:rsidR="00CD2C40">
        <w:rPr>
          <w:sz w:val="22"/>
          <w:szCs w:val="22"/>
        </w:rPr>
        <w:t xml:space="preserve">, </w:t>
      </w:r>
      <w:r w:rsidR="004D4A61">
        <w:rPr>
          <w:sz w:val="22"/>
          <w:szCs w:val="22"/>
        </w:rPr>
        <w:t xml:space="preserve">Program 3 process </w:t>
      </w:r>
      <w:r w:rsidRPr="0003391E" w:rsidR="00CD2C40">
        <w:rPr>
          <w:sz w:val="22"/>
          <w:szCs w:val="22"/>
        </w:rPr>
        <w:t>facil</w:t>
      </w:r>
      <w:r w:rsidRPr="0003391E" w:rsidR="00B4618C">
        <w:rPr>
          <w:sz w:val="22"/>
          <w:szCs w:val="22"/>
        </w:rPr>
        <w:t>i</w:t>
      </w:r>
      <w:r w:rsidRPr="0003391E" w:rsidR="00CD2C40">
        <w:rPr>
          <w:sz w:val="22"/>
          <w:szCs w:val="22"/>
        </w:rPr>
        <w:t>t</w:t>
      </w:r>
      <w:r w:rsidR="004D4A61">
        <w:rPr>
          <w:sz w:val="22"/>
          <w:szCs w:val="22"/>
        </w:rPr>
        <w:t>ies’</w:t>
      </w:r>
      <w:r w:rsidR="004F07E0">
        <w:rPr>
          <w:sz w:val="22"/>
          <w:szCs w:val="22"/>
        </w:rPr>
        <w:t xml:space="preserve"> </w:t>
      </w:r>
      <w:r w:rsidRPr="0003391E" w:rsidR="00CD2C40">
        <w:rPr>
          <w:sz w:val="22"/>
          <w:szCs w:val="22"/>
        </w:rPr>
        <w:t>employee participation plans require</w:t>
      </w:r>
      <w:r w:rsidRPr="0003391E">
        <w:rPr>
          <w:color w:val="242424"/>
          <w:sz w:val="22"/>
          <w:szCs w:val="22"/>
        </w:rPr>
        <w:t xml:space="preserve"> the owner or operator to consult with employees and their representatives on the conduct and development of process hazards analyses and on the development of the other elements of </w:t>
      </w:r>
      <w:r w:rsidR="000C1208">
        <w:rPr>
          <w:color w:val="242424"/>
          <w:sz w:val="22"/>
          <w:szCs w:val="22"/>
        </w:rPr>
        <w:t>PSM</w:t>
      </w:r>
      <w:r w:rsidRPr="0003391E">
        <w:rPr>
          <w:color w:val="242424"/>
          <w:sz w:val="22"/>
          <w:szCs w:val="22"/>
        </w:rPr>
        <w:t>. The owner or operator</w:t>
      </w:r>
      <w:r w:rsidR="006626C9">
        <w:rPr>
          <w:color w:val="242424"/>
          <w:sz w:val="22"/>
          <w:szCs w:val="22"/>
        </w:rPr>
        <w:t xml:space="preserve"> must</w:t>
      </w:r>
      <w:r w:rsidRPr="0003391E">
        <w:rPr>
          <w:color w:val="242424"/>
          <w:sz w:val="22"/>
          <w:szCs w:val="22"/>
        </w:rPr>
        <w:t xml:space="preserve"> </w:t>
      </w:r>
      <w:r w:rsidRPr="0003391E" w:rsidR="007A5016">
        <w:rPr>
          <w:color w:val="242424"/>
          <w:sz w:val="22"/>
          <w:szCs w:val="22"/>
        </w:rPr>
        <w:t>provide</w:t>
      </w:r>
      <w:r w:rsidRPr="0003391E">
        <w:rPr>
          <w:color w:val="242424"/>
          <w:sz w:val="22"/>
          <w:szCs w:val="22"/>
        </w:rPr>
        <w:t xml:space="preserve"> employees and their representatives access </w:t>
      </w:r>
      <w:r w:rsidR="006F7F8C">
        <w:rPr>
          <w:color w:val="242424"/>
          <w:sz w:val="22"/>
          <w:szCs w:val="22"/>
        </w:rPr>
        <w:t xml:space="preserve">to PHAs </w:t>
      </w:r>
      <w:r w:rsidRPr="0003391E">
        <w:rPr>
          <w:color w:val="242424"/>
          <w:sz w:val="22"/>
          <w:szCs w:val="22"/>
        </w:rPr>
        <w:t>and to all other information required to be developed under this rule.</w:t>
      </w:r>
      <w:r w:rsidR="006F7F8C">
        <w:rPr>
          <w:color w:val="242424"/>
          <w:sz w:val="22"/>
          <w:szCs w:val="22"/>
        </w:rPr>
        <w:t xml:space="preserve"> </w:t>
      </w:r>
    </w:p>
    <w:p w:rsidR="00354D92" w:rsidRPr="0003391E" w:rsidP="0003391E" w14:paraId="5183B7FC" w14:textId="77777777">
      <w:pPr>
        <w:pStyle w:val="CommentText"/>
        <w:spacing w:after="0"/>
        <w:rPr>
          <w:rFonts w:ascii="Times New Roman" w:hAnsi="Times New Roman" w:cs="Times New Roman"/>
          <w:sz w:val="22"/>
          <w:szCs w:val="22"/>
        </w:rPr>
      </w:pPr>
    </w:p>
    <w:p w:rsidR="0036570B" w:rsidP="00AF4AF6" w14:paraId="45362858"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The </w:t>
      </w:r>
      <w:r w:rsidR="00C81944">
        <w:rPr>
          <w:rFonts w:ascii="Times New Roman" w:hAnsi="Times New Roman" w:cs="Times New Roman"/>
        </w:rPr>
        <w:t>final</w:t>
      </w:r>
      <w:r w:rsidRPr="0003391E" w:rsidR="00C81944">
        <w:rPr>
          <w:rFonts w:ascii="Times New Roman" w:hAnsi="Times New Roman" w:cs="Times New Roman"/>
        </w:rPr>
        <w:t xml:space="preserve"> </w:t>
      </w:r>
      <w:r w:rsidRPr="0003391E">
        <w:rPr>
          <w:rFonts w:ascii="Times New Roman" w:hAnsi="Times New Roman" w:cs="Times New Roman"/>
        </w:rPr>
        <w:t>rule revise</w:t>
      </w:r>
      <w:r w:rsidR="00E751F4">
        <w:rPr>
          <w:rFonts w:ascii="Times New Roman" w:hAnsi="Times New Roman" w:cs="Times New Roman"/>
        </w:rPr>
        <w:t>s</w:t>
      </w:r>
      <w:r w:rsidRPr="0003391E">
        <w:rPr>
          <w:rFonts w:ascii="Times New Roman" w:hAnsi="Times New Roman" w:cs="Times New Roman"/>
        </w:rPr>
        <w:t xml:space="preserve"> </w:t>
      </w:r>
      <w:r w:rsidRPr="0003391E" w:rsidR="0027443C">
        <w:rPr>
          <w:rFonts w:ascii="Times New Roman" w:hAnsi="Times New Roman" w:cs="Times New Roman"/>
        </w:rPr>
        <w:t>§</w:t>
      </w:r>
      <w:r w:rsidRPr="0003391E">
        <w:rPr>
          <w:rFonts w:ascii="Times New Roman" w:hAnsi="Times New Roman" w:cs="Times New Roman"/>
        </w:rPr>
        <w:t xml:space="preserve">68.83 and other aspects of employee participation to require </w:t>
      </w:r>
      <w:r w:rsidR="003B7B08">
        <w:rPr>
          <w:rFonts w:ascii="Times New Roman" w:hAnsi="Times New Roman" w:cs="Times New Roman"/>
        </w:rPr>
        <w:t>six</w:t>
      </w:r>
      <w:r w:rsidRPr="0003391E" w:rsidR="00E076F4">
        <w:rPr>
          <w:rFonts w:ascii="Times New Roman" w:hAnsi="Times New Roman" w:cs="Times New Roman"/>
        </w:rPr>
        <w:t xml:space="preserve"> </w:t>
      </w:r>
      <w:r w:rsidRPr="0003391E">
        <w:rPr>
          <w:rFonts w:ascii="Times New Roman" w:hAnsi="Times New Roman" w:cs="Times New Roman"/>
        </w:rPr>
        <w:t>new components</w:t>
      </w:r>
      <w:r w:rsidR="00AF4AF6">
        <w:rPr>
          <w:rFonts w:ascii="Times New Roman" w:hAnsi="Times New Roman" w:cs="Times New Roman"/>
        </w:rPr>
        <w:t>:</w:t>
      </w:r>
    </w:p>
    <w:p w:rsidR="00AF4AF6" w:rsidRPr="0003391E" w:rsidP="00AF4AF6" w14:paraId="49B6A417" w14:textId="77777777">
      <w:pPr>
        <w:spacing w:after="0" w:line="240" w:lineRule="auto"/>
        <w:ind w:firstLine="360"/>
        <w:rPr>
          <w:rFonts w:ascii="Times New Roman" w:hAnsi="Times New Roman" w:cs="Times New Roman"/>
        </w:rPr>
      </w:pPr>
    </w:p>
    <w:p w:rsidR="00AD6E3B" w:rsidP="00082826" w14:paraId="7EC1E450" w14:textId="77777777">
      <w:pPr>
        <w:pStyle w:val="ListParagraph"/>
        <w:numPr>
          <w:ilvl w:val="0"/>
          <w:numId w:val="20"/>
        </w:numPr>
        <w:spacing w:after="0" w:line="240" w:lineRule="auto"/>
        <w:contextualSpacing w:val="0"/>
        <w:rPr>
          <w:rFonts w:ascii="Times New Roman" w:hAnsi="Times New Roman" w:cs="Times New Roman"/>
        </w:rPr>
      </w:pPr>
      <w:r>
        <w:rPr>
          <w:rFonts w:ascii="Times New Roman" w:hAnsi="Times New Roman" w:cs="Times New Roman"/>
        </w:rPr>
        <w:t>Program 2 process facilities</w:t>
      </w:r>
      <w:r w:rsidR="00C33D10">
        <w:rPr>
          <w:rFonts w:ascii="Times New Roman" w:hAnsi="Times New Roman" w:cs="Times New Roman"/>
        </w:rPr>
        <w:t xml:space="preserve"> must develop </w:t>
      </w:r>
      <w:r w:rsidR="00BF62D7">
        <w:rPr>
          <w:rFonts w:ascii="Times New Roman" w:hAnsi="Times New Roman" w:cs="Times New Roman"/>
        </w:rPr>
        <w:t xml:space="preserve">written </w:t>
      </w:r>
      <w:r w:rsidR="00C33D10">
        <w:rPr>
          <w:rFonts w:ascii="Times New Roman" w:hAnsi="Times New Roman" w:cs="Times New Roman"/>
        </w:rPr>
        <w:t>employee participation plans</w:t>
      </w:r>
      <w:r w:rsidR="00BF62D7">
        <w:rPr>
          <w:rFonts w:ascii="Times New Roman" w:hAnsi="Times New Roman" w:cs="Times New Roman"/>
        </w:rPr>
        <w:t xml:space="preserve"> of action</w:t>
      </w:r>
      <w:r w:rsidR="005118E0">
        <w:rPr>
          <w:rFonts w:ascii="Times New Roman" w:hAnsi="Times New Roman" w:cs="Times New Roman"/>
        </w:rPr>
        <w:t xml:space="preserve">, </w:t>
      </w:r>
      <w:r w:rsidR="00BD59B6">
        <w:rPr>
          <w:rFonts w:ascii="Times New Roman" w:hAnsi="Times New Roman" w:cs="Times New Roman"/>
        </w:rPr>
        <w:t>which</w:t>
      </w:r>
      <w:r w:rsidR="005B3E94">
        <w:rPr>
          <w:rFonts w:ascii="Times New Roman" w:hAnsi="Times New Roman" w:cs="Times New Roman"/>
        </w:rPr>
        <w:t xml:space="preserve"> detail employee roles in using reasonable judgment </w:t>
      </w:r>
      <w:r w:rsidR="004013C1">
        <w:rPr>
          <w:rFonts w:ascii="Times New Roman" w:hAnsi="Times New Roman" w:cs="Times New Roman"/>
        </w:rPr>
        <w:t>and communication</w:t>
      </w:r>
      <w:r w:rsidR="0013090F">
        <w:rPr>
          <w:rFonts w:ascii="Times New Roman" w:hAnsi="Times New Roman" w:cs="Times New Roman"/>
        </w:rPr>
        <w:t xml:space="preserve"> procedures</w:t>
      </w:r>
      <w:r w:rsidR="004013C1">
        <w:rPr>
          <w:rFonts w:ascii="Times New Roman" w:hAnsi="Times New Roman" w:cs="Times New Roman"/>
        </w:rPr>
        <w:t xml:space="preserve"> to identify, raise, and address safety concerns.</w:t>
      </w:r>
      <w:r w:rsidR="00D92ADE">
        <w:rPr>
          <w:rFonts w:ascii="Times New Roman" w:hAnsi="Times New Roman" w:cs="Times New Roman"/>
        </w:rPr>
        <w:t xml:space="preserve"> </w:t>
      </w:r>
      <w:r w:rsidR="001D48E4">
        <w:rPr>
          <w:rFonts w:ascii="Times New Roman" w:hAnsi="Times New Roman" w:cs="Times New Roman"/>
        </w:rPr>
        <w:t xml:space="preserve">Facilities must also </w:t>
      </w:r>
      <w:r w:rsidR="009A1819">
        <w:rPr>
          <w:rFonts w:ascii="Times New Roman" w:hAnsi="Times New Roman" w:cs="Times New Roman"/>
        </w:rPr>
        <w:t>develop and implement a process for employees to report on hazards and noncompliance</w:t>
      </w:r>
      <w:r w:rsidR="006F0E61">
        <w:rPr>
          <w:rFonts w:ascii="Times New Roman" w:hAnsi="Times New Roman" w:cs="Times New Roman"/>
        </w:rPr>
        <w:t xml:space="preserve"> and must provide employees and their representatives ac</w:t>
      </w:r>
      <w:r w:rsidR="000F252A">
        <w:rPr>
          <w:rFonts w:ascii="Times New Roman" w:hAnsi="Times New Roman" w:cs="Times New Roman"/>
        </w:rPr>
        <w:t xml:space="preserve">cess to hazard reviews and </w:t>
      </w:r>
      <w:r w:rsidR="000D387A">
        <w:rPr>
          <w:rFonts w:ascii="Times New Roman" w:hAnsi="Times New Roman" w:cs="Times New Roman"/>
        </w:rPr>
        <w:t>all other information required to be developed under this rule</w:t>
      </w:r>
      <w:r w:rsidR="00331174">
        <w:rPr>
          <w:rFonts w:ascii="Times New Roman" w:hAnsi="Times New Roman" w:cs="Times New Roman"/>
        </w:rPr>
        <w:t>.</w:t>
      </w:r>
    </w:p>
    <w:p w:rsidR="003F0BDD" w:rsidP="003E02D4" w14:paraId="6F60C8B8" w14:textId="77777777">
      <w:pPr>
        <w:pStyle w:val="ListParagraph"/>
        <w:spacing w:after="0" w:line="240" w:lineRule="auto"/>
        <w:ind w:left="1080"/>
        <w:contextualSpacing w:val="0"/>
        <w:rPr>
          <w:rFonts w:ascii="Times New Roman" w:hAnsi="Times New Roman" w:cs="Times New Roman"/>
        </w:rPr>
      </w:pPr>
    </w:p>
    <w:p w:rsidR="005D0805" w:rsidRPr="0041783C" w:rsidP="00082826" w14:paraId="6F013E31" w14:textId="77777777">
      <w:pPr>
        <w:pStyle w:val="ListParagraph"/>
        <w:numPr>
          <w:ilvl w:val="0"/>
          <w:numId w:val="20"/>
        </w:numPr>
        <w:spacing w:after="0" w:line="240" w:lineRule="auto"/>
        <w:contextualSpacing w:val="0"/>
        <w:rPr>
          <w:rFonts w:ascii="Times New Roman" w:hAnsi="Times New Roman" w:cs="Times New Roman"/>
        </w:rPr>
      </w:pPr>
      <w:r w:rsidRPr="00DC3383">
        <w:rPr>
          <w:rFonts w:ascii="Times New Roman" w:hAnsi="Times New Roman" w:cs="Times New Roman"/>
        </w:rPr>
        <w:t xml:space="preserve">The </w:t>
      </w:r>
      <w:r w:rsidRPr="00DC3383" w:rsidR="004D4A61">
        <w:rPr>
          <w:rFonts w:ascii="Times New Roman" w:hAnsi="Times New Roman" w:cs="Times New Roman"/>
        </w:rPr>
        <w:t xml:space="preserve">Program 3 </w:t>
      </w:r>
      <w:r w:rsidRPr="00DC3383" w:rsidR="00354D92">
        <w:rPr>
          <w:rFonts w:ascii="Times New Roman" w:hAnsi="Times New Roman" w:cs="Times New Roman"/>
        </w:rPr>
        <w:t>employee participation</w:t>
      </w:r>
      <w:r w:rsidRPr="00DC3383">
        <w:rPr>
          <w:rFonts w:ascii="Times New Roman" w:hAnsi="Times New Roman" w:cs="Times New Roman"/>
        </w:rPr>
        <w:t xml:space="preserve"> plan must include the consultation of employees and their representatives regarding how to address, correct, resolve, document, and implement recommendations of process hazard analyses, incident investigations, and compliance audit</w:t>
      </w:r>
      <w:r w:rsidRPr="0041783C">
        <w:rPr>
          <w:rFonts w:ascii="Times New Roman" w:hAnsi="Times New Roman" w:cs="Times New Roman"/>
        </w:rPr>
        <w:t>s.</w:t>
      </w:r>
    </w:p>
    <w:p w:rsidR="00587204" w:rsidRPr="0041783C" w:rsidP="00587204" w14:paraId="1DBBC7AD" w14:textId="77777777">
      <w:pPr>
        <w:pStyle w:val="ListParagraph"/>
        <w:spacing w:after="0" w:line="240" w:lineRule="auto"/>
        <w:ind w:left="1080"/>
        <w:contextualSpacing w:val="0"/>
        <w:rPr>
          <w:rFonts w:ascii="Times New Roman" w:hAnsi="Times New Roman" w:cs="Times New Roman"/>
        </w:rPr>
      </w:pPr>
    </w:p>
    <w:p w:rsidR="00AF4AF6" w:rsidRPr="0041783C" w:rsidP="00082826" w14:paraId="47E804A6" w14:textId="77777777">
      <w:pPr>
        <w:pStyle w:val="ListParagraph"/>
        <w:numPr>
          <w:ilvl w:val="0"/>
          <w:numId w:val="20"/>
        </w:numPr>
        <w:spacing w:after="0" w:line="240" w:lineRule="auto"/>
        <w:contextualSpacing w:val="0"/>
        <w:rPr>
          <w:rFonts w:ascii="Times New Roman" w:hAnsi="Times New Roman" w:cs="Times New Roman"/>
        </w:rPr>
      </w:pPr>
      <w:r w:rsidRPr="00DC3383">
        <w:rPr>
          <w:rFonts w:ascii="Times New Roman" w:hAnsi="Times New Roman" w:cs="Times New Roman"/>
        </w:rPr>
        <w:t xml:space="preserve">The </w:t>
      </w:r>
      <w:r w:rsidRPr="00DC3383" w:rsidR="004D4A61">
        <w:rPr>
          <w:rFonts w:ascii="Times New Roman" w:hAnsi="Times New Roman" w:cs="Times New Roman"/>
        </w:rPr>
        <w:t xml:space="preserve">Program 3 </w:t>
      </w:r>
      <w:r w:rsidRPr="00DC3383" w:rsidR="00354D92">
        <w:rPr>
          <w:rFonts w:ascii="Times New Roman" w:hAnsi="Times New Roman" w:cs="Times New Roman"/>
        </w:rPr>
        <w:t>employee participation plan</w:t>
      </w:r>
      <w:r w:rsidRPr="00DC3383">
        <w:rPr>
          <w:rFonts w:ascii="Times New Roman" w:hAnsi="Times New Roman" w:cs="Times New Roman"/>
        </w:rPr>
        <w:t xml:space="preserve"> must include and ensure that effective methods are in place so that employees </w:t>
      </w:r>
      <w:r w:rsidRPr="00DC3383" w:rsidR="005A0FA2">
        <w:rPr>
          <w:rFonts w:ascii="Times New Roman" w:hAnsi="Times New Roman" w:cs="Times New Roman"/>
        </w:rPr>
        <w:t xml:space="preserve">knowledgeable in the process </w:t>
      </w:r>
      <w:r w:rsidRPr="00DC3383">
        <w:rPr>
          <w:rFonts w:ascii="Times New Roman" w:hAnsi="Times New Roman" w:cs="Times New Roman"/>
        </w:rPr>
        <w:t>and their representatives have specific</w:t>
      </w:r>
      <w:r w:rsidRPr="00DC3383" w:rsidR="004D4A61">
        <w:rPr>
          <w:rFonts w:ascii="Times New Roman" w:hAnsi="Times New Roman" w:cs="Times New Roman"/>
        </w:rPr>
        <w:t xml:space="preserve"> stop work </w:t>
      </w:r>
      <w:r w:rsidRPr="00DC3383">
        <w:rPr>
          <w:rFonts w:ascii="Times New Roman" w:hAnsi="Times New Roman" w:cs="Times New Roman"/>
        </w:rPr>
        <w:t>authorities</w:t>
      </w:r>
      <w:r w:rsidRPr="00DC3383" w:rsidR="004D4A61">
        <w:rPr>
          <w:rFonts w:ascii="Times New Roman" w:hAnsi="Times New Roman" w:cs="Times New Roman"/>
        </w:rPr>
        <w:t xml:space="preserve"> based on a potential for a catastrophic release. </w:t>
      </w:r>
      <w:r w:rsidRPr="00DC3383">
        <w:rPr>
          <w:rFonts w:ascii="Times New Roman" w:hAnsi="Times New Roman" w:cs="Times New Roman"/>
        </w:rPr>
        <w:t>The specific authorities must includ</w:t>
      </w:r>
      <w:r w:rsidRPr="0041783C">
        <w:rPr>
          <w:rFonts w:ascii="Times New Roman" w:hAnsi="Times New Roman" w:cs="Times New Roman"/>
        </w:rPr>
        <w:t>e:</w:t>
      </w:r>
    </w:p>
    <w:p w:rsidR="00AF4AF6" w:rsidRPr="0041783C" w:rsidP="003E02D4" w14:paraId="2B07351D" w14:textId="77777777">
      <w:pPr>
        <w:pStyle w:val="ListParagraph"/>
        <w:spacing w:after="0" w:line="240" w:lineRule="auto"/>
        <w:ind w:left="1800"/>
        <w:contextualSpacing w:val="0"/>
        <w:rPr>
          <w:rFonts w:ascii="Times New Roman" w:hAnsi="Times New Roman" w:cs="Times New Roman"/>
        </w:rPr>
      </w:pPr>
    </w:p>
    <w:p w:rsidR="00AF4AF6" w:rsidP="00082826" w14:paraId="4E8D6716" w14:textId="77777777">
      <w:pPr>
        <w:pStyle w:val="ListParagraph"/>
        <w:numPr>
          <w:ilvl w:val="1"/>
          <w:numId w:val="20"/>
        </w:numPr>
        <w:spacing w:after="0" w:line="240" w:lineRule="auto"/>
        <w:contextualSpacing w:val="0"/>
        <w:rPr>
          <w:rFonts w:ascii="Times New Roman" w:hAnsi="Times New Roman" w:cs="Times New Roman"/>
        </w:rPr>
      </w:pPr>
      <w:r w:rsidRPr="00AF4AF6">
        <w:rPr>
          <w:rFonts w:ascii="Times New Roman" w:hAnsi="Times New Roman" w:cs="Times New Roman"/>
        </w:rPr>
        <w:t>R</w:t>
      </w:r>
      <w:r w:rsidRPr="00AF4AF6" w:rsidR="0036570B">
        <w:rPr>
          <w:rFonts w:ascii="Times New Roman" w:hAnsi="Times New Roman" w:cs="Times New Roman"/>
        </w:rPr>
        <w:t>ecommending to the operator in charge of a unit that an operation or process be shut down</w:t>
      </w:r>
      <w:r w:rsidR="00ED5757">
        <w:rPr>
          <w:rFonts w:ascii="Times New Roman" w:hAnsi="Times New Roman" w:cs="Times New Roman"/>
        </w:rPr>
        <w:t xml:space="preserve">, </w:t>
      </w:r>
      <w:r w:rsidRPr="00AF4AF6" w:rsidR="009C61D8">
        <w:rPr>
          <w:rFonts w:ascii="Times New Roman" w:hAnsi="Times New Roman" w:cs="Times New Roman"/>
        </w:rPr>
        <w:t>partially or completely</w:t>
      </w:r>
      <w:r w:rsidR="009C61D8">
        <w:rPr>
          <w:rFonts w:ascii="Times New Roman" w:hAnsi="Times New Roman" w:cs="Times New Roman"/>
        </w:rPr>
        <w:t xml:space="preserve">, </w:t>
      </w:r>
      <w:r w:rsidR="00ED5757">
        <w:rPr>
          <w:rFonts w:ascii="Times New Roman" w:hAnsi="Times New Roman" w:cs="Times New Roman"/>
        </w:rPr>
        <w:t>based on the potential for a catastrophic release</w:t>
      </w:r>
      <w:r w:rsidR="00DC3383">
        <w:rPr>
          <w:rFonts w:ascii="Times New Roman" w:hAnsi="Times New Roman" w:cs="Times New Roman"/>
        </w:rPr>
        <w:t>.</w:t>
      </w:r>
    </w:p>
    <w:p w:rsidR="0036570B" w:rsidRPr="00AF4AF6" w:rsidP="00082826" w14:paraId="21B890C2" w14:textId="77777777">
      <w:pPr>
        <w:pStyle w:val="ListParagraph"/>
        <w:numPr>
          <w:ilvl w:val="1"/>
          <w:numId w:val="20"/>
        </w:numPr>
        <w:spacing w:after="0" w:line="240" w:lineRule="auto"/>
        <w:contextualSpacing w:val="0"/>
        <w:rPr>
          <w:rFonts w:ascii="Times New Roman" w:hAnsi="Times New Roman" w:cs="Times New Roman"/>
        </w:rPr>
      </w:pPr>
      <w:r w:rsidRPr="00AF4AF6">
        <w:rPr>
          <w:rFonts w:ascii="Times New Roman" w:hAnsi="Times New Roman" w:cs="Times New Roman"/>
        </w:rPr>
        <w:t>Allowing a qualified operator in charge of a unit to</w:t>
      </w:r>
      <w:r w:rsidR="009C61D8">
        <w:rPr>
          <w:rFonts w:ascii="Times New Roman" w:hAnsi="Times New Roman" w:cs="Times New Roman"/>
        </w:rPr>
        <w:t xml:space="preserve"> shut down,</w:t>
      </w:r>
      <w:r w:rsidRPr="00AF4AF6">
        <w:rPr>
          <w:rFonts w:ascii="Times New Roman" w:hAnsi="Times New Roman" w:cs="Times New Roman"/>
        </w:rPr>
        <w:t xml:space="preserve"> partially or completely</w:t>
      </w:r>
      <w:r w:rsidR="009C61D8">
        <w:rPr>
          <w:rFonts w:ascii="Times New Roman" w:hAnsi="Times New Roman" w:cs="Times New Roman"/>
        </w:rPr>
        <w:t>,</w:t>
      </w:r>
      <w:r w:rsidRPr="00AF4AF6">
        <w:rPr>
          <w:rFonts w:ascii="Times New Roman" w:hAnsi="Times New Roman" w:cs="Times New Roman"/>
        </w:rPr>
        <w:t xml:space="preserve"> an operation or process</w:t>
      </w:r>
      <w:r w:rsidR="00FA3371">
        <w:rPr>
          <w:rFonts w:ascii="Times New Roman" w:hAnsi="Times New Roman" w:cs="Times New Roman"/>
        </w:rPr>
        <w:t>, based on the potential for a catastrophic release</w:t>
      </w:r>
      <w:r w:rsidRPr="00AF4AF6">
        <w:rPr>
          <w:rFonts w:ascii="Times New Roman" w:hAnsi="Times New Roman" w:cs="Times New Roman"/>
        </w:rPr>
        <w:t>.</w:t>
      </w:r>
    </w:p>
    <w:p w:rsidR="00587204" w:rsidRPr="00AF4AF6" w:rsidP="00587204" w14:paraId="40962D2E" w14:textId="77777777">
      <w:pPr>
        <w:pStyle w:val="ListParagraph"/>
        <w:spacing w:after="0" w:line="240" w:lineRule="auto"/>
        <w:ind w:left="1800"/>
        <w:contextualSpacing w:val="0"/>
        <w:rPr>
          <w:rFonts w:ascii="Times New Roman" w:hAnsi="Times New Roman" w:cs="Times New Roman"/>
        </w:rPr>
      </w:pPr>
    </w:p>
    <w:p w:rsidR="00943EF2" w:rsidP="00082826" w14:paraId="5C501B38" w14:textId="77777777">
      <w:pPr>
        <w:pStyle w:val="ListParagraph"/>
        <w:numPr>
          <w:ilvl w:val="0"/>
          <w:numId w:val="20"/>
        </w:numPr>
        <w:spacing w:after="0" w:line="240" w:lineRule="auto"/>
        <w:contextualSpacing w:val="0"/>
        <w:rPr>
          <w:rFonts w:ascii="Times New Roman" w:hAnsi="Times New Roman" w:cs="Times New Roman"/>
        </w:rPr>
      </w:pPr>
      <w:r>
        <w:rPr>
          <w:rFonts w:ascii="Times New Roman" w:hAnsi="Times New Roman" w:cs="Times New Roman"/>
        </w:rPr>
        <w:t xml:space="preserve">Program 3 </w:t>
      </w:r>
      <w:r w:rsidRPr="0003391E" w:rsidR="0036570B">
        <w:rPr>
          <w:rFonts w:ascii="Times New Roman" w:hAnsi="Times New Roman" w:cs="Times New Roman"/>
        </w:rPr>
        <w:t>employee participation plans</w:t>
      </w:r>
      <w:r>
        <w:rPr>
          <w:rFonts w:ascii="Times New Roman" w:hAnsi="Times New Roman" w:cs="Times New Roman"/>
        </w:rPr>
        <w:t xml:space="preserve"> </w:t>
      </w:r>
      <w:r w:rsidRPr="00F02156">
        <w:rPr>
          <w:rFonts w:ascii="Times New Roman" w:hAnsi="Times New Roman" w:cs="Times New Roman"/>
        </w:rPr>
        <w:t>must include a process for employees to report on hazards and noncompliance</w:t>
      </w:r>
      <w:r w:rsidR="00913BC9">
        <w:rPr>
          <w:rFonts w:ascii="Times New Roman" w:hAnsi="Times New Roman" w:cs="Times New Roman"/>
        </w:rPr>
        <w:t>.</w:t>
      </w:r>
      <w:r w:rsidRPr="0003391E" w:rsidR="0036570B">
        <w:rPr>
          <w:rFonts w:ascii="Times New Roman" w:hAnsi="Times New Roman" w:cs="Times New Roman"/>
        </w:rPr>
        <w:t xml:space="preserve"> </w:t>
      </w:r>
    </w:p>
    <w:p w:rsidR="00E91420" w:rsidP="003E02D4" w14:paraId="08312790" w14:textId="77777777">
      <w:pPr>
        <w:pStyle w:val="ListParagraph"/>
        <w:spacing w:after="0" w:line="240" w:lineRule="auto"/>
        <w:ind w:left="1080"/>
        <w:contextualSpacing w:val="0"/>
        <w:rPr>
          <w:rFonts w:ascii="Times New Roman" w:hAnsi="Times New Roman" w:cs="Times New Roman"/>
        </w:rPr>
      </w:pPr>
    </w:p>
    <w:p w:rsidR="0002627A" w:rsidP="00082826" w14:paraId="60C76839" w14:textId="77777777">
      <w:pPr>
        <w:pStyle w:val="ListParagraph"/>
        <w:numPr>
          <w:ilvl w:val="0"/>
          <w:numId w:val="20"/>
        </w:numPr>
        <w:spacing w:after="0" w:line="240" w:lineRule="auto"/>
        <w:contextualSpacing w:val="0"/>
        <w:rPr>
          <w:rFonts w:ascii="Times New Roman" w:hAnsi="Times New Roman" w:cs="Times New Roman"/>
        </w:rPr>
      </w:pPr>
      <w:r>
        <w:rPr>
          <w:rFonts w:ascii="Times New Roman" w:hAnsi="Times New Roman" w:cs="Times New Roman"/>
        </w:rPr>
        <w:t xml:space="preserve">Program 2 and Program 3 process facilities </w:t>
      </w:r>
      <w:r w:rsidR="00174470">
        <w:rPr>
          <w:rFonts w:ascii="Times New Roman" w:hAnsi="Times New Roman" w:cs="Times New Roman"/>
        </w:rPr>
        <w:t xml:space="preserve">must </w:t>
      </w:r>
      <w:r w:rsidR="00EB79B8">
        <w:rPr>
          <w:rFonts w:ascii="Times New Roman" w:hAnsi="Times New Roman" w:cs="Times New Roman"/>
        </w:rPr>
        <w:t>provide an annual written or electronic notice to employees indicating RMP information is available.</w:t>
      </w:r>
      <w:r w:rsidRPr="0003391E" w:rsidR="0036570B">
        <w:rPr>
          <w:rFonts w:ascii="Times New Roman" w:hAnsi="Times New Roman" w:cs="Times New Roman"/>
        </w:rPr>
        <w:t xml:space="preserve"> </w:t>
      </w:r>
      <w:r w:rsidR="00EE7ABB">
        <w:rPr>
          <w:rFonts w:ascii="Times New Roman" w:hAnsi="Times New Roman" w:cs="Times New Roman"/>
        </w:rPr>
        <w:br/>
      </w:r>
    </w:p>
    <w:p w:rsidR="0036570B" w:rsidP="00082826" w14:paraId="5CF6334A" w14:textId="77777777">
      <w:pPr>
        <w:pStyle w:val="ListParagraph"/>
        <w:numPr>
          <w:ilvl w:val="0"/>
          <w:numId w:val="20"/>
        </w:numPr>
        <w:spacing w:after="0" w:line="240" w:lineRule="auto"/>
        <w:contextualSpacing w:val="0"/>
        <w:rPr>
          <w:rFonts w:ascii="Times New Roman" w:hAnsi="Times New Roman" w:cs="Times New Roman"/>
        </w:rPr>
      </w:pPr>
      <w:r>
        <w:rPr>
          <w:rFonts w:ascii="Times New Roman" w:hAnsi="Times New Roman" w:cs="Times New Roman"/>
        </w:rPr>
        <w:t xml:space="preserve">Program 2 and Program 3 </w:t>
      </w:r>
      <w:r w:rsidR="005401B8">
        <w:rPr>
          <w:rFonts w:ascii="Times New Roman" w:hAnsi="Times New Roman" w:cs="Times New Roman"/>
        </w:rPr>
        <w:t xml:space="preserve">process facilities </w:t>
      </w:r>
      <w:r w:rsidR="0056068E">
        <w:rPr>
          <w:rFonts w:ascii="Times New Roman" w:hAnsi="Times New Roman" w:cs="Times New Roman"/>
        </w:rPr>
        <w:t xml:space="preserve">must </w:t>
      </w:r>
      <w:r w:rsidR="00FF53A7">
        <w:rPr>
          <w:rFonts w:ascii="Times New Roman" w:hAnsi="Times New Roman" w:cs="Times New Roman"/>
        </w:rPr>
        <w:t xml:space="preserve">provide training to </w:t>
      </w:r>
      <w:r w:rsidR="00257A0C">
        <w:rPr>
          <w:rFonts w:ascii="Times New Roman" w:hAnsi="Times New Roman" w:cs="Times New Roman"/>
        </w:rPr>
        <w:t>inform</w:t>
      </w:r>
      <w:r w:rsidR="0056068E">
        <w:rPr>
          <w:rFonts w:ascii="Times New Roman" w:hAnsi="Times New Roman" w:cs="Times New Roman"/>
        </w:rPr>
        <w:t xml:space="preserve"> employees</w:t>
      </w:r>
      <w:r w:rsidR="00967E06">
        <w:rPr>
          <w:rFonts w:ascii="Times New Roman" w:hAnsi="Times New Roman" w:cs="Times New Roman"/>
        </w:rPr>
        <w:t>, their representatives, a</w:t>
      </w:r>
      <w:r w:rsidR="008D00B3">
        <w:rPr>
          <w:rFonts w:ascii="Times New Roman" w:hAnsi="Times New Roman" w:cs="Times New Roman"/>
        </w:rPr>
        <w:t>nd</w:t>
      </w:r>
      <w:r w:rsidR="00967E06">
        <w:rPr>
          <w:rFonts w:ascii="Times New Roman" w:hAnsi="Times New Roman" w:cs="Times New Roman"/>
        </w:rPr>
        <w:t xml:space="preserve"> management</w:t>
      </w:r>
      <w:r w:rsidR="00BE660A">
        <w:rPr>
          <w:rFonts w:ascii="Times New Roman" w:hAnsi="Times New Roman" w:cs="Times New Roman"/>
        </w:rPr>
        <w:t xml:space="preserve"> involved in the process</w:t>
      </w:r>
      <w:r w:rsidR="00967E06">
        <w:rPr>
          <w:rFonts w:ascii="Times New Roman" w:hAnsi="Times New Roman" w:cs="Times New Roman"/>
        </w:rPr>
        <w:t xml:space="preserve"> </w:t>
      </w:r>
      <w:r w:rsidR="00257A0C">
        <w:rPr>
          <w:rFonts w:ascii="Times New Roman" w:hAnsi="Times New Roman" w:cs="Times New Roman"/>
        </w:rPr>
        <w:t>of the details of the</w:t>
      </w:r>
      <w:r w:rsidR="007B3624">
        <w:rPr>
          <w:rFonts w:ascii="Times New Roman" w:hAnsi="Times New Roman" w:cs="Times New Roman"/>
        </w:rPr>
        <w:t xml:space="preserve"> </w:t>
      </w:r>
      <w:r w:rsidR="00E5021F">
        <w:rPr>
          <w:rFonts w:ascii="Times New Roman" w:hAnsi="Times New Roman" w:cs="Times New Roman"/>
        </w:rPr>
        <w:t xml:space="preserve">written </w:t>
      </w:r>
      <w:r w:rsidR="007B3624">
        <w:rPr>
          <w:rFonts w:ascii="Times New Roman" w:hAnsi="Times New Roman" w:cs="Times New Roman"/>
        </w:rPr>
        <w:t>employee participation plan.</w:t>
      </w:r>
    </w:p>
    <w:p w:rsidR="00AF4AF6" w:rsidRPr="0003391E" w:rsidP="00AF4AF6" w14:paraId="6C1A7CE4" w14:textId="77777777">
      <w:pPr>
        <w:pStyle w:val="ListParagraph"/>
        <w:spacing w:after="0" w:line="240" w:lineRule="auto"/>
        <w:ind w:left="1080"/>
        <w:contextualSpacing w:val="0"/>
        <w:rPr>
          <w:rFonts w:ascii="Times New Roman" w:hAnsi="Times New Roman" w:cs="Times New Roman"/>
        </w:rPr>
      </w:pPr>
    </w:p>
    <w:p w:rsidR="00D243A1" w:rsidP="00AF4AF6" w14:paraId="4F361CF4"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sidR="00BC6A6A">
        <w:rPr>
          <w:rFonts w:ascii="Times New Roman" w:hAnsi="Times New Roman" w:cs="Times New Roman"/>
        </w:rPr>
        <w:t>T</w:t>
      </w:r>
      <w:r w:rsidRPr="0003391E" w:rsidR="00093C0A">
        <w:rPr>
          <w:rFonts w:ascii="Times New Roman" w:hAnsi="Times New Roman" w:cs="Times New Roman"/>
        </w:rPr>
        <w:t xml:space="preserve">hese employee participation provisions </w:t>
      </w:r>
      <w:r w:rsidR="00350D1C">
        <w:rPr>
          <w:rFonts w:ascii="Times New Roman" w:hAnsi="Times New Roman" w:cs="Times New Roman"/>
        </w:rPr>
        <w:t xml:space="preserve">will </w:t>
      </w:r>
      <w:r w:rsidRPr="0003391E" w:rsidR="00093C0A">
        <w:rPr>
          <w:rFonts w:ascii="Times New Roman" w:hAnsi="Times New Roman" w:cs="Times New Roman"/>
        </w:rPr>
        <w:t>ensure that owners and operators who</w:t>
      </w:r>
      <w:r w:rsidRPr="0003391E" w:rsidR="006D1141">
        <w:rPr>
          <w:rFonts w:ascii="Times New Roman" w:hAnsi="Times New Roman" w:cs="Times New Roman"/>
        </w:rPr>
        <w:t xml:space="preserve"> </w:t>
      </w:r>
      <w:r w:rsidRPr="0003391E" w:rsidR="00093C0A">
        <w:rPr>
          <w:rFonts w:ascii="Times New Roman" w:hAnsi="Times New Roman" w:cs="Times New Roman"/>
        </w:rPr>
        <w:t xml:space="preserve">have not fully developed employee participation programs have additional measures in place to prevent and minimize accidental releases of </w:t>
      </w:r>
      <w:r w:rsidRPr="0003391E" w:rsidR="00181B1A">
        <w:rPr>
          <w:rFonts w:ascii="Times New Roman" w:hAnsi="Times New Roman" w:cs="Times New Roman"/>
        </w:rPr>
        <w:t>RMP-regulated substances</w:t>
      </w:r>
      <w:r w:rsidRPr="0003391E" w:rsidR="006453B8">
        <w:rPr>
          <w:rFonts w:ascii="Times New Roman" w:hAnsi="Times New Roman" w:cs="Times New Roman"/>
        </w:rPr>
        <w:t xml:space="preserve">. </w:t>
      </w:r>
      <w:r w:rsidRPr="0003391E" w:rsidR="00820C75">
        <w:rPr>
          <w:rFonts w:ascii="Times New Roman" w:hAnsi="Times New Roman" w:cs="Times New Roman"/>
          <w:shd w:val="clear" w:color="auto" w:fill="FFFFFF"/>
        </w:rPr>
        <w:t>T</w:t>
      </w:r>
      <w:r w:rsidRPr="0003391E" w:rsidR="00093C0A">
        <w:rPr>
          <w:rFonts w:ascii="Times New Roman" w:hAnsi="Times New Roman" w:cs="Times New Roman"/>
          <w:shd w:val="clear" w:color="auto" w:fill="FFFFFF"/>
        </w:rPr>
        <w:t>hese new provisions</w:t>
      </w:r>
      <w:r w:rsidRPr="0003391E" w:rsidR="003E063D">
        <w:rPr>
          <w:rFonts w:ascii="Times New Roman" w:hAnsi="Times New Roman" w:cs="Times New Roman"/>
          <w:shd w:val="clear" w:color="auto" w:fill="FFFFFF"/>
        </w:rPr>
        <w:t xml:space="preserve"> will not</w:t>
      </w:r>
      <w:r w:rsidRPr="0003391E" w:rsidR="00546AF0">
        <w:rPr>
          <w:rFonts w:ascii="Times New Roman" w:hAnsi="Times New Roman" w:cs="Times New Roman"/>
          <w:shd w:val="clear" w:color="auto" w:fill="FFFFFF"/>
        </w:rPr>
        <w:t xml:space="preserve"> </w:t>
      </w:r>
      <w:r w:rsidRPr="0003391E" w:rsidR="00093C0A">
        <w:rPr>
          <w:rFonts w:ascii="Times New Roman" w:hAnsi="Times New Roman" w:cs="Times New Roman"/>
          <w:shd w:val="clear" w:color="auto" w:fill="FFFFFF"/>
        </w:rPr>
        <w:t xml:space="preserve">impose a burden on </w:t>
      </w:r>
      <w:r w:rsidR="009C61D8">
        <w:rPr>
          <w:rFonts w:ascii="Times New Roman" w:hAnsi="Times New Roman" w:cs="Times New Roman"/>
          <w:shd w:val="clear" w:color="auto" w:fill="FFFFFF"/>
        </w:rPr>
        <w:t xml:space="preserve">facilities that </w:t>
      </w:r>
      <w:r w:rsidRPr="0003391E" w:rsidR="00093C0A">
        <w:rPr>
          <w:rFonts w:ascii="Times New Roman" w:hAnsi="Times New Roman" w:cs="Times New Roman"/>
          <w:shd w:val="clear" w:color="auto" w:fill="FFFFFF"/>
        </w:rPr>
        <w:t>already have</w:t>
      </w:r>
      <w:r w:rsidRPr="0003391E" w:rsidR="00181B1A">
        <w:rPr>
          <w:rFonts w:ascii="Times New Roman" w:hAnsi="Times New Roman" w:cs="Times New Roman"/>
          <w:shd w:val="clear" w:color="auto" w:fill="FFFFFF"/>
        </w:rPr>
        <w:t xml:space="preserve"> </w:t>
      </w:r>
      <w:r w:rsidRPr="0003391E" w:rsidR="00B15CC0">
        <w:rPr>
          <w:rFonts w:ascii="Times New Roman" w:hAnsi="Times New Roman" w:cs="Times New Roman"/>
          <w:shd w:val="clear" w:color="auto" w:fill="FFFFFF"/>
        </w:rPr>
        <w:t xml:space="preserve">robust </w:t>
      </w:r>
      <w:r w:rsidRPr="0003391E" w:rsidR="00B15CC0">
        <w:rPr>
          <w:rFonts w:ascii="Times New Roman" w:hAnsi="Times New Roman" w:cs="Times New Roman"/>
        </w:rPr>
        <w:t>employee participation programs in place.</w:t>
      </w:r>
    </w:p>
    <w:p w:rsidR="00D243A1" w:rsidP="00AF4AF6" w14:paraId="6A01ACA8" w14:textId="77777777">
      <w:pPr>
        <w:spacing w:after="0" w:line="240" w:lineRule="auto"/>
        <w:ind w:firstLine="360"/>
        <w:rPr>
          <w:rFonts w:ascii="Times New Roman" w:hAnsi="Times New Roman" w:cs="Times New Roman"/>
        </w:rPr>
      </w:pPr>
    </w:p>
    <w:p w:rsidR="003E2AF7" w:rsidRPr="003A6393" w:rsidP="003B4FB9" w14:paraId="5D499813" w14:textId="77777777">
      <w:pPr>
        <w:pStyle w:val="Heading4"/>
        <w:rPr>
          <w:rFonts w:ascii="Times New Roman" w:hAnsi="Times New Roman" w:cs="Times New Roman"/>
          <w:color w:val="auto"/>
        </w:rPr>
      </w:pPr>
      <w:r w:rsidRPr="003A6393">
        <w:rPr>
          <w:rFonts w:ascii="Times New Roman" w:hAnsi="Times New Roman" w:cs="Times New Roman"/>
          <w:color w:val="auto"/>
        </w:rPr>
        <w:t>2.1.1.6 Backup Power for Perimeter Monitors— (</w:t>
      </w:r>
      <w:r w:rsidRPr="003A6393" w:rsidR="00924A95">
        <w:rPr>
          <w:rFonts w:ascii="Times New Roman" w:hAnsi="Times New Roman" w:cs="Times New Roman"/>
          <w:color w:val="auto"/>
        </w:rPr>
        <w:t>R</w:t>
      </w:r>
      <w:r w:rsidRPr="003A6393">
        <w:rPr>
          <w:rFonts w:ascii="Times New Roman" w:hAnsi="Times New Roman" w:cs="Times New Roman"/>
          <w:color w:val="auto"/>
        </w:rPr>
        <w:t>evisions apply to §§68.50 and 68.67)</w:t>
      </w:r>
    </w:p>
    <w:p w:rsidR="003E2AF7" w:rsidP="003E02D4" w14:paraId="6B5BF215" w14:textId="77777777">
      <w:pPr>
        <w:spacing w:after="0" w:line="240" w:lineRule="auto"/>
        <w:ind w:firstLine="360"/>
        <w:rPr>
          <w:rFonts w:ascii="Times New Roman" w:hAnsi="Times New Roman" w:cs="Times New Roman"/>
          <w:b/>
          <w:bCs/>
        </w:rPr>
      </w:pPr>
      <w:r>
        <w:rPr>
          <w:rFonts w:ascii="Times New Roman" w:hAnsi="Times New Roman" w:cs="Times New Roman"/>
        </w:rPr>
        <w:tab/>
      </w:r>
      <w:r w:rsidRPr="0003391E" w:rsidR="00C97469">
        <w:rPr>
          <w:rFonts w:ascii="Times New Roman" w:hAnsi="Times New Roman" w:cs="Times New Roman"/>
        </w:rPr>
        <w:t>Currently</w:t>
      </w:r>
      <w:r w:rsidR="00C97469">
        <w:rPr>
          <w:rFonts w:ascii="Times New Roman" w:hAnsi="Times New Roman" w:cs="Times New Roman"/>
        </w:rPr>
        <w:t>,</w:t>
      </w:r>
      <w:r w:rsidRPr="0003391E" w:rsidR="00C97469">
        <w:rPr>
          <w:rFonts w:ascii="Times New Roman" w:hAnsi="Times New Roman" w:cs="Times New Roman"/>
        </w:rPr>
        <w:t xml:space="preserve"> many facilities voluntarily have backup power installed for perimeter monitors. </w:t>
      </w:r>
      <w:r w:rsidRPr="0003391E">
        <w:rPr>
          <w:rFonts w:ascii="Times New Roman" w:hAnsi="Times New Roman" w:cs="Times New Roman"/>
        </w:rPr>
        <w:t xml:space="preserve">The </w:t>
      </w:r>
      <w:r w:rsidR="00B11E8C">
        <w:rPr>
          <w:rFonts w:ascii="Times New Roman" w:hAnsi="Times New Roman" w:cs="Times New Roman"/>
        </w:rPr>
        <w:t>final</w:t>
      </w:r>
      <w:r w:rsidRPr="0003391E" w:rsidR="00B11E8C">
        <w:rPr>
          <w:rFonts w:ascii="Times New Roman" w:hAnsi="Times New Roman" w:cs="Times New Roman"/>
        </w:rPr>
        <w:t xml:space="preserve"> </w:t>
      </w:r>
      <w:r w:rsidRPr="0003391E">
        <w:rPr>
          <w:rFonts w:ascii="Times New Roman" w:hAnsi="Times New Roman" w:cs="Times New Roman"/>
        </w:rPr>
        <w:t>rule require</w:t>
      </w:r>
      <w:r w:rsidR="007F62AB">
        <w:rPr>
          <w:rFonts w:ascii="Times New Roman" w:hAnsi="Times New Roman" w:cs="Times New Roman"/>
        </w:rPr>
        <w:t>s</w:t>
      </w:r>
      <w:r w:rsidR="00C97469">
        <w:rPr>
          <w:rFonts w:ascii="Times New Roman" w:hAnsi="Times New Roman" w:cs="Times New Roman"/>
        </w:rPr>
        <w:t xml:space="preserve"> those facilities that have</w:t>
      </w:r>
      <w:r w:rsidRPr="0003391E">
        <w:rPr>
          <w:rFonts w:ascii="Times New Roman" w:hAnsi="Times New Roman" w:cs="Times New Roman"/>
        </w:rPr>
        <w:t xml:space="preserve"> air control or monitoring equipment associated with prevention and detection of accidental releases from RMP-regulated processes </w:t>
      </w:r>
      <w:r w:rsidR="005A78EE">
        <w:rPr>
          <w:rFonts w:ascii="Times New Roman" w:hAnsi="Times New Roman" w:cs="Times New Roman"/>
        </w:rPr>
        <w:t>and that have identified power loss as a major hazard</w:t>
      </w:r>
      <w:r w:rsidR="009C61D8">
        <w:rPr>
          <w:rFonts w:ascii="Times New Roman" w:hAnsi="Times New Roman" w:cs="Times New Roman"/>
        </w:rPr>
        <w:t>,</w:t>
      </w:r>
      <w:r w:rsidR="005A78EE">
        <w:rPr>
          <w:rFonts w:ascii="Times New Roman" w:hAnsi="Times New Roman" w:cs="Times New Roman"/>
        </w:rPr>
        <w:t xml:space="preserve"> </w:t>
      </w:r>
      <w:r w:rsidRPr="0003391E">
        <w:rPr>
          <w:rFonts w:ascii="Times New Roman" w:hAnsi="Times New Roman" w:cs="Times New Roman"/>
        </w:rPr>
        <w:t xml:space="preserve">to </w:t>
      </w:r>
      <w:r w:rsidR="00C97469">
        <w:rPr>
          <w:rFonts w:ascii="Times New Roman" w:hAnsi="Times New Roman" w:cs="Times New Roman"/>
        </w:rPr>
        <w:t xml:space="preserve">install </w:t>
      </w:r>
      <w:r w:rsidRPr="0003391E">
        <w:rPr>
          <w:rFonts w:ascii="Times New Roman" w:hAnsi="Times New Roman" w:cs="Times New Roman"/>
        </w:rPr>
        <w:t xml:space="preserve">standby or backup power. </w:t>
      </w:r>
      <w:r w:rsidR="00496A0C">
        <w:rPr>
          <w:rFonts w:ascii="Times New Roman" w:hAnsi="Times New Roman" w:cs="Times New Roman"/>
        </w:rPr>
        <w:t xml:space="preserve">EPA </w:t>
      </w:r>
      <w:r w:rsidR="00AB6130">
        <w:rPr>
          <w:rFonts w:ascii="Times New Roman" w:hAnsi="Times New Roman" w:cs="Times New Roman"/>
        </w:rPr>
        <w:t xml:space="preserve">believes this </w:t>
      </w:r>
      <w:r w:rsidR="00B377B0">
        <w:rPr>
          <w:rFonts w:ascii="Times New Roman" w:hAnsi="Times New Roman" w:cs="Times New Roman"/>
        </w:rPr>
        <w:t xml:space="preserve">will help </w:t>
      </w:r>
      <w:r w:rsidR="003442EA">
        <w:rPr>
          <w:rFonts w:ascii="Times New Roman" w:hAnsi="Times New Roman" w:cs="Times New Roman"/>
        </w:rPr>
        <w:t xml:space="preserve">ensure </w:t>
      </w:r>
      <w:r w:rsidR="007A06FC">
        <w:rPr>
          <w:rFonts w:ascii="Times New Roman" w:hAnsi="Times New Roman" w:cs="Times New Roman"/>
        </w:rPr>
        <w:t>continuous monitoring</w:t>
      </w:r>
      <w:r w:rsidR="008572A6">
        <w:rPr>
          <w:rFonts w:ascii="Times New Roman" w:hAnsi="Times New Roman" w:cs="Times New Roman"/>
        </w:rPr>
        <w:t xml:space="preserve"> so that </w:t>
      </w:r>
      <w:r w:rsidR="00885E7E">
        <w:rPr>
          <w:rFonts w:ascii="Times New Roman" w:hAnsi="Times New Roman" w:cs="Times New Roman"/>
        </w:rPr>
        <w:t>potential exp</w:t>
      </w:r>
      <w:r w:rsidR="007A2204">
        <w:rPr>
          <w:rFonts w:ascii="Times New Roman" w:hAnsi="Times New Roman" w:cs="Times New Roman"/>
        </w:rPr>
        <w:t>osure to chemical substances can be measured during and following a natural disaster.</w:t>
      </w:r>
      <w:r w:rsidR="007A06FC">
        <w:rPr>
          <w:rFonts w:ascii="Times New Roman" w:hAnsi="Times New Roman" w:cs="Times New Roman"/>
        </w:rPr>
        <w:t xml:space="preserve"> </w:t>
      </w:r>
    </w:p>
    <w:p w:rsidR="00AC60A4" w:rsidP="00DD2281" w14:paraId="41630006" w14:textId="77777777">
      <w:pPr>
        <w:spacing w:after="0" w:line="240" w:lineRule="auto"/>
        <w:rPr>
          <w:rFonts w:ascii="Times New Roman" w:hAnsi="Times New Roman" w:cs="Times New Roman"/>
          <w:b/>
          <w:bCs/>
          <w:iCs/>
        </w:rPr>
      </w:pPr>
    </w:p>
    <w:p w:rsidR="0059676E" w:rsidRPr="003A6393" w:rsidP="003A6393" w14:paraId="0E04AB58" w14:textId="77777777">
      <w:pPr>
        <w:pStyle w:val="Heading3"/>
        <w:rPr>
          <w:rFonts w:ascii="Times New Roman" w:hAnsi="Times New Roman" w:cs="Times New Roman"/>
          <w:sz w:val="22"/>
          <w:szCs w:val="22"/>
        </w:rPr>
      </w:pPr>
      <w:bookmarkStart w:id="49" w:name="_Toc141732906"/>
      <w:bookmarkStart w:id="50" w:name="_Toc141733117"/>
      <w:bookmarkStart w:id="51" w:name="_Toc142404021"/>
      <w:bookmarkStart w:id="52" w:name="_Toc144213830"/>
      <w:bookmarkStart w:id="53" w:name="_Toc144283575"/>
      <w:bookmarkStart w:id="54" w:name="_Toc144303513"/>
      <w:r w:rsidRPr="003A6393">
        <w:rPr>
          <w:rFonts w:ascii="Times New Roman" w:hAnsi="Times New Roman" w:cs="Times New Roman"/>
          <w:sz w:val="22"/>
          <w:szCs w:val="22"/>
        </w:rPr>
        <w:t xml:space="preserve">2.1.2 RMP </w:t>
      </w:r>
      <w:bookmarkEnd w:id="49"/>
      <w:bookmarkEnd w:id="50"/>
      <w:bookmarkEnd w:id="51"/>
      <w:r w:rsidRPr="003A6393">
        <w:rPr>
          <w:rFonts w:ascii="Times New Roman" w:hAnsi="Times New Roman" w:cs="Times New Roman"/>
          <w:sz w:val="22"/>
          <w:szCs w:val="22"/>
        </w:rPr>
        <w:t>Justification</w:t>
      </w:r>
      <w:r w:rsidR="00C26173">
        <w:rPr>
          <w:rFonts w:ascii="Times New Roman" w:hAnsi="Times New Roman" w:cs="Times New Roman"/>
          <w:sz w:val="22"/>
          <w:szCs w:val="22"/>
        </w:rPr>
        <w:t>s</w:t>
      </w:r>
      <w:bookmarkEnd w:id="52"/>
      <w:bookmarkEnd w:id="53"/>
      <w:bookmarkEnd w:id="54"/>
    </w:p>
    <w:p w:rsidR="00F16D5B" w:rsidRPr="003A6393" w:rsidP="006E231B" w14:paraId="642DF52E" w14:textId="77777777">
      <w:r>
        <w:tab/>
      </w:r>
      <w:r w:rsidRPr="006250B6">
        <w:rPr>
          <w:rFonts w:ascii="Times New Roman" w:hAnsi="Times New Roman" w:cs="Times New Roman"/>
        </w:rPr>
        <w:t xml:space="preserve">The final rule clarifies </w:t>
      </w:r>
      <w:r w:rsidRPr="006250B6" w:rsidR="00C80E89">
        <w:rPr>
          <w:rFonts w:ascii="Times New Roman" w:hAnsi="Times New Roman" w:cs="Times New Roman"/>
        </w:rPr>
        <w:t xml:space="preserve">requirements for </w:t>
      </w:r>
      <w:r w:rsidRPr="006250B6" w:rsidR="00100FEA">
        <w:rPr>
          <w:rFonts w:ascii="Times New Roman" w:hAnsi="Times New Roman" w:cs="Times New Roman"/>
        </w:rPr>
        <w:t xml:space="preserve">hazard </w:t>
      </w:r>
      <w:r w:rsidRPr="006250B6" w:rsidR="00715C32">
        <w:rPr>
          <w:rFonts w:ascii="Times New Roman" w:hAnsi="Times New Roman" w:cs="Times New Roman"/>
        </w:rPr>
        <w:t>evaluations</w:t>
      </w:r>
      <w:r w:rsidRPr="006250B6" w:rsidR="00100FEA">
        <w:rPr>
          <w:rFonts w:ascii="Times New Roman" w:hAnsi="Times New Roman" w:cs="Times New Roman"/>
        </w:rPr>
        <w:t xml:space="preserve"> to </w:t>
      </w:r>
      <w:r w:rsidRPr="006250B6" w:rsidR="00F90124">
        <w:rPr>
          <w:rFonts w:ascii="Times New Roman" w:hAnsi="Times New Roman" w:cs="Times New Roman"/>
        </w:rPr>
        <w:t>consider</w:t>
      </w:r>
      <w:r w:rsidRPr="006250B6" w:rsidR="00100FEA">
        <w:rPr>
          <w:rFonts w:ascii="Times New Roman" w:hAnsi="Times New Roman" w:cs="Times New Roman"/>
        </w:rPr>
        <w:t xml:space="preserve"> natural hazard</w:t>
      </w:r>
      <w:r w:rsidRPr="006250B6" w:rsidR="00715C32">
        <w:rPr>
          <w:rFonts w:ascii="Times New Roman" w:hAnsi="Times New Roman" w:cs="Times New Roman"/>
        </w:rPr>
        <w:t>s</w:t>
      </w:r>
      <w:r w:rsidRPr="006250B6" w:rsidR="00100FEA">
        <w:rPr>
          <w:rFonts w:ascii="Times New Roman" w:hAnsi="Times New Roman" w:cs="Times New Roman"/>
        </w:rPr>
        <w:t xml:space="preserve"> and </w:t>
      </w:r>
      <w:r w:rsidRPr="006250B6" w:rsidR="00F90124">
        <w:rPr>
          <w:rFonts w:ascii="Times New Roman" w:hAnsi="Times New Roman" w:cs="Times New Roman"/>
        </w:rPr>
        <w:t>power systems</w:t>
      </w:r>
      <w:r w:rsidRPr="006250B6" w:rsidR="004B1F9F">
        <w:rPr>
          <w:rFonts w:ascii="Times New Roman" w:hAnsi="Times New Roman" w:cs="Times New Roman"/>
        </w:rPr>
        <w:t>. It also requires justifications when facilities choose to decline certain recommendations.</w:t>
      </w:r>
    </w:p>
    <w:p w:rsidR="00DD2281" w:rsidRPr="003A6393" w:rsidP="003A6393" w14:paraId="5223D7FA" w14:textId="77777777">
      <w:pPr>
        <w:pStyle w:val="Heading4"/>
        <w:rPr>
          <w:rFonts w:ascii="Times New Roman" w:hAnsi="Times New Roman" w:cs="Times New Roman"/>
          <w:color w:val="auto"/>
        </w:rPr>
      </w:pPr>
      <w:r w:rsidRPr="003A6393">
        <w:rPr>
          <w:rFonts w:ascii="Times New Roman" w:hAnsi="Times New Roman" w:cs="Times New Roman"/>
          <w:color w:val="auto"/>
        </w:rPr>
        <w:t xml:space="preserve">2.1.2.1 </w:t>
      </w:r>
      <w:r w:rsidRPr="003A6393" w:rsidR="003A3436">
        <w:rPr>
          <w:rFonts w:ascii="Times New Roman" w:hAnsi="Times New Roman" w:cs="Times New Roman"/>
          <w:color w:val="auto"/>
        </w:rPr>
        <w:t>Hazard Evaluation Amplifications</w:t>
      </w:r>
      <w:r w:rsidRPr="003A6393">
        <w:rPr>
          <w:rFonts w:ascii="Times New Roman" w:hAnsi="Times New Roman" w:cs="Times New Roman"/>
          <w:color w:val="auto"/>
        </w:rPr>
        <w:t>— (</w:t>
      </w:r>
      <w:r w:rsidRPr="003A6393" w:rsidR="00384F2E">
        <w:rPr>
          <w:rFonts w:ascii="Times New Roman" w:hAnsi="Times New Roman" w:cs="Times New Roman"/>
          <w:color w:val="auto"/>
        </w:rPr>
        <w:t>R</w:t>
      </w:r>
      <w:r w:rsidRPr="003A6393">
        <w:rPr>
          <w:rFonts w:ascii="Times New Roman" w:hAnsi="Times New Roman" w:cs="Times New Roman"/>
          <w:color w:val="auto"/>
        </w:rPr>
        <w:t xml:space="preserve">evisions apply to </w:t>
      </w:r>
      <w:r w:rsidRPr="003A6393" w:rsidR="00E61769">
        <w:rPr>
          <w:rFonts w:ascii="Times New Roman" w:hAnsi="Times New Roman" w:cs="Times New Roman"/>
          <w:color w:val="auto"/>
        </w:rPr>
        <w:t>§§</w:t>
      </w:r>
      <w:r w:rsidRPr="003A6393">
        <w:rPr>
          <w:rFonts w:ascii="Times New Roman" w:hAnsi="Times New Roman" w:cs="Times New Roman"/>
          <w:color w:val="auto"/>
        </w:rPr>
        <w:t>68.</w:t>
      </w:r>
      <w:r w:rsidRPr="003A6393" w:rsidR="00E61769">
        <w:rPr>
          <w:rFonts w:ascii="Times New Roman" w:hAnsi="Times New Roman" w:cs="Times New Roman"/>
          <w:color w:val="auto"/>
        </w:rPr>
        <w:t>50 and 68.67</w:t>
      </w:r>
      <w:r w:rsidRPr="003A6393">
        <w:rPr>
          <w:rFonts w:ascii="Times New Roman" w:hAnsi="Times New Roman" w:cs="Times New Roman"/>
          <w:color w:val="auto"/>
        </w:rPr>
        <w:t>)</w:t>
      </w:r>
    </w:p>
    <w:p w:rsidR="00585685" w:rsidP="0030097C" w14:paraId="44216BBC"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The </w:t>
      </w:r>
      <w:r w:rsidR="0093635C">
        <w:rPr>
          <w:rFonts w:ascii="Times New Roman" w:hAnsi="Times New Roman" w:cs="Times New Roman"/>
        </w:rPr>
        <w:t>final</w:t>
      </w:r>
      <w:r w:rsidRPr="0003391E">
        <w:rPr>
          <w:rFonts w:ascii="Times New Roman" w:hAnsi="Times New Roman" w:cs="Times New Roman"/>
        </w:rPr>
        <w:t xml:space="preserve"> rule require</w:t>
      </w:r>
      <w:r w:rsidR="00FD4413">
        <w:rPr>
          <w:rFonts w:ascii="Times New Roman" w:hAnsi="Times New Roman" w:cs="Times New Roman"/>
        </w:rPr>
        <w:t>s</w:t>
      </w:r>
      <w:r w:rsidRPr="0003391E">
        <w:rPr>
          <w:rFonts w:ascii="Times New Roman" w:hAnsi="Times New Roman" w:cs="Times New Roman"/>
        </w:rPr>
        <w:t xml:space="preserve"> </w:t>
      </w:r>
      <w:r w:rsidR="00222086">
        <w:rPr>
          <w:rFonts w:ascii="Times New Roman" w:hAnsi="Times New Roman" w:cs="Times New Roman"/>
        </w:rPr>
        <w:t xml:space="preserve">that </w:t>
      </w:r>
      <w:r w:rsidRPr="0003391E">
        <w:rPr>
          <w:rFonts w:ascii="Times New Roman" w:hAnsi="Times New Roman" w:cs="Times New Roman"/>
        </w:rPr>
        <w:t xml:space="preserve">hazard </w:t>
      </w:r>
      <w:r w:rsidR="00222086">
        <w:rPr>
          <w:rFonts w:ascii="Times New Roman" w:hAnsi="Times New Roman" w:cs="Times New Roman"/>
        </w:rPr>
        <w:t>evaluations explicitly address natural hazards</w:t>
      </w:r>
      <w:r w:rsidR="00D96961">
        <w:rPr>
          <w:rFonts w:ascii="Times New Roman" w:hAnsi="Times New Roman" w:cs="Times New Roman"/>
        </w:rPr>
        <w:t xml:space="preserve"> and</w:t>
      </w:r>
      <w:r w:rsidR="002F7F1F">
        <w:rPr>
          <w:rFonts w:ascii="Times New Roman" w:hAnsi="Times New Roman" w:cs="Times New Roman"/>
        </w:rPr>
        <w:t xml:space="preserve"> </w:t>
      </w:r>
      <w:r w:rsidR="00BA3C6C">
        <w:rPr>
          <w:rFonts w:ascii="Times New Roman" w:hAnsi="Times New Roman" w:cs="Times New Roman"/>
        </w:rPr>
        <w:t>the risk of power failure</w:t>
      </w:r>
      <w:r w:rsidR="00AB598D">
        <w:rPr>
          <w:rFonts w:ascii="Times New Roman" w:hAnsi="Times New Roman" w:cs="Times New Roman"/>
        </w:rPr>
        <w:t xml:space="preserve"> and </w:t>
      </w:r>
      <w:r w:rsidR="00A6442B">
        <w:rPr>
          <w:rFonts w:ascii="Times New Roman" w:hAnsi="Times New Roman" w:cs="Times New Roman"/>
        </w:rPr>
        <w:t>standby or emergency power systems</w:t>
      </w:r>
      <w:r w:rsidR="00356700">
        <w:rPr>
          <w:rFonts w:ascii="Times New Roman" w:hAnsi="Times New Roman" w:cs="Times New Roman"/>
        </w:rPr>
        <w:t xml:space="preserve">. </w:t>
      </w:r>
      <w:r w:rsidRPr="00A17590" w:rsidR="00A17590">
        <w:rPr>
          <w:rFonts w:ascii="Times New Roman" w:hAnsi="Times New Roman" w:cs="Times New Roman"/>
        </w:rPr>
        <w:t>EPA believes that because natural hazards and power loss continue to be factor</w:t>
      </w:r>
      <w:r w:rsidR="00772434">
        <w:rPr>
          <w:rFonts w:ascii="Times New Roman" w:hAnsi="Times New Roman" w:cs="Times New Roman"/>
        </w:rPr>
        <w:t>s</w:t>
      </w:r>
      <w:r w:rsidRPr="00A17590" w:rsidR="00A17590">
        <w:rPr>
          <w:rFonts w:ascii="Times New Roman" w:hAnsi="Times New Roman" w:cs="Times New Roman"/>
        </w:rPr>
        <w:t xml:space="preserve"> in RMP accidents and </w:t>
      </w:r>
      <w:r w:rsidR="00B46BD9">
        <w:rPr>
          <w:rFonts w:ascii="Times New Roman" w:hAnsi="Times New Roman" w:cs="Times New Roman"/>
        </w:rPr>
        <w:t>due to climate change</w:t>
      </w:r>
      <w:r w:rsidRPr="00A17590" w:rsidR="00A17590">
        <w:rPr>
          <w:rFonts w:ascii="Times New Roman" w:hAnsi="Times New Roman" w:cs="Times New Roman"/>
        </w:rPr>
        <w:t xml:space="preserve"> present growing threat</w:t>
      </w:r>
      <w:r w:rsidR="00772434">
        <w:rPr>
          <w:rFonts w:ascii="Times New Roman" w:hAnsi="Times New Roman" w:cs="Times New Roman"/>
        </w:rPr>
        <w:t>s</w:t>
      </w:r>
      <w:r w:rsidRPr="00A17590" w:rsidR="00A17590">
        <w:rPr>
          <w:rFonts w:ascii="Times New Roman" w:hAnsi="Times New Roman" w:cs="Times New Roman"/>
        </w:rPr>
        <w:t xml:space="preserve"> to process safety at RMP facilities, a requirement to evaluate and control natural hazards should be explicitly stated in the RMP regulation. </w:t>
      </w:r>
      <w:r w:rsidR="00A91B3E">
        <w:rPr>
          <w:rFonts w:ascii="Times New Roman" w:hAnsi="Times New Roman" w:cs="Times New Roman"/>
        </w:rPr>
        <w:t xml:space="preserve">Hazard evaluations </w:t>
      </w:r>
      <w:r w:rsidR="009449B7">
        <w:rPr>
          <w:rFonts w:ascii="Times New Roman" w:hAnsi="Times New Roman" w:cs="Times New Roman"/>
        </w:rPr>
        <w:t>will</w:t>
      </w:r>
      <w:r w:rsidR="00A91B3E">
        <w:rPr>
          <w:rFonts w:ascii="Times New Roman" w:hAnsi="Times New Roman" w:cs="Times New Roman"/>
        </w:rPr>
        <w:t xml:space="preserve"> also have to</w:t>
      </w:r>
      <w:r w:rsidR="00985103">
        <w:rPr>
          <w:rFonts w:ascii="Times New Roman" w:hAnsi="Times New Roman" w:cs="Times New Roman"/>
        </w:rPr>
        <w:t xml:space="preserve"> explicitly define </w:t>
      </w:r>
      <w:r w:rsidR="009C5A96">
        <w:rPr>
          <w:rFonts w:ascii="Times New Roman" w:hAnsi="Times New Roman" w:cs="Times New Roman"/>
        </w:rPr>
        <w:t xml:space="preserve">stationary source siting as inclusive of processes, equipment, buildings within the </w:t>
      </w:r>
      <w:r w:rsidR="00E15E5B">
        <w:rPr>
          <w:rFonts w:ascii="Times New Roman" w:hAnsi="Times New Roman" w:cs="Times New Roman"/>
        </w:rPr>
        <w:t>stationary source</w:t>
      </w:r>
      <w:r w:rsidR="009C5A96">
        <w:rPr>
          <w:rFonts w:ascii="Times New Roman" w:hAnsi="Times New Roman" w:cs="Times New Roman"/>
        </w:rPr>
        <w:t xml:space="preserve">, </w:t>
      </w:r>
      <w:r w:rsidR="004B5A44">
        <w:rPr>
          <w:rFonts w:ascii="Times New Roman" w:hAnsi="Times New Roman" w:cs="Times New Roman"/>
        </w:rPr>
        <w:t xml:space="preserve">hazards </w:t>
      </w:r>
      <w:r w:rsidR="00BC3AFD">
        <w:rPr>
          <w:rFonts w:ascii="Times New Roman" w:hAnsi="Times New Roman" w:cs="Times New Roman"/>
        </w:rPr>
        <w:t xml:space="preserve">posed by proximate </w:t>
      </w:r>
      <w:r w:rsidR="00E15E5B">
        <w:rPr>
          <w:rFonts w:ascii="Times New Roman" w:hAnsi="Times New Roman" w:cs="Times New Roman"/>
        </w:rPr>
        <w:t>stationary sources</w:t>
      </w:r>
      <w:r w:rsidR="00BC3AFD">
        <w:rPr>
          <w:rFonts w:ascii="Times New Roman" w:hAnsi="Times New Roman" w:cs="Times New Roman"/>
        </w:rPr>
        <w:t>, and accidental release consequences pose</w:t>
      </w:r>
      <w:r w:rsidR="001F28F3">
        <w:rPr>
          <w:rFonts w:ascii="Times New Roman" w:hAnsi="Times New Roman" w:cs="Times New Roman"/>
        </w:rPr>
        <w:t>d by proximity to the public and public receptors</w:t>
      </w:r>
      <w:r w:rsidRPr="0003391E">
        <w:rPr>
          <w:rFonts w:ascii="Times New Roman" w:hAnsi="Times New Roman" w:cs="Times New Roman"/>
        </w:rPr>
        <w:t xml:space="preserve">. </w:t>
      </w:r>
      <w:r w:rsidRPr="00CE5FBE" w:rsidR="00CE5FBE">
        <w:rPr>
          <w:rFonts w:ascii="Times New Roman" w:hAnsi="Times New Roman" w:cs="Times New Roman"/>
        </w:rPr>
        <w:t xml:space="preserve">The final rule </w:t>
      </w:r>
      <w:r w:rsidR="009449B7">
        <w:rPr>
          <w:rFonts w:ascii="Times New Roman" w:hAnsi="Times New Roman" w:cs="Times New Roman"/>
        </w:rPr>
        <w:t>will</w:t>
      </w:r>
      <w:r w:rsidRPr="00CE5FBE" w:rsidR="00CE5FBE">
        <w:rPr>
          <w:rFonts w:ascii="Times New Roman" w:hAnsi="Times New Roman" w:cs="Times New Roman"/>
        </w:rPr>
        <w:t xml:space="preserve"> require that RMPs explicitly include declined natural hazard, power loss, and siting evaluation recommendations and their associated justifications.</w:t>
      </w:r>
    </w:p>
    <w:p w:rsidR="00593E4D" w:rsidP="003E02D4" w14:paraId="512EE3F0" w14:textId="77777777">
      <w:pPr>
        <w:spacing w:after="0" w:line="240" w:lineRule="auto"/>
        <w:rPr>
          <w:rFonts w:ascii="Times New Roman" w:hAnsi="Times New Roman" w:cs="Times New Roman"/>
        </w:rPr>
      </w:pPr>
    </w:p>
    <w:p w:rsidR="00112462" w:rsidRPr="003A6393" w:rsidP="003A6393" w14:paraId="0EEB4376" w14:textId="77777777">
      <w:pPr>
        <w:pStyle w:val="Heading4"/>
        <w:rPr>
          <w:rFonts w:ascii="Times New Roman" w:hAnsi="Times New Roman" w:cs="Times New Roman"/>
          <w:color w:val="auto"/>
        </w:rPr>
      </w:pPr>
      <w:r w:rsidRPr="003A6393">
        <w:rPr>
          <w:rFonts w:ascii="Times New Roman" w:hAnsi="Times New Roman" w:cs="Times New Roman"/>
          <w:color w:val="auto"/>
        </w:rPr>
        <w:t>2.1.2.2</w:t>
      </w:r>
      <w:r w:rsidRPr="00F8244A">
        <w:rPr>
          <w:rFonts w:ascii="Roboto" w:hAnsi="Roboto" w:eastAsiaTheme="minorHAnsi" w:cstheme="minorBidi"/>
          <w:i w:val="0"/>
          <w:color w:val="040C28"/>
          <w:sz w:val="30"/>
          <w:szCs w:val="30"/>
        </w:rPr>
        <w:t xml:space="preserve"> </w:t>
      </w:r>
      <w:r w:rsidRPr="00FA04B8" w:rsidR="00F8244A">
        <w:rPr>
          <w:rFonts w:ascii="Times New Roman" w:hAnsi="Times New Roman" w:eastAsiaTheme="minorHAnsi" w:cs="Times New Roman"/>
          <w:color w:val="040C28"/>
        </w:rPr>
        <w:t>R</w:t>
      </w:r>
      <w:r w:rsidRPr="00F8244A" w:rsidR="00F8244A">
        <w:rPr>
          <w:rFonts w:ascii="Times New Roman" w:hAnsi="Times New Roman" w:cs="Times New Roman"/>
          <w:color w:val="auto"/>
        </w:rPr>
        <w:t xml:space="preserve">ecognized </w:t>
      </w:r>
      <w:r w:rsidR="00F8244A">
        <w:rPr>
          <w:rFonts w:ascii="Times New Roman" w:hAnsi="Times New Roman" w:cs="Times New Roman"/>
          <w:color w:val="auto"/>
        </w:rPr>
        <w:t>a</w:t>
      </w:r>
      <w:r w:rsidRPr="00F8244A" w:rsidR="00F8244A">
        <w:rPr>
          <w:rFonts w:ascii="Times New Roman" w:hAnsi="Times New Roman" w:cs="Times New Roman"/>
          <w:color w:val="auto"/>
        </w:rPr>
        <w:t>nd Generally Accepted Good Engineering Practices</w:t>
      </w:r>
      <w:r w:rsidRPr="003A6393">
        <w:rPr>
          <w:rFonts w:ascii="Times New Roman" w:hAnsi="Times New Roman" w:cs="Times New Roman"/>
          <w:color w:val="auto"/>
        </w:rPr>
        <w:t xml:space="preserve"> </w:t>
      </w:r>
      <w:r w:rsidR="00A30785">
        <w:rPr>
          <w:rFonts w:ascii="Times New Roman" w:hAnsi="Times New Roman" w:cs="Times New Roman"/>
          <w:color w:val="auto"/>
        </w:rPr>
        <w:t>(</w:t>
      </w:r>
      <w:r w:rsidRPr="003A6393">
        <w:rPr>
          <w:rFonts w:ascii="Times New Roman" w:hAnsi="Times New Roman" w:cs="Times New Roman"/>
          <w:color w:val="auto"/>
        </w:rPr>
        <w:t>RAGAGEP</w:t>
      </w:r>
      <w:r w:rsidR="00A30785">
        <w:rPr>
          <w:rFonts w:ascii="Times New Roman" w:hAnsi="Times New Roman" w:cs="Times New Roman"/>
          <w:color w:val="auto"/>
        </w:rPr>
        <w:t>)</w:t>
      </w:r>
      <w:r w:rsidRPr="003A6393">
        <w:rPr>
          <w:rFonts w:ascii="Times New Roman" w:hAnsi="Times New Roman" w:cs="Times New Roman"/>
          <w:color w:val="auto"/>
        </w:rPr>
        <w:t xml:space="preserve"> </w:t>
      </w:r>
      <w:r w:rsidR="009C66DD">
        <w:rPr>
          <w:rFonts w:ascii="Times New Roman" w:hAnsi="Times New Roman" w:cs="Times New Roman"/>
          <w:color w:val="auto"/>
        </w:rPr>
        <w:t>g</w:t>
      </w:r>
      <w:r w:rsidRPr="003A6393" w:rsidR="009C66DD">
        <w:rPr>
          <w:rFonts w:ascii="Times New Roman" w:hAnsi="Times New Roman" w:cs="Times New Roman"/>
          <w:color w:val="auto"/>
        </w:rPr>
        <w:t xml:space="preserve">ap </w:t>
      </w:r>
      <w:r w:rsidR="009C66DD">
        <w:rPr>
          <w:rFonts w:ascii="Times New Roman" w:hAnsi="Times New Roman" w:cs="Times New Roman"/>
          <w:color w:val="auto"/>
        </w:rPr>
        <w:t>a</w:t>
      </w:r>
      <w:r w:rsidRPr="003A6393" w:rsidR="009C66DD">
        <w:rPr>
          <w:rFonts w:ascii="Times New Roman" w:hAnsi="Times New Roman" w:cs="Times New Roman"/>
          <w:color w:val="auto"/>
        </w:rPr>
        <w:t>nalysis</w:t>
      </w:r>
      <w:r w:rsidRPr="003A6393">
        <w:rPr>
          <w:rFonts w:ascii="Times New Roman" w:hAnsi="Times New Roman" w:cs="Times New Roman"/>
          <w:color w:val="auto"/>
        </w:rPr>
        <w:t>— (</w:t>
      </w:r>
      <w:r w:rsidRPr="003A6393" w:rsidR="00384F2E">
        <w:rPr>
          <w:rFonts w:ascii="Times New Roman" w:hAnsi="Times New Roman" w:cs="Times New Roman"/>
          <w:color w:val="auto"/>
        </w:rPr>
        <w:t>R</w:t>
      </w:r>
      <w:r w:rsidRPr="003A6393">
        <w:rPr>
          <w:rFonts w:ascii="Times New Roman" w:hAnsi="Times New Roman" w:cs="Times New Roman"/>
          <w:color w:val="auto"/>
        </w:rPr>
        <w:t>evisions apply to §§68.</w:t>
      </w:r>
      <w:r w:rsidRPr="003A6393" w:rsidR="00786C69">
        <w:rPr>
          <w:rFonts w:ascii="Times New Roman" w:hAnsi="Times New Roman" w:cs="Times New Roman"/>
          <w:color w:val="auto"/>
        </w:rPr>
        <w:t>69</w:t>
      </w:r>
      <w:r w:rsidRPr="003A6393">
        <w:rPr>
          <w:rFonts w:ascii="Times New Roman" w:hAnsi="Times New Roman" w:cs="Times New Roman"/>
          <w:color w:val="auto"/>
        </w:rPr>
        <w:t xml:space="preserve"> and 68.</w:t>
      </w:r>
      <w:r w:rsidRPr="003A6393" w:rsidR="00786C69">
        <w:rPr>
          <w:rFonts w:ascii="Times New Roman" w:hAnsi="Times New Roman" w:cs="Times New Roman"/>
          <w:color w:val="auto"/>
        </w:rPr>
        <w:t>175</w:t>
      </w:r>
      <w:r w:rsidRPr="003A6393">
        <w:rPr>
          <w:rFonts w:ascii="Times New Roman" w:hAnsi="Times New Roman" w:cs="Times New Roman"/>
          <w:color w:val="auto"/>
        </w:rPr>
        <w:t>)</w:t>
      </w:r>
    </w:p>
    <w:p w:rsidR="00433D84" w:rsidP="003E02D4" w14:paraId="7287AE1A" w14:textId="77777777">
      <w:pPr>
        <w:spacing w:after="0" w:line="240" w:lineRule="auto"/>
        <w:ind w:firstLine="720"/>
        <w:rPr>
          <w:rFonts w:ascii="Times New Roman" w:hAnsi="Times New Roman" w:cs="Times New Roman"/>
        </w:rPr>
      </w:pPr>
      <w:r>
        <w:rPr>
          <w:rFonts w:ascii="Times New Roman" w:hAnsi="Times New Roman" w:cs="Times New Roman"/>
        </w:rPr>
        <w:t>The final rule require</w:t>
      </w:r>
      <w:r w:rsidR="00A55ECE">
        <w:rPr>
          <w:rFonts w:ascii="Times New Roman" w:hAnsi="Times New Roman" w:cs="Times New Roman"/>
        </w:rPr>
        <w:t>s</w:t>
      </w:r>
      <w:r>
        <w:rPr>
          <w:rFonts w:ascii="Times New Roman" w:hAnsi="Times New Roman" w:cs="Times New Roman"/>
        </w:rPr>
        <w:t xml:space="preserve"> that </w:t>
      </w:r>
      <w:r w:rsidR="00BE16F8">
        <w:rPr>
          <w:rFonts w:ascii="Times New Roman" w:hAnsi="Times New Roman" w:cs="Times New Roman"/>
        </w:rPr>
        <w:t xml:space="preserve">RMPs </w:t>
      </w:r>
      <w:r w:rsidR="00771B31">
        <w:rPr>
          <w:rFonts w:ascii="Times New Roman" w:hAnsi="Times New Roman" w:cs="Times New Roman"/>
        </w:rPr>
        <w:t xml:space="preserve">explicitly </w:t>
      </w:r>
      <w:r w:rsidR="00E849B0">
        <w:rPr>
          <w:rFonts w:ascii="Times New Roman" w:hAnsi="Times New Roman" w:cs="Times New Roman"/>
        </w:rPr>
        <w:t xml:space="preserve">include </w:t>
      </w:r>
      <w:r w:rsidR="00BB6322">
        <w:rPr>
          <w:rFonts w:ascii="Times New Roman" w:hAnsi="Times New Roman" w:cs="Times New Roman"/>
        </w:rPr>
        <w:t xml:space="preserve">declined </w:t>
      </w:r>
      <w:r w:rsidR="00E26342">
        <w:rPr>
          <w:rFonts w:ascii="Times New Roman" w:hAnsi="Times New Roman" w:cs="Times New Roman"/>
        </w:rPr>
        <w:t>PHA</w:t>
      </w:r>
      <w:r w:rsidR="00A006D6">
        <w:rPr>
          <w:rFonts w:ascii="Times New Roman" w:hAnsi="Times New Roman" w:cs="Times New Roman"/>
        </w:rPr>
        <w:t xml:space="preserve"> </w:t>
      </w:r>
      <w:r w:rsidR="007A6A11">
        <w:rPr>
          <w:rFonts w:ascii="Times New Roman" w:hAnsi="Times New Roman" w:cs="Times New Roman"/>
        </w:rPr>
        <w:t xml:space="preserve">recommendations </w:t>
      </w:r>
      <w:r w:rsidR="00E26342">
        <w:rPr>
          <w:rFonts w:ascii="Times New Roman" w:hAnsi="Times New Roman" w:cs="Times New Roman"/>
        </w:rPr>
        <w:t xml:space="preserve">associated </w:t>
      </w:r>
      <w:r w:rsidR="008621BB">
        <w:rPr>
          <w:rFonts w:ascii="Times New Roman" w:hAnsi="Times New Roman" w:cs="Times New Roman"/>
        </w:rPr>
        <w:t xml:space="preserve">with adopting practices from the most recent version of </w:t>
      </w:r>
      <w:r w:rsidR="00C20958">
        <w:rPr>
          <w:rFonts w:ascii="Times New Roman" w:hAnsi="Times New Roman" w:cs="Times New Roman"/>
        </w:rPr>
        <w:t xml:space="preserve">RAGAGEP </w:t>
      </w:r>
      <w:r w:rsidR="00A006D6">
        <w:rPr>
          <w:rFonts w:ascii="Times New Roman" w:hAnsi="Times New Roman" w:cs="Times New Roman"/>
        </w:rPr>
        <w:t xml:space="preserve">and </w:t>
      </w:r>
      <w:r w:rsidR="00DE1444">
        <w:rPr>
          <w:rFonts w:ascii="Times New Roman" w:hAnsi="Times New Roman" w:cs="Times New Roman"/>
        </w:rPr>
        <w:t xml:space="preserve">their associated </w:t>
      </w:r>
      <w:r w:rsidR="00A006D6">
        <w:rPr>
          <w:rFonts w:ascii="Times New Roman" w:hAnsi="Times New Roman" w:cs="Times New Roman"/>
        </w:rPr>
        <w:t xml:space="preserve">justifications. </w:t>
      </w:r>
    </w:p>
    <w:p w:rsidR="00433D84" w:rsidP="0030097C" w14:paraId="5A2F0A0A" w14:textId="77777777">
      <w:pPr>
        <w:spacing w:after="0" w:line="240" w:lineRule="auto"/>
        <w:ind w:firstLine="360"/>
        <w:rPr>
          <w:rFonts w:ascii="Times New Roman" w:hAnsi="Times New Roman" w:cs="Times New Roman"/>
        </w:rPr>
      </w:pPr>
    </w:p>
    <w:p w:rsidR="00093C0A" w:rsidRPr="0003391E" w:rsidP="003E02D4" w14:paraId="59A0FF5E" w14:textId="77777777">
      <w:pPr>
        <w:spacing w:after="0" w:line="240" w:lineRule="auto"/>
        <w:ind w:firstLine="720"/>
        <w:rPr>
          <w:rFonts w:ascii="Times New Roman" w:hAnsi="Times New Roman" w:cs="Times New Roman"/>
        </w:rPr>
      </w:pPr>
      <w:r w:rsidRPr="0003391E">
        <w:rPr>
          <w:rFonts w:ascii="Times New Roman" w:hAnsi="Times New Roman" w:cs="Times New Roman"/>
        </w:rPr>
        <w:t xml:space="preserve">EPA </w:t>
      </w:r>
      <w:r w:rsidR="00B30B37">
        <w:rPr>
          <w:rFonts w:ascii="Times New Roman" w:hAnsi="Times New Roman" w:cs="Times New Roman"/>
        </w:rPr>
        <w:t xml:space="preserve">assumes the </w:t>
      </w:r>
      <w:r w:rsidR="001D785E">
        <w:rPr>
          <w:rFonts w:ascii="Times New Roman" w:hAnsi="Times New Roman" w:cs="Times New Roman"/>
        </w:rPr>
        <w:t>clarifying amplifications</w:t>
      </w:r>
      <w:r w:rsidRPr="0003391E">
        <w:rPr>
          <w:rFonts w:ascii="Times New Roman" w:hAnsi="Times New Roman" w:cs="Times New Roman"/>
        </w:rPr>
        <w:t xml:space="preserve"> </w:t>
      </w:r>
      <w:r w:rsidR="006D36BB">
        <w:rPr>
          <w:rFonts w:ascii="Times New Roman" w:hAnsi="Times New Roman" w:cs="Times New Roman"/>
        </w:rPr>
        <w:t xml:space="preserve">will not </w:t>
      </w:r>
      <w:r w:rsidR="00713CB6">
        <w:rPr>
          <w:rFonts w:ascii="Times New Roman" w:hAnsi="Times New Roman" w:cs="Times New Roman"/>
        </w:rPr>
        <w:t>impose a burden on</w:t>
      </w:r>
      <w:r w:rsidR="00A62F4B">
        <w:rPr>
          <w:rFonts w:ascii="Times New Roman" w:hAnsi="Times New Roman" w:cs="Times New Roman"/>
        </w:rPr>
        <w:t xml:space="preserve"> facilities</w:t>
      </w:r>
      <w:r w:rsidR="006716F9">
        <w:rPr>
          <w:rFonts w:ascii="Times New Roman" w:hAnsi="Times New Roman" w:cs="Times New Roman"/>
        </w:rPr>
        <w:t>. EPA</w:t>
      </w:r>
      <w:r w:rsidR="00762F82">
        <w:rPr>
          <w:rFonts w:ascii="Times New Roman" w:hAnsi="Times New Roman" w:cs="Times New Roman"/>
        </w:rPr>
        <w:t xml:space="preserve"> </w:t>
      </w:r>
      <w:r w:rsidRPr="0003391E">
        <w:rPr>
          <w:rFonts w:ascii="Times New Roman" w:hAnsi="Times New Roman" w:cs="Times New Roman"/>
        </w:rPr>
        <w:t xml:space="preserve">believes </w:t>
      </w:r>
      <w:r w:rsidR="00CE218F">
        <w:rPr>
          <w:rFonts w:ascii="Times New Roman" w:hAnsi="Times New Roman" w:cs="Times New Roman"/>
        </w:rPr>
        <w:t xml:space="preserve">including </w:t>
      </w:r>
      <w:r w:rsidR="00B345BE">
        <w:rPr>
          <w:rFonts w:ascii="Times New Roman" w:hAnsi="Times New Roman" w:cs="Times New Roman"/>
        </w:rPr>
        <w:t>these declined recommendations and associated justifications</w:t>
      </w:r>
      <w:r w:rsidRPr="0003391E">
        <w:rPr>
          <w:rFonts w:ascii="Times New Roman" w:hAnsi="Times New Roman" w:cs="Times New Roman"/>
        </w:rPr>
        <w:t xml:space="preserve"> </w:t>
      </w:r>
      <w:r w:rsidR="009837FF">
        <w:rPr>
          <w:rFonts w:ascii="Times New Roman" w:hAnsi="Times New Roman" w:cs="Times New Roman"/>
        </w:rPr>
        <w:t>will</w:t>
      </w:r>
      <w:r w:rsidRPr="0003391E">
        <w:rPr>
          <w:rFonts w:ascii="Times New Roman" w:hAnsi="Times New Roman" w:cs="Times New Roman"/>
        </w:rPr>
        <w:t xml:space="preserve"> </w:t>
      </w:r>
      <w:r w:rsidR="00012A26">
        <w:rPr>
          <w:rFonts w:ascii="Times New Roman" w:hAnsi="Times New Roman" w:cs="Times New Roman"/>
        </w:rPr>
        <w:t xml:space="preserve">provide useful information about </w:t>
      </w:r>
      <w:r w:rsidR="004D218A">
        <w:rPr>
          <w:rFonts w:ascii="Times New Roman" w:hAnsi="Times New Roman" w:cs="Times New Roman"/>
        </w:rPr>
        <w:t>potential hazards associated with a facility</w:t>
      </w:r>
      <w:r w:rsidR="00A31E3D">
        <w:rPr>
          <w:rFonts w:ascii="Times New Roman" w:hAnsi="Times New Roman" w:cs="Times New Roman"/>
        </w:rPr>
        <w:t xml:space="preserve"> and </w:t>
      </w:r>
      <w:r w:rsidR="009449B7">
        <w:rPr>
          <w:rFonts w:ascii="Times New Roman" w:hAnsi="Times New Roman" w:cs="Times New Roman"/>
        </w:rPr>
        <w:t>will</w:t>
      </w:r>
      <w:r w:rsidR="00A31E3D">
        <w:rPr>
          <w:rFonts w:ascii="Times New Roman" w:hAnsi="Times New Roman" w:cs="Times New Roman"/>
        </w:rPr>
        <w:t xml:space="preserve"> impose only a nominal burden</w:t>
      </w:r>
      <w:r w:rsidR="00BC52FE">
        <w:rPr>
          <w:rFonts w:ascii="Times New Roman" w:hAnsi="Times New Roman" w:cs="Times New Roman"/>
        </w:rPr>
        <w:t xml:space="preserve"> on owners or operators</w:t>
      </w:r>
      <w:r w:rsidRPr="0003391E">
        <w:rPr>
          <w:rFonts w:ascii="Times New Roman" w:hAnsi="Times New Roman" w:cs="Times New Roman"/>
        </w:rPr>
        <w:t xml:space="preserve">. </w:t>
      </w:r>
    </w:p>
    <w:p w:rsidR="00582DB5" w:rsidP="00582DB5" w14:paraId="10719BE8" w14:textId="77777777">
      <w:pPr>
        <w:spacing w:after="0" w:line="240" w:lineRule="auto"/>
        <w:rPr>
          <w:rFonts w:ascii="Times New Roman" w:hAnsi="Times New Roman" w:cs="Times New Roman"/>
        </w:rPr>
      </w:pPr>
    </w:p>
    <w:p w:rsidR="00E34F3F" w:rsidRPr="007A617F" w:rsidP="003A6393" w14:paraId="7176D631" w14:textId="77777777">
      <w:pPr>
        <w:pStyle w:val="Heading3"/>
        <w:rPr>
          <w:rFonts w:ascii="Times New Roman" w:hAnsi="Times New Roman" w:cs="Times New Roman"/>
          <w:sz w:val="22"/>
          <w:szCs w:val="22"/>
        </w:rPr>
      </w:pPr>
      <w:bookmarkStart w:id="55" w:name="_Toc141732907"/>
      <w:bookmarkStart w:id="56" w:name="_Toc141733118"/>
      <w:bookmarkStart w:id="57" w:name="_Toc142404022"/>
      <w:bookmarkStart w:id="58" w:name="_Toc144213831"/>
      <w:bookmarkStart w:id="59" w:name="_Toc144283576"/>
      <w:bookmarkStart w:id="60" w:name="_Toc144303514"/>
      <w:r w:rsidRPr="007A617F">
        <w:rPr>
          <w:rFonts w:ascii="Times New Roman" w:hAnsi="Times New Roman" w:cs="Times New Roman"/>
          <w:sz w:val="22"/>
          <w:szCs w:val="22"/>
        </w:rPr>
        <w:t>2.1.3 Emergency Response</w:t>
      </w:r>
      <w:bookmarkEnd w:id="55"/>
      <w:bookmarkEnd w:id="56"/>
      <w:bookmarkEnd w:id="57"/>
      <w:bookmarkEnd w:id="58"/>
      <w:bookmarkEnd w:id="59"/>
      <w:bookmarkEnd w:id="60"/>
    </w:p>
    <w:p w:rsidR="00E34F3F" w:rsidRPr="007A617F" w:rsidP="007A617F" w14:paraId="7703F781" w14:textId="77777777">
      <w:pPr>
        <w:pStyle w:val="Heading4"/>
        <w:rPr>
          <w:rFonts w:ascii="Times New Roman" w:hAnsi="Times New Roman" w:cs="Times New Roman"/>
          <w:color w:val="auto"/>
        </w:rPr>
      </w:pPr>
      <w:r w:rsidRPr="007A617F">
        <w:rPr>
          <w:rFonts w:ascii="Times New Roman" w:hAnsi="Times New Roman" w:cs="Times New Roman"/>
          <w:color w:val="auto"/>
        </w:rPr>
        <w:t>2.1.3.1 Community Notification of RMP Accidents— (Pr</w:t>
      </w:r>
      <w:r w:rsidR="001917C8">
        <w:rPr>
          <w:rFonts w:ascii="Times New Roman" w:hAnsi="Times New Roman" w:cs="Times New Roman"/>
          <w:color w:val="auto"/>
        </w:rPr>
        <w:t>o</w:t>
      </w:r>
      <w:r w:rsidRPr="007A617F">
        <w:rPr>
          <w:rFonts w:ascii="Times New Roman" w:hAnsi="Times New Roman" w:cs="Times New Roman"/>
          <w:color w:val="auto"/>
        </w:rPr>
        <w:t xml:space="preserve">visions apply to §§68.90 and 68.95) </w:t>
      </w:r>
    </w:p>
    <w:p w:rsidR="00CE69CE" w:rsidP="00E34F3F" w14:paraId="6E3B0AAB"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The </w:t>
      </w:r>
      <w:r w:rsidR="0035751C">
        <w:rPr>
          <w:rFonts w:ascii="Times New Roman" w:hAnsi="Times New Roman" w:cs="Times New Roman"/>
        </w:rPr>
        <w:t>final</w:t>
      </w:r>
      <w:r w:rsidRPr="0003391E" w:rsidR="0035751C">
        <w:rPr>
          <w:rFonts w:ascii="Times New Roman" w:hAnsi="Times New Roman" w:cs="Times New Roman"/>
        </w:rPr>
        <w:t xml:space="preserve"> </w:t>
      </w:r>
      <w:r w:rsidRPr="0003391E">
        <w:rPr>
          <w:rFonts w:ascii="Times New Roman" w:hAnsi="Times New Roman" w:cs="Times New Roman"/>
        </w:rPr>
        <w:t xml:space="preserve">rule </w:t>
      </w:r>
      <w:r w:rsidR="009449B7">
        <w:rPr>
          <w:rFonts w:ascii="Times New Roman" w:hAnsi="Times New Roman" w:cs="Times New Roman"/>
        </w:rPr>
        <w:t>will</w:t>
      </w:r>
      <w:r w:rsidRPr="0003391E">
        <w:rPr>
          <w:rFonts w:ascii="Times New Roman" w:hAnsi="Times New Roman" w:cs="Times New Roman"/>
        </w:rPr>
        <w:t xml:space="preserve"> add a requirement </w:t>
      </w:r>
      <w:r w:rsidR="003B394A">
        <w:rPr>
          <w:rFonts w:ascii="Times New Roman" w:hAnsi="Times New Roman" w:cs="Times New Roman"/>
        </w:rPr>
        <w:t>that</w:t>
      </w:r>
      <w:r w:rsidRPr="0003391E">
        <w:rPr>
          <w:rFonts w:ascii="Times New Roman" w:hAnsi="Times New Roman" w:cs="Times New Roman"/>
        </w:rPr>
        <w:t xml:space="preserve"> RMP facility owners and operators who designate themselves as a non-responding facility</w:t>
      </w:r>
      <w:r w:rsidR="003B394A">
        <w:rPr>
          <w:rFonts w:ascii="Times New Roman" w:hAnsi="Times New Roman" w:cs="Times New Roman"/>
        </w:rPr>
        <w:t>,</w:t>
      </w:r>
      <w:r w:rsidRPr="0003391E">
        <w:rPr>
          <w:rFonts w:ascii="Times New Roman" w:hAnsi="Times New Roman" w:cs="Times New Roman"/>
        </w:rPr>
        <w:t xml:space="preserve"> develop and implement, as necessary, procedures for informing the public and the appropriate emergency response agencies about accidental releases of RMP-regulated substances. Responding facilities should already have mechanisms and procedures in place in the baseline to notify the public through </w:t>
      </w:r>
      <w:r w:rsidRPr="0003391E">
        <w:rPr>
          <w:rFonts w:ascii="Times New Roman" w:hAnsi="Times New Roman" w:cs="Times New Roman"/>
        </w:rPr>
        <w:t>emergency response programs or plans.</w:t>
      </w:r>
      <w:r>
        <w:br/>
      </w:r>
    </w:p>
    <w:p w:rsidR="00E34F3F" w:rsidP="00E34F3F" w14:paraId="6A15373B" w14:textId="77777777">
      <w:pPr>
        <w:spacing w:after="0" w:line="240" w:lineRule="auto"/>
        <w:ind w:firstLine="360"/>
        <w:rPr>
          <w:rFonts w:ascii="Times New Roman" w:hAnsi="Times New Roman" w:cs="Times New Roman"/>
        </w:rPr>
      </w:pPr>
      <w:r w:rsidRPr="0003391E">
        <w:rPr>
          <w:rFonts w:ascii="Times New Roman" w:hAnsi="Times New Roman" w:cs="Times New Roman"/>
        </w:rPr>
        <w:t xml:space="preserve">EPA is also </w:t>
      </w:r>
      <w:r w:rsidR="00C0317A">
        <w:rPr>
          <w:rFonts w:ascii="Times New Roman" w:hAnsi="Times New Roman" w:cs="Times New Roman"/>
        </w:rPr>
        <w:t>requiring</w:t>
      </w:r>
      <w:r w:rsidRPr="0003391E" w:rsidR="00C0317A">
        <w:rPr>
          <w:rFonts w:ascii="Times New Roman" w:hAnsi="Times New Roman" w:cs="Times New Roman"/>
        </w:rPr>
        <w:t xml:space="preserve"> </w:t>
      </w:r>
      <w:r w:rsidRPr="0003391E">
        <w:rPr>
          <w:rFonts w:ascii="Times New Roman" w:hAnsi="Times New Roman" w:cs="Times New Roman"/>
        </w:rPr>
        <w:t>that responding and non-responding facilities ensure that:</w:t>
      </w:r>
    </w:p>
    <w:p w:rsidR="00E34F3F" w:rsidRPr="0003391E" w:rsidP="00E34F3F" w14:paraId="4AF4CF0A" w14:textId="77777777">
      <w:pPr>
        <w:spacing w:after="0" w:line="240" w:lineRule="auto"/>
        <w:ind w:firstLine="360"/>
        <w:rPr>
          <w:rFonts w:ascii="Times New Roman" w:hAnsi="Times New Roman" w:cs="Times New Roman"/>
        </w:rPr>
      </w:pPr>
    </w:p>
    <w:p w:rsidR="00E34F3F" w:rsidRPr="0003391E" w:rsidP="00082826" w14:paraId="2CB78F19" w14:textId="77777777">
      <w:pPr>
        <w:pStyle w:val="ListParagraph"/>
        <w:numPr>
          <w:ilvl w:val="0"/>
          <w:numId w:val="15"/>
        </w:numPr>
        <w:spacing w:after="0" w:line="240" w:lineRule="auto"/>
        <w:contextualSpacing w:val="0"/>
        <w:rPr>
          <w:rFonts w:ascii="Times New Roman" w:hAnsi="Times New Roman" w:cs="Times New Roman"/>
        </w:rPr>
      </w:pPr>
      <w:r w:rsidRPr="0003391E">
        <w:rPr>
          <w:rFonts w:ascii="Times New Roman" w:hAnsi="Times New Roman" w:cs="Times New Roman"/>
        </w:rPr>
        <w:t>A community notification system is in place</w:t>
      </w:r>
      <w:r w:rsidR="00DC3383">
        <w:rPr>
          <w:rFonts w:ascii="Times New Roman" w:hAnsi="Times New Roman" w:cs="Times New Roman"/>
        </w:rPr>
        <w:t>.</w:t>
      </w:r>
    </w:p>
    <w:p w:rsidR="00E34F3F" w:rsidRPr="0003391E" w:rsidP="00082826" w14:paraId="18F96B1B" w14:textId="77777777">
      <w:pPr>
        <w:pStyle w:val="ListParagraph"/>
        <w:numPr>
          <w:ilvl w:val="0"/>
          <w:numId w:val="15"/>
        </w:numPr>
        <w:spacing w:after="0" w:line="240" w:lineRule="auto"/>
        <w:contextualSpacing w:val="0"/>
        <w:rPr>
          <w:rFonts w:ascii="Times New Roman" w:hAnsi="Times New Roman" w:cs="Times New Roman"/>
        </w:rPr>
      </w:pPr>
      <w:r w:rsidRPr="0003391E">
        <w:rPr>
          <w:rFonts w:ascii="Times New Roman" w:hAnsi="Times New Roman" w:cs="Times New Roman"/>
        </w:rPr>
        <w:t>The public is promptly notified of an RMP accident release</w:t>
      </w:r>
      <w:r w:rsidR="00DC3383">
        <w:rPr>
          <w:rFonts w:ascii="Times New Roman" w:hAnsi="Times New Roman" w:cs="Times New Roman"/>
        </w:rPr>
        <w:t>.</w:t>
      </w:r>
    </w:p>
    <w:p w:rsidR="00E34F3F" w:rsidP="00082826" w14:paraId="338EA70D" w14:textId="77777777">
      <w:pPr>
        <w:pStyle w:val="ListParagraph"/>
        <w:numPr>
          <w:ilvl w:val="0"/>
          <w:numId w:val="15"/>
        </w:numPr>
        <w:spacing w:after="0" w:line="240" w:lineRule="auto"/>
        <w:contextualSpacing w:val="0"/>
        <w:rPr>
          <w:rFonts w:ascii="Times New Roman" w:hAnsi="Times New Roman" w:cs="Times New Roman"/>
        </w:rPr>
      </w:pPr>
      <w:r w:rsidRPr="0003391E">
        <w:rPr>
          <w:rFonts w:ascii="Times New Roman" w:hAnsi="Times New Roman" w:cs="Times New Roman"/>
        </w:rPr>
        <w:t>The notification provide</w:t>
      </w:r>
      <w:r w:rsidR="00EB4DD7">
        <w:rPr>
          <w:rFonts w:ascii="Times New Roman" w:hAnsi="Times New Roman" w:cs="Times New Roman"/>
        </w:rPr>
        <w:t>s</w:t>
      </w:r>
      <w:r w:rsidRPr="0003391E">
        <w:rPr>
          <w:rFonts w:ascii="Times New Roman" w:hAnsi="Times New Roman" w:cs="Times New Roman"/>
        </w:rPr>
        <w:t xml:space="preserve"> appropriate timely data and information to local responders with the current understanding and best estimates of the nature of the release.</w:t>
      </w:r>
    </w:p>
    <w:p w:rsidR="00E34F3F" w:rsidRPr="0003391E" w:rsidP="00E34F3F" w14:paraId="02AB7910" w14:textId="77777777">
      <w:pPr>
        <w:pStyle w:val="ListParagraph"/>
        <w:spacing w:after="0" w:line="240" w:lineRule="auto"/>
        <w:ind w:left="1080"/>
        <w:contextualSpacing w:val="0"/>
        <w:rPr>
          <w:rFonts w:ascii="Times New Roman" w:hAnsi="Times New Roman" w:cs="Times New Roman"/>
        </w:rPr>
      </w:pPr>
    </w:p>
    <w:p w:rsidR="00E34F3F" w:rsidP="00F91E2E" w14:paraId="07501E67" w14:textId="77777777">
      <w:pPr>
        <w:keepNext/>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EPA expects that these provisions, in combination with the currently required annual emergency coordination meetings and notification exercises</w:t>
      </w:r>
      <w:r w:rsidR="00743220">
        <w:rPr>
          <w:rFonts w:ascii="Times New Roman" w:hAnsi="Times New Roman" w:cs="Times New Roman"/>
        </w:rPr>
        <w:t>,</w:t>
      </w:r>
      <w:r w:rsidRPr="0003391E">
        <w:rPr>
          <w:rFonts w:ascii="Times New Roman" w:hAnsi="Times New Roman" w:cs="Times New Roman"/>
        </w:rPr>
        <w:t xml:space="preserve"> </w:t>
      </w:r>
      <w:r w:rsidR="009449B7">
        <w:rPr>
          <w:rFonts w:ascii="Times New Roman" w:hAnsi="Times New Roman" w:cs="Times New Roman"/>
        </w:rPr>
        <w:t>will</w:t>
      </w:r>
      <w:r w:rsidRPr="0003391E">
        <w:rPr>
          <w:rFonts w:ascii="Times New Roman" w:hAnsi="Times New Roman" w:cs="Times New Roman"/>
        </w:rPr>
        <w:t xml:space="preserve"> enhance coordinated notification to the public, improve documented accountability for the notification process, and help ensure timely decisions about notification of releases, particularly those with offsite impacts. The emergency response provisions apply to facilities with Program 2 or 3 processes. </w:t>
      </w:r>
    </w:p>
    <w:p w:rsidR="00E71AFC" w:rsidRPr="00D243A1" w:rsidP="00F91E2E" w14:paraId="27AB02C1" w14:textId="77777777">
      <w:pPr>
        <w:keepNext/>
        <w:spacing w:after="0" w:line="240" w:lineRule="auto"/>
        <w:ind w:firstLine="360"/>
        <w:rPr>
          <w:rFonts w:ascii="Times New Roman" w:hAnsi="Times New Roman" w:cs="Times New Roman"/>
        </w:rPr>
      </w:pPr>
    </w:p>
    <w:p w:rsidR="00E34F3F" w:rsidRPr="007A617F" w:rsidP="007A617F" w14:paraId="66956C76" w14:textId="77777777">
      <w:pPr>
        <w:pStyle w:val="Heading3"/>
        <w:rPr>
          <w:rFonts w:ascii="Times New Roman" w:hAnsi="Times New Roman" w:cs="Times New Roman"/>
          <w:sz w:val="22"/>
          <w:szCs w:val="22"/>
        </w:rPr>
      </w:pPr>
      <w:bookmarkStart w:id="61" w:name="_Toc141732908"/>
      <w:bookmarkStart w:id="62" w:name="_Toc141733119"/>
      <w:bookmarkStart w:id="63" w:name="_Toc142404023"/>
      <w:bookmarkStart w:id="64" w:name="_Toc144213832"/>
      <w:bookmarkStart w:id="65" w:name="_Toc144283577"/>
      <w:bookmarkStart w:id="66" w:name="_Toc144303515"/>
      <w:r w:rsidRPr="007A617F">
        <w:rPr>
          <w:rFonts w:ascii="Times New Roman" w:hAnsi="Times New Roman" w:cs="Times New Roman"/>
          <w:sz w:val="22"/>
          <w:szCs w:val="22"/>
        </w:rPr>
        <w:t>2.1.4 Information Availability</w:t>
      </w:r>
      <w:bookmarkEnd w:id="61"/>
      <w:bookmarkEnd w:id="62"/>
      <w:bookmarkEnd w:id="63"/>
      <w:bookmarkEnd w:id="64"/>
      <w:bookmarkEnd w:id="65"/>
      <w:bookmarkEnd w:id="66"/>
    </w:p>
    <w:p w:rsidR="00E34F3F" w:rsidRPr="007A617F" w:rsidP="007A617F" w14:paraId="0D6ECAF7" w14:textId="77777777">
      <w:pPr>
        <w:pStyle w:val="Heading4"/>
        <w:rPr>
          <w:rFonts w:ascii="Times New Roman" w:hAnsi="Times New Roman" w:cs="Times New Roman"/>
          <w:color w:val="auto"/>
        </w:rPr>
      </w:pPr>
      <w:r w:rsidRPr="007A617F">
        <w:rPr>
          <w:rFonts w:ascii="Times New Roman" w:hAnsi="Times New Roman" w:cs="Times New Roman"/>
          <w:color w:val="auto"/>
        </w:rPr>
        <w:t>2.1.4.1 Information Availability— (revisions apply to §68.210)</w:t>
      </w:r>
    </w:p>
    <w:p w:rsidR="00AA6D56" w:rsidP="00E34F3F" w14:paraId="6E6D2AA9"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The </w:t>
      </w:r>
      <w:r w:rsidR="00B37A50">
        <w:rPr>
          <w:rFonts w:ascii="Times New Roman" w:hAnsi="Times New Roman" w:cs="Times New Roman"/>
        </w:rPr>
        <w:t>final</w:t>
      </w:r>
      <w:r w:rsidRPr="0003391E" w:rsidR="00B37A50">
        <w:rPr>
          <w:rFonts w:ascii="Times New Roman" w:hAnsi="Times New Roman" w:cs="Times New Roman"/>
        </w:rPr>
        <w:t xml:space="preserve"> </w:t>
      </w:r>
      <w:r w:rsidRPr="0003391E">
        <w:rPr>
          <w:rFonts w:ascii="Times New Roman" w:hAnsi="Times New Roman" w:cs="Times New Roman"/>
        </w:rPr>
        <w:t>rule require</w:t>
      </w:r>
      <w:r w:rsidR="009449B7">
        <w:rPr>
          <w:rFonts w:ascii="Times New Roman" w:hAnsi="Times New Roman" w:cs="Times New Roman"/>
        </w:rPr>
        <w:t>s</w:t>
      </w:r>
      <w:r w:rsidRPr="0003391E">
        <w:rPr>
          <w:rFonts w:ascii="Times New Roman" w:hAnsi="Times New Roman" w:cs="Times New Roman"/>
        </w:rPr>
        <w:t xml:space="preserve"> all facilities to disclose certain chemical hazard information to the public residing</w:t>
      </w:r>
      <w:r w:rsidR="00F85EA4">
        <w:rPr>
          <w:rFonts w:ascii="Times New Roman" w:hAnsi="Times New Roman" w:cs="Times New Roman"/>
        </w:rPr>
        <w:t xml:space="preserve">, working, or spending significant </w:t>
      </w:r>
      <w:r w:rsidR="00CA510F">
        <w:rPr>
          <w:rFonts w:ascii="Times New Roman" w:hAnsi="Times New Roman" w:cs="Times New Roman"/>
        </w:rPr>
        <w:t>time</w:t>
      </w:r>
      <w:r w:rsidRPr="0003391E">
        <w:rPr>
          <w:rFonts w:ascii="Times New Roman" w:hAnsi="Times New Roman" w:cs="Times New Roman"/>
        </w:rPr>
        <w:t xml:space="preserve"> within 6 miles</w:t>
      </w:r>
      <w:r>
        <w:rPr>
          <w:rStyle w:val="FootnoteReference"/>
          <w:rFonts w:ascii="Times New Roman" w:hAnsi="Times New Roman" w:cs="Times New Roman"/>
        </w:rPr>
        <w:footnoteReference w:id="23"/>
      </w:r>
      <w:r w:rsidRPr="0003391E">
        <w:rPr>
          <w:rFonts w:ascii="Times New Roman" w:hAnsi="Times New Roman" w:cs="Times New Roman"/>
        </w:rPr>
        <w:t xml:space="preserve"> of the facility in the language </w:t>
      </w:r>
      <w:r w:rsidR="004510FC">
        <w:rPr>
          <w:rFonts w:ascii="Times New Roman" w:hAnsi="Times New Roman" w:cs="Times New Roman"/>
        </w:rPr>
        <w:t>(</w:t>
      </w:r>
      <w:r w:rsidR="00BB6547">
        <w:rPr>
          <w:rFonts w:ascii="Times New Roman" w:hAnsi="Times New Roman" w:cs="Times New Roman"/>
        </w:rPr>
        <w:t xml:space="preserve">either </w:t>
      </w:r>
      <w:r w:rsidR="004C6247">
        <w:rPr>
          <w:rFonts w:ascii="Times New Roman" w:hAnsi="Times New Roman" w:cs="Times New Roman"/>
        </w:rPr>
        <w:t>English or one of two other</w:t>
      </w:r>
      <w:r w:rsidR="00452CCC">
        <w:rPr>
          <w:rFonts w:ascii="Times New Roman" w:hAnsi="Times New Roman" w:cs="Times New Roman"/>
        </w:rPr>
        <w:t xml:space="preserve"> major languages</w:t>
      </w:r>
      <w:r w:rsidR="000F7620">
        <w:rPr>
          <w:rFonts w:ascii="Times New Roman" w:hAnsi="Times New Roman" w:cs="Times New Roman"/>
        </w:rPr>
        <w:t>)</w:t>
      </w:r>
      <w:r w:rsidR="00452CCC">
        <w:rPr>
          <w:rFonts w:ascii="Times New Roman" w:hAnsi="Times New Roman" w:cs="Times New Roman"/>
        </w:rPr>
        <w:t xml:space="preserve"> </w:t>
      </w:r>
      <w:r w:rsidR="00056E46">
        <w:rPr>
          <w:rFonts w:ascii="Times New Roman" w:hAnsi="Times New Roman" w:cs="Times New Roman"/>
        </w:rPr>
        <w:t xml:space="preserve">used in the community </w:t>
      </w:r>
      <w:r w:rsidR="00A97EDC">
        <w:rPr>
          <w:rFonts w:ascii="Times New Roman" w:hAnsi="Times New Roman" w:cs="Times New Roman"/>
        </w:rPr>
        <w:t>as</w:t>
      </w:r>
      <w:r w:rsidR="00056E46">
        <w:rPr>
          <w:rFonts w:ascii="Times New Roman" w:hAnsi="Times New Roman" w:cs="Times New Roman"/>
        </w:rPr>
        <w:t xml:space="preserve"> </w:t>
      </w:r>
      <w:r w:rsidR="00743220">
        <w:rPr>
          <w:rFonts w:ascii="Times New Roman" w:hAnsi="Times New Roman" w:cs="Times New Roman"/>
        </w:rPr>
        <w:t xml:space="preserve">specified </w:t>
      </w:r>
      <w:r w:rsidRPr="0003391E">
        <w:rPr>
          <w:rFonts w:ascii="Times New Roman" w:hAnsi="Times New Roman" w:cs="Times New Roman"/>
        </w:rPr>
        <w:t>by the requester.</w:t>
      </w:r>
      <w:r>
        <w:rPr>
          <w:rStyle w:val="FootnoteReference"/>
          <w:rFonts w:ascii="Times New Roman" w:hAnsi="Times New Roman" w:cs="Times New Roman"/>
        </w:rPr>
        <w:footnoteReference w:id="24"/>
      </w:r>
      <w:r w:rsidRPr="0003391E">
        <w:rPr>
          <w:rFonts w:ascii="Times New Roman" w:hAnsi="Times New Roman" w:cs="Times New Roman"/>
        </w:rPr>
        <w:t xml:space="preserve"> These are new information availability requirements. </w:t>
      </w:r>
      <w:r w:rsidR="00D371C4">
        <w:rPr>
          <w:rFonts w:ascii="Times New Roman" w:hAnsi="Times New Roman" w:cs="Times New Roman"/>
        </w:rPr>
        <w:t xml:space="preserve">EPA is requiring </w:t>
      </w:r>
      <w:r w:rsidR="00AB20F7">
        <w:rPr>
          <w:rFonts w:ascii="Times New Roman" w:hAnsi="Times New Roman" w:cs="Times New Roman"/>
        </w:rPr>
        <w:t xml:space="preserve">owners and operators to maintain a record of requestors. </w:t>
      </w:r>
      <w:r w:rsidRPr="0003391E">
        <w:rPr>
          <w:rFonts w:ascii="Times New Roman" w:hAnsi="Times New Roman" w:cs="Times New Roman"/>
        </w:rPr>
        <w:t xml:space="preserve">The facility or its parent company, if applicable, </w:t>
      </w:r>
      <w:r w:rsidR="009449B7">
        <w:rPr>
          <w:rFonts w:ascii="Times New Roman" w:hAnsi="Times New Roman" w:cs="Times New Roman"/>
        </w:rPr>
        <w:t>will</w:t>
      </w:r>
      <w:r w:rsidRPr="0003391E">
        <w:rPr>
          <w:rFonts w:ascii="Times New Roman" w:hAnsi="Times New Roman" w:cs="Times New Roman"/>
        </w:rPr>
        <w:t xml:space="preserve"> </w:t>
      </w:r>
      <w:r>
        <w:rPr>
          <w:rFonts w:ascii="Times New Roman" w:hAnsi="Times New Roman" w:cs="Times New Roman"/>
        </w:rPr>
        <w:t xml:space="preserve">also </w:t>
      </w:r>
      <w:r w:rsidR="00743220">
        <w:rPr>
          <w:rFonts w:ascii="Times New Roman" w:hAnsi="Times New Roman" w:cs="Times New Roman"/>
        </w:rPr>
        <w:t xml:space="preserve">be </w:t>
      </w:r>
      <w:r w:rsidR="00C42ECB">
        <w:rPr>
          <w:rFonts w:ascii="Times New Roman" w:hAnsi="Times New Roman" w:cs="Times New Roman"/>
        </w:rPr>
        <w:t>re</w:t>
      </w:r>
      <w:r w:rsidR="00743220">
        <w:rPr>
          <w:rFonts w:ascii="Times New Roman" w:hAnsi="Times New Roman" w:cs="Times New Roman"/>
        </w:rPr>
        <w:t xml:space="preserve">quired </w:t>
      </w:r>
      <w:r w:rsidRPr="0003391E">
        <w:rPr>
          <w:rFonts w:ascii="Times New Roman" w:hAnsi="Times New Roman" w:cs="Times New Roman"/>
        </w:rPr>
        <w:t xml:space="preserve">to </w:t>
      </w:r>
      <w:r>
        <w:rPr>
          <w:rFonts w:ascii="Times New Roman" w:hAnsi="Times New Roman" w:cs="Times New Roman"/>
        </w:rPr>
        <w:t>provide ongoing notification</w:t>
      </w:r>
      <w:r w:rsidR="00674BB1">
        <w:rPr>
          <w:rFonts w:ascii="Times New Roman" w:hAnsi="Times New Roman" w:cs="Times New Roman"/>
        </w:rPr>
        <w:t xml:space="preserve"> through publicly accessible means</w:t>
      </w:r>
      <w:r w:rsidR="00386B49">
        <w:rPr>
          <w:rFonts w:ascii="Times New Roman" w:hAnsi="Times New Roman" w:cs="Times New Roman"/>
        </w:rPr>
        <w:t xml:space="preserve"> </w:t>
      </w:r>
      <w:r w:rsidR="00743220">
        <w:rPr>
          <w:rFonts w:ascii="Times New Roman" w:hAnsi="Times New Roman" w:cs="Times New Roman"/>
        </w:rPr>
        <w:t xml:space="preserve">on three items: </w:t>
      </w:r>
    </w:p>
    <w:p w:rsidR="00CC006B" w:rsidP="00E34F3F" w14:paraId="6D0A99CA" w14:textId="77777777">
      <w:pPr>
        <w:spacing w:after="0" w:line="240" w:lineRule="auto"/>
        <w:ind w:firstLine="360"/>
        <w:rPr>
          <w:rFonts w:ascii="Times New Roman" w:hAnsi="Times New Roman" w:cs="Times New Roman"/>
        </w:rPr>
      </w:pPr>
    </w:p>
    <w:p w:rsidR="00AA6D56" w:rsidP="00E34F3F" w14:paraId="4ABAD916" w14:textId="77777777">
      <w:pPr>
        <w:spacing w:after="0" w:line="240" w:lineRule="auto"/>
        <w:ind w:firstLine="360"/>
        <w:rPr>
          <w:rFonts w:ascii="Times New Roman" w:hAnsi="Times New Roman" w:cs="Times New Roman"/>
        </w:rPr>
      </w:pPr>
      <w:r>
        <w:rPr>
          <w:rFonts w:ascii="Times New Roman" w:hAnsi="Times New Roman" w:cs="Times New Roman"/>
        </w:rPr>
        <w:t xml:space="preserve">1) </w:t>
      </w:r>
      <w:r w:rsidR="00A32835">
        <w:rPr>
          <w:rFonts w:ascii="Times New Roman" w:hAnsi="Times New Roman" w:cs="Times New Roman"/>
        </w:rPr>
        <w:t>T</w:t>
      </w:r>
      <w:r>
        <w:rPr>
          <w:rFonts w:ascii="Times New Roman" w:hAnsi="Times New Roman" w:cs="Times New Roman"/>
        </w:rPr>
        <w:t>he</w:t>
      </w:r>
      <w:r w:rsidRPr="0003391E" w:rsidR="00E34F3F">
        <w:rPr>
          <w:rFonts w:ascii="Times New Roman" w:hAnsi="Times New Roman" w:cs="Times New Roman"/>
        </w:rPr>
        <w:t xml:space="preserve"> information </w:t>
      </w:r>
      <w:r>
        <w:rPr>
          <w:rFonts w:ascii="Times New Roman" w:hAnsi="Times New Roman" w:cs="Times New Roman"/>
        </w:rPr>
        <w:t>that</w:t>
      </w:r>
      <w:r w:rsidRPr="0003391E" w:rsidR="00E34F3F">
        <w:rPr>
          <w:rFonts w:ascii="Times New Roman" w:hAnsi="Times New Roman" w:cs="Times New Roman"/>
        </w:rPr>
        <w:t xml:space="preserve"> </w:t>
      </w:r>
      <w:r w:rsidR="00E34F3F">
        <w:rPr>
          <w:rFonts w:ascii="Times New Roman" w:hAnsi="Times New Roman" w:cs="Times New Roman"/>
        </w:rPr>
        <w:t xml:space="preserve">is </w:t>
      </w:r>
      <w:r w:rsidRPr="0003391E" w:rsidR="00E34F3F">
        <w:rPr>
          <w:rFonts w:ascii="Times New Roman" w:hAnsi="Times New Roman" w:cs="Times New Roman"/>
        </w:rPr>
        <w:t xml:space="preserve">available </w:t>
      </w:r>
      <w:r w:rsidR="00E34F3F">
        <w:rPr>
          <w:rFonts w:ascii="Times New Roman" w:hAnsi="Times New Roman" w:cs="Times New Roman"/>
        </w:rPr>
        <w:t>upon request for those members of the public</w:t>
      </w:r>
      <w:r w:rsidR="00DD1884">
        <w:rPr>
          <w:rFonts w:ascii="Times New Roman" w:hAnsi="Times New Roman" w:cs="Times New Roman"/>
        </w:rPr>
        <w:t xml:space="preserve">, </w:t>
      </w:r>
    </w:p>
    <w:p w:rsidR="002163E1" w:rsidP="00E34F3F" w14:paraId="7D2700D2" w14:textId="77777777">
      <w:pPr>
        <w:spacing w:after="0" w:line="240" w:lineRule="auto"/>
        <w:ind w:firstLine="360"/>
        <w:rPr>
          <w:rFonts w:ascii="Times New Roman" w:hAnsi="Times New Roman" w:cs="Times New Roman"/>
        </w:rPr>
      </w:pPr>
      <w:r>
        <w:rPr>
          <w:rFonts w:ascii="Times New Roman" w:hAnsi="Times New Roman" w:cs="Times New Roman"/>
        </w:rPr>
        <w:t xml:space="preserve">2) </w:t>
      </w:r>
      <w:r w:rsidR="00A32835">
        <w:rPr>
          <w:rFonts w:ascii="Times New Roman" w:hAnsi="Times New Roman" w:cs="Times New Roman"/>
        </w:rPr>
        <w:t>H</w:t>
      </w:r>
      <w:r w:rsidR="00386B49">
        <w:rPr>
          <w:rFonts w:ascii="Times New Roman" w:hAnsi="Times New Roman" w:cs="Times New Roman"/>
        </w:rPr>
        <w:t xml:space="preserve">ow to request that information, </w:t>
      </w:r>
      <w:r w:rsidR="00946967">
        <w:rPr>
          <w:rFonts w:ascii="Times New Roman" w:hAnsi="Times New Roman" w:cs="Times New Roman"/>
        </w:rPr>
        <w:t xml:space="preserve">and </w:t>
      </w:r>
    </w:p>
    <w:p w:rsidR="002163E1" w:rsidP="00E34F3F" w14:paraId="5C5784B4" w14:textId="77777777">
      <w:pPr>
        <w:spacing w:after="0" w:line="240" w:lineRule="auto"/>
        <w:ind w:firstLine="360"/>
        <w:rPr>
          <w:rFonts w:ascii="Times New Roman" w:hAnsi="Times New Roman" w:cs="Times New Roman"/>
        </w:rPr>
      </w:pPr>
      <w:r>
        <w:rPr>
          <w:rFonts w:ascii="Times New Roman" w:hAnsi="Times New Roman" w:cs="Times New Roman"/>
        </w:rPr>
        <w:t xml:space="preserve">3) </w:t>
      </w:r>
      <w:r w:rsidR="00A32835">
        <w:rPr>
          <w:rFonts w:ascii="Times New Roman" w:hAnsi="Times New Roman" w:cs="Times New Roman"/>
        </w:rPr>
        <w:t>W</w:t>
      </w:r>
      <w:r w:rsidR="00946967">
        <w:rPr>
          <w:rFonts w:ascii="Times New Roman" w:hAnsi="Times New Roman" w:cs="Times New Roman"/>
        </w:rPr>
        <w:t>here to access information on community preparedness</w:t>
      </w:r>
      <w:r w:rsidR="00E34F3F">
        <w:rPr>
          <w:rFonts w:ascii="Times New Roman" w:hAnsi="Times New Roman" w:cs="Times New Roman"/>
        </w:rPr>
        <w:t xml:space="preserve">. </w:t>
      </w:r>
    </w:p>
    <w:p w:rsidR="00CC006B" w:rsidP="00E34F3F" w14:paraId="248AD684" w14:textId="77777777">
      <w:pPr>
        <w:spacing w:after="0" w:line="240" w:lineRule="auto"/>
        <w:ind w:firstLine="360"/>
        <w:rPr>
          <w:rFonts w:ascii="Times New Roman" w:hAnsi="Times New Roman" w:cs="Times New Roman"/>
        </w:rPr>
      </w:pPr>
    </w:p>
    <w:p w:rsidR="00E34F3F" w:rsidRPr="0003391E" w:rsidP="00A32835" w14:paraId="7D5459B8" w14:textId="77777777">
      <w:pPr>
        <w:spacing w:after="0" w:line="240" w:lineRule="auto"/>
        <w:rPr>
          <w:rFonts w:ascii="Times New Roman" w:hAnsi="Times New Roman" w:cs="Times New Roman"/>
        </w:rPr>
      </w:pPr>
      <w:r>
        <w:rPr>
          <w:rFonts w:ascii="Times New Roman" w:hAnsi="Times New Roman" w:cs="Times New Roman"/>
        </w:rPr>
        <w:t>Facilities could provide this notification on a company website</w:t>
      </w:r>
      <w:r w:rsidRPr="0003391E">
        <w:rPr>
          <w:rFonts w:ascii="Times New Roman" w:hAnsi="Times New Roman" w:cs="Times New Roman"/>
        </w:rPr>
        <w:t xml:space="preserve">, at public libraries, in local papers, or </w:t>
      </w:r>
      <w:r>
        <w:rPr>
          <w:rFonts w:ascii="Times New Roman" w:hAnsi="Times New Roman" w:cs="Times New Roman"/>
        </w:rPr>
        <w:t xml:space="preserve">via </w:t>
      </w:r>
      <w:r w:rsidRPr="0003391E">
        <w:rPr>
          <w:rFonts w:ascii="Times New Roman" w:hAnsi="Times New Roman" w:cs="Times New Roman"/>
        </w:rPr>
        <w:t xml:space="preserve">other means appropriate for particular communities and facilities. </w:t>
      </w:r>
    </w:p>
    <w:p w:rsidR="00E34F3F" w:rsidRPr="0003391E" w:rsidP="00E34F3F" w14:paraId="2802EAE5" w14:textId="77777777">
      <w:pPr>
        <w:spacing w:after="0" w:line="240" w:lineRule="auto"/>
        <w:ind w:firstLine="720"/>
        <w:rPr>
          <w:rFonts w:ascii="Times New Roman" w:hAnsi="Times New Roman" w:cs="Times New Roman"/>
        </w:rPr>
      </w:pPr>
    </w:p>
    <w:p w:rsidR="00E34F3F" w:rsidRPr="0003391E" w:rsidP="00E34F3F" w14:paraId="12FA2132" w14:textId="77777777">
      <w:pPr>
        <w:spacing w:after="0" w:line="240" w:lineRule="auto"/>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The information to be disclosed includes:</w:t>
      </w:r>
    </w:p>
    <w:p w:rsidR="00E34F3F" w:rsidRPr="0003391E" w:rsidP="00082826" w14:paraId="20D83204" w14:textId="77777777">
      <w:pPr>
        <w:pStyle w:val="ListParagraph"/>
        <w:numPr>
          <w:ilvl w:val="0"/>
          <w:numId w:val="14"/>
        </w:numPr>
        <w:spacing w:after="0" w:line="240" w:lineRule="auto"/>
        <w:contextualSpacing w:val="0"/>
        <w:rPr>
          <w:rFonts w:ascii="Times New Roman" w:hAnsi="Times New Roman" w:cs="Times New Roman"/>
        </w:rPr>
      </w:pPr>
      <w:r w:rsidRPr="0003391E">
        <w:rPr>
          <w:rFonts w:ascii="Times New Roman" w:hAnsi="Times New Roman" w:cs="Times New Roman"/>
        </w:rPr>
        <w:t>Names of regulated substances at the facility</w:t>
      </w:r>
      <w:r w:rsidR="00C42ECB">
        <w:rPr>
          <w:rFonts w:ascii="Times New Roman" w:hAnsi="Times New Roman" w:cs="Times New Roman"/>
        </w:rPr>
        <w:t>.</w:t>
      </w:r>
    </w:p>
    <w:p w:rsidR="00E34F3F" w:rsidRPr="0003391E" w:rsidP="00082826" w14:paraId="2103756F" w14:textId="77777777">
      <w:pPr>
        <w:pStyle w:val="ListParagraph"/>
        <w:numPr>
          <w:ilvl w:val="0"/>
          <w:numId w:val="14"/>
        </w:numPr>
        <w:spacing w:after="0" w:line="240" w:lineRule="auto"/>
        <w:contextualSpacing w:val="0"/>
        <w:rPr>
          <w:rFonts w:ascii="Times New Roman" w:hAnsi="Times New Roman" w:cs="Times New Roman"/>
        </w:rPr>
      </w:pPr>
      <w:r w:rsidRPr="0003391E">
        <w:rPr>
          <w:rFonts w:ascii="Times New Roman" w:hAnsi="Times New Roman" w:cs="Times New Roman"/>
        </w:rPr>
        <w:t xml:space="preserve">Safety Data Sheets (SDS) </w:t>
      </w:r>
      <w:r w:rsidR="00057DD2">
        <w:rPr>
          <w:rFonts w:ascii="Times New Roman" w:hAnsi="Times New Roman" w:cs="Times New Roman"/>
        </w:rPr>
        <w:t>for all regulated substances at the facility</w:t>
      </w:r>
      <w:r w:rsidR="00C42ECB">
        <w:rPr>
          <w:rFonts w:ascii="Times New Roman" w:hAnsi="Times New Roman" w:cs="Times New Roman"/>
        </w:rPr>
        <w:t>.</w:t>
      </w:r>
    </w:p>
    <w:p w:rsidR="00E34F3F" w:rsidP="00082826" w14:paraId="1CBCDCB9" w14:textId="77777777">
      <w:pPr>
        <w:pStyle w:val="ListParagraph"/>
        <w:numPr>
          <w:ilvl w:val="0"/>
          <w:numId w:val="14"/>
        </w:numPr>
        <w:spacing w:after="0" w:line="240" w:lineRule="auto"/>
        <w:contextualSpacing w:val="0"/>
        <w:rPr>
          <w:rFonts w:ascii="Times New Roman" w:hAnsi="Times New Roman" w:cs="Times New Roman"/>
        </w:rPr>
      </w:pPr>
      <w:r w:rsidRPr="0003391E">
        <w:rPr>
          <w:rFonts w:ascii="Times New Roman" w:hAnsi="Times New Roman" w:cs="Times New Roman"/>
        </w:rPr>
        <w:t>Accident history information</w:t>
      </w:r>
      <w:r w:rsidR="00C42ECB">
        <w:rPr>
          <w:rFonts w:ascii="Times New Roman" w:hAnsi="Times New Roman" w:cs="Times New Roman"/>
        </w:rPr>
        <w:t>.</w:t>
      </w:r>
    </w:p>
    <w:p w:rsidR="000C2AE7" w:rsidRPr="0003391E" w:rsidP="00082826" w14:paraId="146C5DEE" w14:textId="77777777">
      <w:pPr>
        <w:pStyle w:val="ListParagraph"/>
        <w:numPr>
          <w:ilvl w:val="0"/>
          <w:numId w:val="14"/>
        </w:numPr>
        <w:spacing w:after="0" w:line="240" w:lineRule="auto"/>
        <w:contextualSpacing w:val="0"/>
        <w:rPr>
          <w:rFonts w:ascii="Times New Roman" w:hAnsi="Times New Roman" w:cs="Times New Roman"/>
        </w:rPr>
      </w:pPr>
      <w:r>
        <w:rPr>
          <w:rFonts w:ascii="Times New Roman" w:hAnsi="Times New Roman" w:cs="Times New Roman"/>
        </w:rPr>
        <w:t xml:space="preserve">Declined recommendations </w:t>
      </w:r>
      <w:r w:rsidR="004340ED">
        <w:rPr>
          <w:rFonts w:ascii="Times New Roman" w:hAnsi="Times New Roman" w:cs="Times New Roman"/>
        </w:rPr>
        <w:t>and the justifications</w:t>
      </w:r>
      <w:r w:rsidR="00751385">
        <w:rPr>
          <w:rFonts w:ascii="Times New Roman" w:hAnsi="Times New Roman" w:cs="Times New Roman"/>
        </w:rPr>
        <w:t xml:space="preserve"> for declining them</w:t>
      </w:r>
      <w:r w:rsidR="00C42ECB">
        <w:rPr>
          <w:rFonts w:ascii="Times New Roman" w:hAnsi="Times New Roman" w:cs="Times New Roman"/>
        </w:rPr>
        <w:t>.</w:t>
      </w:r>
    </w:p>
    <w:p w:rsidR="00E34F3F" w:rsidP="00082826" w14:paraId="1C5C3A32" w14:textId="77777777">
      <w:pPr>
        <w:pStyle w:val="ListParagraph"/>
        <w:numPr>
          <w:ilvl w:val="0"/>
          <w:numId w:val="14"/>
        </w:numPr>
        <w:spacing w:after="0" w:line="240" w:lineRule="auto"/>
        <w:contextualSpacing w:val="0"/>
        <w:rPr>
          <w:rFonts w:ascii="Times New Roman" w:hAnsi="Times New Roman" w:cs="Times New Roman"/>
        </w:rPr>
      </w:pPr>
      <w:r w:rsidRPr="0003391E">
        <w:rPr>
          <w:rFonts w:ascii="Times New Roman" w:hAnsi="Times New Roman" w:cs="Times New Roman"/>
        </w:rPr>
        <w:t>Emergency response program information</w:t>
      </w:r>
      <w:r w:rsidR="00C42ECB">
        <w:rPr>
          <w:rFonts w:ascii="Times New Roman" w:hAnsi="Times New Roman" w:cs="Times New Roman"/>
        </w:rPr>
        <w:t>.</w:t>
      </w:r>
    </w:p>
    <w:p w:rsidR="00E023CC" w:rsidRPr="0003391E" w:rsidP="00082826" w14:paraId="193155A0" w14:textId="77777777">
      <w:pPr>
        <w:pStyle w:val="ListParagraph"/>
        <w:numPr>
          <w:ilvl w:val="0"/>
          <w:numId w:val="14"/>
        </w:numPr>
        <w:spacing w:after="0" w:line="240" w:lineRule="auto"/>
        <w:contextualSpacing w:val="0"/>
        <w:rPr>
          <w:rFonts w:ascii="Times New Roman" w:hAnsi="Times New Roman" w:cs="Times New Roman"/>
        </w:rPr>
      </w:pPr>
      <w:r>
        <w:rPr>
          <w:rFonts w:ascii="Times New Roman" w:hAnsi="Times New Roman" w:cs="Times New Roman"/>
        </w:rPr>
        <w:t>List of scheduled exercises</w:t>
      </w:r>
      <w:r w:rsidR="00C42ECB">
        <w:rPr>
          <w:rFonts w:ascii="Times New Roman" w:hAnsi="Times New Roman" w:cs="Times New Roman"/>
        </w:rPr>
        <w:t>.</w:t>
      </w:r>
    </w:p>
    <w:p w:rsidR="00E34F3F" w:rsidRPr="0003391E" w:rsidP="00082826" w14:paraId="14AE9D37" w14:textId="77777777">
      <w:pPr>
        <w:pStyle w:val="ListParagraph"/>
        <w:numPr>
          <w:ilvl w:val="0"/>
          <w:numId w:val="14"/>
        </w:numPr>
        <w:spacing w:after="0" w:line="240" w:lineRule="auto"/>
        <w:contextualSpacing w:val="0"/>
        <w:rPr>
          <w:rFonts w:ascii="Times New Roman" w:hAnsi="Times New Roman" w:cs="Times New Roman"/>
        </w:rPr>
      </w:pPr>
      <w:r>
        <w:rPr>
          <w:rFonts w:ascii="Times New Roman" w:hAnsi="Times New Roman" w:cs="Times New Roman"/>
        </w:rPr>
        <w:t xml:space="preserve">Local </w:t>
      </w:r>
      <w:r w:rsidR="00B728D0">
        <w:rPr>
          <w:rFonts w:ascii="Times New Roman" w:hAnsi="Times New Roman" w:cs="Times New Roman"/>
        </w:rPr>
        <w:t>E</w:t>
      </w:r>
      <w:r>
        <w:rPr>
          <w:rFonts w:ascii="Times New Roman" w:hAnsi="Times New Roman" w:cs="Times New Roman"/>
        </w:rPr>
        <w:t xml:space="preserve">mergency </w:t>
      </w:r>
      <w:r w:rsidR="00B728D0">
        <w:rPr>
          <w:rFonts w:ascii="Times New Roman" w:hAnsi="Times New Roman" w:cs="Times New Roman"/>
        </w:rPr>
        <w:t>P</w:t>
      </w:r>
      <w:r>
        <w:rPr>
          <w:rFonts w:ascii="Times New Roman" w:hAnsi="Times New Roman" w:cs="Times New Roman"/>
        </w:rPr>
        <w:t xml:space="preserve">lanning </w:t>
      </w:r>
      <w:r w:rsidR="00B728D0">
        <w:rPr>
          <w:rFonts w:ascii="Times New Roman" w:hAnsi="Times New Roman" w:cs="Times New Roman"/>
        </w:rPr>
        <w:t>C</w:t>
      </w:r>
      <w:r>
        <w:rPr>
          <w:rFonts w:ascii="Times New Roman" w:hAnsi="Times New Roman" w:cs="Times New Roman"/>
        </w:rPr>
        <w:t>ommittee (</w:t>
      </w:r>
      <w:r w:rsidRPr="0003391E">
        <w:rPr>
          <w:rFonts w:ascii="Times New Roman" w:hAnsi="Times New Roman" w:cs="Times New Roman"/>
        </w:rPr>
        <w:t>LEPC</w:t>
      </w:r>
      <w:r>
        <w:rPr>
          <w:rFonts w:ascii="Times New Roman" w:hAnsi="Times New Roman" w:cs="Times New Roman"/>
        </w:rPr>
        <w:t>)</w:t>
      </w:r>
      <w:r w:rsidRPr="0003391E">
        <w:rPr>
          <w:rFonts w:ascii="Times New Roman" w:hAnsi="Times New Roman" w:cs="Times New Roman"/>
        </w:rPr>
        <w:t xml:space="preserve"> or local response agency contact information.  </w:t>
      </w:r>
    </w:p>
    <w:p w:rsidR="00E34F3F" w:rsidRPr="0003391E" w:rsidP="00E34F3F" w14:paraId="09D20267" w14:textId="77777777">
      <w:pPr>
        <w:spacing w:after="0" w:line="240" w:lineRule="auto"/>
        <w:ind w:firstLine="720"/>
        <w:rPr>
          <w:rFonts w:ascii="Times New Roman" w:hAnsi="Times New Roman" w:cs="Times New Roman"/>
        </w:rPr>
      </w:pPr>
    </w:p>
    <w:p w:rsidR="00582DB5" w:rsidP="003E02D4" w14:paraId="58B2DE77" w14:textId="77777777">
      <w:pPr>
        <w:spacing w:after="0" w:line="240" w:lineRule="auto"/>
        <w:ind w:firstLine="360"/>
        <w:rPr>
          <w:rFonts w:ascii="Times New Roman" w:hAnsi="Times New Roman" w:cs="Times New Roman"/>
        </w:rPr>
      </w:pPr>
      <w:r>
        <w:rPr>
          <w:rFonts w:ascii="Times New Roman" w:hAnsi="Times New Roman" w:cs="Times New Roman"/>
        </w:rPr>
        <w:tab/>
      </w:r>
      <w:r w:rsidRPr="0003391E">
        <w:rPr>
          <w:rFonts w:ascii="Times New Roman" w:hAnsi="Times New Roman" w:cs="Times New Roman"/>
        </w:rPr>
        <w:t xml:space="preserve">EPA believes these revised information availability provisions </w:t>
      </w:r>
      <w:r w:rsidR="009449B7">
        <w:rPr>
          <w:rFonts w:ascii="Times New Roman" w:hAnsi="Times New Roman" w:cs="Times New Roman"/>
        </w:rPr>
        <w:t>will</w:t>
      </w:r>
      <w:r w:rsidRPr="0003391E">
        <w:rPr>
          <w:rFonts w:ascii="Times New Roman" w:hAnsi="Times New Roman" w:cs="Times New Roman"/>
        </w:rPr>
        <w:t xml:space="preserve"> improve information sharing within communities, allow affected communities to obtain information from RMP facilities, and ensure information availability in areas without LEPCs. </w:t>
      </w:r>
    </w:p>
    <w:p w:rsidR="00E34F3F" w:rsidRPr="0003391E" w:rsidP="00582DB5" w14:paraId="610D6C25" w14:textId="77777777">
      <w:pPr>
        <w:spacing w:after="0" w:line="240" w:lineRule="auto"/>
        <w:rPr>
          <w:rFonts w:ascii="Times New Roman" w:hAnsi="Times New Roman" w:cs="Times New Roman"/>
        </w:rPr>
      </w:pPr>
    </w:p>
    <w:p w:rsidR="00093C0A" w:rsidRPr="0003391E" w:rsidP="00C07306" w14:paraId="5AFABD61" w14:textId="77777777">
      <w:pPr>
        <w:pStyle w:val="Heading2"/>
      </w:pPr>
      <w:bookmarkStart w:id="67" w:name="_Toc98856206"/>
      <w:bookmarkStart w:id="68" w:name="_Toc144213833"/>
      <w:bookmarkStart w:id="69" w:name="_Toc144303516"/>
      <w:r w:rsidRPr="0003391E">
        <w:t xml:space="preserve">2.2 </w:t>
      </w:r>
      <w:r w:rsidRPr="0003391E" w:rsidR="002F0062">
        <w:t xml:space="preserve">Applicability </w:t>
      </w:r>
      <w:r w:rsidRPr="0003391E" w:rsidR="002B5D8E">
        <w:t xml:space="preserve">to </w:t>
      </w:r>
      <w:r w:rsidRPr="0003391E">
        <w:t>Government</w:t>
      </w:r>
      <w:bookmarkEnd w:id="67"/>
      <w:r w:rsidRPr="0003391E" w:rsidR="002F0062">
        <w:t>-owned Facilities</w:t>
      </w:r>
      <w:r w:rsidRPr="0003391E" w:rsidR="002B5D8E">
        <w:t xml:space="preserve"> and Entities</w:t>
      </w:r>
      <w:bookmarkEnd w:id="68"/>
      <w:bookmarkEnd w:id="69"/>
    </w:p>
    <w:p w:rsidR="000124BE" w:rsidP="00AF4AF6" w14:paraId="60400854" w14:textId="77777777">
      <w:pPr>
        <w:spacing w:after="0" w:line="240" w:lineRule="auto"/>
        <w:ind w:firstLine="360"/>
        <w:rPr>
          <w:rFonts w:ascii="Times New Roman" w:hAnsi="Times New Roman" w:cs="Times New Roman"/>
        </w:rPr>
      </w:pPr>
      <w:bookmarkStart w:id="70" w:name="_Hlk103339924"/>
      <w:r>
        <w:rPr>
          <w:rFonts w:ascii="Times New Roman" w:hAnsi="Times New Roman" w:cs="Times New Roman"/>
        </w:rPr>
        <w:tab/>
      </w:r>
      <w:r w:rsidRPr="0003391E" w:rsidR="00093C0A">
        <w:rPr>
          <w:rFonts w:ascii="Times New Roman" w:hAnsi="Times New Roman" w:cs="Times New Roman"/>
        </w:rPr>
        <w:t xml:space="preserve">The </w:t>
      </w:r>
      <w:r w:rsidR="00B013C5">
        <w:rPr>
          <w:rFonts w:ascii="Times New Roman" w:hAnsi="Times New Roman" w:cs="Times New Roman"/>
        </w:rPr>
        <w:t>final</w:t>
      </w:r>
      <w:r w:rsidRPr="0003391E" w:rsidR="00B013C5">
        <w:rPr>
          <w:rFonts w:ascii="Times New Roman" w:hAnsi="Times New Roman" w:cs="Times New Roman"/>
        </w:rPr>
        <w:t xml:space="preserve"> </w:t>
      </w:r>
      <w:r w:rsidRPr="0003391E" w:rsidR="00093C0A">
        <w:rPr>
          <w:rFonts w:ascii="Times New Roman" w:hAnsi="Times New Roman" w:cs="Times New Roman"/>
        </w:rPr>
        <w:t xml:space="preserve">rule </w:t>
      </w:r>
      <w:r w:rsidRPr="0003391E" w:rsidR="002F0062">
        <w:rPr>
          <w:rFonts w:ascii="Times New Roman" w:hAnsi="Times New Roman" w:cs="Times New Roman"/>
        </w:rPr>
        <w:t xml:space="preserve">is applicable </w:t>
      </w:r>
      <w:r w:rsidRPr="0003391E" w:rsidR="00093C0A">
        <w:rPr>
          <w:rFonts w:ascii="Times New Roman" w:hAnsi="Times New Roman" w:cs="Times New Roman"/>
        </w:rPr>
        <w:t>to local governments that own and operate RMP facilities (primarily water and wastewater systems, but also some swimming pools</w:t>
      </w:r>
      <w:r>
        <w:rPr>
          <w:rStyle w:val="FootnoteReference"/>
          <w:rFonts w:ascii="Times New Roman" w:hAnsi="Times New Roman" w:cs="Times New Roman"/>
        </w:rPr>
        <w:footnoteReference w:id="25"/>
      </w:r>
      <w:r w:rsidRPr="0003391E" w:rsidR="00093C0A">
        <w:rPr>
          <w:rFonts w:ascii="Times New Roman" w:hAnsi="Times New Roman" w:cs="Times New Roman"/>
        </w:rPr>
        <w:t>)</w:t>
      </w:r>
      <w:r w:rsidR="00000C23">
        <w:rPr>
          <w:rFonts w:ascii="Times New Roman" w:hAnsi="Times New Roman" w:cs="Times New Roman"/>
        </w:rPr>
        <w:t>,</w:t>
      </w:r>
      <w:r w:rsidR="00FC0726">
        <w:rPr>
          <w:rFonts w:ascii="Times New Roman" w:hAnsi="Times New Roman" w:cs="Times New Roman"/>
        </w:rPr>
        <w:t xml:space="preserve"> </w:t>
      </w:r>
      <w:r w:rsidR="00000C23">
        <w:rPr>
          <w:rFonts w:ascii="Times New Roman" w:hAnsi="Times New Roman" w:cs="Times New Roman"/>
        </w:rPr>
        <w:t>to</w:t>
      </w:r>
      <w:r w:rsidRPr="0003391E" w:rsidR="00000C23">
        <w:rPr>
          <w:rFonts w:ascii="Times New Roman" w:hAnsi="Times New Roman" w:cs="Times New Roman"/>
        </w:rPr>
        <w:t xml:space="preserve"> </w:t>
      </w:r>
      <w:r w:rsidR="00377E0A">
        <w:rPr>
          <w:rFonts w:ascii="Times New Roman" w:hAnsi="Times New Roman" w:cs="Times New Roman"/>
        </w:rPr>
        <w:t>delegated</w:t>
      </w:r>
      <w:r w:rsidRPr="0003391E" w:rsidR="00377E0A">
        <w:rPr>
          <w:rFonts w:ascii="Times New Roman" w:hAnsi="Times New Roman" w:cs="Times New Roman"/>
        </w:rPr>
        <w:t xml:space="preserve"> </w:t>
      </w:r>
      <w:r w:rsidRPr="0003391E" w:rsidR="00093C0A">
        <w:rPr>
          <w:rFonts w:ascii="Times New Roman" w:hAnsi="Times New Roman" w:cs="Times New Roman"/>
        </w:rPr>
        <w:t>agencies</w:t>
      </w:r>
      <w:r w:rsidR="00087256">
        <w:rPr>
          <w:rFonts w:ascii="Times New Roman" w:hAnsi="Times New Roman" w:cs="Times New Roman"/>
        </w:rPr>
        <w:t xml:space="preserve"> that</w:t>
      </w:r>
      <w:r w:rsidRPr="0003391E" w:rsidR="00093C0A">
        <w:rPr>
          <w:rFonts w:ascii="Times New Roman" w:hAnsi="Times New Roman" w:cs="Times New Roman"/>
        </w:rPr>
        <w:t xml:space="preserve"> </w:t>
      </w:r>
      <w:r w:rsidR="00000C23">
        <w:rPr>
          <w:rFonts w:ascii="Times New Roman" w:hAnsi="Times New Roman" w:cs="Times New Roman"/>
        </w:rPr>
        <w:t>implement</w:t>
      </w:r>
      <w:r w:rsidRPr="0003391E" w:rsidR="00093C0A">
        <w:rPr>
          <w:rFonts w:ascii="Times New Roman" w:hAnsi="Times New Roman" w:cs="Times New Roman"/>
        </w:rPr>
        <w:t xml:space="preserve"> the </w:t>
      </w:r>
      <w:r w:rsidR="00B013C5">
        <w:rPr>
          <w:rFonts w:ascii="Times New Roman" w:hAnsi="Times New Roman" w:cs="Times New Roman"/>
        </w:rPr>
        <w:t>final</w:t>
      </w:r>
      <w:r w:rsidRPr="0003391E" w:rsidR="00B013C5">
        <w:rPr>
          <w:rFonts w:ascii="Times New Roman" w:hAnsi="Times New Roman" w:cs="Times New Roman"/>
        </w:rPr>
        <w:t xml:space="preserve"> </w:t>
      </w:r>
      <w:r w:rsidRPr="0003391E" w:rsidR="00093C0A">
        <w:rPr>
          <w:rFonts w:ascii="Times New Roman" w:hAnsi="Times New Roman" w:cs="Times New Roman"/>
        </w:rPr>
        <w:t>rule</w:t>
      </w:r>
      <w:r w:rsidR="00000C23">
        <w:rPr>
          <w:rFonts w:ascii="Times New Roman" w:hAnsi="Times New Roman" w:cs="Times New Roman"/>
        </w:rPr>
        <w:t>,</w:t>
      </w:r>
      <w:r w:rsidRPr="0003391E" w:rsidR="00093C0A">
        <w:rPr>
          <w:rFonts w:ascii="Times New Roman" w:hAnsi="Times New Roman" w:cs="Times New Roman"/>
        </w:rPr>
        <w:t xml:space="preserve"> and</w:t>
      </w:r>
      <w:r w:rsidR="00FC0726">
        <w:rPr>
          <w:rFonts w:ascii="Times New Roman" w:hAnsi="Times New Roman" w:cs="Times New Roman"/>
        </w:rPr>
        <w:t xml:space="preserve"> </w:t>
      </w:r>
      <w:r w:rsidR="008C40D1">
        <w:rPr>
          <w:rFonts w:ascii="Times New Roman" w:hAnsi="Times New Roman" w:cs="Times New Roman"/>
        </w:rPr>
        <w:t>to</w:t>
      </w:r>
      <w:r w:rsidR="00686C48">
        <w:rPr>
          <w:rFonts w:ascii="Times New Roman" w:hAnsi="Times New Roman" w:cs="Times New Roman"/>
        </w:rPr>
        <w:t xml:space="preserve"> </w:t>
      </w:r>
      <w:r w:rsidRPr="0003391E" w:rsidR="00093C0A">
        <w:rPr>
          <w:rFonts w:ascii="Times New Roman" w:hAnsi="Times New Roman" w:cs="Times New Roman"/>
        </w:rPr>
        <w:t>LEPCs</w:t>
      </w:r>
      <w:r w:rsidR="00146F36">
        <w:rPr>
          <w:rFonts w:ascii="Times New Roman" w:hAnsi="Times New Roman" w:cs="Times New Roman"/>
        </w:rPr>
        <w:t xml:space="preserve"> that</w:t>
      </w:r>
      <w:r w:rsidRPr="0003391E" w:rsidR="00093C0A">
        <w:rPr>
          <w:rFonts w:ascii="Times New Roman" w:hAnsi="Times New Roman" w:cs="Times New Roman"/>
        </w:rPr>
        <w:t xml:space="preserve"> coordinat</w:t>
      </w:r>
      <w:r w:rsidR="00146F36">
        <w:rPr>
          <w:rFonts w:ascii="Times New Roman" w:hAnsi="Times New Roman" w:cs="Times New Roman"/>
        </w:rPr>
        <w:t>e</w:t>
      </w:r>
      <w:r w:rsidRPr="0003391E" w:rsidR="00093C0A">
        <w:rPr>
          <w:rFonts w:ascii="Times New Roman" w:hAnsi="Times New Roman" w:cs="Times New Roman"/>
        </w:rPr>
        <w:t xml:space="preserve"> with facilities. </w:t>
      </w:r>
    </w:p>
    <w:p w:rsidR="000124BE" w:rsidP="00AF4AF6" w14:paraId="138C7368" w14:textId="77777777">
      <w:pPr>
        <w:spacing w:after="0" w:line="240" w:lineRule="auto"/>
        <w:ind w:firstLine="360"/>
        <w:rPr>
          <w:rFonts w:ascii="Times New Roman" w:hAnsi="Times New Roman" w:cs="Times New Roman"/>
        </w:rPr>
      </w:pPr>
    </w:p>
    <w:p w:rsidR="000124BE" w:rsidP="00C07306" w14:paraId="0E341E0C" w14:textId="77777777">
      <w:pPr>
        <w:pStyle w:val="Heading2"/>
      </w:pPr>
      <w:bookmarkStart w:id="71" w:name="_Toc144303517"/>
      <w:r w:rsidRPr="0003391E">
        <w:t>2.</w:t>
      </w:r>
      <w:r w:rsidR="00BD76C3">
        <w:t>3</w:t>
      </w:r>
      <w:r w:rsidRPr="0003391E">
        <w:t xml:space="preserve"> </w:t>
      </w:r>
      <w:r>
        <w:t xml:space="preserve">Changes in the Final Rule RIA from the </w:t>
      </w:r>
      <w:r w:rsidRPr="003E02D4" w:rsidR="00D32ADF">
        <w:t>Propose</w:t>
      </w:r>
      <w:r w:rsidRPr="005025A7">
        <w:t>d</w:t>
      </w:r>
      <w:r>
        <w:t xml:space="preserve"> Rule RIA</w:t>
      </w:r>
      <w:bookmarkEnd w:id="71"/>
    </w:p>
    <w:p w:rsidR="000124BE" w:rsidP="000124BE" w14:paraId="00716DDB" w14:textId="77777777">
      <w:pPr>
        <w:spacing w:after="0" w:line="240" w:lineRule="auto"/>
        <w:ind w:firstLine="360"/>
        <w:rPr>
          <w:rFonts w:ascii="Times New Roman" w:hAnsi="Times New Roman" w:cs="Times New Roman"/>
        </w:rPr>
      </w:pPr>
      <w:r>
        <w:tab/>
        <w:t xml:space="preserve"> </w:t>
      </w:r>
      <w:r w:rsidRPr="0003391E">
        <w:rPr>
          <w:rFonts w:ascii="Times New Roman" w:hAnsi="Times New Roman" w:cs="Times New Roman"/>
        </w:rPr>
        <w:t xml:space="preserve">The </w:t>
      </w:r>
      <w:r>
        <w:rPr>
          <w:rFonts w:ascii="Times New Roman" w:hAnsi="Times New Roman" w:cs="Times New Roman"/>
        </w:rPr>
        <w:t>final</w:t>
      </w:r>
      <w:r w:rsidRPr="0003391E">
        <w:rPr>
          <w:rFonts w:ascii="Times New Roman" w:hAnsi="Times New Roman" w:cs="Times New Roman"/>
        </w:rPr>
        <w:t xml:space="preserve"> rule </w:t>
      </w:r>
      <w:r>
        <w:rPr>
          <w:rFonts w:ascii="Times New Roman" w:hAnsi="Times New Roman" w:cs="Times New Roman"/>
        </w:rPr>
        <w:t xml:space="preserve">RIA makes several changes from </w:t>
      </w:r>
      <w:r w:rsidRPr="005025A7">
        <w:rPr>
          <w:rFonts w:ascii="Times New Roman" w:hAnsi="Times New Roman" w:cs="Times New Roman"/>
        </w:rPr>
        <w:t xml:space="preserve">the </w:t>
      </w:r>
      <w:r w:rsidRPr="003E02D4" w:rsidR="00D32ADF">
        <w:rPr>
          <w:rFonts w:ascii="Times New Roman" w:hAnsi="Times New Roman" w:cs="Times New Roman"/>
        </w:rPr>
        <w:t>propose</w:t>
      </w:r>
      <w:r w:rsidRPr="005025A7">
        <w:rPr>
          <w:rFonts w:ascii="Times New Roman" w:hAnsi="Times New Roman" w:cs="Times New Roman"/>
        </w:rPr>
        <w:t xml:space="preserve">d rule RIA </w:t>
      </w:r>
      <w:r w:rsidR="005C5F0D">
        <w:rPr>
          <w:rFonts w:ascii="Times New Roman" w:hAnsi="Times New Roman" w:cs="Times New Roman"/>
        </w:rPr>
        <w:t>in response to</w:t>
      </w:r>
      <w:r w:rsidRPr="005025A7">
        <w:rPr>
          <w:rFonts w:ascii="Times New Roman" w:hAnsi="Times New Roman" w:cs="Times New Roman"/>
        </w:rPr>
        <w:t xml:space="preserve"> more recent data availability, public comment</w:t>
      </w:r>
      <w:r w:rsidR="00FC0726">
        <w:rPr>
          <w:rFonts w:ascii="Times New Roman" w:hAnsi="Times New Roman" w:cs="Times New Roman"/>
        </w:rPr>
        <w:t>s</w:t>
      </w:r>
      <w:r w:rsidRPr="005025A7">
        <w:rPr>
          <w:rFonts w:ascii="Times New Roman" w:hAnsi="Times New Roman" w:cs="Times New Roman"/>
        </w:rPr>
        <w:t xml:space="preserve">, and </w:t>
      </w:r>
      <w:r w:rsidR="00E44866">
        <w:rPr>
          <w:rFonts w:ascii="Times New Roman" w:hAnsi="Times New Roman" w:cs="Times New Roman"/>
        </w:rPr>
        <w:t>differences</w:t>
      </w:r>
      <w:r w:rsidRPr="005025A7" w:rsidR="00EB4E6B">
        <w:rPr>
          <w:rFonts w:ascii="Times New Roman" w:hAnsi="Times New Roman" w:cs="Times New Roman"/>
        </w:rPr>
        <w:t xml:space="preserve"> </w:t>
      </w:r>
      <w:r w:rsidR="00E44866">
        <w:rPr>
          <w:rFonts w:ascii="Times New Roman" w:hAnsi="Times New Roman" w:cs="Times New Roman"/>
        </w:rPr>
        <w:t>between proposed and final</w:t>
      </w:r>
      <w:r w:rsidR="002D07BF">
        <w:rPr>
          <w:rFonts w:ascii="Times New Roman" w:hAnsi="Times New Roman" w:cs="Times New Roman"/>
        </w:rPr>
        <w:t xml:space="preserve"> </w:t>
      </w:r>
      <w:r w:rsidRPr="005025A7" w:rsidR="00EB4E6B">
        <w:rPr>
          <w:rFonts w:ascii="Times New Roman" w:hAnsi="Times New Roman" w:cs="Times New Roman"/>
        </w:rPr>
        <w:t xml:space="preserve">regulatory requirements. The final rule RIA updates all wage and </w:t>
      </w:r>
      <w:r w:rsidRPr="005025A7" w:rsidR="00175E7D">
        <w:rPr>
          <w:rFonts w:ascii="Times New Roman" w:hAnsi="Times New Roman" w:cs="Times New Roman"/>
        </w:rPr>
        <w:t>other monetary</w:t>
      </w:r>
      <w:r w:rsidRPr="005025A7" w:rsidR="00EB4E6B">
        <w:rPr>
          <w:rFonts w:ascii="Times New Roman" w:hAnsi="Times New Roman" w:cs="Times New Roman"/>
        </w:rPr>
        <w:t xml:space="preserve"> assumptions</w:t>
      </w:r>
      <w:r w:rsidR="00265152">
        <w:rPr>
          <w:rFonts w:ascii="Times New Roman" w:hAnsi="Times New Roman" w:cs="Times New Roman"/>
        </w:rPr>
        <w:t>, including monetized benefits,</w:t>
      </w:r>
      <w:r w:rsidRPr="005025A7" w:rsidR="00EB4E6B">
        <w:rPr>
          <w:rFonts w:ascii="Times New Roman" w:hAnsi="Times New Roman" w:cs="Times New Roman"/>
        </w:rPr>
        <w:t xml:space="preserve"> to use the mo</w:t>
      </w:r>
      <w:r w:rsidR="00823A97">
        <w:rPr>
          <w:rFonts w:ascii="Times New Roman" w:hAnsi="Times New Roman" w:cs="Times New Roman"/>
        </w:rPr>
        <w:t>re</w:t>
      </w:r>
      <w:r w:rsidRPr="005025A7" w:rsidR="00EB4E6B">
        <w:rPr>
          <w:rFonts w:ascii="Times New Roman" w:hAnsi="Times New Roman" w:cs="Times New Roman"/>
        </w:rPr>
        <w:t xml:space="preserve"> recently available sources </w:t>
      </w:r>
      <w:r w:rsidRPr="005025A7" w:rsidR="00175E7D">
        <w:rPr>
          <w:rFonts w:ascii="Times New Roman" w:hAnsi="Times New Roman" w:cs="Times New Roman"/>
        </w:rPr>
        <w:t xml:space="preserve">and presents results in 2022 dollars. The universe of facilities examined in the final rule RIA remains the same as the universe in the </w:t>
      </w:r>
      <w:r w:rsidRPr="003E02D4" w:rsidR="00D32ADF">
        <w:rPr>
          <w:rFonts w:ascii="Times New Roman" w:hAnsi="Times New Roman" w:cs="Times New Roman"/>
        </w:rPr>
        <w:t>propose</w:t>
      </w:r>
      <w:r w:rsidRPr="005025A7" w:rsidR="00175E7D">
        <w:rPr>
          <w:rFonts w:ascii="Times New Roman" w:hAnsi="Times New Roman" w:cs="Times New Roman"/>
        </w:rPr>
        <w:t>d rule RIA</w:t>
      </w:r>
      <w:r w:rsidRPr="005025A7" w:rsidR="009958C0">
        <w:rPr>
          <w:rFonts w:ascii="Times New Roman" w:hAnsi="Times New Roman" w:cs="Times New Roman"/>
        </w:rPr>
        <w:t xml:space="preserve">. </w:t>
      </w:r>
      <w:r w:rsidR="002A11B7">
        <w:rPr>
          <w:rFonts w:ascii="Times New Roman" w:hAnsi="Times New Roman" w:cs="Times New Roman"/>
        </w:rPr>
        <w:t>T</w:t>
      </w:r>
      <w:r w:rsidRPr="005025A7" w:rsidR="0099490A">
        <w:rPr>
          <w:rFonts w:ascii="Times New Roman" w:hAnsi="Times New Roman" w:cs="Times New Roman"/>
        </w:rPr>
        <w:t xml:space="preserve">he final rule RIA </w:t>
      </w:r>
      <w:r w:rsidR="002A11B7">
        <w:rPr>
          <w:rFonts w:ascii="Times New Roman" w:hAnsi="Times New Roman" w:cs="Times New Roman"/>
        </w:rPr>
        <w:t>updates or adds costs for several provisions:</w:t>
      </w:r>
    </w:p>
    <w:p w:rsidR="007A2C5D" w:rsidP="00FA04B8" w14:paraId="1A902694" w14:textId="77777777">
      <w:pPr>
        <w:spacing w:after="0" w:line="240" w:lineRule="auto"/>
        <w:rPr>
          <w:rFonts w:ascii="Times New Roman" w:hAnsi="Times New Roman" w:cs="Times New Roman"/>
        </w:rPr>
      </w:pPr>
    </w:p>
    <w:p w:rsidR="008D1024" w:rsidP="00082826" w14:paraId="2724C234" w14:textId="77777777">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 xml:space="preserve">Rule familiarization costs: updated assumptions on the number of hours required for </w:t>
      </w:r>
      <w:r w:rsidR="00F63D0E">
        <w:rPr>
          <w:rFonts w:ascii="Times New Roman" w:hAnsi="Times New Roman" w:cs="Times New Roman"/>
        </w:rPr>
        <w:t xml:space="preserve">Delegating Implementing Agencies </w:t>
      </w:r>
      <w:r w:rsidR="003872F1">
        <w:rPr>
          <w:rFonts w:ascii="Times New Roman" w:hAnsi="Times New Roman" w:cs="Times New Roman"/>
        </w:rPr>
        <w:t xml:space="preserve">and </w:t>
      </w:r>
      <w:r w:rsidR="00EB42C3">
        <w:rPr>
          <w:rFonts w:ascii="Times New Roman" w:hAnsi="Times New Roman" w:cs="Times New Roman"/>
        </w:rPr>
        <w:t xml:space="preserve">most facilities </w:t>
      </w:r>
      <w:r w:rsidR="00F63D0E">
        <w:rPr>
          <w:rFonts w:ascii="Times New Roman" w:hAnsi="Times New Roman" w:cs="Times New Roman"/>
        </w:rPr>
        <w:t xml:space="preserve">to be consistent with </w:t>
      </w:r>
      <w:r w:rsidR="00E06509">
        <w:rPr>
          <w:rFonts w:ascii="Times New Roman" w:hAnsi="Times New Roman" w:cs="Times New Roman"/>
        </w:rPr>
        <w:t xml:space="preserve">LEPCs </w:t>
      </w:r>
      <w:r>
        <w:rPr>
          <w:rFonts w:ascii="Times New Roman" w:hAnsi="Times New Roman" w:cs="Times New Roman"/>
        </w:rPr>
        <w:t>in response to public comments.</w:t>
      </w:r>
    </w:p>
    <w:p w:rsidR="00057BEE" w:rsidP="00082826" w14:paraId="483AF9FA" w14:textId="77777777">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Third-party audits:</w:t>
      </w:r>
      <w:r w:rsidR="002F1580">
        <w:rPr>
          <w:rFonts w:ascii="Times New Roman" w:hAnsi="Times New Roman" w:cs="Times New Roman"/>
        </w:rPr>
        <w:t xml:space="preserve"> </w:t>
      </w:r>
      <w:r w:rsidR="007A2C5D">
        <w:rPr>
          <w:rFonts w:ascii="Times New Roman" w:hAnsi="Times New Roman" w:cs="Times New Roman"/>
        </w:rPr>
        <w:t>C</w:t>
      </w:r>
      <w:r w:rsidR="007C6B32">
        <w:rPr>
          <w:rFonts w:ascii="Times New Roman" w:hAnsi="Times New Roman" w:cs="Times New Roman"/>
        </w:rPr>
        <w:t xml:space="preserve">osts updated to reflect </w:t>
      </w:r>
      <w:r w:rsidR="007A2C5D">
        <w:rPr>
          <w:rFonts w:ascii="Times New Roman" w:hAnsi="Times New Roman" w:cs="Times New Roman"/>
        </w:rPr>
        <w:t xml:space="preserve">a </w:t>
      </w:r>
      <w:r w:rsidR="007C6B32">
        <w:rPr>
          <w:rFonts w:ascii="Times New Roman" w:hAnsi="Times New Roman" w:cs="Times New Roman"/>
        </w:rPr>
        <w:t xml:space="preserve">change in the provision requiring </w:t>
      </w:r>
      <w:r w:rsidR="00BA4665">
        <w:rPr>
          <w:rFonts w:ascii="Times New Roman" w:hAnsi="Times New Roman" w:cs="Times New Roman"/>
        </w:rPr>
        <w:t xml:space="preserve">third-party audits after </w:t>
      </w:r>
      <w:r w:rsidR="00DF56A0">
        <w:rPr>
          <w:rFonts w:ascii="Times New Roman" w:hAnsi="Times New Roman" w:cs="Times New Roman"/>
        </w:rPr>
        <w:t>any accident</w:t>
      </w:r>
      <w:r w:rsidR="007C6B32">
        <w:rPr>
          <w:rFonts w:ascii="Times New Roman" w:hAnsi="Times New Roman" w:cs="Times New Roman"/>
        </w:rPr>
        <w:t>.</w:t>
      </w:r>
    </w:p>
    <w:p w:rsidR="00057BEE" w:rsidP="00082826" w14:paraId="1994CD0B" w14:textId="77777777">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Initial Evaluation</w:t>
      </w:r>
      <w:r w:rsidR="0056497F">
        <w:rPr>
          <w:rFonts w:ascii="Times New Roman" w:hAnsi="Times New Roman" w:cs="Times New Roman"/>
        </w:rPr>
        <w:t xml:space="preserve"> and </w:t>
      </w:r>
      <w:r>
        <w:rPr>
          <w:rFonts w:ascii="Times New Roman" w:hAnsi="Times New Roman" w:cs="Times New Roman"/>
        </w:rPr>
        <w:t>Practicability Assessment</w:t>
      </w:r>
      <w:r w:rsidR="0056497F">
        <w:rPr>
          <w:rFonts w:ascii="Times New Roman" w:hAnsi="Times New Roman" w:cs="Times New Roman"/>
        </w:rPr>
        <w:t>:</w:t>
      </w:r>
      <w:r w:rsidR="00D001B4">
        <w:rPr>
          <w:rFonts w:ascii="Times New Roman" w:hAnsi="Times New Roman" w:cs="Times New Roman"/>
        </w:rPr>
        <w:t xml:space="preserve"> </w:t>
      </w:r>
      <w:r w:rsidR="00BA4665">
        <w:rPr>
          <w:rFonts w:ascii="Times New Roman" w:hAnsi="Times New Roman" w:cs="Times New Roman"/>
        </w:rPr>
        <w:t xml:space="preserve">costs updated to reflect changes to the provision requiring STAA </w:t>
      </w:r>
      <w:r>
        <w:rPr>
          <w:rFonts w:ascii="Times New Roman" w:hAnsi="Times New Roman" w:cs="Times New Roman"/>
        </w:rPr>
        <w:t>initial evaluation</w:t>
      </w:r>
      <w:r w:rsidR="00BA4665">
        <w:rPr>
          <w:rFonts w:ascii="Times New Roman" w:hAnsi="Times New Roman" w:cs="Times New Roman"/>
        </w:rPr>
        <w:t xml:space="preserve"> for more facilities and the </w:t>
      </w:r>
      <w:r>
        <w:rPr>
          <w:rFonts w:ascii="Times New Roman" w:hAnsi="Times New Roman" w:cs="Times New Roman"/>
        </w:rPr>
        <w:t>practicability assessment</w:t>
      </w:r>
      <w:r w:rsidR="00C52B3A">
        <w:rPr>
          <w:rFonts w:ascii="Times New Roman" w:hAnsi="Times New Roman" w:cs="Times New Roman"/>
        </w:rPr>
        <w:t xml:space="preserve"> for certain facilities</w:t>
      </w:r>
      <w:r w:rsidR="00BA4665">
        <w:rPr>
          <w:rFonts w:ascii="Times New Roman" w:hAnsi="Times New Roman" w:cs="Times New Roman"/>
        </w:rPr>
        <w:t xml:space="preserve"> </w:t>
      </w:r>
      <w:r w:rsidR="00965F53">
        <w:rPr>
          <w:rFonts w:ascii="Times New Roman" w:hAnsi="Times New Roman" w:cs="Times New Roman"/>
        </w:rPr>
        <w:t>that</w:t>
      </w:r>
      <w:r w:rsidR="00815038">
        <w:rPr>
          <w:rFonts w:ascii="Times New Roman" w:hAnsi="Times New Roman" w:cs="Times New Roman"/>
        </w:rPr>
        <w:t xml:space="preserve"> experienc</w:t>
      </w:r>
      <w:r w:rsidR="00965F53">
        <w:rPr>
          <w:rFonts w:ascii="Times New Roman" w:hAnsi="Times New Roman" w:cs="Times New Roman"/>
        </w:rPr>
        <w:t>e</w:t>
      </w:r>
      <w:r w:rsidR="00BA4665">
        <w:rPr>
          <w:rFonts w:ascii="Times New Roman" w:hAnsi="Times New Roman" w:cs="Times New Roman"/>
        </w:rPr>
        <w:t xml:space="preserve"> </w:t>
      </w:r>
      <w:r w:rsidR="00E06509">
        <w:rPr>
          <w:rFonts w:ascii="Times New Roman" w:hAnsi="Times New Roman" w:cs="Times New Roman"/>
        </w:rPr>
        <w:t xml:space="preserve">an </w:t>
      </w:r>
      <w:r w:rsidR="00D001B4">
        <w:rPr>
          <w:rFonts w:ascii="Times New Roman" w:hAnsi="Times New Roman" w:cs="Times New Roman"/>
        </w:rPr>
        <w:t xml:space="preserve">accident </w:t>
      </w:r>
      <w:r w:rsidRPr="00200826" w:rsidR="00B05F5D">
        <w:rPr>
          <w:rFonts w:ascii="Times New Roman" w:eastAsia="Calibri" w:hAnsi="Times New Roman" w:cs="Times New Roman"/>
        </w:rPr>
        <w:t>since the</w:t>
      </w:r>
      <w:r w:rsidR="00EE0624">
        <w:rPr>
          <w:rFonts w:ascii="Times New Roman" w:eastAsia="Calibri" w:hAnsi="Times New Roman" w:cs="Times New Roman"/>
        </w:rPr>
        <w:t>ir</w:t>
      </w:r>
      <w:r w:rsidRPr="00200826" w:rsidR="00B05F5D">
        <w:rPr>
          <w:rFonts w:ascii="Times New Roman" w:eastAsia="Calibri" w:hAnsi="Times New Roman" w:cs="Times New Roman"/>
        </w:rPr>
        <w:t xml:space="preserve"> most recent process hazard analysis</w:t>
      </w:r>
      <w:r w:rsidR="000B39E1">
        <w:rPr>
          <w:rFonts w:ascii="Times New Roman" w:hAnsi="Times New Roman" w:cs="Times New Roman"/>
        </w:rPr>
        <w:t>.</w:t>
      </w:r>
      <w:r w:rsidR="00D500CC">
        <w:rPr>
          <w:rFonts w:ascii="Times New Roman" w:hAnsi="Times New Roman" w:cs="Times New Roman"/>
        </w:rPr>
        <w:t xml:space="preserve"> Updated cost estimate</w:t>
      </w:r>
      <w:r w:rsidR="00965F53">
        <w:rPr>
          <w:rFonts w:ascii="Times New Roman" w:hAnsi="Times New Roman" w:cs="Times New Roman"/>
        </w:rPr>
        <w:t>s</w:t>
      </w:r>
      <w:r w:rsidR="00D500CC">
        <w:rPr>
          <w:rFonts w:ascii="Times New Roman" w:hAnsi="Times New Roman" w:cs="Times New Roman"/>
        </w:rPr>
        <w:t xml:space="preserve"> to account for less effort required the second time a STAA analysis is completed.</w:t>
      </w:r>
    </w:p>
    <w:p w:rsidR="0056497F" w:rsidP="00082826" w14:paraId="7C8AD949" w14:textId="77777777">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STAA Implementation:</w:t>
      </w:r>
      <w:r w:rsidR="00D001B4">
        <w:rPr>
          <w:rFonts w:ascii="Times New Roman" w:hAnsi="Times New Roman" w:cs="Times New Roman"/>
        </w:rPr>
        <w:t xml:space="preserve"> </w:t>
      </w:r>
      <w:r w:rsidR="007A2C5D">
        <w:rPr>
          <w:rFonts w:ascii="Times New Roman" w:hAnsi="Times New Roman" w:cs="Times New Roman"/>
        </w:rPr>
        <w:t>N</w:t>
      </w:r>
      <w:r w:rsidR="00994BA9">
        <w:rPr>
          <w:rFonts w:ascii="Times New Roman" w:hAnsi="Times New Roman" w:cs="Times New Roman"/>
        </w:rPr>
        <w:t xml:space="preserve">ew cost for the </w:t>
      </w:r>
      <w:r w:rsidR="00D001B4">
        <w:rPr>
          <w:rFonts w:ascii="Times New Roman" w:hAnsi="Times New Roman" w:cs="Times New Roman"/>
        </w:rPr>
        <w:t xml:space="preserve">provision </w:t>
      </w:r>
      <w:r w:rsidR="006B1FE4">
        <w:rPr>
          <w:rFonts w:ascii="Times New Roman" w:hAnsi="Times New Roman" w:cs="Times New Roman"/>
        </w:rPr>
        <w:t xml:space="preserve">now </w:t>
      </w:r>
      <w:r w:rsidR="00D001B4">
        <w:rPr>
          <w:rFonts w:ascii="Times New Roman" w:hAnsi="Times New Roman" w:cs="Times New Roman"/>
        </w:rPr>
        <w:t>requiring</w:t>
      </w:r>
      <w:r w:rsidR="006B5CC4">
        <w:rPr>
          <w:rFonts w:ascii="Times New Roman" w:hAnsi="Times New Roman" w:cs="Times New Roman"/>
        </w:rPr>
        <w:t xml:space="preserve"> certain facilities</w:t>
      </w:r>
      <w:r w:rsidR="000F3822">
        <w:rPr>
          <w:rFonts w:ascii="Times New Roman" w:hAnsi="Times New Roman" w:cs="Times New Roman"/>
        </w:rPr>
        <w:t xml:space="preserve"> to</w:t>
      </w:r>
      <w:r w:rsidR="006B5CC4">
        <w:rPr>
          <w:rFonts w:ascii="Times New Roman" w:hAnsi="Times New Roman" w:cs="Times New Roman"/>
        </w:rPr>
        <w:t xml:space="preserve"> implement one</w:t>
      </w:r>
      <w:r w:rsidR="006F406F">
        <w:rPr>
          <w:rFonts w:ascii="Times New Roman" w:hAnsi="Times New Roman" w:cs="Times New Roman"/>
        </w:rPr>
        <w:t xml:space="preserve"> </w:t>
      </w:r>
      <w:r w:rsidR="00510FB3">
        <w:rPr>
          <w:rFonts w:ascii="Times New Roman" w:hAnsi="Times New Roman" w:cs="Times New Roman"/>
        </w:rPr>
        <w:t xml:space="preserve">or more </w:t>
      </w:r>
      <w:r w:rsidR="006F406F">
        <w:rPr>
          <w:rFonts w:ascii="Times New Roman" w:hAnsi="Times New Roman" w:cs="Times New Roman"/>
        </w:rPr>
        <w:t xml:space="preserve">measures </w:t>
      </w:r>
      <w:r w:rsidR="006B5CC4">
        <w:rPr>
          <w:rFonts w:ascii="Times New Roman" w:hAnsi="Times New Roman" w:cs="Times New Roman"/>
        </w:rPr>
        <w:t>that has up-to passive measure risk reduction.</w:t>
      </w:r>
    </w:p>
    <w:p w:rsidR="0056497F" w:rsidP="00082826" w14:paraId="75BED1DB" w14:textId="77777777">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 xml:space="preserve">Public Disclosure: </w:t>
      </w:r>
      <w:r w:rsidR="007A2C5D">
        <w:rPr>
          <w:rFonts w:ascii="Times New Roman" w:hAnsi="Times New Roman" w:cs="Times New Roman"/>
        </w:rPr>
        <w:t>N</w:t>
      </w:r>
      <w:r w:rsidR="009B2569">
        <w:rPr>
          <w:rFonts w:ascii="Times New Roman" w:hAnsi="Times New Roman" w:cs="Times New Roman"/>
        </w:rPr>
        <w:t>ew cost added to capture translation and ID verification requirements</w:t>
      </w:r>
      <w:r w:rsidR="004456F4">
        <w:rPr>
          <w:rFonts w:ascii="Times New Roman" w:hAnsi="Times New Roman" w:cs="Times New Roman"/>
        </w:rPr>
        <w:t>.</w:t>
      </w:r>
    </w:p>
    <w:p w:rsidR="009B2569" w:rsidP="00082826" w14:paraId="3485C701" w14:textId="77777777">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 xml:space="preserve">Justifications: </w:t>
      </w:r>
      <w:r w:rsidR="007A2C5D">
        <w:rPr>
          <w:rFonts w:ascii="Times New Roman" w:hAnsi="Times New Roman" w:cs="Times New Roman"/>
        </w:rPr>
        <w:t>N</w:t>
      </w:r>
      <w:r>
        <w:rPr>
          <w:rFonts w:ascii="Times New Roman" w:hAnsi="Times New Roman" w:cs="Times New Roman"/>
        </w:rPr>
        <w:t xml:space="preserve">ew costs added to capture four justification requirements in RMP submissions for </w:t>
      </w:r>
      <w:r w:rsidR="005E1B2A">
        <w:rPr>
          <w:rFonts w:ascii="Times New Roman" w:hAnsi="Times New Roman" w:cs="Times New Roman"/>
        </w:rPr>
        <w:t xml:space="preserve">RAGAGEP, </w:t>
      </w:r>
      <w:r w:rsidR="00CA6089">
        <w:rPr>
          <w:rFonts w:ascii="Times New Roman" w:hAnsi="Times New Roman" w:cs="Times New Roman"/>
        </w:rPr>
        <w:t xml:space="preserve">Facility Siting, </w:t>
      </w:r>
      <w:r w:rsidR="00CC28BA">
        <w:rPr>
          <w:rFonts w:ascii="Times New Roman" w:hAnsi="Times New Roman" w:cs="Times New Roman"/>
        </w:rPr>
        <w:t xml:space="preserve">Natural Hazards, </w:t>
      </w:r>
      <w:r w:rsidR="0005351C">
        <w:rPr>
          <w:rFonts w:ascii="Times New Roman" w:hAnsi="Times New Roman" w:cs="Times New Roman"/>
        </w:rPr>
        <w:t>and Emergency Backup Power</w:t>
      </w:r>
      <w:r w:rsidR="00ED36F5">
        <w:rPr>
          <w:rFonts w:ascii="Times New Roman" w:hAnsi="Times New Roman" w:cs="Times New Roman"/>
        </w:rPr>
        <w:t>,</w:t>
      </w:r>
      <w:r w:rsidR="004456F4">
        <w:rPr>
          <w:rFonts w:ascii="Times New Roman" w:hAnsi="Times New Roman" w:cs="Times New Roman"/>
        </w:rPr>
        <w:t xml:space="preserve"> </w:t>
      </w:r>
      <w:r w:rsidR="007A2C5D">
        <w:rPr>
          <w:rFonts w:ascii="Times New Roman" w:hAnsi="Times New Roman" w:cs="Times New Roman"/>
        </w:rPr>
        <w:t>which</w:t>
      </w:r>
      <w:r w:rsidR="004456F4">
        <w:rPr>
          <w:rFonts w:ascii="Times New Roman" w:hAnsi="Times New Roman" w:cs="Times New Roman"/>
        </w:rPr>
        <w:t xml:space="preserve"> were not previously costed in the </w:t>
      </w:r>
      <w:r w:rsidRPr="003E02D4" w:rsidR="00D32ADF">
        <w:rPr>
          <w:rFonts w:ascii="Times New Roman" w:hAnsi="Times New Roman" w:cs="Times New Roman"/>
        </w:rPr>
        <w:t>propose</w:t>
      </w:r>
      <w:r w:rsidRPr="00D1610D" w:rsidR="004456F4">
        <w:rPr>
          <w:rFonts w:ascii="Times New Roman" w:hAnsi="Times New Roman" w:cs="Times New Roman"/>
        </w:rPr>
        <w:t>d</w:t>
      </w:r>
      <w:r w:rsidR="004456F4">
        <w:rPr>
          <w:rFonts w:ascii="Times New Roman" w:hAnsi="Times New Roman" w:cs="Times New Roman"/>
        </w:rPr>
        <w:t xml:space="preserve"> rule RIA.</w:t>
      </w:r>
    </w:p>
    <w:p w:rsidR="004456F4" w:rsidP="00082826" w14:paraId="0B30425D" w14:textId="77777777">
      <w:pPr>
        <w:pStyle w:val="ListParagraph"/>
        <w:numPr>
          <w:ilvl w:val="0"/>
          <w:numId w:val="17"/>
        </w:numPr>
        <w:spacing w:after="0" w:line="240" w:lineRule="auto"/>
        <w:rPr>
          <w:rFonts w:ascii="Times New Roman" w:hAnsi="Times New Roman" w:cs="Times New Roman"/>
        </w:rPr>
      </w:pPr>
      <w:r w:rsidRPr="005F4745">
        <w:rPr>
          <w:rFonts w:ascii="Times New Roman" w:hAnsi="Times New Roman" w:cs="Times New Roman"/>
        </w:rPr>
        <w:t>Emergency Backup Power for Perimeter Monitors</w:t>
      </w:r>
      <w:r>
        <w:rPr>
          <w:rFonts w:ascii="Times New Roman" w:hAnsi="Times New Roman" w:cs="Times New Roman"/>
        </w:rPr>
        <w:t xml:space="preserve">: </w:t>
      </w:r>
      <w:r w:rsidR="007A2C5D">
        <w:rPr>
          <w:rFonts w:ascii="Times New Roman" w:hAnsi="Times New Roman" w:cs="Times New Roman"/>
        </w:rPr>
        <w:t>U</w:t>
      </w:r>
      <w:r w:rsidR="00885769">
        <w:rPr>
          <w:rFonts w:ascii="Times New Roman" w:hAnsi="Times New Roman" w:cs="Times New Roman"/>
        </w:rPr>
        <w:t>pdated generator cost</w:t>
      </w:r>
      <w:r w:rsidR="00B01112">
        <w:rPr>
          <w:rFonts w:ascii="Times New Roman" w:hAnsi="Times New Roman" w:cs="Times New Roman"/>
        </w:rPr>
        <w:t xml:space="preserve"> assumptions</w:t>
      </w:r>
      <w:r w:rsidR="00885769">
        <w:rPr>
          <w:rFonts w:ascii="Times New Roman" w:hAnsi="Times New Roman" w:cs="Times New Roman"/>
        </w:rPr>
        <w:t xml:space="preserve"> and added recurring operation and maintenance costs in response to public comments.</w:t>
      </w:r>
    </w:p>
    <w:p w:rsidR="00885769" w:rsidP="00082826" w14:paraId="556EAAD2" w14:textId="77777777">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 xml:space="preserve">Employee Participation Plan: </w:t>
      </w:r>
      <w:r w:rsidR="0043434E">
        <w:rPr>
          <w:rFonts w:ascii="Times New Roman" w:hAnsi="Times New Roman" w:cs="Times New Roman"/>
        </w:rPr>
        <w:t>Added a cost for training requirements</w:t>
      </w:r>
      <w:r w:rsidR="008C46C8">
        <w:rPr>
          <w:rFonts w:ascii="Times New Roman" w:hAnsi="Times New Roman" w:cs="Times New Roman"/>
        </w:rPr>
        <w:t xml:space="preserve"> in response to public comments.</w:t>
      </w:r>
    </w:p>
    <w:p w:rsidR="00265152" w:rsidRPr="003E02D4" w:rsidP="003E02D4" w14:paraId="119C2D9B" w14:textId="77777777">
      <w:pPr>
        <w:pStyle w:val="ListParagraph"/>
        <w:spacing w:after="0" w:line="240" w:lineRule="auto"/>
        <w:ind w:left="1080"/>
        <w:rPr>
          <w:rFonts w:ascii="Times New Roman" w:hAnsi="Times New Roman" w:cs="Times New Roman"/>
        </w:rPr>
      </w:pPr>
    </w:p>
    <w:p w:rsidR="000124BE" w:rsidRPr="000124BE" w:rsidP="000124BE" w14:paraId="2F8E5BB1" w14:textId="77777777"/>
    <w:p w:rsidR="00093C0A" w:rsidP="00AF4AF6" w14:paraId="03605A9D" w14:textId="77777777">
      <w:pPr>
        <w:spacing w:after="0" w:line="240" w:lineRule="auto"/>
        <w:ind w:firstLine="360"/>
        <w:rPr>
          <w:rFonts w:ascii="Times New Roman" w:hAnsi="Times New Roman" w:cs="Times New Roman"/>
        </w:rPr>
      </w:pPr>
      <w:r>
        <w:rPr>
          <w:rFonts w:ascii="Times New Roman" w:hAnsi="Times New Roman" w:cs="Times New Roman"/>
        </w:rPr>
        <w:br w:type="page"/>
      </w:r>
    </w:p>
    <w:p w:rsidR="00A2018A" w:rsidP="00F65DEC" w14:paraId="2280ED30" w14:textId="77777777">
      <w:pPr>
        <w:pStyle w:val="Heading1"/>
        <w:spacing w:after="0" w:line="240" w:lineRule="auto"/>
      </w:pPr>
      <w:bookmarkStart w:id="72" w:name="_Toc144303518"/>
      <w:bookmarkStart w:id="73" w:name="_Toc98856207"/>
      <w:bookmarkEnd w:id="70"/>
      <w:r w:rsidRPr="00B11FAB">
        <w:t>CHAPTER 3</w:t>
      </w:r>
      <w:r w:rsidR="00BF42A8">
        <w:t>: Universe of RMP Facilities</w:t>
      </w:r>
      <w:r>
        <w:t xml:space="preserve"> and</w:t>
      </w:r>
      <w:bookmarkEnd w:id="72"/>
      <w:r>
        <w:t xml:space="preserve"> </w:t>
      </w:r>
    </w:p>
    <w:p w:rsidR="00673838" w:rsidP="0064610C" w14:paraId="47180E19" w14:textId="77777777">
      <w:pPr>
        <w:jc w:val="center"/>
        <w:rPr>
          <w:rFonts w:eastAsia="Calibri"/>
        </w:rPr>
      </w:pPr>
      <w:r w:rsidRPr="00CE28AA">
        <w:rPr>
          <w:rFonts w:ascii="Times New Roman" w:hAnsi="Times New Roman" w:cs="Times New Roman"/>
          <w:b/>
          <w:sz w:val="36"/>
          <w:szCs w:val="36"/>
        </w:rPr>
        <w:t>Baseline Accident Costs</w:t>
      </w:r>
    </w:p>
    <w:bookmarkEnd w:id="73"/>
    <w:p w:rsidR="00093C0A" w:rsidRPr="00587204" w:rsidP="00587204" w14:paraId="00E1AFC0" w14:textId="77777777">
      <w:pPr>
        <w:spacing w:after="0" w:line="240" w:lineRule="auto"/>
        <w:ind w:firstLine="360"/>
        <w:rPr>
          <w:rFonts w:ascii="Times New Roman" w:eastAsia="Calibri" w:hAnsi="Times New Roman" w:cs="Times New Roman"/>
        </w:rPr>
      </w:pPr>
      <w:r>
        <w:rPr>
          <w:rFonts w:ascii="Times New Roman" w:eastAsia="Calibri" w:hAnsi="Times New Roman" w:cs="Times New Roman"/>
        </w:rPr>
        <w:tab/>
      </w:r>
      <w:r w:rsidR="0008747C">
        <w:rPr>
          <w:rFonts w:ascii="Times New Roman" w:eastAsia="Calibri" w:hAnsi="Times New Roman" w:cs="Times New Roman"/>
        </w:rPr>
        <w:t>Recent data show</w:t>
      </w:r>
      <w:r w:rsidR="007B7A63">
        <w:rPr>
          <w:rFonts w:ascii="Times New Roman" w:eastAsia="Calibri" w:hAnsi="Times New Roman" w:cs="Times New Roman"/>
        </w:rPr>
        <w:t xml:space="preserve"> that</w:t>
      </w:r>
      <w:r w:rsidRPr="00587204">
        <w:rPr>
          <w:rFonts w:ascii="Times New Roman" w:eastAsia="Calibri" w:hAnsi="Times New Roman" w:cs="Times New Roman"/>
        </w:rPr>
        <w:t xml:space="preserve"> 11,740 facilities have filed current RMPs with EPA and </w:t>
      </w:r>
      <w:r w:rsidR="00C63322">
        <w:rPr>
          <w:rFonts w:ascii="Times New Roman" w:eastAsia="Calibri" w:hAnsi="Times New Roman" w:cs="Times New Roman"/>
        </w:rPr>
        <w:t xml:space="preserve">are </w:t>
      </w:r>
      <w:r w:rsidRPr="00587204">
        <w:rPr>
          <w:rFonts w:ascii="Times New Roman" w:eastAsia="Calibri" w:hAnsi="Times New Roman" w:cs="Times New Roman"/>
        </w:rPr>
        <w:t xml:space="preserve">potentially affected by the </w:t>
      </w:r>
      <w:r w:rsidR="00B013C5">
        <w:rPr>
          <w:rFonts w:ascii="Times New Roman" w:eastAsia="Calibri" w:hAnsi="Times New Roman" w:cs="Times New Roman"/>
        </w:rPr>
        <w:t>final</w:t>
      </w:r>
      <w:r w:rsidRPr="00587204" w:rsidR="00B013C5">
        <w:rPr>
          <w:rFonts w:ascii="Times New Roman" w:eastAsia="Calibri" w:hAnsi="Times New Roman" w:cs="Times New Roman"/>
        </w:rPr>
        <w:t xml:space="preserve"> </w:t>
      </w:r>
      <w:r w:rsidRPr="00587204">
        <w:rPr>
          <w:rFonts w:ascii="Times New Roman" w:eastAsia="Calibri" w:hAnsi="Times New Roman" w:cs="Times New Roman"/>
        </w:rPr>
        <w:t>rule. These facilities range from petroleum refineries and large chemical manufacturers to water and wastewater treatment systems; chemical and petroleum wholesalers and terminals; food manufacturers, packing plants, and other cold storage facilities with ammonia refrigeration systems; agricultural chemical distributors; midstream gas plants; and a limited number of other sources that use RMP-regulated substances. This chapter describes these facilities and how they are categorized for the purposes of the economic analysis.</w:t>
      </w:r>
    </w:p>
    <w:p w:rsidR="008E19B6" w:rsidRPr="00587204" w:rsidP="00587204" w14:paraId="6D2003FB" w14:textId="77777777">
      <w:pPr>
        <w:spacing w:after="0" w:line="240" w:lineRule="auto"/>
        <w:ind w:firstLine="720"/>
        <w:rPr>
          <w:rFonts w:ascii="Times New Roman" w:eastAsia="Calibri" w:hAnsi="Times New Roman" w:cs="Times New Roman"/>
        </w:rPr>
      </w:pPr>
    </w:p>
    <w:p w:rsidR="00093C0A" w:rsidRPr="00587204" w:rsidP="00C07306" w14:paraId="0045ACF9" w14:textId="77777777">
      <w:pPr>
        <w:pStyle w:val="Heading2"/>
      </w:pPr>
      <w:bookmarkStart w:id="74" w:name="_Toc98856208"/>
      <w:bookmarkStart w:id="75" w:name="_Toc144303519"/>
      <w:r>
        <w:t xml:space="preserve">3.1 </w:t>
      </w:r>
      <w:r w:rsidR="00FD1589">
        <w:t xml:space="preserve">Universe of </w:t>
      </w:r>
      <w:r w:rsidRPr="00587204">
        <w:t>RMP Facilities</w:t>
      </w:r>
      <w:bookmarkEnd w:id="74"/>
      <w:bookmarkEnd w:id="75"/>
      <w:r w:rsidRPr="00587204">
        <w:t xml:space="preserve"> </w:t>
      </w:r>
    </w:p>
    <w:p w:rsidR="00093C0A" w:rsidRPr="00587204" w:rsidP="00587204" w14:paraId="0C0983FB" w14:textId="77777777">
      <w:pPr>
        <w:spacing w:after="0" w:line="240" w:lineRule="auto"/>
        <w:ind w:firstLine="360"/>
        <w:rPr>
          <w:rFonts w:ascii="Times New Roman" w:eastAsia="Calibri" w:hAnsi="Times New Roman" w:cs="Times New Roman"/>
        </w:rPr>
      </w:pPr>
      <w:r>
        <w:rPr>
          <w:rFonts w:ascii="Times New Roman" w:eastAsia="Calibri" w:hAnsi="Times New Roman" w:cs="Times New Roman"/>
        </w:rPr>
        <w:tab/>
      </w:r>
      <w:r w:rsidRPr="00587204">
        <w:rPr>
          <w:rFonts w:ascii="Times New Roman" w:eastAsia="Calibri" w:hAnsi="Times New Roman" w:cs="Times New Roman"/>
        </w:rPr>
        <w:t xml:space="preserve">Exhibit 3-1 presents the numbers of facilities according to RMP reporting as of December 31, 2020, by industrial sector and chemical use. Exhibit 3-2 presents the number of facilities </w:t>
      </w:r>
      <w:r w:rsidR="00FC6993">
        <w:rPr>
          <w:rFonts w:ascii="Times New Roman" w:eastAsia="Calibri" w:hAnsi="Times New Roman" w:cs="Times New Roman"/>
        </w:rPr>
        <w:t>in each</w:t>
      </w:r>
      <w:r w:rsidRPr="00587204">
        <w:rPr>
          <w:rFonts w:ascii="Times New Roman" w:eastAsia="Calibri" w:hAnsi="Times New Roman" w:cs="Times New Roman"/>
        </w:rPr>
        <w:t xml:space="preserve"> sector in the form of a bar chart. </w:t>
      </w:r>
    </w:p>
    <w:p w:rsidR="00587204" w:rsidRPr="00587204" w:rsidP="00587204" w14:paraId="6418FE83" w14:textId="77777777">
      <w:pPr>
        <w:pStyle w:val="Caption"/>
        <w:jc w:val="center"/>
        <w:rPr>
          <w:rFonts w:ascii="Times New Roman" w:hAnsi="Times New Roman" w:cs="Times New Roman"/>
          <w:b/>
          <w:bCs/>
          <w:i w:val="0"/>
          <w:iCs w:val="0"/>
          <w:color w:val="auto"/>
          <w:sz w:val="22"/>
          <w:szCs w:val="22"/>
        </w:rPr>
      </w:pPr>
      <w:bookmarkStart w:id="76" w:name="_Toc100922735"/>
      <w:bookmarkStart w:id="77" w:name="_Toc100922741"/>
      <w:r w:rsidRPr="00587204">
        <w:rPr>
          <w:rFonts w:ascii="Times New Roman" w:hAnsi="Times New Roman" w:cs="Times New Roman"/>
          <w:b/>
          <w:bCs/>
          <w:i w:val="0"/>
          <w:iCs w:val="0"/>
          <w:color w:val="auto"/>
          <w:sz w:val="22"/>
          <w:szCs w:val="22"/>
        </w:rPr>
        <w:t xml:space="preserve">Exhibit </w:t>
      </w:r>
      <w:r w:rsidR="00A73F21">
        <w:rPr>
          <w:rFonts w:ascii="Times New Roman" w:hAnsi="Times New Roman" w:cs="Times New Roman"/>
          <w:b/>
          <w:bCs/>
          <w:i w:val="0"/>
          <w:iCs w:val="0"/>
          <w:color w:val="auto"/>
          <w:sz w:val="22"/>
          <w:szCs w:val="22"/>
        </w:rPr>
        <w:t>3</w:t>
      </w:r>
      <w:r w:rsidRPr="00587204">
        <w:rPr>
          <w:rFonts w:ascii="Times New Roman" w:eastAsia="Calibri" w:hAnsi="Times New Roman" w:cs="Times New Roman"/>
          <w:b/>
          <w:bCs/>
          <w:i w:val="0"/>
          <w:iCs w:val="0"/>
          <w:color w:val="auto"/>
          <w:sz w:val="22"/>
          <w:szCs w:val="22"/>
        </w:rPr>
        <w:t>-1: Number of Affected Facilities by Sector as of December 31, 2020</w:t>
      </w:r>
      <w:bookmarkEnd w:id="76"/>
      <w:bookmarkEnd w:id="77"/>
      <w:r w:rsidR="006B5D8B">
        <w:rPr>
          <w:rFonts w:ascii="Times New Roman" w:eastAsia="Calibri" w:hAnsi="Times New Roman" w:cs="Times New Roman"/>
          <w:b/>
          <w:bCs/>
          <w:i w:val="0"/>
          <w:iCs w:val="0"/>
          <w:color w:val="auto"/>
          <w:sz w:val="22"/>
          <w:szCs w:val="22"/>
        </w:rPr>
        <w:t>.</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5"/>
        <w:gridCol w:w="1980"/>
        <w:gridCol w:w="1272"/>
        <w:gridCol w:w="3870"/>
      </w:tblGrid>
      <w:tr w14:paraId="18CF0CC7" w14:textId="77777777" w:rsidTr="00305374">
        <w:tblPrEx>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jc w:val="center"/>
        </w:trPr>
        <w:tc>
          <w:tcPr>
            <w:tcW w:w="2785" w:type="dxa"/>
            <w:shd w:val="clear" w:color="000000" w:fill="D9D9D9"/>
            <w:noWrap/>
            <w:vAlign w:val="center"/>
            <w:hideMark/>
          </w:tcPr>
          <w:p w:rsidR="00093C0A" w:rsidRPr="00D7128A" w:rsidP="008348D6" w14:paraId="2DE8D700" w14:textId="77777777">
            <w:pPr>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Sector</w:t>
            </w:r>
          </w:p>
        </w:tc>
        <w:tc>
          <w:tcPr>
            <w:tcW w:w="1980" w:type="dxa"/>
            <w:shd w:val="clear" w:color="000000" w:fill="D9D9D9"/>
            <w:noWrap/>
            <w:vAlign w:val="center"/>
            <w:hideMark/>
          </w:tcPr>
          <w:p w:rsidR="00093C0A" w:rsidRPr="00D7128A" w:rsidP="008348D6" w14:paraId="588CE960" w14:textId="77777777">
            <w:pPr>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NAICS Codes</w:t>
            </w:r>
          </w:p>
        </w:tc>
        <w:tc>
          <w:tcPr>
            <w:tcW w:w="1272" w:type="dxa"/>
            <w:shd w:val="clear" w:color="000000" w:fill="D9D9D9"/>
            <w:noWrap/>
            <w:vAlign w:val="center"/>
            <w:hideMark/>
          </w:tcPr>
          <w:p w:rsidR="00093C0A" w:rsidRPr="00D7128A" w:rsidP="008348D6" w14:paraId="30E1E191" w14:textId="77777777">
            <w:pPr>
              <w:spacing w:after="0" w:line="240" w:lineRule="auto"/>
              <w:jc w:val="center"/>
              <w:rPr>
                <w:rFonts w:ascii="Times New Roman" w:hAnsi="Times New Roman" w:cs="Times New Roman"/>
                <w:b/>
                <w:color w:val="000000"/>
                <w:sz w:val="20"/>
                <w:szCs w:val="20"/>
              </w:rPr>
            </w:pPr>
            <w:r w:rsidRPr="00D7128A">
              <w:rPr>
                <w:rFonts w:ascii="Times New Roman" w:eastAsia="Times New Roman" w:hAnsi="Times New Roman" w:cs="Times New Roman"/>
                <w:b/>
                <w:color w:val="000000"/>
                <w:sz w:val="20"/>
                <w:szCs w:val="20"/>
              </w:rPr>
              <w:t>Numbe</w:t>
            </w:r>
            <w:r w:rsidRPr="00D7128A" w:rsidR="00A770D4">
              <w:rPr>
                <w:rFonts w:ascii="Times New Roman" w:eastAsia="Times New Roman" w:hAnsi="Times New Roman" w:cs="Times New Roman"/>
                <w:b/>
                <w:color w:val="000000"/>
                <w:sz w:val="20"/>
                <w:szCs w:val="20"/>
              </w:rPr>
              <w:t xml:space="preserve">r </w:t>
            </w:r>
            <w:r w:rsidRPr="00D7128A">
              <w:rPr>
                <w:rFonts w:ascii="Times New Roman" w:eastAsia="Times New Roman" w:hAnsi="Times New Roman" w:cs="Times New Roman"/>
                <w:b/>
                <w:color w:val="000000"/>
                <w:sz w:val="20"/>
                <w:szCs w:val="20"/>
              </w:rPr>
              <w:t>of facilities</w:t>
            </w:r>
          </w:p>
        </w:tc>
        <w:tc>
          <w:tcPr>
            <w:tcW w:w="3870" w:type="dxa"/>
            <w:shd w:val="clear" w:color="000000" w:fill="D9D9D9"/>
            <w:noWrap/>
            <w:vAlign w:val="center"/>
            <w:hideMark/>
          </w:tcPr>
          <w:p w:rsidR="00093C0A" w:rsidRPr="00D7128A" w:rsidP="00F2720F" w14:paraId="64973B69" w14:textId="77777777">
            <w:pPr>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Chemical Uses</w:t>
            </w:r>
          </w:p>
        </w:tc>
      </w:tr>
      <w:tr w14:paraId="257FD093" w14:textId="77777777" w:rsidTr="00305374">
        <w:tblPrEx>
          <w:tblW w:w="9907" w:type="dxa"/>
          <w:jc w:val="center"/>
          <w:tblLook w:val="04A0"/>
        </w:tblPrEx>
        <w:trPr>
          <w:trHeight w:val="584"/>
          <w:jc w:val="center"/>
        </w:trPr>
        <w:tc>
          <w:tcPr>
            <w:tcW w:w="2785" w:type="dxa"/>
            <w:shd w:val="clear" w:color="auto" w:fill="auto"/>
            <w:vAlign w:val="center"/>
            <w:hideMark/>
          </w:tcPr>
          <w:p w:rsidR="00093C0A" w:rsidRPr="00D7128A" w:rsidP="008348D6" w14:paraId="5A29FBC4"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Administration of environmental quality programs (i.e., governments)</w:t>
            </w:r>
          </w:p>
        </w:tc>
        <w:tc>
          <w:tcPr>
            <w:tcW w:w="1980" w:type="dxa"/>
            <w:shd w:val="clear" w:color="auto" w:fill="auto"/>
            <w:vAlign w:val="center"/>
            <w:hideMark/>
          </w:tcPr>
          <w:p w:rsidR="00093C0A" w:rsidRPr="00D7128A" w:rsidP="008348D6" w14:paraId="17AC875D"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92</w:t>
            </w:r>
          </w:p>
        </w:tc>
        <w:tc>
          <w:tcPr>
            <w:tcW w:w="1272" w:type="dxa"/>
            <w:shd w:val="clear" w:color="auto" w:fill="auto"/>
            <w:noWrap/>
            <w:vAlign w:val="center"/>
            <w:hideMark/>
          </w:tcPr>
          <w:p w:rsidR="00093C0A" w:rsidRPr="00D7128A" w:rsidP="008348D6" w14:paraId="50D1C99C"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w:t>
            </w:r>
            <w:r w:rsidR="00801DBE">
              <w:rPr>
                <w:rFonts w:ascii="Times New Roman" w:hAnsi="Times New Roman" w:cs="Times New Roman"/>
                <w:color w:val="000000"/>
                <w:sz w:val="20"/>
                <w:szCs w:val="20"/>
              </w:rPr>
              <w:t>0</w:t>
            </w:r>
          </w:p>
        </w:tc>
        <w:tc>
          <w:tcPr>
            <w:tcW w:w="3870" w:type="dxa"/>
            <w:shd w:val="clear" w:color="auto" w:fill="auto"/>
            <w:vAlign w:val="center"/>
            <w:hideMark/>
          </w:tcPr>
          <w:p w:rsidR="00093C0A" w:rsidRPr="00D7128A" w:rsidP="008348D6" w14:paraId="1B3042CF"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Use chlorine and other chemicals for water treatment</w:t>
            </w:r>
          </w:p>
        </w:tc>
      </w:tr>
      <w:tr w14:paraId="11C3B2D6" w14:textId="77777777" w:rsidTr="00305374">
        <w:tblPrEx>
          <w:tblW w:w="9907" w:type="dxa"/>
          <w:jc w:val="center"/>
          <w:tblLook w:val="04A0"/>
        </w:tblPrEx>
        <w:trPr>
          <w:trHeight w:val="584"/>
          <w:jc w:val="center"/>
        </w:trPr>
        <w:tc>
          <w:tcPr>
            <w:tcW w:w="2785" w:type="dxa"/>
            <w:shd w:val="clear" w:color="auto" w:fill="auto"/>
            <w:vAlign w:val="center"/>
          </w:tcPr>
          <w:p w:rsidR="00E445B9" w:rsidRPr="00D7128A" w:rsidP="008348D6" w14:paraId="337154EB" w14:textId="7777777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Water</w:t>
            </w:r>
            <w:r w:rsidR="00CA5B75">
              <w:rPr>
                <w:rFonts w:ascii="Times New Roman" w:hAnsi="Times New Roman" w:cs="Times New Roman"/>
                <w:color w:val="000000"/>
                <w:sz w:val="20"/>
                <w:szCs w:val="20"/>
              </w:rPr>
              <w:t>/</w:t>
            </w:r>
            <w:r>
              <w:rPr>
                <w:rFonts w:ascii="Times New Roman" w:hAnsi="Times New Roman" w:cs="Times New Roman"/>
                <w:color w:val="000000"/>
                <w:sz w:val="20"/>
                <w:szCs w:val="20"/>
              </w:rPr>
              <w:t>sewag</w:t>
            </w:r>
            <w:r w:rsidR="006350D7">
              <w:rPr>
                <w:rFonts w:ascii="Times New Roman" w:hAnsi="Times New Roman" w:cs="Times New Roman"/>
                <w:color w:val="000000"/>
                <w:sz w:val="20"/>
                <w:szCs w:val="20"/>
              </w:rPr>
              <w:t>e</w:t>
            </w:r>
            <w:r w:rsidR="00CA5B75">
              <w:rPr>
                <w:rFonts w:ascii="Times New Roman" w:hAnsi="Times New Roman" w:cs="Times New Roman"/>
                <w:color w:val="000000"/>
                <w:sz w:val="20"/>
                <w:szCs w:val="20"/>
              </w:rPr>
              <w:t>/</w:t>
            </w:r>
            <w:r w:rsidR="000B6DC8">
              <w:rPr>
                <w:rFonts w:ascii="Times New Roman" w:hAnsi="Times New Roman" w:cs="Times New Roman"/>
                <w:color w:val="000000"/>
                <w:sz w:val="20"/>
                <w:szCs w:val="20"/>
              </w:rPr>
              <w:t>other</w:t>
            </w:r>
            <w:r w:rsidR="006350D7">
              <w:rPr>
                <w:rFonts w:ascii="Times New Roman" w:hAnsi="Times New Roman" w:cs="Times New Roman"/>
                <w:color w:val="000000"/>
                <w:sz w:val="20"/>
                <w:szCs w:val="20"/>
              </w:rPr>
              <w:t xml:space="preserve"> systems</w:t>
            </w:r>
            <w:r w:rsidR="00D9586F">
              <w:rPr>
                <w:rFonts w:ascii="Times New Roman" w:hAnsi="Times New Roman" w:cs="Times New Roman"/>
                <w:color w:val="000000"/>
                <w:sz w:val="20"/>
                <w:szCs w:val="20"/>
              </w:rPr>
              <w:t xml:space="preserve"> </w:t>
            </w:r>
            <w:r w:rsidR="00DF4F75">
              <w:rPr>
                <w:rFonts w:ascii="Times New Roman" w:hAnsi="Times New Roman" w:cs="Times New Roman"/>
                <w:color w:val="000000"/>
                <w:sz w:val="20"/>
                <w:szCs w:val="20"/>
              </w:rPr>
              <w:t>(i</w:t>
            </w:r>
            <w:r w:rsidR="00D924E0">
              <w:rPr>
                <w:rFonts w:ascii="Times New Roman" w:hAnsi="Times New Roman" w:cs="Times New Roman"/>
                <w:color w:val="000000"/>
                <w:sz w:val="20"/>
                <w:szCs w:val="20"/>
              </w:rPr>
              <w:t>.e.</w:t>
            </w:r>
            <w:r w:rsidR="00410AE4">
              <w:rPr>
                <w:rFonts w:ascii="Times New Roman" w:hAnsi="Times New Roman" w:cs="Times New Roman"/>
                <w:color w:val="000000"/>
                <w:sz w:val="20"/>
                <w:szCs w:val="20"/>
              </w:rPr>
              <w:t>,</w:t>
            </w:r>
            <w:r w:rsidR="00D924E0">
              <w:rPr>
                <w:rFonts w:ascii="Times New Roman" w:hAnsi="Times New Roman" w:cs="Times New Roman"/>
                <w:color w:val="000000"/>
                <w:sz w:val="20"/>
                <w:szCs w:val="20"/>
              </w:rPr>
              <w:t xml:space="preserve"> government-owned water)</w:t>
            </w:r>
          </w:p>
        </w:tc>
        <w:tc>
          <w:tcPr>
            <w:tcW w:w="1980" w:type="dxa"/>
            <w:shd w:val="clear" w:color="auto" w:fill="auto"/>
            <w:vAlign w:val="center"/>
          </w:tcPr>
          <w:p w:rsidR="00E445B9" w:rsidRPr="00D7128A" w:rsidP="008348D6" w14:paraId="1DD39A15"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2213 (Government-owned)</w:t>
            </w:r>
          </w:p>
        </w:tc>
        <w:tc>
          <w:tcPr>
            <w:tcW w:w="1272" w:type="dxa"/>
            <w:shd w:val="clear" w:color="auto" w:fill="auto"/>
            <w:noWrap/>
            <w:vAlign w:val="center"/>
          </w:tcPr>
          <w:p w:rsidR="00E445B9" w:rsidRPr="00D7128A" w:rsidP="008348D6" w14:paraId="59CAE1E2"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1,439</w:t>
            </w:r>
          </w:p>
        </w:tc>
        <w:tc>
          <w:tcPr>
            <w:tcW w:w="3870" w:type="dxa"/>
            <w:shd w:val="clear" w:color="auto" w:fill="auto"/>
            <w:vAlign w:val="center"/>
          </w:tcPr>
          <w:p w:rsidR="00E445B9" w:rsidRPr="00D7128A" w:rsidP="008348D6" w14:paraId="5748752A" w14:textId="7777777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Use chlorine and other chemicals for water treatment</w:t>
            </w:r>
          </w:p>
        </w:tc>
      </w:tr>
      <w:tr w14:paraId="4F5D843E" w14:textId="77777777" w:rsidTr="00305374">
        <w:tblPrEx>
          <w:tblW w:w="9907" w:type="dxa"/>
          <w:jc w:val="center"/>
          <w:tblLook w:val="04A0"/>
        </w:tblPrEx>
        <w:trPr>
          <w:trHeight w:val="50"/>
          <w:jc w:val="center"/>
        </w:trPr>
        <w:tc>
          <w:tcPr>
            <w:tcW w:w="2785" w:type="dxa"/>
            <w:shd w:val="clear" w:color="auto" w:fill="auto"/>
            <w:vAlign w:val="center"/>
            <w:hideMark/>
          </w:tcPr>
          <w:p w:rsidR="00093C0A" w:rsidRPr="00D7128A" w:rsidP="008348D6" w14:paraId="1BB088C5"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Agricultural chemical distributors/wholesalers</w:t>
            </w:r>
          </w:p>
        </w:tc>
        <w:tc>
          <w:tcPr>
            <w:tcW w:w="1980" w:type="dxa"/>
            <w:shd w:val="clear" w:color="auto" w:fill="auto"/>
            <w:vAlign w:val="center"/>
            <w:hideMark/>
          </w:tcPr>
          <w:p w:rsidR="00093C0A" w:rsidRPr="00D7128A" w:rsidP="008348D6" w14:paraId="5E7BBCEA"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11, 424 (except 4246, 4247)</w:t>
            </w:r>
          </w:p>
        </w:tc>
        <w:tc>
          <w:tcPr>
            <w:tcW w:w="1272" w:type="dxa"/>
            <w:shd w:val="clear" w:color="auto" w:fill="auto"/>
            <w:noWrap/>
            <w:vAlign w:val="center"/>
            <w:hideMark/>
          </w:tcPr>
          <w:p w:rsidR="00093C0A" w:rsidRPr="00D7128A" w:rsidP="008348D6" w14:paraId="4C0B448F"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3,315</w:t>
            </w:r>
          </w:p>
        </w:tc>
        <w:tc>
          <w:tcPr>
            <w:tcW w:w="3870" w:type="dxa"/>
            <w:shd w:val="clear" w:color="auto" w:fill="auto"/>
            <w:vAlign w:val="center"/>
            <w:hideMark/>
          </w:tcPr>
          <w:p w:rsidR="00093C0A" w:rsidRPr="00D7128A" w:rsidP="008348D6" w14:paraId="6751FCD6"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Store ammonia for sale; some in NAICS 111 and 115 use ammonia as a refrigerant</w:t>
            </w:r>
          </w:p>
        </w:tc>
      </w:tr>
      <w:tr w14:paraId="627D4122" w14:textId="77777777" w:rsidTr="00305374">
        <w:tblPrEx>
          <w:tblW w:w="9907" w:type="dxa"/>
          <w:jc w:val="center"/>
          <w:tblLook w:val="04A0"/>
        </w:tblPrEx>
        <w:trPr>
          <w:trHeight w:val="290"/>
          <w:jc w:val="center"/>
        </w:trPr>
        <w:tc>
          <w:tcPr>
            <w:tcW w:w="2785" w:type="dxa"/>
            <w:shd w:val="clear" w:color="auto" w:fill="auto"/>
            <w:vAlign w:val="center"/>
            <w:hideMark/>
          </w:tcPr>
          <w:p w:rsidR="00093C0A" w:rsidRPr="00D7128A" w:rsidP="008348D6" w14:paraId="51A72AF2"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manufacturing</w:t>
            </w:r>
          </w:p>
        </w:tc>
        <w:tc>
          <w:tcPr>
            <w:tcW w:w="1980" w:type="dxa"/>
            <w:shd w:val="clear" w:color="auto" w:fill="auto"/>
            <w:vAlign w:val="center"/>
            <w:hideMark/>
          </w:tcPr>
          <w:p w:rsidR="00093C0A" w:rsidRPr="00D7128A" w:rsidP="008348D6" w14:paraId="15275963"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325</w:t>
            </w:r>
          </w:p>
        </w:tc>
        <w:tc>
          <w:tcPr>
            <w:tcW w:w="1272" w:type="dxa"/>
            <w:shd w:val="clear" w:color="auto" w:fill="auto"/>
            <w:noWrap/>
            <w:vAlign w:val="center"/>
            <w:hideMark/>
          </w:tcPr>
          <w:p w:rsidR="00093C0A" w:rsidRPr="00D7128A" w:rsidP="008348D6" w14:paraId="219CEBC8"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1,502</w:t>
            </w:r>
          </w:p>
        </w:tc>
        <w:tc>
          <w:tcPr>
            <w:tcW w:w="3870" w:type="dxa"/>
            <w:shd w:val="clear" w:color="auto" w:fill="auto"/>
            <w:vAlign w:val="center"/>
            <w:hideMark/>
          </w:tcPr>
          <w:p w:rsidR="00093C0A" w:rsidRPr="00D7128A" w:rsidP="008348D6" w14:paraId="1C0E0FB5"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Manufacture, process, store</w:t>
            </w:r>
          </w:p>
        </w:tc>
      </w:tr>
      <w:tr w14:paraId="751FF1E0" w14:textId="77777777" w:rsidTr="00305374">
        <w:tblPrEx>
          <w:tblW w:w="9907" w:type="dxa"/>
          <w:jc w:val="center"/>
          <w:tblLook w:val="04A0"/>
        </w:tblPrEx>
        <w:trPr>
          <w:trHeight w:val="290"/>
          <w:jc w:val="center"/>
        </w:trPr>
        <w:tc>
          <w:tcPr>
            <w:tcW w:w="2785" w:type="dxa"/>
            <w:shd w:val="clear" w:color="auto" w:fill="auto"/>
            <w:vAlign w:val="center"/>
            <w:hideMark/>
          </w:tcPr>
          <w:p w:rsidR="00093C0A" w:rsidRPr="00D7128A" w:rsidP="008348D6" w14:paraId="7A389FE5"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wholesalers</w:t>
            </w:r>
          </w:p>
        </w:tc>
        <w:tc>
          <w:tcPr>
            <w:tcW w:w="1980" w:type="dxa"/>
            <w:shd w:val="clear" w:color="auto" w:fill="auto"/>
            <w:vAlign w:val="center"/>
            <w:hideMark/>
          </w:tcPr>
          <w:p w:rsidR="00093C0A" w:rsidRPr="00D7128A" w:rsidP="008348D6" w14:paraId="695B1FA1"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4246</w:t>
            </w:r>
          </w:p>
        </w:tc>
        <w:tc>
          <w:tcPr>
            <w:tcW w:w="1272" w:type="dxa"/>
            <w:shd w:val="clear" w:color="auto" w:fill="auto"/>
            <w:noWrap/>
            <w:vAlign w:val="center"/>
            <w:hideMark/>
          </w:tcPr>
          <w:p w:rsidR="00093C0A" w:rsidRPr="00D7128A" w:rsidP="008348D6" w14:paraId="67D9650A"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317</w:t>
            </w:r>
          </w:p>
        </w:tc>
        <w:tc>
          <w:tcPr>
            <w:tcW w:w="3870" w:type="dxa"/>
            <w:shd w:val="clear" w:color="auto" w:fill="auto"/>
            <w:vAlign w:val="center"/>
            <w:hideMark/>
          </w:tcPr>
          <w:p w:rsidR="00093C0A" w:rsidRPr="00D7128A" w:rsidP="008348D6" w14:paraId="1A060CA6"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Store for sale</w:t>
            </w:r>
          </w:p>
        </w:tc>
      </w:tr>
      <w:tr w14:paraId="73BBC305" w14:textId="77777777" w:rsidTr="00305374">
        <w:tblPrEx>
          <w:tblW w:w="9907" w:type="dxa"/>
          <w:jc w:val="center"/>
          <w:tblLook w:val="04A0"/>
        </w:tblPrEx>
        <w:trPr>
          <w:trHeight w:val="152"/>
          <w:jc w:val="center"/>
        </w:trPr>
        <w:tc>
          <w:tcPr>
            <w:tcW w:w="2785" w:type="dxa"/>
            <w:shd w:val="clear" w:color="auto" w:fill="auto"/>
            <w:vAlign w:val="center"/>
            <w:hideMark/>
          </w:tcPr>
          <w:p w:rsidR="00093C0A" w:rsidRPr="00D7128A" w:rsidP="008348D6" w14:paraId="658F19B4"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Food and beverage manufacturing</w:t>
            </w:r>
          </w:p>
        </w:tc>
        <w:tc>
          <w:tcPr>
            <w:tcW w:w="1980" w:type="dxa"/>
            <w:shd w:val="clear" w:color="auto" w:fill="auto"/>
            <w:vAlign w:val="center"/>
            <w:hideMark/>
          </w:tcPr>
          <w:p w:rsidR="00093C0A" w:rsidRPr="00D7128A" w:rsidP="008348D6" w14:paraId="3DDA0DFE"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311, 312</w:t>
            </w:r>
          </w:p>
        </w:tc>
        <w:tc>
          <w:tcPr>
            <w:tcW w:w="1272" w:type="dxa"/>
            <w:shd w:val="clear" w:color="auto" w:fill="auto"/>
            <w:noWrap/>
            <w:vAlign w:val="center"/>
            <w:hideMark/>
          </w:tcPr>
          <w:p w:rsidR="00093C0A" w:rsidRPr="00D7128A" w:rsidP="008348D6" w14:paraId="7157AFEC"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1,571</w:t>
            </w:r>
          </w:p>
        </w:tc>
        <w:tc>
          <w:tcPr>
            <w:tcW w:w="3870" w:type="dxa"/>
            <w:shd w:val="clear" w:color="auto" w:fill="auto"/>
            <w:vAlign w:val="center"/>
            <w:hideMark/>
          </w:tcPr>
          <w:p w:rsidR="00093C0A" w:rsidRPr="00D7128A" w:rsidP="008348D6" w14:paraId="4C04EB18"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 xml:space="preserve">Use </w:t>
            </w:r>
            <w:r w:rsidR="00EE550D">
              <w:rPr>
                <w:rFonts w:ascii="Times New Roman" w:hAnsi="Times New Roman" w:cs="Times New Roman"/>
                <w:color w:val="000000"/>
                <w:sz w:val="20"/>
                <w:szCs w:val="20"/>
              </w:rPr>
              <w:t>(</w:t>
            </w:r>
            <w:r w:rsidRPr="00D7128A">
              <w:rPr>
                <w:rFonts w:ascii="Times New Roman" w:hAnsi="Times New Roman" w:cs="Times New Roman"/>
                <w:color w:val="000000"/>
                <w:sz w:val="20"/>
                <w:szCs w:val="20"/>
              </w:rPr>
              <w:t>mostly ammonia</w:t>
            </w:r>
            <w:r w:rsidR="00EE550D">
              <w:rPr>
                <w:rFonts w:ascii="Times New Roman" w:hAnsi="Times New Roman" w:cs="Times New Roman"/>
                <w:color w:val="000000"/>
                <w:sz w:val="20"/>
                <w:szCs w:val="20"/>
              </w:rPr>
              <w:t>)</w:t>
            </w:r>
            <w:r w:rsidRPr="00D7128A">
              <w:rPr>
                <w:rFonts w:ascii="Times New Roman" w:hAnsi="Times New Roman" w:cs="Times New Roman"/>
                <w:color w:val="000000"/>
                <w:sz w:val="20"/>
                <w:szCs w:val="20"/>
              </w:rPr>
              <w:t xml:space="preserve"> as a refrigerant</w:t>
            </w:r>
          </w:p>
        </w:tc>
      </w:tr>
      <w:tr w14:paraId="50DB0648" w14:textId="77777777" w:rsidTr="00305374">
        <w:tblPrEx>
          <w:tblW w:w="9907" w:type="dxa"/>
          <w:jc w:val="center"/>
          <w:tblLook w:val="04A0"/>
        </w:tblPrEx>
        <w:trPr>
          <w:trHeight w:val="494"/>
          <w:jc w:val="center"/>
        </w:trPr>
        <w:tc>
          <w:tcPr>
            <w:tcW w:w="2785" w:type="dxa"/>
            <w:shd w:val="clear" w:color="auto" w:fill="auto"/>
            <w:vAlign w:val="center"/>
            <w:hideMark/>
          </w:tcPr>
          <w:p w:rsidR="00093C0A" w:rsidRPr="00D7128A" w:rsidP="008348D6" w14:paraId="053585B7"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Oil and gas extraction</w:t>
            </w:r>
          </w:p>
        </w:tc>
        <w:tc>
          <w:tcPr>
            <w:tcW w:w="1980" w:type="dxa"/>
            <w:shd w:val="clear" w:color="auto" w:fill="auto"/>
            <w:vAlign w:val="center"/>
            <w:hideMark/>
          </w:tcPr>
          <w:p w:rsidR="00093C0A" w:rsidRPr="00D7128A" w:rsidP="008348D6" w14:paraId="71576A5C"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211</w:t>
            </w:r>
          </w:p>
        </w:tc>
        <w:tc>
          <w:tcPr>
            <w:tcW w:w="1272" w:type="dxa"/>
            <w:shd w:val="clear" w:color="auto" w:fill="auto"/>
            <w:noWrap/>
            <w:vAlign w:val="center"/>
            <w:hideMark/>
          </w:tcPr>
          <w:p w:rsidR="00093C0A" w:rsidRPr="00D7128A" w:rsidP="008348D6" w14:paraId="4198440F"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719</w:t>
            </w:r>
          </w:p>
        </w:tc>
        <w:tc>
          <w:tcPr>
            <w:tcW w:w="3870" w:type="dxa"/>
            <w:shd w:val="clear" w:color="auto" w:fill="auto"/>
            <w:vAlign w:val="center"/>
            <w:hideMark/>
          </w:tcPr>
          <w:p w:rsidR="00093C0A" w:rsidRPr="00D7128A" w:rsidP="008348D6" w14:paraId="0977B803"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Intermediate processing (mostly regulated flammable substances and flammable mixtures)</w:t>
            </w:r>
          </w:p>
        </w:tc>
      </w:tr>
      <w:tr w14:paraId="03BF08C3" w14:textId="77777777" w:rsidTr="00305374">
        <w:tblPrEx>
          <w:tblW w:w="9907" w:type="dxa"/>
          <w:jc w:val="center"/>
          <w:tblLook w:val="04A0"/>
        </w:tblPrEx>
        <w:trPr>
          <w:trHeight w:val="413"/>
          <w:jc w:val="center"/>
        </w:trPr>
        <w:tc>
          <w:tcPr>
            <w:tcW w:w="2785" w:type="dxa"/>
            <w:shd w:val="clear" w:color="auto" w:fill="auto"/>
            <w:vAlign w:val="center"/>
            <w:hideMark/>
          </w:tcPr>
          <w:p w:rsidR="00093C0A" w:rsidRPr="00D7128A" w:rsidP="008348D6" w14:paraId="7D8CE506"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Other</w:t>
            </w:r>
          </w:p>
        </w:tc>
        <w:tc>
          <w:tcPr>
            <w:tcW w:w="1980" w:type="dxa"/>
            <w:shd w:val="clear" w:color="auto" w:fill="auto"/>
            <w:vAlign w:val="center"/>
            <w:hideMark/>
          </w:tcPr>
          <w:p w:rsidR="00093C0A" w:rsidRPr="00D7128A" w:rsidP="008348D6" w14:paraId="213B1476"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21 (except 211), 23, 44, 45, 48, 491, 54, 55, 56, 61, 62, 71, 72, 81, 99</w:t>
            </w:r>
          </w:p>
        </w:tc>
        <w:tc>
          <w:tcPr>
            <w:tcW w:w="1272" w:type="dxa"/>
            <w:shd w:val="clear" w:color="auto" w:fill="auto"/>
            <w:noWrap/>
            <w:vAlign w:val="center"/>
            <w:hideMark/>
          </w:tcPr>
          <w:p w:rsidR="00093C0A" w:rsidRPr="00D7128A" w:rsidP="008348D6" w14:paraId="728CC150"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246</w:t>
            </w:r>
          </w:p>
        </w:tc>
        <w:tc>
          <w:tcPr>
            <w:tcW w:w="3870" w:type="dxa"/>
            <w:shd w:val="clear" w:color="auto" w:fill="auto"/>
            <w:vAlign w:val="center"/>
            <w:hideMark/>
          </w:tcPr>
          <w:p w:rsidR="00093C0A" w:rsidRPr="00D7128A" w:rsidP="008348D6" w14:paraId="1CE12116"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Use chemicals for wastewater treatment, refrigeration, store chemicals for sale</w:t>
            </w:r>
          </w:p>
        </w:tc>
      </w:tr>
      <w:tr w14:paraId="09A6ACD5" w14:textId="77777777" w:rsidTr="00305374">
        <w:tblPrEx>
          <w:tblW w:w="9907" w:type="dxa"/>
          <w:jc w:val="center"/>
          <w:tblLook w:val="04A0"/>
        </w:tblPrEx>
        <w:trPr>
          <w:trHeight w:val="50"/>
          <w:jc w:val="center"/>
        </w:trPr>
        <w:tc>
          <w:tcPr>
            <w:tcW w:w="2785" w:type="dxa"/>
            <w:shd w:val="clear" w:color="auto" w:fill="auto"/>
            <w:vAlign w:val="center"/>
            <w:hideMark/>
          </w:tcPr>
          <w:p w:rsidR="00093C0A" w:rsidRPr="00D7128A" w:rsidP="008348D6" w14:paraId="52BFC40E"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Other manufacturing</w:t>
            </w:r>
          </w:p>
        </w:tc>
        <w:tc>
          <w:tcPr>
            <w:tcW w:w="1980" w:type="dxa"/>
            <w:shd w:val="clear" w:color="auto" w:fill="auto"/>
            <w:vAlign w:val="center"/>
            <w:hideMark/>
          </w:tcPr>
          <w:p w:rsidR="00093C0A" w:rsidRPr="00D7128A" w:rsidP="008348D6" w14:paraId="21D1352A"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313, 314, 315, 326, 327, 33</w:t>
            </w:r>
          </w:p>
        </w:tc>
        <w:tc>
          <w:tcPr>
            <w:tcW w:w="1272" w:type="dxa"/>
            <w:shd w:val="clear" w:color="auto" w:fill="auto"/>
            <w:noWrap/>
            <w:vAlign w:val="center"/>
            <w:hideMark/>
          </w:tcPr>
          <w:p w:rsidR="00093C0A" w:rsidRPr="00D7128A" w:rsidP="008348D6" w14:paraId="71F14B32"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375</w:t>
            </w:r>
          </w:p>
        </w:tc>
        <w:tc>
          <w:tcPr>
            <w:tcW w:w="3870" w:type="dxa"/>
            <w:shd w:val="clear" w:color="auto" w:fill="auto"/>
            <w:vAlign w:val="center"/>
            <w:hideMark/>
          </w:tcPr>
          <w:p w:rsidR="00093C0A" w:rsidRPr="00D7128A" w:rsidP="008348D6" w14:paraId="50DEAD2E"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Use various chemicals in manufacturing process, waste treatment</w:t>
            </w:r>
          </w:p>
        </w:tc>
      </w:tr>
      <w:tr w14:paraId="442A07F8" w14:textId="77777777" w:rsidTr="00305374">
        <w:tblPrEx>
          <w:tblW w:w="9907" w:type="dxa"/>
          <w:jc w:val="center"/>
          <w:tblLook w:val="04A0"/>
        </w:tblPrEx>
        <w:trPr>
          <w:trHeight w:val="50"/>
          <w:jc w:val="center"/>
        </w:trPr>
        <w:tc>
          <w:tcPr>
            <w:tcW w:w="2785" w:type="dxa"/>
            <w:shd w:val="clear" w:color="auto" w:fill="auto"/>
            <w:vAlign w:val="center"/>
            <w:hideMark/>
          </w:tcPr>
          <w:p w:rsidR="00093C0A" w:rsidRPr="00D7128A" w:rsidP="008348D6" w14:paraId="5A41292A"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Other wholesale</w:t>
            </w:r>
          </w:p>
        </w:tc>
        <w:tc>
          <w:tcPr>
            <w:tcW w:w="1980" w:type="dxa"/>
            <w:shd w:val="clear" w:color="auto" w:fill="auto"/>
            <w:vAlign w:val="center"/>
            <w:hideMark/>
          </w:tcPr>
          <w:p w:rsidR="00093C0A" w:rsidRPr="00D7128A" w:rsidP="008348D6" w14:paraId="10D51C88"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421, 422, 423</w:t>
            </w:r>
          </w:p>
        </w:tc>
        <w:tc>
          <w:tcPr>
            <w:tcW w:w="1272" w:type="dxa"/>
            <w:shd w:val="clear" w:color="auto" w:fill="auto"/>
            <w:noWrap/>
            <w:vAlign w:val="center"/>
            <w:hideMark/>
          </w:tcPr>
          <w:p w:rsidR="00093C0A" w:rsidRPr="00D7128A" w:rsidP="008348D6" w14:paraId="5AB452F0"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39</w:t>
            </w:r>
          </w:p>
        </w:tc>
        <w:tc>
          <w:tcPr>
            <w:tcW w:w="3870" w:type="dxa"/>
            <w:shd w:val="clear" w:color="auto" w:fill="auto"/>
            <w:vAlign w:val="center"/>
            <w:hideMark/>
          </w:tcPr>
          <w:p w:rsidR="00093C0A" w:rsidRPr="00D7128A" w:rsidP="008348D6" w14:paraId="52DEB09B"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 xml:space="preserve">Use </w:t>
            </w:r>
            <w:r w:rsidR="00F4411E">
              <w:rPr>
                <w:rFonts w:ascii="Times New Roman" w:hAnsi="Times New Roman" w:cs="Times New Roman"/>
                <w:color w:val="000000"/>
                <w:sz w:val="20"/>
                <w:szCs w:val="20"/>
              </w:rPr>
              <w:t>(</w:t>
            </w:r>
            <w:r w:rsidRPr="00D7128A">
              <w:rPr>
                <w:rFonts w:ascii="Times New Roman" w:hAnsi="Times New Roman" w:cs="Times New Roman"/>
                <w:color w:val="000000"/>
                <w:sz w:val="20"/>
                <w:szCs w:val="20"/>
              </w:rPr>
              <w:t>mostly ammonia</w:t>
            </w:r>
            <w:r w:rsidR="00F4411E">
              <w:rPr>
                <w:rFonts w:ascii="Times New Roman" w:hAnsi="Times New Roman" w:cs="Times New Roman"/>
                <w:color w:val="000000"/>
                <w:sz w:val="20"/>
                <w:szCs w:val="20"/>
              </w:rPr>
              <w:t>)</w:t>
            </w:r>
            <w:r w:rsidRPr="00D7128A">
              <w:rPr>
                <w:rFonts w:ascii="Times New Roman" w:hAnsi="Times New Roman" w:cs="Times New Roman"/>
                <w:color w:val="000000"/>
                <w:sz w:val="20"/>
                <w:szCs w:val="20"/>
              </w:rPr>
              <w:t xml:space="preserve"> as a refrigerant</w:t>
            </w:r>
          </w:p>
        </w:tc>
      </w:tr>
      <w:tr w14:paraId="3781086A" w14:textId="77777777" w:rsidTr="00305374">
        <w:tblPrEx>
          <w:tblW w:w="9907" w:type="dxa"/>
          <w:jc w:val="center"/>
          <w:tblLook w:val="04A0"/>
        </w:tblPrEx>
        <w:trPr>
          <w:trHeight w:val="170"/>
          <w:jc w:val="center"/>
        </w:trPr>
        <w:tc>
          <w:tcPr>
            <w:tcW w:w="2785" w:type="dxa"/>
            <w:shd w:val="clear" w:color="auto" w:fill="auto"/>
            <w:vAlign w:val="center"/>
            <w:hideMark/>
          </w:tcPr>
          <w:p w:rsidR="00093C0A" w:rsidRPr="00D7128A" w:rsidP="008348D6" w14:paraId="1B8090E2"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Paper manufacturing</w:t>
            </w:r>
          </w:p>
        </w:tc>
        <w:tc>
          <w:tcPr>
            <w:tcW w:w="1980" w:type="dxa"/>
            <w:shd w:val="clear" w:color="auto" w:fill="auto"/>
            <w:vAlign w:val="center"/>
            <w:hideMark/>
          </w:tcPr>
          <w:p w:rsidR="00093C0A" w:rsidRPr="00D7128A" w:rsidP="008348D6" w14:paraId="2E42F523"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321, 322</w:t>
            </w:r>
          </w:p>
        </w:tc>
        <w:tc>
          <w:tcPr>
            <w:tcW w:w="1272" w:type="dxa"/>
            <w:shd w:val="clear" w:color="auto" w:fill="auto"/>
            <w:noWrap/>
            <w:vAlign w:val="center"/>
            <w:hideMark/>
          </w:tcPr>
          <w:p w:rsidR="00093C0A" w:rsidRPr="00D7128A" w:rsidP="008348D6" w14:paraId="59C2FAAF"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55</w:t>
            </w:r>
          </w:p>
        </w:tc>
        <w:tc>
          <w:tcPr>
            <w:tcW w:w="3870" w:type="dxa"/>
            <w:shd w:val="clear" w:color="auto" w:fill="auto"/>
            <w:vAlign w:val="center"/>
            <w:hideMark/>
          </w:tcPr>
          <w:p w:rsidR="00093C0A" w:rsidRPr="00D7128A" w:rsidP="008348D6" w14:paraId="2817E38B"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Use various chemicals in pulp and paper manufacturing</w:t>
            </w:r>
          </w:p>
        </w:tc>
      </w:tr>
      <w:tr w14:paraId="11E035A1" w14:textId="77777777" w:rsidTr="00305374">
        <w:tblPrEx>
          <w:tblW w:w="9907" w:type="dxa"/>
          <w:jc w:val="center"/>
          <w:tblLook w:val="04A0"/>
        </w:tblPrEx>
        <w:trPr>
          <w:trHeight w:val="170"/>
          <w:jc w:val="center"/>
        </w:trPr>
        <w:tc>
          <w:tcPr>
            <w:tcW w:w="2785" w:type="dxa"/>
            <w:shd w:val="clear" w:color="auto" w:fill="auto"/>
            <w:vAlign w:val="center"/>
            <w:hideMark/>
          </w:tcPr>
          <w:p w:rsidR="00093C0A" w:rsidRPr="00D7128A" w:rsidP="008348D6" w14:paraId="6C2C97D5"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and coal products manufacturing</w:t>
            </w:r>
          </w:p>
        </w:tc>
        <w:tc>
          <w:tcPr>
            <w:tcW w:w="1980" w:type="dxa"/>
            <w:shd w:val="clear" w:color="auto" w:fill="auto"/>
            <w:vAlign w:val="center"/>
            <w:hideMark/>
          </w:tcPr>
          <w:p w:rsidR="00093C0A" w:rsidRPr="00D7128A" w:rsidP="008348D6" w14:paraId="05C9B19B"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324</w:t>
            </w:r>
          </w:p>
        </w:tc>
        <w:tc>
          <w:tcPr>
            <w:tcW w:w="1272" w:type="dxa"/>
            <w:shd w:val="clear" w:color="auto" w:fill="auto"/>
            <w:noWrap/>
            <w:vAlign w:val="center"/>
            <w:hideMark/>
          </w:tcPr>
          <w:p w:rsidR="00093C0A" w:rsidRPr="00D7128A" w:rsidP="008348D6" w14:paraId="25AF3817"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156</w:t>
            </w:r>
          </w:p>
        </w:tc>
        <w:tc>
          <w:tcPr>
            <w:tcW w:w="3870" w:type="dxa"/>
            <w:shd w:val="clear" w:color="auto" w:fill="auto"/>
            <w:vAlign w:val="center"/>
            <w:hideMark/>
          </w:tcPr>
          <w:p w:rsidR="00093C0A" w:rsidRPr="00D7128A" w:rsidP="008348D6" w14:paraId="4E078759"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Manufacture, process, store (mostly regulated flammable substances and flammable mixtures)</w:t>
            </w:r>
          </w:p>
        </w:tc>
      </w:tr>
      <w:tr w14:paraId="0BBFB5AA" w14:textId="77777777" w:rsidTr="00305374">
        <w:tblPrEx>
          <w:tblW w:w="9907" w:type="dxa"/>
          <w:jc w:val="center"/>
          <w:tblLook w:val="04A0"/>
        </w:tblPrEx>
        <w:trPr>
          <w:trHeight w:val="431"/>
          <w:jc w:val="center"/>
        </w:trPr>
        <w:tc>
          <w:tcPr>
            <w:tcW w:w="2785" w:type="dxa"/>
            <w:shd w:val="clear" w:color="auto" w:fill="auto"/>
            <w:vAlign w:val="center"/>
            <w:hideMark/>
          </w:tcPr>
          <w:p w:rsidR="00093C0A" w:rsidRPr="00D7128A" w:rsidP="008348D6" w14:paraId="6176223A"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wholesalers</w:t>
            </w:r>
          </w:p>
        </w:tc>
        <w:tc>
          <w:tcPr>
            <w:tcW w:w="1980" w:type="dxa"/>
            <w:shd w:val="clear" w:color="auto" w:fill="auto"/>
            <w:vAlign w:val="center"/>
            <w:hideMark/>
          </w:tcPr>
          <w:p w:rsidR="00093C0A" w:rsidRPr="00D7128A" w:rsidP="008348D6" w14:paraId="0C0BE284"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4247</w:t>
            </w:r>
          </w:p>
        </w:tc>
        <w:tc>
          <w:tcPr>
            <w:tcW w:w="1272" w:type="dxa"/>
            <w:shd w:val="clear" w:color="auto" w:fill="auto"/>
            <w:noWrap/>
            <w:vAlign w:val="center"/>
            <w:hideMark/>
          </w:tcPr>
          <w:p w:rsidR="00093C0A" w:rsidRPr="00D7128A" w:rsidP="008348D6" w14:paraId="3EFD9475"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367</w:t>
            </w:r>
          </w:p>
        </w:tc>
        <w:tc>
          <w:tcPr>
            <w:tcW w:w="3870" w:type="dxa"/>
            <w:shd w:val="clear" w:color="auto" w:fill="auto"/>
            <w:vAlign w:val="center"/>
            <w:hideMark/>
          </w:tcPr>
          <w:p w:rsidR="00093C0A" w:rsidRPr="00D7128A" w:rsidP="008348D6" w14:paraId="21351051"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Store for sale (mostly regulated flammable substances and flammable mixtures)</w:t>
            </w:r>
          </w:p>
        </w:tc>
      </w:tr>
      <w:tr w14:paraId="4B11794D" w14:textId="77777777" w:rsidTr="00305374">
        <w:tblPrEx>
          <w:tblW w:w="9907" w:type="dxa"/>
          <w:jc w:val="center"/>
          <w:tblLook w:val="04A0"/>
        </w:tblPrEx>
        <w:trPr>
          <w:trHeight w:val="161"/>
          <w:jc w:val="center"/>
        </w:trPr>
        <w:tc>
          <w:tcPr>
            <w:tcW w:w="2785" w:type="dxa"/>
            <w:shd w:val="clear" w:color="auto" w:fill="auto"/>
            <w:vAlign w:val="center"/>
            <w:hideMark/>
          </w:tcPr>
          <w:p w:rsidR="00093C0A" w:rsidRPr="00D7128A" w:rsidP="008348D6" w14:paraId="54A9041D"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Utilities/</w:t>
            </w:r>
            <w:r w:rsidR="00A74481">
              <w:rPr>
                <w:rFonts w:ascii="Times New Roman" w:hAnsi="Times New Roman" w:cs="Times New Roman"/>
                <w:color w:val="000000"/>
                <w:sz w:val="20"/>
                <w:szCs w:val="20"/>
              </w:rPr>
              <w:t>w</w:t>
            </w:r>
            <w:r w:rsidRPr="00D7128A">
              <w:rPr>
                <w:rFonts w:ascii="Times New Roman" w:hAnsi="Times New Roman" w:cs="Times New Roman"/>
                <w:color w:val="000000"/>
                <w:sz w:val="20"/>
                <w:szCs w:val="20"/>
              </w:rPr>
              <w:t>ater</w:t>
            </w:r>
            <w:r w:rsidRPr="00D7128A" w:rsidR="003910A5">
              <w:rPr>
                <w:rFonts w:ascii="Times New Roman" w:hAnsi="Times New Roman" w:cs="Times New Roman"/>
                <w:color w:val="000000"/>
                <w:sz w:val="20"/>
                <w:szCs w:val="20"/>
              </w:rPr>
              <w:t>/</w:t>
            </w:r>
            <w:r w:rsidR="00A74481">
              <w:rPr>
                <w:rFonts w:ascii="Times New Roman" w:hAnsi="Times New Roman" w:cs="Times New Roman"/>
                <w:color w:val="000000"/>
                <w:sz w:val="20"/>
                <w:szCs w:val="20"/>
              </w:rPr>
              <w:t>w</w:t>
            </w:r>
            <w:r w:rsidRPr="00D7128A" w:rsidR="003910A5">
              <w:rPr>
                <w:rFonts w:ascii="Times New Roman" w:hAnsi="Times New Roman" w:cs="Times New Roman"/>
                <w:color w:val="000000"/>
                <w:sz w:val="20"/>
                <w:szCs w:val="20"/>
              </w:rPr>
              <w:t>astewater</w:t>
            </w:r>
          </w:p>
        </w:tc>
        <w:tc>
          <w:tcPr>
            <w:tcW w:w="1980" w:type="dxa"/>
            <w:shd w:val="clear" w:color="auto" w:fill="auto"/>
            <w:vAlign w:val="center"/>
            <w:hideMark/>
          </w:tcPr>
          <w:p w:rsidR="00093C0A" w:rsidRPr="00D7128A" w:rsidP="008348D6" w14:paraId="730F9FB4"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221 (</w:t>
            </w:r>
            <w:r w:rsidRPr="00D7128A" w:rsidR="003910A5">
              <w:rPr>
                <w:rFonts w:ascii="Times New Roman" w:hAnsi="Times New Roman" w:cs="Times New Roman"/>
                <w:color w:val="000000"/>
                <w:sz w:val="20"/>
                <w:szCs w:val="20"/>
              </w:rPr>
              <w:t>N</w:t>
            </w:r>
            <w:r w:rsidRPr="00D7128A">
              <w:rPr>
                <w:rFonts w:ascii="Times New Roman" w:hAnsi="Times New Roman" w:cs="Times New Roman"/>
                <w:color w:val="000000"/>
                <w:sz w:val="20"/>
                <w:szCs w:val="20"/>
              </w:rPr>
              <w:t>on</w:t>
            </w:r>
            <w:r w:rsidRPr="00D7128A" w:rsidR="00D02771">
              <w:rPr>
                <w:rFonts w:ascii="Times New Roman" w:hAnsi="Times New Roman" w:cs="Times New Roman"/>
                <w:color w:val="000000"/>
                <w:sz w:val="20"/>
                <w:szCs w:val="20"/>
              </w:rPr>
              <w:t>-</w:t>
            </w:r>
            <w:r w:rsidRPr="00D7128A">
              <w:rPr>
                <w:rFonts w:ascii="Times New Roman" w:hAnsi="Times New Roman" w:cs="Times New Roman"/>
                <w:color w:val="000000"/>
                <w:sz w:val="20"/>
                <w:szCs w:val="20"/>
              </w:rPr>
              <w:t xml:space="preserve"> government</w:t>
            </w:r>
            <w:r w:rsidRPr="00D7128A" w:rsidR="00D02771">
              <w:rPr>
                <w:rFonts w:ascii="Times New Roman" w:hAnsi="Times New Roman" w:cs="Times New Roman"/>
                <w:color w:val="000000"/>
                <w:sz w:val="20"/>
                <w:szCs w:val="20"/>
              </w:rPr>
              <w:t>-</w:t>
            </w:r>
            <w:r w:rsidRPr="00D7128A">
              <w:rPr>
                <w:rFonts w:ascii="Times New Roman" w:hAnsi="Times New Roman" w:cs="Times New Roman"/>
                <w:color w:val="000000"/>
                <w:sz w:val="20"/>
                <w:szCs w:val="20"/>
              </w:rPr>
              <w:t>owned</w:t>
            </w:r>
            <w:r w:rsidR="00650890">
              <w:rPr>
                <w:rFonts w:ascii="Times New Roman" w:hAnsi="Times New Roman" w:cs="Times New Roman"/>
                <w:color w:val="000000"/>
                <w:sz w:val="20"/>
                <w:szCs w:val="20"/>
              </w:rPr>
              <w:t xml:space="preserve"> water</w:t>
            </w:r>
            <w:r w:rsidRPr="00D7128A">
              <w:rPr>
                <w:rFonts w:ascii="Times New Roman" w:hAnsi="Times New Roman" w:cs="Times New Roman"/>
                <w:color w:val="000000"/>
                <w:sz w:val="20"/>
                <w:szCs w:val="20"/>
              </w:rPr>
              <w:t>)</w:t>
            </w:r>
          </w:p>
        </w:tc>
        <w:tc>
          <w:tcPr>
            <w:tcW w:w="1272" w:type="dxa"/>
            <w:shd w:val="clear" w:color="auto" w:fill="auto"/>
            <w:noWrap/>
            <w:vAlign w:val="center"/>
            <w:hideMark/>
          </w:tcPr>
          <w:p w:rsidR="00093C0A" w:rsidRPr="00D7128A" w:rsidP="008348D6" w14:paraId="396EAE0F"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51</w:t>
            </w:r>
            <w:r w:rsidRPr="00D7128A" w:rsidR="007E0D29">
              <w:rPr>
                <w:rFonts w:ascii="Times New Roman" w:hAnsi="Times New Roman" w:cs="Times New Roman"/>
                <w:color w:val="000000"/>
                <w:sz w:val="20"/>
                <w:szCs w:val="20"/>
              </w:rPr>
              <w:t>9</w:t>
            </w:r>
          </w:p>
        </w:tc>
        <w:tc>
          <w:tcPr>
            <w:tcW w:w="3870" w:type="dxa"/>
            <w:shd w:val="clear" w:color="auto" w:fill="auto"/>
            <w:vAlign w:val="center"/>
            <w:hideMark/>
          </w:tcPr>
          <w:p w:rsidR="00093C0A" w:rsidRPr="00D7128A" w:rsidP="008348D6" w14:paraId="66183E0E"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Use chlorine (mostly for water treatment) and other chemicals</w:t>
            </w:r>
          </w:p>
        </w:tc>
      </w:tr>
      <w:tr w14:paraId="55F916BA" w14:textId="77777777" w:rsidTr="00305374">
        <w:tblPrEx>
          <w:tblW w:w="9907" w:type="dxa"/>
          <w:jc w:val="center"/>
          <w:tblLook w:val="04A0"/>
        </w:tblPrEx>
        <w:trPr>
          <w:trHeight w:val="50"/>
          <w:jc w:val="center"/>
        </w:trPr>
        <w:tc>
          <w:tcPr>
            <w:tcW w:w="2785" w:type="dxa"/>
            <w:shd w:val="clear" w:color="auto" w:fill="auto"/>
            <w:vAlign w:val="center"/>
            <w:hideMark/>
          </w:tcPr>
          <w:p w:rsidR="00093C0A" w:rsidRPr="00D7128A" w:rsidP="008348D6" w14:paraId="78674D1F"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Warehousing and storage</w:t>
            </w:r>
          </w:p>
        </w:tc>
        <w:tc>
          <w:tcPr>
            <w:tcW w:w="1980" w:type="dxa"/>
            <w:shd w:val="clear" w:color="auto" w:fill="auto"/>
            <w:vAlign w:val="center"/>
            <w:hideMark/>
          </w:tcPr>
          <w:p w:rsidR="00093C0A" w:rsidRPr="00D7128A" w:rsidP="008348D6" w14:paraId="2E068969"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493</w:t>
            </w:r>
          </w:p>
        </w:tc>
        <w:tc>
          <w:tcPr>
            <w:tcW w:w="1272" w:type="dxa"/>
            <w:shd w:val="clear" w:color="auto" w:fill="auto"/>
            <w:noWrap/>
            <w:vAlign w:val="center"/>
            <w:hideMark/>
          </w:tcPr>
          <w:p w:rsidR="00093C0A" w:rsidRPr="00D7128A" w:rsidP="008348D6" w14:paraId="4BD25164"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1,110</w:t>
            </w:r>
          </w:p>
        </w:tc>
        <w:tc>
          <w:tcPr>
            <w:tcW w:w="3870" w:type="dxa"/>
            <w:shd w:val="clear" w:color="auto" w:fill="auto"/>
            <w:vAlign w:val="center"/>
            <w:hideMark/>
          </w:tcPr>
          <w:p w:rsidR="00093C0A" w:rsidRPr="00D7128A" w:rsidP="008348D6" w14:paraId="5E8957C5"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 xml:space="preserve">Use </w:t>
            </w:r>
            <w:r w:rsidR="00F4411E">
              <w:rPr>
                <w:rFonts w:ascii="Times New Roman" w:hAnsi="Times New Roman" w:cs="Times New Roman"/>
                <w:color w:val="000000"/>
                <w:sz w:val="20"/>
                <w:szCs w:val="20"/>
              </w:rPr>
              <w:t>(</w:t>
            </w:r>
            <w:r w:rsidRPr="00D7128A">
              <w:rPr>
                <w:rFonts w:ascii="Times New Roman" w:hAnsi="Times New Roman" w:cs="Times New Roman"/>
                <w:color w:val="000000"/>
                <w:sz w:val="20"/>
                <w:szCs w:val="20"/>
              </w:rPr>
              <w:t>mostly ammonia</w:t>
            </w:r>
            <w:r w:rsidR="00F4411E">
              <w:rPr>
                <w:rFonts w:ascii="Times New Roman" w:hAnsi="Times New Roman" w:cs="Times New Roman"/>
                <w:color w:val="000000"/>
                <w:sz w:val="20"/>
                <w:szCs w:val="20"/>
              </w:rPr>
              <w:t>)</w:t>
            </w:r>
            <w:r w:rsidRPr="00D7128A">
              <w:rPr>
                <w:rFonts w:ascii="Times New Roman" w:hAnsi="Times New Roman" w:cs="Times New Roman"/>
                <w:color w:val="000000"/>
                <w:sz w:val="20"/>
                <w:szCs w:val="20"/>
              </w:rPr>
              <w:t xml:space="preserve"> as a refrigerant</w:t>
            </w:r>
          </w:p>
        </w:tc>
      </w:tr>
      <w:tr w14:paraId="4E6EF1EC" w14:textId="77777777" w:rsidTr="00305374">
        <w:tblPrEx>
          <w:tblW w:w="9907" w:type="dxa"/>
          <w:jc w:val="center"/>
          <w:tblLook w:val="04A0"/>
        </w:tblPrEx>
        <w:trPr>
          <w:trHeight w:val="50"/>
          <w:jc w:val="center"/>
        </w:trPr>
        <w:tc>
          <w:tcPr>
            <w:tcW w:w="2785" w:type="dxa"/>
            <w:shd w:val="clear" w:color="auto" w:fill="auto"/>
            <w:vAlign w:val="center"/>
            <w:hideMark/>
          </w:tcPr>
          <w:p w:rsidR="00093C0A" w:rsidRPr="00D7128A" w:rsidP="008348D6" w14:paraId="4FE9C891" w14:textId="77777777">
            <w:pPr>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Total</w:t>
            </w:r>
          </w:p>
        </w:tc>
        <w:tc>
          <w:tcPr>
            <w:tcW w:w="1980" w:type="dxa"/>
            <w:shd w:val="clear" w:color="auto" w:fill="auto"/>
            <w:noWrap/>
            <w:vAlign w:val="center"/>
            <w:hideMark/>
          </w:tcPr>
          <w:p w:rsidR="00093C0A" w:rsidRPr="00D7128A" w:rsidP="008348D6" w14:paraId="56C04B33" w14:textId="77777777">
            <w:pPr>
              <w:spacing w:after="0" w:line="240" w:lineRule="auto"/>
              <w:jc w:val="center"/>
              <w:rPr>
                <w:rFonts w:ascii="Times New Roman" w:hAnsi="Times New Roman" w:cs="Times New Roman"/>
                <w:b/>
                <w:color w:val="000000"/>
                <w:sz w:val="20"/>
                <w:szCs w:val="20"/>
              </w:rPr>
            </w:pPr>
          </w:p>
        </w:tc>
        <w:tc>
          <w:tcPr>
            <w:tcW w:w="1272" w:type="dxa"/>
            <w:shd w:val="clear" w:color="auto" w:fill="auto"/>
            <w:noWrap/>
            <w:vAlign w:val="center"/>
            <w:hideMark/>
          </w:tcPr>
          <w:p w:rsidR="00093C0A" w:rsidRPr="00D7128A" w:rsidP="008348D6" w14:paraId="2A11CC47" w14:textId="77777777">
            <w:pPr>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11,740</w:t>
            </w:r>
          </w:p>
        </w:tc>
        <w:tc>
          <w:tcPr>
            <w:tcW w:w="3870" w:type="dxa"/>
            <w:shd w:val="clear" w:color="auto" w:fill="auto"/>
            <w:noWrap/>
            <w:vAlign w:val="center"/>
            <w:hideMark/>
          </w:tcPr>
          <w:p w:rsidR="00093C0A" w:rsidRPr="00D7128A" w:rsidP="008348D6" w14:paraId="07D69717" w14:textId="77777777">
            <w:pPr>
              <w:spacing w:after="0" w:line="240" w:lineRule="auto"/>
              <w:rPr>
                <w:rFonts w:ascii="Times New Roman" w:hAnsi="Times New Roman" w:cs="Times New Roman"/>
                <w:color w:val="000000"/>
                <w:sz w:val="20"/>
                <w:szCs w:val="20"/>
              </w:rPr>
            </w:pPr>
          </w:p>
        </w:tc>
      </w:tr>
    </w:tbl>
    <w:p w:rsidR="00146C18" w:rsidP="00A177FB" w14:paraId="1143B6CA" w14:textId="77777777">
      <w:pPr>
        <w:spacing w:after="0" w:line="240" w:lineRule="auto"/>
        <w:rPr>
          <w:rFonts w:ascii="Times New Roman" w:hAnsi="Times New Roman" w:cs="Times New Roman"/>
          <w:b/>
        </w:rPr>
      </w:pPr>
    </w:p>
    <w:p w:rsidR="00146C18" w:rsidRPr="00587204" w:rsidP="00587204" w14:paraId="6DC824DE" w14:textId="77777777">
      <w:pPr>
        <w:spacing w:after="0" w:line="240" w:lineRule="auto"/>
        <w:jc w:val="center"/>
        <w:rPr>
          <w:rFonts w:ascii="Times New Roman" w:hAnsi="Times New Roman" w:cs="Times New Roman"/>
          <w:b/>
        </w:rPr>
      </w:pPr>
    </w:p>
    <w:p w:rsidR="00305374" w:rsidRPr="00305374" w:rsidP="001927E6" w14:paraId="323B4F69" w14:textId="77777777">
      <w:pPr>
        <w:pStyle w:val="Caption"/>
        <w:keepNext/>
        <w:jc w:val="center"/>
        <w:rPr>
          <w:rFonts w:ascii="Times New Roman" w:eastAsia="Calibri" w:hAnsi="Times New Roman" w:cs="Times New Roman"/>
          <w:b/>
          <w:bCs/>
          <w:i w:val="0"/>
          <w:iCs w:val="0"/>
          <w:color w:val="auto"/>
          <w:sz w:val="22"/>
          <w:szCs w:val="22"/>
        </w:rPr>
      </w:pPr>
      <w:r w:rsidRPr="00305374">
        <w:rPr>
          <w:rFonts w:ascii="Times New Roman" w:hAnsi="Times New Roman" w:cs="Times New Roman"/>
          <w:b/>
          <w:bCs/>
          <w:i w:val="0"/>
          <w:iCs w:val="0"/>
          <w:color w:val="auto"/>
          <w:sz w:val="22"/>
          <w:szCs w:val="22"/>
        </w:rPr>
        <w:t xml:space="preserve">Exhibit </w:t>
      </w:r>
      <w:r w:rsidRPr="00305374">
        <w:rPr>
          <w:rFonts w:ascii="Times New Roman" w:eastAsia="Calibri" w:hAnsi="Times New Roman" w:cs="Times New Roman"/>
          <w:b/>
          <w:bCs/>
          <w:i w:val="0"/>
          <w:iCs w:val="0"/>
          <w:color w:val="auto"/>
          <w:sz w:val="22"/>
          <w:szCs w:val="22"/>
        </w:rPr>
        <w:t>3-2: Chart of Affected Facilities by Sector (2020).</w:t>
      </w:r>
    </w:p>
    <w:p w:rsidR="00093C0A" w:rsidRPr="00B11FAB" w:rsidP="001927E6" w14:paraId="2862453D" w14:textId="77777777">
      <w:pPr>
        <w:keepNext/>
        <w:spacing w:after="0" w:line="240" w:lineRule="auto"/>
        <w:rPr>
          <w:rFonts w:ascii="Times New Roman" w:eastAsia="Calibri" w:hAnsi="Times New Roman" w:cs="Times New Roman"/>
          <w:b/>
        </w:rPr>
      </w:pPr>
      <w:r>
        <w:rPr>
          <w:rFonts w:ascii="Times New Roman" w:eastAsia="Calibri" w:hAnsi="Times New Roman" w:cs="Times New Roman"/>
          <w:b/>
          <w:noProof/>
        </w:rPr>
        <w:drawing>
          <wp:inline distT="0" distB="0" distL="0" distR="0">
            <wp:extent cx="6305550" cy="4170298"/>
            <wp:effectExtent l="0" t="0" r="0" b="1905"/>
            <wp:docPr id="1594862344" name="Chart 1594862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27E3" w:rsidRPr="00AA0325" w:rsidP="001927E6" w14:paraId="5D0703AF" w14:textId="77777777">
      <w:pPr>
        <w:keepNext/>
        <w:spacing w:after="0" w:line="240" w:lineRule="auto"/>
        <w:rPr>
          <w:rFonts w:ascii="Times New Roman" w:eastAsia="Calibri" w:hAnsi="Times New Roman" w:cs="Times New Roman"/>
          <w:b/>
          <w:sz w:val="18"/>
          <w:szCs w:val="18"/>
        </w:rPr>
      </w:pPr>
      <w:r w:rsidRPr="00AA0325">
        <w:rPr>
          <w:rFonts w:ascii="Times New Roman" w:eastAsia="Calibri" w:hAnsi="Times New Roman" w:cs="Times New Roman"/>
          <w:b/>
          <w:sz w:val="18"/>
          <w:szCs w:val="18"/>
        </w:rPr>
        <w:t>*</w:t>
      </w:r>
      <w:r w:rsidRPr="00AA0325" w:rsidR="00252012">
        <w:rPr>
          <w:rFonts w:ascii="Times New Roman" w:eastAsia="Calibri" w:hAnsi="Times New Roman" w:cs="Times New Roman"/>
          <w:b/>
          <w:sz w:val="18"/>
          <w:szCs w:val="18"/>
        </w:rPr>
        <w:t xml:space="preserve">Governments </w:t>
      </w:r>
      <w:r w:rsidRPr="00AA0325" w:rsidR="005B07F3">
        <w:rPr>
          <w:rFonts w:ascii="Times New Roman" w:eastAsia="Calibri" w:hAnsi="Times New Roman" w:cs="Times New Roman"/>
          <w:b/>
          <w:sz w:val="18"/>
          <w:szCs w:val="18"/>
        </w:rPr>
        <w:t xml:space="preserve">means </w:t>
      </w:r>
      <w:r w:rsidRPr="00AA0325" w:rsidR="000A3209">
        <w:rPr>
          <w:rFonts w:ascii="Times New Roman" w:eastAsia="Calibri" w:hAnsi="Times New Roman" w:cs="Times New Roman"/>
          <w:b/>
          <w:sz w:val="18"/>
          <w:szCs w:val="18"/>
        </w:rPr>
        <w:t xml:space="preserve">NAICS 92 </w:t>
      </w:r>
      <w:r w:rsidRPr="00AA0325" w:rsidR="00360AB9">
        <w:rPr>
          <w:rFonts w:ascii="Times New Roman" w:eastAsia="Calibri" w:hAnsi="Times New Roman" w:cs="Times New Roman"/>
          <w:b/>
          <w:sz w:val="18"/>
          <w:szCs w:val="18"/>
        </w:rPr>
        <w:t xml:space="preserve">facilities </w:t>
      </w:r>
      <w:r w:rsidRPr="00AA0325" w:rsidR="005111B2">
        <w:rPr>
          <w:rFonts w:ascii="Times New Roman" w:eastAsia="Calibri" w:hAnsi="Times New Roman" w:cs="Times New Roman"/>
          <w:b/>
          <w:sz w:val="18"/>
          <w:szCs w:val="18"/>
        </w:rPr>
        <w:t xml:space="preserve">involved in </w:t>
      </w:r>
      <w:r w:rsidRPr="00AA0325" w:rsidR="000A3209">
        <w:rPr>
          <w:rFonts w:ascii="Times New Roman" w:eastAsia="Calibri" w:hAnsi="Times New Roman" w:cs="Times New Roman"/>
          <w:b/>
          <w:sz w:val="18"/>
          <w:szCs w:val="18"/>
        </w:rPr>
        <w:t>administration of environmental quality</w:t>
      </w:r>
      <w:r w:rsidRPr="00AA0325" w:rsidR="007A2294">
        <w:rPr>
          <w:rFonts w:ascii="Times New Roman" w:eastAsia="Calibri" w:hAnsi="Times New Roman" w:cs="Times New Roman"/>
          <w:b/>
          <w:sz w:val="18"/>
          <w:szCs w:val="18"/>
        </w:rPr>
        <w:t xml:space="preserve"> programs. </w:t>
      </w:r>
      <w:r w:rsidRPr="00AA0325" w:rsidR="00F21E46">
        <w:rPr>
          <w:rFonts w:ascii="Times New Roman" w:eastAsia="Calibri" w:hAnsi="Times New Roman" w:cs="Times New Roman"/>
          <w:b/>
          <w:sz w:val="18"/>
          <w:szCs w:val="18"/>
        </w:rPr>
        <w:t xml:space="preserve">Government-owned water means government-owned </w:t>
      </w:r>
      <w:r w:rsidRPr="00AA0325" w:rsidR="005111B2">
        <w:rPr>
          <w:rFonts w:ascii="Times New Roman" w:eastAsia="Calibri" w:hAnsi="Times New Roman" w:cs="Times New Roman"/>
          <w:b/>
          <w:sz w:val="18"/>
          <w:szCs w:val="18"/>
        </w:rPr>
        <w:t xml:space="preserve">NAICS 2213 </w:t>
      </w:r>
      <w:r w:rsidRPr="00AA0325" w:rsidR="00F21E46">
        <w:rPr>
          <w:rFonts w:ascii="Times New Roman" w:eastAsia="Calibri" w:hAnsi="Times New Roman" w:cs="Times New Roman"/>
          <w:b/>
          <w:sz w:val="18"/>
          <w:szCs w:val="18"/>
        </w:rPr>
        <w:t xml:space="preserve">facilities </w:t>
      </w:r>
      <w:r w:rsidRPr="00AA0325" w:rsidR="00D77F71">
        <w:rPr>
          <w:rFonts w:ascii="Times New Roman" w:eastAsia="Calibri" w:hAnsi="Times New Roman" w:cs="Times New Roman"/>
          <w:b/>
          <w:sz w:val="18"/>
          <w:szCs w:val="18"/>
        </w:rPr>
        <w:t xml:space="preserve">involved in </w:t>
      </w:r>
      <w:r w:rsidRPr="00AA0325" w:rsidR="007908EF">
        <w:rPr>
          <w:rFonts w:ascii="Times New Roman" w:eastAsia="Calibri" w:hAnsi="Times New Roman" w:cs="Times New Roman"/>
          <w:b/>
          <w:sz w:val="18"/>
          <w:szCs w:val="18"/>
        </w:rPr>
        <w:t>water, sewage, and other systems</w:t>
      </w:r>
      <w:r w:rsidRPr="00AA0325" w:rsidR="006A380D">
        <w:rPr>
          <w:rFonts w:ascii="Times New Roman" w:eastAsia="Calibri" w:hAnsi="Times New Roman" w:cs="Times New Roman"/>
          <w:b/>
          <w:sz w:val="18"/>
          <w:szCs w:val="18"/>
        </w:rPr>
        <w:t xml:space="preserve">. </w:t>
      </w:r>
      <w:r w:rsidRPr="00AA0325" w:rsidR="007F1F10">
        <w:rPr>
          <w:rFonts w:ascii="Times New Roman" w:eastAsia="Calibri" w:hAnsi="Times New Roman" w:cs="Times New Roman"/>
          <w:b/>
          <w:sz w:val="18"/>
          <w:szCs w:val="18"/>
        </w:rPr>
        <w:t>Utilities/water/wastewater</w:t>
      </w:r>
      <w:r w:rsidRPr="00AA0325" w:rsidR="005E6843">
        <w:rPr>
          <w:rFonts w:ascii="Times New Roman" w:eastAsia="Calibri" w:hAnsi="Times New Roman" w:cs="Times New Roman"/>
          <w:b/>
          <w:sz w:val="18"/>
          <w:szCs w:val="18"/>
        </w:rPr>
        <w:t xml:space="preserve"> means </w:t>
      </w:r>
      <w:r w:rsidRPr="00AA0325" w:rsidR="00463FE5">
        <w:rPr>
          <w:rFonts w:ascii="Times New Roman" w:eastAsia="Calibri" w:hAnsi="Times New Roman" w:cs="Times New Roman"/>
          <w:b/>
          <w:sz w:val="18"/>
          <w:szCs w:val="18"/>
        </w:rPr>
        <w:t>NAICS 221 facilities</w:t>
      </w:r>
      <w:r w:rsidRPr="00AA0325" w:rsidR="00704F80">
        <w:rPr>
          <w:rFonts w:ascii="Times New Roman" w:eastAsia="Calibri" w:hAnsi="Times New Roman" w:cs="Times New Roman"/>
          <w:b/>
          <w:sz w:val="18"/>
          <w:szCs w:val="18"/>
        </w:rPr>
        <w:t xml:space="preserve"> </w:t>
      </w:r>
      <w:r w:rsidR="00C141FB">
        <w:rPr>
          <w:rFonts w:ascii="Times New Roman" w:eastAsia="Calibri" w:hAnsi="Times New Roman" w:cs="Times New Roman"/>
          <w:b/>
          <w:sz w:val="18"/>
          <w:szCs w:val="18"/>
        </w:rPr>
        <w:t>(</w:t>
      </w:r>
      <w:r w:rsidRPr="00AA0325" w:rsidR="00704F80">
        <w:rPr>
          <w:rFonts w:ascii="Times New Roman" w:eastAsia="Calibri" w:hAnsi="Times New Roman" w:cs="Times New Roman"/>
          <w:b/>
          <w:sz w:val="18"/>
          <w:szCs w:val="18"/>
        </w:rPr>
        <w:t xml:space="preserve">including utilities, </w:t>
      </w:r>
      <w:r w:rsidRPr="00AA0325" w:rsidR="00E94646">
        <w:rPr>
          <w:rFonts w:ascii="Times New Roman" w:eastAsia="Calibri" w:hAnsi="Times New Roman" w:cs="Times New Roman"/>
          <w:b/>
          <w:sz w:val="18"/>
          <w:szCs w:val="18"/>
        </w:rPr>
        <w:t>water, and wastewater</w:t>
      </w:r>
      <w:r w:rsidR="00C141FB">
        <w:rPr>
          <w:rFonts w:ascii="Times New Roman" w:eastAsia="Calibri" w:hAnsi="Times New Roman" w:cs="Times New Roman"/>
          <w:b/>
          <w:sz w:val="18"/>
          <w:szCs w:val="18"/>
        </w:rPr>
        <w:t>)</w:t>
      </w:r>
      <w:r w:rsidR="00650967">
        <w:rPr>
          <w:rFonts w:ascii="Times New Roman" w:eastAsia="Calibri" w:hAnsi="Times New Roman" w:cs="Times New Roman"/>
          <w:b/>
          <w:sz w:val="18"/>
          <w:szCs w:val="18"/>
        </w:rPr>
        <w:t xml:space="preserve"> except </w:t>
      </w:r>
      <w:r w:rsidR="00922363">
        <w:rPr>
          <w:rFonts w:ascii="Times New Roman" w:eastAsia="Calibri" w:hAnsi="Times New Roman" w:cs="Times New Roman"/>
          <w:b/>
          <w:sz w:val="18"/>
          <w:szCs w:val="18"/>
        </w:rPr>
        <w:t>government-owned water</w:t>
      </w:r>
      <w:r w:rsidRPr="00AA0325" w:rsidR="006175A2">
        <w:rPr>
          <w:rFonts w:ascii="Times New Roman" w:eastAsia="Calibri" w:hAnsi="Times New Roman" w:cs="Times New Roman"/>
          <w:b/>
          <w:sz w:val="18"/>
          <w:szCs w:val="18"/>
        </w:rPr>
        <w:t>.</w:t>
      </w:r>
      <w:r w:rsidRPr="00AA0325" w:rsidR="00252012">
        <w:rPr>
          <w:rFonts w:ascii="Times New Roman" w:eastAsia="Calibri" w:hAnsi="Times New Roman" w:cs="Times New Roman"/>
          <w:b/>
          <w:sz w:val="18"/>
          <w:szCs w:val="18"/>
        </w:rPr>
        <w:t xml:space="preserve"> </w:t>
      </w:r>
    </w:p>
    <w:p w:rsidR="00305374" w:rsidP="001927E6" w14:paraId="71253833" w14:textId="77777777">
      <w:pPr>
        <w:keepNext/>
        <w:spacing w:after="0" w:line="240" w:lineRule="auto"/>
        <w:ind w:firstLine="360"/>
        <w:rPr>
          <w:rFonts w:ascii="Times New Roman" w:eastAsia="Calibri" w:hAnsi="Times New Roman" w:cs="Times New Roman"/>
        </w:rPr>
      </w:pPr>
    </w:p>
    <w:p w:rsidR="00093C0A" w:rsidRPr="00587204" w:rsidP="00305374" w14:paraId="3BE9DE62" w14:textId="77777777">
      <w:pPr>
        <w:spacing w:after="0" w:line="240" w:lineRule="auto"/>
        <w:ind w:firstLine="360"/>
        <w:rPr>
          <w:rFonts w:ascii="Times New Roman" w:eastAsia="Calibri" w:hAnsi="Times New Roman" w:cs="Times New Roman"/>
        </w:rPr>
      </w:pPr>
      <w:r>
        <w:rPr>
          <w:rFonts w:ascii="Times New Roman" w:eastAsia="Calibri" w:hAnsi="Times New Roman" w:cs="Times New Roman"/>
        </w:rPr>
        <w:tab/>
      </w:r>
      <w:r w:rsidRPr="00587204">
        <w:rPr>
          <w:rFonts w:ascii="Times New Roman" w:eastAsia="Calibri" w:hAnsi="Times New Roman" w:cs="Times New Roman"/>
        </w:rPr>
        <w:t xml:space="preserve">The RMP rule applies to processes at facilities with regulated substances above threshold </w:t>
      </w:r>
      <w:r w:rsidR="002D72DD">
        <w:rPr>
          <w:rFonts w:ascii="Times New Roman" w:eastAsia="Calibri" w:hAnsi="Times New Roman" w:cs="Times New Roman"/>
        </w:rPr>
        <w:t>quantities.</w:t>
      </w:r>
      <w:r w:rsidRPr="00587204">
        <w:rPr>
          <w:rFonts w:ascii="Times New Roman" w:eastAsia="Calibri" w:hAnsi="Times New Roman" w:cs="Times New Roman"/>
        </w:rPr>
        <w:t xml:space="preserve"> </w:t>
      </w:r>
      <w:r w:rsidRPr="00587204" w:rsidR="00FC7EF3">
        <w:rPr>
          <w:rFonts w:ascii="Times New Roman" w:eastAsia="Calibri" w:hAnsi="Times New Roman" w:cs="Times New Roman"/>
        </w:rPr>
        <w:t xml:space="preserve">Processes are activities involving regulated substances including any use, storage, manufacturing, handling, or </w:t>
      </w:r>
      <w:r w:rsidRPr="00587204" w:rsidR="00986800">
        <w:rPr>
          <w:rFonts w:ascii="Times New Roman" w:eastAsia="Calibri" w:hAnsi="Times New Roman" w:cs="Times New Roman"/>
        </w:rPr>
        <w:t>onsite</w:t>
      </w:r>
      <w:r w:rsidRPr="00587204" w:rsidR="00FC7EF3">
        <w:rPr>
          <w:rFonts w:ascii="Times New Roman" w:eastAsia="Calibri" w:hAnsi="Times New Roman" w:cs="Times New Roman"/>
        </w:rPr>
        <w:t xml:space="preserve"> movement of such substances, or combination of these activities. </w:t>
      </w:r>
      <w:r w:rsidRPr="00587204">
        <w:rPr>
          <w:rFonts w:ascii="Times New Roman" w:eastAsia="Calibri" w:hAnsi="Times New Roman" w:cs="Times New Roman"/>
        </w:rPr>
        <w:t xml:space="preserve">In general, the cost of implementing the rule provisions varies primarily by the complexity of the processes involved. Chemical manufacturers and </w:t>
      </w:r>
      <w:r w:rsidRPr="00587204" w:rsidR="00D014B4">
        <w:rPr>
          <w:rFonts w:ascii="Times New Roman" w:eastAsia="Calibri" w:hAnsi="Times New Roman" w:cs="Times New Roman"/>
        </w:rPr>
        <w:t xml:space="preserve">petroleum </w:t>
      </w:r>
      <w:r w:rsidRPr="00587204">
        <w:rPr>
          <w:rFonts w:ascii="Times New Roman" w:eastAsia="Calibri" w:hAnsi="Times New Roman" w:cs="Times New Roman"/>
        </w:rPr>
        <w:t>refineries have more covered processes per facility and more complex issues to consider when evaluating hazards, designing exercises, conducting audits, investigating incidents, and explaining information to employees, responders, and the public compared to facilities that simply store or use chemicals in simple processes (e.g., refrigeration systems and water and waste treatment systems). For the purposes of the cost analysis, therefore, all facilities with NAICS 324 or 325 (petroleum and coal products manufacturing and chemical manufacturing) processes are considered complex; all other facilities are considered simple.</w:t>
      </w:r>
    </w:p>
    <w:p w:rsidR="00795D0D" w:rsidRPr="00587204" w:rsidP="00587204" w14:paraId="16053823" w14:textId="77777777">
      <w:pPr>
        <w:spacing w:after="0" w:line="240" w:lineRule="auto"/>
        <w:ind w:firstLine="720"/>
        <w:rPr>
          <w:rFonts w:ascii="Times New Roman" w:eastAsia="Calibri" w:hAnsi="Times New Roman" w:cs="Times New Roman"/>
        </w:rPr>
      </w:pPr>
    </w:p>
    <w:p w:rsidR="00093C0A" w:rsidRPr="00660FA6" w:rsidP="00C415E7" w14:paraId="614744B8" w14:textId="77777777">
      <w:pPr>
        <w:pStyle w:val="Heading3"/>
        <w:rPr>
          <w:rFonts w:ascii="Times New Roman" w:hAnsi="Times New Roman" w:cs="Times New Roman"/>
          <w:sz w:val="22"/>
          <w:szCs w:val="22"/>
        </w:rPr>
      </w:pPr>
      <w:bookmarkStart w:id="78" w:name="_Toc141732913"/>
      <w:bookmarkStart w:id="79" w:name="_Toc141733124"/>
      <w:bookmarkStart w:id="80" w:name="_Toc142404028"/>
      <w:bookmarkStart w:id="81" w:name="_Toc144213837"/>
      <w:bookmarkStart w:id="82" w:name="_Toc144283582"/>
      <w:bookmarkStart w:id="83" w:name="_Toc144303520"/>
      <w:r w:rsidRPr="00660FA6">
        <w:rPr>
          <w:rFonts w:ascii="Times New Roman" w:hAnsi="Times New Roman" w:cs="Times New Roman"/>
          <w:sz w:val="22"/>
          <w:szCs w:val="22"/>
        </w:rPr>
        <w:t>3.</w:t>
      </w:r>
      <w:r w:rsidRPr="00660FA6" w:rsidR="00C415E7">
        <w:rPr>
          <w:rFonts w:ascii="Times New Roman" w:hAnsi="Times New Roman" w:cs="Times New Roman"/>
          <w:sz w:val="22"/>
          <w:szCs w:val="22"/>
        </w:rPr>
        <w:t>1.1</w:t>
      </w:r>
      <w:r w:rsidRPr="00660FA6">
        <w:rPr>
          <w:rFonts w:ascii="Times New Roman" w:hAnsi="Times New Roman" w:cs="Times New Roman"/>
          <w:sz w:val="22"/>
          <w:szCs w:val="22"/>
        </w:rPr>
        <w:t xml:space="preserve"> </w:t>
      </w:r>
      <w:r w:rsidRPr="00122C0D">
        <w:rPr>
          <w:rFonts w:ascii="Times New Roman" w:hAnsi="Times New Roman" w:cs="Times New Roman"/>
          <w:sz w:val="22"/>
          <w:szCs w:val="22"/>
        </w:rPr>
        <w:t>RMP</w:t>
      </w:r>
      <w:bookmarkEnd w:id="78"/>
      <w:bookmarkEnd w:id="79"/>
      <w:bookmarkEnd w:id="80"/>
      <w:bookmarkEnd w:id="81"/>
      <w:bookmarkEnd w:id="82"/>
      <w:bookmarkEnd w:id="83"/>
      <w:r w:rsidRPr="00122C0D">
        <w:rPr>
          <w:rFonts w:ascii="Times New Roman" w:hAnsi="Times New Roman" w:cs="Times New Roman"/>
          <w:sz w:val="22"/>
          <w:szCs w:val="22"/>
        </w:rPr>
        <w:t xml:space="preserve"> </w:t>
      </w:r>
      <w:r w:rsidR="003937E6">
        <w:rPr>
          <w:rFonts w:ascii="Times New Roman" w:hAnsi="Times New Roman" w:cs="Times New Roman"/>
          <w:sz w:val="22"/>
          <w:szCs w:val="22"/>
        </w:rPr>
        <w:t>Data</w:t>
      </w:r>
    </w:p>
    <w:p w:rsidR="00146C18" w:rsidP="00305374" w14:paraId="062434EB" w14:textId="77777777">
      <w:pPr>
        <w:spacing w:after="0" w:line="240" w:lineRule="auto"/>
        <w:ind w:firstLine="360"/>
        <w:rPr>
          <w:rFonts w:ascii="Times New Roman" w:eastAsia="Calibri" w:hAnsi="Times New Roman" w:cs="Times New Roman"/>
        </w:rPr>
      </w:pPr>
      <w:r>
        <w:rPr>
          <w:rFonts w:ascii="Times New Roman" w:eastAsia="Calibri" w:hAnsi="Times New Roman" w:cs="Times New Roman"/>
        </w:rPr>
        <w:tab/>
      </w:r>
      <w:r w:rsidRPr="00587204" w:rsidR="00093C0A">
        <w:rPr>
          <w:rFonts w:ascii="Times New Roman" w:eastAsia="Calibri" w:hAnsi="Times New Roman" w:cs="Times New Roman"/>
        </w:rPr>
        <w:t xml:space="preserve">The </w:t>
      </w:r>
      <w:r w:rsidRPr="00587204" w:rsidR="00B217FE">
        <w:rPr>
          <w:rFonts w:ascii="Times New Roman" w:eastAsia="Calibri" w:hAnsi="Times New Roman" w:cs="Times New Roman"/>
        </w:rPr>
        <w:t xml:space="preserve">facility universe </w:t>
      </w:r>
      <w:r w:rsidRPr="00587204" w:rsidR="00A20749">
        <w:rPr>
          <w:rFonts w:ascii="Times New Roman" w:eastAsia="Calibri" w:hAnsi="Times New Roman" w:cs="Times New Roman"/>
        </w:rPr>
        <w:t xml:space="preserve">analyzed </w:t>
      </w:r>
      <w:r w:rsidRPr="00587204" w:rsidR="00B217FE">
        <w:rPr>
          <w:rFonts w:ascii="Times New Roman" w:eastAsia="Calibri" w:hAnsi="Times New Roman" w:cs="Times New Roman"/>
        </w:rPr>
        <w:t xml:space="preserve">in the </w:t>
      </w:r>
      <w:r w:rsidRPr="00587204" w:rsidR="00093C0A">
        <w:rPr>
          <w:rFonts w:ascii="Times New Roman" w:eastAsia="Calibri" w:hAnsi="Times New Roman" w:cs="Times New Roman"/>
        </w:rPr>
        <w:t>RIA is based on the RMP Database as of August 1, 202</w:t>
      </w:r>
      <w:r w:rsidRPr="00587204" w:rsidR="00AB4709">
        <w:rPr>
          <w:rFonts w:ascii="Times New Roman" w:eastAsia="Calibri" w:hAnsi="Times New Roman" w:cs="Times New Roman"/>
        </w:rPr>
        <w:t>1</w:t>
      </w:r>
      <w:r w:rsidRPr="00587204" w:rsidR="00093C0A">
        <w:rPr>
          <w:rFonts w:ascii="Times New Roman" w:eastAsia="Calibri" w:hAnsi="Times New Roman" w:cs="Times New Roman"/>
        </w:rPr>
        <w:t xml:space="preserve"> and </w:t>
      </w:r>
      <w:r w:rsidRPr="00587204" w:rsidR="000515CA">
        <w:rPr>
          <w:rFonts w:ascii="Times New Roman" w:eastAsia="Calibri" w:hAnsi="Times New Roman" w:cs="Times New Roman"/>
        </w:rPr>
        <w:t>includes</w:t>
      </w:r>
      <w:r w:rsidRPr="00587204" w:rsidR="00093C0A">
        <w:rPr>
          <w:rFonts w:ascii="Times New Roman" w:eastAsia="Calibri" w:hAnsi="Times New Roman" w:cs="Times New Roman"/>
        </w:rPr>
        <w:t xml:space="preserve"> facilities active as of December 31, 2020.</w:t>
      </w:r>
      <w:r>
        <w:rPr>
          <w:rStyle w:val="FootnoteReference"/>
          <w:rFonts w:ascii="Times New Roman" w:eastAsia="Calibri" w:hAnsi="Times New Roman" w:cs="Times New Roman"/>
        </w:rPr>
        <w:footnoteReference w:id="26"/>
      </w:r>
      <w:r w:rsidRPr="00587204" w:rsidR="00093C0A">
        <w:rPr>
          <w:rFonts w:ascii="Times New Roman" w:eastAsia="Calibri" w:hAnsi="Times New Roman" w:cs="Times New Roman"/>
        </w:rPr>
        <w:t xml:space="preserve"> EPA used Microsoft Access queries and R code to pull and analyze the data. The RMP Database includes information from each RMP submission, and identifies the facility, its processes and their respective NAICS sectors and programs, any </w:t>
      </w:r>
      <w:r w:rsidR="003532C8">
        <w:rPr>
          <w:rFonts w:ascii="Times New Roman" w:eastAsia="Calibri" w:hAnsi="Times New Roman" w:cs="Times New Roman"/>
        </w:rPr>
        <w:t>RMP-</w:t>
      </w:r>
      <w:r w:rsidRPr="00587204" w:rsidR="00093C0A">
        <w:rPr>
          <w:rFonts w:ascii="Times New Roman" w:eastAsia="Calibri" w:hAnsi="Times New Roman" w:cs="Times New Roman"/>
        </w:rPr>
        <w:t>reportable accidents, as well as other information reported in the RMP.</w:t>
      </w:r>
      <w:r w:rsidRPr="00587204" w:rsidR="00255F25">
        <w:rPr>
          <w:rFonts w:ascii="Times New Roman" w:eastAsia="Calibri" w:hAnsi="Times New Roman" w:cs="Times New Roman"/>
        </w:rPr>
        <w:t xml:space="preserve"> </w:t>
      </w:r>
    </w:p>
    <w:p w:rsidR="00146C18" w:rsidP="00305374" w14:paraId="360EC854" w14:textId="77777777">
      <w:pPr>
        <w:spacing w:after="0" w:line="240" w:lineRule="auto"/>
        <w:ind w:firstLine="360"/>
        <w:rPr>
          <w:rFonts w:ascii="Times New Roman" w:eastAsia="Calibri" w:hAnsi="Times New Roman" w:cs="Times New Roman"/>
        </w:rPr>
      </w:pPr>
    </w:p>
    <w:p w:rsidR="00093C0A" w:rsidRPr="00587204" w:rsidP="00305374" w14:paraId="702817C1" w14:textId="77777777">
      <w:pPr>
        <w:spacing w:after="0" w:line="240" w:lineRule="auto"/>
        <w:ind w:firstLine="360"/>
        <w:rPr>
          <w:rFonts w:ascii="Times New Roman" w:eastAsia="Calibri" w:hAnsi="Times New Roman" w:cs="Times New Roman"/>
        </w:rPr>
      </w:pPr>
      <w:r>
        <w:rPr>
          <w:rFonts w:ascii="Times New Roman" w:eastAsia="Calibri" w:hAnsi="Times New Roman" w:cs="Times New Roman"/>
        </w:rPr>
        <w:tab/>
      </w:r>
      <w:r w:rsidRPr="00587204" w:rsidR="00255F25">
        <w:rPr>
          <w:rFonts w:ascii="Times New Roman" w:eastAsia="Calibri" w:hAnsi="Times New Roman" w:cs="Times New Roman"/>
        </w:rPr>
        <w:t>To create the data</w:t>
      </w:r>
      <w:r w:rsidR="00FF001C">
        <w:rPr>
          <w:rFonts w:ascii="Times New Roman" w:eastAsia="Calibri" w:hAnsi="Times New Roman" w:cs="Times New Roman"/>
        </w:rPr>
        <w:t>set</w:t>
      </w:r>
      <w:r w:rsidRPr="00587204" w:rsidR="00255F25">
        <w:rPr>
          <w:rFonts w:ascii="Times New Roman" w:eastAsia="Calibri" w:hAnsi="Times New Roman" w:cs="Times New Roman"/>
        </w:rPr>
        <w:t xml:space="preserve"> of the universe of affected facilities, </w:t>
      </w:r>
      <w:r w:rsidRPr="00587204" w:rsidR="008C0CD2">
        <w:rPr>
          <w:rFonts w:ascii="Times New Roman" w:eastAsia="Calibri" w:hAnsi="Times New Roman" w:cs="Times New Roman"/>
        </w:rPr>
        <w:t>EPA</w:t>
      </w:r>
      <w:r w:rsidRPr="00587204" w:rsidR="00255F25">
        <w:rPr>
          <w:rFonts w:ascii="Times New Roman" w:eastAsia="Calibri" w:hAnsi="Times New Roman" w:cs="Times New Roman"/>
        </w:rPr>
        <w:t xml:space="preserve"> select</w:t>
      </w:r>
      <w:r w:rsidRPr="00587204" w:rsidR="008C0CD2">
        <w:rPr>
          <w:rFonts w:ascii="Times New Roman" w:eastAsia="Calibri" w:hAnsi="Times New Roman" w:cs="Times New Roman"/>
        </w:rPr>
        <w:t>ed</w:t>
      </w:r>
      <w:r w:rsidR="00EF2FF7">
        <w:rPr>
          <w:rFonts w:ascii="Times New Roman" w:eastAsia="Calibri" w:hAnsi="Times New Roman" w:cs="Times New Roman"/>
        </w:rPr>
        <w:t xml:space="preserve"> from </w:t>
      </w:r>
      <w:r w:rsidRPr="00587204" w:rsidR="00255F25">
        <w:rPr>
          <w:rFonts w:ascii="Times New Roman" w:eastAsia="Calibri" w:hAnsi="Times New Roman" w:cs="Times New Roman"/>
        </w:rPr>
        <w:t xml:space="preserve">among the rows in the Facility ID table for each EPA Facility ID, the row with the </w:t>
      </w:r>
      <w:r w:rsidRPr="00587204" w:rsidR="00BE77A8">
        <w:rPr>
          <w:rFonts w:ascii="Times New Roman" w:eastAsia="Calibri" w:hAnsi="Times New Roman" w:cs="Times New Roman"/>
        </w:rPr>
        <w:t xml:space="preserve">highest Facility ID without a deregistration date and </w:t>
      </w:r>
      <w:r w:rsidRPr="00587204" w:rsidR="00E56D84">
        <w:rPr>
          <w:rFonts w:ascii="Times New Roman" w:eastAsia="Calibri" w:hAnsi="Times New Roman" w:cs="Times New Roman"/>
        </w:rPr>
        <w:t xml:space="preserve">with a </w:t>
      </w:r>
      <w:r w:rsidRPr="00587204" w:rsidR="00255F25">
        <w:rPr>
          <w:rFonts w:ascii="Times New Roman" w:eastAsia="Calibri" w:hAnsi="Times New Roman" w:cs="Times New Roman"/>
        </w:rPr>
        <w:t>rece</w:t>
      </w:r>
      <w:r w:rsidRPr="00587204" w:rsidR="009B43A1">
        <w:rPr>
          <w:rFonts w:ascii="Times New Roman" w:eastAsia="Calibri" w:hAnsi="Times New Roman" w:cs="Times New Roman"/>
        </w:rPr>
        <w:t>ipt</w:t>
      </w:r>
      <w:r w:rsidRPr="00587204" w:rsidR="00255F25">
        <w:rPr>
          <w:rFonts w:ascii="Times New Roman" w:eastAsia="Calibri" w:hAnsi="Times New Roman" w:cs="Times New Roman"/>
        </w:rPr>
        <w:t xml:space="preserve"> date prior to 2021. </w:t>
      </w:r>
      <w:r w:rsidRPr="00587204" w:rsidR="00C74CF1">
        <w:rPr>
          <w:rFonts w:ascii="Times New Roman" w:eastAsia="Calibri" w:hAnsi="Times New Roman" w:cs="Times New Roman"/>
        </w:rPr>
        <w:t>This</w:t>
      </w:r>
      <w:r w:rsidRPr="00587204" w:rsidR="00255F25">
        <w:rPr>
          <w:rFonts w:ascii="Times New Roman" w:eastAsia="Calibri" w:hAnsi="Times New Roman" w:cs="Times New Roman"/>
        </w:rPr>
        <w:t xml:space="preserve"> data</w:t>
      </w:r>
      <w:r w:rsidR="002A3642">
        <w:rPr>
          <w:rFonts w:ascii="Times New Roman" w:eastAsia="Calibri" w:hAnsi="Times New Roman" w:cs="Times New Roman"/>
        </w:rPr>
        <w:t>set</w:t>
      </w:r>
      <w:r w:rsidRPr="00587204" w:rsidR="00C74CF1">
        <w:rPr>
          <w:rFonts w:ascii="Times New Roman" w:eastAsia="Calibri" w:hAnsi="Times New Roman" w:cs="Times New Roman"/>
        </w:rPr>
        <w:t xml:space="preserve"> </w:t>
      </w:r>
      <w:r w:rsidR="00151E73">
        <w:rPr>
          <w:rFonts w:ascii="Times New Roman" w:eastAsia="Calibri" w:hAnsi="Times New Roman" w:cs="Times New Roman"/>
        </w:rPr>
        <w:t>was</w:t>
      </w:r>
      <w:r w:rsidRPr="00587204" w:rsidR="00C74CF1">
        <w:rPr>
          <w:rFonts w:ascii="Times New Roman" w:eastAsia="Calibri" w:hAnsi="Times New Roman" w:cs="Times New Roman"/>
        </w:rPr>
        <w:t xml:space="preserve"> merged</w:t>
      </w:r>
      <w:r w:rsidRPr="00587204" w:rsidR="00255F25">
        <w:rPr>
          <w:rFonts w:ascii="Times New Roman" w:eastAsia="Calibri" w:hAnsi="Times New Roman" w:cs="Times New Roman"/>
        </w:rPr>
        <w:t xml:space="preserve"> by Facility ID with the Processes table</w:t>
      </w:r>
      <w:r w:rsidR="00840C8F">
        <w:rPr>
          <w:rFonts w:ascii="Times New Roman" w:eastAsia="Calibri" w:hAnsi="Times New Roman" w:cs="Times New Roman"/>
        </w:rPr>
        <w:t>.</w:t>
      </w:r>
      <w:r w:rsidRPr="00587204" w:rsidR="00255F25">
        <w:rPr>
          <w:rFonts w:ascii="Times New Roman" w:eastAsia="Calibri" w:hAnsi="Times New Roman" w:cs="Times New Roman"/>
        </w:rPr>
        <w:t xml:space="preserve"> </w:t>
      </w:r>
      <w:r w:rsidR="001156F1">
        <w:rPr>
          <w:rFonts w:ascii="Times New Roman" w:eastAsia="Calibri" w:hAnsi="Times New Roman" w:cs="Times New Roman"/>
        </w:rPr>
        <w:t>To assign each facility a NAICS sector and program level</w:t>
      </w:r>
      <w:r w:rsidR="008E5A8F">
        <w:rPr>
          <w:rFonts w:ascii="Times New Roman" w:eastAsia="Calibri" w:hAnsi="Times New Roman" w:cs="Times New Roman"/>
        </w:rPr>
        <w:t xml:space="preserve">, EPA </w:t>
      </w:r>
      <w:r w:rsidR="00661533">
        <w:rPr>
          <w:rFonts w:ascii="Times New Roman" w:eastAsia="Calibri" w:hAnsi="Times New Roman" w:cs="Times New Roman"/>
        </w:rPr>
        <w:t>matched</w:t>
      </w:r>
      <w:r w:rsidR="00C77FFD">
        <w:rPr>
          <w:rFonts w:ascii="Times New Roman" w:eastAsia="Calibri" w:hAnsi="Times New Roman" w:cs="Times New Roman"/>
        </w:rPr>
        <w:t xml:space="preserve"> </w:t>
      </w:r>
      <w:r w:rsidRPr="00587204" w:rsidR="00255F25">
        <w:rPr>
          <w:rFonts w:ascii="Times New Roman" w:eastAsia="Calibri" w:hAnsi="Times New Roman" w:cs="Times New Roman"/>
        </w:rPr>
        <w:t xml:space="preserve">each </w:t>
      </w:r>
      <w:r w:rsidR="008C6663">
        <w:rPr>
          <w:rFonts w:ascii="Times New Roman" w:eastAsia="Calibri" w:hAnsi="Times New Roman" w:cs="Times New Roman"/>
        </w:rPr>
        <w:t>facility</w:t>
      </w:r>
      <w:r w:rsidR="00CA7401">
        <w:rPr>
          <w:rFonts w:ascii="Times New Roman" w:eastAsia="Calibri" w:hAnsi="Times New Roman" w:cs="Times New Roman"/>
        </w:rPr>
        <w:t xml:space="preserve"> to </w:t>
      </w:r>
      <w:r w:rsidR="004F44FB">
        <w:rPr>
          <w:rFonts w:ascii="Times New Roman" w:eastAsia="Calibri" w:hAnsi="Times New Roman" w:cs="Times New Roman"/>
        </w:rPr>
        <w:t>a</w:t>
      </w:r>
      <w:r w:rsidR="00C06C5A">
        <w:rPr>
          <w:rFonts w:ascii="Times New Roman" w:eastAsia="Calibri" w:hAnsi="Times New Roman" w:cs="Times New Roman"/>
        </w:rPr>
        <w:t xml:space="preserve"> </w:t>
      </w:r>
      <w:r w:rsidR="00CA7401">
        <w:rPr>
          <w:rFonts w:ascii="Times New Roman" w:eastAsia="Calibri" w:hAnsi="Times New Roman" w:cs="Times New Roman"/>
        </w:rPr>
        <w:t>process</w:t>
      </w:r>
      <w:r w:rsidR="00466122">
        <w:rPr>
          <w:rFonts w:ascii="Times New Roman" w:eastAsia="Calibri" w:hAnsi="Times New Roman" w:cs="Times New Roman"/>
        </w:rPr>
        <w:t xml:space="preserve"> corresponding to that facility</w:t>
      </w:r>
      <w:r w:rsidRPr="00587204" w:rsidR="00255F25">
        <w:rPr>
          <w:rFonts w:ascii="Times New Roman" w:eastAsia="Calibri" w:hAnsi="Times New Roman" w:cs="Times New Roman"/>
        </w:rPr>
        <w:t>, first from among the facility’s complex processes (NAICS 324 or 325) and then by its highest program level. So, if a facility has any complex processes, the facility w</w:t>
      </w:r>
      <w:r w:rsidR="00151E73">
        <w:rPr>
          <w:rFonts w:ascii="Times New Roman" w:eastAsia="Calibri" w:hAnsi="Times New Roman" w:cs="Times New Roman"/>
        </w:rPr>
        <w:t>as</w:t>
      </w:r>
      <w:r w:rsidRPr="00587204" w:rsidR="00255F25">
        <w:rPr>
          <w:rFonts w:ascii="Times New Roman" w:eastAsia="Calibri" w:hAnsi="Times New Roman" w:cs="Times New Roman"/>
        </w:rPr>
        <w:t xml:space="preserve"> classified by the sector of one of those processes. </w:t>
      </w:r>
      <w:r w:rsidRPr="00587204" w:rsidR="00C74CF1">
        <w:rPr>
          <w:rFonts w:ascii="Times New Roman" w:eastAsia="Calibri" w:hAnsi="Times New Roman" w:cs="Times New Roman"/>
        </w:rPr>
        <w:t>Each</w:t>
      </w:r>
      <w:r w:rsidRPr="00587204" w:rsidR="00255F25">
        <w:rPr>
          <w:rFonts w:ascii="Times New Roman" w:eastAsia="Calibri" w:hAnsi="Times New Roman" w:cs="Times New Roman"/>
        </w:rPr>
        <w:t xml:space="preserve"> facility </w:t>
      </w:r>
      <w:r w:rsidR="00151E73">
        <w:rPr>
          <w:rFonts w:ascii="Times New Roman" w:eastAsia="Calibri" w:hAnsi="Times New Roman" w:cs="Times New Roman"/>
        </w:rPr>
        <w:t>was</w:t>
      </w:r>
      <w:r w:rsidRPr="00587204" w:rsidR="00C74CF1">
        <w:rPr>
          <w:rFonts w:ascii="Times New Roman" w:eastAsia="Calibri" w:hAnsi="Times New Roman" w:cs="Times New Roman"/>
        </w:rPr>
        <w:t xml:space="preserve"> assigned </w:t>
      </w:r>
      <w:r w:rsidRPr="00587204" w:rsidR="00255F25">
        <w:rPr>
          <w:rFonts w:ascii="Times New Roman" w:eastAsia="Calibri" w:hAnsi="Times New Roman" w:cs="Times New Roman"/>
        </w:rPr>
        <w:t>the highest program level of any of its processes. So, if a facility has any Progra</w:t>
      </w:r>
      <w:r w:rsidR="00305374">
        <w:rPr>
          <w:rFonts w:ascii="Times New Roman" w:eastAsia="Calibri" w:hAnsi="Times New Roman" w:cs="Times New Roman"/>
        </w:rPr>
        <w:t>m</w:t>
      </w:r>
      <w:r w:rsidRPr="00587204" w:rsidR="00255F25">
        <w:rPr>
          <w:rFonts w:ascii="Times New Roman" w:eastAsia="Calibri" w:hAnsi="Times New Roman" w:cs="Times New Roman"/>
        </w:rPr>
        <w:t xml:space="preserve"> 3 processes, the facility w</w:t>
      </w:r>
      <w:r w:rsidR="00151E73">
        <w:rPr>
          <w:rFonts w:ascii="Times New Roman" w:eastAsia="Calibri" w:hAnsi="Times New Roman" w:cs="Times New Roman"/>
        </w:rPr>
        <w:t>as</w:t>
      </w:r>
      <w:r w:rsidRPr="00587204" w:rsidR="00255F25">
        <w:rPr>
          <w:rFonts w:ascii="Times New Roman" w:eastAsia="Calibri" w:hAnsi="Times New Roman" w:cs="Times New Roman"/>
        </w:rPr>
        <w:t xml:space="preserve"> classified as Program 3.</w:t>
      </w:r>
    </w:p>
    <w:p w:rsidR="00795D0D" w:rsidRPr="00587204" w:rsidP="00587204" w14:paraId="4D242DC4" w14:textId="77777777">
      <w:pPr>
        <w:spacing w:after="0" w:line="240" w:lineRule="auto"/>
        <w:ind w:firstLine="720"/>
        <w:rPr>
          <w:rFonts w:ascii="Times New Roman" w:eastAsia="Calibri" w:hAnsi="Times New Roman" w:cs="Times New Roman"/>
        </w:rPr>
      </w:pPr>
    </w:p>
    <w:p w:rsidR="00093C0A" w:rsidRPr="00660FA6" w:rsidP="00660FA6" w14:paraId="7FFC8C58" w14:textId="77777777">
      <w:pPr>
        <w:pStyle w:val="Heading3"/>
        <w:rPr>
          <w:rFonts w:ascii="Times New Roman" w:hAnsi="Times New Roman" w:cs="Times New Roman"/>
          <w:sz w:val="22"/>
          <w:szCs w:val="22"/>
        </w:rPr>
      </w:pPr>
      <w:bookmarkStart w:id="84" w:name="_Toc141732914"/>
      <w:bookmarkStart w:id="85" w:name="_Toc141733125"/>
      <w:bookmarkStart w:id="86" w:name="_Toc142404029"/>
      <w:bookmarkStart w:id="87" w:name="_Toc144213838"/>
      <w:bookmarkStart w:id="88" w:name="_Toc144283583"/>
      <w:bookmarkStart w:id="89" w:name="_Toc144303521"/>
      <w:r w:rsidRPr="00660FA6">
        <w:rPr>
          <w:rFonts w:ascii="Times New Roman" w:hAnsi="Times New Roman" w:cs="Times New Roman"/>
          <w:sz w:val="22"/>
          <w:szCs w:val="22"/>
        </w:rPr>
        <w:t>3.</w:t>
      </w:r>
      <w:r w:rsidRPr="00660FA6" w:rsidR="00660FA6">
        <w:rPr>
          <w:rFonts w:ascii="Times New Roman" w:hAnsi="Times New Roman" w:cs="Times New Roman"/>
          <w:sz w:val="22"/>
          <w:szCs w:val="22"/>
        </w:rPr>
        <w:t>1.2</w:t>
      </w:r>
      <w:r w:rsidRPr="00660FA6">
        <w:rPr>
          <w:rFonts w:ascii="Times New Roman" w:hAnsi="Times New Roman" w:cs="Times New Roman"/>
          <w:sz w:val="22"/>
          <w:szCs w:val="22"/>
        </w:rPr>
        <w:t xml:space="preserve"> Manual Adjustments</w:t>
      </w:r>
      <w:bookmarkEnd w:id="84"/>
      <w:bookmarkEnd w:id="85"/>
      <w:bookmarkEnd w:id="86"/>
      <w:bookmarkEnd w:id="87"/>
      <w:bookmarkEnd w:id="88"/>
      <w:bookmarkEnd w:id="89"/>
    </w:p>
    <w:p w:rsidR="00093C0A" w:rsidP="00305374" w14:paraId="16A10B80" w14:textId="77777777">
      <w:pPr>
        <w:spacing w:after="0" w:line="240" w:lineRule="auto"/>
        <w:ind w:firstLine="360"/>
        <w:rPr>
          <w:rFonts w:ascii="Times New Roman" w:hAnsi="Times New Roman" w:cs="Times New Roman"/>
          <w:shd w:val="clear" w:color="auto" w:fill="FFFFFF"/>
        </w:rPr>
      </w:pPr>
      <w:r>
        <w:rPr>
          <w:rFonts w:ascii="Times New Roman" w:hAnsi="Times New Roman" w:cs="Times New Roman"/>
          <w:shd w:val="clear" w:color="auto" w:fill="FFFFFF"/>
        </w:rPr>
        <w:tab/>
      </w:r>
      <w:r w:rsidRPr="00305374">
        <w:rPr>
          <w:rFonts w:ascii="Times New Roman" w:hAnsi="Times New Roman" w:cs="Times New Roman"/>
          <w:shd w:val="clear" w:color="auto" w:fill="FFFFFF"/>
        </w:rPr>
        <w:t xml:space="preserve">While both government-owned and non-government-owned NAICS 2213 facilities perform the same functions, EPA expects that government-owned facilities will incur different burden hours than similar private facilities. Therefore, to </w:t>
      </w:r>
      <w:r w:rsidRPr="00305374" w:rsidR="00B0415C">
        <w:rPr>
          <w:rFonts w:ascii="Times New Roman" w:hAnsi="Times New Roman" w:cs="Times New Roman"/>
          <w:shd w:val="clear" w:color="auto" w:fill="FFFFFF"/>
        </w:rPr>
        <w:t>better</w:t>
      </w:r>
      <w:r w:rsidRPr="00305374">
        <w:rPr>
          <w:rFonts w:ascii="Times New Roman" w:hAnsi="Times New Roman" w:cs="Times New Roman"/>
          <w:shd w:val="clear" w:color="auto" w:fill="FFFFFF"/>
        </w:rPr>
        <w:t xml:space="preserve"> assess the impacts on government-owned versus non-government-owned NAICS 2213 facilities, EPA reviewed all facilities categorized as NAICS 2213 to distinguish between private and government ownership. EPA includes </w:t>
      </w:r>
      <w:r w:rsidR="00CB6E39">
        <w:rPr>
          <w:rFonts w:ascii="Times New Roman" w:hAnsi="Times New Roman" w:cs="Times New Roman"/>
          <w:shd w:val="clear" w:color="auto" w:fill="FFFFFF"/>
        </w:rPr>
        <w:t>a category for</w:t>
      </w:r>
      <w:r w:rsidRPr="00305374">
        <w:rPr>
          <w:rFonts w:ascii="Times New Roman" w:hAnsi="Times New Roman" w:cs="Times New Roman"/>
          <w:shd w:val="clear" w:color="auto" w:fill="FFFFFF"/>
        </w:rPr>
        <w:t xml:space="preserve"> government-owned NAICS 2213 facilities</w:t>
      </w:r>
      <w:r w:rsidR="000D48FC">
        <w:rPr>
          <w:rFonts w:ascii="Times New Roman" w:hAnsi="Times New Roman" w:cs="Times New Roman"/>
          <w:shd w:val="clear" w:color="auto" w:fill="FFFFFF"/>
        </w:rPr>
        <w:t xml:space="preserve">, which is separate from </w:t>
      </w:r>
      <w:r w:rsidR="00AC0D62">
        <w:rPr>
          <w:rFonts w:ascii="Times New Roman" w:hAnsi="Times New Roman" w:cs="Times New Roman"/>
          <w:shd w:val="clear" w:color="auto" w:fill="FFFFFF"/>
        </w:rPr>
        <w:t xml:space="preserve">the category for </w:t>
      </w:r>
      <w:r w:rsidRPr="00305374">
        <w:rPr>
          <w:rFonts w:ascii="Times New Roman" w:hAnsi="Times New Roman" w:cs="Times New Roman"/>
          <w:shd w:val="clear" w:color="auto" w:fill="FFFFFF"/>
        </w:rPr>
        <w:t>facilities that report as NAICS 92 government administration.</w:t>
      </w:r>
    </w:p>
    <w:p w:rsidR="00E35591" w:rsidP="00305374" w14:paraId="3B42E6F8" w14:textId="77777777">
      <w:pPr>
        <w:spacing w:after="0" w:line="240" w:lineRule="auto"/>
        <w:ind w:firstLine="360"/>
        <w:rPr>
          <w:rFonts w:ascii="Times New Roman" w:hAnsi="Times New Roman" w:cs="Times New Roman"/>
          <w:shd w:val="clear" w:color="auto" w:fill="FFFFFF"/>
        </w:rPr>
      </w:pPr>
    </w:p>
    <w:p w:rsidR="002666B3" w:rsidP="00305374" w14:paraId="10A39E26" w14:textId="77777777">
      <w:pPr>
        <w:spacing w:after="0" w:line="240" w:lineRule="auto"/>
        <w:ind w:firstLine="360"/>
        <w:rPr>
          <w:rFonts w:ascii="Times New Roman" w:hAnsi="Times New Roman" w:cs="Times New Roman"/>
          <w:shd w:val="clear" w:color="auto" w:fill="FFFFFF"/>
        </w:rPr>
      </w:pPr>
      <w:r>
        <w:rPr>
          <w:rFonts w:ascii="Times New Roman" w:hAnsi="Times New Roman" w:cs="Times New Roman"/>
          <w:shd w:val="clear" w:color="auto" w:fill="FFFFFF"/>
        </w:rPr>
        <w:tab/>
      </w:r>
      <w:r w:rsidR="0033129C">
        <w:rPr>
          <w:rFonts w:ascii="Times New Roman" w:hAnsi="Times New Roman" w:cs="Times New Roman"/>
          <w:shd w:val="clear" w:color="auto" w:fill="FFFFFF"/>
        </w:rPr>
        <w:t>For this final rule</w:t>
      </w:r>
      <w:r w:rsidR="00AC0D62">
        <w:rPr>
          <w:rFonts w:ascii="Times New Roman" w:hAnsi="Times New Roman" w:cs="Times New Roman"/>
          <w:shd w:val="clear" w:color="auto" w:fill="FFFFFF"/>
        </w:rPr>
        <w:t>,</w:t>
      </w:r>
      <w:r w:rsidR="0033129C">
        <w:rPr>
          <w:rFonts w:ascii="Times New Roman" w:hAnsi="Times New Roman" w:cs="Times New Roman"/>
          <w:shd w:val="clear" w:color="auto" w:fill="FFFFFF"/>
        </w:rPr>
        <w:t xml:space="preserve"> EPA explored alternative data sources to classify NAICS 2213 facilities as private or government owned. </w:t>
      </w:r>
      <w:r w:rsidR="0075755E">
        <w:rPr>
          <w:rFonts w:ascii="Times New Roman" w:hAnsi="Times New Roman" w:cs="Times New Roman"/>
          <w:shd w:val="clear" w:color="auto" w:fill="FFFFFF"/>
        </w:rPr>
        <w:t xml:space="preserve">EPA </w:t>
      </w:r>
      <w:r w:rsidR="008F1438">
        <w:rPr>
          <w:rFonts w:ascii="Times New Roman" w:hAnsi="Times New Roman" w:cs="Times New Roman"/>
          <w:shd w:val="clear" w:color="auto" w:fill="FFFFFF"/>
        </w:rPr>
        <w:t xml:space="preserve">used its Facility Registry System (FRS) to crosswalk the </w:t>
      </w:r>
      <w:r w:rsidR="00BE133A">
        <w:rPr>
          <w:rFonts w:ascii="Times New Roman" w:hAnsi="Times New Roman" w:cs="Times New Roman"/>
          <w:shd w:val="clear" w:color="auto" w:fill="FFFFFF"/>
        </w:rPr>
        <w:t>data universal numbering system</w:t>
      </w:r>
      <w:r w:rsidR="008F1438">
        <w:rPr>
          <w:rFonts w:ascii="Times New Roman" w:hAnsi="Times New Roman" w:cs="Times New Roman"/>
          <w:shd w:val="clear" w:color="auto" w:fill="FFFFFF"/>
        </w:rPr>
        <w:t xml:space="preserve"> </w:t>
      </w:r>
      <w:r w:rsidR="00BE133A">
        <w:rPr>
          <w:rFonts w:ascii="Times New Roman" w:hAnsi="Times New Roman" w:cs="Times New Roman"/>
          <w:shd w:val="clear" w:color="auto" w:fill="FFFFFF"/>
        </w:rPr>
        <w:t>(</w:t>
      </w:r>
      <w:r w:rsidR="008F1438">
        <w:rPr>
          <w:rFonts w:ascii="Times New Roman" w:hAnsi="Times New Roman" w:cs="Times New Roman"/>
          <w:shd w:val="clear" w:color="auto" w:fill="FFFFFF"/>
        </w:rPr>
        <w:t>DUNS</w:t>
      </w:r>
      <w:r w:rsidR="00BE133A">
        <w:rPr>
          <w:rFonts w:ascii="Times New Roman" w:hAnsi="Times New Roman" w:cs="Times New Roman"/>
          <w:shd w:val="clear" w:color="auto" w:fill="FFFFFF"/>
        </w:rPr>
        <w:t>)</w:t>
      </w:r>
      <w:r w:rsidR="008F1438">
        <w:rPr>
          <w:rFonts w:ascii="Times New Roman" w:hAnsi="Times New Roman" w:cs="Times New Roman"/>
          <w:shd w:val="clear" w:color="auto" w:fill="FFFFFF"/>
        </w:rPr>
        <w:t xml:space="preserve"> numbers </w:t>
      </w:r>
      <w:r w:rsidR="00356F35">
        <w:rPr>
          <w:rFonts w:ascii="Times New Roman" w:hAnsi="Times New Roman" w:cs="Times New Roman"/>
          <w:shd w:val="clear" w:color="auto" w:fill="FFFFFF"/>
        </w:rPr>
        <w:t xml:space="preserve">(unique nine-digit </w:t>
      </w:r>
      <w:r w:rsidR="00B82689">
        <w:rPr>
          <w:rFonts w:ascii="Times New Roman" w:hAnsi="Times New Roman" w:cs="Times New Roman"/>
          <w:shd w:val="clear" w:color="auto" w:fill="FFFFFF"/>
        </w:rPr>
        <w:t>business identifier</w:t>
      </w:r>
      <w:r w:rsidR="00F0479F">
        <w:rPr>
          <w:rFonts w:ascii="Times New Roman" w:hAnsi="Times New Roman" w:cs="Times New Roman"/>
          <w:shd w:val="clear" w:color="auto" w:fill="FFFFFF"/>
        </w:rPr>
        <w:t>s</w:t>
      </w:r>
      <w:r w:rsidR="00B82689">
        <w:rPr>
          <w:rFonts w:ascii="Times New Roman" w:hAnsi="Times New Roman" w:cs="Times New Roman"/>
          <w:shd w:val="clear" w:color="auto" w:fill="FFFFFF"/>
        </w:rPr>
        <w:t xml:space="preserve">) </w:t>
      </w:r>
      <w:r w:rsidR="008F1438">
        <w:rPr>
          <w:rFonts w:ascii="Times New Roman" w:hAnsi="Times New Roman" w:cs="Times New Roman"/>
          <w:shd w:val="clear" w:color="auto" w:fill="FFFFFF"/>
        </w:rPr>
        <w:t xml:space="preserve">reported by </w:t>
      </w:r>
      <w:r w:rsidR="00822F4A">
        <w:rPr>
          <w:rFonts w:ascii="Times New Roman" w:hAnsi="Times New Roman" w:cs="Times New Roman"/>
          <w:shd w:val="clear" w:color="auto" w:fill="FFFFFF"/>
        </w:rPr>
        <w:t xml:space="preserve">facilities in their RMP with </w:t>
      </w:r>
      <w:r w:rsidR="00733865">
        <w:rPr>
          <w:rFonts w:ascii="Times New Roman" w:hAnsi="Times New Roman" w:cs="Times New Roman"/>
          <w:shd w:val="clear" w:color="auto" w:fill="FFFFFF"/>
        </w:rPr>
        <w:t xml:space="preserve">their </w:t>
      </w:r>
      <w:r w:rsidR="00F340A0">
        <w:rPr>
          <w:rFonts w:ascii="Times New Roman" w:hAnsi="Times New Roman" w:cs="Times New Roman"/>
          <w:shd w:val="clear" w:color="auto" w:fill="FFFFFF"/>
        </w:rPr>
        <w:t xml:space="preserve">Water System ID </w:t>
      </w:r>
      <w:r w:rsidR="009675D7">
        <w:rPr>
          <w:rFonts w:ascii="Times New Roman" w:hAnsi="Times New Roman" w:cs="Times New Roman"/>
          <w:shd w:val="clear" w:color="auto" w:fill="FFFFFF"/>
        </w:rPr>
        <w:t xml:space="preserve">for identification </w:t>
      </w:r>
      <w:r w:rsidR="00F340A0">
        <w:rPr>
          <w:rFonts w:ascii="Times New Roman" w:hAnsi="Times New Roman" w:cs="Times New Roman"/>
          <w:shd w:val="clear" w:color="auto" w:fill="FFFFFF"/>
        </w:rPr>
        <w:t xml:space="preserve">in EPA’s </w:t>
      </w:r>
      <w:r w:rsidR="00582340">
        <w:rPr>
          <w:rFonts w:ascii="Times New Roman" w:hAnsi="Times New Roman" w:cs="Times New Roman"/>
          <w:shd w:val="clear" w:color="auto" w:fill="FFFFFF"/>
        </w:rPr>
        <w:t>Safe Drinking Water Information System (SDWIS)</w:t>
      </w:r>
      <w:r w:rsidR="009675D7">
        <w:rPr>
          <w:rFonts w:ascii="Times New Roman" w:hAnsi="Times New Roman" w:cs="Times New Roman"/>
          <w:shd w:val="clear" w:color="auto" w:fill="FFFFFF"/>
        </w:rPr>
        <w:t xml:space="preserve"> dataset. SDWIS has information on registered water facilities and their ownership, so this crosswalk </w:t>
      </w:r>
      <w:r w:rsidR="009449B7">
        <w:rPr>
          <w:rFonts w:ascii="Times New Roman" w:hAnsi="Times New Roman" w:cs="Times New Roman"/>
          <w:shd w:val="clear" w:color="auto" w:fill="FFFFFF"/>
        </w:rPr>
        <w:t>will</w:t>
      </w:r>
      <w:r w:rsidR="009675D7">
        <w:rPr>
          <w:rFonts w:ascii="Times New Roman" w:hAnsi="Times New Roman" w:cs="Times New Roman"/>
          <w:shd w:val="clear" w:color="auto" w:fill="FFFFFF"/>
        </w:rPr>
        <w:t xml:space="preserve"> allow EPA an alternative dataset to </w:t>
      </w:r>
      <w:r w:rsidR="000D1635">
        <w:rPr>
          <w:rFonts w:ascii="Times New Roman" w:hAnsi="Times New Roman" w:cs="Times New Roman"/>
          <w:shd w:val="clear" w:color="auto" w:fill="FFFFFF"/>
        </w:rPr>
        <w:t xml:space="preserve">establish ownership type for water facilities in RMP. </w:t>
      </w:r>
      <w:r w:rsidR="00292F80">
        <w:rPr>
          <w:rFonts w:ascii="Times New Roman" w:hAnsi="Times New Roman" w:cs="Times New Roman"/>
          <w:shd w:val="clear" w:color="auto" w:fill="FFFFFF"/>
        </w:rPr>
        <w:t xml:space="preserve">Completing this exercise only identified 731 facilities in SDWIS, a count that is lower than the number of facilities that identify as NAICS 2231 in their RMPs regardless of ownership. Reasons for the lower count could include </w:t>
      </w:r>
      <w:r w:rsidR="00CF28D5">
        <w:rPr>
          <w:rFonts w:ascii="Times New Roman" w:hAnsi="Times New Roman" w:cs="Times New Roman"/>
          <w:shd w:val="clear" w:color="auto" w:fill="FFFFFF"/>
        </w:rPr>
        <w:t>DUNS numbers that are inaccurately report</w:t>
      </w:r>
      <w:r w:rsidR="00F02E40">
        <w:rPr>
          <w:rFonts w:ascii="Times New Roman" w:hAnsi="Times New Roman" w:cs="Times New Roman"/>
          <w:shd w:val="clear" w:color="auto" w:fill="FFFFFF"/>
        </w:rPr>
        <w:t>ed</w:t>
      </w:r>
      <w:r w:rsidR="00CF28D5">
        <w:rPr>
          <w:rFonts w:ascii="Times New Roman" w:hAnsi="Times New Roman" w:cs="Times New Roman"/>
          <w:shd w:val="clear" w:color="auto" w:fill="FFFFFF"/>
        </w:rPr>
        <w:t xml:space="preserve"> in RMP</w:t>
      </w:r>
      <w:r w:rsidR="00A659FB">
        <w:rPr>
          <w:rFonts w:ascii="Times New Roman" w:hAnsi="Times New Roman" w:cs="Times New Roman"/>
          <w:shd w:val="clear" w:color="auto" w:fill="FFFFFF"/>
        </w:rPr>
        <w:t>s</w:t>
      </w:r>
      <w:r w:rsidR="00CF28D5">
        <w:rPr>
          <w:rFonts w:ascii="Times New Roman" w:hAnsi="Times New Roman" w:cs="Times New Roman"/>
          <w:shd w:val="clear" w:color="auto" w:fill="FFFFFF"/>
        </w:rPr>
        <w:t xml:space="preserve">, </w:t>
      </w:r>
      <w:r w:rsidR="00C8604A">
        <w:rPr>
          <w:rFonts w:ascii="Times New Roman" w:hAnsi="Times New Roman" w:cs="Times New Roman"/>
          <w:shd w:val="clear" w:color="auto" w:fill="FFFFFF"/>
        </w:rPr>
        <w:t xml:space="preserve">not all DUNS numbers having matches </w:t>
      </w:r>
      <w:r w:rsidR="00353D66">
        <w:rPr>
          <w:rFonts w:ascii="Times New Roman" w:hAnsi="Times New Roman" w:cs="Times New Roman"/>
          <w:shd w:val="clear" w:color="auto" w:fill="FFFFFF"/>
        </w:rPr>
        <w:t xml:space="preserve">to Water System IDs in FRS, and </w:t>
      </w:r>
      <w:r w:rsidR="00EF4C69">
        <w:rPr>
          <w:rFonts w:ascii="Times New Roman" w:hAnsi="Times New Roman" w:cs="Times New Roman"/>
          <w:shd w:val="clear" w:color="auto" w:fill="FFFFFF"/>
        </w:rPr>
        <w:t xml:space="preserve">NAICS codes inaccurately reported in RMP submissions. Therefore, EPA relied on the manual adjustments performed during the </w:t>
      </w:r>
      <w:r w:rsidRPr="003E02D4" w:rsidR="00D32ADF">
        <w:rPr>
          <w:rFonts w:ascii="Times New Roman" w:hAnsi="Times New Roman" w:cs="Times New Roman"/>
          <w:shd w:val="clear" w:color="auto" w:fill="FFFFFF"/>
        </w:rPr>
        <w:t>propose</w:t>
      </w:r>
      <w:r w:rsidRPr="00444E63" w:rsidR="00EF4C69">
        <w:rPr>
          <w:rFonts w:ascii="Times New Roman" w:hAnsi="Times New Roman" w:cs="Times New Roman"/>
          <w:shd w:val="clear" w:color="auto" w:fill="FFFFFF"/>
        </w:rPr>
        <w:t>d</w:t>
      </w:r>
      <w:r w:rsidR="00EF4C69">
        <w:rPr>
          <w:rFonts w:ascii="Times New Roman" w:hAnsi="Times New Roman" w:cs="Times New Roman"/>
          <w:shd w:val="clear" w:color="auto" w:fill="FFFFFF"/>
        </w:rPr>
        <w:t xml:space="preserve"> rule stage to more accurately identify the facilities that </w:t>
      </w:r>
      <w:r w:rsidR="00C61D3E">
        <w:rPr>
          <w:rFonts w:ascii="Times New Roman" w:hAnsi="Times New Roman" w:cs="Times New Roman"/>
          <w:shd w:val="clear" w:color="auto" w:fill="FFFFFF"/>
        </w:rPr>
        <w:t>are NAICS 2213 privately</w:t>
      </w:r>
      <w:r w:rsidR="00321329">
        <w:rPr>
          <w:rFonts w:ascii="Times New Roman" w:hAnsi="Times New Roman" w:cs="Times New Roman"/>
          <w:shd w:val="clear" w:color="auto" w:fill="FFFFFF"/>
        </w:rPr>
        <w:t>-</w:t>
      </w:r>
      <w:r w:rsidR="00C61D3E">
        <w:rPr>
          <w:rFonts w:ascii="Times New Roman" w:hAnsi="Times New Roman" w:cs="Times New Roman"/>
          <w:shd w:val="clear" w:color="auto" w:fill="FFFFFF"/>
        </w:rPr>
        <w:t>owned versus government</w:t>
      </w:r>
      <w:r w:rsidR="00321329">
        <w:rPr>
          <w:rFonts w:ascii="Times New Roman" w:hAnsi="Times New Roman" w:cs="Times New Roman"/>
          <w:shd w:val="clear" w:color="auto" w:fill="FFFFFF"/>
        </w:rPr>
        <w:t>-</w:t>
      </w:r>
      <w:r w:rsidR="00C61D3E">
        <w:rPr>
          <w:rFonts w:ascii="Times New Roman" w:hAnsi="Times New Roman" w:cs="Times New Roman"/>
          <w:shd w:val="clear" w:color="auto" w:fill="FFFFFF"/>
        </w:rPr>
        <w:t xml:space="preserve">owned </w:t>
      </w:r>
      <w:r w:rsidR="00321329">
        <w:rPr>
          <w:rFonts w:ascii="Times New Roman" w:hAnsi="Times New Roman" w:cs="Times New Roman"/>
          <w:shd w:val="clear" w:color="auto" w:fill="FFFFFF"/>
        </w:rPr>
        <w:t>because</w:t>
      </w:r>
      <w:r w:rsidR="00C61D3E">
        <w:rPr>
          <w:rFonts w:ascii="Times New Roman" w:hAnsi="Times New Roman" w:cs="Times New Roman"/>
          <w:shd w:val="clear" w:color="auto" w:fill="FFFFFF"/>
        </w:rPr>
        <w:t xml:space="preserve"> searches using facility names provided </w:t>
      </w:r>
      <w:r w:rsidR="0060227E">
        <w:rPr>
          <w:rFonts w:ascii="Times New Roman" w:hAnsi="Times New Roman" w:cs="Times New Roman"/>
          <w:shd w:val="clear" w:color="auto" w:fill="FFFFFF"/>
        </w:rPr>
        <w:t>a more accurate match.</w:t>
      </w:r>
    </w:p>
    <w:p w:rsidR="00795D0D" w:rsidRPr="00587204" w:rsidP="00587204" w14:paraId="6FF6DA6A" w14:textId="77777777">
      <w:pPr>
        <w:spacing w:after="0" w:line="240" w:lineRule="auto"/>
        <w:ind w:firstLine="720"/>
        <w:rPr>
          <w:rFonts w:ascii="Times New Roman" w:eastAsia="Calibri" w:hAnsi="Times New Roman" w:cs="Times New Roman"/>
          <w:b/>
        </w:rPr>
      </w:pPr>
    </w:p>
    <w:p w:rsidR="00D64F9E" w:rsidRPr="00590656" w:rsidP="00590656" w14:paraId="6C2600B4" w14:textId="77777777">
      <w:pPr>
        <w:pStyle w:val="Heading3"/>
        <w:rPr>
          <w:rFonts w:ascii="Times New Roman" w:hAnsi="Times New Roman" w:cs="Times New Roman"/>
        </w:rPr>
      </w:pPr>
      <w:bookmarkStart w:id="90" w:name="_Toc144213839"/>
      <w:bookmarkStart w:id="91" w:name="_Toc144283584"/>
      <w:bookmarkStart w:id="92" w:name="_Toc144303522"/>
      <w:r w:rsidRPr="00590656">
        <w:rPr>
          <w:rFonts w:ascii="Times New Roman" w:hAnsi="Times New Roman" w:cs="Times New Roman"/>
        </w:rPr>
        <w:t>3.</w:t>
      </w:r>
      <w:r w:rsidRPr="00590656" w:rsidR="00681F71">
        <w:rPr>
          <w:rFonts w:ascii="Times New Roman" w:hAnsi="Times New Roman" w:cs="Times New Roman"/>
        </w:rPr>
        <w:t>1</w:t>
      </w:r>
      <w:r w:rsidRPr="00590656">
        <w:rPr>
          <w:rFonts w:ascii="Times New Roman" w:hAnsi="Times New Roman" w:cs="Times New Roman"/>
        </w:rPr>
        <w:t>.2 Breakdowns Used in the Analysis</w:t>
      </w:r>
      <w:bookmarkEnd w:id="90"/>
      <w:bookmarkEnd w:id="91"/>
      <w:bookmarkEnd w:id="92"/>
    </w:p>
    <w:p w:rsidR="00093C0A" w:rsidRPr="00001FBC" w:rsidP="00B04F82" w14:paraId="08F5DE53" w14:textId="77777777">
      <w:pPr>
        <w:ind w:firstLine="720"/>
        <w:rPr>
          <w:rFonts w:ascii="Times New Roman" w:hAnsi="Times New Roman" w:cs="Times New Roman"/>
        </w:rPr>
      </w:pPr>
      <w:r w:rsidRPr="000B45D9">
        <w:rPr>
          <w:rFonts w:ascii="Times New Roman" w:hAnsi="Times New Roman" w:cs="Times New Roman"/>
        </w:rPr>
        <w:t>As</w:t>
      </w:r>
      <w:r w:rsidRPr="00001FBC">
        <w:rPr>
          <w:rFonts w:ascii="Times New Roman" w:hAnsi="Times New Roman" w:cs="Times New Roman"/>
        </w:rPr>
        <w:t xml:space="preserve"> explained in</w:t>
      </w:r>
      <w:r w:rsidRPr="000B45D9">
        <w:rPr>
          <w:rFonts w:ascii="Times New Roman" w:hAnsi="Times New Roman" w:cs="Times New Roman"/>
        </w:rPr>
        <w:t xml:space="preserve"> Section</w:t>
      </w:r>
      <w:r w:rsidRPr="00001FBC">
        <w:rPr>
          <w:rFonts w:ascii="Times New Roman" w:hAnsi="Times New Roman" w:cs="Times New Roman"/>
        </w:rPr>
        <w:t xml:space="preserve"> </w:t>
      </w:r>
      <w:r w:rsidRPr="000B45D9">
        <w:rPr>
          <w:rFonts w:ascii="Times New Roman" w:hAnsi="Times New Roman" w:cs="Times New Roman"/>
        </w:rPr>
        <w:t xml:space="preserve">1.1.1 Overview of the Risk Management Program, </w:t>
      </w:r>
      <w:r w:rsidRPr="000B45D9" w:rsidR="00BF5D2B">
        <w:rPr>
          <w:rFonts w:ascii="Times New Roman" w:hAnsi="Times New Roman" w:cs="Times New Roman"/>
        </w:rPr>
        <w:t>t</w:t>
      </w:r>
      <w:r w:rsidRPr="00001FBC">
        <w:rPr>
          <w:rFonts w:ascii="Times New Roman" w:hAnsi="Times New Roman" w:cs="Times New Roman"/>
        </w:rPr>
        <w:t xml:space="preserve">he RMP rule imposes different requirements on facilities based on </w:t>
      </w:r>
      <w:r w:rsidRPr="00001FBC" w:rsidR="007C52B8">
        <w:rPr>
          <w:rFonts w:ascii="Times New Roman" w:hAnsi="Times New Roman" w:cs="Times New Roman"/>
        </w:rPr>
        <w:t>p</w:t>
      </w:r>
      <w:r w:rsidRPr="00001FBC">
        <w:rPr>
          <w:rFonts w:ascii="Times New Roman" w:hAnsi="Times New Roman" w:cs="Times New Roman"/>
        </w:rPr>
        <w:t>rogram levels</w:t>
      </w:r>
      <w:r w:rsidRPr="00001FBC" w:rsidR="000515CA">
        <w:rPr>
          <w:rFonts w:ascii="Times New Roman" w:hAnsi="Times New Roman" w:cs="Times New Roman"/>
        </w:rPr>
        <w:t xml:space="preserve"> of the facilit</w:t>
      </w:r>
      <w:r w:rsidRPr="00001FBC" w:rsidR="008F0309">
        <w:rPr>
          <w:rFonts w:ascii="Times New Roman" w:hAnsi="Times New Roman" w:cs="Times New Roman"/>
        </w:rPr>
        <w:t>y’s</w:t>
      </w:r>
      <w:r w:rsidRPr="00001FBC" w:rsidR="000515CA">
        <w:rPr>
          <w:rFonts w:ascii="Times New Roman" w:hAnsi="Times New Roman" w:cs="Times New Roman"/>
        </w:rPr>
        <w:t xml:space="preserve"> processes</w:t>
      </w:r>
      <w:r w:rsidRPr="00001FBC">
        <w:rPr>
          <w:rFonts w:ascii="Times New Roman" w:hAnsi="Times New Roman" w:cs="Times New Roman"/>
        </w:rPr>
        <w:t xml:space="preserve">. </w:t>
      </w:r>
      <w:bookmarkStart w:id="93" w:name="_Hlk100647602"/>
      <w:r w:rsidRPr="000B45D9" w:rsidR="00AB34CF">
        <w:rPr>
          <w:rFonts w:ascii="Times New Roman" w:hAnsi="Times New Roman" w:cs="Times New Roman"/>
          <w:color w:val="000000" w:themeColor="text1"/>
        </w:rPr>
        <w:t>Program 3</w:t>
      </w:r>
      <w:r w:rsidRPr="00001FBC">
        <w:rPr>
          <w:rFonts w:ascii="Times New Roman" w:hAnsi="Times New Roman" w:cs="Times New Roman"/>
        </w:rPr>
        <w:t xml:space="preserve"> processes are those that are not eligible for P</w:t>
      </w:r>
      <w:r w:rsidRPr="00001FBC" w:rsidR="007F1F6B">
        <w:rPr>
          <w:rFonts w:ascii="Times New Roman" w:hAnsi="Times New Roman" w:cs="Times New Roman"/>
        </w:rPr>
        <w:t xml:space="preserve">rogram </w:t>
      </w:r>
      <w:r w:rsidRPr="00001FBC">
        <w:rPr>
          <w:rFonts w:ascii="Times New Roman" w:hAnsi="Times New Roman" w:cs="Times New Roman"/>
        </w:rPr>
        <w:t xml:space="preserve">1 and are subject to the OSHA PSM standard or are in certain NAICS codes (refineries, a limited number of chemical manufacturers and pulp mills). </w:t>
      </w:r>
      <w:bookmarkEnd w:id="93"/>
      <w:r w:rsidRPr="00001FBC">
        <w:rPr>
          <w:rFonts w:ascii="Times New Roman" w:hAnsi="Times New Roman" w:cs="Times New Roman"/>
        </w:rPr>
        <w:t xml:space="preserve">Of the 4,769 processes in those NAICS codes, </w:t>
      </w:r>
      <w:r w:rsidRPr="00001FBC" w:rsidR="001C3F70">
        <w:rPr>
          <w:rFonts w:ascii="Times New Roman" w:hAnsi="Times New Roman" w:cs="Times New Roman"/>
        </w:rPr>
        <w:t xml:space="preserve">4,595 </w:t>
      </w:r>
      <w:r w:rsidRPr="00001FBC" w:rsidR="00D927E5">
        <w:rPr>
          <w:rFonts w:ascii="Times New Roman" w:hAnsi="Times New Roman" w:cs="Times New Roman"/>
        </w:rPr>
        <w:t xml:space="preserve">processes </w:t>
      </w:r>
      <w:r w:rsidRPr="00001FBC" w:rsidR="00A43304">
        <w:rPr>
          <w:rFonts w:ascii="Times New Roman" w:hAnsi="Times New Roman" w:cs="Times New Roman"/>
        </w:rPr>
        <w:t>were at facilities that</w:t>
      </w:r>
      <w:r w:rsidRPr="00001FBC" w:rsidR="00D927E5">
        <w:rPr>
          <w:rFonts w:ascii="Times New Roman" w:hAnsi="Times New Roman" w:cs="Times New Roman"/>
        </w:rPr>
        <w:t xml:space="preserve"> </w:t>
      </w:r>
      <w:r w:rsidRPr="00001FBC">
        <w:rPr>
          <w:rFonts w:ascii="Times New Roman" w:hAnsi="Times New Roman" w:cs="Times New Roman"/>
        </w:rPr>
        <w:t>self-reported that they are subject to OSHA PSM.</w:t>
      </w:r>
    </w:p>
    <w:p w:rsidR="000515CA" w:rsidRPr="00CD2AFF" w:rsidP="00305374" w14:paraId="5B5EBD0A" w14:textId="77777777">
      <w:pPr>
        <w:spacing w:after="0" w:line="240" w:lineRule="auto"/>
        <w:rPr>
          <w:rFonts w:ascii="Times New Roman" w:eastAsia="Calibri" w:hAnsi="Times New Roman" w:cs="Times New Roman"/>
        </w:rPr>
      </w:pPr>
    </w:p>
    <w:p w:rsidR="00D43808" w:rsidRPr="0083185E" w:rsidP="00305374" w14:paraId="5C870CE3" w14:textId="77777777">
      <w:pPr>
        <w:pStyle w:val="Caption"/>
        <w:jc w:val="center"/>
        <w:rPr>
          <w:rFonts w:ascii="Times New Roman" w:hAnsi="Times New Roman" w:cs="Times New Roman"/>
          <w:b/>
          <w:bCs/>
          <w:i w:val="0"/>
          <w:iCs w:val="0"/>
          <w:color w:val="auto"/>
          <w:sz w:val="22"/>
          <w:szCs w:val="22"/>
        </w:rPr>
      </w:pPr>
    </w:p>
    <w:p w:rsidR="00D43808" w:rsidP="00305374" w14:paraId="44063BA7" w14:textId="77777777">
      <w:pPr>
        <w:pStyle w:val="Caption"/>
        <w:jc w:val="center"/>
        <w:rPr>
          <w:rFonts w:ascii="Times New Roman" w:hAnsi="Times New Roman" w:cs="Times New Roman"/>
          <w:b/>
          <w:bCs/>
          <w:i w:val="0"/>
          <w:iCs w:val="0"/>
          <w:color w:val="auto"/>
          <w:sz w:val="22"/>
          <w:szCs w:val="22"/>
        </w:rPr>
      </w:pPr>
    </w:p>
    <w:p w:rsidR="00D43808" w:rsidP="00305374" w14:paraId="3E2B51AE" w14:textId="77777777">
      <w:pPr>
        <w:pStyle w:val="Caption"/>
        <w:jc w:val="center"/>
        <w:rPr>
          <w:rFonts w:ascii="Times New Roman" w:hAnsi="Times New Roman" w:cs="Times New Roman"/>
          <w:b/>
          <w:bCs/>
          <w:i w:val="0"/>
          <w:iCs w:val="0"/>
          <w:color w:val="auto"/>
          <w:sz w:val="22"/>
          <w:szCs w:val="22"/>
        </w:rPr>
      </w:pPr>
    </w:p>
    <w:p w:rsidR="00D43808" w:rsidP="00305374" w14:paraId="1EE95C26" w14:textId="77777777">
      <w:pPr>
        <w:pStyle w:val="Caption"/>
        <w:jc w:val="center"/>
        <w:rPr>
          <w:rFonts w:ascii="Times New Roman" w:hAnsi="Times New Roman" w:cs="Times New Roman"/>
          <w:b/>
          <w:bCs/>
          <w:i w:val="0"/>
          <w:iCs w:val="0"/>
          <w:color w:val="auto"/>
          <w:sz w:val="22"/>
          <w:szCs w:val="22"/>
        </w:rPr>
      </w:pPr>
    </w:p>
    <w:p w:rsidR="00D43808" w:rsidP="00305374" w14:paraId="7980F2C5" w14:textId="77777777">
      <w:pPr>
        <w:pStyle w:val="Caption"/>
        <w:jc w:val="center"/>
        <w:rPr>
          <w:rFonts w:ascii="Times New Roman" w:hAnsi="Times New Roman" w:cs="Times New Roman"/>
          <w:b/>
          <w:bCs/>
          <w:i w:val="0"/>
          <w:iCs w:val="0"/>
          <w:color w:val="auto"/>
          <w:sz w:val="22"/>
          <w:szCs w:val="22"/>
        </w:rPr>
      </w:pPr>
    </w:p>
    <w:p w:rsidR="00D43808" w:rsidP="00305374" w14:paraId="62EE6F05" w14:textId="77777777">
      <w:pPr>
        <w:pStyle w:val="Caption"/>
        <w:jc w:val="center"/>
        <w:rPr>
          <w:rFonts w:ascii="Times New Roman" w:hAnsi="Times New Roman" w:cs="Times New Roman"/>
          <w:b/>
          <w:bCs/>
          <w:i w:val="0"/>
          <w:iCs w:val="0"/>
          <w:color w:val="auto"/>
          <w:sz w:val="22"/>
          <w:szCs w:val="22"/>
        </w:rPr>
      </w:pPr>
    </w:p>
    <w:p w:rsidR="00D43808" w:rsidP="00305374" w14:paraId="7025EB9B" w14:textId="77777777">
      <w:pPr>
        <w:pStyle w:val="Caption"/>
        <w:jc w:val="center"/>
        <w:rPr>
          <w:rFonts w:ascii="Times New Roman" w:hAnsi="Times New Roman" w:cs="Times New Roman"/>
          <w:b/>
          <w:bCs/>
          <w:i w:val="0"/>
          <w:iCs w:val="0"/>
          <w:color w:val="auto"/>
          <w:sz w:val="22"/>
          <w:szCs w:val="22"/>
        </w:rPr>
      </w:pPr>
    </w:p>
    <w:p w:rsidR="00305374" w:rsidRPr="00305374" w:rsidP="00305374" w14:paraId="79CC7C83" w14:textId="77777777">
      <w:pPr>
        <w:pStyle w:val="Caption"/>
        <w:jc w:val="center"/>
        <w:rPr>
          <w:rFonts w:ascii="Times New Roman" w:hAnsi="Times New Roman" w:cs="Times New Roman"/>
          <w:b/>
          <w:bCs/>
          <w:i w:val="0"/>
          <w:iCs w:val="0"/>
          <w:color w:val="auto"/>
          <w:sz w:val="22"/>
          <w:szCs w:val="22"/>
        </w:rPr>
      </w:pPr>
      <w:r w:rsidRPr="00305374">
        <w:rPr>
          <w:rFonts w:ascii="Times New Roman" w:hAnsi="Times New Roman" w:cs="Times New Roman"/>
          <w:b/>
          <w:bCs/>
          <w:i w:val="0"/>
          <w:iCs w:val="0"/>
          <w:color w:val="auto"/>
          <w:sz w:val="22"/>
          <w:szCs w:val="22"/>
        </w:rPr>
        <w:t xml:space="preserve">Exhibit </w:t>
      </w:r>
      <w:r w:rsidRPr="00305374">
        <w:rPr>
          <w:rFonts w:ascii="Times New Roman" w:eastAsia="Calibri" w:hAnsi="Times New Roman" w:cs="Times New Roman"/>
          <w:b/>
          <w:bCs/>
          <w:i w:val="0"/>
          <w:iCs w:val="0"/>
          <w:color w:val="auto"/>
          <w:sz w:val="22"/>
          <w:szCs w:val="22"/>
        </w:rPr>
        <w:t>3-3: Number of Facilities by Program Level.</w:t>
      </w:r>
    </w:p>
    <w:p w:rsidR="00093C0A" w:rsidRPr="00B11FAB" w:rsidP="00587204" w14:paraId="34D19A50" w14:textId="77777777">
      <w:pPr>
        <w:spacing w:after="0" w:line="240" w:lineRule="auto"/>
        <w:rPr>
          <w:rFonts w:ascii="Times New Roman" w:eastAsia="Calibri" w:hAnsi="Times New Roman" w:cs="Times New Roman"/>
          <w:b/>
        </w:rPr>
      </w:pPr>
      <w:r w:rsidRPr="00587204">
        <w:rPr>
          <w:rFonts w:ascii="Times New Roman" w:hAnsi="Times New Roman" w:cs="Times New Roman"/>
          <w:noProof/>
        </w:rPr>
        <w:drawing>
          <wp:inline distT="0" distB="0" distL="0" distR="0">
            <wp:extent cx="5943600" cy="2442210"/>
            <wp:effectExtent l="0" t="0" r="0" b="0"/>
            <wp:docPr id="2" name="Chart 2">
              <a:extLst xmlns:a="http://schemas.openxmlformats.org/drawingml/2006/main">
                <a:ext xmlns:a="http://schemas.openxmlformats.org/drawingml/2006/main" uri="{FF2B5EF4-FFF2-40B4-BE49-F238E27FC236}">
                  <a16:creationId xmlns:a16="http://schemas.microsoft.com/office/drawing/2014/main" id="{2B9E6812-7553-4D9D-9DA5-3B8EEBFA2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5374" w:rsidP="00305374" w14:paraId="6819B81E" w14:textId="77777777">
      <w:pPr>
        <w:spacing w:after="0" w:line="240" w:lineRule="auto"/>
        <w:ind w:firstLine="360"/>
        <w:rPr>
          <w:rFonts w:ascii="Times New Roman" w:eastAsia="Calibri" w:hAnsi="Times New Roman" w:cs="Times New Roman"/>
        </w:rPr>
      </w:pPr>
      <w:bookmarkStart w:id="94" w:name="_Hlk100647671"/>
    </w:p>
    <w:p w:rsidR="00146C18" w:rsidP="00B15E64" w14:paraId="3DB9348F" w14:textId="77777777">
      <w:pPr>
        <w:widowControl w:val="0"/>
        <w:spacing w:after="0" w:line="240" w:lineRule="auto"/>
        <w:ind w:firstLine="360"/>
        <w:rPr>
          <w:rFonts w:ascii="Times New Roman" w:eastAsia="Calibri" w:hAnsi="Times New Roman" w:cs="Times New Roman"/>
          <w:vertAlign w:val="superscript"/>
        </w:rPr>
      </w:pPr>
      <w:r>
        <w:rPr>
          <w:rFonts w:ascii="Times New Roman" w:eastAsia="Calibri" w:hAnsi="Times New Roman" w:cs="Times New Roman"/>
        </w:rPr>
        <w:tab/>
      </w:r>
      <w:r w:rsidRPr="00587204" w:rsidR="00093C0A">
        <w:rPr>
          <w:rFonts w:ascii="Times New Roman" w:eastAsia="Calibri" w:hAnsi="Times New Roman" w:cs="Times New Roman"/>
        </w:rPr>
        <w:t xml:space="preserve">A portion of </w:t>
      </w:r>
      <w:r w:rsidRPr="00587204" w:rsidR="005E22BE">
        <w:rPr>
          <w:rFonts w:ascii="Times New Roman" w:hAnsi="Times New Roman" w:cs="Times New Roman"/>
        </w:rPr>
        <w:t>Program 2</w:t>
      </w:r>
      <w:r w:rsidRPr="00587204" w:rsidR="00093C0A">
        <w:rPr>
          <w:rFonts w:ascii="Times New Roman" w:eastAsia="Calibri" w:hAnsi="Times New Roman" w:cs="Times New Roman"/>
        </w:rPr>
        <w:t xml:space="preserve"> facilities (765 of 3,975) are publicly-owned water/wastewater treatment facilities in States where OSHA (rather than the State) enforces OSHA rules</w:t>
      </w:r>
      <w:r w:rsidR="00E91509">
        <w:rPr>
          <w:rFonts w:ascii="Times New Roman" w:eastAsia="Calibri" w:hAnsi="Times New Roman" w:cs="Times New Roman"/>
        </w:rPr>
        <w:t>.</w:t>
      </w:r>
      <w:r>
        <w:rPr>
          <w:rStyle w:val="FootnoteReference"/>
          <w:rFonts w:ascii="Times New Roman" w:eastAsia="Calibri" w:hAnsi="Times New Roman" w:cs="Times New Roman"/>
        </w:rPr>
        <w:footnoteReference w:id="27"/>
      </w:r>
      <w:r w:rsidRPr="00587204" w:rsidR="00231119">
        <w:rPr>
          <w:rFonts w:ascii="Times New Roman" w:eastAsia="Calibri" w:hAnsi="Times New Roman" w:cs="Times New Roman"/>
          <w:shd w:val="clear" w:color="auto" w:fill="FFFFFF" w:themeFill="background1"/>
        </w:rPr>
        <w:t xml:space="preserve"> Because these facilities are publicly</w:t>
      </w:r>
      <w:r w:rsidR="00555FD8">
        <w:rPr>
          <w:rFonts w:ascii="Times New Roman" w:eastAsia="Calibri" w:hAnsi="Times New Roman" w:cs="Times New Roman"/>
          <w:shd w:val="clear" w:color="auto" w:fill="FFFFFF" w:themeFill="background1"/>
        </w:rPr>
        <w:t>-</w:t>
      </w:r>
      <w:r w:rsidRPr="00587204" w:rsidR="00231119">
        <w:rPr>
          <w:rFonts w:ascii="Times New Roman" w:eastAsia="Calibri" w:hAnsi="Times New Roman" w:cs="Times New Roman"/>
          <w:shd w:val="clear" w:color="auto" w:fill="FFFFFF" w:themeFill="background1"/>
        </w:rPr>
        <w:t xml:space="preserve"> owned, </w:t>
      </w:r>
      <w:r w:rsidRPr="00587204" w:rsidR="00093C0A">
        <w:rPr>
          <w:rFonts w:ascii="Times New Roman" w:eastAsia="Calibri" w:hAnsi="Times New Roman" w:cs="Times New Roman"/>
        </w:rPr>
        <w:t xml:space="preserve">their processes are considered </w:t>
      </w:r>
      <w:r w:rsidRPr="00587204" w:rsidR="005E22BE">
        <w:rPr>
          <w:rFonts w:ascii="Times New Roman" w:hAnsi="Times New Roman" w:cs="Times New Roman"/>
        </w:rPr>
        <w:t>Program 2</w:t>
      </w:r>
      <w:r w:rsidRPr="00587204" w:rsidR="00231119">
        <w:rPr>
          <w:rFonts w:ascii="Times New Roman" w:hAnsi="Times New Roman" w:cs="Times New Roman"/>
        </w:rPr>
        <w:t>. This</w:t>
      </w:r>
      <w:r w:rsidRPr="00587204" w:rsidR="00093C0A">
        <w:rPr>
          <w:rFonts w:ascii="Times New Roman" w:eastAsia="Calibri" w:hAnsi="Times New Roman" w:cs="Times New Roman"/>
        </w:rPr>
        <w:t xml:space="preserve"> contrast</w:t>
      </w:r>
      <w:r w:rsidRPr="00587204" w:rsidR="00231119">
        <w:rPr>
          <w:rFonts w:ascii="Times New Roman" w:eastAsia="Calibri" w:hAnsi="Times New Roman" w:cs="Times New Roman"/>
        </w:rPr>
        <w:t xml:space="preserve">s with </w:t>
      </w:r>
      <w:r w:rsidRPr="00587204" w:rsidR="00093C0A">
        <w:rPr>
          <w:rFonts w:ascii="Times New Roman" w:eastAsia="Calibri" w:hAnsi="Times New Roman" w:cs="Times New Roman"/>
        </w:rPr>
        <w:t xml:space="preserve">those not under public ownership (which are </w:t>
      </w:r>
      <w:r w:rsidRPr="00587204" w:rsidR="00AB34CF">
        <w:rPr>
          <w:rFonts w:ascii="Times New Roman" w:hAnsi="Times New Roman" w:cs="Times New Roman"/>
          <w:color w:val="000000"/>
        </w:rPr>
        <w:t>Program 3</w:t>
      </w:r>
      <w:r w:rsidRPr="00587204" w:rsidR="00093C0A">
        <w:rPr>
          <w:rFonts w:ascii="Times New Roman" w:eastAsia="Calibri" w:hAnsi="Times New Roman" w:cs="Times New Roman"/>
        </w:rPr>
        <w:t xml:space="preserve">), even though </w:t>
      </w:r>
      <w:r w:rsidRPr="00587204" w:rsidR="00231119">
        <w:rPr>
          <w:rFonts w:ascii="Times New Roman" w:eastAsia="Calibri" w:hAnsi="Times New Roman" w:cs="Times New Roman"/>
        </w:rPr>
        <w:t xml:space="preserve">the </w:t>
      </w:r>
      <w:r w:rsidRPr="00587204" w:rsidR="00093C0A">
        <w:rPr>
          <w:rFonts w:ascii="Times New Roman" w:eastAsia="Calibri" w:hAnsi="Times New Roman" w:cs="Times New Roman"/>
        </w:rPr>
        <w:t>processes</w:t>
      </w:r>
      <w:r w:rsidRPr="00587204" w:rsidR="00231119">
        <w:rPr>
          <w:rFonts w:ascii="Times New Roman" w:eastAsia="Calibri" w:hAnsi="Times New Roman" w:cs="Times New Roman"/>
        </w:rPr>
        <w:t xml:space="preserve"> are the same</w:t>
      </w:r>
      <w:r w:rsidRPr="00587204" w:rsidR="00093C0A">
        <w:rPr>
          <w:rFonts w:ascii="Times New Roman" w:eastAsia="Calibri" w:hAnsi="Times New Roman" w:cs="Times New Roman"/>
        </w:rPr>
        <w:t xml:space="preserve">. The remaining </w:t>
      </w:r>
      <w:r w:rsidRPr="00587204" w:rsidR="005E22BE">
        <w:rPr>
          <w:rFonts w:ascii="Times New Roman" w:hAnsi="Times New Roman" w:cs="Times New Roman"/>
        </w:rPr>
        <w:t>Program 2</w:t>
      </w:r>
      <w:r w:rsidRPr="00587204" w:rsidR="00093C0A">
        <w:rPr>
          <w:rFonts w:ascii="Times New Roman" w:eastAsia="Calibri" w:hAnsi="Times New Roman" w:cs="Times New Roman"/>
        </w:rPr>
        <w:t xml:space="preserve"> facilities are agricultural </w:t>
      </w:r>
      <w:r w:rsidR="007E498D">
        <w:rPr>
          <w:rFonts w:ascii="Times New Roman" w:eastAsia="Calibri" w:hAnsi="Times New Roman" w:cs="Times New Roman"/>
        </w:rPr>
        <w:t>d</w:t>
      </w:r>
      <w:r w:rsidRPr="00587204" w:rsidR="00093C0A">
        <w:rPr>
          <w:rFonts w:ascii="Times New Roman" w:eastAsia="Calibri" w:hAnsi="Times New Roman" w:cs="Times New Roman"/>
        </w:rPr>
        <w:t>istribution facilities that store anhydrous ammonia, utilities that use aqueous ammonia and other facilities that store or use chemicals not subject to OSHA PSM</w:t>
      </w:r>
      <w:bookmarkEnd w:id="94"/>
      <w:r w:rsidRPr="00587204" w:rsidR="00093C0A">
        <w:rPr>
          <w:rFonts w:ascii="Times New Roman" w:eastAsia="Calibri" w:hAnsi="Times New Roman" w:cs="Times New Roman"/>
        </w:rPr>
        <w:t>.</w:t>
      </w:r>
      <w:r>
        <w:rPr>
          <w:rStyle w:val="FootnoteReference"/>
          <w:rFonts w:ascii="Times New Roman" w:eastAsia="Calibri" w:hAnsi="Times New Roman" w:cs="Times New Roman"/>
        </w:rPr>
        <w:footnoteReference w:id="28"/>
      </w:r>
      <w:r w:rsidRPr="00587204" w:rsidR="00093C0A">
        <w:rPr>
          <w:rFonts w:ascii="Times New Roman" w:eastAsia="Calibri" w:hAnsi="Times New Roman" w:cs="Times New Roman"/>
          <w:vertAlign w:val="superscript"/>
        </w:rPr>
        <w:t xml:space="preserve"> </w:t>
      </w:r>
    </w:p>
    <w:p w:rsidR="006626C9" w:rsidP="00305374" w14:paraId="05222DBE" w14:textId="77777777">
      <w:pPr>
        <w:spacing w:after="0" w:line="240" w:lineRule="auto"/>
        <w:ind w:firstLine="360"/>
        <w:rPr>
          <w:rFonts w:ascii="Times New Roman" w:eastAsia="Calibri" w:hAnsi="Times New Roman" w:cs="Times New Roman"/>
          <w:vertAlign w:val="superscript"/>
        </w:rPr>
      </w:pPr>
    </w:p>
    <w:p w:rsidR="00093C0A" w:rsidP="00305374" w14:paraId="0B4172B2" w14:textId="77777777">
      <w:pPr>
        <w:spacing w:after="0" w:line="240" w:lineRule="auto"/>
        <w:ind w:firstLine="360"/>
        <w:rPr>
          <w:rFonts w:ascii="Times New Roman" w:eastAsia="Calibri" w:hAnsi="Times New Roman" w:cs="Times New Roman"/>
        </w:rPr>
      </w:pPr>
      <w:r>
        <w:rPr>
          <w:rFonts w:ascii="Times New Roman" w:eastAsia="Calibri" w:hAnsi="Times New Roman" w:cs="Times New Roman"/>
        </w:rPr>
        <w:tab/>
      </w:r>
      <w:r w:rsidRPr="00587204">
        <w:rPr>
          <w:rFonts w:ascii="Times New Roman" w:eastAsia="Calibri" w:hAnsi="Times New Roman" w:cs="Times New Roman"/>
        </w:rPr>
        <w:t xml:space="preserve">Exhibit 3-4 presents the number of facilities by sector and </w:t>
      </w:r>
      <w:r w:rsidRPr="00587204" w:rsidR="00626524">
        <w:rPr>
          <w:rFonts w:ascii="Times New Roman" w:eastAsia="Calibri" w:hAnsi="Times New Roman" w:cs="Times New Roman"/>
        </w:rPr>
        <w:t>p</w:t>
      </w:r>
      <w:r w:rsidRPr="00587204">
        <w:rPr>
          <w:rFonts w:ascii="Times New Roman" w:eastAsia="Calibri" w:hAnsi="Times New Roman" w:cs="Times New Roman"/>
        </w:rPr>
        <w:t xml:space="preserve">rogram </w:t>
      </w:r>
      <w:r w:rsidRPr="00587204" w:rsidR="00626524">
        <w:rPr>
          <w:rFonts w:ascii="Times New Roman" w:eastAsia="Calibri" w:hAnsi="Times New Roman" w:cs="Times New Roman"/>
        </w:rPr>
        <w:t>l</w:t>
      </w:r>
      <w:r w:rsidRPr="00587204">
        <w:rPr>
          <w:rFonts w:ascii="Times New Roman" w:eastAsia="Calibri" w:hAnsi="Times New Roman" w:cs="Times New Roman"/>
        </w:rPr>
        <w:t xml:space="preserve">evel; publicly-owned water/wastewater treatment systems (NAICS 2213) are listed </w:t>
      </w:r>
      <w:r w:rsidR="00624F43">
        <w:rPr>
          <w:rFonts w:ascii="Times New Roman" w:eastAsia="Calibri" w:hAnsi="Times New Roman" w:cs="Times New Roman"/>
        </w:rPr>
        <w:t>as government-owned water,</w:t>
      </w:r>
      <w:r w:rsidR="00202D08">
        <w:rPr>
          <w:rFonts w:ascii="Times New Roman" w:eastAsia="Calibri" w:hAnsi="Times New Roman" w:cs="Times New Roman"/>
        </w:rPr>
        <w:t xml:space="preserve"> other</w:t>
      </w:r>
      <w:r w:rsidRPr="00587204">
        <w:rPr>
          <w:rFonts w:ascii="Times New Roman" w:eastAsia="Calibri" w:hAnsi="Times New Roman" w:cs="Times New Roman"/>
        </w:rPr>
        <w:t xml:space="preserve"> government</w:t>
      </w:r>
      <w:r w:rsidR="00866598">
        <w:rPr>
          <w:rFonts w:ascii="Times New Roman" w:eastAsia="Calibri" w:hAnsi="Times New Roman" w:cs="Times New Roman"/>
        </w:rPr>
        <w:t xml:space="preserve"> facilitie</w:t>
      </w:r>
      <w:r w:rsidRPr="00587204" w:rsidR="00626524">
        <w:rPr>
          <w:rFonts w:ascii="Times New Roman" w:eastAsia="Calibri" w:hAnsi="Times New Roman" w:cs="Times New Roman"/>
        </w:rPr>
        <w:t>s</w:t>
      </w:r>
      <w:r w:rsidRPr="00587204">
        <w:rPr>
          <w:rFonts w:ascii="Times New Roman" w:eastAsia="Calibri" w:hAnsi="Times New Roman" w:cs="Times New Roman"/>
        </w:rPr>
        <w:t xml:space="preserve"> (NAICS 92)</w:t>
      </w:r>
      <w:r w:rsidR="00966129">
        <w:rPr>
          <w:rFonts w:ascii="Times New Roman" w:eastAsia="Calibri" w:hAnsi="Times New Roman" w:cs="Times New Roman"/>
        </w:rPr>
        <w:t xml:space="preserve"> are </w:t>
      </w:r>
      <w:r w:rsidR="00F41F8E">
        <w:rPr>
          <w:rFonts w:ascii="Times New Roman" w:eastAsia="Calibri" w:hAnsi="Times New Roman" w:cs="Times New Roman"/>
        </w:rPr>
        <w:t>listed as governments</w:t>
      </w:r>
      <w:r w:rsidRPr="00587204">
        <w:rPr>
          <w:rFonts w:ascii="Times New Roman" w:eastAsia="Calibri" w:hAnsi="Times New Roman" w:cs="Times New Roman"/>
        </w:rPr>
        <w:t xml:space="preserve">, </w:t>
      </w:r>
      <w:r w:rsidR="00BD70FD">
        <w:rPr>
          <w:rFonts w:ascii="Times New Roman" w:eastAsia="Calibri" w:hAnsi="Times New Roman" w:cs="Times New Roman"/>
        </w:rPr>
        <w:t>and</w:t>
      </w:r>
      <w:r w:rsidRPr="00587204" w:rsidR="00BD70FD">
        <w:rPr>
          <w:rFonts w:ascii="Times New Roman" w:eastAsia="Calibri" w:hAnsi="Times New Roman" w:cs="Times New Roman"/>
        </w:rPr>
        <w:t xml:space="preserve"> </w:t>
      </w:r>
      <w:r w:rsidRPr="00587204">
        <w:rPr>
          <w:rFonts w:ascii="Times New Roman" w:eastAsia="Calibri" w:hAnsi="Times New Roman" w:cs="Times New Roman"/>
        </w:rPr>
        <w:t>privately</w:t>
      </w:r>
      <w:r w:rsidRPr="00587204" w:rsidR="00B02330">
        <w:rPr>
          <w:rFonts w:ascii="Times New Roman" w:eastAsia="Calibri" w:hAnsi="Times New Roman" w:cs="Times New Roman"/>
        </w:rPr>
        <w:t>-</w:t>
      </w:r>
      <w:r w:rsidRPr="00587204">
        <w:rPr>
          <w:rFonts w:ascii="Times New Roman" w:eastAsia="Calibri" w:hAnsi="Times New Roman" w:cs="Times New Roman"/>
        </w:rPr>
        <w:t>owned and operated systems (NAICS 2213) are listed under utilities/water (NAICS 221).</w:t>
      </w:r>
    </w:p>
    <w:p w:rsidR="00305374" w:rsidRPr="00305374" w:rsidP="00305374" w14:paraId="68D9D1A1" w14:textId="77777777">
      <w:pPr>
        <w:spacing w:after="0" w:line="240" w:lineRule="auto"/>
        <w:ind w:firstLine="360"/>
        <w:rPr>
          <w:rFonts w:ascii="Times New Roman" w:eastAsia="Calibri" w:hAnsi="Times New Roman" w:cs="Times New Roman"/>
          <w:vertAlign w:val="superscript"/>
        </w:rPr>
      </w:pPr>
    </w:p>
    <w:p w:rsidR="00305374" w:rsidRPr="00305374" w:rsidP="00305374" w14:paraId="074C0BD2" w14:textId="77777777">
      <w:pPr>
        <w:pStyle w:val="Caption"/>
        <w:jc w:val="center"/>
        <w:rPr>
          <w:rFonts w:ascii="Times New Roman" w:hAnsi="Times New Roman" w:cs="Times New Roman"/>
          <w:b/>
          <w:bCs/>
          <w:i w:val="0"/>
          <w:iCs w:val="0"/>
          <w:color w:val="auto"/>
          <w:sz w:val="22"/>
          <w:szCs w:val="22"/>
        </w:rPr>
      </w:pPr>
      <w:r w:rsidRPr="00305374">
        <w:rPr>
          <w:rFonts w:ascii="Times New Roman" w:hAnsi="Times New Roman" w:cs="Times New Roman"/>
          <w:b/>
          <w:bCs/>
          <w:i w:val="0"/>
          <w:iCs w:val="0"/>
          <w:color w:val="auto"/>
          <w:sz w:val="22"/>
          <w:szCs w:val="22"/>
        </w:rPr>
        <w:t xml:space="preserve">Exhibit </w:t>
      </w:r>
      <w:r w:rsidRPr="00305374">
        <w:rPr>
          <w:rFonts w:ascii="Times New Roman" w:eastAsia="Calibri" w:hAnsi="Times New Roman" w:cs="Times New Roman"/>
          <w:b/>
          <w:bCs/>
          <w:i w:val="0"/>
          <w:iCs w:val="0"/>
          <w:color w:val="auto"/>
          <w:sz w:val="22"/>
          <w:szCs w:val="22"/>
        </w:rPr>
        <w:t>3-4: Number of Facilities by Sector and Program Level (2020).</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6"/>
        <w:gridCol w:w="2801"/>
        <w:gridCol w:w="1056"/>
        <w:gridCol w:w="1094"/>
        <w:gridCol w:w="1018"/>
        <w:gridCol w:w="961"/>
      </w:tblGrid>
      <w:tr w14:paraId="485F08D9" w14:textId="77777777" w:rsidTr="00FA79AA">
        <w:tblPrEx>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90"/>
          <w:tblHeader/>
        </w:trPr>
        <w:tc>
          <w:tcPr>
            <w:tcW w:w="1561" w:type="pct"/>
            <w:shd w:val="clear" w:color="auto" w:fill="D9D9D9" w:themeFill="background1" w:themeFillShade="D9"/>
            <w:noWrap/>
            <w:vAlign w:val="center"/>
            <w:hideMark/>
          </w:tcPr>
          <w:p w:rsidR="00093C0A" w:rsidRPr="00D7128A" w:rsidP="008348D6" w14:paraId="0B6E3436" w14:textId="77777777">
            <w:pPr>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Sector</w:t>
            </w:r>
          </w:p>
        </w:tc>
        <w:tc>
          <w:tcPr>
            <w:tcW w:w="1390" w:type="pct"/>
            <w:shd w:val="clear" w:color="auto" w:fill="D9D9D9" w:themeFill="background1" w:themeFillShade="D9"/>
            <w:noWrap/>
            <w:vAlign w:val="center"/>
            <w:hideMark/>
          </w:tcPr>
          <w:p w:rsidR="00093C0A" w:rsidRPr="00D7128A" w:rsidP="008348D6" w14:paraId="1DD5A295" w14:textId="77777777">
            <w:pPr>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NAICS Codes</w:t>
            </w:r>
          </w:p>
        </w:tc>
        <w:tc>
          <w:tcPr>
            <w:tcW w:w="524" w:type="pct"/>
            <w:shd w:val="clear" w:color="auto" w:fill="D9D9D9" w:themeFill="background1" w:themeFillShade="D9"/>
            <w:noWrap/>
            <w:vAlign w:val="center"/>
            <w:hideMark/>
          </w:tcPr>
          <w:p w:rsidR="00093C0A" w:rsidRPr="00D7128A" w:rsidP="008348D6" w14:paraId="27CAF2FD" w14:textId="77777777">
            <w:pPr>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P1</w:t>
            </w:r>
          </w:p>
        </w:tc>
        <w:tc>
          <w:tcPr>
            <w:tcW w:w="543" w:type="pct"/>
            <w:shd w:val="clear" w:color="auto" w:fill="D9D9D9" w:themeFill="background1" w:themeFillShade="D9"/>
            <w:noWrap/>
            <w:vAlign w:val="center"/>
            <w:hideMark/>
          </w:tcPr>
          <w:p w:rsidR="00093C0A" w:rsidRPr="00D7128A" w:rsidP="008348D6" w14:paraId="2FD8AAFA" w14:textId="77777777">
            <w:pPr>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P2</w:t>
            </w:r>
          </w:p>
        </w:tc>
        <w:tc>
          <w:tcPr>
            <w:tcW w:w="505" w:type="pct"/>
            <w:shd w:val="clear" w:color="auto" w:fill="D9D9D9" w:themeFill="background1" w:themeFillShade="D9"/>
            <w:noWrap/>
            <w:vAlign w:val="center"/>
            <w:hideMark/>
          </w:tcPr>
          <w:p w:rsidR="00093C0A" w:rsidRPr="00D7128A" w:rsidP="008348D6" w14:paraId="26241535" w14:textId="77777777">
            <w:pPr>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P3</w:t>
            </w:r>
          </w:p>
        </w:tc>
        <w:tc>
          <w:tcPr>
            <w:tcW w:w="477" w:type="pct"/>
            <w:shd w:val="clear" w:color="auto" w:fill="D9D9D9" w:themeFill="background1" w:themeFillShade="D9"/>
            <w:noWrap/>
            <w:vAlign w:val="center"/>
            <w:hideMark/>
          </w:tcPr>
          <w:p w:rsidR="00093C0A" w:rsidRPr="00D7128A" w:rsidP="008348D6" w14:paraId="514E6AAB" w14:textId="77777777">
            <w:pPr>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Total</w:t>
            </w:r>
          </w:p>
        </w:tc>
      </w:tr>
      <w:tr w14:paraId="5A6EFD3F"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00E347CD"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Administration of environmental quality programs (i.e., governments)</w:t>
            </w:r>
          </w:p>
        </w:tc>
        <w:tc>
          <w:tcPr>
            <w:tcW w:w="1390" w:type="pct"/>
            <w:shd w:val="clear" w:color="auto" w:fill="auto"/>
            <w:noWrap/>
            <w:vAlign w:val="center"/>
            <w:hideMark/>
          </w:tcPr>
          <w:p w:rsidR="00093C0A" w:rsidRPr="00D7128A" w:rsidP="008348D6" w14:paraId="2A462438"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92</w:t>
            </w:r>
          </w:p>
        </w:tc>
        <w:tc>
          <w:tcPr>
            <w:tcW w:w="524" w:type="pct"/>
            <w:shd w:val="clear" w:color="auto" w:fill="auto"/>
            <w:noWrap/>
            <w:vAlign w:val="center"/>
            <w:hideMark/>
          </w:tcPr>
          <w:p w:rsidR="00093C0A" w:rsidRPr="00D7128A" w:rsidP="008348D6" w14:paraId="5FE83A48" w14:textId="77777777">
            <w:pPr>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3" w:type="pct"/>
            <w:shd w:val="clear" w:color="auto" w:fill="auto"/>
            <w:noWrap/>
            <w:vAlign w:val="center"/>
            <w:hideMark/>
          </w:tcPr>
          <w:p w:rsidR="00093C0A" w:rsidRPr="00D7128A" w:rsidP="008348D6" w14:paraId="6B10BB80" w14:textId="77777777">
            <w:pPr>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05" w:type="pct"/>
            <w:shd w:val="clear" w:color="auto" w:fill="auto"/>
            <w:noWrap/>
            <w:vAlign w:val="center"/>
            <w:hideMark/>
          </w:tcPr>
          <w:p w:rsidR="00093C0A" w:rsidRPr="00D7128A" w:rsidP="008348D6" w14:paraId="7BF60FD6" w14:textId="77777777">
            <w:pPr>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477" w:type="pct"/>
            <w:shd w:val="clear" w:color="auto" w:fill="auto"/>
            <w:noWrap/>
            <w:vAlign w:val="center"/>
            <w:hideMark/>
          </w:tcPr>
          <w:p w:rsidR="00093C0A" w:rsidRPr="00D7128A" w:rsidP="008348D6" w14:paraId="29CA8C24"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w:t>
            </w:r>
            <w:r w:rsidR="00273B2D">
              <w:rPr>
                <w:rFonts w:ascii="Times New Roman" w:hAnsi="Times New Roman" w:cs="Times New Roman"/>
                <w:color w:val="000000"/>
                <w:sz w:val="20"/>
                <w:szCs w:val="20"/>
              </w:rPr>
              <w:t>0</w:t>
            </w:r>
          </w:p>
        </w:tc>
      </w:tr>
      <w:tr w14:paraId="16415DEC" w14:textId="77777777" w:rsidTr="00FA79AA">
        <w:tblPrEx>
          <w:tblW w:w="5053" w:type="pct"/>
          <w:tblLayout w:type="fixed"/>
          <w:tblLook w:val="04A0"/>
        </w:tblPrEx>
        <w:trPr>
          <w:trHeight w:val="290"/>
        </w:trPr>
        <w:tc>
          <w:tcPr>
            <w:tcW w:w="1561" w:type="pct"/>
            <w:shd w:val="clear" w:color="auto" w:fill="auto"/>
            <w:noWrap/>
            <w:vAlign w:val="center"/>
          </w:tcPr>
          <w:p w:rsidR="00046078" w:rsidRPr="00D7128A" w:rsidP="008348D6" w14:paraId="6EF62E41" w14:textId="7777777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Water/sewage/other systems</w:t>
            </w:r>
            <w:r w:rsidR="00626239">
              <w:rPr>
                <w:rFonts w:ascii="Times New Roman" w:hAnsi="Times New Roman" w:cs="Times New Roman"/>
                <w:color w:val="000000"/>
                <w:sz w:val="20"/>
                <w:szCs w:val="20"/>
              </w:rPr>
              <w:t xml:space="preserve"> (i.e., government-owned water)</w:t>
            </w:r>
          </w:p>
        </w:tc>
        <w:tc>
          <w:tcPr>
            <w:tcW w:w="1390" w:type="pct"/>
            <w:shd w:val="clear" w:color="auto" w:fill="auto"/>
            <w:noWrap/>
            <w:vAlign w:val="center"/>
          </w:tcPr>
          <w:p w:rsidR="00046078" w:rsidRPr="00D7128A" w:rsidP="008348D6" w14:paraId="755961AE" w14:textId="7777777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2213 (Gov’t-owned)</w:t>
            </w:r>
          </w:p>
        </w:tc>
        <w:tc>
          <w:tcPr>
            <w:tcW w:w="524" w:type="pct"/>
            <w:shd w:val="clear" w:color="auto" w:fill="auto"/>
            <w:noWrap/>
            <w:vAlign w:val="center"/>
          </w:tcPr>
          <w:p w:rsidR="00046078" w:rsidRPr="00D7128A" w:rsidP="008348D6" w14:paraId="010549F9"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43" w:type="pct"/>
            <w:shd w:val="clear" w:color="auto" w:fill="auto"/>
            <w:noWrap/>
            <w:vAlign w:val="center"/>
          </w:tcPr>
          <w:p w:rsidR="00046078" w:rsidRPr="00D7128A" w:rsidP="008348D6" w14:paraId="42F38F60"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786</w:t>
            </w:r>
          </w:p>
        </w:tc>
        <w:tc>
          <w:tcPr>
            <w:tcW w:w="505" w:type="pct"/>
            <w:shd w:val="clear" w:color="auto" w:fill="auto"/>
            <w:noWrap/>
            <w:vAlign w:val="center"/>
          </w:tcPr>
          <w:p w:rsidR="00046078" w:rsidRPr="00D7128A" w:rsidP="008348D6" w14:paraId="14D03F61"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647</w:t>
            </w:r>
          </w:p>
        </w:tc>
        <w:tc>
          <w:tcPr>
            <w:tcW w:w="477" w:type="pct"/>
            <w:shd w:val="clear" w:color="auto" w:fill="auto"/>
            <w:noWrap/>
            <w:vAlign w:val="center"/>
          </w:tcPr>
          <w:p w:rsidR="00046078" w:rsidRPr="00D7128A" w:rsidP="008348D6" w14:paraId="141C2197"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1,439</w:t>
            </w:r>
          </w:p>
        </w:tc>
      </w:tr>
      <w:tr w14:paraId="4D74F95A"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64BCE5D2"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Agricultural chemical distributors/wholesalers</w:t>
            </w:r>
          </w:p>
        </w:tc>
        <w:tc>
          <w:tcPr>
            <w:tcW w:w="1390" w:type="pct"/>
            <w:shd w:val="clear" w:color="auto" w:fill="auto"/>
            <w:noWrap/>
            <w:vAlign w:val="center"/>
            <w:hideMark/>
          </w:tcPr>
          <w:p w:rsidR="00093C0A" w:rsidRPr="00D7128A" w:rsidP="008348D6" w14:paraId="3DC9A73E"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11, 424 (except 4246, 4247)</w:t>
            </w:r>
          </w:p>
        </w:tc>
        <w:tc>
          <w:tcPr>
            <w:tcW w:w="524" w:type="pct"/>
            <w:shd w:val="clear" w:color="auto" w:fill="auto"/>
            <w:noWrap/>
            <w:vAlign w:val="center"/>
            <w:hideMark/>
          </w:tcPr>
          <w:p w:rsidR="00093C0A" w:rsidRPr="00D7128A" w:rsidP="008348D6" w14:paraId="7C21DC52"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w:t>
            </w:r>
          </w:p>
        </w:tc>
        <w:tc>
          <w:tcPr>
            <w:tcW w:w="543" w:type="pct"/>
            <w:shd w:val="clear" w:color="auto" w:fill="auto"/>
            <w:noWrap/>
            <w:vAlign w:val="center"/>
            <w:hideMark/>
          </w:tcPr>
          <w:p w:rsidR="00093C0A" w:rsidRPr="00D7128A" w:rsidP="008348D6" w14:paraId="3A0E3E16"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2,635</w:t>
            </w:r>
          </w:p>
        </w:tc>
        <w:tc>
          <w:tcPr>
            <w:tcW w:w="505" w:type="pct"/>
            <w:shd w:val="clear" w:color="auto" w:fill="auto"/>
            <w:noWrap/>
            <w:vAlign w:val="center"/>
            <w:hideMark/>
          </w:tcPr>
          <w:p w:rsidR="00093C0A" w:rsidRPr="00D7128A" w:rsidP="008348D6" w14:paraId="4F70950D"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677</w:t>
            </w:r>
          </w:p>
        </w:tc>
        <w:tc>
          <w:tcPr>
            <w:tcW w:w="477" w:type="pct"/>
            <w:shd w:val="clear" w:color="auto" w:fill="auto"/>
            <w:noWrap/>
            <w:vAlign w:val="center"/>
            <w:hideMark/>
          </w:tcPr>
          <w:p w:rsidR="00093C0A" w:rsidRPr="00D7128A" w:rsidP="008348D6" w14:paraId="2D13035E"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3,315</w:t>
            </w:r>
          </w:p>
        </w:tc>
      </w:tr>
      <w:tr w14:paraId="780CE327"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1B8EC11F"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manufacturing</w:t>
            </w:r>
          </w:p>
        </w:tc>
        <w:tc>
          <w:tcPr>
            <w:tcW w:w="1390" w:type="pct"/>
            <w:shd w:val="clear" w:color="auto" w:fill="auto"/>
            <w:noWrap/>
            <w:vAlign w:val="center"/>
            <w:hideMark/>
          </w:tcPr>
          <w:p w:rsidR="00093C0A" w:rsidRPr="00D7128A" w:rsidP="008348D6" w14:paraId="4E938A6B"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325</w:t>
            </w:r>
          </w:p>
        </w:tc>
        <w:tc>
          <w:tcPr>
            <w:tcW w:w="524" w:type="pct"/>
            <w:shd w:val="clear" w:color="auto" w:fill="auto"/>
            <w:noWrap/>
            <w:vAlign w:val="center"/>
            <w:hideMark/>
          </w:tcPr>
          <w:p w:rsidR="00093C0A" w:rsidRPr="00D7128A" w:rsidP="008348D6" w14:paraId="0D3201A4"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54</w:t>
            </w:r>
          </w:p>
        </w:tc>
        <w:tc>
          <w:tcPr>
            <w:tcW w:w="543" w:type="pct"/>
            <w:shd w:val="clear" w:color="auto" w:fill="auto"/>
            <w:noWrap/>
            <w:vAlign w:val="center"/>
            <w:hideMark/>
          </w:tcPr>
          <w:p w:rsidR="00093C0A" w:rsidRPr="00D7128A" w:rsidP="008348D6" w14:paraId="5275B117"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63</w:t>
            </w:r>
          </w:p>
        </w:tc>
        <w:tc>
          <w:tcPr>
            <w:tcW w:w="505" w:type="pct"/>
            <w:shd w:val="clear" w:color="auto" w:fill="auto"/>
            <w:noWrap/>
            <w:vAlign w:val="center"/>
            <w:hideMark/>
          </w:tcPr>
          <w:p w:rsidR="00093C0A" w:rsidRPr="00D7128A" w:rsidP="008348D6" w14:paraId="0817A842"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1,385</w:t>
            </w:r>
          </w:p>
        </w:tc>
        <w:tc>
          <w:tcPr>
            <w:tcW w:w="477" w:type="pct"/>
            <w:shd w:val="clear" w:color="auto" w:fill="auto"/>
            <w:noWrap/>
            <w:vAlign w:val="center"/>
            <w:hideMark/>
          </w:tcPr>
          <w:p w:rsidR="00093C0A" w:rsidRPr="00D7128A" w:rsidP="008348D6" w14:paraId="0E9EAAD8"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1,502</w:t>
            </w:r>
          </w:p>
        </w:tc>
      </w:tr>
      <w:tr w14:paraId="3139A08E"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21734256"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wholesalers</w:t>
            </w:r>
          </w:p>
        </w:tc>
        <w:tc>
          <w:tcPr>
            <w:tcW w:w="1390" w:type="pct"/>
            <w:shd w:val="clear" w:color="auto" w:fill="auto"/>
            <w:noWrap/>
            <w:vAlign w:val="center"/>
            <w:hideMark/>
          </w:tcPr>
          <w:p w:rsidR="00093C0A" w:rsidRPr="00D7128A" w:rsidP="008348D6" w14:paraId="5DC497C2"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4246</w:t>
            </w:r>
          </w:p>
        </w:tc>
        <w:tc>
          <w:tcPr>
            <w:tcW w:w="524" w:type="pct"/>
            <w:shd w:val="clear" w:color="auto" w:fill="auto"/>
            <w:noWrap/>
            <w:vAlign w:val="center"/>
            <w:hideMark/>
          </w:tcPr>
          <w:p w:rsidR="00093C0A" w:rsidRPr="00D7128A" w:rsidP="008348D6" w14:paraId="59FEE85C"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8</w:t>
            </w:r>
          </w:p>
        </w:tc>
        <w:tc>
          <w:tcPr>
            <w:tcW w:w="543" w:type="pct"/>
            <w:shd w:val="clear" w:color="auto" w:fill="auto"/>
            <w:noWrap/>
            <w:vAlign w:val="center"/>
            <w:hideMark/>
          </w:tcPr>
          <w:p w:rsidR="00093C0A" w:rsidRPr="00D7128A" w:rsidP="008348D6" w14:paraId="2324E711"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86</w:t>
            </w:r>
          </w:p>
        </w:tc>
        <w:tc>
          <w:tcPr>
            <w:tcW w:w="505" w:type="pct"/>
            <w:shd w:val="clear" w:color="auto" w:fill="auto"/>
            <w:noWrap/>
            <w:vAlign w:val="center"/>
            <w:hideMark/>
          </w:tcPr>
          <w:p w:rsidR="00093C0A" w:rsidRPr="00D7128A" w:rsidP="008348D6" w14:paraId="59C14241"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223</w:t>
            </w:r>
          </w:p>
        </w:tc>
        <w:tc>
          <w:tcPr>
            <w:tcW w:w="477" w:type="pct"/>
            <w:shd w:val="clear" w:color="auto" w:fill="auto"/>
            <w:noWrap/>
            <w:vAlign w:val="center"/>
            <w:hideMark/>
          </w:tcPr>
          <w:p w:rsidR="00093C0A" w:rsidRPr="00D7128A" w:rsidP="008348D6" w14:paraId="6617919A"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317</w:t>
            </w:r>
          </w:p>
        </w:tc>
      </w:tr>
      <w:tr w14:paraId="53A4E9F9"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0AD138BD"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Food and beverage manufacturing</w:t>
            </w:r>
          </w:p>
        </w:tc>
        <w:tc>
          <w:tcPr>
            <w:tcW w:w="1390" w:type="pct"/>
            <w:shd w:val="clear" w:color="auto" w:fill="auto"/>
            <w:noWrap/>
            <w:vAlign w:val="center"/>
            <w:hideMark/>
          </w:tcPr>
          <w:p w:rsidR="00093C0A" w:rsidRPr="00D7128A" w:rsidP="008348D6" w14:paraId="177A5346"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311, 312</w:t>
            </w:r>
          </w:p>
        </w:tc>
        <w:tc>
          <w:tcPr>
            <w:tcW w:w="524" w:type="pct"/>
            <w:shd w:val="clear" w:color="auto" w:fill="auto"/>
            <w:noWrap/>
            <w:vAlign w:val="center"/>
            <w:hideMark/>
          </w:tcPr>
          <w:p w:rsidR="00093C0A" w:rsidRPr="00D7128A" w:rsidP="008348D6" w14:paraId="4AD96923"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w:t>
            </w:r>
          </w:p>
        </w:tc>
        <w:tc>
          <w:tcPr>
            <w:tcW w:w="543" w:type="pct"/>
            <w:shd w:val="clear" w:color="auto" w:fill="auto"/>
            <w:noWrap/>
            <w:vAlign w:val="center"/>
            <w:hideMark/>
          </w:tcPr>
          <w:p w:rsidR="00093C0A" w:rsidRPr="00D7128A" w:rsidP="008348D6" w14:paraId="11A35336"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w:t>
            </w:r>
          </w:p>
        </w:tc>
        <w:tc>
          <w:tcPr>
            <w:tcW w:w="505" w:type="pct"/>
            <w:shd w:val="clear" w:color="auto" w:fill="auto"/>
            <w:noWrap/>
            <w:vAlign w:val="center"/>
            <w:hideMark/>
          </w:tcPr>
          <w:p w:rsidR="00093C0A" w:rsidRPr="00D7128A" w:rsidP="008348D6" w14:paraId="41BBFCE2"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1,565</w:t>
            </w:r>
          </w:p>
        </w:tc>
        <w:tc>
          <w:tcPr>
            <w:tcW w:w="477" w:type="pct"/>
            <w:shd w:val="clear" w:color="auto" w:fill="auto"/>
            <w:noWrap/>
            <w:vAlign w:val="center"/>
            <w:hideMark/>
          </w:tcPr>
          <w:p w:rsidR="00093C0A" w:rsidRPr="00D7128A" w:rsidP="008348D6" w14:paraId="63E141C4"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1,571</w:t>
            </w:r>
          </w:p>
        </w:tc>
      </w:tr>
      <w:tr w14:paraId="61F08617"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78B0D344"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Oil and gas extraction</w:t>
            </w:r>
          </w:p>
        </w:tc>
        <w:tc>
          <w:tcPr>
            <w:tcW w:w="1390" w:type="pct"/>
            <w:shd w:val="clear" w:color="auto" w:fill="auto"/>
            <w:noWrap/>
            <w:vAlign w:val="center"/>
            <w:hideMark/>
          </w:tcPr>
          <w:p w:rsidR="00093C0A" w:rsidRPr="00D7128A" w:rsidP="008348D6" w14:paraId="32A5C16E"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211</w:t>
            </w:r>
          </w:p>
        </w:tc>
        <w:tc>
          <w:tcPr>
            <w:tcW w:w="524" w:type="pct"/>
            <w:shd w:val="clear" w:color="auto" w:fill="auto"/>
            <w:noWrap/>
            <w:vAlign w:val="center"/>
            <w:hideMark/>
          </w:tcPr>
          <w:p w:rsidR="00093C0A" w:rsidRPr="00D7128A" w:rsidP="008348D6" w14:paraId="1BFA57D4"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300</w:t>
            </w:r>
          </w:p>
        </w:tc>
        <w:tc>
          <w:tcPr>
            <w:tcW w:w="543" w:type="pct"/>
            <w:shd w:val="clear" w:color="auto" w:fill="auto"/>
            <w:noWrap/>
            <w:vAlign w:val="center"/>
            <w:hideMark/>
          </w:tcPr>
          <w:p w:rsidR="00093C0A" w:rsidRPr="00D7128A" w:rsidP="008348D6" w14:paraId="6E0822B3"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31</w:t>
            </w:r>
          </w:p>
        </w:tc>
        <w:tc>
          <w:tcPr>
            <w:tcW w:w="505" w:type="pct"/>
            <w:shd w:val="clear" w:color="auto" w:fill="auto"/>
            <w:noWrap/>
            <w:vAlign w:val="center"/>
            <w:hideMark/>
          </w:tcPr>
          <w:p w:rsidR="00093C0A" w:rsidRPr="00D7128A" w:rsidP="008348D6" w14:paraId="49282031"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388</w:t>
            </w:r>
          </w:p>
        </w:tc>
        <w:tc>
          <w:tcPr>
            <w:tcW w:w="477" w:type="pct"/>
            <w:shd w:val="clear" w:color="auto" w:fill="auto"/>
            <w:noWrap/>
            <w:vAlign w:val="center"/>
            <w:hideMark/>
          </w:tcPr>
          <w:p w:rsidR="00093C0A" w:rsidRPr="00D7128A" w:rsidP="008348D6" w14:paraId="2367D8AF"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719</w:t>
            </w:r>
          </w:p>
        </w:tc>
      </w:tr>
      <w:tr w14:paraId="7B585D8F"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63551C5C"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Other</w:t>
            </w:r>
          </w:p>
        </w:tc>
        <w:tc>
          <w:tcPr>
            <w:tcW w:w="1390" w:type="pct"/>
            <w:shd w:val="clear" w:color="auto" w:fill="auto"/>
            <w:noWrap/>
            <w:vAlign w:val="center"/>
            <w:hideMark/>
          </w:tcPr>
          <w:p w:rsidR="00093C0A" w:rsidRPr="00D7128A" w:rsidP="008348D6" w14:paraId="532DE6DD"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21, 23, 44, 45, 48, 491, 54, 55, 56, 61, 62, 71, 72, 81, 99</w:t>
            </w:r>
          </w:p>
        </w:tc>
        <w:tc>
          <w:tcPr>
            <w:tcW w:w="524" w:type="pct"/>
            <w:shd w:val="clear" w:color="auto" w:fill="auto"/>
            <w:noWrap/>
            <w:vAlign w:val="center"/>
            <w:hideMark/>
          </w:tcPr>
          <w:p w:rsidR="00093C0A" w:rsidRPr="00D7128A" w:rsidP="008348D6" w14:paraId="22FE8647"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55</w:t>
            </w:r>
          </w:p>
        </w:tc>
        <w:tc>
          <w:tcPr>
            <w:tcW w:w="543" w:type="pct"/>
            <w:shd w:val="clear" w:color="auto" w:fill="auto"/>
            <w:noWrap/>
            <w:vAlign w:val="center"/>
            <w:hideMark/>
          </w:tcPr>
          <w:p w:rsidR="00093C0A" w:rsidRPr="00D7128A" w:rsidP="008348D6" w14:paraId="19720B0A"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48</w:t>
            </w:r>
          </w:p>
        </w:tc>
        <w:tc>
          <w:tcPr>
            <w:tcW w:w="505" w:type="pct"/>
            <w:shd w:val="clear" w:color="auto" w:fill="auto"/>
            <w:noWrap/>
            <w:vAlign w:val="center"/>
            <w:hideMark/>
          </w:tcPr>
          <w:p w:rsidR="00093C0A" w:rsidRPr="00D7128A" w:rsidP="008348D6" w14:paraId="471E4FC8"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143</w:t>
            </w:r>
          </w:p>
        </w:tc>
        <w:tc>
          <w:tcPr>
            <w:tcW w:w="477" w:type="pct"/>
            <w:shd w:val="clear" w:color="auto" w:fill="auto"/>
            <w:noWrap/>
            <w:vAlign w:val="center"/>
            <w:hideMark/>
          </w:tcPr>
          <w:p w:rsidR="00093C0A" w:rsidRPr="00D7128A" w:rsidP="008348D6" w14:paraId="70E77AA1"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246</w:t>
            </w:r>
          </w:p>
        </w:tc>
      </w:tr>
      <w:tr w14:paraId="7793258F"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080A2685"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Other manufacturing</w:t>
            </w:r>
          </w:p>
        </w:tc>
        <w:tc>
          <w:tcPr>
            <w:tcW w:w="1390" w:type="pct"/>
            <w:shd w:val="clear" w:color="auto" w:fill="auto"/>
            <w:noWrap/>
            <w:vAlign w:val="center"/>
            <w:hideMark/>
          </w:tcPr>
          <w:p w:rsidR="00093C0A" w:rsidRPr="00D7128A" w:rsidP="008348D6" w14:paraId="087481A1"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313, 314, 315, 326, 327, 33</w:t>
            </w:r>
          </w:p>
        </w:tc>
        <w:tc>
          <w:tcPr>
            <w:tcW w:w="524" w:type="pct"/>
            <w:shd w:val="clear" w:color="auto" w:fill="auto"/>
            <w:noWrap/>
            <w:vAlign w:val="center"/>
            <w:hideMark/>
          </w:tcPr>
          <w:p w:rsidR="00093C0A" w:rsidRPr="00D7128A" w:rsidP="008348D6" w14:paraId="789DB1A3"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67</w:t>
            </w:r>
          </w:p>
        </w:tc>
        <w:tc>
          <w:tcPr>
            <w:tcW w:w="543" w:type="pct"/>
            <w:shd w:val="clear" w:color="auto" w:fill="auto"/>
            <w:noWrap/>
            <w:vAlign w:val="center"/>
            <w:hideMark/>
          </w:tcPr>
          <w:p w:rsidR="00093C0A" w:rsidRPr="00D7128A" w:rsidP="008348D6" w14:paraId="54B4A43D"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65</w:t>
            </w:r>
          </w:p>
        </w:tc>
        <w:tc>
          <w:tcPr>
            <w:tcW w:w="505" w:type="pct"/>
            <w:shd w:val="clear" w:color="auto" w:fill="auto"/>
            <w:noWrap/>
            <w:vAlign w:val="center"/>
            <w:hideMark/>
          </w:tcPr>
          <w:p w:rsidR="00093C0A" w:rsidRPr="00D7128A" w:rsidP="008348D6" w14:paraId="310D92E6"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243</w:t>
            </w:r>
          </w:p>
        </w:tc>
        <w:tc>
          <w:tcPr>
            <w:tcW w:w="477" w:type="pct"/>
            <w:shd w:val="clear" w:color="auto" w:fill="auto"/>
            <w:noWrap/>
            <w:vAlign w:val="center"/>
            <w:hideMark/>
          </w:tcPr>
          <w:p w:rsidR="00093C0A" w:rsidRPr="00D7128A" w:rsidP="008348D6" w14:paraId="70C95A1E"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375</w:t>
            </w:r>
          </w:p>
        </w:tc>
      </w:tr>
      <w:tr w14:paraId="68373771"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6314D81B"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Other wholesale</w:t>
            </w:r>
          </w:p>
        </w:tc>
        <w:tc>
          <w:tcPr>
            <w:tcW w:w="1390" w:type="pct"/>
            <w:shd w:val="clear" w:color="auto" w:fill="auto"/>
            <w:noWrap/>
            <w:vAlign w:val="center"/>
            <w:hideMark/>
          </w:tcPr>
          <w:p w:rsidR="00093C0A" w:rsidRPr="00D7128A" w:rsidP="008348D6" w14:paraId="31B37913"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421, 422, 423</w:t>
            </w:r>
          </w:p>
        </w:tc>
        <w:tc>
          <w:tcPr>
            <w:tcW w:w="524" w:type="pct"/>
            <w:shd w:val="clear" w:color="auto" w:fill="auto"/>
            <w:noWrap/>
            <w:vAlign w:val="center"/>
            <w:hideMark/>
          </w:tcPr>
          <w:p w:rsidR="00093C0A" w:rsidRPr="00D7128A" w:rsidP="008348D6" w14:paraId="4D388BA5"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4</w:t>
            </w:r>
          </w:p>
        </w:tc>
        <w:tc>
          <w:tcPr>
            <w:tcW w:w="543" w:type="pct"/>
            <w:shd w:val="clear" w:color="auto" w:fill="auto"/>
            <w:noWrap/>
            <w:vAlign w:val="center"/>
            <w:hideMark/>
          </w:tcPr>
          <w:p w:rsidR="00093C0A" w:rsidRPr="00D7128A" w:rsidP="008348D6" w14:paraId="0D520632"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26</w:t>
            </w:r>
          </w:p>
        </w:tc>
        <w:tc>
          <w:tcPr>
            <w:tcW w:w="505" w:type="pct"/>
            <w:shd w:val="clear" w:color="auto" w:fill="auto"/>
            <w:noWrap/>
            <w:vAlign w:val="center"/>
            <w:hideMark/>
          </w:tcPr>
          <w:p w:rsidR="00093C0A" w:rsidRPr="00D7128A" w:rsidP="008348D6" w14:paraId="1EC46A0F"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9</w:t>
            </w:r>
          </w:p>
        </w:tc>
        <w:tc>
          <w:tcPr>
            <w:tcW w:w="477" w:type="pct"/>
            <w:shd w:val="clear" w:color="auto" w:fill="auto"/>
            <w:noWrap/>
            <w:vAlign w:val="center"/>
            <w:hideMark/>
          </w:tcPr>
          <w:p w:rsidR="00093C0A" w:rsidRPr="00D7128A" w:rsidP="008348D6" w14:paraId="70257645"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39</w:t>
            </w:r>
          </w:p>
        </w:tc>
      </w:tr>
      <w:tr w14:paraId="38864B44"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2956C5FD"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Paper manufacturing</w:t>
            </w:r>
          </w:p>
        </w:tc>
        <w:tc>
          <w:tcPr>
            <w:tcW w:w="1390" w:type="pct"/>
            <w:shd w:val="clear" w:color="auto" w:fill="auto"/>
            <w:noWrap/>
            <w:vAlign w:val="center"/>
            <w:hideMark/>
          </w:tcPr>
          <w:p w:rsidR="00093C0A" w:rsidRPr="00D7128A" w:rsidP="008348D6" w14:paraId="00F64FE2"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321, 322</w:t>
            </w:r>
          </w:p>
        </w:tc>
        <w:tc>
          <w:tcPr>
            <w:tcW w:w="524" w:type="pct"/>
            <w:shd w:val="clear" w:color="auto" w:fill="auto"/>
            <w:noWrap/>
            <w:vAlign w:val="center"/>
            <w:hideMark/>
          </w:tcPr>
          <w:p w:rsidR="00093C0A" w:rsidRPr="00D7128A" w:rsidP="008348D6" w14:paraId="046343D5"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w:t>
            </w:r>
          </w:p>
        </w:tc>
        <w:tc>
          <w:tcPr>
            <w:tcW w:w="543" w:type="pct"/>
            <w:shd w:val="clear" w:color="auto" w:fill="auto"/>
            <w:noWrap/>
            <w:vAlign w:val="center"/>
            <w:hideMark/>
          </w:tcPr>
          <w:p w:rsidR="00093C0A" w:rsidRPr="00D7128A" w:rsidP="008348D6" w14:paraId="6F2DF4BB"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w:t>
            </w:r>
          </w:p>
        </w:tc>
        <w:tc>
          <w:tcPr>
            <w:tcW w:w="505" w:type="pct"/>
            <w:shd w:val="clear" w:color="auto" w:fill="auto"/>
            <w:noWrap/>
            <w:vAlign w:val="center"/>
            <w:hideMark/>
          </w:tcPr>
          <w:p w:rsidR="00093C0A" w:rsidRPr="00D7128A" w:rsidP="008348D6" w14:paraId="511291AB"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53</w:t>
            </w:r>
          </w:p>
        </w:tc>
        <w:tc>
          <w:tcPr>
            <w:tcW w:w="477" w:type="pct"/>
            <w:shd w:val="clear" w:color="auto" w:fill="auto"/>
            <w:noWrap/>
            <w:vAlign w:val="center"/>
            <w:hideMark/>
          </w:tcPr>
          <w:p w:rsidR="00093C0A" w:rsidRPr="00D7128A" w:rsidP="008348D6" w14:paraId="506B1EB8"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55</w:t>
            </w:r>
          </w:p>
        </w:tc>
      </w:tr>
      <w:tr w14:paraId="47E91786"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1302420D"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and coal products manufacturing</w:t>
            </w:r>
          </w:p>
        </w:tc>
        <w:tc>
          <w:tcPr>
            <w:tcW w:w="1390" w:type="pct"/>
            <w:shd w:val="clear" w:color="auto" w:fill="auto"/>
            <w:noWrap/>
            <w:vAlign w:val="center"/>
            <w:hideMark/>
          </w:tcPr>
          <w:p w:rsidR="00093C0A" w:rsidRPr="00D7128A" w:rsidP="008348D6" w14:paraId="58ACB819"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324</w:t>
            </w:r>
          </w:p>
        </w:tc>
        <w:tc>
          <w:tcPr>
            <w:tcW w:w="524" w:type="pct"/>
            <w:shd w:val="clear" w:color="auto" w:fill="auto"/>
            <w:noWrap/>
            <w:vAlign w:val="center"/>
            <w:hideMark/>
          </w:tcPr>
          <w:p w:rsidR="00093C0A" w:rsidRPr="00D7128A" w:rsidP="008348D6" w14:paraId="751F8CF1"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13</w:t>
            </w:r>
          </w:p>
        </w:tc>
        <w:tc>
          <w:tcPr>
            <w:tcW w:w="543" w:type="pct"/>
            <w:shd w:val="clear" w:color="auto" w:fill="auto"/>
            <w:noWrap/>
            <w:vAlign w:val="center"/>
            <w:hideMark/>
          </w:tcPr>
          <w:p w:rsidR="00093C0A" w:rsidRPr="00D7128A" w:rsidP="008348D6" w14:paraId="566EEF0A"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w:t>
            </w:r>
          </w:p>
        </w:tc>
        <w:tc>
          <w:tcPr>
            <w:tcW w:w="505" w:type="pct"/>
            <w:shd w:val="clear" w:color="auto" w:fill="auto"/>
            <w:noWrap/>
            <w:vAlign w:val="center"/>
            <w:hideMark/>
          </w:tcPr>
          <w:p w:rsidR="00093C0A" w:rsidRPr="00D7128A" w:rsidP="008348D6" w14:paraId="78D52547"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142</w:t>
            </w:r>
          </w:p>
        </w:tc>
        <w:tc>
          <w:tcPr>
            <w:tcW w:w="477" w:type="pct"/>
            <w:shd w:val="clear" w:color="auto" w:fill="auto"/>
            <w:noWrap/>
            <w:vAlign w:val="center"/>
            <w:hideMark/>
          </w:tcPr>
          <w:p w:rsidR="00093C0A" w:rsidRPr="00D7128A" w:rsidP="008348D6" w14:paraId="2403FC0C"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156</w:t>
            </w:r>
          </w:p>
        </w:tc>
      </w:tr>
      <w:tr w14:paraId="19428FF8"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54384E3D"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wholesalers</w:t>
            </w:r>
          </w:p>
        </w:tc>
        <w:tc>
          <w:tcPr>
            <w:tcW w:w="1390" w:type="pct"/>
            <w:shd w:val="clear" w:color="auto" w:fill="auto"/>
            <w:noWrap/>
            <w:vAlign w:val="center"/>
            <w:hideMark/>
          </w:tcPr>
          <w:p w:rsidR="00093C0A" w:rsidRPr="00D7128A" w:rsidP="008348D6" w14:paraId="0F1E5CD8"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4247</w:t>
            </w:r>
          </w:p>
        </w:tc>
        <w:tc>
          <w:tcPr>
            <w:tcW w:w="524" w:type="pct"/>
            <w:shd w:val="clear" w:color="auto" w:fill="auto"/>
            <w:noWrap/>
            <w:vAlign w:val="center"/>
            <w:hideMark/>
          </w:tcPr>
          <w:p w:rsidR="00093C0A" w:rsidRPr="00D7128A" w:rsidP="008348D6" w14:paraId="1ADC866A"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23</w:t>
            </w:r>
          </w:p>
        </w:tc>
        <w:tc>
          <w:tcPr>
            <w:tcW w:w="543" w:type="pct"/>
            <w:shd w:val="clear" w:color="auto" w:fill="auto"/>
            <w:noWrap/>
            <w:vAlign w:val="center"/>
            <w:hideMark/>
          </w:tcPr>
          <w:p w:rsidR="00093C0A" w:rsidRPr="00D7128A" w:rsidP="008348D6" w14:paraId="191D4FFA"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25</w:t>
            </w:r>
          </w:p>
        </w:tc>
        <w:tc>
          <w:tcPr>
            <w:tcW w:w="505" w:type="pct"/>
            <w:shd w:val="clear" w:color="auto" w:fill="auto"/>
            <w:noWrap/>
            <w:vAlign w:val="center"/>
            <w:hideMark/>
          </w:tcPr>
          <w:p w:rsidR="00093C0A" w:rsidRPr="00D7128A" w:rsidP="008348D6" w14:paraId="1491D788"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319</w:t>
            </w:r>
          </w:p>
        </w:tc>
        <w:tc>
          <w:tcPr>
            <w:tcW w:w="477" w:type="pct"/>
            <w:shd w:val="clear" w:color="auto" w:fill="auto"/>
            <w:noWrap/>
            <w:vAlign w:val="center"/>
            <w:hideMark/>
          </w:tcPr>
          <w:p w:rsidR="00093C0A" w:rsidRPr="00D7128A" w:rsidP="008348D6" w14:paraId="3A06283D"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367</w:t>
            </w:r>
          </w:p>
        </w:tc>
      </w:tr>
      <w:tr w14:paraId="72E4022D"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2999CE79"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Utilities/ Water</w:t>
            </w:r>
          </w:p>
        </w:tc>
        <w:tc>
          <w:tcPr>
            <w:tcW w:w="1390" w:type="pct"/>
            <w:shd w:val="clear" w:color="auto" w:fill="auto"/>
            <w:noWrap/>
            <w:vAlign w:val="center"/>
            <w:hideMark/>
          </w:tcPr>
          <w:p w:rsidR="00093C0A" w:rsidRPr="00D7128A" w:rsidP="008348D6" w14:paraId="0C92C656"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221 (non-</w:t>
            </w:r>
            <w:r w:rsidRPr="00D7128A">
              <w:rPr>
                <w:rFonts w:ascii="Times New Roman" w:eastAsia="Times New Roman" w:hAnsi="Times New Roman" w:cs="Times New Roman"/>
                <w:color w:val="000000"/>
                <w:sz w:val="20"/>
                <w:szCs w:val="20"/>
              </w:rPr>
              <w:t>Gov</w:t>
            </w:r>
            <w:r w:rsidRPr="00D7128A" w:rsidR="00A44B96">
              <w:rPr>
                <w:rFonts w:ascii="Times New Roman" w:eastAsia="Times New Roman" w:hAnsi="Times New Roman" w:cs="Times New Roman"/>
                <w:color w:val="000000"/>
                <w:sz w:val="20"/>
                <w:szCs w:val="20"/>
              </w:rPr>
              <w:t>’t-</w:t>
            </w:r>
            <w:r w:rsidRPr="00D7128A">
              <w:rPr>
                <w:rFonts w:ascii="Times New Roman" w:hAnsi="Times New Roman" w:cs="Times New Roman"/>
                <w:color w:val="000000"/>
                <w:sz w:val="20"/>
                <w:szCs w:val="20"/>
              </w:rPr>
              <w:t>owned water)</w:t>
            </w:r>
          </w:p>
        </w:tc>
        <w:tc>
          <w:tcPr>
            <w:tcW w:w="524" w:type="pct"/>
            <w:shd w:val="clear" w:color="auto" w:fill="auto"/>
            <w:noWrap/>
            <w:vAlign w:val="center"/>
            <w:hideMark/>
          </w:tcPr>
          <w:p w:rsidR="00093C0A" w:rsidRPr="00D7128A" w:rsidP="008348D6" w14:paraId="75CF8491" w14:textId="77777777">
            <w:pPr>
              <w:spacing w:after="0" w:line="240" w:lineRule="auto"/>
              <w:jc w:val="center"/>
              <w:rPr>
                <w:rFonts w:ascii="Times New Roman" w:hAnsi="Times New Roman" w:cs="Times New Roman"/>
                <w:color w:val="000000"/>
                <w:sz w:val="20"/>
                <w:szCs w:val="20"/>
              </w:rPr>
            </w:pPr>
            <w:r w:rsidRPr="00D7128A">
              <w:rPr>
                <w:rFonts w:ascii="Times New Roman" w:eastAsia="Times New Roman" w:hAnsi="Times New Roman" w:cs="Times New Roman"/>
                <w:color w:val="000000"/>
                <w:sz w:val="20"/>
                <w:szCs w:val="20"/>
              </w:rPr>
              <w:t>40</w:t>
            </w:r>
          </w:p>
        </w:tc>
        <w:tc>
          <w:tcPr>
            <w:tcW w:w="543" w:type="pct"/>
            <w:shd w:val="clear" w:color="auto" w:fill="auto"/>
            <w:noWrap/>
            <w:vAlign w:val="center"/>
            <w:hideMark/>
          </w:tcPr>
          <w:p w:rsidR="00093C0A" w:rsidRPr="00D7128A" w:rsidP="008348D6" w14:paraId="351D98C6" w14:textId="77777777">
            <w:pPr>
              <w:spacing w:after="0" w:line="240" w:lineRule="auto"/>
              <w:jc w:val="center"/>
              <w:rPr>
                <w:rFonts w:ascii="Times New Roman" w:hAnsi="Times New Roman" w:cs="Times New Roman"/>
                <w:color w:val="000000"/>
                <w:sz w:val="20"/>
                <w:szCs w:val="20"/>
              </w:rPr>
            </w:pPr>
            <w:r w:rsidRPr="00D7128A">
              <w:rPr>
                <w:rFonts w:ascii="Times New Roman" w:eastAsia="Times New Roman" w:hAnsi="Times New Roman" w:cs="Times New Roman"/>
                <w:color w:val="000000"/>
                <w:sz w:val="20"/>
                <w:szCs w:val="20"/>
              </w:rPr>
              <w:t>129</w:t>
            </w:r>
          </w:p>
        </w:tc>
        <w:tc>
          <w:tcPr>
            <w:tcW w:w="505" w:type="pct"/>
            <w:shd w:val="clear" w:color="auto" w:fill="auto"/>
            <w:noWrap/>
            <w:vAlign w:val="center"/>
            <w:hideMark/>
          </w:tcPr>
          <w:p w:rsidR="00093C0A" w:rsidRPr="00D7128A" w:rsidP="008348D6" w14:paraId="4B7AC590" w14:textId="77777777">
            <w:pPr>
              <w:spacing w:after="0" w:line="240" w:lineRule="auto"/>
              <w:jc w:val="center"/>
              <w:rPr>
                <w:rFonts w:ascii="Times New Roman" w:hAnsi="Times New Roman" w:cs="Times New Roman"/>
                <w:color w:val="000000"/>
                <w:sz w:val="20"/>
                <w:szCs w:val="20"/>
              </w:rPr>
            </w:pPr>
            <w:r w:rsidRPr="00D7128A">
              <w:rPr>
                <w:rFonts w:ascii="Times New Roman" w:eastAsia="Times New Roman" w:hAnsi="Times New Roman" w:cs="Times New Roman"/>
                <w:color w:val="000000"/>
                <w:sz w:val="20"/>
                <w:szCs w:val="20"/>
              </w:rPr>
              <w:t>350</w:t>
            </w:r>
          </w:p>
        </w:tc>
        <w:tc>
          <w:tcPr>
            <w:tcW w:w="477" w:type="pct"/>
            <w:shd w:val="clear" w:color="auto" w:fill="auto"/>
            <w:noWrap/>
            <w:vAlign w:val="center"/>
            <w:hideMark/>
          </w:tcPr>
          <w:p w:rsidR="00093C0A" w:rsidRPr="00D7128A" w:rsidP="008348D6" w14:paraId="3FF9F2CA" w14:textId="77777777">
            <w:pPr>
              <w:spacing w:after="0" w:line="240" w:lineRule="auto"/>
              <w:jc w:val="center"/>
              <w:rPr>
                <w:rFonts w:ascii="Times New Roman" w:hAnsi="Times New Roman" w:cs="Times New Roman"/>
                <w:color w:val="000000"/>
                <w:sz w:val="20"/>
                <w:szCs w:val="20"/>
              </w:rPr>
            </w:pPr>
            <w:r w:rsidRPr="00D7128A">
              <w:rPr>
                <w:rFonts w:ascii="Times New Roman" w:eastAsia="Times New Roman" w:hAnsi="Times New Roman" w:cs="Times New Roman"/>
                <w:color w:val="000000"/>
                <w:sz w:val="20"/>
                <w:szCs w:val="20"/>
              </w:rPr>
              <w:t>519</w:t>
            </w:r>
          </w:p>
        </w:tc>
      </w:tr>
      <w:tr w14:paraId="533C074F"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30346D89"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Warehousing and storage</w:t>
            </w:r>
          </w:p>
        </w:tc>
        <w:tc>
          <w:tcPr>
            <w:tcW w:w="1390" w:type="pct"/>
            <w:shd w:val="clear" w:color="auto" w:fill="auto"/>
            <w:noWrap/>
            <w:vAlign w:val="center"/>
            <w:hideMark/>
          </w:tcPr>
          <w:p w:rsidR="00093C0A" w:rsidRPr="00D7128A" w:rsidP="008348D6" w14:paraId="665AFDE7" w14:textId="77777777">
            <w:pPr>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493</w:t>
            </w:r>
          </w:p>
        </w:tc>
        <w:tc>
          <w:tcPr>
            <w:tcW w:w="524" w:type="pct"/>
            <w:shd w:val="clear" w:color="auto" w:fill="auto"/>
            <w:noWrap/>
            <w:vAlign w:val="center"/>
            <w:hideMark/>
          </w:tcPr>
          <w:p w:rsidR="00093C0A" w:rsidRPr="00D7128A" w:rsidP="008348D6" w14:paraId="4BCB7EA7"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79</w:t>
            </w:r>
          </w:p>
        </w:tc>
        <w:tc>
          <w:tcPr>
            <w:tcW w:w="543" w:type="pct"/>
            <w:shd w:val="clear" w:color="auto" w:fill="auto"/>
            <w:noWrap/>
            <w:vAlign w:val="center"/>
            <w:hideMark/>
          </w:tcPr>
          <w:p w:rsidR="00093C0A" w:rsidRPr="00D7128A" w:rsidP="008348D6" w14:paraId="58C6B08C"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75</w:t>
            </w:r>
          </w:p>
        </w:tc>
        <w:tc>
          <w:tcPr>
            <w:tcW w:w="505" w:type="pct"/>
            <w:shd w:val="clear" w:color="auto" w:fill="auto"/>
            <w:noWrap/>
            <w:vAlign w:val="center"/>
            <w:hideMark/>
          </w:tcPr>
          <w:p w:rsidR="00093C0A" w:rsidRPr="00D7128A" w:rsidP="008348D6" w14:paraId="596FC991"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956</w:t>
            </w:r>
          </w:p>
        </w:tc>
        <w:tc>
          <w:tcPr>
            <w:tcW w:w="477" w:type="pct"/>
            <w:shd w:val="clear" w:color="auto" w:fill="auto"/>
            <w:noWrap/>
            <w:vAlign w:val="center"/>
            <w:hideMark/>
          </w:tcPr>
          <w:p w:rsidR="00093C0A" w:rsidRPr="00D7128A" w:rsidP="008348D6" w14:paraId="3094B04B"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1,110</w:t>
            </w:r>
          </w:p>
        </w:tc>
      </w:tr>
      <w:tr w14:paraId="263B92FB" w14:textId="77777777" w:rsidTr="00FA79AA">
        <w:tblPrEx>
          <w:tblW w:w="5053" w:type="pct"/>
          <w:tblLayout w:type="fixed"/>
          <w:tblLook w:val="04A0"/>
        </w:tblPrEx>
        <w:trPr>
          <w:trHeight w:val="290"/>
        </w:trPr>
        <w:tc>
          <w:tcPr>
            <w:tcW w:w="1561" w:type="pct"/>
            <w:shd w:val="clear" w:color="auto" w:fill="auto"/>
            <w:noWrap/>
            <w:vAlign w:val="center"/>
            <w:hideMark/>
          </w:tcPr>
          <w:p w:rsidR="00093C0A" w:rsidRPr="00D7128A" w:rsidP="008348D6" w14:paraId="40F14847" w14:textId="77777777">
            <w:pPr>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Total</w:t>
            </w:r>
          </w:p>
        </w:tc>
        <w:tc>
          <w:tcPr>
            <w:tcW w:w="1390" w:type="pct"/>
            <w:shd w:val="clear" w:color="auto" w:fill="auto"/>
            <w:noWrap/>
            <w:vAlign w:val="center"/>
            <w:hideMark/>
          </w:tcPr>
          <w:p w:rsidR="00093C0A" w:rsidRPr="00D7128A" w:rsidP="008348D6" w14:paraId="036E98D3" w14:textId="77777777">
            <w:pPr>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All</w:t>
            </w:r>
          </w:p>
        </w:tc>
        <w:tc>
          <w:tcPr>
            <w:tcW w:w="524" w:type="pct"/>
            <w:shd w:val="clear" w:color="auto" w:fill="auto"/>
            <w:noWrap/>
            <w:vAlign w:val="center"/>
            <w:hideMark/>
          </w:tcPr>
          <w:p w:rsidR="00093C0A" w:rsidRPr="00D7128A" w:rsidP="008348D6" w14:paraId="44E97FA3" w14:textId="77777777">
            <w:pPr>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660</w:t>
            </w:r>
          </w:p>
        </w:tc>
        <w:tc>
          <w:tcPr>
            <w:tcW w:w="543" w:type="pct"/>
            <w:shd w:val="clear" w:color="auto" w:fill="auto"/>
            <w:noWrap/>
            <w:vAlign w:val="center"/>
            <w:hideMark/>
          </w:tcPr>
          <w:p w:rsidR="00093C0A" w:rsidRPr="00D7128A" w:rsidP="008348D6" w14:paraId="4CD277C4" w14:textId="77777777">
            <w:pPr>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3,975</w:t>
            </w:r>
          </w:p>
        </w:tc>
        <w:tc>
          <w:tcPr>
            <w:tcW w:w="505" w:type="pct"/>
            <w:shd w:val="clear" w:color="auto" w:fill="auto"/>
            <w:noWrap/>
            <w:vAlign w:val="center"/>
            <w:hideMark/>
          </w:tcPr>
          <w:p w:rsidR="00093C0A" w:rsidRPr="00D7128A" w:rsidP="008348D6" w14:paraId="41497517" w14:textId="77777777">
            <w:pPr>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7,105</w:t>
            </w:r>
          </w:p>
        </w:tc>
        <w:tc>
          <w:tcPr>
            <w:tcW w:w="477" w:type="pct"/>
            <w:shd w:val="clear" w:color="auto" w:fill="auto"/>
            <w:noWrap/>
            <w:vAlign w:val="center"/>
            <w:hideMark/>
          </w:tcPr>
          <w:p w:rsidR="00093C0A" w:rsidRPr="00D7128A" w:rsidP="008348D6" w14:paraId="3A1DD9DC" w14:textId="77777777">
            <w:pPr>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11,740</w:t>
            </w:r>
          </w:p>
        </w:tc>
      </w:tr>
    </w:tbl>
    <w:p w:rsidR="00531E24" w:rsidRPr="000F1E74" w:rsidP="00587204" w14:paraId="56827AA7" w14:textId="77777777">
      <w:pPr>
        <w:spacing w:after="0" w:line="240" w:lineRule="auto"/>
        <w:rPr>
          <w:rFonts w:ascii="Times New Roman" w:eastAsia="Calibri" w:hAnsi="Times New Roman" w:cs="Times New Roman"/>
          <w:b/>
          <w:sz w:val="18"/>
          <w:szCs w:val="18"/>
        </w:rPr>
      </w:pPr>
      <w:r w:rsidRPr="000F1E74">
        <w:rPr>
          <w:rFonts w:ascii="Times New Roman" w:eastAsia="Calibri" w:hAnsi="Times New Roman" w:cs="Times New Roman"/>
          <w:b/>
          <w:sz w:val="18"/>
          <w:szCs w:val="18"/>
        </w:rPr>
        <w:t>*</w:t>
      </w:r>
      <w:r w:rsidRPr="000F1E74">
        <w:rPr>
          <w:sz w:val="18"/>
          <w:szCs w:val="18"/>
        </w:rPr>
        <w:t xml:space="preserve"> </w:t>
      </w:r>
      <w:r w:rsidRPr="000F1E74">
        <w:rPr>
          <w:rFonts w:ascii="Times New Roman" w:eastAsia="Calibri" w:hAnsi="Times New Roman" w:cs="Times New Roman"/>
          <w:b/>
          <w:sz w:val="18"/>
          <w:szCs w:val="18"/>
        </w:rPr>
        <w:t xml:space="preserve">Publicly-owned water/wastewater treatment systems (NAICS 2213) are listed as government-owned water. Other government facilities (NAICS 92) are listed as governments. And privately-owned and operated systems (NAICS 2213) are listed under utilities/water (NAICS 221).  </w:t>
      </w:r>
    </w:p>
    <w:p w:rsidR="00F84666" w:rsidRPr="00587204" w:rsidP="00587204" w14:paraId="66A83FD8" w14:textId="77777777">
      <w:pPr>
        <w:spacing w:after="0" w:line="240" w:lineRule="auto"/>
        <w:rPr>
          <w:rFonts w:ascii="Times New Roman" w:eastAsia="Calibri" w:hAnsi="Times New Roman" w:cs="Times New Roman"/>
          <w:b/>
        </w:rPr>
      </w:pPr>
    </w:p>
    <w:p w:rsidR="00093C0A" w:rsidRPr="000F2705" w:rsidP="00590656" w14:paraId="5FA61FE0" w14:textId="77777777">
      <w:pPr>
        <w:pStyle w:val="Heading4"/>
        <w:rPr>
          <w:rFonts w:ascii="Times New Roman" w:hAnsi="Times New Roman" w:cs="Times New Roman"/>
          <w:color w:val="auto"/>
        </w:rPr>
      </w:pPr>
      <w:bookmarkStart w:id="95" w:name="_Toc141732916"/>
      <w:bookmarkStart w:id="96" w:name="_Toc141733127"/>
      <w:bookmarkStart w:id="97" w:name="_Toc142404031"/>
      <w:r w:rsidRPr="000F2705">
        <w:rPr>
          <w:rFonts w:ascii="Times New Roman" w:hAnsi="Times New Roman" w:cs="Times New Roman"/>
          <w:color w:val="auto"/>
        </w:rPr>
        <w:t>3.</w:t>
      </w:r>
      <w:r w:rsidRPr="000F2705" w:rsidR="00681F71">
        <w:rPr>
          <w:rFonts w:ascii="Times New Roman" w:hAnsi="Times New Roman" w:cs="Times New Roman"/>
          <w:color w:val="auto"/>
        </w:rPr>
        <w:t>1</w:t>
      </w:r>
      <w:r w:rsidRPr="000F2705">
        <w:rPr>
          <w:rFonts w:ascii="Times New Roman" w:hAnsi="Times New Roman" w:cs="Times New Roman"/>
          <w:color w:val="auto"/>
        </w:rPr>
        <w:t>.</w:t>
      </w:r>
      <w:r w:rsidRPr="000F2705" w:rsidR="00660FA6">
        <w:rPr>
          <w:rFonts w:ascii="Times New Roman" w:hAnsi="Times New Roman" w:cs="Times New Roman"/>
          <w:color w:val="auto"/>
        </w:rPr>
        <w:t>2.1</w:t>
      </w:r>
      <w:r w:rsidRPr="000F2705">
        <w:rPr>
          <w:rFonts w:ascii="Times New Roman" w:hAnsi="Times New Roman" w:cs="Times New Roman"/>
          <w:color w:val="auto"/>
        </w:rPr>
        <w:t xml:space="preserve"> Facilities Affected by the STAA Requirement</w:t>
      </w:r>
      <w:r w:rsidRPr="000F2705" w:rsidR="00B51D37">
        <w:rPr>
          <w:rFonts w:ascii="Times New Roman" w:hAnsi="Times New Roman" w:cs="Times New Roman"/>
          <w:color w:val="auto"/>
        </w:rPr>
        <w:t>s</w:t>
      </w:r>
      <w:bookmarkEnd w:id="95"/>
      <w:bookmarkEnd w:id="96"/>
      <w:bookmarkEnd w:id="97"/>
    </w:p>
    <w:p w:rsidR="00146C18" w:rsidP="00305374" w14:paraId="0321CF7C" w14:textId="77777777">
      <w:pPr>
        <w:pStyle w:val="CommentText"/>
        <w:spacing w:after="0"/>
        <w:ind w:firstLine="360"/>
        <w:rPr>
          <w:rFonts w:ascii="Times New Roman" w:hAnsi="Times New Roman" w:cs="Times New Roman"/>
          <w:sz w:val="22"/>
          <w:szCs w:val="22"/>
        </w:rPr>
      </w:pPr>
      <w:r>
        <w:rPr>
          <w:rFonts w:ascii="Times New Roman" w:eastAsia="Calibri" w:hAnsi="Times New Roman" w:cs="Times New Roman"/>
          <w:sz w:val="22"/>
          <w:szCs w:val="22"/>
        </w:rPr>
        <w:tab/>
      </w:r>
      <w:r w:rsidRPr="00587204" w:rsidR="00093C0A">
        <w:rPr>
          <w:rFonts w:ascii="Times New Roman" w:eastAsia="Calibri" w:hAnsi="Times New Roman" w:cs="Times New Roman"/>
          <w:sz w:val="22"/>
          <w:szCs w:val="22"/>
        </w:rPr>
        <w:t xml:space="preserve">Applicability of the provision </w:t>
      </w:r>
      <w:r w:rsidRPr="00587204" w:rsidR="006947BD">
        <w:rPr>
          <w:rFonts w:ascii="Times New Roman" w:eastAsia="Calibri" w:hAnsi="Times New Roman" w:cs="Times New Roman"/>
          <w:sz w:val="22"/>
          <w:szCs w:val="22"/>
        </w:rPr>
        <w:t xml:space="preserve">to conduct a </w:t>
      </w:r>
      <w:r w:rsidRPr="00587204" w:rsidR="00093C0A">
        <w:rPr>
          <w:rFonts w:ascii="Times New Roman" w:eastAsia="Calibri" w:hAnsi="Times New Roman" w:cs="Times New Roman"/>
          <w:sz w:val="22"/>
          <w:szCs w:val="22"/>
        </w:rPr>
        <w:t xml:space="preserve">STAA </w:t>
      </w:r>
      <w:r w:rsidRPr="00587204" w:rsidR="006947BD">
        <w:rPr>
          <w:rFonts w:ascii="Times New Roman" w:eastAsia="Calibri" w:hAnsi="Times New Roman" w:cs="Times New Roman"/>
          <w:sz w:val="22"/>
          <w:szCs w:val="22"/>
        </w:rPr>
        <w:t>as part of the PHA</w:t>
      </w:r>
      <w:r w:rsidRPr="00587204" w:rsidR="00093C0A">
        <w:rPr>
          <w:rFonts w:ascii="Times New Roman" w:eastAsia="Calibri" w:hAnsi="Times New Roman" w:cs="Times New Roman"/>
          <w:sz w:val="22"/>
          <w:szCs w:val="22"/>
        </w:rPr>
        <w:t xml:space="preserve"> is limited to processes in two sectors </w:t>
      </w:r>
      <w:r w:rsidRPr="00587204" w:rsidR="00E5488F">
        <w:rPr>
          <w:rFonts w:ascii="Times New Roman" w:eastAsia="Calibri" w:hAnsi="Times New Roman" w:cs="Times New Roman"/>
          <w:sz w:val="22"/>
          <w:szCs w:val="22"/>
        </w:rPr>
        <w:t>(NAICS 324 and 325)</w:t>
      </w:r>
      <w:r w:rsidR="00B2463D">
        <w:rPr>
          <w:rFonts w:ascii="Times New Roman" w:eastAsia="Calibri" w:hAnsi="Times New Roman" w:cs="Times New Roman"/>
          <w:sz w:val="22"/>
          <w:szCs w:val="22"/>
        </w:rPr>
        <w:t>. These sectors have</w:t>
      </w:r>
      <w:r w:rsidR="00540C59">
        <w:rPr>
          <w:rFonts w:ascii="Times New Roman" w:eastAsia="Calibri" w:hAnsi="Times New Roman" w:cs="Times New Roman"/>
          <w:sz w:val="22"/>
          <w:szCs w:val="22"/>
        </w:rPr>
        <w:t xml:space="preserve"> a history of </w:t>
      </w:r>
      <w:r w:rsidRPr="00587204" w:rsidR="00093C0A">
        <w:rPr>
          <w:rFonts w:ascii="Times New Roman" w:eastAsia="Calibri" w:hAnsi="Times New Roman" w:cs="Times New Roman"/>
          <w:sz w:val="22"/>
          <w:szCs w:val="22"/>
        </w:rPr>
        <w:t>a high frequency of accidental releases</w:t>
      </w:r>
      <w:r w:rsidR="004B3202">
        <w:rPr>
          <w:rFonts w:ascii="Times New Roman" w:eastAsia="Calibri" w:hAnsi="Times New Roman" w:cs="Times New Roman"/>
          <w:sz w:val="22"/>
          <w:szCs w:val="22"/>
        </w:rPr>
        <w:t xml:space="preserve"> and</w:t>
      </w:r>
      <w:r w:rsidRPr="00587204" w:rsidR="00093C0A">
        <w:rPr>
          <w:rFonts w:ascii="Times New Roman" w:eastAsia="Calibri" w:hAnsi="Times New Roman" w:cs="Times New Roman"/>
          <w:sz w:val="22"/>
          <w:szCs w:val="22"/>
        </w:rPr>
        <w:t xml:space="preserve"> were selected because they represent complex processes that accounted for 43</w:t>
      </w:r>
      <w:r w:rsidRPr="00587204" w:rsidR="00115223">
        <w:rPr>
          <w:rFonts w:ascii="Times New Roman" w:hAnsi="Times New Roman" w:cs="Times New Roman"/>
          <w:sz w:val="22"/>
          <w:szCs w:val="22"/>
        </w:rPr>
        <w:t xml:space="preserve"> percent</w:t>
      </w:r>
      <w:r w:rsidRPr="00587204" w:rsidR="00093C0A">
        <w:rPr>
          <w:rFonts w:ascii="Times New Roman" w:eastAsia="Calibri" w:hAnsi="Times New Roman" w:cs="Times New Roman"/>
          <w:sz w:val="22"/>
          <w:szCs w:val="22"/>
        </w:rPr>
        <w:t xml:space="preserve"> of all RMP</w:t>
      </w:r>
      <w:r w:rsidRPr="00587204" w:rsidR="003D0572">
        <w:rPr>
          <w:rFonts w:ascii="Times New Roman" w:eastAsia="Calibri" w:hAnsi="Times New Roman" w:cs="Times New Roman"/>
          <w:sz w:val="22"/>
          <w:szCs w:val="22"/>
        </w:rPr>
        <w:t>-</w:t>
      </w:r>
      <w:r w:rsidRPr="00587204" w:rsidR="00093C0A">
        <w:rPr>
          <w:rFonts w:ascii="Times New Roman" w:eastAsia="Calibri" w:hAnsi="Times New Roman" w:cs="Times New Roman"/>
          <w:sz w:val="22"/>
          <w:szCs w:val="22"/>
        </w:rPr>
        <w:t>reportable accidents from 2016 to 2020</w:t>
      </w:r>
      <w:r w:rsidRPr="00587204" w:rsidR="00413C7C">
        <w:rPr>
          <w:rFonts w:ascii="Times New Roman" w:eastAsia="Calibri" w:hAnsi="Times New Roman" w:cs="Times New Roman"/>
          <w:sz w:val="22"/>
          <w:szCs w:val="22"/>
        </w:rPr>
        <w:t>.</w:t>
      </w:r>
      <w:r>
        <w:rPr>
          <w:rStyle w:val="FootnoteReference"/>
          <w:rFonts w:ascii="Times New Roman" w:eastAsia="Calibri" w:hAnsi="Times New Roman" w:cs="Times New Roman"/>
          <w:sz w:val="22"/>
          <w:szCs w:val="22"/>
        </w:rPr>
        <w:footnoteReference w:id="29"/>
      </w:r>
      <w:r w:rsidRPr="00587204" w:rsidR="00093C0A">
        <w:rPr>
          <w:rFonts w:ascii="Times New Roman" w:eastAsia="Calibri" w:hAnsi="Times New Roman" w:cs="Times New Roman"/>
          <w:sz w:val="22"/>
          <w:szCs w:val="22"/>
        </w:rPr>
        <w:t xml:space="preserve"> </w:t>
      </w:r>
      <w:r w:rsidRPr="00587204" w:rsidR="00413C7C">
        <w:rPr>
          <w:rFonts w:ascii="Times New Roman" w:eastAsia="Calibri" w:hAnsi="Times New Roman" w:cs="Times New Roman"/>
          <w:sz w:val="22"/>
          <w:szCs w:val="22"/>
        </w:rPr>
        <w:t xml:space="preserve">These sectors </w:t>
      </w:r>
      <w:r w:rsidRPr="00587204" w:rsidR="001751D9">
        <w:rPr>
          <w:rFonts w:ascii="Times New Roman" w:eastAsia="Calibri" w:hAnsi="Times New Roman" w:cs="Times New Roman"/>
          <w:sz w:val="22"/>
          <w:szCs w:val="22"/>
        </w:rPr>
        <w:t>also</w:t>
      </w:r>
      <w:r w:rsidRPr="00587204" w:rsidR="00413C7C">
        <w:rPr>
          <w:rFonts w:ascii="Times New Roman" w:eastAsia="Calibri" w:hAnsi="Times New Roman" w:cs="Times New Roman"/>
          <w:sz w:val="22"/>
          <w:szCs w:val="22"/>
        </w:rPr>
        <w:t xml:space="preserve"> </w:t>
      </w:r>
      <w:r w:rsidR="00425CA7">
        <w:rPr>
          <w:rFonts w:ascii="Times New Roman" w:eastAsia="Calibri" w:hAnsi="Times New Roman" w:cs="Times New Roman"/>
          <w:sz w:val="22"/>
          <w:szCs w:val="22"/>
        </w:rPr>
        <w:t>have more</w:t>
      </w:r>
      <w:r w:rsidRPr="00587204" w:rsidR="001751D9">
        <w:rPr>
          <w:rFonts w:ascii="Times New Roman" w:hAnsi="Times New Roman" w:cs="Times New Roman"/>
          <w:sz w:val="22"/>
          <w:szCs w:val="22"/>
        </w:rPr>
        <w:t xml:space="preserve"> costly accidents</w:t>
      </w:r>
      <w:r w:rsidRPr="00587204" w:rsidR="00413C7C">
        <w:rPr>
          <w:rFonts w:ascii="Times New Roman" w:hAnsi="Times New Roman" w:cs="Times New Roman"/>
          <w:sz w:val="22"/>
          <w:szCs w:val="22"/>
        </w:rPr>
        <w:t xml:space="preserve"> relative to other sectors</w:t>
      </w:r>
      <w:r w:rsidR="00425CA7">
        <w:rPr>
          <w:rFonts w:ascii="Times New Roman" w:hAnsi="Times New Roman" w:cs="Times New Roman"/>
          <w:sz w:val="22"/>
          <w:szCs w:val="22"/>
        </w:rPr>
        <w:t>, amounting to about 80 percent of all accident costs from 2016 to 2020</w:t>
      </w:r>
      <w:r w:rsidRPr="00587204" w:rsidR="008A340A">
        <w:rPr>
          <w:rFonts w:ascii="Times New Roman" w:hAnsi="Times New Roman" w:cs="Times New Roman"/>
          <w:sz w:val="22"/>
          <w:szCs w:val="22"/>
        </w:rPr>
        <w:t>.</w:t>
      </w:r>
    </w:p>
    <w:p w:rsidR="006626C9" w:rsidRPr="00587204" w:rsidP="00305374" w14:paraId="43218C3B" w14:textId="77777777">
      <w:pPr>
        <w:pStyle w:val="CommentText"/>
        <w:spacing w:after="0"/>
        <w:ind w:firstLine="360"/>
        <w:rPr>
          <w:rFonts w:ascii="Times New Roman" w:hAnsi="Times New Roman" w:cs="Times New Roman"/>
          <w:sz w:val="22"/>
          <w:szCs w:val="22"/>
        </w:rPr>
      </w:pPr>
    </w:p>
    <w:p w:rsidR="0075226E" w:rsidP="0075226E" w14:paraId="790D9883" w14:textId="77777777">
      <w:pPr>
        <w:spacing w:after="0" w:line="240" w:lineRule="auto"/>
        <w:ind w:firstLine="360"/>
        <w:rPr>
          <w:rFonts w:ascii="Times New Roman" w:hAnsi="Times New Roman" w:cs="Times New Roman"/>
        </w:rPr>
      </w:pPr>
      <w:r>
        <w:rPr>
          <w:rFonts w:ascii="Times New Roman" w:eastAsia="Calibri" w:hAnsi="Times New Roman" w:cs="Times New Roman"/>
        </w:rPr>
        <w:tab/>
      </w:r>
      <w:r w:rsidRPr="00587204">
        <w:rPr>
          <w:rFonts w:ascii="Times New Roman" w:hAnsi="Times New Roman" w:cs="Times New Roman"/>
        </w:rPr>
        <w:t xml:space="preserve">STAA is generally a process </w:t>
      </w:r>
      <w:r w:rsidR="001C5D97">
        <w:rPr>
          <w:rFonts w:ascii="Times New Roman" w:hAnsi="Times New Roman" w:cs="Times New Roman"/>
        </w:rPr>
        <w:t>to</w:t>
      </w:r>
      <w:r w:rsidRPr="00587204">
        <w:rPr>
          <w:rFonts w:ascii="Times New Roman" w:hAnsi="Times New Roman" w:cs="Times New Roman"/>
        </w:rPr>
        <w:t xml:space="preserve"> analyze </w:t>
      </w:r>
      <w:r w:rsidR="001C5D97">
        <w:rPr>
          <w:rFonts w:ascii="Times New Roman" w:hAnsi="Times New Roman" w:cs="Times New Roman"/>
        </w:rPr>
        <w:t>a facility’s</w:t>
      </w:r>
      <w:r w:rsidRPr="00587204" w:rsidR="001C5D97">
        <w:rPr>
          <w:rFonts w:ascii="Times New Roman" w:hAnsi="Times New Roman" w:cs="Times New Roman"/>
        </w:rPr>
        <w:t xml:space="preserve"> </w:t>
      </w:r>
      <w:r w:rsidRPr="00587204">
        <w:rPr>
          <w:rFonts w:ascii="Times New Roman" w:hAnsi="Times New Roman" w:cs="Times New Roman"/>
        </w:rPr>
        <w:t>current processes and practices to identify safer alternatives to the current process operations. Th</w:t>
      </w:r>
      <w:r w:rsidR="006B7FD2">
        <w:rPr>
          <w:rFonts w:ascii="Times New Roman" w:hAnsi="Times New Roman" w:cs="Times New Roman"/>
        </w:rPr>
        <w:t>ese</w:t>
      </w:r>
      <w:r w:rsidRPr="00587204">
        <w:rPr>
          <w:rFonts w:ascii="Times New Roman" w:hAnsi="Times New Roman" w:cs="Times New Roman"/>
        </w:rPr>
        <w:t xml:space="preserve"> can range from small changes – such as upgrading valves – to large shifts such as substituting less toxic or volatile chemicals. Application of STAA for the </w:t>
      </w:r>
      <w:r w:rsidR="00686ED9">
        <w:rPr>
          <w:rFonts w:ascii="Times New Roman" w:hAnsi="Times New Roman" w:cs="Times New Roman"/>
        </w:rPr>
        <w:t>final</w:t>
      </w:r>
      <w:r w:rsidRPr="00587204">
        <w:rPr>
          <w:rFonts w:ascii="Times New Roman" w:hAnsi="Times New Roman" w:cs="Times New Roman"/>
        </w:rPr>
        <w:t xml:space="preserve"> rule is divided into </w:t>
      </w:r>
      <w:r w:rsidR="00FE6A79">
        <w:rPr>
          <w:rFonts w:ascii="Times New Roman" w:hAnsi="Times New Roman" w:cs="Times New Roman"/>
        </w:rPr>
        <w:t>t</w:t>
      </w:r>
      <w:r w:rsidR="00FD40D0">
        <w:rPr>
          <w:rFonts w:ascii="Times New Roman" w:hAnsi="Times New Roman" w:cs="Times New Roman"/>
        </w:rPr>
        <w:t>hree</w:t>
      </w:r>
      <w:r w:rsidRPr="00587204">
        <w:rPr>
          <w:rFonts w:ascii="Times New Roman" w:hAnsi="Times New Roman" w:cs="Times New Roman"/>
        </w:rPr>
        <w:t xml:space="preserve"> activities,</w:t>
      </w:r>
      <w:r w:rsidR="00FD40D0">
        <w:rPr>
          <w:rFonts w:ascii="Times New Roman" w:hAnsi="Times New Roman" w:cs="Times New Roman"/>
        </w:rPr>
        <w:t xml:space="preserve"> </w:t>
      </w:r>
      <w:r w:rsidR="00FE6A79">
        <w:rPr>
          <w:rFonts w:ascii="Times New Roman" w:hAnsi="Times New Roman" w:cs="Times New Roman"/>
        </w:rPr>
        <w:t>two</w:t>
      </w:r>
      <w:r w:rsidRPr="00587204">
        <w:rPr>
          <w:rFonts w:ascii="Times New Roman" w:hAnsi="Times New Roman" w:cs="Times New Roman"/>
        </w:rPr>
        <w:t xml:space="preserve"> </w:t>
      </w:r>
      <w:r w:rsidR="00FD40D0">
        <w:rPr>
          <w:rFonts w:ascii="Times New Roman" w:hAnsi="Times New Roman" w:cs="Times New Roman"/>
        </w:rPr>
        <w:t>of which are</w:t>
      </w:r>
      <w:r w:rsidRPr="00587204">
        <w:rPr>
          <w:rFonts w:ascii="Times New Roman" w:hAnsi="Times New Roman" w:cs="Times New Roman"/>
        </w:rPr>
        <w:t xml:space="preserve"> consistent with prior EPA rulemakings involving STAA (</w:t>
      </w:r>
      <w:r>
        <w:rPr>
          <w:rFonts w:ascii="Times New Roman" w:hAnsi="Times New Roman" w:cs="Times New Roman"/>
        </w:rPr>
        <w:t>2017 a</w:t>
      </w:r>
      <w:r w:rsidRPr="00587204">
        <w:rPr>
          <w:rFonts w:ascii="Times New Roman" w:hAnsi="Times New Roman" w:cs="Times New Roman"/>
        </w:rPr>
        <w:t xml:space="preserve">mendments rule and </w:t>
      </w:r>
      <w:r>
        <w:rPr>
          <w:rFonts w:ascii="Times New Roman" w:hAnsi="Times New Roman" w:cs="Times New Roman"/>
        </w:rPr>
        <w:t>2019 r</w:t>
      </w:r>
      <w:r w:rsidRPr="00587204">
        <w:rPr>
          <w:rFonts w:ascii="Times New Roman" w:hAnsi="Times New Roman" w:cs="Times New Roman"/>
        </w:rPr>
        <w:t>econsideration rule):</w:t>
      </w:r>
      <w:r>
        <w:rPr>
          <w:rFonts w:ascii="Times New Roman" w:hAnsi="Times New Roman" w:cs="Times New Roman"/>
        </w:rPr>
        <w:t xml:space="preserve"> the </w:t>
      </w:r>
      <w:r w:rsidR="00E25B3A">
        <w:rPr>
          <w:rFonts w:ascii="Times New Roman" w:hAnsi="Times New Roman" w:cs="Times New Roman"/>
        </w:rPr>
        <w:t>initial evaluation</w:t>
      </w:r>
      <w:r>
        <w:rPr>
          <w:rFonts w:ascii="Times New Roman" w:hAnsi="Times New Roman" w:cs="Times New Roman"/>
        </w:rPr>
        <w:t xml:space="preserve"> to identify alternatives</w:t>
      </w:r>
      <w:r w:rsidR="00FE6A79">
        <w:rPr>
          <w:rFonts w:ascii="Times New Roman" w:hAnsi="Times New Roman" w:cs="Times New Roman"/>
        </w:rPr>
        <w:t xml:space="preserve"> and</w:t>
      </w:r>
      <w:r>
        <w:rPr>
          <w:rFonts w:ascii="Times New Roman" w:hAnsi="Times New Roman" w:cs="Times New Roman"/>
        </w:rPr>
        <w:t xml:space="preserve"> a </w:t>
      </w:r>
      <w:r w:rsidR="00E25B3A">
        <w:rPr>
          <w:rFonts w:ascii="Times New Roman" w:hAnsi="Times New Roman" w:cs="Times New Roman"/>
        </w:rPr>
        <w:t>practicability assessment</w:t>
      </w:r>
      <w:r>
        <w:rPr>
          <w:rFonts w:ascii="Times New Roman" w:hAnsi="Times New Roman" w:cs="Times New Roman"/>
        </w:rPr>
        <w:t xml:space="preserve"> to determine the costs and assess the reasonableness of implementing the change in light of other costs and programs</w:t>
      </w:r>
      <w:r w:rsidR="00FE6A79">
        <w:rPr>
          <w:rFonts w:ascii="Times New Roman" w:hAnsi="Times New Roman" w:cs="Times New Roman"/>
        </w:rPr>
        <w:t xml:space="preserve">. </w:t>
      </w:r>
      <w:r w:rsidR="000671C7">
        <w:rPr>
          <w:rFonts w:ascii="Times New Roman" w:hAnsi="Times New Roman" w:cs="Times New Roman"/>
        </w:rPr>
        <w:t>T</w:t>
      </w:r>
      <w:r w:rsidR="00FE6A79">
        <w:rPr>
          <w:rFonts w:ascii="Times New Roman" w:hAnsi="Times New Roman" w:cs="Times New Roman"/>
        </w:rPr>
        <w:t>his final rule adds a third activity related to the implementation of measures identified from the STAA.</w:t>
      </w:r>
      <w:r>
        <w:rPr>
          <w:rFonts w:ascii="Times New Roman" w:hAnsi="Times New Roman" w:cs="Times New Roman"/>
        </w:rPr>
        <w:t xml:space="preserve"> </w:t>
      </w:r>
    </w:p>
    <w:p w:rsidR="0075226E" w:rsidP="0075226E" w14:paraId="19A0CBB5" w14:textId="77777777">
      <w:pPr>
        <w:spacing w:after="0" w:line="240" w:lineRule="auto"/>
        <w:ind w:firstLine="360"/>
        <w:rPr>
          <w:rFonts w:ascii="Times New Roman" w:hAnsi="Times New Roman" w:cs="Times New Roman"/>
        </w:rPr>
      </w:pPr>
    </w:p>
    <w:p w:rsidR="00093C0A" w:rsidRPr="00587204" w:rsidP="00112E87" w14:paraId="48B3AACE" w14:textId="77777777">
      <w:pPr>
        <w:pStyle w:val="CommentText"/>
        <w:spacing w:after="0"/>
        <w:ind w:firstLine="720"/>
        <w:rPr>
          <w:rFonts w:ascii="Times New Roman" w:eastAsia="Calibri" w:hAnsi="Times New Roman" w:cs="Times New Roman"/>
          <w:sz w:val="22"/>
          <w:szCs w:val="22"/>
        </w:rPr>
      </w:pPr>
      <w:r w:rsidRPr="00587204">
        <w:rPr>
          <w:rFonts w:ascii="Times New Roman" w:eastAsia="Calibri" w:hAnsi="Times New Roman" w:cs="Times New Roman"/>
          <w:sz w:val="22"/>
          <w:szCs w:val="22"/>
        </w:rPr>
        <w:t xml:space="preserve">The </w:t>
      </w:r>
      <w:r w:rsidR="0005173F">
        <w:rPr>
          <w:rFonts w:ascii="Times New Roman" w:eastAsia="Calibri" w:hAnsi="Times New Roman" w:cs="Times New Roman"/>
          <w:sz w:val="22"/>
          <w:szCs w:val="22"/>
        </w:rPr>
        <w:t xml:space="preserve">requirement to conduct the </w:t>
      </w:r>
      <w:r w:rsidR="00E25B3A">
        <w:rPr>
          <w:rFonts w:ascii="Times New Roman" w:eastAsia="Calibri" w:hAnsi="Times New Roman" w:cs="Times New Roman"/>
          <w:sz w:val="22"/>
          <w:szCs w:val="22"/>
        </w:rPr>
        <w:t>initial evaluation</w:t>
      </w:r>
      <w:r w:rsidR="0005173F">
        <w:rPr>
          <w:rFonts w:ascii="Times New Roman" w:eastAsia="Calibri" w:hAnsi="Times New Roman" w:cs="Times New Roman"/>
          <w:sz w:val="22"/>
          <w:szCs w:val="22"/>
        </w:rPr>
        <w:t xml:space="preserve"> of the </w:t>
      </w:r>
      <w:r w:rsidR="007E0E79">
        <w:rPr>
          <w:rFonts w:ascii="Times New Roman" w:eastAsia="Calibri" w:hAnsi="Times New Roman" w:cs="Times New Roman"/>
          <w:sz w:val="22"/>
          <w:szCs w:val="22"/>
        </w:rPr>
        <w:t>STAA</w:t>
      </w:r>
      <w:r w:rsidRPr="00587204">
        <w:rPr>
          <w:rFonts w:ascii="Times New Roman" w:eastAsia="Calibri" w:hAnsi="Times New Roman" w:cs="Times New Roman"/>
          <w:sz w:val="22"/>
          <w:szCs w:val="22"/>
        </w:rPr>
        <w:t xml:space="preserve"> </w:t>
      </w:r>
      <w:r w:rsidRPr="00587204" w:rsidR="00C507E6">
        <w:rPr>
          <w:rFonts w:ascii="Times New Roman" w:eastAsia="Calibri" w:hAnsi="Times New Roman" w:cs="Times New Roman"/>
          <w:sz w:val="22"/>
          <w:szCs w:val="22"/>
        </w:rPr>
        <w:t xml:space="preserve">applies to </w:t>
      </w:r>
      <w:r w:rsidR="00A67498">
        <w:rPr>
          <w:rFonts w:ascii="Times New Roman" w:eastAsia="Calibri" w:hAnsi="Times New Roman" w:cs="Times New Roman"/>
          <w:sz w:val="22"/>
          <w:szCs w:val="22"/>
        </w:rPr>
        <w:t xml:space="preserve">all </w:t>
      </w:r>
      <w:r w:rsidRPr="00587204" w:rsidR="00413C7C">
        <w:rPr>
          <w:rFonts w:ascii="Times New Roman" w:eastAsia="Calibri" w:hAnsi="Times New Roman" w:cs="Times New Roman"/>
          <w:sz w:val="22"/>
          <w:szCs w:val="22"/>
        </w:rPr>
        <w:t>Program 3</w:t>
      </w:r>
      <w:r w:rsidRPr="00587204">
        <w:rPr>
          <w:rFonts w:ascii="Times New Roman" w:eastAsia="Calibri" w:hAnsi="Times New Roman" w:cs="Times New Roman"/>
          <w:sz w:val="22"/>
          <w:szCs w:val="22"/>
        </w:rPr>
        <w:t xml:space="preserve"> facilities with</w:t>
      </w:r>
      <w:r w:rsidRPr="00587204" w:rsidR="00B63AF4">
        <w:rPr>
          <w:rFonts w:ascii="Times New Roman" w:eastAsia="Calibri" w:hAnsi="Times New Roman" w:cs="Times New Roman"/>
          <w:sz w:val="22"/>
          <w:szCs w:val="22"/>
        </w:rPr>
        <w:t xml:space="preserve"> processes in NAICS 324 and 325</w:t>
      </w:r>
      <w:r w:rsidRPr="00587204" w:rsidR="006947BD">
        <w:rPr>
          <w:rFonts w:ascii="Times New Roman" w:eastAsia="Calibri" w:hAnsi="Times New Roman" w:cs="Times New Roman"/>
          <w:sz w:val="22"/>
          <w:szCs w:val="22"/>
        </w:rPr>
        <w:t>.</w:t>
      </w:r>
      <w:r w:rsidR="006626C9">
        <w:rPr>
          <w:rFonts w:ascii="Times New Roman" w:eastAsia="Calibri" w:hAnsi="Times New Roman" w:cs="Times New Roman"/>
          <w:sz w:val="22"/>
          <w:szCs w:val="22"/>
        </w:rPr>
        <w:t xml:space="preserve"> </w:t>
      </w:r>
      <w:r w:rsidR="00F869ED">
        <w:rPr>
          <w:rFonts w:ascii="Times New Roman" w:eastAsia="Calibri" w:hAnsi="Times New Roman" w:cs="Times New Roman"/>
          <w:sz w:val="22"/>
          <w:szCs w:val="22"/>
        </w:rPr>
        <w:t xml:space="preserve">This is an increase in the facilities affected by this provision from the </w:t>
      </w:r>
      <w:r w:rsidRPr="003E02D4" w:rsidR="00D32ADF">
        <w:rPr>
          <w:rFonts w:ascii="Times New Roman" w:eastAsia="Calibri" w:hAnsi="Times New Roman" w:cs="Times New Roman"/>
          <w:sz w:val="22"/>
          <w:szCs w:val="22"/>
        </w:rPr>
        <w:t>propose</w:t>
      </w:r>
      <w:r w:rsidRPr="00EA125A" w:rsidR="00F869ED">
        <w:rPr>
          <w:rFonts w:ascii="Times New Roman" w:eastAsia="Calibri" w:hAnsi="Times New Roman" w:cs="Times New Roman"/>
          <w:sz w:val="22"/>
          <w:szCs w:val="22"/>
        </w:rPr>
        <w:t>d</w:t>
      </w:r>
      <w:r w:rsidR="00F869ED">
        <w:rPr>
          <w:rFonts w:ascii="Times New Roman" w:eastAsia="Calibri" w:hAnsi="Times New Roman" w:cs="Times New Roman"/>
          <w:sz w:val="22"/>
          <w:szCs w:val="22"/>
        </w:rPr>
        <w:t xml:space="preserve"> rule which </w:t>
      </w:r>
      <w:r w:rsidR="004B1B20">
        <w:rPr>
          <w:rFonts w:ascii="Times New Roman" w:eastAsia="Calibri" w:hAnsi="Times New Roman" w:cs="Times New Roman"/>
          <w:sz w:val="22"/>
          <w:szCs w:val="22"/>
        </w:rPr>
        <w:t>proposed requiring</w:t>
      </w:r>
      <w:r w:rsidR="00B71431">
        <w:rPr>
          <w:rFonts w:ascii="Times New Roman" w:eastAsia="Calibri" w:hAnsi="Times New Roman" w:cs="Times New Roman"/>
          <w:sz w:val="22"/>
          <w:szCs w:val="22"/>
        </w:rPr>
        <w:t xml:space="preserve"> an initial </w:t>
      </w:r>
      <w:r w:rsidR="006F403D">
        <w:rPr>
          <w:rFonts w:ascii="Times New Roman" w:eastAsia="Calibri" w:hAnsi="Times New Roman" w:cs="Times New Roman"/>
          <w:sz w:val="22"/>
          <w:szCs w:val="22"/>
        </w:rPr>
        <w:t>evaluation only</w:t>
      </w:r>
      <w:r w:rsidR="00B71431">
        <w:rPr>
          <w:rFonts w:ascii="Times New Roman" w:eastAsia="Calibri" w:hAnsi="Times New Roman" w:cs="Times New Roman"/>
          <w:sz w:val="22"/>
          <w:szCs w:val="22"/>
        </w:rPr>
        <w:t xml:space="preserve"> </w:t>
      </w:r>
      <w:r w:rsidR="004D7BE5">
        <w:rPr>
          <w:rFonts w:ascii="Times New Roman" w:eastAsia="Calibri" w:hAnsi="Times New Roman" w:cs="Times New Roman"/>
          <w:sz w:val="22"/>
          <w:szCs w:val="22"/>
        </w:rPr>
        <w:t>of</w:t>
      </w:r>
      <w:r w:rsidRPr="00F869ED" w:rsidR="00F869ED">
        <w:rPr>
          <w:rFonts w:ascii="Times New Roman" w:eastAsia="Calibri" w:hAnsi="Times New Roman" w:cs="Times New Roman"/>
          <w:sz w:val="22"/>
          <w:szCs w:val="22"/>
        </w:rPr>
        <w:t xml:space="preserve"> facilities with Program 3 regulated processes in NAICS</w:t>
      </w:r>
      <w:r w:rsidR="00F869ED">
        <w:rPr>
          <w:rFonts w:ascii="Times New Roman" w:eastAsia="Calibri" w:hAnsi="Times New Roman" w:cs="Times New Roman"/>
          <w:sz w:val="22"/>
          <w:szCs w:val="22"/>
        </w:rPr>
        <w:t xml:space="preserve"> </w:t>
      </w:r>
      <w:r w:rsidRPr="00F869ED" w:rsidR="00F869ED">
        <w:rPr>
          <w:rFonts w:ascii="Times New Roman" w:eastAsia="Calibri" w:hAnsi="Times New Roman" w:cs="Times New Roman"/>
          <w:sz w:val="22"/>
          <w:szCs w:val="22"/>
        </w:rPr>
        <w:t>324 (petroleum and coal products manufacturing) and 325 (chemical manufacturing) located within one mile of</w:t>
      </w:r>
      <w:r w:rsidR="00F869ED">
        <w:rPr>
          <w:rFonts w:ascii="Times New Roman" w:eastAsia="Calibri" w:hAnsi="Times New Roman" w:cs="Times New Roman"/>
          <w:sz w:val="22"/>
          <w:szCs w:val="22"/>
        </w:rPr>
        <w:t xml:space="preserve"> </w:t>
      </w:r>
      <w:r w:rsidRPr="00F869ED" w:rsidR="00F869ED">
        <w:rPr>
          <w:rFonts w:ascii="Times New Roman" w:eastAsia="Calibri" w:hAnsi="Times New Roman" w:cs="Times New Roman"/>
          <w:sz w:val="22"/>
          <w:szCs w:val="22"/>
        </w:rPr>
        <w:t>another RMP-regulated facility process in NAICS 324 and 325, and all regulated facilities in NAICS 324 using</w:t>
      </w:r>
      <w:r w:rsidR="00F869ED">
        <w:rPr>
          <w:rFonts w:ascii="Times New Roman" w:eastAsia="Calibri" w:hAnsi="Times New Roman" w:cs="Times New Roman"/>
          <w:sz w:val="22"/>
          <w:szCs w:val="22"/>
        </w:rPr>
        <w:t xml:space="preserve"> </w:t>
      </w:r>
      <w:r w:rsidRPr="00F869ED" w:rsidR="00F869ED">
        <w:rPr>
          <w:rFonts w:ascii="Times New Roman" w:eastAsia="Calibri" w:hAnsi="Times New Roman" w:cs="Times New Roman"/>
          <w:sz w:val="22"/>
          <w:szCs w:val="22"/>
        </w:rPr>
        <w:t>HF in an alkylation unit</w:t>
      </w:r>
      <w:r w:rsidR="00633713">
        <w:rPr>
          <w:rFonts w:ascii="Times New Roman" w:eastAsia="Calibri" w:hAnsi="Times New Roman" w:cs="Times New Roman"/>
          <w:sz w:val="22"/>
          <w:szCs w:val="22"/>
        </w:rPr>
        <w:t>.</w:t>
      </w:r>
      <w:r w:rsidRPr="00F869ED" w:rsidR="00F869ED">
        <w:rPr>
          <w:rFonts w:ascii="Times New Roman" w:eastAsia="Calibri" w:hAnsi="Times New Roman" w:cs="Times New Roman"/>
          <w:sz w:val="22"/>
          <w:szCs w:val="22"/>
        </w:rPr>
        <w:t xml:space="preserve"> </w:t>
      </w:r>
      <w:r w:rsidRPr="00587204" w:rsidR="005963F6">
        <w:rPr>
          <w:rFonts w:ascii="Times New Roman" w:eastAsia="Calibri" w:hAnsi="Times New Roman" w:cs="Times New Roman"/>
          <w:sz w:val="22"/>
          <w:szCs w:val="22"/>
        </w:rPr>
        <w:t>California regulations</w:t>
      </w:r>
      <w:r>
        <w:rPr>
          <w:rStyle w:val="FootnoteReference"/>
          <w:rFonts w:ascii="Times New Roman" w:eastAsia="Calibri" w:hAnsi="Times New Roman" w:cs="Times New Roman"/>
          <w:sz w:val="22"/>
          <w:szCs w:val="22"/>
        </w:rPr>
        <w:footnoteReference w:id="30"/>
      </w:r>
      <w:r w:rsidRPr="00587204" w:rsidR="005963F6">
        <w:rPr>
          <w:rFonts w:ascii="Times New Roman" w:eastAsia="Calibri" w:hAnsi="Times New Roman" w:cs="Times New Roman"/>
          <w:sz w:val="22"/>
          <w:szCs w:val="22"/>
        </w:rPr>
        <w:t xml:space="preserve"> already require </w:t>
      </w:r>
      <w:r w:rsidRPr="00587204" w:rsidR="005D0805">
        <w:rPr>
          <w:rFonts w:ascii="Times New Roman" w:eastAsia="Calibri" w:hAnsi="Times New Roman" w:cs="Times New Roman"/>
          <w:sz w:val="22"/>
          <w:szCs w:val="22"/>
        </w:rPr>
        <w:t xml:space="preserve">a </w:t>
      </w:r>
      <w:r w:rsidRPr="00587204" w:rsidR="00907CD7">
        <w:rPr>
          <w:rFonts w:ascii="Times New Roman" w:eastAsia="Calibri" w:hAnsi="Times New Roman" w:cs="Times New Roman"/>
          <w:sz w:val="22"/>
          <w:szCs w:val="22"/>
        </w:rPr>
        <w:t>hierarchy of controls analysis</w:t>
      </w:r>
      <w:r w:rsidRPr="00587204" w:rsidR="009C3ED0">
        <w:rPr>
          <w:rFonts w:ascii="Times New Roman" w:eastAsia="Calibri" w:hAnsi="Times New Roman" w:cs="Times New Roman"/>
          <w:sz w:val="22"/>
          <w:szCs w:val="22"/>
        </w:rPr>
        <w:t xml:space="preserve"> for refineries with HF unit processes</w:t>
      </w:r>
      <w:r w:rsidRPr="00587204" w:rsidR="00907CD7">
        <w:rPr>
          <w:rFonts w:ascii="Times New Roman" w:eastAsia="Calibri" w:hAnsi="Times New Roman" w:cs="Times New Roman"/>
          <w:sz w:val="22"/>
          <w:szCs w:val="22"/>
        </w:rPr>
        <w:t xml:space="preserve">, </w:t>
      </w:r>
      <w:r w:rsidRPr="00587204" w:rsidR="005D0805">
        <w:rPr>
          <w:rFonts w:ascii="Times New Roman" w:eastAsia="Calibri" w:hAnsi="Times New Roman" w:cs="Times New Roman"/>
          <w:sz w:val="22"/>
          <w:szCs w:val="22"/>
        </w:rPr>
        <w:t xml:space="preserve">which is </w:t>
      </w:r>
      <w:r w:rsidRPr="00587204" w:rsidR="00907CD7">
        <w:rPr>
          <w:rFonts w:ascii="Times New Roman" w:eastAsia="Calibri" w:hAnsi="Times New Roman" w:cs="Times New Roman"/>
          <w:sz w:val="22"/>
          <w:szCs w:val="22"/>
        </w:rPr>
        <w:t>a similar, but more involved</w:t>
      </w:r>
      <w:r w:rsidRPr="00587204" w:rsidR="005D0805">
        <w:rPr>
          <w:rFonts w:ascii="Times New Roman" w:eastAsia="Calibri" w:hAnsi="Times New Roman" w:cs="Times New Roman"/>
          <w:sz w:val="22"/>
          <w:szCs w:val="22"/>
        </w:rPr>
        <w:t>,</w:t>
      </w:r>
      <w:r w:rsidRPr="00587204" w:rsidR="00907CD7">
        <w:rPr>
          <w:rFonts w:ascii="Times New Roman" w:eastAsia="Calibri" w:hAnsi="Times New Roman" w:cs="Times New Roman"/>
          <w:sz w:val="22"/>
          <w:szCs w:val="22"/>
        </w:rPr>
        <w:t xml:space="preserve"> evaluation of </w:t>
      </w:r>
      <w:r w:rsidR="0056095A">
        <w:rPr>
          <w:rFonts w:ascii="Times New Roman" w:eastAsia="Calibri" w:hAnsi="Times New Roman" w:cs="Times New Roman"/>
          <w:sz w:val="22"/>
          <w:szCs w:val="22"/>
        </w:rPr>
        <w:t>IST/ISD</w:t>
      </w:r>
      <w:r w:rsidRPr="00587204" w:rsidR="00907CD7">
        <w:rPr>
          <w:rFonts w:ascii="Times New Roman" w:eastAsia="Calibri" w:hAnsi="Times New Roman" w:cs="Times New Roman"/>
          <w:sz w:val="22"/>
          <w:szCs w:val="22"/>
        </w:rPr>
        <w:t xml:space="preserve"> than </w:t>
      </w:r>
      <w:r w:rsidRPr="00587204" w:rsidR="00413C7C">
        <w:rPr>
          <w:rFonts w:ascii="Times New Roman" w:eastAsia="Calibri" w:hAnsi="Times New Roman" w:cs="Times New Roman"/>
          <w:sz w:val="22"/>
          <w:szCs w:val="22"/>
        </w:rPr>
        <w:t xml:space="preserve">required by the provision </w:t>
      </w:r>
      <w:r w:rsidR="00120039">
        <w:rPr>
          <w:rFonts w:ascii="Times New Roman" w:eastAsia="Calibri" w:hAnsi="Times New Roman" w:cs="Times New Roman"/>
          <w:sz w:val="22"/>
          <w:szCs w:val="22"/>
        </w:rPr>
        <w:t>in this final rule</w:t>
      </w:r>
      <w:r w:rsidRPr="00587204" w:rsidR="005963F6">
        <w:rPr>
          <w:rFonts w:ascii="Times New Roman" w:eastAsia="Calibri" w:hAnsi="Times New Roman" w:cs="Times New Roman"/>
          <w:sz w:val="22"/>
          <w:szCs w:val="22"/>
        </w:rPr>
        <w:t xml:space="preserve">. </w:t>
      </w:r>
      <w:r w:rsidR="0091427C">
        <w:rPr>
          <w:rFonts w:ascii="Times New Roman" w:eastAsia="Calibri" w:hAnsi="Times New Roman" w:cs="Times New Roman"/>
          <w:sz w:val="22"/>
          <w:szCs w:val="22"/>
        </w:rPr>
        <w:t xml:space="preserve">Likewise, </w:t>
      </w:r>
      <w:r w:rsidR="00F438C9">
        <w:rPr>
          <w:rFonts w:ascii="Times New Roman" w:eastAsia="Calibri" w:hAnsi="Times New Roman" w:cs="Times New Roman"/>
          <w:sz w:val="22"/>
          <w:szCs w:val="22"/>
        </w:rPr>
        <w:t>Contra Costa County, California r</w:t>
      </w:r>
      <w:r w:rsidR="003E788A">
        <w:rPr>
          <w:rFonts w:ascii="Times New Roman" w:eastAsia="Calibri" w:hAnsi="Times New Roman" w:cs="Times New Roman"/>
          <w:sz w:val="22"/>
          <w:szCs w:val="22"/>
        </w:rPr>
        <w:t>egulations and</w:t>
      </w:r>
      <w:r w:rsidR="0091427C">
        <w:rPr>
          <w:rFonts w:ascii="Times New Roman" w:eastAsia="Calibri" w:hAnsi="Times New Roman" w:cs="Times New Roman"/>
          <w:sz w:val="22"/>
          <w:szCs w:val="22"/>
        </w:rPr>
        <w:t xml:space="preserve"> New Jersey regulations already </w:t>
      </w:r>
      <w:r w:rsidR="009852A5">
        <w:rPr>
          <w:rFonts w:ascii="Times New Roman" w:eastAsia="Calibri" w:hAnsi="Times New Roman" w:cs="Times New Roman"/>
          <w:sz w:val="22"/>
          <w:szCs w:val="22"/>
        </w:rPr>
        <w:t>require</w:t>
      </w:r>
      <w:r w:rsidR="00AB247A">
        <w:rPr>
          <w:rFonts w:ascii="Times New Roman" w:eastAsia="Calibri" w:hAnsi="Times New Roman" w:cs="Times New Roman"/>
          <w:sz w:val="22"/>
          <w:szCs w:val="22"/>
        </w:rPr>
        <w:t xml:space="preserve"> </w:t>
      </w:r>
      <w:r w:rsidR="00087D8A">
        <w:rPr>
          <w:rFonts w:ascii="Times New Roman" w:eastAsia="Calibri" w:hAnsi="Times New Roman" w:cs="Times New Roman"/>
          <w:sz w:val="22"/>
          <w:szCs w:val="22"/>
        </w:rPr>
        <w:t>a review</w:t>
      </w:r>
      <w:r w:rsidR="00AB7073">
        <w:rPr>
          <w:rFonts w:ascii="Times New Roman" w:eastAsia="Calibri" w:hAnsi="Times New Roman" w:cs="Times New Roman"/>
          <w:sz w:val="22"/>
          <w:szCs w:val="22"/>
        </w:rPr>
        <w:t xml:space="preserve"> of </w:t>
      </w:r>
      <w:r w:rsidR="0056095A">
        <w:rPr>
          <w:rFonts w:ascii="Times New Roman" w:eastAsia="Calibri" w:hAnsi="Times New Roman" w:cs="Times New Roman"/>
          <w:sz w:val="22"/>
          <w:szCs w:val="22"/>
        </w:rPr>
        <w:t>IST/ISD</w:t>
      </w:r>
      <w:r w:rsidR="00AB7073">
        <w:rPr>
          <w:rFonts w:ascii="Times New Roman" w:eastAsia="Calibri" w:hAnsi="Times New Roman" w:cs="Times New Roman"/>
          <w:sz w:val="22"/>
          <w:szCs w:val="22"/>
        </w:rPr>
        <w:t xml:space="preserve"> </w:t>
      </w:r>
      <w:r w:rsidR="00214143">
        <w:rPr>
          <w:rFonts w:ascii="Times New Roman" w:eastAsia="Calibri" w:hAnsi="Times New Roman" w:cs="Times New Roman"/>
          <w:sz w:val="22"/>
          <w:szCs w:val="22"/>
        </w:rPr>
        <w:t xml:space="preserve">by </w:t>
      </w:r>
      <w:r w:rsidR="00E87E4C">
        <w:rPr>
          <w:rFonts w:ascii="Times New Roman" w:eastAsia="Calibri" w:hAnsi="Times New Roman" w:cs="Times New Roman"/>
          <w:sz w:val="22"/>
          <w:szCs w:val="22"/>
        </w:rPr>
        <w:t xml:space="preserve">refineries and chemical facilities </w:t>
      </w:r>
      <w:r w:rsidR="00C82050">
        <w:rPr>
          <w:rFonts w:ascii="Times New Roman" w:eastAsia="Calibri" w:hAnsi="Times New Roman" w:cs="Times New Roman"/>
          <w:sz w:val="22"/>
          <w:szCs w:val="22"/>
        </w:rPr>
        <w:t>sufficient</w:t>
      </w:r>
      <w:r w:rsidR="00864288">
        <w:rPr>
          <w:rFonts w:ascii="Times New Roman" w:eastAsia="Calibri" w:hAnsi="Times New Roman" w:cs="Times New Roman"/>
          <w:sz w:val="22"/>
          <w:szCs w:val="22"/>
        </w:rPr>
        <w:t xml:space="preserve"> </w:t>
      </w:r>
      <w:r w:rsidR="001D2557">
        <w:rPr>
          <w:rFonts w:ascii="Times New Roman" w:eastAsia="Calibri" w:hAnsi="Times New Roman" w:cs="Times New Roman"/>
          <w:sz w:val="22"/>
          <w:szCs w:val="22"/>
        </w:rPr>
        <w:t>for compliance with th</w:t>
      </w:r>
      <w:r w:rsidR="005218A2">
        <w:rPr>
          <w:rFonts w:ascii="Times New Roman" w:eastAsia="Calibri" w:hAnsi="Times New Roman" w:cs="Times New Roman"/>
          <w:sz w:val="22"/>
          <w:szCs w:val="22"/>
        </w:rPr>
        <w:t>e STA</w:t>
      </w:r>
      <w:r w:rsidR="00A667BB">
        <w:rPr>
          <w:rFonts w:ascii="Times New Roman" w:eastAsia="Calibri" w:hAnsi="Times New Roman" w:cs="Times New Roman"/>
          <w:sz w:val="22"/>
          <w:szCs w:val="22"/>
        </w:rPr>
        <w:t xml:space="preserve">A </w:t>
      </w:r>
      <w:r w:rsidR="00ED3481">
        <w:rPr>
          <w:rFonts w:ascii="Times New Roman" w:eastAsia="Calibri" w:hAnsi="Times New Roman" w:cs="Times New Roman"/>
          <w:sz w:val="22"/>
          <w:szCs w:val="22"/>
        </w:rPr>
        <w:t xml:space="preserve">initial and </w:t>
      </w:r>
      <w:r w:rsidR="00E25B3A">
        <w:rPr>
          <w:rFonts w:ascii="Times New Roman" w:eastAsia="Calibri" w:hAnsi="Times New Roman" w:cs="Times New Roman"/>
          <w:sz w:val="22"/>
          <w:szCs w:val="22"/>
        </w:rPr>
        <w:t>practicability assessment</w:t>
      </w:r>
      <w:r w:rsidR="00ED3481">
        <w:rPr>
          <w:rFonts w:ascii="Times New Roman" w:eastAsia="Calibri" w:hAnsi="Times New Roman" w:cs="Times New Roman"/>
          <w:sz w:val="22"/>
          <w:szCs w:val="22"/>
        </w:rPr>
        <w:t xml:space="preserve"> requirements. </w:t>
      </w:r>
      <w:r w:rsidRPr="00587204" w:rsidR="005963F6">
        <w:rPr>
          <w:rFonts w:ascii="Times New Roman" w:eastAsia="Calibri" w:hAnsi="Times New Roman" w:cs="Times New Roman"/>
          <w:sz w:val="22"/>
          <w:szCs w:val="22"/>
        </w:rPr>
        <w:t xml:space="preserve">Therefore, EPA </w:t>
      </w:r>
      <w:r w:rsidR="00AB4110">
        <w:rPr>
          <w:rFonts w:ascii="Times New Roman" w:eastAsia="Calibri" w:hAnsi="Times New Roman" w:cs="Times New Roman"/>
          <w:sz w:val="22"/>
          <w:szCs w:val="22"/>
        </w:rPr>
        <w:t>excludes</w:t>
      </w:r>
      <w:r w:rsidRPr="00587204" w:rsidR="005963F6">
        <w:rPr>
          <w:rFonts w:ascii="Times New Roman" w:eastAsia="Calibri" w:hAnsi="Times New Roman" w:cs="Times New Roman"/>
          <w:sz w:val="22"/>
          <w:szCs w:val="22"/>
        </w:rPr>
        <w:t xml:space="preserve"> the two California refineries with HF units</w:t>
      </w:r>
      <w:r w:rsidR="00EF01B5">
        <w:rPr>
          <w:rFonts w:ascii="Times New Roman" w:eastAsia="Calibri" w:hAnsi="Times New Roman" w:cs="Times New Roman"/>
          <w:sz w:val="22"/>
          <w:szCs w:val="22"/>
        </w:rPr>
        <w:t xml:space="preserve">, </w:t>
      </w:r>
      <w:r w:rsidR="00693152">
        <w:rPr>
          <w:rFonts w:ascii="Times New Roman" w:eastAsia="Calibri" w:hAnsi="Times New Roman" w:cs="Times New Roman"/>
          <w:sz w:val="22"/>
          <w:szCs w:val="22"/>
        </w:rPr>
        <w:t>Contra Costa</w:t>
      </w:r>
      <w:r w:rsidR="002D4761">
        <w:rPr>
          <w:rFonts w:ascii="Times New Roman" w:eastAsia="Calibri" w:hAnsi="Times New Roman" w:cs="Times New Roman"/>
          <w:sz w:val="22"/>
          <w:szCs w:val="22"/>
        </w:rPr>
        <w:t xml:space="preserve"> County</w:t>
      </w:r>
      <w:r w:rsidR="00693152">
        <w:rPr>
          <w:rFonts w:ascii="Times New Roman" w:eastAsia="Calibri" w:hAnsi="Times New Roman" w:cs="Times New Roman"/>
          <w:sz w:val="22"/>
          <w:szCs w:val="22"/>
        </w:rPr>
        <w:t xml:space="preserve">’s </w:t>
      </w:r>
      <w:r w:rsidR="007B0077">
        <w:rPr>
          <w:rFonts w:ascii="Times New Roman" w:eastAsia="Calibri" w:hAnsi="Times New Roman" w:cs="Times New Roman"/>
          <w:sz w:val="22"/>
          <w:szCs w:val="22"/>
        </w:rPr>
        <w:t>four</w:t>
      </w:r>
      <w:r w:rsidR="00F309AA">
        <w:rPr>
          <w:rFonts w:ascii="Times New Roman" w:eastAsia="Calibri" w:hAnsi="Times New Roman" w:cs="Times New Roman"/>
          <w:sz w:val="22"/>
          <w:szCs w:val="22"/>
        </w:rPr>
        <w:t xml:space="preserve"> refineries and </w:t>
      </w:r>
      <w:r w:rsidR="007B0077">
        <w:rPr>
          <w:rFonts w:ascii="Times New Roman" w:eastAsia="Calibri" w:hAnsi="Times New Roman" w:cs="Times New Roman"/>
          <w:sz w:val="22"/>
          <w:szCs w:val="22"/>
        </w:rPr>
        <w:t>nine</w:t>
      </w:r>
      <w:r w:rsidR="00F309AA">
        <w:rPr>
          <w:rFonts w:ascii="Times New Roman" w:eastAsia="Calibri" w:hAnsi="Times New Roman" w:cs="Times New Roman"/>
          <w:sz w:val="22"/>
          <w:szCs w:val="22"/>
        </w:rPr>
        <w:t xml:space="preserve"> chemical manufacturing facilities,</w:t>
      </w:r>
      <w:r w:rsidRPr="00587204" w:rsidR="005963F6">
        <w:rPr>
          <w:rFonts w:ascii="Times New Roman" w:eastAsia="Calibri" w:hAnsi="Times New Roman" w:cs="Times New Roman"/>
          <w:sz w:val="22"/>
          <w:szCs w:val="22"/>
        </w:rPr>
        <w:t xml:space="preserve"> </w:t>
      </w:r>
      <w:r w:rsidR="00AB4110">
        <w:rPr>
          <w:rFonts w:ascii="Times New Roman" w:eastAsia="Calibri" w:hAnsi="Times New Roman" w:cs="Times New Roman"/>
          <w:sz w:val="22"/>
          <w:szCs w:val="22"/>
        </w:rPr>
        <w:t>and</w:t>
      </w:r>
      <w:r w:rsidR="00B250CD">
        <w:rPr>
          <w:rFonts w:ascii="Times New Roman" w:eastAsia="Calibri" w:hAnsi="Times New Roman" w:cs="Times New Roman"/>
          <w:sz w:val="22"/>
          <w:szCs w:val="22"/>
        </w:rPr>
        <w:t xml:space="preserve"> </w:t>
      </w:r>
      <w:r w:rsidR="00BE51CF">
        <w:rPr>
          <w:rFonts w:ascii="Times New Roman" w:eastAsia="Calibri" w:hAnsi="Times New Roman" w:cs="Times New Roman"/>
          <w:sz w:val="22"/>
          <w:szCs w:val="22"/>
        </w:rPr>
        <w:t>New Jersey’s</w:t>
      </w:r>
      <w:r w:rsidR="00B250CD">
        <w:rPr>
          <w:rFonts w:ascii="Times New Roman" w:eastAsia="Calibri" w:hAnsi="Times New Roman" w:cs="Times New Roman"/>
          <w:sz w:val="22"/>
          <w:szCs w:val="22"/>
        </w:rPr>
        <w:t xml:space="preserve"> </w:t>
      </w:r>
      <w:r w:rsidR="009B0891">
        <w:rPr>
          <w:rFonts w:ascii="Times New Roman" w:eastAsia="Calibri" w:hAnsi="Times New Roman" w:cs="Times New Roman"/>
          <w:sz w:val="22"/>
          <w:szCs w:val="22"/>
        </w:rPr>
        <w:t>two</w:t>
      </w:r>
      <w:r w:rsidR="00502CD3">
        <w:rPr>
          <w:rFonts w:ascii="Times New Roman" w:eastAsia="Calibri" w:hAnsi="Times New Roman" w:cs="Times New Roman"/>
          <w:sz w:val="22"/>
          <w:szCs w:val="22"/>
        </w:rPr>
        <w:t xml:space="preserve"> refineries and 21 chemical manufacturing facilities</w:t>
      </w:r>
      <w:r w:rsidRPr="00587204" w:rsidR="009B0891">
        <w:rPr>
          <w:rFonts w:ascii="Times New Roman" w:eastAsia="Calibri" w:hAnsi="Times New Roman" w:cs="Times New Roman"/>
          <w:sz w:val="22"/>
          <w:szCs w:val="22"/>
        </w:rPr>
        <w:t xml:space="preserve"> </w:t>
      </w:r>
      <w:r w:rsidR="00D01A7C">
        <w:rPr>
          <w:rFonts w:ascii="Times New Roman" w:eastAsia="Calibri" w:hAnsi="Times New Roman" w:cs="Times New Roman"/>
          <w:sz w:val="22"/>
          <w:szCs w:val="22"/>
        </w:rPr>
        <w:t>from</w:t>
      </w:r>
      <w:r w:rsidRPr="00587204" w:rsidR="005963F6">
        <w:rPr>
          <w:rFonts w:ascii="Times New Roman" w:eastAsia="Calibri" w:hAnsi="Times New Roman" w:cs="Times New Roman"/>
          <w:sz w:val="22"/>
          <w:szCs w:val="22"/>
        </w:rPr>
        <w:t xml:space="preserve"> </w:t>
      </w:r>
      <w:r w:rsidRPr="00587204" w:rsidR="005E1B40">
        <w:rPr>
          <w:rFonts w:ascii="Times New Roman" w:eastAsia="Calibri" w:hAnsi="Times New Roman" w:cs="Times New Roman"/>
          <w:sz w:val="22"/>
          <w:szCs w:val="22"/>
        </w:rPr>
        <w:t>the analysis</w:t>
      </w:r>
      <w:r w:rsidR="006B6258">
        <w:rPr>
          <w:rFonts w:ascii="Times New Roman" w:eastAsia="Calibri" w:hAnsi="Times New Roman" w:cs="Times New Roman"/>
          <w:sz w:val="22"/>
          <w:szCs w:val="22"/>
        </w:rPr>
        <w:t xml:space="preserve"> of </w:t>
      </w:r>
      <w:r w:rsidR="00E25B3A">
        <w:rPr>
          <w:rFonts w:ascii="Times New Roman" w:eastAsia="Calibri" w:hAnsi="Times New Roman" w:cs="Times New Roman"/>
          <w:sz w:val="22"/>
          <w:szCs w:val="22"/>
        </w:rPr>
        <w:t>initial evaluation</w:t>
      </w:r>
      <w:r w:rsidR="006B6258">
        <w:rPr>
          <w:rFonts w:ascii="Times New Roman" w:eastAsia="Calibri" w:hAnsi="Times New Roman" w:cs="Times New Roman"/>
          <w:sz w:val="22"/>
          <w:szCs w:val="22"/>
        </w:rPr>
        <w:t xml:space="preserve"> costs</w:t>
      </w:r>
      <w:r w:rsidR="002318EF">
        <w:rPr>
          <w:rFonts w:ascii="Times New Roman" w:eastAsia="Calibri" w:hAnsi="Times New Roman" w:cs="Times New Roman"/>
          <w:sz w:val="22"/>
          <w:szCs w:val="22"/>
        </w:rPr>
        <w:t xml:space="preserve"> in the final rule analysis</w:t>
      </w:r>
      <w:r w:rsidRPr="00587204" w:rsidR="005E1B40">
        <w:rPr>
          <w:rFonts w:ascii="Times New Roman" w:eastAsia="Calibri" w:hAnsi="Times New Roman" w:cs="Times New Roman"/>
          <w:sz w:val="22"/>
          <w:szCs w:val="22"/>
        </w:rPr>
        <w:t>.</w:t>
      </w:r>
      <w:r w:rsidRPr="00587204" w:rsidR="005963F6">
        <w:rPr>
          <w:rFonts w:ascii="Times New Roman" w:eastAsia="Calibri" w:hAnsi="Times New Roman" w:cs="Times New Roman"/>
          <w:sz w:val="22"/>
          <w:szCs w:val="22"/>
        </w:rPr>
        <w:t xml:space="preserve"> </w:t>
      </w:r>
      <w:r w:rsidRPr="00587204">
        <w:rPr>
          <w:rFonts w:ascii="Times New Roman" w:eastAsia="Calibri" w:hAnsi="Times New Roman" w:cs="Times New Roman"/>
          <w:sz w:val="22"/>
          <w:szCs w:val="22"/>
        </w:rPr>
        <w:t xml:space="preserve">Exhibit 3-5 presents the number of processes and facilities by facility size for the two sectors subject to </w:t>
      </w:r>
      <w:r w:rsidR="002B0F78">
        <w:rPr>
          <w:rFonts w:ascii="Times New Roman" w:eastAsia="Calibri" w:hAnsi="Times New Roman" w:cs="Times New Roman"/>
          <w:sz w:val="22"/>
          <w:szCs w:val="22"/>
        </w:rPr>
        <w:t xml:space="preserve">the </w:t>
      </w:r>
      <w:r w:rsidR="00E25B3A">
        <w:rPr>
          <w:rFonts w:ascii="Times New Roman" w:eastAsia="Calibri" w:hAnsi="Times New Roman" w:cs="Times New Roman"/>
          <w:sz w:val="22"/>
          <w:szCs w:val="22"/>
        </w:rPr>
        <w:t>initial evaluation</w:t>
      </w:r>
      <w:r w:rsidR="00BE64C6">
        <w:rPr>
          <w:rFonts w:ascii="Times New Roman" w:eastAsia="Calibri" w:hAnsi="Times New Roman" w:cs="Times New Roman"/>
          <w:sz w:val="22"/>
          <w:szCs w:val="22"/>
        </w:rPr>
        <w:t xml:space="preserve"> of STAA</w:t>
      </w:r>
      <w:r w:rsidRPr="00587204">
        <w:rPr>
          <w:rFonts w:ascii="Times New Roman" w:eastAsia="Calibri" w:hAnsi="Times New Roman" w:cs="Times New Roman"/>
          <w:sz w:val="22"/>
          <w:szCs w:val="22"/>
        </w:rPr>
        <w:t>.</w:t>
      </w:r>
      <w:r w:rsidRPr="00587204" w:rsidR="00F02814">
        <w:rPr>
          <w:rFonts w:ascii="Times New Roman" w:eastAsia="Calibri" w:hAnsi="Times New Roman" w:cs="Times New Roman"/>
          <w:sz w:val="22"/>
          <w:szCs w:val="22"/>
        </w:rPr>
        <w:t xml:space="preserve"> </w:t>
      </w:r>
    </w:p>
    <w:p w:rsidR="00213259" w:rsidRPr="00587204" w:rsidP="00587204" w14:paraId="2FAC88B0" w14:textId="77777777">
      <w:pPr>
        <w:spacing w:after="0" w:line="240" w:lineRule="auto"/>
        <w:ind w:firstLine="720"/>
        <w:rPr>
          <w:rFonts w:ascii="Times New Roman" w:eastAsia="Calibri" w:hAnsi="Times New Roman" w:cs="Times New Roman"/>
        </w:rPr>
      </w:pPr>
    </w:p>
    <w:p w:rsidR="009F0976" w:rsidP="0060195F" w14:paraId="09049857" w14:textId="77777777">
      <w:pPr>
        <w:keepNext/>
        <w:keepLines/>
        <w:spacing w:after="0" w:line="240" w:lineRule="auto"/>
        <w:jc w:val="center"/>
        <w:rPr>
          <w:rFonts w:ascii="Times New Roman" w:eastAsia="Calibri" w:hAnsi="Times New Roman" w:cs="Times New Roman"/>
          <w:b/>
        </w:rPr>
      </w:pPr>
      <w:r w:rsidRPr="00305374">
        <w:rPr>
          <w:rFonts w:ascii="Times New Roman" w:hAnsi="Times New Roman" w:cs="Times New Roman"/>
          <w:b/>
        </w:rPr>
        <w:t xml:space="preserve">Exhibit </w:t>
      </w:r>
      <w:r w:rsidRPr="00305374">
        <w:rPr>
          <w:rFonts w:ascii="Times New Roman" w:eastAsia="Calibri" w:hAnsi="Times New Roman" w:cs="Times New Roman"/>
          <w:b/>
        </w:rPr>
        <w:t xml:space="preserve">3-5: Number of Processes and Facilities Subject to STAA </w:t>
      </w:r>
      <w:r w:rsidR="00E25B3A">
        <w:rPr>
          <w:rFonts w:ascii="Times New Roman" w:eastAsia="Calibri" w:hAnsi="Times New Roman" w:cs="Times New Roman"/>
          <w:b/>
        </w:rPr>
        <w:t>Initial Evaluation</w:t>
      </w:r>
      <w:r w:rsidRPr="00305374" w:rsidR="00F45D44">
        <w:rPr>
          <w:rFonts w:ascii="Times New Roman" w:eastAsia="Calibri" w:hAnsi="Times New Roman" w:cs="Times New Roman"/>
          <w:b/>
        </w:rPr>
        <w:t xml:space="preserve"> </w:t>
      </w:r>
    </w:p>
    <w:p w:rsidR="00093C0A" w:rsidRPr="00305374" w:rsidP="0060195F" w14:paraId="1054F143" w14:textId="77777777">
      <w:pPr>
        <w:keepNext/>
        <w:keepLines/>
        <w:spacing w:after="0" w:line="240" w:lineRule="auto"/>
        <w:jc w:val="center"/>
        <w:rPr>
          <w:rFonts w:ascii="Times New Roman" w:eastAsia="Calibri" w:hAnsi="Times New Roman" w:cs="Times New Roman"/>
          <w:b/>
        </w:rPr>
      </w:pPr>
      <w:r w:rsidRPr="00305374">
        <w:rPr>
          <w:rFonts w:ascii="Times New Roman" w:eastAsia="Calibri" w:hAnsi="Times New Roman" w:cs="Times New Roman"/>
          <w:b/>
        </w:rPr>
        <w:t xml:space="preserve">(Complex </w:t>
      </w:r>
      <w:r w:rsidRPr="00305374" w:rsidR="002E5377">
        <w:rPr>
          <w:rFonts w:ascii="Times New Roman" w:eastAsia="Calibri" w:hAnsi="Times New Roman" w:cs="Times New Roman"/>
          <w:b/>
        </w:rPr>
        <w:t xml:space="preserve">Program 3 </w:t>
      </w:r>
      <w:r w:rsidRPr="00305374" w:rsidR="007225FA">
        <w:rPr>
          <w:rFonts w:ascii="Times New Roman" w:eastAsia="Calibri" w:hAnsi="Times New Roman" w:cs="Times New Roman"/>
          <w:b/>
        </w:rPr>
        <w:t>f</w:t>
      </w:r>
      <w:r w:rsidRPr="00305374">
        <w:rPr>
          <w:rFonts w:ascii="Times New Roman" w:eastAsia="Calibri" w:hAnsi="Times New Roman" w:cs="Times New Roman"/>
          <w:b/>
        </w:rPr>
        <w:t>acilities</w:t>
      </w:r>
      <w:r w:rsidR="00D63E1E">
        <w:rPr>
          <w:rFonts w:ascii="Times New Roman" w:eastAsia="Calibri" w:hAnsi="Times New Roman" w:cs="Times New Roman"/>
          <w:b/>
        </w:rPr>
        <w:t>, excluding</w:t>
      </w:r>
      <w:r w:rsidRPr="00305374" w:rsidR="00A625E8">
        <w:rPr>
          <w:rFonts w:ascii="Times New Roman" w:eastAsia="Calibri" w:hAnsi="Times New Roman" w:cs="Times New Roman"/>
          <w:b/>
        </w:rPr>
        <w:t xml:space="preserve"> California</w:t>
      </w:r>
      <w:r w:rsidR="00CC5702">
        <w:rPr>
          <w:rFonts w:ascii="Times New Roman" w:eastAsia="Calibri" w:hAnsi="Times New Roman" w:cs="Times New Roman"/>
          <w:b/>
        </w:rPr>
        <w:t xml:space="preserve"> </w:t>
      </w:r>
      <w:r w:rsidR="00B131DE">
        <w:rPr>
          <w:rFonts w:ascii="Times New Roman" w:eastAsia="Calibri" w:hAnsi="Times New Roman" w:cs="Times New Roman"/>
          <w:b/>
        </w:rPr>
        <w:t>refineries</w:t>
      </w:r>
      <w:r w:rsidR="00C63B50">
        <w:rPr>
          <w:rFonts w:ascii="Times New Roman" w:eastAsia="Calibri" w:hAnsi="Times New Roman" w:cs="Times New Roman"/>
          <w:b/>
        </w:rPr>
        <w:t xml:space="preserve"> with HF </w:t>
      </w:r>
      <w:r w:rsidR="00B131DE">
        <w:rPr>
          <w:rFonts w:ascii="Times New Roman" w:eastAsia="Calibri" w:hAnsi="Times New Roman" w:cs="Times New Roman"/>
          <w:b/>
        </w:rPr>
        <w:t>units</w:t>
      </w:r>
      <w:r w:rsidR="00F96960">
        <w:rPr>
          <w:rFonts w:ascii="Times New Roman" w:eastAsia="Calibri" w:hAnsi="Times New Roman" w:cs="Times New Roman"/>
          <w:b/>
        </w:rPr>
        <w:t xml:space="preserve">, </w:t>
      </w:r>
      <w:r w:rsidR="00454C78">
        <w:rPr>
          <w:rFonts w:ascii="Times New Roman" w:eastAsia="Calibri" w:hAnsi="Times New Roman" w:cs="Times New Roman"/>
          <w:b/>
        </w:rPr>
        <w:t xml:space="preserve">Contra Costa </w:t>
      </w:r>
      <w:r w:rsidR="002D4761">
        <w:rPr>
          <w:rFonts w:ascii="Times New Roman" w:eastAsia="Calibri" w:hAnsi="Times New Roman" w:cs="Times New Roman"/>
          <w:b/>
        </w:rPr>
        <w:t xml:space="preserve">County </w:t>
      </w:r>
      <w:r w:rsidR="00454C78">
        <w:rPr>
          <w:rFonts w:ascii="Times New Roman" w:eastAsia="Calibri" w:hAnsi="Times New Roman" w:cs="Times New Roman"/>
          <w:b/>
        </w:rPr>
        <w:t>facilities,</w:t>
      </w:r>
      <w:r w:rsidR="00C63B50">
        <w:rPr>
          <w:rFonts w:ascii="Times New Roman" w:eastAsia="Calibri" w:hAnsi="Times New Roman" w:cs="Times New Roman"/>
          <w:b/>
        </w:rPr>
        <w:t xml:space="preserve"> and New Jersey </w:t>
      </w:r>
      <w:r w:rsidR="00B131DE">
        <w:rPr>
          <w:rFonts w:ascii="Times New Roman" w:eastAsia="Calibri" w:hAnsi="Times New Roman" w:cs="Times New Roman"/>
          <w:b/>
        </w:rPr>
        <w:t>facilities</w:t>
      </w:r>
      <w:r w:rsidRPr="00305374" w:rsidR="00246CBA">
        <w:rPr>
          <w:rFonts w:ascii="Times New Roman" w:eastAsia="Calibri" w:hAnsi="Times New Roman" w:cs="Times New Roman"/>
          <w:b/>
        </w:rPr>
        <w:t>)</w:t>
      </w:r>
      <w:r w:rsidRPr="00305374">
        <w:rPr>
          <w:rFonts w:ascii="Times New Roman" w:eastAsia="Calibri" w:hAnsi="Times New Roman" w:cs="Times New Roman"/>
          <w:b/>
        </w:rPr>
        <w:t xml:space="preserve"> by Sector </w:t>
      </w:r>
      <w:r w:rsidR="00A86039">
        <w:rPr>
          <w:rFonts w:ascii="Times New Roman" w:eastAsia="Calibri" w:hAnsi="Times New Roman" w:cs="Times New Roman"/>
          <w:b/>
        </w:rPr>
        <w:t>and HF Unit Presence</w:t>
      </w:r>
      <w:r w:rsidRPr="00305374">
        <w:rPr>
          <w:rFonts w:ascii="Times New Roman" w:eastAsia="Calibri" w:hAnsi="Times New Roman" w:cs="Times New Roman"/>
          <w:b/>
        </w:rPr>
        <w:t xml:space="preserve"> (2020</w:t>
      </w:r>
      <w:r w:rsidRPr="00305374" w:rsidR="00305374">
        <w:rPr>
          <w:rFonts w:ascii="Times New Roman" w:eastAsia="Calibri" w:hAnsi="Times New Roman" w:cs="Times New Roman"/>
          <w:b/>
          <w:bCs/>
        </w:rPr>
        <w:t>)</w:t>
      </w:r>
    </w:p>
    <w:p w:rsidR="00305374" w:rsidRPr="00587204" w:rsidP="00305374" w14:paraId="25B85EE6" w14:textId="77777777">
      <w:pPr>
        <w:keepNext/>
        <w:keepLines/>
        <w:spacing w:after="0" w:line="240" w:lineRule="auto"/>
        <w:rPr>
          <w:rFonts w:ascii="Times New Roman" w:eastAsia="Calibri" w:hAnsi="Times New Roman" w:cs="Times New Roman"/>
          <w:b/>
        </w:rPr>
      </w:pPr>
    </w:p>
    <w:tbl>
      <w:tblPr>
        <w:tblW w:w="4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9"/>
        <w:gridCol w:w="895"/>
        <w:gridCol w:w="1185"/>
        <w:gridCol w:w="983"/>
        <w:gridCol w:w="2242"/>
      </w:tblGrid>
      <w:tr w14:paraId="5BED2FEB" w14:textId="77777777" w:rsidTr="00BE6AF3">
        <w:tblPrEx>
          <w:tblW w:w="4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jc w:val="center"/>
        </w:trPr>
        <w:tc>
          <w:tcPr>
            <w:tcW w:w="1881" w:type="pct"/>
            <w:shd w:val="clear" w:color="auto" w:fill="D9D9D9" w:themeFill="background1" w:themeFillShade="D9"/>
            <w:noWrap/>
            <w:vAlign w:val="bottom"/>
            <w:hideMark/>
          </w:tcPr>
          <w:p w:rsidR="00093C0A" w:rsidRPr="00D7128A" w:rsidP="0060195F" w14:paraId="2D1D62F1" w14:textId="77777777">
            <w:pPr>
              <w:keepNext/>
              <w:keepLines/>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Sector</w:t>
            </w:r>
          </w:p>
        </w:tc>
        <w:tc>
          <w:tcPr>
            <w:tcW w:w="526" w:type="pct"/>
            <w:shd w:val="clear" w:color="auto" w:fill="D9D9D9" w:themeFill="background1" w:themeFillShade="D9"/>
            <w:noWrap/>
            <w:vAlign w:val="center"/>
            <w:hideMark/>
          </w:tcPr>
          <w:p w:rsidR="00093C0A" w:rsidRPr="00D7128A" w:rsidP="0060195F" w14:paraId="5B6972AB" w14:textId="77777777">
            <w:pPr>
              <w:keepNext/>
              <w:keepLines/>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NAICS</w:t>
            </w:r>
          </w:p>
        </w:tc>
        <w:tc>
          <w:tcPr>
            <w:tcW w:w="697" w:type="pct"/>
            <w:shd w:val="clear" w:color="auto" w:fill="D9D9D9" w:themeFill="background1" w:themeFillShade="D9"/>
            <w:noWrap/>
            <w:vAlign w:val="center"/>
            <w:hideMark/>
          </w:tcPr>
          <w:p w:rsidR="00093C0A" w:rsidRPr="00AF6AF5" w:rsidP="0060195F" w14:paraId="7760F005" w14:textId="77777777">
            <w:pPr>
              <w:keepNext/>
              <w:keepLines/>
              <w:spacing w:after="0" w:line="240" w:lineRule="auto"/>
              <w:jc w:val="center"/>
              <w:rPr>
                <w:rFonts w:ascii="Times New Roman" w:hAnsi="Times New Roman" w:cs="Times New Roman"/>
                <w:b/>
                <w:color w:val="000000"/>
                <w:sz w:val="20"/>
                <w:szCs w:val="20"/>
              </w:rPr>
            </w:pPr>
            <w:r w:rsidRPr="00AF6AF5">
              <w:rPr>
                <w:rFonts w:ascii="Times New Roman" w:hAnsi="Times New Roman" w:cs="Times New Roman"/>
                <w:b/>
                <w:color w:val="000000"/>
                <w:sz w:val="20"/>
                <w:szCs w:val="20"/>
              </w:rPr>
              <w:t>Processes</w:t>
            </w:r>
          </w:p>
        </w:tc>
        <w:tc>
          <w:tcPr>
            <w:tcW w:w="578" w:type="pct"/>
            <w:shd w:val="clear" w:color="auto" w:fill="D9D9D9" w:themeFill="background1" w:themeFillShade="D9"/>
            <w:noWrap/>
            <w:vAlign w:val="center"/>
            <w:hideMark/>
          </w:tcPr>
          <w:p w:rsidR="00093C0A" w:rsidRPr="00AF6AF5" w:rsidP="0060195F" w14:paraId="5CE4F137" w14:textId="77777777">
            <w:pPr>
              <w:keepNext/>
              <w:keepLines/>
              <w:spacing w:after="0" w:line="240" w:lineRule="auto"/>
              <w:jc w:val="center"/>
              <w:rPr>
                <w:rFonts w:ascii="Times New Roman" w:hAnsi="Times New Roman" w:cs="Times New Roman"/>
                <w:b/>
                <w:color w:val="000000"/>
                <w:sz w:val="20"/>
                <w:szCs w:val="20"/>
              </w:rPr>
            </w:pPr>
            <w:r w:rsidRPr="00AF6AF5">
              <w:rPr>
                <w:rFonts w:ascii="Times New Roman" w:hAnsi="Times New Roman" w:cs="Times New Roman"/>
                <w:b/>
                <w:color w:val="000000"/>
                <w:sz w:val="20"/>
                <w:szCs w:val="20"/>
              </w:rPr>
              <w:t>Facilities</w:t>
            </w:r>
          </w:p>
        </w:tc>
        <w:tc>
          <w:tcPr>
            <w:tcW w:w="1318" w:type="pct"/>
            <w:shd w:val="clear" w:color="auto" w:fill="D9D9D9" w:themeFill="background1" w:themeFillShade="D9"/>
            <w:noWrap/>
            <w:vAlign w:val="center"/>
            <w:hideMark/>
          </w:tcPr>
          <w:p w:rsidR="00093C0A" w:rsidRPr="00AF6AF5" w:rsidP="0060195F" w14:paraId="5606BF7E" w14:textId="77777777">
            <w:pPr>
              <w:keepNext/>
              <w:keepLines/>
              <w:spacing w:after="0" w:line="240" w:lineRule="auto"/>
              <w:jc w:val="center"/>
              <w:rPr>
                <w:rFonts w:ascii="Times New Roman" w:hAnsi="Times New Roman" w:cs="Times New Roman"/>
                <w:b/>
                <w:color w:val="000000"/>
                <w:sz w:val="20"/>
                <w:szCs w:val="20"/>
              </w:rPr>
            </w:pPr>
            <w:r w:rsidRPr="00AF6AF5">
              <w:rPr>
                <w:rFonts w:ascii="Times New Roman" w:hAnsi="Times New Roman" w:cs="Times New Roman"/>
                <w:b/>
                <w:color w:val="000000"/>
                <w:sz w:val="20"/>
                <w:szCs w:val="20"/>
              </w:rPr>
              <w:t>Processes per Facility</w:t>
            </w:r>
          </w:p>
        </w:tc>
      </w:tr>
      <w:tr w14:paraId="506E4305" w14:textId="77777777" w:rsidTr="00BE6AF3">
        <w:tblPrEx>
          <w:tblW w:w="4265" w:type="pct"/>
          <w:jc w:val="center"/>
          <w:tblLook w:val="04A0"/>
        </w:tblPrEx>
        <w:trPr>
          <w:trHeight w:val="290"/>
          <w:jc w:val="center"/>
        </w:trPr>
        <w:tc>
          <w:tcPr>
            <w:tcW w:w="1881" w:type="pct"/>
            <w:shd w:val="clear" w:color="auto" w:fill="auto"/>
            <w:vAlign w:val="bottom"/>
            <w:hideMark/>
          </w:tcPr>
          <w:p w:rsidR="00093C0A" w:rsidRPr="00D7128A" w:rsidP="0060195F" w14:paraId="355440D5"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and Coal Products Manufacturing</w:t>
            </w:r>
            <w:r w:rsidR="00670129">
              <w:rPr>
                <w:rFonts w:ascii="Times New Roman" w:hAnsi="Times New Roman" w:cs="Times New Roman"/>
                <w:color w:val="000000"/>
                <w:sz w:val="20"/>
                <w:szCs w:val="20"/>
              </w:rPr>
              <w:t xml:space="preserve"> </w:t>
            </w:r>
            <w:r w:rsidR="00CA663B">
              <w:rPr>
                <w:rFonts w:ascii="Times New Roman" w:hAnsi="Times New Roman" w:cs="Times New Roman"/>
                <w:color w:val="000000"/>
                <w:sz w:val="20"/>
                <w:szCs w:val="20"/>
              </w:rPr>
              <w:t>(</w:t>
            </w:r>
            <w:r w:rsidR="007C636E">
              <w:rPr>
                <w:rFonts w:ascii="Times New Roman" w:hAnsi="Times New Roman" w:cs="Times New Roman"/>
                <w:color w:val="000000"/>
                <w:sz w:val="20"/>
                <w:szCs w:val="20"/>
              </w:rPr>
              <w:t>no</w:t>
            </w:r>
            <w:r w:rsidR="00CA663B">
              <w:rPr>
                <w:rFonts w:ascii="Times New Roman" w:hAnsi="Times New Roman" w:cs="Times New Roman"/>
                <w:color w:val="000000"/>
                <w:sz w:val="20"/>
                <w:szCs w:val="20"/>
              </w:rPr>
              <w:t xml:space="preserve"> HF</w:t>
            </w:r>
            <w:r w:rsidR="00BA172A">
              <w:rPr>
                <w:rFonts w:ascii="Times New Roman" w:hAnsi="Times New Roman" w:cs="Times New Roman"/>
                <w:color w:val="000000"/>
                <w:sz w:val="20"/>
                <w:szCs w:val="20"/>
              </w:rPr>
              <w:t>)</w:t>
            </w:r>
          </w:p>
        </w:tc>
        <w:tc>
          <w:tcPr>
            <w:tcW w:w="526" w:type="pct"/>
            <w:shd w:val="clear" w:color="auto" w:fill="auto"/>
            <w:noWrap/>
            <w:vAlign w:val="center"/>
            <w:hideMark/>
          </w:tcPr>
          <w:p w:rsidR="00093C0A" w:rsidRPr="00D7128A" w:rsidP="0060195F" w14:paraId="7C480BE2"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324</w:t>
            </w:r>
          </w:p>
        </w:tc>
        <w:tc>
          <w:tcPr>
            <w:tcW w:w="697" w:type="pct"/>
            <w:shd w:val="clear" w:color="auto" w:fill="auto"/>
            <w:noWrap/>
            <w:vAlign w:val="center"/>
            <w:hideMark/>
          </w:tcPr>
          <w:p w:rsidR="00093C0A" w:rsidRPr="00AF6AF5" w:rsidP="0060195F" w14:paraId="72FCDB81" w14:textId="1530BB9B">
            <w:pPr>
              <w:keepNext/>
              <w:keepLines/>
              <w:spacing w:after="0" w:line="240" w:lineRule="auto"/>
              <w:jc w:val="center"/>
              <w:rPr>
                <w:rFonts w:ascii="Times New Roman" w:hAnsi="Times New Roman" w:cs="Times New Roman"/>
                <w:color w:val="000000"/>
                <w:sz w:val="20"/>
                <w:szCs w:val="20"/>
              </w:rPr>
            </w:pPr>
            <w:r w:rsidRPr="00AF6AF5">
              <w:rPr>
                <w:rFonts w:ascii="Times New Roman" w:eastAsia="Times New Roman" w:hAnsi="Times New Roman" w:cs="Times New Roman"/>
                <w:color w:val="000000"/>
                <w:sz w:val="20"/>
                <w:szCs w:val="20"/>
              </w:rPr>
              <w:t>863</w:t>
            </w:r>
          </w:p>
        </w:tc>
        <w:tc>
          <w:tcPr>
            <w:tcW w:w="578" w:type="pct"/>
            <w:shd w:val="clear" w:color="auto" w:fill="auto"/>
            <w:noWrap/>
            <w:vAlign w:val="center"/>
            <w:hideMark/>
          </w:tcPr>
          <w:p w:rsidR="00093C0A" w:rsidRPr="00AF6AF5" w:rsidP="0060195F" w14:paraId="697DCE2F" w14:textId="77777777">
            <w:pPr>
              <w:keepNext/>
              <w:keepLines/>
              <w:spacing w:after="0" w:line="240" w:lineRule="auto"/>
              <w:jc w:val="center"/>
              <w:rPr>
                <w:rFonts w:ascii="Times New Roman" w:hAnsi="Times New Roman" w:cs="Times New Roman"/>
                <w:color w:val="000000"/>
                <w:sz w:val="20"/>
                <w:szCs w:val="20"/>
              </w:rPr>
            </w:pPr>
            <w:r w:rsidRPr="00AF6AF5">
              <w:rPr>
                <w:rFonts w:ascii="Times New Roman" w:eastAsia="Times New Roman" w:hAnsi="Times New Roman" w:cs="Times New Roman"/>
                <w:color w:val="000000"/>
                <w:sz w:val="20"/>
                <w:szCs w:val="20"/>
              </w:rPr>
              <w:t>9</w:t>
            </w:r>
            <w:r w:rsidRPr="00AF6AF5" w:rsidR="007915FE">
              <w:rPr>
                <w:rFonts w:ascii="Times New Roman" w:eastAsia="Times New Roman" w:hAnsi="Times New Roman" w:cs="Times New Roman"/>
                <w:color w:val="000000"/>
                <w:sz w:val="20"/>
                <w:szCs w:val="20"/>
              </w:rPr>
              <w:t>2</w:t>
            </w:r>
          </w:p>
        </w:tc>
        <w:tc>
          <w:tcPr>
            <w:tcW w:w="1318" w:type="pct"/>
            <w:shd w:val="clear" w:color="auto" w:fill="auto"/>
            <w:noWrap/>
            <w:vAlign w:val="center"/>
            <w:hideMark/>
          </w:tcPr>
          <w:p w:rsidR="00093C0A" w:rsidRPr="00AF6AF5" w:rsidP="0060195F" w14:paraId="1A5BD7B0" w14:textId="0999E3FB">
            <w:pPr>
              <w:keepNext/>
              <w:keepLines/>
              <w:spacing w:after="0" w:line="240" w:lineRule="auto"/>
              <w:jc w:val="center"/>
              <w:rPr>
                <w:rFonts w:ascii="Times New Roman" w:hAnsi="Times New Roman" w:cs="Times New Roman"/>
                <w:color w:val="000000"/>
                <w:sz w:val="20"/>
                <w:szCs w:val="20"/>
              </w:rPr>
            </w:pPr>
            <w:r w:rsidRPr="00AF6AF5">
              <w:rPr>
                <w:rFonts w:ascii="Times New Roman" w:hAnsi="Times New Roman" w:cs="Times New Roman"/>
                <w:color w:val="000000"/>
                <w:sz w:val="20"/>
                <w:szCs w:val="20"/>
              </w:rPr>
              <w:t>9.</w:t>
            </w:r>
            <w:r w:rsidRPr="00AF6AF5" w:rsidR="005C41B8">
              <w:rPr>
                <w:rFonts w:ascii="Times New Roman" w:hAnsi="Times New Roman" w:cs="Times New Roman"/>
                <w:color w:val="000000"/>
                <w:sz w:val="20"/>
                <w:szCs w:val="20"/>
              </w:rPr>
              <w:t>4</w:t>
            </w:r>
          </w:p>
        </w:tc>
      </w:tr>
      <w:tr w14:paraId="46EE84F7" w14:textId="77777777" w:rsidTr="00BE6AF3">
        <w:tblPrEx>
          <w:tblW w:w="4265" w:type="pct"/>
          <w:jc w:val="center"/>
          <w:tblLook w:val="04A0"/>
        </w:tblPrEx>
        <w:trPr>
          <w:trHeight w:val="290"/>
          <w:jc w:val="center"/>
        </w:trPr>
        <w:tc>
          <w:tcPr>
            <w:tcW w:w="1881" w:type="pct"/>
            <w:shd w:val="clear" w:color="auto" w:fill="auto"/>
            <w:vAlign w:val="bottom"/>
            <w:hideMark/>
          </w:tcPr>
          <w:p w:rsidR="00093C0A" w:rsidRPr="00D7128A" w:rsidP="0060195F" w14:paraId="310DE69E"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and Coal Products Manufacturing</w:t>
            </w:r>
            <w:r w:rsidR="007C636E">
              <w:rPr>
                <w:rFonts w:ascii="Times New Roman" w:hAnsi="Times New Roman" w:cs="Times New Roman"/>
                <w:color w:val="000000"/>
                <w:sz w:val="20"/>
                <w:szCs w:val="20"/>
              </w:rPr>
              <w:t xml:space="preserve"> (with HF)</w:t>
            </w:r>
          </w:p>
        </w:tc>
        <w:tc>
          <w:tcPr>
            <w:tcW w:w="526" w:type="pct"/>
            <w:shd w:val="clear" w:color="auto" w:fill="auto"/>
            <w:noWrap/>
            <w:vAlign w:val="center"/>
            <w:hideMark/>
          </w:tcPr>
          <w:p w:rsidR="00093C0A" w:rsidRPr="00D7128A" w:rsidP="0060195F" w14:paraId="7D550008"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324</w:t>
            </w:r>
          </w:p>
        </w:tc>
        <w:tc>
          <w:tcPr>
            <w:tcW w:w="697" w:type="pct"/>
            <w:shd w:val="clear" w:color="auto" w:fill="auto"/>
            <w:noWrap/>
            <w:vAlign w:val="center"/>
            <w:hideMark/>
          </w:tcPr>
          <w:p w:rsidR="00093C0A" w:rsidRPr="00AF6AF5" w:rsidP="0060195F" w14:paraId="40EF1B6E" w14:textId="79020131">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672</w:t>
            </w:r>
          </w:p>
        </w:tc>
        <w:tc>
          <w:tcPr>
            <w:tcW w:w="578" w:type="pct"/>
            <w:shd w:val="clear" w:color="auto" w:fill="auto"/>
            <w:noWrap/>
            <w:vAlign w:val="center"/>
            <w:hideMark/>
          </w:tcPr>
          <w:p w:rsidR="00093C0A" w:rsidRPr="00AF6AF5" w:rsidP="0060195F" w14:paraId="2FFC33C9" w14:textId="77777777">
            <w:pPr>
              <w:keepNext/>
              <w:keepLines/>
              <w:spacing w:after="0" w:line="240" w:lineRule="auto"/>
              <w:jc w:val="center"/>
              <w:rPr>
                <w:rFonts w:ascii="Times New Roman" w:hAnsi="Times New Roman" w:cs="Times New Roman"/>
                <w:color w:val="000000"/>
                <w:sz w:val="20"/>
                <w:szCs w:val="20"/>
              </w:rPr>
            </w:pPr>
            <w:r w:rsidRPr="00AF6AF5">
              <w:rPr>
                <w:rFonts w:ascii="Times New Roman" w:eastAsia="Times New Roman" w:hAnsi="Times New Roman" w:cs="Times New Roman"/>
                <w:color w:val="000000"/>
                <w:sz w:val="20"/>
                <w:szCs w:val="20"/>
              </w:rPr>
              <w:t>42</w:t>
            </w:r>
          </w:p>
        </w:tc>
        <w:tc>
          <w:tcPr>
            <w:tcW w:w="1318" w:type="pct"/>
            <w:shd w:val="clear" w:color="auto" w:fill="auto"/>
            <w:noWrap/>
            <w:vAlign w:val="center"/>
            <w:hideMark/>
          </w:tcPr>
          <w:p w:rsidR="00093C0A" w:rsidRPr="00AF6AF5" w:rsidP="0060195F" w14:paraId="795B8447" w14:textId="6D3157DD">
            <w:pPr>
              <w:keepNext/>
              <w:keepLine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16.0</w:t>
            </w:r>
          </w:p>
        </w:tc>
      </w:tr>
      <w:tr w14:paraId="49E9C2D3" w14:textId="77777777" w:rsidTr="00BE6AF3">
        <w:tblPrEx>
          <w:tblW w:w="4265" w:type="pct"/>
          <w:jc w:val="center"/>
          <w:tblLook w:val="04A0"/>
        </w:tblPrEx>
        <w:trPr>
          <w:trHeight w:val="290"/>
          <w:jc w:val="center"/>
        </w:trPr>
        <w:tc>
          <w:tcPr>
            <w:tcW w:w="1881" w:type="pct"/>
            <w:shd w:val="clear" w:color="auto" w:fill="auto"/>
            <w:vAlign w:val="bottom"/>
            <w:hideMark/>
          </w:tcPr>
          <w:p w:rsidR="00093C0A" w:rsidRPr="00D7128A" w:rsidP="0060195F" w14:paraId="476FC43B"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Manufacturing</w:t>
            </w:r>
          </w:p>
        </w:tc>
        <w:tc>
          <w:tcPr>
            <w:tcW w:w="526" w:type="pct"/>
            <w:shd w:val="clear" w:color="auto" w:fill="auto"/>
            <w:noWrap/>
            <w:vAlign w:val="center"/>
            <w:hideMark/>
          </w:tcPr>
          <w:p w:rsidR="00093C0A" w:rsidRPr="00D7128A" w:rsidP="0060195F" w14:paraId="25C7F6BC"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325</w:t>
            </w:r>
          </w:p>
        </w:tc>
        <w:tc>
          <w:tcPr>
            <w:tcW w:w="697" w:type="pct"/>
            <w:shd w:val="clear" w:color="auto" w:fill="auto"/>
            <w:noWrap/>
            <w:vAlign w:val="center"/>
            <w:hideMark/>
          </w:tcPr>
          <w:p w:rsidR="00093C0A" w:rsidRPr="00AF6AF5" w:rsidP="0060195F" w14:paraId="035141F9" w14:textId="009A4CEB">
            <w:pPr>
              <w:keepNext/>
              <w:keepLines/>
              <w:spacing w:after="0" w:line="240" w:lineRule="auto"/>
              <w:jc w:val="center"/>
              <w:rPr>
                <w:rFonts w:ascii="Times New Roman" w:hAnsi="Times New Roman" w:cs="Times New Roman"/>
                <w:color w:val="000000"/>
                <w:sz w:val="20"/>
                <w:szCs w:val="20"/>
              </w:rPr>
            </w:pPr>
            <w:r w:rsidRPr="00AF6AF5">
              <w:rPr>
                <w:rFonts w:ascii="Times New Roman" w:eastAsia="Times New Roman" w:hAnsi="Times New Roman" w:cs="Times New Roman"/>
                <w:color w:val="000000"/>
                <w:sz w:val="20"/>
                <w:szCs w:val="20"/>
              </w:rPr>
              <w:t>2,</w:t>
            </w:r>
            <w:r w:rsidRPr="00AF6AF5" w:rsidR="00990474">
              <w:rPr>
                <w:rFonts w:ascii="Times New Roman" w:eastAsia="Times New Roman" w:hAnsi="Times New Roman" w:cs="Times New Roman"/>
                <w:color w:val="000000"/>
                <w:sz w:val="20"/>
                <w:szCs w:val="20"/>
              </w:rPr>
              <w:t>799</w:t>
            </w:r>
          </w:p>
        </w:tc>
        <w:tc>
          <w:tcPr>
            <w:tcW w:w="578" w:type="pct"/>
            <w:shd w:val="clear" w:color="auto" w:fill="auto"/>
            <w:noWrap/>
            <w:vAlign w:val="center"/>
            <w:hideMark/>
          </w:tcPr>
          <w:p w:rsidR="00093C0A" w:rsidRPr="00AF6AF5" w:rsidP="0060195F" w14:paraId="5F5C9F5C" w14:textId="77777777">
            <w:pPr>
              <w:keepNext/>
              <w:keepLines/>
              <w:spacing w:after="0" w:line="240" w:lineRule="auto"/>
              <w:jc w:val="center"/>
              <w:rPr>
                <w:rFonts w:ascii="Times New Roman" w:hAnsi="Times New Roman" w:cs="Times New Roman"/>
                <w:color w:val="000000"/>
                <w:sz w:val="20"/>
                <w:szCs w:val="20"/>
              </w:rPr>
            </w:pPr>
            <w:r w:rsidRPr="00AF6AF5">
              <w:rPr>
                <w:rFonts w:ascii="Times New Roman" w:eastAsia="Times New Roman" w:hAnsi="Times New Roman" w:cs="Times New Roman"/>
                <w:color w:val="000000"/>
                <w:sz w:val="20"/>
                <w:szCs w:val="20"/>
              </w:rPr>
              <w:t>1,3</w:t>
            </w:r>
            <w:r w:rsidRPr="00AF6AF5" w:rsidR="00990474">
              <w:rPr>
                <w:rFonts w:ascii="Times New Roman" w:eastAsia="Times New Roman" w:hAnsi="Times New Roman" w:cs="Times New Roman"/>
                <w:color w:val="000000"/>
                <w:sz w:val="20"/>
                <w:szCs w:val="20"/>
              </w:rPr>
              <w:t>55</w:t>
            </w:r>
          </w:p>
        </w:tc>
        <w:tc>
          <w:tcPr>
            <w:tcW w:w="1318" w:type="pct"/>
            <w:shd w:val="clear" w:color="auto" w:fill="auto"/>
            <w:noWrap/>
            <w:vAlign w:val="center"/>
            <w:hideMark/>
          </w:tcPr>
          <w:p w:rsidR="00093C0A" w:rsidRPr="00AF6AF5" w:rsidP="0060195F" w14:paraId="7F5A6536" w14:textId="279E8426">
            <w:pPr>
              <w:keepNext/>
              <w:keepLines/>
              <w:spacing w:after="0" w:line="240" w:lineRule="auto"/>
              <w:jc w:val="center"/>
              <w:rPr>
                <w:rFonts w:ascii="Times New Roman" w:hAnsi="Times New Roman" w:cs="Times New Roman"/>
                <w:color w:val="000000"/>
                <w:sz w:val="20"/>
                <w:szCs w:val="20"/>
              </w:rPr>
            </w:pPr>
            <w:r w:rsidRPr="00AF6AF5">
              <w:rPr>
                <w:rFonts w:ascii="Times New Roman" w:hAnsi="Times New Roman" w:cs="Times New Roman"/>
                <w:color w:val="000000"/>
                <w:sz w:val="20"/>
                <w:szCs w:val="20"/>
              </w:rPr>
              <w:t>2.</w:t>
            </w:r>
            <w:r w:rsidRPr="00AF6AF5" w:rsidR="00DF7F6E">
              <w:rPr>
                <w:rFonts w:ascii="Times New Roman" w:hAnsi="Times New Roman" w:cs="Times New Roman"/>
                <w:color w:val="000000"/>
                <w:sz w:val="20"/>
                <w:szCs w:val="20"/>
              </w:rPr>
              <w:t>1</w:t>
            </w:r>
          </w:p>
        </w:tc>
      </w:tr>
      <w:tr w14:paraId="441CE532" w14:textId="77777777" w:rsidTr="00BE6AF3">
        <w:tblPrEx>
          <w:tblW w:w="4265" w:type="pct"/>
          <w:jc w:val="center"/>
          <w:tblLook w:val="04A0"/>
        </w:tblPrEx>
        <w:trPr>
          <w:trHeight w:val="290"/>
          <w:jc w:val="center"/>
        </w:trPr>
        <w:tc>
          <w:tcPr>
            <w:tcW w:w="1881" w:type="pct"/>
            <w:shd w:val="clear" w:color="auto" w:fill="auto"/>
            <w:noWrap/>
            <w:vAlign w:val="bottom"/>
            <w:hideMark/>
          </w:tcPr>
          <w:p w:rsidR="00093C0A" w:rsidRPr="00D7128A" w:rsidP="0060195F" w14:paraId="27E3FC62" w14:textId="77777777">
            <w:pPr>
              <w:keepNext/>
              <w:keepLines/>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Total</w:t>
            </w:r>
          </w:p>
        </w:tc>
        <w:tc>
          <w:tcPr>
            <w:tcW w:w="526" w:type="pct"/>
            <w:shd w:val="clear" w:color="auto" w:fill="auto"/>
            <w:noWrap/>
            <w:vAlign w:val="center"/>
            <w:hideMark/>
          </w:tcPr>
          <w:p w:rsidR="00093C0A" w:rsidRPr="00D7128A" w:rsidP="00305374" w14:paraId="70560C5F" w14:textId="77777777">
            <w:pPr>
              <w:keepNext/>
              <w:keepLines/>
              <w:spacing w:after="0" w:line="240" w:lineRule="auto"/>
              <w:jc w:val="center"/>
              <w:rPr>
                <w:rFonts w:ascii="Times New Roman" w:hAnsi="Times New Roman" w:cs="Times New Roman"/>
                <w:b/>
                <w:color w:val="000000"/>
                <w:sz w:val="20"/>
                <w:szCs w:val="20"/>
              </w:rPr>
            </w:pPr>
          </w:p>
        </w:tc>
        <w:tc>
          <w:tcPr>
            <w:tcW w:w="697" w:type="pct"/>
            <w:shd w:val="clear" w:color="auto" w:fill="auto"/>
            <w:noWrap/>
            <w:vAlign w:val="center"/>
            <w:hideMark/>
          </w:tcPr>
          <w:p w:rsidR="00093C0A" w:rsidRPr="00AF6AF5" w:rsidP="0060195F" w14:paraId="3025915F" w14:textId="63FF5128">
            <w:pPr>
              <w:keepNext/>
              <w:keepLines/>
              <w:spacing w:after="0" w:line="240" w:lineRule="auto"/>
              <w:jc w:val="center"/>
              <w:rPr>
                <w:rFonts w:ascii="Times New Roman" w:hAnsi="Times New Roman" w:cs="Times New Roman"/>
                <w:b/>
                <w:color w:val="000000"/>
                <w:sz w:val="20"/>
                <w:szCs w:val="20"/>
              </w:rPr>
            </w:pPr>
            <w:r w:rsidRPr="00AF6AF5">
              <w:rPr>
                <w:rFonts w:ascii="Times New Roman" w:hAnsi="Times New Roman" w:cs="Times New Roman"/>
                <w:b/>
                <w:color w:val="000000"/>
                <w:sz w:val="20"/>
                <w:szCs w:val="20"/>
              </w:rPr>
              <w:t>4,</w:t>
            </w:r>
            <w:r w:rsidR="00787CB1">
              <w:rPr>
                <w:rFonts w:ascii="Times New Roman" w:hAnsi="Times New Roman" w:cs="Times New Roman"/>
                <w:b/>
                <w:color w:val="000000"/>
                <w:sz w:val="20"/>
                <w:szCs w:val="20"/>
              </w:rPr>
              <w:t>363</w:t>
            </w:r>
          </w:p>
        </w:tc>
        <w:tc>
          <w:tcPr>
            <w:tcW w:w="578" w:type="pct"/>
            <w:shd w:val="clear" w:color="auto" w:fill="auto"/>
            <w:noWrap/>
            <w:vAlign w:val="center"/>
            <w:hideMark/>
          </w:tcPr>
          <w:p w:rsidR="00093C0A" w:rsidRPr="00AF6AF5" w:rsidP="0060195F" w14:paraId="2C46C2E7" w14:textId="77777777">
            <w:pPr>
              <w:keepNext/>
              <w:keepLines/>
              <w:spacing w:after="0" w:line="240" w:lineRule="auto"/>
              <w:jc w:val="center"/>
              <w:rPr>
                <w:rFonts w:ascii="Times New Roman" w:hAnsi="Times New Roman" w:cs="Times New Roman"/>
                <w:b/>
                <w:color w:val="000000"/>
                <w:sz w:val="20"/>
                <w:szCs w:val="20"/>
              </w:rPr>
            </w:pPr>
            <w:r w:rsidRPr="00AF6AF5">
              <w:rPr>
                <w:rFonts w:ascii="Times New Roman" w:eastAsia="Times New Roman" w:hAnsi="Times New Roman" w:cs="Times New Roman"/>
                <w:b/>
                <w:color w:val="000000"/>
                <w:sz w:val="20"/>
                <w:szCs w:val="20"/>
              </w:rPr>
              <w:t>1,</w:t>
            </w:r>
            <w:r w:rsidRPr="00AF6AF5" w:rsidR="009A69FF">
              <w:rPr>
                <w:rFonts w:ascii="Times New Roman" w:eastAsia="Times New Roman" w:hAnsi="Times New Roman" w:cs="Times New Roman"/>
                <w:b/>
                <w:color w:val="000000"/>
                <w:sz w:val="20"/>
                <w:szCs w:val="20"/>
              </w:rPr>
              <w:t>489</w:t>
            </w:r>
          </w:p>
        </w:tc>
        <w:tc>
          <w:tcPr>
            <w:tcW w:w="1318" w:type="pct"/>
            <w:shd w:val="clear" w:color="auto" w:fill="auto"/>
            <w:noWrap/>
            <w:vAlign w:val="center"/>
            <w:hideMark/>
          </w:tcPr>
          <w:p w:rsidR="00093C0A" w:rsidRPr="00AF6AF5" w:rsidP="0060195F" w14:paraId="31AFE625" w14:textId="77777777">
            <w:pPr>
              <w:keepNext/>
              <w:keepLines/>
              <w:spacing w:after="0" w:line="240" w:lineRule="auto"/>
              <w:jc w:val="center"/>
              <w:rPr>
                <w:rFonts w:ascii="Times New Roman" w:hAnsi="Times New Roman" w:cs="Times New Roman"/>
                <w:b/>
                <w:color w:val="000000"/>
                <w:sz w:val="20"/>
                <w:szCs w:val="20"/>
              </w:rPr>
            </w:pPr>
            <w:r w:rsidRPr="00AF6AF5">
              <w:rPr>
                <w:rFonts w:ascii="Times New Roman" w:hAnsi="Times New Roman" w:cs="Times New Roman"/>
                <w:b/>
                <w:color w:val="000000"/>
                <w:sz w:val="20"/>
                <w:szCs w:val="20"/>
              </w:rPr>
              <w:t>2</w:t>
            </w:r>
            <w:r w:rsidRPr="00AF6AF5" w:rsidR="00EE2225">
              <w:rPr>
                <w:rFonts w:ascii="Times New Roman" w:hAnsi="Times New Roman" w:cs="Times New Roman"/>
                <w:b/>
                <w:color w:val="000000"/>
                <w:sz w:val="20"/>
                <w:szCs w:val="20"/>
              </w:rPr>
              <w:t>.</w:t>
            </w:r>
            <w:r w:rsidRPr="00AF6AF5">
              <w:rPr>
                <w:rFonts w:ascii="Times New Roman" w:hAnsi="Times New Roman" w:cs="Times New Roman"/>
                <w:b/>
                <w:color w:val="000000"/>
                <w:sz w:val="20"/>
                <w:szCs w:val="20"/>
              </w:rPr>
              <w:t>9</w:t>
            </w:r>
          </w:p>
        </w:tc>
      </w:tr>
    </w:tbl>
    <w:p w:rsidR="00305374" w:rsidRPr="00587204" w:rsidP="00587204" w14:paraId="23917B25" w14:textId="77777777">
      <w:pPr>
        <w:spacing w:after="0" w:line="240" w:lineRule="auto"/>
        <w:ind w:left="360"/>
        <w:rPr>
          <w:rFonts w:ascii="Times New Roman" w:hAnsi="Times New Roman" w:cs="Times New Roman"/>
        </w:rPr>
      </w:pPr>
    </w:p>
    <w:p w:rsidR="00E051CB" w:rsidRPr="00587204" w:rsidP="00E051CB" w14:paraId="1F2DF4F6" w14:textId="77777777">
      <w:pPr>
        <w:pStyle w:val="CommentText"/>
        <w:spacing w:after="0"/>
        <w:ind w:firstLine="360"/>
        <w:rPr>
          <w:rFonts w:ascii="Times New Roman" w:eastAsia="Calibri" w:hAnsi="Times New Roman" w:cs="Times New Roman"/>
          <w:sz w:val="22"/>
          <w:szCs w:val="22"/>
        </w:rPr>
      </w:pPr>
      <w:r>
        <w:rPr>
          <w:rFonts w:ascii="Times New Roman" w:hAnsi="Times New Roman" w:cs="Times New Roman"/>
        </w:rPr>
        <w:tab/>
      </w:r>
      <w:r w:rsidRPr="00587204">
        <w:rPr>
          <w:rFonts w:ascii="Times New Roman" w:eastAsia="Calibri" w:hAnsi="Times New Roman" w:cs="Times New Roman"/>
          <w:sz w:val="22"/>
          <w:szCs w:val="22"/>
        </w:rPr>
        <w:t xml:space="preserve">The </w:t>
      </w:r>
      <w:r w:rsidR="007422B2">
        <w:rPr>
          <w:rFonts w:ascii="Times New Roman" w:eastAsia="Calibri" w:hAnsi="Times New Roman" w:cs="Times New Roman"/>
          <w:sz w:val="22"/>
          <w:szCs w:val="22"/>
        </w:rPr>
        <w:t>requirement</w:t>
      </w:r>
      <w:r w:rsidR="00374A07">
        <w:rPr>
          <w:rFonts w:ascii="Times New Roman" w:eastAsia="Calibri" w:hAnsi="Times New Roman" w:cs="Times New Roman"/>
          <w:sz w:val="22"/>
          <w:szCs w:val="22"/>
        </w:rPr>
        <w:t>s</w:t>
      </w:r>
      <w:r w:rsidR="007422B2">
        <w:rPr>
          <w:rFonts w:ascii="Times New Roman" w:eastAsia="Calibri" w:hAnsi="Times New Roman" w:cs="Times New Roman"/>
          <w:sz w:val="22"/>
          <w:szCs w:val="22"/>
        </w:rPr>
        <w:t xml:space="preserve"> to conduct a </w:t>
      </w:r>
      <w:r w:rsidR="00E25B3A">
        <w:rPr>
          <w:rFonts w:ascii="Times New Roman" w:eastAsia="Calibri" w:hAnsi="Times New Roman" w:cs="Times New Roman"/>
          <w:sz w:val="22"/>
          <w:szCs w:val="22"/>
        </w:rPr>
        <w:t>practicability assessment</w:t>
      </w:r>
      <w:r w:rsidRPr="00587204">
        <w:rPr>
          <w:rFonts w:ascii="Times New Roman" w:eastAsia="Calibri" w:hAnsi="Times New Roman" w:cs="Times New Roman"/>
          <w:sz w:val="22"/>
          <w:szCs w:val="22"/>
        </w:rPr>
        <w:t xml:space="preserve"> </w:t>
      </w:r>
      <w:r w:rsidR="001D3A6C">
        <w:rPr>
          <w:rFonts w:ascii="Times New Roman" w:eastAsia="Calibri" w:hAnsi="Times New Roman" w:cs="Times New Roman"/>
          <w:sz w:val="22"/>
          <w:szCs w:val="22"/>
        </w:rPr>
        <w:t>and</w:t>
      </w:r>
      <w:r w:rsidR="00F921E4">
        <w:rPr>
          <w:rFonts w:ascii="Times New Roman" w:eastAsia="Calibri" w:hAnsi="Times New Roman" w:cs="Times New Roman"/>
          <w:sz w:val="22"/>
          <w:szCs w:val="22"/>
        </w:rPr>
        <w:t xml:space="preserve"> implement</w:t>
      </w:r>
      <w:r w:rsidR="001D3A6C">
        <w:rPr>
          <w:rFonts w:ascii="Times New Roman" w:eastAsia="Calibri" w:hAnsi="Times New Roman" w:cs="Times New Roman"/>
          <w:sz w:val="22"/>
          <w:szCs w:val="22"/>
        </w:rPr>
        <w:t xml:space="preserve"> </w:t>
      </w:r>
      <w:r w:rsidR="00F568BD">
        <w:rPr>
          <w:rFonts w:ascii="Times New Roman" w:eastAsia="Calibri" w:hAnsi="Times New Roman" w:cs="Times New Roman"/>
          <w:sz w:val="22"/>
          <w:szCs w:val="22"/>
        </w:rPr>
        <w:t xml:space="preserve">safer technology </w:t>
      </w:r>
      <w:r w:rsidRPr="00587204">
        <w:rPr>
          <w:rFonts w:ascii="Times New Roman" w:eastAsia="Calibri" w:hAnsi="Times New Roman" w:cs="Times New Roman"/>
          <w:sz w:val="22"/>
          <w:szCs w:val="22"/>
        </w:rPr>
        <w:t>appl</w:t>
      </w:r>
      <w:r w:rsidR="001D3A6C">
        <w:rPr>
          <w:rFonts w:ascii="Times New Roman" w:eastAsia="Calibri" w:hAnsi="Times New Roman" w:cs="Times New Roman"/>
          <w:sz w:val="22"/>
          <w:szCs w:val="22"/>
        </w:rPr>
        <w:t>y</w:t>
      </w:r>
      <w:r w:rsidRPr="00587204">
        <w:rPr>
          <w:rFonts w:ascii="Times New Roman" w:eastAsia="Calibri" w:hAnsi="Times New Roman" w:cs="Times New Roman"/>
          <w:sz w:val="22"/>
          <w:szCs w:val="22"/>
        </w:rPr>
        <w:t xml:space="preserve"> only to Program 3 facilities with processes in NAICS 324 and 325 located within one mile of another facility with a NAICS 324 or 325 process, or facilities that have </w:t>
      </w:r>
      <w:r w:rsidR="002F3644">
        <w:rPr>
          <w:rFonts w:ascii="Times New Roman" w:eastAsia="Calibri" w:hAnsi="Times New Roman" w:cs="Times New Roman"/>
          <w:sz w:val="22"/>
          <w:szCs w:val="22"/>
        </w:rPr>
        <w:t xml:space="preserve">had an accident </w:t>
      </w:r>
      <w:r w:rsidRPr="001D4AB4" w:rsidR="001D4AB4">
        <w:rPr>
          <w:rFonts w:ascii="Times New Roman" w:eastAsia="Calibri" w:hAnsi="Times New Roman" w:cs="Times New Roman"/>
          <w:sz w:val="22"/>
          <w:szCs w:val="22"/>
        </w:rPr>
        <w:t>since the</w:t>
      </w:r>
      <w:r w:rsidR="00AE095F">
        <w:rPr>
          <w:rFonts w:ascii="Times New Roman" w:eastAsia="Calibri" w:hAnsi="Times New Roman" w:cs="Times New Roman"/>
          <w:sz w:val="22"/>
          <w:szCs w:val="22"/>
        </w:rPr>
        <w:t>ir</w:t>
      </w:r>
      <w:r w:rsidRPr="001D4AB4" w:rsidR="001D4AB4">
        <w:rPr>
          <w:rFonts w:ascii="Times New Roman" w:eastAsia="Calibri" w:hAnsi="Times New Roman" w:cs="Times New Roman"/>
          <w:sz w:val="22"/>
          <w:szCs w:val="22"/>
        </w:rPr>
        <w:t xml:space="preserve"> most recent process hazard </w:t>
      </w:r>
      <w:r w:rsidRPr="001D4AB4" w:rsidR="00130F04">
        <w:rPr>
          <w:rFonts w:ascii="Times New Roman" w:eastAsia="Calibri" w:hAnsi="Times New Roman" w:cs="Times New Roman"/>
          <w:sz w:val="22"/>
          <w:szCs w:val="22"/>
        </w:rPr>
        <w:t xml:space="preserve">analysis </w:t>
      </w:r>
      <w:r w:rsidR="00130F04">
        <w:rPr>
          <w:rFonts w:ascii="Times New Roman" w:eastAsia="Calibri" w:hAnsi="Times New Roman" w:cs="Times New Roman"/>
          <w:sz w:val="22"/>
          <w:szCs w:val="22"/>
        </w:rPr>
        <w:t>or</w:t>
      </w:r>
      <w:r w:rsidR="00484EEA">
        <w:rPr>
          <w:rFonts w:ascii="Times New Roman" w:eastAsia="Calibri" w:hAnsi="Times New Roman" w:cs="Times New Roman"/>
          <w:sz w:val="22"/>
          <w:szCs w:val="22"/>
        </w:rPr>
        <w:t xml:space="preserve"> have </w:t>
      </w:r>
      <w:r w:rsidRPr="00587204">
        <w:rPr>
          <w:rFonts w:ascii="Times New Roman" w:eastAsia="Calibri" w:hAnsi="Times New Roman" w:cs="Times New Roman"/>
          <w:sz w:val="22"/>
          <w:szCs w:val="22"/>
        </w:rPr>
        <w:t>an HF alkylation unit process regardless of proximity to another NAICS 324 or 325-regulated facility.</w:t>
      </w:r>
      <w:r>
        <w:rPr>
          <w:rFonts w:ascii="Times New Roman" w:eastAsia="Calibri" w:hAnsi="Times New Roman" w:cs="Times New Roman"/>
          <w:sz w:val="22"/>
          <w:szCs w:val="22"/>
        </w:rPr>
        <w:t xml:space="preserve"> </w:t>
      </w:r>
      <w:r w:rsidR="005D6870">
        <w:rPr>
          <w:rFonts w:ascii="Times New Roman" w:eastAsia="Calibri" w:hAnsi="Times New Roman" w:cs="Times New Roman"/>
          <w:sz w:val="22"/>
          <w:szCs w:val="22"/>
        </w:rPr>
        <w:t xml:space="preserve">Compared to the </w:t>
      </w:r>
      <w:r w:rsidRPr="005C5C17" w:rsidR="00D32ADF">
        <w:rPr>
          <w:rFonts w:ascii="Times New Roman" w:eastAsia="Calibri" w:hAnsi="Times New Roman" w:cs="Times New Roman"/>
          <w:sz w:val="22"/>
          <w:szCs w:val="22"/>
        </w:rPr>
        <w:t>propose</w:t>
      </w:r>
      <w:r w:rsidRPr="005C5C17" w:rsidR="005D6870">
        <w:rPr>
          <w:rFonts w:ascii="Times New Roman" w:eastAsia="Calibri" w:hAnsi="Times New Roman" w:cs="Times New Roman"/>
          <w:sz w:val="22"/>
          <w:szCs w:val="22"/>
        </w:rPr>
        <w:t>d</w:t>
      </w:r>
      <w:r w:rsidR="005D6870">
        <w:rPr>
          <w:rFonts w:ascii="Times New Roman" w:eastAsia="Calibri" w:hAnsi="Times New Roman" w:cs="Times New Roman"/>
          <w:sz w:val="22"/>
          <w:szCs w:val="22"/>
        </w:rPr>
        <w:t xml:space="preserve"> rule</w:t>
      </w:r>
      <w:r w:rsidR="00BB0CEF">
        <w:rPr>
          <w:rFonts w:ascii="Times New Roman" w:eastAsia="Calibri" w:hAnsi="Times New Roman" w:cs="Times New Roman"/>
          <w:sz w:val="22"/>
          <w:szCs w:val="22"/>
        </w:rPr>
        <w:t>,</w:t>
      </w:r>
      <w:r w:rsidR="005D6870">
        <w:rPr>
          <w:rFonts w:ascii="Times New Roman" w:eastAsia="Calibri" w:hAnsi="Times New Roman" w:cs="Times New Roman"/>
          <w:sz w:val="22"/>
          <w:szCs w:val="22"/>
        </w:rPr>
        <w:t xml:space="preserve"> this requirement adds some facilities based on having had an accident </w:t>
      </w:r>
      <w:r w:rsidRPr="00200826" w:rsidR="00200826">
        <w:rPr>
          <w:rFonts w:ascii="Times New Roman" w:eastAsia="Calibri" w:hAnsi="Times New Roman" w:cs="Times New Roman"/>
          <w:sz w:val="22"/>
          <w:szCs w:val="22"/>
        </w:rPr>
        <w:t>since th</w:t>
      </w:r>
      <w:r w:rsidR="00AE095F">
        <w:rPr>
          <w:rFonts w:ascii="Times New Roman" w:eastAsia="Calibri" w:hAnsi="Times New Roman" w:cs="Times New Roman"/>
          <w:sz w:val="22"/>
          <w:szCs w:val="22"/>
        </w:rPr>
        <w:t>eir</w:t>
      </w:r>
      <w:r w:rsidRPr="00200826" w:rsidR="00200826">
        <w:rPr>
          <w:rFonts w:ascii="Times New Roman" w:eastAsia="Calibri" w:hAnsi="Times New Roman" w:cs="Times New Roman"/>
          <w:sz w:val="22"/>
          <w:szCs w:val="22"/>
        </w:rPr>
        <w:t xml:space="preserve"> most recent process hazard analysis</w:t>
      </w:r>
      <w:r w:rsidR="005D6870">
        <w:rPr>
          <w:rFonts w:ascii="Times New Roman" w:eastAsia="Calibri" w:hAnsi="Times New Roman" w:cs="Times New Roman"/>
          <w:sz w:val="22"/>
          <w:szCs w:val="22"/>
        </w:rPr>
        <w:t xml:space="preserve">. </w:t>
      </w:r>
      <w:r w:rsidR="004022AB">
        <w:rPr>
          <w:rFonts w:ascii="Times New Roman" w:eastAsia="Calibri" w:hAnsi="Times New Roman" w:cs="Times New Roman"/>
          <w:sz w:val="22"/>
          <w:szCs w:val="22"/>
        </w:rPr>
        <w:t>As mentioned above</w:t>
      </w:r>
      <w:r w:rsidRPr="00587204">
        <w:rPr>
          <w:rFonts w:ascii="Times New Roman" w:eastAsia="Calibri" w:hAnsi="Times New Roman" w:cs="Times New Roman"/>
          <w:sz w:val="22"/>
          <w:szCs w:val="22"/>
        </w:rPr>
        <w:t xml:space="preserve">, </w:t>
      </w:r>
      <w:r w:rsidR="004022AB">
        <w:rPr>
          <w:rFonts w:ascii="Times New Roman" w:eastAsia="Calibri" w:hAnsi="Times New Roman" w:cs="Times New Roman"/>
          <w:sz w:val="22"/>
          <w:szCs w:val="22"/>
        </w:rPr>
        <w:t>California refineries with HF units</w:t>
      </w:r>
      <w:r w:rsidR="004E7762">
        <w:rPr>
          <w:rFonts w:ascii="Times New Roman" w:eastAsia="Calibri" w:hAnsi="Times New Roman" w:cs="Times New Roman"/>
          <w:sz w:val="22"/>
          <w:szCs w:val="22"/>
        </w:rPr>
        <w:t>, Contra Costa County facilities,</w:t>
      </w:r>
      <w:r w:rsidR="004022AB">
        <w:rPr>
          <w:rFonts w:ascii="Times New Roman" w:eastAsia="Calibri" w:hAnsi="Times New Roman" w:cs="Times New Roman"/>
          <w:sz w:val="22"/>
          <w:szCs w:val="22"/>
        </w:rPr>
        <w:t xml:space="preserve"> and New Jersey facilities </w:t>
      </w:r>
      <w:r w:rsidR="003E0EA6">
        <w:rPr>
          <w:rFonts w:ascii="Times New Roman" w:eastAsia="Calibri" w:hAnsi="Times New Roman" w:cs="Times New Roman"/>
          <w:sz w:val="22"/>
          <w:szCs w:val="22"/>
        </w:rPr>
        <w:t xml:space="preserve">already </w:t>
      </w:r>
      <w:r w:rsidR="00294A67">
        <w:rPr>
          <w:rFonts w:ascii="Times New Roman" w:eastAsia="Calibri" w:hAnsi="Times New Roman" w:cs="Times New Roman"/>
          <w:sz w:val="22"/>
          <w:szCs w:val="22"/>
        </w:rPr>
        <w:t xml:space="preserve">must meet or exceed </w:t>
      </w:r>
      <w:r w:rsidR="003C45A8">
        <w:rPr>
          <w:rFonts w:ascii="Times New Roman" w:eastAsia="Calibri" w:hAnsi="Times New Roman" w:cs="Times New Roman"/>
          <w:sz w:val="22"/>
          <w:szCs w:val="22"/>
        </w:rPr>
        <w:t xml:space="preserve">STAA </w:t>
      </w:r>
      <w:r w:rsidR="00E25B3A">
        <w:rPr>
          <w:rFonts w:ascii="Times New Roman" w:eastAsia="Calibri" w:hAnsi="Times New Roman" w:cs="Times New Roman"/>
          <w:sz w:val="22"/>
          <w:szCs w:val="22"/>
        </w:rPr>
        <w:t>practicability assessment</w:t>
      </w:r>
      <w:r w:rsidR="003C45A8">
        <w:rPr>
          <w:rFonts w:ascii="Times New Roman" w:eastAsia="Calibri" w:hAnsi="Times New Roman" w:cs="Times New Roman"/>
          <w:sz w:val="22"/>
          <w:szCs w:val="22"/>
        </w:rPr>
        <w:t xml:space="preserve"> requirements</w:t>
      </w:r>
      <w:r w:rsidR="00715A50">
        <w:rPr>
          <w:rFonts w:ascii="Times New Roman" w:eastAsia="Calibri" w:hAnsi="Times New Roman" w:cs="Times New Roman"/>
          <w:sz w:val="22"/>
          <w:szCs w:val="22"/>
        </w:rPr>
        <w:t>.</w:t>
      </w:r>
      <w:r w:rsidR="003C45A8">
        <w:rPr>
          <w:rFonts w:ascii="Times New Roman" w:eastAsia="Calibri" w:hAnsi="Times New Roman" w:cs="Times New Roman"/>
          <w:sz w:val="22"/>
          <w:szCs w:val="22"/>
        </w:rPr>
        <w:t xml:space="preserve"> </w:t>
      </w:r>
      <w:r w:rsidR="009F3458">
        <w:rPr>
          <w:rFonts w:ascii="Times New Roman" w:eastAsia="Calibri" w:hAnsi="Times New Roman" w:cs="Times New Roman"/>
          <w:sz w:val="22"/>
          <w:szCs w:val="22"/>
        </w:rPr>
        <w:t>Therefore,</w:t>
      </w:r>
      <w:r w:rsidR="003E0EA6">
        <w:rPr>
          <w:rFonts w:ascii="Times New Roman" w:eastAsia="Calibri" w:hAnsi="Times New Roman" w:cs="Times New Roman"/>
          <w:sz w:val="22"/>
          <w:szCs w:val="22"/>
        </w:rPr>
        <w:t xml:space="preserve"> </w:t>
      </w:r>
      <w:r w:rsidRPr="00587204">
        <w:rPr>
          <w:rFonts w:ascii="Times New Roman" w:eastAsia="Calibri" w:hAnsi="Times New Roman" w:cs="Times New Roman"/>
          <w:sz w:val="22"/>
          <w:szCs w:val="22"/>
        </w:rPr>
        <w:t xml:space="preserve">EPA </w:t>
      </w:r>
      <w:r w:rsidR="00294A67">
        <w:rPr>
          <w:rFonts w:ascii="Times New Roman" w:eastAsia="Calibri" w:hAnsi="Times New Roman" w:cs="Times New Roman"/>
          <w:sz w:val="22"/>
          <w:szCs w:val="22"/>
        </w:rPr>
        <w:t>exclude</w:t>
      </w:r>
      <w:r w:rsidR="00EB7A50">
        <w:rPr>
          <w:rFonts w:ascii="Times New Roman" w:eastAsia="Calibri" w:hAnsi="Times New Roman" w:cs="Times New Roman"/>
          <w:sz w:val="22"/>
          <w:szCs w:val="22"/>
        </w:rPr>
        <w:t>d</w:t>
      </w:r>
      <w:r w:rsidRPr="00587204">
        <w:rPr>
          <w:rFonts w:ascii="Times New Roman" w:eastAsia="Calibri" w:hAnsi="Times New Roman" w:cs="Times New Roman"/>
          <w:sz w:val="22"/>
          <w:szCs w:val="22"/>
        </w:rPr>
        <w:t xml:space="preserve"> the two California refineries with HF units</w:t>
      </w:r>
      <w:r w:rsidR="00962245">
        <w:rPr>
          <w:rFonts w:ascii="Times New Roman" w:eastAsia="Calibri" w:hAnsi="Times New Roman" w:cs="Times New Roman"/>
          <w:sz w:val="22"/>
          <w:szCs w:val="22"/>
        </w:rPr>
        <w:t xml:space="preserve">, two refineries and seven </w:t>
      </w:r>
      <w:r w:rsidR="00A50575">
        <w:rPr>
          <w:rFonts w:ascii="Times New Roman" w:eastAsia="Calibri" w:hAnsi="Times New Roman" w:cs="Times New Roman"/>
          <w:sz w:val="22"/>
          <w:szCs w:val="22"/>
        </w:rPr>
        <w:t>chemical facilities in Contra Costa</w:t>
      </w:r>
      <w:r w:rsidR="0086206F">
        <w:rPr>
          <w:rFonts w:ascii="Times New Roman" w:eastAsia="Calibri" w:hAnsi="Times New Roman" w:cs="Times New Roman"/>
          <w:sz w:val="22"/>
          <w:szCs w:val="22"/>
        </w:rPr>
        <w:t xml:space="preserve"> County</w:t>
      </w:r>
      <w:r w:rsidR="00A50575">
        <w:rPr>
          <w:rFonts w:ascii="Times New Roman" w:eastAsia="Calibri" w:hAnsi="Times New Roman" w:cs="Times New Roman"/>
          <w:sz w:val="22"/>
          <w:szCs w:val="22"/>
        </w:rPr>
        <w:t>,</w:t>
      </w:r>
      <w:r w:rsidRPr="00587204">
        <w:rPr>
          <w:rFonts w:ascii="Times New Roman" w:eastAsia="Calibri" w:hAnsi="Times New Roman" w:cs="Times New Roman"/>
          <w:sz w:val="22"/>
          <w:szCs w:val="22"/>
        </w:rPr>
        <w:t xml:space="preserve"> </w:t>
      </w:r>
      <w:r w:rsidR="006932BD">
        <w:rPr>
          <w:rFonts w:ascii="Times New Roman" w:eastAsia="Calibri" w:hAnsi="Times New Roman" w:cs="Times New Roman"/>
          <w:sz w:val="22"/>
          <w:szCs w:val="22"/>
        </w:rPr>
        <w:t xml:space="preserve">and </w:t>
      </w:r>
      <w:r w:rsidR="006E74D0">
        <w:rPr>
          <w:rFonts w:ascii="Times New Roman" w:eastAsia="Calibri" w:hAnsi="Times New Roman" w:cs="Times New Roman"/>
          <w:sz w:val="22"/>
          <w:szCs w:val="22"/>
        </w:rPr>
        <w:t xml:space="preserve">two refineries </w:t>
      </w:r>
      <w:r w:rsidR="008746A6">
        <w:rPr>
          <w:rFonts w:ascii="Times New Roman" w:eastAsia="Calibri" w:hAnsi="Times New Roman" w:cs="Times New Roman"/>
          <w:sz w:val="22"/>
          <w:szCs w:val="22"/>
        </w:rPr>
        <w:t xml:space="preserve">and </w:t>
      </w:r>
      <w:r w:rsidR="00427A9F">
        <w:rPr>
          <w:rFonts w:ascii="Times New Roman" w:eastAsia="Calibri" w:hAnsi="Times New Roman" w:cs="Times New Roman"/>
          <w:sz w:val="22"/>
          <w:szCs w:val="22"/>
        </w:rPr>
        <w:t xml:space="preserve">nine chemical facilities </w:t>
      </w:r>
      <w:r w:rsidRPr="00587204">
        <w:rPr>
          <w:rFonts w:ascii="Times New Roman" w:eastAsia="Calibri" w:hAnsi="Times New Roman" w:cs="Times New Roman"/>
          <w:sz w:val="22"/>
          <w:szCs w:val="22"/>
        </w:rPr>
        <w:t xml:space="preserve">in </w:t>
      </w:r>
      <w:r w:rsidR="00DA078A">
        <w:rPr>
          <w:rFonts w:ascii="Times New Roman" w:eastAsia="Calibri" w:hAnsi="Times New Roman" w:cs="Times New Roman"/>
          <w:sz w:val="22"/>
          <w:szCs w:val="22"/>
        </w:rPr>
        <w:t xml:space="preserve">New Jersey from </w:t>
      </w:r>
      <w:r w:rsidRPr="00587204">
        <w:rPr>
          <w:rFonts w:ascii="Times New Roman" w:eastAsia="Calibri" w:hAnsi="Times New Roman" w:cs="Times New Roman"/>
          <w:sz w:val="22"/>
          <w:szCs w:val="22"/>
        </w:rPr>
        <w:t>the analysis</w:t>
      </w:r>
      <w:r w:rsidR="00723196">
        <w:rPr>
          <w:rFonts w:ascii="Times New Roman" w:eastAsia="Calibri" w:hAnsi="Times New Roman" w:cs="Times New Roman"/>
          <w:sz w:val="22"/>
          <w:szCs w:val="22"/>
        </w:rPr>
        <w:t xml:space="preserve"> of </w:t>
      </w:r>
      <w:r w:rsidR="00E25B3A">
        <w:rPr>
          <w:rFonts w:ascii="Times New Roman" w:eastAsia="Calibri" w:hAnsi="Times New Roman" w:cs="Times New Roman"/>
          <w:sz w:val="22"/>
          <w:szCs w:val="22"/>
        </w:rPr>
        <w:t>practicability assessment</w:t>
      </w:r>
      <w:r w:rsidR="00723196">
        <w:rPr>
          <w:rFonts w:ascii="Times New Roman" w:eastAsia="Calibri" w:hAnsi="Times New Roman" w:cs="Times New Roman"/>
          <w:sz w:val="22"/>
          <w:szCs w:val="22"/>
        </w:rPr>
        <w:t xml:space="preserve"> costs</w:t>
      </w:r>
      <w:r w:rsidRPr="00587204">
        <w:rPr>
          <w:rFonts w:ascii="Times New Roman" w:eastAsia="Calibri" w:hAnsi="Times New Roman" w:cs="Times New Roman"/>
          <w:sz w:val="22"/>
          <w:szCs w:val="22"/>
        </w:rPr>
        <w:t xml:space="preserve">. </w:t>
      </w:r>
      <w:r w:rsidR="00151BF3">
        <w:rPr>
          <w:rFonts w:ascii="Times New Roman" w:eastAsia="Calibri" w:hAnsi="Times New Roman" w:cs="Times New Roman"/>
          <w:sz w:val="22"/>
          <w:szCs w:val="22"/>
        </w:rPr>
        <w:t xml:space="preserve">EPA expects the cost of a STAA </w:t>
      </w:r>
      <w:r w:rsidR="004B3771">
        <w:rPr>
          <w:rFonts w:ascii="Times New Roman" w:eastAsia="Calibri" w:hAnsi="Times New Roman" w:cs="Times New Roman"/>
          <w:sz w:val="22"/>
          <w:szCs w:val="22"/>
        </w:rPr>
        <w:t>practicability</w:t>
      </w:r>
      <w:r w:rsidR="00151BF3">
        <w:rPr>
          <w:rFonts w:ascii="Times New Roman" w:eastAsia="Calibri" w:hAnsi="Times New Roman" w:cs="Times New Roman"/>
          <w:sz w:val="22"/>
          <w:szCs w:val="22"/>
        </w:rPr>
        <w:t xml:space="preserve"> assessment to vary by </w:t>
      </w:r>
      <w:r w:rsidR="004B3771">
        <w:rPr>
          <w:rFonts w:ascii="Times New Roman" w:eastAsia="Calibri" w:hAnsi="Times New Roman" w:cs="Times New Roman"/>
          <w:sz w:val="22"/>
          <w:szCs w:val="22"/>
        </w:rPr>
        <w:t>facility size, type, and number of processes</w:t>
      </w:r>
      <w:r w:rsidR="004C43C3">
        <w:rPr>
          <w:rFonts w:ascii="Times New Roman" w:eastAsia="Calibri" w:hAnsi="Times New Roman" w:cs="Times New Roman"/>
          <w:sz w:val="22"/>
          <w:szCs w:val="22"/>
        </w:rPr>
        <w:t>.</w:t>
      </w:r>
      <w:r w:rsidR="004B3771">
        <w:rPr>
          <w:rFonts w:ascii="Times New Roman" w:eastAsia="Calibri" w:hAnsi="Times New Roman" w:cs="Times New Roman"/>
          <w:sz w:val="22"/>
          <w:szCs w:val="22"/>
        </w:rPr>
        <w:t xml:space="preserve"> </w:t>
      </w:r>
      <w:r w:rsidRPr="00587204">
        <w:rPr>
          <w:rFonts w:ascii="Times New Roman" w:eastAsia="Calibri" w:hAnsi="Times New Roman" w:cs="Times New Roman"/>
          <w:sz w:val="22"/>
          <w:szCs w:val="22"/>
        </w:rPr>
        <w:t>Exhibit 3-</w:t>
      </w:r>
      <w:r w:rsidR="00215ADB">
        <w:rPr>
          <w:rFonts w:ascii="Times New Roman" w:eastAsia="Calibri" w:hAnsi="Times New Roman" w:cs="Times New Roman"/>
          <w:sz w:val="22"/>
          <w:szCs w:val="22"/>
        </w:rPr>
        <w:t>6</w:t>
      </w:r>
      <w:r w:rsidRPr="00587204">
        <w:rPr>
          <w:rFonts w:ascii="Times New Roman" w:eastAsia="Calibri" w:hAnsi="Times New Roman" w:cs="Times New Roman"/>
          <w:sz w:val="22"/>
          <w:szCs w:val="22"/>
        </w:rPr>
        <w:t xml:space="preserve"> presents the number of processes and facilities by facility size for the two sectors subject to this provision. </w:t>
      </w:r>
    </w:p>
    <w:p w:rsidR="00E051CB" w:rsidRPr="00587204" w:rsidP="00E051CB" w14:paraId="411B55E3" w14:textId="77777777">
      <w:pPr>
        <w:spacing w:after="0" w:line="240" w:lineRule="auto"/>
        <w:ind w:firstLine="720"/>
        <w:rPr>
          <w:rFonts w:ascii="Times New Roman" w:eastAsia="Calibri" w:hAnsi="Times New Roman" w:cs="Times New Roman"/>
        </w:rPr>
      </w:pPr>
    </w:p>
    <w:p w:rsidR="00E051CB" w:rsidP="00E051CB" w14:paraId="50BABB1B" w14:textId="77777777">
      <w:pPr>
        <w:keepNext/>
        <w:keepLines/>
        <w:spacing w:after="0" w:line="240" w:lineRule="auto"/>
        <w:jc w:val="center"/>
        <w:rPr>
          <w:rFonts w:ascii="Times New Roman" w:eastAsia="Calibri" w:hAnsi="Times New Roman" w:cs="Times New Roman"/>
          <w:b/>
        </w:rPr>
      </w:pPr>
      <w:bookmarkStart w:id="98" w:name="_Hlk141384028"/>
      <w:r w:rsidRPr="00305374">
        <w:rPr>
          <w:rFonts w:ascii="Times New Roman" w:hAnsi="Times New Roman" w:cs="Times New Roman"/>
          <w:b/>
        </w:rPr>
        <w:t xml:space="preserve">Exhibit </w:t>
      </w:r>
      <w:r w:rsidRPr="00305374">
        <w:rPr>
          <w:rFonts w:ascii="Times New Roman" w:eastAsia="Calibri" w:hAnsi="Times New Roman" w:cs="Times New Roman"/>
          <w:b/>
        </w:rPr>
        <w:t>3-</w:t>
      </w:r>
      <w:r w:rsidR="000F40A5">
        <w:rPr>
          <w:rFonts w:ascii="Times New Roman" w:eastAsia="Calibri" w:hAnsi="Times New Roman" w:cs="Times New Roman"/>
          <w:b/>
        </w:rPr>
        <w:t>6</w:t>
      </w:r>
      <w:r w:rsidRPr="00305374">
        <w:rPr>
          <w:rFonts w:ascii="Times New Roman" w:eastAsia="Calibri" w:hAnsi="Times New Roman" w:cs="Times New Roman"/>
          <w:b/>
        </w:rPr>
        <w:t xml:space="preserve">: Number of Processes and Facilities Subject to STAA </w:t>
      </w:r>
      <w:r w:rsidR="00E25B3A">
        <w:rPr>
          <w:rFonts w:ascii="Times New Roman" w:eastAsia="Calibri" w:hAnsi="Times New Roman" w:cs="Times New Roman"/>
          <w:b/>
        </w:rPr>
        <w:t>Practicability Assessment</w:t>
      </w:r>
      <w:r w:rsidRPr="00305374">
        <w:rPr>
          <w:rFonts w:ascii="Times New Roman" w:eastAsia="Calibri" w:hAnsi="Times New Roman" w:cs="Times New Roman"/>
          <w:b/>
        </w:rPr>
        <w:t xml:space="preserve"> </w:t>
      </w:r>
    </w:p>
    <w:p w:rsidR="00E051CB" w:rsidP="00E051CB" w14:paraId="26A8EC40" w14:textId="77777777">
      <w:pPr>
        <w:keepNext/>
        <w:keepLines/>
        <w:spacing w:after="0" w:line="240" w:lineRule="auto"/>
        <w:jc w:val="center"/>
        <w:rPr>
          <w:rFonts w:ascii="Times New Roman" w:eastAsia="Calibri" w:hAnsi="Times New Roman" w:cs="Times New Roman"/>
          <w:b/>
        </w:rPr>
      </w:pPr>
      <w:r w:rsidRPr="00305374">
        <w:rPr>
          <w:rFonts w:ascii="Times New Roman" w:eastAsia="Calibri" w:hAnsi="Times New Roman" w:cs="Times New Roman"/>
          <w:b/>
        </w:rPr>
        <w:t>(Complex Program 3 facilities within one mile of another complex facility</w:t>
      </w:r>
      <w:r w:rsidR="00D3286D">
        <w:rPr>
          <w:rFonts w:ascii="Times New Roman" w:eastAsia="Calibri" w:hAnsi="Times New Roman" w:cs="Times New Roman"/>
          <w:b/>
        </w:rPr>
        <w:t>, with an accident,</w:t>
      </w:r>
      <w:r w:rsidRPr="00305374">
        <w:rPr>
          <w:rFonts w:ascii="Times New Roman" w:eastAsia="Calibri" w:hAnsi="Times New Roman" w:cs="Times New Roman"/>
          <w:b/>
        </w:rPr>
        <w:t xml:space="preserve"> </w:t>
      </w:r>
    </w:p>
    <w:p w:rsidR="00E051CB" w:rsidRPr="00305374" w:rsidP="00E051CB" w14:paraId="397C2D3D" w14:textId="77777777">
      <w:pPr>
        <w:keepNext/>
        <w:keepLines/>
        <w:spacing w:after="0" w:line="240" w:lineRule="auto"/>
        <w:jc w:val="center"/>
        <w:rPr>
          <w:rFonts w:ascii="Times New Roman" w:eastAsia="Calibri" w:hAnsi="Times New Roman" w:cs="Times New Roman"/>
          <w:b/>
        </w:rPr>
      </w:pPr>
      <w:r w:rsidRPr="00305374">
        <w:rPr>
          <w:rFonts w:ascii="Times New Roman" w:eastAsia="Calibri" w:hAnsi="Times New Roman" w:cs="Times New Roman"/>
          <w:b/>
        </w:rPr>
        <w:t>or with an HF unit outside California</w:t>
      </w:r>
      <w:r w:rsidR="000D1DDB">
        <w:rPr>
          <w:rFonts w:ascii="Times New Roman" w:eastAsia="Calibri" w:hAnsi="Times New Roman" w:cs="Times New Roman"/>
          <w:b/>
        </w:rPr>
        <w:t xml:space="preserve">, excluding </w:t>
      </w:r>
      <w:r w:rsidR="005079E4">
        <w:rPr>
          <w:rFonts w:ascii="Times New Roman" w:eastAsia="Calibri" w:hAnsi="Times New Roman" w:cs="Times New Roman"/>
          <w:b/>
        </w:rPr>
        <w:t>Contra Costa</w:t>
      </w:r>
      <w:r w:rsidR="00E40606">
        <w:rPr>
          <w:rFonts w:ascii="Times New Roman" w:eastAsia="Calibri" w:hAnsi="Times New Roman" w:cs="Times New Roman"/>
          <w:b/>
        </w:rPr>
        <w:t xml:space="preserve"> County</w:t>
      </w:r>
      <w:r w:rsidR="005079E4">
        <w:rPr>
          <w:rFonts w:ascii="Times New Roman" w:eastAsia="Calibri" w:hAnsi="Times New Roman" w:cs="Times New Roman"/>
          <w:b/>
        </w:rPr>
        <w:t xml:space="preserve"> and </w:t>
      </w:r>
      <w:r w:rsidR="000D1DDB">
        <w:rPr>
          <w:rFonts w:ascii="Times New Roman" w:eastAsia="Calibri" w:hAnsi="Times New Roman" w:cs="Times New Roman"/>
          <w:b/>
        </w:rPr>
        <w:t>New Jersey facilities</w:t>
      </w:r>
      <w:r w:rsidRPr="00305374">
        <w:rPr>
          <w:rFonts w:ascii="Times New Roman" w:eastAsia="Calibri" w:hAnsi="Times New Roman" w:cs="Times New Roman"/>
          <w:b/>
        </w:rPr>
        <w:t>) by Facility Size and Sector (2020</w:t>
      </w:r>
      <w:r w:rsidRPr="00305374">
        <w:rPr>
          <w:rFonts w:ascii="Times New Roman" w:eastAsia="Calibri" w:hAnsi="Times New Roman" w:cs="Times New Roman"/>
          <w:b/>
          <w:bCs/>
        </w:rPr>
        <w:t>).</w:t>
      </w:r>
    </w:p>
    <w:p w:rsidR="00E051CB" w:rsidRPr="00587204" w:rsidP="00E051CB" w14:paraId="6BE05CC4" w14:textId="77777777">
      <w:pPr>
        <w:keepNext/>
        <w:keepLines/>
        <w:spacing w:after="0" w:line="240" w:lineRule="auto"/>
        <w:rPr>
          <w:rFonts w:ascii="Times New Roman" w:eastAsia="Calibri" w:hAnsi="Times New Roman" w:cs="Times New Roman"/>
          <w:b/>
        </w:rPr>
      </w:pPr>
    </w:p>
    <w:tbl>
      <w:tblPr>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0"/>
        <w:gridCol w:w="895"/>
        <w:gridCol w:w="666"/>
        <w:gridCol w:w="1185"/>
        <w:gridCol w:w="983"/>
        <w:gridCol w:w="2241"/>
      </w:tblGrid>
      <w:tr w14:paraId="4A4D9664" w14:textId="77777777" w:rsidTr="006446AD">
        <w:tblPrEx>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jc w:val="center"/>
        </w:trPr>
        <w:tc>
          <w:tcPr>
            <w:tcW w:w="1745" w:type="pct"/>
            <w:shd w:val="clear" w:color="auto" w:fill="D9D9D9" w:themeFill="background1" w:themeFillShade="D9"/>
            <w:noWrap/>
            <w:vAlign w:val="bottom"/>
            <w:hideMark/>
          </w:tcPr>
          <w:p w:rsidR="00E051CB" w:rsidRPr="00D7128A" w14:paraId="1953C2B7" w14:textId="77777777">
            <w:pPr>
              <w:keepNext/>
              <w:keepLines/>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Sector</w:t>
            </w:r>
          </w:p>
        </w:tc>
        <w:tc>
          <w:tcPr>
            <w:tcW w:w="488" w:type="pct"/>
            <w:shd w:val="clear" w:color="auto" w:fill="D9D9D9" w:themeFill="background1" w:themeFillShade="D9"/>
            <w:noWrap/>
            <w:vAlign w:val="center"/>
            <w:hideMark/>
          </w:tcPr>
          <w:p w:rsidR="00E051CB" w:rsidRPr="00D7128A" w14:paraId="3D61B588" w14:textId="77777777">
            <w:pPr>
              <w:keepNext/>
              <w:keepLines/>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NAICS</w:t>
            </w:r>
          </w:p>
        </w:tc>
        <w:tc>
          <w:tcPr>
            <w:tcW w:w="363" w:type="pct"/>
            <w:shd w:val="clear" w:color="auto" w:fill="D9D9D9" w:themeFill="background1" w:themeFillShade="D9"/>
            <w:noWrap/>
            <w:vAlign w:val="center"/>
            <w:hideMark/>
          </w:tcPr>
          <w:p w:rsidR="00E051CB" w:rsidRPr="00D7128A" w14:paraId="687DEE15" w14:textId="77777777">
            <w:pPr>
              <w:keepNext/>
              <w:keepLines/>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FTE</w:t>
            </w:r>
          </w:p>
        </w:tc>
        <w:tc>
          <w:tcPr>
            <w:tcW w:w="646" w:type="pct"/>
            <w:shd w:val="clear" w:color="auto" w:fill="D9D9D9" w:themeFill="background1" w:themeFillShade="D9"/>
            <w:noWrap/>
            <w:vAlign w:val="center"/>
            <w:hideMark/>
          </w:tcPr>
          <w:p w:rsidR="00E051CB" w:rsidRPr="00D7128A" w14:paraId="42238700" w14:textId="77777777">
            <w:pPr>
              <w:keepNext/>
              <w:keepLines/>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Processes</w:t>
            </w:r>
          </w:p>
        </w:tc>
        <w:tc>
          <w:tcPr>
            <w:tcW w:w="536" w:type="pct"/>
            <w:shd w:val="clear" w:color="auto" w:fill="D9D9D9" w:themeFill="background1" w:themeFillShade="D9"/>
            <w:noWrap/>
            <w:vAlign w:val="center"/>
            <w:hideMark/>
          </w:tcPr>
          <w:p w:rsidR="00E051CB" w:rsidRPr="00D7128A" w14:paraId="67FEF000" w14:textId="77777777">
            <w:pPr>
              <w:keepNext/>
              <w:keepLines/>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Facilities</w:t>
            </w:r>
          </w:p>
        </w:tc>
        <w:tc>
          <w:tcPr>
            <w:tcW w:w="1222" w:type="pct"/>
            <w:shd w:val="clear" w:color="auto" w:fill="D9D9D9" w:themeFill="background1" w:themeFillShade="D9"/>
            <w:noWrap/>
            <w:vAlign w:val="center"/>
            <w:hideMark/>
          </w:tcPr>
          <w:p w:rsidR="00E051CB" w:rsidRPr="00D7128A" w14:paraId="3A4A2A82" w14:textId="77777777">
            <w:pPr>
              <w:keepNext/>
              <w:keepLines/>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Processes per Facility</w:t>
            </w:r>
          </w:p>
        </w:tc>
      </w:tr>
      <w:tr w14:paraId="01DEBC7F" w14:textId="77777777" w:rsidTr="006446AD">
        <w:tblPrEx>
          <w:tblW w:w="4599" w:type="pct"/>
          <w:jc w:val="center"/>
          <w:tblLook w:val="04A0"/>
        </w:tblPrEx>
        <w:trPr>
          <w:trHeight w:val="290"/>
          <w:jc w:val="center"/>
        </w:trPr>
        <w:tc>
          <w:tcPr>
            <w:tcW w:w="1745" w:type="pct"/>
            <w:shd w:val="clear" w:color="auto" w:fill="auto"/>
            <w:vAlign w:val="bottom"/>
            <w:hideMark/>
          </w:tcPr>
          <w:p w:rsidR="00E051CB" w:rsidRPr="00D7128A" w14:paraId="1D8F5A04"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and Coal Products Manufacturing</w:t>
            </w:r>
            <w:r w:rsidR="00903099">
              <w:rPr>
                <w:rFonts w:ascii="Times New Roman" w:hAnsi="Times New Roman" w:cs="Times New Roman"/>
                <w:color w:val="000000"/>
                <w:sz w:val="20"/>
                <w:szCs w:val="20"/>
              </w:rPr>
              <w:t xml:space="preserve"> (no HF)</w:t>
            </w:r>
          </w:p>
        </w:tc>
        <w:tc>
          <w:tcPr>
            <w:tcW w:w="488" w:type="pct"/>
            <w:shd w:val="clear" w:color="auto" w:fill="auto"/>
            <w:noWrap/>
            <w:vAlign w:val="center"/>
            <w:hideMark/>
          </w:tcPr>
          <w:p w:rsidR="00E051CB" w:rsidRPr="00D7128A" w14:paraId="1F7CFD35"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324</w:t>
            </w:r>
          </w:p>
        </w:tc>
        <w:tc>
          <w:tcPr>
            <w:tcW w:w="363" w:type="pct"/>
            <w:shd w:val="clear" w:color="auto" w:fill="auto"/>
            <w:noWrap/>
            <w:vAlign w:val="center"/>
            <w:hideMark/>
          </w:tcPr>
          <w:p w:rsidR="00E051CB" w:rsidRPr="00D7128A" w14:paraId="190AA51C"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0-99</w:t>
            </w:r>
          </w:p>
        </w:tc>
        <w:tc>
          <w:tcPr>
            <w:tcW w:w="646" w:type="pct"/>
            <w:shd w:val="clear" w:color="auto" w:fill="auto"/>
            <w:noWrap/>
            <w:vAlign w:val="center"/>
            <w:hideMark/>
          </w:tcPr>
          <w:p w:rsidR="00E051CB" w:rsidRPr="00D7128A" w14:paraId="486CE841"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36" w:type="pct"/>
            <w:shd w:val="clear" w:color="auto" w:fill="auto"/>
            <w:noWrap/>
            <w:vAlign w:val="center"/>
            <w:hideMark/>
          </w:tcPr>
          <w:p w:rsidR="00E051CB" w:rsidRPr="00D7128A" w14:paraId="1516F197"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eastAsia="Times New Roman" w:hAnsi="Times New Roman" w:cs="Times New Roman"/>
                <w:color w:val="000000"/>
                <w:sz w:val="20"/>
                <w:szCs w:val="20"/>
              </w:rPr>
              <w:t>1</w:t>
            </w:r>
            <w:r w:rsidR="00E23E4A">
              <w:rPr>
                <w:rFonts w:ascii="Times New Roman" w:eastAsia="Times New Roman" w:hAnsi="Times New Roman" w:cs="Times New Roman"/>
                <w:color w:val="000000"/>
                <w:sz w:val="20"/>
                <w:szCs w:val="20"/>
              </w:rPr>
              <w:t>1</w:t>
            </w:r>
          </w:p>
        </w:tc>
        <w:tc>
          <w:tcPr>
            <w:tcW w:w="1222" w:type="pct"/>
            <w:shd w:val="clear" w:color="auto" w:fill="auto"/>
            <w:noWrap/>
            <w:vAlign w:val="center"/>
            <w:hideMark/>
          </w:tcPr>
          <w:p w:rsidR="00E051CB" w:rsidRPr="00D7128A" w14:paraId="2C3ED784" w14:textId="77777777">
            <w:pPr>
              <w:keepNext/>
              <w:keepLine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r>
      <w:tr w14:paraId="4928B56E" w14:textId="77777777" w:rsidTr="006446AD">
        <w:tblPrEx>
          <w:tblW w:w="4599" w:type="pct"/>
          <w:jc w:val="center"/>
          <w:tblLook w:val="04A0"/>
        </w:tblPrEx>
        <w:trPr>
          <w:trHeight w:val="290"/>
          <w:jc w:val="center"/>
        </w:trPr>
        <w:tc>
          <w:tcPr>
            <w:tcW w:w="1745" w:type="pct"/>
            <w:shd w:val="clear" w:color="auto" w:fill="auto"/>
            <w:vAlign w:val="bottom"/>
            <w:hideMark/>
          </w:tcPr>
          <w:p w:rsidR="006446AD" w:rsidRPr="00D7128A" w14:paraId="58F209EF"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and Coal Products Manufacturing</w:t>
            </w:r>
            <w:r w:rsidR="00903099">
              <w:rPr>
                <w:rFonts w:ascii="Times New Roman" w:hAnsi="Times New Roman" w:cs="Times New Roman"/>
                <w:color w:val="000000"/>
                <w:sz w:val="20"/>
                <w:szCs w:val="20"/>
              </w:rPr>
              <w:t xml:space="preserve"> (no HF)</w:t>
            </w:r>
          </w:p>
        </w:tc>
        <w:tc>
          <w:tcPr>
            <w:tcW w:w="488" w:type="pct"/>
            <w:shd w:val="clear" w:color="auto" w:fill="auto"/>
            <w:noWrap/>
            <w:vAlign w:val="center"/>
            <w:hideMark/>
          </w:tcPr>
          <w:p w:rsidR="006446AD" w:rsidRPr="00D7128A" w14:paraId="5873FFB3"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324</w:t>
            </w:r>
          </w:p>
        </w:tc>
        <w:tc>
          <w:tcPr>
            <w:tcW w:w="363" w:type="pct"/>
            <w:shd w:val="clear" w:color="auto" w:fill="auto"/>
            <w:noWrap/>
            <w:vAlign w:val="center"/>
            <w:hideMark/>
          </w:tcPr>
          <w:p w:rsidR="006446AD" w:rsidRPr="00D7128A" w14:paraId="752559C1"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100+</w:t>
            </w:r>
          </w:p>
        </w:tc>
        <w:tc>
          <w:tcPr>
            <w:tcW w:w="646" w:type="pct"/>
            <w:shd w:val="clear" w:color="auto" w:fill="auto"/>
            <w:noWrap/>
            <w:vAlign w:val="center"/>
            <w:hideMark/>
          </w:tcPr>
          <w:p w:rsidR="006446AD" w:rsidRPr="00D7128A" w14:paraId="34F13840"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543</w:t>
            </w:r>
          </w:p>
        </w:tc>
        <w:tc>
          <w:tcPr>
            <w:tcW w:w="536" w:type="pct"/>
            <w:shd w:val="clear" w:color="auto" w:fill="auto"/>
            <w:noWrap/>
            <w:vAlign w:val="center"/>
            <w:hideMark/>
          </w:tcPr>
          <w:p w:rsidR="006446AD" w:rsidRPr="00D7128A" w14:paraId="2507C1E6"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1222" w:type="pct"/>
            <w:shd w:val="clear" w:color="auto" w:fill="auto"/>
            <w:noWrap/>
            <w:vAlign w:val="center"/>
            <w:hideMark/>
          </w:tcPr>
          <w:p w:rsidR="006446AD" w:rsidRPr="00D7128A" w14:paraId="35A65572" w14:textId="77777777">
            <w:pPr>
              <w:keepNext/>
              <w:keepLine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15.1</w:t>
            </w:r>
          </w:p>
        </w:tc>
      </w:tr>
      <w:tr w14:paraId="04217F45" w14:textId="77777777" w:rsidTr="006446AD">
        <w:tblPrEx>
          <w:tblW w:w="4599" w:type="pct"/>
          <w:jc w:val="center"/>
          <w:tblLook w:val="04A0"/>
        </w:tblPrEx>
        <w:trPr>
          <w:trHeight w:val="290"/>
          <w:jc w:val="center"/>
        </w:trPr>
        <w:tc>
          <w:tcPr>
            <w:tcW w:w="1745" w:type="pct"/>
            <w:shd w:val="clear" w:color="auto" w:fill="auto"/>
            <w:vAlign w:val="bottom"/>
            <w:hideMark/>
          </w:tcPr>
          <w:p w:rsidR="00E051CB" w:rsidRPr="00D7128A" w14:paraId="39C50D96"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and Coal Products Manufacturing</w:t>
            </w:r>
            <w:r w:rsidR="00903099">
              <w:rPr>
                <w:rFonts w:ascii="Times New Roman" w:hAnsi="Times New Roman" w:cs="Times New Roman"/>
                <w:color w:val="000000"/>
                <w:sz w:val="20"/>
                <w:szCs w:val="20"/>
              </w:rPr>
              <w:t xml:space="preserve"> (with HF)</w:t>
            </w:r>
          </w:p>
        </w:tc>
        <w:tc>
          <w:tcPr>
            <w:tcW w:w="488" w:type="pct"/>
            <w:shd w:val="clear" w:color="auto" w:fill="auto"/>
            <w:noWrap/>
            <w:vAlign w:val="center"/>
            <w:hideMark/>
          </w:tcPr>
          <w:p w:rsidR="00E051CB" w:rsidRPr="00D7128A" w14:paraId="57A6F80D"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324</w:t>
            </w:r>
          </w:p>
        </w:tc>
        <w:tc>
          <w:tcPr>
            <w:tcW w:w="363" w:type="pct"/>
            <w:shd w:val="clear" w:color="auto" w:fill="auto"/>
            <w:noWrap/>
            <w:vAlign w:val="center"/>
            <w:hideMark/>
          </w:tcPr>
          <w:p w:rsidR="00E051CB" w:rsidRPr="00D7128A" w14:paraId="3B86EC48"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100+</w:t>
            </w:r>
          </w:p>
        </w:tc>
        <w:tc>
          <w:tcPr>
            <w:tcW w:w="646" w:type="pct"/>
            <w:shd w:val="clear" w:color="auto" w:fill="auto"/>
            <w:noWrap/>
            <w:vAlign w:val="center"/>
            <w:hideMark/>
          </w:tcPr>
          <w:p w:rsidR="00E051CB" w:rsidRPr="00D7128A" w14:paraId="42234CAA"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672</w:t>
            </w:r>
          </w:p>
        </w:tc>
        <w:tc>
          <w:tcPr>
            <w:tcW w:w="536" w:type="pct"/>
            <w:shd w:val="clear" w:color="auto" w:fill="auto"/>
            <w:noWrap/>
            <w:vAlign w:val="center"/>
            <w:hideMark/>
          </w:tcPr>
          <w:p w:rsidR="00E051CB" w:rsidRPr="00D7128A" w14:paraId="5F40ECAC"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1222" w:type="pct"/>
            <w:shd w:val="clear" w:color="auto" w:fill="auto"/>
            <w:noWrap/>
            <w:vAlign w:val="center"/>
            <w:hideMark/>
          </w:tcPr>
          <w:p w:rsidR="00E051CB" w:rsidRPr="00D7128A" w14:paraId="58C4774C" w14:textId="77777777">
            <w:pPr>
              <w:keepNext/>
              <w:keepLine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16.0</w:t>
            </w:r>
          </w:p>
        </w:tc>
      </w:tr>
      <w:tr w14:paraId="57ED03D7" w14:textId="77777777" w:rsidTr="006446AD">
        <w:tblPrEx>
          <w:tblW w:w="4599" w:type="pct"/>
          <w:jc w:val="center"/>
          <w:tblLook w:val="04A0"/>
        </w:tblPrEx>
        <w:trPr>
          <w:trHeight w:val="290"/>
          <w:jc w:val="center"/>
        </w:trPr>
        <w:tc>
          <w:tcPr>
            <w:tcW w:w="1745" w:type="pct"/>
            <w:shd w:val="clear" w:color="auto" w:fill="auto"/>
            <w:vAlign w:val="bottom"/>
            <w:hideMark/>
          </w:tcPr>
          <w:p w:rsidR="00E051CB" w:rsidRPr="00D7128A" w14:paraId="141C39AF"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Manufacturing</w:t>
            </w:r>
          </w:p>
        </w:tc>
        <w:tc>
          <w:tcPr>
            <w:tcW w:w="488" w:type="pct"/>
            <w:shd w:val="clear" w:color="auto" w:fill="auto"/>
            <w:noWrap/>
            <w:vAlign w:val="center"/>
            <w:hideMark/>
          </w:tcPr>
          <w:p w:rsidR="00E051CB" w:rsidRPr="00D7128A" w14:paraId="19DDAA38"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325</w:t>
            </w:r>
          </w:p>
        </w:tc>
        <w:tc>
          <w:tcPr>
            <w:tcW w:w="363" w:type="pct"/>
            <w:shd w:val="clear" w:color="auto" w:fill="auto"/>
            <w:noWrap/>
            <w:vAlign w:val="center"/>
            <w:hideMark/>
          </w:tcPr>
          <w:p w:rsidR="00E051CB" w:rsidRPr="00D7128A" w14:paraId="67D7F04C"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0-99</w:t>
            </w:r>
          </w:p>
        </w:tc>
        <w:tc>
          <w:tcPr>
            <w:tcW w:w="646" w:type="pct"/>
            <w:shd w:val="clear" w:color="auto" w:fill="auto"/>
            <w:noWrap/>
            <w:vAlign w:val="center"/>
            <w:hideMark/>
          </w:tcPr>
          <w:p w:rsidR="00E051CB" w:rsidRPr="00D7128A" w14:paraId="622A7829"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417</w:t>
            </w:r>
          </w:p>
        </w:tc>
        <w:tc>
          <w:tcPr>
            <w:tcW w:w="536" w:type="pct"/>
            <w:shd w:val="clear" w:color="auto" w:fill="auto"/>
            <w:noWrap/>
            <w:vAlign w:val="center"/>
            <w:hideMark/>
          </w:tcPr>
          <w:p w:rsidR="00E051CB" w:rsidRPr="00D7128A" w14:paraId="1250B3F5"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293</w:t>
            </w:r>
          </w:p>
        </w:tc>
        <w:tc>
          <w:tcPr>
            <w:tcW w:w="1222" w:type="pct"/>
            <w:shd w:val="clear" w:color="auto" w:fill="auto"/>
            <w:noWrap/>
            <w:vAlign w:val="center"/>
            <w:hideMark/>
          </w:tcPr>
          <w:p w:rsidR="00E051CB" w:rsidRPr="00D7128A" w14:paraId="3D148988"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1.4</w:t>
            </w:r>
          </w:p>
        </w:tc>
      </w:tr>
      <w:tr w14:paraId="6B2B79C5" w14:textId="77777777" w:rsidTr="006446AD">
        <w:tblPrEx>
          <w:tblW w:w="4599" w:type="pct"/>
          <w:jc w:val="center"/>
          <w:tblLook w:val="04A0"/>
        </w:tblPrEx>
        <w:trPr>
          <w:trHeight w:val="290"/>
          <w:jc w:val="center"/>
        </w:trPr>
        <w:tc>
          <w:tcPr>
            <w:tcW w:w="1745" w:type="pct"/>
            <w:shd w:val="clear" w:color="auto" w:fill="auto"/>
            <w:vAlign w:val="bottom"/>
            <w:hideMark/>
          </w:tcPr>
          <w:p w:rsidR="00E051CB" w:rsidRPr="00D7128A" w14:paraId="3AB93C5A"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Manufacturing</w:t>
            </w:r>
          </w:p>
        </w:tc>
        <w:tc>
          <w:tcPr>
            <w:tcW w:w="488" w:type="pct"/>
            <w:shd w:val="clear" w:color="auto" w:fill="auto"/>
            <w:noWrap/>
            <w:vAlign w:val="center"/>
            <w:hideMark/>
          </w:tcPr>
          <w:p w:rsidR="00E051CB" w:rsidRPr="00D7128A" w14:paraId="6F4D1C17"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325</w:t>
            </w:r>
          </w:p>
        </w:tc>
        <w:tc>
          <w:tcPr>
            <w:tcW w:w="363" w:type="pct"/>
            <w:shd w:val="clear" w:color="auto" w:fill="auto"/>
            <w:noWrap/>
            <w:vAlign w:val="center"/>
            <w:hideMark/>
          </w:tcPr>
          <w:p w:rsidR="00E051CB" w:rsidRPr="00D7128A" w14:paraId="7C3B7E8F"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100+</w:t>
            </w:r>
          </w:p>
        </w:tc>
        <w:tc>
          <w:tcPr>
            <w:tcW w:w="646" w:type="pct"/>
            <w:shd w:val="clear" w:color="auto" w:fill="auto"/>
            <w:noWrap/>
            <w:vAlign w:val="center"/>
            <w:hideMark/>
          </w:tcPr>
          <w:p w:rsidR="00E051CB" w:rsidRPr="00D7128A" w14:paraId="11733CD9"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E11678">
              <w:rPr>
                <w:rFonts w:ascii="Times New Roman" w:eastAsia="Times New Roman" w:hAnsi="Times New Roman" w:cs="Times New Roman"/>
                <w:color w:val="000000"/>
                <w:sz w:val="20"/>
                <w:szCs w:val="20"/>
              </w:rPr>
              <w:t>26</w:t>
            </w:r>
          </w:p>
        </w:tc>
        <w:tc>
          <w:tcPr>
            <w:tcW w:w="536" w:type="pct"/>
            <w:shd w:val="clear" w:color="auto" w:fill="auto"/>
            <w:noWrap/>
            <w:vAlign w:val="center"/>
            <w:hideMark/>
          </w:tcPr>
          <w:p w:rsidR="00E051CB" w:rsidRPr="00D7128A" w14:paraId="0CF1FEEB"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216</w:t>
            </w:r>
          </w:p>
        </w:tc>
        <w:tc>
          <w:tcPr>
            <w:tcW w:w="1222" w:type="pct"/>
            <w:shd w:val="clear" w:color="auto" w:fill="auto"/>
            <w:noWrap/>
            <w:vAlign w:val="center"/>
            <w:hideMark/>
          </w:tcPr>
          <w:p w:rsidR="00E051CB" w:rsidRPr="00D7128A" w14:paraId="3ACD25AF" w14:textId="77777777">
            <w:pPr>
              <w:keepNext/>
              <w:keepLine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r>
      <w:tr w14:paraId="254DAC64" w14:textId="77777777" w:rsidTr="006446AD">
        <w:tblPrEx>
          <w:tblW w:w="4599" w:type="pct"/>
          <w:jc w:val="center"/>
          <w:tblLook w:val="04A0"/>
        </w:tblPrEx>
        <w:trPr>
          <w:trHeight w:val="290"/>
          <w:jc w:val="center"/>
        </w:trPr>
        <w:tc>
          <w:tcPr>
            <w:tcW w:w="1745" w:type="pct"/>
            <w:shd w:val="clear" w:color="auto" w:fill="auto"/>
            <w:noWrap/>
            <w:vAlign w:val="bottom"/>
            <w:hideMark/>
          </w:tcPr>
          <w:p w:rsidR="00E051CB" w:rsidRPr="00D7128A" w14:paraId="7DEB7A8A" w14:textId="77777777">
            <w:pPr>
              <w:keepNext/>
              <w:keepLines/>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Total</w:t>
            </w:r>
          </w:p>
        </w:tc>
        <w:tc>
          <w:tcPr>
            <w:tcW w:w="488" w:type="pct"/>
            <w:shd w:val="clear" w:color="auto" w:fill="auto"/>
            <w:noWrap/>
            <w:vAlign w:val="center"/>
            <w:hideMark/>
          </w:tcPr>
          <w:p w:rsidR="00E051CB" w:rsidRPr="00D7128A" w14:paraId="4DC909A0" w14:textId="77777777">
            <w:pPr>
              <w:keepNext/>
              <w:keepLines/>
              <w:spacing w:after="0" w:line="240" w:lineRule="auto"/>
              <w:jc w:val="center"/>
              <w:rPr>
                <w:rFonts w:ascii="Times New Roman" w:hAnsi="Times New Roman" w:cs="Times New Roman"/>
                <w:b/>
                <w:color w:val="000000"/>
                <w:sz w:val="20"/>
                <w:szCs w:val="20"/>
              </w:rPr>
            </w:pPr>
          </w:p>
        </w:tc>
        <w:tc>
          <w:tcPr>
            <w:tcW w:w="363" w:type="pct"/>
            <w:shd w:val="clear" w:color="auto" w:fill="auto"/>
            <w:noWrap/>
            <w:vAlign w:val="center"/>
            <w:hideMark/>
          </w:tcPr>
          <w:p w:rsidR="00E051CB" w:rsidRPr="00D7128A" w14:paraId="348324F4" w14:textId="77777777">
            <w:pPr>
              <w:keepNext/>
              <w:keepLines/>
              <w:spacing w:after="0" w:line="240" w:lineRule="auto"/>
              <w:jc w:val="center"/>
              <w:rPr>
                <w:rFonts w:ascii="Times New Roman" w:hAnsi="Times New Roman" w:cs="Times New Roman"/>
                <w:b/>
                <w:color w:val="000000"/>
                <w:sz w:val="20"/>
                <w:szCs w:val="20"/>
              </w:rPr>
            </w:pPr>
          </w:p>
        </w:tc>
        <w:tc>
          <w:tcPr>
            <w:tcW w:w="646" w:type="pct"/>
            <w:shd w:val="clear" w:color="auto" w:fill="auto"/>
            <w:noWrap/>
            <w:vAlign w:val="center"/>
            <w:hideMark/>
          </w:tcPr>
          <w:p w:rsidR="00E051CB" w:rsidRPr="00D7128A" w14:paraId="262D78B6" w14:textId="77777777">
            <w:pPr>
              <w:keepNext/>
              <w:keepLine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w:t>
            </w:r>
            <w:r w:rsidR="006F411E">
              <w:rPr>
                <w:rFonts w:ascii="Times New Roman" w:hAnsi="Times New Roman" w:cs="Times New Roman"/>
                <w:b/>
                <w:color w:val="000000"/>
                <w:sz w:val="20"/>
                <w:szCs w:val="20"/>
              </w:rPr>
              <w:t>480</w:t>
            </w:r>
          </w:p>
        </w:tc>
        <w:tc>
          <w:tcPr>
            <w:tcW w:w="536" w:type="pct"/>
            <w:shd w:val="clear" w:color="auto" w:fill="auto"/>
            <w:noWrap/>
            <w:vAlign w:val="center"/>
            <w:hideMark/>
          </w:tcPr>
          <w:p w:rsidR="00E051CB" w:rsidRPr="00D7128A" w14:paraId="397CB050" w14:textId="77777777">
            <w:pPr>
              <w:keepNext/>
              <w:keepLines/>
              <w:spacing w:after="0" w:line="240" w:lineRule="auto"/>
              <w:jc w:val="center"/>
              <w:rPr>
                <w:rFonts w:ascii="Times New Roman" w:hAnsi="Times New Roman" w:cs="Times New Roman"/>
                <w:b/>
                <w:color w:val="000000"/>
                <w:sz w:val="20"/>
                <w:szCs w:val="20"/>
              </w:rPr>
            </w:pPr>
            <w:r>
              <w:rPr>
                <w:rFonts w:ascii="Times New Roman" w:eastAsia="Times New Roman" w:hAnsi="Times New Roman" w:cs="Times New Roman"/>
                <w:b/>
                <w:color w:val="000000"/>
                <w:sz w:val="20"/>
                <w:szCs w:val="20"/>
              </w:rPr>
              <w:t>598</w:t>
            </w:r>
          </w:p>
        </w:tc>
        <w:tc>
          <w:tcPr>
            <w:tcW w:w="1222" w:type="pct"/>
            <w:shd w:val="clear" w:color="auto" w:fill="auto"/>
            <w:noWrap/>
            <w:vAlign w:val="center"/>
            <w:hideMark/>
          </w:tcPr>
          <w:p w:rsidR="00E051CB" w:rsidRPr="00D7128A" w14:paraId="7F84D0DD" w14:textId="77777777">
            <w:pPr>
              <w:keepNext/>
              <w:keepLine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4.</w:t>
            </w:r>
            <w:r w:rsidR="006F411E">
              <w:rPr>
                <w:rFonts w:ascii="Times New Roman" w:hAnsi="Times New Roman" w:cs="Times New Roman"/>
                <w:b/>
                <w:color w:val="000000"/>
                <w:sz w:val="20"/>
                <w:szCs w:val="20"/>
              </w:rPr>
              <w:t>1</w:t>
            </w:r>
          </w:p>
        </w:tc>
      </w:tr>
    </w:tbl>
    <w:p w:rsidR="00E051CB" w:rsidRPr="003A3A84" w:rsidP="00E051CB" w14:paraId="2FDB46C8" w14:textId="77777777">
      <w:pPr>
        <w:spacing w:after="0" w:line="240" w:lineRule="auto"/>
        <w:ind w:left="360"/>
        <w:rPr>
          <w:rFonts w:ascii="Times New Roman" w:hAnsi="Times New Roman" w:cs="Times New Roman"/>
          <w:sz w:val="18"/>
          <w:szCs w:val="18"/>
        </w:rPr>
      </w:pPr>
      <w:r w:rsidRPr="003A3A84">
        <w:rPr>
          <w:rFonts w:ascii="Times New Roman" w:hAnsi="Times New Roman" w:cs="Times New Roman"/>
          <w:sz w:val="18"/>
          <w:szCs w:val="18"/>
        </w:rPr>
        <w:t xml:space="preserve">*Note: </w:t>
      </w:r>
      <w:r w:rsidRPr="003A3A84" w:rsidR="00795C4B">
        <w:rPr>
          <w:rFonts w:ascii="Times New Roman" w:hAnsi="Times New Roman" w:cs="Times New Roman"/>
          <w:sz w:val="18"/>
          <w:szCs w:val="18"/>
        </w:rPr>
        <w:t xml:space="preserve">No </w:t>
      </w:r>
      <w:r w:rsidRPr="003A3A84" w:rsidR="000F4124">
        <w:rPr>
          <w:rFonts w:ascii="Times New Roman" w:hAnsi="Times New Roman" w:cs="Times New Roman"/>
          <w:sz w:val="18"/>
          <w:szCs w:val="18"/>
        </w:rPr>
        <w:t>refineries</w:t>
      </w:r>
      <w:r w:rsidRPr="003A3A84" w:rsidR="00F15544">
        <w:rPr>
          <w:rFonts w:ascii="Times New Roman" w:hAnsi="Times New Roman" w:cs="Times New Roman"/>
          <w:sz w:val="18"/>
          <w:szCs w:val="18"/>
        </w:rPr>
        <w:t xml:space="preserve"> with </w:t>
      </w:r>
      <w:r w:rsidRPr="003A3A84" w:rsidR="008C7709">
        <w:rPr>
          <w:rFonts w:ascii="Times New Roman" w:hAnsi="Times New Roman" w:cs="Times New Roman"/>
          <w:sz w:val="18"/>
          <w:szCs w:val="18"/>
        </w:rPr>
        <w:t xml:space="preserve">0-99 FTEs have an HF unit. </w:t>
      </w:r>
    </w:p>
    <w:bookmarkEnd w:id="98"/>
    <w:p w:rsidR="00C160D0" w:rsidP="00305374" w14:paraId="0A3720F4" w14:textId="77777777">
      <w:pPr>
        <w:spacing w:after="0" w:line="240" w:lineRule="auto"/>
        <w:ind w:firstLine="360"/>
        <w:rPr>
          <w:rFonts w:ascii="Times New Roman" w:hAnsi="Times New Roman" w:cs="Times New Roman"/>
        </w:rPr>
      </w:pPr>
      <w:r>
        <w:rPr>
          <w:rFonts w:ascii="Times New Roman" w:hAnsi="Times New Roman" w:cs="Times New Roman"/>
        </w:rPr>
        <w:tab/>
      </w:r>
    </w:p>
    <w:p w:rsidR="00851481" w:rsidP="00112E87" w14:paraId="7FF7F040" w14:textId="77777777">
      <w:pPr>
        <w:spacing w:after="0" w:line="240" w:lineRule="auto"/>
        <w:ind w:firstLine="720"/>
        <w:rPr>
          <w:rFonts w:ascii="Times New Roman" w:hAnsi="Times New Roman" w:cs="Times New Roman"/>
          <w:highlight w:val="yellow"/>
        </w:rPr>
      </w:pPr>
      <w:r w:rsidRPr="00587204">
        <w:rPr>
          <w:rFonts w:ascii="Times New Roman" w:hAnsi="Times New Roman" w:cs="Times New Roman"/>
        </w:rPr>
        <w:t xml:space="preserve">EPA anticipates that some facilities </w:t>
      </w:r>
      <w:r w:rsidR="009449B7">
        <w:rPr>
          <w:rFonts w:ascii="Times New Roman" w:hAnsi="Times New Roman" w:cs="Times New Roman"/>
        </w:rPr>
        <w:t>will</w:t>
      </w:r>
      <w:r w:rsidRPr="00587204">
        <w:rPr>
          <w:rFonts w:ascii="Times New Roman" w:hAnsi="Times New Roman" w:cs="Times New Roman"/>
        </w:rPr>
        <w:t xml:space="preserve"> conduct practicability studies to address alternatives considered in multiple initial </w:t>
      </w:r>
      <w:r w:rsidR="00BA38DE">
        <w:rPr>
          <w:rFonts w:ascii="Times New Roman" w:hAnsi="Times New Roman" w:cs="Times New Roman"/>
        </w:rPr>
        <w:t xml:space="preserve">evaluations, </w:t>
      </w:r>
      <w:r w:rsidRPr="00587204">
        <w:rPr>
          <w:rFonts w:ascii="Times New Roman" w:hAnsi="Times New Roman" w:cs="Times New Roman"/>
        </w:rPr>
        <w:t>Therefore,</w:t>
      </w:r>
      <w:r w:rsidRPr="00587204">
        <w:rPr>
          <w:rFonts w:ascii="Times New Roman" w:eastAsia="Calibri" w:hAnsi="Times New Roman" w:cs="Times New Roman"/>
        </w:rPr>
        <w:t xml:space="preserve"> EPA broke down the facilities by NAICS (324 or 325) to analyze the cost of the </w:t>
      </w:r>
      <w:r w:rsidR="00E25B3A">
        <w:rPr>
          <w:rFonts w:ascii="Times New Roman" w:eastAsia="Calibri" w:hAnsi="Times New Roman" w:cs="Times New Roman"/>
        </w:rPr>
        <w:t>practicability assessment</w:t>
      </w:r>
      <w:r w:rsidRPr="00587204">
        <w:rPr>
          <w:rFonts w:ascii="Times New Roman" w:eastAsia="Calibri" w:hAnsi="Times New Roman" w:cs="Times New Roman"/>
        </w:rPr>
        <w:t xml:space="preserve"> for the STAA provision.</w:t>
      </w:r>
      <w:r>
        <w:rPr>
          <w:rFonts w:ascii="Times New Roman" w:eastAsia="Calibri" w:hAnsi="Times New Roman" w:cs="Times New Roman"/>
        </w:rPr>
        <w:t xml:space="preserve"> While the number of processes and facilities subject to the STAA provision may fluctuate over time and </w:t>
      </w:r>
      <w:r w:rsidR="00EE0624">
        <w:rPr>
          <w:rFonts w:ascii="Times New Roman" w:eastAsia="Calibri" w:hAnsi="Times New Roman" w:cs="Times New Roman"/>
        </w:rPr>
        <w:t xml:space="preserve">recognizing </w:t>
      </w:r>
      <w:r w:rsidR="00BA38DE">
        <w:rPr>
          <w:rFonts w:ascii="Times New Roman" w:eastAsia="Calibri" w:hAnsi="Times New Roman" w:cs="Times New Roman"/>
        </w:rPr>
        <w:t xml:space="preserve">that </w:t>
      </w:r>
      <w:r>
        <w:rPr>
          <w:rFonts w:ascii="Times New Roman" w:eastAsia="Calibri" w:hAnsi="Times New Roman" w:cs="Times New Roman"/>
        </w:rPr>
        <w:t xml:space="preserve">the total number of RMP facilities has declined over the past two decades, EPA </w:t>
      </w:r>
      <w:r w:rsidR="00F84344">
        <w:rPr>
          <w:rFonts w:ascii="Times New Roman" w:eastAsia="Calibri" w:hAnsi="Times New Roman" w:cs="Times New Roman"/>
        </w:rPr>
        <w:t xml:space="preserve">makes the simplifying </w:t>
      </w:r>
      <w:r>
        <w:rPr>
          <w:rFonts w:ascii="Times New Roman" w:eastAsia="Calibri" w:hAnsi="Times New Roman" w:cs="Times New Roman"/>
        </w:rPr>
        <w:t>assum</w:t>
      </w:r>
      <w:r w:rsidR="00F84344">
        <w:rPr>
          <w:rFonts w:ascii="Times New Roman" w:eastAsia="Calibri" w:hAnsi="Times New Roman" w:cs="Times New Roman"/>
        </w:rPr>
        <w:t>ption</w:t>
      </w:r>
      <w:r w:rsidR="00EB204F">
        <w:rPr>
          <w:rFonts w:ascii="Times New Roman" w:eastAsia="Calibri" w:hAnsi="Times New Roman" w:cs="Times New Roman"/>
        </w:rPr>
        <w:t xml:space="preserve"> that</w:t>
      </w:r>
      <w:r>
        <w:rPr>
          <w:rFonts w:ascii="Times New Roman" w:eastAsia="Calibri" w:hAnsi="Times New Roman" w:cs="Times New Roman"/>
        </w:rPr>
        <w:t xml:space="preserve"> the numbers </w:t>
      </w:r>
      <w:r w:rsidR="00597E5F">
        <w:rPr>
          <w:rFonts w:ascii="Times New Roman" w:eastAsia="Calibri" w:hAnsi="Times New Roman" w:cs="Times New Roman"/>
        </w:rPr>
        <w:t xml:space="preserve">of facilities </w:t>
      </w:r>
      <w:r>
        <w:rPr>
          <w:rFonts w:ascii="Times New Roman" w:eastAsia="Calibri" w:hAnsi="Times New Roman" w:cs="Times New Roman"/>
        </w:rPr>
        <w:t>subject to the provision are constant across all years in the analysis</w:t>
      </w:r>
      <w:r w:rsidR="003E5D02">
        <w:rPr>
          <w:rFonts w:ascii="Times New Roman" w:eastAsia="Calibri" w:hAnsi="Times New Roman" w:cs="Times New Roman"/>
        </w:rPr>
        <w:t xml:space="preserve"> and equal to the number as of </w:t>
      </w:r>
      <w:r w:rsidR="003F06C0">
        <w:rPr>
          <w:rFonts w:ascii="Times New Roman" w:eastAsia="Calibri" w:hAnsi="Times New Roman" w:cs="Times New Roman"/>
        </w:rPr>
        <w:t xml:space="preserve">December 31, </w:t>
      </w:r>
      <w:r w:rsidR="003C4B2D">
        <w:rPr>
          <w:rFonts w:ascii="Times New Roman" w:eastAsia="Calibri" w:hAnsi="Times New Roman" w:cs="Times New Roman"/>
        </w:rPr>
        <w:t>2020</w:t>
      </w:r>
      <w:r>
        <w:rPr>
          <w:rFonts w:ascii="Times New Roman" w:eastAsia="Calibri" w:hAnsi="Times New Roman" w:cs="Times New Roman"/>
        </w:rPr>
        <w:t>.</w:t>
      </w:r>
    </w:p>
    <w:p w:rsidR="00851481" w:rsidP="00305374" w14:paraId="65C8CF9E" w14:textId="77777777">
      <w:pPr>
        <w:spacing w:after="0" w:line="240" w:lineRule="auto"/>
        <w:ind w:firstLine="360"/>
        <w:rPr>
          <w:rFonts w:ascii="Times New Roman" w:hAnsi="Times New Roman" w:cs="Times New Roman"/>
          <w:highlight w:val="yellow"/>
        </w:rPr>
      </w:pPr>
    </w:p>
    <w:p w:rsidR="00C160D0" w:rsidP="00112E87" w14:paraId="63D1D0B7" w14:textId="77777777">
      <w:pPr>
        <w:spacing w:after="0" w:line="240" w:lineRule="auto"/>
        <w:ind w:firstLine="720"/>
        <w:rPr>
          <w:rFonts w:ascii="Times New Roman" w:hAnsi="Times New Roman" w:cs="Times New Roman"/>
        </w:rPr>
      </w:pPr>
      <w:r>
        <w:rPr>
          <w:rFonts w:ascii="Times New Roman" w:hAnsi="Times New Roman" w:cs="Times New Roman"/>
        </w:rPr>
        <w:t>B</w:t>
      </w:r>
      <w:r w:rsidR="00FF3FF7">
        <w:rPr>
          <w:rFonts w:ascii="Times New Roman" w:hAnsi="Times New Roman" w:cs="Times New Roman"/>
        </w:rPr>
        <w:t>y complying with the</w:t>
      </w:r>
      <w:r>
        <w:rPr>
          <w:rFonts w:ascii="Times New Roman" w:hAnsi="Times New Roman" w:cs="Times New Roman"/>
        </w:rPr>
        <w:t xml:space="preserve"> Contra Costa</w:t>
      </w:r>
      <w:r w:rsidR="00FF3FF7">
        <w:rPr>
          <w:rFonts w:ascii="Times New Roman" w:hAnsi="Times New Roman" w:cs="Times New Roman"/>
        </w:rPr>
        <w:t xml:space="preserve"> </w:t>
      </w:r>
      <w:r w:rsidR="005F77EF">
        <w:rPr>
          <w:rFonts w:ascii="Times New Roman" w:hAnsi="Times New Roman" w:cs="Times New Roman"/>
        </w:rPr>
        <w:t>C</w:t>
      </w:r>
      <w:r w:rsidR="00FF3FF7">
        <w:rPr>
          <w:rFonts w:ascii="Times New Roman" w:hAnsi="Times New Roman" w:cs="Times New Roman"/>
        </w:rPr>
        <w:t>ounty’s more stringent requirement to implement IST</w:t>
      </w:r>
      <w:r w:rsidR="00F40318">
        <w:rPr>
          <w:rFonts w:ascii="Times New Roman" w:hAnsi="Times New Roman" w:cs="Times New Roman"/>
        </w:rPr>
        <w:t>/ISD</w:t>
      </w:r>
      <w:r w:rsidR="00FF3FF7">
        <w:rPr>
          <w:rFonts w:ascii="Times New Roman" w:hAnsi="Times New Roman" w:cs="Times New Roman"/>
        </w:rPr>
        <w:t xml:space="preserve"> measures, </w:t>
      </w:r>
      <w:r w:rsidR="005F77EF">
        <w:rPr>
          <w:rFonts w:ascii="Times New Roman" w:hAnsi="Times New Roman" w:cs="Times New Roman"/>
        </w:rPr>
        <w:t>the county’s facil</w:t>
      </w:r>
      <w:r w:rsidR="00A10D27">
        <w:rPr>
          <w:rFonts w:ascii="Times New Roman" w:hAnsi="Times New Roman" w:cs="Times New Roman"/>
        </w:rPr>
        <w:t>i</w:t>
      </w:r>
      <w:r w:rsidR="005F77EF">
        <w:rPr>
          <w:rFonts w:ascii="Times New Roman" w:hAnsi="Times New Roman" w:cs="Times New Roman"/>
        </w:rPr>
        <w:t>t</w:t>
      </w:r>
      <w:r w:rsidR="00A10D27">
        <w:rPr>
          <w:rFonts w:ascii="Times New Roman" w:hAnsi="Times New Roman" w:cs="Times New Roman"/>
        </w:rPr>
        <w:t xml:space="preserve">ies </w:t>
      </w:r>
      <w:r w:rsidR="009449B7">
        <w:rPr>
          <w:rFonts w:ascii="Times New Roman" w:hAnsi="Times New Roman" w:cs="Times New Roman"/>
        </w:rPr>
        <w:t>will</w:t>
      </w:r>
      <w:r w:rsidR="007538EA">
        <w:rPr>
          <w:rFonts w:ascii="Times New Roman" w:hAnsi="Times New Roman" w:cs="Times New Roman"/>
        </w:rPr>
        <w:t xml:space="preserve"> </w:t>
      </w:r>
      <w:r w:rsidR="00380DBC">
        <w:rPr>
          <w:rFonts w:ascii="Times New Roman" w:hAnsi="Times New Roman" w:cs="Times New Roman"/>
        </w:rPr>
        <w:t xml:space="preserve">already </w:t>
      </w:r>
      <w:r w:rsidR="00E073F3">
        <w:rPr>
          <w:rFonts w:ascii="Times New Roman" w:hAnsi="Times New Roman" w:cs="Times New Roman"/>
        </w:rPr>
        <w:t>meet or exceed</w:t>
      </w:r>
      <w:r w:rsidR="00380DBC">
        <w:rPr>
          <w:rFonts w:ascii="Times New Roman" w:hAnsi="Times New Roman" w:cs="Times New Roman"/>
        </w:rPr>
        <w:t xml:space="preserve"> the final rule’s STAA implementation requirement.</w:t>
      </w:r>
      <w:r w:rsidR="00E073F3">
        <w:rPr>
          <w:rFonts w:ascii="Times New Roman" w:hAnsi="Times New Roman" w:cs="Times New Roman"/>
        </w:rPr>
        <w:t xml:space="preserve"> Therefore, EPA excludes </w:t>
      </w:r>
      <w:r w:rsidR="00F839FA">
        <w:rPr>
          <w:rFonts w:ascii="Times New Roman" w:hAnsi="Times New Roman" w:cs="Times New Roman"/>
        </w:rPr>
        <w:t xml:space="preserve">two </w:t>
      </w:r>
      <w:r w:rsidR="00E073F3">
        <w:rPr>
          <w:rFonts w:ascii="Times New Roman" w:hAnsi="Times New Roman" w:cs="Times New Roman"/>
        </w:rPr>
        <w:t xml:space="preserve">refineries and seven chemical facilities </w:t>
      </w:r>
      <w:r w:rsidR="007255A0">
        <w:rPr>
          <w:rFonts w:ascii="Times New Roman" w:hAnsi="Times New Roman" w:cs="Times New Roman"/>
        </w:rPr>
        <w:t xml:space="preserve">in Contra Costa </w:t>
      </w:r>
      <w:r w:rsidR="002D4761">
        <w:rPr>
          <w:rFonts w:ascii="Times New Roman" w:hAnsi="Times New Roman" w:cs="Times New Roman"/>
        </w:rPr>
        <w:t xml:space="preserve">County </w:t>
      </w:r>
      <w:r w:rsidR="007255A0">
        <w:rPr>
          <w:rFonts w:ascii="Times New Roman" w:hAnsi="Times New Roman" w:cs="Times New Roman"/>
        </w:rPr>
        <w:t>from the analysis</w:t>
      </w:r>
      <w:r w:rsidR="00A51ED0">
        <w:rPr>
          <w:rFonts w:ascii="Times New Roman" w:hAnsi="Times New Roman" w:cs="Times New Roman"/>
        </w:rPr>
        <w:t xml:space="preserve"> of STAA implementation costs</w:t>
      </w:r>
      <w:r w:rsidR="007255A0">
        <w:rPr>
          <w:rFonts w:ascii="Times New Roman" w:hAnsi="Times New Roman" w:cs="Times New Roman"/>
        </w:rPr>
        <w:t>.</w:t>
      </w:r>
      <w:r w:rsidR="00A51ED0">
        <w:rPr>
          <w:rFonts w:ascii="Times New Roman" w:hAnsi="Times New Roman" w:cs="Times New Roman"/>
        </w:rPr>
        <w:t xml:space="preserve"> </w:t>
      </w:r>
      <w:r w:rsidR="004B3771">
        <w:rPr>
          <w:rFonts w:ascii="Times New Roman" w:hAnsi="Times New Roman" w:cs="Times New Roman"/>
        </w:rPr>
        <w:t xml:space="preserve">EPA expects the costs of implementation to vary by </w:t>
      </w:r>
      <w:r w:rsidR="00A10D27">
        <w:rPr>
          <w:rFonts w:ascii="Times New Roman" w:hAnsi="Times New Roman" w:cs="Times New Roman"/>
        </w:rPr>
        <w:t xml:space="preserve">facility </w:t>
      </w:r>
      <w:r w:rsidR="004B3771">
        <w:rPr>
          <w:rFonts w:ascii="Times New Roman" w:hAnsi="Times New Roman" w:cs="Times New Roman"/>
        </w:rPr>
        <w:t>size, type, and number of processes</w:t>
      </w:r>
      <w:r w:rsidR="00A10D27">
        <w:rPr>
          <w:rFonts w:ascii="Times New Roman" w:hAnsi="Times New Roman" w:cs="Times New Roman"/>
        </w:rPr>
        <w:t>.</w:t>
      </w:r>
      <w:r w:rsidR="004B3771">
        <w:rPr>
          <w:rFonts w:ascii="Times New Roman" w:hAnsi="Times New Roman" w:cs="Times New Roman"/>
        </w:rPr>
        <w:t xml:space="preserve">  </w:t>
      </w:r>
      <w:r w:rsidR="00A51ED0">
        <w:rPr>
          <w:rFonts w:ascii="Times New Roman" w:hAnsi="Times New Roman" w:cs="Times New Roman"/>
        </w:rPr>
        <w:t>Exhibit 3-7</w:t>
      </w:r>
      <w:r w:rsidR="00F74931">
        <w:rPr>
          <w:rFonts w:ascii="Times New Roman" w:hAnsi="Times New Roman" w:cs="Times New Roman"/>
        </w:rPr>
        <w:t xml:space="preserve"> presents the number of processes and facilities by facility size </w:t>
      </w:r>
      <w:r w:rsidR="00556C8A">
        <w:rPr>
          <w:rFonts w:ascii="Times New Roman" w:hAnsi="Times New Roman" w:cs="Times New Roman"/>
        </w:rPr>
        <w:t>for the two sectors subject to the provision</w:t>
      </w:r>
      <w:r w:rsidR="00D03AAF">
        <w:rPr>
          <w:rFonts w:ascii="Times New Roman" w:hAnsi="Times New Roman" w:cs="Times New Roman"/>
        </w:rPr>
        <w:t>.</w:t>
      </w:r>
    </w:p>
    <w:p w:rsidR="008723F7" w:rsidP="00F2338D" w14:paraId="0340E10A" w14:textId="77777777">
      <w:pPr>
        <w:spacing w:after="0" w:line="240" w:lineRule="auto"/>
        <w:rPr>
          <w:rFonts w:ascii="Times New Roman" w:hAnsi="Times New Roman" w:cs="Times New Roman"/>
        </w:rPr>
      </w:pPr>
    </w:p>
    <w:p w:rsidR="00F2338D" w:rsidP="00F2338D" w14:paraId="6B05E6F7" w14:textId="77777777">
      <w:pPr>
        <w:keepNext/>
        <w:keepLines/>
        <w:spacing w:after="0" w:line="240" w:lineRule="auto"/>
        <w:jc w:val="center"/>
        <w:rPr>
          <w:rFonts w:ascii="Times New Roman" w:eastAsia="Calibri" w:hAnsi="Times New Roman" w:cs="Times New Roman"/>
          <w:b/>
        </w:rPr>
      </w:pPr>
      <w:r w:rsidRPr="00305374">
        <w:rPr>
          <w:rFonts w:ascii="Times New Roman" w:hAnsi="Times New Roman" w:cs="Times New Roman"/>
          <w:b/>
        </w:rPr>
        <w:t xml:space="preserve">Exhibit </w:t>
      </w:r>
      <w:r w:rsidRPr="00305374">
        <w:rPr>
          <w:rFonts w:ascii="Times New Roman" w:eastAsia="Calibri" w:hAnsi="Times New Roman" w:cs="Times New Roman"/>
          <w:b/>
        </w:rPr>
        <w:t>3-</w:t>
      </w:r>
      <w:r>
        <w:rPr>
          <w:rFonts w:ascii="Times New Roman" w:eastAsia="Calibri" w:hAnsi="Times New Roman" w:cs="Times New Roman"/>
          <w:b/>
        </w:rPr>
        <w:t>7</w:t>
      </w:r>
      <w:r w:rsidRPr="00305374">
        <w:rPr>
          <w:rFonts w:ascii="Times New Roman" w:eastAsia="Calibri" w:hAnsi="Times New Roman" w:cs="Times New Roman"/>
          <w:b/>
        </w:rPr>
        <w:t xml:space="preserve">: Number of Processes and Facilities Subject to STAA </w:t>
      </w:r>
      <w:r>
        <w:rPr>
          <w:rFonts w:ascii="Times New Roman" w:eastAsia="Calibri" w:hAnsi="Times New Roman" w:cs="Times New Roman"/>
          <w:b/>
        </w:rPr>
        <w:t>Implementation</w:t>
      </w:r>
      <w:r w:rsidRPr="00305374">
        <w:rPr>
          <w:rFonts w:ascii="Times New Roman" w:eastAsia="Calibri" w:hAnsi="Times New Roman" w:cs="Times New Roman"/>
          <w:b/>
        </w:rPr>
        <w:t xml:space="preserve"> </w:t>
      </w:r>
    </w:p>
    <w:p w:rsidR="00F2338D" w:rsidP="00F2338D" w14:paraId="5C7A839F" w14:textId="77777777">
      <w:pPr>
        <w:keepNext/>
        <w:keepLines/>
        <w:spacing w:after="0" w:line="240" w:lineRule="auto"/>
        <w:jc w:val="center"/>
        <w:rPr>
          <w:rFonts w:ascii="Times New Roman" w:eastAsia="Calibri" w:hAnsi="Times New Roman" w:cs="Times New Roman"/>
          <w:b/>
        </w:rPr>
      </w:pPr>
      <w:r w:rsidRPr="00305374">
        <w:rPr>
          <w:rFonts w:ascii="Times New Roman" w:eastAsia="Calibri" w:hAnsi="Times New Roman" w:cs="Times New Roman"/>
          <w:b/>
        </w:rPr>
        <w:t>(Complex Program 3 facilities within one mile of another complex facility</w:t>
      </w:r>
      <w:r>
        <w:rPr>
          <w:rFonts w:ascii="Times New Roman" w:eastAsia="Calibri" w:hAnsi="Times New Roman" w:cs="Times New Roman"/>
          <w:b/>
        </w:rPr>
        <w:t>, with a</w:t>
      </w:r>
      <w:r w:rsidR="00AE0FB9">
        <w:rPr>
          <w:rFonts w:ascii="Times New Roman" w:eastAsia="Calibri" w:hAnsi="Times New Roman" w:cs="Times New Roman"/>
          <w:b/>
        </w:rPr>
        <w:t xml:space="preserve"> recent</w:t>
      </w:r>
      <w:r>
        <w:rPr>
          <w:rFonts w:ascii="Times New Roman" w:eastAsia="Calibri" w:hAnsi="Times New Roman" w:cs="Times New Roman"/>
          <w:b/>
        </w:rPr>
        <w:t xml:space="preserve"> accident,</w:t>
      </w:r>
      <w:r w:rsidRPr="00305374">
        <w:rPr>
          <w:rFonts w:ascii="Times New Roman" w:eastAsia="Calibri" w:hAnsi="Times New Roman" w:cs="Times New Roman"/>
          <w:b/>
        </w:rPr>
        <w:t xml:space="preserve"> </w:t>
      </w:r>
    </w:p>
    <w:p w:rsidR="00F2338D" w:rsidRPr="00305374" w:rsidP="00F2338D" w14:paraId="63185F46" w14:textId="77777777">
      <w:pPr>
        <w:keepNext/>
        <w:keepLines/>
        <w:spacing w:after="0" w:line="240" w:lineRule="auto"/>
        <w:jc w:val="center"/>
        <w:rPr>
          <w:rFonts w:ascii="Times New Roman" w:eastAsia="Calibri" w:hAnsi="Times New Roman" w:cs="Times New Roman"/>
          <w:b/>
        </w:rPr>
      </w:pPr>
      <w:r w:rsidRPr="00305374">
        <w:rPr>
          <w:rFonts w:ascii="Times New Roman" w:eastAsia="Calibri" w:hAnsi="Times New Roman" w:cs="Times New Roman"/>
          <w:b/>
        </w:rPr>
        <w:t>or with an HF unit</w:t>
      </w:r>
      <w:r>
        <w:rPr>
          <w:rFonts w:ascii="Times New Roman" w:eastAsia="Calibri" w:hAnsi="Times New Roman" w:cs="Times New Roman"/>
          <w:b/>
        </w:rPr>
        <w:t>, excluding Contra Costa</w:t>
      </w:r>
      <w:r w:rsidR="002D4761">
        <w:rPr>
          <w:rFonts w:ascii="Times New Roman" w:eastAsia="Calibri" w:hAnsi="Times New Roman" w:cs="Times New Roman"/>
          <w:b/>
        </w:rPr>
        <w:t xml:space="preserve"> County</w:t>
      </w:r>
      <w:r>
        <w:rPr>
          <w:rFonts w:ascii="Times New Roman" w:eastAsia="Calibri" w:hAnsi="Times New Roman" w:cs="Times New Roman"/>
          <w:b/>
        </w:rPr>
        <w:t xml:space="preserve"> facilities</w:t>
      </w:r>
      <w:r w:rsidRPr="00305374">
        <w:rPr>
          <w:rFonts w:ascii="Times New Roman" w:eastAsia="Calibri" w:hAnsi="Times New Roman" w:cs="Times New Roman"/>
          <w:b/>
        </w:rPr>
        <w:t>) by Facility Size and Sector (2020</w:t>
      </w:r>
      <w:r w:rsidRPr="00305374">
        <w:rPr>
          <w:rFonts w:ascii="Times New Roman" w:eastAsia="Calibri" w:hAnsi="Times New Roman" w:cs="Times New Roman"/>
          <w:b/>
          <w:bCs/>
        </w:rPr>
        <w:t>).</w:t>
      </w:r>
    </w:p>
    <w:p w:rsidR="00F2338D" w:rsidRPr="00587204" w:rsidP="00F2338D" w14:paraId="390BEB94" w14:textId="77777777">
      <w:pPr>
        <w:keepNext/>
        <w:keepLines/>
        <w:spacing w:after="0" w:line="240" w:lineRule="auto"/>
        <w:rPr>
          <w:rFonts w:ascii="Times New Roman" w:eastAsia="Calibri" w:hAnsi="Times New Roman" w:cs="Times New Roman"/>
          <w:b/>
        </w:rPr>
      </w:pPr>
    </w:p>
    <w:tbl>
      <w:tblPr>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0"/>
        <w:gridCol w:w="895"/>
        <w:gridCol w:w="666"/>
        <w:gridCol w:w="1185"/>
        <w:gridCol w:w="983"/>
        <w:gridCol w:w="2241"/>
      </w:tblGrid>
      <w:tr w14:paraId="1AE9694E" w14:textId="77777777">
        <w:tblPrEx>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jc w:val="center"/>
        </w:trPr>
        <w:tc>
          <w:tcPr>
            <w:tcW w:w="1745" w:type="pct"/>
            <w:shd w:val="clear" w:color="auto" w:fill="D9D9D9" w:themeFill="background1" w:themeFillShade="D9"/>
            <w:noWrap/>
            <w:vAlign w:val="bottom"/>
            <w:hideMark/>
          </w:tcPr>
          <w:p w:rsidR="00F2338D" w:rsidRPr="00D7128A" w14:paraId="19595CDE" w14:textId="77777777">
            <w:pPr>
              <w:keepNext/>
              <w:keepLines/>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Sector</w:t>
            </w:r>
          </w:p>
        </w:tc>
        <w:tc>
          <w:tcPr>
            <w:tcW w:w="488" w:type="pct"/>
            <w:shd w:val="clear" w:color="auto" w:fill="D9D9D9" w:themeFill="background1" w:themeFillShade="D9"/>
            <w:noWrap/>
            <w:vAlign w:val="center"/>
            <w:hideMark/>
          </w:tcPr>
          <w:p w:rsidR="00F2338D" w:rsidRPr="00D7128A" w14:paraId="144C6ACC" w14:textId="77777777">
            <w:pPr>
              <w:keepNext/>
              <w:keepLines/>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NAICS</w:t>
            </w:r>
          </w:p>
        </w:tc>
        <w:tc>
          <w:tcPr>
            <w:tcW w:w="363" w:type="pct"/>
            <w:shd w:val="clear" w:color="auto" w:fill="D9D9D9" w:themeFill="background1" w:themeFillShade="D9"/>
            <w:noWrap/>
            <w:vAlign w:val="center"/>
            <w:hideMark/>
          </w:tcPr>
          <w:p w:rsidR="00F2338D" w:rsidRPr="00D7128A" w14:paraId="52A9C5C9" w14:textId="77777777">
            <w:pPr>
              <w:keepNext/>
              <w:keepLines/>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FTE</w:t>
            </w:r>
          </w:p>
        </w:tc>
        <w:tc>
          <w:tcPr>
            <w:tcW w:w="646" w:type="pct"/>
            <w:shd w:val="clear" w:color="auto" w:fill="D9D9D9" w:themeFill="background1" w:themeFillShade="D9"/>
            <w:noWrap/>
            <w:vAlign w:val="center"/>
            <w:hideMark/>
          </w:tcPr>
          <w:p w:rsidR="00F2338D" w:rsidRPr="00D7128A" w14:paraId="56159A44" w14:textId="77777777">
            <w:pPr>
              <w:keepNext/>
              <w:keepLines/>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Processes</w:t>
            </w:r>
          </w:p>
        </w:tc>
        <w:tc>
          <w:tcPr>
            <w:tcW w:w="536" w:type="pct"/>
            <w:shd w:val="clear" w:color="auto" w:fill="D9D9D9" w:themeFill="background1" w:themeFillShade="D9"/>
            <w:noWrap/>
            <w:vAlign w:val="center"/>
            <w:hideMark/>
          </w:tcPr>
          <w:p w:rsidR="00F2338D" w:rsidRPr="00D7128A" w14:paraId="15CC1246" w14:textId="77777777">
            <w:pPr>
              <w:keepNext/>
              <w:keepLines/>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Facilities</w:t>
            </w:r>
          </w:p>
        </w:tc>
        <w:tc>
          <w:tcPr>
            <w:tcW w:w="1222" w:type="pct"/>
            <w:shd w:val="clear" w:color="auto" w:fill="D9D9D9" w:themeFill="background1" w:themeFillShade="D9"/>
            <w:noWrap/>
            <w:vAlign w:val="center"/>
            <w:hideMark/>
          </w:tcPr>
          <w:p w:rsidR="00F2338D" w:rsidRPr="00D7128A" w14:paraId="50E5CCAA" w14:textId="77777777">
            <w:pPr>
              <w:keepNext/>
              <w:keepLines/>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Processes per Facility</w:t>
            </w:r>
          </w:p>
        </w:tc>
      </w:tr>
      <w:tr w14:paraId="44E78E28" w14:textId="77777777">
        <w:tblPrEx>
          <w:tblW w:w="4599" w:type="pct"/>
          <w:jc w:val="center"/>
          <w:tblLook w:val="04A0"/>
        </w:tblPrEx>
        <w:trPr>
          <w:trHeight w:val="290"/>
          <w:jc w:val="center"/>
        </w:trPr>
        <w:tc>
          <w:tcPr>
            <w:tcW w:w="1745" w:type="pct"/>
            <w:shd w:val="clear" w:color="auto" w:fill="auto"/>
            <w:vAlign w:val="bottom"/>
            <w:hideMark/>
          </w:tcPr>
          <w:p w:rsidR="00F2338D" w:rsidRPr="00D7128A" w14:paraId="07799D1F"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and Coal Products Manufacturing</w:t>
            </w:r>
            <w:r>
              <w:rPr>
                <w:rFonts w:ascii="Times New Roman" w:hAnsi="Times New Roman" w:cs="Times New Roman"/>
                <w:color w:val="000000"/>
                <w:sz w:val="20"/>
                <w:szCs w:val="20"/>
              </w:rPr>
              <w:t xml:space="preserve"> (no HF)</w:t>
            </w:r>
          </w:p>
        </w:tc>
        <w:tc>
          <w:tcPr>
            <w:tcW w:w="488" w:type="pct"/>
            <w:shd w:val="clear" w:color="auto" w:fill="auto"/>
            <w:noWrap/>
            <w:vAlign w:val="center"/>
            <w:hideMark/>
          </w:tcPr>
          <w:p w:rsidR="00F2338D" w:rsidRPr="00D7128A" w14:paraId="5F8D622F"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324</w:t>
            </w:r>
          </w:p>
        </w:tc>
        <w:tc>
          <w:tcPr>
            <w:tcW w:w="363" w:type="pct"/>
            <w:shd w:val="clear" w:color="auto" w:fill="auto"/>
            <w:noWrap/>
            <w:vAlign w:val="center"/>
            <w:hideMark/>
          </w:tcPr>
          <w:p w:rsidR="00F2338D" w:rsidRPr="00D7128A" w14:paraId="4DFCA08E"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0-99</w:t>
            </w:r>
          </w:p>
        </w:tc>
        <w:tc>
          <w:tcPr>
            <w:tcW w:w="646" w:type="pct"/>
            <w:shd w:val="clear" w:color="auto" w:fill="auto"/>
            <w:noWrap/>
            <w:vAlign w:val="center"/>
            <w:hideMark/>
          </w:tcPr>
          <w:p w:rsidR="00F2338D" w:rsidRPr="00D7128A" w14:paraId="6FA84E9C"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36" w:type="pct"/>
            <w:shd w:val="clear" w:color="auto" w:fill="auto"/>
            <w:noWrap/>
            <w:vAlign w:val="center"/>
            <w:hideMark/>
          </w:tcPr>
          <w:p w:rsidR="00F2338D" w:rsidRPr="00D7128A" w14:paraId="26DCAD83"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w:t>
            </w:r>
          </w:p>
        </w:tc>
        <w:tc>
          <w:tcPr>
            <w:tcW w:w="1222" w:type="pct"/>
            <w:shd w:val="clear" w:color="auto" w:fill="auto"/>
            <w:noWrap/>
            <w:vAlign w:val="center"/>
            <w:hideMark/>
          </w:tcPr>
          <w:p w:rsidR="00F2338D" w:rsidRPr="00D7128A" w14:paraId="7AF9315C" w14:textId="77777777">
            <w:pPr>
              <w:keepNext/>
              <w:keepLine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r>
      <w:tr w14:paraId="312D42C8" w14:textId="77777777">
        <w:tblPrEx>
          <w:tblW w:w="4599" w:type="pct"/>
          <w:jc w:val="center"/>
          <w:tblLook w:val="04A0"/>
        </w:tblPrEx>
        <w:trPr>
          <w:trHeight w:val="290"/>
          <w:jc w:val="center"/>
        </w:trPr>
        <w:tc>
          <w:tcPr>
            <w:tcW w:w="1745" w:type="pct"/>
            <w:shd w:val="clear" w:color="auto" w:fill="auto"/>
            <w:vAlign w:val="bottom"/>
            <w:hideMark/>
          </w:tcPr>
          <w:p w:rsidR="00F2338D" w:rsidRPr="00D7128A" w14:paraId="02457891"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and Coal Products Manufacturing</w:t>
            </w:r>
            <w:r>
              <w:rPr>
                <w:rFonts w:ascii="Times New Roman" w:hAnsi="Times New Roman" w:cs="Times New Roman"/>
                <w:color w:val="000000"/>
                <w:sz w:val="20"/>
                <w:szCs w:val="20"/>
              </w:rPr>
              <w:t xml:space="preserve"> (no HF)</w:t>
            </w:r>
          </w:p>
        </w:tc>
        <w:tc>
          <w:tcPr>
            <w:tcW w:w="488" w:type="pct"/>
            <w:shd w:val="clear" w:color="auto" w:fill="auto"/>
            <w:noWrap/>
            <w:vAlign w:val="center"/>
            <w:hideMark/>
          </w:tcPr>
          <w:p w:rsidR="00F2338D" w:rsidRPr="00D7128A" w14:paraId="3E2EF298"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324</w:t>
            </w:r>
          </w:p>
        </w:tc>
        <w:tc>
          <w:tcPr>
            <w:tcW w:w="363" w:type="pct"/>
            <w:shd w:val="clear" w:color="auto" w:fill="auto"/>
            <w:noWrap/>
            <w:vAlign w:val="center"/>
            <w:hideMark/>
          </w:tcPr>
          <w:p w:rsidR="00F2338D" w:rsidRPr="00D7128A" w14:paraId="2A1D9999"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100+</w:t>
            </w:r>
          </w:p>
        </w:tc>
        <w:tc>
          <w:tcPr>
            <w:tcW w:w="646" w:type="pct"/>
            <w:shd w:val="clear" w:color="auto" w:fill="auto"/>
            <w:noWrap/>
            <w:vAlign w:val="center"/>
            <w:hideMark/>
          </w:tcPr>
          <w:p w:rsidR="00F2338D" w:rsidRPr="00D7128A" w14:paraId="4C9A4E09"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FF6615">
              <w:rPr>
                <w:rFonts w:ascii="Times New Roman" w:eastAsia="Times New Roman" w:hAnsi="Times New Roman" w:cs="Times New Roman"/>
                <w:color w:val="000000"/>
                <w:sz w:val="20"/>
                <w:szCs w:val="20"/>
              </w:rPr>
              <w:t>57</w:t>
            </w:r>
          </w:p>
        </w:tc>
        <w:tc>
          <w:tcPr>
            <w:tcW w:w="536" w:type="pct"/>
            <w:shd w:val="clear" w:color="auto" w:fill="auto"/>
            <w:noWrap/>
            <w:vAlign w:val="center"/>
            <w:hideMark/>
          </w:tcPr>
          <w:p w:rsidR="00F2338D" w:rsidRPr="00D7128A" w14:paraId="56B085BC"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331A75">
              <w:rPr>
                <w:rFonts w:ascii="Times New Roman" w:eastAsia="Times New Roman" w:hAnsi="Times New Roman" w:cs="Times New Roman"/>
                <w:color w:val="000000"/>
                <w:sz w:val="20"/>
                <w:szCs w:val="20"/>
              </w:rPr>
              <w:t>7</w:t>
            </w:r>
          </w:p>
        </w:tc>
        <w:tc>
          <w:tcPr>
            <w:tcW w:w="1222" w:type="pct"/>
            <w:shd w:val="clear" w:color="auto" w:fill="auto"/>
            <w:noWrap/>
            <w:vAlign w:val="center"/>
            <w:hideMark/>
          </w:tcPr>
          <w:p w:rsidR="00F2338D" w:rsidRPr="00D7128A" w14:paraId="4D076EAA" w14:textId="77777777">
            <w:pPr>
              <w:keepNext/>
              <w:keepLine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FB043B">
              <w:rPr>
                <w:rFonts w:ascii="Times New Roman" w:hAnsi="Times New Roman" w:cs="Times New Roman"/>
                <w:color w:val="000000"/>
                <w:sz w:val="20"/>
                <w:szCs w:val="20"/>
              </w:rPr>
              <w:t>5.</w:t>
            </w:r>
            <w:r w:rsidR="00B21756">
              <w:rPr>
                <w:rFonts w:ascii="Times New Roman" w:hAnsi="Times New Roman" w:cs="Times New Roman"/>
                <w:color w:val="000000"/>
                <w:sz w:val="20"/>
                <w:szCs w:val="20"/>
              </w:rPr>
              <w:t>1</w:t>
            </w:r>
          </w:p>
        </w:tc>
      </w:tr>
      <w:tr w14:paraId="7B4DD5D2" w14:textId="77777777">
        <w:tblPrEx>
          <w:tblW w:w="4599" w:type="pct"/>
          <w:jc w:val="center"/>
          <w:tblLook w:val="04A0"/>
        </w:tblPrEx>
        <w:trPr>
          <w:trHeight w:val="290"/>
          <w:jc w:val="center"/>
        </w:trPr>
        <w:tc>
          <w:tcPr>
            <w:tcW w:w="1745" w:type="pct"/>
            <w:shd w:val="clear" w:color="auto" w:fill="auto"/>
            <w:vAlign w:val="bottom"/>
            <w:hideMark/>
          </w:tcPr>
          <w:p w:rsidR="00F2338D" w:rsidRPr="00D7128A" w14:paraId="3067B006"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and Coal Products Manufacturing</w:t>
            </w:r>
            <w:r>
              <w:rPr>
                <w:rFonts w:ascii="Times New Roman" w:hAnsi="Times New Roman" w:cs="Times New Roman"/>
                <w:color w:val="000000"/>
                <w:sz w:val="20"/>
                <w:szCs w:val="20"/>
              </w:rPr>
              <w:t xml:space="preserve"> (with HF)</w:t>
            </w:r>
          </w:p>
        </w:tc>
        <w:tc>
          <w:tcPr>
            <w:tcW w:w="488" w:type="pct"/>
            <w:shd w:val="clear" w:color="auto" w:fill="auto"/>
            <w:noWrap/>
            <w:vAlign w:val="center"/>
            <w:hideMark/>
          </w:tcPr>
          <w:p w:rsidR="00F2338D" w:rsidRPr="00D7128A" w14:paraId="14D8A6F5"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324</w:t>
            </w:r>
          </w:p>
        </w:tc>
        <w:tc>
          <w:tcPr>
            <w:tcW w:w="363" w:type="pct"/>
            <w:shd w:val="clear" w:color="auto" w:fill="auto"/>
            <w:noWrap/>
            <w:vAlign w:val="center"/>
            <w:hideMark/>
          </w:tcPr>
          <w:p w:rsidR="00F2338D" w:rsidRPr="00D7128A" w14:paraId="5689B123"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100+</w:t>
            </w:r>
          </w:p>
        </w:tc>
        <w:tc>
          <w:tcPr>
            <w:tcW w:w="646" w:type="pct"/>
            <w:shd w:val="clear" w:color="auto" w:fill="auto"/>
            <w:noWrap/>
            <w:vAlign w:val="center"/>
            <w:hideMark/>
          </w:tcPr>
          <w:p w:rsidR="00F2338D" w:rsidRPr="00D7128A" w14:paraId="7B5D6507"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702</w:t>
            </w:r>
          </w:p>
        </w:tc>
        <w:tc>
          <w:tcPr>
            <w:tcW w:w="536" w:type="pct"/>
            <w:shd w:val="clear" w:color="auto" w:fill="auto"/>
            <w:noWrap/>
            <w:vAlign w:val="center"/>
            <w:hideMark/>
          </w:tcPr>
          <w:p w:rsidR="00F2338D" w:rsidRPr="00D7128A" w14:paraId="48F9AB2A"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331A75">
              <w:rPr>
                <w:rFonts w:ascii="Times New Roman" w:eastAsia="Times New Roman" w:hAnsi="Times New Roman" w:cs="Times New Roman"/>
                <w:color w:val="000000"/>
                <w:sz w:val="20"/>
                <w:szCs w:val="20"/>
              </w:rPr>
              <w:t>5</w:t>
            </w:r>
          </w:p>
        </w:tc>
        <w:tc>
          <w:tcPr>
            <w:tcW w:w="1222" w:type="pct"/>
            <w:shd w:val="clear" w:color="auto" w:fill="auto"/>
            <w:noWrap/>
            <w:vAlign w:val="center"/>
            <w:hideMark/>
          </w:tcPr>
          <w:p w:rsidR="00F2338D" w:rsidRPr="00D7128A" w14:paraId="2D283A35" w14:textId="77777777">
            <w:pPr>
              <w:keepNext/>
              <w:keepLine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B21756">
              <w:rPr>
                <w:rFonts w:ascii="Times New Roman" w:hAnsi="Times New Roman" w:cs="Times New Roman"/>
                <w:color w:val="000000"/>
                <w:sz w:val="20"/>
                <w:szCs w:val="20"/>
              </w:rPr>
              <w:t>5.6</w:t>
            </w:r>
          </w:p>
        </w:tc>
      </w:tr>
      <w:tr w14:paraId="40A72CFB" w14:textId="77777777">
        <w:tblPrEx>
          <w:tblW w:w="4599" w:type="pct"/>
          <w:jc w:val="center"/>
          <w:tblLook w:val="04A0"/>
        </w:tblPrEx>
        <w:trPr>
          <w:trHeight w:val="290"/>
          <w:jc w:val="center"/>
        </w:trPr>
        <w:tc>
          <w:tcPr>
            <w:tcW w:w="1745" w:type="pct"/>
            <w:shd w:val="clear" w:color="auto" w:fill="auto"/>
            <w:vAlign w:val="bottom"/>
            <w:hideMark/>
          </w:tcPr>
          <w:p w:rsidR="00F2338D" w:rsidRPr="00D7128A" w14:paraId="7410DFEF"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Manufacturing</w:t>
            </w:r>
          </w:p>
        </w:tc>
        <w:tc>
          <w:tcPr>
            <w:tcW w:w="488" w:type="pct"/>
            <w:shd w:val="clear" w:color="auto" w:fill="auto"/>
            <w:noWrap/>
            <w:vAlign w:val="center"/>
            <w:hideMark/>
          </w:tcPr>
          <w:p w:rsidR="00F2338D" w:rsidRPr="00D7128A" w14:paraId="466BBD66"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325</w:t>
            </w:r>
          </w:p>
        </w:tc>
        <w:tc>
          <w:tcPr>
            <w:tcW w:w="363" w:type="pct"/>
            <w:shd w:val="clear" w:color="auto" w:fill="auto"/>
            <w:noWrap/>
            <w:vAlign w:val="center"/>
            <w:hideMark/>
          </w:tcPr>
          <w:p w:rsidR="00F2338D" w:rsidRPr="00D7128A" w14:paraId="2E4DC959"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0-99</w:t>
            </w:r>
          </w:p>
        </w:tc>
        <w:tc>
          <w:tcPr>
            <w:tcW w:w="646" w:type="pct"/>
            <w:shd w:val="clear" w:color="auto" w:fill="auto"/>
            <w:noWrap/>
            <w:vAlign w:val="center"/>
            <w:hideMark/>
          </w:tcPr>
          <w:p w:rsidR="00F2338D" w:rsidRPr="00D7128A" w14:paraId="79322642"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425</w:t>
            </w:r>
          </w:p>
        </w:tc>
        <w:tc>
          <w:tcPr>
            <w:tcW w:w="536" w:type="pct"/>
            <w:shd w:val="clear" w:color="auto" w:fill="auto"/>
            <w:noWrap/>
            <w:vAlign w:val="center"/>
            <w:hideMark/>
          </w:tcPr>
          <w:p w:rsidR="00F2338D" w:rsidRPr="00D7128A" w14:paraId="13F2A465"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300</w:t>
            </w:r>
          </w:p>
        </w:tc>
        <w:tc>
          <w:tcPr>
            <w:tcW w:w="1222" w:type="pct"/>
            <w:shd w:val="clear" w:color="auto" w:fill="auto"/>
            <w:noWrap/>
            <w:vAlign w:val="center"/>
            <w:hideMark/>
          </w:tcPr>
          <w:p w:rsidR="00F2338D" w:rsidRPr="00D7128A" w14:paraId="5E997841"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1.4</w:t>
            </w:r>
          </w:p>
        </w:tc>
      </w:tr>
      <w:tr w14:paraId="6392E3A9" w14:textId="77777777">
        <w:tblPrEx>
          <w:tblW w:w="4599" w:type="pct"/>
          <w:jc w:val="center"/>
          <w:tblLook w:val="04A0"/>
        </w:tblPrEx>
        <w:trPr>
          <w:trHeight w:val="290"/>
          <w:jc w:val="center"/>
        </w:trPr>
        <w:tc>
          <w:tcPr>
            <w:tcW w:w="1745" w:type="pct"/>
            <w:shd w:val="clear" w:color="auto" w:fill="auto"/>
            <w:vAlign w:val="bottom"/>
            <w:hideMark/>
          </w:tcPr>
          <w:p w:rsidR="00F2338D" w:rsidRPr="00D7128A" w14:paraId="68756B14" w14:textId="77777777">
            <w:pPr>
              <w:keepNext/>
              <w:keepLines/>
              <w:spacing w:after="0" w:line="240" w:lineRule="auto"/>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Manufacturing</w:t>
            </w:r>
          </w:p>
        </w:tc>
        <w:tc>
          <w:tcPr>
            <w:tcW w:w="488" w:type="pct"/>
            <w:shd w:val="clear" w:color="auto" w:fill="auto"/>
            <w:noWrap/>
            <w:vAlign w:val="center"/>
            <w:hideMark/>
          </w:tcPr>
          <w:p w:rsidR="00F2338D" w:rsidRPr="00D7128A" w14:paraId="7B99CC8F"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325</w:t>
            </w:r>
          </w:p>
        </w:tc>
        <w:tc>
          <w:tcPr>
            <w:tcW w:w="363" w:type="pct"/>
            <w:shd w:val="clear" w:color="auto" w:fill="auto"/>
            <w:noWrap/>
            <w:vAlign w:val="center"/>
            <w:hideMark/>
          </w:tcPr>
          <w:p w:rsidR="00F2338D" w:rsidRPr="00D7128A" w14:paraId="5649722C"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100+</w:t>
            </w:r>
          </w:p>
        </w:tc>
        <w:tc>
          <w:tcPr>
            <w:tcW w:w="646" w:type="pct"/>
            <w:shd w:val="clear" w:color="auto" w:fill="auto"/>
            <w:noWrap/>
            <w:vAlign w:val="center"/>
            <w:hideMark/>
          </w:tcPr>
          <w:p w:rsidR="00F2338D" w:rsidRPr="00D7128A" w14:paraId="5AADF54C"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0325C8">
              <w:rPr>
                <w:rFonts w:ascii="Times New Roman" w:eastAsia="Times New Roman" w:hAnsi="Times New Roman" w:cs="Times New Roman"/>
                <w:color w:val="000000"/>
                <w:sz w:val="20"/>
                <w:szCs w:val="20"/>
              </w:rPr>
              <w:t>30</w:t>
            </w:r>
          </w:p>
        </w:tc>
        <w:tc>
          <w:tcPr>
            <w:tcW w:w="536" w:type="pct"/>
            <w:shd w:val="clear" w:color="auto" w:fill="auto"/>
            <w:noWrap/>
            <w:vAlign w:val="center"/>
            <w:hideMark/>
          </w:tcPr>
          <w:p w:rsidR="00F2338D" w:rsidRPr="00D7128A" w14:paraId="5EA8535A" w14:textId="77777777">
            <w:pPr>
              <w:keepNext/>
              <w:keepLines/>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21</w:t>
            </w:r>
            <w:r w:rsidR="000325C8">
              <w:rPr>
                <w:rFonts w:ascii="Times New Roman" w:eastAsia="Times New Roman" w:hAnsi="Times New Roman" w:cs="Times New Roman"/>
                <w:color w:val="000000"/>
                <w:sz w:val="20"/>
                <w:szCs w:val="20"/>
              </w:rPr>
              <w:t>8</w:t>
            </w:r>
          </w:p>
        </w:tc>
        <w:tc>
          <w:tcPr>
            <w:tcW w:w="1222" w:type="pct"/>
            <w:shd w:val="clear" w:color="auto" w:fill="auto"/>
            <w:noWrap/>
            <w:vAlign w:val="center"/>
            <w:hideMark/>
          </w:tcPr>
          <w:p w:rsidR="00F2338D" w:rsidRPr="00D7128A" w14:paraId="7A928F5D" w14:textId="77777777">
            <w:pPr>
              <w:keepNext/>
              <w:keepLine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r>
      <w:tr w14:paraId="0015F39F" w14:textId="77777777">
        <w:tblPrEx>
          <w:tblW w:w="4599" w:type="pct"/>
          <w:jc w:val="center"/>
          <w:tblLook w:val="04A0"/>
        </w:tblPrEx>
        <w:trPr>
          <w:trHeight w:val="290"/>
          <w:jc w:val="center"/>
        </w:trPr>
        <w:tc>
          <w:tcPr>
            <w:tcW w:w="1745" w:type="pct"/>
            <w:shd w:val="clear" w:color="auto" w:fill="auto"/>
            <w:noWrap/>
            <w:vAlign w:val="bottom"/>
            <w:hideMark/>
          </w:tcPr>
          <w:p w:rsidR="00F2338D" w:rsidRPr="00D7128A" w14:paraId="1534B46C" w14:textId="77777777">
            <w:pPr>
              <w:keepNext/>
              <w:keepLines/>
              <w:spacing w:after="0" w:line="240" w:lineRule="auto"/>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Total</w:t>
            </w:r>
          </w:p>
        </w:tc>
        <w:tc>
          <w:tcPr>
            <w:tcW w:w="488" w:type="pct"/>
            <w:shd w:val="clear" w:color="auto" w:fill="auto"/>
            <w:noWrap/>
            <w:vAlign w:val="center"/>
            <w:hideMark/>
          </w:tcPr>
          <w:p w:rsidR="00F2338D" w:rsidRPr="00D7128A" w14:paraId="21FA4789" w14:textId="77777777">
            <w:pPr>
              <w:keepNext/>
              <w:keepLines/>
              <w:spacing w:after="0" w:line="240" w:lineRule="auto"/>
              <w:jc w:val="center"/>
              <w:rPr>
                <w:rFonts w:ascii="Times New Roman" w:hAnsi="Times New Roman" w:cs="Times New Roman"/>
                <w:b/>
                <w:color w:val="000000"/>
                <w:sz w:val="20"/>
                <w:szCs w:val="20"/>
              </w:rPr>
            </w:pPr>
          </w:p>
        </w:tc>
        <w:tc>
          <w:tcPr>
            <w:tcW w:w="363" w:type="pct"/>
            <w:shd w:val="clear" w:color="auto" w:fill="auto"/>
            <w:noWrap/>
            <w:vAlign w:val="center"/>
            <w:hideMark/>
          </w:tcPr>
          <w:p w:rsidR="00F2338D" w:rsidRPr="00D7128A" w14:paraId="1997245E" w14:textId="77777777">
            <w:pPr>
              <w:keepNext/>
              <w:keepLines/>
              <w:spacing w:after="0" w:line="240" w:lineRule="auto"/>
              <w:jc w:val="center"/>
              <w:rPr>
                <w:rFonts w:ascii="Times New Roman" w:hAnsi="Times New Roman" w:cs="Times New Roman"/>
                <w:b/>
                <w:color w:val="000000"/>
                <w:sz w:val="20"/>
                <w:szCs w:val="20"/>
              </w:rPr>
            </w:pPr>
          </w:p>
        </w:tc>
        <w:tc>
          <w:tcPr>
            <w:tcW w:w="646" w:type="pct"/>
            <w:shd w:val="clear" w:color="auto" w:fill="auto"/>
            <w:noWrap/>
            <w:vAlign w:val="center"/>
            <w:hideMark/>
          </w:tcPr>
          <w:p w:rsidR="00F2338D" w:rsidRPr="00D7128A" w14:paraId="565AFC92" w14:textId="77777777">
            <w:pPr>
              <w:keepNext/>
              <w:keepLine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w:t>
            </w:r>
            <w:r w:rsidR="00D61C55">
              <w:rPr>
                <w:rFonts w:ascii="Times New Roman" w:hAnsi="Times New Roman" w:cs="Times New Roman"/>
                <w:b/>
                <w:color w:val="000000"/>
                <w:sz w:val="20"/>
                <w:szCs w:val="20"/>
              </w:rPr>
              <w:t>5</w:t>
            </w:r>
            <w:r w:rsidR="005854BB">
              <w:rPr>
                <w:rFonts w:ascii="Times New Roman" w:hAnsi="Times New Roman" w:cs="Times New Roman"/>
                <w:b/>
                <w:color w:val="000000"/>
                <w:sz w:val="20"/>
                <w:szCs w:val="20"/>
              </w:rPr>
              <w:t>36</w:t>
            </w:r>
          </w:p>
        </w:tc>
        <w:tc>
          <w:tcPr>
            <w:tcW w:w="536" w:type="pct"/>
            <w:shd w:val="clear" w:color="auto" w:fill="auto"/>
            <w:noWrap/>
            <w:vAlign w:val="center"/>
            <w:hideMark/>
          </w:tcPr>
          <w:p w:rsidR="00F2338D" w:rsidRPr="00D7128A" w14:paraId="7B983F62" w14:textId="77777777">
            <w:pPr>
              <w:keepNext/>
              <w:keepLines/>
              <w:spacing w:after="0" w:line="240" w:lineRule="auto"/>
              <w:jc w:val="center"/>
              <w:rPr>
                <w:rFonts w:ascii="Times New Roman" w:hAnsi="Times New Roman" w:cs="Times New Roman"/>
                <w:b/>
                <w:color w:val="000000"/>
                <w:sz w:val="20"/>
                <w:szCs w:val="20"/>
              </w:rPr>
            </w:pPr>
            <w:r>
              <w:rPr>
                <w:rFonts w:ascii="Times New Roman" w:eastAsia="Times New Roman" w:hAnsi="Times New Roman" w:cs="Times New Roman"/>
                <w:b/>
                <w:color w:val="000000"/>
                <w:sz w:val="20"/>
                <w:szCs w:val="20"/>
              </w:rPr>
              <w:t>6</w:t>
            </w:r>
            <w:r w:rsidR="005854BB">
              <w:rPr>
                <w:rFonts w:ascii="Times New Roman" w:eastAsia="Times New Roman" w:hAnsi="Times New Roman" w:cs="Times New Roman"/>
                <w:b/>
                <w:color w:val="000000"/>
                <w:sz w:val="20"/>
                <w:szCs w:val="20"/>
              </w:rPr>
              <w:t>11</w:t>
            </w:r>
          </w:p>
        </w:tc>
        <w:tc>
          <w:tcPr>
            <w:tcW w:w="1222" w:type="pct"/>
            <w:shd w:val="clear" w:color="auto" w:fill="auto"/>
            <w:noWrap/>
            <w:vAlign w:val="center"/>
            <w:hideMark/>
          </w:tcPr>
          <w:p w:rsidR="00F2338D" w:rsidRPr="00D7128A" w14:paraId="1AC48458" w14:textId="77777777">
            <w:pPr>
              <w:keepNext/>
              <w:keepLines/>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4.</w:t>
            </w:r>
            <w:r w:rsidR="005854BB">
              <w:rPr>
                <w:rFonts w:ascii="Times New Roman" w:hAnsi="Times New Roman" w:cs="Times New Roman"/>
                <w:b/>
                <w:color w:val="000000"/>
                <w:sz w:val="20"/>
                <w:szCs w:val="20"/>
              </w:rPr>
              <w:t>2</w:t>
            </w:r>
          </w:p>
        </w:tc>
      </w:tr>
    </w:tbl>
    <w:p w:rsidR="00F2338D" w:rsidRPr="003A3A84" w:rsidP="00F2338D" w14:paraId="652FD175" w14:textId="77777777">
      <w:pPr>
        <w:spacing w:after="0" w:line="240" w:lineRule="auto"/>
        <w:ind w:left="360"/>
        <w:rPr>
          <w:rFonts w:ascii="Times New Roman" w:hAnsi="Times New Roman" w:cs="Times New Roman"/>
          <w:sz w:val="18"/>
          <w:szCs w:val="18"/>
        </w:rPr>
      </w:pPr>
      <w:r w:rsidRPr="003A3A84">
        <w:rPr>
          <w:rFonts w:ascii="Times New Roman" w:hAnsi="Times New Roman" w:cs="Times New Roman"/>
          <w:sz w:val="18"/>
          <w:szCs w:val="18"/>
        </w:rPr>
        <w:t xml:space="preserve">*Note: </w:t>
      </w:r>
      <w:r w:rsidRPr="003A3A84" w:rsidR="00E51B42">
        <w:rPr>
          <w:rFonts w:ascii="Times New Roman" w:hAnsi="Times New Roman" w:cs="Times New Roman"/>
          <w:sz w:val="18"/>
          <w:szCs w:val="18"/>
        </w:rPr>
        <w:t xml:space="preserve">No refineries with 0-99 FTEs have an HF unit. </w:t>
      </w:r>
      <w:r w:rsidRPr="003A3A84">
        <w:rPr>
          <w:rFonts w:ascii="Times New Roman" w:hAnsi="Times New Roman" w:cs="Times New Roman"/>
          <w:sz w:val="18"/>
          <w:szCs w:val="18"/>
        </w:rPr>
        <w:t xml:space="preserve">The </w:t>
      </w:r>
      <w:r w:rsidRPr="003A3A84" w:rsidR="00CE0993">
        <w:rPr>
          <w:rFonts w:ascii="Times New Roman" w:hAnsi="Times New Roman" w:cs="Times New Roman"/>
          <w:sz w:val="18"/>
          <w:szCs w:val="18"/>
        </w:rPr>
        <w:t>70</w:t>
      </w:r>
      <w:r w:rsidRPr="003A3A84" w:rsidR="001F2AA4">
        <w:rPr>
          <w:rFonts w:ascii="Times New Roman" w:hAnsi="Times New Roman" w:cs="Times New Roman"/>
          <w:sz w:val="18"/>
          <w:szCs w:val="18"/>
        </w:rPr>
        <w:t>2</w:t>
      </w:r>
      <w:r w:rsidRPr="003A3A84">
        <w:rPr>
          <w:rFonts w:ascii="Times New Roman" w:hAnsi="Times New Roman" w:cs="Times New Roman"/>
          <w:sz w:val="18"/>
          <w:szCs w:val="18"/>
        </w:rPr>
        <w:t xml:space="preserve"> processes at the 4</w:t>
      </w:r>
      <w:r w:rsidRPr="003A3A84" w:rsidR="001F2AA4">
        <w:rPr>
          <w:rFonts w:ascii="Times New Roman" w:hAnsi="Times New Roman" w:cs="Times New Roman"/>
          <w:sz w:val="18"/>
          <w:szCs w:val="18"/>
        </w:rPr>
        <w:t>5</w:t>
      </w:r>
      <w:r w:rsidRPr="003A3A84">
        <w:rPr>
          <w:rFonts w:ascii="Times New Roman" w:hAnsi="Times New Roman" w:cs="Times New Roman"/>
          <w:sz w:val="18"/>
          <w:szCs w:val="18"/>
        </w:rPr>
        <w:t xml:space="preserve"> </w:t>
      </w:r>
      <w:r w:rsidRPr="003A3A84" w:rsidR="003E5963">
        <w:rPr>
          <w:rFonts w:ascii="Times New Roman" w:hAnsi="Times New Roman" w:cs="Times New Roman"/>
          <w:sz w:val="18"/>
          <w:szCs w:val="18"/>
        </w:rPr>
        <w:t>refineries</w:t>
      </w:r>
      <w:r w:rsidRPr="003A3A84">
        <w:rPr>
          <w:rFonts w:ascii="Times New Roman" w:hAnsi="Times New Roman" w:cs="Times New Roman"/>
          <w:sz w:val="18"/>
          <w:szCs w:val="18"/>
        </w:rPr>
        <w:t xml:space="preserve"> with HF units and 5</w:t>
      </w:r>
      <w:r w:rsidRPr="003A3A84" w:rsidR="00C13EA3">
        <w:rPr>
          <w:rFonts w:ascii="Times New Roman" w:hAnsi="Times New Roman" w:cs="Times New Roman"/>
          <w:sz w:val="18"/>
          <w:szCs w:val="18"/>
        </w:rPr>
        <w:t>57</w:t>
      </w:r>
      <w:r w:rsidRPr="003A3A84">
        <w:rPr>
          <w:rFonts w:ascii="Times New Roman" w:hAnsi="Times New Roman" w:cs="Times New Roman"/>
          <w:sz w:val="18"/>
          <w:szCs w:val="18"/>
        </w:rPr>
        <w:t xml:space="preserve"> processes at 3</w:t>
      </w:r>
      <w:r w:rsidRPr="003A3A84" w:rsidR="00C13EA3">
        <w:rPr>
          <w:rFonts w:ascii="Times New Roman" w:hAnsi="Times New Roman" w:cs="Times New Roman"/>
          <w:sz w:val="18"/>
          <w:szCs w:val="18"/>
        </w:rPr>
        <w:t>7</w:t>
      </w:r>
      <w:r w:rsidRPr="003A3A84">
        <w:rPr>
          <w:rFonts w:ascii="Times New Roman" w:hAnsi="Times New Roman" w:cs="Times New Roman"/>
          <w:sz w:val="18"/>
          <w:szCs w:val="18"/>
        </w:rPr>
        <w:t xml:space="preserve"> </w:t>
      </w:r>
      <w:r w:rsidRPr="003A3A84" w:rsidR="003E5963">
        <w:rPr>
          <w:rFonts w:ascii="Times New Roman" w:hAnsi="Times New Roman" w:cs="Times New Roman"/>
          <w:sz w:val="18"/>
          <w:szCs w:val="18"/>
        </w:rPr>
        <w:t>refineries</w:t>
      </w:r>
      <w:r w:rsidRPr="003A3A84">
        <w:rPr>
          <w:rFonts w:ascii="Times New Roman" w:hAnsi="Times New Roman" w:cs="Times New Roman"/>
          <w:sz w:val="18"/>
          <w:szCs w:val="18"/>
        </w:rPr>
        <w:t xml:space="preserve"> with 100+ FTEs without HF units (excluding processes at two Contra Costa </w:t>
      </w:r>
      <w:r w:rsidRPr="003A3A84" w:rsidR="002D4761">
        <w:rPr>
          <w:rFonts w:ascii="Times New Roman" w:hAnsi="Times New Roman" w:cs="Times New Roman"/>
          <w:sz w:val="18"/>
          <w:szCs w:val="18"/>
        </w:rPr>
        <w:t xml:space="preserve">County </w:t>
      </w:r>
      <w:r w:rsidRPr="003A3A84" w:rsidR="003E5963">
        <w:rPr>
          <w:rFonts w:ascii="Times New Roman" w:hAnsi="Times New Roman" w:cs="Times New Roman"/>
          <w:sz w:val="18"/>
          <w:szCs w:val="18"/>
        </w:rPr>
        <w:t>refineries</w:t>
      </w:r>
      <w:r w:rsidRPr="003A3A84">
        <w:rPr>
          <w:rFonts w:ascii="Times New Roman" w:hAnsi="Times New Roman" w:cs="Times New Roman"/>
          <w:sz w:val="18"/>
          <w:szCs w:val="18"/>
        </w:rPr>
        <w:t>) add</w:t>
      </w:r>
      <w:r w:rsidRPr="003A3A84" w:rsidR="001A3342">
        <w:rPr>
          <w:rFonts w:ascii="Times New Roman" w:hAnsi="Times New Roman" w:cs="Times New Roman"/>
          <w:sz w:val="18"/>
          <w:szCs w:val="18"/>
        </w:rPr>
        <w:t xml:space="preserve"> up</w:t>
      </w:r>
      <w:r w:rsidRPr="003A3A84">
        <w:rPr>
          <w:rFonts w:ascii="Times New Roman" w:hAnsi="Times New Roman" w:cs="Times New Roman"/>
          <w:sz w:val="18"/>
          <w:szCs w:val="18"/>
        </w:rPr>
        <w:t xml:space="preserve"> to 1,2</w:t>
      </w:r>
      <w:r w:rsidRPr="003A3A84" w:rsidR="00C10724">
        <w:rPr>
          <w:rFonts w:ascii="Times New Roman" w:hAnsi="Times New Roman" w:cs="Times New Roman"/>
          <w:sz w:val="18"/>
          <w:szCs w:val="18"/>
        </w:rPr>
        <w:t>59</w:t>
      </w:r>
      <w:r w:rsidRPr="003A3A84">
        <w:rPr>
          <w:rFonts w:ascii="Times New Roman" w:hAnsi="Times New Roman" w:cs="Times New Roman"/>
          <w:sz w:val="18"/>
          <w:szCs w:val="18"/>
        </w:rPr>
        <w:t xml:space="preserve"> processes at </w:t>
      </w:r>
      <w:r w:rsidRPr="003A3A84" w:rsidR="00765734">
        <w:rPr>
          <w:rFonts w:ascii="Times New Roman" w:hAnsi="Times New Roman" w:cs="Times New Roman"/>
          <w:sz w:val="18"/>
          <w:szCs w:val="18"/>
        </w:rPr>
        <w:t>82</w:t>
      </w:r>
      <w:r w:rsidRPr="003A3A84">
        <w:rPr>
          <w:rFonts w:ascii="Times New Roman" w:hAnsi="Times New Roman" w:cs="Times New Roman"/>
          <w:sz w:val="18"/>
          <w:szCs w:val="18"/>
        </w:rPr>
        <w:t xml:space="preserve"> </w:t>
      </w:r>
      <w:r w:rsidRPr="003A3A84" w:rsidR="00765734">
        <w:rPr>
          <w:rFonts w:ascii="Times New Roman" w:hAnsi="Times New Roman" w:cs="Times New Roman"/>
          <w:sz w:val="18"/>
          <w:szCs w:val="18"/>
        </w:rPr>
        <w:t>refineries</w:t>
      </w:r>
      <w:r w:rsidRPr="003A3A84">
        <w:rPr>
          <w:rFonts w:ascii="Times New Roman" w:hAnsi="Times New Roman" w:cs="Times New Roman"/>
          <w:sz w:val="18"/>
          <w:szCs w:val="18"/>
        </w:rPr>
        <w:t xml:space="preserve"> with 100+ FTEs (excluding processes at two Contra Costa</w:t>
      </w:r>
      <w:r w:rsidRPr="003A3A84" w:rsidR="002D4761">
        <w:rPr>
          <w:rFonts w:ascii="Times New Roman" w:hAnsi="Times New Roman" w:cs="Times New Roman"/>
          <w:sz w:val="18"/>
          <w:szCs w:val="18"/>
        </w:rPr>
        <w:t xml:space="preserve"> County </w:t>
      </w:r>
      <w:r w:rsidRPr="003A3A84" w:rsidR="00C64A19">
        <w:rPr>
          <w:rFonts w:ascii="Times New Roman" w:hAnsi="Times New Roman" w:cs="Times New Roman"/>
          <w:sz w:val="18"/>
          <w:szCs w:val="18"/>
        </w:rPr>
        <w:t>refineries</w:t>
      </w:r>
      <w:r w:rsidRPr="003A3A84">
        <w:rPr>
          <w:rFonts w:ascii="Times New Roman" w:hAnsi="Times New Roman" w:cs="Times New Roman"/>
          <w:sz w:val="18"/>
          <w:szCs w:val="18"/>
        </w:rPr>
        <w:t>).</w:t>
      </w:r>
    </w:p>
    <w:p w:rsidR="006A1E04" w:rsidP="00FD5FDC" w14:paraId="76836645" w14:textId="77777777">
      <w:bookmarkStart w:id="99" w:name="_Toc141732917"/>
      <w:bookmarkStart w:id="100" w:name="_Toc141733128"/>
    </w:p>
    <w:p w:rsidR="00093C0A" w:rsidRPr="00117F90" w:rsidP="009A2274" w14:paraId="29F75AB5" w14:textId="77777777">
      <w:pPr>
        <w:pStyle w:val="Heading4"/>
        <w:rPr>
          <w:rFonts w:ascii="Times New Roman" w:hAnsi="Times New Roman" w:cs="Times New Roman"/>
          <w:color w:val="auto"/>
        </w:rPr>
      </w:pPr>
      <w:bookmarkStart w:id="101" w:name="_Toc142404032"/>
      <w:r w:rsidRPr="009A2274">
        <w:rPr>
          <w:rFonts w:ascii="Times New Roman" w:hAnsi="Times New Roman" w:cs="Times New Roman"/>
          <w:color w:val="auto"/>
        </w:rPr>
        <w:t>3.</w:t>
      </w:r>
      <w:r w:rsidRPr="009A2274" w:rsidR="00681F71">
        <w:rPr>
          <w:rFonts w:ascii="Times New Roman" w:hAnsi="Times New Roman" w:cs="Times New Roman"/>
          <w:color w:val="auto"/>
        </w:rPr>
        <w:t>1</w:t>
      </w:r>
      <w:r w:rsidRPr="009A2274">
        <w:rPr>
          <w:rFonts w:ascii="Times New Roman" w:hAnsi="Times New Roman" w:cs="Times New Roman"/>
          <w:color w:val="auto"/>
        </w:rPr>
        <w:t>.</w:t>
      </w:r>
      <w:r w:rsidRPr="00117F90" w:rsidR="00660FA6">
        <w:rPr>
          <w:rFonts w:ascii="Times New Roman" w:hAnsi="Times New Roman" w:cs="Times New Roman"/>
          <w:color w:val="auto"/>
        </w:rPr>
        <w:t>2.2</w:t>
      </w:r>
      <w:r w:rsidRPr="00117F90">
        <w:rPr>
          <w:rFonts w:ascii="Times New Roman" w:hAnsi="Times New Roman" w:cs="Times New Roman"/>
          <w:color w:val="auto"/>
        </w:rPr>
        <w:t xml:space="preserve"> </w:t>
      </w:r>
      <w:r w:rsidRPr="00117F90" w:rsidR="00D76BD5">
        <w:rPr>
          <w:rFonts w:ascii="Times New Roman" w:hAnsi="Times New Roman" w:cs="Times New Roman"/>
          <w:color w:val="auto"/>
        </w:rPr>
        <w:t>Facility U</w:t>
      </w:r>
      <w:r w:rsidRPr="00117F90">
        <w:rPr>
          <w:rFonts w:ascii="Times New Roman" w:hAnsi="Times New Roman" w:cs="Times New Roman"/>
          <w:color w:val="auto"/>
        </w:rPr>
        <w:t>niverse Breakdown for Provisions that Apply After an RMP</w:t>
      </w:r>
      <w:r w:rsidRPr="00117F90" w:rsidR="003D0572">
        <w:rPr>
          <w:rFonts w:ascii="Times New Roman" w:hAnsi="Times New Roman" w:cs="Times New Roman"/>
          <w:color w:val="auto"/>
        </w:rPr>
        <w:t>-</w:t>
      </w:r>
      <w:r w:rsidRPr="00117F90">
        <w:rPr>
          <w:rFonts w:ascii="Times New Roman" w:hAnsi="Times New Roman" w:cs="Times New Roman"/>
          <w:color w:val="auto"/>
        </w:rPr>
        <w:t>Reportable Accident</w:t>
      </w:r>
      <w:bookmarkEnd w:id="99"/>
      <w:bookmarkEnd w:id="100"/>
      <w:bookmarkEnd w:id="101"/>
    </w:p>
    <w:p w:rsidR="00093C0A" w:rsidP="00305374" w14:paraId="115F8C20" w14:textId="77777777">
      <w:pPr>
        <w:spacing w:after="0" w:line="240" w:lineRule="auto"/>
        <w:ind w:firstLine="360"/>
        <w:rPr>
          <w:rFonts w:ascii="Times New Roman" w:eastAsia="Calibri" w:hAnsi="Times New Roman" w:cs="Times New Roman"/>
        </w:rPr>
      </w:pPr>
      <w:r>
        <w:rPr>
          <w:rFonts w:ascii="Times New Roman" w:eastAsia="Calibri" w:hAnsi="Times New Roman" w:cs="Times New Roman"/>
        </w:rPr>
        <w:tab/>
      </w:r>
      <w:r w:rsidRPr="007A27DF" w:rsidR="007A27DF">
        <w:rPr>
          <w:rFonts w:ascii="Times New Roman" w:eastAsia="Calibri" w:hAnsi="Times New Roman" w:cs="Times New Roman"/>
        </w:rPr>
        <w:t xml:space="preserve">The root cause analysis requirement will apply to P2 and P3 facilities as part of an incident investigation following an RMP-reportable accident. </w:t>
      </w:r>
      <w:r w:rsidRPr="00587204">
        <w:rPr>
          <w:rFonts w:ascii="Times New Roman" w:eastAsia="Calibri" w:hAnsi="Times New Roman" w:cs="Times New Roman"/>
        </w:rPr>
        <w:t xml:space="preserve">The third-party audit analysis </w:t>
      </w:r>
      <w:r w:rsidRPr="00587204" w:rsidR="0049215F">
        <w:rPr>
          <w:rFonts w:ascii="Times New Roman" w:eastAsia="Calibri" w:hAnsi="Times New Roman" w:cs="Times New Roman"/>
        </w:rPr>
        <w:t>requirement</w:t>
      </w:r>
      <w:r w:rsidRPr="00587204" w:rsidR="001358BC">
        <w:rPr>
          <w:rFonts w:ascii="Times New Roman" w:eastAsia="Calibri" w:hAnsi="Times New Roman" w:cs="Times New Roman"/>
        </w:rPr>
        <w:t xml:space="preserve"> </w:t>
      </w:r>
      <w:r w:rsidR="009449B7">
        <w:rPr>
          <w:rFonts w:ascii="Times New Roman" w:eastAsia="Calibri" w:hAnsi="Times New Roman" w:cs="Times New Roman"/>
        </w:rPr>
        <w:t>will</w:t>
      </w:r>
      <w:r w:rsidRPr="00587204">
        <w:rPr>
          <w:rFonts w:ascii="Times New Roman" w:eastAsia="Calibri" w:hAnsi="Times New Roman" w:cs="Times New Roman"/>
        </w:rPr>
        <w:t xml:space="preserve"> apply to </w:t>
      </w:r>
      <w:r w:rsidRPr="00587204" w:rsidR="00720FA0">
        <w:rPr>
          <w:rFonts w:ascii="Times New Roman" w:eastAsia="Calibri" w:hAnsi="Times New Roman" w:cs="Times New Roman"/>
        </w:rPr>
        <w:t xml:space="preserve">P2 and P3 </w:t>
      </w:r>
      <w:r w:rsidRPr="00587204" w:rsidR="00D50AA4">
        <w:rPr>
          <w:rFonts w:ascii="Times New Roman" w:eastAsia="Calibri" w:hAnsi="Times New Roman" w:cs="Times New Roman"/>
        </w:rPr>
        <w:t>facilities</w:t>
      </w:r>
      <w:r w:rsidRPr="00587204">
        <w:rPr>
          <w:rFonts w:ascii="Times New Roman" w:eastAsia="Calibri" w:hAnsi="Times New Roman" w:cs="Times New Roman"/>
        </w:rPr>
        <w:t xml:space="preserve"> that have</w:t>
      </w:r>
      <w:r w:rsidRPr="00587204" w:rsidR="003F7CF8">
        <w:rPr>
          <w:rFonts w:ascii="Times New Roman" w:eastAsia="Calibri" w:hAnsi="Times New Roman" w:cs="Times New Roman"/>
        </w:rPr>
        <w:t xml:space="preserve"> </w:t>
      </w:r>
      <w:r w:rsidRPr="00587204" w:rsidR="00AF15E1">
        <w:rPr>
          <w:rFonts w:ascii="Times New Roman" w:eastAsia="Calibri" w:hAnsi="Times New Roman" w:cs="Times New Roman"/>
        </w:rPr>
        <w:t xml:space="preserve">had </w:t>
      </w:r>
      <w:r w:rsidR="00A50705">
        <w:rPr>
          <w:rFonts w:ascii="Times New Roman" w:eastAsia="Calibri" w:hAnsi="Times New Roman" w:cs="Times New Roman"/>
        </w:rPr>
        <w:t xml:space="preserve">an </w:t>
      </w:r>
      <w:r w:rsidRPr="00587204">
        <w:rPr>
          <w:rFonts w:ascii="Times New Roman" w:eastAsia="Calibri" w:hAnsi="Times New Roman" w:cs="Times New Roman"/>
        </w:rPr>
        <w:t>RMP</w:t>
      </w:r>
      <w:r w:rsidRPr="00587204" w:rsidR="00EF489D">
        <w:rPr>
          <w:rFonts w:ascii="Times New Roman" w:eastAsia="Calibri" w:hAnsi="Times New Roman" w:cs="Times New Roman"/>
        </w:rPr>
        <w:t>-</w:t>
      </w:r>
      <w:r w:rsidRPr="00587204">
        <w:rPr>
          <w:rFonts w:ascii="Times New Roman" w:eastAsia="Calibri" w:hAnsi="Times New Roman" w:cs="Times New Roman"/>
        </w:rPr>
        <w:t>reportable accident</w:t>
      </w:r>
      <w:r w:rsidR="00A50705">
        <w:rPr>
          <w:rFonts w:ascii="Times New Roman" w:eastAsia="Calibri" w:hAnsi="Times New Roman" w:cs="Times New Roman"/>
        </w:rPr>
        <w:t xml:space="preserve"> </w:t>
      </w:r>
      <w:r w:rsidRPr="00587204">
        <w:rPr>
          <w:rFonts w:ascii="Times New Roman" w:eastAsia="Calibri" w:hAnsi="Times New Roman" w:cs="Times New Roman"/>
        </w:rPr>
        <w:t>s</w:t>
      </w:r>
      <w:r w:rsidR="00A50705">
        <w:rPr>
          <w:rFonts w:ascii="Times New Roman" w:eastAsia="Calibri" w:hAnsi="Times New Roman" w:cs="Times New Roman"/>
        </w:rPr>
        <w:t>ince the last audit</w:t>
      </w:r>
      <w:r w:rsidRPr="00587204" w:rsidR="00EF1715">
        <w:rPr>
          <w:rFonts w:ascii="Times New Roman" w:hAnsi="Times New Roman" w:cs="Times New Roman"/>
        </w:rPr>
        <w:t xml:space="preserve"> or </w:t>
      </w:r>
      <w:r w:rsidRPr="00587204" w:rsidR="0049215F">
        <w:rPr>
          <w:rFonts w:ascii="Times New Roman" w:hAnsi="Times New Roman" w:cs="Times New Roman"/>
        </w:rPr>
        <w:t xml:space="preserve">when </w:t>
      </w:r>
      <w:r w:rsidRPr="00587204" w:rsidR="00EF1715">
        <w:rPr>
          <w:rFonts w:ascii="Times New Roman" w:hAnsi="Times New Roman" w:cs="Times New Roman"/>
        </w:rPr>
        <w:t xml:space="preserve">an implementing agency requires a third-party audit due to </w:t>
      </w:r>
      <w:r w:rsidRPr="00587204" w:rsidR="0049215F">
        <w:rPr>
          <w:rFonts w:ascii="Times New Roman" w:hAnsi="Times New Roman" w:cs="Times New Roman"/>
        </w:rPr>
        <w:t>certain criteria</w:t>
      </w:r>
      <w:r w:rsidRPr="00587204" w:rsidR="00EF1715">
        <w:rPr>
          <w:rFonts w:ascii="Times New Roman" w:hAnsi="Times New Roman" w:cs="Times New Roman"/>
        </w:rPr>
        <w:t xml:space="preserve"> at the facility</w:t>
      </w:r>
      <w:r w:rsidRPr="00587204" w:rsidR="0049215F">
        <w:rPr>
          <w:rFonts w:ascii="Times New Roman" w:hAnsi="Times New Roman" w:cs="Times New Roman"/>
        </w:rPr>
        <w:t>.</w:t>
      </w:r>
      <w:r w:rsidR="007A27DF">
        <w:rPr>
          <w:rFonts w:ascii="Times New Roman" w:eastAsia="Calibri" w:hAnsi="Times New Roman" w:cs="Times New Roman"/>
        </w:rPr>
        <w:t xml:space="preserve"> </w:t>
      </w:r>
    </w:p>
    <w:p w:rsidR="009F0976" w:rsidP="00305374" w14:paraId="198F6E36" w14:textId="77777777">
      <w:pPr>
        <w:spacing w:after="0" w:line="240" w:lineRule="auto"/>
        <w:ind w:firstLine="360"/>
        <w:rPr>
          <w:rFonts w:ascii="Times New Roman" w:eastAsia="Calibri" w:hAnsi="Times New Roman" w:cs="Times New Roman"/>
        </w:rPr>
      </w:pPr>
    </w:p>
    <w:p w:rsidR="00093C0A" w:rsidRPr="00587204" w:rsidP="00305374" w14:paraId="2E83C524" w14:textId="77777777">
      <w:pPr>
        <w:spacing w:after="0" w:line="240" w:lineRule="auto"/>
        <w:ind w:firstLine="360"/>
        <w:rPr>
          <w:rFonts w:ascii="Times New Roman" w:eastAsia="Calibri" w:hAnsi="Times New Roman" w:cs="Times New Roman"/>
        </w:rPr>
      </w:pPr>
      <w:r>
        <w:rPr>
          <w:rFonts w:ascii="Times New Roman" w:eastAsia="Calibri" w:hAnsi="Times New Roman" w:cs="Times New Roman"/>
        </w:rPr>
        <w:tab/>
      </w:r>
      <w:r w:rsidRPr="00587204">
        <w:rPr>
          <w:rFonts w:ascii="Times New Roman" w:eastAsia="Calibri" w:hAnsi="Times New Roman" w:cs="Times New Roman"/>
        </w:rPr>
        <w:t>For the purposes of this analysis, EPA analyzed only the RMP</w:t>
      </w:r>
      <w:r w:rsidRPr="00587204" w:rsidR="00906553">
        <w:rPr>
          <w:rFonts w:ascii="Times New Roman" w:eastAsia="Calibri" w:hAnsi="Times New Roman" w:cs="Times New Roman"/>
        </w:rPr>
        <w:t>-</w:t>
      </w:r>
      <w:r w:rsidRPr="00587204">
        <w:rPr>
          <w:rFonts w:ascii="Times New Roman" w:eastAsia="Calibri" w:hAnsi="Times New Roman" w:cs="Times New Roman"/>
        </w:rPr>
        <w:t>reportable accidents, which are those accidents with reported impacts</w:t>
      </w:r>
      <w:r>
        <w:rPr>
          <w:rStyle w:val="FootnoteReference"/>
          <w:rFonts w:ascii="Times New Roman" w:eastAsia="Calibri" w:hAnsi="Times New Roman" w:cs="Times New Roman"/>
        </w:rPr>
        <w:footnoteReference w:id="31"/>
      </w:r>
      <w:r w:rsidRPr="00587204">
        <w:rPr>
          <w:rFonts w:ascii="Times New Roman" w:eastAsia="Calibri" w:hAnsi="Times New Roman" w:cs="Times New Roman"/>
        </w:rPr>
        <w:t xml:space="preserve">, between 2016 and 2020. </w:t>
      </w:r>
      <w:r w:rsidRPr="00676757">
        <w:rPr>
          <w:rFonts w:ascii="Times New Roman" w:eastAsia="Calibri" w:hAnsi="Times New Roman" w:cs="Times New Roman"/>
        </w:rPr>
        <w:t>Because accidents are low probability but high-cost events, EPA used</w:t>
      </w:r>
      <w:r w:rsidRPr="00324573">
        <w:rPr>
          <w:rFonts w:ascii="Times New Roman" w:eastAsia="Calibri" w:hAnsi="Times New Roman" w:cs="Times New Roman"/>
        </w:rPr>
        <w:t xml:space="preserve"> </w:t>
      </w:r>
      <w:r w:rsidRPr="00324573" w:rsidR="007479B8">
        <w:rPr>
          <w:rFonts w:ascii="Times New Roman" w:eastAsia="Calibri" w:hAnsi="Times New Roman" w:cs="Times New Roman"/>
        </w:rPr>
        <w:t>five-year</w:t>
      </w:r>
      <w:r w:rsidRPr="00324573">
        <w:rPr>
          <w:rFonts w:ascii="Times New Roman" w:eastAsia="Calibri" w:hAnsi="Times New Roman" w:cs="Times New Roman"/>
        </w:rPr>
        <w:t xml:space="preserve"> annual averages to smooth over year-to-year fluctuations</w:t>
      </w:r>
      <w:r w:rsidRPr="00324573" w:rsidR="00413C7C">
        <w:rPr>
          <w:rFonts w:ascii="Times New Roman" w:eastAsia="Calibri" w:hAnsi="Times New Roman" w:cs="Times New Roman"/>
        </w:rPr>
        <w:t xml:space="preserve"> to estimate the number of facilities </w:t>
      </w:r>
      <w:r w:rsidRPr="00324573" w:rsidR="00720FA0">
        <w:rPr>
          <w:rFonts w:ascii="Times New Roman" w:eastAsia="Calibri" w:hAnsi="Times New Roman" w:cs="Times New Roman"/>
        </w:rPr>
        <w:t xml:space="preserve">that </w:t>
      </w:r>
      <w:r w:rsidRPr="00324573" w:rsidR="00F779EA">
        <w:rPr>
          <w:rFonts w:ascii="Times New Roman" w:eastAsia="Calibri" w:hAnsi="Times New Roman" w:cs="Times New Roman"/>
        </w:rPr>
        <w:t>EPA expect</w:t>
      </w:r>
      <w:r w:rsidR="00287D8E">
        <w:rPr>
          <w:rFonts w:ascii="Times New Roman" w:eastAsia="Calibri" w:hAnsi="Times New Roman" w:cs="Times New Roman"/>
        </w:rPr>
        <w:t>s</w:t>
      </w:r>
      <w:r w:rsidRPr="00324573" w:rsidR="00F779EA">
        <w:rPr>
          <w:rFonts w:ascii="Times New Roman" w:eastAsia="Calibri" w:hAnsi="Times New Roman" w:cs="Times New Roman"/>
        </w:rPr>
        <w:t xml:space="preserve"> to </w:t>
      </w:r>
      <w:r w:rsidRPr="00324573" w:rsidR="00720FA0">
        <w:rPr>
          <w:rFonts w:ascii="Times New Roman" w:eastAsia="Calibri" w:hAnsi="Times New Roman" w:cs="Times New Roman"/>
        </w:rPr>
        <w:t xml:space="preserve">conduct third-party audits and root cause analyses. </w:t>
      </w:r>
      <w:r w:rsidRPr="00587204" w:rsidR="00720FA0">
        <w:rPr>
          <w:rFonts w:ascii="Times New Roman" w:eastAsia="Calibri" w:hAnsi="Times New Roman" w:cs="Times New Roman"/>
        </w:rPr>
        <w:t>EPA</w:t>
      </w:r>
      <w:r w:rsidRPr="00587204">
        <w:rPr>
          <w:rFonts w:ascii="Times New Roman" w:eastAsia="Calibri" w:hAnsi="Times New Roman" w:cs="Times New Roman"/>
        </w:rPr>
        <w:t xml:space="preserve"> uses average annual accident estimates throughout the analysis. Exhibit 3-</w:t>
      </w:r>
      <w:r w:rsidR="00A81C06">
        <w:rPr>
          <w:rFonts w:ascii="Times New Roman" w:eastAsia="Calibri" w:hAnsi="Times New Roman" w:cs="Times New Roman"/>
        </w:rPr>
        <w:t>8</w:t>
      </w:r>
      <w:r w:rsidRPr="00587204">
        <w:rPr>
          <w:rFonts w:ascii="Times New Roman" w:eastAsia="Calibri" w:hAnsi="Times New Roman" w:cs="Times New Roman"/>
        </w:rPr>
        <w:t xml:space="preserve"> presents the </w:t>
      </w:r>
      <w:r w:rsidRPr="00587204" w:rsidR="007479B8">
        <w:rPr>
          <w:rFonts w:ascii="Times New Roman" w:eastAsia="Calibri" w:hAnsi="Times New Roman" w:cs="Times New Roman"/>
        </w:rPr>
        <w:t>five-year</w:t>
      </w:r>
      <w:r w:rsidRPr="00587204">
        <w:rPr>
          <w:rFonts w:ascii="Times New Roman" w:eastAsia="Calibri" w:hAnsi="Times New Roman" w:cs="Times New Roman"/>
        </w:rPr>
        <w:t xml:space="preserve"> average annual number of RMP</w:t>
      </w:r>
      <w:r w:rsidRPr="00587204" w:rsidR="00D87EA5">
        <w:rPr>
          <w:rFonts w:ascii="Times New Roman" w:eastAsia="Calibri" w:hAnsi="Times New Roman" w:cs="Times New Roman"/>
        </w:rPr>
        <w:t>-</w:t>
      </w:r>
      <w:r w:rsidRPr="00587204">
        <w:rPr>
          <w:rFonts w:ascii="Times New Roman" w:eastAsia="Calibri" w:hAnsi="Times New Roman" w:cs="Times New Roman"/>
        </w:rPr>
        <w:t xml:space="preserve">reportable accidents for the 2016-2020 period by </w:t>
      </w:r>
      <w:r w:rsidRPr="00587204" w:rsidR="001C55C0">
        <w:rPr>
          <w:rFonts w:ascii="Times New Roman" w:eastAsia="Calibri" w:hAnsi="Times New Roman" w:cs="Times New Roman"/>
        </w:rPr>
        <w:t>p</w:t>
      </w:r>
      <w:r w:rsidRPr="00587204">
        <w:rPr>
          <w:rFonts w:ascii="Times New Roman" w:eastAsia="Calibri" w:hAnsi="Times New Roman" w:cs="Times New Roman"/>
        </w:rPr>
        <w:t xml:space="preserve">rogram </w:t>
      </w:r>
      <w:r w:rsidRPr="00587204" w:rsidR="003F2E4B">
        <w:rPr>
          <w:rFonts w:ascii="Times New Roman" w:eastAsia="Calibri" w:hAnsi="Times New Roman" w:cs="Times New Roman"/>
        </w:rPr>
        <w:t>le</w:t>
      </w:r>
      <w:r w:rsidRPr="00587204">
        <w:rPr>
          <w:rFonts w:ascii="Times New Roman" w:eastAsia="Calibri" w:hAnsi="Times New Roman" w:cs="Times New Roman"/>
        </w:rPr>
        <w:t xml:space="preserve">vel and facility sector. These annual average accidents for Program 2 and </w:t>
      </w:r>
      <w:r w:rsidRPr="00587204" w:rsidR="001C55C0">
        <w:rPr>
          <w:rFonts w:ascii="Times New Roman" w:eastAsia="Calibri" w:hAnsi="Times New Roman" w:cs="Times New Roman"/>
        </w:rPr>
        <w:t>Program</w:t>
      </w:r>
      <w:r w:rsidRPr="00587204">
        <w:rPr>
          <w:rFonts w:ascii="Times New Roman" w:eastAsia="Calibri" w:hAnsi="Times New Roman" w:cs="Times New Roman"/>
        </w:rPr>
        <w:t xml:space="preserve"> 3</w:t>
      </w:r>
      <w:r w:rsidRPr="00587204" w:rsidR="001C55C0">
        <w:rPr>
          <w:rFonts w:ascii="Times New Roman" w:eastAsia="Calibri" w:hAnsi="Times New Roman" w:cs="Times New Roman"/>
        </w:rPr>
        <w:t xml:space="preserve"> facilities</w:t>
      </w:r>
      <w:r w:rsidRPr="00587204">
        <w:rPr>
          <w:rFonts w:ascii="Times New Roman" w:eastAsia="Calibri" w:hAnsi="Times New Roman" w:cs="Times New Roman"/>
        </w:rPr>
        <w:t xml:space="preserve"> represent the numbers of annual root cause analyses EPA expects to be required under the </w:t>
      </w:r>
      <w:r w:rsidR="002B0A8B">
        <w:rPr>
          <w:rFonts w:ascii="Times New Roman" w:eastAsia="Calibri" w:hAnsi="Times New Roman" w:cs="Times New Roman"/>
        </w:rPr>
        <w:t>final</w:t>
      </w:r>
      <w:r w:rsidRPr="00587204" w:rsidR="002B0A8B">
        <w:rPr>
          <w:rFonts w:ascii="Times New Roman" w:eastAsia="Calibri" w:hAnsi="Times New Roman" w:cs="Times New Roman"/>
        </w:rPr>
        <w:t xml:space="preserve"> </w:t>
      </w:r>
      <w:r w:rsidRPr="00587204">
        <w:rPr>
          <w:rFonts w:ascii="Times New Roman" w:eastAsia="Calibri" w:hAnsi="Times New Roman" w:cs="Times New Roman"/>
        </w:rPr>
        <w:t>rule for RMP-reportable accidents.</w:t>
      </w:r>
      <w:r w:rsidRPr="00587204" w:rsidR="00F07416">
        <w:rPr>
          <w:rFonts w:ascii="Times New Roman" w:eastAsia="Calibri" w:hAnsi="Times New Roman" w:cs="Times New Roman"/>
        </w:rPr>
        <w:t xml:space="preserve"> </w:t>
      </w:r>
      <w:r w:rsidRPr="00587204">
        <w:rPr>
          <w:rFonts w:ascii="Times New Roman" w:eastAsia="Calibri" w:hAnsi="Times New Roman" w:cs="Times New Roman"/>
        </w:rPr>
        <w:t xml:space="preserve">EPA estimates the cost of the root cause analysis to differ by type of facility, so the number of accidents is presented by facility type. </w:t>
      </w:r>
    </w:p>
    <w:p w:rsidR="00635AC5" w:rsidP="00305374" w14:paraId="102EC069" w14:textId="77777777">
      <w:pPr>
        <w:pStyle w:val="Caption"/>
        <w:jc w:val="center"/>
        <w:rPr>
          <w:rFonts w:ascii="Times New Roman" w:hAnsi="Times New Roman" w:cs="Times New Roman"/>
          <w:b/>
          <w:i w:val="0"/>
          <w:color w:val="auto"/>
          <w:sz w:val="22"/>
          <w:szCs w:val="22"/>
        </w:rPr>
      </w:pPr>
    </w:p>
    <w:p w:rsidR="00816EE0" w:rsidP="00816EE0" w14:paraId="6C9836D0" w14:textId="77777777"/>
    <w:p w:rsidR="00816EE0" w:rsidP="00816EE0" w14:paraId="267BAC05" w14:textId="77777777"/>
    <w:p w:rsidR="00816EE0" w:rsidRPr="00FA04B8" w:rsidP="00FA04B8" w14:paraId="7183095D" w14:textId="77777777">
      <w:pPr>
        <w:rPr>
          <w:i/>
        </w:rPr>
      </w:pPr>
    </w:p>
    <w:p w:rsidR="00747C18" w:rsidRPr="00305374" w:rsidP="00305374" w14:paraId="4B0B34EA" w14:textId="77777777">
      <w:pPr>
        <w:pStyle w:val="Caption"/>
        <w:jc w:val="center"/>
        <w:rPr>
          <w:rFonts w:ascii="Times New Roman" w:eastAsia="Calibri" w:hAnsi="Times New Roman" w:cs="Times New Roman"/>
          <w:b/>
          <w:i w:val="0"/>
          <w:color w:val="auto"/>
          <w:sz w:val="22"/>
          <w:szCs w:val="22"/>
        </w:rPr>
      </w:pPr>
      <w:r w:rsidRPr="00305374">
        <w:rPr>
          <w:rFonts w:ascii="Times New Roman" w:hAnsi="Times New Roman" w:cs="Times New Roman"/>
          <w:b/>
          <w:i w:val="0"/>
          <w:color w:val="auto"/>
          <w:sz w:val="22"/>
          <w:szCs w:val="22"/>
        </w:rPr>
        <w:t xml:space="preserve">Exhibit </w:t>
      </w:r>
      <w:r w:rsidRPr="00305374">
        <w:rPr>
          <w:rFonts w:ascii="Times New Roman" w:eastAsia="Calibri" w:hAnsi="Times New Roman" w:cs="Times New Roman"/>
          <w:b/>
          <w:i w:val="0"/>
          <w:color w:val="auto"/>
          <w:sz w:val="22"/>
          <w:szCs w:val="22"/>
        </w:rPr>
        <w:t>3-</w:t>
      </w:r>
      <w:r w:rsidR="00A81C06">
        <w:rPr>
          <w:rFonts w:ascii="Times New Roman" w:eastAsia="Calibri" w:hAnsi="Times New Roman" w:cs="Times New Roman"/>
          <w:b/>
          <w:i w:val="0"/>
          <w:color w:val="auto"/>
          <w:sz w:val="22"/>
          <w:szCs w:val="22"/>
        </w:rPr>
        <w:t>8</w:t>
      </w:r>
      <w:r w:rsidRPr="00305374">
        <w:rPr>
          <w:rFonts w:ascii="Times New Roman" w:eastAsia="Calibri" w:hAnsi="Times New Roman" w:cs="Times New Roman"/>
          <w:b/>
          <w:i w:val="0"/>
          <w:color w:val="auto"/>
          <w:sz w:val="22"/>
          <w:szCs w:val="22"/>
        </w:rPr>
        <w:t>: RMP</w:t>
      </w:r>
      <w:r w:rsidRPr="00305374" w:rsidR="00906553">
        <w:rPr>
          <w:rFonts w:ascii="Times New Roman" w:eastAsia="Calibri" w:hAnsi="Times New Roman" w:cs="Times New Roman"/>
          <w:b/>
          <w:i w:val="0"/>
          <w:color w:val="auto"/>
          <w:sz w:val="22"/>
          <w:szCs w:val="22"/>
        </w:rPr>
        <w:t>-</w:t>
      </w:r>
      <w:r w:rsidRPr="00305374">
        <w:rPr>
          <w:rFonts w:ascii="Times New Roman" w:eastAsia="Calibri" w:hAnsi="Times New Roman" w:cs="Times New Roman"/>
          <w:b/>
          <w:i w:val="0"/>
          <w:color w:val="auto"/>
          <w:sz w:val="22"/>
          <w:szCs w:val="22"/>
        </w:rPr>
        <w:t>Reportable Accidents by Sector</w:t>
      </w:r>
      <w:r w:rsidRPr="00305374" w:rsidR="00BE0190">
        <w:rPr>
          <w:rFonts w:ascii="Times New Roman" w:eastAsia="Calibri" w:hAnsi="Times New Roman" w:cs="Times New Roman"/>
          <w:b/>
          <w:i w:val="0"/>
          <w:color w:val="auto"/>
          <w:sz w:val="22"/>
          <w:szCs w:val="22"/>
        </w:rPr>
        <w:t xml:space="preserve"> for Root Cause Analysis</w:t>
      </w:r>
      <w:r w:rsidR="006B33FC">
        <w:rPr>
          <w:rFonts w:ascii="Times New Roman" w:eastAsia="Calibri" w:hAnsi="Times New Roman" w:cs="Times New Roman"/>
          <w:b/>
          <w:i w:val="0"/>
          <w:color w:val="auto"/>
          <w:sz w:val="22"/>
          <w:szCs w:val="22"/>
        </w:rPr>
        <w:t xml:space="preserve"> (2016-2020)</w:t>
      </w:r>
      <w:r w:rsidRPr="00305374" w:rsidR="00305374">
        <w:rPr>
          <w:rFonts w:ascii="Times New Roman" w:eastAsia="Calibri" w:hAnsi="Times New Roman" w:cs="Times New Roman"/>
          <w:b/>
          <w:bCs/>
          <w:i w:val="0"/>
          <w:iCs w:val="0"/>
          <w:color w:val="auto"/>
          <w:sz w:val="22"/>
          <w:szCs w:val="22"/>
        </w:rPr>
        <w:t>.</w:t>
      </w:r>
    </w:p>
    <w:tbl>
      <w:tblPr>
        <w:tblW w:w="8540" w:type="dxa"/>
        <w:jc w:val="center"/>
        <w:tblLook w:val="04A0"/>
      </w:tblPr>
      <w:tblGrid>
        <w:gridCol w:w="2011"/>
        <w:gridCol w:w="2309"/>
        <w:gridCol w:w="1462"/>
        <w:gridCol w:w="1436"/>
        <w:gridCol w:w="1322"/>
      </w:tblGrid>
      <w:tr w14:paraId="1342465F" w14:textId="77777777" w:rsidTr="00305374">
        <w:tblPrEx>
          <w:tblW w:w="8540" w:type="dxa"/>
          <w:jc w:val="center"/>
          <w:tblLook w:val="04A0"/>
        </w:tblPrEx>
        <w:trPr>
          <w:trHeight w:val="290"/>
          <w:jc w:val="center"/>
        </w:trPr>
        <w:tc>
          <w:tcPr>
            <w:tcW w:w="8540" w:type="dxa"/>
            <w:gridSpan w:val="5"/>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093C0A" w:rsidRPr="00D7128A" w:rsidP="00305374" w14:paraId="07F9BFDD" w14:textId="77777777">
            <w:pPr>
              <w:keepNext/>
              <w:keepLines/>
              <w:spacing w:after="0" w:line="240" w:lineRule="auto"/>
              <w:jc w:val="center"/>
              <w:rPr>
                <w:rFonts w:ascii="Times New Roman" w:eastAsia="Times New Roman" w:hAnsi="Times New Roman" w:cs="Times New Roman"/>
                <w:b/>
                <w:color w:val="000000"/>
                <w:sz w:val="20"/>
                <w:szCs w:val="20"/>
              </w:rPr>
            </w:pPr>
            <w:r w:rsidRPr="00D7128A">
              <w:rPr>
                <w:rFonts w:ascii="Times New Roman" w:eastAsia="Times New Roman" w:hAnsi="Times New Roman" w:cs="Times New Roman"/>
                <w:b/>
                <w:color w:val="000000"/>
                <w:sz w:val="20"/>
                <w:szCs w:val="20"/>
              </w:rPr>
              <w:t xml:space="preserve">Average Annual </w:t>
            </w:r>
            <w:r w:rsidR="008B13C7">
              <w:rPr>
                <w:rFonts w:ascii="Times New Roman" w:eastAsia="Times New Roman" w:hAnsi="Times New Roman" w:cs="Times New Roman"/>
                <w:b/>
                <w:color w:val="000000"/>
                <w:sz w:val="20"/>
                <w:szCs w:val="20"/>
              </w:rPr>
              <w:t>RMP-</w:t>
            </w:r>
            <w:r w:rsidRPr="00D7128A">
              <w:rPr>
                <w:rFonts w:ascii="Times New Roman" w:eastAsia="Times New Roman" w:hAnsi="Times New Roman" w:cs="Times New Roman"/>
                <w:b/>
                <w:color w:val="000000"/>
                <w:sz w:val="20"/>
                <w:szCs w:val="20"/>
              </w:rPr>
              <w:t>Reportable Accidents by Program Levels and Facility Type (2016-2020)</w:t>
            </w:r>
          </w:p>
        </w:tc>
      </w:tr>
      <w:tr w14:paraId="17773B10" w14:textId="77777777" w:rsidTr="00305374">
        <w:tblPrEx>
          <w:tblW w:w="8540" w:type="dxa"/>
          <w:jc w:val="center"/>
          <w:tblLook w:val="04A0"/>
        </w:tblPrEx>
        <w:trPr>
          <w:trHeight w:val="290"/>
          <w:jc w:val="center"/>
        </w:trPr>
        <w:tc>
          <w:tcPr>
            <w:tcW w:w="2011" w:type="dxa"/>
            <w:tcBorders>
              <w:top w:val="nil"/>
              <w:left w:val="single" w:sz="8" w:space="0" w:color="auto"/>
              <w:bottom w:val="single" w:sz="4" w:space="0" w:color="auto"/>
              <w:right w:val="single" w:sz="4" w:space="0" w:color="auto"/>
            </w:tcBorders>
            <w:shd w:val="clear" w:color="000000" w:fill="F2F2F2"/>
            <w:noWrap/>
            <w:vAlign w:val="center"/>
            <w:hideMark/>
          </w:tcPr>
          <w:p w:rsidR="00093C0A" w:rsidRPr="00D7128A" w:rsidP="00305374" w14:paraId="7092701E" w14:textId="77777777">
            <w:pPr>
              <w:keepNext/>
              <w:keepLines/>
              <w:spacing w:after="0" w:line="240" w:lineRule="auto"/>
              <w:jc w:val="center"/>
              <w:rPr>
                <w:rFonts w:ascii="Times New Roman" w:eastAsia="Times New Roman" w:hAnsi="Times New Roman" w:cs="Times New Roman"/>
                <w:color w:val="000000"/>
                <w:sz w:val="20"/>
                <w:szCs w:val="20"/>
              </w:rPr>
            </w:pPr>
          </w:p>
        </w:tc>
        <w:tc>
          <w:tcPr>
            <w:tcW w:w="6529" w:type="dxa"/>
            <w:gridSpan w:val="4"/>
            <w:tcBorders>
              <w:top w:val="single" w:sz="4" w:space="0" w:color="auto"/>
              <w:left w:val="single" w:sz="4" w:space="0" w:color="auto"/>
              <w:bottom w:val="single" w:sz="4" w:space="0" w:color="auto"/>
              <w:right w:val="single" w:sz="8" w:space="0" w:color="000000"/>
            </w:tcBorders>
            <w:shd w:val="clear" w:color="000000" w:fill="F2F2F2"/>
            <w:noWrap/>
            <w:vAlign w:val="center"/>
            <w:hideMark/>
          </w:tcPr>
          <w:p w:rsidR="00093C0A" w:rsidRPr="00D7128A" w:rsidP="00305374" w14:paraId="3CE42549"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Accidents</w:t>
            </w:r>
          </w:p>
        </w:tc>
      </w:tr>
      <w:tr w14:paraId="112B939E" w14:textId="77777777" w:rsidTr="00305374">
        <w:tblPrEx>
          <w:tblW w:w="8540" w:type="dxa"/>
          <w:jc w:val="center"/>
          <w:tblLook w:val="04A0"/>
        </w:tblPrEx>
        <w:trPr>
          <w:trHeight w:val="290"/>
          <w:jc w:val="center"/>
        </w:trPr>
        <w:tc>
          <w:tcPr>
            <w:tcW w:w="2011" w:type="dxa"/>
            <w:tcBorders>
              <w:top w:val="nil"/>
              <w:left w:val="single" w:sz="8" w:space="0" w:color="auto"/>
              <w:bottom w:val="single" w:sz="4" w:space="0" w:color="auto"/>
              <w:right w:val="single" w:sz="4" w:space="0" w:color="auto"/>
            </w:tcBorders>
            <w:shd w:val="clear" w:color="000000" w:fill="F2F2F2"/>
            <w:noWrap/>
            <w:vAlign w:val="center"/>
            <w:hideMark/>
          </w:tcPr>
          <w:p w:rsidR="00093C0A" w:rsidRPr="00D7128A" w:rsidP="00305374" w14:paraId="54218A9C"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Program Level</w:t>
            </w:r>
          </w:p>
        </w:tc>
        <w:tc>
          <w:tcPr>
            <w:tcW w:w="2309" w:type="dxa"/>
            <w:tcBorders>
              <w:top w:val="single" w:sz="4" w:space="0" w:color="auto"/>
              <w:left w:val="single" w:sz="4" w:space="0" w:color="auto"/>
              <w:bottom w:val="nil"/>
              <w:right w:val="single" w:sz="4" w:space="0" w:color="auto"/>
            </w:tcBorders>
            <w:shd w:val="clear" w:color="000000" w:fill="F2F2F2"/>
            <w:noWrap/>
            <w:vAlign w:val="center"/>
            <w:hideMark/>
          </w:tcPr>
          <w:p w:rsidR="00093C0A" w:rsidRPr="00D7128A" w:rsidP="00305374" w14:paraId="25CF6C8C"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Simple (</w:t>
            </w:r>
            <w:r w:rsidR="00244C38">
              <w:rPr>
                <w:rFonts w:ascii="Times New Roman" w:eastAsia="Times New Roman" w:hAnsi="Times New Roman" w:cs="Times New Roman"/>
                <w:color w:val="000000"/>
                <w:sz w:val="20"/>
                <w:szCs w:val="20"/>
              </w:rPr>
              <w:t>N</w:t>
            </w:r>
            <w:r w:rsidRPr="00D7128A">
              <w:rPr>
                <w:rFonts w:ascii="Times New Roman" w:eastAsia="Times New Roman" w:hAnsi="Times New Roman" w:cs="Times New Roman"/>
                <w:color w:val="000000"/>
                <w:sz w:val="20"/>
                <w:szCs w:val="20"/>
              </w:rPr>
              <w:t>on-gov</w:t>
            </w:r>
            <w:r w:rsidRPr="00D7128A" w:rsidR="00906553">
              <w:rPr>
                <w:rFonts w:ascii="Times New Roman" w:eastAsia="Times New Roman" w:hAnsi="Times New Roman" w:cs="Times New Roman"/>
                <w:color w:val="000000"/>
                <w:sz w:val="20"/>
                <w:szCs w:val="20"/>
              </w:rPr>
              <w:t>’t</w:t>
            </w:r>
            <w:r w:rsidRPr="00D7128A">
              <w:rPr>
                <w:rFonts w:ascii="Times New Roman" w:eastAsia="Times New Roman" w:hAnsi="Times New Roman" w:cs="Times New Roman"/>
                <w:color w:val="000000"/>
                <w:sz w:val="20"/>
                <w:szCs w:val="20"/>
              </w:rPr>
              <w:t>)</w:t>
            </w:r>
          </w:p>
        </w:tc>
        <w:tc>
          <w:tcPr>
            <w:tcW w:w="1462" w:type="dxa"/>
            <w:tcBorders>
              <w:top w:val="single" w:sz="4" w:space="0" w:color="auto"/>
              <w:left w:val="nil"/>
              <w:bottom w:val="single" w:sz="4" w:space="0" w:color="auto"/>
              <w:right w:val="single" w:sz="4" w:space="0" w:color="auto"/>
            </w:tcBorders>
            <w:shd w:val="clear" w:color="000000" w:fill="F2F2F2"/>
            <w:noWrap/>
            <w:vAlign w:val="center"/>
            <w:hideMark/>
          </w:tcPr>
          <w:p w:rsidR="00093C0A" w:rsidRPr="00D7128A" w:rsidP="00305374" w14:paraId="21840397"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Complex 324</w:t>
            </w:r>
          </w:p>
        </w:tc>
        <w:tc>
          <w:tcPr>
            <w:tcW w:w="1436" w:type="dxa"/>
            <w:tcBorders>
              <w:top w:val="single" w:sz="4" w:space="0" w:color="auto"/>
              <w:left w:val="nil"/>
              <w:bottom w:val="single" w:sz="4" w:space="0" w:color="auto"/>
              <w:right w:val="single" w:sz="4" w:space="0" w:color="auto"/>
            </w:tcBorders>
            <w:shd w:val="clear" w:color="000000" w:fill="F2F2F2"/>
            <w:noWrap/>
            <w:vAlign w:val="center"/>
            <w:hideMark/>
          </w:tcPr>
          <w:p w:rsidR="00093C0A" w:rsidRPr="00D7128A" w:rsidP="00305374" w14:paraId="608A6B54"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Complex 325</w:t>
            </w:r>
          </w:p>
        </w:tc>
        <w:tc>
          <w:tcPr>
            <w:tcW w:w="1319" w:type="dxa"/>
            <w:tcBorders>
              <w:top w:val="nil"/>
              <w:left w:val="single" w:sz="4" w:space="0" w:color="auto"/>
              <w:bottom w:val="single" w:sz="4" w:space="0" w:color="auto"/>
              <w:right w:val="single" w:sz="8" w:space="0" w:color="auto"/>
            </w:tcBorders>
            <w:shd w:val="clear" w:color="000000" w:fill="F2F2F2"/>
            <w:noWrap/>
            <w:vAlign w:val="center"/>
            <w:hideMark/>
          </w:tcPr>
          <w:p w:rsidR="00093C0A" w:rsidRPr="00D7128A" w:rsidP="00305374" w14:paraId="39446D8D"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Government</w:t>
            </w:r>
          </w:p>
        </w:tc>
      </w:tr>
      <w:tr w14:paraId="0B37DCC1" w14:textId="77777777" w:rsidTr="00305374">
        <w:tblPrEx>
          <w:tblW w:w="8540" w:type="dxa"/>
          <w:jc w:val="center"/>
          <w:tblLook w:val="04A0"/>
        </w:tblPrEx>
        <w:trPr>
          <w:trHeight w:val="290"/>
          <w:jc w:val="center"/>
        </w:trPr>
        <w:tc>
          <w:tcPr>
            <w:tcW w:w="2011" w:type="dxa"/>
            <w:tcBorders>
              <w:top w:val="nil"/>
              <w:left w:val="single" w:sz="8" w:space="0" w:color="auto"/>
              <w:bottom w:val="single" w:sz="4" w:space="0" w:color="auto"/>
              <w:right w:val="nil"/>
            </w:tcBorders>
            <w:shd w:val="clear" w:color="auto" w:fill="auto"/>
            <w:noWrap/>
            <w:vAlign w:val="center"/>
            <w:hideMark/>
          </w:tcPr>
          <w:p w:rsidR="00093C0A" w:rsidRPr="00D7128A" w:rsidP="00305374" w14:paraId="4FCABC42"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1</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C0A" w:rsidRPr="00D7128A" w:rsidP="00305374" w14:paraId="2FA52218"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2.4</w:t>
            </w:r>
          </w:p>
        </w:tc>
        <w:tc>
          <w:tcPr>
            <w:tcW w:w="1462" w:type="dxa"/>
            <w:tcBorders>
              <w:top w:val="nil"/>
              <w:left w:val="nil"/>
              <w:bottom w:val="single" w:sz="4" w:space="0" w:color="auto"/>
              <w:right w:val="single" w:sz="4" w:space="0" w:color="auto"/>
            </w:tcBorders>
            <w:shd w:val="clear" w:color="auto" w:fill="auto"/>
            <w:noWrap/>
            <w:vAlign w:val="center"/>
            <w:hideMark/>
          </w:tcPr>
          <w:p w:rsidR="00093C0A" w:rsidRPr="00D7128A" w:rsidP="00305374" w14:paraId="6D19BEB2"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0.6</w:t>
            </w:r>
          </w:p>
        </w:tc>
        <w:tc>
          <w:tcPr>
            <w:tcW w:w="1436" w:type="dxa"/>
            <w:tcBorders>
              <w:top w:val="nil"/>
              <w:left w:val="nil"/>
              <w:bottom w:val="single" w:sz="4" w:space="0" w:color="auto"/>
              <w:right w:val="single" w:sz="4" w:space="0" w:color="auto"/>
            </w:tcBorders>
            <w:shd w:val="clear" w:color="auto" w:fill="auto"/>
            <w:noWrap/>
            <w:vAlign w:val="center"/>
            <w:hideMark/>
          </w:tcPr>
          <w:p w:rsidR="00093C0A" w:rsidRPr="00D7128A" w:rsidP="00305374" w14:paraId="0FB5938D"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0.2</w:t>
            </w:r>
          </w:p>
        </w:tc>
        <w:tc>
          <w:tcPr>
            <w:tcW w:w="1319" w:type="dxa"/>
            <w:tcBorders>
              <w:top w:val="nil"/>
              <w:left w:val="single" w:sz="4" w:space="0" w:color="auto"/>
              <w:bottom w:val="single" w:sz="4" w:space="0" w:color="auto"/>
              <w:right w:val="single" w:sz="8" w:space="0" w:color="auto"/>
            </w:tcBorders>
            <w:shd w:val="clear" w:color="auto" w:fill="auto"/>
            <w:noWrap/>
            <w:vAlign w:val="center"/>
            <w:hideMark/>
          </w:tcPr>
          <w:p w:rsidR="00093C0A" w:rsidRPr="00D7128A" w:rsidP="00305374" w14:paraId="43EA3674"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0.0</w:t>
            </w:r>
          </w:p>
        </w:tc>
      </w:tr>
      <w:tr w14:paraId="3962A7F4" w14:textId="77777777" w:rsidTr="00305374">
        <w:tblPrEx>
          <w:tblW w:w="8540" w:type="dxa"/>
          <w:jc w:val="center"/>
          <w:tblLook w:val="04A0"/>
        </w:tblPrEx>
        <w:trPr>
          <w:trHeight w:val="290"/>
          <w:jc w:val="center"/>
        </w:trPr>
        <w:tc>
          <w:tcPr>
            <w:tcW w:w="2011" w:type="dxa"/>
            <w:tcBorders>
              <w:top w:val="nil"/>
              <w:left w:val="single" w:sz="8" w:space="0" w:color="auto"/>
              <w:bottom w:val="single" w:sz="4" w:space="0" w:color="auto"/>
              <w:right w:val="nil"/>
            </w:tcBorders>
            <w:shd w:val="clear" w:color="auto" w:fill="auto"/>
            <w:noWrap/>
            <w:vAlign w:val="center"/>
            <w:hideMark/>
          </w:tcPr>
          <w:p w:rsidR="00093C0A" w:rsidRPr="00D7128A" w:rsidP="00305374" w14:paraId="791C9F11"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2</w:t>
            </w:r>
          </w:p>
        </w:tc>
        <w:tc>
          <w:tcPr>
            <w:tcW w:w="2309" w:type="dxa"/>
            <w:tcBorders>
              <w:top w:val="nil"/>
              <w:left w:val="single" w:sz="4" w:space="0" w:color="auto"/>
              <w:bottom w:val="single" w:sz="4" w:space="0" w:color="auto"/>
              <w:right w:val="single" w:sz="4" w:space="0" w:color="auto"/>
            </w:tcBorders>
            <w:shd w:val="clear" w:color="auto" w:fill="auto"/>
            <w:noWrap/>
            <w:vAlign w:val="center"/>
            <w:hideMark/>
          </w:tcPr>
          <w:p w:rsidR="00093C0A" w:rsidRPr="00D7128A" w:rsidP="00305374" w14:paraId="5A0F4FE7"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10.2</w:t>
            </w:r>
          </w:p>
        </w:tc>
        <w:tc>
          <w:tcPr>
            <w:tcW w:w="1462" w:type="dxa"/>
            <w:tcBorders>
              <w:top w:val="nil"/>
              <w:left w:val="nil"/>
              <w:bottom w:val="single" w:sz="4" w:space="0" w:color="auto"/>
              <w:right w:val="single" w:sz="4" w:space="0" w:color="auto"/>
            </w:tcBorders>
            <w:shd w:val="clear" w:color="auto" w:fill="auto"/>
            <w:noWrap/>
            <w:vAlign w:val="center"/>
            <w:hideMark/>
          </w:tcPr>
          <w:p w:rsidR="00093C0A" w:rsidRPr="00D7128A" w:rsidP="00305374" w14:paraId="18792D28"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0.0</w:t>
            </w:r>
          </w:p>
        </w:tc>
        <w:tc>
          <w:tcPr>
            <w:tcW w:w="1436" w:type="dxa"/>
            <w:tcBorders>
              <w:top w:val="nil"/>
              <w:left w:val="nil"/>
              <w:bottom w:val="single" w:sz="4" w:space="0" w:color="auto"/>
              <w:right w:val="single" w:sz="4" w:space="0" w:color="auto"/>
            </w:tcBorders>
            <w:shd w:val="clear" w:color="auto" w:fill="auto"/>
            <w:noWrap/>
            <w:vAlign w:val="center"/>
            <w:hideMark/>
          </w:tcPr>
          <w:p w:rsidR="00093C0A" w:rsidRPr="00D7128A" w:rsidP="00305374" w14:paraId="7BC62202"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0.2</w:t>
            </w:r>
          </w:p>
        </w:tc>
        <w:tc>
          <w:tcPr>
            <w:tcW w:w="1319" w:type="dxa"/>
            <w:tcBorders>
              <w:top w:val="nil"/>
              <w:left w:val="single" w:sz="4" w:space="0" w:color="auto"/>
              <w:bottom w:val="single" w:sz="4" w:space="0" w:color="auto"/>
              <w:right w:val="single" w:sz="8" w:space="0" w:color="auto"/>
            </w:tcBorders>
            <w:shd w:val="clear" w:color="auto" w:fill="auto"/>
            <w:noWrap/>
            <w:vAlign w:val="center"/>
            <w:hideMark/>
          </w:tcPr>
          <w:p w:rsidR="00093C0A" w:rsidRPr="00D7128A" w:rsidP="00305374" w14:paraId="7B1395B1"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2.6</w:t>
            </w:r>
          </w:p>
        </w:tc>
      </w:tr>
      <w:tr w14:paraId="6B75F7AD" w14:textId="77777777" w:rsidTr="00305374">
        <w:tblPrEx>
          <w:tblW w:w="8540" w:type="dxa"/>
          <w:jc w:val="center"/>
          <w:tblLook w:val="04A0"/>
        </w:tblPrEx>
        <w:trPr>
          <w:trHeight w:val="300"/>
          <w:jc w:val="center"/>
        </w:trPr>
        <w:tc>
          <w:tcPr>
            <w:tcW w:w="2011" w:type="dxa"/>
            <w:tcBorders>
              <w:top w:val="nil"/>
              <w:left w:val="single" w:sz="8" w:space="0" w:color="auto"/>
              <w:bottom w:val="single" w:sz="8" w:space="0" w:color="auto"/>
              <w:right w:val="nil"/>
            </w:tcBorders>
            <w:shd w:val="clear" w:color="auto" w:fill="auto"/>
            <w:noWrap/>
            <w:vAlign w:val="center"/>
            <w:hideMark/>
          </w:tcPr>
          <w:p w:rsidR="00093C0A" w:rsidRPr="00D7128A" w:rsidP="00305374" w14:paraId="18D210D6"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3</w:t>
            </w:r>
          </w:p>
        </w:tc>
        <w:tc>
          <w:tcPr>
            <w:tcW w:w="2309" w:type="dxa"/>
            <w:tcBorders>
              <w:top w:val="nil"/>
              <w:left w:val="single" w:sz="4" w:space="0" w:color="auto"/>
              <w:bottom w:val="single" w:sz="8" w:space="0" w:color="auto"/>
              <w:right w:val="single" w:sz="4" w:space="0" w:color="auto"/>
            </w:tcBorders>
            <w:shd w:val="clear" w:color="auto" w:fill="auto"/>
            <w:noWrap/>
            <w:vAlign w:val="center"/>
            <w:hideMark/>
          </w:tcPr>
          <w:p w:rsidR="00093C0A" w:rsidRPr="00D7128A" w:rsidP="0060195F" w14:paraId="4DDCA960"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38.4</w:t>
            </w:r>
          </w:p>
        </w:tc>
        <w:tc>
          <w:tcPr>
            <w:tcW w:w="1462" w:type="dxa"/>
            <w:tcBorders>
              <w:top w:val="nil"/>
              <w:left w:val="nil"/>
              <w:bottom w:val="single" w:sz="8" w:space="0" w:color="auto"/>
              <w:right w:val="single" w:sz="4" w:space="0" w:color="auto"/>
            </w:tcBorders>
            <w:shd w:val="clear" w:color="auto" w:fill="auto"/>
            <w:noWrap/>
            <w:vAlign w:val="center"/>
            <w:hideMark/>
          </w:tcPr>
          <w:p w:rsidR="00093C0A" w:rsidRPr="00D7128A" w:rsidP="0060195F" w14:paraId="255A943B"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10.8</w:t>
            </w:r>
          </w:p>
        </w:tc>
        <w:tc>
          <w:tcPr>
            <w:tcW w:w="1436" w:type="dxa"/>
            <w:tcBorders>
              <w:top w:val="nil"/>
              <w:left w:val="nil"/>
              <w:bottom w:val="single" w:sz="8" w:space="0" w:color="auto"/>
              <w:right w:val="single" w:sz="4" w:space="0" w:color="auto"/>
            </w:tcBorders>
            <w:shd w:val="clear" w:color="auto" w:fill="auto"/>
            <w:noWrap/>
            <w:vAlign w:val="center"/>
            <w:hideMark/>
          </w:tcPr>
          <w:p w:rsidR="00093C0A" w:rsidRPr="00D7128A" w:rsidP="0060195F" w14:paraId="1EF5526F"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30.4</w:t>
            </w:r>
          </w:p>
        </w:tc>
        <w:tc>
          <w:tcPr>
            <w:tcW w:w="1319" w:type="dxa"/>
            <w:tcBorders>
              <w:top w:val="nil"/>
              <w:left w:val="single" w:sz="4" w:space="0" w:color="auto"/>
              <w:bottom w:val="single" w:sz="8" w:space="0" w:color="auto"/>
              <w:right w:val="single" w:sz="8" w:space="0" w:color="auto"/>
            </w:tcBorders>
            <w:shd w:val="clear" w:color="auto" w:fill="auto"/>
            <w:noWrap/>
            <w:vAlign w:val="center"/>
            <w:hideMark/>
          </w:tcPr>
          <w:p w:rsidR="00093C0A" w:rsidRPr="00D7128A" w:rsidP="0060195F" w14:paraId="44682C3D"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1.8</w:t>
            </w:r>
          </w:p>
        </w:tc>
      </w:tr>
    </w:tbl>
    <w:p w:rsidR="00093C0A" w:rsidRPr="00587204" w:rsidP="00587204" w14:paraId="27AB87AF" w14:textId="77777777">
      <w:pPr>
        <w:spacing w:after="0" w:line="240" w:lineRule="auto"/>
        <w:ind w:firstLine="720"/>
        <w:rPr>
          <w:rFonts w:ascii="Times New Roman" w:eastAsia="Calibri" w:hAnsi="Times New Roman" w:cs="Times New Roman"/>
        </w:rPr>
      </w:pPr>
    </w:p>
    <w:p w:rsidR="00093C0A" w:rsidRPr="00305374" w:rsidP="00E04FD7" w14:paraId="7A810456" w14:textId="77777777">
      <w:pPr>
        <w:spacing w:after="0" w:line="240" w:lineRule="auto"/>
        <w:rPr>
          <w:rFonts w:ascii="Times New Roman" w:eastAsia="Calibri" w:hAnsi="Times New Roman" w:cs="Times New Roman"/>
        </w:rPr>
      </w:pPr>
      <w:r>
        <w:rPr>
          <w:rFonts w:ascii="Times New Roman" w:eastAsia="Calibri" w:hAnsi="Times New Roman" w:cs="Times New Roman"/>
        </w:rPr>
        <w:tab/>
      </w:r>
      <w:r w:rsidRPr="00587204">
        <w:rPr>
          <w:rFonts w:ascii="Times New Roman" w:eastAsia="Calibri" w:hAnsi="Times New Roman" w:cs="Times New Roman"/>
        </w:rPr>
        <w:t xml:space="preserve">The third-party audit provision </w:t>
      </w:r>
      <w:r w:rsidR="009449B7">
        <w:rPr>
          <w:rFonts w:ascii="Times New Roman" w:eastAsia="Calibri" w:hAnsi="Times New Roman" w:cs="Times New Roman"/>
        </w:rPr>
        <w:t>will</w:t>
      </w:r>
      <w:r w:rsidRPr="00587204">
        <w:rPr>
          <w:rFonts w:ascii="Times New Roman" w:eastAsia="Calibri" w:hAnsi="Times New Roman" w:cs="Times New Roman"/>
        </w:rPr>
        <w:t xml:space="preserve"> apply to all </w:t>
      </w:r>
      <w:r w:rsidRPr="00587204" w:rsidR="00860185">
        <w:rPr>
          <w:rFonts w:ascii="Times New Roman" w:eastAsia="Calibri" w:hAnsi="Times New Roman" w:cs="Times New Roman"/>
        </w:rPr>
        <w:t xml:space="preserve">P2 and P3 </w:t>
      </w:r>
      <w:r w:rsidRPr="00587204">
        <w:rPr>
          <w:rFonts w:ascii="Times New Roman" w:eastAsia="Calibri" w:hAnsi="Times New Roman" w:cs="Times New Roman"/>
        </w:rPr>
        <w:t xml:space="preserve">facilities </w:t>
      </w:r>
      <w:r w:rsidR="00A83B03">
        <w:rPr>
          <w:rFonts w:ascii="Times New Roman" w:eastAsia="Calibri" w:hAnsi="Times New Roman" w:cs="Times New Roman"/>
        </w:rPr>
        <w:t xml:space="preserve">that have had an accident </w:t>
      </w:r>
      <w:r w:rsidRPr="00587204" w:rsidR="00720FA0">
        <w:rPr>
          <w:rFonts w:ascii="Times New Roman" w:eastAsia="Calibri" w:hAnsi="Times New Roman" w:cs="Times New Roman"/>
        </w:rPr>
        <w:t xml:space="preserve">or </w:t>
      </w:r>
      <w:r w:rsidR="00287D8E">
        <w:rPr>
          <w:rFonts w:ascii="Times New Roman" w:eastAsia="Calibri" w:hAnsi="Times New Roman" w:cs="Times New Roman"/>
        </w:rPr>
        <w:t>when</w:t>
      </w:r>
      <w:r w:rsidRPr="00587204" w:rsidR="00720FA0">
        <w:rPr>
          <w:rFonts w:ascii="Times New Roman" w:eastAsia="Calibri" w:hAnsi="Times New Roman" w:cs="Times New Roman"/>
        </w:rPr>
        <w:t xml:space="preserve"> an implementing agency requires it</w:t>
      </w:r>
      <w:r w:rsidRPr="00587204">
        <w:rPr>
          <w:rFonts w:ascii="Times New Roman" w:eastAsia="Calibri" w:hAnsi="Times New Roman" w:cs="Times New Roman"/>
        </w:rPr>
        <w:t>. Exhibit 3-</w:t>
      </w:r>
      <w:r w:rsidR="006A041B">
        <w:rPr>
          <w:rFonts w:ascii="Times New Roman" w:eastAsia="Calibri" w:hAnsi="Times New Roman" w:cs="Times New Roman"/>
        </w:rPr>
        <w:t>9</w:t>
      </w:r>
      <w:r w:rsidRPr="00587204" w:rsidR="006A041B">
        <w:rPr>
          <w:rFonts w:ascii="Times New Roman" w:eastAsia="Calibri" w:hAnsi="Times New Roman" w:cs="Times New Roman"/>
        </w:rPr>
        <w:t xml:space="preserve"> </w:t>
      </w:r>
      <w:r w:rsidRPr="00587204">
        <w:rPr>
          <w:rFonts w:ascii="Times New Roman" w:eastAsia="Calibri" w:hAnsi="Times New Roman" w:cs="Times New Roman"/>
        </w:rPr>
        <w:t xml:space="preserve">presents the </w:t>
      </w:r>
      <w:r w:rsidR="005C02A3">
        <w:rPr>
          <w:rFonts w:ascii="Times New Roman" w:eastAsia="Calibri" w:hAnsi="Times New Roman" w:cs="Times New Roman"/>
        </w:rPr>
        <w:t xml:space="preserve">five-year average annual </w:t>
      </w:r>
      <w:r w:rsidRPr="00587204">
        <w:rPr>
          <w:rFonts w:ascii="Times New Roman" w:eastAsia="Calibri" w:hAnsi="Times New Roman" w:cs="Times New Roman"/>
        </w:rPr>
        <w:t xml:space="preserve">number of </w:t>
      </w:r>
      <w:r w:rsidR="003532C8">
        <w:rPr>
          <w:rFonts w:ascii="Times New Roman" w:eastAsia="Calibri" w:hAnsi="Times New Roman" w:cs="Times New Roman"/>
        </w:rPr>
        <w:t>RMP-</w:t>
      </w:r>
      <w:r w:rsidR="002B5F5C">
        <w:rPr>
          <w:rFonts w:ascii="Times New Roman" w:eastAsia="Calibri" w:hAnsi="Times New Roman" w:cs="Times New Roman"/>
        </w:rPr>
        <w:t>reportable accident</w:t>
      </w:r>
      <w:r w:rsidR="00063F8D">
        <w:rPr>
          <w:rFonts w:ascii="Times New Roman" w:eastAsia="Calibri" w:hAnsi="Times New Roman" w:cs="Times New Roman"/>
        </w:rPr>
        <w:t xml:space="preserve">s at </w:t>
      </w:r>
      <w:r w:rsidRPr="00587204" w:rsidR="00860185">
        <w:rPr>
          <w:rFonts w:ascii="Times New Roman" w:eastAsia="Calibri" w:hAnsi="Times New Roman" w:cs="Times New Roman"/>
        </w:rPr>
        <w:t xml:space="preserve">P2 and P3 </w:t>
      </w:r>
      <w:r w:rsidRPr="00587204">
        <w:rPr>
          <w:rFonts w:ascii="Times New Roman" w:eastAsia="Calibri" w:hAnsi="Times New Roman" w:cs="Times New Roman"/>
        </w:rPr>
        <w:t xml:space="preserve">RMP facilities </w:t>
      </w:r>
      <w:r w:rsidR="00F8110A">
        <w:rPr>
          <w:rFonts w:ascii="Times New Roman" w:eastAsia="Calibri" w:hAnsi="Times New Roman" w:cs="Times New Roman"/>
        </w:rPr>
        <w:t>for the</w:t>
      </w:r>
      <w:r w:rsidRPr="00587204">
        <w:rPr>
          <w:rFonts w:ascii="Times New Roman" w:eastAsia="Calibri" w:hAnsi="Times New Roman" w:cs="Times New Roman"/>
        </w:rPr>
        <w:t xml:space="preserve"> 2016</w:t>
      </w:r>
      <w:r w:rsidR="00F8110A">
        <w:rPr>
          <w:rFonts w:ascii="Times New Roman" w:eastAsia="Calibri" w:hAnsi="Times New Roman" w:cs="Times New Roman"/>
        </w:rPr>
        <w:t>-</w:t>
      </w:r>
      <w:r w:rsidRPr="00587204">
        <w:rPr>
          <w:rFonts w:ascii="Times New Roman" w:eastAsia="Calibri" w:hAnsi="Times New Roman" w:cs="Times New Roman"/>
        </w:rPr>
        <w:t xml:space="preserve">2020 </w:t>
      </w:r>
      <w:r w:rsidR="003612A9">
        <w:rPr>
          <w:rFonts w:ascii="Times New Roman" w:eastAsia="Calibri" w:hAnsi="Times New Roman" w:cs="Times New Roman"/>
        </w:rPr>
        <w:t>period</w:t>
      </w:r>
      <w:r w:rsidRPr="00587204">
        <w:rPr>
          <w:rFonts w:ascii="Times New Roman" w:eastAsia="Calibri" w:hAnsi="Times New Roman" w:cs="Times New Roman"/>
        </w:rPr>
        <w:t xml:space="preserve">. </w:t>
      </w:r>
      <w:r w:rsidRPr="006A041B" w:rsidR="006A041B">
        <w:rPr>
          <w:rFonts w:ascii="Times New Roman" w:eastAsia="Calibri" w:hAnsi="Times New Roman" w:cs="Times New Roman"/>
        </w:rPr>
        <w:t xml:space="preserve">These annual average accidents for Program 2 and Program 3 facilities represent the numbers of annual </w:t>
      </w:r>
      <w:r w:rsidR="003612A9">
        <w:rPr>
          <w:rFonts w:ascii="Times New Roman" w:eastAsia="Calibri" w:hAnsi="Times New Roman" w:cs="Times New Roman"/>
        </w:rPr>
        <w:t>third</w:t>
      </w:r>
      <w:r w:rsidR="00CB2614">
        <w:rPr>
          <w:rFonts w:ascii="Times New Roman" w:eastAsia="Calibri" w:hAnsi="Times New Roman" w:cs="Times New Roman"/>
        </w:rPr>
        <w:t>-party audits</w:t>
      </w:r>
      <w:r w:rsidR="002450EC">
        <w:rPr>
          <w:rFonts w:ascii="Times New Roman" w:eastAsia="Calibri" w:hAnsi="Times New Roman" w:cs="Times New Roman"/>
        </w:rPr>
        <w:t xml:space="preserve"> for RMP-reportable accidents</w:t>
      </w:r>
      <w:r w:rsidRPr="006A041B" w:rsidR="006A041B">
        <w:rPr>
          <w:rFonts w:ascii="Times New Roman" w:eastAsia="Calibri" w:hAnsi="Times New Roman" w:cs="Times New Roman"/>
        </w:rPr>
        <w:t xml:space="preserve"> EPA expects to be required under the </w:t>
      </w:r>
      <w:r w:rsidR="0067012A">
        <w:rPr>
          <w:rFonts w:ascii="Times New Roman" w:eastAsia="Calibri" w:hAnsi="Times New Roman" w:cs="Times New Roman"/>
        </w:rPr>
        <w:t>final</w:t>
      </w:r>
      <w:r w:rsidRPr="006A041B" w:rsidR="0067012A">
        <w:rPr>
          <w:rFonts w:ascii="Times New Roman" w:eastAsia="Calibri" w:hAnsi="Times New Roman" w:cs="Times New Roman"/>
        </w:rPr>
        <w:t xml:space="preserve"> </w:t>
      </w:r>
      <w:r w:rsidRPr="006A041B" w:rsidR="006A041B">
        <w:rPr>
          <w:rFonts w:ascii="Times New Roman" w:eastAsia="Calibri" w:hAnsi="Times New Roman" w:cs="Times New Roman"/>
        </w:rPr>
        <w:t>rule.</w:t>
      </w:r>
      <w:r w:rsidRPr="00587204">
        <w:rPr>
          <w:rFonts w:ascii="Times New Roman" w:eastAsia="Calibri" w:hAnsi="Times New Roman" w:cs="Times New Roman"/>
        </w:rPr>
        <w:t xml:space="preserve"> EPA expects the cost of a third-party audit to vary by facility size and type, and therefore separates </w:t>
      </w:r>
      <w:r w:rsidR="00FD2507">
        <w:rPr>
          <w:rFonts w:ascii="Times New Roman" w:eastAsia="Calibri" w:hAnsi="Times New Roman" w:cs="Times New Roman"/>
        </w:rPr>
        <w:t>the number of accidents</w:t>
      </w:r>
      <w:r w:rsidRPr="00587204" w:rsidR="00FD2507">
        <w:rPr>
          <w:rFonts w:ascii="Times New Roman" w:eastAsia="Calibri" w:hAnsi="Times New Roman" w:cs="Times New Roman"/>
        </w:rPr>
        <w:t xml:space="preserve"> </w:t>
      </w:r>
      <w:r w:rsidRPr="00587204">
        <w:rPr>
          <w:rFonts w:ascii="Times New Roman" w:eastAsia="Calibri" w:hAnsi="Times New Roman" w:cs="Times New Roman"/>
        </w:rPr>
        <w:t>by the</w:t>
      </w:r>
      <w:r w:rsidR="008B6320">
        <w:rPr>
          <w:rFonts w:ascii="Times New Roman" w:eastAsia="Calibri" w:hAnsi="Times New Roman" w:cs="Times New Roman"/>
        </w:rPr>
        <w:t xml:space="preserve"> facilit</w:t>
      </w:r>
      <w:r w:rsidR="000575B7">
        <w:rPr>
          <w:rFonts w:ascii="Times New Roman" w:eastAsia="Calibri" w:hAnsi="Times New Roman" w:cs="Times New Roman"/>
        </w:rPr>
        <w:t>y’s</w:t>
      </w:r>
      <w:r w:rsidRPr="00587204">
        <w:rPr>
          <w:rFonts w:ascii="Times New Roman" w:eastAsia="Calibri" w:hAnsi="Times New Roman" w:cs="Times New Roman"/>
        </w:rPr>
        <w:t xml:space="preserve"> number of </w:t>
      </w:r>
      <w:r w:rsidRPr="00587204" w:rsidR="00860CFA">
        <w:rPr>
          <w:rFonts w:ascii="Times New Roman" w:eastAsia="Calibri" w:hAnsi="Times New Roman" w:cs="Times New Roman"/>
        </w:rPr>
        <w:t>FTEs</w:t>
      </w:r>
      <w:r w:rsidRPr="00587204">
        <w:rPr>
          <w:rFonts w:ascii="Times New Roman" w:eastAsia="Calibri" w:hAnsi="Times New Roman" w:cs="Times New Roman"/>
        </w:rPr>
        <w:t xml:space="preserve">, whether </w:t>
      </w:r>
      <w:r w:rsidR="008F7254">
        <w:rPr>
          <w:rFonts w:ascii="Times New Roman" w:eastAsia="Calibri" w:hAnsi="Times New Roman" w:cs="Times New Roman"/>
        </w:rPr>
        <w:t xml:space="preserve">the </w:t>
      </w:r>
      <w:r w:rsidR="000575B7">
        <w:rPr>
          <w:rFonts w:ascii="Times New Roman" w:eastAsia="Calibri" w:hAnsi="Times New Roman" w:cs="Times New Roman"/>
        </w:rPr>
        <w:t>facility has</w:t>
      </w:r>
      <w:r w:rsidRPr="00587204">
        <w:rPr>
          <w:rFonts w:ascii="Times New Roman" w:eastAsia="Calibri" w:hAnsi="Times New Roman" w:cs="Times New Roman"/>
        </w:rPr>
        <w:t xml:space="preserve"> complex processes, and whether </w:t>
      </w:r>
      <w:r w:rsidR="008F7254">
        <w:rPr>
          <w:rFonts w:ascii="Times New Roman" w:eastAsia="Calibri" w:hAnsi="Times New Roman" w:cs="Times New Roman"/>
        </w:rPr>
        <w:t xml:space="preserve">the </w:t>
      </w:r>
      <w:r w:rsidR="008C0EF4">
        <w:rPr>
          <w:rFonts w:ascii="Times New Roman" w:eastAsia="Calibri" w:hAnsi="Times New Roman" w:cs="Times New Roman"/>
        </w:rPr>
        <w:t>facility is</w:t>
      </w:r>
      <w:r w:rsidRPr="00587204">
        <w:rPr>
          <w:rFonts w:ascii="Times New Roman" w:eastAsia="Calibri" w:hAnsi="Times New Roman" w:cs="Times New Roman"/>
        </w:rPr>
        <w:t xml:space="preserve"> government-owned.</w:t>
      </w:r>
    </w:p>
    <w:p w:rsidR="00377986" w:rsidRPr="00587204" w:rsidP="00587204" w14:paraId="4290472F" w14:textId="77777777">
      <w:pPr>
        <w:spacing w:after="0" w:line="240" w:lineRule="auto"/>
        <w:jc w:val="center"/>
        <w:rPr>
          <w:rFonts w:ascii="Times New Roman" w:eastAsia="Calibri" w:hAnsi="Times New Roman" w:cs="Times New Roman"/>
          <w:b/>
        </w:rPr>
      </w:pPr>
    </w:p>
    <w:p w:rsidR="00377986" w:rsidRPr="00305374" w:rsidP="00305374" w14:paraId="3407BE4D" w14:textId="77777777">
      <w:pPr>
        <w:pStyle w:val="Caption"/>
        <w:jc w:val="center"/>
        <w:rPr>
          <w:rFonts w:ascii="Times New Roman" w:eastAsia="Calibri" w:hAnsi="Times New Roman" w:cs="Times New Roman"/>
          <w:b/>
          <w:i w:val="0"/>
          <w:color w:val="auto"/>
          <w:sz w:val="22"/>
          <w:szCs w:val="22"/>
        </w:rPr>
      </w:pPr>
      <w:r w:rsidRPr="00305374">
        <w:rPr>
          <w:rFonts w:ascii="Times New Roman" w:hAnsi="Times New Roman" w:cs="Times New Roman"/>
          <w:b/>
          <w:i w:val="0"/>
          <w:color w:val="auto"/>
          <w:sz w:val="22"/>
          <w:szCs w:val="22"/>
        </w:rPr>
        <w:t xml:space="preserve">Exhibit </w:t>
      </w:r>
      <w:r w:rsidRPr="00305374">
        <w:rPr>
          <w:rFonts w:ascii="Times New Roman" w:eastAsia="Calibri" w:hAnsi="Times New Roman" w:cs="Times New Roman"/>
          <w:b/>
          <w:i w:val="0"/>
          <w:color w:val="auto"/>
          <w:sz w:val="22"/>
          <w:szCs w:val="22"/>
        </w:rPr>
        <w:t>3-</w:t>
      </w:r>
      <w:r w:rsidR="00A81C06">
        <w:rPr>
          <w:rFonts w:ascii="Times New Roman" w:eastAsia="Calibri" w:hAnsi="Times New Roman" w:cs="Times New Roman"/>
          <w:b/>
          <w:i w:val="0"/>
          <w:color w:val="auto"/>
          <w:sz w:val="22"/>
          <w:szCs w:val="22"/>
        </w:rPr>
        <w:t>9</w:t>
      </w:r>
      <w:r w:rsidRPr="00305374">
        <w:rPr>
          <w:rFonts w:ascii="Times New Roman" w:eastAsia="Calibri" w:hAnsi="Times New Roman" w:cs="Times New Roman"/>
          <w:b/>
          <w:i w:val="0"/>
          <w:color w:val="auto"/>
          <w:sz w:val="22"/>
          <w:szCs w:val="22"/>
        </w:rPr>
        <w:t xml:space="preserve">: RMP Facilities with </w:t>
      </w:r>
      <w:r w:rsidR="003532C8">
        <w:rPr>
          <w:rFonts w:ascii="Times New Roman" w:eastAsia="Calibri" w:hAnsi="Times New Roman" w:cs="Times New Roman"/>
          <w:b/>
          <w:i w:val="0"/>
          <w:color w:val="auto"/>
          <w:sz w:val="22"/>
          <w:szCs w:val="22"/>
        </w:rPr>
        <w:t>RMP-</w:t>
      </w:r>
      <w:r w:rsidRPr="00305374">
        <w:rPr>
          <w:rFonts w:ascii="Times New Roman" w:eastAsia="Calibri" w:hAnsi="Times New Roman" w:cs="Times New Roman"/>
          <w:b/>
          <w:i w:val="0"/>
          <w:color w:val="auto"/>
          <w:sz w:val="22"/>
          <w:szCs w:val="22"/>
        </w:rPr>
        <w:t>Reportable Accidents</w:t>
      </w:r>
      <w:r w:rsidRPr="00305374" w:rsidR="00D067F2">
        <w:rPr>
          <w:rFonts w:ascii="Times New Roman" w:eastAsia="Calibri" w:hAnsi="Times New Roman" w:cs="Times New Roman"/>
          <w:b/>
          <w:i w:val="0"/>
          <w:color w:val="auto"/>
          <w:sz w:val="22"/>
          <w:szCs w:val="22"/>
        </w:rPr>
        <w:t xml:space="preserve"> and Subject to Third-party Audits</w:t>
      </w:r>
      <w:r w:rsidR="006B33FC">
        <w:rPr>
          <w:rFonts w:ascii="Times New Roman" w:eastAsia="Calibri" w:hAnsi="Times New Roman" w:cs="Times New Roman"/>
          <w:b/>
          <w:bCs/>
          <w:i w:val="0"/>
          <w:iCs w:val="0"/>
          <w:color w:val="auto"/>
          <w:sz w:val="22"/>
          <w:szCs w:val="22"/>
        </w:rPr>
        <w:t xml:space="preserve"> (2016-2020).</w:t>
      </w:r>
    </w:p>
    <w:tbl>
      <w:tblPr>
        <w:tblW w:w="10070" w:type="dxa"/>
        <w:tblLook w:val="04A0"/>
      </w:tblPr>
      <w:tblGrid>
        <w:gridCol w:w="793"/>
        <w:gridCol w:w="2977"/>
        <w:gridCol w:w="3060"/>
        <w:gridCol w:w="3240"/>
      </w:tblGrid>
      <w:tr w14:paraId="6322D89B" w14:textId="77777777" w:rsidTr="00305374">
        <w:tblPrEx>
          <w:tblW w:w="10070" w:type="dxa"/>
          <w:tblLook w:val="04A0"/>
        </w:tblPrEx>
        <w:trPr>
          <w:trHeight w:val="300"/>
        </w:trPr>
        <w:tc>
          <w:tcPr>
            <w:tcW w:w="10070" w:type="dxa"/>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093C0A" w:rsidRPr="00D7128A" w:rsidP="00167F64" w14:paraId="281C5CDA" w14:textId="77777777">
            <w:pPr>
              <w:keepNext/>
              <w:keepLines/>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Average Annual</w:t>
            </w:r>
            <w:r w:rsidRPr="00D7128A">
              <w:rPr>
                <w:rFonts w:ascii="Times New Roman" w:eastAsia="Times New Roman" w:hAnsi="Times New Roman" w:cs="Times New Roman"/>
                <w:b/>
                <w:color w:val="000000"/>
                <w:sz w:val="20"/>
                <w:szCs w:val="20"/>
              </w:rPr>
              <w:t xml:space="preserve"> </w:t>
            </w:r>
            <w:r w:rsidR="003532C8">
              <w:rPr>
                <w:rFonts w:ascii="Times New Roman" w:eastAsia="Times New Roman" w:hAnsi="Times New Roman" w:cs="Times New Roman"/>
                <w:b/>
                <w:color w:val="000000"/>
                <w:sz w:val="20"/>
                <w:szCs w:val="20"/>
              </w:rPr>
              <w:t>RMP-</w:t>
            </w:r>
            <w:r w:rsidRPr="00D7128A">
              <w:rPr>
                <w:rFonts w:ascii="Times New Roman" w:eastAsia="Times New Roman" w:hAnsi="Times New Roman" w:cs="Times New Roman"/>
                <w:b/>
                <w:color w:val="000000"/>
                <w:sz w:val="20"/>
                <w:szCs w:val="20"/>
              </w:rPr>
              <w:t xml:space="preserve">Reportable Accidents </w:t>
            </w:r>
            <w:r w:rsidR="00810735">
              <w:rPr>
                <w:rFonts w:ascii="Times New Roman" w:eastAsia="Times New Roman" w:hAnsi="Times New Roman" w:cs="Times New Roman"/>
                <w:b/>
                <w:color w:val="000000"/>
                <w:sz w:val="20"/>
                <w:szCs w:val="20"/>
              </w:rPr>
              <w:t xml:space="preserve">at </w:t>
            </w:r>
            <w:r w:rsidRPr="00D7128A" w:rsidR="00013E43">
              <w:rPr>
                <w:rFonts w:ascii="Times New Roman" w:eastAsia="Times New Roman" w:hAnsi="Times New Roman" w:cs="Times New Roman"/>
                <w:b/>
                <w:color w:val="000000"/>
                <w:sz w:val="20"/>
                <w:szCs w:val="20"/>
              </w:rPr>
              <w:t>P2 and P3</w:t>
            </w:r>
            <w:r w:rsidRPr="00D7128A">
              <w:rPr>
                <w:rFonts w:ascii="Times New Roman" w:eastAsia="Times New Roman" w:hAnsi="Times New Roman" w:cs="Times New Roman"/>
                <w:b/>
                <w:color w:val="000000"/>
                <w:sz w:val="20"/>
                <w:szCs w:val="20"/>
              </w:rPr>
              <w:t xml:space="preserve"> Facilities 2016-2020 by Facility Type and Size</w:t>
            </w:r>
          </w:p>
        </w:tc>
      </w:tr>
      <w:tr w14:paraId="7567D6AC" w14:textId="77777777" w:rsidTr="00305374">
        <w:tblPrEx>
          <w:tblW w:w="10070" w:type="dxa"/>
          <w:tblLook w:val="04A0"/>
        </w:tblPrEx>
        <w:trPr>
          <w:trHeight w:val="290"/>
        </w:trPr>
        <w:tc>
          <w:tcPr>
            <w:tcW w:w="793" w:type="dxa"/>
            <w:tcBorders>
              <w:top w:val="nil"/>
              <w:left w:val="single" w:sz="8" w:space="0" w:color="auto"/>
              <w:bottom w:val="single" w:sz="4" w:space="0" w:color="auto"/>
              <w:right w:val="single" w:sz="4" w:space="0" w:color="auto"/>
            </w:tcBorders>
            <w:shd w:val="clear" w:color="000000" w:fill="F2F2F2"/>
            <w:noWrap/>
            <w:vAlign w:val="center"/>
            <w:hideMark/>
          </w:tcPr>
          <w:p w:rsidR="00093C0A" w:rsidRPr="00D7128A" w:rsidP="00305374" w14:paraId="4ADCA21A" w14:textId="77777777">
            <w:pPr>
              <w:keepNext/>
              <w:keepLines/>
              <w:spacing w:after="0" w:line="240" w:lineRule="auto"/>
              <w:jc w:val="center"/>
              <w:rPr>
                <w:rFonts w:ascii="Times New Roman" w:hAnsi="Times New Roman" w:cs="Times New Roman"/>
                <w:color w:val="000000"/>
                <w:sz w:val="20"/>
                <w:szCs w:val="20"/>
              </w:rPr>
            </w:pPr>
          </w:p>
        </w:tc>
        <w:tc>
          <w:tcPr>
            <w:tcW w:w="9277" w:type="dxa"/>
            <w:gridSpan w:val="3"/>
            <w:tcBorders>
              <w:top w:val="single" w:sz="4" w:space="0" w:color="auto"/>
              <w:left w:val="single" w:sz="4" w:space="0" w:color="auto"/>
              <w:bottom w:val="single" w:sz="4" w:space="0" w:color="auto"/>
              <w:right w:val="single" w:sz="8" w:space="0" w:color="000000"/>
            </w:tcBorders>
            <w:shd w:val="clear" w:color="000000" w:fill="F2F2F2"/>
            <w:noWrap/>
            <w:vAlign w:val="center"/>
            <w:hideMark/>
          </w:tcPr>
          <w:p w:rsidR="00093C0A" w:rsidRPr="00D7128A" w:rsidP="00167F64" w14:paraId="0D439996"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Facilit</w:t>
            </w:r>
            <w:r w:rsidR="00F468A8">
              <w:rPr>
                <w:rFonts w:ascii="Times New Roman" w:eastAsia="Times New Roman" w:hAnsi="Times New Roman" w:cs="Times New Roman"/>
                <w:color w:val="000000"/>
                <w:sz w:val="20"/>
                <w:szCs w:val="20"/>
              </w:rPr>
              <w:t>y Type</w:t>
            </w:r>
          </w:p>
        </w:tc>
      </w:tr>
      <w:tr w14:paraId="5528D274" w14:textId="77777777" w:rsidTr="00AC453D">
        <w:tblPrEx>
          <w:tblW w:w="10070" w:type="dxa"/>
          <w:tblLook w:val="04A0"/>
        </w:tblPrEx>
        <w:trPr>
          <w:trHeight w:val="290"/>
        </w:trPr>
        <w:tc>
          <w:tcPr>
            <w:tcW w:w="793" w:type="dxa"/>
            <w:tcBorders>
              <w:top w:val="nil"/>
              <w:left w:val="single" w:sz="8" w:space="0" w:color="auto"/>
              <w:bottom w:val="single" w:sz="4" w:space="0" w:color="auto"/>
              <w:right w:val="single" w:sz="4" w:space="0" w:color="auto"/>
            </w:tcBorders>
            <w:shd w:val="clear" w:color="000000" w:fill="F2F2F2"/>
            <w:noWrap/>
            <w:vAlign w:val="center"/>
            <w:hideMark/>
          </w:tcPr>
          <w:p w:rsidR="00093C0A" w:rsidRPr="00D7128A" w:rsidP="00305374" w14:paraId="2BA373C1"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FTEs</w:t>
            </w:r>
          </w:p>
        </w:tc>
        <w:tc>
          <w:tcPr>
            <w:tcW w:w="2977" w:type="dxa"/>
            <w:tcBorders>
              <w:top w:val="single" w:sz="4" w:space="0" w:color="auto"/>
              <w:left w:val="nil"/>
              <w:bottom w:val="single" w:sz="4" w:space="0" w:color="auto"/>
              <w:right w:val="single" w:sz="4" w:space="0" w:color="auto"/>
            </w:tcBorders>
            <w:shd w:val="clear" w:color="000000" w:fill="F2F2F2"/>
            <w:noWrap/>
            <w:vAlign w:val="center"/>
            <w:hideMark/>
          </w:tcPr>
          <w:p w:rsidR="00013E43" w:rsidRPr="00D7128A" w:rsidP="00D947A3" w14:paraId="389C82EA"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Complex</w:t>
            </w:r>
          </w:p>
        </w:tc>
        <w:tc>
          <w:tcPr>
            <w:tcW w:w="3060" w:type="dxa"/>
            <w:tcBorders>
              <w:top w:val="single" w:sz="4" w:space="0" w:color="auto"/>
              <w:left w:val="nil"/>
              <w:bottom w:val="single" w:sz="4" w:space="0" w:color="auto"/>
              <w:right w:val="single" w:sz="4" w:space="0" w:color="auto"/>
            </w:tcBorders>
            <w:shd w:val="clear" w:color="000000" w:fill="F2F2F2"/>
            <w:noWrap/>
            <w:vAlign w:val="center"/>
            <w:hideMark/>
          </w:tcPr>
          <w:p w:rsidR="005E6FE1" w:rsidRPr="00D7128A" w:rsidP="00167F64" w14:paraId="67570FA4"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Simple</w:t>
            </w:r>
          </w:p>
          <w:p w:rsidR="00093C0A" w:rsidRPr="00D7128A" w:rsidP="00167F64" w14:paraId="11FFEF1B"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(non-gov</w:t>
            </w:r>
            <w:r w:rsidRPr="00D7128A" w:rsidR="005E6FE1">
              <w:rPr>
                <w:rFonts w:ascii="Times New Roman" w:eastAsia="Times New Roman" w:hAnsi="Times New Roman" w:cs="Times New Roman"/>
                <w:color w:val="000000"/>
                <w:sz w:val="20"/>
                <w:szCs w:val="20"/>
              </w:rPr>
              <w:t>’t</w:t>
            </w:r>
            <w:r w:rsidRPr="00D7128A">
              <w:rPr>
                <w:rFonts w:ascii="Times New Roman" w:eastAsia="Times New Roman" w:hAnsi="Times New Roman" w:cs="Times New Roman"/>
                <w:color w:val="000000"/>
                <w:sz w:val="20"/>
                <w:szCs w:val="20"/>
              </w:rPr>
              <w:t>)</w:t>
            </w:r>
          </w:p>
        </w:tc>
        <w:tc>
          <w:tcPr>
            <w:tcW w:w="3240" w:type="dxa"/>
            <w:tcBorders>
              <w:top w:val="nil"/>
              <w:left w:val="single" w:sz="4" w:space="0" w:color="auto"/>
              <w:bottom w:val="single" w:sz="4" w:space="0" w:color="auto"/>
              <w:right w:val="single" w:sz="8" w:space="0" w:color="auto"/>
            </w:tcBorders>
            <w:shd w:val="clear" w:color="000000" w:fill="F2F2F2"/>
            <w:noWrap/>
            <w:vAlign w:val="center"/>
            <w:hideMark/>
          </w:tcPr>
          <w:p w:rsidR="00093C0A" w:rsidRPr="00D7128A" w:rsidP="00167F64" w14:paraId="2284A132"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Government</w:t>
            </w:r>
          </w:p>
        </w:tc>
      </w:tr>
      <w:tr w14:paraId="1AAF001D" w14:textId="77777777" w:rsidTr="00AC453D">
        <w:tblPrEx>
          <w:tblW w:w="10070" w:type="dxa"/>
          <w:tblLook w:val="04A0"/>
        </w:tblPrEx>
        <w:trPr>
          <w:trHeight w:val="290"/>
        </w:trPr>
        <w:tc>
          <w:tcPr>
            <w:tcW w:w="793" w:type="dxa"/>
            <w:tcBorders>
              <w:top w:val="nil"/>
              <w:left w:val="single" w:sz="8" w:space="0" w:color="auto"/>
              <w:bottom w:val="single" w:sz="4" w:space="0" w:color="auto"/>
              <w:right w:val="single" w:sz="4" w:space="0" w:color="auto"/>
            </w:tcBorders>
            <w:shd w:val="clear" w:color="auto" w:fill="auto"/>
            <w:noWrap/>
            <w:vAlign w:val="center"/>
            <w:hideMark/>
          </w:tcPr>
          <w:p w:rsidR="00093C0A" w:rsidRPr="00D7128A" w:rsidP="00305374" w14:paraId="1A1E9D6F"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0-19</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C0A" w:rsidRPr="00D7128A" w:rsidP="00167F64" w14:paraId="238A7761"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1</w:t>
            </w:r>
            <w:r w:rsidR="00217C8F">
              <w:rPr>
                <w:rFonts w:ascii="Times New Roman" w:eastAsia="Times New Roman" w:hAnsi="Times New Roman" w:cs="Times New Roman"/>
                <w:color w:val="000000"/>
                <w:sz w:val="20"/>
                <w:szCs w:val="20"/>
              </w:rPr>
              <w:t>.6</w:t>
            </w:r>
          </w:p>
        </w:tc>
        <w:tc>
          <w:tcPr>
            <w:tcW w:w="3060" w:type="dxa"/>
            <w:tcBorders>
              <w:top w:val="nil"/>
              <w:left w:val="nil"/>
              <w:bottom w:val="single" w:sz="4" w:space="0" w:color="auto"/>
              <w:right w:val="single" w:sz="4" w:space="0" w:color="auto"/>
            </w:tcBorders>
            <w:shd w:val="clear" w:color="auto" w:fill="auto"/>
            <w:noWrap/>
            <w:vAlign w:val="center"/>
            <w:hideMark/>
          </w:tcPr>
          <w:p w:rsidR="00093C0A" w:rsidRPr="00D7128A" w:rsidP="00167F64" w14:paraId="121285BB" w14:textId="77777777">
            <w:pPr>
              <w:keepNext/>
              <w:keepLine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D7128A" w:rsidR="00F468A8">
              <w:rPr>
                <w:rFonts w:ascii="Times New Roman" w:eastAsia="Times New Roman" w:hAnsi="Times New Roman" w:cs="Times New Roman"/>
                <w:color w:val="000000"/>
                <w:sz w:val="20"/>
                <w:szCs w:val="20"/>
              </w:rPr>
              <w:t>5</w:t>
            </w:r>
            <w:r w:rsidR="00CF7CD9">
              <w:rPr>
                <w:rFonts w:ascii="Times New Roman" w:eastAsia="Times New Roman" w:hAnsi="Times New Roman" w:cs="Times New Roman"/>
                <w:color w:val="000000"/>
                <w:sz w:val="20"/>
                <w:szCs w:val="20"/>
              </w:rPr>
              <w:t>.4</w:t>
            </w:r>
          </w:p>
        </w:tc>
        <w:tc>
          <w:tcPr>
            <w:tcW w:w="3240" w:type="dxa"/>
            <w:tcBorders>
              <w:top w:val="nil"/>
              <w:left w:val="single" w:sz="4" w:space="0" w:color="auto"/>
              <w:bottom w:val="single" w:sz="4" w:space="0" w:color="auto"/>
              <w:right w:val="single" w:sz="8" w:space="0" w:color="auto"/>
            </w:tcBorders>
            <w:shd w:val="clear" w:color="auto" w:fill="auto"/>
            <w:noWrap/>
            <w:vAlign w:val="center"/>
            <w:hideMark/>
          </w:tcPr>
          <w:p w:rsidR="00093C0A" w:rsidRPr="00D7128A" w:rsidP="00167F64" w14:paraId="6BA100F7"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1</w:t>
            </w:r>
            <w:r w:rsidR="0061775F">
              <w:rPr>
                <w:rFonts w:ascii="Times New Roman" w:eastAsia="Times New Roman" w:hAnsi="Times New Roman" w:cs="Times New Roman"/>
                <w:color w:val="000000"/>
                <w:sz w:val="20"/>
                <w:szCs w:val="20"/>
              </w:rPr>
              <w:t>.8</w:t>
            </w:r>
          </w:p>
        </w:tc>
      </w:tr>
      <w:tr w14:paraId="0758C90B" w14:textId="77777777" w:rsidTr="00AC453D">
        <w:tblPrEx>
          <w:tblW w:w="10070" w:type="dxa"/>
          <w:tblLook w:val="04A0"/>
        </w:tblPrEx>
        <w:trPr>
          <w:trHeight w:val="290"/>
        </w:trPr>
        <w:tc>
          <w:tcPr>
            <w:tcW w:w="793" w:type="dxa"/>
            <w:tcBorders>
              <w:top w:val="nil"/>
              <w:left w:val="single" w:sz="8" w:space="0" w:color="auto"/>
              <w:bottom w:val="single" w:sz="4" w:space="0" w:color="auto"/>
              <w:right w:val="single" w:sz="4" w:space="0" w:color="auto"/>
            </w:tcBorders>
            <w:shd w:val="clear" w:color="auto" w:fill="auto"/>
            <w:noWrap/>
            <w:vAlign w:val="center"/>
            <w:hideMark/>
          </w:tcPr>
          <w:p w:rsidR="00093C0A" w:rsidRPr="00D7128A" w:rsidP="00305374" w14:paraId="46A42017"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20-99</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C0A" w:rsidRPr="00D7128A" w:rsidP="00167F64" w14:paraId="216FFE1B" w14:textId="77777777">
            <w:pPr>
              <w:keepNext/>
              <w:keepLine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w:t>
            </w:r>
          </w:p>
        </w:tc>
        <w:tc>
          <w:tcPr>
            <w:tcW w:w="3060" w:type="dxa"/>
            <w:tcBorders>
              <w:top w:val="nil"/>
              <w:left w:val="nil"/>
              <w:bottom w:val="single" w:sz="4" w:space="0" w:color="auto"/>
              <w:right w:val="single" w:sz="4" w:space="0" w:color="auto"/>
            </w:tcBorders>
            <w:shd w:val="clear" w:color="auto" w:fill="auto"/>
            <w:noWrap/>
            <w:vAlign w:val="center"/>
            <w:hideMark/>
          </w:tcPr>
          <w:p w:rsidR="00013E43" w:rsidRPr="00D7128A" w:rsidP="00D947A3" w14:paraId="60740CED" w14:textId="77777777">
            <w:pPr>
              <w:keepNext/>
              <w:keepLine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CF7CD9">
              <w:rPr>
                <w:rFonts w:ascii="Times New Roman" w:eastAsia="Times New Roman" w:hAnsi="Times New Roman" w:cs="Times New Roman"/>
                <w:color w:val="000000"/>
                <w:sz w:val="20"/>
                <w:szCs w:val="20"/>
              </w:rPr>
              <w:t>.0</w:t>
            </w:r>
          </w:p>
        </w:tc>
        <w:tc>
          <w:tcPr>
            <w:tcW w:w="3240" w:type="dxa"/>
            <w:tcBorders>
              <w:top w:val="nil"/>
              <w:left w:val="single" w:sz="4" w:space="0" w:color="auto"/>
              <w:bottom w:val="single" w:sz="4" w:space="0" w:color="auto"/>
              <w:right w:val="single" w:sz="8" w:space="0" w:color="auto"/>
            </w:tcBorders>
            <w:shd w:val="clear" w:color="auto" w:fill="auto"/>
            <w:noWrap/>
            <w:vAlign w:val="center"/>
            <w:hideMark/>
          </w:tcPr>
          <w:p w:rsidR="00093C0A" w:rsidRPr="00D7128A" w:rsidP="00167F64" w14:paraId="5F20C600" w14:textId="77777777">
            <w:pPr>
              <w:keepNext/>
              <w:keepLines/>
              <w:spacing w:after="0" w:line="240" w:lineRule="auto"/>
              <w:jc w:val="center"/>
              <w:rPr>
                <w:rFonts w:ascii="Times New Roman" w:eastAsia="Times New Roman" w:hAnsi="Times New Roman" w:cs="Times New Roman"/>
                <w:color w:val="000000"/>
                <w:sz w:val="20"/>
                <w:szCs w:val="20"/>
              </w:rPr>
            </w:pPr>
            <w:r w:rsidRPr="00D7128A">
              <w:rPr>
                <w:rFonts w:ascii="Times New Roman" w:eastAsia="Times New Roman" w:hAnsi="Times New Roman" w:cs="Times New Roman"/>
                <w:color w:val="000000"/>
                <w:sz w:val="20"/>
                <w:szCs w:val="20"/>
              </w:rPr>
              <w:t>1</w:t>
            </w:r>
            <w:r w:rsidR="0061775F">
              <w:rPr>
                <w:rFonts w:ascii="Times New Roman" w:eastAsia="Times New Roman" w:hAnsi="Times New Roman" w:cs="Times New Roman"/>
                <w:color w:val="000000"/>
                <w:sz w:val="20"/>
                <w:szCs w:val="20"/>
              </w:rPr>
              <w:t>.2</w:t>
            </w:r>
          </w:p>
        </w:tc>
      </w:tr>
      <w:tr w14:paraId="3D1B7371" w14:textId="77777777" w:rsidTr="00AC453D">
        <w:tblPrEx>
          <w:tblW w:w="10070" w:type="dxa"/>
          <w:tblLook w:val="04A0"/>
        </w:tblPrEx>
        <w:trPr>
          <w:trHeight w:val="300"/>
        </w:trPr>
        <w:tc>
          <w:tcPr>
            <w:tcW w:w="793" w:type="dxa"/>
            <w:tcBorders>
              <w:top w:val="nil"/>
              <w:left w:val="single" w:sz="8" w:space="0" w:color="auto"/>
              <w:bottom w:val="single" w:sz="8" w:space="0" w:color="auto"/>
              <w:right w:val="single" w:sz="4" w:space="0" w:color="auto"/>
            </w:tcBorders>
            <w:shd w:val="clear" w:color="auto" w:fill="auto"/>
            <w:noWrap/>
            <w:vAlign w:val="center"/>
            <w:hideMark/>
          </w:tcPr>
          <w:p w:rsidR="00093C0A" w:rsidRPr="00D7128A" w:rsidP="00305374" w14:paraId="742552B5" w14:textId="77777777">
            <w:pPr>
              <w:keepNext/>
              <w:keepLines/>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100+</w:t>
            </w:r>
          </w:p>
        </w:tc>
        <w:tc>
          <w:tcPr>
            <w:tcW w:w="297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013E43" w:rsidRPr="00D7128A" w:rsidP="00D947A3" w14:paraId="56E2CDEF" w14:textId="77777777">
            <w:pPr>
              <w:keepNext/>
              <w:keepLine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r w:rsidR="00217C8F">
              <w:rPr>
                <w:rFonts w:ascii="Times New Roman" w:eastAsia="Times New Roman" w:hAnsi="Times New Roman" w:cs="Times New Roman"/>
                <w:color w:val="000000"/>
                <w:sz w:val="20"/>
                <w:szCs w:val="20"/>
              </w:rPr>
              <w:t>.2</w:t>
            </w:r>
          </w:p>
        </w:tc>
        <w:tc>
          <w:tcPr>
            <w:tcW w:w="3060" w:type="dxa"/>
            <w:tcBorders>
              <w:top w:val="nil"/>
              <w:left w:val="nil"/>
              <w:bottom w:val="single" w:sz="8" w:space="0" w:color="auto"/>
              <w:right w:val="single" w:sz="4" w:space="0" w:color="auto"/>
            </w:tcBorders>
            <w:shd w:val="clear" w:color="auto" w:fill="auto"/>
            <w:noWrap/>
            <w:vAlign w:val="center"/>
            <w:hideMark/>
          </w:tcPr>
          <w:p w:rsidR="00093C0A" w:rsidRPr="00D7128A" w:rsidP="00167F64" w14:paraId="56031E1E" w14:textId="77777777">
            <w:pPr>
              <w:keepNext/>
              <w:keepLine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r w:rsidR="00217C8F">
              <w:rPr>
                <w:rFonts w:ascii="Times New Roman" w:eastAsia="Times New Roman" w:hAnsi="Times New Roman" w:cs="Times New Roman"/>
                <w:color w:val="000000"/>
                <w:sz w:val="20"/>
                <w:szCs w:val="20"/>
              </w:rPr>
              <w:t>.0</w:t>
            </w:r>
          </w:p>
        </w:tc>
        <w:tc>
          <w:tcPr>
            <w:tcW w:w="3240" w:type="dxa"/>
            <w:tcBorders>
              <w:top w:val="nil"/>
              <w:left w:val="single" w:sz="4" w:space="0" w:color="auto"/>
              <w:bottom w:val="single" w:sz="8" w:space="0" w:color="auto"/>
              <w:right w:val="single" w:sz="8" w:space="0" w:color="auto"/>
            </w:tcBorders>
            <w:shd w:val="clear" w:color="auto" w:fill="auto"/>
            <w:noWrap/>
            <w:vAlign w:val="center"/>
            <w:hideMark/>
          </w:tcPr>
          <w:p w:rsidR="00093C0A" w:rsidRPr="00D7128A" w:rsidP="00167F64" w14:paraId="50A74C00" w14:textId="77777777">
            <w:pPr>
              <w:keepNext/>
              <w:keepLine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r>
    </w:tbl>
    <w:p w:rsidR="00093C0A" w:rsidRPr="00276BF3" w:rsidP="00587204" w14:paraId="61288EEA" w14:textId="77777777">
      <w:pPr>
        <w:spacing w:after="0" w:line="240" w:lineRule="auto"/>
        <w:rPr>
          <w:rFonts w:ascii="Times New Roman" w:eastAsia="Calibri" w:hAnsi="Times New Roman" w:cs="Times New Roman"/>
          <w:b/>
        </w:rPr>
      </w:pPr>
    </w:p>
    <w:p w:rsidR="00093C0A" w:rsidRPr="00660FA6" w:rsidP="00117F90" w14:paraId="6BFF912E" w14:textId="77777777">
      <w:pPr>
        <w:pStyle w:val="Heading4"/>
        <w:rPr>
          <w:rFonts w:ascii="Times New Roman" w:hAnsi="Times New Roman" w:cs="Times New Roman"/>
        </w:rPr>
      </w:pPr>
      <w:bookmarkStart w:id="102" w:name="_Toc141732918"/>
      <w:bookmarkStart w:id="103" w:name="_Toc141733129"/>
      <w:bookmarkStart w:id="104" w:name="_Toc142404033"/>
      <w:r w:rsidRPr="00276BF3">
        <w:rPr>
          <w:rFonts w:ascii="Times New Roman" w:hAnsi="Times New Roman" w:cs="Times New Roman"/>
          <w:color w:val="auto"/>
        </w:rPr>
        <w:t>3.</w:t>
      </w:r>
      <w:r w:rsidRPr="00276BF3" w:rsidR="00681F71">
        <w:rPr>
          <w:rFonts w:ascii="Times New Roman" w:hAnsi="Times New Roman" w:cs="Times New Roman"/>
          <w:color w:val="auto"/>
        </w:rPr>
        <w:t>1</w:t>
      </w:r>
      <w:r w:rsidRPr="00276BF3">
        <w:rPr>
          <w:rFonts w:ascii="Times New Roman" w:hAnsi="Times New Roman" w:cs="Times New Roman"/>
          <w:color w:val="auto"/>
        </w:rPr>
        <w:t>.</w:t>
      </w:r>
      <w:r w:rsidRPr="00276BF3" w:rsidR="00660FA6">
        <w:rPr>
          <w:rFonts w:ascii="Times New Roman" w:hAnsi="Times New Roman" w:cs="Times New Roman"/>
          <w:color w:val="auto"/>
        </w:rPr>
        <w:t>2.3</w:t>
      </w:r>
      <w:r w:rsidRPr="00276BF3">
        <w:rPr>
          <w:rFonts w:ascii="Times New Roman" w:hAnsi="Times New Roman" w:cs="Times New Roman"/>
          <w:color w:val="auto"/>
        </w:rPr>
        <w:t xml:space="preserve"> Universe Breakdown for Perimeter Monitors without Backup Power</w:t>
      </w:r>
      <w:bookmarkEnd w:id="102"/>
      <w:bookmarkEnd w:id="103"/>
      <w:bookmarkEnd w:id="104"/>
      <w:r w:rsidRPr="00276BF3">
        <w:rPr>
          <w:rFonts w:ascii="Times New Roman" w:hAnsi="Times New Roman" w:cs="Times New Roman"/>
          <w:color w:val="auto"/>
        </w:rPr>
        <w:t xml:space="preserve"> </w:t>
      </w:r>
    </w:p>
    <w:p w:rsidR="00093C0A" w:rsidRPr="00305374" w:rsidP="00305374" w14:paraId="46717A50" w14:textId="77777777">
      <w:pPr>
        <w:keepNext/>
        <w:spacing w:after="0" w:line="240" w:lineRule="auto"/>
        <w:ind w:firstLine="360"/>
        <w:rPr>
          <w:rFonts w:ascii="Times New Roman" w:hAnsi="Times New Roman" w:cs="Times New Roman"/>
        </w:rPr>
      </w:pPr>
      <w:r>
        <w:rPr>
          <w:rFonts w:ascii="Times New Roman" w:hAnsi="Times New Roman" w:cs="Times New Roman"/>
        </w:rPr>
        <w:tab/>
      </w:r>
      <w:r w:rsidRPr="00587204">
        <w:rPr>
          <w:rFonts w:ascii="Times New Roman" w:hAnsi="Times New Roman" w:cs="Times New Roman"/>
        </w:rPr>
        <w:t xml:space="preserve">The </w:t>
      </w:r>
      <w:r w:rsidRPr="00587204" w:rsidR="00DB2848">
        <w:rPr>
          <w:rFonts w:ascii="Times New Roman" w:hAnsi="Times New Roman" w:cs="Times New Roman"/>
        </w:rPr>
        <w:t>current</w:t>
      </w:r>
      <w:r w:rsidRPr="00587204">
        <w:rPr>
          <w:rFonts w:ascii="Times New Roman" w:hAnsi="Times New Roman" w:cs="Times New Roman"/>
        </w:rPr>
        <w:t xml:space="preserve"> RMP rule requires Program 2 facilities to perform a Hazard Review every </w:t>
      </w:r>
      <w:r w:rsidRPr="00587204" w:rsidR="006647B0">
        <w:rPr>
          <w:rFonts w:ascii="Times New Roman" w:hAnsi="Times New Roman" w:cs="Times New Roman"/>
        </w:rPr>
        <w:t>five years</w:t>
      </w:r>
      <w:r w:rsidRPr="00587204">
        <w:rPr>
          <w:rFonts w:ascii="Times New Roman" w:hAnsi="Times New Roman" w:cs="Times New Roman"/>
        </w:rPr>
        <w:t xml:space="preserve"> and Program 3 facilities to perform a more formal PHA </w:t>
      </w:r>
      <w:r w:rsidR="00C552F3">
        <w:rPr>
          <w:rFonts w:ascii="Times New Roman" w:hAnsi="Times New Roman" w:cs="Times New Roman"/>
        </w:rPr>
        <w:t>(relative to Program 2)</w:t>
      </w:r>
      <w:r w:rsidRPr="00587204">
        <w:rPr>
          <w:rFonts w:ascii="Times New Roman" w:hAnsi="Times New Roman" w:cs="Times New Roman"/>
        </w:rPr>
        <w:t xml:space="preserve"> every </w:t>
      </w:r>
      <w:r w:rsidRPr="00587204" w:rsidR="006647B0">
        <w:rPr>
          <w:rFonts w:ascii="Times New Roman" w:hAnsi="Times New Roman" w:cs="Times New Roman"/>
        </w:rPr>
        <w:t>five years</w:t>
      </w:r>
      <w:r w:rsidRPr="00587204">
        <w:rPr>
          <w:rFonts w:ascii="Times New Roman" w:hAnsi="Times New Roman" w:cs="Times New Roman"/>
        </w:rPr>
        <w:t xml:space="preserve">. EPA </w:t>
      </w:r>
      <w:r w:rsidR="00105291">
        <w:rPr>
          <w:rFonts w:ascii="Times New Roman" w:hAnsi="Times New Roman" w:cs="Times New Roman"/>
        </w:rPr>
        <w:t>is</w:t>
      </w:r>
      <w:r w:rsidRPr="00587204">
        <w:rPr>
          <w:rFonts w:ascii="Times New Roman" w:hAnsi="Times New Roman" w:cs="Times New Roman"/>
        </w:rPr>
        <w:t xml:space="preserve"> </w:t>
      </w:r>
      <w:r w:rsidRPr="00587204" w:rsidR="00B9217E">
        <w:rPr>
          <w:rFonts w:ascii="Times New Roman" w:hAnsi="Times New Roman" w:cs="Times New Roman"/>
        </w:rPr>
        <w:t>amplify</w:t>
      </w:r>
      <w:r w:rsidR="00105291">
        <w:rPr>
          <w:rFonts w:ascii="Times New Roman" w:hAnsi="Times New Roman" w:cs="Times New Roman"/>
        </w:rPr>
        <w:t>ing</w:t>
      </w:r>
      <w:r w:rsidRPr="00587204" w:rsidR="00B9217E">
        <w:rPr>
          <w:rFonts w:ascii="Times New Roman" w:hAnsi="Times New Roman" w:cs="Times New Roman"/>
        </w:rPr>
        <w:t xml:space="preserve"> power loss as a hazard in </w:t>
      </w:r>
      <w:r w:rsidR="00287D8E">
        <w:rPr>
          <w:rFonts w:ascii="Times New Roman" w:hAnsi="Times New Roman" w:cs="Times New Roman"/>
        </w:rPr>
        <w:t xml:space="preserve">the </w:t>
      </w:r>
      <w:r w:rsidRPr="00587204">
        <w:rPr>
          <w:rFonts w:ascii="Times New Roman" w:hAnsi="Times New Roman" w:cs="Times New Roman"/>
        </w:rPr>
        <w:t>regulatory text for PHAs/Hazard Review</w:t>
      </w:r>
      <w:r w:rsidRPr="00587204" w:rsidR="00B9217E">
        <w:rPr>
          <w:rFonts w:ascii="Times New Roman" w:hAnsi="Times New Roman" w:cs="Times New Roman"/>
        </w:rPr>
        <w:t>s.</w:t>
      </w:r>
      <w:r w:rsidRPr="00587204">
        <w:rPr>
          <w:rFonts w:ascii="Times New Roman" w:hAnsi="Times New Roman" w:cs="Times New Roman"/>
        </w:rPr>
        <w:t xml:space="preserve"> The </w:t>
      </w:r>
      <w:r w:rsidR="00105291">
        <w:rPr>
          <w:rFonts w:ascii="Times New Roman" w:hAnsi="Times New Roman" w:cs="Times New Roman"/>
        </w:rPr>
        <w:t>final</w:t>
      </w:r>
      <w:r w:rsidRPr="00587204" w:rsidR="00E14DCE">
        <w:rPr>
          <w:rFonts w:ascii="Times New Roman" w:hAnsi="Times New Roman" w:cs="Times New Roman"/>
        </w:rPr>
        <w:t xml:space="preserve"> </w:t>
      </w:r>
      <w:r w:rsidRPr="00587204" w:rsidR="00CD4A6C">
        <w:rPr>
          <w:rFonts w:ascii="Times New Roman" w:hAnsi="Times New Roman" w:cs="Times New Roman"/>
        </w:rPr>
        <w:t xml:space="preserve">rule </w:t>
      </w:r>
      <w:r w:rsidR="009449B7">
        <w:rPr>
          <w:rFonts w:ascii="Times New Roman" w:hAnsi="Times New Roman" w:cs="Times New Roman"/>
        </w:rPr>
        <w:t>will</w:t>
      </w:r>
      <w:r w:rsidRPr="00587204" w:rsidR="00CD4A6C">
        <w:rPr>
          <w:rFonts w:ascii="Times New Roman" w:hAnsi="Times New Roman" w:cs="Times New Roman"/>
        </w:rPr>
        <w:t xml:space="preserve"> </w:t>
      </w:r>
      <w:r w:rsidRPr="00587204">
        <w:rPr>
          <w:rFonts w:ascii="Times New Roman" w:hAnsi="Times New Roman" w:cs="Times New Roman"/>
        </w:rPr>
        <w:t>require</w:t>
      </w:r>
      <w:r w:rsidRPr="00587204" w:rsidR="00CD4A6C">
        <w:rPr>
          <w:rFonts w:ascii="Times New Roman" w:hAnsi="Times New Roman" w:cs="Times New Roman"/>
        </w:rPr>
        <w:t xml:space="preserve"> </w:t>
      </w:r>
      <w:r w:rsidRPr="00587204">
        <w:rPr>
          <w:rFonts w:ascii="Times New Roman" w:hAnsi="Times New Roman" w:cs="Times New Roman"/>
        </w:rPr>
        <w:t xml:space="preserve">facilities </w:t>
      </w:r>
      <w:r w:rsidRPr="00587204" w:rsidR="00CD4A6C">
        <w:rPr>
          <w:rFonts w:ascii="Times New Roman" w:hAnsi="Times New Roman" w:cs="Times New Roman"/>
        </w:rPr>
        <w:t xml:space="preserve">that already have installed perimeter monitors </w:t>
      </w:r>
      <w:r w:rsidR="00B56EA0">
        <w:rPr>
          <w:rFonts w:ascii="Times New Roman" w:hAnsi="Times New Roman" w:cs="Times New Roman"/>
        </w:rPr>
        <w:t xml:space="preserve">and have identified power loss as a major hazard </w:t>
      </w:r>
      <w:r w:rsidRPr="00587204" w:rsidR="003E11F2">
        <w:rPr>
          <w:rFonts w:ascii="Times New Roman" w:hAnsi="Times New Roman" w:cs="Times New Roman"/>
        </w:rPr>
        <w:t>but have not</w:t>
      </w:r>
      <w:r w:rsidRPr="00587204">
        <w:rPr>
          <w:rFonts w:ascii="Times New Roman" w:hAnsi="Times New Roman" w:cs="Times New Roman"/>
        </w:rPr>
        <w:t xml:space="preserve"> </w:t>
      </w:r>
      <w:r w:rsidRPr="00587204" w:rsidR="009775CF">
        <w:rPr>
          <w:rFonts w:ascii="Times New Roman" w:hAnsi="Times New Roman" w:cs="Times New Roman"/>
        </w:rPr>
        <w:t>install</w:t>
      </w:r>
      <w:r w:rsidRPr="00587204" w:rsidR="003E11F2">
        <w:rPr>
          <w:rFonts w:ascii="Times New Roman" w:hAnsi="Times New Roman" w:cs="Times New Roman"/>
        </w:rPr>
        <w:t>ed</w:t>
      </w:r>
      <w:r w:rsidRPr="00587204">
        <w:rPr>
          <w:rFonts w:ascii="Times New Roman" w:hAnsi="Times New Roman" w:cs="Times New Roman"/>
        </w:rPr>
        <w:t xml:space="preserve"> backup power</w:t>
      </w:r>
      <w:r w:rsidRPr="00587204" w:rsidR="00CD4A6C">
        <w:rPr>
          <w:rFonts w:ascii="Times New Roman" w:hAnsi="Times New Roman" w:cs="Times New Roman"/>
        </w:rPr>
        <w:t xml:space="preserve"> for the monitors</w:t>
      </w:r>
      <w:r w:rsidR="00622D03">
        <w:rPr>
          <w:rFonts w:ascii="Times New Roman" w:hAnsi="Times New Roman" w:cs="Times New Roman"/>
        </w:rPr>
        <w:t>,</w:t>
      </w:r>
      <w:r w:rsidRPr="00587204" w:rsidR="00CD4A6C">
        <w:rPr>
          <w:rFonts w:ascii="Times New Roman" w:hAnsi="Times New Roman" w:cs="Times New Roman"/>
        </w:rPr>
        <w:t xml:space="preserve"> </w:t>
      </w:r>
      <w:r w:rsidRPr="00587204" w:rsidR="003E11F2">
        <w:rPr>
          <w:rFonts w:ascii="Times New Roman" w:hAnsi="Times New Roman" w:cs="Times New Roman"/>
        </w:rPr>
        <w:t>to add</w:t>
      </w:r>
      <w:r w:rsidRPr="00587204" w:rsidR="00CD4A6C">
        <w:rPr>
          <w:rFonts w:ascii="Times New Roman" w:hAnsi="Times New Roman" w:cs="Times New Roman"/>
        </w:rPr>
        <w:t xml:space="preserve"> backup power.</w:t>
      </w:r>
      <w:r w:rsidRPr="00587204">
        <w:rPr>
          <w:rFonts w:ascii="Times New Roman" w:hAnsi="Times New Roman" w:cs="Times New Roman"/>
        </w:rPr>
        <w:t xml:space="preserve"> Exhibit 3-</w:t>
      </w:r>
      <w:r w:rsidR="009231DD">
        <w:rPr>
          <w:rFonts w:ascii="Times New Roman" w:hAnsi="Times New Roman" w:cs="Times New Roman"/>
        </w:rPr>
        <w:t>10</w:t>
      </w:r>
      <w:r w:rsidRPr="00587204">
        <w:rPr>
          <w:rFonts w:ascii="Times New Roman" w:hAnsi="Times New Roman" w:cs="Times New Roman"/>
        </w:rPr>
        <w:t xml:space="preserve"> provides the number</w:t>
      </w:r>
      <w:r w:rsidRPr="00587204" w:rsidR="003E11F2">
        <w:rPr>
          <w:rFonts w:ascii="Times New Roman" w:hAnsi="Times New Roman" w:cs="Times New Roman"/>
        </w:rPr>
        <w:t>s</w:t>
      </w:r>
      <w:r w:rsidRPr="00587204">
        <w:rPr>
          <w:rFonts w:ascii="Times New Roman" w:hAnsi="Times New Roman" w:cs="Times New Roman"/>
        </w:rPr>
        <w:t xml:space="preserve"> of </w:t>
      </w:r>
      <w:r w:rsidRPr="00587204" w:rsidR="003E11F2">
        <w:rPr>
          <w:rFonts w:ascii="Times New Roman" w:hAnsi="Times New Roman" w:cs="Times New Roman"/>
        </w:rPr>
        <w:t xml:space="preserve">those </w:t>
      </w:r>
      <w:r w:rsidRPr="00587204">
        <w:rPr>
          <w:rFonts w:ascii="Times New Roman" w:hAnsi="Times New Roman" w:cs="Times New Roman"/>
        </w:rPr>
        <w:t>facilities</w:t>
      </w:r>
      <w:r w:rsidRPr="00587204" w:rsidR="003E11F2">
        <w:rPr>
          <w:rFonts w:ascii="Times New Roman" w:hAnsi="Times New Roman" w:cs="Times New Roman"/>
        </w:rPr>
        <w:t>.</w:t>
      </w:r>
    </w:p>
    <w:p w:rsidR="004D2ED0" w:rsidP="00587204" w14:paraId="0A6E186C" w14:textId="77777777">
      <w:pPr>
        <w:spacing w:after="0" w:line="240" w:lineRule="auto"/>
        <w:ind w:firstLine="720"/>
        <w:rPr>
          <w:rFonts w:ascii="Times New Roman" w:hAnsi="Times New Roman" w:cs="Times New Roman"/>
        </w:rPr>
      </w:pPr>
    </w:p>
    <w:p w:rsidR="00305374" w:rsidRPr="00305374" w:rsidP="00305374" w14:paraId="3CAB940B" w14:textId="77777777">
      <w:pPr>
        <w:pStyle w:val="Caption"/>
        <w:jc w:val="center"/>
        <w:rPr>
          <w:rFonts w:ascii="Times New Roman" w:eastAsia="Calibri" w:hAnsi="Times New Roman" w:cs="Times New Roman"/>
          <w:b/>
          <w:bCs/>
          <w:i w:val="0"/>
          <w:iCs w:val="0"/>
          <w:color w:val="auto"/>
          <w:sz w:val="22"/>
          <w:szCs w:val="22"/>
        </w:rPr>
      </w:pPr>
      <w:r w:rsidRPr="00305374">
        <w:rPr>
          <w:rFonts w:ascii="Times New Roman" w:hAnsi="Times New Roman" w:cs="Times New Roman"/>
          <w:b/>
          <w:bCs/>
          <w:i w:val="0"/>
          <w:iCs w:val="0"/>
          <w:color w:val="auto"/>
          <w:sz w:val="22"/>
          <w:szCs w:val="22"/>
        </w:rPr>
        <w:t xml:space="preserve">Exhibit </w:t>
      </w:r>
      <w:r w:rsidRPr="00305374">
        <w:rPr>
          <w:rFonts w:ascii="Times New Roman" w:eastAsia="Calibri" w:hAnsi="Times New Roman" w:cs="Times New Roman"/>
          <w:b/>
          <w:bCs/>
          <w:i w:val="0"/>
          <w:iCs w:val="0"/>
          <w:color w:val="auto"/>
          <w:sz w:val="22"/>
          <w:szCs w:val="22"/>
        </w:rPr>
        <w:t>3-</w:t>
      </w:r>
      <w:r w:rsidR="00D3523B">
        <w:rPr>
          <w:rFonts w:ascii="Times New Roman" w:eastAsia="Calibri" w:hAnsi="Times New Roman" w:cs="Times New Roman"/>
          <w:b/>
          <w:bCs/>
          <w:i w:val="0"/>
          <w:iCs w:val="0"/>
          <w:color w:val="auto"/>
          <w:sz w:val="22"/>
          <w:szCs w:val="22"/>
        </w:rPr>
        <w:t>10</w:t>
      </w:r>
      <w:r w:rsidRPr="00305374">
        <w:rPr>
          <w:rFonts w:ascii="Times New Roman" w:eastAsia="Calibri" w:hAnsi="Times New Roman" w:cs="Times New Roman"/>
          <w:b/>
          <w:bCs/>
          <w:i w:val="0"/>
          <w:iCs w:val="0"/>
          <w:color w:val="auto"/>
          <w:sz w:val="22"/>
          <w:szCs w:val="22"/>
        </w:rPr>
        <w:t>: Facilities Requiring Backup Power for Perimeter Monitors by Program Level.</w:t>
      </w:r>
    </w:p>
    <w:tbl>
      <w:tblPr>
        <w:tblW w:w="4040" w:type="dxa"/>
        <w:jc w:val="center"/>
        <w:tblLook w:val="04A0"/>
      </w:tblPr>
      <w:tblGrid>
        <w:gridCol w:w="1880"/>
        <w:gridCol w:w="2160"/>
      </w:tblGrid>
      <w:tr w14:paraId="7CDF8F1B" w14:textId="77777777" w:rsidTr="00305374">
        <w:tblPrEx>
          <w:tblW w:w="4040" w:type="dxa"/>
          <w:jc w:val="center"/>
          <w:tblLook w:val="04A0"/>
        </w:tblPrEx>
        <w:trPr>
          <w:trHeight w:val="327"/>
          <w:jc w:val="center"/>
        </w:trPr>
        <w:tc>
          <w:tcPr>
            <w:tcW w:w="1880" w:type="dxa"/>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hideMark/>
          </w:tcPr>
          <w:p w:rsidR="00093C0A" w:rsidRPr="00587204" w:rsidP="00305374" w14:paraId="1D5B354D" w14:textId="77777777">
            <w:pPr>
              <w:keepNext/>
              <w:spacing w:after="0" w:line="240" w:lineRule="auto"/>
              <w:jc w:val="center"/>
              <w:rPr>
                <w:rFonts w:ascii="Times New Roman" w:hAnsi="Times New Roman" w:cs="Times New Roman"/>
                <w:b/>
                <w:color w:val="000000"/>
              </w:rPr>
            </w:pPr>
            <w:r w:rsidRPr="00587204">
              <w:rPr>
                <w:rFonts w:ascii="Times New Roman" w:hAnsi="Times New Roman" w:cs="Times New Roman"/>
                <w:b/>
                <w:color w:val="000000"/>
              </w:rPr>
              <w:t>Program Level</w:t>
            </w:r>
          </w:p>
        </w:tc>
        <w:tc>
          <w:tcPr>
            <w:tcW w:w="2160" w:type="dxa"/>
            <w:tcBorders>
              <w:top w:val="single" w:sz="4" w:space="0" w:color="auto"/>
              <w:left w:val="single" w:sz="4" w:space="0" w:color="auto"/>
              <w:bottom w:val="nil"/>
              <w:right w:val="single" w:sz="4" w:space="0" w:color="auto"/>
            </w:tcBorders>
            <w:shd w:val="clear" w:color="auto" w:fill="D0CECE" w:themeFill="background2" w:themeFillShade="E6"/>
            <w:noWrap/>
            <w:vAlign w:val="center"/>
            <w:hideMark/>
          </w:tcPr>
          <w:p w:rsidR="00093C0A" w:rsidRPr="00587204" w:rsidP="00305374" w14:paraId="4F189381" w14:textId="77777777">
            <w:pPr>
              <w:keepNext/>
              <w:spacing w:after="0" w:line="240" w:lineRule="auto"/>
              <w:jc w:val="center"/>
              <w:rPr>
                <w:rFonts w:ascii="Times New Roman" w:hAnsi="Times New Roman" w:cs="Times New Roman"/>
                <w:b/>
                <w:color w:val="000000"/>
              </w:rPr>
            </w:pPr>
            <w:r w:rsidRPr="00587204">
              <w:rPr>
                <w:rFonts w:ascii="Times New Roman" w:hAnsi="Times New Roman" w:cs="Times New Roman"/>
                <w:b/>
                <w:color w:val="000000"/>
              </w:rPr>
              <w:t>Number of Facilities</w:t>
            </w:r>
          </w:p>
        </w:tc>
      </w:tr>
      <w:tr w14:paraId="24A5F604" w14:textId="77777777" w:rsidTr="00305374">
        <w:tblPrEx>
          <w:tblW w:w="4040" w:type="dxa"/>
          <w:jc w:val="center"/>
          <w:tblLook w:val="04A0"/>
        </w:tblPrEx>
        <w:trPr>
          <w:trHeight w:val="327"/>
          <w:jc w:val="center"/>
        </w:trPr>
        <w:tc>
          <w:tcPr>
            <w:tcW w:w="1880" w:type="dxa"/>
            <w:tcBorders>
              <w:top w:val="nil"/>
              <w:left w:val="single" w:sz="8" w:space="0" w:color="auto"/>
              <w:bottom w:val="single" w:sz="4" w:space="0" w:color="auto"/>
              <w:right w:val="nil"/>
            </w:tcBorders>
            <w:shd w:val="clear" w:color="auto" w:fill="auto"/>
            <w:noWrap/>
            <w:vAlign w:val="center"/>
            <w:hideMark/>
          </w:tcPr>
          <w:p w:rsidR="00093C0A" w:rsidRPr="00587204" w:rsidP="00167F64" w14:paraId="2781F772" w14:textId="77777777">
            <w:pPr>
              <w:keepNext/>
              <w:spacing w:after="0" w:line="240" w:lineRule="auto"/>
              <w:jc w:val="center"/>
              <w:rPr>
                <w:rFonts w:ascii="Times New Roman" w:eastAsia="Times New Roman" w:hAnsi="Times New Roman" w:cs="Times New Roman"/>
                <w:color w:val="000000"/>
              </w:rPr>
            </w:pPr>
            <w:r w:rsidRPr="00587204">
              <w:rPr>
                <w:rFonts w:ascii="Times New Roman" w:eastAsia="Times New Roman" w:hAnsi="Times New Roman" w:cs="Times New Roman"/>
                <w:color w:val="000000"/>
              </w:rPr>
              <w:t>P2</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C0A" w:rsidRPr="00587204" w:rsidP="00167F64" w14:paraId="3FFE94F9" w14:textId="77777777">
            <w:pPr>
              <w:keepNext/>
              <w:spacing w:after="0" w:line="240" w:lineRule="auto"/>
              <w:jc w:val="center"/>
              <w:rPr>
                <w:rFonts w:ascii="Times New Roman" w:eastAsia="Times New Roman" w:hAnsi="Times New Roman" w:cs="Times New Roman"/>
                <w:color w:val="000000"/>
              </w:rPr>
            </w:pPr>
            <w:r w:rsidRPr="00587204">
              <w:rPr>
                <w:rFonts w:ascii="Times New Roman" w:eastAsia="Times New Roman" w:hAnsi="Times New Roman" w:cs="Times New Roman"/>
                <w:color w:val="000000"/>
              </w:rPr>
              <w:t>18</w:t>
            </w:r>
          </w:p>
        </w:tc>
      </w:tr>
      <w:tr w14:paraId="7BEE87F7" w14:textId="77777777" w:rsidTr="00305374">
        <w:tblPrEx>
          <w:tblW w:w="4040" w:type="dxa"/>
          <w:jc w:val="center"/>
          <w:tblLook w:val="04A0"/>
        </w:tblPrEx>
        <w:trPr>
          <w:trHeight w:val="327"/>
          <w:jc w:val="center"/>
        </w:trPr>
        <w:tc>
          <w:tcPr>
            <w:tcW w:w="1880" w:type="dxa"/>
            <w:tcBorders>
              <w:top w:val="nil"/>
              <w:left w:val="single" w:sz="8" w:space="0" w:color="auto"/>
              <w:bottom w:val="single" w:sz="4" w:space="0" w:color="auto"/>
              <w:right w:val="nil"/>
            </w:tcBorders>
            <w:shd w:val="clear" w:color="auto" w:fill="auto"/>
            <w:noWrap/>
            <w:vAlign w:val="center"/>
            <w:hideMark/>
          </w:tcPr>
          <w:p w:rsidR="00093C0A" w:rsidRPr="00587204" w:rsidP="00167F64" w14:paraId="0DDBBDF7" w14:textId="77777777">
            <w:pPr>
              <w:keepNext/>
              <w:spacing w:after="0" w:line="240" w:lineRule="auto"/>
              <w:jc w:val="center"/>
              <w:rPr>
                <w:rFonts w:ascii="Times New Roman" w:eastAsia="Times New Roman" w:hAnsi="Times New Roman" w:cs="Times New Roman"/>
                <w:color w:val="000000"/>
              </w:rPr>
            </w:pPr>
            <w:r w:rsidRPr="00587204">
              <w:rPr>
                <w:rFonts w:ascii="Times New Roman" w:eastAsia="Times New Roman" w:hAnsi="Times New Roman" w:cs="Times New Roman"/>
                <w:color w:val="000000"/>
              </w:rPr>
              <w:t>P3</w:t>
            </w: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093C0A" w:rsidRPr="00587204" w:rsidP="00167F64" w14:paraId="42135D49" w14:textId="77777777">
            <w:pPr>
              <w:keepNext/>
              <w:spacing w:after="0" w:line="240" w:lineRule="auto"/>
              <w:jc w:val="center"/>
              <w:rPr>
                <w:rFonts w:ascii="Times New Roman" w:eastAsia="Times New Roman" w:hAnsi="Times New Roman" w:cs="Times New Roman"/>
                <w:color w:val="000000"/>
              </w:rPr>
            </w:pPr>
            <w:r w:rsidRPr="00587204">
              <w:rPr>
                <w:rFonts w:ascii="Times New Roman" w:eastAsia="Times New Roman" w:hAnsi="Times New Roman" w:cs="Times New Roman"/>
                <w:color w:val="000000"/>
              </w:rPr>
              <w:t>374</w:t>
            </w:r>
          </w:p>
        </w:tc>
      </w:tr>
    </w:tbl>
    <w:p w:rsidR="00093C0A" w:rsidRPr="00587204" w:rsidP="00587204" w14:paraId="08E315C1" w14:textId="77777777">
      <w:pPr>
        <w:spacing w:after="0" w:line="240" w:lineRule="auto"/>
        <w:rPr>
          <w:rFonts w:ascii="Times New Roman" w:eastAsia="Calibri" w:hAnsi="Times New Roman" w:cs="Times New Roman"/>
          <w:b/>
        </w:rPr>
      </w:pPr>
    </w:p>
    <w:p w:rsidR="00093C0A" w:rsidRPr="00F83137" w:rsidP="00F83137" w14:paraId="0AC64CE1" w14:textId="77777777">
      <w:pPr>
        <w:pStyle w:val="Heading3"/>
        <w:rPr>
          <w:rFonts w:ascii="Times New Roman" w:hAnsi="Times New Roman" w:cs="Times New Roman"/>
        </w:rPr>
      </w:pPr>
      <w:bookmarkStart w:id="105" w:name="_Toc98856210"/>
      <w:bookmarkStart w:id="106" w:name="_Toc144213840"/>
      <w:bookmarkStart w:id="107" w:name="_Toc144283585"/>
      <w:bookmarkStart w:id="108" w:name="_Toc144303523"/>
      <w:r w:rsidRPr="00F83137">
        <w:rPr>
          <w:rFonts w:ascii="Times New Roman" w:hAnsi="Times New Roman" w:cs="Times New Roman"/>
        </w:rPr>
        <w:t>3.</w:t>
      </w:r>
      <w:r w:rsidRPr="00F83137" w:rsidR="00681F71">
        <w:rPr>
          <w:rFonts w:ascii="Times New Roman" w:hAnsi="Times New Roman" w:cs="Times New Roman"/>
        </w:rPr>
        <w:t>1</w:t>
      </w:r>
      <w:r w:rsidRPr="00F83137">
        <w:rPr>
          <w:rFonts w:ascii="Times New Roman" w:hAnsi="Times New Roman" w:cs="Times New Roman"/>
        </w:rPr>
        <w:t>.3 Government Entities Affected by the Rule</w:t>
      </w:r>
      <w:bookmarkEnd w:id="105"/>
      <w:bookmarkEnd w:id="106"/>
      <w:bookmarkEnd w:id="107"/>
      <w:bookmarkEnd w:id="108"/>
    </w:p>
    <w:p w:rsidR="00093C0A" w:rsidP="00305374" w14:paraId="74801D51" w14:textId="77777777">
      <w:pPr>
        <w:spacing w:after="0" w:line="240" w:lineRule="auto"/>
        <w:ind w:firstLine="360"/>
        <w:rPr>
          <w:rFonts w:ascii="Times New Roman" w:hAnsi="Times New Roman" w:cs="Times New Roman"/>
        </w:rPr>
      </w:pPr>
      <w:r>
        <w:rPr>
          <w:rFonts w:ascii="Times New Roman" w:hAnsi="Times New Roman" w:cs="Times New Roman"/>
        </w:rPr>
        <w:tab/>
      </w:r>
      <w:r w:rsidRPr="00587204">
        <w:rPr>
          <w:rFonts w:ascii="Times New Roman" w:hAnsi="Times New Roman" w:cs="Times New Roman"/>
        </w:rPr>
        <w:t xml:space="preserve">The </w:t>
      </w:r>
      <w:r w:rsidR="005237A5">
        <w:rPr>
          <w:rFonts w:ascii="Times New Roman" w:hAnsi="Times New Roman" w:cs="Times New Roman"/>
        </w:rPr>
        <w:t>final</w:t>
      </w:r>
      <w:r w:rsidRPr="00587204">
        <w:rPr>
          <w:rFonts w:ascii="Times New Roman" w:hAnsi="Times New Roman" w:cs="Times New Roman"/>
        </w:rPr>
        <w:t xml:space="preserve"> rule </w:t>
      </w:r>
      <w:r w:rsidR="009449B7">
        <w:rPr>
          <w:rFonts w:ascii="Times New Roman" w:hAnsi="Times New Roman" w:cs="Times New Roman"/>
        </w:rPr>
        <w:t>will</w:t>
      </w:r>
      <w:r w:rsidRPr="00587204">
        <w:rPr>
          <w:rFonts w:ascii="Times New Roman" w:hAnsi="Times New Roman" w:cs="Times New Roman"/>
        </w:rPr>
        <w:t xml:space="preserve"> affect State and local government entities including entities that own RMP facilities</w:t>
      </w:r>
      <w:r w:rsidR="00A006B8">
        <w:rPr>
          <w:rFonts w:ascii="Times New Roman" w:hAnsi="Times New Roman" w:cs="Times New Roman"/>
        </w:rPr>
        <w:t xml:space="preserve"> and</w:t>
      </w:r>
      <w:r w:rsidRPr="00587204">
        <w:rPr>
          <w:rFonts w:ascii="Times New Roman" w:hAnsi="Times New Roman" w:cs="Times New Roman"/>
        </w:rPr>
        <w:t xml:space="preserve"> 2,473 LEPCs and 13 State</w:t>
      </w:r>
      <w:r w:rsidR="0029356B">
        <w:rPr>
          <w:rFonts w:ascii="Times New Roman" w:hAnsi="Times New Roman" w:cs="Times New Roman"/>
        </w:rPr>
        <w:t xml:space="preserve">- </w:t>
      </w:r>
      <w:r w:rsidR="00DB66F4">
        <w:rPr>
          <w:rFonts w:ascii="Times New Roman" w:hAnsi="Times New Roman" w:cs="Times New Roman"/>
        </w:rPr>
        <w:t>and</w:t>
      </w:r>
      <w:r w:rsidR="00901C72">
        <w:rPr>
          <w:rFonts w:ascii="Times New Roman" w:hAnsi="Times New Roman" w:cs="Times New Roman"/>
        </w:rPr>
        <w:t xml:space="preserve"> count</w:t>
      </w:r>
      <w:r w:rsidR="0029356B">
        <w:rPr>
          <w:rFonts w:ascii="Times New Roman" w:hAnsi="Times New Roman" w:cs="Times New Roman"/>
        </w:rPr>
        <w:t>y-</w:t>
      </w:r>
      <w:r w:rsidRPr="00587204">
        <w:rPr>
          <w:rFonts w:ascii="Times New Roman" w:hAnsi="Times New Roman" w:cs="Times New Roman"/>
        </w:rPr>
        <w:t xml:space="preserve">delegated implementing agencies. The </w:t>
      </w:r>
      <w:r w:rsidR="005237A5">
        <w:rPr>
          <w:rFonts w:ascii="Times New Roman" w:hAnsi="Times New Roman" w:cs="Times New Roman"/>
        </w:rPr>
        <w:t>final</w:t>
      </w:r>
      <w:r w:rsidRPr="00587204">
        <w:rPr>
          <w:rFonts w:ascii="Times New Roman" w:hAnsi="Times New Roman" w:cs="Times New Roman"/>
        </w:rPr>
        <w:t xml:space="preserve"> rule </w:t>
      </w:r>
      <w:r w:rsidR="009449B7">
        <w:rPr>
          <w:rFonts w:ascii="Times New Roman" w:hAnsi="Times New Roman" w:cs="Times New Roman"/>
        </w:rPr>
        <w:t>will</w:t>
      </w:r>
      <w:r w:rsidRPr="00587204">
        <w:rPr>
          <w:rFonts w:ascii="Times New Roman" w:hAnsi="Times New Roman" w:cs="Times New Roman"/>
        </w:rPr>
        <w:t xml:space="preserve"> impose both direct and indirect costs. Direct costs are associated with activities required by RMP facilities owned by government entities. Indirect costs are associated with 1) RMP facilities owned by government entities, LEPCs, and </w:t>
      </w:r>
      <w:r w:rsidRPr="00587204" w:rsidR="00357B5B">
        <w:rPr>
          <w:rFonts w:ascii="Times New Roman" w:hAnsi="Times New Roman" w:cs="Times New Roman"/>
        </w:rPr>
        <w:t>delegated</w:t>
      </w:r>
      <w:r w:rsidRPr="00587204">
        <w:rPr>
          <w:rFonts w:ascii="Times New Roman" w:hAnsi="Times New Roman" w:cs="Times New Roman"/>
        </w:rPr>
        <w:t xml:space="preserve"> implementing agencies reviewing the </w:t>
      </w:r>
      <w:r w:rsidR="00C61D76">
        <w:rPr>
          <w:rFonts w:ascii="Times New Roman" w:hAnsi="Times New Roman" w:cs="Times New Roman"/>
        </w:rPr>
        <w:t>final</w:t>
      </w:r>
      <w:r w:rsidRPr="00587204" w:rsidR="00C61D76">
        <w:rPr>
          <w:rFonts w:ascii="Times New Roman" w:hAnsi="Times New Roman" w:cs="Times New Roman"/>
        </w:rPr>
        <w:t xml:space="preserve"> </w:t>
      </w:r>
      <w:r w:rsidRPr="00587204">
        <w:rPr>
          <w:rFonts w:ascii="Times New Roman" w:hAnsi="Times New Roman" w:cs="Times New Roman"/>
        </w:rPr>
        <w:t>rule</w:t>
      </w:r>
      <w:r w:rsidR="00287D8E">
        <w:rPr>
          <w:rFonts w:ascii="Times New Roman" w:hAnsi="Times New Roman" w:cs="Times New Roman"/>
        </w:rPr>
        <w:t>,</w:t>
      </w:r>
      <w:r w:rsidRPr="00587204">
        <w:rPr>
          <w:rFonts w:ascii="Times New Roman" w:hAnsi="Times New Roman" w:cs="Times New Roman"/>
        </w:rPr>
        <w:t xml:space="preserve"> and 2) LEPCs coordinating with </w:t>
      </w:r>
      <w:r w:rsidRPr="00587204" w:rsidR="009C40FF">
        <w:rPr>
          <w:rFonts w:ascii="Times New Roman" w:hAnsi="Times New Roman" w:cs="Times New Roman"/>
        </w:rPr>
        <w:t>facilities</w:t>
      </w:r>
      <w:r w:rsidR="00882EC0">
        <w:rPr>
          <w:rFonts w:ascii="Times New Roman" w:hAnsi="Times New Roman" w:cs="Times New Roman"/>
        </w:rPr>
        <w:t xml:space="preserve"> regarding community notifications</w:t>
      </w:r>
      <w:r w:rsidRPr="00587204">
        <w:rPr>
          <w:rFonts w:ascii="Times New Roman" w:hAnsi="Times New Roman" w:cs="Times New Roman"/>
        </w:rPr>
        <w:t xml:space="preserve">. </w:t>
      </w:r>
    </w:p>
    <w:p w:rsidR="00BA064B" w:rsidP="00305374" w14:paraId="71F19480" w14:textId="77777777">
      <w:pPr>
        <w:spacing w:after="0" w:line="240" w:lineRule="auto"/>
        <w:ind w:firstLine="360"/>
        <w:rPr>
          <w:rFonts w:ascii="Times New Roman" w:hAnsi="Times New Roman" w:cs="Times New Roman"/>
        </w:rPr>
      </w:pPr>
    </w:p>
    <w:p w:rsidR="00093C0A" w:rsidRPr="00305374" w:rsidP="00305374" w14:paraId="5BDAD7E0" w14:textId="77777777">
      <w:pPr>
        <w:spacing w:after="0" w:line="240" w:lineRule="auto"/>
        <w:ind w:firstLine="360"/>
        <w:rPr>
          <w:rFonts w:ascii="Times New Roman" w:hAnsi="Times New Roman" w:cs="Times New Roman"/>
        </w:rPr>
      </w:pPr>
      <w:r>
        <w:rPr>
          <w:rFonts w:ascii="Times New Roman" w:eastAsia="Calibri" w:hAnsi="Times New Roman" w:cs="Times New Roman"/>
        </w:rPr>
        <w:tab/>
      </w:r>
      <w:r w:rsidRPr="00587204">
        <w:rPr>
          <w:rFonts w:ascii="Times New Roman" w:eastAsia="Calibri" w:hAnsi="Times New Roman" w:cs="Times New Roman"/>
        </w:rPr>
        <w:t xml:space="preserve">Most </w:t>
      </w:r>
      <w:r w:rsidR="009957B1">
        <w:rPr>
          <w:rFonts w:ascii="Times New Roman" w:eastAsia="Calibri" w:hAnsi="Times New Roman" w:cs="Times New Roman"/>
        </w:rPr>
        <w:t>government-owned</w:t>
      </w:r>
      <w:r w:rsidRPr="00587204">
        <w:rPr>
          <w:rFonts w:ascii="Times New Roman" w:eastAsia="Calibri" w:hAnsi="Times New Roman" w:cs="Times New Roman"/>
        </w:rPr>
        <w:t xml:space="preserve"> facilities</w:t>
      </w:r>
      <w:r w:rsidR="009957B1">
        <w:rPr>
          <w:rFonts w:ascii="Times New Roman" w:eastAsia="Calibri" w:hAnsi="Times New Roman" w:cs="Times New Roman"/>
        </w:rPr>
        <w:t xml:space="preserve"> affected</w:t>
      </w:r>
      <w:r w:rsidRPr="00587204">
        <w:rPr>
          <w:rFonts w:ascii="Times New Roman" w:eastAsia="Calibri" w:hAnsi="Times New Roman" w:cs="Times New Roman"/>
        </w:rPr>
        <w:t xml:space="preserve"> are water or wastewater treatment facilities, but some large swimming pools </w:t>
      </w:r>
      <w:r w:rsidR="009449B7">
        <w:rPr>
          <w:rFonts w:ascii="Times New Roman" w:eastAsia="Calibri" w:hAnsi="Times New Roman" w:cs="Times New Roman"/>
        </w:rPr>
        <w:t>will</w:t>
      </w:r>
      <w:r w:rsidRPr="00587204">
        <w:rPr>
          <w:rFonts w:ascii="Times New Roman" w:eastAsia="Calibri" w:hAnsi="Times New Roman" w:cs="Times New Roman"/>
        </w:rPr>
        <w:t xml:space="preserve"> be covered as well. Most of the government entities are cities, but the universe includes larger special districts (e.g., the Metropolitan Water District of Southern California) as well as some </w:t>
      </w:r>
      <w:r w:rsidRPr="00587204" w:rsidR="001D6BF6">
        <w:rPr>
          <w:rFonts w:ascii="Times New Roman" w:eastAsia="Calibri" w:hAnsi="Times New Roman" w:cs="Times New Roman"/>
        </w:rPr>
        <w:t>F</w:t>
      </w:r>
      <w:r w:rsidRPr="00587204">
        <w:rPr>
          <w:rFonts w:ascii="Times New Roman" w:eastAsia="Calibri" w:hAnsi="Times New Roman" w:cs="Times New Roman"/>
        </w:rPr>
        <w:t xml:space="preserve">ederal facilities. Of the 1,111 government entities directly affected, 905 have one RMP facility, 125 have two RMP facilities, 43 have 3 facilities, 19 have 4 facilities, and 19 have 5 or more. Not all facilities </w:t>
      </w:r>
      <w:r w:rsidR="008E1F9E">
        <w:rPr>
          <w:rFonts w:ascii="Times New Roman" w:eastAsia="Calibri" w:hAnsi="Times New Roman" w:cs="Times New Roman"/>
        </w:rPr>
        <w:t>owned by</w:t>
      </w:r>
      <w:r w:rsidRPr="00587204">
        <w:rPr>
          <w:rFonts w:ascii="Times New Roman" w:eastAsia="Calibri" w:hAnsi="Times New Roman" w:cs="Times New Roman"/>
        </w:rPr>
        <w:t xml:space="preserve"> a government entity are located in the entity</w:t>
      </w:r>
      <w:r w:rsidRPr="00587204" w:rsidR="0051061F">
        <w:rPr>
          <w:rFonts w:ascii="Times New Roman" w:eastAsia="Calibri" w:hAnsi="Times New Roman" w:cs="Times New Roman"/>
        </w:rPr>
        <w:t>’s geographic region</w:t>
      </w:r>
      <w:r w:rsidRPr="00587204">
        <w:rPr>
          <w:rFonts w:ascii="Times New Roman" w:eastAsia="Calibri" w:hAnsi="Times New Roman" w:cs="Times New Roman"/>
        </w:rPr>
        <w:t xml:space="preserve">. There are fewer than 1,200 “parent” </w:t>
      </w:r>
      <w:r w:rsidRPr="00587204" w:rsidR="0003075F">
        <w:rPr>
          <w:rFonts w:ascii="Times New Roman" w:eastAsia="Calibri" w:hAnsi="Times New Roman" w:cs="Times New Roman"/>
        </w:rPr>
        <w:t>entitie</w:t>
      </w:r>
      <w:r w:rsidRPr="00587204">
        <w:rPr>
          <w:rFonts w:ascii="Times New Roman" w:eastAsia="Calibri" w:hAnsi="Times New Roman" w:cs="Times New Roman"/>
        </w:rPr>
        <w:t>s listed for publicly</w:t>
      </w:r>
      <w:r w:rsidR="00690F4F">
        <w:rPr>
          <w:rFonts w:ascii="Times New Roman" w:eastAsia="Calibri" w:hAnsi="Times New Roman" w:cs="Times New Roman"/>
        </w:rPr>
        <w:t>-</w:t>
      </w:r>
      <w:r w:rsidRPr="00587204">
        <w:rPr>
          <w:rFonts w:ascii="Times New Roman" w:eastAsia="Calibri" w:hAnsi="Times New Roman" w:cs="Times New Roman"/>
        </w:rPr>
        <w:t xml:space="preserve">owned systems. Because facilities do not always list the owner or </w:t>
      </w:r>
      <w:r w:rsidRPr="00587204" w:rsidR="00E604BC">
        <w:rPr>
          <w:rFonts w:ascii="Times New Roman" w:eastAsia="Calibri" w:hAnsi="Times New Roman" w:cs="Times New Roman"/>
        </w:rPr>
        <w:t xml:space="preserve">they </w:t>
      </w:r>
      <w:r w:rsidRPr="00587204">
        <w:rPr>
          <w:rFonts w:ascii="Times New Roman" w:eastAsia="Calibri" w:hAnsi="Times New Roman" w:cs="Times New Roman"/>
        </w:rPr>
        <w:t xml:space="preserve">list variations of the owner’s name, it is not possible to develop an accurate estimate of the number of public entities affected by the rule. </w:t>
      </w:r>
      <w:r w:rsidR="001928E0">
        <w:rPr>
          <w:rFonts w:ascii="Times New Roman" w:eastAsia="Calibri" w:hAnsi="Times New Roman" w:cs="Times New Roman"/>
        </w:rPr>
        <w:t>H</w:t>
      </w:r>
      <w:r w:rsidRPr="00587204">
        <w:rPr>
          <w:rFonts w:ascii="Times New Roman" w:eastAsia="Calibri" w:hAnsi="Times New Roman" w:cs="Times New Roman"/>
        </w:rPr>
        <w:t xml:space="preserve">owever, </w:t>
      </w:r>
      <w:r w:rsidR="001928E0">
        <w:rPr>
          <w:rFonts w:ascii="Times New Roman" w:eastAsia="Calibri" w:hAnsi="Times New Roman" w:cs="Times New Roman"/>
        </w:rPr>
        <w:t>clearly</w:t>
      </w:r>
      <w:r w:rsidR="00004E23">
        <w:rPr>
          <w:rFonts w:ascii="Times New Roman" w:eastAsia="Calibri" w:hAnsi="Times New Roman" w:cs="Times New Roman"/>
        </w:rPr>
        <w:t>,</w:t>
      </w:r>
      <w:r w:rsidR="001928E0">
        <w:rPr>
          <w:rFonts w:ascii="Times New Roman" w:eastAsia="Calibri" w:hAnsi="Times New Roman" w:cs="Times New Roman"/>
        </w:rPr>
        <w:t xml:space="preserve"> </w:t>
      </w:r>
      <w:r w:rsidRPr="00587204">
        <w:rPr>
          <w:rFonts w:ascii="Times New Roman" w:eastAsia="Calibri" w:hAnsi="Times New Roman" w:cs="Times New Roman"/>
        </w:rPr>
        <w:t xml:space="preserve">some larger cities and counties have </w:t>
      </w:r>
      <w:r w:rsidR="007C03CF">
        <w:rPr>
          <w:rFonts w:ascii="Times New Roman" w:eastAsia="Calibri" w:hAnsi="Times New Roman" w:cs="Times New Roman"/>
        </w:rPr>
        <w:t>many</w:t>
      </w:r>
      <w:r w:rsidRPr="00587204">
        <w:rPr>
          <w:rFonts w:ascii="Times New Roman" w:eastAsia="Calibri" w:hAnsi="Times New Roman" w:cs="Times New Roman"/>
        </w:rPr>
        <w:t xml:space="preserve"> facilities. For example, the City of El Paso, Texas</w:t>
      </w:r>
      <w:r w:rsidRPr="00587204" w:rsidR="0003075F">
        <w:rPr>
          <w:rFonts w:ascii="Times New Roman" w:eastAsia="Calibri" w:hAnsi="Times New Roman" w:cs="Times New Roman"/>
        </w:rPr>
        <w:t>,</w:t>
      </w:r>
      <w:r w:rsidRPr="00587204">
        <w:rPr>
          <w:rFonts w:ascii="Times New Roman" w:eastAsia="Calibri" w:hAnsi="Times New Roman" w:cs="Times New Roman"/>
        </w:rPr>
        <w:t xml:space="preserve"> owns and operates at least 16 facilities. </w:t>
      </w:r>
    </w:p>
    <w:p w:rsidR="00C57989" w:rsidRPr="00BF42A8" w:rsidP="00C57989" w14:paraId="7598A36F" w14:textId="77777777">
      <w:pPr>
        <w:spacing w:after="0" w:line="240" w:lineRule="auto"/>
        <w:ind w:firstLine="360"/>
        <w:rPr>
          <w:rFonts w:ascii="Times New Roman" w:hAnsi="Times New Roman" w:cs="Times New Roman"/>
        </w:rPr>
      </w:pPr>
    </w:p>
    <w:p w:rsidR="00C57989" w:rsidRPr="00BF42A8" w:rsidP="00C07306" w14:paraId="7BC2CB36" w14:textId="77777777">
      <w:pPr>
        <w:pStyle w:val="Heading2"/>
      </w:pPr>
      <w:bookmarkStart w:id="109" w:name="_Toc144303524"/>
      <w:r>
        <w:t>3.</w:t>
      </w:r>
      <w:r w:rsidR="00EC2D22">
        <w:t>2</w:t>
      </w:r>
      <w:r>
        <w:t xml:space="preserve"> </w:t>
      </w:r>
      <w:r w:rsidRPr="00BF42A8">
        <w:t>Number and Costs of Baseline Accidents</w:t>
      </w:r>
      <w:bookmarkEnd w:id="109"/>
    </w:p>
    <w:p w:rsidR="00C57989" w:rsidP="00C57989" w14:paraId="7AFADA6A" w14:textId="1C5BC226">
      <w:pPr>
        <w:spacing w:after="0" w:line="240" w:lineRule="auto"/>
        <w:ind w:firstLine="720"/>
        <w:rPr>
          <w:rFonts w:ascii="Times New Roman" w:hAnsi="Times New Roman" w:cs="Times New Roman"/>
        </w:rPr>
      </w:pPr>
      <w:r w:rsidRPr="00BF42A8">
        <w:rPr>
          <w:rFonts w:ascii="Times New Roman" w:hAnsi="Times New Roman" w:cs="Times New Roman"/>
        </w:rPr>
        <w:t xml:space="preserve">Owners or operators of facilities subject to the RMP rule must submit </w:t>
      </w:r>
      <w:r w:rsidR="007C4349">
        <w:rPr>
          <w:rFonts w:ascii="Times New Roman" w:hAnsi="Times New Roman" w:cs="Times New Roman"/>
        </w:rPr>
        <w:t>certain</w:t>
      </w:r>
      <w:r w:rsidRPr="00BF42A8">
        <w:rPr>
          <w:rFonts w:ascii="Times New Roman" w:hAnsi="Times New Roman" w:cs="Times New Roman"/>
        </w:rPr>
        <w:t xml:space="preserve"> information on accidents that occurred over the previous five years if they </w:t>
      </w:r>
      <w:r>
        <w:rPr>
          <w:rFonts w:ascii="Times New Roman" w:hAnsi="Times New Roman" w:cs="Times New Roman"/>
        </w:rPr>
        <w:t>resulted in</w:t>
      </w:r>
      <w:r w:rsidRPr="00BF42A8">
        <w:rPr>
          <w:rFonts w:ascii="Times New Roman" w:hAnsi="Times New Roman" w:cs="Times New Roman"/>
        </w:rPr>
        <w:t xml:space="preserve"> onsite or offsite deaths, injuries, or property damage, or if they led to an evacuation, shelter-in-place event, or offsite environmental damage. </w:t>
      </w:r>
      <w:r w:rsidR="00E24109">
        <w:rPr>
          <w:rFonts w:ascii="Times New Roman" w:hAnsi="Times New Roman" w:cs="Times New Roman"/>
        </w:rPr>
        <w:t xml:space="preserve">Due to a lack of alternative </w:t>
      </w:r>
      <w:r w:rsidR="006A6977">
        <w:rPr>
          <w:rFonts w:ascii="Times New Roman" w:hAnsi="Times New Roman" w:cs="Times New Roman"/>
        </w:rPr>
        <w:t>data describing accident impacts more</w:t>
      </w:r>
      <w:r w:rsidR="00E24109">
        <w:rPr>
          <w:rFonts w:ascii="Times New Roman" w:hAnsi="Times New Roman" w:cs="Times New Roman"/>
        </w:rPr>
        <w:t xml:space="preserve"> comprehensive</w:t>
      </w:r>
      <w:r w:rsidR="006A6977">
        <w:rPr>
          <w:rFonts w:ascii="Times New Roman" w:hAnsi="Times New Roman" w:cs="Times New Roman"/>
        </w:rPr>
        <w:t xml:space="preserve">ly, </w:t>
      </w:r>
      <w:r w:rsidRPr="00BF42A8">
        <w:rPr>
          <w:rFonts w:ascii="Times New Roman" w:hAnsi="Times New Roman" w:cs="Times New Roman"/>
        </w:rPr>
        <w:t>EPA reviewed the</w:t>
      </w:r>
      <w:r w:rsidR="006A6977">
        <w:rPr>
          <w:rFonts w:ascii="Times New Roman" w:hAnsi="Times New Roman" w:cs="Times New Roman"/>
        </w:rPr>
        <w:t xml:space="preserve"> impacts</w:t>
      </w:r>
      <w:r w:rsidRPr="00BF42A8">
        <w:rPr>
          <w:rFonts w:ascii="Times New Roman" w:hAnsi="Times New Roman" w:cs="Times New Roman"/>
        </w:rPr>
        <w:t xml:space="preserve"> reported </w:t>
      </w:r>
      <w:r w:rsidR="006A6977">
        <w:rPr>
          <w:rFonts w:ascii="Times New Roman" w:hAnsi="Times New Roman" w:cs="Times New Roman"/>
        </w:rPr>
        <w:t xml:space="preserve">to the RMP facility database </w:t>
      </w:r>
      <w:r w:rsidR="00B71E5F">
        <w:rPr>
          <w:rFonts w:ascii="Times New Roman" w:hAnsi="Times New Roman" w:cs="Times New Roman"/>
        </w:rPr>
        <w:t xml:space="preserve"> for</w:t>
      </w:r>
      <w:r w:rsidRPr="00BF42A8">
        <w:rPr>
          <w:rFonts w:ascii="Times New Roman" w:hAnsi="Times New Roman" w:cs="Times New Roman"/>
        </w:rPr>
        <w:t xml:space="preserve"> accidents during 2016 through 2020 (the last year with complete data) to </w:t>
      </w:r>
      <w:r w:rsidR="00004E23">
        <w:rPr>
          <w:rFonts w:ascii="Times New Roman" w:hAnsi="Times New Roman" w:cs="Times New Roman"/>
        </w:rPr>
        <w:t>develop</w:t>
      </w:r>
      <w:r w:rsidRPr="00BF42A8">
        <w:rPr>
          <w:rFonts w:ascii="Times New Roman" w:hAnsi="Times New Roman" w:cs="Times New Roman"/>
        </w:rPr>
        <w:t xml:space="preserve"> baseline </w:t>
      </w:r>
      <w:r w:rsidR="00B71E5F">
        <w:rPr>
          <w:rFonts w:ascii="Times New Roman" w:hAnsi="Times New Roman" w:cs="Times New Roman"/>
        </w:rPr>
        <w:t xml:space="preserve">accident cost </w:t>
      </w:r>
      <w:r w:rsidRPr="00BF42A8">
        <w:rPr>
          <w:rFonts w:ascii="Times New Roman" w:hAnsi="Times New Roman" w:cs="Times New Roman"/>
        </w:rPr>
        <w:t>information.</w:t>
      </w:r>
      <w:r>
        <w:rPr>
          <w:rStyle w:val="FootnoteReference"/>
          <w:rFonts w:ascii="Times New Roman" w:hAnsi="Times New Roman" w:cs="Times New Roman"/>
        </w:rPr>
        <w:footnoteReference w:id="32"/>
      </w:r>
      <w:r w:rsidRPr="00BF42A8">
        <w:rPr>
          <w:rFonts w:ascii="Times New Roman" w:hAnsi="Times New Roman" w:cs="Times New Roman"/>
        </w:rPr>
        <w:t xml:space="preserve"> This five-year period was chosen to reflect the most recent trends regarding RMP accidents. </w:t>
      </w:r>
    </w:p>
    <w:p w:rsidR="00C57989" w:rsidP="00C57989" w14:paraId="049A01D5" w14:textId="77777777">
      <w:pPr>
        <w:spacing w:after="0" w:line="240" w:lineRule="auto"/>
        <w:ind w:firstLine="360"/>
        <w:rPr>
          <w:rFonts w:ascii="Times New Roman" w:hAnsi="Times New Roman" w:cs="Times New Roman"/>
        </w:rPr>
      </w:pPr>
    </w:p>
    <w:p w:rsidR="00C57989" w:rsidP="00C57989" w14:paraId="2344FC75" w14:textId="180B5CBD">
      <w:pPr>
        <w:spacing w:after="0" w:line="240" w:lineRule="auto"/>
        <w:ind w:firstLine="360"/>
        <w:rPr>
          <w:rFonts w:ascii="Times New Roman" w:hAnsi="Times New Roman" w:cs="Times New Roman"/>
        </w:rPr>
      </w:pPr>
      <w:r>
        <w:rPr>
          <w:rFonts w:ascii="Times New Roman" w:hAnsi="Times New Roman" w:cs="Times New Roman"/>
        </w:rPr>
        <w:t xml:space="preserve">As a representation of baseline accident impacts and costs, these data are less than complete. </w:t>
      </w:r>
      <w:r w:rsidR="00D877E8">
        <w:rPr>
          <w:rFonts w:ascii="Times New Roman" w:hAnsi="Times New Roman" w:cs="Times New Roman"/>
        </w:rPr>
        <w:t xml:space="preserve">Many accident </w:t>
      </w:r>
      <w:r w:rsidR="00E01B5F">
        <w:rPr>
          <w:rFonts w:ascii="Times New Roman" w:hAnsi="Times New Roman" w:cs="Times New Roman"/>
        </w:rPr>
        <w:t>costs</w:t>
      </w:r>
      <w:r w:rsidR="00D877E8">
        <w:rPr>
          <w:rFonts w:ascii="Times New Roman" w:hAnsi="Times New Roman" w:cs="Times New Roman"/>
        </w:rPr>
        <w:t xml:space="preserve"> are not required to be reported and thus are not reflected in the data. These are discussed in detail in </w:t>
      </w:r>
      <w:r w:rsidR="00411BE2">
        <w:rPr>
          <w:rFonts w:ascii="Times New Roman" w:hAnsi="Times New Roman" w:cs="Times New Roman"/>
        </w:rPr>
        <w:t>C</w:t>
      </w:r>
      <w:r w:rsidR="00D877E8">
        <w:rPr>
          <w:rFonts w:ascii="Times New Roman" w:hAnsi="Times New Roman" w:cs="Times New Roman"/>
        </w:rPr>
        <w:t>hapter 6 and include</w:t>
      </w:r>
      <w:r w:rsidRPr="00E01B5F" w:rsidR="00E01B5F">
        <w:rPr>
          <w:rFonts w:ascii="Times New Roman" w:hAnsi="Times New Roman" w:cs="Times New Roman"/>
        </w:rPr>
        <w:t xml:space="preserve"> </w:t>
      </w:r>
      <w:r w:rsidR="00E01B5F">
        <w:rPr>
          <w:rFonts w:ascii="Times New Roman" w:hAnsi="Times New Roman" w:cs="Times New Roman"/>
        </w:rPr>
        <w:t xml:space="preserve">responder costs, transaction costs, property value reductions, unmonetized costs of evacuations and sheltering-in-place, the costs of potential health </w:t>
      </w:r>
      <w:r w:rsidR="008B1319">
        <w:rPr>
          <w:rFonts w:ascii="Times New Roman" w:hAnsi="Times New Roman" w:cs="Times New Roman"/>
        </w:rPr>
        <w:t>risks from exposure to toxic chemicals</w:t>
      </w:r>
      <w:r w:rsidR="00E01B5F">
        <w:rPr>
          <w:rFonts w:ascii="Times New Roman" w:hAnsi="Times New Roman" w:cs="Times New Roman"/>
        </w:rPr>
        <w:t>, and productivity losses</w:t>
      </w:r>
      <w:r w:rsidR="00AD60B9">
        <w:rPr>
          <w:rFonts w:ascii="Times New Roman" w:hAnsi="Times New Roman" w:cs="Times New Roman"/>
        </w:rPr>
        <w:t>, among others.</w:t>
      </w:r>
      <w:r w:rsidR="00D877E8">
        <w:rPr>
          <w:rFonts w:ascii="Times New Roman" w:hAnsi="Times New Roman" w:cs="Times New Roman"/>
        </w:rPr>
        <w:t xml:space="preserve"> </w:t>
      </w:r>
      <w:r w:rsidR="00AD60B9">
        <w:rPr>
          <w:rFonts w:ascii="Times New Roman" w:hAnsi="Times New Roman" w:cs="Times New Roman"/>
        </w:rPr>
        <w:t>In addition, s</w:t>
      </w:r>
      <w:r w:rsidRPr="00BF42A8" w:rsidR="00827144">
        <w:rPr>
          <w:rFonts w:ascii="Times New Roman" w:hAnsi="Times New Roman" w:cs="Times New Roman"/>
        </w:rPr>
        <w:t>ome</w:t>
      </w:r>
      <w:r w:rsidRPr="00BF42A8" w:rsidR="00D809CA">
        <w:rPr>
          <w:rFonts w:ascii="Times New Roman" w:hAnsi="Times New Roman" w:cs="Times New Roman"/>
        </w:rPr>
        <w:t xml:space="preserve"> </w:t>
      </w:r>
      <w:r w:rsidRPr="00BF42A8" w:rsidR="00827144">
        <w:rPr>
          <w:rFonts w:ascii="Times New Roman" w:hAnsi="Times New Roman" w:cs="Times New Roman"/>
        </w:rPr>
        <w:t>accidents that occurred at RMP facilities during the five-year period were not reported to EPA because the facility</w:t>
      </w:r>
      <w:r w:rsidR="00004E23">
        <w:rPr>
          <w:rFonts w:ascii="Times New Roman" w:hAnsi="Times New Roman" w:cs="Times New Roman"/>
        </w:rPr>
        <w:t xml:space="preserve"> either</w:t>
      </w:r>
      <w:r w:rsidRPr="00BF42A8" w:rsidR="00827144">
        <w:rPr>
          <w:rFonts w:ascii="Times New Roman" w:hAnsi="Times New Roman" w:cs="Times New Roman"/>
        </w:rPr>
        <w:t xml:space="preserve"> closed </w:t>
      </w:r>
      <w:r w:rsidR="00004E23">
        <w:rPr>
          <w:rFonts w:ascii="Times New Roman" w:hAnsi="Times New Roman" w:cs="Times New Roman"/>
        </w:rPr>
        <w:t xml:space="preserve">after </w:t>
      </w:r>
      <w:r w:rsidRPr="00BF42A8" w:rsidR="00827144">
        <w:rPr>
          <w:rFonts w:ascii="Times New Roman" w:hAnsi="Times New Roman" w:cs="Times New Roman"/>
        </w:rPr>
        <w:t xml:space="preserve">the accident, decommissioned the process, or removed the regulated substance from the process involved in the accident before it was required to submit a report to the RMP Database. For example, </w:t>
      </w:r>
      <w:r w:rsidR="00004E23">
        <w:rPr>
          <w:rFonts w:ascii="Times New Roman" w:hAnsi="Times New Roman" w:cs="Times New Roman"/>
        </w:rPr>
        <w:t xml:space="preserve">the </w:t>
      </w:r>
      <w:r w:rsidRPr="00BF42A8" w:rsidR="00827144">
        <w:rPr>
          <w:rFonts w:ascii="Times New Roman" w:hAnsi="Times New Roman" w:cs="Times New Roman"/>
        </w:rPr>
        <w:t>Philadelphia Energy Solutions Refining and Marketing LLC facility in Philadelphia, PA had a fire and explosions in the PES Girard Point refinery HF alkylation unit on June 21, 2019, which resulted in the release of HF.</w:t>
      </w:r>
      <w:r>
        <w:rPr>
          <w:rStyle w:val="FootnoteReference"/>
          <w:rFonts w:ascii="Times New Roman" w:hAnsi="Times New Roman" w:cs="Times New Roman"/>
        </w:rPr>
        <w:footnoteReference w:id="33"/>
      </w:r>
      <w:r w:rsidRPr="00BF42A8" w:rsidR="00827144">
        <w:rPr>
          <w:rFonts w:ascii="Times New Roman" w:hAnsi="Times New Roman" w:cs="Times New Roman"/>
        </w:rPr>
        <w:t xml:space="preserve"> This facility deregistered the affected process before the deadline for their subsequent RMP report</w:t>
      </w:r>
      <w:r w:rsidR="00EB016F">
        <w:rPr>
          <w:rFonts w:ascii="Times New Roman" w:hAnsi="Times New Roman" w:cs="Times New Roman"/>
        </w:rPr>
        <w:t>.</w:t>
      </w:r>
      <w:r w:rsidRPr="00BF42A8" w:rsidR="00827144">
        <w:rPr>
          <w:rFonts w:ascii="Times New Roman" w:hAnsi="Times New Roman" w:cs="Times New Roman"/>
        </w:rPr>
        <w:t xml:space="preserve"> Due to the omission of such accidents</w:t>
      </w:r>
      <w:r w:rsidR="0027361C">
        <w:rPr>
          <w:rFonts w:ascii="Times New Roman" w:hAnsi="Times New Roman" w:cs="Times New Roman"/>
        </w:rPr>
        <w:t xml:space="preserve"> and </w:t>
      </w:r>
      <w:r w:rsidR="00806FB3">
        <w:rPr>
          <w:rFonts w:ascii="Times New Roman" w:hAnsi="Times New Roman" w:cs="Times New Roman"/>
        </w:rPr>
        <w:t xml:space="preserve">the </w:t>
      </w:r>
      <w:r w:rsidR="0027361C">
        <w:rPr>
          <w:rFonts w:ascii="Times New Roman" w:hAnsi="Times New Roman" w:cs="Times New Roman"/>
        </w:rPr>
        <w:t xml:space="preserve">omission of </w:t>
      </w:r>
      <w:r w:rsidR="00806FB3">
        <w:rPr>
          <w:rFonts w:ascii="Times New Roman" w:hAnsi="Times New Roman" w:cs="Times New Roman"/>
        </w:rPr>
        <w:t>the cost</w:t>
      </w:r>
      <w:r w:rsidR="0027361C">
        <w:rPr>
          <w:rFonts w:ascii="Times New Roman" w:hAnsi="Times New Roman" w:cs="Times New Roman"/>
        </w:rPr>
        <w:t xml:space="preserve"> categories</w:t>
      </w:r>
      <w:r w:rsidR="00806FB3">
        <w:rPr>
          <w:rFonts w:ascii="Times New Roman" w:hAnsi="Times New Roman" w:cs="Times New Roman"/>
        </w:rPr>
        <w:t xml:space="preserve"> listed in the beginning of this paragraph</w:t>
      </w:r>
      <w:r w:rsidRPr="00BF42A8" w:rsidR="00827144">
        <w:rPr>
          <w:rFonts w:ascii="Times New Roman" w:hAnsi="Times New Roman" w:cs="Times New Roman"/>
        </w:rPr>
        <w:t>, the five-year baseline may under-represent the number and magnitude of RMP chemical accidents.</w:t>
      </w:r>
      <w:r w:rsidR="00806FB3">
        <w:rPr>
          <w:rFonts w:ascii="Times New Roman" w:hAnsi="Times New Roman" w:cs="Times New Roman"/>
        </w:rPr>
        <w:t xml:space="preserve"> </w:t>
      </w:r>
    </w:p>
    <w:p w:rsidR="00C57989" w:rsidP="00C57989" w14:paraId="2895D133" w14:textId="77777777">
      <w:pPr>
        <w:spacing w:after="0" w:line="240" w:lineRule="auto"/>
        <w:ind w:firstLine="360"/>
        <w:rPr>
          <w:rFonts w:ascii="Times New Roman" w:hAnsi="Times New Roman" w:cs="Times New Roman"/>
        </w:rPr>
      </w:pPr>
    </w:p>
    <w:p w:rsidR="00C57989" w:rsidP="00C57989" w14:paraId="168749F4"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The RMP accident database contains information on the initiating event and contributing factors for each accident. </w:t>
      </w:r>
      <w:r w:rsidR="00397A61">
        <w:rPr>
          <w:rFonts w:ascii="Times New Roman" w:hAnsi="Times New Roman" w:cs="Times New Roman"/>
        </w:rPr>
        <w:t xml:space="preserve">The </w:t>
      </w:r>
      <w:r w:rsidR="004C5983">
        <w:rPr>
          <w:rFonts w:ascii="Times New Roman" w:hAnsi="Times New Roman" w:cs="Times New Roman"/>
        </w:rPr>
        <w:t xml:space="preserve">accident </w:t>
      </w:r>
      <w:r w:rsidR="00E20E54">
        <w:rPr>
          <w:rFonts w:ascii="Times New Roman" w:hAnsi="Times New Roman" w:cs="Times New Roman"/>
        </w:rPr>
        <w:t xml:space="preserve">reporting </w:t>
      </w:r>
      <w:r w:rsidR="00397A61">
        <w:rPr>
          <w:rFonts w:ascii="Times New Roman" w:hAnsi="Times New Roman" w:cs="Times New Roman"/>
        </w:rPr>
        <w:t xml:space="preserve">instructions </w:t>
      </w:r>
      <w:r w:rsidR="00206F63">
        <w:rPr>
          <w:rFonts w:ascii="Times New Roman" w:hAnsi="Times New Roman" w:cs="Times New Roman"/>
        </w:rPr>
        <w:t>are that t</w:t>
      </w:r>
      <w:r w:rsidRPr="00BF42A8">
        <w:rPr>
          <w:rFonts w:ascii="Times New Roman" w:hAnsi="Times New Roman" w:cs="Times New Roman"/>
        </w:rPr>
        <w:t xml:space="preserve">he impacts reported should be attributable to, or resulting from, direct exposure to toxic concentrations, radiant heat, or overpressures from accidental releases or from indirect consequences of a vapor cloud explosion from the accidental release. EPA reviewed RMP-reportable accidents based on industry </w:t>
      </w:r>
      <w:r>
        <w:rPr>
          <w:rFonts w:ascii="Times New Roman" w:hAnsi="Times New Roman" w:cs="Times New Roman"/>
        </w:rPr>
        <w:t>information</w:t>
      </w:r>
      <w:r w:rsidRPr="00BF42A8">
        <w:rPr>
          <w:rFonts w:ascii="Times New Roman" w:hAnsi="Times New Roman" w:cs="Times New Roman"/>
        </w:rPr>
        <w:t xml:space="preserve"> and other resources, such as reports by the CSB, to attempt to ensure that only impacts attributable to the release of a regulated substance were included</w:t>
      </w:r>
      <w:r w:rsidR="00831382">
        <w:rPr>
          <w:rFonts w:ascii="Times New Roman" w:hAnsi="Times New Roman" w:cs="Times New Roman"/>
        </w:rPr>
        <w:t xml:space="preserve"> in the analysis</w:t>
      </w:r>
      <w:r w:rsidR="00F851DC">
        <w:rPr>
          <w:rFonts w:ascii="Times New Roman" w:hAnsi="Times New Roman" w:cs="Times New Roman"/>
        </w:rPr>
        <w:t xml:space="preserve"> of baseline damages</w:t>
      </w:r>
      <w:r w:rsidRPr="00BF42A8">
        <w:rPr>
          <w:rFonts w:ascii="Times New Roman" w:hAnsi="Times New Roman" w:cs="Times New Roman"/>
        </w:rPr>
        <w:t xml:space="preserve">. </w:t>
      </w:r>
    </w:p>
    <w:p w:rsidR="00FC0619" w:rsidP="00C57989" w14:paraId="5F2CC07F" w14:textId="77777777">
      <w:pPr>
        <w:spacing w:after="0" w:line="240" w:lineRule="auto"/>
        <w:ind w:firstLine="360"/>
        <w:rPr>
          <w:rFonts w:ascii="Times New Roman" w:hAnsi="Times New Roman" w:cs="Times New Roman"/>
        </w:rPr>
      </w:pPr>
    </w:p>
    <w:p w:rsidR="00FC0619" w:rsidRPr="00761EC7" w:rsidP="00F83137" w14:paraId="52E1C471" w14:textId="77777777">
      <w:pPr>
        <w:pStyle w:val="Heading3"/>
        <w:rPr>
          <w:rFonts w:ascii="Times New Roman" w:hAnsi="Times New Roman" w:cs="Times New Roman"/>
        </w:rPr>
      </w:pPr>
      <w:bookmarkStart w:id="110" w:name="_Toc144213842"/>
      <w:bookmarkStart w:id="111" w:name="_Toc144283587"/>
      <w:bookmarkStart w:id="112" w:name="_Toc144303525"/>
      <w:bookmarkStart w:id="113" w:name="_Hlk152141566"/>
      <w:r w:rsidRPr="00F83137">
        <w:rPr>
          <w:rFonts w:ascii="Times New Roman" w:hAnsi="Times New Roman" w:cs="Times New Roman"/>
          <w:sz w:val="22"/>
          <w:szCs w:val="22"/>
        </w:rPr>
        <w:t>3.</w:t>
      </w:r>
      <w:r w:rsidR="00EC2D22">
        <w:rPr>
          <w:rFonts w:ascii="Times New Roman" w:hAnsi="Times New Roman" w:cs="Times New Roman"/>
          <w:sz w:val="22"/>
          <w:szCs w:val="22"/>
        </w:rPr>
        <w:t>2.1</w:t>
      </w:r>
      <w:r w:rsidRPr="00F83137">
        <w:rPr>
          <w:rFonts w:ascii="Times New Roman" w:hAnsi="Times New Roman" w:cs="Times New Roman"/>
          <w:sz w:val="22"/>
          <w:szCs w:val="22"/>
        </w:rPr>
        <w:t xml:space="preserve"> Two Damage Cases</w:t>
      </w:r>
      <w:bookmarkEnd w:id="110"/>
      <w:bookmarkEnd w:id="111"/>
      <w:bookmarkEnd w:id="112"/>
    </w:p>
    <w:p w:rsidR="006C7DAF" w:rsidP="006421B2" w14:paraId="3A3A0A01" w14:textId="77777777">
      <w:pPr>
        <w:spacing w:line="240" w:lineRule="auto"/>
        <w:rPr>
          <w:rFonts w:ascii="Times New Roman" w:eastAsia="Times New Roman" w:hAnsi="Times New Roman" w:cs="Times New Roman"/>
        </w:rPr>
      </w:pPr>
      <w:r w:rsidRPr="003678FE">
        <w:rPr>
          <w:rFonts w:ascii="Times New Roman" w:eastAsia="Times New Roman" w:hAnsi="Times New Roman" w:cs="Times New Roman"/>
        </w:rPr>
        <w:t xml:space="preserve">To illustrate the nature of damages from accidents at RMP facilities, this section describes the impacts of two recent </w:t>
      </w:r>
      <w:r>
        <w:rPr>
          <w:rFonts w:ascii="Times New Roman" w:eastAsia="Times New Roman" w:hAnsi="Times New Roman" w:cs="Times New Roman"/>
        </w:rPr>
        <w:t>RMP-</w:t>
      </w:r>
      <w:r w:rsidRPr="003678FE">
        <w:rPr>
          <w:rFonts w:ascii="Times New Roman" w:eastAsia="Times New Roman" w:hAnsi="Times New Roman" w:cs="Times New Roman"/>
        </w:rPr>
        <w:t xml:space="preserve">reportable accidents. To compile the following descriptions, EPA reviewed a variety of sources including media reports and final </w:t>
      </w:r>
      <w:r>
        <w:rPr>
          <w:rFonts w:ascii="Times New Roman" w:eastAsia="Times New Roman" w:hAnsi="Times New Roman" w:cs="Times New Roman"/>
        </w:rPr>
        <w:t>U.S CSB</w:t>
      </w:r>
      <w:r w:rsidRPr="003678FE">
        <w:rPr>
          <w:rFonts w:ascii="Times New Roman" w:eastAsia="Times New Roman" w:hAnsi="Times New Roman" w:cs="Times New Roman"/>
        </w:rPr>
        <w:t xml:space="preserve"> reports. </w:t>
      </w:r>
    </w:p>
    <w:p w:rsidR="006C7DAF" w14:paraId="5F9E91DE" w14:textId="77777777">
      <w:pPr>
        <w:rPr>
          <w:rFonts w:ascii="Times New Roman" w:eastAsia="Times New Roman" w:hAnsi="Times New Roman" w:cs="Times New Roman"/>
        </w:rPr>
      </w:pPr>
      <w:r>
        <w:rPr>
          <w:rFonts w:ascii="Times New Roman" w:eastAsia="Times New Roman" w:hAnsi="Times New Roman" w:cs="Times New Roman"/>
        </w:rPr>
        <w:br w:type="page"/>
      </w:r>
    </w:p>
    <w:p w:rsidR="007F7DDC" w:rsidRPr="003678FE" w:rsidP="006421B2" w14:paraId="614ED2C1" w14:textId="77777777">
      <w:pPr>
        <w:spacing w:line="240" w:lineRule="auto"/>
        <w:rPr>
          <w:rFonts w:ascii="Times New Roman" w:eastAsia="Times New Roman" w:hAnsi="Times New Roman" w:cs="Times New Roman"/>
        </w:rPr>
      </w:pPr>
      <w:r w:rsidRPr="003678FE">
        <w:rPr>
          <w:rFonts w:ascii="Times New Roman" w:eastAsia="Times New Roman" w:hAnsi="Times New Roman" w:cs="Times New Roman"/>
        </w:rPr>
        <w:t xml:space="preserve"> </w:t>
      </w:r>
    </w:p>
    <w:p w:rsidR="007F7DDC" w:rsidRPr="003678FE" w:rsidP="006421B2" w14:paraId="27F81F8A" w14:textId="77777777">
      <w:pPr>
        <w:spacing w:line="240" w:lineRule="auto"/>
        <w:rPr>
          <w:rFonts w:ascii="Times New Roman" w:eastAsia="Times New Roman" w:hAnsi="Times New Roman" w:cs="Times New Roman"/>
          <w:b/>
          <w:bCs/>
          <w:i/>
          <w:iCs/>
        </w:rPr>
      </w:pPr>
      <w:r w:rsidRPr="003678FE">
        <w:rPr>
          <w:rFonts w:ascii="Times New Roman" w:eastAsia="Times New Roman" w:hAnsi="Times New Roman" w:cs="Times New Roman"/>
          <w:b/>
          <w:bCs/>
          <w:i/>
          <w:iCs/>
          <w:u w:val="single"/>
        </w:rPr>
        <w:t>Philadelphia Energy Solutions (PES) Refinery Fire and Explosions</w:t>
      </w:r>
    </w:p>
    <w:bookmarkEnd w:id="113"/>
    <w:p w:rsidR="007F7DDC" w:rsidRPr="003678FE" w:rsidP="006421B2" w14:paraId="74DEBA69" w14:textId="77777777">
      <w:pPr>
        <w:spacing w:line="240" w:lineRule="auto"/>
        <w:rPr>
          <w:rFonts w:ascii="Times New Roman" w:eastAsia="Times New Roman" w:hAnsi="Times New Roman" w:cs="Times New Roman"/>
        </w:rPr>
      </w:pPr>
      <w:r>
        <w:rPr>
          <w:rFonts w:ascii="Times New Roman" w:eastAsia="Times New Roman" w:hAnsi="Times New Roman" w:cs="Times New Roman"/>
        </w:rPr>
        <w:tab/>
      </w:r>
      <w:r w:rsidRPr="003678FE">
        <w:rPr>
          <w:rFonts w:ascii="Times New Roman" w:eastAsia="Times New Roman" w:hAnsi="Times New Roman" w:cs="Times New Roman"/>
        </w:rPr>
        <w:t>On Friday June 21, 2019, at approximately 4:00 AM, a release occurred at the Philadelphia Energy Solutions (PES) refinery in Philadelphia, Pennsylvania. Propane and toxic hydrofluoric acid (HF) vapor had escaped from a ruptured pipe in the PES refinery alkylation unit. The vapor found an ignition source and caused a fire and three explosions. Three fragments of a large vessel flew into the air with a 19-ton piece flying across the Schuylkill River and landing on its bank. Two other very large fragments landed on the refinery property. An estimated</w:t>
      </w:r>
      <w:r>
        <w:rPr>
          <w:rFonts w:ascii="Times New Roman" w:eastAsia="Times New Roman" w:hAnsi="Times New Roman" w:cs="Times New Roman"/>
        </w:rPr>
        <w:t xml:space="preserve"> </w:t>
      </w:r>
      <w:r w:rsidRPr="003678FE">
        <w:rPr>
          <w:rFonts w:ascii="Times New Roman" w:eastAsia="Times New Roman" w:hAnsi="Times New Roman" w:cs="Times New Roman"/>
        </w:rPr>
        <w:t>5,239 pounds of HF w</w:t>
      </w:r>
      <w:r>
        <w:rPr>
          <w:rFonts w:ascii="Times New Roman" w:eastAsia="Times New Roman" w:hAnsi="Times New Roman" w:cs="Times New Roman"/>
        </w:rPr>
        <w:t>ere</w:t>
      </w:r>
      <w:r w:rsidRPr="003678FE">
        <w:rPr>
          <w:rFonts w:ascii="Times New Roman" w:eastAsia="Times New Roman" w:hAnsi="Times New Roman" w:cs="Times New Roman"/>
        </w:rPr>
        <w:t xml:space="preserve"> released during the incident, with 1,968 pounds contained with water spray within the unit and 3,271 pounds released into the atmosphere.</w:t>
      </w:r>
      <w:r>
        <w:rPr>
          <w:rStyle w:val="FootnoteReference"/>
          <w:rFonts w:ascii="Times New Roman" w:eastAsia="Times New Roman" w:hAnsi="Times New Roman" w:cs="Times New Roman"/>
        </w:rPr>
        <w:footnoteReference w:id="34"/>
      </w:r>
    </w:p>
    <w:p w:rsidR="007F7DDC" w:rsidRPr="003678FE" w:rsidP="006421B2" w14:paraId="1FA240B6" w14:textId="77777777">
      <w:pPr>
        <w:spacing w:line="240" w:lineRule="auto"/>
        <w:rPr>
          <w:rFonts w:ascii="Times New Roman" w:eastAsia="Times New Roman" w:hAnsi="Times New Roman" w:cs="Times New Roman"/>
        </w:rPr>
      </w:pPr>
      <w:r>
        <w:rPr>
          <w:rFonts w:ascii="Times New Roman" w:eastAsia="Times New Roman" w:hAnsi="Times New Roman" w:cs="Times New Roman"/>
        </w:rPr>
        <w:tab/>
      </w:r>
      <w:r w:rsidRPr="003678FE">
        <w:rPr>
          <w:rFonts w:ascii="Times New Roman" w:eastAsia="Times New Roman" w:hAnsi="Times New Roman" w:cs="Times New Roman"/>
        </w:rPr>
        <w:t xml:space="preserve">HF is an extremely toxic chemical that is lethal at 30 ppm. HF can travel for miles and cause blindness, serious burns, permanent injuries, or death. </w:t>
      </w:r>
      <w:r w:rsidRPr="003678FE">
        <w:rPr>
          <w:rFonts w:ascii="Times New Roman" w:hAnsi="Times New Roman" w:cs="Times New Roman"/>
        </w:rPr>
        <w:t xml:space="preserve">It is covered by the RMP when more than 1,000 pounds are used in a process. The HF alkylation process at the PES Refinery was covered by the RMP Program at the time of the incident. </w:t>
      </w:r>
    </w:p>
    <w:p w:rsidR="007F7DDC" w:rsidRPr="003678FE" w:rsidP="006421B2" w14:paraId="2E99559E" w14:textId="77777777">
      <w:pPr>
        <w:spacing w:line="240" w:lineRule="auto"/>
        <w:rPr>
          <w:rFonts w:ascii="Times New Roman" w:eastAsia="Times New Roman" w:hAnsi="Times New Roman" w:cs="Times New Roman"/>
        </w:rPr>
      </w:pPr>
      <w:r>
        <w:rPr>
          <w:rFonts w:ascii="Times New Roman" w:eastAsia="Times New Roman" w:hAnsi="Times New Roman" w:cs="Times New Roman"/>
        </w:rPr>
        <w:tab/>
      </w:r>
      <w:r w:rsidRPr="003678FE">
        <w:rPr>
          <w:rFonts w:ascii="Times New Roman" w:eastAsia="Times New Roman" w:hAnsi="Times New Roman" w:cs="Times New Roman"/>
        </w:rPr>
        <w:t>Three field operators were in the alkylation unit when the incident occurred; two were in a blast resistant local control room and one was just outside the room. Upon seeing the vapor cloud ignite soon after the release, one worker opened the door to the local control room, which blew the field operator back into the room and to the floor. Flames entered the doorway and then were extinguished. Ultimately</w:t>
      </w:r>
      <w:r>
        <w:rPr>
          <w:rFonts w:ascii="Times New Roman" w:eastAsia="Times New Roman" w:hAnsi="Times New Roman" w:cs="Times New Roman"/>
        </w:rPr>
        <w:t>,</w:t>
      </w:r>
      <w:r w:rsidRPr="003678FE">
        <w:rPr>
          <w:rFonts w:ascii="Times New Roman" w:eastAsia="Times New Roman" w:hAnsi="Times New Roman" w:cs="Times New Roman"/>
        </w:rPr>
        <w:t xml:space="preserve"> the operators opened the door</w:t>
      </w:r>
      <w:r>
        <w:rPr>
          <w:rFonts w:ascii="Times New Roman" w:eastAsia="Times New Roman" w:hAnsi="Times New Roman" w:cs="Times New Roman"/>
        </w:rPr>
        <w:t xml:space="preserve"> </w:t>
      </w:r>
      <w:r w:rsidRPr="003678FE">
        <w:rPr>
          <w:rFonts w:ascii="Times New Roman" w:eastAsia="Times New Roman" w:hAnsi="Times New Roman" w:cs="Times New Roman"/>
        </w:rPr>
        <w:t>and escaped. The fire was extinguished the following day, June 22.</w:t>
      </w:r>
      <w:r>
        <w:rPr>
          <w:rStyle w:val="FootnoteReference"/>
          <w:rFonts w:ascii="Times New Roman" w:eastAsia="Times New Roman" w:hAnsi="Times New Roman" w:cs="Times New Roman"/>
        </w:rPr>
        <w:footnoteReference w:id="35"/>
      </w:r>
      <w:r w:rsidRPr="003678FE">
        <w:rPr>
          <w:rFonts w:ascii="Times New Roman" w:eastAsia="Times New Roman" w:hAnsi="Times New Roman" w:cs="Times New Roman"/>
        </w:rPr>
        <w:t xml:space="preserve"> Hazardous materials crews remained on the scene until the incident was declared under control on September 24, 2019</w:t>
      </w:r>
      <w:r>
        <w:rPr>
          <w:rFonts w:ascii="Times New Roman" w:eastAsia="Times New Roman" w:hAnsi="Times New Roman" w:cs="Times New Roman"/>
        </w:rPr>
        <w:t>.</w:t>
      </w:r>
      <w:r>
        <w:rPr>
          <w:rStyle w:val="FootnoteReference"/>
          <w:rFonts w:ascii="Times New Roman" w:eastAsia="Times New Roman" w:hAnsi="Times New Roman" w:cs="Times New Roman"/>
        </w:rPr>
        <w:footnoteReference w:id="36"/>
      </w:r>
    </w:p>
    <w:p w:rsidR="007F7DDC" w:rsidRPr="003678FE" w:rsidP="006421B2" w14:paraId="4B765D86" w14:textId="77777777">
      <w:pPr>
        <w:spacing w:line="240" w:lineRule="auto"/>
        <w:rPr>
          <w:rFonts w:ascii="Times New Roman" w:eastAsia="Times New Roman" w:hAnsi="Times New Roman" w:cs="Times New Roman"/>
        </w:rPr>
      </w:pPr>
      <w:r>
        <w:rPr>
          <w:rFonts w:ascii="Times New Roman" w:eastAsia="Times New Roman" w:hAnsi="Times New Roman" w:cs="Times New Roman"/>
        </w:rPr>
        <w:tab/>
      </w:r>
      <w:r w:rsidRPr="003678FE">
        <w:rPr>
          <w:rFonts w:ascii="Times New Roman" w:eastAsia="Times New Roman" w:hAnsi="Times New Roman" w:cs="Times New Roman"/>
        </w:rPr>
        <w:t xml:space="preserve">A population of 117,000 lived within one mile of the PES refinery. Figure </w:t>
      </w:r>
      <w:r w:rsidRPr="003678FE" w:rsidR="1CC25173">
        <w:rPr>
          <w:rFonts w:ascii="Times New Roman" w:eastAsia="Times New Roman" w:hAnsi="Times New Roman" w:cs="Times New Roman"/>
        </w:rPr>
        <w:t>3</w:t>
      </w:r>
      <w:r w:rsidRPr="00711F8B">
        <w:rPr>
          <w:rFonts w:ascii="Times New Roman" w:eastAsia="Times New Roman" w:hAnsi="Times New Roman" w:cs="Times New Roman"/>
        </w:rPr>
        <w:t>-1</w:t>
      </w:r>
      <w:r w:rsidRPr="003678FE">
        <w:rPr>
          <w:rFonts w:ascii="Times New Roman" w:eastAsia="Times New Roman" w:hAnsi="Times New Roman" w:cs="Times New Roman"/>
        </w:rPr>
        <w:t xml:space="preserve"> shows the neighborhoods (including parts of downtown Philadelphia) within one, three, and five miles of the facilit</w:t>
      </w:r>
      <w:r>
        <w:rPr>
          <w:rFonts w:ascii="Times New Roman" w:eastAsia="Times New Roman" w:hAnsi="Times New Roman" w:cs="Times New Roman"/>
        </w:rPr>
        <w:t>y</w:t>
      </w:r>
      <w:r w:rsidRPr="003678FE">
        <w:rPr>
          <w:rFonts w:ascii="Times New Roman" w:eastAsia="Times New Roman" w:hAnsi="Times New Roman" w:cs="Times New Roman"/>
        </w:rPr>
        <w:t>.</w:t>
      </w:r>
      <w:r>
        <w:rPr>
          <w:rStyle w:val="FootnoteReference"/>
          <w:rFonts w:ascii="Times New Roman" w:eastAsia="Times New Roman" w:hAnsi="Times New Roman" w:cs="Times New Roman"/>
        </w:rPr>
        <w:footnoteReference w:id="37"/>
      </w:r>
      <w:r w:rsidRPr="003678FE">
        <w:rPr>
          <w:rFonts w:ascii="Times New Roman" w:eastAsia="Times New Roman" w:hAnsi="Times New Roman" w:cs="Times New Roman"/>
        </w:rPr>
        <w:t xml:space="preserve"> </w:t>
      </w:r>
    </w:p>
    <w:p w:rsidR="007F7DDC" w:rsidRPr="003678FE" w:rsidP="006421B2" w14:paraId="16EEB054" w14:textId="77777777">
      <w:pPr>
        <w:spacing w:line="240" w:lineRule="auto"/>
        <w:rPr>
          <w:rFonts w:ascii="Times New Roman" w:eastAsia="Times New Roman" w:hAnsi="Times New Roman" w:cs="Times New Roman"/>
        </w:rPr>
      </w:pPr>
      <w:r w:rsidRPr="003678FE">
        <w:rPr>
          <w:rFonts w:ascii="Times New Roman" w:eastAsia="Times New Roman" w:hAnsi="Times New Roman" w:cs="Times New Roman"/>
          <w:noProof/>
        </w:rPr>
        <w:drawing>
          <wp:inline distT="0" distB="0" distL="0" distR="0">
            <wp:extent cx="5943600" cy="6501765"/>
            <wp:effectExtent l="0" t="0" r="0" b="0"/>
            <wp:docPr id="732073546" name="Picture 73207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73546"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501765"/>
                    </a:xfrm>
                    <a:prstGeom prst="rect">
                      <a:avLst/>
                    </a:prstGeom>
                    <a:noFill/>
                    <a:ln>
                      <a:noFill/>
                    </a:ln>
                  </pic:spPr>
                </pic:pic>
              </a:graphicData>
            </a:graphic>
          </wp:inline>
        </w:drawing>
      </w:r>
    </w:p>
    <w:p w:rsidR="007F7DDC" w:rsidRPr="003678FE" w:rsidP="006421B2" w14:paraId="5DEF4767" w14:textId="77777777">
      <w:pPr>
        <w:spacing w:line="240" w:lineRule="auto"/>
        <w:rPr>
          <w:rFonts w:ascii="Times New Roman" w:hAnsi="Times New Roman" w:cs="Times New Roman"/>
          <w:b/>
          <w:bCs/>
        </w:rPr>
      </w:pPr>
      <w:r w:rsidRPr="003678FE">
        <w:rPr>
          <w:rFonts w:ascii="Times New Roman" w:hAnsi="Times New Roman" w:cs="Times New Roman"/>
          <w:b/>
          <w:bCs/>
        </w:rPr>
        <w:t xml:space="preserve">Figure </w:t>
      </w:r>
      <w:r w:rsidR="00C7050D">
        <w:rPr>
          <w:rFonts w:ascii="Times New Roman" w:hAnsi="Times New Roman" w:cs="Times New Roman"/>
          <w:b/>
          <w:bCs/>
        </w:rPr>
        <w:t>3</w:t>
      </w:r>
      <w:r w:rsidRPr="00711F8B">
        <w:rPr>
          <w:rFonts w:ascii="Times New Roman" w:hAnsi="Times New Roman" w:cs="Times New Roman"/>
          <w:b/>
          <w:bCs/>
        </w:rPr>
        <w:t>-1:</w:t>
      </w:r>
      <w:r w:rsidRPr="003678FE">
        <w:rPr>
          <w:rFonts w:ascii="Times New Roman" w:hAnsi="Times New Roman" w:cs="Times New Roman"/>
          <w:b/>
          <w:bCs/>
        </w:rPr>
        <w:t xml:space="preserve"> The image is from an overhead satellite. The facility is outlined in blue. (Google, annotated by CSB) (Source: </w:t>
      </w:r>
      <w:r>
        <w:rPr>
          <w:rFonts w:ascii="Times New Roman" w:hAnsi="Times New Roman" w:cs="Times New Roman"/>
          <w:b/>
          <w:bCs/>
        </w:rPr>
        <w:t>CSB</w:t>
      </w:r>
      <w:r w:rsidRPr="003678FE">
        <w:rPr>
          <w:rFonts w:ascii="Times New Roman" w:hAnsi="Times New Roman" w:cs="Times New Roman"/>
          <w:b/>
          <w:bCs/>
        </w:rPr>
        <w:t>. 2022a., p. 31)</w:t>
      </w:r>
    </w:p>
    <w:p w:rsidR="007F7DDC" w:rsidRPr="003678FE" w:rsidP="006421B2" w14:paraId="3F931FCC" w14:textId="77777777">
      <w:pPr>
        <w:spacing w:line="240" w:lineRule="auto"/>
        <w:rPr>
          <w:rFonts w:ascii="Times New Roman" w:eastAsia="Times New Roman" w:hAnsi="Times New Roman" w:cs="Times New Roman"/>
        </w:rPr>
      </w:pPr>
    </w:p>
    <w:p w:rsidR="007F7DDC" w:rsidRPr="003678FE" w:rsidP="006421B2" w14:paraId="0A37A5BC" w14:textId="77777777">
      <w:pPr>
        <w:spacing w:line="240" w:lineRule="auto"/>
        <w:rPr>
          <w:rFonts w:ascii="Times New Roman" w:eastAsia="Times New Roman" w:hAnsi="Times New Roman" w:cs="Times New Roman"/>
        </w:rPr>
      </w:pPr>
      <w:r>
        <w:rPr>
          <w:rFonts w:ascii="Times New Roman" w:eastAsia="Times New Roman" w:hAnsi="Times New Roman" w:cs="Times New Roman"/>
        </w:rPr>
        <w:tab/>
      </w:r>
      <w:r w:rsidRPr="003678FE">
        <w:rPr>
          <w:rFonts w:ascii="Times New Roman" w:eastAsia="Times New Roman" w:hAnsi="Times New Roman" w:cs="Times New Roman"/>
        </w:rPr>
        <w:t>The social costs of this incident included costs internal and external to the refinery. Costs were imposed on nearby residents, emergency responders, the city of Philadelphia, and refinery employees and owners, among others. While this list is not exhaustive, EPA has identified the following social costs:</w:t>
      </w:r>
    </w:p>
    <w:p w:rsidR="007F7DDC" w:rsidRPr="003678FE" w:rsidP="00082826" w14:paraId="13DDE1DC" w14:textId="77777777">
      <w:pPr>
        <w:pStyle w:val="ListParagraph"/>
        <w:numPr>
          <w:ilvl w:val="0"/>
          <w:numId w:val="21"/>
        </w:numPr>
        <w:spacing w:line="240" w:lineRule="auto"/>
        <w:contextualSpacing w:val="0"/>
        <w:rPr>
          <w:rFonts w:ascii="Times New Roman" w:eastAsia="Times New Roman" w:hAnsi="Times New Roman" w:cs="Times New Roman"/>
        </w:rPr>
      </w:pPr>
      <w:r w:rsidRPr="003678FE">
        <w:rPr>
          <w:rFonts w:ascii="Times New Roman" w:eastAsia="Times New Roman" w:hAnsi="Times New Roman" w:cs="Times New Roman"/>
        </w:rPr>
        <w:t>Five workers experienced minor injuries</w:t>
      </w:r>
      <w:r>
        <w:rPr>
          <w:rFonts w:ascii="Times New Roman" w:eastAsia="Times New Roman" w:hAnsi="Times New Roman" w:cs="Times New Roman"/>
        </w:rPr>
        <w:t>.</w:t>
      </w:r>
      <w:r>
        <w:rPr>
          <w:rStyle w:val="FootnoteReference"/>
          <w:rFonts w:ascii="Times New Roman" w:eastAsia="Times New Roman" w:hAnsi="Times New Roman" w:cs="Times New Roman"/>
        </w:rPr>
        <w:footnoteReference w:id="38"/>
      </w:r>
    </w:p>
    <w:p w:rsidR="007F7DDC" w:rsidRPr="003678FE" w:rsidP="00082826" w14:paraId="422E701E" w14:textId="77777777">
      <w:pPr>
        <w:pStyle w:val="ListParagraph"/>
        <w:numPr>
          <w:ilvl w:val="0"/>
          <w:numId w:val="21"/>
        </w:numPr>
        <w:spacing w:line="240" w:lineRule="auto"/>
        <w:contextualSpacing w:val="0"/>
        <w:rPr>
          <w:rFonts w:ascii="Times New Roman" w:eastAsia="Times New Roman" w:hAnsi="Times New Roman" w:cs="Times New Roman"/>
        </w:rPr>
      </w:pPr>
      <w:r w:rsidRPr="003678FE">
        <w:rPr>
          <w:rFonts w:ascii="Times New Roman" w:eastAsia="Times New Roman" w:hAnsi="Times New Roman" w:cs="Times New Roman"/>
        </w:rPr>
        <w:t>Nearby residents reported feeling their homes shake due to the explosions, saw black smoke, and smelled “terrible odors”.</w:t>
      </w:r>
      <w:r>
        <w:rPr>
          <w:rStyle w:val="FootnoteReference"/>
          <w:rFonts w:ascii="Times New Roman" w:eastAsia="Times New Roman" w:hAnsi="Times New Roman" w:cs="Times New Roman"/>
        </w:rPr>
        <w:footnoteReference w:id="39"/>
      </w:r>
    </w:p>
    <w:p w:rsidR="007F7DDC" w:rsidRPr="003678FE" w:rsidP="00082826" w14:paraId="0A8FF569" w14:textId="77777777">
      <w:pPr>
        <w:pStyle w:val="ListParagraph"/>
        <w:numPr>
          <w:ilvl w:val="0"/>
          <w:numId w:val="21"/>
        </w:numPr>
        <w:spacing w:line="240" w:lineRule="auto"/>
        <w:contextualSpacing w:val="0"/>
        <w:rPr>
          <w:rFonts w:ascii="Times New Roman" w:eastAsia="Times New Roman" w:hAnsi="Times New Roman" w:cs="Times New Roman"/>
        </w:rPr>
      </w:pPr>
      <w:r w:rsidRPr="003678FE">
        <w:rPr>
          <w:rFonts w:ascii="Times New Roman" w:eastAsia="Times New Roman" w:hAnsi="Times New Roman" w:cs="Times New Roman"/>
        </w:rPr>
        <w:t>Costs were imposed on the city of Philadelphia and regional emergency responders. Fire fighters from the Philadelphia Fire Department and the local Industrial Firefighting Group responded to the incident, as well as a PES emergency response team. More than 120 firefighters and more than 50 pieces of equipment supplied by the Philadelphia Fire Department were used in the response. One firefighter reported breathing problems and received treatment. The Philadelphia Department of Public Health Air Management Services Lab collected and tested air samples. Hazardous materials crews were at the site through September 24. The following year in April 2020, bankrupt PES publicly stated that it would reimburse the city $1.8 million for the costs of the emergency response.</w:t>
      </w:r>
      <w:r>
        <w:rPr>
          <w:rStyle w:val="FootnoteReference"/>
          <w:rFonts w:ascii="Times New Roman" w:eastAsia="Times New Roman" w:hAnsi="Times New Roman" w:cs="Times New Roman"/>
        </w:rPr>
        <w:footnoteReference w:id="40"/>
      </w:r>
      <w:r>
        <w:rPr>
          <w:rFonts w:ascii="Times New Roman" w:eastAsia="Times New Roman" w:hAnsi="Times New Roman" w:cs="Times New Roman"/>
          <w:vertAlign w:val="superscript"/>
        </w:rPr>
        <w:t>,</w:t>
      </w:r>
      <w:r>
        <w:rPr>
          <w:rStyle w:val="FootnoteReference"/>
          <w:rFonts w:ascii="Times New Roman" w:eastAsia="Times New Roman" w:hAnsi="Times New Roman" w:cs="Times New Roman"/>
        </w:rPr>
        <w:footnoteReference w:id="41"/>
      </w:r>
      <w:r>
        <w:rPr>
          <w:rFonts w:ascii="Times New Roman" w:eastAsia="Times New Roman" w:hAnsi="Times New Roman" w:cs="Times New Roman"/>
          <w:vertAlign w:val="superscript"/>
        </w:rPr>
        <w:t>,</w:t>
      </w:r>
      <w:r>
        <w:rPr>
          <w:rStyle w:val="FootnoteReference"/>
          <w:rFonts w:ascii="Times New Roman" w:eastAsia="Times New Roman" w:hAnsi="Times New Roman" w:cs="Times New Roman"/>
        </w:rPr>
        <w:footnoteReference w:id="42"/>
      </w:r>
    </w:p>
    <w:p w:rsidR="007F7DDC" w:rsidRPr="003678FE" w:rsidP="00082826" w14:paraId="4FC66DB3" w14:textId="77777777">
      <w:pPr>
        <w:pStyle w:val="ListParagraph"/>
        <w:numPr>
          <w:ilvl w:val="0"/>
          <w:numId w:val="21"/>
        </w:numPr>
        <w:spacing w:line="240" w:lineRule="auto"/>
        <w:contextualSpacing w:val="0"/>
        <w:rPr>
          <w:rFonts w:ascii="Times New Roman" w:eastAsia="Times New Roman" w:hAnsi="Times New Roman" w:cs="Times New Roman"/>
        </w:rPr>
      </w:pPr>
      <w:r w:rsidRPr="003678FE">
        <w:rPr>
          <w:rFonts w:ascii="Times New Roman" w:eastAsia="Times New Roman" w:hAnsi="Times New Roman" w:cs="Times New Roman"/>
        </w:rPr>
        <w:t>Residents living east of the fire were asked to shelter in place starting at 5:41AM</w:t>
      </w:r>
      <w:r>
        <w:rPr>
          <w:rFonts w:ascii="Times New Roman" w:eastAsia="Times New Roman" w:hAnsi="Times New Roman" w:cs="Times New Roman"/>
        </w:rPr>
        <w:t xml:space="preserve"> on the morning of the release</w:t>
      </w:r>
      <w:r w:rsidRPr="003678FE">
        <w:rPr>
          <w:rFonts w:ascii="Times New Roman" w:eastAsia="Times New Roman" w:hAnsi="Times New Roman" w:cs="Times New Roman"/>
        </w:rPr>
        <w:t xml:space="preserve">. Shortly after, the </w:t>
      </w:r>
      <w:r>
        <w:rPr>
          <w:rFonts w:ascii="Times New Roman" w:eastAsia="Times New Roman" w:hAnsi="Times New Roman" w:cs="Times New Roman"/>
        </w:rPr>
        <w:t xml:space="preserve">shelter-in-place </w:t>
      </w:r>
      <w:r w:rsidRPr="003678FE">
        <w:rPr>
          <w:rFonts w:ascii="Times New Roman" w:eastAsia="Times New Roman" w:hAnsi="Times New Roman" w:cs="Times New Roman"/>
        </w:rPr>
        <w:t>area was narrowed to nearby neighborhoods east, north, and south of the refinery. The order was lifted at 7:07AM</w:t>
      </w:r>
      <w:r>
        <w:rPr>
          <w:rFonts w:ascii="Times New Roman" w:eastAsia="Times New Roman" w:hAnsi="Times New Roman" w:cs="Times New Roman"/>
        </w:rPr>
        <w:t>.</w:t>
      </w:r>
      <w:r>
        <w:rPr>
          <w:rStyle w:val="FootnoteReference"/>
          <w:rFonts w:ascii="Times New Roman" w:eastAsia="Times New Roman" w:hAnsi="Times New Roman" w:cs="Times New Roman"/>
        </w:rPr>
        <w:footnoteReference w:id="43"/>
      </w:r>
    </w:p>
    <w:p w:rsidR="007F7DDC" w:rsidRPr="003678FE" w:rsidP="00082826" w14:paraId="0A6B3A7B" w14:textId="77777777">
      <w:pPr>
        <w:pStyle w:val="ListParagraph"/>
        <w:numPr>
          <w:ilvl w:val="0"/>
          <w:numId w:val="21"/>
        </w:numPr>
        <w:spacing w:line="240" w:lineRule="auto"/>
        <w:contextualSpacing w:val="0"/>
        <w:rPr>
          <w:rFonts w:ascii="Times New Roman" w:eastAsia="Times New Roman" w:hAnsi="Times New Roman" w:cs="Times New Roman"/>
        </w:rPr>
      </w:pPr>
      <w:r w:rsidRPr="003678FE">
        <w:rPr>
          <w:rFonts w:ascii="Times New Roman" w:eastAsia="Times New Roman" w:hAnsi="Times New Roman" w:cs="Times New Roman"/>
        </w:rPr>
        <w:t>Portions of Interstate 76 and Philadelphia’s Platt Bridge were temporarily closed</w:t>
      </w:r>
      <w:r>
        <w:rPr>
          <w:rFonts w:ascii="Times New Roman" w:eastAsia="Times New Roman" w:hAnsi="Times New Roman" w:cs="Times New Roman"/>
        </w:rPr>
        <w:t>.</w:t>
      </w:r>
      <w:r>
        <w:rPr>
          <w:rStyle w:val="FootnoteReference"/>
          <w:rFonts w:ascii="Times New Roman" w:eastAsia="Times New Roman" w:hAnsi="Times New Roman" w:cs="Times New Roman"/>
        </w:rPr>
        <w:footnoteReference w:id="44"/>
      </w:r>
      <w:r>
        <w:rPr>
          <w:rFonts w:ascii="Times New Roman" w:eastAsia="Times New Roman" w:hAnsi="Times New Roman" w:cs="Times New Roman"/>
          <w:vertAlign w:val="superscript"/>
        </w:rPr>
        <w:t>,</w:t>
      </w:r>
      <w:r>
        <w:rPr>
          <w:rStyle w:val="FootnoteReference"/>
          <w:rFonts w:ascii="Times New Roman" w:eastAsia="Times New Roman" w:hAnsi="Times New Roman" w:cs="Times New Roman"/>
        </w:rPr>
        <w:footnoteReference w:id="45"/>
      </w:r>
      <w:r w:rsidRPr="003678FE">
        <w:rPr>
          <w:rFonts w:ascii="Times New Roman" w:eastAsia="Times New Roman" w:hAnsi="Times New Roman" w:cs="Times New Roman"/>
        </w:rPr>
        <w:t xml:space="preserve"> </w:t>
      </w:r>
    </w:p>
    <w:p w:rsidR="007F7DDC" w:rsidRPr="003678FE" w:rsidP="00082826" w14:paraId="4EAF3AFA" w14:textId="77777777">
      <w:pPr>
        <w:pStyle w:val="ListParagraph"/>
        <w:numPr>
          <w:ilvl w:val="0"/>
          <w:numId w:val="21"/>
        </w:numPr>
        <w:spacing w:line="240" w:lineRule="auto"/>
        <w:contextualSpacing w:val="0"/>
        <w:rPr>
          <w:rFonts w:ascii="Times New Roman" w:eastAsia="Times New Roman" w:hAnsi="Times New Roman" w:cs="Times New Roman"/>
        </w:rPr>
      </w:pPr>
      <w:r w:rsidRPr="003678FE">
        <w:rPr>
          <w:rFonts w:ascii="Times New Roman" w:eastAsia="Times New Roman" w:hAnsi="Times New Roman" w:cs="Times New Roman"/>
        </w:rPr>
        <w:t>The HF alkylation unit was severely damaged. Marsh Specialty (2022) estimate</w:t>
      </w:r>
      <w:r>
        <w:rPr>
          <w:rFonts w:ascii="Times New Roman" w:eastAsia="Times New Roman" w:hAnsi="Times New Roman" w:cs="Times New Roman"/>
        </w:rPr>
        <w:t>d</w:t>
      </w:r>
      <w:r w:rsidRPr="003678FE">
        <w:rPr>
          <w:rFonts w:ascii="Times New Roman" w:eastAsia="Times New Roman" w:hAnsi="Times New Roman" w:cs="Times New Roman"/>
        </w:rPr>
        <w:t xml:space="preserve"> the total losses faced by the refinery from property damage, debris removal, and cleanup at $300 million at the time of the loss. This estimate does not include losses due to “business interruption, extra expenses, workforce injuries or fatalities, and any liability claims.” </w:t>
      </w:r>
      <w:r>
        <w:rPr>
          <w:rStyle w:val="FootnoteReference"/>
          <w:rFonts w:ascii="Times New Roman" w:eastAsia="Times New Roman" w:hAnsi="Times New Roman" w:cs="Times New Roman"/>
        </w:rPr>
        <w:footnoteReference w:id="46"/>
      </w:r>
    </w:p>
    <w:p w:rsidR="007F7DDC" w:rsidRPr="003678FE" w:rsidP="006421B2" w14:paraId="33766ECC" w14:textId="77777777">
      <w:pPr>
        <w:spacing w:line="240" w:lineRule="auto"/>
        <w:rPr>
          <w:rFonts w:ascii="Times New Roman" w:eastAsia="Times New Roman" w:hAnsi="Times New Roman" w:cs="Times New Roman"/>
        </w:rPr>
      </w:pPr>
      <w:r>
        <w:rPr>
          <w:rFonts w:ascii="Times New Roman" w:eastAsia="Times New Roman" w:hAnsi="Times New Roman" w:cs="Times New Roman"/>
        </w:rPr>
        <w:tab/>
      </w:r>
      <w:r w:rsidRPr="003678FE">
        <w:rPr>
          <w:rFonts w:ascii="Times New Roman" w:eastAsia="Times New Roman" w:hAnsi="Times New Roman" w:cs="Times New Roman"/>
        </w:rPr>
        <w:t>In a state legislative committee hearing several weeks after the incident, there was testimony that an inspector from the Philadelphia Health Department measured an elevated level of HF gas near the refinery during the incident but dismissed the reading as false. Written testimony by a Drexel University environmental engineering professor asserted that the measurement was cause for additional protective measures for nearby residents and yet no actions such as requesting that residents shelter-in-place for a longer period, were taken. In response, the city’s health department testified that the gas meter was not properly calibrated and that both the refinery and the US EPA checked the test and confirmed that no HF was in the air.</w:t>
      </w:r>
      <w:r>
        <w:rPr>
          <w:rStyle w:val="FootnoteReference"/>
          <w:rFonts w:ascii="Times New Roman" w:eastAsia="Times New Roman" w:hAnsi="Times New Roman" w:cs="Times New Roman"/>
        </w:rPr>
        <w:footnoteReference w:id="47"/>
      </w:r>
    </w:p>
    <w:p w:rsidR="007F7DDC" w:rsidRPr="003678FE" w:rsidP="006421B2" w14:paraId="61856A1D" w14:textId="77777777">
      <w:pPr>
        <w:spacing w:line="240" w:lineRule="auto"/>
        <w:rPr>
          <w:rFonts w:ascii="Times New Roman" w:eastAsia="Times New Roman" w:hAnsi="Times New Roman" w:cs="Times New Roman"/>
        </w:rPr>
      </w:pPr>
      <w:r>
        <w:rPr>
          <w:rFonts w:ascii="Times New Roman" w:eastAsia="Times New Roman" w:hAnsi="Times New Roman" w:cs="Times New Roman"/>
        </w:rPr>
        <w:tab/>
      </w:r>
      <w:r w:rsidRPr="003678FE">
        <w:rPr>
          <w:rFonts w:ascii="Times New Roman" w:eastAsia="Times New Roman" w:hAnsi="Times New Roman" w:cs="Times New Roman"/>
        </w:rPr>
        <w:t>The refinery never re-opened and instead, declared bankruptcy and shut down. A proposal to redevelop the property as a warehousing and “life sciences” hub was recently being considered with assurances to the community of a safer facility</w:t>
      </w:r>
      <w:r>
        <w:rPr>
          <w:rFonts w:ascii="Times New Roman" w:eastAsia="Times New Roman" w:hAnsi="Times New Roman" w:cs="Times New Roman"/>
        </w:rPr>
        <w:t>.</w:t>
      </w:r>
      <w:r>
        <w:rPr>
          <w:rStyle w:val="FootnoteReference"/>
          <w:rFonts w:ascii="Times New Roman" w:eastAsia="Times New Roman" w:hAnsi="Times New Roman" w:cs="Times New Roman"/>
        </w:rPr>
        <w:footnoteReference w:id="48"/>
      </w:r>
      <w:r>
        <w:rPr>
          <w:rFonts w:ascii="Times New Roman" w:eastAsia="Times New Roman" w:hAnsi="Times New Roman" w:cs="Times New Roman"/>
          <w:vertAlign w:val="superscript"/>
        </w:rPr>
        <w:t>,</w:t>
      </w:r>
      <w:r>
        <w:rPr>
          <w:rStyle w:val="FootnoteReference"/>
          <w:rFonts w:ascii="Times New Roman" w:eastAsia="Times New Roman" w:hAnsi="Times New Roman" w:cs="Times New Roman"/>
        </w:rPr>
        <w:footnoteReference w:id="49"/>
      </w:r>
      <w:r>
        <w:rPr>
          <w:rFonts w:ascii="Times New Roman" w:eastAsia="Times New Roman" w:hAnsi="Times New Roman" w:cs="Times New Roman"/>
          <w:vertAlign w:val="superscript"/>
        </w:rPr>
        <w:t>,</w:t>
      </w:r>
      <w:r>
        <w:rPr>
          <w:rStyle w:val="FootnoteReference"/>
          <w:rFonts w:ascii="Times New Roman" w:eastAsia="Times New Roman" w:hAnsi="Times New Roman" w:cs="Times New Roman"/>
        </w:rPr>
        <w:footnoteReference w:id="50"/>
      </w:r>
    </w:p>
    <w:p w:rsidR="007F7DDC" w:rsidRPr="003678FE" w:rsidP="006421B2" w14:paraId="5644CADA" w14:textId="77777777">
      <w:pPr>
        <w:spacing w:line="240" w:lineRule="auto"/>
        <w:rPr>
          <w:rFonts w:ascii="Times New Roman" w:eastAsia="Times New Roman" w:hAnsi="Times New Roman" w:cs="Times New Roman"/>
        </w:rPr>
      </w:pPr>
      <w:r>
        <w:rPr>
          <w:rFonts w:ascii="Times New Roman" w:eastAsia="Times New Roman" w:hAnsi="Times New Roman" w:cs="Times New Roman"/>
        </w:rPr>
        <w:tab/>
      </w:r>
      <w:r w:rsidRPr="003678FE">
        <w:rPr>
          <w:rFonts w:ascii="Times New Roman" w:eastAsia="Times New Roman" w:hAnsi="Times New Roman" w:cs="Times New Roman"/>
        </w:rPr>
        <w:t xml:space="preserve">As a result of the incident, the </w:t>
      </w:r>
      <w:r>
        <w:rPr>
          <w:rFonts w:ascii="Times New Roman" w:eastAsia="Times New Roman" w:hAnsi="Times New Roman" w:cs="Times New Roman"/>
        </w:rPr>
        <w:t xml:space="preserve">CSB </w:t>
      </w:r>
      <w:r w:rsidRPr="003678FE">
        <w:rPr>
          <w:rFonts w:ascii="Times New Roman" w:eastAsia="Times New Roman" w:hAnsi="Times New Roman" w:cs="Times New Roman"/>
        </w:rPr>
        <w:t>issued recommendations that EPA develop a program prioritizing and emphasizing inspections of HF alkylation units and that EPA revise the RMP program to require a safer technology and alternatives analysis of HF alkylation units to evaluate the practicability of inherently safer technologies</w:t>
      </w:r>
      <w:r>
        <w:rPr>
          <w:rFonts w:ascii="Times New Roman" w:eastAsia="Times New Roman" w:hAnsi="Times New Roman" w:cs="Times New Roman"/>
        </w:rPr>
        <w:t>.</w:t>
      </w:r>
      <w:r>
        <w:rPr>
          <w:rStyle w:val="FootnoteReference"/>
          <w:rFonts w:ascii="Times New Roman" w:eastAsia="Times New Roman" w:hAnsi="Times New Roman" w:cs="Times New Roman"/>
        </w:rPr>
        <w:footnoteReference w:id="51"/>
      </w:r>
      <w:r w:rsidRPr="003678FE">
        <w:rPr>
          <w:rFonts w:ascii="Times New Roman" w:eastAsia="Times New Roman" w:hAnsi="Times New Roman" w:cs="Times New Roman"/>
        </w:rPr>
        <w:t xml:space="preserve"> </w:t>
      </w:r>
    </w:p>
    <w:p w:rsidR="007F7DDC" w:rsidRPr="003678FE" w:rsidP="006421B2" w14:paraId="2826F1C0" w14:textId="77777777">
      <w:pPr>
        <w:spacing w:line="240" w:lineRule="auto"/>
        <w:rPr>
          <w:rFonts w:ascii="Times New Roman" w:hAnsi="Times New Roman" w:cs="Times New Roman"/>
          <w:i/>
          <w:iCs/>
        </w:rPr>
      </w:pPr>
      <w:bookmarkStart w:id="114" w:name="_Hlk152141595"/>
      <w:r w:rsidRPr="003678FE">
        <w:rPr>
          <w:rFonts w:ascii="Times New Roman" w:hAnsi="Times New Roman" w:cs="Times New Roman"/>
          <w:b/>
          <w:bCs/>
          <w:i/>
          <w:iCs/>
          <w:u w:val="single"/>
        </w:rPr>
        <w:t>Texas Petroleum Chemical (TPC) Group Chemical Plant Explosions and Fire</w:t>
      </w:r>
    </w:p>
    <w:bookmarkEnd w:id="114"/>
    <w:p w:rsidR="007F7DDC" w:rsidRPr="003678FE" w:rsidP="006421B2" w14:paraId="79152372" w14:textId="77777777">
      <w:pPr>
        <w:spacing w:line="240" w:lineRule="auto"/>
        <w:rPr>
          <w:rFonts w:ascii="Times New Roman" w:hAnsi="Times New Roman" w:cs="Times New Roman"/>
        </w:rPr>
      </w:pPr>
      <w:r>
        <w:rPr>
          <w:rFonts w:ascii="Times New Roman" w:hAnsi="Times New Roman" w:cs="Times New Roman"/>
        </w:rPr>
        <w:tab/>
      </w:r>
      <w:r w:rsidRPr="003678FE">
        <w:rPr>
          <w:rFonts w:ascii="Times New Roman" w:hAnsi="Times New Roman" w:cs="Times New Roman"/>
        </w:rPr>
        <w:t>On November 27, 2019, the TPC Group Chemical Plant Butadiene Unit in Port Neches, Texas experienced a series of explosions caused by a release of butadiene, a highly flammable chemical. The release was tied to an out-of-service pump in the butadiene process unit and an accumulation of popcorn polymer. The polymer expanded exponentially, increasing pressure, and ultimately caused piping to rupture. Once the butadiene was released, it ignited and caused an explosion followed by multiple subsequent explosions. The blast was felt up to 30 miles away. The explosions propelled process towers through the air that landed on site. Fires burned for weeks afterward.</w:t>
      </w:r>
      <w:r>
        <w:rPr>
          <w:rStyle w:val="FootnoteReference"/>
          <w:rFonts w:ascii="Times New Roman" w:hAnsi="Times New Roman" w:cs="Times New Roman"/>
        </w:rPr>
        <w:footnoteReference w:id="52"/>
      </w:r>
    </w:p>
    <w:p w:rsidR="007F7DDC" w:rsidRPr="003678FE" w:rsidP="006421B2" w14:paraId="3AFDBE4E" w14:textId="77777777">
      <w:pPr>
        <w:spacing w:line="240" w:lineRule="auto"/>
        <w:rPr>
          <w:rFonts w:ascii="Times New Roman" w:hAnsi="Times New Roman" w:cs="Times New Roman"/>
        </w:rPr>
      </w:pPr>
      <w:r>
        <w:rPr>
          <w:rFonts w:ascii="Times New Roman" w:hAnsi="Times New Roman" w:cs="Times New Roman"/>
        </w:rPr>
        <w:tab/>
      </w:r>
      <w:r w:rsidRPr="003678FE">
        <w:rPr>
          <w:rFonts w:ascii="Times New Roman" w:hAnsi="Times New Roman" w:cs="Times New Roman"/>
        </w:rPr>
        <w:t>Butadiene is a hazardous chemical due not only to its flammability, but also its toxicity and reactivity. High concentrations of butadiene vapor can affect the central nervous system, in extreme cases potentially causing unconsciousness, respiratory depression, and death. It is covered by the RMP when 10,000 pounds or more are used in a process. The TPC Group Chemical Plant was covered by the RMP Program at the time of the incident.</w:t>
      </w:r>
      <w:r>
        <w:rPr>
          <w:rStyle w:val="FootnoteReference"/>
          <w:rFonts w:ascii="Times New Roman" w:hAnsi="Times New Roman" w:cs="Times New Roman"/>
        </w:rPr>
        <w:footnoteReference w:id="53"/>
      </w:r>
    </w:p>
    <w:p w:rsidR="007F7DDC" w:rsidRPr="003678FE" w:rsidP="006421B2" w14:paraId="337A93C6" w14:textId="77777777">
      <w:pPr>
        <w:spacing w:line="240" w:lineRule="auto"/>
        <w:rPr>
          <w:rFonts w:ascii="Times New Roman" w:hAnsi="Times New Roman" w:cs="Times New Roman"/>
        </w:rPr>
      </w:pPr>
      <w:r>
        <w:rPr>
          <w:rFonts w:ascii="Times New Roman" w:hAnsi="Times New Roman" w:cs="Times New Roman"/>
        </w:rPr>
        <w:tab/>
      </w:r>
      <w:r w:rsidRPr="003678FE">
        <w:rPr>
          <w:rFonts w:ascii="Times New Roman" w:hAnsi="Times New Roman" w:cs="Times New Roman"/>
        </w:rPr>
        <w:t xml:space="preserve">Three workers were present in the butadiene process unit at 12:54 AM on November 27, 2019, two of whom witnessed a pipe rupture that allowed butadiene to escape. They exited the unit immediately following the release of butadiene. At 12:56 AM, the vapor cloud ignited, causing an explosion that caused severe damage to piping and equipment in the unit and multiple fires. Known subsequent explosions occurred at 2:40 AM and at 1:48 PM. Workers manually isolated areas of the facility, containing initial fires. Smaller contained fires burned for </w:t>
      </w:r>
      <w:r>
        <w:rPr>
          <w:rFonts w:ascii="Times New Roman" w:hAnsi="Times New Roman" w:cs="Times New Roman"/>
        </w:rPr>
        <w:t>more than</w:t>
      </w:r>
      <w:r w:rsidRPr="003678FE">
        <w:rPr>
          <w:rFonts w:ascii="Times New Roman" w:hAnsi="Times New Roman" w:cs="Times New Roman"/>
        </w:rPr>
        <w:t xml:space="preserve"> a month. On January 4, 2020, the TPC Port Neches Operation Incident Command reported that all fires were extinguished</w:t>
      </w:r>
      <w:r>
        <w:rPr>
          <w:rFonts w:ascii="Times New Roman" w:hAnsi="Times New Roman" w:cs="Times New Roman"/>
        </w:rPr>
        <w:t>.</w:t>
      </w:r>
      <w:r>
        <w:rPr>
          <w:rStyle w:val="FootnoteReference"/>
          <w:rFonts w:ascii="Times New Roman" w:hAnsi="Times New Roman" w:cs="Times New Roman"/>
        </w:rPr>
        <w:footnoteReference w:id="54"/>
      </w:r>
    </w:p>
    <w:p w:rsidR="007F7DDC" w:rsidRPr="003678FE" w:rsidP="006421B2" w14:paraId="0083D9D1" w14:textId="77777777">
      <w:pPr>
        <w:spacing w:line="240" w:lineRule="auto"/>
        <w:rPr>
          <w:rFonts w:ascii="Times New Roman" w:hAnsi="Times New Roman" w:cs="Times New Roman"/>
        </w:rPr>
      </w:pPr>
      <w:r>
        <w:rPr>
          <w:rFonts w:ascii="Times New Roman" w:hAnsi="Times New Roman" w:cs="Times New Roman"/>
        </w:rPr>
        <w:tab/>
      </w:r>
      <w:r w:rsidRPr="003678FE">
        <w:rPr>
          <w:rFonts w:ascii="Times New Roman" w:hAnsi="Times New Roman" w:cs="Times New Roman"/>
        </w:rPr>
        <w:t xml:space="preserve">Approximately 18,000 people lived within one mile of the TPC Group Chemical facility. Figure </w:t>
      </w:r>
      <w:r w:rsidRPr="003678FE" w:rsidR="27D944DC">
        <w:rPr>
          <w:rFonts w:ascii="Times New Roman" w:hAnsi="Times New Roman" w:cs="Times New Roman"/>
        </w:rPr>
        <w:t>3</w:t>
      </w:r>
      <w:r>
        <w:rPr>
          <w:rFonts w:ascii="Times New Roman" w:hAnsi="Times New Roman" w:cs="Times New Roman"/>
        </w:rPr>
        <w:t>-2</w:t>
      </w:r>
      <w:r w:rsidRPr="003678FE">
        <w:rPr>
          <w:rFonts w:ascii="Times New Roman" w:hAnsi="Times New Roman" w:cs="Times New Roman"/>
        </w:rPr>
        <w:t xml:space="preserve"> shows the neighborhoods within one, three, and five miles from the facility</w:t>
      </w:r>
      <w:r>
        <w:rPr>
          <w:rFonts w:ascii="Times New Roman" w:hAnsi="Times New Roman" w:cs="Times New Roman"/>
        </w:rPr>
        <w:t>.</w:t>
      </w:r>
      <w:r>
        <w:rPr>
          <w:rStyle w:val="FootnoteReference"/>
          <w:rFonts w:ascii="Times New Roman" w:hAnsi="Times New Roman" w:cs="Times New Roman"/>
        </w:rPr>
        <w:footnoteReference w:id="55"/>
      </w:r>
    </w:p>
    <w:p w:rsidR="007F7DDC" w:rsidRPr="003678FE" w:rsidP="00F03CB7" w14:paraId="5D47D3F5" w14:textId="77777777">
      <w:pPr>
        <w:spacing w:line="240" w:lineRule="auto"/>
        <w:jc w:val="center"/>
        <w:rPr>
          <w:rFonts w:ascii="Times New Roman" w:hAnsi="Times New Roman" w:cs="Times New Roman"/>
        </w:rPr>
      </w:pPr>
      <w:r w:rsidRPr="003678FE">
        <w:rPr>
          <w:rFonts w:ascii="Times New Roman" w:hAnsi="Times New Roman" w:cs="Times New Roman"/>
          <w:noProof/>
        </w:rPr>
        <w:drawing>
          <wp:inline distT="0" distB="0" distL="0" distR="0">
            <wp:extent cx="4794250" cy="4692650"/>
            <wp:effectExtent l="0" t="0" r="6350" b="0"/>
            <wp:docPr id="1113781760" name="Picture 111378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81760" name="Picture 2"/>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94250" cy="4692650"/>
                    </a:xfrm>
                    <a:prstGeom prst="rect">
                      <a:avLst/>
                    </a:prstGeom>
                    <a:noFill/>
                    <a:ln>
                      <a:noFill/>
                    </a:ln>
                  </pic:spPr>
                </pic:pic>
              </a:graphicData>
            </a:graphic>
          </wp:inline>
        </w:drawing>
      </w:r>
    </w:p>
    <w:p w:rsidR="007F7DDC" w:rsidRPr="003678FE" w:rsidP="006421B2" w14:paraId="279B3E37" w14:textId="77777777">
      <w:pPr>
        <w:spacing w:line="240" w:lineRule="auto"/>
        <w:rPr>
          <w:rFonts w:ascii="Times New Roman" w:hAnsi="Times New Roman" w:cs="Times New Roman"/>
          <w:b/>
          <w:bCs/>
        </w:rPr>
      </w:pPr>
      <w:r w:rsidRPr="003678FE">
        <w:rPr>
          <w:rFonts w:ascii="Times New Roman" w:hAnsi="Times New Roman" w:cs="Times New Roman"/>
          <w:b/>
          <w:bCs/>
        </w:rPr>
        <w:t xml:space="preserve">Figure </w:t>
      </w:r>
      <w:r w:rsidR="00C7050D">
        <w:rPr>
          <w:rFonts w:ascii="Times New Roman" w:hAnsi="Times New Roman" w:cs="Times New Roman"/>
          <w:b/>
          <w:bCs/>
        </w:rPr>
        <w:t>3</w:t>
      </w:r>
      <w:r w:rsidRPr="003678FE">
        <w:rPr>
          <w:rFonts w:ascii="Times New Roman" w:hAnsi="Times New Roman" w:cs="Times New Roman"/>
          <w:b/>
          <w:bCs/>
        </w:rPr>
        <w:t>-2: The image is from an overhead satellite. The facility is outlined in blue. (Google, annotated by CSB) (Source:  CSB 2022c, p. 17)</w:t>
      </w:r>
    </w:p>
    <w:p w:rsidR="007F7DDC" w:rsidRPr="003678FE" w:rsidP="006421B2" w14:paraId="09AE8B9E" w14:textId="77777777">
      <w:pPr>
        <w:spacing w:line="240" w:lineRule="auto"/>
        <w:rPr>
          <w:rFonts w:ascii="Times New Roman" w:hAnsi="Times New Roman" w:cs="Times New Roman"/>
        </w:rPr>
      </w:pPr>
    </w:p>
    <w:p w:rsidR="007F7DDC" w:rsidRPr="003678FE" w:rsidP="006421B2" w14:paraId="082ED264" w14:textId="77777777">
      <w:pPr>
        <w:spacing w:line="240" w:lineRule="auto"/>
        <w:rPr>
          <w:rFonts w:ascii="Times New Roman" w:hAnsi="Times New Roman" w:cs="Times New Roman"/>
        </w:rPr>
      </w:pPr>
      <w:r>
        <w:rPr>
          <w:rFonts w:ascii="Times New Roman" w:hAnsi="Times New Roman" w:cs="Times New Roman"/>
        </w:rPr>
        <w:tab/>
      </w:r>
      <w:r w:rsidRPr="003678FE">
        <w:rPr>
          <w:rFonts w:ascii="Times New Roman" w:hAnsi="Times New Roman" w:cs="Times New Roman"/>
        </w:rPr>
        <w:t>The social costs of the incident included damages sustained by the nearby community as well as the facility itself. Affected parties included workers; nearby residents, businesses, and schools; ships and other users of the Sabine-Neches Waterway; emergency responders; Jefferson County; and facility owners, among others. EPA has identified the following, not necessarily exhaustive, list of social costs:</w:t>
      </w:r>
    </w:p>
    <w:p w:rsidR="007F7DDC" w:rsidRPr="003678FE" w:rsidP="00082826" w14:paraId="0749FD54"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Jefferson County Emergency Management responded</w:t>
      </w:r>
      <w:r>
        <w:rPr>
          <w:rFonts w:ascii="Times New Roman" w:hAnsi="Times New Roman" w:cs="Times New Roman"/>
        </w:rPr>
        <w:t>.</w:t>
      </w:r>
      <w:r>
        <w:rPr>
          <w:rStyle w:val="FootnoteReference"/>
          <w:rFonts w:ascii="Times New Roman" w:hAnsi="Times New Roman" w:cs="Times New Roman"/>
        </w:rPr>
        <w:footnoteReference w:id="56"/>
      </w:r>
      <w:r>
        <w:rPr>
          <w:rFonts w:ascii="Times New Roman" w:hAnsi="Times New Roman" w:cs="Times New Roman"/>
          <w:vertAlign w:val="superscript"/>
        </w:rPr>
        <w:t>,</w:t>
      </w:r>
      <w:r>
        <w:rPr>
          <w:rStyle w:val="FootnoteReference"/>
          <w:rFonts w:ascii="Times New Roman" w:hAnsi="Times New Roman" w:cs="Times New Roman"/>
        </w:rPr>
        <w:footnoteReference w:id="57"/>
      </w:r>
    </w:p>
    <w:p w:rsidR="007F7DDC" w:rsidRPr="003678FE" w:rsidP="00082826" w14:paraId="3C883F6E"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Federal EPA personnel responded</w:t>
      </w:r>
      <w:r>
        <w:rPr>
          <w:rFonts w:ascii="Times New Roman" w:hAnsi="Times New Roman" w:cs="Times New Roman"/>
        </w:rPr>
        <w:t>.</w:t>
      </w:r>
      <w:r>
        <w:rPr>
          <w:rStyle w:val="FootnoteReference"/>
          <w:rFonts w:ascii="Times New Roman" w:hAnsi="Times New Roman" w:cs="Times New Roman"/>
        </w:rPr>
        <w:footnoteReference w:id="58"/>
      </w:r>
      <w:r w:rsidRPr="003678FE">
        <w:rPr>
          <w:rFonts w:ascii="Times New Roman" w:hAnsi="Times New Roman" w:cs="Times New Roman"/>
        </w:rPr>
        <w:t xml:space="preserve"> </w:t>
      </w:r>
    </w:p>
    <w:p w:rsidR="007F7DDC" w:rsidRPr="003678FE" w:rsidP="00082826" w14:paraId="51F6367A"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Firefighters from local agencies including the Port Neches Fire Department and from industry including TPC Port Neches Operations fire team, sprayed water on the blaze to keep nearby equipment cool until the fire “burned itself out</w:t>
      </w:r>
      <w:r>
        <w:rPr>
          <w:rFonts w:ascii="Times New Roman" w:hAnsi="Times New Roman" w:cs="Times New Roman"/>
        </w:rPr>
        <w:t>.</w:t>
      </w:r>
      <w:r w:rsidRPr="003678FE">
        <w:rPr>
          <w:rFonts w:ascii="Times New Roman" w:hAnsi="Times New Roman" w:cs="Times New Roman"/>
        </w:rPr>
        <w:t>”</w:t>
      </w:r>
      <w:r>
        <w:rPr>
          <w:rStyle w:val="FootnoteReference"/>
          <w:rFonts w:ascii="Times New Roman" w:hAnsi="Times New Roman" w:cs="Times New Roman"/>
        </w:rPr>
        <w:footnoteReference w:id="59"/>
      </w:r>
      <w:r>
        <w:rPr>
          <w:rFonts w:ascii="Times New Roman" w:hAnsi="Times New Roman" w:cs="Times New Roman"/>
          <w:vertAlign w:val="superscript"/>
        </w:rPr>
        <w:t>,</w:t>
      </w:r>
      <w:r>
        <w:rPr>
          <w:rStyle w:val="FootnoteReference"/>
          <w:rFonts w:ascii="Times New Roman" w:hAnsi="Times New Roman" w:cs="Times New Roman"/>
        </w:rPr>
        <w:footnoteReference w:id="60"/>
      </w:r>
      <w:r w:rsidRPr="003678FE">
        <w:rPr>
          <w:rFonts w:ascii="Times New Roman" w:hAnsi="Times New Roman" w:cs="Times New Roman"/>
        </w:rPr>
        <w:t xml:space="preserve"> </w:t>
      </w:r>
    </w:p>
    <w:p w:rsidR="007F7DDC" w:rsidRPr="003678FE" w:rsidP="00082826" w14:paraId="6D94C627"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Texas Commission on Environmental Quality responded to the initial explosion and conducted handheld air monitoring. They stated that volatile organic compounds were released and could be harmful in high concentrations</w:t>
      </w:r>
      <w:r>
        <w:rPr>
          <w:rFonts w:ascii="Times New Roman" w:hAnsi="Times New Roman" w:cs="Times New Roman"/>
        </w:rPr>
        <w:t>.</w:t>
      </w:r>
      <w:r>
        <w:rPr>
          <w:rStyle w:val="FootnoteReference"/>
          <w:rFonts w:ascii="Times New Roman" w:hAnsi="Times New Roman" w:cs="Times New Roman"/>
        </w:rPr>
        <w:footnoteReference w:id="61"/>
      </w:r>
      <w:r w:rsidRPr="003678FE">
        <w:rPr>
          <w:rFonts w:ascii="Times New Roman" w:hAnsi="Times New Roman" w:cs="Times New Roman"/>
        </w:rPr>
        <w:t xml:space="preserve"> </w:t>
      </w:r>
    </w:p>
    <w:p w:rsidR="007F7DDC" w:rsidRPr="003678FE" w:rsidP="00082826" w14:paraId="7F82AC37"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Three workers (two TPC employees and one contractor) were briefly hospitalized and experienced minor injuries</w:t>
      </w:r>
      <w:r>
        <w:rPr>
          <w:rFonts w:ascii="Times New Roman" w:hAnsi="Times New Roman" w:cs="Times New Roman"/>
        </w:rPr>
        <w:t>.</w:t>
      </w:r>
      <w:r>
        <w:rPr>
          <w:rStyle w:val="FootnoteReference"/>
          <w:rFonts w:ascii="Times New Roman" w:hAnsi="Times New Roman" w:cs="Times New Roman"/>
        </w:rPr>
        <w:footnoteReference w:id="62"/>
      </w:r>
      <w:r w:rsidRPr="003678FE">
        <w:rPr>
          <w:rFonts w:ascii="Times New Roman" w:hAnsi="Times New Roman" w:cs="Times New Roman"/>
        </w:rPr>
        <w:t xml:space="preserve"> </w:t>
      </w:r>
    </w:p>
    <w:p w:rsidR="007F7DDC" w:rsidRPr="003678FE" w:rsidP="00082826" w14:paraId="5315C978"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Five nearby residents reported injuries mostly related to shattered glass</w:t>
      </w:r>
      <w:r>
        <w:rPr>
          <w:rFonts w:ascii="Times New Roman" w:hAnsi="Times New Roman" w:cs="Times New Roman"/>
        </w:rPr>
        <w:t>.</w:t>
      </w:r>
      <w:r>
        <w:rPr>
          <w:rStyle w:val="FootnoteReference"/>
          <w:rFonts w:ascii="Times New Roman" w:hAnsi="Times New Roman" w:cs="Times New Roman"/>
        </w:rPr>
        <w:footnoteReference w:id="63"/>
      </w:r>
      <w:r>
        <w:rPr>
          <w:rFonts w:ascii="Times New Roman" w:hAnsi="Times New Roman" w:cs="Times New Roman"/>
          <w:vertAlign w:val="superscript"/>
        </w:rPr>
        <w:t>,</w:t>
      </w:r>
      <w:r>
        <w:rPr>
          <w:rStyle w:val="FootnoteReference"/>
          <w:rFonts w:ascii="Times New Roman" w:hAnsi="Times New Roman" w:cs="Times New Roman"/>
        </w:rPr>
        <w:footnoteReference w:id="64"/>
      </w:r>
    </w:p>
    <w:p w:rsidR="007F7DDC" w:rsidRPr="003678FE" w:rsidP="00082826" w14:paraId="05DED471"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A mandatory evacuation was ordered at 3:28 pm on the day of the incident for a four-mile radius around the facility, affecting over 50,000 residents of the cities of Port Neches, Groves, Nederland, and Port Arthur. This was the afternoon prior to Thanksgiving Day - Thursday, November 28th. There was also a curfew set between 10PM and 6AM. Both orders were lifted on November 29</w:t>
      </w:r>
      <w:r w:rsidRPr="003678FE">
        <w:rPr>
          <w:rFonts w:ascii="Times New Roman" w:hAnsi="Times New Roman" w:cs="Times New Roman"/>
          <w:vertAlign w:val="superscript"/>
        </w:rPr>
        <w:t>th</w:t>
      </w:r>
      <w:r>
        <w:rPr>
          <w:rFonts w:ascii="Times New Roman" w:hAnsi="Times New Roman" w:cs="Times New Roman"/>
        </w:rPr>
        <w:t>.</w:t>
      </w:r>
      <w:r>
        <w:rPr>
          <w:rStyle w:val="FootnoteReference"/>
          <w:rFonts w:ascii="Times New Roman" w:hAnsi="Times New Roman" w:cs="Times New Roman"/>
        </w:rPr>
        <w:footnoteReference w:id="65"/>
      </w:r>
      <w:r>
        <w:rPr>
          <w:rFonts w:ascii="Times New Roman" w:hAnsi="Times New Roman" w:cs="Times New Roman"/>
          <w:vertAlign w:val="superscript"/>
        </w:rPr>
        <w:t>,</w:t>
      </w:r>
      <w:r>
        <w:rPr>
          <w:rStyle w:val="FootnoteReference"/>
          <w:rFonts w:ascii="Times New Roman" w:hAnsi="Times New Roman" w:cs="Times New Roman"/>
        </w:rPr>
        <w:footnoteReference w:id="66"/>
      </w:r>
      <w:r>
        <w:rPr>
          <w:rFonts w:ascii="Times New Roman" w:hAnsi="Times New Roman" w:cs="Times New Roman"/>
          <w:vertAlign w:val="superscript"/>
        </w:rPr>
        <w:t>,</w:t>
      </w:r>
      <w:r>
        <w:rPr>
          <w:rStyle w:val="FootnoteReference"/>
          <w:rFonts w:ascii="Times New Roman" w:hAnsi="Times New Roman" w:cs="Times New Roman"/>
        </w:rPr>
        <w:footnoteReference w:id="67"/>
      </w:r>
      <w:r w:rsidRPr="003678FE">
        <w:rPr>
          <w:rFonts w:ascii="Times New Roman" w:hAnsi="Times New Roman" w:cs="Times New Roman"/>
          <w:vertAlign w:val="superscript"/>
        </w:rPr>
        <w:t xml:space="preserve"> </w:t>
      </w:r>
      <w:r w:rsidRPr="003678FE">
        <w:rPr>
          <w:rFonts w:ascii="Times New Roman" w:hAnsi="Times New Roman" w:cs="Times New Roman"/>
        </w:rPr>
        <w:t>Prior to the evacuation orders, shelter-in-place orders had been issued for a smaller area near the plant</w:t>
      </w:r>
      <w:r>
        <w:rPr>
          <w:rFonts w:ascii="Times New Roman" w:hAnsi="Times New Roman" w:cs="Times New Roman"/>
        </w:rPr>
        <w:t>.</w:t>
      </w:r>
      <w:r>
        <w:rPr>
          <w:rStyle w:val="FootnoteReference"/>
          <w:rFonts w:ascii="Times New Roman" w:hAnsi="Times New Roman" w:cs="Times New Roman"/>
        </w:rPr>
        <w:footnoteReference w:id="68"/>
      </w:r>
      <w:r w:rsidRPr="003678FE">
        <w:rPr>
          <w:rFonts w:ascii="Times New Roman" w:hAnsi="Times New Roman" w:cs="Times New Roman"/>
        </w:rPr>
        <w:t xml:space="preserve">  </w:t>
      </w:r>
    </w:p>
    <w:p w:rsidR="007F7DDC" w:rsidRPr="003678FE" w:rsidP="00082826" w14:paraId="5088B057"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State law enforcement officers enforced the mandatory evacuation and curfew</w:t>
      </w:r>
      <w:r>
        <w:rPr>
          <w:rFonts w:ascii="Times New Roman" w:hAnsi="Times New Roman" w:cs="Times New Roman"/>
        </w:rPr>
        <w:t>.</w:t>
      </w:r>
      <w:r>
        <w:rPr>
          <w:rStyle w:val="FootnoteReference"/>
          <w:rFonts w:ascii="Times New Roman" w:hAnsi="Times New Roman" w:cs="Times New Roman"/>
        </w:rPr>
        <w:footnoteReference w:id="69"/>
      </w:r>
    </w:p>
    <w:p w:rsidR="007F7DDC" w:rsidRPr="003678FE" w:rsidP="00082826" w14:paraId="26E1E9C6"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Residents were warned not to touch any debris that they might discover as it could be from the explosions and could contain asbestos and/or be potentially contaminated. Residents were asked to contact TPC who would test it, remove it and dispose of it</w:t>
      </w:r>
      <w:r>
        <w:rPr>
          <w:rFonts w:ascii="Times New Roman" w:hAnsi="Times New Roman" w:cs="Times New Roman"/>
        </w:rPr>
        <w:t>.</w:t>
      </w:r>
      <w:r>
        <w:rPr>
          <w:rStyle w:val="FootnoteReference"/>
          <w:rFonts w:ascii="Times New Roman" w:hAnsi="Times New Roman" w:cs="Times New Roman"/>
        </w:rPr>
        <w:footnoteReference w:id="70"/>
      </w:r>
    </w:p>
    <w:p w:rsidR="007F7DDC" w:rsidRPr="003678FE" w:rsidP="00082826" w14:paraId="43D2278C"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The explosion reduced the use of the Sabine-Neches Waterway which carries the third largest volume of cargo in the nation. The US Coast Guard issued a Marine Safety Information Bulletin on Nov 27</w:t>
      </w:r>
      <w:r w:rsidRPr="003678FE">
        <w:rPr>
          <w:rFonts w:ascii="Times New Roman" w:hAnsi="Times New Roman" w:cs="Times New Roman"/>
          <w:vertAlign w:val="superscript"/>
        </w:rPr>
        <w:t>th</w:t>
      </w:r>
      <w:r w:rsidRPr="003678FE">
        <w:rPr>
          <w:rFonts w:ascii="Times New Roman" w:hAnsi="Times New Roman" w:cs="Times New Roman"/>
        </w:rPr>
        <w:t xml:space="preserve"> that established a safety zone on the river from which vessels and people were prohibited from entering without special permission. The prohibition ran from Nov 27th to Nov 29</w:t>
      </w:r>
      <w:r w:rsidRPr="001C77DF">
        <w:rPr>
          <w:rFonts w:ascii="Times New Roman" w:hAnsi="Times New Roman" w:cs="Times New Roman"/>
          <w:vertAlign w:val="superscript"/>
        </w:rPr>
        <w:t>th</w:t>
      </w:r>
      <w:r>
        <w:rPr>
          <w:rFonts w:ascii="Times New Roman" w:hAnsi="Times New Roman" w:cs="Times New Roman"/>
        </w:rPr>
        <w:t>.</w:t>
      </w:r>
      <w:r>
        <w:rPr>
          <w:rStyle w:val="FootnoteReference"/>
          <w:rFonts w:ascii="Times New Roman" w:hAnsi="Times New Roman" w:cs="Times New Roman"/>
        </w:rPr>
        <w:footnoteReference w:id="71"/>
      </w:r>
      <w:r w:rsidRPr="003678FE">
        <w:rPr>
          <w:rFonts w:ascii="Times New Roman" w:hAnsi="Times New Roman" w:cs="Times New Roman"/>
        </w:rPr>
        <w:t xml:space="preserve"> </w:t>
      </w:r>
    </w:p>
    <w:p w:rsidR="007F7DDC" w:rsidRPr="003678FE" w:rsidP="00082826" w14:paraId="7043FECC"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The large plumes of smoke from the fire were potential sources of respiratory irritation according to Troy Monk, TPC’s safety director</w:t>
      </w:r>
      <w:r>
        <w:rPr>
          <w:rFonts w:ascii="Times New Roman" w:hAnsi="Times New Roman" w:cs="Times New Roman"/>
        </w:rPr>
        <w:t>.</w:t>
      </w:r>
      <w:r>
        <w:rPr>
          <w:rStyle w:val="FootnoteReference"/>
          <w:rFonts w:ascii="Times New Roman" w:hAnsi="Times New Roman" w:cs="Times New Roman"/>
        </w:rPr>
        <w:footnoteReference w:id="72"/>
      </w:r>
    </w:p>
    <w:p w:rsidR="007F7DDC" w:rsidRPr="003678FE" w:rsidP="00082826" w14:paraId="7B92C93F"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Local, state, and Red Cross officials opened shelters and sent in supplies for the evacuees</w:t>
      </w:r>
      <w:r>
        <w:rPr>
          <w:rFonts w:ascii="Times New Roman" w:hAnsi="Times New Roman" w:cs="Times New Roman"/>
        </w:rPr>
        <w:t>.</w:t>
      </w:r>
      <w:r>
        <w:rPr>
          <w:rStyle w:val="FootnoteReference"/>
          <w:rFonts w:ascii="Times New Roman" w:hAnsi="Times New Roman" w:cs="Times New Roman"/>
        </w:rPr>
        <w:footnoteReference w:id="73"/>
      </w:r>
    </w:p>
    <w:p w:rsidR="007F7DDC" w:rsidRPr="003678FE" w:rsidP="00082826" w14:paraId="493F80E1"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Port Neches schools did not reopen as scheduled following their Thanksgiving vacation because they were cleaning, inspecting, and repairing buildings and having debris removed. School opening was delayed by a week, from Dec 2nd to Dec 9</w:t>
      </w:r>
      <w:r w:rsidRPr="001C77DF">
        <w:rPr>
          <w:rFonts w:ascii="Times New Roman" w:hAnsi="Times New Roman" w:cs="Times New Roman"/>
          <w:vertAlign w:val="superscript"/>
        </w:rPr>
        <w:t>th</w:t>
      </w:r>
      <w:r>
        <w:rPr>
          <w:rFonts w:ascii="Times New Roman" w:hAnsi="Times New Roman" w:cs="Times New Roman"/>
        </w:rPr>
        <w:t>.</w:t>
      </w:r>
      <w:r>
        <w:rPr>
          <w:rStyle w:val="FootnoteReference"/>
          <w:rFonts w:ascii="Times New Roman" w:hAnsi="Times New Roman" w:cs="Times New Roman"/>
        </w:rPr>
        <w:footnoteReference w:id="74"/>
      </w:r>
    </w:p>
    <w:p w:rsidR="007F7DDC" w:rsidRPr="003678FE" w:rsidP="00082826" w14:paraId="24400F7B"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 xml:space="preserve">A shelter-in-place was ordered at 6PM on Dec 4th by the Port Neches Fire Chief for the 50,000 residents of the City of Port Neches. This was followed by a voluntary evacuation order. The orders were in response to concerns over air quality after elevated levels of butadiene were detected. Health effects of </w:t>
      </w:r>
      <w:r w:rsidRPr="003678FE">
        <w:rPr>
          <w:rFonts w:ascii="Times New Roman" w:hAnsi="Times New Roman" w:cs="Times New Roman"/>
        </w:rPr>
        <w:t>concern included dizziness, nausea, headaches, or throat and eye irritation. Both orders were lifted on December 5</w:t>
      </w:r>
      <w:r w:rsidRPr="001C77DF">
        <w:rPr>
          <w:rFonts w:ascii="Times New Roman" w:hAnsi="Times New Roman" w:cs="Times New Roman"/>
          <w:vertAlign w:val="superscript"/>
        </w:rPr>
        <w:t>th</w:t>
      </w:r>
      <w:r>
        <w:rPr>
          <w:rFonts w:ascii="Times New Roman" w:hAnsi="Times New Roman" w:cs="Times New Roman"/>
        </w:rPr>
        <w:t>.</w:t>
      </w:r>
      <w:r>
        <w:rPr>
          <w:rStyle w:val="FootnoteReference"/>
          <w:rFonts w:ascii="Times New Roman" w:hAnsi="Times New Roman" w:cs="Times New Roman"/>
        </w:rPr>
        <w:footnoteReference w:id="75"/>
      </w:r>
      <w:r>
        <w:rPr>
          <w:rFonts w:ascii="Times New Roman" w:hAnsi="Times New Roman" w:cs="Times New Roman"/>
          <w:vertAlign w:val="superscript"/>
        </w:rPr>
        <w:t>,</w:t>
      </w:r>
      <w:r>
        <w:rPr>
          <w:rStyle w:val="FootnoteReference"/>
          <w:rFonts w:ascii="Times New Roman" w:hAnsi="Times New Roman" w:cs="Times New Roman"/>
        </w:rPr>
        <w:footnoteReference w:id="76"/>
      </w:r>
      <w:r w:rsidRPr="003678FE">
        <w:rPr>
          <w:rFonts w:ascii="Times New Roman" w:hAnsi="Times New Roman" w:cs="Times New Roman"/>
        </w:rPr>
        <w:t xml:space="preserve"> </w:t>
      </w:r>
    </w:p>
    <w:p w:rsidR="007F7DDC" w:rsidRPr="003678FE" w:rsidP="00082826" w14:paraId="489EB00F"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Environmental damage included fish or animal kills, water contamination and soil contamination</w:t>
      </w:r>
      <w:r>
        <w:rPr>
          <w:rFonts w:ascii="Times New Roman" w:hAnsi="Times New Roman" w:cs="Times New Roman"/>
        </w:rPr>
        <w:t>.</w:t>
      </w:r>
      <w:r>
        <w:rPr>
          <w:rStyle w:val="FootnoteReference"/>
          <w:rFonts w:ascii="Times New Roman" w:hAnsi="Times New Roman" w:cs="Times New Roman"/>
        </w:rPr>
        <w:footnoteReference w:id="77"/>
      </w:r>
    </w:p>
    <w:p w:rsidR="00D76A16" w:rsidRPr="003678FE" w:rsidP="00082826" w14:paraId="0AD50924" w14:textId="77777777">
      <w:pPr>
        <w:numPr>
          <w:ilvl w:val="0"/>
          <w:numId w:val="22"/>
        </w:numPr>
        <w:spacing w:line="240" w:lineRule="auto"/>
        <w:contextualSpacing/>
        <w:rPr>
          <w:rFonts w:ascii="Times New Roman" w:hAnsi="Times New Roman" w:cs="Times New Roman"/>
        </w:rPr>
      </w:pPr>
      <w:r w:rsidRPr="003678FE">
        <w:rPr>
          <w:rFonts w:ascii="Times New Roman" w:hAnsi="Times New Roman" w:cs="Times New Roman"/>
        </w:rPr>
        <w:t>Onsite property damage was estimated at $380m to $450m</w:t>
      </w:r>
      <w:r>
        <w:rPr>
          <w:rFonts w:ascii="Times New Roman" w:hAnsi="Times New Roman" w:cs="Times New Roman"/>
        </w:rPr>
        <w:t>.</w:t>
      </w:r>
      <w:r>
        <w:rPr>
          <w:rStyle w:val="FootnoteReference"/>
          <w:rFonts w:ascii="Times New Roman" w:hAnsi="Times New Roman" w:cs="Times New Roman"/>
        </w:rPr>
        <w:footnoteReference w:id="78"/>
      </w:r>
      <w:r>
        <w:rPr>
          <w:rFonts w:ascii="Times New Roman" w:hAnsi="Times New Roman" w:cs="Times New Roman"/>
          <w:vertAlign w:val="superscript"/>
        </w:rPr>
        <w:t>,</w:t>
      </w:r>
      <w:r>
        <w:rPr>
          <w:rStyle w:val="FootnoteReference"/>
          <w:rFonts w:ascii="Times New Roman" w:hAnsi="Times New Roman" w:cs="Times New Roman"/>
        </w:rPr>
        <w:footnoteReference w:id="79"/>
      </w:r>
    </w:p>
    <w:p w:rsidR="007F7DDC" w:rsidRPr="000A78D8" w:rsidP="00082826" w14:paraId="29CC6DD1" w14:textId="77777777">
      <w:pPr>
        <w:numPr>
          <w:ilvl w:val="0"/>
          <w:numId w:val="22"/>
        </w:numPr>
        <w:spacing w:line="240" w:lineRule="auto"/>
        <w:rPr>
          <w:rFonts w:ascii="Times New Roman" w:hAnsi="Times New Roman" w:cs="Times New Roman"/>
        </w:rPr>
      </w:pPr>
      <w:r w:rsidRPr="00885FE3">
        <w:rPr>
          <w:rFonts w:ascii="Times New Roman" w:hAnsi="Times New Roman" w:cs="Times New Roman"/>
        </w:rPr>
        <w:t>Offsite property damage occurred to nearby homes and businesses, including blown out windows and doors and ripped -off roofing shingles of nearby homes and other buildings. Damages were estimated at $150m.</w:t>
      </w:r>
      <w:r>
        <w:rPr>
          <w:rStyle w:val="FootnoteReference"/>
          <w:rFonts w:ascii="Times New Roman" w:hAnsi="Times New Roman" w:cs="Times New Roman"/>
        </w:rPr>
        <w:footnoteReference w:id="80"/>
      </w:r>
      <w:r w:rsidRPr="000A78D8">
        <w:rPr>
          <w:rFonts w:ascii="Times New Roman" w:hAnsi="Times New Roman" w:cs="Times New Roman"/>
          <w:vertAlign w:val="superscript"/>
        </w:rPr>
        <w:t>,</w:t>
      </w:r>
      <w:r>
        <w:rPr>
          <w:rStyle w:val="FootnoteReference"/>
          <w:rFonts w:ascii="Times New Roman" w:hAnsi="Times New Roman" w:cs="Times New Roman"/>
        </w:rPr>
        <w:footnoteReference w:id="81"/>
      </w:r>
      <w:r w:rsidRPr="000A78D8">
        <w:rPr>
          <w:rFonts w:ascii="Times New Roman" w:hAnsi="Times New Roman" w:cs="Times New Roman"/>
        </w:rPr>
        <w:t xml:space="preserve"> </w:t>
      </w:r>
    </w:p>
    <w:p w:rsidR="007F7DDC" w:rsidRPr="003678FE" w:rsidP="006421B2" w14:paraId="229DA632" w14:textId="77777777">
      <w:pPr>
        <w:spacing w:line="240" w:lineRule="auto"/>
        <w:rPr>
          <w:rFonts w:ascii="Times New Roman" w:hAnsi="Times New Roman" w:cs="Times New Roman"/>
        </w:rPr>
      </w:pPr>
      <w:r>
        <w:rPr>
          <w:rFonts w:ascii="Times New Roman" w:hAnsi="Times New Roman" w:cs="Times New Roman"/>
        </w:rPr>
        <w:tab/>
      </w:r>
      <w:r w:rsidRPr="003678FE">
        <w:rPr>
          <w:rFonts w:ascii="Times New Roman" w:hAnsi="Times New Roman" w:cs="Times New Roman"/>
        </w:rPr>
        <w:t xml:space="preserve">During the incident, Brent Roy of the United Steelworkers </w:t>
      </w:r>
      <w:r>
        <w:rPr>
          <w:rFonts w:ascii="Times New Roman" w:hAnsi="Times New Roman" w:cs="Times New Roman"/>
        </w:rPr>
        <w:t>U</w:t>
      </w:r>
      <w:r w:rsidRPr="003678FE">
        <w:rPr>
          <w:rFonts w:ascii="Times New Roman" w:hAnsi="Times New Roman" w:cs="Times New Roman"/>
        </w:rPr>
        <w:t>nion</w:t>
      </w:r>
      <w:r>
        <w:rPr>
          <w:rFonts w:ascii="Times New Roman" w:hAnsi="Times New Roman" w:cs="Times New Roman"/>
        </w:rPr>
        <w:t>,</w:t>
      </w:r>
      <w:r w:rsidRPr="003678FE">
        <w:rPr>
          <w:rFonts w:ascii="Times New Roman" w:hAnsi="Times New Roman" w:cs="Times New Roman"/>
        </w:rPr>
        <w:t xml:space="preserve"> which represented workers in the facility</w:t>
      </w:r>
      <w:r>
        <w:rPr>
          <w:rFonts w:ascii="Times New Roman" w:hAnsi="Times New Roman" w:cs="Times New Roman"/>
        </w:rPr>
        <w:t>,</w:t>
      </w:r>
      <w:r w:rsidRPr="003678FE">
        <w:rPr>
          <w:rFonts w:ascii="Times New Roman" w:hAnsi="Times New Roman" w:cs="Times New Roman"/>
        </w:rPr>
        <w:t xml:space="preserve"> stated that if the tanks closest to the fire overheated, they would feed the ongoing fire and that other nearby tanks posed yet more serious threats. The direction of the wind affected that threat</w:t>
      </w:r>
      <w:r>
        <w:rPr>
          <w:rFonts w:ascii="Times New Roman" w:hAnsi="Times New Roman" w:cs="Times New Roman"/>
        </w:rPr>
        <w:t>.</w:t>
      </w:r>
      <w:r>
        <w:rPr>
          <w:rStyle w:val="FootnoteReference"/>
          <w:rFonts w:ascii="Times New Roman" w:hAnsi="Times New Roman" w:cs="Times New Roman"/>
        </w:rPr>
        <w:footnoteReference w:id="82"/>
      </w:r>
      <w:r w:rsidRPr="003678FE">
        <w:rPr>
          <w:rFonts w:ascii="Times New Roman" w:hAnsi="Times New Roman" w:cs="Times New Roman"/>
        </w:rPr>
        <w:t xml:space="preserve"> Jeff Branick of the Jefferson County Office of Emergency Management explained that the blast that propelled a tower “like a missile” led to concerns that if another large piece of debris were to go into the facility’s tank farm</w:t>
      </w:r>
      <w:r>
        <w:rPr>
          <w:rFonts w:ascii="Times New Roman" w:hAnsi="Times New Roman" w:cs="Times New Roman"/>
        </w:rPr>
        <w:t>,</w:t>
      </w:r>
      <w:r w:rsidRPr="003678FE">
        <w:rPr>
          <w:rFonts w:ascii="Times New Roman" w:hAnsi="Times New Roman" w:cs="Times New Roman"/>
        </w:rPr>
        <w:t xml:space="preserve"> the results could lead to catastrophe, hence the order to evacuate</w:t>
      </w:r>
      <w:r>
        <w:rPr>
          <w:rFonts w:ascii="Times New Roman" w:hAnsi="Times New Roman" w:cs="Times New Roman"/>
        </w:rPr>
        <w:t>.</w:t>
      </w:r>
      <w:r>
        <w:rPr>
          <w:rStyle w:val="FootnoteReference"/>
          <w:rFonts w:ascii="Times New Roman" w:hAnsi="Times New Roman" w:cs="Times New Roman"/>
        </w:rPr>
        <w:footnoteReference w:id="83"/>
      </w:r>
      <w:r w:rsidRPr="003678FE">
        <w:rPr>
          <w:rFonts w:ascii="Times New Roman" w:hAnsi="Times New Roman" w:cs="Times New Roman"/>
        </w:rPr>
        <w:t xml:space="preserve"> </w:t>
      </w:r>
    </w:p>
    <w:p w:rsidR="00C57989" w:rsidRPr="00BF42A8" w:rsidP="00E10517" w14:paraId="14FD99A5" w14:textId="77777777">
      <w:pPr>
        <w:spacing w:line="240" w:lineRule="auto"/>
        <w:rPr>
          <w:rFonts w:ascii="Times New Roman" w:hAnsi="Times New Roman" w:cs="Times New Roman"/>
        </w:rPr>
      </w:pPr>
      <w:r>
        <w:rPr>
          <w:rFonts w:ascii="Times New Roman" w:hAnsi="Times New Roman" w:cs="Times New Roman"/>
        </w:rPr>
        <w:tab/>
      </w:r>
      <w:r w:rsidRPr="003678FE">
        <w:rPr>
          <w:rFonts w:ascii="Times New Roman" w:hAnsi="Times New Roman" w:cs="Times New Roman"/>
        </w:rPr>
        <w:t>On June 1, 2022, TPC filed for Chapter 11 bankruptcy</w:t>
      </w:r>
      <w:r>
        <w:rPr>
          <w:rFonts w:ascii="Times New Roman" w:hAnsi="Times New Roman" w:cs="Times New Roman"/>
        </w:rPr>
        <w:t>.</w:t>
      </w:r>
      <w:r>
        <w:rPr>
          <w:rStyle w:val="FootnoteReference"/>
          <w:rFonts w:ascii="Times New Roman" w:hAnsi="Times New Roman" w:cs="Times New Roman"/>
        </w:rPr>
        <w:footnoteReference w:id="84"/>
      </w:r>
      <w:r>
        <w:rPr>
          <w:rFonts w:ascii="Times New Roman" w:hAnsi="Times New Roman" w:cs="Times New Roman"/>
        </w:rPr>
        <w:t xml:space="preserve"> </w:t>
      </w:r>
      <w:r w:rsidRPr="003678FE">
        <w:rPr>
          <w:rFonts w:ascii="Times New Roman" w:hAnsi="Times New Roman" w:cs="Times New Roman"/>
        </w:rPr>
        <w:t>The processing units are no longer operating and instead the facility is in operation as a terminal</w:t>
      </w:r>
      <w:r>
        <w:rPr>
          <w:rFonts w:ascii="Times New Roman" w:hAnsi="Times New Roman" w:cs="Times New Roman"/>
        </w:rPr>
        <w:t>.</w:t>
      </w:r>
      <w:r>
        <w:rPr>
          <w:rStyle w:val="FootnoteReference"/>
          <w:rFonts w:ascii="Times New Roman" w:hAnsi="Times New Roman" w:cs="Times New Roman"/>
        </w:rPr>
        <w:footnoteReference w:id="85"/>
      </w:r>
      <w:r w:rsidRPr="003678FE">
        <w:rPr>
          <w:rFonts w:ascii="Times New Roman" w:hAnsi="Times New Roman" w:cs="Times New Roman"/>
        </w:rPr>
        <w:t xml:space="preserve"> </w:t>
      </w:r>
    </w:p>
    <w:p w:rsidR="00C57989" w:rsidRPr="00925907" w:rsidP="00EC2D22" w14:paraId="5FFBFB5F" w14:textId="77777777">
      <w:pPr>
        <w:pStyle w:val="Heading3"/>
        <w:rPr>
          <w:rFonts w:ascii="Times New Roman" w:hAnsi="Times New Roman" w:cs="Times New Roman"/>
          <w:sz w:val="22"/>
          <w:szCs w:val="22"/>
        </w:rPr>
      </w:pPr>
      <w:bookmarkStart w:id="115" w:name="_Toc141732921"/>
      <w:bookmarkStart w:id="116" w:name="_Toc141733132"/>
      <w:bookmarkStart w:id="117" w:name="_Toc142404036"/>
      <w:bookmarkStart w:id="118" w:name="_Toc144213843"/>
      <w:bookmarkStart w:id="119" w:name="_Toc144283588"/>
      <w:bookmarkStart w:id="120" w:name="_Toc144303526"/>
      <w:r w:rsidRPr="00EC2D22">
        <w:rPr>
          <w:rFonts w:ascii="Times New Roman" w:hAnsi="Times New Roman" w:cs="Times New Roman"/>
          <w:sz w:val="22"/>
          <w:szCs w:val="22"/>
        </w:rPr>
        <w:t>3.</w:t>
      </w:r>
      <w:r w:rsidR="00EC2D22">
        <w:rPr>
          <w:rFonts w:ascii="Times New Roman" w:hAnsi="Times New Roman" w:cs="Times New Roman"/>
        </w:rPr>
        <w:t>2.2</w:t>
      </w:r>
      <w:r w:rsidRPr="00EC2D22">
        <w:rPr>
          <w:rFonts w:ascii="Times New Roman" w:hAnsi="Times New Roman" w:cs="Times New Roman"/>
          <w:sz w:val="22"/>
          <w:szCs w:val="22"/>
        </w:rPr>
        <w:t xml:space="preserve"> </w:t>
      </w:r>
      <w:r w:rsidRPr="00925907">
        <w:rPr>
          <w:rFonts w:ascii="Times New Roman" w:hAnsi="Times New Roman" w:cs="Times New Roman"/>
          <w:sz w:val="22"/>
          <w:szCs w:val="22"/>
        </w:rPr>
        <w:t>Onsite RMP-reportable Accidents in the Five-year</w:t>
      </w:r>
      <w:r w:rsidRPr="00925907">
        <w:rPr>
          <w:rFonts w:ascii="Times New Roman" w:hAnsi="Times New Roman" w:cs="Times New Roman"/>
          <w:spacing w:val="-6"/>
          <w:sz w:val="22"/>
          <w:szCs w:val="22"/>
        </w:rPr>
        <w:t xml:space="preserve"> </w:t>
      </w:r>
      <w:r w:rsidRPr="00925907">
        <w:rPr>
          <w:rFonts w:ascii="Times New Roman" w:hAnsi="Times New Roman" w:cs="Times New Roman"/>
          <w:sz w:val="22"/>
          <w:szCs w:val="22"/>
        </w:rPr>
        <w:t>Baseline</w:t>
      </w:r>
      <w:bookmarkEnd w:id="115"/>
      <w:bookmarkEnd w:id="116"/>
      <w:bookmarkEnd w:id="117"/>
      <w:bookmarkEnd w:id="118"/>
      <w:bookmarkEnd w:id="119"/>
      <w:bookmarkEnd w:id="120"/>
    </w:p>
    <w:p w:rsidR="00CF32CC" w:rsidP="00C57989" w14:paraId="60E760B3"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Exhibit </w:t>
      </w:r>
      <w:r w:rsidR="0017397A">
        <w:rPr>
          <w:rFonts w:ascii="Times New Roman" w:hAnsi="Times New Roman" w:cs="Times New Roman"/>
        </w:rPr>
        <w:t>3-</w:t>
      </w:r>
      <w:r w:rsidR="00D3523B">
        <w:rPr>
          <w:rFonts w:ascii="Times New Roman" w:hAnsi="Times New Roman" w:cs="Times New Roman"/>
        </w:rPr>
        <w:t>11</w:t>
      </w:r>
      <w:r w:rsidRPr="00BF42A8">
        <w:rPr>
          <w:rFonts w:ascii="Times New Roman" w:hAnsi="Times New Roman" w:cs="Times New Roman"/>
        </w:rPr>
        <w:t xml:space="preserve"> presents the five-year data (2016 to 2020), by year, for onsite impacts of accidents. Deaths and injuries are either to employees</w:t>
      </w:r>
      <w:r w:rsidR="000578D5">
        <w:rPr>
          <w:rFonts w:ascii="Times New Roman" w:hAnsi="Times New Roman" w:cs="Times New Roman"/>
        </w:rPr>
        <w:t xml:space="preserve">, </w:t>
      </w:r>
      <w:r w:rsidR="00C715B5">
        <w:rPr>
          <w:rFonts w:ascii="Times New Roman" w:hAnsi="Times New Roman" w:cs="Times New Roman"/>
        </w:rPr>
        <w:t>public</w:t>
      </w:r>
      <w:r w:rsidR="000578D5">
        <w:rPr>
          <w:rFonts w:ascii="Times New Roman" w:hAnsi="Times New Roman" w:cs="Times New Roman"/>
        </w:rPr>
        <w:t xml:space="preserve"> responders,</w:t>
      </w:r>
      <w:r w:rsidRPr="00BF42A8">
        <w:rPr>
          <w:rFonts w:ascii="Times New Roman" w:hAnsi="Times New Roman" w:cs="Times New Roman"/>
        </w:rPr>
        <w:t xml:space="preserve"> or the public.</w:t>
      </w:r>
    </w:p>
    <w:p w:rsidR="00C57989" w:rsidRPr="00BF42A8" w:rsidP="00C57989" w14:paraId="2775902A" w14:textId="77777777">
      <w:pPr>
        <w:spacing w:after="0" w:line="240" w:lineRule="auto"/>
        <w:ind w:firstLine="360"/>
        <w:rPr>
          <w:rFonts w:ascii="Times New Roman" w:hAnsi="Times New Roman" w:cs="Times New Roman"/>
        </w:rPr>
      </w:pPr>
    </w:p>
    <w:p w:rsidR="00C57989" w:rsidRPr="00964C0A" w:rsidP="00C57989" w14:paraId="64286CA1" w14:textId="77777777">
      <w:pPr>
        <w:pStyle w:val="Caption"/>
        <w:jc w:val="center"/>
        <w:rPr>
          <w:rFonts w:ascii="Times New Roman" w:hAnsi="Times New Roman" w:cs="Times New Roman"/>
          <w:b/>
          <w:bCs/>
          <w:i w:val="0"/>
          <w:iCs w:val="0"/>
          <w:color w:val="auto"/>
          <w:sz w:val="22"/>
          <w:szCs w:val="22"/>
        </w:rPr>
      </w:pPr>
      <w:r w:rsidRPr="00964C0A">
        <w:rPr>
          <w:rFonts w:ascii="Times New Roman" w:hAnsi="Times New Roman" w:cs="Times New Roman"/>
          <w:b/>
          <w:bCs/>
          <w:i w:val="0"/>
          <w:iCs w:val="0"/>
          <w:color w:val="auto"/>
          <w:sz w:val="22"/>
          <w:szCs w:val="22"/>
        </w:rPr>
        <w:t xml:space="preserve">Exhibit </w:t>
      </w:r>
      <w:r w:rsidR="0017397A">
        <w:rPr>
          <w:rFonts w:ascii="Times New Roman" w:hAnsi="Times New Roman" w:cs="Times New Roman"/>
          <w:b/>
          <w:bCs/>
          <w:i w:val="0"/>
          <w:iCs w:val="0"/>
          <w:color w:val="auto"/>
          <w:sz w:val="22"/>
          <w:szCs w:val="22"/>
        </w:rPr>
        <w:t>3-</w:t>
      </w:r>
      <w:r w:rsidR="00D3523B">
        <w:rPr>
          <w:rFonts w:ascii="Times New Roman" w:hAnsi="Times New Roman" w:cs="Times New Roman"/>
          <w:b/>
          <w:bCs/>
          <w:i w:val="0"/>
          <w:iCs w:val="0"/>
          <w:color w:val="auto"/>
          <w:sz w:val="22"/>
          <w:szCs w:val="22"/>
        </w:rPr>
        <w:t>11</w:t>
      </w:r>
      <w:r w:rsidRPr="00964C0A">
        <w:rPr>
          <w:rFonts w:ascii="Times New Roman" w:hAnsi="Times New Roman" w:cs="Times New Roman"/>
          <w:b/>
          <w:bCs/>
          <w:i w:val="0"/>
          <w:iCs w:val="0"/>
          <w:color w:val="auto"/>
          <w:sz w:val="22"/>
          <w:szCs w:val="22"/>
        </w:rPr>
        <w:t>: Onsite Impacts by Year: 2016-2020.</w:t>
      </w:r>
    </w:p>
    <w:tbl>
      <w:tblPr>
        <w:tblW w:w="5000" w:type="pct"/>
        <w:jc w:val="center"/>
        <w:tblLook w:val="04A0"/>
      </w:tblPr>
      <w:tblGrid>
        <w:gridCol w:w="1172"/>
        <w:gridCol w:w="1050"/>
        <w:gridCol w:w="1061"/>
        <w:gridCol w:w="1061"/>
        <w:gridCol w:w="1139"/>
        <w:gridCol w:w="1139"/>
        <w:gridCol w:w="894"/>
        <w:gridCol w:w="805"/>
        <w:gridCol w:w="1649"/>
      </w:tblGrid>
      <w:tr w14:paraId="77582E25" w14:textId="77777777" w:rsidTr="00D26754">
        <w:tblPrEx>
          <w:tblW w:w="5000" w:type="pct"/>
          <w:jc w:val="center"/>
          <w:tblLook w:val="04A0"/>
        </w:tblPrEx>
        <w:trPr>
          <w:trHeight w:val="530"/>
          <w:jc w:val="center"/>
        </w:trPr>
        <w:tc>
          <w:tcPr>
            <w:tcW w:w="58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7611E" w:rsidRPr="00964C0A" w:rsidP="00AD4A42" w14:paraId="7DDC405D"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Year</w:t>
            </w:r>
          </w:p>
        </w:tc>
        <w:tc>
          <w:tcPr>
            <w:tcW w:w="527" w:type="pct"/>
            <w:tcBorders>
              <w:top w:val="single" w:sz="4" w:space="0" w:color="auto"/>
              <w:left w:val="nil"/>
              <w:bottom w:val="single" w:sz="4" w:space="0" w:color="auto"/>
              <w:right w:val="single" w:sz="4" w:space="0" w:color="auto"/>
            </w:tcBorders>
            <w:shd w:val="clear" w:color="000000" w:fill="D9D9D9"/>
            <w:vAlign w:val="center"/>
            <w:hideMark/>
          </w:tcPr>
          <w:p w:rsidR="0057611E" w:rsidRPr="00964C0A" w:rsidP="00AD4A42" w14:paraId="059E34DD"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Impact Accidents</w:t>
            </w:r>
          </w:p>
        </w:tc>
        <w:tc>
          <w:tcPr>
            <w:tcW w:w="532" w:type="pct"/>
            <w:tcBorders>
              <w:top w:val="single" w:sz="4" w:space="0" w:color="auto"/>
              <w:left w:val="nil"/>
              <w:bottom w:val="single" w:sz="4" w:space="0" w:color="auto"/>
              <w:right w:val="single" w:sz="4" w:space="0" w:color="auto"/>
            </w:tcBorders>
            <w:shd w:val="clear" w:color="000000" w:fill="D9D9D9"/>
            <w:vAlign w:val="center"/>
            <w:hideMark/>
          </w:tcPr>
          <w:p w:rsidR="0057611E" w:rsidRPr="00964C0A" w:rsidP="00AD4A42" w14:paraId="215EA62E"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Employee Deaths</w:t>
            </w:r>
          </w:p>
        </w:tc>
        <w:tc>
          <w:tcPr>
            <w:tcW w:w="532" w:type="pct"/>
            <w:tcBorders>
              <w:top w:val="single" w:sz="4" w:space="0" w:color="auto"/>
              <w:left w:val="nil"/>
              <w:bottom w:val="single" w:sz="4" w:space="0" w:color="auto"/>
              <w:right w:val="single" w:sz="4" w:space="0" w:color="auto"/>
            </w:tcBorders>
            <w:shd w:val="clear" w:color="000000" w:fill="D9D9D9"/>
            <w:vAlign w:val="center"/>
            <w:hideMark/>
          </w:tcPr>
          <w:p w:rsidR="0057611E" w:rsidRPr="00964C0A" w:rsidP="00AD4A42" w14:paraId="4719E669"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Employee Injuries</w:t>
            </w:r>
          </w:p>
        </w:tc>
        <w:tc>
          <w:tcPr>
            <w:tcW w:w="436" w:type="pct"/>
            <w:tcBorders>
              <w:top w:val="single" w:sz="4" w:space="0" w:color="auto"/>
              <w:left w:val="nil"/>
              <w:bottom w:val="single" w:sz="4" w:space="0" w:color="auto"/>
              <w:right w:val="single" w:sz="4" w:space="0" w:color="auto"/>
            </w:tcBorders>
            <w:shd w:val="clear" w:color="000000" w:fill="D9D9D9"/>
          </w:tcPr>
          <w:p w:rsidR="0058428D" w:rsidP="00AD4A42" w14:paraId="47A930B9" w14:textId="77777777">
            <w:pPr>
              <w:keepNext/>
              <w:spacing w:after="0" w:line="240" w:lineRule="auto"/>
              <w:jc w:val="center"/>
              <w:rPr>
                <w:rFonts w:ascii="Times New Roman" w:eastAsia="Times New Roman" w:hAnsi="Times New Roman" w:cs="Times New Roman"/>
                <w:b/>
                <w:color w:val="000000"/>
                <w:sz w:val="20"/>
                <w:szCs w:val="20"/>
              </w:rPr>
            </w:pPr>
          </w:p>
          <w:p w:rsidR="0057611E" w:rsidRPr="00964C0A" w:rsidP="00AD4A42" w14:paraId="40BEF63C" w14:textId="77777777">
            <w:pPr>
              <w:keepNext/>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Public Responder</w:t>
            </w:r>
            <w:r w:rsidR="00CC0F4D">
              <w:rPr>
                <w:rFonts w:ascii="Times New Roman" w:eastAsia="Times New Roman" w:hAnsi="Times New Roman" w:cs="Times New Roman"/>
                <w:b/>
                <w:color w:val="000000"/>
                <w:sz w:val="20"/>
                <w:szCs w:val="20"/>
              </w:rPr>
              <w:t xml:space="preserve"> Deaths</w:t>
            </w:r>
          </w:p>
        </w:tc>
        <w:tc>
          <w:tcPr>
            <w:tcW w:w="440" w:type="pct"/>
            <w:tcBorders>
              <w:top w:val="single" w:sz="4" w:space="0" w:color="auto"/>
              <w:left w:val="single" w:sz="4" w:space="0" w:color="auto"/>
              <w:bottom w:val="single" w:sz="4" w:space="0" w:color="auto"/>
              <w:right w:val="single" w:sz="4" w:space="0" w:color="auto"/>
            </w:tcBorders>
            <w:shd w:val="clear" w:color="000000" w:fill="D9D9D9"/>
          </w:tcPr>
          <w:p w:rsidR="0058428D" w:rsidP="00AD4A42" w14:paraId="78F92B25" w14:textId="77777777">
            <w:pPr>
              <w:keepNext/>
              <w:spacing w:after="0" w:line="240" w:lineRule="auto"/>
              <w:jc w:val="center"/>
              <w:rPr>
                <w:rFonts w:ascii="Times New Roman" w:eastAsia="Times New Roman" w:hAnsi="Times New Roman" w:cs="Times New Roman"/>
                <w:b/>
                <w:color w:val="000000"/>
                <w:sz w:val="20"/>
                <w:szCs w:val="20"/>
              </w:rPr>
            </w:pPr>
          </w:p>
          <w:p w:rsidR="0057611E" w:rsidRPr="00964C0A" w:rsidP="00AD4A42" w14:paraId="09F911FF" w14:textId="77777777">
            <w:pPr>
              <w:keepNext/>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Public Responder Injuries</w:t>
            </w:r>
          </w:p>
        </w:tc>
        <w:tc>
          <w:tcPr>
            <w:tcW w:w="44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7611E" w:rsidRPr="00964C0A" w:rsidP="00AD4A42" w14:paraId="33341850"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Public Injuries</w:t>
            </w:r>
          </w:p>
        </w:tc>
        <w:tc>
          <w:tcPr>
            <w:tcW w:w="404" w:type="pct"/>
            <w:tcBorders>
              <w:top w:val="single" w:sz="4" w:space="0" w:color="auto"/>
              <w:left w:val="nil"/>
              <w:bottom w:val="single" w:sz="4" w:space="0" w:color="auto"/>
              <w:right w:val="single" w:sz="4" w:space="0" w:color="auto"/>
            </w:tcBorders>
            <w:shd w:val="clear" w:color="000000" w:fill="D9D9D9"/>
            <w:vAlign w:val="center"/>
            <w:hideMark/>
          </w:tcPr>
          <w:p w:rsidR="0057611E" w:rsidRPr="00964C0A" w:rsidP="00AD4A42" w14:paraId="70958323"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Public Deaths</w:t>
            </w:r>
          </w:p>
        </w:tc>
        <w:tc>
          <w:tcPr>
            <w:tcW w:w="1093" w:type="pct"/>
            <w:tcBorders>
              <w:top w:val="single" w:sz="4" w:space="0" w:color="auto"/>
              <w:left w:val="nil"/>
              <w:bottom w:val="single" w:sz="4" w:space="0" w:color="auto"/>
              <w:right w:val="single" w:sz="4" w:space="0" w:color="auto"/>
            </w:tcBorders>
            <w:shd w:val="clear" w:color="000000" w:fill="D9D9D9"/>
            <w:vAlign w:val="center"/>
            <w:hideMark/>
          </w:tcPr>
          <w:p w:rsidR="0057611E" w:rsidP="00AD4A42" w14:paraId="32D4B9E5"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Value of Property Damage</w:t>
            </w:r>
          </w:p>
          <w:p w:rsidR="0057611E" w:rsidRPr="00964C0A" w:rsidP="00AD4A42" w14:paraId="25EC5A7D" w14:textId="77777777">
            <w:pPr>
              <w:keepNext/>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(millions, 2022 dollars)</w:t>
            </w:r>
          </w:p>
        </w:tc>
      </w:tr>
      <w:tr w14:paraId="75A5B0D3" w14:textId="77777777" w:rsidTr="00E876D1">
        <w:tblPrEx>
          <w:tblW w:w="5000" w:type="pct"/>
          <w:jc w:val="center"/>
          <w:tblLook w:val="04A0"/>
        </w:tblPrEx>
        <w:trPr>
          <w:trHeight w:val="290"/>
          <w:jc w:val="center"/>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0CEF3F40"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2016</w:t>
            </w:r>
          </w:p>
        </w:tc>
        <w:tc>
          <w:tcPr>
            <w:tcW w:w="527" w:type="pct"/>
            <w:tcBorders>
              <w:top w:val="nil"/>
              <w:left w:val="nil"/>
              <w:bottom w:val="single" w:sz="4" w:space="0" w:color="auto"/>
              <w:right w:val="single" w:sz="4" w:space="0" w:color="auto"/>
            </w:tcBorders>
            <w:shd w:val="clear" w:color="auto" w:fill="auto"/>
            <w:vAlign w:val="center"/>
            <w:hideMark/>
          </w:tcPr>
          <w:p w:rsidR="0057611E" w:rsidRPr="00964C0A" w:rsidP="00AD4A42" w14:paraId="515A2CD3"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127</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0B768BCC"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4</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5DDDCF39"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136</w:t>
            </w:r>
          </w:p>
        </w:tc>
        <w:tc>
          <w:tcPr>
            <w:tcW w:w="436" w:type="pct"/>
            <w:tcBorders>
              <w:top w:val="nil"/>
              <w:left w:val="nil"/>
              <w:bottom w:val="single" w:sz="4" w:space="0" w:color="auto"/>
              <w:right w:val="single" w:sz="4" w:space="0" w:color="auto"/>
            </w:tcBorders>
            <w:vAlign w:val="center"/>
          </w:tcPr>
          <w:p w:rsidR="0057611E" w:rsidRPr="00964C0A" w:rsidP="00E876D1" w14:paraId="2163ADCD"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40" w:type="pct"/>
            <w:tcBorders>
              <w:top w:val="single" w:sz="4" w:space="0" w:color="auto"/>
              <w:left w:val="single" w:sz="4" w:space="0" w:color="auto"/>
              <w:bottom w:val="single" w:sz="4" w:space="0" w:color="auto"/>
              <w:right w:val="single" w:sz="4" w:space="0" w:color="auto"/>
            </w:tcBorders>
            <w:vAlign w:val="center"/>
          </w:tcPr>
          <w:p w:rsidR="0057611E" w:rsidRPr="00964C0A" w:rsidP="00E876D1" w14:paraId="080F6120"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510DBF52"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0</w:t>
            </w:r>
          </w:p>
        </w:tc>
        <w:tc>
          <w:tcPr>
            <w:tcW w:w="404" w:type="pct"/>
            <w:tcBorders>
              <w:top w:val="nil"/>
              <w:left w:val="nil"/>
              <w:bottom w:val="single" w:sz="4" w:space="0" w:color="auto"/>
              <w:right w:val="single" w:sz="4" w:space="0" w:color="auto"/>
            </w:tcBorders>
            <w:shd w:val="clear" w:color="auto" w:fill="auto"/>
            <w:vAlign w:val="center"/>
            <w:hideMark/>
          </w:tcPr>
          <w:p w:rsidR="0057611E" w:rsidRPr="00964C0A" w:rsidP="00AD4A42" w14:paraId="17719D8F"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0</w:t>
            </w:r>
          </w:p>
        </w:tc>
        <w:tc>
          <w:tcPr>
            <w:tcW w:w="1093" w:type="pct"/>
            <w:tcBorders>
              <w:top w:val="nil"/>
              <w:left w:val="nil"/>
              <w:bottom w:val="single" w:sz="4" w:space="0" w:color="auto"/>
              <w:right w:val="single" w:sz="4" w:space="0" w:color="auto"/>
            </w:tcBorders>
            <w:shd w:val="clear" w:color="auto" w:fill="auto"/>
            <w:vAlign w:val="center"/>
            <w:hideMark/>
          </w:tcPr>
          <w:p w:rsidR="0057611E" w:rsidRPr="00964C0A" w:rsidP="00AD4A42" w14:paraId="7CB63895"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505.15</w:t>
            </w:r>
          </w:p>
        </w:tc>
      </w:tr>
      <w:tr w14:paraId="67358B74" w14:textId="77777777" w:rsidTr="00E876D1">
        <w:tblPrEx>
          <w:tblW w:w="5000" w:type="pct"/>
          <w:jc w:val="center"/>
          <w:tblLook w:val="04A0"/>
        </w:tblPrEx>
        <w:trPr>
          <w:trHeight w:val="290"/>
          <w:jc w:val="center"/>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707D82DD"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2017</w:t>
            </w:r>
          </w:p>
        </w:tc>
        <w:tc>
          <w:tcPr>
            <w:tcW w:w="527" w:type="pct"/>
            <w:tcBorders>
              <w:top w:val="nil"/>
              <w:left w:val="nil"/>
              <w:bottom w:val="single" w:sz="4" w:space="0" w:color="auto"/>
              <w:right w:val="single" w:sz="4" w:space="0" w:color="auto"/>
            </w:tcBorders>
            <w:shd w:val="clear" w:color="auto" w:fill="auto"/>
            <w:vAlign w:val="center"/>
            <w:hideMark/>
          </w:tcPr>
          <w:p w:rsidR="0057611E" w:rsidRPr="00964C0A" w:rsidP="00AD4A42" w14:paraId="1A124E00"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109</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4B471743"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3</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01544733"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108</w:t>
            </w:r>
          </w:p>
        </w:tc>
        <w:tc>
          <w:tcPr>
            <w:tcW w:w="436" w:type="pct"/>
            <w:tcBorders>
              <w:top w:val="nil"/>
              <w:left w:val="nil"/>
              <w:bottom w:val="single" w:sz="4" w:space="0" w:color="auto"/>
              <w:right w:val="single" w:sz="4" w:space="0" w:color="auto"/>
            </w:tcBorders>
            <w:vAlign w:val="center"/>
          </w:tcPr>
          <w:p w:rsidR="0057611E" w:rsidRPr="00964C0A" w:rsidP="00E876D1" w14:paraId="193C2B8C"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440" w:type="pct"/>
            <w:tcBorders>
              <w:top w:val="single" w:sz="4" w:space="0" w:color="auto"/>
              <w:left w:val="single" w:sz="4" w:space="0" w:color="auto"/>
              <w:bottom w:val="single" w:sz="4" w:space="0" w:color="auto"/>
              <w:right w:val="single" w:sz="4" w:space="0" w:color="auto"/>
            </w:tcBorders>
            <w:vAlign w:val="center"/>
          </w:tcPr>
          <w:p w:rsidR="0057611E" w:rsidRPr="00964C0A" w:rsidP="00E876D1" w14:paraId="345F604B"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49FDF8B2"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20</w:t>
            </w:r>
          </w:p>
        </w:tc>
        <w:tc>
          <w:tcPr>
            <w:tcW w:w="404" w:type="pct"/>
            <w:tcBorders>
              <w:top w:val="nil"/>
              <w:left w:val="nil"/>
              <w:bottom w:val="single" w:sz="4" w:space="0" w:color="auto"/>
              <w:right w:val="single" w:sz="4" w:space="0" w:color="auto"/>
            </w:tcBorders>
            <w:shd w:val="clear" w:color="auto" w:fill="auto"/>
            <w:vAlign w:val="center"/>
            <w:hideMark/>
          </w:tcPr>
          <w:p w:rsidR="0057611E" w:rsidRPr="00964C0A" w:rsidP="00AD4A42" w14:paraId="2F3AA5E3"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0</w:t>
            </w:r>
          </w:p>
        </w:tc>
        <w:tc>
          <w:tcPr>
            <w:tcW w:w="1093" w:type="pct"/>
            <w:tcBorders>
              <w:top w:val="nil"/>
              <w:left w:val="nil"/>
              <w:bottom w:val="single" w:sz="4" w:space="0" w:color="auto"/>
              <w:right w:val="single" w:sz="4" w:space="0" w:color="auto"/>
            </w:tcBorders>
            <w:shd w:val="clear" w:color="auto" w:fill="auto"/>
            <w:vAlign w:val="center"/>
            <w:hideMark/>
          </w:tcPr>
          <w:p w:rsidR="0057611E" w:rsidRPr="00964C0A" w:rsidP="00AD4A42" w14:paraId="77FAAFC2"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262.24</w:t>
            </w:r>
            <w:r w:rsidRPr="00964C0A">
              <w:rPr>
                <w:rFonts w:ascii="Times New Roman" w:eastAsia="Times New Roman" w:hAnsi="Times New Roman" w:cs="Times New Roman"/>
                <w:color w:val="000000"/>
                <w:sz w:val="20"/>
                <w:szCs w:val="20"/>
              </w:rPr>
              <w:t xml:space="preserve"> </w:t>
            </w:r>
          </w:p>
        </w:tc>
      </w:tr>
      <w:tr w14:paraId="6AE64545" w14:textId="77777777" w:rsidTr="00E876D1">
        <w:tblPrEx>
          <w:tblW w:w="5000" w:type="pct"/>
          <w:jc w:val="center"/>
          <w:tblLook w:val="04A0"/>
        </w:tblPrEx>
        <w:trPr>
          <w:trHeight w:val="290"/>
          <w:jc w:val="center"/>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0C33C33A"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2018</w:t>
            </w:r>
          </w:p>
        </w:tc>
        <w:tc>
          <w:tcPr>
            <w:tcW w:w="527" w:type="pct"/>
            <w:tcBorders>
              <w:top w:val="nil"/>
              <w:left w:val="nil"/>
              <w:bottom w:val="single" w:sz="4" w:space="0" w:color="auto"/>
              <w:right w:val="single" w:sz="4" w:space="0" w:color="auto"/>
            </w:tcBorders>
            <w:shd w:val="clear" w:color="auto" w:fill="auto"/>
            <w:vAlign w:val="center"/>
            <w:hideMark/>
          </w:tcPr>
          <w:p w:rsidR="0057611E" w:rsidRPr="00964C0A" w:rsidP="00AD4A42" w14:paraId="38D532A1"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92</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66042AEB"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2</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48EF70CE"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140</w:t>
            </w:r>
          </w:p>
        </w:tc>
        <w:tc>
          <w:tcPr>
            <w:tcW w:w="436" w:type="pct"/>
            <w:tcBorders>
              <w:top w:val="nil"/>
              <w:left w:val="nil"/>
              <w:bottom w:val="single" w:sz="4" w:space="0" w:color="auto"/>
              <w:right w:val="single" w:sz="4" w:space="0" w:color="auto"/>
            </w:tcBorders>
            <w:vAlign w:val="center"/>
          </w:tcPr>
          <w:p w:rsidR="0057611E" w:rsidRPr="00964C0A" w:rsidP="00E876D1" w14:paraId="24C77D35"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40" w:type="pct"/>
            <w:tcBorders>
              <w:top w:val="single" w:sz="4" w:space="0" w:color="auto"/>
              <w:left w:val="single" w:sz="4" w:space="0" w:color="auto"/>
              <w:bottom w:val="single" w:sz="4" w:space="0" w:color="auto"/>
              <w:right w:val="single" w:sz="4" w:space="0" w:color="auto"/>
            </w:tcBorders>
            <w:vAlign w:val="center"/>
          </w:tcPr>
          <w:p w:rsidR="0057611E" w:rsidRPr="00964C0A" w:rsidP="00E876D1" w14:paraId="141B2316"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701DCBBF"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0</w:t>
            </w:r>
          </w:p>
        </w:tc>
        <w:tc>
          <w:tcPr>
            <w:tcW w:w="404" w:type="pct"/>
            <w:tcBorders>
              <w:top w:val="nil"/>
              <w:left w:val="nil"/>
              <w:bottom w:val="single" w:sz="4" w:space="0" w:color="auto"/>
              <w:right w:val="single" w:sz="4" w:space="0" w:color="auto"/>
            </w:tcBorders>
            <w:shd w:val="clear" w:color="auto" w:fill="auto"/>
            <w:vAlign w:val="center"/>
            <w:hideMark/>
          </w:tcPr>
          <w:p w:rsidR="0057611E" w:rsidRPr="00964C0A" w:rsidP="00AD4A42" w14:paraId="421E468A"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0</w:t>
            </w:r>
          </w:p>
        </w:tc>
        <w:tc>
          <w:tcPr>
            <w:tcW w:w="1093" w:type="pct"/>
            <w:tcBorders>
              <w:top w:val="nil"/>
              <w:left w:val="nil"/>
              <w:bottom w:val="single" w:sz="4" w:space="0" w:color="auto"/>
              <w:right w:val="single" w:sz="4" w:space="0" w:color="auto"/>
            </w:tcBorders>
            <w:shd w:val="clear" w:color="auto" w:fill="auto"/>
            <w:vAlign w:val="center"/>
            <w:hideMark/>
          </w:tcPr>
          <w:p w:rsidR="0057611E" w:rsidRPr="00964C0A" w:rsidP="00AD4A42" w14:paraId="1E84E231"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862.33</w:t>
            </w:r>
            <w:r w:rsidRPr="00964C0A">
              <w:rPr>
                <w:rFonts w:ascii="Times New Roman" w:eastAsia="Times New Roman" w:hAnsi="Times New Roman" w:cs="Times New Roman"/>
                <w:color w:val="000000"/>
                <w:sz w:val="20"/>
                <w:szCs w:val="20"/>
              </w:rPr>
              <w:t xml:space="preserve"> </w:t>
            </w:r>
          </w:p>
        </w:tc>
      </w:tr>
      <w:tr w14:paraId="19235452" w14:textId="77777777" w:rsidTr="00E876D1">
        <w:tblPrEx>
          <w:tblW w:w="5000" w:type="pct"/>
          <w:jc w:val="center"/>
          <w:tblLook w:val="04A0"/>
        </w:tblPrEx>
        <w:trPr>
          <w:trHeight w:val="290"/>
          <w:jc w:val="center"/>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1EFC4F3F"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2019</w:t>
            </w:r>
          </w:p>
        </w:tc>
        <w:tc>
          <w:tcPr>
            <w:tcW w:w="527" w:type="pct"/>
            <w:tcBorders>
              <w:top w:val="nil"/>
              <w:left w:val="nil"/>
              <w:bottom w:val="single" w:sz="4" w:space="0" w:color="auto"/>
              <w:right w:val="single" w:sz="4" w:space="0" w:color="auto"/>
            </w:tcBorders>
            <w:shd w:val="clear" w:color="auto" w:fill="auto"/>
            <w:vAlign w:val="center"/>
            <w:hideMark/>
          </w:tcPr>
          <w:p w:rsidR="0057611E" w:rsidRPr="00964C0A" w:rsidP="00AD4A42" w14:paraId="5078DC02"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100</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479D1470"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1</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7025F31D"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110</w:t>
            </w:r>
          </w:p>
        </w:tc>
        <w:tc>
          <w:tcPr>
            <w:tcW w:w="436" w:type="pct"/>
            <w:tcBorders>
              <w:top w:val="nil"/>
              <w:left w:val="nil"/>
              <w:bottom w:val="single" w:sz="4" w:space="0" w:color="auto"/>
              <w:right w:val="single" w:sz="4" w:space="0" w:color="auto"/>
            </w:tcBorders>
            <w:vAlign w:val="center"/>
          </w:tcPr>
          <w:p w:rsidR="0057611E" w:rsidRPr="00964C0A" w:rsidP="00E876D1" w14:paraId="7AEC84FC"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40" w:type="pct"/>
            <w:tcBorders>
              <w:top w:val="single" w:sz="4" w:space="0" w:color="auto"/>
              <w:left w:val="single" w:sz="4" w:space="0" w:color="auto"/>
              <w:bottom w:val="single" w:sz="4" w:space="0" w:color="auto"/>
              <w:right w:val="single" w:sz="4" w:space="0" w:color="auto"/>
            </w:tcBorders>
            <w:vAlign w:val="center"/>
          </w:tcPr>
          <w:p w:rsidR="0057611E" w:rsidRPr="00964C0A" w:rsidP="00E876D1" w14:paraId="5EB6B5A6"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2263961F"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0</w:t>
            </w:r>
          </w:p>
        </w:tc>
        <w:tc>
          <w:tcPr>
            <w:tcW w:w="404" w:type="pct"/>
            <w:tcBorders>
              <w:top w:val="nil"/>
              <w:left w:val="nil"/>
              <w:bottom w:val="single" w:sz="4" w:space="0" w:color="auto"/>
              <w:right w:val="single" w:sz="4" w:space="0" w:color="auto"/>
            </w:tcBorders>
            <w:shd w:val="clear" w:color="auto" w:fill="auto"/>
            <w:vAlign w:val="center"/>
            <w:hideMark/>
          </w:tcPr>
          <w:p w:rsidR="0057611E" w:rsidRPr="00964C0A" w:rsidP="00AD4A42" w14:paraId="6182DD8E"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0</w:t>
            </w:r>
          </w:p>
        </w:tc>
        <w:tc>
          <w:tcPr>
            <w:tcW w:w="1093" w:type="pct"/>
            <w:tcBorders>
              <w:top w:val="nil"/>
              <w:left w:val="nil"/>
              <w:bottom w:val="single" w:sz="4" w:space="0" w:color="auto"/>
              <w:right w:val="single" w:sz="4" w:space="0" w:color="auto"/>
            </w:tcBorders>
            <w:shd w:val="clear" w:color="auto" w:fill="auto"/>
            <w:vAlign w:val="center"/>
            <w:hideMark/>
          </w:tcPr>
          <w:p w:rsidR="0057611E" w:rsidRPr="00964C0A" w:rsidP="00AD4A42" w14:paraId="747A768F"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611.00</w:t>
            </w:r>
          </w:p>
        </w:tc>
      </w:tr>
      <w:tr w14:paraId="132BA2B8" w14:textId="77777777" w:rsidTr="00E876D1">
        <w:tblPrEx>
          <w:tblW w:w="5000" w:type="pct"/>
          <w:jc w:val="center"/>
          <w:tblLook w:val="04A0"/>
        </w:tblPrEx>
        <w:trPr>
          <w:trHeight w:val="290"/>
          <w:jc w:val="center"/>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7B6697BD"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2020</w:t>
            </w:r>
          </w:p>
        </w:tc>
        <w:tc>
          <w:tcPr>
            <w:tcW w:w="527" w:type="pct"/>
            <w:tcBorders>
              <w:top w:val="nil"/>
              <w:left w:val="nil"/>
              <w:bottom w:val="single" w:sz="4" w:space="0" w:color="auto"/>
              <w:right w:val="single" w:sz="4" w:space="0" w:color="auto"/>
            </w:tcBorders>
            <w:shd w:val="clear" w:color="auto" w:fill="auto"/>
            <w:vAlign w:val="center"/>
            <w:hideMark/>
          </w:tcPr>
          <w:p w:rsidR="0057611E" w:rsidRPr="00964C0A" w:rsidP="00AD4A42" w14:paraId="29D83894"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60</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66FF569C"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2</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6CAA9E7F"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56</w:t>
            </w:r>
          </w:p>
        </w:tc>
        <w:tc>
          <w:tcPr>
            <w:tcW w:w="436" w:type="pct"/>
            <w:tcBorders>
              <w:top w:val="nil"/>
              <w:left w:val="nil"/>
              <w:bottom w:val="single" w:sz="4" w:space="0" w:color="auto"/>
              <w:right w:val="single" w:sz="4" w:space="0" w:color="auto"/>
            </w:tcBorders>
            <w:vAlign w:val="center"/>
          </w:tcPr>
          <w:p w:rsidR="0057611E" w:rsidRPr="00964C0A" w:rsidP="00E876D1" w14:paraId="688F69B1"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40" w:type="pct"/>
            <w:tcBorders>
              <w:top w:val="single" w:sz="4" w:space="0" w:color="auto"/>
              <w:left w:val="single" w:sz="4" w:space="0" w:color="auto"/>
              <w:bottom w:val="single" w:sz="4" w:space="0" w:color="auto"/>
              <w:right w:val="single" w:sz="4" w:space="0" w:color="auto"/>
            </w:tcBorders>
            <w:vAlign w:val="center"/>
          </w:tcPr>
          <w:p w:rsidR="0057611E" w:rsidRPr="00964C0A" w:rsidP="00E876D1" w14:paraId="60D6995E"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23C6A4D6"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0</w:t>
            </w:r>
          </w:p>
        </w:tc>
        <w:tc>
          <w:tcPr>
            <w:tcW w:w="404" w:type="pct"/>
            <w:tcBorders>
              <w:top w:val="nil"/>
              <w:left w:val="nil"/>
              <w:bottom w:val="single" w:sz="4" w:space="0" w:color="auto"/>
              <w:right w:val="single" w:sz="4" w:space="0" w:color="auto"/>
            </w:tcBorders>
            <w:shd w:val="clear" w:color="auto" w:fill="auto"/>
            <w:vAlign w:val="center"/>
            <w:hideMark/>
          </w:tcPr>
          <w:p w:rsidR="0057611E" w:rsidRPr="00964C0A" w:rsidP="00AD4A42" w14:paraId="16AE589F"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0</w:t>
            </w:r>
          </w:p>
        </w:tc>
        <w:tc>
          <w:tcPr>
            <w:tcW w:w="1093" w:type="pct"/>
            <w:tcBorders>
              <w:top w:val="nil"/>
              <w:left w:val="nil"/>
              <w:bottom w:val="single" w:sz="4" w:space="0" w:color="auto"/>
              <w:right w:val="single" w:sz="4" w:space="0" w:color="auto"/>
            </w:tcBorders>
            <w:shd w:val="clear" w:color="auto" w:fill="auto"/>
            <w:vAlign w:val="center"/>
            <w:hideMark/>
          </w:tcPr>
          <w:p w:rsidR="0057611E" w:rsidRPr="00964C0A" w:rsidP="00AD4A42" w14:paraId="398A8C0D"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32.16</w:t>
            </w:r>
            <w:r w:rsidRPr="00964C0A">
              <w:rPr>
                <w:rFonts w:ascii="Times New Roman" w:eastAsia="Times New Roman" w:hAnsi="Times New Roman" w:cs="Times New Roman"/>
                <w:color w:val="000000"/>
                <w:sz w:val="20"/>
                <w:szCs w:val="20"/>
              </w:rPr>
              <w:t xml:space="preserve"> </w:t>
            </w:r>
          </w:p>
        </w:tc>
      </w:tr>
      <w:tr w14:paraId="06CD4268" w14:textId="77777777" w:rsidTr="00E876D1">
        <w:tblPrEx>
          <w:tblW w:w="5000" w:type="pct"/>
          <w:jc w:val="center"/>
          <w:tblLook w:val="04A0"/>
        </w:tblPrEx>
        <w:trPr>
          <w:trHeight w:val="580"/>
          <w:jc w:val="center"/>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0C0E3813"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Annual Average</w:t>
            </w:r>
          </w:p>
        </w:tc>
        <w:tc>
          <w:tcPr>
            <w:tcW w:w="527" w:type="pct"/>
            <w:tcBorders>
              <w:top w:val="nil"/>
              <w:left w:val="nil"/>
              <w:bottom w:val="single" w:sz="4" w:space="0" w:color="auto"/>
              <w:right w:val="single" w:sz="4" w:space="0" w:color="auto"/>
            </w:tcBorders>
            <w:shd w:val="clear" w:color="auto" w:fill="auto"/>
            <w:vAlign w:val="center"/>
            <w:hideMark/>
          </w:tcPr>
          <w:p w:rsidR="0057611E" w:rsidRPr="00964C0A" w:rsidP="00AD4A42" w14:paraId="1889F278"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97.6</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7F279698"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2.4</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2CC93D7B"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110</w:t>
            </w:r>
          </w:p>
        </w:tc>
        <w:tc>
          <w:tcPr>
            <w:tcW w:w="436" w:type="pct"/>
            <w:tcBorders>
              <w:top w:val="nil"/>
              <w:left w:val="nil"/>
              <w:bottom w:val="single" w:sz="4" w:space="0" w:color="auto"/>
              <w:right w:val="single" w:sz="4" w:space="0" w:color="auto"/>
            </w:tcBorders>
            <w:vAlign w:val="center"/>
          </w:tcPr>
          <w:p w:rsidR="0057611E" w:rsidRPr="00964C0A" w:rsidP="00E876D1" w14:paraId="3F485FB1"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440" w:type="pct"/>
            <w:tcBorders>
              <w:top w:val="single" w:sz="4" w:space="0" w:color="auto"/>
              <w:left w:val="single" w:sz="4" w:space="0" w:color="auto"/>
              <w:bottom w:val="single" w:sz="4" w:space="0" w:color="auto"/>
              <w:right w:val="single" w:sz="4" w:space="0" w:color="auto"/>
            </w:tcBorders>
            <w:vAlign w:val="center"/>
          </w:tcPr>
          <w:p w:rsidR="0057611E" w:rsidRPr="00964C0A" w:rsidP="00E876D1" w14:paraId="568BD221"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4D092B1B"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4</w:t>
            </w:r>
          </w:p>
        </w:tc>
        <w:tc>
          <w:tcPr>
            <w:tcW w:w="404" w:type="pct"/>
            <w:tcBorders>
              <w:top w:val="nil"/>
              <w:left w:val="nil"/>
              <w:bottom w:val="single" w:sz="4" w:space="0" w:color="auto"/>
              <w:right w:val="single" w:sz="4" w:space="0" w:color="auto"/>
            </w:tcBorders>
            <w:shd w:val="clear" w:color="auto" w:fill="auto"/>
            <w:vAlign w:val="center"/>
            <w:hideMark/>
          </w:tcPr>
          <w:p w:rsidR="0057611E" w:rsidRPr="00964C0A" w:rsidP="00AD4A42" w14:paraId="73C792F5"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0</w:t>
            </w:r>
          </w:p>
        </w:tc>
        <w:tc>
          <w:tcPr>
            <w:tcW w:w="1093" w:type="pct"/>
            <w:tcBorders>
              <w:top w:val="nil"/>
              <w:left w:val="nil"/>
              <w:bottom w:val="single" w:sz="4" w:space="0" w:color="auto"/>
              <w:right w:val="single" w:sz="4" w:space="0" w:color="auto"/>
            </w:tcBorders>
            <w:shd w:val="clear" w:color="auto" w:fill="auto"/>
            <w:vAlign w:val="center"/>
            <w:hideMark/>
          </w:tcPr>
          <w:p w:rsidR="0057611E" w:rsidRPr="00964C0A" w:rsidP="00AD4A42" w14:paraId="4A5DAD46" w14:textId="77777777">
            <w:pPr>
              <w:spacing w:after="0" w:line="240" w:lineRule="auto"/>
              <w:jc w:val="center"/>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454.58</w:t>
            </w:r>
            <w:r w:rsidRPr="00964C0A">
              <w:rPr>
                <w:rFonts w:ascii="Times New Roman" w:eastAsia="Times New Roman" w:hAnsi="Times New Roman" w:cs="Times New Roman"/>
                <w:color w:val="000000"/>
                <w:sz w:val="20"/>
                <w:szCs w:val="20"/>
              </w:rPr>
              <w:t xml:space="preserve"> </w:t>
            </w:r>
          </w:p>
        </w:tc>
      </w:tr>
      <w:tr w14:paraId="52AC8D68" w14:textId="77777777" w:rsidTr="00E876D1">
        <w:tblPrEx>
          <w:tblW w:w="5000" w:type="pct"/>
          <w:jc w:val="center"/>
          <w:tblLook w:val="04A0"/>
        </w:tblPrEx>
        <w:trPr>
          <w:trHeight w:val="580"/>
          <w:jc w:val="center"/>
        </w:trPr>
        <w:tc>
          <w:tcPr>
            <w:tcW w:w="58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0B793972" w14:textId="77777777">
            <w:pPr>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 xml:space="preserve">Total </w:t>
            </w:r>
            <w:r w:rsidR="003532C8">
              <w:rPr>
                <w:rFonts w:ascii="Times New Roman" w:eastAsia="Times New Roman" w:hAnsi="Times New Roman" w:cs="Times New Roman"/>
                <w:b/>
                <w:color w:val="000000"/>
                <w:sz w:val="20"/>
                <w:szCs w:val="20"/>
              </w:rPr>
              <w:t>RMP-</w:t>
            </w:r>
            <w:r w:rsidRPr="00964C0A">
              <w:rPr>
                <w:rFonts w:ascii="Times New Roman" w:eastAsia="Times New Roman" w:hAnsi="Times New Roman" w:cs="Times New Roman"/>
                <w:b/>
                <w:color w:val="000000"/>
                <w:sz w:val="20"/>
                <w:szCs w:val="20"/>
              </w:rPr>
              <w:t>Reportable</w:t>
            </w:r>
          </w:p>
        </w:tc>
        <w:tc>
          <w:tcPr>
            <w:tcW w:w="527" w:type="pct"/>
            <w:tcBorders>
              <w:top w:val="nil"/>
              <w:left w:val="nil"/>
              <w:bottom w:val="single" w:sz="4" w:space="0" w:color="auto"/>
              <w:right w:val="single" w:sz="4" w:space="0" w:color="auto"/>
            </w:tcBorders>
            <w:shd w:val="clear" w:color="auto" w:fill="auto"/>
            <w:vAlign w:val="center"/>
            <w:hideMark/>
          </w:tcPr>
          <w:p w:rsidR="0057611E" w:rsidRPr="00964C0A" w:rsidP="00AD4A42" w14:paraId="449D7D97" w14:textId="77777777">
            <w:pPr>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488</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68E7E604" w14:textId="77777777">
            <w:pPr>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12</w:t>
            </w:r>
          </w:p>
        </w:tc>
        <w:tc>
          <w:tcPr>
            <w:tcW w:w="532" w:type="pct"/>
            <w:tcBorders>
              <w:top w:val="nil"/>
              <w:left w:val="nil"/>
              <w:bottom w:val="single" w:sz="4" w:space="0" w:color="auto"/>
              <w:right w:val="single" w:sz="4" w:space="0" w:color="auto"/>
            </w:tcBorders>
            <w:shd w:val="clear" w:color="auto" w:fill="auto"/>
            <w:vAlign w:val="center"/>
            <w:hideMark/>
          </w:tcPr>
          <w:p w:rsidR="0057611E" w:rsidRPr="00964C0A" w:rsidP="00AD4A42" w14:paraId="23701154" w14:textId="77777777">
            <w:pPr>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550</w:t>
            </w:r>
          </w:p>
        </w:tc>
        <w:tc>
          <w:tcPr>
            <w:tcW w:w="436" w:type="pct"/>
            <w:tcBorders>
              <w:top w:val="nil"/>
              <w:left w:val="nil"/>
              <w:bottom w:val="single" w:sz="4" w:space="0" w:color="auto"/>
              <w:right w:val="single" w:sz="4" w:space="0" w:color="auto"/>
            </w:tcBorders>
            <w:vAlign w:val="center"/>
          </w:tcPr>
          <w:p w:rsidR="0057611E" w:rsidRPr="00E876D1" w:rsidP="00E876D1" w14:paraId="1D55903F" w14:textId="77777777">
            <w:pPr>
              <w:spacing w:after="0" w:line="240" w:lineRule="auto"/>
              <w:jc w:val="center"/>
              <w:rPr>
                <w:rFonts w:ascii="Times New Roman" w:eastAsia="Times New Roman" w:hAnsi="Times New Roman" w:cs="Times New Roman"/>
                <w:b/>
                <w:bCs/>
                <w:color w:val="000000"/>
                <w:sz w:val="20"/>
                <w:szCs w:val="20"/>
              </w:rPr>
            </w:pPr>
            <w:r w:rsidRPr="00E876D1">
              <w:rPr>
                <w:rFonts w:ascii="Times New Roman" w:eastAsia="Times New Roman" w:hAnsi="Times New Roman" w:cs="Times New Roman"/>
                <w:b/>
                <w:bCs/>
                <w:color w:val="000000"/>
                <w:sz w:val="20"/>
                <w:szCs w:val="20"/>
              </w:rPr>
              <w:t>6</w:t>
            </w:r>
          </w:p>
        </w:tc>
        <w:tc>
          <w:tcPr>
            <w:tcW w:w="440" w:type="pct"/>
            <w:tcBorders>
              <w:top w:val="single" w:sz="4" w:space="0" w:color="auto"/>
              <w:left w:val="single" w:sz="4" w:space="0" w:color="auto"/>
              <w:bottom w:val="single" w:sz="4" w:space="0" w:color="auto"/>
              <w:right w:val="single" w:sz="4" w:space="0" w:color="auto"/>
            </w:tcBorders>
            <w:vAlign w:val="center"/>
          </w:tcPr>
          <w:p w:rsidR="0057611E" w:rsidRPr="00E876D1" w:rsidP="00E876D1" w14:paraId="768B745C" w14:textId="77777777">
            <w:pPr>
              <w:spacing w:after="0" w:line="240" w:lineRule="auto"/>
              <w:jc w:val="center"/>
              <w:rPr>
                <w:rFonts w:ascii="Times New Roman" w:eastAsia="Times New Roman" w:hAnsi="Times New Roman" w:cs="Times New Roman"/>
                <w:b/>
                <w:bCs/>
                <w:color w:val="000000"/>
                <w:sz w:val="20"/>
                <w:szCs w:val="20"/>
              </w:rPr>
            </w:pPr>
            <w:r w:rsidRPr="00E876D1">
              <w:rPr>
                <w:rFonts w:ascii="Times New Roman" w:eastAsia="Times New Roman" w:hAnsi="Times New Roman" w:cs="Times New Roman"/>
                <w:b/>
                <w:bCs/>
                <w:color w:val="000000"/>
                <w:sz w:val="20"/>
                <w:szCs w:val="20"/>
              </w:rPr>
              <w:t>5</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57611E" w:rsidRPr="00964C0A" w:rsidP="00AD4A42" w14:paraId="5EFBE575" w14:textId="77777777">
            <w:pPr>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20</w:t>
            </w:r>
          </w:p>
        </w:tc>
        <w:tc>
          <w:tcPr>
            <w:tcW w:w="404" w:type="pct"/>
            <w:tcBorders>
              <w:top w:val="nil"/>
              <w:left w:val="nil"/>
              <w:bottom w:val="single" w:sz="4" w:space="0" w:color="auto"/>
              <w:right w:val="single" w:sz="4" w:space="0" w:color="auto"/>
            </w:tcBorders>
            <w:shd w:val="clear" w:color="auto" w:fill="auto"/>
            <w:vAlign w:val="center"/>
            <w:hideMark/>
          </w:tcPr>
          <w:p w:rsidR="0057611E" w:rsidRPr="00964C0A" w:rsidP="00AD4A42" w14:paraId="009E930C" w14:textId="77777777">
            <w:pPr>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0</w:t>
            </w:r>
          </w:p>
        </w:tc>
        <w:tc>
          <w:tcPr>
            <w:tcW w:w="1093" w:type="pct"/>
            <w:tcBorders>
              <w:top w:val="nil"/>
              <w:left w:val="nil"/>
              <w:bottom w:val="single" w:sz="4" w:space="0" w:color="auto"/>
              <w:right w:val="single" w:sz="4" w:space="0" w:color="auto"/>
            </w:tcBorders>
            <w:shd w:val="clear" w:color="auto" w:fill="auto"/>
            <w:vAlign w:val="center"/>
            <w:hideMark/>
          </w:tcPr>
          <w:p w:rsidR="0057611E" w:rsidRPr="00964C0A" w:rsidP="00AD4A42" w14:paraId="5E7BE928" w14:textId="77777777">
            <w:pPr>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$2,</w:t>
            </w:r>
            <w:r>
              <w:rPr>
                <w:rFonts w:ascii="Times New Roman" w:eastAsia="Times New Roman" w:hAnsi="Times New Roman" w:cs="Times New Roman"/>
                <w:b/>
                <w:color w:val="000000"/>
                <w:sz w:val="20"/>
                <w:szCs w:val="20"/>
              </w:rPr>
              <w:t>272.89</w:t>
            </w:r>
            <w:r w:rsidRPr="00964C0A">
              <w:rPr>
                <w:rFonts w:ascii="Times New Roman" w:eastAsia="Times New Roman" w:hAnsi="Times New Roman" w:cs="Times New Roman"/>
                <w:b/>
                <w:color w:val="000000"/>
                <w:sz w:val="20"/>
                <w:szCs w:val="20"/>
              </w:rPr>
              <w:t xml:space="preserve"> </w:t>
            </w:r>
          </w:p>
        </w:tc>
      </w:tr>
    </w:tbl>
    <w:p w:rsidR="00C57989" w:rsidRPr="003D7294" w:rsidP="00C57989" w14:paraId="40B9A6F9" w14:textId="77777777">
      <w:pPr>
        <w:spacing w:after="0" w:line="240" w:lineRule="auto"/>
        <w:rPr>
          <w:rFonts w:ascii="Times New Roman" w:hAnsi="Times New Roman" w:cs="Times New Roman"/>
          <w:sz w:val="18"/>
          <w:szCs w:val="18"/>
        </w:rPr>
      </w:pPr>
      <w:r w:rsidRPr="003D7294">
        <w:rPr>
          <w:rFonts w:ascii="Times New Roman" w:hAnsi="Times New Roman" w:cs="Times New Roman"/>
          <w:sz w:val="18"/>
          <w:szCs w:val="18"/>
        </w:rPr>
        <w:t xml:space="preserve">* Property damage values were obtained from the EPA RMP Database of self-reported information from regulated facility owners or operators and adjusted to </w:t>
      </w:r>
      <w:r w:rsidRPr="003D7294" w:rsidR="00514AAB">
        <w:rPr>
          <w:rFonts w:ascii="Times New Roman" w:hAnsi="Times New Roman" w:cs="Times New Roman"/>
          <w:sz w:val="18"/>
          <w:szCs w:val="18"/>
        </w:rPr>
        <w:t xml:space="preserve">2022 </w:t>
      </w:r>
      <w:r w:rsidRPr="003D7294">
        <w:rPr>
          <w:rFonts w:ascii="Times New Roman" w:hAnsi="Times New Roman" w:cs="Times New Roman"/>
          <w:sz w:val="18"/>
          <w:szCs w:val="18"/>
        </w:rPr>
        <w:t>dollars.</w:t>
      </w:r>
      <w:r w:rsidRPr="003D7294" w:rsidR="008E45A9">
        <w:rPr>
          <w:rFonts w:ascii="Times New Roman" w:hAnsi="Times New Roman" w:cs="Times New Roman"/>
          <w:sz w:val="18"/>
          <w:szCs w:val="18"/>
        </w:rPr>
        <w:t xml:space="preserve"> All other values were </w:t>
      </w:r>
      <w:r w:rsidRPr="003D7294" w:rsidR="00204575">
        <w:rPr>
          <w:rFonts w:ascii="Times New Roman" w:hAnsi="Times New Roman" w:cs="Times New Roman"/>
          <w:sz w:val="18"/>
          <w:szCs w:val="18"/>
        </w:rPr>
        <w:t xml:space="preserve">also </w:t>
      </w:r>
      <w:r w:rsidRPr="003D7294" w:rsidR="008E45A9">
        <w:rPr>
          <w:rFonts w:ascii="Times New Roman" w:hAnsi="Times New Roman" w:cs="Times New Roman"/>
          <w:sz w:val="18"/>
          <w:szCs w:val="18"/>
        </w:rPr>
        <w:t xml:space="preserve">obtained from </w:t>
      </w:r>
      <w:r w:rsidRPr="003D7294" w:rsidR="006D6793">
        <w:rPr>
          <w:rFonts w:ascii="Times New Roman" w:hAnsi="Times New Roman" w:cs="Times New Roman"/>
          <w:sz w:val="18"/>
          <w:szCs w:val="18"/>
        </w:rPr>
        <w:t>the EPA RMP Database.</w:t>
      </w:r>
    </w:p>
    <w:p w:rsidR="00C57989" w:rsidRPr="00D74817" w:rsidP="00C57989" w14:paraId="2D477048" w14:textId="77777777">
      <w:pPr>
        <w:spacing w:after="0" w:line="240" w:lineRule="auto"/>
        <w:rPr>
          <w:rFonts w:ascii="Times New Roman" w:hAnsi="Times New Roman" w:cs="Times New Roman"/>
          <w:sz w:val="20"/>
          <w:szCs w:val="20"/>
        </w:rPr>
      </w:pPr>
    </w:p>
    <w:p w:rsidR="00C57989" w:rsidP="00C57989" w14:paraId="28AB3B1F"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Twelve onsite </w:t>
      </w:r>
      <w:r w:rsidR="006C08DC">
        <w:rPr>
          <w:rFonts w:ascii="Times New Roman" w:hAnsi="Times New Roman" w:cs="Times New Roman"/>
        </w:rPr>
        <w:t xml:space="preserve">employee </w:t>
      </w:r>
      <w:r w:rsidRPr="00BF42A8">
        <w:rPr>
          <w:rFonts w:ascii="Times New Roman" w:hAnsi="Times New Roman" w:cs="Times New Roman"/>
        </w:rPr>
        <w:t xml:space="preserve">fatalities occurred over the five-year analysis period, which is an annual average of 2.4 </w:t>
      </w:r>
      <w:r w:rsidR="00B871E8">
        <w:rPr>
          <w:rFonts w:ascii="Times New Roman" w:hAnsi="Times New Roman" w:cs="Times New Roman"/>
        </w:rPr>
        <w:t xml:space="preserve">employee </w:t>
      </w:r>
      <w:r w:rsidRPr="00BF42A8">
        <w:rPr>
          <w:rFonts w:ascii="Times New Roman" w:hAnsi="Times New Roman" w:cs="Times New Roman"/>
        </w:rPr>
        <w:t>fatalities.</w:t>
      </w:r>
      <w:r w:rsidR="00356DDB">
        <w:rPr>
          <w:rFonts w:ascii="Times New Roman" w:hAnsi="Times New Roman" w:cs="Times New Roman"/>
        </w:rPr>
        <w:t xml:space="preserve"> E</w:t>
      </w:r>
      <w:r>
        <w:rPr>
          <w:rFonts w:ascii="Times New Roman" w:hAnsi="Times New Roman" w:cs="Times New Roman"/>
        </w:rPr>
        <w:t>ach accident</w:t>
      </w:r>
      <w:r w:rsidR="00356DDB">
        <w:rPr>
          <w:rFonts w:ascii="Times New Roman" w:hAnsi="Times New Roman" w:cs="Times New Roman"/>
        </w:rPr>
        <w:t xml:space="preserve"> with a fatality</w:t>
      </w:r>
      <w:r w:rsidRPr="00BF42A8">
        <w:rPr>
          <w:rFonts w:ascii="Times New Roman" w:hAnsi="Times New Roman" w:cs="Times New Roman"/>
        </w:rPr>
        <w:t xml:space="preserve"> resulted in </w:t>
      </w:r>
      <w:r w:rsidR="00475F81">
        <w:rPr>
          <w:rFonts w:ascii="Times New Roman" w:hAnsi="Times New Roman" w:cs="Times New Roman"/>
        </w:rPr>
        <w:t>a single</w:t>
      </w:r>
      <w:r w:rsidRPr="00BF42A8">
        <w:rPr>
          <w:rFonts w:ascii="Times New Roman" w:hAnsi="Times New Roman" w:cs="Times New Roman"/>
        </w:rPr>
        <w:t xml:space="preserve"> </w:t>
      </w:r>
      <w:r w:rsidR="00883855">
        <w:rPr>
          <w:rFonts w:ascii="Times New Roman" w:hAnsi="Times New Roman" w:cs="Times New Roman"/>
        </w:rPr>
        <w:t xml:space="preserve">employee </w:t>
      </w:r>
      <w:r w:rsidRPr="00BF42A8">
        <w:rPr>
          <w:rFonts w:ascii="Times New Roman" w:hAnsi="Times New Roman" w:cs="Times New Roman"/>
        </w:rPr>
        <w:t>fatality</w:t>
      </w:r>
      <w:r w:rsidR="005704D5">
        <w:rPr>
          <w:rFonts w:ascii="Times New Roman" w:hAnsi="Times New Roman" w:cs="Times New Roman"/>
        </w:rPr>
        <w:t>,</w:t>
      </w:r>
      <w:r w:rsidR="00883855">
        <w:rPr>
          <w:rFonts w:ascii="Times New Roman" w:hAnsi="Times New Roman" w:cs="Times New Roman"/>
        </w:rPr>
        <w:t xml:space="preserve"> </w:t>
      </w:r>
      <w:r w:rsidR="00475F81">
        <w:rPr>
          <w:rFonts w:ascii="Times New Roman" w:hAnsi="Times New Roman" w:cs="Times New Roman"/>
        </w:rPr>
        <w:t>while</w:t>
      </w:r>
      <w:r w:rsidR="00883855">
        <w:rPr>
          <w:rFonts w:ascii="Times New Roman" w:hAnsi="Times New Roman" w:cs="Times New Roman"/>
        </w:rPr>
        <w:t xml:space="preserve"> the 6 public responder fatalities were from one accident</w:t>
      </w:r>
      <w:r w:rsidRPr="00BF42A8">
        <w:rPr>
          <w:rFonts w:ascii="Times New Roman" w:hAnsi="Times New Roman" w:cs="Times New Roman"/>
        </w:rPr>
        <w:t xml:space="preserve">. No deaths among the public occurred during this five-year period. </w:t>
      </w:r>
    </w:p>
    <w:p w:rsidR="00C57989" w:rsidP="00C57989" w14:paraId="4C07DA3F" w14:textId="77777777">
      <w:pPr>
        <w:spacing w:after="0" w:line="240" w:lineRule="auto"/>
        <w:ind w:firstLine="360"/>
        <w:rPr>
          <w:rFonts w:ascii="Times New Roman" w:hAnsi="Times New Roman" w:cs="Times New Roman"/>
        </w:rPr>
      </w:pPr>
    </w:p>
    <w:p w:rsidR="00C57989" w:rsidP="00C57989" w14:paraId="644C6F63"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The current RMP rule does not require facilities to disaggregate </w:t>
      </w:r>
      <w:r>
        <w:rPr>
          <w:rFonts w:ascii="Times New Roman" w:hAnsi="Times New Roman" w:cs="Times New Roman"/>
        </w:rPr>
        <w:t xml:space="preserve">reported </w:t>
      </w:r>
      <w:r w:rsidRPr="00BF42A8">
        <w:rPr>
          <w:rFonts w:ascii="Times New Roman" w:hAnsi="Times New Roman" w:cs="Times New Roman"/>
        </w:rPr>
        <w:t xml:space="preserve">onsite injuries by severity. However, under the RMP accident history requirements, an RMP-reportable accident </w:t>
      </w:r>
      <w:r w:rsidRPr="00BF42A8">
        <w:rPr>
          <w:rFonts w:ascii="Times New Roman" w:hAnsi="Times New Roman" w:cs="Times New Roman"/>
          <w:i/>
        </w:rPr>
        <w:t xml:space="preserve">injury </w:t>
      </w:r>
      <w:r w:rsidRPr="00BF42A8">
        <w:rPr>
          <w:rFonts w:ascii="Times New Roman" w:hAnsi="Times New Roman" w:cs="Times New Roman"/>
        </w:rPr>
        <w:t>means “any effect on a human that results either from direct exposure to toxic concentration; radiant heat; or overpressure from accidental releases or from the direct consequences of a vapor cloud explosion (such as flying glass, debris, or other projectiles) from an accidental release and that requires medical treatment or</w:t>
      </w:r>
      <w:r w:rsidRPr="00BF42A8">
        <w:rPr>
          <w:rFonts w:ascii="Times New Roman" w:hAnsi="Times New Roman" w:cs="Times New Roman"/>
          <w:spacing w:val="-19"/>
        </w:rPr>
        <w:t xml:space="preserve"> </w:t>
      </w:r>
      <w:r w:rsidRPr="00BF42A8">
        <w:rPr>
          <w:rFonts w:ascii="Times New Roman" w:hAnsi="Times New Roman" w:cs="Times New Roman"/>
        </w:rPr>
        <w:t>hospitalization.”</w:t>
      </w:r>
    </w:p>
    <w:p w:rsidR="00C57989" w:rsidP="00C57989" w14:paraId="635A1443" w14:textId="77777777">
      <w:pPr>
        <w:spacing w:after="0" w:line="240" w:lineRule="auto"/>
        <w:ind w:firstLine="360"/>
        <w:rPr>
          <w:rFonts w:ascii="Times New Roman" w:hAnsi="Times New Roman" w:cs="Times New Roman"/>
        </w:rPr>
      </w:pPr>
    </w:p>
    <w:p w:rsidR="00C57989" w:rsidP="00C57989" w14:paraId="11C82C61" w14:textId="77777777">
      <w:pPr>
        <w:spacing w:after="0" w:line="240" w:lineRule="auto"/>
        <w:ind w:firstLine="360"/>
        <w:rPr>
          <w:rFonts w:ascii="Times New Roman" w:hAnsi="Times New Roman" w:cs="Times New Roman"/>
        </w:rPr>
      </w:pPr>
      <w:r>
        <w:rPr>
          <w:rFonts w:ascii="Times New Roman" w:hAnsi="Times New Roman" w:cs="Times New Roman"/>
          <w:i/>
        </w:rPr>
        <w:tab/>
      </w:r>
      <w:r w:rsidRPr="00BF42A8">
        <w:rPr>
          <w:rFonts w:ascii="Times New Roman" w:hAnsi="Times New Roman" w:cs="Times New Roman"/>
          <w:i/>
        </w:rPr>
        <w:t xml:space="preserve">Medical treatment </w:t>
      </w:r>
      <w:r w:rsidRPr="00BF42A8">
        <w:rPr>
          <w:rFonts w:ascii="Times New Roman" w:hAnsi="Times New Roman" w:cs="Times New Roman"/>
        </w:rPr>
        <w:t>means “treatment, other than first aid, administered by a physician or registered professional personnel under standing orders from a physician” (40 CFR 68.3). For some accidents for which accident reports could be located from other sources, serious injuries (i.e., those requiring hospitalization) range</w:t>
      </w:r>
      <w:r w:rsidR="00DE0D6D">
        <w:rPr>
          <w:rFonts w:ascii="Times New Roman" w:hAnsi="Times New Roman" w:cs="Times New Roman"/>
        </w:rPr>
        <w:t>d</w:t>
      </w:r>
      <w:r w:rsidRPr="00BF42A8">
        <w:rPr>
          <w:rFonts w:ascii="Times New Roman" w:hAnsi="Times New Roman" w:cs="Times New Roman"/>
        </w:rPr>
        <w:t xml:space="preserve"> from none (e.g., SGL Carbon LLC July 2017 and East Dubuque Nitrogen Fertilizers June 2017 where all workers were treated and released) to at least 29 reported injuries (Tyson Fresh Meats 2018); in the largest </w:t>
      </w:r>
      <w:r w:rsidR="001F1787">
        <w:rPr>
          <w:rFonts w:ascii="Times New Roman" w:hAnsi="Times New Roman" w:cs="Times New Roman"/>
        </w:rPr>
        <w:t>of that sample of</w:t>
      </w:r>
      <w:r w:rsidRPr="00BF42A8">
        <w:rPr>
          <w:rFonts w:ascii="Times New Roman" w:hAnsi="Times New Roman" w:cs="Times New Roman"/>
        </w:rPr>
        <w:t xml:space="preserve"> accident</w:t>
      </w:r>
      <w:r w:rsidR="001F1787">
        <w:rPr>
          <w:rFonts w:ascii="Times New Roman" w:hAnsi="Times New Roman" w:cs="Times New Roman"/>
        </w:rPr>
        <w:t>s</w:t>
      </w:r>
      <w:r w:rsidRPr="00BF42A8">
        <w:rPr>
          <w:rFonts w:ascii="Times New Roman" w:hAnsi="Times New Roman" w:cs="Times New Roman"/>
        </w:rPr>
        <w:t xml:space="preserve"> (Valero Benicia Refinery 2017), 68 civilians received medical treatment.</w:t>
      </w:r>
      <w:r>
        <w:rPr>
          <w:rStyle w:val="FootnoteReference"/>
          <w:rFonts w:ascii="Times New Roman" w:hAnsi="Times New Roman" w:cs="Times New Roman"/>
        </w:rPr>
        <w:footnoteReference w:id="86"/>
      </w:r>
      <w:r w:rsidRPr="00BF42A8">
        <w:rPr>
          <w:rFonts w:ascii="Times New Roman" w:hAnsi="Times New Roman" w:cs="Times New Roman"/>
        </w:rPr>
        <w:t xml:space="preserve"> Injuries described in reports varied from those that were treated with first aid alone at the scene, to severe burns and disability. Although the RMP rule limits </w:t>
      </w:r>
      <w:r w:rsidR="00E76889">
        <w:rPr>
          <w:rFonts w:ascii="Times New Roman" w:hAnsi="Times New Roman" w:cs="Times New Roman"/>
        </w:rPr>
        <w:t>RMP-</w:t>
      </w:r>
      <w:r w:rsidRPr="00BF42A8">
        <w:rPr>
          <w:rFonts w:ascii="Times New Roman" w:hAnsi="Times New Roman" w:cs="Times New Roman"/>
        </w:rPr>
        <w:t xml:space="preserve">reportable injuries to those that require medical treatment other than first aid, in some accidents, minor injuries treated with first aid have been reported. Onsite property damage reports include a variety of damages including to buildings, machinery, equipment and other plant infrastructure. </w:t>
      </w:r>
      <w:r w:rsidR="003A04F8">
        <w:rPr>
          <w:rFonts w:ascii="Times New Roman" w:hAnsi="Times New Roman" w:cs="Times New Roman"/>
        </w:rPr>
        <w:t>Approximately</w:t>
      </w:r>
      <w:r w:rsidRPr="00BF42A8">
        <w:rPr>
          <w:rFonts w:ascii="Times New Roman" w:hAnsi="Times New Roman" w:cs="Times New Roman"/>
        </w:rPr>
        <w:t xml:space="preserve"> $</w:t>
      </w:r>
      <w:r w:rsidR="009921C7">
        <w:rPr>
          <w:rFonts w:ascii="Times New Roman" w:hAnsi="Times New Roman" w:cs="Times New Roman"/>
        </w:rPr>
        <w:t>0.4</w:t>
      </w:r>
      <w:r w:rsidRPr="00BF42A8">
        <w:rPr>
          <w:rFonts w:ascii="Times New Roman" w:hAnsi="Times New Roman" w:cs="Times New Roman"/>
        </w:rPr>
        <w:t xml:space="preserve"> billion of the $2</w:t>
      </w:r>
      <w:r w:rsidR="00FC3BB3">
        <w:rPr>
          <w:rFonts w:ascii="Times New Roman" w:hAnsi="Times New Roman" w:cs="Times New Roman"/>
        </w:rPr>
        <w:t>.3</w:t>
      </w:r>
      <w:r w:rsidRPr="00BF42A8">
        <w:rPr>
          <w:rFonts w:ascii="Times New Roman" w:hAnsi="Times New Roman" w:cs="Times New Roman"/>
        </w:rPr>
        <w:t xml:space="preserve"> billion in property damage reported occurred in accidents that had no other </w:t>
      </w:r>
      <w:r w:rsidR="00E76889">
        <w:rPr>
          <w:rFonts w:ascii="Times New Roman" w:hAnsi="Times New Roman" w:cs="Times New Roman"/>
        </w:rPr>
        <w:t>RMP-</w:t>
      </w:r>
      <w:r w:rsidRPr="00BF42A8">
        <w:rPr>
          <w:rFonts w:ascii="Times New Roman" w:hAnsi="Times New Roman" w:cs="Times New Roman"/>
        </w:rPr>
        <w:t>reportable impacts onsite or offsite.</w:t>
      </w:r>
    </w:p>
    <w:p w:rsidR="00C57989" w:rsidRPr="00BF42A8" w:rsidP="00C57989" w14:paraId="475B3724" w14:textId="77777777">
      <w:pPr>
        <w:spacing w:after="0" w:line="240" w:lineRule="auto"/>
        <w:ind w:firstLine="360"/>
        <w:rPr>
          <w:rFonts w:ascii="Times New Roman" w:hAnsi="Times New Roman" w:cs="Times New Roman"/>
        </w:rPr>
      </w:pPr>
    </w:p>
    <w:p w:rsidR="00C57989" w:rsidRPr="00925907" w:rsidP="00EC2D22" w14:paraId="115F38DF" w14:textId="77777777">
      <w:pPr>
        <w:pStyle w:val="Heading3"/>
        <w:rPr>
          <w:rFonts w:ascii="Times New Roman" w:hAnsi="Times New Roman" w:cs="Times New Roman"/>
          <w:sz w:val="22"/>
          <w:szCs w:val="22"/>
        </w:rPr>
      </w:pPr>
      <w:bookmarkStart w:id="121" w:name="_Toc141732922"/>
      <w:bookmarkStart w:id="122" w:name="_Toc141733133"/>
      <w:bookmarkStart w:id="123" w:name="_Toc142404037"/>
      <w:bookmarkStart w:id="124" w:name="_Toc144213844"/>
      <w:bookmarkStart w:id="125" w:name="_Toc144283589"/>
      <w:bookmarkStart w:id="126" w:name="_Toc144303527"/>
      <w:r w:rsidRPr="00EC2D22">
        <w:rPr>
          <w:rFonts w:ascii="Times New Roman" w:hAnsi="Times New Roman" w:cs="Times New Roman"/>
          <w:sz w:val="22"/>
          <w:szCs w:val="22"/>
        </w:rPr>
        <w:t>3.</w:t>
      </w:r>
      <w:r w:rsidR="00EC2D22">
        <w:rPr>
          <w:rFonts w:ascii="Times New Roman" w:hAnsi="Times New Roman" w:cs="Times New Roman"/>
        </w:rPr>
        <w:t>2.3</w:t>
      </w:r>
      <w:r w:rsidRPr="00EC2D22">
        <w:rPr>
          <w:rFonts w:ascii="Times New Roman" w:hAnsi="Times New Roman" w:cs="Times New Roman"/>
          <w:sz w:val="22"/>
          <w:szCs w:val="22"/>
        </w:rPr>
        <w:t xml:space="preserve"> </w:t>
      </w:r>
      <w:r w:rsidRPr="00925907">
        <w:rPr>
          <w:rFonts w:ascii="Times New Roman" w:hAnsi="Times New Roman" w:cs="Times New Roman"/>
          <w:sz w:val="22"/>
          <w:szCs w:val="22"/>
        </w:rPr>
        <w:t xml:space="preserve">Offsite </w:t>
      </w:r>
      <w:r w:rsidR="00AF1ACD">
        <w:rPr>
          <w:rFonts w:ascii="Times New Roman" w:hAnsi="Times New Roman" w:cs="Times New Roman"/>
          <w:sz w:val="22"/>
          <w:szCs w:val="22"/>
        </w:rPr>
        <w:t>RMP-</w:t>
      </w:r>
      <w:r w:rsidRPr="00925907">
        <w:rPr>
          <w:rFonts w:ascii="Times New Roman" w:hAnsi="Times New Roman" w:cs="Times New Roman"/>
          <w:sz w:val="22"/>
          <w:szCs w:val="22"/>
        </w:rPr>
        <w:t>Reportable Impacts in the Five-year</w:t>
      </w:r>
      <w:r w:rsidRPr="00925907">
        <w:rPr>
          <w:rFonts w:ascii="Times New Roman" w:hAnsi="Times New Roman" w:cs="Times New Roman"/>
          <w:spacing w:val="-2"/>
          <w:sz w:val="22"/>
          <w:szCs w:val="22"/>
        </w:rPr>
        <w:t xml:space="preserve"> </w:t>
      </w:r>
      <w:r w:rsidRPr="00925907">
        <w:rPr>
          <w:rFonts w:ascii="Times New Roman" w:hAnsi="Times New Roman" w:cs="Times New Roman"/>
          <w:sz w:val="22"/>
          <w:szCs w:val="22"/>
        </w:rPr>
        <w:t>Baseline</w:t>
      </w:r>
      <w:bookmarkEnd w:id="121"/>
      <w:bookmarkEnd w:id="122"/>
      <w:bookmarkEnd w:id="123"/>
      <w:bookmarkEnd w:id="124"/>
      <w:bookmarkEnd w:id="125"/>
      <w:bookmarkEnd w:id="126"/>
    </w:p>
    <w:p w:rsidR="00C57989" w:rsidP="00C57989" w14:paraId="0D157FDB"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Exhibit 3</w:t>
      </w:r>
      <w:r w:rsidR="0017397A">
        <w:rPr>
          <w:rFonts w:ascii="Times New Roman" w:hAnsi="Times New Roman" w:cs="Times New Roman"/>
        </w:rPr>
        <w:t>-1</w:t>
      </w:r>
      <w:r w:rsidR="00D3523B">
        <w:rPr>
          <w:rFonts w:ascii="Times New Roman" w:hAnsi="Times New Roman" w:cs="Times New Roman"/>
        </w:rPr>
        <w:t>2</w:t>
      </w:r>
      <w:r w:rsidRPr="00BF42A8">
        <w:rPr>
          <w:rFonts w:ascii="Times New Roman" w:hAnsi="Times New Roman" w:cs="Times New Roman"/>
        </w:rPr>
        <w:t xml:space="preserve"> presents the reported offsite impacts for the baseline including members of the public or emergency responders who were injured or killed offsite, were required to evacuate or shelter</w:t>
      </w:r>
      <w:r w:rsidR="00816EE0">
        <w:rPr>
          <w:rFonts w:ascii="Times New Roman" w:hAnsi="Times New Roman" w:cs="Times New Roman"/>
        </w:rPr>
        <w:t>-</w:t>
      </w:r>
      <w:r w:rsidRPr="00BF42A8">
        <w:rPr>
          <w:rFonts w:ascii="Times New Roman" w:hAnsi="Times New Roman" w:cs="Times New Roman"/>
        </w:rPr>
        <w:t>in</w:t>
      </w:r>
      <w:r w:rsidR="00816EE0">
        <w:rPr>
          <w:rFonts w:ascii="Times New Roman" w:hAnsi="Times New Roman" w:cs="Times New Roman"/>
        </w:rPr>
        <w:t>-</w:t>
      </w:r>
      <w:r w:rsidRPr="00BF42A8">
        <w:rPr>
          <w:rFonts w:ascii="Times New Roman" w:hAnsi="Times New Roman" w:cs="Times New Roman"/>
        </w:rPr>
        <w:t xml:space="preserve">place, or who incurred property damage as a result of the accidents. Of the 488 </w:t>
      </w:r>
      <w:r w:rsidR="00AF1ACD">
        <w:rPr>
          <w:rFonts w:ascii="Times New Roman" w:hAnsi="Times New Roman" w:cs="Times New Roman"/>
        </w:rPr>
        <w:t>RMP-</w:t>
      </w:r>
      <w:r w:rsidRPr="00BF42A8">
        <w:rPr>
          <w:rFonts w:ascii="Times New Roman" w:hAnsi="Times New Roman" w:cs="Times New Roman"/>
        </w:rPr>
        <w:t xml:space="preserve">reportable accidents, </w:t>
      </w:r>
      <w:r w:rsidRPr="00BF42A8" w:rsidR="00384D9D">
        <w:rPr>
          <w:rFonts w:ascii="Times New Roman" w:hAnsi="Times New Roman" w:cs="Times New Roman"/>
        </w:rPr>
        <w:t>1</w:t>
      </w:r>
      <w:r w:rsidR="00384D9D">
        <w:rPr>
          <w:rFonts w:ascii="Times New Roman" w:hAnsi="Times New Roman" w:cs="Times New Roman"/>
        </w:rPr>
        <w:t>3</w:t>
      </w:r>
      <w:r w:rsidRPr="00BF42A8" w:rsidR="00384D9D">
        <w:rPr>
          <w:rFonts w:ascii="Times New Roman" w:hAnsi="Times New Roman" w:cs="Times New Roman"/>
        </w:rPr>
        <w:t xml:space="preserve">3 </w:t>
      </w:r>
      <w:r w:rsidRPr="00BF42A8">
        <w:rPr>
          <w:rFonts w:ascii="Times New Roman" w:hAnsi="Times New Roman" w:cs="Times New Roman"/>
        </w:rPr>
        <w:t xml:space="preserve">had </w:t>
      </w:r>
      <w:r w:rsidR="00AF1ACD">
        <w:rPr>
          <w:rFonts w:ascii="Times New Roman" w:hAnsi="Times New Roman" w:cs="Times New Roman"/>
        </w:rPr>
        <w:t>RMP-</w:t>
      </w:r>
      <w:r w:rsidRPr="00BF42A8">
        <w:rPr>
          <w:rFonts w:ascii="Times New Roman" w:hAnsi="Times New Roman" w:cs="Times New Roman"/>
        </w:rPr>
        <w:t xml:space="preserve">reportable offsite impacts. </w:t>
      </w:r>
    </w:p>
    <w:p w:rsidR="00C57989" w:rsidP="00C57989" w14:paraId="0CD6BAEB" w14:textId="77777777">
      <w:pPr>
        <w:spacing w:after="0" w:line="240" w:lineRule="auto"/>
        <w:ind w:firstLine="360"/>
        <w:rPr>
          <w:rFonts w:ascii="Times New Roman" w:hAnsi="Times New Roman" w:cs="Times New Roman"/>
        </w:rPr>
      </w:pPr>
    </w:p>
    <w:p w:rsidR="00C57989" w:rsidRPr="00964C0A" w:rsidP="00C57989" w14:paraId="24CD925A" w14:textId="77777777">
      <w:pPr>
        <w:pStyle w:val="Caption"/>
        <w:jc w:val="center"/>
        <w:rPr>
          <w:rFonts w:ascii="Times New Roman" w:hAnsi="Times New Roman" w:cs="Times New Roman"/>
          <w:b/>
          <w:bCs/>
          <w:i w:val="0"/>
          <w:iCs w:val="0"/>
          <w:color w:val="auto"/>
          <w:sz w:val="22"/>
          <w:szCs w:val="22"/>
        </w:rPr>
      </w:pPr>
      <w:r w:rsidRPr="00964C0A">
        <w:rPr>
          <w:rFonts w:ascii="Times New Roman" w:hAnsi="Times New Roman" w:cs="Times New Roman"/>
          <w:b/>
          <w:bCs/>
          <w:i w:val="0"/>
          <w:iCs w:val="0"/>
          <w:color w:val="auto"/>
          <w:sz w:val="22"/>
          <w:szCs w:val="22"/>
        </w:rPr>
        <w:t>Exhibit 3</w:t>
      </w:r>
      <w:r w:rsidR="0017397A">
        <w:rPr>
          <w:rFonts w:ascii="Times New Roman" w:hAnsi="Times New Roman" w:cs="Times New Roman"/>
          <w:b/>
          <w:bCs/>
          <w:i w:val="0"/>
          <w:iCs w:val="0"/>
          <w:color w:val="auto"/>
          <w:sz w:val="22"/>
          <w:szCs w:val="22"/>
        </w:rPr>
        <w:t>-1</w:t>
      </w:r>
      <w:r w:rsidR="00D3523B">
        <w:rPr>
          <w:rFonts w:ascii="Times New Roman" w:hAnsi="Times New Roman" w:cs="Times New Roman"/>
          <w:b/>
          <w:bCs/>
          <w:i w:val="0"/>
          <w:iCs w:val="0"/>
          <w:color w:val="auto"/>
          <w:sz w:val="22"/>
          <w:szCs w:val="22"/>
        </w:rPr>
        <w:t>2</w:t>
      </w:r>
      <w:r w:rsidRPr="00964C0A">
        <w:rPr>
          <w:rFonts w:ascii="Times New Roman" w:hAnsi="Times New Roman" w:cs="Times New Roman"/>
          <w:b/>
          <w:bCs/>
          <w:i w:val="0"/>
          <w:iCs w:val="0"/>
          <w:color w:val="auto"/>
          <w:sz w:val="22"/>
          <w:szCs w:val="22"/>
        </w:rPr>
        <w:t>: Offsite Impacts by Year: 2016-2020.</w:t>
      </w:r>
    </w:p>
    <w:tbl>
      <w:tblPr>
        <w:tblW w:w="5126" w:type="pct"/>
        <w:tblInd w:w="-5" w:type="dxa"/>
        <w:tblLook w:val="04A0"/>
      </w:tblPr>
      <w:tblGrid>
        <w:gridCol w:w="1267"/>
        <w:gridCol w:w="1330"/>
        <w:gridCol w:w="999"/>
        <w:gridCol w:w="1011"/>
        <w:gridCol w:w="1577"/>
        <w:gridCol w:w="1206"/>
        <w:gridCol w:w="1109"/>
        <w:gridCol w:w="1722"/>
      </w:tblGrid>
      <w:tr w14:paraId="63C1EBBE" w14:textId="77777777" w:rsidTr="009C1C48">
        <w:tblPrEx>
          <w:tblW w:w="5126" w:type="pct"/>
          <w:tblInd w:w="-5" w:type="dxa"/>
          <w:tblLook w:val="04A0"/>
        </w:tblPrEx>
        <w:trPr>
          <w:trHeight w:val="1270"/>
          <w:tblHeader/>
        </w:trPr>
        <w:tc>
          <w:tcPr>
            <w:tcW w:w="62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57989" w:rsidRPr="00BF42A8" w:rsidP="00AD4A42" w14:paraId="7D745D62"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Year</w:t>
            </w:r>
          </w:p>
        </w:tc>
        <w:tc>
          <w:tcPr>
            <w:tcW w:w="651" w:type="pct"/>
            <w:tcBorders>
              <w:top w:val="single" w:sz="4" w:space="0" w:color="auto"/>
              <w:left w:val="nil"/>
              <w:bottom w:val="single" w:sz="4" w:space="0" w:color="auto"/>
              <w:right w:val="single" w:sz="4" w:space="0" w:color="auto"/>
            </w:tcBorders>
            <w:shd w:val="clear" w:color="000000" w:fill="D9D9D9"/>
            <w:vAlign w:val="center"/>
            <w:hideMark/>
          </w:tcPr>
          <w:p w:rsidR="00C57989" w:rsidRPr="00BF42A8" w:rsidP="00AD4A42" w14:paraId="742F7EDF"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Impact Accidents with Offsite Impacts</w:t>
            </w:r>
          </w:p>
        </w:tc>
        <w:tc>
          <w:tcPr>
            <w:tcW w:w="489" w:type="pct"/>
            <w:tcBorders>
              <w:top w:val="single" w:sz="4" w:space="0" w:color="auto"/>
              <w:left w:val="nil"/>
              <w:bottom w:val="single" w:sz="4" w:space="0" w:color="auto"/>
              <w:right w:val="single" w:sz="4" w:space="0" w:color="auto"/>
            </w:tcBorders>
            <w:shd w:val="clear" w:color="000000" w:fill="D9D9D9"/>
            <w:vAlign w:val="center"/>
            <w:hideMark/>
          </w:tcPr>
          <w:p w:rsidR="00C57989" w:rsidRPr="00BF42A8" w:rsidP="00AD4A42" w14:paraId="5D231E08"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Number of Deaths</w:t>
            </w:r>
          </w:p>
        </w:tc>
        <w:tc>
          <w:tcPr>
            <w:tcW w:w="495" w:type="pct"/>
            <w:tcBorders>
              <w:top w:val="single" w:sz="4" w:space="0" w:color="auto"/>
              <w:left w:val="nil"/>
              <w:bottom w:val="single" w:sz="4" w:space="0" w:color="auto"/>
              <w:right w:val="single" w:sz="4" w:space="0" w:color="auto"/>
            </w:tcBorders>
            <w:shd w:val="clear" w:color="000000" w:fill="D9D9D9"/>
            <w:vAlign w:val="center"/>
            <w:hideMark/>
          </w:tcPr>
          <w:p w:rsidR="00C57989" w:rsidRPr="00BF42A8" w:rsidP="00AD4A42" w14:paraId="2743FDD6"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Hospital Visits</w:t>
            </w:r>
          </w:p>
        </w:tc>
        <w:tc>
          <w:tcPr>
            <w:tcW w:w="772" w:type="pct"/>
            <w:tcBorders>
              <w:top w:val="single" w:sz="4" w:space="0" w:color="auto"/>
              <w:left w:val="nil"/>
              <w:bottom w:val="single" w:sz="4" w:space="0" w:color="auto"/>
              <w:right w:val="single" w:sz="4" w:space="0" w:color="auto"/>
            </w:tcBorders>
            <w:shd w:val="clear" w:color="000000" w:fill="D9D9D9"/>
            <w:vAlign w:val="center"/>
            <w:hideMark/>
          </w:tcPr>
          <w:p w:rsidR="00C57989" w:rsidRPr="00BF42A8" w:rsidP="00AD4A42" w14:paraId="766DC7EA"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People Undergoing other Medical Treatment</w:t>
            </w:r>
          </w:p>
        </w:tc>
        <w:tc>
          <w:tcPr>
            <w:tcW w:w="590" w:type="pct"/>
            <w:tcBorders>
              <w:top w:val="single" w:sz="4" w:space="0" w:color="auto"/>
              <w:left w:val="nil"/>
              <w:bottom w:val="single" w:sz="4" w:space="0" w:color="auto"/>
              <w:right w:val="single" w:sz="4" w:space="0" w:color="auto"/>
            </w:tcBorders>
            <w:shd w:val="clear" w:color="000000" w:fill="D9D9D9"/>
            <w:vAlign w:val="center"/>
            <w:hideMark/>
          </w:tcPr>
          <w:p w:rsidR="00C57989" w:rsidRPr="00BF42A8" w:rsidP="00AD4A42" w14:paraId="6C9B5FA8"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Number of People Evacuated</w:t>
            </w:r>
          </w:p>
        </w:tc>
        <w:tc>
          <w:tcPr>
            <w:tcW w:w="540" w:type="pct"/>
            <w:tcBorders>
              <w:top w:val="single" w:sz="4" w:space="0" w:color="auto"/>
              <w:left w:val="nil"/>
              <w:bottom w:val="single" w:sz="4" w:space="0" w:color="auto"/>
              <w:right w:val="single" w:sz="4" w:space="0" w:color="auto"/>
            </w:tcBorders>
            <w:shd w:val="clear" w:color="000000" w:fill="D9D9D9"/>
            <w:vAlign w:val="center"/>
            <w:hideMark/>
          </w:tcPr>
          <w:p w:rsidR="00C57989" w:rsidRPr="00BF42A8" w:rsidP="00AD4A42" w14:paraId="1FB18F6B"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Number of People Sheltered in Place</w:t>
            </w:r>
          </w:p>
        </w:tc>
        <w:tc>
          <w:tcPr>
            <w:tcW w:w="844" w:type="pct"/>
            <w:tcBorders>
              <w:top w:val="single" w:sz="4" w:space="0" w:color="auto"/>
              <w:left w:val="nil"/>
              <w:bottom w:val="single" w:sz="4" w:space="0" w:color="auto"/>
              <w:right w:val="single" w:sz="4" w:space="0" w:color="auto"/>
            </w:tcBorders>
            <w:shd w:val="clear" w:color="000000" w:fill="D9D9D9"/>
            <w:vAlign w:val="center"/>
            <w:hideMark/>
          </w:tcPr>
          <w:p w:rsidR="00C57989" w:rsidRPr="00BF42A8" w:rsidP="00AD4A42" w14:paraId="79D7B82F"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Value of Property Damage</w:t>
            </w:r>
            <w:r w:rsidR="006304EF">
              <w:rPr>
                <w:rFonts w:ascii="Times New Roman" w:hAnsi="Times New Roman" w:cs="Times New Roman"/>
                <w:b/>
                <w:color w:val="000000"/>
              </w:rPr>
              <w:t xml:space="preserve"> </w:t>
            </w:r>
            <w:r w:rsidR="001E05D7">
              <w:rPr>
                <w:rFonts w:ascii="Times New Roman" w:hAnsi="Times New Roman" w:cs="Times New Roman"/>
                <w:b/>
                <w:color w:val="000000"/>
              </w:rPr>
              <w:t xml:space="preserve">(millions, 2022 </w:t>
            </w:r>
            <w:r w:rsidR="006B3717">
              <w:rPr>
                <w:rFonts w:ascii="Times New Roman" w:hAnsi="Times New Roman" w:cs="Times New Roman"/>
                <w:b/>
                <w:color w:val="000000"/>
              </w:rPr>
              <w:t>dollars</w:t>
            </w:r>
            <w:r w:rsidR="001E05D7">
              <w:rPr>
                <w:rFonts w:ascii="Times New Roman" w:hAnsi="Times New Roman" w:cs="Times New Roman"/>
                <w:b/>
                <w:color w:val="000000"/>
              </w:rPr>
              <w:t>)</w:t>
            </w:r>
          </w:p>
        </w:tc>
      </w:tr>
      <w:tr w14:paraId="2774FAF9" w14:textId="77777777" w:rsidTr="009C1C48">
        <w:tblPrEx>
          <w:tblW w:w="5126" w:type="pct"/>
          <w:tblInd w:w="-5" w:type="dxa"/>
          <w:tblLook w:val="04A0"/>
        </w:tblPrEx>
        <w:trPr>
          <w:trHeight w:val="29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C57989" w:rsidRPr="00BF42A8" w:rsidP="00AD4A42" w14:paraId="217DBDDA"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2016</w:t>
            </w:r>
          </w:p>
        </w:tc>
        <w:tc>
          <w:tcPr>
            <w:tcW w:w="651" w:type="pct"/>
            <w:tcBorders>
              <w:top w:val="nil"/>
              <w:left w:val="nil"/>
              <w:bottom w:val="single" w:sz="4" w:space="0" w:color="auto"/>
              <w:right w:val="single" w:sz="4" w:space="0" w:color="auto"/>
            </w:tcBorders>
            <w:shd w:val="clear" w:color="auto" w:fill="auto"/>
            <w:vAlign w:val="center"/>
            <w:hideMark/>
          </w:tcPr>
          <w:p w:rsidR="00C57989" w:rsidRPr="00BF42A8" w:rsidP="00AD4A42" w14:paraId="6FE92843"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27</w:t>
            </w:r>
          </w:p>
        </w:tc>
        <w:tc>
          <w:tcPr>
            <w:tcW w:w="489" w:type="pct"/>
            <w:tcBorders>
              <w:top w:val="nil"/>
              <w:left w:val="nil"/>
              <w:bottom w:val="single" w:sz="4" w:space="0" w:color="auto"/>
              <w:right w:val="single" w:sz="4" w:space="0" w:color="auto"/>
            </w:tcBorders>
            <w:shd w:val="clear" w:color="auto" w:fill="auto"/>
            <w:vAlign w:val="center"/>
            <w:hideMark/>
          </w:tcPr>
          <w:p w:rsidR="00C57989" w:rsidRPr="00BF42A8" w:rsidP="00AD4A42" w14:paraId="5EBA8AE6"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0</w:t>
            </w:r>
          </w:p>
        </w:tc>
        <w:tc>
          <w:tcPr>
            <w:tcW w:w="495" w:type="pct"/>
            <w:tcBorders>
              <w:top w:val="nil"/>
              <w:left w:val="nil"/>
              <w:bottom w:val="single" w:sz="4" w:space="0" w:color="auto"/>
              <w:right w:val="single" w:sz="4" w:space="0" w:color="auto"/>
            </w:tcBorders>
            <w:shd w:val="clear" w:color="auto" w:fill="auto"/>
            <w:vAlign w:val="center"/>
            <w:hideMark/>
          </w:tcPr>
          <w:p w:rsidR="00C57989" w:rsidRPr="00BF42A8" w:rsidP="00AD4A42" w14:paraId="356F7D6F"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11</w:t>
            </w:r>
          </w:p>
        </w:tc>
        <w:tc>
          <w:tcPr>
            <w:tcW w:w="772" w:type="pct"/>
            <w:tcBorders>
              <w:top w:val="nil"/>
              <w:left w:val="nil"/>
              <w:bottom w:val="single" w:sz="4" w:space="0" w:color="auto"/>
              <w:right w:val="single" w:sz="4" w:space="0" w:color="auto"/>
            </w:tcBorders>
            <w:shd w:val="clear" w:color="auto" w:fill="auto"/>
            <w:vAlign w:val="center"/>
            <w:hideMark/>
          </w:tcPr>
          <w:p w:rsidR="00C57989" w:rsidRPr="00BF42A8" w:rsidP="00AD4A42" w14:paraId="112BEA09"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3</w:t>
            </w:r>
          </w:p>
        </w:tc>
        <w:tc>
          <w:tcPr>
            <w:tcW w:w="590" w:type="pct"/>
            <w:tcBorders>
              <w:top w:val="nil"/>
              <w:left w:val="nil"/>
              <w:bottom w:val="single" w:sz="4" w:space="0" w:color="auto"/>
              <w:right w:val="single" w:sz="4" w:space="0" w:color="auto"/>
            </w:tcBorders>
            <w:shd w:val="clear" w:color="auto" w:fill="auto"/>
            <w:vAlign w:val="center"/>
            <w:hideMark/>
          </w:tcPr>
          <w:p w:rsidR="00C57989" w:rsidRPr="00BF42A8" w:rsidP="00AD4A42" w14:paraId="5CBE2586"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1,668</w:t>
            </w:r>
          </w:p>
        </w:tc>
        <w:tc>
          <w:tcPr>
            <w:tcW w:w="540" w:type="pct"/>
            <w:tcBorders>
              <w:top w:val="nil"/>
              <w:left w:val="nil"/>
              <w:bottom w:val="single" w:sz="4" w:space="0" w:color="auto"/>
              <w:right w:val="single" w:sz="4" w:space="0" w:color="auto"/>
            </w:tcBorders>
            <w:shd w:val="clear" w:color="auto" w:fill="auto"/>
            <w:vAlign w:val="center"/>
            <w:hideMark/>
          </w:tcPr>
          <w:p w:rsidR="00C57989" w:rsidRPr="00BF42A8" w:rsidP="00AD4A42" w14:paraId="05B25FBF"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13,430</w:t>
            </w:r>
          </w:p>
        </w:tc>
        <w:tc>
          <w:tcPr>
            <w:tcW w:w="844" w:type="pct"/>
            <w:tcBorders>
              <w:top w:val="nil"/>
              <w:left w:val="nil"/>
              <w:bottom w:val="single" w:sz="4" w:space="0" w:color="auto"/>
              <w:right w:val="single" w:sz="4" w:space="0" w:color="auto"/>
            </w:tcBorders>
            <w:shd w:val="clear" w:color="auto" w:fill="auto"/>
            <w:vAlign w:val="center"/>
            <w:hideMark/>
          </w:tcPr>
          <w:p w:rsidR="00C57989" w:rsidRPr="00BF42A8" w:rsidP="00AD4A42" w14:paraId="270FE29A"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$4.</w:t>
            </w:r>
            <w:r w:rsidR="004C1CF2">
              <w:rPr>
                <w:rFonts w:ascii="Times New Roman" w:hAnsi="Times New Roman" w:cs="Times New Roman"/>
                <w:color w:val="000000"/>
              </w:rPr>
              <w:t>67</w:t>
            </w:r>
          </w:p>
        </w:tc>
      </w:tr>
      <w:tr w14:paraId="6873E486" w14:textId="77777777" w:rsidTr="009C1C48">
        <w:tblPrEx>
          <w:tblW w:w="5126" w:type="pct"/>
          <w:tblInd w:w="-5" w:type="dxa"/>
          <w:tblLook w:val="04A0"/>
        </w:tblPrEx>
        <w:trPr>
          <w:trHeight w:val="29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C57989" w:rsidRPr="00BF42A8" w:rsidP="00AD4A42" w14:paraId="4DCCF1CE"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2017</w:t>
            </w:r>
          </w:p>
        </w:tc>
        <w:tc>
          <w:tcPr>
            <w:tcW w:w="651" w:type="pct"/>
            <w:tcBorders>
              <w:top w:val="nil"/>
              <w:left w:val="nil"/>
              <w:bottom w:val="single" w:sz="4" w:space="0" w:color="auto"/>
              <w:right w:val="single" w:sz="4" w:space="0" w:color="auto"/>
            </w:tcBorders>
            <w:shd w:val="clear" w:color="auto" w:fill="auto"/>
            <w:vAlign w:val="center"/>
            <w:hideMark/>
          </w:tcPr>
          <w:p w:rsidR="00C57989" w:rsidRPr="00BF42A8" w:rsidP="00AD4A42" w14:paraId="4A655363"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31</w:t>
            </w:r>
          </w:p>
        </w:tc>
        <w:tc>
          <w:tcPr>
            <w:tcW w:w="489" w:type="pct"/>
            <w:tcBorders>
              <w:top w:val="nil"/>
              <w:left w:val="nil"/>
              <w:bottom w:val="single" w:sz="4" w:space="0" w:color="auto"/>
              <w:right w:val="single" w:sz="4" w:space="0" w:color="auto"/>
            </w:tcBorders>
            <w:shd w:val="clear" w:color="auto" w:fill="auto"/>
            <w:vAlign w:val="center"/>
            <w:hideMark/>
          </w:tcPr>
          <w:p w:rsidR="00C57989" w:rsidRPr="00BF42A8" w:rsidP="00AD4A42" w14:paraId="2C3CD7DB"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0</w:t>
            </w:r>
          </w:p>
        </w:tc>
        <w:tc>
          <w:tcPr>
            <w:tcW w:w="495" w:type="pct"/>
            <w:tcBorders>
              <w:top w:val="nil"/>
              <w:left w:val="nil"/>
              <w:bottom w:val="single" w:sz="4" w:space="0" w:color="auto"/>
              <w:right w:val="single" w:sz="4" w:space="0" w:color="auto"/>
            </w:tcBorders>
            <w:shd w:val="clear" w:color="auto" w:fill="auto"/>
            <w:vAlign w:val="center"/>
            <w:hideMark/>
          </w:tcPr>
          <w:p w:rsidR="00C57989" w:rsidRPr="00BF42A8" w:rsidP="00AD4A42" w14:paraId="3531ACB3"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6</w:t>
            </w:r>
          </w:p>
        </w:tc>
        <w:tc>
          <w:tcPr>
            <w:tcW w:w="772" w:type="pct"/>
            <w:tcBorders>
              <w:top w:val="nil"/>
              <w:left w:val="nil"/>
              <w:bottom w:val="single" w:sz="4" w:space="0" w:color="auto"/>
              <w:right w:val="single" w:sz="4" w:space="0" w:color="auto"/>
            </w:tcBorders>
            <w:shd w:val="clear" w:color="auto" w:fill="auto"/>
            <w:vAlign w:val="center"/>
            <w:hideMark/>
          </w:tcPr>
          <w:p w:rsidR="00C57989" w:rsidRPr="00BF42A8" w:rsidP="00AD4A42" w14:paraId="4DBB1516"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94</w:t>
            </w:r>
          </w:p>
        </w:tc>
        <w:tc>
          <w:tcPr>
            <w:tcW w:w="590" w:type="pct"/>
            <w:tcBorders>
              <w:top w:val="nil"/>
              <w:left w:val="nil"/>
              <w:bottom w:val="single" w:sz="4" w:space="0" w:color="auto"/>
              <w:right w:val="single" w:sz="4" w:space="0" w:color="auto"/>
            </w:tcBorders>
            <w:shd w:val="clear" w:color="auto" w:fill="auto"/>
            <w:vAlign w:val="center"/>
            <w:hideMark/>
          </w:tcPr>
          <w:p w:rsidR="00C57989" w:rsidRPr="00BF42A8" w:rsidP="00AD4A42" w14:paraId="1D24C077"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7,866</w:t>
            </w:r>
          </w:p>
        </w:tc>
        <w:tc>
          <w:tcPr>
            <w:tcW w:w="540" w:type="pct"/>
            <w:tcBorders>
              <w:top w:val="nil"/>
              <w:left w:val="nil"/>
              <w:bottom w:val="single" w:sz="4" w:space="0" w:color="auto"/>
              <w:right w:val="single" w:sz="4" w:space="0" w:color="auto"/>
            </w:tcBorders>
            <w:shd w:val="clear" w:color="auto" w:fill="auto"/>
            <w:vAlign w:val="center"/>
            <w:hideMark/>
          </w:tcPr>
          <w:p w:rsidR="00C57989" w:rsidRPr="00BF42A8" w:rsidP="00AD4A42" w14:paraId="25F8560C"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32,011</w:t>
            </w:r>
          </w:p>
        </w:tc>
        <w:tc>
          <w:tcPr>
            <w:tcW w:w="844" w:type="pct"/>
            <w:tcBorders>
              <w:top w:val="nil"/>
              <w:left w:val="nil"/>
              <w:bottom w:val="single" w:sz="4" w:space="0" w:color="auto"/>
              <w:right w:val="single" w:sz="4" w:space="0" w:color="auto"/>
            </w:tcBorders>
            <w:shd w:val="clear" w:color="auto" w:fill="auto"/>
            <w:vAlign w:val="center"/>
            <w:hideMark/>
          </w:tcPr>
          <w:p w:rsidR="00C57989" w:rsidRPr="00BF42A8" w:rsidP="00AD4A42" w14:paraId="4309C268"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w:t>
            </w:r>
            <w:r w:rsidR="00676823">
              <w:rPr>
                <w:rFonts w:ascii="Times New Roman" w:hAnsi="Times New Roman" w:cs="Times New Roman"/>
                <w:color w:val="000000"/>
              </w:rPr>
              <w:t>0</w:t>
            </w:r>
            <w:r w:rsidRPr="00BF42A8">
              <w:rPr>
                <w:rFonts w:ascii="Times New Roman" w:hAnsi="Times New Roman" w:cs="Times New Roman"/>
                <w:color w:val="000000"/>
              </w:rPr>
              <w:t>.0</w:t>
            </w:r>
            <w:r w:rsidR="00A873EE">
              <w:rPr>
                <w:rFonts w:ascii="Times New Roman" w:hAnsi="Times New Roman" w:cs="Times New Roman"/>
                <w:color w:val="000000"/>
              </w:rPr>
              <w:t>6</w:t>
            </w:r>
          </w:p>
        </w:tc>
      </w:tr>
      <w:tr w14:paraId="23207EFD" w14:textId="77777777" w:rsidTr="009C1C48">
        <w:tblPrEx>
          <w:tblW w:w="5126" w:type="pct"/>
          <w:tblInd w:w="-5" w:type="dxa"/>
          <w:tblLook w:val="04A0"/>
        </w:tblPrEx>
        <w:trPr>
          <w:trHeight w:val="29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C57989" w:rsidRPr="00BF42A8" w:rsidP="00AD4A42" w14:paraId="4112D33A"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2018</w:t>
            </w:r>
          </w:p>
        </w:tc>
        <w:tc>
          <w:tcPr>
            <w:tcW w:w="651" w:type="pct"/>
            <w:tcBorders>
              <w:top w:val="nil"/>
              <w:left w:val="nil"/>
              <w:bottom w:val="single" w:sz="4" w:space="0" w:color="auto"/>
              <w:right w:val="single" w:sz="4" w:space="0" w:color="auto"/>
            </w:tcBorders>
            <w:shd w:val="clear" w:color="auto" w:fill="auto"/>
            <w:vAlign w:val="center"/>
            <w:hideMark/>
          </w:tcPr>
          <w:p w:rsidR="00C57989" w:rsidRPr="00BF42A8" w:rsidP="00AD4A42" w14:paraId="0A3E3D27"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30</w:t>
            </w:r>
          </w:p>
        </w:tc>
        <w:tc>
          <w:tcPr>
            <w:tcW w:w="489" w:type="pct"/>
            <w:tcBorders>
              <w:top w:val="nil"/>
              <w:left w:val="nil"/>
              <w:bottom w:val="single" w:sz="4" w:space="0" w:color="auto"/>
              <w:right w:val="single" w:sz="4" w:space="0" w:color="auto"/>
            </w:tcBorders>
            <w:shd w:val="clear" w:color="auto" w:fill="auto"/>
            <w:vAlign w:val="center"/>
            <w:hideMark/>
          </w:tcPr>
          <w:p w:rsidR="00C57989" w:rsidRPr="00BF42A8" w:rsidP="00AD4A42" w14:paraId="10BCB5EC"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0</w:t>
            </w:r>
          </w:p>
        </w:tc>
        <w:tc>
          <w:tcPr>
            <w:tcW w:w="495" w:type="pct"/>
            <w:tcBorders>
              <w:top w:val="nil"/>
              <w:left w:val="nil"/>
              <w:bottom w:val="single" w:sz="4" w:space="0" w:color="auto"/>
              <w:right w:val="single" w:sz="4" w:space="0" w:color="auto"/>
            </w:tcBorders>
            <w:shd w:val="clear" w:color="auto" w:fill="auto"/>
            <w:vAlign w:val="center"/>
            <w:hideMark/>
          </w:tcPr>
          <w:p w:rsidR="00C57989" w:rsidRPr="00BF42A8" w:rsidP="00AD4A42" w14:paraId="329BCD6A"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4</w:t>
            </w:r>
          </w:p>
        </w:tc>
        <w:tc>
          <w:tcPr>
            <w:tcW w:w="772" w:type="pct"/>
            <w:tcBorders>
              <w:top w:val="nil"/>
              <w:left w:val="nil"/>
              <w:bottom w:val="single" w:sz="4" w:space="0" w:color="auto"/>
              <w:right w:val="single" w:sz="4" w:space="0" w:color="auto"/>
            </w:tcBorders>
            <w:shd w:val="clear" w:color="auto" w:fill="auto"/>
            <w:vAlign w:val="center"/>
            <w:hideMark/>
          </w:tcPr>
          <w:p w:rsidR="00C57989" w:rsidRPr="00BF42A8" w:rsidP="00AD4A42" w14:paraId="1E243B91"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19</w:t>
            </w:r>
          </w:p>
        </w:tc>
        <w:tc>
          <w:tcPr>
            <w:tcW w:w="590" w:type="pct"/>
            <w:tcBorders>
              <w:top w:val="nil"/>
              <w:left w:val="nil"/>
              <w:bottom w:val="single" w:sz="4" w:space="0" w:color="auto"/>
              <w:right w:val="single" w:sz="4" w:space="0" w:color="auto"/>
            </w:tcBorders>
            <w:shd w:val="clear" w:color="auto" w:fill="auto"/>
            <w:vAlign w:val="center"/>
            <w:hideMark/>
          </w:tcPr>
          <w:p w:rsidR="00C57989" w:rsidRPr="00BF42A8" w:rsidP="00AD4A42" w14:paraId="6F0DFE44"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3,942</w:t>
            </w:r>
          </w:p>
        </w:tc>
        <w:tc>
          <w:tcPr>
            <w:tcW w:w="540" w:type="pct"/>
            <w:tcBorders>
              <w:top w:val="nil"/>
              <w:left w:val="nil"/>
              <w:bottom w:val="single" w:sz="4" w:space="0" w:color="auto"/>
              <w:right w:val="single" w:sz="4" w:space="0" w:color="auto"/>
            </w:tcBorders>
            <w:shd w:val="clear" w:color="auto" w:fill="auto"/>
            <w:vAlign w:val="center"/>
            <w:hideMark/>
          </w:tcPr>
          <w:p w:rsidR="00C57989" w:rsidRPr="00BF42A8" w:rsidP="00AD4A42" w14:paraId="06E079AE"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469</w:t>
            </w:r>
          </w:p>
        </w:tc>
        <w:tc>
          <w:tcPr>
            <w:tcW w:w="844" w:type="pct"/>
            <w:tcBorders>
              <w:top w:val="nil"/>
              <w:left w:val="nil"/>
              <w:bottom w:val="single" w:sz="4" w:space="0" w:color="auto"/>
              <w:right w:val="single" w:sz="4" w:space="0" w:color="auto"/>
            </w:tcBorders>
            <w:shd w:val="clear" w:color="auto" w:fill="auto"/>
            <w:vAlign w:val="center"/>
            <w:hideMark/>
          </w:tcPr>
          <w:p w:rsidR="00C57989" w:rsidRPr="00BF42A8" w:rsidP="00AD4A42" w14:paraId="6CA8CF2A"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w:t>
            </w:r>
            <w:r w:rsidR="00676823">
              <w:rPr>
                <w:rFonts w:ascii="Times New Roman" w:hAnsi="Times New Roman" w:cs="Times New Roman"/>
                <w:color w:val="000000"/>
              </w:rPr>
              <w:t>0</w:t>
            </w:r>
            <w:r w:rsidRPr="00BF42A8">
              <w:rPr>
                <w:rFonts w:ascii="Times New Roman" w:hAnsi="Times New Roman" w:cs="Times New Roman"/>
                <w:color w:val="000000"/>
              </w:rPr>
              <w:t>.3</w:t>
            </w:r>
            <w:r w:rsidR="003359B4">
              <w:rPr>
                <w:rFonts w:ascii="Times New Roman" w:hAnsi="Times New Roman" w:cs="Times New Roman"/>
                <w:color w:val="000000"/>
              </w:rPr>
              <w:t>5</w:t>
            </w:r>
          </w:p>
        </w:tc>
      </w:tr>
      <w:tr w14:paraId="59608737" w14:textId="77777777" w:rsidTr="009C1C48">
        <w:tblPrEx>
          <w:tblW w:w="5126" w:type="pct"/>
          <w:tblInd w:w="-5" w:type="dxa"/>
          <w:tblLook w:val="04A0"/>
        </w:tblPrEx>
        <w:trPr>
          <w:trHeight w:val="29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C57989" w:rsidRPr="00BF42A8" w:rsidP="00AD4A42" w14:paraId="30B465C9"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2019</w:t>
            </w:r>
          </w:p>
        </w:tc>
        <w:tc>
          <w:tcPr>
            <w:tcW w:w="651" w:type="pct"/>
            <w:tcBorders>
              <w:top w:val="nil"/>
              <w:left w:val="nil"/>
              <w:bottom w:val="single" w:sz="4" w:space="0" w:color="auto"/>
              <w:right w:val="single" w:sz="4" w:space="0" w:color="auto"/>
            </w:tcBorders>
            <w:shd w:val="clear" w:color="auto" w:fill="auto"/>
            <w:vAlign w:val="center"/>
            <w:hideMark/>
          </w:tcPr>
          <w:p w:rsidR="00C57989" w:rsidRPr="00BF42A8" w:rsidP="00AD4A42" w14:paraId="13B19A80"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27</w:t>
            </w:r>
          </w:p>
        </w:tc>
        <w:tc>
          <w:tcPr>
            <w:tcW w:w="489" w:type="pct"/>
            <w:tcBorders>
              <w:top w:val="nil"/>
              <w:left w:val="nil"/>
              <w:bottom w:val="single" w:sz="4" w:space="0" w:color="auto"/>
              <w:right w:val="single" w:sz="4" w:space="0" w:color="auto"/>
            </w:tcBorders>
            <w:shd w:val="clear" w:color="auto" w:fill="auto"/>
            <w:vAlign w:val="center"/>
            <w:hideMark/>
          </w:tcPr>
          <w:p w:rsidR="00C57989" w:rsidRPr="00BF42A8" w:rsidP="00AD4A42" w14:paraId="1F80E91C"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0</w:t>
            </w:r>
          </w:p>
        </w:tc>
        <w:tc>
          <w:tcPr>
            <w:tcW w:w="495" w:type="pct"/>
            <w:tcBorders>
              <w:top w:val="nil"/>
              <w:left w:val="nil"/>
              <w:bottom w:val="single" w:sz="4" w:space="0" w:color="auto"/>
              <w:right w:val="single" w:sz="4" w:space="0" w:color="auto"/>
            </w:tcBorders>
            <w:shd w:val="clear" w:color="auto" w:fill="auto"/>
            <w:vAlign w:val="center"/>
            <w:hideMark/>
          </w:tcPr>
          <w:p w:rsidR="00C57989" w:rsidRPr="00BF42A8" w:rsidP="00AD4A42" w14:paraId="2F7B8B06"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6</w:t>
            </w:r>
          </w:p>
        </w:tc>
        <w:tc>
          <w:tcPr>
            <w:tcW w:w="772" w:type="pct"/>
            <w:tcBorders>
              <w:top w:val="nil"/>
              <w:left w:val="nil"/>
              <w:bottom w:val="single" w:sz="4" w:space="0" w:color="auto"/>
              <w:right w:val="single" w:sz="4" w:space="0" w:color="auto"/>
            </w:tcBorders>
            <w:shd w:val="clear" w:color="auto" w:fill="auto"/>
            <w:vAlign w:val="center"/>
            <w:hideMark/>
          </w:tcPr>
          <w:p w:rsidR="00C57989" w:rsidRPr="00BF42A8" w:rsidP="00AD4A42" w14:paraId="31913355"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15</w:t>
            </w:r>
          </w:p>
        </w:tc>
        <w:tc>
          <w:tcPr>
            <w:tcW w:w="590" w:type="pct"/>
            <w:tcBorders>
              <w:top w:val="nil"/>
              <w:left w:val="nil"/>
              <w:bottom w:val="single" w:sz="4" w:space="0" w:color="auto"/>
              <w:right w:val="single" w:sz="4" w:space="0" w:color="auto"/>
            </w:tcBorders>
            <w:shd w:val="clear" w:color="auto" w:fill="auto"/>
            <w:vAlign w:val="center"/>
            <w:hideMark/>
          </w:tcPr>
          <w:p w:rsidR="00C57989" w:rsidRPr="00BF42A8" w:rsidP="00AD4A42" w14:paraId="2A6B08AA"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51,002</w:t>
            </w:r>
          </w:p>
        </w:tc>
        <w:tc>
          <w:tcPr>
            <w:tcW w:w="540" w:type="pct"/>
            <w:tcBorders>
              <w:top w:val="nil"/>
              <w:left w:val="nil"/>
              <w:bottom w:val="single" w:sz="4" w:space="0" w:color="auto"/>
              <w:right w:val="single" w:sz="4" w:space="0" w:color="auto"/>
            </w:tcBorders>
            <w:shd w:val="clear" w:color="auto" w:fill="auto"/>
            <w:vAlign w:val="center"/>
            <w:hideMark/>
          </w:tcPr>
          <w:p w:rsidR="00C57989" w:rsidRPr="00BF42A8" w:rsidP="00AD4A42" w14:paraId="673831DB"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38,284</w:t>
            </w:r>
          </w:p>
        </w:tc>
        <w:tc>
          <w:tcPr>
            <w:tcW w:w="844" w:type="pct"/>
            <w:tcBorders>
              <w:top w:val="nil"/>
              <w:left w:val="nil"/>
              <w:bottom w:val="single" w:sz="4" w:space="0" w:color="auto"/>
              <w:right w:val="single" w:sz="4" w:space="0" w:color="auto"/>
            </w:tcBorders>
            <w:shd w:val="clear" w:color="auto" w:fill="auto"/>
            <w:vAlign w:val="center"/>
            <w:hideMark/>
          </w:tcPr>
          <w:p w:rsidR="00C57989" w:rsidRPr="00BF42A8" w:rsidP="00AD4A42" w14:paraId="71DD7F10"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$1</w:t>
            </w:r>
            <w:r w:rsidR="00192A32">
              <w:rPr>
                <w:rFonts w:ascii="Times New Roman" w:hAnsi="Times New Roman" w:cs="Times New Roman"/>
                <w:color w:val="000000"/>
              </w:rPr>
              <w:t>73</w:t>
            </w:r>
            <w:r w:rsidRPr="00BF42A8">
              <w:rPr>
                <w:rFonts w:ascii="Times New Roman" w:hAnsi="Times New Roman" w:cs="Times New Roman"/>
                <w:color w:val="000000"/>
              </w:rPr>
              <w:t>.</w:t>
            </w:r>
            <w:r w:rsidR="00192A32">
              <w:rPr>
                <w:rFonts w:ascii="Times New Roman" w:hAnsi="Times New Roman" w:cs="Times New Roman"/>
                <w:color w:val="000000"/>
              </w:rPr>
              <w:t>33</w:t>
            </w:r>
          </w:p>
        </w:tc>
      </w:tr>
      <w:tr w14:paraId="698C35E3" w14:textId="77777777" w:rsidTr="009C1C48">
        <w:tblPrEx>
          <w:tblW w:w="5126" w:type="pct"/>
          <w:tblInd w:w="-5" w:type="dxa"/>
          <w:tblLook w:val="04A0"/>
        </w:tblPrEx>
        <w:trPr>
          <w:trHeight w:val="29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C57989" w:rsidRPr="00BF42A8" w:rsidP="00AD4A42" w14:paraId="6730334D"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2020</w:t>
            </w:r>
          </w:p>
        </w:tc>
        <w:tc>
          <w:tcPr>
            <w:tcW w:w="651" w:type="pct"/>
            <w:tcBorders>
              <w:top w:val="nil"/>
              <w:left w:val="nil"/>
              <w:bottom w:val="single" w:sz="4" w:space="0" w:color="auto"/>
              <w:right w:val="single" w:sz="4" w:space="0" w:color="auto"/>
            </w:tcBorders>
            <w:shd w:val="clear" w:color="auto" w:fill="auto"/>
            <w:vAlign w:val="center"/>
            <w:hideMark/>
          </w:tcPr>
          <w:p w:rsidR="00C57989" w:rsidRPr="00BF42A8" w:rsidP="00AD4A42" w14:paraId="3F2D0782"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18</w:t>
            </w:r>
          </w:p>
        </w:tc>
        <w:tc>
          <w:tcPr>
            <w:tcW w:w="489" w:type="pct"/>
            <w:tcBorders>
              <w:top w:val="nil"/>
              <w:left w:val="nil"/>
              <w:bottom w:val="single" w:sz="4" w:space="0" w:color="auto"/>
              <w:right w:val="single" w:sz="4" w:space="0" w:color="auto"/>
            </w:tcBorders>
            <w:shd w:val="clear" w:color="auto" w:fill="auto"/>
            <w:vAlign w:val="center"/>
            <w:hideMark/>
          </w:tcPr>
          <w:p w:rsidR="00C57989" w:rsidRPr="00BF42A8" w:rsidP="00AD4A42" w14:paraId="3D85EDB4"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0</w:t>
            </w:r>
          </w:p>
        </w:tc>
        <w:tc>
          <w:tcPr>
            <w:tcW w:w="495" w:type="pct"/>
            <w:tcBorders>
              <w:top w:val="nil"/>
              <w:left w:val="nil"/>
              <w:bottom w:val="single" w:sz="4" w:space="0" w:color="auto"/>
              <w:right w:val="single" w:sz="4" w:space="0" w:color="auto"/>
            </w:tcBorders>
            <w:shd w:val="clear" w:color="auto" w:fill="auto"/>
            <w:vAlign w:val="center"/>
            <w:hideMark/>
          </w:tcPr>
          <w:p w:rsidR="00C57989" w:rsidRPr="00BF42A8" w:rsidP="00AD4A42" w14:paraId="55FCE64F"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4</w:t>
            </w:r>
          </w:p>
        </w:tc>
        <w:tc>
          <w:tcPr>
            <w:tcW w:w="772" w:type="pct"/>
            <w:tcBorders>
              <w:top w:val="nil"/>
              <w:left w:val="nil"/>
              <w:bottom w:val="single" w:sz="4" w:space="0" w:color="auto"/>
              <w:right w:val="single" w:sz="4" w:space="0" w:color="auto"/>
            </w:tcBorders>
            <w:shd w:val="clear" w:color="auto" w:fill="auto"/>
            <w:vAlign w:val="center"/>
            <w:hideMark/>
          </w:tcPr>
          <w:p w:rsidR="00C57989" w:rsidRPr="00BF42A8" w:rsidP="00AD4A42" w14:paraId="621C4F52"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3</w:t>
            </w:r>
          </w:p>
        </w:tc>
        <w:tc>
          <w:tcPr>
            <w:tcW w:w="590" w:type="pct"/>
            <w:tcBorders>
              <w:top w:val="nil"/>
              <w:left w:val="nil"/>
              <w:bottom w:val="single" w:sz="4" w:space="0" w:color="auto"/>
              <w:right w:val="single" w:sz="4" w:space="0" w:color="auto"/>
            </w:tcBorders>
            <w:shd w:val="clear" w:color="auto" w:fill="auto"/>
            <w:vAlign w:val="center"/>
            <w:hideMark/>
          </w:tcPr>
          <w:p w:rsidR="00C57989" w:rsidRPr="00BF42A8" w:rsidP="00AD4A42" w14:paraId="731BE8D5"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261</w:t>
            </w:r>
          </w:p>
        </w:tc>
        <w:tc>
          <w:tcPr>
            <w:tcW w:w="540" w:type="pct"/>
            <w:tcBorders>
              <w:top w:val="nil"/>
              <w:left w:val="nil"/>
              <w:bottom w:val="single" w:sz="4" w:space="0" w:color="auto"/>
              <w:right w:val="single" w:sz="4" w:space="0" w:color="auto"/>
            </w:tcBorders>
            <w:shd w:val="clear" w:color="auto" w:fill="auto"/>
            <w:vAlign w:val="center"/>
            <w:hideMark/>
          </w:tcPr>
          <w:p w:rsidR="00C57989" w:rsidRPr="00BF42A8" w:rsidP="00AD4A42" w14:paraId="10C030BD"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1,614</w:t>
            </w:r>
          </w:p>
        </w:tc>
        <w:tc>
          <w:tcPr>
            <w:tcW w:w="844" w:type="pct"/>
            <w:tcBorders>
              <w:top w:val="nil"/>
              <w:left w:val="nil"/>
              <w:bottom w:val="single" w:sz="4" w:space="0" w:color="auto"/>
              <w:right w:val="single" w:sz="4" w:space="0" w:color="auto"/>
            </w:tcBorders>
            <w:shd w:val="clear" w:color="auto" w:fill="auto"/>
            <w:vAlign w:val="center"/>
            <w:hideMark/>
          </w:tcPr>
          <w:p w:rsidR="00C57989" w:rsidRPr="00BF42A8" w:rsidP="00AD4A42" w14:paraId="381A71CA"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w:t>
            </w:r>
            <w:r w:rsidR="00192A32">
              <w:rPr>
                <w:rFonts w:ascii="Times New Roman" w:hAnsi="Times New Roman" w:cs="Times New Roman"/>
                <w:color w:val="000000"/>
              </w:rPr>
              <w:t>0</w:t>
            </w:r>
            <w:r w:rsidRPr="00BF42A8">
              <w:rPr>
                <w:rFonts w:ascii="Times New Roman" w:hAnsi="Times New Roman" w:cs="Times New Roman"/>
                <w:color w:val="000000"/>
              </w:rPr>
              <w:t>.1</w:t>
            </w:r>
            <w:r w:rsidR="009438C6">
              <w:rPr>
                <w:rFonts w:ascii="Times New Roman" w:hAnsi="Times New Roman" w:cs="Times New Roman"/>
                <w:color w:val="000000"/>
              </w:rPr>
              <w:t>4</w:t>
            </w:r>
          </w:p>
        </w:tc>
      </w:tr>
      <w:tr w14:paraId="45C6CDD6" w14:textId="77777777" w:rsidTr="009C1C48">
        <w:tblPrEx>
          <w:tblW w:w="5126" w:type="pct"/>
          <w:tblInd w:w="-5" w:type="dxa"/>
          <w:tblLook w:val="04A0"/>
        </w:tblPrEx>
        <w:trPr>
          <w:trHeight w:val="58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C57989" w:rsidRPr="00BF42A8" w:rsidP="00AD4A42" w14:paraId="42FC27B2"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Annual Average</w:t>
            </w:r>
          </w:p>
        </w:tc>
        <w:tc>
          <w:tcPr>
            <w:tcW w:w="651" w:type="pct"/>
            <w:tcBorders>
              <w:top w:val="nil"/>
              <w:left w:val="nil"/>
              <w:bottom w:val="single" w:sz="4" w:space="0" w:color="auto"/>
              <w:right w:val="single" w:sz="4" w:space="0" w:color="auto"/>
            </w:tcBorders>
            <w:shd w:val="clear" w:color="auto" w:fill="auto"/>
            <w:vAlign w:val="center"/>
            <w:hideMark/>
          </w:tcPr>
          <w:p w:rsidR="00C57989" w:rsidRPr="00BF42A8" w:rsidP="00AD4A42" w14:paraId="5E8BB686"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26.6</w:t>
            </w:r>
          </w:p>
        </w:tc>
        <w:tc>
          <w:tcPr>
            <w:tcW w:w="489" w:type="pct"/>
            <w:tcBorders>
              <w:top w:val="nil"/>
              <w:left w:val="nil"/>
              <w:bottom w:val="single" w:sz="4" w:space="0" w:color="auto"/>
              <w:right w:val="single" w:sz="4" w:space="0" w:color="auto"/>
            </w:tcBorders>
            <w:shd w:val="clear" w:color="auto" w:fill="auto"/>
            <w:vAlign w:val="center"/>
            <w:hideMark/>
          </w:tcPr>
          <w:p w:rsidR="00C57989" w:rsidRPr="00BF42A8" w:rsidP="00AD4A42" w14:paraId="30E60ADF"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0</w:t>
            </w:r>
          </w:p>
        </w:tc>
        <w:tc>
          <w:tcPr>
            <w:tcW w:w="495" w:type="pct"/>
            <w:tcBorders>
              <w:top w:val="nil"/>
              <w:left w:val="nil"/>
              <w:bottom w:val="single" w:sz="4" w:space="0" w:color="auto"/>
              <w:right w:val="single" w:sz="4" w:space="0" w:color="auto"/>
            </w:tcBorders>
            <w:shd w:val="clear" w:color="auto" w:fill="auto"/>
            <w:vAlign w:val="center"/>
            <w:hideMark/>
          </w:tcPr>
          <w:p w:rsidR="00C57989" w:rsidRPr="00BF42A8" w:rsidP="00AD4A42" w14:paraId="043BDED6"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6.2</w:t>
            </w:r>
          </w:p>
        </w:tc>
        <w:tc>
          <w:tcPr>
            <w:tcW w:w="772" w:type="pct"/>
            <w:tcBorders>
              <w:top w:val="nil"/>
              <w:left w:val="nil"/>
              <w:bottom w:val="single" w:sz="4" w:space="0" w:color="auto"/>
              <w:right w:val="single" w:sz="4" w:space="0" w:color="auto"/>
            </w:tcBorders>
            <w:shd w:val="clear" w:color="auto" w:fill="auto"/>
            <w:vAlign w:val="center"/>
            <w:hideMark/>
          </w:tcPr>
          <w:p w:rsidR="00C57989" w:rsidRPr="00BF42A8" w:rsidP="00AD4A42" w14:paraId="07E078B5"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26.8</w:t>
            </w:r>
          </w:p>
        </w:tc>
        <w:tc>
          <w:tcPr>
            <w:tcW w:w="590" w:type="pct"/>
            <w:tcBorders>
              <w:top w:val="nil"/>
              <w:left w:val="nil"/>
              <w:bottom w:val="single" w:sz="4" w:space="0" w:color="auto"/>
              <w:right w:val="single" w:sz="4" w:space="0" w:color="auto"/>
            </w:tcBorders>
            <w:shd w:val="clear" w:color="auto" w:fill="auto"/>
            <w:vAlign w:val="center"/>
            <w:hideMark/>
          </w:tcPr>
          <w:p w:rsidR="00C57989" w:rsidRPr="00BF42A8" w:rsidP="00AD4A42" w14:paraId="49837DBD"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12,948</w:t>
            </w:r>
          </w:p>
        </w:tc>
        <w:tc>
          <w:tcPr>
            <w:tcW w:w="540" w:type="pct"/>
            <w:tcBorders>
              <w:top w:val="nil"/>
              <w:left w:val="nil"/>
              <w:bottom w:val="single" w:sz="4" w:space="0" w:color="auto"/>
              <w:right w:val="single" w:sz="4" w:space="0" w:color="auto"/>
            </w:tcBorders>
            <w:shd w:val="clear" w:color="auto" w:fill="auto"/>
            <w:vAlign w:val="center"/>
            <w:hideMark/>
          </w:tcPr>
          <w:p w:rsidR="00C57989" w:rsidRPr="00BF42A8" w:rsidP="00AD4A42" w14:paraId="547B8829"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17,162</w:t>
            </w:r>
          </w:p>
        </w:tc>
        <w:tc>
          <w:tcPr>
            <w:tcW w:w="844" w:type="pct"/>
            <w:tcBorders>
              <w:top w:val="nil"/>
              <w:left w:val="nil"/>
              <w:bottom w:val="single" w:sz="4" w:space="0" w:color="auto"/>
              <w:right w:val="single" w:sz="4" w:space="0" w:color="auto"/>
            </w:tcBorders>
            <w:shd w:val="clear" w:color="auto" w:fill="auto"/>
            <w:vAlign w:val="center"/>
            <w:hideMark/>
          </w:tcPr>
          <w:p w:rsidR="00C57989" w:rsidRPr="00BF42A8" w:rsidP="00AD4A42" w14:paraId="22237832" w14:textId="77777777">
            <w:pPr>
              <w:spacing w:after="0" w:line="240" w:lineRule="auto"/>
              <w:jc w:val="center"/>
              <w:rPr>
                <w:rFonts w:ascii="Times New Roman" w:hAnsi="Times New Roman" w:cs="Times New Roman"/>
                <w:color w:val="000000"/>
              </w:rPr>
            </w:pPr>
            <w:r w:rsidRPr="00BF42A8">
              <w:rPr>
                <w:rFonts w:ascii="Times New Roman" w:hAnsi="Times New Roman" w:cs="Times New Roman"/>
                <w:color w:val="000000"/>
              </w:rPr>
              <w:t>$3</w:t>
            </w:r>
            <w:r w:rsidR="00D938ED">
              <w:rPr>
                <w:rFonts w:ascii="Times New Roman" w:hAnsi="Times New Roman" w:cs="Times New Roman"/>
                <w:color w:val="000000"/>
              </w:rPr>
              <w:t>5</w:t>
            </w:r>
            <w:r w:rsidRPr="00BF42A8">
              <w:rPr>
                <w:rFonts w:ascii="Times New Roman" w:hAnsi="Times New Roman" w:cs="Times New Roman"/>
                <w:color w:val="000000"/>
              </w:rPr>
              <w:t>.</w:t>
            </w:r>
            <w:r w:rsidR="00D938ED">
              <w:rPr>
                <w:rFonts w:ascii="Times New Roman" w:hAnsi="Times New Roman" w:cs="Times New Roman"/>
                <w:color w:val="000000"/>
              </w:rPr>
              <w:t>71</w:t>
            </w:r>
          </w:p>
        </w:tc>
      </w:tr>
      <w:tr w14:paraId="0769F4D0" w14:textId="77777777" w:rsidTr="009C1C48">
        <w:tblPrEx>
          <w:tblW w:w="5126" w:type="pct"/>
          <w:tblInd w:w="-5" w:type="dxa"/>
          <w:tblLook w:val="04A0"/>
        </w:tblPrEx>
        <w:trPr>
          <w:trHeight w:val="58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C57989" w:rsidRPr="00BF42A8" w:rsidP="00AD4A42" w14:paraId="76D36301"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 xml:space="preserve">Total </w:t>
            </w:r>
            <w:r w:rsidR="00AF1ACD">
              <w:rPr>
                <w:rFonts w:ascii="Times New Roman" w:hAnsi="Times New Roman" w:cs="Times New Roman"/>
                <w:b/>
                <w:color w:val="000000"/>
              </w:rPr>
              <w:t>RMP-</w:t>
            </w:r>
            <w:r w:rsidRPr="00BF42A8">
              <w:rPr>
                <w:rFonts w:ascii="Times New Roman" w:hAnsi="Times New Roman" w:cs="Times New Roman"/>
                <w:b/>
                <w:color w:val="000000"/>
              </w:rPr>
              <w:t>Reportable</w:t>
            </w:r>
          </w:p>
        </w:tc>
        <w:tc>
          <w:tcPr>
            <w:tcW w:w="651" w:type="pct"/>
            <w:tcBorders>
              <w:top w:val="nil"/>
              <w:left w:val="nil"/>
              <w:bottom w:val="single" w:sz="4" w:space="0" w:color="auto"/>
              <w:right w:val="single" w:sz="4" w:space="0" w:color="auto"/>
            </w:tcBorders>
            <w:shd w:val="clear" w:color="auto" w:fill="auto"/>
            <w:vAlign w:val="center"/>
            <w:hideMark/>
          </w:tcPr>
          <w:p w:rsidR="00C57989" w:rsidRPr="00BF42A8" w:rsidP="00AD4A42" w14:paraId="268A1C85"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133</w:t>
            </w:r>
          </w:p>
        </w:tc>
        <w:tc>
          <w:tcPr>
            <w:tcW w:w="489" w:type="pct"/>
            <w:tcBorders>
              <w:top w:val="nil"/>
              <w:left w:val="nil"/>
              <w:bottom w:val="single" w:sz="4" w:space="0" w:color="auto"/>
              <w:right w:val="single" w:sz="4" w:space="0" w:color="auto"/>
            </w:tcBorders>
            <w:shd w:val="clear" w:color="auto" w:fill="auto"/>
            <w:vAlign w:val="center"/>
            <w:hideMark/>
          </w:tcPr>
          <w:p w:rsidR="00C57989" w:rsidRPr="00BF42A8" w:rsidP="00AD4A42" w14:paraId="1B74D73C"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0</w:t>
            </w:r>
          </w:p>
        </w:tc>
        <w:tc>
          <w:tcPr>
            <w:tcW w:w="495" w:type="pct"/>
            <w:tcBorders>
              <w:top w:val="nil"/>
              <w:left w:val="nil"/>
              <w:bottom w:val="single" w:sz="4" w:space="0" w:color="auto"/>
              <w:right w:val="single" w:sz="4" w:space="0" w:color="auto"/>
            </w:tcBorders>
            <w:shd w:val="clear" w:color="auto" w:fill="auto"/>
            <w:vAlign w:val="center"/>
            <w:hideMark/>
          </w:tcPr>
          <w:p w:rsidR="00C57989" w:rsidRPr="00BF42A8" w:rsidP="00AD4A42" w14:paraId="6C71E61F"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31</w:t>
            </w:r>
          </w:p>
        </w:tc>
        <w:tc>
          <w:tcPr>
            <w:tcW w:w="772" w:type="pct"/>
            <w:tcBorders>
              <w:top w:val="nil"/>
              <w:left w:val="nil"/>
              <w:bottom w:val="single" w:sz="4" w:space="0" w:color="auto"/>
              <w:right w:val="single" w:sz="4" w:space="0" w:color="auto"/>
            </w:tcBorders>
            <w:shd w:val="clear" w:color="auto" w:fill="auto"/>
            <w:vAlign w:val="center"/>
            <w:hideMark/>
          </w:tcPr>
          <w:p w:rsidR="00C57989" w:rsidRPr="00BF42A8" w:rsidP="00AD4A42" w14:paraId="68961E7B"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134</w:t>
            </w:r>
          </w:p>
        </w:tc>
        <w:tc>
          <w:tcPr>
            <w:tcW w:w="590" w:type="pct"/>
            <w:tcBorders>
              <w:top w:val="nil"/>
              <w:left w:val="nil"/>
              <w:bottom w:val="single" w:sz="4" w:space="0" w:color="auto"/>
              <w:right w:val="single" w:sz="4" w:space="0" w:color="auto"/>
            </w:tcBorders>
            <w:shd w:val="clear" w:color="auto" w:fill="auto"/>
            <w:vAlign w:val="center"/>
            <w:hideMark/>
          </w:tcPr>
          <w:p w:rsidR="00C57989" w:rsidRPr="00BF42A8" w:rsidP="00AD4A42" w14:paraId="621C5230"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64,739</w:t>
            </w:r>
          </w:p>
        </w:tc>
        <w:tc>
          <w:tcPr>
            <w:tcW w:w="540" w:type="pct"/>
            <w:tcBorders>
              <w:top w:val="nil"/>
              <w:left w:val="nil"/>
              <w:bottom w:val="single" w:sz="4" w:space="0" w:color="auto"/>
              <w:right w:val="single" w:sz="4" w:space="0" w:color="auto"/>
            </w:tcBorders>
            <w:shd w:val="clear" w:color="auto" w:fill="auto"/>
            <w:vAlign w:val="center"/>
            <w:hideMark/>
          </w:tcPr>
          <w:p w:rsidR="00C57989" w:rsidRPr="00BF42A8" w:rsidP="00AD4A42" w14:paraId="7389DECA"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85,808</w:t>
            </w:r>
          </w:p>
        </w:tc>
        <w:tc>
          <w:tcPr>
            <w:tcW w:w="844" w:type="pct"/>
            <w:tcBorders>
              <w:top w:val="nil"/>
              <w:left w:val="nil"/>
              <w:bottom w:val="single" w:sz="4" w:space="0" w:color="auto"/>
              <w:right w:val="single" w:sz="4" w:space="0" w:color="auto"/>
            </w:tcBorders>
            <w:shd w:val="clear" w:color="auto" w:fill="auto"/>
            <w:vAlign w:val="center"/>
            <w:hideMark/>
          </w:tcPr>
          <w:p w:rsidR="00C57989" w:rsidRPr="00BF42A8" w:rsidP="00AD4A42" w14:paraId="0B34E60B" w14:textId="77777777">
            <w:pPr>
              <w:spacing w:after="0" w:line="240" w:lineRule="auto"/>
              <w:jc w:val="center"/>
              <w:rPr>
                <w:rFonts w:ascii="Times New Roman" w:hAnsi="Times New Roman" w:cs="Times New Roman"/>
                <w:b/>
                <w:color w:val="000000"/>
              </w:rPr>
            </w:pPr>
            <w:r w:rsidRPr="00BF42A8">
              <w:rPr>
                <w:rFonts w:ascii="Times New Roman" w:hAnsi="Times New Roman" w:cs="Times New Roman"/>
                <w:b/>
                <w:color w:val="000000"/>
              </w:rPr>
              <w:t>$1</w:t>
            </w:r>
            <w:r w:rsidR="00B741CD">
              <w:rPr>
                <w:rFonts w:ascii="Times New Roman" w:hAnsi="Times New Roman" w:cs="Times New Roman"/>
                <w:b/>
                <w:color w:val="000000"/>
              </w:rPr>
              <w:t>78</w:t>
            </w:r>
            <w:r w:rsidR="000B5EFD">
              <w:rPr>
                <w:rFonts w:ascii="Times New Roman" w:hAnsi="Times New Roman" w:cs="Times New Roman"/>
                <w:b/>
                <w:color w:val="000000"/>
              </w:rPr>
              <w:t>.55</w:t>
            </w:r>
          </w:p>
        </w:tc>
      </w:tr>
    </w:tbl>
    <w:p w:rsidR="00C57989" w:rsidRPr="00BF42A8" w:rsidP="00C57989" w14:paraId="06E1879D" w14:textId="77777777">
      <w:pPr>
        <w:spacing w:after="0" w:line="240" w:lineRule="auto"/>
        <w:rPr>
          <w:rFonts w:ascii="Times New Roman" w:hAnsi="Times New Roman" w:cs="Times New Roman"/>
          <w:b/>
        </w:rPr>
      </w:pPr>
    </w:p>
    <w:p w:rsidR="00C57989" w:rsidRPr="00BF42A8" w:rsidP="00C57989" w14:paraId="151C406B"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In the five-year baseline, the total number of offsite individuals</w:t>
      </w:r>
      <w:r>
        <w:rPr>
          <w:rFonts w:ascii="Times New Roman" w:hAnsi="Times New Roman" w:cs="Times New Roman"/>
        </w:rPr>
        <w:t xml:space="preserve"> </w:t>
      </w:r>
      <w:r w:rsidRPr="00BF42A8">
        <w:rPr>
          <w:rFonts w:ascii="Times New Roman" w:hAnsi="Times New Roman" w:cs="Times New Roman"/>
        </w:rPr>
        <w:t>evacuat</w:t>
      </w:r>
      <w:r>
        <w:rPr>
          <w:rFonts w:ascii="Times New Roman" w:hAnsi="Times New Roman" w:cs="Times New Roman"/>
        </w:rPr>
        <w:t xml:space="preserve">ed </w:t>
      </w:r>
      <w:r w:rsidRPr="00BF42A8">
        <w:rPr>
          <w:rFonts w:ascii="Times New Roman" w:hAnsi="Times New Roman" w:cs="Times New Roman"/>
        </w:rPr>
        <w:t xml:space="preserve">as well as the value of property damage are skewed by a single </w:t>
      </w:r>
      <w:r w:rsidR="00E04C55">
        <w:rPr>
          <w:rFonts w:ascii="Times New Roman" w:hAnsi="Times New Roman" w:cs="Times New Roman"/>
        </w:rPr>
        <w:t>accident</w:t>
      </w:r>
      <w:r w:rsidRPr="00BF42A8">
        <w:rPr>
          <w:rFonts w:ascii="Times New Roman" w:hAnsi="Times New Roman" w:cs="Times New Roman"/>
        </w:rPr>
        <w:t xml:space="preserve"> </w:t>
      </w:r>
      <w:r w:rsidR="006D79D7">
        <w:rPr>
          <w:rFonts w:ascii="Times New Roman" w:hAnsi="Times New Roman" w:cs="Times New Roman"/>
        </w:rPr>
        <w:t xml:space="preserve">in 2019 </w:t>
      </w:r>
      <w:r w:rsidR="007607D3">
        <w:rPr>
          <w:rFonts w:ascii="Times New Roman" w:hAnsi="Times New Roman" w:cs="Times New Roman"/>
        </w:rPr>
        <w:t xml:space="preserve">in Port Neches, TX, </w:t>
      </w:r>
      <w:r w:rsidR="00EF74CF">
        <w:rPr>
          <w:rFonts w:ascii="Times New Roman" w:hAnsi="Times New Roman" w:cs="Times New Roman"/>
        </w:rPr>
        <w:t xml:space="preserve">the second damage case </w:t>
      </w:r>
      <w:r w:rsidR="008A7CCC">
        <w:rPr>
          <w:rFonts w:ascii="Times New Roman" w:hAnsi="Times New Roman" w:cs="Times New Roman"/>
        </w:rPr>
        <w:t xml:space="preserve">described above </w:t>
      </w:r>
      <w:r w:rsidR="003030C9">
        <w:rPr>
          <w:rFonts w:ascii="Times New Roman" w:hAnsi="Times New Roman" w:cs="Times New Roman"/>
        </w:rPr>
        <w:t>in Section 3.</w:t>
      </w:r>
      <w:r w:rsidR="00622BA3">
        <w:rPr>
          <w:rFonts w:ascii="Times New Roman" w:hAnsi="Times New Roman" w:cs="Times New Roman"/>
        </w:rPr>
        <w:t xml:space="preserve">2.1. </w:t>
      </w:r>
      <w:r w:rsidR="009C3C16">
        <w:rPr>
          <w:rFonts w:ascii="Times New Roman" w:hAnsi="Times New Roman" w:cs="Times New Roman"/>
        </w:rPr>
        <w:t>T</w:t>
      </w:r>
      <w:r w:rsidRPr="00BF42A8">
        <w:rPr>
          <w:rFonts w:ascii="Times New Roman" w:hAnsi="Times New Roman" w:cs="Times New Roman"/>
        </w:rPr>
        <w:t xml:space="preserve">wo </w:t>
      </w:r>
      <w:r w:rsidR="00877E8E">
        <w:rPr>
          <w:rFonts w:ascii="Times New Roman" w:hAnsi="Times New Roman" w:cs="Times New Roman"/>
        </w:rPr>
        <w:t>years show high numbers</w:t>
      </w:r>
      <w:r w:rsidR="009C3C16">
        <w:rPr>
          <w:rFonts w:ascii="Times New Roman" w:hAnsi="Times New Roman" w:cs="Times New Roman"/>
        </w:rPr>
        <w:t xml:space="preserve"> f</w:t>
      </w:r>
      <w:r w:rsidRPr="00BF42A8" w:rsidR="009C3C16">
        <w:rPr>
          <w:rFonts w:ascii="Times New Roman" w:hAnsi="Times New Roman" w:cs="Times New Roman"/>
        </w:rPr>
        <w:t>or sheltering</w:t>
      </w:r>
      <w:r w:rsidR="009C3C16">
        <w:rPr>
          <w:rFonts w:ascii="Times New Roman" w:hAnsi="Times New Roman" w:cs="Times New Roman"/>
        </w:rPr>
        <w:t>-</w:t>
      </w:r>
      <w:r w:rsidRPr="00BF42A8" w:rsidR="009C3C16">
        <w:rPr>
          <w:rFonts w:ascii="Times New Roman" w:hAnsi="Times New Roman" w:cs="Times New Roman"/>
        </w:rPr>
        <w:t>in</w:t>
      </w:r>
      <w:r w:rsidR="009C3C16">
        <w:rPr>
          <w:rFonts w:ascii="Times New Roman" w:hAnsi="Times New Roman" w:cs="Times New Roman"/>
        </w:rPr>
        <w:t>-</w:t>
      </w:r>
      <w:r w:rsidRPr="00BF42A8" w:rsidR="009C3C16">
        <w:rPr>
          <w:rFonts w:ascii="Times New Roman" w:hAnsi="Times New Roman" w:cs="Times New Roman"/>
        </w:rPr>
        <w:t>place</w:t>
      </w:r>
      <w:r w:rsidR="00877E8E">
        <w:rPr>
          <w:rFonts w:ascii="Times New Roman" w:hAnsi="Times New Roman" w:cs="Times New Roman"/>
        </w:rPr>
        <w:t xml:space="preserve">. </w:t>
      </w:r>
      <w:r w:rsidR="003F204C">
        <w:rPr>
          <w:rFonts w:ascii="Times New Roman" w:hAnsi="Times New Roman" w:cs="Times New Roman"/>
        </w:rPr>
        <w:t>Two a</w:t>
      </w:r>
      <w:r w:rsidRPr="00BF42A8">
        <w:rPr>
          <w:rFonts w:ascii="Times New Roman" w:hAnsi="Times New Roman" w:cs="Times New Roman"/>
        </w:rPr>
        <w:t>ccidents in 2019 with a</w:t>
      </w:r>
      <w:r>
        <w:rPr>
          <w:rFonts w:ascii="Times New Roman" w:hAnsi="Times New Roman" w:cs="Times New Roman"/>
        </w:rPr>
        <w:t>pproximately</w:t>
      </w:r>
      <w:r w:rsidRPr="00BF42A8">
        <w:rPr>
          <w:rFonts w:ascii="Times New Roman" w:hAnsi="Times New Roman" w:cs="Times New Roman"/>
        </w:rPr>
        <w:t xml:space="preserve"> 12,000 </w:t>
      </w:r>
      <w:r w:rsidR="00D14F3C">
        <w:rPr>
          <w:rFonts w:ascii="Times New Roman" w:hAnsi="Times New Roman" w:cs="Times New Roman"/>
        </w:rPr>
        <w:t xml:space="preserve">people </w:t>
      </w:r>
      <w:r w:rsidR="000F40EF">
        <w:rPr>
          <w:rFonts w:ascii="Times New Roman" w:hAnsi="Times New Roman" w:cs="Times New Roman"/>
        </w:rPr>
        <w:t>sheltering</w:t>
      </w:r>
      <w:r w:rsidRPr="00BF42A8" w:rsidR="000F40EF">
        <w:rPr>
          <w:rFonts w:ascii="Times New Roman" w:hAnsi="Times New Roman" w:cs="Times New Roman"/>
        </w:rPr>
        <w:t xml:space="preserve"> </w:t>
      </w:r>
      <w:r w:rsidR="003F204C">
        <w:rPr>
          <w:rFonts w:ascii="Times New Roman" w:hAnsi="Times New Roman" w:cs="Times New Roman"/>
        </w:rPr>
        <w:t>apiece</w:t>
      </w:r>
      <w:r w:rsidRPr="00BF42A8" w:rsidR="000F40EF">
        <w:rPr>
          <w:rFonts w:ascii="Times New Roman" w:hAnsi="Times New Roman" w:cs="Times New Roman"/>
        </w:rPr>
        <w:t xml:space="preserve"> </w:t>
      </w:r>
      <w:r w:rsidRPr="00BF42A8">
        <w:rPr>
          <w:rFonts w:ascii="Times New Roman" w:hAnsi="Times New Roman" w:cs="Times New Roman"/>
        </w:rPr>
        <w:t xml:space="preserve">accounted for the high </w:t>
      </w:r>
      <w:r w:rsidR="003F204C">
        <w:rPr>
          <w:rFonts w:ascii="Times New Roman" w:hAnsi="Times New Roman" w:cs="Times New Roman"/>
        </w:rPr>
        <w:t>2019</w:t>
      </w:r>
      <w:r w:rsidRPr="00BF42A8">
        <w:rPr>
          <w:rFonts w:ascii="Times New Roman" w:hAnsi="Times New Roman" w:cs="Times New Roman"/>
        </w:rPr>
        <w:t xml:space="preserve"> number. The accident at Benicia, CA in 2017 accounted for 28,000 of that year’s </w:t>
      </w:r>
      <w:r w:rsidR="00EC44F1">
        <w:rPr>
          <w:rFonts w:ascii="Times New Roman" w:hAnsi="Times New Roman" w:cs="Times New Roman"/>
        </w:rPr>
        <w:t>shelter</w:t>
      </w:r>
      <w:r w:rsidR="00290878">
        <w:rPr>
          <w:rFonts w:ascii="Times New Roman" w:hAnsi="Times New Roman" w:cs="Times New Roman"/>
        </w:rPr>
        <w:t>-in-place numbers</w:t>
      </w:r>
      <w:r w:rsidRPr="00BF42A8" w:rsidR="00EC44F1">
        <w:rPr>
          <w:rFonts w:ascii="Times New Roman" w:hAnsi="Times New Roman" w:cs="Times New Roman"/>
        </w:rPr>
        <w:t xml:space="preserve"> </w:t>
      </w:r>
      <w:r w:rsidRPr="00BF42A8">
        <w:rPr>
          <w:rFonts w:ascii="Times New Roman" w:hAnsi="Times New Roman" w:cs="Times New Roman"/>
        </w:rPr>
        <w:t>as well.</w:t>
      </w:r>
      <w:r>
        <w:rPr>
          <w:rStyle w:val="FootnoteReference"/>
          <w:rFonts w:ascii="Times New Roman" w:hAnsi="Times New Roman" w:cs="Times New Roman"/>
        </w:rPr>
        <w:footnoteReference w:id="87"/>
      </w:r>
    </w:p>
    <w:p w:rsidR="00635AC5" w:rsidP="00C57989" w14:paraId="77E00D0E" w14:textId="77777777">
      <w:pPr>
        <w:spacing w:after="0" w:line="240" w:lineRule="auto"/>
        <w:rPr>
          <w:rFonts w:ascii="Times New Roman" w:hAnsi="Times New Roman" w:cs="Times New Roman"/>
          <w:b/>
        </w:rPr>
      </w:pPr>
    </w:p>
    <w:p w:rsidR="00C57989" w:rsidRPr="00925907" w:rsidP="00EC2D22" w14:paraId="6961B729" w14:textId="77777777">
      <w:pPr>
        <w:pStyle w:val="Heading3"/>
        <w:rPr>
          <w:rFonts w:ascii="Times New Roman" w:hAnsi="Times New Roman" w:cs="Times New Roman"/>
          <w:sz w:val="22"/>
          <w:szCs w:val="22"/>
        </w:rPr>
      </w:pPr>
      <w:bookmarkStart w:id="127" w:name="_Toc141732923"/>
      <w:bookmarkStart w:id="128" w:name="_Toc141733134"/>
      <w:bookmarkStart w:id="129" w:name="_Toc142404038"/>
      <w:bookmarkStart w:id="130" w:name="_Toc144213845"/>
      <w:bookmarkStart w:id="131" w:name="_Toc144283590"/>
      <w:bookmarkStart w:id="132" w:name="_Toc144303528"/>
      <w:r w:rsidRPr="00EC2D22">
        <w:rPr>
          <w:rFonts w:ascii="Times New Roman" w:hAnsi="Times New Roman" w:cs="Times New Roman"/>
          <w:sz w:val="22"/>
          <w:szCs w:val="22"/>
        </w:rPr>
        <w:t>3.</w:t>
      </w:r>
      <w:r w:rsidR="00EC2D22">
        <w:rPr>
          <w:rFonts w:ascii="Times New Roman" w:hAnsi="Times New Roman" w:cs="Times New Roman"/>
        </w:rPr>
        <w:t>2.4</w:t>
      </w:r>
      <w:r w:rsidRPr="00EC2D22">
        <w:rPr>
          <w:rFonts w:ascii="Times New Roman" w:hAnsi="Times New Roman" w:cs="Times New Roman"/>
          <w:sz w:val="22"/>
          <w:szCs w:val="22"/>
        </w:rPr>
        <w:t xml:space="preserve"> </w:t>
      </w:r>
      <w:r w:rsidRPr="00925907">
        <w:rPr>
          <w:rFonts w:ascii="Times New Roman" w:hAnsi="Times New Roman" w:cs="Times New Roman"/>
          <w:sz w:val="22"/>
          <w:szCs w:val="22"/>
        </w:rPr>
        <w:t>Distribution of Accident Impacts Across</w:t>
      </w:r>
      <w:r w:rsidRPr="00925907">
        <w:rPr>
          <w:rFonts w:ascii="Times New Roman" w:hAnsi="Times New Roman" w:cs="Times New Roman"/>
          <w:spacing w:val="-5"/>
          <w:sz w:val="22"/>
          <w:szCs w:val="22"/>
        </w:rPr>
        <w:t xml:space="preserve"> </w:t>
      </w:r>
      <w:r w:rsidRPr="00925907">
        <w:rPr>
          <w:rFonts w:ascii="Times New Roman" w:hAnsi="Times New Roman" w:cs="Times New Roman"/>
          <w:sz w:val="22"/>
          <w:szCs w:val="22"/>
        </w:rPr>
        <w:t>Sectors</w:t>
      </w:r>
      <w:bookmarkEnd w:id="127"/>
      <w:bookmarkEnd w:id="128"/>
      <w:bookmarkEnd w:id="129"/>
      <w:bookmarkEnd w:id="130"/>
      <w:bookmarkEnd w:id="131"/>
      <w:bookmarkEnd w:id="132"/>
    </w:p>
    <w:p w:rsidR="00C57989" w:rsidRPr="00BF42A8" w:rsidP="00C57989" w14:paraId="64BCA172"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In the five-year baseline, fatal accidents occurred primarily in the petroleum refining and chemical manufacturing sectors, which accounted for eight of the 12 </w:t>
      </w:r>
      <w:r w:rsidR="00230D4B">
        <w:rPr>
          <w:rFonts w:ascii="Times New Roman" w:hAnsi="Times New Roman" w:cs="Times New Roman"/>
        </w:rPr>
        <w:t xml:space="preserve">employee </w:t>
      </w:r>
      <w:r w:rsidRPr="00BF42A8">
        <w:rPr>
          <w:rFonts w:ascii="Times New Roman" w:hAnsi="Times New Roman" w:cs="Times New Roman"/>
        </w:rPr>
        <w:t xml:space="preserve">fatalities. The number of accidents per facility is highest in these three sectors. Exhibit </w:t>
      </w:r>
      <w:r w:rsidR="0017397A">
        <w:rPr>
          <w:rFonts w:ascii="Times New Roman" w:hAnsi="Times New Roman" w:cs="Times New Roman"/>
        </w:rPr>
        <w:t>3-1</w:t>
      </w:r>
      <w:r w:rsidR="00D3523B">
        <w:rPr>
          <w:rFonts w:ascii="Times New Roman" w:hAnsi="Times New Roman" w:cs="Times New Roman"/>
        </w:rPr>
        <w:t>3</w:t>
      </w:r>
      <w:r w:rsidRPr="00BF42A8">
        <w:rPr>
          <w:rFonts w:ascii="Times New Roman" w:hAnsi="Times New Roman" w:cs="Times New Roman"/>
        </w:rPr>
        <w:t xml:space="preserve"> presents a breakdown of RMP-reportable accidents, deaths, and injuries by sector</w:t>
      </w:r>
      <w:r>
        <w:rPr>
          <w:rFonts w:ascii="Times New Roman" w:hAnsi="Times New Roman" w:cs="Times New Roman"/>
        </w:rPr>
        <w:t xml:space="preserve">, </w:t>
      </w:r>
      <w:r w:rsidRPr="004340C8">
        <w:rPr>
          <w:rFonts w:ascii="Times New Roman" w:hAnsi="Times New Roman" w:cs="Times New Roman"/>
          <w:i/>
        </w:rPr>
        <w:t xml:space="preserve">including </w:t>
      </w:r>
      <w:r w:rsidRPr="004340C8" w:rsidR="0057018B">
        <w:rPr>
          <w:rFonts w:ascii="Times New Roman" w:hAnsi="Times New Roman" w:cs="Times New Roman"/>
          <w:i/>
        </w:rPr>
        <w:t>accidents</w:t>
      </w:r>
      <w:r w:rsidRPr="004340C8">
        <w:rPr>
          <w:rFonts w:ascii="Times New Roman" w:hAnsi="Times New Roman" w:cs="Times New Roman"/>
          <w:i/>
        </w:rPr>
        <w:t xml:space="preserve"> with no impacts</w:t>
      </w:r>
      <w:r w:rsidRPr="00BF42A8">
        <w:rPr>
          <w:rFonts w:ascii="Times New Roman" w:hAnsi="Times New Roman" w:cs="Times New Roman"/>
        </w:rPr>
        <w:t xml:space="preserve">. </w:t>
      </w:r>
      <w:r w:rsidR="00FD40B0">
        <w:rPr>
          <w:rFonts w:ascii="Times New Roman" w:hAnsi="Times New Roman" w:cs="Times New Roman"/>
        </w:rPr>
        <w:t xml:space="preserve">Accidents with no impacts are included in the exhibit because RMP requirements can also help prevent and mitigate non-RMP-reportable accidents (see Chapter 6). </w:t>
      </w:r>
      <w:r w:rsidRPr="00BF42A8">
        <w:rPr>
          <w:rFonts w:ascii="Times New Roman" w:hAnsi="Times New Roman" w:cs="Times New Roman"/>
        </w:rPr>
        <w:t>The food and beverage manufacturers and warehouses are generally ammonia refrigeration systems</w:t>
      </w:r>
      <w:r w:rsidR="00FD4A31">
        <w:rPr>
          <w:rFonts w:ascii="Times New Roman" w:hAnsi="Times New Roman" w:cs="Times New Roman"/>
        </w:rPr>
        <w:t>,</w:t>
      </w:r>
      <w:r w:rsidRPr="00BF42A8">
        <w:rPr>
          <w:rFonts w:ascii="Times New Roman" w:hAnsi="Times New Roman" w:cs="Times New Roman"/>
        </w:rPr>
        <w:t xml:space="preserve"> and the agricultural chemical distributors store ammonia for use as a fertilizer. The right</w:t>
      </w:r>
      <w:r w:rsidR="00FD4A31">
        <w:rPr>
          <w:rFonts w:ascii="Times New Roman" w:hAnsi="Times New Roman" w:cs="Times New Roman"/>
        </w:rPr>
        <w:t>-most</w:t>
      </w:r>
      <w:r w:rsidRPr="00BF42A8">
        <w:rPr>
          <w:rFonts w:ascii="Times New Roman" w:hAnsi="Times New Roman" w:cs="Times New Roman"/>
        </w:rPr>
        <w:t xml:space="preserve"> column of Exhibit </w:t>
      </w:r>
      <w:r w:rsidR="0017397A">
        <w:rPr>
          <w:rFonts w:ascii="Times New Roman" w:hAnsi="Times New Roman" w:cs="Times New Roman"/>
        </w:rPr>
        <w:t>3-1</w:t>
      </w:r>
      <w:r w:rsidR="00D3523B">
        <w:rPr>
          <w:rFonts w:ascii="Times New Roman" w:hAnsi="Times New Roman" w:cs="Times New Roman"/>
        </w:rPr>
        <w:t>3</w:t>
      </w:r>
      <w:r w:rsidRPr="00BF42A8">
        <w:rPr>
          <w:rFonts w:ascii="Times New Roman" w:hAnsi="Times New Roman" w:cs="Times New Roman"/>
        </w:rPr>
        <w:t xml:space="preserve"> shows the number of facilities by NAICS code that had more than one </w:t>
      </w:r>
      <w:r w:rsidR="00740BD3">
        <w:rPr>
          <w:rFonts w:ascii="Times New Roman" w:hAnsi="Times New Roman" w:cs="Times New Roman"/>
        </w:rPr>
        <w:t>RMP-</w:t>
      </w:r>
      <w:r w:rsidRPr="00BF42A8">
        <w:rPr>
          <w:rFonts w:ascii="Times New Roman" w:hAnsi="Times New Roman" w:cs="Times New Roman"/>
        </w:rPr>
        <w:t>reportable accident between 2016 and 2020.</w:t>
      </w:r>
    </w:p>
    <w:p w:rsidR="00C57989" w:rsidRPr="00BF42A8" w:rsidP="00C57989" w14:paraId="338A6E6D" w14:textId="77777777">
      <w:pPr>
        <w:spacing w:after="0" w:line="240" w:lineRule="auto"/>
        <w:rPr>
          <w:rFonts w:ascii="Times New Roman" w:hAnsi="Times New Roman" w:cs="Times New Roman"/>
          <w:b/>
        </w:rPr>
      </w:pPr>
    </w:p>
    <w:p w:rsidR="008532D0" w:rsidP="00C57989" w14:paraId="60BB2788" w14:textId="77777777">
      <w:pPr>
        <w:pStyle w:val="Caption"/>
        <w:jc w:val="center"/>
        <w:rPr>
          <w:rFonts w:ascii="Times New Roman" w:hAnsi="Times New Roman" w:cs="Times New Roman"/>
          <w:b/>
          <w:bCs/>
          <w:i w:val="0"/>
          <w:iCs w:val="0"/>
          <w:color w:val="auto"/>
          <w:sz w:val="22"/>
          <w:szCs w:val="22"/>
        </w:rPr>
      </w:pPr>
      <w:r w:rsidRPr="001C0658">
        <w:rPr>
          <w:rFonts w:ascii="Times New Roman" w:hAnsi="Times New Roman" w:cs="Times New Roman"/>
          <w:b/>
          <w:bCs/>
          <w:i w:val="0"/>
          <w:iCs w:val="0"/>
          <w:color w:val="auto"/>
          <w:sz w:val="22"/>
          <w:szCs w:val="22"/>
        </w:rPr>
        <w:t xml:space="preserve">Exhibit </w:t>
      </w:r>
      <w:r w:rsidR="0017397A">
        <w:rPr>
          <w:rFonts w:ascii="Times New Roman" w:hAnsi="Times New Roman" w:cs="Times New Roman"/>
          <w:b/>
          <w:bCs/>
          <w:i w:val="0"/>
          <w:iCs w:val="0"/>
          <w:color w:val="auto"/>
          <w:sz w:val="22"/>
          <w:szCs w:val="22"/>
        </w:rPr>
        <w:t>3-1</w:t>
      </w:r>
      <w:r w:rsidR="00D3523B">
        <w:rPr>
          <w:rFonts w:ascii="Times New Roman" w:hAnsi="Times New Roman" w:cs="Times New Roman"/>
          <w:b/>
          <w:bCs/>
          <w:i w:val="0"/>
          <w:iCs w:val="0"/>
          <w:color w:val="auto"/>
          <w:sz w:val="22"/>
          <w:szCs w:val="22"/>
        </w:rPr>
        <w:t>3</w:t>
      </w:r>
      <w:r w:rsidRPr="001C0658">
        <w:rPr>
          <w:rFonts w:ascii="Times New Roman" w:hAnsi="Times New Roman" w:cs="Times New Roman"/>
          <w:b/>
          <w:bCs/>
          <w:i w:val="0"/>
          <w:iCs w:val="0"/>
          <w:color w:val="auto"/>
          <w:sz w:val="22"/>
          <w:szCs w:val="22"/>
        </w:rPr>
        <w:t xml:space="preserve">: </w:t>
      </w:r>
      <w:r w:rsidR="00903554">
        <w:rPr>
          <w:rFonts w:ascii="Times New Roman" w:hAnsi="Times New Roman" w:cs="Times New Roman"/>
          <w:b/>
          <w:bCs/>
          <w:i w:val="0"/>
          <w:iCs w:val="0"/>
          <w:color w:val="auto"/>
          <w:sz w:val="22"/>
          <w:szCs w:val="22"/>
        </w:rPr>
        <w:t xml:space="preserve">Number of </w:t>
      </w:r>
      <w:r w:rsidR="002F1B73">
        <w:rPr>
          <w:rFonts w:ascii="Times New Roman" w:hAnsi="Times New Roman" w:cs="Times New Roman"/>
          <w:b/>
          <w:bCs/>
          <w:i w:val="0"/>
          <w:iCs w:val="0"/>
          <w:color w:val="auto"/>
          <w:sz w:val="22"/>
          <w:szCs w:val="22"/>
        </w:rPr>
        <w:t>RMP-</w:t>
      </w:r>
      <w:r w:rsidR="00C70DE0">
        <w:rPr>
          <w:rFonts w:ascii="Times New Roman" w:hAnsi="Times New Roman" w:cs="Times New Roman"/>
          <w:b/>
          <w:bCs/>
          <w:i w:val="0"/>
          <w:iCs w:val="0"/>
          <w:color w:val="auto"/>
          <w:sz w:val="22"/>
          <w:szCs w:val="22"/>
        </w:rPr>
        <w:t>r</w:t>
      </w:r>
      <w:r w:rsidR="002F1B73">
        <w:rPr>
          <w:rFonts w:ascii="Times New Roman" w:hAnsi="Times New Roman" w:cs="Times New Roman"/>
          <w:b/>
          <w:bCs/>
          <w:i w:val="0"/>
          <w:iCs w:val="0"/>
          <w:color w:val="auto"/>
          <w:sz w:val="22"/>
          <w:szCs w:val="22"/>
        </w:rPr>
        <w:t>eportable and Non</w:t>
      </w:r>
      <w:r w:rsidR="00C70DE0">
        <w:rPr>
          <w:rFonts w:ascii="Times New Roman" w:hAnsi="Times New Roman" w:cs="Times New Roman"/>
          <w:b/>
          <w:bCs/>
          <w:i w:val="0"/>
          <w:iCs w:val="0"/>
          <w:color w:val="auto"/>
          <w:sz w:val="22"/>
          <w:szCs w:val="22"/>
        </w:rPr>
        <w:t>-</w:t>
      </w:r>
      <w:r w:rsidR="002F1B73">
        <w:rPr>
          <w:rFonts w:ascii="Times New Roman" w:hAnsi="Times New Roman" w:cs="Times New Roman"/>
          <w:b/>
          <w:bCs/>
          <w:i w:val="0"/>
          <w:iCs w:val="0"/>
          <w:color w:val="auto"/>
          <w:sz w:val="22"/>
          <w:szCs w:val="22"/>
        </w:rPr>
        <w:t xml:space="preserve">reportable </w:t>
      </w:r>
      <w:r w:rsidRPr="001C0658">
        <w:rPr>
          <w:rFonts w:ascii="Times New Roman" w:hAnsi="Times New Roman" w:cs="Times New Roman"/>
          <w:b/>
          <w:bCs/>
          <w:i w:val="0"/>
          <w:iCs w:val="0"/>
          <w:color w:val="auto"/>
          <w:sz w:val="22"/>
          <w:szCs w:val="22"/>
        </w:rPr>
        <w:t xml:space="preserve">Accidents, </w:t>
      </w:r>
    </w:p>
    <w:p w:rsidR="00C57989" w:rsidRPr="001C0658" w:rsidP="00C57989" w14:paraId="06E887BE" w14:textId="77777777">
      <w:pPr>
        <w:pStyle w:val="Caption"/>
        <w:jc w:val="center"/>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t xml:space="preserve">and </w:t>
      </w:r>
      <w:r w:rsidR="00586866">
        <w:rPr>
          <w:rFonts w:ascii="Times New Roman" w:hAnsi="Times New Roman" w:cs="Times New Roman"/>
          <w:b/>
          <w:bCs/>
          <w:i w:val="0"/>
          <w:iCs w:val="0"/>
          <w:color w:val="auto"/>
          <w:sz w:val="22"/>
          <w:szCs w:val="22"/>
        </w:rPr>
        <w:t>N</w:t>
      </w:r>
      <w:r w:rsidR="0051298A">
        <w:rPr>
          <w:rFonts w:ascii="Times New Roman" w:hAnsi="Times New Roman" w:cs="Times New Roman"/>
          <w:b/>
          <w:bCs/>
          <w:i w:val="0"/>
          <w:iCs w:val="0"/>
          <w:color w:val="auto"/>
          <w:sz w:val="22"/>
          <w:szCs w:val="22"/>
        </w:rPr>
        <w:t>umbers of</w:t>
      </w:r>
      <w:r>
        <w:rPr>
          <w:rFonts w:ascii="Times New Roman" w:hAnsi="Times New Roman" w:cs="Times New Roman"/>
          <w:b/>
          <w:bCs/>
          <w:i w:val="0"/>
          <w:iCs w:val="0"/>
          <w:color w:val="auto"/>
          <w:sz w:val="22"/>
          <w:szCs w:val="22"/>
        </w:rPr>
        <w:t xml:space="preserve"> </w:t>
      </w:r>
      <w:r w:rsidRPr="001C0658">
        <w:rPr>
          <w:rFonts w:ascii="Times New Roman" w:hAnsi="Times New Roman" w:cs="Times New Roman"/>
          <w:b/>
          <w:bCs/>
          <w:i w:val="0"/>
          <w:iCs w:val="0"/>
          <w:color w:val="auto"/>
          <w:sz w:val="22"/>
          <w:szCs w:val="22"/>
        </w:rPr>
        <w:t>Fatalities and Injuries by Sector, 2016-2020.</w:t>
      </w:r>
    </w:p>
    <w:tbl>
      <w:tblPr>
        <w:tblW w:w="4725" w:type="pct"/>
        <w:jc w:val="center"/>
        <w:tblLook w:val="04A0"/>
      </w:tblPr>
      <w:tblGrid>
        <w:gridCol w:w="2588"/>
        <w:gridCol w:w="1238"/>
        <w:gridCol w:w="1093"/>
        <w:gridCol w:w="1139"/>
        <w:gridCol w:w="1139"/>
        <w:gridCol w:w="1021"/>
        <w:gridCol w:w="1204"/>
      </w:tblGrid>
      <w:tr w14:paraId="139479AE" w14:textId="77777777" w:rsidTr="002A0505">
        <w:tblPrEx>
          <w:tblW w:w="4725" w:type="pct"/>
          <w:jc w:val="center"/>
          <w:tblLook w:val="04A0"/>
        </w:tblPrEx>
        <w:trPr>
          <w:trHeight w:val="560"/>
          <w:tblHeader/>
          <w:jc w:val="center"/>
        </w:trPr>
        <w:tc>
          <w:tcPr>
            <w:tcW w:w="139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57989" w:rsidRPr="00964C0A" w:rsidP="00AD4A42" w14:paraId="21AC36C1"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Sector</w:t>
            </w:r>
            <w:r>
              <w:rPr>
                <w:rFonts w:ascii="Times New Roman" w:eastAsia="Times New Roman" w:hAnsi="Times New Roman" w:cs="Times New Roman"/>
                <w:b/>
                <w:color w:val="000000"/>
                <w:sz w:val="20"/>
                <w:szCs w:val="20"/>
              </w:rPr>
              <w:t xml:space="preserve"> (NAICS)</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rsidR="00C57989" w:rsidRPr="00964C0A" w:rsidP="00AD4A42" w14:paraId="66BD3C77"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Total 5-Year Accidents</w:t>
            </w:r>
            <w:r w:rsidR="002E3AD6">
              <w:rPr>
                <w:rFonts w:ascii="Times New Roman" w:eastAsia="Times New Roman" w:hAnsi="Times New Roman" w:cs="Times New Roman"/>
                <w:b/>
                <w:color w:val="000000"/>
                <w:sz w:val="20"/>
                <w:szCs w:val="20"/>
              </w:rPr>
              <w:t xml:space="preserve"> (Reportable and Non-Reportable)</w:t>
            </w:r>
          </w:p>
        </w:tc>
        <w:tc>
          <w:tcPr>
            <w:tcW w:w="603" w:type="pct"/>
            <w:tcBorders>
              <w:top w:val="single" w:sz="4" w:space="0" w:color="auto"/>
              <w:left w:val="nil"/>
              <w:bottom w:val="single" w:sz="4" w:space="0" w:color="auto"/>
              <w:right w:val="single" w:sz="4" w:space="0" w:color="auto"/>
            </w:tcBorders>
            <w:shd w:val="clear" w:color="000000" w:fill="D9D9D9"/>
            <w:vAlign w:val="center"/>
            <w:hideMark/>
          </w:tcPr>
          <w:p w:rsidR="00C57989" w:rsidRPr="00964C0A" w:rsidP="00AD4A42" w14:paraId="04C57D79"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Average Number of Accidents per Facility</w:t>
            </w:r>
          </w:p>
        </w:tc>
        <w:tc>
          <w:tcPr>
            <w:tcW w:w="604" w:type="pct"/>
            <w:tcBorders>
              <w:top w:val="single" w:sz="4" w:space="0" w:color="auto"/>
              <w:left w:val="nil"/>
              <w:bottom w:val="single" w:sz="4" w:space="0" w:color="auto"/>
              <w:right w:val="single" w:sz="4" w:space="0" w:color="auto"/>
            </w:tcBorders>
            <w:shd w:val="clear" w:color="000000" w:fill="D9D9D9"/>
            <w:vAlign w:val="center"/>
            <w:hideMark/>
          </w:tcPr>
          <w:p w:rsidR="00C57989" w:rsidRPr="00964C0A" w:rsidP="00AD4A42" w14:paraId="276B2F13"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 xml:space="preserve">Onsite </w:t>
            </w:r>
            <w:r w:rsidR="00D37BE1">
              <w:rPr>
                <w:rFonts w:ascii="Times New Roman" w:eastAsia="Times New Roman" w:hAnsi="Times New Roman" w:cs="Times New Roman"/>
                <w:b/>
                <w:color w:val="000000"/>
                <w:sz w:val="20"/>
                <w:szCs w:val="20"/>
              </w:rPr>
              <w:t>Worker</w:t>
            </w:r>
            <w:r w:rsidR="00801562">
              <w:rPr>
                <w:rFonts w:ascii="Times New Roman" w:eastAsia="Times New Roman" w:hAnsi="Times New Roman" w:cs="Times New Roman"/>
                <w:b/>
                <w:color w:val="000000"/>
                <w:sz w:val="20"/>
                <w:szCs w:val="20"/>
              </w:rPr>
              <w:t xml:space="preserve"> or Public Responder</w:t>
            </w:r>
            <w:r w:rsidR="00D52502">
              <w:rPr>
                <w:rFonts w:ascii="Times New Roman" w:eastAsia="Times New Roman" w:hAnsi="Times New Roman" w:cs="Times New Roman"/>
                <w:b/>
                <w:color w:val="000000"/>
                <w:sz w:val="20"/>
                <w:szCs w:val="20"/>
              </w:rPr>
              <w:t xml:space="preserve"> </w:t>
            </w:r>
            <w:r w:rsidRPr="00964C0A">
              <w:rPr>
                <w:rFonts w:ascii="Times New Roman" w:eastAsia="Times New Roman" w:hAnsi="Times New Roman" w:cs="Times New Roman"/>
                <w:b/>
                <w:color w:val="000000"/>
                <w:sz w:val="20"/>
                <w:szCs w:val="20"/>
              </w:rPr>
              <w:t>Fatalities</w:t>
            </w:r>
          </w:p>
        </w:tc>
        <w:tc>
          <w:tcPr>
            <w:tcW w:w="604" w:type="pct"/>
            <w:tcBorders>
              <w:top w:val="single" w:sz="4" w:space="0" w:color="auto"/>
              <w:left w:val="nil"/>
              <w:bottom w:val="single" w:sz="4" w:space="0" w:color="auto"/>
              <w:right w:val="single" w:sz="4" w:space="0" w:color="auto"/>
            </w:tcBorders>
            <w:shd w:val="clear" w:color="000000" w:fill="D9D9D9"/>
            <w:vAlign w:val="center"/>
            <w:hideMark/>
          </w:tcPr>
          <w:p w:rsidR="00C57989" w:rsidRPr="00964C0A" w:rsidP="00AD4A42" w14:paraId="55F9B482"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 xml:space="preserve">Onsite </w:t>
            </w:r>
            <w:r w:rsidR="00D37BE1">
              <w:rPr>
                <w:rFonts w:ascii="Times New Roman" w:eastAsia="Times New Roman" w:hAnsi="Times New Roman" w:cs="Times New Roman"/>
                <w:b/>
                <w:color w:val="000000"/>
                <w:sz w:val="20"/>
                <w:szCs w:val="20"/>
              </w:rPr>
              <w:t>Worker or Public Responder</w:t>
            </w:r>
            <w:r w:rsidR="00D52502">
              <w:rPr>
                <w:rFonts w:ascii="Times New Roman" w:eastAsia="Times New Roman" w:hAnsi="Times New Roman" w:cs="Times New Roman"/>
                <w:b/>
                <w:color w:val="000000"/>
                <w:sz w:val="20"/>
                <w:szCs w:val="20"/>
              </w:rPr>
              <w:t xml:space="preserve"> </w:t>
            </w:r>
            <w:r w:rsidRPr="00964C0A">
              <w:rPr>
                <w:rFonts w:ascii="Times New Roman" w:eastAsia="Times New Roman" w:hAnsi="Times New Roman" w:cs="Times New Roman"/>
                <w:b/>
                <w:color w:val="000000"/>
                <w:sz w:val="20"/>
                <w:szCs w:val="20"/>
              </w:rPr>
              <w:t>Injuries</w:t>
            </w:r>
          </w:p>
        </w:tc>
        <w:tc>
          <w:tcPr>
            <w:tcW w:w="564" w:type="pct"/>
            <w:tcBorders>
              <w:top w:val="single" w:sz="4" w:space="0" w:color="auto"/>
              <w:left w:val="nil"/>
              <w:bottom w:val="single" w:sz="4" w:space="0" w:color="auto"/>
              <w:right w:val="single" w:sz="4" w:space="0" w:color="auto"/>
            </w:tcBorders>
            <w:shd w:val="clear" w:color="000000" w:fill="D9D9D9"/>
            <w:vAlign w:val="center"/>
            <w:hideMark/>
          </w:tcPr>
          <w:p w:rsidR="00C57989" w:rsidRPr="00964C0A" w:rsidP="00AD4A42" w14:paraId="678EB970" w14:textId="77777777">
            <w:pPr>
              <w:keepNext/>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Onsite </w:t>
            </w:r>
            <w:r w:rsidR="007F6490">
              <w:rPr>
                <w:rFonts w:ascii="Times New Roman" w:eastAsia="Times New Roman" w:hAnsi="Times New Roman" w:cs="Times New Roman"/>
                <w:b/>
                <w:color w:val="000000"/>
                <w:sz w:val="20"/>
                <w:szCs w:val="20"/>
              </w:rPr>
              <w:t>Public</w:t>
            </w:r>
            <w:r w:rsidRPr="00964C0A">
              <w:rPr>
                <w:rFonts w:ascii="Times New Roman" w:eastAsia="Times New Roman" w:hAnsi="Times New Roman" w:cs="Times New Roman"/>
                <w:b/>
                <w:color w:val="000000"/>
                <w:sz w:val="20"/>
                <w:szCs w:val="20"/>
              </w:rPr>
              <w:t xml:space="preserve"> Injuries</w:t>
            </w:r>
          </w:p>
        </w:tc>
        <w:tc>
          <w:tcPr>
            <w:tcW w:w="661" w:type="pct"/>
            <w:tcBorders>
              <w:top w:val="single" w:sz="4" w:space="0" w:color="auto"/>
              <w:left w:val="nil"/>
              <w:bottom w:val="single" w:sz="4" w:space="0" w:color="auto"/>
              <w:right w:val="single" w:sz="4" w:space="0" w:color="auto"/>
            </w:tcBorders>
            <w:shd w:val="clear" w:color="000000" w:fill="D9D9D9"/>
            <w:vAlign w:val="center"/>
          </w:tcPr>
          <w:p w:rsidR="00C57989" w:rsidRPr="00964C0A" w:rsidP="00AD4A42" w14:paraId="696CF233" w14:textId="77777777">
            <w:pPr>
              <w:keepNext/>
              <w:spacing w:after="0" w:line="240" w:lineRule="auto"/>
              <w:jc w:val="center"/>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Number of Facilities with &gt;1 Accident</w:t>
            </w:r>
          </w:p>
        </w:tc>
      </w:tr>
      <w:tr w14:paraId="2391EA36" w14:textId="77777777">
        <w:tblPrEx>
          <w:tblW w:w="4725" w:type="pct"/>
          <w:jc w:val="center"/>
          <w:tblLook w:val="04A0"/>
        </w:tblPrEx>
        <w:trPr>
          <w:trHeight w:val="56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947BB6" w:rsidRPr="00964C0A" w:rsidP="00947BB6" w14:paraId="420CB1F2" w14:textId="77777777">
            <w:pPr>
              <w:spacing w:after="0" w:line="240" w:lineRule="auto"/>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324</w:t>
            </w:r>
            <w:r>
              <w:rPr>
                <w:rFonts w:ascii="Times New Roman" w:eastAsia="Times New Roman" w:hAnsi="Times New Roman" w:cs="Times New Roman"/>
                <w:color w:val="000000"/>
                <w:sz w:val="20"/>
                <w:szCs w:val="20"/>
              </w:rPr>
              <w:t xml:space="preserve">: </w:t>
            </w:r>
            <w:r w:rsidRPr="00964C0A">
              <w:rPr>
                <w:rFonts w:ascii="Times New Roman" w:eastAsia="Times New Roman" w:hAnsi="Times New Roman" w:cs="Times New Roman"/>
                <w:color w:val="000000"/>
                <w:sz w:val="20"/>
                <w:szCs w:val="20"/>
              </w:rPr>
              <w:t>Petroleum and Coal Products Manufacturing</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BB6" w:rsidRPr="009B61F3" w:rsidP="00947BB6" w14:paraId="7C13716B"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137</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947BB6" w:rsidRPr="009B61F3" w:rsidP="00947BB6" w14:paraId="10F31447"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0.88</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947BB6" w:rsidRPr="009B61F3" w:rsidP="00947BB6" w14:paraId="585DABC0"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2</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947BB6" w:rsidRPr="009B61F3" w:rsidP="00947BB6" w14:paraId="1C92DB4A"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59</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947BB6" w:rsidRPr="009B61F3" w:rsidP="00947BB6" w14:paraId="48F366FF"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single" w:sz="4" w:space="0" w:color="auto"/>
              <w:left w:val="nil"/>
              <w:bottom w:val="single" w:sz="4" w:space="0" w:color="auto"/>
              <w:right w:val="single" w:sz="4" w:space="0" w:color="auto"/>
            </w:tcBorders>
            <w:shd w:val="clear" w:color="auto" w:fill="auto"/>
            <w:vAlign w:val="center"/>
          </w:tcPr>
          <w:p w:rsidR="00947BB6" w:rsidRPr="009B61F3" w:rsidP="00947BB6" w14:paraId="3CC3188F"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14</w:t>
            </w:r>
          </w:p>
        </w:tc>
      </w:tr>
      <w:tr w14:paraId="77668CB0" w14:textId="77777777">
        <w:tblPrEx>
          <w:tblW w:w="4725" w:type="pct"/>
          <w:jc w:val="center"/>
          <w:tblLook w:val="04A0"/>
        </w:tblPrEx>
        <w:trPr>
          <w:trHeight w:val="56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947BB6" w:rsidRPr="00964C0A" w:rsidP="00947BB6" w14:paraId="2FD2DF4D" w14:textId="7777777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325: C</w:t>
            </w:r>
            <w:r w:rsidRPr="00964C0A">
              <w:rPr>
                <w:rFonts w:ascii="Times New Roman" w:eastAsia="Times New Roman" w:hAnsi="Times New Roman" w:cs="Times New Roman"/>
                <w:color w:val="000000"/>
                <w:sz w:val="20"/>
                <w:szCs w:val="20"/>
              </w:rPr>
              <w:t>hemical Manufacturing</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47CD63F7"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316</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2D80D026"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0.21</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41BE1E57"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2</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59ED5F5"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177</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2982F67D"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2036F520"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29</w:t>
            </w:r>
          </w:p>
        </w:tc>
      </w:tr>
      <w:tr w14:paraId="23C1931F" w14:textId="77777777">
        <w:tblPrEx>
          <w:tblW w:w="4725" w:type="pct"/>
          <w:jc w:val="center"/>
          <w:tblLook w:val="04A0"/>
        </w:tblPrEx>
        <w:trPr>
          <w:trHeight w:val="56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947BB6" w:rsidRPr="00964C0A" w:rsidP="00947BB6" w14:paraId="34302164" w14:textId="7777777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 312:</w:t>
            </w:r>
            <w:r w:rsidRPr="00964C0A">
              <w:rPr>
                <w:rFonts w:ascii="Times New Roman" w:eastAsia="Times New Roman" w:hAnsi="Times New Roman" w:cs="Times New Roman"/>
                <w:color w:val="000000"/>
                <w:sz w:val="20"/>
                <w:szCs w:val="20"/>
              </w:rPr>
              <w:t xml:space="preserve"> Food/Beverage Manufacturers</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357DD112" w14:textId="77777777">
            <w:pPr>
              <w:spacing w:after="0" w:line="240" w:lineRule="auto"/>
              <w:jc w:val="center"/>
              <w:rPr>
                <w:rFonts w:ascii="Times New Roman" w:eastAsia="Times New Roman" w:hAnsi="Times New Roman" w:cs="Times New Roman"/>
                <w:color w:val="000000"/>
              </w:rPr>
            </w:pPr>
            <w:r>
              <w:rPr>
                <w:rFonts w:ascii="Times New Roman" w:hAnsi="Times New Roman" w:cs="Times New Roman"/>
                <w:color w:val="000000"/>
              </w:rPr>
              <w:t>158</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6CA6DEA"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r w:rsidR="00AF411A">
              <w:rPr>
                <w:rFonts w:ascii="Times New Roman" w:hAnsi="Times New Roman" w:cs="Times New Roman"/>
                <w:color w:val="000000"/>
              </w:rPr>
              <w:t>10</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0EE783B3"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6</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62B42DC3"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147</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54C7379"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50F6B66F"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3</w:t>
            </w:r>
          </w:p>
        </w:tc>
      </w:tr>
      <w:tr w14:paraId="015DDED9" w14:textId="77777777">
        <w:tblPrEx>
          <w:tblW w:w="4725" w:type="pct"/>
          <w:jc w:val="center"/>
          <w:tblLook w:val="04A0"/>
        </w:tblPrEx>
        <w:trPr>
          <w:trHeight w:val="29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947BB6" w:rsidRPr="00964C0A" w:rsidP="00947BB6" w14:paraId="5435DB16" w14:textId="7777777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322: </w:t>
            </w:r>
            <w:r w:rsidRPr="00964C0A">
              <w:rPr>
                <w:rFonts w:ascii="Times New Roman" w:eastAsia="Times New Roman" w:hAnsi="Times New Roman" w:cs="Times New Roman"/>
                <w:color w:val="000000"/>
                <w:sz w:val="20"/>
                <w:szCs w:val="20"/>
              </w:rPr>
              <w:t>Paper Manufacturing</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3122B821"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38</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1BFE9B5D"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0.70</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119AFC4E"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01CDF4B0"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30</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5530A7D4"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46A34A15"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5</w:t>
            </w:r>
          </w:p>
        </w:tc>
      </w:tr>
      <w:tr w14:paraId="3E025C02" w14:textId="77777777">
        <w:tblPrEx>
          <w:tblW w:w="4725" w:type="pct"/>
          <w:jc w:val="center"/>
          <w:tblLook w:val="04A0"/>
        </w:tblPrEx>
        <w:trPr>
          <w:trHeight w:val="56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947BB6" w:rsidRPr="00964C0A" w:rsidP="00947BB6" w14:paraId="093AEECC" w14:textId="7777777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313, 314, 315, 326, 327, 33: </w:t>
            </w:r>
            <w:r w:rsidRPr="00964C0A">
              <w:rPr>
                <w:rFonts w:ascii="Times New Roman" w:eastAsia="Times New Roman" w:hAnsi="Times New Roman" w:cs="Times New Roman"/>
                <w:color w:val="000000"/>
                <w:sz w:val="20"/>
                <w:szCs w:val="20"/>
              </w:rPr>
              <w:t>Other Manufacturing</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34E7B1EC"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45</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7A17759"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0.12</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486C73E6"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03A7298E"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19</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EF1EEBF"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6260FE22"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6</w:t>
            </w:r>
          </w:p>
        </w:tc>
      </w:tr>
      <w:tr w14:paraId="115EA0E2" w14:textId="77777777">
        <w:tblPrEx>
          <w:tblW w:w="4725" w:type="pct"/>
          <w:jc w:val="center"/>
          <w:tblLook w:val="04A0"/>
        </w:tblPrEx>
        <w:trPr>
          <w:trHeight w:val="840"/>
          <w:jc w:val="center"/>
        </w:trPr>
        <w:tc>
          <w:tcPr>
            <w:tcW w:w="1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BB6" w:rsidRPr="00964C0A" w:rsidP="00947BB6" w14:paraId="7B9083A7" w14:textId="77777777">
            <w:pPr>
              <w:spacing w:after="0" w:line="240" w:lineRule="auto"/>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11, 42491</w:t>
            </w:r>
            <w:r>
              <w:rPr>
                <w:rFonts w:ascii="Times New Roman" w:eastAsia="Times New Roman" w:hAnsi="Times New Roman" w:cs="Times New Roman"/>
                <w:color w:val="000000"/>
                <w:sz w:val="20"/>
                <w:szCs w:val="20"/>
              </w:rPr>
              <w:t xml:space="preserve">: Agriculture and </w:t>
            </w:r>
            <w:r w:rsidRPr="00964C0A">
              <w:rPr>
                <w:rFonts w:ascii="Times New Roman" w:eastAsia="Times New Roman" w:hAnsi="Times New Roman" w:cs="Times New Roman"/>
                <w:color w:val="000000"/>
                <w:sz w:val="20"/>
                <w:szCs w:val="20"/>
              </w:rPr>
              <w:t xml:space="preserve">Agricultural Chemical </w:t>
            </w:r>
            <w:r>
              <w:rPr>
                <w:rFonts w:ascii="Times New Roman" w:eastAsia="Times New Roman" w:hAnsi="Times New Roman" w:cs="Times New Roman"/>
                <w:color w:val="000000"/>
                <w:sz w:val="20"/>
                <w:szCs w:val="20"/>
              </w:rPr>
              <w:t>Wholesale</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72179015"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102</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0CFF5D8F"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0.03</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BB4E807"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26362D69"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17</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0778D8F5"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4227F13E"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3</w:t>
            </w:r>
          </w:p>
        </w:tc>
      </w:tr>
      <w:tr w14:paraId="05248F4D" w14:textId="77777777">
        <w:tblPrEx>
          <w:tblW w:w="4725" w:type="pct"/>
          <w:jc w:val="center"/>
          <w:tblLook w:val="04A0"/>
        </w:tblPrEx>
        <w:trPr>
          <w:trHeight w:val="560"/>
          <w:jc w:val="center"/>
        </w:trPr>
        <w:tc>
          <w:tcPr>
            <w:tcW w:w="1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BB6" w:rsidRPr="00964C0A" w:rsidP="00947BB6" w14:paraId="764EAAE8" w14:textId="77777777">
            <w:pPr>
              <w:spacing w:after="0" w:line="240" w:lineRule="auto"/>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4246</w:t>
            </w:r>
            <w:r>
              <w:rPr>
                <w:rFonts w:ascii="Times New Roman" w:eastAsia="Times New Roman" w:hAnsi="Times New Roman" w:cs="Times New Roman"/>
                <w:color w:val="000000"/>
                <w:sz w:val="20"/>
                <w:szCs w:val="20"/>
              </w:rPr>
              <w:t xml:space="preserve">: </w:t>
            </w:r>
            <w:r w:rsidRPr="00964C0A">
              <w:rPr>
                <w:rFonts w:ascii="Times New Roman" w:eastAsia="Times New Roman" w:hAnsi="Times New Roman" w:cs="Times New Roman"/>
                <w:color w:val="000000"/>
                <w:sz w:val="20"/>
                <w:szCs w:val="20"/>
              </w:rPr>
              <w:t xml:space="preserve">Chemical </w:t>
            </w:r>
            <w:r>
              <w:rPr>
                <w:rFonts w:ascii="Times New Roman" w:eastAsia="Times New Roman" w:hAnsi="Times New Roman" w:cs="Times New Roman"/>
                <w:color w:val="000000"/>
                <w:sz w:val="20"/>
                <w:szCs w:val="20"/>
              </w:rPr>
              <w:t>W</w:t>
            </w:r>
            <w:r w:rsidRPr="00964C0A">
              <w:rPr>
                <w:rFonts w:ascii="Times New Roman" w:eastAsia="Times New Roman" w:hAnsi="Times New Roman" w:cs="Times New Roman"/>
                <w:color w:val="000000"/>
                <w:sz w:val="20"/>
                <w:szCs w:val="20"/>
              </w:rPr>
              <w:t>holesale</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42FF77F3"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36</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5DA96DE2"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0.11</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47E95151"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5CE15E93"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10</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4CF6188D"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1818A953"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2</w:t>
            </w:r>
          </w:p>
        </w:tc>
      </w:tr>
      <w:tr w14:paraId="74916DC2" w14:textId="77777777">
        <w:tblPrEx>
          <w:tblW w:w="4725" w:type="pct"/>
          <w:jc w:val="center"/>
          <w:tblLook w:val="04A0"/>
        </w:tblPrEx>
        <w:trPr>
          <w:trHeight w:val="560"/>
          <w:jc w:val="center"/>
        </w:trPr>
        <w:tc>
          <w:tcPr>
            <w:tcW w:w="1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BB6" w:rsidRPr="00964C0A" w:rsidP="00947BB6" w14:paraId="669A2EA6" w14:textId="77777777">
            <w:pPr>
              <w:spacing w:after="0" w:line="240" w:lineRule="auto"/>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424</w:t>
            </w:r>
            <w:r>
              <w:rPr>
                <w:rFonts w:ascii="Times New Roman" w:eastAsia="Times New Roman" w:hAnsi="Times New Roman" w:cs="Times New Roman"/>
                <w:color w:val="000000"/>
                <w:sz w:val="20"/>
                <w:szCs w:val="20"/>
              </w:rPr>
              <w:t>7: Petroleum</w:t>
            </w:r>
            <w:r w:rsidRPr="00964C0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w:t>
            </w:r>
            <w:r w:rsidRPr="00964C0A">
              <w:rPr>
                <w:rFonts w:ascii="Times New Roman" w:eastAsia="Times New Roman" w:hAnsi="Times New Roman" w:cs="Times New Roman"/>
                <w:color w:val="000000"/>
                <w:sz w:val="20"/>
                <w:szCs w:val="20"/>
              </w:rPr>
              <w:t>holesale</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43FC808E"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7</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48DC90CA"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0.02</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50AB80FB"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5E7FF0BA"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6D42FDB6"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3E0C2FC5"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r>
      <w:tr w14:paraId="578252E2" w14:textId="77777777">
        <w:tblPrEx>
          <w:tblW w:w="4725" w:type="pct"/>
          <w:jc w:val="center"/>
          <w:tblLook w:val="04A0"/>
        </w:tblPrEx>
        <w:trPr>
          <w:trHeight w:val="56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947BB6" w:rsidRPr="00964C0A" w:rsidP="00947BB6" w14:paraId="0A2C997A" w14:textId="77777777">
            <w:pPr>
              <w:spacing w:after="0" w:line="240" w:lineRule="auto"/>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4244, 4245</w:t>
            </w:r>
            <w:r>
              <w:rPr>
                <w:rFonts w:ascii="Times New Roman" w:eastAsia="Times New Roman" w:hAnsi="Times New Roman" w:cs="Times New Roman"/>
                <w:color w:val="000000"/>
                <w:sz w:val="20"/>
                <w:szCs w:val="20"/>
              </w:rPr>
              <w:t xml:space="preserve">: </w:t>
            </w:r>
            <w:r w:rsidRPr="00964C0A">
              <w:rPr>
                <w:rFonts w:ascii="Times New Roman" w:eastAsia="Times New Roman" w:hAnsi="Times New Roman" w:cs="Times New Roman"/>
                <w:color w:val="000000"/>
                <w:sz w:val="20"/>
                <w:szCs w:val="20"/>
              </w:rPr>
              <w:t xml:space="preserve">Other </w:t>
            </w:r>
            <w:r>
              <w:rPr>
                <w:rFonts w:ascii="Times New Roman" w:eastAsia="Times New Roman" w:hAnsi="Times New Roman" w:cs="Times New Roman"/>
                <w:color w:val="000000"/>
                <w:sz w:val="20"/>
                <w:szCs w:val="20"/>
              </w:rPr>
              <w:t>Agricultural W</w:t>
            </w:r>
            <w:r w:rsidRPr="00964C0A">
              <w:rPr>
                <w:rFonts w:ascii="Times New Roman" w:eastAsia="Times New Roman" w:hAnsi="Times New Roman" w:cs="Times New Roman"/>
                <w:color w:val="000000"/>
                <w:sz w:val="20"/>
                <w:szCs w:val="20"/>
              </w:rPr>
              <w:t>holesale</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6C08834E"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7</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1DA24B10"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0.03</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762664E0"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9F8CAD4"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1889FEC2"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00FF26DB"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r>
      <w:tr w14:paraId="40DEA11F" w14:textId="77777777">
        <w:tblPrEx>
          <w:tblW w:w="4725" w:type="pct"/>
          <w:jc w:val="center"/>
          <w:tblLook w:val="04A0"/>
        </w:tblPrEx>
        <w:trPr>
          <w:trHeight w:val="29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947BB6" w:rsidRPr="00964C0A" w:rsidP="00947BB6" w14:paraId="3DB29234" w14:textId="7777777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493:</w:t>
            </w:r>
            <w:r w:rsidRPr="00964C0A">
              <w:rPr>
                <w:rFonts w:ascii="Times New Roman" w:eastAsia="Times New Roman" w:hAnsi="Times New Roman" w:cs="Times New Roman"/>
                <w:color w:val="000000"/>
                <w:sz w:val="20"/>
                <w:szCs w:val="20"/>
              </w:rPr>
              <w:t xml:space="preserve"> Warehouse</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069F9BA0"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33</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4220E96"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0.03</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19965295"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2</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6EAD98C"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28</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6AA8AB45"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63BF66FB"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2</w:t>
            </w:r>
          </w:p>
        </w:tc>
      </w:tr>
      <w:tr w14:paraId="2A04F2C1" w14:textId="77777777">
        <w:tblPrEx>
          <w:tblW w:w="4725" w:type="pct"/>
          <w:jc w:val="center"/>
          <w:tblLook w:val="04A0"/>
        </w:tblPrEx>
        <w:trPr>
          <w:trHeight w:val="29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947BB6" w:rsidRPr="00964C0A" w:rsidP="00947BB6" w14:paraId="37D7F85B" w14:textId="77777777">
            <w:pPr>
              <w:spacing w:after="0" w:line="240" w:lineRule="auto"/>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211</w:t>
            </w:r>
            <w:r>
              <w:rPr>
                <w:rFonts w:ascii="Times New Roman" w:eastAsia="Times New Roman" w:hAnsi="Times New Roman" w:cs="Times New Roman"/>
                <w:color w:val="000000"/>
                <w:sz w:val="20"/>
                <w:szCs w:val="20"/>
              </w:rPr>
              <w:t xml:space="preserve">: </w:t>
            </w:r>
            <w:r w:rsidRPr="00964C0A">
              <w:rPr>
                <w:rFonts w:ascii="Times New Roman" w:eastAsia="Times New Roman" w:hAnsi="Times New Roman" w:cs="Times New Roman"/>
                <w:color w:val="000000"/>
                <w:sz w:val="20"/>
                <w:szCs w:val="20"/>
              </w:rPr>
              <w:t>Oil/Gas exploration</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735F8995"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45</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32E00C1"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0.03</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06DFCE0C"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52F06558"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22</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6B6CC9A4"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20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47808F44"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3</w:t>
            </w:r>
          </w:p>
        </w:tc>
      </w:tr>
      <w:tr w14:paraId="572D3DF4" w14:textId="77777777">
        <w:tblPrEx>
          <w:tblW w:w="4725" w:type="pct"/>
          <w:jc w:val="center"/>
          <w:tblLook w:val="04A0"/>
        </w:tblPrEx>
        <w:trPr>
          <w:trHeight w:val="56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947BB6" w:rsidRPr="00964C0A" w:rsidP="00947BB6" w14:paraId="1AE1A1CB" w14:textId="77777777">
            <w:pPr>
              <w:spacing w:after="0" w:line="240" w:lineRule="auto"/>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2213</w:t>
            </w:r>
            <w:r>
              <w:rPr>
                <w:rFonts w:ascii="Times New Roman" w:eastAsia="Times New Roman" w:hAnsi="Times New Roman" w:cs="Times New Roman"/>
                <w:color w:val="000000"/>
                <w:sz w:val="20"/>
                <w:szCs w:val="20"/>
              </w:rPr>
              <w:t xml:space="preserve">: </w:t>
            </w:r>
            <w:r w:rsidRPr="00964C0A">
              <w:rPr>
                <w:rFonts w:ascii="Times New Roman" w:eastAsia="Times New Roman" w:hAnsi="Times New Roman" w:cs="Times New Roman"/>
                <w:color w:val="000000"/>
                <w:sz w:val="20"/>
                <w:szCs w:val="20"/>
              </w:rPr>
              <w:t>Water/POTW</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5D08ADC1"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81</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0FEAA1E"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0.11</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4D1150B"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4</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54212029"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13</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15DBA495"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264599E2"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6</w:t>
            </w:r>
          </w:p>
        </w:tc>
      </w:tr>
      <w:tr w14:paraId="290F3B55" w14:textId="77777777">
        <w:tblPrEx>
          <w:tblW w:w="4725" w:type="pct"/>
          <w:jc w:val="center"/>
          <w:tblLook w:val="04A0"/>
        </w:tblPrEx>
        <w:trPr>
          <w:trHeight w:val="290"/>
          <w:jc w:val="center"/>
        </w:trPr>
        <w:tc>
          <w:tcPr>
            <w:tcW w:w="1396" w:type="pct"/>
            <w:tcBorders>
              <w:top w:val="nil"/>
              <w:left w:val="single" w:sz="4" w:space="0" w:color="auto"/>
              <w:bottom w:val="single" w:sz="4" w:space="0" w:color="auto"/>
              <w:right w:val="single" w:sz="4" w:space="0" w:color="auto"/>
            </w:tcBorders>
            <w:shd w:val="clear" w:color="auto" w:fill="auto"/>
            <w:vAlign w:val="center"/>
          </w:tcPr>
          <w:p w:rsidR="00947BB6" w:rsidRPr="00964C0A" w:rsidP="00947BB6" w14:paraId="7DAEA516" w14:textId="7777777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2211, 2212: Electric and Gas Utilities</w:t>
            </w:r>
          </w:p>
        </w:tc>
        <w:tc>
          <w:tcPr>
            <w:tcW w:w="567" w:type="pct"/>
            <w:tcBorders>
              <w:top w:val="nil"/>
              <w:left w:val="single" w:sz="4" w:space="0" w:color="auto"/>
              <w:bottom w:val="single" w:sz="4" w:space="0" w:color="auto"/>
              <w:right w:val="single" w:sz="4" w:space="0" w:color="auto"/>
            </w:tcBorders>
            <w:shd w:val="clear" w:color="auto" w:fill="auto"/>
            <w:noWrap/>
            <w:vAlign w:val="center"/>
          </w:tcPr>
          <w:p w:rsidR="00947BB6" w:rsidRPr="009B61F3" w:rsidP="00947BB6" w14:paraId="300028F7"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5</w:t>
            </w:r>
          </w:p>
        </w:tc>
        <w:tc>
          <w:tcPr>
            <w:tcW w:w="603" w:type="pct"/>
            <w:tcBorders>
              <w:top w:val="nil"/>
              <w:left w:val="nil"/>
              <w:bottom w:val="single" w:sz="4" w:space="0" w:color="auto"/>
              <w:right w:val="single" w:sz="4" w:space="0" w:color="auto"/>
            </w:tcBorders>
            <w:shd w:val="clear" w:color="auto" w:fill="auto"/>
            <w:noWrap/>
            <w:vAlign w:val="center"/>
          </w:tcPr>
          <w:p w:rsidR="00947BB6" w:rsidRPr="009B61F3" w:rsidP="00947BB6" w14:paraId="11305BD5"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0.04</w:t>
            </w:r>
          </w:p>
        </w:tc>
        <w:tc>
          <w:tcPr>
            <w:tcW w:w="604" w:type="pct"/>
            <w:tcBorders>
              <w:top w:val="nil"/>
              <w:left w:val="nil"/>
              <w:bottom w:val="single" w:sz="4" w:space="0" w:color="auto"/>
              <w:right w:val="single" w:sz="4" w:space="0" w:color="auto"/>
            </w:tcBorders>
            <w:shd w:val="clear" w:color="auto" w:fill="auto"/>
            <w:noWrap/>
            <w:vAlign w:val="center"/>
          </w:tcPr>
          <w:p w:rsidR="00947BB6" w:rsidRPr="009B61F3" w:rsidP="00947BB6" w14:paraId="073FB487"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w:t>
            </w:r>
          </w:p>
        </w:tc>
        <w:tc>
          <w:tcPr>
            <w:tcW w:w="604" w:type="pct"/>
            <w:tcBorders>
              <w:top w:val="nil"/>
              <w:left w:val="nil"/>
              <w:bottom w:val="single" w:sz="4" w:space="0" w:color="auto"/>
              <w:right w:val="single" w:sz="4" w:space="0" w:color="auto"/>
            </w:tcBorders>
            <w:shd w:val="clear" w:color="auto" w:fill="auto"/>
            <w:noWrap/>
            <w:vAlign w:val="center"/>
          </w:tcPr>
          <w:p w:rsidR="00947BB6" w:rsidRPr="009B61F3" w:rsidP="00947BB6" w14:paraId="31FD50B9"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2</w:t>
            </w:r>
          </w:p>
        </w:tc>
        <w:tc>
          <w:tcPr>
            <w:tcW w:w="564" w:type="pct"/>
            <w:tcBorders>
              <w:top w:val="nil"/>
              <w:left w:val="nil"/>
              <w:bottom w:val="single" w:sz="4" w:space="0" w:color="auto"/>
              <w:right w:val="single" w:sz="4" w:space="0" w:color="auto"/>
            </w:tcBorders>
            <w:shd w:val="clear" w:color="auto" w:fill="auto"/>
            <w:noWrap/>
            <w:vAlign w:val="center"/>
          </w:tcPr>
          <w:p w:rsidR="00947BB6" w:rsidRPr="009B61F3" w:rsidP="00947BB6" w14:paraId="5E0E8D17"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6F479AEC"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r>
      <w:tr w14:paraId="5AC3AFF5" w14:textId="77777777">
        <w:tblPrEx>
          <w:tblW w:w="4725" w:type="pct"/>
          <w:jc w:val="center"/>
          <w:tblLook w:val="04A0"/>
        </w:tblPrEx>
        <w:trPr>
          <w:trHeight w:val="29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947BB6" w:rsidRPr="00964C0A" w:rsidP="00947BB6" w14:paraId="4863FF6C" w14:textId="77777777">
            <w:pPr>
              <w:spacing w:after="0" w:line="240" w:lineRule="auto"/>
              <w:rPr>
                <w:rFonts w:ascii="Times New Roman" w:eastAsia="Times New Roman" w:hAnsi="Times New Roman" w:cs="Times New Roman"/>
                <w:color w:val="000000"/>
                <w:sz w:val="20"/>
                <w:szCs w:val="20"/>
              </w:rPr>
            </w:pPr>
            <w:r w:rsidRPr="00964C0A">
              <w:rPr>
                <w:rFonts w:ascii="Times New Roman" w:eastAsia="Times New Roman" w:hAnsi="Times New Roman" w:cs="Times New Roman"/>
                <w:color w:val="000000"/>
                <w:sz w:val="20"/>
                <w:szCs w:val="20"/>
              </w:rPr>
              <w:t>Other</w:t>
            </w:r>
          </w:p>
        </w:tc>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947BB6" w:rsidRPr="009B61F3" w:rsidP="00947BB6" w14:paraId="3F4AC061"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143</w:t>
            </w:r>
          </w:p>
        </w:tc>
        <w:tc>
          <w:tcPr>
            <w:tcW w:w="603"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31C32387"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0.06</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2636C72A"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0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1E8356EC"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29</w:t>
            </w:r>
          </w:p>
        </w:tc>
        <w:tc>
          <w:tcPr>
            <w:tcW w:w="564" w:type="pct"/>
            <w:tcBorders>
              <w:top w:val="nil"/>
              <w:left w:val="nil"/>
              <w:bottom w:val="single" w:sz="4" w:space="0" w:color="auto"/>
              <w:right w:val="single" w:sz="4" w:space="0" w:color="auto"/>
            </w:tcBorders>
            <w:shd w:val="clear" w:color="auto" w:fill="auto"/>
            <w:noWrap/>
            <w:vAlign w:val="center"/>
            <w:hideMark/>
          </w:tcPr>
          <w:p w:rsidR="00947BB6" w:rsidRPr="009B61F3" w:rsidP="00947BB6" w14:paraId="2FAA6C35"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38060A3E" w14:textId="77777777">
            <w:pPr>
              <w:spacing w:after="0" w:line="240" w:lineRule="auto"/>
              <w:jc w:val="center"/>
              <w:rPr>
                <w:rFonts w:ascii="Times New Roman" w:eastAsia="Times New Roman" w:hAnsi="Times New Roman" w:cs="Times New Roman"/>
                <w:color w:val="000000"/>
              </w:rPr>
            </w:pPr>
            <w:r w:rsidRPr="009B61F3">
              <w:rPr>
                <w:rFonts w:ascii="Times New Roman" w:hAnsi="Times New Roman" w:cs="Times New Roman"/>
                <w:color w:val="000000"/>
              </w:rPr>
              <w:t>0</w:t>
            </w:r>
          </w:p>
        </w:tc>
      </w:tr>
      <w:tr w14:paraId="65A40141" w14:textId="77777777">
        <w:tblPrEx>
          <w:tblW w:w="4725" w:type="pct"/>
          <w:jc w:val="center"/>
          <w:tblLook w:val="04A0"/>
        </w:tblPrEx>
        <w:trPr>
          <w:trHeight w:val="29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947BB6" w:rsidRPr="00964C0A" w:rsidP="00947BB6" w14:paraId="20423621" w14:textId="77777777">
            <w:pPr>
              <w:spacing w:after="0" w:line="240" w:lineRule="auto"/>
              <w:rPr>
                <w:rFonts w:ascii="Times New Roman" w:eastAsia="Times New Roman" w:hAnsi="Times New Roman" w:cs="Times New Roman"/>
                <w:b/>
                <w:color w:val="000000"/>
                <w:sz w:val="20"/>
                <w:szCs w:val="20"/>
              </w:rPr>
            </w:pPr>
            <w:r w:rsidRPr="00964C0A">
              <w:rPr>
                <w:rFonts w:ascii="Times New Roman" w:eastAsia="Times New Roman" w:hAnsi="Times New Roman" w:cs="Times New Roman"/>
                <w:b/>
                <w:color w:val="000000"/>
                <w:sz w:val="20"/>
                <w:szCs w:val="20"/>
              </w:rPr>
              <w:t>Total</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947BB6" w:rsidRPr="009B61F3" w:rsidP="00947BB6" w14:paraId="27234796" w14:textId="77777777">
            <w:pPr>
              <w:spacing w:after="0" w:line="240" w:lineRule="auto"/>
              <w:jc w:val="center"/>
              <w:rPr>
                <w:rFonts w:ascii="Times New Roman" w:eastAsia="Times New Roman" w:hAnsi="Times New Roman" w:cs="Times New Roman"/>
                <w:b/>
                <w:color w:val="000000"/>
              </w:rPr>
            </w:pPr>
            <w:r w:rsidRPr="009B61F3">
              <w:rPr>
                <w:rFonts w:ascii="Times New Roman" w:hAnsi="Times New Roman" w:cs="Times New Roman"/>
                <w:b/>
                <w:bCs/>
                <w:color w:val="000000"/>
              </w:rPr>
              <w:t>1,023</w:t>
            </w:r>
          </w:p>
        </w:tc>
        <w:tc>
          <w:tcPr>
            <w:tcW w:w="603" w:type="pct"/>
            <w:tcBorders>
              <w:top w:val="nil"/>
              <w:left w:val="nil"/>
              <w:bottom w:val="single" w:sz="4" w:space="0" w:color="auto"/>
              <w:right w:val="single" w:sz="4" w:space="0" w:color="auto"/>
            </w:tcBorders>
            <w:shd w:val="clear" w:color="auto" w:fill="auto"/>
            <w:vAlign w:val="center"/>
            <w:hideMark/>
          </w:tcPr>
          <w:p w:rsidR="00947BB6" w:rsidRPr="009B61F3" w:rsidP="00947BB6" w14:paraId="0F7E16CB" w14:textId="77777777">
            <w:pPr>
              <w:spacing w:after="0" w:line="240" w:lineRule="auto"/>
              <w:jc w:val="center"/>
              <w:rPr>
                <w:rFonts w:ascii="Times New Roman" w:eastAsia="Times New Roman" w:hAnsi="Times New Roman" w:cs="Times New Roman"/>
                <w:b/>
                <w:color w:val="000000"/>
              </w:rPr>
            </w:pPr>
            <w:r w:rsidRPr="009B61F3">
              <w:rPr>
                <w:rFonts w:ascii="Times New Roman" w:hAnsi="Times New Roman" w:cs="Times New Roman"/>
                <w:b/>
                <w:bCs/>
                <w:color w:val="000000"/>
              </w:rPr>
              <w:t>0.09</w:t>
            </w:r>
          </w:p>
        </w:tc>
        <w:tc>
          <w:tcPr>
            <w:tcW w:w="604" w:type="pct"/>
            <w:tcBorders>
              <w:top w:val="nil"/>
              <w:left w:val="nil"/>
              <w:bottom w:val="single" w:sz="4" w:space="0" w:color="auto"/>
              <w:right w:val="single" w:sz="4" w:space="0" w:color="auto"/>
            </w:tcBorders>
            <w:shd w:val="clear" w:color="auto" w:fill="auto"/>
            <w:vAlign w:val="center"/>
            <w:hideMark/>
          </w:tcPr>
          <w:p w:rsidR="00947BB6" w:rsidRPr="009B61F3" w:rsidP="00947BB6" w14:paraId="733D204B" w14:textId="77777777">
            <w:pPr>
              <w:spacing w:after="0" w:line="240" w:lineRule="auto"/>
              <w:jc w:val="center"/>
              <w:rPr>
                <w:rFonts w:ascii="Times New Roman" w:eastAsia="Times New Roman" w:hAnsi="Times New Roman" w:cs="Times New Roman"/>
                <w:b/>
                <w:color w:val="000000"/>
              </w:rPr>
            </w:pPr>
            <w:r w:rsidRPr="009B61F3">
              <w:rPr>
                <w:rFonts w:ascii="Times New Roman" w:hAnsi="Times New Roman" w:cs="Times New Roman"/>
                <w:b/>
                <w:bCs/>
                <w:color w:val="000000"/>
              </w:rPr>
              <w:t>18</w:t>
            </w:r>
          </w:p>
        </w:tc>
        <w:tc>
          <w:tcPr>
            <w:tcW w:w="604" w:type="pct"/>
            <w:tcBorders>
              <w:top w:val="nil"/>
              <w:left w:val="nil"/>
              <w:bottom w:val="single" w:sz="4" w:space="0" w:color="auto"/>
              <w:right w:val="single" w:sz="4" w:space="0" w:color="auto"/>
            </w:tcBorders>
            <w:shd w:val="clear" w:color="auto" w:fill="auto"/>
            <w:vAlign w:val="center"/>
            <w:hideMark/>
          </w:tcPr>
          <w:p w:rsidR="00947BB6" w:rsidRPr="009B61F3" w:rsidP="00947BB6" w14:paraId="0B0CC014" w14:textId="77777777">
            <w:pPr>
              <w:spacing w:after="0" w:line="240" w:lineRule="auto"/>
              <w:jc w:val="center"/>
              <w:rPr>
                <w:rFonts w:ascii="Times New Roman" w:eastAsia="Times New Roman" w:hAnsi="Times New Roman" w:cs="Times New Roman"/>
                <w:b/>
                <w:color w:val="000000"/>
              </w:rPr>
            </w:pPr>
            <w:r w:rsidRPr="009B61F3">
              <w:rPr>
                <w:rFonts w:ascii="Times New Roman" w:hAnsi="Times New Roman" w:cs="Times New Roman"/>
                <w:b/>
                <w:bCs/>
                <w:color w:val="000000"/>
              </w:rPr>
              <w:t>555</w:t>
            </w:r>
          </w:p>
        </w:tc>
        <w:tc>
          <w:tcPr>
            <w:tcW w:w="564" w:type="pct"/>
            <w:tcBorders>
              <w:top w:val="nil"/>
              <w:left w:val="nil"/>
              <w:bottom w:val="single" w:sz="4" w:space="0" w:color="auto"/>
              <w:right w:val="single" w:sz="4" w:space="0" w:color="auto"/>
            </w:tcBorders>
            <w:shd w:val="clear" w:color="auto" w:fill="auto"/>
            <w:vAlign w:val="center"/>
            <w:hideMark/>
          </w:tcPr>
          <w:p w:rsidR="00947BB6" w:rsidRPr="009B61F3" w:rsidP="00947BB6" w14:paraId="03318939" w14:textId="77777777">
            <w:pPr>
              <w:spacing w:after="0" w:line="240" w:lineRule="auto"/>
              <w:jc w:val="center"/>
              <w:rPr>
                <w:rFonts w:ascii="Times New Roman" w:eastAsia="Times New Roman" w:hAnsi="Times New Roman" w:cs="Times New Roman"/>
                <w:b/>
                <w:color w:val="000000"/>
              </w:rPr>
            </w:pPr>
            <w:r w:rsidRPr="009B61F3">
              <w:rPr>
                <w:rFonts w:ascii="Times New Roman" w:hAnsi="Times New Roman" w:cs="Times New Roman"/>
                <w:b/>
                <w:bCs/>
                <w:color w:val="000000"/>
              </w:rPr>
              <w:t>20</w:t>
            </w:r>
          </w:p>
        </w:tc>
        <w:tc>
          <w:tcPr>
            <w:tcW w:w="661" w:type="pct"/>
            <w:tcBorders>
              <w:top w:val="nil"/>
              <w:left w:val="nil"/>
              <w:bottom w:val="single" w:sz="4" w:space="0" w:color="auto"/>
              <w:right w:val="single" w:sz="4" w:space="0" w:color="auto"/>
            </w:tcBorders>
            <w:shd w:val="clear" w:color="auto" w:fill="auto"/>
            <w:vAlign w:val="center"/>
          </w:tcPr>
          <w:p w:rsidR="00947BB6" w:rsidRPr="009B61F3" w:rsidP="00947BB6" w14:paraId="1E6A0DE6" w14:textId="77777777">
            <w:pPr>
              <w:spacing w:after="0" w:line="240" w:lineRule="auto"/>
              <w:jc w:val="center"/>
              <w:rPr>
                <w:rFonts w:ascii="Times New Roman" w:eastAsia="Times New Roman" w:hAnsi="Times New Roman" w:cs="Times New Roman"/>
                <w:b/>
                <w:color w:val="000000"/>
              </w:rPr>
            </w:pPr>
            <w:r w:rsidRPr="009B61F3">
              <w:rPr>
                <w:rFonts w:ascii="Times New Roman" w:hAnsi="Times New Roman" w:cs="Times New Roman"/>
                <w:b/>
                <w:bCs/>
                <w:color w:val="000000"/>
              </w:rPr>
              <w:t>70</w:t>
            </w:r>
            <w:r w:rsidR="00022885">
              <w:rPr>
                <w:rFonts w:ascii="Times New Roman" w:hAnsi="Times New Roman" w:cs="Times New Roman"/>
                <w:b/>
                <w:bCs/>
                <w:color w:val="000000"/>
              </w:rPr>
              <w:t>*</w:t>
            </w:r>
          </w:p>
        </w:tc>
      </w:tr>
    </w:tbl>
    <w:p w:rsidR="00C57989" w:rsidRPr="001C0658" w:rsidP="00C57989" w14:paraId="5FD0FD24" w14:textId="77777777">
      <w:pPr>
        <w:spacing w:after="0" w:line="240" w:lineRule="auto"/>
        <w:rPr>
          <w:rFonts w:ascii="Times New Roman" w:hAnsi="Times New Roman" w:cs="Times New Roman"/>
          <w:sz w:val="18"/>
          <w:szCs w:val="18"/>
        </w:rPr>
      </w:pPr>
      <w:r w:rsidRPr="001C0658">
        <w:rPr>
          <w:rFonts w:ascii="Times New Roman" w:hAnsi="Times New Roman" w:cs="Times New Roman"/>
          <w:bCs/>
          <w:sz w:val="18"/>
          <w:szCs w:val="18"/>
        </w:rPr>
        <w:t xml:space="preserve">* </w:t>
      </w:r>
      <w:r w:rsidR="007E30BD">
        <w:rPr>
          <w:rFonts w:ascii="Times New Roman" w:hAnsi="Times New Roman" w:cs="Times New Roman"/>
          <w:bCs/>
          <w:sz w:val="18"/>
          <w:szCs w:val="18"/>
        </w:rPr>
        <w:t>Adding</w:t>
      </w:r>
      <w:r w:rsidR="00DC51ED">
        <w:rPr>
          <w:rFonts w:ascii="Times New Roman" w:hAnsi="Times New Roman" w:cs="Times New Roman"/>
          <w:bCs/>
          <w:sz w:val="18"/>
          <w:szCs w:val="18"/>
        </w:rPr>
        <w:t xml:space="preserve"> Number of Facilities with &gt;1 Accident</w:t>
      </w:r>
      <w:r w:rsidR="007E30BD">
        <w:rPr>
          <w:rFonts w:ascii="Times New Roman" w:hAnsi="Times New Roman" w:cs="Times New Roman"/>
          <w:bCs/>
          <w:sz w:val="18"/>
          <w:szCs w:val="18"/>
        </w:rPr>
        <w:t xml:space="preserve"> for each sector equals 73, which exceeds </w:t>
      </w:r>
      <w:r w:rsidR="00C52950">
        <w:rPr>
          <w:rFonts w:ascii="Times New Roman" w:hAnsi="Times New Roman" w:cs="Times New Roman"/>
          <w:bCs/>
          <w:sz w:val="18"/>
          <w:szCs w:val="18"/>
        </w:rPr>
        <w:t xml:space="preserve">the Total of 70 because some facilities </w:t>
      </w:r>
      <w:r w:rsidR="007715A3">
        <w:rPr>
          <w:rFonts w:ascii="Times New Roman" w:hAnsi="Times New Roman" w:cs="Times New Roman"/>
          <w:bCs/>
          <w:sz w:val="18"/>
          <w:szCs w:val="18"/>
        </w:rPr>
        <w:t>were counted in multiple sectors</w:t>
      </w:r>
      <w:r w:rsidRPr="001C0658">
        <w:rPr>
          <w:rFonts w:ascii="Times New Roman" w:hAnsi="Times New Roman" w:cs="Times New Roman"/>
          <w:bCs/>
          <w:sz w:val="18"/>
          <w:szCs w:val="18"/>
        </w:rPr>
        <w:t xml:space="preserve">. </w:t>
      </w:r>
    </w:p>
    <w:p w:rsidR="00C57989" w:rsidRPr="00BF42A8" w:rsidP="00C57989" w14:paraId="6F8C48CF" w14:textId="77777777">
      <w:pPr>
        <w:pStyle w:val="ListParagraph"/>
        <w:spacing w:after="0" w:line="240" w:lineRule="auto"/>
        <w:ind w:left="0" w:firstLine="360"/>
        <w:contextualSpacing w:val="0"/>
        <w:rPr>
          <w:rFonts w:ascii="Times New Roman" w:hAnsi="Times New Roman" w:cs="Times New Roman"/>
        </w:rPr>
      </w:pPr>
    </w:p>
    <w:p w:rsidR="00BE4E59" w:rsidRPr="00925907" w:rsidP="00EC2D22" w14:paraId="73D21B44" w14:textId="77777777">
      <w:pPr>
        <w:pStyle w:val="Heading3"/>
        <w:rPr>
          <w:rFonts w:ascii="Times New Roman" w:hAnsi="Times New Roman" w:cs="Times New Roman"/>
          <w:sz w:val="22"/>
          <w:szCs w:val="22"/>
        </w:rPr>
      </w:pPr>
      <w:bookmarkStart w:id="133" w:name="_Toc141732924"/>
      <w:bookmarkStart w:id="134" w:name="_Toc141733135"/>
      <w:bookmarkStart w:id="135" w:name="_Toc142404039"/>
      <w:bookmarkStart w:id="136" w:name="_Toc144213846"/>
      <w:bookmarkStart w:id="137" w:name="_Toc144283591"/>
      <w:bookmarkStart w:id="138" w:name="_Toc144303529"/>
      <w:r w:rsidRPr="00EC2D22">
        <w:rPr>
          <w:rFonts w:ascii="Times New Roman" w:hAnsi="Times New Roman" w:cs="Times New Roman"/>
          <w:sz w:val="22"/>
          <w:szCs w:val="22"/>
        </w:rPr>
        <w:t>3.</w:t>
      </w:r>
      <w:r w:rsidR="00EC2D22">
        <w:rPr>
          <w:rFonts w:ascii="Times New Roman" w:hAnsi="Times New Roman" w:cs="Times New Roman"/>
        </w:rPr>
        <w:t>2.5</w:t>
      </w:r>
      <w:r w:rsidRPr="00EC2D22">
        <w:rPr>
          <w:rFonts w:ascii="Times New Roman" w:hAnsi="Times New Roman" w:cs="Times New Roman"/>
          <w:sz w:val="22"/>
          <w:szCs w:val="22"/>
        </w:rPr>
        <w:t xml:space="preserve"> </w:t>
      </w:r>
      <w:r w:rsidRPr="00925907">
        <w:rPr>
          <w:rFonts w:ascii="Times New Roman" w:hAnsi="Times New Roman" w:cs="Times New Roman"/>
          <w:sz w:val="22"/>
          <w:szCs w:val="22"/>
        </w:rPr>
        <w:t>Monetized Costs of Chemical</w:t>
      </w:r>
      <w:r w:rsidRPr="00925907">
        <w:rPr>
          <w:rFonts w:ascii="Times New Roman" w:hAnsi="Times New Roman" w:cs="Times New Roman"/>
          <w:spacing w:val="-6"/>
          <w:sz w:val="22"/>
          <w:szCs w:val="22"/>
        </w:rPr>
        <w:t xml:space="preserve"> </w:t>
      </w:r>
      <w:r w:rsidRPr="00925907">
        <w:rPr>
          <w:rFonts w:ascii="Times New Roman" w:hAnsi="Times New Roman" w:cs="Times New Roman"/>
          <w:sz w:val="22"/>
          <w:szCs w:val="22"/>
        </w:rPr>
        <w:t>Accidents</w:t>
      </w:r>
      <w:bookmarkEnd w:id="133"/>
      <w:bookmarkEnd w:id="134"/>
      <w:bookmarkEnd w:id="135"/>
      <w:bookmarkEnd w:id="136"/>
      <w:bookmarkEnd w:id="137"/>
      <w:bookmarkEnd w:id="138"/>
    </w:p>
    <w:p w:rsidR="00BE4E59" w:rsidP="00BE4E59" w14:paraId="5E6CF976" w14:textId="77777777">
      <w:pPr>
        <w:keepNext/>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While the RMP Database provides values of property damage, it includes only counts of fatalities, non-fatal injuries, evacuations, and the number of people required to shelter</w:t>
      </w:r>
      <w:r w:rsidR="00416292">
        <w:rPr>
          <w:rFonts w:ascii="Times New Roman" w:hAnsi="Times New Roman" w:cs="Times New Roman"/>
        </w:rPr>
        <w:t>-</w:t>
      </w:r>
      <w:r w:rsidRPr="00BF42A8">
        <w:rPr>
          <w:rFonts w:ascii="Times New Roman" w:hAnsi="Times New Roman" w:cs="Times New Roman"/>
        </w:rPr>
        <w:t>in</w:t>
      </w:r>
      <w:r w:rsidR="00416292">
        <w:rPr>
          <w:rFonts w:ascii="Times New Roman" w:hAnsi="Times New Roman" w:cs="Times New Roman"/>
        </w:rPr>
        <w:t>-</w:t>
      </w:r>
      <w:r w:rsidRPr="00BF42A8">
        <w:rPr>
          <w:rFonts w:ascii="Times New Roman" w:hAnsi="Times New Roman" w:cs="Times New Roman"/>
        </w:rPr>
        <w:t>place. EPA estimate</w:t>
      </w:r>
      <w:r w:rsidR="00587C60">
        <w:rPr>
          <w:rFonts w:ascii="Times New Roman" w:hAnsi="Times New Roman" w:cs="Times New Roman"/>
        </w:rPr>
        <w:t>d</w:t>
      </w:r>
      <w:r w:rsidRPr="00BF42A8">
        <w:rPr>
          <w:rFonts w:ascii="Times New Roman" w:hAnsi="Times New Roman" w:cs="Times New Roman"/>
        </w:rPr>
        <w:t xml:space="preserve"> the values of these impacts to better understand the magnitude of </w:t>
      </w:r>
      <w:r w:rsidR="0043560C">
        <w:rPr>
          <w:rFonts w:ascii="Times New Roman" w:hAnsi="Times New Roman" w:cs="Times New Roman"/>
        </w:rPr>
        <w:t xml:space="preserve">reported </w:t>
      </w:r>
      <w:r w:rsidRPr="00BF42A8">
        <w:rPr>
          <w:rFonts w:ascii="Times New Roman" w:hAnsi="Times New Roman" w:cs="Times New Roman"/>
        </w:rPr>
        <w:t xml:space="preserve">accident impacts during the five-year baseline. To monetize fatalities, EPA applied the value of statistical life (VSL) recommended in EPA’s </w:t>
      </w:r>
      <w:r w:rsidRPr="00BF42A8">
        <w:rPr>
          <w:rFonts w:ascii="Times New Roman" w:hAnsi="Times New Roman" w:cs="Times New Roman"/>
          <w:i/>
        </w:rPr>
        <w:t xml:space="preserve">Guidelines for Preparing Economic Analysis </w:t>
      </w:r>
      <w:r w:rsidRPr="00BF42A8">
        <w:rPr>
          <w:rFonts w:ascii="Times New Roman" w:hAnsi="Times New Roman" w:cs="Times New Roman"/>
        </w:rPr>
        <w:t xml:space="preserve">(2010) (hereafter the </w:t>
      </w:r>
      <w:r w:rsidRPr="00BF42A8">
        <w:rPr>
          <w:rFonts w:ascii="Times New Roman" w:hAnsi="Times New Roman" w:cs="Times New Roman"/>
          <w:i/>
        </w:rPr>
        <w:t>Guidelines</w:t>
      </w:r>
      <w:r w:rsidRPr="00BF42A8">
        <w:rPr>
          <w:rFonts w:ascii="Times New Roman" w:hAnsi="Times New Roman" w:cs="Times New Roman"/>
        </w:rPr>
        <w:t>). For non-fatal injuries, EPA gathered data on hospital costs from the U.S. Department of Health &amp; Human Services (HHS) Agency for Healthcare and Research and Quality Data (2020).</w:t>
      </w:r>
      <w:r>
        <w:rPr>
          <w:rStyle w:val="FootnoteReference"/>
          <w:rFonts w:ascii="Times New Roman" w:hAnsi="Times New Roman" w:cs="Times New Roman"/>
        </w:rPr>
        <w:footnoteReference w:id="88"/>
      </w:r>
      <w:r w:rsidRPr="00BF42A8">
        <w:rPr>
          <w:rFonts w:ascii="Times New Roman" w:hAnsi="Times New Roman" w:cs="Times New Roman"/>
        </w:rPr>
        <w:t xml:space="preserve"> Finally, for evacuations and shelter-in-place events, </w:t>
      </w:r>
      <w:r w:rsidR="00531E71">
        <w:rPr>
          <w:rFonts w:ascii="Times New Roman" w:hAnsi="Times New Roman" w:cs="Times New Roman"/>
        </w:rPr>
        <w:t xml:space="preserve">a </w:t>
      </w:r>
      <w:r w:rsidRPr="00BF42A8">
        <w:rPr>
          <w:rFonts w:ascii="Times New Roman" w:hAnsi="Times New Roman" w:cs="Times New Roman"/>
        </w:rPr>
        <w:t>value of labor time w</w:t>
      </w:r>
      <w:r w:rsidR="00531E71">
        <w:rPr>
          <w:rFonts w:ascii="Times New Roman" w:hAnsi="Times New Roman" w:cs="Times New Roman"/>
        </w:rPr>
        <w:t>as</w:t>
      </w:r>
      <w:r w:rsidRPr="00BF42A8">
        <w:rPr>
          <w:rFonts w:ascii="Times New Roman" w:hAnsi="Times New Roman" w:cs="Times New Roman"/>
        </w:rPr>
        <w:t xml:space="preserve"> </w:t>
      </w:r>
      <w:r w:rsidR="00A22E77">
        <w:rPr>
          <w:rFonts w:ascii="Times New Roman" w:hAnsi="Times New Roman" w:cs="Times New Roman"/>
        </w:rPr>
        <w:t>estimate</w:t>
      </w:r>
      <w:r w:rsidR="00531E71">
        <w:rPr>
          <w:rFonts w:ascii="Times New Roman" w:hAnsi="Times New Roman" w:cs="Times New Roman"/>
        </w:rPr>
        <w:t>d using data</w:t>
      </w:r>
      <w:r w:rsidRPr="00BF42A8">
        <w:rPr>
          <w:rFonts w:ascii="Times New Roman" w:hAnsi="Times New Roman" w:cs="Times New Roman"/>
        </w:rPr>
        <w:t xml:space="preserve"> from the </w:t>
      </w:r>
      <w:r w:rsidR="0004679F">
        <w:rPr>
          <w:rFonts w:ascii="Times New Roman" w:hAnsi="Times New Roman" w:cs="Times New Roman"/>
        </w:rPr>
        <w:t>Bureau of Labor Statistics</w:t>
      </w:r>
      <w:r w:rsidRPr="00BF42A8">
        <w:rPr>
          <w:rFonts w:ascii="Times New Roman" w:hAnsi="Times New Roman" w:cs="Times New Roman"/>
        </w:rPr>
        <w:t xml:space="preserve"> </w:t>
      </w:r>
      <w:r w:rsidR="0004679F">
        <w:rPr>
          <w:rFonts w:ascii="Times New Roman" w:hAnsi="Times New Roman" w:cs="Times New Roman"/>
        </w:rPr>
        <w:t>(</w:t>
      </w:r>
      <w:r w:rsidRPr="00BF42A8">
        <w:rPr>
          <w:rFonts w:ascii="Times New Roman" w:hAnsi="Times New Roman" w:cs="Times New Roman"/>
        </w:rPr>
        <w:t>BLS</w:t>
      </w:r>
      <w:r w:rsidR="0004679F">
        <w:rPr>
          <w:rFonts w:ascii="Times New Roman" w:hAnsi="Times New Roman" w:cs="Times New Roman"/>
        </w:rPr>
        <w:t>)</w:t>
      </w:r>
      <w:r w:rsidRPr="00BF42A8">
        <w:rPr>
          <w:rFonts w:ascii="Times New Roman" w:hAnsi="Times New Roman" w:cs="Times New Roman"/>
        </w:rPr>
        <w:t xml:space="preserve"> (202</w:t>
      </w:r>
      <w:r w:rsidR="0045482D">
        <w:rPr>
          <w:rFonts w:ascii="Times New Roman" w:hAnsi="Times New Roman" w:cs="Times New Roman"/>
        </w:rPr>
        <w:t>2</w:t>
      </w:r>
      <w:r w:rsidRPr="00BF42A8">
        <w:rPr>
          <w:rFonts w:ascii="Times New Roman" w:hAnsi="Times New Roman" w:cs="Times New Roman"/>
        </w:rPr>
        <w:t>)</w:t>
      </w:r>
      <w:r w:rsidR="00EE2F5B">
        <w:rPr>
          <w:rFonts w:ascii="Times New Roman" w:hAnsi="Times New Roman" w:cs="Times New Roman"/>
        </w:rPr>
        <w:t xml:space="preserve"> and </w:t>
      </w:r>
      <w:r w:rsidR="00A22E77">
        <w:rPr>
          <w:rFonts w:ascii="Times New Roman" w:hAnsi="Times New Roman" w:cs="Times New Roman"/>
        </w:rPr>
        <w:t xml:space="preserve">the </w:t>
      </w:r>
      <w:r w:rsidR="00EE2F5B">
        <w:rPr>
          <w:rFonts w:ascii="Times New Roman" w:hAnsi="Times New Roman" w:cs="Times New Roman"/>
        </w:rPr>
        <w:t>U.S. Census (2022)</w:t>
      </w:r>
      <w:r w:rsidRPr="00BF42A8">
        <w:rPr>
          <w:rFonts w:ascii="Times New Roman" w:hAnsi="Times New Roman" w:cs="Times New Roman"/>
        </w:rPr>
        <w:t>.</w:t>
      </w:r>
      <w:r>
        <w:rPr>
          <w:rStyle w:val="FootnoteReference"/>
          <w:rFonts w:ascii="Times New Roman" w:hAnsi="Times New Roman" w:cs="Times New Roman"/>
        </w:rPr>
        <w:footnoteReference w:id="89"/>
      </w:r>
    </w:p>
    <w:p w:rsidR="00BE4E59" w:rsidRPr="00BF42A8" w:rsidP="00BE4E59" w14:paraId="15AB0427" w14:textId="77777777">
      <w:pPr>
        <w:keepNext/>
        <w:spacing w:after="0" w:line="240" w:lineRule="auto"/>
        <w:ind w:firstLine="360"/>
        <w:rPr>
          <w:rFonts w:ascii="Times New Roman" w:hAnsi="Times New Roman" w:cs="Times New Roman"/>
        </w:rPr>
      </w:pPr>
    </w:p>
    <w:p w:rsidR="00BE4E59" w:rsidRPr="00FD0406" w:rsidP="00EC2D22" w14:paraId="5CCB0F4D" w14:textId="77777777">
      <w:pPr>
        <w:pStyle w:val="Heading4"/>
        <w:rPr>
          <w:rFonts w:ascii="Times New Roman" w:hAnsi="Times New Roman" w:cs="Times New Roman"/>
          <w:color w:val="auto"/>
        </w:rPr>
      </w:pPr>
      <w:r w:rsidRPr="00FD0406">
        <w:rPr>
          <w:rFonts w:ascii="Times New Roman" w:hAnsi="Times New Roman" w:cs="Times New Roman"/>
          <w:color w:val="auto"/>
        </w:rPr>
        <w:t>3.</w:t>
      </w:r>
      <w:r w:rsidR="0033225D">
        <w:rPr>
          <w:rFonts w:ascii="Times New Roman" w:hAnsi="Times New Roman" w:cs="Times New Roman"/>
          <w:color w:val="auto"/>
        </w:rPr>
        <w:t>2.5</w:t>
      </w:r>
      <w:r w:rsidRPr="00FD0406">
        <w:rPr>
          <w:rFonts w:ascii="Times New Roman" w:hAnsi="Times New Roman" w:cs="Times New Roman"/>
          <w:color w:val="auto"/>
        </w:rPr>
        <w:t>.1 Fatalities and</w:t>
      </w:r>
      <w:r w:rsidRPr="00FD0406">
        <w:rPr>
          <w:rFonts w:ascii="Times New Roman" w:hAnsi="Times New Roman" w:cs="Times New Roman"/>
          <w:color w:val="auto"/>
          <w:spacing w:val="-1"/>
        </w:rPr>
        <w:t xml:space="preserve"> </w:t>
      </w:r>
      <w:r w:rsidRPr="00FD0406">
        <w:rPr>
          <w:rFonts w:ascii="Times New Roman" w:hAnsi="Times New Roman" w:cs="Times New Roman"/>
          <w:color w:val="auto"/>
        </w:rPr>
        <w:t>Injuries</w:t>
      </w:r>
    </w:p>
    <w:p w:rsidR="00BE4E59" w:rsidP="00BE4E59" w14:paraId="7516F395"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Fatalities were valued using the </w:t>
      </w:r>
      <w:r w:rsidRPr="00BF42A8">
        <w:rPr>
          <w:rFonts w:ascii="Times New Roman" w:hAnsi="Times New Roman" w:cs="Times New Roman"/>
          <w:i/>
        </w:rPr>
        <w:t>Guideline’s</w:t>
      </w:r>
      <w:r w:rsidRPr="00BF42A8">
        <w:rPr>
          <w:rFonts w:ascii="Times New Roman" w:hAnsi="Times New Roman" w:cs="Times New Roman"/>
        </w:rPr>
        <w:t xml:space="preserve"> </w:t>
      </w:r>
      <w:r w:rsidR="00802A26">
        <w:rPr>
          <w:rFonts w:ascii="Times New Roman" w:hAnsi="Times New Roman" w:cs="Times New Roman"/>
        </w:rPr>
        <w:t>VSL</w:t>
      </w:r>
      <w:r w:rsidRPr="00BF42A8">
        <w:rPr>
          <w:rFonts w:ascii="Times New Roman" w:hAnsi="Times New Roman" w:cs="Times New Roman"/>
        </w:rPr>
        <w:t xml:space="preserve"> of $7.</w:t>
      </w:r>
      <w:r w:rsidR="00887D3B">
        <w:rPr>
          <w:rFonts w:ascii="Times New Roman" w:hAnsi="Times New Roman" w:cs="Times New Roman"/>
        </w:rPr>
        <w:t>4</w:t>
      </w:r>
      <w:r w:rsidRPr="00BF42A8" w:rsidR="00887D3B">
        <w:rPr>
          <w:rFonts w:ascii="Times New Roman" w:hAnsi="Times New Roman" w:cs="Times New Roman"/>
        </w:rPr>
        <w:t xml:space="preserve"> </w:t>
      </w:r>
      <w:r w:rsidRPr="00BF42A8">
        <w:rPr>
          <w:rFonts w:ascii="Times New Roman" w:hAnsi="Times New Roman" w:cs="Times New Roman"/>
        </w:rPr>
        <w:t>million (</w:t>
      </w:r>
      <w:r w:rsidRPr="00BF42A8" w:rsidR="00887D3B">
        <w:rPr>
          <w:rFonts w:ascii="Times New Roman" w:hAnsi="Times New Roman" w:cs="Times New Roman"/>
        </w:rPr>
        <w:t>200</w:t>
      </w:r>
      <w:r w:rsidR="00887D3B">
        <w:rPr>
          <w:rFonts w:ascii="Times New Roman" w:hAnsi="Times New Roman" w:cs="Times New Roman"/>
        </w:rPr>
        <w:t>6</w:t>
      </w:r>
      <w:r w:rsidRPr="00BF42A8" w:rsidR="00887D3B">
        <w:rPr>
          <w:rFonts w:ascii="Times New Roman" w:hAnsi="Times New Roman" w:cs="Times New Roman"/>
        </w:rPr>
        <w:t xml:space="preserve"> </w:t>
      </w:r>
      <w:r w:rsidRPr="00BF42A8">
        <w:rPr>
          <w:rFonts w:ascii="Times New Roman" w:hAnsi="Times New Roman" w:cs="Times New Roman"/>
        </w:rPr>
        <w:t>dollars) inflated to $</w:t>
      </w:r>
      <w:r w:rsidR="00887D3B">
        <w:rPr>
          <w:rFonts w:ascii="Times New Roman" w:hAnsi="Times New Roman" w:cs="Times New Roman"/>
        </w:rPr>
        <w:t>10.4</w:t>
      </w:r>
      <w:r w:rsidRPr="00BF42A8">
        <w:rPr>
          <w:rFonts w:ascii="Times New Roman" w:hAnsi="Times New Roman" w:cs="Times New Roman"/>
        </w:rPr>
        <w:t xml:space="preserve"> million (</w:t>
      </w:r>
      <w:r w:rsidRPr="00BF42A8" w:rsidR="00887D3B">
        <w:rPr>
          <w:rFonts w:ascii="Times New Roman" w:hAnsi="Times New Roman" w:cs="Times New Roman"/>
        </w:rPr>
        <w:t>202</w:t>
      </w:r>
      <w:r w:rsidR="00887D3B">
        <w:rPr>
          <w:rFonts w:ascii="Times New Roman" w:hAnsi="Times New Roman" w:cs="Times New Roman"/>
        </w:rPr>
        <w:t>2</w:t>
      </w:r>
      <w:r w:rsidRPr="00BF42A8" w:rsidR="00887D3B">
        <w:rPr>
          <w:rFonts w:ascii="Times New Roman" w:hAnsi="Times New Roman" w:cs="Times New Roman"/>
        </w:rPr>
        <w:t xml:space="preserve"> </w:t>
      </w:r>
      <w:r w:rsidRPr="00BF42A8">
        <w:rPr>
          <w:rFonts w:ascii="Times New Roman" w:hAnsi="Times New Roman" w:cs="Times New Roman"/>
        </w:rPr>
        <w:t xml:space="preserve">dollars). In principle, valuation of injuries includes multiple components. The </w:t>
      </w:r>
      <w:r w:rsidRPr="00BF42A8">
        <w:rPr>
          <w:rFonts w:ascii="Times New Roman" w:hAnsi="Times New Roman" w:cs="Times New Roman"/>
          <w:i/>
        </w:rPr>
        <w:t xml:space="preserve">Guidelines </w:t>
      </w:r>
      <w:r w:rsidRPr="00BF42A8">
        <w:rPr>
          <w:rFonts w:ascii="Times New Roman" w:hAnsi="Times New Roman" w:cs="Times New Roman"/>
        </w:rPr>
        <w:t>explain that the willingness to pay (WTP) to reduce the risk of experiencing an illness is the preferred measure of value for morbidity effects and cites Freeman (2003). As described in Freeman (2003), WTP consists of four components:</w:t>
      </w:r>
    </w:p>
    <w:p w:rsidR="00BE4E59" w:rsidRPr="00BF42A8" w:rsidP="00BE4E59" w14:paraId="0C8B8994" w14:textId="77777777">
      <w:pPr>
        <w:spacing w:after="0" w:line="240" w:lineRule="auto"/>
        <w:ind w:firstLine="360"/>
        <w:rPr>
          <w:rFonts w:ascii="Times New Roman" w:hAnsi="Times New Roman" w:cs="Times New Roman"/>
        </w:rPr>
      </w:pPr>
    </w:p>
    <w:p w:rsidR="00BE4E59" w:rsidRPr="00BF42A8" w:rsidP="00082826" w14:paraId="60299C59" w14:textId="77777777">
      <w:pPr>
        <w:pStyle w:val="ListParagraph"/>
        <w:numPr>
          <w:ilvl w:val="0"/>
          <w:numId w:val="10"/>
        </w:numPr>
        <w:spacing w:after="0" w:line="240" w:lineRule="auto"/>
        <w:contextualSpacing w:val="0"/>
        <w:rPr>
          <w:rFonts w:ascii="Times New Roman" w:hAnsi="Times New Roman" w:cs="Times New Roman"/>
        </w:rPr>
      </w:pPr>
      <w:r w:rsidRPr="00BF42A8">
        <w:rPr>
          <w:rFonts w:ascii="Times New Roman" w:hAnsi="Times New Roman" w:cs="Times New Roman"/>
        </w:rPr>
        <w:t>“Averting costs” to reduce the risk of</w:t>
      </w:r>
      <w:r w:rsidRPr="00BF42A8">
        <w:rPr>
          <w:rFonts w:ascii="Times New Roman" w:hAnsi="Times New Roman" w:cs="Times New Roman"/>
          <w:spacing w:val="-7"/>
        </w:rPr>
        <w:t xml:space="preserve"> </w:t>
      </w:r>
      <w:r w:rsidRPr="00BF42A8">
        <w:rPr>
          <w:rFonts w:ascii="Times New Roman" w:hAnsi="Times New Roman" w:cs="Times New Roman"/>
        </w:rPr>
        <w:t>illness.</w:t>
      </w:r>
    </w:p>
    <w:p w:rsidR="00BE4E59" w:rsidRPr="00BF42A8" w:rsidP="00082826" w14:paraId="375FFB44" w14:textId="77777777">
      <w:pPr>
        <w:pStyle w:val="ListParagraph"/>
        <w:numPr>
          <w:ilvl w:val="0"/>
          <w:numId w:val="10"/>
        </w:numPr>
        <w:spacing w:after="0" w:line="240" w:lineRule="auto"/>
        <w:contextualSpacing w:val="0"/>
        <w:rPr>
          <w:rFonts w:ascii="Times New Roman" w:hAnsi="Times New Roman" w:cs="Times New Roman"/>
        </w:rPr>
      </w:pPr>
      <w:r w:rsidRPr="00BF42A8">
        <w:rPr>
          <w:rFonts w:ascii="Times New Roman" w:hAnsi="Times New Roman" w:cs="Times New Roman"/>
        </w:rPr>
        <w:t>“Mitigating costs” for treatments such as medical care and</w:t>
      </w:r>
      <w:r w:rsidRPr="00BF42A8">
        <w:rPr>
          <w:rFonts w:ascii="Times New Roman" w:hAnsi="Times New Roman" w:cs="Times New Roman"/>
          <w:spacing w:val="-10"/>
        </w:rPr>
        <w:t xml:space="preserve"> </w:t>
      </w:r>
      <w:r w:rsidRPr="00BF42A8">
        <w:rPr>
          <w:rFonts w:ascii="Times New Roman" w:hAnsi="Times New Roman" w:cs="Times New Roman"/>
        </w:rPr>
        <w:t>medication.</w:t>
      </w:r>
    </w:p>
    <w:p w:rsidR="00BE4E59" w:rsidRPr="00BF42A8" w:rsidP="00082826" w14:paraId="78373FFC" w14:textId="77777777">
      <w:pPr>
        <w:pStyle w:val="ListParagraph"/>
        <w:numPr>
          <w:ilvl w:val="0"/>
          <w:numId w:val="10"/>
        </w:numPr>
        <w:spacing w:after="0" w:line="240" w:lineRule="auto"/>
        <w:contextualSpacing w:val="0"/>
        <w:rPr>
          <w:rFonts w:ascii="Times New Roman" w:hAnsi="Times New Roman" w:cs="Times New Roman"/>
        </w:rPr>
      </w:pPr>
      <w:r w:rsidRPr="00BF42A8">
        <w:rPr>
          <w:rFonts w:ascii="Times New Roman" w:hAnsi="Times New Roman" w:cs="Times New Roman"/>
        </w:rPr>
        <w:t>Indirect costs such as lost time from paid work, maintaining a home, and pursuing leisure activities.</w:t>
      </w:r>
    </w:p>
    <w:p w:rsidR="00BE4E59" w:rsidRPr="00BF42A8" w:rsidP="00082826" w14:paraId="7A9E900B" w14:textId="77777777">
      <w:pPr>
        <w:pStyle w:val="ListParagraph"/>
        <w:numPr>
          <w:ilvl w:val="0"/>
          <w:numId w:val="10"/>
        </w:numPr>
        <w:spacing w:after="0" w:line="240" w:lineRule="auto"/>
        <w:contextualSpacing w:val="0"/>
        <w:rPr>
          <w:rFonts w:ascii="Times New Roman" w:hAnsi="Times New Roman" w:cs="Times New Roman"/>
        </w:rPr>
      </w:pPr>
      <w:r w:rsidRPr="00BF42A8">
        <w:rPr>
          <w:rFonts w:ascii="Times New Roman" w:hAnsi="Times New Roman" w:cs="Times New Roman"/>
        </w:rPr>
        <w:t>Less easily measured</w:t>
      </w:r>
      <w:r>
        <w:rPr>
          <w:rFonts w:ascii="Times New Roman" w:hAnsi="Times New Roman" w:cs="Times New Roman"/>
        </w:rPr>
        <w:t>,</w:t>
      </w:r>
      <w:r w:rsidRPr="00BF42A8">
        <w:rPr>
          <w:rFonts w:ascii="Times New Roman" w:hAnsi="Times New Roman" w:cs="Times New Roman"/>
        </w:rPr>
        <w:t xml:space="preserve"> but equally real</w:t>
      </w:r>
      <w:r>
        <w:rPr>
          <w:rFonts w:ascii="Times New Roman" w:hAnsi="Times New Roman" w:cs="Times New Roman"/>
        </w:rPr>
        <w:t>,</w:t>
      </w:r>
      <w:r w:rsidRPr="00BF42A8">
        <w:rPr>
          <w:rFonts w:ascii="Times New Roman" w:hAnsi="Times New Roman" w:cs="Times New Roman"/>
        </w:rPr>
        <w:t xml:space="preserve"> costs of discomfort, anxiety, pain, and</w:t>
      </w:r>
      <w:r w:rsidRPr="00BF42A8">
        <w:rPr>
          <w:rFonts w:ascii="Times New Roman" w:hAnsi="Times New Roman" w:cs="Times New Roman"/>
          <w:spacing w:val="-19"/>
        </w:rPr>
        <w:t xml:space="preserve"> </w:t>
      </w:r>
      <w:r w:rsidRPr="00BF42A8">
        <w:rPr>
          <w:rFonts w:ascii="Times New Roman" w:hAnsi="Times New Roman" w:cs="Times New Roman"/>
        </w:rPr>
        <w:t>suffering</w:t>
      </w:r>
      <w:r>
        <w:rPr>
          <w:rStyle w:val="FootnoteReference"/>
          <w:rFonts w:ascii="Times New Roman" w:hAnsi="Times New Roman" w:cs="Times New Roman"/>
        </w:rPr>
        <w:footnoteReference w:id="90"/>
      </w:r>
      <w:r w:rsidRPr="00BF42A8">
        <w:rPr>
          <w:rFonts w:ascii="Times New Roman" w:hAnsi="Times New Roman" w:cs="Times New Roman"/>
        </w:rPr>
        <w:t>.</w:t>
      </w:r>
    </w:p>
    <w:p w:rsidR="00BE4E59" w:rsidP="00E04FD7" w14:paraId="3008EC9C" w14:textId="77777777">
      <w:pPr>
        <w:pStyle w:val="ListParagraph"/>
        <w:spacing w:after="0" w:line="240" w:lineRule="auto"/>
        <w:contextualSpacing w:val="0"/>
        <w:rPr>
          <w:rFonts w:ascii="Times New Roman" w:hAnsi="Times New Roman" w:cs="Times New Roman"/>
        </w:rPr>
      </w:pPr>
    </w:p>
    <w:p w:rsidR="00BE4E59" w:rsidP="00BE4E59" w14:paraId="6169E4D3" w14:textId="77777777">
      <w:pPr>
        <w:pStyle w:val="ListParagraph"/>
        <w:spacing w:after="0" w:line="240" w:lineRule="auto"/>
        <w:ind w:left="0"/>
        <w:contextualSpacing w:val="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EPA had available data to estimate only the components identified in the second bullet,</w:t>
      </w:r>
      <w:r>
        <w:rPr>
          <w:rFonts w:ascii="Times New Roman" w:hAnsi="Times New Roman" w:cs="Times New Roman"/>
        </w:rPr>
        <w:t xml:space="preserve"> </w:t>
      </w:r>
      <w:r w:rsidRPr="00BF42A8">
        <w:rPr>
          <w:rFonts w:ascii="Times New Roman" w:hAnsi="Times New Roman" w:cs="Times New Roman"/>
        </w:rPr>
        <w:t>“Mitigating costs” for treatments such as medical care and</w:t>
      </w:r>
      <w:r w:rsidRPr="00BF42A8">
        <w:rPr>
          <w:rFonts w:ascii="Times New Roman" w:hAnsi="Times New Roman" w:cs="Times New Roman"/>
          <w:spacing w:val="-10"/>
        </w:rPr>
        <w:t xml:space="preserve"> </w:t>
      </w:r>
      <w:r w:rsidRPr="00BF42A8">
        <w:rPr>
          <w:rFonts w:ascii="Times New Roman" w:hAnsi="Times New Roman" w:cs="Times New Roman"/>
        </w:rPr>
        <w:t>medication. The cost categories in bullets 1, 3 and 4 are not included in EPA’s estimates</w:t>
      </w:r>
      <w:r w:rsidR="0089047B">
        <w:rPr>
          <w:rFonts w:ascii="Times New Roman" w:hAnsi="Times New Roman" w:cs="Times New Roman"/>
        </w:rPr>
        <w:t xml:space="preserve"> </w:t>
      </w:r>
      <w:r w:rsidR="00B8730A">
        <w:rPr>
          <w:rFonts w:ascii="Times New Roman" w:hAnsi="Times New Roman" w:cs="Times New Roman"/>
        </w:rPr>
        <w:t>of the value of injuries</w:t>
      </w:r>
      <w:r w:rsidR="0089047B">
        <w:rPr>
          <w:rFonts w:ascii="Times New Roman" w:hAnsi="Times New Roman" w:cs="Times New Roman"/>
        </w:rPr>
        <w:t xml:space="preserve"> and therefore, may result in an underestimate of monetized accident costs.</w:t>
      </w:r>
      <w:r w:rsidRPr="00BF42A8">
        <w:rPr>
          <w:rFonts w:ascii="Times New Roman" w:hAnsi="Times New Roman" w:cs="Times New Roman"/>
        </w:rPr>
        <w:t xml:space="preserve"> </w:t>
      </w:r>
      <w:r w:rsidR="00141356">
        <w:rPr>
          <w:rFonts w:ascii="Times New Roman" w:hAnsi="Times New Roman" w:cs="Times New Roman"/>
        </w:rPr>
        <w:t>To value</w:t>
      </w:r>
      <w:r w:rsidRPr="00BF42A8">
        <w:rPr>
          <w:rFonts w:ascii="Times New Roman" w:hAnsi="Times New Roman" w:cs="Times New Roman"/>
        </w:rPr>
        <w:t xml:space="preserve"> onsite injur</w:t>
      </w:r>
      <w:r w:rsidR="00141356">
        <w:rPr>
          <w:rFonts w:ascii="Times New Roman" w:hAnsi="Times New Roman" w:cs="Times New Roman"/>
        </w:rPr>
        <w:t>ies</w:t>
      </w:r>
      <w:r w:rsidRPr="00BF42A8">
        <w:rPr>
          <w:rFonts w:ascii="Times New Roman" w:hAnsi="Times New Roman" w:cs="Times New Roman"/>
        </w:rPr>
        <w:t xml:space="preserve"> and offsite hospitalization</w:t>
      </w:r>
      <w:r w:rsidR="00141356">
        <w:rPr>
          <w:rFonts w:ascii="Times New Roman" w:hAnsi="Times New Roman" w:cs="Times New Roman"/>
        </w:rPr>
        <w:t>s</w:t>
      </w:r>
      <w:r w:rsidRPr="00BF42A8">
        <w:rPr>
          <w:rFonts w:ascii="Times New Roman" w:hAnsi="Times New Roman" w:cs="Times New Roman"/>
        </w:rPr>
        <w:t>, the analysis reviewed the accident data to determine the percentage</w:t>
      </w:r>
      <w:r w:rsidR="0089047B">
        <w:rPr>
          <w:rFonts w:ascii="Times New Roman" w:hAnsi="Times New Roman" w:cs="Times New Roman"/>
        </w:rPr>
        <w:t>s</w:t>
      </w:r>
      <w:r w:rsidRPr="00BF42A8">
        <w:rPr>
          <w:rFonts w:ascii="Times New Roman" w:hAnsi="Times New Roman" w:cs="Times New Roman"/>
        </w:rPr>
        <w:t xml:space="preserve"> of the accidents that involved explosions and fires</w:t>
      </w:r>
      <w:r w:rsidR="0089047B">
        <w:rPr>
          <w:rFonts w:ascii="Times New Roman" w:hAnsi="Times New Roman" w:cs="Times New Roman"/>
        </w:rPr>
        <w:t>,</w:t>
      </w:r>
      <w:r w:rsidRPr="00BF42A8">
        <w:rPr>
          <w:rFonts w:ascii="Times New Roman" w:hAnsi="Times New Roman" w:cs="Times New Roman"/>
        </w:rPr>
        <w:t xml:space="preserve"> and the release of toxics. The analysis then transferred the HHS data on the current costs for hospitalizations for poisoning (other than by medicinal substances) to injuries from toxic releases; for burns to injuries </w:t>
      </w:r>
      <w:r w:rsidR="00331CFE">
        <w:rPr>
          <w:rFonts w:ascii="Times New Roman" w:hAnsi="Times New Roman" w:cs="Times New Roman"/>
        </w:rPr>
        <w:t>from</w:t>
      </w:r>
      <w:r w:rsidRPr="00BF42A8">
        <w:rPr>
          <w:rFonts w:ascii="Times New Roman" w:hAnsi="Times New Roman" w:cs="Times New Roman"/>
        </w:rPr>
        <w:t xml:space="preserve"> fire; and for open wounds, to injuries from explosions. Because the costs for open wounds and poisoning were close ($49,430 and $44,820, respectively), the analysis used the average of these two values for onsite injuries</w:t>
      </w:r>
      <w:r w:rsidR="00F3380F">
        <w:rPr>
          <w:rFonts w:ascii="Times New Roman" w:hAnsi="Times New Roman" w:cs="Times New Roman"/>
        </w:rPr>
        <w:t xml:space="preserve"> from toxic releases and explosions</w:t>
      </w:r>
      <w:r w:rsidRPr="00BF42A8">
        <w:rPr>
          <w:rFonts w:ascii="Times New Roman" w:hAnsi="Times New Roman" w:cs="Times New Roman"/>
        </w:rPr>
        <w:t>; the cost for burns was $96,000. The analysis then created a weighted value of an onsite injury based on the percentage of burn-related injury versus other impacts (fires were involved in 8 percent of the injury incidents; open wounds were assumed to be the remainder of injury costs). This weighted value was approximately $50,000.</w:t>
      </w:r>
    </w:p>
    <w:p w:rsidR="00BE4E59" w:rsidP="00BE4E59" w14:paraId="367C6FC9" w14:textId="77777777">
      <w:pPr>
        <w:pStyle w:val="ListParagraph"/>
        <w:spacing w:after="0" w:line="240" w:lineRule="auto"/>
        <w:ind w:left="0" w:firstLine="360"/>
        <w:contextualSpacing w:val="0"/>
        <w:rPr>
          <w:rFonts w:ascii="Times New Roman" w:hAnsi="Times New Roman" w:cs="Times New Roman"/>
        </w:rPr>
      </w:pPr>
    </w:p>
    <w:p w:rsidR="00BE4E59" w:rsidP="00BE4E59" w14:paraId="5ED93288" w14:textId="77777777">
      <w:pPr>
        <w:pStyle w:val="ListParagraph"/>
        <w:spacing w:after="0" w:line="240" w:lineRule="auto"/>
        <w:ind w:left="0" w:firstLine="360"/>
        <w:contextualSpacing w:val="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The analysis used the cost of hospitalization for poisoning (rounded to $</w:t>
      </w:r>
      <w:r w:rsidR="007931FE">
        <w:rPr>
          <w:rFonts w:ascii="Times New Roman" w:hAnsi="Times New Roman" w:cs="Times New Roman"/>
        </w:rPr>
        <w:t>45</w:t>
      </w:r>
      <w:r w:rsidRPr="00BF42A8">
        <w:rPr>
          <w:rFonts w:ascii="Times New Roman" w:hAnsi="Times New Roman" w:cs="Times New Roman"/>
        </w:rPr>
        <w:t xml:space="preserve">,000) for hospitalizations associated with offsite injuries because in the five-year baseline, these injuries were usually related to exposure to toxic chemicals. For medical treatment other than hospitalization (offsite), the analysis used an estimate of $1,000, which is above the $750 per person paid to the 14,000 people who sought medical treatment from the Richmond refinery fire, and below the average emergency room </w:t>
      </w:r>
      <w:r w:rsidR="000A5A0F">
        <w:rPr>
          <w:rFonts w:ascii="Times New Roman" w:hAnsi="Times New Roman" w:cs="Times New Roman"/>
        </w:rPr>
        <w:t>charge</w:t>
      </w:r>
      <w:r w:rsidRPr="00BF42A8">
        <w:rPr>
          <w:rFonts w:ascii="Times New Roman" w:hAnsi="Times New Roman" w:cs="Times New Roman"/>
        </w:rPr>
        <w:t>.</w:t>
      </w:r>
      <w:r>
        <w:rPr>
          <w:rStyle w:val="FootnoteReference"/>
          <w:rFonts w:ascii="Times New Roman" w:hAnsi="Times New Roman" w:cs="Times New Roman"/>
        </w:rPr>
        <w:footnoteReference w:id="91"/>
      </w:r>
      <w:r w:rsidRPr="00BF42A8">
        <w:rPr>
          <w:rFonts w:ascii="Times New Roman" w:hAnsi="Times New Roman" w:cs="Times New Roman"/>
        </w:rPr>
        <w:t xml:space="preserve"> Offsite treatments </w:t>
      </w:r>
      <w:r w:rsidR="00421ED0">
        <w:rPr>
          <w:rFonts w:ascii="Times New Roman" w:hAnsi="Times New Roman" w:cs="Times New Roman"/>
        </w:rPr>
        <w:t xml:space="preserve">that do not involve hospitalization </w:t>
      </w:r>
      <w:r w:rsidRPr="00BF42A8">
        <w:rPr>
          <w:rFonts w:ascii="Times New Roman" w:hAnsi="Times New Roman" w:cs="Times New Roman"/>
        </w:rPr>
        <w:t>for exposure to fumes usually involve relatively low-cost treatments (e.g., oxygen, eye washes, skin washes).</w:t>
      </w:r>
    </w:p>
    <w:p w:rsidR="00BE4E59" w:rsidP="00BE4E59" w14:paraId="4D74744E" w14:textId="77777777">
      <w:pPr>
        <w:pStyle w:val="ListParagraph"/>
        <w:spacing w:after="0" w:line="240" w:lineRule="auto"/>
        <w:ind w:left="0" w:firstLine="360"/>
        <w:contextualSpacing w:val="0"/>
        <w:rPr>
          <w:rFonts w:ascii="Times New Roman" w:hAnsi="Times New Roman" w:cs="Times New Roman"/>
        </w:rPr>
      </w:pPr>
    </w:p>
    <w:p w:rsidR="00BE4E59" w:rsidP="00BE4E59" w14:paraId="079EB991" w14:textId="77777777">
      <w:pPr>
        <w:pStyle w:val="ListParagraph"/>
        <w:spacing w:after="0" w:line="240" w:lineRule="auto"/>
        <w:ind w:left="0" w:firstLine="360"/>
        <w:contextualSpacing w:val="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The $50,000 total cost estimate for onsite injuries </w:t>
      </w:r>
      <w:r>
        <w:rPr>
          <w:rFonts w:ascii="Times New Roman" w:hAnsi="Times New Roman" w:cs="Times New Roman"/>
        </w:rPr>
        <w:t xml:space="preserve">has </w:t>
      </w:r>
      <w:r w:rsidRPr="00BF42A8">
        <w:rPr>
          <w:rFonts w:ascii="Times New Roman" w:hAnsi="Times New Roman" w:cs="Times New Roman"/>
        </w:rPr>
        <w:t>several limitations. As mentioned above for all injuries, hospital costs are only one of four categories of social costs incurred</w:t>
      </w:r>
      <w:r>
        <w:rPr>
          <w:rFonts w:ascii="Times New Roman" w:hAnsi="Times New Roman" w:cs="Times New Roman"/>
        </w:rPr>
        <w:t>.</w:t>
      </w:r>
      <w:r w:rsidRPr="00BF42A8">
        <w:rPr>
          <w:rFonts w:ascii="Times New Roman" w:hAnsi="Times New Roman" w:cs="Times New Roman"/>
        </w:rPr>
        <w:t xml:space="preserve"> </w:t>
      </w:r>
      <w:r w:rsidR="00FE3641">
        <w:rPr>
          <w:rFonts w:ascii="Times New Roman" w:hAnsi="Times New Roman" w:cs="Times New Roman"/>
        </w:rPr>
        <w:t>Due to a lack of data, c</w:t>
      </w:r>
      <w:r w:rsidRPr="00BF42A8">
        <w:rPr>
          <w:rFonts w:ascii="Times New Roman" w:hAnsi="Times New Roman" w:cs="Times New Roman"/>
        </w:rPr>
        <w:t xml:space="preserve">osts could not be estimated for the other categories which could be substantial </w:t>
      </w:r>
      <w:r w:rsidR="00EF631A">
        <w:rPr>
          <w:rFonts w:ascii="Times New Roman" w:hAnsi="Times New Roman" w:cs="Times New Roman"/>
        </w:rPr>
        <w:t xml:space="preserve">including the value of lost time from work and </w:t>
      </w:r>
      <w:r w:rsidR="001341C1">
        <w:rPr>
          <w:rFonts w:ascii="Times New Roman" w:hAnsi="Times New Roman" w:cs="Times New Roman"/>
        </w:rPr>
        <w:t xml:space="preserve">the value of discomfort, anxiety, pain and suffering. </w:t>
      </w:r>
      <w:r w:rsidRPr="00BF42A8">
        <w:rPr>
          <w:rFonts w:ascii="Times New Roman" w:hAnsi="Times New Roman" w:cs="Times New Roman"/>
        </w:rPr>
        <w:t>However, as an estimate of hospital costs, it is an over-estimate for an unknown percentage of the injuries onsite that did not require hospitalization and may not involve any medical costs</w:t>
      </w:r>
      <w:r w:rsidRPr="00BF42A8">
        <w:rPr>
          <w:rFonts w:ascii="Times New Roman" w:hAnsi="Times New Roman" w:cs="Times New Roman"/>
          <w:vertAlign w:val="superscript"/>
        </w:rPr>
        <w:t xml:space="preserve"> </w:t>
      </w:r>
      <w:r w:rsidRPr="00BF42A8">
        <w:rPr>
          <w:rFonts w:ascii="Times New Roman" w:hAnsi="Times New Roman" w:cs="Times New Roman"/>
        </w:rPr>
        <w:t xml:space="preserve">or for injuries and toxic exposures that led to hospitalization and were minor enough that the person was released within a day (the HHS cost estimates are based on a 3-day stay for poisonings and injuries and an 8-day stay for burns). In the opposite direction, however, the $50,000 cost estimate is an underestimate for those workers who were severely injured and for whom the medical costs </w:t>
      </w:r>
      <w:r w:rsidR="009449B7">
        <w:rPr>
          <w:rFonts w:ascii="Times New Roman" w:hAnsi="Times New Roman" w:cs="Times New Roman"/>
        </w:rPr>
        <w:t>will</w:t>
      </w:r>
      <w:r w:rsidRPr="00BF42A8">
        <w:rPr>
          <w:rFonts w:ascii="Times New Roman" w:hAnsi="Times New Roman" w:cs="Times New Roman"/>
        </w:rPr>
        <w:t xml:space="preserve"> certainly have involved </w:t>
      </w:r>
      <w:r w:rsidR="00EF631A">
        <w:rPr>
          <w:rFonts w:ascii="Times New Roman" w:hAnsi="Times New Roman" w:cs="Times New Roman"/>
        </w:rPr>
        <w:t xml:space="preserve">lengthy hospital stays or </w:t>
      </w:r>
      <w:r w:rsidRPr="00BF42A8">
        <w:rPr>
          <w:rFonts w:ascii="Times New Roman" w:hAnsi="Times New Roman" w:cs="Times New Roman"/>
        </w:rPr>
        <w:t>more than hospitalization, e.g., costs associated with further medical treatment as well as physical and occupational</w:t>
      </w:r>
      <w:r w:rsidRPr="00BF42A8">
        <w:rPr>
          <w:rFonts w:ascii="Times New Roman" w:hAnsi="Times New Roman" w:cs="Times New Roman"/>
          <w:spacing w:val="-2"/>
        </w:rPr>
        <w:t xml:space="preserve"> </w:t>
      </w:r>
      <w:r w:rsidRPr="00BF42A8">
        <w:rPr>
          <w:rFonts w:ascii="Times New Roman" w:hAnsi="Times New Roman" w:cs="Times New Roman"/>
        </w:rPr>
        <w:t>therapy</w:t>
      </w:r>
      <w:r w:rsidR="003C297C">
        <w:rPr>
          <w:rFonts w:ascii="Times New Roman" w:hAnsi="Times New Roman" w:cs="Times New Roman"/>
        </w:rPr>
        <w:t xml:space="preserve"> or </w:t>
      </w:r>
      <w:r w:rsidR="00F910D3">
        <w:rPr>
          <w:rFonts w:ascii="Times New Roman" w:hAnsi="Times New Roman" w:cs="Times New Roman"/>
        </w:rPr>
        <w:t>nursing home care</w:t>
      </w:r>
      <w:r w:rsidRPr="00BF42A8">
        <w:rPr>
          <w:rFonts w:ascii="Times New Roman" w:hAnsi="Times New Roman" w:cs="Times New Roman"/>
        </w:rPr>
        <w:t>.</w:t>
      </w:r>
    </w:p>
    <w:p w:rsidR="0054289B" w:rsidP="00BE4E59" w14:paraId="6F41B25C" w14:textId="77777777">
      <w:pPr>
        <w:pStyle w:val="ListParagraph"/>
        <w:spacing w:after="0" w:line="240" w:lineRule="auto"/>
        <w:ind w:left="0" w:firstLine="360"/>
        <w:contextualSpacing w:val="0"/>
        <w:rPr>
          <w:rFonts w:ascii="Times New Roman" w:hAnsi="Times New Roman" w:cs="Times New Roman"/>
        </w:rPr>
      </w:pPr>
    </w:p>
    <w:p w:rsidR="0054289B" w:rsidP="00BE4E59" w14:paraId="46646696" w14:textId="77777777">
      <w:pPr>
        <w:pStyle w:val="ListParagraph"/>
        <w:spacing w:after="0" w:line="240" w:lineRule="auto"/>
        <w:ind w:left="0" w:firstLine="360"/>
        <w:contextualSpacing w:val="0"/>
        <w:rPr>
          <w:rFonts w:ascii="Times New Roman" w:hAnsi="Times New Roman" w:cs="Times New Roman"/>
        </w:rPr>
      </w:pPr>
    </w:p>
    <w:p w:rsidR="0054289B" w:rsidP="00BE4E59" w14:paraId="14C06961" w14:textId="77777777">
      <w:pPr>
        <w:pStyle w:val="ListParagraph"/>
        <w:spacing w:after="0" w:line="240" w:lineRule="auto"/>
        <w:ind w:left="0" w:firstLine="360"/>
        <w:contextualSpacing w:val="0"/>
        <w:rPr>
          <w:rFonts w:ascii="Times New Roman" w:hAnsi="Times New Roman" w:cs="Times New Roman"/>
        </w:rPr>
      </w:pPr>
    </w:p>
    <w:p w:rsidR="0054289B" w:rsidP="00BE4E59" w14:paraId="34975C65" w14:textId="77777777">
      <w:pPr>
        <w:pStyle w:val="ListParagraph"/>
        <w:spacing w:after="0" w:line="240" w:lineRule="auto"/>
        <w:ind w:left="0" w:firstLine="360"/>
        <w:contextualSpacing w:val="0"/>
        <w:rPr>
          <w:rFonts w:ascii="Times New Roman" w:hAnsi="Times New Roman" w:cs="Times New Roman"/>
        </w:rPr>
      </w:pPr>
    </w:p>
    <w:p w:rsidR="0054289B" w:rsidP="00BE4E59" w14:paraId="2DC06456" w14:textId="77777777">
      <w:pPr>
        <w:pStyle w:val="ListParagraph"/>
        <w:spacing w:after="0" w:line="240" w:lineRule="auto"/>
        <w:ind w:left="0" w:firstLine="360"/>
        <w:contextualSpacing w:val="0"/>
        <w:rPr>
          <w:rFonts w:ascii="Times New Roman" w:hAnsi="Times New Roman" w:cs="Times New Roman"/>
        </w:rPr>
      </w:pPr>
    </w:p>
    <w:p w:rsidR="0054289B" w:rsidP="00BE4E59" w14:paraId="48D60252" w14:textId="77777777">
      <w:pPr>
        <w:pStyle w:val="ListParagraph"/>
        <w:spacing w:after="0" w:line="240" w:lineRule="auto"/>
        <w:ind w:left="0" w:firstLine="360"/>
        <w:contextualSpacing w:val="0"/>
        <w:rPr>
          <w:rFonts w:ascii="Times New Roman" w:hAnsi="Times New Roman" w:cs="Times New Roman"/>
        </w:rPr>
      </w:pPr>
    </w:p>
    <w:p w:rsidR="0054289B" w:rsidP="00BE4E59" w14:paraId="5523DDC7" w14:textId="77777777">
      <w:pPr>
        <w:pStyle w:val="ListParagraph"/>
        <w:spacing w:after="0" w:line="240" w:lineRule="auto"/>
        <w:ind w:left="0" w:firstLine="360"/>
        <w:contextualSpacing w:val="0"/>
        <w:rPr>
          <w:rFonts w:ascii="Times New Roman" w:hAnsi="Times New Roman" w:cs="Times New Roman"/>
        </w:rPr>
      </w:pPr>
    </w:p>
    <w:p w:rsidR="0054289B" w:rsidP="00BE4E59" w14:paraId="5BFFFAE6" w14:textId="77777777">
      <w:pPr>
        <w:pStyle w:val="ListParagraph"/>
        <w:spacing w:after="0" w:line="240" w:lineRule="auto"/>
        <w:ind w:left="0" w:firstLine="360"/>
        <w:contextualSpacing w:val="0"/>
        <w:rPr>
          <w:rFonts w:ascii="Times New Roman" w:hAnsi="Times New Roman" w:cs="Times New Roman"/>
        </w:rPr>
      </w:pPr>
    </w:p>
    <w:p w:rsidR="0054289B" w:rsidP="00BE4E59" w14:paraId="06494112" w14:textId="77777777">
      <w:pPr>
        <w:pStyle w:val="ListParagraph"/>
        <w:spacing w:after="0" w:line="240" w:lineRule="auto"/>
        <w:ind w:left="0" w:firstLine="360"/>
        <w:contextualSpacing w:val="0"/>
        <w:rPr>
          <w:rFonts w:ascii="Times New Roman" w:hAnsi="Times New Roman" w:cs="Times New Roman"/>
        </w:rPr>
      </w:pPr>
    </w:p>
    <w:p w:rsidR="0054289B" w:rsidP="00BE4E59" w14:paraId="4351F826" w14:textId="77777777">
      <w:pPr>
        <w:pStyle w:val="ListParagraph"/>
        <w:spacing w:after="0" w:line="240" w:lineRule="auto"/>
        <w:ind w:left="0" w:firstLine="360"/>
        <w:contextualSpacing w:val="0"/>
        <w:rPr>
          <w:rFonts w:ascii="Times New Roman" w:hAnsi="Times New Roman" w:cs="Times New Roman"/>
        </w:rPr>
      </w:pPr>
    </w:p>
    <w:p w:rsidR="0054289B" w:rsidP="00BE4E59" w14:paraId="3AA9B4E1" w14:textId="77777777">
      <w:pPr>
        <w:pStyle w:val="ListParagraph"/>
        <w:spacing w:after="0" w:line="240" w:lineRule="auto"/>
        <w:ind w:left="0" w:firstLine="360"/>
        <w:contextualSpacing w:val="0"/>
        <w:rPr>
          <w:rFonts w:ascii="Times New Roman" w:hAnsi="Times New Roman" w:cs="Times New Roman"/>
        </w:rPr>
      </w:pPr>
    </w:p>
    <w:p w:rsidR="0054289B" w:rsidP="00BE4E59" w14:paraId="1B8CE4DF" w14:textId="77777777">
      <w:pPr>
        <w:pStyle w:val="ListParagraph"/>
        <w:spacing w:after="0" w:line="240" w:lineRule="auto"/>
        <w:ind w:left="0" w:firstLine="360"/>
        <w:contextualSpacing w:val="0"/>
        <w:rPr>
          <w:rFonts w:ascii="Times New Roman" w:hAnsi="Times New Roman" w:cs="Times New Roman"/>
        </w:rPr>
      </w:pPr>
    </w:p>
    <w:p w:rsidR="0054289B" w:rsidP="00BE4E59" w14:paraId="0734FD48" w14:textId="77777777">
      <w:pPr>
        <w:pStyle w:val="ListParagraph"/>
        <w:spacing w:after="0" w:line="240" w:lineRule="auto"/>
        <w:ind w:left="0" w:firstLine="360"/>
        <w:contextualSpacing w:val="0"/>
        <w:rPr>
          <w:rFonts w:ascii="Times New Roman" w:hAnsi="Times New Roman" w:cs="Times New Roman"/>
        </w:rPr>
      </w:pPr>
    </w:p>
    <w:p w:rsidR="0054289B" w:rsidP="00BE4E59" w14:paraId="16E56476" w14:textId="77777777">
      <w:pPr>
        <w:pStyle w:val="ListParagraph"/>
        <w:spacing w:after="0" w:line="240" w:lineRule="auto"/>
        <w:ind w:left="0" w:firstLine="360"/>
        <w:contextualSpacing w:val="0"/>
        <w:rPr>
          <w:rFonts w:ascii="Times New Roman" w:hAnsi="Times New Roman" w:cs="Times New Roman"/>
        </w:rPr>
      </w:pPr>
    </w:p>
    <w:p w:rsidR="00BE4E59" w:rsidRPr="00BF42A8" w:rsidP="00BE4E59" w14:paraId="794BCA45" w14:textId="77777777">
      <w:pPr>
        <w:pStyle w:val="ListParagraph"/>
        <w:spacing w:after="0" w:line="240" w:lineRule="auto"/>
        <w:ind w:left="0" w:firstLine="360"/>
        <w:contextualSpacing w:val="0"/>
        <w:rPr>
          <w:rFonts w:ascii="Times New Roman" w:hAnsi="Times New Roman" w:cs="Times New Roman"/>
        </w:rPr>
      </w:pPr>
    </w:p>
    <w:p w:rsidR="006F403D" w:rsidRPr="006F403D" w:rsidP="006F403D" w14:paraId="6B9BBD3D" w14:textId="77777777">
      <w:pPr>
        <w:spacing w:after="0" w:line="240" w:lineRule="auto"/>
        <w:rPr>
          <w:rFonts w:ascii="Times New Roman" w:hAnsi="Times New Roman" w:cs="Times New Roman"/>
          <w:i/>
          <w:iCs/>
        </w:rPr>
      </w:pPr>
      <w:bookmarkStart w:id="139" w:name="_Hlk145935742"/>
      <w:r w:rsidRPr="006F403D">
        <w:rPr>
          <w:rFonts w:ascii="Times New Roman" w:hAnsi="Times New Roman" w:cs="Times New Roman"/>
          <w:i/>
          <w:iCs/>
        </w:rPr>
        <w:t>3.2.5.2 Evacuations and Shelter-in-Place Events</w:t>
      </w:r>
    </w:p>
    <w:p w:rsidR="006F403D" w:rsidRPr="006F403D" w:rsidP="006F403D" w14:paraId="50B7B6E2" w14:textId="77777777">
      <w:pPr>
        <w:spacing w:after="0" w:line="240" w:lineRule="auto"/>
        <w:rPr>
          <w:rFonts w:ascii="Times New Roman" w:hAnsi="Times New Roman" w:cs="Times New Roman"/>
        </w:rPr>
      </w:pPr>
      <w:r w:rsidRPr="006F403D">
        <w:rPr>
          <w:rFonts w:ascii="Times New Roman" w:hAnsi="Times New Roman" w:cs="Times New Roman"/>
        </w:rPr>
        <w:tab/>
        <w:t xml:space="preserve">The five-year baseline data do not provide any basis for estimating the time involved in the average evacuation or sheltering-in-place.  EPA assumes sheltering-in-place is less disruptive than an evacuation. To </w:t>
      </w:r>
      <w:bookmarkStart w:id="140" w:name="_Hlk145935741"/>
      <w:r w:rsidRPr="006F403D">
        <w:rPr>
          <w:rFonts w:ascii="Times New Roman" w:hAnsi="Times New Roman" w:cs="Times New Roman"/>
        </w:rPr>
        <w:t>estimate costs for evacuations and sheltering in place, the analysis assumed the value of time of $36.66 per hour,</w:t>
      </w:r>
      <w:r>
        <w:rPr>
          <w:rFonts w:ascii="Times New Roman" w:hAnsi="Times New Roman" w:cs="Times New Roman"/>
          <w:vertAlign w:val="superscript"/>
        </w:rPr>
        <w:footnoteReference w:id="92"/>
      </w:r>
      <w:r w:rsidRPr="006F403D">
        <w:rPr>
          <w:rFonts w:ascii="Times New Roman" w:hAnsi="Times New Roman" w:cs="Times New Roman"/>
        </w:rPr>
        <w:t xml:space="preserve"> that sheltering required 4 hours</w:t>
      </w:r>
      <w:r>
        <w:rPr>
          <w:rFonts w:ascii="Times New Roman" w:hAnsi="Times New Roman" w:cs="Times New Roman"/>
          <w:vertAlign w:val="superscript"/>
        </w:rPr>
        <w:footnoteReference w:id="93"/>
      </w:r>
      <w:r w:rsidRPr="006F403D">
        <w:rPr>
          <w:rFonts w:ascii="Times New Roman" w:hAnsi="Times New Roman" w:cs="Times New Roman"/>
        </w:rPr>
        <w:t>, and that evacuations required 8 hours.</w:t>
      </w:r>
      <w:r>
        <w:rPr>
          <w:rFonts w:ascii="Times New Roman" w:hAnsi="Times New Roman" w:cs="Times New Roman"/>
          <w:vertAlign w:val="superscript"/>
        </w:rPr>
        <w:footnoteReference w:id="94"/>
      </w:r>
    </w:p>
    <w:bookmarkEnd w:id="139"/>
    <w:bookmarkEnd w:id="140"/>
    <w:p w:rsidR="006F403D" w:rsidP="006F403D" w14:paraId="32EFE155" w14:textId="77777777">
      <w:pPr>
        <w:spacing w:after="0" w:line="240" w:lineRule="auto"/>
        <w:rPr>
          <w:rFonts w:ascii="Times New Roman" w:hAnsi="Times New Roman" w:cs="Times New Roman"/>
        </w:rPr>
      </w:pPr>
    </w:p>
    <w:p w:rsidR="00BE4E59" w:rsidRPr="00FD0406" w:rsidP="00EC2D22" w14:paraId="37A43C91" w14:textId="77777777">
      <w:pPr>
        <w:pStyle w:val="Heading4"/>
        <w:rPr>
          <w:rFonts w:ascii="Times New Roman" w:hAnsi="Times New Roman" w:eastAsiaTheme="minorHAnsi" w:cs="Times New Roman"/>
          <w:color w:val="auto"/>
        </w:rPr>
      </w:pPr>
      <w:r>
        <w:rPr>
          <w:rFonts w:ascii="Times New Roman" w:hAnsi="Times New Roman" w:cs="Times New Roman"/>
          <w:color w:val="auto"/>
        </w:rPr>
        <w:t>3.</w:t>
      </w:r>
      <w:r w:rsidR="00713C99">
        <w:rPr>
          <w:rFonts w:ascii="Times New Roman" w:hAnsi="Times New Roman" w:cs="Times New Roman"/>
          <w:color w:val="auto"/>
        </w:rPr>
        <w:t>2.5.3</w:t>
      </w:r>
      <w:r w:rsidRPr="00FD0406">
        <w:rPr>
          <w:rFonts w:ascii="Times New Roman" w:hAnsi="Times New Roman" w:cs="Times New Roman"/>
          <w:color w:val="auto"/>
        </w:rPr>
        <w:t xml:space="preserve"> Summary of Monetized Accident</w:t>
      </w:r>
      <w:r w:rsidRPr="00FD0406">
        <w:rPr>
          <w:rFonts w:ascii="Times New Roman" w:hAnsi="Times New Roman" w:cs="Times New Roman"/>
          <w:color w:val="auto"/>
          <w:spacing w:val="-5"/>
        </w:rPr>
        <w:t xml:space="preserve"> </w:t>
      </w:r>
      <w:r w:rsidRPr="00FD0406">
        <w:rPr>
          <w:rFonts w:ascii="Times New Roman" w:hAnsi="Times New Roman" w:cs="Times New Roman"/>
          <w:color w:val="auto"/>
        </w:rPr>
        <w:t>Impacts</w:t>
      </w:r>
      <w:r w:rsidRPr="00FD0406">
        <w:rPr>
          <w:rFonts w:ascii="Times New Roman" w:hAnsi="Times New Roman" w:eastAsiaTheme="minorHAnsi" w:cs="Times New Roman"/>
          <w:color w:val="auto"/>
        </w:rPr>
        <w:tab/>
      </w:r>
    </w:p>
    <w:p w:rsidR="00BE4E59" w:rsidP="00BE4E59" w14:paraId="32B4537A"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The dominant monetized element of RMP facility </w:t>
      </w:r>
      <w:r w:rsidR="00740BD3">
        <w:rPr>
          <w:rFonts w:ascii="Times New Roman" w:hAnsi="Times New Roman" w:cs="Times New Roman"/>
        </w:rPr>
        <w:t>RMP-</w:t>
      </w:r>
      <w:r w:rsidRPr="00BF42A8">
        <w:rPr>
          <w:rFonts w:ascii="Times New Roman" w:hAnsi="Times New Roman" w:cs="Times New Roman"/>
        </w:rPr>
        <w:t xml:space="preserve">reportable accidents </w:t>
      </w:r>
      <w:r w:rsidR="009A61B6">
        <w:rPr>
          <w:rFonts w:ascii="Times New Roman" w:hAnsi="Times New Roman" w:cs="Times New Roman"/>
        </w:rPr>
        <w:t>for the most recent 5 year</w:t>
      </w:r>
      <w:r w:rsidR="004B27BD">
        <w:rPr>
          <w:rFonts w:ascii="Times New Roman" w:hAnsi="Times New Roman" w:cs="Times New Roman"/>
        </w:rPr>
        <w:t>s of</w:t>
      </w:r>
      <w:r w:rsidR="009A61B6">
        <w:rPr>
          <w:rFonts w:ascii="Times New Roman" w:hAnsi="Times New Roman" w:cs="Times New Roman"/>
        </w:rPr>
        <w:t xml:space="preserve"> data</w:t>
      </w:r>
      <w:r w:rsidRPr="00BF42A8">
        <w:rPr>
          <w:rFonts w:ascii="Times New Roman" w:hAnsi="Times New Roman" w:cs="Times New Roman"/>
        </w:rPr>
        <w:t xml:space="preserve"> is onsite property damage, followed by offsite property damage. The total monetized five-year cost of the accidents is a</w:t>
      </w:r>
      <w:r w:rsidR="00C34767">
        <w:rPr>
          <w:rFonts w:ascii="Times New Roman" w:hAnsi="Times New Roman" w:cs="Times New Roman"/>
        </w:rPr>
        <w:t xml:space="preserve">round </w:t>
      </w:r>
      <w:r w:rsidRPr="00BF42A8">
        <w:rPr>
          <w:rFonts w:ascii="Times New Roman" w:hAnsi="Times New Roman" w:cs="Times New Roman"/>
        </w:rPr>
        <w:t>$2.</w:t>
      </w:r>
      <w:r w:rsidR="00D15931">
        <w:rPr>
          <w:rFonts w:ascii="Times New Roman" w:hAnsi="Times New Roman" w:cs="Times New Roman"/>
        </w:rPr>
        <w:t>7</w:t>
      </w:r>
      <w:r w:rsidRPr="00BF42A8" w:rsidR="00D67CD4">
        <w:rPr>
          <w:rFonts w:ascii="Times New Roman" w:hAnsi="Times New Roman" w:cs="Times New Roman"/>
        </w:rPr>
        <w:t xml:space="preserve"> </w:t>
      </w:r>
      <w:r w:rsidRPr="00BF42A8">
        <w:rPr>
          <w:rFonts w:ascii="Times New Roman" w:hAnsi="Times New Roman" w:cs="Times New Roman"/>
        </w:rPr>
        <w:t>billion. Of that amount, $2.</w:t>
      </w:r>
      <w:r w:rsidR="005F64FA">
        <w:rPr>
          <w:rFonts w:ascii="Times New Roman" w:hAnsi="Times New Roman" w:cs="Times New Roman"/>
        </w:rPr>
        <w:t>5</w:t>
      </w:r>
      <w:r w:rsidRPr="00BF42A8" w:rsidR="005F64FA">
        <w:rPr>
          <w:rFonts w:ascii="Times New Roman" w:hAnsi="Times New Roman" w:cs="Times New Roman"/>
        </w:rPr>
        <w:t xml:space="preserve"> </w:t>
      </w:r>
      <w:r w:rsidRPr="00BF42A8">
        <w:rPr>
          <w:rFonts w:ascii="Times New Roman" w:hAnsi="Times New Roman" w:cs="Times New Roman"/>
        </w:rPr>
        <w:t xml:space="preserve">billion was caused by onsite impacts largely attributed to property damage and fatalities. The offsite property damage derived largely from </w:t>
      </w:r>
      <w:r w:rsidR="007B0944">
        <w:rPr>
          <w:rFonts w:ascii="Times New Roman" w:hAnsi="Times New Roman" w:cs="Times New Roman"/>
        </w:rPr>
        <w:t>the damage case described above that occu</w:t>
      </w:r>
      <w:r w:rsidR="00C75AAD">
        <w:rPr>
          <w:rFonts w:ascii="Times New Roman" w:hAnsi="Times New Roman" w:cs="Times New Roman"/>
        </w:rPr>
        <w:t>r</w:t>
      </w:r>
      <w:r w:rsidR="007B0944">
        <w:rPr>
          <w:rFonts w:ascii="Times New Roman" w:hAnsi="Times New Roman" w:cs="Times New Roman"/>
        </w:rPr>
        <w:t>red</w:t>
      </w:r>
      <w:r w:rsidRPr="00BF42A8">
        <w:rPr>
          <w:rFonts w:ascii="Times New Roman" w:hAnsi="Times New Roman" w:cs="Times New Roman"/>
        </w:rPr>
        <w:t xml:space="preserve"> in Port Neches, TX in 2019 causing $153 million of offsite property damage. </w:t>
      </w:r>
    </w:p>
    <w:p w:rsidR="00BE4E59" w:rsidP="00BE4E59" w14:paraId="4AF35021" w14:textId="77777777">
      <w:pPr>
        <w:keepNext/>
        <w:spacing w:after="0" w:line="240" w:lineRule="auto"/>
        <w:jc w:val="center"/>
        <w:rPr>
          <w:rFonts w:ascii="Times New Roman" w:hAnsi="Times New Roman" w:cs="Times New Roman"/>
          <w:b/>
        </w:rPr>
      </w:pPr>
    </w:p>
    <w:p w:rsidR="00BE4E59" w:rsidP="00BE4E59" w14:paraId="7355CF89" w14:textId="77777777">
      <w:pPr>
        <w:keepNext/>
        <w:spacing w:after="0" w:line="240" w:lineRule="auto"/>
        <w:jc w:val="center"/>
        <w:rPr>
          <w:rFonts w:ascii="Times New Roman" w:hAnsi="Times New Roman" w:cs="Times New Roman"/>
          <w:b/>
        </w:rPr>
      </w:pPr>
      <w:bookmarkStart w:id="142" w:name="_Hlk152141706"/>
      <w:r w:rsidRPr="001C0658">
        <w:rPr>
          <w:rFonts w:ascii="Times New Roman" w:hAnsi="Times New Roman" w:cs="Times New Roman"/>
          <w:b/>
          <w:bCs/>
        </w:rPr>
        <w:t xml:space="preserve">Exhibit </w:t>
      </w:r>
      <w:r>
        <w:rPr>
          <w:rFonts w:ascii="Times New Roman" w:hAnsi="Times New Roman" w:cs="Times New Roman"/>
          <w:b/>
        </w:rPr>
        <w:t>3-1</w:t>
      </w:r>
      <w:r w:rsidR="00D3523B">
        <w:rPr>
          <w:rFonts w:ascii="Times New Roman" w:hAnsi="Times New Roman" w:cs="Times New Roman"/>
          <w:b/>
        </w:rPr>
        <w:t>4</w:t>
      </w:r>
      <w:r w:rsidRPr="00BF42A8">
        <w:rPr>
          <w:rFonts w:ascii="Times New Roman" w:hAnsi="Times New Roman" w:cs="Times New Roman"/>
          <w:b/>
        </w:rPr>
        <w:t>: Average Impacts per Year and Accident: 2016-2020</w:t>
      </w:r>
      <w:r>
        <w:rPr>
          <w:rFonts w:ascii="Times New Roman" w:hAnsi="Times New Roman" w:cs="Times New Roman"/>
          <w:b/>
        </w:rPr>
        <w:t>.</w:t>
      </w:r>
    </w:p>
    <w:p w:rsidR="00BE4E59" w:rsidRPr="00BF42A8" w:rsidP="00BE4E59" w14:paraId="3E07BAE6" w14:textId="77777777">
      <w:pPr>
        <w:keepNext/>
        <w:spacing w:after="0" w:line="240" w:lineRule="auto"/>
        <w:jc w:val="center"/>
        <w:rPr>
          <w:rFonts w:ascii="Times New Roman" w:hAnsi="Times New Roman" w:cs="Times New Roman"/>
          <w:b/>
        </w:rPr>
      </w:pPr>
    </w:p>
    <w:tbl>
      <w:tblPr>
        <w:tblW w:w="3991" w:type="pct"/>
        <w:jc w:val="center"/>
        <w:tblLook w:val="04A0"/>
      </w:tblPr>
      <w:tblGrid>
        <w:gridCol w:w="2770"/>
        <w:gridCol w:w="1538"/>
        <w:gridCol w:w="1774"/>
        <w:gridCol w:w="1868"/>
      </w:tblGrid>
      <w:tr w14:paraId="0AEC555C" w14:textId="77777777">
        <w:tblPrEx>
          <w:tblW w:w="3991" w:type="pct"/>
          <w:jc w:val="center"/>
          <w:tblLook w:val="04A0"/>
        </w:tblPrEx>
        <w:trPr>
          <w:trHeight w:val="337"/>
          <w:tblHeader/>
          <w:jc w:val="center"/>
        </w:trPr>
        <w:tc>
          <w:tcPr>
            <w:tcW w:w="1742"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BE4E59" w:rsidRPr="001C0658" w14:paraId="4999D468" w14:textId="77777777">
            <w:pPr>
              <w:keepNext/>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w:t>
            </w:r>
          </w:p>
        </w:tc>
        <w:tc>
          <w:tcPr>
            <w:tcW w:w="967" w:type="pct"/>
            <w:tcBorders>
              <w:top w:val="single" w:sz="8" w:space="0" w:color="000000"/>
              <w:left w:val="nil"/>
              <w:bottom w:val="single" w:sz="8" w:space="0" w:color="000000"/>
              <w:right w:val="single" w:sz="8" w:space="0" w:color="000000"/>
            </w:tcBorders>
            <w:shd w:val="clear" w:color="000000" w:fill="D9D9D9"/>
            <w:vAlign w:val="center"/>
            <w:hideMark/>
          </w:tcPr>
          <w:p w:rsidR="00BE4E59" w:rsidRPr="001C0658" w14:paraId="2D76853B" w14:textId="77777777">
            <w:pPr>
              <w:keepNext/>
              <w:spacing w:after="0" w:line="240" w:lineRule="auto"/>
              <w:jc w:val="center"/>
              <w:rPr>
                <w:rFonts w:ascii="Times New Roman" w:eastAsia="Times New Roman" w:hAnsi="Times New Roman" w:cs="Times New Roman"/>
                <w:b/>
                <w:color w:val="000000"/>
                <w:sz w:val="20"/>
                <w:szCs w:val="20"/>
              </w:rPr>
            </w:pPr>
            <w:r w:rsidRPr="001C0658">
              <w:rPr>
                <w:rFonts w:ascii="Times New Roman" w:eastAsia="Times New Roman" w:hAnsi="Times New Roman" w:cs="Times New Roman"/>
                <w:b/>
                <w:color w:val="000000"/>
                <w:sz w:val="20"/>
                <w:szCs w:val="20"/>
              </w:rPr>
              <w:t>5-Year Total</w:t>
            </w:r>
          </w:p>
        </w:tc>
        <w:tc>
          <w:tcPr>
            <w:tcW w:w="1116" w:type="pct"/>
            <w:tcBorders>
              <w:top w:val="single" w:sz="8" w:space="0" w:color="000000"/>
              <w:left w:val="nil"/>
              <w:bottom w:val="single" w:sz="8" w:space="0" w:color="000000"/>
              <w:right w:val="single" w:sz="8" w:space="0" w:color="000000"/>
            </w:tcBorders>
            <w:shd w:val="clear" w:color="000000" w:fill="D9D9D9"/>
            <w:vAlign w:val="center"/>
            <w:hideMark/>
          </w:tcPr>
          <w:p w:rsidR="00BE4E59" w:rsidRPr="001C0658" w14:paraId="36E1EE0B" w14:textId="77777777">
            <w:pPr>
              <w:keepNext/>
              <w:spacing w:after="0" w:line="240" w:lineRule="auto"/>
              <w:jc w:val="center"/>
              <w:rPr>
                <w:rFonts w:ascii="Times New Roman" w:eastAsia="Times New Roman" w:hAnsi="Times New Roman" w:cs="Times New Roman"/>
                <w:b/>
                <w:color w:val="000000"/>
                <w:sz w:val="20"/>
                <w:szCs w:val="20"/>
              </w:rPr>
            </w:pPr>
            <w:r w:rsidRPr="001C0658">
              <w:rPr>
                <w:rFonts w:ascii="Times New Roman" w:eastAsia="Times New Roman" w:hAnsi="Times New Roman" w:cs="Times New Roman"/>
                <w:b/>
                <w:color w:val="000000"/>
                <w:sz w:val="20"/>
                <w:szCs w:val="20"/>
              </w:rPr>
              <w:t>Average/Year</w:t>
            </w:r>
          </w:p>
        </w:tc>
        <w:tc>
          <w:tcPr>
            <w:tcW w:w="1175" w:type="pct"/>
            <w:tcBorders>
              <w:top w:val="single" w:sz="8" w:space="0" w:color="000000"/>
              <w:left w:val="nil"/>
              <w:bottom w:val="single" w:sz="8" w:space="0" w:color="000000"/>
              <w:right w:val="single" w:sz="8" w:space="0" w:color="000000"/>
            </w:tcBorders>
            <w:shd w:val="clear" w:color="000000" w:fill="D9D9D9"/>
            <w:vAlign w:val="center"/>
            <w:hideMark/>
          </w:tcPr>
          <w:p w:rsidR="00BE4E59" w:rsidRPr="001C0658" w14:paraId="1475EC06" w14:textId="77777777">
            <w:pPr>
              <w:keepNext/>
              <w:spacing w:after="0" w:line="240" w:lineRule="auto"/>
              <w:jc w:val="center"/>
              <w:rPr>
                <w:rFonts w:ascii="Times New Roman" w:eastAsia="Times New Roman" w:hAnsi="Times New Roman" w:cs="Times New Roman"/>
                <w:b/>
                <w:color w:val="000000"/>
                <w:sz w:val="20"/>
                <w:szCs w:val="20"/>
              </w:rPr>
            </w:pPr>
            <w:r w:rsidRPr="001C0658">
              <w:rPr>
                <w:rFonts w:ascii="Times New Roman" w:eastAsia="Times New Roman" w:hAnsi="Times New Roman" w:cs="Times New Roman"/>
                <w:b/>
                <w:color w:val="000000"/>
                <w:sz w:val="20"/>
                <w:szCs w:val="20"/>
              </w:rPr>
              <w:t>Average/Accident</w:t>
            </w:r>
          </w:p>
        </w:tc>
      </w:tr>
      <w:tr w14:paraId="5BDF2E37" w14:textId="77777777">
        <w:tblPrEx>
          <w:tblW w:w="3991" w:type="pct"/>
          <w:jc w:val="center"/>
          <w:tblLook w:val="04A0"/>
        </w:tblPrEx>
        <w:trPr>
          <w:trHeight w:val="177"/>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BE4E59" w:rsidRPr="001C0658" w14:paraId="27936039" w14:textId="77777777">
            <w:pPr>
              <w:spacing w:after="0" w:line="240" w:lineRule="auto"/>
              <w:rPr>
                <w:rFonts w:ascii="Times New Roman" w:eastAsia="Times New Roman" w:hAnsi="Times New Roman" w:cs="Times New Roman"/>
                <w:b/>
                <w:color w:val="000000"/>
                <w:sz w:val="20"/>
                <w:szCs w:val="20"/>
              </w:rPr>
            </w:pPr>
            <w:r w:rsidRPr="001C0658">
              <w:rPr>
                <w:rFonts w:ascii="Times New Roman" w:eastAsia="Times New Roman" w:hAnsi="Times New Roman" w:cs="Times New Roman"/>
                <w:b/>
                <w:color w:val="000000"/>
                <w:sz w:val="20"/>
                <w:szCs w:val="20"/>
              </w:rPr>
              <w:t>Onsite</w:t>
            </w:r>
          </w:p>
        </w:tc>
      </w:tr>
      <w:tr w14:paraId="3D83587F" w14:textId="77777777">
        <w:tblPrEx>
          <w:tblW w:w="3991" w:type="pct"/>
          <w:jc w:val="center"/>
          <w:tblLook w:val="04A0"/>
        </w:tblPrEx>
        <w:trPr>
          <w:trHeight w:val="177"/>
          <w:jc w:val="center"/>
        </w:trPr>
        <w:tc>
          <w:tcPr>
            <w:tcW w:w="1742" w:type="pct"/>
            <w:tcBorders>
              <w:top w:val="nil"/>
              <w:left w:val="single" w:sz="8" w:space="0" w:color="000000"/>
              <w:bottom w:val="single" w:sz="8" w:space="0" w:color="000000"/>
              <w:right w:val="single" w:sz="8" w:space="0" w:color="000000"/>
            </w:tcBorders>
            <w:shd w:val="clear" w:color="auto" w:fill="auto"/>
            <w:vAlign w:val="center"/>
            <w:hideMark/>
          </w:tcPr>
          <w:p w:rsidR="00BE4E59" w:rsidRPr="001C0658" w14:paraId="1BFCE713"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Fatalities</w:t>
            </w:r>
          </w:p>
        </w:tc>
        <w:tc>
          <w:tcPr>
            <w:tcW w:w="967" w:type="pct"/>
            <w:tcBorders>
              <w:top w:val="nil"/>
              <w:left w:val="nil"/>
              <w:bottom w:val="single" w:sz="8" w:space="0" w:color="000000"/>
              <w:right w:val="single" w:sz="8" w:space="0" w:color="000000"/>
            </w:tcBorders>
            <w:shd w:val="clear" w:color="auto" w:fill="auto"/>
            <w:vAlign w:val="center"/>
            <w:hideMark/>
          </w:tcPr>
          <w:p w:rsidR="00BE4E59" w:rsidRPr="001C0658" w14:paraId="50397761"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1</w:t>
            </w:r>
            <w:r w:rsidR="00FB0D2C">
              <w:rPr>
                <w:rFonts w:ascii="Times New Roman" w:eastAsia="Times New Roman" w:hAnsi="Times New Roman" w:cs="Times New Roman"/>
                <w:color w:val="000000"/>
                <w:sz w:val="20"/>
                <w:szCs w:val="20"/>
              </w:rPr>
              <w:t>8</w:t>
            </w:r>
          </w:p>
        </w:tc>
        <w:tc>
          <w:tcPr>
            <w:tcW w:w="1116" w:type="pct"/>
            <w:tcBorders>
              <w:top w:val="nil"/>
              <w:left w:val="nil"/>
              <w:bottom w:val="single" w:sz="8" w:space="0" w:color="000000"/>
              <w:right w:val="single" w:sz="8" w:space="0" w:color="000000"/>
            </w:tcBorders>
            <w:shd w:val="clear" w:color="auto" w:fill="auto"/>
            <w:vAlign w:val="center"/>
            <w:hideMark/>
          </w:tcPr>
          <w:p w:rsidR="00BE4E59" w:rsidRPr="001C0658" w14:paraId="47A595E9"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1175" w:type="pct"/>
            <w:tcBorders>
              <w:top w:val="nil"/>
              <w:left w:val="nil"/>
              <w:bottom w:val="single" w:sz="8" w:space="0" w:color="000000"/>
              <w:right w:val="single" w:sz="8" w:space="0" w:color="000000"/>
            </w:tcBorders>
            <w:shd w:val="clear" w:color="auto" w:fill="auto"/>
            <w:vAlign w:val="center"/>
            <w:hideMark/>
          </w:tcPr>
          <w:p w:rsidR="00BE4E59" w:rsidRPr="001C0658" w14:paraId="3674E509"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0.0</w:t>
            </w:r>
            <w:r w:rsidR="00FB0D2C">
              <w:rPr>
                <w:rFonts w:ascii="Times New Roman" w:eastAsia="Times New Roman" w:hAnsi="Times New Roman" w:cs="Times New Roman"/>
                <w:color w:val="000000"/>
                <w:sz w:val="20"/>
                <w:szCs w:val="20"/>
              </w:rPr>
              <w:t>37</w:t>
            </w:r>
          </w:p>
        </w:tc>
      </w:tr>
      <w:tr w14:paraId="7B2E8435" w14:textId="77777777">
        <w:tblPrEx>
          <w:tblW w:w="3991" w:type="pct"/>
          <w:jc w:val="center"/>
          <w:tblLook w:val="04A0"/>
        </w:tblPrEx>
        <w:trPr>
          <w:trHeight w:val="177"/>
          <w:jc w:val="center"/>
        </w:trPr>
        <w:tc>
          <w:tcPr>
            <w:tcW w:w="1742" w:type="pct"/>
            <w:tcBorders>
              <w:top w:val="nil"/>
              <w:left w:val="single" w:sz="8" w:space="0" w:color="000000"/>
              <w:bottom w:val="single" w:sz="8" w:space="0" w:color="000000"/>
              <w:right w:val="single" w:sz="8" w:space="0" w:color="000000"/>
            </w:tcBorders>
            <w:shd w:val="clear" w:color="auto" w:fill="auto"/>
            <w:vAlign w:val="center"/>
            <w:hideMark/>
          </w:tcPr>
          <w:p w:rsidR="00BE4E59" w:rsidRPr="001C0658" w14:paraId="72E6CBE3"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Injuries</w:t>
            </w:r>
          </w:p>
        </w:tc>
        <w:tc>
          <w:tcPr>
            <w:tcW w:w="967" w:type="pct"/>
            <w:tcBorders>
              <w:top w:val="nil"/>
              <w:left w:val="nil"/>
              <w:bottom w:val="single" w:sz="8" w:space="0" w:color="000000"/>
              <w:right w:val="single" w:sz="8" w:space="0" w:color="000000"/>
            </w:tcBorders>
            <w:shd w:val="clear" w:color="auto" w:fill="auto"/>
            <w:vAlign w:val="center"/>
            <w:hideMark/>
          </w:tcPr>
          <w:p w:rsidR="00BE4E59" w:rsidRPr="001C0658" w14:paraId="1B28B5CF"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5</w:t>
            </w:r>
            <w:r w:rsidR="00FB0D2C">
              <w:rPr>
                <w:rFonts w:ascii="Times New Roman" w:eastAsia="Times New Roman" w:hAnsi="Times New Roman" w:cs="Times New Roman"/>
                <w:color w:val="000000"/>
                <w:sz w:val="20"/>
                <w:szCs w:val="20"/>
              </w:rPr>
              <w:t>75</w:t>
            </w:r>
          </w:p>
        </w:tc>
        <w:tc>
          <w:tcPr>
            <w:tcW w:w="1116" w:type="pct"/>
            <w:tcBorders>
              <w:top w:val="nil"/>
              <w:left w:val="nil"/>
              <w:bottom w:val="single" w:sz="8" w:space="0" w:color="000000"/>
              <w:right w:val="single" w:sz="8" w:space="0" w:color="000000"/>
            </w:tcBorders>
            <w:shd w:val="clear" w:color="auto" w:fill="auto"/>
            <w:vAlign w:val="center"/>
            <w:hideMark/>
          </w:tcPr>
          <w:p w:rsidR="00BE4E59" w:rsidRPr="001C0658" w14:paraId="03D380DF"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11</w:t>
            </w:r>
            <w:r w:rsidR="00FB0D2C">
              <w:rPr>
                <w:rFonts w:ascii="Times New Roman" w:eastAsia="Times New Roman" w:hAnsi="Times New Roman" w:cs="Times New Roman"/>
                <w:color w:val="000000"/>
                <w:sz w:val="20"/>
                <w:szCs w:val="20"/>
              </w:rPr>
              <w:t>5</w:t>
            </w:r>
          </w:p>
        </w:tc>
        <w:tc>
          <w:tcPr>
            <w:tcW w:w="1175" w:type="pct"/>
            <w:tcBorders>
              <w:top w:val="nil"/>
              <w:left w:val="nil"/>
              <w:bottom w:val="single" w:sz="8" w:space="0" w:color="000000"/>
              <w:right w:val="single" w:sz="8" w:space="0" w:color="000000"/>
            </w:tcBorders>
            <w:shd w:val="clear" w:color="auto" w:fill="auto"/>
            <w:vAlign w:val="center"/>
            <w:hideMark/>
          </w:tcPr>
          <w:p w:rsidR="00BE4E59" w:rsidRPr="001C0658" w14:paraId="6403A71A"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1.1</w:t>
            </w:r>
            <w:r w:rsidR="00FB0D2C">
              <w:rPr>
                <w:rFonts w:ascii="Times New Roman" w:eastAsia="Times New Roman" w:hAnsi="Times New Roman" w:cs="Times New Roman"/>
                <w:color w:val="000000"/>
                <w:sz w:val="20"/>
                <w:szCs w:val="20"/>
              </w:rPr>
              <w:t>78</w:t>
            </w:r>
          </w:p>
        </w:tc>
      </w:tr>
      <w:tr w14:paraId="1E36644B" w14:textId="77777777">
        <w:tblPrEx>
          <w:tblW w:w="3991" w:type="pct"/>
          <w:jc w:val="center"/>
          <w:tblLook w:val="04A0"/>
        </w:tblPrEx>
        <w:trPr>
          <w:trHeight w:val="337"/>
          <w:jc w:val="center"/>
        </w:trPr>
        <w:tc>
          <w:tcPr>
            <w:tcW w:w="1742" w:type="pct"/>
            <w:tcBorders>
              <w:top w:val="nil"/>
              <w:left w:val="single" w:sz="8" w:space="0" w:color="000000"/>
              <w:bottom w:val="single" w:sz="8" w:space="0" w:color="000000"/>
              <w:right w:val="single" w:sz="8" w:space="0" w:color="000000"/>
            </w:tcBorders>
            <w:shd w:val="clear" w:color="auto" w:fill="auto"/>
            <w:vAlign w:val="center"/>
            <w:hideMark/>
          </w:tcPr>
          <w:p w:rsidR="00BE4E59" w:rsidRPr="001C0658" w14:paraId="4292D772"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Property Damage</w:t>
            </w:r>
          </w:p>
        </w:tc>
        <w:tc>
          <w:tcPr>
            <w:tcW w:w="967" w:type="pct"/>
            <w:tcBorders>
              <w:top w:val="nil"/>
              <w:left w:val="nil"/>
              <w:bottom w:val="single" w:sz="8" w:space="0" w:color="000000"/>
              <w:right w:val="single" w:sz="8" w:space="0" w:color="000000"/>
            </w:tcBorders>
            <w:shd w:val="clear" w:color="auto" w:fill="auto"/>
            <w:vAlign w:val="center"/>
            <w:hideMark/>
          </w:tcPr>
          <w:p w:rsidR="00BE4E59" w:rsidRPr="001C0658" w14:paraId="1660035D"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$2.</w:t>
            </w:r>
            <w:r w:rsidR="00545622">
              <w:rPr>
                <w:rFonts w:ascii="Times New Roman" w:eastAsia="Times New Roman" w:hAnsi="Times New Roman" w:cs="Times New Roman"/>
                <w:color w:val="000000"/>
                <w:sz w:val="20"/>
                <w:szCs w:val="20"/>
              </w:rPr>
              <w:t>3</w:t>
            </w:r>
            <w:r w:rsidRPr="001C0658">
              <w:rPr>
                <w:rFonts w:ascii="Times New Roman" w:eastAsia="Times New Roman" w:hAnsi="Times New Roman" w:cs="Times New Roman"/>
                <w:color w:val="000000"/>
                <w:sz w:val="20"/>
                <w:szCs w:val="20"/>
              </w:rPr>
              <w:t xml:space="preserve"> billion</w:t>
            </w:r>
          </w:p>
        </w:tc>
        <w:tc>
          <w:tcPr>
            <w:tcW w:w="1116" w:type="pct"/>
            <w:tcBorders>
              <w:top w:val="nil"/>
              <w:left w:val="nil"/>
              <w:bottom w:val="single" w:sz="8" w:space="0" w:color="000000"/>
              <w:right w:val="single" w:sz="8" w:space="0" w:color="000000"/>
            </w:tcBorders>
            <w:shd w:val="clear" w:color="auto" w:fill="auto"/>
            <w:vAlign w:val="center"/>
            <w:hideMark/>
          </w:tcPr>
          <w:p w:rsidR="00BE4E59" w:rsidRPr="001C0658" w14:paraId="7C6DBD2E"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$4</w:t>
            </w:r>
            <w:r w:rsidR="00545622">
              <w:rPr>
                <w:rFonts w:ascii="Times New Roman" w:eastAsia="Times New Roman" w:hAnsi="Times New Roman" w:cs="Times New Roman"/>
                <w:color w:val="000000"/>
                <w:sz w:val="20"/>
                <w:szCs w:val="20"/>
              </w:rPr>
              <w:t>5</w:t>
            </w:r>
            <w:r w:rsidR="008B30FB">
              <w:rPr>
                <w:rFonts w:ascii="Times New Roman" w:eastAsia="Times New Roman" w:hAnsi="Times New Roman" w:cs="Times New Roman"/>
                <w:color w:val="000000"/>
                <w:sz w:val="20"/>
                <w:szCs w:val="20"/>
              </w:rPr>
              <w:t>4.6</w:t>
            </w:r>
            <w:r w:rsidRPr="001C0658">
              <w:rPr>
                <w:rFonts w:ascii="Times New Roman" w:eastAsia="Times New Roman" w:hAnsi="Times New Roman" w:cs="Times New Roman"/>
                <w:color w:val="000000"/>
                <w:sz w:val="20"/>
                <w:szCs w:val="20"/>
              </w:rPr>
              <w:t xml:space="preserve"> million</w:t>
            </w:r>
          </w:p>
        </w:tc>
        <w:tc>
          <w:tcPr>
            <w:tcW w:w="1175" w:type="pct"/>
            <w:tcBorders>
              <w:top w:val="nil"/>
              <w:left w:val="nil"/>
              <w:bottom w:val="single" w:sz="8" w:space="0" w:color="000000"/>
              <w:right w:val="single" w:sz="8" w:space="0" w:color="000000"/>
            </w:tcBorders>
            <w:shd w:val="clear" w:color="auto" w:fill="auto"/>
            <w:vAlign w:val="center"/>
            <w:hideMark/>
          </w:tcPr>
          <w:p w:rsidR="00BE4E59" w:rsidRPr="001C0658" w14:paraId="18FF88F8"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$4.</w:t>
            </w:r>
            <w:r w:rsidR="004401A3">
              <w:rPr>
                <w:rFonts w:ascii="Times New Roman" w:eastAsia="Times New Roman" w:hAnsi="Times New Roman" w:cs="Times New Roman"/>
                <w:color w:val="000000"/>
                <w:sz w:val="20"/>
                <w:szCs w:val="20"/>
              </w:rPr>
              <w:t>66</w:t>
            </w:r>
            <w:r w:rsidRPr="001C0658">
              <w:rPr>
                <w:rFonts w:ascii="Times New Roman" w:eastAsia="Times New Roman" w:hAnsi="Times New Roman" w:cs="Times New Roman"/>
                <w:color w:val="000000"/>
                <w:sz w:val="20"/>
                <w:szCs w:val="20"/>
              </w:rPr>
              <w:t xml:space="preserve"> million</w:t>
            </w:r>
          </w:p>
        </w:tc>
      </w:tr>
      <w:tr w14:paraId="7E818DAD" w14:textId="77777777">
        <w:tblPrEx>
          <w:tblW w:w="3991" w:type="pct"/>
          <w:jc w:val="center"/>
          <w:tblLook w:val="04A0"/>
        </w:tblPrEx>
        <w:trPr>
          <w:trHeight w:val="177"/>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BE4E59" w:rsidRPr="001C0658" w14:paraId="27B24EB0" w14:textId="77777777">
            <w:pPr>
              <w:spacing w:after="0" w:line="240" w:lineRule="auto"/>
              <w:rPr>
                <w:rFonts w:ascii="Times New Roman" w:eastAsia="Times New Roman" w:hAnsi="Times New Roman" w:cs="Times New Roman"/>
                <w:b/>
                <w:color w:val="000000"/>
                <w:sz w:val="20"/>
                <w:szCs w:val="20"/>
              </w:rPr>
            </w:pPr>
            <w:r w:rsidRPr="001C0658">
              <w:rPr>
                <w:rFonts w:ascii="Times New Roman" w:eastAsia="Times New Roman" w:hAnsi="Times New Roman" w:cs="Times New Roman"/>
                <w:b/>
                <w:color w:val="000000"/>
                <w:sz w:val="20"/>
                <w:szCs w:val="20"/>
              </w:rPr>
              <w:t>Offsite</w:t>
            </w:r>
          </w:p>
        </w:tc>
      </w:tr>
      <w:tr w14:paraId="7C8F8355" w14:textId="77777777">
        <w:tblPrEx>
          <w:tblW w:w="3991" w:type="pct"/>
          <w:jc w:val="center"/>
          <w:tblLook w:val="04A0"/>
        </w:tblPrEx>
        <w:trPr>
          <w:trHeight w:val="177"/>
          <w:jc w:val="center"/>
        </w:trPr>
        <w:tc>
          <w:tcPr>
            <w:tcW w:w="1742" w:type="pct"/>
            <w:tcBorders>
              <w:top w:val="nil"/>
              <w:left w:val="single" w:sz="8" w:space="0" w:color="000000"/>
              <w:bottom w:val="single" w:sz="8" w:space="0" w:color="000000"/>
              <w:right w:val="single" w:sz="8" w:space="0" w:color="000000"/>
            </w:tcBorders>
            <w:shd w:val="clear" w:color="auto" w:fill="auto"/>
            <w:vAlign w:val="center"/>
            <w:hideMark/>
          </w:tcPr>
          <w:p w:rsidR="00BE4E59" w:rsidRPr="001C0658" w14:paraId="4B251A96"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Fatalities</w:t>
            </w:r>
          </w:p>
        </w:tc>
        <w:tc>
          <w:tcPr>
            <w:tcW w:w="967" w:type="pct"/>
            <w:tcBorders>
              <w:top w:val="nil"/>
              <w:left w:val="nil"/>
              <w:bottom w:val="single" w:sz="8" w:space="0" w:color="000000"/>
              <w:right w:val="single" w:sz="8" w:space="0" w:color="000000"/>
            </w:tcBorders>
            <w:shd w:val="clear" w:color="auto" w:fill="auto"/>
            <w:vAlign w:val="center"/>
            <w:hideMark/>
          </w:tcPr>
          <w:p w:rsidR="00BE4E59" w:rsidRPr="001C0658" w14:paraId="6979C654"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0</w:t>
            </w:r>
          </w:p>
        </w:tc>
        <w:tc>
          <w:tcPr>
            <w:tcW w:w="1116" w:type="pct"/>
            <w:tcBorders>
              <w:top w:val="nil"/>
              <w:left w:val="nil"/>
              <w:bottom w:val="single" w:sz="8" w:space="0" w:color="000000"/>
              <w:right w:val="single" w:sz="8" w:space="0" w:color="000000"/>
            </w:tcBorders>
            <w:shd w:val="clear" w:color="auto" w:fill="auto"/>
            <w:vAlign w:val="center"/>
            <w:hideMark/>
          </w:tcPr>
          <w:p w:rsidR="00BE4E59" w:rsidRPr="001C0658" w14:paraId="7FBA7C8C"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0</w:t>
            </w:r>
          </w:p>
        </w:tc>
        <w:tc>
          <w:tcPr>
            <w:tcW w:w="1175" w:type="pct"/>
            <w:tcBorders>
              <w:top w:val="nil"/>
              <w:left w:val="nil"/>
              <w:bottom w:val="single" w:sz="8" w:space="0" w:color="000000"/>
              <w:right w:val="single" w:sz="8" w:space="0" w:color="000000"/>
            </w:tcBorders>
            <w:shd w:val="clear" w:color="auto" w:fill="auto"/>
            <w:vAlign w:val="center"/>
            <w:hideMark/>
          </w:tcPr>
          <w:p w:rsidR="00BE4E59" w:rsidRPr="001C0658" w14:paraId="3049069D"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0</w:t>
            </w:r>
          </w:p>
        </w:tc>
      </w:tr>
      <w:tr w14:paraId="09EB7ACB" w14:textId="77777777">
        <w:tblPrEx>
          <w:tblW w:w="3991" w:type="pct"/>
          <w:jc w:val="center"/>
          <w:tblLook w:val="04A0"/>
        </w:tblPrEx>
        <w:trPr>
          <w:trHeight w:val="177"/>
          <w:jc w:val="center"/>
        </w:trPr>
        <w:tc>
          <w:tcPr>
            <w:tcW w:w="1742" w:type="pct"/>
            <w:tcBorders>
              <w:top w:val="nil"/>
              <w:left w:val="single" w:sz="8" w:space="0" w:color="000000"/>
              <w:bottom w:val="single" w:sz="8" w:space="0" w:color="000000"/>
              <w:right w:val="single" w:sz="8" w:space="0" w:color="000000"/>
            </w:tcBorders>
            <w:shd w:val="clear" w:color="auto" w:fill="auto"/>
            <w:vAlign w:val="center"/>
            <w:hideMark/>
          </w:tcPr>
          <w:p w:rsidR="00BE4E59" w:rsidRPr="001C0658" w14:paraId="28AE4CF7"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Hospitalizations</w:t>
            </w:r>
          </w:p>
        </w:tc>
        <w:tc>
          <w:tcPr>
            <w:tcW w:w="967" w:type="pct"/>
            <w:tcBorders>
              <w:top w:val="nil"/>
              <w:left w:val="nil"/>
              <w:bottom w:val="single" w:sz="8" w:space="0" w:color="000000"/>
              <w:right w:val="single" w:sz="8" w:space="0" w:color="000000"/>
            </w:tcBorders>
            <w:shd w:val="clear" w:color="auto" w:fill="auto"/>
            <w:vAlign w:val="center"/>
            <w:hideMark/>
          </w:tcPr>
          <w:p w:rsidR="00BE4E59" w:rsidRPr="001C0658" w14:paraId="41CB6796"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31</w:t>
            </w:r>
          </w:p>
        </w:tc>
        <w:tc>
          <w:tcPr>
            <w:tcW w:w="1116" w:type="pct"/>
            <w:tcBorders>
              <w:top w:val="nil"/>
              <w:left w:val="nil"/>
              <w:bottom w:val="single" w:sz="8" w:space="0" w:color="000000"/>
              <w:right w:val="single" w:sz="8" w:space="0" w:color="000000"/>
            </w:tcBorders>
            <w:shd w:val="clear" w:color="auto" w:fill="auto"/>
            <w:vAlign w:val="center"/>
            <w:hideMark/>
          </w:tcPr>
          <w:p w:rsidR="00BE4E59" w:rsidRPr="001C0658" w14:paraId="3351C6C0"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6.2</w:t>
            </w:r>
          </w:p>
        </w:tc>
        <w:tc>
          <w:tcPr>
            <w:tcW w:w="1175" w:type="pct"/>
            <w:tcBorders>
              <w:top w:val="nil"/>
              <w:left w:val="nil"/>
              <w:bottom w:val="single" w:sz="8" w:space="0" w:color="000000"/>
              <w:right w:val="single" w:sz="8" w:space="0" w:color="000000"/>
            </w:tcBorders>
            <w:shd w:val="clear" w:color="auto" w:fill="auto"/>
            <w:vAlign w:val="center"/>
            <w:hideMark/>
          </w:tcPr>
          <w:p w:rsidR="00BE4E59" w:rsidRPr="001C0658" w14:paraId="634284BF"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0.064</w:t>
            </w:r>
          </w:p>
        </w:tc>
      </w:tr>
      <w:tr w14:paraId="183FF9C5" w14:textId="77777777">
        <w:tblPrEx>
          <w:tblW w:w="3991" w:type="pct"/>
          <w:jc w:val="center"/>
          <w:tblLook w:val="04A0"/>
        </w:tblPrEx>
        <w:trPr>
          <w:trHeight w:val="337"/>
          <w:jc w:val="center"/>
        </w:trPr>
        <w:tc>
          <w:tcPr>
            <w:tcW w:w="1742" w:type="pct"/>
            <w:tcBorders>
              <w:top w:val="nil"/>
              <w:left w:val="single" w:sz="8" w:space="0" w:color="000000"/>
              <w:bottom w:val="single" w:sz="8" w:space="0" w:color="000000"/>
              <w:right w:val="single" w:sz="8" w:space="0" w:color="000000"/>
            </w:tcBorders>
            <w:shd w:val="clear" w:color="auto" w:fill="auto"/>
            <w:vAlign w:val="center"/>
            <w:hideMark/>
          </w:tcPr>
          <w:p w:rsidR="00BE4E59" w:rsidRPr="001C0658" w14:paraId="29D26456"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Medical Treatment</w:t>
            </w:r>
          </w:p>
        </w:tc>
        <w:tc>
          <w:tcPr>
            <w:tcW w:w="967" w:type="pct"/>
            <w:tcBorders>
              <w:top w:val="nil"/>
              <w:left w:val="nil"/>
              <w:bottom w:val="single" w:sz="8" w:space="0" w:color="000000"/>
              <w:right w:val="single" w:sz="8" w:space="0" w:color="000000"/>
            </w:tcBorders>
            <w:shd w:val="clear" w:color="auto" w:fill="auto"/>
            <w:vAlign w:val="center"/>
            <w:hideMark/>
          </w:tcPr>
          <w:p w:rsidR="00BE4E59" w:rsidRPr="001C0658" w14:paraId="075FFFA0"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134</w:t>
            </w:r>
          </w:p>
        </w:tc>
        <w:tc>
          <w:tcPr>
            <w:tcW w:w="1116" w:type="pct"/>
            <w:tcBorders>
              <w:top w:val="nil"/>
              <w:left w:val="nil"/>
              <w:bottom w:val="single" w:sz="8" w:space="0" w:color="000000"/>
              <w:right w:val="single" w:sz="8" w:space="0" w:color="000000"/>
            </w:tcBorders>
            <w:shd w:val="clear" w:color="auto" w:fill="auto"/>
            <w:vAlign w:val="center"/>
            <w:hideMark/>
          </w:tcPr>
          <w:p w:rsidR="00BE4E59" w:rsidRPr="001C0658" w14:paraId="08DE6270"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26.8</w:t>
            </w:r>
          </w:p>
        </w:tc>
        <w:tc>
          <w:tcPr>
            <w:tcW w:w="1175" w:type="pct"/>
            <w:tcBorders>
              <w:top w:val="nil"/>
              <w:left w:val="nil"/>
              <w:bottom w:val="single" w:sz="8" w:space="0" w:color="000000"/>
              <w:right w:val="single" w:sz="8" w:space="0" w:color="000000"/>
            </w:tcBorders>
            <w:shd w:val="clear" w:color="auto" w:fill="auto"/>
            <w:vAlign w:val="center"/>
            <w:hideMark/>
          </w:tcPr>
          <w:p w:rsidR="00BE4E59" w:rsidRPr="001C0658" w14:paraId="567316D6"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0.275</w:t>
            </w:r>
          </w:p>
        </w:tc>
      </w:tr>
      <w:tr w14:paraId="6E9F13BC" w14:textId="77777777">
        <w:tblPrEx>
          <w:tblW w:w="3991" w:type="pct"/>
          <w:jc w:val="center"/>
          <w:tblLook w:val="04A0"/>
        </w:tblPrEx>
        <w:trPr>
          <w:trHeight w:val="177"/>
          <w:jc w:val="center"/>
        </w:trPr>
        <w:tc>
          <w:tcPr>
            <w:tcW w:w="1742" w:type="pct"/>
            <w:tcBorders>
              <w:top w:val="nil"/>
              <w:left w:val="single" w:sz="8" w:space="0" w:color="000000"/>
              <w:bottom w:val="single" w:sz="8" w:space="0" w:color="000000"/>
              <w:right w:val="single" w:sz="8" w:space="0" w:color="000000"/>
            </w:tcBorders>
            <w:shd w:val="clear" w:color="auto" w:fill="auto"/>
            <w:vAlign w:val="center"/>
            <w:hideMark/>
          </w:tcPr>
          <w:p w:rsidR="00BE4E59" w:rsidRPr="001C0658" w14:paraId="695DAEDD"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Evacuations</w:t>
            </w:r>
          </w:p>
        </w:tc>
        <w:tc>
          <w:tcPr>
            <w:tcW w:w="967" w:type="pct"/>
            <w:tcBorders>
              <w:top w:val="nil"/>
              <w:left w:val="nil"/>
              <w:bottom w:val="single" w:sz="8" w:space="0" w:color="000000"/>
              <w:right w:val="single" w:sz="8" w:space="0" w:color="000000"/>
            </w:tcBorders>
            <w:shd w:val="clear" w:color="auto" w:fill="auto"/>
            <w:vAlign w:val="center"/>
            <w:hideMark/>
          </w:tcPr>
          <w:p w:rsidR="00BE4E59" w:rsidRPr="001C0658" w14:paraId="4A0A4C3F"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64,739</w:t>
            </w:r>
          </w:p>
        </w:tc>
        <w:tc>
          <w:tcPr>
            <w:tcW w:w="1116" w:type="pct"/>
            <w:tcBorders>
              <w:top w:val="nil"/>
              <w:left w:val="nil"/>
              <w:bottom w:val="single" w:sz="8" w:space="0" w:color="000000"/>
              <w:right w:val="single" w:sz="8" w:space="0" w:color="000000"/>
            </w:tcBorders>
            <w:shd w:val="clear" w:color="auto" w:fill="auto"/>
            <w:vAlign w:val="center"/>
            <w:hideMark/>
          </w:tcPr>
          <w:p w:rsidR="00BE4E59" w:rsidRPr="001C0658" w14:paraId="081BDF50"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12,948</w:t>
            </w:r>
          </w:p>
        </w:tc>
        <w:tc>
          <w:tcPr>
            <w:tcW w:w="1175" w:type="pct"/>
            <w:tcBorders>
              <w:top w:val="nil"/>
              <w:left w:val="nil"/>
              <w:bottom w:val="single" w:sz="8" w:space="0" w:color="000000"/>
              <w:right w:val="single" w:sz="8" w:space="0" w:color="000000"/>
            </w:tcBorders>
            <w:shd w:val="clear" w:color="auto" w:fill="auto"/>
            <w:vAlign w:val="center"/>
            <w:hideMark/>
          </w:tcPr>
          <w:p w:rsidR="00BE4E59" w:rsidRPr="001C0658" w14:paraId="3052AC0C"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132.662</w:t>
            </w:r>
          </w:p>
        </w:tc>
      </w:tr>
      <w:tr w14:paraId="43A9F17B" w14:textId="77777777">
        <w:tblPrEx>
          <w:tblW w:w="3991" w:type="pct"/>
          <w:jc w:val="center"/>
          <w:tblLook w:val="04A0"/>
        </w:tblPrEx>
        <w:trPr>
          <w:trHeight w:val="337"/>
          <w:jc w:val="center"/>
        </w:trPr>
        <w:tc>
          <w:tcPr>
            <w:tcW w:w="1742" w:type="pct"/>
            <w:tcBorders>
              <w:top w:val="nil"/>
              <w:left w:val="single" w:sz="8" w:space="0" w:color="000000"/>
              <w:bottom w:val="single" w:sz="8" w:space="0" w:color="000000"/>
              <w:right w:val="single" w:sz="8" w:space="0" w:color="000000"/>
            </w:tcBorders>
            <w:shd w:val="clear" w:color="auto" w:fill="auto"/>
            <w:vAlign w:val="center"/>
            <w:hideMark/>
          </w:tcPr>
          <w:p w:rsidR="00BE4E59" w:rsidRPr="001C0658" w14:paraId="67C50928"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Sheltering in Place</w:t>
            </w:r>
          </w:p>
        </w:tc>
        <w:tc>
          <w:tcPr>
            <w:tcW w:w="967" w:type="pct"/>
            <w:tcBorders>
              <w:top w:val="nil"/>
              <w:left w:val="nil"/>
              <w:bottom w:val="single" w:sz="8" w:space="0" w:color="000000"/>
              <w:right w:val="single" w:sz="8" w:space="0" w:color="000000"/>
            </w:tcBorders>
            <w:shd w:val="clear" w:color="auto" w:fill="auto"/>
            <w:vAlign w:val="center"/>
            <w:hideMark/>
          </w:tcPr>
          <w:p w:rsidR="00BE4E59" w:rsidRPr="001C0658" w14:paraId="0CFD3919"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85,808</w:t>
            </w:r>
          </w:p>
        </w:tc>
        <w:tc>
          <w:tcPr>
            <w:tcW w:w="1116" w:type="pct"/>
            <w:tcBorders>
              <w:top w:val="nil"/>
              <w:left w:val="nil"/>
              <w:bottom w:val="single" w:sz="8" w:space="0" w:color="000000"/>
              <w:right w:val="single" w:sz="8" w:space="0" w:color="000000"/>
            </w:tcBorders>
            <w:shd w:val="clear" w:color="auto" w:fill="auto"/>
            <w:vAlign w:val="center"/>
            <w:hideMark/>
          </w:tcPr>
          <w:p w:rsidR="00BE4E59" w:rsidRPr="001C0658" w14:paraId="69842755"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17,162</w:t>
            </w:r>
          </w:p>
        </w:tc>
        <w:tc>
          <w:tcPr>
            <w:tcW w:w="1175" w:type="pct"/>
            <w:tcBorders>
              <w:top w:val="nil"/>
              <w:left w:val="nil"/>
              <w:bottom w:val="single" w:sz="8" w:space="0" w:color="000000"/>
              <w:right w:val="single" w:sz="8" w:space="0" w:color="000000"/>
            </w:tcBorders>
            <w:shd w:val="clear" w:color="auto" w:fill="auto"/>
            <w:vAlign w:val="center"/>
            <w:hideMark/>
          </w:tcPr>
          <w:p w:rsidR="00BE4E59" w:rsidRPr="001C0658" w14:paraId="0DE5CB03"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175.836</w:t>
            </w:r>
          </w:p>
        </w:tc>
      </w:tr>
      <w:tr w14:paraId="17506651" w14:textId="77777777">
        <w:tblPrEx>
          <w:tblW w:w="3991" w:type="pct"/>
          <w:jc w:val="center"/>
          <w:tblLook w:val="04A0"/>
        </w:tblPrEx>
        <w:trPr>
          <w:trHeight w:val="337"/>
          <w:jc w:val="center"/>
        </w:trPr>
        <w:tc>
          <w:tcPr>
            <w:tcW w:w="1742" w:type="pct"/>
            <w:tcBorders>
              <w:top w:val="nil"/>
              <w:left w:val="single" w:sz="8" w:space="0" w:color="000000"/>
              <w:bottom w:val="single" w:sz="8" w:space="0" w:color="000000"/>
              <w:right w:val="single" w:sz="8" w:space="0" w:color="000000"/>
            </w:tcBorders>
            <w:shd w:val="clear" w:color="auto" w:fill="auto"/>
            <w:vAlign w:val="center"/>
            <w:hideMark/>
          </w:tcPr>
          <w:p w:rsidR="00BE4E59" w:rsidRPr="001C0658" w14:paraId="69A1C8C8"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Property Damage</w:t>
            </w:r>
          </w:p>
        </w:tc>
        <w:tc>
          <w:tcPr>
            <w:tcW w:w="967" w:type="pct"/>
            <w:tcBorders>
              <w:top w:val="nil"/>
              <w:left w:val="nil"/>
              <w:bottom w:val="single" w:sz="8" w:space="0" w:color="000000"/>
              <w:right w:val="single" w:sz="8" w:space="0" w:color="000000"/>
            </w:tcBorders>
            <w:shd w:val="clear" w:color="auto" w:fill="auto"/>
            <w:vAlign w:val="center"/>
            <w:hideMark/>
          </w:tcPr>
          <w:p w:rsidR="00BE4E59" w:rsidRPr="001C0658" w14:paraId="7EA09D55"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$1</w:t>
            </w:r>
            <w:r w:rsidR="00D925CF">
              <w:rPr>
                <w:rFonts w:ascii="Times New Roman" w:eastAsia="Times New Roman" w:hAnsi="Times New Roman" w:cs="Times New Roman"/>
                <w:color w:val="000000"/>
                <w:sz w:val="20"/>
                <w:szCs w:val="20"/>
              </w:rPr>
              <w:t>79</w:t>
            </w:r>
            <w:r w:rsidRPr="001C0658">
              <w:rPr>
                <w:rFonts w:ascii="Times New Roman" w:eastAsia="Times New Roman" w:hAnsi="Times New Roman" w:cs="Times New Roman"/>
                <w:color w:val="000000"/>
                <w:sz w:val="20"/>
                <w:szCs w:val="20"/>
              </w:rPr>
              <w:t xml:space="preserve"> million</w:t>
            </w:r>
          </w:p>
        </w:tc>
        <w:tc>
          <w:tcPr>
            <w:tcW w:w="1116" w:type="pct"/>
            <w:tcBorders>
              <w:top w:val="nil"/>
              <w:left w:val="nil"/>
              <w:bottom w:val="single" w:sz="8" w:space="0" w:color="000000"/>
              <w:right w:val="single" w:sz="8" w:space="0" w:color="000000"/>
            </w:tcBorders>
            <w:shd w:val="clear" w:color="auto" w:fill="auto"/>
            <w:vAlign w:val="center"/>
            <w:hideMark/>
          </w:tcPr>
          <w:p w:rsidR="00BE4E59" w:rsidRPr="001C0658" w14:paraId="72C0CFAB"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w:t>
            </w:r>
            <w:r w:rsidR="001B614D">
              <w:rPr>
                <w:rFonts w:ascii="Times New Roman" w:eastAsia="Times New Roman" w:hAnsi="Times New Roman" w:cs="Times New Roman"/>
                <w:color w:val="000000"/>
                <w:sz w:val="20"/>
                <w:szCs w:val="20"/>
              </w:rPr>
              <w:t>35.7</w:t>
            </w:r>
            <w:r w:rsidRPr="001C0658">
              <w:rPr>
                <w:rFonts w:ascii="Times New Roman" w:eastAsia="Times New Roman" w:hAnsi="Times New Roman" w:cs="Times New Roman"/>
                <w:color w:val="000000"/>
                <w:sz w:val="20"/>
                <w:szCs w:val="20"/>
              </w:rPr>
              <w:t xml:space="preserve"> million</w:t>
            </w:r>
          </w:p>
        </w:tc>
        <w:tc>
          <w:tcPr>
            <w:tcW w:w="1175" w:type="pct"/>
            <w:tcBorders>
              <w:top w:val="nil"/>
              <w:left w:val="nil"/>
              <w:bottom w:val="single" w:sz="8" w:space="0" w:color="000000"/>
              <w:right w:val="single" w:sz="8" w:space="0" w:color="000000"/>
            </w:tcBorders>
            <w:shd w:val="clear" w:color="auto" w:fill="auto"/>
            <w:vAlign w:val="center"/>
            <w:hideMark/>
          </w:tcPr>
          <w:p w:rsidR="00BE4E59" w:rsidRPr="001C0658" w14:paraId="69EBD4D2"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w:t>
            </w:r>
            <w:r w:rsidR="005C7258">
              <w:rPr>
                <w:rFonts w:ascii="Times New Roman" w:eastAsia="Times New Roman" w:hAnsi="Times New Roman" w:cs="Times New Roman"/>
                <w:color w:val="000000"/>
                <w:sz w:val="20"/>
                <w:szCs w:val="20"/>
              </w:rPr>
              <w:t>0.</w:t>
            </w:r>
            <w:r w:rsidR="004401A3">
              <w:rPr>
                <w:rFonts w:ascii="Times New Roman" w:eastAsia="Times New Roman" w:hAnsi="Times New Roman" w:cs="Times New Roman"/>
                <w:color w:val="000000"/>
                <w:sz w:val="20"/>
                <w:szCs w:val="20"/>
              </w:rPr>
              <w:t>37</w:t>
            </w:r>
            <w:r w:rsidRPr="001C0658">
              <w:rPr>
                <w:rFonts w:ascii="Times New Roman" w:eastAsia="Times New Roman" w:hAnsi="Times New Roman" w:cs="Times New Roman"/>
                <w:color w:val="000000"/>
                <w:sz w:val="20"/>
                <w:szCs w:val="20"/>
              </w:rPr>
              <w:t xml:space="preserve"> million</w:t>
            </w:r>
          </w:p>
        </w:tc>
      </w:tr>
    </w:tbl>
    <w:p w:rsidR="00BE4E59" w:rsidRPr="00BF42A8" w:rsidP="00BE4E59" w14:paraId="0271E5BB" w14:textId="77777777">
      <w:pPr>
        <w:spacing w:after="0" w:line="240" w:lineRule="auto"/>
        <w:jc w:val="center"/>
        <w:rPr>
          <w:rFonts w:ascii="Times New Roman" w:hAnsi="Times New Roman" w:cs="Times New Roman"/>
          <w:b/>
        </w:rPr>
      </w:pPr>
    </w:p>
    <w:bookmarkEnd w:id="142"/>
    <w:p w:rsidR="00BE4E59" w:rsidP="00BE4E59" w14:paraId="6686E22A" w14:textId="77777777">
      <w:pPr>
        <w:spacing w:after="0" w:line="240" w:lineRule="auto"/>
        <w:ind w:left="360" w:hanging="360"/>
        <w:jc w:val="center"/>
        <w:rPr>
          <w:rFonts w:ascii="Times New Roman" w:hAnsi="Times New Roman" w:cs="Times New Roman"/>
          <w:b/>
        </w:rPr>
      </w:pPr>
    </w:p>
    <w:p w:rsidR="00BE4E59" w:rsidRPr="00D03EFC" w:rsidP="00BE4E59" w14:paraId="5F9F5E0B" w14:textId="3D27F6AB">
      <w:pPr>
        <w:spacing w:after="0" w:line="240" w:lineRule="auto"/>
        <w:rPr>
          <w:rFonts w:ascii="Times New Roman" w:hAnsi="Times New Roman" w:cs="Times New Roman"/>
        </w:rPr>
      </w:pPr>
      <w:r>
        <w:rPr>
          <w:rFonts w:ascii="Times New Roman" w:hAnsi="Times New Roman" w:cs="Times New Roman"/>
        </w:rPr>
        <w:tab/>
        <w:t>The monetized cost of accidents shown in Exhibit 3-1</w:t>
      </w:r>
      <w:r w:rsidR="00D3523B">
        <w:rPr>
          <w:rFonts w:ascii="Times New Roman" w:hAnsi="Times New Roman" w:cs="Times New Roman"/>
        </w:rPr>
        <w:t>5</w:t>
      </w:r>
      <w:r>
        <w:rPr>
          <w:rFonts w:ascii="Times New Roman" w:hAnsi="Times New Roman" w:cs="Times New Roman"/>
        </w:rPr>
        <w:t xml:space="preserve"> for the period 2016 to 2020 should be viewed in </w:t>
      </w:r>
      <w:r w:rsidR="00386074">
        <w:rPr>
          <w:rFonts w:ascii="Times New Roman" w:hAnsi="Times New Roman" w:cs="Times New Roman"/>
        </w:rPr>
        <w:t>the context</w:t>
      </w:r>
      <w:r>
        <w:rPr>
          <w:rFonts w:ascii="Times New Roman" w:hAnsi="Times New Roman" w:cs="Times New Roman"/>
        </w:rPr>
        <w:t xml:space="preserve"> of monetized costs of RMP accidents for other time periods. EPA analyses for two prior RMP rulemakings, the 2017 amendments rule and the 2019 reconsideration rule, estimated monetized ba</w:t>
      </w:r>
      <w:r w:rsidRPr="004A3AEC">
        <w:rPr>
          <w:rFonts w:ascii="Times New Roman" w:hAnsi="Times New Roman" w:cs="Times New Roman"/>
        </w:rPr>
        <w:t xml:space="preserve">seline damages </w:t>
      </w:r>
      <w:r>
        <w:rPr>
          <w:rFonts w:ascii="Times New Roman" w:hAnsi="Times New Roman" w:cs="Times New Roman"/>
        </w:rPr>
        <w:t>using</w:t>
      </w:r>
      <w:r w:rsidRPr="004A3AEC">
        <w:rPr>
          <w:rFonts w:ascii="Times New Roman" w:hAnsi="Times New Roman" w:cs="Times New Roman"/>
        </w:rPr>
        <w:t xml:space="preserve"> the same categories as </w:t>
      </w:r>
      <w:r>
        <w:rPr>
          <w:rFonts w:ascii="Times New Roman" w:hAnsi="Times New Roman" w:cs="Times New Roman"/>
        </w:rPr>
        <w:t>were used for Exhibit 3-1</w:t>
      </w:r>
      <w:r w:rsidR="00D3523B">
        <w:rPr>
          <w:rFonts w:ascii="Times New Roman" w:hAnsi="Times New Roman" w:cs="Times New Roman"/>
        </w:rPr>
        <w:t>5</w:t>
      </w:r>
      <w:r>
        <w:rPr>
          <w:rFonts w:ascii="Times New Roman" w:hAnsi="Times New Roman" w:cs="Times New Roman"/>
        </w:rPr>
        <w:t xml:space="preserve">. </w:t>
      </w:r>
      <w:r w:rsidRPr="004A3AEC">
        <w:rPr>
          <w:rFonts w:ascii="Times New Roman" w:hAnsi="Times New Roman" w:cs="Times New Roman"/>
        </w:rPr>
        <w:t>For th</w:t>
      </w:r>
      <w:r>
        <w:rPr>
          <w:rFonts w:ascii="Times New Roman" w:hAnsi="Times New Roman" w:cs="Times New Roman"/>
        </w:rPr>
        <w:t>ose a</w:t>
      </w:r>
      <w:r w:rsidRPr="004A3AEC">
        <w:rPr>
          <w:rFonts w:ascii="Times New Roman" w:hAnsi="Times New Roman" w:cs="Times New Roman"/>
        </w:rPr>
        <w:t>nalys</w:t>
      </w:r>
      <w:r>
        <w:rPr>
          <w:rFonts w:ascii="Times New Roman" w:hAnsi="Times New Roman" w:cs="Times New Roman"/>
        </w:rPr>
        <w:t>e</w:t>
      </w:r>
      <w:r w:rsidRPr="004A3AEC">
        <w:rPr>
          <w:rFonts w:ascii="Times New Roman" w:hAnsi="Times New Roman" w:cs="Times New Roman"/>
        </w:rPr>
        <w:t>s, EPA estimated monetized baseline damages for the 10</w:t>
      </w:r>
      <w:r>
        <w:rPr>
          <w:rFonts w:ascii="Times New Roman" w:hAnsi="Times New Roman" w:cs="Times New Roman"/>
        </w:rPr>
        <w:t>-</w:t>
      </w:r>
      <w:r w:rsidRPr="004A3AEC">
        <w:rPr>
          <w:rFonts w:ascii="Times New Roman" w:hAnsi="Times New Roman" w:cs="Times New Roman"/>
        </w:rPr>
        <w:t>year period from 2004 to 2013</w:t>
      </w:r>
      <w:r>
        <w:rPr>
          <w:rFonts w:ascii="Times New Roman" w:hAnsi="Times New Roman" w:cs="Times New Roman"/>
        </w:rPr>
        <w:t xml:space="preserve"> and for the three-year period from 2014 to 2016</w:t>
      </w:r>
      <w:r w:rsidRPr="00D03EFC">
        <w:rPr>
          <w:rFonts w:ascii="Times New Roman" w:hAnsi="Times New Roman" w:cs="Times New Roman"/>
        </w:rPr>
        <w:t xml:space="preserve">. </w:t>
      </w:r>
      <w:r w:rsidRPr="004C0240" w:rsidR="0065700F">
        <w:rPr>
          <w:rFonts w:ascii="Times New Roman" w:hAnsi="Times New Roman" w:cs="Times New Roman"/>
        </w:rPr>
        <w:t xml:space="preserve">EPA </w:t>
      </w:r>
      <w:r w:rsidR="00115922">
        <w:rPr>
          <w:rFonts w:ascii="Times New Roman" w:hAnsi="Times New Roman" w:cs="Times New Roman"/>
        </w:rPr>
        <w:t xml:space="preserve">has </w:t>
      </w:r>
      <w:r w:rsidRPr="004C0240" w:rsidR="0065700F">
        <w:rPr>
          <w:rFonts w:ascii="Times New Roman" w:hAnsi="Times New Roman" w:cs="Times New Roman"/>
        </w:rPr>
        <w:t>re-estimated unit damage costs for the</w:t>
      </w:r>
      <w:r w:rsidR="00115922">
        <w:rPr>
          <w:rFonts w:ascii="Times New Roman" w:hAnsi="Times New Roman" w:cs="Times New Roman"/>
        </w:rPr>
        <w:t>se</w:t>
      </w:r>
      <w:r w:rsidRPr="004C0240" w:rsidR="0065700F">
        <w:rPr>
          <w:rFonts w:ascii="Times New Roman" w:hAnsi="Times New Roman" w:cs="Times New Roman"/>
        </w:rPr>
        <w:t xml:space="preserve"> prior time periods</w:t>
      </w:r>
      <w:r w:rsidRPr="004C0240" w:rsidR="00675FCF">
        <w:rPr>
          <w:rFonts w:ascii="Times New Roman" w:hAnsi="Times New Roman" w:cs="Times New Roman"/>
        </w:rPr>
        <w:t>.</w:t>
      </w:r>
      <w:r>
        <w:rPr>
          <w:rStyle w:val="FootnoteReference"/>
          <w:rFonts w:ascii="Times New Roman" w:hAnsi="Times New Roman" w:cs="Times New Roman"/>
        </w:rPr>
        <w:footnoteReference w:id="95"/>
      </w:r>
      <w:r w:rsidRPr="004C0240" w:rsidR="00675FCF">
        <w:rPr>
          <w:rFonts w:ascii="Times New Roman" w:hAnsi="Times New Roman" w:cs="Times New Roman"/>
        </w:rPr>
        <w:t xml:space="preserve"> </w:t>
      </w:r>
      <w:r w:rsidRPr="004C0240" w:rsidR="001318A1">
        <w:rPr>
          <w:rFonts w:ascii="Times New Roman" w:hAnsi="Times New Roman" w:cs="Times New Roman"/>
        </w:rPr>
        <w:t>The new estimates</w:t>
      </w:r>
      <w:r w:rsidRPr="004C0240" w:rsidR="0065700F">
        <w:rPr>
          <w:rFonts w:ascii="Times New Roman" w:hAnsi="Times New Roman" w:cs="Times New Roman"/>
        </w:rPr>
        <w:t xml:space="preserve"> apply </w:t>
      </w:r>
      <w:r w:rsidRPr="004C0240" w:rsidR="0065700F">
        <w:rPr>
          <w:rStyle w:val="cf01"/>
          <w:rFonts w:ascii="Times New Roman" w:hAnsi="Times New Roman" w:cs="Times New Roman"/>
          <w:sz w:val="22"/>
          <w:szCs w:val="22"/>
        </w:rPr>
        <w:t xml:space="preserve">the </w:t>
      </w:r>
      <w:r w:rsidR="008E4351">
        <w:rPr>
          <w:rStyle w:val="cf01"/>
          <w:rFonts w:ascii="Times New Roman" w:hAnsi="Times New Roman" w:cs="Times New Roman"/>
          <w:sz w:val="22"/>
          <w:szCs w:val="22"/>
        </w:rPr>
        <w:t>same set of</w:t>
      </w:r>
      <w:r w:rsidRPr="004C0240" w:rsidR="0065700F">
        <w:rPr>
          <w:rStyle w:val="cf01"/>
          <w:rFonts w:ascii="Times New Roman" w:hAnsi="Times New Roman" w:cs="Times New Roman"/>
          <w:sz w:val="22"/>
          <w:szCs w:val="22"/>
        </w:rPr>
        <w:t xml:space="preserve"> assumptions used for the current final rule analysis.</w:t>
      </w:r>
      <w:r w:rsidRPr="004C0240" w:rsidR="00D24259">
        <w:rPr>
          <w:rStyle w:val="cf01"/>
          <w:rFonts w:ascii="Times New Roman" w:hAnsi="Times New Roman" w:cs="Times New Roman"/>
          <w:sz w:val="22"/>
          <w:szCs w:val="22"/>
        </w:rPr>
        <w:t xml:space="preserve"> </w:t>
      </w:r>
      <w:r w:rsidR="001E7085">
        <w:rPr>
          <w:rStyle w:val="cf01"/>
          <w:rFonts w:ascii="Times New Roman" w:hAnsi="Times New Roman" w:cs="Times New Roman"/>
          <w:sz w:val="22"/>
          <w:szCs w:val="22"/>
        </w:rPr>
        <w:t xml:space="preserve">However, the underlying RMP data on property damages and </w:t>
      </w:r>
      <w:r w:rsidR="006A368E">
        <w:rPr>
          <w:rStyle w:val="cf01"/>
          <w:rFonts w:ascii="Times New Roman" w:hAnsi="Times New Roman" w:cs="Times New Roman"/>
          <w:sz w:val="22"/>
          <w:szCs w:val="22"/>
        </w:rPr>
        <w:t>reportable</w:t>
      </w:r>
      <w:r w:rsidR="001E7085">
        <w:rPr>
          <w:rStyle w:val="cf01"/>
          <w:rFonts w:ascii="Times New Roman" w:hAnsi="Times New Roman" w:cs="Times New Roman"/>
          <w:sz w:val="22"/>
          <w:szCs w:val="22"/>
        </w:rPr>
        <w:t xml:space="preserve"> accidents is subject to being updated with</w:t>
      </w:r>
      <w:r w:rsidR="00F54C3B">
        <w:rPr>
          <w:rStyle w:val="cf01"/>
          <w:rFonts w:ascii="Times New Roman" w:hAnsi="Times New Roman" w:cs="Times New Roman"/>
          <w:sz w:val="22"/>
          <w:szCs w:val="22"/>
        </w:rPr>
        <w:t xml:space="preserve"> more recent data </w:t>
      </w:r>
      <w:r w:rsidR="00C726E6">
        <w:rPr>
          <w:rStyle w:val="cf01"/>
          <w:rFonts w:ascii="Times New Roman" w:hAnsi="Times New Roman" w:cs="Times New Roman"/>
          <w:sz w:val="22"/>
          <w:szCs w:val="22"/>
        </w:rPr>
        <w:t xml:space="preserve">years after an accident has </w:t>
      </w:r>
      <w:r w:rsidR="0019029A">
        <w:rPr>
          <w:rStyle w:val="cf01"/>
          <w:rFonts w:ascii="Times New Roman" w:hAnsi="Times New Roman" w:cs="Times New Roman"/>
          <w:sz w:val="22"/>
          <w:szCs w:val="22"/>
        </w:rPr>
        <w:t>occurred</w:t>
      </w:r>
      <w:r w:rsidR="00F54C3B">
        <w:rPr>
          <w:rStyle w:val="cf01"/>
          <w:rFonts w:ascii="Times New Roman" w:hAnsi="Times New Roman" w:cs="Times New Roman"/>
          <w:sz w:val="22"/>
          <w:szCs w:val="22"/>
        </w:rPr>
        <w:t xml:space="preserve">. The higher values for the </w:t>
      </w:r>
      <w:r w:rsidR="00C35F34">
        <w:rPr>
          <w:rStyle w:val="cf01"/>
          <w:rFonts w:ascii="Times New Roman" w:hAnsi="Times New Roman" w:cs="Times New Roman"/>
          <w:sz w:val="22"/>
          <w:szCs w:val="22"/>
        </w:rPr>
        <w:t xml:space="preserve">monetized costs of accidents from 2004 to 2013 and 2014 to 2016 </w:t>
      </w:r>
      <w:r w:rsidR="00B2734F">
        <w:rPr>
          <w:rStyle w:val="cf01"/>
          <w:rFonts w:ascii="Times New Roman" w:hAnsi="Times New Roman" w:cs="Times New Roman"/>
          <w:sz w:val="22"/>
          <w:szCs w:val="22"/>
        </w:rPr>
        <w:t xml:space="preserve">compared to the 2017 amendments rule and 2019 reconsideration rule </w:t>
      </w:r>
      <w:r w:rsidR="00C35F34">
        <w:rPr>
          <w:rStyle w:val="cf01"/>
          <w:rFonts w:ascii="Times New Roman" w:hAnsi="Times New Roman" w:cs="Times New Roman"/>
          <w:sz w:val="22"/>
          <w:szCs w:val="22"/>
        </w:rPr>
        <w:t xml:space="preserve">reflect </w:t>
      </w:r>
      <w:r w:rsidR="00CA428A">
        <w:rPr>
          <w:rStyle w:val="cf01"/>
          <w:rFonts w:ascii="Times New Roman" w:hAnsi="Times New Roman" w:cs="Times New Roman"/>
          <w:sz w:val="22"/>
          <w:szCs w:val="22"/>
        </w:rPr>
        <w:t>these changes</w:t>
      </w:r>
      <w:r w:rsidR="00FF7866">
        <w:rPr>
          <w:rStyle w:val="cf01"/>
          <w:rFonts w:ascii="Times New Roman" w:hAnsi="Times New Roman" w:cs="Times New Roman"/>
          <w:sz w:val="22"/>
          <w:szCs w:val="22"/>
        </w:rPr>
        <w:t xml:space="preserve"> in data</w:t>
      </w:r>
      <w:r w:rsidR="00CA428A">
        <w:rPr>
          <w:rStyle w:val="cf01"/>
          <w:rFonts w:ascii="Times New Roman" w:hAnsi="Times New Roman" w:cs="Times New Roman"/>
          <w:sz w:val="22"/>
          <w:szCs w:val="22"/>
        </w:rPr>
        <w:t>. Most notabl</w:t>
      </w:r>
      <w:r w:rsidR="009E5B9C">
        <w:rPr>
          <w:rStyle w:val="cf01"/>
          <w:rFonts w:ascii="Times New Roman" w:hAnsi="Times New Roman" w:cs="Times New Roman"/>
          <w:sz w:val="22"/>
          <w:szCs w:val="22"/>
        </w:rPr>
        <w:t>y</w:t>
      </w:r>
      <w:r w:rsidR="00CA428A">
        <w:rPr>
          <w:rStyle w:val="cf01"/>
          <w:rFonts w:ascii="Times New Roman" w:hAnsi="Times New Roman" w:cs="Times New Roman"/>
          <w:sz w:val="22"/>
          <w:szCs w:val="22"/>
        </w:rPr>
        <w:t xml:space="preserve">, </w:t>
      </w:r>
      <w:r w:rsidR="00B2734F">
        <w:rPr>
          <w:rStyle w:val="cf01"/>
          <w:rFonts w:ascii="Times New Roman" w:hAnsi="Times New Roman" w:cs="Times New Roman"/>
          <w:sz w:val="22"/>
          <w:szCs w:val="22"/>
        </w:rPr>
        <w:t>subsequent</w:t>
      </w:r>
      <w:r w:rsidR="00CF3382">
        <w:rPr>
          <w:rStyle w:val="cf01"/>
          <w:rFonts w:ascii="Times New Roman" w:hAnsi="Times New Roman" w:cs="Times New Roman"/>
          <w:sz w:val="22"/>
          <w:szCs w:val="22"/>
        </w:rPr>
        <w:t xml:space="preserve"> adjustment</w:t>
      </w:r>
      <w:r w:rsidR="007A3764">
        <w:rPr>
          <w:rStyle w:val="cf01"/>
          <w:rFonts w:ascii="Times New Roman" w:hAnsi="Times New Roman" w:cs="Times New Roman"/>
          <w:sz w:val="22"/>
          <w:szCs w:val="22"/>
        </w:rPr>
        <w:t>s</w:t>
      </w:r>
      <w:r w:rsidR="00CF3382">
        <w:rPr>
          <w:rStyle w:val="cf01"/>
          <w:rFonts w:ascii="Times New Roman" w:hAnsi="Times New Roman" w:cs="Times New Roman"/>
          <w:sz w:val="22"/>
          <w:szCs w:val="22"/>
        </w:rPr>
        <w:t xml:space="preserve"> to the value of </w:t>
      </w:r>
      <w:r w:rsidR="00CA428A">
        <w:rPr>
          <w:rStyle w:val="cf01"/>
          <w:rFonts w:ascii="Times New Roman" w:hAnsi="Times New Roman" w:cs="Times New Roman"/>
          <w:sz w:val="22"/>
          <w:szCs w:val="22"/>
        </w:rPr>
        <w:t>property damages</w:t>
      </w:r>
      <w:r w:rsidR="00AF4CC2">
        <w:rPr>
          <w:rStyle w:val="cf01"/>
          <w:rFonts w:ascii="Times New Roman" w:hAnsi="Times New Roman" w:cs="Times New Roman"/>
          <w:sz w:val="22"/>
          <w:szCs w:val="22"/>
        </w:rPr>
        <w:t xml:space="preserve"> </w:t>
      </w:r>
      <w:r w:rsidR="001C1740">
        <w:rPr>
          <w:rStyle w:val="cf01"/>
          <w:rFonts w:ascii="Times New Roman" w:hAnsi="Times New Roman" w:cs="Times New Roman"/>
          <w:sz w:val="22"/>
          <w:szCs w:val="22"/>
        </w:rPr>
        <w:t>primarily</w:t>
      </w:r>
      <w:r w:rsidR="007A3764">
        <w:rPr>
          <w:rStyle w:val="cf01"/>
          <w:rFonts w:ascii="Times New Roman" w:hAnsi="Times New Roman" w:cs="Times New Roman"/>
          <w:sz w:val="22"/>
          <w:szCs w:val="22"/>
        </w:rPr>
        <w:t xml:space="preserve"> </w:t>
      </w:r>
      <w:r w:rsidR="00AF4CC2">
        <w:rPr>
          <w:rStyle w:val="cf01"/>
          <w:rFonts w:ascii="Times New Roman" w:hAnsi="Times New Roman" w:cs="Times New Roman"/>
          <w:sz w:val="22"/>
          <w:szCs w:val="22"/>
        </w:rPr>
        <w:t xml:space="preserve">drove the </w:t>
      </w:r>
      <w:r w:rsidR="00F74283">
        <w:rPr>
          <w:rStyle w:val="cf01"/>
          <w:rFonts w:ascii="Times New Roman" w:hAnsi="Times New Roman" w:cs="Times New Roman"/>
          <w:sz w:val="22"/>
          <w:szCs w:val="22"/>
        </w:rPr>
        <w:t xml:space="preserve">higher </w:t>
      </w:r>
      <w:r w:rsidR="00CF3382">
        <w:rPr>
          <w:rStyle w:val="cf01"/>
          <w:rFonts w:ascii="Times New Roman" w:hAnsi="Times New Roman" w:cs="Times New Roman"/>
          <w:sz w:val="22"/>
          <w:szCs w:val="22"/>
        </w:rPr>
        <w:t>costs of accidents.</w:t>
      </w:r>
      <w:r w:rsidR="00CA428A">
        <w:rPr>
          <w:rStyle w:val="cf01"/>
          <w:rFonts w:ascii="Times New Roman" w:hAnsi="Times New Roman" w:cs="Times New Roman"/>
          <w:sz w:val="22"/>
          <w:szCs w:val="22"/>
        </w:rPr>
        <w:t xml:space="preserve"> </w:t>
      </w:r>
      <w:r w:rsidRPr="00D03EFC">
        <w:rPr>
          <w:rFonts w:ascii="Times New Roman" w:hAnsi="Times New Roman" w:cs="Times New Roman"/>
        </w:rPr>
        <w:t xml:space="preserve">The estimates </w:t>
      </w:r>
      <w:r w:rsidRPr="00D03EFC" w:rsidR="007F0249">
        <w:rPr>
          <w:rFonts w:ascii="Times New Roman" w:hAnsi="Times New Roman" w:cs="Times New Roman"/>
        </w:rPr>
        <w:t xml:space="preserve">for </w:t>
      </w:r>
      <w:r w:rsidRPr="00D03EFC" w:rsidR="00DB7A3A">
        <w:rPr>
          <w:rFonts w:ascii="Times New Roman" w:hAnsi="Times New Roman" w:cs="Times New Roman"/>
        </w:rPr>
        <w:t xml:space="preserve">the two </w:t>
      </w:r>
      <w:r w:rsidRPr="00D03EFC" w:rsidR="00E76E0F">
        <w:rPr>
          <w:rFonts w:ascii="Times New Roman" w:hAnsi="Times New Roman" w:cs="Times New Roman"/>
        </w:rPr>
        <w:t>prior</w:t>
      </w:r>
      <w:r w:rsidRPr="00D03EFC" w:rsidR="00DB7A3A">
        <w:rPr>
          <w:rFonts w:ascii="Times New Roman" w:hAnsi="Times New Roman" w:cs="Times New Roman"/>
        </w:rPr>
        <w:t xml:space="preserve"> time horizons are</w:t>
      </w:r>
      <w:r w:rsidRPr="00D03EFC" w:rsidR="00C339E0">
        <w:rPr>
          <w:rFonts w:ascii="Times New Roman" w:hAnsi="Times New Roman" w:cs="Times New Roman"/>
        </w:rPr>
        <w:t xml:space="preserve"> presented</w:t>
      </w:r>
      <w:r w:rsidRPr="00D03EFC">
        <w:rPr>
          <w:rFonts w:ascii="Times New Roman" w:hAnsi="Times New Roman" w:cs="Times New Roman"/>
        </w:rPr>
        <w:t xml:space="preserve"> in 20</w:t>
      </w:r>
      <w:r w:rsidRPr="00D03EFC" w:rsidR="00C339E0">
        <w:rPr>
          <w:rFonts w:ascii="Times New Roman" w:hAnsi="Times New Roman" w:cs="Times New Roman"/>
        </w:rPr>
        <w:t>22</w:t>
      </w:r>
      <w:r w:rsidRPr="00D03EFC">
        <w:rPr>
          <w:rFonts w:ascii="Times New Roman" w:hAnsi="Times New Roman" w:cs="Times New Roman"/>
        </w:rPr>
        <w:t xml:space="preserve"> dollars and appear in Exhibit 3-1</w:t>
      </w:r>
      <w:r w:rsidRPr="00D03EFC" w:rsidR="00D3523B">
        <w:rPr>
          <w:rFonts w:ascii="Times New Roman" w:hAnsi="Times New Roman" w:cs="Times New Roman"/>
        </w:rPr>
        <w:t>6</w:t>
      </w:r>
      <w:r w:rsidRPr="00D03EFC" w:rsidR="00FA2636">
        <w:rPr>
          <w:rFonts w:ascii="Times New Roman" w:hAnsi="Times New Roman" w:cs="Times New Roman"/>
        </w:rPr>
        <w:t>.</w:t>
      </w:r>
      <w:r>
        <w:rPr>
          <w:rStyle w:val="FootnoteReference"/>
          <w:rFonts w:ascii="Times New Roman" w:hAnsi="Times New Roman" w:cs="Times New Roman"/>
        </w:rPr>
        <w:footnoteReference w:id="96"/>
      </w:r>
      <w:r w:rsidRPr="00D03EFC">
        <w:rPr>
          <w:rFonts w:ascii="Times New Roman" w:hAnsi="Times New Roman" w:cs="Times New Roman"/>
        </w:rPr>
        <w:t xml:space="preserve">  </w:t>
      </w:r>
    </w:p>
    <w:p w:rsidR="00AF4A7D" w:rsidP="00BE4E59" w14:paraId="7FE7B557" w14:textId="77777777">
      <w:pPr>
        <w:spacing w:after="0" w:line="240" w:lineRule="auto"/>
        <w:rPr>
          <w:rFonts w:ascii="Times New Roman" w:hAnsi="Times New Roman" w:cs="Times New Roman"/>
        </w:rPr>
      </w:pPr>
    </w:p>
    <w:p w:rsidR="00BE4E59" w:rsidP="00BE4E59" w14:paraId="7724D9A4" w14:textId="77777777">
      <w:pPr>
        <w:spacing w:after="0" w:line="240" w:lineRule="auto"/>
        <w:ind w:left="360" w:hanging="360"/>
        <w:jc w:val="center"/>
        <w:rPr>
          <w:rFonts w:ascii="Times New Roman" w:hAnsi="Times New Roman" w:cs="Times New Roman"/>
          <w:b/>
        </w:rPr>
      </w:pPr>
      <w:r w:rsidRPr="001C0658">
        <w:rPr>
          <w:rFonts w:ascii="Times New Roman" w:hAnsi="Times New Roman" w:cs="Times New Roman"/>
          <w:b/>
        </w:rPr>
        <w:t>Exhibit</w:t>
      </w:r>
      <w:r>
        <w:t xml:space="preserve"> </w:t>
      </w:r>
      <w:r>
        <w:rPr>
          <w:rFonts w:ascii="Times New Roman" w:hAnsi="Times New Roman" w:cs="Times New Roman"/>
          <w:b/>
        </w:rPr>
        <w:t>3-1</w:t>
      </w:r>
      <w:r w:rsidR="00D3523B">
        <w:rPr>
          <w:rFonts w:ascii="Times New Roman" w:hAnsi="Times New Roman" w:cs="Times New Roman"/>
          <w:b/>
        </w:rPr>
        <w:t>5</w:t>
      </w:r>
      <w:r w:rsidRPr="00BF42A8">
        <w:rPr>
          <w:rFonts w:ascii="Times New Roman" w:hAnsi="Times New Roman" w:cs="Times New Roman"/>
          <w:b/>
        </w:rPr>
        <w:t xml:space="preserve">: Monetized Accident Costs </w:t>
      </w:r>
      <w:r>
        <w:rPr>
          <w:rFonts w:ascii="Times New Roman" w:hAnsi="Times New Roman" w:cs="Times New Roman"/>
          <w:b/>
        </w:rPr>
        <w:t>including Average</w:t>
      </w:r>
      <w:r w:rsidRPr="00BF42A8">
        <w:rPr>
          <w:rFonts w:ascii="Times New Roman" w:hAnsi="Times New Roman" w:cs="Times New Roman"/>
          <w:b/>
        </w:rPr>
        <w:t xml:space="preserve"> per Year and</w:t>
      </w:r>
      <w:r>
        <w:rPr>
          <w:rFonts w:ascii="Times New Roman" w:hAnsi="Times New Roman" w:cs="Times New Roman"/>
          <w:b/>
        </w:rPr>
        <w:t xml:space="preserve"> </w:t>
      </w:r>
      <w:r w:rsidRPr="00BF42A8">
        <w:rPr>
          <w:rFonts w:ascii="Times New Roman" w:hAnsi="Times New Roman" w:cs="Times New Roman"/>
          <w:b/>
        </w:rPr>
        <w:t>per Accident</w:t>
      </w:r>
      <w:r w:rsidR="00EA4E87">
        <w:rPr>
          <w:rFonts w:ascii="Times New Roman" w:hAnsi="Times New Roman" w:cs="Times New Roman"/>
          <w:b/>
        </w:rPr>
        <w:t xml:space="preserve"> for</w:t>
      </w:r>
    </w:p>
    <w:p w:rsidR="00BE4E59" w:rsidP="00BE4E59" w14:paraId="5BBE5F57" w14:textId="77777777">
      <w:pPr>
        <w:spacing w:after="0" w:line="240" w:lineRule="auto"/>
        <w:ind w:left="360" w:hanging="360"/>
        <w:jc w:val="center"/>
        <w:rPr>
          <w:rFonts w:ascii="Times New Roman" w:hAnsi="Times New Roman" w:cs="Times New Roman"/>
          <w:b/>
        </w:rPr>
      </w:pPr>
      <w:r w:rsidRPr="00BF42A8">
        <w:rPr>
          <w:rFonts w:ascii="Times New Roman" w:hAnsi="Times New Roman" w:cs="Times New Roman"/>
          <w:b/>
        </w:rPr>
        <w:t xml:space="preserve">2016-2020 (millions, </w:t>
      </w:r>
      <w:r w:rsidRPr="00BF42A8" w:rsidR="00366041">
        <w:rPr>
          <w:rFonts w:ascii="Times New Roman" w:hAnsi="Times New Roman" w:cs="Times New Roman"/>
          <w:b/>
        </w:rPr>
        <w:t>202</w:t>
      </w:r>
      <w:r w:rsidR="00366041">
        <w:rPr>
          <w:rFonts w:ascii="Times New Roman" w:hAnsi="Times New Roman" w:cs="Times New Roman"/>
          <w:b/>
        </w:rPr>
        <w:t>2</w:t>
      </w:r>
      <w:r w:rsidRPr="00BF42A8" w:rsidR="00366041">
        <w:rPr>
          <w:rFonts w:ascii="Times New Roman" w:hAnsi="Times New Roman" w:cs="Times New Roman"/>
          <w:b/>
        </w:rPr>
        <w:t xml:space="preserve"> </w:t>
      </w:r>
      <w:r w:rsidRPr="00BF42A8">
        <w:rPr>
          <w:rFonts w:ascii="Times New Roman" w:hAnsi="Times New Roman" w:cs="Times New Roman"/>
          <w:b/>
        </w:rPr>
        <w:t>dollars)</w:t>
      </w:r>
      <w:r>
        <w:rPr>
          <w:rFonts w:ascii="Times New Roman" w:hAnsi="Times New Roman" w:cs="Times New Roman"/>
          <w:b/>
        </w:rPr>
        <w:t>.</w:t>
      </w:r>
    </w:p>
    <w:p w:rsidR="00BE4E59" w:rsidRPr="00BF42A8" w:rsidP="00BE4E59" w14:paraId="315C62B3" w14:textId="77777777">
      <w:pPr>
        <w:spacing w:after="0" w:line="240" w:lineRule="auto"/>
        <w:ind w:left="1791" w:right="1790"/>
        <w:jc w:val="center"/>
        <w:rPr>
          <w:rFonts w:ascii="Times New Roman" w:hAnsi="Times New Roman" w:cs="Times New Roman"/>
          <w:b/>
        </w:rPr>
      </w:pPr>
    </w:p>
    <w:tbl>
      <w:tblPr>
        <w:tblW w:w="9340" w:type="dxa"/>
        <w:jc w:val="center"/>
        <w:tblLook w:val="04A0"/>
      </w:tblPr>
      <w:tblGrid>
        <w:gridCol w:w="1777"/>
        <w:gridCol w:w="1256"/>
        <w:gridCol w:w="1237"/>
        <w:gridCol w:w="1649"/>
        <w:gridCol w:w="1738"/>
        <w:gridCol w:w="1683"/>
      </w:tblGrid>
      <w:tr w14:paraId="42AA9D02" w14:textId="77777777" w:rsidTr="646EC0CA">
        <w:tblPrEx>
          <w:tblW w:w="9340" w:type="dxa"/>
          <w:jc w:val="center"/>
          <w:tblLook w:val="04A0"/>
        </w:tblPrEx>
        <w:trPr>
          <w:trHeight w:val="220"/>
          <w:tblHeader/>
          <w:jc w:val="center"/>
        </w:trPr>
        <w:tc>
          <w:tcPr>
            <w:tcW w:w="17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hideMark/>
          </w:tcPr>
          <w:p w:rsidR="00BE4E59" w:rsidRPr="001C0658" w14:paraId="40433B8D"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w:t>
            </w:r>
          </w:p>
        </w:tc>
        <w:tc>
          <w:tcPr>
            <w:tcW w:w="1256"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vAlign w:val="center"/>
            <w:hideMark/>
          </w:tcPr>
          <w:p w:rsidR="00BE4E59" w:rsidRPr="001C0658" w14:paraId="6E5077D9" w14:textId="77777777">
            <w:pPr>
              <w:spacing w:after="0" w:line="240" w:lineRule="auto"/>
              <w:jc w:val="center"/>
              <w:rPr>
                <w:rFonts w:ascii="Times New Roman" w:eastAsia="Times New Roman" w:hAnsi="Times New Roman" w:cs="Times New Roman"/>
                <w:b/>
                <w:color w:val="000000"/>
                <w:sz w:val="20"/>
                <w:szCs w:val="20"/>
              </w:rPr>
            </w:pPr>
            <w:r w:rsidRPr="001C0658">
              <w:rPr>
                <w:rFonts w:ascii="Times New Roman" w:eastAsia="Times New Roman" w:hAnsi="Times New Roman" w:cs="Times New Roman"/>
                <w:b/>
                <w:color w:val="000000"/>
                <w:sz w:val="20"/>
                <w:szCs w:val="20"/>
              </w:rPr>
              <w:t>Unit Value</w:t>
            </w:r>
          </w:p>
        </w:tc>
        <w:tc>
          <w:tcPr>
            <w:tcW w:w="1237"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vAlign w:val="center"/>
            <w:hideMark/>
          </w:tcPr>
          <w:p w:rsidR="00BE4E59" w:rsidRPr="001C0658" w14:paraId="2012A1B1" w14:textId="77777777">
            <w:pPr>
              <w:spacing w:after="0" w:line="240" w:lineRule="auto"/>
              <w:jc w:val="center"/>
              <w:rPr>
                <w:rFonts w:ascii="Times New Roman" w:eastAsia="Times New Roman" w:hAnsi="Times New Roman" w:cs="Times New Roman"/>
                <w:b/>
                <w:color w:val="000000"/>
                <w:sz w:val="20"/>
                <w:szCs w:val="20"/>
              </w:rPr>
            </w:pPr>
            <w:r w:rsidRPr="001C0658">
              <w:rPr>
                <w:rFonts w:ascii="Times New Roman" w:eastAsia="Times New Roman" w:hAnsi="Times New Roman" w:cs="Times New Roman"/>
                <w:b/>
                <w:color w:val="000000"/>
                <w:sz w:val="20"/>
                <w:szCs w:val="20"/>
              </w:rPr>
              <w:t>5-Year Total</w:t>
            </w:r>
          </w:p>
        </w:tc>
        <w:tc>
          <w:tcPr>
            <w:tcW w:w="1649"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vAlign w:val="center"/>
            <w:hideMark/>
          </w:tcPr>
          <w:p w:rsidR="00BE4E59" w:rsidRPr="001C0658" w14:paraId="05D1BF79" w14:textId="77777777">
            <w:pPr>
              <w:spacing w:after="0" w:line="240" w:lineRule="auto"/>
              <w:jc w:val="center"/>
              <w:rPr>
                <w:rFonts w:ascii="Times New Roman" w:eastAsia="Times New Roman" w:hAnsi="Times New Roman" w:cs="Times New Roman"/>
                <w:b/>
                <w:color w:val="000000"/>
                <w:sz w:val="20"/>
                <w:szCs w:val="20"/>
              </w:rPr>
            </w:pPr>
            <w:r w:rsidRPr="001C0658">
              <w:rPr>
                <w:rFonts w:ascii="Times New Roman" w:eastAsia="Times New Roman" w:hAnsi="Times New Roman" w:cs="Times New Roman"/>
                <w:b/>
                <w:color w:val="000000"/>
                <w:sz w:val="20"/>
                <w:szCs w:val="20"/>
              </w:rPr>
              <w:t>Average/Year</w:t>
            </w:r>
          </w:p>
        </w:tc>
        <w:tc>
          <w:tcPr>
            <w:tcW w:w="1738"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vAlign w:val="center"/>
            <w:hideMark/>
          </w:tcPr>
          <w:p w:rsidR="00BE4E59" w:rsidRPr="001C0658" w14:paraId="5AAB32F6" w14:textId="77777777">
            <w:pPr>
              <w:spacing w:after="0" w:line="240" w:lineRule="auto"/>
              <w:jc w:val="center"/>
              <w:rPr>
                <w:rFonts w:ascii="Times New Roman" w:eastAsia="Times New Roman" w:hAnsi="Times New Roman" w:cs="Times New Roman"/>
                <w:b/>
                <w:color w:val="000000"/>
                <w:sz w:val="20"/>
                <w:szCs w:val="20"/>
              </w:rPr>
            </w:pPr>
            <w:r w:rsidRPr="001C0658">
              <w:rPr>
                <w:rFonts w:ascii="Times New Roman" w:eastAsia="Times New Roman" w:hAnsi="Times New Roman" w:cs="Times New Roman"/>
                <w:b/>
                <w:color w:val="000000"/>
                <w:sz w:val="20"/>
                <w:szCs w:val="20"/>
              </w:rPr>
              <w:t>Average/Accident</w:t>
            </w:r>
          </w:p>
        </w:tc>
        <w:tc>
          <w:tcPr>
            <w:tcW w:w="1683"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vAlign w:val="center"/>
          </w:tcPr>
          <w:p w:rsidR="00BE4E59" w:rsidRPr="001C0658" w14:paraId="74CEF56F" w14:textId="7777777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Median/Accident</w:t>
            </w:r>
          </w:p>
        </w:tc>
      </w:tr>
      <w:tr w14:paraId="5354A062" w14:textId="77777777" w:rsidTr="646EC0CA">
        <w:tblPrEx>
          <w:tblW w:w="9340" w:type="dxa"/>
          <w:jc w:val="center"/>
          <w:tblLook w:val="04A0"/>
        </w:tblPrEx>
        <w:trPr>
          <w:trHeight w:val="179"/>
          <w:jc w:val="center"/>
        </w:trPr>
        <w:tc>
          <w:tcPr>
            <w:tcW w:w="934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vAlign w:val="center"/>
            <w:hideMark/>
          </w:tcPr>
          <w:p w:rsidR="00EA4E87" w:rsidRPr="001C0658" w14:paraId="26562EF8" w14:textId="77777777">
            <w:pPr>
              <w:spacing w:after="0" w:line="240" w:lineRule="auto"/>
              <w:rPr>
                <w:rFonts w:ascii="Times New Roman" w:eastAsia="Times New Roman" w:hAnsi="Times New Roman" w:cs="Times New Roman"/>
                <w:b/>
                <w:color w:val="000000"/>
                <w:sz w:val="20"/>
                <w:szCs w:val="20"/>
              </w:rPr>
            </w:pPr>
            <w:r w:rsidRPr="001C0658">
              <w:rPr>
                <w:rFonts w:ascii="Times New Roman" w:eastAsia="Times New Roman" w:hAnsi="Times New Roman" w:cs="Times New Roman"/>
                <w:b/>
                <w:color w:val="000000"/>
                <w:sz w:val="20"/>
                <w:szCs w:val="20"/>
              </w:rPr>
              <w:t>Onsite</w:t>
            </w:r>
          </w:p>
        </w:tc>
      </w:tr>
      <w:tr w14:paraId="17E2D83C" w14:textId="77777777" w:rsidTr="646EC0CA">
        <w:tblPrEx>
          <w:tblW w:w="9340" w:type="dxa"/>
          <w:jc w:val="center"/>
          <w:tblLook w:val="04A0"/>
        </w:tblPrEx>
        <w:trPr>
          <w:trHeight w:val="157"/>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275C4F" w:rsidRPr="001C0658" w:rsidP="00275C4F" w14:paraId="7099A398"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Fatalities</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1C0658" w:rsidP="00275C4F" w14:paraId="5125EFCF"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10.4</w:t>
            </w:r>
            <w:r w:rsidRPr="001C0658">
              <w:rPr>
                <w:rFonts w:ascii="Times New Roman" w:eastAsia="Times New Roman" w:hAnsi="Times New Roman" w:cs="Times New Roman"/>
                <w:color w:val="000000"/>
                <w:sz w:val="20"/>
                <w:szCs w:val="20"/>
              </w:rPr>
              <w:t xml:space="preserve">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376DC020"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color w:val="000000"/>
                <w:sz w:val="20"/>
                <w:szCs w:val="20"/>
              </w:rPr>
              <w:t xml:space="preserve">$187.9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087062FF"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color w:val="000000"/>
                <w:sz w:val="20"/>
                <w:szCs w:val="20"/>
              </w:rPr>
              <w:t xml:space="preserve">$37.57 </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5A927C2B"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color w:val="000000"/>
                <w:sz w:val="20"/>
                <w:szCs w:val="20"/>
              </w:rPr>
              <w:t xml:space="preserve">$0.38 </w:t>
            </w:r>
          </w:p>
        </w:tc>
        <w:tc>
          <w:tcPr>
            <w:tcW w:w="1683" w:type="dxa"/>
            <w:tcBorders>
              <w:top w:val="nil"/>
              <w:left w:val="nil"/>
              <w:bottom w:val="single" w:sz="8" w:space="0" w:color="000000" w:themeColor="text1"/>
              <w:right w:val="single" w:sz="8" w:space="0" w:color="000000" w:themeColor="text1"/>
            </w:tcBorders>
          </w:tcPr>
          <w:p w:rsidR="00275C4F" w:rsidRPr="009037CE" w:rsidP="00275C4F" w14:paraId="40B26BEA" w14:textId="77777777">
            <w:pPr>
              <w:spacing w:after="0" w:line="240" w:lineRule="auto"/>
              <w:jc w:val="center"/>
              <w:rPr>
                <w:rFonts w:ascii="Times New Roman" w:hAnsi="Times New Roman" w:cs="Times New Roman"/>
                <w:color w:val="000000"/>
                <w:sz w:val="20"/>
                <w:szCs w:val="20"/>
              </w:rPr>
            </w:pPr>
            <w:r w:rsidRPr="009037CE">
              <w:rPr>
                <w:rFonts w:ascii="Times New Roman" w:hAnsi="Times New Roman" w:cs="Times New Roman"/>
                <w:color w:val="000000"/>
                <w:sz w:val="20"/>
                <w:szCs w:val="20"/>
              </w:rPr>
              <w:t>$0.00</w:t>
            </w:r>
          </w:p>
        </w:tc>
      </w:tr>
      <w:tr w14:paraId="4BB73BD0" w14:textId="77777777" w:rsidTr="646EC0CA">
        <w:tblPrEx>
          <w:tblW w:w="9340" w:type="dxa"/>
          <w:jc w:val="center"/>
          <w:tblLook w:val="04A0"/>
        </w:tblPrEx>
        <w:trPr>
          <w:trHeight w:val="157"/>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275C4F" w:rsidRPr="001C0658" w:rsidP="00275C4F" w14:paraId="748E42AC"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Injuries</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1C0658" w:rsidP="00275C4F" w14:paraId="10A0A843"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$0.0</w:t>
            </w:r>
            <w:r>
              <w:rPr>
                <w:rFonts w:ascii="Times New Roman" w:eastAsia="Times New Roman" w:hAnsi="Times New Roman" w:cs="Times New Roman"/>
                <w:color w:val="000000"/>
                <w:sz w:val="20"/>
                <w:szCs w:val="20"/>
              </w:rPr>
              <w:t>50</w:t>
            </w:r>
            <w:r w:rsidRPr="001C0658">
              <w:rPr>
                <w:rFonts w:ascii="Times New Roman" w:eastAsia="Times New Roman" w:hAnsi="Times New Roman" w:cs="Times New Roman"/>
                <w:color w:val="000000"/>
                <w:sz w:val="20"/>
                <w:szCs w:val="20"/>
              </w:rPr>
              <w:t xml:space="preserve">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7E63DBD7"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color w:val="000000"/>
                <w:sz w:val="20"/>
                <w:szCs w:val="20"/>
              </w:rPr>
              <w:t xml:space="preserve">$28.75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57F5CE93"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color w:val="000000"/>
                <w:sz w:val="20"/>
                <w:szCs w:val="20"/>
              </w:rPr>
              <w:t xml:space="preserve">$5.75 </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0C02C6D4"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color w:val="000000"/>
                <w:sz w:val="20"/>
                <w:szCs w:val="20"/>
              </w:rPr>
              <w:t xml:space="preserve">$0.06 </w:t>
            </w:r>
          </w:p>
        </w:tc>
        <w:tc>
          <w:tcPr>
            <w:tcW w:w="1683" w:type="dxa"/>
            <w:tcBorders>
              <w:top w:val="nil"/>
              <w:left w:val="nil"/>
              <w:bottom w:val="single" w:sz="8" w:space="0" w:color="000000" w:themeColor="text1"/>
              <w:right w:val="single" w:sz="8" w:space="0" w:color="000000" w:themeColor="text1"/>
            </w:tcBorders>
          </w:tcPr>
          <w:p w:rsidR="00275C4F" w:rsidRPr="009037CE" w:rsidP="00275C4F" w14:paraId="61927C4B" w14:textId="77777777">
            <w:pPr>
              <w:spacing w:after="0" w:line="240" w:lineRule="auto"/>
              <w:jc w:val="center"/>
              <w:rPr>
                <w:rFonts w:ascii="Times New Roman" w:hAnsi="Times New Roman" w:cs="Times New Roman"/>
                <w:color w:val="000000"/>
                <w:sz w:val="20"/>
                <w:szCs w:val="20"/>
              </w:rPr>
            </w:pPr>
            <w:r w:rsidRPr="009037CE">
              <w:rPr>
                <w:rFonts w:ascii="Times New Roman" w:hAnsi="Times New Roman" w:cs="Times New Roman"/>
                <w:color w:val="000000"/>
                <w:sz w:val="20"/>
                <w:szCs w:val="20"/>
              </w:rPr>
              <w:t>$0.05</w:t>
            </w:r>
          </w:p>
        </w:tc>
      </w:tr>
      <w:tr w14:paraId="66FEC0D5" w14:textId="77777777" w:rsidTr="646EC0CA">
        <w:tblPrEx>
          <w:tblW w:w="9340" w:type="dxa"/>
          <w:jc w:val="center"/>
          <w:tblLook w:val="04A0"/>
        </w:tblPrEx>
        <w:trPr>
          <w:trHeight w:val="308"/>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275C4F" w:rsidRPr="001C0658" w:rsidP="00275C4F" w14:paraId="4F7E69FC"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Property Damage</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1C0658" w:rsidP="00275C4F" w14:paraId="3FB4D711"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17AB7DF2"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color w:val="000000"/>
                <w:sz w:val="20"/>
                <w:szCs w:val="20"/>
              </w:rPr>
              <w:t xml:space="preserve">$2,273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290B6D6E"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color w:val="000000"/>
                <w:sz w:val="20"/>
                <w:szCs w:val="20"/>
              </w:rPr>
              <w:t xml:space="preserve">$454.58 </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3671D780"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color w:val="000000"/>
                <w:sz w:val="20"/>
                <w:szCs w:val="20"/>
              </w:rPr>
              <w:t xml:space="preserve">$4.66 </w:t>
            </w:r>
          </w:p>
        </w:tc>
        <w:tc>
          <w:tcPr>
            <w:tcW w:w="1683" w:type="dxa"/>
            <w:tcBorders>
              <w:top w:val="nil"/>
              <w:left w:val="nil"/>
              <w:bottom w:val="single" w:sz="8" w:space="0" w:color="000000" w:themeColor="text1"/>
              <w:right w:val="single" w:sz="8" w:space="0" w:color="000000" w:themeColor="text1"/>
            </w:tcBorders>
          </w:tcPr>
          <w:p w:rsidR="00275C4F" w:rsidRPr="009037CE" w:rsidP="00275C4F" w14:paraId="4865085D" w14:textId="77777777">
            <w:pPr>
              <w:spacing w:after="0" w:line="240" w:lineRule="auto"/>
              <w:jc w:val="center"/>
              <w:rPr>
                <w:rFonts w:ascii="Times New Roman" w:hAnsi="Times New Roman" w:cs="Times New Roman"/>
                <w:color w:val="000000"/>
                <w:sz w:val="20"/>
                <w:szCs w:val="20"/>
              </w:rPr>
            </w:pPr>
            <w:r w:rsidRPr="009037CE">
              <w:rPr>
                <w:rFonts w:ascii="Times New Roman" w:hAnsi="Times New Roman" w:cs="Times New Roman"/>
                <w:color w:val="000000"/>
                <w:sz w:val="20"/>
                <w:szCs w:val="20"/>
              </w:rPr>
              <w:t>$0.00</w:t>
            </w:r>
          </w:p>
        </w:tc>
      </w:tr>
      <w:tr w14:paraId="5B161ECA" w14:textId="77777777" w:rsidTr="646EC0CA">
        <w:tblPrEx>
          <w:tblW w:w="9340" w:type="dxa"/>
          <w:jc w:val="center"/>
          <w:tblLook w:val="04A0"/>
        </w:tblPrEx>
        <w:trPr>
          <w:trHeight w:val="424"/>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275C4F" w:rsidRPr="001C0658" w:rsidP="00275C4F" w14:paraId="56389E8B" w14:textId="77777777">
            <w:pPr>
              <w:spacing w:after="0" w:line="240" w:lineRule="auto"/>
              <w:rPr>
                <w:rFonts w:ascii="Times New Roman" w:hAnsi="Times New Roman" w:cs="Times New Roman"/>
                <w:b/>
                <w:color w:val="000000"/>
                <w:sz w:val="20"/>
                <w:szCs w:val="20"/>
              </w:rPr>
            </w:pPr>
            <w:r w:rsidRPr="001C0658">
              <w:rPr>
                <w:rFonts w:ascii="Times New Roman" w:hAnsi="Times New Roman" w:cs="Times New Roman"/>
                <w:b/>
                <w:color w:val="000000"/>
                <w:sz w:val="20"/>
                <w:szCs w:val="20"/>
              </w:rPr>
              <w:t>Onsite Total</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1C0658" w:rsidP="00275C4F" w14:paraId="55271B4D"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584F4CE3"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b/>
                <w:bCs/>
                <w:color w:val="000000"/>
                <w:sz w:val="20"/>
                <w:szCs w:val="20"/>
              </w:rPr>
              <w:t xml:space="preserve">$2,489.49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75457A3A"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b/>
                <w:bCs/>
                <w:color w:val="000000"/>
                <w:sz w:val="20"/>
                <w:szCs w:val="20"/>
              </w:rPr>
              <w:t xml:space="preserve">$497.90 </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275C4F" w:rsidRPr="00275C4F" w:rsidP="00275C4F" w14:paraId="056EF424" w14:textId="77777777">
            <w:pPr>
              <w:spacing w:after="0" w:line="240" w:lineRule="auto"/>
              <w:jc w:val="center"/>
              <w:rPr>
                <w:rFonts w:ascii="Times New Roman" w:eastAsia="Times New Roman" w:hAnsi="Times New Roman" w:cs="Times New Roman"/>
                <w:color w:val="000000"/>
                <w:sz w:val="20"/>
                <w:szCs w:val="20"/>
              </w:rPr>
            </w:pPr>
            <w:r w:rsidRPr="00275C4F">
              <w:rPr>
                <w:rFonts w:ascii="Times New Roman" w:hAnsi="Times New Roman" w:cs="Times New Roman"/>
                <w:b/>
                <w:bCs/>
                <w:color w:val="000000"/>
                <w:sz w:val="20"/>
                <w:szCs w:val="20"/>
              </w:rPr>
              <w:t xml:space="preserve">$5.10 </w:t>
            </w:r>
          </w:p>
        </w:tc>
        <w:tc>
          <w:tcPr>
            <w:tcW w:w="1683" w:type="dxa"/>
            <w:tcBorders>
              <w:top w:val="nil"/>
              <w:left w:val="nil"/>
              <w:bottom w:val="single" w:sz="8" w:space="0" w:color="000000" w:themeColor="text1"/>
              <w:right w:val="single" w:sz="8" w:space="0" w:color="000000" w:themeColor="text1"/>
            </w:tcBorders>
          </w:tcPr>
          <w:p w:rsidR="00275C4F" w:rsidRPr="009037CE" w:rsidP="00275C4F" w14:paraId="0C98C04E" w14:textId="77777777">
            <w:pPr>
              <w:spacing w:after="0" w:line="240" w:lineRule="auto"/>
              <w:jc w:val="center"/>
              <w:rPr>
                <w:rFonts w:ascii="Times New Roman" w:hAnsi="Times New Roman" w:cs="Times New Roman"/>
                <w:color w:val="000000"/>
                <w:sz w:val="20"/>
                <w:szCs w:val="20"/>
              </w:rPr>
            </w:pPr>
            <w:r w:rsidRPr="009037CE">
              <w:rPr>
                <w:rFonts w:ascii="Times New Roman" w:hAnsi="Times New Roman" w:cs="Times New Roman"/>
                <w:color w:val="000000"/>
                <w:sz w:val="20"/>
                <w:szCs w:val="20"/>
              </w:rPr>
              <w:t>$0.</w:t>
            </w:r>
            <w:r w:rsidRPr="009037CE" w:rsidR="009037CE">
              <w:rPr>
                <w:rFonts w:ascii="Times New Roman" w:hAnsi="Times New Roman" w:cs="Times New Roman"/>
                <w:color w:val="000000"/>
                <w:sz w:val="20"/>
                <w:szCs w:val="20"/>
              </w:rPr>
              <w:t>05</w:t>
            </w:r>
          </w:p>
        </w:tc>
      </w:tr>
      <w:tr w14:paraId="1E698484" w14:textId="77777777" w:rsidTr="646EC0CA">
        <w:tblPrEx>
          <w:tblW w:w="9340" w:type="dxa"/>
          <w:jc w:val="center"/>
          <w:tblLook w:val="04A0"/>
        </w:tblPrEx>
        <w:trPr>
          <w:trHeight w:val="157"/>
          <w:jc w:val="center"/>
        </w:trPr>
        <w:tc>
          <w:tcPr>
            <w:tcW w:w="934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vAlign w:val="center"/>
            <w:hideMark/>
          </w:tcPr>
          <w:p w:rsidR="00EA4E87" w:rsidRPr="001C0658" w14:paraId="7AA81CE5" w14:textId="77777777">
            <w:pPr>
              <w:spacing w:after="0" w:line="240" w:lineRule="auto"/>
              <w:rPr>
                <w:rFonts w:ascii="Times New Roman" w:eastAsia="Times New Roman" w:hAnsi="Times New Roman" w:cs="Times New Roman"/>
                <w:b/>
                <w:color w:val="000000"/>
                <w:sz w:val="20"/>
                <w:szCs w:val="20"/>
              </w:rPr>
            </w:pPr>
            <w:r w:rsidRPr="001C0658">
              <w:rPr>
                <w:rFonts w:ascii="Times New Roman" w:eastAsia="Times New Roman" w:hAnsi="Times New Roman" w:cs="Times New Roman"/>
                <w:b/>
                <w:color w:val="000000"/>
                <w:sz w:val="20"/>
                <w:szCs w:val="20"/>
              </w:rPr>
              <w:t>Offsite</w:t>
            </w:r>
          </w:p>
        </w:tc>
      </w:tr>
      <w:tr w14:paraId="16C44DB3" w14:textId="77777777" w:rsidTr="646EC0CA">
        <w:tblPrEx>
          <w:tblW w:w="9340" w:type="dxa"/>
          <w:jc w:val="center"/>
          <w:tblLook w:val="04A0"/>
        </w:tblPrEx>
        <w:trPr>
          <w:trHeight w:val="204"/>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BE4E59" w:rsidRPr="001C0658" w14:paraId="510D713A"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Fatalities</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0BBD9D88"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w:t>
            </w:r>
            <w:r w:rsidR="001C50C6">
              <w:rPr>
                <w:rFonts w:ascii="Times New Roman" w:eastAsia="Times New Roman" w:hAnsi="Times New Roman" w:cs="Times New Roman"/>
                <w:color w:val="000000"/>
                <w:sz w:val="20"/>
                <w:szCs w:val="20"/>
              </w:rPr>
              <w:t>10.4</w:t>
            </w:r>
            <w:r w:rsidRPr="001C0658">
              <w:rPr>
                <w:rFonts w:ascii="Times New Roman" w:eastAsia="Times New Roman" w:hAnsi="Times New Roman" w:cs="Times New Roman"/>
                <w:color w:val="000000"/>
                <w:sz w:val="20"/>
                <w:szCs w:val="20"/>
              </w:rPr>
              <w:t xml:space="preserve">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04512D9F"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xml:space="preserve">$0.00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394FDD9E"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xml:space="preserve">$0.00 </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47F5BA5C"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xml:space="preserve">$0.00 </w:t>
            </w:r>
          </w:p>
        </w:tc>
        <w:tc>
          <w:tcPr>
            <w:tcW w:w="1683" w:type="dxa"/>
            <w:tcBorders>
              <w:top w:val="nil"/>
              <w:left w:val="nil"/>
              <w:bottom w:val="single" w:sz="8" w:space="0" w:color="000000" w:themeColor="text1"/>
              <w:right w:val="single" w:sz="8" w:space="0" w:color="000000" w:themeColor="text1"/>
            </w:tcBorders>
          </w:tcPr>
          <w:p w:rsidR="00BE4E59" w:rsidRPr="001C0658" w14:paraId="38FB2B99"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01B96989" w14:textId="77777777" w:rsidTr="646EC0CA">
        <w:tblPrEx>
          <w:tblW w:w="9340" w:type="dxa"/>
          <w:jc w:val="center"/>
          <w:tblLook w:val="04A0"/>
        </w:tblPrEx>
        <w:trPr>
          <w:trHeight w:val="236"/>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BE4E59" w:rsidRPr="001C0658" w14:paraId="03E57996"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Hospitalizations</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157633C1"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xml:space="preserve">$0.045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72AC38CB"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xml:space="preserve">$1.40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540BC11A"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xml:space="preserve">$0.28 </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61FBD7F0"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$0.00</w:t>
            </w:r>
            <w:r w:rsidR="00603EEE">
              <w:rPr>
                <w:rFonts w:ascii="Times New Roman" w:eastAsia="Times New Roman" w:hAnsi="Times New Roman" w:cs="Times New Roman"/>
                <w:color w:val="000000"/>
                <w:sz w:val="20"/>
                <w:szCs w:val="20"/>
              </w:rPr>
              <w:t>29</w:t>
            </w:r>
            <w:r w:rsidRPr="001C0658">
              <w:rPr>
                <w:rFonts w:ascii="Times New Roman" w:eastAsia="Times New Roman" w:hAnsi="Times New Roman" w:cs="Times New Roman"/>
                <w:color w:val="000000"/>
                <w:sz w:val="20"/>
                <w:szCs w:val="20"/>
              </w:rPr>
              <w:t xml:space="preserve"> </w:t>
            </w:r>
          </w:p>
        </w:tc>
        <w:tc>
          <w:tcPr>
            <w:tcW w:w="1683" w:type="dxa"/>
            <w:tcBorders>
              <w:top w:val="nil"/>
              <w:left w:val="nil"/>
              <w:bottom w:val="single" w:sz="8" w:space="0" w:color="000000" w:themeColor="text1"/>
              <w:right w:val="single" w:sz="8" w:space="0" w:color="000000" w:themeColor="text1"/>
            </w:tcBorders>
          </w:tcPr>
          <w:p w:rsidR="00BE4E59" w:rsidRPr="001C0658" w14:paraId="1597F5B2"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56297F3B" w14:textId="77777777" w:rsidTr="646EC0CA">
        <w:tblPrEx>
          <w:tblW w:w="9340" w:type="dxa"/>
          <w:jc w:val="center"/>
          <w:tblLook w:val="04A0"/>
        </w:tblPrEx>
        <w:trPr>
          <w:trHeight w:val="308"/>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BE4E59" w:rsidRPr="001C0658" w14:paraId="41126544"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Medical Treatment</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79C3B9E5"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xml:space="preserve">$0.001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64BF6F04"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xml:space="preserve">$0.13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1F12CACA"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xml:space="preserve">$0.03 </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BE4E59" w:rsidRPr="001C0658" w14:paraId="2EFA7529"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xml:space="preserve">$0.0003 </w:t>
            </w:r>
          </w:p>
        </w:tc>
        <w:tc>
          <w:tcPr>
            <w:tcW w:w="1683" w:type="dxa"/>
            <w:tcBorders>
              <w:top w:val="nil"/>
              <w:left w:val="nil"/>
              <w:bottom w:val="single" w:sz="8" w:space="0" w:color="000000" w:themeColor="text1"/>
              <w:right w:val="single" w:sz="8" w:space="0" w:color="000000" w:themeColor="text1"/>
            </w:tcBorders>
          </w:tcPr>
          <w:p w:rsidR="00BE4E59" w:rsidRPr="001C0658" w14:paraId="596D6E33"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77238CD6" w14:textId="77777777" w:rsidTr="646EC0CA">
        <w:tblPrEx>
          <w:tblW w:w="9340" w:type="dxa"/>
          <w:jc w:val="center"/>
          <w:tblLook w:val="04A0"/>
        </w:tblPrEx>
        <w:trPr>
          <w:trHeight w:val="157"/>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A949E6" w:rsidRPr="001C0658" w:rsidP="00A949E6" w14:paraId="1102D912"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Evacuations*</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1C0658" w:rsidP="00A949E6" w14:paraId="354E4AD3"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$0.0</w:t>
            </w:r>
            <w:r>
              <w:rPr>
                <w:rFonts w:ascii="Times New Roman" w:eastAsia="Times New Roman" w:hAnsi="Times New Roman" w:cs="Times New Roman"/>
                <w:color w:val="000000"/>
                <w:sz w:val="20"/>
                <w:szCs w:val="20"/>
              </w:rPr>
              <w:t>0</w:t>
            </w:r>
            <w:r w:rsidRPr="001C0658">
              <w:rPr>
                <w:rFonts w:ascii="Times New Roman" w:eastAsia="Times New Roman" w:hAnsi="Times New Roman" w:cs="Times New Roman"/>
                <w:color w:val="000000"/>
                <w:sz w:val="20"/>
                <w:szCs w:val="20"/>
              </w:rPr>
              <w:t xml:space="preserve">0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17995ED7" w14:textId="77777777">
            <w:pPr>
              <w:spacing w:after="0" w:line="240" w:lineRule="auto"/>
              <w:jc w:val="center"/>
              <w:rPr>
                <w:rFonts w:ascii="Times New Roman" w:eastAsia="Times New Roman" w:hAnsi="Times New Roman" w:cs="Times New Roman"/>
                <w:color w:val="000000"/>
                <w:sz w:val="20"/>
                <w:szCs w:val="20"/>
              </w:rPr>
            </w:pPr>
            <w:r w:rsidRPr="00A949E6">
              <w:rPr>
                <w:rFonts w:ascii="Times New Roman" w:hAnsi="Times New Roman" w:cs="Times New Roman"/>
                <w:color w:val="000000"/>
                <w:sz w:val="20"/>
                <w:szCs w:val="20"/>
              </w:rPr>
              <w:t>$1</w:t>
            </w:r>
            <w:r w:rsidR="00860759">
              <w:rPr>
                <w:rFonts w:ascii="Times New Roman" w:hAnsi="Times New Roman" w:cs="Times New Roman"/>
                <w:color w:val="000000"/>
                <w:sz w:val="20"/>
                <w:szCs w:val="20"/>
              </w:rPr>
              <w:t>8.99</w:t>
            </w:r>
            <w:r w:rsidRPr="00A949E6">
              <w:rPr>
                <w:rFonts w:ascii="Times New Roman" w:hAnsi="Times New Roman" w:cs="Times New Roman"/>
                <w:color w:val="000000"/>
                <w:sz w:val="20"/>
                <w:szCs w:val="20"/>
              </w:rPr>
              <w:t xml:space="preserve">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71D81DF1" w14:textId="77777777">
            <w:pPr>
              <w:spacing w:after="0" w:line="240" w:lineRule="auto"/>
              <w:jc w:val="center"/>
              <w:rPr>
                <w:rFonts w:ascii="Times New Roman" w:eastAsia="Times New Roman" w:hAnsi="Times New Roman" w:cs="Times New Roman"/>
                <w:color w:val="000000"/>
                <w:sz w:val="20"/>
                <w:szCs w:val="20"/>
              </w:rPr>
            </w:pPr>
            <w:r w:rsidRPr="00A949E6">
              <w:rPr>
                <w:rFonts w:ascii="Times New Roman" w:hAnsi="Times New Roman" w:cs="Times New Roman"/>
                <w:color w:val="000000"/>
                <w:sz w:val="20"/>
                <w:szCs w:val="20"/>
              </w:rPr>
              <w:t>$</w:t>
            </w:r>
            <w:r w:rsidR="00193A02">
              <w:rPr>
                <w:rFonts w:ascii="Times New Roman" w:hAnsi="Times New Roman" w:cs="Times New Roman"/>
                <w:color w:val="000000"/>
                <w:sz w:val="20"/>
                <w:szCs w:val="20"/>
              </w:rPr>
              <w:t>3.80</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0B019D77" w14:textId="77777777">
            <w:pPr>
              <w:spacing w:after="0" w:line="240" w:lineRule="auto"/>
              <w:jc w:val="center"/>
              <w:rPr>
                <w:rFonts w:ascii="Times New Roman" w:eastAsia="Times New Roman" w:hAnsi="Times New Roman" w:cs="Times New Roman"/>
                <w:color w:val="000000"/>
                <w:sz w:val="20"/>
                <w:szCs w:val="20"/>
              </w:rPr>
            </w:pPr>
            <w:r w:rsidRPr="646EC0CA">
              <w:rPr>
                <w:rFonts w:ascii="Times New Roman" w:hAnsi="Times New Roman" w:cs="Times New Roman"/>
                <w:color w:val="000000" w:themeColor="text1"/>
                <w:sz w:val="20"/>
                <w:szCs w:val="20"/>
              </w:rPr>
              <w:t>$0.</w:t>
            </w:r>
            <w:r w:rsidRPr="47FDE0B8">
              <w:rPr>
                <w:rFonts w:ascii="Times New Roman" w:hAnsi="Times New Roman" w:cs="Times New Roman"/>
                <w:color w:val="000000" w:themeColor="text1"/>
                <w:sz w:val="20"/>
                <w:szCs w:val="20"/>
              </w:rPr>
              <w:t>03</w:t>
            </w:r>
            <w:r w:rsidRPr="47FDE0B8" w:rsidR="7BFE3DA7">
              <w:rPr>
                <w:rFonts w:ascii="Times New Roman" w:hAnsi="Times New Roman" w:cs="Times New Roman"/>
                <w:color w:val="000000" w:themeColor="text1"/>
                <w:sz w:val="20"/>
                <w:szCs w:val="20"/>
              </w:rPr>
              <w:t>89</w:t>
            </w:r>
            <w:r w:rsidRPr="646EC0CA">
              <w:rPr>
                <w:rFonts w:ascii="Times New Roman" w:hAnsi="Times New Roman" w:cs="Times New Roman"/>
                <w:color w:val="000000" w:themeColor="text1"/>
                <w:sz w:val="20"/>
                <w:szCs w:val="20"/>
              </w:rPr>
              <w:t xml:space="preserve"> </w:t>
            </w:r>
          </w:p>
        </w:tc>
        <w:tc>
          <w:tcPr>
            <w:tcW w:w="1683" w:type="dxa"/>
            <w:tcBorders>
              <w:top w:val="nil"/>
              <w:left w:val="nil"/>
              <w:bottom w:val="single" w:sz="8" w:space="0" w:color="000000" w:themeColor="text1"/>
              <w:right w:val="single" w:sz="8" w:space="0" w:color="000000" w:themeColor="text1"/>
            </w:tcBorders>
          </w:tcPr>
          <w:p w:rsidR="00A949E6" w:rsidRPr="001C0658" w:rsidP="00A949E6" w14:paraId="58029BE5"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3F4676AB" w14:textId="77777777" w:rsidTr="646EC0CA">
        <w:tblPrEx>
          <w:tblW w:w="9340" w:type="dxa"/>
          <w:jc w:val="center"/>
          <w:tblLook w:val="04A0"/>
        </w:tblPrEx>
        <w:trPr>
          <w:trHeight w:val="308"/>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A949E6" w:rsidRPr="001C0658" w:rsidP="00A949E6" w14:paraId="29DED61E"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Sheltering in Place*</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1C0658" w:rsidP="00A949E6" w14:paraId="64C917C9" w14:textId="77777777">
            <w:pPr>
              <w:spacing w:after="0" w:line="240" w:lineRule="auto"/>
              <w:jc w:val="center"/>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$0.0</w:t>
            </w:r>
            <w:r>
              <w:rPr>
                <w:rFonts w:ascii="Times New Roman" w:eastAsia="Times New Roman" w:hAnsi="Times New Roman" w:cs="Times New Roman"/>
                <w:color w:val="000000"/>
                <w:sz w:val="20"/>
                <w:szCs w:val="20"/>
              </w:rPr>
              <w:t>0</w:t>
            </w:r>
            <w:r w:rsidRPr="001C0658">
              <w:rPr>
                <w:rFonts w:ascii="Times New Roman" w:eastAsia="Times New Roman" w:hAnsi="Times New Roman" w:cs="Times New Roman"/>
                <w:color w:val="000000"/>
                <w:sz w:val="20"/>
                <w:szCs w:val="20"/>
              </w:rPr>
              <w:t xml:space="preserve">0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11A26086" w14:textId="77777777">
            <w:pPr>
              <w:spacing w:after="0" w:line="240" w:lineRule="auto"/>
              <w:jc w:val="center"/>
              <w:rPr>
                <w:rFonts w:ascii="Times New Roman" w:eastAsia="Times New Roman" w:hAnsi="Times New Roman" w:cs="Times New Roman"/>
                <w:color w:val="000000"/>
                <w:sz w:val="20"/>
                <w:szCs w:val="20"/>
              </w:rPr>
            </w:pPr>
            <w:r w:rsidRPr="00A949E6">
              <w:rPr>
                <w:rFonts w:ascii="Times New Roman" w:hAnsi="Times New Roman" w:cs="Times New Roman"/>
                <w:color w:val="000000"/>
                <w:sz w:val="20"/>
                <w:szCs w:val="20"/>
              </w:rPr>
              <w:t>$</w:t>
            </w:r>
            <w:r w:rsidR="00AA4628">
              <w:rPr>
                <w:rFonts w:ascii="Times New Roman" w:hAnsi="Times New Roman" w:cs="Times New Roman"/>
                <w:color w:val="000000"/>
                <w:sz w:val="20"/>
                <w:szCs w:val="20"/>
              </w:rPr>
              <w:t>12.58</w:t>
            </w:r>
            <w:r w:rsidRPr="00A949E6">
              <w:rPr>
                <w:rFonts w:ascii="Times New Roman" w:hAnsi="Times New Roman" w:cs="Times New Roman"/>
                <w:color w:val="000000"/>
                <w:sz w:val="20"/>
                <w:szCs w:val="20"/>
              </w:rPr>
              <w:t xml:space="preserve">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1D5DBABD" w14:textId="77777777">
            <w:pPr>
              <w:spacing w:after="0" w:line="240" w:lineRule="auto"/>
              <w:jc w:val="center"/>
              <w:rPr>
                <w:rFonts w:ascii="Times New Roman" w:eastAsia="Times New Roman" w:hAnsi="Times New Roman" w:cs="Times New Roman"/>
                <w:color w:val="000000"/>
                <w:sz w:val="20"/>
                <w:szCs w:val="20"/>
              </w:rPr>
            </w:pPr>
            <w:r w:rsidRPr="00A949E6">
              <w:rPr>
                <w:rFonts w:ascii="Times New Roman" w:hAnsi="Times New Roman" w:cs="Times New Roman"/>
                <w:color w:val="000000"/>
                <w:sz w:val="20"/>
                <w:szCs w:val="20"/>
              </w:rPr>
              <w:t>$</w:t>
            </w:r>
            <w:r w:rsidR="00193A02">
              <w:rPr>
                <w:rFonts w:ascii="Times New Roman" w:hAnsi="Times New Roman" w:cs="Times New Roman"/>
                <w:color w:val="000000"/>
                <w:sz w:val="20"/>
                <w:szCs w:val="20"/>
              </w:rPr>
              <w:t>2.52</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2FD1B822" w14:textId="77777777">
            <w:pPr>
              <w:spacing w:after="0" w:line="240" w:lineRule="auto"/>
              <w:jc w:val="center"/>
              <w:rPr>
                <w:rFonts w:ascii="Times New Roman" w:hAnsi="Times New Roman" w:cs="Times New Roman"/>
                <w:color w:val="000000"/>
                <w:sz w:val="20"/>
                <w:szCs w:val="20"/>
              </w:rPr>
            </w:pPr>
            <w:r w:rsidRPr="47FDE0B8">
              <w:rPr>
                <w:rFonts w:ascii="Times New Roman" w:hAnsi="Times New Roman" w:cs="Times New Roman"/>
                <w:color w:val="000000" w:themeColor="text1"/>
                <w:sz w:val="20"/>
                <w:szCs w:val="20"/>
              </w:rPr>
              <w:t>$0.02</w:t>
            </w:r>
            <w:r w:rsidRPr="47FDE0B8" w:rsidR="42D7CFD0">
              <w:rPr>
                <w:rFonts w:ascii="Times New Roman" w:hAnsi="Times New Roman" w:cs="Times New Roman"/>
                <w:color w:val="000000" w:themeColor="text1"/>
                <w:sz w:val="20"/>
                <w:szCs w:val="20"/>
              </w:rPr>
              <w:t>58</w:t>
            </w:r>
            <w:r w:rsidRPr="47FDE0B8">
              <w:rPr>
                <w:rFonts w:ascii="Times New Roman" w:hAnsi="Times New Roman" w:cs="Times New Roman"/>
                <w:color w:val="000000" w:themeColor="text1"/>
                <w:sz w:val="20"/>
                <w:szCs w:val="20"/>
              </w:rPr>
              <w:t xml:space="preserve"> </w:t>
            </w:r>
          </w:p>
        </w:tc>
        <w:tc>
          <w:tcPr>
            <w:tcW w:w="1683" w:type="dxa"/>
            <w:tcBorders>
              <w:top w:val="nil"/>
              <w:left w:val="nil"/>
              <w:bottom w:val="single" w:sz="8" w:space="0" w:color="000000" w:themeColor="text1"/>
              <w:right w:val="single" w:sz="8" w:space="0" w:color="000000" w:themeColor="text1"/>
            </w:tcBorders>
          </w:tcPr>
          <w:p w:rsidR="00A949E6" w:rsidRPr="001C0658" w:rsidP="00A949E6" w14:paraId="1B91B12B"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3B75C4F8" w14:textId="77777777" w:rsidTr="646EC0CA">
        <w:tblPrEx>
          <w:tblW w:w="9340" w:type="dxa"/>
          <w:jc w:val="center"/>
          <w:tblLook w:val="04A0"/>
        </w:tblPrEx>
        <w:trPr>
          <w:trHeight w:val="308"/>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A949E6" w:rsidRPr="001C0658" w:rsidP="00A949E6" w14:paraId="0D4352DE"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Property Damage</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1C0658" w:rsidP="00A949E6" w14:paraId="6ACED2D5"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1B7B1A76" w14:textId="77777777">
            <w:pPr>
              <w:spacing w:after="0" w:line="240" w:lineRule="auto"/>
              <w:jc w:val="center"/>
              <w:rPr>
                <w:rFonts w:ascii="Times New Roman" w:eastAsia="Times New Roman" w:hAnsi="Times New Roman" w:cs="Times New Roman"/>
                <w:color w:val="000000"/>
                <w:sz w:val="20"/>
                <w:szCs w:val="20"/>
              </w:rPr>
            </w:pPr>
            <w:r w:rsidRPr="00A949E6">
              <w:rPr>
                <w:rFonts w:ascii="Times New Roman" w:hAnsi="Times New Roman" w:cs="Times New Roman"/>
                <w:color w:val="000000"/>
                <w:sz w:val="20"/>
                <w:szCs w:val="20"/>
              </w:rPr>
              <w:t xml:space="preserve">$178.55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5CB2D5B1" w14:textId="77777777">
            <w:pPr>
              <w:spacing w:after="0" w:line="240" w:lineRule="auto"/>
              <w:jc w:val="center"/>
              <w:rPr>
                <w:rFonts w:ascii="Times New Roman" w:eastAsia="Times New Roman" w:hAnsi="Times New Roman" w:cs="Times New Roman"/>
                <w:color w:val="000000"/>
                <w:sz w:val="20"/>
                <w:szCs w:val="20"/>
              </w:rPr>
            </w:pPr>
            <w:r w:rsidRPr="00A949E6">
              <w:rPr>
                <w:rFonts w:ascii="Times New Roman" w:hAnsi="Times New Roman" w:cs="Times New Roman"/>
                <w:color w:val="000000"/>
                <w:sz w:val="20"/>
                <w:szCs w:val="20"/>
              </w:rPr>
              <w:t xml:space="preserve">$35.71 </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53BCC350" w14:textId="77777777">
            <w:pPr>
              <w:spacing w:after="0" w:line="240" w:lineRule="auto"/>
              <w:jc w:val="center"/>
              <w:rPr>
                <w:rFonts w:ascii="Times New Roman" w:eastAsia="Times New Roman" w:hAnsi="Times New Roman" w:cs="Times New Roman"/>
                <w:color w:val="000000"/>
                <w:sz w:val="20"/>
                <w:szCs w:val="20"/>
              </w:rPr>
            </w:pPr>
            <w:r w:rsidRPr="00A949E6">
              <w:rPr>
                <w:rFonts w:ascii="Times New Roman" w:hAnsi="Times New Roman" w:cs="Times New Roman"/>
                <w:color w:val="000000"/>
                <w:sz w:val="20"/>
                <w:szCs w:val="20"/>
              </w:rPr>
              <w:t xml:space="preserve">$0.37 </w:t>
            </w:r>
          </w:p>
        </w:tc>
        <w:tc>
          <w:tcPr>
            <w:tcW w:w="1683" w:type="dxa"/>
            <w:tcBorders>
              <w:top w:val="nil"/>
              <w:left w:val="nil"/>
              <w:bottom w:val="single" w:sz="8" w:space="0" w:color="000000" w:themeColor="text1"/>
              <w:right w:val="single" w:sz="8" w:space="0" w:color="000000" w:themeColor="text1"/>
            </w:tcBorders>
          </w:tcPr>
          <w:p w:rsidR="00A949E6" w:rsidRPr="001C0658" w:rsidP="00A949E6" w14:paraId="0B9DB001" w14:textId="777777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14:paraId="5F682D0A" w14:textId="77777777" w:rsidTr="646EC0CA">
        <w:tblPrEx>
          <w:tblW w:w="9340" w:type="dxa"/>
          <w:jc w:val="center"/>
          <w:tblLook w:val="04A0"/>
        </w:tblPrEx>
        <w:trPr>
          <w:trHeight w:val="465"/>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A949E6" w:rsidRPr="001C0658" w:rsidP="00A949E6" w14:paraId="3012372F" w14:textId="77777777">
            <w:pPr>
              <w:spacing w:after="0" w:line="240" w:lineRule="auto"/>
              <w:rPr>
                <w:rFonts w:ascii="Times New Roman" w:hAnsi="Times New Roman" w:cs="Times New Roman"/>
                <w:b/>
                <w:color w:val="000000"/>
                <w:sz w:val="20"/>
                <w:szCs w:val="20"/>
              </w:rPr>
            </w:pPr>
            <w:r w:rsidRPr="001C0658">
              <w:rPr>
                <w:rFonts w:ascii="Times New Roman" w:hAnsi="Times New Roman" w:cs="Times New Roman"/>
                <w:b/>
                <w:color w:val="000000"/>
                <w:sz w:val="20"/>
                <w:szCs w:val="20"/>
              </w:rPr>
              <w:t>Offsite Total</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1C0658" w:rsidP="00A949E6" w14:paraId="45DBDECA"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1EFEC79F" w14:textId="77777777">
            <w:pPr>
              <w:spacing w:after="0" w:line="240" w:lineRule="auto"/>
              <w:jc w:val="center"/>
              <w:rPr>
                <w:rFonts w:ascii="Times New Roman" w:eastAsia="Times New Roman" w:hAnsi="Times New Roman" w:cs="Times New Roman"/>
                <w:color w:val="000000"/>
                <w:sz w:val="20"/>
                <w:szCs w:val="20"/>
              </w:rPr>
            </w:pPr>
            <w:r w:rsidRPr="00A949E6">
              <w:rPr>
                <w:rFonts w:ascii="Times New Roman" w:hAnsi="Times New Roman" w:cs="Times New Roman"/>
                <w:b/>
                <w:bCs/>
                <w:color w:val="000000"/>
                <w:sz w:val="20"/>
                <w:szCs w:val="20"/>
              </w:rPr>
              <w:t>$2</w:t>
            </w:r>
            <w:r w:rsidR="00AA4628">
              <w:rPr>
                <w:rFonts w:ascii="Times New Roman" w:hAnsi="Times New Roman" w:cs="Times New Roman"/>
                <w:b/>
                <w:bCs/>
                <w:color w:val="000000"/>
                <w:sz w:val="20"/>
                <w:szCs w:val="20"/>
              </w:rPr>
              <w:t>11.66</w:t>
            </w:r>
            <w:r w:rsidRPr="00A949E6">
              <w:rPr>
                <w:rFonts w:ascii="Times New Roman" w:hAnsi="Times New Roman" w:cs="Times New Roman"/>
                <w:b/>
                <w:bCs/>
                <w:color w:val="000000"/>
                <w:sz w:val="20"/>
                <w:szCs w:val="20"/>
              </w:rPr>
              <w:t xml:space="preserve">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2F3CE93E" w14:textId="77777777">
            <w:pPr>
              <w:spacing w:after="0" w:line="240" w:lineRule="auto"/>
              <w:jc w:val="center"/>
              <w:rPr>
                <w:rFonts w:ascii="Times New Roman" w:eastAsia="Times New Roman" w:hAnsi="Times New Roman" w:cs="Times New Roman"/>
                <w:color w:val="000000"/>
                <w:sz w:val="20"/>
                <w:szCs w:val="20"/>
              </w:rPr>
            </w:pPr>
            <w:r w:rsidRPr="00A949E6">
              <w:rPr>
                <w:rFonts w:ascii="Times New Roman" w:hAnsi="Times New Roman" w:cs="Times New Roman"/>
                <w:b/>
                <w:bCs/>
                <w:color w:val="000000"/>
                <w:sz w:val="20"/>
                <w:szCs w:val="20"/>
              </w:rPr>
              <w:t>$4</w:t>
            </w:r>
            <w:r w:rsidR="006F40A3">
              <w:rPr>
                <w:rFonts w:ascii="Times New Roman" w:hAnsi="Times New Roman" w:cs="Times New Roman"/>
                <w:b/>
                <w:bCs/>
                <w:color w:val="000000"/>
                <w:sz w:val="20"/>
                <w:szCs w:val="20"/>
              </w:rPr>
              <w:t>2.33</w:t>
            </w:r>
            <w:r w:rsidRPr="00A949E6">
              <w:rPr>
                <w:rFonts w:ascii="Times New Roman" w:hAnsi="Times New Roman" w:cs="Times New Roman"/>
                <w:b/>
                <w:bCs/>
                <w:color w:val="000000"/>
                <w:sz w:val="20"/>
                <w:szCs w:val="20"/>
              </w:rPr>
              <w:t xml:space="preserve"> </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4ECCB821" w14:textId="77777777">
            <w:pPr>
              <w:spacing w:after="0" w:line="240" w:lineRule="auto"/>
              <w:jc w:val="center"/>
              <w:rPr>
                <w:rFonts w:ascii="Times New Roman" w:eastAsia="Times New Roman" w:hAnsi="Times New Roman" w:cs="Times New Roman"/>
                <w:color w:val="000000"/>
                <w:sz w:val="20"/>
                <w:szCs w:val="20"/>
              </w:rPr>
            </w:pPr>
            <w:r w:rsidRPr="47FDE0B8">
              <w:rPr>
                <w:rFonts w:ascii="Times New Roman" w:hAnsi="Times New Roman" w:cs="Times New Roman"/>
                <w:b/>
                <w:color w:val="000000" w:themeColor="text1"/>
                <w:sz w:val="20"/>
                <w:szCs w:val="20"/>
              </w:rPr>
              <w:t>$0.</w:t>
            </w:r>
            <w:r w:rsidRPr="47FDE0B8">
              <w:rPr>
                <w:rFonts w:ascii="Times New Roman" w:hAnsi="Times New Roman" w:cs="Times New Roman"/>
                <w:b/>
                <w:bCs/>
                <w:color w:val="000000" w:themeColor="text1"/>
                <w:sz w:val="20"/>
                <w:szCs w:val="20"/>
              </w:rPr>
              <w:t>4</w:t>
            </w:r>
            <w:r w:rsidRPr="47FDE0B8" w:rsidR="560C95DD">
              <w:rPr>
                <w:rFonts w:ascii="Times New Roman" w:hAnsi="Times New Roman" w:cs="Times New Roman"/>
                <w:b/>
                <w:bCs/>
                <w:color w:val="000000" w:themeColor="text1"/>
                <w:sz w:val="20"/>
                <w:szCs w:val="20"/>
              </w:rPr>
              <w:t>3</w:t>
            </w:r>
            <w:r w:rsidRPr="47FDE0B8">
              <w:rPr>
                <w:rFonts w:ascii="Times New Roman" w:hAnsi="Times New Roman" w:cs="Times New Roman"/>
                <w:b/>
                <w:color w:val="000000" w:themeColor="text1"/>
                <w:sz w:val="20"/>
                <w:szCs w:val="20"/>
              </w:rPr>
              <w:t xml:space="preserve"> </w:t>
            </w:r>
          </w:p>
        </w:tc>
        <w:tc>
          <w:tcPr>
            <w:tcW w:w="1683" w:type="dxa"/>
            <w:tcBorders>
              <w:top w:val="nil"/>
              <w:left w:val="nil"/>
              <w:bottom w:val="single" w:sz="8" w:space="0" w:color="000000" w:themeColor="text1"/>
              <w:right w:val="single" w:sz="8" w:space="0" w:color="000000" w:themeColor="text1"/>
            </w:tcBorders>
          </w:tcPr>
          <w:p w:rsidR="00A949E6" w:rsidRPr="001C0658" w:rsidP="00A949E6" w14:paraId="1EC0A434" w14:textId="7777777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$0.00</w:t>
            </w:r>
          </w:p>
        </w:tc>
      </w:tr>
      <w:tr w14:paraId="69F129BD" w14:textId="77777777" w:rsidTr="646EC0CA">
        <w:tblPrEx>
          <w:tblW w:w="9340" w:type="dxa"/>
          <w:jc w:val="center"/>
          <w:tblLook w:val="04A0"/>
        </w:tblPrEx>
        <w:trPr>
          <w:trHeight w:val="157"/>
          <w:jc w:val="center"/>
        </w:trPr>
        <w:tc>
          <w:tcPr>
            <w:tcW w:w="1777"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rsidR="00A949E6" w:rsidRPr="001C0658" w:rsidP="00A949E6" w14:paraId="3A94C3C8" w14:textId="77777777">
            <w:pPr>
              <w:spacing w:after="0" w:line="240" w:lineRule="auto"/>
              <w:jc w:val="center"/>
              <w:rPr>
                <w:rFonts w:ascii="Times New Roman" w:hAnsi="Times New Roman" w:cs="Times New Roman"/>
                <w:b/>
                <w:color w:val="000000"/>
                <w:sz w:val="20"/>
                <w:szCs w:val="20"/>
              </w:rPr>
            </w:pPr>
            <w:r w:rsidRPr="001C0658">
              <w:rPr>
                <w:rFonts w:ascii="Times New Roman" w:hAnsi="Times New Roman" w:cs="Times New Roman"/>
                <w:b/>
                <w:color w:val="000000"/>
                <w:sz w:val="20"/>
                <w:szCs w:val="20"/>
              </w:rPr>
              <w:t>Total</w:t>
            </w:r>
          </w:p>
        </w:tc>
        <w:tc>
          <w:tcPr>
            <w:tcW w:w="1256"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1C0658" w:rsidP="00A949E6" w14:paraId="78279FC0" w14:textId="77777777">
            <w:pPr>
              <w:spacing w:after="0" w:line="240" w:lineRule="auto"/>
              <w:rPr>
                <w:rFonts w:ascii="Times New Roman" w:eastAsia="Times New Roman" w:hAnsi="Times New Roman" w:cs="Times New Roman"/>
                <w:color w:val="000000"/>
                <w:sz w:val="20"/>
                <w:szCs w:val="20"/>
              </w:rPr>
            </w:pPr>
            <w:r w:rsidRPr="001C0658">
              <w:rPr>
                <w:rFonts w:ascii="Times New Roman" w:eastAsia="Times New Roman" w:hAnsi="Times New Roman" w:cs="Times New Roman"/>
                <w:color w:val="000000"/>
                <w:sz w:val="20"/>
                <w:szCs w:val="20"/>
              </w:rPr>
              <w:t> </w:t>
            </w:r>
          </w:p>
        </w:tc>
        <w:tc>
          <w:tcPr>
            <w:tcW w:w="1237"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23288F9F" w14:textId="77777777">
            <w:pPr>
              <w:spacing w:after="0" w:line="240" w:lineRule="auto"/>
              <w:jc w:val="center"/>
              <w:rPr>
                <w:rFonts w:ascii="Times New Roman" w:eastAsia="Times New Roman" w:hAnsi="Times New Roman" w:cs="Times New Roman"/>
                <w:color w:val="000000"/>
                <w:sz w:val="20"/>
                <w:szCs w:val="20"/>
              </w:rPr>
            </w:pPr>
            <w:r w:rsidRPr="00A949E6">
              <w:rPr>
                <w:rFonts w:ascii="Times New Roman" w:hAnsi="Times New Roman" w:cs="Times New Roman"/>
                <w:b/>
                <w:bCs/>
                <w:color w:val="000000"/>
                <w:sz w:val="20"/>
                <w:szCs w:val="20"/>
              </w:rPr>
              <w:t>$2,</w:t>
            </w:r>
            <w:r w:rsidR="00AA4628">
              <w:rPr>
                <w:rFonts w:ascii="Times New Roman" w:hAnsi="Times New Roman" w:cs="Times New Roman"/>
                <w:b/>
                <w:bCs/>
                <w:color w:val="000000"/>
                <w:sz w:val="20"/>
                <w:szCs w:val="20"/>
              </w:rPr>
              <w:t>701.14</w:t>
            </w:r>
            <w:r w:rsidRPr="00A949E6">
              <w:rPr>
                <w:rFonts w:ascii="Times New Roman" w:hAnsi="Times New Roman" w:cs="Times New Roman"/>
                <w:b/>
                <w:bCs/>
                <w:color w:val="000000"/>
                <w:sz w:val="20"/>
                <w:szCs w:val="20"/>
              </w:rPr>
              <w:t xml:space="preserve"> </w:t>
            </w:r>
          </w:p>
        </w:tc>
        <w:tc>
          <w:tcPr>
            <w:tcW w:w="1649"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661A9ECD" w14:textId="77777777">
            <w:pPr>
              <w:spacing w:after="0" w:line="240" w:lineRule="auto"/>
              <w:jc w:val="center"/>
              <w:rPr>
                <w:rFonts w:ascii="Times New Roman" w:eastAsia="Times New Roman" w:hAnsi="Times New Roman" w:cs="Times New Roman"/>
                <w:color w:val="000000"/>
                <w:sz w:val="20"/>
                <w:szCs w:val="20"/>
              </w:rPr>
            </w:pPr>
            <w:r w:rsidRPr="00A949E6">
              <w:rPr>
                <w:rFonts w:ascii="Times New Roman" w:hAnsi="Times New Roman" w:cs="Times New Roman"/>
                <w:b/>
                <w:bCs/>
                <w:color w:val="000000"/>
                <w:sz w:val="20"/>
                <w:szCs w:val="20"/>
              </w:rPr>
              <w:t>$5</w:t>
            </w:r>
            <w:r w:rsidR="00193A02">
              <w:rPr>
                <w:rFonts w:ascii="Times New Roman" w:hAnsi="Times New Roman" w:cs="Times New Roman"/>
                <w:b/>
                <w:bCs/>
                <w:color w:val="000000"/>
                <w:sz w:val="20"/>
                <w:szCs w:val="20"/>
              </w:rPr>
              <w:t>40.23</w:t>
            </w:r>
            <w:r w:rsidRPr="00A949E6">
              <w:rPr>
                <w:rFonts w:ascii="Times New Roman" w:hAnsi="Times New Roman" w:cs="Times New Roman"/>
                <w:b/>
                <w:bCs/>
                <w:color w:val="000000"/>
                <w:sz w:val="20"/>
                <w:szCs w:val="20"/>
              </w:rPr>
              <w:t xml:space="preserve"> </w:t>
            </w:r>
          </w:p>
        </w:tc>
        <w:tc>
          <w:tcPr>
            <w:tcW w:w="1738" w:type="dxa"/>
            <w:tcBorders>
              <w:top w:val="nil"/>
              <w:left w:val="nil"/>
              <w:bottom w:val="single" w:sz="8" w:space="0" w:color="000000" w:themeColor="text1"/>
              <w:right w:val="single" w:sz="8" w:space="0" w:color="000000" w:themeColor="text1"/>
            </w:tcBorders>
            <w:shd w:val="clear" w:color="auto" w:fill="auto"/>
            <w:vAlign w:val="center"/>
            <w:hideMark/>
          </w:tcPr>
          <w:p w:rsidR="00A949E6" w:rsidRPr="00A949E6" w:rsidP="00A949E6" w14:paraId="264B08B9" w14:textId="77777777">
            <w:pPr>
              <w:spacing w:after="0" w:line="240" w:lineRule="auto"/>
              <w:jc w:val="center"/>
              <w:rPr>
                <w:rFonts w:ascii="Times New Roman" w:eastAsia="Times New Roman" w:hAnsi="Times New Roman" w:cs="Times New Roman"/>
                <w:color w:val="000000"/>
                <w:sz w:val="20"/>
                <w:szCs w:val="20"/>
              </w:rPr>
            </w:pPr>
            <w:r w:rsidRPr="47FDE0B8">
              <w:rPr>
                <w:rFonts w:ascii="Times New Roman" w:hAnsi="Times New Roman" w:cs="Times New Roman"/>
                <w:b/>
                <w:color w:val="000000" w:themeColor="text1"/>
                <w:sz w:val="20"/>
                <w:szCs w:val="20"/>
              </w:rPr>
              <w:t>$5.</w:t>
            </w:r>
            <w:r w:rsidRPr="47FDE0B8">
              <w:rPr>
                <w:rFonts w:ascii="Times New Roman" w:hAnsi="Times New Roman" w:cs="Times New Roman"/>
                <w:b/>
                <w:bCs/>
                <w:color w:val="000000" w:themeColor="text1"/>
                <w:sz w:val="20"/>
                <w:szCs w:val="20"/>
              </w:rPr>
              <w:t>5</w:t>
            </w:r>
            <w:r w:rsidRPr="47FDE0B8" w:rsidR="6ED8E4D3">
              <w:rPr>
                <w:rFonts w:ascii="Times New Roman" w:hAnsi="Times New Roman" w:cs="Times New Roman"/>
                <w:b/>
                <w:bCs/>
                <w:color w:val="000000" w:themeColor="text1"/>
                <w:sz w:val="20"/>
                <w:szCs w:val="20"/>
              </w:rPr>
              <w:t>4</w:t>
            </w:r>
            <w:r w:rsidRPr="47FDE0B8">
              <w:rPr>
                <w:rFonts w:ascii="Times New Roman" w:hAnsi="Times New Roman" w:cs="Times New Roman"/>
                <w:b/>
                <w:color w:val="000000" w:themeColor="text1"/>
                <w:sz w:val="20"/>
                <w:szCs w:val="20"/>
              </w:rPr>
              <w:t xml:space="preserve"> </w:t>
            </w:r>
          </w:p>
        </w:tc>
        <w:tc>
          <w:tcPr>
            <w:tcW w:w="1683" w:type="dxa"/>
            <w:tcBorders>
              <w:top w:val="nil"/>
              <w:left w:val="nil"/>
              <w:bottom w:val="single" w:sz="8" w:space="0" w:color="000000" w:themeColor="text1"/>
              <w:right w:val="single" w:sz="8" w:space="0" w:color="000000" w:themeColor="text1"/>
            </w:tcBorders>
          </w:tcPr>
          <w:p w:rsidR="00A949E6" w:rsidRPr="00BA4403" w:rsidP="00A949E6" w14:paraId="279A6A6A" w14:textId="77777777">
            <w:pPr>
              <w:spacing w:after="0" w:line="240" w:lineRule="auto"/>
              <w:jc w:val="center"/>
              <w:rPr>
                <w:rFonts w:ascii="Times New Roman" w:eastAsia="Times New Roman" w:hAnsi="Times New Roman" w:cs="Times New Roman"/>
                <w:b/>
                <w:color w:val="000000"/>
                <w:sz w:val="20"/>
                <w:szCs w:val="20"/>
              </w:rPr>
            </w:pPr>
            <w:r w:rsidRPr="00035E0B">
              <w:rPr>
                <w:rFonts w:ascii="Times New Roman" w:eastAsia="Times New Roman" w:hAnsi="Times New Roman" w:cs="Times New Roman"/>
                <w:b/>
                <w:bCs/>
                <w:color w:val="000000"/>
                <w:sz w:val="20"/>
                <w:szCs w:val="20"/>
              </w:rPr>
              <w:t>$0.05</w:t>
            </w:r>
          </w:p>
        </w:tc>
      </w:tr>
    </w:tbl>
    <w:p w:rsidR="00BE4E59" w:rsidRPr="003A3A84" w:rsidP="00BE4E59" w14:paraId="63DB3191" w14:textId="77777777">
      <w:pPr>
        <w:spacing w:after="0" w:line="240" w:lineRule="auto"/>
        <w:rPr>
          <w:rFonts w:ascii="Times New Roman" w:hAnsi="Times New Roman" w:cs="Times New Roman"/>
          <w:sz w:val="18"/>
          <w:szCs w:val="18"/>
        </w:rPr>
      </w:pPr>
      <w:r w:rsidRPr="003A3A84">
        <w:rPr>
          <w:rFonts w:ascii="Times New Roman" w:hAnsi="Times New Roman" w:cs="Times New Roman"/>
          <w:sz w:val="18"/>
          <w:szCs w:val="18"/>
        </w:rPr>
        <w:t>*The unit value</w:t>
      </w:r>
      <w:r w:rsidRPr="003A3A84" w:rsidR="00380A1C">
        <w:rPr>
          <w:rFonts w:ascii="Times New Roman" w:hAnsi="Times New Roman" w:cs="Times New Roman"/>
          <w:sz w:val="18"/>
          <w:szCs w:val="18"/>
        </w:rPr>
        <w:t>s (cost per person)</w:t>
      </w:r>
      <w:r w:rsidRPr="003A3A84">
        <w:rPr>
          <w:rFonts w:ascii="Times New Roman" w:hAnsi="Times New Roman" w:cs="Times New Roman"/>
          <w:sz w:val="18"/>
          <w:szCs w:val="18"/>
        </w:rPr>
        <w:t xml:space="preserve"> </w:t>
      </w:r>
      <w:r w:rsidRPr="4D86A8A9" w:rsidR="5D185067">
        <w:rPr>
          <w:rFonts w:ascii="Times New Roman" w:hAnsi="Times New Roman" w:cs="Times New Roman"/>
          <w:sz w:val="18"/>
          <w:szCs w:val="18"/>
        </w:rPr>
        <w:t xml:space="preserve">are </w:t>
      </w:r>
      <w:r w:rsidR="00C336CB">
        <w:rPr>
          <w:rFonts w:ascii="Times New Roman" w:hAnsi="Times New Roman" w:cs="Times New Roman"/>
          <w:sz w:val="18"/>
          <w:szCs w:val="18"/>
        </w:rPr>
        <w:t xml:space="preserve">$293 </w:t>
      </w:r>
      <w:r w:rsidRPr="003A3A84">
        <w:rPr>
          <w:rFonts w:ascii="Times New Roman" w:hAnsi="Times New Roman" w:cs="Times New Roman"/>
          <w:sz w:val="18"/>
          <w:szCs w:val="18"/>
        </w:rPr>
        <w:t xml:space="preserve">for evacuations and </w:t>
      </w:r>
      <w:r w:rsidR="00853851">
        <w:rPr>
          <w:rFonts w:ascii="Times New Roman" w:hAnsi="Times New Roman" w:cs="Times New Roman"/>
          <w:sz w:val="18"/>
          <w:szCs w:val="18"/>
        </w:rPr>
        <w:t xml:space="preserve">$147 for </w:t>
      </w:r>
      <w:r w:rsidRPr="003A3A84">
        <w:rPr>
          <w:rFonts w:ascii="Times New Roman" w:hAnsi="Times New Roman" w:cs="Times New Roman"/>
          <w:sz w:val="18"/>
          <w:szCs w:val="18"/>
        </w:rPr>
        <w:t>sheltering</w:t>
      </w:r>
      <w:r w:rsidRPr="003A3A84" w:rsidR="0023011A">
        <w:rPr>
          <w:rFonts w:ascii="Times New Roman" w:hAnsi="Times New Roman" w:cs="Times New Roman"/>
          <w:sz w:val="18"/>
          <w:szCs w:val="18"/>
        </w:rPr>
        <w:t>-</w:t>
      </w:r>
      <w:r w:rsidRPr="003A3A84">
        <w:rPr>
          <w:rFonts w:ascii="Times New Roman" w:hAnsi="Times New Roman" w:cs="Times New Roman"/>
          <w:sz w:val="18"/>
          <w:szCs w:val="18"/>
        </w:rPr>
        <w:t>in place</w:t>
      </w:r>
      <w:r w:rsidRPr="003A3A84" w:rsidR="00380A1C">
        <w:rPr>
          <w:rFonts w:ascii="Times New Roman" w:hAnsi="Times New Roman" w:cs="Times New Roman"/>
          <w:sz w:val="18"/>
          <w:szCs w:val="18"/>
        </w:rPr>
        <w:t>,</w:t>
      </w:r>
      <w:r w:rsidRPr="003A3A84">
        <w:rPr>
          <w:rFonts w:ascii="Times New Roman" w:hAnsi="Times New Roman" w:cs="Times New Roman"/>
          <w:sz w:val="18"/>
          <w:szCs w:val="18"/>
        </w:rPr>
        <w:t xml:space="preserve"> so when presented in rounded $ millions, the value in the table is zero. </w:t>
      </w:r>
    </w:p>
    <w:p w:rsidR="006F403D" w:rsidRPr="003A3A84" w:rsidP="006F403D" w14:paraId="6B0975D1" w14:textId="77777777">
      <w:pPr>
        <w:spacing w:after="0" w:line="240" w:lineRule="auto"/>
        <w:rPr>
          <w:rFonts w:ascii="Times New Roman" w:hAnsi="Times New Roman" w:cs="Times New Roman"/>
          <w:sz w:val="18"/>
          <w:szCs w:val="18"/>
        </w:rPr>
      </w:pPr>
      <w:r w:rsidRPr="003A3A84">
        <w:rPr>
          <w:rFonts w:ascii="Times New Roman" w:hAnsi="Times New Roman" w:cs="Times New Roman"/>
          <w:sz w:val="18"/>
          <w:szCs w:val="18"/>
        </w:rPr>
        <w:t xml:space="preserve">** Large offsite property damage is influenced by high offsite consequences reported from the 2019 TPC Group Explosion and Fire in Port Neches, TX (see: </w:t>
      </w:r>
      <w:hyperlink r:id="rId22" w:history="1">
        <w:r w:rsidRPr="003A3A84">
          <w:rPr>
            <w:rStyle w:val="Hyperlink"/>
            <w:rFonts w:ascii="Times New Roman" w:hAnsi="Times New Roman" w:cs="Times New Roman"/>
            <w:sz w:val="18"/>
            <w:szCs w:val="18"/>
          </w:rPr>
          <w:t>https://www.csb.gov/tpc-group-explosion-and-fire/</w:t>
        </w:r>
      </w:hyperlink>
      <w:r w:rsidRPr="003A3A84">
        <w:rPr>
          <w:rFonts w:ascii="Times New Roman" w:hAnsi="Times New Roman" w:cs="Times New Roman"/>
          <w:sz w:val="18"/>
          <w:szCs w:val="18"/>
        </w:rPr>
        <w:t xml:space="preserve"> .</w:t>
      </w:r>
    </w:p>
    <w:p w:rsidR="00BE4E59" w:rsidP="00BE4E59" w14:paraId="64F9D393" w14:textId="77777777">
      <w:pPr>
        <w:spacing w:after="0" w:line="240" w:lineRule="auto"/>
        <w:rPr>
          <w:rFonts w:ascii="Times New Roman" w:hAnsi="Times New Roman" w:cs="Times New Roman"/>
        </w:rPr>
      </w:pPr>
    </w:p>
    <w:p w:rsidR="00BE4E59" w:rsidRPr="00BF42A8" w:rsidP="00BE4E59" w14:paraId="5F36A9F5" w14:textId="77777777">
      <w:pPr>
        <w:spacing w:after="0" w:line="240" w:lineRule="auto"/>
        <w:rPr>
          <w:rFonts w:ascii="Times New Roman" w:hAnsi="Times New Roman" w:cs="Times New Roman"/>
        </w:rPr>
      </w:pPr>
    </w:p>
    <w:p w:rsidR="00BE4E59" w:rsidP="00E7541B" w14:paraId="4F2309FF" w14:textId="412EDB55">
      <w:pPr>
        <w:keepNext/>
        <w:spacing w:after="0" w:line="240" w:lineRule="auto"/>
        <w:jc w:val="center"/>
        <w:rPr>
          <w:rFonts w:ascii="Times New Roman" w:hAnsi="Times New Roman" w:cs="Times New Roman"/>
          <w:b/>
        </w:rPr>
      </w:pPr>
      <w:r w:rsidRPr="001C0658">
        <w:rPr>
          <w:rFonts w:ascii="Times New Roman" w:hAnsi="Times New Roman" w:cs="Times New Roman"/>
          <w:b/>
        </w:rPr>
        <w:t>Exhibit</w:t>
      </w:r>
      <w:r>
        <w:t xml:space="preserve"> </w:t>
      </w:r>
      <w:r>
        <w:rPr>
          <w:rFonts w:ascii="Times New Roman" w:hAnsi="Times New Roman" w:cs="Times New Roman"/>
          <w:b/>
        </w:rPr>
        <w:t>3-1</w:t>
      </w:r>
      <w:r w:rsidR="00D3523B">
        <w:rPr>
          <w:rFonts w:ascii="Times New Roman" w:hAnsi="Times New Roman" w:cs="Times New Roman"/>
          <w:b/>
        </w:rPr>
        <w:t>6</w:t>
      </w:r>
      <w:r w:rsidRPr="00BF42A8">
        <w:rPr>
          <w:rFonts w:ascii="Times New Roman" w:hAnsi="Times New Roman" w:cs="Times New Roman"/>
          <w:b/>
        </w:rPr>
        <w:t xml:space="preserve">: Monetized Accident Costs </w:t>
      </w:r>
      <w:r>
        <w:rPr>
          <w:rFonts w:ascii="Times New Roman" w:hAnsi="Times New Roman" w:cs="Times New Roman"/>
          <w:b/>
        </w:rPr>
        <w:t xml:space="preserve">including Average </w:t>
      </w:r>
      <w:r w:rsidRPr="00BF42A8">
        <w:rPr>
          <w:rFonts w:ascii="Times New Roman" w:hAnsi="Times New Roman" w:cs="Times New Roman"/>
          <w:b/>
        </w:rPr>
        <w:t>per Year and</w:t>
      </w:r>
      <w:r>
        <w:rPr>
          <w:rFonts w:ascii="Times New Roman" w:hAnsi="Times New Roman" w:cs="Times New Roman"/>
          <w:b/>
        </w:rPr>
        <w:t xml:space="preserve"> </w:t>
      </w:r>
      <w:r w:rsidRPr="00BF42A8">
        <w:rPr>
          <w:rFonts w:ascii="Times New Roman" w:hAnsi="Times New Roman" w:cs="Times New Roman"/>
          <w:b/>
        </w:rPr>
        <w:t xml:space="preserve">per Accident </w:t>
      </w:r>
    </w:p>
    <w:p w:rsidR="00BE4E59" w:rsidRPr="0066111E" w:rsidP="00E7541B" w14:paraId="0E436E5B" w14:textId="77777777">
      <w:pPr>
        <w:keepNext/>
        <w:spacing w:after="0" w:line="240" w:lineRule="auto"/>
        <w:jc w:val="center"/>
        <w:rPr>
          <w:b/>
        </w:rPr>
      </w:pPr>
      <w:r>
        <w:rPr>
          <w:rFonts w:ascii="Times New Roman" w:hAnsi="Times New Roman" w:cs="Times New Roman"/>
          <w:b/>
        </w:rPr>
        <w:t xml:space="preserve">for </w:t>
      </w:r>
      <w:r w:rsidRPr="00BF42A8">
        <w:rPr>
          <w:rFonts w:ascii="Times New Roman" w:hAnsi="Times New Roman" w:cs="Times New Roman"/>
          <w:b/>
        </w:rPr>
        <w:t>2</w:t>
      </w:r>
      <w:r>
        <w:rPr>
          <w:rFonts w:ascii="Times New Roman" w:hAnsi="Times New Roman" w:cs="Times New Roman"/>
          <w:b/>
        </w:rPr>
        <w:t xml:space="preserve">004-2013 and 2014-2016 (millions, </w:t>
      </w:r>
      <w:r w:rsidR="005F72EC">
        <w:rPr>
          <w:rFonts w:ascii="Times New Roman" w:hAnsi="Times New Roman" w:cs="Times New Roman"/>
          <w:b/>
        </w:rPr>
        <w:t>2022</w:t>
      </w:r>
      <w:r>
        <w:rPr>
          <w:rFonts w:ascii="Times New Roman" w:hAnsi="Times New Roman" w:cs="Times New Roman"/>
          <w:b/>
        </w:rPr>
        <w:t xml:space="preserve"> dollars)</w:t>
      </w:r>
    </w:p>
    <w:p w:rsidR="00BE4E59" w:rsidP="00E7541B" w14:paraId="4BED500E" w14:textId="77777777">
      <w:pPr>
        <w:keepNext/>
        <w:spacing w:after="0" w:line="240" w:lineRule="auto"/>
        <w:rPr>
          <w:rFonts w:ascii="Times New Roman" w:hAnsi="Times New Roman" w:cs="Times New Roman"/>
        </w:rPr>
      </w:pPr>
    </w:p>
    <w:tbl>
      <w:tblPr>
        <w:tblStyle w:val="GridTableLight"/>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6"/>
        <w:gridCol w:w="821"/>
        <w:gridCol w:w="1170"/>
        <w:gridCol w:w="998"/>
        <w:gridCol w:w="1350"/>
        <w:gridCol w:w="1080"/>
        <w:gridCol w:w="998"/>
        <w:gridCol w:w="1287"/>
      </w:tblGrid>
      <w:tr w14:paraId="7C0273E3" w14:textId="77777777" w:rsidTr="005A471E">
        <w:tblPrEx>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00"/>
        </w:trPr>
        <w:tc>
          <w:tcPr>
            <w:tcW w:w="2467" w:type="dxa"/>
            <w:gridSpan w:val="2"/>
            <w:shd w:val="clear" w:color="auto" w:fill="D9D9D9" w:themeFill="background1" w:themeFillShade="D9"/>
            <w:noWrap/>
          </w:tcPr>
          <w:p w:rsidR="00BE4E59" w:rsidRPr="0053176C" w:rsidP="00E7541B" w14:paraId="6A250F5C" w14:textId="77777777">
            <w:pPr>
              <w:keepNext/>
              <w:jc w:val="center"/>
              <w:rPr>
                <w:rFonts w:ascii="Times New Roman" w:eastAsia="Times New Roman" w:hAnsi="Times New Roman" w:cs="Times New Roman"/>
                <w:b/>
                <w:bCs/>
                <w:color w:val="000000"/>
                <w:sz w:val="22"/>
                <w:szCs w:val="22"/>
              </w:rPr>
            </w:pPr>
            <w:bookmarkStart w:id="143" w:name="_Hlk142401154"/>
          </w:p>
        </w:tc>
        <w:tc>
          <w:tcPr>
            <w:tcW w:w="3518" w:type="dxa"/>
            <w:gridSpan w:val="3"/>
            <w:shd w:val="clear" w:color="auto" w:fill="D9D9D9" w:themeFill="background1" w:themeFillShade="D9"/>
            <w:noWrap/>
          </w:tcPr>
          <w:p w:rsidR="00BE4E59" w:rsidRPr="0053176C" w:rsidP="00E7541B" w14:paraId="2ACB3A4E" w14:textId="77777777">
            <w:pPr>
              <w:keepNext/>
              <w:jc w:val="center"/>
              <w:rPr>
                <w:rFonts w:ascii="Times New Roman" w:eastAsia="Times New Roman" w:hAnsi="Times New Roman" w:cs="Times New Roman"/>
                <w:b/>
                <w:bCs/>
                <w:color w:val="000000"/>
                <w:sz w:val="22"/>
                <w:szCs w:val="22"/>
              </w:rPr>
            </w:pPr>
            <w:r w:rsidRPr="0053176C">
              <w:rPr>
                <w:rFonts w:ascii="Times New Roman" w:eastAsia="Times New Roman" w:hAnsi="Times New Roman" w:cs="Times New Roman"/>
                <w:b/>
                <w:bCs/>
                <w:color w:val="000000"/>
                <w:sz w:val="22"/>
                <w:szCs w:val="22"/>
              </w:rPr>
              <w:t>2004</w:t>
            </w:r>
            <w:r>
              <w:rPr>
                <w:rFonts w:ascii="Times New Roman" w:eastAsia="Times New Roman" w:hAnsi="Times New Roman" w:cs="Times New Roman"/>
                <w:b/>
                <w:bCs/>
                <w:color w:val="000000"/>
                <w:sz w:val="22"/>
                <w:szCs w:val="22"/>
              </w:rPr>
              <w:t>-</w:t>
            </w:r>
            <w:r w:rsidRPr="0053176C">
              <w:rPr>
                <w:rFonts w:ascii="Times New Roman" w:eastAsia="Times New Roman" w:hAnsi="Times New Roman" w:cs="Times New Roman"/>
                <w:b/>
                <w:bCs/>
                <w:color w:val="000000"/>
                <w:sz w:val="22"/>
                <w:szCs w:val="22"/>
              </w:rPr>
              <w:t>2013</w:t>
            </w:r>
          </w:p>
        </w:tc>
        <w:tc>
          <w:tcPr>
            <w:tcW w:w="3365" w:type="dxa"/>
            <w:gridSpan w:val="3"/>
            <w:shd w:val="clear" w:color="auto" w:fill="D9D9D9" w:themeFill="background1" w:themeFillShade="D9"/>
          </w:tcPr>
          <w:p w:rsidR="00BE4E59" w:rsidRPr="0053176C" w:rsidP="00E7541B" w14:paraId="51887BCE" w14:textId="77777777">
            <w:pPr>
              <w:keepNext/>
              <w:jc w:val="center"/>
              <w:rPr>
                <w:rFonts w:ascii="Times New Roman" w:eastAsia="Times New Roman" w:hAnsi="Times New Roman" w:cs="Times New Roman"/>
                <w:b/>
                <w:bCs/>
                <w:color w:val="000000"/>
                <w:sz w:val="22"/>
                <w:szCs w:val="22"/>
              </w:rPr>
            </w:pPr>
            <w:r w:rsidRPr="0053176C">
              <w:rPr>
                <w:rFonts w:ascii="Times New Roman" w:eastAsia="Times New Roman" w:hAnsi="Times New Roman" w:cs="Times New Roman"/>
                <w:b/>
                <w:bCs/>
                <w:color w:val="000000"/>
                <w:sz w:val="22"/>
                <w:szCs w:val="22"/>
              </w:rPr>
              <w:t>2014</w:t>
            </w:r>
            <w:r>
              <w:rPr>
                <w:rFonts w:ascii="Times New Roman" w:eastAsia="Times New Roman" w:hAnsi="Times New Roman" w:cs="Times New Roman"/>
                <w:b/>
                <w:bCs/>
                <w:color w:val="000000"/>
                <w:sz w:val="22"/>
                <w:szCs w:val="22"/>
              </w:rPr>
              <w:t>-</w:t>
            </w:r>
            <w:r w:rsidRPr="0053176C">
              <w:rPr>
                <w:rFonts w:ascii="Times New Roman" w:eastAsia="Times New Roman" w:hAnsi="Times New Roman" w:cs="Times New Roman"/>
                <w:b/>
                <w:bCs/>
                <w:color w:val="000000"/>
                <w:sz w:val="22"/>
                <w:szCs w:val="22"/>
              </w:rPr>
              <w:t>2016</w:t>
            </w:r>
          </w:p>
        </w:tc>
      </w:tr>
      <w:tr w14:paraId="48ADA79E" w14:textId="77777777" w:rsidTr="005A471E">
        <w:tblPrEx>
          <w:tblW w:w="9350" w:type="dxa"/>
          <w:tblLook w:val="04A0"/>
        </w:tblPrEx>
        <w:trPr>
          <w:trHeight w:val="300"/>
        </w:trPr>
        <w:tc>
          <w:tcPr>
            <w:tcW w:w="1646" w:type="dxa"/>
            <w:shd w:val="clear" w:color="auto" w:fill="D9D9D9" w:themeFill="background1" w:themeFillShade="D9"/>
            <w:noWrap/>
            <w:hideMark/>
          </w:tcPr>
          <w:p w:rsidR="00BE4E59" w:rsidRPr="0053176C" w:rsidP="00FD7425" w14:paraId="0524B471" w14:textId="77777777">
            <w:pPr>
              <w:keepNext/>
              <w:jc w:val="center"/>
              <w:rPr>
                <w:rFonts w:ascii="Times New Roman" w:eastAsia="Times New Roman" w:hAnsi="Times New Roman" w:cs="Times New Roman"/>
                <w:sz w:val="22"/>
                <w:szCs w:val="22"/>
              </w:rPr>
            </w:pPr>
          </w:p>
        </w:tc>
        <w:tc>
          <w:tcPr>
            <w:tcW w:w="821" w:type="dxa"/>
            <w:shd w:val="clear" w:color="auto" w:fill="D9D9D9" w:themeFill="background1" w:themeFillShade="D9"/>
            <w:noWrap/>
            <w:hideMark/>
          </w:tcPr>
          <w:p w:rsidR="00BE4E59" w:rsidRPr="00AF6AF5" w:rsidP="00FD7425" w14:paraId="6C2B18F5" w14:textId="77777777">
            <w:pPr>
              <w:keepNext/>
              <w:jc w:val="center"/>
              <w:rPr>
                <w:rFonts w:ascii="Times New Roman" w:eastAsia="Times New Roman" w:hAnsi="Times New Roman" w:cs="Times New Roman"/>
                <w:b/>
                <w:bCs/>
                <w:color w:val="000000"/>
                <w:sz w:val="22"/>
                <w:szCs w:val="22"/>
              </w:rPr>
            </w:pPr>
            <w:r w:rsidRPr="00AF6AF5">
              <w:rPr>
                <w:rFonts w:ascii="Times New Roman" w:eastAsia="Times New Roman" w:hAnsi="Times New Roman" w:cs="Times New Roman"/>
                <w:b/>
                <w:bCs/>
                <w:color w:val="000000"/>
                <w:sz w:val="22"/>
                <w:szCs w:val="22"/>
              </w:rPr>
              <w:t>Unit Value</w:t>
            </w:r>
          </w:p>
        </w:tc>
        <w:tc>
          <w:tcPr>
            <w:tcW w:w="1170" w:type="dxa"/>
            <w:shd w:val="clear" w:color="auto" w:fill="D9D9D9" w:themeFill="background1" w:themeFillShade="D9"/>
            <w:noWrap/>
            <w:hideMark/>
          </w:tcPr>
          <w:p w:rsidR="00BE4E59" w:rsidRPr="00AF6AF5" w:rsidP="00FD7425" w14:paraId="4C695AE6" w14:textId="77777777">
            <w:pPr>
              <w:keepNext/>
              <w:jc w:val="center"/>
              <w:rPr>
                <w:rFonts w:ascii="Times New Roman" w:eastAsia="Times New Roman" w:hAnsi="Times New Roman" w:cs="Times New Roman"/>
                <w:b/>
                <w:bCs/>
                <w:color w:val="000000"/>
                <w:sz w:val="22"/>
                <w:szCs w:val="22"/>
              </w:rPr>
            </w:pPr>
            <w:r w:rsidRPr="00AF6AF5">
              <w:rPr>
                <w:rFonts w:ascii="Times New Roman" w:eastAsia="Times New Roman" w:hAnsi="Times New Roman" w:cs="Times New Roman"/>
                <w:b/>
                <w:bCs/>
                <w:color w:val="000000"/>
                <w:sz w:val="22"/>
                <w:szCs w:val="22"/>
              </w:rPr>
              <w:t>10-Year Total</w:t>
            </w:r>
          </w:p>
        </w:tc>
        <w:tc>
          <w:tcPr>
            <w:tcW w:w="998" w:type="dxa"/>
            <w:shd w:val="clear" w:color="auto" w:fill="D9D9D9" w:themeFill="background1" w:themeFillShade="D9"/>
            <w:noWrap/>
            <w:hideMark/>
          </w:tcPr>
          <w:p w:rsidR="00BE4E59" w:rsidRPr="00AF6AF5" w:rsidP="00FD7425" w14:paraId="00D118FA" w14:textId="77777777">
            <w:pPr>
              <w:keepNext/>
              <w:jc w:val="center"/>
              <w:rPr>
                <w:rFonts w:ascii="Times New Roman" w:eastAsia="Times New Roman" w:hAnsi="Times New Roman" w:cs="Times New Roman"/>
                <w:b/>
                <w:bCs/>
                <w:color w:val="000000"/>
                <w:sz w:val="22"/>
                <w:szCs w:val="22"/>
              </w:rPr>
            </w:pPr>
            <w:r w:rsidRPr="00AF6AF5">
              <w:rPr>
                <w:rFonts w:ascii="Times New Roman" w:eastAsia="Times New Roman" w:hAnsi="Times New Roman" w:cs="Times New Roman"/>
                <w:b/>
                <w:bCs/>
                <w:color w:val="000000"/>
                <w:sz w:val="22"/>
                <w:szCs w:val="22"/>
              </w:rPr>
              <w:t>Average per Year</w:t>
            </w:r>
          </w:p>
        </w:tc>
        <w:tc>
          <w:tcPr>
            <w:tcW w:w="1350" w:type="dxa"/>
            <w:shd w:val="clear" w:color="auto" w:fill="D9D9D9" w:themeFill="background1" w:themeFillShade="D9"/>
            <w:noWrap/>
            <w:hideMark/>
          </w:tcPr>
          <w:p w:rsidR="00BE4E59" w:rsidRPr="00AF6AF5" w:rsidP="00FD7425" w14:paraId="70B7E61D" w14:textId="77777777">
            <w:pPr>
              <w:keepNext/>
              <w:jc w:val="center"/>
              <w:rPr>
                <w:rFonts w:ascii="Times New Roman" w:eastAsia="Times New Roman" w:hAnsi="Times New Roman" w:cs="Times New Roman"/>
                <w:b/>
                <w:bCs/>
                <w:color w:val="000000"/>
                <w:sz w:val="22"/>
                <w:szCs w:val="22"/>
              </w:rPr>
            </w:pPr>
            <w:r w:rsidRPr="00AF6AF5">
              <w:rPr>
                <w:rFonts w:ascii="Times New Roman" w:eastAsia="Times New Roman" w:hAnsi="Times New Roman" w:cs="Times New Roman"/>
                <w:b/>
                <w:bCs/>
                <w:color w:val="000000"/>
                <w:sz w:val="22"/>
                <w:szCs w:val="22"/>
              </w:rPr>
              <w:t>Average per Accident</w:t>
            </w:r>
          </w:p>
        </w:tc>
        <w:tc>
          <w:tcPr>
            <w:tcW w:w="1080" w:type="dxa"/>
            <w:shd w:val="clear" w:color="auto" w:fill="D9D9D9" w:themeFill="background1" w:themeFillShade="D9"/>
          </w:tcPr>
          <w:p w:rsidR="00BE4E59" w:rsidRPr="00AF6AF5" w:rsidP="00FD7425" w14:paraId="5A03E8AF" w14:textId="77777777">
            <w:pPr>
              <w:keepNext/>
              <w:jc w:val="center"/>
              <w:rPr>
                <w:rFonts w:ascii="Times New Roman" w:eastAsia="Times New Roman" w:hAnsi="Times New Roman" w:cs="Times New Roman"/>
                <w:b/>
                <w:bCs/>
                <w:color w:val="000000"/>
                <w:sz w:val="22"/>
                <w:szCs w:val="22"/>
              </w:rPr>
            </w:pPr>
            <w:r w:rsidRPr="00AF6AF5">
              <w:rPr>
                <w:rFonts w:ascii="Times New Roman" w:eastAsia="Times New Roman" w:hAnsi="Times New Roman" w:cs="Times New Roman"/>
                <w:b/>
                <w:bCs/>
                <w:color w:val="000000"/>
                <w:sz w:val="22"/>
                <w:szCs w:val="22"/>
              </w:rPr>
              <w:t>3-Year Total</w:t>
            </w:r>
          </w:p>
        </w:tc>
        <w:tc>
          <w:tcPr>
            <w:tcW w:w="998" w:type="dxa"/>
            <w:shd w:val="clear" w:color="auto" w:fill="D9D9D9" w:themeFill="background1" w:themeFillShade="D9"/>
          </w:tcPr>
          <w:p w:rsidR="00BE4E59" w:rsidRPr="00AF6AF5" w:rsidP="00FD7425" w14:paraId="63027A95" w14:textId="77777777">
            <w:pPr>
              <w:keepNext/>
              <w:jc w:val="center"/>
              <w:rPr>
                <w:rFonts w:ascii="Times New Roman" w:eastAsia="Times New Roman" w:hAnsi="Times New Roman" w:cs="Times New Roman"/>
                <w:b/>
                <w:bCs/>
                <w:color w:val="000000"/>
                <w:sz w:val="22"/>
                <w:szCs w:val="22"/>
              </w:rPr>
            </w:pPr>
            <w:r w:rsidRPr="00AF6AF5">
              <w:rPr>
                <w:rFonts w:ascii="Times New Roman" w:eastAsia="Times New Roman" w:hAnsi="Times New Roman" w:cs="Times New Roman"/>
                <w:b/>
                <w:bCs/>
                <w:color w:val="000000"/>
                <w:sz w:val="22"/>
                <w:szCs w:val="22"/>
              </w:rPr>
              <w:t>Average per Year</w:t>
            </w:r>
          </w:p>
        </w:tc>
        <w:tc>
          <w:tcPr>
            <w:tcW w:w="1287" w:type="dxa"/>
            <w:shd w:val="clear" w:color="auto" w:fill="D9D9D9" w:themeFill="background1" w:themeFillShade="D9"/>
          </w:tcPr>
          <w:p w:rsidR="00BE4E59" w:rsidRPr="00AF6AF5" w:rsidP="00FD7425" w14:paraId="71258D61" w14:textId="77777777">
            <w:pPr>
              <w:keepNext/>
              <w:jc w:val="center"/>
              <w:rPr>
                <w:rFonts w:ascii="Times New Roman" w:eastAsia="Times New Roman" w:hAnsi="Times New Roman" w:cs="Times New Roman"/>
                <w:b/>
                <w:bCs/>
                <w:color w:val="000000"/>
                <w:sz w:val="22"/>
                <w:szCs w:val="22"/>
              </w:rPr>
            </w:pPr>
            <w:r w:rsidRPr="00AF6AF5">
              <w:rPr>
                <w:rFonts w:ascii="Times New Roman" w:eastAsia="Times New Roman" w:hAnsi="Times New Roman" w:cs="Times New Roman"/>
                <w:b/>
                <w:bCs/>
                <w:color w:val="000000"/>
                <w:sz w:val="22"/>
                <w:szCs w:val="22"/>
              </w:rPr>
              <w:t>Average per Accident</w:t>
            </w:r>
          </w:p>
        </w:tc>
      </w:tr>
      <w:tr w14:paraId="3FA96F9C" w14:textId="77777777">
        <w:tblPrEx>
          <w:tblW w:w="9350" w:type="dxa"/>
          <w:tblLook w:val="04A0"/>
        </w:tblPrEx>
        <w:trPr>
          <w:trHeight w:val="300"/>
        </w:trPr>
        <w:tc>
          <w:tcPr>
            <w:tcW w:w="9350" w:type="dxa"/>
            <w:gridSpan w:val="8"/>
            <w:shd w:val="clear" w:color="auto" w:fill="F2F2F2" w:themeFill="background1" w:themeFillShade="F2"/>
            <w:noWrap/>
            <w:vAlign w:val="center"/>
            <w:hideMark/>
          </w:tcPr>
          <w:p w:rsidR="00BE4E59" w:rsidRPr="00AF6AF5" w:rsidP="00FD7425" w14:paraId="49042919" w14:textId="77777777">
            <w:pPr>
              <w:keepNext/>
              <w:rPr>
                <w:rFonts w:ascii="Times New Roman" w:eastAsia="Times New Roman" w:hAnsi="Times New Roman" w:cs="Times New Roman"/>
                <w:b/>
                <w:bCs/>
                <w:color w:val="000000"/>
                <w:sz w:val="22"/>
                <w:szCs w:val="22"/>
              </w:rPr>
            </w:pPr>
            <w:r w:rsidRPr="00AF6AF5">
              <w:rPr>
                <w:rFonts w:ascii="Times New Roman" w:eastAsia="Times New Roman" w:hAnsi="Times New Roman" w:cs="Times New Roman"/>
                <w:b/>
                <w:bCs/>
                <w:color w:val="000000"/>
                <w:sz w:val="22"/>
                <w:szCs w:val="22"/>
              </w:rPr>
              <w:t>Onsite</w:t>
            </w:r>
          </w:p>
        </w:tc>
      </w:tr>
      <w:tr w14:paraId="0BCB621C" w14:textId="77777777" w:rsidTr="007F63D3">
        <w:tblPrEx>
          <w:tblW w:w="9350" w:type="dxa"/>
          <w:tblLook w:val="04A0"/>
        </w:tblPrEx>
        <w:trPr>
          <w:trHeight w:val="300"/>
        </w:trPr>
        <w:tc>
          <w:tcPr>
            <w:tcW w:w="1646" w:type="dxa"/>
            <w:noWrap/>
            <w:hideMark/>
          </w:tcPr>
          <w:p w:rsidR="00913BC2" w:rsidRPr="00AF6AF5" w:rsidP="00913BC2" w14:paraId="622B911B" w14:textId="77777777">
            <w:pPr>
              <w:rPr>
                <w:rFonts w:ascii="Times New Roman" w:eastAsia="Times New Roman" w:hAnsi="Times New Roman" w:cs="Times New Roman"/>
                <w:sz w:val="22"/>
                <w:szCs w:val="22"/>
              </w:rPr>
            </w:pPr>
            <w:r w:rsidRPr="00AF6AF5">
              <w:rPr>
                <w:rFonts w:ascii="Times New Roman" w:eastAsia="Times New Roman" w:hAnsi="Times New Roman" w:cs="Times New Roman"/>
                <w:sz w:val="22"/>
                <w:szCs w:val="22"/>
              </w:rPr>
              <w:t>Fatalities</w:t>
            </w:r>
          </w:p>
        </w:tc>
        <w:tc>
          <w:tcPr>
            <w:tcW w:w="821" w:type="dxa"/>
            <w:noWrap/>
            <w:hideMark/>
          </w:tcPr>
          <w:p w:rsidR="00913BC2" w:rsidRPr="00AF6AF5" w:rsidP="00913BC2" w14:paraId="3C6AA60E" w14:textId="77777777">
            <w:pPr>
              <w:jc w:val="center"/>
              <w:rPr>
                <w:rFonts w:ascii="Times New Roman" w:eastAsia="Times New Roman" w:hAnsi="Times New Roman" w:cs="Times New Roman"/>
                <w:sz w:val="20"/>
                <w:szCs w:val="20"/>
              </w:rPr>
            </w:pPr>
            <w:r w:rsidRPr="00AF6AF5">
              <w:rPr>
                <w:rFonts w:ascii="Times New Roman" w:hAnsi="Times New Roman" w:cs="Times New Roman"/>
                <w:sz w:val="20"/>
                <w:szCs w:val="20"/>
              </w:rPr>
              <w:t>$10.4</w:t>
            </w:r>
          </w:p>
        </w:tc>
        <w:tc>
          <w:tcPr>
            <w:tcW w:w="1170" w:type="dxa"/>
            <w:noWrap/>
            <w:vAlign w:val="center"/>
            <w:hideMark/>
          </w:tcPr>
          <w:p w:rsidR="00913BC2" w:rsidRPr="00AF6AF5" w:rsidP="00913BC2" w14:paraId="62713A7B" w14:textId="77753D3B">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$7</w:t>
            </w:r>
            <w:r w:rsidRPr="00AF6AF5" w:rsidR="000F710B">
              <w:rPr>
                <w:rFonts w:ascii="Times New Roman" w:hAnsi="Times New Roman" w:cs="Times New Roman"/>
                <w:color w:val="000000"/>
                <w:sz w:val="20"/>
                <w:szCs w:val="20"/>
              </w:rPr>
              <w:t>41.0</w:t>
            </w:r>
            <w:r w:rsidRPr="00AF6AF5">
              <w:rPr>
                <w:rFonts w:ascii="Times New Roman" w:hAnsi="Times New Roman" w:cs="Times New Roman"/>
                <w:color w:val="000000"/>
                <w:sz w:val="20"/>
                <w:szCs w:val="20"/>
              </w:rPr>
              <w:t xml:space="preserve"> </w:t>
            </w:r>
          </w:p>
        </w:tc>
        <w:tc>
          <w:tcPr>
            <w:tcW w:w="998" w:type="dxa"/>
            <w:noWrap/>
            <w:vAlign w:val="center"/>
            <w:hideMark/>
          </w:tcPr>
          <w:p w:rsidR="00913BC2" w:rsidRPr="00AF6AF5" w:rsidP="00913BC2" w14:paraId="2CDD60E5" w14:textId="0859E9E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$7</w:t>
            </w:r>
            <w:r w:rsidRPr="00AF6AF5" w:rsidR="0004474D">
              <w:rPr>
                <w:rFonts w:ascii="Times New Roman" w:hAnsi="Times New Roman" w:cs="Times New Roman"/>
                <w:color w:val="000000"/>
                <w:sz w:val="20"/>
                <w:szCs w:val="20"/>
              </w:rPr>
              <w:t>4.1</w:t>
            </w:r>
            <w:r w:rsidRPr="00AF6AF5">
              <w:rPr>
                <w:rFonts w:ascii="Times New Roman" w:hAnsi="Times New Roman" w:cs="Times New Roman"/>
                <w:color w:val="000000"/>
                <w:sz w:val="20"/>
                <w:szCs w:val="20"/>
              </w:rPr>
              <w:t xml:space="preserve"> </w:t>
            </w:r>
          </w:p>
        </w:tc>
        <w:tc>
          <w:tcPr>
            <w:tcW w:w="1350" w:type="dxa"/>
            <w:noWrap/>
            <w:vAlign w:val="center"/>
            <w:hideMark/>
          </w:tcPr>
          <w:p w:rsidR="00913BC2" w:rsidRPr="00AF6AF5" w:rsidP="00913BC2" w14:paraId="43DAED5C"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 xml:space="preserve">$0.4 </w:t>
            </w:r>
          </w:p>
        </w:tc>
        <w:tc>
          <w:tcPr>
            <w:tcW w:w="1080" w:type="dxa"/>
            <w:vAlign w:val="center"/>
          </w:tcPr>
          <w:p w:rsidR="00913BC2" w:rsidRPr="00AF6AF5" w:rsidP="00913BC2" w14:paraId="40D0B6CB"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$135.7 </w:t>
            </w:r>
          </w:p>
        </w:tc>
        <w:tc>
          <w:tcPr>
            <w:tcW w:w="998" w:type="dxa"/>
            <w:vAlign w:val="center"/>
          </w:tcPr>
          <w:p w:rsidR="00913BC2" w:rsidRPr="00AF6AF5" w:rsidP="00913BC2" w14:paraId="22015174"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$45.2 </w:t>
            </w:r>
          </w:p>
        </w:tc>
        <w:tc>
          <w:tcPr>
            <w:tcW w:w="1287" w:type="dxa"/>
            <w:vAlign w:val="center"/>
          </w:tcPr>
          <w:p w:rsidR="00913BC2" w:rsidRPr="00AF6AF5" w:rsidP="00913BC2" w14:paraId="279EA276"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$0.33 </w:t>
            </w:r>
          </w:p>
        </w:tc>
      </w:tr>
      <w:tr w14:paraId="14F80525" w14:textId="77777777" w:rsidTr="007F63D3">
        <w:tblPrEx>
          <w:tblW w:w="9350" w:type="dxa"/>
          <w:tblLook w:val="04A0"/>
        </w:tblPrEx>
        <w:trPr>
          <w:trHeight w:val="300"/>
        </w:trPr>
        <w:tc>
          <w:tcPr>
            <w:tcW w:w="1646" w:type="dxa"/>
            <w:noWrap/>
            <w:hideMark/>
          </w:tcPr>
          <w:p w:rsidR="00913BC2" w:rsidRPr="00AF6AF5" w:rsidP="00913BC2" w14:paraId="147F8C77" w14:textId="77777777">
            <w:pPr>
              <w:rPr>
                <w:rFonts w:ascii="Times New Roman" w:eastAsia="Times New Roman" w:hAnsi="Times New Roman" w:cs="Times New Roman"/>
                <w:sz w:val="22"/>
                <w:szCs w:val="22"/>
              </w:rPr>
            </w:pPr>
            <w:r w:rsidRPr="00AF6AF5">
              <w:rPr>
                <w:rFonts w:ascii="Times New Roman" w:eastAsia="Times New Roman" w:hAnsi="Times New Roman" w:cs="Times New Roman"/>
                <w:sz w:val="22"/>
                <w:szCs w:val="22"/>
              </w:rPr>
              <w:t>Injuries</w:t>
            </w:r>
          </w:p>
        </w:tc>
        <w:tc>
          <w:tcPr>
            <w:tcW w:w="821" w:type="dxa"/>
            <w:noWrap/>
            <w:hideMark/>
          </w:tcPr>
          <w:p w:rsidR="00913BC2" w:rsidRPr="00AF6AF5" w:rsidP="00913BC2" w14:paraId="7C3C5EDC" w14:textId="77777777">
            <w:pPr>
              <w:jc w:val="center"/>
              <w:rPr>
                <w:rFonts w:ascii="Times New Roman" w:eastAsia="Times New Roman" w:hAnsi="Times New Roman" w:cs="Times New Roman"/>
                <w:sz w:val="20"/>
                <w:szCs w:val="20"/>
              </w:rPr>
            </w:pPr>
            <w:r w:rsidRPr="00AF6AF5">
              <w:rPr>
                <w:rFonts w:ascii="Times New Roman" w:hAnsi="Times New Roman" w:cs="Times New Roman"/>
                <w:sz w:val="20"/>
                <w:szCs w:val="20"/>
              </w:rPr>
              <w:t>$0.05</w:t>
            </w:r>
          </w:p>
        </w:tc>
        <w:tc>
          <w:tcPr>
            <w:tcW w:w="1170" w:type="dxa"/>
            <w:noWrap/>
            <w:vAlign w:val="center"/>
            <w:hideMark/>
          </w:tcPr>
          <w:p w:rsidR="00913BC2" w:rsidRPr="00AF6AF5" w:rsidP="00913BC2" w14:paraId="33100F84"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 xml:space="preserve">$109.9 </w:t>
            </w:r>
          </w:p>
        </w:tc>
        <w:tc>
          <w:tcPr>
            <w:tcW w:w="998" w:type="dxa"/>
            <w:noWrap/>
            <w:vAlign w:val="center"/>
            <w:hideMark/>
          </w:tcPr>
          <w:p w:rsidR="00913BC2" w:rsidRPr="00AF6AF5" w:rsidP="00913BC2" w14:paraId="0A2FFC85"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 xml:space="preserve">$11.0 </w:t>
            </w:r>
          </w:p>
        </w:tc>
        <w:tc>
          <w:tcPr>
            <w:tcW w:w="1350" w:type="dxa"/>
            <w:noWrap/>
            <w:vAlign w:val="center"/>
            <w:hideMark/>
          </w:tcPr>
          <w:p w:rsidR="00913BC2" w:rsidRPr="00AF6AF5" w:rsidP="00913BC2" w14:paraId="6DF72B51"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 xml:space="preserve">$0.07 </w:t>
            </w:r>
          </w:p>
        </w:tc>
        <w:tc>
          <w:tcPr>
            <w:tcW w:w="1080" w:type="dxa"/>
            <w:vAlign w:val="center"/>
          </w:tcPr>
          <w:p w:rsidR="00913BC2" w:rsidRPr="00AF6AF5" w:rsidP="00913BC2" w14:paraId="3E45BAB0"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$33.2</w:t>
            </w:r>
          </w:p>
        </w:tc>
        <w:tc>
          <w:tcPr>
            <w:tcW w:w="998" w:type="dxa"/>
            <w:vAlign w:val="center"/>
          </w:tcPr>
          <w:p w:rsidR="00913BC2" w:rsidRPr="00AF6AF5" w:rsidP="00913BC2" w14:paraId="1417B9F2"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$11.1 </w:t>
            </w:r>
          </w:p>
        </w:tc>
        <w:tc>
          <w:tcPr>
            <w:tcW w:w="1287" w:type="dxa"/>
            <w:vAlign w:val="center"/>
          </w:tcPr>
          <w:p w:rsidR="00913BC2" w:rsidRPr="00AF6AF5" w:rsidP="00913BC2" w14:paraId="6D4541BE"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$0.08 </w:t>
            </w:r>
          </w:p>
        </w:tc>
      </w:tr>
      <w:tr w14:paraId="68421650" w14:textId="77777777" w:rsidTr="007F63D3">
        <w:tblPrEx>
          <w:tblW w:w="9350" w:type="dxa"/>
          <w:tblLook w:val="04A0"/>
        </w:tblPrEx>
        <w:trPr>
          <w:trHeight w:val="300"/>
        </w:trPr>
        <w:tc>
          <w:tcPr>
            <w:tcW w:w="1646" w:type="dxa"/>
            <w:noWrap/>
            <w:hideMark/>
          </w:tcPr>
          <w:p w:rsidR="00913BC2" w:rsidRPr="00AF6AF5" w:rsidP="00913BC2" w14:paraId="09EA1E4F" w14:textId="77777777">
            <w:pPr>
              <w:rPr>
                <w:rFonts w:ascii="Times New Roman" w:eastAsia="Times New Roman" w:hAnsi="Times New Roman" w:cs="Times New Roman"/>
                <w:sz w:val="22"/>
                <w:szCs w:val="22"/>
              </w:rPr>
            </w:pPr>
            <w:r w:rsidRPr="00AF6AF5">
              <w:rPr>
                <w:rFonts w:ascii="Times New Roman" w:eastAsia="Times New Roman" w:hAnsi="Times New Roman" w:cs="Times New Roman"/>
                <w:sz w:val="22"/>
                <w:szCs w:val="22"/>
              </w:rPr>
              <w:t>Property Damage</w:t>
            </w:r>
          </w:p>
        </w:tc>
        <w:tc>
          <w:tcPr>
            <w:tcW w:w="821" w:type="dxa"/>
            <w:noWrap/>
            <w:hideMark/>
          </w:tcPr>
          <w:p w:rsidR="00913BC2" w:rsidRPr="00AF6AF5" w:rsidP="00913BC2" w14:paraId="75996336" w14:textId="77777777">
            <w:pPr>
              <w:jc w:val="center"/>
              <w:rPr>
                <w:rFonts w:ascii="Times New Roman" w:eastAsia="Times New Roman" w:hAnsi="Times New Roman" w:cs="Times New Roman"/>
                <w:sz w:val="20"/>
                <w:szCs w:val="20"/>
              </w:rPr>
            </w:pPr>
          </w:p>
        </w:tc>
        <w:tc>
          <w:tcPr>
            <w:tcW w:w="1170" w:type="dxa"/>
            <w:noWrap/>
            <w:vAlign w:val="center"/>
            <w:hideMark/>
          </w:tcPr>
          <w:p w:rsidR="00913BC2" w:rsidRPr="00AF6AF5" w:rsidP="00913BC2" w14:paraId="187FF665"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$3,767.9 </w:t>
            </w:r>
          </w:p>
        </w:tc>
        <w:tc>
          <w:tcPr>
            <w:tcW w:w="998" w:type="dxa"/>
            <w:noWrap/>
            <w:vAlign w:val="center"/>
            <w:hideMark/>
          </w:tcPr>
          <w:p w:rsidR="00913BC2" w:rsidRPr="00AF6AF5" w:rsidP="00913BC2" w14:paraId="001C4A33"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$376.8 </w:t>
            </w:r>
          </w:p>
        </w:tc>
        <w:tc>
          <w:tcPr>
            <w:tcW w:w="1350" w:type="dxa"/>
            <w:noWrap/>
            <w:vAlign w:val="center"/>
            <w:hideMark/>
          </w:tcPr>
          <w:p w:rsidR="00913BC2" w:rsidRPr="00AF6AF5" w:rsidP="00913BC2" w14:paraId="58574145"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$2.3 </w:t>
            </w:r>
          </w:p>
        </w:tc>
        <w:tc>
          <w:tcPr>
            <w:tcW w:w="1080" w:type="dxa"/>
            <w:vAlign w:val="center"/>
          </w:tcPr>
          <w:p w:rsidR="00913BC2" w:rsidRPr="00AF6AF5" w:rsidP="00913BC2" w14:paraId="266FDD7E" w14:textId="46FAFD5B">
            <w:pPr>
              <w:jc w:val="center"/>
              <w:rPr>
                <w:rFonts w:ascii="Times New Roman" w:hAnsi="Times New Roman" w:cs="Times New Roman"/>
                <w:sz w:val="20"/>
                <w:szCs w:val="20"/>
              </w:rPr>
            </w:pPr>
            <w:r w:rsidRPr="00AF6AF5">
              <w:rPr>
                <w:rFonts w:ascii="Times New Roman" w:hAnsi="Times New Roman" w:cs="Times New Roman"/>
                <w:color w:val="000000"/>
                <w:sz w:val="20"/>
                <w:szCs w:val="20"/>
              </w:rPr>
              <w:t>$1,13</w:t>
            </w:r>
            <w:r w:rsidRPr="00AF6AF5" w:rsidR="0004474D">
              <w:rPr>
                <w:rFonts w:ascii="Times New Roman" w:hAnsi="Times New Roman" w:cs="Times New Roman"/>
                <w:color w:val="000000"/>
                <w:sz w:val="20"/>
                <w:szCs w:val="20"/>
              </w:rPr>
              <w:t>6.9</w:t>
            </w:r>
          </w:p>
        </w:tc>
        <w:tc>
          <w:tcPr>
            <w:tcW w:w="998" w:type="dxa"/>
            <w:vAlign w:val="center"/>
          </w:tcPr>
          <w:p w:rsidR="00913BC2" w:rsidRPr="00AF6AF5" w:rsidP="00913BC2" w14:paraId="2C910271"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$379.0 </w:t>
            </w:r>
          </w:p>
        </w:tc>
        <w:tc>
          <w:tcPr>
            <w:tcW w:w="1287" w:type="dxa"/>
            <w:vAlign w:val="center"/>
          </w:tcPr>
          <w:p w:rsidR="00913BC2" w:rsidRPr="00AF6AF5" w:rsidP="00913BC2" w14:paraId="52177075"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$2.7</w:t>
            </w:r>
          </w:p>
        </w:tc>
      </w:tr>
      <w:tr w14:paraId="618EDED7" w14:textId="77777777" w:rsidTr="007F63D3">
        <w:tblPrEx>
          <w:tblW w:w="9350" w:type="dxa"/>
          <w:tblLook w:val="04A0"/>
        </w:tblPrEx>
        <w:trPr>
          <w:trHeight w:val="300"/>
        </w:trPr>
        <w:tc>
          <w:tcPr>
            <w:tcW w:w="1646" w:type="dxa"/>
            <w:noWrap/>
            <w:hideMark/>
          </w:tcPr>
          <w:p w:rsidR="00913BC2" w:rsidRPr="00AF6AF5" w:rsidP="00913BC2" w14:paraId="4A5EE4C9" w14:textId="77777777">
            <w:pPr>
              <w:jc w:val="center"/>
              <w:rPr>
                <w:rFonts w:ascii="Times New Roman" w:eastAsia="Times New Roman" w:hAnsi="Times New Roman" w:cs="Times New Roman"/>
                <w:b/>
                <w:bCs/>
                <w:color w:val="000000"/>
                <w:sz w:val="22"/>
                <w:szCs w:val="22"/>
              </w:rPr>
            </w:pPr>
            <w:r w:rsidRPr="00AF6AF5">
              <w:rPr>
                <w:rFonts w:ascii="Times New Roman" w:eastAsia="Times New Roman" w:hAnsi="Times New Roman" w:cs="Times New Roman"/>
                <w:b/>
                <w:bCs/>
                <w:color w:val="000000"/>
                <w:sz w:val="22"/>
                <w:szCs w:val="22"/>
              </w:rPr>
              <w:t>Onsite Total</w:t>
            </w:r>
          </w:p>
        </w:tc>
        <w:tc>
          <w:tcPr>
            <w:tcW w:w="821" w:type="dxa"/>
            <w:noWrap/>
            <w:hideMark/>
          </w:tcPr>
          <w:p w:rsidR="00913BC2" w:rsidRPr="00AF6AF5" w:rsidP="00913BC2" w14:paraId="357BD82C" w14:textId="77777777">
            <w:pPr>
              <w:jc w:val="center"/>
              <w:rPr>
                <w:rFonts w:ascii="Times New Roman" w:eastAsia="Times New Roman" w:hAnsi="Times New Roman" w:cs="Times New Roman"/>
                <w:b/>
                <w:color w:val="000000"/>
                <w:sz w:val="20"/>
                <w:szCs w:val="20"/>
              </w:rPr>
            </w:pPr>
          </w:p>
        </w:tc>
        <w:tc>
          <w:tcPr>
            <w:tcW w:w="1170" w:type="dxa"/>
            <w:noWrap/>
            <w:vAlign w:val="center"/>
            <w:hideMark/>
          </w:tcPr>
          <w:p w:rsidR="00913BC2" w:rsidRPr="00AF6AF5" w:rsidP="00913BC2" w14:paraId="6B20F210" w14:textId="25D66A8C">
            <w:pPr>
              <w:jc w:val="center"/>
              <w:rPr>
                <w:rFonts w:ascii="Times New Roman" w:hAnsi="Times New Roman" w:cs="Times New Roman"/>
                <w:b/>
                <w:color w:val="000000"/>
                <w:sz w:val="20"/>
                <w:szCs w:val="20"/>
              </w:rPr>
            </w:pPr>
            <w:r w:rsidRPr="00AF6AF5">
              <w:rPr>
                <w:rFonts w:ascii="Times New Roman" w:hAnsi="Times New Roman" w:cs="Times New Roman"/>
                <w:b/>
                <w:color w:val="000000"/>
                <w:sz w:val="20"/>
                <w:szCs w:val="20"/>
              </w:rPr>
              <w:t>$4,</w:t>
            </w:r>
            <w:r w:rsidRPr="00AF6AF5" w:rsidR="00F4765F">
              <w:rPr>
                <w:rFonts w:ascii="Times New Roman" w:hAnsi="Times New Roman" w:cs="Times New Roman"/>
                <w:b/>
                <w:bCs/>
                <w:color w:val="000000"/>
                <w:sz w:val="20"/>
                <w:szCs w:val="20"/>
              </w:rPr>
              <w:t>618.7</w:t>
            </w:r>
            <w:r w:rsidRPr="00AF6AF5">
              <w:rPr>
                <w:rFonts w:ascii="Times New Roman" w:hAnsi="Times New Roman" w:cs="Times New Roman"/>
                <w:b/>
                <w:color w:val="000000"/>
                <w:sz w:val="20"/>
                <w:szCs w:val="20"/>
              </w:rPr>
              <w:t xml:space="preserve"> </w:t>
            </w:r>
          </w:p>
        </w:tc>
        <w:tc>
          <w:tcPr>
            <w:tcW w:w="998" w:type="dxa"/>
            <w:noWrap/>
            <w:vAlign w:val="center"/>
            <w:hideMark/>
          </w:tcPr>
          <w:p w:rsidR="00913BC2" w:rsidRPr="00AF6AF5" w:rsidP="00913BC2" w14:paraId="69F34719" w14:textId="0E0D01AF">
            <w:pPr>
              <w:jc w:val="center"/>
              <w:rPr>
                <w:rFonts w:ascii="Times New Roman" w:hAnsi="Times New Roman" w:cs="Times New Roman"/>
                <w:b/>
                <w:color w:val="000000"/>
                <w:sz w:val="20"/>
                <w:szCs w:val="20"/>
              </w:rPr>
            </w:pPr>
            <w:r w:rsidRPr="00AF6AF5">
              <w:rPr>
                <w:rFonts w:ascii="Times New Roman" w:hAnsi="Times New Roman" w:cs="Times New Roman"/>
                <w:b/>
                <w:color w:val="000000"/>
                <w:sz w:val="20"/>
                <w:szCs w:val="20"/>
              </w:rPr>
              <w:t>$</w:t>
            </w:r>
            <w:r w:rsidRPr="00AF6AF5">
              <w:rPr>
                <w:rFonts w:ascii="Times New Roman" w:hAnsi="Times New Roman" w:cs="Times New Roman"/>
                <w:b/>
                <w:bCs/>
                <w:color w:val="000000"/>
                <w:sz w:val="20"/>
                <w:szCs w:val="20"/>
              </w:rPr>
              <w:t>4</w:t>
            </w:r>
            <w:r w:rsidRPr="00AF6AF5" w:rsidR="00F4765F">
              <w:rPr>
                <w:rFonts w:ascii="Times New Roman" w:hAnsi="Times New Roman" w:cs="Times New Roman"/>
                <w:b/>
                <w:bCs/>
                <w:color w:val="000000"/>
                <w:sz w:val="20"/>
                <w:szCs w:val="20"/>
              </w:rPr>
              <w:t>61.9</w:t>
            </w:r>
            <w:r w:rsidRPr="00AF6AF5">
              <w:rPr>
                <w:rFonts w:ascii="Times New Roman" w:hAnsi="Times New Roman" w:cs="Times New Roman"/>
                <w:b/>
                <w:color w:val="000000"/>
                <w:sz w:val="20"/>
                <w:szCs w:val="20"/>
              </w:rPr>
              <w:t xml:space="preserve"> </w:t>
            </w:r>
          </w:p>
        </w:tc>
        <w:tc>
          <w:tcPr>
            <w:tcW w:w="1350" w:type="dxa"/>
            <w:noWrap/>
            <w:vAlign w:val="center"/>
            <w:hideMark/>
          </w:tcPr>
          <w:p w:rsidR="00913BC2" w:rsidRPr="00AF6AF5" w:rsidP="00913BC2" w14:paraId="34FB6A84" w14:textId="77777777">
            <w:pPr>
              <w:jc w:val="center"/>
              <w:rPr>
                <w:rFonts w:ascii="Times New Roman" w:hAnsi="Times New Roman" w:cs="Times New Roman"/>
                <w:b/>
                <w:color w:val="000000"/>
                <w:sz w:val="20"/>
                <w:szCs w:val="20"/>
              </w:rPr>
            </w:pPr>
            <w:r w:rsidRPr="00AF6AF5">
              <w:rPr>
                <w:rFonts w:ascii="Times New Roman" w:hAnsi="Times New Roman" w:cs="Times New Roman"/>
                <w:b/>
                <w:bCs/>
                <w:color w:val="000000"/>
                <w:sz w:val="20"/>
                <w:szCs w:val="20"/>
              </w:rPr>
              <w:t xml:space="preserve">$2.8 </w:t>
            </w:r>
          </w:p>
        </w:tc>
        <w:tc>
          <w:tcPr>
            <w:tcW w:w="1080" w:type="dxa"/>
            <w:vAlign w:val="center"/>
          </w:tcPr>
          <w:p w:rsidR="00913BC2" w:rsidRPr="00AF6AF5" w:rsidP="00913BC2" w14:paraId="2C321B07" w14:textId="77777777">
            <w:pPr>
              <w:jc w:val="center"/>
              <w:rPr>
                <w:rFonts w:ascii="Times New Roman" w:hAnsi="Times New Roman" w:cs="Times New Roman"/>
                <w:b/>
                <w:bCs/>
                <w:color w:val="000000"/>
                <w:sz w:val="20"/>
                <w:szCs w:val="20"/>
              </w:rPr>
            </w:pPr>
            <w:r w:rsidRPr="00AF6AF5">
              <w:rPr>
                <w:rFonts w:ascii="Times New Roman" w:hAnsi="Times New Roman" w:cs="Times New Roman"/>
                <w:b/>
                <w:bCs/>
                <w:color w:val="000000"/>
                <w:sz w:val="20"/>
                <w:szCs w:val="20"/>
              </w:rPr>
              <w:t xml:space="preserve">$1,305.8 </w:t>
            </w:r>
          </w:p>
        </w:tc>
        <w:tc>
          <w:tcPr>
            <w:tcW w:w="998" w:type="dxa"/>
            <w:vAlign w:val="center"/>
          </w:tcPr>
          <w:p w:rsidR="00913BC2" w:rsidRPr="00AF6AF5" w:rsidP="00913BC2" w14:paraId="1943A38D" w14:textId="77777777">
            <w:pPr>
              <w:jc w:val="center"/>
              <w:rPr>
                <w:rFonts w:ascii="Times New Roman" w:hAnsi="Times New Roman" w:cs="Times New Roman"/>
                <w:b/>
                <w:bCs/>
                <w:color w:val="000000"/>
                <w:sz w:val="20"/>
                <w:szCs w:val="20"/>
              </w:rPr>
            </w:pPr>
            <w:r w:rsidRPr="00AF6AF5">
              <w:rPr>
                <w:rFonts w:ascii="Times New Roman" w:hAnsi="Times New Roman" w:cs="Times New Roman"/>
                <w:b/>
                <w:bCs/>
                <w:color w:val="000000"/>
                <w:sz w:val="20"/>
                <w:szCs w:val="20"/>
              </w:rPr>
              <w:t>$435.3</w:t>
            </w:r>
          </w:p>
        </w:tc>
        <w:tc>
          <w:tcPr>
            <w:tcW w:w="1287" w:type="dxa"/>
            <w:vAlign w:val="center"/>
          </w:tcPr>
          <w:p w:rsidR="00913BC2" w:rsidRPr="00AF6AF5" w:rsidP="00913BC2" w14:paraId="52E6210D" w14:textId="77777777">
            <w:pPr>
              <w:jc w:val="center"/>
              <w:rPr>
                <w:rFonts w:ascii="Times New Roman" w:hAnsi="Times New Roman" w:cs="Times New Roman"/>
                <w:b/>
                <w:bCs/>
                <w:color w:val="000000"/>
                <w:sz w:val="20"/>
                <w:szCs w:val="20"/>
              </w:rPr>
            </w:pPr>
            <w:r w:rsidRPr="00AF6AF5">
              <w:rPr>
                <w:rFonts w:ascii="Times New Roman" w:hAnsi="Times New Roman" w:cs="Times New Roman"/>
                <w:b/>
                <w:bCs/>
                <w:color w:val="000000"/>
                <w:sz w:val="20"/>
                <w:szCs w:val="20"/>
              </w:rPr>
              <w:t>$3.1</w:t>
            </w:r>
          </w:p>
        </w:tc>
      </w:tr>
      <w:tr w14:paraId="624D97E2" w14:textId="77777777">
        <w:tblPrEx>
          <w:tblW w:w="9350" w:type="dxa"/>
          <w:tblLook w:val="04A0"/>
        </w:tblPrEx>
        <w:trPr>
          <w:trHeight w:val="300"/>
        </w:trPr>
        <w:tc>
          <w:tcPr>
            <w:tcW w:w="9350" w:type="dxa"/>
            <w:gridSpan w:val="8"/>
            <w:shd w:val="clear" w:color="auto" w:fill="F2F2F2" w:themeFill="background1" w:themeFillShade="F2"/>
            <w:noWrap/>
            <w:vAlign w:val="center"/>
            <w:hideMark/>
          </w:tcPr>
          <w:p w:rsidR="00BE4E59" w:rsidRPr="00AF6AF5" w14:paraId="4107C642" w14:textId="77777777">
            <w:pPr>
              <w:tabs>
                <w:tab w:val="center" w:pos="962"/>
                <w:tab w:val="right" w:pos="1924"/>
              </w:tabs>
              <w:rPr>
                <w:rFonts w:ascii="Times New Roman" w:eastAsia="Times New Roman" w:hAnsi="Times New Roman" w:cs="Times New Roman"/>
                <w:b/>
                <w:color w:val="000000"/>
                <w:sz w:val="20"/>
                <w:szCs w:val="20"/>
              </w:rPr>
            </w:pPr>
            <w:r w:rsidRPr="00AF6AF5">
              <w:rPr>
                <w:rFonts w:ascii="Times New Roman" w:eastAsia="Times New Roman" w:hAnsi="Times New Roman" w:cs="Times New Roman"/>
                <w:b/>
                <w:color w:val="000000"/>
                <w:sz w:val="20"/>
                <w:szCs w:val="20"/>
              </w:rPr>
              <w:t>Offsite</w:t>
            </w:r>
          </w:p>
        </w:tc>
      </w:tr>
      <w:tr w14:paraId="5808B2A3" w14:textId="77777777" w:rsidTr="007F63D3">
        <w:tblPrEx>
          <w:tblW w:w="9350" w:type="dxa"/>
          <w:tblLook w:val="04A0"/>
        </w:tblPrEx>
        <w:trPr>
          <w:trHeight w:val="300"/>
        </w:trPr>
        <w:tc>
          <w:tcPr>
            <w:tcW w:w="1646" w:type="dxa"/>
            <w:noWrap/>
            <w:hideMark/>
          </w:tcPr>
          <w:p w:rsidR="009A7CE8" w:rsidRPr="00AF6AF5" w:rsidP="009A7CE8" w14:paraId="55C8A4FF" w14:textId="77777777">
            <w:pPr>
              <w:rPr>
                <w:rFonts w:ascii="Times New Roman" w:eastAsia="Times New Roman" w:hAnsi="Times New Roman" w:cs="Times New Roman"/>
                <w:sz w:val="22"/>
                <w:szCs w:val="22"/>
              </w:rPr>
            </w:pPr>
            <w:r w:rsidRPr="00AF6AF5">
              <w:rPr>
                <w:rFonts w:ascii="Times New Roman" w:eastAsia="Times New Roman" w:hAnsi="Times New Roman" w:cs="Times New Roman"/>
                <w:sz w:val="22"/>
                <w:szCs w:val="22"/>
              </w:rPr>
              <w:t>Fatalities</w:t>
            </w:r>
          </w:p>
        </w:tc>
        <w:tc>
          <w:tcPr>
            <w:tcW w:w="821" w:type="dxa"/>
            <w:noWrap/>
            <w:hideMark/>
          </w:tcPr>
          <w:p w:rsidR="009A7CE8" w:rsidRPr="00AF6AF5" w:rsidP="009A7CE8" w14:paraId="0D6EBA0F" w14:textId="77777777">
            <w:pPr>
              <w:jc w:val="center"/>
              <w:rPr>
                <w:rFonts w:ascii="Times New Roman" w:eastAsia="Times New Roman" w:hAnsi="Times New Roman" w:cs="Times New Roman"/>
                <w:sz w:val="20"/>
                <w:szCs w:val="20"/>
              </w:rPr>
            </w:pPr>
            <w:r w:rsidRPr="00AF6AF5">
              <w:rPr>
                <w:rFonts w:ascii="Times New Roman" w:hAnsi="Times New Roman" w:cs="Times New Roman"/>
                <w:sz w:val="20"/>
                <w:szCs w:val="20"/>
              </w:rPr>
              <w:t>$10.4</w:t>
            </w:r>
          </w:p>
        </w:tc>
        <w:tc>
          <w:tcPr>
            <w:tcW w:w="1170" w:type="dxa"/>
            <w:noWrap/>
            <w:vAlign w:val="center"/>
            <w:hideMark/>
          </w:tcPr>
          <w:p w:rsidR="009A7CE8" w:rsidRPr="00AF6AF5" w:rsidP="009A7CE8" w14:paraId="6BE488BE"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w:t>
            </w:r>
            <w:r w:rsidRPr="00AF6AF5" w:rsidR="00093079">
              <w:rPr>
                <w:rFonts w:ascii="Times New Roman" w:hAnsi="Times New Roman" w:cs="Times New Roman"/>
                <w:color w:val="000000"/>
                <w:sz w:val="20"/>
                <w:szCs w:val="20"/>
              </w:rPr>
              <w:t>10.4</w:t>
            </w:r>
            <w:r w:rsidRPr="00AF6AF5">
              <w:rPr>
                <w:rFonts w:ascii="Times New Roman" w:hAnsi="Times New Roman" w:cs="Times New Roman"/>
                <w:color w:val="000000"/>
                <w:sz w:val="20"/>
                <w:szCs w:val="20"/>
              </w:rPr>
              <w:t xml:space="preserve"> </w:t>
            </w:r>
          </w:p>
        </w:tc>
        <w:tc>
          <w:tcPr>
            <w:tcW w:w="998" w:type="dxa"/>
            <w:noWrap/>
            <w:vAlign w:val="center"/>
            <w:hideMark/>
          </w:tcPr>
          <w:p w:rsidR="009A7CE8" w:rsidRPr="00AF6AF5" w:rsidP="009A7CE8" w14:paraId="395EE32D"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w:t>
            </w:r>
            <w:r w:rsidRPr="00AF6AF5" w:rsidR="0049246C">
              <w:rPr>
                <w:rFonts w:ascii="Times New Roman" w:hAnsi="Times New Roman" w:cs="Times New Roman"/>
                <w:color w:val="000000"/>
                <w:sz w:val="20"/>
                <w:szCs w:val="20"/>
              </w:rPr>
              <w:t>1</w:t>
            </w:r>
            <w:r w:rsidRPr="00AF6AF5">
              <w:rPr>
                <w:rFonts w:ascii="Times New Roman" w:hAnsi="Times New Roman" w:cs="Times New Roman"/>
                <w:color w:val="000000"/>
                <w:sz w:val="20"/>
                <w:szCs w:val="20"/>
              </w:rPr>
              <w:t xml:space="preserve">.0 </w:t>
            </w:r>
          </w:p>
        </w:tc>
        <w:tc>
          <w:tcPr>
            <w:tcW w:w="1350" w:type="dxa"/>
            <w:noWrap/>
            <w:vAlign w:val="center"/>
            <w:hideMark/>
          </w:tcPr>
          <w:p w:rsidR="009A7CE8" w:rsidRPr="00AF6AF5" w:rsidP="009A7CE8" w14:paraId="083DFC75" w14:textId="0CA711DD">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$0.00</w:t>
            </w:r>
            <w:r w:rsidRPr="00AF6AF5" w:rsidR="00E94F4A">
              <w:rPr>
                <w:rFonts w:ascii="Times New Roman" w:hAnsi="Times New Roman" w:cs="Times New Roman"/>
                <w:color w:val="000000"/>
                <w:sz w:val="20"/>
                <w:szCs w:val="20"/>
              </w:rPr>
              <w:t>6</w:t>
            </w:r>
            <w:r w:rsidRPr="00AF6AF5">
              <w:rPr>
                <w:rFonts w:ascii="Times New Roman" w:hAnsi="Times New Roman" w:cs="Times New Roman"/>
                <w:color w:val="000000"/>
                <w:sz w:val="20"/>
                <w:szCs w:val="20"/>
              </w:rPr>
              <w:t xml:space="preserve"> </w:t>
            </w:r>
          </w:p>
        </w:tc>
        <w:tc>
          <w:tcPr>
            <w:tcW w:w="1080" w:type="dxa"/>
            <w:vAlign w:val="center"/>
          </w:tcPr>
          <w:p w:rsidR="009A7CE8" w:rsidRPr="00AF6AF5" w:rsidP="009A7CE8" w14:paraId="4D0AD671"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$0 </w:t>
            </w:r>
          </w:p>
        </w:tc>
        <w:tc>
          <w:tcPr>
            <w:tcW w:w="998" w:type="dxa"/>
            <w:vAlign w:val="center"/>
          </w:tcPr>
          <w:p w:rsidR="009A7CE8" w:rsidRPr="00AF6AF5" w:rsidP="009A7CE8" w14:paraId="33D180E6"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$0 </w:t>
            </w:r>
          </w:p>
        </w:tc>
        <w:tc>
          <w:tcPr>
            <w:tcW w:w="1287" w:type="dxa"/>
            <w:vAlign w:val="center"/>
          </w:tcPr>
          <w:p w:rsidR="009A7CE8" w:rsidRPr="00AF6AF5" w:rsidP="009A7CE8" w14:paraId="074AB4DA"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$0 </w:t>
            </w:r>
          </w:p>
        </w:tc>
      </w:tr>
      <w:tr w14:paraId="0EA294ED" w14:textId="77777777" w:rsidTr="007F63D3">
        <w:tblPrEx>
          <w:tblW w:w="9350" w:type="dxa"/>
          <w:tblLook w:val="04A0"/>
        </w:tblPrEx>
        <w:trPr>
          <w:trHeight w:val="300"/>
        </w:trPr>
        <w:tc>
          <w:tcPr>
            <w:tcW w:w="1646" w:type="dxa"/>
            <w:noWrap/>
            <w:hideMark/>
          </w:tcPr>
          <w:p w:rsidR="009A7CE8" w:rsidRPr="00AF6AF5" w:rsidP="009A7CE8" w14:paraId="60B9EDD5" w14:textId="77777777">
            <w:pPr>
              <w:rPr>
                <w:rFonts w:ascii="Times New Roman" w:eastAsia="Times New Roman" w:hAnsi="Times New Roman" w:cs="Times New Roman"/>
                <w:sz w:val="22"/>
                <w:szCs w:val="22"/>
              </w:rPr>
            </w:pPr>
            <w:r w:rsidRPr="00AF6AF5">
              <w:rPr>
                <w:rFonts w:ascii="Times New Roman" w:eastAsia="Times New Roman" w:hAnsi="Times New Roman" w:cs="Times New Roman"/>
                <w:sz w:val="22"/>
                <w:szCs w:val="22"/>
              </w:rPr>
              <w:t>Hospitalizations</w:t>
            </w:r>
          </w:p>
        </w:tc>
        <w:tc>
          <w:tcPr>
            <w:tcW w:w="821" w:type="dxa"/>
            <w:noWrap/>
            <w:hideMark/>
          </w:tcPr>
          <w:p w:rsidR="009A7CE8" w:rsidRPr="00AF6AF5" w:rsidP="009A7CE8" w14:paraId="57E5DD51" w14:textId="77777777">
            <w:pPr>
              <w:jc w:val="center"/>
              <w:rPr>
                <w:rFonts w:ascii="Times New Roman" w:eastAsia="Times New Roman" w:hAnsi="Times New Roman" w:cs="Times New Roman"/>
                <w:sz w:val="20"/>
                <w:szCs w:val="20"/>
              </w:rPr>
            </w:pPr>
            <w:r w:rsidRPr="00AF6AF5">
              <w:rPr>
                <w:rFonts w:ascii="Times New Roman" w:hAnsi="Times New Roman" w:cs="Times New Roman"/>
                <w:sz w:val="20"/>
                <w:szCs w:val="20"/>
              </w:rPr>
              <w:t>$0.045</w:t>
            </w:r>
          </w:p>
        </w:tc>
        <w:tc>
          <w:tcPr>
            <w:tcW w:w="1170" w:type="dxa"/>
            <w:noWrap/>
            <w:vAlign w:val="center"/>
            <w:hideMark/>
          </w:tcPr>
          <w:p w:rsidR="009A7CE8" w:rsidRPr="00AF6AF5" w:rsidP="009A7CE8" w14:paraId="28685D92"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w:t>
            </w:r>
            <w:r w:rsidRPr="00AF6AF5" w:rsidR="00093079">
              <w:rPr>
                <w:rFonts w:ascii="Times New Roman" w:hAnsi="Times New Roman" w:cs="Times New Roman"/>
                <w:color w:val="000000"/>
                <w:sz w:val="20"/>
                <w:szCs w:val="20"/>
              </w:rPr>
              <w:t>10.3</w:t>
            </w:r>
            <w:r w:rsidRPr="00AF6AF5">
              <w:rPr>
                <w:rFonts w:ascii="Times New Roman" w:hAnsi="Times New Roman" w:cs="Times New Roman"/>
                <w:color w:val="000000"/>
                <w:sz w:val="20"/>
                <w:szCs w:val="20"/>
              </w:rPr>
              <w:t xml:space="preserve"> </w:t>
            </w:r>
          </w:p>
        </w:tc>
        <w:tc>
          <w:tcPr>
            <w:tcW w:w="998" w:type="dxa"/>
            <w:noWrap/>
            <w:vAlign w:val="center"/>
            <w:hideMark/>
          </w:tcPr>
          <w:p w:rsidR="009A7CE8" w:rsidRPr="00AF6AF5" w:rsidP="009A7CE8" w14:paraId="46DA6828"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w:t>
            </w:r>
            <w:r w:rsidRPr="00AF6AF5" w:rsidR="0049246C">
              <w:rPr>
                <w:rFonts w:ascii="Times New Roman" w:hAnsi="Times New Roman" w:cs="Times New Roman"/>
                <w:color w:val="000000"/>
                <w:sz w:val="20"/>
                <w:szCs w:val="20"/>
              </w:rPr>
              <w:t>1.</w:t>
            </w:r>
            <w:r w:rsidRPr="00AF6AF5">
              <w:rPr>
                <w:rFonts w:ascii="Times New Roman" w:hAnsi="Times New Roman" w:cs="Times New Roman"/>
                <w:color w:val="000000"/>
                <w:sz w:val="20"/>
                <w:szCs w:val="20"/>
              </w:rPr>
              <w:t xml:space="preserve">0 </w:t>
            </w:r>
          </w:p>
        </w:tc>
        <w:tc>
          <w:tcPr>
            <w:tcW w:w="1350" w:type="dxa"/>
            <w:noWrap/>
            <w:vAlign w:val="center"/>
            <w:hideMark/>
          </w:tcPr>
          <w:p w:rsidR="009A7CE8" w:rsidRPr="00AF6AF5" w:rsidP="009A7CE8" w14:paraId="43DA9043"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$0.</w:t>
            </w:r>
            <w:r w:rsidRPr="00AF6AF5" w:rsidR="00093079">
              <w:rPr>
                <w:rFonts w:ascii="Times New Roman" w:hAnsi="Times New Roman" w:cs="Times New Roman"/>
                <w:color w:val="000000"/>
                <w:sz w:val="20"/>
                <w:szCs w:val="20"/>
              </w:rPr>
              <w:t>00</w:t>
            </w:r>
            <w:r w:rsidRPr="00AF6AF5" w:rsidR="008E7097">
              <w:rPr>
                <w:rFonts w:ascii="Times New Roman" w:hAnsi="Times New Roman" w:cs="Times New Roman"/>
                <w:color w:val="000000"/>
                <w:sz w:val="20"/>
                <w:szCs w:val="20"/>
              </w:rPr>
              <w:t>6</w:t>
            </w:r>
          </w:p>
        </w:tc>
        <w:tc>
          <w:tcPr>
            <w:tcW w:w="1080" w:type="dxa"/>
            <w:vAlign w:val="center"/>
          </w:tcPr>
          <w:p w:rsidR="009A7CE8" w:rsidRPr="00AF6AF5" w:rsidP="009A7CE8" w14:paraId="32DD29FD"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$1.</w:t>
            </w:r>
            <w:r w:rsidRPr="00AF6AF5" w:rsidR="007612FD">
              <w:rPr>
                <w:rFonts w:ascii="Times New Roman" w:hAnsi="Times New Roman" w:cs="Times New Roman"/>
                <w:color w:val="000000"/>
                <w:sz w:val="20"/>
                <w:szCs w:val="20"/>
              </w:rPr>
              <w:t>1</w:t>
            </w:r>
            <w:r w:rsidRPr="00AF6AF5">
              <w:rPr>
                <w:rFonts w:ascii="Times New Roman" w:hAnsi="Times New Roman" w:cs="Times New Roman"/>
                <w:color w:val="000000"/>
                <w:sz w:val="20"/>
                <w:szCs w:val="20"/>
              </w:rPr>
              <w:t xml:space="preserve"> </w:t>
            </w:r>
          </w:p>
        </w:tc>
        <w:tc>
          <w:tcPr>
            <w:tcW w:w="998" w:type="dxa"/>
            <w:vAlign w:val="center"/>
          </w:tcPr>
          <w:p w:rsidR="009A7CE8" w:rsidRPr="00AF6AF5" w:rsidP="009A7CE8" w14:paraId="69A0ABF8"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$0.</w:t>
            </w:r>
            <w:r w:rsidRPr="00AF6AF5" w:rsidR="007612FD">
              <w:rPr>
                <w:rFonts w:ascii="Times New Roman" w:hAnsi="Times New Roman" w:cs="Times New Roman"/>
                <w:color w:val="000000"/>
                <w:sz w:val="20"/>
                <w:szCs w:val="20"/>
              </w:rPr>
              <w:t>4</w:t>
            </w:r>
            <w:r w:rsidRPr="00AF6AF5">
              <w:rPr>
                <w:rFonts w:ascii="Times New Roman" w:hAnsi="Times New Roman" w:cs="Times New Roman"/>
                <w:color w:val="000000"/>
                <w:sz w:val="20"/>
                <w:szCs w:val="20"/>
              </w:rPr>
              <w:t xml:space="preserve"> </w:t>
            </w:r>
          </w:p>
        </w:tc>
        <w:tc>
          <w:tcPr>
            <w:tcW w:w="1287" w:type="dxa"/>
            <w:vAlign w:val="center"/>
          </w:tcPr>
          <w:p w:rsidR="009A7CE8" w:rsidRPr="00AF6AF5" w:rsidP="009A7CE8" w14:paraId="53F239DC"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 xml:space="preserve">$0.003 </w:t>
            </w:r>
          </w:p>
        </w:tc>
      </w:tr>
      <w:tr w14:paraId="1467BF9E" w14:textId="77777777" w:rsidTr="007F63D3">
        <w:tblPrEx>
          <w:tblW w:w="9350" w:type="dxa"/>
          <w:tblLook w:val="04A0"/>
        </w:tblPrEx>
        <w:trPr>
          <w:trHeight w:val="300"/>
        </w:trPr>
        <w:tc>
          <w:tcPr>
            <w:tcW w:w="1646" w:type="dxa"/>
            <w:noWrap/>
            <w:hideMark/>
          </w:tcPr>
          <w:p w:rsidR="009A7CE8" w:rsidRPr="00AF6AF5" w:rsidP="009A7CE8" w14:paraId="0E380013" w14:textId="77777777">
            <w:pPr>
              <w:rPr>
                <w:rFonts w:ascii="Times New Roman" w:eastAsia="Times New Roman" w:hAnsi="Times New Roman" w:cs="Times New Roman"/>
                <w:sz w:val="22"/>
                <w:szCs w:val="22"/>
              </w:rPr>
            </w:pPr>
            <w:r w:rsidRPr="00AF6AF5">
              <w:rPr>
                <w:rFonts w:ascii="Times New Roman" w:eastAsia="Times New Roman" w:hAnsi="Times New Roman" w:cs="Times New Roman"/>
                <w:sz w:val="22"/>
                <w:szCs w:val="22"/>
              </w:rPr>
              <w:t>Medical Treatment</w:t>
            </w:r>
          </w:p>
        </w:tc>
        <w:tc>
          <w:tcPr>
            <w:tcW w:w="821" w:type="dxa"/>
            <w:noWrap/>
            <w:hideMark/>
          </w:tcPr>
          <w:p w:rsidR="009A7CE8" w:rsidRPr="00AF6AF5" w:rsidP="009A7CE8" w14:paraId="15678051" w14:textId="77777777">
            <w:pPr>
              <w:jc w:val="center"/>
              <w:rPr>
                <w:rFonts w:ascii="Times New Roman" w:eastAsia="Times New Roman" w:hAnsi="Times New Roman" w:cs="Times New Roman"/>
                <w:sz w:val="20"/>
                <w:szCs w:val="20"/>
              </w:rPr>
            </w:pPr>
            <w:r w:rsidRPr="00AF6AF5">
              <w:rPr>
                <w:rFonts w:ascii="Times New Roman" w:hAnsi="Times New Roman" w:cs="Times New Roman"/>
                <w:sz w:val="20"/>
                <w:szCs w:val="20"/>
              </w:rPr>
              <w:t>$0.001</w:t>
            </w:r>
          </w:p>
        </w:tc>
        <w:tc>
          <w:tcPr>
            <w:tcW w:w="1170" w:type="dxa"/>
            <w:noWrap/>
            <w:vAlign w:val="center"/>
            <w:hideMark/>
          </w:tcPr>
          <w:p w:rsidR="009A7CE8" w:rsidRPr="00AF6AF5" w:rsidP="009A7CE8" w14:paraId="3EB26BBB"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w:t>
            </w:r>
            <w:r w:rsidRPr="00AF6AF5" w:rsidR="00093079">
              <w:rPr>
                <w:rFonts w:ascii="Times New Roman" w:hAnsi="Times New Roman" w:cs="Times New Roman"/>
                <w:color w:val="000000"/>
                <w:sz w:val="20"/>
                <w:szCs w:val="20"/>
              </w:rPr>
              <w:t>15.9</w:t>
            </w:r>
            <w:r w:rsidRPr="00AF6AF5">
              <w:rPr>
                <w:rFonts w:ascii="Times New Roman" w:hAnsi="Times New Roman" w:cs="Times New Roman"/>
                <w:color w:val="000000"/>
                <w:sz w:val="20"/>
                <w:szCs w:val="20"/>
              </w:rPr>
              <w:t xml:space="preserve"> </w:t>
            </w:r>
          </w:p>
        </w:tc>
        <w:tc>
          <w:tcPr>
            <w:tcW w:w="998" w:type="dxa"/>
            <w:noWrap/>
            <w:vAlign w:val="center"/>
            <w:hideMark/>
          </w:tcPr>
          <w:p w:rsidR="009A7CE8" w:rsidRPr="00AF6AF5" w:rsidP="009A7CE8" w14:paraId="5DDBC9A3"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w:t>
            </w:r>
            <w:r w:rsidRPr="00AF6AF5" w:rsidR="0049246C">
              <w:rPr>
                <w:rFonts w:ascii="Times New Roman" w:hAnsi="Times New Roman" w:cs="Times New Roman"/>
                <w:color w:val="000000"/>
                <w:sz w:val="20"/>
                <w:szCs w:val="20"/>
              </w:rPr>
              <w:t>1.59</w:t>
            </w:r>
            <w:r w:rsidRPr="00AF6AF5">
              <w:rPr>
                <w:rFonts w:ascii="Times New Roman" w:hAnsi="Times New Roman" w:cs="Times New Roman"/>
                <w:color w:val="000000"/>
                <w:sz w:val="20"/>
                <w:szCs w:val="20"/>
              </w:rPr>
              <w:t xml:space="preserve"> </w:t>
            </w:r>
          </w:p>
        </w:tc>
        <w:tc>
          <w:tcPr>
            <w:tcW w:w="1350" w:type="dxa"/>
            <w:noWrap/>
            <w:vAlign w:val="center"/>
            <w:hideMark/>
          </w:tcPr>
          <w:p w:rsidR="009A7CE8" w:rsidRPr="00AF6AF5" w:rsidP="009A7CE8" w14:paraId="53D350D9" w14:textId="2211325A">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$0.</w:t>
            </w:r>
            <w:r w:rsidRPr="00AF6AF5" w:rsidR="00093079">
              <w:rPr>
                <w:rFonts w:ascii="Times New Roman" w:hAnsi="Times New Roman" w:cs="Times New Roman"/>
                <w:color w:val="000000"/>
                <w:sz w:val="20"/>
                <w:szCs w:val="20"/>
              </w:rPr>
              <w:t>0</w:t>
            </w:r>
            <w:r w:rsidRPr="00AF6AF5" w:rsidR="00E94F4A">
              <w:rPr>
                <w:rFonts w:ascii="Times New Roman" w:hAnsi="Times New Roman" w:cs="Times New Roman"/>
                <w:color w:val="000000"/>
                <w:sz w:val="20"/>
                <w:szCs w:val="20"/>
              </w:rPr>
              <w:t>10</w:t>
            </w:r>
            <w:r w:rsidRPr="00AF6AF5">
              <w:rPr>
                <w:rFonts w:ascii="Times New Roman" w:hAnsi="Times New Roman" w:cs="Times New Roman"/>
                <w:color w:val="000000"/>
                <w:sz w:val="20"/>
                <w:szCs w:val="20"/>
              </w:rPr>
              <w:t xml:space="preserve"> </w:t>
            </w:r>
          </w:p>
        </w:tc>
        <w:tc>
          <w:tcPr>
            <w:tcW w:w="1080" w:type="dxa"/>
            <w:vAlign w:val="center"/>
          </w:tcPr>
          <w:p w:rsidR="009A7CE8" w:rsidRPr="00AF6AF5" w:rsidP="009A7CE8" w14:paraId="6CD17E7A"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$0.</w:t>
            </w:r>
            <w:r w:rsidRPr="00AF6AF5" w:rsidR="007612FD">
              <w:rPr>
                <w:rFonts w:ascii="Times New Roman" w:hAnsi="Times New Roman" w:cs="Times New Roman"/>
                <w:color w:val="000000"/>
                <w:sz w:val="20"/>
                <w:szCs w:val="20"/>
              </w:rPr>
              <w:t>03</w:t>
            </w:r>
            <w:r w:rsidRPr="00AF6AF5">
              <w:rPr>
                <w:rFonts w:ascii="Times New Roman" w:hAnsi="Times New Roman" w:cs="Times New Roman"/>
                <w:color w:val="000000"/>
                <w:sz w:val="20"/>
                <w:szCs w:val="20"/>
              </w:rPr>
              <w:t xml:space="preserve"> </w:t>
            </w:r>
          </w:p>
        </w:tc>
        <w:tc>
          <w:tcPr>
            <w:tcW w:w="998" w:type="dxa"/>
            <w:vAlign w:val="center"/>
          </w:tcPr>
          <w:p w:rsidR="009A7CE8" w:rsidRPr="00AF6AF5" w:rsidP="009A7CE8" w14:paraId="3BEE12DE"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$0.</w:t>
            </w:r>
            <w:r w:rsidRPr="00AF6AF5" w:rsidR="007612FD">
              <w:rPr>
                <w:rFonts w:ascii="Times New Roman" w:hAnsi="Times New Roman" w:cs="Times New Roman"/>
                <w:color w:val="000000"/>
                <w:sz w:val="20"/>
                <w:szCs w:val="20"/>
              </w:rPr>
              <w:t>01</w:t>
            </w:r>
            <w:r w:rsidRPr="00AF6AF5">
              <w:rPr>
                <w:rFonts w:ascii="Times New Roman" w:hAnsi="Times New Roman" w:cs="Times New Roman"/>
                <w:color w:val="000000"/>
                <w:sz w:val="20"/>
                <w:szCs w:val="20"/>
              </w:rPr>
              <w:t xml:space="preserve"> </w:t>
            </w:r>
          </w:p>
        </w:tc>
        <w:tc>
          <w:tcPr>
            <w:tcW w:w="1287" w:type="dxa"/>
            <w:vAlign w:val="center"/>
          </w:tcPr>
          <w:p w:rsidR="009A7CE8" w:rsidRPr="00AF6AF5" w:rsidP="009A7CE8" w14:paraId="3756B4ED"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$0.</w:t>
            </w:r>
            <w:r w:rsidRPr="00AF6AF5" w:rsidR="007612FD">
              <w:rPr>
                <w:rFonts w:ascii="Times New Roman" w:hAnsi="Times New Roman" w:cs="Times New Roman"/>
                <w:color w:val="000000"/>
                <w:sz w:val="20"/>
                <w:szCs w:val="20"/>
              </w:rPr>
              <w:t>0001</w:t>
            </w:r>
            <w:r w:rsidRPr="00AF6AF5">
              <w:rPr>
                <w:rFonts w:ascii="Times New Roman" w:hAnsi="Times New Roman" w:cs="Times New Roman"/>
                <w:color w:val="000000"/>
                <w:sz w:val="20"/>
                <w:szCs w:val="20"/>
              </w:rPr>
              <w:t xml:space="preserve"> </w:t>
            </w:r>
          </w:p>
        </w:tc>
      </w:tr>
      <w:tr w14:paraId="6A1DAEE9" w14:textId="77777777" w:rsidTr="007F63D3">
        <w:tblPrEx>
          <w:tblW w:w="9350" w:type="dxa"/>
          <w:tblLook w:val="04A0"/>
        </w:tblPrEx>
        <w:trPr>
          <w:trHeight w:val="300"/>
        </w:trPr>
        <w:tc>
          <w:tcPr>
            <w:tcW w:w="1646" w:type="dxa"/>
            <w:noWrap/>
            <w:hideMark/>
          </w:tcPr>
          <w:p w:rsidR="009A7CE8" w:rsidRPr="00AF6AF5" w:rsidP="009A7CE8" w14:paraId="6B2EC9DE" w14:textId="77777777">
            <w:pPr>
              <w:rPr>
                <w:rFonts w:ascii="Times New Roman" w:eastAsia="Times New Roman" w:hAnsi="Times New Roman" w:cs="Times New Roman"/>
                <w:sz w:val="22"/>
                <w:szCs w:val="22"/>
              </w:rPr>
            </w:pPr>
            <w:r w:rsidRPr="00AF6AF5">
              <w:rPr>
                <w:rFonts w:ascii="Times New Roman" w:eastAsia="Times New Roman" w:hAnsi="Times New Roman" w:cs="Times New Roman"/>
                <w:sz w:val="22"/>
                <w:szCs w:val="22"/>
              </w:rPr>
              <w:t>Evacuations*</w:t>
            </w:r>
          </w:p>
        </w:tc>
        <w:tc>
          <w:tcPr>
            <w:tcW w:w="821" w:type="dxa"/>
            <w:noWrap/>
            <w:hideMark/>
          </w:tcPr>
          <w:p w:rsidR="009A7CE8" w:rsidRPr="00AF6AF5" w:rsidP="009A7CE8" w14:paraId="7D032FB3" w14:textId="77777777">
            <w:pPr>
              <w:jc w:val="center"/>
              <w:rPr>
                <w:rFonts w:ascii="Times New Roman" w:hAnsi="Times New Roman" w:cs="Times New Roman"/>
                <w:sz w:val="20"/>
                <w:szCs w:val="20"/>
              </w:rPr>
            </w:pPr>
            <w:r w:rsidRPr="00AF6AF5">
              <w:rPr>
                <w:rFonts w:ascii="Times New Roman" w:hAnsi="Times New Roman" w:cs="Times New Roman"/>
                <w:sz w:val="20"/>
                <w:szCs w:val="20"/>
              </w:rPr>
              <w:t>$0.0</w:t>
            </w:r>
          </w:p>
        </w:tc>
        <w:tc>
          <w:tcPr>
            <w:tcW w:w="1170" w:type="dxa"/>
            <w:noWrap/>
            <w:vAlign w:val="center"/>
            <w:hideMark/>
          </w:tcPr>
          <w:p w:rsidR="009A7CE8" w:rsidRPr="00AF6AF5" w:rsidP="009A7CE8" w14:paraId="7E49CF26"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w:t>
            </w:r>
            <w:r w:rsidRPr="00AF6AF5" w:rsidR="009B75B2">
              <w:rPr>
                <w:rFonts w:ascii="Times New Roman" w:hAnsi="Times New Roman" w:cs="Times New Roman"/>
                <w:color w:val="000000"/>
                <w:sz w:val="20"/>
                <w:szCs w:val="20"/>
              </w:rPr>
              <w:t>11</w:t>
            </w:r>
            <w:r w:rsidRPr="00AF6AF5" w:rsidR="00284604">
              <w:rPr>
                <w:rFonts w:ascii="Times New Roman" w:hAnsi="Times New Roman" w:cs="Times New Roman"/>
                <w:color w:val="000000"/>
                <w:sz w:val="20"/>
                <w:szCs w:val="20"/>
              </w:rPr>
              <w:t>.6</w:t>
            </w:r>
            <w:r w:rsidRPr="00AF6AF5">
              <w:rPr>
                <w:rFonts w:ascii="Times New Roman" w:hAnsi="Times New Roman" w:cs="Times New Roman"/>
                <w:color w:val="000000"/>
                <w:sz w:val="20"/>
                <w:szCs w:val="20"/>
              </w:rPr>
              <w:t xml:space="preserve"> </w:t>
            </w:r>
          </w:p>
        </w:tc>
        <w:tc>
          <w:tcPr>
            <w:tcW w:w="998" w:type="dxa"/>
            <w:noWrap/>
            <w:vAlign w:val="center"/>
            <w:hideMark/>
          </w:tcPr>
          <w:p w:rsidR="009A7CE8" w:rsidRPr="00AF6AF5" w:rsidP="009A7CE8" w14:paraId="709CDF03"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w:t>
            </w:r>
            <w:r w:rsidRPr="00AF6AF5" w:rsidR="00284604">
              <w:rPr>
                <w:rFonts w:ascii="Times New Roman" w:hAnsi="Times New Roman" w:cs="Times New Roman"/>
                <w:color w:val="000000"/>
                <w:sz w:val="20"/>
                <w:szCs w:val="20"/>
              </w:rPr>
              <w:t>1.2</w:t>
            </w:r>
          </w:p>
        </w:tc>
        <w:tc>
          <w:tcPr>
            <w:tcW w:w="1350" w:type="dxa"/>
            <w:noWrap/>
            <w:vAlign w:val="center"/>
            <w:hideMark/>
          </w:tcPr>
          <w:p w:rsidR="009A7CE8" w:rsidRPr="00AF6AF5" w:rsidP="009A7CE8" w14:paraId="4D2459D2"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$0.</w:t>
            </w:r>
            <w:r w:rsidRPr="00AF6AF5" w:rsidR="00963DA5">
              <w:rPr>
                <w:rFonts w:ascii="Times New Roman" w:hAnsi="Times New Roman" w:cs="Times New Roman"/>
                <w:color w:val="000000"/>
                <w:sz w:val="20"/>
                <w:szCs w:val="20"/>
              </w:rPr>
              <w:t>007</w:t>
            </w:r>
            <w:r w:rsidRPr="00AF6AF5">
              <w:rPr>
                <w:rFonts w:ascii="Times New Roman" w:hAnsi="Times New Roman" w:cs="Times New Roman"/>
                <w:color w:val="000000"/>
                <w:sz w:val="20"/>
                <w:szCs w:val="20"/>
              </w:rPr>
              <w:t xml:space="preserve"> </w:t>
            </w:r>
          </w:p>
        </w:tc>
        <w:tc>
          <w:tcPr>
            <w:tcW w:w="1080" w:type="dxa"/>
            <w:vAlign w:val="center"/>
          </w:tcPr>
          <w:p w:rsidR="009A7CE8" w:rsidRPr="00AF6AF5" w:rsidP="009A7CE8" w14:paraId="06969E24"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w:t>
            </w:r>
            <w:r w:rsidRPr="00AF6AF5" w:rsidR="009E6FBD">
              <w:rPr>
                <w:rFonts w:ascii="Times New Roman" w:hAnsi="Times New Roman" w:cs="Times New Roman"/>
                <w:color w:val="000000"/>
                <w:sz w:val="20"/>
                <w:szCs w:val="20"/>
              </w:rPr>
              <w:t>2.2</w:t>
            </w:r>
            <w:r w:rsidRPr="00AF6AF5">
              <w:rPr>
                <w:rFonts w:ascii="Times New Roman" w:hAnsi="Times New Roman" w:cs="Times New Roman"/>
                <w:color w:val="000000"/>
                <w:sz w:val="20"/>
                <w:szCs w:val="20"/>
              </w:rPr>
              <w:t xml:space="preserve"> </w:t>
            </w:r>
          </w:p>
        </w:tc>
        <w:tc>
          <w:tcPr>
            <w:tcW w:w="998" w:type="dxa"/>
            <w:vAlign w:val="center"/>
          </w:tcPr>
          <w:p w:rsidR="009A7CE8" w:rsidRPr="00AF6AF5" w:rsidP="009A7CE8" w14:paraId="5B3D7E2E"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$0</w:t>
            </w:r>
            <w:r w:rsidRPr="00AF6AF5" w:rsidR="007612FD">
              <w:rPr>
                <w:rFonts w:ascii="Times New Roman" w:hAnsi="Times New Roman" w:cs="Times New Roman"/>
                <w:color w:val="000000"/>
                <w:sz w:val="20"/>
                <w:szCs w:val="20"/>
              </w:rPr>
              <w:t>.</w:t>
            </w:r>
            <w:r w:rsidRPr="00AF6AF5" w:rsidR="009E6FBD">
              <w:rPr>
                <w:rFonts w:ascii="Times New Roman" w:hAnsi="Times New Roman" w:cs="Times New Roman"/>
                <w:color w:val="000000"/>
                <w:sz w:val="20"/>
                <w:szCs w:val="20"/>
              </w:rPr>
              <w:t>7</w:t>
            </w:r>
            <w:r w:rsidRPr="00AF6AF5">
              <w:rPr>
                <w:rFonts w:ascii="Times New Roman" w:hAnsi="Times New Roman" w:cs="Times New Roman"/>
                <w:color w:val="000000"/>
                <w:sz w:val="20"/>
                <w:szCs w:val="20"/>
              </w:rPr>
              <w:t xml:space="preserve"> </w:t>
            </w:r>
          </w:p>
        </w:tc>
        <w:tc>
          <w:tcPr>
            <w:tcW w:w="1287" w:type="dxa"/>
            <w:vAlign w:val="center"/>
          </w:tcPr>
          <w:p w:rsidR="009A7CE8" w:rsidRPr="00AF6AF5" w:rsidP="009A7CE8" w14:paraId="611E7FE7"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$0.</w:t>
            </w:r>
            <w:r w:rsidRPr="00AF6AF5" w:rsidR="009E6FBD">
              <w:rPr>
                <w:rFonts w:ascii="Times New Roman" w:hAnsi="Times New Roman" w:cs="Times New Roman"/>
                <w:color w:val="000000"/>
                <w:sz w:val="20"/>
                <w:szCs w:val="20"/>
              </w:rPr>
              <w:t>01</w:t>
            </w:r>
            <w:r w:rsidRPr="00AF6AF5">
              <w:rPr>
                <w:rFonts w:ascii="Times New Roman" w:hAnsi="Times New Roman" w:cs="Times New Roman"/>
                <w:color w:val="000000"/>
                <w:sz w:val="20"/>
                <w:szCs w:val="20"/>
              </w:rPr>
              <w:t xml:space="preserve"> </w:t>
            </w:r>
          </w:p>
        </w:tc>
      </w:tr>
      <w:tr w14:paraId="2A41F14A" w14:textId="77777777" w:rsidTr="007F63D3">
        <w:tblPrEx>
          <w:tblW w:w="9350" w:type="dxa"/>
          <w:tblLook w:val="04A0"/>
        </w:tblPrEx>
        <w:trPr>
          <w:trHeight w:val="300"/>
        </w:trPr>
        <w:tc>
          <w:tcPr>
            <w:tcW w:w="1646" w:type="dxa"/>
            <w:noWrap/>
            <w:hideMark/>
          </w:tcPr>
          <w:p w:rsidR="009A7CE8" w:rsidRPr="00AF6AF5" w:rsidP="009A7CE8" w14:paraId="0FCC135D" w14:textId="77777777">
            <w:pPr>
              <w:rPr>
                <w:rFonts w:ascii="Times New Roman" w:eastAsia="Times New Roman" w:hAnsi="Times New Roman" w:cs="Times New Roman"/>
                <w:sz w:val="22"/>
                <w:szCs w:val="22"/>
              </w:rPr>
            </w:pPr>
            <w:r w:rsidRPr="00AF6AF5">
              <w:rPr>
                <w:rFonts w:ascii="Times New Roman" w:eastAsia="Times New Roman" w:hAnsi="Times New Roman" w:cs="Times New Roman"/>
                <w:sz w:val="22"/>
                <w:szCs w:val="22"/>
              </w:rPr>
              <w:t>Sheltering</w:t>
            </w:r>
            <w:r w:rsidRPr="00AF6AF5" w:rsidR="00A5371C">
              <w:rPr>
                <w:rFonts w:ascii="Times New Roman" w:eastAsia="Times New Roman" w:hAnsi="Times New Roman" w:cs="Times New Roman"/>
                <w:sz w:val="22"/>
                <w:szCs w:val="22"/>
              </w:rPr>
              <w:t>-</w:t>
            </w:r>
            <w:r w:rsidRPr="00AF6AF5">
              <w:rPr>
                <w:rFonts w:ascii="Times New Roman" w:eastAsia="Times New Roman" w:hAnsi="Times New Roman" w:cs="Times New Roman"/>
                <w:sz w:val="22"/>
                <w:szCs w:val="22"/>
              </w:rPr>
              <w:t>in</w:t>
            </w:r>
            <w:r w:rsidRPr="00AF6AF5" w:rsidR="00A5371C">
              <w:rPr>
                <w:rFonts w:ascii="Times New Roman" w:eastAsia="Times New Roman" w:hAnsi="Times New Roman" w:cs="Times New Roman"/>
                <w:sz w:val="22"/>
                <w:szCs w:val="22"/>
              </w:rPr>
              <w:t>-</w:t>
            </w:r>
            <w:r w:rsidRPr="00AF6AF5">
              <w:rPr>
                <w:rFonts w:ascii="Times New Roman" w:eastAsia="Times New Roman" w:hAnsi="Times New Roman" w:cs="Times New Roman"/>
                <w:sz w:val="22"/>
                <w:szCs w:val="22"/>
              </w:rPr>
              <w:t xml:space="preserve"> Place*</w:t>
            </w:r>
          </w:p>
        </w:tc>
        <w:tc>
          <w:tcPr>
            <w:tcW w:w="821" w:type="dxa"/>
            <w:noWrap/>
            <w:hideMark/>
          </w:tcPr>
          <w:p w:rsidR="009A7CE8" w:rsidRPr="00AF6AF5" w:rsidP="009A7CE8" w14:paraId="230F8DC9" w14:textId="77777777">
            <w:pPr>
              <w:jc w:val="center"/>
              <w:rPr>
                <w:rFonts w:ascii="Times New Roman" w:hAnsi="Times New Roman" w:cs="Times New Roman"/>
                <w:sz w:val="20"/>
                <w:szCs w:val="20"/>
              </w:rPr>
            </w:pPr>
            <w:r w:rsidRPr="00AF6AF5">
              <w:rPr>
                <w:rFonts w:ascii="Times New Roman" w:hAnsi="Times New Roman" w:cs="Times New Roman"/>
                <w:sz w:val="20"/>
                <w:szCs w:val="20"/>
              </w:rPr>
              <w:t>$0.0</w:t>
            </w:r>
          </w:p>
        </w:tc>
        <w:tc>
          <w:tcPr>
            <w:tcW w:w="1170" w:type="dxa"/>
            <w:noWrap/>
            <w:vAlign w:val="center"/>
            <w:hideMark/>
          </w:tcPr>
          <w:p w:rsidR="009A7CE8" w:rsidRPr="00AF6AF5" w:rsidP="009A7CE8" w14:paraId="26BF17EF"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w:t>
            </w:r>
            <w:r w:rsidRPr="00AF6AF5" w:rsidR="00284604">
              <w:rPr>
                <w:rFonts w:ascii="Times New Roman" w:hAnsi="Times New Roman" w:cs="Times New Roman"/>
                <w:color w:val="000000"/>
                <w:sz w:val="20"/>
                <w:szCs w:val="20"/>
              </w:rPr>
              <w:t>60.4</w:t>
            </w:r>
            <w:r w:rsidRPr="00AF6AF5">
              <w:rPr>
                <w:rFonts w:ascii="Times New Roman" w:hAnsi="Times New Roman" w:cs="Times New Roman"/>
                <w:color w:val="000000"/>
                <w:sz w:val="20"/>
                <w:szCs w:val="20"/>
              </w:rPr>
              <w:t xml:space="preserve"> </w:t>
            </w:r>
          </w:p>
        </w:tc>
        <w:tc>
          <w:tcPr>
            <w:tcW w:w="998" w:type="dxa"/>
            <w:noWrap/>
            <w:vAlign w:val="center"/>
            <w:hideMark/>
          </w:tcPr>
          <w:p w:rsidR="009A7CE8" w:rsidRPr="00AF6AF5" w:rsidP="009A7CE8" w14:paraId="0C060358"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w:t>
            </w:r>
            <w:r w:rsidRPr="00AF6AF5" w:rsidR="00284604">
              <w:rPr>
                <w:rFonts w:ascii="Times New Roman" w:hAnsi="Times New Roman" w:cs="Times New Roman"/>
                <w:color w:val="000000"/>
                <w:sz w:val="20"/>
                <w:szCs w:val="20"/>
              </w:rPr>
              <w:t>6.0</w:t>
            </w:r>
            <w:r w:rsidRPr="00AF6AF5">
              <w:rPr>
                <w:rFonts w:ascii="Times New Roman" w:hAnsi="Times New Roman" w:cs="Times New Roman"/>
                <w:color w:val="000000"/>
                <w:sz w:val="20"/>
                <w:szCs w:val="20"/>
              </w:rPr>
              <w:t xml:space="preserve"> </w:t>
            </w:r>
          </w:p>
        </w:tc>
        <w:tc>
          <w:tcPr>
            <w:tcW w:w="1350" w:type="dxa"/>
            <w:noWrap/>
            <w:vAlign w:val="center"/>
            <w:hideMark/>
          </w:tcPr>
          <w:p w:rsidR="009A7CE8" w:rsidRPr="00AF6AF5" w:rsidP="009A7CE8" w14:paraId="5DBB0070"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$0.</w:t>
            </w:r>
            <w:r w:rsidRPr="00AF6AF5" w:rsidR="00661593">
              <w:rPr>
                <w:rFonts w:ascii="Times New Roman" w:hAnsi="Times New Roman" w:cs="Times New Roman"/>
                <w:color w:val="000000"/>
                <w:sz w:val="20"/>
                <w:szCs w:val="20"/>
              </w:rPr>
              <w:t>04</w:t>
            </w:r>
            <w:r w:rsidRPr="00AF6AF5">
              <w:rPr>
                <w:rFonts w:ascii="Times New Roman" w:hAnsi="Times New Roman" w:cs="Times New Roman"/>
                <w:color w:val="000000"/>
                <w:sz w:val="20"/>
                <w:szCs w:val="20"/>
              </w:rPr>
              <w:t xml:space="preserve"> </w:t>
            </w:r>
          </w:p>
        </w:tc>
        <w:tc>
          <w:tcPr>
            <w:tcW w:w="1080" w:type="dxa"/>
            <w:vAlign w:val="center"/>
          </w:tcPr>
          <w:p w:rsidR="009A7CE8" w:rsidRPr="00AF6AF5" w:rsidP="009A7CE8" w14:paraId="6A0CAEBD"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w:t>
            </w:r>
            <w:r w:rsidRPr="00AF6AF5" w:rsidR="007612FD">
              <w:rPr>
                <w:rFonts w:ascii="Times New Roman" w:hAnsi="Times New Roman" w:cs="Times New Roman"/>
                <w:color w:val="000000"/>
                <w:sz w:val="20"/>
                <w:szCs w:val="20"/>
              </w:rPr>
              <w:t>5</w:t>
            </w:r>
            <w:r w:rsidRPr="00AF6AF5" w:rsidR="009E6FBD">
              <w:rPr>
                <w:rFonts w:ascii="Times New Roman" w:hAnsi="Times New Roman" w:cs="Times New Roman"/>
                <w:color w:val="000000"/>
                <w:sz w:val="20"/>
                <w:szCs w:val="20"/>
              </w:rPr>
              <w:t>.7</w:t>
            </w:r>
            <w:r w:rsidRPr="00AF6AF5">
              <w:rPr>
                <w:rFonts w:ascii="Times New Roman" w:hAnsi="Times New Roman" w:cs="Times New Roman"/>
                <w:color w:val="000000"/>
                <w:sz w:val="20"/>
                <w:szCs w:val="20"/>
              </w:rPr>
              <w:t xml:space="preserve"> </w:t>
            </w:r>
          </w:p>
        </w:tc>
        <w:tc>
          <w:tcPr>
            <w:tcW w:w="998" w:type="dxa"/>
            <w:vAlign w:val="center"/>
          </w:tcPr>
          <w:p w:rsidR="009A7CE8" w:rsidRPr="00AF6AF5" w:rsidP="009A7CE8" w14:paraId="039871A4"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w:t>
            </w:r>
            <w:r w:rsidRPr="00AF6AF5" w:rsidR="007612FD">
              <w:rPr>
                <w:rFonts w:ascii="Times New Roman" w:hAnsi="Times New Roman" w:cs="Times New Roman"/>
                <w:color w:val="000000"/>
                <w:sz w:val="20"/>
                <w:szCs w:val="20"/>
              </w:rPr>
              <w:t>1.</w:t>
            </w:r>
            <w:r w:rsidRPr="00AF6AF5" w:rsidR="00282908">
              <w:rPr>
                <w:rFonts w:ascii="Times New Roman" w:hAnsi="Times New Roman" w:cs="Times New Roman"/>
                <w:color w:val="000000"/>
                <w:sz w:val="20"/>
                <w:szCs w:val="20"/>
              </w:rPr>
              <w:t>9</w:t>
            </w:r>
            <w:r w:rsidRPr="00AF6AF5">
              <w:rPr>
                <w:rFonts w:ascii="Times New Roman" w:hAnsi="Times New Roman" w:cs="Times New Roman"/>
                <w:color w:val="000000"/>
                <w:sz w:val="20"/>
                <w:szCs w:val="20"/>
              </w:rPr>
              <w:t xml:space="preserve"> </w:t>
            </w:r>
          </w:p>
        </w:tc>
        <w:tc>
          <w:tcPr>
            <w:tcW w:w="1287" w:type="dxa"/>
            <w:vAlign w:val="center"/>
          </w:tcPr>
          <w:p w:rsidR="009A7CE8" w:rsidRPr="00AF6AF5" w:rsidP="009A7CE8" w14:paraId="0A4C400D"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$0.</w:t>
            </w:r>
            <w:r w:rsidRPr="00AF6AF5" w:rsidR="007612FD">
              <w:rPr>
                <w:rFonts w:ascii="Times New Roman" w:hAnsi="Times New Roman" w:cs="Times New Roman"/>
                <w:color w:val="000000"/>
                <w:sz w:val="20"/>
                <w:szCs w:val="20"/>
              </w:rPr>
              <w:t>01</w:t>
            </w:r>
            <w:r w:rsidRPr="00AF6AF5">
              <w:rPr>
                <w:rFonts w:ascii="Times New Roman" w:hAnsi="Times New Roman" w:cs="Times New Roman"/>
                <w:color w:val="000000"/>
                <w:sz w:val="20"/>
                <w:szCs w:val="20"/>
              </w:rPr>
              <w:t xml:space="preserve"> </w:t>
            </w:r>
          </w:p>
        </w:tc>
      </w:tr>
      <w:tr w14:paraId="117D39F1" w14:textId="77777777" w:rsidTr="007F63D3">
        <w:tblPrEx>
          <w:tblW w:w="9350" w:type="dxa"/>
          <w:tblLook w:val="04A0"/>
        </w:tblPrEx>
        <w:trPr>
          <w:trHeight w:val="300"/>
        </w:trPr>
        <w:tc>
          <w:tcPr>
            <w:tcW w:w="1646" w:type="dxa"/>
            <w:noWrap/>
            <w:hideMark/>
          </w:tcPr>
          <w:p w:rsidR="009A7CE8" w:rsidRPr="00AF6AF5" w:rsidP="009A7CE8" w14:paraId="3ED2710F" w14:textId="77777777">
            <w:pPr>
              <w:rPr>
                <w:rFonts w:ascii="Times New Roman" w:eastAsia="Times New Roman" w:hAnsi="Times New Roman" w:cs="Times New Roman"/>
                <w:sz w:val="22"/>
                <w:szCs w:val="22"/>
              </w:rPr>
            </w:pPr>
            <w:r w:rsidRPr="00AF6AF5">
              <w:rPr>
                <w:rFonts w:ascii="Times New Roman" w:eastAsia="Times New Roman" w:hAnsi="Times New Roman" w:cs="Times New Roman"/>
                <w:sz w:val="22"/>
                <w:szCs w:val="22"/>
              </w:rPr>
              <w:t>Property Damage</w:t>
            </w:r>
          </w:p>
        </w:tc>
        <w:tc>
          <w:tcPr>
            <w:tcW w:w="821" w:type="dxa"/>
            <w:noWrap/>
            <w:hideMark/>
          </w:tcPr>
          <w:p w:rsidR="009A7CE8" w:rsidRPr="00AF6AF5" w:rsidP="009A7CE8" w14:paraId="2A4829BD" w14:textId="77777777">
            <w:pPr>
              <w:jc w:val="center"/>
              <w:rPr>
                <w:rFonts w:ascii="Times New Roman" w:eastAsia="Times New Roman" w:hAnsi="Times New Roman" w:cs="Times New Roman"/>
                <w:sz w:val="20"/>
                <w:szCs w:val="20"/>
              </w:rPr>
            </w:pPr>
          </w:p>
        </w:tc>
        <w:tc>
          <w:tcPr>
            <w:tcW w:w="1170" w:type="dxa"/>
            <w:noWrap/>
            <w:vAlign w:val="center"/>
            <w:hideMark/>
          </w:tcPr>
          <w:p w:rsidR="009A7CE8" w:rsidRPr="00AF6AF5" w:rsidP="009A7CE8" w14:paraId="2D75F09B"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 xml:space="preserve">$15.1 </w:t>
            </w:r>
          </w:p>
        </w:tc>
        <w:tc>
          <w:tcPr>
            <w:tcW w:w="998" w:type="dxa"/>
            <w:noWrap/>
            <w:vAlign w:val="center"/>
            <w:hideMark/>
          </w:tcPr>
          <w:p w:rsidR="009A7CE8" w:rsidRPr="00AF6AF5" w:rsidP="009A7CE8" w14:paraId="209C45F3"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 xml:space="preserve">$1.5 </w:t>
            </w:r>
          </w:p>
        </w:tc>
        <w:tc>
          <w:tcPr>
            <w:tcW w:w="1350" w:type="dxa"/>
            <w:noWrap/>
            <w:vAlign w:val="center"/>
            <w:hideMark/>
          </w:tcPr>
          <w:p w:rsidR="009A7CE8" w:rsidRPr="00AF6AF5" w:rsidP="009A7CE8" w14:paraId="26343460" w14:textId="77777777">
            <w:pPr>
              <w:jc w:val="center"/>
              <w:rPr>
                <w:rFonts w:ascii="Times New Roman" w:eastAsia="Times New Roman" w:hAnsi="Times New Roman" w:cs="Times New Roman"/>
                <w:sz w:val="20"/>
                <w:szCs w:val="20"/>
              </w:rPr>
            </w:pPr>
            <w:r w:rsidRPr="00AF6AF5">
              <w:rPr>
                <w:rFonts w:ascii="Times New Roman" w:hAnsi="Times New Roman" w:cs="Times New Roman"/>
                <w:color w:val="000000"/>
                <w:sz w:val="20"/>
                <w:szCs w:val="20"/>
              </w:rPr>
              <w:t xml:space="preserve">$0.01 </w:t>
            </w:r>
          </w:p>
        </w:tc>
        <w:tc>
          <w:tcPr>
            <w:tcW w:w="1080" w:type="dxa"/>
            <w:vAlign w:val="center"/>
          </w:tcPr>
          <w:p w:rsidR="009A7CE8" w:rsidRPr="00AF6AF5" w:rsidP="009A7CE8" w14:paraId="3BCA0A16"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$1</w:t>
            </w:r>
            <w:r w:rsidRPr="00AF6AF5" w:rsidR="00982BBC">
              <w:rPr>
                <w:rFonts w:ascii="Times New Roman" w:hAnsi="Times New Roman" w:cs="Times New Roman"/>
                <w:color w:val="000000"/>
                <w:sz w:val="20"/>
                <w:szCs w:val="20"/>
              </w:rPr>
              <w:t>0.4</w:t>
            </w:r>
            <w:r w:rsidRPr="00AF6AF5">
              <w:rPr>
                <w:rFonts w:ascii="Times New Roman" w:hAnsi="Times New Roman" w:cs="Times New Roman"/>
                <w:color w:val="000000"/>
                <w:sz w:val="20"/>
                <w:szCs w:val="20"/>
              </w:rPr>
              <w:t xml:space="preserve"> </w:t>
            </w:r>
          </w:p>
        </w:tc>
        <w:tc>
          <w:tcPr>
            <w:tcW w:w="998" w:type="dxa"/>
            <w:vAlign w:val="center"/>
          </w:tcPr>
          <w:p w:rsidR="009A7CE8" w:rsidRPr="00AF6AF5" w:rsidP="009A7CE8" w14:paraId="50F1C535"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w:t>
            </w:r>
            <w:r w:rsidRPr="00AF6AF5" w:rsidR="00982BBC">
              <w:rPr>
                <w:rFonts w:ascii="Times New Roman" w:hAnsi="Times New Roman" w:cs="Times New Roman"/>
                <w:color w:val="000000"/>
                <w:sz w:val="20"/>
                <w:szCs w:val="20"/>
              </w:rPr>
              <w:t>3</w:t>
            </w:r>
            <w:r w:rsidRPr="00AF6AF5">
              <w:rPr>
                <w:rFonts w:ascii="Times New Roman" w:hAnsi="Times New Roman" w:cs="Times New Roman"/>
                <w:color w:val="000000"/>
                <w:sz w:val="20"/>
                <w:szCs w:val="20"/>
              </w:rPr>
              <w:t>.5</w:t>
            </w:r>
          </w:p>
        </w:tc>
        <w:tc>
          <w:tcPr>
            <w:tcW w:w="1287" w:type="dxa"/>
            <w:vAlign w:val="center"/>
          </w:tcPr>
          <w:p w:rsidR="009A7CE8" w:rsidRPr="00AF6AF5" w:rsidP="009A7CE8" w14:paraId="66276C93" w14:textId="77777777">
            <w:pPr>
              <w:jc w:val="center"/>
              <w:rPr>
                <w:rFonts w:ascii="Times New Roman" w:hAnsi="Times New Roman" w:cs="Times New Roman"/>
                <w:sz w:val="20"/>
                <w:szCs w:val="20"/>
              </w:rPr>
            </w:pPr>
            <w:r w:rsidRPr="00AF6AF5">
              <w:rPr>
                <w:rFonts w:ascii="Times New Roman" w:hAnsi="Times New Roman" w:cs="Times New Roman"/>
                <w:color w:val="000000"/>
                <w:sz w:val="20"/>
                <w:szCs w:val="20"/>
              </w:rPr>
              <w:t>$0.</w:t>
            </w:r>
            <w:r w:rsidRPr="00AF6AF5" w:rsidR="00982BBC">
              <w:rPr>
                <w:rFonts w:ascii="Times New Roman" w:hAnsi="Times New Roman" w:cs="Times New Roman"/>
                <w:color w:val="000000"/>
                <w:sz w:val="20"/>
                <w:szCs w:val="20"/>
              </w:rPr>
              <w:t>0</w:t>
            </w:r>
          </w:p>
        </w:tc>
      </w:tr>
      <w:tr w14:paraId="6DF998EF" w14:textId="77777777" w:rsidTr="007F63D3">
        <w:tblPrEx>
          <w:tblW w:w="9350" w:type="dxa"/>
          <w:tblLook w:val="04A0"/>
        </w:tblPrEx>
        <w:trPr>
          <w:trHeight w:val="300"/>
        </w:trPr>
        <w:tc>
          <w:tcPr>
            <w:tcW w:w="1646" w:type="dxa"/>
            <w:noWrap/>
            <w:hideMark/>
          </w:tcPr>
          <w:p w:rsidR="009A7CE8" w:rsidRPr="00AF6AF5" w:rsidP="009A7CE8" w14:paraId="0C2493AB" w14:textId="77777777">
            <w:pPr>
              <w:jc w:val="center"/>
              <w:rPr>
                <w:rFonts w:ascii="Times New Roman" w:eastAsia="Times New Roman" w:hAnsi="Times New Roman" w:cs="Times New Roman"/>
                <w:b/>
                <w:bCs/>
                <w:color w:val="000000"/>
                <w:sz w:val="22"/>
                <w:szCs w:val="22"/>
              </w:rPr>
            </w:pPr>
            <w:r w:rsidRPr="00AF6AF5">
              <w:rPr>
                <w:rFonts w:ascii="Times New Roman" w:eastAsia="Times New Roman" w:hAnsi="Times New Roman" w:cs="Times New Roman"/>
                <w:b/>
                <w:bCs/>
                <w:color w:val="000000"/>
                <w:sz w:val="22"/>
                <w:szCs w:val="22"/>
              </w:rPr>
              <w:t>Offsite Total</w:t>
            </w:r>
          </w:p>
        </w:tc>
        <w:tc>
          <w:tcPr>
            <w:tcW w:w="821" w:type="dxa"/>
            <w:noWrap/>
            <w:hideMark/>
          </w:tcPr>
          <w:p w:rsidR="009A7CE8" w:rsidRPr="00AF6AF5" w:rsidP="009A7CE8" w14:paraId="7241B4AD" w14:textId="77777777">
            <w:pPr>
              <w:jc w:val="center"/>
              <w:rPr>
                <w:rFonts w:ascii="Times New Roman" w:eastAsia="Times New Roman" w:hAnsi="Times New Roman" w:cs="Times New Roman"/>
                <w:b/>
                <w:color w:val="000000"/>
                <w:sz w:val="20"/>
                <w:szCs w:val="20"/>
              </w:rPr>
            </w:pPr>
          </w:p>
        </w:tc>
        <w:tc>
          <w:tcPr>
            <w:tcW w:w="1170" w:type="dxa"/>
            <w:noWrap/>
            <w:vAlign w:val="center"/>
            <w:hideMark/>
          </w:tcPr>
          <w:p w:rsidR="009A7CE8" w:rsidRPr="00AF6AF5" w:rsidP="009A7CE8" w14:paraId="5DBD3B78" w14:textId="77777777">
            <w:pPr>
              <w:jc w:val="center"/>
              <w:rPr>
                <w:rFonts w:ascii="Times New Roman" w:hAnsi="Times New Roman" w:cs="Times New Roman"/>
                <w:b/>
                <w:color w:val="000000"/>
                <w:sz w:val="20"/>
                <w:szCs w:val="20"/>
              </w:rPr>
            </w:pPr>
            <w:r w:rsidRPr="00AF6AF5">
              <w:rPr>
                <w:rFonts w:ascii="Times New Roman" w:hAnsi="Times New Roman" w:cs="Times New Roman"/>
                <w:b/>
                <w:bCs/>
                <w:color w:val="000000"/>
                <w:sz w:val="20"/>
                <w:szCs w:val="20"/>
              </w:rPr>
              <w:t>$</w:t>
            </w:r>
            <w:r w:rsidRPr="00AF6AF5" w:rsidR="0065040C">
              <w:rPr>
                <w:rFonts w:ascii="Times New Roman" w:hAnsi="Times New Roman" w:cs="Times New Roman"/>
                <w:b/>
                <w:bCs/>
                <w:color w:val="000000"/>
                <w:sz w:val="20"/>
                <w:szCs w:val="20"/>
              </w:rPr>
              <w:t>113.3</w:t>
            </w:r>
            <w:r w:rsidRPr="00AF6AF5">
              <w:rPr>
                <w:rFonts w:ascii="Times New Roman" w:hAnsi="Times New Roman" w:cs="Times New Roman"/>
                <w:b/>
                <w:bCs/>
                <w:color w:val="000000"/>
                <w:sz w:val="20"/>
                <w:szCs w:val="20"/>
              </w:rPr>
              <w:t xml:space="preserve"> </w:t>
            </w:r>
          </w:p>
        </w:tc>
        <w:tc>
          <w:tcPr>
            <w:tcW w:w="998" w:type="dxa"/>
            <w:noWrap/>
            <w:vAlign w:val="center"/>
            <w:hideMark/>
          </w:tcPr>
          <w:p w:rsidR="009A7CE8" w:rsidRPr="00AF6AF5" w:rsidP="009A7CE8" w14:paraId="3F9F56B7" w14:textId="77777777">
            <w:pPr>
              <w:jc w:val="center"/>
              <w:rPr>
                <w:rFonts w:ascii="Times New Roman" w:hAnsi="Times New Roman" w:cs="Times New Roman"/>
                <w:b/>
                <w:color w:val="000000"/>
                <w:sz w:val="20"/>
                <w:szCs w:val="20"/>
              </w:rPr>
            </w:pPr>
            <w:r w:rsidRPr="00AF6AF5">
              <w:rPr>
                <w:rFonts w:ascii="Times New Roman" w:hAnsi="Times New Roman" w:cs="Times New Roman"/>
                <w:b/>
                <w:bCs/>
                <w:color w:val="000000"/>
                <w:sz w:val="20"/>
                <w:szCs w:val="20"/>
              </w:rPr>
              <w:t>$</w:t>
            </w:r>
            <w:r w:rsidRPr="00AF6AF5" w:rsidR="00FF1C88">
              <w:rPr>
                <w:rFonts w:ascii="Times New Roman" w:hAnsi="Times New Roman" w:cs="Times New Roman"/>
                <w:b/>
                <w:bCs/>
                <w:color w:val="000000"/>
                <w:sz w:val="20"/>
                <w:szCs w:val="20"/>
              </w:rPr>
              <w:t>11.3</w:t>
            </w:r>
            <w:r w:rsidRPr="00AF6AF5">
              <w:rPr>
                <w:rFonts w:ascii="Times New Roman" w:hAnsi="Times New Roman" w:cs="Times New Roman"/>
                <w:b/>
                <w:bCs/>
                <w:color w:val="000000"/>
                <w:sz w:val="20"/>
                <w:szCs w:val="20"/>
              </w:rPr>
              <w:t xml:space="preserve"> </w:t>
            </w:r>
          </w:p>
        </w:tc>
        <w:tc>
          <w:tcPr>
            <w:tcW w:w="1350" w:type="dxa"/>
            <w:noWrap/>
            <w:vAlign w:val="center"/>
            <w:hideMark/>
          </w:tcPr>
          <w:p w:rsidR="009A7CE8" w:rsidRPr="00AF6AF5" w:rsidP="009A7CE8" w14:paraId="5ECE8870" w14:textId="77777777">
            <w:pPr>
              <w:jc w:val="center"/>
              <w:rPr>
                <w:rFonts w:ascii="Times New Roman" w:hAnsi="Times New Roman" w:cs="Times New Roman"/>
                <w:b/>
                <w:color w:val="000000"/>
                <w:sz w:val="20"/>
                <w:szCs w:val="20"/>
              </w:rPr>
            </w:pPr>
            <w:r w:rsidRPr="00AF6AF5">
              <w:rPr>
                <w:rFonts w:ascii="Times New Roman" w:hAnsi="Times New Roman" w:cs="Times New Roman"/>
                <w:b/>
                <w:bCs/>
                <w:color w:val="000000"/>
                <w:sz w:val="20"/>
                <w:szCs w:val="20"/>
              </w:rPr>
              <w:t>$0.</w:t>
            </w:r>
            <w:r w:rsidRPr="00AF6AF5" w:rsidR="008C1FC2">
              <w:rPr>
                <w:rFonts w:ascii="Times New Roman" w:hAnsi="Times New Roman" w:cs="Times New Roman"/>
                <w:b/>
                <w:bCs/>
                <w:color w:val="000000"/>
                <w:sz w:val="20"/>
                <w:szCs w:val="20"/>
              </w:rPr>
              <w:t>07</w:t>
            </w:r>
            <w:r w:rsidRPr="00AF6AF5">
              <w:rPr>
                <w:rFonts w:ascii="Times New Roman" w:hAnsi="Times New Roman" w:cs="Times New Roman"/>
                <w:b/>
                <w:bCs/>
                <w:color w:val="000000"/>
                <w:sz w:val="20"/>
                <w:szCs w:val="20"/>
              </w:rPr>
              <w:t xml:space="preserve"> </w:t>
            </w:r>
          </w:p>
        </w:tc>
        <w:tc>
          <w:tcPr>
            <w:tcW w:w="1080" w:type="dxa"/>
            <w:vAlign w:val="center"/>
          </w:tcPr>
          <w:p w:rsidR="009A7CE8" w:rsidRPr="00AF6AF5" w:rsidP="009A7CE8" w14:paraId="34552859" w14:textId="77777777">
            <w:pPr>
              <w:jc w:val="center"/>
              <w:rPr>
                <w:rFonts w:ascii="Times New Roman" w:hAnsi="Times New Roman" w:cs="Times New Roman"/>
                <w:b/>
                <w:bCs/>
                <w:color w:val="000000"/>
                <w:sz w:val="20"/>
                <w:szCs w:val="20"/>
              </w:rPr>
            </w:pPr>
            <w:r w:rsidRPr="00AF6AF5">
              <w:rPr>
                <w:rFonts w:ascii="Times New Roman" w:hAnsi="Times New Roman" w:cs="Times New Roman"/>
                <w:b/>
                <w:bCs/>
                <w:color w:val="000000"/>
                <w:sz w:val="20"/>
                <w:szCs w:val="20"/>
              </w:rPr>
              <w:t>$</w:t>
            </w:r>
            <w:r w:rsidRPr="00AF6AF5" w:rsidR="007612FD">
              <w:rPr>
                <w:rFonts w:ascii="Times New Roman" w:hAnsi="Times New Roman" w:cs="Times New Roman"/>
                <w:b/>
                <w:color w:val="000000"/>
                <w:sz w:val="20"/>
                <w:szCs w:val="20"/>
              </w:rPr>
              <w:t>1</w:t>
            </w:r>
            <w:r w:rsidRPr="00AF6AF5" w:rsidR="00C2587B">
              <w:rPr>
                <w:rFonts w:ascii="Times New Roman" w:hAnsi="Times New Roman" w:cs="Times New Roman"/>
                <w:b/>
                <w:color w:val="000000"/>
                <w:sz w:val="20"/>
                <w:szCs w:val="20"/>
              </w:rPr>
              <w:t>9</w:t>
            </w:r>
            <w:r w:rsidRPr="00AF6AF5" w:rsidR="00282908">
              <w:rPr>
                <w:rFonts w:ascii="Times New Roman" w:hAnsi="Times New Roman" w:cs="Times New Roman"/>
                <w:b/>
                <w:color w:val="000000"/>
                <w:sz w:val="20"/>
                <w:szCs w:val="20"/>
              </w:rPr>
              <w:t>.4</w:t>
            </w:r>
            <w:r w:rsidRPr="00AF6AF5">
              <w:rPr>
                <w:rFonts w:ascii="Times New Roman" w:hAnsi="Times New Roman" w:cs="Times New Roman"/>
                <w:b/>
                <w:bCs/>
                <w:color w:val="000000"/>
                <w:sz w:val="20"/>
                <w:szCs w:val="20"/>
              </w:rPr>
              <w:t xml:space="preserve"> </w:t>
            </w:r>
          </w:p>
        </w:tc>
        <w:tc>
          <w:tcPr>
            <w:tcW w:w="998" w:type="dxa"/>
            <w:vAlign w:val="center"/>
          </w:tcPr>
          <w:p w:rsidR="009A7CE8" w:rsidRPr="00AF6AF5" w:rsidP="009A7CE8" w14:paraId="41F9BB3E" w14:textId="77777777">
            <w:pPr>
              <w:jc w:val="center"/>
              <w:rPr>
                <w:rFonts w:ascii="Times New Roman" w:hAnsi="Times New Roman" w:cs="Times New Roman"/>
                <w:b/>
                <w:bCs/>
                <w:color w:val="000000"/>
                <w:sz w:val="20"/>
                <w:szCs w:val="20"/>
              </w:rPr>
            </w:pPr>
            <w:r w:rsidRPr="00AF6AF5">
              <w:rPr>
                <w:rFonts w:ascii="Times New Roman" w:hAnsi="Times New Roman" w:cs="Times New Roman"/>
                <w:b/>
                <w:color w:val="000000"/>
                <w:sz w:val="20"/>
                <w:szCs w:val="20"/>
              </w:rPr>
              <w:t>$</w:t>
            </w:r>
            <w:r w:rsidRPr="00AF6AF5" w:rsidR="00C2587B">
              <w:rPr>
                <w:rFonts w:ascii="Times New Roman" w:hAnsi="Times New Roman" w:cs="Times New Roman"/>
                <w:b/>
                <w:color w:val="000000"/>
                <w:sz w:val="20"/>
                <w:szCs w:val="20"/>
              </w:rPr>
              <w:t>6.</w:t>
            </w:r>
            <w:r w:rsidRPr="00AF6AF5">
              <w:rPr>
                <w:rFonts w:ascii="Times New Roman" w:hAnsi="Times New Roman" w:cs="Times New Roman"/>
                <w:b/>
                <w:color w:val="000000"/>
                <w:sz w:val="20"/>
                <w:szCs w:val="20"/>
              </w:rPr>
              <w:t>5</w:t>
            </w:r>
          </w:p>
        </w:tc>
        <w:tc>
          <w:tcPr>
            <w:tcW w:w="1287" w:type="dxa"/>
            <w:vAlign w:val="center"/>
          </w:tcPr>
          <w:p w:rsidR="009A7CE8" w:rsidRPr="00AF6AF5" w:rsidP="009A7CE8" w14:paraId="24911C5B" w14:textId="77777777">
            <w:pPr>
              <w:jc w:val="center"/>
              <w:rPr>
                <w:rFonts w:ascii="Times New Roman" w:hAnsi="Times New Roman" w:cs="Times New Roman"/>
                <w:b/>
                <w:bCs/>
                <w:color w:val="000000"/>
                <w:sz w:val="20"/>
                <w:szCs w:val="20"/>
              </w:rPr>
            </w:pPr>
            <w:r w:rsidRPr="00AF6AF5">
              <w:rPr>
                <w:rFonts w:ascii="Times New Roman" w:hAnsi="Times New Roman" w:cs="Times New Roman"/>
                <w:b/>
                <w:bCs/>
                <w:color w:val="000000"/>
                <w:sz w:val="20"/>
                <w:szCs w:val="20"/>
              </w:rPr>
              <w:t>$0.</w:t>
            </w:r>
            <w:r w:rsidRPr="00AF6AF5" w:rsidR="00982BBC">
              <w:rPr>
                <w:rFonts w:ascii="Times New Roman" w:hAnsi="Times New Roman" w:cs="Times New Roman"/>
                <w:b/>
                <w:color w:val="000000"/>
                <w:sz w:val="20"/>
                <w:szCs w:val="20"/>
              </w:rPr>
              <w:t>0</w:t>
            </w:r>
          </w:p>
        </w:tc>
      </w:tr>
      <w:tr w14:paraId="25255289" w14:textId="77777777" w:rsidTr="007F63D3">
        <w:tblPrEx>
          <w:tblW w:w="9350" w:type="dxa"/>
          <w:tblLook w:val="04A0"/>
        </w:tblPrEx>
        <w:trPr>
          <w:trHeight w:val="300"/>
        </w:trPr>
        <w:tc>
          <w:tcPr>
            <w:tcW w:w="1646" w:type="dxa"/>
            <w:noWrap/>
            <w:hideMark/>
          </w:tcPr>
          <w:p w:rsidR="009A7CE8" w:rsidRPr="00AF6AF5" w:rsidP="009A7CE8" w14:paraId="1B6D0CC7" w14:textId="77777777">
            <w:pPr>
              <w:jc w:val="center"/>
              <w:rPr>
                <w:rFonts w:ascii="Times New Roman" w:eastAsia="Times New Roman" w:hAnsi="Times New Roman" w:cs="Times New Roman"/>
                <w:b/>
                <w:bCs/>
                <w:color w:val="000000"/>
                <w:sz w:val="22"/>
                <w:szCs w:val="22"/>
              </w:rPr>
            </w:pPr>
            <w:r w:rsidRPr="00AF6AF5">
              <w:rPr>
                <w:rFonts w:ascii="Times New Roman" w:eastAsia="Times New Roman" w:hAnsi="Times New Roman" w:cs="Times New Roman"/>
                <w:b/>
                <w:bCs/>
                <w:color w:val="000000"/>
                <w:sz w:val="22"/>
                <w:szCs w:val="22"/>
              </w:rPr>
              <w:t>Total</w:t>
            </w:r>
          </w:p>
        </w:tc>
        <w:tc>
          <w:tcPr>
            <w:tcW w:w="821" w:type="dxa"/>
            <w:noWrap/>
            <w:hideMark/>
          </w:tcPr>
          <w:p w:rsidR="009A7CE8" w:rsidRPr="00AF6AF5" w:rsidP="009A7CE8" w14:paraId="418FDCD3" w14:textId="77777777">
            <w:pPr>
              <w:jc w:val="center"/>
              <w:rPr>
                <w:rFonts w:ascii="Times New Roman" w:eastAsia="Times New Roman" w:hAnsi="Times New Roman" w:cs="Times New Roman"/>
                <w:b/>
                <w:color w:val="000000"/>
                <w:sz w:val="20"/>
                <w:szCs w:val="20"/>
              </w:rPr>
            </w:pPr>
          </w:p>
        </w:tc>
        <w:tc>
          <w:tcPr>
            <w:tcW w:w="1170" w:type="dxa"/>
            <w:noWrap/>
            <w:vAlign w:val="center"/>
            <w:hideMark/>
          </w:tcPr>
          <w:p w:rsidR="009A7CE8" w:rsidRPr="00AF6AF5" w:rsidP="009A7CE8" w14:paraId="47175CC6" w14:textId="18126549">
            <w:pPr>
              <w:jc w:val="center"/>
              <w:rPr>
                <w:rFonts w:ascii="Times New Roman" w:hAnsi="Times New Roman" w:cs="Times New Roman"/>
                <w:b/>
                <w:color w:val="000000"/>
                <w:sz w:val="20"/>
                <w:szCs w:val="20"/>
              </w:rPr>
            </w:pPr>
            <w:r w:rsidRPr="00AF6AF5">
              <w:rPr>
                <w:rFonts w:ascii="Times New Roman" w:hAnsi="Times New Roman" w:cs="Times New Roman"/>
                <w:b/>
                <w:color w:val="000000"/>
                <w:sz w:val="20"/>
                <w:szCs w:val="20"/>
              </w:rPr>
              <w:t>$4,</w:t>
            </w:r>
            <w:r w:rsidRPr="00AF6AF5" w:rsidR="00D5305C">
              <w:rPr>
                <w:rFonts w:ascii="Times New Roman" w:hAnsi="Times New Roman" w:cs="Times New Roman"/>
                <w:b/>
                <w:bCs/>
                <w:color w:val="000000"/>
                <w:sz w:val="20"/>
                <w:szCs w:val="20"/>
              </w:rPr>
              <w:t>7</w:t>
            </w:r>
            <w:r w:rsidRPr="00AF6AF5" w:rsidR="00E94F4A">
              <w:rPr>
                <w:rFonts w:ascii="Times New Roman" w:hAnsi="Times New Roman" w:cs="Times New Roman"/>
                <w:b/>
                <w:bCs/>
                <w:color w:val="000000"/>
                <w:sz w:val="20"/>
                <w:szCs w:val="20"/>
              </w:rPr>
              <w:t>32.0</w:t>
            </w:r>
          </w:p>
        </w:tc>
        <w:tc>
          <w:tcPr>
            <w:tcW w:w="998" w:type="dxa"/>
            <w:noWrap/>
            <w:vAlign w:val="center"/>
            <w:hideMark/>
          </w:tcPr>
          <w:p w:rsidR="009A7CE8" w:rsidRPr="00AF6AF5" w:rsidP="009A7CE8" w14:paraId="664EF4C4" w14:textId="4D50918A">
            <w:pPr>
              <w:jc w:val="center"/>
              <w:rPr>
                <w:rFonts w:ascii="Times New Roman" w:hAnsi="Times New Roman" w:cs="Times New Roman"/>
                <w:b/>
                <w:color w:val="000000"/>
                <w:sz w:val="20"/>
                <w:szCs w:val="20"/>
              </w:rPr>
            </w:pPr>
            <w:r w:rsidRPr="00AF6AF5">
              <w:rPr>
                <w:rFonts w:ascii="Times New Roman" w:hAnsi="Times New Roman" w:cs="Times New Roman"/>
                <w:b/>
                <w:color w:val="000000"/>
                <w:sz w:val="20"/>
                <w:szCs w:val="20"/>
              </w:rPr>
              <w:t>$</w:t>
            </w:r>
            <w:r w:rsidRPr="00AF6AF5" w:rsidR="00FF1C88">
              <w:rPr>
                <w:rFonts w:ascii="Times New Roman" w:hAnsi="Times New Roman" w:cs="Times New Roman"/>
                <w:b/>
                <w:bCs/>
                <w:color w:val="000000"/>
                <w:sz w:val="20"/>
                <w:szCs w:val="20"/>
              </w:rPr>
              <w:t>47</w:t>
            </w:r>
            <w:r w:rsidRPr="00AF6AF5" w:rsidR="006F5748">
              <w:rPr>
                <w:rFonts w:ascii="Times New Roman" w:hAnsi="Times New Roman" w:cs="Times New Roman"/>
                <w:b/>
                <w:bCs/>
                <w:color w:val="000000"/>
                <w:sz w:val="20"/>
                <w:szCs w:val="20"/>
              </w:rPr>
              <w:t>3.2</w:t>
            </w:r>
          </w:p>
        </w:tc>
        <w:tc>
          <w:tcPr>
            <w:tcW w:w="1350" w:type="dxa"/>
            <w:noWrap/>
            <w:vAlign w:val="center"/>
            <w:hideMark/>
          </w:tcPr>
          <w:p w:rsidR="009A7CE8" w:rsidRPr="00AF6AF5" w:rsidP="009A7CE8" w14:paraId="7E10DF10" w14:textId="26EC2B75">
            <w:pPr>
              <w:jc w:val="center"/>
              <w:rPr>
                <w:rFonts w:ascii="Times New Roman" w:hAnsi="Times New Roman" w:cs="Times New Roman"/>
                <w:b/>
                <w:color w:val="000000"/>
                <w:sz w:val="20"/>
                <w:szCs w:val="20"/>
              </w:rPr>
            </w:pPr>
            <w:r w:rsidRPr="00AF6AF5">
              <w:rPr>
                <w:rFonts w:ascii="Times New Roman" w:hAnsi="Times New Roman" w:cs="Times New Roman"/>
                <w:b/>
                <w:color w:val="000000"/>
                <w:sz w:val="20"/>
                <w:szCs w:val="20"/>
              </w:rPr>
              <w:t>$2.</w:t>
            </w:r>
            <w:r w:rsidRPr="00AF6AF5" w:rsidR="006F5748">
              <w:rPr>
                <w:rFonts w:ascii="Times New Roman" w:hAnsi="Times New Roman" w:cs="Times New Roman"/>
                <w:b/>
                <w:bCs/>
                <w:color w:val="000000"/>
                <w:sz w:val="20"/>
                <w:szCs w:val="20"/>
              </w:rPr>
              <w:t>9</w:t>
            </w:r>
            <w:r w:rsidRPr="00AF6AF5">
              <w:rPr>
                <w:rFonts w:ascii="Times New Roman" w:hAnsi="Times New Roman" w:cs="Times New Roman"/>
                <w:b/>
                <w:color w:val="000000"/>
                <w:sz w:val="20"/>
                <w:szCs w:val="20"/>
              </w:rPr>
              <w:t xml:space="preserve"> </w:t>
            </w:r>
          </w:p>
        </w:tc>
        <w:tc>
          <w:tcPr>
            <w:tcW w:w="1080" w:type="dxa"/>
            <w:vAlign w:val="center"/>
          </w:tcPr>
          <w:p w:rsidR="009A7CE8" w:rsidRPr="00AF6AF5" w:rsidP="009A7CE8" w14:paraId="684A5D2D" w14:textId="77777777">
            <w:pPr>
              <w:jc w:val="center"/>
              <w:rPr>
                <w:rFonts w:ascii="Times New Roman" w:hAnsi="Times New Roman" w:cs="Times New Roman"/>
                <w:b/>
                <w:bCs/>
                <w:color w:val="000000"/>
                <w:sz w:val="20"/>
                <w:szCs w:val="20"/>
              </w:rPr>
            </w:pPr>
            <w:r w:rsidRPr="00AF6AF5">
              <w:rPr>
                <w:rFonts w:ascii="Times New Roman" w:hAnsi="Times New Roman" w:cs="Times New Roman"/>
                <w:b/>
                <w:bCs/>
                <w:color w:val="000000"/>
                <w:sz w:val="20"/>
                <w:szCs w:val="20"/>
              </w:rPr>
              <w:t>$1,</w:t>
            </w:r>
            <w:r w:rsidRPr="00AF6AF5" w:rsidR="00FC7223">
              <w:rPr>
                <w:rFonts w:ascii="Times New Roman" w:hAnsi="Times New Roman" w:cs="Times New Roman"/>
                <w:b/>
                <w:color w:val="000000"/>
                <w:sz w:val="20"/>
                <w:szCs w:val="20"/>
              </w:rPr>
              <w:t>325.1</w:t>
            </w:r>
            <w:r w:rsidRPr="00AF6AF5">
              <w:rPr>
                <w:rFonts w:ascii="Times New Roman" w:hAnsi="Times New Roman" w:cs="Times New Roman"/>
                <w:b/>
                <w:bCs/>
                <w:color w:val="000000"/>
                <w:sz w:val="20"/>
                <w:szCs w:val="20"/>
              </w:rPr>
              <w:t xml:space="preserve"> </w:t>
            </w:r>
          </w:p>
        </w:tc>
        <w:tc>
          <w:tcPr>
            <w:tcW w:w="998" w:type="dxa"/>
            <w:vAlign w:val="center"/>
          </w:tcPr>
          <w:p w:rsidR="009A7CE8" w:rsidRPr="00AF6AF5" w:rsidP="009A7CE8" w14:paraId="07E564A3" w14:textId="77777777">
            <w:pPr>
              <w:jc w:val="center"/>
              <w:rPr>
                <w:rFonts w:ascii="Times New Roman" w:hAnsi="Times New Roman" w:cs="Times New Roman"/>
                <w:b/>
                <w:bCs/>
                <w:color w:val="000000"/>
                <w:sz w:val="20"/>
                <w:szCs w:val="20"/>
              </w:rPr>
            </w:pPr>
            <w:r w:rsidRPr="00AF6AF5">
              <w:rPr>
                <w:rFonts w:ascii="Times New Roman" w:hAnsi="Times New Roman" w:cs="Times New Roman"/>
                <w:b/>
                <w:bCs/>
                <w:color w:val="000000"/>
                <w:sz w:val="20"/>
                <w:szCs w:val="20"/>
              </w:rPr>
              <w:t>$</w:t>
            </w:r>
            <w:r w:rsidRPr="00AF6AF5" w:rsidR="00982BBC">
              <w:rPr>
                <w:rFonts w:ascii="Times New Roman" w:hAnsi="Times New Roman" w:cs="Times New Roman"/>
                <w:b/>
                <w:color w:val="000000"/>
                <w:sz w:val="20"/>
                <w:szCs w:val="20"/>
              </w:rPr>
              <w:t>441</w:t>
            </w:r>
            <w:r w:rsidRPr="00AF6AF5" w:rsidR="007612FD">
              <w:rPr>
                <w:rFonts w:ascii="Times New Roman" w:hAnsi="Times New Roman" w:cs="Times New Roman"/>
                <w:b/>
                <w:color w:val="000000"/>
                <w:sz w:val="20"/>
                <w:szCs w:val="20"/>
              </w:rPr>
              <w:t>.</w:t>
            </w:r>
            <w:r w:rsidRPr="00AF6AF5" w:rsidR="000C40BF">
              <w:rPr>
                <w:rFonts w:ascii="Times New Roman" w:hAnsi="Times New Roman" w:cs="Times New Roman"/>
                <w:b/>
                <w:color w:val="000000"/>
                <w:sz w:val="20"/>
                <w:szCs w:val="20"/>
              </w:rPr>
              <w:t>7</w:t>
            </w:r>
          </w:p>
        </w:tc>
        <w:tc>
          <w:tcPr>
            <w:tcW w:w="1287" w:type="dxa"/>
            <w:vAlign w:val="center"/>
          </w:tcPr>
          <w:p w:rsidR="009A7CE8" w:rsidRPr="00AF6AF5" w:rsidP="009A7CE8" w14:paraId="06527A2A" w14:textId="77777777">
            <w:pPr>
              <w:jc w:val="center"/>
              <w:rPr>
                <w:rFonts w:ascii="Times New Roman" w:hAnsi="Times New Roman" w:cs="Times New Roman"/>
                <w:b/>
                <w:bCs/>
                <w:color w:val="000000"/>
                <w:sz w:val="20"/>
                <w:szCs w:val="20"/>
              </w:rPr>
            </w:pPr>
            <w:r w:rsidRPr="00AF6AF5">
              <w:rPr>
                <w:rFonts w:ascii="Times New Roman" w:hAnsi="Times New Roman" w:cs="Times New Roman"/>
                <w:b/>
                <w:bCs/>
                <w:color w:val="000000"/>
                <w:sz w:val="20"/>
                <w:szCs w:val="20"/>
              </w:rPr>
              <w:t>$3.</w:t>
            </w:r>
            <w:r w:rsidRPr="00AF6AF5" w:rsidR="00982BBC">
              <w:rPr>
                <w:rFonts w:ascii="Times New Roman" w:hAnsi="Times New Roman" w:cs="Times New Roman"/>
                <w:b/>
                <w:bCs/>
                <w:color w:val="000000"/>
                <w:sz w:val="20"/>
                <w:szCs w:val="20"/>
              </w:rPr>
              <w:t>2</w:t>
            </w:r>
          </w:p>
        </w:tc>
      </w:tr>
    </w:tbl>
    <w:bookmarkEnd w:id="143"/>
    <w:p w:rsidR="00BE4E59" w:rsidRPr="00AF6AF5" w:rsidP="00BE4E59" w14:paraId="23DC0ADE" w14:textId="77777777">
      <w:pPr>
        <w:spacing w:before="80" w:after="0" w:line="192" w:lineRule="auto"/>
        <w:rPr>
          <w:rFonts w:ascii="Times New Roman" w:hAnsi="Times New Roman" w:cs="Times New Roman"/>
          <w:sz w:val="18"/>
          <w:szCs w:val="18"/>
        </w:rPr>
      </w:pPr>
      <w:r w:rsidRPr="00AF6AF5">
        <w:rPr>
          <w:rFonts w:ascii="Times New Roman" w:hAnsi="Times New Roman" w:cs="Times New Roman"/>
          <w:sz w:val="18"/>
          <w:szCs w:val="18"/>
        </w:rPr>
        <w:t xml:space="preserve">*The unit value </w:t>
      </w:r>
      <w:r w:rsidRPr="00AF6AF5" w:rsidR="26CF5A33">
        <w:rPr>
          <w:rFonts w:ascii="Times New Roman" w:hAnsi="Times New Roman" w:cs="Times New Roman"/>
          <w:sz w:val="18"/>
          <w:szCs w:val="18"/>
        </w:rPr>
        <w:t xml:space="preserve">is $293 </w:t>
      </w:r>
      <w:r w:rsidRPr="00AF6AF5">
        <w:rPr>
          <w:rFonts w:ascii="Times New Roman" w:hAnsi="Times New Roman" w:cs="Times New Roman"/>
          <w:sz w:val="18"/>
          <w:szCs w:val="18"/>
        </w:rPr>
        <w:t xml:space="preserve">for evacuations and </w:t>
      </w:r>
      <w:r w:rsidRPr="00AF6AF5" w:rsidR="3F0B390E">
        <w:rPr>
          <w:rFonts w:ascii="Times New Roman" w:hAnsi="Times New Roman" w:cs="Times New Roman"/>
          <w:sz w:val="18"/>
          <w:szCs w:val="18"/>
        </w:rPr>
        <w:t>$147</w:t>
      </w:r>
      <w:r w:rsidRPr="00AF6AF5">
        <w:rPr>
          <w:rFonts w:ascii="Times New Roman" w:hAnsi="Times New Roman" w:cs="Times New Roman"/>
          <w:sz w:val="18"/>
          <w:szCs w:val="18"/>
        </w:rPr>
        <w:t xml:space="preserve"> for sheltering in place</w:t>
      </w:r>
      <w:r w:rsidRPr="00AF6AF5" w:rsidR="78636DFA">
        <w:rPr>
          <w:rFonts w:ascii="Times New Roman" w:hAnsi="Times New Roman" w:cs="Times New Roman"/>
          <w:sz w:val="18"/>
          <w:szCs w:val="18"/>
        </w:rPr>
        <w:t>,</w:t>
      </w:r>
      <w:r w:rsidRPr="00AF6AF5">
        <w:rPr>
          <w:rFonts w:ascii="Times New Roman" w:hAnsi="Times New Roman" w:cs="Times New Roman"/>
          <w:sz w:val="18"/>
          <w:szCs w:val="18"/>
        </w:rPr>
        <w:t xml:space="preserve"> so expressed in rounded millions, the value in the table is $0.</w:t>
      </w:r>
    </w:p>
    <w:p w:rsidR="00BE4E59" w:rsidRPr="00AF6AF5" w:rsidP="00BE4E59" w14:paraId="4B99A9DC" w14:textId="77777777">
      <w:pPr>
        <w:spacing w:before="80" w:after="0" w:line="192" w:lineRule="auto"/>
        <w:rPr>
          <w:rFonts w:ascii="Times New Roman" w:hAnsi="Times New Roman" w:cs="Times New Roman"/>
          <w:vertAlign w:val="superscript"/>
        </w:rPr>
      </w:pPr>
    </w:p>
    <w:p w:rsidR="00C57989" w:rsidP="00587204" w14:paraId="61163423" w14:textId="64D6AA0C">
      <w:pPr>
        <w:spacing w:after="0" w:line="240" w:lineRule="auto"/>
        <w:ind w:firstLine="720"/>
        <w:rPr>
          <w:rFonts w:ascii="Times New Roman" w:hAnsi="Times New Roman" w:cs="Times New Roman"/>
        </w:rPr>
      </w:pPr>
      <w:r w:rsidRPr="00AF6AF5">
        <w:rPr>
          <w:rFonts w:ascii="Times New Roman" w:hAnsi="Times New Roman" w:cs="Times New Roman"/>
        </w:rPr>
        <w:t xml:space="preserve">The estimates of monetized accident damages for the two prior time periods </w:t>
      </w:r>
      <w:r w:rsidRPr="00AF6AF5" w:rsidR="002D40C0">
        <w:rPr>
          <w:rFonts w:ascii="Times New Roman" w:hAnsi="Times New Roman" w:cs="Times New Roman"/>
        </w:rPr>
        <w:t xml:space="preserve">are </w:t>
      </w:r>
      <w:r w:rsidRPr="00AF6AF5" w:rsidR="000146AD">
        <w:rPr>
          <w:rFonts w:ascii="Times New Roman" w:hAnsi="Times New Roman" w:cs="Times New Roman"/>
        </w:rPr>
        <w:t>somewhat</w:t>
      </w:r>
      <w:r w:rsidRPr="00AF6AF5">
        <w:rPr>
          <w:rFonts w:ascii="Times New Roman" w:hAnsi="Times New Roman" w:cs="Times New Roman"/>
        </w:rPr>
        <w:t xml:space="preserve"> lower</w:t>
      </w:r>
      <w:r w:rsidRPr="00AF6AF5" w:rsidR="009D5A56">
        <w:rPr>
          <w:rFonts w:ascii="Times New Roman" w:hAnsi="Times New Roman" w:cs="Times New Roman"/>
        </w:rPr>
        <w:t xml:space="preserve"> than for the most recent </w:t>
      </w:r>
      <w:r w:rsidRPr="00AF6AF5" w:rsidR="00EA13B4">
        <w:rPr>
          <w:rFonts w:ascii="Times New Roman" w:hAnsi="Times New Roman" w:cs="Times New Roman"/>
        </w:rPr>
        <w:t>five</w:t>
      </w:r>
      <w:r w:rsidRPr="00AF6AF5" w:rsidR="009D5A56">
        <w:rPr>
          <w:rFonts w:ascii="Times New Roman" w:hAnsi="Times New Roman" w:cs="Times New Roman"/>
        </w:rPr>
        <w:t>-year period</w:t>
      </w:r>
      <w:r w:rsidRPr="00AF6AF5">
        <w:rPr>
          <w:rFonts w:ascii="Times New Roman" w:hAnsi="Times New Roman" w:cs="Times New Roman"/>
        </w:rPr>
        <w:t>; for example, the average per year is $</w:t>
      </w:r>
      <w:r w:rsidRPr="00AF6AF5" w:rsidR="00D22CEF">
        <w:rPr>
          <w:rFonts w:ascii="Times New Roman" w:hAnsi="Times New Roman" w:cs="Times New Roman"/>
        </w:rPr>
        <w:t>4</w:t>
      </w:r>
      <w:r w:rsidRPr="00AF6AF5" w:rsidR="00455781">
        <w:rPr>
          <w:rFonts w:ascii="Times New Roman" w:hAnsi="Times New Roman" w:cs="Times New Roman"/>
        </w:rPr>
        <w:t>7</w:t>
      </w:r>
      <w:r w:rsidRPr="00AF6AF5" w:rsidR="008E3451">
        <w:rPr>
          <w:rFonts w:ascii="Times New Roman" w:hAnsi="Times New Roman" w:cs="Times New Roman"/>
        </w:rPr>
        <w:t>3.2</w:t>
      </w:r>
      <w:r w:rsidRPr="00AF6AF5">
        <w:rPr>
          <w:rFonts w:ascii="Times New Roman" w:hAnsi="Times New Roman" w:cs="Times New Roman"/>
        </w:rPr>
        <w:t xml:space="preserve"> million for 2004 to 2013 and is $</w:t>
      </w:r>
      <w:r w:rsidRPr="00AF6AF5" w:rsidR="00A350CD">
        <w:rPr>
          <w:rFonts w:ascii="Times New Roman" w:hAnsi="Times New Roman" w:cs="Times New Roman"/>
        </w:rPr>
        <w:t>4</w:t>
      </w:r>
      <w:r w:rsidRPr="00AF6AF5" w:rsidR="00982BBC">
        <w:rPr>
          <w:rFonts w:ascii="Times New Roman" w:hAnsi="Times New Roman" w:cs="Times New Roman"/>
        </w:rPr>
        <w:t>41</w:t>
      </w:r>
      <w:r w:rsidRPr="00AF6AF5" w:rsidR="00A350CD">
        <w:rPr>
          <w:rFonts w:ascii="Times New Roman" w:hAnsi="Times New Roman" w:cs="Times New Roman"/>
        </w:rPr>
        <w:t>.</w:t>
      </w:r>
      <w:r w:rsidRPr="00AF6AF5" w:rsidR="00DE15E8">
        <w:rPr>
          <w:rFonts w:ascii="Times New Roman" w:hAnsi="Times New Roman" w:cs="Times New Roman"/>
        </w:rPr>
        <w:t>7</w:t>
      </w:r>
      <w:r w:rsidRPr="00AF6AF5">
        <w:rPr>
          <w:rFonts w:ascii="Times New Roman" w:hAnsi="Times New Roman" w:cs="Times New Roman"/>
        </w:rPr>
        <w:t xml:space="preserve"> million for 2014 to 2016. The average per accident is $</w:t>
      </w:r>
      <w:r w:rsidRPr="00AF6AF5" w:rsidR="00D22CEF">
        <w:rPr>
          <w:rFonts w:ascii="Times New Roman" w:hAnsi="Times New Roman" w:cs="Times New Roman"/>
        </w:rPr>
        <w:t>2.</w:t>
      </w:r>
      <w:r w:rsidRPr="00AF6AF5" w:rsidR="008E3451">
        <w:rPr>
          <w:rFonts w:ascii="Times New Roman" w:hAnsi="Times New Roman" w:cs="Times New Roman"/>
        </w:rPr>
        <w:t>9</w:t>
      </w:r>
      <w:r w:rsidRPr="00AF6AF5">
        <w:rPr>
          <w:rFonts w:ascii="Times New Roman" w:hAnsi="Times New Roman" w:cs="Times New Roman"/>
        </w:rPr>
        <w:t xml:space="preserve"> million for 2004 to 2013 and is $</w:t>
      </w:r>
      <w:r w:rsidRPr="00AF6AF5" w:rsidR="00D22CEF">
        <w:rPr>
          <w:rFonts w:ascii="Times New Roman" w:hAnsi="Times New Roman" w:cs="Times New Roman"/>
        </w:rPr>
        <w:t>3.</w:t>
      </w:r>
      <w:r w:rsidRPr="00AF6AF5" w:rsidR="00982BBC">
        <w:rPr>
          <w:rFonts w:ascii="Times New Roman" w:hAnsi="Times New Roman" w:cs="Times New Roman"/>
        </w:rPr>
        <w:t>2</w:t>
      </w:r>
      <w:r w:rsidRPr="00AF6AF5">
        <w:rPr>
          <w:rFonts w:ascii="Times New Roman" w:hAnsi="Times New Roman" w:cs="Times New Roman"/>
        </w:rPr>
        <w:t xml:space="preserve"> million for 2014 to 2016.</w:t>
      </w:r>
      <w:r w:rsidRPr="00AF6AF5" w:rsidR="00B93B0D">
        <w:rPr>
          <w:rFonts w:ascii="Times New Roman" w:hAnsi="Times New Roman" w:cs="Times New Roman"/>
        </w:rPr>
        <w:t xml:space="preserve"> </w:t>
      </w:r>
      <w:r w:rsidRPr="00AF6AF5" w:rsidR="003A68F6">
        <w:rPr>
          <w:rFonts w:ascii="Times New Roman" w:hAnsi="Times New Roman" w:cs="Times New Roman"/>
        </w:rPr>
        <w:t xml:space="preserve">In total over the 2004 to 2020 time period </w:t>
      </w:r>
      <w:r w:rsidRPr="00AF6AF5" w:rsidR="004409DF">
        <w:rPr>
          <w:rFonts w:ascii="Times New Roman" w:hAnsi="Times New Roman" w:cs="Times New Roman"/>
        </w:rPr>
        <w:t>the average per year is $4</w:t>
      </w:r>
      <w:r w:rsidRPr="00AF6AF5" w:rsidR="008E3451">
        <w:rPr>
          <w:rFonts w:ascii="Times New Roman" w:hAnsi="Times New Roman" w:cs="Times New Roman"/>
        </w:rPr>
        <w:t>82</w:t>
      </w:r>
      <w:r w:rsidRPr="00AF6AF5" w:rsidR="00F350F3">
        <w:rPr>
          <w:rFonts w:ascii="Times New Roman" w:hAnsi="Times New Roman" w:cs="Times New Roman"/>
        </w:rPr>
        <w:t>.8</w:t>
      </w:r>
      <w:r w:rsidRPr="00AF6AF5" w:rsidR="004409DF">
        <w:rPr>
          <w:rFonts w:ascii="Times New Roman" w:hAnsi="Times New Roman" w:cs="Times New Roman"/>
        </w:rPr>
        <w:t xml:space="preserve"> and the average per accident is $3.2 million. </w:t>
      </w:r>
      <w:r w:rsidRPr="00AF6AF5" w:rsidR="00B93B0D">
        <w:rPr>
          <w:rFonts w:ascii="Times New Roman" w:hAnsi="Times New Roman" w:cs="Times New Roman"/>
        </w:rPr>
        <w:t>C</w:t>
      </w:r>
      <w:r w:rsidRPr="00AF6AF5">
        <w:rPr>
          <w:rFonts w:ascii="Times New Roman" w:hAnsi="Times New Roman" w:cs="Times New Roman"/>
        </w:rPr>
        <w:t>ontributing factors to the higher values appearing in Exhibit 3-1</w:t>
      </w:r>
      <w:r w:rsidRPr="00AF6AF5" w:rsidR="00D3523B">
        <w:rPr>
          <w:rFonts w:ascii="Times New Roman" w:hAnsi="Times New Roman" w:cs="Times New Roman"/>
        </w:rPr>
        <w:t>5</w:t>
      </w:r>
      <w:r w:rsidRPr="00AF6AF5">
        <w:rPr>
          <w:rFonts w:ascii="Times New Roman" w:hAnsi="Times New Roman" w:cs="Times New Roman"/>
        </w:rPr>
        <w:t xml:space="preserve"> estimated for the most recent five-year period are the high property damage and number of evacuations</w:t>
      </w:r>
      <w:r>
        <w:rPr>
          <w:rFonts w:ascii="Times New Roman" w:hAnsi="Times New Roman" w:cs="Times New Roman"/>
        </w:rPr>
        <w:t xml:space="preserve"> f</w:t>
      </w:r>
      <w:r w:rsidRPr="00BF42A8">
        <w:rPr>
          <w:rFonts w:ascii="Times New Roman" w:hAnsi="Times New Roman" w:cs="Times New Roman"/>
        </w:rPr>
        <w:t xml:space="preserve">rom </w:t>
      </w:r>
      <w:r>
        <w:rPr>
          <w:rFonts w:ascii="Times New Roman" w:hAnsi="Times New Roman" w:cs="Times New Roman"/>
        </w:rPr>
        <w:t>the TPC Group Chemical Plant explosion and fire</w:t>
      </w:r>
      <w:r w:rsidRPr="00BF42A8">
        <w:rPr>
          <w:rFonts w:ascii="Times New Roman" w:hAnsi="Times New Roman" w:cs="Times New Roman"/>
        </w:rPr>
        <w:t xml:space="preserve"> in Port Neches, TX in 2019</w:t>
      </w:r>
      <w:r>
        <w:rPr>
          <w:rFonts w:ascii="Times New Roman" w:hAnsi="Times New Roman" w:cs="Times New Roman"/>
        </w:rPr>
        <w:t>.</w:t>
      </w:r>
    </w:p>
    <w:p w:rsidR="00291688" w:rsidP="00587204" w14:paraId="2BDB0D0A" w14:textId="77777777">
      <w:pPr>
        <w:spacing w:after="0" w:line="240" w:lineRule="auto"/>
        <w:ind w:firstLine="720"/>
        <w:rPr>
          <w:rFonts w:ascii="Times New Roman" w:hAnsi="Times New Roman" w:cs="Times New Roman"/>
        </w:rPr>
      </w:pPr>
    </w:p>
    <w:p w:rsidR="00700B86" w:rsidRPr="00A934BE" w:rsidP="00A934BE" w14:paraId="0D9008CF" w14:textId="77777777">
      <w:pPr>
        <w:pStyle w:val="Heading3"/>
        <w:ind w:hanging="640"/>
        <w:rPr>
          <w:rFonts w:ascii="Times New Roman" w:hAnsi="Times New Roman" w:cs="Times New Roman"/>
          <w:sz w:val="22"/>
          <w:szCs w:val="22"/>
        </w:rPr>
      </w:pPr>
      <w:bookmarkStart w:id="144" w:name="_Toc144213847"/>
      <w:bookmarkStart w:id="145" w:name="_Toc144283592"/>
      <w:bookmarkStart w:id="146" w:name="_Toc144303530"/>
      <w:r>
        <w:rPr>
          <w:rFonts w:ascii="Times New Roman" w:hAnsi="Times New Roman" w:cs="Times New Roman"/>
          <w:sz w:val="22"/>
          <w:szCs w:val="22"/>
        </w:rPr>
        <w:t>3.2.6 Unquantified and Unmonetized Baseline Damages</w:t>
      </w:r>
      <w:bookmarkEnd w:id="144"/>
      <w:bookmarkEnd w:id="145"/>
      <w:bookmarkEnd w:id="146"/>
    </w:p>
    <w:p w:rsidR="00BB6C2D" w:rsidRPr="00587204" w:rsidP="00BB6C2D" w14:paraId="69AEAE4F" w14:textId="1A4678FC">
      <w:pPr>
        <w:pStyle w:val="ListParagraph"/>
        <w:spacing w:after="0" w:line="240" w:lineRule="auto"/>
        <w:rPr>
          <w:rFonts w:ascii="Times New Roman" w:eastAsia="Calibri" w:hAnsi="Times New Roman" w:cs="Times New Roman"/>
        </w:rPr>
      </w:pPr>
      <w:r>
        <w:rPr>
          <w:rFonts w:ascii="Times New Roman" w:hAnsi="Times New Roman" w:cs="Times New Roman"/>
        </w:rPr>
        <w:t xml:space="preserve">Building on </w:t>
      </w:r>
      <w:r w:rsidR="005E442B">
        <w:rPr>
          <w:rFonts w:ascii="Times New Roman" w:hAnsi="Times New Roman" w:cs="Times New Roman"/>
        </w:rPr>
        <w:t xml:space="preserve">the accident impacts required to be reported by </w:t>
      </w:r>
      <w:r>
        <w:rPr>
          <w:rFonts w:ascii="Times New Roman" w:hAnsi="Times New Roman" w:cs="Times New Roman"/>
        </w:rPr>
        <w:t>RMP facilit</w:t>
      </w:r>
      <w:r w:rsidR="005E442B">
        <w:rPr>
          <w:rFonts w:ascii="Times New Roman" w:hAnsi="Times New Roman" w:cs="Times New Roman"/>
        </w:rPr>
        <w:t>ies</w:t>
      </w:r>
      <w:r>
        <w:rPr>
          <w:rFonts w:ascii="Times New Roman" w:hAnsi="Times New Roman" w:cs="Times New Roman"/>
        </w:rPr>
        <w:t xml:space="preserve">, </w:t>
      </w:r>
      <w:r w:rsidRPr="00A934BE" w:rsidR="00827144">
        <w:rPr>
          <w:rFonts w:ascii="Times New Roman" w:hAnsi="Times New Roman" w:cs="Times New Roman"/>
        </w:rPr>
        <w:t xml:space="preserve"> EPA has </w:t>
      </w:r>
      <w:r w:rsidR="00285EF8">
        <w:rPr>
          <w:rFonts w:ascii="Times New Roman" w:hAnsi="Times New Roman" w:cs="Times New Roman"/>
        </w:rPr>
        <w:t>monetized</w:t>
      </w:r>
      <w:r w:rsidRPr="00A934BE" w:rsidR="00827144">
        <w:rPr>
          <w:rFonts w:ascii="Times New Roman" w:hAnsi="Times New Roman" w:cs="Times New Roman"/>
        </w:rPr>
        <w:t xml:space="preserve"> some </w:t>
      </w:r>
      <w:r w:rsidR="002922A5">
        <w:rPr>
          <w:rFonts w:ascii="Times New Roman" w:hAnsi="Times New Roman" w:cs="Times New Roman"/>
        </w:rPr>
        <w:t>of the baseline</w:t>
      </w:r>
      <w:r w:rsidRPr="00A934BE" w:rsidR="00827144">
        <w:rPr>
          <w:rFonts w:ascii="Times New Roman" w:hAnsi="Times New Roman" w:cs="Times New Roman"/>
        </w:rPr>
        <w:t xml:space="preserve"> costs of chemical accidents</w:t>
      </w:r>
      <w:r>
        <w:rPr>
          <w:rFonts w:ascii="Times New Roman" w:hAnsi="Times New Roman" w:cs="Times New Roman"/>
        </w:rPr>
        <w:t>. However</w:t>
      </w:r>
      <w:r w:rsidR="00285EF8">
        <w:rPr>
          <w:rFonts w:ascii="Times New Roman" w:hAnsi="Times New Roman" w:cs="Times New Roman"/>
        </w:rPr>
        <w:t>,</w:t>
      </w:r>
      <w:r w:rsidRPr="00A934BE" w:rsidR="00827144">
        <w:rPr>
          <w:rFonts w:ascii="Times New Roman" w:hAnsi="Times New Roman" w:cs="Times New Roman"/>
        </w:rPr>
        <w:t xml:space="preserve"> there are </w:t>
      </w:r>
      <w:r w:rsidR="00827144">
        <w:rPr>
          <w:rFonts w:ascii="Times New Roman" w:hAnsi="Times New Roman" w:cs="Times New Roman"/>
        </w:rPr>
        <w:t xml:space="preserve">many other important </w:t>
      </w:r>
      <w:r w:rsidR="00703307">
        <w:rPr>
          <w:rFonts w:ascii="Times New Roman" w:hAnsi="Times New Roman" w:cs="Times New Roman"/>
        </w:rPr>
        <w:t xml:space="preserve">impact and cost </w:t>
      </w:r>
      <w:r w:rsidR="00827144">
        <w:rPr>
          <w:rFonts w:ascii="Times New Roman" w:hAnsi="Times New Roman" w:cs="Times New Roman"/>
        </w:rPr>
        <w:t xml:space="preserve">categories </w:t>
      </w:r>
      <w:r w:rsidR="00703307">
        <w:rPr>
          <w:rFonts w:ascii="Times New Roman" w:hAnsi="Times New Roman" w:cs="Times New Roman"/>
        </w:rPr>
        <w:t xml:space="preserve">of accidents </w:t>
      </w:r>
      <w:r w:rsidR="00827144">
        <w:rPr>
          <w:rFonts w:ascii="Times New Roman" w:hAnsi="Times New Roman" w:cs="Times New Roman"/>
        </w:rPr>
        <w:t xml:space="preserve">that EPA was unable to monetize. </w:t>
      </w:r>
      <w:r w:rsidR="00827144">
        <w:rPr>
          <w:rFonts w:ascii="Times New Roman" w:eastAsia="Calibri" w:hAnsi="Times New Roman" w:cs="Times New Roman"/>
        </w:rPr>
        <w:t>These include:</w:t>
      </w:r>
    </w:p>
    <w:p w:rsidR="00BB6C2D" w:rsidP="00BB6C2D" w14:paraId="6D6206FB" w14:textId="77777777">
      <w:pPr>
        <w:spacing w:after="0" w:line="240" w:lineRule="auto"/>
        <w:rPr>
          <w:rFonts w:ascii="Times New Roman" w:eastAsia="Calibri" w:hAnsi="Times New Roman" w:cs="Times New Roman"/>
        </w:rPr>
      </w:pPr>
    </w:p>
    <w:p w:rsidR="00BB6C2D" w:rsidP="00082826" w14:paraId="64B2B5CE" w14:textId="77777777">
      <w:pPr>
        <w:pStyle w:val="ListParagraph"/>
        <w:numPr>
          <w:ilvl w:val="1"/>
          <w:numId w:val="24"/>
        </w:numPr>
        <w:spacing w:after="0" w:line="240" w:lineRule="auto"/>
        <w:rPr>
          <w:rFonts w:ascii="Times New Roman" w:eastAsia="Calibri" w:hAnsi="Times New Roman" w:cs="Times New Roman"/>
        </w:rPr>
      </w:pPr>
      <w:r>
        <w:rPr>
          <w:rFonts w:ascii="Times New Roman" w:eastAsia="Calibri" w:hAnsi="Times New Roman" w:cs="Times New Roman"/>
        </w:rPr>
        <w:t>Damages related to major catastrophic releases</w:t>
      </w:r>
    </w:p>
    <w:p w:rsidR="00BB6C2D" w:rsidP="00082826" w14:paraId="36F58BF5" w14:textId="1C9C213C">
      <w:pPr>
        <w:pStyle w:val="ListParagraph"/>
        <w:numPr>
          <w:ilvl w:val="1"/>
          <w:numId w:val="24"/>
        </w:numPr>
        <w:spacing w:after="0" w:line="240" w:lineRule="auto"/>
        <w:rPr>
          <w:rFonts w:ascii="Times New Roman" w:eastAsia="Calibri" w:hAnsi="Times New Roman" w:cs="Times New Roman"/>
        </w:rPr>
      </w:pPr>
      <w:r>
        <w:rPr>
          <w:rFonts w:ascii="Times New Roman" w:eastAsia="Calibri" w:hAnsi="Times New Roman" w:cs="Times New Roman"/>
        </w:rPr>
        <w:t xml:space="preserve">Potential </w:t>
      </w:r>
      <w:r>
        <w:rPr>
          <w:rFonts w:ascii="Times New Roman" w:eastAsia="Calibri" w:hAnsi="Times New Roman" w:cs="Times New Roman"/>
        </w:rPr>
        <w:t>health risks from</w:t>
      </w:r>
      <w:r w:rsidR="008B1319">
        <w:rPr>
          <w:rFonts w:ascii="Times New Roman" w:eastAsia="Calibri" w:hAnsi="Times New Roman" w:cs="Times New Roman"/>
        </w:rPr>
        <w:t xml:space="preserve"> exposure to</w:t>
      </w:r>
      <w:r>
        <w:rPr>
          <w:rFonts w:ascii="Times New Roman" w:eastAsia="Calibri" w:hAnsi="Times New Roman" w:cs="Times New Roman"/>
        </w:rPr>
        <w:t xml:space="preserve"> toxic chemicals</w:t>
      </w:r>
    </w:p>
    <w:p w:rsidR="00BB6C2D" w:rsidRPr="004C0240" w:rsidP="00082826" w14:paraId="050713F8" w14:textId="77777777">
      <w:pPr>
        <w:pStyle w:val="ListParagraph"/>
        <w:numPr>
          <w:ilvl w:val="1"/>
          <w:numId w:val="24"/>
        </w:numPr>
        <w:spacing w:after="0" w:line="240" w:lineRule="auto"/>
        <w:rPr>
          <w:rFonts w:ascii="Times New Roman" w:eastAsia="Calibri" w:hAnsi="Times New Roman" w:cs="Times New Roman"/>
        </w:rPr>
      </w:pPr>
      <w:r w:rsidRPr="004C0240">
        <w:rPr>
          <w:rFonts w:ascii="Times New Roman" w:eastAsia="Calibri" w:hAnsi="Times New Roman" w:cs="Times New Roman"/>
        </w:rPr>
        <w:t>Lost productivity at affected facilities</w:t>
      </w:r>
    </w:p>
    <w:p w:rsidR="00BB6C2D" w:rsidRPr="004C0240" w:rsidP="00082826" w14:paraId="7B95BC06" w14:textId="77777777">
      <w:pPr>
        <w:pStyle w:val="ListParagraph"/>
        <w:numPr>
          <w:ilvl w:val="1"/>
          <w:numId w:val="24"/>
        </w:numPr>
        <w:spacing w:after="0" w:line="240" w:lineRule="auto"/>
        <w:rPr>
          <w:rFonts w:ascii="Times New Roman" w:eastAsia="Calibri" w:hAnsi="Times New Roman" w:cs="Times New Roman"/>
        </w:rPr>
      </w:pPr>
      <w:r w:rsidRPr="004C0240">
        <w:rPr>
          <w:rFonts w:ascii="Times New Roman" w:eastAsia="Calibri" w:hAnsi="Times New Roman" w:cs="Times New Roman"/>
        </w:rPr>
        <w:t>Emergency response costs</w:t>
      </w:r>
    </w:p>
    <w:p w:rsidR="00BB6C2D" w:rsidRPr="004C0240" w:rsidP="00082826" w14:paraId="3A5B3574" w14:textId="77777777">
      <w:pPr>
        <w:pStyle w:val="ListParagraph"/>
        <w:numPr>
          <w:ilvl w:val="1"/>
          <w:numId w:val="24"/>
        </w:numPr>
        <w:spacing w:after="0" w:line="240" w:lineRule="auto"/>
        <w:rPr>
          <w:rFonts w:ascii="Times New Roman" w:eastAsia="Calibri" w:hAnsi="Times New Roman" w:cs="Times New Roman"/>
        </w:rPr>
      </w:pPr>
      <w:r w:rsidRPr="004C0240">
        <w:rPr>
          <w:rFonts w:ascii="Times New Roman" w:eastAsia="Calibri" w:hAnsi="Times New Roman" w:cs="Times New Roman"/>
        </w:rPr>
        <w:t>Transactions costs from potential subsequent legal battles</w:t>
      </w:r>
    </w:p>
    <w:p w:rsidR="00BB6C2D" w:rsidRPr="004C0240" w:rsidP="00082826" w14:paraId="581E85F8" w14:textId="77777777">
      <w:pPr>
        <w:pStyle w:val="ListParagraph"/>
        <w:numPr>
          <w:ilvl w:val="1"/>
          <w:numId w:val="24"/>
        </w:numPr>
        <w:spacing w:after="0" w:line="240" w:lineRule="auto"/>
        <w:rPr>
          <w:rFonts w:ascii="Times New Roman" w:eastAsia="Calibri" w:hAnsi="Times New Roman" w:cs="Times New Roman"/>
        </w:rPr>
      </w:pPr>
      <w:r w:rsidRPr="004C0240">
        <w:rPr>
          <w:rFonts w:ascii="Times New Roman" w:eastAsia="Calibri" w:hAnsi="Times New Roman" w:cs="Times New Roman"/>
        </w:rPr>
        <w:t>Property value losses in nearby neighborhoods</w:t>
      </w:r>
    </w:p>
    <w:p w:rsidR="00BB6C2D" w:rsidP="00082826" w14:paraId="26066B57" w14:textId="77777777">
      <w:pPr>
        <w:pStyle w:val="ListParagraph"/>
        <w:numPr>
          <w:ilvl w:val="1"/>
          <w:numId w:val="24"/>
        </w:numPr>
        <w:spacing w:after="0" w:line="240" w:lineRule="auto"/>
        <w:rPr>
          <w:rFonts w:ascii="Times New Roman" w:eastAsia="Calibri" w:hAnsi="Times New Roman" w:cs="Times New Roman"/>
        </w:rPr>
      </w:pPr>
      <w:r w:rsidRPr="004C0240">
        <w:rPr>
          <w:rFonts w:ascii="Times New Roman" w:eastAsia="Calibri" w:hAnsi="Times New Roman" w:cs="Times New Roman"/>
        </w:rPr>
        <w:t>Environmental damage</w:t>
      </w:r>
    </w:p>
    <w:p w:rsidR="00436CBD" w:rsidP="00082826" w14:paraId="5F509FD3" w14:textId="77777777">
      <w:pPr>
        <w:pStyle w:val="ListParagraph"/>
        <w:numPr>
          <w:ilvl w:val="1"/>
          <w:numId w:val="24"/>
        </w:numPr>
        <w:spacing w:after="0" w:line="240" w:lineRule="auto"/>
        <w:rPr>
          <w:rFonts w:ascii="Times New Roman" w:eastAsia="Calibri" w:hAnsi="Times New Roman" w:cs="Times New Roman"/>
        </w:rPr>
      </w:pPr>
      <w:r>
        <w:rPr>
          <w:rFonts w:ascii="Times New Roman" w:eastAsia="Calibri" w:hAnsi="Times New Roman" w:cs="Times New Roman"/>
        </w:rPr>
        <w:t>Unquantified costs of evacuation and sheltering-in-place events</w:t>
      </w:r>
      <w:r w:rsidR="00631FA2">
        <w:rPr>
          <w:rFonts w:ascii="Times New Roman" w:eastAsia="Calibri" w:hAnsi="Times New Roman" w:cs="Times New Roman"/>
        </w:rPr>
        <w:t>.</w:t>
      </w:r>
    </w:p>
    <w:p w:rsidR="003969A8" w:rsidRPr="00DA58AF" w:rsidP="00DA58AF" w14:paraId="33105CD6" w14:textId="77777777">
      <w:pPr>
        <w:spacing w:after="0" w:line="240" w:lineRule="auto"/>
        <w:ind w:left="1080"/>
        <w:rPr>
          <w:rFonts w:ascii="Times New Roman" w:eastAsia="Calibri" w:hAnsi="Times New Roman" w:cs="Times New Roman"/>
        </w:rPr>
      </w:pPr>
    </w:p>
    <w:p w:rsidR="00BB6C2D" w:rsidP="00BB6C2D" w14:paraId="72E75A25" w14:textId="37ED9D54">
      <w:pPr>
        <w:pStyle w:val="ListParagraph"/>
        <w:spacing w:after="0" w:line="240" w:lineRule="auto"/>
        <w:rPr>
          <w:rFonts w:ascii="Times New Roman" w:eastAsia="Calibri" w:hAnsi="Times New Roman" w:cs="Times New Roman"/>
        </w:rPr>
      </w:pPr>
      <w:r>
        <w:rPr>
          <w:rFonts w:ascii="Times New Roman" w:eastAsia="Calibri" w:hAnsi="Times New Roman" w:cs="Times New Roman"/>
        </w:rPr>
        <w:t>E</w:t>
      </w:r>
      <w:r w:rsidR="00827144">
        <w:rPr>
          <w:rFonts w:ascii="Times New Roman" w:eastAsia="Calibri" w:hAnsi="Times New Roman" w:cs="Times New Roman"/>
        </w:rPr>
        <w:t>ach of the categories listed above is explained in detail in Chapter 6</w:t>
      </w:r>
      <w:r w:rsidR="00285EF8">
        <w:rPr>
          <w:rFonts w:ascii="Times New Roman" w:eastAsia="Calibri" w:hAnsi="Times New Roman" w:cs="Times New Roman"/>
        </w:rPr>
        <w:t>,</w:t>
      </w:r>
      <w:r w:rsidR="00827144">
        <w:rPr>
          <w:rFonts w:ascii="Times New Roman" w:eastAsia="Calibri" w:hAnsi="Times New Roman" w:cs="Times New Roman"/>
        </w:rPr>
        <w:t xml:space="preserve"> Section 6.2</w:t>
      </w:r>
      <w:r w:rsidR="00827144">
        <w:rPr>
          <w:rFonts w:ascii="Times New Roman" w:hAnsi="Times New Roman" w:cs="Times New Roman"/>
        </w:rPr>
        <w:t>.</w:t>
      </w:r>
    </w:p>
    <w:p w:rsidR="00BB6C2D" w:rsidP="00F03CB7" w14:paraId="307A3F4B" w14:textId="77777777">
      <w:pPr>
        <w:spacing w:after="0" w:line="240" w:lineRule="auto"/>
        <w:ind w:firstLine="720"/>
        <w:rPr>
          <w:rFonts w:ascii="Times New Roman" w:hAnsi="Times New Roman" w:cs="Times New Roman"/>
        </w:rPr>
      </w:pPr>
    </w:p>
    <w:p w:rsidR="00093C0A" w:rsidRPr="00587204" w:rsidP="00C07306" w14:paraId="5CDAF1D7" w14:textId="77777777">
      <w:pPr>
        <w:pStyle w:val="Heading2"/>
      </w:pPr>
      <w:bookmarkStart w:id="147" w:name="_Toc98856211"/>
      <w:bookmarkStart w:id="148" w:name="_Toc144303531"/>
      <w:r w:rsidRPr="00587204">
        <w:t>3.</w:t>
      </w:r>
      <w:r w:rsidR="00EC2D22">
        <w:t>3</w:t>
      </w:r>
      <w:r w:rsidRPr="00587204">
        <w:t xml:space="preserve"> Limitations</w:t>
      </w:r>
      <w:bookmarkEnd w:id="147"/>
      <w:bookmarkEnd w:id="148"/>
    </w:p>
    <w:p w:rsidR="00093C0A" w:rsidP="00305374" w14:paraId="567CBDE4" w14:textId="77777777">
      <w:pPr>
        <w:spacing w:after="0" w:line="240" w:lineRule="auto"/>
        <w:ind w:firstLine="360"/>
        <w:rPr>
          <w:rFonts w:ascii="Times New Roman" w:eastAsia="Calibri" w:hAnsi="Times New Roman" w:cs="Times New Roman"/>
        </w:rPr>
      </w:pPr>
      <w:r>
        <w:rPr>
          <w:rFonts w:ascii="Times New Roman" w:eastAsia="Calibri" w:hAnsi="Times New Roman" w:cs="Times New Roman"/>
        </w:rPr>
        <w:tab/>
      </w:r>
      <w:r w:rsidRPr="00587204" w:rsidR="00141984">
        <w:rPr>
          <w:rFonts w:ascii="Times New Roman" w:eastAsia="Calibri" w:hAnsi="Times New Roman" w:cs="Times New Roman"/>
        </w:rPr>
        <w:t xml:space="preserve">While it </w:t>
      </w:r>
      <w:r w:rsidRPr="00587204" w:rsidR="00E9299D">
        <w:rPr>
          <w:rFonts w:ascii="Times New Roman" w:eastAsia="Calibri" w:hAnsi="Times New Roman" w:cs="Times New Roman"/>
        </w:rPr>
        <w:t xml:space="preserve">is </w:t>
      </w:r>
      <w:r w:rsidRPr="00587204" w:rsidR="00141984">
        <w:rPr>
          <w:rFonts w:ascii="Times New Roman" w:eastAsia="Calibri" w:hAnsi="Times New Roman" w:cs="Times New Roman"/>
        </w:rPr>
        <w:t>standard practice fo</w:t>
      </w:r>
      <w:r w:rsidRPr="00587204" w:rsidR="00F95E96">
        <w:rPr>
          <w:rFonts w:ascii="Times New Roman" w:eastAsia="Calibri" w:hAnsi="Times New Roman" w:cs="Times New Roman"/>
        </w:rPr>
        <w:t xml:space="preserve">r EPA to assume </w:t>
      </w:r>
      <w:r w:rsidRPr="00587204">
        <w:rPr>
          <w:rFonts w:ascii="Times New Roman" w:eastAsia="Calibri" w:hAnsi="Times New Roman" w:cs="Times New Roman"/>
        </w:rPr>
        <w:t xml:space="preserve">that every facility subject to the RMP </w:t>
      </w:r>
      <w:r w:rsidR="009644D8">
        <w:rPr>
          <w:rFonts w:ascii="Times New Roman" w:eastAsia="Calibri" w:hAnsi="Times New Roman" w:cs="Times New Roman"/>
        </w:rPr>
        <w:t>r</w:t>
      </w:r>
      <w:r w:rsidRPr="00587204">
        <w:rPr>
          <w:rFonts w:ascii="Times New Roman" w:eastAsia="Calibri" w:hAnsi="Times New Roman" w:cs="Times New Roman"/>
        </w:rPr>
        <w:t>ule has registered with EPA and filed an RMP</w:t>
      </w:r>
      <w:r w:rsidR="00F52C87">
        <w:rPr>
          <w:rFonts w:ascii="Times New Roman" w:eastAsia="Calibri" w:hAnsi="Times New Roman" w:cs="Times New Roman"/>
        </w:rPr>
        <w:t>,</w:t>
      </w:r>
      <w:r w:rsidRPr="00587204">
        <w:rPr>
          <w:rFonts w:ascii="Times New Roman" w:eastAsia="Calibri" w:hAnsi="Times New Roman" w:cs="Times New Roman"/>
        </w:rPr>
        <w:t xml:space="preserve"> EPA recognizes that </w:t>
      </w:r>
      <w:r w:rsidRPr="00587204" w:rsidR="0030268C">
        <w:rPr>
          <w:rFonts w:ascii="Times New Roman" w:eastAsia="Calibri" w:hAnsi="Times New Roman" w:cs="Times New Roman"/>
        </w:rPr>
        <w:t>assumption</w:t>
      </w:r>
      <w:r w:rsidRPr="00587204">
        <w:rPr>
          <w:rFonts w:ascii="Times New Roman" w:eastAsia="Calibri" w:hAnsi="Times New Roman" w:cs="Times New Roman"/>
        </w:rPr>
        <w:t xml:space="preserve"> may not be accurate. EPA and delegated implementing agencies search for and occasionally identify RMP facilities that have failed to submit RMPs. Historically, relatively few of these “non-filers” have been found, but EPA </w:t>
      </w:r>
      <w:r w:rsidRPr="00587204" w:rsidR="0003075F">
        <w:rPr>
          <w:rFonts w:ascii="Times New Roman" w:eastAsia="Calibri" w:hAnsi="Times New Roman" w:cs="Times New Roman"/>
        </w:rPr>
        <w:t xml:space="preserve">is unable to </w:t>
      </w:r>
      <w:r w:rsidRPr="00587204">
        <w:rPr>
          <w:rFonts w:ascii="Times New Roman" w:eastAsia="Calibri" w:hAnsi="Times New Roman" w:cs="Times New Roman"/>
        </w:rPr>
        <w:t>determin</w:t>
      </w:r>
      <w:r w:rsidRPr="00587204" w:rsidR="0003075F">
        <w:rPr>
          <w:rFonts w:ascii="Times New Roman" w:eastAsia="Calibri" w:hAnsi="Times New Roman" w:cs="Times New Roman"/>
        </w:rPr>
        <w:t>e</w:t>
      </w:r>
      <w:r w:rsidRPr="00587204">
        <w:rPr>
          <w:rFonts w:ascii="Times New Roman" w:eastAsia="Calibri" w:hAnsi="Times New Roman" w:cs="Times New Roman"/>
        </w:rPr>
        <w:t xml:space="preserve"> the full extent of non-compliance. </w:t>
      </w:r>
      <w:r w:rsidRPr="00587204" w:rsidR="004A505E">
        <w:rPr>
          <w:rFonts w:ascii="Times New Roman" w:eastAsia="Calibri" w:hAnsi="Times New Roman" w:cs="Times New Roman"/>
        </w:rPr>
        <w:t>In addition, EPA recognizes that</w:t>
      </w:r>
      <w:r w:rsidRPr="00587204">
        <w:rPr>
          <w:rFonts w:ascii="Times New Roman" w:eastAsia="Calibri" w:hAnsi="Times New Roman" w:cs="Times New Roman"/>
        </w:rPr>
        <w:t xml:space="preserve"> the RMP </w:t>
      </w:r>
      <w:r w:rsidRPr="00587204" w:rsidR="00043AFE">
        <w:rPr>
          <w:rFonts w:ascii="Times New Roman" w:eastAsia="Calibri" w:hAnsi="Times New Roman" w:cs="Times New Roman"/>
        </w:rPr>
        <w:t>D</w:t>
      </w:r>
      <w:r w:rsidRPr="00587204">
        <w:rPr>
          <w:rFonts w:ascii="Times New Roman" w:eastAsia="Calibri" w:hAnsi="Times New Roman" w:cs="Times New Roman"/>
        </w:rPr>
        <w:t>atabase may include facilities that are no longer operational</w:t>
      </w:r>
      <w:r w:rsidRPr="00587204" w:rsidR="004A505E">
        <w:rPr>
          <w:rFonts w:ascii="Times New Roman" w:eastAsia="Calibri" w:hAnsi="Times New Roman" w:cs="Times New Roman"/>
        </w:rPr>
        <w:t xml:space="preserve"> after</w:t>
      </w:r>
      <w:r w:rsidRPr="00587204" w:rsidR="00FD3285">
        <w:rPr>
          <w:rFonts w:ascii="Times New Roman" w:eastAsia="Calibri" w:hAnsi="Times New Roman" w:cs="Times New Roman"/>
        </w:rPr>
        <w:t xml:space="preserve"> December 31, 2020</w:t>
      </w:r>
      <w:r w:rsidR="0007323A">
        <w:rPr>
          <w:rFonts w:ascii="Times New Roman" w:eastAsia="Calibri" w:hAnsi="Times New Roman" w:cs="Times New Roman"/>
        </w:rPr>
        <w:t>,</w:t>
      </w:r>
      <w:r w:rsidRPr="00587204">
        <w:rPr>
          <w:rFonts w:ascii="Times New Roman" w:eastAsia="Calibri" w:hAnsi="Times New Roman" w:cs="Times New Roman"/>
        </w:rPr>
        <w:t xml:space="preserve"> but failed to follow the requirements to deregister.  </w:t>
      </w:r>
    </w:p>
    <w:p w:rsidR="00BA064B" w:rsidP="00305374" w14:paraId="0A8DA62E" w14:textId="77777777">
      <w:pPr>
        <w:spacing w:after="0" w:line="240" w:lineRule="auto"/>
        <w:ind w:firstLine="360"/>
        <w:rPr>
          <w:rFonts w:ascii="Times New Roman" w:eastAsia="Calibri" w:hAnsi="Times New Roman" w:cs="Times New Roman"/>
        </w:rPr>
      </w:pPr>
    </w:p>
    <w:p w:rsidR="0075046B" w:rsidRPr="00587204" w:rsidP="00E7541B" w14:paraId="772CD7B9" w14:textId="77777777">
      <w:pPr>
        <w:spacing w:after="0" w:line="240" w:lineRule="auto"/>
        <w:ind w:firstLine="360"/>
        <w:rPr>
          <w:rFonts w:ascii="Times New Roman" w:eastAsia="Calibri" w:hAnsi="Times New Roman" w:cs="Times New Roman"/>
        </w:rPr>
      </w:pPr>
      <w:r>
        <w:rPr>
          <w:rFonts w:ascii="Times New Roman" w:eastAsia="Calibri" w:hAnsi="Times New Roman" w:cs="Times New Roman"/>
        </w:rPr>
        <w:tab/>
      </w:r>
      <w:r w:rsidRPr="00587204" w:rsidR="00093C0A">
        <w:rPr>
          <w:rFonts w:ascii="Times New Roman" w:eastAsia="Calibri" w:hAnsi="Times New Roman" w:cs="Times New Roman"/>
        </w:rPr>
        <w:t>The number</w:t>
      </w:r>
      <w:r w:rsidRPr="00587204" w:rsidR="00FD3285">
        <w:rPr>
          <w:rFonts w:ascii="Times New Roman" w:eastAsia="Calibri" w:hAnsi="Times New Roman" w:cs="Times New Roman"/>
        </w:rPr>
        <w:t>s</w:t>
      </w:r>
      <w:r w:rsidRPr="00587204" w:rsidR="00093C0A">
        <w:rPr>
          <w:rFonts w:ascii="Times New Roman" w:eastAsia="Calibri" w:hAnsi="Times New Roman" w:cs="Times New Roman"/>
        </w:rPr>
        <w:t xml:space="preserve"> of RMP facilities and processes </w:t>
      </w:r>
      <w:r w:rsidRPr="00587204" w:rsidR="00FD3285">
        <w:rPr>
          <w:rFonts w:ascii="Times New Roman" w:eastAsia="Calibri" w:hAnsi="Times New Roman" w:cs="Times New Roman"/>
        </w:rPr>
        <w:t>are</w:t>
      </w:r>
      <w:r w:rsidRPr="00587204" w:rsidR="00093C0A">
        <w:rPr>
          <w:rFonts w:ascii="Times New Roman" w:eastAsia="Calibri" w:hAnsi="Times New Roman" w:cs="Times New Roman"/>
        </w:rPr>
        <w:t xml:space="preserve"> expected to change over the period of analysis because firms will grow, shrink, close, or open in the near or distant future. Despite these expected changes and other limitations, </w:t>
      </w:r>
      <w:r w:rsidRPr="00587204" w:rsidR="00440F89">
        <w:rPr>
          <w:rFonts w:ascii="Times New Roman" w:eastAsia="Calibri" w:hAnsi="Times New Roman" w:cs="Times New Roman"/>
        </w:rPr>
        <w:t>t</w:t>
      </w:r>
      <w:r w:rsidRPr="00587204" w:rsidR="00093C0A">
        <w:rPr>
          <w:rFonts w:ascii="Times New Roman" w:eastAsia="Calibri" w:hAnsi="Times New Roman" w:cs="Times New Roman"/>
        </w:rPr>
        <w:t xml:space="preserve">he analysis relies on the number and nature of RMP facilities and processes </w:t>
      </w:r>
      <w:r w:rsidRPr="00587204" w:rsidR="0003075F">
        <w:rPr>
          <w:rFonts w:ascii="Times New Roman" w:eastAsia="Calibri" w:hAnsi="Times New Roman" w:cs="Times New Roman"/>
        </w:rPr>
        <w:t xml:space="preserve">in the RMP Database as </w:t>
      </w:r>
      <w:r w:rsidRPr="00587204" w:rsidR="00093C0A">
        <w:rPr>
          <w:rFonts w:ascii="Times New Roman" w:eastAsia="Calibri" w:hAnsi="Times New Roman" w:cs="Times New Roman"/>
        </w:rPr>
        <w:t>of December 31, 2020, using the August 1, 2021</w:t>
      </w:r>
      <w:r w:rsidRPr="00587204" w:rsidR="00BF6585">
        <w:rPr>
          <w:rFonts w:ascii="Times New Roman" w:eastAsia="Calibri" w:hAnsi="Times New Roman" w:cs="Times New Roman"/>
        </w:rPr>
        <w:t>,</w:t>
      </w:r>
      <w:r w:rsidRPr="00587204" w:rsidR="00093C0A">
        <w:rPr>
          <w:rFonts w:ascii="Times New Roman" w:eastAsia="Calibri" w:hAnsi="Times New Roman" w:cs="Times New Roman"/>
        </w:rPr>
        <w:t xml:space="preserve"> RMP </w:t>
      </w:r>
      <w:r w:rsidRPr="00587204" w:rsidR="006B15C9">
        <w:rPr>
          <w:rFonts w:ascii="Times New Roman" w:eastAsia="Calibri" w:hAnsi="Times New Roman" w:cs="Times New Roman"/>
        </w:rPr>
        <w:t>D</w:t>
      </w:r>
      <w:r w:rsidRPr="00587204" w:rsidR="00093C0A">
        <w:rPr>
          <w:rFonts w:ascii="Times New Roman" w:eastAsia="Calibri" w:hAnsi="Times New Roman" w:cs="Times New Roman"/>
        </w:rPr>
        <w:t xml:space="preserve">atabase as a constant estimate of future RMP facilities/processes. EPA selected this database version </w:t>
      </w:r>
      <w:r w:rsidRPr="00587204" w:rsidR="0051061F">
        <w:rPr>
          <w:rFonts w:ascii="Times New Roman" w:eastAsia="Calibri" w:hAnsi="Times New Roman" w:cs="Times New Roman"/>
        </w:rPr>
        <w:t xml:space="preserve">to reflect the most recent information about RMP facility numbers and characteristics and </w:t>
      </w:r>
      <w:r w:rsidRPr="00587204" w:rsidR="00440F89">
        <w:rPr>
          <w:rFonts w:ascii="Times New Roman" w:eastAsia="Calibri" w:hAnsi="Times New Roman" w:cs="Times New Roman"/>
        </w:rPr>
        <w:t>because</w:t>
      </w:r>
      <w:r w:rsidRPr="00587204" w:rsidR="00093C0A">
        <w:rPr>
          <w:rFonts w:ascii="Times New Roman" w:eastAsia="Calibri" w:hAnsi="Times New Roman" w:cs="Times New Roman"/>
        </w:rPr>
        <w:t xml:space="preserve"> facilities are required to report accidents within six months</w:t>
      </w:r>
      <w:r w:rsidRPr="00587204" w:rsidR="00E53B06">
        <w:rPr>
          <w:rFonts w:ascii="Times New Roman" w:eastAsia="Calibri" w:hAnsi="Times New Roman" w:cs="Times New Roman"/>
        </w:rPr>
        <w:t>;</w:t>
      </w:r>
      <w:r w:rsidRPr="00587204" w:rsidR="00093C0A">
        <w:rPr>
          <w:rFonts w:ascii="Times New Roman" w:eastAsia="Calibri" w:hAnsi="Times New Roman" w:cs="Times New Roman"/>
        </w:rPr>
        <w:t xml:space="preserve"> therefore, a cutoff date of August 1, 2021</w:t>
      </w:r>
      <w:r w:rsidRPr="00587204" w:rsidR="00BF6585">
        <w:rPr>
          <w:rFonts w:ascii="Times New Roman" w:eastAsia="Calibri" w:hAnsi="Times New Roman" w:cs="Times New Roman"/>
        </w:rPr>
        <w:t>,</w:t>
      </w:r>
      <w:r w:rsidRPr="00587204" w:rsidR="00093C0A">
        <w:rPr>
          <w:rFonts w:ascii="Times New Roman" w:eastAsia="Calibri" w:hAnsi="Times New Roman" w:cs="Times New Roman"/>
        </w:rPr>
        <w:t xml:space="preserve"> should include all facilities reporting accidents as of December 31, 2020. </w:t>
      </w:r>
      <w:r w:rsidRPr="00587204" w:rsidR="00130541">
        <w:rPr>
          <w:rFonts w:ascii="Times New Roman" w:eastAsia="Calibri" w:hAnsi="Times New Roman" w:cs="Times New Roman"/>
        </w:rPr>
        <w:t xml:space="preserve">However, some facilities may have not reported </w:t>
      </w:r>
      <w:r w:rsidRPr="00587204" w:rsidR="00E53B06">
        <w:rPr>
          <w:rFonts w:ascii="Times New Roman" w:eastAsia="Calibri" w:hAnsi="Times New Roman" w:cs="Times New Roman"/>
        </w:rPr>
        <w:t xml:space="preserve">their </w:t>
      </w:r>
      <w:r w:rsidRPr="00587204" w:rsidR="00130541">
        <w:rPr>
          <w:rFonts w:ascii="Times New Roman" w:eastAsia="Calibri" w:hAnsi="Times New Roman" w:cs="Times New Roman"/>
        </w:rPr>
        <w:t>accidents</w:t>
      </w:r>
      <w:r w:rsidRPr="00587204" w:rsidR="00E53B06">
        <w:rPr>
          <w:rFonts w:ascii="Times New Roman" w:eastAsia="Calibri" w:hAnsi="Times New Roman" w:cs="Times New Roman"/>
        </w:rPr>
        <w:t xml:space="preserve"> as they are</w:t>
      </w:r>
      <w:r w:rsidRPr="00587204" w:rsidR="00130541">
        <w:rPr>
          <w:rFonts w:ascii="Times New Roman" w:eastAsia="Calibri" w:hAnsi="Times New Roman" w:cs="Times New Roman"/>
        </w:rPr>
        <w:t xml:space="preserve"> required</w:t>
      </w:r>
      <w:r w:rsidRPr="00587204" w:rsidR="00E53B06">
        <w:rPr>
          <w:rFonts w:ascii="Times New Roman" w:eastAsia="Calibri" w:hAnsi="Times New Roman" w:cs="Times New Roman"/>
        </w:rPr>
        <w:t xml:space="preserve"> to do.</w:t>
      </w:r>
      <w:r w:rsidRPr="00587204">
        <w:rPr>
          <w:rFonts w:ascii="Times New Roman" w:eastAsia="Calibri" w:hAnsi="Times New Roman" w:cs="Times New Roman"/>
        </w:rPr>
        <w:br w:type="page"/>
      </w:r>
    </w:p>
    <w:p w:rsidR="00C5384D" w:rsidRPr="007B78B6" w:rsidP="000409BE" w14:paraId="0E5CCA13" w14:textId="77777777">
      <w:pPr>
        <w:pStyle w:val="Heading1"/>
      </w:pPr>
      <w:bookmarkStart w:id="149" w:name="_Toc98856212"/>
      <w:bookmarkStart w:id="150" w:name="_Toc144303532"/>
      <w:r w:rsidRPr="007B78B6">
        <w:t>CHAPTER 4</w:t>
      </w:r>
      <w:r w:rsidR="00BF42A8">
        <w:t>:</w:t>
      </w:r>
      <w:r w:rsidRPr="007B78B6">
        <w:t xml:space="preserve"> Costs of </w:t>
      </w:r>
      <w:r w:rsidR="00D36D3D">
        <w:t>Final</w:t>
      </w:r>
      <w:r w:rsidR="0065012C">
        <w:t xml:space="preserve"> </w:t>
      </w:r>
      <w:r w:rsidRPr="007B78B6">
        <w:t>Rule Revisions</w:t>
      </w:r>
      <w:bookmarkEnd w:id="149"/>
      <w:bookmarkEnd w:id="150"/>
    </w:p>
    <w:p w:rsidR="005813C2" w:rsidP="00DB08C1" w14:paraId="18C0E3BE" w14:textId="1CA02F20">
      <w:pPr>
        <w:spacing w:after="0" w:line="240" w:lineRule="auto"/>
        <w:ind w:firstLine="360"/>
        <w:rPr>
          <w:rFonts w:ascii="Times New Roman" w:hAnsi="Times New Roman" w:cs="Times New Roman"/>
        </w:rPr>
      </w:pPr>
      <w:r>
        <w:rPr>
          <w:rFonts w:ascii="Times New Roman" w:hAnsi="Times New Roman" w:cs="Times New Roman"/>
        </w:rPr>
        <w:tab/>
      </w:r>
      <w:r w:rsidRPr="004D4B61" w:rsidR="00C5384D">
        <w:rPr>
          <w:rFonts w:ascii="Times New Roman" w:hAnsi="Times New Roman" w:cs="Times New Roman"/>
        </w:rPr>
        <w:t xml:space="preserve">This chapter outlines the assumptions </w:t>
      </w:r>
      <w:r w:rsidRPr="004D4B61" w:rsidR="00E53B06">
        <w:rPr>
          <w:rFonts w:ascii="Times New Roman" w:hAnsi="Times New Roman" w:cs="Times New Roman"/>
        </w:rPr>
        <w:t xml:space="preserve">EPA </w:t>
      </w:r>
      <w:r w:rsidRPr="004D4B61" w:rsidR="00C5384D">
        <w:rPr>
          <w:rFonts w:ascii="Times New Roman" w:hAnsi="Times New Roman" w:cs="Times New Roman"/>
        </w:rPr>
        <w:t xml:space="preserve">used to estimate the incremental costs of the </w:t>
      </w:r>
      <w:r w:rsidR="002D42B6">
        <w:rPr>
          <w:rFonts w:ascii="Times New Roman" w:hAnsi="Times New Roman" w:cs="Times New Roman"/>
        </w:rPr>
        <w:t>final rule</w:t>
      </w:r>
      <w:r w:rsidRPr="004D4B61" w:rsidR="0065012C">
        <w:rPr>
          <w:rFonts w:ascii="Times New Roman" w:hAnsi="Times New Roman" w:cs="Times New Roman"/>
        </w:rPr>
        <w:t xml:space="preserve"> </w:t>
      </w:r>
      <w:r w:rsidRPr="004D4B61" w:rsidR="00C5384D">
        <w:rPr>
          <w:rFonts w:ascii="Times New Roman" w:hAnsi="Times New Roman" w:cs="Times New Roman"/>
        </w:rPr>
        <w:t xml:space="preserve">revisions to the </w:t>
      </w:r>
      <w:r w:rsidR="00780347">
        <w:rPr>
          <w:rFonts w:ascii="Times New Roman" w:hAnsi="Times New Roman" w:cs="Times New Roman"/>
        </w:rPr>
        <w:t>RMP</w:t>
      </w:r>
      <w:r w:rsidRPr="004D4B61" w:rsidR="00C5384D">
        <w:rPr>
          <w:rFonts w:ascii="Times New Roman" w:hAnsi="Times New Roman" w:cs="Times New Roman"/>
        </w:rPr>
        <w:t xml:space="preserve">. </w:t>
      </w:r>
      <w:r w:rsidRPr="004D4B61" w:rsidR="000D2E5A">
        <w:rPr>
          <w:rFonts w:ascii="Times New Roman" w:hAnsi="Times New Roman" w:cs="Times New Roman"/>
        </w:rPr>
        <w:t>This RIA</w:t>
      </w:r>
      <w:r w:rsidRPr="004D4B61" w:rsidR="00C5384D">
        <w:rPr>
          <w:rFonts w:ascii="Times New Roman" w:hAnsi="Times New Roman" w:cs="Times New Roman"/>
        </w:rPr>
        <w:t xml:space="preserve"> does not estimate the baseline costs incurred to comply with the </w:t>
      </w:r>
      <w:r w:rsidR="00472B3B">
        <w:rPr>
          <w:rFonts w:ascii="Times New Roman" w:hAnsi="Times New Roman" w:cs="Times New Roman"/>
        </w:rPr>
        <w:t>current</w:t>
      </w:r>
      <w:r w:rsidRPr="004D4B61" w:rsidR="00C5384D">
        <w:rPr>
          <w:rFonts w:ascii="Times New Roman" w:hAnsi="Times New Roman" w:cs="Times New Roman"/>
        </w:rPr>
        <w:t xml:space="preserve"> RMP regulations</w:t>
      </w:r>
      <w:r w:rsidR="003A78E4">
        <w:rPr>
          <w:rFonts w:ascii="Times New Roman" w:hAnsi="Times New Roman" w:cs="Times New Roman"/>
        </w:rPr>
        <w:t xml:space="preserve">. </w:t>
      </w:r>
      <w:r w:rsidR="003A78E4">
        <w:rPr>
          <w:rFonts w:ascii="Times New Roman" w:hAnsi="Times New Roman" w:cs="Times New Roman"/>
        </w:rPr>
        <w:t>B</w:t>
      </w:r>
      <w:r w:rsidRPr="00B031A2" w:rsidR="00B031A2">
        <w:rPr>
          <w:rFonts w:ascii="Times New Roman" w:hAnsi="Times New Roman" w:cs="Times New Roman"/>
        </w:rPr>
        <w:t>aseline</w:t>
      </w:r>
      <w:r w:rsidR="00B031A2">
        <w:rPr>
          <w:rFonts w:ascii="Times New Roman" w:hAnsi="Times New Roman" w:cs="Times New Roman"/>
        </w:rPr>
        <w:t xml:space="preserve"> </w:t>
      </w:r>
      <w:r w:rsidRPr="00B031A2" w:rsidR="00B031A2">
        <w:rPr>
          <w:rFonts w:ascii="Times New Roman" w:hAnsi="Times New Roman" w:cs="Times New Roman"/>
        </w:rPr>
        <w:t>costs</w:t>
      </w:r>
      <w:r w:rsidR="003A78E4">
        <w:rPr>
          <w:rFonts w:ascii="Times New Roman" w:hAnsi="Times New Roman" w:cs="Times New Roman"/>
        </w:rPr>
        <w:t xml:space="preserve"> are not necessary to estimate </w:t>
      </w:r>
      <w:r w:rsidR="003C3D23">
        <w:rPr>
          <w:rFonts w:ascii="Times New Roman" w:hAnsi="Times New Roman" w:cs="Times New Roman"/>
        </w:rPr>
        <w:t>incremental</w:t>
      </w:r>
      <w:r w:rsidR="003A78E4">
        <w:rPr>
          <w:rFonts w:ascii="Times New Roman" w:hAnsi="Times New Roman" w:cs="Times New Roman"/>
        </w:rPr>
        <w:t xml:space="preserve"> costs for this rule</w:t>
      </w:r>
      <w:r w:rsidR="003C3D23">
        <w:rPr>
          <w:rFonts w:ascii="Times New Roman" w:hAnsi="Times New Roman" w:cs="Times New Roman"/>
        </w:rPr>
        <w:t>.</w:t>
      </w:r>
      <w:r w:rsidR="003C3D23">
        <w:rPr>
          <w:rFonts w:ascii="Times New Roman" w:hAnsi="Times New Roman" w:cs="Times New Roman"/>
        </w:rPr>
        <w:t xml:space="preserve"> Baseline costs</w:t>
      </w:r>
      <w:r w:rsidRPr="00B031A2" w:rsidR="00B031A2">
        <w:rPr>
          <w:rFonts w:ascii="Times New Roman" w:hAnsi="Times New Roman" w:cs="Times New Roman"/>
        </w:rPr>
        <w:t xml:space="preserve"> include costs to comply with the current RMP regulations</w:t>
      </w:r>
      <w:r w:rsidR="00A40391">
        <w:rPr>
          <w:rFonts w:ascii="Times New Roman" w:hAnsi="Times New Roman" w:cs="Times New Roman"/>
        </w:rPr>
        <w:t xml:space="preserve"> and</w:t>
      </w:r>
      <w:r w:rsidRPr="00B031A2" w:rsidR="00B031A2">
        <w:rPr>
          <w:rFonts w:ascii="Times New Roman" w:hAnsi="Times New Roman" w:cs="Times New Roman"/>
        </w:rPr>
        <w:t xml:space="preserve"> have been accounted for in previous RMP RIAs</w:t>
      </w:r>
      <w:r w:rsidR="00B031A2">
        <w:rPr>
          <w:rFonts w:ascii="Times New Roman" w:hAnsi="Times New Roman" w:cs="Times New Roman"/>
        </w:rPr>
        <w:t xml:space="preserve"> and</w:t>
      </w:r>
      <w:r w:rsidRPr="00B031A2" w:rsidR="00B031A2">
        <w:rPr>
          <w:rFonts w:ascii="Times New Roman" w:hAnsi="Times New Roman" w:cs="Times New Roman"/>
        </w:rPr>
        <w:t xml:space="preserve"> therefore have not</w:t>
      </w:r>
      <w:r w:rsidR="00B031A2">
        <w:rPr>
          <w:rFonts w:ascii="Times New Roman" w:hAnsi="Times New Roman" w:cs="Times New Roman"/>
        </w:rPr>
        <w:t xml:space="preserve"> been</w:t>
      </w:r>
      <w:r w:rsidRPr="00B031A2" w:rsidR="00B031A2">
        <w:rPr>
          <w:rFonts w:ascii="Times New Roman" w:hAnsi="Times New Roman" w:cs="Times New Roman"/>
        </w:rPr>
        <w:t xml:space="preserve"> repeated here</w:t>
      </w:r>
      <w:r w:rsidRPr="004D4B61" w:rsidR="00C5384D">
        <w:rPr>
          <w:rFonts w:ascii="Times New Roman" w:hAnsi="Times New Roman" w:cs="Times New Roman"/>
        </w:rPr>
        <w:t>.</w:t>
      </w:r>
      <w:r>
        <w:rPr>
          <w:rStyle w:val="FootnoteReference"/>
          <w:rFonts w:ascii="Times New Roman" w:hAnsi="Times New Roman" w:cs="Times New Roman"/>
        </w:rPr>
        <w:footnoteReference w:id="97"/>
      </w:r>
      <w:r w:rsidRPr="004D4B61" w:rsidR="00C5384D">
        <w:rPr>
          <w:rFonts w:ascii="Times New Roman" w:hAnsi="Times New Roman" w:cs="Times New Roman"/>
        </w:rPr>
        <w:t xml:space="preserve"> </w:t>
      </w:r>
    </w:p>
    <w:p w:rsidR="00593971" w:rsidP="00DB08C1" w14:paraId="3AEDA346" w14:textId="77777777">
      <w:pPr>
        <w:spacing w:after="0" w:line="240" w:lineRule="auto"/>
        <w:ind w:firstLine="360"/>
        <w:rPr>
          <w:rFonts w:ascii="Times New Roman" w:hAnsi="Times New Roman" w:cs="Times New Roman"/>
        </w:rPr>
      </w:pPr>
    </w:p>
    <w:p w:rsidR="00E027B6" w:rsidRPr="004D4B61" w:rsidP="00DB08C1" w14:paraId="499D978F" w14:textId="5C0FEB9E">
      <w:pPr>
        <w:spacing w:after="0" w:line="240" w:lineRule="auto"/>
        <w:ind w:firstLine="360"/>
        <w:rPr>
          <w:rFonts w:ascii="Times New Roman" w:hAnsi="Times New Roman" w:cs="Times New Roman"/>
        </w:rPr>
      </w:pPr>
      <w:r w:rsidRPr="0029685C">
        <w:rPr>
          <w:rFonts w:ascii="Times New Roman" w:hAnsi="Times New Roman" w:cs="Times New Roman"/>
        </w:rPr>
        <w:tab/>
      </w:r>
      <w:r w:rsidR="000651A9">
        <w:rPr>
          <w:rFonts w:ascii="Times New Roman" w:hAnsi="Times New Roman" w:cs="Times New Roman"/>
        </w:rPr>
        <w:t>T</w:t>
      </w:r>
      <w:r w:rsidRPr="0029685C" w:rsidR="00C5384D">
        <w:rPr>
          <w:rFonts w:ascii="Times New Roman" w:hAnsi="Times New Roman" w:cs="Times New Roman"/>
        </w:rPr>
        <w:t>he</w:t>
      </w:r>
      <w:r w:rsidRPr="004D4B61" w:rsidR="00C5384D">
        <w:rPr>
          <w:rFonts w:ascii="Times New Roman" w:hAnsi="Times New Roman" w:cs="Times New Roman"/>
        </w:rPr>
        <w:t xml:space="preserve"> Agency </w:t>
      </w:r>
      <w:r w:rsidR="005813C2">
        <w:rPr>
          <w:rFonts w:ascii="Times New Roman" w:hAnsi="Times New Roman" w:cs="Times New Roman"/>
        </w:rPr>
        <w:t>has</w:t>
      </w:r>
      <w:r w:rsidRPr="004D4B61" w:rsidR="00C5384D">
        <w:rPr>
          <w:rFonts w:ascii="Times New Roman" w:hAnsi="Times New Roman" w:cs="Times New Roman"/>
        </w:rPr>
        <w:t xml:space="preserve"> quantif</w:t>
      </w:r>
      <w:r w:rsidR="005813C2">
        <w:rPr>
          <w:rFonts w:ascii="Times New Roman" w:hAnsi="Times New Roman" w:cs="Times New Roman"/>
        </w:rPr>
        <w:t>ied</w:t>
      </w:r>
      <w:r w:rsidRPr="004D4B61" w:rsidR="00C5384D">
        <w:rPr>
          <w:rFonts w:ascii="Times New Roman" w:hAnsi="Times New Roman" w:cs="Times New Roman"/>
        </w:rPr>
        <w:t xml:space="preserve"> and monetize</w:t>
      </w:r>
      <w:r w:rsidR="005813C2">
        <w:rPr>
          <w:rFonts w:ascii="Times New Roman" w:hAnsi="Times New Roman" w:cs="Times New Roman"/>
        </w:rPr>
        <w:t>d</w:t>
      </w:r>
      <w:r w:rsidRPr="004D4B61" w:rsidR="00C5384D">
        <w:rPr>
          <w:rFonts w:ascii="Times New Roman" w:hAnsi="Times New Roman" w:cs="Times New Roman"/>
        </w:rPr>
        <w:t xml:space="preserve"> </w:t>
      </w:r>
      <w:r w:rsidR="00A40391">
        <w:rPr>
          <w:rFonts w:ascii="Times New Roman" w:hAnsi="Times New Roman" w:cs="Times New Roman"/>
        </w:rPr>
        <w:t xml:space="preserve">incremental </w:t>
      </w:r>
      <w:r w:rsidRPr="004D4B61" w:rsidR="00C5384D">
        <w:rPr>
          <w:rFonts w:ascii="Times New Roman" w:hAnsi="Times New Roman" w:cs="Times New Roman"/>
        </w:rPr>
        <w:t>costs</w:t>
      </w:r>
      <w:r w:rsidR="005813C2">
        <w:rPr>
          <w:rFonts w:ascii="Times New Roman" w:hAnsi="Times New Roman" w:cs="Times New Roman"/>
        </w:rPr>
        <w:t xml:space="preserve"> of the final SCCAP rule</w:t>
      </w:r>
      <w:r w:rsidRPr="004D4B61" w:rsidR="00C5384D">
        <w:rPr>
          <w:rFonts w:ascii="Times New Roman" w:hAnsi="Times New Roman" w:cs="Times New Roman"/>
        </w:rPr>
        <w:t xml:space="preserve"> where possible. The time frame of analysis is 10 years. </w:t>
      </w:r>
      <w:r w:rsidRPr="00EE41AB" w:rsidR="00C5384D">
        <w:rPr>
          <w:rFonts w:ascii="Times New Roman" w:hAnsi="Times New Roman"/>
        </w:rPr>
        <w:t>As</w:t>
      </w:r>
      <w:r w:rsidRPr="004D4B61" w:rsidR="00C5384D">
        <w:rPr>
          <w:rFonts w:ascii="Times New Roman" w:hAnsi="Times New Roman" w:cs="Times New Roman"/>
        </w:rPr>
        <w:t xml:space="preserve"> several of the rule elements are required </w:t>
      </w:r>
      <w:r w:rsidRPr="004D4B61" w:rsidR="008D5C4E">
        <w:rPr>
          <w:rFonts w:ascii="Times New Roman" w:hAnsi="Times New Roman" w:cs="Times New Roman"/>
        </w:rPr>
        <w:t>once in</w:t>
      </w:r>
      <w:r w:rsidRPr="004D4B61" w:rsidR="00C5384D">
        <w:rPr>
          <w:rFonts w:ascii="Times New Roman" w:hAnsi="Times New Roman" w:cs="Times New Roman"/>
        </w:rPr>
        <w:t xml:space="preserve"> a five-year period, EPA included a time span long enough to capture two </w:t>
      </w:r>
      <w:r w:rsidRPr="004D4B61" w:rsidR="009268BD">
        <w:rPr>
          <w:rFonts w:ascii="Times New Roman" w:hAnsi="Times New Roman" w:cs="Times New Roman"/>
        </w:rPr>
        <w:t xml:space="preserve">five-year </w:t>
      </w:r>
      <w:r w:rsidRPr="004D4B61" w:rsidR="00C5384D">
        <w:rPr>
          <w:rFonts w:ascii="Times New Roman" w:hAnsi="Times New Roman" w:cs="Times New Roman"/>
        </w:rPr>
        <w:t>periods. Specific</w:t>
      </w:r>
      <w:r w:rsidR="000E1BD8">
        <w:rPr>
          <w:rFonts w:ascii="Times New Roman" w:hAnsi="Times New Roman" w:cs="Times New Roman"/>
        </w:rPr>
        <w:t xml:space="preserve"> cost</w:t>
      </w:r>
      <w:r w:rsidRPr="004D4B61" w:rsidR="00C5384D">
        <w:rPr>
          <w:rFonts w:ascii="Times New Roman" w:hAnsi="Times New Roman" w:cs="Times New Roman"/>
        </w:rPr>
        <w:t xml:space="preserve"> assumptions are outlined for each rule provision below. The analysis employs a model facility approach in which representative facility categories were developed to reflect a variety of features expected to influence costs (e.g., process complexity, number of </w:t>
      </w:r>
      <w:r w:rsidRPr="004D4B61" w:rsidR="003313AC">
        <w:rPr>
          <w:rFonts w:ascii="Times New Roman" w:hAnsi="Times New Roman" w:cs="Times New Roman"/>
        </w:rPr>
        <w:t>FTE</w:t>
      </w:r>
      <w:r w:rsidRPr="004D4B61" w:rsidR="009D4EC2">
        <w:rPr>
          <w:rFonts w:ascii="Times New Roman" w:hAnsi="Times New Roman" w:cs="Times New Roman"/>
        </w:rPr>
        <w:t>s</w:t>
      </w:r>
      <w:r w:rsidRPr="004D4B61" w:rsidR="00C5384D">
        <w:rPr>
          <w:rFonts w:ascii="Times New Roman" w:hAnsi="Times New Roman" w:cs="Times New Roman"/>
        </w:rPr>
        <w:t xml:space="preserve">, etc.). Cost assumptions were developed for each model facility type and addressed factors such as number of staff hours involved in implementing a provision, equipment costs, and fixed costs for contractor involvement. Prevailing wage rates were used to estimate per facility costs for rule provisions. With a model facility approach, the unit cost estimates represent averages that cover a wide variation in expected costs even within a single sector. </w:t>
      </w:r>
    </w:p>
    <w:p w:rsidR="008B3854" w:rsidRPr="004D4B61" w:rsidP="008B3854" w14:paraId="3DCC2EB4" w14:textId="77777777">
      <w:pPr>
        <w:spacing w:after="0" w:line="240" w:lineRule="auto"/>
        <w:ind w:firstLine="720"/>
        <w:rPr>
          <w:rFonts w:ascii="Times New Roman" w:hAnsi="Times New Roman" w:cs="Times New Roman"/>
        </w:rPr>
      </w:pPr>
    </w:p>
    <w:p w:rsidR="00C5384D" w:rsidRPr="004D4B61" w:rsidP="00C07306" w14:paraId="5D287C7E" w14:textId="77777777">
      <w:pPr>
        <w:pStyle w:val="Heading2"/>
      </w:pPr>
      <w:bookmarkStart w:id="151" w:name="_Toc98856213"/>
      <w:bookmarkStart w:id="152" w:name="_Toc144303533"/>
      <w:r w:rsidRPr="004D4B61">
        <w:t>4.1 Analysis Baseline</w:t>
      </w:r>
      <w:bookmarkEnd w:id="151"/>
      <w:bookmarkEnd w:id="152"/>
    </w:p>
    <w:p w:rsidR="00A80E96" w:rsidP="00DB08C1" w14:paraId="753CC417"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sidR="00806671">
        <w:rPr>
          <w:rFonts w:ascii="Times New Roman" w:hAnsi="Times New Roman" w:cs="Times New Roman"/>
        </w:rPr>
        <w:t>Th</w:t>
      </w:r>
      <w:r w:rsidRPr="004D4B61" w:rsidR="004E0EC6">
        <w:rPr>
          <w:rFonts w:ascii="Times New Roman" w:hAnsi="Times New Roman" w:cs="Times New Roman"/>
        </w:rPr>
        <w:t>is</w:t>
      </w:r>
      <w:r w:rsidRPr="004D4B61" w:rsidR="009F3495">
        <w:rPr>
          <w:rFonts w:ascii="Times New Roman" w:hAnsi="Times New Roman" w:cs="Times New Roman"/>
        </w:rPr>
        <w:t xml:space="preserve"> </w:t>
      </w:r>
      <w:r w:rsidRPr="004D4B61" w:rsidR="00806671">
        <w:rPr>
          <w:rFonts w:ascii="Times New Roman" w:hAnsi="Times New Roman" w:cs="Times New Roman"/>
        </w:rPr>
        <w:t xml:space="preserve">analysis estimates </w:t>
      </w:r>
      <w:r w:rsidRPr="004D4B61" w:rsidR="000017B3">
        <w:rPr>
          <w:rFonts w:ascii="Times New Roman" w:hAnsi="Times New Roman" w:cs="Times New Roman"/>
        </w:rPr>
        <w:t xml:space="preserve">only the incremental </w:t>
      </w:r>
      <w:r w:rsidRPr="004D4B61" w:rsidR="00806671">
        <w:rPr>
          <w:rFonts w:ascii="Times New Roman" w:hAnsi="Times New Roman" w:cs="Times New Roman"/>
        </w:rPr>
        <w:t>impacts</w:t>
      </w:r>
      <w:r w:rsidRPr="004D4B61" w:rsidR="000017B3">
        <w:rPr>
          <w:rFonts w:ascii="Times New Roman" w:hAnsi="Times New Roman" w:cs="Times New Roman"/>
        </w:rPr>
        <w:t xml:space="preserve"> of the </w:t>
      </w:r>
      <w:r w:rsidR="002E15AC">
        <w:rPr>
          <w:rFonts w:ascii="Times New Roman" w:hAnsi="Times New Roman" w:cs="Times New Roman"/>
        </w:rPr>
        <w:t>final</w:t>
      </w:r>
      <w:r w:rsidRPr="004D4B61" w:rsidR="000017B3">
        <w:rPr>
          <w:rFonts w:ascii="Times New Roman" w:hAnsi="Times New Roman" w:cs="Times New Roman"/>
        </w:rPr>
        <w:t xml:space="preserve"> rule</w:t>
      </w:r>
      <w:r w:rsidR="009B30B9">
        <w:rPr>
          <w:rFonts w:ascii="Times New Roman" w:hAnsi="Times New Roman" w:cs="Times New Roman"/>
        </w:rPr>
        <w:t xml:space="preserve"> for those provisions that impose new costs.</w:t>
      </w:r>
      <w:r w:rsidRPr="004D4B61" w:rsidR="00806671">
        <w:rPr>
          <w:rFonts w:ascii="Times New Roman" w:hAnsi="Times New Roman" w:cs="Times New Roman"/>
        </w:rPr>
        <w:t xml:space="preserve"> </w:t>
      </w:r>
      <w:r w:rsidRPr="004D4B61" w:rsidR="00430D8A">
        <w:rPr>
          <w:rFonts w:ascii="Times New Roman" w:hAnsi="Times New Roman" w:cs="Times New Roman"/>
        </w:rPr>
        <w:t>C</w:t>
      </w:r>
      <w:r w:rsidRPr="004D4B61" w:rsidR="00E402C3">
        <w:rPr>
          <w:rFonts w:ascii="Times New Roman" w:hAnsi="Times New Roman" w:cs="Times New Roman"/>
        </w:rPr>
        <w:t>omponents of</w:t>
      </w:r>
      <w:r w:rsidRPr="004D4B61" w:rsidR="00590E78">
        <w:rPr>
          <w:rFonts w:ascii="Times New Roman" w:hAnsi="Times New Roman" w:cs="Times New Roman"/>
        </w:rPr>
        <w:t xml:space="preserve"> </w:t>
      </w:r>
      <w:r w:rsidRPr="004D4B61" w:rsidR="009F3495">
        <w:rPr>
          <w:rFonts w:ascii="Times New Roman" w:hAnsi="Times New Roman" w:cs="Times New Roman"/>
        </w:rPr>
        <w:t>the Hazards Evaluation Amplification and the Emergency Response</w:t>
      </w:r>
      <w:r w:rsidRPr="004D4B61" w:rsidR="00430D8A">
        <w:rPr>
          <w:rFonts w:ascii="Times New Roman" w:hAnsi="Times New Roman" w:cs="Times New Roman"/>
        </w:rPr>
        <w:t xml:space="preserve"> </w:t>
      </w:r>
      <w:r w:rsidRPr="004D4B61" w:rsidR="00590E78">
        <w:rPr>
          <w:rFonts w:ascii="Times New Roman" w:hAnsi="Times New Roman" w:cs="Times New Roman"/>
        </w:rPr>
        <w:t xml:space="preserve">provisions impose no new burden because they codify existing industry practice </w:t>
      </w:r>
      <w:r w:rsidRPr="004D4B61" w:rsidR="00E402C3">
        <w:rPr>
          <w:rFonts w:ascii="Times New Roman" w:hAnsi="Times New Roman" w:cs="Times New Roman"/>
        </w:rPr>
        <w:t>or RMP requirements</w:t>
      </w:r>
      <w:r w:rsidRPr="004D4B61" w:rsidR="00430D8A">
        <w:rPr>
          <w:rFonts w:ascii="Times New Roman" w:hAnsi="Times New Roman" w:cs="Times New Roman"/>
        </w:rPr>
        <w:t xml:space="preserve">. </w:t>
      </w:r>
      <w:r w:rsidRPr="004D4B61" w:rsidR="00C75BDE">
        <w:rPr>
          <w:rFonts w:ascii="Times New Roman" w:hAnsi="Times New Roman" w:cs="Times New Roman"/>
        </w:rPr>
        <w:t xml:space="preserve">The </w:t>
      </w:r>
      <w:r w:rsidR="0048508E">
        <w:rPr>
          <w:rFonts w:ascii="Times New Roman" w:hAnsi="Times New Roman" w:cs="Times New Roman"/>
        </w:rPr>
        <w:t>final</w:t>
      </w:r>
      <w:r w:rsidRPr="004D4B61" w:rsidR="00C75BDE">
        <w:rPr>
          <w:rFonts w:ascii="Times New Roman" w:hAnsi="Times New Roman" w:cs="Times New Roman"/>
        </w:rPr>
        <w:t xml:space="preserve"> rule </w:t>
      </w:r>
      <w:r w:rsidRPr="004D4B61" w:rsidR="006610DA">
        <w:rPr>
          <w:rFonts w:ascii="Times New Roman" w:hAnsi="Times New Roman" w:cs="Times New Roman"/>
        </w:rPr>
        <w:t xml:space="preserve">revises regulatory text for </w:t>
      </w:r>
      <w:r w:rsidRPr="004D4B61" w:rsidR="00C75BDE">
        <w:rPr>
          <w:rFonts w:ascii="Times New Roman" w:hAnsi="Times New Roman" w:cs="Times New Roman"/>
        </w:rPr>
        <w:t xml:space="preserve">Program 2 and Program 3 hazard </w:t>
      </w:r>
      <w:r w:rsidRPr="004D4B61" w:rsidR="00AB5090">
        <w:rPr>
          <w:rFonts w:ascii="Times New Roman" w:hAnsi="Times New Roman" w:cs="Times New Roman"/>
        </w:rPr>
        <w:t xml:space="preserve">evaluations to </w:t>
      </w:r>
      <w:r w:rsidRPr="004D4B61" w:rsidR="00C75BDE">
        <w:rPr>
          <w:rFonts w:ascii="Times New Roman" w:hAnsi="Times New Roman" w:cs="Times New Roman"/>
        </w:rPr>
        <w:t xml:space="preserve">explicitly address </w:t>
      </w:r>
      <w:r w:rsidRPr="004D4B61" w:rsidR="00BD5D44">
        <w:rPr>
          <w:rFonts w:ascii="Times New Roman" w:hAnsi="Times New Roman" w:cs="Times New Roman"/>
        </w:rPr>
        <w:t xml:space="preserve">both </w:t>
      </w:r>
      <w:r w:rsidRPr="004D4B61" w:rsidR="00C75BDE">
        <w:rPr>
          <w:rFonts w:ascii="Times New Roman" w:hAnsi="Times New Roman" w:cs="Times New Roman"/>
        </w:rPr>
        <w:t xml:space="preserve">natural hazards </w:t>
      </w:r>
      <w:r w:rsidRPr="004D4B61" w:rsidR="00BD5D44">
        <w:rPr>
          <w:rFonts w:ascii="Times New Roman" w:hAnsi="Times New Roman" w:cs="Times New Roman"/>
        </w:rPr>
        <w:t>and</w:t>
      </w:r>
      <w:r w:rsidRPr="004D4B61" w:rsidR="00C75BDE">
        <w:rPr>
          <w:rFonts w:ascii="Times New Roman" w:hAnsi="Times New Roman" w:cs="Times New Roman"/>
        </w:rPr>
        <w:t xml:space="preserve"> standby or emergency power systems</w:t>
      </w:r>
      <w:r w:rsidRPr="004D4B61" w:rsidR="00BD5D44">
        <w:rPr>
          <w:rFonts w:ascii="Times New Roman" w:hAnsi="Times New Roman" w:cs="Times New Roman"/>
        </w:rPr>
        <w:t xml:space="preserve">. </w:t>
      </w:r>
      <w:r w:rsidRPr="004D4B61" w:rsidR="006E64F0">
        <w:rPr>
          <w:rFonts w:ascii="Times New Roman" w:hAnsi="Times New Roman" w:cs="Times New Roman"/>
        </w:rPr>
        <w:t>The revised regulatory text</w:t>
      </w:r>
      <w:r w:rsidRPr="004D4B61" w:rsidR="009E3E2A">
        <w:rPr>
          <w:rFonts w:ascii="Times New Roman" w:hAnsi="Times New Roman" w:cs="Times New Roman"/>
        </w:rPr>
        <w:t xml:space="preserve"> for P</w:t>
      </w:r>
      <w:r w:rsidRPr="004D4B61" w:rsidR="00B25082">
        <w:rPr>
          <w:rFonts w:ascii="Times New Roman" w:hAnsi="Times New Roman" w:cs="Times New Roman"/>
        </w:rPr>
        <w:t xml:space="preserve">rogram </w:t>
      </w:r>
      <w:r w:rsidRPr="004D4B61" w:rsidR="009E3E2A">
        <w:rPr>
          <w:rFonts w:ascii="Times New Roman" w:hAnsi="Times New Roman" w:cs="Times New Roman"/>
        </w:rPr>
        <w:t>2</w:t>
      </w:r>
      <w:r w:rsidRPr="004D4B61" w:rsidR="00C75BDE">
        <w:rPr>
          <w:rFonts w:ascii="Times New Roman" w:hAnsi="Times New Roman" w:cs="Times New Roman"/>
        </w:rPr>
        <w:t xml:space="preserve"> and </w:t>
      </w:r>
      <w:r w:rsidRPr="004D4B61" w:rsidR="009E3E2A">
        <w:rPr>
          <w:rFonts w:ascii="Times New Roman" w:hAnsi="Times New Roman" w:cs="Times New Roman"/>
        </w:rPr>
        <w:t>P</w:t>
      </w:r>
      <w:r w:rsidRPr="004D4B61" w:rsidR="00B25082">
        <w:rPr>
          <w:rFonts w:ascii="Times New Roman" w:hAnsi="Times New Roman" w:cs="Times New Roman"/>
        </w:rPr>
        <w:t xml:space="preserve">rogram </w:t>
      </w:r>
      <w:r w:rsidRPr="004D4B61" w:rsidR="009E3E2A">
        <w:rPr>
          <w:rFonts w:ascii="Times New Roman" w:hAnsi="Times New Roman" w:cs="Times New Roman"/>
        </w:rPr>
        <w:t>3 hazard evaluations</w:t>
      </w:r>
      <w:r w:rsidRPr="004D4B61" w:rsidR="006E64F0">
        <w:rPr>
          <w:rFonts w:ascii="Times New Roman" w:hAnsi="Times New Roman" w:cs="Times New Roman"/>
        </w:rPr>
        <w:t xml:space="preserve"> also </w:t>
      </w:r>
      <w:r w:rsidRPr="004D4B61" w:rsidR="00C75BDE">
        <w:rPr>
          <w:rFonts w:ascii="Times New Roman" w:hAnsi="Times New Roman" w:cs="Times New Roman"/>
        </w:rPr>
        <w:t>explicitly define</w:t>
      </w:r>
      <w:r w:rsidRPr="004D4B61" w:rsidR="009E3E2A">
        <w:rPr>
          <w:rFonts w:ascii="Times New Roman" w:hAnsi="Times New Roman" w:cs="Times New Roman"/>
        </w:rPr>
        <w:t>s</w:t>
      </w:r>
      <w:r w:rsidRPr="004D4B61" w:rsidR="00C75BDE">
        <w:rPr>
          <w:rFonts w:ascii="Times New Roman" w:hAnsi="Times New Roman" w:cs="Times New Roman"/>
        </w:rPr>
        <w:t xml:space="preserve"> stationary source siting as inclusive of the placement of processes, equipment, </w:t>
      </w:r>
      <w:r w:rsidR="00C57EF3">
        <w:rPr>
          <w:rFonts w:ascii="Times New Roman" w:hAnsi="Times New Roman" w:cs="Times New Roman"/>
        </w:rPr>
        <w:t xml:space="preserve">and </w:t>
      </w:r>
      <w:r w:rsidRPr="004D4B61" w:rsidR="00C75BDE">
        <w:rPr>
          <w:rFonts w:ascii="Times New Roman" w:hAnsi="Times New Roman" w:cs="Times New Roman"/>
        </w:rPr>
        <w:t xml:space="preserve">buildings within the facility, </w:t>
      </w:r>
      <w:r w:rsidR="00C57EF3">
        <w:rPr>
          <w:rFonts w:ascii="Times New Roman" w:hAnsi="Times New Roman" w:cs="Times New Roman"/>
        </w:rPr>
        <w:t>the</w:t>
      </w:r>
      <w:r w:rsidRPr="004D4B61" w:rsidR="00C75BDE">
        <w:rPr>
          <w:rFonts w:ascii="Times New Roman" w:hAnsi="Times New Roman" w:cs="Times New Roman"/>
        </w:rPr>
        <w:t xml:space="preserve"> hazards posed by proximate facilities, and </w:t>
      </w:r>
      <w:r w:rsidR="00C57EF3">
        <w:rPr>
          <w:rFonts w:ascii="Times New Roman" w:hAnsi="Times New Roman" w:cs="Times New Roman"/>
        </w:rPr>
        <w:t>the</w:t>
      </w:r>
      <w:r w:rsidRPr="004D4B61" w:rsidR="00C75BDE">
        <w:rPr>
          <w:rFonts w:ascii="Times New Roman" w:hAnsi="Times New Roman" w:cs="Times New Roman"/>
        </w:rPr>
        <w:t xml:space="preserve"> accidental release consequences posed by proximity to the public and public receptors. </w:t>
      </w:r>
      <w:r w:rsidRPr="004D4B61" w:rsidR="00151152">
        <w:rPr>
          <w:rFonts w:ascii="Times New Roman" w:hAnsi="Times New Roman" w:cs="Times New Roman"/>
        </w:rPr>
        <w:t>These requirements reflect existing industry practice</w:t>
      </w:r>
      <w:r w:rsidR="009B30B9">
        <w:rPr>
          <w:rFonts w:ascii="Times New Roman" w:hAnsi="Times New Roman" w:cs="Times New Roman"/>
        </w:rPr>
        <w:t xml:space="preserve">, and </w:t>
      </w:r>
      <w:r w:rsidR="0024748C">
        <w:rPr>
          <w:rFonts w:ascii="Times New Roman" w:hAnsi="Times New Roman" w:cs="Times New Roman"/>
        </w:rPr>
        <w:t>t</w:t>
      </w:r>
      <w:r w:rsidRPr="004D4B61" w:rsidR="00870DC6">
        <w:rPr>
          <w:rFonts w:ascii="Times New Roman" w:hAnsi="Times New Roman" w:cs="Times New Roman"/>
        </w:rPr>
        <w:t xml:space="preserve">herefore, EPA </w:t>
      </w:r>
      <w:r w:rsidR="009B30B9">
        <w:rPr>
          <w:rFonts w:ascii="Times New Roman" w:hAnsi="Times New Roman" w:cs="Times New Roman"/>
        </w:rPr>
        <w:t>assumes that t</w:t>
      </w:r>
      <w:r w:rsidRPr="004D4B61" w:rsidR="00870DC6">
        <w:rPr>
          <w:rFonts w:ascii="Times New Roman" w:hAnsi="Times New Roman" w:cs="Times New Roman"/>
        </w:rPr>
        <w:t xml:space="preserve">hese hazard evaluation </w:t>
      </w:r>
      <w:r w:rsidRPr="004D4B61" w:rsidR="00FD537E">
        <w:rPr>
          <w:rFonts w:ascii="Times New Roman" w:hAnsi="Times New Roman" w:cs="Times New Roman"/>
        </w:rPr>
        <w:t>amplifications</w:t>
      </w:r>
      <w:r w:rsidR="009B30B9">
        <w:rPr>
          <w:rFonts w:ascii="Times New Roman" w:hAnsi="Times New Roman" w:cs="Times New Roman"/>
        </w:rPr>
        <w:t xml:space="preserve"> </w:t>
      </w:r>
      <w:r w:rsidR="009449B7">
        <w:rPr>
          <w:rFonts w:ascii="Times New Roman" w:hAnsi="Times New Roman" w:cs="Times New Roman"/>
        </w:rPr>
        <w:t>will</w:t>
      </w:r>
      <w:r w:rsidR="009B30B9">
        <w:rPr>
          <w:rFonts w:ascii="Times New Roman" w:hAnsi="Times New Roman" w:cs="Times New Roman"/>
        </w:rPr>
        <w:t xml:space="preserve"> impose no new costs.</w:t>
      </w:r>
    </w:p>
    <w:p w:rsidR="009B30B9" w:rsidP="00DB08C1" w14:paraId="373B89C9" w14:textId="77777777">
      <w:pPr>
        <w:spacing w:after="0" w:line="240" w:lineRule="auto"/>
        <w:ind w:firstLine="360"/>
        <w:rPr>
          <w:rFonts w:ascii="Times New Roman" w:hAnsi="Times New Roman" w:cs="Times New Roman"/>
        </w:rPr>
      </w:pPr>
    </w:p>
    <w:p w:rsidR="00C5384D" w:rsidRPr="004D4B61" w:rsidP="00DB08C1" w14:paraId="0221BF5C"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sidR="002272E1">
        <w:rPr>
          <w:rFonts w:ascii="Times New Roman" w:hAnsi="Times New Roman" w:cs="Times New Roman"/>
        </w:rPr>
        <w:t xml:space="preserve">The </w:t>
      </w:r>
      <w:r w:rsidR="00F247C4">
        <w:rPr>
          <w:rFonts w:ascii="Times New Roman" w:hAnsi="Times New Roman" w:cs="Times New Roman"/>
        </w:rPr>
        <w:t>final</w:t>
      </w:r>
      <w:r w:rsidRPr="004D4B61" w:rsidR="002272E1">
        <w:rPr>
          <w:rFonts w:ascii="Times New Roman" w:hAnsi="Times New Roman" w:cs="Times New Roman"/>
        </w:rPr>
        <w:t xml:space="preserve"> rule </w:t>
      </w:r>
      <w:r w:rsidRPr="004D4B61" w:rsidR="00456A5A">
        <w:rPr>
          <w:rFonts w:ascii="Times New Roman" w:hAnsi="Times New Roman" w:cs="Times New Roman"/>
        </w:rPr>
        <w:t>also</w:t>
      </w:r>
      <w:r w:rsidRPr="004D4B61" w:rsidR="002272E1">
        <w:rPr>
          <w:rFonts w:ascii="Times New Roman" w:hAnsi="Times New Roman" w:cs="Times New Roman"/>
        </w:rPr>
        <w:t xml:space="preserve"> revises emergency response provisions. The additional provision </w:t>
      </w:r>
      <w:r w:rsidRPr="004D4B61" w:rsidR="00573B54">
        <w:rPr>
          <w:rFonts w:ascii="Times New Roman" w:hAnsi="Times New Roman" w:cs="Times New Roman"/>
        </w:rPr>
        <w:t>revise</w:t>
      </w:r>
      <w:r w:rsidR="00DF2BD7">
        <w:rPr>
          <w:rFonts w:ascii="Times New Roman" w:hAnsi="Times New Roman" w:cs="Times New Roman"/>
        </w:rPr>
        <w:t>s</w:t>
      </w:r>
      <w:r w:rsidRPr="004D4B61" w:rsidR="00573B54">
        <w:rPr>
          <w:rFonts w:ascii="Times New Roman" w:hAnsi="Times New Roman" w:cs="Times New Roman"/>
        </w:rPr>
        <w:t xml:space="preserve"> regulatory text to </w:t>
      </w:r>
      <w:r w:rsidRPr="004D4B61" w:rsidR="002272E1">
        <w:rPr>
          <w:rFonts w:ascii="Times New Roman" w:hAnsi="Times New Roman" w:cs="Times New Roman"/>
        </w:rPr>
        <w:t xml:space="preserve">require facilities to </w:t>
      </w:r>
      <w:r w:rsidRPr="004D4B61" w:rsidR="00FD537E">
        <w:rPr>
          <w:rFonts w:ascii="Times New Roman" w:hAnsi="Times New Roman" w:cs="Times New Roman"/>
        </w:rPr>
        <w:t xml:space="preserve">develop </w:t>
      </w:r>
      <w:r w:rsidRPr="004D4B61" w:rsidR="002272E1">
        <w:rPr>
          <w:rFonts w:ascii="Times New Roman" w:hAnsi="Times New Roman" w:cs="Times New Roman"/>
        </w:rPr>
        <w:t xml:space="preserve">and implement, as necessary, procedures for informing the public and the appropriate emergency response agencies about accidental releases of RMP-regulated substances. </w:t>
      </w:r>
      <w:r w:rsidRPr="004D4B61" w:rsidR="00430D8A">
        <w:rPr>
          <w:rFonts w:ascii="Times New Roman" w:hAnsi="Times New Roman" w:cs="Times New Roman"/>
        </w:rPr>
        <w:t xml:space="preserve">Under </w:t>
      </w:r>
      <w:r w:rsidR="005C1B6F">
        <w:rPr>
          <w:rFonts w:ascii="Times New Roman" w:hAnsi="Times New Roman" w:cs="Times New Roman"/>
        </w:rPr>
        <w:t>current</w:t>
      </w:r>
      <w:r w:rsidRPr="004D4B61" w:rsidR="00430D8A">
        <w:rPr>
          <w:rFonts w:ascii="Times New Roman" w:hAnsi="Times New Roman" w:cs="Times New Roman"/>
        </w:rPr>
        <w:t xml:space="preserve"> regulatory requirements, r</w:t>
      </w:r>
      <w:r w:rsidRPr="004D4B61" w:rsidR="002272E1">
        <w:rPr>
          <w:rFonts w:ascii="Times New Roman" w:hAnsi="Times New Roman" w:cs="Times New Roman"/>
        </w:rPr>
        <w:t xml:space="preserve">esponding and non-responding facilities should already have mechanisms and procedures in place to notify the public through </w:t>
      </w:r>
      <w:r w:rsidRPr="004D4B61" w:rsidR="00FD537E">
        <w:rPr>
          <w:rFonts w:ascii="Times New Roman" w:hAnsi="Times New Roman" w:cs="Times New Roman"/>
        </w:rPr>
        <w:t xml:space="preserve">their </w:t>
      </w:r>
      <w:r w:rsidRPr="004D4B61" w:rsidR="002272E1">
        <w:rPr>
          <w:rFonts w:ascii="Times New Roman" w:hAnsi="Times New Roman" w:cs="Times New Roman"/>
        </w:rPr>
        <w:t xml:space="preserve">emergency response </w:t>
      </w:r>
      <w:r w:rsidRPr="004D4B61" w:rsidR="00573B54">
        <w:rPr>
          <w:rFonts w:ascii="Times New Roman" w:hAnsi="Times New Roman" w:cs="Times New Roman"/>
        </w:rPr>
        <w:t xml:space="preserve">programs or </w:t>
      </w:r>
      <w:r w:rsidRPr="004D4B61" w:rsidR="002272E1">
        <w:rPr>
          <w:rFonts w:ascii="Times New Roman" w:hAnsi="Times New Roman" w:cs="Times New Roman"/>
        </w:rPr>
        <w:t>plans</w:t>
      </w:r>
      <w:r w:rsidRPr="004D4B61" w:rsidR="00CA55CD">
        <w:rPr>
          <w:rFonts w:ascii="Times New Roman" w:hAnsi="Times New Roman" w:cs="Times New Roman"/>
        </w:rPr>
        <w:t>,</w:t>
      </w:r>
      <w:r w:rsidRPr="004D4B61" w:rsidR="00FD537E">
        <w:rPr>
          <w:rFonts w:ascii="Times New Roman" w:hAnsi="Times New Roman" w:cs="Times New Roman"/>
        </w:rPr>
        <w:t xml:space="preserve"> or </w:t>
      </w:r>
      <w:r w:rsidRPr="004D4B61" w:rsidR="00573B54">
        <w:rPr>
          <w:rFonts w:ascii="Times New Roman" w:hAnsi="Times New Roman" w:cs="Times New Roman"/>
        </w:rPr>
        <w:t xml:space="preserve">through coordination </w:t>
      </w:r>
      <w:r w:rsidRPr="004D4B61" w:rsidR="00FD537E">
        <w:rPr>
          <w:rFonts w:ascii="Times New Roman" w:hAnsi="Times New Roman" w:cs="Times New Roman"/>
        </w:rPr>
        <w:t>w</w:t>
      </w:r>
      <w:r w:rsidRPr="004D4B61" w:rsidR="00573B54">
        <w:rPr>
          <w:rFonts w:ascii="Times New Roman" w:hAnsi="Times New Roman" w:cs="Times New Roman"/>
        </w:rPr>
        <w:t>ith local responders</w:t>
      </w:r>
      <w:r w:rsidRPr="004D4B61" w:rsidR="00456A5A">
        <w:rPr>
          <w:rFonts w:ascii="Times New Roman" w:hAnsi="Times New Roman" w:cs="Times New Roman"/>
        </w:rPr>
        <w:t xml:space="preserve">. </w:t>
      </w:r>
      <w:r w:rsidRPr="004D4B61" w:rsidR="00456A5A">
        <w:rPr>
          <w:rFonts w:ascii="Times New Roman" w:hAnsi="Times New Roman" w:cs="Times New Roman"/>
        </w:rPr>
        <w:t xml:space="preserve">Therefore, EPA does not estimate any new costs associated with </w:t>
      </w:r>
      <w:r w:rsidRPr="004D4B61" w:rsidR="00161FBA">
        <w:rPr>
          <w:rFonts w:ascii="Times New Roman" w:hAnsi="Times New Roman" w:cs="Times New Roman"/>
        </w:rPr>
        <w:t>these components of the emergency</w:t>
      </w:r>
      <w:r w:rsidRPr="004D4B61" w:rsidR="001A2EA4">
        <w:rPr>
          <w:rFonts w:ascii="Times New Roman" w:hAnsi="Times New Roman" w:cs="Times New Roman"/>
        </w:rPr>
        <w:t xml:space="preserve"> response </w:t>
      </w:r>
      <w:r w:rsidRPr="004D4B61" w:rsidR="00161FBA">
        <w:rPr>
          <w:rFonts w:ascii="Times New Roman" w:hAnsi="Times New Roman" w:cs="Times New Roman"/>
        </w:rPr>
        <w:t>provisions.</w:t>
      </w:r>
      <w:r w:rsidRPr="004D4B61" w:rsidR="002272E1">
        <w:rPr>
          <w:rFonts w:ascii="Times New Roman" w:hAnsi="Times New Roman" w:cs="Times New Roman"/>
        </w:rPr>
        <w:t xml:space="preserve"> EPA does </w:t>
      </w:r>
      <w:r w:rsidRPr="004D4B61" w:rsidR="00161FBA">
        <w:rPr>
          <w:rFonts w:ascii="Times New Roman" w:hAnsi="Times New Roman" w:cs="Times New Roman"/>
        </w:rPr>
        <w:t>quantify</w:t>
      </w:r>
      <w:r w:rsidRPr="004D4B61" w:rsidR="002272E1">
        <w:rPr>
          <w:rFonts w:ascii="Times New Roman" w:hAnsi="Times New Roman" w:cs="Times New Roman"/>
        </w:rPr>
        <w:t xml:space="preserve"> the </w:t>
      </w:r>
      <w:r w:rsidRPr="004D4B61" w:rsidR="00161FBA">
        <w:rPr>
          <w:rFonts w:ascii="Times New Roman" w:hAnsi="Times New Roman" w:cs="Times New Roman"/>
        </w:rPr>
        <w:t xml:space="preserve">cost to </w:t>
      </w:r>
      <w:r w:rsidRPr="004D4B61" w:rsidR="00527157">
        <w:rPr>
          <w:rFonts w:ascii="Times New Roman" w:hAnsi="Times New Roman" w:cs="Times New Roman"/>
        </w:rPr>
        <w:t xml:space="preserve">ensure </w:t>
      </w:r>
      <w:r w:rsidRPr="004D4B61" w:rsidR="00BB2D35">
        <w:rPr>
          <w:rFonts w:ascii="Times New Roman" w:hAnsi="Times New Roman" w:cs="Times New Roman"/>
        </w:rPr>
        <w:t xml:space="preserve">that a </w:t>
      </w:r>
      <w:r w:rsidRPr="004D4B61" w:rsidR="002272E1">
        <w:rPr>
          <w:rFonts w:ascii="Times New Roman" w:hAnsi="Times New Roman" w:cs="Times New Roman"/>
        </w:rPr>
        <w:t>community</w:t>
      </w:r>
      <w:r w:rsidRPr="004D4B61" w:rsidR="00BB2D35">
        <w:rPr>
          <w:rFonts w:ascii="Times New Roman" w:hAnsi="Times New Roman" w:cs="Times New Roman"/>
        </w:rPr>
        <w:t xml:space="preserve"> notification system is in place </w:t>
      </w:r>
      <w:r w:rsidRPr="004D4B61" w:rsidR="00BB36C0">
        <w:rPr>
          <w:rFonts w:ascii="Times New Roman" w:hAnsi="Times New Roman" w:cs="Times New Roman"/>
        </w:rPr>
        <w:t xml:space="preserve">to warn the public </w:t>
      </w:r>
      <w:r w:rsidRPr="004D4B61" w:rsidR="002268D1">
        <w:rPr>
          <w:rFonts w:ascii="Times New Roman" w:hAnsi="Times New Roman" w:cs="Times New Roman"/>
        </w:rPr>
        <w:t xml:space="preserve">within the area threatened </w:t>
      </w:r>
      <w:r w:rsidRPr="004D4B61" w:rsidR="00BE3ACD">
        <w:rPr>
          <w:rFonts w:ascii="Times New Roman" w:hAnsi="Times New Roman" w:cs="Times New Roman"/>
        </w:rPr>
        <w:t>by a release</w:t>
      </w:r>
      <w:r w:rsidR="00BD2747">
        <w:rPr>
          <w:rFonts w:ascii="Times New Roman" w:hAnsi="Times New Roman" w:cs="Times New Roman"/>
        </w:rPr>
        <w:t>. Further</w:t>
      </w:r>
      <w:r w:rsidRPr="004D4B61" w:rsidR="00BE3ACD">
        <w:rPr>
          <w:rFonts w:ascii="Times New Roman" w:hAnsi="Times New Roman" w:cs="Times New Roman"/>
        </w:rPr>
        <w:t xml:space="preserve"> discussion </w:t>
      </w:r>
      <w:r w:rsidRPr="004D4B61" w:rsidR="00CA55CD">
        <w:rPr>
          <w:rFonts w:ascii="Times New Roman" w:hAnsi="Times New Roman" w:cs="Times New Roman"/>
        </w:rPr>
        <w:t>can be found</w:t>
      </w:r>
      <w:r w:rsidRPr="004D4B61" w:rsidR="00BE3ACD">
        <w:rPr>
          <w:rFonts w:ascii="Times New Roman" w:hAnsi="Times New Roman" w:cs="Times New Roman"/>
        </w:rPr>
        <w:t xml:space="preserve"> later in this chapter.</w:t>
      </w:r>
    </w:p>
    <w:p w:rsidR="00441B18" w:rsidRPr="004D4B61" w:rsidP="00441B18" w14:paraId="63B6F001" w14:textId="77777777">
      <w:pPr>
        <w:pStyle w:val="Default"/>
        <w:ind w:firstLine="720"/>
        <w:rPr>
          <w:rFonts w:ascii="Times New Roman" w:hAnsi="Times New Roman" w:cs="Times New Roman"/>
          <w:sz w:val="22"/>
          <w:szCs w:val="22"/>
        </w:rPr>
      </w:pPr>
    </w:p>
    <w:p w:rsidR="00C5384D" w:rsidRPr="004D4B61" w:rsidP="00C07306" w14:paraId="7C22506C" w14:textId="77777777">
      <w:pPr>
        <w:pStyle w:val="Heading2"/>
      </w:pPr>
      <w:bookmarkStart w:id="153" w:name="_Toc98856214"/>
      <w:bookmarkStart w:id="154" w:name="_Toc144303534"/>
      <w:r w:rsidRPr="004D4B61">
        <w:t>4.2 Wage Rates</w:t>
      </w:r>
      <w:bookmarkEnd w:id="153"/>
      <w:bookmarkEnd w:id="154"/>
      <w:r w:rsidRPr="004D4B61">
        <w:t xml:space="preserve"> </w:t>
      </w:r>
    </w:p>
    <w:p w:rsidR="00C5384D" w:rsidRPr="004D4B61" w:rsidP="00DB08C1" w14:paraId="4B742BF4"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The Agency used the </w:t>
      </w:r>
      <w:r w:rsidRPr="004D4B61" w:rsidR="005B3F66">
        <w:rPr>
          <w:rFonts w:ascii="Times New Roman" w:hAnsi="Times New Roman" w:cs="Times New Roman"/>
        </w:rPr>
        <w:t>BLS</w:t>
      </w:r>
      <w:r w:rsidRPr="004D4B61">
        <w:rPr>
          <w:rFonts w:ascii="Times New Roman" w:hAnsi="Times New Roman" w:cs="Times New Roman"/>
        </w:rPr>
        <w:t xml:space="preserve"> May </w:t>
      </w:r>
      <w:r w:rsidRPr="004D4B61" w:rsidR="007E7CF9">
        <w:rPr>
          <w:rFonts w:ascii="Times New Roman" w:hAnsi="Times New Roman" w:cs="Times New Roman"/>
        </w:rPr>
        <w:t>202</w:t>
      </w:r>
      <w:r w:rsidR="007E7CF9">
        <w:rPr>
          <w:rFonts w:ascii="Times New Roman" w:hAnsi="Times New Roman" w:cs="Times New Roman"/>
        </w:rPr>
        <w:t>2</w:t>
      </w:r>
      <w:r w:rsidRPr="004D4B61">
        <w:rPr>
          <w:rFonts w:ascii="Times New Roman" w:hAnsi="Times New Roman" w:cs="Times New Roman"/>
        </w:rPr>
        <w:t xml:space="preserve"> Occupational Employment and Wage </w:t>
      </w:r>
      <w:r w:rsidR="00034A57">
        <w:rPr>
          <w:rFonts w:ascii="Times New Roman" w:hAnsi="Times New Roman" w:cs="Times New Roman"/>
        </w:rPr>
        <w:t>Statistics</w:t>
      </w:r>
      <w:r w:rsidR="000E0040">
        <w:rPr>
          <w:rFonts w:ascii="Times New Roman" w:hAnsi="Times New Roman" w:cs="Times New Roman"/>
        </w:rPr>
        <w:t xml:space="preserve"> (OEWS)</w:t>
      </w:r>
      <w:r>
        <w:rPr>
          <w:rStyle w:val="FootnoteReference"/>
          <w:rFonts w:ascii="Times New Roman" w:hAnsi="Times New Roman" w:cs="Times New Roman"/>
        </w:rPr>
        <w:footnoteReference w:id="98"/>
      </w:r>
      <w:r w:rsidRPr="004D4B61">
        <w:rPr>
          <w:rFonts w:ascii="Times New Roman" w:hAnsi="Times New Roman" w:cs="Times New Roman"/>
        </w:rPr>
        <w:t xml:space="preserve"> to construct a weighted wage rate for different occupation</w:t>
      </w:r>
      <w:r w:rsidRPr="004D4B61" w:rsidR="00CA55CD">
        <w:rPr>
          <w:rFonts w:ascii="Times New Roman" w:hAnsi="Times New Roman" w:cs="Times New Roman"/>
        </w:rPr>
        <w:t>al</w:t>
      </w:r>
      <w:r w:rsidRPr="004D4B61">
        <w:rPr>
          <w:rFonts w:ascii="Times New Roman" w:hAnsi="Times New Roman" w:cs="Times New Roman"/>
        </w:rPr>
        <w:t xml:space="preserve"> categories</w:t>
      </w:r>
      <w:r w:rsidR="00D74769">
        <w:rPr>
          <w:rFonts w:ascii="Times New Roman" w:hAnsi="Times New Roman" w:cs="Times New Roman"/>
        </w:rPr>
        <w:t xml:space="preserve"> that will be affected by the final rule</w:t>
      </w:r>
      <w:r w:rsidRPr="004D4B61">
        <w:rPr>
          <w:rFonts w:ascii="Times New Roman" w:hAnsi="Times New Roman" w:cs="Times New Roman"/>
        </w:rPr>
        <w:t>. For all rule provisions, labor hours were assumed to be distributed across six general labor categories: Management, Corporate Management, Attorneys, Engineers, Production Staff, and Local Responders.</w:t>
      </w:r>
      <w:r w:rsidR="000E0040">
        <w:rPr>
          <w:rFonts w:ascii="Times New Roman" w:hAnsi="Times New Roman" w:cs="Times New Roman"/>
        </w:rPr>
        <w:t xml:space="preserve"> </w:t>
      </w:r>
      <w:r w:rsidR="00D74769">
        <w:rPr>
          <w:rFonts w:ascii="Times New Roman" w:hAnsi="Times New Roman" w:cs="Times New Roman"/>
        </w:rPr>
        <w:t>The analysis</w:t>
      </w:r>
      <w:r w:rsidR="000E0040">
        <w:rPr>
          <w:rFonts w:ascii="Times New Roman" w:hAnsi="Times New Roman" w:cs="Times New Roman"/>
        </w:rPr>
        <w:t xml:space="preserve"> updates wages rates used in the proposed rule RIA </w:t>
      </w:r>
      <w:r w:rsidR="00D74769">
        <w:rPr>
          <w:rFonts w:ascii="Times New Roman" w:hAnsi="Times New Roman" w:cs="Times New Roman"/>
        </w:rPr>
        <w:t xml:space="preserve">which </w:t>
      </w:r>
      <w:r w:rsidR="000E0040">
        <w:rPr>
          <w:rFonts w:ascii="Times New Roman" w:hAnsi="Times New Roman" w:cs="Times New Roman"/>
        </w:rPr>
        <w:t>were based on BLS May 202</w:t>
      </w:r>
      <w:r w:rsidR="001B1841">
        <w:rPr>
          <w:rFonts w:ascii="Times New Roman" w:hAnsi="Times New Roman" w:cs="Times New Roman"/>
        </w:rPr>
        <w:t>0</w:t>
      </w:r>
      <w:r w:rsidR="000E0040">
        <w:rPr>
          <w:rFonts w:ascii="Times New Roman" w:hAnsi="Times New Roman" w:cs="Times New Roman"/>
        </w:rPr>
        <w:t xml:space="preserve"> OEWS.</w:t>
      </w:r>
      <w:r w:rsidRPr="004D4B61">
        <w:rPr>
          <w:rFonts w:ascii="Times New Roman" w:hAnsi="Times New Roman" w:cs="Times New Roman"/>
        </w:rPr>
        <w:t xml:space="preserve"> The weighted wage rates for complex facilities (NAICS 324 and 325) were estimated separately from simple facilities because wages paid by these facilities are higher than in wholesale and government sectors, which dominate the simple facilities category. For each of the NAICS codes representing </w:t>
      </w:r>
      <w:r w:rsidR="008C68D4">
        <w:rPr>
          <w:rFonts w:ascii="Times New Roman" w:hAnsi="Times New Roman" w:cs="Times New Roman"/>
        </w:rPr>
        <w:t>sectors</w:t>
      </w:r>
      <w:r w:rsidRPr="004D4B61">
        <w:rPr>
          <w:rFonts w:ascii="Times New Roman" w:hAnsi="Times New Roman" w:cs="Times New Roman"/>
        </w:rPr>
        <w:t xml:space="preserve"> in the simple facilities category that are affected by the rule provisions (Food and Beverage, Agricultural Facilities, etc.), standardized BLS Occupation Titles were identified to correspond to the six general labor categories. </w:t>
      </w:r>
      <w:r w:rsidRPr="004D4B61" w:rsidR="00802847">
        <w:rPr>
          <w:rFonts w:ascii="Times New Roman" w:hAnsi="Times New Roman" w:cs="Times New Roman"/>
        </w:rPr>
        <w:t>BLS w</w:t>
      </w:r>
      <w:r w:rsidRPr="004D4B61" w:rsidR="0013776E">
        <w:rPr>
          <w:rFonts w:ascii="Times New Roman" w:hAnsi="Times New Roman" w:cs="Times New Roman"/>
        </w:rPr>
        <w:t xml:space="preserve">ages were then adjusted to account </w:t>
      </w:r>
      <w:r w:rsidRPr="004D4B61" w:rsidR="00C56CD6">
        <w:rPr>
          <w:rFonts w:ascii="Times New Roman" w:hAnsi="Times New Roman" w:cs="Times New Roman"/>
        </w:rPr>
        <w:t xml:space="preserve">for </w:t>
      </w:r>
      <w:r w:rsidRPr="004D4B61" w:rsidR="0013776E">
        <w:rPr>
          <w:rFonts w:ascii="Times New Roman" w:hAnsi="Times New Roman" w:cs="Times New Roman"/>
        </w:rPr>
        <w:t xml:space="preserve">fringe benefits and overhead. Fringe benefits include </w:t>
      </w:r>
      <w:r w:rsidRPr="004D4B61" w:rsidR="000B3BDD">
        <w:rPr>
          <w:rFonts w:ascii="Times New Roman" w:hAnsi="Times New Roman" w:cs="Times New Roman"/>
        </w:rPr>
        <w:t xml:space="preserve">payments to cover </w:t>
      </w:r>
      <w:r w:rsidRPr="004D4B61" w:rsidR="00A545E7">
        <w:rPr>
          <w:rFonts w:ascii="Times New Roman" w:hAnsi="Times New Roman" w:cs="Times New Roman"/>
        </w:rPr>
        <w:t>items such as</w:t>
      </w:r>
      <w:r w:rsidRPr="004D4B61" w:rsidR="000B3BDD">
        <w:rPr>
          <w:rFonts w:ascii="Times New Roman" w:hAnsi="Times New Roman" w:cs="Times New Roman"/>
        </w:rPr>
        <w:t xml:space="preserve"> paid leave, </w:t>
      </w:r>
      <w:r w:rsidRPr="004D4B61" w:rsidR="008F5A5A">
        <w:rPr>
          <w:rFonts w:ascii="Times New Roman" w:hAnsi="Times New Roman" w:cs="Times New Roman"/>
        </w:rPr>
        <w:t>supplemental pay, insurance, and retirement. Overhead includes</w:t>
      </w:r>
      <w:r w:rsidRPr="004D4B61" w:rsidR="001D2E97">
        <w:rPr>
          <w:rFonts w:ascii="Times New Roman" w:hAnsi="Times New Roman" w:cs="Times New Roman"/>
        </w:rPr>
        <w:t xml:space="preserve"> resources to cover </w:t>
      </w:r>
      <w:r w:rsidRPr="004D4B61" w:rsidR="004D188B">
        <w:rPr>
          <w:rFonts w:ascii="Times New Roman" w:hAnsi="Times New Roman" w:cs="Times New Roman"/>
        </w:rPr>
        <w:t>ite</w:t>
      </w:r>
      <w:r w:rsidRPr="004D4B61" w:rsidR="00B00C03">
        <w:rPr>
          <w:rFonts w:ascii="Times New Roman" w:hAnsi="Times New Roman" w:cs="Times New Roman"/>
        </w:rPr>
        <w:t>ms such as</w:t>
      </w:r>
      <w:r w:rsidRPr="004D4B61" w:rsidR="002B5C14">
        <w:rPr>
          <w:rFonts w:ascii="Times New Roman" w:hAnsi="Times New Roman" w:cs="Times New Roman"/>
        </w:rPr>
        <w:t xml:space="preserve"> </w:t>
      </w:r>
      <w:r w:rsidRPr="004D4B61" w:rsidR="001D2E97">
        <w:rPr>
          <w:rFonts w:ascii="Times New Roman" w:hAnsi="Times New Roman" w:cs="Times New Roman"/>
        </w:rPr>
        <w:t>office space</w:t>
      </w:r>
      <w:r w:rsidRPr="004D4B61" w:rsidR="002B5C14">
        <w:rPr>
          <w:rFonts w:ascii="Times New Roman" w:hAnsi="Times New Roman" w:cs="Times New Roman"/>
        </w:rPr>
        <w:t xml:space="preserve"> and administrative personnel issues.</w:t>
      </w:r>
      <w:r w:rsidRPr="004D4B61" w:rsidR="00FF4818">
        <w:rPr>
          <w:rFonts w:ascii="Times New Roman" w:hAnsi="Times New Roman" w:cs="Times New Roman"/>
        </w:rPr>
        <w:t xml:space="preserve"> </w:t>
      </w:r>
      <w:r w:rsidRPr="004D4B61" w:rsidR="0020448F">
        <w:rPr>
          <w:rFonts w:ascii="Times New Roman" w:hAnsi="Times New Roman" w:cs="Times New Roman"/>
        </w:rPr>
        <w:t xml:space="preserve">Applying the </w:t>
      </w:r>
      <w:r w:rsidR="00BE393F">
        <w:rPr>
          <w:rFonts w:ascii="Times New Roman" w:hAnsi="Times New Roman" w:cs="Times New Roman"/>
        </w:rPr>
        <w:t xml:space="preserve">December </w:t>
      </w:r>
      <w:r w:rsidR="00705DF0">
        <w:rPr>
          <w:rFonts w:ascii="Times New Roman" w:hAnsi="Times New Roman" w:cs="Times New Roman"/>
        </w:rPr>
        <w:t>2022</w:t>
      </w:r>
      <w:r w:rsidRPr="004D4B61" w:rsidR="0020448F">
        <w:rPr>
          <w:rFonts w:ascii="Times New Roman" w:hAnsi="Times New Roman" w:cs="Times New Roman"/>
        </w:rPr>
        <w:t xml:space="preserve"> national average benefit ratio of 0.</w:t>
      </w:r>
      <w:r w:rsidRPr="004D4B61" w:rsidR="0066044D">
        <w:rPr>
          <w:rFonts w:ascii="Times New Roman" w:hAnsi="Times New Roman" w:cs="Times New Roman"/>
        </w:rPr>
        <w:t>4</w:t>
      </w:r>
      <w:r w:rsidR="0066044D">
        <w:rPr>
          <w:rFonts w:ascii="Times New Roman" w:hAnsi="Times New Roman" w:cs="Times New Roman"/>
        </w:rPr>
        <w:t>5</w:t>
      </w:r>
      <w:r>
        <w:rPr>
          <w:rStyle w:val="FootnoteReference"/>
          <w:rFonts w:ascii="Times New Roman" w:hAnsi="Times New Roman" w:cs="Times New Roman"/>
        </w:rPr>
        <w:footnoteReference w:id="99"/>
      </w:r>
      <w:r w:rsidRPr="004D4B61" w:rsidR="0020448F">
        <w:rPr>
          <w:rFonts w:ascii="Times New Roman" w:hAnsi="Times New Roman" w:cs="Times New Roman"/>
        </w:rPr>
        <w:t xml:space="preserve"> and an overhead cost ratio not inclusive of benefits of 0.3, </w:t>
      </w:r>
      <w:r w:rsidRPr="004D4B61" w:rsidR="00C314D2">
        <w:rPr>
          <w:rFonts w:ascii="Times New Roman" w:hAnsi="Times New Roman" w:cs="Times New Roman"/>
        </w:rPr>
        <w:t>the Agency multipli</w:t>
      </w:r>
      <w:r w:rsidRPr="004D4B61" w:rsidR="00906108">
        <w:rPr>
          <w:rFonts w:ascii="Times New Roman" w:hAnsi="Times New Roman" w:cs="Times New Roman"/>
        </w:rPr>
        <w:t xml:space="preserve">ed the </w:t>
      </w:r>
      <w:r w:rsidRPr="004D4B61">
        <w:rPr>
          <w:rFonts w:ascii="Times New Roman" w:hAnsi="Times New Roman" w:cs="Times New Roman"/>
        </w:rPr>
        <w:t xml:space="preserve">wage rates for each BLS Occupation Title </w:t>
      </w:r>
      <w:r w:rsidRPr="004D4B61" w:rsidR="00906108">
        <w:rPr>
          <w:rFonts w:ascii="Times New Roman" w:hAnsi="Times New Roman" w:cs="Times New Roman"/>
        </w:rPr>
        <w:t xml:space="preserve">by a factor of </w:t>
      </w:r>
      <w:r w:rsidRPr="004D4B61" w:rsidR="00641405">
        <w:rPr>
          <w:rFonts w:ascii="Times New Roman" w:hAnsi="Times New Roman" w:cs="Times New Roman"/>
        </w:rPr>
        <w:t>1.</w:t>
      </w:r>
      <w:r w:rsidRPr="004D4B61" w:rsidR="0066044D">
        <w:rPr>
          <w:rFonts w:ascii="Times New Roman" w:hAnsi="Times New Roman" w:cs="Times New Roman"/>
        </w:rPr>
        <w:t>7</w:t>
      </w:r>
      <w:r w:rsidR="0066044D">
        <w:rPr>
          <w:rFonts w:ascii="Times New Roman" w:hAnsi="Times New Roman" w:cs="Times New Roman"/>
        </w:rPr>
        <w:t>5</w:t>
      </w:r>
      <w:r w:rsidRPr="004D4B61" w:rsidR="0066044D">
        <w:rPr>
          <w:rFonts w:ascii="Times New Roman" w:hAnsi="Times New Roman" w:cs="Times New Roman"/>
        </w:rPr>
        <w:t xml:space="preserve"> </w:t>
      </w:r>
      <w:r w:rsidRPr="004D4B61" w:rsidR="00641405">
        <w:rPr>
          <w:rFonts w:ascii="Times New Roman" w:hAnsi="Times New Roman" w:cs="Times New Roman"/>
        </w:rPr>
        <w:t xml:space="preserve">to </w:t>
      </w:r>
      <w:r w:rsidRPr="004D4B61" w:rsidR="00D93178">
        <w:rPr>
          <w:rFonts w:ascii="Times New Roman" w:hAnsi="Times New Roman" w:cs="Times New Roman"/>
        </w:rPr>
        <w:t>create a fully loaded wage rate</w:t>
      </w:r>
      <w:r w:rsidRPr="004D4B61">
        <w:rPr>
          <w:rFonts w:ascii="Times New Roman" w:hAnsi="Times New Roman" w:cs="Times New Roman"/>
        </w:rPr>
        <w:t>.</w:t>
      </w:r>
      <w:r>
        <w:rPr>
          <w:rStyle w:val="FootnoteReference"/>
          <w:rFonts w:ascii="Times New Roman" w:hAnsi="Times New Roman" w:cs="Times New Roman"/>
        </w:rPr>
        <w:footnoteReference w:id="100"/>
      </w:r>
      <w:r w:rsidR="00DB08C1">
        <w:rPr>
          <w:rFonts w:ascii="Times New Roman" w:hAnsi="Times New Roman" w:cs="Times New Roman"/>
        </w:rPr>
        <w:t xml:space="preserve"> </w:t>
      </w:r>
      <w:r w:rsidRPr="004D4B61">
        <w:rPr>
          <w:rFonts w:ascii="Times New Roman" w:hAnsi="Times New Roman" w:cs="Times New Roman"/>
        </w:rPr>
        <w:t xml:space="preserve">After loaded wage rates were established for each industry, they were combined to form a weighted average based on </w:t>
      </w:r>
      <w:r w:rsidRPr="004D4B61" w:rsidR="00FC572C">
        <w:rPr>
          <w:rFonts w:ascii="Times New Roman" w:hAnsi="Times New Roman" w:cs="Times New Roman"/>
        </w:rPr>
        <w:t xml:space="preserve">the </w:t>
      </w:r>
      <w:r w:rsidRPr="004D4B61">
        <w:rPr>
          <w:rFonts w:ascii="Times New Roman" w:hAnsi="Times New Roman" w:cs="Times New Roman"/>
        </w:rPr>
        <w:t>promine</w:t>
      </w:r>
      <w:r w:rsidRPr="004D4B61" w:rsidR="00FC572C">
        <w:rPr>
          <w:rFonts w:ascii="Times New Roman" w:hAnsi="Times New Roman" w:cs="Times New Roman"/>
        </w:rPr>
        <w:t>nce of</w:t>
      </w:r>
      <w:r w:rsidRPr="004D4B61">
        <w:rPr>
          <w:rFonts w:ascii="Times New Roman" w:hAnsi="Times New Roman" w:cs="Times New Roman"/>
        </w:rPr>
        <w:t xml:space="preserve"> each industry within its universe of facilities, either simple or complex. Exhibit 4-1 presents the wage rates</w:t>
      </w:r>
      <w:r w:rsidRPr="004D4B61" w:rsidR="005A5AD7">
        <w:rPr>
          <w:rFonts w:ascii="Times New Roman" w:hAnsi="Times New Roman" w:cs="Times New Roman"/>
        </w:rPr>
        <w:t xml:space="preserve"> EPA used in the analysis.</w:t>
      </w:r>
    </w:p>
    <w:p w:rsidR="005A5AD7" w:rsidRPr="004D4B61" w:rsidP="00DB08C1" w14:paraId="42C71F0F" w14:textId="77777777">
      <w:pPr>
        <w:spacing w:after="0" w:line="240" w:lineRule="auto"/>
        <w:rPr>
          <w:rFonts w:ascii="Times New Roman" w:hAnsi="Times New Roman" w:cs="Times New Roman"/>
          <w:b/>
        </w:rPr>
      </w:pPr>
      <w:r>
        <w:rPr>
          <w:rFonts w:ascii="Times New Roman" w:hAnsi="Times New Roman" w:cs="Times New Roman"/>
          <w:b/>
        </w:rPr>
        <w:tab/>
      </w:r>
    </w:p>
    <w:p w:rsidR="00DB08C1" w:rsidRPr="00DB08C1" w:rsidP="00DB08C1" w14:paraId="6BFF601B" w14:textId="77777777">
      <w:pPr>
        <w:pStyle w:val="Caption"/>
        <w:jc w:val="center"/>
        <w:rPr>
          <w:rFonts w:ascii="Times New Roman" w:hAnsi="Times New Roman" w:cs="Times New Roman"/>
          <w:b/>
          <w:bCs/>
          <w:i w:val="0"/>
          <w:iCs w:val="0"/>
          <w:color w:val="auto"/>
          <w:sz w:val="22"/>
          <w:szCs w:val="22"/>
        </w:rPr>
      </w:pPr>
      <w:r w:rsidRPr="00DB08C1">
        <w:rPr>
          <w:rFonts w:ascii="Times New Roman" w:hAnsi="Times New Roman" w:cs="Times New Roman"/>
          <w:b/>
          <w:bCs/>
          <w:i w:val="0"/>
          <w:iCs w:val="0"/>
          <w:color w:val="auto"/>
          <w:sz w:val="22"/>
          <w:szCs w:val="22"/>
        </w:rPr>
        <w:t>Exhibit 4-1: Weighted-Average Loaded Hourly Wage Rates (202</w:t>
      </w:r>
      <w:r w:rsidR="00CC1FE7">
        <w:rPr>
          <w:rFonts w:ascii="Times New Roman" w:hAnsi="Times New Roman" w:cs="Times New Roman"/>
          <w:b/>
          <w:bCs/>
          <w:i w:val="0"/>
          <w:iCs w:val="0"/>
          <w:color w:val="auto"/>
          <w:sz w:val="22"/>
          <w:szCs w:val="22"/>
        </w:rPr>
        <w:t>2</w:t>
      </w:r>
      <w:r w:rsidRPr="00DB08C1">
        <w:rPr>
          <w:rFonts w:ascii="Times New Roman" w:hAnsi="Times New Roman" w:cs="Times New Roman"/>
          <w:b/>
          <w:bCs/>
          <w:i w:val="0"/>
          <w:iCs w:val="0"/>
          <w:color w:val="auto"/>
          <w:sz w:val="22"/>
          <w:szCs w:val="22"/>
        </w:rPr>
        <w:t xml:space="preserve"> Dollars).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7"/>
        <w:gridCol w:w="1678"/>
        <w:gridCol w:w="1858"/>
      </w:tblGrid>
      <w:tr w14:paraId="6881BED2" w14:textId="77777777" w:rsidTr="00DB08C1">
        <w:tblPrEx>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06"/>
          <w:tblHeader/>
          <w:jc w:val="center"/>
        </w:trPr>
        <w:tc>
          <w:tcPr>
            <w:tcW w:w="2377" w:type="dxa"/>
            <w:shd w:val="clear" w:color="auto" w:fill="D9D9D9"/>
            <w:vAlign w:val="center"/>
          </w:tcPr>
          <w:p w:rsidR="00C5384D" w:rsidRPr="00D7128A" w:rsidP="004D4B61" w14:paraId="3F16EDF6" w14:textId="77777777">
            <w:pPr>
              <w:spacing w:after="0" w:line="240" w:lineRule="auto"/>
              <w:ind w:left="496"/>
              <w:rPr>
                <w:rFonts w:ascii="Times New Roman" w:hAnsi="Times New Roman" w:cs="Times New Roman"/>
                <w:b/>
                <w:sz w:val="20"/>
                <w:szCs w:val="20"/>
              </w:rPr>
            </w:pPr>
            <w:r w:rsidRPr="00D7128A">
              <w:rPr>
                <w:rFonts w:ascii="Times New Roman" w:hAnsi="Times New Roman" w:cs="Times New Roman"/>
                <w:b/>
                <w:sz w:val="20"/>
                <w:szCs w:val="20"/>
              </w:rPr>
              <w:t>Labor Category</w:t>
            </w:r>
          </w:p>
        </w:tc>
        <w:tc>
          <w:tcPr>
            <w:tcW w:w="1678" w:type="dxa"/>
            <w:shd w:val="clear" w:color="auto" w:fill="D9D9D9"/>
            <w:vAlign w:val="center"/>
          </w:tcPr>
          <w:p w:rsidR="00C5384D" w:rsidRPr="00D7128A" w:rsidP="00DB08C1" w14:paraId="6DB3BD79" w14:textId="77777777">
            <w:pPr>
              <w:spacing w:after="0" w:line="240" w:lineRule="auto"/>
              <w:ind w:left="84" w:right="81"/>
              <w:jc w:val="center"/>
              <w:rPr>
                <w:rFonts w:ascii="Times New Roman" w:hAnsi="Times New Roman" w:cs="Times New Roman"/>
                <w:b/>
                <w:sz w:val="20"/>
                <w:szCs w:val="20"/>
              </w:rPr>
            </w:pPr>
            <w:r w:rsidRPr="00D7128A">
              <w:rPr>
                <w:rFonts w:ascii="Times New Roman" w:hAnsi="Times New Roman" w:cs="Times New Roman"/>
                <w:b/>
                <w:sz w:val="20"/>
                <w:szCs w:val="20"/>
              </w:rPr>
              <w:t>Simple Facilities</w:t>
            </w:r>
          </w:p>
        </w:tc>
        <w:tc>
          <w:tcPr>
            <w:tcW w:w="1858" w:type="dxa"/>
            <w:shd w:val="clear" w:color="auto" w:fill="D9D9D9"/>
            <w:vAlign w:val="center"/>
          </w:tcPr>
          <w:p w:rsidR="00C5384D" w:rsidRPr="00D7128A" w:rsidP="00DB08C1" w14:paraId="2378B342" w14:textId="77777777">
            <w:pPr>
              <w:spacing w:after="0" w:line="240" w:lineRule="auto"/>
              <w:ind w:left="87" w:right="81"/>
              <w:jc w:val="center"/>
              <w:rPr>
                <w:rFonts w:ascii="Times New Roman" w:hAnsi="Times New Roman" w:cs="Times New Roman"/>
                <w:b/>
                <w:sz w:val="20"/>
                <w:szCs w:val="20"/>
              </w:rPr>
            </w:pPr>
            <w:r w:rsidRPr="00D7128A">
              <w:rPr>
                <w:rFonts w:ascii="Times New Roman" w:hAnsi="Times New Roman" w:cs="Times New Roman"/>
                <w:b/>
                <w:sz w:val="20"/>
                <w:szCs w:val="20"/>
              </w:rPr>
              <w:t>Complex Facilities</w:t>
            </w:r>
          </w:p>
        </w:tc>
      </w:tr>
      <w:tr w14:paraId="30D2C6CF" w14:textId="77777777" w:rsidTr="00DB08C1">
        <w:tblPrEx>
          <w:tblW w:w="0" w:type="auto"/>
          <w:jc w:val="center"/>
          <w:tblLayout w:type="fixed"/>
          <w:tblCellMar>
            <w:left w:w="0" w:type="dxa"/>
            <w:right w:w="0" w:type="dxa"/>
          </w:tblCellMar>
          <w:tblLook w:val="01E0"/>
        </w:tblPrEx>
        <w:trPr>
          <w:trHeight w:val="309"/>
          <w:jc w:val="center"/>
        </w:trPr>
        <w:tc>
          <w:tcPr>
            <w:tcW w:w="2377" w:type="dxa"/>
            <w:vAlign w:val="center"/>
          </w:tcPr>
          <w:p w:rsidR="00C5384D" w:rsidRPr="00D7128A" w:rsidP="004D4B61" w14:paraId="548261F1"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Management</w:t>
            </w:r>
          </w:p>
        </w:tc>
        <w:tc>
          <w:tcPr>
            <w:tcW w:w="1678" w:type="dxa"/>
            <w:vAlign w:val="center"/>
          </w:tcPr>
          <w:p w:rsidR="00C5384D" w:rsidRPr="00D7128A" w:rsidP="00DB08C1" w14:paraId="28F44AB8" w14:textId="77777777">
            <w:pPr>
              <w:spacing w:after="0" w:line="240" w:lineRule="auto"/>
              <w:ind w:left="84" w:right="80"/>
              <w:jc w:val="center"/>
              <w:rPr>
                <w:rFonts w:ascii="Times New Roman" w:hAnsi="Times New Roman" w:cs="Times New Roman"/>
                <w:sz w:val="20"/>
                <w:szCs w:val="20"/>
              </w:rPr>
            </w:pPr>
            <w:r w:rsidRPr="00D7128A">
              <w:rPr>
                <w:rFonts w:ascii="Times New Roman" w:hAnsi="Times New Roman" w:cs="Times New Roman"/>
                <w:color w:val="000000"/>
                <w:sz w:val="20"/>
                <w:szCs w:val="20"/>
              </w:rPr>
              <w:t>$1</w:t>
            </w:r>
            <w:r w:rsidR="003B7608">
              <w:rPr>
                <w:rFonts w:ascii="Times New Roman" w:hAnsi="Times New Roman" w:cs="Times New Roman"/>
                <w:color w:val="000000"/>
                <w:sz w:val="20"/>
                <w:szCs w:val="20"/>
              </w:rPr>
              <w:t>10.70</w:t>
            </w:r>
          </w:p>
        </w:tc>
        <w:tc>
          <w:tcPr>
            <w:tcW w:w="1858" w:type="dxa"/>
            <w:vAlign w:val="center"/>
          </w:tcPr>
          <w:p w:rsidR="00C5384D" w:rsidRPr="00D7128A" w:rsidP="00DB08C1" w14:paraId="3EE34B76" w14:textId="77777777">
            <w:pPr>
              <w:spacing w:after="0" w:line="240" w:lineRule="auto"/>
              <w:ind w:left="85" w:right="81"/>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3B7608">
              <w:rPr>
                <w:rFonts w:ascii="Times New Roman" w:hAnsi="Times New Roman" w:cs="Times New Roman"/>
                <w:color w:val="000000"/>
                <w:sz w:val="20"/>
                <w:szCs w:val="20"/>
              </w:rPr>
              <w:t>137.52</w:t>
            </w:r>
          </w:p>
        </w:tc>
      </w:tr>
      <w:tr w14:paraId="4459140A" w14:textId="77777777" w:rsidTr="00DB08C1">
        <w:tblPrEx>
          <w:tblW w:w="0" w:type="auto"/>
          <w:jc w:val="center"/>
          <w:tblLayout w:type="fixed"/>
          <w:tblCellMar>
            <w:left w:w="0" w:type="dxa"/>
            <w:right w:w="0" w:type="dxa"/>
          </w:tblCellMar>
          <w:tblLook w:val="01E0"/>
        </w:tblPrEx>
        <w:trPr>
          <w:trHeight w:val="309"/>
          <w:jc w:val="center"/>
        </w:trPr>
        <w:tc>
          <w:tcPr>
            <w:tcW w:w="2377" w:type="dxa"/>
            <w:vAlign w:val="center"/>
          </w:tcPr>
          <w:p w:rsidR="00C5384D" w:rsidRPr="00D7128A" w:rsidP="004D4B61" w14:paraId="2121BDFB"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Corporate Management</w:t>
            </w:r>
          </w:p>
        </w:tc>
        <w:tc>
          <w:tcPr>
            <w:tcW w:w="1678" w:type="dxa"/>
            <w:vAlign w:val="center"/>
          </w:tcPr>
          <w:p w:rsidR="00C5384D" w:rsidRPr="00D7128A" w:rsidP="00DB08C1" w14:paraId="2682044D" w14:textId="77777777">
            <w:pPr>
              <w:spacing w:after="0" w:line="240" w:lineRule="auto"/>
              <w:ind w:left="84" w:right="81"/>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412926">
              <w:rPr>
                <w:rFonts w:ascii="Times New Roman" w:hAnsi="Times New Roman" w:cs="Times New Roman"/>
                <w:color w:val="000000"/>
                <w:sz w:val="20"/>
                <w:szCs w:val="20"/>
              </w:rPr>
              <w:t>102.02</w:t>
            </w:r>
          </w:p>
        </w:tc>
        <w:tc>
          <w:tcPr>
            <w:tcW w:w="1858" w:type="dxa"/>
            <w:vAlign w:val="center"/>
          </w:tcPr>
          <w:p w:rsidR="00C5384D" w:rsidRPr="00D7128A" w:rsidP="00DB08C1" w14:paraId="64EBC7B3" w14:textId="77777777">
            <w:pPr>
              <w:spacing w:after="0" w:line="240" w:lineRule="auto"/>
              <w:ind w:left="85" w:right="81"/>
              <w:jc w:val="center"/>
              <w:rPr>
                <w:rFonts w:ascii="Times New Roman" w:hAnsi="Times New Roman" w:cs="Times New Roman"/>
                <w:sz w:val="20"/>
                <w:szCs w:val="20"/>
              </w:rPr>
            </w:pPr>
            <w:r w:rsidRPr="00D7128A">
              <w:rPr>
                <w:rFonts w:ascii="Times New Roman" w:hAnsi="Times New Roman" w:cs="Times New Roman"/>
                <w:color w:val="000000"/>
                <w:sz w:val="20"/>
                <w:szCs w:val="20"/>
              </w:rPr>
              <w:t>$13</w:t>
            </w:r>
            <w:r w:rsidR="00412926">
              <w:rPr>
                <w:rFonts w:ascii="Times New Roman" w:hAnsi="Times New Roman" w:cs="Times New Roman"/>
                <w:color w:val="000000"/>
                <w:sz w:val="20"/>
                <w:szCs w:val="20"/>
              </w:rPr>
              <w:t>6.70</w:t>
            </w:r>
          </w:p>
        </w:tc>
      </w:tr>
      <w:tr w14:paraId="2FAD4FAF" w14:textId="77777777" w:rsidTr="00DB08C1">
        <w:tblPrEx>
          <w:tblW w:w="0" w:type="auto"/>
          <w:jc w:val="center"/>
          <w:tblLayout w:type="fixed"/>
          <w:tblCellMar>
            <w:left w:w="0" w:type="dxa"/>
            <w:right w:w="0" w:type="dxa"/>
          </w:tblCellMar>
          <w:tblLook w:val="01E0"/>
        </w:tblPrEx>
        <w:trPr>
          <w:trHeight w:val="309"/>
          <w:jc w:val="center"/>
        </w:trPr>
        <w:tc>
          <w:tcPr>
            <w:tcW w:w="2377" w:type="dxa"/>
            <w:vAlign w:val="center"/>
          </w:tcPr>
          <w:p w:rsidR="00C5384D" w:rsidRPr="00D7128A" w:rsidP="004D4B61" w14:paraId="2862A0B2"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Attorneys</w:t>
            </w:r>
          </w:p>
        </w:tc>
        <w:tc>
          <w:tcPr>
            <w:tcW w:w="1678" w:type="dxa"/>
            <w:vAlign w:val="center"/>
          </w:tcPr>
          <w:p w:rsidR="00C5384D" w:rsidRPr="00D7128A" w:rsidP="00DB08C1" w14:paraId="6ABB9711" w14:textId="77777777">
            <w:pPr>
              <w:spacing w:after="0" w:line="240" w:lineRule="auto"/>
              <w:ind w:left="84" w:right="76"/>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412926">
              <w:rPr>
                <w:rFonts w:ascii="Times New Roman" w:hAnsi="Times New Roman" w:cs="Times New Roman"/>
                <w:color w:val="000000"/>
                <w:sz w:val="20"/>
                <w:szCs w:val="20"/>
              </w:rPr>
              <w:t>150.79</w:t>
            </w:r>
          </w:p>
        </w:tc>
        <w:tc>
          <w:tcPr>
            <w:tcW w:w="1858" w:type="dxa"/>
            <w:vAlign w:val="center"/>
          </w:tcPr>
          <w:p w:rsidR="00C5384D" w:rsidRPr="00D7128A" w:rsidP="00DB08C1" w14:paraId="399F4F2D" w14:textId="77777777">
            <w:pPr>
              <w:spacing w:after="0" w:line="240" w:lineRule="auto"/>
              <w:ind w:left="85" w:right="81"/>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412926">
              <w:rPr>
                <w:rFonts w:ascii="Times New Roman" w:hAnsi="Times New Roman" w:cs="Times New Roman"/>
                <w:color w:val="000000"/>
                <w:sz w:val="20"/>
                <w:szCs w:val="20"/>
              </w:rPr>
              <w:t>205.</w:t>
            </w:r>
            <w:r w:rsidR="003C78F8">
              <w:rPr>
                <w:rFonts w:ascii="Times New Roman" w:hAnsi="Times New Roman" w:cs="Times New Roman"/>
                <w:color w:val="000000"/>
                <w:sz w:val="20"/>
                <w:szCs w:val="20"/>
              </w:rPr>
              <w:t>84</w:t>
            </w:r>
          </w:p>
        </w:tc>
      </w:tr>
      <w:tr w14:paraId="51C17B06" w14:textId="77777777" w:rsidTr="00DB08C1">
        <w:tblPrEx>
          <w:tblW w:w="0" w:type="auto"/>
          <w:jc w:val="center"/>
          <w:tblLayout w:type="fixed"/>
          <w:tblCellMar>
            <w:left w:w="0" w:type="dxa"/>
            <w:right w:w="0" w:type="dxa"/>
          </w:tblCellMar>
          <w:tblLook w:val="01E0"/>
        </w:tblPrEx>
        <w:trPr>
          <w:trHeight w:val="306"/>
          <w:jc w:val="center"/>
        </w:trPr>
        <w:tc>
          <w:tcPr>
            <w:tcW w:w="2377" w:type="dxa"/>
            <w:vAlign w:val="center"/>
          </w:tcPr>
          <w:p w:rsidR="00C5384D" w:rsidRPr="00D7128A" w:rsidP="004D4B61" w14:paraId="26D6BA5A"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Engineers</w:t>
            </w:r>
          </w:p>
        </w:tc>
        <w:tc>
          <w:tcPr>
            <w:tcW w:w="1678" w:type="dxa"/>
            <w:vAlign w:val="center"/>
          </w:tcPr>
          <w:p w:rsidR="00C5384D" w:rsidRPr="00D7128A" w:rsidP="00DB08C1" w14:paraId="16B7D701" w14:textId="77777777">
            <w:pPr>
              <w:spacing w:after="0" w:line="240" w:lineRule="auto"/>
              <w:ind w:left="84" w:right="81"/>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3C78F8">
              <w:rPr>
                <w:rFonts w:ascii="Times New Roman" w:hAnsi="Times New Roman" w:cs="Times New Roman"/>
                <w:color w:val="000000"/>
                <w:sz w:val="20"/>
                <w:szCs w:val="20"/>
              </w:rPr>
              <w:t>74.33</w:t>
            </w:r>
          </w:p>
        </w:tc>
        <w:tc>
          <w:tcPr>
            <w:tcW w:w="1858" w:type="dxa"/>
            <w:vAlign w:val="center"/>
          </w:tcPr>
          <w:p w:rsidR="00C5384D" w:rsidRPr="00D7128A" w:rsidP="00DB08C1" w14:paraId="25BFFFB5" w14:textId="77777777">
            <w:pPr>
              <w:spacing w:after="0" w:line="240" w:lineRule="auto"/>
              <w:ind w:left="87" w:right="80"/>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3C78F8">
              <w:rPr>
                <w:rFonts w:ascii="Times New Roman" w:hAnsi="Times New Roman" w:cs="Times New Roman"/>
                <w:color w:val="000000"/>
                <w:sz w:val="20"/>
                <w:szCs w:val="20"/>
              </w:rPr>
              <w:t>99.12</w:t>
            </w:r>
          </w:p>
        </w:tc>
      </w:tr>
      <w:tr w14:paraId="4AED697B" w14:textId="77777777" w:rsidTr="00DB08C1">
        <w:tblPrEx>
          <w:tblW w:w="0" w:type="auto"/>
          <w:jc w:val="center"/>
          <w:tblLayout w:type="fixed"/>
          <w:tblCellMar>
            <w:left w:w="0" w:type="dxa"/>
            <w:right w:w="0" w:type="dxa"/>
          </w:tblCellMar>
          <w:tblLook w:val="01E0"/>
        </w:tblPrEx>
        <w:trPr>
          <w:trHeight w:val="309"/>
          <w:jc w:val="center"/>
        </w:trPr>
        <w:tc>
          <w:tcPr>
            <w:tcW w:w="2377" w:type="dxa"/>
            <w:vAlign w:val="center"/>
          </w:tcPr>
          <w:p w:rsidR="00C5384D" w:rsidRPr="00D7128A" w:rsidP="004D4B61" w14:paraId="06997ED5" w14:textId="77777777">
            <w:pPr>
              <w:keepNext/>
              <w:keepLines/>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Production Staff</w:t>
            </w:r>
          </w:p>
        </w:tc>
        <w:tc>
          <w:tcPr>
            <w:tcW w:w="1678" w:type="dxa"/>
            <w:vAlign w:val="center"/>
          </w:tcPr>
          <w:p w:rsidR="00C5384D" w:rsidRPr="00D7128A" w:rsidP="00DB08C1" w14:paraId="49A36933" w14:textId="77777777">
            <w:pPr>
              <w:keepNext/>
              <w:keepLines/>
              <w:spacing w:after="0" w:line="240" w:lineRule="auto"/>
              <w:ind w:left="84" w:right="80"/>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3C78F8">
              <w:rPr>
                <w:rFonts w:ascii="Times New Roman" w:hAnsi="Times New Roman" w:cs="Times New Roman"/>
                <w:color w:val="000000"/>
                <w:sz w:val="20"/>
                <w:szCs w:val="20"/>
              </w:rPr>
              <w:t>43.21</w:t>
            </w:r>
          </w:p>
        </w:tc>
        <w:tc>
          <w:tcPr>
            <w:tcW w:w="1858" w:type="dxa"/>
            <w:vAlign w:val="center"/>
          </w:tcPr>
          <w:p w:rsidR="00C5384D" w:rsidRPr="00D7128A" w:rsidP="00DB08C1" w14:paraId="1D07AFBB" w14:textId="77777777">
            <w:pPr>
              <w:keepNext/>
              <w:keepLines/>
              <w:spacing w:after="0" w:line="240" w:lineRule="auto"/>
              <w:ind w:left="87" w:right="80"/>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0112F4">
              <w:rPr>
                <w:rFonts w:ascii="Times New Roman" w:hAnsi="Times New Roman" w:cs="Times New Roman"/>
                <w:color w:val="000000"/>
                <w:sz w:val="20"/>
                <w:szCs w:val="20"/>
              </w:rPr>
              <w:t>66.71</w:t>
            </w:r>
          </w:p>
        </w:tc>
      </w:tr>
      <w:tr w14:paraId="6B345A97" w14:textId="77777777" w:rsidTr="00DB08C1">
        <w:tblPrEx>
          <w:tblW w:w="0" w:type="auto"/>
          <w:jc w:val="center"/>
          <w:tblLayout w:type="fixed"/>
          <w:tblCellMar>
            <w:left w:w="0" w:type="dxa"/>
            <w:right w:w="0" w:type="dxa"/>
          </w:tblCellMar>
          <w:tblLook w:val="01E0"/>
        </w:tblPrEx>
        <w:trPr>
          <w:trHeight w:val="309"/>
          <w:jc w:val="center"/>
        </w:trPr>
        <w:tc>
          <w:tcPr>
            <w:tcW w:w="2377" w:type="dxa"/>
            <w:vAlign w:val="center"/>
          </w:tcPr>
          <w:p w:rsidR="00C5384D" w:rsidRPr="00D7128A" w:rsidP="004D4B61" w14:paraId="10F477A4" w14:textId="77777777">
            <w:pPr>
              <w:keepNext/>
              <w:keepLines/>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Local Responders</w:t>
            </w:r>
          </w:p>
        </w:tc>
        <w:tc>
          <w:tcPr>
            <w:tcW w:w="1678" w:type="dxa"/>
            <w:vAlign w:val="center"/>
          </w:tcPr>
          <w:p w:rsidR="00C5384D" w:rsidRPr="00D7128A" w:rsidP="00DB08C1" w14:paraId="0D9E8DE5" w14:textId="77777777">
            <w:pPr>
              <w:keepNext/>
              <w:keepLines/>
              <w:spacing w:after="0" w:line="240" w:lineRule="auto"/>
              <w:ind w:left="84" w:right="80"/>
              <w:jc w:val="center"/>
              <w:rPr>
                <w:rFonts w:ascii="Times New Roman" w:hAnsi="Times New Roman" w:cs="Times New Roman"/>
                <w:sz w:val="20"/>
                <w:szCs w:val="20"/>
              </w:rPr>
            </w:pPr>
            <w:r w:rsidRPr="00D7128A">
              <w:rPr>
                <w:rFonts w:ascii="Times New Roman" w:hAnsi="Times New Roman" w:cs="Times New Roman"/>
                <w:color w:val="000000"/>
                <w:sz w:val="20"/>
                <w:szCs w:val="20"/>
              </w:rPr>
              <w:t>$7</w:t>
            </w:r>
            <w:r w:rsidR="000112F4">
              <w:rPr>
                <w:rFonts w:ascii="Times New Roman" w:hAnsi="Times New Roman" w:cs="Times New Roman"/>
                <w:color w:val="000000"/>
                <w:sz w:val="20"/>
                <w:szCs w:val="20"/>
              </w:rPr>
              <w:t>2.30</w:t>
            </w:r>
          </w:p>
        </w:tc>
        <w:tc>
          <w:tcPr>
            <w:tcW w:w="1858" w:type="dxa"/>
            <w:vAlign w:val="center"/>
          </w:tcPr>
          <w:p w:rsidR="00C5384D" w:rsidRPr="00D7128A" w:rsidP="00DB08C1" w14:paraId="16B65054" w14:textId="77777777">
            <w:pPr>
              <w:keepNext/>
              <w:keepLines/>
              <w:spacing w:after="0" w:line="240" w:lineRule="auto"/>
              <w:ind w:left="87" w:right="80"/>
              <w:jc w:val="center"/>
              <w:rPr>
                <w:rFonts w:ascii="Times New Roman" w:hAnsi="Times New Roman" w:cs="Times New Roman"/>
                <w:sz w:val="20"/>
                <w:szCs w:val="20"/>
              </w:rPr>
            </w:pPr>
            <w:r w:rsidRPr="00D7128A">
              <w:rPr>
                <w:rFonts w:ascii="Times New Roman" w:hAnsi="Times New Roman" w:cs="Times New Roman"/>
                <w:color w:val="000000"/>
                <w:sz w:val="20"/>
                <w:szCs w:val="20"/>
              </w:rPr>
              <w:t>$7</w:t>
            </w:r>
            <w:r w:rsidR="000112F4">
              <w:rPr>
                <w:rFonts w:ascii="Times New Roman" w:hAnsi="Times New Roman" w:cs="Times New Roman"/>
                <w:color w:val="000000"/>
                <w:sz w:val="20"/>
                <w:szCs w:val="20"/>
              </w:rPr>
              <w:t>2.30</w:t>
            </w:r>
          </w:p>
        </w:tc>
      </w:tr>
    </w:tbl>
    <w:p w:rsidR="00C5384D" w:rsidRPr="003A3A84" w:rsidP="004D4B61" w14:paraId="528435E9" w14:textId="77777777">
      <w:pPr>
        <w:keepNext/>
        <w:keepLines/>
        <w:spacing w:after="0" w:line="240" w:lineRule="auto"/>
        <w:ind w:left="2070"/>
        <w:rPr>
          <w:rStyle w:val="Hyperlink"/>
          <w:rFonts w:ascii="Times New Roman" w:hAnsi="Times New Roman" w:cs="Times New Roman"/>
          <w:sz w:val="18"/>
          <w:szCs w:val="18"/>
          <w:u w:val="none"/>
        </w:rPr>
      </w:pPr>
      <w:r w:rsidRPr="003A3A84">
        <w:rPr>
          <w:rFonts w:ascii="Times New Roman" w:hAnsi="Times New Roman" w:cs="Times New Roman"/>
          <w:sz w:val="18"/>
          <w:szCs w:val="18"/>
        </w:rPr>
        <w:tab/>
        <w:t>Source:</w:t>
      </w:r>
      <w:r w:rsidRPr="003A3A84">
        <w:rPr>
          <w:rFonts w:ascii="Times New Roman" w:hAnsi="Times New Roman" w:cs="Times New Roman"/>
          <w:b/>
          <w:sz w:val="18"/>
          <w:szCs w:val="18"/>
        </w:rPr>
        <w:t xml:space="preserve"> </w:t>
      </w:r>
      <w:hyperlink r:id="rId23" w:history="1">
        <w:r w:rsidRPr="003A3A84" w:rsidR="00CC1FE7">
          <w:rPr>
            <w:rStyle w:val="Hyperlink"/>
            <w:rFonts w:ascii="Times New Roman" w:hAnsi="Times New Roman" w:cs="Times New Roman"/>
            <w:sz w:val="18"/>
            <w:szCs w:val="18"/>
          </w:rPr>
          <w:t>https://www.bls.gov/oes/2022/may/oes_nat.htm</w:t>
        </w:r>
      </w:hyperlink>
      <w:r w:rsidRPr="003A3A84">
        <w:rPr>
          <w:rStyle w:val="Hyperlink"/>
          <w:rFonts w:ascii="Times New Roman" w:hAnsi="Times New Roman" w:cs="Times New Roman"/>
          <w:sz w:val="18"/>
          <w:szCs w:val="18"/>
          <w:u w:val="none"/>
        </w:rPr>
        <w:t xml:space="preserve"> and</w:t>
      </w:r>
      <w:r w:rsidRPr="003A3A84" w:rsidR="004F7953">
        <w:rPr>
          <w:rStyle w:val="Hyperlink"/>
          <w:rFonts w:ascii="Times New Roman" w:hAnsi="Times New Roman" w:cs="Times New Roman"/>
          <w:sz w:val="18"/>
          <w:szCs w:val="18"/>
          <w:u w:val="none"/>
        </w:rPr>
        <w:t xml:space="preserve"> </w:t>
      </w:r>
      <w:r w:rsidRPr="003A3A84" w:rsidR="004F7953">
        <w:rPr>
          <w:rStyle w:val="Hyperlink"/>
          <w:rFonts w:ascii="Times New Roman" w:hAnsi="Times New Roman" w:cs="Times New Roman"/>
          <w:sz w:val="18"/>
          <w:szCs w:val="18"/>
          <w:u w:val="none"/>
        </w:rPr>
        <w:tab/>
      </w:r>
      <w:r w:rsidRPr="003A3A84" w:rsidR="004F7953">
        <w:rPr>
          <w:rStyle w:val="Hyperlink"/>
          <w:rFonts w:ascii="Times New Roman" w:hAnsi="Times New Roman" w:cs="Times New Roman"/>
          <w:sz w:val="18"/>
          <w:szCs w:val="18"/>
          <w:u w:val="none"/>
        </w:rPr>
        <w:tab/>
      </w:r>
      <w:r w:rsidRPr="003A3A84" w:rsidR="004F7953">
        <w:rPr>
          <w:rStyle w:val="Hyperlink"/>
          <w:rFonts w:ascii="Times New Roman" w:hAnsi="Times New Roman" w:cs="Times New Roman"/>
          <w:sz w:val="18"/>
          <w:szCs w:val="18"/>
          <w:u w:val="none"/>
        </w:rPr>
        <w:tab/>
      </w:r>
      <w:r w:rsidRPr="003A3A84" w:rsidR="004F7953">
        <w:rPr>
          <w:rStyle w:val="Hyperlink"/>
          <w:rFonts w:ascii="Times New Roman" w:hAnsi="Times New Roman" w:cs="Times New Roman"/>
          <w:sz w:val="18"/>
          <w:szCs w:val="18"/>
          <w:u w:val="none"/>
        </w:rPr>
        <w:tab/>
      </w:r>
      <w:r w:rsidRPr="003A3A84" w:rsidR="004F7953">
        <w:rPr>
          <w:rStyle w:val="Hyperlink"/>
          <w:rFonts w:ascii="Times New Roman" w:hAnsi="Times New Roman" w:cs="Times New Roman"/>
          <w:sz w:val="18"/>
          <w:szCs w:val="18"/>
          <w:u w:val="none"/>
        </w:rPr>
        <w:tab/>
      </w:r>
      <w:hyperlink r:id="rId24" w:history="1">
        <w:r w:rsidRPr="003A3A84" w:rsidR="004F7953">
          <w:rPr>
            <w:rStyle w:val="Hyperlink"/>
            <w:rFonts w:ascii="Times New Roman" w:hAnsi="Times New Roman" w:cs="Times New Roman"/>
            <w:sz w:val="18"/>
            <w:szCs w:val="18"/>
            <w:u w:val="none"/>
          </w:rPr>
          <w:t>http://www.bls.gov/news.release/ecec.nr0.htm.</w:t>
        </w:r>
      </w:hyperlink>
    </w:p>
    <w:p w:rsidR="00DB08C1" w:rsidRPr="004D4B61" w:rsidP="004D4B61" w14:paraId="35150A94" w14:textId="77777777">
      <w:pPr>
        <w:keepNext/>
        <w:keepLines/>
        <w:spacing w:after="0" w:line="240" w:lineRule="auto"/>
        <w:ind w:left="2070"/>
        <w:rPr>
          <w:rFonts w:ascii="Times New Roman" w:hAnsi="Times New Roman" w:cs="Times New Roman"/>
          <w:b/>
        </w:rPr>
      </w:pPr>
    </w:p>
    <w:p w:rsidR="00C5384D" w:rsidRPr="004D4B61" w:rsidP="00C07306" w14:paraId="0343AEEE" w14:textId="77777777">
      <w:pPr>
        <w:pStyle w:val="Heading2"/>
      </w:pPr>
      <w:bookmarkStart w:id="155" w:name="_Toc98856215"/>
      <w:bookmarkStart w:id="156" w:name="_Toc144303535"/>
      <w:r w:rsidRPr="004D4B61">
        <w:t>4.3 Rule Familiarization</w:t>
      </w:r>
      <w:bookmarkEnd w:id="155"/>
      <w:bookmarkEnd w:id="156"/>
      <w:r w:rsidRPr="004D4B61">
        <w:t xml:space="preserve"> </w:t>
      </w:r>
    </w:p>
    <w:p w:rsidR="00A80E96" w:rsidP="00DB08C1" w14:paraId="015884D1" w14:textId="126014D6">
      <w:pPr>
        <w:spacing w:after="0" w:line="240" w:lineRule="auto"/>
        <w:ind w:firstLine="360"/>
        <w:rPr>
          <w:rFonts w:ascii="Times New Roman" w:hAnsi="Times New Roman" w:cs="Times New Roman"/>
        </w:rPr>
      </w:pPr>
      <w:r>
        <w:rPr>
          <w:rFonts w:ascii="Times New Roman" w:hAnsi="Times New Roman" w:cs="Times New Roman"/>
        </w:rPr>
        <w:tab/>
      </w:r>
      <w:r w:rsidRPr="004D4B61" w:rsidR="004F568F">
        <w:rPr>
          <w:rFonts w:ascii="Times New Roman" w:hAnsi="Times New Roman" w:cs="Times New Roman"/>
        </w:rPr>
        <w:t xml:space="preserve">RMP facility staff will spend time to review the final rule and determine which provisions apply to their facility. Most of the </w:t>
      </w:r>
      <w:r w:rsidR="004F568F">
        <w:rPr>
          <w:rFonts w:ascii="Times New Roman" w:hAnsi="Times New Roman" w:cs="Times New Roman"/>
        </w:rPr>
        <w:t>final rule</w:t>
      </w:r>
      <w:r w:rsidRPr="004D4B61" w:rsidR="004F568F">
        <w:rPr>
          <w:rFonts w:ascii="Times New Roman" w:hAnsi="Times New Roman" w:cs="Times New Roman"/>
        </w:rPr>
        <w:t xml:space="preserve"> provisions revise current requirements rather than introducing completely new provisions. </w:t>
      </w:r>
      <w:r w:rsidR="004F568F">
        <w:rPr>
          <w:rFonts w:ascii="Times New Roman" w:hAnsi="Times New Roman" w:cs="Times New Roman"/>
        </w:rPr>
        <w:t>Many provisions</w:t>
      </w:r>
      <w:r w:rsidRPr="004D4B61" w:rsidR="004F568F">
        <w:rPr>
          <w:rFonts w:ascii="Times New Roman" w:hAnsi="Times New Roman" w:cs="Times New Roman"/>
        </w:rPr>
        <w:t xml:space="preserve"> apply only after an RMP-reportable accident, e.g., root cause analysis. Still </w:t>
      </w:r>
      <w:r w:rsidR="004F568F">
        <w:rPr>
          <w:rFonts w:ascii="Times New Roman" w:hAnsi="Times New Roman" w:cs="Times New Roman"/>
        </w:rPr>
        <w:t>O</w:t>
      </w:r>
      <w:r w:rsidRPr="004D4B61" w:rsidR="004F568F">
        <w:rPr>
          <w:rFonts w:ascii="Times New Roman" w:hAnsi="Times New Roman" w:cs="Times New Roman"/>
        </w:rPr>
        <w:t>thers, such as the STAA, are expected to take time to understand</w:t>
      </w:r>
      <w:r w:rsidR="004F568F">
        <w:rPr>
          <w:rFonts w:ascii="Times New Roman" w:hAnsi="Times New Roman" w:cs="Times New Roman"/>
        </w:rPr>
        <w:t>; although</w:t>
      </w:r>
      <w:r w:rsidRPr="004D4B61" w:rsidR="004F568F">
        <w:rPr>
          <w:rFonts w:ascii="Times New Roman" w:hAnsi="Times New Roman" w:cs="Times New Roman"/>
        </w:rPr>
        <w:t xml:space="preserve"> they apply to a limited number of facilities. As such, EPA has adopted a methodology that assigns labor</w:t>
      </w:r>
      <w:r w:rsidR="004F568F">
        <w:rPr>
          <w:rFonts w:ascii="Times New Roman" w:hAnsi="Times New Roman" w:cs="Times New Roman"/>
        </w:rPr>
        <w:t xml:space="preserve"> hour</w:t>
      </w:r>
      <w:r w:rsidRPr="004D4B61" w:rsidR="004F568F">
        <w:rPr>
          <w:rFonts w:ascii="Times New Roman" w:hAnsi="Times New Roman" w:cs="Times New Roman"/>
        </w:rPr>
        <w:t xml:space="preserve"> estimates based on facility types to reflect that certain facilities will have to dedicate more time to familiarize themselves with rule provisions that apply only to them.</w:t>
      </w:r>
    </w:p>
    <w:p w:rsidR="004F568F" w:rsidRPr="004D4B61" w:rsidP="00DB08C1" w14:paraId="687E0E60" w14:textId="77777777">
      <w:pPr>
        <w:spacing w:after="0" w:line="240" w:lineRule="auto"/>
        <w:ind w:firstLine="360"/>
        <w:rPr>
          <w:rFonts w:ascii="Times New Roman" w:hAnsi="Times New Roman" w:cs="Times New Roman"/>
        </w:rPr>
      </w:pPr>
    </w:p>
    <w:p w:rsidR="00C5384D" w:rsidRPr="004D4B61" w:rsidP="00DB08C1" w14:paraId="3BEBF907"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EPA projects that t</w:t>
      </w:r>
      <w:r w:rsidRPr="004D4B61" w:rsidR="005D2188">
        <w:rPr>
          <w:rFonts w:ascii="Times New Roman" w:hAnsi="Times New Roman" w:cs="Times New Roman"/>
        </w:rPr>
        <w:t xml:space="preserve">he </w:t>
      </w:r>
      <w:r w:rsidRPr="004D4B61">
        <w:rPr>
          <w:rFonts w:ascii="Times New Roman" w:hAnsi="Times New Roman" w:cs="Times New Roman"/>
        </w:rPr>
        <w:t xml:space="preserve">time facilities </w:t>
      </w:r>
      <w:r w:rsidRPr="004D4B61" w:rsidR="005D2188">
        <w:rPr>
          <w:rFonts w:ascii="Times New Roman" w:hAnsi="Times New Roman" w:cs="Times New Roman"/>
        </w:rPr>
        <w:t xml:space="preserve">spend </w:t>
      </w:r>
      <w:r w:rsidRPr="004D4B61">
        <w:rPr>
          <w:rFonts w:ascii="Times New Roman" w:hAnsi="Times New Roman" w:cs="Times New Roman"/>
        </w:rPr>
        <w:t xml:space="preserve">to review the </w:t>
      </w:r>
      <w:r w:rsidRPr="004D4B61" w:rsidR="00183E2A">
        <w:rPr>
          <w:rFonts w:ascii="Times New Roman" w:hAnsi="Times New Roman" w:cs="Times New Roman"/>
        </w:rPr>
        <w:t>final</w:t>
      </w:r>
      <w:r w:rsidRPr="004D4B61">
        <w:rPr>
          <w:rFonts w:ascii="Times New Roman" w:hAnsi="Times New Roman" w:cs="Times New Roman"/>
        </w:rPr>
        <w:t xml:space="preserve"> rule and determine which provisions apply will be consistent with the time </w:t>
      </w:r>
      <w:r w:rsidRPr="004D4B61" w:rsidR="005D2188">
        <w:rPr>
          <w:rFonts w:ascii="Times New Roman" w:hAnsi="Times New Roman" w:cs="Times New Roman"/>
        </w:rPr>
        <w:t xml:space="preserve">they </w:t>
      </w:r>
      <w:r w:rsidRPr="004D4B61" w:rsidR="00CA261F">
        <w:rPr>
          <w:rFonts w:ascii="Times New Roman" w:hAnsi="Times New Roman" w:cs="Times New Roman"/>
        </w:rPr>
        <w:t xml:space="preserve">spent </w:t>
      </w:r>
      <w:r w:rsidRPr="004D4B61">
        <w:rPr>
          <w:rFonts w:ascii="Times New Roman" w:hAnsi="Times New Roman" w:cs="Times New Roman"/>
        </w:rPr>
        <w:t xml:space="preserve">to review the </w:t>
      </w:r>
      <w:r w:rsidR="00FE4910">
        <w:rPr>
          <w:rFonts w:ascii="Times New Roman" w:hAnsi="Times New Roman" w:cs="Times New Roman"/>
        </w:rPr>
        <w:t>2017 a</w:t>
      </w:r>
      <w:r w:rsidRPr="004D4B61">
        <w:rPr>
          <w:rFonts w:ascii="Times New Roman" w:hAnsi="Times New Roman" w:cs="Times New Roman"/>
        </w:rPr>
        <w:t>mendments rule because the number and content of provisions are similar.</w:t>
      </w:r>
      <w:r w:rsidRPr="004D4B61">
        <w:rPr>
          <w:rFonts w:ascii="Times New Roman" w:hAnsi="Times New Roman" w:cs="Times New Roman"/>
        </w:rPr>
        <w:t xml:space="preserve"> EPA projects that all facilities with simple processes </w:t>
      </w:r>
      <w:r w:rsidR="009449B7">
        <w:rPr>
          <w:rFonts w:ascii="Times New Roman" w:hAnsi="Times New Roman" w:cs="Times New Roman"/>
        </w:rPr>
        <w:t>will</w:t>
      </w:r>
      <w:r w:rsidRPr="004D4B61">
        <w:rPr>
          <w:rFonts w:ascii="Times New Roman" w:hAnsi="Times New Roman" w:cs="Times New Roman"/>
        </w:rPr>
        <w:t xml:space="preserve"> need </w:t>
      </w:r>
      <w:r w:rsidR="004063FA">
        <w:rPr>
          <w:rFonts w:ascii="Times New Roman" w:hAnsi="Times New Roman" w:cs="Times New Roman"/>
        </w:rPr>
        <w:t>five</w:t>
      </w:r>
      <w:r w:rsidRPr="004D4B61" w:rsidR="004063FA">
        <w:rPr>
          <w:rFonts w:ascii="Times New Roman" w:hAnsi="Times New Roman" w:cs="Times New Roman"/>
        </w:rPr>
        <w:t xml:space="preserve"> </w:t>
      </w:r>
      <w:r w:rsidRPr="004D4B61">
        <w:rPr>
          <w:rFonts w:ascii="Times New Roman" w:hAnsi="Times New Roman" w:cs="Times New Roman"/>
        </w:rPr>
        <w:t xml:space="preserve">hours to review the rule as </w:t>
      </w:r>
      <w:r w:rsidR="009449B7">
        <w:rPr>
          <w:rFonts w:ascii="Times New Roman" w:hAnsi="Times New Roman" w:cs="Times New Roman"/>
        </w:rPr>
        <w:t>will</w:t>
      </w:r>
      <w:r w:rsidRPr="004D4B61">
        <w:rPr>
          <w:rFonts w:ascii="Times New Roman" w:hAnsi="Times New Roman" w:cs="Times New Roman"/>
        </w:rPr>
        <w:t xml:space="preserve"> the few complex facilities in </w:t>
      </w:r>
      <w:r w:rsidRPr="004D4B61" w:rsidR="007F1F6B">
        <w:rPr>
          <w:rFonts w:ascii="Times New Roman" w:hAnsi="Times New Roman" w:cs="Times New Roman"/>
        </w:rPr>
        <w:t>Program 1</w:t>
      </w:r>
      <w:r w:rsidRPr="004D4B61">
        <w:rPr>
          <w:rFonts w:ascii="Times New Roman" w:hAnsi="Times New Roman" w:cs="Times New Roman"/>
        </w:rPr>
        <w:t xml:space="preserve"> and </w:t>
      </w:r>
      <w:r w:rsidRPr="004D4B61" w:rsidR="005E22BE">
        <w:rPr>
          <w:rFonts w:ascii="Times New Roman" w:hAnsi="Times New Roman" w:cs="Times New Roman"/>
        </w:rPr>
        <w:t>Program 2</w:t>
      </w:r>
      <w:r w:rsidRPr="004D4B61">
        <w:rPr>
          <w:rFonts w:ascii="Times New Roman" w:hAnsi="Times New Roman" w:cs="Times New Roman"/>
        </w:rPr>
        <w:t xml:space="preserve">. Complex facilities in </w:t>
      </w:r>
      <w:r w:rsidRPr="6ADBF1F7" w:rsidR="00AB34CF">
        <w:rPr>
          <w:rFonts w:ascii="Times New Roman" w:hAnsi="Times New Roman" w:cs="Times New Roman"/>
          <w:color w:val="000000" w:themeColor="text1"/>
        </w:rPr>
        <w:t>Program 3</w:t>
      </w:r>
      <w:r w:rsidRPr="004D4B61">
        <w:rPr>
          <w:rFonts w:ascii="Times New Roman" w:hAnsi="Times New Roman" w:cs="Times New Roman"/>
        </w:rPr>
        <w:t xml:space="preserve"> are </w:t>
      </w:r>
      <w:r w:rsidRPr="004D4B61">
        <w:rPr>
          <w:rFonts w:ascii="Times New Roman" w:hAnsi="Times New Roman" w:cs="Times New Roman"/>
        </w:rPr>
        <w:t xml:space="preserve">projected to spend 292 hours reviewing the rule. LEPCs </w:t>
      </w:r>
      <w:r w:rsidR="001223B1">
        <w:rPr>
          <w:rFonts w:ascii="Times New Roman" w:hAnsi="Times New Roman" w:cs="Times New Roman"/>
        </w:rPr>
        <w:t>and delegated State and local implementing agencies</w:t>
      </w:r>
      <w:r w:rsidRPr="004D4B61">
        <w:rPr>
          <w:rFonts w:ascii="Times New Roman" w:hAnsi="Times New Roman" w:cs="Times New Roman"/>
        </w:rPr>
        <w:t xml:space="preserve"> are projected to spend five hours reviewing the rule. </w:t>
      </w:r>
      <w:r w:rsidR="0075246E">
        <w:rPr>
          <w:rFonts w:ascii="Times New Roman" w:hAnsi="Times New Roman" w:cs="Times New Roman"/>
        </w:rPr>
        <w:t xml:space="preserve">The hours for delegated State and </w:t>
      </w:r>
      <w:r w:rsidR="004B7CAF">
        <w:rPr>
          <w:rFonts w:ascii="Times New Roman" w:hAnsi="Times New Roman" w:cs="Times New Roman"/>
        </w:rPr>
        <w:t>county</w:t>
      </w:r>
      <w:r w:rsidR="0075246E">
        <w:rPr>
          <w:rFonts w:ascii="Times New Roman" w:hAnsi="Times New Roman" w:cs="Times New Roman"/>
        </w:rPr>
        <w:t xml:space="preserve"> implementing agencies are increased to five hours from four in the proposed rule</w:t>
      </w:r>
      <w:r w:rsidR="00815ED3">
        <w:rPr>
          <w:rFonts w:ascii="Times New Roman" w:hAnsi="Times New Roman" w:cs="Times New Roman"/>
        </w:rPr>
        <w:t xml:space="preserve"> to create consistency </w:t>
      </w:r>
      <w:r w:rsidR="0075246E">
        <w:rPr>
          <w:rFonts w:ascii="Times New Roman" w:hAnsi="Times New Roman" w:cs="Times New Roman"/>
        </w:rPr>
        <w:t>with</w:t>
      </w:r>
      <w:r w:rsidR="00815ED3">
        <w:rPr>
          <w:rFonts w:ascii="Times New Roman" w:hAnsi="Times New Roman" w:cs="Times New Roman"/>
        </w:rPr>
        <w:t xml:space="preserve"> LEPCs</w:t>
      </w:r>
      <w:r w:rsidR="00EB06EB">
        <w:rPr>
          <w:rFonts w:ascii="Times New Roman" w:hAnsi="Times New Roman" w:cs="Times New Roman"/>
        </w:rPr>
        <w:t xml:space="preserve">. </w:t>
      </w:r>
      <w:r w:rsidRPr="004D4B61" w:rsidR="00852ADF">
        <w:rPr>
          <w:rFonts w:ascii="Times New Roman" w:hAnsi="Times New Roman" w:cs="Times New Roman"/>
        </w:rPr>
        <w:t>Exhibit 4-2 presents the</w:t>
      </w:r>
      <w:r w:rsidRPr="004D4B61">
        <w:rPr>
          <w:rFonts w:ascii="Times New Roman" w:hAnsi="Times New Roman" w:cs="Times New Roman"/>
        </w:rPr>
        <w:t xml:space="preserve"> unit </w:t>
      </w:r>
      <w:r w:rsidRPr="004D4B61" w:rsidR="005D2188">
        <w:rPr>
          <w:rFonts w:ascii="Times New Roman" w:hAnsi="Times New Roman" w:cs="Times New Roman"/>
        </w:rPr>
        <w:t xml:space="preserve">burden hour and </w:t>
      </w:r>
      <w:r w:rsidRPr="004D4B61">
        <w:rPr>
          <w:rFonts w:ascii="Times New Roman" w:hAnsi="Times New Roman" w:cs="Times New Roman"/>
        </w:rPr>
        <w:t>cost</w:t>
      </w:r>
      <w:r w:rsidRPr="004D4B61" w:rsidR="005D2188">
        <w:rPr>
          <w:rFonts w:ascii="Times New Roman" w:hAnsi="Times New Roman" w:cs="Times New Roman"/>
        </w:rPr>
        <w:t xml:space="preserve"> estimat</w:t>
      </w:r>
      <w:r w:rsidRPr="004D4B61" w:rsidR="009B4663">
        <w:rPr>
          <w:rFonts w:ascii="Times New Roman" w:hAnsi="Times New Roman" w:cs="Times New Roman"/>
        </w:rPr>
        <w:t>e</w:t>
      </w:r>
      <w:r w:rsidRPr="004D4B61" w:rsidR="005D2188">
        <w:rPr>
          <w:rFonts w:ascii="Times New Roman" w:hAnsi="Times New Roman" w:cs="Times New Roman"/>
        </w:rPr>
        <w:t>s</w:t>
      </w:r>
      <w:r w:rsidRPr="004D4B61">
        <w:rPr>
          <w:rFonts w:ascii="Times New Roman" w:hAnsi="Times New Roman" w:cs="Times New Roman"/>
        </w:rPr>
        <w:t xml:space="preserve"> </w:t>
      </w:r>
      <w:r w:rsidRPr="004D4B61" w:rsidR="00852ADF">
        <w:rPr>
          <w:rFonts w:ascii="Times New Roman" w:hAnsi="Times New Roman" w:cs="Times New Roman"/>
        </w:rPr>
        <w:t>for rule familiarization.</w:t>
      </w:r>
    </w:p>
    <w:p w:rsidR="00A80E96" w:rsidRPr="004D4B61" w:rsidP="004D4B61" w14:paraId="66BD56BC" w14:textId="77777777">
      <w:pPr>
        <w:spacing w:after="0" w:line="240" w:lineRule="auto"/>
        <w:ind w:firstLine="720"/>
        <w:rPr>
          <w:rFonts w:ascii="Times New Roman" w:hAnsi="Times New Roman" w:cs="Times New Roman"/>
        </w:rPr>
      </w:pPr>
    </w:p>
    <w:p w:rsidR="00DB08C1" w:rsidRPr="00DB08C1" w:rsidP="002251C2" w14:paraId="08B563C2" w14:textId="77777777">
      <w:pPr>
        <w:pStyle w:val="Caption"/>
        <w:keepNext/>
        <w:jc w:val="center"/>
        <w:rPr>
          <w:rFonts w:ascii="Times New Roman" w:hAnsi="Times New Roman" w:cs="Times New Roman"/>
          <w:b/>
          <w:bCs/>
          <w:i w:val="0"/>
          <w:iCs w:val="0"/>
          <w:color w:val="auto"/>
          <w:sz w:val="22"/>
          <w:szCs w:val="22"/>
        </w:rPr>
      </w:pPr>
      <w:r w:rsidRPr="00DB08C1">
        <w:rPr>
          <w:rFonts w:ascii="Times New Roman" w:hAnsi="Times New Roman" w:cs="Times New Roman"/>
          <w:b/>
          <w:bCs/>
          <w:i w:val="0"/>
          <w:iCs w:val="0"/>
          <w:color w:val="auto"/>
          <w:sz w:val="22"/>
          <w:szCs w:val="22"/>
        </w:rPr>
        <w:t>Exhibit 4-2: Estimated Unit Burden and Cost for Rule Familiarization (202</w:t>
      </w:r>
      <w:r w:rsidR="004143B6">
        <w:rPr>
          <w:rFonts w:ascii="Times New Roman" w:hAnsi="Times New Roman" w:cs="Times New Roman"/>
          <w:b/>
          <w:bCs/>
          <w:i w:val="0"/>
          <w:iCs w:val="0"/>
          <w:color w:val="auto"/>
          <w:sz w:val="22"/>
          <w:szCs w:val="22"/>
        </w:rPr>
        <w:t>2</w:t>
      </w:r>
      <w:r w:rsidRPr="00DB08C1">
        <w:rPr>
          <w:rFonts w:ascii="Times New Roman" w:hAnsi="Times New Roman" w:cs="Times New Roman"/>
          <w:b/>
          <w:bCs/>
          <w:i w:val="0"/>
          <w:iCs w:val="0"/>
          <w:color w:val="auto"/>
          <w:sz w:val="22"/>
          <w:szCs w:val="22"/>
        </w:rPr>
        <w:t xml:space="preserve"> Dollars).</w:t>
      </w:r>
    </w:p>
    <w:tbl>
      <w:tblPr>
        <w:tblW w:w="985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tblPr>
      <w:tblGrid>
        <w:gridCol w:w="2425"/>
        <w:gridCol w:w="1158"/>
        <w:gridCol w:w="1194"/>
        <w:gridCol w:w="1221"/>
        <w:gridCol w:w="1290"/>
        <w:gridCol w:w="1301"/>
        <w:gridCol w:w="1265"/>
      </w:tblGrid>
      <w:tr w14:paraId="75BE09FC" w14:textId="77777777" w:rsidTr="00F068F8">
        <w:tblPrEx>
          <w:tblW w:w="985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tblPrEx>
        <w:trPr>
          <w:trHeight w:val="164"/>
          <w:tblHeader/>
          <w:jc w:val="center"/>
        </w:trPr>
        <w:tc>
          <w:tcPr>
            <w:tcW w:w="2425" w:type="dxa"/>
            <w:vMerge w:val="restart"/>
            <w:shd w:val="clear" w:color="auto" w:fill="D9D9D9" w:themeFill="background1" w:themeFillShade="D9"/>
            <w:vAlign w:val="center"/>
          </w:tcPr>
          <w:p w:rsidR="00610B55" w:rsidRPr="00D7128A" w:rsidP="00F068F8" w14:paraId="31C0CDD0" w14:textId="77777777">
            <w:pPr>
              <w:keepNext/>
              <w:spacing w:after="0" w:line="240" w:lineRule="auto"/>
              <w:rPr>
                <w:rFonts w:ascii="Times New Roman" w:hAnsi="Times New Roman" w:cs="Times New Roman"/>
                <w:b/>
                <w:sz w:val="20"/>
                <w:szCs w:val="20"/>
              </w:rPr>
            </w:pPr>
            <w:r w:rsidRPr="00D7128A">
              <w:rPr>
                <w:rFonts w:ascii="Times New Roman" w:hAnsi="Times New Roman" w:cs="Times New Roman"/>
                <w:b/>
                <w:sz w:val="20"/>
                <w:szCs w:val="20"/>
              </w:rPr>
              <w:t>Facility Type</w:t>
            </w:r>
          </w:p>
        </w:tc>
        <w:tc>
          <w:tcPr>
            <w:tcW w:w="6164" w:type="dxa"/>
            <w:gridSpan w:val="5"/>
            <w:shd w:val="clear" w:color="auto" w:fill="D9D9D9" w:themeFill="background1" w:themeFillShade="D9"/>
            <w:vAlign w:val="center"/>
          </w:tcPr>
          <w:p w:rsidR="00610B55" w:rsidRPr="00D7128A" w:rsidP="00F068F8" w14:paraId="4CA47137" w14:textId="77777777">
            <w:pPr>
              <w:keepNext/>
              <w:spacing w:after="0" w:line="240" w:lineRule="auto"/>
              <w:ind w:right="-105"/>
              <w:jc w:val="center"/>
              <w:rPr>
                <w:rFonts w:ascii="Times New Roman" w:hAnsi="Times New Roman" w:cs="Times New Roman"/>
                <w:b/>
                <w:sz w:val="20"/>
                <w:szCs w:val="20"/>
              </w:rPr>
            </w:pPr>
            <w:r w:rsidRPr="00D7128A">
              <w:rPr>
                <w:rFonts w:ascii="Times New Roman" w:hAnsi="Times New Roman" w:cs="Times New Roman"/>
                <w:b/>
                <w:sz w:val="20"/>
                <w:szCs w:val="20"/>
              </w:rPr>
              <w:t>Labor Hours</w:t>
            </w:r>
          </w:p>
        </w:tc>
        <w:tc>
          <w:tcPr>
            <w:tcW w:w="1265" w:type="dxa"/>
            <w:vMerge w:val="restart"/>
            <w:shd w:val="clear" w:color="auto" w:fill="D9D9D9" w:themeFill="background1" w:themeFillShade="D9"/>
            <w:vAlign w:val="center"/>
          </w:tcPr>
          <w:p w:rsidR="00610B55" w:rsidRPr="00D7128A" w:rsidP="00F068F8" w14:paraId="5B981DDA" w14:textId="77777777">
            <w:pPr>
              <w:keepNext/>
              <w:spacing w:after="0" w:line="240" w:lineRule="auto"/>
              <w:jc w:val="center"/>
              <w:rPr>
                <w:rFonts w:ascii="Times New Roman" w:hAnsi="Times New Roman" w:cs="Times New Roman"/>
                <w:b/>
                <w:sz w:val="20"/>
                <w:szCs w:val="20"/>
              </w:rPr>
            </w:pPr>
            <w:r w:rsidRPr="00D7128A">
              <w:rPr>
                <w:rFonts w:ascii="Times New Roman" w:hAnsi="Times New Roman" w:cs="Times New Roman"/>
                <w:b/>
                <w:sz w:val="20"/>
                <w:szCs w:val="20"/>
              </w:rPr>
              <w:t>Facility Cost</w:t>
            </w:r>
          </w:p>
        </w:tc>
      </w:tr>
      <w:tr w14:paraId="14C31978" w14:textId="77777777" w:rsidTr="00F068F8">
        <w:tblPrEx>
          <w:tblW w:w="9854" w:type="dxa"/>
          <w:jc w:val="center"/>
          <w:tblLook w:val="01E0"/>
        </w:tblPrEx>
        <w:trPr>
          <w:trHeight w:val="173"/>
          <w:tblHeader/>
          <w:jc w:val="center"/>
        </w:trPr>
        <w:tc>
          <w:tcPr>
            <w:tcW w:w="2425" w:type="dxa"/>
            <w:vMerge/>
            <w:vAlign w:val="center"/>
          </w:tcPr>
          <w:p w:rsidR="00610B55" w:rsidRPr="00D7128A" w:rsidP="00F068F8" w14:paraId="169207EE" w14:textId="77777777">
            <w:pPr>
              <w:spacing w:after="0" w:line="240" w:lineRule="auto"/>
              <w:rPr>
                <w:rFonts w:ascii="Times New Roman" w:hAnsi="Times New Roman" w:cs="Times New Roman"/>
                <w:sz w:val="20"/>
                <w:szCs w:val="20"/>
              </w:rPr>
            </w:pPr>
          </w:p>
        </w:tc>
        <w:tc>
          <w:tcPr>
            <w:tcW w:w="1158" w:type="dxa"/>
            <w:shd w:val="clear" w:color="auto" w:fill="D9D9D9" w:themeFill="background1" w:themeFillShade="D9"/>
            <w:vAlign w:val="center"/>
          </w:tcPr>
          <w:p w:rsidR="00610B55" w:rsidRPr="00D7128A" w:rsidP="00DB08C1" w14:paraId="7B46E0D7" w14:textId="77777777">
            <w:pPr>
              <w:keepNext/>
              <w:spacing w:after="0" w:line="240" w:lineRule="auto"/>
              <w:jc w:val="center"/>
              <w:rPr>
                <w:rFonts w:ascii="Times New Roman" w:hAnsi="Times New Roman" w:cs="Times New Roman"/>
                <w:b/>
                <w:sz w:val="20"/>
                <w:szCs w:val="20"/>
              </w:rPr>
            </w:pPr>
            <w:r w:rsidRPr="00D7128A">
              <w:rPr>
                <w:rFonts w:ascii="Times New Roman" w:hAnsi="Times New Roman" w:cs="Times New Roman"/>
                <w:b/>
                <w:sz w:val="20"/>
                <w:szCs w:val="20"/>
              </w:rPr>
              <w:t>Managers</w:t>
            </w:r>
          </w:p>
        </w:tc>
        <w:tc>
          <w:tcPr>
            <w:tcW w:w="1194" w:type="dxa"/>
            <w:shd w:val="clear" w:color="auto" w:fill="D9D9D9" w:themeFill="background1" w:themeFillShade="D9"/>
            <w:vAlign w:val="center"/>
          </w:tcPr>
          <w:p w:rsidR="00610B55" w:rsidRPr="00D7128A" w:rsidP="00F068F8" w14:paraId="692C9ED3" w14:textId="77777777">
            <w:pPr>
              <w:keepNext/>
              <w:spacing w:after="0" w:line="240" w:lineRule="auto"/>
              <w:jc w:val="center"/>
              <w:rPr>
                <w:rFonts w:ascii="Times New Roman" w:hAnsi="Times New Roman" w:cs="Times New Roman"/>
                <w:b/>
                <w:sz w:val="20"/>
                <w:szCs w:val="20"/>
              </w:rPr>
            </w:pPr>
            <w:r w:rsidRPr="00D7128A">
              <w:rPr>
                <w:rFonts w:ascii="Times New Roman" w:hAnsi="Times New Roman" w:cs="Times New Roman"/>
                <w:b/>
                <w:sz w:val="20"/>
                <w:szCs w:val="20"/>
              </w:rPr>
              <w:t>Corporate Mgmt.</w:t>
            </w:r>
          </w:p>
        </w:tc>
        <w:tc>
          <w:tcPr>
            <w:tcW w:w="1221" w:type="dxa"/>
            <w:shd w:val="clear" w:color="auto" w:fill="D9D9D9" w:themeFill="background1" w:themeFillShade="D9"/>
            <w:vAlign w:val="center"/>
          </w:tcPr>
          <w:p w:rsidR="00610B55" w:rsidRPr="00D7128A" w:rsidP="004D4B61" w14:paraId="6FD5F544" w14:textId="77777777">
            <w:pPr>
              <w:keepNext/>
              <w:spacing w:after="0" w:line="240" w:lineRule="auto"/>
              <w:ind w:right="76"/>
              <w:jc w:val="center"/>
              <w:rPr>
                <w:rFonts w:ascii="Times New Roman" w:hAnsi="Times New Roman" w:cs="Times New Roman"/>
                <w:b/>
                <w:sz w:val="20"/>
                <w:szCs w:val="20"/>
              </w:rPr>
            </w:pPr>
            <w:r w:rsidRPr="00D7128A">
              <w:rPr>
                <w:rFonts w:ascii="Times New Roman" w:hAnsi="Times New Roman" w:cs="Times New Roman"/>
                <w:b/>
                <w:sz w:val="20"/>
                <w:szCs w:val="20"/>
              </w:rPr>
              <w:t>Attorneys</w:t>
            </w:r>
          </w:p>
        </w:tc>
        <w:tc>
          <w:tcPr>
            <w:tcW w:w="1290" w:type="dxa"/>
            <w:shd w:val="clear" w:color="auto" w:fill="D9D9D9" w:themeFill="background1" w:themeFillShade="D9"/>
            <w:vAlign w:val="center"/>
          </w:tcPr>
          <w:p w:rsidR="00610B55" w:rsidRPr="00D7128A" w:rsidP="004D4B61" w14:paraId="7E2F3220" w14:textId="77777777">
            <w:pPr>
              <w:keepNext/>
              <w:spacing w:after="0" w:line="240" w:lineRule="auto"/>
              <w:ind w:right="132"/>
              <w:jc w:val="center"/>
              <w:rPr>
                <w:rFonts w:ascii="Times New Roman" w:hAnsi="Times New Roman" w:cs="Times New Roman"/>
                <w:b/>
                <w:sz w:val="20"/>
                <w:szCs w:val="20"/>
              </w:rPr>
            </w:pPr>
            <w:r w:rsidRPr="00D7128A">
              <w:rPr>
                <w:rFonts w:ascii="Times New Roman" w:hAnsi="Times New Roman" w:cs="Times New Roman"/>
                <w:b/>
                <w:sz w:val="20"/>
                <w:szCs w:val="20"/>
              </w:rPr>
              <w:t>Engineers</w:t>
            </w:r>
          </w:p>
        </w:tc>
        <w:tc>
          <w:tcPr>
            <w:tcW w:w="1301" w:type="dxa"/>
            <w:shd w:val="clear" w:color="auto" w:fill="D9D9D9" w:themeFill="background1" w:themeFillShade="D9"/>
            <w:vAlign w:val="center"/>
          </w:tcPr>
          <w:p w:rsidR="00610B55" w:rsidRPr="00D7128A" w:rsidP="00DB08C1" w14:paraId="73A302B6" w14:textId="77777777">
            <w:pPr>
              <w:keepNext/>
              <w:spacing w:after="0" w:line="240" w:lineRule="auto"/>
              <w:jc w:val="center"/>
              <w:rPr>
                <w:rFonts w:ascii="Times New Roman" w:hAnsi="Times New Roman" w:cs="Times New Roman"/>
                <w:b/>
                <w:sz w:val="20"/>
                <w:szCs w:val="20"/>
              </w:rPr>
            </w:pPr>
            <w:r w:rsidRPr="00D7128A">
              <w:rPr>
                <w:rFonts w:ascii="Times New Roman" w:hAnsi="Times New Roman" w:cs="Times New Roman"/>
                <w:b/>
                <w:sz w:val="20"/>
                <w:szCs w:val="20"/>
              </w:rPr>
              <w:t>Production</w:t>
            </w:r>
          </w:p>
        </w:tc>
        <w:tc>
          <w:tcPr>
            <w:tcW w:w="1265" w:type="dxa"/>
            <w:vMerge/>
            <w:vAlign w:val="center"/>
          </w:tcPr>
          <w:p w:rsidR="00610B55" w:rsidRPr="00D7128A" w:rsidP="00DB08C1" w14:paraId="4FAC0185" w14:textId="77777777">
            <w:pPr>
              <w:spacing w:after="0" w:line="240" w:lineRule="auto"/>
              <w:jc w:val="center"/>
              <w:rPr>
                <w:rFonts w:ascii="Times New Roman" w:hAnsi="Times New Roman" w:cs="Times New Roman"/>
                <w:sz w:val="20"/>
                <w:szCs w:val="20"/>
              </w:rPr>
            </w:pPr>
          </w:p>
        </w:tc>
      </w:tr>
      <w:tr w14:paraId="0E6ADA1F" w14:textId="77777777" w:rsidTr="00F068F8">
        <w:tblPrEx>
          <w:tblW w:w="9854" w:type="dxa"/>
          <w:jc w:val="center"/>
          <w:tblLook w:val="01E0"/>
        </w:tblPrEx>
        <w:trPr>
          <w:trHeight w:val="288"/>
          <w:jc w:val="center"/>
        </w:trPr>
        <w:tc>
          <w:tcPr>
            <w:tcW w:w="2425" w:type="dxa"/>
            <w:vAlign w:val="center"/>
          </w:tcPr>
          <w:p w:rsidR="00610B55" w:rsidRPr="00D7128A" w:rsidP="00F068F8" w14:paraId="1BB4D561" w14:textId="77777777">
            <w:pPr>
              <w:keepNext/>
              <w:spacing w:after="0" w:line="240" w:lineRule="auto"/>
              <w:rPr>
                <w:rFonts w:ascii="Times New Roman" w:hAnsi="Times New Roman" w:cs="Times New Roman"/>
                <w:sz w:val="20"/>
                <w:szCs w:val="20"/>
              </w:rPr>
            </w:pPr>
            <w:r w:rsidRPr="00D7128A">
              <w:rPr>
                <w:rFonts w:ascii="Times New Roman" w:hAnsi="Times New Roman" w:cs="Times New Roman"/>
                <w:sz w:val="20"/>
                <w:szCs w:val="20"/>
              </w:rPr>
              <w:t>Simple</w:t>
            </w:r>
          </w:p>
        </w:tc>
        <w:tc>
          <w:tcPr>
            <w:tcW w:w="1158" w:type="dxa"/>
            <w:vAlign w:val="center"/>
          </w:tcPr>
          <w:p w:rsidR="00610B55" w:rsidRPr="00D7128A" w:rsidP="004D4B61" w14:paraId="036ABA57" w14:textId="77777777">
            <w:pPr>
              <w:keepNext/>
              <w:spacing w:after="0" w:line="240" w:lineRule="auto"/>
              <w:ind w:left="5"/>
              <w:jc w:val="center"/>
              <w:rPr>
                <w:rFonts w:ascii="Times New Roman" w:hAnsi="Times New Roman" w:cs="Times New Roman"/>
                <w:sz w:val="20"/>
                <w:szCs w:val="20"/>
              </w:rPr>
            </w:pPr>
            <w:r>
              <w:rPr>
                <w:rFonts w:ascii="Times New Roman" w:hAnsi="Times New Roman" w:cs="Times New Roman"/>
                <w:sz w:val="20"/>
                <w:szCs w:val="20"/>
              </w:rPr>
              <w:t>5</w:t>
            </w:r>
          </w:p>
        </w:tc>
        <w:tc>
          <w:tcPr>
            <w:tcW w:w="1194" w:type="dxa"/>
            <w:vAlign w:val="center"/>
          </w:tcPr>
          <w:p w:rsidR="00610B55" w:rsidRPr="00D7128A" w:rsidP="004D4B61" w14:paraId="307B55C0" w14:textId="77777777">
            <w:pPr>
              <w:keepNext/>
              <w:spacing w:after="0" w:line="240" w:lineRule="auto"/>
              <w:ind w:left="3"/>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21" w:type="dxa"/>
            <w:vAlign w:val="center"/>
          </w:tcPr>
          <w:p w:rsidR="00610B55" w:rsidRPr="00D7128A" w:rsidP="004D4B61" w14:paraId="06957ECB" w14:textId="77777777">
            <w:pPr>
              <w:keepNext/>
              <w:spacing w:after="0" w:line="240" w:lineRule="auto"/>
              <w:ind w:left="5"/>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90" w:type="dxa"/>
            <w:vAlign w:val="center"/>
          </w:tcPr>
          <w:p w:rsidR="00610B55" w:rsidRPr="00D7128A" w:rsidP="004D4B61" w14:paraId="302DF5A2" w14:textId="77777777">
            <w:pPr>
              <w:keepNext/>
              <w:spacing w:after="0" w:line="240" w:lineRule="auto"/>
              <w:ind w:left="4"/>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301" w:type="dxa"/>
            <w:vAlign w:val="center"/>
          </w:tcPr>
          <w:p w:rsidR="00610B55" w:rsidRPr="00D7128A" w:rsidP="004D4B61" w14:paraId="6E35110E" w14:textId="77777777">
            <w:pPr>
              <w:keepNext/>
              <w:spacing w:after="0" w:line="240" w:lineRule="auto"/>
              <w:ind w:left="8"/>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65" w:type="dxa"/>
            <w:vAlign w:val="center"/>
          </w:tcPr>
          <w:p w:rsidR="00610B55" w:rsidRPr="00D7128A" w:rsidP="004D4B61" w14:paraId="04DC31B0" w14:textId="77777777">
            <w:pPr>
              <w:keepNext/>
              <w:spacing w:after="0" w:line="240" w:lineRule="auto"/>
              <w:ind w:left="171" w:right="163"/>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A0068E">
              <w:rPr>
                <w:rFonts w:ascii="Times New Roman" w:hAnsi="Times New Roman" w:cs="Times New Roman"/>
                <w:color w:val="000000"/>
                <w:sz w:val="20"/>
                <w:szCs w:val="20"/>
              </w:rPr>
              <w:t>553</w:t>
            </w:r>
          </w:p>
        </w:tc>
      </w:tr>
      <w:tr w14:paraId="7A8CAA29" w14:textId="77777777" w:rsidTr="00F068F8">
        <w:tblPrEx>
          <w:tblW w:w="9854" w:type="dxa"/>
          <w:jc w:val="center"/>
          <w:tblLook w:val="01E0"/>
        </w:tblPrEx>
        <w:trPr>
          <w:trHeight w:val="263"/>
          <w:jc w:val="center"/>
        </w:trPr>
        <w:tc>
          <w:tcPr>
            <w:tcW w:w="2425" w:type="dxa"/>
            <w:vAlign w:val="center"/>
          </w:tcPr>
          <w:p w:rsidR="00610B55" w:rsidRPr="00D7128A" w:rsidP="00F068F8" w14:paraId="343E9F0B" w14:textId="77777777">
            <w:pPr>
              <w:spacing w:after="0" w:line="240" w:lineRule="auto"/>
              <w:rPr>
                <w:rFonts w:ascii="Times New Roman" w:hAnsi="Times New Roman" w:cs="Times New Roman"/>
                <w:sz w:val="20"/>
                <w:szCs w:val="20"/>
              </w:rPr>
            </w:pPr>
            <w:r w:rsidRPr="00D7128A">
              <w:rPr>
                <w:rFonts w:ascii="Times New Roman" w:hAnsi="Times New Roman" w:cs="Times New Roman"/>
                <w:sz w:val="20"/>
                <w:szCs w:val="20"/>
              </w:rPr>
              <w:t>P1 and P2</w:t>
            </w:r>
            <w:r w:rsidRPr="00D7128A" w:rsidR="00F068F8">
              <w:rPr>
                <w:rFonts w:ascii="Times New Roman" w:hAnsi="Times New Roman" w:cs="Times New Roman"/>
                <w:sz w:val="20"/>
                <w:szCs w:val="20"/>
              </w:rPr>
              <w:t>:</w:t>
            </w:r>
            <w:r w:rsidRPr="00D7128A">
              <w:rPr>
                <w:rFonts w:ascii="Times New Roman" w:hAnsi="Times New Roman" w:cs="Times New Roman"/>
                <w:sz w:val="20"/>
                <w:szCs w:val="20"/>
              </w:rPr>
              <w:t xml:space="preserve"> Complex</w:t>
            </w:r>
          </w:p>
        </w:tc>
        <w:tc>
          <w:tcPr>
            <w:tcW w:w="1158" w:type="dxa"/>
            <w:vAlign w:val="center"/>
          </w:tcPr>
          <w:p w:rsidR="00610B55" w:rsidRPr="00D7128A" w:rsidP="004D4B61" w14:paraId="61684348" w14:textId="77777777">
            <w:pPr>
              <w:spacing w:after="0" w:line="240" w:lineRule="auto"/>
              <w:ind w:left="158" w:right="149"/>
              <w:jc w:val="center"/>
              <w:rPr>
                <w:rFonts w:ascii="Times New Roman" w:hAnsi="Times New Roman" w:cs="Times New Roman"/>
                <w:sz w:val="20"/>
                <w:szCs w:val="20"/>
              </w:rPr>
            </w:pPr>
            <w:r>
              <w:rPr>
                <w:rFonts w:ascii="Times New Roman" w:hAnsi="Times New Roman" w:cs="Times New Roman"/>
                <w:sz w:val="20"/>
                <w:szCs w:val="20"/>
              </w:rPr>
              <w:t>5</w:t>
            </w:r>
          </w:p>
        </w:tc>
        <w:tc>
          <w:tcPr>
            <w:tcW w:w="1194" w:type="dxa"/>
            <w:vAlign w:val="center"/>
          </w:tcPr>
          <w:p w:rsidR="00610B55" w:rsidRPr="00D7128A" w:rsidP="004D4B61" w14:paraId="77EA1CA3" w14:textId="77777777">
            <w:pPr>
              <w:spacing w:after="0" w:line="240" w:lineRule="auto"/>
              <w:ind w:left="137" w:right="132"/>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21" w:type="dxa"/>
            <w:vAlign w:val="center"/>
          </w:tcPr>
          <w:p w:rsidR="00610B55" w:rsidRPr="00D7128A" w:rsidP="004D4B61" w14:paraId="6B59803D" w14:textId="77777777">
            <w:pPr>
              <w:spacing w:after="0" w:line="240" w:lineRule="auto"/>
              <w:ind w:left="5"/>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90" w:type="dxa"/>
            <w:vAlign w:val="center"/>
          </w:tcPr>
          <w:p w:rsidR="00610B55" w:rsidRPr="00D7128A" w:rsidP="004D4B61" w14:paraId="63999B12" w14:textId="77777777">
            <w:pPr>
              <w:spacing w:after="0" w:line="240" w:lineRule="auto"/>
              <w:ind w:left="137" w:right="130"/>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301" w:type="dxa"/>
            <w:vAlign w:val="center"/>
          </w:tcPr>
          <w:p w:rsidR="00610B55" w:rsidRPr="00D7128A" w:rsidP="004D4B61" w14:paraId="16DEE592" w14:textId="77777777">
            <w:pPr>
              <w:spacing w:after="0" w:line="240" w:lineRule="auto"/>
              <w:ind w:left="103" w:right="91"/>
              <w:jc w:val="center"/>
              <w:rPr>
                <w:rFonts w:ascii="Times New Roman" w:eastAsia="Times New Roman" w:hAnsi="Times New Roman" w:cs="Times New Roman"/>
                <w:sz w:val="20"/>
                <w:szCs w:val="20"/>
              </w:rPr>
            </w:pPr>
            <w:r w:rsidRPr="00D7128A">
              <w:rPr>
                <w:rFonts w:ascii="Times New Roman" w:hAnsi="Times New Roman" w:cs="Times New Roman"/>
                <w:sz w:val="20"/>
                <w:szCs w:val="20"/>
              </w:rPr>
              <w:t>0</w:t>
            </w:r>
          </w:p>
        </w:tc>
        <w:tc>
          <w:tcPr>
            <w:tcW w:w="1265" w:type="dxa"/>
            <w:vAlign w:val="center"/>
          </w:tcPr>
          <w:p w:rsidR="00610B55" w:rsidRPr="00D7128A" w:rsidP="004D4B61" w14:paraId="0019D853" w14:textId="77777777">
            <w:pPr>
              <w:spacing w:after="0" w:line="240" w:lineRule="auto"/>
              <w:ind w:left="171" w:right="163"/>
              <w:jc w:val="center"/>
              <w:rPr>
                <w:rFonts w:ascii="Times New Roman" w:hAnsi="Times New Roman" w:cs="Times New Roman"/>
                <w:color w:val="000000" w:themeColor="text1"/>
                <w:sz w:val="20"/>
                <w:szCs w:val="20"/>
              </w:rPr>
            </w:pPr>
            <w:r w:rsidRPr="00D7128A">
              <w:rPr>
                <w:rFonts w:ascii="Times New Roman" w:hAnsi="Times New Roman" w:cs="Times New Roman"/>
                <w:color w:val="000000"/>
                <w:sz w:val="20"/>
                <w:szCs w:val="20"/>
              </w:rPr>
              <w:t>$</w:t>
            </w:r>
            <w:r w:rsidR="00A0068E">
              <w:rPr>
                <w:rFonts w:ascii="Times New Roman" w:hAnsi="Times New Roman" w:cs="Times New Roman"/>
                <w:color w:val="000000"/>
                <w:sz w:val="20"/>
                <w:szCs w:val="20"/>
              </w:rPr>
              <w:t>688</w:t>
            </w:r>
          </w:p>
        </w:tc>
      </w:tr>
      <w:tr w14:paraId="662BE8FD" w14:textId="77777777" w:rsidTr="00F068F8">
        <w:tblPrEx>
          <w:tblW w:w="9854" w:type="dxa"/>
          <w:jc w:val="center"/>
          <w:tblLook w:val="01E0"/>
        </w:tblPrEx>
        <w:trPr>
          <w:trHeight w:val="164"/>
          <w:jc w:val="center"/>
        </w:trPr>
        <w:tc>
          <w:tcPr>
            <w:tcW w:w="2425" w:type="dxa"/>
            <w:vAlign w:val="center"/>
          </w:tcPr>
          <w:p w:rsidR="00610B55" w:rsidRPr="00D7128A" w:rsidP="00F068F8" w14:paraId="0168E814" w14:textId="77777777">
            <w:pPr>
              <w:spacing w:after="0" w:line="240" w:lineRule="auto"/>
              <w:rPr>
                <w:rFonts w:ascii="Times New Roman" w:hAnsi="Times New Roman" w:cs="Times New Roman"/>
                <w:sz w:val="20"/>
                <w:szCs w:val="20"/>
              </w:rPr>
            </w:pPr>
            <w:r w:rsidRPr="00D7128A">
              <w:rPr>
                <w:rFonts w:ascii="Times New Roman" w:hAnsi="Times New Roman" w:cs="Times New Roman"/>
                <w:sz w:val="20"/>
                <w:szCs w:val="20"/>
              </w:rPr>
              <w:t>P3</w:t>
            </w:r>
            <w:r w:rsidRPr="00D7128A" w:rsidR="00F068F8">
              <w:rPr>
                <w:rFonts w:ascii="Times New Roman" w:hAnsi="Times New Roman" w:cs="Times New Roman"/>
                <w:sz w:val="20"/>
                <w:szCs w:val="20"/>
              </w:rPr>
              <w:t>:</w:t>
            </w:r>
            <w:r w:rsidRPr="00D7128A">
              <w:rPr>
                <w:rFonts w:ascii="Times New Roman" w:hAnsi="Times New Roman" w:cs="Times New Roman"/>
                <w:sz w:val="20"/>
                <w:szCs w:val="20"/>
              </w:rPr>
              <w:t xml:space="preserve"> Complex</w:t>
            </w:r>
          </w:p>
        </w:tc>
        <w:tc>
          <w:tcPr>
            <w:tcW w:w="1158" w:type="dxa"/>
            <w:vAlign w:val="center"/>
          </w:tcPr>
          <w:p w:rsidR="00610B55" w:rsidRPr="00D7128A" w:rsidP="004D4B61" w14:paraId="309BE7DC" w14:textId="77777777">
            <w:pPr>
              <w:spacing w:after="0" w:line="240" w:lineRule="auto"/>
              <w:ind w:left="5"/>
              <w:jc w:val="center"/>
              <w:rPr>
                <w:rFonts w:ascii="Times New Roman" w:hAnsi="Times New Roman" w:cs="Times New Roman"/>
                <w:sz w:val="20"/>
                <w:szCs w:val="20"/>
              </w:rPr>
            </w:pPr>
            <w:r w:rsidRPr="00D7128A">
              <w:rPr>
                <w:rFonts w:ascii="Times New Roman" w:hAnsi="Times New Roman" w:cs="Times New Roman"/>
                <w:sz w:val="20"/>
                <w:szCs w:val="20"/>
              </w:rPr>
              <w:t>20</w:t>
            </w:r>
          </w:p>
        </w:tc>
        <w:tc>
          <w:tcPr>
            <w:tcW w:w="1194" w:type="dxa"/>
            <w:vAlign w:val="center"/>
          </w:tcPr>
          <w:p w:rsidR="00610B55" w:rsidRPr="00D7128A" w:rsidP="004D4B61" w14:paraId="681ABD49" w14:textId="77777777">
            <w:pPr>
              <w:spacing w:after="0" w:line="240" w:lineRule="auto"/>
              <w:ind w:left="3"/>
              <w:jc w:val="center"/>
              <w:rPr>
                <w:rFonts w:ascii="Times New Roman" w:hAnsi="Times New Roman" w:cs="Times New Roman"/>
                <w:sz w:val="20"/>
                <w:szCs w:val="20"/>
              </w:rPr>
            </w:pPr>
            <w:r w:rsidRPr="00D7128A">
              <w:rPr>
                <w:rFonts w:ascii="Times New Roman" w:hAnsi="Times New Roman" w:cs="Times New Roman"/>
                <w:sz w:val="20"/>
                <w:szCs w:val="20"/>
              </w:rPr>
              <w:t>48</w:t>
            </w:r>
          </w:p>
        </w:tc>
        <w:tc>
          <w:tcPr>
            <w:tcW w:w="1221" w:type="dxa"/>
            <w:vAlign w:val="center"/>
          </w:tcPr>
          <w:p w:rsidR="00610B55" w:rsidRPr="00D7128A" w:rsidP="004D4B61" w14:paraId="64DC811B" w14:textId="77777777">
            <w:pPr>
              <w:spacing w:after="0" w:line="240" w:lineRule="auto"/>
              <w:ind w:left="5"/>
              <w:jc w:val="center"/>
              <w:rPr>
                <w:rFonts w:ascii="Times New Roman" w:hAnsi="Times New Roman" w:cs="Times New Roman"/>
                <w:sz w:val="20"/>
                <w:szCs w:val="20"/>
              </w:rPr>
            </w:pPr>
            <w:r w:rsidRPr="00D7128A">
              <w:rPr>
                <w:rFonts w:ascii="Times New Roman" w:hAnsi="Times New Roman" w:cs="Times New Roman"/>
                <w:sz w:val="20"/>
                <w:szCs w:val="20"/>
              </w:rPr>
              <w:t>12</w:t>
            </w:r>
          </w:p>
        </w:tc>
        <w:tc>
          <w:tcPr>
            <w:tcW w:w="1290" w:type="dxa"/>
            <w:vAlign w:val="center"/>
          </w:tcPr>
          <w:p w:rsidR="00610B55" w:rsidRPr="00D7128A" w:rsidP="004D4B61" w14:paraId="7A51DA66" w14:textId="77777777">
            <w:pPr>
              <w:spacing w:after="0" w:line="240" w:lineRule="auto"/>
              <w:ind w:left="4"/>
              <w:jc w:val="center"/>
              <w:rPr>
                <w:rFonts w:ascii="Times New Roman" w:hAnsi="Times New Roman" w:cs="Times New Roman"/>
                <w:sz w:val="20"/>
                <w:szCs w:val="20"/>
              </w:rPr>
            </w:pPr>
            <w:r w:rsidRPr="00D7128A">
              <w:rPr>
                <w:rFonts w:ascii="Times New Roman" w:hAnsi="Times New Roman" w:cs="Times New Roman"/>
                <w:sz w:val="20"/>
                <w:szCs w:val="20"/>
              </w:rPr>
              <w:t>87</w:t>
            </w:r>
          </w:p>
        </w:tc>
        <w:tc>
          <w:tcPr>
            <w:tcW w:w="1301" w:type="dxa"/>
            <w:vAlign w:val="center"/>
          </w:tcPr>
          <w:p w:rsidR="00610B55" w:rsidRPr="00D7128A" w:rsidP="004D4B61" w14:paraId="313462FB" w14:textId="77777777">
            <w:pPr>
              <w:spacing w:after="0" w:line="240" w:lineRule="auto"/>
              <w:ind w:left="8"/>
              <w:jc w:val="center"/>
              <w:rPr>
                <w:rFonts w:ascii="Times New Roman" w:hAnsi="Times New Roman" w:cs="Times New Roman"/>
                <w:sz w:val="20"/>
                <w:szCs w:val="20"/>
              </w:rPr>
            </w:pPr>
            <w:r w:rsidRPr="00D7128A">
              <w:rPr>
                <w:rFonts w:ascii="Times New Roman" w:hAnsi="Times New Roman" w:cs="Times New Roman"/>
                <w:sz w:val="20"/>
                <w:szCs w:val="20"/>
              </w:rPr>
              <w:t>125</w:t>
            </w:r>
          </w:p>
        </w:tc>
        <w:tc>
          <w:tcPr>
            <w:tcW w:w="1265" w:type="dxa"/>
            <w:vAlign w:val="center"/>
          </w:tcPr>
          <w:p w:rsidR="00610B55" w:rsidRPr="00D7128A" w:rsidP="004D4B61" w14:paraId="41C60EA0" w14:textId="77777777">
            <w:pPr>
              <w:spacing w:after="0" w:line="240" w:lineRule="auto"/>
              <w:ind w:left="171" w:right="163"/>
              <w:jc w:val="center"/>
              <w:rPr>
                <w:rFonts w:ascii="Times New Roman" w:hAnsi="Times New Roman" w:cs="Times New Roman"/>
                <w:color w:val="000000" w:themeColor="text1"/>
                <w:sz w:val="20"/>
                <w:szCs w:val="20"/>
              </w:rPr>
            </w:pPr>
            <w:r w:rsidRPr="00D7128A">
              <w:rPr>
                <w:rFonts w:ascii="Times New Roman" w:hAnsi="Times New Roman" w:cs="Times New Roman"/>
                <w:color w:val="000000"/>
                <w:sz w:val="20"/>
                <w:szCs w:val="20"/>
              </w:rPr>
              <w:t>$</w:t>
            </w:r>
            <w:r w:rsidR="00DC6B25">
              <w:rPr>
                <w:rFonts w:ascii="Times New Roman" w:hAnsi="Times New Roman" w:cs="Times New Roman"/>
                <w:color w:val="000000"/>
                <w:sz w:val="20"/>
                <w:szCs w:val="20"/>
              </w:rPr>
              <w:t>28,744</w:t>
            </w:r>
          </w:p>
        </w:tc>
      </w:tr>
      <w:tr w14:paraId="4038A578" w14:textId="77777777" w:rsidTr="00F068F8">
        <w:tblPrEx>
          <w:tblW w:w="9854" w:type="dxa"/>
          <w:jc w:val="center"/>
          <w:tblLook w:val="01E0"/>
        </w:tblPrEx>
        <w:trPr>
          <w:trHeight w:val="173"/>
          <w:jc w:val="center"/>
        </w:trPr>
        <w:tc>
          <w:tcPr>
            <w:tcW w:w="2425" w:type="dxa"/>
            <w:vAlign w:val="center"/>
          </w:tcPr>
          <w:p w:rsidR="00610B55" w:rsidRPr="00D7128A" w:rsidP="00F068F8" w14:paraId="3D961C16" w14:textId="77777777">
            <w:pPr>
              <w:spacing w:after="0" w:line="240" w:lineRule="auto"/>
              <w:rPr>
                <w:rFonts w:ascii="Times New Roman" w:hAnsi="Times New Roman" w:cs="Times New Roman"/>
                <w:b/>
                <w:sz w:val="20"/>
                <w:szCs w:val="20"/>
              </w:rPr>
            </w:pPr>
            <w:r w:rsidRPr="00D7128A">
              <w:rPr>
                <w:rFonts w:ascii="Times New Roman" w:hAnsi="Times New Roman" w:cs="Times New Roman"/>
                <w:sz w:val="20"/>
                <w:szCs w:val="20"/>
              </w:rPr>
              <w:t>LEPCs</w:t>
            </w:r>
          </w:p>
        </w:tc>
        <w:tc>
          <w:tcPr>
            <w:tcW w:w="1158" w:type="dxa"/>
            <w:vAlign w:val="center"/>
          </w:tcPr>
          <w:p w:rsidR="00610B55" w:rsidRPr="00D7128A" w:rsidP="004D4B61" w14:paraId="42C03A3B" w14:textId="77777777">
            <w:pPr>
              <w:spacing w:after="0" w:line="240" w:lineRule="auto"/>
              <w:jc w:val="center"/>
              <w:rPr>
                <w:rFonts w:ascii="Times New Roman" w:hAnsi="Times New Roman" w:cs="Times New Roman"/>
                <w:sz w:val="20"/>
                <w:szCs w:val="20"/>
              </w:rPr>
            </w:pPr>
            <w:r w:rsidRPr="00D7128A">
              <w:rPr>
                <w:rFonts w:ascii="Times New Roman" w:hAnsi="Times New Roman" w:cs="Times New Roman"/>
                <w:sz w:val="20"/>
                <w:szCs w:val="20"/>
              </w:rPr>
              <w:t>5</w:t>
            </w:r>
          </w:p>
        </w:tc>
        <w:tc>
          <w:tcPr>
            <w:tcW w:w="1194" w:type="dxa"/>
            <w:vAlign w:val="center"/>
          </w:tcPr>
          <w:p w:rsidR="00610B55" w:rsidRPr="00D7128A" w:rsidP="004D4B61" w14:paraId="6386B2C9" w14:textId="77777777">
            <w:pPr>
              <w:spacing w:after="0" w:line="240" w:lineRule="auto"/>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21" w:type="dxa"/>
            <w:vAlign w:val="center"/>
          </w:tcPr>
          <w:p w:rsidR="00610B55" w:rsidRPr="00D7128A" w:rsidP="004D4B61" w14:paraId="4185C28E" w14:textId="77777777">
            <w:pPr>
              <w:spacing w:after="0" w:line="240" w:lineRule="auto"/>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90" w:type="dxa"/>
            <w:vAlign w:val="center"/>
          </w:tcPr>
          <w:p w:rsidR="00610B55" w:rsidRPr="00D7128A" w:rsidP="004D4B61" w14:paraId="43858CE4" w14:textId="77777777">
            <w:pPr>
              <w:spacing w:after="0" w:line="240" w:lineRule="auto"/>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301" w:type="dxa"/>
            <w:vAlign w:val="center"/>
          </w:tcPr>
          <w:p w:rsidR="00610B55" w:rsidRPr="00D7128A" w:rsidP="004D4B61" w14:paraId="757ACF5B" w14:textId="77777777">
            <w:pPr>
              <w:spacing w:after="0" w:line="240" w:lineRule="auto"/>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65" w:type="dxa"/>
            <w:vAlign w:val="center"/>
          </w:tcPr>
          <w:p w:rsidR="00610B55" w:rsidRPr="00D7128A" w:rsidP="004D4B61" w14:paraId="0371CFAC" w14:textId="77777777">
            <w:pPr>
              <w:spacing w:after="0" w:line="240" w:lineRule="auto"/>
              <w:jc w:val="center"/>
              <w:rPr>
                <w:rFonts w:ascii="Times New Roman" w:hAnsi="Times New Roman" w:cs="Times New Roman"/>
                <w:color w:val="000000" w:themeColor="text1"/>
                <w:sz w:val="20"/>
                <w:szCs w:val="20"/>
              </w:rPr>
            </w:pPr>
            <w:r w:rsidRPr="00D7128A">
              <w:rPr>
                <w:rFonts w:ascii="Times New Roman" w:hAnsi="Times New Roman" w:cs="Times New Roman"/>
                <w:color w:val="000000"/>
                <w:sz w:val="20"/>
                <w:szCs w:val="20"/>
              </w:rPr>
              <w:t>$5</w:t>
            </w:r>
            <w:r w:rsidR="00DC6B25">
              <w:rPr>
                <w:rFonts w:ascii="Times New Roman" w:hAnsi="Times New Roman" w:cs="Times New Roman"/>
                <w:color w:val="000000"/>
                <w:sz w:val="20"/>
                <w:szCs w:val="20"/>
              </w:rPr>
              <w:t>53</w:t>
            </w:r>
          </w:p>
        </w:tc>
      </w:tr>
      <w:tr w14:paraId="67682B22" w14:textId="77777777" w:rsidTr="00F068F8">
        <w:tblPrEx>
          <w:tblW w:w="9854" w:type="dxa"/>
          <w:jc w:val="center"/>
          <w:tblLook w:val="01E0"/>
        </w:tblPrEx>
        <w:trPr>
          <w:trHeight w:val="455"/>
          <w:jc w:val="center"/>
        </w:trPr>
        <w:tc>
          <w:tcPr>
            <w:tcW w:w="2425" w:type="dxa"/>
            <w:vAlign w:val="center"/>
          </w:tcPr>
          <w:p w:rsidR="00610B55" w:rsidRPr="00D7128A" w:rsidP="00F068F8" w14:paraId="5830B7F8" w14:textId="77777777">
            <w:pPr>
              <w:spacing w:after="0" w:line="240" w:lineRule="auto"/>
              <w:rPr>
                <w:rFonts w:ascii="Times New Roman" w:hAnsi="Times New Roman" w:cs="Times New Roman"/>
                <w:sz w:val="20"/>
                <w:szCs w:val="20"/>
              </w:rPr>
            </w:pPr>
            <w:r w:rsidRPr="00D7128A">
              <w:rPr>
                <w:rFonts w:ascii="Times New Roman" w:hAnsi="Times New Roman" w:cs="Times New Roman"/>
                <w:sz w:val="20"/>
                <w:szCs w:val="20"/>
              </w:rPr>
              <w:t>Delegated Implementing Agencies</w:t>
            </w:r>
          </w:p>
        </w:tc>
        <w:tc>
          <w:tcPr>
            <w:tcW w:w="1158" w:type="dxa"/>
            <w:vAlign w:val="center"/>
          </w:tcPr>
          <w:p w:rsidR="00610B55" w:rsidRPr="00D7128A" w:rsidP="004D4B61" w14:paraId="600E9AF4" w14:textId="77777777">
            <w:pPr>
              <w:spacing w:after="0" w:line="240" w:lineRule="auto"/>
              <w:ind w:left="158" w:right="149"/>
              <w:jc w:val="center"/>
              <w:rPr>
                <w:rFonts w:ascii="Times New Roman" w:eastAsia="Times New Roman" w:hAnsi="Times New Roman" w:cs="Times New Roman"/>
                <w:sz w:val="20"/>
                <w:szCs w:val="20"/>
              </w:rPr>
            </w:pPr>
            <w:r>
              <w:rPr>
                <w:rFonts w:ascii="Times New Roman" w:hAnsi="Times New Roman" w:cs="Times New Roman"/>
                <w:sz w:val="20"/>
                <w:szCs w:val="20"/>
              </w:rPr>
              <w:t>5</w:t>
            </w:r>
          </w:p>
        </w:tc>
        <w:tc>
          <w:tcPr>
            <w:tcW w:w="1194" w:type="dxa"/>
            <w:vAlign w:val="center"/>
          </w:tcPr>
          <w:p w:rsidR="00610B55" w:rsidRPr="00D7128A" w:rsidP="004D4B61" w14:paraId="2B5B7821" w14:textId="77777777">
            <w:pPr>
              <w:spacing w:after="0" w:line="240" w:lineRule="auto"/>
              <w:ind w:left="137" w:right="132"/>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21" w:type="dxa"/>
            <w:vAlign w:val="center"/>
          </w:tcPr>
          <w:p w:rsidR="00610B55" w:rsidRPr="00D7128A" w:rsidP="004D4B61" w14:paraId="6F1C5CA2" w14:textId="77777777">
            <w:pPr>
              <w:spacing w:after="0" w:line="240" w:lineRule="auto"/>
              <w:ind w:left="5"/>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90" w:type="dxa"/>
            <w:vAlign w:val="center"/>
          </w:tcPr>
          <w:p w:rsidR="00610B55" w:rsidRPr="00D7128A" w:rsidP="004D4B61" w14:paraId="2E1A9A1B" w14:textId="77777777">
            <w:pPr>
              <w:spacing w:after="0" w:line="240" w:lineRule="auto"/>
              <w:ind w:left="137" w:right="130"/>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301" w:type="dxa"/>
            <w:vAlign w:val="center"/>
          </w:tcPr>
          <w:p w:rsidR="00610B55" w:rsidRPr="00D7128A" w:rsidP="004D4B61" w14:paraId="4D96BCF9" w14:textId="77777777">
            <w:pPr>
              <w:spacing w:after="0" w:line="240" w:lineRule="auto"/>
              <w:ind w:left="103" w:right="91"/>
              <w:jc w:val="center"/>
              <w:rPr>
                <w:rFonts w:ascii="Times New Roman" w:eastAsia="Times New Roman" w:hAnsi="Times New Roman" w:cs="Times New Roman"/>
                <w:sz w:val="20"/>
                <w:szCs w:val="20"/>
              </w:rPr>
            </w:pPr>
            <w:r w:rsidRPr="00D7128A">
              <w:rPr>
                <w:rFonts w:ascii="Times New Roman" w:hAnsi="Times New Roman" w:cs="Times New Roman"/>
                <w:sz w:val="20"/>
                <w:szCs w:val="20"/>
              </w:rPr>
              <w:t>0</w:t>
            </w:r>
          </w:p>
        </w:tc>
        <w:tc>
          <w:tcPr>
            <w:tcW w:w="1265" w:type="dxa"/>
            <w:vAlign w:val="center"/>
          </w:tcPr>
          <w:p w:rsidR="00610B55" w:rsidRPr="00D7128A" w:rsidP="004D4B61" w14:paraId="2ADC7B05" w14:textId="77777777">
            <w:pPr>
              <w:spacing w:after="0" w:line="240" w:lineRule="auto"/>
              <w:ind w:left="171" w:right="163"/>
              <w:jc w:val="center"/>
              <w:rPr>
                <w:rFonts w:ascii="Times New Roman" w:hAnsi="Times New Roman" w:cs="Times New Roman"/>
                <w:color w:val="000000" w:themeColor="text1"/>
                <w:sz w:val="20"/>
                <w:szCs w:val="20"/>
              </w:rPr>
            </w:pPr>
            <w:r w:rsidRPr="00D7128A">
              <w:rPr>
                <w:rFonts w:ascii="Times New Roman" w:hAnsi="Times New Roman" w:cs="Times New Roman"/>
                <w:color w:val="000000"/>
                <w:sz w:val="20"/>
                <w:szCs w:val="20"/>
              </w:rPr>
              <w:t>$</w:t>
            </w:r>
            <w:r w:rsidR="00DC6B25">
              <w:rPr>
                <w:rFonts w:ascii="Times New Roman" w:hAnsi="Times New Roman" w:cs="Times New Roman"/>
                <w:color w:val="000000"/>
                <w:sz w:val="20"/>
                <w:szCs w:val="20"/>
              </w:rPr>
              <w:t>553</w:t>
            </w:r>
          </w:p>
        </w:tc>
      </w:tr>
    </w:tbl>
    <w:p w:rsidR="00C5384D" w:rsidRPr="004D4B61" w:rsidP="004D4B61" w14:paraId="224B99A9" w14:textId="77777777">
      <w:pPr>
        <w:spacing w:after="0" w:line="240" w:lineRule="auto"/>
        <w:rPr>
          <w:rFonts w:ascii="Times New Roman" w:hAnsi="Times New Roman" w:cs="Times New Roman"/>
        </w:rPr>
      </w:pPr>
    </w:p>
    <w:p w:rsidR="00F068F8" w:rsidP="00C07306" w14:paraId="4952A7DC" w14:textId="77777777">
      <w:pPr>
        <w:pStyle w:val="Heading2"/>
      </w:pPr>
      <w:bookmarkStart w:id="157" w:name="_Toc98856216"/>
      <w:bookmarkStart w:id="158" w:name="_Toc144303536"/>
      <w:r w:rsidRPr="004D4B61">
        <w:t>4.4 Prevention Program Provisions</w:t>
      </w:r>
      <w:bookmarkEnd w:id="157"/>
      <w:bookmarkEnd w:id="158"/>
      <w:r w:rsidRPr="004D4B61">
        <w:t xml:space="preserve"> </w:t>
      </w:r>
    </w:p>
    <w:p w:rsidR="00900B2C" w:rsidRPr="00771C3E" w:rsidP="00771C3E" w14:paraId="02FE76FF" w14:textId="77777777">
      <w:pPr>
        <w:pStyle w:val="Heading3"/>
        <w:rPr>
          <w:rFonts w:ascii="Times New Roman" w:hAnsi="Times New Roman" w:cs="Times New Roman"/>
          <w:sz w:val="22"/>
          <w:szCs w:val="22"/>
        </w:rPr>
      </w:pPr>
      <w:bookmarkStart w:id="159" w:name="_Toc141732931"/>
      <w:bookmarkStart w:id="160" w:name="_Toc141733142"/>
      <w:bookmarkStart w:id="161" w:name="_Toc142404046"/>
      <w:bookmarkStart w:id="162" w:name="_Toc144213854"/>
      <w:bookmarkStart w:id="163" w:name="_Toc144283599"/>
      <w:bookmarkStart w:id="164" w:name="_Toc144303537"/>
      <w:r w:rsidRPr="00771C3E">
        <w:rPr>
          <w:rFonts w:ascii="Times New Roman" w:hAnsi="Times New Roman" w:cs="Times New Roman"/>
          <w:sz w:val="22"/>
          <w:szCs w:val="22"/>
        </w:rPr>
        <w:t>4.4.1 STAA</w:t>
      </w:r>
      <w:r w:rsidRPr="00771C3E" w:rsidR="006C45C7">
        <w:rPr>
          <w:rFonts w:ascii="Times New Roman" w:hAnsi="Times New Roman" w:cs="Times New Roman"/>
          <w:sz w:val="22"/>
          <w:szCs w:val="22"/>
        </w:rPr>
        <w:t xml:space="preserve">: </w:t>
      </w:r>
      <w:r w:rsidR="00E25B3A">
        <w:rPr>
          <w:rFonts w:ascii="Times New Roman" w:hAnsi="Times New Roman" w:cs="Times New Roman"/>
          <w:sz w:val="22"/>
          <w:szCs w:val="22"/>
        </w:rPr>
        <w:t>Initial Evaluation</w:t>
      </w:r>
      <w:r w:rsidRPr="00771C3E" w:rsidR="006C45C7">
        <w:rPr>
          <w:rFonts w:ascii="Times New Roman" w:hAnsi="Times New Roman" w:cs="Times New Roman"/>
          <w:sz w:val="22"/>
          <w:szCs w:val="22"/>
        </w:rPr>
        <w:t xml:space="preserve"> and </w:t>
      </w:r>
      <w:bookmarkEnd w:id="159"/>
      <w:bookmarkEnd w:id="160"/>
      <w:r w:rsidR="00E25B3A">
        <w:rPr>
          <w:rFonts w:ascii="Times New Roman" w:hAnsi="Times New Roman" w:cs="Times New Roman"/>
          <w:sz w:val="22"/>
          <w:szCs w:val="22"/>
        </w:rPr>
        <w:t>Practicability Assessment</w:t>
      </w:r>
      <w:bookmarkEnd w:id="161"/>
      <w:bookmarkEnd w:id="162"/>
      <w:bookmarkEnd w:id="163"/>
      <w:bookmarkEnd w:id="164"/>
      <w:r w:rsidRPr="00771C3E">
        <w:rPr>
          <w:rFonts w:ascii="Times New Roman" w:hAnsi="Times New Roman" w:cs="Times New Roman"/>
          <w:sz w:val="22"/>
          <w:szCs w:val="22"/>
        </w:rPr>
        <w:t xml:space="preserve"> </w:t>
      </w:r>
    </w:p>
    <w:p w:rsidR="00900B2C" w:rsidRPr="004D4B61" w:rsidP="00900B2C" w14:paraId="7727C077"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STAA is generally a process </w:t>
      </w:r>
      <w:r w:rsidR="004B7CAF">
        <w:rPr>
          <w:rFonts w:ascii="Times New Roman" w:hAnsi="Times New Roman" w:cs="Times New Roman"/>
        </w:rPr>
        <w:t xml:space="preserve">to analyze a </w:t>
      </w:r>
      <w:r w:rsidRPr="004D4B61">
        <w:rPr>
          <w:rFonts w:ascii="Times New Roman" w:hAnsi="Times New Roman" w:cs="Times New Roman"/>
        </w:rPr>
        <w:t>facility</w:t>
      </w:r>
      <w:r w:rsidR="004B7CAF">
        <w:rPr>
          <w:rFonts w:ascii="Times New Roman" w:hAnsi="Times New Roman" w:cs="Times New Roman"/>
        </w:rPr>
        <w:t>’s</w:t>
      </w:r>
      <w:r w:rsidRPr="004D4B61">
        <w:rPr>
          <w:rFonts w:ascii="Times New Roman" w:hAnsi="Times New Roman" w:cs="Times New Roman"/>
        </w:rPr>
        <w:t xml:space="preserve"> current processes and practices to determine whether there are safer alternatives to the current operating practice</w:t>
      </w:r>
      <w:r w:rsidR="00AD0960">
        <w:rPr>
          <w:rFonts w:ascii="Times New Roman" w:hAnsi="Times New Roman" w:cs="Times New Roman"/>
        </w:rPr>
        <w:t>s</w:t>
      </w:r>
      <w:r w:rsidRPr="004D4B61">
        <w:rPr>
          <w:rFonts w:ascii="Times New Roman" w:hAnsi="Times New Roman" w:cs="Times New Roman"/>
        </w:rPr>
        <w:t>. Th</w:t>
      </w:r>
      <w:r w:rsidR="00AD0960">
        <w:rPr>
          <w:rFonts w:ascii="Times New Roman" w:hAnsi="Times New Roman" w:cs="Times New Roman"/>
        </w:rPr>
        <w:t>ese</w:t>
      </w:r>
      <w:r w:rsidRPr="004D4B61">
        <w:rPr>
          <w:rFonts w:ascii="Times New Roman" w:hAnsi="Times New Roman" w:cs="Times New Roman"/>
        </w:rPr>
        <w:t xml:space="preserve"> can range from small changes – such as upgrading valves – to large </w:t>
      </w:r>
      <w:r w:rsidR="007E27F3">
        <w:rPr>
          <w:rFonts w:ascii="Times New Roman" w:hAnsi="Times New Roman" w:cs="Times New Roman"/>
        </w:rPr>
        <w:t>changes</w:t>
      </w:r>
      <w:r w:rsidRPr="004D4B61">
        <w:rPr>
          <w:rFonts w:ascii="Times New Roman" w:hAnsi="Times New Roman" w:cs="Times New Roman"/>
        </w:rPr>
        <w:t xml:space="preserve"> </w:t>
      </w:r>
      <w:r w:rsidR="007E27F3">
        <w:rPr>
          <w:rFonts w:ascii="Times New Roman" w:hAnsi="Times New Roman" w:cs="Times New Roman"/>
        </w:rPr>
        <w:t>such</w:t>
      </w:r>
      <w:r w:rsidRPr="004D4B61">
        <w:rPr>
          <w:rFonts w:ascii="Times New Roman" w:hAnsi="Times New Roman" w:cs="Times New Roman"/>
        </w:rPr>
        <w:t xml:space="preserve"> </w:t>
      </w:r>
      <w:r w:rsidR="00E16E62">
        <w:rPr>
          <w:rFonts w:ascii="Times New Roman" w:hAnsi="Times New Roman" w:cs="Times New Roman"/>
        </w:rPr>
        <w:t xml:space="preserve">replacing </w:t>
      </w:r>
      <w:r w:rsidRPr="004D4B61">
        <w:rPr>
          <w:rFonts w:ascii="Times New Roman" w:hAnsi="Times New Roman" w:cs="Times New Roman"/>
        </w:rPr>
        <w:t>toxic or volatile chemicals</w:t>
      </w:r>
      <w:r w:rsidR="00E16E62">
        <w:rPr>
          <w:rFonts w:ascii="Times New Roman" w:hAnsi="Times New Roman" w:cs="Times New Roman"/>
        </w:rPr>
        <w:t xml:space="preserve"> with less toxic or volatile substitutes</w:t>
      </w:r>
      <w:r w:rsidRPr="004D4B61">
        <w:rPr>
          <w:rFonts w:ascii="Times New Roman" w:hAnsi="Times New Roman" w:cs="Times New Roman"/>
        </w:rPr>
        <w:t xml:space="preserve">. </w:t>
      </w:r>
    </w:p>
    <w:p w:rsidR="00900B2C" w:rsidRPr="004D4B61" w:rsidP="00900B2C" w14:paraId="4B0F9F66" w14:textId="77777777">
      <w:pPr>
        <w:spacing w:after="0" w:line="240" w:lineRule="auto"/>
        <w:ind w:firstLine="360"/>
        <w:rPr>
          <w:rFonts w:ascii="Times New Roman" w:hAnsi="Times New Roman" w:cs="Times New Roman"/>
        </w:rPr>
      </w:pPr>
    </w:p>
    <w:p w:rsidR="00900B2C" w:rsidRPr="004D4B61" w:rsidP="00900B2C" w14:paraId="3162FAE0" w14:textId="77777777">
      <w:pPr>
        <w:spacing w:after="0" w:line="240" w:lineRule="auto"/>
        <w:ind w:firstLine="720"/>
        <w:rPr>
          <w:rFonts w:ascii="Times New Roman" w:hAnsi="Times New Roman" w:cs="Times New Roman"/>
        </w:rPr>
      </w:pPr>
      <w:r w:rsidRPr="004D4B61">
        <w:rPr>
          <w:rFonts w:ascii="Times New Roman" w:hAnsi="Times New Roman" w:cs="Times New Roman"/>
        </w:rPr>
        <w:t>Th</w:t>
      </w:r>
      <w:r w:rsidR="00967DD5">
        <w:rPr>
          <w:rFonts w:ascii="Times New Roman" w:hAnsi="Times New Roman" w:cs="Times New Roman"/>
        </w:rPr>
        <w:t>e final rule and th</w:t>
      </w:r>
      <w:r w:rsidRPr="004D4B61">
        <w:rPr>
          <w:rFonts w:ascii="Times New Roman" w:hAnsi="Times New Roman" w:cs="Times New Roman"/>
        </w:rPr>
        <w:t xml:space="preserve">is RIA divide </w:t>
      </w:r>
      <w:r w:rsidRPr="004D4B61" w:rsidR="00130F04">
        <w:rPr>
          <w:rFonts w:ascii="Times New Roman" w:hAnsi="Times New Roman" w:cs="Times New Roman"/>
        </w:rPr>
        <w:t xml:space="preserve">the </w:t>
      </w:r>
      <w:r w:rsidR="00E16E62">
        <w:rPr>
          <w:rFonts w:ascii="Times New Roman" w:hAnsi="Times New Roman" w:cs="Times New Roman"/>
        </w:rPr>
        <w:t xml:space="preserve">STAA </w:t>
      </w:r>
      <w:r w:rsidRPr="004D4B61" w:rsidR="00130F04">
        <w:rPr>
          <w:rFonts w:ascii="Times New Roman" w:hAnsi="Times New Roman" w:cs="Times New Roman"/>
        </w:rPr>
        <w:t>process</w:t>
      </w:r>
      <w:r w:rsidRPr="004D4B61">
        <w:rPr>
          <w:rFonts w:ascii="Times New Roman" w:hAnsi="Times New Roman" w:cs="Times New Roman"/>
        </w:rPr>
        <w:t xml:space="preserve"> into t</w:t>
      </w:r>
      <w:r w:rsidR="003652A0">
        <w:rPr>
          <w:rFonts w:ascii="Times New Roman" w:hAnsi="Times New Roman" w:cs="Times New Roman"/>
        </w:rPr>
        <w:t>hree</w:t>
      </w:r>
      <w:r w:rsidRPr="004D4B61">
        <w:rPr>
          <w:rFonts w:ascii="Times New Roman" w:hAnsi="Times New Roman" w:cs="Times New Roman"/>
        </w:rPr>
        <w:t xml:space="preserve"> parts: </w:t>
      </w:r>
    </w:p>
    <w:p w:rsidR="00900B2C" w:rsidRPr="003A1AEF" w:rsidP="009C49A0" w14:paraId="3D3F2FA7" w14:textId="77777777">
      <w:pPr>
        <w:numPr>
          <w:ilvl w:val="0"/>
          <w:numId w:val="5"/>
        </w:numPr>
        <w:spacing w:after="0" w:line="240" w:lineRule="auto"/>
        <w:rPr>
          <w:rFonts w:ascii="Times New Roman" w:hAnsi="Times New Roman" w:cs="Times New Roman"/>
        </w:rPr>
      </w:pPr>
      <w:r w:rsidRPr="004D4B61">
        <w:rPr>
          <w:rFonts w:ascii="Times New Roman" w:hAnsi="Times New Roman" w:cs="Times New Roman"/>
        </w:rPr>
        <w:t xml:space="preserve">The initial </w:t>
      </w:r>
      <w:r w:rsidR="00804BFA">
        <w:rPr>
          <w:rFonts w:ascii="Times New Roman" w:hAnsi="Times New Roman" w:cs="Times New Roman"/>
        </w:rPr>
        <w:t>evaluation</w:t>
      </w:r>
      <w:r w:rsidRPr="004D4B61" w:rsidR="00804BFA">
        <w:rPr>
          <w:rFonts w:ascii="Times New Roman" w:hAnsi="Times New Roman" w:cs="Times New Roman"/>
        </w:rPr>
        <w:t xml:space="preserve"> </w:t>
      </w:r>
      <w:r w:rsidRPr="004D4B61">
        <w:rPr>
          <w:rFonts w:ascii="Times New Roman" w:hAnsi="Times New Roman" w:cs="Times New Roman"/>
        </w:rPr>
        <w:t xml:space="preserve">to identify and document alternatives. </w:t>
      </w:r>
    </w:p>
    <w:p w:rsidR="00900B2C" w:rsidRPr="004D4B61" w:rsidP="009C49A0" w14:paraId="3C13F010" w14:textId="77777777">
      <w:pPr>
        <w:numPr>
          <w:ilvl w:val="0"/>
          <w:numId w:val="5"/>
        </w:numPr>
        <w:spacing w:after="0" w:line="240" w:lineRule="auto"/>
        <w:rPr>
          <w:rFonts w:ascii="Times New Roman" w:hAnsi="Times New Roman" w:cs="Times New Roman"/>
        </w:rPr>
      </w:pPr>
      <w:r w:rsidRPr="004D4B61">
        <w:rPr>
          <w:rFonts w:ascii="Times New Roman" w:hAnsi="Times New Roman" w:cs="Times New Roman"/>
        </w:rPr>
        <w:t xml:space="preserve">A </w:t>
      </w:r>
      <w:r w:rsidR="00E25B3A">
        <w:rPr>
          <w:rFonts w:ascii="Times New Roman" w:hAnsi="Times New Roman" w:cs="Times New Roman"/>
        </w:rPr>
        <w:t>practicability assessment</w:t>
      </w:r>
      <w:r w:rsidRPr="004D4B61">
        <w:rPr>
          <w:rFonts w:ascii="Times New Roman" w:hAnsi="Times New Roman" w:cs="Times New Roman"/>
        </w:rPr>
        <w:t xml:space="preserve"> to determine the practicability of implementing </w:t>
      </w:r>
      <w:r w:rsidR="002C21D2">
        <w:rPr>
          <w:rFonts w:ascii="Times New Roman" w:hAnsi="Times New Roman" w:cs="Times New Roman"/>
        </w:rPr>
        <w:t xml:space="preserve">inherently safer </w:t>
      </w:r>
      <w:r w:rsidRPr="004D4B61">
        <w:rPr>
          <w:rFonts w:ascii="Times New Roman" w:hAnsi="Times New Roman" w:cs="Times New Roman"/>
        </w:rPr>
        <w:t xml:space="preserve">alternatives </w:t>
      </w:r>
      <w:r w:rsidR="00B73EAE">
        <w:rPr>
          <w:rFonts w:ascii="Times New Roman" w:hAnsi="Times New Roman" w:cs="Times New Roman"/>
        </w:rPr>
        <w:t>identified through the initial evalu</w:t>
      </w:r>
      <w:r w:rsidR="00D51DD4">
        <w:rPr>
          <w:rFonts w:ascii="Times New Roman" w:hAnsi="Times New Roman" w:cs="Times New Roman"/>
        </w:rPr>
        <w:t>a</w:t>
      </w:r>
      <w:r w:rsidR="00B73EAE">
        <w:rPr>
          <w:rFonts w:ascii="Times New Roman" w:hAnsi="Times New Roman" w:cs="Times New Roman"/>
        </w:rPr>
        <w:t>tion</w:t>
      </w:r>
      <w:r w:rsidRPr="004D4B61">
        <w:rPr>
          <w:rFonts w:ascii="Times New Roman" w:hAnsi="Times New Roman" w:cs="Times New Roman"/>
        </w:rPr>
        <w:t xml:space="preserve"> and </w:t>
      </w:r>
      <w:r w:rsidR="00B73EAE">
        <w:rPr>
          <w:rFonts w:ascii="Times New Roman" w:hAnsi="Times New Roman" w:cs="Times New Roman"/>
        </w:rPr>
        <w:t>to</w:t>
      </w:r>
      <w:r w:rsidRPr="004D4B61">
        <w:rPr>
          <w:rFonts w:ascii="Times New Roman" w:hAnsi="Times New Roman" w:cs="Times New Roman"/>
        </w:rPr>
        <w:t xml:space="preserve"> assess the reasonableness of implementing the change.</w:t>
      </w:r>
    </w:p>
    <w:p w:rsidR="003652A0" w:rsidRPr="004D4B61" w:rsidP="009C49A0" w14:paraId="63ED59D8" w14:textId="77777777">
      <w:pPr>
        <w:numPr>
          <w:ilvl w:val="0"/>
          <w:numId w:val="5"/>
        </w:numPr>
        <w:spacing w:after="0" w:line="240" w:lineRule="auto"/>
        <w:rPr>
          <w:rFonts w:ascii="Times New Roman" w:hAnsi="Times New Roman" w:cs="Times New Roman"/>
        </w:rPr>
      </w:pPr>
      <w:r>
        <w:rPr>
          <w:rFonts w:ascii="Times New Roman" w:hAnsi="Times New Roman" w:cs="Times New Roman"/>
        </w:rPr>
        <w:t xml:space="preserve">Implementation </w:t>
      </w:r>
      <w:r w:rsidR="004B7CAF">
        <w:rPr>
          <w:rFonts w:ascii="Times New Roman" w:hAnsi="Times New Roman" w:cs="Times New Roman"/>
        </w:rPr>
        <w:t xml:space="preserve">of </w:t>
      </w:r>
      <w:r w:rsidRPr="004B7CAF" w:rsidR="004B7CAF">
        <w:rPr>
          <w:rFonts w:ascii="Times New Roman" w:hAnsi="Times New Roman" w:cs="Times New Roman"/>
        </w:rPr>
        <w:t>at least one passive measure, or an inherently safer technology or design, or a combination of active and procedural measures equivalent to or greater than the risk reduction of a passive measure</w:t>
      </w:r>
      <w:r w:rsidR="005328E0">
        <w:rPr>
          <w:rFonts w:ascii="Times New Roman" w:hAnsi="Times New Roman" w:cs="Times New Roman"/>
        </w:rPr>
        <w:t>.</w:t>
      </w:r>
    </w:p>
    <w:p w:rsidR="00900B2C" w:rsidRPr="004D4B61" w:rsidP="00900B2C" w14:paraId="239CB0FA" w14:textId="77777777">
      <w:pPr>
        <w:spacing w:after="0" w:line="240" w:lineRule="auto"/>
        <w:ind w:left="1440"/>
        <w:rPr>
          <w:rFonts w:ascii="Times New Roman" w:hAnsi="Times New Roman" w:cs="Times New Roman"/>
        </w:rPr>
      </w:pPr>
    </w:p>
    <w:p w:rsidR="00B21103" w:rsidP="00900B2C" w14:paraId="4D3E23D0"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sidR="00303A18">
        <w:rPr>
          <w:rFonts w:ascii="Times New Roman" w:hAnsi="Times New Roman" w:cs="Times New Roman"/>
        </w:rPr>
        <w:t xml:space="preserve">The STAA provision </w:t>
      </w:r>
      <w:r w:rsidR="009449B7">
        <w:rPr>
          <w:rFonts w:ascii="Times New Roman" w:hAnsi="Times New Roman" w:cs="Times New Roman"/>
        </w:rPr>
        <w:t>will</w:t>
      </w:r>
      <w:r w:rsidRPr="004D4B61" w:rsidR="00303A18">
        <w:rPr>
          <w:rFonts w:ascii="Times New Roman" w:hAnsi="Times New Roman" w:cs="Times New Roman"/>
        </w:rPr>
        <w:t xml:space="preserve"> require facilities with Program 3 regulated processes in NAICS 324 (petroleum and coal products manufacturing) and 325 (chemical manufacturing) </w:t>
      </w:r>
      <w:r w:rsidR="006A30CF">
        <w:rPr>
          <w:rFonts w:ascii="Times New Roman" w:hAnsi="Times New Roman" w:cs="Times New Roman"/>
        </w:rPr>
        <w:t xml:space="preserve">to conduct </w:t>
      </w:r>
      <w:r w:rsidR="002A6C1C">
        <w:rPr>
          <w:rFonts w:ascii="Times New Roman" w:hAnsi="Times New Roman" w:cs="Times New Roman"/>
        </w:rPr>
        <w:t xml:space="preserve">the </w:t>
      </w:r>
      <w:r w:rsidR="002D70D6">
        <w:rPr>
          <w:rFonts w:ascii="Times New Roman" w:hAnsi="Times New Roman" w:cs="Times New Roman"/>
        </w:rPr>
        <w:t>initial evaluation</w:t>
      </w:r>
      <w:r w:rsidR="002A6C1C">
        <w:rPr>
          <w:rFonts w:ascii="Times New Roman" w:hAnsi="Times New Roman" w:cs="Times New Roman"/>
        </w:rPr>
        <w:t xml:space="preserve"> of the STAA</w:t>
      </w:r>
      <w:r w:rsidR="00B75AA4">
        <w:rPr>
          <w:rFonts w:ascii="Times New Roman" w:hAnsi="Times New Roman" w:cs="Times New Roman"/>
        </w:rPr>
        <w:t xml:space="preserve"> as part of their PHA, which occurs every five years. </w:t>
      </w:r>
      <w:r w:rsidRPr="004D4B61">
        <w:rPr>
          <w:rFonts w:ascii="Times New Roman" w:hAnsi="Times New Roman" w:cs="Times New Roman"/>
        </w:rPr>
        <w:t xml:space="preserve">An </w:t>
      </w:r>
      <w:r w:rsidR="00E25B3A">
        <w:rPr>
          <w:rFonts w:ascii="Times New Roman" w:hAnsi="Times New Roman" w:cs="Times New Roman"/>
        </w:rPr>
        <w:t>initial evaluation</w:t>
      </w:r>
      <w:r w:rsidRPr="004D4B61">
        <w:rPr>
          <w:rFonts w:ascii="Times New Roman" w:hAnsi="Times New Roman" w:cs="Times New Roman"/>
        </w:rPr>
        <w:t xml:space="preserve"> and documentation is required of all facility processes. EPA believes that some facilities may already </w:t>
      </w:r>
      <w:r w:rsidR="002F124A">
        <w:rPr>
          <w:rFonts w:ascii="Times New Roman" w:hAnsi="Times New Roman" w:cs="Times New Roman"/>
        </w:rPr>
        <w:t>regularly conduct</w:t>
      </w:r>
      <w:r w:rsidRPr="004D4B61">
        <w:rPr>
          <w:rFonts w:ascii="Times New Roman" w:hAnsi="Times New Roman" w:cs="Times New Roman"/>
        </w:rPr>
        <w:t xml:space="preserve"> </w:t>
      </w:r>
      <w:r w:rsidR="00E25B3A">
        <w:rPr>
          <w:rFonts w:ascii="Times New Roman" w:hAnsi="Times New Roman" w:cs="Times New Roman"/>
        </w:rPr>
        <w:t>evaluations</w:t>
      </w:r>
      <w:r w:rsidRPr="004D4B61" w:rsidR="00E25B3A">
        <w:rPr>
          <w:rFonts w:ascii="Times New Roman" w:hAnsi="Times New Roman" w:cs="Times New Roman"/>
        </w:rPr>
        <w:t xml:space="preserve"> </w:t>
      </w:r>
      <w:r w:rsidRPr="004D4B61">
        <w:rPr>
          <w:rFonts w:ascii="Times New Roman" w:hAnsi="Times New Roman" w:cs="Times New Roman"/>
        </w:rPr>
        <w:t xml:space="preserve">but has taken the conservative approach of assuming that all facilities subject to the STAA </w:t>
      </w:r>
      <w:r w:rsidRPr="004D4B61" w:rsidR="6850DBC7">
        <w:rPr>
          <w:rFonts w:ascii="Times New Roman" w:hAnsi="Times New Roman" w:cs="Times New Roman"/>
        </w:rPr>
        <w:t>provision</w:t>
      </w:r>
      <w:r w:rsidRPr="004D4B61">
        <w:rPr>
          <w:rFonts w:ascii="Times New Roman" w:hAnsi="Times New Roman" w:cs="Times New Roman"/>
        </w:rPr>
        <w:t xml:space="preserve"> will conduct the </w:t>
      </w:r>
      <w:r w:rsidR="00593FF7">
        <w:rPr>
          <w:rFonts w:ascii="Times New Roman" w:hAnsi="Times New Roman" w:cs="Times New Roman"/>
        </w:rPr>
        <w:t xml:space="preserve">initial evaluation </w:t>
      </w:r>
      <w:r w:rsidRPr="004D4B61">
        <w:rPr>
          <w:rFonts w:ascii="Times New Roman" w:hAnsi="Times New Roman" w:cs="Times New Roman"/>
        </w:rPr>
        <w:t xml:space="preserve">for all processes as a result of the </w:t>
      </w:r>
      <w:r w:rsidR="00552CBB">
        <w:rPr>
          <w:rFonts w:ascii="Times New Roman" w:hAnsi="Times New Roman" w:cs="Times New Roman"/>
        </w:rPr>
        <w:t>final</w:t>
      </w:r>
      <w:r w:rsidRPr="004D4B61" w:rsidR="00552CBB">
        <w:rPr>
          <w:rFonts w:ascii="Times New Roman" w:hAnsi="Times New Roman" w:cs="Times New Roman"/>
        </w:rPr>
        <w:t xml:space="preserve"> </w:t>
      </w:r>
      <w:r w:rsidRPr="004D4B61">
        <w:rPr>
          <w:rFonts w:ascii="Times New Roman" w:hAnsi="Times New Roman" w:cs="Times New Roman"/>
        </w:rPr>
        <w:t xml:space="preserve">rule. Following the </w:t>
      </w:r>
      <w:r w:rsidR="00E25B3A">
        <w:rPr>
          <w:rFonts w:ascii="Times New Roman" w:hAnsi="Times New Roman" w:cs="Times New Roman"/>
        </w:rPr>
        <w:t>initial evaluation</w:t>
      </w:r>
      <w:r w:rsidRPr="004D4B61">
        <w:rPr>
          <w:rFonts w:ascii="Times New Roman" w:hAnsi="Times New Roman" w:cs="Times New Roman"/>
        </w:rPr>
        <w:t xml:space="preserve">, EPA is </w:t>
      </w:r>
      <w:r w:rsidR="00A979E9">
        <w:rPr>
          <w:rFonts w:ascii="Times New Roman" w:hAnsi="Times New Roman" w:cs="Times New Roman"/>
        </w:rPr>
        <w:t>requiring</w:t>
      </w:r>
      <w:r w:rsidRPr="004D4B61">
        <w:rPr>
          <w:rFonts w:ascii="Times New Roman" w:hAnsi="Times New Roman" w:cs="Times New Roman"/>
        </w:rPr>
        <w:t xml:space="preserve"> that </w:t>
      </w:r>
      <w:r w:rsidR="00036E73">
        <w:rPr>
          <w:rFonts w:ascii="Times New Roman" w:hAnsi="Times New Roman" w:cs="Times New Roman"/>
        </w:rPr>
        <w:t xml:space="preserve">facilities with Program 3 processes in NAICS 324 and 325 </w:t>
      </w:r>
      <w:r w:rsidR="00AD21C5">
        <w:rPr>
          <w:rFonts w:ascii="Times New Roman" w:hAnsi="Times New Roman" w:cs="Times New Roman"/>
        </w:rPr>
        <w:t xml:space="preserve">that are either </w:t>
      </w:r>
      <w:r w:rsidR="00036E73">
        <w:rPr>
          <w:rFonts w:ascii="Times New Roman" w:hAnsi="Times New Roman" w:cs="Times New Roman"/>
        </w:rPr>
        <w:t>located within one mile of another RMP-regulated facility process in NAICS 324 and 325</w:t>
      </w:r>
      <w:r w:rsidR="008C72F6">
        <w:rPr>
          <w:rFonts w:ascii="Times New Roman" w:hAnsi="Times New Roman" w:cs="Times New Roman"/>
        </w:rPr>
        <w:t xml:space="preserve"> or </w:t>
      </w:r>
      <w:r w:rsidR="00470C12">
        <w:rPr>
          <w:rFonts w:ascii="Times New Roman" w:hAnsi="Times New Roman" w:cs="Times New Roman"/>
        </w:rPr>
        <w:t>had</w:t>
      </w:r>
      <w:r w:rsidR="008C72F6">
        <w:rPr>
          <w:rFonts w:ascii="Times New Roman" w:hAnsi="Times New Roman" w:cs="Times New Roman"/>
        </w:rPr>
        <w:t xml:space="preserve"> an </w:t>
      </w:r>
      <w:r w:rsidR="005E5312">
        <w:rPr>
          <w:rFonts w:ascii="Times New Roman" w:hAnsi="Times New Roman" w:cs="Times New Roman"/>
        </w:rPr>
        <w:t>RMP</w:t>
      </w:r>
      <w:r w:rsidR="00F25A6C">
        <w:rPr>
          <w:rFonts w:ascii="Times New Roman" w:hAnsi="Times New Roman" w:cs="Times New Roman"/>
        </w:rPr>
        <w:t>-</w:t>
      </w:r>
      <w:r w:rsidR="005E5312">
        <w:rPr>
          <w:rFonts w:ascii="Times New Roman" w:hAnsi="Times New Roman" w:cs="Times New Roman"/>
        </w:rPr>
        <w:t xml:space="preserve">reportable </w:t>
      </w:r>
      <w:r w:rsidR="008C72F6">
        <w:rPr>
          <w:rFonts w:ascii="Times New Roman" w:hAnsi="Times New Roman" w:cs="Times New Roman"/>
        </w:rPr>
        <w:t xml:space="preserve">accident </w:t>
      </w:r>
      <w:r w:rsidR="005E5312">
        <w:rPr>
          <w:rFonts w:ascii="Times New Roman" w:hAnsi="Times New Roman" w:cs="Times New Roman"/>
        </w:rPr>
        <w:t>since the</w:t>
      </w:r>
      <w:r w:rsidR="00EE0624">
        <w:rPr>
          <w:rFonts w:ascii="Times New Roman" w:hAnsi="Times New Roman" w:cs="Times New Roman"/>
        </w:rPr>
        <w:t>ir</w:t>
      </w:r>
      <w:r w:rsidR="005E5312">
        <w:rPr>
          <w:rFonts w:ascii="Times New Roman" w:hAnsi="Times New Roman" w:cs="Times New Roman"/>
        </w:rPr>
        <w:t xml:space="preserve"> most recent PHA (i.e., </w:t>
      </w:r>
      <w:r w:rsidR="008C72F6">
        <w:rPr>
          <w:rFonts w:ascii="Times New Roman" w:hAnsi="Times New Roman" w:cs="Times New Roman"/>
        </w:rPr>
        <w:t>in the past five years</w:t>
      </w:r>
      <w:r w:rsidR="005E5312">
        <w:rPr>
          <w:rFonts w:ascii="Times New Roman" w:hAnsi="Times New Roman" w:cs="Times New Roman"/>
        </w:rPr>
        <w:t>)</w:t>
      </w:r>
      <w:r w:rsidR="008C72F6">
        <w:rPr>
          <w:rFonts w:ascii="Times New Roman" w:hAnsi="Times New Roman" w:cs="Times New Roman"/>
        </w:rPr>
        <w:t>, and all regulated facilities in NAICS 324 using HF in an al</w:t>
      </w:r>
      <w:r w:rsidR="00527EA4">
        <w:rPr>
          <w:rFonts w:ascii="Times New Roman" w:hAnsi="Times New Roman" w:cs="Times New Roman"/>
        </w:rPr>
        <w:t xml:space="preserve">kylation unit, </w:t>
      </w:r>
      <w:r w:rsidR="00CE7ECF">
        <w:rPr>
          <w:rFonts w:ascii="Times New Roman" w:hAnsi="Times New Roman" w:cs="Times New Roman"/>
        </w:rPr>
        <w:t xml:space="preserve">conduct </w:t>
      </w:r>
      <w:r w:rsidRPr="004D4B61">
        <w:rPr>
          <w:rFonts w:ascii="Times New Roman" w:hAnsi="Times New Roman" w:cs="Times New Roman"/>
        </w:rPr>
        <w:t xml:space="preserve">a practicability assessment if the </w:t>
      </w:r>
      <w:r w:rsidR="00E25B3A">
        <w:rPr>
          <w:rFonts w:ascii="Times New Roman" w:hAnsi="Times New Roman" w:cs="Times New Roman"/>
        </w:rPr>
        <w:t>initial evaluation</w:t>
      </w:r>
      <w:r w:rsidRPr="004D4B61">
        <w:rPr>
          <w:rFonts w:ascii="Times New Roman" w:hAnsi="Times New Roman" w:cs="Times New Roman"/>
        </w:rPr>
        <w:t xml:space="preserve"> determines the existence of inherently safer alternatives. </w:t>
      </w:r>
    </w:p>
    <w:p w:rsidR="00B21103" w:rsidP="00900B2C" w14:paraId="63F0B6DB" w14:textId="77777777">
      <w:pPr>
        <w:spacing w:after="0" w:line="240" w:lineRule="auto"/>
        <w:ind w:firstLine="360"/>
        <w:rPr>
          <w:rFonts w:ascii="Times New Roman" w:hAnsi="Times New Roman" w:cs="Times New Roman"/>
        </w:rPr>
      </w:pPr>
    </w:p>
    <w:p w:rsidR="00900B2C" w:rsidP="00FA04B8" w14:paraId="24A3D6A9" w14:textId="1EE40F2A">
      <w:pPr>
        <w:spacing w:after="0" w:line="240" w:lineRule="auto"/>
        <w:ind w:firstLine="720"/>
        <w:rPr>
          <w:rFonts w:ascii="Times New Roman" w:hAnsi="Times New Roman" w:cs="Times New Roman"/>
        </w:rPr>
      </w:pPr>
      <w:r w:rsidRPr="004D4B61">
        <w:rPr>
          <w:rFonts w:ascii="Times New Roman" w:hAnsi="Times New Roman" w:cs="Times New Roman"/>
        </w:rPr>
        <w:t xml:space="preserve">EPA expects a practicability assessment to </w:t>
      </w:r>
      <w:r w:rsidR="006B0F4E">
        <w:rPr>
          <w:rFonts w:ascii="Times New Roman" w:hAnsi="Times New Roman" w:cs="Times New Roman"/>
        </w:rPr>
        <w:t>be conducted</w:t>
      </w:r>
      <w:r w:rsidRPr="004D4B61">
        <w:rPr>
          <w:rFonts w:ascii="Times New Roman" w:hAnsi="Times New Roman" w:cs="Times New Roman"/>
        </w:rPr>
        <w:t xml:space="preserve"> only when warranted by the outcome of an </w:t>
      </w:r>
      <w:r w:rsidR="00E25B3A">
        <w:rPr>
          <w:rFonts w:ascii="Times New Roman" w:hAnsi="Times New Roman" w:cs="Times New Roman"/>
        </w:rPr>
        <w:t>initial evaluation</w:t>
      </w:r>
      <w:r w:rsidR="0048200B">
        <w:rPr>
          <w:rFonts w:ascii="Times New Roman" w:hAnsi="Times New Roman" w:cs="Times New Roman"/>
        </w:rPr>
        <w:t>; i.e.,</w:t>
      </w:r>
      <w:r w:rsidR="00B774BC">
        <w:rPr>
          <w:rFonts w:ascii="Times New Roman" w:hAnsi="Times New Roman" w:cs="Times New Roman"/>
        </w:rPr>
        <w:t xml:space="preserve"> </w:t>
      </w:r>
      <w:r w:rsidR="0048200B">
        <w:rPr>
          <w:rFonts w:ascii="Times New Roman" w:hAnsi="Times New Roman" w:cs="Times New Roman"/>
        </w:rPr>
        <w:t xml:space="preserve">where </w:t>
      </w:r>
      <w:r w:rsidR="00B774BC">
        <w:rPr>
          <w:rFonts w:ascii="Times New Roman" w:hAnsi="Times New Roman" w:cs="Times New Roman"/>
        </w:rPr>
        <w:t xml:space="preserve">the </w:t>
      </w:r>
      <w:r w:rsidR="0048200B">
        <w:rPr>
          <w:rFonts w:ascii="Times New Roman" w:hAnsi="Times New Roman" w:cs="Times New Roman"/>
        </w:rPr>
        <w:t>initial</w:t>
      </w:r>
      <w:r w:rsidR="00B774BC">
        <w:rPr>
          <w:rFonts w:ascii="Times New Roman" w:hAnsi="Times New Roman" w:cs="Times New Roman"/>
        </w:rPr>
        <w:t xml:space="preserve"> evaluation has identified risk reduction or risk management strategies applicable to the process at issue</w:t>
      </w:r>
      <w:r w:rsidRPr="004D4B61">
        <w:rPr>
          <w:rFonts w:ascii="Times New Roman" w:hAnsi="Times New Roman" w:cs="Times New Roman"/>
        </w:rPr>
        <w:t xml:space="preserve">. </w:t>
      </w:r>
      <w:r w:rsidRPr="004D4B61">
        <w:rPr>
          <w:rFonts w:ascii="Times New Roman" w:hAnsi="Times New Roman" w:cs="Times New Roman"/>
        </w:rPr>
        <w:t xml:space="preserve">EPA also anticipates that some facilities will conduct practicability studies to address alternatives considered in multiple initial </w:t>
      </w:r>
      <w:r w:rsidR="00C45432">
        <w:rPr>
          <w:rFonts w:ascii="Times New Roman" w:hAnsi="Times New Roman" w:cs="Times New Roman"/>
        </w:rPr>
        <w:t>evaluation</w:t>
      </w:r>
      <w:r w:rsidRPr="004D4B61">
        <w:rPr>
          <w:rFonts w:ascii="Times New Roman" w:hAnsi="Times New Roman" w:cs="Times New Roman"/>
        </w:rPr>
        <w:t>s. Consequently, some complex firms are assumed to conduct practicability studies that address up to 12 different alternatives.</w:t>
      </w:r>
      <w:r>
        <w:rPr>
          <w:rFonts w:ascii="Times New Roman" w:hAnsi="Times New Roman" w:cs="Times New Roman"/>
        </w:rPr>
        <w:t xml:space="preserve"> </w:t>
      </w:r>
      <w:r w:rsidRPr="004D4B61">
        <w:rPr>
          <w:rFonts w:ascii="Times New Roman" w:hAnsi="Times New Roman" w:cs="Times New Roman"/>
        </w:rPr>
        <w:t xml:space="preserve">EPA is retaining the estimates of the hours required to conduct an </w:t>
      </w:r>
      <w:r w:rsidR="00E25B3A">
        <w:rPr>
          <w:rFonts w:ascii="Times New Roman" w:hAnsi="Times New Roman" w:cs="Times New Roman"/>
        </w:rPr>
        <w:t>initial evaluation</w:t>
      </w:r>
      <w:r w:rsidRPr="004D4B61">
        <w:rPr>
          <w:rFonts w:ascii="Times New Roman" w:hAnsi="Times New Roman" w:cs="Times New Roman"/>
        </w:rPr>
        <w:t xml:space="preserve"> from the </w:t>
      </w:r>
      <w:r w:rsidR="00FE4910">
        <w:rPr>
          <w:rFonts w:ascii="Times New Roman" w:hAnsi="Times New Roman" w:cs="Times New Roman"/>
        </w:rPr>
        <w:t>2017 a</w:t>
      </w:r>
      <w:r w:rsidRPr="004D4B61">
        <w:rPr>
          <w:rFonts w:ascii="Times New Roman" w:hAnsi="Times New Roman" w:cs="Times New Roman"/>
        </w:rPr>
        <w:t xml:space="preserve">mendments rule RIA and updating the costs to </w:t>
      </w:r>
      <w:r w:rsidRPr="004D4B61" w:rsidR="006B7D98">
        <w:rPr>
          <w:rFonts w:ascii="Times New Roman" w:hAnsi="Times New Roman" w:cs="Times New Roman"/>
        </w:rPr>
        <w:t>202</w:t>
      </w:r>
      <w:r w:rsidR="006B7D98">
        <w:rPr>
          <w:rFonts w:ascii="Times New Roman" w:hAnsi="Times New Roman" w:cs="Times New Roman"/>
        </w:rPr>
        <w:t>2</w:t>
      </w:r>
      <w:r w:rsidRPr="004D4B61" w:rsidR="006B7D98">
        <w:rPr>
          <w:rFonts w:ascii="Times New Roman" w:hAnsi="Times New Roman" w:cs="Times New Roman"/>
        </w:rPr>
        <w:t xml:space="preserve"> </w:t>
      </w:r>
      <w:r w:rsidRPr="004D4B61">
        <w:rPr>
          <w:rFonts w:ascii="Times New Roman" w:hAnsi="Times New Roman" w:cs="Times New Roman"/>
        </w:rPr>
        <w:t xml:space="preserve">dollars. EPA estimates that </w:t>
      </w:r>
      <w:r w:rsidR="00744853">
        <w:rPr>
          <w:rFonts w:ascii="Times New Roman" w:hAnsi="Times New Roman" w:cs="Times New Roman"/>
        </w:rPr>
        <w:t xml:space="preserve">the </w:t>
      </w:r>
      <w:r w:rsidR="00E25B3A">
        <w:rPr>
          <w:rFonts w:ascii="Times New Roman" w:hAnsi="Times New Roman" w:cs="Times New Roman"/>
        </w:rPr>
        <w:t>initial evaluation</w:t>
      </w:r>
      <w:r w:rsidR="00744853">
        <w:rPr>
          <w:rFonts w:ascii="Times New Roman" w:hAnsi="Times New Roman" w:cs="Times New Roman"/>
        </w:rPr>
        <w:t xml:space="preserve"> will require </w:t>
      </w:r>
      <w:r w:rsidRPr="004D4B61">
        <w:rPr>
          <w:rFonts w:ascii="Times New Roman" w:hAnsi="Times New Roman" w:cs="Times New Roman"/>
        </w:rPr>
        <w:t xml:space="preserve">a total of 738 hours </w:t>
      </w:r>
      <w:r w:rsidR="0035647E">
        <w:rPr>
          <w:rFonts w:ascii="Times New Roman" w:hAnsi="Times New Roman" w:cs="Times New Roman"/>
        </w:rPr>
        <w:t xml:space="preserve">(all engineering labor) </w:t>
      </w:r>
      <w:r w:rsidR="0014715B">
        <w:rPr>
          <w:rFonts w:ascii="Times New Roman" w:hAnsi="Times New Roman" w:cs="Times New Roman"/>
        </w:rPr>
        <w:t xml:space="preserve">for </w:t>
      </w:r>
      <w:r w:rsidR="0014715B">
        <w:rPr>
          <w:rFonts w:ascii="Times New Roman" w:hAnsi="Times New Roman" w:cs="Times New Roman"/>
        </w:rPr>
        <w:t>NAICS 324 facilities</w:t>
      </w:r>
      <w:r>
        <w:rPr>
          <w:rFonts w:ascii="Times New Roman" w:hAnsi="Times New Roman" w:cs="Times New Roman"/>
          <w:vertAlign w:val="superscript"/>
        </w:rPr>
        <w:footnoteReference w:id="101"/>
      </w:r>
      <w:r w:rsidRPr="004D4B61">
        <w:rPr>
          <w:rFonts w:ascii="Times New Roman" w:hAnsi="Times New Roman" w:cs="Times New Roman"/>
        </w:rPr>
        <w:t xml:space="preserve"> </w:t>
      </w:r>
      <w:r w:rsidR="00BB254E">
        <w:rPr>
          <w:rFonts w:ascii="Times New Roman" w:hAnsi="Times New Roman" w:cs="Times New Roman"/>
        </w:rPr>
        <w:t>and</w:t>
      </w:r>
      <w:r w:rsidRPr="004D4B61">
        <w:rPr>
          <w:rFonts w:ascii="Times New Roman" w:hAnsi="Times New Roman" w:cs="Times New Roman"/>
        </w:rPr>
        <w:t xml:space="preserve"> a total of 130 hours (20 hours of management, 0.5 hours of corporate management, 3.5 hours of attorney time, 82.5 hours of engineering, and 23.5 hours of production staff support)</w:t>
      </w:r>
      <w:r w:rsidR="00AA2029">
        <w:rPr>
          <w:rFonts w:ascii="Times New Roman" w:hAnsi="Times New Roman" w:cs="Times New Roman"/>
        </w:rPr>
        <w:t xml:space="preserve"> for NAICS 325 facilities</w:t>
      </w:r>
      <w:r w:rsidRPr="004D4B61">
        <w:rPr>
          <w:rFonts w:ascii="Times New Roman" w:hAnsi="Times New Roman" w:cs="Times New Roman"/>
        </w:rPr>
        <w:t>.</w:t>
      </w:r>
      <w:r>
        <w:rPr>
          <w:rStyle w:val="FootnoteReference"/>
          <w:rFonts w:ascii="Times New Roman" w:hAnsi="Times New Roman" w:cs="Times New Roman"/>
        </w:rPr>
        <w:footnoteReference w:id="102"/>
      </w:r>
      <w:r>
        <w:rPr>
          <w:rFonts w:ascii="Times New Roman" w:hAnsi="Times New Roman" w:cs="Times New Roman"/>
        </w:rPr>
        <w:t xml:space="preserve"> See Exhibit 4-</w:t>
      </w:r>
      <w:r w:rsidR="00085B85">
        <w:rPr>
          <w:rFonts w:ascii="Times New Roman" w:hAnsi="Times New Roman" w:cs="Times New Roman"/>
        </w:rPr>
        <w:t>5</w:t>
      </w:r>
      <w:r w:rsidR="00C645D4">
        <w:rPr>
          <w:rFonts w:ascii="Times New Roman" w:hAnsi="Times New Roman" w:cs="Times New Roman"/>
        </w:rPr>
        <w:t xml:space="preserve"> below</w:t>
      </w:r>
      <w:r>
        <w:rPr>
          <w:rFonts w:ascii="Times New Roman" w:hAnsi="Times New Roman" w:cs="Times New Roman"/>
        </w:rPr>
        <w:t>.</w:t>
      </w:r>
    </w:p>
    <w:p w:rsidR="00900B2C" w:rsidRPr="004D4B61" w:rsidP="00900B2C" w14:paraId="3C6EE8D6" w14:textId="77777777">
      <w:pPr>
        <w:spacing w:after="0" w:line="240" w:lineRule="auto"/>
        <w:ind w:firstLine="360"/>
        <w:rPr>
          <w:rFonts w:ascii="Times New Roman" w:hAnsi="Times New Roman" w:cs="Times New Roman"/>
        </w:rPr>
      </w:pPr>
    </w:p>
    <w:p w:rsidR="00900B2C" w:rsidP="00900B2C" w14:paraId="05E7329C"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The technical practicability assessment considers the extent of process redesign, its engineering implications, and possible costs</w:t>
      </w:r>
      <w:r w:rsidR="00C42395">
        <w:rPr>
          <w:rFonts w:ascii="Times New Roman" w:hAnsi="Times New Roman" w:cs="Times New Roman"/>
        </w:rPr>
        <w:t xml:space="preserve"> of implementing inherently safer technologies identified in the initial evaluation</w:t>
      </w:r>
      <w:r w:rsidRPr="004D4B61">
        <w:rPr>
          <w:rFonts w:ascii="Times New Roman" w:hAnsi="Times New Roman" w:cs="Times New Roman"/>
        </w:rPr>
        <w:t xml:space="preserve">. To estimate the cost of the </w:t>
      </w:r>
      <w:r w:rsidR="00E25B3A">
        <w:rPr>
          <w:rFonts w:ascii="Times New Roman" w:hAnsi="Times New Roman" w:cs="Times New Roman"/>
        </w:rPr>
        <w:t>practicability assessment</w:t>
      </w:r>
      <w:r w:rsidRPr="004D4B61">
        <w:rPr>
          <w:rFonts w:ascii="Times New Roman" w:hAnsi="Times New Roman" w:cs="Times New Roman"/>
        </w:rPr>
        <w:t xml:space="preserve">, referred to in some literature and comments as a feasibility study, EPA maintains the approach </w:t>
      </w:r>
      <w:r w:rsidR="00B4681B">
        <w:rPr>
          <w:rFonts w:ascii="Times New Roman" w:hAnsi="Times New Roman" w:cs="Times New Roman"/>
        </w:rPr>
        <w:t xml:space="preserve">it </w:t>
      </w:r>
      <w:r w:rsidRPr="004D4B61">
        <w:rPr>
          <w:rFonts w:ascii="Times New Roman" w:hAnsi="Times New Roman" w:cs="Times New Roman"/>
        </w:rPr>
        <w:t xml:space="preserve">developed for the </w:t>
      </w:r>
      <w:r w:rsidR="00531CF8">
        <w:rPr>
          <w:rFonts w:ascii="Times New Roman" w:hAnsi="Times New Roman" w:cs="Times New Roman"/>
        </w:rPr>
        <w:t>a</w:t>
      </w:r>
      <w:r w:rsidRPr="004D4B61">
        <w:rPr>
          <w:rFonts w:ascii="Times New Roman" w:hAnsi="Times New Roman" w:cs="Times New Roman"/>
        </w:rPr>
        <w:t xml:space="preserve">mendments rule RIA. That approach is to identify “reference” STAA projects for the sectors affected by the provision, estimate costs of the reference projects, and apply a percentage to the project cost to calculate the </w:t>
      </w:r>
      <w:r w:rsidR="00E25B3A">
        <w:rPr>
          <w:rFonts w:ascii="Times New Roman" w:hAnsi="Times New Roman" w:cs="Times New Roman"/>
        </w:rPr>
        <w:t>practicability assessment</w:t>
      </w:r>
      <w:r w:rsidRPr="004D4B61">
        <w:rPr>
          <w:rFonts w:ascii="Times New Roman" w:hAnsi="Times New Roman" w:cs="Times New Roman"/>
        </w:rPr>
        <w:t xml:space="preserve"> cost. Public comments received on the </w:t>
      </w:r>
      <w:r w:rsidRPr="006832E8" w:rsidR="00D32ADF">
        <w:rPr>
          <w:rFonts w:ascii="Times New Roman" w:hAnsi="Times New Roman" w:cs="Times New Roman"/>
        </w:rPr>
        <w:t>propose</w:t>
      </w:r>
      <w:r w:rsidRPr="00F26E1D">
        <w:rPr>
          <w:rFonts w:ascii="Times New Roman" w:hAnsi="Times New Roman" w:cs="Times New Roman"/>
        </w:rPr>
        <w:t>d</w:t>
      </w:r>
      <w:r w:rsidRPr="004D4B61">
        <w:rPr>
          <w:rFonts w:ascii="Times New Roman" w:hAnsi="Times New Roman" w:cs="Times New Roman"/>
        </w:rPr>
        <w:t xml:space="preserve"> </w:t>
      </w:r>
      <w:r w:rsidR="00DE1D6B">
        <w:rPr>
          <w:rFonts w:ascii="Times New Roman" w:hAnsi="Times New Roman" w:cs="Times New Roman"/>
        </w:rPr>
        <w:t>a</w:t>
      </w:r>
      <w:r w:rsidRPr="004D4B61">
        <w:rPr>
          <w:rFonts w:ascii="Times New Roman" w:hAnsi="Times New Roman" w:cs="Times New Roman"/>
        </w:rPr>
        <w:t xml:space="preserve">mendments rule provided </w:t>
      </w:r>
      <w:r w:rsidR="00E25B3A">
        <w:rPr>
          <w:rFonts w:ascii="Times New Roman" w:hAnsi="Times New Roman" w:cs="Times New Roman"/>
        </w:rPr>
        <w:t>practicability assessment</w:t>
      </w:r>
      <w:r w:rsidRPr="004D4B61">
        <w:rPr>
          <w:rFonts w:ascii="Times New Roman" w:hAnsi="Times New Roman" w:cs="Times New Roman"/>
        </w:rPr>
        <w:t xml:space="preserve"> cost information specifically for STAA projects. This information was provided by American Water Works Association (AWWA), American Fuel &amp; Petrochemical Manufacturers (AFPM), American Petroleum Institute (API), and Chemical Safety Advocacy Group (CSAG). EPA also identified sources examining feasibility studies of mining projects including Mackenzie and Cusworth (2007)</w:t>
      </w:r>
      <w:r>
        <w:rPr>
          <w:rStyle w:val="FootnoteReference"/>
          <w:rFonts w:ascii="Times New Roman" w:hAnsi="Times New Roman" w:cs="Times New Roman"/>
        </w:rPr>
        <w:footnoteReference w:id="103"/>
      </w:r>
      <w:r w:rsidRPr="004D4B61">
        <w:rPr>
          <w:rFonts w:ascii="Times New Roman" w:hAnsi="Times New Roman" w:cs="Times New Roman"/>
        </w:rPr>
        <w:t xml:space="preserve">. Since the </w:t>
      </w:r>
      <w:r w:rsidR="00DE1D6B">
        <w:rPr>
          <w:rFonts w:ascii="Times New Roman" w:hAnsi="Times New Roman" w:cs="Times New Roman"/>
        </w:rPr>
        <w:t>a</w:t>
      </w:r>
      <w:r w:rsidRPr="004D4B61">
        <w:rPr>
          <w:rFonts w:ascii="Times New Roman" w:hAnsi="Times New Roman" w:cs="Times New Roman"/>
        </w:rPr>
        <w:t>mendments rule</w:t>
      </w:r>
      <w:r w:rsidR="00C8335A">
        <w:rPr>
          <w:rFonts w:ascii="Times New Roman" w:hAnsi="Times New Roman" w:cs="Times New Roman"/>
        </w:rPr>
        <w:t xml:space="preserve"> was promulgated</w:t>
      </w:r>
      <w:r w:rsidRPr="004D4B61">
        <w:rPr>
          <w:rFonts w:ascii="Times New Roman" w:hAnsi="Times New Roman" w:cs="Times New Roman"/>
        </w:rPr>
        <w:t>, EPA identified an additional paper, McLeod (2021)</w:t>
      </w:r>
      <w:r>
        <w:rPr>
          <w:rStyle w:val="FootnoteReference"/>
          <w:rFonts w:ascii="Times New Roman" w:hAnsi="Times New Roman" w:cs="Times New Roman"/>
        </w:rPr>
        <w:footnoteReference w:id="104"/>
      </w:r>
      <w:r w:rsidRPr="004D4B61">
        <w:rPr>
          <w:rFonts w:ascii="Times New Roman" w:hAnsi="Times New Roman" w:cs="Times New Roman"/>
        </w:rPr>
        <w:t xml:space="preserve">, which summarizes lessons learned about practicability studies from the literature but does not provide additional </w:t>
      </w:r>
      <w:r w:rsidR="00335319">
        <w:rPr>
          <w:rFonts w:ascii="Times New Roman" w:hAnsi="Times New Roman" w:cs="Times New Roman"/>
        </w:rPr>
        <w:t xml:space="preserve">cost </w:t>
      </w:r>
      <w:r w:rsidRPr="004D4B61">
        <w:rPr>
          <w:rFonts w:ascii="Times New Roman" w:hAnsi="Times New Roman" w:cs="Times New Roman"/>
        </w:rPr>
        <w:t>data</w:t>
      </w:r>
      <w:r w:rsidR="00335319">
        <w:rPr>
          <w:rFonts w:ascii="Times New Roman" w:hAnsi="Times New Roman" w:cs="Times New Roman"/>
        </w:rPr>
        <w:t>.</w:t>
      </w:r>
      <w:r w:rsidRPr="004D4B61">
        <w:rPr>
          <w:rFonts w:ascii="Times New Roman" w:hAnsi="Times New Roman" w:cs="Times New Roman"/>
        </w:rPr>
        <w:t xml:space="preserve"> EPA was unable to locate new information on </w:t>
      </w:r>
      <w:r w:rsidR="00E25B3A">
        <w:rPr>
          <w:rFonts w:ascii="Times New Roman" w:hAnsi="Times New Roman" w:cs="Times New Roman"/>
        </w:rPr>
        <w:t>practicability assessment</w:t>
      </w:r>
      <w:r w:rsidRPr="004D4B61">
        <w:rPr>
          <w:rFonts w:ascii="Times New Roman" w:hAnsi="Times New Roman" w:cs="Times New Roman"/>
        </w:rPr>
        <w:t xml:space="preserve"> costs or those costs in relation to project costs. Thus, EPA adopts the same 1.2 percent of project costs that was estimated for the </w:t>
      </w:r>
      <w:r w:rsidR="00DE1D6B">
        <w:rPr>
          <w:rFonts w:ascii="Times New Roman" w:hAnsi="Times New Roman" w:cs="Times New Roman"/>
        </w:rPr>
        <w:t>a</w:t>
      </w:r>
      <w:r w:rsidRPr="004D4B61">
        <w:rPr>
          <w:rFonts w:ascii="Times New Roman" w:hAnsi="Times New Roman" w:cs="Times New Roman"/>
        </w:rPr>
        <w:t>mendments rule RIA.</w:t>
      </w:r>
      <w:r>
        <w:rPr>
          <w:rStyle w:val="FootnoteReference"/>
          <w:rFonts w:ascii="Times New Roman" w:hAnsi="Times New Roman" w:cs="Times New Roman"/>
        </w:rPr>
        <w:footnoteReference w:id="105"/>
      </w:r>
    </w:p>
    <w:p w:rsidR="00900B2C" w:rsidRPr="004D4B61" w:rsidP="00900B2C" w14:paraId="118D4E7C" w14:textId="77777777">
      <w:pPr>
        <w:spacing w:after="0" w:line="240" w:lineRule="auto"/>
        <w:ind w:firstLine="360"/>
        <w:rPr>
          <w:rFonts w:ascii="Times New Roman" w:hAnsi="Times New Roman" w:cs="Times New Roman"/>
        </w:rPr>
      </w:pPr>
    </w:p>
    <w:p w:rsidR="00900B2C" w:rsidRPr="004D4B61" w:rsidP="00D04D22" w14:paraId="7508AD48"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The approach to estimating the costs of practicability </w:t>
      </w:r>
      <w:r w:rsidR="006B0F06">
        <w:rPr>
          <w:rFonts w:ascii="Times New Roman" w:hAnsi="Times New Roman" w:cs="Times New Roman"/>
        </w:rPr>
        <w:t>assessment</w:t>
      </w:r>
      <w:r w:rsidRPr="004D4B61">
        <w:rPr>
          <w:rFonts w:ascii="Times New Roman" w:hAnsi="Times New Roman" w:cs="Times New Roman"/>
        </w:rPr>
        <w:t>s identifie</w:t>
      </w:r>
      <w:r w:rsidR="00335319">
        <w:rPr>
          <w:rFonts w:ascii="Times New Roman" w:hAnsi="Times New Roman" w:cs="Times New Roman"/>
        </w:rPr>
        <w:t>d</w:t>
      </w:r>
      <w:r w:rsidRPr="004D4B61">
        <w:rPr>
          <w:rFonts w:ascii="Times New Roman" w:hAnsi="Times New Roman" w:cs="Times New Roman"/>
        </w:rPr>
        <w:t xml:space="preserve"> relevant reference projects for each affected sector and cost estimates for each reference project</w:t>
      </w:r>
      <w:r w:rsidR="00C006C5">
        <w:rPr>
          <w:rFonts w:ascii="Times New Roman" w:hAnsi="Times New Roman" w:cs="Times New Roman"/>
        </w:rPr>
        <w:t xml:space="preserve"> and then applied the 1.2 percentage estimate to project costs</w:t>
      </w:r>
      <w:r w:rsidRPr="004D4B61">
        <w:rPr>
          <w:rFonts w:ascii="Times New Roman" w:hAnsi="Times New Roman" w:cs="Times New Roman"/>
        </w:rPr>
        <w:t xml:space="preserve">. </w:t>
      </w:r>
      <w:r w:rsidR="00890593">
        <w:rPr>
          <w:rFonts w:ascii="Times New Roman" w:hAnsi="Times New Roman" w:cs="Times New Roman"/>
        </w:rPr>
        <w:t xml:space="preserve">EPA assumes </w:t>
      </w:r>
      <w:r w:rsidR="00A826B6">
        <w:rPr>
          <w:rFonts w:ascii="Times New Roman" w:hAnsi="Times New Roman" w:cs="Times New Roman"/>
        </w:rPr>
        <w:t xml:space="preserve">Program 3 </w:t>
      </w:r>
      <w:r w:rsidR="008274DC">
        <w:rPr>
          <w:rFonts w:ascii="Times New Roman" w:hAnsi="Times New Roman" w:cs="Times New Roman"/>
        </w:rPr>
        <w:t xml:space="preserve">facilities already </w:t>
      </w:r>
      <w:r w:rsidR="009E56DC">
        <w:rPr>
          <w:rFonts w:ascii="Times New Roman" w:hAnsi="Times New Roman" w:cs="Times New Roman"/>
        </w:rPr>
        <w:t>assess the practicability of some</w:t>
      </w:r>
      <w:r w:rsidR="003A4256">
        <w:rPr>
          <w:rFonts w:ascii="Times New Roman" w:hAnsi="Times New Roman" w:cs="Times New Roman"/>
        </w:rPr>
        <w:t xml:space="preserve"> </w:t>
      </w:r>
      <w:r w:rsidR="00870737">
        <w:rPr>
          <w:rFonts w:ascii="Times New Roman" w:hAnsi="Times New Roman" w:cs="Times New Roman"/>
        </w:rPr>
        <w:t>potential</w:t>
      </w:r>
      <w:r w:rsidR="00D07204">
        <w:rPr>
          <w:rFonts w:ascii="Times New Roman" w:hAnsi="Times New Roman" w:cs="Times New Roman"/>
        </w:rPr>
        <w:t xml:space="preserve"> alternatives</w:t>
      </w:r>
      <w:r w:rsidR="006E6DA8">
        <w:rPr>
          <w:rFonts w:ascii="Times New Roman" w:hAnsi="Times New Roman" w:cs="Times New Roman"/>
        </w:rPr>
        <w:t xml:space="preserve">. </w:t>
      </w:r>
      <w:r w:rsidR="007B3B36">
        <w:rPr>
          <w:rFonts w:ascii="Times New Roman" w:hAnsi="Times New Roman" w:cs="Times New Roman"/>
        </w:rPr>
        <w:t xml:space="preserve">Hence, the reference </w:t>
      </w:r>
      <w:r w:rsidR="00015721">
        <w:rPr>
          <w:rFonts w:ascii="Times New Roman" w:hAnsi="Times New Roman" w:cs="Times New Roman"/>
        </w:rPr>
        <w:t xml:space="preserve">projects reflect </w:t>
      </w:r>
      <w:r w:rsidR="002A0E54">
        <w:rPr>
          <w:rFonts w:ascii="Times New Roman" w:hAnsi="Times New Roman" w:cs="Times New Roman"/>
        </w:rPr>
        <w:t xml:space="preserve">the </w:t>
      </w:r>
      <w:r w:rsidR="00E1039D">
        <w:rPr>
          <w:rFonts w:ascii="Times New Roman" w:hAnsi="Times New Roman" w:cs="Times New Roman"/>
        </w:rPr>
        <w:t>addi</w:t>
      </w:r>
      <w:r w:rsidR="00833972">
        <w:rPr>
          <w:rFonts w:ascii="Times New Roman" w:hAnsi="Times New Roman" w:cs="Times New Roman"/>
        </w:rPr>
        <w:t xml:space="preserve">tion of inherently safer </w:t>
      </w:r>
      <w:r w:rsidR="0048624B">
        <w:rPr>
          <w:rFonts w:ascii="Times New Roman" w:hAnsi="Times New Roman" w:cs="Times New Roman"/>
        </w:rPr>
        <w:t xml:space="preserve">and a few other </w:t>
      </w:r>
      <w:r w:rsidR="001C4C32">
        <w:rPr>
          <w:rFonts w:ascii="Times New Roman" w:hAnsi="Times New Roman" w:cs="Times New Roman"/>
        </w:rPr>
        <w:t>alternatives</w:t>
      </w:r>
      <w:r w:rsidR="0048624B">
        <w:rPr>
          <w:rFonts w:ascii="Times New Roman" w:hAnsi="Times New Roman" w:cs="Times New Roman"/>
        </w:rPr>
        <w:t xml:space="preserve"> </w:t>
      </w:r>
      <w:r w:rsidR="007E046E">
        <w:rPr>
          <w:rFonts w:ascii="Times New Roman" w:hAnsi="Times New Roman" w:cs="Times New Roman"/>
        </w:rPr>
        <w:t xml:space="preserve">in a facility’s </w:t>
      </w:r>
      <w:r w:rsidR="000E7674">
        <w:rPr>
          <w:rFonts w:ascii="Times New Roman" w:hAnsi="Times New Roman" w:cs="Times New Roman"/>
        </w:rPr>
        <w:t xml:space="preserve">practicability assessment </w:t>
      </w:r>
      <w:r w:rsidR="00494765">
        <w:rPr>
          <w:rFonts w:ascii="Times New Roman" w:hAnsi="Times New Roman" w:cs="Times New Roman"/>
        </w:rPr>
        <w:t xml:space="preserve">as a result of </w:t>
      </w:r>
      <w:r w:rsidR="00CB73D7">
        <w:rPr>
          <w:rFonts w:ascii="Times New Roman" w:hAnsi="Times New Roman" w:cs="Times New Roman"/>
        </w:rPr>
        <w:t>the final rule</w:t>
      </w:r>
      <w:r w:rsidR="007E046E">
        <w:rPr>
          <w:rFonts w:ascii="Times New Roman" w:hAnsi="Times New Roman" w:cs="Times New Roman"/>
        </w:rPr>
        <w:t>.</w:t>
      </w:r>
      <w:r w:rsidR="00586533">
        <w:rPr>
          <w:rFonts w:ascii="Times New Roman" w:hAnsi="Times New Roman" w:cs="Times New Roman"/>
        </w:rPr>
        <w:t xml:space="preserve"> </w:t>
      </w:r>
      <w:r w:rsidRPr="004D4B61">
        <w:rPr>
          <w:rFonts w:ascii="Times New Roman" w:hAnsi="Times New Roman" w:cs="Times New Roman"/>
        </w:rPr>
        <w:t xml:space="preserve">To estimate the cost of reference projects, EPA gathered new data combined with data used for the </w:t>
      </w:r>
      <w:r w:rsidR="00DE1D6B">
        <w:rPr>
          <w:rFonts w:ascii="Times New Roman" w:hAnsi="Times New Roman" w:cs="Times New Roman"/>
        </w:rPr>
        <w:t>a</w:t>
      </w:r>
      <w:r w:rsidRPr="004D4B61">
        <w:rPr>
          <w:rFonts w:ascii="Times New Roman" w:hAnsi="Times New Roman" w:cs="Times New Roman"/>
        </w:rPr>
        <w:t xml:space="preserve">mendments rule RIA. Several commenters on the </w:t>
      </w:r>
      <w:r w:rsidRPr="006832E8" w:rsidR="00D32ADF">
        <w:rPr>
          <w:rFonts w:ascii="Times New Roman" w:hAnsi="Times New Roman" w:cs="Times New Roman"/>
        </w:rPr>
        <w:t>propose</w:t>
      </w:r>
      <w:r w:rsidRPr="006B1D00">
        <w:rPr>
          <w:rFonts w:ascii="Times New Roman" w:hAnsi="Times New Roman" w:cs="Times New Roman"/>
        </w:rPr>
        <w:t>d</w:t>
      </w:r>
      <w:r w:rsidRPr="004D4B61">
        <w:rPr>
          <w:rFonts w:ascii="Times New Roman" w:hAnsi="Times New Roman" w:cs="Times New Roman"/>
        </w:rPr>
        <w:t xml:space="preserve"> </w:t>
      </w:r>
      <w:r w:rsidR="00DE1D6B">
        <w:rPr>
          <w:rFonts w:ascii="Times New Roman" w:hAnsi="Times New Roman" w:cs="Times New Roman"/>
        </w:rPr>
        <w:t>a</w:t>
      </w:r>
      <w:r w:rsidRPr="004D4B61">
        <w:rPr>
          <w:rFonts w:ascii="Times New Roman" w:hAnsi="Times New Roman" w:cs="Times New Roman"/>
        </w:rPr>
        <w:t>mendments rule RIA provided estimates of the costs of potential STAA projects. AWWA offered cost estimates for four STAA projects (</w:t>
      </w:r>
      <w:r w:rsidR="00407228">
        <w:rPr>
          <w:rFonts w:ascii="Times New Roman" w:hAnsi="Times New Roman" w:cs="Times New Roman"/>
        </w:rPr>
        <w:t xml:space="preserve">see Exhibit 4-3 below and </w:t>
      </w:r>
      <w:r w:rsidRPr="004D4B61">
        <w:rPr>
          <w:rFonts w:ascii="Times New Roman" w:hAnsi="Times New Roman" w:cs="Times New Roman"/>
        </w:rPr>
        <w:t>Table 4-10 in the comments, p. 4-21).</w:t>
      </w:r>
      <w:r>
        <w:rPr>
          <w:rStyle w:val="FootnoteReference"/>
          <w:rFonts w:ascii="Times New Roman" w:hAnsi="Times New Roman" w:cs="Times New Roman"/>
        </w:rPr>
        <w:footnoteReference w:id="106"/>
      </w:r>
      <w:r w:rsidRPr="004D4B61">
        <w:rPr>
          <w:rFonts w:ascii="Times New Roman" w:hAnsi="Times New Roman" w:cs="Times New Roman"/>
        </w:rPr>
        <w:t xml:space="preserve"> The water industry </w:t>
      </w:r>
      <w:r w:rsidR="009449B7">
        <w:rPr>
          <w:rFonts w:ascii="Times New Roman" w:hAnsi="Times New Roman" w:cs="Times New Roman"/>
        </w:rPr>
        <w:t>will</w:t>
      </w:r>
      <w:r w:rsidRPr="004D4B61">
        <w:rPr>
          <w:rFonts w:ascii="Times New Roman" w:hAnsi="Times New Roman" w:cs="Times New Roman"/>
        </w:rPr>
        <w:t xml:space="preserve"> not be affected by the </w:t>
      </w:r>
      <w:r w:rsidR="00447C29">
        <w:rPr>
          <w:rFonts w:ascii="Times New Roman" w:hAnsi="Times New Roman" w:cs="Times New Roman"/>
        </w:rPr>
        <w:t>final</w:t>
      </w:r>
      <w:r w:rsidRPr="004D4B61">
        <w:rPr>
          <w:rFonts w:ascii="Times New Roman" w:hAnsi="Times New Roman" w:cs="Times New Roman"/>
        </w:rPr>
        <w:t xml:space="preserve"> rule STAA provision, but EPA used these project costs to benchmark similar reference project costs for the chemical manufacturing sector.</w:t>
      </w:r>
    </w:p>
    <w:p w:rsidR="00900B2C" w:rsidRPr="004D4B61" w:rsidP="00900B2C" w14:paraId="68EC92DF" w14:textId="77777777">
      <w:pPr>
        <w:spacing w:after="0" w:line="240" w:lineRule="auto"/>
        <w:ind w:firstLine="360"/>
        <w:rPr>
          <w:rFonts w:ascii="Times New Roman" w:hAnsi="Times New Roman" w:cs="Times New Roman"/>
        </w:rPr>
      </w:pPr>
    </w:p>
    <w:p w:rsidR="00900B2C" w:rsidRPr="004D4B61" w:rsidP="00900B2C" w14:paraId="56CB6E9F" w14:textId="77777777">
      <w:pPr>
        <w:keepNext/>
        <w:spacing w:after="0" w:line="240" w:lineRule="auto"/>
        <w:ind w:firstLine="720"/>
        <w:jc w:val="center"/>
        <w:rPr>
          <w:rFonts w:ascii="Times New Roman" w:hAnsi="Times New Roman" w:cs="Times New Roman"/>
          <w:b/>
        </w:rPr>
      </w:pPr>
      <w:r w:rsidRPr="004D4B61">
        <w:rPr>
          <w:rFonts w:ascii="Times New Roman" w:hAnsi="Times New Roman" w:cs="Times New Roman"/>
          <w:b/>
        </w:rPr>
        <w:t>Exhibit 4-</w:t>
      </w:r>
      <w:r w:rsidR="007F6842">
        <w:rPr>
          <w:rFonts w:ascii="Times New Roman" w:hAnsi="Times New Roman" w:cs="Times New Roman"/>
          <w:b/>
        </w:rPr>
        <w:t>3</w:t>
      </w:r>
      <w:r w:rsidRPr="004D4B61">
        <w:rPr>
          <w:rFonts w:ascii="Times New Roman" w:hAnsi="Times New Roman" w:cs="Times New Roman"/>
          <w:b/>
        </w:rPr>
        <w:t xml:space="preserve">: AWWA Comment </w:t>
      </w:r>
      <w:r w:rsidR="00B1366E">
        <w:rPr>
          <w:rFonts w:ascii="Times New Roman" w:hAnsi="Times New Roman" w:cs="Times New Roman"/>
          <w:b/>
        </w:rPr>
        <w:t xml:space="preserve">on </w:t>
      </w:r>
      <w:r w:rsidRPr="004D4B61">
        <w:rPr>
          <w:rFonts w:ascii="Times New Roman" w:hAnsi="Times New Roman" w:cs="Times New Roman"/>
          <w:b/>
        </w:rPr>
        <w:t>Estimated Project Costs (2016</w:t>
      </w:r>
      <w:r w:rsidRPr="00BF2406">
        <w:rPr>
          <w:rFonts w:ascii="Times New Roman" w:hAnsi="Times New Roman" w:cs="Times New Roman"/>
          <w:b/>
          <w:bCs/>
        </w:rPr>
        <w:t>).</w:t>
      </w:r>
    </w:p>
    <w:tbl>
      <w:tblPr>
        <w:tblStyle w:val="TableGrid"/>
        <w:tblW w:w="0" w:type="auto"/>
        <w:jc w:val="center"/>
        <w:tblLook w:val="04A0"/>
      </w:tblPr>
      <w:tblGrid>
        <w:gridCol w:w="1975"/>
        <w:gridCol w:w="1890"/>
      </w:tblGrid>
      <w:tr w14:paraId="7BAE1920" w14:textId="77777777" w:rsidTr="00E6210A">
        <w:tblPrEx>
          <w:tblW w:w="0" w:type="auto"/>
          <w:jc w:val="center"/>
          <w:tblLook w:val="04A0"/>
        </w:tblPrEx>
        <w:trPr>
          <w:jc w:val="center"/>
        </w:trPr>
        <w:tc>
          <w:tcPr>
            <w:tcW w:w="1975" w:type="dxa"/>
            <w:shd w:val="clear" w:color="auto" w:fill="D9D9D9" w:themeFill="background1" w:themeFillShade="D9"/>
          </w:tcPr>
          <w:p w:rsidR="00900B2C" w:rsidRPr="004D4B61" w:rsidP="00E6210A" w14:paraId="555F9C08" w14:textId="77777777">
            <w:pPr>
              <w:keepNext/>
              <w:spacing w:line="240" w:lineRule="auto"/>
              <w:jc w:val="center"/>
              <w:rPr>
                <w:b/>
                <w:sz w:val="22"/>
                <w:szCs w:val="22"/>
              </w:rPr>
            </w:pPr>
            <w:r w:rsidRPr="004D4B61">
              <w:rPr>
                <w:b/>
                <w:sz w:val="22"/>
                <w:szCs w:val="22"/>
              </w:rPr>
              <w:t>Disinfection Technology</w:t>
            </w:r>
          </w:p>
        </w:tc>
        <w:tc>
          <w:tcPr>
            <w:tcW w:w="1890" w:type="dxa"/>
            <w:shd w:val="clear" w:color="auto" w:fill="D9D9D9" w:themeFill="background1" w:themeFillShade="D9"/>
          </w:tcPr>
          <w:p w:rsidR="00900B2C" w:rsidP="00E6210A" w14:paraId="4FF1C9AE" w14:textId="77777777">
            <w:pPr>
              <w:keepNext/>
              <w:spacing w:line="240" w:lineRule="auto"/>
              <w:jc w:val="center"/>
              <w:rPr>
                <w:b/>
                <w:sz w:val="22"/>
                <w:szCs w:val="22"/>
              </w:rPr>
            </w:pPr>
            <w:r w:rsidRPr="004D4B61">
              <w:rPr>
                <w:b/>
                <w:sz w:val="22"/>
                <w:szCs w:val="22"/>
              </w:rPr>
              <w:t xml:space="preserve">Capital Costs </w:t>
            </w:r>
          </w:p>
          <w:p w:rsidR="00900B2C" w:rsidRPr="004D4B61" w:rsidP="00E6210A" w14:paraId="09D2EBD6" w14:textId="77777777">
            <w:pPr>
              <w:keepNext/>
              <w:spacing w:line="240" w:lineRule="auto"/>
              <w:jc w:val="center"/>
              <w:rPr>
                <w:b/>
                <w:sz w:val="22"/>
                <w:szCs w:val="22"/>
              </w:rPr>
            </w:pPr>
            <w:r w:rsidRPr="004D4B61">
              <w:rPr>
                <w:b/>
                <w:sz w:val="22"/>
                <w:szCs w:val="22"/>
              </w:rPr>
              <w:t>(</w:t>
            </w:r>
            <w:r w:rsidR="008137D9">
              <w:rPr>
                <w:b/>
                <w:sz w:val="22"/>
                <w:szCs w:val="22"/>
              </w:rPr>
              <w:t>millions</w:t>
            </w:r>
            <w:r w:rsidR="000129DF">
              <w:rPr>
                <w:b/>
                <w:sz w:val="22"/>
                <w:szCs w:val="22"/>
              </w:rPr>
              <w:t xml:space="preserve">, </w:t>
            </w:r>
            <w:r w:rsidR="00CD01CD">
              <w:rPr>
                <w:b/>
                <w:sz w:val="22"/>
                <w:szCs w:val="22"/>
              </w:rPr>
              <w:t xml:space="preserve">2022 </w:t>
            </w:r>
            <w:r w:rsidRPr="004D4B61">
              <w:rPr>
                <w:b/>
                <w:sz w:val="22"/>
                <w:szCs w:val="22"/>
              </w:rPr>
              <w:t>$)</w:t>
            </w:r>
          </w:p>
        </w:tc>
      </w:tr>
      <w:tr w14:paraId="5EEF126D" w14:textId="77777777" w:rsidTr="00E6210A">
        <w:tblPrEx>
          <w:tblW w:w="0" w:type="auto"/>
          <w:jc w:val="center"/>
          <w:tblLook w:val="04A0"/>
        </w:tblPrEx>
        <w:trPr>
          <w:jc w:val="center"/>
        </w:trPr>
        <w:tc>
          <w:tcPr>
            <w:tcW w:w="1975" w:type="dxa"/>
          </w:tcPr>
          <w:p w:rsidR="00900B2C" w:rsidRPr="004D4B61" w:rsidP="00E6210A" w14:paraId="6106DD27" w14:textId="77777777">
            <w:pPr>
              <w:spacing w:line="240" w:lineRule="auto"/>
              <w:jc w:val="center"/>
              <w:rPr>
                <w:sz w:val="22"/>
                <w:szCs w:val="22"/>
              </w:rPr>
            </w:pPr>
            <w:r w:rsidRPr="004D4B61">
              <w:rPr>
                <w:sz w:val="22"/>
                <w:szCs w:val="22"/>
              </w:rPr>
              <w:t>Hypochlorite</w:t>
            </w:r>
          </w:p>
        </w:tc>
        <w:tc>
          <w:tcPr>
            <w:tcW w:w="1890" w:type="dxa"/>
          </w:tcPr>
          <w:p w:rsidR="00900B2C" w:rsidRPr="004D4B61" w:rsidP="00E6210A" w14:paraId="5F5F1D2C" w14:textId="77777777">
            <w:pPr>
              <w:spacing w:line="240" w:lineRule="auto"/>
              <w:jc w:val="center"/>
              <w:rPr>
                <w:sz w:val="22"/>
                <w:szCs w:val="22"/>
              </w:rPr>
            </w:pPr>
            <w:r w:rsidRPr="004D4B61">
              <w:rPr>
                <w:sz w:val="22"/>
                <w:szCs w:val="22"/>
              </w:rPr>
              <w:t>$2.</w:t>
            </w:r>
            <w:r w:rsidR="006E05D3">
              <w:rPr>
                <w:sz w:val="22"/>
                <w:szCs w:val="22"/>
              </w:rPr>
              <w:t>3</w:t>
            </w:r>
          </w:p>
        </w:tc>
      </w:tr>
      <w:tr w14:paraId="139CA998" w14:textId="77777777" w:rsidTr="00E6210A">
        <w:tblPrEx>
          <w:tblW w:w="0" w:type="auto"/>
          <w:jc w:val="center"/>
          <w:tblLook w:val="04A0"/>
        </w:tblPrEx>
        <w:trPr>
          <w:jc w:val="center"/>
        </w:trPr>
        <w:tc>
          <w:tcPr>
            <w:tcW w:w="1975" w:type="dxa"/>
          </w:tcPr>
          <w:p w:rsidR="00900B2C" w:rsidRPr="004D4B61" w:rsidP="00E6210A" w14:paraId="14A2B997" w14:textId="77777777">
            <w:pPr>
              <w:spacing w:line="240" w:lineRule="auto"/>
              <w:jc w:val="center"/>
              <w:rPr>
                <w:sz w:val="22"/>
                <w:szCs w:val="22"/>
              </w:rPr>
            </w:pPr>
            <w:r w:rsidRPr="004D4B61">
              <w:rPr>
                <w:sz w:val="22"/>
                <w:szCs w:val="22"/>
              </w:rPr>
              <w:t>Chlorine Dioxide</w:t>
            </w:r>
          </w:p>
        </w:tc>
        <w:tc>
          <w:tcPr>
            <w:tcW w:w="1890" w:type="dxa"/>
          </w:tcPr>
          <w:p w:rsidR="00900B2C" w:rsidRPr="004D4B61" w:rsidP="00E6210A" w14:paraId="41B68F1A" w14:textId="77777777">
            <w:pPr>
              <w:spacing w:line="240" w:lineRule="auto"/>
              <w:jc w:val="center"/>
              <w:rPr>
                <w:sz w:val="22"/>
                <w:szCs w:val="22"/>
              </w:rPr>
            </w:pPr>
            <w:r w:rsidRPr="004D4B61">
              <w:rPr>
                <w:sz w:val="22"/>
                <w:szCs w:val="22"/>
              </w:rPr>
              <w:t>$</w:t>
            </w:r>
            <w:r w:rsidR="002A35DC">
              <w:rPr>
                <w:sz w:val="22"/>
                <w:szCs w:val="22"/>
              </w:rPr>
              <w:t>1.1</w:t>
            </w:r>
          </w:p>
        </w:tc>
      </w:tr>
      <w:tr w14:paraId="031C6796" w14:textId="77777777" w:rsidTr="00E6210A">
        <w:tblPrEx>
          <w:tblW w:w="0" w:type="auto"/>
          <w:jc w:val="center"/>
          <w:tblLook w:val="04A0"/>
        </w:tblPrEx>
        <w:trPr>
          <w:jc w:val="center"/>
        </w:trPr>
        <w:tc>
          <w:tcPr>
            <w:tcW w:w="1975" w:type="dxa"/>
          </w:tcPr>
          <w:p w:rsidR="00900B2C" w:rsidRPr="004D4B61" w:rsidP="00E6210A" w14:paraId="7C22FB31" w14:textId="77777777">
            <w:pPr>
              <w:spacing w:line="240" w:lineRule="auto"/>
              <w:jc w:val="center"/>
              <w:rPr>
                <w:sz w:val="22"/>
                <w:szCs w:val="22"/>
              </w:rPr>
            </w:pPr>
            <w:r w:rsidRPr="004D4B61">
              <w:rPr>
                <w:sz w:val="22"/>
                <w:szCs w:val="22"/>
              </w:rPr>
              <w:t>Ultraviolet</w:t>
            </w:r>
          </w:p>
        </w:tc>
        <w:tc>
          <w:tcPr>
            <w:tcW w:w="1890" w:type="dxa"/>
          </w:tcPr>
          <w:p w:rsidR="00900B2C" w:rsidRPr="004D4B61" w:rsidP="00E6210A" w14:paraId="650B71DF" w14:textId="77777777">
            <w:pPr>
              <w:spacing w:line="240" w:lineRule="auto"/>
              <w:jc w:val="center"/>
              <w:rPr>
                <w:sz w:val="22"/>
                <w:szCs w:val="22"/>
              </w:rPr>
            </w:pPr>
            <w:r w:rsidRPr="004D4B61">
              <w:rPr>
                <w:sz w:val="22"/>
                <w:szCs w:val="22"/>
              </w:rPr>
              <w:t>$1</w:t>
            </w:r>
            <w:r w:rsidR="006F47AE">
              <w:rPr>
                <w:sz w:val="22"/>
                <w:szCs w:val="22"/>
              </w:rPr>
              <w:t>4.7</w:t>
            </w:r>
          </w:p>
        </w:tc>
      </w:tr>
      <w:tr w14:paraId="70CE16A9" w14:textId="77777777" w:rsidTr="00E6210A">
        <w:tblPrEx>
          <w:tblW w:w="0" w:type="auto"/>
          <w:jc w:val="center"/>
          <w:tblLook w:val="04A0"/>
        </w:tblPrEx>
        <w:trPr>
          <w:jc w:val="center"/>
        </w:trPr>
        <w:tc>
          <w:tcPr>
            <w:tcW w:w="1975" w:type="dxa"/>
          </w:tcPr>
          <w:p w:rsidR="00900B2C" w:rsidRPr="004D4B61" w:rsidP="00E6210A" w14:paraId="73BE845C" w14:textId="77777777">
            <w:pPr>
              <w:spacing w:line="240" w:lineRule="auto"/>
              <w:jc w:val="center"/>
              <w:rPr>
                <w:sz w:val="22"/>
                <w:szCs w:val="22"/>
              </w:rPr>
            </w:pPr>
            <w:r w:rsidRPr="004D4B61">
              <w:rPr>
                <w:sz w:val="22"/>
                <w:szCs w:val="22"/>
              </w:rPr>
              <w:t>Ozone</w:t>
            </w:r>
          </w:p>
        </w:tc>
        <w:tc>
          <w:tcPr>
            <w:tcW w:w="1890" w:type="dxa"/>
          </w:tcPr>
          <w:p w:rsidR="00900B2C" w:rsidRPr="004D4B61" w:rsidP="00E6210A" w14:paraId="6EE8B754" w14:textId="77777777">
            <w:pPr>
              <w:spacing w:line="240" w:lineRule="auto"/>
              <w:jc w:val="center"/>
              <w:rPr>
                <w:sz w:val="22"/>
                <w:szCs w:val="22"/>
              </w:rPr>
            </w:pPr>
            <w:r w:rsidRPr="004D4B61">
              <w:rPr>
                <w:sz w:val="22"/>
                <w:szCs w:val="22"/>
              </w:rPr>
              <w:t>$2</w:t>
            </w:r>
            <w:r w:rsidR="00A25054">
              <w:rPr>
                <w:sz w:val="22"/>
                <w:szCs w:val="22"/>
              </w:rPr>
              <w:t>9</w:t>
            </w:r>
            <w:r w:rsidRPr="004D4B61">
              <w:rPr>
                <w:sz w:val="22"/>
                <w:szCs w:val="22"/>
              </w:rPr>
              <w:t>.6</w:t>
            </w:r>
          </w:p>
        </w:tc>
      </w:tr>
    </w:tbl>
    <w:p w:rsidR="00900B2C" w:rsidP="00900B2C" w14:paraId="2D48490E" w14:textId="77777777">
      <w:pPr>
        <w:spacing w:after="0" w:line="240" w:lineRule="auto"/>
        <w:ind w:firstLine="720"/>
        <w:rPr>
          <w:rFonts w:ascii="Times New Roman" w:hAnsi="Times New Roman" w:cs="Times New Roman"/>
        </w:rPr>
      </w:pPr>
    </w:p>
    <w:p w:rsidR="00900B2C" w:rsidP="00900B2C" w14:paraId="49277B12"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An important potential STAA project for the </w:t>
      </w:r>
      <w:r w:rsidR="009216E4">
        <w:rPr>
          <w:rFonts w:ascii="Times New Roman" w:hAnsi="Times New Roman" w:cs="Times New Roman"/>
        </w:rPr>
        <w:t>final</w:t>
      </w:r>
      <w:r w:rsidRPr="004D4B61">
        <w:rPr>
          <w:rFonts w:ascii="Times New Roman" w:hAnsi="Times New Roman" w:cs="Times New Roman"/>
        </w:rPr>
        <w:t xml:space="preserve"> rule is the consideration by petroleum refiners of converting an HF alkylation to safer technologies that replace HF with substitutes such as sulfuric acid, ionic liquids, or solid acid. EPA was able to locate nine estimates of the costs to modify or replace an HF alkylation unit. Two were already identified for the </w:t>
      </w:r>
      <w:r w:rsidR="00DE1D6B">
        <w:rPr>
          <w:rFonts w:ascii="Times New Roman" w:hAnsi="Times New Roman" w:cs="Times New Roman"/>
        </w:rPr>
        <w:t>a</w:t>
      </w:r>
      <w:r w:rsidRPr="004D4B61">
        <w:rPr>
          <w:rFonts w:ascii="Times New Roman" w:hAnsi="Times New Roman" w:cs="Times New Roman"/>
        </w:rPr>
        <w:t>mendments rule RIA (including one provided by AFPM through public comments)</w:t>
      </w:r>
      <w:r>
        <w:rPr>
          <w:rStyle w:val="FootnoteReference"/>
          <w:rFonts w:ascii="Times New Roman" w:hAnsi="Times New Roman" w:cs="Times New Roman"/>
        </w:rPr>
        <w:footnoteReference w:id="107"/>
      </w:r>
      <w:r w:rsidRPr="004D4B61">
        <w:rPr>
          <w:rFonts w:ascii="Times New Roman" w:hAnsi="Times New Roman" w:cs="Times New Roman"/>
        </w:rPr>
        <w:t xml:space="preserve"> and seven </w:t>
      </w:r>
      <w:r w:rsidR="00D85B8F">
        <w:rPr>
          <w:rFonts w:ascii="Times New Roman" w:hAnsi="Times New Roman" w:cs="Times New Roman"/>
        </w:rPr>
        <w:t xml:space="preserve">that </w:t>
      </w:r>
      <w:r w:rsidRPr="004D4B61">
        <w:rPr>
          <w:rFonts w:ascii="Times New Roman" w:hAnsi="Times New Roman" w:cs="Times New Roman"/>
        </w:rPr>
        <w:t xml:space="preserve">became available </w:t>
      </w:r>
      <w:r w:rsidR="004707E8">
        <w:rPr>
          <w:rFonts w:ascii="Times New Roman" w:hAnsi="Times New Roman" w:cs="Times New Roman"/>
        </w:rPr>
        <w:t>after</w:t>
      </w:r>
      <w:r w:rsidRPr="004D4B61">
        <w:rPr>
          <w:rFonts w:ascii="Times New Roman" w:hAnsi="Times New Roman" w:cs="Times New Roman"/>
        </w:rPr>
        <w:t xml:space="preserve"> development of that RIA. Appendix A presents the cost estimates, which range from $50 million to $900 million, with a mean of $270 million, a median of $155 million, and a mode of $300 million. Thus, EPA has adopted an estimate of $300 million for this analysis, which is unchanged from the </w:t>
      </w:r>
      <w:r w:rsidR="00DE1D6B">
        <w:rPr>
          <w:rFonts w:ascii="Times New Roman" w:hAnsi="Times New Roman" w:cs="Times New Roman"/>
        </w:rPr>
        <w:t>a</w:t>
      </w:r>
      <w:r w:rsidRPr="004D4B61">
        <w:rPr>
          <w:rFonts w:ascii="Times New Roman" w:hAnsi="Times New Roman" w:cs="Times New Roman"/>
        </w:rPr>
        <w:t xml:space="preserve">mendments </w:t>
      </w:r>
      <w:r w:rsidR="00DE1D6B">
        <w:rPr>
          <w:rFonts w:ascii="Times New Roman" w:hAnsi="Times New Roman" w:cs="Times New Roman"/>
        </w:rPr>
        <w:t xml:space="preserve">rule </w:t>
      </w:r>
      <w:r w:rsidRPr="004D4B61">
        <w:rPr>
          <w:rFonts w:ascii="Times New Roman" w:hAnsi="Times New Roman" w:cs="Times New Roman"/>
        </w:rPr>
        <w:t xml:space="preserve">RIA. This may be a conservative estimate </w:t>
      </w:r>
      <w:r w:rsidR="004707E8">
        <w:rPr>
          <w:rFonts w:ascii="Times New Roman" w:hAnsi="Times New Roman" w:cs="Times New Roman"/>
        </w:rPr>
        <w:t>given tha</w:t>
      </w:r>
      <w:r w:rsidR="00765D76">
        <w:rPr>
          <w:rFonts w:ascii="Times New Roman" w:hAnsi="Times New Roman" w:cs="Times New Roman"/>
        </w:rPr>
        <w:t>t</w:t>
      </w:r>
      <w:r w:rsidRPr="004D4B61">
        <w:rPr>
          <w:rFonts w:ascii="Times New Roman" w:hAnsi="Times New Roman" w:cs="Times New Roman"/>
        </w:rPr>
        <w:t xml:space="preserve"> recent advancements in technology target HF conversion and may be lowering conversion costs. Several recent articles discuss a new, lower cost technology that converts existing HF alkylation units to use sulfuric acid and simultaneously allows an expansion of production capacity.</w:t>
      </w:r>
      <w:r>
        <w:rPr>
          <w:rStyle w:val="FootnoteReference"/>
          <w:rFonts w:ascii="Times New Roman" w:hAnsi="Times New Roman" w:cs="Times New Roman"/>
        </w:rPr>
        <w:footnoteReference w:id="108"/>
      </w:r>
      <w:r w:rsidRPr="004D4B61">
        <w:rPr>
          <w:rFonts w:ascii="Times New Roman" w:hAnsi="Times New Roman" w:cs="Times New Roman"/>
        </w:rPr>
        <w:t xml:space="preserve"> </w:t>
      </w:r>
    </w:p>
    <w:p w:rsidR="00900B2C" w:rsidRPr="004D4B61" w:rsidP="00900B2C" w14:paraId="0AA94B57" w14:textId="77777777">
      <w:pPr>
        <w:spacing w:after="0" w:line="240" w:lineRule="auto"/>
        <w:ind w:firstLine="360"/>
        <w:rPr>
          <w:rFonts w:ascii="Times New Roman" w:hAnsi="Times New Roman" w:cs="Times New Roman"/>
        </w:rPr>
      </w:pPr>
    </w:p>
    <w:p w:rsidR="00900B2C" w:rsidP="00900B2C" w14:paraId="1BBC0E5E"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Additional STAA projects that might be considered by petroleum refiners include piping replacement and miscellaneous small projects. For chemical manufacturers, STAA projects might include chemical conversion, piping</w:t>
      </w:r>
      <w:r w:rsidR="003A1AEF">
        <w:rPr>
          <w:rFonts w:ascii="Times New Roman" w:hAnsi="Times New Roman" w:cs="Times New Roman"/>
        </w:rPr>
        <w:t xml:space="preserve"> </w:t>
      </w:r>
      <w:r w:rsidRPr="004D4B61">
        <w:rPr>
          <w:rFonts w:ascii="Times New Roman" w:hAnsi="Times New Roman" w:cs="Times New Roman"/>
        </w:rPr>
        <w:t xml:space="preserve">replacement, and other miscellaneous small projects. See Appendix D in the 2016 RIA for </w:t>
      </w:r>
      <w:r w:rsidR="00BB295A">
        <w:rPr>
          <w:rFonts w:ascii="Times New Roman" w:hAnsi="Times New Roman" w:cs="Times New Roman"/>
        </w:rPr>
        <w:t xml:space="preserve">the 2017 amendments rule </w:t>
      </w:r>
      <w:r w:rsidRPr="004D4B61">
        <w:rPr>
          <w:rFonts w:ascii="Times New Roman" w:hAnsi="Times New Roman" w:cs="Times New Roman"/>
        </w:rPr>
        <w:t>for a description of these projects and their estimated costs.</w:t>
      </w:r>
      <w:r>
        <w:rPr>
          <w:rStyle w:val="FootnoteReference"/>
          <w:rFonts w:ascii="Times New Roman" w:hAnsi="Times New Roman" w:cs="Times New Roman"/>
        </w:rPr>
        <w:footnoteReference w:id="109"/>
      </w:r>
      <w:r w:rsidRPr="004D4B61">
        <w:rPr>
          <w:rFonts w:ascii="Times New Roman" w:hAnsi="Times New Roman" w:cs="Times New Roman"/>
        </w:rPr>
        <w:t xml:space="preserve"> Note that the costs of the most expensive STAA projects will drive the majority of expenditures for practicability studies. The cost is then multiplied by the number of facilities in the affected sector (assuming the costs are spread over five years), and the costs for each sector are summed to calculate the overall costs of practicability studies. </w:t>
      </w:r>
    </w:p>
    <w:p w:rsidR="00900B2C" w:rsidRPr="004D4B61" w:rsidP="00900B2C" w14:paraId="187FE3BF" w14:textId="77777777">
      <w:pPr>
        <w:spacing w:after="0" w:line="240" w:lineRule="auto"/>
        <w:ind w:firstLine="360"/>
        <w:rPr>
          <w:rFonts w:ascii="Times New Roman" w:hAnsi="Times New Roman" w:cs="Times New Roman"/>
        </w:rPr>
      </w:pPr>
    </w:p>
    <w:p w:rsidR="00900B2C" w:rsidRPr="004D4B61" w:rsidP="00900B2C" w14:paraId="7D50E7AE"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Exhibit 4-</w:t>
      </w:r>
      <w:r w:rsidR="00C6654C">
        <w:rPr>
          <w:rFonts w:ascii="Times New Roman" w:hAnsi="Times New Roman" w:cs="Times New Roman"/>
        </w:rPr>
        <w:t>4</w:t>
      </w:r>
      <w:r w:rsidRPr="004D4B61">
        <w:rPr>
          <w:rFonts w:ascii="Times New Roman" w:hAnsi="Times New Roman" w:cs="Times New Roman"/>
        </w:rPr>
        <w:t xml:space="preserve"> illustrates the estimated costs for practicability studies using this approach; that is, it approximates the costs of practicability studies as 1.2 percent of reference project costs. EPA developed a unit cost estimate of the </w:t>
      </w:r>
      <w:r w:rsidR="00E25B3A">
        <w:rPr>
          <w:rFonts w:ascii="Times New Roman" w:hAnsi="Times New Roman" w:cs="Times New Roman"/>
        </w:rPr>
        <w:t>practicability assessment</w:t>
      </w:r>
      <w:r w:rsidRPr="004D4B61">
        <w:rPr>
          <w:rFonts w:ascii="Times New Roman" w:hAnsi="Times New Roman" w:cs="Times New Roman"/>
        </w:rPr>
        <w:t xml:space="preserve"> for each sector (petroleum refining and chemical manufacturing) by weighting the reference projects by the number of facilities estimated to require that type of </w:t>
      </w:r>
      <w:r w:rsidR="00E25B3A">
        <w:rPr>
          <w:rFonts w:ascii="Times New Roman" w:hAnsi="Times New Roman" w:cs="Times New Roman"/>
        </w:rPr>
        <w:t>practicability assessment</w:t>
      </w:r>
      <w:r w:rsidRPr="004D4B61">
        <w:rPr>
          <w:rFonts w:ascii="Times New Roman" w:hAnsi="Times New Roman" w:cs="Times New Roman"/>
        </w:rPr>
        <w:t xml:space="preserve">. </w:t>
      </w:r>
    </w:p>
    <w:p w:rsidR="00900B2C" w:rsidRPr="004D4B61" w:rsidP="00900B2C" w14:paraId="23D5017D" w14:textId="77777777">
      <w:pPr>
        <w:spacing w:after="0" w:line="240" w:lineRule="auto"/>
        <w:rPr>
          <w:rFonts w:ascii="Times New Roman" w:hAnsi="Times New Roman" w:cs="Times New Roman"/>
        </w:rPr>
      </w:pPr>
    </w:p>
    <w:p w:rsidR="00900B2C" w:rsidRPr="004D4B61" w:rsidP="00BB7BE3" w14:paraId="3DA6D4E1" w14:textId="77777777">
      <w:pPr>
        <w:keepNext/>
        <w:spacing w:after="120" w:line="240" w:lineRule="auto"/>
        <w:jc w:val="center"/>
        <w:rPr>
          <w:rFonts w:ascii="Times New Roman" w:hAnsi="Times New Roman" w:cs="Times New Roman"/>
          <w:b/>
        </w:rPr>
      </w:pPr>
      <w:r w:rsidRPr="004D4B61">
        <w:rPr>
          <w:rFonts w:ascii="Times New Roman" w:hAnsi="Times New Roman" w:cs="Times New Roman"/>
          <w:b/>
        </w:rPr>
        <w:t>Exhibit 4-</w:t>
      </w:r>
      <w:r w:rsidR="007F6842">
        <w:rPr>
          <w:rFonts w:ascii="Times New Roman" w:hAnsi="Times New Roman" w:cs="Times New Roman"/>
          <w:b/>
        </w:rPr>
        <w:t>4</w:t>
      </w:r>
      <w:r w:rsidRPr="004D4B61">
        <w:rPr>
          <w:rFonts w:ascii="Times New Roman" w:hAnsi="Times New Roman" w:cs="Times New Roman"/>
          <w:b/>
        </w:rPr>
        <w:t xml:space="preserve">: STAA </w:t>
      </w:r>
      <w:r w:rsidR="00E25B3A">
        <w:rPr>
          <w:rFonts w:ascii="Times New Roman" w:hAnsi="Times New Roman" w:cs="Times New Roman"/>
          <w:b/>
        </w:rPr>
        <w:t>Practicability Assessment</w:t>
      </w:r>
      <w:r w:rsidRPr="004D4B61">
        <w:rPr>
          <w:rFonts w:ascii="Times New Roman" w:hAnsi="Times New Roman" w:cs="Times New Roman"/>
          <w:b/>
        </w:rPr>
        <w:t xml:space="preserve"> Cost Table (millions, 202</w:t>
      </w:r>
      <w:r w:rsidR="00F1599E">
        <w:rPr>
          <w:rFonts w:ascii="Times New Roman" w:hAnsi="Times New Roman" w:cs="Times New Roman"/>
          <w:b/>
        </w:rPr>
        <w:t>2</w:t>
      </w:r>
      <w:r w:rsidRPr="004D4B61">
        <w:rPr>
          <w:rFonts w:ascii="Times New Roman" w:hAnsi="Times New Roman" w:cs="Times New Roman"/>
          <w:b/>
        </w:rPr>
        <w:t xml:space="preserve"> </w:t>
      </w:r>
      <w:r w:rsidR="00BB7BE3">
        <w:rPr>
          <w:rFonts w:ascii="Times New Roman" w:hAnsi="Times New Roman" w:cs="Times New Roman"/>
          <w:b/>
        </w:rPr>
        <w:t>d</w:t>
      </w:r>
      <w:r w:rsidRPr="004D4B61">
        <w:rPr>
          <w:rFonts w:ascii="Times New Roman" w:hAnsi="Times New Roman" w:cs="Times New Roman"/>
          <w:b/>
        </w:rPr>
        <w:t>ollars</w:t>
      </w:r>
      <w:r w:rsidRPr="004D4B61">
        <w:rPr>
          <w:rFonts w:ascii="Times New Roman" w:hAnsi="Times New Roman" w:cs="Times New Roman"/>
          <w:b/>
          <w:bCs/>
        </w:rPr>
        <w:t>)</w:t>
      </w:r>
      <w:r>
        <w:rPr>
          <w:rFonts w:ascii="Times New Roman" w:hAnsi="Times New Roman" w:cs="Times New Roman"/>
          <w:b/>
          <w:bCs/>
        </w:rPr>
        <w:t>.</w:t>
      </w:r>
    </w:p>
    <w:tbl>
      <w:tblPr>
        <w:tblW w:w="5000" w:type="pct"/>
        <w:tblLayout w:type="fixed"/>
        <w:tblLook w:val="04A0"/>
      </w:tblPr>
      <w:tblGrid>
        <w:gridCol w:w="1871"/>
        <w:gridCol w:w="1715"/>
        <w:gridCol w:w="1074"/>
        <w:gridCol w:w="898"/>
        <w:gridCol w:w="898"/>
        <w:gridCol w:w="1223"/>
        <w:gridCol w:w="1307"/>
        <w:gridCol w:w="974"/>
      </w:tblGrid>
      <w:tr w14:paraId="2D6F1CAE" w14:textId="77777777" w:rsidTr="00CB257B">
        <w:tblPrEx>
          <w:tblW w:w="5000" w:type="pct"/>
          <w:tblLayout w:type="fixed"/>
          <w:tblLook w:val="04A0"/>
        </w:tblPrEx>
        <w:trPr>
          <w:trHeight w:val="526"/>
          <w:tblHeader/>
        </w:trPr>
        <w:tc>
          <w:tcPr>
            <w:tcW w:w="939" w:type="pct"/>
            <w:tcBorders>
              <w:top w:val="single" w:sz="4" w:space="0" w:color="auto"/>
              <w:left w:val="single" w:sz="8" w:space="0" w:color="auto"/>
              <w:bottom w:val="single" w:sz="8" w:space="0" w:color="auto"/>
              <w:right w:val="single" w:sz="8" w:space="0" w:color="auto"/>
            </w:tcBorders>
            <w:shd w:val="clear" w:color="000000" w:fill="D9D9D9"/>
            <w:vAlign w:val="center"/>
            <w:hideMark/>
          </w:tcPr>
          <w:p w:rsidR="00900B2C" w:rsidRPr="00D7128A" w:rsidP="00A367F3" w14:paraId="4441859E" w14:textId="77777777">
            <w:pPr>
              <w:keepNext/>
              <w:spacing w:after="0" w:line="240" w:lineRule="auto"/>
              <w:ind w:left="-30"/>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Sector</w:t>
            </w:r>
          </w:p>
        </w:tc>
        <w:tc>
          <w:tcPr>
            <w:tcW w:w="861" w:type="pct"/>
            <w:tcBorders>
              <w:top w:val="single" w:sz="4" w:space="0" w:color="auto"/>
              <w:left w:val="nil"/>
              <w:bottom w:val="single" w:sz="8" w:space="0" w:color="auto"/>
              <w:right w:val="single" w:sz="8" w:space="0" w:color="auto"/>
            </w:tcBorders>
            <w:shd w:val="clear" w:color="000000" w:fill="D9D9D9"/>
            <w:vAlign w:val="center"/>
            <w:hideMark/>
          </w:tcPr>
          <w:p w:rsidR="00900B2C" w:rsidRPr="00D7128A" w:rsidP="00A367F3" w14:paraId="20AFDBFC" w14:textId="77777777">
            <w:pPr>
              <w:keepNext/>
              <w:spacing w:after="0" w:line="240" w:lineRule="auto"/>
              <w:ind w:left="-73"/>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Reference Project</w:t>
            </w:r>
          </w:p>
        </w:tc>
        <w:tc>
          <w:tcPr>
            <w:tcW w:w="539" w:type="pct"/>
            <w:tcBorders>
              <w:top w:val="single" w:sz="4" w:space="0" w:color="auto"/>
              <w:left w:val="nil"/>
              <w:bottom w:val="single" w:sz="8" w:space="0" w:color="auto"/>
              <w:right w:val="single" w:sz="8" w:space="0" w:color="auto"/>
            </w:tcBorders>
            <w:shd w:val="clear" w:color="000000" w:fill="D9D9D9"/>
            <w:vAlign w:val="center"/>
            <w:hideMark/>
          </w:tcPr>
          <w:p w:rsidR="00900B2C" w:rsidRPr="00D7128A" w:rsidP="00CB257B" w14:paraId="1597275E" w14:textId="77777777">
            <w:pPr>
              <w:keepNext/>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Reference Project Unit Cost</w:t>
            </w:r>
          </w:p>
        </w:tc>
        <w:tc>
          <w:tcPr>
            <w:tcW w:w="451" w:type="pct"/>
            <w:tcBorders>
              <w:top w:val="single" w:sz="4" w:space="0" w:color="auto"/>
              <w:left w:val="nil"/>
              <w:bottom w:val="single" w:sz="8" w:space="0" w:color="auto"/>
              <w:right w:val="single" w:sz="8" w:space="0" w:color="auto"/>
            </w:tcBorders>
            <w:shd w:val="clear" w:color="000000" w:fill="D9D9D9"/>
            <w:vAlign w:val="center"/>
          </w:tcPr>
          <w:p w:rsidR="001C55F0" w:rsidP="00CB257B" w14:paraId="62CE0C4D" w14:textId="77777777">
            <w:pPr>
              <w:keepNext/>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U</w:t>
            </w:r>
            <w:r w:rsidR="002612BF">
              <w:rPr>
                <w:rFonts w:ascii="Times New Roman" w:hAnsi="Times New Roman" w:cs="Times New Roman"/>
                <w:b/>
                <w:color w:val="000000"/>
                <w:sz w:val="20"/>
                <w:szCs w:val="20"/>
              </w:rPr>
              <w:t>nits</w:t>
            </w:r>
            <w:r w:rsidR="004717F9">
              <w:rPr>
                <w:rFonts w:ascii="Times New Roman" w:hAnsi="Times New Roman" w:cs="Times New Roman"/>
                <w:b/>
                <w:color w:val="000000"/>
                <w:sz w:val="20"/>
                <w:szCs w:val="20"/>
              </w:rPr>
              <w:t>/</w:t>
            </w:r>
          </w:p>
          <w:p w:rsidR="00AC6413" w:rsidP="00CB257B" w14:paraId="15BAC6EF" w14:textId="77777777">
            <w:pPr>
              <w:keepNext/>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project</w:t>
            </w:r>
          </w:p>
        </w:tc>
        <w:tc>
          <w:tcPr>
            <w:tcW w:w="451" w:type="pct"/>
            <w:tcBorders>
              <w:top w:val="single" w:sz="4" w:space="0" w:color="auto"/>
              <w:left w:val="single" w:sz="8" w:space="0" w:color="auto"/>
              <w:bottom w:val="single" w:sz="8" w:space="0" w:color="auto"/>
              <w:right w:val="single" w:sz="8" w:space="0" w:color="auto"/>
            </w:tcBorders>
            <w:shd w:val="clear" w:color="000000" w:fill="D9D9D9"/>
            <w:vAlign w:val="center"/>
            <w:hideMark/>
          </w:tcPr>
          <w:p w:rsidR="00900B2C" w:rsidRPr="00D7128A" w:rsidP="00CB257B" w14:paraId="396E73F3" w14:textId="77777777">
            <w:pPr>
              <w:keepNext/>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Number of Facilities</w:t>
            </w:r>
          </w:p>
        </w:tc>
        <w:tc>
          <w:tcPr>
            <w:tcW w:w="614" w:type="pct"/>
            <w:tcBorders>
              <w:top w:val="single" w:sz="4" w:space="0" w:color="auto"/>
              <w:left w:val="nil"/>
              <w:bottom w:val="single" w:sz="8" w:space="0" w:color="auto"/>
              <w:right w:val="single" w:sz="8" w:space="0" w:color="auto"/>
            </w:tcBorders>
            <w:shd w:val="clear" w:color="000000" w:fill="D9D9D9"/>
            <w:vAlign w:val="center"/>
            <w:hideMark/>
          </w:tcPr>
          <w:p w:rsidR="00900B2C" w:rsidRPr="00D7128A" w:rsidP="00CB257B" w14:paraId="5D6302CC" w14:textId="77777777">
            <w:pPr>
              <w:keepNext/>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Total Project Cost</w:t>
            </w:r>
          </w:p>
        </w:tc>
        <w:tc>
          <w:tcPr>
            <w:tcW w:w="656" w:type="pct"/>
            <w:tcBorders>
              <w:top w:val="single" w:sz="4" w:space="0" w:color="auto"/>
              <w:left w:val="nil"/>
              <w:bottom w:val="single" w:sz="8" w:space="0" w:color="auto"/>
              <w:right w:val="single" w:sz="8" w:space="0" w:color="auto"/>
            </w:tcBorders>
            <w:shd w:val="clear" w:color="000000" w:fill="D9D9D9"/>
            <w:vAlign w:val="center"/>
            <w:hideMark/>
          </w:tcPr>
          <w:p w:rsidR="00900B2C" w:rsidRPr="00D7128A" w:rsidP="00CB257B" w14:paraId="3A6F3DED" w14:textId="77777777">
            <w:pPr>
              <w:keepNext/>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W</w:t>
            </w:r>
            <w:r w:rsidR="00D879BF">
              <w:rPr>
                <w:rFonts w:ascii="Times New Roman" w:hAnsi="Times New Roman" w:cs="Times New Roman"/>
                <w:b/>
                <w:color w:val="000000"/>
                <w:sz w:val="20"/>
                <w:szCs w:val="20"/>
              </w:rPr>
              <w:t>g</w:t>
            </w:r>
            <w:r w:rsidRPr="00D7128A">
              <w:rPr>
                <w:rFonts w:ascii="Times New Roman" w:hAnsi="Times New Roman" w:cs="Times New Roman"/>
                <w:b/>
                <w:color w:val="000000"/>
                <w:sz w:val="20"/>
                <w:szCs w:val="20"/>
              </w:rPr>
              <w:t xml:space="preserve">hted Average </w:t>
            </w:r>
            <w:r w:rsidRPr="00835820">
              <w:rPr>
                <w:rFonts w:ascii="Times New Roman" w:hAnsi="Times New Roman" w:cs="Times New Roman"/>
                <w:bCs/>
                <w:i/>
                <w:iCs/>
                <w:color w:val="000000"/>
                <w:sz w:val="20"/>
                <w:szCs w:val="20"/>
              </w:rPr>
              <w:t>(</w:t>
            </w:r>
            <w:r w:rsidR="00594137">
              <w:rPr>
                <w:rFonts w:ascii="Times New Roman" w:hAnsi="Times New Roman" w:cs="Times New Roman"/>
                <w:bCs/>
                <w:i/>
                <w:iCs/>
                <w:color w:val="000000"/>
                <w:sz w:val="20"/>
                <w:szCs w:val="20"/>
              </w:rPr>
              <w:t>sum</w:t>
            </w:r>
            <w:r w:rsidRPr="00835820">
              <w:rPr>
                <w:rFonts w:ascii="Times New Roman" w:hAnsi="Times New Roman" w:cs="Times New Roman"/>
                <w:i/>
                <w:color w:val="000000"/>
                <w:sz w:val="20"/>
                <w:szCs w:val="20"/>
              </w:rPr>
              <w:t xml:space="preserve"> of </w:t>
            </w:r>
            <w:r w:rsidR="00544983">
              <w:rPr>
                <w:rFonts w:ascii="Times New Roman" w:hAnsi="Times New Roman" w:cs="Times New Roman"/>
                <w:bCs/>
                <w:i/>
                <w:iCs/>
                <w:color w:val="000000"/>
                <w:sz w:val="20"/>
                <w:szCs w:val="20"/>
              </w:rPr>
              <w:t xml:space="preserve">sector’s </w:t>
            </w:r>
            <w:r w:rsidRPr="00835820">
              <w:rPr>
                <w:rFonts w:ascii="Times New Roman" w:hAnsi="Times New Roman" w:cs="Times New Roman"/>
                <w:i/>
                <w:color w:val="000000"/>
                <w:sz w:val="20"/>
                <w:szCs w:val="20"/>
              </w:rPr>
              <w:t xml:space="preserve">total </w:t>
            </w:r>
            <w:r w:rsidR="00924867">
              <w:rPr>
                <w:rFonts w:ascii="Times New Roman" w:hAnsi="Times New Roman" w:cs="Times New Roman"/>
                <w:bCs/>
                <w:i/>
                <w:iCs/>
                <w:color w:val="000000"/>
                <w:sz w:val="20"/>
                <w:szCs w:val="20"/>
              </w:rPr>
              <w:t>project</w:t>
            </w:r>
            <w:r w:rsidRPr="00835820">
              <w:rPr>
                <w:rFonts w:ascii="Times New Roman" w:hAnsi="Times New Roman" w:cs="Times New Roman"/>
                <w:i/>
                <w:color w:val="000000"/>
                <w:sz w:val="20"/>
                <w:szCs w:val="20"/>
              </w:rPr>
              <w:t xml:space="preserve"> cost</w:t>
            </w:r>
            <w:r w:rsidR="00544983">
              <w:rPr>
                <w:rFonts w:ascii="Times New Roman" w:hAnsi="Times New Roman" w:cs="Times New Roman"/>
                <w:i/>
                <w:color w:val="000000"/>
                <w:sz w:val="20"/>
                <w:szCs w:val="20"/>
              </w:rPr>
              <w:t>s</w:t>
            </w:r>
            <w:r w:rsidR="00302D84">
              <w:rPr>
                <w:rFonts w:ascii="Times New Roman" w:hAnsi="Times New Roman" w:cs="Times New Roman"/>
                <w:i/>
                <w:color w:val="000000"/>
                <w:sz w:val="20"/>
                <w:szCs w:val="20"/>
              </w:rPr>
              <w:t xml:space="preserve"> </w:t>
            </w:r>
            <w:r w:rsidRPr="00835820">
              <w:rPr>
                <w:rFonts w:ascii="Times New Roman" w:hAnsi="Times New Roman" w:cs="Times New Roman"/>
                <w:i/>
                <w:color w:val="000000"/>
                <w:sz w:val="20"/>
                <w:szCs w:val="20"/>
              </w:rPr>
              <w:t>/</w:t>
            </w:r>
            <w:r w:rsidR="00302D84">
              <w:rPr>
                <w:rFonts w:ascii="Times New Roman" w:hAnsi="Times New Roman" w:cs="Times New Roman"/>
                <w:i/>
                <w:color w:val="000000"/>
                <w:sz w:val="20"/>
                <w:szCs w:val="20"/>
              </w:rPr>
              <w:t xml:space="preserve"> </w:t>
            </w:r>
            <w:r w:rsidR="00431E3A">
              <w:rPr>
                <w:rFonts w:ascii="Times New Roman" w:hAnsi="Times New Roman" w:cs="Times New Roman"/>
                <w:i/>
                <w:color w:val="000000"/>
                <w:sz w:val="20"/>
                <w:szCs w:val="20"/>
              </w:rPr>
              <w:t>sector’s</w:t>
            </w:r>
            <w:r w:rsidRPr="00835820">
              <w:rPr>
                <w:rFonts w:ascii="Times New Roman" w:hAnsi="Times New Roman" w:cs="Times New Roman"/>
                <w:i/>
                <w:color w:val="000000"/>
                <w:sz w:val="20"/>
                <w:szCs w:val="20"/>
              </w:rPr>
              <w:t xml:space="preserve"> number </w:t>
            </w:r>
            <w:r w:rsidR="00500D1E">
              <w:rPr>
                <w:rFonts w:ascii="Times New Roman" w:hAnsi="Times New Roman" w:cs="Times New Roman"/>
                <w:i/>
                <w:color w:val="000000"/>
                <w:sz w:val="20"/>
                <w:szCs w:val="20"/>
              </w:rPr>
              <w:t>of</w:t>
            </w:r>
            <w:r w:rsidRPr="00835820">
              <w:rPr>
                <w:rFonts w:ascii="Times New Roman" w:hAnsi="Times New Roman" w:cs="Times New Roman"/>
                <w:i/>
                <w:color w:val="000000"/>
                <w:sz w:val="20"/>
                <w:szCs w:val="20"/>
              </w:rPr>
              <w:t xml:space="preserve"> facilities</w:t>
            </w:r>
            <w:r w:rsidR="00402861">
              <w:rPr>
                <w:rFonts w:ascii="Times New Roman" w:hAnsi="Times New Roman" w:cs="Times New Roman"/>
                <w:i/>
                <w:color w:val="000000"/>
                <w:sz w:val="20"/>
                <w:szCs w:val="20"/>
              </w:rPr>
              <w:t>)</w:t>
            </w:r>
          </w:p>
        </w:tc>
        <w:tc>
          <w:tcPr>
            <w:tcW w:w="489" w:type="pct"/>
            <w:tcBorders>
              <w:top w:val="single" w:sz="4" w:space="0" w:color="auto"/>
              <w:left w:val="nil"/>
              <w:bottom w:val="single" w:sz="8" w:space="0" w:color="auto"/>
              <w:right w:val="single" w:sz="8" w:space="0" w:color="auto"/>
            </w:tcBorders>
            <w:shd w:val="clear" w:color="000000" w:fill="D9D9D9"/>
            <w:vAlign w:val="center"/>
            <w:hideMark/>
          </w:tcPr>
          <w:p w:rsidR="00900B2C" w:rsidRPr="00D7128A" w:rsidP="00CB257B" w14:paraId="58A78390" w14:textId="77777777">
            <w:pPr>
              <w:keepNext/>
              <w:spacing w:after="0" w:line="240" w:lineRule="auto"/>
              <w:jc w:val="center"/>
              <w:rPr>
                <w:rFonts w:ascii="Times New Roman" w:hAnsi="Times New Roman" w:cs="Times New Roman"/>
                <w:b/>
                <w:color w:val="000000"/>
                <w:sz w:val="20"/>
                <w:szCs w:val="20"/>
              </w:rPr>
            </w:pPr>
            <w:r w:rsidRPr="00D7128A">
              <w:rPr>
                <w:rFonts w:ascii="Times New Roman" w:hAnsi="Times New Roman" w:cs="Times New Roman"/>
                <w:b/>
                <w:color w:val="000000"/>
                <w:sz w:val="20"/>
                <w:szCs w:val="20"/>
              </w:rPr>
              <w:t>1.2</w:t>
            </w:r>
            <w:r w:rsidRPr="00D7128A">
              <w:rPr>
                <w:rFonts w:ascii="Times New Roman" w:hAnsi="Times New Roman" w:cs="Times New Roman"/>
                <w:sz w:val="20"/>
                <w:szCs w:val="20"/>
              </w:rPr>
              <w:t xml:space="preserve"> </w:t>
            </w:r>
            <w:r w:rsidRPr="00D7128A">
              <w:rPr>
                <w:rFonts w:ascii="Times New Roman" w:hAnsi="Times New Roman" w:cs="Times New Roman"/>
                <w:b/>
                <w:sz w:val="20"/>
                <w:szCs w:val="20"/>
              </w:rPr>
              <w:t>percent</w:t>
            </w:r>
            <w:r w:rsidRPr="00D7128A">
              <w:rPr>
                <w:rFonts w:ascii="Times New Roman" w:hAnsi="Times New Roman" w:cs="Times New Roman"/>
                <w:b/>
                <w:color w:val="000000"/>
                <w:sz w:val="20"/>
                <w:szCs w:val="20"/>
              </w:rPr>
              <w:t xml:space="preserve"> of Wghted Average</w:t>
            </w:r>
          </w:p>
        </w:tc>
      </w:tr>
      <w:tr w14:paraId="08E8CE00" w14:textId="77777777" w:rsidTr="00FA2DFC">
        <w:tblPrEx>
          <w:tblW w:w="5000" w:type="pct"/>
          <w:tblLayout w:type="fixed"/>
          <w:tblLook w:val="04A0"/>
        </w:tblPrEx>
        <w:trPr>
          <w:trHeight w:val="353"/>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1AAC123C" w14:textId="77777777">
            <w:pPr>
              <w:spacing w:after="0" w:line="240" w:lineRule="auto"/>
              <w:ind w:left="-30"/>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refining</w:t>
            </w:r>
          </w:p>
        </w:tc>
        <w:tc>
          <w:tcPr>
            <w:tcW w:w="861" w:type="pct"/>
            <w:tcBorders>
              <w:top w:val="nil"/>
              <w:left w:val="nil"/>
              <w:bottom w:val="single" w:sz="8" w:space="0" w:color="auto"/>
              <w:right w:val="single" w:sz="8" w:space="0" w:color="auto"/>
            </w:tcBorders>
            <w:shd w:val="clear" w:color="auto" w:fill="auto"/>
            <w:vAlign w:val="center"/>
            <w:hideMark/>
          </w:tcPr>
          <w:p w:rsidR="00900B2C" w:rsidRPr="00D7128A" w:rsidP="00E6210A" w14:paraId="5644452A" w14:textId="77777777">
            <w:pPr>
              <w:spacing w:after="0" w:line="240" w:lineRule="auto"/>
              <w:ind w:left="-73"/>
              <w:rPr>
                <w:rFonts w:ascii="Times New Roman" w:hAnsi="Times New Roman" w:cs="Times New Roman"/>
                <w:color w:val="000000"/>
                <w:sz w:val="20"/>
                <w:szCs w:val="20"/>
              </w:rPr>
            </w:pPr>
            <w:r w:rsidRPr="00D7128A">
              <w:rPr>
                <w:rFonts w:ascii="Times New Roman" w:hAnsi="Times New Roman" w:cs="Times New Roman"/>
                <w:color w:val="000000"/>
                <w:sz w:val="20"/>
                <w:szCs w:val="20"/>
              </w:rPr>
              <w:t>HF alkylation conversion*</w:t>
            </w:r>
          </w:p>
        </w:tc>
        <w:tc>
          <w:tcPr>
            <w:tcW w:w="539" w:type="pct"/>
            <w:tcBorders>
              <w:top w:val="nil"/>
              <w:left w:val="nil"/>
              <w:bottom w:val="single" w:sz="8" w:space="0" w:color="auto"/>
              <w:right w:val="single" w:sz="8" w:space="0" w:color="auto"/>
            </w:tcBorders>
            <w:shd w:val="clear" w:color="auto" w:fill="auto"/>
            <w:vAlign w:val="center"/>
            <w:hideMark/>
          </w:tcPr>
          <w:p w:rsidR="00900B2C" w:rsidRPr="00D7128A" w:rsidP="00E6210A" w14:paraId="141E2D09"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w:t>
            </w:r>
            <w:r w:rsidRPr="00D7128A" w:rsidR="00E22F5B">
              <w:rPr>
                <w:rFonts w:ascii="Times New Roman" w:hAnsi="Times New Roman" w:cs="Times New Roman"/>
                <w:color w:val="000000"/>
                <w:sz w:val="20"/>
                <w:szCs w:val="20"/>
              </w:rPr>
              <w:t>3</w:t>
            </w:r>
            <w:r w:rsidR="00E22F5B">
              <w:rPr>
                <w:rFonts w:ascii="Times New Roman" w:hAnsi="Times New Roman" w:cs="Times New Roman"/>
                <w:color w:val="000000"/>
                <w:sz w:val="20"/>
                <w:szCs w:val="20"/>
              </w:rPr>
              <w:t>65</w:t>
            </w:r>
            <w:r w:rsidRPr="00D7128A">
              <w:rPr>
                <w:rFonts w:ascii="Times New Roman" w:hAnsi="Times New Roman" w:cs="Times New Roman"/>
                <w:color w:val="000000"/>
                <w:sz w:val="20"/>
                <w:szCs w:val="20"/>
              </w:rPr>
              <w:t>.0</w:t>
            </w:r>
          </w:p>
        </w:tc>
        <w:tc>
          <w:tcPr>
            <w:tcW w:w="451" w:type="pct"/>
            <w:tcBorders>
              <w:top w:val="single" w:sz="8" w:space="0" w:color="auto"/>
              <w:left w:val="nil"/>
              <w:bottom w:val="single" w:sz="8" w:space="0" w:color="auto"/>
              <w:right w:val="single" w:sz="4" w:space="0" w:color="auto"/>
            </w:tcBorders>
          </w:tcPr>
          <w:p w:rsidR="004D21A2" w:rsidRPr="00D7128A" w:rsidP="00E6210A" w14:paraId="64B25E66"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1" w:type="pct"/>
            <w:tcBorders>
              <w:top w:val="nil"/>
              <w:left w:val="single" w:sz="4" w:space="0" w:color="auto"/>
              <w:bottom w:val="single" w:sz="8" w:space="0" w:color="auto"/>
              <w:right w:val="single" w:sz="8" w:space="0" w:color="auto"/>
            </w:tcBorders>
            <w:shd w:val="clear" w:color="auto" w:fill="auto"/>
            <w:vAlign w:val="center"/>
            <w:hideMark/>
          </w:tcPr>
          <w:p w:rsidR="00900B2C" w:rsidRPr="00D7128A" w:rsidP="00E6210A" w14:paraId="29DC6EBC"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4</w:t>
            </w:r>
            <w:r w:rsidR="003C1C84">
              <w:rPr>
                <w:rFonts w:ascii="Times New Roman" w:hAnsi="Times New Roman" w:cs="Times New Roman"/>
                <w:color w:val="000000"/>
                <w:sz w:val="20"/>
                <w:szCs w:val="20"/>
              </w:rPr>
              <w:t>2</w:t>
            </w:r>
          </w:p>
        </w:tc>
        <w:tc>
          <w:tcPr>
            <w:tcW w:w="614" w:type="pct"/>
            <w:tcBorders>
              <w:top w:val="nil"/>
              <w:left w:val="nil"/>
              <w:bottom w:val="single" w:sz="8" w:space="0" w:color="auto"/>
              <w:right w:val="single" w:sz="8" w:space="0" w:color="auto"/>
            </w:tcBorders>
            <w:shd w:val="clear" w:color="auto" w:fill="auto"/>
            <w:vAlign w:val="center"/>
            <w:hideMark/>
          </w:tcPr>
          <w:p w:rsidR="00900B2C" w:rsidRPr="00D7128A" w:rsidP="00E6210A" w14:paraId="0890E98F"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w:t>
            </w:r>
            <w:r w:rsidR="00CD36B6">
              <w:rPr>
                <w:rFonts w:ascii="Times New Roman" w:hAnsi="Times New Roman" w:cs="Times New Roman"/>
                <w:color w:val="000000"/>
                <w:sz w:val="20"/>
                <w:szCs w:val="20"/>
              </w:rPr>
              <w:t>5,31</w:t>
            </w:r>
            <w:r w:rsidR="00E04BE4">
              <w:rPr>
                <w:rFonts w:ascii="Times New Roman" w:hAnsi="Times New Roman" w:cs="Times New Roman"/>
                <w:color w:val="000000"/>
                <w:sz w:val="20"/>
                <w:szCs w:val="20"/>
              </w:rPr>
              <w:t>6.3</w:t>
            </w:r>
          </w:p>
        </w:tc>
        <w:tc>
          <w:tcPr>
            <w:tcW w:w="656" w:type="pct"/>
            <w:vMerge w:val="restart"/>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3A5CBC76"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w:t>
            </w:r>
            <w:r w:rsidR="002125B0">
              <w:rPr>
                <w:rFonts w:ascii="Times New Roman" w:hAnsi="Times New Roman" w:cs="Times New Roman"/>
                <w:color w:val="000000"/>
                <w:sz w:val="20"/>
                <w:szCs w:val="20"/>
              </w:rPr>
              <w:t>18</w:t>
            </w:r>
            <w:r w:rsidR="00206F78">
              <w:rPr>
                <w:rFonts w:ascii="Times New Roman" w:hAnsi="Times New Roman" w:cs="Times New Roman"/>
                <w:color w:val="000000"/>
                <w:sz w:val="20"/>
                <w:szCs w:val="20"/>
              </w:rPr>
              <w:t>6</w:t>
            </w:r>
            <w:r w:rsidR="002125B0">
              <w:rPr>
                <w:rFonts w:ascii="Times New Roman" w:hAnsi="Times New Roman" w:cs="Times New Roman"/>
                <w:color w:val="000000"/>
                <w:sz w:val="20"/>
                <w:szCs w:val="20"/>
              </w:rPr>
              <w:t>.</w:t>
            </w:r>
            <w:r w:rsidR="00206F78">
              <w:rPr>
                <w:rFonts w:ascii="Times New Roman" w:hAnsi="Times New Roman" w:cs="Times New Roman"/>
                <w:color w:val="000000"/>
                <w:sz w:val="20"/>
                <w:szCs w:val="20"/>
              </w:rPr>
              <w:t>2</w:t>
            </w:r>
          </w:p>
        </w:tc>
        <w:tc>
          <w:tcPr>
            <w:tcW w:w="489" w:type="pct"/>
            <w:vMerge w:val="restart"/>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12B6C679"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w:t>
            </w:r>
            <w:r w:rsidR="002125B0">
              <w:rPr>
                <w:rFonts w:ascii="Times New Roman" w:hAnsi="Times New Roman" w:cs="Times New Roman"/>
                <w:color w:val="000000"/>
                <w:sz w:val="20"/>
                <w:szCs w:val="20"/>
              </w:rPr>
              <w:t>2</w:t>
            </w:r>
            <w:r w:rsidR="00374616">
              <w:rPr>
                <w:rFonts w:ascii="Times New Roman" w:hAnsi="Times New Roman" w:cs="Times New Roman"/>
                <w:color w:val="000000"/>
                <w:sz w:val="20"/>
                <w:szCs w:val="20"/>
              </w:rPr>
              <w:t xml:space="preserve"> ($</w:t>
            </w:r>
            <w:r w:rsidR="00D203A8">
              <w:rPr>
                <w:rFonts w:ascii="Times New Roman" w:hAnsi="Times New Roman" w:cs="Times New Roman"/>
                <w:color w:val="000000"/>
                <w:sz w:val="20"/>
                <w:szCs w:val="20"/>
              </w:rPr>
              <w:t>4.4 HF, $.31 non-HF)</w:t>
            </w:r>
          </w:p>
        </w:tc>
      </w:tr>
      <w:tr w14:paraId="0873FC90" w14:textId="77777777" w:rsidTr="00FA2DFC">
        <w:tblPrEx>
          <w:tblW w:w="5000" w:type="pct"/>
          <w:tblLayout w:type="fixed"/>
          <w:tblLook w:val="04A0"/>
        </w:tblPrEx>
        <w:trPr>
          <w:trHeight w:val="353"/>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663398C2" w14:textId="77777777">
            <w:pPr>
              <w:spacing w:after="0" w:line="240" w:lineRule="auto"/>
              <w:ind w:left="-30"/>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refining</w:t>
            </w:r>
          </w:p>
        </w:tc>
        <w:tc>
          <w:tcPr>
            <w:tcW w:w="861" w:type="pct"/>
            <w:tcBorders>
              <w:top w:val="nil"/>
              <w:left w:val="nil"/>
              <w:bottom w:val="single" w:sz="8" w:space="0" w:color="auto"/>
              <w:right w:val="single" w:sz="8" w:space="0" w:color="auto"/>
            </w:tcBorders>
            <w:shd w:val="clear" w:color="auto" w:fill="auto"/>
            <w:vAlign w:val="center"/>
            <w:hideMark/>
          </w:tcPr>
          <w:p w:rsidR="00900B2C" w:rsidRPr="00D7128A" w:rsidP="00E6210A" w14:paraId="6478449C" w14:textId="77777777">
            <w:pPr>
              <w:spacing w:after="0" w:line="240" w:lineRule="auto"/>
              <w:ind w:left="-73"/>
              <w:rPr>
                <w:rFonts w:ascii="Times New Roman" w:hAnsi="Times New Roman" w:cs="Times New Roman"/>
                <w:color w:val="000000"/>
                <w:sz w:val="20"/>
                <w:szCs w:val="20"/>
              </w:rPr>
            </w:pPr>
            <w:r w:rsidRPr="00D7128A">
              <w:rPr>
                <w:rFonts w:ascii="Times New Roman" w:hAnsi="Times New Roman" w:cs="Times New Roman"/>
                <w:color w:val="000000"/>
                <w:sz w:val="20"/>
                <w:szCs w:val="20"/>
              </w:rPr>
              <w:t>2 major piping replacements</w:t>
            </w:r>
          </w:p>
        </w:tc>
        <w:tc>
          <w:tcPr>
            <w:tcW w:w="539" w:type="pct"/>
            <w:tcBorders>
              <w:top w:val="nil"/>
              <w:left w:val="nil"/>
              <w:bottom w:val="single" w:sz="8" w:space="0" w:color="auto"/>
              <w:right w:val="single" w:sz="8" w:space="0" w:color="auto"/>
            </w:tcBorders>
            <w:shd w:val="clear" w:color="auto" w:fill="auto"/>
            <w:vAlign w:val="center"/>
            <w:hideMark/>
          </w:tcPr>
          <w:p w:rsidR="00900B2C" w:rsidRPr="00D7128A" w:rsidP="00E6210A" w14:paraId="74ECF15B"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w:t>
            </w:r>
            <w:r w:rsidR="001203B4">
              <w:rPr>
                <w:rFonts w:ascii="Times New Roman" w:hAnsi="Times New Roman" w:cs="Times New Roman"/>
                <w:color w:val="000000"/>
                <w:sz w:val="20"/>
                <w:szCs w:val="20"/>
              </w:rPr>
              <w:t>2.2</w:t>
            </w:r>
          </w:p>
        </w:tc>
        <w:tc>
          <w:tcPr>
            <w:tcW w:w="451" w:type="pct"/>
            <w:tcBorders>
              <w:top w:val="single" w:sz="8" w:space="0" w:color="auto"/>
              <w:left w:val="nil"/>
              <w:bottom w:val="single" w:sz="8" w:space="0" w:color="auto"/>
              <w:right w:val="single" w:sz="4" w:space="0" w:color="auto"/>
            </w:tcBorders>
          </w:tcPr>
          <w:p w:rsidR="004D21A2" w:rsidP="00E6210A" w14:paraId="40F42459"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1" w:type="pct"/>
            <w:tcBorders>
              <w:top w:val="nil"/>
              <w:left w:val="single" w:sz="4" w:space="0" w:color="auto"/>
              <w:bottom w:val="single" w:sz="8" w:space="0" w:color="auto"/>
              <w:right w:val="single" w:sz="8" w:space="0" w:color="auto"/>
            </w:tcBorders>
            <w:shd w:val="clear" w:color="auto" w:fill="auto"/>
            <w:vAlign w:val="center"/>
            <w:hideMark/>
          </w:tcPr>
          <w:p w:rsidR="00900B2C" w:rsidRPr="00D7128A" w:rsidP="00E6210A" w14:paraId="71234092"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00C10C26">
              <w:rPr>
                <w:rFonts w:ascii="Times New Roman" w:hAnsi="Times New Roman" w:cs="Times New Roman"/>
                <w:color w:val="000000"/>
                <w:sz w:val="20"/>
                <w:szCs w:val="20"/>
              </w:rPr>
              <w:t>7</w:t>
            </w:r>
          </w:p>
        </w:tc>
        <w:tc>
          <w:tcPr>
            <w:tcW w:w="614" w:type="pct"/>
            <w:tcBorders>
              <w:top w:val="nil"/>
              <w:left w:val="nil"/>
              <w:bottom w:val="single" w:sz="8" w:space="0" w:color="auto"/>
              <w:right w:val="single" w:sz="8" w:space="0" w:color="auto"/>
            </w:tcBorders>
            <w:shd w:val="clear" w:color="auto" w:fill="auto"/>
            <w:vAlign w:val="center"/>
            <w:hideMark/>
          </w:tcPr>
          <w:p w:rsidR="00900B2C" w:rsidRPr="00D7128A" w:rsidP="00E6210A" w14:paraId="707123DC"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w:t>
            </w:r>
            <w:r w:rsidR="00E04BE4">
              <w:rPr>
                <w:rFonts w:ascii="Times New Roman" w:hAnsi="Times New Roman" w:cs="Times New Roman"/>
                <w:color w:val="000000"/>
                <w:sz w:val="20"/>
                <w:szCs w:val="20"/>
              </w:rPr>
              <w:t>1,1</w:t>
            </w:r>
            <w:r w:rsidR="00FC5B32">
              <w:rPr>
                <w:rFonts w:ascii="Times New Roman" w:hAnsi="Times New Roman" w:cs="Times New Roman"/>
                <w:color w:val="000000"/>
                <w:sz w:val="20"/>
                <w:szCs w:val="20"/>
              </w:rPr>
              <w:t>42</w:t>
            </w:r>
            <w:r w:rsidR="00FF793E">
              <w:rPr>
                <w:rFonts w:ascii="Times New Roman" w:hAnsi="Times New Roman" w:cs="Times New Roman"/>
                <w:color w:val="000000"/>
                <w:sz w:val="20"/>
                <w:szCs w:val="20"/>
              </w:rPr>
              <w:t>.</w:t>
            </w:r>
            <w:r w:rsidR="00FC5B32">
              <w:rPr>
                <w:rFonts w:ascii="Times New Roman" w:hAnsi="Times New Roman" w:cs="Times New Roman"/>
                <w:color w:val="000000"/>
                <w:sz w:val="20"/>
                <w:szCs w:val="20"/>
              </w:rPr>
              <w:t>6</w:t>
            </w:r>
          </w:p>
        </w:tc>
        <w:tc>
          <w:tcPr>
            <w:tcW w:w="656" w:type="pct"/>
            <w:vMerge/>
            <w:tcBorders>
              <w:top w:val="nil"/>
              <w:left w:val="single" w:sz="8" w:space="0" w:color="auto"/>
              <w:bottom w:val="single" w:sz="8" w:space="0" w:color="auto"/>
              <w:right w:val="single" w:sz="8" w:space="0" w:color="auto"/>
            </w:tcBorders>
            <w:vAlign w:val="center"/>
            <w:hideMark/>
          </w:tcPr>
          <w:p w:rsidR="00900B2C" w:rsidRPr="00D7128A" w:rsidP="00E6210A" w14:paraId="3F79B4D2" w14:textId="77777777">
            <w:pPr>
              <w:spacing w:after="0" w:line="240" w:lineRule="auto"/>
              <w:jc w:val="center"/>
              <w:rPr>
                <w:rFonts w:ascii="Times New Roman" w:hAnsi="Times New Roman" w:cs="Times New Roman"/>
                <w:color w:val="000000"/>
                <w:sz w:val="20"/>
                <w:szCs w:val="20"/>
              </w:rPr>
            </w:pPr>
          </w:p>
        </w:tc>
        <w:tc>
          <w:tcPr>
            <w:tcW w:w="489" w:type="pct"/>
            <w:vMerge/>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3B1AA68B" w14:textId="77777777">
            <w:pPr>
              <w:spacing w:after="0" w:line="240" w:lineRule="auto"/>
              <w:jc w:val="center"/>
              <w:rPr>
                <w:rFonts w:ascii="Times New Roman" w:hAnsi="Times New Roman" w:cs="Times New Roman"/>
                <w:color w:val="000000"/>
                <w:sz w:val="20"/>
                <w:szCs w:val="20"/>
              </w:rPr>
            </w:pPr>
          </w:p>
        </w:tc>
      </w:tr>
      <w:tr w14:paraId="56590018" w14:textId="77777777" w:rsidTr="00FA2DFC">
        <w:tblPrEx>
          <w:tblW w:w="5000" w:type="pct"/>
          <w:tblLayout w:type="fixed"/>
          <w:tblLook w:val="04A0"/>
        </w:tblPrEx>
        <w:trPr>
          <w:trHeight w:val="353"/>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64ACE086" w14:textId="77777777">
            <w:pPr>
              <w:spacing w:after="0" w:line="240" w:lineRule="auto"/>
              <w:ind w:left="-30"/>
              <w:rPr>
                <w:rFonts w:ascii="Times New Roman" w:hAnsi="Times New Roman" w:cs="Times New Roman"/>
                <w:color w:val="000000"/>
                <w:sz w:val="20"/>
                <w:szCs w:val="20"/>
              </w:rPr>
            </w:pPr>
            <w:r w:rsidRPr="00D7128A">
              <w:rPr>
                <w:rFonts w:ascii="Times New Roman" w:hAnsi="Times New Roman" w:cs="Times New Roman"/>
                <w:color w:val="000000"/>
                <w:sz w:val="20"/>
                <w:szCs w:val="20"/>
              </w:rPr>
              <w:t>Petroleum refining</w:t>
            </w:r>
          </w:p>
        </w:tc>
        <w:tc>
          <w:tcPr>
            <w:tcW w:w="861" w:type="pct"/>
            <w:tcBorders>
              <w:top w:val="nil"/>
              <w:left w:val="nil"/>
              <w:bottom w:val="single" w:sz="8" w:space="0" w:color="auto"/>
              <w:right w:val="single" w:sz="8" w:space="0" w:color="auto"/>
            </w:tcBorders>
            <w:shd w:val="clear" w:color="auto" w:fill="auto"/>
            <w:vAlign w:val="center"/>
            <w:hideMark/>
          </w:tcPr>
          <w:p w:rsidR="00900B2C" w:rsidRPr="00D7128A" w:rsidP="00E6210A" w14:paraId="572E6811" w14:textId="77777777">
            <w:pPr>
              <w:spacing w:after="0" w:line="240" w:lineRule="auto"/>
              <w:ind w:left="-73"/>
              <w:rPr>
                <w:rFonts w:ascii="Times New Roman" w:hAnsi="Times New Roman" w:cs="Times New Roman"/>
                <w:color w:val="000000"/>
                <w:sz w:val="20"/>
                <w:szCs w:val="20"/>
              </w:rPr>
            </w:pPr>
            <w:r w:rsidRPr="00D7128A">
              <w:rPr>
                <w:rFonts w:ascii="Times New Roman" w:hAnsi="Times New Roman" w:cs="Times New Roman"/>
                <w:color w:val="000000"/>
                <w:sz w:val="20"/>
                <w:szCs w:val="20"/>
              </w:rPr>
              <w:t>10 other small STAA projects</w:t>
            </w:r>
          </w:p>
        </w:tc>
        <w:tc>
          <w:tcPr>
            <w:tcW w:w="539" w:type="pct"/>
            <w:tcBorders>
              <w:top w:val="nil"/>
              <w:left w:val="nil"/>
              <w:bottom w:val="single" w:sz="8" w:space="0" w:color="auto"/>
              <w:right w:val="single" w:sz="8" w:space="0" w:color="auto"/>
            </w:tcBorders>
            <w:shd w:val="clear" w:color="auto" w:fill="auto"/>
            <w:vAlign w:val="center"/>
            <w:hideMark/>
          </w:tcPr>
          <w:p w:rsidR="00900B2C" w:rsidRPr="00D7128A" w:rsidP="00E6210A" w14:paraId="2A5B49E4"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$0.1</w:t>
            </w:r>
          </w:p>
        </w:tc>
        <w:tc>
          <w:tcPr>
            <w:tcW w:w="451" w:type="pct"/>
            <w:tcBorders>
              <w:top w:val="single" w:sz="8" w:space="0" w:color="auto"/>
              <w:left w:val="nil"/>
              <w:bottom w:val="single" w:sz="8" w:space="0" w:color="auto"/>
              <w:right w:val="single" w:sz="4" w:space="0" w:color="auto"/>
            </w:tcBorders>
          </w:tcPr>
          <w:p w:rsidR="004D21A2" w:rsidP="00E6210A" w14:paraId="0B2E7105"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451" w:type="pct"/>
            <w:tcBorders>
              <w:top w:val="nil"/>
              <w:left w:val="single" w:sz="4" w:space="0" w:color="auto"/>
              <w:bottom w:val="single" w:sz="8" w:space="0" w:color="auto"/>
              <w:right w:val="single" w:sz="8" w:space="0" w:color="auto"/>
            </w:tcBorders>
            <w:shd w:val="clear" w:color="auto" w:fill="auto"/>
            <w:vAlign w:val="center"/>
            <w:hideMark/>
          </w:tcPr>
          <w:p w:rsidR="00900B2C" w:rsidRPr="00D7128A" w:rsidP="00E6210A" w14:paraId="0FB28158" w14:textId="0B0BFE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r w:rsidR="005610F3">
              <w:rPr>
                <w:rFonts w:ascii="Times New Roman" w:hAnsi="Times New Roman" w:cs="Times New Roman"/>
                <w:color w:val="000000"/>
                <w:sz w:val="20"/>
                <w:szCs w:val="20"/>
              </w:rPr>
              <w:t>9</w:t>
            </w:r>
          </w:p>
        </w:tc>
        <w:tc>
          <w:tcPr>
            <w:tcW w:w="614" w:type="pct"/>
            <w:tcBorders>
              <w:top w:val="nil"/>
              <w:left w:val="nil"/>
              <w:bottom w:val="single" w:sz="8" w:space="0" w:color="auto"/>
              <w:right w:val="single" w:sz="8" w:space="0" w:color="auto"/>
            </w:tcBorders>
            <w:shd w:val="clear" w:color="auto" w:fill="auto"/>
            <w:vAlign w:val="center"/>
            <w:hideMark/>
          </w:tcPr>
          <w:p w:rsidR="00900B2C" w:rsidRPr="00D7128A" w:rsidP="00E6210A" w14:paraId="4E18CD1B"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w:t>
            </w:r>
            <w:r w:rsidR="00FF793E">
              <w:rPr>
                <w:rFonts w:ascii="Times New Roman" w:hAnsi="Times New Roman" w:cs="Times New Roman"/>
                <w:color w:val="000000"/>
                <w:sz w:val="20"/>
                <w:szCs w:val="20"/>
              </w:rPr>
              <w:t>1</w:t>
            </w:r>
            <w:r w:rsidR="00FC5B32">
              <w:rPr>
                <w:rFonts w:ascii="Times New Roman" w:hAnsi="Times New Roman" w:cs="Times New Roman"/>
                <w:color w:val="000000"/>
                <w:sz w:val="20"/>
                <w:szCs w:val="20"/>
              </w:rPr>
              <w:t>08</w:t>
            </w:r>
            <w:r w:rsidR="00FF793E">
              <w:rPr>
                <w:rFonts w:ascii="Times New Roman" w:hAnsi="Times New Roman" w:cs="Times New Roman"/>
                <w:color w:val="000000"/>
                <w:sz w:val="20"/>
                <w:szCs w:val="20"/>
              </w:rPr>
              <w:t>.</w:t>
            </w:r>
            <w:r w:rsidR="00FC5B32">
              <w:rPr>
                <w:rFonts w:ascii="Times New Roman" w:hAnsi="Times New Roman" w:cs="Times New Roman"/>
                <w:color w:val="000000"/>
                <w:sz w:val="20"/>
                <w:szCs w:val="20"/>
              </w:rPr>
              <w:t>2</w:t>
            </w:r>
          </w:p>
        </w:tc>
        <w:tc>
          <w:tcPr>
            <w:tcW w:w="656" w:type="pct"/>
            <w:vMerge/>
            <w:tcBorders>
              <w:top w:val="nil"/>
              <w:left w:val="single" w:sz="8" w:space="0" w:color="auto"/>
              <w:bottom w:val="single" w:sz="8" w:space="0" w:color="auto"/>
              <w:right w:val="single" w:sz="8" w:space="0" w:color="auto"/>
            </w:tcBorders>
            <w:vAlign w:val="center"/>
            <w:hideMark/>
          </w:tcPr>
          <w:p w:rsidR="00900B2C" w:rsidRPr="00D7128A" w:rsidP="00E6210A" w14:paraId="2881713B" w14:textId="77777777">
            <w:pPr>
              <w:spacing w:after="0" w:line="240" w:lineRule="auto"/>
              <w:jc w:val="center"/>
              <w:rPr>
                <w:rFonts w:ascii="Times New Roman" w:hAnsi="Times New Roman" w:cs="Times New Roman"/>
                <w:color w:val="000000"/>
                <w:sz w:val="20"/>
                <w:szCs w:val="20"/>
              </w:rPr>
            </w:pPr>
          </w:p>
        </w:tc>
        <w:tc>
          <w:tcPr>
            <w:tcW w:w="489" w:type="pct"/>
            <w:vMerge/>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08E1B7E8" w14:textId="77777777">
            <w:pPr>
              <w:spacing w:after="0" w:line="240" w:lineRule="auto"/>
              <w:jc w:val="center"/>
              <w:rPr>
                <w:rFonts w:ascii="Times New Roman" w:hAnsi="Times New Roman" w:cs="Times New Roman"/>
                <w:color w:val="000000"/>
                <w:sz w:val="20"/>
                <w:szCs w:val="20"/>
              </w:rPr>
            </w:pPr>
          </w:p>
        </w:tc>
      </w:tr>
      <w:tr w14:paraId="524761AC" w14:textId="77777777" w:rsidTr="00FA2DFC">
        <w:tblPrEx>
          <w:tblW w:w="5000" w:type="pct"/>
          <w:tblLayout w:type="fixed"/>
          <w:tblLook w:val="04A0"/>
        </w:tblPrEx>
        <w:trPr>
          <w:trHeight w:val="353"/>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2F657721" w14:textId="77777777">
            <w:pPr>
              <w:spacing w:after="0" w:line="240" w:lineRule="auto"/>
              <w:ind w:left="-30"/>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manufacturing</w:t>
            </w:r>
          </w:p>
        </w:tc>
        <w:tc>
          <w:tcPr>
            <w:tcW w:w="861" w:type="pct"/>
            <w:tcBorders>
              <w:top w:val="nil"/>
              <w:left w:val="nil"/>
              <w:bottom w:val="single" w:sz="8" w:space="0" w:color="auto"/>
              <w:right w:val="single" w:sz="8" w:space="0" w:color="auto"/>
            </w:tcBorders>
            <w:shd w:val="clear" w:color="auto" w:fill="auto"/>
            <w:vAlign w:val="center"/>
            <w:hideMark/>
          </w:tcPr>
          <w:p w:rsidR="00900B2C" w:rsidRPr="00D7128A" w:rsidP="00E6210A" w14:paraId="629801BB" w14:textId="77777777">
            <w:pPr>
              <w:spacing w:after="0" w:line="240" w:lineRule="auto"/>
              <w:ind w:left="-73"/>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conversion**</w:t>
            </w:r>
          </w:p>
        </w:tc>
        <w:tc>
          <w:tcPr>
            <w:tcW w:w="539" w:type="pct"/>
            <w:tcBorders>
              <w:top w:val="nil"/>
              <w:left w:val="nil"/>
              <w:bottom w:val="single" w:sz="8" w:space="0" w:color="auto"/>
              <w:right w:val="single" w:sz="8" w:space="0" w:color="auto"/>
            </w:tcBorders>
            <w:shd w:val="clear" w:color="auto" w:fill="auto"/>
            <w:vAlign w:val="center"/>
            <w:hideMark/>
          </w:tcPr>
          <w:p w:rsidR="00900B2C" w:rsidRPr="00D7128A" w:rsidP="00E6210A" w14:paraId="7C874D7A"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w:t>
            </w:r>
            <w:r w:rsidR="006F2352">
              <w:rPr>
                <w:rFonts w:ascii="Times New Roman" w:hAnsi="Times New Roman" w:cs="Times New Roman"/>
                <w:color w:val="000000"/>
                <w:sz w:val="20"/>
                <w:szCs w:val="20"/>
              </w:rPr>
              <w:t>6.1</w:t>
            </w:r>
          </w:p>
        </w:tc>
        <w:tc>
          <w:tcPr>
            <w:tcW w:w="451" w:type="pct"/>
            <w:tcBorders>
              <w:top w:val="single" w:sz="8" w:space="0" w:color="auto"/>
              <w:left w:val="nil"/>
              <w:bottom w:val="single" w:sz="8" w:space="0" w:color="auto"/>
              <w:right w:val="single" w:sz="4" w:space="0" w:color="auto"/>
            </w:tcBorders>
          </w:tcPr>
          <w:p w:rsidR="004D21A2" w:rsidRPr="00D7128A" w:rsidP="00E6210A" w14:paraId="6DB44CC2"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1" w:type="pct"/>
            <w:tcBorders>
              <w:top w:val="nil"/>
              <w:left w:val="single" w:sz="4" w:space="0" w:color="auto"/>
              <w:bottom w:val="single" w:sz="8" w:space="0" w:color="auto"/>
              <w:right w:val="single" w:sz="8" w:space="0" w:color="auto"/>
            </w:tcBorders>
            <w:shd w:val="clear" w:color="auto" w:fill="auto"/>
            <w:vAlign w:val="center"/>
            <w:hideMark/>
          </w:tcPr>
          <w:p w:rsidR="00900B2C" w:rsidRPr="00D7128A" w:rsidP="00E6210A" w14:paraId="38F1B007"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10</w:t>
            </w:r>
            <w:r w:rsidR="00E60F31">
              <w:rPr>
                <w:rFonts w:ascii="Times New Roman" w:hAnsi="Times New Roman" w:cs="Times New Roman"/>
                <w:color w:val="000000"/>
                <w:sz w:val="20"/>
                <w:szCs w:val="20"/>
              </w:rPr>
              <w:t>1.</w:t>
            </w:r>
            <w:r w:rsidR="00A52C45">
              <w:rPr>
                <w:rFonts w:ascii="Times New Roman" w:hAnsi="Times New Roman" w:cs="Times New Roman"/>
                <w:color w:val="000000"/>
                <w:sz w:val="20"/>
                <w:szCs w:val="20"/>
              </w:rPr>
              <w:t>8</w:t>
            </w:r>
          </w:p>
        </w:tc>
        <w:tc>
          <w:tcPr>
            <w:tcW w:w="614" w:type="pct"/>
            <w:tcBorders>
              <w:top w:val="nil"/>
              <w:left w:val="nil"/>
              <w:bottom w:val="single" w:sz="8" w:space="0" w:color="auto"/>
              <w:right w:val="single" w:sz="8" w:space="0" w:color="auto"/>
            </w:tcBorders>
            <w:shd w:val="clear" w:color="auto" w:fill="auto"/>
            <w:vAlign w:val="center"/>
            <w:hideMark/>
          </w:tcPr>
          <w:p w:rsidR="00900B2C" w:rsidRPr="00D7128A" w:rsidP="00E6210A" w14:paraId="2AFAD8A2"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w:t>
            </w:r>
            <w:r w:rsidR="00FF793E">
              <w:rPr>
                <w:rFonts w:ascii="Times New Roman" w:hAnsi="Times New Roman" w:cs="Times New Roman"/>
                <w:color w:val="000000"/>
                <w:sz w:val="20"/>
                <w:szCs w:val="20"/>
              </w:rPr>
              <w:t>6</w:t>
            </w:r>
            <w:r w:rsidR="00403676">
              <w:rPr>
                <w:rFonts w:ascii="Times New Roman" w:hAnsi="Times New Roman" w:cs="Times New Roman"/>
                <w:color w:val="000000"/>
                <w:sz w:val="20"/>
                <w:szCs w:val="20"/>
              </w:rPr>
              <w:t>18</w:t>
            </w:r>
            <w:r w:rsidR="00FF793E">
              <w:rPr>
                <w:rFonts w:ascii="Times New Roman" w:hAnsi="Times New Roman" w:cs="Times New Roman"/>
                <w:color w:val="000000"/>
                <w:sz w:val="20"/>
                <w:szCs w:val="20"/>
              </w:rPr>
              <w:t>.</w:t>
            </w:r>
            <w:r w:rsidR="00C26E8E">
              <w:rPr>
                <w:rFonts w:ascii="Times New Roman" w:hAnsi="Times New Roman" w:cs="Times New Roman"/>
                <w:color w:val="000000"/>
                <w:sz w:val="20"/>
                <w:szCs w:val="20"/>
              </w:rPr>
              <w:t>7</w:t>
            </w:r>
          </w:p>
        </w:tc>
        <w:tc>
          <w:tcPr>
            <w:tcW w:w="656" w:type="pct"/>
            <w:vMerge w:val="restart"/>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74557B64"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$2.</w:t>
            </w:r>
            <w:r w:rsidR="002125B0">
              <w:rPr>
                <w:rFonts w:ascii="Times New Roman" w:hAnsi="Times New Roman" w:cs="Times New Roman"/>
                <w:color w:val="000000"/>
                <w:sz w:val="20"/>
                <w:szCs w:val="20"/>
              </w:rPr>
              <w:t>8</w:t>
            </w:r>
          </w:p>
        </w:tc>
        <w:tc>
          <w:tcPr>
            <w:tcW w:w="489" w:type="pct"/>
            <w:vMerge w:val="restart"/>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0E6BA28B"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$.03</w:t>
            </w:r>
          </w:p>
        </w:tc>
      </w:tr>
      <w:tr w14:paraId="55C171C3" w14:textId="77777777" w:rsidTr="00FA2DFC">
        <w:tblPrEx>
          <w:tblW w:w="5000" w:type="pct"/>
          <w:tblLayout w:type="fixed"/>
          <w:tblLook w:val="04A0"/>
        </w:tblPrEx>
        <w:trPr>
          <w:trHeight w:val="353"/>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177ADFA6" w14:textId="77777777">
            <w:pPr>
              <w:spacing w:after="0" w:line="240" w:lineRule="auto"/>
              <w:ind w:left="-30"/>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manufacturing</w:t>
            </w:r>
          </w:p>
        </w:tc>
        <w:tc>
          <w:tcPr>
            <w:tcW w:w="861" w:type="pct"/>
            <w:tcBorders>
              <w:top w:val="nil"/>
              <w:left w:val="nil"/>
              <w:bottom w:val="single" w:sz="8" w:space="0" w:color="auto"/>
              <w:right w:val="single" w:sz="8" w:space="0" w:color="auto"/>
            </w:tcBorders>
            <w:shd w:val="clear" w:color="auto" w:fill="auto"/>
            <w:vAlign w:val="center"/>
            <w:hideMark/>
          </w:tcPr>
          <w:p w:rsidR="00900B2C" w:rsidRPr="00D7128A" w:rsidP="00E6210A" w14:paraId="5FE2A6D0" w14:textId="77777777">
            <w:pPr>
              <w:spacing w:after="0" w:line="240" w:lineRule="auto"/>
              <w:ind w:left="-73"/>
              <w:rPr>
                <w:rFonts w:ascii="Times New Roman" w:hAnsi="Times New Roman" w:cs="Times New Roman"/>
                <w:color w:val="000000"/>
                <w:sz w:val="20"/>
                <w:szCs w:val="20"/>
              </w:rPr>
            </w:pPr>
            <w:r w:rsidRPr="00D7128A">
              <w:rPr>
                <w:rFonts w:ascii="Times New Roman" w:hAnsi="Times New Roman" w:cs="Times New Roman"/>
                <w:color w:val="000000"/>
                <w:sz w:val="20"/>
                <w:szCs w:val="20"/>
              </w:rPr>
              <w:t>Piping replacement</w:t>
            </w:r>
          </w:p>
        </w:tc>
        <w:tc>
          <w:tcPr>
            <w:tcW w:w="539" w:type="pct"/>
            <w:tcBorders>
              <w:top w:val="nil"/>
              <w:left w:val="nil"/>
              <w:bottom w:val="single" w:sz="8" w:space="0" w:color="auto"/>
              <w:right w:val="single" w:sz="8" w:space="0" w:color="auto"/>
            </w:tcBorders>
            <w:shd w:val="clear" w:color="auto" w:fill="auto"/>
            <w:vAlign w:val="center"/>
            <w:hideMark/>
          </w:tcPr>
          <w:p w:rsidR="00900B2C" w:rsidRPr="00D7128A" w:rsidP="00E6210A" w14:paraId="15266CA8"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$1.</w:t>
            </w:r>
            <w:r w:rsidR="006F2352">
              <w:rPr>
                <w:rFonts w:ascii="Times New Roman" w:hAnsi="Times New Roman" w:cs="Times New Roman"/>
                <w:color w:val="000000"/>
                <w:sz w:val="20"/>
                <w:szCs w:val="20"/>
              </w:rPr>
              <w:t>2</w:t>
            </w:r>
          </w:p>
        </w:tc>
        <w:tc>
          <w:tcPr>
            <w:tcW w:w="451" w:type="pct"/>
            <w:tcBorders>
              <w:top w:val="single" w:sz="8" w:space="0" w:color="auto"/>
              <w:left w:val="nil"/>
              <w:bottom w:val="single" w:sz="8" w:space="0" w:color="auto"/>
              <w:right w:val="single" w:sz="4" w:space="0" w:color="auto"/>
            </w:tcBorders>
          </w:tcPr>
          <w:p w:rsidR="004D21A2" w:rsidRPr="00D7128A" w:rsidP="00E6210A" w14:paraId="7E231C81"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1" w:type="pct"/>
            <w:tcBorders>
              <w:top w:val="nil"/>
              <w:left w:val="single" w:sz="4" w:space="0" w:color="auto"/>
              <w:bottom w:val="single" w:sz="8" w:space="0" w:color="auto"/>
              <w:right w:val="single" w:sz="8" w:space="0" w:color="auto"/>
            </w:tcBorders>
            <w:shd w:val="clear" w:color="auto" w:fill="auto"/>
            <w:vAlign w:val="center"/>
            <w:hideMark/>
          </w:tcPr>
          <w:p w:rsidR="00900B2C" w:rsidRPr="00D7128A" w:rsidP="00E6210A" w14:paraId="240978E7"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4</w:t>
            </w:r>
            <w:r w:rsidR="00086A5C">
              <w:rPr>
                <w:rFonts w:ascii="Times New Roman" w:hAnsi="Times New Roman" w:cs="Times New Roman"/>
                <w:color w:val="000000"/>
                <w:sz w:val="20"/>
                <w:szCs w:val="20"/>
              </w:rPr>
              <w:t>07</w:t>
            </w:r>
            <w:r w:rsidR="000923F2">
              <w:rPr>
                <w:rFonts w:ascii="Times New Roman" w:hAnsi="Times New Roman" w:cs="Times New Roman"/>
                <w:color w:val="000000"/>
                <w:sz w:val="20"/>
                <w:szCs w:val="20"/>
              </w:rPr>
              <w:t>.2</w:t>
            </w:r>
          </w:p>
        </w:tc>
        <w:tc>
          <w:tcPr>
            <w:tcW w:w="614" w:type="pct"/>
            <w:tcBorders>
              <w:top w:val="nil"/>
              <w:left w:val="nil"/>
              <w:bottom w:val="single" w:sz="8" w:space="0" w:color="auto"/>
              <w:right w:val="single" w:sz="8" w:space="0" w:color="auto"/>
            </w:tcBorders>
            <w:shd w:val="clear" w:color="auto" w:fill="auto"/>
            <w:vAlign w:val="center"/>
            <w:hideMark/>
          </w:tcPr>
          <w:p w:rsidR="00900B2C" w:rsidRPr="00D7128A" w:rsidP="00E6210A" w14:paraId="1A6FE919"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$4</w:t>
            </w:r>
            <w:r w:rsidR="00BC4450">
              <w:rPr>
                <w:rFonts w:ascii="Times New Roman" w:hAnsi="Times New Roman" w:cs="Times New Roman"/>
                <w:color w:val="000000"/>
                <w:sz w:val="20"/>
                <w:szCs w:val="20"/>
              </w:rPr>
              <w:t>9</w:t>
            </w:r>
            <w:r w:rsidR="00E2703D">
              <w:rPr>
                <w:rFonts w:ascii="Times New Roman" w:hAnsi="Times New Roman" w:cs="Times New Roman"/>
                <w:color w:val="000000"/>
                <w:sz w:val="20"/>
                <w:szCs w:val="20"/>
              </w:rPr>
              <w:t>5</w:t>
            </w:r>
            <w:r w:rsidR="00BC4450">
              <w:rPr>
                <w:rFonts w:ascii="Times New Roman" w:hAnsi="Times New Roman" w:cs="Times New Roman"/>
                <w:color w:val="000000"/>
                <w:sz w:val="20"/>
                <w:szCs w:val="20"/>
              </w:rPr>
              <w:t>.</w:t>
            </w:r>
            <w:r w:rsidR="00E2703D">
              <w:rPr>
                <w:rFonts w:ascii="Times New Roman" w:hAnsi="Times New Roman" w:cs="Times New Roman"/>
                <w:color w:val="000000"/>
                <w:sz w:val="20"/>
                <w:szCs w:val="20"/>
              </w:rPr>
              <w:t>0</w:t>
            </w:r>
          </w:p>
        </w:tc>
        <w:tc>
          <w:tcPr>
            <w:tcW w:w="656" w:type="pct"/>
            <w:vMerge/>
            <w:tcBorders>
              <w:top w:val="nil"/>
              <w:left w:val="single" w:sz="8" w:space="0" w:color="auto"/>
              <w:bottom w:val="single" w:sz="8" w:space="0" w:color="auto"/>
              <w:right w:val="single" w:sz="8" w:space="0" w:color="auto"/>
            </w:tcBorders>
            <w:vAlign w:val="center"/>
            <w:hideMark/>
          </w:tcPr>
          <w:p w:rsidR="00900B2C" w:rsidRPr="004D4B61" w:rsidP="00E6210A" w14:paraId="524E19E1" w14:textId="77777777">
            <w:pPr>
              <w:spacing w:after="0" w:line="240" w:lineRule="auto"/>
              <w:rPr>
                <w:rFonts w:ascii="Times New Roman" w:eastAsia="Times New Roman" w:hAnsi="Times New Roman" w:cs="Times New Roman"/>
                <w:color w:val="000000"/>
              </w:rPr>
            </w:pPr>
          </w:p>
        </w:tc>
        <w:tc>
          <w:tcPr>
            <w:tcW w:w="489" w:type="pct"/>
            <w:vMerge/>
            <w:tcBorders>
              <w:top w:val="nil"/>
              <w:left w:val="single" w:sz="8" w:space="0" w:color="auto"/>
              <w:bottom w:val="single" w:sz="8" w:space="0" w:color="auto"/>
              <w:right w:val="single" w:sz="8" w:space="0" w:color="auto"/>
            </w:tcBorders>
            <w:shd w:val="clear" w:color="auto" w:fill="auto"/>
            <w:vAlign w:val="center"/>
            <w:hideMark/>
          </w:tcPr>
          <w:p w:rsidR="00900B2C" w:rsidRPr="004D4B61" w:rsidP="00E6210A" w14:paraId="1943B69D" w14:textId="77777777">
            <w:pPr>
              <w:spacing w:after="0" w:line="240" w:lineRule="auto"/>
              <w:rPr>
                <w:rFonts w:ascii="Times New Roman" w:eastAsia="Times New Roman" w:hAnsi="Times New Roman" w:cs="Times New Roman"/>
                <w:color w:val="000000"/>
              </w:rPr>
            </w:pPr>
          </w:p>
        </w:tc>
      </w:tr>
      <w:tr w14:paraId="6CB8AFE7" w14:textId="77777777" w:rsidTr="00FA2DFC">
        <w:tblPrEx>
          <w:tblW w:w="5000" w:type="pct"/>
          <w:tblLayout w:type="fixed"/>
          <w:tblLook w:val="04A0"/>
        </w:tblPrEx>
        <w:trPr>
          <w:trHeight w:val="353"/>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900B2C" w:rsidRPr="00D7128A" w:rsidP="00E6210A" w14:paraId="79361FAD" w14:textId="77777777">
            <w:pPr>
              <w:spacing w:after="0" w:line="240" w:lineRule="auto"/>
              <w:ind w:left="-30"/>
              <w:rPr>
                <w:rFonts w:ascii="Times New Roman" w:hAnsi="Times New Roman" w:cs="Times New Roman"/>
                <w:color w:val="000000"/>
                <w:sz w:val="20"/>
                <w:szCs w:val="20"/>
              </w:rPr>
            </w:pPr>
            <w:r w:rsidRPr="00D7128A">
              <w:rPr>
                <w:rFonts w:ascii="Times New Roman" w:hAnsi="Times New Roman" w:cs="Times New Roman"/>
                <w:color w:val="000000"/>
                <w:sz w:val="20"/>
                <w:szCs w:val="20"/>
              </w:rPr>
              <w:t>Chemical manufacturing</w:t>
            </w:r>
          </w:p>
        </w:tc>
        <w:tc>
          <w:tcPr>
            <w:tcW w:w="861" w:type="pct"/>
            <w:tcBorders>
              <w:top w:val="nil"/>
              <w:left w:val="nil"/>
              <w:bottom w:val="single" w:sz="8" w:space="0" w:color="auto"/>
              <w:right w:val="single" w:sz="8" w:space="0" w:color="auto"/>
            </w:tcBorders>
            <w:shd w:val="clear" w:color="auto" w:fill="auto"/>
            <w:vAlign w:val="center"/>
            <w:hideMark/>
          </w:tcPr>
          <w:p w:rsidR="00900B2C" w:rsidRPr="00D7128A" w:rsidP="00E6210A" w14:paraId="2C6A27E2" w14:textId="77777777">
            <w:pPr>
              <w:spacing w:after="0" w:line="240" w:lineRule="auto"/>
              <w:ind w:left="-73"/>
              <w:rPr>
                <w:rFonts w:ascii="Times New Roman" w:hAnsi="Times New Roman" w:cs="Times New Roman"/>
                <w:color w:val="000000"/>
                <w:sz w:val="20"/>
                <w:szCs w:val="20"/>
              </w:rPr>
            </w:pPr>
            <w:r w:rsidRPr="00D7128A">
              <w:rPr>
                <w:rFonts w:ascii="Times New Roman" w:hAnsi="Times New Roman" w:cs="Times New Roman"/>
                <w:color w:val="000000"/>
                <w:sz w:val="20"/>
                <w:szCs w:val="20"/>
              </w:rPr>
              <w:t>5 other small STAA projects</w:t>
            </w:r>
          </w:p>
        </w:tc>
        <w:tc>
          <w:tcPr>
            <w:tcW w:w="539" w:type="pct"/>
            <w:tcBorders>
              <w:top w:val="nil"/>
              <w:left w:val="nil"/>
              <w:bottom w:val="single" w:sz="8" w:space="0" w:color="auto"/>
              <w:right w:val="single" w:sz="8" w:space="0" w:color="auto"/>
            </w:tcBorders>
            <w:shd w:val="clear" w:color="auto" w:fill="auto"/>
            <w:vAlign w:val="center"/>
            <w:hideMark/>
          </w:tcPr>
          <w:p w:rsidR="00900B2C" w:rsidRPr="00D7128A" w:rsidP="00E6210A" w14:paraId="7F88E2A3"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$0.1</w:t>
            </w:r>
          </w:p>
        </w:tc>
        <w:tc>
          <w:tcPr>
            <w:tcW w:w="451" w:type="pct"/>
            <w:tcBorders>
              <w:top w:val="single" w:sz="8" w:space="0" w:color="auto"/>
              <w:left w:val="nil"/>
              <w:bottom w:val="single" w:sz="8" w:space="0" w:color="auto"/>
              <w:right w:val="single" w:sz="4" w:space="0" w:color="auto"/>
            </w:tcBorders>
          </w:tcPr>
          <w:p w:rsidR="004D21A2" w:rsidRPr="00D7128A" w:rsidP="00E6210A" w14:paraId="416B89BD"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451" w:type="pct"/>
            <w:tcBorders>
              <w:top w:val="nil"/>
              <w:left w:val="single" w:sz="4" w:space="0" w:color="auto"/>
              <w:bottom w:val="single" w:sz="8" w:space="0" w:color="auto"/>
              <w:right w:val="single" w:sz="8" w:space="0" w:color="auto"/>
            </w:tcBorders>
            <w:shd w:val="clear" w:color="auto" w:fill="auto"/>
            <w:vAlign w:val="center"/>
            <w:hideMark/>
          </w:tcPr>
          <w:p w:rsidR="00900B2C" w:rsidRPr="00D7128A" w:rsidP="00E6210A" w14:paraId="559001AF"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5</w:t>
            </w:r>
            <w:r w:rsidR="00086A5C">
              <w:rPr>
                <w:rFonts w:ascii="Times New Roman" w:hAnsi="Times New Roman" w:cs="Times New Roman"/>
                <w:color w:val="000000"/>
                <w:sz w:val="20"/>
                <w:szCs w:val="20"/>
              </w:rPr>
              <w:t>09</w:t>
            </w:r>
          </w:p>
        </w:tc>
        <w:tc>
          <w:tcPr>
            <w:tcW w:w="614" w:type="pct"/>
            <w:tcBorders>
              <w:top w:val="nil"/>
              <w:left w:val="nil"/>
              <w:bottom w:val="single" w:sz="8" w:space="0" w:color="auto"/>
              <w:right w:val="single" w:sz="8" w:space="0" w:color="auto"/>
            </w:tcBorders>
            <w:shd w:val="clear" w:color="auto" w:fill="auto"/>
            <w:vAlign w:val="center"/>
            <w:hideMark/>
          </w:tcPr>
          <w:p w:rsidR="00900B2C" w:rsidRPr="00D7128A" w:rsidP="00E6210A" w14:paraId="109D713E" w14:textId="77777777">
            <w:pPr>
              <w:spacing w:after="0" w:line="240" w:lineRule="auto"/>
              <w:jc w:val="center"/>
              <w:rPr>
                <w:rFonts w:ascii="Times New Roman" w:hAnsi="Times New Roman" w:cs="Times New Roman"/>
                <w:color w:val="000000"/>
                <w:sz w:val="20"/>
                <w:szCs w:val="20"/>
              </w:rPr>
            </w:pPr>
            <w:r w:rsidRPr="00D7128A">
              <w:rPr>
                <w:rFonts w:ascii="Times New Roman" w:hAnsi="Times New Roman" w:cs="Times New Roman"/>
                <w:color w:val="000000"/>
                <w:sz w:val="20"/>
                <w:szCs w:val="20"/>
              </w:rPr>
              <w:t>$</w:t>
            </w:r>
            <w:r w:rsidR="00BC4450">
              <w:rPr>
                <w:rFonts w:ascii="Times New Roman" w:hAnsi="Times New Roman" w:cs="Times New Roman"/>
                <w:color w:val="000000"/>
                <w:sz w:val="20"/>
                <w:szCs w:val="20"/>
              </w:rPr>
              <w:t>3</w:t>
            </w:r>
            <w:r w:rsidR="00086A5C">
              <w:rPr>
                <w:rFonts w:ascii="Times New Roman" w:hAnsi="Times New Roman" w:cs="Times New Roman"/>
                <w:color w:val="000000"/>
                <w:sz w:val="20"/>
                <w:szCs w:val="20"/>
              </w:rPr>
              <w:t>09.4</w:t>
            </w:r>
          </w:p>
        </w:tc>
        <w:tc>
          <w:tcPr>
            <w:tcW w:w="656" w:type="pct"/>
            <w:vMerge/>
            <w:tcBorders>
              <w:top w:val="nil"/>
              <w:left w:val="single" w:sz="8" w:space="0" w:color="auto"/>
              <w:bottom w:val="single" w:sz="8" w:space="0" w:color="auto"/>
              <w:right w:val="single" w:sz="8" w:space="0" w:color="auto"/>
            </w:tcBorders>
            <w:vAlign w:val="center"/>
            <w:hideMark/>
          </w:tcPr>
          <w:p w:rsidR="00900B2C" w:rsidRPr="004D4B61" w:rsidP="00E6210A" w14:paraId="030E02C3" w14:textId="77777777">
            <w:pPr>
              <w:spacing w:after="0" w:line="240" w:lineRule="auto"/>
              <w:rPr>
                <w:rFonts w:ascii="Times New Roman" w:eastAsia="Times New Roman" w:hAnsi="Times New Roman" w:cs="Times New Roman"/>
                <w:color w:val="000000"/>
              </w:rPr>
            </w:pPr>
          </w:p>
        </w:tc>
        <w:tc>
          <w:tcPr>
            <w:tcW w:w="489" w:type="pct"/>
            <w:vMerge/>
            <w:tcBorders>
              <w:top w:val="nil"/>
              <w:left w:val="single" w:sz="8" w:space="0" w:color="auto"/>
              <w:bottom w:val="single" w:sz="8" w:space="0" w:color="auto"/>
              <w:right w:val="single" w:sz="8" w:space="0" w:color="auto"/>
            </w:tcBorders>
            <w:shd w:val="clear" w:color="auto" w:fill="auto"/>
            <w:vAlign w:val="center"/>
            <w:hideMark/>
          </w:tcPr>
          <w:p w:rsidR="00900B2C" w:rsidRPr="004D4B61" w:rsidP="00E6210A" w14:paraId="4B8C9EE6" w14:textId="77777777">
            <w:pPr>
              <w:spacing w:after="0" w:line="240" w:lineRule="auto"/>
              <w:rPr>
                <w:rFonts w:ascii="Times New Roman" w:eastAsia="Times New Roman" w:hAnsi="Times New Roman" w:cs="Times New Roman"/>
                <w:color w:val="000000"/>
              </w:rPr>
            </w:pPr>
          </w:p>
        </w:tc>
      </w:tr>
    </w:tbl>
    <w:p w:rsidR="00900B2C" w:rsidRPr="00835820" w:rsidP="00900B2C" w14:paraId="0441134E" w14:textId="77777777">
      <w:pPr>
        <w:spacing w:after="0" w:line="240" w:lineRule="auto"/>
        <w:rPr>
          <w:rFonts w:ascii="Times New Roman" w:hAnsi="Times New Roman" w:cs="Times New Roman"/>
          <w:sz w:val="18"/>
          <w:szCs w:val="18"/>
        </w:rPr>
      </w:pPr>
      <w:r w:rsidRPr="00835820">
        <w:rPr>
          <w:rFonts w:ascii="Times New Roman" w:hAnsi="Times New Roman" w:cs="Times New Roman"/>
          <w:sz w:val="18"/>
          <w:szCs w:val="18"/>
        </w:rPr>
        <w:t xml:space="preserve">*Assumes all refineries with HF alkylation processes study conversion, </w:t>
      </w:r>
      <w:r w:rsidR="004A7686">
        <w:rPr>
          <w:rFonts w:ascii="Times New Roman" w:hAnsi="Times New Roman" w:cs="Times New Roman"/>
          <w:sz w:val="18"/>
          <w:szCs w:val="18"/>
        </w:rPr>
        <w:t xml:space="preserve">the </w:t>
      </w:r>
      <w:r w:rsidRPr="00835820">
        <w:rPr>
          <w:rFonts w:ascii="Times New Roman" w:hAnsi="Times New Roman" w:cs="Times New Roman"/>
          <w:sz w:val="18"/>
          <w:szCs w:val="18"/>
        </w:rPr>
        <w:t xml:space="preserve">remainder study two major piping replacement projects and all study 10 small STAA projects. </w:t>
      </w:r>
    </w:p>
    <w:p w:rsidR="00900B2C" w:rsidRPr="00835820" w:rsidP="00900B2C" w14:paraId="4F8E377B" w14:textId="77777777">
      <w:pPr>
        <w:spacing w:after="0" w:line="240" w:lineRule="auto"/>
        <w:rPr>
          <w:rFonts w:ascii="Times New Roman" w:hAnsi="Times New Roman" w:cs="Times New Roman"/>
          <w:sz w:val="18"/>
          <w:szCs w:val="18"/>
        </w:rPr>
      </w:pPr>
      <w:r w:rsidRPr="00835820">
        <w:rPr>
          <w:rFonts w:ascii="Times New Roman" w:hAnsi="Times New Roman" w:cs="Times New Roman"/>
          <w:sz w:val="18"/>
          <w:szCs w:val="18"/>
        </w:rPr>
        <w:t xml:space="preserve">**Assumes 20 percent of </w:t>
      </w:r>
      <w:r w:rsidRPr="00835820">
        <w:rPr>
          <w:rFonts w:ascii="Times New Roman" w:hAnsi="Times New Roman" w:cs="Times New Roman"/>
          <w:color w:val="000000"/>
          <w:sz w:val="18"/>
          <w:szCs w:val="18"/>
        </w:rPr>
        <w:t>Program 3</w:t>
      </w:r>
      <w:r w:rsidRPr="00835820">
        <w:rPr>
          <w:rFonts w:ascii="Times New Roman" w:hAnsi="Times New Roman" w:cs="Times New Roman"/>
          <w:sz w:val="18"/>
          <w:szCs w:val="18"/>
        </w:rPr>
        <w:t xml:space="preserve"> chemical facilities study conversion, </w:t>
      </w:r>
      <w:r w:rsidR="00931407">
        <w:rPr>
          <w:rFonts w:ascii="Times New Roman" w:hAnsi="Times New Roman" w:cs="Times New Roman"/>
          <w:sz w:val="18"/>
          <w:szCs w:val="18"/>
        </w:rPr>
        <w:t xml:space="preserve">the </w:t>
      </w:r>
      <w:r w:rsidRPr="00835820">
        <w:rPr>
          <w:rFonts w:ascii="Times New Roman" w:hAnsi="Times New Roman" w:cs="Times New Roman"/>
          <w:sz w:val="18"/>
          <w:szCs w:val="18"/>
        </w:rPr>
        <w:t xml:space="preserve">remainder study minor piping replacement and all study five small STAA projects. </w:t>
      </w:r>
    </w:p>
    <w:p w:rsidR="00900B2C" w:rsidRPr="004D4B61" w:rsidP="00900B2C" w14:paraId="1DF3409A" w14:textId="77777777">
      <w:pPr>
        <w:spacing w:after="0" w:line="240" w:lineRule="auto"/>
        <w:rPr>
          <w:rFonts w:ascii="Times New Roman" w:hAnsi="Times New Roman" w:cs="Times New Roman"/>
        </w:rPr>
      </w:pPr>
    </w:p>
    <w:p w:rsidR="00900B2C" w:rsidP="00900B2C" w14:paraId="18022266"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Based on this analysis, the STAA </w:t>
      </w:r>
      <w:r w:rsidR="00E25B3A">
        <w:rPr>
          <w:rFonts w:ascii="Times New Roman" w:hAnsi="Times New Roman" w:cs="Times New Roman"/>
        </w:rPr>
        <w:t>practicability assessment</w:t>
      </w:r>
      <w:r w:rsidRPr="004D4B61">
        <w:rPr>
          <w:rFonts w:ascii="Times New Roman" w:hAnsi="Times New Roman" w:cs="Times New Roman"/>
        </w:rPr>
        <w:t xml:space="preserve"> cost for a facility in petroleum refining is $2.</w:t>
      </w:r>
      <w:r w:rsidR="005D034A">
        <w:rPr>
          <w:rFonts w:ascii="Times New Roman" w:hAnsi="Times New Roman" w:cs="Times New Roman"/>
        </w:rPr>
        <w:t>2</w:t>
      </w:r>
      <w:r w:rsidRPr="004D4B61" w:rsidR="005D034A">
        <w:rPr>
          <w:rFonts w:ascii="Times New Roman" w:hAnsi="Times New Roman" w:cs="Times New Roman"/>
        </w:rPr>
        <w:t xml:space="preserve"> </w:t>
      </w:r>
      <w:r w:rsidRPr="004D4B61">
        <w:rPr>
          <w:rFonts w:ascii="Times New Roman" w:hAnsi="Times New Roman" w:cs="Times New Roman"/>
        </w:rPr>
        <w:t xml:space="preserve">million </w:t>
      </w:r>
      <w:r w:rsidR="00F12031">
        <w:rPr>
          <w:rFonts w:ascii="Times New Roman" w:hAnsi="Times New Roman" w:cs="Times New Roman"/>
        </w:rPr>
        <w:t xml:space="preserve">(or $4.4 million for a facility with </w:t>
      </w:r>
      <w:r w:rsidR="00177957">
        <w:rPr>
          <w:rFonts w:ascii="Times New Roman" w:hAnsi="Times New Roman" w:cs="Times New Roman"/>
        </w:rPr>
        <w:t xml:space="preserve">an HF alkylation process and </w:t>
      </w:r>
      <w:r w:rsidR="00270F20">
        <w:rPr>
          <w:rFonts w:ascii="Times New Roman" w:hAnsi="Times New Roman" w:cs="Times New Roman"/>
        </w:rPr>
        <w:t xml:space="preserve">$306,326 for a facility without) </w:t>
      </w:r>
      <w:r w:rsidR="00F54E58">
        <w:rPr>
          <w:rFonts w:ascii="Times New Roman" w:hAnsi="Times New Roman" w:cs="Times New Roman"/>
        </w:rPr>
        <w:t xml:space="preserve">over a five-year period </w:t>
      </w:r>
      <w:r w:rsidRPr="004D4B61">
        <w:rPr>
          <w:rFonts w:ascii="Times New Roman" w:hAnsi="Times New Roman" w:cs="Times New Roman"/>
        </w:rPr>
        <w:t>and for a facility in chemical manufacturing, $</w:t>
      </w:r>
      <w:r w:rsidR="005D034A">
        <w:rPr>
          <w:rFonts w:ascii="Times New Roman" w:hAnsi="Times New Roman" w:cs="Times New Roman"/>
        </w:rPr>
        <w:t>33,550</w:t>
      </w:r>
      <w:r w:rsidRPr="004D4B61">
        <w:rPr>
          <w:rFonts w:ascii="Times New Roman" w:hAnsi="Times New Roman" w:cs="Times New Roman"/>
        </w:rPr>
        <w:t xml:space="preserve"> </w:t>
      </w:r>
      <w:r w:rsidR="006D460E">
        <w:rPr>
          <w:rFonts w:ascii="Times New Roman" w:hAnsi="Times New Roman" w:cs="Times New Roman"/>
        </w:rPr>
        <w:t>over a five-year period</w:t>
      </w:r>
      <w:r w:rsidRPr="004D4B61">
        <w:rPr>
          <w:rFonts w:ascii="Times New Roman" w:hAnsi="Times New Roman" w:cs="Times New Roman"/>
        </w:rPr>
        <w:t>.</w:t>
      </w:r>
    </w:p>
    <w:p w:rsidR="00900B2C" w:rsidP="00900B2C" w14:paraId="24EE5D5A" w14:textId="77777777">
      <w:pPr>
        <w:spacing w:after="0" w:line="240" w:lineRule="auto"/>
        <w:ind w:firstLine="360"/>
        <w:rPr>
          <w:rFonts w:ascii="Times New Roman" w:hAnsi="Times New Roman" w:cs="Times New Roman"/>
        </w:rPr>
      </w:pPr>
    </w:p>
    <w:p w:rsidR="00900B2C" w:rsidRPr="004D4B61" w:rsidP="00900B2C" w14:paraId="6780054F"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Exhibit 4-</w:t>
      </w:r>
      <w:r w:rsidR="00C6654C">
        <w:rPr>
          <w:rFonts w:ascii="Times New Roman" w:hAnsi="Times New Roman" w:cs="Times New Roman"/>
        </w:rPr>
        <w:t>5</w:t>
      </w:r>
      <w:r w:rsidRPr="004D4B61">
        <w:rPr>
          <w:rFonts w:ascii="Times New Roman" w:hAnsi="Times New Roman" w:cs="Times New Roman"/>
        </w:rPr>
        <w:t xml:space="preserve"> displays the hours and costs assumed for each task by labor category and type of facility, and the resulting per facility cost estimates.</w:t>
      </w:r>
    </w:p>
    <w:p w:rsidR="00900B2C" w:rsidRPr="004D4B61" w:rsidP="00900B2C" w14:paraId="355889B5" w14:textId="77777777">
      <w:pPr>
        <w:spacing w:after="0" w:line="240" w:lineRule="auto"/>
        <w:rPr>
          <w:rFonts w:ascii="Times New Roman" w:hAnsi="Times New Roman" w:cs="Times New Roman"/>
        </w:rPr>
      </w:pPr>
    </w:p>
    <w:p w:rsidR="00900B2C" w:rsidRPr="00835820" w:rsidP="00900B2C" w14:paraId="20A7AEB6" w14:textId="77777777">
      <w:pPr>
        <w:pStyle w:val="Caption"/>
        <w:keepNext/>
        <w:jc w:val="center"/>
        <w:rPr>
          <w:rFonts w:ascii="Times New Roman" w:hAnsi="Times New Roman" w:cs="Times New Roman"/>
          <w:b/>
          <w:bCs/>
          <w:i w:val="0"/>
          <w:iCs w:val="0"/>
          <w:color w:val="auto"/>
          <w:sz w:val="22"/>
          <w:szCs w:val="22"/>
        </w:rPr>
      </w:pPr>
      <w:r w:rsidRPr="00835820">
        <w:rPr>
          <w:rFonts w:ascii="Times New Roman" w:hAnsi="Times New Roman" w:cs="Times New Roman"/>
          <w:b/>
          <w:bCs/>
          <w:i w:val="0"/>
          <w:iCs w:val="0"/>
          <w:color w:val="auto"/>
          <w:sz w:val="22"/>
          <w:szCs w:val="22"/>
        </w:rPr>
        <w:t>Exhibit</w:t>
      </w:r>
      <w:r>
        <w:t xml:space="preserve"> </w:t>
      </w:r>
      <w:r w:rsidRPr="00835820">
        <w:rPr>
          <w:rFonts w:ascii="Times New Roman" w:hAnsi="Times New Roman" w:cs="Times New Roman"/>
          <w:b/>
          <w:bCs/>
          <w:i w:val="0"/>
          <w:iCs w:val="0"/>
          <w:color w:val="auto"/>
          <w:sz w:val="22"/>
          <w:szCs w:val="22"/>
        </w:rPr>
        <w:t>4-</w:t>
      </w:r>
      <w:r w:rsidR="007F6842">
        <w:rPr>
          <w:rFonts w:ascii="Times New Roman" w:hAnsi="Times New Roman" w:cs="Times New Roman"/>
          <w:b/>
          <w:bCs/>
          <w:i w:val="0"/>
          <w:iCs w:val="0"/>
          <w:color w:val="auto"/>
          <w:sz w:val="22"/>
          <w:szCs w:val="22"/>
        </w:rPr>
        <w:t>5</w:t>
      </w:r>
      <w:r w:rsidRPr="00835820">
        <w:rPr>
          <w:rFonts w:ascii="Times New Roman" w:hAnsi="Times New Roman" w:cs="Times New Roman"/>
          <w:b/>
          <w:bCs/>
          <w:i w:val="0"/>
          <w:iCs w:val="0"/>
          <w:color w:val="auto"/>
          <w:sz w:val="22"/>
          <w:szCs w:val="22"/>
        </w:rPr>
        <w:t>: Hourly Labor and Unit Costs for STAA (202</w:t>
      </w:r>
      <w:r w:rsidR="007C00A4">
        <w:rPr>
          <w:rFonts w:ascii="Times New Roman" w:hAnsi="Times New Roman" w:cs="Times New Roman"/>
          <w:b/>
          <w:bCs/>
          <w:i w:val="0"/>
          <w:iCs w:val="0"/>
          <w:color w:val="auto"/>
          <w:sz w:val="22"/>
          <w:szCs w:val="22"/>
        </w:rPr>
        <w:t>2</w:t>
      </w:r>
      <w:r w:rsidRPr="00835820">
        <w:rPr>
          <w:rFonts w:ascii="Times New Roman" w:hAnsi="Times New Roman" w:cs="Times New Roman"/>
          <w:b/>
          <w:bCs/>
          <w:i w:val="0"/>
          <w:iCs w:val="0"/>
          <w:color w:val="auto"/>
          <w:sz w:val="22"/>
          <w:szCs w:val="22"/>
        </w:rPr>
        <w:t xml:space="preserve"> dollars).</w:t>
      </w:r>
    </w:p>
    <w:tbl>
      <w:tblPr>
        <w:tblW w:w="8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6"/>
        <w:gridCol w:w="1169"/>
        <w:gridCol w:w="1170"/>
        <w:gridCol w:w="581"/>
        <w:gridCol w:w="589"/>
        <w:gridCol w:w="1080"/>
        <w:gridCol w:w="1163"/>
        <w:gridCol w:w="1261"/>
      </w:tblGrid>
      <w:tr w14:paraId="28C3B691" w14:textId="77777777" w:rsidTr="00E6210A">
        <w:tblPrEx>
          <w:tblW w:w="8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01"/>
          <w:jc w:val="center"/>
        </w:trPr>
        <w:tc>
          <w:tcPr>
            <w:tcW w:w="1526" w:type="dxa"/>
            <w:vMerge w:val="restart"/>
            <w:shd w:val="clear" w:color="auto" w:fill="D9D9D9" w:themeFill="background1" w:themeFillShade="D9"/>
            <w:vAlign w:val="center"/>
          </w:tcPr>
          <w:p w:rsidR="00900B2C" w:rsidRPr="00835820" w:rsidP="00E6210A" w14:paraId="5BE63A4E" w14:textId="77777777">
            <w:pPr>
              <w:keepNext/>
              <w:keepLines/>
              <w:spacing w:after="0" w:line="240" w:lineRule="auto"/>
              <w:ind w:left="180"/>
              <w:jc w:val="center"/>
              <w:rPr>
                <w:rFonts w:ascii="Times New Roman" w:hAnsi="Times New Roman" w:cs="Times New Roman"/>
                <w:b/>
                <w:sz w:val="20"/>
                <w:szCs w:val="20"/>
              </w:rPr>
            </w:pPr>
            <w:r w:rsidRPr="00835820">
              <w:rPr>
                <w:rFonts w:ascii="Times New Roman" w:hAnsi="Times New Roman" w:cs="Times New Roman"/>
                <w:b/>
                <w:sz w:val="20"/>
                <w:szCs w:val="20"/>
              </w:rPr>
              <w:t>Sector</w:t>
            </w:r>
          </w:p>
        </w:tc>
        <w:tc>
          <w:tcPr>
            <w:tcW w:w="5752" w:type="dxa"/>
            <w:gridSpan w:val="6"/>
            <w:shd w:val="clear" w:color="auto" w:fill="D9D9D9" w:themeFill="background1" w:themeFillShade="D9"/>
            <w:vAlign w:val="center"/>
          </w:tcPr>
          <w:p w:rsidR="00900B2C" w:rsidRPr="00835820" w:rsidP="00E6210A" w14:paraId="2A57B966" w14:textId="77777777">
            <w:pPr>
              <w:keepNext/>
              <w:keepLines/>
              <w:spacing w:after="0" w:line="240" w:lineRule="auto"/>
              <w:ind w:left="2884" w:right="34" w:hanging="2777"/>
              <w:jc w:val="center"/>
              <w:rPr>
                <w:rFonts w:ascii="Times New Roman" w:hAnsi="Times New Roman" w:cs="Times New Roman"/>
                <w:b/>
                <w:sz w:val="20"/>
                <w:szCs w:val="20"/>
              </w:rPr>
            </w:pPr>
            <w:r w:rsidRPr="00835820">
              <w:rPr>
                <w:rFonts w:ascii="Times New Roman" w:hAnsi="Times New Roman" w:cs="Times New Roman"/>
                <w:b/>
                <w:sz w:val="20"/>
                <w:szCs w:val="20"/>
              </w:rPr>
              <w:t>Labor Hours</w:t>
            </w:r>
          </w:p>
        </w:tc>
        <w:tc>
          <w:tcPr>
            <w:tcW w:w="1261" w:type="dxa"/>
            <w:vMerge w:val="restart"/>
            <w:shd w:val="clear" w:color="auto" w:fill="D9D9D9" w:themeFill="background1" w:themeFillShade="D9"/>
            <w:vAlign w:val="center"/>
          </w:tcPr>
          <w:p w:rsidR="00900B2C" w:rsidRPr="00835820" w:rsidP="00E6210A" w14:paraId="02704996" w14:textId="77777777">
            <w:pPr>
              <w:keepNext/>
              <w:keepLines/>
              <w:spacing w:after="0" w:line="240" w:lineRule="auto"/>
              <w:ind w:left="304" w:right="152" w:hanging="118"/>
              <w:jc w:val="center"/>
              <w:rPr>
                <w:rFonts w:ascii="Times New Roman" w:hAnsi="Times New Roman" w:cs="Times New Roman"/>
                <w:b/>
                <w:sz w:val="20"/>
                <w:szCs w:val="20"/>
              </w:rPr>
            </w:pPr>
            <w:r w:rsidRPr="00835820">
              <w:rPr>
                <w:rFonts w:ascii="Times New Roman" w:hAnsi="Times New Roman" w:cs="Times New Roman"/>
                <w:b/>
                <w:sz w:val="20"/>
                <w:szCs w:val="20"/>
              </w:rPr>
              <w:t>Facility Cost</w:t>
            </w:r>
          </w:p>
        </w:tc>
      </w:tr>
      <w:tr w14:paraId="279AADFC" w14:textId="77777777" w:rsidTr="00E6210A">
        <w:tblPrEx>
          <w:tblW w:w="8539" w:type="dxa"/>
          <w:jc w:val="center"/>
          <w:tblLayout w:type="fixed"/>
          <w:tblCellMar>
            <w:left w:w="0" w:type="dxa"/>
            <w:right w:w="0" w:type="dxa"/>
          </w:tblCellMar>
          <w:tblLook w:val="01E0"/>
        </w:tblPrEx>
        <w:trPr>
          <w:trHeight w:val="510"/>
          <w:jc w:val="center"/>
        </w:trPr>
        <w:tc>
          <w:tcPr>
            <w:tcW w:w="1526" w:type="dxa"/>
            <w:vMerge/>
            <w:tcBorders>
              <w:top w:val="nil"/>
            </w:tcBorders>
            <w:shd w:val="clear" w:color="auto" w:fill="D9D9D9"/>
            <w:vAlign w:val="center"/>
          </w:tcPr>
          <w:p w:rsidR="00900B2C" w:rsidRPr="00835820" w:rsidP="00E6210A" w14:paraId="773F9F8F" w14:textId="77777777">
            <w:pPr>
              <w:keepNext/>
              <w:keepLines/>
              <w:spacing w:after="0" w:line="240" w:lineRule="auto"/>
              <w:jc w:val="center"/>
              <w:rPr>
                <w:rFonts w:ascii="Times New Roman" w:hAnsi="Times New Roman" w:cs="Times New Roman"/>
                <w:sz w:val="20"/>
                <w:szCs w:val="20"/>
              </w:rPr>
            </w:pPr>
          </w:p>
        </w:tc>
        <w:tc>
          <w:tcPr>
            <w:tcW w:w="1169" w:type="dxa"/>
            <w:shd w:val="clear" w:color="auto" w:fill="D9D9D9"/>
            <w:vAlign w:val="center"/>
          </w:tcPr>
          <w:p w:rsidR="00900B2C" w:rsidRPr="00835820" w:rsidP="00E6210A" w14:paraId="5ED91B59" w14:textId="77777777">
            <w:pPr>
              <w:keepNext/>
              <w:keepLines/>
              <w:spacing w:after="0" w:line="240" w:lineRule="auto"/>
              <w:ind w:left="127" w:right="119"/>
              <w:jc w:val="center"/>
              <w:rPr>
                <w:rFonts w:ascii="Times New Roman" w:hAnsi="Times New Roman" w:cs="Times New Roman"/>
                <w:b/>
                <w:sz w:val="20"/>
                <w:szCs w:val="20"/>
              </w:rPr>
            </w:pPr>
            <w:r w:rsidRPr="00835820">
              <w:rPr>
                <w:rFonts w:ascii="Times New Roman" w:hAnsi="Times New Roman" w:cs="Times New Roman"/>
                <w:b/>
                <w:sz w:val="20"/>
                <w:szCs w:val="20"/>
              </w:rPr>
              <w:t>Manager</w:t>
            </w:r>
          </w:p>
        </w:tc>
        <w:tc>
          <w:tcPr>
            <w:tcW w:w="1170" w:type="dxa"/>
            <w:shd w:val="clear" w:color="auto" w:fill="D9D9D9"/>
            <w:vAlign w:val="center"/>
          </w:tcPr>
          <w:p w:rsidR="00900B2C" w:rsidRPr="00835820" w:rsidP="00E6210A" w14:paraId="49FAFC79" w14:textId="77777777">
            <w:pPr>
              <w:keepNext/>
              <w:keepLines/>
              <w:spacing w:after="0" w:line="240" w:lineRule="auto"/>
              <w:ind w:left="120" w:right="116"/>
              <w:jc w:val="center"/>
              <w:rPr>
                <w:rFonts w:ascii="Times New Roman" w:hAnsi="Times New Roman" w:cs="Times New Roman"/>
                <w:b/>
                <w:sz w:val="20"/>
                <w:szCs w:val="20"/>
              </w:rPr>
            </w:pPr>
            <w:r w:rsidRPr="00835820">
              <w:rPr>
                <w:rFonts w:ascii="Times New Roman" w:hAnsi="Times New Roman" w:cs="Times New Roman"/>
                <w:b/>
                <w:sz w:val="20"/>
                <w:szCs w:val="20"/>
              </w:rPr>
              <w:t>Corporate</w:t>
            </w:r>
          </w:p>
          <w:p w:rsidR="00900B2C" w:rsidRPr="00835820" w:rsidP="00E6210A" w14:paraId="3CB49150" w14:textId="77777777">
            <w:pPr>
              <w:keepNext/>
              <w:keepLines/>
              <w:spacing w:after="0" w:line="240" w:lineRule="auto"/>
              <w:ind w:left="120" w:right="112"/>
              <w:jc w:val="center"/>
              <w:rPr>
                <w:rFonts w:ascii="Times New Roman" w:hAnsi="Times New Roman" w:cs="Times New Roman"/>
                <w:b/>
                <w:sz w:val="20"/>
                <w:szCs w:val="20"/>
              </w:rPr>
            </w:pPr>
            <w:r w:rsidRPr="00835820">
              <w:rPr>
                <w:rFonts w:ascii="Times New Roman" w:hAnsi="Times New Roman" w:cs="Times New Roman"/>
                <w:b/>
                <w:sz w:val="20"/>
                <w:szCs w:val="20"/>
              </w:rPr>
              <w:t>Mgmt.</w:t>
            </w:r>
          </w:p>
        </w:tc>
        <w:tc>
          <w:tcPr>
            <w:tcW w:w="1170" w:type="dxa"/>
            <w:gridSpan w:val="2"/>
            <w:shd w:val="clear" w:color="auto" w:fill="D9D9D9"/>
            <w:vAlign w:val="center"/>
          </w:tcPr>
          <w:p w:rsidR="00900B2C" w:rsidRPr="00835820" w:rsidP="00E6210A" w14:paraId="76377E5B" w14:textId="77777777">
            <w:pPr>
              <w:keepNext/>
              <w:keepLines/>
              <w:spacing w:after="0" w:line="240" w:lineRule="auto"/>
              <w:ind w:left="1"/>
              <w:jc w:val="center"/>
              <w:rPr>
                <w:rFonts w:ascii="Times New Roman" w:hAnsi="Times New Roman" w:cs="Times New Roman"/>
                <w:b/>
                <w:sz w:val="20"/>
                <w:szCs w:val="20"/>
              </w:rPr>
            </w:pPr>
            <w:r w:rsidRPr="00835820">
              <w:rPr>
                <w:rFonts w:ascii="Times New Roman" w:hAnsi="Times New Roman" w:cs="Times New Roman"/>
                <w:b/>
                <w:sz w:val="20"/>
                <w:szCs w:val="20"/>
              </w:rPr>
              <w:t>Attorneys</w:t>
            </w:r>
          </w:p>
        </w:tc>
        <w:tc>
          <w:tcPr>
            <w:tcW w:w="1080" w:type="dxa"/>
            <w:shd w:val="clear" w:color="auto" w:fill="D9D9D9"/>
            <w:vAlign w:val="center"/>
          </w:tcPr>
          <w:p w:rsidR="00900B2C" w:rsidRPr="00835820" w:rsidP="00E6210A" w14:paraId="49F75029" w14:textId="77777777">
            <w:pPr>
              <w:keepNext/>
              <w:keepLines/>
              <w:spacing w:after="0" w:line="240" w:lineRule="auto"/>
              <w:ind w:left="100" w:right="79"/>
              <w:jc w:val="center"/>
              <w:rPr>
                <w:rFonts w:ascii="Times New Roman" w:hAnsi="Times New Roman" w:cs="Times New Roman"/>
                <w:b/>
                <w:sz w:val="20"/>
                <w:szCs w:val="20"/>
              </w:rPr>
            </w:pPr>
            <w:r w:rsidRPr="00835820">
              <w:rPr>
                <w:rFonts w:ascii="Times New Roman" w:hAnsi="Times New Roman" w:cs="Times New Roman"/>
                <w:b/>
                <w:sz w:val="20"/>
                <w:szCs w:val="20"/>
              </w:rPr>
              <w:t>Engineers</w:t>
            </w:r>
          </w:p>
        </w:tc>
        <w:tc>
          <w:tcPr>
            <w:tcW w:w="1163" w:type="dxa"/>
            <w:shd w:val="clear" w:color="auto" w:fill="D9D9D9"/>
            <w:vAlign w:val="center"/>
          </w:tcPr>
          <w:p w:rsidR="00900B2C" w:rsidRPr="00835820" w:rsidP="00E6210A" w14:paraId="2FCB0C56" w14:textId="77777777">
            <w:pPr>
              <w:keepNext/>
              <w:keepLines/>
              <w:spacing w:after="0" w:line="240" w:lineRule="auto"/>
              <w:ind w:left="97" w:right="76"/>
              <w:jc w:val="center"/>
              <w:rPr>
                <w:rFonts w:ascii="Times New Roman" w:hAnsi="Times New Roman" w:cs="Times New Roman"/>
                <w:b/>
                <w:sz w:val="20"/>
                <w:szCs w:val="20"/>
              </w:rPr>
            </w:pPr>
            <w:r w:rsidRPr="00835820">
              <w:rPr>
                <w:rFonts w:ascii="Times New Roman" w:hAnsi="Times New Roman" w:cs="Times New Roman"/>
                <w:b/>
                <w:sz w:val="20"/>
                <w:szCs w:val="20"/>
              </w:rPr>
              <w:t>Production</w:t>
            </w:r>
          </w:p>
        </w:tc>
        <w:tc>
          <w:tcPr>
            <w:tcW w:w="1261" w:type="dxa"/>
            <w:vMerge/>
            <w:shd w:val="clear" w:color="auto" w:fill="D9D9D9"/>
            <w:vAlign w:val="center"/>
          </w:tcPr>
          <w:p w:rsidR="00900B2C" w:rsidRPr="00835820" w:rsidP="00E6210A" w14:paraId="1BA5181C" w14:textId="77777777">
            <w:pPr>
              <w:keepNext/>
              <w:keepLines/>
              <w:spacing w:after="0" w:line="240" w:lineRule="auto"/>
              <w:jc w:val="center"/>
              <w:rPr>
                <w:rFonts w:ascii="Times New Roman" w:hAnsi="Times New Roman" w:cs="Times New Roman"/>
                <w:sz w:val="20"/>
                <w:szCs w:val="20"/>
              </w:rPr>
            </w:pPr>
          </w:p>
        </w:tc>
      </w:tr>
      <w:tr w14:paraId="596E0E60" w14:textId="77777777" w:rsidTr="00E6210A">
        <w:tblPrEx>
          <w:tblW w:w="8539" w:type="dxa"/>
          <w:jc w:val="center"/>
          <w:tblLayout w:type="fixed"/>
          <w:tblCellMar>
            <w:left w:w="0" w:type="dxa"/>
            <w:right w:w="0" w:type="dxa"/>
          </w:tblCellMar>
          <w:tblLook w:val="01E0"/>
        </w:tblPrEx>
        <w:trPr>
          <w:trHeight w:val="301"/>
          <w:jc w:val="center"/>
        </w:trPr>
        <w:tc>
          <w:tcPr>
            <w:tcW w:w="8539" w:type="dxa"/>
            <w:gridSpan w:val="8"/>
            <w:shd w:val="clear" w:color="auto" w:fill="F1F1F1"/>
            <w:vAlign w:val="center"/>
          </w:tcPr>
          <w:p w:rsidR="00900B2C" w:rsidRPr="00835820" w:rsidP="00E6210A" w14:paraId="74115EC8" w14:textId="77777777">
            <w:pPr>
              <w:keepNext/>
              <w:keepLines/>
              <w:spacing w:after="0" w:line="240" w:lineRule="auto"/>
              <w:ind w:left="3708" w:right="84" w:hanging="3618"/>
              <w:jc w:val="center"/>
              <w:rPr>
                <w:rFonts w:ascii="Times New Roman" w:hAnsi="Times New Roman" w:cs="Times New Roman"/>
                <w:b/>
                <w:sz w:val="20"/>
                <w:szCs w:val="20"/>
              </w:rPr>
            </w:pPr>
            <w:r>
              <w:rPr>
                <w:rFonts w:ascii="Times New Roman" w:hAnsi="Times New Roman" w:cs="Times New Roman"/>
                <w:b/>
                <w:sz w:val="20"/>
                <w:szCs w:val="20"/>
              </w:rPr>
              <w:t>Initial Evaluation</w:t>
            </w:r>
          </w:p>
        </w:tc>
      </w:tr>
      <w:tr w14:paraId="67712467" w14:textId="77777777" w:rsidTr="00E6210A">
        <w:tblPrEx>
          <w:tblW w:w="8539" w:type="dxa"/>
          <w:jc w:val="center"/>
          <w:tblLayout w:type="fixed"/>
          <w:tblCellMar>
            <w:left w:w="0" w:type="dxa"/>
            <w:right w:w="0" w:type="dxa"/>
          </w:tblCellMar>
          <w:tblLook w:val="01E0"/>
        </w:tblPrEx>
        <w:trPr>
          <w:trHeight w:val="146"/>
          <w:jc w:val="center"/>
        </w:trPr>
        <w:tc>
          <w:tcPr>
            <w:tcW w:w="1526" w:type="dxa"/>
            <w:vAlign w:val="center"/>
          </w:tcPr>
          <w:p w:rsidR="00900B2C" w:rsidRPr="00835820" w:rsidP="00E6210A" w14:paraId="6E2A4C1E" w14:textId="77777777">
            <w:pPr>
              <w:keepNext/>
              <w:keepLines/>
              <w:spacing w:after="0" w:line="240" w:lineRule="auto"/>
              <w:ind w:left="107"/>
              <w:rPr>
                <w:rFonts w:ascii="Times New Roman" w:hAnsi="Times New Roman" w:cs="Times New Roman"/>
                <w:sz w:val="20"/>
                <w:szCs w:val="20"/>
              </w:rPr>
            </w:pPr>
            <w:r w:rsidRPr="00835820">
              <w:rPr>
                <w:rFonts w:ascii="Times New Roman" w:hAnsi="Times New Roman" w:cs="Times New Roman"/>
                <w:sz w:val="20"/>
                <w:szCs w:val="20"/>
              </w:rPr>
              <w:t>Refineries</w:t>
            </w:r>
          </w:p>
        </w:tc>
        <w:tc>
          <w:tcPr>
            <w:tcW w:w="1169" w:type="dxa"/>
            <w:vAlign w:val="center"/>
          </w:tcPr>
          <w:p w:rsidR="00900B2C" w:rsidRPr="00835820" w:rsidP="00E6210A" w14:paraId="67B71388" w14:textId="77777777">
            <w:pPr>
              <w:keepNext/>
              <w:keepLines/>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0</w:t>
            </w:r>
          </w:p>
        </w:tc>
        <w:tc>
          <w:tcPr>
            <w:tcW w:w="1170" w:type="dxa"/>
            <w:vAlign w:val="center"/>
          </w:tcPr>
          <w:p w:rsidR="00900B2C" w:rsidRPr="00835820" w:rsidP="00E6210A" w14:paraId="75753353" w14:textId="77777777">
            <w:pPr>
              <w:keepNext/>
              <w:keepLines/>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0</w:t>
            </w:r>
          </w:p>
        </w:tc>
        <w:tc>
          <w:tcPr>
            <w:tcW w:w="1170" w:type="dxa"/>
            <w:gridSpan w:val="2"/>
            <w:vAlign w:val="center"/>
          </w:tcPr>
          <w:p w:rsidR="00900B2C" w:rsidRPr="00835820" w:rsidP="00E6210A" w14:paraId="2C3EFF13" w14:textId="77777777">
            <w:pPr>
              <w:keepNext/>
              <w:keepLines/>
              <w:spacing w:after="0" w:line="240" w:lineRule="auto"/>
              <w:ind w:left="16"/>
              <w:jc w:val="center"/>
              <w:rPr>
                <w:rFonts w:ascii="Times New Roman" w:hAnsi="Times New Roman" w:cs="Times New Roman"/>
                <w:sz w:val="20"/>
                <w:szCs w:val="20"/>
              </w:rPr>
            </w:pPr>
            <w:r w:rsidRPr="00835820">
              <w:rPr>
                <w:rFonts w:ascii="Times New Roman" w:hAnsi="Times New Roman" w:cs="Times New Roman"/>
                <w:sz w:val="20"/>
                <w:szCs w:val="20"/>
              </w:rPr>
              <w:t>0</w:t>
            </w:r>
          </w:p>
        </w:tc>
        <w:tc>
          <w:tcPr>
            <w:tcW w:w="1080" w:type="dxa"/>
            <w:vAlign w:val="center"/>
          </w:tcPr>
          <w:p w:rsidR="00900B2C" w:rsidRPr="00835820" w:rsidP="00E6210A" w14:paraId="07CC4290" w14:textId="77777777">
            <w:pPr>
              <w:keepNext/>
              <w:keepLines/>
              <w:spacing w:after="0" w:line="240" w:lineRule="auto"/>
              <w:ind w:right="79"/>
              <w:jc w:val="center"/>
              <w:rPr>
                <w:rFonts w:ascii="Times New Roman" w:hAnsi="Times New Roman" w:cs="Times New Roman"/>
                <w:sz w:val="20"/>
                <w:szCs w:val="20"/>
              </w:rPr>
            </w:pPr>
            <w:r w:rsidRPr="00835820">
              <w:rPr>
                <w:rFonts w:ascii="Times New Roman" w:hAnsi="Times New Roman" w:cs="Times New Roman"/>
                <w:sz w:val="20"/>
                <w:szCs w:val="20"/>
              </w:rPr>
              <w:t>738</w:t>
            </w:r>
          </w:p>
        </w:tc>
        <w:tc>
          <w:tcPr>
            <w:tcW w:w="1163" w:type="dxa"/>
            <w:vAlign w:val="center"/>
          </w:tcPr>
          <w:p w:rsidR="00900B2C" w:rsidRPr="00835820" w:rsidP="00E6210A" w14:paraId="42224CCE" w14:textId="77777777">
            <w:pPr>
              <w:keepNext/>
              <w:keepLines/>
              <w:spacing w:after="0" w:line="240" w:lineRule="auto"/>
              <w:ind w:left="18"/>
              <w:jc w:val="center"/>
              <w:rPr>
                <w:rFonts w:ascii="Times New Roman" w:hAnsi="Times New Roman" w:cs="Times New Roman"/>
                <w:sz w:val="20"/>
                <w:szCs w:val="20"/>
              </w:rPr>
            </w:pPr>
            <w:r w:rsidRPr="00835820">
              <w:rPr>
                <w:rFonts w:ascii="Times New Roman" w:hAnsi="Times New Roman" w:cs="Times New Roman"/>
                <w:sz w:val="20"/>
                <w:szCs w:val="20"/>
              </w:rPr>
              <w:t>0</w:t>
            </w:r>
          </w:p>
        </w:tc>
        <w:tc>
          <w:tcPr>
            <w:tcW w:w="1261" w:type="dxa"/>
            <w:vAlign w:val="center"/>
          </w:tcPr>
          <w:p w:rsidR="00900B2C" w:rsidRPr="00835820" w:rsidP="00E6210A" w14:paraId="38E9410B" w14:textId="77777777">
            <w:pPr>
              <w:keepNext/>
              <w:keepLines/>
              <w:spacing w:after="0" w:line="240" w:lineRule="auto"/>
              <w:ind w:left="131" w:right="111"/>
              <w:jc w:val="center"/>
              <w:rPr>
                <w:rFonts w:ascii="Times New Roman" w:hAnsi="Times New Roman" w:cs="Times New Roman"/>
                <w:sz w:val="20"/>
                <w:szCs w:val="20"/>
              </w:rPr>
            </w:pPr>
            <w:r w:rsidRPr="00835820">
              <w:rPr>
                <w:rFonts w:ascii="Times New Roman" w:hAnsi="Times New Roman" w:cs="Times New Roman"/>
                <w:color w:val="000000"/>
                <w:sz w:val="20"/>
                <w:szCs w:val="20"/>
              </w:rPr>
              <w:t>$7</w:t>
            </w:r>
            <w:r w:rsidR="00884D4E">
              <w:rPr>
                <w:rFonts w:ascii="Times New Roman" w:hAnsi="Times New Roman" w:cs="Times New Roman"/>
                <w:color w:val="000000"/>
                <w:sz w:val="20"/>
                <w:szCs w:val="20"/>
              </w:rPr>
              <w:t>3,</w:t>
            </w:r>
            <w:r w:rsidR="009A701E">
              <w:rPr>
                <w:rFonts w:ascii="Times New Roman" w:hAnsi="Times New Roman" w:cs="Times New Roman"/>
                <w:color w:val="000000"/>
                <w:sz w:val="20"/>
                <w:szCs w:val="20"/>
              </w:rPr>
              <w:t>149</w:t>
            </w:r>
          </w:p>
        </w:tc>
      </w:tr>
      <w:tr w14:paraId="0A5BA668" w14:textId="77777777" w:rsidTr="00E6210A">
        <w:tblPrEx>
          <w:tblW w:w="8539" w:type="dxa"/>
          <w:jc w:val="center"/>
          <w:tblLayout w:type="fixed"/>
          <w:tblCellMar>
            <w:left w:w="0" w:type="dxa"/>
            <w:right w:w="0" w:type="dxa"/>
          </w:tblCellMar>
          <w:tblLook w:val="01E0"/>
        </w:tblPrEx>
        <w:trPr>
          <w:trHeight w:val="272"/>
          <w:jc w:val="center"/>
        </w:trPr>
        <w:tc>
          <w:tcPr>
            <w:tcW w:w="1526" w:type="dxa"/>
            <w:vAlign w:val="center"/>
          </w:tcPr>
          <w:p w:rsidR="00900B2C" w:rsidRPr="00835820" w:rsidP="00E6210A" w14:paraId="7A8E6259" w14:textId="77777777">
            <w:pPr>
              <w:keepNext/>
              <w:keepLines/>
              <w:spacing w:after="0" w:line="240" w:lineRule="auto"/>
              <w:ind w:left="107"/>
              <w:rPr>
                <w:rFonts w:ascii="Times New Roman" w:hAnsi="Times New Roman" w:cs="Times New Roman"/>
                <w:sz w:val="20"/>
                <w:szCs w:val="20"/>
              </w:rPr>
            </w:pPr>
            <w:r w:rsidRPr="00835820">
              <w:rPr>
                <w:rFonts w:ascii="Times New Roman" w:hAnsi="Times New Roman" w:cs="Times New Roman"/>
                <w:sz w:val="20"/>
                <w:szCs w:val="20"/>
              </w:rPr>
              <w:t>Chemical Manufacturers</w:t>
            </w:r>
          </w:p>
        </w:tc>
        <w:tc>
          <w:tcPr>
            <w:tcW w:w="1169" w:type="dxa"/>
            <w:vAlign w:val="center"/>
          </w:tcPr>
          <w:p w:rsidR="00900B2C" w:rsidRPr="00835820" w:rsidP="00E6210A" w14:paraId="435FF5DB" w14:textId="77777777">
            <w:pPr>
              <w:keepNext/>
              <w:keepLines/>
              <w:spacing w:after="0" w:line="240" w:lineRule="auto"/>
              <w:ind w:left="94" w:right="119"/>
              <w:jc w:val="center"/>
              <w:rPr>
                <w:rFonts w:ascii="Times New Roman" w:hAnsi="Times New Roman" w:cs="Times New Roman"/>
                <w:sz w:val="20"/>
                <w:szCs w:val="20"/>
              </w:rPr>
            </w:pPr>
            <w:r>
              <w:rPr>
                <w:rFonts w:ascii="Times New Roman" w:hAnsi="Times New Roman" w:cs="Times New Roman"/>
                <w:sz w:val="20"/>
                <w:szCs w:val="20"/>
              </w:rPr>
              <w:t xml:space="preserve"> </w:t>
            </w:r>
            <w:r w:rsidRPr="00835820">
              <w:rPr>
                <w:rFonts w:ascii="Times New Roman" w:hAnsi="Times New Roman" w:cs="Times New Roman"/>
                <w:sz w:val="20"/>
                <w:szCs w:val="20"/>
              </w:rPr>
              <w:t>20</w:t>
            </w:r>
          </w:p>
        </w:tc>
        <w:tc>
          <w:tcPr>
            <w:tcW w:w="1170" w:type="dxa"/>
            <w:vAlign w:val="center"/>
          </w:tcPr>
          <w:p w:rsidR="00900B2C" w:rsidRPr="00835820" w:rsidP="00E6210A" w14:paraId="5367A069" w14:textId="77777777">
            <w:pPr>
              <w:keepNext/>
              <w:keepLines/>
              <w:spacing w:after="0" w:line="240" w:lineRule="auto"/>
              <w:ind w:left="94" w:right="112"/>
              <w:jc w:val="center"/>
              <w:rPr>
                <w:rFonts w:ascii="Times New Roman" w:hAnsi="Times New Roman" w:cs="Times New Roman"/>
                <w:sz w:val="20"/>
                <w:szCs w:val="20"/>
              </w:rPr>
            </w:pPr>
            <w:r w:rsidRPr="00835820">
              <w:rPr>
                <w:rFonts w:ascii="Times New Roman" w:hAnsi="Times New Roman" w:cs="Times New Roman"/>
                <w:sz w:val="20"/>
                <w:szCs w:val="20"/>
              </w:rPr>
              <w:t>0.5</w:t>
            </w:r>
          </w:p>
        </w:tc>
        <w:tc>
          <w:tcPr>
            <w:tcW w:w="1170" w:type="dxa"/>
            <w:gridSpan w:val="2"/>
            <w:vAlign w:val="center"/>
          </w:tcPr>
          <w:p w:rsidR="00900B2C" w:rsidRPr="00835820" w:rsidP="00E6210A" w14:paraId="4981AB6B" w14:textId="77777777">
            <w:pPr>
              <w:keepNext/>
              <w:keepLines/>
              <w:spacing w:after="0" w:line="240" w:lineRule="auto"/>
              <w:ind w:left="94" w:right="34"/>
              <w:jc w:val="center"/>
              <w:rPr>
                <w:rFonts w:ascii="Times New Roman" w:hAnsi="Times New Roman" w:cs="Times New Roman"/>
                <w:sz w:val="20"/>
                <w:szCs w:val="20"/>
              </w:rPr>
            </w:pPr>
            <w:r w:rsidRPr="00835820">
              <w:rPr>
                <w:rFonts w:ascii="Times New Roman" w:hAnsi="Times New Roman" w:cs="Times New Roman"/>
                <w:sz w:val="20"/>
                <w:szCs w:val="20"/>
              </w:rPr>
              <w:t>3.5</w:t>
            </w:r>
          </w:p>
        </w:tc>
        <w:tc>
          <w:tcPr>
            <w:tcW w:w="1080" w:type="dxa"/>
            <w:vAlign w:val="center"/>
          </w:tcPr>
          <w:p w:rsidR="00900B2C" w:rsidRPr="00835820" w:rsidP="00E6210A" w14:paraId="0E9A0875" w14:textId="77777777">
            <w:pPr>
              <w:keepNext/>
              <w:keepLines/>
              <w:spacing w:after="0" w:line="240" w:lineRule="auto"/>
              <w:ind w:left="94" w:right="79"/>
              <w:jc w:val="center"/>
              <w:rPr>
                <w:rFonts w:ascii="Times New Roman" w:hAnsi="Times New Roman" w:cs="Times New Roman"/>
                <w:sz w:val="20"/>
                <w:szCs w:val="20"/>
              </w:rPr>
            </w:pPr>
            <w:r w:rsidRPr="00835820">
              <w:rPr>
                <w:rFonts w:ascii="Times New Roman" w:hAnsi="Times New Roman" w:cs="Times New Roman"/>
                <w:sz w:val="20"/>
                <w:szCs w:val="20"/>
              </w:rPr>
              <w:t>82.5</w:t>
            </w:r>
          </w:p>
        </w:tc>
        <w:tc>
          <w:tcPr>
            <w:tcW w:w="1163" w:type="dxa"/>
            <w:vAlign w:val="center"/>
          </w:tcPr>
          <w:p w:rsidR="00900B2C" w:rsidRPr="00835820" w:rsidP="00E6210A" w14:paraId="46432926" w14:textId="77777777">
            <w:pPr>
              <w:keepNext/>
              <w:keepLines/>
              <w:spacing w:after="0" w:line="240" w:lineRule="auto"/>
              <w:ind w:left="94" w:right="111"/>
              <w:jc w:val="center"/>
              <w:rPr>
                <w:rFonts w:ascii="Times New Roman" w:hAnsi="Times New Roman" w:cs="Times New Roman"/>
                <w:sz w:val="20"/>
                <w:szCs w:val="20"/>
              </w:rPr>
            </w:pPr>
            <w:r w:rsidRPr="00835820">
              <w:rPr>
                <w:rFonts w:ascii="Times New Roman" w:hAnsi="Times New Roman" w:cs="Times New Roman"/>
                <w:sz w:val="20"/>
                <w:szCs w:val="20"/>
              </w:rPr>
              <w:t>23.5</w:t>
            </w:r>
          </w:p>
        </w:tc>
        <w:tc>
          <w:tcPr>
            <w:tcW w:w="1261" w:type="dxa"/>
            <w:vAlign w:val="center"/>
          </w:tcPr>
          <w:p w:rsidR="00900B2C" w:rsidRPr="00835820" w:rsidP="00E6210A" w14:paraId="198E7CEF" w14:textId="77777777">
            <w:pPr>
              <w:keepNext/>
              <w:keepLines/>
              <w:spacing w:after="0" w:line="240" w:lineRule="auto"/>
              <w:ind w:left="94" w:right="111"/>
              <w:jc w:val="center"/>
              <w:rPr>
                <w:rFonts w:ascii="Times New Roman" w:hAnsi="Times New Roman" w:cs="Times New Roman"/>
                <w:sz w:val="20"/>
                <w:szCs w:val="20"/>
              </w:rPr>
            </w:pPr>
            <w:r w:rsidRPr="00835820">
              <w:rPr>
                <w:rFonts w:ascii="Times New Roman" w:hAnsi="Times New Roman" w:cs="Times New Roman"/>
                <w:color w:val="000000"/>
                <w:sz w:val="20"/>
                <w:szCs w:val="20"/>
              </w:rPr>
              <w:t>$13,</w:t>
            </w:r>
            <w:r w:rsidR="007C00A4">
              <w:rPr>
                <w:rFonts w:ascii="Times New Roman" w:hAnsi="Times New Roman" w:cs="Times New Roman"/>
                <w:color w:val="000000"/>
                <w:sz w:val="20"/>
                <w:szCs w:val="20"/>
              </w:rPr>
              <w:t>284</w:t>
            </w:r>
          </w:p>
        </w:tc>
      </w:tr>
      <w:tr w14:paraId="6B1AA0EB" w14:textId="77777777" w:rsidTr="00E6210A">
        <w:tblPrEx>
          <w:tblW w:w="8539" w:type="dxa"/>
          <w:jc w:val="center"/>
          <w:tblLayout w:type="fixed"/>
          <w:tblCellMar>
            <w:left w:w="0" w:type="dxa"/>
            <w:right w:w="0" w:type="dxa"/>
          </w:tblCellMar>
          <w:tblLook w:val="01E0"/>
        </w:tblPrEx>
        <w:trPr>
          <w:trHeight w:val="299"/>
          <w:jc w:val="center"/>
        </w:trPr>
        <w:tc>
          <w:tcPr>
            <w:tcW w:w="4446" w:type="dxa"/>
            <w:gridSpan w:val="4"/>
            <w:shd w:val="clear" w:color="auto" w:fill="D9D9D9"/>
            <w:vAlign w:val="center"/>
          </w:tcPr>
          <w:p w:rsidR="00900B2C" w:rsidRPr="00835820" w:rsidP="00E6210A" w14:paraId="790BA57D" w14:textId="77777777">
            <w:pPr>
              <w:keepNext/>
              <w:keepLines/>
              <w:spacing w:after="0" w:line="240" w:lineRule="auto"/>
              <w:ind w:left="2039" w:right="129" w:hanging="1949"/>
              <w:jc w:val="center"/>
              <w:rPr>
                <w:rFonts w:ascii="Times New Roman" w:hAnsi="Times New Roman" w:cs="Times New Roman"/>
                <w:b/>
                <w:sz w:val="20"/>
                <w:szCs w:val="20"/>
              </w:rPr>
            </w:pPr>
            <w:r w:rsidRPr="00835820">
              <w:rPr>
                <w:rFonts w:ascii="Times New Roman" w:hAnsi="Times New Roman" w:cs="Times New Roman"/>
                <w:b/>
                <w:sz w:val="20"/>
                <w:szCs w:val="20"/>
              </w:rPr>
              <w:t>Sector</w:t>
            </w:r>
          </w:p>
        </w:tc>
        <w:tc>
          <w:tcPr>
            <w:tcW w:w="4093" w:type="dxa"/>
            <w:gridSpan w:val="4"/>
            <w:shd w:val="clear" w:color="auto" w:fill="D9D9D9"/>
            <w:vAlign w:val="center"/>
          </w:tcPr>
          <w:p w:rsidR="00900B2C" w:rsidRPr="00835820" w:rsidP="00E6210A" w14:paraId="4ED8B813" w14:textId="77777777">
            <w:pPr>
              <w:keepNext/>
              <w:keepLines/>
              <w:spacing w:after="0" w:line="240" w:lineRule="auto"/>
              <w:ind w:left="89" w:right="87"/>
              <w:jc w:val="center"/>
              <w:rPr>
                <w:rFonts w:ascii="Times New Roman" w:hAnsi="Times New Roman" w:cs="Times New Roman"/>
                <w:b/>
                <w:sz w:val="20"/>
                <w:szCs w:val="20"/>
              </w:rPr>
            </w:pPr>
            <w:r w:rsidRPr="00835820">
              <w:rPr>
                <w:rFonts w:ascii="Times New Roman" w:hAnsi="Times New Roman" w:cs="Times New Roman"/>
                <w:b/>
                <w:sz w:val="20"/>
                <w:szCs w:val="20"/>
              </w:rPr>
              <w:t>Facility Cost</w:t>
            </w:r>
          </w:p>
        </w:tc>
      </w:tr>
      <w:tr w14:paraId="414631D7" w14:textId="77777777" w:rsidTr="00E6210A">
        <w:tblPrEx>
          <w:tblW w:w="8539" w:type="dxa"/>
          <w:jc w:val="center"/>
          <w:tblLayout w:type="fixed"/>
          <w:tblCellMar>
            <w:left w:w="0" w:type="dxa"/>
            <w:right w:w="0" w:type="dxa"/>
          </w:tblCellMar>
          <w:tblLook w:val="01E0"/>
        </w:tblPrEx>
        <w:trPr>
          <w:trHeight w:val="299"/>
          <w:jc w:val="center"/>
        </w:trPr>
        <w:tc>
          <w:tcPr>
            <w:tcW w:w="8539" w:type="dxa"/>
            <w:gridSpan w:val="8"/>
            <w:shd w:val="clear" w:color="auto" w:fill="F1F1F1"/>
            <w:vAlign w:val="center"/>
          </w:tcPr>
          <w:p w:rsidR="00900B2C" w:rsidRPr="00835820" w:rsidP="00E6210A" w14:paraId="779C4669" w14:textId="77777777">
            <w:pPr>
              <w:keepNext/>
              <w:keepLines/>
              <w:spacing w:after="0" w:line="240" w:lineRule="auto"/>
              <w:ind w:left="8360" w:right="84" w:hanging="8270"/>
              <w:jc w:val="center"/>
              <w:rPr>
                <w:rFonts w:ascii="Times New Roman" w:hAnsi="Times New Roman" w:cs="Times New Roman"/>
                <w:b/>
                <w:sz w:val="20"/>
                <w:szCs w:val="20"/>
              </w:rPr>
            </w:pPr>
            <w:r w:rsidRPr="00835820">
              <w:rPr>
                <w:rFonts w:ascii="Times New Roman" w:hAnsi="Times New Roman" w:cs="Times New Roman"/>
                <w:b/>
                <w:sz w:val="20"/>
                <w:szCs w:val="20"/>
              </w:rPr>
              <w:t xml:space="preserve">Practicability </w:t>
            </w:r>
            <w:r w:rsidR="00B603D4">
              <w:rPr>
                <w:rFonts w:ascii="Times New Roman" w:hAnsi="Times New Roman" w:cs="Times New Roman"/>
                <w:b/>
                <w:sz w:val="20"/>
                <w:szCs w:val="20"/>
              </w:rPr>
              <w:t>Assessment</w:t>
            </w:r>
          </w:p>
        </w:tc>
      </w:tr>
      <w:tr w14:paraId="39125582" w14:textId="77777777" w:rsidTr="00E6210A">
        <w:tblPrEx>
          <w:tblW w:w="8539" w:type="dxa"/>
          <w:jc w:val="center"/>
          <w:tblLayout w:type="fixed"/>
          <w:tblCellMar>
            <w:left w:w="0" w:type="dxa"/>
            <w:right w:w="0" w:type="dxa"/>
          </w:tblCellMar>
          <w:tblLook w:val="01E0"/>
        </w:tblPrEx>
        <w:trPr>
          <w:trHeight w:val="345"/>
          <w:jc w:val="center"/>
        </w:trPr>
        <w:tc>
          <w:tcPr>
            <w:tcW w:w="4446" w:type="dxa"/>
            <w:gridSpan w:val="4"/>
            <w:vAlign w:val="center"/>
          </w:tcPr>
          <w:p w:rsidR="00900B2C" w:rsidRPr="00835820" w:rsidP="00E6210A" w14:paraId="3CF2DD26" w14:textId="77777777">
            <w:pPr>
              <w:keepNext/>
              <w:keepLines/>
              <w:spacing w:after="0" w:line="240" w:lineRule="auto"/>
              <w:ind w:left="107"/>
              <w:jc w:val="center"/>
              <w:rPr>
                <w:rFonts w:ascii="Times New Roman" w:hAnsi="Times New Roman" w:cs="Times New Roman"/>
                <w:sz w:val="20"/>
                <w:szCs w:val="20"/>
              </w:rPr>
            </w:pPr>
            <w:r w:rsidRPr="00835820">
              <w:rPr>
                <w:rFonts w:ascii="Times New Roman" w:hAnsi="Times New Roman" w:cs="Times New Roman"/>
                <w:sz w:val="20"/>
                <w:szCs w:val="20"/>
              </w:rPr>
              <w:t>Refineries</w:t>
            </w:r>
            <w:r w:rsidR="00C25B46">
              <w:rPr>
                <w:rFonts w:ascii="Times New Roman" w:hAnsi="Times New Roman" w:cs="Times New Roman"/>
                <w:sz w:val="20"/>
                <w:szCs w:val="20"/>
              </w:rPr>
              <w:t xml:space="preserve"> – HF</w:t>
            </w:r>
          </w:p>
        </w:tc>
        <w:tc>
          <w:tcPr>
            <w:tcW w:w="4093" w:type="dxa"/>
            <w:gridSpan w:val="4"/>
            <w:vAlign w:val="center"/>
          </w:tcPr>
          <w:p w:rsidR="00900B2C" w:rsidRPr="00835820" w:rsidP="00E6210A" w14:paraId="4C1ABEB0" w14:textId="77777777">
            <w:pPr>
              <w:keepNext/>
              <w:keepLines/>
              <w:spacing w:after="0" w:line="240" w:lineRule="auto"/>
              <w:ind w:left="1889" w:right="-6" w:hanging="1797"/>
              <w:jc w:val="center"/>
              <w:rPr>
                <w:rFonts w:ascii="Times New Roman" w:hAnsi="Times New Roman" w:cs="Times New Roman"/>
                <w:sz w:val="20"/>
                <w:szCs w:val="20"/>
              </w:rPr>
            </w:pPr>
            <w:r w:rsidRPr="00835820">
              <w:rPr>
                <w:rFonts w:ascii="Times New Roman" w:hAnsi="Times New Roman" w:cs="Times New Roman"/>
                <w:sz w:val="20"/>
                <w:szCs w:val="20"/>
              </w:rPr>
              <w:t>$</w:t>
            </w:r>
            <w:r w:rsidR="00722470">
              <w:rPr>
                <w:rFonts w:ascii="Times New Roman" w:hAnsi="Times New Roman" w:cs="Times New Roman"/>
                <w:sz w:val="20"/>
                <w:szCs w:val="20"/>
              </w:rPr>
              <w:t>4,3</w:t>
            </w:r>
            <w:r w:rsidR="003913B1">
              <w:rPr>
                <w:rFonts w:ascii="Times New Roman" w:hAnsi="Times New Roman" w:cs="Times New Roman"/>
                <w:sz w:val="20"/>
                <w:szCs w:val="20"/>
              </w:rPr>
              <w:t>90</w:t>
            </w:r>
            <w:r w:rsidR="00173B27">
              <w:rPr>
                <w:rFonts w:ascii="Times New Roman" w:hAnsi="Times New Roman" w:cs="Times New Roman"/>
                <w:sz w:val="20"/>
                <w:szCs w:val="20"/>
              </w:rPr>
              <w:t>,67</w:t>
            </w:r>
            <w:r w:rsidR="00CA354C">
              <w:rPr>
                <w:rFonts w:ascii="Times New Roman" w:hAnsi="Times New Roman" w:cs="Times New Roman"/>
                <w:sz w:val="20"/>
                <w:szCs w:val="20"/>
              </w:rPr>
              <w:t>4</w:t>
            </w:r>
          </w:p>
        </w:tc>
      </w:tr>
      <w:tr w14:paraId="56D3CD4A" w14:textId="77777777" w:rsidTr="00E6210A">
        <w:tblPrEx>
          <w:tblW w:w="8539" w:type="dxa"/>
          <w:jc w:val="center"/>
          <w:tblLayout w:type="fixed"/>
          <w:tblCellMar>
            <w:left w:w="0" w:type="dxa"/>
            <w:right w:w="0" w:type="dxa"/>
          </w:tblCellMar>
          <w:tblLook w:val="01E0"/>
        </w:tblPrEx>
        <w:trPr>
          <w:trHeight w:val="345"/>
          <w:jc w:val="center"/>
        </w:trPr>
        <w:tc>
          <w:tcPr>
            <w:tcW w:w="4446" w:type="dxa"/>
            <w:gridSpan w:val="4"/>
            <w:vAlign w:val="center"/>
          </w:tcPr>
          <w:p w:rsidR="00C25B46" w:rsidRPr="00835820" w:rsidP="00E6210A" w14:paraId="0F672177" w14:textId="77777777">
            <w:pPr>
              <w:keepNext/>
              <w:keepLines/>
              <w:spacing w:after="0" w:line="240" w:lineRule="auto"/>
              <w:ind w:left="107"/>
              <w:jc w:val="center"/>
              <w:rPr>
                <w:rFonts w:ascii="Times New Roman" w:hAnsi="Times New Roman" w:cs="Times New Roman"/>
                <w:sz w:val="20"/>
                <w:szCs w:val="20"/>
              </w:rPr>
            </w:pPr>
            <w:r>
              <w:rPr>
                <w:rFonts w:ascii="Times New Roman" w:hAnsi="Times New Roman" w:cs="Times New Roman"/>
                <w:sz w:val="20"/>
                <w:szCs w:val="20"/>
              </w:rPr>
              <w:t>Refineries – Non-HF</w:t>
            </w:r>
          </w:p>
        </w:tc>
        <w:tc>
          <w:tcPr>
            <w:tcW w:w="4093" w:type="dxa"/>
            <w:gridSpan w:val="4"/>
            <w:vAlign w:val="center"/>
          </w:tcPr>
          <w:p w:rsidR="00C25B46" w:rsidRPr="00835820" w:rsidP="00E6210A" w14:paraId="027B7F6B" w14:textId="77777777">
            <w:pPr>
              <w:keepNext/>
              <w:keepLines/>
              <w:spacing w:after="0" w:line="240" w:lineRule="auto"/>
              <w:ind w:left="1889" w:right="-6" w:hanging="1797"/>
              <w:jc w:val="center"/>
              <w:rPr>
                <w:rFonts w:ascii="Times New Roman" w:hAnsi="Times New Roman" w:cs="Times New Roman"/>
                <w:sz w:val="20"/>
                <w:szCs w:val="20"/>
              </w:rPr>
            </w:pPr>
            <w:r>
              <w:rPr>
                <w:rFonts w:ascii="Times New Roman" w:hAnsi="Times New Roman" w:cs="Times New Roman"/>
                <w:sz w:val="20"/>
                <w:szCs w:val="20"/>
              </w:rPr>
              <w:t>$306</w:t>
            </w:r>
            <w:r w:rsidR="007B09DB">
              <w:rPr>
                <w:rFonts w:ascii="Times New Roman" w:hAnsi="Times New Roman" w:cs="Times New Roman"/>
                <w:sz w:val="20"/>
                <w:szCs w:val="20"/>
              </w:rPr>
              <w:t>,326</w:t>
            </w:r>
          </w:p>
        </w:tc>
      </w:tr>
      <w:tr w14:paraId="39C417C5" w14:textId="77777777" w:rsidTr="00E6210A">
        <w:tblPrEx>
          <w:tblW w:w="8539" w:type="dxa"/>
          <w:jc w:val="center"/>
          <w:tblLayout w:type="fixed"/>
          <w:tblCellMar>
            <w:left w:w="0" w:type="dxa"/>
            <w:right w:w="0" w:type="dxa"/>
          </w:tblCellMar>
          <w:tblLook w:val="01E0"/>
        </w:tblPrEx>
        <w:trPr>
          <w:trHeight w:val="343"/>
          <w:jc w:val="center"/>
        </w:trPr>
        <w:tc>
          <w:tcPr>
            <w:tcW w:w="4446" w:type="dxa"/>
            <w:gridSpan w:val="4"/>
            <w:vAlign w:val="center"/>
          </w:tcPr>
          <w:p w:rsidR="00900B2C" w:rsidRPr="00835820" w:rsidP="00E6210A" w14:paraId="16776A2D" w14:textId="77777777">
            <w:pPr>
              <w:keepNext/>
              <w:keepLines/>
              <w:spacing w:after="0" w:line="240" w:lineRule="auto"/>
              <w:ind w:left="107"/>
              <w:jc w:val="center"/>
              <w:rPr>
                <w:rFonts w:ascii="Times New Roman" w:hAnsi="Times New Roman" w:cs="Times New Roman"/>
                <w:sz w:val="20"/>
                <w:szCs w:val="20"/>
              </w:rPr>
            </w:pPr>
            <w:r w:rsidRPr="00835820">
              <w:rPr>
                <w:rFonts w:ascii="Times New Roman" w:hAnsi="Times New Roman" w:cs="Times New Roman"/>
                <w:sz w:val="20"/>
                <w:szCs w:val="20"/>
              </w:rPr>
              <w:t>Chemical Manufacturers</w:t>
            </w:r>
          </w:p>
        </w:tc>
        <w:tc>
          <w:tcPr>
            <w:tcW w:w="4093" w:type="dxa"/>
            <w:gridSpan w:val="4"/>
            <w:vAlign w:val="center"/>
          </w:tcPr>
          <w:p w:rsidR="00900B2C" w:rsidRPr="00835820" w:rsidP="00E6210A" w14:paraId="7E31061A" w14:textId="77777777">
            <w:pPr>
              <w:keepNext/>
              <w:keepLines/>
              <w:spacing w:after="0" w:line="240" w:lineRule="auto"/>
              <w:ind w:left="1889" w:right="-6" w:hanging="1797"/>
              <w:jc w:val="center"/>
              <w:rPr>
                <w:rFonts w:ascii="Times New Roman" w:hAnsi="Times New Roman" w:cs="Times New Roman"/>
                <w:sz w:val="20"/>
                <w:szCs w:val="20"/>
              </w:rPr>
            </w:pPr>
            <w:r w:rsidRPr="00835820">
              <w:rPr>
                <w:rFonts w:ascii="Times New Roman" w:hAnsi="Times New Roman" w:cs="Times New Roman"/>
                <w:sz w:val="20"/>
                <w:szCs w:val="20"/>
              </w:rPr>
              <w:t>$3</w:t>
            </w:r>
            <w:r w:rsidR="007C00A4">
              <w:rPr>
                <w:rFonts w:ascii="Times New Roman" w:hAnsi="Times New Roman" w:cs="Times New Roman"/>
                <w:sz w:val="20"/>
                <w:szCs w:val="20"/>
              </w:rPr>
              <w:t>3,550</w:t>
            </w:r>
          </w:p>
        </w:tc>
      </w:tr>
    </w:tbl>
    <w:p w:rsidR="00F068F8" w:rsidP="004D4B61" w14:paraId="32D0B204" w14:textId="77777777">
      <w:pPr>
        <w:keepNext/>
        <w:autoSpaceDE w:val="0"/>
        <w:autoSpaceDN w:val="0"/>
        <w:adjustRightInd w:val="0"/>
        <w:spacing w:after="0" w:line="240" w:lineRule="auto"/>
        <w:rPr>
          <w:rFonts w:ascii="Times New Roman" w:hAnsi="Times New Roman" w:cs="Times New Roman"/>
          <w:i/>
          <w:iCs/>
          <w:color w:val="000000"/>
        </w:rPr>
      </w:pPr>
    </w:p>
    <w:p w:rsidR="0097029E" w:rsidRPr="00771C3E" w:rsidP="00771C3E" w14:paraId="0B4A07F1" w14:textId="77777777">
      <w:pPr>
        <w:pStyle w:val="Heading3"/>
        <w:rPr>
          <w:rFonts w:ascii="Times New Roman" w:hAnsi="Times New Roman" w:cs="Times New Roman"/>
          <w:sz w:val="22"/>
          <w:szCs w:val="22"/>
        </w:rPr>
      </w:pPr>
      <w:bookmarkStart w:id="165" w:name="_Toc141732932"/>
      <w:bookmarkStart w:id="166" w:name="_Toc141733143"/>
      <w:bookmarkStart w:id="167" w:name="_Toc142404047"/>
      <w:bookmarkStart w:id="168" w:name="_Toc144213855"/>
      <w:bookmarkStart w:id="169" w:name="_Toc144283600"/>
      <w:bookmarkStart w:id="170" w:name="_Toc144303538"/>
      <w:r w:rsidRPr="00771C3E">
        <w:rPr>
          <w:rFonts w:ascii="Times New Roman" w:hAnsi="Times New Roman" w:cs="Times New Roman"/>
          <w:sz w:val="22"/>
          <w:szCs w:val="22"/>
        </w:rPr>
        <w:t xml:space="preserve">4.4.2 STAA: Implementation </w:t>
      </w:r>
      <w:r w:rsidRPr="00771C3E" w:rsidR="00F3797F">
        <w:rPr>
          <w:rFonts w:ascii="Times New Roman" w:hAnsi="Times New Roman" w:cs="Times New Roman"/>
          <w:sz w:val="22"/>
          <w:szCs w:val="22"/>
        </w:rPr>
        <w:t>Equivalent</w:t>
      </w:r>
      <w:r w:rsidRPr="00771C3E">
        <w:rPr>
          <w:rFonts w:ascii="Times New Roman" w:hAnsi="Times New Roman" w:cs="Times New Roman"/>
          <w:sz w:val="22"/>
          <w:szCs w:val="22"/>
        </w:rPr>
        <w:t xml:space="preserve"> to Passive Measures</w:t>
      </w:r>
      <w:bookmarkEnd w:id="165"/>
      <w:bookmarkEnd w:id="166"/>
      <w:bookmarkEnd w:id="167"/>
      <w:bookmarkEnd w:id="168"/>
      <w:bookmarkEnd w:id="169"/>
      <w:bookmarkEnd w:id="170"/>
    </w:p>
    <w:p w:rsidR="00907651" w:rsidP="0097029E" w14:paraId="321F5CC7" w14:textId="77777777">
      <w:pPr>
        <w:spacing w:after="0" w:line="240" w:lineRule="auto"/>
        <w:rPr>
          <w:rFonts w:ascii="Times New Roman" w:hAnsi="Times New Roman" w:cs="Times New Roman"/>
          <w:iCs/>
        </w:rPr>
      </w:pPr>
      <w:r>
        <w:rPr>
          <w:rFonts w:ascii="Times New Roman" w:hAnsi="Times New Roman" w:cs="Times New Roman"/>
          <w:iCs/>
        </w:rPr>
        <w:tab/>
      </w:r>
      <w:r w:rsidRPr="000308F2" w:rsidR="000308F2">
        <w:rPr>
          <w:rFonts w:ascii="Times New Roman" w:hAnsi="Times New Roman" w:cs="Times New Roman"/>
          <w:iCs/>
        </w:rPr>
        <w:t xml:space="preserve">This final rule provision </w:t>
      </w:r>
      <w:r w:rsidR="009449B7">
        <w:rPr>
          <w:rFonts w:ascii="Times New Roman" w:hAnsi="Times New Roman" w:cs="Times New Roman"/>
          <w:iCs/>
        </w:rPr>
        <w:t>requires</w:t>
      </w:r>
      <w:r w:rsidRPr="000308F2" w:rsidR="000308F2">
        <w:rPr>
          <w:rFonts w:ascii="Times New Roman" w:hAnsi="Times New Roman" w:cs="Times New Roman"/>
          <w:iCs/>
        </w:rPr>
        <w:t xml:space="preserve"> that facilities with Program 3 </w:t>
      </w:r>
      <w:r w:rsidR="00F94902">
        <w:rPr>
          <w:rFonts w:ascii="Times New Roman" w:hAnsi="Times New Roman" w:cs="Times New Roman"/>
          <w:iCs/>
        </w:rPr>
        <w:t xml:space="preserve">processes in </w:t>
      </w:r>
      <w:r w:rsidRPr="000308F2" w:rsidR="000308F2">
        <w:rPr>
          <w:rFonts w:ascii="Times New Roman" w:hAnsi="Times New Roman" w:cs="Times New Roman"/>
          <w:iCs/>
        </w:rPr>
        <w:t xml:space="preserve">NAICS </w:t>
      </w:r>
      <w:r w:rsidR="00F94902">
        <w:rPr>
          <w:rFonts w:ascii="Times New Roman" w:hAnsi="Times New Roman" w:cs="Times New Roman"/>
          <w:iCs/>
        </w:rPr>
        <w:t>code</w:t>
      </w:r>
      <w:r w:rsidR="000055D1">
        <w:rPr>
          <w:rFonts w:ascii="Times New Roman" w:hAnsi="Times New Roman" w:cs="Times New Roman"/>
          <w:iCs/>
        </w:rPr>
        <w:t>s</w:t>
      </w:r>
      <w:r w:rsidR="00F94902">
        <w:rPr>
          <w:rFonts w:ascii="Times New Roman" w:hAnsi="Times New Roman" w:cs="Times New Roman"/>
          <w:iCs/>
        </w:rPr>
        <w:t xml:space="preserve"> </w:t>
      </w:r>
      <w:r w:rsidRPr="000308F2" w:rsidR="000308F2">
        <w:rPr>
          <w:rFonts w:ascii="Times New Roman" w:hAnsi="Times New Roman" w:cs="Times New Roman"/>
          <w:iCs/>
        </w:rPr>
        <w:t xml:space="preserve">324 or 325 that have </w:t>
      </w:r>
      <w:r w:rsidR="000055D1">
        <w:rPr>
          <w:rFonts w:ascii="Times New Roman" w:hAnsi="Times New Roman" w:cs="Times New Roman"/>
          <w:iCs/>
        </w:rPr>
        <w:t xml:space="preserve">had </w:t>
      </w:r>
      <w:r w:rsidRPr="000308F2" w:rsidR="000308F2">
        <w:rPr>
          <w:rFonts w:ascii="Times New Roman" w:hAnsi="Times New Roman" w:cs="Times New Roman"/>
          <w:iCs/>
        </w:rPr>
        <w:t>an accident</w:t>
      </w:r>
      <w:r w:rsidR="00447C29">
        <w:rPr>
          <w:rFonts w:ascii="Times New Roman" w:hAnsi="Times New Roman" w:cs="Times New Roman"/>
          <w:iCs/>
        </w:rPr>
        <w:t xml:space="preserve"> since their most recent PHA</w:t>
      </w:r>
      <w:r w:rsidRPr="000308F2" w:rsidR="000308F2">
        <w:rPr>
          <w:rFonts w:ascii="Times New Roman" w:hAnsi="Times New Roman" w:cs="Times New Roman"/>
          <w:iCs/>
        </w:rPr>
        <w:t>, have an HF unit in a 324 process, or are within 1 mile of another 324 or 325 facility</w:t>
      </w:r>
      <w:r w:rsidR="000055D1">
        <w:rPr>
          <w:rFonts w:ascii="Times New Roman" w:hAnsi="Times New Roman" w:cs="Times New Roman"/>
          <w:iCs/>
        </w:rPr>
        <w:t>,</w:t>
      </w:r>
      <w:r w:rsidRPr="000308F2" w:rsidR="000308F2">
        <w:rPr>
          <w:rFonts w:ascii="Times New Roman" w:hAnsi="Times New Roman" w:cs="Times New Roman"/>
          <w:iCs/>
        </w:rPr>
        <w:t xml:space="preserve"> implement a measure </w:t>
      </w:r>
      <w:r w:rsidR="00036B60">
        <w:rPr>
          <w:rFonts w:ascii="Times New Roman" w:hAnsi="Times New Roman" w:cs="Times New Roman"/>
          <w:iCs/>
        </w:rPr>
        <w:t>(IST</w:t>
      </w:r>
      <w:r w:rsidR="00F73860">
        <w:rPr>
          <w:rFonts w:ascii="Times New Roman" w:hAnsi="Times New Roman" w:cs="Times New Roman"/>
          <w:iCs/>
        </w:rPr>
        <w:t>/ISD</w:t>
      </w:r>
      <w:r w:rsidR="00036B60">
        <w:rPr>
          <w:rFonts w:ascii="Times New Roman" w:hAnsi="Times New Roman" w:cs="Times New Roman"/>
          <w:iCs/>
        </w:rPr>
        <w:t>, passive, active, or procedural)</w:t>
      </w:r>
      <w:r w:rsidRPr="000308F2" w:rsidR="000308F2">
        <w:rPr>
          <w:rFonts w:ascii="Times New Roman" w:hAnsi="Times New Roman" w:cs="Times New Roman"/>
          <w:iCs/>
        </w:rPr>
        <w:t xml:space="preserve"> or combination of measures </w:t>
      </w:r>
      <w:r w:rsidR="00036B60">
        <w:rPr>
          <w:rFonts w:ascii="Times New Roman" w:hAnsi="Times New Roman" w:cs="Times New Roman"/>
          <w:iCs/>
        </w:rPr>
        <w:t>(IST</w:t>
      </w:r>
      <w:r w:rsidR="00111F19">
        <w:rPr>
          <w:rFonts w:ascii="Times New Roman" w:hAnsi="Times New Roman" w:cs="Times New Roman"/>
          <w:iCs/>
        </w:rPr>
        <w:t>/ISD</w:t>
      </w:r>
      <w:r w:rsidR="00036B60">
        <w:rPr>
          <w:rFonts w:ascii="Times New Roman" w:hAnsi="Times New Roman" w:cs="Times New Roman"/>
          <w:iCs/>
        </w:rPr>
        <w:t xml:space="preserve">, passive, active, and/or procedural) </w:t>
      </w:r>
      <w:r w:rsidR="00447C29">
        <w:rPr>
          <w:rFonts w:ascii="Times New Roman" w:hAnsi="Times New Roman" w:cs="Times New Roman"/>
          <w:iCs/>
        </w:rPr>
        <w:t>reducing risk</w:t>
      </w:r>
      <w:r w:rsidRPr="000308F2" w:rsidR="000308F2">
        <w:rPr>
          <w:rFonts w:ascii="Times New Roman" w:hAnsi="Times New Roman" w:cs="Times New Roman"/>
          <w:iCs/>
        </w:rPr>
        <w:t xml:space="preserve"> at least as much as </w:t>
      </w:r>
      <w:r w:rsidR="00B02C2B">
        <w:rPr>
          <w:rFonts w:ascii="Times New Roman" w:hAnsi="Times New Roman" w:cs="Times New Roman"/>
          <w:iCs/>
        </w:rPr>
        <w:t xml:space="preserve">would </w:t>
      </w:r>
      <w:r w:rsidRPr="000308F2" w:rsidR="000308F2">
        <w:rPr>
          <w:rFonts w:ascii="Times New Roman" w:hAnsi="Times New Roman" w:cs="Times New Roman"/>
          <w:iCs/>
        </w:rPr>
        <w:t>a passive measure identified as practicable in the facility’s STAA. If the facility identifie</w:t>
      </w:r>
      <w:r w:rsidR="00C50167">
        <w:rPr>
          <w:rFonts w:ascii="Times New Roman" w:hAnsi="Times New Roman" w:cs="Times New Roman"/>
          <w:iCs/>
        </w:rPr>
        <w:t>s</w:t>
      </w:r>
      <w:r w:rsidRPr="000308F2" w:rsidR="000308F2">
        <w:rPr>
          <w:rFonts w:ascii="Times New Roman" w:hAnsi="Times New Roman" w:cs="Times New Roman"/>
          <w:iCs/>
        </w:rPr>
        <w:t xml:space="preserve"> no practicable passive measures, then it must implement a measure or set of measures </w:t>
      </w:r>
      <w:r w:rsidR="00447C29">
        <w:rPr>
          <w:rFonts w:ascii="Times New Roman" w:hAnsi="Times New Roman" w:cs="Times New Roman"/>
          <w:iCs/>
        </w:rPr>
        <w:t>reducing risk</w:t>
      </w:r>
      <w:r w:rsidRPr="000308F2" w:rsidR="000308F2">
        <w:rPr>
          <w:rFonts w:ascii="Times New Roman" w:hAnsi="Times New Roman" w:cs="Times New Roman"/>
          <w:iCs/>
        </w:rPr>
        <w:t xml:space="preserve"> at least as much as </w:t>
      </w:r>
      <w:r w:rsidR="00A8027D">
        <w:rPr>
          <w:rFonts w:ascii="Times New Roman" w:hAnsi="Times New Roman" w:cs="Times New Roman"/>
          <w:iCs/>
        </w:rPr>
        <w:t xml:space="preserve">would </w:t>
      </w:r>
      <w:r w:rsidRPr="000308F2" w:rsidR="000308F2">
        <w:rPr>
          <w:rFonts w:ascii="Times New Roman" w:hAnsi="Times New Roman" w:cs="Times New Roman"/>
          <w:iCs/>
        </w:rPr>
        <w:t>an active measure identified as practicable. If the facility identifie</w:t>
      </w:r>
      <w:r w:rsidR="00C50167">
        <w:rPr>
          <w:rFonts w:ascii="Times New Roman" w:hAnsi="Times New Roman" w:cs="Times New Roman"/>
          <w:iCs/>
        </w:rPr>
        <w:t>s</w:t>
      </w:r>
      <w:r w:rsidRPr="000308F2" w:rsidR="000308F2">
        <w:rPr>
          <w:rFonts w:ascii="Times New Roman" w:hAnsi="Times New Roman" w:cs="Times New Roman"/>
          <w:iCs/>
        </w:rPr>
        <w:t xml:space="preserve"> no practicable active measures, then it must implement a measure or set of measures </w:t>
      </w:r>
      <w:r w:rsidR="00447C29">
        <w:rPr>
          <w:rFonts w:ascii="Times New Roman" w:hAnsi="Times New Roman" w:cs="Times New Roman"/>
          <w:iCs/>
        </w:rPr>
        <w:t>reducing risk</w:t>
      </w:r>
      <w:r w:rsidRPr="000308F2" w:rsidR="000308F2">
        <w:rPr>
          <w:rFonts w:ascii="Times New Roman" w:hAnsi="Times New Roman" w:cs="Times New Roman"/>
          <w:iCs/>
        </w:rPr>
        <w:t xml:space="preserve"> at least as much as </w:t>
      </w:r>
      <w:r w:rsidR="00A8027D">
        <w:rPr>
          <w:rFonts w:ascii="Times New Roman" w:hAnsi="Times New Roman" w:cs="Times New Roman"/>
          <w:iCs/>
        </w:rPr>
        <w:t xml:space="preserve">would </w:t>
      </w:r>
      <w:r w:rsidRPr="000308F2" w:rsidR="000308F2">
        <w:rPr>
          <w:rFonts w:ascii="Times New Roman" w:hAnsi="Times New Roman" w:cs="Times New Roman"/>
          <w:iCs/>
        </w:rPr>
        <w:t>a procedural measure identified as practicable.</w:t>
      </w:r>
    </w:p>
    <w:p w:rsidR="002F1387" w:rsidP="0097029E" w14:paraId="783708EB" w14:textId="77777777">
      <w:pPr>
        <w:spacing w:after="0" w:line="240" w:lineRule="auto"/>
        <w:rPr>
          <w:rFonts w:ascii="Times New Roman" w:hAnsi="Times New Roman" w:cs="Times New Roman"/>
          <w:iCs/>
        </w:rPr>
      </w:pPr>
      <w:r>
        <w:rPr>
          <w:rFonts w:ascii="Times New Roman" w:hAnsi="Times New Roman" w:cs="Times New Roman"/>
          <w:iCs/>
        </w:rPr>
        <w:tab/>
      </w:r>
    </w:p>
    <w:p w:rsidR="00C758B9" w14:paraId="725E1C46" w14:textId="77777777">
      <w:pPr>
        <w:spacing w:after="0" w:line="240" w:lineRule="auto"/>
        <w:ind w:firstLine="720"/>
        <w:rPr>
          <w:rFonts w:ascii="Times New Roman" w:hAnsi="Times New Roman" w:cs="Times New Roman"/>
          <w:iCs/>
        </w:rPr>
      </w:pPr>
      <w:r>
        <w:rPr>
          <w:rFonts w:ascii="Times New Roman" w:hAnsi="Times New Roman" w:cs="Times New Roman"/>
          <w:iCs/>
        </w:rPr>
        <w:t xml:space="preserve">The cost of implementing </w:t>
      </w:r>
      <w:r w:rsidR="001C1996">
        <w:rPr>
          <w:rFonts w:ascii="Times New Roman" w:hAnsi="Times New Roman" w:cs="Times New Roman"/>
          <w:iCs/>
        </w:rPr>
        <w:t>risk</w:t>
      </w:r>
      <w:r w:rsidR="00C50167">
        <w:rPr>
          <w:rFonts w:ascii="Times New Roman" w:hAnsi="Times New Roman" w:cs="Times New Roman"/>
          <w:iCs/>
        </w:rPr>
        <w:t xml:space="preserve"> </w:t>
      </w:r>
      <w:r w:rsidR="00681B80">
        <w:rPr>
          <w:rFonts w:ascii="Times New Roman" w:hAnsi="Times New Roman" w:cs="Times New Roman"/>
          <w:iCs/>
        </w:rPr>
        <w:t>reduction</w:t>
      </w:r>
      <w:r>
        <w:rPr>
          <w:rFonts w:ascii="Times New Roman" w:hAnsi="Times New Roman" w:cs="Times New Roman"/>
          <w:iCs/>
        </w:rPr>
        <w:t xml:space="preserve"> measures var</w:t>
      </w:r>
      <w:r w:rsidR="004E7546">
        <w:rPr>
          <w:rFonts w:ascii="Times New Roman" w:hAnsi="Times New Roman" w:cs="Times New Roman"/>
          <w:iCs/>
        </w:rPr>
        <w:t>ies</w:t>
      </w:r>
      <w:r>
        <w:rPr>
          <w:rFonts w:ascii="Times New Roman" w:hAnsi="Times New Roman" w:cs="Times New Roman"/>
          <w:iCs/>
        </w:rPr>
        <w:t xml:space="preserve"> widely depending on the specific measure and facility.</w:t>
      </w:r>
      <w:r w:rsidR="00A84C23">
        <w:rPr>
          <w:rFonts w:ascii="Times New Roman" w:hAnsi="Times New Roman" w:cs="Times New Roman"/>
          <w:iCs/>
        </w:rPr>
        <w:t xml:space="preserve"> </w:t>
      </w:r>
      <w:r w:rsidR="004E7546">
        <w:rPr>
          <w:rFonts w:ascii="Times New Roman" w:hAnsi="Times New Roman" w:cs="Times New Roman"/>
          <w:iCs/>
        </w:rPr>
        <w:t xml:space="preserve">To estimate </w:t>
      </w:r>
      <w:r w:rsidR="0027572E">
        <w:rPr>
          <w:rFonts w:ascii="Times New Roman" w:hAnsi="Times New Roman" w:cs="Times New Roman"/>
          <w:iCs/>
        </w:rPr>
        <w:t>a facility’s cost of implementation per measure</w:t>
      </w:r>
      <w:r w:rsidR="00D36BEE">
        <w:rPr>
          <w:rFonts w:ascii="Times New Roman" w:hAnsi="Times New Roman" w:cs="Times New Roman"/>
          <w:iCs/>
        </w:rPr>
        <w:t xml:space="preserve"> satisfying this provision</w:t>
      </w:r>
      <w:r w:rsidR="00646410">
        <w:rPr>
          <w:rFonts w:ascii="Times New Roman" w:hAnsi="Times New Roman" w:cs="Times New Roman"/>
          <w:iCs/>
        </w:rPr>
        <w:t xml:space="preserve">, EPA identified </w:t>
      </w:r>
      <w:r w:rsidR="00F72849">
        <w:rPr>
          <w:rFonts w:ascii="Times New Roman" w:hAnsi="Times New Roman" w:cs="Times New Roman"/>
          <w:iCs/>
        </w:rPr>
        <w:t xml:space="preserve">cost estimates of </w:t>
      </w:r>
      <w:r w:rsidR="00646410">
        <w:rPr>
          <w:rFonts w:ascii="Times New Roman" w:hAnsi="Times New Roman" w:cs="Times New Roman"/>
          <w:iCs/>
        </w:rPr>
        <w:t xml:space="preserve">30 </w:t>
      </w:r>
      <w:r w:rsidRPr="00CB7169" w:rsidR="00CB7169">
        <w:rPr>
          <w:rFonts w:ascii="Times New Roman" w:hAnsi="Times New Roman" w:cs="Times New Roman"/>
          <w:iCs/>
        </w:rPr>
        <w:t>risk</w:t>
      </w:r>
      <w:r w:rsidR="00C50167">
        <w:rPr>
          <w:rFonts w:ascii="Times New Roman" w:hAnsi="Times New Roman" w:cs="Times New Roman"/>
          <w:iCs/>
        </w:rPr>
        <w:t xml:space="preserve"> </w:t>
      </w:r>
      <w:r w:rsidRPr="00CB7169" w:rsidR="00CB7169">
        <w:rPr>
          <w:rFonts w:ascii="Times New Roman" w:hAnsi="Times New Roman" w:cs="Times New Roman"/>
          <w:iCs/>
        </w:rPr>
        <w:t>reduction</w:t>
      </w:r>
      <w:r w:rsidR="00646410">
        <w:rPr>
          <w:rFonts w:ascii="Times New Roman" w:hAnsi="Times New Roman" w:cs="Times New Roman"/>
          <w:iCs/>
        </w:rPr>
        <w:t xml:space="preserve"> measure</w:t>
      </w:r>
      <w:r w:rsidR="00002D9C">
        <w:rPr>
          <w:rFonts w:ascii="Times New Roman" w:hAnsi="Times New Roman" w:cs="Times New Roman"/>
          <w:iCs/>
        </w:rPr>
        <w:t>s.</w:t>
      </w:r>
      <w:r w:rsidR="00F657BC">
        <w:rPr>
          <w:rFonts w:ascii="Times New Roman" w:hAnsi="Times New Roman" w:cs="Times New Roman"/>
          <w:iCs/>
        </w:rPr>
        <w:t xml:space="preserve"> </w:t>
      </w:r>
      <w:r w:rsidR="002E1D84">
        <w:rPr>
          <w:rFonts w:ascii="Times New Roman" w:hAnsi="Times New Roman" w:cs="Times New Roman"/>
          <w:iCs/>
        </w:rPr>
        <w:t xml:space="preserve">Each cost estimate, the source of the estimate and other relevant information </w:t>
      </w:r>
      <w:r w:rsidR="004232FB">
        <w:rPr>
          <w:rFonts w:ascii="Times New Roman" w:hAnsi="Times New Roman" w:cs="Times New Roman"/>
          <w:iCs/>
        </w:rPr>
        <w:t>are</w:t>
      </w:r>
      <w:r w:rsidR="002E1D84">
        <w:rPr>
          <w:rFonts w:ascii="Times New Roman" w:hAnsi="Times New Roman" w:cs="Times New Roman"/>
          <w:iCs/>
        </w:rPr>
        <w:t xml:space="preserve"> presented in Appendix D. </w:t>
      </w:r>
      <w:r w:rsidR="00B37C60">
        <w:rPr>
          <w:rFonts w:ascii="Times New Roman" w:hAnsi="Times New Roman" w:cs="Times New Roman"/>
          <w:iCs/>
        </w:rPr>
        <w:t xml:space="preserve">These measures include four </w:t>
      </w:r>
      <w:r w:rsidR="00384153">
        <w:rPr>
          <w:rFonts w:ascii="Times New Roman" w:hAnsi="Times New Roman" w:cs="Times New Roman"/>
          <w:iCs/>
        </w:rPr>
        <w:t xml:space="preserve">used to estimate </w:t>
      </w:r>
      <w:r w:rsidR="00AA4294">
        <w:rPr>
          <w:rFonts w:ascii="Times New Roman" w:hAnsi="Times New Roman" w:cs="Times New Roman"/>
          <w:iCs/>
        </w:rPr>
        <w:t xml:space="preserve">practicability </w:t>
      </w:r>
      <w:r w:rsidR="00384153">
        <w:rPr>
          <w:rFonts w:ascii="Times New Roman" w:hAnsi="Times New Roman" w:cs="Times New Roman"/>
          <w:iCs/>
        </w:rPr>
        <w:t>study</w:t>
      </w:r>
      <w:r w:rsidR="00A65B81">
        <w:rPr>
          <w:rFonts w:ascii="Times New Roman" w:hAnsi="Times New Roman" w:cs="Times New Roman"/>
          <w:iCs/>
        </w:rPr>
        <w:t xml:space="preserve"> costs in</w:t>
      </w:r>
      <w:r w:rsidR="00756AC4">
        <w:rPr>
          <w:rFonts w:ascii="Times New Roman" w:hAnsi="Times New Roman" w:cs="Times New Roman"/>
          <w:iCs/>
        </w:rPr>
        <w:t xml:space="preserve"> </w:t>
      </w:r>
      <w:r w:rsidR="00796438">
        <w:rPr>
          <w:rFonts w:ascii="Times New Roman" w:hAnsi="Times New Roman" w:cs="Times New Roman"/>
          <w:iCs/>
        </w:rPr>
        <w:t xml:space="preserve">the </w:t>
      </w:r>
      <w:r w:rsidR="00B44811">
        <w:rPr>
          <w:rFonts w:ascii="Times New Roman" w:hAnsi="Times New Roman" w:cs="Times New Roman"/>
          <w:iCs/>
        </w:rPr>
        <w:t xml:space="preserve">2017 </w:t>
      </w:r>
      <w:r w:rsidR="00DB12C4">
        <w:rPr>
          <w:rFonts w:ascii="Times New Roman" w:hAnsi="Times New Roman" w:cs="Times New Roman"/>
          <w:iCs/>
        </w:rPr>
        <w:t>a</w:t>
      </w:r>
      <w:r w:rsidR="00796438">
        <w:rPr>
          <w:rFonts w:ascii="Times New Roman" w:hAnsi="Times New Roman" w:cs="Times New Roman"/>
          <w:iCs/>
        </w:rPr>
        <w:t xml:space="preserve">mendments </w:t>
      </w:r>
      <w:r w:rsidR="00DB12C4">
        <w:rPr>
          <w:rFonts w:ascii="Times New Roman" w:hAnsi="Times New Roman" w:cs="Times New Roman"/>
          <w:iCs/>
        </w:rPr>
        <w:t>r</w:t>
      </w:r>
      <w:r w:rsidR="00796438">
        <w:rPr>
          <w:rFonts w:ascii="Times New Roman" w:hAnsi="Times New Roman" w:cs="Times New Roman"/>
          <w:iCs/>
        </w:rPr>
        <w:t>ule</w:t>
      </w:r>
      <w:r w:rsidR="008C6D2D">
        <w:rPr>
          <w:rFonts w:ascii="Times New Roman" w:hAnsi="Times New Roman" w:cs="Times New Roman"/>
          <w:iCs/>
        </w:rPr>
        <w:t xml:space="preserve">, </w:t>
      </w:r>
      <w:r w:rsidR="00D75713">
        <w:rPr>
          <w:rFonts w:ascii="Times New Roman" w:hAnsi="Times New Roman" w:cs="Times New Roman"/>
          <w:iCs/>
        </w:rPr>
        <w:t xml:space="preserve">two from </w:t>
      </w:r>
      <w:r w:rsidR="00064598">
        <w:rPr>
          <w:rFonts w:ascii="Times New Roman" w:hAnsi="Times New Roman" w:cs="Times New Roman"/>
          <w:iCs/>
        </w:rPr>
        <w:t>Eastern Research Group (</w:t>
      </w:r>
      <w:r w:rsidR="00D75713">
        <w:rPr>
          <w:rFonts w:ascii="Times New Roman" w:hAnsi="Times New Roman" w:cs="Times New Roman"/>
          <w:iCs/>
        </w:rPr>
        <w:t>ERG</w:t>
      </w:r>
      <w:r w:rsidR="00064598">
        <w:rPr>
          <w:rFonts w:ascii="Times New Roman" w:hAnsi="Times New Roman" w:cs="Times New Roman"/>
          <w:iCs/>
        </w:rPr>
        <w:t>)</w:t>
      </w:r>
      <w:r w:rsidR="00D75713">
        <w:rPr>
          <w:rFonts w:ascii="Times New Roman" w:hAnsi="Times New Roman" w:cs="Times New Roman"/>
          <w:iCs/>
        </w:rPr>
        <w:t xml:space="preserve">, </w:t>
      </w:r>
      <w:r w:rsidR="00A17F86">
        <w:rPr>
          <w:rFonts w:ascii="Times New Roman" w:hAnsi="Times New Roman" w:cs="Times New Roman"/>
          <w:iCs/>
        </w:rPr>
        <w:t xml:space="preserve">six from other EPA </w:t>
      </w:r>
      <w:r w:rsidR="00365328">
        <w:rPr>
          <w:rFonts w:ascii="Times New Roman" w:hAnsi="Times New Roman" w:cs="Times New Roman"/>
          <w:iCs/>
        </w:rPr>
        <w:t xml:space="preserve">documents, </w:t>
      </w:r>
      <w:r w:rsidR="00FF1C62">
        <w:rPr>
          <w:rFonts w:ascii="Times New Roman" w:hAnsi="Times New Roman" w:cs="Times New Roman"/>
          <w:iCs/>
        </w:rPr>
        <w:t xml:space="preserve">one from a cost-benefit analysis of </w:t>
      </w:r>
      <w:r w:rsidR="009831A7">
        <w:rPr>
          <w:rFonts w:ascii="Times New Roman" w:hAnsi="Times New Roman" w:cs="Times New Roman"/>
          <w:iCs/>
        </w:rPr>
        <w:t>the Massachusetts T</w:t>
      </w:r>
      <w:r w:rsidR="009C578D">
        <w:rPr>
          <w:rFonts w:ascii="Times New Roman" w:hAnsi="Times New Roman" w:cs="Times New Roman"/>
          <w:iCs/>
        </w:rPr>
        <w:t>oxic Use Reduction Act</w:t>
      </w:r>
      <w:r w:rsidR="00846797">
        <w:rPr>
          <w:rFonts w:ascii="Times New Roman" w:hAnsi="Times New Roman" w:cs="Times New Roman"/>
          <w:iCs/>
        </w:rPr>
        <w:t xml:space="preserve"> (TURA)</w:t>
      </w:r>
      <w:r w:rsidR="00DA772C">
        <w:rPr>
          <w:rFonts w:ascii="Times New Roman" w:hAnsi="Times New Roman" w:cs="Times New Roman"/>
          <w:iCs/>
        </w:rPr>
        <w:t xml:space="preserve">, </w:t>
      </w:r>
      <w:r w:rsidR="00DA1C6F">
        <w:rPr>
          <w:rFonts w:ascii="Times New Roman" w:hAnsi="Times New Roman" w:cs="Times New Roman"/>
          <w:iCs/>
        </w:rPr>
        <w:t>five from Toxic Use Reduction Institute</w:t>
      </w:r>
      <w:r w:rsidR="00C50167">
        <w:rPr>
          <w:rFonts w:ascii="Times New Roman" w:hAnsi="Times New Roman" w:cs="Times New Roman"/>
          <w:iCs/>
        </w:rPr>
        <w:t xml:space="preserve"> (TURI)</w:t>
      </w:r>
      <w:r w:rsidR="00DA1C6F">
        <w:rPr>
          <w:rFonts w:ascii="Times New Roman" w:hAnsi="Times New Roman" w:cs="Times New Roman"/>
          <w:iCs/>
        </w:rPr>
        <w:t xml:space="preserve"> case studies</w:t>
      </w:r>
      <w:r w:rsidR="00846797">
        <w:rPr>
          <w:rFonts w:ascii="Times New Roman" w:hAnsi="Times New Roman" w:cs="Times New Roman"/>
          <w:iCs/>
        </w:rPr>
        <w:t xml:space="preserve"> of implemented TURA measures, </w:t>
      </w:r>
      <w:r w:rsidR="00E11EF0">
        <w:rPr>
          <w:rFonts w:ascii="Times New Roman" w:hAnsi="Times New Roman" w:cs="Times New Roman"/>
          <w:iCs/>
        </w:rPr>
        <w:t xml:space="preserve">five from </w:t>
      </w:r>
      <w:r w:rsidR="00487546">
        <w:rPr>
          <w:rFonts w:ascii="Times New Roman" w:hAnsi="Times New Roman" w:cs="Times New Roman"/>
          <w:iCs/>
        </w:rPr>
        <w:t xml:space="preserve">a list of examples </w:t>
      </w:r>
      <w:r w:rsidR="00376575">
        <w:rPr>
          <w:rFonts w:ascii="Times New Roman" w:hAnsi="Times New Roman" w:cs="Times New Roman"/>
          <w:iCs/>
        </w:rPr>
        <w:t xml:space="preserve">of STAA measures on </w:t>
      </w:r>
      <w:r w:rsidR="00CD0DED">
        <w:rPr>
          <w:rFonts w:ascii="Times New Roman" w:hAnsi="Times New Roman" w:cs="Times New Roman"/>
          <w:iCs/>
        </w:rPr>
        <w:t>a STAA consulting</w:t>
      </w:r>
      <w:r w:rsidR="00376575">
        <w:rPr>
          <w:rFonts w:ascii="Times New Roman" w:hAnsi="Times New Roman" w:cs="Times New Roman"/>
          <w:iCs/>
        </w:rPr>
        <w:t xml:space="preserve"> website, </w:t>
      </w:r>
      <w:r w:rsidR="009257CF">
        <w:rPr>
          <w:rFonts w:ascii="Times New Roman" w:hAnsi="Times New Roman" w:cs="Times New Roman"/>
          <w:iCs/>
        </w:rPr>
        <w:t xml:space="preserve">four from a </w:t>
      </w:r>
      <w:r w:rsidR="00602A13">
        <w:rPr>
          <w:rFonts w:ascii="Times New Roman" w:hAnsi="Times New Roman" w:cs="Times New Roman"/>
          <w:iCs/>
        </w:rPr>
        <w:t xml:space="preserve">2012 </w:t>
      </w:r>
      <w:r w:rsidR="009257CF">
        <w:rPr>
          <w:rFonts w:ascii="Times New Roman" w:hAnsi="Times New Roman" w:cs="Times New Roman"/>
          <w:iCs/>
        </w:rPr>
        <w:t xml:space="preserve">National Academy of Sciences report, </w:t>
      </w:r>
      <w:r w:rsidR="000772CB">
        <w:rPr>
          <w:rFonts w:ascii="Times New Roman" w:hAnsi="Times New Roman" w:cs="Times New Roman"/>
          <w:iCs/>
        </w:rPr>
        <w:t xml:space="preserve">and two from a </w:t>
      </w:r>
      <w:r w:rsidR="00F43043">
        <w:rPr>
          <w:rFonts w:ascii="Times New Roman" w:hAnsi="Times New Roman" w:cs="Times New Roman"/>
          <w:iCs/>
        </w:rPr>
        <w:t xml:space="preserve">news article’s </w:t>
      </w:r>
      <w:r w:rsidR="002E361F">
        <w:rPr>
          <w:rFonts w:ascii="Times New Roman" w:hAnsi="Times New Roman" w:cs="Times New Roman"/>
          <w:iCs/>
        </w:rPr>
        <w:t xml:space="preserve">list of </w:t>
      </w:r>
      <w:r w:rsidRPr="00CB7169" w:rsidR="00CB7169">
        <w:rPr>
          <w:rFonts w:ascii="Times New Roman" w:hAnsi="Times New Roman" w:cs="Times New Roman"/>
          <w:iCs/>
        </w:rPr>
        <w:t>risk-reduction</w:t>
      </w:r>
      <w:r w:rsidR="002E361F">
        <w:rPr>
          <w:rFonts w:ascii="Times New Roman" w:hAnsi="Times New Roman" w:cs="Times New Roman"/>
          <w:iCs/>
        </w:rPr>
        <w:t xml:space="preserve"> measures Chevron’s </w:t>
      </w:r>
      <w:r w:rsidR="00BE702F">
        <w:rPr>
          <w:rFonts w:ascii="Times New Roman" w:hAnsi="Times New Roman" w:cs="Times New Roman"/>
          <w:iCs/>
        </w:rPr>
        <w:t xml:space="preserve">Richmond Refinery </w:t>
      </w:r>
      <w:r w:rsidR="00F43043">
        <w:rPr>
          <w:rFonts w:ascii="Times New Roman" w:hAnsi="Times New Roman" w:cs="Times New Roman"/>
          <w:iCs/>
        </w:rPr>
        <w:t>promised in</w:t>
      </w:r>
      <w:r w:rsidR="00F95407">
        <w:rPr>
          <w:rFonts w:ascii="Times New Roman" w:hAnsi="Times New Roman" w:cs="Times New Roman"/>
          <w:iCs/>
        </w:rPr>
        <w:t xml:space="preserve"> 2017</w:t>
      </w:r>
      <w:r w:rsidR="00620EE3">
        <w:rPr>
          <w:rFonts w:ascii="Times New Roman" w:hAnsi="Times New Roman" w:cs="Times New Roman"/>
          <w:iCs/>
        </w:rPr>
        <w:t>.</w:t>
      </w:r>
      <w:r>
        <w:rPr>
          <w:rStyle w:val="FootnoteReference"/>
          <w:rFonts w:ascii="Times New Roman" w:hAnsi="Times New Roman" w:cs="Times New Roman"/>
          <w:iCs/>
        </w:rPr>
        <w:footnoteReference w:id="110"/>
      </w:r>
      <w:r w:rsidR="00620EE3">
        <w:rPr>
          <w:rFonts w:ascii="Times New Roman" w:hAnsi="Times New Roman" w:cs="Times New Roman"/>
          <w:iCs/>
        </w:rPr>
        <w:t xml:space="preserve"> </w:t>
      </w:r>
      <w:r w:rsidR="007D30AE">
        <w:rPr>
          <w:rFonts w:ascii="Times New Roman" w:hAnsi="Times New Roman" w:cs="Times New Roman"/>
          <w:iCs/>
        </w:rPr>
        <w:t xml:space="preserve">Some </w:t>
      </w:r>
      <w:r w:rsidR="00A6372E">
        <w:rPr>
          <w:rFonts w:ascii="Times New Roman" w:hAnsi="Times New Roman" w:cs="Times New Roman"/>
          <w:iCs/>
        </w:rPr>
        <w:t xml:space="preserve">sources </w:t>
      </w:r>
      <w:r w:rsidR="008A6161">
        <w:rPr>
          <w:rFonts w:ascii="Times New Roman" w:hAnsi="Times New Roman" w:cs="Times New Roman"/>
          <w:iCs/>
        </w:rPr>
        <w:t xml:space="preserve">directly provided cost estimates, while others </w:t>
      </w:r>
      <w:r w:rsidR="00651C3C">
        <w:rPr>
          <w:rFonts w:ascii="Times New Roman" w:hAnsi="Times New Roman" w:cs="Times New Roman"/>
          <w:iCs/>
        </w:rPr>
        <w:t xml:space="preserve">required EPA to </w:t>
      </w:r>
      <w:r w:rsidR="00876652">
        <w:rPr>
          <w:rFonts w:ascii="Times New Roman" w:hAnsi="Times New Roman" w:cs="Times New Roman"/>
          <w:iCs/>
        </w:rPr>
        <w:t xml:space="preserve">search online for </w:t>
      </w:r>
      <w:r w:rsidR="000C7482">
        <w:rPr>
          <w:rFonts w:ascii="Times New Roman" w:hAnsi="Times New Roman" w:cs="Times New Roman"/>
          <w:iCs/>
        </w:rPr>
        <w:t>cost</w:t>
      </w:r>
      <w:r w:rsidR="00876652">
        <w:rPr>
          <w:rFonts w:ascii="Times New Roman" w:hAnsi="Times New Roman" w:cs="Times New Roman"/>
          <w:iCs/>
        </w:rPr>
        <w:t xml:space="preserve"> information for </w:t>
      </w:r>
      <w:r w:rsidR="00055DB8">
        <w:rPr>
          <w:rFonts w:ascii="Times New Roman" w:hAnsi="Times New Roman" w:cs="Times New Roman"/>
          <w:iCs/>
        </w:rPr>
        <w:t>items</w:t>
      </w:r>
      <w:r w:rsidR="00571990">
        <w:rPr>
          <w:rFonts w:ascii="Times New Roman" w:hAnsi="Times New Roman" w:cs="Times New Roman"/>
          <w:iCs/>
        </w:rPr>
        <w:t xml:space="preserve"> matching </w:t>
      </w:r>
      <w:r w:rsidR="00842103">
        <w:rPr>
          <w:rFonts w:ascii="Times New Roman" w:hAnsi="Times New Roman" w:cs="Times New Roman"/>
          <w:iCs/>
        </w:rPr>
        <w:t xml:space="preserve">a measure’s description. </w:t>
      </w:r>
      <w:r w:rsidR="00620EE3">
        <w:rPr>
          <w:rFonts w:ascii="Times New Roman" w:hAnsi="Times New Roman" w:cs="Times New Roman"/>
          <w:iCs/>
        </w:rPr>
        <w:t>S</w:t>
      </w:r>
      <w:r w:rsidR="00555B36">
        <w:rPr>
          <w:rFonts w:ascii="Times New Roman" w:hAnsi="Times New Roman" w:cs="Times New Roman"/>
          <w:iCs/>
        </w:rPr>
        <w:t>ee Appendix D for more information</w:t>
      </w:r>
      <w:r w:rsidR="00B6484E">
        <w:rPr>
          <w:rFonts w:ascii="Times New Roman" w:hAnsi="Times New Roman" w:cs="Times New Roman"/>
          <w:iCs/>
        </w:rPr>
        <w:t>,</w:t>
      </w:r>
      <w:r w:rsidR="0036250C">
        <w:rPr>
          <w:rFonts w:ascii="Times New Roman" w:hAnsi="Times New Roman" w:cs="Times New Roman"/>
          <w:iCs/>
        </w:rPr>
        <w:t xml:space="preserve"> including the </w:t>
      </w:r>
      <w:r w:rsidR="00372355">
        <w:rPr>
          <w:rFonts w:ascii="Times New Roman" w:hAnsi="Times New Roman" w:cs="Times New Roman"/>
          <w:iCs/>
        </w:rPr>
        <w:t>cost data utilized</w:t>
      </w:r>
      <w:r w:rsidR="00002D9C">
        <w:rPr>
          <w:rFonts w:ascii="Times New Roman" w:hAnsi="Times New Roman" w:cs="Times New Roman"/>
          <w:iCs/>
        </w:rPr>
        <w:t>.</w:t>
      </w:r>
      <w:r w:rsidR="00F657BC">
        <w:rPr>
          <w:rFonts w:ascii="Times New Roman" w:hAnsi="Times New Roman" w:cs="Times New Roman"/>
          <w:iCs/>
        </w:rPr>
        <w:t xml:space="preserve"> </w:t>
      </w:r>
    </w:p>
    <w:p w:rsidR="00CD0C5F" w14:paraId="1F6FA1D7" w14:textId="77777777">
      <w:pPr>
        <w:spacing w:after="0" w:line="240" w:lineRule="auto"/>
        <w:ind w:firstLine="720"/>
        <w:rPr>
          <w:rFonts w:ascii="Times New Roman" w:hAnsi="Times New Roman" w:cs="Times New Roman"/>
          <w:iCs/>
        </w:rPr>
      </w:pPr>
    </w:p>
    <w:p w:rsidR="00DE7F6B" w:rsidP="00CD0C5F" w14:paraId="18A08B0D" w14:textId="77777777">
      <w:pPr>
        <w:pStyle w:val="pf0"/>
        <w:spacing w:before="0" w:beforeAutospacing="0" w:after="0" w:afterAutospacing="0"/>
        <w:rPr>
          <w:iCs/>
        </w:rPr>
      </w:pPr>
      <w:r>
        <w:rPr>
          <w:sz w:val="22"/>
          <w:szCs w:val="22"/>
        </w:rPr>
        <w:tab/>
      </w:r>
      <w:r w:rsidRPr="006E5BEC" w:rsidR="00147011">
        <w:rPr>
          <w:sz w:val="22"/>
          <w:szCs w:val="22"/>
        </w:rPr>
        <w:t>The</w:t>
      </w:r>
      <w:r w:rsidRPr="006E5BEC" w:rsidR="007B3A62">
        <w:rPr>
          <w:sz w:val="22"/>
          <w:szCs w:val="22"/>
        </w:rPr>
        <w:t>se</w:t>
      </w:r>
      <w:r w:rsidRPr="006E5BEC" w:rsidR="00147011">
        <w:rPr>
          <w:sz w:val="22"/>
          <w:szCs w:val="22"/>
        </w:rPr>
        <w:t xml:space="preserve"> 30 measures do not include cost estimates for </w:t>
      </w:r>
      <w:r w:rsidRPr="006E5BEC" w:rsidR="00F033D5">
        <w:rPr>
          <w:sz w:val="22"/>
          <w:szCs w:val="22"/>
        </w:rPr>
        <w:t xml:space="preserve">the </w:t>
      </w:r>
      <w:r w:rsidRPr="006E5BEC" w:rsidR="00147011">
        <w:rPr>
          <w:sz w:val="22"/>
          <w:szCs w:val="22"/>
        </w:rPr>
        <w:t>IST/ISD measures of HF alkylation conversion and chemical conversion from the 2017 amendment rule</w:t>
      </w:r>
      <w:r w:rsidRPr="006E5BEC" w:rsidR="009D5A4C">
        <w:rPr>
          <w:sz w:val="22"/>
          <w:szCs w:val="22"/>
        </w:rPr>
        <w:t xml:space="preserve"> because </w:t>
      </w:r>
      <w:r w:rsidRPr="006E5BEC" w:rsidR="001C25E2">
        <w:rPr>
          <w:sz w:val="22"/>
          <w:szCs w:val="22"/>
        </w:rPr>
        <w:t xml:space="preserve">facilities will always have an alternative to implementing </w:t>
      </w:r>
      <w:r w:rsidRPr="006E5BEC" w:rsidR="00203C3E">
        <w:rPr>
          <w:sz w:val="22"/>
          <w:szCs w:val="22"/>
        </w:rPr>
        <w:t>an IST/ISD measure</w:t>
      </w:r>
      <w:r w:rsidRPr="006E5BEC" w:rsidR="00147011">
        <w:rPr>
          <w:sz w:val="22"/>
          <w:szCs w:val="22"/>
        </w:rPr>
        <w:t xml:space="preserve">. </w:t>
      </w:r>
      <w:r w:rsidRPr="006E5BEC" w:rsidR="00385248">
        <w:rPr>
          <w:rStyle w:val="Heading2Char"/>
          <w:sz w:val="22"/>
          <w:szCs w:val="22"/>
        </w:rPr>
        <w:t xml:space="preserve"> </w:t>
      </w:r>
      <w:r w:rsidRPr="004F0AFD" w:rsidR="00731038">
        <w:rPr>
          <w:rStyle w:val="Heading2Char"/>
          <w:sz w:val="22"/>
          <w:szCs w:val="22"/>
        </w:rPr>
        <w:t>In other words,</w:t>
      </w:r>
      <w:r w:rsidRPr="006E5BEC" w:rsidR="00731038">
        <w:rPr>
          <w:rStyle w:val="Heading2Char"/>
          <w:sz w:val="22"/>
          <w:szCs w:val="22"/>
        </w:rPr>
        <w:t xml:space="preserve"> </w:t>
      </w:r>
      <w:r w:rsidRPr="006E5BEC" w:rsidR="00385248">
        <w:rPr>
          <w:rStyle w:val="cf01"/>
          <w:rFonts w:ascii="Times New Roman" w:hAnsi="Times New Roman" w:cs="Times New Roman"/>
          <w:sz w:val="22"/>
          <w:szCs w:val="22"/>
        </w:rPr>
        <w:t>the costliest safety measures (i.e.</w:t>
      </w:r>
      <w:r w:rsidR="00333E9E">
        <w:rPr>
          <w:rStyle w:val="cf01"/>
          <w:rFonts w:ascii="Times New Roman" w:hAnsi="Times New Roman" w:cs="Times New Roman"/>
          <w:sz w:val="22"/>
          <w:szCs w:val="22"/>
        </w:rPr>
        <w:t>,</w:t>
      </w:r>
      <w:r w:rsidRPr="006E5BEC" w:rsidR="00385248">
        <w:rPr>
          <w:rStyle w:val="cf01"/>
          <w:rFonts w:ascii="Times New Roman" w:hAnsi="Times New Roman" w:cs="Times New Roman"/>
          <w:sz w:val="22"/>
          <w:szCs w:val="22"/>
        </w:rPr>
        <w:t xml:space="preserve"> those identified as IST/ISD measures)</w:t>
      </w:r>
      <w:r w:rsidRPr="006E5BEC" w:rsidR="00731038">
        <w:rPr>
          <w:rStyle w:val="cf01"/>
          <w:rFonts w:ascii="Times New Roman" w:hAnsi="Times New Roman" w:cs="Times New Roman"/>
          <w:sz w:val="22"/>
          <w:szCs w:val="22"/>
        </w:rPr>
        <w:t xml:space="preserve"> are excluded from the </w:t>
      </w:r>
      <w:r w:rsidRPr="006E5BEC" w:rsidR="006170C0">
        <w:rPr>
          <w:rStyle w:val="cf01"/>
          <w:rFonts w:ascii="Times New Roman" w:hAnsi="Times New Roman" w:cs="Times New Roman"/>
          <w:sz w:val="22"/>
          <w:szCs w:val="22"/>
        </w:rPr>
        <w:t>cost estimates for STAA implementation</w:t>
      </w:r>
      <w:r w:rsidRPr="006E5BEC" w:rsidR="00DD0976">
        <w:rPr>
          <w:rStyle w:val="cf01"/>
          <w:rFonts w:ascii="Times New Roman" w:hAnsi="Times New Roman" w:cs="Times New Roman"/>
          <w:sz w:val="22"/>
          <w:szCs w:val="22"/>
        </w:rPr>
        <w:t xml:space="preserve"> because the analysis assumes</w:t>
      </w:r>
      <w:r w:rsidRPr="006E5BEC" w:rsidR="00385248">
        <w:rPr>
          <w:rStyle w:val="cf01"/>
          <w:rFonts w:ascii="Times New Roman" w:hAnsi="Times New Roman" w:cs="Times New Roman"/>
          <w:sz w:val="22"/>
          <w:szCs w:val="22"/>
        </w:rPr>
        <w:t xml:space="preserve"> implemented measures instead will </w:t>
      </w:r>
      <w:r w:rsidR="00333E9E">
        <w:rPr>
          <w:rStyle w:val="cf01"/>
          <w:rFonts w:ascii="Times New Roman" w:hAnsi="Times New Roman" w:cs="Times New Roman"/>
          <w:sz w:val="22"/>
          <w:szCs w:val="22"/>
        </w:rPr>
        <w:t>be</w:t>
      </w:r>
      <w:r w:rsidR="00385248">
        <w:rPr>
          <w:rStyle w:val="cf01"/>
          <w:rFonts w:ascii="Times New Roman" w:hAnsi="Times New Roman" w:cs="Times New Roman"/>
          <w:sz w:val="22"/>
          <w:szCs w:val="22"/>
        </w:rPr>
        <w:t xml:space="preserve"> </w:t>
      </w:r>
      <w:r w:rsidR="00D07D08">
        <w:rPr>
          <w:rStyle w:val="cf01"/>
          <w:rFonts w:ascii="Times New Roman" w:hAnsi="Times New Roman" w:cs="Times New Roman"/>
          <w:sz w:val="22"/>
          <w:szCs w:val="22"/>
        </w:rPr>
        <w:t>l</w:t>
      </w:r>
      <w:r w:rsidRPr="006E5BEC" w:rsidR="00D07D08">
        <w:rPr>
          <w:rStyle w:val="cf01"/>
          <w:rFonts w:ascii="Times New Roman" w:hAnsi="Times New Roman" w:cs="Times New Roman"/>
          <w:sz w:val="22"/>
          <w:szCs w:val="22"/>
        </w:rPr>
        <w:t xml:space="preserve">ess costly </w:t>
      </w:r>
      <w:r w:rsidRPr="006E5BEC" w:rsidR="00385248">
        <w:rPr>
          <w:rStyle w:val="cf01"/>
          <w:rFonts w:ascii="Times New Roman" w:hAnsi="Times New Roman" w:cs="Times New Roman"/>
          <w:sz w:val="22"/>
          <w:szCs w:val="22"/>
        </w:rPr>
        <w:t xml:space="preserve">procedural, active, or passive measures. </w:t>
      </w:r>
      <w:r w:rsidRPr="006E5BEC" w:rsidR="00F657BC">
        <w:rPr>
          <w:sz w:val="22"/>
          <w:szCs w:val="22"/>
        </w:rPr>
        <w:t xml:space="preserve">While facilities may satisfy this provision by implementing </w:t>
      </w:r>
      <w:r w:rsidR="007B3A62">
        <w:rPr>
          <w:iCs/>
        </w:rPr>
        <w:t xml:space="preserve">either </w:t>
      </w:r>
      <w:r w:rsidR="00F657BC">
        <w:rPr>
          <w:iCs/>
        </w:rPr>
        <w:t>an IST</w:t>
      </w:r>
      <w:r w:rsidR="00F40318">
        <w:rPr>
          <w:iCs/>
        </w:rPr>
        <w:t>/ISD</w:t>
      </w:r>
      <w:r w:rsidR="00F657BC">
        <w:rPr>
          <w:iCs/>
        </w:rPr>
        <w:t xml:space="preserve"> measure</w:t>
      </w:r>
      <w:r w:rsidR="007B3A62">
        <w:rPr>
          <w:iCs/>
        </w:rPr>
        <w:t xml:space="preserve"> or a passive-equivalent measure</w:t>
      </w:r>
      <w:r w:rsidR="00F657BC">
        <w:rPr>
          <w:iCs/>
        </w:rPr>
        <w:t xml:space="preserve">, EPA assumes facilities will </w:t>
      </w:r>
      <w:r w:rsidR="00AC5EF5">
        <w:rPr>
          <w:iCs/>
        </w:rPr>
        <w:t>most likely</w:t>
      </w:r>
      <w:r w:rsidR="00F657BC">
        <w:rPr>
          <w:iCs/>
        </w:rPr>
        <w:t xml:space="preserve"> </w:t>
      </w:r>
      <w:r w:rsidR="007B3A62">
        <w:rPr>
          <w:iCs/>
        </w:rPr>
        <w:t>implement IST/ISD</w:t>
      </w:r>
      <w:r w:rsidR="00F657BC">
        <w:rPr>
          <w:iCs/>
        </w:rPr>
        <w:t xml:space="preserve"> when an IST</w:t>
      </w:r>
      <w:r w:rsidR="00F40318">
        <w:rPr>
          <w:iCs/>
        </w:rPr>
        <w:t>/ISD</w:t>
      </w:r>
      <w:r w:rsidR="000C2CBC">
        <w:rPr>
          <w:iCs/>
        </w:rPr>
        <w:t xml:space="preserve">’s net cost is less than </w:t>
      </w:r>
      <w:r w:rsidR="003E69F2">
        <w:rPr>
          <w:iCs/>
        </w:rPr>
        <w:t>a</w:t>
      </w:r>
      <w:r w:rsidR="002849A8">
        <w:rPr>
          <w:iCs/>
        </w:rPr>
        <w:t xml:space="preserve"> passive measure</w:t>
      </w:r>
      <w:r w:rsidR="003E69F2">
        <w:rPr>
          <w:iCs/>
        </w:rPr>
        <w:t>’s</w:t>
      </w:r>
      <w:r w:rsidR="002849A8">
        <w:rPr>
          <w:iCs/>
        </w:rPr>
        <w:t xml:space="preserve"> cost</w:t>
      </w:r>
      <w:r w:rsidR="008F2141">
        <w:rPr>
          <w:iCs/>
        </w:rPr>
        <w:t xml:space="preserve">. </w:t>
      </w:r>
      <w:r w:rsidR="002C3441">
        <w:rPr>
          <w:iCs/>
        </w:rPr>
        <w:t>T</w:t>
      </w:r>
      <w:r>
        <w:rPr>
          <w:iCs/>
        </w:rPr>
        <w:t xml:space="preserve">he </w:t>
      </w:r>
      <w:r w:rsidRPr="00336E2F">
        <w:rPr>
          <w:i/>
        </w:rPr>
        <w:t>net</w:t>
      </w:r>
      <w:r>
        <w:rPr>
          <w:iCs/>
        </w:rPr>
        <w:t xml:space="preserve"> cost of an IST</w:t>
      </w:r>
      <w:r w:rsidR="002C3441">
        <w:rPr>
          <w:iCs/>
        </w:rPr>
        <w:t>/ISD</w:t>
      </w:r>
      <w:r>
        <w:rPr>
          <w:iCs/>
        </w:rPr>
        <w:t xml:space="preserve"> could be less than a passive measure’s cost</w:t>
      </w:r>
      <w:r w:rsidR="002C3441">
        <w:rPr>
          <w:iCs/>
        </w:rPr>
        <w:t xml:space="preserve"> for a number of reasons</w:t>
      </w:r>
      <w:r>
        <w:rPr>
          <w:iCs/>
        </w:rPr>
        <w:t>:</w:t>
      </w:r>
    </w:p>
    <w:p w:rsidR="00CD0C5F" w:rsidP="00CD0C5F" w14:paraId="6203324F" w14:textId="77777777">
      <w:pPr>
        <w:pStyle w:val="pf0"/>
        <w:spacing w:before="0" w:beforeAutospacing="0" w:after="0" w:afterAutospacing="0"/>
        <w:rPr>
          <w:iCs/>
        </w:rPr>
      </w:pPr>
    </w:p>
    <w:p w:rsidR="00DE7F6B" w:rsidRPr="00FC6F23" w:rsidP="00082826" w14:paraId="2FADF092" w14:textId="77777777">
      <w:pPr>
        <w:pStyle w:val="ListParagraph"/>
        <w:numPr>
          <w:ilvl w:val="0"/>
          <w:numId w:val="18"/>
        </w:numPr>
        <w:spacing w:after="0" w:line="240" w:lineRule="auto"/>
        <w:contextualSpacing w:val="0"/>
        <w:rPr>
          <w:rFonts w:ascii="Times New Roman" w:eastAsia="Times New Roman" w:hAnsi="Times New Roman" w:cs="Times New Roman"/>
        </w:rPr>
      </w:pPr>
      <w:r w:rsidRPr="00FC6F23">
        <w:rPr>
          <w:rFonts w:ascii="Times New Roman" w:eastAsia="Times New Roman" w:hAnsi="Times New Roman" w:cs="Times New Roman"/>
        </w:rPr>
        <w:t>O</w:t>
      </w:r>
      <w:r>
        <w:rPr>
          <w:rFonts w:ascii="Times New Roman" w:eastAsia="Times New Roman" w:hAnsi="Times New Roman" w:cs="Times New Roman"/>
        </w:rPr>
        <w:t>perating and Maintenance</w:t>
      </w:r>
      <w:r w:rsidR="008432FA">
        <w:rPr>
          <w:rFonts w:ascii="Times New Roman" w:eastAsia="Times New Roman" w:hAnsi="Times New Roman" w:cs="Times New Roman"/>
        </w:rPr>
        <w:t xml:space="preserve"> (O&amp;M)</w:t>
      </w:r>
      <w:r w:rsidRPr="00FC6F23">
        <w:rPr>
          <w:rFonts w:ascii="Times New Roman" w:eastAsia="Times New Roman" w:hAnsi="Times New Roman" w:cs="Times New Roman"/>
        </w:rPr>
        <w:t xml:space="preserve"> cost – IST</w:t>
      </w:r>
      <w:r w:rsidR="00250CE9">
        <w:rPr>
          <w:rFonts w:ascii="Times New Roman" w:eastAsia="Times New Roman" w:hAnsi="Times New Roman" w:cs="Times New Roman"/>
        </w:rPr>
        <w:t>/ISD</w:t>
      </w:r>
      <w:r w:rsidRPr="00FC6F23">
        <w:rPr>
          <w:rFonts w:ascii="Times New Roman" w:eastAsia="Times New Roman" w:hAnsi="Times New Roman" w:cs="Times New Roman"/>
        </w:rPr>
        <w:t xml:space="preserve"> may have a change in O&amp;M costs compared to passive measures. For example, chemicals used in the process may change</w:t>
      </w:r>
      <w:r w:rsidR="00AE38F2">
        <w:rPr>
          <w:rFonts w:ascii="Times New Roman" w:eastAsia="Times New Roman" w:hAnsi="Times New Roman" w:cs="Times New Roman"/>
        </w:rPr>
        <w:t>,</w:t>
      </w:r>
      <w:r w:rsidRPr="00FC6F23">
        <w:rPr>
          <w:rFonts w:ascii="Times New Roman" w:eastAsia="Times New Roman" w:hAnsi="Times New Roman" w:cs="Times New Roman"/>
        </w:rPr>
        <w:t xml:space="preserve"> </w:t>
      </w:r>
      <w:r w:rsidR="00A22735">
        <w:rPr>
          <w:rFonts w:ascii="Times New Roman" w:eastAsia="Times New Roman" w:hAnsi="Times New Roman" w:cs="Times New Roman"/>
        </w:rPr>
        <w:t>which could</w:t>
      </w:r>
      <w:r w:rsidRPr="00FC6F23">
        <w:rPr>
          <w:rFonts w:ascii="Times New Roman" w:eastAsia="Times New Roman" w:hAnsi="Times New Roman" w:cs="Times New Roman"/>
        </w:rPr>
        <w:t xml:space="preserve"> </w:t>
      </w:r>
      <w:r w:rsidR="003476CD">
        <w:rPr>
          <w:rFonts w:ascii="Times New Roman" w:eastAsia="Times New Roman" w:hAnsi="Times New Roman" w:cs="Times New Roman"/>
        </w:rPr>
        <w:t xml:space="preserve">cause changes </w:t>
      </w:r>
      <w:r w:rsidRPr="00FC6F23">
        <w:rPr>
          <w:rFonts w:ascii="Times New Roman" w:eastAsia="Times New Roman" w:hAnsi="Times New Roman" w:cs="Times New Roman"/>
        </w:rPr>
        <w:t>in recurring input costs</w:t>
      </w:r>
      <w:r w:rsidR="007446F3">
        <w:rPr>
          <w:rFonts w:ascii="Times New Roman" w:eastAsia="Times New Roman" w:hAnsi="Times New Roman" w:cs="Times New Roman"/>
        </w:rPr>
        <w:t xml:space="preserve">, including potentially lower </w:t>
      </w:r>
      <w:r w:rsidR="003476CD">
        <w:rPr>
          <w:rFonts w:ascii="Times New Roman" w:eastAsia="Times New Roman" w:hAnsi="Times New Roman" w:cs="Times New Roman"/>
        </w:rPr>
        <w:t xml:space="preserve">those </w:t>
      </w:r>
      <w:r w:rsidR="007446F3">
        <w:rPr>
          <w:rFonts w:ascii="Times New Roman" w:eastAsia="Times New Roman" w:hAnsi="Times New Roman" w:cs="Times New Roman"/>
        </w:rPr>
        <w:t>cost</w:t>
      </w:r>
      <w:r w:rsidR="003476CD">
        <w:rPr>
          <w:rFonts w:ascii="Times New Roman" w:eastAsia="Times New Roman" w:hAnsi="Times New Roman" w:cs="Times New Roman"/>
        </w:rPr>
        <w:t>s</w:t>
      </w:r>
      <w:r w:rsidRPr="00FC6F23">
        <w:rPr>
          <w:rFonts w:ascii="Times New Roman" w:eastAsia="Times New Roman" w:hAnsi="Times New Roman" w:cs="Times New Roman"/>
        </w:rPr>
        <w:t>.</w:t>
      </w:r>
    </w:p>
    <w:p w:rsidR="00DE7F6B" w:rsidRPr="00FC6F23" w:rsidP="00082826" w14:paraId="3EF2CBC9" w14:textId="77777777">
      <w:pPr>
        <w:pStyle w:val="ListParagraph"/>
        <w:numPr>
          <w:ilvl w:val="0"/>
          <w:numId w:val="18"/>
        </w:numPr>
        <w:spacing w:after="0" w:line="240" w:lineRule="auto"/>
        <w:contextualSpacing w:val="0"/>
        <w:rPr>
          <w:rFonts w:ascii="Times New Roman" w:eastAsia="Times New Roman" w:hAnsi="Times New Roman" w:cs="Times New Roman"/>
        </w:rPr>
      </w:pPr>
      <w:r w:rsidRPr="00FC6F23">
        <w:rPr>
          <w:rFonts w:ascii="Times New Roman" w:eastAsia="Times New Roman" w:hAnsi="Times New Roman" w:cs="Times New Roman"/>
        </w:rPr>
        <w:t xml:space="preserve">Productivity improvements – </w:t>
      </w:r>
      <w:r w:rsidR="007446F3">
        <w:rPr>
          <w:rFonts w:ascii="Times New Roman" w:eastAsia="Times New Roman" w:hAnsi="Times New Roman" w:cs="Times New Roman"/>
        </w:rPr>
        <w:t>IST</w:t>
      </w:r>
      <w:r w:rsidR="00250CE9">
        <w:rPr>
          <w:rFonts w:ascii="Times New Roman" w:eastAsia="Times New Roman" w:hAnsi="Times New Roman" w:cs="Times New Roman"/>
        </w:rPr>
        <w:t>/ISD</w:t>
      </w:r>
      <w:r w:rsidR="007446F3">
        <w:rPr>
          <w:rFonts w:ascii="Times New Roman" w:eastAsia="Times New Roman" w:hAnsi="Times New Roman" w:cs="Times New Roman"/>
        </w:rPr>
        <w:t xml:space="preserve"> could result in productivity improvements</w:t>
      </w:r>
      <w:r w:rsidR="002A0908">
        <w:rPr>
          <w:rFonts w:ascii="Times New Roman" w:eastAsia="Times New Roman" w:hAnsi="Times New Roman" w:cs="Times New Roman"/>
        </w:rPr>
        <w:t xml:space="preserve"> from more efficient process and changes to input costs. </w:t>
      </w:r>
    </w:p>
    <w:p w:rsidR="00DE7F6B" w:rsidRPr="00FC6F23" w:rsidP="00082826" w14:paraId="0380A116" w14:textId="77777777">
      <w:pPr>
        <w:pStyle w:val="ListParagraph"/>
        <w:numPr>
          <w:ilvl w:val="0"/>
          <w:numId w:val="18"/>
        </w:numPr>
        <w:spacing w:after="0" w:line="240" w:lineRule="auto"/>
        <w:contextualSpacing w:val="0"/>
        <w:rPr>
          <w:rFonts w:ascii="Times New Roman" w:eastAsia="Times New Roman" w:hAnsi="Times New Roman" w:cs="Times New Roman"/>
        </w:rPr>
      </w:pPr>
      <w:r w:rsidRPr="00FC6F23">
        <w:rPr>
          <w:rFonts w:ascii="Times New Roman" w:eastAsia="Times New Roman" w:hAnsi="Times New Roman" w:cs="Times New Roman"/>
        </w:rPr>
        <w:t>Safety improvement</w:t>
      </w:r>
      <w:r w:rsidR="00022C8B">
        <w:rPr>
          <w:rFonts w:ascii="Times New Roman" w:eastAsia="Times New Roman" w:hAnsi="Times New Roman" w:cs="Times New Roman"/>
        </w:rPr>
        <w:t>s</w:t>
      </w:r>
      <w:r w:rsidRPr="00FC6F23">
        <w:rPr>
          <w:rFonts w:ascii="Times New Roman" w:eastAsia="Times New Roman" w:hAnsi="Times New Roman" w:cs="Times New Roman"/>
        </w:rPr>
        <w:t xml:space="preserve"> –</w:t>
      </w:r>
      <w:r w:rsidR="002A0908">
        <w:rPr>
          <w:rFonts w:ascii="Times New Roman" w:eastAsia="Times New Roman" w:hAnsi="Times New Roman" w:cs="Times New Roman"/>
        </w:rPr>
        <w:t xml:space="preserve"> IST</w:t>
      </w:r>
      <w:r w:rsidR="00250CE9">
        <w:rPr>
          <w:rFonts w:ascii="Times New Roman" w:eastAsia="Times New Roman" w:hAnsi="Times New Roman" w:cs="Times New Roman"/>
        </w:rPr>
        <w:t>/ISD</w:t>
      </w:r>
      <w:r w:rsidR="002A0908">
        <w:rPr>
          <w:rFonts w:ascii="Times New Roman" w:eastAsia="Times New Roman" w:hAnsi="Times New Roman" w:cs="Times New Roman"/>
        </w:rPr>
        <w:t xml:space="preserve"> may reduce risk</w:t>
      </w:r>
      <w:r w:rsidR="00665E30">
        <w:rPr>
          <w:rFonts w:ascii="Times New Roman" w:eastAsia="Times New Roman" w:hAnsi="Times New Roman" w:cs="Times New Roman"/>
        </w:rPr>
        <w:t>s</w:t>
      </w:r>
      <w:r w:rsidR="002A0908">
        <w:rPr>
          <w:rFonts w:ascii="Times New Roman" w:eastAsia="Times New Roman" w:hAnsi="Times New Roman" w:cs="Times New Roman"/>
        </w:rPr>
        <w:t xml:space="preserve"> of an accident more than </w:t>
      </w:r>
      <w:r w:rsidR="0061691C">
        <w:rPr>
          <w:rFonts w:ascii="Times New Roman" w:eastAsia="Times New Roman" w:hAnsi="Times New Roman" w:cs="Times New Roman"/>
        </w:rPr>
        <w:t xml:space="preserve">would </w:t>
      </w:r>
      <w:r w:rsidR="002A0908">
        <w:rPr>
          <w:rFonts w:ascii="Times New Roman" w:eastAsia="Times New Roman" w:hAnsi="Times New Roman" w:cs="Times New Roman"/>
        </w:rPr>
        <w:t>a passive</w:t>
      </w:r>
      <w:r w:rsidR="0061691C">
        <w:rPr>
          <w:rFonts w:ascii="Times New Roman" w:eastAsia="Times New Roman" w:hAnsi="Times New Roman" w:cs="Times New Roman"/>
        </w:rPr>
        <w:t>-</w:t>
      </w:r>
      <w:r w:rsidR="002A0908">
        <w:rPr>
          <w:rFonts w:ascii="Times New Roman" w:eastAsia="Times New Roman" w:hAnsi="Times New Roman" w:cs="Times New Roman"/>
        </w:rPr>
        <w:t>equivalent measure. A</w:t>
      </w:r>
      <w:r w:rsidRPr="00FC6F23">
        <w:rPr>
          <w:rFonts w:ascii="Times New Roman" w:eastAsia="Times New Roman" w:hAnsi="Times New Roman" w:cs="Times New Roman"/>
        </w:rPr>
        <w:t xml:space="preserve"> </w:t>
      </w:r>
      <w:r w:rsidR="00225F5D">
        <w:rPr>
          <w:rFonts w:ascii="Times New Roman" w:eastAsia="Times New Roman" w:hAnsi="Times New Roman" w:cs="Times New Roman"/>
        </w:rPr>
        <w:t xml:space="preserve">lower </w:t>
      </w:r>
      <w:r w:rsidRPr="00FC6F23">
        <w:rPr>
          <w:rFonts w:ascii="Times New Roman" w:eastAsia="Times New Roman" w:hAnsi="Times New Roman" w:cs="Times New Roman"/>
        </w:rPr>
        <w:t>accident</w:t>
      </w:r>
      <w:r w:rsidR="00225F5D">
        <w:rPr>
          <w:rFonts w:ascii="Times New Roman" w:eastAsia="Times New Roman" w:hAnsi="Times New Roman" w:cs="Times New Roman"/>
        </w:rPr>
        <w:t xml:space="preserve"> risk</w:t>
      </w:r>
      <w:r w:rsidRPr="00FC6F23">
        <w:rPr>
          <w:rFonts w:ascii="Times New Roman" w:eastAsia="Times New Roman" w:hAnsi="Times New Roman" w:cs="Times New Roman"/>
        </w:rPr>
        <w:t xml:space="preserve"> </w:t>
      </w:r>
      <w:r w:rsidR="009449B7">
        <w:rPr>
          <w:rFonts w:ascii="Times New Roman" w:eastAsia="Times New Roman" w:hAnsi="Times New Roman" w:cs="Times New Roman"/>
        </w:rPr>
        <w:t>will</w:t>
      </w:r>
      <w:r w:rsidR="002A0908">
        <w:rPr>
          <w:rFonts w:ascii="Times New Roman" w:eastAsia="Times New Roman" w:hAnsi="Times New Roman" w:cs="Times New Roman"/>
        </w:rPr>
        <w:t xml:space="preserve"> result in</w:t>
      </w:r>
      <w:r w:rsidRPr="00FC6F23">
        <w:rPr>
          <w:rFonts w:ascii="Times New Roman" w:eastAsia="Times New Roman" w:hAnsi="Times New Roman" w:cs="Times New Roman"/>
        </w:rPr>
        <w:t xml:space="preserve"> facility safety benefits and social benefits from </w:t>
      </w:r>
      <w:r w:rsidR="00225F5D">
        <w:rPr>
          <w:rFonts w:ascii="Times New Roman" w:eastAsia="Times New Roman" w:hAnsi="Times New Roman" w:cs="Times New Roman"/>
        </w:rPr>
        <w:t>fewe</w:t>
      </w:r>
      <w:r w:rsidR="000D4CBC">
        <w:rPr>
          <w:rFonts w:ascii="Times New Roman" w:eastAsia="Times New Roman" w:hAnsi="Times New Roman" w:cs="Times New Roman"/>
        </w:rPr>
        <w:t>r</w:t>
      </w:r>
      <w:r w:rsidRPr="00FC6F23">
        <w:rPr>
          <w:rFonts w:ascii="Times New Roman" w:eastAsia="Times New Roman" w:hAnsi="Times New Roman" w:cs="Times New Roman"/>
        </w:rPr>
        <w:t xml:space="preserve"> accidents. </w:t>
      </w:r>
    </w:p>
    <w:p w:rsidR="00DE7F6B" w:rsidRPr="00FC6F23" w:rsidP="00082826" w14:paraId="78B06BE8" w14:textId="77777777">
      <w:pPr>
        <w:pStyle w:val="ListParagraph"/>
        <w:numPr>
          <w:ilvl w:val="0"/>
          <w:numId w:val="18"/>
        </w:numPr>
        <w:spacing w:after="0" w:line="240" w:lineRule="auto"/>
        <w:contextualSpacing w:val="0"/>
        <w:rPr>
          <w:rFonts w:ascii="Times New Roman" w:eastAsia="Times New Roman" w:hAnsi="Times New Roman" w:cs="Times New Roman"/>
        </w:rPr>
      </w:pPr>
      <w:r w:rsidRPr="00FC6F23">
        <w:rPr>
          <w:rFonts w:ascii="Times New Roman" w:eastAsia="Times New Roman" w:hAnsi="Times New Roman" w:cs="Times New Roman"/>
        </w:rPr>
        <w:t xml:space="preserve">Capital/facility </w:t>
      </w:r>
      <w:r w:rsidR="00022C8B">
        <w:rPr>
          <w:rFonts w:ascii="Times New Roman" w:eastAsia="Times New Roman" w:hAnsi="Times New Roman" w:cs="Times New Roman"/>
        </w:rPr>
        <w:t xml:space="preserve">reduced </w:t>
      </w:r>
      <w:r w:rsidRPr="00FC6F23">
        <w:rPr>
          <w:rFonts w:ascii="Times New Roman" w:eastAsia="Times New Roman" w:hAnsi="Times New Roman" w:cs="Times New Roman"/>
        </w:rPr>
        <w:t>losses – Similar to safety, a l</w:t>
      </w:r>
      <w:r w:rsidR="00225F5D">
        <w:rPr>
          <w:rFonts w:ascii="Times New Roman" w:eastAsia="Times New Roman" w:hAnsi="Times New Roman" w:cs="Times New Roman"/>
        </w:rPr>
        <w:t>ower accident</w:t>
      </w:r>
      <w:r w:rsidRPr="00FC6F23">
        <w:rPr>
          <w:rFonts w:ascii="Times New Roman" w:eastAsia="Times New Roman" w:hAnsi="Times New Roman" w:cs="Times New Roman"/>
        </w:rPr>
        <w:t xml:space="preserve"> risk </w:t>
      </w:r>
      <w:r w:rsidR="009449B7">
        <w:rPr>
          <w:rFonts w:ascii="Times New Roman" w:eastAsia="Times New Roman" w:hAnsi="Times New Roman" w:cs="Times New Roman"/>
        </w:rPr>
        <w:t>will</w:t>
      </w:r>
      <w:r w:rsidRPr="00FC6F23">
        <w:rPr>
          <w:rFonts w:ascii="Times New Roman" w:eastAsia="Times New Roman" w:hAnsi="Times New Roman" w:cs="Times New Roman"/>
        </w:rPr>
        <w:t xml:space="preserve"> reduce losses to capital as well as </w:t>
      </w:r>
      <w:r w:rsidR="00AE38F2">
        <w:rPr>
          <w:rFonts w:ascii="Times New Roman" w:eastAsia="Times New Roman" w:hAnsi="Times New Roman" w:cs="Times New Roman"/>
        </w:rPr>
        <w:t>shorter</w:t>
      </w:r>
      <w:r w:rsidR="0062723D">
        <w:rPr>
          <w:rFonts w:ascii="Times New Roman" w:eastAsia="Times New Roman" w:hAnsi="Times New Roman" w:cs="Times New Roman"/>
        </w:rPr>
        <w:t xml:space="preserve"> than </w:t>
      </w:r>
      <w:r w:rsidR="00665E30">
        <w:rPr>
          <w:rFonts w:ascii="Times New Roman" w:eastAsia="Times New Roman" w:hAnsi="Times New Roman" w:cs="Times New Roman"/>
        </w:rPr>
        <w:t>expected</w:t>
      </w:r>
      <w:r w:rsidRPr="00FC6F23">
        <w:rPr>
          <w:rFonts w:ascii="Times New Roman" w:eastAsia="Times New Roman" w:hAnsi="Times New Roman" w:cs="Times New Roman"/>
        </w:rPr>
        <w:t xml:space="preserve"> facility shutdown time from accidents</w:t>
      </w:r>
      <w:r w:rsidR="002A0908">
        <w:rPr>
          <w:rFonts w:ascii="Times New Roman" w:eastAsia="Times New Roman" w:hAnsi="Times New Roman" w:cs="Times New Roman"/>
        </w:rPr>
        <w:t>.</w:t>
      </w:r>
    </w:p>
    <w:p w:rsidR="00DE7F6B" w14:paraId="232895D9" w14:textId="77777777">
      <w:pPr>
        <w:spacing w:after="0" w:line="240" w:lineRule="auto"/>
        <w:ind w:firstLine="720"/>
        <w:rPr>
          <w:rFonts w:ascii="Times New Roman" w:hAnsi="Times New Roman" w:cs="Times New Roman"/>
          <w:iCs/>
        </w:rPr>
      </w:pPr>
    </w:p>
    <w:p w:rsidR="00C50C2B" w:rsidRPr="00FC6F23" w:rsidP="00FC6F23" w14:paraId="67097554" w14:textId="77777777">
      <w:pPr>
        <w:spacing w:after="0" w:line="240" w:lineRule="auto"/>
        <w:ind w:firstLine="720"/>
        <w:rPr>
          <w:rFonts w:ascii="Times New Roman" w:hAnsi="Times New Roman" w:cs="Times New Roman"/>
          <w:iCs/>
        </w:rPr>
      </w:pPr>
      <w:r>
        <w:rPr>
          <w:rFonts w:ascii="Times New Roman" w:hAnsi="Times New Roman" w:cs="Times New Roman"/>
          <w:iCs/>
        </w:rPr>
        <w:t>Of the 30</w:t>
      </w:r>
      <w:r w:rsidR="00577627">
        <w:rPr>
          <w:rFonts w:ascii="Times New Roman" w:hAnsi="Times New Roman" w:cs="Times New Roman"/>
          <w:iCs/>
        </w:rPr>
        <w:t xml:space="preserve"> </w:t>
      </w:r>
      <w:r w:rsidRPr="001D3BBD" w:rsidR="001D3BBD">
        <w:rPr>
          <w:rFonts w:ascii="Times New Roman" w:hAnsi="Times New Roman" w:cs="Times New Roman"/>
          <w:iCs/>
        </w:rPr>
        <w:t>risk-reduction</w:t>
      </w:r>
      <w:r>
        <w:rPr>
          <w:rFonts w:ascii="Times New Roman" w:hAnsi="Times New Roman" w:cs="Times New Roman"/>
          <w:iCs/>
        </w:rPr>
        <w:t xml:space="preserve"> measures with cost estimates, EPA </w:t>
      </w:r>
      <w:r w:rsidR="00A22723">
        <w:rPr>
          <w:rFonts w:ascii="Times New Roman" w:hAnsi="Times New Roman" w:cs="Times New Roman"/>
          <w:iCs/>
        </w:rPr>
        <w:t>applie</w:t>
      </w:r>
      <w:r w:rsidR="00022C8B">
        <w:rPr>
          <w:rFonts w:ascii="Times New Roman" w:hAnsi="Times New Roman" w:cs="Times New Roman"/>
          <w:iCs/>
        </w:rPr>
        <w:t>d</w:t>
      </w:r>
      <w:r w:rsidR="00A22723">
        <w:rPr>
          <w:rFonts w:ascii="Times New Roman" w:hAnsi="Times New Roman" w:cs="Times New Roman"/>
          <w:iCs/>
        </w:rPr>
        <w:t xml:space="preserve"> five</w:t>
      </w:r>
      <w:r w:rsidR="00CD4E43">
        <w:rPr>
          <w:rFonts w:ascii="Times New Roman" w:hAnsi="Times New Roman" w:cs="Times New Roman"/>
          <w:iCs/>
        </w:rPr>
        <w:t xml:space="preserve"> measures</w:t>
      </w:r>
      <w:r w:rsidR="00A22723">
        <w:rPr>
          <w:rFonts w:ascii="Times New Roman" w:hAnsi="Times New Roman" w:cs="Times New Roman"/>
          <w:iCs/>
        </w:rPr>
        <w:t xml:space="preserve"> to NAICS 324 facilities</w:t>
      </w:r>
      <w:r w:rsidR="004579D2">
        <w:rPr>
          <w:rFonts w:ascii="Times New Roman" w:hAnsi="Times New Roman" w:cs="Times New Roman"/>
          <w:iCs/>
        </w:rPr>
        <w:t xml:space="preserve"> onl</w:t>
      </w:r>
      <w:r w:rsidR="00373D53">
        <w:rPr>
          <w:rFonts w:ascii="Times New Roman" w:hAnsi="Times New Roman" w:cs="Times New Roman"/>
          <w:iCs/>
        </w:rPr>
        <w:t>y</w:t>
      </w:r>
      <w:r w:rsidR="00A22723">
        <w:rPr>
          <w:rFonts w:ascii="Times New Roman" w:hAnsi="Times New Roman" w:cs="Times New Roman"/>
          <w:iCs/>
        </w:rPr>
        <w:t xml:space="preserve">, 19 </w:t>
      </w:r>
      <w:r w:rsidR="00132C2C">
        <w:rPr>
          <w:rFonts w:ascii="Times New Roman" w:hAnsi="Times New Roman" w:cs="Times New Roman"/>
          <w:iCs/>
        </w:rPr>
        <w:t>t</w:t>
      </w:r>
      <w:r w:rsidR="00A22723">
        <w:rPr>
          <w:rFonts w:ascii="Times New Roman" w:hAnsi="Times New Roman" w:cs="Times New Roman"/>
          <w:iCs/>
        </w:rPr>
        <w:t>o NAICS 325 facilities</w:t>
      </w:r>
      <w:r w:rsidR="00373D53">
        <w:rPr>
          <w:rFonts w:ascii="Times New Roman" w:hAnsi="Times New Roman" w:cs="Times New Roman"/>
          <w:iCs/>
        </w:rPr>
        <w:t xml:space="preserve"> only</w:t>
      </w:r>
      <w:r w:rsidR="00A22723">
        <w:rPr>
          <w:rFonts w:ascii="Times New Roman" w:hAnsi="Times New Roman" w:cs="Times New Roman"/>
          <w:iCs/>
        </w:rPr>
        <w:t xml:space="preserve">, and </w:t>
      </w:r>
      <w:r w:rsidR="009452D0">
        <w:rPr>
          <w:rFonts w:ascii="Times New Roman" w:hAnsi="Times New Roman" w:cs="Times New Roman"/>
          <w:iCs/>
        </w:rPr>
        <w:t>six to both.</w:t>
      </w:r>
      <w:r w:rsidR="00286C0A">
        <w:rPr>
          <w:rFonts w:ascii="Times New Roman" w:hAnsi="Times New Roman" w:cs="Times New Roman"/>
          <w:iCs/>
        </w:rPr>
        <w:t xml:space="preserve"> </w:t>
      </w:r>
      <w:r w:rsidR="00F9740B">
        <w:rPr>
          <w:rFonts w:ascii="Times New Roman" w:hAnsi="Times New Roman" w:cs="Times New Roman"/>
          <w:iCs/>
        </w:rPr>
        <w:t>Twenty-seven</w:t>
      </w:r>
      <w:r w:rsidR="00AA31F0">
        <w:rPr>
          <w:rFonts w:ascii="Times New Roman" w:hAnsi="Times New Roman" w:cs="Times New Roman"/>
          <w:iCs/>
        </w:rPr>
        <w:t xml:space="preserve"> (five NAICS 324 only, </w:t>
      </w:r>
      <w:r w:rsidR="00914A90">
        <w:rPr>
          <w:rFonts w:ascii="Times New Roman" w:hAnsi="Times New Roman" w:cs="Times New Roman"/>
          <w:iCs/>
        </w:rPr>
        <w:t>17 NAICS 325 only</w:t>
      </w:r>
      <w:r w:rsidR="006636F3">
        <w:rPr>
          <w:rFonts w:ascii="Times New Roman" w:hAnsi="Times New Roman" w:cs="Times New Roman"/>
          <w:iCs/>
        </w:rPr>
        <w:t>, five both</w:t>
      </w:r>
      <w:r w:rsidR="00914A90">
        <w:rPr>
          <w:rFonts w:ascii="Times New Roman" w:hAnsi="Times New Roman" w:cs="Times New Roman"/>
          <w:iCs/>
        </w:rPr>
        <w:t>)</w:t>
      </w:r>
      <w:r w:rsidR="00C17070">
        <w:rPr>
          <w:rFonts w:ascii="Times New Roman" w:hAnsi="Times New Roman" w:cs="Times New Roman"/>
          <w:iCs/>
        </w:rPr>
        <w:t xml:space="preserve"> of the 30 measures provide capital cost estimates, and </w:t>
      </w:r>
      <w:r w:rsidR="00B226E4">
        <w:rPr>
          <w:rFonts w:ascii="Times New Roman" w:hAnsi="Times New Roman" w:cs="Times New Roman"/>
          <w:iCs/>
        </w:rPr>
        <w:t xml:space="preserve">15 </w:t>
      </w:r>
      <w:r w:rsidR="00914A90">
        <w:rPr>
          <w:rFonts w:ascii="Times New Roman" w:hAnsi="Times New Roman" w:cs="Times New Roman"/>
          <w:iCs/>
        </w:rPr>
        <w:t>(</w:t>
      </w:r>
      <w:r w:rsidR="00484599">
        <w:rPr>
          <w:rFonts w:ascii="Times New Roman" w:hAnsi="Times New Roman" w:cs="Times New Roman"/>
          <w:iCs/>
        </w:rPr>
        <w:t xml:space="preserve">two NAICS 324 only, </w:t>
      </w:r>
      <w:r w:rsidR="00D87933">
        <w:rPr>
          <w:rFonts w:ascii="Times New Roman" w:hAnsi="Times New Roman" w:cs="Times New Roman"/>
          <w:iCs/>
        </w:rPr>
        <w:t>10</w:t>
      </w:r>
      <w:r w:rsidR="006636F3">
        <w:rPr>
          <w:rFonts w:ascii="Times New Roman" w:hAnsi="Times New Roman" w:cs="Times New Roman"/>
          <w:iCs/>
        </w:rPr>
        <w:t xml:space="preserve"> NAICS 325 only, three both</w:t>
      </w:r>
      <w:r w:rsidR="00290403">
        <w:rPr>
          <w:rFonts w:ascii="Times New Roman" w:hAnsi="Times New Roman" w:cs="Times New Roman"/>
          <w:iCs/>
        </w:rPr>
        <w:t xml:space="preserve"> 324 and 325</w:t>
      </w:r>
      <w:r w:rsidR="006636F3">
        <w:rPr>
          <w:rFonts w:ascii="Times New Roman" w:hAnsi="Times New Roman" w:cs="Times New Roman"/>
          <w:iCs/>
        </w:rPr>
        <w:t xml:space="preserve">) </w:t>
      </w:r>
      <w:r w:rsidR="00C17070">
        <w:rPr>
          <w:rFonts w:ascii="Times New Roman" w:hAnsi="Times New Roman" w:cs="Times New Roman"/>
          <w:iCs/>
        </w:rPr>
        <w:t xml:space="preserve">of the 30 </w:t>
      </w:r>
      <w:r w:rsidR="00AA31F0">
        <w:rPr>
          <w:rFonts w:ascii="Times New Roman" w:hAnsi="Times New Roman" w:cs="Times New Roman"/>
          <w:iCs/>
        </w:rPr>
        <w:t xml:space="preserve">provide recurring cost estimates. </w:t>
      </w:r>
      <w:r w:rsidR="00002D9C">
        <w:rPr>
          <w:rFonts w:ascii="Times New Roman" w:hAnsi="Times New Roman" w:cs="Times New Roman"/>
          <w:iCs/>
        </w:rPr>
        <w:t>EPA lacks data on the s</w:t>
      </w:r>
      <w:r w:rsidR="00C52FF2">
        <w:rPr>
          <w:rFonts w:ascii="Times New Roman" w:hAnsi="Times New Roman" w:cs="Times New Roman"/>
          <w:iCs/>
        </w:rPr>
        <w:t xml:space="preserve">afety impacts of each measure, so it takes an agnostic approach of averaging </w:t>
      </w:r>
      <w:r w:rsidR="00DE51A2">
        <w:rPr>
          <w:rFonts w:ascii="Times New Roman" w:hAnsi="Times New Roman" w:cs="Times New Roman"/>
          <w:iCs/>
        </w:rPr>
        <w:t xml:space="preserve">capital costs from </w:t>
      </w:r>
      <w:r w:rsidR="00C52FF2">
        <w:rPr>
          <w:rFonts w:ascii="Times New Roman" w:hAnsi="Times New Roman" w:cs="Times New Roman"/>
          <w:iCs/>
        </w:rPr>
        <w:t xml:space="preserve">all </w:t>
      </w:r>
      <w:r w:rsidR="009452D0">
        <w:rPr>
          <w:rFonts w:ascii="Times New Roman" w:hAnsi="Times New Roman" w:cs="Times New Roman"/>
          <w:iCs/>
        </w:rPr>
        <w:t>11</w:t>
      </w:r>
      <w:r w:rsidR="00C52FF2">
        <w:rPr>
          <w:rFonts w:ascii="Times New Roman" w:hAnsi="Times New Roman" w:cs="Times New Roman"/>
          <w:iCs/>
        </w:rPr>
        <w:t xml:space="preserve"> measures</w:t>
      </w:r>
      <w:r w:rsidR="009452D0">
        <w:rPr>
          <w:rFonts w:ascii="Times New Roman" w:hAnsi="Times New Roman" w:cs="Times New Roman"/>
          <w:iCs/>
        </w:rPr>
        <w:t xml:space="preserve"> </w:t>
      </w:r>
      <w:r w:rsidR="00F01A7A">
        <w:rPr>
          <w:rFonts w:ascii="Times New Roman" w:hAnsi="Times New Roman" w:cs="Times New Roman"/>
          <w:iCs/>
        </w:rPr>
        <w:t xml:space="preserve">of all types </w:t>
      </w:r>
      <w:r w:rsidR="009452D0">
        <w:rPr>
          <w:rFonts w:ascii="Times New Roman" w:hAnsi="Times New Roman" w:cs="Times New Roman"/>
          <w:iCs/>
        </w:rPr>
        <w:t xml:space="preserve">for </w:t>
      </w:r>
      <w:r w:rsidR="00DE51A2">
        <w:rPr>
          <w:rFonts w:ascii="Times New Roman" w:hAnsi="Times New Roman" w:cs="Times New Roman"/>
          <w:iCs/>
        </w:rPr>
        <w:t>NAICS 324 facilities and all 25 measures for NAICS 325 facilities</w:t>
      </w:r>
      <w:r w:rsidR="008F2141">
        <w:rPr>
          <w:rFonts w:ascii="Times New Roman" w:hAnsi="Times New Roman" w:cs="Times New Roman"/>
          <w:iCs/>
        </w:rPr>
        <w:t>.</w:t>
      </w:r>
      <w:r w:rsidR="00F41FE6">
        <w:rPr>
          <w:rFonts w:ascii="Times New Roman" w:hAnsi="Times New Roman" w:cs="Times New Roman"/>
          <w:iCs/>
        </w:rPr>
        <w:t xml:space="preserve"> </w:t>
      </w:r>
      <w:r w:rsidR="00D35F14">
        <w:rPr>
          <w:rFonts w:ascii="Times New Roman" w:hAnsi="Times New Roman" w:cs="Times New Roman"/>
          <w:iCs/>
        </w:rPr>
        <w:t xml:space="preserve">EPA estimates recurring costs as a percent of capital costs by dividing the </w:t>
      </w:r>
      <w:r w:rsidR="00E30B1E">
        <w:rPr>
          <w:rFonts w:ascii="Times New Roman" w:hAnsi="Times New Roman" w:cs="Times New Roman"/>
          <w:iCs/>
        </w:rPr>
        <w:t xml:space="preserve">mean of the </w:t>
      </w:r>
      <w:r w:rsidR="00E23C92">
        <w:rPr>
          <w:rFonts w:ascii="Times New Roman" w:hAnsi="Times New Roman" w:cs="Times New Roman"/>
          <w:iCs/>
        </w:rPr>
        <w:t>15</w:t>
      </w:r>
      <w:r w:rsidR="00E30B1E">
        <w:rPr>
          <w:rFonts w:ascii="Times New Roman" w:hAnsi="Times New Roman" w:cs="Times New Roman"/>
          <w:iCs/>
        </w:rPr>
        <w:t xml:space="preserve"> recurring cost estimates by the mean of the 27 capital cost estimates</w:t>
      </w:r>
      <w:r w:rsidR="00E23C92">
        <w:rPr>
          <w:rFonts w:ascii="Times New Roman" w:hAnsi="Times New Roman" w:cs="Times New Roman"/>
          <w:iCs/>
        </w:rPr>
        <w:t>, rounded to the nearest whole percentage</w:t>
      </w:r>
      <w:r w:rsidR="00E30B1E">
        <w:rPr>
          <w:rFonts w:ascii="Times New Roman" w:hAnsi="Times New Roman" w:cs="Times New Roman"/>
          <w:iCs/>
        </w:rPr>
        <w:t>.</w:t>
      </w:r>
      <w:r w:rsidR="00C03BA2">
        <w:rPr>
          <w:rFonts w:ascii="Times New Roman" w:hAnsi="Times New Roman" w:cs="Times New Roman"/>
          <w:iCs/>
        </w:rPr>
        <w:t xml:space="preserve"> </w:t>
      </w:r>
      <w:r w:rsidR="00300E3B">
        <w:rPr>
          <w:rFonts w:ascii="Times New Roman" w:hAnsi="Times New Roman" w:cs="Times New Roman"/>
          <w:iCs/>
        </w:rPr>
        <w:t xml:space="preserve">EPA does not estimate </w:t>
      </w:r>
      <w:r w:rsidR="00802E67">
        <w:rPr>
          <w:rFonts w:ascii="Times New Roman" w:hAnsi="Times New Roman" w:cs="Times New Roman"/>
          <w:iCs/>
        </w:rPr>
        <w:t>facility</w:t>
      </w:r>
      <w:r w:rsidR="00333411">
        <w:rPr>
          <w:rFonts w:ascii="Times New Roman" w:hAnsi="Times New Roman" w:cs="Times New Roman"/>
          <w:iCs/>
        </w:rPr>
        <w:t xml:space="preserve"> costs </w:t>
      </w:r>
      <w:r w:rsidR="0031499C">
        <w:rPr>
          <w:rFonts w:ascii="Times New Roman" w:hAnsi="Times New Roman" w:cs="Times New Roman"/>
          <w:iCs/>
        </w:rPr>
        <w:t xml:space="preserve">due to </w:t>
      </w:r>
      <w:r w:rsidR="00802E67">
        <w:rPr>
          <w:rFonts w:ascii="Times New Roman" w:hAnsi="Times New Roman" w:cs="Times New Roman"/>
          <w:iCs/>
        </w:rPr>
        <w:t>forgone</w:t>
      </w:r>
      <w:r w:rsidR="00CF796F">
        <w:rPr>
          <w:rFonts w:ascii="Times New Roman" w:hAnsi="Times New Roman" w:cs="Times New Roman"/>
          <w:iCs/>
        </w:rPr>
        <w:t xml:space="preserve"> production </w:t>
      </w:r>
      <w:r w:rsidR="00A3377E">
        <w:rPr>
          <w:rFonts w:ascii="Times New Roman" w:hAnsi="Times New Roman" w:cs="Times New Roman"/>
          <w:iCs/>
        </w:rPr>
        <w:t>during</w:t>
      </w:r>
      <w:r w:rsidR="00CF796F">
        <w:rPr>
          <w:rFonts w:ascii="Times New Roman" w:hAnsi="Times New Roman" w:cs="Times New Roman"/>
          <w:iCs/>
        </w:rPr>
        <w:t xml:space="preserve"> </w:t>
      </w:r>
      <w:r w:rsidR="00D506DA">
        <w:rPr>
          <w:rFonts w:ascii="Times New Roman" w:hAnsi="Times New Roman" w:cs="Times New Roman"/>
          <w:iCs/>
        </w:rPr>
        <w:t xml:space="preserve">measure </w:t>
      </w:r>
      <w:r w:rsidR="00CF796F">
        <w:rPr>
          <w:rFonts w:ascii="Times New Roman" w:hAnsi="Times New Roman" w:cs="Times New Roman"/>
          <w:iCs/>
        </w:rPr>
        <w:t>implementation</w:t>
      </w:r>
      <w:r w:rsidR="00C36A79">
        <w:rPr>
          <w:rFonts w:ascii="Times New Roman" w:hAnsi="Times New Roman" w:cs="Times New Roman"/>
          <w:iCs/>
        </w:rPr>
        <w:t>, nor does it estimate</w:t>
      </w:r>
      <w:r w:rsidR="00523C5E">
        <w:rPr>
          <w:rFonts w:ascii="Times New Roman" w:hAnsi="Times New Roman" w:cs="Times New Roman"/>
          <w:iCs/>
        </w:rPr>
        <w:t xml:space="preserve"> </w:t>
      </w:r>
      <w:r w:rsidR="00C36A79">
        <w:rPr>
          <w:rFonts w:ascii="Times New Roman" w:hAnsi="Times New Roman" w:cs="Times New Roman"/>
          <w:iCs/>
        </w:rPr>
        <w:t xml:space="preserve">potential </w:t>
      </w:r>
      <w:r w:rsidR="00523C5E">
        <w:rPr>
          <w:rFonts w:ascii="Times New Roman" w:hAnsi="Times New Roman" w:cs="Times New Roman"/>
          <w:iCs/>
        </w:rPr>
        <w:t xml:space="preserve">revenue </w:t>
      </w:r>
      <w:r w:rsidR="00C36A79">
        <w:rPr>
          <w:rFonts w:ascii="Times New Roman" w:hAnsi="Times New Roman" w:cs="Times New Roman"/>
          <w:iCs/>
        </w:rPr>
        <w:t xml:space="preserve">gains </w:t>
      </w:r>
      <w:r w:rsidR="00523C5E">
        <w:rPr>
          <w:rFonts w:ascii="Times New Roman" w:hAnsi="Times New Roman" w:cs="Times New Roman"/>
          <w:iCs/>
        </w:rPr>
        <w:t>or cost savings</w:t>
      </w:r>
      <w:r w:rsidR="00CB4F9E">
        <w:rPr>
          <w:rFonts w:ascii="Times New Roman" w:hAnsi="Times New Roman" w:cs="Times New Roman"/>
          <w:iCs/>
        </w:rPr>
        <w:t xml:space="preserve"> f</w:t>
      </w:r>
      <w:r w:rsidR="00EE5D9D">
        <w:rPr>
          <w:rFonts w:ascii="Times New Roman" w:hAnsi="Times New Roman" w:cs="Times New Roman"/>
          <w:iCs/>
        </w:rPr>
        <w:t>rom implementing a measure</w:t>
      </w:r>
      <w:r w:rsidR="00CB4F9E">
        <w:rPr>
          <w:rFonts w:ascii="Times New Roman" w:hAnsi="Times New Roman" w:cs="Times New Roman"/>
          <w:iCs/>
        </w:rPr>
        <w:t>.</w:t>
      </w:r>
      <w:r w:rsidR="006C2DAD">
        <w:rPr>
          <w:rFonts w:ascii="Times New Roman" w:hAnsi="Times New Roman" w:cs="Times New Roman"/>
          <w:iCs/>
        </w:rPr>
        <w:t xml:space="preserve"> Exhibit 4-6 </w:t>
      </w:r>
      <w:r w:rsidR="00A02233">
        <w:rPr>
          <w:rFonts w:ascii="Times New Roman" w:hAnsi="Times New Roman" w:cs="Times New Roman"/>
          <w:iCs/>
        </w:rPr>
        <w:t xml:space="preserve">presents </w:t>
      </w:r>
      <w:r w:rsidR="00764DFC">
        <w:rPr>
          <w:rFonts w:ascii="Times New Roman" w:hAnsi="Times New Roman" w:cs="Times New Roman"/>
          <w:iCs/>
        </w:rPr>
        <w:t xml:space="preserve">the </w:t>
      </w:r>
      <w:r w:rsidR="00DF06FE">
        <w:rPr>
          <w:rFonts w:ascii="Times New Roman" w:hAnsi="Times New Roman" w:cs="Times New Roman"/>
          <w:iCs/>
        </w:rPr>
        <w:t>cost estimate</w:t>
      </w:r>
      <w:r w:rsidR="00764DFC">
        <w:rPr>
          <w:rFonts w:ascii="Times New Roman" w:hAnsi="Times New Roman" w:cs="Times New Roman"/>
          <w:iCs/>
        </w:rPr>
        <w:t xml:space="preserve"> per measure</w:t>
      </w:r>
      <w:r w:rsidR="005F19EC">
        <w:rPr>
          <w:rFonts w:ascii="Times New Roman" w:hAnsi="Times New Roman" w:cs="Times New Roman"/>
          <w:iCs/>
        </w:rPr>
        <w:t xml:space="preserve">, which </w:t>
      </w:r>
      <w:r w:rsidR="00D33C6B">
        <w:rPr>
          <w:rFonts w:ascii="Times New Roman" w:hAnsi="Times New Roman" w:cs="Times New Roman"/>
          <w:iCs/>
        </w:rPr>
        <w:t xml:space="preserve">equals the cost estimate per facility because EPA assumes each facility implements one measure </w:t>
      </w:r>
      <w:r w:rsidR="001434A8">
        <w:rPr>
          <w:rFonts w:ascii="Times New Roman" w:hAnsi="Times New Roman" w:cs="Times New Roman"/>
          <w:iCs/>
        </w:rPr>
        <w:t>per five</w:t>
      </w:r>
      <w:r w:rsidR="00F0233F">
        <w:rPr>
          <w:rFonts w:ascii="Times New Roman" w:hAnsi="Times New Roman" w:cs="Times New Roman"/>
          <w:iCs/>
        </w:rPr>
        <w:t>-</w:t>
      </w:r>
      <w:r w:rsidR="001434A8">
        <w:rPr>
          <w:rFonts w:ascii="Times New Roman" w:hAnsi="Times New Roman" w:cs="Times New Roman"/>
          <w:iCs/>
        </w:rPr>
        <w:t>year period</w:t>
      </w:r>
      <w:r w:rsidR="00D33C6B">
        <w:rPr>
          <w:rFonts w:ascii="Times New Roman" w:hAnsi="Times New Roman" w:cs="Times New Roman"/>
          <w:iCs/>
        </w:rPr>
        <w:t xml:space="preserve"> to satisfy the requirement</w:t>
      </w:r>
      <w:r w:rsidR="005920C4">
        <w:rPr>
          <w:rFonts w:ascii="Times New Roman" w:hAnsi="Times New Roman" w:cs="Times New Roman"/>
          <w:iCs/>
        </w:rPr>
        <w:t>.</w:t>
      </w:r>
    </w:p>
    <w:p w:rsidR="0097029E" w:rsidRPr="00F54EEB" w:rsidP="0022422B" w14:paraId="70E70D00" w14:textId="77777777">
      <w:pPr>
        <w:spacing w:after="0" w:line="240" w:lineRule="auto"/>
        <w:rPr>
          <w:rFonts w:ascii="Times New Roman" w:hAnsi="Times New Roman" w:cs="Times New Roman"/>
        </w:rPr>
      </w:pPr>
    </w:p>
    <w:p w:rsidR="0074255F" w:rsidRPr="0074255F" w:rsidP="0074255F" w14:paraId="6AEAB202" w14:textId="77777777">
      <w:pPr>
        <w:pStyle w:val="Caption"/>
        <w:keepNext/>
        <w:jc w:val="center"/>
        <w:rPr>
          <w:rFonts w:ascii="Times New Roman" w:hAnsi="Times New Roman" w:cs="Times New Roman"/>
          <w:b/>
          <w:bCs/>
          <w:i w:val="0"/>
          <w:iCs w:val="0"/>
          <w:color w:val="auto"/>
          <w:sz w:val="22"/>
          <w:szCs w:val="22"/>
        </w:rPr>
      </w:pPr>
      <w:bookmarkStart w:id="171" w:name="_Hlk141463017"/>
      <w:r w:rsidRPr="00835820">
        <w:rPr>
          <w:rFonts w:ascii="Times New Roman" w:hAnsi="Times New Roman" w:cs="Times New Roman"/>
          <w:b/>
          <w:bCs/>
          <w:i w:val="0"/>
          <w:iCs w:val="0"/>
          <w:color w:val="auto"/>
          <w:sz w:val="22"/>
          <w:szCs w:val="22"/>
        </w:rPr>
        <w:t>Exhibit</w:t>
      </w:r>
      <w:r>
        <w:t xml:space="preserve"> </w:t>
      </w:r>
      <w:r w:rsidRPr="00835820">
        <w:rPr>
          <w:rFonts w:ascii="Times New Roman" w:hAnsi="Times New Roman" w:cs="Times New Roman"/>
          <w:b/>
          <w:bCs/>
          <w:i w:val="0"/>
          <w:iCs w:val="0"/>
          <w:color w:val="auto"/>
          <w:sz w:val="22"/>
          <w:szCs w:val="22"/>
        </w:rPr>
        <w:t>4-</w:t>
      </w:r>
      <w:r w:rsidR="00762CF7">
        <w:rPr>
          <w:rFonts w:ascii="Times New Roman" w:hAnsi="Times New Roman" w:cs="Times New Roman"/>
          <w:b/>
          <w:bCs/>
          <w:i w:val="0"/>
          <w:iCs w:val="0"/>
          <w:color w:val="auto"/>
          <w:sz w:val="22"/>
          <w:szCs w:val="22"/>
        </w:rPr>
        <w:t>6</w:t>
      </w:r>
      <w:r w:rsidRPr="00835820">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 xml:space="preserve">STAA Implementation </w:t>
      </w:r>
      <w:r w:rsidR="008B4C88">
        <w:rPr>
          <w:rFonts w:ascii="Times New Roman" w:hAnsi="Times New Roman" w:cs="Times New Roman"/>
          <w:b/>
          <w:bCs/>
          <w:i w:val="0"/>
          <w:iCs w:val="0"/>
          <w:color w:val="auto"/>
          <w:sz w:val="22"/>
          <w:szCs w:val="22"/>
        </w:rPr>
        <w:t>Costs per Facility</w:t>
      </w:r>
      <w:r w:rsidRPr="00835820">
        <w:rPr>
          <w:rFonts w:ascii="Times New Roman" w:hAnsi="Times New Roman" w:cs="Times New Roman"/>
          <w:b/>
          <w:bCs/>
          <w:i w:val="0"/>
          <w:iCs w:val="0"/>
          <w:color w:val="auto"/>
          <w:sz w:val="22"/>
          <w:szCs w:val="22"/>
        </w:rPr>
        <w:t xml:space="preserve"> (202</w:t>
      </w:r>
      <w:r>
        <w:rPr>
          <w:rFonts w:ascii="Times New Roman" w:hAnsi="Times New Roman" w:cs="Times New Roman"/>
          <w:b/>
          <w:bCs/>
          <w:i w:val="0"/>
          <w:iCs w:val="0"/>
          <w:color w:val="auto"/>
          <w:sz w:val="22"/>
          <w:szCs w:val="22"/>
        </w:rPr>
        <w:t>2</w:t>
      </w:r>
      <w:r w:rsidRPr="00835820">
        <w:rPr>
          <w:rFonts w:ascii="Times New Roman" w:hAnsi="Times New Roman" w:cs="Times New Roman"/>
          <w:b/>
          <w:bCs/>
          <w:i w:val="0"/>
          <w:iCs w:val="0"/>
          <w:color w:val="auto"/>
          <w:sz w:val="22"/>
          <w:szCs w:val="22"/>
        </w:rPr>
        <w:t xml:space="preserve"> dollars).</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5"/>
        <w:gridCol w:w="1440"/>
        <w:gridCol w:w="2340"/>
        <w:gridCol w:w="1620"/>
        <w:gridCol w:w="1620"/>
        <w:gridCol w:w="1335"/>
      </w:tblGrid>
      <w:tr w14:paraId="227C69C6" w14:textId="77777777" w:rsidTr="00947DD4">
        <w:tblPrEx>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0"/>
        </w:trPr>
        <w:tc>
          <w:tcPr>
            <w:tcW w:w="1615" w:type="dxa"/>
            <w:vMerge w:val="restart"/>
            <w:shd w:val="clear" w:color="auto" w:fill="D9D9D9" w:themeFill="background1" w:themeFillShade="D9"/>
            <w:vAlign w:val="bottom"/>
            <w:hideMark/>
          </w:tcPr>
          <w:p w:rsidR="00F54EEB" w:rsidRPr="00FC6F23" w:rsidP="00947DD4" w14:paraId="48BBDE0D" w14:textId="77777777">
            <w:pPr>
              <w:spacing w:after="0" w:line="240" w:lineRule="auto"/>
              <w:jc w:val="center"/>
              <w:rPr>
                <w:rFonts w:ascii="Times New Roman" w:eastAsia="Times New Roman" w:hAnsi="Times New Roman" w:cs="Times New Roman"/>
                <w:b/>
                <w:bCs/>
                <w:color w:val="000000"/>
              </w:rPr>
            </w:pPr>
            <w:r w:rsidRPr="00FC6F23">
              <w:rPr>
                <w:rFonts w:ascii="Times New Roman" w:eastAsia="Times New Roman" w:hAnsi="Times New Roman" w:cs="Times New Roman"/>
                <w:b/>
                <w:bCs/>
                <w:color w:val="000000"/>
              </w:rPr>
              <w:t>Sector</w:t>
            </w:r>
          </w:p>
        </w:tc>
        <w:tc>
          <w:tcPr>
            <w:tcW w:w="1440" w:type="dxa"/>
            <w:vMerge w:val="restart"/>
            <w:shd w:val="clear" w:color="auto" w:fill="D9D9D9" w:themeFill="background1" w:themeFillShade="D9"/>
            <w:noWrap/>
            <w:vAlign w:val="bottom"/>
            <w:hideMark/>
          </w:tcPr>
          <w:p w:rsidR="00F54EEB" w:rsidRPr="00FC6F23" w:rsidP="00947DD4" w14:paraId="6A428524" w14:textId="77777777">
            <w:pPr>
              <w:spacing w:after="0" w:line="240" w:lineRule="auto"/>
              <w:jc w:val="center"/>
              <w:rPr>
                <w:rFonts w:ascii="Times New Roman" w:eastAsia="Times New Roman" w:hAnsi="Times New Roman" w:cs="Times New Roman"/>
                <w:b/>
                <w:bCs/>
                <w:color w:val="000000"/>
              </w:rPr>
            </w:pPr>
            <w:r w:rsidRPr="00FC6F23">
              <w:rPr>
                <w:rFonts w:ascii="Times New Roman" w:eastAsia="Times New Roman" w:hAnsi="Times New Roman" w:cs="Times New Roman"/>
                <w:b/>
                <w:bCs/>
                <w:color w:val="000000"/>
              </w:rPr>
              <w:t>Capital Cost per Measure</w:t>
            </w:r>
          </w:p>
        </w:tc>
        <w:tc>
          <w:tcPr>
            <w:tcW w:w="2340" w:type="dxa"/>
            <w:vMerge w:val="restart"/>
            <w:shd w:val="clear" w:color="auto" w:fill="D9D9D9" w:themeFill="background1" w:themeFillShade="D9"/>
            <w:noWrap/>
            <w:vAlign w:val="bottom"/>
            <w:hideMark/>
          </w:tcPr>
          <w:p w:rsidR="00F54EEB" w:rsidRPr="00FC6F23" w:rsidP="00947DD4" w14:paraId="14FAAFEA" w14:textId="77777777">
            <w:pPr>
              <w:spacing w:after="0" w:line="240" w:lineRule="auto"/>
              <w:jc w:val="center"/>
              <w:rPr>
                <w:rFonts w:ascii="Times New Roman" w:eastAsia="Times New Roman" w:hAnsi="Times New Roman" w:cs="Times New Roman"/>
                <w:b/>
                <w:bCs/>
                <w:color w:val="000000"/>
              </w:rPr>
            </w:pPr>
            <w:r w:rsidRPr="00FC6F23">
              <w:rPr>
                <w:rFonts w:ascii="Times New Roman" w:eastAsia="Times New Roman" w:hAnsi="Times New Roman" w:cs="Times New Roman"/>
                <w:b/>
                <w:bCs/>
                <w:color w:val="000000"/>
              </w:rPr>
              <w:t xml:space="preserve">Recurring Cost </w:t>
            </w:r>
            <w:r w:rsidRPr="00FC6F23" w:rsidR="0024686A">
              <w:rPr>
                <w:rFonts w:ascii="Times New Roman" w:eastAsia="Times New Roman" w:hAnsi="Times New Roman" w:cs="Times New Roman"/>
                <w:b/>
                <w:bCs/>
                <w:color w:val="000000"/>
              </w:rPr>
              <w:t>as a Percent</w:t>
            </w:r>
            <w:r w:rsidRPr="00FC6F23">
              <w:rPr>
                <w:rFonts w:ascii="Times New Roman" w:eastAsia="Times New Roman" w:hAnsi="Times New Roman" w:cs="Times New Roman"/>
                <w:b/>
                <w:bCs/>
                <w:color w:val="000000"/>
              </w:rPr>
              <w:t xml:space="preserve"> of Capital Cost</w:t>
            </w:r>
          </w:p>
        </w:tc>
        <w:tc>
          <w:tcPr>
            <w:tcW w:w="1620" w:type="dxa"/>
            <w:vMerge w:val="restart"/>
            <w:shd w:val="clear" w:color="auto" w:fill="D9D9D9" w:themeFill="background1" w:themeFillShade="D9"/>
            <w:noWrap/>
            <w:vAlign w:val="bottom"/>
            <w:hideMark/>
          </w:tcPr>
          <w:p w:rsidR="00F54EEB" w:rsidRPr="00FC6F23" w:rsidP="00947DD4" w14:paraId="703B64D1" w14:textId="77777777">
            <w:pPr>
              <w:spacing w:after="0" w:line="240" w:lineRule="auto"/>
              <w:jc w:val="center"/>
              <w:rPr>
                <w:rFonts w:ascii="Times New Roman" w:eastAsia="Times New Roman" w:hAnsi="Times New Roman" w:cs="Times New Roman"/>
                <w:b/>
                <w:bCs/>
              </w:rPr>
            </w:pPr>
            <w:r w:rsidRPr="00FC6F23">
              <w:rPr>
                <w:rFonts w:ascii="Times New Roman" w:eastAsia="Times New Roman" w:hAnsi="Times New Roman" w:cs="Times New Roman"/>
                <w:b/>
                <w:bCs/>
              </w:rPr>
              <w:t>Measures per Facility</w:t>
            </w:r>
          </w:p>
        </w:tc>
        <w:tc>
          <w:tcPr>
            <w:tcW w:w="2955" w:type="dxa"/>
            <w:gridSpan w:val="2"/>
            <w:shd w:val="clear" w:color="auto" w:fill="D9D9D9" w:themeFill="background1" w:themeFillShade="D9"/>
          </w:tcPr>
          <w:p w:rsidR="00F54EEB" w:rsidRPr="00FC6F23" w:rsidP="002C77F3" w14:paraId="3197AAB3" w14:textId="77777777">
            <w:pPr>
              <w:spacing w:after="0" w:line="240" w:lineRule="auto"/>
              <w:jc w:val="center"/>
              <w:rPr>
                <w:rFonts w:ascii="Times New Roman" w:eastAsia="Times New Roman" w:hAnsi="Times New Roman" w:cs="Times New Roman"/>
                <w:b/>
                <w:bCs/>
              </w:rPr>
            </w:pPr>
            <w:r w:rsidRPr="00FC6F23">
              <w:rPr>
                <w:rFonts w:ascii="Times New Roman" w:eastAsia="Times New Roman" w:hAnsi="Times New Roman" w:cs="Times New Roman"/>
                <w:b/>
                <w:bCs/>
              </w:rPr>
              <w:t>C</w:t>
            </w:r>
            <w:r w:rsidRPr="00FC6F23" w:rsidR="008B4C88">
              <w:rPr>
                <w:rFonts w:ascii="Times New Roman" w:eastAsia="Times New Roman" w:hAnsi="Times New Roman" w:cs="Times New Roman"/>
                <w:b/>
                <w:bCs/>
              </w:rPr>
              <w:t xml:space="preserve">apital and Recurring </w:t>
            </w:r>
            <w:r w:rsidRPr="00FC6F23">
              <w:rPr>
                <w:rFonts w:ascii="Times New Roman" w:eastAsia="Times New Roman" w:hAnsi="Times New Roman" w:cs="Times New Roman"/>
                <w:b/>
                <w:bCs/>
              </w:rPr>
              <w:t>Cost per Facility</w:t>
            </w:r>
          </w:p>
        </w:tc>
      </w:tr>
      <w:tr w14:paraId="2131D8D9" w14:textId="77777777" w:rsidTr="00947DD4">
        <w:tblPrEx>
          <w:tblW w:w="9970" w:type="dxa"/>
          <w:tblLook w:val="04A0"/>
        </w:tblPrEx>
        <w:trPr>
          <w:trHeight w:val="270"/>
        </w:trPr>
        <w:tc>
          <w:tcPr>
            <w:tcW w:w="1615" w:type="dxa"/>
            <w:vMerge/>
            <w:shd w:val="clear" w:color="auto" w:fill="D9D9D9" w:themeFill="background1" w:themeFillShade="D9"/>
            <w:vAlign w:val="bottom"/>
          </w:tcPr>
          <w:p w:rsidR="00667036" w:rsidRPr="00FC6F23" w:rsidP="00947DD4" w14:paraId="19F2951E" w14:textId="77777777">
            <w:pPr>
              <w:spacing w:after="0" w:line="240" w:lineRule="auto"/>
              <w:jc w:val="center"/>
              <w:rPr>
                <w:rFonts w:ascii="Times New Roman" w:eastAsia="Times New Roman" w:hAnsi="Times New Roman" w:cs="Times New Roman"/>
                <w:b/>
                <w:bCs/>
                <w:color w:val="000000"/>
              </w:rPr>
            </w:pPr>
          </w:p>
        </w:tc>
        <w:tc>
          <w:tcPr>
            <w:tcW w:w="1440" w:type="dxa"/>
            <w:vMerge/>
            <w:shd w:val="clear" w:color="auto" w:fill="D9D9D9" w:themeFill="background1" w:themeFillShade="D9"/>
            <w:noWrap/>
            <w:vAlign w:val="bottom"/>
          </w:tcPr>
          <w:p w:rsidR="00667036" w:rsidRPr="00FC6F23" w:rsidP="00947DD4" w14:paraId="0A4F5E9E" w14:textId="77777777">
            <w:pPr>
              <w:spacing w:after="0" w:line="240" w:lineRule="auto"/>
              <w:jc w:val="center"/>
              <w:rPr>
                <w:rFonts w:ascii="Times New Roman" w:eastAsia="Times New Roman" w:hAnsi="Times New Roman" w:cs="Times New Roman"/>
                <w:b/>
                <w:bCs/>
                <w:color w:val="000000"/>
              </w:rPr>
            </w:pPr>
          </w:p>
        </w:tc>
        <w:tc>
          <w:tcPr>
            <w:tcW w:w="2340" w:type="dxa"/>
            <w:vMerge/>
            <w:shd w:val="clear" w:color="auto" w:fill="D9D9D9" w:themeFill="background1" w:themeFillShade="D9"/>
            <w:noWrap/>
            <w:vAlign w:val="bottom"/>
          </w:tcPr>
          <w:p w:rsidR="00667036" w:rsidRPr="00FC6F23" w:rsidP="00947DD4" w14:paraId="21ED8826" w14:textId="77777777">
            <w:pPr>
              <w:spacing w:after="0" w:line="240" w:lineRule="auto"/>
              <w:jc w:val="center"/>
              <w:rPr>
                <w:rFonts w:ascii="Times New Roman" w:eastAsia="Times New Roman" w:hAnsi="Times New Roman" w:cs="Times New Roman"/>
                <w:b/>
                <w:bCs/>
                <w:color w:val="000000"/>
              </w:rPr>
            </w:pPr>
          </w:p>
        </w:tc>
        <w:tc>
          <w:tcPr>
            <w:tcW w:w="1620" w:type="dxa"/>
            <w:vMerge/>
            <w:shd w:val="clear" w:color="auto" w:fill="D9D9D9" w:themeFill="background1" w:themeFillShade="D9"/>
            <w:noWrap/>
            <w:vAlign w:val="bottom"/>
          </w:tcPr>
          <w:p w:rsidR="00667036" w:rsidRPr="00FC6F23" w:rsidP="00947DD4" w14:paraId="308CEED9" w14:textId="77777777">
            <w:pPr>
              <w:spacing w:after="0" w:line="240" w:lineRule="auto"/>
              <w:jc w:val="center"/>
              <w:rPr>
                <w:rFonts w:ascii="Times New Roman" w:eastAsia="Times New Roman" w:hAnsi="Times New Roman" w:cs="Times New Roman"/>
                <w:b/>
                <w:bCs/>
              </w:rPr>
            </w:pPr>
          </w:p>
        </w:tc>
        <w:tc>
          <w:tcPr>
            <w:tcW w:w="1620" w:type="dxa"/>
            <w:shd w:val="clear" w:color="auto" w:fill="D9D9D9" w:themeFill="background1" w:themeFillShade="D9"/>
          </w:tcPr>
          <w:p w:rsidR="00667036" w:rsidRPr="00FC6F23" w:rsidP="002C77F3" w14:paraId="29B3DAE4" w14:textId="77777777">
            <w:pPr>
              <w:spacing w:after="0" w:line="240" w:lineRule="auto"/>
              <w:jc w:val="center"/>
              <w:rPr>
                <w:rFonts w:ascii="Times New Roman" w:eastAsia="Times New Roman" w:hAnsi="Times New Roman" w:cs="Times New Roman"/>
                <w:b/>
                <w:bCs/>
              </w:rPr>
            </w:pPr>
            <w:r w:rsidRPr="00FC6F23">
              <w:rPr>
                <w:rFonts w:ascii="Times New Roman" w:eastAsia="Times New Roman" w:hAnsi="Times New Roman" w:cs="Times New Roman"/>
                <w:b/>
                <w:bCs/>
              </w:rPr>
              <w:t>Year 1</w:t>
            </w:r>
          </w:p>
        </w:tc>
        <w:tc>
          <w:tcPr>
            <w:tcW w:w="1335" w:type="dxa"/>
            <w:shd w:val="clear" w:color="auto" w:fill="D9D9D9" w:themeFill="background1" w:themeFillShade="D9"/>
          </w:tcPr>
          <w:p w:rsidR="00667036" w:rsidRPr="00FC6F23" w:rsidP="002C77F3" w14:paraId="73E1316B" w14:textId="77777777">
            <w:pPr>
              <w:spacing w:after="0" w:line="240" w:lineRule="auto"/>
              <w:jc w:val="center"/>
              <w:rPr>
                <w:rFonts w:ascii="Times New Roman" w:eastAsia="Times New Roman" w:hAnsi="Times New Roman" w:cs="Times New Roman"/>
                <w:b/>
                <w:bCs/>
              </w:rPr>
            </w:pPr>
            <w:r w:rsidRPr="00FC6F23">
              <w:rPr>
                <w:rFonts w:ascii="Times New Roman" w:eastAsia="Times New Roman" w:hAnsi="Times New Roman" w:cs="Times New Roman"/>
                <w:b/>
                <w:bCs/>
              </w:rPr>
              <w:t>Year 6</w:t>
            </w:r>
          </w:p>
        </w:tc>
      </w:tr>
      <w:tr w14:paraId="61DA9844" w14:textId="77777777" w:rsidTr="00947DD4">
        <w:tblPrEx>
          <w:tblW w:w="9970" w:type="dxa"/>
          <w:tblLook w:val="04A0"/>
        </w:tblPrEx>
        <w:trPr>
          <w:trHeight w:val="300"/>
        </w:trPr>
        <w:tc>
          <w:tcPr>
            <w:tcW w:w="1615" w:type="dxa"/>
            <w:shd w:val="clear" w:color="auto" w:fill="auto"/>
            <w:noWrap/>
            <w:vAlign w:val="bottom"/>
            <w:hideMark/>
          </w:tcPr>
          <w:p w:rsidR="00F54EEB" w:rsidRPr="00FC6F23" w:rsidP="00F54EEB" w14:paraId="1058C3CB" w14:textId="77777777">
            <w:pPr>
              <w:spacing w:after="0" w:line="240" w:lineRule="auto"/>
              <w:jc w:val="right"/>
              <w:rPr>
                <w:rFonts w:ascii="Times New Roman" w:eastAsia="Times New Roman" w:hAnsi="Times New Roman" w:cs="Times New Roman"/>
                <w:color w:val="000000"/>
              </w:rPr>
            </w:pPr>
            <w:r w:rsidRPr="00FC6F23">
              <w:rPr>
                <w:rFonts w:ascii="Times New Roman" w:eastAsia="Times New Roman" w:hAnsi="Times New Roman" w:cs="Times New Roman"/>
                <w:color w:val="000000"/>
              </w:rPr>
              <w:t>Refineries</w:t>
            </w:r>
          </w:p>
        </w:tc>
        <w:tc>
          <w:tcPr>
            <w:tcW w:w="1440" w:type="dxa"/>
            <w:shd w:val="clear" w:color="auto" w:fill="auto"/>
            <w:noWrap/>
            <w:vAlign w:val="bottom"/>
            <w:hideMark/>
          </w:tcPr>
          <w:p w:rsidR="00F54EEB" w:rsidRPr="00FC6F23" w:rsidP="001E4D96" w14:paraId="385BF6BF" w14:textId="77777777">
            <w:pPr>
              <w:spacing w:after="0" w:line="240" w:lineRule="auto"/>
              <w:jc w:val="center"/>
              <w:rPr>
                <w:rFonts w:ascii="Times New Roman" w:eastAsia="Times New Roman" w:hAnsi="Times New Roman" w:cs="Times New Roman"/>
              </w:rPr>
            </w:pPr>
            <w:r w:rsidRPr="00FC6F23">
              <w:rPr>
                <w:rFonts w:ascii="Times New Roman" w:eastAsia="Times New Roman" w:hAnsi="Times New Roman" w:cs="Times New Roman"/>
              </w:rPr>
              <w:t>$4,449,414</w:t>
            </w:r>
          </w:p>
        </w:tc>
        <w:tc>
          <w:tcPr>
            <w:tcW w:w="2340" w:type="dxa"/>
            <w:shd w:val="clear" w:color="auto" w:fill="auto"/>
            <w:noWrap/>
            <w:vAlign w:val="bottom"/>
            <w:hideMark/>
          </w:tcPr>
          <w:p w:rsidR="00F54EEB" w:rsidRPr="00FC6F23" w:rsidP="001E4D96" w14:paraId="3B15D979" w14:textId="77777777">
            <w:pPr>
              <w:spacing w:after="0" w:line="240" w:lineRule="auto"/>
              <w:jc w:val="center"/>
              <w:rPr>
                <w:rFonts w:ascii="Times New Roman" w:eastAsia="Times New Roman" w:hAnsi="Times New Roman" w:cs="Times New Roman"/>
              </w:rPr>
            </w:pPr>
            <w:r w:rsidRPr="00FC6F23">
              <w:rPr>
                <w:rFonts w:ascii="Times New Roman" w:eastAsia="Times New Roman" w:hAnsi="Times New Roman" w:cs="Times New Roman"/>
              </w:rPr>
              <w:t>4%</w:t>
            </w:r>
          </w:p>
        </w:tc>
        <w:tc>
          <w:tcPr>
            <w:tcW w:w="1620" w:type="dxa"/>
            <w:shd w:val="clear" w:color="auto" w:fill="auto"/>
            <w:noWrap/>
            <w:vAlign w:val="bottom"/>
            <w:hideMark/>
          </w:tcPr>
          <w:p w:rsidR="002C77F3" w:rsidRPr="00FC6F23" w:rsidP="001E4D96" w14:paraId="5044D9DD" w14:textId="77777777">
            <w:pPr>
              <w:spacing w:after="0" w:line="240" w:lineRule="auto"/>
              <w:jc w:val="center"/>
              <w:rPr>
                <w:rFonts w:ascii="Times New Roman" w:eastAsia="Times New Roman" w:hAnsi="Times New Roman" w:cs="Times New Roman"/>
              </w:rPr>
            </w:pPr>
            <w:r w:rsidRPr="00FC6F23">
              <w:rPr>
                <w:rFonts w:ascii="Times New Roman" w:eastAsia="Times New Roman" w:hAnsi="Times New Roman" w:cs="Times New Roman"/>
              </w:rPr>
              <w:t>1.0</w:t>
            </w:r>
          </w:p>
        </w:tc>
        <w:tc>
          <w:tcPr>
            <w:tcW w:w="1620" w:type="dxa"/>
            <w:noWrap/>
            <w:vAlign w:val="bottom"/>
            <w:hideMark/>
          </w:tcPr>
          <w:p w:rsidR="001E4D96" w:rsidRPr="00FC6F23" w:rsidP="001E4D96" w14:paraId="7C66C421" w14:textId="77777777">
            <w:pPr>
              <w:spacing w:after="0" w:line="240" w:lineRule="auto"/>
              <w:jc w:val="center"/>
              <w:rPr>
                <w:rFonts w:ascii="Times New Roman" w:eastAsia="Times New Roman" w:hAnsi="Times New Roman" w:cs="Times New Roman"/>
              </w:rPr>
            </w:pPr>
            <w:r w:rsidRPr="00FC6F23">
              <w:rPr>
                <w:rFonts w:ascii="Times New Roman" w:eastAsia="Times New Roman" w:hAnsi="Times New Roman" w:cs="Times New Roman"/>
              </w:rPr>
              <w:t>$4,627,390</w:t>
            </w:r>
          </w:p>
        </w:tc>
        <w:tc>
          <w:tcPr>
            <w:tcW w:w="1335" w:type="dxa"/>
            <w:vAlign w:val="bottom"/>
          </w:tcPr>
          <w:p w:rsidR="00F54EEB" w:rsidRPr="00FC6F23" w:rsidP="001E4D96" w14:paraId="0D7F25D2" w14:textId="77777777">
            <w:pPr>
              <w:spacing w:after="0" w:line="240" w:lineRule="auto"/>
              <w:jc w:val="center"/>
              <w:rPr>
                <w:rFonts w:ascii="Times New Roman" w:eastAsia="Times New Roman" w:hAnsi="Times New Roman" w:cs="Times New Roman"/>
              </w:rPr>
            </w:pPr>
            <w:r w:rsidRPr="00FC6F23">
              <w:rPr>
                <w:rFonts w:ascii="Times New Roman" w:eastAsia="Times New Roman" w:hAnsi="Times New Roman" w:cs="Times New Roman"/>
              </w:rPr>
              <w:t>$4,805,</w:t>
            </w:r>
            <w:r w:rsidRPr="00FC6F23" w:rsidR="00AC786B">
              <w:rPr>
                <w:rFonts w:ascii="Times New Roman" w:eastAsia="Times New Roman" w:hAnsi="Times New Roman" w:cs="Times New Roman"/>
              </w:rPr>
              <w:t>367</w:t>
            </w:r>
          </w:p>
        </w:tc>
      </w:tr>
      <w:tr w14:paraId="4403FA88" w14:textId="77777777" w:rsidTr="00947DD4">
        <w:tblPrEx>
          <w:tblW w:w="9970" w:type="dxa"/>
          <w:tblLook w:val="04A0"/>
        </w:tblPrEx>
        <w:trPr>
          <w:trHeight w:val="315"/>
        </w:trPr>
        <w:tc>
          <w:tcPr>
            <w:tcW w:w="1615" w:type="dxa"/>
            <w:shd w:val="clear" w:color="auto" w:fill="auto"/>
            <w:noWrap/>
            <w:vAlign w:val="bottom"/>
            <w:hideMark/>
          </w:tcPr>
          <w:p w:rsidR="00F54EEB" w:rsidRPr="00FC6F23" w:rsidP="00F54EEB" w14:paraId="1A1064A3" w14:textId="77777777">
            <w:pPr>
              <w:spacing w:after="0" w:line="240" w:lineRule="auto"/>
              <w:jc w:val="right"/>
              <w:rPr>
                <w:rFonts w:ascii="Times New Roman" w:eastAsia="Times New Roman" w:hAnsi="Times New Roman" w:cs="Times New Roman"/>
                <w:color w:val="000000"/>
              </w:rPr>
            </w:pPr>
            <w:r w:rsidRPr="00FC6F23">
              <w:rPr>
                <w:rFonts w:ascii="Times New Roman" w:eastAsia="Times New Roman" w:hAnsi="Times New Roman" w:cs="Times New Roman"/>
                <w:color w:val="000000"/>
              </w:rPr>
              <w:t>Chemical Manufacturers</w:t>
            </w:r>
          </w:p>
        </w:tc>
        <w:tc>
          <w:tcPr>
            <w:tcW w:w="1440" w:type="dxa"/>
            <w:shd w:val="clear" w:color="auto" w:fill="auto"/>
            <w:noWrap/>
            <w:vAlign w:val="bottom"/>
            <w:hideMark/>
          </w:tcPr>
          <w:p w:rsidR="00F54EEB" w:rsidRPr="00FC6F23" w:rsidP="001E4D96" w14:paraId="01F18554" w14:textId="77777777">
            <w:pPr>
              <w:spacing w:after="0" w:line="240" w:lineRule="auto"/>
              <w:jc w:val="center"/>
              <w:rPr>
                <w:rFonts w:ascii="Times New Roman" w:eastAsia="Times New Roman" w:hAnsi="Times New Roman" w:cs="Times New Roman"/>
              </w:rPr>
            </w:pPr>
            <w:r w:rsidRPr="00FC6F23">
              <w:rPr>
                <w:rFonts w:ascii="Times New Roman" w:eastAsia="Times New Roman" w:hAnsi="Times New Roman" w:cs="Times New Roman"/>
              </w:rPr>
              <w:t>$546,494</w:t>
            </w:r>
          </w:p>
        </w:tc>
        <w:tc>
          <w:tcPr>
            <w:tcW w:w="2340" w:type="dxa"/>
            <w:shd w:val="clear" w:color="auto" w:fill="auto"/>
            <w:noWrap/>
            <w:vAlign w:val="bottom"/>
            <w:hideMark/>
          </w:tcPr>
          <w:p w:rsidR="00F54EEB" w:rsidRPr="00FC6F23" w:rsidP="001E4D96" w14:paraId="29949F44" w14:textId="77777777">
            <w:pPr>
              <w:spacing w:after="0" w:line="240" w:lineRule="auto"/>
              <w:jc w:val="center"/>
              <w:rPr>
                <w:rFonts w:ascii="Times New Roman" w:eastAsia="Times New Roman" w:hAnsi="Times New Roman" w:cs="Times New Roman"/>
              </w:rPr>
            </w:pPr>
            <w:r w:rsidRPr="00FC6F23">
              <w:rPr>
                <w:rFonts w:ascii="Times New Roman" w:eastAsia="Times New Roman" w:hAnsi="Times New Roman" w:cs="Times New Roman"/>
              </w:rPr>
              <w:t>4%</w:t>
            </w:r>
          </w:p>
        </w:tc>
        <w:tc>
          <w:tcPr>
            <w:tcW w:w="1620" w:type="dxa"/>
            <w:shd w:val="clear" w:color="auto" w:fill="auto"/>
            <w:noWrap/>
            <w:vAlign w:val="bottom"/>
            <w:hideMark/>
          </w:tcPr>
          <w:p w:rsidR="002C77F3" w:rsidRPr="00FC6F23" w:rsidP="001E4D96" w14:paraId="45AEAC93" w14:textId="77777777">
            <w:pPr>
              <w:spacing w:after="0" w:line="240" w:lineRule="auto"/>
              <w:jc w:val="center"/>
              <w:rPr>
                <w:rFonts w:ascii="Times New Roman" w:eastAsia="Times New Roman" w:hAnsi="Times New Roman" w:cs="Times New Roman"/>
              </w:rPr>
            </w:pPr>
            <w:r w:rsidRPr="00FC6F23">
              <w:rPr>
                <w:rFonts w:ascii="Times New Roman" w:eastAsia="Times New Roman" w:hAnsi="Times New Roman" w:cs="Times New Roman"/>
              </w:rPr>
              <w:t>1.0</w:t>
            </w:r>
          </w:p>
        </w:tc>
        <w:tc>
          <w:tcPr>
            <w:tcW w:w="1620" w:type="dxa"/>
            <w:noWrap/>
            <w:vAlign w:val="bottom"/>
            <w:hideMark/>
          </w:tcPr>
          <w:p w:rsidR="001E4D96" w:rsidRPr="00FC6F23" w:rsidP="001E4D96" w14:paraId="591F6F13" w14:textId="77777777">
            <w:pPr>
              <w:spacing w:after="0" w:line="240" w:lineRule="auto"/>
              <w:jc w:val="center"/>
              <w:rPr>
                <w:rFonts w:ascii="Times New Roman" w:eastAsia="Times New Roman" w:hAnsi="Times New Roman" w:cs="Times New Roman"/>
              </w:rPr>
            </w:pPr>
            <w:r w:rsidRPr="00FC6F23">
              <w:rPr>
                <w:rFonts w:ascii="Times New Roman" w:eastAsia="Times New Roman" w:hAnsi="Times New Roman" w:cs="Times New Roman"/>
              </w:rPr>
              <w:t>$568,354</w:t>
            </w:r>
          </w:p>
        </w:tc>
        <w:tc>
          <w:tcPr>
            <w:tcW w:w="1335" w:type="dxa"/>
            <w:vAlign w:val="bottom"/>
          </w:tcPr>
          <w:p w:rsidR="00F54EEB" w:rsidRPr="00FC6F23" w:rsidP="001E4D96" w14:paraId="25F5066B" w14:textId="77777777">
            <w:pPr>
              <w:spacing w:after="0" w:line="240" w:lineRule="auto"/>
              <w:jc w:val="center"/>
              <w:rPr>
                <w:rFonts w:ascii="Times New Roman" w:eastAsia="Times New Roman" w:hAnsi="Times New Roman" w:cs="Times New Roman"/>
              </w:rPr>
            </w:pPr>
            <w:r w:rsidRPr="00FC6F23">
              <w:rPr>
                <w:rFonts w:ascii="Times New Roman" w:eastAsia="Times New Roman" w:hAnsi="Times New Roman" w:cs="Times New Roman"/>
              </w:rPr>
              <w:t>$</w:t>
            </w:r>
            <w:r w:rsidRPr="00FC6F23" w:rsidR="00AC786B">
              <w:rPr>
                <w:rFonts w:ascii="Times New Roman" w:eastAsia="Times New Roman" w:hAnsi="Times New Roman" w:cs="Times New Roman"/>
              </w:rPr>
              <w:t>590,214</w:t>
            </w:r>
          </w:p>
        </w:tc>
      </w:tr>
    </w:tbl>
    <w:p w:rsidR="0061029D" w:rsidRPr="0061029D" w:rsidP="0022422B" w14:paraId="67AF0E11" w14:textId="77777777">
      <w:pPr>
        <w:spacing w:after="0" w:line="240" w:lineRule="auto"/>
        <w:rPr>
          <w:rFonts w:ascii="Times New Roman" w:hAnsi="Times New Roman" w:cs="Times New Roman"/>
          <w:iCs/>
        </w:rPr>
      </w:pPr>
    </w:p>
    <w:bookmarkEnd w:id="171"/>
    <w:p w:rsidR="00676B1F" w:rsidP="007400EE" w14:paraId="54726512" w14:textId="73CA1BDC">
      <w:pPr>
        <w:spacing w:after="0" w:line="240" w:lineRule="auto"/>
        <w:ind w:firstLine="720"/>
        <w:rPr>
          <w:rStyle w:val="cf01"/>
          <w:rFonts w:ascii="Times New Roman" w:hAnsi="Times New Roman" w:eastAsiaTheme="majorEastAsia" w:cs="Times New Roman"/>
          <w:sz w:val="22"/>
          <w:szCs w:val="22"/>
        </w:rPr>
      </w:pPr>
      <w:r w:rsidRPr="004C5426">
        <w:rPr>
          <w:rFonts w:ascii="Times New Roman" w:hAnsi="Times New Roman" w:eastAsiaTheme="majorEastAsia" w:cs="Times New Roman"/>
        </w:rPr>
        <w:t xml:space="preserve">It is important to note </w:t>
      </w:r>
      <w:r w:rsidRPr="004C5426">
        <w:rPr>
          <w:rFonts w:ascii="Times New Roman" w:hAnsi="Times New Roman" w:eastAsiaTheme="majorEastAsia" w:cs="Times New Roman"/>
        </w:rPr>
        <w:t>that while</w:t>
      </w:r>
      <w:r w:rsidRPr="004C5426">
        <w:rPr>
          <w:rFonts w:ascii="Times New Roman" w:hAnsi="Times New Roman" w:eastAsiaTheme="majorEastAsia" w:cs="Times New Roman"/>
        </w:rPr>
        <w:t xml:space="preserve"> EPA has estimated </w:t>
      </w:r>
      <w:r w:rsidR="00CF37CA">
        <w:rPr>
          <w:rFonts w:ascii="Times New Roman" w:hAnsi="Times New Roman" w:eastAsiaTheme="majorEastAsia" w:cs="Times New Roman"/>
        </w:rPr>
        <w:t>the cost of</w:t>
      </w:r>
      <w:r w:rsidRPr="004C5426">
        <w:rPr>
          <w:rFonts w:ascii="Times New Roman" w:hAnsi="Times New Roman" w:eastAsiaTheme="majorEastAsia" w:cs="Times New Roman"/>
        </w:rPr>
        <w:t xml:space="preserve"> STAA </w:t>
      </w:r>
      <w:r w:rsidRPr="004C5426">
        <w:rPr>
          <w:rFonts w:ascii="Times New Roman" w:hAnsi="Times New Roman" w:eastAsiaTheme="majorEastAsia" w:cs="Times New Roman"/>
        </w:rPr>
        <w:t>implementation, EPA has not estimated the cost savings facilities may gain from implementing</w:t>
      </w:r>
      <w:r w:rsidRPr="004C5426" w:rsidR="00952354">
        <w:rPr>
          <w:rFonts w:ascii="Times New Roman" w:hAnsi="Times New Roman" w:eastAsiaTheme="majorEastAsia" w:cs="Times New Roman"/>
        </w:rPr>
        <w:t xml:space="preserve"> these</w:t>
      </w:r>
      <w:r w:rsidRPr="004C5426">
        <w:rPr>
          <w:rFonts w:ascii="Times New Roman" w:hAnsi="Times New Roman" w:eastAsiaTheme="majorEastAsia" w:cs="Times New Roman"/>
        </w:rPr>
        <w:t xml:space="preserve"> STAA measures.</w:t>
      </w:r>
      <w:r w:rsidRPr="004C5426" w:rsidR="00952354">
        <w:rPr>
          <w:rFonts w:ascii="Times New Roman" w:hAnsi="Times New Roman" w:eastAsiaTheme="majorEastAsia" w:cs="Times New Roman"/>
        </w:rPr>
        <w:t xml:space="preserve"> T</w:t>
      </w:r>
      <w:r w:rsidRPr="004C5426">
        <w:rPr>
          <w:rFonts w:ascii="Times New Roman" w:hAnsi="Times New Roman" w:eastAsiaTheme="majorEastAsia" w:cs="Times New Roman"/>
        </w:rPr>
        <w:t xml:space="preserve">o the extent that </w:t>
      </w:r>
      <w:r w:rsidRPr="004C5426" w:rsidR="00952354">
        <w:rPr>
          <w:rFonts w:ascii="Times New Roman" w:hAnsi="Times New Roman" w:eastAsiaTheme="majorEastAsia" w:cs="Times New Roman"/>
        </w:rPr>
        <w:t xml:space="preserve">facilities do reap </w:t>
      </w:r>
      <w:r w:rsidRPr="004C5426">
        <w:rPr>
          <w:rFonts w:ascii="Times New Roman" w:hAnsi="Times New Roman" w:eastAsiaTheme="majorEastAsia" w:cs="Times New Roman"/>
        </w:rPr>
        <w:t>cost savings from these new technologies</w:t>
      </w:r>
      <w:r w:rsidRPr="004C5426" w:rsidR="00303239">
        <w:rPr>
          <w:rFonts w:ascii="Times New Roman" w:hAnsi="Times New Roman" w:eastAsiaTheme="majorEastAsia" w:cs="Times New Roman"/>
        </w:rPr>
        <w:t>, EPA’s estimates o</w:t>
      </w:r>
      <w:r w:rsidRPr="004C5426">
        <w:rPr>
          <w:rFonts w:ascii="Times New Roman" w:hAnsi="Times New Roman" w:eastAsiaTheme="majorEastAsia" w:cs="Times New Roman"/>
        </w:rPr>
        <w:t xml:space="preserve">f gross costs </w:t>
      </w:r>
      <w:r w:rsidRPr="004C5426" w:rsidR="00952354">
        <w:rPr>
          <w:rFonts w:ascii="Times New Roman" w:hAnsi="Times New Roman" w:eastAsiaTheme="majorEastAsia" w:cs="Times New Roman"/>
        </w:rPr>
        <w:t>can be</w:t>
      </w:r>
      <w:r w:rsidRPr="004C5426" w:rsidR="00C6329A">
        <w:rPr>
          <w:rFonts w:ascii="Times New Roman" w:hAnsi="Times New Roman" w:eastAsiaTheme="majorEastAsia" w:cs="Times New Roman"/>
        </w:rPr>
        <w:t xml:space="preserve"> </w:t>
      </w:r>
      <w:r w:rsidRPr="004C5426">
        <w:rPr>
          <w:rFonts w:ascii="Times New Roman" w:hAnsi="Times New Roman" w:eastAsiaTheme="majorEastAsia" w:cs="Times New Roman"/>
        </w:rPr>
        <w:t xml:space="preserve">offset </w:t>
      </w:r>
      <w:r w:rsidRPr="004C5426" w:rsidR="00952354">
        <w:rPr>
          <w:rFonts w:ascii="Times New Roman" w:hAnsi="Times New Roman" w:eastAsiaTheme="majorEastAsia" w:cs="Times New Roman"/>
        </w:rPr>
        <w:t xml:space="preserve">partially </w:t>
      </w:r>
      <w:r w:rsidRPr="004C5426">
        <w:rPr>
          <w:rFonts w:ascii="Times New Roman" w:hAnsi="Times New Roman" w:eastAsiaTheme="majorEastAsia" w:cs="Times New Roman"/>
        </w:rPr>
        <w:t>by those cost savings.</w:t>
      </w:r>
      <w:r>
        <w:rPr>
          <w:rFonts w:ascii="Times New Roman" w:hAnsi="Times New Roman" w:eastAsiaTheme="majorEastAsia" w:cs="Times New Roman"/>
          <w:vertAlign w:val="superscript"/>
        </w:rPr>
        <w:footnoteReference w:id="111"/>
      </w:r>
    </w:p>
    <w:p w:rsidR="004C5426" w:rsidRPr="004C5426" w:rsidP="0022422B" w14:paraId="3BA4221E" w14:textId="77777777">
      <w:pPr>
        <w:spacing w:after="0" w:line="240" w:lineRule="auto"/>
        <w:rPr>
          <w:rFonts w:ascii="Times New Roman" w:hAnsi="Times New Roman" w:cs="Times New Roman"/>
          <w:i/>
        </w:rPr>
      </w:pPr>
    </w:p>
    <w:p w:rsidR="0022422B" w:rsidRPr="00771C3E" w:rsidP="00771C3E" w14:paraId="55150323" w14:textId="77777777">
      <w:pPr>
        <w:pStyle w:val="Heading3"/>
        <w:rPr>
          <w:rFonts w:ascii="Times New Roman" w:hAnsi="Times New Roman" w:cs="Times New Roman"/>
          <w:sz w:val="22"/>
          <w:szCs w:val="22"/>
        </w:rPr>
      </w:pPr>
      <w:bookmarkStart w:id="172" w:name="_Toc141732933"/>
      <w:bookmarkStart w:id="173" w:name="_Toc141733144"/>
      <w:bookmarkStart w:id="174" w:name="_Toc142404048"/>
      <w:bookmarkStart w:id="175" w:name="_Toc144213856"/>
      <w:bookmarkStart w:id="176" w:name="_Toc144283601"/>
      <w:bookmarkStart w:id="177" w:name="_Toc144303539"/>
      <w:r w:rsidRPr="00771C3E">
        <w:rPr>
          <w:rFonts w:ascii="Times New Roman" w:hAnsi="Times New Roman" w:cs="Times New Roman"/>
          <w:sz w:val="22"/>
          <w:szCs w:val="22"/>
        </w:rPr>
        <w:t>4.4.3 Root Cause Analysis</w:t>
      </w:r>
      <w:bookmarkEnd w:id="172"/>
      <w:bookmarkEnd w:id="173"/>
      <w:bookmarkEnd w:id="174"/>
      <w:bookmarkEnd w:id="175"/>
      <w:bookmarkEnd w:id="176"/>
      <w:bookmarkEnd w:id="177"/>
      <w:r w:rsidRPr="00771C3E">
        <w:rPr>
          <w:rFonts w:ascii="Times New Roman" w:hAnsi="Times New Roman" w:cs="Times New Roman"/>
          <w:sz w:val="22"/>
          <w:szCs w:val="22"/>
        </w:rPr>
        <w:t xml:space="preserve"> </w:t>
      </w:r>
    </w:p>
    <w:p w:rsidR="0022422B" w:rsidP="0022422B" w14:paraId="22262810"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This </w:t>
      </w:r>
      <w:r w:rsidR="008B37F6">
        <w:rPr>
          <w:rFonts w:ascii="Times New Roman" w:hAnsi="Times New Roman" w:cs="Times New Roman"/>
        </w:rPr>
        <w:t>final</w:t>
      </w:r>
      <w:r w:rsidRPr="004D4B61">
        <w:rPr>
          <w:rFonts w:ascii="Times New Roman" w:hAnsi="Times New Roman" w:cs="Times New Roman"/>
        </w:rPr>
        <w:t xml:space="preserve"> rule provision </w:t>
      </w:r>
      <w:r w:rsidR="009449B7">
        <w:rPr>
          <w:rFonts w:ascii="Times New Roman" w:hAnsi="Times New Roman" w:cs="Times New Roman"/>
        </w:rPr>
        <w:t>will</w:t>
      </w:r>
      <w:r w:rsidRPr="004D4B61">
        <w:rPr>
          <w:rFonts w:ascii="Times New Roman" w:hAnsi="Times New Roman" w:cs="Times New Roman"/>
        </w:rPr>
        <w:t xml:space="preserve"> require that facilities in Programs 2 and 3 that have had an RMP-reportable accident determine the underlying causes as part of their incident investigation. A root cause analysis is a </w:t>
      </w:r>
      <w:r w:rsidRPr="004D4B61">
        <w:rPr>
          <w:rFonts w:ascii="Times New Roman" w:hAnsi="Times New Roman" w:cs="Times New Roman"/>
        </w:rPr>
        <w:t xml:space="preserve">structured process led by a person trained in the methodology. The time required may vary considerably based on the complexity of the processes involved. </w:t>
      </w:r>
    </w:p>
    <w:p w:rsidR="0022422B" w:rsidRPr="004D4B61" w:rsidP="0022422B" w14:paraId="2CDBB931" w14:textId="77777777">
      <w:pPr>
        <w:spacing w:after="0" w:line="240" w:lineRule="auto"/>
        <w:ind w:firstLine="360"/>
        <w:rPr>
          <w:rFonts w:ascii="Times New Roman" w:hAnsi="Times New Roman" w:cs="Times New Roman"/>
        </w:rPr>
      </w:pPr>
    </w:p>
    <w:p w:rsidR="0022422B" w:rsidP="0022422B" w14:paraId="045C5C4E"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In the baseline, facilities are already required to conduct incident investigations</w:t>
      </w:r>
      <w:r w:rsidR="007644DA">
        <w:rPr>
          <w:rFonts w:ascii="Times New Roman" w:hAnsi="Times New Roman" w:cs="Times New Roman"/>
        </w:rPr>
        <w:t>;</w:t>
      </w:r>
      <w:r w:rsidR="00B357F5">
        <w:rPr>
          <w:rFonts w:ascii="Times New Roman" w:hAnsi="Times New Roman" w:cs="Times New Roman"/>
        </w:rPr>
        <w:t xml:space="preserve"> however</w:t>
      </w:r>
      <w:r w:rsidR="007644DA">
        <w:rPr>
          <w:rFonts w:ascii="Times New Roman" w:hAnsi="Times New Roman" w:cs="Times New Roman"/>
        </w:rPr>
        <w:t>,</w:t>
      </w:r>
      <w:r w:rsidR="00B357F5">
        <w:rPr>
          <w:rFonts w:ascii="Times New Roman" w:hAnsi="Times New Roman" w:cs="Times New Roman"/>
        </w:rPr>
        <w:t xml:space="preserve"> EPA expects additional time will be required for the </w:t>
      </w:r>
      <w:r w:rsidR="002C30BF">
        <w:rPr>
          <w:rFonts w:ascii="Times New Roman" w:hAnsi="Times New Roman" w:cs="Times New Roman"/>
        </w:rPr>
        <w:t>more rigorous root cause analysis</w:t>
      </w:r>
      <w:r w:rsidRPr="004D4B61">
        <w:rPr>
          <w:rFonts w:ascii="Times New Roman" w:hAnsi="Times New Roman" w:cs="Times New Roman"/>
        </w:rPr>
        <w:t xml:space="preserve">. Management time is expected to be devoted primarily to decisions concerning resolution of corrective actions arising from the investigation. For simple facilities, EPA assumed that labor for root cause analyses </w:t>
      </w:r>
      <w:r w:rsidR="009449B7">
        <w:rPr>
          <w:rFonts w:ascii="Times New Roman" w:hAnsi="Times New Roman" w:cs="Times New Roman"/>
        </w:rPr>
        <w:t>will</w:t>
      </w:r>
      <w:r w:rsidRPr="004D4B61">
        <w:rPr>
          <w:rFonts w:ascii="Times New Roman" w:hAnsi="Times New Roman" w:cs="Times New Roman"/>
        </w:rPr>
        <w:t xml:space="preserve"> require management time and additional time evenly distributed between production staff and engineers. For complex facilities, in addition to facility management, EPA estimated that due to the facility’s size and complexity, attorney hours </w:t>
      </w:r>
      <w:r w:rsidR="009449B7">
        <w:rPr>
          <w:rFonts w:ascii="Times New Roman" w:hAnsi="Times New Roman" w:cs="Times New Roman"/>
        </w:rPr>
        <w:t>will</w:t>
      </w:r>
      <w:r w:rsidRPr="004D4B61">
        <w:rPr>
          <w:rFonts w:ascii="Times New Roman" w:hAnsi="Times New Roman" w:cs="Times New Roman"/>
        </w:rPr>
        <w:t xml:space="preserve"> be required, along with </w:t>
      </w:r>
      <w:r w:rsidR="00C0433B">
        <w:rPr>
          <w:rFonts w:ascii="Times New Roman" w:hAnsi="Times New Roman" w:cs="Times New Roman"/>
        </w:rPr>
        <w:t xml:space="preserve">an estimated 0.5 hours of </w:t>
      </w:r>
      <w:r w:rsidRPr="004D4B61">
        <w:rPr>
          <w:rFonts w:ascii="Times New Roman" w:hAnsi="Times New Roman" w:cs="Times New Roman"/>
        </w:rPr>
        <w:t>corporate management</w:t>
      </w:r>
      <w:r w:rsidR="00B357F5">
        <w:rPr>
          <w:rFonts w:ascii="Times New Roman" w:hAnsi="Times New Roman" w:cs="Times New Roman"/>
        </w:rPr>
        <w:t xml:space="preserve"> time</w:t>
      </w:r>
      <w:r w:rsidRPr="004D4B61">
        <w:rPr>
          <w:rFonts w:ascii="Times New Roman" w:hAnsi="Times New Roman" w:cs="Times New Roman"/>
        </w:rPr>
        <w:t xml:space="preserve">. EPA also estimated that multiple hours of engineering and production staff </w:t>
      </w:r>
      <w:r w:rsidR="009449B7">
        <w:rPr>
          <w:rFonts w:ascii="Times New Roman" w:hAnsi="Times New Roman" w:cs="Times New Roman"/>
        </w:rPr>
        <w:t>will</w:t>
      </w:r>
      <w:r w:rsidRPr="004D4B61">
        <w:rPr>
          <w:rFonts w:ascii="Times New Roman" w:hAnsi="Times New Roman" w:cs="Times New Roman"/>
        </w:rPr>
        <w:t xml:space="preserve"> be required to conduct the analysis.</w:t>
      </w:r>
    </w:p>
    <w:p w:rsidR="0022422B" w:rsidRPr="004D4B61" w:rsidP="0022422B" w14:paraId="664DC518" w14:textId="77777777">
      <w:pPr>
        <w:spacing w:after="0" w:line="240" w:lineRule="auto"/>
        <w:ind w:firstLine="360"/>
        <w:rPr>
          <w:rFonts w:ascii="Times New Roman" w:hAnsi="Times New Roman" w:cs="Times New Roman"/>
        </w:rPr>
      </w:pPr>
    </w:p>
    <w:p w:rsidR="0022422B" w:rsidP="0022422B" w14:paraId="508F22BA"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Complex facilities are estimated to require 132.5 total hours (68 hours of management, 0.5 hours of corporate management, 6 hours of attorneys, 30 hours of engineers, and 28 hours of production staff) for a root cause analysis and simple facilities are estimated to require 14 total hours (6 hours of management, 4 hours of engineering, and 4 hours of production). These hour estimates apply to root cause analyses of RMP-reportable accidents and reflect the additional time required for root cause analyses over and above incident investigation</w:t>
      </w:r>
      <w:r>
        <w:rPr>
          <w:rFonts w:ascii="Times New Roman" w:hAnsi="Times New Roman" w:cs="Times New Roman"/>
        </w:rPr>
        <w:t>.</w:t>
      </w:r>
    </w:p>
    <w:p w:rsidR="0022422B" w:rsidRPr="004D4B61" w:rsidP="0022422B" w14:paraId="1E3420D3" w14:textId="77777777">
      <w:pPr>
        <w:spacing w:after="0" w:line="240" w:lineRule="auto"/>
        <w:ind w:firstLine="360"/>
        <w:rPr>
          <w:rFonts w:ascii="Times New Roman" w:hAnsi="Times New Roman" w:cs="Times New Roman"/>
        </w:rPr>
      </w:pPr>
    </w:p>
    <w:p w:rsidR="0022422B" w:rsidP="0022422B" w14:paraId="50DBFDAB"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EPA is retaining the estimate in the </w:t>
      </w:r>
      <w:r w:rsidR="00DE1D6B">
        <w:rPr>
          <w:rFonts w:ascii="Times New Roman" w:hAnsi="Times New Roman" w:cs="Times New Roman"/>
        </w:rPr>
        <w:t>a</w:t>
      </w:r>
      <w:r w:rsidRPr="004D4B61">
        <w:rPr>
          <w:rFonts w:ascii="Times New Roman" w:hAnsi="Times New Roman" w:cs="Times New Roman"/>
        </w:rPr>
        <w:t>mendments rule RIA that simple facility costs include $1,000 for a trained facilitator to assist with the investigation</w:t>
      </w:r>
      <w:r w:rsidR="00076605">
        <w:rPr>
          <w:rFonts w:ascii="Times New Roman" w:hAnsi="Times New Roman" w:cs="Times New Roman"/>
        </w:rPr>
        <w:t xml:space="preserve">. </w:t>
      </w:r>
      <w:r w:rsidR="001E362A">
        <w:rPr>
          <w:rFonts w:ascii="Times New Roman" w:hAnsi="Times New Roman" w:cs="Times New Roman"/>
        </w:rPr>
        <w:t>EPA</w:t>
      </w:r>
      <w:r w:rsidRPr="004D4B61">
        <w:rPr>
          <w:rFonts w:ascii="Times New Roman" w:hAnsi="Times New Roman" w:cs="Times New Roman"/>
        </w:rPr>
        <w:t xml:space="preserve"> updat</w:t>
      </w:r>
      <w:r w:rsidR="00076605">
        <w:rPr>
          <w:rFonts w:ascii="Times New Roman" w:hAnsi="Times New Roman" w:cs="Times New Roman"/>
        </w:rPr>
        <w:t>e</w:t>
      </w:r>
      <w:r w:rsidR="00C0433B">
        <w:rPr>
          <w:rFonts w:ascii="Times New Roman" w:hAnsi="Times New Roman" w:cs="Times New Roman"/>
        </w:rPr>
        <w:t>d</w:t>
      </w:r>
      <w:r w:rsidR="00076605">
        <w:rPr>
          <w:rFonts w:ascii="Times New Roman" w:hAnsi="Times New Roman" w:cs="Times New Roman"/>
        </w:rPr>
        <w:t xml:space="preserve"> the estimate</w:t>
      </w:r>
      <w:r w:rsidRPr="004D4B61">
        <w:rPr>
          <w:rFonts w:ascii="Times New Roman" w:hAnsi="Times New Roman" w:cs="Times New Roman"/>
        </w:rPr>
        <w:t xml:space="preserve"> to </w:t>
      </w:r>
      <w:r w:rsidRPr="004D4B61" w:rsidR="00557440">
        <w:rPr>
          <w:rFonts w:ascii="Times New Roman" w:hAnsi="Times New Roman" w:cs="Times New Roman"/>
        </w:rPr>
        <w:t>202</w:t>
      </w:r>
      <w:r w:rsidR="00557440">
        <w:rPr>
          <w:rFonts w:ascii="Times New Roman" w:hAnsi="Times New Roman" w:cs="Times New Roman"/>
        </w:rPr>
        <w:t>2</w:t>
      </w:r>
      <w:r w:rsidRPr="004D4B61" w:rsidR="00557440">
        <w:rPr>
          <w:rFonts w:ascii="Times New Roman" w:hAnsi="Times New Roman" w:cs="Times New Roman"/>
        </w:rPr>
        <w:t xml:space="preserve"> </w:t>
      </w:r>
      <w:r w:rsidRPr="004D4B61">
        <w:rPr>
          <w:rFonts w:ascii="Times New Roman" w:hAnsi="Times New Roman" w:cs="Times New Roman"/>
        </w:rPr>
        <w:t xml:space="preserve">dollars. </w:t>
      </w:r>
      <w:r w:rsidR="00076605">
        <w:rPr>
          <w:rFonts w:ascii="Times New Roman" w:hAnsi="Times New Roman" w:cs="Times New Roman"/>
        </w:rPr>
        <w:t>EPA assumes that c</w:t>
      </w:r>
      <w:r w:rsidRPr="004D4B61">
        <w:rPr>
          <w:rFonts w:ascii="Times New Roman" w:hAnsi="Times New Roman" w:cs="Times New Roman"/>
        </w:rPr>
        <w:t xml:space="preserve">omplex facilities generally have staff familiar with the methodology and </w:t>
      </w:r>
      <w:r w:rsidR="009449B7">
        <w:rPr>
          <w:rFonts w:ascii="Times New Roman" w:hAnsi="Times New Roman" w:cs="Times New Roman"/>
        </w:rPr>
        <w:t>will</w:t>
      </w:r>
      <w:r w:rsidRPr="004D4B61">
        <w:rPr>
          <w:rFonts w:ascii="Times New Roman" w:hAnsi="Times New Roman" w:cs="Times New Roman"/>
        </w:rPr>
        <w:t xml:space="preserve"> conduct the root cause analysis in-house. Exhibit 4-</w:t>
      </w:r>
      <w:r w:rsidR="00E57C38">
        <w:rPr>
          <w:rFonts w:ascii="Times New Roman" w:hAnsi="Times New Roman" w:cs="Times New Roman"/>
        </w:rPr>
        <w:t>7</w:t>
      </w:r>
      <w:r w:rsidRPr="004D4B61" w:rsidR="00E57C38">
        <w:rPr>
          <w:rFonts w:ascii="Times New Roman" w:hAnsi="Times New Roman" w:cs="Times New Roman"/>
        </w:rPr>
        <w:t xml:space="preserve"> </w:t>
      </w:r>
      <w:r w:rsidRPr="004D4B61">
        <w:rPr>
          <w:rFonts w:ascii="Times New Roman" w:hAnsi="Times New Roman" w:cs="Times New Roman"/>
        </w:rPr>
        <w:t xml:space="preserve">displays the hours assumed for each labor category for each type of facility, and the estimated cost per facility. </w:t>
      </w:r>
    </w:p>
    <w:p w:rsidR="0022422B" w:rsidRPr="004D4B61" w:rsidP="00FA6138" w14:paraId="229F59BF" w14:textId="77777777">
      <w:pPr>
        <w:spacing w:after="0" w:line="240" w:lineRule="auto"/>
        <w:rPr>
          <w:rFonts w:ascii="Times New Roman" w:hAnsi="Times New Roman" w:cs="Times New Roman"/>
        </w:rPr>
      </w:pPr>
    </w:p>
    <w:p w:rsidR="0022422B" w:rsidRPr="00F068F8" w:rsidP="0022422B" w14:paraId="5642B8F2" w14:textId="77777777">
      <w:pPr>
        <w:pStyle w:val="Caption"/>
        <w:jc w:val="center"/>
        <w:rPr>
          <w:rFonts w:ascii="Times New Roman" w:hAnsi="Times New Roman" w:cs="Times New Roman"/>
          <w:b/>
          <w:bCs/>
          <w:i w:val="0"/>
          <w:iCs w:val="0"/>
          <w:color w:val="auto"/>
          <w:sz w:val="22"/>
          <w:szCs w:val="22"/>
        </w:rPr>
      </w:pPr>
      <w:r w:rsidRPr="00F068F8">
        <w:rPr>
          <w:rFonts w:ascii="Times New Roman" w:hAnsi="Times New Roman" w:cs="Times New Roman"/>
          <w:b/>
          <w:bCs/>
          <w:i w:val="0"/>
          <w:iCs w:val="0"/>
          <w:color w:val="auto"/>
          <w:sz w:val="22"/>
          <w:szCs w:val="22"/>
        </w:rPr>
        <w:t>Exhibit 4-</w:t>
      </w:r>
      <w:r w:rsidR="00E57C38">
        <w:rPr>
          <w:rFonts w:ascii="Times New Roman" w:hAnsi="Times New Roman" w:cs="Times New Roman"/>
          <w:b/>
          <w:bCs/>
          <w:i w:val="0"/>
          <w:iCs w:val="0"/>
          <w:color w:val="auto"/>
          <w:sz w:val="22"/>
          <w:szCs w:val="22"/>
        </w:rPr>
        <w:t>7</w:t>
      </w:r>
      <w:r w:rsidRPr="00F068F8">
        <w:rPr>
          <w:rFonts w:ascii="Times New Roman" w:hAnsi="Times New Roman" w:cs="Times New Roman"/>
          <w:b/>
          <w:bCs/>
          <w:i w:val="0"/>
          <w:iCs w:val="0"/>
          <w:color w:val="auto"/>
          <w:sz w:val="22"/>
          <w:szCs w:val="22"/>
        </w:rPr>
        <w:t>: Unit Cost for Root Cause Analysis</w:t>
      </w:r>
      <w:r w:rsidR="00AA37B3">
        <w:rPr>
          <w:rFonts w:ascii="Times New Roman" w:hAnsi="Times New Roman" w:cs="Times New Roman"/>
          <w:b/>
          <w:bCs/>
          <w:i w:val="0"/>
          <w:iCs w:val="0"/>
          <w:color w:val="auto"/>
          <w:sz w:val="22"/>
          <w:szCs w:val="22"/>
        </w:rPr>
        <w:t xml:space="preserve"> </w:t>
      </w:r>
      <w:r w:rsidRPr="00835820" w:rsidR="00462FA3">
        <w:rPr>
          <w:rFonts w:ascii="Times New Roman" w:hAnsi="Times New Roman" w:cs="Times New Roman"/>
          <w:b/>
          <w:bCs/>
          <w:i w:val="0"/>
          <w:iCs w:val="0"/>
          <w:color w:val="auto"/>
          <w:sz w:val="22"/>
          <w:szCs w:val="22"/>
        </w:rPr>
        <w:t>(202</w:t>
      </w:r>
      <w:r w:rsidR="009C49EF">
        <w:rPr>
          <w:rFonts w:ascii="Times New Roman" w:hAnsi="Times New Roman" w:cs="Times New Roman"/>
          <w:b/>
          <w:bCs/>
          <w:i w:val="0"/>
          <w:iCs w:val="0"/>
          <w:color w:val="auto"/>
          <w:sz w:val="22"/>
          <w:szCs w:val="22"/>
        </w:rPr>
        <w:t>2</w:t>
      </w:r>
      <w:r w:rsidRPr="00835820" w:rsidR="00462FA3">
        <w:rPr>
          <w:rFonts w:ascii="Times New Roman" w:hAnsi="Times New Roman" w:cs="Times New Roman"/>
          <w:b/>
          <w:bCs/>
          <w:i w:val="0"/>
          <w:iCs w:val="0"/>
          <w:color w:val="auto"/>
          <w:sz w:val="22"/>
          <w:szCs w:val="22"/>
        </w:rPr>
        <w:t xml:space="preserve"> dollars)</w:t>
      </w:r>
      <w:r w:rsidRPr="00F068F8">
        <w:rPr>
          <w:rFonts w:ascii="Times New Roman" w:hAnsi="Times New Roman" w:cs="Times New Roman"/>
          <w:b/>
          <w:bCs/>
          <w:i w:val="0"/>
          <w:iCs w:val="0"/>
          <w:color w:val="auto"/>
          <w:sz w:val="22"/>
          <w:szCs w:val="22"/>
        </w:rPr>
        <w:t>.</w:t>
      </w:r>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5"/>
        <w:gridCol w:w="1172"/>
        <w:gridCol w:w="1168"/>
        <w:gridCol w:w="1170"/>
        <w:gridCol w:w="1260"/>
        <w:gridCol w:w="1260"/>
        <w:gridCol w:w="990"/>
        <w:gridCol w:w="1170"/>
      </w:tblGrid>
      <w:tr w14:paraId="5CA13F45" w14:textId="77777777" w:rsidTr="00E6210A">
        <w:tblPrEx>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458"/>
          <w:jc w:val="center"/>
        </w:trPr>
        <w:tc>
          <w:tcPr>
            <w:tcW w:w="1435" w:type="dxa"/>
            <w:vMerge w:val="restart"/>
            <w:shd w:val="clear" w:color="auto" w:fill="D9D9D9"/>
            <w:vAlign w:val="bottom"/>
          </w:tcPr>
          <w:p w:rsidR="0022422B" w:rsidRPr="00D7128A" w:rsidP="00E6210A" w14:paraId="58BDFD78" w14:textId="77777777">
            <w:pPr>
              <w:keepNext/>
              <w:spacing w:after="0" w:line="240" w:lineRule="auto"/>
              <w:jc w:val="center"/>
              <w:rPr>
                <w:rFonts w:ascii="Times New Roman" w:hAnsi="Times New Roman" w:cs="Times New Roman"/>
                <w:b/>
                <w:sz w:val="20"/>
                <w:szCs w:val="20"/>
              </w:rPr>
            </w:pPr>
            <w:r w:rsidRPr="00D7128A">
              <w:rPr>
                <w:rFonts w:ascii="Times New Roman" w:hAnsi="Times New Roman" w:cs="Times New Roman"/>
                <w:b/>
                <w:sz w:val="20"/>
                <w:szCs w:val="20"/>
              </w:rPr>
              <w:t>Facility Type</w:t>
            </w:r>
          </w:p>
        </w:tc>
        <w:tc>
          <w:tcPr>
            <w:tcW w:w="6030" w:type="dxa"/>
            <w:gridSpan w:val="5"/>
            <w:shd w:val="clear" w:color="auto" w:fill="D9D9D9"/>
            <w:vAlign w:val="center"/>
          </w:tcPr>
          <w:p w:rsidR="0022422B" w:rsidRPr="00D7128A" w:rsidP="00E6210A" w14:paraId="0BB1D178" w14:textId="77777777">
            <w:pPr>
              <w:keepNext/>
              <w:spacing w:after="0" w:line="240" w:lineRule="auto"/>
              <w:ind w:right="2412"/>
              <w:jc w:val="right"/>
              <w:rPr>
                <w:rFonts w:ascii="Times New Roman" w:hAnsi="Times New Roman" w:cs="Times New Roman"/>
                <w:b/>
                <w:sz w:val="20"/>
                <w:szCs w:val="20"/>
              </w:rPr>
            </w:pPr>
            <w:r w:rsidRPr="00D7128A">
              <w:rPr>
                <w:rFonts w:ascii="Times New Roman" w:hAnsi="Times New Roman" w:cs="Times New Roman"/>
                <w:b/>
                <w:sz w:val="20"/>
                <w:szCs w:val="20"/>
              </w:rPr>
              <w:t>Labor Hours</w:t>
            </w:r>
          </w:p>
        </w:tc>
        <w:tc>
          <w:tcPr>
            <w:tcW w:w="990" w:type="dxa"/>
            <w:vMerge w:val="restart"/>
            <w:shd w:val="clear" w:color="auto" w:fill="D9D9D9"/>
            <w:vAlign w:val="bottom"/>
          </w:tcPr>
          <w:p w:rsidR="0022422B" w:rsidRPr="00D7128A" w:rsidP="00E6210A" w14:paraId="3FBD9926" w14:textId="77777777">
            <w:pPr>
              <w:keepNext/>
              <w:spacing w:after="0" w:line="240" w:lineRule="auto"/>
              <w:ind w:right="87" w:hanging="2"/>
              <w:jc w:val="center"/>
              <w:rPr>
                <w:rFonts w:ascii="Times New Roman" w:hAnsi="Times New Roman" w:cs="Times New Roman"/>
                <w:b/>
                <w:sz w:val="20"/>
                <w:szCs w:val="20"/>
              </w:rPr>
            </w:pPr>
            <w:r w:rsidRPr="00D7128A">
              <w:rPr>
                <w:rFonts w:ascii="Times New Roman" w:hAnsi="Times New Roman" w:cs="Times New Roman"/>
                <w:b/>
                <w:sz w:val="20"/>
                <w:szCs w:val="20"/>
              </w:rPr>
              <w:t>Other Costs</w:t>
            </w:r>
          </w:p>
        </w:tc>
        <w:tc>
          <w:tcPr>
            <w:tcW w:w="1170" w:type="dxa"/>
            <w:vMerge w:val="restart"/>
            <w:shd w:val="clear" w:color="auto" w:fill="D9D9D9"/>
            <w:vAlign w:val="bottom"/>
          </w:tcPr>
          <w:p w:rsidR="0022422B" w:rsidRPr="00D7128A" w:rsidP="00E6210A" w14:paraId="67A91541" w14:textId="77777777">
            <w:pPr>
              <w:keepNext/>
              <w:spacing w:after="0" w:line="240" w:lineRule="auto"/>
              <w:ind w:right="204"/>
              <w:jc w:val="center"/>
              <w:rPr>
                <w:rFonts w:ascii="Times New Roman" w:hAnsi="Times New Roman" w:cs="Times New Roman"/>
                <w:b/>
                <w:sz w:val="20"/>
                <w:szCs w:val="20"/>
              </w:rPr>
            </w:pPr>
            <w:r w:rsidRPr="00D7128A">
              <w:rPr>
                <w:rFonts w:ascii="Times New Roman" w:hAnsi="Times New Roman" w:cs="Times New Roman"/>
                <w:b/>
                <w:sz w:val="20"/>
                <w:szCs w:val="20"/>
              </w:rPr>
              <w:t>Facility Cost</w:t>
            </w:r>
          </w:p>
        </w:tc>
      </w:tr>
      <w:tr w14:paraId="79797493" w14:textId="77777777" w:rsidTr="00E6210A">
        <w:tblPrEx>
          <w:tblW w:w="9625" w:type="dxa"/>
          <w:jc w:val="center"/>
          <w:tblLayout w:type="fixed"/>
          <w:tblCellMar>
            <w:left w:w="0" w:type="dxa"/>
            <w:right w:w="0" w:type="dxa"/>
          </w:tblCellMar>
          <w:tblLook w:val="01E0"/>
        </w:tblPrEx>
        <w:trPr>
          <w:trHeight w:val="712"/>
          <w:jc w:val="center"/>
        </w:trPr>
        <w:tc>
          <w:tcPr>
            <w:tcW w:w="1435" w:type="dxa"/>
            <w:vMerge/>
            <w:tcBorders>
              <w:top w:val="nil"/>
            </w:tcBorders>
            <w:shd w:val="clear" w:color="auto" w:fill="D9D9D9"/>
            <w:vAlign w:val="center"/>
          </w:tcPr>
          <w:p w:rsidR="0022422B" w:rsidRPr="00D7128A" w:rsidP="00E6210A" w14:paraId="3105200C" w14:textId="77777777">
            <w:pPr>
              <w:keepNext/>
              <w:spacing w:after="0" w:line="240" w:lineRule="auto"/>
              <w:jc w:val="center"/>
              <w:rPr>
                <w:rFonts w:ascii="Times New Roman" w:hAnsi="Times New Roman" w:cs="Times New Roman"/>
                <w:sz w:val="20"/>
                <w:szCs w:val="20"/>
              </w:rPr>
            </w:pPr>
          </w:p>
        </w:tc>
        <w:tc>
          <w:tcPr>
            <w:tcW w:w="1172" w:type="dxa"/>
            <w:shd w:val="clear" w:color="auto" w:fill="D9D9D9"/>
            <w:vAlign w:val="center"/>
          </w:tcPr>
          <w:p w:rsidR="0022422B" w:rsidRPr="00D7128A" w:rsidP="00E6210A" w14:paraId="2CAB2801" w14:textId="77777777">
            <w:pPr>
              <w:keepNext/>
              <w:spacing w:after="0" w:line="240" w:lineRule="auto"/>
              <w:ind w:right="113"/>
              <w:jc w:val="center"/>
              <w:rPr>
                <w:rFonts w:ascii="Times New Roman" w:hAnsi="Times New Roman" w:cs="Times New Roman"/>
                <w:b/>
                <w:sz w:val="20"/>
                <w:szCs w:val="20"/>
              </w:rPr>
            </w:pPr>
            <w:r w:rsidRPr="00D7128A">
              <w:rPr>
                <w:rFonts w:ascii="Times New Roman" w:hAnsi="Times New Roman" w:cs="Times New Roman"/>
                <w:b/>
                <w:sz w:val="20"/>
                <w:szCs w:val="20"/>
              </w:rPr>
              <w:t>Managers</w:t>
            </w:r>
          </w:p>
        </w:tc>
        <w:tc>
          <w:tcPr>
            <w:tcW w:w="1168" w:type="dxa"/>
            <w:shd w:val="clear" w:color="auto" w:fill="D9D9D9"/>
            <w:vAlign w:val="center"/>
          </w:tcPr>
          <w:p w:rsidR="0022422B" w:rsidRPr="00D7128A" w:rsidP="00E6210A" w14:paraId="3D2A7851" w14:textId="77777777">
            <w:pPr>
              <w:keepNext/>
              <w:spacing w:after="0" w:line="240" w:lineRule="auto"/>
              <w:ind w:right="119"/>
              <w:jc w:val="center"/>
              <w:rPr>
                <w:rFonts w:ascii="Times New Roman" w:hAnsi="Times New Roman" w:cs="Times New Roman"/>
                <w:b/>
                <w:sz w:val="20"/>
                <w:szCs w:val="20"/>
              </w:rPr>
            </w:pPr>
            <w:r w:rsidRPr="00D7128A">
              <w:rPr>
                <w:rFonts w:ascii="Times New Roman" w:hAnsi="Times New Roman" w:cs="Times New Roman"/>
                <w:b/>
                <w:sz w:val="20"/>
                <w:szCs w:val="20"/>
              </w:rPr>
              <w:t>Corporate Mgmt.</w:t>
            </w:r>
          </w:p>
        </w:tc>
        <w:tc>
          <w:tcPr>
            <w:tcW w:w="1170" w:type="dxa"/>
            <w:shd w:val="clear" w:color="auto" w:fill="D9D9D9"/>
            <w:vAlign w:val="center"/>
          </w:tcPr>
          <w:p w:rsidR="0022422B" w:rsidRPr="00D7128A" w:rsidP="00E6210A" w14:paraId="21569FFB" w14:textId="77777777">
            <w:pPr>
              <w:keepNext/>
              <w:spacing w:after="0" w:line="240" w:lineRule="auto"/>
              <w:ind w:right="76"/>
              <w:jc w:val="center"/>
              <w:rPr>
                <w:rFonts w:ascii="Times New Roman" w:hAnsi="Times New Roman" w:cs="Times New Roman"/>
                <w:b/>
                <w:sz w:val="20"/>
                <w:szCs w:val="20"/>
              </w:rPr>
            </w:pPr>
            <w:r w:rsidRPr="00D7128A">
              <w:rPr>
                <w:rFonts w:ascii="Times New Roman" w:hAnsi="Times New Roman" w:cs="Times New Roman"/>
                <w:b/>
                <w:sz w:val="20"/>
                <w:szCs w:val="20"/>
              </w:rPr>
              <w:t>Attorneys</w:t>
            </w:r>
          </w:p>
        </w:tc>
        <w:tc>
          <w:tcPr>
            <w:tcW w:w="1260" w:type="dxa"/>
            <w:shd w:val="clear" w:color="auto" w:fill="D9D9D9"/>
            <w:vAlign w:val="center"/>
          </w:tcPr>
          <w:p w:rsidR="0022422B" w:rsidRPr="00D7128A" w:rsidP="00E6210A" w14:paraId="134430E2" w14:textId="77777777">
            <w:pPr>
              <w:keepNext/>
              <w:spacing w:after="0" w:line="240" w:lineRule="auto"/>
              <w:ind w:right="132" w:firstLine="87"/>
              <w:jc w:val="center"/>
              <w:rPr>
                <w:rFonts w:ascii="Times New Roman" w:hAnsi="Times New Roman" w:cs="Times New Roman"/>
                <w:b/>
                <w:sz w:val="20"/>
                <w:szCs w:val="20"/>
              </w:rPr>
            </w:pPr>
            <w:r w:rsidRPr="00D7128A">
              <w:rPr>
                <w:rFonts w:ascii="Times New Roman" w:hAnsi="Times New Roman" w:cs="Times New Roman"/>
                <w:b/>
                <w:sz w:val="20"/>
                <w:szCs w:val="20"/>
              </w:rPr>
              <w:t>Engineers</w:t>
            </w:r>
          </w:p>
        </w:tc>
        <w:tc>
          <w:tcPr>
            <w:tcW w:w="1260" w:type="dxa"/>
            <w:shd w:val="clear" w:color="auto" w:fill="D9D9D9"/>
            <w:vAlign w:val="center"/>
          </w:tcPr>
          <w:p w:rsidR="0022422B" w:rsidRPr="00D7128A" w:rsidP="00E6210A" w14:paraId="3A1419A1" w14:textId="77777777">
            <w:pPr>
              <w:keepNext/>
              <w:spacing w:after="0" w:line="240" w:lineRule="auto"/>
              <w:ind w:right="91" w:firstLine="89"/>
              <w:jc w:val="center"/>
              <w:rPr>
                <w:rFonts w:ascii="Times New Roman" w:hAnsi="Times New Roman" w:cs="Times New Roman"/>
                <w:b/>
                <w:sz w:val="20"/>
                <w:szCs w:val="20"/>
              </w:rPr>
            </w:pPr>
            <w:r w:rsidRPr="00D7128A">
              <w:rPr>
                <w:rFonts w:ascii="Times New Roman" w:hAnsi="Times New Roman" w:cs="Times New Roman"/>
                <w:b/>
                <w:sz w:val="20"/>
                <w:szCs w:val="20"/>
              </w:rPr>
              <w:t>Production</w:t>
            </w:r>
          </w:p>
        </w:tc>
        <w:tc>
          <w:tcPr>
            <w:tcW w:w="990" w:type="dxa"/>
            <w:vMerge/>
            <w:tcBorders>
              <w:top w:val="nil"/>
            </w:tcBorders>
            <w:shd w:val="clear" w:color="auto" w:fill="D9D9D9"/>
            <w:vAlign w:val="center"/>
          </w:tcPr>
          <w:p w:rsidR="0022422B" w:rsidRPr="00D7128A" w:rsidP="00E6210A" w14:paraId="302812ED" w14:textId="77777777">
            <w:pPr>
              <w:keepNext/>
              <w:spacing w:after="0" w:line="240" w:lineRule="auto"/>
              <w:jc w:val="center"/>
              <w:rPr>
                <w:rFonts w:ascii="Times New Roman" w:hAnsi="Times New Roman" w:cs="Times New Roman"/>
                <w:sz w:val="20"/>
                <w:szCs w:val="20"/>
              </w:rPr>
            </w:pPr>
          </w:p>
        </w:tc>
        <w:tc>
          <w:tcPr>
            <w:tcW w:w="1170" w:type="dxa"/>
            <w:vMerge/>
            <w:tcBorders>
              <w:top w:val="nil"/>
            </w:tcBorders>
            <w:shd w:val="clear" w:color="auto" w:fill="D9D9D9"/>
            <w:vAlign w:val="center"/>
          </w:tcPr>
          <w:p w:rsidR="0022422B" w:rsidRPr="00D7128A" w:rsidP="00E6210A" w14:paraId="0C6AD4FC" w14:textId="77777777">
            <w:pPr>
              <w:keepNext/>
              <w:spacing w:after="0" w:line="240" w:lineRule="auto"/>
              <w:jc w:val="center"/>
              <w:rPr>
                <w:rFonts w:ascii="Times New Roman" w:hAnsi="Times New Roman" w:cs="Times New Roman"/>
                <w:sz w:val="20"/>
                <w:szCs w:val="20"/>
              </w:rPr>
            </w:pPr>
          </w:p>
        </w:tc>
      </w:tr>
      <w:tr w14:paraId="776645B8" w14:textId="77777777" w:rsidTr="00E6210A">
        <w:tblPrEx>
          <w:tblW w:w="9625" w:type="dxa"/>
          <w:jc w:val="center"/>
          <w:tblLayout w:type="fixed"/>
          <w:tblCellMar>
            <w:left w:w="0" w:type="dxa"/>
            <w:right w:w="0" w:type="dxa"/>
          </w:tblCellMar>
          <w:tblLook w:val="01E0"/>
        </w:tblPrEx>
        <w:trPr>
          <w:trHeight w:val="455"/>
          <w:jc w:val="center"/>
        </w:trPr>
        <w:tc>
          <w:tcPr>
            <w:tcW w:w="1435" w:type="dxa"/>
            <w:vAlign w:val="center"/>
          </w:tcPr>
          <w:p w:rsidR="0022422B" w:rsidRPr="00D7128A" w:rsidP="00E6210A" w14:paraId="437A31F9" w14:textId="77777777">
            <w:pPr>
              <w:keepNext/>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P2 - Simple</w:t>
            </w:r>
          </w:p>
        </w:tc>
        <w:tc>
          <w:tcPr>
            <w:tcW w:w="1172" w:type="dxa"/>
            <w:vAlign w:val="center"/>
          </w:tcPr>
          <w:p w:rsidR="0022422B" w:rsidRPr="00D7128A" w:rsidP="00E6210A" w14:paraId="41DBFFFD" w14:textId="77777777">
            <w:pPr>
              <w:keepNext/>
              <w:spacing w:after="0" w:line="240" w:lineRule="auto"/>
              <w:ind w:left="5"/>
              <w:jc w:val="center"/>
              <w:rPr>
                <w:rFonts w:ascii="Times New Roman" w:hAnsi="Times New Roman" w:cs="Times New Roman"/>
                <w:sz w:val="20"/>
                <w:szCs w:val="20"/>
              </w:rPr>
            </w:pPr>
            <w:r w:rsidRPr="00D7128A">
              <w:rPr>
                <w:rFonts w:ascii="Times New Roman" w:hAnsi="Times New Roman" w:cs="Times New Roman"/>
                <w:sz w:val="20"/>
                <w:szCs w:val="20"/>
              </w:rPr>
              <w:t>6</w:t>
            </w:r>
          </w:p>
        </w:tc>
        <w:tc>
          <w:tcPr>
            <w:tcW w:w="1168" w:type="dxa"/>
            <w:vAlign w:val="center"/>
          </w:tcPr>
          <w:p w:rsidR="0022422B" w:rsidRPr="00D7128A" w:rsidP="00E6210A" w14:paraId="2FF86148" w14:textId="77777777">
            <w:pPr>
              <w:keepNext/>
              <w:spacing w:after="0" w:line="240" w:lineRule="auto"/>
              <w:ind w:left="3"/>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170" w:type="dxa"/>
            <w:vAlign w:val="center"/>
          </w:tcPr>
          <w:p w:rsidR="0022422B" w:rsidRPr="00D7128A" w:rsidP="00E6210A" w14:paraId="66B8CEDC" w14:textId="77777777">
            <w:pPr>
              <w:keepNext/>
              <w:spacing w:after="0" w:line="240" w:lineRule="auto"/>
              <w:ind w:left="5"/>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60" w:type="dxa"/>
            <w:vAlign w:val="center"/>
          </w:tcPr>
          <w:p w:rsidR="0022422B" w:rsidRPr="00D7128A" w:rsidP="00E6210A" w14:paraId="5AE4C79B" w14:textId="77777777">
            <w:pPr>
              <w:keepNext/>
              <w:spacing w:after="0" w:line="240" w:lineRule="auto"/>
              <w:ind w:left="4"/>
              <w:jc w:val="center"/>
              <w:rPr>
                <w:rFonts w:ascii="Times New Roman" w:hAnsi="Times New Roman" w:cs="Times New Roman"/>
                <w:sz w:val="20"/>
                <w:szCs w:val="20"/>
              </w:rPr>
            </w:pPr>
            <w:r w:rsidRPr="00D7128A">
              <w:rPr>
                <w:rFonts w:ascii="Times New Roman" w:hAnsi="Times New Roman" w:cs="Times New Roman"/>
                <w:sz w:val="20"/>
                <w:szCs w:val="20"/>
              </w:rPr>
              <w:t>4</w:t>
            </w:r>
          </w:p>
        </w:tc>
        <w:tc>
          <w:tcPr>
            <w:tcW w:w="1260" w:type="dxa"/>
            <w:vAlign w:val="center"/>
          </w:tcPr>
          <w:p w:rsidR="0022422B" w:rsidRPr="00D7128A" w:rsidP="00E6210A" w14:paraId="15CA5E8D" w14:textId="77777777">
            <w:pPr>
              <w:keepNext/>
              <w:spacing w:after="0" w:line="240" w:lineRule="auto"/>
              <w:ind w:left="8"/>
              <w:jc w:val="center"/>
              <w:rPr>
                <w:rFonts w:ascii="Times New Roman" w:hAnsi="Times New Roman" w:cs="Times New Roman"/>
                <w:sz w:val="20"/>
                <w:szCs w:val="20"/>
              </w:rPr>
            </w:pPr>
            <w:r w:rsidRPr="00D7128A">
              <w:rPr>
                <w:rFonts w:ascii="Times New Roman" w:hAnsi="Times New Roman" w:cs="Times New Roman"/>
                <w:sz w:val="20"/>
                <w:szCs w:val="20"/>
              </w:rPr>
              <w:t>4</w:t>
            </w:r>
          </w:p>
        </w:tc>
        <w:tc>
          <w:tcPr>
            <w:tcW w:w="990" w:type="dxa"/>
            <w:vAlign w:val="center"/>
          </w:tcPr>
          <w:p w:rsidR="0022422B" w:rsidRPr="00D7128A" w:rsidP="00E6210A" w14:paraId="0F9A0784" w14:textId="77777777">
            <w:pPr>
              <w:keepNext/>
              <w:spacing w:after="0" w:line="240" w:lineRule="auto"/>
              <w:ind w:left="136" w:right="129"/>
              <w:jc w:val="center"/>
              <w:rPr>
                <w:rFonts w:ascii="Times New Roman" w:hAnsi="Times New Roman" w:cs="Times New Roman"/>
                <w:sz w:val="20"/>
                <w:szCs w:val="20"/>
              </w:rPr>
            </w:pPr>
            <w:r w:rsidRPr="00D7128A">
              <w:rPr>
                <w:rFonts w:ascii="Times New Roman" w:hAnsi="Times New Roman" w:cs="Times New Roman"/>
                <w:sz w:val="20"/>
                <w:szCs w:val="20"/>
              </w:rPr>
              <w:t>$1,</w:t>
            </w:r>
            <w:r w:rsidR="0027062D">
              <w:rPr>
                <w:rFonts w:ascii="Times New Roman" w:hAnsi="Times New Roman" w:cs="Times New Roman"/>
                <w:sz w:val="20"/>
                <w:szCs w:val="20"/>
              </w:rPr>
              <w:t>216</w:t>
            </w:r>
          </w:p>
        </w:tc>
        <w:tc>
          <w:tcPr>
            <w:tcW w:w="1170" w:type="dxa"/>
            <w:vAlign w:val="center"/>
          </w:tcPr>
          <w:p w:rsidR="0022422B" w:rsidRPr="00D7128A" w:rsidP="00E6210A" w14:paraId="231F0096" w14:textId="77777777">
            <w:pPr>
              <w:keepNext/>
              <w:spacing w:after="0" w:line="240" w:lineRule="auto"/>
              <w:ind w:left="171" w:right="163"/>
              <w:jc w:val="center"/>
              <w:rPr>
                <w:rFonts w:ascii="Times New Roman" w:hAnsi="Times New Roman" w:cs="Times New Roman"/>
                <w:sz w:val="20"/>
                <w:szCs w:val="20"/>
              </w:rPr>
            </w:pPr>
            <w:r w:rsidRPr="00D7128A">
              <w:rPr>
                <w:rFonts w:ascii="Times New Roman" w:hAnsi="Times New Roman" w:cs="Times New Roman"/>
                <w:color w:val="000000"/>
                <w:sz w:val="20"/>
                <w:szCs w:val="20"/>
              </w:rPr>
              <w:t>$2,</w:t>
            </w:r>
            <w:r w:rsidR="00C87469">
              <w:rPr>
                <w:rFonts w:ascii="Times New Roman" w:hAnsi="Times New Roman" w:cs="Times New Roman"/>
                <w:color w:val="000000"/>
                <w:sz w:val="20"/>
                <w:szCs w:val="20"/>
              </w:rPr>
              <w:t>350</w:t>
            </w:r>
          </w:p>
        </w:tc>
      </w:tr>
      <w:tr w14:paraId="0431E667" w14:textId="77777777" w:rsidTr="00E6210A">
        <w:tblPrEx>
          <w:tblW w:w="9625" w:type="dxa"/>
          <w:jc w:val="center"/>
          <w:tblLayout w:type="fixed"/>
          <w:tblCellMar>
            <w:left w:w="0" w:type="dxa"/>
            <w:right w:w="0" w:type="dxa"/>
          </w:tblCellMar>
          <w:tblLook w:val="01E0"/>
        </w:tblPrEx>
        <w:trPr>
          <w:trHeight w:val="455"/>
          <w:jc w:val="center"/>
        </w:trPr>
        <w:tc>
          <w:tcPr>
            <w:tcW w:w="1435" w:type="dxa"/>
            <w:vAlign w:val="center"/>
          </w:tcPr>
          <w:p w:rsidR="0022422B" w:rsidRPr="00D7128A" w:rsidP="00E6210A" w14:paraId="298D8BC5"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P2 - Complex</w:t>
            </w:r>
          </w:p>
        </w:tc>
        <w:tc>
          <w:tcPr>
            <w:tcW w:w="1172" w:type="dxa"/>
            <w:vAlign w:val="center"/>
          </w:tcPr>
          <w:p w:rsidR="0022422B" w:rsidRPr="00D7128A" w:rsidP="00E6210A" w14:paraId="3637DC02" w14:textId="77777777">
            <w:pPr>
              <w:spacing w:after="0" w:line="240" w:lineRule="auto"/>
              <w:ind w:left="158" w:right="149"/>
              <w:jc w:val="center"/>
              <w:rPr>
                <w:rFonts w:ascii="Times New Roman" w:hAnsi="Times New Roman" w:cs="Times New Roman"/>
                <w:sz w:val="20"/>
                <w:szCs w:val="20"/>
              </w:rPr>
            </w:pPr>
            <w:r w:rsidRPr="00D7128A">
              <w:rPr>
                <w:rFonts w:ascii="Times New Roman" w:hAnsi="Times New Roman" w:cs="Times New Roman"/>
                <w:sz w:val="20"/>
                <w:szCs w:val="20"/>
              </w:rPr>
              <w:t>68</w:t>
            </w:r>
          </w:p>
        </w:tc>
        <w:tc>
          <w:tcPr>
            <w:tcW w:w="1168" w:type="dxa"/>
            <w:vAlign w:val="center"/>
          </w:tcPr>
          <w:p w:rsidR="0022422B" w:rsidRPr="00D7128A" w:rsidP="00E6210A" w14:paraId="18001198" w14:textId="77777777">
            <w:pPr>
              <w:spacing w:after="0" w:line="240" w:lineRule="auto"/>
              <w:ind w:left="137" w:right="132"/>
              <w:jc w:val="center"/>
              <w:rPr>
                <w:rFonts w:ascii="Times New Roman" w:hAnsi="Times New Roman" w:cs="Times New Roman"/>
                <w:sz w:val="20"/>
                <w:szCs w:val="20"/>
              </w:rPr>
            </w:pPr>
            <w:r w:rsidRPr="00D7128A">
              <w:rPr>
                <w:rFonts w:ascii="Times New Roman" w:hAnsi="Times New Roman" w:cs="Times New Roman"/>
                <w:sz w:val="20"/>
                <w:szCs w:val="20"/>
              </w:rPr>
              <w:t>0.5</w:t>
            </w:r>
          </w:p>
        </w:tc>
        <w:tc>
          <w:tcPr>
            <w:tcW w:w="1170" w:type="dxa"/>
            <w:vAlign w:val="center"/>
          </w:tcPr>
          <w:p w:rsidR="0022422B" w:rsidRPr="00D7128A" w:rsidP="00E6210A" w14:paraId="55AFB807" w14:textId="77777777">
            <w:pPr>
              <w:spacing w:after="0" w:line="240" w:lineRule="auto"/>
              <w:ind w:left="5"/>
              <w:jc w:val="center"/>
              <w:rPr>
                <w:rFonts w:ascii="Times New Roman" w:hAnsi="Times New Roman" w:cs="Times New Roman"/>
                <w:sz w:val="20"/>
                <w:szCs w:val="20"/>
              </w:rPr>
            </w:pPr>
            <w:r w:rsidRPr="00D7128A">
              <w:rPr>
                <w:rFonts w:ascii="Times New Roman" w:hAnsi="Times New Roman" w:cs="Times New Roman"/>
                <w:sz w:val="20"/>
                <w:szCs w:val="20"/>
              </w:rPr>
              <w:t>6</w:t>
            </w:r>
          </w:p>
        </w:tc>
        <w:tc>
          <w:tcPr>
            <w:tcW w:w="1260" w:type="dxa"/>
            <w:vAlign w:val="center"/>
          </w:tcPr>
          <w:p w:rsidR="0022422B" w:rsidRPr="00D7128A" w:rsidP="00E6210A" w14:paraId="5133CD24" w14:textId="77777777">
            <w:pPr>
              <w:spacing w:after="0" w:line="240" w:lineRule="auto"/>
              <w:ind w:left="137" w:right="130"/>
              <w:jc w:val="center"/>
              <w:rPr>
                <w:rFonts w:ascii="Times New Roman" w:hAnsi="Times New Roman" w:cs="Times New Roman"/>
                <w:sz w:val="20"/>
                <w:szCs w:val="20"/>
              </w:rPr>
            </w:pPr>
            <w:r w:rsidRPr="00D7128A">
              <w:rPr>
                <w:rFonts w:ascii="Times New Roman" w:hAnsi="Times New Roman" w:cs="Times New Roman"/>
                <w:sz w:val="20"/>
                <w:szCs w:val="20"/>
              </w:rPr>
              <w:t>30</w:t>
            </w:r>
          </w:p>
        </w:tc>
        <w:tc>
          <w:tcPr>
            <w:tcW w:w="1260" w:type="dxa"/>
            <w:vAlign w:val="center"/>
          </w:tcPr>
          <w:p w:rsidR="0022422B" w:rsidRPr="00D7128A" w:rsidP="00E6210A" w14:paraId="4B51CDCC" w14:textId="77777777">
            <w:pPr>
              <w:spacing w:after="0" w:line="240" w:lineRule="auto"/>
              <w:ind w:left="103" w:right="91"/>
              <w:jc w:val="center"/>
              <w:rPr>
                <w:rFonts w:ascii="Times New Roman" w:hAnsi="Times New Roman" w:cs="Times New Roman"/>
                <w:sz w:val="20"/>
                <w:szCs w:val="20"/>
              </w:rPr>
            </w:pPr>
            <w:r w:rsidRPr="00D7128A">
              <w:rPr>
                <w:rFonts w:ascii="Times New Roman" w:hAnsi="Times New Roman" w:cs="Times New Roman"/>
                <w:sz w:val="20"/>
                <w:szCs w:val="20"/>
              </w:rPr>
              <w:t>28</w:t>
            </w:r>
          </w:p>
        </w:tc>
        <w:tc>
          <w:tcPr>
            <w:tcW w:w="990" w:type="dxa"/>
            <w:vAlign w:val="center"/>
          </w:tcPr>
          <w:p w:rsidR="0022422B" w:rsidRPr="00D7128A" w:rsidP="00E6210A" w14:paraId="1C50DE48" w14:textId="77777777">
            <w:pPr>
              <w:spacing w:after="0" w:line="240" w:lineRule="auto"/>
              <w:ind w:left="136" w:right="125"/>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170" w:type="dxa"/>
            <w:vAlign w:val="center"/>
          </w:tcPr>
          <w:p w:rsidR="0022422B" w:rsidRPr="00D7128A" w:rsidP="00E6210A" w14:paraId="656C3B75" w14:textId="77777777">
            <w:pPr>
              <w:spacing w:after="0" w:line="240" w:lineRule="auto"/>
              <w:ind w:left="171" w:right="163"/>
              <w:jc w:val="center"/>
              <w:rPr>
                <w:rFonts w:ascii="Times New Roman" w:hAnsi="Times New Roman" w:cs="Times New Roman"/>
                <w:sz w:val="20"/>
                <w:szCs w:val="20"/>
              </w:rPr>
            </w:pPr>
            <w:r w:rsidRPr="00D7128A">
              <w:rPr>
                <w:rFonts w:ascii="Times New Roman" w:hAnsi="Times New Roman" w:cs="Times New Roman"/>
                <w:color w:val="000000"/>
                <w:sz w:val="20"/>
                <w:szCs w:val="20"/>
              </w:rPr>
              <w:t>$1</w:t>
            </w:r>
            <w:r w:rsidR="009C49EF">
              <w:rPr>
                <w:rFonts w:ascii="Times New Roman" w:hAnsi="Times New Roman" w:cs="Times New Roman"/>
                <w:color w:val="000000"/>
                <w:sz w:val="20"/>
                <w:szCs w:val="20"/>
              </w:rPr>
              <w:t>5,496</w:t>
            </w:r>
          </w:p>
        </w:tc>
      </w:tr>
      <w:tr w14:paraId="355BF854" w14:textId="77777777" w:rsidTr="00E6210A">
        <w:tblPrEx>
          <w:tblW w:w="9625" w:type="dxa"/>
          <w:jc w:val="center"/>
          <w:tblLayout w:type="fixed"/>
          <w:tblCellMar>
            <w:left w:w="0" w:type="dxa"/>
            <w:right w:w="0" w:type="dxa"/>
          </w:tblCellMar>
          <w:tblLook w:val="01E0"/>
        </w:tblPrEx>
        <w:trPr>
          <w:trHeight w:val="458"/>
          <w:jc w:val="center"/>
        </w:trPr>
        <w:tc>
          <w:tcPr>
            <w:tcW w:w="1435" w:type="dxa"/>
            <w:vAlign w:val="center"/>
          </w:tcPr>
          <w:p w:rsidR="0022422B" w:rsidRPr="00D7128A" w:rsidP="00E6210A" w14:paraId="0960AA4E"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P3 - Simple</w:t>
            </w:r>
          </w:p>
        </w:tc>
        <w:tc>
          <w:tcPr>
            <w:tcW w:w="1172" w:type="dxa"/>
            <w:vAlign w:val="center"/>
          </w:tcPr>
          <w:p w:rsidR="0022422B" w:rsidRPr="00D7128A" w:rsidP="00E6210A" w14:paraId="5C721E3E" w14:textId="77777777">
            <w:pPr>
              <w:spacing w:after="0" w:line="240" w:lineRule="auto"/>
              <w:ind w:left="5"/>
              <w:jc w:val="center"/>
              <w:rPr>
                <w:rFonts w:ascii="Times New Roman" w:hAnsi="Times New Roman" w:cs="Times New Roman"/>
                <w:sz w:val="20"/>
                <w:szCs w:val="20"/>
              </w:rPr>
            </w:pPr>
            <w:r w:rsidRPr="00D7128A">
              <w:rPr>
                <w:rFonts w:ascii="Times New Roman" w:hAnsi="Times New Roman" w:cs="Times New Roman"/>
                <w:sz w:val="20"/>
                <w:szCs w:val="20"/>
              </w:rPr>
              <w:t>6</w:t>
            </w:r>
          </w:p>
        </w:tc>
        <w:tc>
          <w:tcPr>
            <w:tcW w:w="1168" w:type="dxa"/>
            <w:vAlign w:val="center"/>
          </w:tcPr>
          <w:p w:rsidR="0022422B" w:rsidRPr="00D7128A" w:rsidP="00E6210A" w14:paraId="20FF1B4C" w14:textId="77777777">
            <w:pPr>
              <w:spacing w:after="0" w:line="240" w:lineRule="auto"/>
              <w:ind w:left="3"/>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170" w:type="dxa"/>
            <w:vAlign w:val="center"/>
          </w:tcPr>
          <w:p w:rsidR="0022422B" w:rsidRPr="00D7128A" w:rsidP="00E6210A" w14:paraId="75C7063A" w14:textId="77777777">
            <w:pPr>
              <w:spacing w:after="0" w:line="240" w:lineRule="auto"/>
              <w:ind w:left="5"/>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260" w:type="dxa"/>
            <w:vAlign w:val="center"/>
          </w:tcPr>
          <w:p w:rsidR="0022422B" w:rsidRPr="00D7128A" w:rsidP="00E6210A" w14:paraId="6F46D42E" w14:textId="77777777">
            <w:pPr>
              <w:spacing w:after="0" w:line="240" w:lineRule="auto"/>
              <w:ind w:left="4"/>
              <w:jc w:val="center"/>
              <w:rPr>
                <w:rFonts w:ascii="Times New Roman" w:hAnsi="Times New Roman" w:cs="Times New Roman"/>
                <w:sz w:val="20"/>
                <w:szCs w:val="20"/>
              </w:rPr>
            </w:pPr>
            <w:r w:rsidRPr="00D7128A">
              <w:rPr>
                <w:rFonts w:ascii="Times New Roman" w:hAnsi="Times New Roman" w:cs="Times New Roman"/>
                <w:sz w:val="20"/>
                <w:szCs w:val="20"/>
              </w:rPr>
              <w:t>4</w:t>
            </w:r>
          </w:p>
        </w:tc>
        <w:tc>
          <w:tcPr>
            <w:tcW w:w="1260" w:type="dxa"/>
            <w:vAlign w:val="center"/>
          </w:tcPr>
          <w:p w:rsidR="0022422B" w:rsidRPr="00D7128A" w:rsidP="00E6210A" w14:paraId="0B46E552" w14:textId="77777777">
            <w:pPr>
              <w:spacing w:after="0" w:line="240" w:lineRule="auto"/>
              <w:ind w:left="8"/>
              <w:jc w:val="center"/>
              <w:rPr>
                <w:rFonts w:ascii="Times New Roman" w:hAnsi="Times New Roman" w:cs="Times New Roman"/>
                <w:sz w:val="20"/>
                <w:szCs w:val="20"/>
              </w:rPr>
            </w:pPr>
            <w:r w:rsidRPr="00D7128A">
              <w:rPr>
                <w:rFonts w:ascii="Times New Roman" w:hAnsi="Times New Roman" w:cs="Times New Roman"/>
                <w:sz w:val="20"/>
                <w:szCs w:val="20"/>
              </w:rPr>
              <w:t>4</w:t>
            </w:r>
          </w:p>
        </w:tc>
        <w:tc>
          <w:tcPr>
            <w:tcW w:w="990" w:type="dxa"/>
            <w:vAlign w:val="center"/>
          </w:tcPr>
          <w:p w:rsidR="0022422B" w:rsidRPr="00D7128A" w:rsidP="00E6210A" w14:paraId="39D830F7" w14:textId="77777777">
            <w:pPr>
              <w:spacing w:after="0" w:line="240" w:lineRule="auto"/>
              <w:ind w:left="136" w:right="129"/>
              <w:jc w:val="center"/>
              <w:rPr>
                <w:rFonts w:ascii="Times New Roman" w:hAnsi="Times New Roman" w:cs="Times New Roman"/>
                <w:sz w:val="20"/>
                <w:szCs w:val="20"/>
              </w:rPr>
            </w:pPr>
            <w:r w:rsidRPr="00D7128A">
              <w:rPr>
                <w:rFonts w:ascii="Times New Roman" w:hAnsi="Times New Roman" w:cs="Times New Roman"/>
                <w:sz w:val="20"/>
                <w:szCs w:val="20"/>
              </w:rPr>
              <w:t>$1,</w:t>
            </w:r>
            <w:r w:rsidR="0027062D">
              <w:rPr>
                <w:rFonts w:ascii="Times New Roman" w:hAnsi="Times New Roman" w:cs="Times New Roman"/>
                <w:sz w:val="20"/>
                <w:szCs w:val="20"/>
              </w:rPr>
              <w:t>216</w:t>
            </w:r>
          </w:p>
        </w:tc>
        <w:tc>
          <w:tcPr>
            <w:tcW w:w="1170" w:type="dxa"/>
            <w:vAlign w:val="center"/>
          </w:tcPr>
          <w:p w:rsidR="0022422B" w:rsidRPr="00D7128A" w:rsidP="00E6210A" w14:paraId="35DB33B8" w14:textId="77777777">
            <w:pPr>
              <w:spacing w:after="0" w:line="240" w:lineRule="auto"/>
              <w:ind w:left="171" w:right="163"/>
              <w:jc w:val="center"/>
              <w:rPr>
                <w:rFonts w:ascii="Times New Roman" w:hAnsi="Times New Roman" w:cs="Times New Roman"/>
                <w:sz w:val="20"/>
                <w:szCs w:val="20"/>
              </w:rPr>
            </w:pPr>
            <w:r w:rsidRPr="00D7128A">
              <w:rPr>
                <w:rFonts w:ascii="Times New Roman" w:hAnsi="Times New Roman" w:cs="Times New Roman"/>
                <w:color w:val="000000"/>
                <w:sz w:val="20"/>
                <w:szCs w:val="20"/>
              </w:rPr>
              <w:t>$2,</w:t>
            </w:r>
            <w:r w:rsidR="00C87469">
              <w:rPr>
                <w:rFonts w:ascii="Times New Roman" w:hAnsi="Times New Roman" w:cs="Times New Roman"/>
                <w:color w:val="000000"/>
                <w:sz w:val="20"/>
                <w:szCs w:val="20"/>
              </w:rPr>
              <w:t>350</w:t>
            </w:r>
          </w:p>
        </w:tc>
      </w:tr>
      <w:tr w14:paraId="36BA7E58" w14:textId="77777777" w:rsidTr="00E6210A">
        <w:tblPrEx>
          <w:tblW w:w="9625" w:type="dxa"/>
          <w:jc w:val="center"/>
          <w:tblLayout w:type="fixed"/>
          <w:tblCellMar>
            <w:left w:w="0" w:type="dxa"/>
            <w:right w:w="0" w:type="dxa"/>
          </w:tblCellMar>
          <w:tblLook w:val="01E0"/>
        </w:tblPrEx>
        <w:trPr>
          <w:trHeight w:val="455"/>
          <w:jc w:val="center"/>
        </w:trPr>
        <w:tc>
          <w:tcPr>
            <w:tcW w:w="1435" w:type="dxa"/>
            <w:vAlign w:val="center"/>
          </w:tcPr>
          <w:p w:rsidR="0022422B" w:rsidRPr="00D7128A" w:rsidP="00E6210A" w14:paraId="24528A3B"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P3 - Complex</w:t>
            </w:r>
          </w:p>
        </w:tc>
        <w:tc>
          <w:tcPr>
            <w:tcW w:w="1172" w:type="dxa"/>
            <w:vAlign w:val="center"/>
          </w:tcPr>
          <w:p w:rsidR="0022422B" w:rsidRPr="00D7128A" w:rsidP="00E6210A" w14:paraId="0D8DB980" w14:textId="77777777">
            <w:pPr>
              <w:spacing w:after="0" w:line="240" w:lineRule="auto"/>
              <w:ind w:left="158" w:right="149"/>
              <w:jc w:val="center"/>
              <w:rPr>
                <w:rFonts w:ascii="Times New Roman" w:hAnsi="Times New Roman" w:cs="Times New Roman"/>
                <w:sz w:val="20"/>
                <w:szCs w:val="20"/>
              </w:rPr>
            </w:pPr>
            <w:r w:rsidRPr="00D7128A">
              <w:rPr>
                <w:rFonts w:ascii="Times New Roman" w:hAnsi="Times New Roman" w:cs="Times New Roman"/>
                <w:sz w:val="20"/>
                <w:szCs w:val="20"/>
              </w:rPr>
              <w:t>68</w:t>
            </w:r>
          </w:p>
        </w:tc>
        <w:tc>
          <w:tcPr>
            <w:tcW w:w="1168" w:type="dxa"/>
            <w:vAlign w:val="center"/>
          </w:tcPr>
          <w:p w:rsidR="0022422B" w:rsidRPr="00D7128A" w:rsidP="00E6210A" w14:paraId="11122298" w14:textId="77777777">
            <w:pPr>
              <w:spacing w:after="0" w:line="240" w:lineRule="auto"/>
              <w:ind w:left="137" w:right="132"/>
              <w:jc w:val="center"/>
              <w:rPr>
                <w:rFonts w:ascii="Times New Roman" w:hAnsi="Times New Roman" w:cs="Times New Roman"/>
                <w:sz w:val="20"/>
                <w:szCs w:val="20"/>
              </w:rPr>
            </w:pPr>
            <w:r w:rsidRPr="00D7128A">
              <w:rPr>
                <w:rFonts w:ascii="Times New Roman" w:hAnsi="Times New Roman" w:cs="Times New Roman"/>
                <w:sz w:val="20"/>
                <w:szCs w:val="20"/>
              </w:rPr>
              <w:t>0.5</w:t>
            </w:r>
          </w:p>
        </w:tc>
        <w:tc>
          <w:tcPr>
            <w:tcW w:w="1170" w:type="dxa"/>
            <w:vAlign w:val="center"/>
          </w:tcPr>
          <w:p w:rsidR="0022422B" w:rsidRPr="00D7128A" w:rsidP="00E6210A" w14:paraId="7FC5D271" w14:textId="77777777">
            <w:pPr>
              <w:spacing w:after="0" w:line="240" w:lineRule="auto"/>
              <w:ind w:left="5"/>
              <w:jc w:val="center"/>
              <w:rPr>
                <w:rFonts w:ascii="Times New Roman" w:hAnsi="Times New Roman" w:cs="Times New Roman"/>
                <w:sz w:val="20"/>
                <w:szCs w:val="20"/>
              </w:rPr>
            </w:pPr>
            <w:r w:rsidRPr="00D7128A">
              <w:rPr>
                <w:rFonts w:ascii="Times New Roman" w:hAnsi="Times New Roman" w:cs="Times New Roman"/>
                <w:sz w:val="20"/>
                <w:szCs w:val="20"/>
              </w:rPr>
              <w:t>6</w:t>
            </w:r>
          </w:p>
        </w:tc>
        <w:tc>
          <w:tcPr>
            <w:tcW w:w="1260" w:type="dxa"/>
            <w:vAlign w:val="center"/>
          </w:tcPr>
          <w:p w:rsidR="0022422B" w:rsidRPr="00D7128A" w:rsidP="00E6210A" w14:paraId="63274637" w14:textId="77777777">
            <w:pPr>
              <w:spacing w:after="0" w:line="240" w:lineRule="auto"/>
              <w:ind w:left="137" w:right="130"/>
              <w:jc w:val="center"/>
              <w:rPr>
                <w:rFonts w:ascii="Times New Roman" w:hAnsi="Times New Roman" w:cs="Times New Roman"/>
                <w:sz w:val="20"/>
                <w:szCs w:val="20"/>
              </w:rPr>
            </w:pPr>
            <w:r w:rsidRPr="00D7128A">
              <w:rPr>
                <w:rFonts w:ascii="Times New Roman" w:hAnsi="Times New Roman" w:cs="Times New Roman"/>
                <w:sz w:val="20"/>
                <w:szCs w:val="20"/>
              </w:rPr>
              <w:t>30</w:t>
            </w:r>
          </w:p>
        </w:tc>
        <w:tc>
          <w:tcPr>
            <w:tcW w:w="1260" w:type="dxa"/>
            <w:vAlign w:val="center"/>
          </w:tcPr>
          <w:p w:rsidR="0022422B" w:rsidRPr="00D7128A" w:rsidP="00E6210A" w14:paraId="74BD8DE9" w14:textId="77777777">
            <w:pPr>
              <w:spacing w:after="0" w:line="240" w:lineRule="auto"/>
              <w:ind w:left="103" w:right="91"/>
              <w:jc w:val="center"/>
              <w:rPr>
                <w:rFonts w:ascii="Times New Roman" w:hAnsi="Times New Roman" w:cs="Times New Roman"/>
                <w:sz w:val="20"/>
                <w:szCs w:val="20"/>
              </w:rPr>
            </w:pPr>
            <w:r w:rsidRPr="00D7128A">
              <w:rPr>
                <w:rFonts w:ascii="Times New Roman" w:hAnsi="Times New Roman" w:cs="Times New Roman"/>
                <w:sz w:val="20"/>
                <w:szCs w:val="20"/>
              </w:rPr>
              <w:t>28</w:t>
            </w:r>
          </w:p>
        </w:tc>
        <w:tc>
          <w:tcPr>
            <w:tcW w:w="990" w:type="dxa"/>
            <w:vAlign w:val="center"/>
          </w:tcPr>
          <w:p w:rsidR="0022422B" w:rsidRPr="00D7128A" w:rsidP="00E6210A" w14:paraId="26FA0CFF" w14:textId="77777777">
            <w:pPr>
              <w:spacing w:after="0" w:line="240" w:lineRule="auto"/>
              <w:ind w:left="136" w:right="125"/>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170" w:type="dxa"/>
            <w:vAlign w:val="center"/>
          </w:tcPr>
          <w:p w:rsidR="0022422B" w:rsidRPr="00D7128A" w:rsidP="00E6210A" w14:paraId="61D15519" w14:textId="77777777">
            <w:pPr>
              <w:spacing w:after="0" w:line="240" w:lineRule="auto"/>
              <w:ind w:left="171" w:right="163"/>
              <w:jc w:val="center"/>
              <w:rPr>
                <w:rFonts w:ascii="Times New Roman" w:hAnsi="Times New Roman" w:cs="Times New Roman"/>
                <w:sz w:val="20"/>
                <w:szCs w:val="20"/>
              </w:rPr>
            </w:pPr>
            <w:r w:rsidRPr="00D7128A">
              <w:rPr>
                <w:rFonts w:ascii="Times New Roman" w:hAnsi="Times New Roman" w:cs="Times New Roman"/>
                <w:color w:val="000000"/>
                <w:sz w:val="20"/>
                <w:szCs w:val="20"/>
              </w:rPr>
              <w:t>$1</w:t>
            </w:r>
            <w:r w:rsidR="009C49EF">
              <w:rPr>
                <w:rFonts w:ascii="Times New Roman" w:hAnsi="Times New Roman" w:cs="Times New Roman"/>
                <w:color w:val="000000"/>
                <w:sz w:val="20"/>
                <w:szCs w:val="20"/>
              </w:rPr>
              <w:t>5,496</w:t>
            </w:r>
          </w:p>
        </w:tc>
      </w:tr>
    </w:tbl>
    <w:p w:rsidR="0022422B" w:rsidP="0022422B" w14:paraId="2B8DBCC7" w14:textId="77777777">
      <w:pPr>
        <w:spacing w:after="0" w:line="240" w:lineRule="auto"/>
        <w:rPr>
          <w:rFonts w:ascii="Times New Roman" w:hAnsi="Times New Roman" w:cs="Times New Roman"/>
          <w:b/>
          <w:bCs/>
        </w:rPr>
      </w:pPr>
    </w:p>
    <w:p w:rsidR="006C45C7" w:rsidP="004D4B61" w14:paraId="778FEAB7" w14:textId="77777777">
      <w:pPr>
        <w:keepNext/>
        <w:autoSpaceDE w:val="0"/>
        <w:autoSpaceDN w:val="0"/>
        <w:adjustRightInd w:val="0"/>
        <w:spacing w:after="0" w:line="240" w:lineRule="auto"/>
        <w:rPr>
          <w:rFonts w:ascii="Times New Roman" w:hAnsi="Times New Roman" w:cs="Times New Roman"/>
          <w:i/>
          <w:color w:val="000000"/>
        </w:rPr>
      </w:pPr>
    </w:p>
    <w:p w:rsidR="00C5384D" w:rsidRPr="00771C3E" w:rsidP="00771C3E" w14:paraId="672C792C" w14:textId="77777777">
      <w:pPr>
        <w:pStyle w:val="Heading3"/>
        <w:rPr>
          <w:rFonts w:ascii="Times New Roman" w:hAnsi="Times New Roman" w:cs="Times New Roman"/>
          <w:sz w:val="22"/>
          <w:szCs w:val="22"/>
        </w:rPr>
      </w:pPr>
      <w:bookmarkStart w:id="178" w:name="_Toc141732934"/>
      <w:bookmarkStart w:id="179" w:name="_Toc141733145"/>
      <w:bookmarkStart w:id="180" w:name="_Toc142404049"/>
      <w:bookmarkStart w:id="181" w:name="_Toc144213857"/>
      <w:bookmarkStart w:id="182" w:name="_Toc144283602"/>
      <w:bookmarkStart w:id="183" w:name="_Toc144303540"/>
      <w:r w:rsidRPr="00771C3E">
        <w:rPr>
          <w:rFonts w:ascii="Times New Roman" w:hAnsi="Times New Roman" w:cs="Times New Roman"/>
          <w:sz w:val="22"/>
          <w:szCs w:val="22"/>
        </w:rPr>
        <w:t>4.4.4 Third-party Audits</w:t>
      </w:r>
      <w:bookmarkEnd w:id="178"/>
      <w:bookmarkEnd w:id="179"/>
      <w:bookmarkEnd w:id="180"/>
      <w:bookmarkEnd w:id="181"/>
      <w:bookmarkEnd w:id="182"/>
      <w:bookmarkEnd w:id="183"/>
      <w:r w:rsidRPr="00771C3E">
        <w:rPr>
          <w:rFonts w:ascii="Times New Roman" w:hAnsi="Times New Roman" w:cs="Times New Roman"/>
          <w:sz w:val="22"/>
          <w:szCs w:val="22"/>
        </w:rPr>
        <w:t xml:space="preserve"> </w:t>
      </w:r>
    </w:p>
    <w:p w:rsidR="00C5384D" w:rsidP="00F068F8" w14:paraId="30316F37" w14:textId="77777777">
      <w:pPr>
        <w:keepNext/>
        <w:autoSpaceDE w:val="0"/>
        <w:autoSpaceDN w:val="0"/>
        <w:adjustRightInd w:val="0"/>
        <w:spacing w:after="0" w:line="240" w:lineRule="auto"/>
        <w:ind w:firstLine="360"/>
        <w:rPr>
          <w:rFonts w:ascii="Times New Roman" w:hAnsi="Times New Roman" w:cs="Times New Roman"/>
          <w:color w:val="000000"/>
        </w:rPr>
      </w:pPr>
      <w:r>
        <w:rPr>
          <w:rFonts w:ascii="Times New Roman" w:hAnsi="Times New Roman" w:cs="Times New Roman"/>
          <w:color w:val="000000"/>
        </w:rPr>
        <w:tab/>
      </w:r>
      <w:r w:rsidRPr="004D4B61">
        <w:rPr>
          <w:rFonts w:ascii="Times New Roman" w:hAnsi="Times New Roman" w:cs="Times New Roman"/>
          <w:color w:val="000000"/>
        </w:rPr>
        <w:t xml:space="preserve">The </w:t>
      </w:r>
      <w:r w:rsidR="00654300">
        <w:rPr>
          <w:rFonts w:ascii="Times New Roman" w:hAnsi="Times New Roman" w:cs="Times New Roman"/>
          <w:color w:val="000000"/>
        </w:rPr>
        <w:t>current</w:t>
      </w:r>
      <w:r w:rsidRPr="004D4B61">
        <w:rPr>
          <w:rFonts w:ascii="Times New Roman" w:hAnsi="Times New Roman" w:cs="Times New Roman"/>
          <w:color w:val="000000"/>
        </w:rPr>
        <w:t xml:space="preserve"> </w:t>
      </w:r>
      <w:r w:rsidR="00253E39">
        <w:rPr>
          <w:rFonts w:ascii="Times New Roman" w:hAnsi="Times New Roman" w:cs="Times New Roman"/>
          <w:color w:val="000000"/>
        </w:rPr>
        <w:t xml:space="preserve">RMP </w:t>
      </w:r>
      <w:r w:rsidRPr="004D4B61">
        <w:rPr>
          <w:rFonts w:ascii="Times New Roman" w:hAnsi="Times New Roman" w:cs="Times New Roman"/>
          <w:color w:val="000000"/>
        </w:rPr>
        <w:t xml:space="preserve">rule requires </w:t>
      </w:r>
      <w:r w:rsidRPr="004D4B61" w:rsidR="005E22BE">
        <w:rPr>
          <w:rFonts w:ascii="Times New Roman" w:hAnsi="Times New Roman" w:cs="Times New Roman"/>
        </w:rPr>
        <w:t>Progr</w:t>
      </w:r>
      <w:r w:rsidR="006A5912">
        <w:rPr>
          <w:rFonts w:ascii="Times New Roman" w:hAnsi="Times New Roman" w:cs="Times New Roman"/>
        </w:rPr>
        <w:t>a</w:t>
      </w:r>
      <w:r w:rsidRPr="004D4B61" w:rsidR="005E22BE">
        <w:rPr>
          <w:rFonts w:ascii="Times New Roman" w:hAnsi="Times New Roman" w:cs="Times New Roman"/>
        </w:rPr>
        <w:t>m 2</w:t>
      </w:r>
      <w:r w:rsidRPr="004D4B61">
        <w:rPr>
          <w:rFonts w:ascii="Times New Roman" w:hAnsi="Times New Roman" w:cs="Times New Roman"/>
          <w:color w:val="000000"/>
        </w:rPr>
        <w:t xml:space="preserve"> and </w:t>
      </w:r>
      <w:r w:rsidRPr="004D4B61" w:rsidR="00AB34CF">
        <w:rPr>
          <w:rFonts w:ascii="Times New Roman" w:hAnsi="Times New Roman" w:cs="Times New Roman"/>
          <w:color w:val="000000"/>
        </w:rPr>
        <w:t>Program 3</w:t>
      </w:r>
      <w:r w:rsidRPr="004D4B61">
        <w:rPr>
          <w:rFonts w:ascii="Times New Roman" w:hAnsi="Times New Roman" w:cs="Times New Roman"/>
          <w:color w:val="000000"/>
        </w:rPr>
        <w:t xml:space="preserve"> facilities to conduct a compliance audit at least once every </w:t>
      </w:r>
      <w:r w:rsidRPr="004D4B61" w:rsidR="004D390E">
        <w:rPr>
          <w:rFonts w:ascii="Times New Roman" w:hAnsi="Times New Roman" w:cs="Times New Roman"/>
          <w:color w:val="000000"/>
        </w:rPr>
        <w:t>three</w:t>
      </w:r>
      <w:r w:rsidRPr="004D4B61">
        <w:rPr>
          <w:rFonts w:ascii="Times New Roman" w:hAnsi="Times New Roman" w:cs="Times New Roman"/>
          <w:color w:val="000000"/>
        </w:rPr>
        <w:t xml:space="preserve"> years. The </w:t>
      </w:r>
      <w:r w:rsidR="00244FA9">
        <w:rPr>
          <w:rFonts w:ascii="Times New Roman" w:hAnsi="Times New Roman" w:cs="Times New Roman"/>
          <w:color w:val="000000"/>
        </w:rPr>
        <w:t>final</w:t>
      </w:r>
      <w:r w:rsidRPr="004D4B61">
        <w:rPr>
          <w:rFonts w:ascii="Times New Roman" w:hAnsi="Times New Roman" w:cs="Times New Roman"/>
          <w:color w:val="000000"/>
        </w:rPr>
        <w:t xml:space="preserve"> rule require</w:t>
      </w:r>
      <w:r w:rsidR="009449B7">
        <w:rPr>
          <w:rFonts w:ascii="Times New Roman" w:hAnsi="Times New Roman" w:cs="Times New Roman"/>
          <w:color w:val="000000"/>
        </w:rPr>
        <w:t>s</w:t>
      </w:r>
      <w:r w:rsidRPr="004D4B61">
        <w:rPr>
          <w:rFonts w:ascii="Times New Roman" w:hAnsi="Times New Roman" w:cs="Times New Roman"/>
          <w:color w:val="000000"/>
        </w:rPr>
        <w:t xml:space="preserve"> </w:t>
      </w:r>
      <w:r w:rsidRPr="004D4B61" w:rsidR="004755F8">
        <w:rPr>
          <w:rFonts w:ascii="Times New Roman" w:hAnsi="Times New Roman" w:cs="Times New Roman"/>
        </w:rPr>
        <w:t>Program 2</w:t>
      </w:r>
      <w:r w:rsidRPr="004D4B61" w:rsidR="004755F8">
        <w:rPr>
          <w:rFonts w:ascii="Times New Roman" w:hAnsi="Times New Roman" w:cs="Times New Roman"/>
          <w:color w:val="000000"/>
        </w:rPr>
        <w:t xml:space="preserve"> and Program 3 </w:t>
      </w:r>
      <w:r w:rsidRPr="004D4B61">
        <w:rPr>
          <w:rFonts w:ascii="Times New Roman" w:hAnsi="Times New Roman" w:cs="Times New Roman"/>
          <w:color w:val="000000"/>
        </w:rPr>
        <w:t xml:space="preserve">facilities that have had </w:t>
      </w:r>
      <w:r w:rsidR="00A12AAB">
        <w:rPr>
          <w:rFonts w:ascii="Times New Roman" w:hAnsi="Times New Roman" w:cs="Times New Roman"/>
          <w:color w:val="000000"/>
        </w:rPr>
        <w:t>an</w:t>
      </w:r>
      <w:r w:rsidRPr="004D4B61" w:rsidR="00E14DD8">
        <w:rPr>
          <w:rFonts w:ascii="Times New Roman" w:hAnsi="Times New Roman" w:cs="Times New Roman"/>
          <w:color w:val="000000"/>
        </w:rPr>
        <w:t xml:space="preserve"> </w:t>
      </w:r>
      <w:r w:rsidRPr="004D4B61">
        <w:rPr>
          <w:rFonts w:ascii="Times New Roman" w:hAnsi="Times New Roman" w:cs="Times New Roman"/>
          <w:color w:val="000000"/>
        </w:rPr>
        <w:t>RMP</w:t>
      </w:r>
      <w:r w:rsidRPr="004D4B61" w:rsidR="00CA261F">
        <w:rPr>
          <w:rFonts w:ascii="Times New Roman" w:hAnsi="Times New Roman" w:cs="Times New Roman"/>
          <w:color w:val="000000"/>
        </w:rPr>
        <w:t>-</w:t>
      </w:r>
      <w:r w:rsidRPr="004D4B61">
        <w:rPr>
          <w:rFonts w:ascii="Times New Roman" w:hAnsi="Times New Roman" w:cs="Times New Roman"/>
          <w:color w:val="000000"/>
        </w:rPr>
        <w:t>reportable accident to contract with an independent third-party to conduct the</w:t>
      </w:r>
      <w:r w:rsidRPr="004D4B61" w:rsidR="009275F6">
        <w:rPr>
          <w:rFonts w:ascii="Times New Roman" w:hAnsi="Times New Roman" w:cs="Times New Roman"/>
          <w:color w:val="000000"/>
        </w:rPr>
        <w:t xml:space="preserve"> next required</w:t>
      </w:r>
      <w:r w:rsidRPr="004D4B61">
        <w:rPr>
          <w:rFonts w:ascii="Times New Roman" w:hAnsi="Times New Roman" w:cs="Times New Roman"/>
          <w:color w:val="000000"/>
        </w:rPr>
        <w:t xml:space="preserve"> audit. The </w:t>
      </w:r>
      <w:r w:rsidR="00DE1D6B">
        <w:rPr>
          <w:rFonts w:ascii="Times New Roman" w:hAnsi="Times New Roman" w:cs="Times New Roman"/>
          <w:color w:val="000000"/>
        </w:rPr>
        <w:t>a</w:t>
      </w:r>
      <w:r w:rsidRPr="004D4B61">
        <w:rPr>
          <w:rFonts w:ascii="Times New Roman" w:hAnsi="Times New Roman" w:cs="Times New Roman"/>
          <w:color w:val="000000"/>
        </w:rPr>
        <w:t xml:space="preserve">mendments rule RIA estimated the cost of hiring a third-party to conduct an audit. The audit required under this </w:t>
      </w:r>
      <w:r w:rsidR="00BA4F16">
        <w:rPr>
          <w:rFonts w:ascii="Times New Roman" w:hAnsi="Times New Roman" w:cs="Times New Roman"/>
          <w:color w:val="000000"/>
        </w:rPr>
        <w:t>final</w:t>
      </w:r>
      <w:r w:rsidRPr="004D4B61" w:rsidR="00BA4F16">
        <w:rPr>
          <w:rFonts w:ascii="Times New Roman" w:hAnsi="Times New Roman" w:cs="Times New Roman"/>
          <w:color w:val="000000"/>
        </w:rPr>
        <w:t xml:space="preserve"> </w:t>
      </w:r>
      <w:r w:rsidRPr="004D4B61">
        <w:rPr>
          <w:rFonts w:ascii="Times New Roman" w:hAnsi="Times New Roman" w:cs="Times New Roman"/>
          <w:color w:val="000000"/>
        </w:rPr>
        <w:t xml:space="preserve">rule </w:t>
      </w:r>
      <w:r w:rsidR="009449B7">
        <w:rPr>
          <w:rFonts w:ascii="Times New Roman" w:hAnsi="Times New Roman" w:cs="Times New Roman"/>
          <w:color w:val="000000"/>
        </w:rPr>
        <w:t>will</w:t>
      </w:r>
      <w:r w:rsidRPr="004D4B61">
        <w:rPr>
          <w:rFonts w:ascii="Times New Roman" w:hAnsi="Times New Roman" w:cs="Times New Roman"/>
          <w:color w:val="000000"/>
        </w:rPr>
        <w:t xml:space="preserve"> have the same estimated cost, so the estimated </w:t>
      </w:r>
      <w:r w:rsidRPr="004D4B61" w:rsidR="00827551">
        <w:rPr>
          <w:rFonts w:ascii="Times New Roman" w:hAnsi="Times New Roman" w:cs="Times New Roman"/>
          <w:color w:val="000000"/>
        </w:rPr>
        <w:t>costs</w:t>
      </w:r>
      <w:r w:rsidRPr="004D4B61" w:rsidR="00C41CE0">
        <w:rPr>
          <w:rFonts w:ascii="Times New Roman" w:hAnsi="Times New Roman" w:cs="Times New Roman"/>
          <w:color w:val="000000"/>
        </w:rPr>
        <w:t xml:space="preserve"> here</w:t>
      </w:r>
      <w:r w:rsidRPr="004D4B61" w:rsidR="00827551">
        <w:rPr>
          <w:rFonts w:ascii="Times New Roman" w:hAnsi="Times New Roman" w:cs="Times New Roman"/>
          <w:color w:val="000000"/>
        </w:rPr>
        <w:t xml:space="preserve"> </w:t>
      </w:r>
      <w:r w:rsidRPr="004D4B61">
        <w:rPr>
          <w:rFonts w:ascii="Times New Roman" w:hAnsi="Times New Roman" w:cs="Times New Roman"/>
          <w:color w:val="000000"/>
        </w:rPr>
        <w:t xml:space="preserve">are based on the unit costs and labor hours estimated under the </w:t>
      </w:r>
      <w:r w:rsidR="00DE1D6B">
        <w:rPr>
          <w:rFonts w:ascii="Times New Roman" w:hAnsi="Times New Roman" w:cs="Times New Roman"/>
          <w:color w:val="000000"/>
        </w:rPr>
        <w:t>a</w:t>
      </w:r>
      <w:r w:rsidRPr="004D4B61">
        <w:rPr>
          <w:rFonts w:ascii="Times New Roman" w:hAnsi="Times New Roman" w:cs="Times New Roman"/>
          <w:color w:val="000000"/>
        </w:rPr>
        <w:t>mendments rule</w:t>
      </w:r>
      <w:r w:rsidRPr="004D4B61" w:rsidR="00827551">
        <w:rPr>
          <w:rFonts w:ascii="Times New Roman" w:hAnsi="Times New Roman" w:cs="Times New Roman"/>
          <w:color w:val="000000"/>
        </w:rPr>
        <w:t>,</w:t>
      </w:r>
      <w:r w:rsidRPr="004D4B61">
        <w:rPr>
          <w:rFonts w:ascii="Times New Roman" w:hAnsi="Times New Roman" w:cs="Times New Roman"/>
          <w:color w:val="000000"/>
        </w:rPr>
        <w:t xml:space="preserve"> updated to </w:t>
      </w:r>
      <w:r w:rsidRPr="004D4B61" w:rsidR="002E5FB6">
        <w:rPr>
          <w:rFonts w:ascii="Times New Roman" w:hAnsi="Times New Roman" w:cs="Times New Roman"/>
          <w:color w:val="000000"/>
        </w:rPr>
        <w:t>202</w:t>
      </w:r>
      <w:r w:rsidR="002E5FB6">
        <w:rPr>
          <w:rFonts w:ascii="Times New Roman" w:hAnsi="Times New Roman" w:cs="Times New Roman"/>
          <w:color w:val="000000"/>
        </w:rPr>
        <w:t>2</w:t>
      </w:r>
      <w:r w:rsidRPr="004D4B61" w:rsidR="002E5FB6">
        <w:rPr>
          <w:rFonts w:ascii="Times New Roman" w:hAnsi="Times New Roman" w:cs="Times New Roman"/>
          <w:color w:val="000000"/>
        </w:rPr>
        <w:t xml:space="preserve"> </w:t>
      </w:r>
      <w:r w:rsidRPr="004D4B61">
        <w:rPr>
          <w:rFonts w:ascii="Times New Roman" w:hAnsi="Times New Roman" w:cs="Times New Roman"/>
          <w:color w:val="000000"/>
        </w:rPr>
        <w:t>dollars.</w:t>
      </w:r>
      <w:r>
        <w:rPr>
          <w:rFonts w:ascii="Times New Roman" w:hAnsi="Times New Roman" w:cs="Times New Roman"/>
          <w:color w:val="000000"/>
          <w:vertAlign w:val="superscript"/>
        </w:rPr>
        <w:footnoteReference w:id="112"/>
      </w:r>
      <w:r w:rsidRPr="004D4B61">
        <w:rPr>
          <w:rFonts w:ascii="Times New Roman" w:hAnsi="Times New Roman" w:cs="Times New Roman"/>
          <w:color w:val="000000"/>
        </w:rPr>
        <w:t xml:space="preserve"> </w:t>
      </w:r>
    </w:p>
    <w:p w:rsidR="00A80E96" w:rsidRPr="004D4B61" w:rsidP="00F068F8" w14:paraId="73846FD6" w14:textId="77777777">
      <w:pPr>
        <w:keepNext/>
        <w:autoSpaceDE w:val="0"/>
        <w:autoSpaceDN w:val="0"/>
        <w:adjustRightInd w:val="0"/>
        <w:spacing w:after="0" w:line="240" w:lineRule="auto"/>
        <w:ind w:firstLine="360"/>
        <w:rPr>
          <w:rFonts w:ascii="Times New Roman" w:hAnsi="Times New Roman" w:cs="Times New Roman"/>
        </w:rPr>
      </w:pPr>
    </w:p>
    <w:p w:rsidR="00B0126C" w:rsidRPr="004D4B61" w:rsidP="00F068F8" w14:paraId="3AC3634C" w14:textId="77777777">
      <w:pPr>
        <w:keepNext/>
        <w:autoSpaceDE w:val="0"/>
        <w:autoSpaceDN w:val="0"/>
        <w:adjustRightInd w:val="0"/>
        <w:spacing w:after="0" w:line="240" w:lineRule="auto"/>
        <w:ind w:firstLine="360"/>
        <w:rPr>
          <w:rFonts w:ascii="Times New Roman" w:hAnsi="Times New Roman" w:cs="Times New Roman"/>
        </w:rPr>
      </w:pPr>
      <w:r>
        <w:rPr>
          <w:rFonts w:ascii="Times New Roman" w:hAnsi="Times New Roman" w:cs="Times New Roman"/>
        </w:rPr>
        <w:tab/>
      </w:r>
      <w:r w:rsidR="00CB7908">
        <w:rPr>
          <w:rFonts w:ascii="Times New Roman" w:hAnsi="Times New Roman" w:cs="Times New Roman"/>
        </w:rPr>
        <w:t>For t</w:t>
      </w:r>
      <w:r w:rsidRPr="004D4B61" w:rsidR="00C5384D">
        <w:rPr>
          <w:rFonts w:ascii="Times New Roman" w:hAnsi="Times New Roman" w:cs="Times New Roman"/>
        </w:rPr>
        <w:t xml:space="preserve">he </w:t>
      </w:r>
      <w:r w:rsidRPr="004D4B61" w:rsidR="00F9541E">
        <w:rPr>
          <w:rFonts w:ascii="Times New Roman" w:hAnsi="Times New Roman" w:cs="Times New Roman"/>
        </w:rPr>
        <w:t>t</w:t>
      </w:r>
      <w:r w:rsidRPr="004D4B61" w:rsidR="00C5384D">
        <w:rPr>
          <w:rFonts w:ascii="Times New Roman" w:hAnsi="Times New Roman" w:cs="Times New Roman"/>
        </w:rPr>
        <w:t xml:space="preserve">hird-party </w:t>
      </w:r>
      <w:r w:rsidRPr="004D4B61" w:rsidR="00F9541E">
        <w:rPr>
          <w:rFonts w:ascii="Times New Roman" w:hAnsi="Times New Roman" w:cs="Times New Roman"/>
        </w:rPr>
        <w:t>a</w:t>
      </w:r>
      <w:r w:rsidRPr="004D4B61" w:rsidR="00C5384D">
        <w:rPr>
          <w:rFonts w:ascii="Times New Roman" w:hAnsi="Times New Roman" w:cs="Times New Roman"/>
        </w:rPr>
        <w:t>udit estimates</w:t>
      </w:r>
      <w:r w:rsidR="00F87B69">
        <w:rPr>
          <w:rFonts w:ascii="Times New Roman" w:hAnsi="Times New Roman" w:cs="Times New Roman"/>
        </w:rPr>
        <w:t>,</w:t>
      </w:r>
      <w:r w:rsidRPr="004D4B61" w:rsidR="00C5384D">
        <w:rPr>
          <w:rFonts w:ascii="Times New Roman" w:hAnsi="Times New Roman" w:cs="Times New Roman"/>
        </w:rPr>
        <w:t xml:space="preserve"> </w:t>
      </w:r>
      <w:r w:rsidR="00CB7908">
        <w:rPr>
          <w:rFonts w:ascii="Times New Roman" w:hAnsi="Times New Roman" w:cs="Times New Roman"/>
        </w:rPr>
        <w:t xml:space="preserve">the analysis </w:t>
      </w:r>
      <w:r w:rsidRPr="004D4B61" w:rsidR="0069057E">
        <w:rPr>
          <w:rFonts w:ascii="Times New Roman" w:hAnsi="Times New Roman" w:cs="Times New Roman"/>
        </w:rPr>
        <w:t>assume</w:t>
      </w:r>
      <w:r w:rsidR="00CB7908">
        <w:rPr>
          <w:rFonts w:ascii="Times New Roman" w:hAnsi="Times New Roman" w:cs="Times New Roman"/>
        </w:rPr>
        <w:t>s</w:t>
      </w:r>
      <w:r w:rsidRPr="004D4B61" w:rsidR="0069057E">
        <w:rPr>
          <w:rFonts w:ascii="Times New Roman" w:hAnsi="Times New Roman" w:cs="Times New Roman"/>
        </w:rPr>
        <w:t xml:space="preserve"> </w:t>
      </w:r>
      <w:r w:rsidRPr="004D4B61" w:rsidR="00C5384D">
        <w:rPr>
          <w:rFonts w:ascii="Times New Roman" w:hAnsi="Times New Roman" w:cs="Times New Roman"/>
        </w:rPr>
        <w:t xml:space="preserve">that the time required to contract for a third-party audit </w:t>
      </w:r>
      <w:r w:rsidR="009449B7">
        <w:rPr>
          <w:rFonts w:ascii="Times New Roman" w:hAnsi="Times New Roman" w:cs="Times New Roman"/>
        </w:rPr>
        <w:t>will</w:t>
      </w:r>
      <w:r w:rsidRPr="004D4B61" w:rsidR="00C5384D">
        <w:rPr>
          <w:rFonts w:ascii="Times New Roman" w:hAnsi="Times New Roman" w:cs="Times New Roman"/>
        </w:rPr>
        <w:t xml:space="preserve"> vary with the complexity of the processes to be covered and multiple facility staff </w:t>
      </w:r>
      <w:r w:rsidR="009449B7">
        <w:rPr>
          <w:rFonts w:ascii="Times New Roman" w:hAnsi="Times New Roman" w:cs="Times New Roman"/>
        </w:rPr>
        <w:t>will</w:t>
      </w:r>
      <w:r w:rsidRPr="004D4B61" w:rsidR="00C5384D">
        <w:rPr>
          <w:rFonts w:ascii="Times New Roman" w:hAnsi="Times New Roman" w:cs="Times New Roman"/>
        </w:rPr>
        <w:t xml:space="preserve"> be involved, except for the smallest category of facilities. At a minimum, one manager and one engineer </w:t>
      </w:r>
      <w:r w:rsidR="009449B7">
        <w:rPr>
          <w:rFonts w:ascii="Times New Roman" w:hAnsi="Times New Roman" w:cs="Times New Roman"/>
        </w:rPr>
        <w:t>will</w:t>
      </w:r>
      <w:r w:rsidRPr="004D4B61" w:rsidR="00C5384D">
        <w:rPr>
          <w:rFonts w:ascii="Times New Roman" w:hAnsi="Times New Roman" w:cs="Times New Roman"/>
        </w:rPr>
        <w:t xml:space="preserve"> be involved to identify potential auditors and write the statement of work on which the auditor </w:t>
      </w:r>
      <w:r w:rsidR="009449B7">
        <w:rPr>
          <w:rFonts w:ascii="Times New Roman" w:hAnsi="Times New Roman" w:cs="Times New Roman"/>
        </w:rPr>
        <w:t>will</w:t>
      </w:r>
      <w:r w:rsidRPr="004D4B61" w:rsidR="00C5384D">
        <w:rPr>
          <w:rFonts w:ascii="Times New Roman" w:hAnsi="Times New Roman" w:cs="Times New Roman"/>
        </w:rPr>
        <w:t xml:space="preserve"> base its bid. For larger firms that routinely contract and have contract</w:t>
      </w:r>
      <w:r w:rsidRPr="004D4B61" w:rsidR="00EB703A">
        <w:rPr>
          <w:rFonts w:ascii="Times New Roman" w:hAnsi="Times New Roman" w:cs="Times New Roman"/>
        </w:rPr>
        <w:t>ing</w:t>
      </w:r>
      <w:r w:rsidRPr="004D4B61" w:rsidR="00C5384D">
        <w:rPr>
          <w:rFonts w:ascii="Times New Roman" w:hAnsi="Times New Roman" w:cs="Times New Roman"/>
        </w:rPr>
        <w:t xml:space="preserve"> departments, a contracts specialist and attorney </w:t>
      </w:r>
      <w:r w:rsidR="009449B7">
        <w:rPr>
          <w:rFonts w:ascii="Times New Roman" w:hAnsi="Times New Roman" w:cs="Times New Roman"/>
        </w:rPr>
        <w:t>will</w:t>
      </w:r>
      <w:r w:rsidRPr="004D4B61" w:rsidR="00C5384D">
        <w:rPr>
          <w:rFonts w:ascii="Times New Roman" w:hAnsi="Times New Roman" w:cs="Times New Roman"/>
        </w:rPr>
        <w:t xml:space="preserve"> be part of the process. Many large firms and all governments </w:t>
      </w:r>
      <w:r w:rsidRPr="004D4B61" w:rsidR="0083390A">
        <w:rPr>
          <w:rFonts w:ascii="Times New Roman" w:hAnsi="Times New Roman" w:cs="Times New Roman"/>
        </w:rPr>
        <w:t xml:space="preserve">are assumed to </w:t>
      </w:r>
      <w:r w:rsidRPr="004D4B61" w:rsidR="00C5384D">
        <w:rPr>
          <w:rFonts w:ascii="Times New Roman" w:hAnsi="Times New Roman" w:cs="Times New Roman"/>
        </w:rPr>
        <w:t xml:space="preserve">have standard contract language. Governments are estimated to spend more time on the contracting process, however, because most are required to solicit competitive bids and document the basis for the selection. Private firms may use a similar process but are not required to do so. Private firms are likely to spend time negotiating contract language after the award. </w:t>
      </w:r>
      <w:r w:rsidRPr="004D4B61" w:rsidR="00420F40">
        <w:rPr>
          <w:rFonts w:ascii="Times New Roman" w:hAnsi="Times New Roman" w:cs="Times New Roman"/>
        </w:rPr>
        <w:t>H</w:t>
      </w:r>
      <w:r w:rsidRPr="004D4B61" w:rsidR="00C5384D">
        <w:rPr>
          <w:rFonts w:ascii="Times New Roman" w:hAnsi="Times New Roman" w:cs="Times New Roman"/>
        </w:rPr>
        <w:t>ourly assumptions and costs for a third-party audit are shown in Exhibit 4-</w:t>
      </w:r>
      <w:r w:rsidR="00E57C38">
        <w:rPr>
          <w:rFonts w:ascii="Times New Roman" w:hAnsi="Times New Roman" w:cs="Times New Roman"/>
        </w:rPr>
        <w:t>8</w:t>
      </w:r>
      <w:r w:rsidRPr="004D4B61" w:rsidR="004F05D5">
        <w:rPr>
          <w:rFonts w:ascii="Times New Roman" w:hAnsi="Times New Roman" w:cs="Times New Roman"/>
        </w:rPr>
        <w:t>.</w:t>
      </w:r>
    </w:p>
    <w:p w:rsidR="00F068F8" w:rsidP="00F068F8" w14:paraId="74C52C81" w14:textId="77777777">
      <w:pPr>
        <w:pStyle w:val="Caption"/>
      </w:pPr>
    </w:p>
    <w:p w:rsidR="00F068F8" w:rsidRPr="00F068F8" w:rsidP="00ED6FB3" w14:paraId="4B493F28" w14:textId="77777777">
      <w:pPr>
        <w:pStyle w:val="Caption"/>
        <w:keepNext/>
        <w:jc w:val="center"/>
        <w:rPr>
          <w:rFonts w:ascii="Times New Roman" w:hAnsi="Times New Roman" w:cs="Times New Roman"/>
          <w:b/>
          <w:bCs/>
          <w:i w:val="0"/>
          <w:iCs w:val="0"/>
          <w:color w:val="auto"/>
          <w:sz w:val="22"/>
          <w:szCs w:val="22"/>
        </w:rPr>
      </w:pPr>
      <w:r w:rsidRPr="00F068F8">
        <w:rPr>
          <w:rFonts w:ascii="Times New Roman" w:hAnsi="Times New Roman" w:cs="Times New Roman"/>
          <w:b/>
          <w:bCs/>
          <w:i w:val="0"/>
          <w:iCs w:val="0"/>
          <w:color w:val="auto"/>
          <w:sz w:val="22"/>
          <w:szCs w:val="22"/>
        </w:rPr>
        <w:t>Exhibit 4-</w:t>
      </w:r>
      <w:r w:rsidR="00E57C38">
        <w:rPr>
          <w:rFonts w:ascii="Times New Roman" w:hAnsi="Times New Roman" w:cs="Times New Roman"/>
          <w:b/>
          <w:bCs/>
          <w:i w:val="0"/>
          <w:iCs w:val="0"/>
          <w:color w:val="auto"/>
          <w:sz w:val="22"/>
          <w:szCs w:val="22"/>
        </w:rPr>
        <w:t>8</w:t>
      </w:r>
      <w:r w:rsidRPr="00F068F8">
        <w:rPr>
          <w:rFonts w:ascii="Times New Roman" w:hAnsi="Times New Roman" w:cs="Times New Roman"/>
          <w:b/>
          <w:bCs/>
          <w:i w:val="0"/>
          <w:iCs w:val="0"/>
          <w:color w:val="auto"/>
          <w:sz w:val="22"/>
          <w:szCs w:val="22"/>
        </w:rPr>
        <w:t>: Hourly Labor and Unit Costs for Hiring Third-party Auditors</w:t>
      </w:r>
      <w:r w:rsidR="004D2850">
        <w:rPr>
          <w:rFonts w:ascii="Times New Roman" w:hAnsi="Times New Roman" w:cs="Times New Roman"/>
          <w:b/>
          <w:bCs/>
          <w:i w:val="0"/>
          <w:iCs w:val="0"/>
          <w:color w:val="auto"/>
          <w:sz w:val="22"/>
          <w:szCs w:val="22"/>
        </w:rPr>
        <w:t xml:space="preserve"> </w:t>
      </w:r>
      <w:r w:rsidRPr="00835820" w:rsidR="004D2850">
        <w:rPr>
          <w:rFonts w:ascii="Times New Roman" w:hAnsi="Times New Roman" w:cs="Times New Roman"/>
          <w:b/>
          <w:bCs/>
          <w:i w:val="0"/>
          <w:iCs w:val="0"/>
          <w:color w:val="auto"/>
          <w:sz w:val="22"/>
          <w:szCs w:val="22"/>
        </w:rPr>
        <w:t>(202</w:t>
      </w:r>
      <w:r w:rsidR="007D22B2">
        <w:rPr>
          <w:rFonts w:ascii="Times New Roman" w:hAnsi="Times New Roman" w:cs="Times New Roman"/>
          <w:b/>
          <w:bCs/>
          <w:i w:val="0"/>
          <w:iCs w:val="0"/>
          <w:color w:val="auto"/>
          <w:sz w:val="22"/>
          <w:szCs w:val="22"/>
        </w:rPr>
        <w:t>2</w:t>
      </w:r>
      <w:r w:rsidRPr="00835820" w:rsidR="004D2850">
        <w:rPr>
          <w:rFonts w:ascii="Times New Roman" w:hAnsi="Times New Roman" w:cs="Times New Roman"/>
          <w:b/>
          <w:bCs/>
          <w:i w:val="0"/>
          <w:iCs w:val="0"/>
          <w:color w:val="auto"/>
          <w:sz w:val="22"/>
          <w:szCs w:val="22"/>
        </w:rPr>
        <w:t xml:space="preserve"> dollars)</w:t>
      </w:r>
      <w:r w:rsidRPr="00F068F8">
        <w:rPr>
          <w:rFonts w:ascii="Times New Roman" w:hAnsi="Times New Roman" w:cs="Times New Roman"/>
          <w:b/>
          <w:bCs/>
          <w:i w:val="0"/>
          <w:iCs w:val="0"/>
          <w:color w:val="auto"/>
          <w:sz w:val="22"/>
          <w:szCs w:val="22"/>
        </w:rPr>
        <w:t>.</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40"/>
        <w:gridCol w:w="990"/>
        <w:gridCol w:w="1260"/>
        <w:gridCol w:w="1350"/>
        <w:gridCol w:w="1170"/>
        <w:gridCol w:w="1170"/>
        <w:gridCol w:w="1530"/>
      </w:tblGrid>
      <w:tr w14:paraId="4795C7E2" w14:textId="77777777" w:rsidTr="00F068F8">
        <w:tblPrEx>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455"/>
          <w:tblHeader/>
        </w:trPr>
        <w:tc>
          <w:tcPr>
            <w:tcW w:w="2340" w:type="dxa"/>
            <w:shd w:val="clear" w:color="auto" w:fill="D9D9D9"/>
            <w:vAlign w:val="center"/>
          </w:tcPr>
          <w:p w:rsidR="00C5384D" w:rsidRPr="00D7128A" w:rsidP="004D4B61" w14:paraId="5408C9C1" w14:textId="77777777">
            <w:pPr>
              <w:keepNext/>
              <w:spacing w:after="0" w:line="240" w:lineRule="auto"/>
              <w:jc w:val="center"/>
              <w:rPr>
                <w:rFonts w:ascii="Times New Roman" w:hAnsi="Times New Roman" w:cs="Times New Roman"/>
                <w:b/>
                <w:sz w:val="20"/>
                <w:szCs w:val="20"/>
              </w:rPr>
            </w:pPr>
            <w:r w:rsidRPr="00D7128A">
              <w:rPr>
                <w:rFonts w:ascii="Times New Roman" w:hAnsi="Times New Roman" w:cs="Times New Roman"/>
                <w:b/>
                <w:sz w:val="20"/>
                <w:szCs w:val="20"/>
              </w:rPr>
              <w:t>Facility Type</w:t>
            </w:r>
          </w:p>
        </w:tc>
        <w:tc>
          <w:tcPr>
            <w:tcW w:w="3600" w:type="dxa"/>
            <w:gridSpan w:val="3"/>
            <w:shd w:val="clear" w:color="auto" w:fill="D9D9D9"/>
            <w:vAlign w:val="center"/>
          </w:tcPr>
          <w:p w:rsidR="00C5384D" w:rsidRPr="00D7128A" w:rsidP="00F068F8" w14:paraId="7030E45A" w14:textId="77777777">
            <w:pPr>
              <w:keepNext/>
              <w:spacing w:after="0" w:line="240" w:lineRule="auto"/>
              <w:jc w:val="center"/>
              <w:rPr>
                <w:rFonts w:ascii="Times New Roman" w:hAnsi="Times New Roman" w:cs="Times New Roman"/>
                <w:b/>
                <w:sz w:val="20"/>
                <w:szCs w:val="20"/>
              </w:rPr>
            </w:pPr>
            <w:r w:rsidRPr="00D7128A">
              <w:rPr>
                <w:rFonts w:ascii="Times New Roman" w:hAnsi="Times New Roman" w:cs="Times New Roman"/>
                <w:b/>
                <w:sz w:val="20"/>
                <w:szCs w:val="20"/>
              </w:rPr>
              <w:t>Total Hours for Contracting Process</w:t>
            </w:r>
          </w:p>
        </w:tc>
        <w:tc>
          <w:tcPr>
            <w:tcW w:w="1170" w:type="dxa"/>
            <w:shd w:val="clear" w:color="auto" w:fill="D9D9D9"/>
            <w:vAlign w:val="center"/>
          </w:tcPr>
          <w:p w:rsidR="00C5384D" w:rsidRPr="00D7128A" w:rsidP="004D4B61" w14:paraId="1EB53879" w14:textId="77777777">
            <w:pPr>
              <w:keepNext/>
              <w:spacing w:after="0" w:line="240" w:lineRule="auto"/>
              <w:ind w:right="93"/>
              <w:jc w:val="center"/>
              <w:rPr>
                <w:rFonts w:ascii="Times New Roman" w:hAnsi="Times New Roman" w:cs="Times New Roman"/>
                <w:b/>
                <w:sz w:val="20"/>
                <w:szCs w:val="20"/>
              </w:rPr>
            </w:pPr>
            <w:r w:rsidRPr="00D7128A">
              <w:rPr>
                <w:rFonts w:ascii="Times New Roman" w:hAnsi="Times New Roman" w:cs="Times New Roman"/>
                <w:b/>
                <w:sz w:val="20"/>
                <w:szCs w:val="20"/>
              </w:rPr>
              <w:t>Facility Labor Cost</w:t>
            </w:r>
          </w:p>
        </w:tc>
        <w:tc>
          <w:tcPr>
            <w:tcW w:w="1170" w:type="dxa"/>
            <w:shd w:val="clear" w:color="auto" w:fill="D9D9D9"/>
            <w:vAlign w:val="center"/>
          </w:tcPr>
          <w:p w:rsidR="00C5384D" w:rsidRPr="00D7128A" w:rsidP="00F068F8" w14:paraId="29444377" w14:textId="77777777">
            <w:pPr>
              <w:keepNext/>
              <w:spacing w:after="0" w:line="240" w:lineRule="auto"/>
              <w:ind w:right="81"/>
              <w:jc w:val="center"/>
              <w:rPr>
                <w:rFonts w:ascii="Times New Roman" w:hAnsi="Times New Roman" w:cs="Times New Roman"/>
                <w:b/>
                <w:sz w:val="20"/>
                <w:szCs w:val="20"/>
              </w:rPr>
            </w:pPr>
            <w:r w:rsidRPr="00D7128A">
              <w:rPr>
                <w:rFonts w:ascii="Times New Roman" w:hAnsi="Times New Roman" w:cs="Times New Roman"/>
                <w:b/>
                <w:sz w:val="20"/>
                <w:szCs w:val="20"/>
              </w:rPr>
              <w:t>Auditor Fee</w:t>
            </w:r>
          </w:p>
        </w:tc>
        <w:tc>
          <w:tcPr>
            <w:tcW w:w="1530" w:type="dxa"/>
            <w:shd w:val="clear" w:color="auto" w:fill="D9D9D9"/>
            <w:vAlign w:val="center"/>
          </w:tcPr>
          <w:p w:rsidR="00C5384D" w:rsidRPr="00D7128A" w:rsidP="004D4B61" w14:paraId="3ADCE6FA" w14:textId="77777777">
            <w:pPr>
              <w:keepNext/>
              <w:spacing w:after="0" w:line="240" w:lineRule="auto"/>
              <w:ind w:right="91"/>
              <w:jc w:val="center"/>
              <w:rPr>
                <w:rFonts w:ascii="Times New Roman" w:hAnsi="Times New Roman" w:cs="Times New Roman"/>
                <w:b/>
                <w:sz w:val="20"/>
                <w:szCs w:val="20"/>
              </w:rPr>
            </w:pPr>
            <w:r w:rsidRPr="00D7128A">
              <w:rPr>
                <w:rFonts w:ascii="Times New Roman" w:hAnsi="Times New Roman" w:cs="Times New Roman"/>
                <w:b/>
                <w:sz w:val="20"/>
                <w:szCs w:val="20"/>
              </w:rPr>
              <w:t>Total Facility Cost</w:t>
            </w:r>
          </w:p>
        </w:tc>
      </w:tr>
      <w:tr w14:paraId="7D87D285" w14:textId="77777777" w:rsidTr="00F068F8">
        <w:tblPrEx>
          <w:tblW w:w="9810" w:type="dxa"/>
          <w:tblInd w:w="-5" w:type="dxa"/>
          <w:tblLayout w:type="fixed"/>
          <w:tblCellMar>
            <w:left w:w="0" w:type="dxa"/>
            <w:right w:w="0" w:type="dxa"/>
          </w:tblCellMar>
          <w:tblLook w:val="01E0"/>
        </w:tblPrEx>
        <w:trPr>
          <w:trHeight w:val="455"/>
          <w:tblHeader/>
        </w:trPr>
        <w:tc>
          <w:tcPr>
            <w:tcW w:w="2340" w:type="dxa"/>
            <w:tcBorders>
              <w:top w:val="nil"/>
            </w:tcBorders>
            <w:shd w:val="clear" w:color="auto" w:fill="D9D9D9"/>
            <w:vAlign w:val="center"/>
          </w:tcPr>
          <w:p w:rsidR="00C5384D" w:rsidRPr="00D7128A" w:rsidP="00F068F8" w14:paraId="5821F261" w14:textId="77777777">
            <w:pPr>
              <w:spacing w:after="0" w:line="240" w:lineRule="auto"/>
              <w:jc w:val="center"/>
              <w:rPr>
                <w:rFonts w:ascii="Times New Roman" w:hAnsi="Times New Roman" w:cs="Times New Roman"/>
                <w:sz w:val="20"/>
                <w:szCs w:val="20"/>
              </w:rPr>
            </w:pPr>
          </w:p>
        </w:tc>
        <w:tc>
          <w:tcPr>
            <w:tcW w:w="990" w:type="dxa"/>
            <w:shd w:val="clear" w:color="auto" w:fill="D9D9D9"/>
            <w:vAlign w:val="center"/>
          </w:tcPr>
          <w:p w:rsidR="00C5384D" w:rsidRPr="00D7128A" w:rsidP="004D4B61" w14:paraId="295C65CE" w14:textId="77777777">
            <w:pPr>
              <w:spacing w:after="0" w:line="240" w:lineRule="auto"/>
              <w:jc w:val="center"/>
              <w:rPr>
                <w:rFonts w:ascii="Times New Roman" w:hAnsi="Times New Roman" w:cs="Times New Roman"/>
                <w:b/>
                <w:sz w:val="20"/>
                <w:szCs w:val="20"/>
              </w:rPr>
            </w:pPr>
          </w:p>
          <w:p w:rsidR="00C5384D" w:rsidRPr="00D7128A" w:rsidP="004D4B61" w14:paraId="58BA5F42" w14:textId="77777777">
            <w:pPr>
              <w:spacing w:after="0" w:line="240" w:lineRule="auto"/>
              <w:ind w:left="88" w:right="79"/>
              <w:jc w:val="center"/>
              <w:rPr>
                <w:rFonts w:ascii="Times New Roman" w:hAnsi="Times New Roman" w:cs="Times New Roman"/>
                <w:b/>
                <w:sz w:val="20"/>
                <w:szCs w:val="20"/>
              </w:rPr>
            </w:pPr>
            <w:r w:rsidRPr="00D7128A">
              <w:rPr>
                <w:rFonts w:ascii="Times New Roman" w:hAnsi="Times New Roman" w:cs="Times New Roman"/>
                <w:b/>
                <w:sz w:val="20"/>
                <w:szCs w:val="20"/>
              </w:rPr>
              <w:t>M</w:t>
            </w:r>
            <w:r w:rsidRPr="00D7128A" w:rsidR="00813277">
              <w:rPr>
                <w:rFonts w:ascii="Times New Roman" w:hAnsi="Times New Roman" w:cs="Times New Roman"/>
                <w:b/>
                <w:sz w:val="20"/>
                <w:szCs w:val="20"/>
              </w:rPr>
              <w:t>g</w:t>
            </w:r>
            <w:r w:rsidRPr="00D7128A" w:rsidR="006B175D">
              <w:rPr>
                <w:rFonts w:ascii="Times New Roman" w:hAnsi="Times New Roman" w:cs="Times New Roman"/>
                <w:b/>
                <w:sz w:val="20"/>
                <w:szCs w:val="20"/>
              </w:rPr>
              <w:t>m’</w:t>
            </w:r>
            <w:r w:rsidRPr="00D7128A">
              <w:rPr>
                <w:rFonts w:ascii="Times New Roman" w:hAnsi="Times New Roman" w:cs="Times New Roman"/>
                <w:b/>
                <w:sz w:val="20"/>
                <w:szCs w:val="20"/>
              </w:rPr>
              <w:t>t</w:t>
            </w:r>
          </w:p>
        </w:tc>
        <w:tc>
          <w:tcPr>
            <w:tcW w:w="1260" w:type="dxa"/>
            <w:shd w:val="clear" w:color="auto" w:fill="D9D9D9"/>
            <w:vAlign w:val="center"/>
          </w:tcPr>
          <w:p w:rsidR="00C5384D" w:rsidRPr="00D7128A" w:rsidP="00F068F8" w14:paraId="00E55580" w14:textId="77777777">
            <w:pPr>
              <w:spacing w:after="0" w:line="240" w:lineRule="auto"/>
              <w:jc w:val="center"/>
              <w:rPr>
                <w:rFonts w:ascii="Times New Roman" w:hAnsi="Times New Roman" w:cs="Times New Roman"/>
                <w:b/>
                <w:sz w:val="20"/>
                <w:szCs w:val="20"/>
              </w:rPr>
            </w:pPr>
          </w:p>
          <w:p w:rsidR="00C5384D" w:rsidRPr="00D7128A" w:rsidP="00F068F8" w14:paraId="790DBFE7" w14:textId="77777777">
            <w:pPr>
              <w:spacing w:after="0" w:line="240" w:lineRule="auto"/>
              <w:ind w:left="89" w:right="148"/>
              <w:jc w:val="center"/>
              <w:rPr>
                <w:rFonts w:ascii="Times New Roman" w:hAnsi="Times New Roman" w:cs="Times New Roman"/>
                <w:b/>
                <w:sz w:val="20"/>
                <w:szCs w:val="20"/>
              </w:rPr>
            </w:pPr>
            <w:r w:rsidRPr="00D7128A">
              <w:rPr>
                <w:rFonts w:ascii="Times New Roman" w:hAnsi="Times New Roman" w:cs="Times New Roman"/>
                <w:b/>
                <w:sz w:val="20"/>
                <w:szCs w:val="20"/>
              </w:rPr>
              <w:t>Attorneys</w:t>
            </w:r>
          </w:p>
        </w:tc>
        <w:tc>
          <w:tcPr>
            <w:tcW w:w="1350" w:type="dxa"/>
            <w:shd w:val="clear" w:color="auto" w:fill="D9D9D9"/>
            <w:vAlign w:val="center"/>
          </w:tcPr>
          <w:p w:rsidR="00C5384D" w:rsidRPr="00D7128A" w:rsidP="00F068F8" w14:paraId="1F87E7CC" w14:textId="77777777">
            <w:pPr>
              <w:spacing w:after="0" w:line="240" w:lineRule="auto"/>
              <w:jc w:val="center"/>
              <w:rPr>
                <w:rFonts w:ascii="Times New Roman" w:hAnsi="Times New Roman" w:cs="Times New Roman"/>
                <w:b/>
                <w:sz w:val="20"/>
                <w:szCs w:val="20"/>
              </w:rPr>
            </w:pPr>
          </w:p>
          <w:p w:rsidR="00C5384D" w:rsidRPr="00D7128A" w:rsidP="00F068F8" w14:paraId="3BD44B43" w14:textId="77777777">
            <w:pPr>
              <w:spacing w:after="0" w:line="240" w:lineRule="auto"/>
              <w:ind w:left="107" w:right="83"/>
              <w:jc w:val="center"/>
              <w:rPr>
                <w:rFonts w:ascii="Times New Roman" w:hAnsi="Times New Roman" w:cs="Times New Roman"/>
                <w:b/>
                <w:sz w:val="20"/>
                <w:szCs w:val="20"/>
              </w:rPr>
            </w:pPr>
            <w:r w:rsidRPr="00D7128A">
              <w:rPr>
                <w:rFonts w:ascii="Times New Roman" w:hAnsi="Times New Roman" w:cs="Times New Roman"/>
                <w:b/>
                <w:sz w:val="20"/>
                <w:szCs w:val="20"/>
              </w:rPr>
              <w:t>Engineers</w:t>
            </w:r>
          </w:p>
        </w:tc>
        <w:tc>
          <w:tcPr>
            <w:tcW w:w="1170" w:type="dxa"/>
            <w:tcBorders>
              <w:top w:val="nil"/>
            </w:tcBorders>
            <w:shd w:val="clear" w:color="auto" w:fill="D9D9D9"/>
            <w:vAlign w:val="center"/>
          </w:tcPr>
          <w:p w:rsidR="00C5384D" w:rsidRPr="00D7128A" w:rsidP="00F068F8" w14:paraId="5A580E1F" w14:textId="77777777">
            <w:pPr>
              <w:spacing w:after="0" w:line="240" w:lineRule="auto"/>
              <w:jc w:val="center"/>
              <w:rPr>
                <w:rFonts w:ascii="Times New Roman" w:hAnsi="Times New Roman" w:cs="Times New Roman"/>
                <w:sz w:val="20"/>
                <w:szCs w:val="20"/>
              </w:rPr>
            </w:pPr>
          </w:p>
        </w:tc>
        <w:tc>
          <w:tcPr>
            <w:tcW w:w="1170" w:type="dxa"/>
            <w:tcBorders>
              <w:top w:val="nil"/>
            </w:tcBorders>
            <w:shd w:val="clear" w:color="auto" w:fill="D9D9D9"/>
            <w:vAlign w:val="center"/>
          </w:tcPr>
          <w:p w:rsidR="00C5384D" w:rsidRPr="00D7128A" w:rsidP="00F068F8" w14:paraId="7F22B1B8" w14:textId="77777777">
            <w:pPr>
              <w:spacing w:after="0" w:line="240" w:lineRule="auto"/>
              <w:jc w:val="center"/>
              <w:rPr>
                <w:rFonts w:ascii="Times New Roman" w:hAnsi="Times New Roman" w:cs="Times New Roman"/>
                <w:sz w:val="20"/>
                <w:szCs w:val="20"/>
              </w:rPr>
            </w:pPr>
          </w:p>
        </w:tc>
        <w:tc>
          <w:tcPr>
            <w:tcW w:w="1530" w:type="dxa"/>
            <w:tcBorders>
              <w:top w:val="nil"/>
            </w:tcBorders>
            <w:shd w:val="clear" w:color="auto" w:fill="D9D9D9"/>
            <w:vAlign w:val="center"/>
          </w:tcPr>
          <w:p w:rsidR="00C5384D" w:rsidRPr="00D7128A" w:rsidP="00F068F8" w14:paraId="7108E6B6" w14:textId="77777777">
            <w:pPr>
              <w:spacing w:after="0" w:line="240" w:lineRule="auto"/>
              <w:jc w:val="center"/>
              <w:rPr>
                <w:rFonts w:ascii="Times New Roman" w:hAnsi="Times New Roman" w:cs="Times New Roman"/>
                <w:sz w:val="20"/>
                <w:szCs w:val="20"/>
              </w:rPr>
            </w:pPr>
          </w:p>
        </w:tc>
      </w:tr>
      <w:tr w14:paraId="45591807" w14:textId="77777777" w:rsidTr="00F068F8">
        <w:tblPrEx>
          <w:tblW w:w="9810" w:type="dxa"/>
          <w:tblInd w:w="-5" w:type="dxa"/>
          <w:tblLayout w:type="fixed"/>
          <w:tblCellMar>
            <w:left w:w="0" w:type="dxa"/>
            <w:right w:w="0" w:type="dxa"/>
          </w:tblCellMar>
          <w:tblLook w:val="01E0"/>
        </w:tblPrEx>
        <w:trPr>
          <w:trHeight w:val="455"/>
        </w:trPr>
        <w:tc>
          <w:tcPr>
            <w:tcW w:w="2340" w:type="dxa"/>
            <w:vAlign w:val="center"/>
          </w:tcPr>
          <w:p w:rsidR="00A46B98" w:rsidRPr="00D7128A" w:rsidP="004D4B61" w14:paraId="5EA422A3"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Simple w/</w:t>
            </w:r>
          </w:p>
          <w:p w:rsidR="00C5384D" w:rsidRPr="00D7128A" w:rsidP="004D4B61" w14:paraId="59D1BDD3"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 xml:space="preserve"> 0-19 FTEs</w:t>
            </w:r>
          </w:p>
        </w:tc>
        <w:tc>
          <w:tcPr>
            <w:tcW w:w="990" w:type="dxa"/>
            <w:vAlign w:val="center"/>
          </w:tcPr>
          <w:p w:rsidR="00C5384D" w:rsidRPr="00D7128A" w:rsidP="004D4B61" w14:paraId="5E6C3618" w14:textId="77777777">
            <w:pPr>
              <w:spacing w:after="0" w:line="240" w:lineRule="auto"/>
              <w:ind w:right="78"/>
              <w:jc w:val="center"/>
              <w:rPr>
                <w:rFonts w:ascii="Times New Roman" w:hAnsi="Times New Roman" w:cs="Times New Roman"/>
                <w:sz w:val="20"/>
                <w:szCs w:val="20"/>
              </w:rPr>
            </w:pPr>
            <w:r w:rsidRPr="00D7128A">
              <w:rPr>
                <w:rFonts w:ascii="Times New Roman" w:hAnsi="Times New Roman" w:cs="Times New Roman"/>
                <w:sz w:val="20"/>
                <w:szCs w:val="20"/>
              </w:rPr>
              <w:t>64</w:t>
            </w:r>
          </w:p>
        </w:tc>
        <w:tc>
          <w:tcPr>
            <w:tcW w:w="1260" w:type="dxa"/>
            <w:vAlign w:val="center"/>
          </w:tcPr>
          <w:p w:rsidR="00C5384D" w:rsidRPr="00D7128A" w:rsidP="004D4B61" w14:paraId="78642CE1" w14:textId="77777777">
            <w:pPr>
              <w:spacing w:after="0" w:line="240" w:lineRule="auto"/>
              <w:jc w:val="center"/>
              <w:rPr>
                <w:rFonts w:ascii="Times New Roman" w:hAnsi="Times New Roman" w:cs="Times New Roman"/>
                <w:sz w:val="20"/>
                <w:szCs w:val="20"/>
              </w:rPr>
            </w:pPr>
            <w:r w:rsidRPr="00D7128A">
              <w:rPr>
                <w:rFonts w:ascii="Times New Roman" w:hAnsi="Times New Roman" w:cs="Times New Roman"/>
                <w:sz w:val="20"/>
                <w:szCs w:val="20"/>
              </w:rPr>
              <w:t>8</w:t>
            </w:r>
          </w:p>
        </w:tc>
        <w:tc>
          <w:tcPr>
            <w:tcW w:w="1350" w:type="dxa"/>
            <w:vAlign w:val="center"/>
          </w:tcPr>
          <w:p w:rsidR="00C5384D" w:rsidRPr="00D7128A" w:rsidP="004D4B61" w14:paraId="361A9EBD" w14:textId="77777777">
            <w:pPr>
              <w:spacing w:after="0" w:line="240" w:lineRule="auto"/>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170" w:type="dxa"/>
            <w:vAlign w:val="center"/>
          </w:tcPr>
          <w:p w:rsidR="00C5384D" w:rsidRPr="00D7128A" w:rsidP="004D4B61" w14:paraId="36487AD3" w14:textId="77777777">
            <w:pPr>
              <w:spacing w:after="0" w:line="240" w:lineRule="auto"/>
              <w:ind w:left="212" w:right="207"/>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0220A1">
              <w:rPr>
                <w:rFonts w:ascii="Times New Roman" w:hAnsi="Times New Roman" w:cs="Times New Roman"/>
                <w:color w:val="000000"/>
                <w:sz w:val="20"/>
                <w:szCs w:val="20"/>
              </w:rPr>
              <w:t>8,291</w:t>
            </w:r>
          </w:p>
        </w:tc>
        <w:tc>
          <w:tcPr>
            <w:tcW w:w="1170" w:type="dxa"/>
            <w:vAlign w:val="center"/>
          </w:tcPr>
          <w:p w:rsidR="00C5384D" w:rsidRPr="00D7128A" w:rsidP="00F068F8" w14:paraId="159CB30B" w14:textId="77777777">
            <w:pPr>
              <w:spacing w:after="0" w:line="240" w:lineRule="auto"/>
              <w:ind w:left="180" w:right="85"/>
              <w:jc w:val="center"/>
              <w:rPr>
                <w:rFonts w:ascii="Times New Roman" w:hAnsi="Times New Roman" w:cs="Times New Roman"/>
                <w:sz w:val="20"/>
                <w:szCs w:val="20"/>
              </w:rPr>
            </w:pPr>
            <w:r w:rsidRPr="00D7128A">
              <w:rPr>
                <w:rFonts w:ascii="Times New Roman" w:hAnsi="Times New Roman" w:cs="Times New Roman"/>
                <w:color w:val="000000"/>
                <w:sz w:val="20"/>
                <w:szCs w:val="20"/>
              </w:rPr>
              <w:t>$3</w:t>
            </w:r>
            <w:r w:rsidR="00F63E1B">
              <w:rPr>
                <w:rFonts w:ascii="Times New Roman" w:hAnsi="Times New Roman" w:cs="Times New Roman"/>
                <w:color w:val="000000"/>
                <w:sz w:val="20"/>
                <w:szCs w:val="20"/>
              </w:rPr>
              <w:t>6,467</w:t>
            </w:r>
          </w:p>
        </w:tc>
        <w:tc>
          <w:tcPr>
            <w:tcW w:w="1530" w:type="dxa"/>
            <w:vAlign w:val="center"/>
          </w:tcPr>
          <w:p w:rsidR="00C5384D" w:rsidRPr="00D7128A" w:rsidP="004D4B61" w14:paraId="378D5DED" w14:textId="77777777">
            <w:pPr>
              <w:spacing w:after="0" w:line="240" w:lineRule="auto"/>
              <w:ind w:left="270" w:right="268"/>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570890">
              <w:rPr>
                <w:rFonts w:ascii="Times New Roman" w:hAnsi="Times New Roman" w:cs="Times New Roman"/>
                <w:color w:val="000000"/>
                <w:sz w:val="20"/>
                <w:szCs w:val="20"/>
              </w:rPr>
              <w:t>44,758</w:t>
            </w:r>
          </w:p>
        </w:tc>
      </w:tr>
      <w:tr w14:paraId="6A38E541" w14:textId="77777777" w:rsidTr="00F068F8">
        <w:tblPrEx>
          <w:tblW w:w="9810" w:type="dxa"/>
          <w:tblInd w:w="-5" w:type="dxa"/>
          <w:tblLayout w:type="fixed"/>
          <w:tblCellMar>
            <w:left w:w="0" w:type="dxa"/>
            <w:right w:w="0" w:type="dxa"/>
          </w:tblCellMar>
          <w:tblLook w:val="01E0"/>
        </w:tblPrEx>
        <w:trPr>
          <w:trHeight w:val="457"/>
        </w:trPr>
        <w:tc>
          <w:tcPr>
            <w:tcW w:w="2340" w:type="dxa"/>
            <w:vAlign w:val="center"/>
          </w:tcPr>
          <w:p w:rsidR="006B175D" w:rsidRPr="00D7128A" w:rsidP="004D4B61" w14:paraId="05FB9099"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 xml:space="preserve">Simple w/ </w:t>
            </w:r>
          </w:p>
          <w:p w:rsidR="00C5384D" w:rsidRPr="00D7128A" w:rsidP="004D4B61" w14:paraId="1EE6FF12"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20-99 FTEs</w:t>
            </w:r>
          </w:p>
        </w:tc>
        <w:tc>
          <w:tcPr>
            <w:tcW w:w="990" w:type="dxa"/>
            <w:vAlign w:val="center"/>
          </w:tcPr>
          <w:p w:rsidR="00C5384D" w:rsidRPr="00D7128A" w:rsidP="004D4B61" w14:paraId="1ED425F1" w14:textId="77777777">
            <w:pPr>
              <w:spacing w:after="0" w:line="240" w:lineRule="auto"/>
              <w:ind w:right="78"/>
              <w:jc w:val="center"/>
              <w:rPr>
                <w:rFonts w:ascii="Times New Roman" w:hAnsi="Times New Roman" w:cs="Times New Roman"/>
                <w:sz w:val="20"/>
                <w:szCs w:val="20"/>
              </w:rPr>
            </w:pPr>
            <w:r w:rsidRPr="00D7128A">
              <w:rPr>
                <w:rFonts w:ascii="Times New Roman" w:hAnsi="Times New Roman" w:cs="Times New Roman"/>
                <w:sz w:val="20"/>
                <w:szCs w:val="20"/>
              </w:rPr>
              <w:t>88</w:t>
            </w:r>
          </w:p>
        </w:tc>
        <w:tc>
          <w:tcPr>
            <w:tcW w:w="1260" w:type="dxa"/>
            <w:vAlign w:val="center"/>
          </w:tcPr>
          <w:p w:rsidR="00C5384D" w:rsidRPr="00D7128A" w:rsidP="004D4B61" w14:paraId="4BC03E34" w14:textId="77777777">
            <w:pPr>
              <w:spacing w:after="0" w:line="240" w:lineRule="auto"/>
              <w:jc w:val="center"/>
              <w:rPr>
                <w:rFonts w:ascii="Times New Roman" w:hAnsi="Times New Roman" w:cs="Times New Roman"/>
                <w:sz w:val="20"/>
                <w:szCs w:val="20"/>
              </w:rPr>
            </w:pPr>
            <w:r w:rsidRPr="00D7128A">
              <w:rPr>
                <w:rFonts w:ascii="Times New Roman" w:hAnsi="Times New Roman" w:cs="Times New Roman"/>
                <w:sz w:val="20"/>
                <w:szCs w:val="20"/>
              </w:rPr>
              <w:t>8</w:t>
            </w:r>
          </w:p>
        </w:tc>
        <w:tc>
          <w:tcPr>
            <w:tcW w:w="1350" w:type="dxa"/>
            <w:vAlign w:val="center"/>
          </w:tcPr>
          <w:p w:rsidR="00C5384D" w:rsidRPr="00D7128A" w:rsidP="00F068F8" w14:paraId="291F3ED0" w14:textId="77777777">
            <w:pPr>
              <w:spacing w:after="0" w:line="240" w:lineRule="auto"/>
              <w:jc w:val="center"/>
              <w:rPr>
                <w:rFonts w:ascii="Times New Roman" w:hAnsi="Times New Roman" w:cs="Times New Roman"/>
                <w:sz w:val="20"/>
                <w:szCs w:val="20"/>
              </w:rPr>
            </w:pPr>
            <w:r w:rsidRPr="00D7128A">
              <w:rPr>
                <w:rFonts w:ascii="Times New Roman" w:hAnsi="Times New Roman" w:cs="Times New Roman"/>
                <w:sz w:val="20"/>
                <w:szCs w:val="20"/>
              </w:rPr>
              <w:t>36</w:t>
            </w:r>
          </w:p>
        </w:tc>
        <w:tc>
          <w:tcPr>
            <w:tcW w:w="1170" w:type="dxa"/>
            <w:vAlign w:val="center"/>
          </w:tcPr>
          <w:p w:rsidR="00C5384D" w:rsidRPr="00D7128A" w:rsidP="004D4B61" w14:paraId="2EB976F3" w14:textId="77777777">
            <w:pPr>
              <w:spacing w:after="0" w:line="240" w:lineRule="auto"/>
              <w:ind w:left="212" w:right="207"/>
              <w:jc w:val="center"/>
              <w:rPr>
                <w:rFonts w:ascii="Times New Roman" w:hAnsi="Times New Roman" w:cs="Times New Roman"/>
                <w:sz w:val="20"/>
                <w:szCs w:val="20"/>
              </w:rPr>
            </w:pPr>
            <w:r w:rsidRPr="00D7128A">
              <w:rPr>
                <w:rFonts w:ascii="Times New Roman" w:hAnsi="Times New Roman" w:cs="Times New Roman"/>
                <w:color w:val="000000"/>
                <w:sz w:val="20"/>
                <w:szCs w:val="20"/>
              </w:rPr>
              <w:t>$1</w:t>
            </w:r>
            <w:r w:rsidR="000745C7">
              <w:rPr>
                <w:rFonts w:ascii="Times New Roman" w:hAnsi="Times New Roman" w:cs="Times New Roman"/>
                <w:color w:val="000000"/>
                <w:sz w:val="20"/>
                <w:szCs w:val="20"/>
              </w:rPr>
              <w:t>3,</w:t>
            </w:r>
            <w:r w:rsidR="00B461DC">
              <w:rPr>
                <w:rFonts w:ascii="Times New Roman" w:hAnsi="Times New Roman" w:cs="Times New Roman"/>
                <w:color w:val="000000"/>
                <w:sz w:val="20"/>
                <w:szCs w:val="20"/>
              </w:rPr>
              <w:t>624</w:t>
            </w:r>
          </w:p>
        </w:tc>
        <w:tc>
          <w:tcPr>
            <w:tcW w:w="1170" w:type="dxa"/>
            <w:vAlign w:val="center"/>
          </w:tcPr>
          <w:p w:rsidR="00C5384D" w:rsidRPr="00D7128A" w:rsidP="00F068F8" w14:paraId="1C150366" w14:textId="77777777">
            <w:pPr>
              <w:spacing w:after="0" w:line="240" w:lineRule="auto"/>
              <w:ind w:left="180" w:right="85"/>
              <w:jc w:val="center"/>
              <w:rPr>
                <w:rFonts w:ascii="Times New Roman" w:hAnsi="Times New Roman" w:cs="Times New Roman"/>
                <w:sz w:val="20"/>
                <w:szCs w:val="20"/>
              </w:rPr>
            </w:pPr>
            <w:r w:rsidRPr="00921425">
              <w:rPr>
                <w:rFonts w:ascii="Times New Roman" w:hAnsi="Times New Roman" w:cs="Times New Roman"/>
                <w:color w:val="000000"/>
                <w:sz w:val="20"/>
                <w:szCs w:val="20"/>
              </w:rPr>
              <w:t>$36,467</w:t>
            </w:r>
          </w:p>
        </w:tc>
        <w:tc>
          <w:tcPr>
            <w:tcW w:w="1530" w:type="dxa"/>
            <w:vAlign w:val="center"/>
          </w:tcPr>
          <w:p w:rsidR="00C5384D" w:rsidRPr="00D7128A" w:rsidP="004D4B61" w14:paraId="6D301F97" w14:textId="77777777">
            <w:pPr>
              <w:spacing w:after="0" w:line="240" w:lineRule="auto"/>
              <w:ind w:left="270" w:right="268"/>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570890">
              <w:rPr>
                <w:rFonts w:ascii="Times New Roman" w:hAnsi="Times New Roman" w:cs="Times New Roman"/>
                <w:color w:val="000000"/>
                <w:sz w:val="20"/>
                <w:szCs w:val="20"/>
              </w:rPr>
              <w:t>50,091</w:t>
            </w:r>
          </w:p>
        </w:tc>
      </w:tr>
      <w:tr w14:paraId="2753E38C" w14:textId="77777777" w:rsidTr="00F068F8">
        <w:tblPrEx>
          <w:tblW w:w="9810" w:type="dxa"/>
          <w:tblInd w:w="-5" w:type="dxa"/>
          <w:tblLayout w:type="fixed"/>
          <w:tblCellMar>
            <w:left w:w="0" w:type="dxa"/>
            <w:right w:w="0" w:type="dxa"/>
          </w:tblCellMar>
          <w:tblLook w:val="01E0"/>
        </w:tblPrEx>
        <w:trPr>
          <w:trHeight w:val="455"/>
        </w:trPr>
        <w:tc>
          <w:tcPr>
            <w:tcW w:w="2340" w:type="dxa"/>
            <w:vAlign w:val="center"/>
          </w:tcPr>
          <w:p w:rsidR="00C5384D" w:rsidRPr="00D7128A" w:rsidP="004D4B61" w14:paraId="23BFE321"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Simple w/ 100+ FTEs</w:t>
            </w:r>
          </w:p>
        </w:tc>
        <w:tc>
          <w:tcPr>
            <w:tcW w:w="990" w:type="dxa"/>
            <w:vAlign w:val="center"/>
          </w:tcPr>
          <w:p w:rsidR="00C5384D" w:rsidRPr="00D7128A" w:rsidP="004D4B61" w14:paraId="13792DC7" w14:textId="77777777">
            <w:pPr>
              <w:spacing w:after="0" w:line="240" w:lineRule="auto"/>
              <w:ind w:left="88" w:right="78"/>
              <w:jc w:val="center"/>
              <w:rPr>
                <w:rFonts w:ascii="Times New Roman" w:hAnsi="Times New Roman" w:cs="Times New Roman"/>
                <w:sz w:val="20"/>
                <w:szCs w:val="20"/>
              </w:rPr>
            </w:pPr>
            <w:r w:rsidRPr="00D7128A">
              <w:rPr>
                <w:rFonts w:ascii="Times New Roman" w:hAnsi="Times New Roman" w:cs="Times New Roman"/>
                <w:sz w:val="20"/>
                <w:szCs w:val="20"/>
              </w:rPr>
              <w:t>60</w:t>
            </w:r>
          </w:p>
        </w:tc>
        <w:tc>
          <w:tcPr>
            <w:tcW w:w="1260" w:type="dxa"/>
            <w:vAlign w:val="center"/>
          </w:tcPr>
          <w:p w:rsidR="00C5384D" w:rsidRPr="00D7128A" w:rsidP="004D4B61" w14:paraId="2ADDD508" w14:textId="77777777">
            <w:pPr>
              <w:spacing w:after="0" w:line="240" w:lineRule="auto"/>
              <w:ind w:left="8"/>
              <w:jc w:val="center"/>
              <w:rPr>
                <w:rFonts w:ascii="Times New Roman" w:hAnsi="Times New Roman" w:cs="Times New Roman"/>
                <w:sz w:val="20"/>
                <w:szCs w:val="20"/>
              </w:rPr>
            </w:pPr>
            <w:r w:rsidRPr="00D7128A">
              <w:rPr>
                <w:rFonts w:ascii="Times New Roman" w:hAnsi="Times New Roman" w:cs="Times New Roman"/>
                <w:sz w:val="20"/>
                <w:szCs w:val="20"/>
              </w:rPr>
              <w:t>8</w:t>
            </w:r>
          </w:p>
        </w:tc>
        <w:tc>
          <w:tcPr>
            <w:tcW w:w="1350" w:type="dxa"/>
            <w:vAlign w:val="center"/>
          </w:tcPr>
          <w:p w:rsidR="00C5384D" w:rsidRPr="00D7128A" w:rsidP="004D4B61" w14:paraId="1B424E0E" w14:textId="77777777">
            <w:pPr>
              <w:spacing w:after="0" w:line="240" w:lineRule="auto"/>
              <w:ind w:left="423" w:right="415"/>
              <w:jc w:val="center"/>
              <w:rPr>
                <w:rFonts w:ascii="Times New Roman" w:hAnsi="Times New Roman" w:cs="Times New Roman"/>
                <w:sz w:val="20"/>
                <w:szCs w:val="20"/>
              </w:rPr>
            </w:pPr>
            <w:r w:rsidRPr="00D7128A">
              <w:rPr>
                <w:rFonts w:ascii="Times New Roman" w:hAnsi="Times New Roman" w:cs="Times New Roman"/>
                <w:sz w:val="20"/>
                <w:szCs w:val="20"/>
              </w:rPr>
              <w:t>112</w:t>
            </w:r>
          </w:p>
        </w:tc>
        <w:tc>
          <w:tcPr>
            <w:tcW w:w="1170" w:type="dxa"/>
            <w:vAlign w:val="center"/>
          </w:tcPr>
          <w:p w:rsidR="00C5384D" w:rsidRPr="00D7128A" w:rsidP="004D4B61" w14:paraId="59B920C3" w14:textId="77777777">
            <w:pPr>
              <w:spacing w:after="0" w:line="240" w:lineRule="auto"/>
              <w:ind w:left="212" w:right="207"/>
              <w:jc w:val="center"/>
              <w:rPr>
                <w:rFonts w:ascii="Times New Roman" w:hAnsi="Times New Roman" w:cs="Times New Roman"/>
                <w:sz w:val="20"/>
                <w:szCs w:val="20"/>
              </w:rPr>
            </w:pPr>
            <w:r w:rsidRPr="00D7128A">
              <w:rPr>
                <w:rFonts w:ascii="Times New Roman" w:hAnsi="Times New Roman" w:cs="Times New Roman"/>
                <w:color w:val="000000"/>
                <w:sz w:val="20"/>
                <w:szCs w:val="20"/>
              </w:rPr>
              <w:t>$1</w:t>
            </w:r>
            <w:r w:rsidR="00B461DC">
              <w:rPr>
                <w:rFonts w:ascii="Times New Roman" w:hAnsi="Times New Roman" w:cs="Times New Roman"/>
                <w:color w:val="000000"/>
                <w:sz w:val="20"/>
                <w:szCs w:val="20"/>
              </w:rPr>
              <w:t>6,173</w:t>
            </w:r>
          </w:p>
        </w:tc>
        <w:tc>
          <w:tcPr>
            <w:tcW w:w="1170" w:type="dxa"/>
            <w:vAlign w:val="center"/>
          </w:tcPr>
          <w:p w:rsidR="00C5384D" w:rsidRPr="00D7128A" w:rsidP="00F068F8" w14:paraId="2E2AC317" w14:textId="77777777">
            <w:pPr>
              <w:spacing w:after="0" w:line="240" w:lineRule="auto"/>
              <w:ind w:left="180" w:right="85"/>
              <w:jc w:val="center"/>
              <w:rPr>
                <w:rFonts w:ascii="Times New Roman" w:hAnsi="Times New Roman" w:cs="Times New Roman"/>
                <w:sz w:val="20"/>
                <w:szCs w:val="20"/>
              </w:rPr>
            </w:pPr>
            <w:r w:rsidRPr="00921425">
              <w:rPr>
                <w:rFonts w:ascii="Times New Roman" w:hAnsi="Times New Roman" w:cs="Times New Roman"/>
                <w:color w:val="000000"/>
                <w:sz w:val="20"/>
                <w:szCs w:val="20"/>
              </w:rPr>
              <w:t>$36,467</w:t>
            </w:r>
          </w:p>
        </w:tc>
        <w:tc>
          <w:tcPr>
            <w:tcW w:w="1530" w:type="dxa"/>
            <w:vAlign w:val="center"/>
          </w:tcPr>
          <w:p w:rsidR="00C5384D" w:rsidRPr="00D7128A" w:rsidP="004D4B61" w14:paraId="398B1290" w14:textId="77777777">
            <w:pPr>
              <w:spacing w:after="0" w:line="240" w:lineRule="auto"/>
              <w:ind w:left="270" w:right="268"/>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570890">
              <w:rPr>
                <w:rFonts w:ascii="Times New Roman" w:hAnsi="Times New Roman" w:cs="Times New Roman"/>
                <w:color w:val="000000"/>
                <w:sz w:val="20"/>
                <w:szCs w:val="20"/>
              </w:rPr>
              <w:t>52,640</w:t>
            </w:r>
          </w:p>
        </w:tc>
      </w:tr>
      <w:tr w14:paraId="55FEE28C" w14:textId="77777777" w:rsidTr="00F068F8">
        <w:tblPrEx>
          <w:tblW w:w="9810" w:type="dxa"/>
          <w:tblInd w:w="-5" w:type="dxa"/>
          <w:tblLayout w:type="fixed"/>
          <w:tblCellMar>
            <w:left w:w="0" w:type="dxa"/>
            <w:right w:w="0" w:type="dxa"/>
          </w:tblCellMar>
          <w:tblLook w:val="01E0"/>
        </w:tblPrEx>
        <w:trPr>
          <w:trHeight w:val="712"/>
        </w:trPr>
        <w:tc>
          <w:tcPr>
            <w:tcW w:w="2340" w:type="dxa"/>
            <w:vAlign w:val="center"/>
          </w:tcPr>
          <w:p w:rsidR="00C5384D" w:rsidRPr="00D7128A" w:rsidP="004D4B61" w14:paraId="584D4567" w14:textId="77777777">
            <w:pPr>
              <w:spacing w:after="0" w:line="240" w:lineRule="auto"/>
              <w:ind w:left="107" w:right="479"/>
              <w:rPr>
                <w:rFonts w:ascii="Times New Roman" w:hAnsi="Times New Roman" w:cs="Times New Roman"/>
                <w:sz w:val="20"/>
                <w:szCs w:val="20"/>
              </w:rPr>
            </w:pPr>
            <w:r w:rsidRPr="00D7128A">
              <w:rPr>
                <w:rFonts w:ascii="Times New Roman" w:hAnsi="Times New Roman" w:cs="Times New Roman"/>
                <w:sz w:val="20"/>
                <w:szCs w:val="20"/>
              </w:rPr>
              <w:t xml:space="preserve">Complex w/ 0-19 </w:t>
            </w:r>
            <w:r w:rsidRPr="00D7128A" w:rsidR="00A46B98">
              <w:rPr>
                <w:rFonts w:ascii="Times New Roman" w:hAnsi="Times New Roman" w:cs="Times New Roman"/>
                <w:sz w:val="20"/>
                <w:szCs w:val="20"/>
              </w:rPr>
              <w:t>F</w:t>
            </w:r>
            <w:r w:rsidRPr="00D7128A">
              <w:rPr>
                <w:rFonts w:ascii="Times New Roman" w:hAnsi="Times New Roman" w:cs="Times New Roman"/>
                <w:sz w:val="20"/>
                <w:szCs w:val="20"/>
              </w:rPr>
              <w:t>TEs</w:t>
            </w:r>
          </w:p>
        </w:tc>
        <w:tc>
          <w:tcPr>
            <w:tcW w:w="990" w:type="dxa"/>
            <w:vAlign w:val="center"/>
          </w:tcPr>
          <w:p w:rsidR="00C5384D" w:rsidRPr="00D7128A" w:rsidP="004D4B61" w14:paraId="276C6E90" w14:textId="77777777">
            <w:pPr>
              <w:spacing w:after="0" w:line="240" w:lineRule="auto"/>
              <w:ind w:left="88" w:right="78"/>
              <w:jc w:val="center"/>
              <w:rPr>
                <w:rFonts w:ascii="Times New Roman" w:hAnsi="Times New Roman" w:cs="Times New Roman"/>
                <w:sz w:val="20"/>
                <w:szCs w:val="20"/>
              </w:rPr>
            </w:pPr>
            <w:r w:rsidRPr="00D7128A">
              <w:rPr>
                <w:rFonts w:ascii="Times New Roman" w:hAnsi="Times New Roman" w:cs="Times New Roman"/>
                <w:sz w:val="20"/>
                <w:szCs w:val="20"/>
              </w:rPr>
              <w:t>64</w:t>
            </w:r>
          </w:p>
        </w:tc>
        <w:tc>
          <w:tcPr>
            <w:tcW w:w="1260" w:type="dxa"/>
            <w:vAlign w:val="center"/>
          </w:tcPr>
          <w:p w:rsidR="00C5384D" w:rsidRPr="00D7128A" w:rsidP="004D4B61" w14:paraId="05DA649B" w14:textId="77777777">
            <w:pPr>
              <w:spacing w:after="0" w:line="240" w:lineRule="auto"/>
              <w:ind w:left="8"/>
              <w:jc w:val="center"/>
              <w:rPr>
                <w:rFonts w:ascii="Times New Roman" w:hAnsi="Times New Roman" w:cs="Times New Roman"/>
                <w:sz w:val="20"/>
                <w:szCs w:val="20"/>
              </w:rPr>
            </w:pPr>
            <w:r w:rsidRPr="00D7128A">
              <w:rPr>
                <w:rFonts w:ascii="Times New Roman" w:hAnsi="Times New Roman" w:cs="Times New Roman"/>
                <w:sz w:val="20"/>
                <w:szCs w:val="20"/>
              </w:rPr>
              <w:t>8</w:t>
            </w:r>
          </w:p>
        </w:tc>
        <w:tc>
          <w:tcPr>
            <w:tcW w:w="1350" w:type="dxa"/>
            <w:vAlign w:val="center"/>
          </w:tcPr>
          <w:p w:rsidR="00C5384D" w:rsidRPr="00D7128A" w:rsidP="004D4B61" w14:paraId="26523D11" w14:textId="77777777">
            <w:pPr>
              <w:spacing w:after="0" w:line="240" w:lineRule="auto"/>
              <w:ind w:left="11"/>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170" w:type="dxa"/>
            <w:vAlign w:val="center"/>
          </w:tcPr>
          <w:p w:rsidR="00C5384D" w:rsidRPr="00D7128A" w:rsidP="004D4B61" w14:paraId="3BFD75D7" w14:textId="77777777">
            <w:pPr>
              <w:spacing w:after="0" w:line="240" w:lineRule="auto"/>
              <w:ind w:left="212" w:right="207"/>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FD6575">
              <w:rPr>
                <w:rFonts w:ascii="Times New Roman" w:hAnsi="Times New Roman" w:cs="Times New Roman"/>
                <w:color w:val="000000"/>
                <w:sz w:val="20"/>
                <w:szCs w:val="20"/>
              </w:rPr>
              <w:t>10,448</w:t>
            </w:r>
          </w:p>
        </w:tc>
        <w:tc>
          <w:tcPr>
            <w:tcW w:w="1170" w:type="dxa"/>
            <w:vAlign w:val="center"/>
          </w:tcPr>
          <w:p w:rsidR="00C5384D" w:rsidRPr="00D7128A" w:rsidP="00D7128A" w14:paraId="059E8995" w14:textId="77777777">
            <w:pPr>
              <w:spacing w:after="0" w:line="240" w:lineRule="auto"/>
              <w:ind w:right="85"/>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3337D6">
              <w:rPr>
                <w:rFonts w:ascii="Times New Roman" w:hAnsi="Times New Roman" w:cs="Times New Roman"/>
                <w:color w:val="000000"/>
                <w:sz w:val="20"/>
                <w:szCs w:val="20"/>
              </w:rPr>
              <w:t>97,</w:t>
            </w:r>
            <w:r w:rsidR="0039794C">
              <w:rPr>
                <w:rFonts w:ascii="Times New Roman" w:hAnsi="Times New Roman" w:cs="Times New Roman"/>
                <w:color w:val="000000"/>
                <w:sz w:val="20"/>
                <w:szCs w:val="20"/>
              </w:rPr>
              <w:t>246</w:t>
            </w:r>
          </w:p>
        </w:tc>
        <w:tc>
          <w:tcPr>
            <w:tcW w:w="1530" w:type="dxa"/>
            <w:vAlign w:val="center"/>
          </w:tcPr>
          <w:p w:rsidR="00C5384D" w:rsidRPr="00D7128A" w:rsidP="004D4B61" w14:paraId="2E10CFC1" w14:textId="77777777">
            <w:pPr>
              <w:spacing w:after="0" w:line="240" w:lineRule="auto"/>
              <w:ind w:left="270" w:right="268"/>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AF0A73">
              <w:rPr>
                <w:rFonts w:ascii="Times New Roman" w:hAnsi="Times New Roman" w:cs="Times New Roman"/>
                <w:color w:val="000000"/>
                <w:sz w:val="20"/>
                <w:szCs w:val="20"/>
              </w:rPr>
              <w:t>107,694</w:t>
            </w:r>
          </w:p>
        </w:tc>
      </w:tr>
      <w:tr w14:paraId="49C6D054" w14:textId="77777777" w:rsidTr="00F068F8">
        <w:tblPrEx>
          <w:tblW w:w="9810" w:type="dxa"/>
          <w:tblInd w:w="-5" w:type="dxa"/>
          <w:tblLayout w:type="fixed"/>
          <w:tblCellMar>
            <w:left w:w="0" w:type="dxa"/>
            <w:right w:w="0" w:type="dxa"/>
          </w:tblCellMar>
          <w:tblLook w:val="01E0"/>
        </w:tblPrEx>
        <w:trPr>
          <w:trHeight w:val="712"/>
        </w:trPr>
        <w:tc>
          <w:tcPr>
            <w:tcW w:w="2340" w:type="dxa"/>
            <w:vAlign w:val="center"/>
          </w:tcPr>
          <w:p w:rsidR="00C5384D" w:rsidRPr="00D7128A" w:rsidP="004D4B61" w14:paraId="2E4600FB" w14:textId="77777777">
            <w:pPr>
              <w:spacing w:after="0" w:line="240" w:lineRule="auto"/>
              <w:ind w:left="107" w:right="373"/>
              <w:rPr>
                <w:rFonts w:ascii="Times New Roman" w:hAnsi="Times New Roman" w:cs="Times New Roman"/>
                <w:sz w:val="20"/>
                <w:szCs w:val="20"/>
              </w:rPr>
            </w:pPr>
            <w:r w:rsidRPr="00D7128A">
              <w:rPr>
                <w:rFonts w:ascii="Times New Roman" w:hAnsi="Times New Roman" w:cs="Times New Roman"/>
                <w:sz w:val="20"/>
                <w:szCs w:val="20"/>
              </w:rPr>
              <w:t>Complex w/ 20-99 FTEs</w:t>
            </w:r>
          </w:p>
        </w:tc>
        <w:tc>
          <w:tcPr>
            <w:tcW w:w="990" w:type="dxa"/>
            <w:vAlign w:val="center"/>
          </w:tcPr>
          <w:p w:rsidR="00C5384D" w:rsidRPr="00D7128A" w:rsidP="004D4B61" w14:paraId="4EA07B25" w14:textId="77777777">
            <w:pPr>
              <w:spacing w:after="0" w:line="240" w:lineRule="auto"/>
              <w:ind w:left="88" w:right="78"/>
              <w:jc w:val="center"/>
              <w:rPr>
                <w:rFonts w:ascii="Times New Roman" w:hAnsi="Times New Roman" w:cs="Times New Roman"/>
                <w:sz w:val="20"/>
                <w:szCs w:val="20"/>
              </w:rPr>
            </w:pPr>
            <w:r w:rsidRPr="00D7128A">
              <w:rPr>
                <w:rFonts w:ascii="Times New Roman" w:hAnsi="Times New Roman" w:cs="Times New Roman"/>
                <w:sz w:val="20"/>
                <w:szCs w:val="20"/>
              </w:rPr>
              <w:t>88</w:t>
            </w:r>
          </w:p>
        </w:tc>
        <w:tc>
          <w:tcPr>
            <w:tcW w:w="1260" w:type="dxa"/>
            <w:vAlign w:val="center"/>
          </w:tcPr>
          <w:p w:rsidR="00C5384D" w:rsidRPr="00D7128A" w:rsidP="004D4B61" w14:paraId="7DA10BBC" w14:textId="77777777">
            <w:pPr>
              <w:spacing w:after="0" w:line="240" w:lineRule="auto"/>
              <w:ind w:left="8"/>
              <w:jc w:val="center"/>
              <w:rPr>
                <w:rFonts w:ascii="Times New Roman" w:hAnsi="Times New Roman" w:cs="Times New Roman"/>
                <w:sz w:val="20"/>
                <w:szCs w:val="20"/>
              </w:rPr>
            </w:pPr>
            <w:r w:rsidRPr="00D7128A">
              <w:rPr>
                <w:rFonts w:ascii="Times New Roman" w:hAnsi="Times New Roman" w:cs="Times New Roman"/>
                <w:sz w:val="20"/>
                <w:szCs w:val="20"/>
              </w:rPr>
              <w:t>8</w:t>
            </w:r>
          </w:p>
        </w:tc>
        <w:tc>
          <w:tcPr>
            <w:tcW w:w="1350" w:type="dxa"/>
            <w:vAlign w:val="center"/>
          </w:tcPr>
          <w:p w:rsidR="00C5384D" w:rsidRPr="00D7128A" w:rsidP="004D4B61" w14:paraId="264C2E93" w14:textId="77777777">
            <w:pPr>
              <w:spacing w:after="0" w:line="240" w:lineRule="auto"/>
              <w:ind w:left="423" w:right="413"/>
              <w:jc w:val="center"/>
              <w:rPr>
                <w:rFonts w:ascii="Times New Roman" w:hAnsi="Times New Roman" w:cs="Times New Roman"/>
                <w:sz w:val="20"/>
                <w:szCs w:val="20"/>
              </w:rPr>
            </w:pPr>
            <w:r w:rsidRPr="00D7128A">
              <w:rPr>
                <w:rFonts w:ascii="Times New Roman" w:hAnsi="Times New Roman" w:cs="Times New Roman"/>
                <w:sz w:val="20"/>
                <w:szCs w:val="20"/>
              </w:rPr>
              <w:t>36</w:t>
            </w:r>
          </w:p>
        </w:tc>
        <w:tc>
          <w:tcPr>
            <w:tcW w:w="1170" w:type="dxa"/>
            <w:vAlign w:val="center"/>
          </w:tcPr>
          <w:p w:rsidR="00C5384D" w:rsidRPr="00D7128A" w:rsidP="004D4B61" w14:paraId="53A379DE" w14:textId="77777777">
            <w:pPr>
              <w:spacing w:after="0" w:line="240" w:lineRule="auto"/>
              <w:ind w:left="212" w:right="207"/>
              <w:jc w:val="center"/>
              <w:rPr>
                <w:rFonts w:ascii="Times New Roman" w:hAnsi="Times New Roman" w:cs="Times New Roman"/>
                <w:sz w:val="20"/>
                <w:szCs w:val="20"/>
              </w:rPr>
            </w:pPr>
            <w:r w:rsidRPr="00D7128A">
              <w:rPr>
                <w:rFonts w:ascii="Times New Roman" w:hAnsi="Times New Roman" w:cs="Times New Roman"/>
                <w:color w:val="000000"/>
                <w:sz w:val="20"/>
                <w:szCs w:val="20"/>
              </w:rPr>
              <w:t>$1</w:t>
            </w:r>
            <w:r w:rsidR="00DB28E6">
              <w:rPr>
                <w:rFonts w:ascii="Times New Roman" w:hAnsi="Times New Roman" w:cs="Times New Roman"/>
                <w:color w:val="000000"/>
                <w:sz w:val="20"/>
                <w:szCs w:val="20"/>
              </w:rPr>
              <w:t>7,317</w:t>
            </w:r>
          </w:p>
        </w:tc>
        <w:tc>
          <w:tcPr>
            <w:tcW w:w="1170" w:type="dxa"/>
            <w:vAlign w:val="center"/>
          </w:tcPr>
          <w:p w:rsidR="00C5384D" w:rsidRPr="00D7128A" w:rsidP="00F068F8" w14:paraId="418729E4" w14:textId="77777777">
            <w:pPr>
              <w:spacing w:after="0" w:line="240" w:lineRule="auto"/>
              <w:ind w:right="85"/>
              <w:jc w:val="center"/>
              <w:rPr>
                <w:rFonts w:ascii="Times New Roman" w:hAnsi="Times New Roman" w:cs="Times New Roman"/>
                <w:sz w:val="20"/>
                <w:szCs w:val="20"/>
              </w:rPr>
            </w:pPr>
            <w:r w:rsidRPr="00921425">
              <w:rPr>
                <w:rFonts w:ascii="Times New Roman" w:hAnsi="Times New Roman" w:cs="Times New Roman"/>
                <w:color w:val="000000"/>
                <w:sz w:val="20"/>
                <w:szCs w:val="20"/>
              </w:rPr>
              <w:t>$97,246</w:t>
            </w:r>
          </w:p>
        </w:tc>
        <w:tc>
          <w:tcPr>
            <w:tcW w:w="1530" w:type="dxa"/>
            <w:vAlign w:val="center"/>
          </w:tcPr>
          <w:p w:rsidR="00C5384D" w:rsidRPr="00D7128A" w:rsidP="004D4B61" w14:paraId="795EED69" w14:textId="77777777">
            <w:pPr>
              <w:spacing w:after="0" w:line="240" w:lineRule="auto"/>
              <w:ind w:left="270" w:right="268"/>
              <w:jc w:val="center"/>
              <w:rPr>
                <w:rFonts w:ascii="Times New Roman" w:hAnsi="Times New Roman" w:cs="Times New Roman"/>
                <w:sz w:val="20"/>
                <w:szCs w:val="20"/>
              </w:rPr>
            </w:pPr>
            <w:r w:rsidRPr="00D7128A">
              <w:rPr>
                <w:rFonts w:ascii="Times New Roman" w:hAnsi="Times New Roman" w:cs="Times New Roman"/>
                <w:color w:val="000000"/>
                <w:sz w:val="20"/>
                <w:szCs w:val="20"/>
              </w:rPr>
              <w:t>$1</w:t>
            </w:r>
            <w:r w:rsidR="00AF0A73">
              <w:rPr>
                <w:rFonts w:ascii="Times New Roman" w:hAnsi="Times New Roman" w:cs="Times New Roman"/>
                <w:color w:val="000000"/>
                <w:sz w:val="20"/>
                <w:szCs w:val="20"/>
              </w:rPr>
              <w:t>14,563</w:t>
            </w:r>
          </w:p>
        </w:tc>
      </w:tr>
      <w:tr w14:paraId="3B876AC2" w14:textId="77777777" w:rsidTr="00F068F8">
        <w:tblPrEx>
          <w:tblW w:w="9810" w:type="dxa"/>
          <w:tblInd w:w="-5" w:type="dxa"/>
          <w:tblLayout w:type="fixed"/>
          <w:tblCellMar>
            <w:left w:w="0" w:type="dxa"/>
            <w:right w:w="0" w:type="dxa"/>
          </w:tblCellMar>
          <w:tblLook w:val="01E0"/>
        </w:tblPrEx>
        <w:trPr>
          <w:trHeight w:val="712"/>
        </w:trPr>
        <w:tc>
          <w:tcPr>
            <w:tcW w:w="2340" w:type="dxa"/>
            <w:vAlign w:val="center"/>
          </w:tcPr>
          <w:p w:rsidR="00C5384D" w:rsidRPr="00D7128A" w:rsidP="004D4B61" w14:paraId="6B32F1AB" w14:textId="77777777">
            <w:pPr>
              <w:spacing w:after="0" w:line="240" w:lineRule="auto"/>
              <w:ind w:left="107" w:right="439"/>
              <w:rPr>
                <w:rFonts w:ascii="Times New Roman" w:hAnsi="Times New Roman" w:cs="Times New Roman"/>
                <w:sz w:val="20"/>
                <w:szCs w:val="20"/>
              </w:rPr>
            </w:pPr>
            <w:r w:rsidRPr="00D7128A">
              <w:rPr>
                <w:rFonts w:ascii="Times New Roman" w:hAnsi="Times New Roman" w:cs="Times New Roman"/>
                <w:sz w:val="20"/>
                <w:szCs w:val="20"/>
              </w:rPr>
              <w:t>Complex w/ 100+ FTEs</w:t>
            </w:r>
          </w:p>
        </w:tc>
        <w:tc>
          <w:tcPr>
            <w:tcW w:w="990" w:type="dxa"/>
            <w:vAlign w:val="center"/>
          </w:tcPr>
          <w:p w:rsidR="00C5384D" w:rsidRPr="00D7128A" w:rsidP="004D4B61" w14:paraId="1C6E0E15" w14:textId="77777777">
            <w:pPr>
              <w:spacing w:after="0" w:line="240" w:lineRule="auto"/>
              <w:ind w:left="88" w:right="78"/>
              <w:jc w:val="center"/>
              <w:rPr>
                <w:rFonts w:ascii="Times New Roman" w:hAnsi="Times New Roman" w:cs="Times New Roman"/>
                <w:sz w:val="20"/>
                <w:szCs w:val="20"/>
              </w:rPr>
            </w:pPr>
            <w:r w:rsidRPr="00D7128A">
              <w:rPr>
                <w:rFonts w:ascii="Times New Roman" w:hAnsi="Times New Roman" w:cs="Times New Roman"/>
                <w:sz w:val="20"/>
                <w:szCs w:val="20"/>
              </w:rPr>
              <w:t>60</w:t>
            </w:r>
          </w:p>
        </w:tc>
        <w:tc>
          <w:tcPr>
            <w:tcW w:w="1260" w:type="dxa"/>
            <w:vAlign w:val="center"/>
          </w:tcPr>
          <w:p w:rsidR="00C5384D" w:rsidRPr="00D7128A" w:rsidP="004D4B61" w14:paraId="451EF0E7" w14:textId="77777777">
            <w:pPr>
              <w:spacing w:after="0" w:line="240" w:lineRule="auto"/>
              <w:ind w:left="8"/>
              <w:jc w:val="center"/>
              <w:rPr>
                <w:rFonts w:ascii="Times New Roman" w:hAnsi="Times New Roman" w:cs="Times New Roman"/>
                <w:sz w:val="20"/>
                <w:szCs w:val="20"/>
              </w:rPr>
            </w:pPr>
            <w:r w:rsidRPr="00D7128A">
              <w:rPr>
                <w:rFonts w:ascii="Times New Roman" w:hAnsi="Times New Roman" w:cs="Times New Roman"/>
                <w:sz w:val="20"/>
                <w:szCs w:val="20"/>
              </w:rPr>
              <w:t>8</w:t>
            </w:r>
          </w:p>
        </w:tc>
        <w:tc>
          <w:tcPr>
            <w:tcW w:w="1350" w:type="dxa"/>
            <w:vAlign w:val="center"/>
          </w:tcPr>
          <w:p w:rsidR="00C5384D" w:rsidRPr="00D7128A" w:rsidP="004D4B61" w14:paraId="4F0CAD60" w14:textId="77777777">
            <w:pPr>
              <w:spacing w:after="0" w:line="240" w:lineRule="auto"/>
              <w:ind w:left="423" w:right="415"/>
              <w:jc w:val="center"/>
              <w:rPr>
                <w:rFonts w:ascii="Times New Roman" w:hAnsi="Times New Roman" w:cs="Times New Roman"/>
                <w:sz w:val="20"/>
                <w:szCs w:val="20"/>
              </w:rPr>
            </w:pPr>
            <w:r w:rsidRPr="00D7128A">
              <w:rPr>
                <w:rFonts w:ascii="Times New Roman" w:hAnsi="Times New Roman" w:cs="Times New Roman"/>
                <w:sz w:val="20"/>
                <w:szCs w:val="20"/>
              </w:rPr>
              <w:t>112</w:t>
            </w:r>
          </w:p>
        </w:tc>
        <w:tc>
          <w:tcPr>
            <w:tcW w:w="1170" w:type="dxa"/>
            <w:vAlign w:val="center"/>
          </w:tcPr>
          <w:p w:rsidR="00C5384D" w:rsidRPr="00D7128A" w:rsidP="004D4B61" w14:paraId="34642573" w14:textId="77777777">
            <w:pPr>
              <w:spacing w:after="0" w:line="240" w:lineRule="auto"/>
              <w:ind w:left="212" w:right="207"/>
              <w:jc w:val="center"/>
              <w:rPr>
                <w:rFonts w:ascii="Times New Roman" w:hAnsi="Times New Roman" w:cs="Times New Roman"/>
                <w:sz w:val="20"/>
                <w:szCs w:val="20"/>
              </w:rPr>
            </w:pPr>
            <w:r w:rsidRPr="00D7128A">
              <w:rPr>
                <w:rFonts w:ascii="Times New Roman" w:hAnsi="Times New Roman" w:cs="Times New Roman"/>
                <w:color w:val="000000"/>
                <w:sz w:val="20"/>
                <w:szCs w:val="20"/>
              </w:rPr>
              <w:t>$20,</w:t>
            </w:r>
            <w:r w:rsidR="00EB3FB4">
              <w:rPr>
                <w:rFonts w:ascii="Times New Roman" w:hAnsi="Times New Roman" w:cs="Times New Roman"/>
                <w:color w:val="000000"/>
                <w:sz w:val="20"/>
                <w:szCs w:val="20"/>
              </w:rPr>
              <w:t>999</w:t>
            </w:r>
          </w:p>
        </w:tc>
        <w:tc>
          <w:tcPr>
            <w:tcW w:w="1170" w:type="dxa"/>
            <w:vAlign w:val="center"/>
          </w:tcPr>
          <w:p w:rsidR="00C5384D" w:rsidRPr="00D7128A" w:rsidP="00D7128A" w14:paraId="00FD8400" w14:textId="77777777">
            <w:pPr>
              <w:spacing w:after="0" w:line="240" w:lineRule="auto"/>
              <w:ind w:right="85"/>
              <w:jc w:val="center"/>
              <w:rPr>
                <w:rFonts w:ascii="Times New Roman" w:hAnsi="Times New Roman" w:cs="Times New Roman"/>
                <w:sz w:val="20"/>
                <w:szCs w:val="20"/>
              </w:rPr>
            </w:pPr>
            <w:r w:rsidRPr="00921425">
              <w:rPr>
                <w:rFonts w:ascii="Times New Roman" w:hAnsi="Times New Roman" w:cs="Times New Roman"/>
                <w:color w:val="000000"/>
                <w:sz w:val="20"/>
                <w:szCs w:val="20"/>
              </w:rPr>
              <w:t>$97,246</w:t>
            </w:r>
          </w:p>
        </w:tc>
        <w:tc>
          <w:tcPr>
            <w:tcW w:w="1530" w:type="dxa"/>
            <w:vAlign w:val="center"/>
          </w:tcPr>
          <w:p w:rsidR="00C5384D" w:rsidRPr="00D7128A" w:rsidP="004D4B61" w14:paraId="18BD9199" w14:textId="77777777">
            <w:pPr>
              <w:spacing w:after="0" w:line="240" w:lineRule="auto"/>
              <w:ind w:left="270" w:right="268"/>
              <w:jc w:val="center"/>
              <w:rPr>
                <w:rFonts w:ascii="Times New Roman" w:hAnsi="Times New Roman" w:cs="Times New Roman"/>
                <w:sz w:val="20"/>
                <w:szCs w:val="20"/>
              </w:rPr>
            </w:pPr>
            <w:r w:rsidRPr="00D7128A">
              <w:rPr>
                <w:rFonts w:ascii="Times New Roman" w:hAnsi="Times New Roman" w:cs="Times New Roman"/>
                <w:color w:val="000000"/>
                <w:sz w:val="20"/>
                <w:szCs w:val="20"/>
              </w:rPr>
              <w:t>$1</w:t>
            </w:r>
            <w:r w:rsidR="00013990">
              <w:rPr>
                <w:rFonts w:ascii="Times New Roman" w:hAnsi="Times New Roman" w:cs="Times New Roman"/>
                <w:color w:val="000000"/>
                <w:sz w:val="20"/>
                <w:szCs w:val="20"/>
              </w:rPr>
              <w:t>18,246</w:t>
            </w:r>
          </w:p>
        </w:tc>
      </w:tr>
      <w:tr w14:paraId="7543B791" w14:textId="77777777" w:rsidTr="00F068F8">
        <w:tblPrEx>
          <w:tblW w:w="9810" w:type="dxa"/>
          <w:tblInd w:w="-5" w:type="dxa"/>
          <w:tblLayout w:type="fixed"/>
          <w:tblCellMar>
            <w:left w:w="0" w:type="dxa"/>
            <w:right w:w="0" w:type="dxa"/>
          </w:tblCellMar>
          <w:tblLook w:val="01E0"/>
        </w:tblPrEx>
        <w:trPr>
          <w:trHeight w:val="458"/>
        </w:trPr>
        <w:tc>
          <w:tcPr>
            <w:tcW w:w="2340" w:type="dxa"/>
            <w:vAlign w:val="center"/>
          </w:tcPr>
          <w:p w:rsidR="00C5384D" w:rsidRPr="00D7128A" w:rsidP="004D4B61" w14:paraId="55176117"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Small Government</w:t>
            </w:r>
          </w:p>
        </w:tc>
        <w:tc>
          <w:tcPr>
            <w:tcW w:w="990" w:type="dxa"/>
            <w:vAlign w:val="center"/>
          </w:tcPr>
          <w:p w:rsidR="00C5384D" w:rsidRPr="00D7128A" w:rsidP="004D4B61" w14:paraId="7CF491F5" w14:textId="77777777">
            <w:pPr>
              <w:spacing w:after="0" w:line="240" w:lineRule="auto"/>
              <w:ind w:left="88" w:right="78"/>
              <w:jc w:val="center"/>
              <w:rPr>
                <w:rFonts w:ascii="Times New Roman" w:hAnsi="Times New Roman" w:cs="Times New Roman"/>
                <w:sz w:val="20"/>
                <w:szCs w:val="20"/>
              </w:rPr>
            </w:pPr>
            <w:r w:rsidRPr="00D7128A">
              <w:rPr>
                <w:rFonts w:ascii="Times New Roman" w:hAnsi="Times New Roman" w:cs="Times New Roman"/>
                <w:sz w:val="20"/>
                <w:szCs w:val="20"/>
              </w:rPr>
              <w:t>60</w:t>
            </w:r>
          </w:p>
        </w:tc>
        <w:tc>
          <w:tcPr>
            <w:tcW w:w="1260" w:type="dxa"/>
            <w:vAlign w:val="center"/>
          </w:tcPr>
          <w:p w:rsidR="00C5384D" w:rsidRPr="00D7128A" w:rsidP="004D4B61" w14:paraId="4D9065B4" w14:textId="77777777">
            <w:pPr>
              <w:spacing w:after="0" w:line="240" w:lineRule="auto"/>
              <w:ind w:left="8"/>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350" w:type="dxa"/>
            <w:vAlign w:val="center"/>
          </w:tcPr>
          <w:p w:rsidR="00C5384D" w:rsidRPr="00D7128A" w:rsidP="004D4B61" w14:paraId="379A946A" w14:textId="77777777">
            <w:pPr>
              <w:spacing w:after="0" w:line="240" w:lineRule="auto"/>
              <w:ind w:left="423" w:right="413"/>
              <w:jc w:val="center"/>
              <w:rPr>
                <w:rFonts w:ascii="Times New Roman" w:hAnsi="Times New Roman" w:cs="Times New Roman"/>
                <w:sz w:val="20"/>
                <w:szCs w:val="20"/>
              </w:rPr>
            </w:pPr>
            <w:r w:rsidRPr="00D7128A">
              <w:rPr>
                <w:rFonts w:ascii="Times New Roman" w:hAnsi="Times New Roman" w:cs="Times New Roman"/>
                <w:sz w:val="20"/>
                <w:szCs w:val="20"/>
              </w:rPr>
              <w:t>50</w:t>
            </w:r>
          </w:p>
        </w:tc>
        <w:tc>
          <w:tcPr>
            <w:tcW w:w="1170" w:type="dxa"/>
            <w:vAlign w:val="center"/>
          </w:tcPr>
          <w:p w:rsidR="00C5384D" w:rsidRPr="00D7128A" w:rsidP="004D4B61" w14:paraId="403C812C" w14:textId="77777777">
            <w:pPr>
              <w:spacing w:after="0" w:line="240" w:lineRule="auto"/>
              <w:ind w:left="212" w:right="207"/>
              <w:jc w:val="center"/>
              <w:rPr>
                <w:rFonts w:ascii="Times New Roman" w:hAnsi="Times New Roman" w:cs="Times New Roman"/>
                <w:sz w:val="20"/>
                <w:szCs w:val="20"/>
              </w:rPr>
            </w:pPr>
            <w:r w:rsidRPr="00D7128A">
              <w:rPr>
                <w:rFonts w:ascii="Times New Roman" w:hAnsi="Times New Roman" w:cs="Times New Roman"/>
                <w:color w:val="000000"/>
                <w:sz w:val="20"/>
                <w:szCs w:val="20"/>
              </w:rPr>
              <w:t>$</w:t>
            </w:r>
            <w:r w:rsidR="00847071">
              <w:rPr>
                <w:rFonts w:ascii="Times New Roman" w:hAnsi="Times New Roman" w:cs="Times New Roman"/>
                <w:color w:val="000000"/>
                <w:sz w:val="20"/>
                <w:szCs w:val="20"/>
              </w:rPr>
              <w:t>10,358</w:t>
            </w:r>
          </w:p>
        </w:tc>
        <w:tc>
          <w:tcPr>
            <w:tcW w:w="1170" w:type="dxa"/>
            <w:vAlign w:val="center"/>
          </w:tcPr>
          <w:p w:rsidR="00C5384D" w:rsidRPr="00D7128A" w:rsidP="00F068F8" w14:paraId="6C344694" w14:textId="77777777">
            <w:pPr>
              <w:spacing w:after="0" w:line="240" w:lineRule="auto"/>
              <w:ind w:left="180" w:right="85"/>
              <w:jc w:val="center"/>
              <w:rPr>
                <w:rFonts w:ascii="Times New Roman" w:hAnsi="Times New Roman" w:cs="Times New Roman"/>
                <w:sz w:val="20"/>
                <w:szCs w:val="20"/>
              </w:rPr>
            </w:pPr>
            <w:r w:rsidRPr="00921425">
              <w:rPr>
                <w:rFonts w:ascii="Times New Roman" w:hAnsi="Times New Roman" w:cs="Times New Roman"/>
                <w:color w:val="000000"/>
                <w:sz w:val="20"/>
                <w:szCs w:val="20"/>
              </w:rPr>
              <w:t>$36,467</w:t>
            </w:r>
          </w:p>
        </w:tc>
        <w:tc>
          <w:tcPr>
            <w:tcW w:w="1530" w:type="dxa"/>
            <w:vAlign w:val="center"/>
          </w:tcPr>
          <w:p w:rsidR="00C5384D" w:rsidRPr="00D7128A" w:rsidP="004D4B61" w14:paraId="2C84948D" w14:textId="77777777">
            <w:pPr>
              <w:spacing w:after="0" w:line="240" w:lineRule="auto"/>
              <w:ind w:left="270" w:right="268"/>
              <w:jc w:val="center"/>
              <w:rPr>
                <w:rFonts w:ascii="Times New Roman" w:hAnsi="Times New Roman" w:cs="Times New Roman"/>
                <w:sz w:val="20"/>
                <w:szCs w:val="20"/>
              </w:rPr>
            </w:pPr>
            <w:r w:rsidRPr="00D7128A">
              <w:rPr>
                <w:rFonts w:ascii="Times New Roman" w:hAnsi="Times New Roman" w:cs="Times New Roman"/>
                <w:color w:val="000000"/>
                <w:sz w:val="20"/>
                <w:szCs w:val="20"/>
              </w:rPr>
              <w:t>$4</w:t>
            </w:r>
            <w:r w:rsidR="00013990">
              <w:rPr>
                <w:rFonts w:ascii="Times New Roman" w:hAnsi="Times New Roman" w:cs="Times New Roman"/>
                <w:color w:val="000000"/>
                <w:sz w:val="20"/>
                <w:szCs w:val="20"/>
              </w:rPr>
              <w:t>6,826</w:t>
            </w:r>
          </w:p>
        </w:tc>
      </w:tr>
      <w:tr w14:paraId="28977A38" w14:textId="77777777" w:rsidTr="00F068F8">
        <w:tblPrEx>
          <w:tblW w:w="9810" w:type="dxa"/>
          <w:tblInd w:w="-5" w:type="dxa"/>
          <w:tblLayout w:type="fixed"/>
          <w:tblCellMar>
            <w:left w:w="0" w:type="dxa"/>
            <w:right w:w="0" w:type="dxa"/>
          </w:tblCellMar>
          <w:tblLook w:val="01E0"/>
        </w:tblPrEx>
        <w:trPr>
          <w:trHeight w:val="455"/>
        </w:trPr>
        <w:tc>
          <w:tcPr>
            <w:tcW w:w="2340" w:type="dxa"/>
            <w:vAlign w:val="center"/>
          </w:tcPr>
          <w:p w:rsidR="00C5384D" w:rsidRPr="00D7128A" w:rsidP="004D4B61" w14:paraId="41E6276B" w14:textId="77777777">
            <w:pPr>
              <w:spacing w:after="0" w:line="240" w:lineRule="auto"/>
              <w:ind w:left="107"/>
              <w:rPr>
                <w:rFonts w:ascii="Times New Roman" w:hAnsi="Times New Roman" w:cs="Times New Roman"/>
                <w:sz w:val="20"/>
                <w:szCs w:val="20"/>
              </w:rPr>
            </w:pPr>
            <w:r w:rsidRPr="00D7128A">
              <w:rPr>
                <w:rFonts w:ascii="Times New Roman" w:hAnsi="Times New Roman" w:cs="Times New Roman"/>
                <w:sz w:val="20"/>
                <w:szCs w:val="20"/>
              </w:rPr>
              <w:t>Large Government</w:t>
            </w:r>
          </w:p>
        </w:tc>
        <w:tc>
          <w:tcPr>
            <w:tcW w:w="990" w:type="dxa"/>
            <w:vAlign w:val="center"/>
          </w:tcPr>
          <w:p w:rsidR="00C5384D" w:rsidRPr="00D7128A" w:rsidP="004D4B61" w14:paraId="35830385" w14:textId="77777777">
            <w:pPr>
              <w:spacing w:after="0" w:line="240" w:lineRule="auto"/>
              <w:ind w:left="87" w:right="79"/>
              <w:jc w:val="center"/>
              <w:rPr>
                <w:rFonts w:ascii="Times New Roman" w:hAnsi="Times New Roman" w:cs="Times New Roman"/>
                <w:sz w:val="20"/>
                <w:szCs w:val="20"/>
              </w:rPr>
            </w:pPr>
            <w:r w:rsidRPr="00D7128A">
              <w:rPr>
                <w:rFonts w:ascii="Times New Roman" w:hAnsi="Times New Roman" w:cs="Times New Roman"/>
                <w:sz w:val="20"/>
                <w:szCs w:val="20"/>
              </w:rPr>
              <w:t>120</w:t>
            </w:r>
          </w:p>
        </w:tc>
        <w:tc>
          <w:tcPr>
            <w:tcW w:w="1260" w:type="dxa"/>
            <w:vAlign w:val="center"/>
          </w:tcPr>
          <w:p w:rsidR="00C5384D" w:rsidRPr="00D7128A" w:rsidP="004D4B61" w14:paraId="7E2AE260" w14:textId="77777777">
            <w:pPr>
              <w:spacing w:after="0" w:line="240" w:lineRule="auto"/>
              <w:ind w:left="8"/>
              <w:jc w:val="center"/>
              <w:rPr>
                <w:rFonts w:ascii="Times New Roman" w:hAnsi="Times New Roman" w:cs="Times New Roman"/>
                <w:sz w:val="20"/>
                <w:szCs w:val="20"/>
              </w:rPr>
            </w:pPr>
            <w:r w:rsidRPr="00D7128A">
              <w:rPr>
                <w:rFonts w:ascii="Times New Roman" w:hAnsi="Times New Roman" w:cs="Times New Roman"/>
                <w:sz w:val="20"/>
                <w:szCs w:val="20"/>
              </w:rPr>
              <w:t>0</w:t>
            </w:r>
          </w:p>
        </w:tc>
        <w:tc>
          <w:tcPr>
            <w:tcW w:w="1350" w:type="dxa"/>
            <w:vAlign w:val="center"/>
          </w:tcPr>
          <w:p w:rsidR="00C5384D" w:rsidRPr="00D7128A" w:rsidP="004D4B61" w14:paraId="4E3B6DA4" w14:textId="77777777">
            <w:pPr>
              <w:spacing w:after="0" w:line="240" w:lineRule="auto"/>
              <w:ind w:left="423" w:right="413"/>
              <w:jc w:val="center"/>
              <w:rPr>
                <w:rFonts w:ascii="Times New Roman" w:hAnsi="Times New Roman" w:cs="Times New Roman"/>
                <w:sz w:val="20"/>
                <w:szCs w:val="20"/>
              </w:rPr>
            </w:pPr>
            <w:r w:rsidRPr="00D7128A">
              <w:rPr>
                <w:rFonts w:ascii="Times New Roman" w:hAnsi="Times New Roman" w:cs="Times New Roman"/>
                <w:sz w:val="20"/>
                <w:szCs w:val="20"/>
              </w:rPr>
              <w:t>78</w:t>
            </w:r>
          </w:p>
        </w:tc>
        <w:tc>
          <w:tcPr>
            <w:tcW w:w="1170" w:type="dxa"/>
            <w:vAlign w:val="center"/>
          </w:tcPr>
          <w:p w:rsidR="00C5384D" w:rsidRPr="00D7128A" w:rsidP="004D4B61" w14:paraId="58EA14A7" w14:textId="77777777">
            <w:pPr>
              <w:spacing w:after="0" w:line="240" w:lineRule="auto"/>
              <w:ind w:left="212" w:right="207"/>
              <w:jc w:val="center"/>
              <w:rPr>
                <w:rFonts w:ascii="Times New Roman" w:hAnsi="Times New Roman" w:cs="Times New Roman"/>
                <w:sz w:val="20"/>
                <w:szCs w:val="20"/>
              </w:rPr>
            </w:pPr>
            <w:r w:rsidRPr="00D7128A">
              <w:rPr>
                <w:rFonts w:ascii="Times New Roman" w:hAnsi="Times New Roman" w:cs="Times New Roman"/>
                <w:color w:val="000000"/>
                <w:sz w:val="20"/>
                <w:szCs w:val="20"/>
              </w:rPr>
              <w:t>$24,</w:t>
            </w:r>
            <w:r w:rsidR="00847071">
              <w:rPr>
                <w:rFonts w:ascii="Times New Roman" w:hAnsi="Times New Roman" w:cs="Times New Roman"/>
                <w:color w:val="000000"/>
                <w:sz w:val="20"/>
                <w:szCs w:val="20"/>
              </w:rPr>
              <w:t>234</w:t>
            </w:r>
          </w:p>
        </w:tc>
        <w:tc>
          <w:tcPr>
            <w:tcW w:w="1170" w:type="dxa"/>
            <w:vAlign w:val="center"/>
          </w:tcPr>
          <w:p w:rsidR="00C5384D" w:rsidRPr="00D7128A" w:rsidP="00F068F8" w14:paraId="27272FF9" w14:textId="77777777">
            <w:pPr>
              <w:spacing w:after="0" w:line="240" w:lineRule="auto"/>
              <w:ind w:left="180" w:right="85"/>
              <w:jc w:val="center"/>
              <w:rPr>
                <w:rFonts w:ascii="Times New Roman" w:hAnsi="Times New Roman" w:cs="Times New Roman"/>
                <w:sz w:val="20"/>
                <w:szCs w:val="20"/>
              </w:rPr>
            </w:pPr>
            <w:r w:rsidRPr="00921425">
              <w:rPr>
                <w:rFonts w:ascii="Times New Roman" w:hAnsi="Times New Roman" w:cs="Times New Roman"/>
                <w:color w:val="000000"/>
                <w:sz w:val="20"/>
                <w:szCs w:val="20"/>
              </w:rPr>
              <w:t>$97,246</w:t>
            </w:r>
          </w:p>
        </w:tc>
        <w:tc>
          <w:tcPr>
            <w:tcW w:w="1530" w:type="dxa"/>
            <w:vAlign w:val="center"/>
          </w:tcPr>
          <w:p w:rsidR="00C5384D" w:rsidRPr="00D7128A" w:rsidP="004D4B61" w14:paraId="25682D1D" w14:textId="77777777">
            <w:pPr>
              <w:spacing w:after="0" w:line="240" w:lineRule="auto"/>
              <w:ind w:left="270" w:right="268"/>
              <w:jc w:val="center"/>
              <w:rPr>
                <w:rFonts w:ascii="Times New Roman" w:hAnsi="Times New Roman" w:cs="Times New Roman"/>
                <w:sz w:val="20"/>
                <w:szCs w:val="20"/>
              </w:rPr>
            </w:pPr>
            <w:r w:rsidRPr="00D7128A">
              <w:rPr>
                <w:rFonts w:ascii="Times New Roman" w:hAnsi="Times New Roman" w:cs="Times New Roman"/>
                <w:color w:val="000000"/>
                <w:sz w:val="20"/>
                <w:szCs w:val="20"/>
              </w:rPr>
              <w:t>$1</w:t>
            </w:r>
            <w:r w:rsidR="00013990">
              <w:rPr>
                <w:rFonts w:ascii="Times New Roman" w:hAnsi="Times New Roman" w:cs="Times New Roman"/>
                <w:color w:val="000000"/>
                <w:sz w:val="20"/>
                <w:szCs w:val="20"/>
              </w:rPr>
              <w:t>21,480</w:t>
            </w:r>
          </w:p>
        </w:tc>
      </w:tr>
    </w:tbl>
    <w:p w:rsidR="00C5384D" w:rsidRPr="004D4B61" w:rsidP="004D4B61" w14:paraId="56387129" w14:textId="77777777">
      <w:pPr>
        <w:spacing w:after="0" w:line="240" w:lineRule="auto"/>
        <w:ind w:firstLine="720"/>
        <w:rPr>
          <w:rFonts w:ascii="Times New Roman" w:hAnsi="Times New Roman" w:cs="Times New Roman"/>
          <w:b/>
        </w:rPr>
      </w:pPr>
    </w:p>
    <w:p w:rsidR="00796CBE" w:rsidRPr="00771C3E" w:rsidP="00771C3E" w14:paraId="4E5A2249" w14:textId="77777777">
      <w:pPr>
        <w:pStyle w:val="Heading3"/>
        <w:rPr>
          <w:rFonts w:ascii="Times New Roman" w:hAnsi="Times New Roman" w:cs="Times New Roman"/>
          <w:sz w:val="22"/>
          <w:szCs w:val="22"/>
        </w:rPr>
      </w:pPr>
      <w:bookmarkStart w:id="184" w:name="_Toc141732935"/>
      <w:bookmarkStart w:id="185" w:name="_Toc141733146"/>
      <w:bookmarkStart w:id="186" w:name="_Toc142404050"/>
      <w:bookmarkStart w:id="187" w:name="_Toc144213858"/>
      <w:bookmarkStart w:id="188" w:name="_Toc144283603"/>
      <w:bookmarkStart w:id="189" w:name="_Toc144303541"/>
      <w:r w:rsidRPr="00771C3E">
        <w:rPr>
          <w:rFonts w:ascii="Times New Roman" w:hAnsi="Times New Roman" w:cs="Times New Roman"/>
          <w:sz w:val="22"/>
          <w:szCs w:val="22"/>
        </w:rPr>
        <w:t xml:space="preserve">4.4.5 </w:t>
      </w:r>
      <w:r w:rsidRPr="00771C3E" w:rsidR="00C5384D">
        <w:rPr>
          <w:rFonts w:ascii="Times New Roman" w:hAnsi="Times New Roman" w:cs="Times New Roman"/>
          <w:sz w:val="22"/>
          <w:szCs w:val="22"/>
        </w:rPr>
        <w:t>Employee Participation</w:t>
      </w:r>
      <w:r w:rsidRPr="00771C3E" w:rsidR="00D04BF0">
        <w:rPr>
          <w:rFonts w:ascii="Times New Roman" w:hAnsi="Times New Roman" w:cs="Times New Roman"/>
          <w:sz w:val="22"/>
          <w:szCs w:val="22"/>
        </w:rPr>
        <w:t xml:space="preserve"> Plan</w:t>
      </w:r>
      <w:bookmarkEnd w:id="184"/>
      <w:bookmarkEnd w:id="185"/>
      <w:bookmarkEnd w:id="186"/>
      <w:bookmarkEnd w:id="187"/>
      <w:bookmarkEnd w:id="188"/>
      <w:bookmarkEnd w:id="189"/>
    </w:p>
    <w:p w:rsidR="00F42ABB" w:rsidP="00835820" w14:paraId="72E2360A" w14:textId="77777777">
      <w:pPr>
        <w:spacing w:after="0" w:line="240" w:lineRule="auto"/>
        <w:ind w:firstLine="360"/>
        <w:rPr>
          <w:rFonts w:ascii="Times New Roman" w:hAnsi="Times New Roman" w:cs="Times New Roman"/>
        </w:rPr>
      </w:pPr>
      <w:r>
        <w:rPr>
          <w:rFonts w:ascii="Times New Roman" w:hAnsi="Times New Roman" w:cs="Times New Roman"/>
        </w:rPr>
        <w:tab/>
      </w:r>
      <w:r w:rsidR="00087976">
        <w:rPr>
          <w:rFonts w:ascii="Times New Roman" w:hAnsi="Times New Roman" w:cs="Times New Roman"/>
        </w:rPr>
        <w:t xml:space="preserve">The final rule </w:t>
      </w:r>
      <w:r w:rsidR="009449B7">
        <w:rPr>
          <w:rFonts w:ascii="Times New Roman" w:hAnsi="Times New Roman" w:cs="Times New Roman"/>
        </w:rPr>
        <w:t>will</w:t>
      </w:r>
      <w:r w:rsidRPr="004D4B61">
        <w:rPr>
          <w:rFonts w:ascii="Times New Roman" w:hAnsi="Times New Roman" w:cs="Times New Roman"/>
        </w:rPr>
        <w:t xml:space="preserve"> require employers to consult with employees when making decisions on implementing recommendations from PHAs, compliance audits, and incident investigations; provide employees the opportunity to stop work under certain circumstances; and provide opportunities for employees to </w:t>
      </w:r>
      <w:r w:rsidRPr="004D4B61" w:rsidR="00130F04">
        <w:rPr>
          <w:rFonts w:ascii="Times New Roman" w:hAnsi="Times New Roman" w:cs="Times New Roman"/>
        </w:rPr>
        <w:t xml:space="preserve">report </w:t>
      </w:r>
      <w:r w:rsidR="00130F04">
        <w:rPr>
          <w:rFonts w:ascii="Times New Roman" w:hAnsi="Times New Roman" w:cs="Times New Roman"/>
        </w:rPr>
        <w:t>RMP</w:t>
      </w:r>
      <w:r w:rsidR="003340E9">
        <w:rPr>
          <w:rFonts w:ascii="Times New Roman" w:hAnsi="Times New Roman" w:cs="Times New Roman"/>
        </w:rPr>
        <w:t xml:space="preserve"> noncompliance</w:t>
      </w:r>
      <w:r w:rsidR="00A06653">
        <w:rPr>
          <w:rFonts w:ascii="Times New Roman" w:hAnsi="Times New Roman" w:cs="Times New Roman"/>
        </w:rPr>
        <w:t xml:space="preserve"> (either anonymously or not, at the reporter’s discretion)</w:t>
      </w:r>
      <w:r w:rsidRPr="004D4B61" w:rsidR="00720D95">
        <w:rPr>
          <w:rFonts w:ascii="Times New Roman" w:hAnsi="Times New Roman" w:cs="Times New Roman"/>
        </w:rPr>
        <w:t xml:space="preserve">. </w:t>
      </w:r>
      <w:r w:rsidRPr="004D4B61" w:rsidR="00BE3AC9">
        <w:rPr>
          <w:rFonts w:ascii="Times New Roman" w:hAnsi="Times New Roman" w:cs="Times New Roman"/>
        </w:rPr>
        <w:t>Specifically,</w:t>
      </w:r>
      <w:r w:rsidRPr="004D4B61" w:rsidR="0030171C">
        <w:rPr>
          <w:rFonts w:ascii="Times New Roman" w:hAnsi="Times New Roman" w:cs="Times New Roman"/>
        </w:rPr>
        <w:t xml:space="preserve"> </w:t>
      </w:r>
      <w:r w:rsidRPr="004D4B61" w:rsidR="00037366">
        <w:rPr>
          <w:rFonts w:ascii="Times New Roman" w:hAnsi="Times New Roman" w:cs="Times New Roman"/>
        </w:rPr>
        <w:t>t</w:t>
      </w:r>
      <w:r w:rsidRPr="004D4B61" w:rsidR="00C5384D">
        <w:rPr>
          <w:rFonts w:ascii="Times New Roman" w:hAnsi="Times New Roman" w:cs="Times New Roman"/>
        </w:rPr>
        <w:t xml:space="preserve">he </w:t>
      </w:r>
      <w:r w:rsidR="00C5067C">
        <w:rPr>
          <w:rFonts w:ascii="Times New Roman" w:hAnsi="Times New Roman" w:cs="Times New Roman"/>
        </w:rPr>
        <w:t>final</w:t>
      </w:r>
      <w:r w:rsidRPr="004D4B61" w:rsidR="00C5384D">
        <w:rPr>
          <w:rFonts w:ascii="Times New Roman" w:hAnsi="Times New Roman" w:cs="Times New Roman"/>
        </w:rPr>
        <w:t xml:space="preserve"> rule </w:t>
      </w:r>
      <w:r w:rsidR="009449B7">
        <w:rPr>
          <w:rFonts w:ascii="Times New Roman" w:hAnsi="Times New Roman" w:cs="Times New Roman"/>
        </w:rPr>
        <w:t>will</w:t>
      </w:r>
      <w:r w:rsidRPr="004D4B61" w:rsidR="00C5384D">
        <w:rPr>
          <w:rFonts w:ascii="Times New Roman" w:hAnsi="Times New Roman" w:cs="Times New Roman"/>
        </w:rPr>
        <w:t xml:space="preserve"> require that the </w:t>
      </w:r>
      <w:r w:rsidRPr="004D4B61" w:rsidR="00354D92">
        <w:rPr>
          <w:rFonts w:ascii="Times New Roman" w:hAnsi="Times New Roman" w:cs="Times New Roman"/>
        </w:rPr>
        <w:t>employee participation plan</w:t>
      </w:r>
      <w:r w:rsidRPr="004D4B61" w:rsidR="00C5384D">
        <w:rPr>
          <w:rFonts w:ascii="Times New Roman" w:hAnsi="Times New Roman" w:cs="Times New Roman"/>
        </w:rPr>
        <w:t xml:space="preserve">, at 40 CFR 68.83, include and ensure effective methods are in place so that employees </w:t>
      </w:r>
      <w:r w:rsidR="00AD2C27">
        <w:rPr>
          <w:rFonts w:ascii="Times New Roman" w:hAnsi="Times New Roman" w:cs="Times New Roman"/>
        </w:rPr>
        <w:t xml:space="preserve">knowledgeable in the process </w:t>
      </w:r>
      <w:r w:rsidRPr="004D4B61" w:rsidR="00C5384D">
        <w:rPr>
          <w:rFonts w:ascii="Times New Roman" w:hAnsi="Times New Roman" w:cs="Times New Roman"/>
        </w:rPr>
        <w:t xml:space="preserve">and their representatives have authority to recommend to the operator in charge of a unit that an operation or process be partially or completely shut down based on the potential for a catastrophic release. The </w:t>
      </w:r>
      <w:r w:rsidR="00C5067C">
        <w:rPr>
          <w:rFonts w:ascii="Times New Roman" w:hAnsi="Times New Roman" w:cs="Times New Roman"/>
        </w:rPr>
        <w:t>final</w:t>
      </w:r>
      <w:r w:rsidRPr="004D4B61" w:rsidR="00C5384D">
        <w:rPr>
          <w:rFonts w:ascii="Times New Roman" w:hAnsi="Times New Roman" w:cs="Times New Roman"/>
        </w:rPr>
        <w:t xml:space="preserve"> rule </w:t>
      </w:r>
      <w:r w:rsidR="009449B7">
        <w:rPr>
          <w:rFonts w:ascii="Times New Roman" w:hAnsi="Times New Roman" w:cs="Times New Roman"/>
        </w:rPr>
        <w:t>will</w:t>
      </w:r>
      <w:r w:rsidRPr="004D4B61" w:rsidR="00C5384D">
        <w:rPr>
          <w:rFonts w:ascii="Times New Roman" w:hAnsi="Times New Roman" w:cs="Times New Roman"/>
        </w:rPr>
        <w:t xml:space="preserve"> require facilities with Program 3 processes to include in </w:t>
      </w:r>
      <w:r w:rsidRPr="004D4B61" w:rsidR="00C5384D">
        <w:rPr>
          <w:rFonts w:ascii="Times New Roman" w:hAnsi="Times New Roman" w:cs="Times New Roman"/>
        </w:rPr>
        <w:t>their employee participation plan explicit language that includes information for reporting of RMP</w:t>
      </w:r>
      <w:r w:rsidRPr="004D4B61" w:rsidR="002C5463">
        <w:rPr>
          <w:rFonts w:ascii="Times New Roman" w:hAnsi="Times New Roman" w:cs="Times New Roman"/>
        </w:rPr>
        <w:t>-</w:t>
      </w:r>
      <w:r w:rsidRPr="004D4B61" w:rsidR="00C5384D">
        <w:rPr>
          <w:rFonts w:ascii="Times New Roman" w:hAnsi="Times New Roman" w:cs="Times New Roman"/>
        </w:rPr>
        <w:t xml:space="preserve">reportable accidents or other related RMP non-compliance issues. This </w:t>
      </w:r>
      <w:r w:rsidR="009449B7">
        <w:rPr>
          <w:rFonts w:ascii="Times New Roman" w:hAnsi="Times New Roman" w:cs="Times New Roman"/>
        </w:rPr>
        <w:t>will</w:t>
      </w:r>
      <w:r w:rsidRPr="004D4B61" w:rsidR="00C5384D">
        <w:rPr>
          <w:rFonts w:ascii="Times New Roman" w:hAnsi="Times New Roman" w:cs="Times New Roman"/>
        </w:rPr>
        <w:t xml:space="preserve"> require facilities with Program 3 processes to update their </w:t>
      </w:r>
      <w:r w:rsidR="005C1B6F">
        <w:rPr>
          <w:rFonts w:ascii="Times New Roman" w:hAnsi="Times New Roman" w:cs="Times New Roman"/>
        </w:rPr>
        <w:t>current</w:t>
      </w:r>
      <w:r w:rsidRPr="004D4B61" w:rsidR="00C5384D">
        <w:rPr>
          <w:rFonts w:ascii="Times New Roman" w:hAnsi="Times New Roman" w:cs="Times New Roman"/>
        </w:rPr>
        <w:t xml:space="preserve"> </w:t>
      </w:r>
      <w:r w:rsidRPr="004D4B61" w:rsidR="00354D92">
        <w:rPr>
          <w:rFonts w:ascii="Times New Roman" w:hAnsi="Times New Roman" w:cs="Times New Roman"/>
        </w:rPr>
        <w:t>employee participation plan</w:t>
      </w:r>
      <w:r w:rsidRPr="004D4B61" w:rsidR="003D6BFB">
        <w:rPr>
          <w:rFonts w:ascii="Times New Roman" w:hAnsi="Times New Roman" w:cs="Times New Roman"/>
        </w:rPr>
        <w:t>s</w:t>
      </w:r>
      <w:r w:rsidRPr="004D4B61" w:rsidR="00C5384D">
        <w:rPr>
          <w:rFonts w:ascii="Times New Roman" w:hAnsi="Times New Roman" w:cs="Times New Roman"/>
        </w:rPr>
        <w:t xml:space="preserve">. </w:t>
      </w:r>
    </w:p>
    <w:p w:rsidR="003D2F8B" w:rsidRPr="004D4B61" w:rsidP="00835820" w14:paraId="6B401092" w14:textId="77777777">
      <w:pPr>
        <w:spacing w:after="0" w:line="240" w:lineRule="auto"/>
        <w:ind w:firstLine="360"/>
        <w:rPr>
          <w:rFonts w:ascii="Times New Roman" w:hAnsi="Times New Roman" w:cs="Times New Roman"/>
        </w:rPr>
      </w:pPr>
    </w:p>
    <w:p w:rsidR="00C5384D" w:rsidP="00835820" w14:paraId="13C8A375"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Facilities with Program 2 processes are not currently required to have an </w:t>
      </w:r>
      <w:r w:rsidRPr="004D4B61" w:rsidR="00354D92">
        <w:rPr>
          <w:rFonts w:ascii="Times New Roman" w:hAnsi="Times New Roman" w:cs="Times New Roman"/>
        </w:rPr>
        <w:t>employee participation plan</w:t>
      </w:r>
      <w:r w:rsidRPr="004D4B61">
        <w:rPr>
          <w:rFonts w:ascii="Times New Roman" w:hAnsi="Times New Roman" w:cs="Times New Roman"/>
        </w:rPr>
        <w:t xml:space="preserve">. Therefore, they </w:t>
      </w:r>
      <w:r w:rsidR="009449B7">
        <w:rPr>
          <w:rFonts w:ascii="Times New Roman" w:hAnsi="Times New Roman" w:cs="Times New Roman"/>
        </w:rPr>
        <w:t>will</w:t>
      </w:r>
      <w:r w:rsidRPr="004D4B61">
        <w:rPr>
          <w:rFonts w:ascii="Times New Roman" w:hAnsi="Times New Roman" w:cs="Times New Roman"/>
        </w:rPr>
        <w:t xml:space="preserve"> need to develop an </w:t>
      </w:r>
      <w:r w:rsidRPr="004D4B61" w:rsidR="00354D92">
        <w:rPr>
          <w:rFonts w:ascii="Times New Roman" w:hAnsi="Times New Roman" w:cs="Times New Roman"/>
        </w:rPr>
        <w:t>employee participation plan</w:t>
      </w:r>
      <w:r w:rsidRPr="004D4B61">
        <w:rPr>
          <w:rFonts w:ascii="Times New Roman" w:hAnsi="Times New Roman" w:cs="Times New Roman"/>
        </w:rPr>
        <w:t xml:space="preserve">. </w:t>
      </w:r>
      <w:r w:rsidR="006B6E69">
        <w:rPr>
          <w:rFonts w:ascii="Times New Roman" w:hAnsi="Times New Roman" w:cs="Times New Roman"/>
        </w:rPr>
        <w:t xml:space="preserve">The final rule </w:t>
      </w:r>
      <w:r w:rsidR="009449B7">
        <w:rPr>
          <w:rFonts w:ascii="Times New Roman" w:hAnsi="Times New Roman" w:cs="Times New Roman"/>
        </w:rPr>
        <w:t>will</w:t>
      </w:r>
      <w:r w:rsidR="00440DFC">
        <w:rPr>
          <w:rFonts w:ascii="Times New Roman" w:hAnsi="Times New Roman" w:cs="Times New Roman"/>
        </w:rPr>
        <w:t xml:space="preserve"> also require</w:t>
      </w:r>
      <w:r w:rsidR="006B6E69">
        <w:rPr>
          <w:rFonts w:ascii="Times New Roman" w:hAnsi="Times New Roman" w:cs="Times New Roman"/>
        </w:rPr>
        <w:t xml:space="preserve"> </w:t>
      </w:r>
      <w:r w:rsidR="00C759D1">
        <w:rPr>
          <w:rFonts w:ascii="Times New Roman" w:hAnsi="Times New Roman" w:cs="Times New Roman"/>
        </w:rPr>
        <w:t>both Program 2 and Program 3 facilities to</w:t>
      </w:r>
      <w:r w:rsidR="00F4677E">
        <w:rPr>
          <w:rFonts w:ascii="Times New Roman" w:hAnsi="Times New Roman" w:cs="Times New Roman"/>
        </w:rPr>
        <w:t xml:space="preserve"> </w:t>
      </w:r>
      <w:r w:rsidR="00281408">
        <w:rPr>
          <w:rFonts w:ascii="Times New Roman" w:hAnsi="Times New Roman" w:cs="Times New Roman"/>
        </w:rPr>
        <w:t xml:space="preserve">provide annual written or electronic notice </w:t>
      </w:r>
      <w:r w:rsidR="00585E27">
        <w:rPr>
          <w:rFonts w:ascii="Times New Roman" w:hAnsi="Times New Roman" w:cs="Times New Roman"/>
        </w:rPr>
        <w:t>to employees indicating RMP information is available</w:t>
      </w:r>
      <w:r w:rsidR="00CB70E5">
        <w:rPr>
          <w:rFonts w:ascii="Times New Roman" w:hAnsi="Times New Roman" w:cs="Times New Roman"/>
        </w:rPr>
        <w:t xml:space="preserve"> and</w:t>
      </w:r>
      <w:r w:rsidR="00C759D1">
        <w:rPr>
          <w:rFonts w:ascii="Times New Roman" w:hAnsi="Times New Roman" w:cs="Times New Roman"/>
        </w:rPr>
        <w:t xml:space="preserve"> </w:t>
      </w:r>
      <w:r w:rsidR="007252C7">
        <w:rPr>
          <w:rFonts w:ascii="Times New Roman" w:hAnsi="Times New Roman" w:cs="Times New Roman"/>
        </w:rPr>
        <w:t xml:space="preserve">to </w:t>
      </w:r>
      <w:r w:rsidR="00C759D1">
        <w:rPr>
          <w:rFonts w:ascii="Times New Roman" w:hAnsi="Times New Roman" w:cs="Times New Roman"/>
        </w:rPr>
        <w:t>train employees on the employee participation plan</w:t>
      </w:r>
      <w:r w:rsidRPr="004D4B61">
        <w:rPr>
          <w:rFonts w:ascii="Times New Roman" w:hAnsi="Times New Roman" w:cs="Times New Roman"/>
        </w:rPr>
        <w:t xml:space="preserve">. Therefore, EPA estimates the cost for </w:t>
      </w:r>
      <w:r w:rsidRPr="004D4B61" w:rsidR="005E22BE">
        <w:rPr>
          <w:rFonts w:ascii="Times New Roman" w:hAnsi="Times New Roman" w:cs="Times New Roman"/>
        </w:rPr>
        <w:t>Program 2</w:t>
      </w:r>
      <w:r w:rsidRPr="004D4B61">
        <w:rPr>
          <w:rFonts w:ascii="Times New Roman" w:hAnsi="Times New Roman" w:cs="Times New Roman"/>
        </w:rPr>
        <w:t xml:space="preserve"> facilities to develop a new </w:t>
      </w:r>
      <w:r w:rsidRPr="004D4B61" w:rsidR="00354D92">
        <w:rPr>
          <w:rFonts w:ascii="Times New Roman" w:hAnsi="Times New Roman" w:cs="Times New Roman"/>
        </w:rPr>
        <w:t>employee participation plan</w:t>
      </w:r>
      <w:r w:rsidR="003A397B">
        <w:rPr>
          <w:rFonts w:ascii="Times New Roman" w:hAnsi="Times New Roman" w:cs="Times New Roman"/>
        </w:rPr>
        <w:t>,</w:t>
      </w:r>
      <w:r w:rsidRPr="004D4B61">
        <w:rPr>
          <w:rFonts w:ascii="Times New Roman" w:hAnsi="Times New Roman" w:cs="Times New Roman"/>
        </w:rPr>
        <w:t xml:space="preserve"> </w:t>
      </w:r>
      <w:r w:rsidRPr="0153A962" w:rsidR="00AB34CF">
        <w:rPr>
          <w:rFonts w:ascii="Times New Roman" w:hAnsi="Times New Roman" w:cs="Times New Roman"/>
          <w:color w:val="000000" w:themeColor="text1"/>
        </w:rPr>
        <w:t>Program 3</w:t>
      </w:r>
      <w:r w:rsidRPr="004D4B61">
        <w:rPr>
          <w:rFonts w:ascii="Times New Roman" w:hAnsi="Times New Roman" w:cs="Times New Roman"/>
        </w:rPr>
        <w:t xml:space="preserve"> facilities to make minor adjustments to </w:t>
      </w:r>
      <w:r w:rsidR="005C1B6F">
        <w:rPr>
          <w:rFonts w:ascii="Times New Roman" w:hAnsi="Times New Roman" w:cs="Times New Roman"/>
        </w:rPr>
        <w:t>current</w:t>
      </w:r>
      <w:r w:rsidRPr="004D4B61">
        <w:rPr>
          <w:rFonts w:ascii="Times New Roman" w:hAnsi="Times New Roman" w:cs="Times New Roman"/>
        </w:rPr>
        <w:t xml:space="preserve"> </w:t>
      </w:r>
      <w:r w:rsidRPr="004D4B61" w:rsidR="00354D92">
        <w:rPr>
          <w:rFonts w:ascii="Times New Roman" w:hAnsi="Times New Roman" w:cs="Times New Roman"/>
        </w:rPr>
        <w:t>employee participation plan</w:t>
      </w:r>
      <w:r w:rsidRPr="004D4B61">
        <w:rPr>
          <w:rFonts w:ascii="Times New Roman" w:hAnsi="Times New Roman" w:cs="Times New Roman"/>
        </w:rPr>
        <w:t>s</w:t>
      </w:r>
      <w:r w:rsidR="003A397B">
        <w:rPr>
          <w:rFonts w:ascii="Times New Roman" w:hAnsi="Times New Roman" w:cs="Times New Roman"/>
        </w:rPr>
        <w:t xml:space="preserve">, and both Program 2 and Program 3 facilities to </w:t>
      </w:r>
      <w:r w:rsidR="00464C55">
        <w:rPr>
          <w:rFonts w:ascii="Times New Roman" w:hAnsi="Times New Roman" w:cs="Times New Roman"/>
        </w:rPr>
        <w:t>train employees</w:t>
      </w:r>
      <w:r w:rsidR="00C205A7">
        <w:rPr>
          <w:rFonts w:ascii="Times New Roman" w:hAnsi="Times New Roman" w:cs="Times New Roman"/>
        </w:rPr>
        <w:t xml:space="preserve"> on the </w:t>
      </w:r>
      <w:r w:rsidR="00110230">
        <w:rPr>
          <w:rFonts w:ascii="Times New Roman" w:hAnsi="Times New Roman" w:cs="Times New Roman"/>
        </w:rPr>
        <w:t>employee participation plan</w:t>
      </w:r>
      <w:r w:rsidRPr="004D4B61">
        <w:rPr>
          <w:rFonts w:ascii="Times New Roman" w:hAnsi="Times New Roman" w:cs="Times New Roman"/>
        </w:rPr>
        <w:t xml:space="preserve">.  </w:t>
      </w:r>
    </w:p>
    <w:p w:rsidR="003D2F8B" w:rsidRPr="004D4B61" w:rsidP="00835820" w14:paraId="13338112" w14:textId="77777777">
      <w:pPr>
        <w:spacing w:after="0" w:line="240" w:lineRule="auto"/>
        <w:ind w:firstLine="360"/>
        <w:rPr>
          <w:rFonts w:ascii="Times New Roman" w:hAnsi="Times New Roman" w:cs="Times New Roman"/>
        </w:rPr>
      </w:pPr>
    </w:p>
    <w:p w:rsidR="00C5384D" w:rsidRPr="004D4B61" w:rsidP="00835820" w14:paraId="39EB408B"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EPA assumes that the development of an </w:t>
      </w:r>
      <w:r w:rsidRPr="004D4B61" w:rsidR="00354D92">
        <w:rPr>
          <w:rFonts w:ascii="Times New Roman" w:hAnsi="Times New Roman" w:cs="Times New Roman"/>
        </w:rPr>
        <w:t>employee participation plan</w:t>
      </w:r>
      <w:r w:rsidRPr="004D4B61">
        <w:rPr>
          <w:rFonts w:ascii="Times New Roman" w:hAnsi="Times New Roman" w:cs="Times New Roman"/>
        </w:rPr>
        <w:t xml:space="preserve"> for a facility with Program 2 processes is a comparable burden to that for developing an </w:t>
      </w:r>
      <w:r w:rsidRPr="004D4B61" w:rsidR="00354D92">
        <w:rPr>
          <w:rFonts w:ascii="Times New Roman" w:hAnsi="Times New Roman" w:cs="Times New Roman"/>
        </w:rPr>
        <w:t>employee participation plan</w:t>
      </w:r>
      <w:r w:rsidRPr="004D4B61">
        <w:rPr>
          <w:rFonts w:ascii="Times New Roman" w:hAnsi="Times New Roman" w:cs="Times New Roman"/>
        </w:rPr>
        <w:t xml:space="preserve"> for a facility with Program 3 processes. The 1996 RMP RIA did not include costs for </w:t>
      </w:r>
      <w:r w:rsidRPr="004D4B61" w:rsidR="00354D92">
        <w:rPr>
          <w:rFonts w:ascii="Times New Roman" w:hAnsi="Times New Roman" w:cs="Times New Roman"/>
        </w:rPr>
        <w:t>employee participation plan</w:t>
      </w:r>
      <w:r w:rsidRPr="004D4B61" w:rsidR="003D6BFB">
        <w:rPr>
          <w:rFonts w:ascii="Times New Roman" w:hAnsi="Times New Roman" w:cs="Times New Roman"/>
        </w:rPr>
        <w:t>s</w:t>
      </w:r>
      <w:r w:rsidRPr="004D4B61" w:rsidR="00860CFA">
        <w:rPr>
          <w:rFonts w:ascii="Times New Roman" w:hAnsi="Times New Roman" w:cs="Times New Roman"/>
        </w:rPr>
        <w:t xml:space="preserve"> </w:t>
      </w:r>
      <w:r w:rsidRPr="004D4B61">
        <w:rPr>
          <w:rFonts w:ascii="Times New Roman" w:hAnsi="Times New Roman" w:cs="Times New Roman"/>
        </w:rPr>
        <w:t xml:space="preserve">for facilities with Program 3 processes, based on the assumption that those costs were already adequately accounted for under the OSHA PSM program. EPA therefore relied on the 1992 OSHA PSM RIA as the basis for the costs for </w:t>
      </w:r>
      <w:r w:rsidRPr="004D4B61" w:rsidR="00354D92">
        <w:rPr>
          <w:rFonts w:ascii="Times New Roman" w:hAnsi="Times New Roman" w:cs="Times New Roman"/>
        </w:rPr>
        <w:t>employee participation plan</w:t>
      </w:r>
      <w:r w:rsidRPr="004D4B61">
        <w:rPr>
          <w:rFonts w:ascii="Times New Roman" w:hAnsi="Times New Roman" w:cs="Times New Roman"/>
        </w:rPr>
        <w:t>s</w:t>
      </w:r>
      <w:r w:rsidRPr="004D4B61" w:rsidR="00860CFA">
        <w:rPr>
          <w:rFonts w:ascii="Times New Roman" w:hAnsi="Times New Roman" w:cs="Times New Roman"/>
        </w:rPr>
        <w:t xml:space="preserve"> </w:t>
      </w:r>
      <w:r w:rsidRPr="004D4B61">
        <w:rPr>
          <w:rFonts w:ascii="Times New Roman" w:hAnsi="Times New Roman" w:cs="Times New Roman"/>
        </w:rPr>
        <w:t>for facilities with Program 2 processes.</w:t>
      </w:r>
      <w:r w:rsidRPr="004D4B61" w:rsidR="00705A1B">
        <w:rPr>
          <w:rFonts w:ascii="Times New Roman" w:hAnsi="Times New Roman" w:cs="Times New Roman"/>
        </w:rPr>
        <w:t xml:space="preserve"> The resulting estimates of hours by labor category for each </w:t>
      </w:r>
      <w:r w:rsidRPr="004D4B61" w:rsidR="005F10A1">
        <w:rPr>
          <w:rFonts w:ascii="Times New Roman" w:hAnsi="Times New Roman" w:cs="Times New Roman"/>
        </w:rPr>
        <w:t>facility type are presented in Exhibit 4-</w:t>
      </w:r>
      <w:r w:rsidR="00E84C1A">
        <w:rPr>
          <w:rFonts w:ascii="Times New Roman" w:hAnsi="Times New Roman" w:cs="Times New Roman"/>
        </w:rPr>
        <w:t>9</w:t>
      </w:r>
      <w:r w:rsidRPr="004D4B61" w:rsidR="005F10A1">
        <w:rPr>
          <w:rFonts w:ascii="Times New Roman" w:hAnsi="Times New Roman" w:cs="Times New Roman"/>
        </w:rPr>
        <w:t>.</w:t>
      </w:r>
    </w:p>
    <w:p w:rsidR="00F12679" w:rsidP="00E84C1A" w14:paraId="1117E665" w14:textId="77777777">
      <w:pPr>
        <w:spacing w:after="0" w:line="240" w:lineRule="auto"/>
        <w:rPr>
          <w:rFonts w:ascii="Times New Roman" w:hAnsi="Times New Roman" w:cs="Times New Roman"/>
          <w:b/>
        </w:rPr>
      </w:pPr>
    </w:p>
    <w:p w:rsidR="000C4BCE" w:rsidP="002251C2" w14:paraId="5CEE789F" w14:textId="77777777">
      <w:pPr>
        <w:keepNext/>
        <w:spacing w:after="0" w:line="240" w:lineRule="auto"/>
        <w:jc w:val="center"/>
        <w:rPr>
          <w:rFonts w:ascii="Times New Roman" w:hAnsi="Times New Roman" w:cs="Times New Roman"/>
          <w:b/>
        </w:rPr>
      </w:pPr>
      <w:r w:rsidRPr="004D4B61">
        <w:rPr>
          <w:rFonts w:ascii="Times New Roman" w:hAnsi="Times New Roman" w:cs="Times New Roman"/>
          <w:b/>
        </w:rPr>
        <w:t>Exhibit 4-</w:t>
      </w:r>
      <w:r w:rsidR="00E84C1A">
        <w:rPr>
          <w:rFonts w:ascii="Times New Roman" w:hAnsi="Times New Roman" w:cs="Times New Roman"/>
          <w:b/>
          <w:bCs/>
        </w:rPr>
        <w:t>9</w:t>
      </w:r>
      <w:r w:rsidRPr="004D4B61">
        <w:rPr>
          <w:rFonts w:ascii="Times New Roman" w:hAnsi="Times New Roman" w:cs="Times New Roman"/>
          <w:b/>
        </w:rPr>
        <w:t xml:space="preserve">: Hourly </w:t>
      </w:r>
      <w:r w:rsidRPr="004D4B61" w:rsidR="008B3D42">
        <w:rPr>
          <w:rFonts w:ascii="Times New Roman" w:hAnsi="Times New Roman" w:cs="Times New Roman"/>
          <w:b/>
        </w:rPr>
        <w:t>Labor</w:t>
      </w:r>
      <w:r w:rsidRPr="004D4B61">
        <w:rPr>
          <w:rFonts w:ascii="Times New Roman" w:hAnsi="Times New Roman" w:cs="Times New Roman"/>
          <w:b/>
        </w:rPr>
        <w:t xml:space="preserve"> and </w:t>
      </w:r>
      <w:bookmarkStart w:id="190" w:name="_Hlk98509348"/>
      <w:r w:rsidRPr="004D4B61">
        <w:rPr>
          <w:rFonts w:ascii="Times New Roman" w:hAnsi="Times New Roman" w:cs="Times New Roman"/>
          <w:b/>
        </w:rPr>
        <w:t xml:space="preserve">Unit Costs for </w:t>
      </w:r>
      <w:r w:rsidR="004B48AF">
        <w:rPr>
          <w:rFonts w:ascii="Times New Roman" w:hAnsi="Times New Roman" w:cs="Times New Roman"/>
          <w:b/>
        </w:rPr>
        <w:t xml:space="preserve">Employee </w:t>
      </w:r>
      <w:r w:rsidRPr="004D4B61">
        <w:rPr>
          <w:rFonts w:ascii="Times New Roman" w:hAnsi="Times New Roman" w:cs="Times New Roman"/>
          <w:b/>
        </w:rPr>
        <w:t>Participation Plan Development</w:t>
      </w:r>
      <w:bookmarkEnd w:id="190"/>
      <w:r w:rsidRPr="004D4B61">
        <w:rPr>
          <w:rFonts w:ascii="Times New Roman" w:hAnsi="Times New Roman" w:cs="Times New Roman"/>
          <w:b/>
        </w:rPr>
        <w:t xml:space="preserve">: </w:t>
      </w:r>
    </w:p>
    <w:p w:rsidR="00C5384D" w:rsidRPr="004D4B61" w:rsidP="002251C2" w14:paraId="439653FD" w14:textId="77777777">
      <w:pPr>
        <w:keepNext/>
        <w:spacing w:after="120" w:line="240" w:lineRule="auto"/>
        <w:jc w:val="center"/>
        <w:rPr>
          <w:rFonts w:ascii="Times New Roman" w:hAnsi="Times New Roman" w:cs="Times New Roman"/>
          <w:b/>
        </w:rPr>
      </w:pPr>
      <w:r w:rsidRPr="004D4B61">
        <w:rPr>
          <w:rFonts w:ascii="Times New Roman" w:hAnsi="Times New Roman" w:cs="Times New Roman"/>
          <w:b/>
        </w:rPr>
        <w:t>Facilities with Program 2 Processes</w:t>
      </w:r>
      <w:r w:rsidR="00AA37B3">
        <w:rPr>
          <w:rFonts w:ascii="Times New Roman" w:hAnsi="Times New Roman" w:cs="Times New Roman"/>
          <w:b/>
        </w:rPr>
        <w:t xml:space="preserve"> (</w:t>
      </w:r>
      <w:r w:rsidR="00D13F49">
        <w:rPr>
          <w:rFonts w:ascii="Times New Roman" w:hAnsi="Times New Roman" w:cs="Times New Roman"/>
          <w:b/>
        </w:rPr>
        <w:t>2022</w:t>
      </w:r>
      <w:r w:rsidR="00AA37B3">
        <w:rPr>
          <w:rFonts w:ascii="Times New Roman" w:hAnsi="Times New Roman" w:cs="Times New Roman"/>
          <w:b/>
        </w:rPr>
        <w:t xml:space="preserve"> </w:t>
      </w:r>
      <w:r w:rsidR="004D2850">
        <w:rPr>
          <w:rFonts w:ascii="Times New Roman" w:hAnsi="Times New Roman" w:cs="Times New Roman"/>
          <w:b/>
        </w:rPr>
        <w:t>d</w:t>
      </w:r>
      <w:r w:rsidR="00AA37B3">
        <w:rPr>
          <w:rFonts w:ascii="Times New Roman" w:hAnsi="Times New Roman" w:cs="Times New Roman"/>
          <w:b/>
        </w:rPr>
        <w:t>ollars)</w:t>
      </w:r>
      <w:r w:rsidR="00835820">
        <w:rPr>
          <w:rFonts w:ascii="Times New Roman" w:hAnsi="Times New Roman" w:cs="Times New Roman"/>
          <w:b/>
          <w:bCs/>
        </w:rPr>
        <w:t>.</w:t>
      </w:r>
    </w:p>
    <w:tbl>
      <w:tblPr>
        <w:tblW w:w="3742" w:type="pct"/>
        <w:jc w:val="center"/>
        <w:tblLook w:val="04A0"/>
      </w:tblPr>
      <w:tblGrid>
        <w:gridCol w:w="2155"/>
        <w:gridCol w:w="997"/>
        <w:gridCol w:w="933"/>
        <w:gridCol w:w="781"/>
        <w:gridCol w:w="718"/>
        <w:gridCol w:w="839"/>
        <w:gridCol w:w="1039"/>
      </w:tblGrid>
      <w:tr w14:paraId="2786CD9C" w14:textId="77777777" w:rsidTr="00835820">
        <w:tblPrEx>
          <w:tblW w:w="3742" w:type="pct"/>
          <w:jc w:val="center"/>
          <w:tblLook w:val="04A0"/>
        </w:tblPrEx>
        <w:trPr>
          <w:trHeight w:val="641"/>
          <w:jc w:val="center"/>
        </w:trPr>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384D" w:rsidRPr="00835820" w:rsidP="004D4B61" w14:paraId="7920DDC9"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Facility Type</w:t>
            </w:r>
          </w:p>
        </w:tc>
        <w:tc>
          <w:tcPr>
            <w:tcW w:w="6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5384D" w:rsidRPr="00835820" w:rsidP="004D4B61" w14:paraId="7CE94FCB"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Mgr.</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5384D" w:rsidRPr="00835820" w:rsidP="004D4B61" w14:paraId="1DA70E9E"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Corp</w:t>
            </w:r>
            <w:r w:rsidRPr="00835820" w:rsidR="005A136C">
              <w:rPr>
                <w:rFonts w:ascii="Times New Roman" w:hAnsi="Times New Roman" w:cs="Times New Roman"/>
                <w:b/>
                <w:color w:val="000000"/>
                <w:sz w:val="20"/>
                <w:szCs w:val="20"/>
              </w:rPr>
              <w:t>.</w:t>
            </w:r>
            <w:r w:rsidRPr="00835820">
              <w:rPr>
                <w:rFonts w:ascii="Times New Roman" w:hAnsi="Times New Roman" w:cs="Times New Roman"/>
                <w:b/>
                <w:color w:val="000000"/>
                <w:sz w:val="20"/>
                <w:szCs w:val="20"/>
              </w:rPr>
              <w:t xml:space="preserve"> Mgr.</w:t>
            </w:r>
          </w:p>
        </w:tc>
        <w:tc>
          <w:tcPr>
            <w:tcW w:w="5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5384D" w:rsidRPr="00835820" w:rsidP="004D4B61" w14:paraId="2CE87E38"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Atty.</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5384D" w:rsidRPr="00835820" w:rsidP="004D4B61" w14:paraId="6E3EF45F"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Eng.</w:t>
            </w:r>
          </w:p>
        </w:tc>
        <w:tc>
          <w:tcPr>
            <w:tcW w:w="5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5384D" w:rsidRPr="00835820" w:rsidP="004D4B61" w14:paraId="0031CC0A"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Prod. Staff</w:t>
            </w:r>
          </w:p>
        </w:tc>
        <w:tc>
          <w:tcPr>
            <w:tcW w:w="69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C5384D" w:rsidRPr="00835820" w:rsidP="004D4B61" w14:paraId="116D41ED"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Facility Cost</w:t>
            </w:r>
          </w:p>
        </w:tc>
      </w:tr>
      <w:tr w14:paraId="27B73AA1" w14:textId="77777777" w:rsidTr="00835820">
        <w:tblPrEx>
          <w:tblW w:w="3742" w:type="pct"/>
          <w:jc w:val="center"/>
          <w:tblLook w:val="04A0"/>
        </w:tblPrEx>
        <w:trPr>
          <w:trHeight w:val="317"/>
          <w:jc w:val="center"/>
        </w:trPr>
        <w:tc>
          <w:tcPr>
            <w:tcW w:w="1444" w:type="pct"/>
            <w:tcBorders>
              <w:top w:val="nil"/>
              <w:left w:val="single" w:sz="4" w:space="0" w:color="auto"/>
              <w:bottom w:val="single" w:sz="4" w:space="0" w:color="auto"/>
              <w:right w:val="single" w:sz="4" w:space="0" w:color="auto"/>
            </w:tcBorders>
            <w:shd w:val="clear" w:color="auto" w:fill="auto"/>
            <w:vAlign w:val="center"/>
            <w:hideMark/>
          </w:tcPr>
          <w:p w:rsidR="00C5384D" w:rsidRPr="00835820" w:rsidP="00835820" w14:paraId="798A9777"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Simple (&lt;20 FTE)</w:t>
            </w:r>
          </w:p>
        </w:tc>
        <w:tc>
          <w:tcPr>
            <w:tcW w:w="668" w:type="pct"/>
            <w:tcBorders>
              <w:top w:val="nil"/>
              <w:left w:val="nil"/>
              <w:bottom w:val="single" w:sz="4" w:space="0" w:color="auto"/>
              <w:right w:val="single" w:sz="4" w:space="0" w:color="auto"/>
            </w:tcBorders>
            <w:shd w:val="clear" w:color="auto" w:fill="auto"/>
            <w:noWrap/>
            <w:vAlign w:val="center"/>
          </w:tcPr>
          <w:p w:rsidR="00C5384D" w:rsidRPr="00835820" w:rsidP="004D4B61" w14:paraId="54E1B2AE"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625" w:type="pct"/>
            <w:tcBorders>
              <w:top w:val="nil"/>
              <w:left w:val="nil"/>
              <w:bottom w:val="single" w:sz="4" w:space="0" w:color="auto"/>
              <w:right w:val="single" w:sz="4" w:space="0" w:color="auto"/>
            </w:tcBorders>
            <w:shd w:val="clear" w:color="auto" w:fill="auto"/>
            <w:noWrap/>
            <w:vAlign w:val="center"/>
            <w:hideMark/>
          </w:tcPr>
          <w:p w:rsidR="00C5384D" w:rsidRPr="00835820" w:rsidP="004D4B61" w14:paraId="7190A030"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23" w:type="pct"/>
            <w:tcBorders>
              <w:top w:val="nil"/>
              <w:left w:val="nil"/>
              <w:bottom w:val="single" w:sz="4" w:space="0" w:color="auto"/>
              <w:right w:val="single" w:sz="4" w:space="0" w:color="auto"/>
            </w:tcBorders>
            <w:shd w:val="clear" w:color="auto" w:fill="auto"/>
            <w:noWrap/>
            <w:vAlign w:val="center"/>
            <w:hideMark/>
          </w:tcPr>
          <w:p w:rsidR="00C5384D" w:rsidRPr="00835820" w:rsidP="004D4B61" w14:paraId="545E4F9E"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481" w:type="pct"/>
            <w:tcBorders>
              <w:top w:val="nil"/>
              <w:left w:val="nil"/>
              <w:bottom w:val="single" w:sz="4" w:space="0" w:color="auto"/>
              <w:right w:val="single" w:sz="4" w:space="0" w:color="auto"/>
            </w:tcBorders>
            <w:shd w:val="clear" w:color="auto" w:fill="auto"/>
            <w:noWrap/>
            <w:vAlign w:val="center"/>
            <w:hideMark/>
          </w:tcPr>
          <w:p w:rsidR="00C5384D" w:rsidRPr="00835820" w:rsidP="004D4B61" w14:paraId="412135BE"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1</w:t>
            </w:r>
          </w:p>
        </w:tc>
        <w:tc>
          <w:tcPr>
            <w:tcW w:w="562" w:type="pct"/>
            <w:tcBorders>
              <w:top w:val="nil"/>
              <w:left w:val="nil"/>
              <w:bottom w:val="single" w:sz="4" w:space="0" w:color="auto"/>
              <w:right w:val="single" w:sz="4" w:space="0" w:color="auto"/>
            </w:tcBorders>
            <w:shd w:val="clear" w:color="auto" w:fill="auto"/>
            <w:noWrap/>
            <w:vAlign w:val="center"/>
            <w:hideMark/>
          </w:tcPr>
          <w:p w:rsidR="00C5384D" w:rsidRPr="00835820" w:rsidP="004D4B61" w14:paraId="32178F98"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0.5</w:t>
            </w:r>
          </w:p>
        </w:tc>
        <w:tc>
          <w:tcPr>
            <w:tcW w:w="696" w:type="pct"/>
            <w:tcBorders>
              <w:top w:val="nil"/>
              <w:left w:val="nil"/>
              <w:bottom w:val="single" w:sz="4" w:space="0" w:color="auto"/>
              <w:right w:val="single" w:sz="4" w:space="0" w:color="auto"/>
            </w:tcBorders>
            <w:vAlign w:val="center"/>
          </w:tcPr>
          <w:p w:rsidR="00C5384D" w:rsidRPr="00835820" w:rsidP="004D4B61" w14:paraId="4CEC7E54" w14:textId="77777777">
            <w:pPr>
              <w:keepNext/>
              <w:spacing w:after="0" w:line="240" w:lineRule="auto"/>
              <w:jc w:val="center"/>
              <w:rPr>
                <w:rFonts w:ascii="Times New Roman" w:hAnsi="Times New Roman" w:cs="Times New Roman"/>
                <w:color w:val="000000"/>
                <w:sz w:val="20"/>
                <w:szCs w:val="20"/>
                <w:highlight w:val="yellow"/>
              </w:rPr>
            </w:pPr>
            <w:r w:rsidRPr="00835820">
              <w:rPr>
                <w:rFonts w:ascii="Times New Roman" w:hAnsi="Times New Roman" w:cs="Times New Roman"/>
                <w:color w:val="000000"/>
                <w:sz w:val="20"/>
                <w:szCs w:val="20"/>
              </w:rPr>
              <w:t>$</w:t>
            </w:r>
            <w:r w:rsidR="003E1868">
              <w:rPr>
                <w:rFonts w:ascii="Times New Roman" w:hAnsi="Times New Roman" w:cs="Times New Roman"/>
                <w:color w:val="000000"/>
                <w:sz w:val="20"/>
                <w:szCs w:val="20"/>
              </w:rPr>
              <w:t>9</w:t>
            </w:r>
            <w:r w:rsidR="00D13F49">
              <w:rPr>
                <w:rFonts w:ascii="Times New Roman" w:hAnsi="Times New Roman" w:cs="Times New Roman"/>
                <w:color w:val="000000"/>
                <w:sz w:val="20"/>
                <w:szCs w:val="20"/>
              </w:rPr>
              <w:t>6</w:t>
            </w:r>
          </w:p>
        </w:tc>
      </w:tr>
      <w:tr w14:paraId="5572E621" w14:textId="77777777" w:rsidTr="00835820">
        <w:tblPrEx>
          <w:tblW w:w="3742" w:type="pct"/>
          <w:jc w:val="center"/>
          <w:tblLook w:val="04A0"/>
        </w:tblPrEx>
        <w:trPr>
          <w:trHeight w:val="249"/>
          <w:jc w:val="center"/>
        </w:trPr>
        <w:tc>
          <w:tcPr>
            <w:tcW w:w="1444" w:type="pct"/>
            <w:tcBorders>
              <w:top w:val="nil"/>
              <w:left w:val="single" w:sz="4" w:space="0" w:color="auto"/>
              <w:bottom w:val="single" w:sz="4" w:space="0" w:color="auto"/>
              <w:right w:val="single" w:sz="4" w:space="0" w:color="auto"/>
            </w:tcBorders>
            <w:shd w:val="clear" w:color="auto" w:fill="auto"/>
            <w:vAlign w:val="center"/>
          </w:tcPr>
          <w:p w:rsidR="00C5384D" w:rsidRPr="00835820" w:rsidP="00835820" w14:paraId="3B50EB5C"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Simple (20+ FTE)</w:t>
            </w:r>
          </w:p>
        </w:tc>
        <w:tc>
          <w:tcPr>
            <w:tcW w:w="668" w:type="pct"/>
            <w:tcBorders>
              <w:top w:val="nil"/>
              <w:left w:val="nil"/>
              <w:bottom w:val="single" w:sz="4" w:space="0" w:color="auto"/>
              <w:right w:val="single" w:sz="4" w:space="0" w:color="auto"/>
            </w:tcBorders>
            <w:shd w:val="clear" w:color="auto" w:fill="auto"/>
            <w:noWrap/>
            <w:vAlign w:val="center"/>
          </w:tcPr>
          <w:p w:rsidR="00C5384D" w:rsidRPr="00835820" w:rsidP="004D4B61" w14:paraId="2A61FD18"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625" w:type="pct"/>
            <w:tcBorders>
              <w:top w:val="nil"/>
              <w:left w:val="nil"/>
              <w:bottom w:val="single" w:sz="4" w:space="0" w:color="auto"/>
              <w:right w:val="single" w:sz="4" w:space="0" w:color="auto"/>
            </w:tcBorders>
            <w:shd w:val="clear" w:color="auto" w:fill="auto"/>
            <w:noWrap/>
            <w:vAlign w:val="center"/>
          </w:tcPr>
          <w:p w:rsidR="00C5384D" w:rsidRPr="00835820" w:rsidP="004D4B61" w14:paraId="0C373EF0"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23" w:type="pct"/>
            <w:tcBorders>
              <w:top w:val="nil"/>
              <w:left w:val="nil"/>
              <w:bottom w:val="single" w:sz="4" w:space="0" w:color="auto"/>
              <w:right w:val="single" w:sz="4" w:space="0" w:color="auto"/>
            </w:tcBorders>
            <w:shd w:val="clear" w:color="auto" w:fill="auto"/>
            <w:noWrap/>
            <w:vAlign w:val="center"/>
          </w:tcPr>
          <w:p w:rsidR="00C5384D" w:rsidRPr="00835820" w:rsidP="004D4B61" w14:paraId="3E764006"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481" w:type="pct"/>
            <w:tcBorders>
              <w:top w:val="nil"/>
              <w:left w:val="nil"/>
              <w:bottom w:val="single" w:sz="4" w:space="0" w:color="auto"/>
              <w:right w:val="single" w:sz="4" w:space="0" w:color="auto"/>
            </w:tcBorders>
            <w:shd w:val="clear" w:color="auto" w:fill="auto"/>
            <w:noWrap/>
            <w:vAlign w:val="center"/>
          </w:tcPr>
          <w:p w:rsidR="00C5384D" w:rsidRPr="00835820" w:rsidP="004D4B61" w14:paraId="598300EB"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3</w:t>
            </w:r>
          </w:p>
        </w:tc>
        <w:tc>
          <w:tcPr>
            <w:tcW w:w="562" w:type="pct"/>
            <w:tcBorders>
              <w:top w:val="nil"/>
              <w:left w:val="nil"/>
              <w:bottom w:val="single" w:sz="4" w:space="0" w:color="auto"/>
              <w:right w:val="single" w:sz="4" w:space="0" w:color="auto"/>
            </w:tcBorders>
            <w:shd w:val="clear" w:color="auto" w:fill="auto"/>
            <w:noWrap/>
            <w:vAlign w:val="center"/>
          </w:tcPr>
          <w:p w:rsidR="00C5384D" w:rsidRPr="00835820" w:rsidP="004D4B61" w14:paraId="11C70FF1"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0.5</w:t>
            </w:r>
          </w:p>
        </w:tc>
        <w:tc>
          <w:tcPr>
            <w:tcW w:w="696" w:type="pct"/>
            <w:tcBorders>
              <w:top w:val="nil"/>
              <w:left w:val="nil"/>
              <w:bottom w:val="single" w:sz="4" w:space="0" w:color="auto"/>
              <w:right w:val="single" w:sz="4" w:space="0" w:color="auto"/>
            </w:tcBorders>
            <w:vAlign w:val="center"/>
          </w:tcPr>
          <w:p w:rsidR="00C5384D" w:rsidRPr="00835820" w:rsidP="004D4B61" w14:paraId="1CBB387D" w14:textId="77777777">
            <w:pPr>
              <w:keepNext/>
              <w:spacing w:after="0" w:line="240" w:lineRule="auto"/>
              <w:jc w:val="center"/>
              <w:rPr>
                <w:rFonts w:ascii="Times New Roman" w:hAnsi="Times New Roman" w:cs="Times New Roman"/>
                <w:color w:val="000000"/>
                <w:sz w:val="20"/>
                <w:szCs w:val="20"/>
                <w:highlight w:val="yellow"/>
              </w:rPr>
            </w:pPr>
            <w:r w:rsidRPr="00835820">
              <w:rPr>
                <w:rFonts w:ascii="Times New Roman" w:hAnsi="Times New Roman" w:cs="Times New Roman"/>
                <w:color w:val="000000"/>
                <w:sz w:val="20"/>
                <w:szCs w:val="20"/>
              </w:rPr>
              <w:t>$</w:t>
            </w:r>
            <w:r w:rsidR="00FF7202">
              <w:rPr>
                <w:rFonts w:ascii="Times New Roman" w:hAnsi="Times New Roman" w:cs="Times New Roman"/>
                <w:color w:val="000000"/>
                <w:sz w:val="20"/>
                <w:szCs w:val="20"/>
              </w:rPr>
              <w:t>245</w:t>
            </w:r>
          </w:p>
        </w:tc>
      </w:tr>
      <w:tr w14:paraId="428D33D9" w14:textId="77777777" w:rsidTr="00835820">
        <w:tblPrEx>
          <w:tblW w:w="3742" w:type="pct"/>
          <w:jc w:val="center"/>
          <w:tblLook w:val="04A0"/>
        </w:tblPrEx>
        <w:trPr>
          <w:trHeight w:val="249"/>
          <w:jc w:val="center"/>
        </w:trPr>
        <w:tc>
          <w:tcPr>
            <w:tcW w:w="1444" w:type="pct"/>
            <w:tcBorders>
              <w:top w:val="nil"/>
              <w:left w:val="single" w:sz="4" w:space="0" w:color="auto"/>
              <w:bottom w:val="single" w:sz="4" w:space="0" w:color="auto"/>
              <w:right w:val="single" w:sz="4" w:space="0" w:color="auto"/>
            </w:tcBorders>
            <w:shd w:val="clear" w:color="auto" w:fill="auto"/>
            <w:vAlign w:val="center"/>
          </w:tcPr>
          <w:p w:rsidR="00C5384D" w:rsidRPr="00835820" w:rsidP="00835820" w14:paraId="33F36E35"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Complex (&lt;20 FTE)</w:t>
            </w:r>
          </w:p>
        </w:tc>
        <w:tc>
          <w:tcPr>
            <w:tcW w:w="668" w:type="pct"/>
            <w:tcBorders>
              <w:top w:val="nil"/>
              <w:left w:val="nil"/>
              <w:bottom w:val="single" w:sz="4" w:space="0" w:color="auto"/>
              <w:right w:val="single" w:sz="4" w:space="0" w:color="auto"/>
            </w:tcBorders>
            <w:shd w:val="clear" w:color="auto" w:fill="auto"/>
            <w:noWrap/>
            <w:vAlign w:val="center"/>
          </w:tcPr>
          <w:p w:rsidR="00C5384D" w:rsidRPr="00835820" w:rsidP="004D4B61" w14:paraId="1CD7C883"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625" w:type="pct"/>
            <w:tcBorders>
              <w:top w:val="nil"/>
              <w:left w:val="nil"/>
              <w:bottom w:val="single" w:sz="4" w:space="0" w:color="auto"/>
              <w:right w:val="single" w:sz="4" w:space="0" w:color="auto"/>
            </w:tcBorders>
            <w:shd w:val="clear" w:color="auto" w:fill="auto"/>
            <w:noWrap/>
            <w:vAlign w:val="center"/>
          </w:tcPr>
          <w:p w:rsidR="00C5384D" w:rsidRPr="00835820" w:rsidP="004D4B61" w14:paraId="1D341A97"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23" w:type="pct"/>
            <w:tcBorders>
              <w:top w:val="nil"/>
              <w:left w:val="nil"/>
              <w:bottom w:val="single" w:sz="4" w:space="0" w:color="auto"/>
              <w:right w:val="single" w:sz="4" w:space="0" w:color="auto"/>
            </w:tcBorders>
            <w:shd w:val="clear" w:color="auto" w:fill="auto"/>
            <w:noWrap/>
            <w:vAlign w:val="center"/>
          </w:tcPr>
          <w:p w:rsidR="00C5384D" w:rsidRPr="00835820" w:rsidP="004D4B61" w14:paraId="72ECD3E4"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481" w:type="pct"/>
            <w:tcBorders>
              <w:top w:val="nil"/>
              <w:left w:val="nil"/>
              <w:bottom w:val="single" w:sz="4" w:space="0" w:color="auto"/>
              <w:right w:val="single" w:sz="4" w:space="0" w:color="auto"/>
            </w:tcBorders>
            <w:shd w:val="clear" w:color="auto" w:fill="auto"/>
            <w:noWrap/>
            <w:vAlign w:val="center"/>
          </w:tcPr>
          <w:p w:rsidR="00C5384D" w:rsidRPr="00835820" w:rsidP="004D4B61" w14:paraId="0289C526"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1</w:t>
            </w:r>
          </w:p>
        </w:tc>
        <w:tc>
          <w:tcPr>
            <w:tcW w:w="562" w:type="pct"/>
            <w:tcBorders>
              <w:top w:val="nil"/>
              <w:left w:val="nil"/>
              <w:bottom w:val="single" w:sz="4" w:space="0" w:color="auto"/>
              <w:right w:val="single" w:sz="4" w:space="0" w:color="auto"/>
            </w:tcBorders>
            <w:shd w:val="clear" w:color="auto" w:fill="auto"/>
            <w:noWrap/>
            <w:vAlign w:val="center"/>
          </w:tcPr>
          <w:p w:rsidR="00C5384D" w:rsidRPr="00835820" w:rsidP="004D4B61" w14:paraId="7A5CE4E5"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0.5</w:t>
            </w:r>
          </w:p>
        </w:tc>
        <w:tc>
          <w:tcPr>
            <w:tcW w:w="696" w:type="pct"/>
            <w:tcBorders>
              <w:top w:val="nil"/>
              <w:left w:val="nil"/>
              <w:bottom w:val="single" w:sz="4" w:space="0" w:color="auto"/>
              <w:right w:val="single" w:sz="4" w:space="0" w:color="auto"/>
            </w:tcBorders>
            <w:vAlign w:val="center"/>
          </w:tcPr>
          <w:p w:rsidR="00C5384D" w:rsidRPr="00835820" w:rsidP="004D4B61" w14:paraId="58C617D5" w14:textId="77777777">
            <w:pPr>
              <w:keepNext/>
              <w:spacing w:after="0" w:line="240" w:lineRule="auto"/>
              <w:jc w:val="center"/>
              <w:rPr>
                <w:rFonts w:ascii="Times New Roman" w:hAnsi="Times New Roman" w:cs="Times New Roman"/>
                <w:color w:val="000000"/>
                <w:sz w:val="20"/>
                <w:szCs w:val="20"/>
                <w:highlight w:val="yellow"/>
              </w:rPr>
            </w:pPr>
            <w:r w:rsidRPr="00835820">
              <w:rPr>
                <w:rFonts w:ascii="Times New Roman" w:hAnsi="Times New Roman" w:cs="Times New Roman"/>
                <w:color w:val="000000"/>
                <w:sz w:val="20"/>
                <w:szCs w:val="20"/>
              </w:rPr>
              <w:t>$</w:t>
            </w:r>
            <w:r w:rsidRPr="00835820" w:rsidR="00C72817">
              <w:rPr>
                <w:rFonts w:ascii="Times New Roman" w:hAnsi="Times New Roman" w:cs="Times New Roman"/>
                <w:color w:val="000000"/>
                <w:sz w:val="20"/>
                <w:szCs w:val="20"/>
              </w:rPr>
              <w:t>1</w:t>
            </w:r>
            <w:r w:rsidR="00FF7202">
              <w:rPr>
                <w:rFonts w:ascii="Times New Roman" w:hAnsi="Times New Roman" w:cs="Times New Roman"/>
                <w:color w:val="000000"/>
                <w:sz w:val="20"/>
                <w:szCs w:val="20"/>
              </w:rPr>
              <w:t>32</w:t>
            </w:r>
          </w:p>
        </w:tc>
      </w:tr>
      <w:tr w14:paraId="49D2C6E0" w14:textId="77777777" w:rsidTr="00835820">
        <w:tblPrEx>
          <w:tblW w:w="3742" w:type="pct"/>
          <w:jc w:val="center"/>
          <w:tblLook w:val="04A0"/>
        </w:tblPrEx>
        <w:trPr>
          <w:trHeight w:val="253"/>
          <w:jc w:val="center"/>
        </w:trPr>
        <w:tc>
          <w:tcPr>
            <w:tcW w:w="1444" w:type="pct"/>
            <w:tcBorders>
              <w:top w:val="nil"/>
              <w:left w:val="single" w:sz="4" w:space="0" w:color="auto"/>
              <w:bottom w:val="single" w:sz="4" w:space="0" w:color="auto"/>
              <w:right w:val="single" w:sz="4" w:space="0" w:color="auto"/>
            </w:tcBorders>
            <w:shd w:val="clear" w:color="auto" w:fill="auto"/>
            <w:vAlign w:val="center"/>
            <w:hideMark/>
          </w:tcPr>
          <w:p w:rsidR="00C5384D" w:rsidRPr="00835820" w:rsidP="00835820" w14:paraId="3E0AF422"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Complex (20+ FTE)</w:t>
            </w:r>
          </w:p>
        </w:tc>
        <w:tc>
          <w:tcPr>
            <w:tcW w:w="668" w:type="pct"/>
            <w:tcBorders>
              <w:top w:val="nil"/>
              <w:left w:val="nil"/>
              <w:bottom w:val="single" w:sz="4" w:space="0" w:color="auto"/>
              <w:right w:val="single" w:sz="4" w:space="0" w:color="auto"/>
            </w:tcBorders>
            <w:shd w:val="clear" w:color="auto" w:fill="auto"/>
            <w:noWrap/>
            <w:vAlign w:val="center"/>
          </w:tcPr>
          <w:p w:rsidR="00C5384D" w:rsidRPr="00835820" w:rsidP="004D4B61" w14:paraId="45449032"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625" w:type="pct"/>
            <w:tcBorders>
              <w:top w:val="nil"/>
              <w:left w:val="nil"/>
              <w:bottom w:val="single" w:sz="4" w:space="0" w:color="auto"/>
              <w:right w:val="single" w:sz="4" w:space="0" w:color="auto"/>
            </w:tcBorders>
            <w:shd w:val="clear" w:color="auto" w:fill="auto"/>
            <w:noWrap/>
            <w:vAlign w:val="center"/>
            <w:hideMark/>
          </w:tcPr>
          <w:p w:rsidR="00C5384D" w:rsidRPr="00835820" w:rsidP="004D4B61" w14:paraId="725CB1D1"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23" w:type="pct"/>
            <w:tcBorders>
              <w:top w:val="nil"/>
              <w:left w:val="nil"/>
              <w:bottom w:val="single" w:sz="4" w:space="0" w:color="auto"/>
              <w:right w:val="single" w:sz="4" w:space="0" w:color="auto"/>
            </w:tcBorders>
            <w:shd w:val="clear" w:color="auto" w:fill="auto"/>
            <w:noWrap/>
            <w:vAlign w:val="center"/>
            <w:hideMark/>
          </w:tcPr>
          <w:p w:rsidR="00C5384D" w:rsidRPr="00835820" w:rsidP="004D4B61" w14:paraId="691E8F17"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481" w:type="pct"/>
            <w:tcBorders>
              <w:top w:val="nil"/>
              <w:left w:val="nil"/>
              <w:bottom w:val="single" w:sz="4" w:space="0" w:color="auto"/>
              <w:right w:val="single" w:sz="4" w:space="0" w:color="auto"/>
            </w:tcBorders>
            <w:shd w:val="clear" w:color="auto" w:fill="auto"/>
            <w:noWrap/>
            <w:vAlign w:val="center"/>
            <w:hideMark/>
          </w:tcPr>
          <w:p w:rsidR="00C5384D" w:rsidRPr="00835820" w:rsidP="004D4B61" w14:paraId="54646269"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3</w:t>
            </w:r>
          </w:p>
        </w:tc>
        <w:tc>
          <w:tcPr>
            <w:tcW w:w="562" w:type="pct"/>
            <w:tcBorders>
              <w:top w:val="nil"/>
              <w:left w:val="nil"/>
              <w:bottom w:val="single" w:sz="4" w:space="0" w:color="auto"/>
              <w:right w:val="single" w:sz="4" w:space="0" w:color="auto"/>
            </w:tcBorders>
            <w:shd w:val="clear" w:color="auto" w:fill="auto"/>
            <w:noWrap/>
            <w:vAlign w:val="center"/>
            <w:hideMark/>
          </w:tcPr>
          <w:p w:rsidR="00C5384D" w:rsidRPr="00835820" w:rsidP="004D4B61" w14:paraId="2A20360E"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0.5</w:t>
            </w:r>
          </w:p>
        </w:tc>
        <w:tc>
          <w:tcPr>
            <w:tcW w:w="696" w:type="pct"/>
            <w:tcBorders>
              <w:top w:val="nil"/>
              <w:left w:val="nil"/>
              <w:bottom w:val="single" w:sz="4" w:space="0" w:color="auto"/>
              <w:right w:val="single" w:sz="4" w:space="0" w:color="auto"/>
            </w:tcBorders>
            <w:vAlign w:val="center"/>
          </w:tcPr>
          <w:p w:rsidR="00C5384D" w:rsidRPr="00835820" w:rsidP="004D4B61" w14:paraId="30C67DBF" w14:textId="77777777">
            <w:pPr>
              <w:keepNext/>
              <w:spacing w:after="0" w:line="240" w:lineRule="auto"/>
              <w:jc w:val="center"/>
              <w:rPr>
                <w:rFonts w:ascii="Times New Roman" w:hAnsi="Times New Roman" w:cs="Times New Roman"/>
                <w:color w:val="000000"/>
                <w:sz w:val="20"/>
                <w:szCs w:val="20"/>
                <w:highlight w:val="yellow"/>
              </w:rPr>
            </w:pPr>
            <w:r w:rsidRPr="00835820">
              <w:rPr>
                <w:rFonts w:ascii="Times New Roman" w:hAnsi="Times New Roman" w:cs="Times New Roman"/>
                <w:color w:val="000000"/>
                <w:sz w:val="20"/>
                <w:szCs w:val="20"/>
              </w:rPr>
              <w:t>$</w:t>
            </w:r>
            <w:r w:rsidRPr="00835820" w:rsidR="00C72817">
              <w:rPr>
                <w:rFonts w:ascii="Times New Roman" w:hAnsi="Times New Roman" w:cs="Times New Roman"/>
                <w:color w:val="000000"/>
                <w:sz w:val="20"/>
                <w:szCs w:val="20"/>
              </w:rPr>
              <w:t>33</w:t>
            </w:r>
            <w:r w:rsidR="00FF7202">
              <w:rPr>
                <w:rFonts w:ascii="Times New Roman" w:hAnsi="Times New Roman" w:cs="Times New Roman"/>
                <w:color w:val="000000"/>
                <w:sz w:val="20"/>
                <w:szCs w:val="20"/>
              </w:rPr>
              <w:t>1</w:t>
            </w:r>
          </w:p>
        </w:tc>
      </w:tr>
    </w:tbl>
    <w:p w:rsidR="00C5384D" w:rsidRPr="004D4B61" w:rsidP="004D4B61" w14:paraId="36246BF2" w14:textId="77777777">
      <w:pPr>
        <w:spacing w:after="0" w:line="240" w:lineRule="auto"/>
        <w:ind w:firstLine="720"/>
        <w:rPr>
          <w:rFonts w:ascii="Times New Roman" w:hAnsi="Times New Roman" w:cs="Times New Roman"/>
        </w:rPr>
      </w:pPr>
      <w:r w:rsidRPr="004D4B61">
        <w:rPr>
          <w:rFonts w:ascii="Times New Roman" w:hAnsi="Times New Roman" w:cs="Times New Roman"/>
        </w:rPr>
        <w:t xml:space="preserve">   </w:t>
      </w:r>
    </w:p>
    <w:p w:rsidR="00C5384D" w:rsidRPr="004D4B61" w:rsidP="00835820" w14:paraId="2E4E0452" w14:textId="77777777">
      <w:pPr>
        <w:spacing w:after="0" w:line="240" w:lineRule="auto"/>
        <w:ind w:firstLine="360"/>
        <w:rPr>
          <w:rFonts w:ascii="Times New Roman" w:eastAsia="Calibri" w:hAnsi="Times New Roman" w:cs="Times New Roman"/>
          <w:kern w:val="24"/>
        </w:rPr>
      </w:pPr>
      <w:r>
        <w:rPr>
          <w:rFonts w:ascii="Times New Roman" w:eastAsia="Calibri" w:hAnsi="Times New Roman" w:cs="Times New Roman"/>
          <w:kern w:val="24"/>
        </w:rPr>
        <w:tab/>
      </w:r>
      <w:r w:rsidRPr="004D4B61">
        <w:rPr>
          <w:rFonts w:ascii="Times New Roman" w:eastAsia="Calibri" w:hAnsi="Times New Roman" w:cs="Times New Roman"/>
          <w:kern w:val="24"/>
        </w:rPr>
        <w:t>Facilities with Program 3 processes will need to update</w:t>
      </w:r>
      <w:r w:rsidRPr="004D4B61" w:rsidR="002E65E5">
        <w:rPr>
          <w:rFonts w:ascii="Times New Roman" w:eastAsia="Calibri" w:hAnsi="Times New Roman" w:cs="Times New Roman"/>
          <w:kern w:val="24"/>
        </w:rPr>
        <w:t xml:space="preserve"> </w:t>
      </w:r>
      <w:r w:rsidR="005C1B6F">
        <w:rPr>
          <w:rFonts w:ascii="Times New Roman" w:eastAsia="Calibri" w:hAnsi="Times New Roman" w:cs="Times New Roman"/>
          <w:kern w:val="24"/>
        </w:rPr>
        <w:t>current</w:t>
      </w:r>
      <w:r w:rsidRPr="004D4B61">
        <w:rPr>
          <w:rFonts w:ascii="Times New Roman" w:eastAsia="Calibri" w:hAnsi="Times New Roman" w:cs="Times New Roman"/>
          <w:kern w:val="24"/>
        </w:rPr>
        <w:t xml:space="preserve"> </w:t>
      </w:r>
      <w:r w:rsidRPr="004D4B61" w:rsidR="00354D92">
        <w:rPr>
          <w:rFonts w:ascii="Times New Roman" w:eastAsia="Calibri" w:hAnsi="Times New Roman" w:cs="Times New Roman"/>
          <w:kern w:val="24"/>
        </w:rPr>
        <w:t>employee participation plan</w:t>
      </w:r>
      <w:r w:rsidRPr="004D4B61" w:rsidR="00995B13">
        <w:rPr>
          <w:rFonts w:ascii="Times New Roman" w:eastAsia="Calibri" w:hAnsi="Times New Roman" w:cs="Times New Roman"/>
          <w:kern w:val="24"/>
        </w:rPr>
        <w:t>s</w:t>
      </w:r>
      <w:r w:rsidRPr="004D4B61">
        <w:rPr>
          <w:rFonts w:ascii="Times New Roman" w:eastAsia="Calibri" w:hAnsi="Times New Roman" w:cs="Times New Roman"/>
          <w:kern w:val="24"/>
        </w:rPr>
        <w:t xml:space="preserve">. EPA assumes that this </w:t>
      </w:r>
      <w:r w:rsidR="009449B7">
        <w:rPr>
          <w:rFonts w:ascii="Times New Roman" w:eastAsia="Calibri" w:hAnsi="Times New Roman" w:cs="Times New Roman"/>
          <w:kern w:val="24"/>
        </w:rPr>
        <w:t>will</w:t>
      </w:r>
      <w:r w:rsidRPr="004D4B61">
        <w:rPr>
          <w:rFonts w:ascii="Times New Roman" w:eastAsia="Calibri" w:hAnsi="Times New Roman" w:cs="Times New Roman"/>
          <w:kern w:val="24"/>
        </w:rPr>
        <w:t xml:space="preserve"> be a minimal effort, and that regardless of facility complexity, 0.5 hours for an engineer and 0.5 hours for a production level staff </w:t>
      </w:r>
      <w:r w:rsidR="009449B7">
        <w:rPr>
          <w:rFonts w:ascii="Times New Roman" w:eastAsia="Calibri" w:hAnsi="Times New Roman" w:cs="Times New Roman"/>
          <w:kern w:val="24"/>
        </w:rPr>
        <w:t>will</w:t>
      </w:r>
      <w:r w:rsidRPr="004D4B61">
        <w:rPr>
          <w:rFonts w:ascii="Times New Roman" w:eastAsia="Calibri" w:hAnsi="Times New Roman" w:cs="Times New Roman"/>
          <w:kern w:val="24"/>
        </w:rPr>
        <w:t xml:space="preserve"> be required.</w:t>
      </w:r>
      <w:r w:rsidRPr="004D4B61" w:rsidR="0056591B">
        <w:rPr>
          <w:rFonts w:ascii="Times New Roman" w:eastAsia="Calibri" w:hAnsi="Times New Roman" w:cs="Times New Roman"/>
          <w:kern w:val="24"/>
        </w:rPr>
        <w:t xml:space="preserve"> </w:t>
      </w:r>
      <w:r w:rsidRPr="004D4B61" w:rsidR="00085DEA">
        <w:rPr>
          <w:rFonts w:ascii="Times New Roman" w:eastAsia="Calibri" w:hAnsi="Times New Roman" w:cs="Times New Roman"/>
          <w:kern w:val="24"/>
        </w:rPr>
        <w:t>The resulting unit costs, and these assumptions, are presented in Exhibit 4-</w:t>
      </w:r>
      <w:r w:rsidR="00E84C1A">
        <w:rPr>
          <w:rFonts w:ascii="Times New Roman" w:eastAsia="Calibri" w:hAnsi="Times New Roman" w:cs="Times New Roman"/>
          <w:kern w:val="24"/>
        </w:rPr>
        <w:t>10</w:t>
      </w:r>
      <w:r w:rsidRPr="004D4B61" w:rsidR="00085DEA">
        <w:rPr>
          <w:rFonts w:ascii="Times New Roman" w:eastAsia="Calibri" w:hAnsi="Times New Roman" w:cs="Times New Roman"/>
          <w:kern w:val="24"/>
        </w:rPr>
        <w:t>.</w:t>
      </w:r>
    </w:p>
    <w:p w:rsidR="0051219A" w:rsidRPr="004D4B61" w:rsidP="004D4B61" w14:paraId="02089CBA" w14:textId="77777777">
      <w:pPr>
        <w:keepNext/>
        <w:spacing w:after="0" w:line="240" w:lineRule="auto"/>
        <w:rPr>
          <w:rFonts w:ascii="Times New Roman" w:eastAsia="Calibri" w:hAnsi="Times New Roman" w:cs="Times New Roman"/>
          <w:kern w:val="24"/>
        </w:rPr>
      </w:pPr>
    </w:p>
    <w:p w:rsidR="00C5384D" w:rsidRPr="004D4B61" w:rsidP="004D4B61" w14:paraId="1F71445E" w14:textId="77777777">
      <w:pPr>
        <w:keepNext/>
        <w:spacing w:after="0" w:line="240" w:lineRule="auto"/>
        <w:jc w:val="center"/>
        <w:rPr>
          <w:rFonts w:ascii="Times New Roman" w:hAnsi="Times New Roman" w:cs="Times New Roman"/>
          <w:b/>
        </w:rPr>
      </w:pPr>
      <w:r w:rsidRPr="004D4B61">
        <w:rPr>
          <w:rFonts w:ascii="Times New Roman" w:hAnsi="Times New Roman" w:cs="Times New Roman"/>
          <w:b/>
        </w:rPr>
        <w:t>Exhibit 4-</w:t>
      </w:r>
      <w:r w:rsidR="00E84C1A">
        <w:rPr>
          <w:rFonts w:ascii="Times New Roman" w:hAnsi="Times New Roman" w:cs="Times New Roman"/>
          <w:b/>
        </w:rPr>
        <w:t>10</w:t>
      </w:r>
      <w:r w:rsidRPr="004D4B61">
        <w:rPr>
          <w:rFonts w:ascii="Times New Roman" w:hAnsi="Times New Roman" w:cs="Times New Roman"/>
          <w:b/>
        </w:rPr>
        <w:t xml:space="preserve">: Hourly </w:t>
      </w:r>
      <w:r w:rsidRPr="004D4B61" w:rsidR="008B3D42">
        <w:rPr>
          <w:rFonts w:ascii="Times New Roman" w:hAnsi="Times New Roman" w:cs="Times New Roman"/>
          <w:b/>
        </w:rPr>
        <w:t xml:space="preserve">Labor </w:t>
      </w:r>
      <w:r w:rsidRPr="004D4B61">
        <w:rPr>
          <w:rFonts w:ascii="Times New Roman" w:hAnsi="Times New Roman" w:cs="Times New Roman"/>
          <w:b/>
        </w:rPr>
        <w:t>and Unit Costs for Employee Participation Plan Update</w:t>
      </w:r>
      <w:r w:rsidR="004D2850">
        <w:rPr>
          <w:rFonts w:ascii="Times New Roman" w:hAnsi="Times New Roman" w:cs="Times New Roman"/>
          <w:b/>
        </w:rPr>
        <w:t xml:space="preserve"> </w:t>
      </w:r>
      <w:r w:rsidRPr="00835820" w:rsidR="004D2850">
        <w:rPr>
          <w:rFonts w:ascii="Times New Roman" w:hAnsi="Times New Roman" w:cs="Times New Roman"/>
          <w:b/>
          <w:bCs/>
        </w:rPr>
        <w:t>(202</w:t>
      </w:r>
      <w:r w:rsidR="00A60708">
        <w:rPr>
          <w:rFonts w:ascii="Times New Roman" w:hAnsi="Times New Roman" w:cs="Times New Roman"/>
          <w:b/>
          <w:bCs/>
        </w:rPr>
        <w:t>2</w:t>
      </w:r>
      <w:r w:rsidRPr="00835820" w:rsidR="004D2850">
        <w:rPr>
          <w:rFonts w:ascii="Times New Roman" w:hAnsi="Times New Roman" w:cs="Times New Roman"/>
          <w:b/>
          <w:bCs/>
        </w:rPr>
        <w:t xml:space="preserve"> dollars)</w:t>
      </w:r>
      <w:r w:rsidR="00835820">
        <w:rPr>
          <w:rFonts w:ascii="Times New Roman" w:hAnsi="Times New Roman" w:cs="Times New Roman"/>
          <w:b/>
          <w:bCs/>
        </w:rPr>
        <w:t>.</w:t>
      </w:r>
    </w:p>
    <w:p w:rsidR="00835820" w:rsidRPr="004D4B61" w:rsidP="004D4B61" w14:paraId="575897DA" w14:textId="77777777">
      <w:pPr>
        <w:keepNext/>
        <w:spacing w:after="0" w:line="240" w:lineRule="auto"/>
        <w:jc w:val="center"/>
        <w:rPr>
          <w:rFonts w:ascii="Times New Roman" w:hAnsi="Times New Roman" w:cs="Times New Roman"/>
          <w:b/>
          <w:bCs/>
        </w:rPr>
      </w:pPr>
    </w:p>
    <w:tbl>
      <w:tblPr>
        <w:tblW w:w="4076" w:type="pct"/>
        <w:jc w:val="center"/>
        <w:tblLook w:val="04A0"/>
      </w:tblPr>
      <w:tblGrid>
        <w:gridCol w:w="1786"/>
        <w:gridCol w:w="1143"/>
        <w:gridCol w:w="1143"/>
        <w:gridCol w:w="875"/>
        <w:gridCol w:w="902"/>
        <w:gridCol w:w="1143"/>
        <w:gridCol w:w="1136"/>
      </w:tblGrid>
      <w:tr w14:paraId="7D8478F9" w14:textId="77777777" w:rsidTr="00854214">
        <w:tblPrEx>
          <w:tblW w:w="4076" w:type="pct"/>
          <w:jc w:val="center"/>
          <w:tblLook w:val="04A0"/>
        </w:tblPrEx>
        <w:trPr>
          <w:trHeight w:val="221"/>
          <w:jc w:val="center"/>
        </w:trPr>
        <w:tc>
          <w:tcPr>
            <w:tcW w:w="1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C5384D" w:rsidRPr="00835820" w:rsidP="004D4B61" w14:paraId="7CC65E88"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Facility Type</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C5384D" w:rsidRPr="00835820" w:rsidP="004D4B61" w14:paraId="61258D87"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Mgr.</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C5384D" w:rsidRPr="00835820" w:rsidP="004D4B61" w14:paraId="78B35346"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Corp Mgr.</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C5384D" w:rsidRPr="00835820" w:rsidP="004D4B61" w14:paraId="128E9F77"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Atty.</w:t>
            </w:r>
          </w:p>
        </w:tc>
        <w:tc>
          <w:tcPr>
            <w:tcW w:w="55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C5384D" w:rsidRPr="00835820" w:rsidP="004D4B61" w14:paraId="0488559A"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Eng.</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C5384D" w:rsidRPr="00835820" w:rsidP="004D4B61" w14:paraId="7D489F5A"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Prod. Staff</w:t>
            </w:r>
          </w:p>
        </w:tc>
        <w:tc>
          <w:tcPr>
            <w:tcW w:w="699"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C5384D" w:rsidRPr="00835820" w:rsidP="004D4B61" w14:paraId="6616388D"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Facility Cost</w:t>
            </w:r>
          </w:p>
        </w:tc>
      </w:tr>
      <w:tr w14:paraId="7C86B72F" w14:textId="77777777" w:rsidTr="00854214">
        <w:tblPrEx>
          <w:tblW w:w="4076" w:type="pct"/>
          <w:jc w:val="center"/>
          <w:tblLook w:val="04A0"/>
        </w:tblPrEx>
        <w:trPr>
          <w:trHeight w:val="249"/>
          <w:jc w:val="center"/>
        </w:trPr>
        <w:tc>
          <w:tcPr>
            <w:tcW w:w="1099" w:type="pct"/>
            <w:tcBorders>
              <w:top w:val="nil"/>
              <w:left w:val="single" w:sz="4" w:space="0" w:color="auto"/>
              <w:bottom w:val="single" w:sz="4" w:space="0" w:color="auto"/>
              <w:right w:val="single" w:sz="4" w:space="0" w:color="auto"/>
            </w:tcBorders>
            <w:shd w:val="clear" w:color="auto" w:fill="auto"/>
            <w:vAlign w:val="bottom"/>
            <w:hideMark/>
          </w:tcPr>
          <w:p w:rsidR="00C5384D" w:rsidRPr="00835820" w:rsidP="004D4B61" w14:paraId="5E21DD0B" w14:textId="77777777">
            <w:pPr>
              <w:keepNext/>
              <w:spacing w:after="0" w:line="240" w:lineRule="auto"/>
              <w:rPr>
                <w:rFonts w:ascii="Times New Roman" w:hAnsi="Times New Roman" w:cs="Times New Roman"/>
                <w:color w:val="000000"/>
                <w:sz w:val="20"/>
                <w:szCs w:val="20"/>
              </w:rPr>
            </w:pPr>
            <w:r w:rsidRPr="00835820">
              <w:rPr>
                <w:rFonts w:ascii="Times New Roman" w:hAnsi="Times New Roman" w:cs="Times New Roman"/>
                <w:color w:val="000000"/>
                <w:sz w:val="20"/>
                <w:szCs w:val="20"/>
              </w:rPr>
              <w:t>Simple</w:t>
            </w:r>
          </w:p>
        </w:tc>
        <w:tc>
          <w:tcPr>
            <w:tcW w:w="703" w:type="pct"/>
            <w:tcBorders>
              <w:top w:val="nil"/>
              <w:left w:val="nil"/>
              <w:bottom w:val="single" w:sz="4" w:space="0" w:color="auto"/>
              <w:right w:val="single" w:sz="4" w:space="0" w:color="auto"/>
            </w:tcBorders>
            <w:shd w:val="clear" w:color="auto" w:fill="auto"/>
            <w:noWrap/>
            <w:vAlign w:val="bottom"/>
          </w:tcPr>
          <w:p w:rsidR="00C5384D" w:rsidRPr="00835820" w:rsidP="004D4B61" w14:paraId="5429E11C"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703" w:type="pct"/>
            <w:tcBorders>
              <w:top w:val="nil"/>
              <w:left w:val="nil"/>
              <w:bottom w:val="single" w:sz="4" w:space="0" w:color="auto"/>
              <w:right w:val="single" w:sz="4" w:space="0" w:color="auto"/>
            </w:tcBorders>
            <w:shd w:val="clear" w:color="auto" w:fill="auto"/>
            <w:noWrap/>
            <w:vAlign w:val="bottom"/>
            <w:hideMark/>
          </w:tcPr>
          <w:p w:rsidR="00C5384D" w:rsidRPr="00835820" w:rsidP="004D4B61" w14:paraId="65ADE183"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38" w:type="pct"/>
            <w:tcBorders>
              <w:top w:val="nil"/>
              <w:left w:val="nil"/>
              <w:bottom w:val="single" w:sz="4" w:space="0" w:color="auto"/>
              <w:right w:val="single" w:sz="4" w:space="0" w:color="auto"/>
            </w:tcBorders>
            <w:shd w:val="clear" w:color="auto" w:fill="auto"/>
            <w:noWrap/>
            <w:vAlign w:val="bottom"/>
            <w:hideMark/>
          </w:tcPr>
          <w:p w:rsidR="00C5384D" w:rsidRPr="00835820" w:rsidP="004D4B61" w14:paraId="5AB13F79"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55" w:type="pct"/>
            <w:tcBorders>
              <w:top w:val="nil"/>
              <w:left w:val="nil"/>
              <w:bottom w:val="single" w:sz="4" w:space="0" w:color="auto"/>
              <w:right w:val="single" w:sz="4" w:space="0" w:color="auto"/>
            </w:tcBorders>
            <w:shd w:val="clear" w:color="auto" w:fill="auto"/>
            <w:noWrap/>
            <w:vAlign w:val="bottom"/>
            <w:hideMark/>
          </w:tcPr>
          <w:p w:rsidR="00C5384D" w:rsidRPr="00835820" w:rsidP="004D4B61" w14:paraId="5CDCD97A"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0.5</w:t>
            </w:r>
          </w:p>
        </w:tc>
        <w:tc>
          <w:tcPr>
            <w:tcW w:w="703" w:type="pct"/>
            <w:tcBorders>
              <w:top w:val="nil"/>
              <w:left w:val="nil"/>
              <w:bottom w:val="single" w:sz="4" w:space="0" w:color="auto"/>
              <w:right w:val="single" w:sz="4" w:space="0" w:color="auto"/>
            </w:tcBorders>
            <w:shd w:val="clear" w:color="auto" w:fill="auto"/>
            <w:noWrap/>
            <w:vAlign w:val="bottom"/>
            <w:hideMark/>
          </w:tcPr>
          <w:p w:rsidR="00C5384D" w:rsidRPr="00835820" w:rsidP="004D4B61" w14:paraId="1F8FF2F7"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0.5</w:t>
            </w:r>
          </w:p>
        </w:tc>
        <w:tc>
          <w:tcPr>
            <w:tcW w:w="699" w:type="pct"/>
            <w:tcBorders>
              <w:top w:val="nil"/>
              <w:left w:val="nil"/>
              <w:bottom w:val="single" w:sz="4" w:space="0" w:color="auto"/>
              <w:right w:val="single" w:sz="4" w:space="0" w:color="auto"/>
            </w:tcBorders>
            <w:vAlign w:val="bottom"/>
          </w:tcPr>
          <w:p w:rsidR="00C5384D" w:rsidRPr="00835820" w:rsidP="004D4B61" w14:paraId="7068B8CE"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w:t>
            </w:r>
            <w:r w:rsidRPr="00835820" w:rsidR="00C72817">
              <w:rPr>
                <w:rFonts w:ascii="Times New Roman" w:hAnsi="Times New Roman" w:cs="Times New Roman"/>
                <w:color w:val="000000"/>
                <w:sz w:val="20"/>
                <w:szCs w:val="20"/>
              </w:rPr>
              <w:t>5</w:t>
            </w:r>
            <w:r w:rsidR="0032257A">
              <w:rPr>
                <w:rFonts w:ascii="Times New Roman" w:hAnsi="Times New Roman" w:cs="Times New Roman"/>
                <w:color w:val="000000"/>
                <w:sz w:val="20"/>
                <w:szCs w:val="20"/>
              </w:rPr>
              <w:t>9</w:t>
            </w:r>
          </w:p>
        </w:tc>
      </w:tr>
      <w:tr w14:paraId="388C8A63" w14:textId="77777777" w:rsidTr="00854214">
        <w:tblPrEx>
          <w:tblW w:w="4076" w:type="pct"/>
          <w:jc w:val="center"/>
          <w:tblLook w:val="04A0"/>
        </w:tblPrEx>
        <w:trPr>
          <w:trHeight w:val="249"/>
          <w:jc w:val="center"/>
        </w:trPr>
        <w:tc>
          <w:tcPr>
            <w:tcW w:w="1099" w:type="pct"/>
            <w:tcBorders>
              <w:top w:val="nil"/>
              <w:left w:val="single" w:sz="4" w:space="0" w:color="auto"/>
              <w:bottom w:val="single" w:sz="4" w:space="0" w:color="auto"/>
              <w:right w:val="single" w:sz="4" w:space="0" w:color="auto"/>
            </w:tcBorders>
            <w:shd w:val="clear" w:color="auto" w:fill="auto"/>
            <w:vAlign w:val="bottom"/>
          </w:tcPr>
          <w:p w:rsidR="00C5384D" w:rsidRPr="00835820" w:rsidP="004D4B61" w14:paraId="572E8C1F" w14:textId="77777777">
            <w:pPr>
              <w:keepNext/>
              <w:spacing w:after="0" w:line="240" w:lineRule="auto"/>
              <w:rPr>
                <w:rFonts w:ascii="Times New Roman" w:hAnsi="Times New Roman" w:cs="Times New Roman"/>
                <w:color w:val="000000"/>
                <w:sz w:val="20"/>
                <w:szCs w:val="20"/>
              </w:rPr>
            </w:pPr>
            <w:r w:rsidRPr="00835820">
              <w:rPr>
                <w:rFonts w:ascii="Times New Roman" w:hAnsi="Times New Roman" w:cs="Times New Roman"/>
                <w:color w:val="000000"/>
                <w:sz w:val="20"/>
                <w:szCs w:val="20"/>
              </w:rPr>
              <w:t>Complex</w:t>
            </w:r>
          </w:p>
        </w:tc>
        <w:tc>
          <w:tcPr>
            <w:tcW w:w="703" w:type="pct"/>
            <w:tcBorders>
              <w:top w:val="nil"/>
              <w:left w:val="nil"/>
              <w:bottom w:val="single" w:sz="4" w:space="0" w:color="auto"/>
              <w:right w:val="single" w:sz="4" w:space="0" w:color="auto"/>
            </w:tcBorders>
            <w:shd w:val="clear" w:color="auto" w:fill="auto"/>
            <w:noWrap/>
            <w:vAlign w:val="bottom"/>
          </w:tcPr>
          <w:p w:rsidR="00C5384D" w:rsidRPr="00835820" w:rsidP="004D4B61" w14:paraId="2FC25974"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703" w:type="pct"/>
            <w:tcBorders>
              <w:top w:val="nil"/>
              <w:left w:val="nil"/>
              <w:bottom w:val="single" w:sz="4" w:space="0" w:color="auto"/>
              <w:right w:val="single" w:sz="4" w:space="0" w:color="auto"/>
            </w:tcBorders>
            <w:shd w:val="clear" w:color="auto" w:fill="auto"/>
            <w:noWrap/>
            <w:vAlign w:val="bottom"/>
          </w:tcPr>
          <w:p w:rsidR="00C5384D" w:rsidRPr="00835820" w:rsidP="004D4B61" w14:paraId="4DEE88F6"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38" w:type="pct"/>
            <w:tcBorders>
              <w:top w:val="nil"/>
              <w:left w:val="nil"/>
              <w:bottom w:val="single" w:sz="4" w:space="0" w:color="auto"/>
              <w:right w:val="single" w:sz="4" w:space="0" w:color="auto"/>
            </w:tcBorders>
            <w:shd w:val="clear" w:color="auto" w:fill="auto"/>
            <w:noWrap/>
            <w:vAlign w:val="bottom"/>
          </w:tcPr>
          <w:p w:rsidR="00C5384D" w:rsidRPr="00835820" w:rsidP="004D4B61" w14:paraId="53092CB1"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55" w:type="pct"/>
            <w:tcBorders>
              <w:top w:val="nil"/>
              <w:left w:val="nil"/>
              <w:bottom w:val="single" w:sz="4" w:space="0" w:color="auto"/>
              <w:right w:val="single" w:sz="4" w:space="0" w:color="auto"/>
            </w:tcBorders>
            <w:shd w:val="clear" w:color="auto" w:fill="auto"/>
            <w:noWrap/>
            <w:vAlign w:val="bottom"/>
          </w:tcPr>
          <w:p w:rsidR="00C5384D" w:rsidRPr="00835820" w:rsidP="004D4B61" w14:paraId="22046EA6"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0.5</w:t>
            </w:r>
          </w:p>
        </w:tc>
        <w:tc>
          <w:tcPr>
            <w:tcW w:w="703" w:type="pct"/>
            <w:tcBorders>
              <w:top w:val="nil"/>
              <w:left w:val="nil"/>
              <w:bottom w:val="single" w:sz="4" w:space="0" w:color="auto"/>
              <w:right w:val="single" w:sz="4" w:space="0" w:color="auto"/>
            </w:tcBorders>
            <w:shd w:val="clear" w:color="auto" w:fill="auto"/>
            <w:noWrap/>
            <w:vAlign w:val="bottom"/>
          </w:tcPr>
          <w:p w:rsidR="00C5384D" w:rsidRPr="00835820" w:rsidP="004D4B61" w14:paraId="1F15A2CF"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0.5</w:t>
            </w:r>
          </w:p>
        </w:tc>
        <w:tc>
          <w:tcPr>
            <w:tcW w:w="699" w:type="pct"/>
            <w:tcBorders>
              <w:top w:val="nil"/>
              <w:left w:val="nil"/>
              <w:bottom w:val="single" w:sz="4" w:space="0" w:color="auto"/>
              <w:right w:val="single" w:sz="4" w:space="0" w:color="auto"/>
            </w:tcBorders>
            <w:vAlign w:val="bottom"/>
          </w:tcPr>
          <w:p w:rsidR="00C5384D" w:rsidRPr="00835820" w:rsidP="004D4B61" w14:paraId="1C13A423"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w:t>
            </w:r>
            <w:r w:rsidR="000567A0">
              <w:rPr>
                <w:rFonts w:ascii="Times New Roman" w:hAnsi="Times New Roman" w:cs="Times New Roman"/>
                <w:color w:val="000000"/>
                <w:sz w:val="20"/>
                <w:szCs w:val="20"/>
              </w:rPr>
              <w:t>83</w:t>
            </w:r>
          </w:p>
        </w:tc>
      </w:tr>
    </w:tbl>
    <w:p w:rsidR="00854214" w:rsidRPr="004D4B61" w:rsidP="00854214" w14:paraId="02A5D03C" w14:textId="77777777">
      <w:pPr>
        <w:spacing w:after="0" w:line="240" w:lineRule="auto"/>
        <w:ind w:firstLine="720"/>
        <w:rPr>
          <w:rFonts w:ascii="Times New Roman" w:hAnsi="Times New Roman" w:cs="Times New Roman"/>
        </w:rPr>
      </w:pPr>
    </w:p>
    <w:p w:rsidR="00854214" w:rsidRPr="004D4B61" w:rsidP="00854214" w14:paraId="2E32403A" w14:textId="77777777">
      <w:pPr>
        <w:spacing w:after="0" w:line="240" w:lineRule="auto"/>
        <w:ind w:firstLine="360"/>
        <w:rPr>
          <w:rFonts w:ascii="Times New Roman" w:eastAsia="Calibri" w:hAnsi="Times New Roman" w:cs="Times New Roman"/>
          <w:kern w:val="24"/>
        </w:rPr>
      </w:pPr>
      <w:r>
        <w:rPr>
          <w:rFonts w:ascii="Times New Roman" w:eastAsia="Calibri" w:hAnsi="Times New Roman" w:cs="Times New Roman"/>
          <w:kern w:val="24"/>
        </w:rPr>
        <w:tab/>
      </w:r>
      <w:r w:rsidRPr="004D4B61">
        <w:rPr>
          <w:rFonts w:ascii="Times New Roman" w:eastAsia="Calibri" w:hAnsi="Times New Roman" w:cs="Times New Roman"/>
          <w:kern w:val="24"/>
        </w:rPr>
        <w:t xml:space="preserve">Facilities with Program </w:t>
      </w:r>
      <w:r w:rsidR="006C185C">
        <w:rPr>
          <w:rFonts w:ascii="Times New Roman" w:eastAsia="Calibri" w:hAnsi="Times New Roman" w:cs="Times New Roman"/>
          <w:kern w:val="24"/>
        </w:rPr>
        <w:t xml:space="preserve">2 or Program </w:t>
      </w:r>
      <w:r w:rsidRPr="004D4B61">
        <w:rPr>
          <w:rFonts w:ascii="Times New Roman" w:eastAsia="Calibri" w:hAnsi="Times New Roman" w:cs="Times New Roman"/>
          <w:kern w:val="24"/>
        </w:rPr>
        <w:t xml:space="preserve">3 processes will need to </w:t>
      </w:r>
      <w:r w:rsidR="004B0A1D">
        <w:rPr>
          <w:rFonts w:ascii="Times New Roman" w:eastAsia="Calibri" w:hAnsi="Times New Roman" w:cs="Times New Roman"/>
          <w:kern w:val="24"/>
        </w:rPr>
        <w:t>train employees o</w:t>
      </w:r>
      <w:r w:rsidR="0021216C">
        <w:rPr>
          <w:rFonts w:ascii="Times New Roman" w:eastAsia="Calibri" w:hAnsi="Times New Roman" w:cs="Times New Roman"/>
          <w:kern w:val="24"/>
        </w:rPr>
        <w:t>n</w:t>
      </w:r>
      <w:r w:rsidRPr="004D4B61">
        <w:rPr>
          <w:rFonts w:ascii="Times New Roman" w:eastAsia="Calibri" w:hAnsi="Times New Roman" w:cs="Times New Roman"/>
          <w:kern w:val="24"/>
        </w:rPr>
        <w:t xml:space="preserve"> employee participation plans. EPA assumes that regardless of facility complexity</w:t>
      </w:r>
      <w:r w:rsidR="00C6049D">
        <w:rPr>
          <w:rFonts w:ascii="Times New Roman" w:eastAsia="Calibri" w:hAnsi="Times New Roman" w:cs="Times New Roman"/>
          <w:kern w:val="24"/>
        </w:rPr>
        <w:t xml:space="preserve"> </w:t>
      </w:r>
      <w:r w:rsidR="00B949D6">
        <w:rPr>
          <w:rFonts w:ascii="Times New Roman" w:eastAsia="Calibri" w:hAnsi="Times New Roman" w:cs="Times New Roman"/>
          <w:kern w:val="24"/>
        </w:rPr>
        <w:t>1</w:t>
      </w:r>
      <w:r w:rsidRPr="004D4B61">
        <w:rPr>
          <w:rFonts w:ascii="Times New Roman" w:eastAsia="Calibri" w:hAnsi="Times New Roman" w:cs="Times New Roman"/>
          <w:kern w:val="24"/>
        </w:rPr>
        <w:t xml:space="preserve"> hour for a </w:t>
      </w:r>
      <w:r w:rsidR="0029373C">
        <w:rPr>
          <w:rFonts w:ascii="Times New Roman" w:eastAsia="Calibri" w:hAnsi="Times New Roman" w:cs="Times New Roman"/>
          <w:kern w:val="24"/>
        </w:rPr>
        <w:t>manager</w:t>
      </w:r>
      <w:r w:rsidRPr="004D4B61">
        <w:rPr>
          <w:rFonts w:ascii="Times New Roman" w:eastAsia="Calibri" w:hAnsi="Times New Roman" w:cs="Times New Roman"/>
          <w:kern w:val="24"/>
        </w:rPr>
        <w:t xml:space="preserve"> and 0.5 hours for a production level staff </w:t>
      </w:r>
      <w:r w:rsidR="009449B7">
        <w:rPr>
          <w:rFonts w:ascii="Times New Roman" w:eastAsia="Calibri" w:hAnsi="Times New Roman" w:cs="Times New Roman"/>
          <w:kern w:val="24"/>
        </w:rPr>
        <w:t>will</w:t>
      </w:r>
      <w:r w:rsidRPr="004D4B61">
        <w:rPr>
          <w:rFonts w:ascii="Times New Roman" w:eastAsia="Calibri" w:hAnsi="Times New Roman" w:cs="Times New Roman"/>
          <w:kern w:val="24"/>
        </w:rPr>
        <w:t xml:space="preserve"> be </w:t>
      </w:r>
      <w:r w:rsidR="003E509D">
        <w:rPr>
          <w:rFonts w:ascii="Times New Roman" w:eastAsia="Calibri" w:hAnsi="Times New Roman" w:cs="Times New Roman"/>
          <w:kern w:val="24"/>
        </w:rPr>
        <w:t>sufficient to prepare and run the training</w:t>
      </w:r>
      <w:r w:rsidRPr="004D4B61">
        <w:rPr>
          <w:rFonts w:ascii="Times New Roman" w:eastAsia="Calibri" w:hAnsi="Times New Roman" w:cs="Times New Roman"/>
          <w:kern w:val="24"/>
        </w:rPr>
        <w:t>.</w:t>
      </w:r>
      <w:r w:rsidR="00FB7A98">
        <w:rPr>
          <w:rFonts w:ascii="Times New Roman" w:eastAsia="Calibri" w:hAnsi="Times New Roman" w:cs="Times New Roman"/>
          <w:kern w:val="24"/>
        </w:rPr>
        <w:t xml:space="preserve"> </w:t>
      </w:r>
      <w:r w:rsidR="000640E2">
        <w:rPr>
          <w:rFonts w:ascii="Times New Roman" w:eastAsia="Calibri" w:hAnsi="Times New Roman" w:cs="Times New Roman"/>
          <w:kern w:val="24"/>
        </w:rPr>
        <w:t>Facilities will incur an additional cost per employee</w:t>
      </w:r>
      <w:r w:rsidR="00DC77E3">
        <w:rPr>
          <w:rFonts w:ascii="Times New Roman" w:eastAsia="Calibri" w:hAnsi="Times New Roman" w:cs="Times New Roman"/>
          <w:kern w:val="24"/>
        </w:rPr>
        <w:t xml:space="preserve">. </w:t>
      </w:r>
      <w:r w:rsidR="00FB7A98">
        <w:rPr>
          <w:rFonts w:ascii="Times New Roman" w:eastAsia="Calibri" w:hAnsi="Times New Roman" w:cs="Times New Roman"/>
          <w:kern w:val="24"/>
        </w:rPr>
        <w:t xml:space="preserve">EPA </w:t>
      </w:r>
      <w:r w:rsidR="00CF6B3C">
        <w:rPr>
          <w:rFonts w:ascii="Times New Roman" w:eastAsia="Calibri" w:hAnsi="Times New Roman" w:cs="Times New Roman"/>
          <w:kern w:val="24"/>
        </w:rPr>
        <w:t>expects</w:t>
      </w:r>
      <w:r w:rsidR="00432E57">
        <w:rPr>
          <w:rFonts w:ascii="Times New Roman" w:eastAsia="Calibri" w:hAnsi="Times New Roman" w:cs="Times New Roman"/>
          <w:kern w:val="24"/>
        </w:rPr>
        <w:t xml:space="preserve"> that</w:t>
      </w:r>
      <w:r w:rsidR="00F84164">
        <w:rPr>
          <w:rFonts w:ascii="Times New Roman" w:eastAsia="Calibri" w:hAnsi="Times New Roman" w:cs="Times New Roman"/>
          <w:kern w:val="24"/>
        </w:rPr>
        <w:t xml:space="preserve"> </w:t>
      </w:r>
      <w:r w:rsidR="00490A08">
        <w:rPr>
          <w:rFonts w:ascii="Times New Roman" w:eastAsia="Calibri" w:hAnsi="Times New Roman" w:cs="Times New Roman"/>
          <w:kern w:val="24"/>
        </w:rPr>
        <w:t>each</w:t>
      </w:r>
      <w:r w:rsidR="00432E57">
        <w:rPr>
          <w:rFonts w:ascii="Times New Roman" w:eastAsia="Calibri" w:hAnsi="Times New Roman" w:cs="Times New Roman"/>
          <w:kern w:val="24"/>
        </w:rPr>
        <w:t xml:space="preserve"> </w:t>
      </w:r>
      <w:r w:rsidR="00F6131E">
        <w:rPr>
          <w:rFonts w:ascii="Times New Roman" w:eastAsia="Calibri" w:hAnsi="Times New Roman" w:cs="Times New Roman"/>
          <w:kern w:val="24"/>
        </w:rPr>
        <w:t>facility</w:t>
      </w:r>
      <w:r w:rsidR="009A3692">
        <w:rPr>
          <w:rFonts w:ascii="Times New Roman" w:eastAsia="Calibri" w:hAnsi="Times New Roman" w:cs="Times New Roman"/>
          <w:kern w:val="24"/>
        </w:rPr>
        <w:t xml:space="preserve"> employee </w:t>
      </w:r>
      <w:r w:rsidR="00663661">
        <w:rPr>
          <w:rFonts w:ascii="Times New Roman" w:eastAsia="Calibri" w:hAnsi="Times New Roman" w:cs="Times New Roman"/>
          <w:kern w:val="24"/>
        </w:rPr>
        <w:t xml:space="preserve">(assumed to be production level staff) </w:t>
      </w:r>
      <w:r w:rsidR="009449B7">
        <w:rPr>
          <w:rFonts w:ascii="Times New Roman" w:eastAsia="Calibri" w:hAnsi="Times New Roman" w:cs="Times New Roman"/>
          <w:kern w:val="24"/>
        </w:rPr>
        <w:t>will</w:t>
      </w:r>
      <w:r w:rsidR="00432E57">
        <w:rPr>
          <w:rFonts w:ascii="Times New Roman" w:eastAsia="Calibri" w:hAnsi="Times New Roman" w:cs="Times New Roman"/>
          <w:kern w:val="24"/>
        </w:rPr>
        <w:t xml:space="preserve"> </w:t>
      </w:r>
      <w:r w:rsidR="00490A08">
        <w:rPr>
          <w:rFonts w:ascii="Times New Roman" w:eastAsia="Calibri" w:hAnsi="Times New Roman" w:cs="Times New Roman"/>
          <w:kern w:val="24"/>
        </w:rPr>
        <w:t>spend 0.5 hours in training</w:t>
      </w:r>
      <w:r w:rsidR="00B8409B">
        <w:rPr>
          <w:rFonts w:ascii="Times New Roman" w:eastAsia="Calibri" w:hAnsi="Times New Roman" w:cs="Times New Roman"/>
          <w:kern w:val="24"/>
        </w:rPr>
        <w:t>.</w:t>
      </w:r>
      <w:r w:rsidR="00432E57">
        <w:rPr>
          <w:rFonts w:ascii="Times New Roman" w:eastAsia="Calibri" w:hAnsi="Times New Roman" w:cs="Times New Roman"/>
          <w:kern w:val="24"/>
        </w:rPr>
        <w:t xml:space="preserve"> </w:t>
      </w:r>
      <w:r w:rsidRPr="004D4B61">
        <w:rPr>
          <w:rFonts w:ascii="Times New Roman" w:eastAsia="Calibri" w:hAnsi="Times New Roman" w:cs="Times New Roman"/>
          <w:kern w:val="24"/>
        </w:rPr>
        <w:t>The resulting unit costs, and these assumptions, are presented in Exhibit 4-</w:t>
      </w:r>
      <w:r w:rsidR="00E84C1A">
        <w:rPr>
          <w:rFonts w:ascii="Times New Roman" w:eastAsia="Calibri" w:hAnsi="Times New Roman" w:cs="Times New Roman"/>
          <w:kern w:val="24"/>
        </w:rPr>
        <w:t>11</w:t>
      </w:r>
      <w:r w:rsidRPr="004D4B61">
        <w:rPr>
          <w:rFonts w:ascii="Times New Roman" w:eastAsia="Calibri" w:hAnsi="Times New Roman" w:cs="Times New Roman"/>
          <w:kern w:val="24"/>
        </w:rPr>
        <w:t>.</w:t>
      </w:r>
    </w:p>
    <w:p w:rsidR="00854214" w:rsidRPr="004D4B61" w:rsidP="00854214" w14:paraId="58D6ADEA" w14:textId="77777777">
      <w:pPr>
        <w:keepNext/>
        <w:spacing w:after="0" w:line="240" w:lineRule="auto"/>
        <w:rPr>
          <w:rFonts w:ascii="Times New Roman" w:eastAsia="Calibri" w:hAnsi="Times New Roman" w:cs="Times New Roman"/>
          <w:kern w:val="24"/>
        </w:rPr>
      </w:pPr>
    </w:p>
    <w:p w:rsidR="00854214" w:rsidRPr="004D4B61" w:rsidP="00854214" w14:paraId="3EDAC75E" w14:textId="77777777">
      <w:pPr>
        <w:keepNext/>
        <w:spacing w:after="0" w:line="240" w:lineRule="auto"/>
        <w:jc w:val="center"/>
        <w:rPr>
          <w:rFonts w:ascii="Times New Roman" w:hAnsi="Times New Roman" w:cs="Times New Roman"/>
          <w:b/>
        </w:rPr>
      </w:pPr>
      <w:r w:rsidRPr="004D4B61">
        <w:rPr>
          <w:rFonts w:ascii="Times New Roman" w:hAnsi="Times New Roman" w:cs="Times New Roman"/>
          <w:b/>
        </w:rPr>
        <w:t>Exhibit 4-</w:t>
      </w:r>
      <w:r w:rsidR="00E84C1A">
        <w:rPr>
          <w:rFonts w:ascii="Times New Roman" w:hAnsi="Times New Roman" w:cs="Times New Roman"/>
          <w:b/>
        </w:rPr>
        <w:t>11</w:t>
      </w:r>
      <w:r w:rsidRPr="004D4B61">
        <w:rPr>
          <w:rFonts w:ascii="Times New Roman" w:hAnsi="Times New Roman" w:cs="Times New Roman"/>
          <w:b/>
        </w:rPr>
        <w:t xml:space="preserve">: Hourly Labor and Unit Costs for Employee Participation Plan </w:t>
      </w:r>
      <w:r w:rsidR="004F3568">
        <w:rPr>
          <w:rFonts w:ascii="Times New Roman" w:hAnsi="Times New Roman" w:cs="Times New Roman"/>
          <w:b/>
        </w:rPr>
        <w:t>Training</w:t>
      </w:r>
      <w:r>
        <w:rPr>
          <w:rFonts w:ascii="Times New Roman" w:hAnsi="Times New Roman" w:cs="Times New Roman"/>
          <w:b/>
        </w:rPr>
        <w:t xml:space="preserve"> </w:t>
      </w:r>
      <w:r w:rsidRPr="00835820">
        <w:rPr>
          <w:rFonts w:ascii="Times New Roman" w:hAnsi="Times New Roman" w:cs="Times New Roman"/>
          <w:b/>
          <w:bCs/>
        </w:rPr>
        <w:t>(202</w:t>
      </w:r>
      <w:r>
        <w:rPr>
          <w:rFonts w:ascii="Times New Roman" w:hAnsi="Times New Roman" w:cs="Times New Roman"/>
          <w:b/>
          <w:bCs/>
        </w:rPr>
        <w:t>2</w:t>
      </w:r>
      <w:r w:rsidRPr="00835820">
        <w:rPr>
          <w:rFonts w:ascii="Times New Roman" w:hAnsi="Times New Roman" w:cs="Times New Roman"/>
          <w:b/>
          <w:bCs/>
        </w:rPr>
        <w:t xml:space="preserve"> dollars)</w:t>
      </w:r>
      <w:r>
        <w:rPr>
          <w:rFonts w:ascii="Times New Roman" w:hAnsi="Times New Roman" w:cs="Times New Roman"/>
          <w:b/>
          <w:bCs/>
        </w:rPr>
        <w:t>.</w:t>
      </w:r>
    </w:p>
    <w:p w:rsidR="00854214" w:rsidRPr="004D4B61" w:rsidP="00854214" w14:paraId="6A1F476C" w14:textId="77777777">
      <w:pPr>
        <w:keepNext/>
        <w:spacing w:after="0" w:line="240" w:lineRule="auto"/>
        <w:jc w:val="center"/>
        <w:rPr>
          <w:rFonts w:ascii="Times New Roman" w:hAnsi="Times New Roman" w:cs="Times New Roman"/>
          <w:b/>
          <w:bCs/>
        </w:rPr>
      </w:pPr>
    </w:p>
    <w:tbl>
      <w:tblPr>
        <w:tblW w:w="4076" w:type="pct"/>
        <w:jc w:val="center"/>
        <w:tblLook w:val="04A0"/>
      </w:tblPr>
      <w:tblGrid>
        <w:gridCol w:w="1786"/>
        <w:gridCol w:w="1143"/>
        <w:gridCol w:w="1143"/>
        <w:gridCol w:w="875"/>
        <w:gridCol w:w="902"/>
        <w:gridCol w:w="1143"/>
        <w:gridCol w:w="1136"/>
      </w:tblGrid>
      <w:tr w14:paraId="79F2A840" w14:textId="77777777">
        <w:tblPrEx>
          <w:tblW w:w="4076" w:type="pct"/>
          <w:jc w:val="center"/>
          <w:tblLook w:val="04A0"/>
        </w:tblPrEx>
        <w:trPr>
          <w:trHeight w:val="221"/>
          <w:jc w:val="center"/>
        </w:trPr>
        <w:tc>
          <w:tcPr>
            <w:tcW w:w="1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854214" w:rsidRPr="00835820" w14:paraId="4D03F81D" w14:textId="77777777">
            <w:pPr>
              <w:keepNext/>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Facility </w:t>
            </w:r>
            <w:r w:rsidR="006A6C46">
              <w:rPr>
                <w:rFonts w:ascii="Times New Roman" w:hAnsi="Times New Roman" w:cs="Times New Roman"/>
                <w:b/>
                <w:color w:val="000000"/>
                <w:sz w:val="20"/>
                <w:szCs w:val="20"/>
              </w:rPr>
              <w:t>Cost</w:t>
            </w:r>
            <w:r w:rsidRPr="00835820">
              <w:rPr>
                <w:rFonts w:ascii="Times New Roman" w:hAnsi="Times New Roman" w:cs="Times New Roman"/>
                <w:b/>
                <w:color w:val="000000"/>
                <w:sz w:val="20"/>
                <w:szCs w:val="20"/>
              </w:rPr>
              <w:t xml:space="preserve"> Type</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854214" w:rsidRPr="00835820" w14:paraId="2C52505F"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Mgr.</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854214" w:rsidRPr="00835820" w14:paraId="6CE20C33"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Corp Mgr.</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854214" w:rsidRPr="00835820" w14:paraId="36FAE981"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Atty.</w:t>
            </w:r>
          </w:p>
        </w:tc>
        <w:tc>
          <w:tcPr>
            <w:tcW w:w="55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854214" w:rsidRPr="00835820" w14:paraId="52DCBFC5"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Eng.</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854214" w:rsidRPr="00835820" w14:paraId="79B5D476"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Prod. Staff</w:t>
            </w:r>
          </w:p>
        </w:tc>
        <w:tc>
          <w:tcPr>
            <w:tcW w:w="700"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854214" w:rsidRPr="00835820" w14:paraId="4FA4A249" w14:textId="77777777">
            <w:pPr>
              <w:keepNext/>
              <w:spacing w:after="0" w:line="240" w:lineRule="auto"/>
              <w:jc w:val="center"/>
              <w:rPr>
                <w:rFonts w:ascii="Times New Roman" w:hAnsi="Times New Roman" w:cs="Times New Roman"/>
                <w:b/>
                <w:color w:val="000000"/>
                <w:sz w:val="20"/>
                <w:szCs w:val="20"/>
              </w:rPr>
            </w:pPr>
            <w:r w:rsidRPr="00835820">
              <w:rPr>
                <w:rFonts w:ascii="Times New Roman" w:hAnsi="Times New Roman" w:cs="Times New Roman"/>
                <w:b/>
                <w:color w:val="000000"/>
                <w:sz w:val="20"/>
                <w:szCs w:val="20"/>
              </w:rPr>
              <w:t>Facility Cost</w:t>
            </w:r>
          </w:p>
        </w:tc>
      </w:tr>
      <w:tr w14:paraId="53BC330F" w14:textId="77777777">
        <w:tblPrEx>
          <w:tblW w:w="4076" w:type="pct"/>
          <w:jc w:val="center"/>
          <w:tblLook w:val="04A0"/>
        </w:tblPrEx>
        <w:trPr>
          <w:trHeight w:val="249"/>
          <w:jc w:val="center"/>
        </w:trPr>
        <w:tc>
          <w:tcPr>
            <w:tcW w:w="1099" w:type="pct"/>
            <w:tcBorders>
              <w:top w:val="nil"/>
              <w:left w:val="single" w:sz="4" w:space="0" w:color="auto"/>
              <w:bottom w:val="single" w:sz="4" w:space="0" w:color="auto"/>
              <w:right w:val="single" w:sz="4" w:space="0" w:color="auto"/>
            </w:tcBorders>
            <w:shd w:val="clear" w:color="auto" w:fill="auto"/>
            <w:vAlign w:val="bottom"/>
            <w:hideMark/>
          </w:tcPr>
          <w:p w:rsidR="00854214" w:rsidRPr="00835820" w14:paraId="6D2DA85E" w14:textId="77777777">
            <w:pPr>
              <w:keepNext/>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Fixed</w:t>
            </w:r>
            <w:r w:rsidR="00D776C2">
              <w:rPr>
                <w:rFonts w:ascii="Times New Roman" w:hAnsi="Times New Roman" w:cs="Times New Roman"/>
                <w:color w:val="000000"/>
                <w:sz w:val="20"/>
                <w:szCs w:val="20"/>
              </w:rPr>
              <w:t xml:space="preserve"> Cost per </w:t>
            </w:r>
            <w:r>
              <w:rPr>
                <w:rFonts w:ascii="Times New Roman" w:hAnsi="Times New Roman" w:cs="Times New Roman"/>
                <w:color w:val="000000"/>
                <w:sz w:val="20"/>
                <w:szCs w:val="20"/>
              </w:rPr>
              <w:t>Facility</w:t>
            </w:r>
          </w:p>
        </w:tc>
        <w:tc>
          <w:tcPr>
            <w:tcW w:w="703" w:type="pct"/>
            <w:tcBorders>
              <w:top w:val="nil"/>
              <w:left w:val="nil"/>
              <w:bottom w:val="single" w:sz="4" w:space="0" w:color="auto"/>
              <w:right w:val="single" w:sz="4" w:space="0" w:color="auto"/>
            </w:tcBorders>
            <w:shd w:val="clear" w:color="auto" w:fill="auto"/>
            <w:noWrap/>
            <w:vAlign w:val="bottom"/>
          </w:tcPr>
          <w:p w:rsidR="00854214" w:rsidRPr="00835820" w14:paraId="0BA10793" w14:textId="77777777">
            <w:pPr>
              <w:keepNext/>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03" w:type="pct"/>
            <w:tcBorders>
              <w:top w:val="nil"/>
              <w:left w:val="nil"/>
              <w:bottom w:val="single" w:sz="4" w:space="0" w:color="auto"/>
              <w:right w:val="single" w:sz="4" w:space="0" w:color="auto"/>
            </w:tcBorders>
            <w:shd w:val="clear" w:color="auto" w:fill="auto"/>
            <w:noWrap/>
            <w:vAlign w:val="bottom"/>
            <w:hideMark/>
          </w:tcPr>
          <w:p w:rsidR="00854214" w:rsidRPr="00835820" w14:paraId="3BAC5BC2"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38" w:type="pct"/>
            <w:tcBorders>
              <w:top w:val="nil"/>
              <w:left w:val="nil"/>
              <w:bottom w:val="single" w:sz="4" w:space="0" w:color="auto"/>
              <w:right w:val="single" w:sz="4" w:space="0" w:color="auto"/>
            </w:tcBorders>
            <w:shd w:val="clear" w:color="auto" w:fill="auto"/>
            <w:noWrap/>
            <w:vAlign w:val="bottom"/>
            <w:hideMark/>
          </w:tcPr>
          <w:p w:rsidR="00854214" w:rsidRPr="00835820" w14:paraId="5E48F4A5"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55" w:type="pct"/>
            <w:tcBorders>
              <w:top w:val="nil"/>
              <w:left w:val="nil"/>
              <w:bottom w:val="single" w:sz="4" w:space="0" w:color="auto"/>
              <w:right w:val="single" w:sz="4" w:space="0" w:color="auto"/>
            </w:tcBorders>
            <w:shd w:val="clear" w:color="auto" w:fill="auto"/>
            <w:noWrap/>
            <w:vAlign w:val="bottom"/>
            <w:hideMark/>
          </w:tcPr>
          <w:p w:rsidR="00854214" w:rsidRPr="00835820" w14:paraId="2FDE4F9C"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703" w:type="pct"/>
            <w:tcBorders>
              <w:top w:val="nil"/>
              <w:left w:val="nil"/>
              <w:bottom w:val="single" w:sz="4" w:space="0" w:color="auto"/>
              <w:right w:val="single" w:sz="4" w:space="0" w:color="auto"/>
            </w:tcBorders>
            <w:shd w:val="clear" w:color="auto" w:fill="auto"/>
            <w:noWrap/>
            <w:vAlign w:val="bottom"/>
            <w:hideMark/>
          </w:tcPr>
          <w:p w:rsidR="00854214" w:rsidRPr="00835820" w14:paraId="7EA0DC33"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0.5</w:t>
            </w:r>
          </w:p>
        </w:tc>
        <w:tc>
          <w:tcPr>
            <w:tcW w:w="700" w:type="pct"/>
            <w:tcBorders>
              <w:top w:val="nil"/>
              <w:left w:val="nil"/>
              <w:bottom w:val="single" w:sz="4" w:space="0" w:color="auto"/>
              <w:right w:val="single" w:sz="4" w:space="0" w:color="auto"/>
            </w:tcBorders>
            <w:vAlign w:val="bottom"/>
          </w:tcPr>
          <w:p w:rsidR="00854214" w:rsidRPr="00835820" w14:paraId="7C2C8A22"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w:t>
            </w:r>
            <w:r w:rsidR="007E3C9E">
              <w:rPr>
                <w:rFonts w:ascii="Times New Roman" w:hAnsi="Times New Roman" w:cs="Times New Roman"/>
                <w:color w:val="000000"/>
                <w:sz w:val="20"/>
                <w:szCs w:val="20"/>
              </w:rPr>
              <w:t>138</w:t>
            </w:r>
          </w:p>
        </w:tc>
      </w:tr>
      <w:tr w14:paraId="5464AE0D" w14:textId="77777777">
        <w:tblPrEx>
          <w:tblW w:w="4076" w:type="pct"/>
          <w:jc w:val="center"/>
          <w:tblLook w:val="04A0"/>
        </w:tblPrEx>
        <w:trPr>
          <w:trHeight w:val="249"/>
          <w:jc w:val="center"/>
        </w:trPr>
        <w:tc>
          <w:tcPr>
            <w:tcW w:w="1099" w:type="pct"/>
            <w:tcBorders>
              <w:top w:val="nil"/>
              <w:left w:val="single" w:sz="4" w:space="0" w:color="auto"/>
              <w:bottom w:val="single" w:sz="4" w:space="0" w:color="auto"/>
              <w:right w:val="single" w:sz="4" w:space="0" w:color="auto"/>
            </w:tcBorders>
            <w:shd w:val="clear" w:color="auto" w:fill="auto"/>
            <w:vAlign w:val="bottom"/>
          </w:tcPr>
          <w:p w:rsidR="00854214" w:rsidRPr="00835820" w14:paraId="75FFB843" w14:textId="77777777">
            <w:pPr>
              <w:keepNext/>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Additional Cost per Employee</w:t>
            </w:r>
          </w:p>
        </w:tc>
        <w:tc>
          <w:tcPr>
            <w:tcW w:w="703" w:type="pct"/>
            <w:tcBorders>
              <w:top w:val="nil"/>
              <w:left w:val="nil"/>
              <w:bottom w:val="single" w:sz="4" w:space="0" w:color="auto"/>
              <w:right w:val="single" w:sz="4" w:space="0" w:color="auto"/>
            </w:tcBorders>
            <w:shd w:val="clear" w:color="auto" w:fill="auto"/>
            <w:noWrap/>
            <w:vAlign w:val="bottom"/>
          </w:tcPr>
          <w:p w:rsidR="00854214" w:rsidRPr="00835820" w14:paraId="6E4CDF2B" w14:textId="77777777">
            <w:pPr>
              <w:keepNext/>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703" w:type="pct"/>
            <w:tcBorders>
              <w:top w:val="nil"/>
              <w:left w:val="nil"/>
              <w:bottom w:val="single" w:sz="4" w:space="0" w:color="auto"/>
              <w:right w:val="single" w:sz="4" w:space="0" w:color="auto"/>
            </w:tcBorders>
            <w:shd w:val="clear" w:color="auto" w:fill="auto"/>
            <w:noWrap/>
            <w:vAlign w:val="bottom"/>
          </w:tcPr>
          <w:p w:rsidR="00854214" w:rsidRPr="00835820" w14:paraId="161A6624"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38" w:type="pct"/>
            <w:tcBorders>
              <w:top w:val="nil"/>
              <w:left w:val="nil"/>
              <w:bottom w:val="single" w:sz="4" w:space="0" w:color="auto"/>
              <w:right w:val="single" w:sz="4" w:space="0" w:color="auto"/>
            </w:tcBorders>
            <w:shd w:val="clear" w:color="auto" w:fill="auto"/>
            <w:noWrap/>
            <w:vAlign w:val="bottom"/>
          </w:tcPr>
          <w:p w:rsidR="00854214" w:rsidRPr="00835820" w14:paraId="0DCD2DC0"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555" w:type="pct"/>
            <w:tcBorders>
              <w:top w:val="nil"/>
              <w:left w:val="nil"/>
              <w:bottom w:val="single" w:sz="4" w:space="0" w:color="auto"/>
              <w:right w:val="single" w:sz="4" w:space="0" w:color="auto"/>
            </w:tcBorders>
            <w:shd w:val="clear" w:color="auto" w:fill="auto"/>
            <w:noWrap/>
            <w:vAlign w:val="bottom"/>
          </w:tcPr>
          <w:p w:rsidR="00854214" w:rsidRPr="00835820" w14:paraId="1360DAD8"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w:t>
            </w:r>
          </w:p>
        </w:tc>
        <w:tc>
          <w:tcPr>
            <w:tcW w:w="703" w:type="pct"/>
            <w:tcBorders>
              <w:top w:val="nil"/>
              <w:left w:val="nil"/>
              <w:bottom w:val="single" w:sz="4" w:space="0" w:color="auto"/>
              <w:right w:val="single" w:sz="4" w:space="0" w:color="auto"/>
            </w:tcBorders>
            <w:shd w:val="clear" w:color="auto" w:fill="auto"/>
            <w:noWrap/>
            <w:vAlign w:val="bottom"/>
          </w:tcPr>
          <w:p w:rsidR="00854214" w:rsidRPr="00835820" w14:paraId="05B85DE0"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0.5</w:t>
            </w:r>
          </w:p>
        </w:tc>
        <w:tc>
          <w:tcPr>
            <w:tcW w:w="700" w:type="pct"/>
            <w:tcBorders>
              <w:top w:val="nil"/>
              <w:left w:val="nil"/>
              <w:bottom w:val="single" w:sz="4" w:space="0" w:color="auto"/>
              <w:right w:val="single" w:sz="4" w:space="0" w:color="auto"/>
            </w:tcBorders>
            <w:vAlign w:val="bottom"/>
          </w:tcPr>
          <w:p w:rsidR="00854214" w:rsidRPr="00835820" w14:paraId="0CF5FFD8" w14:textId="77777777">
            <w:pPr>
              <w:keepNext/>
              <w:spacing w:after="0" w:line="240" w:lineRule="auto"/>
              <w:jc w:val="center"/>
              <w:rPr>
                <w:rFonts w:ascii="Times New Roman" w:hAnsi="Times New Roman" w:cs="Times New Roman"/>
                <w:color w:val="000000"/>
                <w:sz w:val="20"/>
                <w:szCs w:val="20"/>
              </w:rPr>
            </w:pPr>
            <w:r w:rsidRPr="00835820">
              <w:rPr>
                <w:rFonts w:ascii="Times New Roman" w:hAnsi="Times New Roman" w:cs="Times New Roman"/>
                <w:color w:val="000000"/>
                <w:sz w:val="20"/>
                <w:szCs w:val="20"/>
              </w:rPr>
              <w:t>$</w:t>
            </w:r>
            <w:r w:rsidR="000A3680">
              <w:rPr>
                <w:rFonts w:ascii="Times New Roman" w:hAnsi="Times New Roman" w:cs="Times New Roman"/>
                <w:color w:val="000000"/>
                <w:sz w:val="20"/>
                <w:szCs w:val="20"/>
              </w:rPr>
              <w:t>3</w:t>
            </w:r>
            <w:r>
              <w:rPr>
                <w:rFonts w:ascii="Times New Roman" w:hAnsi="Times New Roman" w:cs="Times New Roman"/>
                <w:color w:val="000000"/>
                <w:sz w:val="20"/>
                <w:szCs w:val="20"/>
              </w:rPr>
              <w:t>3</w:t>
            </w:r>
          </w:p>
        </w:tc>
      </w:tr>
    </w:tbl>
    <w:p w:rsidR="00C5384D" w:rsidP="004D4B61" w14:paraId="3576057C" w14:textId="77777777">
      <w:pPr>
        <w:spacing w:after="0" w:line="240" w:lineRule="auto"/>
        <w:rPr>
          <w:rFonts w:ascii="Times New Roman" w:eastAsia="Calibri" w:hAnsi="Times New Roman" w:cs="Times New Roman"/>
          <w:kern w:val="24"/>
        </w:rPr>
      </w:pPr>
    </w:p>
    <w:p w:rsidR="00C10DD0" w:rsidRPr="00046C51" w:rsidP="00771C3E" w14:paraId="0BBD3AF2" w14:textId="77777777">
      <w:pPr>
        <w:pStyle w:val="Heading3"/>
        <w:rPr>
          <w:rFonts w:ascii="Times New Roman" w:hAnsi="Times New Roman" w:cs="Times New Roman"/>
          <w:sz w:val="22"/>
          <w:szCs w:val="22"/>
        </w:rPr>
      </w:pPr>
      <w:bookmarkStart w:id="191" w:name="_Toc141732936"/>
      <w:bookmarkStart w:id="192" w:name="_Toc141733147"/>
      <w:bookmarkStart w:id="193" w:name="_Toc142404051"/>
      <w:bookmarkStart w:id="194" w:name="_Toc144213859"/>
      <w:bookmarkStart w:id="195" w:name="_Toc144283604"/>
      <w:bookmarkStart w:id="196" w:name="_Toc144303542"/>
      <w:r w:rsidRPr="00046C51">
        <w:rPr>
          <w:rFonts w:ascii="Times New Roman" w:hAnsi="Times New Roman" w:cs="Times New Roman"/>
          <w:sz w:val="22"/>
          <w:szCs w:val="22"/>
        </w:rPr>
        <w:t>4.4.6 Emergency Backup Power for Perimeter Monitors</w:t>
      </w:r>
      <w:bookmarkEnd w:id="191"/>
      <w:bookmarkEnd w:id="192"/>
      <w:bookmarkEnd w:id="193"/>
      <w:bookmarkEnd w:id="194"/>
      <w:bookmarkEnd w:id="195"/>
      <w:bookmarkEnd w:id="196"/>
    </w:p>
    <w:p w:rsidR="00C10DD0" w:rsidRPr="004D4B61" w:rsidP="00C10DD0" w14:paraId="758B01AB" w14:textId="77777777">
      <w:pPr>
        <w:spacing w:after="0" w:line="240" w:lineRule="auto"/>
        <w:ind w:firstLine="360"/>
        <w:rPr>
          <w:rFonts w:ascii="Times New Roman" w:hAnsi="Times New Roman" w:cs="Times New Roman"/>
          <w:color w:val="000000"/>
        </w:rPr>
      </w:pPr>
      <w:r>
        <w:rPr>
          <w:rFonts w:ascii="Times New Roman" w:hAnsi="Times New Roman" w:cs="Times New Roman"/>
        </w:rPr>
        <w:tab/>
      </w:r>
      <w:r w:rsidR="000E0F77">
        <w:rPr>
          <w:rFonts w:ascii="Times New Roman" w:hAnsi="Times New Roman" w:cs="Times New Roman"/>
        </w:rPr>
        <w:t xml:space="preserve">The final rule </w:t>
      </w:r>
      <w:r w:rsidR="009449B7">
        <w:rPr>
          <w:rFonts w:ascii="Times New Roman" w:hAnsi="Times New Roman" w:cs="Times New Roman"/>
        </w:rPr>
        <w:t>will</w:t>
      </w:r>
      <w:r w:rsidRPr="004D4B61">
        <w:rPr>
          <w:rFonts w:ascii="Times New Roman" w:hAnsi="Times New Roman" w:cs="Times New Roman"/>
        </w:rPr>
        <w:t xml:space="preserve"> require </w:t>
      </w:r>
      <w:r w:rsidR="00D13028">
        <w:rPr>
          <w:rFonts w:ascii="Times New Roman" w:hAnsi="Times New Roman" w:cs="Times New Roman"/>
        </w:rPr>
        <w:t xml:space="preserve">already installed </w:t>
      </w:r>
      <w:r w:rsidRPr="004D4B61">
        <w:rPr>
          <w:rFonts w:ascii="Times New Roman" w:hAnsi="Times New Roman" w:cs="Times New Roman"/>
        </w:rPr>
        <w:t>perimeter monitoring equipment associated with prevention and detection of accidental releases from RMP-regulated processes</w:t>
      </w:r>
      <w:r w:rsidR="00D13028">
        <w:rPr>
          <w:rFonts w:ascii="Times New Roman" w:hAnsi="Times New Roman" w:cs="Times New Roman"/>
        </w:rPr>
        <w:t xml:space="preserve"> where power loss has been identified as a major hazard</w:t>
      </w:r>
      <w:r w:rsidRPr="004D4B61">
        <w:rPr>
          <w:rFonts w:ascii="Times New Roman" w:hAnsi="Times New Roman" w:cs="Times New Roman"/>
        </w:rPr>
        <w:t xml:space="preserve"> to have standby or backup power to ensure compliance with the rule. </w:t>
      </w:r>
      <w:r w:rsidRPr="004D4B61">
        <w:rPr>
          <w:rFonts w:ascii="Times New Roman" w:hAnsi="Times New Roman" w:cs="Times New Roman"/>
          <w:color w:val="000000"/>
        </w:rPr>
        <w:t xml:space="preserve">Facilities with perimeter monitoring equipment that </w:t>
      </w:r>
      <w:r w:rsidR="00B959F9">
        <w:rPr>
          <w:rFonts w:ascii="Times New Roman" w:hAnsi="Times New Roman" w:cs="Times New Roman"/>
          <w:color w:val="000000"/>
        </w:rPr>
        <w:t xml:space="preserve">have identified power loss as a major hazard but </w:t>
      </w:r>
      <w:r w:rsidRPr="004D4B61">
        <w:rPr>
          <w:rFonts w:ascii="Times New Roman" w:hAnsi="Times New Roman" w:cs="Times New Roman"/>
          <w:color w:val="000000"/>
        </w:rPr>
        <w:t xml:space="preserve">do not have backup power </w:t>
      </w:r>
      <w:r w:rsidR="009449B7">
        <w:rPr>
          <w:rFonts w:ascii="Times New Roman" w:hAnsi="Times New Roman" w:cs="Times New Roman"/>
          <w:color w:val="000000"/>
        </w:rPr>
        <w:t>will</w:t>
      </w:r>
      <w:r w:rsidRPr="004D4B61">
        <w:rPr>
          <w:rFonts w:ascii="Times New Roman" w:hAnsi="Times New Roman" w:cs="Times New Roman"/>
          <w:color w:val="000000"/>
        </w:rPr>
        <w:t xml:space="preserve"> need to acquire backup power. Many continuous emissions monitoring systems have low power requirements.</w:t>
      </w:r>
      <w:r>
        <w:rPr>
          <w:rStyle w:val="FootnoteReference"/>
          <w:rFonts w:ascii="Times New Roman" w:hAnsi="Times New Roman" w:cs="Times New Roman"/>
          <w:color w:val="000000"/>
        </w:rPr>
        <w:footnoteReference w:id="113"/>
      </w:r>
      <w:r w:rsidRPr="004D4B61">
        <w:rPr>
          <w:rFonts w:ascii="Times New Roman" w:hAnsi="Times New Roman" w:cs="Times New Roman"/>
          <w:color w:val="000000"/>
        </w:rPr>
        <w:t xml:space="preserve"> </w:t>
      </w:r>
      <w:r w:rsidR="003643C3">
        <w:rPr>
          <w:rFonts w:ascii="Times New Roman" w:hAnsi="Times New Roman" w:cs="Times New Roman"/>
          <w:color w:val="000000"/>
        </w:rPr>
        <w:t xml:space="preserve">The </w:t>
      </w:r>
      <w:r w:rsidRPr="00FC6F23" w:rsidR="00D32ADF">
        <w:rPr>
          <w:rFonts w:ascii="Times New Roman" w:hAnsi="Times New Roman" w:cs="Times New Roman"/>
          <w:color w:val="000000"/>
        </w:rPr>
        <w:t>propose</w:t>
      </w:r>
      <w:r w:rsidRPr="00FD77B6" w:rsidR="003643C3">
        <w:rPr>
          <w:rFonts w:ascii="Times New Roman" w:hAnsi="Times New Roman" w:cs="Times New Roman"/>
          <w:color w:val="000000"/>
        </w:rPr>
        <w:t>d</w:t>
      </w:r>
      <w:r w:rsidR="003643C3">
        <w:rPr>
          <w:rFonts w:ascii="Times New Roman" w:hAnsi="Times New Roman" w:cs="Times New Roman"/>
          <w:color w:val="000000"/>
        </w:rPr>
        <w:t xml:space="preserve"> rule assumed $1,00</w:t>
      </w:r>
      <w:r w:rsidR="00444915">
        <w:rPr>
          <w:rFonts w:ascii="Times New Roman" w:hAnsi="Times New Roman" w:cs="Times New Roman"/>
          <w:color w:val="000000"/>
        </w:rPr>
        <w:t xml:space="preserve">0 per facility for their monitoring equipment backup power. This final rule revised those assumptions </w:t>
      </w:r>
      <w:r w:rsidR="003F2B4C">
        <w:rPr>
          <w:rFonts w:ascii="Times New Roman" w:hAnsi="Times New Roman" w:cs="Times New Roman"/>
          <w:color w:val="000000"/>
        </w:rPr>
        <w:t xml:space="preserve">to $3,300 per facility </w:t>
      </w:r>
      <w:r w:rsidR="00D36F4D">
        <w:rPr>
          <w:rFonts w:ascii="Times New Roman" w:hAnsi="Times New Roman" w:cs="Times New Roman"/>
          <w:color w:val="000000"/>
        </w:rPr>
        <w:t>in any given year</w:t>
      </w:r>
      <w:r w:rsidR="00444915">
        <w:rPr>
          <w:rFonts w:ascii="Times New Roman" w:hAnsi="Times New Roman" w:cs="Times New Roman"/>
          <w:color w:val="000000"/>
        </w:rPr>
        <w:t xml:space="preserve"> based on </w:t>
      </w:r>
      <w:r w:rsidR="000C194B">
        <w:rPr>
          <w:rFonts w:ascii="Times New Roman" w:hAnsi="Times New Roman" w:cs="Times New Roman"/>
          <w:color w:val="000000"/>
        </w:rPr>
        <w:t xml:space="preserve">generator </w:t>
      </w:r>
      <w:r w:rsidR="006655E6">
        <w:rPr>
          <w:rFonts w:ascii="Times New Roman" w:hAnsi="Times New Roman" w:cs="Times New Roman"/>
          <w:color w:val="000000"/>
        </w:rPr>
        <w:t xml:space="preserve">pricing </w:t>
      </w:r>
      <w:r w:rsidR="008D77F7">
        <w:rPr>
          <w:rFonts w:ascii="Times New Roman" w:hAnsi="Times New Roman" w:cs="Times New Roman"/>
          <w:color w:val="000000"/>
        </w:rPr>
        <w:t xml:space="preserve">and </w:t>
      </w:r>
      <w:r w:rsidR="002123B5">
        <w:rPr>
          <w:rFonts w:ascii="Times New Roman" w:hAnsi="Times New Roman" w:cs="Times New Roman"/>
          <w:color w:val="000000"/>
        </w:rPr>
        <w:t>sensor power requirement</w:t>
      </w:r>
      <w:r w:rsidR="008D77F7">
        <w:rPr>
          <w:rFonts w:ascii="Times New Roman" w:hAnsi="Times New Roman" w:cs="Times New Roman"/>
          <w:color w:val="000000"/>
        </w:rPr>
        <w:t xml:space="preserve"> </w:t>
      </w:r>
      <w:r w:rsidR="006655E6">
        <w:rPr>
          <w:rFonts w:ascii="Times New Roman" w:hAnsi="Times New Roman" w:cs="Times New Roman"/>
          <w:color w:val="000000"/>
        </w:rPr>
        <w:t>information from commercial websites</w:t>
      </w:r>
      <w:r w:rsidR="002123B5">
        <w:rPr>
          <w:rFonts w:ascii="Times New Roman" w:hAnsi="Times New Roman" w:cs="Times New Roman"/>
          <w:color w:val="000000"/>
        </w:rPr>
        <w:t>, as well as an example of the number of perimeter monitors at a facility</w:t>
      </w:r>
      <w:r w:rsidR="00444915">
        <w:rPr>
          <w:rFonts w:ascii="Times New Roman" w:hAnsi="Times New Roman" w:cs="Times New Roman"/>
          <w:color w:val="000000"/>
        </w:rPr>
        <w:t>.</w:t>
      </w:r>
      <w:r>
        <w:rPr>
          <w:rStyle w:val="FootnoteReference"/>
          <w:rFonts w:ascii="Times New Roman" w:hAnsi="Times New Roman" w:cs="Times New Roman"/>
          <w:color w:val="000000"/>
        </w:rPr>
        <w:footnoteReference w:id="114"/>
      </w:r>
      <w:r w:rsidR="00444915">
        <w:rPr>
          <w:rFonts w:ascii="Times New Roman" w:hAnsi="Times New Roman" w:cs="Times New Roman"/>
          <w:color w:val="000000"/>
        </w:rPr>
        <w:t xml:space="preserve"> </w:t>
      </w:r>
      <w:r w:rsidR="00217B90">
        <w:rPr>
          <w:rFonts w:ascii="Times New Roman" w:hAnsi="Times New Roman" w:cs="Times New Roman"/>
          <w:color w:val="000000"/>
        </w:rPr>
        <w:t>EPA</w:t>
      </w:r>
      <w:r w:rsidR="00FD30D9">
        <w:rPr>
          <w:rFonts w:ascii="Times New Roman" w:hAnsi="Times New Roman" w:cs="Times New Roman"/>
          <w:color w:val="000000"/>
        </w:rPr>
        <w:t xml:space="preserve"> assumes </w:t>
      </w:r>
      <w:r w:rsidR="000A7A61">
        <w:rPr>
          <w:rFonts w:ascii="Times New Roman" w:hAnsi="Times New Roman" w:cs="Times New Roman"/>
          <w:color w:val="000000"/>
        </w:rPr>
        <w:t>a</w:t>
      </w:r>
      <w:r w:rsidR="00F1326B">
        <w:rPr>
          <w:rFonts w:ascii="Times New Roman" w:hAnsi="Times New Roman" w:cs="Times New Roman"/>
          <w:color w:val="000000"/>
        </w:rPr>
        <w:t xml:space="preserve"> facilit</w:t>
      </w:r>
      <w:r w:rsidR="000A7A61">
        <w:rPr>
          <w:rFonts w:ascii="Times New Roman" w:hAnsi="Times New Roman" w:cs="Times New Roman"/>
          <w:color w:val="000000"/>
        </w:rPr>
        <w:t>y</w:t>
      </w:r>
      <w:r w:rsidR="00F1326B">
        <w:rPr>
          <w:rFonts w:ascii="Times New Roman" w:hAnsi="Times New Roman" w:cs="Times New Roman"/>
          <w:color w:val="000000"/>
        </w:rPr>
        <w:t>’</w:t>
      </w:r>
      <w:r w:rsidR="000A7A61">
        <w:rPr>
          <w:rFonts w:ascii="Times New Roman" w:hAnsi="Times New Roman" w:cs="Times New Roman"/>
          <w:color w:val="000000"/>
        </w:rPr>
        <w:t>s</w:t>
      </w:r>
      <w:r w:rsidR="00F1326B">
        <w:rPr>
          <w:rFonts w:ascii="Times New Roman" w:hAnsi="Times New Roman" w:cs="Times New Roman"/>
          <w:color w:val="000000"/>
        </w:rPr>
        <w:t xml:space="preserve"> perimeter monitoring system</w:t>
      </w:r>
      <w:r w:rsidR="00B47D94">
        <w:rPr>
          <w:rFonts w:ascii="Times New Roman" w:hAnsi="Times New Roman" w:cs="Times New Roman"/>
          <w:color w:val="000000"/>
        </w:rPr>
        <w:t xml:space="preserve"> will </w:t>
      </w:r>
      <w:r w:rsidR="000A7A61">
        <w:rPr>
          <w:rFonts w:ascii="Times New Roman" w:hAnsi="Times New Roman" w:cs="Times New Roman"/>
          <w:color w:val="000000"/>
        </w:rPr>
        <w:t xml:space="preserve">require </w:t>
      </w:r>
      <w:r w:rsidR="00772D26">
        <w:rPr>
          <w:rFonts w:ascii="Times New Roman" w:hAnsi="Times New Roman" w:cs="Times New Roman"/>
          <w:color w:val="000000"/>
        </w:rPr>
        <w:t xml:space="preserve">a </w:t>
      </w:r>
      <w:r w:rsidR="007E415A">
        <w:rPr>
          <w:rFonts w:ascii="Times New Roman" w:hAnsi="Times New Roman" w:cs="Times New Roman"/>
          <w:color w:val="000000"/>
        </w:rPr>
        <w:t>1</w:t>
      </w:r>
      <w:r w:rsidR="00CD3FD3">
        <w:rPr>
          <w:rFonts w:ascii="Times New Roman" w:hAnsi="Times New Roman" w:cs="Times New Roman"/>
          <w:color w:val="000000"/>
        </w:rPr>
        <w:t xml:space="preserve"> </w:t>
      </w:r>
      <w:r w:rsidR="00DF731D">
        <w:rPr>
          <w:rFonts w:ascii="Times New Roman" w:hAnsi="Times New Roman" w:cs="Times New Roman"/>
          <w:color w:val="000000"/>
        </w:rPr>
        <w:t xml:space="preserve">kW </w:t>
      </w:r>
      <w:r w:rsidR="008D62A7">
        <w:rPr>
          <w:rFonts w:ascii="Times New Roman" w:hAnsi="Times New Roman" w:cs="Times New Roman"/>
          <w:color w:val="000000"/>
        </w:rPr>
        <w:t xml:space="preserve">backup </w:t>
      </w:r>
      <w:r w:rsidR="00DF731D">
        <w:rPr>
          <w:rFonts w:ascii="Times New Roman" w:hAnsi="Times New Roman" w:cs="Times New Roman"/>
          <w:color w:val="000000"/>
        </w:rPr>
        <w:t>generator</w:t>
      </w:r>
      <w:r w:rsidR="00B313DC">
        <w:rPr>
          <w:rFonts w:ascii="Times New Roman" w:hAnsi="Times New Roman" w:cs="Times New Roman"/>
          <w:color w:val="000000"/>
        </w:rPr>
        <w:t>,</w:t>
      </w:r>
      <w:r w:rsidR="00FC671C">
        <w:rPr>
          <w:rFonts w:ascii="Times New Roman" w:hAnsi="Times New Roman" w:cs="Times New Roman"/>
          <w:color w:val="000000"/>
        </w:rPr>
        <w:t xml:space="preserve"> </w:t>
      </w:r>
      <w:r w:rsidR="00CD7768">
        <w:rPr>
          <w:rFonts w:ascii="Times New Roman" w:hAnsi="Times New Roman" w:cs="Times New Roman"/>
          <w:color w:val="000000"/>
        </w:rPr>
        <w:t xml:space="preserve">but </w:t>
      </w:r>
      <w:r w:rsidR="006B4C0C">
        <w:rPr>
          <w:rFonts w:ascii="Times New Roman" w:hAnsi="Times New Roman" w:cs="Times New Roman"/>
          <w:color w:val="000000"/>
        </w:rPr>
        <w:t xml:space="preserve">facilities </w:t>
      </w:r>
      <w:r w:rsidR="00CD7768">
        <w:rPr>
          <w:rFonts w:ascii="Times New Roman" w:hAnsi="Times New Roman" w:cs="Times New Roman"/>
          <w:color w:val="000000"/>
        </w:rPr>
        <w:t xml:space="preserve">may purchase a slightly more powerful model. EPA assumes </w:t>
      </w:r>
      <w:r w:rsidR="0049075B">
        <w:rPr>
          <w:rFonts w:ascii="Times New Roman" w:hAnsi="Times New Roman" w:cs="Times New Roman"/>
          <w:color w:val="000000"/>
        </w:rPr>
        <w:t xml:space="preserve">a facility will pay $3,000 </w:t>
      </w:r>
      <w:r w:rsidR="00CD7768">
        <w:rPr>
          <w:rFonts w:ascii="Times New Roman" w:hAnsi="Times New Roman" w:cs="Times New Roman"/>
          <w:color w:val="000000"/>
        </w:rPr>
        <w:t xml:space="preserve">to purchase and install </w:t>
      </w:r>
      <w:r w:rsidR="002B7859">
        <w:rPr>
          <w:rFonts w:ascii="Times New Roman" w:hAnsi="Times New Roman" w:cs="Times New Roman"/>
          <w:color w:val="000000"/>
        </w:rPr>
        <w:t xml:space="preserve">such a small generator based on identifying an 8.5kW home generator listed for </w:t>
      </w:r>
      <w:r w:rsidR="00A7788E">
        <w:rPr>
          <w:rFonts w:ascii="Times New Roman" w:hAnsi="Times New Roman" w:cs="Times New Roman"/>
          <w:color w:val="000000"/>
        </w:rPr>
        <w:t>slightly below</w:t>
      </w:r>
      <w:r w:rsidR="007625A2">
        <w:rPr>
          <w:rFonts w:ascii="Times New Roman" w:hAnsi="Times New Roman" w:cs="Times New Roman"/>
          <w:color w:val="000000"/>
        </w:rPr>
        <w:t xml:space="preserve"> </w:t>
      </w:r>
      <w:r w:rsidR="002B7859">
        <w:rPr>
          <w:rFonts w:ascii="Times New Roman" w:hAnsi="Times New Roman" w:cs="Times New Roman"/>
          <w:color w:val="000000"/>
        </w:rPr>
        <w:t>$3,000</w:t>
      </w:r>
      <w:r w:rsidR="0049075B">
        <w:rPr>
          <w:rFonts w:ascii="Times New Roman" w:hAnsi="Times New Roman" w:cs="Times New Roman"/>
          <w:color w:val="000000"/>
        </w:rPr>
        <w:t>.</w:t>
      </w:r>
      <w:r>
        <w:rPr>
          <w:rStyle w:val="FootnoteReference"/>
          <w:rFonts w:ascii="Times New Roman" w:hAnsi="Times New Roman" w:cs="Times New Roman"/>
          <w:color w:val="000000"/>
        </w:rPr>
        <w:footnoteReference w:id="115"/>
      </w:r>
      <w:r w:rsidR="0049075B">
        <w:rPr>
          <w:rFonts w:ascii="Times New Roman" w:hAnsi="Times New Roman" w:cs="Times New Roman"/>
          <w:color w:val="000000"/>
        </w:rPr>
        <w:t xml:space="preserve"> </w:t>
      </w:r>
      <w:r w:rsidR="00AA2B98">
        <w:rPr>
          <w:rFonts w:ascii="Times New Roman" w:hAnsi="Times New Roman" w:cs="Times New Roman"/>
          <w:color w:val="000000"/>
        </w:rPr>
        <w:t>EPA assumes a 5-year lifespan for the generator, so facilities will newly purchase or make equivalently costly repairs every 5 years. EPA</w:t>
      </w:r>
      <w:r w:rsidR="0049075B">
        <w:rPr>
          <w:rFonts w:ascii="Times New Roman" w:hAnsi="Times New Roman" w:cs="Times New Roman"/>
          <w:color w:val="000000"/>
        </w:rPr>
        <w:t xml:space="preserve"> assumes </w:t>
      </w:r>
      <w:r w:rsidR="00AA2B98">
        <w:rPr>
          <w:rFonts w:ascii="Times New Roman" w:hAnsi="Times New Roman" w:cs="Times New Roman"/>
          <w:color w:val="000000"/>
        </w:rPr>
        <w:t>ordinary annual</w:t>
      </w:r>
      <w:r w:rsidR="0049075B">
        <w:rPr>
          <w:rFonts w:ascii="Times New Roman" w:hAnsi="Times New Roman" w:cs="Times New Roman"/>
          <w:color w:val="000000"/>
        </w:rPr>
        <w:t xml:space="preserve"> operation</w:t>
      </w:r>
      <w:r w:rsidR="002B7859">
        <w:rPr>
          <w:rFonts w:ascii="Times New Roman" w:hAnsi="Times New Roman" w:cs="Times New Roman"/>
          <w:color w:val="000000"/>
        </w:rPr>
        <w:t xml:space="preserve"> and </w:t>
      </w:r>
      <w:r w:rsidR="0049075B">
        <w:rPr>
          <w:rFonts w:ascii="Times New Roman" w:hAnsi="Times New Roman" w:cs="Times New Roman"/>
          <w:color w:val="000000"/>
        </w:rPr>
        <w:t>maintenance costs of 10% of purchase and installation costs, or</w:t>
      </w:r>
      <w:r w:rsidR="002B7859">
        <w:rPr>
          <w:rFonts w:ascii="Times New Roman" w:hAnsi="Times New Roman" w:cs="Times New Roman"/>
          <w:color w:val="000000"/>
        </w:rPr>
        <w:t xml:space="preserve"> $300</w:t>
      </w:r>
      <w:r w:rsidR="0049075B">
        <w:rPr>
          <w:rFonts w:ascii="Times New Roman" w:hAnsi="Times New Roman" w:cs="Times New Roman"/>
          <w:color w:val="000000"/>
        </w:rPr>
        <w:t xml:space="preserve"> per year</w:t>
      </w:r>
      <w:r w:rsidR="00444915">
        <w:rPr>
          <w:rFonts w:ascii="Times New Roman" w:hAnsi="Times New Roman" w:cs="Times New Roman"/>
          <w:color w:val="000000"/>
        </w:rPr>
        <w:t xml:space="preserve">. </w:t>
      </w:r>
      <w:r w:rsidR="00C663B9">
        <w:rPr>
          <w:rFonts w:ascii="Times New Roman" w:hAnsi="Times New Roman" w:cs="Times New Roman"/>
          <w:color w:val="000000"/>
        </w:rPr>
        <w:t>Exhibit 4-12 present</w:t>
      </w:r>
      <w:r w:rsidR="00DF3257">
        <w:rPr>
          <w:rFonts w:ascii="Times New Roman" w:hAnsi="Times New Roman" w:cs="Times New Roman"/>
          <w:color w:val="000000"/>
        </w:rPr>
        <w:t xml:space="preserve">s facility costs </w:t>
      </w:r>
      <w:r w:rsidR="00111143">
        <w:rPr>
          <w:rFonts w:ascii="Times New Roman" w:hAnsi="Times New Roman" w:cs="Times New Roman"/>
          <w:color w:val="000000"/>
        </w:rPr>
        <w:t xml:space="preserve">in the </w:t>
      </w:r>
      <w:r w:rsidR="00DF5CD1">
        <w:rPr>
          <w:rFonts w:ascii="Times New Roman" w:hAnsi="Times New Roman" w:cs="Times New Roman"/>
          <w:color w:val="000000"/>
        </w:rPr>
        <w:t>year of purchase</w:t>
      </w:r>
      <w:r w:rsidR="00E566C8">
        <w:rPr>
          <w:rFonts w:ascii="Times New Roman" w:hAnsi="Times New Roman" w:cs="Times New Roman"/>
          <w:color w:val="000000"/>
        </w:rPr>
        <w:t xml:space="preserve"> (e</w:t>
      </w:r>
      <w:r w:rsidR="00B718A9">
        <w:rPr>
          <w:rFonts w:ascii="Times New Roman" w:hAnsi="Times New Roman" w:cs="Times New Roman"/>
          <w:color w:val="000000"/>
        </w:rPr>
        <w:t>.g., year 1 and 6)</w:t>
      </w:r>
      <w:r w:rsidR="007D7DA8">
        <w:rPr>
          <w:rFonts w:ascii="Times New Roman" w:hAnsi="Times New Roman" w:cs="Times New Roman"/>
          <w:color w:val="000000"/>
        </w:rPr>
        <w:t xml:space="preserve"> and in </w:t>
      </w:r>
      <w:r w:rsidR="00892242">
        <w:rPr>
          <w:rFonts w:ascii="Times New Roman" w:hAnsi="Times New Roman" w:cs="Times New Roman"/>
          <w:color w:val="000000"/>
        </w:rPr>
        <w:t>years with only ordinary annual operation and maintenance costs (e.g</w:t>
      </w:r>
      <w:r w:rsidR="00F734E7">
        <w:rPr>
          <w:rFonts w:ascii="Times New Roman" w:hAnsi="Times New Roman" w:cs="Times New Roman"/>
          <w:color w:val="000000"/>
        </w:rPr>
        <w:t>.</w:t>
      </w:r>
      <w:r w:rsidR="00892242">
        <w:rPr>
          <w:rFonts w:ascii="Times New Roman" w:hAnsi="Times New Roman" w:cs="Times New Roman"/>
          <w:color w:val="000000"/>
        </w:rPr>
        <w:t>, year 2-5 and 7-10)</w:t>
      </w:r>
      <w:r w:rsidR="007D7DA8">
        <w:rPr>
          <w:rFonts w:ascii="Times New Roman" w:hAnsi="Times New Roman" w:cs="Times New Roman"/>
          <w:color w:val="000000"/>
        </w:rPr>
        <w:t>.</w:t>
      </w:r>
      <w:r w:rsidR="00444915">
        <w:rPr>
          <w:rFonts w:ascii="Times New Roman" w:hAnsi="Times New Roman" w:cs="Times New Roman"/>
          <w:color w:val="000000"/>
        </w:rPr>
        <w:t xml:space="preserve"> </w:t>
      </w:r>
    </w:p>
    <w:p w:rsidR="00AA76C5" w:rsidRPr="00E52D45" w:rsidP="004D4B61" w14:paraId="70CC0051" w14:textId="77777777">
      <w:pPr>
        <w:spacing w:after="0" w:line="240" w:lineRule="auto"/>
        <w:rPr>
          <w:rFonts w:ascii="Times New Roman" w:eastAsia="Calibri" w:hAnsi="Times New Roman" w:cs="Times New Roman"/>
          <w:kern w:val="24"/>
        </w:rPr>
      </w:pPr>
    </w:p>
    <w:p w:rsidR="00054074" w:rsidRPr="0074255F" w:rsidP="00054074" w14:paraId="5D3525BA" w14:textId="77777777">
      <w:pPr>
        <w:pStyle w:val="Caption"/>
        <w:keepNext/>
        <w:jc w:val="center"/>
        <w:rPr>
          <w:rFonts w:ascii="Times New Roman" w:hAnsi="Times New Roman" w:cs="Times New Roman"/>
          <w:b/>
          <w:bCs/>
          <w:i w:val="0"/>
          <w:iCs w:val="0"/>
          <w:color w:val="auto"/>
          <w:sz w:val="22"/>
          <w:szCs w:val="22"/>
        </w:rPr>
      </w:pPr>
      <w:r w:rsidRPr="00835820">
        <w:rPr>
          <w:rFonts w:ascii="Times New Roman" w:hAnsi="Times New Roman" w:cs="Times New Roman"/>
          <w:b/>
          <w:bCs/>
          <w:i w:val="0"/>
          <w:iCs w:val="0"/>
          <w:color w:val="auto"/>
          <w:sz w:val="22"/>
          <w:szCs w:val="22"/>
        </w:rPr>
        <w:t>Exhibit</w:t>
      </w:r>
      <w:r w:rsidRPr="00027D5D">
        <w:rPr>
          <w:rFonts w:ascii="Times New Roman" w:hAnsi="Times New Roman" w:cs="Times New Roman"/>
        </w:rPr>
        <w:t xml:space="preserve"> </w:t>
      </w:r>
      <w:r w:rsidRPr="00835820">
        <w:rPr>
          <w:rFonts w:ascii="Times New Roman" w:hAnsi="Times New Roman" w:cs="Times New Roman"/>
          <w:b/>
          <w:bCs/>
          <w:i w:val="0"/>
          <w:iCs w:val="0"/>
          <w:color w:val="auto"/>
          <w:sz w:val="22"/>
          <w:szCs w:val="22"/>
        </w:rPr>
        <w:t>4-</w:t>
      </w:r>
      <w:r w:rsidR="00C663B9">
        <w:rPr>
          <w:rFonts w:ascii="Times New Roman" w:hAnsi="Times New Roman" w:cs="Times New Roman"/>
          <w:b/>
          <w:bCs/>
          <w:i w:val="0"/>
          <w:iCs w:val="0"/>
          <w:color w:val="auto"/>
          <w:sz w:val="22"/>
          <w:szCs w:val="22"/>
        </w:rPr>
        <w:t>12</w:t>
      </w:r>
      <w:r w:rsidRPr="00835820">
        <w:rPr>
          <w:rFonts w:ascii="Times New Roman" w:hAnsi="Times New Roman" w:cs="Times New Roman"/>
          <w:b/>
          <w:bCs/>
          <w:i w:val="0"/>
          <w:iCs w:val="0"/>
          <w:color w:val="auto"/>
          <w:sz w:val="22"/>
          <w:szCs w:val="22"/>
        </w:rPr>
        <w:t xml:space="preserve">: </w:t>
      </w:r>
      <w:r w:rsidR="00BA45DB">
        <w:rPr>
          <w:rFonts w:ascii="Times New Roman" w:hAnsi="Times New Roman" w:cs="Times New Roman"/>
          <w:b/>
          <w:bCs/>
          <w:i w:val="0"/>
          <w:iCs w:val="0"/>
          <w:color w:val="auto"/>
          <w:sz w:val="22"/>
          <w:szCs w:val="22"/>
        </w:rPr>
        <w:t>Perimeter Monitor Backup Power</w:t>
      </w:r>
      <w:r>
        <w:rPr>
          <w:rFonts w:ascii="Times New Roman" w:hAnsi="Times New Roman" w:cs="Times New Roman"/>
          <w:b/>
          <w:bCs/>
          <w:i w:val="0"/>
          <w:iCs w:val="0"/>
          <w:color w:val="auto"/>
          <w:sz w:val="22"/>
          <w:szCs w:val="22"/>
        </w:rPr>
        <w:t xml:space="preserve"> Costs per Facility</w:t>
      </w:r>
      <w:r w:rsidRPr="00835820">
        <w:rPr>
          <w:rFonts w:ascii="Times New Roman" w:hAnsi="Times New Roman" w:cs="Times New Roman"/>
          <w:b/>
          <w:bCs/>
          <w:i w:val="0"/>
          <w:iCs w:val="0"/>
          <w:color w:val="auto"/>
          <w:sz w:val="22"/>
          <w:szCs w:val="22"/>
        </w:rPr>
        <w:t xml:space="preserve"> (202</w:t>
      </w:r>
      <w:r>
        <w:rPr>
          <w:rFonts w:ascii="Times New Roman" w:hAnsi="Times New Roman" w:cs="Times New Roman"/>
          <w:b/>
          <w:bCs/>
          <w:i w:val="0"/>
          <w:iCs w:val="0"/>
          <w:color w:val="auto"/>
          <w:sz w:val="22"/>
          <w:szCs w:val="22"/>
        </w:rPr>
        <w:t>2</w:t>
      </w:r>
      <w:r w:rsidRPr="00835820">
        <w:rPr>
          <w:rFonts w:ascii="Times New Roman" w:hAnsi="Times New Roman" w:cs="Times New Roman"/>
          <w:b/>
          <w:bCs/>
          <w:i w:val="0"/>
          <w:iCs w:val="0"/>
          <w:color w:val="auto"/>
          <w:sz w:val="22"/>
          <w:szCs w:val="22"/>
        </w:rPr>
        <w:t xml:space="preserve"> dollars).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913"/>
        <w:gridCol w:w="2340"/>
        <w:gridCol w:w="1620"/>
        <w:gridCol w:w="1877"/>
      </w:tblGrid>
      <w:tr w14:paraId="37F655CE" w14:textId="77777777" w:rsidTr="00D82F8B">
        <w:tblPrEx>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0"/>
        </w:trPr>
        <w:tc>
          <w:tcPr>
            <w:tcW w:w="3055" w:type="dxa"/>
            <w:vMerge w:val="restart"/>
            <w:shd w:val="clear" w:color="auto" w:fill="D9D9D9" w:themeFill="background1" w:themeFillShade="D9"/>
            <w:vAlign w:val="bottom"/>
            <w:hideMark/>
          </w:tcPr>
          <w:p w:rsidR="00DC473A" w:rsidRPr="00027D5D" w14:paraId="5AF5259D" w14:textId="77777777">
            <w:pPr>
              <w:spacing w:after="0" w:line="240" w:lineRule="auto"/>
              <w:jc w:val="center"/>
              <w:rPr>
                <w:rFonts w:ascii="Times New Roman" w:eastAsia="Times New Roman" w:hAnsi="Times New Roman" w:cs="Times New Roman"/>
                <w:b/>
                <w:color w:val="000000"/>
              </w:rPr>
            </w:pPr>
            <w:r w:rsidRPr="00027D5D">
              <w:rPr>
                <w:rFonts w:ascii="Times New Roman" w:eastAsia="Times New Roman" w:hAnsi="Times New Roman" w:cs="Times New Roman"/>
                <w:b/>
                <w:color w:val="000000"/>
              </w:rPr>
              <w:t>Facility Type</w:t>
            </w:r>
          </w:p>
        </w:tc>
        <w:tc>
          <w:tcPr>
            <w:tcW w:w="900" w:type="dxa"/>
            <w:vMerge w:val="restart"/>
            <w:shd w:val="clear" w:color="auto" w:fill="D9D9D9" w:themeFill="background1" w:themeFillShade="D9"/>
            <w:noWrap/>
            <w:vAlign w:val="bottom"/>
            <w:hideMark/>
          </w:tcPr>
          <w:p w:rsidR="00DC473A" w:rsidRPr="00027D5D" w14:paraId="09B0D819" w14:textId="77777777">
            <w:pPr>
              <w:spacing w:after="0" w:line="240" w:lineRule="auto"/>
              <w:jc w:val="center"/>
              <w:rPr>
                <w:rFonts w:ascii="Times New Roman" w:eastAsia="Times New Roman" w:hAnsi="Times New Roman" w:cs="Times New Roman"/>
                <w:b/>
                <w:color w:val="000000"/>
              </w:rPr>
            </w:pPr>
            <w:r w:rsidRPr="00027D5D">
              <w:rPr>
                <w:rFonts w:ascii="Times New Roman" w:eastAsia="Times New Roman" w:hAnsi="Times New Roman" w:cs="Times New Roman"/>
                <w:b/>
                <w:color w:val="000000"/>
              </w:rPr>
              <w:t>Capital Cost</w:t>
            </w:r>
          </w:p>
        </w:tc>
        <w:tc>
          <w:tcPr>
            <w:tcW w:w="2340" w:type="dxa"/>
            <w:vMerge w:val="restart"/>
            <w:shd w:val="clear" w:color="auto" w:fill="D9D9D9" w:themeFill="background1" w:themeFillShade="D9"/>
            <w:noWrap/>
            <w:vAlign w:val="bottom"/>
            <w:hideMark/>
          </w:tcPr>
          <w:p w:rsidR="00DC473A" w:rsidRPr="00027D5D" w14:paraId="605EE550" w14:textId="77777777">
            <w:pPr>
              <w:spacing w:after="0" w:line="240" w:lineRule="auto"/>
              <w:jc w:val="center"/>
              <w:rPr>
                <w:rFonts w:ascii="Times New Roman" w:eastAsia="Times New Roman" w:hAnsi="Times New Roman" w:cs="Times New Roman"/>
                <w:b/>
                <w:color w:val="000000"/>
              </w:rPr>
            </w:pPr>
            <w:r w:rsidRPr="00027D5D">
              <w:rPr>
                <w:rFonts w:ascii="Times New Roman" w:eastAsia="Times New Roman" w:hAnsi="Times New Roman" w:cs="Times New Roman"/>
                <w:b/>
                <w:color w:val="000000"/>
              </w:rPr>
              <w:t>Recurring Cost as a Percent of Capital Cost</w:t>
            </w:r>
          </w:p>
        </w:tc>
        <w:tc>
          <w:tcPr>
            <w:tcW w:w="3510" w:type="dxa"/>
            <w:gridSpan w:val="2"/>
            <w:shd w:val="clear" w:color="auto" w:fill="D9D9D9" w:themeFill="background1" w:themeFillShade="D9"/>
          </w:tcPr>
          <w:p w:rsidR="00DC473A" w:rsidRPr="00027D5D" w14:paraId="33900AAD" w14:textId="77777777">
            <w:pPr>
              <w:spacing w:after="0" w:line="240" w:lineRule="auto"/>
              <w:jc w:val="center"/>
              <w:rPr>
                <w:rFonts w:ascii="Times New Roman" w:eastAsia="Times New Roman" w:hAnsi="Times New Roman" w:cs="Times New Roman"/>
                <w:b/>
              </w:rPr>
            </w:pPr>
            <w:r w:rsidRPr="00027D5D">
              <w:rPr>
                <w:rFonts w:ascii="Times New Roman" w:eastAsia="Times New Roman" w:hAnsi="Times New Roman" w:cs="Times New Roman"/>
                <w:b/>
              </w:rPr>
              <w:t xml:space="preserve">Facility Cost </w:t>
            </w:r>
          </w:p>
        </w:tc>
      </w:tr>
      <w:tr w14:paraId="07C48585" w14:textId="77777777" w:rsidTr="00D82F8B">
        <w:tblPrEx>
          <w:tblW w:w="9805" w:type="dxa"/>
          <w:tblLook w:val="04A0"/>
        </w:tblPrEx>
        <w:trPr>
          <w:trHeight w:val="270"/>
        </w:trPr>
        <w:tc>
          <w:tcPr>
            <w:tcW w:w="3055" w:type="dxa"/>
            <w:vMerge/>
            <w:shd w:val="clear" w:color="auto" w:fill="D9D9D9" w:themeFill="background1" w:themeFillShade="D9"/>
            <w:vAlign w:val="bottom"/>
          </w:tcPr>
          <w:p w:rsidR="00DC473A" w:rsidRPr="00027D5D" w14:paraId="00469A34" w14:textId="77777777">
            <w:pPr>
              <w:spacing w:after="0" w:line="240" w:lineRule="auto"/>
              <w:jc w:val="center"/>
              <w:rPr>
                <w:rFonts w:ascii="Times New Roman" w:eastAsia="Times New Roman" w:hAnsi="Times New Roman" w:cs="Times New Roman"/>
                <w:b/>
                <w:color w:val="000000"/>
              </w:rPr>
            </w:pPr>
          </w:p>
        </w:tc>
        <w:tc>
          <w:tcPr>
            <w:tcW w:w="900" w:type="dxa"/>
            <w:vMerge/>
            <w:shd w:val="clear" w:color="auto" w:fill="D9D9D9" w:themeFill="background1" w:themeFillShade="D9"/>
            <w:noWrap/>
            <w:vAlign w:val="bottom"/>
          </w:tcPr>
          <w:p w:rsidR="00DC473A" w:rsidRPr="00027D5D" w14:paraId="2F96729E" w14:textId="77777777">
            <w:pPr>
              <w:spacing w:after="0" w:line="240" w:lineRule="auto"/>
              <w:jc w:val="center"/>
              <w:rPr>
                <w:rFonts w:ascii="Times New Roman" w:eastAsia="Times New Roman" w:hAnsi="Times New Roman" w:cs="Times New Roman"/>
                <w:b/>
                <w:color w:val="000000"/>
              </w:rPr>
            </w:pPr>
          </w:p>
        </w:tc>
        <w:tc>
          <w:tcPr>
            <w:tcW w:w="2340" w:type="dxa"/>
            <w:vMerge/>
            <w:shd w:val="clear" w:color="auto" w:fill="D9D9D9" w:themeFill="background1" w:themeFillShade="D9"/>
            <w:noWrap/>
            <w:vAlign w:val="bottom"/>
          </w:tcPr>
          <w:p w:rsidR="00DC473A" w:rsidRPr="00027D5D" w14:paraId="39B7D3F1" w14:textId="77777777">
            <w:pPr>
              <w:spacing w:after="0" w:line="240" w:lineRule="auto"/>
              <w:jc w:val="center"/>
              <w:rPr>
                <w:rFonts w:ascii="Times New Roman" w:eastAsia="Times New Roman" w:hAnsi="Times New Roman" w:cs="Times New Roman"/>
                <w:b/>
                <w:color w:val="000000"/>
              </w:rPr>
            </w:pPr>
          </w:p>
        </w:tc>
        <w:tc>
          <w:tcPr>
            <w:tcW w:w="1620" w:type="dxa"/>
            <w:shd w:val="clear" w:color="auto" w:fill="D9D9D9" w:themeFill="background1" w:themeFillShade="D9"/>
          </w:tcPr>
          <w:p w:rsidR="00DC473A" w:rsidRPr="00027D5D" w14:paraId="5C4AA3C9" w14:textId="77777777">
            <w:pPr>
              <w:spacing w:after="0" w:line="240" w:lineRule="auto"/>
              <w:jc w:val="center"/>
              <w:rPr>
                <w:rFonts w:ascii="Times New Roman" w:eastAsia="Times New Roman" w:hAnsi="Times New Roman" w:cs="Times New Roman"/>
                <w:b/>
              </w:rPr>
            </w:pPr>
            <w:r w:rsidRPr="00027D5D">
              <w:rPr>
                <w:rFonts w:ascii="Times New Roman" w:eastAsia="Times New Roman" w:hAnsi="Times New Roman" w:cs="Times New Roman"/>
                <w:b/>
              </w:rPr>
              <w:t>Years 1 &amp; 6</w:t>
            </w:r>
          </w:p>
        </w:tc>
        <w:tc>
          <w:tcPr>
            <w:tcW w:w="1890" w:type="dxa"/>
            <w:shd w:val="clear" w:color="auto" w:fill="D9D9D9" w:themeFill="background1" w:themeFillShade="D9"/>
          </w:tcPr>
          <w:p w:rsidR="00DC473A" w:rsidRPr="00027D5D" w14:paraId="367A2AB0" w14:textId="77777777">
            <w:pPr>
              <w:spacing w:after="0" w:line="240" w:lineRule="auto"/>
              <w:jc w:val="center"/>
              <w:rPr>
                <w:rFonts w:ascii="Times New Roman" w:eastAsia="Times New Roman" w:hAnsi="Times New Roman" w:cs="Times New Roman"/>
                <w:b/>
              </w:rPr>
            </w:pPr>
            <w:r w:rsidRPr="00027D5D">
              <w:rPr>
                <w:rFonts w:ascii="Times New Roman" w:eastAsia="Times New Roman" w:hAnsi="Times New Roman" w:cs="Times New Roman"/>
                <w:b/>
              </w:rPr>
              <w:t>Years 2-5 &amp; 7-10</w:t>
            </w:r>
          </w:p>
        </w:tc>
      </w:tr>
      <w:tr w14:paraId="758162C1" w14:textId="77777777" w:rsidTr="00FC6F23">
        <w:tblPrEx>
          <w:tblW w:w="9805" w:type="dxa"/>
          <w:tblLook w:val="04A0"/>
        </w:tblPrEx>
        <w:trPr>
          <w:trHeight w:val="300"/>
        </w:trPr>
        <w:tc>
          <w:tcPr>
            <w:tcW w:w="3055" w:type="dxa"/>
            <w:shd w:val="clear" w:color="auto" w:fill="auto"/>
            <w:noWrap/>
            <w:vAlign w:val="bottom"/>
            <w:hideMark/>
          </w:tcPr>
          <w:p w:rsidR="00DC473A" w:rsidRPr="00027D5D" w14:paraId="19430228" w14:textId="77777777">
            <w:pPr>
              <w:spacing w:after="0" w:line="240" w:lineRule="auto"/>
              <w:jc w:val="right"/>
              <w:rPr>
                <w:rFonts w:ascii="Times New Roman" w:eastAsia="Times New Roman" w:hAnsi="Times New Roman" w:cs="Times New Roman"/>
                <w:color w:val="000000"/>
              </w:rPr>
            </w:pPr>
            <w:r w:rsidRPr="00027D5D">
              <w:rPr>
                <w:rFonts w:ascii="Times New Roman" w:eastAsia="Times New Roman" w:hAnsi="Times New Roman" w:cs="Times New Roman"/>
                <w:color w:val="000000"/>
              </w:rPr>
              <w:t xml:space="preserve">P2/3 </w:t>
            </w:r>
            <w:r w:rsidRPr="00027D5D" w:rsidR="00F523BA">
              <w:rPr>
                <w:rFonts w:ascii="Times New Roman" w:eastAsia="Times New Roman" w:hAnsi="Times New Roman" w:cs="Times New Roman"/>
                <w:color w:val="000000"/>
              </w:rPr>
              <w:t xml:space="preserve">with Perimeter Monitors </w:t>
            </w:r>
            <w:r w:rsidRPr="00027D5D">
              <w:rPr>
                <w:rFonts w:ascii="Times New Roman" w:eastAsia="Times New Roman" w:hAnsi="Times New Roman" w:cs="Times New Roman"/>
                <w:color w:val="000000"/>
              </w:rPr>
              <w:t>with</w:t>
            </w:r>
            <w:r w:rsidRPr="00027D5D" w:rsidR="00F523BA">
              <w:rPr>
                <w:rFonts w:ascii="Times New Roman" w:eastAsia="Times New Roman" w:hAnsi="Times New Roman" w:cs="Times New Roman"/>
                <w:color w:val="000000"/>
              </w:rPr>
              <w:t>out</w:t>
            </w:r>
            <w:r w:rsidRPr="00027D5D">
              <w:rPr>
                <w:rFonts w:ascii="Times New Roman" w:eastAsia="Times New Roman" w:hAnsi="Times New Roman" w:cs="Times New Roman"/>
                <w:color w:val="000000"/>
              </w:rPr>
              <w:t xml:space="preserve"> Backup Power</w:t>
            </w:r>
            <w:r w:rsidRPr="00027D5D" w:rsidR="00F523BA">
              <w:rPr>
                <w:rFonts w:ascii="Times New Roman" w:eastAsia="Times New Roman" w:hAnsi="Times New Roman" w:cs="Times New Roman"/>
                <w:color w:val="000000"/>
              </w:rPr>
              <w:t xml:space="preserve"> where Power Loss is </w:t>
            </w:r>
            <w:r w:rsidRPr="00027D5D" w:rsidR="001664CD">
              <w:rPr>
                <w:rFonts w:ascii="Times New Roman" w:eastAsia="Times New Roman" w:hAnsi="Times New Roman" w:cs="Times New Roman"/>
                <w:color w:val="000000"/>
              </w:rPr>
              <w:t xml:space="preserve">a </w:t>
            </w:r>
            <w:r w:rsidRPr="00027D5D" w:rsidR="00F523BA">
              <w:rPr>
                <w:rFonts w:ascii="Times New Roman" w:eastAsia="Times New Roman" w:hAnsi="Times New Roman" w:cs="Times New Roman"/>
                <w:color w:val="000000"/>
              </w:rPr>
              <w:t>Hazard</w:t>
            </w:r>
          </w:p>
        </w:tc>
        <w:tc>
          <w:tcPr>
            <w:tcW w:w="900" w:type="dxa"/>
            <w:shd w:val="clear" w:color="auto" w:fill="auto"/>
            <w:noWrap/>
            <w:vAlign w:val="bottom"/>
            <w:hideMark/>
          </w:tcPr>
          <w:p w:rsidR="00DC473A" w:rsidRPr="00027D5D" w14:paraId="3AB66CE8" w14:textId="77777777">
            <w:pPr>
              <w:spacing w:after="0" w:line="240" w:lineRule="auto"/>
              <w:jc w:val="center"/>
              <w:rPr>
                <w:rFonts w:ascii="Times New Roman" w:eastAsia="Times New Roman" w:hAnsi="Times New Roman" w:cs="Times New Roman"/>
              </w:rPr>
            </w:pPr>
            <w:r w:rsidRPr="00027D5D">
              <w:rPr>
                <w:rFonts w:ascii="Times New Roman" w:eastAsia="Times New Roman" w:hAnsi="Times New Roman" w:cs="Times New Roman"/>
              </w:rPr>
              <w:t>$3,000</w:t>
            </w:r>
          </w:p>
        </w:tc>
        <w:tc>
          <w:tcPr>
            <w:tcW w:w="2340" w:type="dxa"/>
            <w:shd w:val="clear" w:color="auto" w:fill="auto"/>
            <w:noWrap/>
            <w:vAlign w:val="bottom"/>
            <w:hideMark/>
          </w:tcPr>
          <w:p w:rsidR="00DC473A" w:rsidRPr="00027D5D" w14:paraId="037CD8DA" w14:textId="77777777">
            <w:pPr>
              <w:spacing w:after="0" w:line="240" w:lineRule="auto"/>
              <w:jc w:val="center"/>
              <w:rPr>
                <w:rFonts w:ascii="Times New Roman" w:eastAsia="Times New Roman" w:hAnsi="Times New Roman" w:cs="Times New Roman"/>
              </w:rPr>
            </w:pPr>
            <w:r w:rsidRPr="00027D5D">
              <w:rPr>
                <w:rFonts w:ascii="Times New Roman" w:eastAsia="Times New Roman" w:hAnsi="Times New Roman" w:cs="Times New Roman"/>
              </w:rPr>
              <w:t>10%</w:t>
            </w:r>
          </w:p>
        </w:tc>
        <w:tc>
          <w:tcPr>
            <w:tcW w:w="1620" w:type="dxa"/>
            <w:noWrap/>
            <w:vAlign w:val="bottom"/>
            <w:hideMark/>
          </w:tcPr>
          <w:p w:rsidR="00DC473A" w:rsidRPr="00027D5D" w14:paraId="6797CB21" w14:textId="77777777">
            <w:pPr>
              <w:spacing w:after="0" w:line="240" w:lineRule="auto"/>
              <w:jc w:val="center"/>
              <w:rPr>
                <w:rFonts w:ascii="Times New Roman" w:eastAsia="Times New Roman" w:hAnsi="Times New Roman" w:cs="Times New Roman"/>
              </w:rPr>
            </w:pPr>
            <w:r w:rsidRPr="00027D5D">
              <w:rPr>
                <w:rFonts w:ascii="Times New Roman" w:eastAsia="Times New Roman" w:hAnsi="Times New Roman" w:cs="Times New Roman"/>
              </w:rPr>
              <w:t>$3,300</w:t>
            </w:r>
          </w:p>
        </w:tc>
        <w:tc>
          <w:tcPr>
            <w:tcW w:w="1890" w:type="dxa"/>
            <w:vAlign w:val="bottom"/>
          </w:tcPr>
          <w:p w:rsidR="00DC473A" w:rsidRPr="00027D5D" w14:paraId="4558AA13" w14:textId="77777777">
            <w:pPr>
              <w:spacing w:after="0" w:line="240" w:lineRule="auto"/>
              <w:jc w:val="center"/>
              <w:rPr>
                <w:rFonts w:ascii="Times New Roman" w:eastAsia="Times New Roman" w:hAnsi="Times New Roman" w:cs="Times New Roman"/>
              </w:rPr>
            </w:pPr>
            <w:r w:rsidRPr="00027D5D">
              <w:rPr>
                <w:rFonts w:ascii="Times New Roman" w:eastAsia="Times New Roman" w:hAnsi="Times New Roman" w:cs="Times New Roman"/>
              </w:rPr>
              <w:t>$300</w:t>
            </w:r>
          </w:p>
        </w:tc>
      </w:tr>
    </w:tbl>
    <w:p w:rsidR="00054074" w:rsidRPr="00E52D45" w:rsidP="004D4B61" w14:paraId="7FB68DBB" w14:textId="77777777">
      <w:pPr>
        <w:spacing w:after="0" w:line="240" w:lineRule="auto"/>
        <w:rPr>
          <w:rFonts w:ascii="Times New Roman" w:eastAsia="Calibri" w:hAnsi="Times New Roman" w:cs="Times New Roman"/>
          <w:kern w:val="24"/>
        </w:rPr>
      </w:pPr>
    </w:p>
    <w:p w:rsidR="008360B0" w:rsidP="00C07306" w14:paraId="19683672" w14:textId="77777777">
      <w:pPr>
        <w:pStyle w:val="Heading2"/>
      </w:pPr>
      <w:bookmarkStart w:id="197" w:name="_Toc144303543"/>
      <w:bookmarkStart w:id="198" w:name="_Toc98856217"/>
      <w:r w:rsidRPr="00CB6D74">
        <w:t>4.5</w:t>
      </w:r>
      <w:r w:rsidRPr="004D4B61">
        <w:t xml:space="preserve"> </w:t>
      </w:r>
      <w:r>
        <w:t>RMP Justifications</w:t>
      </w:r>
      <w:bookmarkEnd w:id="197"/>
    </w:p>
    <w:p w:rsidR="008360B0" w:rsidRPr="0005799E" w:rsidP="008360B0" w14:paraId="4DFD8276" w14:textId="77777777">
      <w:pPr>
        <w:pStyle w:val="Heading3"/>
        <w:rPr>
          <w:rFonts w:ascii="Times New Roman" w:hAnsi="Times New Roman" w:cs="Times New Roman"/>
          <w:sz w:val="22"/>
          <w:szCs w:val="22"/>
        </w:rPr>
      </w:pPr>
      <w:bookmarkStart w:id="199" w:name="_Toc141732938"/>
      <w:bookmarkStart w:id="200" w:name="_Toc141733149"/>
      <w:bookmarkStart w:id="201" w:name="_Toc142404053"/>
      <w:bookmarkStart w:id="202" w:name="_Toc144213861"/>
      <w:bookmarkStart w:id="203" w:name="_Toc144283606"/>
      <w:bookmarkStart w:id="204" w:name="_Toc144303544"/>
      <w:r w:rsidRPr="0005799E">
        <w:rPr>
          <w:rFonts w:ascii="Times New Roman" w:hAnsi="Times New Roman" w:cs="Times New Roman"/>
          <w:sz w:val="22"/>
          <w:szCs w:val="22"/>
        </w:rPr>
        <w:t>4.</w:t>
      </w:r>
      <w:r w:rsidR="00811314">
        <w:rPr>
          <w:rFonts w:ascii="Times New Roman" w:hAnsi="Times New Roman" w:cs="Times New Roman"/>
          <w:sz w:val="22"/>
          <w:szCs w:val="22"/>
        </w:rPr>
        <w:t>5</w:t>
      </w:r>
      <w:r w:rsidRPr="0005799E">
        <w:rPr>
          <w:rFonts w:ascii="Times New Roman" w:hAnsi="Times New Roman" w:cs="Times New Roman"/>
          <w:sz w:val="22"/>
          <w:szCs w:val="22"/>
        </w:rPr>
        <w:t xml:space="preserve">.1 Hazard Evaluation Amplifications and RAGAGEP </w:t>
      </w:r>
      <w:r w:rsidR="005F4FA0">
        <w:rPr>
          <w:rFonts w:ascii="Times New Roman" w:hAnsi="Times New Roman" w:cs="Times New Roman"/>
          <w:sz w:val="22"/>
          <w:szCs w:val="22"/>
        </w:rPr>
        <w:t>g</w:t>
      </w:r>
      <w:r w:rsidRPr="0005799E" w:rsidR="005F4FA0">
        <w:rPr>
          <w:rFonts w:ascii="Times New Roman" w:hAnsi="Times New Roman" w:cs="Times New Roman"/>
          <w:sz w:val="22"/>
          <w:szCs w:val="22"/>
        </w:rPr>
        <w:t xml:space="preserve">ap </w:t>
      </w:r>
      <w:bookmarkEnd w:id="199"/>
      <w:bookmarkEnd w:id="200"/>
      <w:r w:rsidR="005F4FA0">
        <w:rPr>
          <w:rFonts w:ascii="Times New Roman" w:hAnsi="Times New Roman" w:cs="Times New Roman"/>
          <w:sz w:val="22"/>
          <w:szCs w:val="22"/>
        </w:rPr>
        <w:t>a</w:t>
      </w:r>
      <w:r w:rsidRPr="0005799E" w:rsidR="005F4FA0">
        <w:rPr>
          <w:rFonts w:ascii="Times New Roman" w:hAnsi="Times New Roman" w:cs="Times New Roman"/>
          <w:sz w:val="22"/>
          <w:szCs w:val="22"/>
        </w:rPr>
        <w:t>nalysis</w:t>
      </w:r>
      <w:bookmarkEnd w:id="201"/>
      <w:bookmarkEnd w:id="202"/>
      <w:bookmarkEnd w:id="203"/>
      <w:bookmarkEnd w:id="204"/>
    </w:p>
    <w:p w:rsidR="008360B0" w:rsidRPr="004D4B61" w:rsidP="008360B0" w14:paraId="1182DAE9" w14:textId="77777777">
      <w:pPr>
        <w:spacing w:after="0" w:line="240" w:lineRule="auto"/>
        <w:ind w:firstLine="360"/>
        <w:rPr>
          <w:rFonts w:ascii="Times New Roman" w:hAnsi="Times New Roman" w:cs="Times New Roman"/>
        </w:rPr>
      </w:pPr>
      <w:r>
        <w:rPr>
          <w:rFonts w:ascii="Times New Roman" w:eastAsia="Calibri" w:hAnsi="Times New Roman" w:cs="Times New Roman"/>
          <w:bCs/>
        </w:rPr>
        <w:tab/>
        <w:t xml:space="preserve">The final rule will explicitly require Program 2 and 3 facilities to address stationary source siting, natural hazards, power loss, and </w:t>
      </w:r>
      <w:r w:rsidR="003340E9">
        <w:rPr>
          <w:rFonts w:ascii="Times New Roman" w:eastAsia="Calibri" w:hAnsi="Times New Roman" w:cs="Times New Roman"/>
          <w:bCs/>
        </w:rPr>
        <w:t xml:space="preserve">a </w:t>
      </w:r>
      <w:r>
        <w:rPr>
          <w:rFonts w:ascii="Times New Roman" w:eastAsia="Calibri" w:hAnsi="Times New Roman" w:cs="Times New Roman"/>
          <w:bCs/>
        </w:rPr>
        <w:t xml:space="preserve">RAGAGEP </w:t>
      </w:r>
      <w:r w:rsidR="003340E9">
        <w:rPr>
          <w:rFonts w:ascii="Times New Roman" w:eastAsia="Calibri" w:hAnsi="Times New Roman" w:cs="Times New Roman"/>
          <w:bCs/>
        </w:rPr>
        <w:t>g</w:t>
      </w:r>
      <w:r>
        <w:rPr>
          <w:rFonts w:ascii="Times New Roman" w:eastAsia="Calibri" w:hAnsi="Times New Roman" w:cs="Times New Roman"/>
          <w:bCs/>
        </w:rPr>
        <w:t xml:space="preserve">ap </w:t>
      </w:r>
      <w:r w:rsidR="003340E9">
        <w:rPr>
          <w:rFonts w:ascii="Times New Roman" w:eastAsia="Calibri" w:hAnsi="Times New Roman" w:cs="Times New Roman"/>
          <w:bCs/>
        </w:rPr>
        <w:t>a</w:t>
      </w:r>
      <w:r>
        <w:rPr>
          <w:rFonts w:ascii="Times New Roman" w:eastAsia="Calibri" w:hAnsi="Times New Roman" w:cs="Times New Roman"/>
          <w:bCs/>
        </w:rPr>
        <w:t xml:space="preserve">nalysis in their PHAs or Hazard Reviews. EPA assumes facilities already address these issues and that language is just amplifying these implicit requirements. </w:t>
      </w:r>
      <w:r w:rsidR="00102329">
        <w:rPr>
          <w:rFonts w:ascii="Times New Roman" w:eastAsia="Calibri" w:hAnsi="Times New Roman" w:cs="Times New Roman"/>
          <w:bCs/>
        </w:rPr>
        <w:t xml:space="preserve">The stationary source siting and natural hazards </w:t>
      </w:r>
      <w:r>
        <w:rPr>
          <w:rFonts w:ascii="Times New Roman" w:eastAsia="Calibri" w:hAnsi="Times New Roman" w:cs="Times New Roman"/>
          <w:bCs/>
        </w:rPr>
        <w:t>provisions will also require all Program 2 and 3 facilities to include a justification in the RMP for each stationary source siting or natural hazards recommendation the facility declined to implement</w:t>
      </w:r>
      <w:r w:rsidR="00BC1A6E">
        <w:rPr>
          <w:rFonts w:ascii="Times New Roman" w:eastAsia="Calibri" w:hAnsi="Times New Roman" w:cs="Times New Roman"/>
          <w:bCs/>
        </w:rPr>
        <w:t>.</w:t>
      </w:r>
      <w:r>
        <w:rPr>
          <w:rFonts w:ascii="Times New Roman" w:eastAsia="Calibri" w:hAnsi="Times New Roman" w:cs="Times New Roman"/>
          <w:bCs/>
        </w:rPr>
        <w:t xml:space="preserve"> </w:t>
      </w:r>
      <w:r w:rsidR="00BC1A6E">
        <w:rPr>
          <w:rFonts w:ascii="Times New Roman" w:eastAsia="Calibri" w:hAnsi="Times New Roman" w:cs="Times New Roman"/>
          <w:bCs/>
        </w:rPr>
        <w:t xml:space="preserve">The RAGAGEP provision </w:t>
      </w:r>
      <w:r w:rsidR="00D41BEA">
        <w:rPr>
          <w:rFonts w:ascii="Times New Roman" w:eastAsia="Calibri" w:hAnsi="Times New Roman" w:cs="Times New Roman"/>
          <w:bCs/>
        </w:rPr>
        <w:t>will also require all Program 3 facilities to include a justification</w:t>
      </w:r>
      <w:r w:rsidR="00BC1A6E">
        <w:rPr>
          <w:rFonts w:ascii="Times New Roman" w:eastAsia="Calibri" w:hAnsi="Times New Roman" w:cs="Times New Roman"/>
          <w:bCs/>
        </w:rPr>
        <w:t xml:space="preserve"> </w:t>
      </w:r>
      <w:r>
        <w:rPr>
          <w:rFonts w:ascii="Times New Roman" w:eastAsia="Calibri" w:hAnsi="Times New Roman" w:cs="Times New Roman"/>
          <w:bCs/>
        </w:rPr>
        <w:t xml:space="preserve">for </w:t>
      </w:r>
      <w:r>
        <w:rPr>
          <w:rFonts w:ascii="Times New Roman" w:eastAsia="Calibri" w:hAnsi="Times New Roman" w:cs="Times New Roman"/>
          <w:bCs/>
        </w:rPr>
        <w:t>each PHA recommendation the facility declined to implement associated with adopting practices from the latest version of RAGAGEP. EPA assumes each RMP with a Program 2 or 3 process will average two declined siting recommendations</w:t>
      </w:r>
      <w:r w:rsidR="004B6B64">
        <w:rPr>
          <w:rFonts w:ascii="Times New Roman" w:eastAsia="Calibri" w:hAnsi="Times New Roman" w:cs="Times New Roman"/>
          <w:bCs/>
        </w:rPr>
        <w:t xml:space="preserve"> and</w:t>
      </w:r>
      <w:r>
        <w:rPr>
          <w:rFonts w:ascii="Times New Roman" w:eastAsia="Calibri" w:hAnsi="Times New Roman" w:cs="Times New Roman"/>
          <w:bCs/>
        </w:rPr>
        <w:t xml:space="preserve"> two declined natural hazards recommendations, and </w:t>
      </w:r>
      <w:r w:rsidR="00920C3A">
        <w:rPr>
          <w:rFonts w:ascii="Times New Roman" w:eastAsia="Calibri" w:hAnsi="Times New Roman" w:cs="Times New Roman"/>
          <w:bCs/>
        </w:rPr>
        <w:t xml:space="preserve">each RMP with a Program 3 process will additionally average </w:t>
      </w:r>
      <w:r>
        <w:rPr>
          <w:rFonts w:ascii="Times New Roman" w:eastAsia="Calibri" w:hAnsi="Times New Roman" w:cs="Times New Roman"/>
          <w:bCs/>
        </w:rPr>
        <w:t>two declined RAGAGEP-related PHA recommendations. The power loss provision will require Program 2 and 3 facilities to include justifications for any process without backup power. EPA assumes each RMP will include a justification for every Program 2 and 3 process without backup power. The RMP justifications will involve selecting from a dropdown menu of justification options. EPA assumes facilities will take five minutes of manager time to identify which justification applies to a given declined recommendation or process without backup power. Labor and facility costs are presented in Exhibit 4-1</w:t>
      </w:r>
      <w:r w:rsidR="00093D9E">
        <w:rPr>
          <w:rFonts w:ascii="Times New Roman" w:eastAsia="Calibri" w:hAnsi="Times New Roman" w:cs="Times New Roman"/>
          <w:bCs/>
        </w:rPr>
        <w:t>3</w:t>
      </w:r>
      <w:r>
        <w:rPr>
          <w:rFonts w:ascii="Times New Roman" w:eastAsia="Calibri" w:hAnsi="Times New Roman" w:cs="Times New Roman"/>
          <w:bCs/>
        </w:rPr>
        <w:t>.</w:t>
      </w:r>
      <w:r w:rsidRPr="006A4BB0">
        <w:rPr>
          <w:rFonts w:ascii="Times New Roman" w:eastAsia="Calibri" w:hAnsi="Times New Roman" w:cs="Times New Roman"/>
          <w:bCs/>
        </w:rPr>
        <w:t xml:space="preserve"> </w:t>
      </w:r>
    </w:p>
    <w:p w:rsidR="008360B0" w:rsidRPr="004D4B61" w:rsidP="008360B0" w14:paraId="6414E1A7" w14:textId="77777777">
      <w:pPr>
        <w:spacing w:after="0" w:line="240" w:lineRule="auto"/>
        <w:rPr>
          <w:rFonts w:ascii="Times New Roman" w:hAnsi="Times New Roman" w:cs="Times New Roman"/>
        </w:rPr>
      </w:pPr>
    </w:p>
    <w:p w:rsidR="008360B0" w:rsidRPr="00BF4D0A" w:rsidP="008360B0" w14:paraId="1021A8AD" w14:textId="77777777">
      <w:pPr>
        <w:pStyle w:val="Caption"/>
        <w:jc w:val="center"/>
        <w:rPr>
          <w:rFonts w:ascii="Times New Roman" w:hAnsi="Times New Roman" w:cs="Times New Roman"/>
          <w:b/>
          <w:bCs/>
          <w:i w:val="0"/>
          <w:iCs w:val="0"/>
          <w:color w:val="auto"/>
          <w:sz w:val="22"/>
          <w:szCs w:val="22"/>
        </w:rPr>
      </w:pPr>
      <w:r w:rsidRPr="00BF4D0A">
        <w:rPr>
          <w:rFonts w:ascii="Times New Roman" w:hAnsi="Times New Roman" w:cs="Times New Roman"/>
          <w:b/>
          <w:bCs/>
          <w:i w:val="0"/>
          <w:iCs w:val="0"/>
          <w:color w:val="auto"/>
          <w:sz w:val="22"/>
          <w:szCs w:val="22"/>
        </w:rPr>
        <w:t>Exhibit 4-1</w:t>
      </w:r>
      <w:r>
        <w:rPr>
          <w:rFonts w:ascii="Times New Roman" w:hAnsi="Times New Roman" w:cs="Times New Roman"/>
          <w:b/>
          <w:bCs/>
          <w:i w:val="0"/>
          <w:iCs w:val="0"/>
          <w:color w:val="auto"/>
          <w:sz w:val="22"/>
          <w:szCs w:val="22"/>
        </w:rPr>
        <w:t>3</w:t>
      </w:r>
      <w:r w:rsidRPr="00BF4D0A">
        <w:rPr>
          <w:rFonts w:ascii="Times New Roman" w:hAnsi="Times New Roman" w:cs="Times New Roman"/>
          <w:b/>
          <w:bCs/>
          <w:i w:val="0"/>
          <w:iCs w:val="0"/>
          <w:color w:val="auto"/>
          <w:sz w:val="22"/>
          <w:szCs w:val="22"/>
        </w:rPr>
        <w:t xml:space="preserve">: Hourly Labor and Facility Costs </w:t>
      </w:r>
      <w:r>
        <w:rPr>
          <w:rFonts w:ascii="Times New Roman" w:hAnsi="Times New Roman" w:cs="Times New Roman"/>
          <w:b/>
          <w:bCs/>
          <w:i w:val="0"/>
          <w:iCs w:val="0"/>
          <w:color w:val="auto"/>
          <w:sz w:val="22"/>
          <w:szCs w:val="22"/>
        </w:rPr>
        <w:t xml:space="preserve">for RMP Justifications </w:t>
      </w:r>
      <w:r w:rsidRPr="00835820">
        <w:rPr>
          <w:rFonts w:ascii="Times New Roman" w:hAnsi="Times New Roman" w:cs="Times New Roman"/>
          <w:b/>
          <w:bCs/>
          <w:i w:val="0"/>
          <w:iCs w:val="0"/>
          <w:color w:val="auto"/>
          <w:sz w:val="22"/>
          <w:szCs w:val="22"/>
        </w:rPr>
        <w:t>(202</w:t>
      </w:r>
      <w:r>
        <w:rPr>
          <w:rFonts w:ascii="Times New Roman" w:hAnsi="Times New Roman" w:cs="Times New Roman"/>
          <w:b/>
          <w:bCs/>
          <w:i w:val="0"/>
          <w:iCs w:val="0"/>
          <w:color w:val="auto"/>
          <w:sz w:val="22"/>
          <w:szCs w:val="22"/>
        </w:rPr>
        <w:t>2</w:t>
      </w:r>
      <w:r w:rsidRPr="00835820">
        <w:rPr>
          <w:rFonts w:ascii="Times New Roman" w:hAnsi="Times New Roman" w:cs="Times New Roman"/>
          <w:b/>
          <w:bCs/>
          <w:i w:val="0"/>
          <w:iCs w:val="0"/>
          <w:color w:val="auto"/>
          <w:sz w:val="22"/>
          <w:szCs w:val="22"/>
        </w:rPr>
        <w:t xml:space="preserve"> dollars)</w:t>
      </w:r>
      <w:r w:rsidRPr="00BF4D0A">
        <w:rPr>
          <w:rFonts w:ascii="Times New Roman" w:hAnsi="Times New Roman" w:cs="Times New Roman"/>
          <w:b/>
          <w:bCs/>
          <w:i w:val="0"/>
          <w:iCs w:val="0"/>
          <w:color w:val="auto"/>
          <w:sz w:val="22"/>
          <w:szCs w:val="22"/>
        </w:rPr>
        <w:t>.</w:t>
      </w:r>
    </w:p>
    <w:tbl>
      <w:tblPr>
        <w:tblW w:w="6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45"/>
        <w:gridCol w:w="1170"/>
        <w:gridCol w:w="1440"/>
        <w:gridCol w:w="1530"/>
        <w:gridCol w:w="1355"/>
      </w:tblGrid>
      <w:tr w14:paraId="2F24C8DF" w14:textId="77777777" w:rsidTr="007F63D3">
        <w:tblPrEx>
          <w:tblW w:w="6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920"/>
          <w:jc w:val="center"/>
        </w:trPr>
        <w:tc>
          <w:tcPr>
            <w:tcW w:w="1345" w:type="dxa"/>
            <w:shd w:val="clear" w:color="auto" w:fill="D9D9D9"/>
            <w:vAlign w:val="center"/>
          </w:tcPr>
          <w:p w:rsidR="008360B0" w:rsidRPr="00835820" w:rsidP="007F63D3" w14:paraId="7650A2A0" w14:textId="77777777">
            <w:pPr>
              <w:keepNext/>
              <w:spacing w:after="0" w:line="240" w:lineRule="auto"/>
              <w:jc w:val="center"/>
              <w:rPr>
                <w:rFonts w:ascii="Times New Roman" w:hAnsi="Times New Roman" w:cs="Times New Roman"/>
                <w:b/>
                <w:sz w:val="20"/>
                <w:szCs w:val="20"/>
              </w:rPr>
            </w:pPr>
          </w:p>
          <w:p w:rsidR="008360B0" w:rsidRPr="00835820" w:rsidP="007F63D3" w14:paraId="0E7BD3A8" w14:textId="77777777">
            <w:pPr>
              <w:keepNext/>
              <w:spacing w:after="0" w:line="240" w:lineRule="auto"/>
              <w:ind w:left="444" w:right="317" w:hanging="101"/>
              <w:jc w:val="center"/>
              <w:rPr>
                <w:rFonts w:ascii="Times New Roman" w:hAnsi="Times New Roman" w:cs="Times New Roman"/>
                <w:b/>
                <w:sz w:val="20"/>
                <w:szCs w:val="20"/>
              </w:rPr>
            </w:pPr>
            <w:r w:rsidRPr="00835820">
              <w:rPr>
                <w:rFonts w:ascii="Times New Roman" w:hAnsi="Times New Roman" w:cs="Times New Roman"/>
                <w:b/>
                <w:sz w:val="20"/>
                <w:szCs w:val="20"/>
              </w:rPr>
              <w:t>Facility Type</w:t>
            </w:r>
          </w:p>
        </w:tc>
        <w:tc>
          <w:tcPr>
            <w:tcW w:w="1170" w:type="dxa"/>
            <w:shd w:val="clear" w:color="auto" w:fill="D9D9D9"/>
            <w:vAlign w:val="center"/>
          </w:tcPr>
          <w:p w:rsidR="008360B0" w:rsidRPr="00835820" w:rsidP="007F63D3" w14:paraId="3F738D80" w14:textId="77777777">
            <w:pPr>
              <w:keepNext/>
              <w:spacing w:after="0" w:line="240" w:lineRule="auto"/>
              <w:jc w:val="center"/>
              <w:rPr>
                <w:rFonts w:ascii="Times New Roman" w:hAnsi="Times New Roman" w:cs="Times New Roman"/>
                <w:b/>
                <w:sz w:val="20"/>
                <w:szCs w:val="20"/>
              </w:rPr>
            </w:pPr>
          </w:p>
          <w:p w:rsidR="008360B0" w:rsidRPr="00835820" w:rsidP="007F63D3" w14:paraId="4F084D8D" w14:textId="77777777">
            <w:pPr>
              <w:keepNext/>
              <w:spacing w:after="0" w:line="240" w:lineRule="auto"/>
              <w:ind w:left="114" w:right="85" w:hanging="20"/>
              <w:jc w:val="center"/>
              <w:rPr>
                <w:rFonts w:ascii="Times New Roman" w:hAnsi="Times New Roman" w:cs="Times New Roman"/>
                <w:b/>
                <w:sz w:val="20"/>
                <w:szCs w:val="20"/>
              </w:rPr>
            </w:pPr>
            <w:r w:rsidRPr="00835820">
              <w:rPr>
                <w:rFonts w:ascii="Times New Roman" w:hAnsi="Times New Roman" w:cs="Times New Roman"/>
                <w:b/>
                <w:sz w:val="20"/>
                <w:szCs w:val="20"/>
              </w:rPr>
              <w:t>Annual Frequency</w:t>
            </w:r>
          </w:p>
        </w:tc>
        <w:tc>
          <w:tcPr>
            <w:tcW w:w="1440" w:type="dxa"/>
            <w:shd w:val="clear" w:color="auto" w:fill="D9D9D9"/>
            <w:vAlign w:val="center"/>
          </w:tcPr>
          <w:p w:rsidR="008360B0" w:rsidRPr="00835820" w:rsidP="007F63D3" w14:paraId="0C940333" w14:textId="77777777">
            <w:pPr>
              <w:keepNext/>
              <w:spacing w:after="0" w:line="240" w:lineRule="auto"/>
              <w:ind w:left="129" w:right="124"/>
              <w:jc w:val="center"/>
              <w:rPr>
                <w:rFonts w:ascii="Times New Roman" w:hAnsi="Times New Roman" w:cs="Times New Roman"/>
                <w:b/>
                <w:sz w:val="20"/>
                <w:szCs w:val="20"/>
              </w:rPr>
            </w:pPr>
            <w:r>
              <w:rPr>
                <w:rFonts w:ascii="Times New Roman" w:hAnsi="Times New Roman" w:cs="Times New Roman"/>
                <w:b/>
                <w:sz w:val="20"/>
                <w:szCs w:val="20"/>
              </w:rPr>
              <w:t>Manager Labor Hours</w:t>
            </w:r>
          </w:p>
        </w:tc>
        <w:tc>
          <w:tcPr>
            <w:tcW w:w="1530" w:type="dxa"/>
            <w:shd w:val="clear" w:color="auto" w:fill="D9D9D9"/>
            <w:vAlign w:val="center"/>
          </w:tcPr>
          <w:p w:rsidR="008360B0" w:rsidRPr="00835820" w:rsidP="007F63D3" w14:paraId="254B815D"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Manager Hourly Loaded Wage</w:t>
            </w:r>
          </w:p>
        </w:tc>
        <w:tc>
          <w:tcPr>
            <w:tcW w:w="1355" w:type="dxa"/>
            <w:shd w:val="clear" w:color="auto" w:fill="D9D9D9"/>
            <w:vAlign w:val="center"/>
          </w:tcPr>
          <w:p w:rsidR="008360B0" w:rsidRPr="00835820" w:rsidP="007F63D3" w14:paraId="5CAE8B59" w14:textId="77777777">
            <w:pPr>
              <w:keepNext/>
              <w:spacing w:after="0" w:line="240" w:lineRule="auto"/>
              <w:ind w:left="91" w:right="169"/>
              <w:jc w:val="center"/>
              <w:rPr>
                <w:rFonts w:ascii="Times New Roman" w:hAnsi="Times New Roman" w:cs="Times New Roman"/>
                <w:b/>
                <w:sz w:val="20"/>
                <w:szCs w:val="20"/>
              </w:rPr>
            </w:pPr>
            <w:r w:rsidRPr="00835820">
              <w:rPr>
                <w:rFonts w:ascii="Times New Roman" w:hAnsi="Times New Roman" w:cs="Times New Roman"/>
                <w:b/>
                <w:sz w:val="20"/>
                <w:szCs w:val="20"/>
              </w:rPr>
              <w:t>Facility Cost</w:t>
            </w:r>
            <w:r>
              <w:rPr>
                <w:rFonts w:ascii="Times New Roman" w:hAnsi="Times New Roman" w:cs="Times New Roman"/>
                <w:b/>
                <w:sz w:val="20"/>
                <w:szCs w:val="20"/>
              </w:rPr>
              <w:t xml:space="preserve"> per Justification</w:t>
            </w:r>
          </w:p>
        </w:tc>
      </w:tr>
      <w:tr w14:paraId="0F655886" w14:textId="77777777" w:rsidTr="007F63D3">
        <w:tblPrEx>
          <w:tblW w:w="6840" w:type="dxa"/>
          <w:jc w:val="center"/>
          <w:tblLayout w:type="fixed"/>
          <w:tblCellMar>
            <w:left w:w="0" w:type="dxa"/>
            <w:right w:w="0" w:type="dxa"/>
          </w:tblCellMar>
          <w:tblLook w:val="01E0"/>
        </w:tblPrEx>
        <w:trPr>
          <w:trHeight w:val="308"/>
          <w:jc w:val="center"/>
        </w:trPr>
        <w:tc>
          <w:tcPr>
            <w:tcW w:w="1345" w:type="dxa"/>
            <w:vAlign w:val="center"/>
          </w:tcPr>
          <w:p w:rsidR="008360B0" w:rsidRPr="00835820" w:rsidP="007F63D3" w14:paraId="313AF04C" w14:textId="77777777">
            <w:pPr>
              <w:keepNext/>
              <w:spacing w:after="0" w:line="240" w:lineRule="auto"/>
              <w:ind w:left="180" w:right="87"/>
              <w:jc w:val="center"/>
              <w:rPr>
                <w:rFonts w:ascii="Times New Roman" w:hAnsi="Times New Roman" w:cs="Times New Roman"/>
                <w:sz w:val="20"/>
                <w:szCs w:val="20"/>
              </w:rPr>
            </w:pPr>
            <w:r w:rsidRPr="00835820">
              <w:rPr>
                <w:rFonts w:ascii="Times New Roman" w:hAnsi="Times New Roman" w:cs="Times New Roman"/>
                <w:sz w:val="20"/>
                <w:szCs w:val="20"/>
              </w:rPr>
              <w:t>Simple</w:t>
            </w:r>
          </w:p>
        </w:tc>
        <w:tc>
          <w:tcPr>
            <w:tcW w:w="1170" w:type="dxa"/>
            <w:vAlign w:val="center"/>
          </w:tcPr>
          <w:p w:rsidR="008360B0" w:rsidRPr="00835820" w:rsidP="007F63D3" w14:paraId="3D2172EB" w14:textId="77777777">
            <w:pPr>
              <w:keepNext/>
              <w:spacing w:after="0" w:line="240" w:lineRule="auto"/>
              <w:ind w:left="277" w:right="267"/>
              <w:jc w:val="center"/>
              <w:rPr>
                <w:rFonts w:ascii="Times New Roman" w:hAnsi="Times New Roman" w:cs="Times New Roman"/>
                <w:sz w:val="20"/>
                <w:szCs w:val="20"/>
              </w:rPr>
            </w:pPr>
            <w:r w:rsidRPr="00835820">
              <w:rPr>
                <w:rFonts w:ascii="Times New Roman" w:hAnsi="Times New Roman" w:cs="Times New Roman"/>
                <w:sz w:val="20"/>
                <w:szCs w:val="20"/>
              </w:rPr>
              <w:t>0.</w:t>
            </w:r>
            <w:r>
              <w:rPr>
                <w:rFonts w:ascii="Times New Roman" w:hAnsi="Times New Roman" w:cs="Times New Roman"/>
                <w:sz w:val="20"/>
                <w:szCs w:val="20"/>
              </w:rPr>
              <w:t>2</w:t>
            </w:r>
          </w:p>
        </w:tc>
        <w:tc>
          <w:tcPr>
            <w:tcW w:w="1440" w:type="dxa"/>
            <w:vAlign w:val="center"/>
          </w:tcPr>
          <w:p w:rsidR="008360B0" w:rsidRPr="00835820" w:rsidP="007F63D3" w14:paraId="47427D02" w14:textId="77777777">
            <w:pPr>
              <w:keepNext/>
              <w:spacing w:after="0" w:line="240" w:lineRule="auto"/>
              <w:ind w:left="5"/>
              <w:jc w:val="center"/>
              <w:rPr>
                <w:rFonts w:ascii="Times New Roman" w:hAnsi="Times New Roman" w:cs="Times New Roman"/>
                <w:sz w:val="20"/>
                <w:szCs w:val="20"/>
              </w:rPr>
            </w:pPr>
            <w:r>
              <w:rPr>
                <w:rFonts w:ascii="Times New Roman" w:hAnsi="Times New Roman" w:cs="Times New Roman"/>
                <w:sz w:val="20"/>
                <w:szCs w:val="20"/>
              </w:rPr>
              <w:t>0.083</w:t>
            </w:r>
          </w:p>
        </w:tc>
        <w:tc>
          <w:tcPr>
            <w:tcW w:w="1530" w:type="dxa"/>
            <w:vAlign w:val="center"/>
          </w:tcPr>
          <w:p w:rsidR="008360B0" w:rsidRPr="00835820" w:rsidP="007F63D3" w14:paraId="5CC2952F" w14:textId="77777777">
            <w:pPr>
              <w:keepNext/>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w:t>
            </w:r>
            <w:r>
              <w:rPr>
                <w:rFonts w:ascii="Times New Roman" w:hAnsi="Times New Roman" w:cs="Times New Roman"/>
                <w:sz w:val="20"/>
                <w:szCs w:val="20"/>
              </w:rPr>
              <w:t>110.70</w:t>
            </w:r>
          </w:p>
        </w:tc>
        <w:tc>
          <w:tcPr>
            <w:tcW w:w="1355" w:type="dxa"/>
            <w:vAlign w:val="center"/>
          </w:tcPr>
          <w:p w:rsidR="008360B0" w:rsidRPr="00835820" w:rsidP="007F63D3" w14:paraId="2FE215A6" w14:textId="77777777">
            <w:pPr>
              <w:keepNext/>
              <w:spacing w:after="0" w:line="240" w:lineRule="auto"/>
              <w:ind w:left="189" w:right="183"/>
              <w:jc w:val="center"/>
              <w:rPr>
                <w:rFonts w:ascii="Times New Roman" w:hAnsi="Times New Roman" w:cs="Times New Roman"/>
                <w:sz w:val="20"/>
                <w:szCs w:val="20"/>
              </w:rPr>
            </w:pPr>
            <w:r w:rsidRPr="00835820">
              <w:rPr>
                <w:rFonts w:ascii="Times New Roman" w:hAnsi="Times New Roman" w:cs="Times New Roman"/>
                <w:sz w:val="20"/>
                <w:szCs w:val="20"/>
              </w:rPr>
              <w:t>$</w:t>
            </w:r>
            <w:r>
              <w:rPr>
                <w:rFonts w:ascii="Times New Roman" w:hAnsi="Times New Roman" w:cs="Times New Roman"/>
                <w:sz w:val="20"/>
                <w:szCs w:val="20"/>
              </w:rPr>
              <w:t>9</w:t>
            </w:r>
          </w:p>
        </w:tc>
      </w:tr>
      <w:tr w14:paraId="0929B975" w14:textId="77777777" w:rsidTr="007F63D3">
        <w:tblPrEx>
          <w:tblW w:w="6840" w:type="dxa"/>
          <w:jc w:val="center"/>
          <w:tblLayout w:type="fixed"/>
          <w:tblCellMar>
            <w:left w:w="0" w:type="dxa"/>
            <w:right w:w="0" w:type="dxa"/>
          </w:tblCellMar>
          <w:tblLook w:val="01E0"/>
        </w:tblPrEx>
        <w:trPr>
          <w:trHeight w:val="263"/>
          <w:jc w:val="center"/>
        </w:trPr>
        <w:tc>
          <w:tcPr>
            <w:tcW w:w="1345" w:type="dxa"/>
            <w:vAlign w:val="center"/>
          </w:tcPr>
          <w:p w:rsidR="008360B0" w:rsidRPr="00835820" w:rsidP="007F63D3" w14:paraId="3E01D0A4" w14:textId="77777777">
            <w:pPr>
              <w:spacing w:after="0" w:line="240" w:lineRule="auto"/>
              <w:ind w:left="180" w:right="87"/>
              <w:jc w:val="center"/>
              <w:rPr>
                <w:rFonts w:ascii="Times New Roman" w:hAnsi="Times New Roman" w:cs="Times New Roman"/>
                <w:sz w:val="20"/>
                <w:szCs w:val="20"/>
              </w:rPr>
            </w:pPr>
            <w:r w:rsidRPr="00835820">
              <w:rPr>
                <w:rFonts w:ascii="Times New Roman" w:hAnsi="Times New Roman" w:cs="Times New Roman"/>
                <w:sz w:val="20"/>
                <w:szCs w:val="20"/>
              </w:rPr>
              <w:t>Complex</w:t>
            </w:r>
          </w:p>
        </w:tc>
        <w:tc>
          <w:tcPr>
            <w:tcW w:w="1170" w:type="dxa"/>
            <w:vAlign w:val="center"/>
          </w:tcPr>
          <w:p w:rsidR="008360B0" w:rsidRPr="00835820" w:rsidP="007F63D3" w14:paraId="66ADF3C0" w14:textId="77777777">
            <w:pPr>
              <w:spacing w:after="0" w:line="240" w:lineRule="auto"/>
              <w:ind w:left="277" w:right="267"/>
              <w:jc w:val="center"/>
              <w:rPr>
                <w:rFonts w:ascii="Times New Roman" w:hAnsi="Times New Roman" w:cs="Times New Roman"/>
                <w:sz w:val="20"/>
                <w:szCs w:val="20"/>
              </w:rPr>
            </w:pPr>
            <w:r w:rsidRPr="00835820">
              <w:rPr>
                <w:rFonts w:ascii="Times New Roman" w:hAnsi="Times New Roman" w:cs="Times New Roman"/>
                <w:sz w:val="20"/>
                <w:szCs w:val="20"/>
              </w:rPr>
              <w:t>0.</w:t>
            </w:r>
            <w:r>
              <w:rPr>
                <w:rFonts w:ascii="Times New Roman" w:hAnsi="Times New Roman" w:cs="Times New Roman"/>
                <w:sz w:val="20"/>
                <w:szCs w:val="20"/>
              </w:rPr>
              <w:t>2</w:t>
            </w:r>
          </w:p>
        </w:tc>
        <w:tc>
          <w:tcPr>
            <w:tcW w:w="1440" w:type="dxa"/>
            <w:vAlign w:val="center"/>
          </w:tcPr>
          <w:p w:rsidR="008360B0" w:rsidRPr="00835820" w:rsidP="007F63D3" w14:paraId="3A6CF43A" w14:textId="77777777">
            <w:pPr>
              <w:spacing w:after="0" w:line="240" w:lineRule="auto"/>
              <w:ind w:left="5"/>
              <w:jc w:val="center"/>
              <w:rPr>
                <w:rFonts w:ascii="Times New Roman" w:hAnsi="Times New Roman" w:cs="Times New Roman"/>
                <w:sz w:val="20"/>
                <w:szCs w:val="20"/>
              </w:rPr>
            </w:pPr>
            <w:r>
              <w:rPr>
                <w:rFonts w:ascii="Times New Roman" w:hAnsi="Times New Roman" w:cs="Times New Roman"/>
                <w:sz w:val="20"/>
                <w:szCs w:val="20"/>
              </w:rPr>
              <w:t>0.083</w:t>
            </w:r>
          </w:p>
        </w:tc>
        <w:tc>
          <w:tcPr>
            <w:tcW w:w="1530" w:type="dxa"/>
            <w:vAlign w:val="center"/>
          </w:tcPr>
          <w:p w:rsidR="008360B0" w:rsidRPr="00835820" w:rsidP="007F63D3" w14:paraId="00E228FF" w14:textId="77777777">
            <w:pPr>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w:t>
            </w:r>
            <w:r>
              <w:rPr>
                <w:rFonts w:ascii="Times New Roman" w:hAnsi="Times New Roman" w:cs="Times New Roman"/>
                <w:sz w:val="20"/>
                <w:szCs w:val="20"/>
              </w:rPr>
              <w:t>137.52</w:t>
            </w:r>
          </w:p>
        </w:tc>
        <w:tc>
          <w:tcPr>
            <w:tcW w:w="1355" w:type="dxa"/>
            <w:vAlign w:val="center"/>
          </w:tcPr>
          <w:p w:rsidR="008360B0" w:rsidRPr="00835820" w:rsidP="007F63D3" w14:paraId="7F4B5C88" w14:textId="77777777">
            <w:pPr>
              <w:spacing w:after="0" w:line="240" w:lineRule="auto"/>
              <w:ind w:left="191" w:right="183"/>
              <w:jc w:val="center"/>
              <w:rPr>
                <w:rFonts w:ascii="Times New Roman" w:hAnsi="Times New Roman" w:cs="Times New Roman"/>
                <w:sz w:val="20"/>
                <w:szCs w:val="20"/>
              </w:rPr>
            </w:pPr>
            <w:r w:rsidRPr="00835820">
              <w:rPr>
                <w:rFonts w:ascii="Times New Roman" w:hAnsi="Times New Roman" w:cs="Times New Roman"/>
                <w:sz w:val="20"/>
                <w:szCs w:val="20"/>
              </w:rPr>
              <w:t>$</w:t>
            </w:r>
            <w:r>
              <w:rPr>
                <w:rFonts w:ascii="Times New Roman" w:hAnsi="Times New Roman" w:cs="Times New Roman"/>
                <w:sz w:val="20"/>
                <w:szCs w:val="20"/>
              </w:rPr>
              <w:t>11</w:t>
            </w:r>
          </w:p>
        </w:tc>
      </w:tr>
    </w:tbl>
    <w:p w:rsidR="008360B0" w:rsidP="004D4B61" w14:paraId="20BC79AC" w14:textId="77777777">
      <w:pPr>
        <w:spacing w:after="0" w:line="240" w:lineRule="auto"/>
        <w:rPr>
          <w:rFonts w:ascii="Times New Roman" w:eastAsia="Calibri" w:hAnsi="Times New Roman" w:cs="Times New Roman"/>
          <w:kern w:val="24"/>
        </w:rPr>
      </w:pPr>
    </w:p>
    <w:p w:rsidR="00CD3FD3" w:rsidRPr="00E52D45" w:rsidP="004D4B61" w14:paraId="79948FDA" w14:textId="77777777">
      <w:pPr>
        <w:spacing w:after="0" w:line="240" w:lineRule="auto"/>
        <w:rPr>
          <w:rFonts w:ascii="Times New Roman" w:eastAsia="Calibri" w:hAnsi="Times New Roman" w:cs="Times New Roman"/>
          <w:kern w:val="24"/>
        </w:rPr>
      </w:pPr>
    </w:p>
    <w:p w:rsidR="00835820" w:rsidRPr="00835820" w:rsidP="00C07306" w14:paraId="535F8C44" w14:textId="77777777">
      <w:pPr>
        <w:pStyle w:val="Heading2"/>
      </w:pPr>
      <w:bookmarkStart w:id="205" w:name="_Toc144303545"/>
      <w:r w:rsidRPr="00CB6D74">
        <w:t>4.</w:t>
      </w:r>
      <w:r w:rsidR="008360B0">
        <w:t>6</w:t>
      </w:r>
      <w:r w:rsidRPr="004D4B61">
        <w:t xml:space="preserve"> </w:t>
      </w:r>
      <w:r w:rsidRPr="00CB6D74">
        <w:t>Emergency Response</w:t>
      </w:r>
      <w:bookmarkEnd w:id="205"/>
      <w:r w:rsidRPr="00CB6D74">
        <w:t xml:space="preserve"> </w:t>
      </w:r>
      <w:bookmarkEnd w:id="198"/>
    </w:p>
    <w:p w:rsidR="00C5384D" w:rsidRPr="00ED17BF" w:rsidP="00ED17BF" w14:paraId="1394E01A" w14:textId="77777777">
      <w:pPr>
        <w:pStyle w:val="Heading3"/>
        <w:rPr>
          <w:rFonts w:ascii="Times New Roman" w:hAnsi="Times New Roman" w:cs="Times New Roman"/>
          <w:sz w:val="22"/>
          <w:szCs w:val="22"/>
        </w:rPr>
      </w:pPr>
      <w:bookmarkStart w:id="206" w:name="_Toc141732940"/>
      <w:bookmarkStart w:id="207" w:name="_Toc141733151"/>
      <w:bookmarkStart w:id="208" w:name="_Toc142404055"/>
      <w:bookmarkStart w:id="209" w:name="_Toc144213863"/>
      <w:bookmarkStart w:id="210" w:name="_Toc144283608"/>
      <w:bookmarkStart w:id="211" w:name="_Toc144303546"/>
      <w:r w:rsidRPr="00ED17BF">
        <w:rPr>
          <w:rFonts w:ascii="Times New Roman" w:hAnsi="Times New Roman" w:cs="Times New Roman"/>
          <w:sz w:val="22"/>
          <w:szCs w:val="22"/>
        </w:rPr>
        <w:t>4.</w:t>
      </w:r>
      <w:r w:rsidR="00811314">
        <w:rPr>
          <w:rFonts w:ascii="Times New Roman" w:hAnsi="Times New Roman" w:cs="Times New Roman"/>
          <w:sz w:val="22"/>
          <w:szCs w:val="22"/>
        </w:rPr>
        <w:t>6</w:t>
      </w:r>
      <w:r w:rsidRPr="00ED17BF">
        <w:rPr>
          <w:rFonts w:ascii="Times New Roman" w:hAnsi="Times New Roman" w:cs="Times New Roman"/>
          <w:sz w:val="22"/>
          <w:szCs w:val="22"/>
        </w:rPr>
        <w:t>.1 Community Notification</w:t>
      </w:r>
      <w:r w:rsidRPr="00ED17BF" w:rsidR="00AA76C5">
        <w:rPr>
          <w:rFonts w:ascii="Times New Roman" w:hAnsi="Times New Roman" w:cs="Times New Roman"/>
          <w:sz w:val="22"/>
          <w:szCs w:val="22"/>
        </w:rPr>
        <w:t xml:space="preserve"> of RMP Accidents</w:t>
      </w:r>
      <w:bookmarkEnd w:id="206"/>
      <w:bookmarkEnd w:id="207"/>
      <w:bookmarkEnd w:id="208"/>
      <w:bookmarkEnd w:id="209"/>
      <w:bookmarkEnd w:id="210"/>
      <w:bookmarkEnd w:id="211"/>
    </w:p>
    <w:p w:rsidR="00835820" w:rsidP="00835820" w14:paraId="5165FF4A"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sidR="00C5384D">
        <w:rPr>
          <w:rFonts w:ascii="Times New Roman" w:hAnsi="Times New Roman" w:cs="Times New Roman"/>
        </w:rPr>
        <w:t xml:space="preserve">The </w:t>
      </w:r>
      <w:r w:rsidR="00001670">
        <w:rPr>
          <w:rFonts w:ascii="Times New Roman" w:hAnsi="Times New Roman" w:cs="Times New Roman"/>
        </w:rPr>
        <w:t>final</w:t>
      </w:r>
      <w:r w:rsidRPr="004D4B61" w:rsidR="00C5384D">
        <w:rPr>
          <w:rFonts w:ascii="Times New Roman" w:hAnsi="Times New Roman" w:cs="Times New Roman"/>
        </w:rPr>
        <w:t xml:space="preserve"> rule </w:t>
      </w:r>
      <w:r w:rsidR="009449B7">
        <w:rPr>
          <w:rFonts w:ascii="Times New Roman" w:hAnsi="Times New Roman" w:cs="Times New Roman"/>
        </w:rPr>
        <w:t>will</w:t>
      </w:r>
      <w:r w:rsidRPr="004D4B61" w:rsidR="00C5384D">
        <w:rPr>
          <w:rFonts w:ascii="Times New Roman" w:hAnsi="Times New Roman" w:cs="Times New Roman"/>
        </w:rPr>
        <w:t xml:space="preserve"> require all facilities with Program 2 or 3 processes to provide accidental release notification and data to local responders and ensure</w:t>
      </w:r>
      <w:r w:rsidRPr="004D4B61" w:rsidR="002D2DAE">
        <w:rPr>
          <w:rFonts w:ascii="Times New Roman" w:hAnsi="Times New Roman" w:cs="Times New Roman"/>
        </w:rPr>
        <w:t xml:space="preserve"> that</w:t>
      </w:r>
      <w:r w:rsidRPr="004D4B61" w:rsidR="00C5384D">
        <w:rPr>
          <w:rFonts w:ascii="Times New Roman" w:hAnsi="Times New Roman" w:cs="Times New Roman"/>
        </w:rPr>
        <w:t xml:space="preserve"> a community notification system is in place</w:t>
      </w:r>
      <w:r w:rsidRPr="004D4B61" w:rsidR="00C5384D">
        <w:rPr>
          <w:rFonts w:ascii="Times New Roman" w:hAnsi="Times New Roman" w:cs="Times New Roman"/>
          <w:bCs/>
        </w:rPr>
        <w:t>. T</w:t>
      </w:r>
      <w:r w:rsidRPr="004D4B61" w:rsidR="00C5384D">
        <w:rPr>
          <w:rFonts w:ascii="Times New Roman" w:hAnsi="Times New Roman" w:cs="Times New Roman"/>
        </w:rPr>
        <w:t xml:space="preserve">he presence of </w:t>
      </w:r>
      <w:r w:rsidRPr="004D4B61" w:rsidR="002E65E5">
        <w:rPr>
          <w:rFonts w:ascii="Times New Roman" w:hAnsi="Times New Roman" w:cs="Times New Roman"/>
        </w:rPr>
        <w:t>S</w:t>
      </w:r>
      <w:r w:rsidRPr="004D4B61" w:rsidR="00C5384D">
        <w:rPr>
          <w:rFonts w:ascii="Times New Roman" w:hAnsi="Times New Roman" w:cs="Times New Roman"/>
        </w:rPr>
        <w:t xml:space="preserve">tate and/or local </w:t>
      </w:r>
      <w:r w:rsidRPr="004D4B61" w:rsidR="00BD162E">
        <w:rPr>
          <w:rFonts w:ascii="Times New Roman" w:hAnsi="Times New Roman" w:cs="Times New Roman"/>
        </w:rPr>
        <w:t>Integrated Public</w:t>
      </w:r>
      <w:r w:rsidRPr="004D4B61" w:rsidR="002041EC">
        <w:rPr>
          <w:rFonts w:ascii="Times New Roman" w:hAnsi="Times New Roman" w:cs="Times New Roman"/>
        </w:rPr>
        <w:t xml:space="preserve"> Alert and Warning System</w:t>
      </w:r>
      <w:r w:rsidRPr="004D4B61" w:rsidR="00BD162E">
        <w:rPr>
          <w:rFonts w:ascii="Times New Roman" w:hAnsi="Times New Roman" w:cs="Times New Roman"/>
        </w:rPr>
        <w:t xml:space="preserve"> </w:t>
      </w:r>
      <w:r w:rsidRPr="004D4B61" w:rsidR="002041EC">
        <w:rPr>
          <w:rFonts w:ascii="Times New Roman" w:hAnsi="Times New Roman" w:cs="Times New Roman"/>
        </w:rPr>
        <w:t>(</w:t>
      </w:r>
      <w:r w:rsidRPr="004D4B61" w:rsidR="00C5384D">
        <w:rPr>
          <w:rFonts w:ascii="Times New Roman" w:hAnsi="Times New Roman" w:cs="Times New Roman"/>
        </w:rPr>
        <w:t>IPAWS</w:t>
      </w:r>
      <w:r w:rsidRPr="004D4B61" w:rsidR="002041EC">
        <w:rPr>
          <w:rFonts w:ascii="Times New Roman" w:hAnsi="Times New Roman" w:cs="Times New Roman"/>
        </w:rPr>
        <w:t>)</w:t>
      </w:r>
      <w:r>
        <w:rPr>
          <w:rStyle w:val="FootnoteReference"/>
          <w:rFonts w:ascii="Times New Roman" w:hAnsi="Times New Roman" w:cs="Times New Roman"/>
        </w:rPr>
        <w:footnoteReference w:id="116"/>
      </w:r>
      <w:r w:rsidRPr="004D4B61" w:rsidR="00C5384D">
        <w:rPr>
          <w:rFonts w:ascii="Times New Roman" w:hAnsi="Times New Roman" w:cs="Times New Roman"/>
        </w:rPr>
        <w:t xml:space="preserve"> alerting authorities covering all 50 </w:t>
      </w:r>
      <w:r w:rsidRPr="004D4B61" w:rsidR="004E2172">
        <w:rPr>
          <w:rFonts w:ascii="Times New Roman" w:hAnsi="Times New Roman" w:cs="Times New Roman"/>
        </w:rPr>
        <w:t>S</w:t>
      </w:r>
      <w:r w:rsidRPr="004D4B61" w:rsidR="00C5384D">
        <w:rPr>
          <w:rFonts w:ascii="Times New Roman" w:hAnsi="Times New Roman" w:cs="Times New Roman"/>
        </w:rPr>
        <w:t xml:space="preserve">tates plus </w:t>
      </w:r>
      <w:r w:rsidR="00843659">
        <w:rPr>
          <w:rFonts w:ascii="Times New Roman" w:hAnsi="Times New Roman" w:cs="Times New Roman"/>
        </w:rPr>
        <w:t>D.C.</w:t>
      </w:r>
      <w:r w:rsidRPr="004D4B61" w:rsidR="00C5384D">
        <w:rPr>
          <w:rFonts w:ascii="Times New Roman" w:hAnsi="Times New Roman" w:cs="Times New Roman"/>
        </w:rPr>
        <w:t>, Puerto Rico, and the U</w:t>
      </w:r>
      <w:r w:rsidRPr="004D4B61" w:rsidR="00100977">
        <w:rPr>
          <w:rFonts w:ascii="Times New Roman" w:hAnsi="Times New Roman" w:cs="Times New Roman"/>
        </w:rPr>
        <w:t>.</w:t>
      </w:r>
      <w:r w:rsidRPr="004D4B61" w:rsidR="00C5384D">
        <w:rPr>
          <w:rFonts w:ascii="Times New Roman" w:hAnsi="Times New Roman" w:cs="Times New Roman"/>
        </w:rPr>
        <w:t>S</w:t>
      </w:r>
      <w:r w:rsidRPr="004D4B61" w:rsidR="00100977">
        <w:rPr>
          <w:rFonts w:ascii="Times New Roman" w:hAnsi="Times New Roman" w:cs="Times New Roman"/>
        </w:rPr>
        <w:t>.</w:t>
      </w:r>
      <w:r w:rsidRPr="004D4B61" w:rsidR="00C5384D">
        <w:rPr>
          <w:rFonts w:ascii="Times New Roman" w:hAnsi="Times New Roman" w:cs="Times New Roman"/>
        </w:rPr>
        <w:t xml:space="preserve"> Virgin Islands implies that the infrastructure is in place nationwide for facilities to ensure community notification. Therefore, the direct cost associated with the provision </w:t>
      </w:r>
      <w:r w:rsidR="009449B7">
        <w:rPr>
          <w:rFonts w:ascii="Times New Roman" w:hAnsi="Times New Roman" w:cs="Times New Roman"/>
        </w:rPr>
        <w:t>will</w:t>
      </w:r>
      <w:r w:rsidRPr="004D4B61" w:rsidR="00C5384D">
        <w:rPr>
          <w:rFonts w:ascii="Times New Roman" w:hAnsi="Times New Roman" w:cs="Times New Roman"/>
        </w:rPr>
        <w:t xml:space="preserve"> be coordination between the facilities and local responders.</w:t>
      </w:r>
    </w:p>
    <w:p w:rsidR="003D2F8B" w:rsidP="00835820" w14:paraId="50FF9C6A" w14:textId="77777777">
      <w:pPr>
        <w:spacing w:after="0" w:line="240" w:lineRule="auto"/>
        <w:ind w:firstLine="360"/>
        <w:rPr>
          <w:rFonts w:ascii="Times New Roman" w:hAnsi="Times New Roman" w:cs="Times New Roman"/>
        </w:rPr>
      </w:pPr>
    </w:p>
    <w:p w:rsidR="00C5384D" w:rsidRPr="004D4B61" w:rsidP="00835820" w14:paraId="792062E0"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EPA assumes all facilities with Program 2 or 3 processes will have to take some additional steps to coordinate with local responders to ensure a </w:t>
      </w:r>
      <w:r w:rsidRPr="004D4B61" w:rsidR="007E3388">
        <w:rPr>
          <w:rFonts w:ascii="Times New Roman" w:hAnsi="Times New Roman" w:cs="Times New Roman"/>
        </w:rPr>
        <w:t xml:space="preserve">process </w:t>
      </w:r>
      <w:r w:rsidRPr="004D4B61" w:rsidR="009D4D50">
        <w:rPr>
          <w:rFonts w:ascii="Times New Roman" w:hAnsi="Times New Roman" w:cs="Times New Roman"/>
        </w:rPr>
        <w:t xml:space="preserve">is </w:t>
      </w:r>
      <w:r w:rsidRPr="004D4B61" w:rsidR="007E3388">
        <w:rPr>
          <w:rFonts w:ascii="Times New Roman" w:hAnsi="Times New Roman" w:cs="Times New Roman"/>
        </w:rPr>
        <w:t xml:space="preserve">in place to transfer accidental release notification and data to local responders and ensure the </w:t>
      </w:r>
      <w:r w:rsidR="00E8462E">
        <w:rPr>
          <w:rFonts w:ascii="Times New Roman" w:hAnsi="Times New Roman" w:cs="Times New Roman"/>
        </w:rPr>
        <w:t xml:space="preserve">successful </w:t>
      </w:r>
      <w:r w:rsidRPr="004D4B61" w:rsidR="007E3388">
        <w:rPr>
          <w:rFonts w:ascii="Times New Roman" w:hAnsi="Times New Roman" w:cs="Times New Roman"/>
        </w:rPr>
        <w:t>ability to</w:t>
      </w:r>
      <w:r w:rsidRPr="004D4B61" w:rsidR="00FD77BA">
        <w:rPr>
          <w:rFonts w:ascii="Times New Roman" w:hAnsi="Times New Roman" w:cs="Times New Roman"/>
        </w:rPr>
        <w:t xml:space="preserve"> </w:t>
      </w:r>
      <w:r w:rsidRPr="004D4B61" w:rsidR="004E7CBE">
        <w:rPr>
          <w:rFonts w:ascii="Times New Roman" w:hAnsi="Times New Roman" w:cs="Times New Roman"/>
        </w:rPr>
        <w:t xml:space="preserve">use </w:t>
      </w:r>
      <w:r w:rsidRPr="004D4B61">
        <w:rPr>
          <w:rFonts w:ascii="Times New Roman" w:hAnsi="Times New Roman" w:cs="Times New Roman"/>
        </w:rPr>
        <w:t xml:space="preserve">a community notification system. EPA assumes simple facilities </w:t>
      </w:r>
      <w:r w:rsidR="009449B7">
        <w:rPr>
          <w:rFonts w:ascii="Times New Roman" w:hAnsi="Times New Roman" w:cs="Times New Roman"/>
        </w:rPr>
        <w:t>will</w:t>
      </w:r>
      <w:r w:rsidRPr="004D4B61">
        <w:rPr>
          <w:rFonts w:ascii="Times New Roman" w:hAnsi="Times New Roman" w:cs="Times New Roman"/>
        </w:rPr>
        <w:t xml:space="preserve"> require an additional 2 hours of facility management time and an additional 1 hour of local responder time for them to communicate with each other about a community notification system and for the facility to provide any additional information necessary </w:t>
      </w:r>
      <w:r w:rsidRPr="004D4B61" w:rsidR="00F9368D">
        <w:rPr>
          <w:rFonts w:ascii="Times New Roman" w:hAnsi="Times New Roman" w:cs="Times New Roman"/>
        </w:rPr>
        <w:t>for coordination</w:t>
      </w:r>
      <w:r w:rsidRPr="004D4B61">
        <w:rPr>
          <w:rFonts w:ascii="Times New Roman" w:hAnsi="Times New Roman" w:cs="Times New Roman"/>
        </w:rPr>
        <w:t xml:space="preserve"> and document this additional coordination. EPA assumes the additional coordination time </w:t>
      </w:r>
      <w:r w:rsidR="00085AE3">
        <w:rPr>
          <w:rFonts w:ascii="Times New Roman" w:hAnsi="Times New Roman" w:cs="Times New Roman"/>
        </w:rPr>
        <w:t xml:space="preserve">for complex facilities </w:t>
      </w:r>
      <w:r w:rsidRPr="004D4B61">
        <w:rPr>
          <w:rFonts w:ascii="Times New Roman" w:hAnsi="Times New Roman" w:cs="Times New Roman"/>
        </w:rPr>
        <w:t xml:space="preserve">will be approximately double </w:t>
      </w:r>
      <w:r w:rsidR="00085AE3">
        <w:rPr>
          <w:rFonts w:ascii="Times New Roman" w:hAnsi="Times New Roman" w:cs="Times New Roman"/>
        </w:rPr>
        <w:t xml:space="preserve">that of simple </w:t>
      </w:r>
      <w:r w:rsidRPr="004D4B61">
        <w:rPr>
          <w:rFonts w:ascii="Times New Roman" w:hAnsi="Times New Roman" w:cs="Times New Roman"/>
        </w:rPr>
        <w:t>facilities. The unit costs are shown in Exhibit 4-</w:t>
      </w:r>
      <w:r w:rsidRPr="004D4B61" w:rsidR="006F4650">
        <w:rPr>
          <w:rFonts w:ascii="Times New Roman" w:hAnsi="Times New Roman" w:cs="Times New Roman"/>
        </w:rPr>
        <w:t>1</w:t>
      </w:r>
      <w:r w:rsidR="00093D9E">
        <w:rPr>
          <w:rFonts w:ascii="Times New Roman" w:hAnsi="Times New Roman" w:cs="Times New Roman"/>
        </w:rPr>
        <w:t>4</w:t>
      </w:r>
      <w:r w:rsidRPr="004D4B61">
        <w:rPr>
          <w:rFonts w:ascii="Times New Roman" w:hAnsi="Times New Roman" w:cs="Times New Roman"/>
        </w:rPr>
        <w:t xml:space="preserve">. </w:t>
      </w:r>
    </w:p>
    <w:p w:rsidR="00835820" w:rsidRPr="004D4B61" w:rsidP="00835820" w14:paraId="6A7E1971" w14:textId="77777777">
      <w:pPr>
        <w:spacing w:after="0" w:line="240" w:lineRule="auto"/>
        <w:ind w:firstLine="360"/>
        <w:rPr>
          <w:rFonts w:ascii="Times New Roman" w:hAnsi="Times New Roman" w:cs="Times New Roman"/>
        </w:rPr>
      </w:pPr>
    </w:p>
    <w:p w:rsidR="00835820" w:rsidRPr="00835820" w:rsidP="00835820" w14:paraId="02A2FDD0" w14:textId="77777777">
      <w:pPr>
        <w:pStyle w:val="Caption"/>
        <w:jc w:val="center"/>
        <w:rPr>
          <w:rFonts w:ascii="Times New Roman" w:hAnsi="Times New Roman" w:cs="Times New Roman"/>
          <w:b/>
          <w:bCs/>
          <w:i w:val="0"/>
          <w:iCs w:val="0"/>
          <w:color w:val="auto"/>
          <w:sz w:val="22"/>
          <w:szCs w:val="22"/>
        </w:rPr>
      </w:pPr>
      <w:r w:rsidRPr="00835820">
        <w:rPr>
          <w:rFonts w:ascii="Times New Roman" w:hAnsi="Times New Roman" w:cs="Times New Roman"/>
          <w:b/>
          <w:bCs/>
          <w:i w:val="0"/>
          <w:iCs w:val="0"/>
          <w:color w:val="auto"/>
          <w:sz w:val="22"/>
          <w:szCs w:val="22"/>
        </w:rPr>
        <w:t>Exhibit 4-</w:t>
      </w:r>
      <w:r w:rsidRPr="00835820" w:rsidR="00852CB0">
        <w:rPr>
          <w:rFonts w:ascii="Times New Roman" w:hAnsi="Times New Roman" w:cs="Times New Roman"/>
          <w:b/>
          <w:bCs/>
          <w:i w:val="0"/>
          <w:iCs w:val="0"/>
          <w:color w:val="auto"/>
          <w:sz w:val="22"/>
          <w:szCs w:val="22"/>
        </w:rPr>
        <w:t>1</w:t>
      </w:r>
      <w:r w:rsidR="00093D9E">
        <w:rPr>
          <w:rFonts w:ascii="Times New Roman" w:hAnsi="Times New Roman" w:cs="Times New Roman"/>
          <w:b/>
          <w:bCs/>
          <w:i w:val="0"/>
          <w:iCs w:val="0"/>
          <w:color w:val="auto"/>
          <w:sz w:val="22"/>
          <w:szCs w:val="22"/>
        </w:rPr>
        <w:t>4</w:t>
      </w:r>
      <w:r w:rsidRPr="00835820">
        <w:rPr>
          <w:rFonts w:ascii="Times New Roman" w:hAnsi="Times New Roman" w:cs="Times New Roman"/>
          <w:b/>
          <w:bCs/>
          <w:i w:val="0"/>
          <w:iCs w:val="0"/>
          <w:color w:val="auto"/>
          <w:sz w:val="22"/>
          <w:szCs w:val="22"/>
        </w:rPr>
        <w:t>: Hourly Labor and Unit Costs for Community Notification</w:t>
      </w:r>
      <w:r w:rsidR="004D2850">
        <w:rPr>
          <w:rFonts w:ascii="Times New Roman" w:hAnsi="Times New Roman" w:cs="Times New Roman"/>
          <w:b/>
          <w:bCs/>
          <w:i w:val="0"/>
          <w:iCs w:val="0"/>
          <w:color w:val="auto"/>
          <w:sz w:val="22"/>
          <w:szCs w:val="22"/>
        </w:rPr>
        <w:t xml:space="preserve"> </w:t>
      </w:r>
      <w:r w:rsidRPr="00835820" w:rsidR="004D2850">
        <w:rPr>
          <w:rFonts w:ascii="Times New Roman" w:hAnsi="Times New Roman" w:cs="Times New Roman"/>
          <w:b/>
          <w:bCs/>
          <w:i w:val="0"/>
          <w:iCs w:val="0"/>
          <w:color w:val="auto"/>
          <w:sz w:val="22"/>
          <w:szCs w:val="22"/>
        </w:rPr>
        <w:t>(202</w:t>
      </w:r>
      <w:r w:rsidR="006F4650">
        <w:rPr>
          <w:rFonts w:ascii="Times New Roman" w:hAnsi="Times New Roman" w:cs="Times New Roman"/>
          <w:b/>
          <w:bCs/>
          <w:i w:val="0"/>
          <w:iCs w:val="0"/>
          <w:color w:val="auto"/>
          <w:sz w:val="22"/>
          <w:szCs w:val="22"/>
        </w:rPr>
        <w:t>2</w:t>
      </w:r>
      <w:r w:rsidRPr="00835820" w:rsidR="004D2850">
        <w:rPr>
          <w:rFonts w:ascii="Times New Roman" w:hAnsi="Times New Roman" w:cs="Times New Roman"/>
          <w:b/>
          <w:bCs/>
          <w:i w:val="0"/>
          <w:iCs w:val="0"/>
          <w:color w:val="auto"/>
          <w:sz w:val="22"/>
          <w:szCs w:val="22"/>
        </w:rPr>
        <w:t xml:space="preserve"> dollars)</w:t>
      </w:r>
      <w:r w:rsidRPr="00835820">
        <w:rPr>
          <w:rFonts w:ascii="Times New Roman" w:hAnsi="Times New Roman" w:cs="Times New Roman"/>
          <w:b/>
          <w:bCs/>
          <w:i w:val="0"/>
          <w:iCs w:val="0"/>
          <w:color w:val="auto"/>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7"/>
        <w:gridCol w:w="1418"/>
        <w:gridCol w:w="1562"/>
        <w:gridCol w:w="1874"/>
      </w:tblGrid>
      <w:tr w14:paraId="56AB23A9" w14:textId="77777777" w:rsidTr="00835820">
        <w:tblPrEx>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93"/>
          <w:jc w:val="center"/>
        </w:trPr>
        <w:tc>
          <w:tcPr>
            <w:tcW w:w="1817" w:type="dxa"/>
            <w:shd w:val="clear" w:color="auto" w:fill="D9D9D9"/>
            <w:vAlign w:val="center"/>
          </w:tcPr>
          <w:p w:rsidR="00C5384D" w:rsidRPr="00835820" w:rsidP="00835820" w14:paraId="41EFCE68" w14:textId="77777777">
            <w:pPr>
              <w:spacing w:after="0" w:line="240" w:lineRule="auto"/>
              <w:ind w:left="90"/>
              <w:jc w:val="center"/>
              <w:rPr>
                <w:rFonts w:ascii="Times New Roman" w:hAnsi="Times New Roman" w:cs="Times New Roman"/>
                <w:b/>
                <w:sz w:val="20"/>
                <w:szCs w:val="20"/>
              </w:rPr>
            </w:pPr>
            <w:r w:rsidRPr="00835820">
              <w:rPr>
                <w:rFonts w:ascii="Times New Roman" w:hAnsi="Times New Roman" w:cs="Times New Roman"/>
                <w:b/>
                <w:sz w:val="20"/>
                <w:szCs w:val="20"/>
              </w:rPr>
              <w:t>Facility Type</w:t>
            </w:r>
          </w:p>
        </w:tc>
        <w:tc>
          <w:tcPr>
            <w:tcW w:w="1418" w:type="dxa"/>
            <w:shd w:val="clear" w:color="auto" w:fill="D9D9D9"/>
            <w:vAlign w:val="center"/>
          </w:tcPr>
          <w:p w:rsidR="00C5384D" w:rsidRPr="00835820" w:rsidP="004D4B61" w14:paraId="27CE4E51" w14:textId="77777777">
            <w:pPr>
              <w:spacing w:after="0" w:line="240" w:lineRule="auto"/>
              <w:ind w:left="91" w:right="75"/>
              <w:jc w:val="center"/>
              <w:rPr>
                <w:rFonts w:ascii="Times New Roman" w:hAnsi="Times New Roman" w:cs="Times New Roman"/>
                <w:b/>
                <w:sz w:val="20"/>
                <w:szCs w:val="20"/>
              </w:rPr>
            </w:pPr>
            <w:r w:rsidRPr="00835820">
              <w:rPr>
                <w:rFonts w:ascii="Times New Roman" w:hAnsi="Times New Roman" w:cs="Times New Roman"/>
                <w:b/>
                <w:sz w:val="20"/>
                <w:szCs w:val="20"/>
              </w:rPr>
              <w:t>Managers</w:t>
            </w:r>
          </w:p>
        </w:tc>
        <w:tc>
          <w:tcPr>
            <w:tcW w:w="1562" w:type="dxa"/>
            <w:shd w:val="clear" w:color="auto" w:fill="D9D9D9"/>
            <w:vAlign w:val="center"/>
          </w:tcPr>
          <w:p w:rsidR="00C5384D" w:rsidRPr="00835820" w:rsidP="004D4B61" w14:paraId="309F3E70" w14:textId="77777777">
            <w:pPr>
              <w:spacing w:after="0" w:line="240" w:lineRule="auto"/>
              <w:ind w:left="89" w:right="75"/>
              <w:jc w:val="center"/>
              <w:rPr>
                <w:rFonts w:ascii="Times New Roman" w:hAnsi="Times New Roman" w:cs="Times New Roman"/>
                <w:b/>
                <w:sz w:val="20"/>
                <w:szCs w:val="20"/>
              </w:rPr>
            </w:pPr>
            <w:r w:rsidRPr="00835820">
              <w:rPr>
                <w:rFonts w:ascii="Times New Roman" w:hAnsi="Times New Roman" w:cs="Times New Roman"/>
                <w:b/>
                <w:sz w:val="20"/>
                <w:szCs w:val="20"/>
              </w:rPr>
              <w:t>Local Responders</w:t>
            </w:r>
          </w:p>
        </w:tc>
        <w:tc>
          <w:tcPr>
            <w:tcW w:w="1874" w:type="dxa"/>
            <w:shd w:val="clear" w:color="auto" w:fill="D9D9D9"/>
            <w:vAlign w:val="center"/>
          </w:tcPr>
          <w:p w:rsidR="00C5384D" w:rsidRPr="00835820" w:rsidP="004D4B61" w14:paraId="682B0D53" w14:textId="77777777">
            <w:pPr>
              <w:spacing w:after="0" w:line="240" w:lineRule="auto"/>
              <w:ind w:left="89" w:right="75"/>
              <w:jc w:val="center"/>
              <w:rPr>
                <w:rFonts w:ascii="Times New Roman" w:hAnsi="Times New Roman" w:cs="Times New Roman"/>
                <w:b/>
                <w:sz w:val="20"/>
                <w:szCs w:val="20"/>
              </w:rPr>
            </w:pPr>
            <w:r w:rsidRPr="00835820">
              <w:rPr>
                <w:rFonts w:ascii="Times New Roman" w:hAnsi="Times New Roman" w:cs="Times New Roman"/>
                <w:b/>
                <w:sz w:val="20"/>
                <w:szCs w:val="20"/>
              </w:rPr>
              <w:t>Facility Cost</w:t>
            </w:r>
          </w:p>
        </w:tc>
      </w:tr>
      <w:tr w14:paraId="72F49F40" w14:textId="77777777" w:rsidTr="00835820">
        <w:tblPrEx>
          <w:tblW w:w="0" w:type="auto"/>
          <w:jc w:val="center"/>
          <w:tblLayout w:type="fixed"/>
          <w:tblCellMar>
            <w:left w:w="0" w:type="dxa"/>
            <w:right w:w="0" w:type="dxa"/>
          </w:tblCellMar>
          <w:tblLook w:val="01E0"/>
        </w:tblPrEx>
        <w:trPr>
          <w:trHeight w:val="434"/>
          <w:jc w:val="center"/>
        </w:trPr>
        <w:tc>
          <w:tcPr>
            <w:tcW w:w="1817" w:type="dxa"/>
            <w:vAlign w:val="center"/>
          </w:tcPr>
          <w:p w:rsidR="00C5384D" w:rsidRPr="00835820" w:rsidP="00835820" w14:paraId="7E83E38E" w14:textId="77777777">
            <w:pPr>
              <w:spacing w:after="0" w:line="240" w:lineRule="auto"/>
              <w:ind w:left="90"/>
              <w:jc w:val="center"/>
              <w:rPr>
                <w:rFonts w:ascii="Times New Roman" w:hAnsi="Times New Roman" w:cs="Times New Roman"/>
                <w:sz w:val="20"/>
                <w:szCs w:val="20"/>
              </w:rPr>
            </w:pPr>
            <w:r w:rsidRPr="00835820">
              <w:rPr>
                <w:rFonts w:ascii="Times New Roman" w:hAnsi="Times New Roman" w:cs="Times New Roman"/>
                <w:sz w:val="20"/>
                <w:szCs w:val="20"/>
              </w:rPr>
              <w:t>Simple Facilities</w:t>
            </w:r>
          </w:p>
        </w:tc>
        <w:tc>
          <w:tcPr>
            <w:tcW w:w="1418" w:type="dxa"/>
            <w:vAlign w:val="center"/>
          </w:tcPr>
          <w:p w:rsidR="00C5384D" w:rsidRPr="00835820" w:rsidP="004D4B61" w14:paraId="24BDC4A2" w14:textId="77777777">
            <w:pPr>
              <w:spacing w:after="0" w:line="240" w:lineRule="auto"/>
              <w:ind w:left="14"/>
              <w:jc w:val="center"/>
              <w:rPr>
                <w:rFonts w:ascii="Times New Roman" w:hAnsi="Times New Roman" w:cs="Times New Roman"/>
                <w:sz w:val="20"/>
                <w:szCs w:val="20"/>
              </w:rPr>
            </w:pPr>
            <w:r w:rsidRPr="00835820">
              <w:rPr>
                <w:rFonts w:ascii="Times New Roman" w:hAnsi="Times New Roman" w:cs="Times New Roman"/>
                <w:sz w:val="20"/>
                <w:szCs w:val="20"/>
              </w:rPr>
              <w:t>2</w:t>
            </w:r>
          </w:p>
        </w:tc>
        <w:tc>
          <w:tcPr>
            <w:tcW w:w="1562" w:type="dxa"/>
            <w:vAlign w:val="center"/>
          </w:tcPr>
          <w:p w:rsidR="00C5384D" w:rsidRPr="00835820" w:rsidP="004D4B61" w14:paraId="1F2D530B" w14:textId="77777777">
            <w:pPr>
              <w:spacing w:after="0" w:line="240" w:lineRule="auto"/>
              <w:ind w:left="86" w:right="75"/>
              <w:jc w:val="center"/>
              <w:rPr>
                <w:rFonts w:ascii="Times New Roman" w:hAnsi="Times New Roman" w:cs="Times New Roman"/>
                <w:sz w:val="20"/>
                <w:szCs w:val="20"/>
              </w:rPr>
            </w:pPr>
            <w:r w:rsidRPr="00835820">
              <w:rPr>
                <w:rFonts w:ascii="Times New Roman" w:hAnsi="Times New Roman" w:cs="Times New Roman"/>
                <w:sz w:val="20"/>
                <w:szCs w:val="20"/>
              </w:rPr>
              <w:t>1</w:t>
            </w:r>
          </w:p>
        </w:tc>
        <w:tc>
          <w:tcPr>
            <w:tcW w:w="1874" w:type="dxa"/>
            <w:vAlign w:val="center"/>
          </w:tcPr>
          <w:p w:rsidR="00C5384D" w:rsidRPr="00835820" w:rsidP="004D4B61" w14:paraId="28D79ED2" w14:textId="77777777">
            <w:pPr>
              <w:spacing w:after="0" w:line="240" w:lineRule="auto"/>
              <w:ind w:left="86" w:right="75"/>
              <w:jc w:val="center"/>
              <w:rPr>
                <w:rFonts w:ascii="Times New Roman" w:hAnsi="Times New Roman" w:cs="Times New Roman"/>
                <w:sz w:val="20"/>
                <w:szCs w:val="20"/>
              </w:rPr>
            </w:pPr>
            <w:r w:rsidRPr="00835820">
              <w:rPr>
                <w:rFonts w:ascii="Times New Roman" w:hAnsi="Times New Roman" w:cs="Times New Roman"/>
                <w:sz w:val="20"/>
                <w:szCs w:val="20"/>
              </w:rPr>
              <w:t>$</w:t>
            </w:r>
            <w:r w:rsidRPr="00835820" w:rsidR="006C78D3">
              <w:rPr>
                <w:rFonts w:ascii="Times New Roman" w:hAnsi="Times New Roman" w:cs="Times New Roman"/>
                <w:sz w:val="20"/>
                <w:szCs w:val="20"/>
              </w:rPr>
              <w:t>2</w:t>
            </w:r>
            <w:r w:rsidR="00BF65BF">
              <w:rPr>
                <w:rFonts w:ascii="Times New Roman" w:hAnsi="Times New Roman" w:cs="Times New Roman"/>
                <w:sz w:val="20"/>
                <w:szCs w:val="20"/>
              </w:rPr>
              <w:t>93</w:t>
            </w:r>
          </w:p>
        </w:tc>
      </w:tr>
      <w:tr w14:paraId="2A8A8306" w14:textId="77777777" w:rsidTr="00835820">
        <w:tblPrEx>
          <w:tblW w:w="0" w:type="auto"/>
          <w:jc w:val="center"/>
          <w:tblLayout w:type="fixed"/>
          <w:tblCellMar>
            <w:left w:w="0" w:type="dxa"/>
            <w:right w:w="0" w:type="dxa"/>
          </w:tblCellMar>
          <w:tblLook w:val="01E0"/>
        </w:tblPrEx>
        <w:trPr>
          <w:trHeight w:val="434"/>
          <w:jc w:val="center"/>
        </w:trPr>
        <w:tc>
          <w:tcPr>
            <w:tcW w:w="1817" w:type="dxa"/>
            <w:vAlign w:val="center"/>
          </w:tcPr>
          <w:p w:rsidR="00C5384D" w:rsidRPr="00835820" w:rsidP="00835820" w14:paraId="2D8E4699" w14:textId="77777777">
            <w:pPr>
              <w:spacing w:after="0" w:line="240" w:lineRule="auto"/>
              <w:ind w:left="90"/>
              <w:jc w:val="center"/>
              <w:rPr>
                <w:rFonts w:ascii="Times New Roman" w:hAnsi="Times New Roman" w:cs="Times New Roman"/>
                <w:sz w:val="20"/>
                <w:szCs w:val="20"/>
              </w:rPr>
            </w:pPr>
            <w:r w:rsidRPr="00835820">
              <w:rPr>
                <w:rFonts w:ascii="Times New Roman" w:hAnsi="Times New Roman" w:cs="Times New Roman"/>
                <w:sz w:val="20"/>
                <w:szCs w:val="20"/>
              </w:rPr>
              <w:t>Complex Facilities</w:t>
            </w:r>
          </w:p>
        </w:tc>
        <w:tc>
          <w:tcPr>
            <w:tcW w:w="1418" w:type="dxa"/>
            <w:vAlign w:val="center"/>
          </w:tcPr>
          <w:p w:rsidR="00C5384D" w:rsidRPr="00835820" w:rsidP="004D4B61" w14:paraId="4637283C" w14:textId="77777777">
            <w:pPr>
              <w:spacing w:after="0" w:line="240" w:lineRule="auto"/>
              <w:ind w:left="14"/>
              <w:jc w:val="center"/>
              <w:rPr>
                <w:rFonts w:ascii="Times New Roman" w:hAnsi="Times New Roman" w:cs="Times New Roman"/>
                <w:sz w:val="20"/>
                <w:szCs w:val="20"/>
              </w:rPr>
            </w:pPr>
            <w:r w:rsidRPr="00835820">
              <w:rPr>
                <w:rFonts w:ascii="Times New Roman" w:hAnsi="Times New Roman" w:cs="Times New Roman"/>
                <w:sz w:val="20"/>
                <w:szCs w:val="20"/>
              </w:rPr>
              <w:t>4</w:t>
            </w:r>
          </w:p>
        </w:tc>
        <w:tc>
          <w:tcPr>
            <w:tcW w:w="1562" w:type="dxa"/>
            <w:vAlign w:val="center"/>
          </w:tcPr>
          <w:p w:rsidR="00C5384D" w:rsidRPr="00835820" w:rsidP="004D4B61" w14:paraId="4D0F58AB" w14:textId="77777777">
            <w:pPr>
              <w:spacing w:after="0" w:line="240" w:lineRule="auto"/>
              <w:ind w:left="86" w:right="75"/>
              <w:jc w:val="center"/>
              <w:rPr>
                <w:rFonts w:ascii="Times New Roman" w:hAnsi="Times New Roman" w:cs="Times New Roman"/>
                <w:sz w:val="20"/>
                <w:szCs w:val="20"/>
              </w:rPr>
            </w:pPr>
            <w:r w:rsidRPr="00835820">
              <w:rPr>
                <w:rFonts w:ascii="Times New Roman" w:hAnsi="Times New Roman" w:cs="Times New Roman"/>
                <w:sz w:val="20"/>
                <w:szCs w:val="20"/>
              </w:rPr>
              <w:t>2</w:t>
            </w:r>
          </w:p>
        </w:tc>
        <w:tc>
          <w:tcPr>
            <w:tcW w:w="1874" w:type="dxa"/>
            <w:vAlign w:val="center"/>
          </w:tcPr>
          <w:p w:rsidR="00C5384D" w:rsidRPr="00835820" w:rsidP="004D4B61" w14:paraId="60C96DEA" w14:textId="77777777">
            <w:pPr>
              <w:spacing w:after="0" w:line="240" w:lineRule="auto"/>
              <w:ind w:left="86" w:right="75"/>
              <w:jc w:val="center"/>
              <w:rPr>
                <w:rFonts w:ascii="Times New Roman" w:hAnsi="Times New Roman" w:cs="Times New Roman"/>
                <w:sz w:val="20"/>
                <w:szCs w:val="20"/>
              </w:rPr>
            </w:pPr>
            <w:r w:rsidRPr="00835820">
              <w:rPr>
                <w:rFonts w:ascii="Times New Roman" w:hAnsi="Times New Roman" w:cs="Times New Roman"/>
                <w:sz w:val="20"/>
                <w:szCs w:val="20"/>
              </w:rPr>
              <w:t>$</w:t>
            </w:r>
            <w:r w:rsidRPr="00835820" w:rsidR="00AE0F01">
              <w:rPr>
                <w:rFonts w:ascii="Times New Roman" w:hAnsi="Times New Roman" w:cs="Times New Roman"/>
                <w:sz w:val="20"/>
                <w:szCs w:val="20"/>
              </w:rPr>
              <w:t>6</w:t>
            </w:r>
            <w:r w:rsidR="006D1249">
              <w:rPr>
                <w:rFonts w:ascii="Times New Roman" w:hAnsi="Times New Roman" w:cs="Times New Roman"/>
                <w:sz w:val="20"/>
                <w:szCs w:val="20"/>
              </w:rPr>
              <w:t>9</w:t>
            </w:r>
            <w:r w:rsidRPr="00835820" w:rsidR="00AE0F01">
              <w:rPr>
                <w:rFonts w:ascii="Times New Roman" w:hAnsi="Times New Roman" w:cs="Times New Roman"/>
                <w:sz w:val="20"/>
                <w:szCs w:val="20"/>
              </w:rPr>
              <w:t>5</w:t>
            </w:r>
          </w:p>
        </w:tc>
      </w:tr>
    </w:tbl>
    <w:p w:rsidR="00C5384D" w:rsidRPr="004D4B61" w:rsidP="004D4B61" w14:paraId="1ED14EEE" w14:textId="77777777">
      <w:pPr>
        <w:spacing w:after="0" w:line="240" w:lineRule="auto"/>
        <w:rPr>
          <w:rFonts w:ascii="Times New Roman" w:hAnsi="Times New Roman" w:cs="Times New Roman"/>
        </w:rPr>
      </w:pPr>
      <w:bookmarkStart w:id="212" w:name="_Toc98239706"/>
      <w:bookmarkEnd w:id="212"/>
    </w:p>
    <w:p w:rsidR="00835820" w:rsidP="00C07306" w14:paraId="5ECDBA74" w14:textId="77777777">
      <w:pPr>
        <w:pStyle w:val="Heading2"/>
      </w:pPr>
      <w:bookmarkStart w:id="213" w:name="_Toc98856218"/>
      <w:bookmarkStart w:id="214" w:name="_Toc144303547"/>
      <w:r w:rsidRPr="00CB6D74">
        <w:t>4.</w:t>
      </w:r>
      <w:r w:rsidR="008360B0">
        <w:t>7</w:t>
      </w:r>
      <w:r w:rsidRPr="00CB6D74">
        <w:t xml:space="preserve"> Information Availability</w:t>
      </w:r>
      <w:bookmarkEnd w:id="213"/>
      <w:bookmarkEnd w:id="214"/>
    </w:p>
    <w:p w:rsidR="00C5384D" w:rsidP="00835820" w14:paraId="1576E49C"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The </w:t>
      </w:r>
      <w:r w:rsidR="00F97DCB">
        <w:rPr>
          <w:rFonts w:ascii="Times New Roman" w:hAnsi="Times New Roman" w:cs="Times New Roman"/>
        </w:rPr>
        <w:t>final</w:t>
      </w:r>
      <w:r w:rsidRPr="004D4B61" w:rsidR="00F97DCB">
        <w:rPr>
          <w:rFonts w:ascii="Times New Roman" w:hAnsi="Times New Roman" w:cs="Times New Roman"/>
        </w:rPr>
        <w:t xml:space="preserve"> </w:t>
      </w:r>
      <w:r w:rsidRPr="004D4B61">
        <w:rPr>
          <w:rFonts w:ascii="Times New Roman" w:hAnsi="Times New Roman" w:cs="Times New Roman"/>
        </w:rPr>
        <w:t xml:space="preserve">rule </w:t>
      </w:r>
      <w:r w:rsidR="009449B7">
        <w:rPr>
          <w:rFonts w:ascii="Times New Roman" w:hAnsi="Times New Roman" w:cs="Times New Roman"/>
        </w:rPr>
        <w:t>will</w:t>
      </w:r>
      <w:r w:rsidRPr="004D4B61">
        <w:rPr>
          <w:rFonts w:ascii="Times New Roman" w:hAnsi="Times New Roman" w:cs="Times New Roman"/>
        </w:rPr>
        <w:t xml:space="preserve"> require </w:t>
      </w:r>
      <w:r w:rsidRPr="004D4B61" w:rsidR="00F9368D">
        <w:rPr>
          <w:rFonts w:ascii="Times New Roman" w:hAnsi="Times New Roman" w:cs="Times New Roman"/>
        </w:rPr>
        <w:t xml:space="preserve">facilities </w:t>
      </w:r>
      <w:r w:rsidRPr="004D4B61">
        <w:rPr>
          <w:rFonts w:ascii="Times New Roman" w:hAnsi="Times New Roman" w:cs="Times New Roman"/>
        </w:rPr>
        <w:t>to make certain information available upon request to community members living</w:t>
      </w:r>
      <w:r w:rsidR="00955379">
        <w:rPr>
          <w:rFonts w:ascii="Times New Roman" w:hAnsi="Times New Roman" w:cs="Times New Roman"/>
        </w:rPr>
        <w:t>,</w:t>
      </w:r>
      <w:r w:rsidR="00C07841">
        <w:rPr>
          <w:rFonts w:ascii="Times New Roman" w:hAnsi="Times New Roman" w:cs="Times New Roman"/>
        </w:rPr>
        <w:t xml:space="preserve"> working</w:t>
      </w:r>
      <w:r w:rsidR="00955379">
        <w:rPr>
          <w:rFonts w:ascii="Times New Roman" w:hAnsi="Times New Roman" w:cs="Times New Roman"/>
        </w:rPr>
        <w:t>, or spending significant amounts of time</w:t>
      </w:r>
      <w:r w:rsidR="00C07841">
        <w:rPr>
          <w:rFonts w:ascii="Times New Roman" w:hAnsi="Times New Roman" w:cs="Times New Roman"/>
        </w:rPr>
        <w:t xml:space="preserve"> </w:t>
      </w:r>
      <w:r w:rsidRPr="004D4B61">
        <w:rPr>
          <w:rFonts w:ascii="Times New Roman" w:hAnsi="Times New Roman" w:cs="Times New Roman"/>
        </w:rPr>
        <w:t xml:space="preserve">within 6 miles of a facility either through file </w:t>
      </w:r>
      <w:r w:rsidRPr="004D4B61">
        <w:rPr>
          <w:rFonts w:ascii="Times New Roman" w:hAnsi="Times New Roman" w:cs="Times New Roman"/>
        </w:rPr>
        <w:t xml:space="preserve">sharing, providing information at a public library or other public offices, or providing it via e-mail or on the facility’s website. The provision </w:t>
      </w:r>
      <w:r w:rsidR="009449B7">
        <w:rPr>
          <w:rFonts w:ascii="Times New Roman" w:hAnsi="Times New Roman" w:cs="Times New Roman"/>
        </w:rPr>
        <w:t>will</w:t>
      </w:r>
      <w:r w:rsidRPr="004D4B61">
        <w:rPr>
          <w:rFonts w:ascii="Times New Roman" w:hAnsi="Times New Roman" w:cs="Times New Roman"/>
        </w:rPr>
        <w:t xml:space="preserve"> require facilities to inform the public </w:t>
      </w:r>
      <w:r w:rsidRPr="004D4B61" w:rsidR="0085019C">
        <w:rPr>
          <w:rFonts w:ascii="Times New Roman" w:hAnsi="Times New Roman" w:cs="Times New Roman"/>
        </w:rPr>
        <w:t>about</w:t>
      </w:r>
      <w:r w:rsidRPr="004D4B61">
        <w:rPr>
          <w:rFonts w:ascii="Times New Roman" w:hAnsi="Times New Roman" w:cs="Times New Roman"/>
        </w:rPr>
        <w:t xml:space="preserve"> </w:t>
      </w:r>
      <w:r w:rsidR="00E77925">
        <w:rPr>
          <w:rFonts w:ascii="Times New Roman" w:hAnsi="Times New Roman" w:cs="Times New Roman"/>
        </w:rPr>
        <w:t xml:space="preserve">what information is available upon request </w:t>
      </w:r>
      <w:r w:rsidR="006F3EBB">
        <w:rPr>
          <w:rFonts w:ascii="Times New Roman" w:hAnsi="Times New Roman" w:cs="Times New Roman"/>
        </w:rPr>
        <w:t xml:space="preserve">and </w:t>
      </w:r>
      <w:r w:rsidRPr="004D4B61">
        <w:rPr>
          <w:rFonts w:ascii="Times New Roman" w:hAnsi="Times New Roman" w:cs="Times New Roman"/>
        </w:rPr>
        <w:t xml:space="preserve">how to obtain the requested information. The information elements should be readily available to facility managers because most of the information is already compiled for compliance with various health and safety regulations. </w:t>
      </w:r>
      <w:r w:rsidR="0064661A">
        <w:rPr>
          <w:rFonts w:ascii="Times New Roman" w:hAnsi="Times New Roman" w:cs="Times New Roman"/>
        </w:rPr>
        <w:t>For example</w:t>
      </w:r>
      <w:r w:rsidR="00E16C1A">
        <w:rPr>
          <w:rFonts w:ascii="Times New Roman" w:hAnsi="Times New Roman" w:cs="Times New Roman"/>
        </w:rPr>
        <w:t>,</w:t>
      </w:r>
      <w:r w:rsidR="0064661A">
        <w:rPr>
          <w:rFonts w:ascii="Times New Roman" w:hAnsi="Times New Roman" w:cs="Times New Roman"/>
        </w:rPr>
        <w:t xml:space="preserve"> the </w:t>
      </w:r>
      <w:r w:rsidR="002903D7">
        <w:rPr>
          <w:rFonts w:ascii="Times New Roman" w:hAnsi="Times New Roman" w:cs="Times New Roman"/>
        </w:rPr>
        <w:t>information is already contained in safety data sheets (</w:t>
      </w:r>
      <w:r w:rsidRPr="004D4B61" w:rsidR="00D74D0E">
        <w:rPr>
          <w:rFonts w:ascii="Times New Roman" w:hAnsi="Times New Roman" w:cs="Times New Roman"/>
        </w:rPr>
        <w:t>SDSs</w:t>
      </w:r>
      <w:r w:rsidR="002903D7">
        <w:rPr>
          <w:rFonts w:ascii="Times New Roman" w:hAnsi="Times New Roman" w:cs="Times New Roman"/>
        </w:rPr>
        <w:t>) which</w:t>
      </w:r>
      <w:r w:rsidRPr="004D4B61">
        <w:rPr>
          <w:rFonts w:ascii="Times New Roman" w:hAnsi="Times New Roman" w:cs="Times New Roman"/>
        </w:rPr>
        <w:t xml:space="preserve"> are documents that OSHA requires every facility to have available for its employees, and which contain chemical hazard information required under 29 CFR 1910.1200. The names of chemicals and </w:t>
      </w:r>
      <w:r w:rsidRPr="004D4B61" w:rsidR="007479B8">
        <w:rPr>
          <w:rFonts w:ascii="Times New Roman" w:hAnsi="Times New Roman" w:cs="Times New Roman"/>
        </w:rPr>
        <w:t>five-year</w:t>
      </w:r>
      <w:r w:rsidRPr="004D4B61">
        <w:rPr>
          <w:rFonts w:ascii="Times New Roman" w:hAnsi="Times New Roman" w:cs="Times New Roman"/>
        </w:rPr>
        <w:t xml:space="preserve"> accident history are already collected for reporting in the RMP. Especially for simple facilities, this information is unlikely to change much from year to year; the only cost associated with this element is the time required to collect and review the information for accuracy. </w:t>
      </w:r>
    </w:p>
    <w:p w:rsidR="003D2F8B" w:rsidRPr="004D4B61" w:rsidP="00835820" w14:paraId="0D2D00CD" w14:textId="77777777">
      <w:pPr>
        <w:spacing w:after="0" w:line="240" w:lineRule="auto"/>
        <w:ind w:firstLine="360"/>
        <w:rPr>
          <w:rFonts w:ascii="Times New Roman" w:hAnsi="Times New Roman" w:cs="Times New Roman"/>
        </w:rPr>
      </w:pPr>
    </w:p>
    <w:p w:rsidR="00C5384D" w:rsidRPr="004D4B61" w:rsidP="00835820" w14:paraId="128480EE" w14:textId="77777777">
      <w:pPr>
        <w:spacing w:after="0" w:line="240" w:lineRule="auto"/>
        <w:ind w:firstLine="360"/>
        <w:rPr>
          <w:rFonts w:ascii="Times New Roman" w:hAnsi="Times New Roman" w:cs="Times New Roman"/>
        </w:rPr>
      </w:pPr>
      <w:r>
        <w:rPr>
          <w:rFonts w:ascii="Times New Roman" w:hAnsi="Times New Roman" w:cs="Times New Roman"/>
        </w:rPr>
        <w:tab/>
      </w:r>
      <w:r w:rsidRPr="004D4B61">
        <w:rPr>
          <w:rFonts w:ascii="Times New Roman" w:hAnsi="Times New Roman" w:cs="Times New Roman"/>
        </w:rPr>
        <w:t xml:space="preserve">EPA </w:t>
      </w:r>
      <w:r w:rsidR="00465670">
        <w:rPr>
          <w:rFonts w:ascii="Times New Roman" w:hAnsi="Times New Roman" w:cs="Times New Roman"/>
        </w:rPr>
        <w:t>assumes</w:t>
      </w:r>
      <w:r w:rsidR="008D6DC1">
        <w:rPr>
          <w:rFonts w:ascii="Times New Roman" w:hAnsi="Times New Roman" w:cs="Times New Roman"/>
        </w:rPr>
        <w:t>, on average,</w:t>
      </w:r>
      <w:r w:rsidRPr="004D4B61">
        <w:rPr>
          <w:rFonts w:ascii="Times New Roman" w:hAnsi="Times New Roman" w:cs="Times New Roman"/>
        </w:rPr>
        <w:t xml:space="preserve"> facilities will receive one information request in any given year. The analysis estimates that simple facilities </w:t>
      </w:r>
      <w:r w:rsidR="009449B7">
        <w:rPr>
          <w:rFonts w:ascii="Times New Roman" w:hAnsi="Times New Roman" w:cs="Times New Roman"/>
        </w:rPr>
        <w:t>will</w:t>
      </w:r>
      <w:r w:rsidRPr="004D4B61">
        <w:rPr>
          <w:rFonts w:ascii="Times New Roman" w:hAnsi="Times New Roman" w:cs="Times New Roman"/>
        </w:rPr>
        <w:t xml:space="preserve"> spend 2 hours reviewing the information to ensure that it is up-to-date. Complex facilities may have more information to review because they may manufacture, process, and use multiple regulated substances in multiple processes. The analysis estimate</w:t>
      </w:r>
      <w:r w:rsidRPr="004D4B61" w:rsidR="00EF0743">
        <w:rPr>
          <w:rFonts w:ascii="Times New Roman" w:hAnsi="Times New Roman" w:cs="Times New Roman"/>
        </w:rPr>
        <w:t>s</w:t>
      </w:r>
      <w:r w:rsidRPr="004D4B61">
        <w:rPr>
          <w:rFonts w:ascii="Times New Roman" w:hAnsi="Times New Roman" w:cs="Times New Roman"/>
        </w:rPr>
        <w:t xml:space="preserve"> that small complex facilities </w:t>
      </w:r>
      <w:r w:rsidR="009449B7">
        <w:rPr>
          <w:rFonts w:ascii="Times New Roman" w:hAnsi="Times New Roman" w:cs="Times New Roman"/>
        </w:rPr>
        <w:t>will</w:t>
      </w:r>
      <w:r w:rsidRPr="004D4B61">
        <w:rPr>
          <w:rFonts w:ascii="Times New Roman" w:hAnsi="Times New Roman" w:cs="Times New Roman"/>
        </w:rPr>
        <w:t xml:space="preserve"> spend 4 hours collecting and reviewing the information. Large complex facilities were estimated to spend 54 hours because management and possibly counsel </w:t>
      </w:r>
      <w:r w:rsidR="009449B7">
        <w:rPr>
          <w:rFonts w:ascii="Times New Roman" w:hAnsi="Times New Roman" w:cs="Times New Roman"/>
        </w:rPr>
        <w:t>will</w:t>
      </w:r>
      <w:r w:rsidRPr="004D4B61">
        <w:rPr>
          <w:rFonts w:ascii="Times New Roman" w:hAnsi="Times New Roman" w:cs="Times New Roman"/>
        </w:rPr>
        <w:t xml:space="preserve"> need to ensure that the information was not subject to any restrictions related to security or confidential business </w:t>
      </w:r>
      <w:r w:rsidRPr="004D4B61" w:rsidR="00EF0743">
        <w:rPr>
          <w:rFonts w:ascii="Times New Roman" w:hAnsi="Times New Roman" w:cs="Times New Roman"/>
        </w:rPr>
        <w:t xml:space="preserve">information </w:t>
      </w:r>
      <w:r w:rsidRPr="004D4B61">
        <w:rPr>
          <w:rFonts w:ascii="Times New Roman" w:hAnsi="Times New Roman" w:cs="Times New Roman"/>
        </w:rPr>
        <w:t>concerns. Labor and facility costs are presented in Exhibit 4-</w:t>
      </w:r>
      <w:r w:rsidRPr="004D4B61" w:rsidR="005405E2">
        <w:rPr>
          <w:rFonts w:ascii="Times New Roman" w:hAnsi="Times New Roman" w:cs="Times New Roman"/>
        </w:rPr>
        <w:t>1</w:t>
      </w:r>
      <w:r w:rsidR="00093D9E">
        <w:rPr>
          <w:rFonts w:ascii="Times New Roman" w:hAnsi="Times New Roman" w:cs="Times New Roman"/>
        </w:rPr>
        <w:t>5</w:t>
      </w:r>
      <w:r w:rsidRPr="004D4B61">
        <w:rPr>
          <w:rFonts w:ascii="Times New Roman" w:hAnsi="Times New Roman" w:cs="Times New Roman"/>
        </w:rPr>
        <w:t>.</w:t>
      </w:r>
      <w:bookmarkStart w:id="215" w:name="_Hlk138168673"/>
    </w:p>
    <w:p w:rsidR="0054582A" w:rsidRPr="004D4B61" w:rsidP="004D4B61" w14:paraId="0052F6BE" w14:textId="77777777">
      <w:pPr>
        <w:spacing w:after="0" w:line="240" w:lineRule="auto"/>
        <w:rPr>
          <w:rFonts w:ascii="Times New Roman" w:hAnsi="Times New Roman" w:cs="Times New Roman"/>
        </w:rPr>
      </w:pPr>
    </w:p>
    <w:p w:rsidR="00BF4D0A" w:rsidRPr="00BF4D0A" w:rsidP="00BF4D0A" w14:paraId="09D0870E" w14:textId="77777777">
      <w:pPr>
        <w:pStyle w:val="Caption"/>
        <w:jc w:val="center"/>
        <w:rPr>
          <w:rFonts w:ascii="Times New Roman" w:hAnsi="Times New Roman" w:cs="Times New Roman"/>
          <w:b/>
          <w:bCs/>
          <w:i w:val="0"/>
          <w:iCs w:val="0"/>
          <w:color w:val="auto"/>
          <w:sz w:val="22"/>
          <w:szCs w:val="22"/>
        </w:rPr>
      </w:pPr>
      <w:r w:rsidRPr="00BF4D0A">
        <w:rPr>
          <w:rFonts w:ascii="Times New Roman" w:hAnsi="Times New Roman" w:cs="Times New Roman"/>
          <w:b/>
          <w:bCs/>
          <w:i w:val="0"/>
          <w:iCs w:val="0"/>
          <w:color w:val="auto"/>
          <w:sz w:val="22"/>
          <w:szCs w:val="22"/>
        </w:rPr>
        <w:t>Exhibit 4-</w:t>
      </w:r>
      <w:r w:rsidRPr="00BF4D0A" w:rsidR="00852CB0">
        <w:rPr>
          <w:rFonts w:ascii="Times New Roman" w:hAnsi="Times New Roman" w:cs="Times New Roman"/>
          <w:b/>
          <w:bCs/>
          <w:i w:val="0"/>
          <w:iCs w:val="0"/>
          <w:color w:val="auto"/>
          <w:sz w:val="22"/>
          <w:szCs w:val="22"/>
        </w:rPr>
        <w:t>1</w:t>
      </w:r>
      <w:r w:rsidR="00093D9E">
        <w:rPr>
          <w:rFonts w:ascii="Times New Roman" w:hAnsi="Times New Roman" w:cs="Times New Roman"/>
          <w:b/>
          <w:bCs/>
          <w:i w:val="0"/>
          <w:iCs w:val="0"/>
          <w:color w:val="auto"/>
          <w:sz w:val="22"/>
          <w:szCs w:val="22"/>
        </w:rPr>
        <w:t>5</w:t>
      </w:r>
      <w:r w:rsidRPr="00BF4D0A">
        <w:rPr>
          <w:rFonts w:ascii="Times New Roman" w:hAnsi="Times New Roman" w:cs="Times New Roman"/>
          <w:b/>
          <w:bCs/>
          <w:i w:val="0"/>
          <w:iCs w:val="0"/>
          <w:color w:val="auto"/>
          <w:sz w:val="22"/>
          <w:szCs w:val="22"/>
        </w:rPr>
        <w:t xml:space="preserve">: Hourly Labor and Facility Costs </w:t>
      </w:r>
      <w:r w:rsidR="00851942">
        <w:rPr>
          <w:rFonts w:ascii="Times New Roman" w:hAnsi="Times New Roman" w:cs="Times New Roman"/>
          <w:b/>
          <w:bCs/>
          <w:i w:val="0"/>
          <w:iCs w:val="0"/>
          <w:color w:val="auto"/>
          <w:sz w:val="22"/>
          <w:szCs w:val="22"/>
        </w:rPr>
        <w:t>to Collect and Review</w:t>
      </w:r>
      <w:r w:rsidRPr="00BF4D0A">
        <w:rPr>
          <w:rFonts w:ascii="Times New Roman" w:hAnsi="Times New Roman" w:cs="Times New Roman"/>
          <w:b/>
          <w:bCs/>
          <w:i w:val="0"/>
          <w:iCs w:val="0"/>
          <w:color w:val="auto"/>
          <w:sz w:val="22"/>
          <w:szCs w:val="22"/>
        </w:rPr>
        <w:t xml:space="preserve"> Information </w:t>
      </w:r>
      <w:r w:rsidRPr="00835820" w:rsidR="004D2850">
        <w:rPr>
          <w:rFonts w:ascii="Times New Roman" w:hAnsi="Times New Roman" w:cs="Times New Roman"/>
          <w:b/>
          <w:bCs/>
          <w:i w:val="0"/>
          <w:iCs w:val="0"/>
          <w:color w:val="auto"/>
          <w:sz w:val="22"/>
          <w:szCs w:val="22"/>
        </w:rPr>
        <w:t>(202</w:t>
      </w:r>
      <w:r w:rsidR="00283131">
        <w:rPr>
          <w:rFonts w:ascii="Times New Roman" w:hAnsi="Times New Roman" w:cs="Times New Roman"/>
          <w:b/>
          <w:bCs/>
          <w:i w:val="0"/>
          <w:iCs w:val="0"/>
          <w:color w:val="auto"/>
          <w:sz w:val="22"/>
          <w:szCs w:val="22"/>
        </w:rPr>
        <w:t>2</w:t>
      </w:r>
      <w:r w:rsidRPr="00835820" w:rsidR="004D2850">
        <w:rPr>
          <w:rFonts w:ascii="Times New Roman" w:hAnsi="Times New Roman" w:cs="Times New Roman"/>
          <w:b/>
          <w:bCs/>
          <w:i w:val="0"/>
          <w:iCs w:val="0"/>
          <w:color w:val="auto"/>
          <w:sz w:val="22"/>
          <w:szCs w:val="22"/>
        </w:rPr>
        <w:t xml:space="preserve"> dollars)</w:t>
      </w:r>
      <w:r w:rsidRPr="00BF4D0A">
        <w:rPr>
          <w:rFonts w:ascii="Times New Roman" w:hAnsi="Times New Roman" w:cs="Times New Roman"/>
          <w:b/>
          <w:bCs/>
          <w:i w:val="0"/>
          <w:iCs w:val="0"/>
          <w:color w:val="auto"/>
          <w:sz w:val="22"/>
          <w:szCs w:val="22"/>
        </w:rPr>
        <w:t>.</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10"/>
        <w:gridCol w:w="1440"/>
        <w:gridCol w:w="1710"/>
        <w:gridCol w:w="1260"/>
        <w:gridCol w:w="1350"/>
        <w:gridCol w:w="900"/>
        <w:gridCol w:w="990"/>
      </w:tblGrid>
      <w:tr w14:paraId="7E185228" w14:textId="77777777" w:rsidTr="00BF4D0A">
        <w:tblPrEx>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76"/>
          <w:jc w:val="center"/>
        </w:trPr>
        <w:tc>
          <w:tcPr>
            <w:tcW w:w="1710" w:type="dxa"/>
            <w:vMerge w:val="restart"/>
            <w:shd w:val="clear" w:color="auto" w:fill="D9D9D9"/>
            <w:vAlign w:val="center"/>
          </w:tcPr>
          <w:p w:rsidR="00C5384D" w:rsidRPr="00835820" w:rsidP="004D4B61" w14:paraId="1FD9E820" w14:textId="77777777">
            <w:pPr>
              <w:keepNext/>
              <w:spacing w:after="0" w:line="240" w:lineRule="auto"/>
              <w:jc w:val="center"/>
              <w:rPr>
                <w:rFonts w:ascii="Times New Roman" w:hAnsi="Times New Roman" w:cs="Times New Roman"/>
                <w:b/>
                <w:sz w:val="20"/>
                <w:szCs w:val="20"/>
              </w:rPr>
            </w:pPr>
          </w:p>
          <w:p w:rsidR="00C5384D" w:rsidRPr="00835820" w:rsidP="004D4B61" w14:paraId="05AAD2C9" w14:textId="77777777">
            <w:pPr>
              <w:keepNext/>
              <w:spacing w:after="0" w:line="240" w:lineRule="auto"/>
              <w:ind w:left="444" w:right="317" w:hanging="101"/>
              <w:jc w:val="center"/>
              <w:rPr>
                <w:rFonts w:ascii="Times New Roman" w:hAnsi="Times New Roman" w:cs="Times New Roman"/>
                <w:b/>
                <w:sz w:val="20"/>
                <w:szCs w:val="20"/>
              </w:rPr>
            </w:pPr>
            <w:r w:rsidRPr="00835820">
              <w:rPr>
                <w:rFonts w:ascii="Times New Roman" w:hAnsi="Times New Roman" w:cs="Times New Roman"/>
                <w:b/>
                <w:sz w:val="20"/>
                <w:szCs w:val="20"/>
              </w:rPr>
              <w:t>Facility Type</w:t>
            </w:r>
          </w:p>
        </w:tc>
        <w:tc>
          <w:tcPr>
            <w:tcW w:w="1440" w:type="dxa"/>
            <w:vMerge w:val="restart"/>
            <w:shd w:val="clear" w:color="auto" w:fill="D9D9D9"/>
            <w:vAlign w:val="center"/>
          </w:tcPr>
          <w:p w:rsidR="00C5384D" w:rsidRPr="00835820" w:rsidP="004D4B61" w14:paraId="056511F9" w14:textId="77777777">
            <w:pPr>
              <w:keepNext/>
              <w:spacing w:after="0" w:line="240" w:lineRule="auto"/>
              <w:jc w:val="center"/>
              <w:rPr>
                <w:rFonts w:ascii="Times New Roman" w:hAnsi="Times New Roman" w:cs="Times New Roman"/>
                <w:b/>
                <w:sz w:val="20"/>
                <w:szCs w:val="20"/>
              </w:rPr>
            </w:pPr>
          </w:p>
          <w:p w:rsidR="00C5384D" w:rsidRPr="00835820" w:rsidP="00BF4D0A" w14:paraId="116F27FB" w14:textId="77777777">
            <w:pPr>
              <w:keepNext/>
              <w:spacing w:after="0" w:line="240" w:lineRule="auto"/>
              <w:ind w:left="114" w:right="85" w:hanging="20"/>
              <w:jc w:val="center"/>
              <w:rPr>
                <w:rFonts w:ascii="Times New Roman" w:hAnsi="Times New Roman" w:cs="Times New Roman"/>
                <w:b/>
                <w:sz w:val="20"/>
                <w:szCs w:val="20"/>
              </w:rPr>
            </w:pPr>
            <w:r w:rsidRPr="00835820">
              <w:rPr>
                <w:rFonts w:ascii="Times New Roman" w:hAnsi="Times New Roman" w:cs="Times New Roman"/>
                <w:b/>
                <w:sz w:val="20"/>
                <w:szCs w:val="20"/>
              </w:rPr>
              <w:t>Annual Frequency</w:t>
            </w:r>
          </w:p>
        </w:tc>
        <w:tc>
          <w:tcPr>
            <w:tcW w:w="4320" w:type="dxa"/>
            <w:gridSpan w:val="3"/>
            <w:shd w:val="clear" w:color="auto" w:fill="D9D9D9"/>
            <w:vAlign w:val="center"/>
          </w:tcPr>
          <w:p w:rsidR="00C5384D" w:rsidRPr="00835820" w:rsidP="004D4B61" w14:paraId="705D91F3" w14:textId="77777777">
            <w:pPr>
              <w:keepNext/>
              <w:spacing w:after="0" w:line="240" w:lineRule="auto"/>
              <w:ind w:left="1425" w:right="1416"/>
              <w:jc w:val="center"/>
              <w:rPr>
                <w:rFonts w:ascii="Times New Roman" w:hAnsi="Times New Roman" w:cs="Times New Roman"/>
                <w:b/>
                <w:sz w:val="20"/>
                <w:szCs w:val="20"/>
              </w:rPr>
            </w:pPr>
            <w:r w:rsidRPr="00835820">
              <w:rPr>
                <w:rFonts w:ascii="Times New Roman" w:hAnsi="Times New Roman" w:cs="Times New Roman"/>
                <w:b/>
                <w:sz w:val="20"/>
                <w:szCs w:val="20"/>
              </w:rPr>
              <w:t>Labor Hours</w:t>
            </w:r>
          </w:p>
        </w:tc>
        <w:tc>
          <w:tcPr>
            <w:tcW w:w="900" w:type="dxa"/>
            <w:vMerge w:val="restart"/>
            <w:shd w:val="clear" w:color="auto" w:fill="D9D9D9"/>
            <w:vAlign w:val="center"/>
          </w:tcPr>
          <w:p w:rsidR="00C5384D" w:rsidRPr="00835820" w:rsidP="00BF4D0A" w14:paraId="50B4FD97" w14:textId="77777777">
            <w:pPr>
              <w:keepNext/>
              <w:spacing w:after="0" w:line="240" w:lineRule="auto"/>
              <w:jc w:val="center"/>
              <w:rPr>
                <w:rFonts w:ascii="Times New Roman" w:hAnsi="Times New Roman" w:cs="Times New Roman"/>
                <w:b/>
                <w:sz w:val="20"/>
                <w:szCs w:val="20"/>
              </w:rPr>
            </w:pPr>
            <w:r w:rsidRPr="00835820">
              <w:rPr>
                <w:rFonts w:ascii="Times New Roman" w:hAnsi="Times New Roman" w:cs="Times New Roman"/>
                <w:b/>
                <w:sz w:val="20"/>
                <w:szCs w:val="20"/>
              </w:rPr>
              <w:t>Other Costs</w:t>
            </w:r>
          </w:p>
        </w:tc>
        <w:tc>
          <w:tcPr>
            <w:tcW w:w="990" w:type="dxa"/>
            <w:vMerge w:val="restart"/>
            <w:shd w:val="clear" w:color="auto" w:fill="D9D9D9"/>
            <w:vAlign w:val="center"/>
          </w:tcPr>
          <w:p w:rsidR="00C5384D" w:rsidRPr="00835820" w:rsidP="00BF4D0A" w14:paraId="4A717813" w14:textId="77777777">
            <w:pPr>
              <w:keepNext/>
              <w:spacing w:after="0" w:line="240" w:lineRule="auto"/>
              <w:ind w:left="91" w:right="169"/>
              <w:jc w:val="center"/>
              <w:rPr>
                <w:rFonts w:ascii="Times New Roman" w:hAnsi="Times New Roman" w:cs="Times New Roman"/>
                <w:b/>
                <w:sz w:val="20"/>
                <w:szCs w:val="20"/>
              </w:rPr>
            </w:pPr>
            <w:r w:rsidRPr="00835820">
              <w:rPr>
                <w:rFonts w:ascii="Times New Roman" w:hAnsi="Times New Roman" w:cs="Times New Roman"/>
                <w:b/>
                <w:sz w:val="20"/>
                <w:szCs w:val="20"/>
              </w:rPr>
              <w:t>Facility Costs</w:t>
            </w:r>
          </w:p>
        </w:tc>
      </w:tr>
      <w:tr w14:paraId="1F7493EE" w14:textId="77777777" w:rsidTr="00BF4D0A">
        <w:tblPrEx>
          <w:tblW w:w="9360" w:type="dxa"/>
          <w:jc w:val="center"/>
          <w:tblLayout w:type="fixed"/>
          <w:tblCellMar>
            <w:left w:w="0" w:type="dxa"/>
            <w:right w:w="0" w:type="dxa"/>
          </w:tblCellMar>
          <w:tblLook w:val="01E0"/>
        </w:tblPrEx>
        <w:trPr>
          <w:trHeight w:val="164"/>
          <w:jc w:val="center"/>
        </w:trPr>
        <w:tc>
          <w:tcPr>
            <w:tcW w:w="1710" w:type="dxa"/>
            <w:vMerge/>
            <w:tcBorders>
              <w:top w:val="nil"/>
            </w:tcBorders>
            <w:shd w:val="clear" w:color="auto" w:fill="D9D9D9"/>
            <w:vAlign w:val="center"/>
          </w:tcPr>
          <w:p w:rsidR="00C5384D" w:rsidRPr="00835820" w:rsidP="00835820" w14:paraId="0614BFE5" w14:textId="77777777">
            <w:pPr>
              <w:keepNext/>
              <w:spacing w:after="0" w:line="240" w:lineRule="auto"/>
              <w:jc w:val="center"/>
              <w:rPr>
                <w:rFonts w:ascii="Times New Roman" w:hAnsi="Times New Roman" w:cs="Times New Roman"/>
                <w:sz w:val="20"/>
                <w:szCs w:val="20"/>
              </w:rPr>
            </w:pPr>
          </w:p>
        </w:tc>
        <w:tc>
          <w:tcPr>
            <w:tcW w:w="1440" w:type="dxa"/>
            <w:vMerge/>
            <w:tcBorders>
              <w:top w:val="nil"/>
            </w:tcBorders>
            <w:shd w:val="clear" w:color="auto" w:fill="D9D9D9"/>
            <w:vAlign w:val="center"/>
          </w:tcPr>
          <w:p w:rsidR="00C5384D" w:rsidRPr="00835820" w:rsidP="00835820" w14:paraId="6512754D" w14:textId="77777777">
            <w:pPr>
              <w:keepNext/>
              <w:spacing w:after="0" w:line="240" w:lineRule="auto"/>
              <w:jc w:val="center"/>
              <w:rPr>
                <w:rFonts w:ascii="Times New Roman" w:hAnsi="Times New Roman" w:cs="Times New Roman"/>
                <w:sz w:val="20"/>
                <w:szCs w:val="20"/>
              </w:rPr>
            </w:pPr>
          </w:p>
        </w:tc>
        <w:tc>
          <w:tcPr>
            <w:tcW w:w="1710" w:type="dxa"/>
            <w:shd w:val="clear" w:color="auto" w:fill="D9D9D9"/>
            <w:vAlign w:val="center"/>
          </w:tcPr>
          <w:p w:rsidR="00C5384D" w:rsidRPr="00835820" w:rsidP="00835820" w14:paraId="102B0542" w14:textId="77777777">
            <w:pPr>
              <w:keepNext/>
              <w:spacing w:after="0" w:line="240" w:lineRule="auto"/>
              <w:ind w:left="129" w:right="124"/>
              <w:jc w:val="center"/>
              <w:rPr>
                <w:rFonts w:ascii="Times New Roman" w:hAnsi="Times New Roman" w:cs="Times New Roman"/>
                <w:b/>
                <w:sz w:val="20"/>
                <w:szCs w:val="20"/>
              </w:rPr>
            </w:pPr>
            <w:r w:rsidRPr="00835820">
              <w:rPr>
                <w:rFonts w:ascii="Times New Roman" w:hAnsi="Times New Roman" w:cs="Times New Roman"/>
                <w:b/>
                <w:sz w:val="20"/>
                <w:szCs w:val="20"/>
              </w:rPr>
              <w:t>Management</w:t>
            </w:r>
          </w:p>
        </w:tc>
        <w:tc>
          <w:tcPr>
            <w:tcW w:w="1260" w:type="dxa"/>
            <w:shd w:val="clear" w:color="auto" w:fill="D9D9D9"/>
            <w:vAlign w:val="center"/>
          </w:tcPr>
          <w:p w:rsidR="00C5384D" w:rsidRPr="00835820" w:rsidP="00835820" w14:paraId="5D75793C" w14:textId="77777777">
            <w:pPr>
              <w:keepNext/>
              <w:spacing w:after="0" w:line="240" w:lineRule="auto"/>
              <w:ind w:left="137" w:right="131"/>
              <w:jc w:val="center"/>
              <w:rPr>
                <w:rFonts w:ascii="Times New Roman" w:hAnsi="Times New Roman" w:cs="Times New Roman"/>
                <w:b/>
                <w:sz w:val="20"/>
                <w:szCs w:val="20"/>
              </w:rPr>
            </w:pPr>
            <w:r w:rsidRPr="00835820">
              <w:rPr>
                <w:rFonts w:ascii="Times New Roman" w:hAnsi="Times New Roman" w:cs="Times New Roman"/>
                <w:b/>
                <w:sz w:val="20"/>
                <w:szCs w:val="20"/>
              </w:rPr>
              <w:t>Attorney</w:t>
            </w:r>
          </w:p>
        </w:tc>
        <w:tc>
          <w:tcPr>
            <w:tcW w:w="1350" w:type="dxa"/>
            <w:shd w:val="clear" w:color="auto" w:fill="D9D9D9"/>
            <w:vAlign w:val="center"/>
          </w:tcPr>
          <w:p w:rsidR="00C5384D" w:rsidRPr="00835820" w:rsidP="00835820" w14:paraId="7EB8DED7" w14:textId="77777777">
            <w:pPr>
              <w:keepNext/>
              <w:spacing w:after="0" w:line="240" w:lineRule="auto"/>
              <w:ind w:left="244" w:right="236"/>
              <w:jc w:val="center"/>
              <w:rPr>
                <w:rFonts w:ascii="Times New Roman" w:hAnsi="Times New Roman" w:cs="Times New Roman"/>
                <w:b/>
                <w:sz w:val="20"/>
                <w:szCs w:val="20"/>
              </w:rPr>
            </w:pPr>
            <w:r w:rsidRPr="00835820">
              <w:rPr>
                <w:rFonts w:ascii="Times New Roman" w:hAnsi="Times New Roman" w:cs="Times New Roman"/>
                <w:b/>
                <w:sz w:val="20"/>
                <w:szCs w:val="20"/>
              </w:rPr>
              <w:t>Engineer</w:t>
            </w:r>
          </w:p>
        </w:tc>
        <w:tc>
          <w:tcPr>
            <w:tcW w:w="900" w:type="dxa"/>
            <w:vMerge/>
            <w:tcBorders>
              <w:top w:val="nil"/>
            </w:tcBorders>
            <w:shd w:val="clear" w:color="auto" w:fill="D9D9D9"/>
            <w:vAlign w:val="center"/>
          </w:tcPr>
          <w:p w:rsidR="00C5384D" w:rsidRPr="00835820" w:rsidP="00835820" w14:paraId="1549DB77" w14:textId="77777777">
            <w:pPr>
              <w:keepNext/>
              <w:spacing w:after="0" w:line="240" w:lineRule="auto"/>
              <w:jc w:val="center"/>
              <w:rPr>
                <w:rFonts w:ascii="Times New Roman" w:hAnsi="Times New Roman" w:cs="Times New Roman"/>
                <w:sz w:val="20"/>
                <w:szCs w:val="20"/>
              </w:rPr>
            </w:pPr>
          </w:p>
        </w:tc>
        <w:tc>
          <w:tcPr>
            <w:tcW w:w="990" w:type="dxa"/>
            <w:vMerge/>
            <w:tcBorders>
              <w:top w:val="nil"/>
            </w:tcBorders>
            <w:shd w:val="clear" w:color="auto" w:fill="D9D9D9"/>
            <w:vAlign w:val="center"/>
          </w:tcPr>
          <w:p w:rsidR="00C5384D" w:rsidRPr="00835820" w:rsidP="00835820" w14:paraId="4D75135C" w14:textId="77777777">
            <w:pPr>
              <w:keepNext/>
              <w:spacing w:after="0" w:line="240" w:lineRule="auto"/>
              <w:jc w:val="center"/>
              <w:rPr>
                <w:rFonts w:ascii="Times New Roman" w:hAnsi="Times New Roman" w:cs="Times New Roman"/>
                <w:sz w:val="20"/>
                <w:szCs w:val="20"/>
              </w:rPr>
            </w:pPr>
          </w:p>
        </w:tc>
      </w:tr>
      <w:tr w14:paraId="00190C7C" w14:textId="77777777" w:rsidTr="00BF4D0A">
        <w:tblPrEx>
          <w:tblW w:w="9360" w:type="dxa"/>
          <w:jc w:val="center"/>
          <w:tblLayout w:type="fixed"/>
          <w:tblCellMar>
            <w:left w:w="0" w:type="dxa"/>
            <w:right w:w="0" w:type="dxa"/>
          </w:tblCellMar>
          <w:tblLook w:val="01E0"/>
        </w:tblPrEx>
        <w:trPr>
          <w:trHeight w:val="308"/>
          <w:jc w:val="center"/>
        </w:trPr>
        <w:tc>
          <w:tcPr>
            <w:tcW w:w="1710" w:type="dxa"/>
            <w:vAlign w:val="center"/>
          </w:tcPr>
          <w:p w:rsidR="00FF55C7" w:rsidRPr="00835820" w:rsidP="00BF4D0A" w14:paraId="565BCD54" w14:textId="77777777">
            <w:pPr>
              <w:keepNext/>
              <w:spacing w:after="0" w:line="240" w:lineRule="auto"/>
              <w:ind w:left="180" w:right="87"/>
              <w:jc w:val="center"/>
              <w:rPr>
                <w:rFonts w:ascii="Times New Roman" w:hAnsi="Times New Roman" w:cs="Times New Roman"/>
                <w:sz w:val="20"/>
                <w:szCs w:val="20"/>
              </w:rPr>
            </w:pPr>
            <w:r w:rsidRPr="00835820">
              <w:rPr>
                <w:rFonts w:ascii="Times New Roman" w:hAnsi="Times New Roman" w:cs="Times New Roman"/>
                <w:sz w:val="20"/>
                <w:szCs w:val="20"/>
              </w:rPr>
              <w:t>Simple Facilities</w:t>
            </w:r>
          </w:p>
        </w:tc>
        <w:tc>
          <w:tcPr>
            <w:tcW w:w="1440" w:type="dxa"/>
            <w:vAlign w:val="center"/>
          </w:tcPr>
          <w:p w:rsidR="00FF55C7" w:rsidRPr="00835820" w:rsidP="004D4B61" w14:paraId="1AE0EE61" w14:textId="77777777">
            <w:pPr>
              <w:keepNext/>
              <w:spacing w:after="0" w:line="240" w:lineRule="auto"/>
              <w:ind w:left="277" w:right="267"/>
              <w:jc w:val="center"/>
              <w:rPr>
                <w:rFonts w:ascii="Times New Roman" w:hAnsi="Times New Roman" w:cs="Times New Roman"/>
                <w:sz w:val="20"/>
                <w:szCs w:val="20"/>
              </w:rPr>
            </w:pPr>
            <w:r>
              <w:rPr>
                <w:rFonts w:ascii="Times New Roman" w:hAnsi="Times New Roman" w:cs="Times New Roman"/>
                <w:sz w:val="20"/>
                <w:szCs w:val="20"/>
              </w:rPr>
              <w:t>1</w:t>
            </w:r>
          </w:p>
        </w:tc>
        <w:tc>
          <w:tcPr>
            <w:tcW w:w="1710" w:type="dxa"/>
            <w:vAlign w:val="center"/>
          </w:tcPr>
          <w:p w:rsidR="00FF55C7" w:rsidRPr="00835820" w:rsidP="004D4B61" w14:paraId="4225B111" w14:textId="77777777">
            <w:pPr>
              <w:keepNext/>
              <w:spacing w:after="0" w:line="240" w:lineRule="auto"/>
              <w:ind w:left="5"/>
              <w:jc w:val="center"/>
              <w:rPr>
                <w:rFonts w:ascii="Times New Roman" w:hAnsi="Times New Roman" w:cs="Times New Roman"/>
                <w:sz w:val="20"/>
                <w:szCs w:val="20"/>
              </w:rPr>
            </w:pPr>
            <w:r w:rsidRPr="00835820">
              <w:rPr>
                <w:rFonts w:ascii="Times New Roman" w:hAnsi="Times New Roman" w:cs="Times New Roman"/>
                <w:sz w:val="20"/>
                <w:szCs w:val="20"/>
              </w:rPr>
              <w:t>1</w:t>
            </w:r>
          </w:p>
        </w:tc>
        <w:tc>
          <w:tcPr>
            <w:tcW w:w="1260" w:type="dxa"/>
            <w:vAlign w:val="center"/>
          </w:tcPr>
          <w:p w:rsidR="00FF55C7" w:rsidRPr="00835820" w:rsidP="004D4B61" w14:paraId="3B06AB00" w14:textId="77777777">
            <w:pPr>
              <w:keepNext/>
              <w:spacing w:after="0" w:line="240" w:lineRule="auto"/>
              <w:ind w:left="7"/>
              <w:jc w:val="center"/>
              <w:rPr>
                <w:rFonts w:ascii="Times New Roman" w:hAnsi="Times New Roman" w:cs="Times New Roman"/>
                <w:sz w:val="20"/>
                <w:szCs w:val="20"/>
              </w:rPr>
            </w:pPr>
            <w:r w:rsidRPr="00835820">
              <w:rPr>
                <w:rFonts w:ascii="Times New Roman" w:hAnsi="Times New Roman" w:cs="Times New Roman"/>
                <w:sz w:val="20"/>
                <w:szCs w:val="20"/>
              </w:rPr>
              <w:t>0</w:t>
            </w:r>
          </w:p>
        </w:tc>
        <w:tc>
          <w:tcPr>
            <w:tcW w:w="1350" w:type="dxa"/>
            <w:vAlign w:val="center"/>
          </w:tcPr>
          <w:p w:rsidR="00FF55C7" w:rsidRPr="00835820" w:rsidP="004D4B61" w14:paraId="09DADFF7" w14:textId="77777777">
            <w:pPr>
              <w:keepNext/>
              <w:spacing w:after="0" w:line="240" w:lineRule="auto"/>
              <w:ind w:left="9"/>
              <w:jc w:val="center"/>
              <w:rPr>
                <w:rFonts w:ascii="Times New Roman" w:hAnsi="Times New Roman" w:cs="Times New Roman"/>
                <w:sz w:val="20"/>
                <w:szCs w:val="20"/>
              </w:rPr>
            </w:pPr>
            <w:r w:rsidRPr="00835820">
              <w:rPr>
                <w:rFonts w:ascii="Times New Roman" w:hAnsi="Times New Roman" w:cs="Times New Roman"/>
                <w:sz w:val="20"/>
                <w:szCs w:val="20"/>
              </w:rPr>
              <w:t>1</w:t>
            </w:r>
          </w:p>
        </w:tc>
        <w:tc>
          <w:tcPr>
            <w:tcW w:w="900" w:type="dxa"/>
            <w:vAlign w:val="center"/>
          </w:tcPr>
          <w:p w:rsidR="00FF55C7" w:rsidRPr="00835820" w:rsidP="004D4B61" w14:paraId="2CCECCB7" w14:textId="77777777">
            <w:pPr>
              <w:keepNext/>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$0</w:t>
            </w:r>
          </w:p>
        </w:tc>
        <w:tc>
          <w:tcPr>
            <w:tcW w:w="990" w:type="dxa"/>
            <w:vAlign w:val="center"/>
          </w:tcPr>
          <w:p w:rsidR="00FF55C7" w:rsidRPr="00835820" w:rsidP="004D4B61" w14:paraId="149054FC" w14:textId="77777777">
            <w:pPr>
              <w:keepNext/>
              <w:spacing w:after="0" w:line="240" w:lineRule="auto"/>
              <w:ind w:left="189" w:right="183"/>
              <w:jc w:val="center"/>
              <w:rPr>
                <w:rFonts w:ascii="Times New Roman" w:hAnsi="Times New Roman" w:cs="Times New Roman"/>
                <w:sz w:val="20"/>
                <w:szCs w:val="20"/>
              </w:rPr>
            </w:pPr>
            <w:r w:rsidRPr="00835820">
              <w:rPr>
                <w:rFonts w:ascii="Times New Roman" w:hAnsi="Times New Roman" w:cs="Times New Roman"/>
                <w:sz w:val="20"/>
                <w:szCs w:val="20"/>
              </w:rPr>
              <w:t>$1</w:t>
            </w:r>
            <w:r w:rsidR="00802819">
              <w:rPr>
                <w:rFonts w:ascii="Times New Roman" w:hAnsi="Times New Roman" w:cs="Times New Roman"/>
                <w:sz w:val="20"/>
                <w:szCs w:val="20"/>
              </w:rPr>
              <w:t>85</w:t>
            </w:r>
          </w:p>
        </w:tc>
      </w:tr>
      <w:tr w14:paraId="35E46B11" w14:textId="77777777" w:rsidTr="00BF4D0A">
        <w:tblPrEx>
          <w:tblW w:w="9360" w:type="dxa"/>
          <w:jc w:val="center"/>
          <w:tblLayout w:type="fixed"/>
          <w:tblCellMar>
            <w:left w:w="0" w:type="dxa"/>
            <w:right w:w="0" w:type="dxa"/>
          </w:tblCellMar>
          <w:tblLook w:val="01E0"/>
        </w:tblPrEx>
        <w:trPr>
          <w:trHeight w:val="254"/>
          <w:jc w:val="center"/>
        </w:trPr>
        <w:tc>
          <w:tcPr>
            <w:tcW w:w="1710" w:type="dxa"/>
            <w:vAlign w:val="center"/>
          </w:tcPr>
          <w:p w:rsidR="00C5384D" w:rsidRPr="00835820" w:rsidP="00BF4D0A" w14:paraId="5C00A8B8" w14:textId="77777777">
            <w:pPr>
              <w:keepNext/>
              <w:spacing w:after="0" w:line="240" w:lineRule="auto"/>
              <w:ind w:left="180" w:right="87"/>
              <w:jc w:val="center"/>
              <w:rPr>
                <w:rFonts w:ascii="Times New Roman" w:hAnsi="Times New Roman" w:cs="Times New Roman"/>
                <w:sz w:val="20"/>
                <w:szCs w:val="20"/>
              </w:rPr>
            </w:pPr>
            <w:r w:rsidRPr="00835820">
              <w:rPr>
                <w:rFonts w:ascii="Times New Roman" w:hAnsi="Times New Roman" w:cs="Times New Roman"/>
                <w:sz w:val="20"/>
                <w:szCs w:val="20"/>
              </w:rPr>
              <w:t>Small Complex</w:t>
            </w:r>
          </w:p>
        </w:tc>
        <w:tc>
          <w:tcPr>
            <w:tcW w:w="1440" w:type="dxa"/>
            <w:vAlign w:val="center"/>
          </w:tcPr>
          <w:p w:rsidR="00C5384D" w:rsidRPr="00835820" w:rsidP="004D4B61" w14:paraId="2055731D" w14:textId="77777777">
            <w:pPr>
              <w:keepNext/>
              <w:spacing w:after="0" w:line="240" w:lineRule="auto"/>
              <w:ind w:left="277" w:right="267"/>
              <w:jc w:val="center"/>
              <w:rPr>
                <w:rFonts w:ascii="Times New Roman" w:hAnsi="Times New Roman" w:cs="Times New Roman"/>
                <w:sz w:val="20"/>
                <w:szCs w:val="20"/>
              </w:rPr>
            </w:pPr>
            <w:r>
              <w:rPr>
                <w:rFonts w:ascii="Times New Roman" w:hAnsi="Times New Roman" w:cs="Times New Roman"/>
                <w:sz w:val="20"/>
                <w:szCs w:val="20"/>
              </w:rPr>
              <w:t>1</w:t>
            </w:r>
          </w:p>
        </w:tc>
        <w:tc>
          <w:tcPr>
            <w:tcW w:w="1710" w:type="dxa"/>
            <w:vAlign w:val="center"/>
          </w:tcPr>
          <w:p w:rsidR="00C5384D" w:rsidRPr="00835820" w:rsidP="004D4B61" w14:paraId="092DDF9A" w14:textId="77777777">
            <w:pPr>
              <w:keepNext/>
              <w:spacing w:after="0" w:line="240" w:lineRule="auto"/>
              <w:ind w:left="5"/>
              <w:jc w:val="center"/>
              <w:rPr>
                <w:rFonts w:ascii="Times New Roman" w:hAnsi="Times New Roman" w:cs="Times New Roman"/>
                <w:sz w:val="20"/>
                <w:szCs w:val="20"/>
              </w:rPr>
            </w:pPr>
            <w:r w:rsidRPr="00835820">
              <w:rPr>
                <w:rFonts w:ascii="Times New Roman" w:hAnsi="Times New Roman" w:cs="Times New Roman"/>
                <w:sz w:val="20"/>
                <w:szCs w:val="20"/>
              </w:rPr>
              <w:t>2</w:t>
            </w:r>
          </w:p>
        </w:tc>
        <w:tc>
          <w:tcPr>
            <w:tcW w:w="1260" w:type="dxa"/>
            <w:vAlign w:val="center"/>
          </w:tcPr>
          <w:p w:rsidR="00C5384D" w:rsidRPr="00835820" w:rsidP="004D4B61" w14:paraId="3FE7D609" w14:textId="77777777">
            <w:pPr>
              <w:keepNext/>
              <w:spacing w:after="0" w:line="240" w:lineRule="auto"/>
              <w:ind w:left="7"/>
              <w:jc w:val="center"/>
              <w:rPr>
                <w:rFonts w:ascii="Times New Roman" w:hAnsi="Times New Roman" w:cs="Times New Roman"/>
                <w:sz w:val="20"/>
                <w:szCs w:val="20"/>
              </w:rPr>
            </w:pPr>
            <w:r w:rsidRPr="00835820">
              <w:rPr>
                <w:rFonts w:ascii="Times New Roman" w:hAnsi="Times New Roman" w:cs="Times New Roman"/>
                <w:sz w:val="20"/>
                <w:szCs w:val="20"/>
              </w:rPr>
              <w:t>0</w:t>
            </w:r>
          </w:p>
        </w:tc>
        <w:tc>
          <w:tcPr>
            <w:tcW w:w="1350" w:type="dxa"/>
            <w:vAlign w:val="center"/>
          </w:tcPr>
          <w:p w:rsidR="00C5384D" w:rsidRPr="00835820" w:rsidP="004D4B61" w14:paraId="3C0AEEDC" w14:textId="77777777">
            <w:pPr>
              <w:keepNext/>
              <w:spacing w:after="0" w:line="240" w:lineRule="auto"/>
              <w:ind w:left="9"/>
              <w:jc w:val="center"/>
              <w:rPr>
                <w:rFonts w:ascii="Times New Roman" w:hAnsi="Times New Roman" w:cs="Times New Roman"/>
                <w:sz w:val="20"/>
                <w:szCs w:val="20"/>
              </w:rPr>
            </w:pPr>
            <w:r w:rsidRPr="00835820">
              <w:rPr>
                <w:rFonts w:ascii="Times New Roman" w:hAnsi="Times New Roman" w:cs="Times New Roman"/>
                <w:sz w:val="20"/>
                <w:szCs w:val="20"/>
              </w:rPr>
              <w:t>2</w:t>
            </w:r>
          </w:p>
        </w:tc>
        <w:tc>
          <w:tcPr>
            <w:tcW w:w="900" w:type="dxa"/>
            <w:vAlign w:val="center"/>
          </w:tcPr>
          <w:p w:rsidR="00C5384D" w:rsidRPr="00835820" w:rsidP="004D4B61" w14:paraId="0A7A54BA" w14:textId="77777777">
            <w:pPr>
              <w:keepNext/>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$0</w:t>
            </w:r>
          </w:p>
        </w:tc>
        <w:tc>
          <w:tcPr>
            <w:tcW w:w="990" w:type="dxa"/>
            <w:vAlign w:val="center"/>
          </w:tcPr>
          <w:p w:rsidR="00C5384D" w:rsidRPr="00835820" w:rsidP="004D4B61" w14:paraId="12111F24" w14:textId="77777777">
            <w:pPr>
              <w:keepNext/>
              <w:spacing w:after="0" w:line="240" w:lineRule="auto"/>
              <w:ind w:left="189" w:right="183"/>
              <w:jc w:val="center"/>
              <w:rPr>
                <w:rFonts w:ascii="Times New Roman" w:hAnsi="Times New Roman" w:cs="Times New Roman"/>
                <w:sz w:val="20"/>
                <w:szCs w:val="20"/>
              </w:rPr>
            </w:pPr>
            <w:r w:rsidRPr="00835820">
              <w:rPr>
                <w:rFonts w:ascii="Times New Roman" w:hAnsi="Times New Roman" w:cs="Times New Roman"/>
                <w:sz w:val="20"/>
                <w:szCs w:val="20"/>
              </w:rPr>
              <w:t>$4</w:t>
            </w:r>
            <w:r w:rsidRPr="00835820" w:rsidR="00DE4099">
              <w:rPr>
                <w:rFonts w:ascii="Times New Roman" w:hAnsi="Times New Roman" w:cs="Times New Roman"/>
                <w:sz w:val="20"/>
                <w:szCs w:val="20"/>
              </w:rPr>
              <w:t>7</w:t>
            </w:r>
            <w:r w:rsidR="00802819">
              <w:rPr>
                <w:rFonts w:ascii="Times New Roman" w:hAnsi="Times New Roman" w:cs="Times New Roman"/>
                <w:sz w:val="20"/>
                <w:szCs w:val="20"/>
              </w:rPr>
              <w:t>3</w:t>
            </w:r>
          </w:p>
        </w:tc>
      </w:tr>
      <w:tr w14:paraId="4004D040" w14:textId="77777777" w:rsidTr="00BF4D0A">
        <w:tblPrEx>
          <w:tblW w:w="9360" w:type="dxa"/>
          <w:jc w:val="center"/>
          <w:tblLayout w:type="fixed"/>
          <w:tblCellMar>
            <w:left w:w="0" w:type="dxa"/>
            <w:right w:w="0" w:type="dxa"/>
          </w:tblCellMar>
          <w:tblLook w:val="01E0"/>
        </w:tblPrEx>
        <w:trPr>
          <w:trHeight w:val="263"/>
          <w:jc w:val="center"/>
        </w:trPr>
        <w:tc>
          <w:tcPr>
            <w:tcW w:w="1710" w:type="dxa"/>
            <w:vAlign w:val="center"/>
          </w:tcPr>
          <w:p w:rsidR="00C5384D" w:rsidRPr="00835820" w:rsidP="00BF4D0A" w14:paraId="16EC2D7D" w14:textId="77777777">
            <w:pPr>
              <w:spacing w:after="0" w:line="240" w:lineRule="auto"/>
              <w:ind w:left="180" w:right="87"/>
              <w:jc w:val="center"/>
              <w:rPr>
                <w:rFonts w:ascii="Times New Roman" w:hAnsi="Times New Roman" w:cs="Times New Roman"/>
                <w:sz w:val="20"/>
                <w:szCs w:val="20"/>
              </w:rPr>
            </w:pPr>
            <w:r w:rsidRPr="00835820">
              <w:rPr>
                <w:rFonts w:ascii="Times New Roman" w:hAnsi="Times New Roman" w:cs="Times New Roman"/>
                <w:sz w:val="20"/>
                <w:szCs w:val="20"/>
              </w:rPr>
              <w:t>Large Complex</w:t>
            </w:r>
          </w:p>
        </w:tc>
        <w:tc>
          <w:tcPr>
            <w:tcW w:w="1440" w:type="dxa"/>
            <w:vAlign w:val="center"/>
          </w:tcPr>
          <w:p w:rsidR="00C5384D" w:rsidRPr="00835820" w:rsidP="004D4B61" w14:paraId="7D99E4BB" w14:textId="77777777">
            <w:pPr>
              <w:spacing w:after="0" w:line="240" w:lineRule="auto"/>
              <w:ind w:left="277" w:right="267"/>
              <w:jc w:val="center"/>
              <w:rPr>
                <w:rFonts w:ascii="Times New Roman" w:hAnsi="Times New Roman" w:cs="Times New Roman"/>
                <w:sz w:val="20"/>
                <w:szCs w:val="20"/>
              </w:rPr>
            </w:pPr>
            <w:r>
              <w:rPr>
                <w:rFonts w:ascii="Times New Roman" w:hAnsi="Times New Roman" w:cs="Times New Roman"/>
                <w:sz w:val="20"/>
                <w:szCs w:val="20"/>
              </w:rPr>
              <w:t>1</w:t>
            </w:r>
          </w:p>
        </w:tc>
        <w:tc>
          <w:tcPr>
            <w:tcW w:w="1710" w:type="dxa"/>
            <w:vAlign w:val="center"/>
          </w:tcPr>
          <w:p w:rsidR="00C5384D" w:rsidRPr="00835820" w:rsidP="004D4B61" w14:paraId="13E8CF59" w14:textId="77777777">
            <w:pPr>
              <w:spacing w:after="0" w:line="240" w:lineRule="auto"/>
              <w:ind w:left="5"/>
              <w:jc w:val="center"/>
              <w:rPr>
                <w:rFonts w:ascii="Times New Roman" w:hAnsi="Times New Roman" w:cs="Times New Roman"/>
                <w:sz w:val="20"/>
                <w:szCs w:val="20"/>
              </w:rPr>
            </w:pPr>
            <w:r w:rsidRPr="00835820">
              <w:rPr>
                <w:rFonts w:ascii="Times New Roman" w:hAnsi="Times New Roman" w:cs="Times New Roman"/>
                <w:sz w:val="20"/>
                <w:szCs w:val="20"/>
              </w:rPr>
              <w:t>8</w:t>
            </w:r>
          </w:p>
        </w:tc>
        <w:tc>
          <w:tcPr>
            <w:tcW w:w="1260" w:type="dxa"/>
            <w:vAlign w:val="center"/>
          </w:tcPr>
          <w:p w:rsidR="00C5384D" w:rsidRPr="00835820" w:rsidP="004D4B61" w14:paraId="65675515" w14:textId="77777777">
            <w:pPr>
              <w:spacing w:after="0" w:line="240" w:lineRule="auto"/>
              <w:ind w:left="137" w:right="127"/>
              <w:jc w:val="center"/>
              <w:rPr>
                <w:rFonts w:ascii="Times New Roman" w:hAnsi="Times New Roman" w:cs="Times New Roman"/>
                <w:sz w:val="20"/>
                <w:szCs w:val="20"/>
              </w:rPr>
            </w:pPr>
            <w:r w:rsidRPr="00835820">
              <w:rPr>
                <w:rFonts w:ascii="Times New Roman" w:hAnsi="Times New Roman" w:cs="Times New Roman"/>
                <w:sz w:val="20"/>
                <w:szCs w:val="20"/>
              </w:rPr>
              <w:t>10</w:t>
            </w:r>
          </w:p>
        </w:tc>
        <w:tc>
          <w:tcPr>
            <w:tcW w:w="1350" w:type="dxa"/>
            <w:vAlign w:val="center"/>
          </w:tcPr>
          <w:p w:rsidR="00C5384D" w:rsidRPr="00835820" w:rsidP="004D4B61" w14:paraId="4837F8F8" w14:textId="77777777">
            <w:pPr>
              <w:spacing w:after="0" w:line="240" w:lineRule="auto"/>
              <w:ind w:left="243" w:right="236"/>
              <w:jc w:val="center"/>
              <w:rPr>
                <w:rFonts w:ascii="Times New Roman" w:hAnsi="Times New Roman" w:cs="Times New Roman"/>
                <w:sz w:val="20"/>
                <w:szCs w:val="20"/>
              </w:rPr>
            </w:pPr>
            <w:r w:rsidRPr="00835820">
              <w:rPr>
                <w:rFonts w:ascii="Times New Roman" w:hAnsi="Times New Roman" w:cs="Times New Roman"/>
                <w:sz w:val="20"/>
                <w:szCs w:val="20"/>
              </w:rPr>
              <w:t>36</w:t>
            </w:r>
          </w:p>
        </w:tc>
        <w:tc>
          <w:tcPr>
            <w:tcW w:w="900" w:type="dxa"/>
            <w:vAlign w:val="center"/>
          </w:tcPr>
          <w:p w:rsidR="00C5384D" w:rsidRPr="00835820" w:rsidP="004D4B61" w14:paraId="265722FA" w14:textId="77777777">
            <w:pPr>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$0</w:t>
            </w:r>
          </w:p>
        </w:tc>
        <w:tc>
          <w:tcPr>
            <w:tcW w:w="990" w:type="dxa"/>
            <w:vAlign w:val="center"/>
          </w:tcPr>
          <w:p w:rsidR="00C5384D" w:rsidRPr="00835820" w:rsidP="004D4B61" w14:paraId="77E5A556" w14:textId="77777777">
            <w:pPr>
              <w:spacing w:after="0" w:line="240" w:lineRule="auto"/>
              <w:ind w:left="191" w:right="183"/>
              <w:jc w:val="center"/>
              <w:rPr>
                <w:rFonts w:ascii="Times New Roman" w:hAnsi="Times New Roman" w:cs="Times New Roman"/>
                <w:sz w:val="20"/>
                <w:szCs w:val="20"/>
              </w:rPr>
            </w:pPr>
            <w:r w:rsidRPr="00835820">
              <w:rPr>
                <w:rFonts w:ascii="Times New Roman" w:hAnsi="Times New Roman" w:cs="Times New Roman"/>
                <w:sz w:val="20"/>
                <w:szCs w:val="20"/>
              </w:rPr>
              <w:t>$</w:t>
            </w:r>
            <w:r w:rsidRPr="00835820" w:rsidR="00C8402B">
              <w:rPr>
                <w:rFonts w:ascii="Times New Roman" w:hAnsi="Times New Roman" w:cs="Times New Roman"/>
                <w:sz w:val="20"/>
                <w:szCs w:val="20"/>
              </w:rPr>
              <w:t>6</w:t>
            </w:r>
            <w:r w:rsidRPr="00835820">
              <w:rPr>
                <w:rFonts w:ascii="Times New Roman" w:hAnsi="Times New Roman" w:cs="Times New Roman"/>
                <w:sz w:val="20"/>
                <w:szCs w:val="20"/>
              </w:rPr>
              <w:t>,</w:t>
            </w:r>
            <w:r w:rsidR="00802819">
              <w:rPr>
                <w:rFonts w:ascii="Times New Roman" w:hAnsi="Times New Roman" w:cs="Times New Roman"/>
                <w:sz w:val="20"/>
                <w:szCs w:val="20"/>
              </w:rPr>
              <w:t>727</w:t>
            </w:r>
          </w:p>
        </w:tc>
      </w:tr>
    </w:tbl>
    <w:p w:rsidR="00A40AEA" w:rsidP="00A40AEA" w14:paraId="13B5F268" w14:textId="77777777">
      <w:pPr>
        <w:spacing w:after="0" w:line="240" w:lineRule="auto"/>
        <w:ind w:firstLine="360"/>
        <w:rPr>
          <w:rFonts w:ascii="Times New Roman" w:hAnsi="Times New Roman" w:cs="Times New Roman"/>
        </w:rPr>
      </w:pPr>
    </w:p>
    <w:bookmarkEnd w:id="215"/>
    <w:p w:rsidR="00A40AEA" w:rsidRPr="004D4B61" w:rsidP="00283131" w14:paraId="46213A60" w14:textId="77777777">
      <w:pPr>
        <w:spacing w:after="0" w:line="240" w:lineRule="auto"/>
        <w:ind w:firstLine="360"/>
        <w:rPr>
          <w:rFonts w:ascii="Times New Roman" w:hAnsi="Times New Roman" w:cs="Times New Roman"/>
        </w:rPr>
      </w:pPr>
      <w:r>
        <w:rPr>
          <w:rFonts w:ascii="Times New Roman" w:hAnsi="Times New Roman" w:cs="Times New Roman"/>
        </w:rPr>
        <w:tab/>
      </w:r>
      <w:r w:rsidR="00AF6C69">
        <w:rPr>
          <w:rFonts w:ascii="Times New Roman" w:hAnsi="Times New Roman" w:cs="Times New Roman"/>
        </w:rPr>
        <w:t xml:space="preserve">The provision </w:t>
      </w:r>
      <w:r w:rsidR="009449B7">
        <w:rPr>
          <w:rFonts w:ascii="Times New Roman" w:hAnsi="Times New Roman" w:cs="Times New Roman"/>
        </w:rPr>
        <w:t>will</w:t>
      </w:r>
      <w:r w:rsidR="00AF6C69">
        <w:rPr>
          <w:rFonts w:ascii="Times New Roman" w:hAnsi="Times New Roman" w:cs="Times New Roman"/>
        </w:rPr>
        <w:t xml:space="preserve"> also require facilities to translate the information into two languages in addition to English. </w:t>
      </w:r>
      <w:r w:rsidR="00BB4EA4">
        <w:rPr>
          <w:rFonts w:ascii="Times New Roman" w:hAnsi="Times New Roman" w:cs="Times New Roman"/>
        </w:rPr>
        <w:t xml:space="preserve">EPA </w:t>
      </w:r>
      <w:r w:rsidR="00077708">
        <w:rPr>
          <w:rFonts w:ascii="Times New Roman" w:hAnsi="Times New Roman" w:cs="Times New Roman"/>
        </w:rPr>
        <w:t xml:space="preserve">assumes each facility will </w:t>
      </w:r>
      <w:r w:rsidR="006C5CAE">
        <w:rPr>
          <w:rFonts w:ascii="Times New Roman" w:hAnsi="Times New Roman" w:cs="Times New Roman"/>
        </w:rPr>
        <w:t xml:space="preserve">perform two translations once during each </w:t>
      </w:r>
      <w:r w:rsidR="00A04073">
        <w:rPr>
          <w:rFonts w:ascii="Times New Roman" w:hAnsi="Times New Roman" w:cs="Times New Roman"/>
        </w:rPr>
        <w:t xml:space="preserve">five-year </w:t>
      </w:r>
      <w:r w:rsidR="006C5CAE">
        <w:rPr>
          <w:rFonts w:ascii="Times New Roman" w:hAnsi="Times New Roman" w:cs="Times New Roman"/>
        </w:rPr>
        <w:t>RMP period</w:t>
      </w:r>
      <w:r w:rsidR="0027249B">
        <w:rPr>
          <w:rFonts w:ascii="Times New Roman" w:hAnsi="Times New Roman" w:cs="Times New Roman"/>
        </w:rPr>
        <w:t>, averaging one fifth of facilities each year</w:t>
      </w:r>
      <w:r w:rsidR="0011722D">
        <w:rPr>
          <w:rFonts w:ascii="Times New Roman" w:hAnsi="Times New Roman" w:cs="Times New Roman"/>
        </w:rPr>
        <w:t>.</w:t>
      </w:r>
      <w:r w:rsidR="0081516D">
        <w:rPr>
          <w:rFonts w:ascii="Times New Roman" w:hAnsi="Times New Roman" w:cs="Times New Roman"/>
        </w:rPr>
        <w:t xml:space="preserve"> </w:t>
      </w:r>
      <w:r w:rsidR="00381047">
        <w:rPr>
          <w:rFonts w:ascii="Times New Roman" w:hAnsi="Times New Roman" w:cs="Times New Roman"/>
        </w:rPr>
        <w:t xml:space="preserve">EPA assumes simple facilities will </w:t>
      </w:r>
      <w:r w:rsidR="0067314C">
        <w:rPr>
          <w:rFonts w:ascii="Times New Roman" w:hAnsi="Times New Roman" w:cs="Times New Roman"/>
        </w:rPr>
        <w:t>translate 7,000 words and that complex facilities will translate 45,000 words</w:t>
      </w:r>
      <w:r w:rsidR="00EC33A9">
        <w:rPr>
          <w:rFonts w:ascii="Times New Roman" w:hAnsi="Times New Roman" w:cs="Times New Roman"/>
        </w:rPr>
        <w:t xml:space="preserve"> per language</w:t>
      </w:r>
      <w:r w:rsidR="0067314C">
        <w:rPr>
          <w:rFonts w:ascii="Times New Roman" w:hAnsi="Times New Roman" w:cs="Times New Roman"/>
        </w:rPr>
        <w:t>, each at a cost of $0.10 per word</w:t>
      </w:r>
      <w:r w:rsidR="007503D4">
        <w:rPr>
          <w:rFonts w:ascii="Times New Roman" w:hAnsi="Times New Roman" w:cs="Times New Roman"/>
        </w:rPr>
        <w:t>.</w:t>
      </w:r>
      <w:r>
        <w:rPr>
          <w:rStyle w:val="FootnoteReference"/>
          <w:rFonts w:ascii="Times New Roman" w:hAnsi="Times New Roman" w:cs="Times New Roman"/>
        </w:rPr>
        <w:footnoteReference w:id="117"/>
      </w:r>
      <w:r w:rsidR="005405E2">
        <w:rPr>
          <w:rFonts w:ascii="Times New Roman" w:hAnsi="Times New Roman" w:cs="Times New Roman"/>
        </w:rPr>
        <w:t xml:space="preserve"> Unit and facility costs are presented in Exhibit 4-1</w:t>
      </w:r>
      <w:r w:rsidR="007E5F48">
        <w:rPr>
          <w:rFonts w:ascii="Times New Roman" w:hAnsi="Times New Roman" w:cs="Times New Roman"/>
        </w:rPr>
        <w:t>6</w:t>
      </w:r>
      <w:r w:rsidR="005405E2">
        <w:rPr>
          <w:rFonts w:ascii="Times New Roman" w:hAnsi="Times New Roman" w:cs="Times New Roman"/>
        </w:rPr>
        <w:t>.</w:t>
      </w:r>
      <w:r w:rsidR="0011722D">
        <w:rPr>
          <w:rFonts w:ascii="Times New Roman" w:hAnsi="Times New Roman" w:cs="Times New Roman"/>
        </w:rPr>
        <w:t xml:space="preserve"> </w:t>
      </w:r>
    </w:p>
    <w:p w:rsidR="00A40AEA" w:rsidRPr="004D4B61" w:rsidP="00A40AEA" w14:paraId="03C9505E" w14:textId="77777777">
      <w:pPr>
        <w:spacing w:after="0" w:line="240" w:lineRule="auto"/>
        <w:rPr>
          <w:rFonts w:ascii="Times New Roman" w:hAnsi="Times New Roman" w:cs="Times New Roman"/>
        </w:rPr>
      </w:pPr>
    </w:p>
    <w:p w:rsidR="00A40AEA" w:rsidRPr="00BF4D0A" w:rsidP="00A40AEA" w14:paraId="5D1CD14E" w14:textId="77777777">
      <w:pPr>
        <w:pStyle w:val="Caption"/>
        <w:jc w:val="center"/>
        <w:rPr>
          <w:rFonts w:ascii="Times New Roman" w:hAnsi="Times New Roman" w:cs="Times New Roman"/>
          <w:b/>
          <w:bCs/>
          <w:i w:val="0"/>
          <w:iCs w:val="0"/>
          <w:color w:val="auto"/>
          <w:sz w:val="22"/>
          <w:szCs w:val="22"/>
        </w:rPr>
      </w:pPr>
      <w:r w:rsidRPr="00BF4D0A">
        <w:rPr>
          <w:rFonts w:ascii="Times New Roman" w:hAnsi="Times New Roman" w:cs="Times New Roman"/>
          <w:b/>
          <w:bCs/>
          <w:i w:val="0"/>
          <w:iCs w:val="0"/>
          <w:color w:val="auto"/>
          <w:sz w:val="22"/>
          <w:szCs w:val="22"/>
        </w:rPr>
        <w:t>Exhibit 4-</w:t>
      </w:r>
      <w:r w:rsidRPr="00BF4D0A" w:rsidR="00852CB0">
        <w:rPr>
          <w:rFonts w:ascii="Times New Roman" w:hAnsi="Times New Roman" w:cs="Times New Roman"/>
          <w:b/>
          <w:bCs/>
          <w:i w:val="0"/>
          <w:iCs w:val="0"/>
          <w:color w:val="auto"/>
          <w:sz w:val="22"/>
          <w:szCs w:val="22"/>
        </w:rPr>
        <w:t>1</w:t>
      </w:r>
      <w:r w:rsidR="007E5F48">
        <w:rPr>
          <w:rFonts w:ascii="Times New Roman" w:hAnsi="Times New Roman" w:cs="Times New Roman"/>
          <w:b/>
          <w:bCs/>
          <w:i w:val="0"/>
          <w:iCs w:val="0"/>
          <w:color w:val="auto"/>
          <w:sz w:val="22"/>
          <w:szCs w:val="22"/>
        </w:rPr>
        <w:t>6</w:t>
      </w:r>
      <w:r w:rsidRPr="00BF4D0A">
        <w:rPr>
          <w:rFonts w:ascii="Times New Roman" w:hAnsi="Times New Roman" w:cs="Times New Roman"/>
          <w:b/>
          <w:bCs/>
          <w:i w:val="0"/>
          <w:iCs w:val="0"/>
          <w:color w:val="auto"/>
          <w:sz w:val="22"/>
          <w:szCs w:val="22"/>
        </w:rPr>
        <w:t xml:space="preserve">: </w:t>
      </w:r>
      <w:r w:rsidR="00283131">
        <w:rPr>
          <w:rFonts w:ascii="Times New Roman" w:hAnsi="Times New Roman" w:cs="Times New Roman"/>
          <w:b/>
          <w:bCs/>
          <w:i w:val="0"/>
          <w:iCs w:val="0"/>
          <w:color w:val="auto"/>
          <w:sz w:val="22"/>
          <w:szCs w:val="22"/>
        </w:rPr>
        <w:t>Unit</w:t>
      </w:r>
      <w:r w:rsidRPr="00BF4D0A">
        <w:rPr>
          <w:rFonts w:ascii="Times New Roman" w:hAnsi="Times New Roman" w:cs="Times New Roman"/>
          <w:b/>
          <w:bCs/>
          <w:i w:val="0"/>
          <w:iCs w:val="0"/>
          <w:color w:val="auto"/>
          <w:sz w:val="22"/>
          <w:szCs w:val="22"/>
        </w:rPr>
        <w:t xml:space="preserve"> and Facility Costs </w:t>
      </w:r>
      <w:r w:rsidR="00851942">
        <w:rPr>
          <w:rFonts w:ascii="Times New Roman" w:hAnsi="Times New Roman" w:cs="Times New Roman"/>
          <w:b/>
          <w:bCs/>
          <w:i w:val="0"/>
          <w:iCs w:val="0"/>
          <w:color w:val="auto"/>
          <w:sz w:val="22"/>
          <w:szCs w:val="22"/>
        </w:rPr>
        <w:t>to Translate Information</w:t>
      </w:r>
      <w:r w:rsidR="006A259A">
        <w:rPr>
          <w:rFonts w:ascii="Times New Roman" w:hAnsi="Times New Roman" w:cs="Times New Roman"/>
          <w:b/>
          <w:bCs/>
          <w:i w:val="0"/>
          <w:iCs w:val="0"/>
          <w:color w:val="auto"/>
          <w:sz w:val="22"/>
          <w:szCs w:val="22"/>
        </w:rPr>
        <w:t xml:space="preserve"> into Two Languages</w:t>
      </w:r>
      <w:r>
        <w:rPr>
          <w:rFonts w:ascii="Times New Roman" w:hAnsi="Times New Roman" w:cs="Times New Roman"/>
          <w:b/>
          <w:bCs/>
          <w:i w:val="0"/>
          <w:iCs w:val="0"/>
          <w:color w:val="auto"/>
          <w:sz w:val="22"/>
          <w:szCs w:val="22"/>
        </w:rPr>
        <w:t xml:space="preserve"> </w:t>
      </w:r>
      <w:r w:rsidRPr="00835820">
        <w:rPr>
          <w:rFonts w:ascii="Times New Roman" w:hAnsi="Times New Roman" w:cs="Times New Roman"/>
          <w:b/>
          <w:bCs/>
          <w:i w:val="0"/>
          <w:iCs w:val="0"/>
          <w:color w:val="auto"/>
          <w:sz w:val="22"/>
          <w:szCs w:val="22"/>
        </w:rPr>
        <w:t>(202</w:t>
      </w:r>
      <w:r w:rsidR="006A259A">
        <w:rPr>
          <w:rFonts w:ascii="Times New Roman" w:hAnsi="Times New Roman" w:cs="Times New Roman"/>
          <w:b/>
          <w:bCs/>
          <w:i w:val="0"/>
          <w:iCs w:val="0"/>
          <w:color w:val="auto"/>
          <w:sz w:val="22"/>
          <w:szCs w:val="22"/>
        </w:rPr>
        <w:t>2</w:t>
      </w:r>
      <w:r w:rsidRPr="00835820">
        <w:rPr>
          <w:rFonts w:ascii="Times New Roman" w:hAnsi="Times New Roman" w:cs="Times New Roman"/>
          <w:b/>
          <w:bCs/>
          <w:i w:val="0"/>
          <w:iCs w:val="0"/>
          <w:color w:val="auto"/>
          <w:sz w:val="22"/>
          <w:szCs w:val="22"/>
        </w:rPr>
        <w:t xml:space="preserve"> dollars)</w:t>
      </w:r>
      <w:r w:rsidRPr="00BF4D0A">
        <w:rPr>
          <w:rFonts w:ascii="Times New Roman" w:hAnsi="Times New Roman" w:cs="Times New Roman"/>
          <w:b/>
          <w:bCs/>
          <w:i w:val="0"/>
          <w:iCs w:val="0"/>
          <w:color w:val="auto"/>
          <w:sz w:val="22"/>
          <w:szCs w:val="22"/>
        </w:rPr>
        <w:t>.</w:t>
      </w:r>
    </w:p>
    <w:tbl>
      <w:tblPr>
        <w:tblW w:w="6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10"/>
        <w:gridCol w:w="1165"/>
        <w:gridCol w:w="810"/>
        <w:gridCol w:w="1170"/>
        <w:gridCol w:w="995"/>
        <w:gridCol w:w="990"/>
      </w:tblGrid>
      <w:tr w14:paraId="346431F0" w14:textId="77777777" w:rsidTr="00064BC7">
        <w:tblPrEx>
          <w:tblW w:w="6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700"/>
          <w:jc w:val="center"/>
        </w:trPr>
        <w:tc>
          <w:tcPr>
            <w:tcW w:w="1710" w:type="dxa"/>
            <w:shd w:val="clear" w:color="auto" w:fill="D9D9D9"/>
            <w:vAlign w:val="center"/>
          </w:tcPr>
          <w:p w:rsidR="003A2385" w:rsidRPr="00835820" w:rsidP="003A2385" w14:paraId="35968F27" w14:textId="77777777">
            <w:pPr>
              <w:keepNext/>
              <w:spacing w:after="0" w:line="240" w:lineRule="auto"/>
              <w:jc w:val="center"/>
              <w:rPr>
                <w:rFonts w:ascii="Times New Roman" w:hAnsi="Times New Roman" w:cs="Times New Roman"/>
                <w:b/>
                <w:sz w:val="20"/>
                <w:szCs w:val="20"/>
              </w:rPr>
            </w:pPr>
          </w:p>
          <w:p w:rsidR="003A2385" w:rsidRPr="00835820" w:rsidP="003A2385" w14:paraId="6BFEA1A2" w14:textId="77777777">
            <w:pPr>
              <w:keepNext/>
              <w:spacing w:after="0" w:line="240" w:lineRule="auto"/>
              <w:ind w:left="444" w:right="317" w:hanging="101"/>
              <w:jc w:val="center"/>
              <w:rPr>
                <w:rFonts w:ascii="Times New Roman" w:hAnsi="Times New Roman" w:cs="Times New Roman"/>
                <w:b/>
                <w:sz w:val="20"/>
                <w:szCs w:val="20"/>
              </w:rPr>
            </w:pPr>
            <w:r w:rsidRPr="00835820">
              <w:rPr>
                <w:rFonts w:ascii="Times New Roman" w:hAnsi="Times New Roman" w:cs="Times New Roman"/>
                <w:b/>
                <w:sz w:val="20"/>
                <w:szCs w:val="20"/>
              </w:rPr>
              <w:t>Facility Type</w:t>
            </w:r>
          </w:p>
        </w:tc>
        <w:tc>
          <w:tcPr>
            <w:tcW w:w="1165" w:type="dxa"/>
            <w:shd w:val="clear" w:color="auto" w:fill="D9D9D9"/>
            <w:vAlign w:val="center"/>
          </w:tcPr>
          <w:p w:rsidR="003A2385" w:rsidRPr="00835820" w:rsidP="003A2385" w14:paraId="228BB538" w14:textId="77777777">
            <w:pPr>
              <w:keepNext/>
              <w:spacing w:after="0" w:line="240" w:lineRule="auto"/>
              <w:jc w:val="center"/>
              <w:rPr>
                <w:rFonts w:ascii="Times New Roman" w:hAnsi="Times New Roman" w:cs="Times New Roman"/>
                <w:b/>
                <w:sz w:val="20"/>
                <w:szCs w:val="20"/>
              </w:rPr>
            </w:pPr>
          </w:p>
          <w:p w:rsidR="003A2385" w:rsidRPr="00835820" w:rsidP="003A2385" w14:paraId="64B3F870" w14:textId="77777777">
            <w:pPr>
              <w:keepNext/>
              <w:spacing w:after="0" w:line="240" w:lineRule="auto"/>
              <w:ind w:left="114" w:right="85" w:hanging="20"/>
              <w:jc w:val="center"/>
              <w:rPr>
                <w:rFonts w:ascii="Times New Roman" w:hAnsi="Times New Roman" w:cs="Times New Roman"/>
                <w:b/>
                <w:sz w:val="20"/>
                <w:szCs w:val="20"/>
              </w:rPr>
            </w:pPr>
            <w:r w:rsidRPr="00835820">
              <w:rPr>
                <w:rFonts w:ascii="Times New Roman" w:hAnsi="Times New Roman" w:cs="Times New Roman"/>
                <w:b/>
                <w:sz w:val="20"/>
                <w:szCs w:val="20"/>
              </w:rPr>
              <w:t>Annual Frequency</w:t>
            </w:r>
          </w:p>
        </w:tc>
        <w:tc>
          <w:tcPr>
            <w:tcW w:w="810" w:type="dxa"/>
            <w:shd w:val="clear" w:color="auto" w:fill="D9D9D9"/>
            <w:vAlign w:val="center"/>
          </w:tcPr>
          <w:p w:rsidR="003A2385" w:rsidRPr="00835820" w:rsidP="003A2385" w14:paraId="674ECB62"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Price per </w:t>
            </w:r>
            <w:r w:rsidR="00064BC7">
              <w:rPr>
                <w:rFonts w:ascii="Times New Roman" w:hAnsi="Times New Roman" w:cs="Times New Roman"/>
                <w:b/>
                <w:sz w:val="20"/>
                <w:szCs w:val="20"/>
              </w:rPr>
              <w:t>Word</w:t>
            </w:r>
          </w:p>
        </w:tc>
        <w:tc>
          <w:tcPr>
            <w:tcW w:w="1170" w:type="dxa"/>
            <w:shd w:val="clear" w:color="auto" w:fill="D9D9D9"/>
            <w:vAlign w:val="center"/>
          </w:tcPr>
          <w:p w:rsidR="003A2385" w:rsidRPr="00835820" w:rsidP="003A2385" w14:paraId="54DD619E"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Words per Language</w:t>
            </w:r>
          </w:p>
        </w:tc>
        <w:tc>
          <w:tcPr>
            <w:tcW w:w="995" w:type="dxa"/>
            <w:shd w:val="clear" w:color="auto" w:fill="D9D9D9"/>
            <w:vAlign w:val="center"/>
          </w:tcPr>
          <w:p w:rsidR="003A2385" w:rsidRPr="00835820" w:rsidP="003A2385" w14:paraId="4BF6BD45"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Languages per Facility</w:t>
            </w:r>
          </w:p>
        </w:tc>
        <w:tc>
          <w:tcPr>
            <w:tcW w:w="990" w:type="dxa"/>
            <w:shd w:val="clear" w:color="auto" w:fill="D9D9D9"/>
            <w:vAlign w:val="center"/>
          </w:tcPr>
          <w:p w:rsidR="003A2385" w:rsidRPr="00835820" w:rsidP="003A2385" w14:paraId="53C7D5DC" w14:textId="77777777">
            <w:pPr>
              <w:keepNext/>
              <w:spacing w:after="0" w:line="240" w:lineRule="auto"/>
              <w:ind w:left="91" w:right="169"/>
              <w:jc w:val="center"/>
              <w:rPr>
                <w:rFonts w:ascii="Times New Roman" w:hAnsi="Times New Roman" w:cs="Times New Roman"/>
                <w:b/>
                <w:sz w:val="20"/>
                <w:szCs w:val="20"/>
              </w:rPr>
            </w:pPr>
            <w:r w:rsidRPr="00835820">
              <w:rPr>
                <w:rFonts w:ascii="Times New Roman" w:hAnsi="Times New Roman" w:cs="Times New Roman"/>
                <w:b/>
                <w:sz w:val="20"/>
                <w:szCs w:val="20"/>
              </w:rPr>
              <w:t>Facility Costs</w:t>
            </w:r>
          </w:p>
        </w:tc>
      </w:tr>
      <w:tr w14:paraId="57738E42" w14:textId="77777777" w:rsidTr="00064BC7">
        <w:tblPrEx>
          <w:tblW w:w="6840" w:type="dxa"/>
          <w:jc w:val="center"/>
          <w:tblLayout w:type="fixed"/>
          <w:tblCellMar>
            <w:left w:w="0" w:type="dxa"/>
            <w:right w:w="0" w:type="dxa"/>
          </w:tblCellMar>
          <w:tblLook w:val="01E0"/>
        </w:tblPrEx>
        <w:trPr>
          <w:trHeight w:val="308"/>
          <w:jc w:val="center"/>
        </w:trPr>
        <w:tc>
          <w:tcPr>
            <w:tcW w:w="1710" w:type="dxa"/>
            <w:vAlign w:val="center"/>
          </w:tcPr>
          <w:p w:rsidR="003A2385" w:rsidRPr="00835820" w:rsidP="003A2385" w14:paraId="02DC95F0" w14:textId="77777777">
            <w:pPr>
              <w:keepNext/>
              <w:spacing w:after="0" w:line="240" w:lineRule="auto"/>
              <w:ind w:left="180" w:right="87"/>
              <w:jc w:val="center"/>
              <w:rPr>
                <w:rFonts w:ascii="Times New Roman" w:hAnsi="Times New Roman" w:cs="Times New Roman"/>
                <w:sz w:val="20"/>
                <w:szCs w:val="20"/>
              </w:rPr>
            </w:pPr>
            <w:r w:rsidRPr="00835820">
              <w:rPr>
                <w:rFonts w:ascii="Times New Roman" w:hAnsi="Times New Roman" w:cs="Times New Roman"/>
                <w:sz w:val="20"/>
                <w:szCs w:val="20"/>
              </w:rPr>
              <w:t>Simple Facilities</w:t>
            </w:r>
          </w:p>
        </w:tc>
        <w:tc>
          <w:tcPr>
            <w:tcW w:w="1165" w:type="dxa"/>
            <w:vAlign w:val="center"/>
          </w:tcPr>
          <w:p w:rsidR="003A2385" w:rsidRPr="00835820" w:rsidP="003A2385" w14:paraId="6370D22E" w14:textId="77777777">
            <w:pPr>
              <w:keepNext/>
              <w:spacing w:after="0" w:line="240" w:lineRule="auto"/>
              <w:ind w:left="277" w:right="267"/>
              <w:jc w:val="center"/>
              <w:rPr>
                <w:rFonts w:ascii="Times New Roman" w:hAnsi="Times New Roman" w:cs="Times New Roman"/>
                <w:sz w:val="20"/>
                <w:szCs w:val="20"/>
              </w:rPr>
            </w:pPr>
            <w:r w:rsidRPr="00835820">
              <w:rPr>
                <w:rFonts w:ascii="Times New Roman" w:hAnsi="Times New Roman" w:cs="Times New Roman"/>
                <w:sz w:val="20"/>
                <w:szCs w:val="20"/>
              </w:rPr>
              <w:t>0.</w:t>
            </w:r>
            <w:r>
              <w:rPr>
                <w:rFonts w:ascii="Times New Roman" w:hAnsi="Times New Roman" w:cs="Times New Roman"/>
                <w:sz w:val="20"/>
                <w:szCs w:val="20"/>
              </w:rPr>
              <w:t>2</w:t>
            </w:r>
          </w:p>
        </w:tc>
        <w:tc>
          <w:tcPr>
            <w:tcW w:w="810" w:type="dxa"/>
            <w:vAlign w:val="center"/>
          </w:tcPr>
          <w:p w:rsidR="003A2385" w:rsidRPr="00835820" w:rsidP="003A2385" w14:paraId="7A3C1F2D" w14:textId="77777777">
            <w:pPr>
              <w:keepNext/>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$0</w:t>
            </w:r>
            <w:r w:rsidR="00E51C2A">
              <w:rPr>
                <w:rFonts w:ascii="Times New Roman" w:hAnsi="Times New Roman" w:cs="Times New Roman"/>
                <w:sz w:val="20"/>
                <w:szCs w:val="20"/>
              </w:rPr>
              <w:t>.10</w:t>
            </w:r>
          </w:p>
        </w:tc>
        <w:tc>
          <w:tcPr>
            <w:tcW w:w="1170" w:type="dxa"/>
            <w:vAlign w:val="center"/>
          </w:tcPr>
          <w:p w:rsidR="003A2385" w:rsidRPr="00835820" w:rsidP="003A2385" w14:paraId="6F850AD7" w14:textId="77777777">
            <w:pPr>
              <w:keepNext/>
              <w:spacing w:after="0" w:line="240" w:lineRule="auto"/>
              <w:jc w:val="center"/>
              <w:rPr>
                <w:rFonts w:ascii="Times New Roman" w:hAnsi="Times New Roman" w:cs="Times New Roman"/>
                <w:sz w:val="20"/>
                <w:szCs w:val="20"/>
              </w:rPr>
            </w:pPr>
            <w:r>
              <w:rPr>
                <w:rFonts w:ascii="Times New Roman" w:hAnsi="Times New Roman" w:cs="Times New Roman"/>
                <w:sz w:val="20"/>
                <w:szCs w:val="20"/>
              </w:rPr>
              <w:t>7,000</w:t>
            </w:r>
          </w:p>
        </w:tc>
        <w:tc>
          <w:tcPr>
            <w:tcW w:w="995" w:type="dxa"/>
            <w:vAlign w:val="center"/>
          </w:tcPr>
          <w:p w:rsidR="003A2385" w:rsidRPr="00835820" w:rsidP="003A2385" w14:paraId="5DFDBFEE" w14:textId="77777777">
            <w:pPr>
              <w:keepNext/>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990" w:type="dxa"/>
            <w:vAlign w:val="center"/>
          </w:tcPr>
          <w:p w:rsidR="003A2385" w:rsidRPr="00835820" w:rsidP="003A2385" w14:paraId="6AB907F7" w14:textId="77777777">
            <w:pPr>
              <w:keepNext/>
              <w:spacing w:after="0" w:line="240" w:lineRule="auto"/>
              <w:ind w:left="189" w:right="183"/>
              <w:jc w:val="center"/>
              <w:rPr>
                <w:rFonts w:ascii="Times New Roman" w:hAnsi="Times New Roman" w:cs="Times New Roman"/>
                <w:sz w:val="20"/>
                <w:szCs w:val="20"/>
              </w:rPr>
            </w:pPr>
            <w:r w:rsidRPr="00835820">
              <w:rPr>
                <w:rFonts w:ascii="Times New Roman" w:hAnsi="Times New Roman" w:cs="Times New Roman"/>
                <w:sz w:val="20"/>
                <w:szCs w:val="20"/>
              </w:rPr>
              <w:t>$1</w:t>
            </w:r>
            <w:r w:rsidR="00B90D37">
              <w:rPr>
                <w:rFonts w:ascii="Times New Roman" w:hAnsi="Times New Roman" w:cs="Times New Roman"/>
                <w:sz w:val="20"/>
                <w:szCs w:val="20"/>
              </w:rPr>
              <w:t>,400</w:t>
            </w:r>
          </w:p>
        </w:tc>
      </w:tr>
      <w:tr w14:paraId="4A7993B4" w14:textId="77777777" w:rsidTr="00064BC7">
        <w:tblPrEx>
          <w:tblW w:w="6840" w:type="dxa"/>
          <w:jc w:val="center"/>
          <w:tblLayout w:type="fixed"/>
          <w:tblCellMar>
            <w:left w:w="0" w:type="dxa"/>
            <w:right w:w="0" w:type="dxa"/>
          </w:tblCellMar>
          <w:tblLook w:val="01E0"/>
        </w:tblPrEx>
        <w:trPr>
          <w:trHeight w:val="254"/>
          <w:jc w:val="center"/>
        </w:trPr>
        <w:tc>
          <w:tcPr>
            <w:tcW w:w="1710" w:type="dxa"/>
            <w:vAlign w:val="center"/>
          </w:tcPr>
          <w:p w:rsidR="003A2385" w:rsidRPr="00835820" w:rsidP="003A2385" w14:paraId="072559AA" w14:textId="77777777">
            <w:pPr>
              <w:keepNext/>
              <w:spacing w:after="0" w:line="240" w:lineRule="auto"/>
              <w:ind w:left="180" w:right="87"/>
              <w:jc w:val="center"/>
              <w:rPr>
                <w:rFonts w:ascii="Times New Roman" w:hAnsi="Times New Roman" w:cs="Times New Roman"/>
                <w:sz w:val="20"/>
                <w:szCs w:val="20"/>
              </w:rPr>
            </w:pPr>
            <w:r w:rsidRPr="00835820">
              <w:rPr>
                <w:rFonts w:ascii="Times New Roman" w:hAnsi="Times New Roman" w:cs="Times New Roman"/>
                <w:sz w:val="20"/>
                <w:szCs w:val="20"/>
              </w:rPr>
              <w:t>Small Complex</w:t>
            </w:r>
          </w:p>
        </w:tc>
        <w:tc>
          <w:tcPr>
            <w:tcW w:w="1165" w:type="dxa"/>
            <w:vAlign w:val="center"/>
          </w:tcPr>
          <w:p w:rsidR="003A2385" w:rsidRPr="00835820" w:rsidP="003A2385" w14:paraId="3EED8083" w14:textId="77777777">
            <w:pPr>
              <w:keepNext/>
              <w:spacing w:after="0" w:line="240" w:lineRule="auto"/>
              <w:ind w:left="277" w:right="267"/>
              <w:jc w:val="center"/>
              <w:rPr>
                <w:rFonts w:ascii="Times New Roman" w:hAnsi="Times New Roman" w:cs="Times New Roman"/>
                <w:sz w:val="20"/>
                <w:szCs w:val="20"/>
              </w:rPr>
            </w:pPr>
            <w:r w:rsidRPr="00835820">
              <w:rPr>
                <w:rFonts w:ascii="Times New Roman" w:hAnsi="Times New Roman" w:cs="Times New Roman"/>
                <w:sz w:val="20"/>
                <w:szCs w:val="20"/>
              </w:rPr>
              <w:t>0.</w:t>
            </w:r>
            <w:r>
              <w:rPr>
                <w:rFonts w:ascii="Times New Roman" w:hAnsi="Times New Roman" w:cs="Times New Roman"/>
                <w:sz w:val="20"/>
                <w:szCs w:val="20"/>
              </w:rPr>
              <w:t>2</w:t>
            </w:r>
          </w:p>
        </w:tc>
        <w:tc>
          <w:tcPr>
            <w:tcW w:w="810" w:type="dxa"/>
            <w:vAlign w:val="center"/>
          </w:tcPr>
          <w:p w:rsidR="003A2385" w:rsidRPr="00835820" w:rsidP="003A2385" w14:paraId="3867EC72" w14:textId="77777777">
            <w:pPr>
              <w:keepNext/>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$0</w:t>
            </w:r>
            <w:r w:rsidR="00E51C2A">
              <w:rPr>
                <w:rFonts w:ascii="Times New Roman" w:hAnsi="Times New Roman" w:cs="Times New Roman"/>
                <w:sz w:val="20"/>
                <w:szCs w:val="20"/>
              </w:rPr>
              <w:t>.10</w:t>
            </w:r>
          </w:p>
        </w:tc>
        <w:tc>
          <w:tcPr>
            <w:tcW w:w="1170" w:type="dxa"/>
            <w:vAlign w:val="center"/>
          </w:tcPr>
          <w:p w:rsidR="003A2385" w:rsidRPr="00835820" w:rsidP="003A2385" w14:paraId="05E69680" w14:textId="77777777">
            <w:pPr>
              <w:keepNext/>
              <w:spacing w:after="0" w:line="240" w:lineRule="auto"/>
              <w:jc w:val="center"/>
              <w:rPr>
                <w:rFonts w:ascii="Times New Roman" w:hAnsi="Times New Roman" w:cs="Times New Roman"/>
                <w:sz w:val="20"/>
                <w:szCs w:val="20"/>
              </w:rPr>
            </w:pPr>
            <w:r>
              <w:rPr>
                <w:rFonts w:ascii="Times New Roman" w:hAnsi="Times New Roman" w:cs="Times New Roman"/>
                <w:sz w:val="20"/>
                <w:szCs w:val="20"/>
              </w:rPr>
              <w:t>45,000</w:t>
            </w:r>
          </w:p>
        </w:tc>
        <w:tc>
          <w:tcPr>
            <w:tcW w:w="995" w:type="dxa"/>
            <w:vAlign w:val="center"/>
          </w:tcPr>
          <w:p w:rsidR="003A2385" w:rsidRPr="00835820" w:rsidP="003A2385" w14:paraId="7A28721B" w14:textId="77777777">
            <w:pPr>
              <w:keepNext/>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990" w:type="dxa"/>
            <w:vAlign w:val="center"/>
          </w:tcPr>
          <w:p w:rsidR="003A2385" w:rsidRPr="00835820" w:rsidP="003A2385" w14:paraId="7CAE6C31" w14:textId="77777777">
            <w:pPr>
              <w:keepNext/>
              <w:spacing w:after="0" w:line="240" w:lineRule="auto"/>
              <w:ind w:left="189" w:right="183"/>
              <w:jc w:val="center"/>
              <w:rPr>
                <w:rFonts w:ascii="Times New Roman" w:hAnsi="Times New Roman" w:cs="Times New Roman"/>
                <w:sz w:val="20"/>
                <w:szCs w:val="20"/>
              </w:rPr>
            </w:pPr>
            <w:r w:rsidRPr="00835820">
              <w:rPr>
                <w:rFonts w:ascii="Times New Roman" w:hAnsi="Times New Roman" w:cs="Times New Roman"/>
                <w:sz w:val="20"/>
                <w:szCs w:val="20"/>
              </w:rPr>
              <w:t>$</w:t>
            </w:r>
            <w:r w:rsidR="00B90D37">
              <w:rPr>
                <w:rFonts w:ascii="Times New Roman" w:hAnsi="Times New Roman" w:cs="Times New Roman"/>
                <w:sz w:val="20"/>
                <w:szCs w:val="20"/>
              </w:rPr>
              <w:t>9,000</w:t>
            </w:r>
          </w:p>
        </w:tc>
      </w:tr>
      <w:tr w14:paraId="72EBACF2" w14:textId="77777777" w:rsidTr="00064BC7">
        <w:tblPrEx>
          <w:tblW w:w="6840" w:type="dxa"/>
          <w:jc w:val="center"/>
          <w:tblLayout w:type="fixed"/>
          <w:tblCellMar>
            <w:left w:w="0" w:type="dxa"/>
            <w:right w:w="0" w:type="dxa"/>
          </w:tblCellMar>
          <w:tblLook w:val="01E0"/>
        </w:tblPrEx>
        <w:trPr>
          <w:trHeight w:val="263"/>
          <w:jc w:val="center"/>
        </w:trPr>
        <w:tc>
          <w:tcPr>
            <w:tcW w:w="1710" w:type="dxa"/>
            <w:vAlign w:val="center"/>
          </w:tcPr>
          <w:p w:rsidR="003A2385" w:rsidRPr="00835820" w:rsidP="003A2385" w14:paraId="35243CA1" w14:textId="77777777">
            <w:pPr>
              <w:spacing w:after="0" w:line="240" w:lineRule="auto"/>
              <w:ind w:left="180" w:right="87"/>
              <w:jc w:val="center"/>
              <w:rPr>
                <w:rFonts w:ascii="Times New Roman" w:hAnsi="Times New Roman" w:cs="Times New Roman"/>
                <w:sz w:val="20"/>
                <w:szCs w:val="20"/>
              </w:rPr>
            </w:pPr>
            <w:r w:rsidRPr="00835820">
              <w:rPr>
                <w:rFonts w:ascii="Times New Roman" w:hAnsi="Times New Roman" w:cs="Times New Roman"/>
                <w:sz w:val="20"/>
                <w:szCs w:val="20"/>
              </w:rPr>
              <w:t>Large Complex</w:t>
            </w:r>
          </w:p>
        </w:tc>
        <w:tc>
          <w:tcPr>
            <w:tcW w:w="1165" w:type="dxa"/>
            <w:vAlign w:val="center"/>
          </w:tcPr>
          <w:p w:rsidR="003A2385" w:rsidRPr="00835820" w:rsidP="003A2385" w14:paraId="4A36B6F7" w14:textId="77777777">
            <w:pPr>
              <w:spacing w:after="0" w:line="240" w:lineRule="auto"/>
              <w:ind w:left="277" w:right="267"/>
              <w:jc w:val="center"/>
              <w:rPr>
                <w:rFonts w:ascii="Times New Roman" w:hAnsi="Times New Roman" w:cs="Times New Roman"/>
                <w:sz w:val="20"/>
                <w:szCs w:val="20"/>
              </w:rPr>
            </w:pPr>
            <w:r w:rsidRPr="00835820">
              <w:rPr>
                <w:rFonts w:ascii="Times New Roman" w:hAnsi="Times New Roman" w:cs="Times New Roman"/>
                <w:sz w:val="20"/>
                <w:szCs w:val="20"/>
              </w:rPr>
              <w:t>0.</w:t>
            </w:r>
            <w:r>
              <w:rPr>
                <w:rFonts w:ascii="Times New Roman" w:hAnsi="Times New Roman" w:cs="Times New Roman"/>
                <w:sz w:val="20"/>
                <w:szCs w:val="20"/>
              </w:rPr>
              <w:t>2</w:t>
            </w:r>
          </w:p>
        </w:tc>
        <w:tc>
          <w:tcPr>
            <w:tcW w:w="810" w:type="dxa"/>
            <w:vAlign w:val="center"/>
          </w:tcPr>
          <w:p w:rsidR="003A2385" w:rsidRPr="00835820" w:rsidP="003A2385" w14:paraId="301610B3" w14:textId="77777777">
            <w:pPr>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$0</w:t>
            </w:r>
            <w:r w:rsidR="00E51C2A">
              <w:rPr>
                <w:rFonts w:ascii="Times New Roman" w:hAnsi="Times New Roman" w:cs="Times New Roman"/>
                <w:sz w:val="20"/>
                <w:szCs w:val="20"/>
              </w:rPr>
              <w:t>.10</w:t>
            </w:r>
          </w:p>
        </w:tc>
        <w:tc>
          <w:tcPr>
            <w:tcW w:w="1170" w:type="dxa"/>
            <w:vAlign w:val="center"/>
          </w:tcPr>
          <w:p w:rsidR="003A2385" w:rsidRPr="00835820" w:rsidP="003A2385" w14:paraId="598B7D3D" w14:textId="7777777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45,000</w:t>
            </w:r>
          </w:p>
        </w:tc>
        <w:tc>
          <w:tcPr>
            <w:tcW w:w="995" w:type="dxa"/>
            <w:vAlign w:val="center"/>
          </w:tcPr>
          <w:p w:rsidR="003A2385" w:rsidRPr="00835820" w:rsidP="003A2385" w14:paraId="575081AC" w14:textId="7777777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990" w:type="dxa"/>
            <w:vAlign w:val="center"/>
          </w:tcPr>
          <w:p w:rsidR="003A2385" w:rsidRPr="00835820" w:rsidP="003A2385" w14:paraId="468B8EA2" w14:textId="77777777">
            <w:pPr>
              <w:spacing w:after="0" w:line="240" w:lineRule="auto"/>
              <w:ind w:left="191" w:right="183"/>
              <w:jc w:val="center"/>
              <w:rPr>
                <w:rFonts w:ascii="Times New Roman" w:hAnsi="Times New Roman" w:cs="Times New Roman"/>
                <w:sz w:val="20"/>
                <w:szCs w:val="20"/>
              </w:rPr>
            </w:pPr>
            <w:r w:rsidRPr="00835820">
              <w:rPr>
                <w:rFonts w:ascii="Times New Roman" w:hAnsi="Times New Roman" w:cs="Times New Roman"/>
                <w:sz w:val="20"/>
                <w:szCs w:val="20"/>
              </w:rPr>
              <w:t>$</w:t>
            </w:r>
            <w:r w:rsidR="00B90D37">
              <w:rPr>
                <w:rFonts w:ascii="Times New Roman" w:hAnsi="Times New Roman" w:cs="Times New Roman"/>
                <w:sz w:val="20"/>
                <w:szCs w:val="20"/>
              </w:rPr>
              <w:t>9,000</w:t>
            </w:r>
          </w:p>
        </w:tc>
      </w:tr>
    </w:tbl>
    <w:p w:rsidR="00A40AEA" w:rsidP="00A40AEA" w14:paraId="5656C6C9" w14:textId="77777777">
      <w:pPr>
        <w:spacing w:after="0" w:line="240" w:lineRule="auto"/>
        <w:ind w:firstLine="360"/>
      </w:pPr>
    </w:p>
    <w:p w:rsidR="00A40AEA" w:rsidRPr="004D4B61" w:rsidP="002A03D7" w14:paraId="5A14E50F" w14:textId="77777777">
      <w:pPr>
        <w:spacing w:after="0" w:line="240" w:lineRule="auto"/>
        <w:ind w:firstLine="360"/>
        <w:rPr>
          <w:rFonts w:ascii="Times New Roman" w:hAnsi="Times New Roman" w:cs="Times New Roman"/>
        </w:rPr>
      </w:pPr>
      <w:r>
        <w:rPr>
          <w:rFonts w:ascii="Times New Roman" w:hAnsi="Times New Roman" w:cs="Times New Roman"/>
        </w:rPr>
        <w:tab/>
      </w:r>
      <w:r w:rsidR="00460E77">
        <w:rPr>
          <w:rFonts w:ascii="Times New Roman" w:hAnsi="Times New Roman" w:cs="Times New Roman"/>
        </w:rPr>
        <w:t xml:space="preserve">EPA </w:t>
      </w:r>
      <w:r w:rsidR="00700E31">
        <w:rPr>
          <w:rFonts w:ascii="Times New Roman" w:hAnsi="Times New Roman" w:cs="Times New Roman"/>
        </w:rPr>
        <w:t>assumes</w:t>
      </w:r>
      <w:r w:rsidR="00460E77">
        <w:rPr>
          <w:rFonts w:ascii="Times New Roman" w:hAnsi="Times New Roman" w:cs="Times New Roman"/>
        </w:rPr>
        <w:t xml:space="preserve"> </w:t>
      </w:r>
      <w:r w:rsidR="003E33B9">
        <w:rPr>
          <w:rFonts w:ascii="Times New Roman" w:hAnsi="Times New Roman" w:cs="Times New Roman"/>
        </w:rPr>
        <w:t xml:space="preserve">an average of one </w:t>
      </w:r>
      <w:r w:rsidR="00FD6D4E">
        <w:rPr>
          <w:rFonts w:ascii="Times New Roman" w:hAnsi="Times New Roman" w:cs="Times New Roman"/>
        </w:rPr>
        <w:t xml:space="preserve">public </w:t>
      </w:r>
      <w:r w:rsidR="003E33B9">
        <w:rPr>
          <w:rFonts w:ascii="Times New Roman" w:hAnsi="Times New Roman" w:cs="Times New Roman"/>
        </w:rPr>
        <w:t>information request per facility per yea</w:t>
      </w:r>
      <w:r w:rsidR="003E0006">
        <w:rPr>
          <w:rFonts w:ascii="Times New Roman" w:hAnsi="Times New Roman" w:cs="Times New Roman"/>
        </w:rPr>
        <w:t xml:space="preserve">r and that </w:t>
      </w:r>
      <w:r w:rsidR="00FD6D4E">
        <w:rPr>
          <w:rFonts w:ascii="Times New Roman" w:hAnsi="Times New Roman" w:cs="Times New Roman"/>
        </w:rPr>
        <w:t>facilities will require ID verification</w:t>
      </w:r>
      <w:r w:rsidR="003E0006">
        <w:rPr>
          <w:rFonts w:ascii="Times New Roman" w:hAnsi="Times New Roman" w:cs="Times New Roman"/>
        </w:rPr>
        <w:t>, resulting in a cost burden for members of the public requesting information</w:t>
      </w:r>
      <w:r w:rsidR="003E33B9">
        <w:rPr>
          <w:rFonts w:ascii="Times New Roman" w:hAnsi="Times New Roman" w:cs="Times New Roman"/>
        </w:rPr>
        <w:t xml:space="preserve">. </w:t>
      </w:r>
      <w:r w:rsidR="00B47C05">
        <w:rPr>
          <w:rFonts w:ascii="Times New Roman" w:hAnsi="Times New Roman" w:cs="Times New Roman"/>
        </w:rPr>
        <w:t xml:space="preserve">EPA assumes </w:t>
      </w:r>
      <w:r w:rsidR="00EC6B9B">
        <w:rPr>
          <w:rFonts w:ascii="Times New Roman" w:hAnsi="Times New Roman" w:cs="Times New Roman"/>
        </w:rPr>
        <w:t xml:space="preserve">information requestors will spend one hour </w:t>
      </w:r>
      <w:r w:rsidR="00024B58">
        <w:rPr>
          <w:rFonts w:ascii="Times New Roman" w:hAnsi="Times New Roman" w:cs="Times New Roman"/>
        </w:rPr>
        <w:t xml:space="preserve">to </w:t>
      </w:r>
      <w:r w:rsidR="00FE20A5">
        <w:rPr>
          <w:rFonts w:ascii="Times New Roman" w:hAnsi="Times New Roman" w:cs="Times New Roman"/>
        </w:rPr>
        <w:t>provide identi</w:t>
      </w:r>
      <w:r w:rsidR="00445EAF">
        <w:rPr>
          <w:rFonts w:ascii="Times New Roman" w:hAnsi="Times New Roman" w:cs="Times New Roman"/>
        </w:rPr>
        <w:t xml:space="preserve">fication </w:t>
      </w:r>
      <w:r w:rsidR="00FE20A5">
        <w:rPr>
          <w:rFonts w:ascii="Times New Roman" w:hAnsi="Times New Roman" w:cs="Times New Roman"/>
        </w:rPr>
        <w:t xml:space="preserve">and obtain </w:t>
      </w:r>
      <w:r w:rsidR="00C12797">
        <w:rPr>
          <w:rFonts w:ascii="Times New Roman" w:hAnsi="Times New Roman" w:cs="Times New Roman"/>
        </w:rPr>
        <w:t>the requested information</w:t>
      </w:r>
      <w:r w:rsidR="000D079D">
        <w:rPr>
          <w:rFonts w:ascii="Times New Roman" w:hAnsi="Times New Roman" w:cs="Times New Roman"/>
        </w:rPr>
        <w:t xml:space="preserve">, with half doing so electronically and the other half in-person. </w:t>
      </w:r>
      <w:r w:rsidR="003D6093">
        <w:rPr>
          <w:rFonts w:ascii="Times New Roman" w:hAnsi="Times New Roman" w:cs="Times New Roman"/>
        </w:rPr>
        <w:t xml:space="preserve">The </w:t>
      </w:r>
      <w:r w:rsidR="003B5871">
        <w:rPr>
          <w:rFonts w:ascii="Times New Roman" w:hAnsi="Times New Roman" w:cs="Times New Roman"/>
        </w:rPr>
        <w:t xml:space="preserve">cost per hour spent on ID verification equals the value </w:t>
      </w:r>
      <w:r w:rsidR="00577CE5">
        <w:rPr>
          <w:rFonts w:ascii="Times New Roman" w:hAnsi="Times New Roman" w:cs="Times New Roman"/>
        </w:rPr>
        <w:t>of a requestor’s leisure time</w:t>
      </w:r>
      <w:r w:rsidR="00F016CC">
        <w:rPr>
          <w:rFonts w:ascii="Times New Roman" w:hAnsi="Times New Roman" w:cs="Times New Roman"/>
        </w:rPr>
        <w:t>, which EPA estimates to be $35.90</w:t>
      </w:r>
      <w:r w:rsidR="00577CE5">
        <w:rPr>
          <w:rFonts w:ascii="Times New Roman" w:hAnsi="Times New Roman" w:cs="Times New Roman"/>
        </w:rPr>
        <w:t>.</w:t>
      </w:r>
      <w:r>
        <w:rPr>
          <w:rStyle w:val="FootnoteReference"/>
          <w:rFonts w:ascii="Times New Roman" w:hAnsi="Times New Roman" w:cs="Times New Roman"/>
        </w:rPr>
        <w:footnoteReference w:id="118"/>
      </w:r>
      <w:r w:rsidR="00577CE5">
        <w:rPr>
          <w:rFonts w:ascii="Times New Roman" w:hAnsi="Times New Roman" w:cs="Times New Roman"/>
        </w:rPr>
        <w:t xml:space="preserve"> </w:t>
      </w:r>
      <w:r w:rsidR="00FB4D3F">
        <w:rPr>
          <w:rFonts w:ascii="Times New Roman" w:hAnsi="Times New Roman" w:cs="Times New Roman"/>
        </w:rPr>
        <w:t>EPA estimates that each requestor</w:t>
      </w:r>
      <w:r w:rsidR="000D079D">
        <w:rPr>
          <w:rFonts w:ascii="Times New Roman" w:hAnsi="Times New Roman" w:cs="Times New Roman"/>
        </w:rPr>
        <w:t xml:space="preserve"> </w:t>
      </w:r>
      <w:r w:rsidR="00445EAF">
        <w:rPr>
          <w:rFonts w:ascii="Times New Roman" w:hAnsi="Times New Roman" w:cs="Times New Roman"/>
        </w:rPr>
        <w:t xml:space="preserve">providing identification in </w:t>
      </w:r>
      <w:r w:rsidR="00FA23D1">
        <w:rPr>
          <w:rFonts w:ascii="Times New Roman" w:hAnsi="Times New Roman" w:cs="Times New Roman"/>
        </w:rPr>
        <w:t xml:space="preserve">person will </w:t>
      </w:r>
      <w:r w:rsidR="005C326B">
        <w:rPr>
          <w:rFonts w:ascii="Times New Roman" w:hAnsi="Times New Roman" w:cs="Times New Roman"/>
        </w:rPr>
        <w:t xml:space="preserve">also </w:t>
      </w:r>
      <w:r w:rsidR="00FA23D1">
        <w:rPr>
          <w:rFonts w:ascii="Times New Roman" w:hAnsi="Times New Roman" w:cs="Times New Roman"/>
        </w:rPr>
        <w:t>face travel costs</w:t>
      </w:r>
      <w:r w:rsidR="00FB4D3F">
        <w:rPr>
          <w:rFonts w:ascii="Times New Roman" w:hAnsi="Times New Roman" w:cs="Times New Roman"/>
        </w:rPr>
        <w:t xml:space="preserve"> of $11.79</w:t>
      </w:r>
      <w:r w:rsidR="0025073A">
        <w:rPr>
          <w:rFonts w:ascii="Times New Roman" w:hAnsi="Times New Roman" w:cs="Times New Roman"/>
        </w:rPr>
        <w:t>.</w:t>
      </w:r>
      <w:r>
        <w:rPr>
          <w:rStyle w:val="FootnoteReference"/>
          <w:rFonts w:ascii="Times New Roman" w:hAnsi="Times New Roman" w:cs="Times New Roman"/>
        </w:rPr>
        <w:footnoteReference w:id="119"/>
      </w:r>
      <w:r w:rsidR="003328BD">
        <w:rPr>
          <w:rFonts w:ascii="Times New Roman" w:hAnsi="Times New Roman" w:cs="Times New Roman"/>
        </w:rPr>
        <w:t xml:space="preserve"> Unit costs are presented in Exhibit 4-1</w:t>
      </w:r>
      <w:r w:rsidR="007E5F48">
        <w:rPr>
          <w:rFonts w:ascii="Times New Roman" w:hAnsi="Times New Roman" w:cs="Times New Roman"/>
        </w:rPr>
        <w:t>7</w:t>
      </w:r>
      <w:r w:rsidR="002A03D7">
        <w:rPr>
          <w:rFonts w:ascii="Times New Roman" w:hAnsi="Times New Roman" w:cs="Times New Roman"/>
        </w:rPr>
        <w:t>.</w:t>
      </w:r>
    </w:p>
    <w:p w:rsidR="00A40AEA" w:rsidP="00A40AEA" w14:paraId="6EA45AB2" w14:textId="77777777">
      <w:pPr>
        <w:spacing w:after="0" w:line="240" w:lineRule="auto"/>
        <w:rPr>
          <w:rFonts w:ascii="Times New Roman" w:hAnsi="Times New Roman" w:cs="Times New Roman"/>
        </w:rPr>
      </w:pPr>
    </w:p>
    <w:p w:rsidR="00D10F58" w:rsidRPr="004D4B61" w:rsidP="00A40AEA" w14:paraId="32384E3C" w14:textId="77777777">
      <w:pPr>
        <w:spacing w:after="0" w:line="240" w:lineRule="auto"/>
        <w:rPr>
          <w:rFonts w:ascii="Times New Roman" w:hAnsi="Times New Roman" w:cs="Times New Roman"/>
        </w:rPr>
      </w:pPr>
    </w:p>
    <w:p w:rsidR="00A40AEA" w:rsidRPr="00BF4D0A" w:rsidP="00A40AEA" w14:paraId="351E191B" w14:textId="77777777">
      <w:pPr>
        <w:pStyle w:val="Caption"/>
        <w:jc w:val="center"/>
        <w:rPr>
          <w:rFonts w:ascii="Times New Roman" w:hAnsi="Times New Roman" w:cs="Times New Roman"/>
          <w:b/>
          <w:bCs/>
          <w:i w:val="0"/>
          <w:iCs w:val="0"/>
          <w:color w:val="auto"/>
          <w:sz w:val="22"/>
          <w:szCs w:val="22"/>
        </w:rPr>
      </w:pPr>
      <w:r w:rsidRPr="00BF4D0A">
        <w:rPr>
          <w:rFonts w:ascii="Times New Roman" w:hAnsi="Times New Roman" w:cs="Times New Roman"/>
          <w:b/>
          <w:bCs/>
          <w:i w:val="0"/>
          <w:iCs w:val="0"/>
          <w:color w:val="auto"/>
          <w:sz w:val="22"/>
          <w:szCs w:val="22"/>
        </w:rPr>
        <w:t>Exhibit 4-</w:t>
      </w:r>
      <w:r w:rsidRPr="00BF4D0A" w:rsidR="00852CB0">
        <w:rPr>
          <w:rFonts w:ascii="Times New Roman" w:hAnsi="Times New Roman" w:cs="Times New Roman"/>
          <w:b/>
          <w:bCs/>
          <w:i w:val="0"/>
          <w:iCs w:val="0"/>
          <w:color w:val="auto"/>
          <w:sz w:val="22"/>
          <w:szCs w:val="22"/>
        </w:rPr>
        <w:t>1</w:t>
      </w:r>
      <w:r w:rsidR="007E5F48">
        <w:rPr>
          <w:rFonts w:ascii="Times New Roman" w:hAnsi="Times New Roman" w:cs="Times New Roman"/>
          <w:b/>
          <w:bCs/>
          <w:i w:val="0"/>
          <w:iCs w:val="0"/>
          <w:color w:val="auto"/>
          <w:sz w:val="22"/>
          <w:szCs w:val="22"/>
        </w:rPr>
        <w:t>7</w:t>
      </w:r>
      <w:r w:rsidRPr="00BF4D0A">
        <w:rPr>
          <w:rFonts w:ascii="Times New Roman" w:hAnsi="Times New Roman" w:cs="Times New Roman"/>
          <w:b/>
          <w:bCs/>
          <w:i w:val="0"/>
          <w:iCs w:val="0"/>
          <w:color w:val="auto"/>
          <w:sz w:val="22"/>
          <w:szCs w:val="22"/>
        </w:rPr>
        <w:t xml:space="preserve">: </w:t>
      </w:r>
      <w:r w:rsidR="002A03D7">
        <w:rPr>
          <w:rFonts w:ascii="Times New Roman" w:hAnsi="Times New Roman" w:cs="Times New Roman"/>
          <w:b/>
          <w:bCs/>
          <w:i w:val="0"/>
          <w:iCs w:val="0"/>
          <w:color w:val="auto"/>
          <w:sz w:val="22"/>
          <w:szCs w:val="22"/>
        </w:rPr>
        <w:t>Unit</w:t>
      </w:r>
      <w:r w:rsidRPr="00BF4D0A">
        <w:rPr>
          <w:rFonts w:ascii="Times New Roman" w:hAnsi="Times New Roman" w:cs="Times New Roman"/>
          <w:b/>
          <w:bCs/>
          <w:i w:val="0"/>
          <w:iCs w:val="0"/>
          <w:color w:val="auto"/>
          <w:sz w:val="22"/>
          <w:szCs w:val="22"/>
        </w:rPr>
        <w:t xml:space="preserve"> Costs </w:t>
      </w:r>
      <w:r w:rsidR="002A03D7">
        <w:rPr>
          <w:rFonts w:ascii="Times New Roman" w:hAnsi="Times New Roman" w:cs="Times New Roman"/>
          <w:b/>
          <w:bCs/>
          <w:i w:val="0"/>
          <w:iCs w:val="0"/>
          <w:color w:val="auto"/>
          <w:sz w:val="22"/>
          <w:szCs w:val="22"/>
        </w:rPr>
        <w:t xml:space="preserve">and Public Burden </w:t>
      </w:r>
      <w:r w:rsidRPr="00BF4D0A">
        <w:rPr>
          <w:rFonts w:ascii="Times New Roman" w:hAnsi="Times New Roman" w:cs="Times New Roman"/>
          <w:b/>
          <w:bCs/>
          <w:i w:val="0"/>
          <w:iCs w:val="0"/>
          <w:color w:val="auto"/>
          <w:sz w:val="22"/>
          <w:szCs w:val="22"/>
        </w:rPr>
        <w:t xml:space="preserve">for </w:t>
      </w:r>
      <w:r w:rsidR="00B07E28">
        <w:rPr>
          <w:rFonts w:ascii="Times New Roman" w:hAnsi="Times New Roman" w:cs="Times New Roman"/>
          <w:b/>
          <w:bCs/>
          <w:i w:val="0"/>
          <w:iCs w:val="0"/>
          <w:color w:val="auto"/>
          <w:sz w:val="22"/>
          <w:szCs w:val="22"/>
        </w:rPr>
        <w:t>ID Verification</w:t>
      </w:r>
      <w:r>
        <w:rPr>
          <w:rFonts w:ascii="Times New Roman" w:hAnsi="Times New Roman" w:cs="Times New Roman"/>
          <w:b/>
          <w:bCs/>
          <w:i w:val="0"/>
          <w:iCs w:val="0"/>
          <w:color w:val="auto"/>
          <w:sz w:val="22"/>
          <w:szCs w:val="22"/>
        </w:rPr>
        <w:t xml:space="preserve"> </w:t>
      </w:r>
      <w:r w:rsidRPr="00835820">
        <w:rPr>
          <w:rFonts w:ascii="Times New Roman" w:hAnsi="Times New Roman" w:cs="Times New Roman"/>
          <w:b/>
          <w:bCs/>
          <w:i w:val="0"/>
          <w:iCs w:val="0"/>
          <w:color w:val="auto"/>
          <w:sz w:val="22"/>
          <w:szCs w:val="22"/>
        </w:rPr>
        <w:t>(202</w:t>
      </w:r>
      <w:r w:rsidR="00B07E28">
        <w:rPr>
          <w:rFonts w:ascii="Times New Roman" w:hAnsi="Times New Roman" w:cs="Times New Roman"/>
          <w:b/>
          <w:bCs/>
          <w:i w:val="0"/>
          <w:iCs w:val="0"/>
          <w:color w:val="auto"/>
          <w:sz w:val="22"/>
          <w:szCs w:val="22"/>
        </w:rPr>
        <w:t>2</w:t>
      </w:r>
      <w:r w:rsidRPr="00835820">
        <w:rPr>
          <w:rFonts w:ascii="Times New Roman" w:hAnsi="Times New Roman" w:cs="Times New Roman"/>
          <w:b/>
          <w:bCs/>
          <w:i w:val="0"/>
          <w:iCs w:val="0"/>
          <w:color w:val="auto"/>
          <w:sz w:val="22"/>
          <w:szCs w:val="22"/>
        </w:rPr>
        <w:t xml:space="preserve"> dollars)</w:t>
      </w:r>
      <w:r w:rsidRPr="00BF4D0A">
        <w:rPr>
          <w:rFonts w:ascii="Times New Roman" w:hAnsi="Times New Roman" w:cs="Times New Roman"/>
          <w:b/>
          <w:bCs/>
          <w:i w:val="0"/>
          <w:iCs w:val="0"/>
          <w:color w:val="auto"/>
          <w:sz w:val="22"/>
          <w:szCs w:val="22"/>
        </w:rPr>
        <w:t>.</w:t>
      </w:r>
    </w:p>
    <w:tbl>
      <w:tblPr>
        <w:tblW w:w="7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
        <w:gridCol w:w="1170"/>
        <w:gridCol w:w="720"/>
        <w:gridCol w:w="900"/>
        <w:gridCol w:w="1260"/>
        <w:gridCol w:w="1170"/>
        <w:gridCol w:w="1620"/>
      </w:tblGrid>
      <w:tr w14:paraId="2DDB7CFF" w14:textId="77777777" w:rsidTr="005A2CFA">
        <w:tblPrEx>
          <w:tblW w:w="7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1150"/>
          <w:jc w:val="center"/>
        </w:trPr>
        <w:tc>
          <w:tcPr>
            <w:tcW w:w="1080" w:type="dxa"/>
            <w:shd w:val="clear" w:color="auto" w:fill="D9D9D9"/>
            <w:vAlign w:val="center"/>
          </w:tcPr>
          <w:p w:rsidR="00B60096" w:rsidRPr="00835820" w:rsidP="00954985" w14:paraId="5EB5FB52" w14:textId="77777777">
            <w:pPr>
              <w:keepNext/>
              <w:spacing w:after="0" w:line="240" w:lineRule="auto"/>
              <w:ind w:right="317"/>
              <w:jc w:val="center"/>
              <w:rPr>
                <w:rFonts w:ascii="Times New Roman" w:hAnsi="Times New Roman" w:cs="Times New Roman"/>
                <w:b/>
                <w:sz w:val="20"/>
                <w:szCs w:val="20"/>
              </w:rPr>
            </w:pPr>
            <w:r w:rsidRPr="00835820">
              <w:rPr>
                <w:rFonts w:ascii="Times New Roman" w:hAnsi="Times New Roman" w:cs="Times New Roman"/>
                <w:b/>
                <w:sz w:val="20"/>
                <w:szCs w:val="20"/>
              </w:rPr>
              <w:t>Fa</w:t>
            </w:r>
            <w:r w:rsidR="00954985">
              <w:rPr>
                <w:rFonts w:ascii="Times New Roman" w:hAnsi="Times New Roman" w:cs="Times New Roman"/>
                <w:b/>
                <w:sz w:val="20"/>
                <w:szCs w:val="20"/>
              </w:rPr>
              <w:t xml:space="preserve">cility </w:t>
            </w:r>
            <w:r w:rsidRPr="00835820">
              <w:rPr>
                <w:rFonts w:ascii="Times New Roman" w:hAnsi="Times New Roman" w:cs="Times New Roman"/>
                <w:b/>
                <w:sz w:val="20"/>
                <w:szCs w:val="20"/>
              </w:rPr>
              <w:t>Type</w:t>
            </w:r>
          </w:p>
        </w:tc>
        <w:tc>
          <w:tcPr>
            <w:tcW w:w="1170" w:type="dxa"/>
            <w:shd w:val="clear" w:color="auto" w:fill="D9D9D9"/>
            <w:vAlign w:val="center"/>
          </w:tcPr>
          <w:p w:rsidR="00B60096" w:rsidRPr="00835820" w:rsidP="0050138F" w14:paraId="067762D1" w14:textId="77777777">
            <w:pPr>
              <w:keepNext/>
              <w:spacing w:after="0" w:line="240" w:lineRule="auto"/>
              <w:jc w:val="center"/>
              <w:rPr>
                <w:rFonts w:ascii="Times New Roman" w:hAnsi="Times New Roman" w:cs="Times New Roman"/>
                <w:b/>
                <w:sz w:val="20"/>
                <w:szCs w:val="20"/>
              </w:rPr>
            </w:pPr>
          </w:p>
          <w:p w:rsidR="00B60096" w:rsidP="0050138F" w14:paraId="2D16A03A" w14:textId="77777777">
            <w:pPr>
              <w:keepNext/>
              <w:spacing w:after="0" w:line="240" w:lineRule="auto"/>
              <w:ind w:left="114" w:right="85" w:hanging="20"/>
              <w:jc w:val="center"/>
              <w:rPr>
                <w:rFonts w:ascii="Times New Roman" w:hAnsi="Times New Roman" w:cs="Times New Roman"/>
                <w:b/>
                <w:sz w:val="20"/>
                <w:szCs w:val="20"/>
              </w:rPr>
            </w:pPr>
            <w:r w:rsidRPr="00835820">
              <w:rPr>
                <w:rFonts w:ascii="Times New Roman" w:hAnsi="Times New Roman" w:cs="Times New Roman"/>
                <w:b/>
                <w:sz w:val="20"/>
                <w:szCs w:val="20"/>
              </w:rPr>
              <w:t>Annual Frequency</w:t>
            </w:r>
          </w:p>
          <w:p w:rsidR="003B3591" w:rsidRPr="00835820" w:rsidP="0050138F" w14:paraId="580DA2AB" w14:textId="77777777">
            <w:pPr>
              <w:keepNext/>
              <w:spacing w:after="0" w:line="240" w:lineRule="auto"/>
              <w:ind w:left="114" w:right="85" w:hanging="20"/>
              <w:jc w:val="center"/>
              <w:rPr>
                <w:rFonts w:ascii="Times New Roman" w:hAnsi="Times New Roman" w:cs="Times New Roman"/>
                <w:b/>
                <w:sz w:val="20"/>
                <w:szCs w:val="20"/>
              </w:rPr>
            </w:pPr>
            <w:r>
              <w:rPr>
                <w:rFonts w:ascii="Times New Roman" w:hAnsi="Times New Roman" w:cs="Times New Roman"/>
                <w:b/>
                <w:sz w:val="20"/>
                <w:szCs w:val="20"/>
              </w:rPr>
              <w:t>(A)</w:t>
            </w:r>
          </w:p>
        </w:tc>
        <w:tc>
          <w:tcPr>
            <w:tcW w:w="720" w:type="dxa"/>
            <w:shd w:val="clear" w:color="auto" w:fill="D9D9D9"/>
            <w:vAlign w:val="center"/>
          </w:tcPr>
          <w:p w:rsidR="00B60096" w:rsidP="0050138F" w14:paraId="1E264C8B"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Public Burden Hours</w:t>
            </w:r>
          </w:p>
          <w:p w:rsidR="003B3591" w:rsidRPr="00835820" w:rsidP="0050138F" w14:paraId="3E5342D8"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(B)</w:t>
            </w:r>
          </w:p>
        </w:tc>
        <w:tc>
          <w:tcPr>
            <w:tcW w:w="900" w:type="dxa"/>
            <w:shd w:val="clear" w:color="auto" w:fill="D9D9D9"/>
            <w:vAlign w:val="center"/>
          </w:tcPr>
          <w:p w:rsidR="00B60096" w:rsidP="0050138F" w14:paraId="1B3823D9"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Value per </w:t>
            </w:r>
            <w:r w:rsidR="008C1828">
              <w:rPr>
                <w:rFonts w:ascii="Times New Roman" w:hAnsi="Times New Roman" w:cs="Times New Roman"/>
                <w:b/>
                <w:sz w:val="20"/>
                <w:szCs w:val="20"/>
              </w:rPr>
              <w:t>Hour of Leisure</w:t>
            </w:r>
          </w:p>
          <w:p w:rsidR="003B3591" w:rsidRPr="00835820" w:rsidP="0050138F" w14:paraId="53C40B54"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w:t>
            </w:r>
          </w:p>
        </w:tc>
        <w:tc>
          <w:tcPr>
            <w:tcW w:w="1260" w:type="dxa"/>
            <w:shd w:val="clear" w:color="auto" w:fill="D9D9D9"/>
            <w:vAlign w:val="center"/>
          </w:tcPr>
          <w:p w:rsidR="00B60096" w:rsidP="0050138F" w14:paraId="22F38B01"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Cost </w:t>
            </w:r>
            <w:r w:rsidR="00A17CD9">
              <w:rPr>
                <w:rFonts w:ascii="Times New Roman" w:hAnsi="Times New Roman" w:cs="Times New Roman"/>
                <w:b/>
                <w:sz w:val="20"/>
                <w:szCs w:val="20"/>
              </w:rPr>
              <w:t>of</w:t>
            </w:r>
            <w:r>
              <w:rPr>
                <w:rFonts w:ascii="Times New Roman" w:hAnsi="Times New Roman" w:cs="Times New Roman"/>
                <w:b/>
                <w:sz w:val="20"/>
                <w:szCs w:val="20"/>
              </w:rPr>
              <w:t xml:space="preserve"> Travel to and from Facility</w:t>
            </w:r>
          </w:p>
          <w:p w:rsidR="003B3591" w:rsidRPr="00835820" w:rsidP="0050138F" w14:paraId="74287802"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w:t>
            </w:r>
          </w:p>
        </w:tc>
        <w:tc>
          <w:tcPr>
            <w:tcW w:w="1170" w:type="dxa"/>
            <w:shd w:val="clear" w:color="auto" w:fill="D9D9D9"/>
            <w:vAlign w:val="center"/>
          </w:tcPr>
          <w:p w:rsidR="00B60096" w:rsidP="0050138F" w14:paraId="4F90CBFA"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In-per</w:t>
            </w:r>
            <w:r w:rsidR="006D4C96">
              <w:rPr>
                <w:rFonts w:ascii="Times New Roman" w:hAnsi="Times New Roman" w:cs="Times New Roman"/>
                <w:b/>
                <w:sz w:val="20"/>
                <w:szCs w:val="20"/>
              </w:rPr>
              <w:t>son Share of</w:t>
            </w:r>
            <w:r>
              <w:rPr>
                <w:rFonts w:ascii="Times New Roman" w:hAnsi="Times New Roman" w:cs="Times New Roman"/>
                <w:b/>
                <w:sz w:val="20"/>
                <w:szCs w:val="20"/>
              </w:rPr>
              <w:t xml:space="preserve"> ID Verifications</w:t>
            </w:r>
          </w:p>
          <w:p w:rsidR="003B3591" w:rsidRPr="00835820" w:rsidP="0050138F" w14:paraId="00EE1B5A"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w:t>
            </w:r>
          </w:p>
        </w:tc>
        <w:tc>
          <w:tcPr>
            <w:tcW w:w="1620" w:type="dxa"/>
            <w:shd w:val="clear" w:color="auto" w:fill="D9D9D9"/>
            <w:vAlign w:val="center"/>
          </w:tcPr>
          <w:p w:rsidR="00B60096" w:rsidP="0050138F" w14:paraId="499C03E4" w14:textId="77777777">
            <w:pPr>
              <w:keepNext/>
              <w:spacing w:after="0" w:line="240" w:lineRule="auto"/>
              <w:ind w:left="91" w:right="169"/>
              <w:jc w:val="center"/>
              <w:rPr>
                <w:rFonts w:ascii="Times New Roman" w:hAnsi="Times New Roman" w:cs="Times New Roman"/>
                <w:b/>
                <w:sz w:val="20"/>
                <w:szCs w:val="20"/>
              </w:rPr>
            </w:pPr>
            <w:r>
              <w:rPr>
                <w:rFonts w:ascii="Times New Roman" w:hAnsi="Times New Roman" w:cs="Times New Roman"/>
                <w:b/>
                <w:sz w:val="20"/>
                <w:szCs w:val="20"/>
              </w:rPr>
              <w:t>Public</w:t>
            </w:r>
            <w:r w:rsidRPr="00835820">
              <w:rPr>
                <w:rFonts w:ascii="Times New Roman" w:hAnsi="Times New Roman" w:cs="Times New Roman"/>
                <w:b/>
                <w:sz w:val="20"/>
                <w:szCs w:val="20"/>
              </w:rPr>
              <w:t xml:space="preserve"> Cost</w:t>
            </w:r>
            <w:r>
              <w:rPr>
                <w:rFonts w:ascii="Times New Roman" w:hAnsi="Times New Roman" w:cs="Times New Roman"/>
                <w:b/>
                <w:sz w:val="20"/>
                <w:szCs w:val="20"/>
              </w:rPr>
              <w:t xml:space="preserve"> per ID Verification</w:t>
            </w:r>
          </w:p>
          <w:p w:rsidR="007465F6" w:rsidRPr="005A2CFA" w:rsidP="0050138F" w14:paraId="014E2484" w14:textId="77777777">
            <w:pPr>
              <w:keepNext/>
              <w:spacing w:after="0" w:line="240" w:lineRule="auto"/>
              <w:ind w:left="91" w:right="169"/>
              <w:jc w:val="center"/>
              <w:rPr>
                <w:rFonts w:ascii="Times New Roman" w:hAnsi="Times New Roman" w:cs="Times New Roman"/>
                <w:b/>
                <w:sz w:val="16"/>
                <w:szCs w:val="16"/>
              </w:rPr>
            </w:pPr>
            <w:r w:rsidRPr="005A2CFA">
              <w:rPr>
                <w:rFonts w:ascii="Times New Roman" w:hAnsi="Times New Roman" w:cs="Times New Roman"/>
                <w:b/>
                <w:sz w:val="16"/>
                <w:szCs w:val="16"/>
              </w:rPr>
              <w:t>(A x B x C + D x E)</w:t>
            </w:r>
          </w:p>
        </w:tc>
      </w:tr>
      <w:tr w14:paraId="408E9FB4" w14:textId="77777777" w:rsidTr="005A2CFA">
        <w:tblPrEx>
          <w:tblW w:w="7920" w:type="dxa"/>
          <w:jc w:val="center"/>
          <w:tblLayout w:type="fixed"/>
          <w:tblCellMar>
            <w:left w:w="0" w:type="dxa"/>
            <w:right w:w="0" w:type="dxa"/>
          </w:tblCellMar>
          <w:tblLook w:val="01E0"/>
        </w:tblPrEx>
        <w:trPr>
          <w:trHeight w:val="308"/>
          <w:jc w:val="center"/>
        </w:trPr>
        <w:tc>
          <w:tcPr>
            <w:tcW w:w="1080" w:type="dxa"/>
            <w:vAlign w:val="center"/>
          </w:tcPr>
          <w:p w:rsidR="0050138F" w:rsidRPr="00835820" w:rsidP="0050138F" w14:paraId="58572072" w14:textId="77777777">
            <w:pPr>
              <w:keepNext/>
              <w:spacing w:after="0" w:line="240" w:lineRule="auto"/>
              <w:ind w:left="180" w:right="87"/>
              <w:jc w:val="center"/>
              <w:rPr>
                <w:rFonts w:ascii="Times New Roman" w:hAnsi="Times New Roman" w:cs="Times New Roman"/>
                <w:sz w:val="20"/>
                <w:szCs w:val="20"/>
              </w:rPr>
            </w:pPr>
            <w:r>
              <w:rPr>
                <w:rFonts w:ascii="Times New Roman" w:hAnsi="Times New Roman" w:cs="Times New Roman"/>
                <w:sz w:val="20"/>
                <w:szCs w:val="20"/>
              </w:rPr>
              <w:t>Al</w:t>
            </w:r>
            <w:r w:rsidR="006D4C96">
              <w:rPr>
                <w:rFonts w:ascii="Times New Roman" w:hAnsi="Times New Roman" w:cs="Times New Roman"/>
                <w:sz w:val="20"/>
                <w:szCs w:val="20"/>
              </w:rPr>
              <w:t>l</w:t>
            </w:r>
          </w:p>
        </w:tc>
        <w:tc>
          <w:tcPr>
            <w:tcW w:w="1170" w:type="dxa"/>
            <w:vAlign w:val="center"/>
          </w:tcPr>
          <w:p w:rsidR="0050138F" w:rsidRPr="00835820" w:rsidP="0050138F" w14:paraId="2184AAA4" w14:textId="77777777">
            <w:pPr>
              <w:keepNext/>
              <w:spacing w:after="0" w:line="240" w:lineRule="auto"/>
              <w:ind w:left="277" w:right="267"/>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vAlign w:val="center"/>
          </w:tcPr>
          <w:p w:rsidR="0050138F" w:rsidRPr="00835820" w:rsidP="0050138F" w14:paraId="7993230D" w14:textId="77777777">
            <w:pPr>
              <w:keepNext/>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00" w:type="dxa"/>
            <w:vAlign w:val="center"/>
          </w:tcPr>
          <w:p w:rsidR="0050138F" w:rsidRPr="00835820" w:rsidP="0050138F" w14:paraId="1CB4A2E2" w14:textId="77777777">
            <w:pPr>
              <w:keepNext/>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w:t>
            </w:r>
            <w:r w:rsidR="00954985">
              <w:rPr>
                <w:rFonts w:ascii="Times New Roman" w:hAnsi="Times New Roman" w:cs="Times New Roman"/>
                <w:sz w:val="20"/>
                <w:szCs w:val="20"/>
              </w:rPr>
              <w:t>3</w:t>
            </w:r>
            <w:r w:rsidR="006A7C1F">
              <w:rPr>
                <w:rFonts w:ascii="Times New Roman" w:hAnsi="Times New Roman" w:cs="Times New Roman"/>
                <w:sz w:val="20"/>
                <w:szCs w:val="20"/>
              </w:rPr>
              <w:t>6.66</w:t>
            </w:r>
          </w:p>
        </w:tc>
        <w:tc>
          <w:tcPr>
            <w:tcW w:w="1260" w:type="dxa"/>
            <w:vAlign w:val="center"/>
          </w:tcPr>
          <w:p w:rsidR="0050138F" w:rsidRPr="00835820" w:rsidP="0050138F" w14:paraId="58D98700" w14:textId="77777777">
            <w:pPr>
              <w:keepNext/>
              <w:spacing w:after="0" w:line="240" w:lineRule="auto"/>
              <w:jc w:val="center"/>
              <w:rPr>
                <w:rFonts w:ascii="Times New Roman" w:hAnsi="Times New Roman" w:cs="Times New Roman"/>
                <w:sz w:val="20"/>
                <w:szCs w:val="20"/>
              </w:rPr>
            </w:pPr>
            <w:r w:rsidRPr="00835820">
              <w:rPr>
                <w:rFonts w:ascii="Times New Roman" w:hAnsi="Times New Roman" w:cs="Times New Roman"/>
                <w:sz w:val="20"/>
                <w:szCs w:val="20"/>
              </w:rPr>
              <w:t>$</w:t>
            </w:r>
            <w:r w:rsidR="00A17CD9">
              <w:rPr>
                <w:rFonts w:ascii="Times New Roman" w:hAnsi="Times New Roman" w:cs="Times New Roman"/>
                <w:sz w:val="20"/>
                <w:szCs w:val="20"/>
              </w:rPr>
              <w:t>11.79</w:t>
            </w:r>
          </w:p>
        </w:tc>
        <w:tc>
          <w:tcPr>
            <w:tcW w:w="1170" w:type="dxa"/>
            <w:vAlign w:val="center"/>
          </w:tcPr>
          <w:p w:rsidR="0050138F" w:rsidRPr="00835820" w:rsidP="0050138F" w14:paraId="2C1CEF1B" w14:textId="77777777">
            <w:pPr>
              <w:keepNext/>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620" w:type="dxa"/>
            <w:vAlign w:val="center"/>
          </w:tcPr>
          <w:p w:rsidR="0050138F" w:rsidRPr="00835820" w:rsidP="0050138F" w14:paraId="6D0DAC0F" w14:textId="77777777">
            <w:pPr>
              <w:keepNext/>
              <w:spacing w:after="0" w:line="240" w:lineRule="auto"/>
              <w:ind w:left="189" w:right="183"/>
              <w:jc w:val="center"/>
              <w:rPr>
                <w:rFonts w:ascii="Times New Roman" w:hAnsi="Times New Roman" w:cs="Times New Roman"/>
                <w:sz w:val="20"/>
                <w:szCs w:val="20"/>
              </w:rPr>
            </w:pPr>
            <w:r w:rsidRPr="00835820">
              <w:rPr>
                <w:rFonts w:ascii="Times New Roman" w:hAnsi="Times New Roman" w:cs="Times New Roman"/>
                <w:sz w:val="20"/>
                <w:szCs w:val="20"/>
              </w:rPr>
              <w:t>$</w:t>
            </w:r>
            <w:r w:rsidR="009C06B4">
              <w:rPr>
                <w:rFonts w:ascii="Times New Roman" w:hAnsi="Times New Roman" w:cs="Times New Roman"/>
                <w:sz w:val="20"/>
                <w:szCs w:val="20"/>
              </w:rPr>
              <w:t>4</w:t>
            </w:r>
            <w:r w:rsidR="006A7C1F">
              <w:rPr>
                <w:rFonts w:ascii="Times New Roman" w:hAnsi="Times New Roman" w:cs="Times New Roman"/>
                <w:sz w:val="20"/>
                <w:szCs w:val="20"/>
              </w:rPr>
              <w:t>2.56</w:t>
            </w:r>
          </w:p>
        </w:tc>
      </w:tr>
    </w:tbl>
    <w:p w:rsidR="00500BA1" w:rsidP="00500BA1" w14:paraId="3A9197BB" w14:textId="77777777"/>
    <w:p w:rsidR="00EF7CF0" w:rsidRPr="00347BE9" w:rsidP="004D4B61" w14:paraId="7E76A484" w14:textId="77777777">
      <w:pPr>
        <w:spacing w:after="0" w:line="240" w:lineRule="auto"/>
        <w:rPr>
          <w:rFonts w:ascii="Times New Roman" w:eastAsia="Calibri" w:hAnsi="Times New Roman" w:cs="Times New Roman"/>
        </w:rPr>
      </w:pPr>
      <w:r w:rsidRPr="00347BE9">
        <w:rPr>
          <w:rFonts w:ascii="Times New Roman" w:eastAsia="Calibri" w:hAnsi="Times New Roman" w:cs="Times New Roman"/>
        </w:rPr>
        <w:br w:type="page"/>
      </w:r>
    </w:p>
    <w:p w:rsidR="00435210" w:rsidP="00435210" w14:paraId="28925603" w14:textId="77777777">
      <w:pPr>
        <w:spacing w:line="288" w:lineRule="auto"/>
        <w:sectPr w:rsidSect="005379A2">
          <w:footerReference w:type="default" r:id="rId25"/>
          <w:pgSz w:w="12240" w:h="15840"/>
          <w:pgMar w:top="1500" w:right="1100" w:bottom="920" w:left="1160" w:header="0" w:footer="738" w:gutter="0"/>
          <w:pgNumType w:start="6"/>
          <w:cols w:space="720"/>
        </w:sectPr>
      </w:pPr>
    </w:p>
    <w:p w:rsidR="00F97F47" w:rsidP="000409BE" w14:paraId="10FA86E3" w14:textId="77777777">
      <w:pPr>
        <w:pStyle w:val="Heading1"/>
      </w:pPr>
      <w:bookmarkStart w:id="216" w:name="CHAPTER_5:__TOTAL_COSTS"/>
      <w:bookmarkStart w:id="217" w:name="_bookmark69"/>
      <w:bookmarkStart w:id="218" w:name="_Toc144303548"/>
      <w:bookmarkStart w:id="219" w:name="_Toc98856219"/>
      <w:bookmarkEnd w:id="216"/>
      <w:bookmarkEnd w:id="217"/>
      <w:r w:rsidRPr="00200686">
        <w:t>CHAPT</w:t>
      </w:r>
      <w:r w:rsidRPr="005051E9">
        <w:t>ER 5</w:t>
      </w:r>
      <w:r w:rsidR="00BF42A8">
        <w:t>: Total Estimated Costs</w:t>
      </w:r>
      <w:r w:rsidR="00045CAD">
        <w:t xml:space="preserve"> of the </w:t>
      </w:r>
      <w:r w:rsidR="00AF31FC">
        <w:t xml:space="preserve">Final </w:t>
      </w:r>
      <w:r w:rsidRPr="007B78B6" w:rsidR="00045CAD">
        <w:t>Rule</w:t>
      </w:r>
      <w:bookmarkEnd w:id="218"/>
    </w:p>
    <w:bookmarkEnd w:id="219"/>
    <w:p w:rsidR="00435210" w:rsidRPr="00BF4D0A" w:rsidP="00576F93" w14:paraId="7615651D" w14:textId="77777777">
      <w:pPr>
        <w:spacing w:after="0" w:line="240" w:lineRule="auto"/>
        <w:ind w:right="389"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 xml:space="preserve">This chapter presents the </w:t>
      </w:r>
      <w:r w:rsidRPr="00BF4D0A" w:rsidR="00813277">
        <w:rPr>
          <w:rFonts w:ascii="Times New Roman" w:hAnsi="Times New Roman" w:cs="Times New Roman"/>
        </w:rPr>
        <w:t>estimate</w:t>
      </w:r>
      <w:r w:rsidRPr="00BF4D0A" w:rsidR="009F4534">
        <w:rPr>
          <w:rFonts w:ascii="Times New Roman" w:hAnsi="Times New Roman" w:cs="Times New Roman"/>
        </w:rPr>
        <w:t>d</w:t>
      </w:r>
      <w:r w:rsidRPr="00BF4D0A" w:rsidR="00813277">
        <w:rPr>
          <w:rFonts w:ascii="Times New Roman" w:hAnsi="Times New Roman" w:cs="Times New Roman"/>
        </w:rPr>
        <w:t xml:space="preserve"> </w:t>
      </w:r>
      <w:r w:rsidRPr="00BF4D0A">
        <w:rPr>
          <w:rFonts w:ascii="Times New Roman" w:hAnsi="Times New Roman" w:cs="Times New Roman"/>
        </w:rPr>
        <w:t xml:space="preserve">costs of </w:t>
      </w:r>
      <w:r w:rsidRPr="00BF4D0A" w:rsidR="006E2FEC">
        <w:rPr>
          <w:rFonts w:ascii="Times New Roman" w:hAnsi="Times New Roman" w:cs="Times New Roman"/>
        </w:rPr>
        <w:t>each</w:t>
      </w:r>
      <w:r w:rsidRPr="00BF4D0A" w:rsidR="00200686">
        <w:rPr>
          <w:rFonts w:ascii="Times New Roman" w:hAnsi="Times New Roman" w:cs="Times New Roman"/>
        </w:rPr>
        <w:t xml:space="preserve"> </w:t>
      </w:r>
      <w:r w:rsidR="00AF31FC">
        <w:rPr>
          <w:rFonts w:ascii="Times New Roman" w:hAnsi="Times New Roman" w:cs="Times New Roman"/>
        </w:rPr>
        <w:t>final</w:t>
      </w:r>
      <w:r w:rsidRPr="00BF4D0A" w:rsidR="00AF31FC">
        <w:rPr>
          <w:rFonts w:ascii="Times New Roman" w:hAnsi="Times New Roman" w:cs="Times New Roman"/>
        </w:rPr>
        <w:t xml:space="preserve"> </w:t>
      </w:r>
      <w:r w:rsidRPr="00BF4D0A" w:rsidR="00200686">
        <w:rPr>
          <w:rFonts w:ascii="Times New Roman" w:hAnsi="Times New Roman" w:cs="Times New Roman"/>
        </w:rPr>
        <w:t>rule provision</w:t>
      </w:r>
      <w:r w:rsidRPr="00BF4D0A" w:rsidR="00EF0743">
        <w:rPr>
          <w:rFonts w:ascii="Times New Roman" w:hAnsi="Times New Roman" w:cs="Times New Roman"/>
        </w:rPr>
        <w:t xml:space="preserve"> </w:t>
      </w:r>
      <w:r w:rsidRPr="00BF4D0A">
        <w:rPr>
          <w:rFonts w:ascii="Times New Roman" w:hAnsi="Times New Roman" w:cs="Times New Roman"/>
        </w:rPr>
        <w:t>as well as</w:t>
      </w:r>
      <w:r w:rsidRPr="00BF4D0A" w:rsidR="00813277">
        <w:rPr>
          <w:rFonts w:ascii="Times New Roman" w:hAnsi="Times New Roman" w:cs="Times New Roman"/>
        </w:rPr>
        <w:t xml:space="preserve"> estimated</w:t>
      </w:r>
      <w:r w:rsidRPr="00BF4D0A">
        <w:rPr>
          <w:rFonts w:ascii="Times New Roman" w:hAnsi="Times New Roman" w:cs="Times New Roman"/>
        </w:rPr>
        <w:t xml:space="preserve"> total, undiscounted, discounted, and annualized</w:t>
      </w:r>
      <w:r w:rsidRPr="00BF4D0A" w:rsidR="00C96ED3">
        <w:rPr>
          <w:rFonts w:ascii="Times New Roman" w:hAnsi="Times New Roman" w:cs="Times New Roman"/>
        </w:rPr>
        <w:t xml:space="preserve"> </w:t>
      </w:r>
      <w:r w:rsidR="00C62FA2">
        <w:rPr>
          <w:rFonts w:ascii="Times New Roman" w:hAnsi="Times New Roman" w:cs="Times New Roman"/>
        </w:rPr>
        <w:t>final</w:t>
      </w:r>
      <w:r w:rsidRPr="00BF4D0A" w:rsidR="00C62FA2">
        <w:rPr>
          <w:rFonts w:ascii="Times New Roman" w:hAnsi="Times New Roman" w:cs="Times New Roman"/>
        </w:rPr>
        <w:t xml:space="preserve"> </w:t>
      </w:r>
      <w:r w:rsidRPr="00BF4D0A" w:rsidR="00EF0743">
        <w:rPr>
          <w:rFonts w:ascii="Times New Roman" w:hAnsi="Times New Roman" w:cs="Times New Roman"/>
        </w:rPr>
        <w:t xml:space="preserve">rule </w:t>
      </w:r>
      <w:r w:rsidRPr="00BF4D0A" w:rsidR="00C96ED3">
        <w:rPr>
          <w:rFonts w:ascii="Times New Roman" w:hAnsi="Times New Roman" w:cs="Times New Roman"/>
        </w:rPr>
        <w:t>costs</w:t>
      </w:r>
      <w:r w:rsidRPr="00BF4D0A">
        <w:rPr>
          <w:rFonts w:ascii="Times New Roman" w:hAnsi="Times New Roman" w:cs="Times New Roman"/>
        </w:rPr>
        <w:t xml:space="preserve"> projected over 10 years and discounted at 3 percent and 7 percent</w:t>
      </w:r>
      <w:r w:rsidRPr="00BF4D0A" w:rsidR="00EF0743">
        <w:rPr>
          <w:rFonts w:ascii="Times New Roman" w:hAnsi="Times New Roman" w:cs="Times New Roman"/>
        </w:rPr>
        <w:t>, as required by the Office of Management and Budget</w:t>
      </w:r>
      <w:r w:rsidRPr="00BF4D0A" w:rsidR="00C45259">
        <w:rPr>
          <w:rFonts w:ascii="Times New Roman" w:hAnsi="Times New Roman" w:cs="Times New Roman"/>
        </w:rPr>
        <w:t xml:space="preserve"> (OMB).</w:t>
      </w:r>
      <w:r>
        <w:rPr>
          <w:rStyle w:val="FootnoteReference"/>
          <w:rFonts w:ascii="Times New Roman" w:hAnsi="Times New Roman" w:cs="Times New Roman"/>
        </w:rPr>
        <w:footnoteReference w:id="120"/>
      </w:r>
      <w:r w:rsidRPr="00BF4D0A">
        <w:rPr>
          <w:rFonts w:ascii="Times New Roman" w:hAnsi="Times New Roman" w:cs="Times New Roman"/>
        </w:rPr>
        <w:t xml:space="preserve"> The </w:t>
      </w:r>
      <w:r w:rsidRPr="00BF4D0A" w:rsidR="00F9541E">
        <w:rPr>
          <w:rFonts w:ascii="Times New Roman" w:hAnsi="Times New Roman" w:cs="Times New Roman"/>
        </w:rPr>
        <w:t xml:space="preserve">10-year </w:t>
      </w:r>
      <w:r w:rsidRPr="00BF4D0A" w:rsidR="00EF0743">
        <w:rPr>
          <w:rFonts w:ascii="Times New Roman" w:hAnsi="Times New Roman" w:cs="Times New Roman"/>
        </w:rPr>
        <w:t>annualization</w:t>
      </w:r>
      <w:r w:rsidRPr="00BF4D0A">
        <w:rPr>
          <w:rFonts w:ascii="Times New Roman" w:hAnsi="Times New Roman" w:cs="Times New Roman"/>
        </w:rPr>
        <w:t xml:space="preserve"> period was chosen because</w:t>
      </w:r>
      <w:r w:rsidRPr="00BF4D0A" w:rsidR="00EA23F3">
        <w:rPr>
          <w:rFonts w:ascii="Times New Roman" w:hAnsi="Times New Roman" w:cs="Times New Roman"/>
        </w:rPr>
        <w:t xml:space="preserve"> it covers two </w:t>
      </w:r>
      <w:r w:rsidR="006E4A32">
        <w:rPr>
          <w:rFonts w:ascii="Times New Roman" w:hAnsi="Times New Roman" w:cs="Times New Roman"/>
        </w:rPr>
        <w:t>PHA</w:t>
      </w:r>
      <w:r w:rsidRPr="00BF4D0A" w:rsidR="00EA23F3">
        <w:rPr>
          <w:rFonts w:ascii="Times New Roman" w:hAnsi="Times New Roman" w:cs="Times New Roman"/>
        </w:rPr>
        <w:t xml:space="preserve"> cycles</w:t>
      </w:r>
      <w:r w:rsidR="006E4A32">
        <w:rPr>
          <w:rFonts w:ascii="Times New Roman" w:hAnsi="Times New Roman" w:cs="Times New Roman"/>
        </w:rPr>
        <w:t xml:space="preserve">, </w:t>
      </w:r>
      <w:r w:rsidR="003A571A">
        <w:rPr>
          <w:rFonts w:ascii="Times New Roman" w:hAnsi="Times New Roman" w:cs="Times New Roman"/>
        </w:rPr>
        <w:t xml:space="preserve">and of </w:t>
      </w:r>
      <w:r w:rsidRPr="00BF4D0A">
        <w:rPr>
          <w:rFonts w:ascii="Times New Roman" w:hAnsi="Times New Roman" w:cs="Times New Roman"/>
        </w:rPr>
        <w:t>the activities</w:t>
      </w:r>
      <w:r w:rsidR="003A571A">
        <w:rPr>
          <w:rFonts w:ascii="Times New Roman" w:hAnsi="Times New Roman" w:cs="Times New Roman"/>
        </w:rPr>
        <w:t xml:space="preserve"> required b</w:t>
      </w:r>
      <w:r w:rsidR="00790ABE">
        <w:rPr>
          <w:rFonts w:ascii="Times New Roman" w:hAnsi="Times New Roman" w:cs="Times New Roman"/>
        </w:rPr>
        <w:t>y</w:t>
      </w:r>
      <w:r w:rsidR="003A571A">
        <w:rPr>
          <w:rFonts w:ascii="Times New Roman" w:hAnsi="Times New Roman" w:cs="Times New Roman"/>
        </w:rPr>
        <w:t xml:space="preserve"> the final rule that</w:t>
      </w:r>
      <w:r w:rsidRPr="00BF4D0A">
        <w:rPr>
          <w:rFonts w:ascii="Times New Roman" w:hAnsi="Times New Roman" w:cs="Times New Roman"/>
        </w:rPr>
        <w:t xml:space="preserve"> occur</w:t>
      </w:r>
      <w:r w:rsidR="00790ABE">
        <w:rPr>
          <w:rFonts w:ascii="Times New Roman" w:hAnsi="Times New Roman" w:cs="Times New Roman"/>
        </w:rPr>
        <w:t xml:space="preserve"> the</w:t>
      </w:r>
      <w:r w:rsidRPr="00BF4D0A" w:rsidR="00EA23F3">
        <w:rPr>
          <w:rFonts w:ascii="Times New Roman" w:hAnsi="Times New Roman" w:cs="Times New Roman"/>
        </w:rPr>
        <w:t xml:space="preserve"> least frequently</w:t>
      </w:r>
      <w:r w:rsidR="00790ABE">
        <w:rPr>
          <w:rFonts w:ascii="Times New Roman" w:hAnsi="Times New Roman" w:cs="Times New Roman"/>
        </w:rPr>
        <w:t>; that is</w:t>
      </w:r>
      <w:r w:rsidRPr="00BF4D0A" w:rsidR="00EA23F3">
        <w:rPr>
          <w:rFonts w:ascii="Times New Roman" w:hAnsi="Times New Roman" w:cs="Times New Roman"/>
        </w:rPr>
        <w:t>,</w:t>
      </w:r>
      <w:r w:rsidRPr="00BF4D0A">
        <w:rPr>
          <w:rFonts w:ascii="Times New Roman" w:hAnsi="Times New Roman" w:cs="Times New Roman"/>
        </w:rPr>
        <w:t xml:space="preserve"> every five years.</w:t>
      </w:r>
      <w:r w:rsidRPr="00BF4D0A" w:rsidR="00691603">
        <w:rPr>
          <w:rFonts w:ascii="Times New Roman" w:hAnsi="Times New Roman" w:cs="Times New Roman"/>
        </w:rPr>
        <w:t xml:space="preserve"> Total </w:t>
      </w:r>
      <w:r w:rsidRPr="00BF4D0A" w:rsidR="00EA23F3">
        <w:rPr>
          <w:rFonts w:ascii="Times New Roman" w:hAnsi="Times New Roman" w:cs="Times New Roman"/>
        </w:rPr>
        <w:t xml:space="preserve">estimated </w:t>
      </w:r>
      <w:r w:rsidRPr="00BF4D0A" w:rsidR="00691603">
        <w:rPr>
          <w:rFonts w:ascii="Times New Roman" w:hAnsi="Times New Roman" w:cs="Times New Roman"/>
        </w:rPr>
        <w:t xml:space="preserve">costs are developed by applying the </w:t>
      </w:r>
      <w:r w:rsidRPr="00BF4D0A" w:rsidR="008441BA">
        <w:rPr>
          <w:rFonts w:ascii="Times New Roman" w:hAnsi="Times New Roman" w:cs="Times New Roman"/>
        </w:rPr>
        <w:t xml:space="preserve">estimated </w:t>
      </w:r>
      <w:r w:rsidRPr="00BF4D0A" w:rsidR="00691603">
        <w:rPr>
          <w:rFonts w:ascii="Times New Roman" w:hAnsi="Times New Roman" w:cs="Times New Roman"/>
        </w:rPr>
        <w:t xml:space="preserve">unit costs discussed in Chapter 4 to the </w:t>
      </w:r>
      <w:r w:rsidRPr="00BF4D0A" w:rsidR="00395E92">
        <w:rPr>
          <w:rFonts w:ascii="Times New Roman" w:hAnsi="Times New Roman" w:cs="Times New Roman"/>
        </w:rPr>
        <w:t xml:space="preserve">universe of </w:t>
      </w:r>
      <w:r w:rsidRPr="00BF4D0A" w:rsidR="00A83261">
        <w:rPr>
          <w:rFonts w:ascii="Times New Roman" w:hAnsi="Times New Roman" w:cs="Times New Roman"/>
        </w:rPr>
        <w:t xml:space="preserve">affected </w:t>
      </w:r>
      <w:r w:rsidRPr="00BF4D0A" w:rsidR="00395E92">
        <w:rPr>
          <w:rFonts w:ascii="Times New Roman" w:hAnsi="Times New Roman" w:cs="Times New Roman"/>
        </w:rPr>
        <w:t>facilities</w:t>
      </w:r>
      <w:r w:rsidRPr="00BF4D0A" w:rsidR="00A83261">
        <w:rPr>
          <w:rFonts w:ascii="Times New Roman" w:hAnsi="Times New Roman" w:cs="Times New Roman"/>
        </w:rPr>
        <w:t xml:space="preserve"> </w:t>
      </w:r>
      <w:r w:rsidRPr="00BF4D0A" w:rsidR="00395E92">
        <w:rPr>
          <w:rFonts w:ascii="Times New Roman" w:hAnsi="Times New Roman" w:cs="Times New Roman"/>
        </w:rPr>
        <w:t>presented</w:t>
      </w:r>
      <w:r w:rsidRPr="00BF4D0A" w:rsidR="00A83261">
        <w:rPr>
          <w:rFonts w:ascii="Times New Roman" w:hAnsi="Times New Roman" w:cs="Times New Roman"/>
        </w:rPr>
        <w:t xml:space="preserve"> in Chapter 3.</w:t>
      </w:r>
    </w:p>
    <w:p w:rsidR="00576F93" w:rsidP="00576F93" w14:paraId="2DD501A6" w14:textId="77777777">
      <w:pPr>
        <w:spacing w:after="0" w:line="240" w:lineRule="auto"/>
        <w:ind w:right="389" w:firstLine="360"/>
        <w:rPr>
          <w:rFonts w:ascii="Times New Roman" w:hAnsi="Times New Roman" w:cs="Times New Roman"/>
        </w:rPr>
      </w:pPr>
    </w:p>
    <w:p w:rsidR="00435210" w:rsidRPr="00BF4D0A" w:rsidP="00576F93" w14:paraId="5FACF75F" w14:textId="77777777">
      <w:pPr>
        <w:spacing w:after="0" w:line="240" w:lineRule="auto"/>
        <w:ind w:right="389" w:firstLine="360"/>
        <w:rPr>
          <w:rFonts w:ascii="Times New Roman" w:hAnsi="Times New Roman" w:cs="Times New Roman"/>
        </w:rPr>
      </w:pPr>
      <w:r w:rsidRPr="00BF4D0A">
        <w:rPr>
          <w:rFonts w:ascii="Times New Roman" w:hAnsi="Times New Roman" w:cs="Times New Roman"/>
        </w:rPr>
        <w:t>This chapter is organized as follows:</w:t>
      </w:r>
    </w:p>
    <w:p w:rsidR="00435210" w:rsidRPr="00BF4D0A" w:rsidP="009C49A0" w14:paraId="099AEEF3" w14:textId="77777777">
      <w:pPr>
        <w:numPr>
          <w:ilvl w:val="0"/>
          <w:numId w:val="4"/>
        </w:numPr>
        <w:spacing w:after="0" w:line="240" w:lineRule="auto"/>
        <w:rPr>
          <w:rFonts w:ascii="Times New Roman" w:hAnsi="Times New Roman" w:cs="Times New Roman"/>
        </w:rPr>
      </w:pPr>
      <w:r w:rsidRPr="00BF4D0A">
        <w:rPr>
          <w:rFonts w:ascii="Times New Roman" w:hAnsi="Times New Roman" w:cs="Times New Roman"/>
        </w:rPr>
        <w:t>Section 5.1 presents the broad analytical assumptions used in the analysis focusing primarily on the annual frequency of rule provision activities.</w:t>
      </w:r>
    </w:p>
    <w:p w:rsidR="00435210" w:rsidRPr="00BF4D0A" w:rsidP="009C49A0" w14:paraId="17CDA849" w14:textId="77777777">
      <w:pPr>
        <w:numPr>
          <w:ilvl w:val="0"/>
          <w:numId w:val="4"/>
        </w:numPr>
        <w:spacing w:after="0" w:line="240" w:lineRule="auto"/>
        <w:rPr>
          <w:rFonts w:ascii="Times New Roman" w:hAnsi="Times New Roman" w:cs="Times New Roman"/>
        </w:rPr>
      </w:pPr>
      <w:r w:rsidRPr="00BF4D0A">
        <w:rPr>
          <w:rFonts w:ascii="Times New Roman" w:hAnsi="Times New Roman" w:cs="Times New Roman"/>
        </w:rPr>
        <w:t xml:space="preserve">Section 5.2 </w:t>
      </w:r>
      <w:r w:rsidRPr="00BF4D0A" w:rsidR="008441BA">
        <w:rPr>
          <w:rFonts w:ascii="Times New Roman" w:hAnsi="Times New Roman" w:cs="Times New Roman"/>
        </w:rPr>
        <w:t>presents</w:t>
      </w:r>
      <w:r w:rsidRPr="00BF4D0A">
        <w:rPr>
          <w:rFonts w:ascii="Times New Roman" w:hAnsi="Times New Roman" w:cs="Times New Roman"/>
        </w:rPr>
        <w:t xml:space="preserve"> the </w:t>
      </w:r>
      <w:r w:rsidRPr="00BF4D0A" w:rsidR="00584894">
        <w:rPr>
          <w:rFonts w:ascii="Times New Roman" w:hAnsi="Times New Roman" w:cs="Times New Roman"/>
        </w:rPr>
        <w:t xml:space="preserve">estimated </w:t>
      </w:r>
      <w:r w:rsidRPr="00BF4D0A">
        <w:rPr>
          <w:rFonts w:ascii="Times New Roman" w:hAnsi="Times New Roman" w:cs="Times New Roman"/>
        </w:rPr>
        <w:t>rule familiarization costs.</w:t>
      </w:r>
    </w:p>
    <w:p w:rsidR="00200686" w:rsidRPr="00BF4D0A" w:rsidP="009C49A0" w14:paraId="47BDC15A" w14:textId="77777777">
      <w:pPr>
        <w:numPr>
          <w:ilvl w:val="0"/>
          <w:numId w:val="4"/>
        </w:numPr>
        <w:spacing w:after="0" w:line="240" w:lineRule="auto"/>
        <w:rPr>
          <w:rFonts w:ascii="Times New Roman" w:hAnsi="Times New Roman" w:cs="Times New Roman"/>
        </w:rPr>
      </w:pPr>
      <w:r w:rsidRPr="00BF4D0A">
        <w:rPr>
          <w:rFonts w:ascii="Times New Roman" w:hAnsi="Times New Roman" w:cs="Times New Roman"/>
        </w:rPr>
        <w:t>Section 5.3 describes the</w:t>
      </w:r>
      <w:r w:rsidRPr="00BF4D0A" w:rsidR="00584894">
        <w:rPr>
          <w:rFonts w:ascii="Times New Roman" w:hAnsi="Times New Roman" w:cs="Times New Roman"/>
        </w:rPr>
        <w:t xml:space="preserve"> estimated</w:t>
      </w:r>
      <w:r w:rsidRPr="00BF4D0A">
        <w:rPr>
          <w:rFonts w:ascii="Times New Roman" w:hAnsi="Times New Roman" w:cs="Times New Roman"/>
        </w:rPr>
        <w:t xml:space="preserve"> </w:t>
      </w:r>
      <w:r w:rsidRPr="00BF4D0A" w:rsidR="00584894">
        <w:rPr>
          <w:rFonts w:ascii="Times New Roman" w:hAnsi="Times New Roman" w:cs="Times New Roman"/>
        </w:rPr>
        <w:t xml:space="preserve">total </w:t>
      </w:r>
      <w:r w:rsidRPr="00BF4D0A">
        <w:rPr>
          <w:rFonts w:ascii="Times New Roman" w:hAnsi="Times New Roman" w:cs="Times New Roman"/>
        </w:rPr>
        <w:t xml:space="preserve">costs for </w:t>
      </w:r>
      <w:r w:rsidR="00351B42">
        <w:rPr>
          <w:rFonts w:ascii="Times New Roman" w:hAnsi="Times New Roman" w:cs="Times New Roman"/>
        </w:rPr>
        <w:t>new prevention</w:t>
      </w:r>
      <w:r w:rsidR="00064A3A">
        <w:rPr>
          <w:rFonts w:ascii="Times New Roman" w:hAnsi="Times New Roman" w:cs="Times New Roman"/>
        </w:rPr>
        <w:t xml:space="preserve"> program</w:t>
      </w:r>
      <w:r w:rsidR="00351B42">
        <w:rPr>
          <w:rFonts w:ascii="Times New Roman" w:hAnsi="Times New Roman" w:cs="Times New Roman"/>
        </w:rPr>
        <w:t xml:space="preserve"> rule provisions, including </w:t>
      </w:r>
      <w:r w:rsidRPr="00BF4D0A" w:rsidR="00B7091A">
        <w:rPr>
          <w:rFonts w:ascii="Times New Roman" w:hAnsi="Times New Roman" w:cs="Times New Roman"/>
        </w:rPr>
        <w:t>STAA</w:t>
      </w:r>
      <w:r w:rsidR="00B7091A">
        <w:rPr>
          <w:rFonts w:ascii="Times New Roman" w:hAnsi="Times New Roman" w:cs="Times New Roman"/>
        </w:rPr>
        <w:t xml:space="preserve">, root cause analysis, </w:t>
      </w:r>
      <w:r w:rsidRPr="00BF4D0A" w:rsidR="00B7091A">
        <w:rPr>
          <w:rFonts w:ascii="Times New Roman" w:hAnsi="Times New Roman" w:cs="Times New Roman"/>
        </w:rPr>
        <w:t>third-party audit</w:t>
      </w:r>
      <w:r w:rsidR="004A1FF3">
        <w:rPr>
          <w:rFonts w:ascii="Times New Roman" w:hAnsi="Times New Roman" w:cs="Times New Roman"/>
        </w:rPr>
        <w:t>s,</w:t>
      </w:r>
      <w:r w:rsidRPr="00BF4D0A">
        <w:rPr>
          <w:rFonts w:ascii="Times New Roman" w:hAnsi="Times New Roman" w:cs="Times New Roman"/>
        </w:rPr>
        <w:t xml:space="preserve"> </w:t>
      </w:r>
      <w:r w:rsidR="00B7091A">
        <w:rPr>
          <w:rFonts w:ascii="Times New Roman" w:hAnsi="Times New Roman" w:cs="Times New Roman"/>
        </w:rPr>
        <w:t xml:space="preserve">the </w:t>
      </w:r>
      <w:r w:rsidRPr="00BF4D0A" w:rsidR="008441BA">
        <w:rPr>
          <w:rFonts w:ascii="Times New Roman" w:hAnsi="Times New Roman" w:cs="Times New Roman"/>
        </w:rPr>
        <w:t>employee participation plan</w:t>
      </w:r>
      <w:r w:rsidR="004A1FF3">
        <w:rPr>
          <w:rFonts w:ascii="Times New Roman" w:hAnsi="Times New Roman" w:cs="Times New Roman"/>
        </w:rPr>
        <w:t xml:space="preserve">, and </w:t>
      </w:r>
      <w:r w:rsidR="00B10E67">
        <w:rPr>
          <w:rFonts w:ascii="Times New Roman" w:hAnsi="Times New Roman" w:cs="Times New Roman"/>
        </w:rPr>
        <w:t>perimeter monitor backup power</w:t>
      </w:r>
      <w:r w:rsidRPr="00BF4D0A">
        <w:rPr>
          <w:rFonts w:ascii="Times New Roman" w:hAnsi="Times New Roman" w:cs="Times New Roman"/>
        </w:rPr>
        <w:t>.</w:t>
      </w:r>
    </w:p>
    <w:p w:rsidR="00200686" w:rsidRPr="00BF4D0A" w:rsidP="009C49A0" w14:paraId="55AF6273" w14:textId="77777777">
      <w:pPr>
        <w:numPr>
          <w:ilvl w:val="0"/>
          <w:numId w:val="4"/>
        </w:numPr>
        <w:spacing w:after="0" w:line="240" w:lineRule="auto"/>
        <w:rPr>
          <w:rFonts w:ascii="Times New Roman" w:hAnsi="Times New Roman" w:cs="Times New Roman"/>
        </w:rPr>
      </w:pPr>
      <w:r w:rsidRPr="00BF4D0A">
        <w:rPr>
          <w:rFonts w:ascii="Times New Roman" w:hAnsi="Times New Roman" w:cs="Times New Roman"/>
        </w:rPr>
        <w:t xml:space="preserve">Section 5.4 describes the </w:t>
      </w:r>
      <w:r w:rsidRPr="00BF4D0A" w:rsidR="00584894">
        <w:rPr>
          <w:rFonts w:ascii="Times New Roman" w:hAnsi="Times New Roman" w:cs="Times New Roman"/>
        </w:rPr>
        <w:t xml:space="preserve">estimated </w:t>
      </w:r>
      <w:r w:rsidRPr="00BF4D0A">
        <w:rPr>
          <w:rFonts w:ascii="Times New Roman" w:hAnsi="Times New Roman" w:cs="Times New Roman"/>
        </w:rPr>
        <w:t>total costs associated with the</w:t>
      </w:r>
      <w:r w:rsidR="00351B42">
        <w:rPr>
          <w:rFonts w:ascii="Times New Roman" w:hAnsi="Times New Roman" w:cs="Times New Roman"/>
        </w:rPr>
        <w:t xml:space="preserve"> emergency response</w:t>
      </w:r>
      <w:r w:rsidR="002B21F6">
        <w:rPr>
          <w:rFonts w:ascii="Times New Roman" w:hAnsi="Times New Roman" w:cs="Times New Roman"/>
        </w:rPr>
        <w:t xml:space="preserve"> provisions in the</w:t>
      </w:r>
      <w:r w:rsidRPr="00BF4D0A">
        <w:rPr>
          <w:rFonts w:ascii="Times New Roman" w:hAnsi="Times New Roman" w:cs="Times New Roman"/>
        </w:rPr>
        <w:t xml:space="preserve"> </w:t>
      </w:r>
      <w:r w:rsidR="000D1C7C">
        <w:rPr>
          <w:rFonts w:ascii="Times New Roman" w:hAnsi="Times New Roman" w:cs="Times New Roman"/>
        </w:rPr>
        <w:t>final</w:t>
      </w:r>
      <w:r w:rsidRPr="00BF4D0A" w:rsidR="000D1C7C">
        <w:rPr>
          <w:rFonts w:ascii="Times New Roman" w:hAnsi="Times New Roman" w:cs="Times New Roman"/>
        </w:rPr>
        <w:t xml:space="preserve"> </w:t>
      </w:r>
      <w:r w:rsidR="00351B42">
        <w:rPr>
          <w:rFonts w:ascii="Times New Roman" w:hAnsi="Times New Roman" w:cs="Times New Roman"/>
        </w:rPr>
        <w:t>rule</w:t>
      </w:r>
      <w:r w:rsidR="004A1FF3">
        <w:rPr>
          <w:rFonts w:ascii="Times New Roman" w:hAnsi="Times New Roman" w:cs="Times New Roman"/>
        </w:rPr>
        <w:t>.</w:t>
      </w:r>
    </w:p>
    <w:p w:rsidR="00200686" w:rsidRPr="00BF4D0A" w:rsidP="009C49A0" w14:paraId="4460BDED" w14:textId="77777777">
      <w:pPr>
        <w:numPr>
          <w:ilvl w:val="0"/>
          <w:numId w:val="4"/>
        </w:numPr>
        <w:spacing w:after="0" w:line="240" w:lineRule="auto"/>
        <w:rPr>
          <w:rFonts w:ascii="Times New Roman" w:hAnsi="Times New Roman" w:cs="Times New Roman"/>
        </w:rPr>
      </w:pPr>
      <w:r w:rsidRPr="00BF4D0A">
        <w:rPr>
          <w:rFonts w:ascii="Times New Roman" w:hAnsi="Times New Roman" w:cs="Times New Roman"/>
        </w:rPr>
        <w:t>Section 5.5 describes the</w:t>
      </w:r>
      <w:r w:rsidRPr="00BF4D0A" w:rsidR="00F158B9">
        <w:rPr>
          <w:rFonts w:ascii="Times New Roman" w:hAnsi="Times New Roman" w:cs="Times New Roman"/>
        </w:rPr>
        <w:t xml:space="preserve"> estimated</w:t>
      </w:r>
      <w:r w:rsidRPr="00BF4D0A">
        <w:rPr>
          <w:rFonts w:ascii="Times New Roman" w:hAnsi="Times New Roman" w:cs="Times New Roman"/>
        </w:rPr>
        <w:t xml:space="preserve"> total costs associated with the </w:t>
      </w:r>
      <w:r w:rsidR="000D1C7C">
        <w:rPr>
          <w:rFonts w:ascii="Times New Roman" w:hAnsi="Times New Roman" w:cs="Times New Roman"/>
        </w:rPr>
        <w:t>final</w:t>
      </w:r>
      <w:r w:rsidRPr="00BF4D0A" w:rsidR="000D1C7C">
        <w:rPr>
          <w:rFonts w:ascii="Times New Roman" w:hAnsi="Times New Roman" w:cs="Times New Roman"/>
        </w:rPr>
        <w:t xml:space="preserve"> </w:t>
      </w:r>
      <w:r w:rsidRPr="00BF4D0A">
        <w:rPr>
          <w:rFonts w:ascii="Times New Roman" w:hAnsi="Times New Roman" w:cs="Times New Roman"/>
        </w:rPr>
        <w:t xml:space="preserve">provision for information </w:t>
      </w:r>
      <w:r w:rsidR="00351B42">
        <w:rPr>
          <w:rFonts w:ascii="Times New Roman" w:hAnsi="Times New Roman" w:cs="Times New Roman"/>
        </w:rPr>
        <w:t xml:space="preserve">availability. </w:t>
      </w:r>
    </w:p>
    <w:p w:rsidR="00645D2B" w:rsidRPr="00BF4D0A" w:rsidP="009C49A0" w14:paraId="4E63195E" w14:textId="77777777">
      <w:pPr>
        <w:numPr>
          <w:ilvl w:val="0"/>
          <w:numId w:val="4"/>
        </w:numPr>
        <w:spacing w:after="0" w:line="240" w:lineRule="auto"/>
        <w:rPr>
          <w:rFonts w:ascii="Times New Roman" w:hAnsi="Times New Roman" w:cs="Times New Roman"/>
        </w:rPr>
      </w:pPr>
      <w:r w:rsidRPr="00BF4D0A">
        <w:rPr>
          <w:rFonts w:ascii="Times New Roman" w:hAnsi="Times New Roman" w:cs="Times New Roman"/>
        </w:rPr>
        <w:t xml:space="preserve">Section 5.6 </w:t>
      </w:r>
      <w:r>
        <w:rPr>
          <w:rFonts w:ascii="Times New Roman" w:hAnsi="Times New Roman" w:cs="Times New Roman"/>
        </w:rPr>
        <w:t>describes the total costs associated with final rule provisions requiring justifications</w:t>
      </w:r>
      <w:r w:rsidRPr="00BF4D0A">
        <w:rPr>
          <w:rFonts w:ascii="Times New Roman" w:hAnsi="Times New Roman" w:cs="Times New Roman"/>
        </w:rPr>
        <w:t>.</w:t>
      </w:r>
    </w:p>
    <w:p w:rsidR="00435210" w:rsidRPr="00BF4D0A" w:rsidP="009C49A0" w14:paraId="4AD1170B" w14:textId="77777777">
      <w:pPr>
        <w:numPr>
          <w:ilvl w:val="0"/>
          <w:numId w:val="4"/>
        </w:numPr>
        <w:spacing w:after="0" w:line="240" w:lineRule="auto"/>
        <w:rPr>
          <w:rFonts w:ascii="Times New Roman" w:hAnsi="Times New Roman" w:cs="Times New Roman"/>
        </w:rPr>
      </w:pPr>
      <w:r w:rsidRPr="00BF4D0A">
        <w:rPr>
          <w:rFonts w:ascii="Times New Roman" w:hAnsi="Times New Roman" w:cs="Times New Roman"/>
        </w:rPr>
        <w:t>Section 5.</w:t>
      </w:r>
      <w:r w:rsidR="00645D2B">
        <w:rPr>
          <w:rFonts w:ascii="Times New Roman" w:hAnsi="Times New Roman" w:cs="Times New Roman"/>
        </w:rPr>
        <w:t>7</w:t>
      </w:r>
      <w:r w:rsidRPr="00BF4D0A">
        <w:rPr>
          <w:rFonts w:ascii="Times New Roman" w:hAnsi="Times New Roman" w:cs="Times New Roman"/>
        </w:rPr>
        <w:t xml:space="preserve"> </w:t>
      </w:r>
      <w:r w:rsidRPr="00BF4D0A" w:rsidR="000858D7">
        <w:rPr>
          <w:rFonts w:ascii="Times New Roman" w:hAnsi="Times New Roman" w:cs="Times New Roman"/>
        </w:rPr>
        <w:t xml:space="preserve">discusses </w:t>
      </w:r>
      <w:r w:rsidR="0058655F">
        <w:rPr>
          <w:rFonts w:ascii="Times New Roman" w:hAnsi="Times New Roman" w:cs="Times New Roman"/>
        </w:rPr>
        <w:t xml:space="preserve">major </w:t>
      </w:r>
      <w:r w:rsidRPr="00BF4D0A" w:rsidR="000858D7">
        <w:rPr>
          <w:rFonts w:ascii="Times New Roman" w:hAnsi="Times New Roman" w:cs="Times New Roman"/>
        </w:rPr>
        <w:t xml:space="preserve">uncertainties </w:t>
      </w:r>
      <w:r w:rsidR="00BA6F74">
        <w:rPr>
          <w:rFonts w:ascii="Times New Roman" w:hAnsi="Times New Roman" w:cs="Times New Roman"/>
        </w:rPr>
        <w:t xml:space="preserve">associated </w:t>
      </w:r>
      <w:r w:rsidRPr="00BF4D0A" w:rsidR="000858D7">
        <w:rPr>
          <w:rFonts w:ascii="Times New Roman" w:hAnsi="Times New Roman" w:cs="Times New Roman"/>
        </w:rPr>
        <w:t xml:space="preserve">with </w:t>
      </w:r>
      <w:r w:rsidR="00BA6F74">
        <w:rPr>
          <w:rFonts w:ascii="Times New Roman" w:hAnsi="Times New Roman" w:cs="Times New Roman"/>
        </w:rPr>
        <w:t xml:space="preserve">the </w:t>
      </w:r>
      <w:r w:rsidRPr="00BF4D0A" w:rsidR="000858D7">
        <w:rPr>
          <w:rFonts w:ascii="Times New Roman" w:hAnsi="Times New Roman" w:cs="Times New Roman"/>
        </w:rPr>
        <w:t>cost estimates</w:t>
      </w:r>
      <w:r w:rsidRPr="00BF4D0A">
        <w:rPr>
          <w:rFonts w:ascii="Times New Roman" w:hAnsi="Times New Roman" w:cs="Times New Roman"/>
        </w:rPr>
        <w:t>.</w:t>
      </w:r>
    </w:p>
    <w:p w:rsidR="000858D7" w:rsidRPr="00BF4D0A" w:rsidP="009C49A0" w14:paraId="526DF06A" w14:textId="77777777">
      <w:pPr>
        <w:numPr>
          <w:ilvl w:val="0"/>
          <w:numId w:val="4"/>
        </w:numPr>
        <w:spacing w:after="0" w:line="240" w:lineRule="auto"/>
        <w:rPr>
          <w:rFonts w:ascii="Times New Roman" w:hAnsi="Times New Roman" w:cs="Times New Roman"/>
        </w:rPr>
      </w:pPr>
      <w:bookmarkStart w:id="220" w:name="5.1__Analytical_Assumptions"/>
      <w:bookmarkStart w:id="221" w:name="_bookmark70"/>
      <w:bookmarkEnd w:id="220"/>
      <w:bookmarkEnd w:id="221"/>
      <w:r w:rsidRPr="00BF4D0A">
        <w:rPr>
          <w:rFonts w:ascii="Times New Roman" w:hAnsi="Times New Roman" w:cs="Times New Roman"/>
        </w:rPr>
        <w:t>Section 5.</w:t>
      </w:r>
      <w:r w:rsidR="00645D2B">
        <w:rPr>
          <w:rFonts w:ascii="Times New Roman" w:hAnsi="Times New Roman" w:cs="Times New Roman"/>
        </w:rPr>
        <w:t>8</w:t>
      </w:r>
      <w:r w:rsidRPr="00BF4D0A">
        <w:rPr>
          <w:rFonts w:ascii="Times New Roman" w:hAnsi="Times New Roman" w:cs="Times New Roman"/>
        </w:rPr>
        <w:t xml:space="preserve"> shows the </w:t>
      </w:r>
      <w:r w:rsidRPr="00BF4D0A" w:rsidR="00C72DDA">
        <w:rPr>
          <w:rFonts w:ascii="Times New Roman" w:hAnsi="Times New Roman" w:cs="Times New Roman"/>
        </w:rPr>
        <w:t xml:space="preserve">estimated </w:t>
      </w:r>
      <w:r w:rsidRPr="00BF4D0A">
        <w:rPr>
          <w:rFonts w:ascii="Times New Roman" w:hAnsi="Times New Roman" w:cs="Times New Roman"/>
        </w:rPr>
        <w:t>total costs for each rule provision, as well as the</w:t>
      </w:r>
      <w:r w:rsidRPr="00BF4D0A" w:rsidR="00C72DDA">
        <w:rPr>
          <w:rFonts w:ascii="Times New Roman" w:hAnsi="Times New Roman" w:cs="Times New Roman"/>
        </w:rPr>
        <w:t xml:space="preserve"> estimated</w:t>
      </w:r>
      <w:r w:rsidRPr="00BF4D0A">
        <w:rPr>
          <w:rFonts w:ascii="Times New Roman" w:hAnsi="Times New Roman" w:cs="Times New Roman"/>
        </w:rPr>
        <w:t xml:space="preserve"> total cost for the </w:t>
      </w:r>
      <w:r w:rsidR="000D1C7C">
        <w:rPr>
          <w:rFonts w:ascii="Times New Roman" w:hAnsi="Times New Roman" w:cs="Times New Roman"/>
        </w:rPr>
        <w:t>final</w:t>
      </w:r>
      <w:r w:rsidRPr="00BF4D0A" w:rsidR="000D1C7C">
        <w:rPr>
          <w:rFonts w:ascii="Times New Roman" w:hAnsi="Times New Roman" w:cs="Times New Roman"/>
        </w:rPr>
        <w:t xml:space="preserve"> </w:t>
      </w:r>
      <w:r w:rsidRPr="00BF4D0A">
        <w:rPr>
          <w:rFonts w:ascii="Times New Roman" w:hAnsi="Times New Roman" w:cs="Times New Roman"/>
        </w:rPr>
        <w:t>rule.</w:t>
      </w:r>
    </w:p>
    <w:p w:rsidR="00C31776" w:rsidRPr="00BF4D0A" w:rsidP="00576F93" w14:paraId="5EACF02B" w14:textId="77777777">
      <w:pPr>
        <w:widowControl w:val="0"/>
        <w:tabs>
          <w:tab w:val="left" w:pos="431"/>
        </w:tabs>
        <w:autoSpaceDE w:val="0"/>
        <w:autoSpaceDN w:val="0"/>
        <w:spacing w:after="0" w:line="240" w:lineRule="auto"/>
        <w:ind w:left="994"/>
        <w:rPr>
          <w:rFonts w:ascii="Times New Roman" w:hAnsi="Times New Roman" w:cs="Times New Roman"/>
          <w:spacing w:val="2"/>
          <w:w w:val="105"/>
        </w:rPr>
      </w:pPr>
    </w:p>
    <w:p w:rsidR="00435210" w:rsidRPr="00BF4D0A" w:rsidP="00C07306" w14:paraId="2B867D69" w14:textId="77777777">
      <w:pPr>
        <w:pStyle w:val="Heading2"/>
      </w:pPr>
      <w:bookmarkStart w:id="222" w:name="_Toc98856220"/>
      <w:bookmarkStart w:id="223" w:name="_Toc144303549"/>
      <w:r w:rsidRPr="00BF4D0A">
        <w:t>5.1 Analytical</w:t>
      </w:r>
      <w:r w:rsidRPr="00BF4D0A">
        <w:rPr>
          <w:spacing w:val="-14"/>
        </w:rPr>
        <w:t xml:space="preserve"> </w:t>
      </w:r>
      <w:r w:rsidRPr="00BF4D0A">
        <w:t>Assumptions</w:t>
      </w:r>
      <w:bookmarkEnd w:id="222"/>
      <w:bookmarkEnd w:id="223"/>
    </w:p>
    <w:p w:rsidR="00435210" w:rsidRPr="00903AE5" w:rsidP="00903AE5" w14:paraId="6185EC2D" w14:textId="77777777">
      <w:pPr>
        <w:pStyle w:val="Heading3"/>
        <w:rPr>
          <w:rFonts w:ascii="Times New Roman" w:hAnsi="Times New Roman" w:cs="Times New Roman"/>
          <w:sz w:val="22"/>
          <w:szCs w:val="22"/>
        </w:rPr>
      </w:pPr>
      <w:bookmarkStart w:id="224" w:name="_Toc141732944"/>
      <w:bookmarkStart w:id="225" w:name="_Toc141733155"/>
      <w:bookmarkStart w:id="226" w:name="_Toc142404059"/>
      <w:bookmarkStart w:id="227" w:name="_Toc144213867"/>
      <w:bookmarkStart w:id="228" w:name="_Toc144283612"/>
      <w:bookmarkStart w:id="229" w:name="_Toc144303550"/>
      <w:r w:rsidRPr="00903AE5">
        <w:rPr>
          <w:rFonts w:ascii="Times New Roman" w:hAnsi="Times New Roman" w:cs="Times New Roman"/>
          <w:sz w:val="22"/>
          <w:szCs w:val="22"/>
        </w:rPr>
        <w:t>5.1.1 Annual Frequency</w:t>
      </w:r>
      <w:bookmarkEnd w:id="224"/>
      <w:bookmarkEnd w:id="225"/>
      <w:bookmarkEnd w:id="226"/>
      <w:bookmarkEnd w:id="227"/>
      <w:bookmarkEnd w:id="228"/>
      <w:bookmarkEnd w:id="229"/>
    </w:p>
    <w:p w:rsidR="00B22C13" w:rsidRPr="00BF4D0A" w:rsidP="00576F93" w14:paraId="69C25BAD" w14:textId="77777777">
      <w:pPr>
        <w:spacing w:after="0" w:line="240" w:lineRule="auto"/>
        <w:ind w:firstLine="720"/>
        <w:rPr>
          <w:rFonts w:ascii="Times New Roman" w:hAnsi="Times New Roman" w:cs="Times New Roman"/>
        </w:rPr>
      </w:pPr>
      <w:r w:rsidRPr="00BF4D0A">
        <w:rPr>
          <w:rFonts w:ascii="Times New Roman" w:hAnsi="Times New Roman" w:cs="Times New Roman"/>
        </w:rPr>
        <w:t xml:space="preserve">The analysis generally divided total costs into initial year costs and ongoing costs. For provisions in which the activity occurs in </w:t>
      </w:r>
      <w:r w:rsidRPr="00BF4D0A" w:rsidR="00BC2381">
        <w:rPr>
          <w:rFonts w:ascii="Times New Roman" w:hAnsi="Times New Roman" w:cs="Times New Roman"/>
        </w:rPr>
        <w:t>multiple-</w:t>
      </w:r>
      <w:r w:rsidRPr="00BF4D0A">
        <w:rPr>
          <w:rFonts w:ascii="Times New Roman" w:hAnsi="Times New Roman" w:cs="Times New Roman"/>
        </w:rPr>
        <w:t xml:space="preserve">year increments, the annual frequency is a fraction representing </w:t>
      </w:r>
      <w:r w:rsidRPr="00BF4D0A" w:rsidR="00BC2381">
        <w:rPr>
          <w:rFonts w:ascii="Times New Roman" w:hAnsi="Times New Roman" w:cs="Times New Roman"/>
        </w:rPr>
        <w:t>the</w:t>
      </w:r>
      <w:r w:rsidRPr="00BF4D0A">
        <w:rPr>
          <w:rFonts w:ascii="Times New Roman" w:hAnsi="Times New Roman" w:cs="Times New Roman"/>
        </w:rPr>
        <w:t xml:space="preserve"> portion of facilities </w:t>
      </w:r>
      <w:r w:rsidRPr="00BF4D0A" w:rsidR="002752D4">
        <w:rPr>
          <w:rFonts w:ascii="Times New Roman" w:hAnsi="Times New Roman" w:cs="Times New Roman"/>
        </w:rPr>
        <w:t>assumed</w:t>
      </w:r>
      <w:r w:rsidRPr="00BF4D0A">
        <w:rPr>
          <w:rFonts w:ascii="Times New Roman" w:hAnsi="Times New Roman" w:cs="Times New Roman"/>
        </w:rPr>
        <w:t xml:space="preserve"> </w:t>
      </w:r>
      <w:r w:rsidRPr="00BF4D0A" w:rsidR="00BC2381">
        <w:rPr>
          <w:rFonts w:ascii="Times New Roman" w:hAnsi="Times New Roman" w:cs="Times New Roman"/>
        </w:rPr>
        <w:t>to i</w:t>
      </w:r>
      <w:r w:rsidRPr="00BF4D0A">
        <w:rPr>
          <w:rFonts w:ascii="Times New Roman" w:hAnsi="Times New Roman" w:cs="Times New Roman"/>
        </w:rPr>
        <w:t xml:space="preserve">mplement the provision in any given year. For example, if an activity is expected to </w:t>
      </w:r>
      <w:r w:rsidRPr="00BF4D0A" w:rsidR="002752D4">
        <w:rPr>
          <w:rFonts w:ascii="Times New Roman" w:hAnsi="Times New Roman" w:cs="Times New Roman"/>
        </w:rPr>
        <w:t>be conducted</w:t>
      </w:r>
      <w:r w:rsidRPr="00BF4D0A">
        <w:rPr>
          <w:rFonts w:ascii="Times New Roman" w:hAnsi="Times New Roman" w:cs="Times New Roman"/>
        </w:rPr>
        <w:t xml:space="preserve"> once every </w:t>
      </w:r>
      <w:r w:rsidRPr="00BF4D0A" w:rsidR="006647B0">
        <w:rPr>
          <w:rFonts w:ascii="Times New Roman" w:hAnsi="Times New Roman" w:cs="Times New Roman"/>
        </w:rPr>
        <w:t>five years</w:t>
      </w:r>
      <w:r w:rsidRPr="00BF4D0A">
        <w:rPr>
          <w:rFonts w:ascii="Times New Roman" w:hAnsi="Times New Roman" w:cs="Times New Roman"/>
        </w:rPr>
        <w:t xml:space="preserve">, the annual frequency </w:t>
      </w:r>
      <w:r w:rsidR="009449B7">
        <w:rPr>
          <w:rFonts w:ascii="Times New Roman" w:hAnsi="Times New Roman" w:cs="Times New Roman"/>
        </w:rPr>
        <w:t>will</w:t>
      </w:r>
      <w:r w:rsidRPr="00BF4D0A">
        <w:rPr>
          <w:rFonts w:ascii="Times New Roman" w:hAnsi="Times New Roman" w:cs="Times New Roman"/>
        </w:rPr>
        <w:t xml:space="preserve"> be 0.2, </w:t>
      </w:r>
      <w:r w:rsidRPr="00BF4D0A" w:rsidR="002C4310">
        <w:rPr>
          <w:rFonts w:ascii="Times New Roman" w:hAnsi="Times New Roman" w:cs="Times New Roman"/>
        </w:rPr>
        <w:t xml:space="preserve">with </w:t>
      </w:r>
      <w:r w:rsidRPr="00BF4D0A">
        <w:rPr>
          <w:rFonts w:ascii="Times New Roman" w:hAnsi="Times New Roman" w:cs="Times New Roman"/>
        </w:rPr>
        <w:t xml:space="preserve">20 percent of the applicable facilities </w:t>
      </w:r>
      <w:r w:rsidRPr="00BF4D0A" w:rsidR="002752D4">
        <w:rPr>
          <w:rFonts w:ascii="Times New Roman" w:hAnsi="Times New Roman" w:cs="Times New Roman"/>
        </w:rPr>
        <w:t>assumed to implement</w:t>
      </w:r>
      <w:r w:rsidRPr="00BF4D0A">
        <w:rPr>
          <w:rFonts w:ascii="Times New Roman" w:hAnsi="Times New Roman" w:cs="Times New Roman"/>
        </w:rPr>
        <w:t xml:space="preserve"> </w:t>
      </w:r>
      <w:r w:rsidRPr="00BF4D0A" w:rsidR="766A628D">
        <w:rPr>
          <w:rFonts w:ascii="Times New Roman" w:hAnsi="Times New Roman" w:cs="Times New Roman"/>
        </w:rPr>
        <w:t>the activity</w:t>
      </w:r>
      <w:r w:rsidRPr="00BF4D0A">
        <w:rPr>
          <w:rFonts w:ascii="Times New Roman" w:hAnsi="Times New Roman" w:cs="Times New Roman"/>
        </w:rPr>
        <w:t xml:space="preserve"> </w:t>
      </w:r>
      <w:r w:rsidR="00FC25D1">
        <w:rPr>
          <w:rFonts w:ascii="Times New Roman" w:hAnsi="Times New Roman" w:cs="Times New Roman"/>
        </w:rPr>
        <w:t>each</w:t>
      </w:r>
      <w:r w:rsidRPr="00BF4D0A">
        <w:rPr>
          <w:rFonts w:ascii="Times New Roman" w:hAnsi="Times New Roman" w:cs="Times New Roman"/>
        </w:rPr>
        <w:t xml:space="preserve"> year. The assumption that implementation </w:t>
      </w:r>
      <w:r w:rsidR="009449B7">
        <w:rPr>
          <w:rFonts w:ascii="Times New Roman" w:hAnsi="Times New Roman" w:cs="Times New Roman"/>
        </w:rPr>
        <w:t>will</w:t>
      </w:r>
      <w:r w:rsidRPr="00BF4D0A">
        <w:rPr>
          <w:rFonts w:ascii="Times New Roman" w:hAnsi="Times New Roman" w:cs="Times New Roman"/>
        </w:rPr>
        <w:t xml:space="preserve"> be distributed evenly across time may overstate the costs </w:t>
      </w:r>
      <w:r w:rsidRPr="00BF4D0A">
        <w:rPr>
          <w:rFonts w:ascii="Times New Roman" w:hAnsi="Times New Roman" w:cs="Times New Roman"/>
          <w:spacing w:val="2"/>
        </w:rPr>
        <w:t xml:space="preserve">for </w:t>
      </w:r>
      <w:r w:rsidRPr="00BF4D0A">
        <w:rPr>
          <w:rFonts w:ascii="Times New Roman" w:hAnsi="Times New Roman" w:cs="Times New Roman"/>
        </w:rPr>
        <w:t xml:space="preserve">some years and understate them </w:t>
      </w:r>
      <w:r w:rsidRPr="00BF4D0A">
        <w:rPr>
          <w:rFonts w:ascii="Times New Roman" w:hAnsi="Times New Roman" w:cs="Times New Roman"/>
          <w:spacing w:val="2"/>
        </w:rPr>
        <w:t xml:space="preserve">for </w:t>
      </w:r>
      <w:r w:rsidRPr="00BF4D0A">
        <w:rPr>
          <w:rFonts w:ascii="Times New Roman" w:hAnsi="Times New Roman" w:cs="Times New Roman"/>
        </w:rPr>
        <w:t xml:space="preserve">others. This </w:t>
      </w:r>
      <w:r w:rsidRPr="00BF4D0A">
        <w:rPr>
          <w:rFonts w:ascii="Times New Roman" w:hAnsi="Times New Roman" w:cs="Times New Roman"/>
          <w:spacing w:val="2"/>
        </w:rPr>
        <w:t xml:space="preserve">issue </w:t>
      </w:r>
      <w:r w:rsidRPr="00BF4D0A">
        <w:rPr>
          <w:rFonts w:ascii="Times New Roman" w:hAnsi="Times New Roman" w:cs="Times New Roman"/>
        </w:rPr>
        <w:t xml:space="preserve">primarily concerns the STAA and third-party audits. The STAA </w:t>
      </w:r>
      <w:r w:rsidRPr="00BF4D0A">
        <w:rPr>
          <w:rFonts w:ascii="Times New Roman" w:hAnsi="Times New Roman" w:cs="Times New Roman"/>
          <w:spacing w:val="4"/>
        </w:rPr>
        <w:t xml:space="preserve">is </w:t>
      </w:r>
      <w:r w:rsidRPr="00BF4D0A">
        <w:rPr>
          <w:rFonts w:ascii="Times New Roman" w:hAnsi="Times New Roman" w:cs="Times New Roman"/>
        </w:rPr>
        <w:t xml:space="preserve">part of the </w:t>
      </w:r>
      <w:r w:rsidRPr="00BF4D0A" w:rsidR="002752D4">
        <w:rPr>
          <w:rFonts w:ascii="Times New Roman" w:hAnsi="Times New Roman" w:cs="Times New Roman"/>
        </w:rPr>
        <w:t>P</w:t>
      </w:r>
      <w:r w:rsidRPr="00BF4D0A">
        <w:rPr>
          <w:rFonts w:ascii="Times New Roman" w:hAnsi="Times New Roman" w:cs="Times New Roman"/>
        </w:rPr>
        <w:t xml:space="preserve">HA, which must be updated </w:t>
      </w:r>
      <w:r w:rsidRPr="00BF4D0A">
        <w:rPr>
          <w:rFonts w:ascii="Times New Roman" w:hAnsi="Times New Roman" w:cs="Times New Roman"/>
          <w:spacing w:val="3"/>
        </w:rPr>
        <w:t xml:space="preserve">every </w:t>
      </w:r>
      <w:r w:rsidRPr="00BF4D0A" w:rsidR="006647B0">
        <w:rPr>
          <w:rFonts w:ascii="Times New Roman" w:hAnsi="Times New Roman" w:cs="Times New Roman"/>
        </w:rPr>
        <w:t>five years</w:t>
      </w:r>
      <w:r w:rsidRPr="00BF4D0A">
        <w:rPr>
          <w:rFonts w:ascii="Times New Roman" w:hAnsi="Times New Roman" w:cs="Times New Roman"/>
        </w:rPr>
        <w:t xml:space="preserve"> or more frequently because of process or procedural changes, accidental releases, or information on risks that triggered an updated PHA or compliance audit.</w:t>
      </w:r>
    </w:p>
    <w:p w:rsidR="00576F93" w:rsidP="00576F93" w14:paraId="6043FA2D" w14:textId="77777777">
      <w:pPr>
        <w:spacing w:after="0" w:line="240" w:lineRule="auto"/>
        <w:rPr>
          <w:rFonts w:ascii="Times New Roman" w:hAnsi="Times New Roman" w:cs="Times New Roman"/>
          <w:u w:val="single"/>
        </w:rPr>
      </w:pPr>
    </w:p>
    <w:p w:rsidR="00435210" w:rsidRPr="00903AE5" w:rsidP="00903AE5" w14:paraId="2AE173A1" w14:textId="77777777">
      <w:pPr>
        <w:pStyle w:val="Heading3"/>
        <w:rPr>
          <w:rFonts w:ascii="Times New Roman" w:hAnsi="Times New Roman" w:cs="Times New Roman"/>
          <w:sz w:val="22"/>
          <w:szCs w:val="22"/>
        </w:rPr>
      </w:pPr>
      <w:bookmarkStart w:id="230" w:name="_Toc141732945"/>
      <w:bookmarkStart w:id="231" w:name="_Toc141733156"/>
      <w:bookmarkStart w:id="232" w:name="_Toc142404060"/>
      <w:bookmarkStart w:id="233" w:name="_Toc144213868"/>
      <w:bookmarkStart w:id="234" w:name="_Toc144283613"/>
      <w:bookmarkStart w:id="235" w:name="_Toc144303551"/>
      <w:r w:rsidRPr="00903AE5">
        <w:rPr>
          <w:rFonts w:ascii="Times New Roman" w:hAnsi="Times New Roman" w:cs="Times New Roman"/>
          <w:sz w:val="22"/>
          <w:szCs w:val="22"/>
        </w:rPr>
        <w:t>5.1.2 Initial and Ongoing Costs</w:t>
      </w:r>
      <w:bookmarkEnd w:id="230"/>
      <w:bookmarkEnd w:id="231"/>
      <w:bookmarkEnd w:id="232"/>
      <w:bookmarkEnd w:id="233"/>
      <w:bookmarkEnd w:id="234"/>
      <w:bookmarkEnd w:id="235"/>
    </w:p>
    <w:p w:rsidR="00435210" w:rsidRPr="00BF4D0A" w:rsidP="00576F93" w14:paraId="261DB4D1"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sidR="00021070">
        <w:rPr>
          <w:rFonts w:ascii="Times New Roman" w:hAnsi="Times New Roman" w:cs="Times New Roman"/>
        </w:rPr>
        <w:t>Ongoing costs differ from the initial costs for rule familiarization (Section 5.2)</w:t>
      </w:r>
      <w:r w:rsidR="008949F4">
        <w:rPr>
          <w:rFonts w:ascii="Times New Roman" w:hAnsi="Times New Roman" w:cs="Times New Roman"/>
        </w:rPr>
        <w:t xml:space="preserve">, </w:t>
      </w:r>
      <w:r w:rsidR="00EC347F">
        <w:rPr>
          <w:rFonts w:ascii="Times New Roman" w:hAnsi="Times New Roman" w:cs="Times New Roman"/>
        </w:rPr>
        <w:t>STAA</w:t>
      </w:r>
      <w:r w:rsidR="008949F4">
        <w:rPr>
          <w:rFonts w:ascii="Times New Roman" w:hAnsi="Times New Roman" w:cs="Times New Roman"/>
        </w:rPr>
        <w:t xml:space="preserve">, and </w:t>
      </w:r>
      <w:r w:rsidR="00075DC2">
        <w:rPr>
          <w:rFonts w:ascii="Times New Roman" w:hAnsi="Times New Roman" w:cs="Times New Roman"/>
        </w:rPr>
        <w:t>backup pow</w:t>
      </w:r>
      <w:r w:rsidR="007778FD">
        <w:rPr>
          <w:rFonts w:ascii="Times New Roman" w:hAnsi="Times New Roman" w:cs="Times New Roman"/>
        </w:rPr>
        <w:t>er</w:t>
      </w:r>
      <w:r w:rsidR="005042A2">
        <w:rPr>
          <w:rFonts w:ascii="Times New Roman" w:hAnsi="Times New Roman" w:cs="Times New Roman"/>
        </w:rPr>
        <w:t xml:space="preserve"> for perimeter monitors</w:t>
      </w:r>
      <w:r w:rsidRPr="00BF4D0A" w:rsidR="00021070">
        <w:rPr>
          <w:rFonts w:ascii="Times New Roman" w:hAnsi="Times New Roman" w:cs="Times New Roman"/>
        </w:rPr>
        <w:t>.</w:t>
      </w:r>
      <w:r w:rsidR="00576F93">
        <w:rPr>
          <w:rFonts w:ascii="Times New Roman" w:hAnsi="Times New Roman" w:cs="Times New Roman"/>
        </w:rPr>
        <w:t xml:space="preserve"> </w:t>
      </w:r>
      <w:r w:rsidRPr="00BF4D0A">
        <w:rPr>
          <w:rFonts w:ascii="Times New Roman" w:hAnsi="Times New Roman" w:cs="Times New Roman"/>
        </w:rPr>
        <w:t>The analysis used an ongoing cost when costs for years 2</w:t>
      </w:r>
      <w:r w:rsidRPr="00BF4D0A" w:rsidR="00B818AD">
        <w:rPr>
          <w:rFonts w:ascii="Times New Roman" w:hAnsi="Times New Roman" w:cs="Times New Roman"/>
        </w:rPr>
        <w:t xml:space="preserve"> through </w:t>
      </w:r>
      <w:r w:rsidRPr="00BF4D0A">
        <w:rPr>
          <w:rFonts w:ascii="Times New Roman" w:hAnsi="Times New Roman" w:cs="Times New Roman"/>
        </w:rPr>
        <w:t xml:space="preserve">10 were </w:t>
      </w:r>
      <w:r w:rsidRPr="00BF4D0A" w:rsidR="00F024FF">
        <w:rPr>
          <w:rFonts w:ascii="Times New Roman" w:hAnsi="Times New Roman" w:cs="Times New Roman"/>
        </w:rPr>
        <w:t xml:space="preserve">different from </w:t>
      </w:r>
      <w:r w:rsidRPr="00BF4D0A">
        <w:rPr>
          <w:rFonts w:ascii="Times New Roman" w:hAnsi="Times New Roman" w:cs="Times New Roman"/>
        </w:rPr>
        <w:t>the initial cost components. If costs for years 2</w:t>
      </w:r>
      <w:r w:rsidRPr="00BF4D0A" w:rsidR="00B818AD">
        <w:rPr>
          <w:rFonts w:ascii="Times New Roman" w:hAnsi="Times New Roman" w:cs="Times New Roman"/>
        </w:rPr>
        <w:t xml:space="preserve"> through </w:t>
      </w:r>
      <w:r w:rsidRPr="00BF4D0A">
        <w:rPr>
          <w:rFonts w:ascii="Times New Roman" w:hAnsi="Times New Roman" w:cs="Times New Roman"/>
        </w:rPr>
        <w:t xml:space="preserve">10 were the same as the initial year, then multiplying the initial cost by the annual frequency accounted for any continuing costs. </w:t>
      </w:r>
    </w:p>
    <w:p w:rsidR="00576F93" w:rsidP="00576F93" w14:paraId="5CAE7AC9" w14:textId="77777777">
      <w:pPr>
        <w:spacing w:after="0" w:line="240" w:lineRule="auto"/>
        <w:rPr>
          <w:rFonts w:ascii="Times New Roman" w:hAnsi="Times New Roman" w:cs="Times New Roman"/>
          <w:u w:val="single"/>
        </w:rPr>
      </w:pPr>
    </w:p>
    <w:p w:rsidR="00435210" w:rsidRPr="00903AE5" w:rsidP="00903AE5" w14:paraId="2CA94816" w14:textId="77777777">
      <w:pPr>
        <w:pStyle w:val="Heading3"/>
        <w:rPr>
          <w:rFonts w:ascii="Times New Roman" w:hAnsi="Times New Roman" w:cs="Times New Roman"/>
          <w:sz w:val="22"/>
          <w:szCs w:val="22"/>
        </w:rPr>
      </w:pPr>
      <w:bookmarkStart w:id="236" w:name="_Toc141732946"/>
      <w:bookmarkStart w:id="237" w:name="_Toc141733157"/>
      <w:bookmarkStart w:id="238" w:name="_Toc142404061"/>
      <w:bookmarkStart w:id="239" w:name="_Toc144213869"/>
      <w:bookmarkStart w:id="240" w:name="_Toc144283614"/>
      <w:bookmarkStart w:id="241" w:name="_Toc144303552"/>
      <w:r w:rsidRPr="00903AE5">
        <w:rPr>
          <w:rFonts w:ascii="Times New Roman" w:hAnsi="Times New Roman" w:cs="Times New Roman"/>
          <w:sz w:val="22"/>
          <w:szCs w:val="22"/>
        </w:rPr>
        <w:t>5.1.3 Capital Costs</w:t>
      </w:r>
      <w:bookmarkEnd w:id="236"/>
      <w:bookmarkEnd w:id="237"/>
      <w:bookmarkEnd w:id="238"/>
      <w:bookmarkEnd w:id="239"/>
      <w:bookmarkEnd w:id="240"/>
      <w:bookmarkEnd w:id="241"/>
    </w:p>
    <w:p w:rsidR="00B94152" w:rsidP="00576F93" w14:paraId="753F5060"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sidR="00435210">
        <w:rPr>
          <w:rFonts w:ascii="Times New Roman" w:hAnsi="Times New Roman" w:cs="Times New Roman"/>
        </w:rPr>
        <w:t xml:space="preserve">The analysis </w:t>
      </w:r>
      <w:r w:rsidRPr="00BF4D0A" w:rsidR="00A1214F">
        <w:rPr>
          <w:rFonts w:ascii="Times New Roman" w:hAnsi="Times New Roman" w:cs="Times New Roman"/>
          <w:spacing w:val="2"/>
        </w:rPr>
        <w:t xml:space="preserve">included </w:t>
      </w:r>
      <w:r w:rsidR="00D72D0F">
        <w:rPr>
          <w:rFonts w:ascii="Times New Roman" w:hAnsi="Times New Roman" w:cs="Times New Roman"/>
          <w:spacing w:val="2"/>
        </w:rPr>
        <w:t>two categories of</w:t>
      </w:r>
      <w:r w:rsidRPr="00BF4D0A" w:rsidR="00435210">
        <w:rPr>
          <w:rFonts w:ascii="Times New Roman" w:hAnsi="Times New Roman" w:cs="Times New Roman"/>
          <w:spacing w:val="2"/>
        </w:rPr>
        <w:t xml:space="preserve"> </w:t>
      </w:r>
      <w:r w:rsidRPr="00BF4D0A" w:rsidR="00435210">
        <w:rPr>
          <w:rFonts w:ascii="Times New Roman" w:hAnsi="Times New Roman" w:cs="Times New Roman"/>
        </w:rPr>
        <w:t>capital cost</w:t>
      </w:r>
      <w:r w:rsidR="00181151">
        <w:rPr>
          <w:rFonts w:ascii="Times New Roman" w:hAnsi="Times New Roman" w:cs="Times New Roman"/>
        </w:rPr>
        <w:t>s</w:t>
      </w:r>
      <w:r w:rsidR="00FE4EF4">
        <w:rPr>
          <w:rFonts w:ascii="Times New Roman" w:hAnsi="Times New Roman" w:cs="Times New Roman"/>
        </w:rPr>
        <w:t>;</w:t>
      </w:r>
      <w:r w:rsidR="00D72D0F">
        <w:rPr>
          <w:rFonts w:ascii="Times New Roman" w:hAnsi="Times New Roman" w:cs="Times New Roman"/>
        </w:rPr>
        <w:t xml:space="preserve"> those</w:t>
      </w:r>
      <w:r w:rsidRPr="00BF4D0A" w:rsidR="00435210">
        <w:rPr>
          <w:rFonts w:ascii="Times New Roman" w:hAnsi="Times New Roman" w:cs="Times New Roman"/>
        </w:rPr>
        <w:t xml:space="preserve"> </w:t>
      </w:r>
      <w:r w:rsidRPr="00BF4D0A" w:rsidR="007B29B4">
        <w:rPr>
          <w:rFonts w:ascii="Times New Roman" w:hAnsi="Times New Roman" w:cs="Times New Roman"/>
        </w:rPr>
        <w:t xml:space="preserve">associated with </w:t>
      </w:r>
      <w:r w:rsidRPr="00BF4D0A" w:rsidR="00B05535">
        <w:rPr>
          <w:rFonts w:ascii="Times New Roman" w:hAnsi="Times New Roman" w:cs="Times New Roman"/>
        </w:rPr>
        <w:t xml:space="preserve">acquiring a generator to provide backup power for </w:t>
      </w:r>
      <w:r w:rsidRPr="00BF4D0A" w:rsidR="00EC2FD4">
        <w:rPr>
          <w:rFonts w:ascii="Times New Roman" w:hAnsi="Times New Roman" w:cs="Times New Roman"/>
        </w:rPr>
        <w:t>perimeter monitoring</w:t>
      </w:r>
      <w:r w:rsidR="009C526D">
        <w:rPr>
          <w:rFonts w:ascii="Times New Roman" w:hAnsi="Times New Roman" w:cs="Times New Roman"/>
        </w:rPr>
        <w:t xml:space="preserve"> and </w:t>
      </w:r>
      <w:r w:rsidR="000E0608">
        <w:rPr>
          <w:rFonts w:ascii="Times New Roman" w:hAnsi="Times New Roman" w:cs="Times New Roman"/>
        </w:rPr>
        <w:t xml:space="preserve">those associated </w:t>
      </w:r>
      <w:r w:rsidR="009C526D">
        <w:rPr>
          <w:rFonts w:ascii="Times New Roman" w:hAnsi="Times New Roman" w:cs="Times New Roman"/>
        </w:rPr>
        <w:t xml:space="preserve">with implementing </w:t>
      </w:r>
      <w:r w:rsidR="00E92575">
        <w:rPr>
          <w:rFonts w:ascii="Times New Roman" w:hAnsi="Times New Roman" w:cs="Times New Roman"/>
        </w:rPr>
        <w:t>STAA</w:t>
      </w:r>
      <w:r w:rsidRPr="00BF4D0A" w:rsidR="00EC2FD4">
        <w:rPr>
          <w:rFonts w:ascii="Times New Roman" w:hAnsi="Times New Roman" w:cs="Times New Roman"/>
        </w:rPr>
        <w:t>.</w:t>
      </w:r>
      <w:r w:rsidRPr="00BF4D0A" w:rsidR="00435210">
        <w:rPr>
          <w:rFonts w:ascii="Times New Roman" w:hAnsi="Times New Roman" w:cs="Times New Roman"/>
        </w:rPr>
        <w:t xml:space="preserve"> The costs</w:t>
      </w:r>
      <w:r w:rsidRPr="00BF4D0A" w:rsidR="00435210">
        <w:rPr>
          <w:rFonts w:ascii="Times New Roman" w:hAnsi="Times New Roman" w:cs="Times New Roman"/>
          <w:spacing w:val="14"/>
        </w:rPr>
        <w:t xml:space="preserve"> </w:t>
      </w:r>
      <w:r w:rsidRPr="00BF4D0A" w:rsidR="00435210">
        <w:rPr>
          <w:rFonts w:ascii="Times New Roman" w:hAnsi="Times New Roman" w:cs="Times New Roman"/>
        </w:rPr>
        <w:t>of</w:t>
      </w:r>
      <w:r w:rsidRPr="00BF4D0A" w:rsidR="00435210">
        <w:rPr>
          <w:rFonts w:ascii="Times New Roman" w:hAnsi="Times New Roman" w:cs="Times New Roman"/>
          <w:spacing w:val="-1"/>
        </w:rPr>
        <w:t xml:space="preserve"> </w:t>
      </w:r>
      <w:r w:rsidRPr="00BF4D0A" w:rsidR="00435210">
        <w:rPr>
          <w:rFonts w:ascii="Times New Roman" w:hAnsi="Times New Roman" w:cs="Times New Roman"/>
          <w:spacing w:val="3"/>
        </w:rPr>
        <w:t>equipment</w:t>
      </w:r>
      <w:r w:rsidRPr="00BF4D0A" w:rsidR="00435210">
        <w:rPr>
          <w:rFonts w:ascii="Times New Roman" w:hAnsi="Times New Roman" w:cs="Times New Roman"/>
          <w:spacing w:val="-10"/>
        </w:rPr>
        <w:t xml:space="preserve"> </w:t>
      </w:r>
      <w:r w:rsidRPr="00BF4D0A" w:rsidR="00435210">
        <w:rPr>
          <w:rFonts w:ascii="Times New Roman" w:hAnsi="Times New Roman" w:cs="Times New Roman"/>
        </w:rPr>
        <w:t>purchased</w:t>
      </w:r>
      <w:r w:rsidRPr="00BF4D0A" w:rsidR="00435210">
        <w:rPr>
          <w:rFonts w:ascii="Times New Roman" w:hAnsi="Times New Roman" w:cs="Times New Roman"/>
          <w:spacing w:val="-7"/>
        </w:rPr>
        <w:t xml:space="preserve"> </w:t>
      </w:r>
      <w:r w:rsidRPr="00BF4D0A" w:rsidR="00435210">
        <w:rPr>
          <w:rFonts w:ascii="Times New Roman" w:hAnsi="Times New Roman" w:cs="Times New Roman"/>
          <w:spacing w:val="2"/>
        </w:rPr>
        <w:t>for</w:t>
      </w:r>
      <w:r w:rsidRPr="00BF4D0A" w:rsidR="00435210">
        <w:rPr>
          <w:rFonts w:ascii="Times New Roman" w:hAnsi="Times New Roman" w:cs="Times New Roman"/>
          <w:spacing w:val="-15"/>
        </w:rPr>
        <w:t xml:space="preserve"> </w:t>
      </w:r>
      <w:r w:rsidRPr="00BF4D0A" w:rsidR="00435210">
        <w:rPr>
          <w:rFonts w:ascii="Times New Roman" w:hAnsi="Times New Roman" w:cs="Times New Roman"/>
          <w:spacing w:val="2"/>
        </w:rPr>
        <w:t>facilities</w:t>
      </w:r>
      <w:r w:rsidRPr="00BF4D0A" w:rsidR="00435210">
        <w:rPr>
          <w:rFonts w:ascii="Times New Roman" w:hAnsi="Times New Roman" w:cs="Times New Roman"/>
          <w:spacing w:val="-6"/>
        </w:rPr>
        <w:t xml:space="preserve"> </w:t>
      </w:r>
      <w:r w:rsidRPr="00BF4D0A" w:rsidR="00837963">
        <w:rPr>
          <w:rFonts w:ascii="Times New Roman" w:hAnsi="Times New Roman" w:cs="Times New Roman"/>
          <w:spacing w:val="-3"/>
        </w:rPr>
        <w:t>required to implement backup power</w:t>
      </w:r>
      <w:r w:rsidRPr="00BF4D0A" w:rsidR="00D32BA7">
        <w:rPr>
          <w:rFonts w:ascii="Times New Roman" w:hAnsi="Times New Roman" w:cs="Times New Roman"/>
          <w:spacing w:val="-3"/>
        </w:rPr>
        <w:t xml:space="preserve"> </w:t>
      </w:r>
      <w:r w:rsidR="00E73331">
        <w:rPr>
          <w:rFonts w:ascii="Times New Roman" w:hAnsi="Times New Roman" w:cs="Times New Roman"/>
          <w:spacing w:val="-3"/>
        </w:rPr>
        <w:t xml:space="preserve">or </w:t>
      </w:r>
      <w:r w:rsidR="001C57D5">
        <w:rPr>
          <w:rFonts w:ascii="Times New Roman" w:hAnsi="Times New Roman" w:cs="Times New Roman"/>
          <w:spacing w:val="-3"/>
        </w:rPr>
        <w:t>im</w:t>
      </w:r>
      <w:r w:rsidR="00C10D7E">
        <w:rPr>
          <w:rFonts w:ascii="Times New Roman" w:hAnsi="Times New Roman" w:cs="Times New Roman"/>
          <w:spacing w:val="-3"/>
        </w:rPr>
        <w:t xml:space="preserve">plement </w:t>
      </w:r>
      <w:r w:rsidR="00A727CB">
        <w:rPr>
          <w:rFonts w:ascii="Times New Roman" w:hAnsi="Times New Roman" w:cs="Times New Roman"/>
          <w:spacing w:val="-3"/>
        </w:rPr>
        <w:t xml:space="preserve">STAA </w:t>
      </w:r>
      <w:r w:rsidRPr="00BF4D0A" w:rsidR="00D32BA7">
        <w:rPr>
          <w:rFonts w:ascii="Times New Roman" w:hAnsi="Times New Roman" w:cs="Times New Roman"/>
          <w:spacing w:val="-3"/>
        </w:rPr>
        <w:t xml:space="preserve">are </w:t>
      </w:r>
      <w:r w:rsidRPr="00BF4D0A" w:rsidR="00435210">
        <w:rPr>
          <w:rFonts w:ascii="Times New Roman" w:hAnsi="Times New Roman" w:cs="Times New Roman"/>
          <w:spacing w:val="-3"/>
        </w:rPr>
        <w:t>not amortized</w:t>
      </w:r>
      <w:r w:rsidRPr="00BF4D0A" w:rsidR="00200686">
        <w:rPr>
          <w:rFonts w:ascii="Times New Roman" w:hAnsi="Times New Roman" w:cs="Times New Roman"/>
        </w:rPr>
        <w:t>.</w:t>
      </w:r>
      <w:r w:rsidRPr="00BF4D0A" w:rsidR="00435210">
        <w:rPr>
          <w:rFonts w:ascii="Times New Roman" w:hAnsi="Times New Roman" w:cs="Times New Roman"/>
          <w:spacing w:val="7"/>
        </w:rPr>
        <w:t xml:space="preserve"> </w:t>
      </w:r>
      <w:r w:rsidR="006E617A">
        <w:rPr>
          <w:rFonts w:ascii="Times New Roman" w:hAnsi="Times New Roman" w:cs="Times New Roman"/>
          <w:spacing w:val="-4"/>
        </w:rPr>
        <w:t>S</w:t>
      </w:r>
      <w:r w:rsidRPr="00BF4D0A" w:rsidR="00435210">
        <w:rPr>
          <w:rFonts w:ascii="Times New Roman" w:hAnsi="Times New Roman" w:cs="Times New Roman"/>
        </w:rPr>
        <w:t>ome facilities</w:t>
      </w:r>
      <w:r w:rsidRPr="00BF4D0A" w:rsidR="00F024FF">
        <w:rPr>
          <w:rFonts w:ascii="Times New Roman" w:hAnsi="Times New Roman" w:cs="Times New Roman"/>
        </w:rPr>
        <w:t xml:space="preserve"> may</w:t>
      </w:r>
      <w:r w:rsidRPr="00BF4D0A" w:rsidR="00435210">
        <w:rPr>
          <w:rFonts w:ascii="Times New Roman" w:hAnsi="Times New Roman" w:cs="Times New Roman"/>
        </w:rPr>
        <w:t xml:space="preserve"> choose to finance equipment purchases to spread the costs </w:t>
      </w:r>
      <w:r w:rsidRPr="00BF4D0A" w:rsidR="00435210">
        <w:rPr>
          <w:rFonts w:ascii="Times New Roman" w:hAnsi="Times New Roman" w:cs="Times New Roman"/>
          <w:spacing w:val="3"/>
        </w:rPr>
        <w:t xml:space="preserve">over </w:t>
      </w:r>
      <w:r w:rsidRPr="00BF4D0A" w:rsidR="00435210">
        <w:rPr>
          <w:rFonts w:ascii="Times New Roman" w:hAnsi="Times New Roman" w:cs="Times New Roman"/>
        </w:rPr>
        <w:t xml:space="preserve">several years, while others may treat them as an operating </w:t>
      </w:r>
      <w:r w:rsidRPr="00BF4D0A" w:rsidR="00435210">
        <w:rPr>
          <w:rFonts w:ascii="Times New Roman" w:hAnsi="Times New Roman" w:cs="Times New Roman"/>
          <w:spacing w:val="4"/>
        </w:rPr>
        <w:t xml:space="preserve">expense and </w:t>
      </w:r>
      <w:r w:rsidRPr="00BF4D0A" w:rsidR="00435210">
        <w:rPr>
          <w:rFonts w:ascii="Times New Roman" w:hAnsi="Times New Roman" w:cs="Times New Roman"/>
        </w:rPr>
        <w:t xml:space="preserve">pay </w:t>
      </w:r>
      <w:r w:rsidRPr="00BF4D0A" w:rsidR="00F024FF">
        <w:rPr>
          <w:rFonts w:ascii="Times New Roman" w:hAnsi="Times New Roman" w:cs="Times New Roman"/>
        </w:rPr>
        <w:t xml:space="preserve">them </w:t>
      </w:r>
      <w:r w:rsidRPr="00BF4D0A" w:rsidR="00435210">
        <w:rPr>
          <w:rFonts w:ascii="Times New Roman" w:hAnsi="Times New Roman" w:cs="Times New Roman"/>
          <w:spacing w:val="4"/>
        </w:rPr>
        <w:t xml:space="preserve">in </w:t>
      </w:r>
      <w:r w:rsidRPr="00BF4D0A" w:rsidR="00435210">
        <w:rPr>
          <w:rFonts w:ascii="Times New Roman" w:hAnsi="Times New Roman" w:cs="Times New Roman"/>
        </w:rPr>
        <w:t xml:space="preserve">a </w:t>
      </w:r>
      <w:r w:rsidRPr="00BF4D0A" w:rsidR="00435210">
        <w:rPr>
          <w:rFonts w:ascii="Times New Roman" w:hAnsi="Times New Roman" w:cs="Times New Roman"/>
          <w:spacing w:val="3"/>
        </w:rPr>
        <w:t xml:space="preserve">single </w:t>
      </w:r>
      <w:r w:rsidRPr="00BF4D0A" w:rsidR="00435210">
        <w:rPr>
          <w:rFonts w:ascii="Times New Roman" w:hAnsi="Times New Roman" w:cs="Times New Roman"/>
        </w:rPr>
        <w:t xml:space="preserve">year. </w:t>
      </w:r>
    </w:p>
    <w:p w:rsidR="000D5402" w:rsidP="00FA520A" w14:paraId="18FB71A8" w14:textId="77777777">
      <w:pPr>
        <w:spacing w:after="0" w:line="240" w:lineRule="auto"/>
        <w:ind w:firstLine="360"/>
        <w:rPr>
          <w:rFonts w:ascii="Times New Roman" w:hAnsi="Times New Roman" w:cs="Times New Roman"/>
        </w:rPr>
      </w:pPr>
    </w:p>
    <w:p w:rsidR="00EB2615" w:rsidP="00FA520A" w14:paraId="0143FA66"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sidR="00435210">
        <w:rPr>
          <w:rFonts w:ascii="Times New Roman" w:hAnsi="Times New Roman" w:cs="Times New Roman"/>
        </w:rPr>
        <w:t xml:space="preserve">By not amortizing equipment costs </w:t>
      </w:r>
      <w:r w:rsidRPr="00BF4D0A" w:rsidR="00435210">
        <w:rPr>
          <w:rFonts w:ascii="Times New Roman" w:hAnsi="Times New Roman" w:cs="Times New Roman"/>
          <w:spacing w:val="4"/>
        </w:rPr>
        <w:t xml:space="preserve">in </w:t>
      </w:r>
      <w:r w:rsidRPr="00BF4D0A" w:rsidR="00435210">
        <w:rPr>
          <w:rFonts w:ascii="Times New Roman" w:hAnsi="Times New Roman" w:cs="Times New Roman"/>
        </w:rPr>
        <w:t xml:space="preserve">this analysis, EPA </w:t>
      </w:r>
      <w:r w:rsidRPr="00BF4D0A" w:rsidR="00435210">
        <w:rPr>
          <w:rFonts w:ascii="Times New Roman" w:hAnsi="Times New Roman" w:cs="Times New Roman"/>
          <w:spacing w:val="4"/>
        </w:rPr>
        <w:t xml:space="preserve">is </w:t>
      </w:r>
      <w:r w:rsidRPr="00BF4D0A" w:rsidR="00435210">
        <w:rPr>
          <w:rFonts w:ascii="Times New Roman" w:hAnsi="Times New Roman" w:cs="Times New Roman"/>
        </w:rPr>
        <w:t>making the conservative</w:t>
      </w:r>
      <w:r w:rsidRPr="00BF4D0A" w:rsidR="00435210">
        <w:rPr>
          <w:rFonts w:ascii="Times New Roman" w:hAnsi="Times New Roman" w:cs="Times New Roman"/>
          <w:spacing w:val="-10"/>
        </w:rPr>
        <w:t xml:space="preserve"> </w:t>
      </w:r>
      <w:r w:rsidRPr="00BF4D0A" w:rsidR="00435210">
        <w:rPr>
          <w:rFonts w:ascii="Times New Roman" w:hAnsi="Times New Roman" w:cs="Times New Roman"/>
        </w:rPr>
        <w:t>assumption</w:t>
      </w:r>
      <w:r w:rsidRPr="00BF4D0A" w:rsidR="00435210">
        <w:rPr>
          <w:rFonts w:ascii="Times New Roman" w:hAnsi="Times New Roman" w:cs="Times New Roman"/>
          <w:spacing w:val="-16"/>
        </w:rPr>
        <w:t xml:space="preserve"> </w:t>
      </w:r>
      <w:r w:rsidRPr="00BF4D0A" w:rsidR="00435210">
        <w:rPr>
          <w:rFonts w:ascii="Times New Roman" w:hAnsi="Times New Roman" w:cs="Times New Roman"/>
        </w:rPr>
        <w:t>that</w:t>
      </w:r>
      <w:r w:rsidRPr="00BF4D0A" w:rsidR="00435210">
        <w:rPr>
          <w:rFonts w:ascii="Times New Roman" w:hAnsi="Times New Roman" w:cs="Times New Roman"/>
          <w:spacing w:val="-19"/>
        </w:rPr>
        <w:t xml:space="preserve"> </w:t>
      </w:r>
      <w:r w:rsidRPr="00BF4D0A" w:rsidR="00435210">
        <w:rPr>
          <w:rFonts w:ascii="Times New Roman" w:hAnsi="Times New Roman" w:cs="Times New Roman"/>
        </w:rPr>
        <w:t>facilities</w:t>
      </w:r>
      <w:r w:rsidRPr="00BF4D0A" w:rsidR="00435210">
        <w:rPr>
          <w:rFonts w:ascii="Times New Roman" w:hAnsi="Times New Roman" w:cs="Times New Roman"/>
          <w:spacing w:val="-15"/>
        </w:rPr>
        <w:t xml:space="preserve"> </w:t>
      </w:r>
      <w:r w:rsidRPr="00BF4D0A" w:rsidR="00435210">
        <w:rPr>
          <w:rFonts w:ascii="Times New Roman" w:hAnsi="Times New Roman" w:cs="Times New Roman"/>
        </w:rPr>
        <w:t>will</w:t>
      </w:r>
      <w:r w:rsidRPr="00BF4D0A" w:rsidR="00435210">
        <w:rPr>
          <w:rFonts w:ascii="Times New Roman" w:hAnsi="Times New Roman" w:cs="Times New Roman"/>
          <w:spacing w:val="-10"/>
        </w:rPr>
        <w:t xml:space="preserve"> </w:t>
      </w:r>
      <w:r w:rsidRPr="00BF4D0A" w:rsidR="00435210">
        <w:rPr>
          <w:rFonts w:ascii="Times New Roman" w:hAnsi="Times New Roman" w:cs="Times New Roman"/>
        </w:rPr>
        <w:t>pay</w:t>
      </w:r>
      <w:r w:rsidRPr="00BF4D0A" w:rsidR="00435210">
        <w:rPr>
          <w:rFonts w:ascii="Times New Roman" w:hAnsi="Times New Roman" w:cs="Times New Roman"/>
          <w:spacing w:val="-14"/>
        </w:rPr>
        <w:t xml:space="preserve"> </w:t>
      </w:r>
      <w:r w:rsidRPr="00BF4D0A" w:rsidR="00435210">
        <w:rPr>
          <w:rFonts w:ascii="Times New Roman" w:hAnsi="Times New Roman" w:cs="Times New Roman"/>
        </w:rPr>
        <w:t>these</w:t>
      </w:r>
      <w:r w:rsidRPr="00BF4D0A" w:rsidR="00435210">
        <w:rPr>
          <w:rFonts w:ascii="Times New Roman" w:hAnsi="Times New Roman" w:cs="Times New Roman"/>
          <w:spacing w:val="-10"/>
        </w:rPr>
        <w:t xml:space="preserve"> </w:t>
      </w:r>
      <w:r w:rsidRPr="00BF4D0A" w:rsidR="00435210">
        <w:rPr>
          <w:rFonts w:ascii="Times New Roman" w:hAnsi="Times New Roman" w:cs="Times New Roman"/>
        </w:rPr>
        <w:t>initial</w:t>
      </w:r>
      <w:r w:rsidRPr="00BF4D0A" w:rsidR="00435210">
        <w:rPr>
          <w:rFonts w:ascii="Times New Roman" w:hAnsi="Times New Roman" w:cs="Times New Roman"/>
          <w:spacing w:val="-25"/>
        </w:rPr>
        <w:t xml:space="preserve"> </w:t>
      </w:r>
      <w:r w:rsidRPr="00BF4D0A" w:rsidR="00435210">
        <w:rPr>
          <w:rFonts w:ascii="Times New Roman" w:hAnsi="Times New Roman" w:cs="Times New Roman"/>
        </w:rPr>
        <w:t>costs</w:t>
      </w:r>
      <w:r w:rsidRPr="00BF4D0A" w:rsidR="00435210">
        <w:rPr>
          <w:rFonts w:ascii="Times New Roman" w:hAnsi="Times New Roman" w:cs="Times New Roman"/>
          <w:spacing w:val="-16"/>
        </w:rPr>
        <w:t xml:space="preserve"> </w:t>
      </w:r>
      <w:r w:rsidRPr="00BF4D0A" w:rsidR="00435210">
        <w:rPr>
          <w:rFonts w:ascii="Times New Roman" w:hAnsi="Times New Roman" w:cs="Times New Roman"/>
          <w:spacing w:val="4"/>
        </w:rPr>
        <w:t>in</w:t>
      </w:r>
      <w:r w:rsidRPr="00BF4D0A" w:rsidR="00435210">
        <w:rPr>
          <w:rFonts w:ascii="Times New Roman" w:hAnsi="Times New Roman" w:cs="Times New Roman"/>
          <w:spacing w:val="-17"/>
        </w:rPr>
        <w:t xml:space="preserve"> </w:t>
      </w:r>
      <w:r w:rsidRPr="00BF4D0A" w:rsidR="00435210">
        <w:rPr>
          <w:rFonts w:ascii="Times New Roman" w:hAnsi="Times New Roman" w:cs="Times New Roman"/>
        </w:rPr>
        <w:t>a</w:t>
      </w:r>
      <w:r w:rsidRPr="00BF4D0A" w:rsidR="00435210">
        <w:rPr>
          <w:rFonts w:ascii="Times New Roman" w:hAnsi="Times New Roman" w:cs="Times New Roman"/>
          <w:spacing w:val="-5"/>
        </w:rPr>
        <w:t xml:space="preserve"> </w:t>
      </w:r>
      <w:r w:rsidRPr="00BF4D0A" w:rsidR="00435210">
        <w:rPr>
          <w:rFonts w:ascii="Times New Roman" w:hAnsi="Times New Roman" w:cs="Times New Roman"/>
          <w:spacing w:val="3"/>
        </w:rPr>
        <w:t>single</w:t>
      </w:r>
      <w:r w:rsidRPr="00BF4D0A" w:rsidR="00435210">
        <w:rPr>
          <w:rFonts w:ascii="Times New Roman" w:hAnsi="Times New Roman" w:cs="Times New Roman"/>
          <w:spacing w:val="-9"/>
        </w:rPr>
        <w:t xml:space="preserve"> </w:t>
      </w:r>
      <w:r w:rsidRPr="00BF4D0A" w:rsidR="00435210">
        <w:rPr>
          <w:rFonts w:ascii="Times New Roman" w:hAnsi="Times New Roman" w:cs="Times New Roman"/>
        </w:rPr>
        <w:t>year</w:t>
      </w:r>
      <w:r w:rsidR="00B031A2">
        <w:rPr>
          <w:rFonts w:ascii="Times New Roman" w:hAnsi="Times New Roman" w:cs="Times New Roman"/>
        </w:rPr>
        <w:t xml:space="preserve"> (year 1</w:t>
      </w:r>
      <w:r w:rsidR="00982066">
        <w:rPr>
          <w:rFonts w:ascii="Times New Roman" w:hAnsi="Times New Roman" w:cs="Times New Roman"/>
        </w:rPr>
        <w:t>)</w:t>
      </w:r>
      <w:r w:rsidR="00DA5D94">
        <w:rPr>
          <w:rFonts w:ascii="Times New Roman" w:hAnsi="Times New Roman" w:cs="Times New Roman"/>
        </w:rPr>
        <w:t xml:space="preserve"> and that </w:t>
      </w:r>
      <w:r w:rsidR="005D0C18">
        <w:rPr>
          <w:rFonts w:ascii="Times New Roman" w:hAnsi="Times New Roman" w:cs="Times New Roman"/>
        </w:rPr>
        <w:t xml:space="preserve">the </w:t>
      </w:r>
      <w:r w:rsidR="002C2C5F">
        <w:rPr>
          <w:rFonts w:ascii="Times New Roman" w:hAnsi="Times New Roman" w:cs="Times New Roman"/>
        </w:rPr>
        <w:t xml:space="preserve">equipment </w:t>
      </w:r>
      <w:r w:rsidR="000226DF">
        <w:rPr>
          <w:rFonts w:ascii="Times New Roman" w:hAnsi="Times New Roman" w:cs="Times New Roman"/>
        </w:rPr>
        <w:t>retains no monetary value upon installation</w:t>
      </w:r>
      <w:r w:rsidR="00982066">
        <w:rPr>
          <w:rFonts w:ascii="Times New Roman" w:hAnsi="Times New Roman" w:cs="Times New Roman"/>
        </w:rPr>
        <w:t>.</w:t>
      </w:r>
      <w:r w:rsidRPr="00BF4D0A" w:rsidR="00982066">
        <w:rPr>
          <w:rFonts w:ascii="Times New Roman" w:hAnsi="Times New Roman" w:cs="Times New Roman"/>
        </w:rPr>
        <w:t xml:space="preserve"> </w:t>
      </w:r>
      <w:r w:rsidR="00982066">
        <w:rPr>
          <w:rFonts w:ascii="Times New Roman" w:hAnsi="Times New Roman" w:cs="Times New Roman"/>
        </w:rPr>
        <w:t>For backup power</w:t>
      </w:r>
      <w:r>
        <w:rPr>
          <w:rFonts w:ascii="Times New Roman" w:hAnsi="Times New Roman" w:cs="Times New Roman"/>
        </w:rPr>
        <w:t>,</w:t>
      </w:r>
      <w:r w:rsidR="00982066">
        <w:rPr>
          <w:rFonts w:ascii="Times New Roman" w:hAnsi="Times New Roman" w:cs="Times New Roman"/>
        </w:rPr>
        <w:t xml:space="preserve"> this</w:t>
      </w:r>
      <w:r w:rsidRPr="00BF4D0A" w:rsidR="00982066">
        <w:rPr>
          <w:rFonts w:ascii="Times New Roman" w:hAnsi="Times New Roman" w:cs="Times New Roman"/>
        </w:rPr>
        <w:t xml:space="preserve"> </w:t>
      </w:r>
      <w:r w:rsidRPr="00BF4D0A" w:rsidR="00C95661">
        <w:rPr>
          <w:rFonts w:ascii="Times New Roman" w:hAnsi="Times New Roman" w:cs="Times New Roman"/>
        </w:rPr>
        <w:t>is</w:t>
      </w:r>
      <w:r w:rsidR="007C494B">
        <w:rPr>
          <w:rFonts w:ascii="Times New Roman" w:hAnsi="Times New Roman" w:cs="Times New Roman"/>
        </w:rPr>
        <w:t xml:space="preserve"> likely</w:t>
      </w:r>
      <w:r w:rsidR="001939C7">
        <w:rPr>
          <w:rFonts w:ascii="Times New Roman" w:hAnsi="Times New Roman" w:cs="Times New Roman"/>
        </w:rPr>
        <w:t xml:space="preserve"> conservative</w:t>
      </w:r>
      <w:r w:rsidR="00232944">
        <w:rPr>
          <w:rFonts w:ascii="Times New Roman" w:hAnsi="Times New Roman" w:cs="Times New Roman"/>
        </w:rPr>
        <w:t>,</w:t>
      </w:r>
      <w:r w:rsidRPr="00BF4D0A" w:rsidR="00C95661">
        <w:rPr>
          <w:rFonts w:ascii="Times New Roman" w:hAnsi="Times New Roman" w:cs="Times New Roman"/>
        </w:rPr>
        <w:t xml:space="preserve"> given that EPA assumes the generator for backup power will cost</w:t>
      </w:r>
      <w:r w:rsidRPr="00BF4D0A" w:rsidR="00F024FF">
        <w:rPr>
          <w:rFonts w:ascii="Times New Roman" w:hAnsi="Times New Roman" w:cs="Times New Roman"/>
        </w:rPr>
        <w:t xml:space="preserve"> </w:t>
      </w:r>
      <w:r w:rsidRPr="00BF4D0A" w:rsidR="00C95661">
        <w:rPr>
          <w:rFonts w:ascii="Times New Roman" w:hAnsi="Times New Roman" w:cs="Times New Roman"/>
        </w:rPr>
        <w:t>$</w:t>
      </w:r>
      <w:r w:rsidR="00CB65E6">
        <w:rPr>
          <w:rFonts w:ascii="Times New Roman" w:hAnsi="Times New Roman" w:cs="Times New Roman"/>
        </w:rPr>
        <w:t>3</w:t>
      </w:r>
      <w:r w:rsidRPr="00BF4D0A" w:rsidR="00C95661">
        <w:rPr>
          <w:rFonts w:ascii="Times New Roman" w:hAnsi="Times New Roman" w:cs="Times New Roman"/>
        </w:rPr>
        <w:t>,000</w:t>
      </w:r>
      <w:r w:rsidRPr="00BF4D0A" w:rsidR="00A243CD">
        <w:rPr>
          <w:rFonts w:ascii="Times New Roman" w:hAnsi="Times New Roman" w:cs="Times New Roman"/>
        </w:rPr>
        <w:t xml:space="preserve"> and that each facility will </w:t>
      </w:r>
      <w:r w:rsidRPr="00BF4D0A" w:rsidR="00F024FF">
        <w:rPr>
          <w:rFonts w:ascii="Times New Roman" w:hAnsi="Times New Roman" w:cs="Times New Roman"/>
        </w:rPr>
        <w:t>purchase only</w:t>
      </w:r>
      <w:r w:rsidRPr="00BF4D0A" w:rsidR="00A243CD">
        <w:rPr>
          <w:rFonts w:ascii="Times New Roman" w:hAnsi="Times New Roman" w:cs="Times New Roman"/>
        </w:rPr>
        <w:t xml:space="preserve"> one generator</w:t>
      </w:r>
      <w:r w:rsidR="00B44C88">
        <w:rPr>
          <w:rFonts w:ascii="Times New Roman" w:hAnsi="Times New Roman" w:cs="Times New Roman"/>
        </w:rPr>
        <w:t xml:space="preserve"> that will last for </w:t>
      </w:r>
      <w:r w:rsidR="00F05E8B">
        <w:rPr>
          <w:rFonts w:ascii="Times New Roman" w:hAnsi="Times New Roman" w:cs="Times New Roman"/>
        </w:rPr>
        <w:t>5</w:t>
      </w:r>
      <w:r w:rsidR="00B44C88">
        <w:rPr>
          <w:rFonts w:ascii="Times New Roman" w:hAnsi="Times New Roman" w:cs="Times New Roman"/>
        </w:rPr>
        <w:t xml:space="preserve"> year</w:t>
      </w:r>
      <w:r w:rsidR="00F05E8B">
        <w:rPr>
          <w:rFonts w:ascii="Times New Roman" w:hAnsi="Times New Roman" w:cs="Times New Roman"/>
        </w:rPr>
        <w:t>s</w:t>
      </w:r>
      <w:r w:rsidR="00B44C88">
        <w:rPr>
          <w:rFonts w:ascii="Times New Roman" w:hAnsi="Times New Roman" w:cs="Times New Roman"/>
        </w:rPr>
        <w:t xml:space="preserve"> </w:t>
      </w:r>
      <w:r w:rsidR="00F05E8B">
        <w:rPr>
          <w:rFonts w:ascii="Times New Roman" w:hAnsi="Times New Roman" w:cs="Times New Roman"/>
        </w:rPr>
        <w:t xml:space="preserve">before </w:t>
      </w:r>
      <w:r w:rsidR="00B346C0">
        <w:rPr>
          <w:rFonts w:ascii="Times New Roman" w:hAnsi="Times New Roman" w:cs="Times New Roman"/>
        </w:rPr>
        <w:t xml:space="preserve">needing </w:t>
      </w:r>
      <w:r w:rsidR="00F15E17">
        <w:rPr>
          <w:rFonts w:ascii="Times New Roman" w:hAnsi="Times New Roman" w:cs="Times New Roman"/>
        </w:rPr>
        <w:t xml:space="preserve">a </w:t>
      </w:r>
      <w:r w:rsidR="00B346C0">
        <w:rPr>
          <w:rFonts w:ascii="Times New Roman" w:hAnsi="Times New Roman" w:cs="Times New Roman"/>
        </w:rPr>
        <w:t xml:space="preserve">replacement or </w:t>
      </w:r>
      <w:r w:rsidR="002A4438">
        <w:rPr>
          <w:rFonts w:ascii="Times New Roman" w:hAnsi="Times New Roman" w:cs="Times New Roman"/>
        </w:rPr>
        <w:t xml:space="preserve">major </w:t>
      </w:r>
      <w:r w:rsidR="00F60946">
        <w:rPr>
          <w:rFonts w:ascii="Times New Roman" w:hAnsi="Times New Roman" w:cs="Times New Roman"/>
        </w:rPr>
        <w:t xml:space="preserve">maintenance and </w:t>
      </w:r>
      <w:r w:rsidR="002A4438">
        <w:rPr>
          <w:rFonts w:ascii="Times New Roman" w:hAnsi="Times New Roman" w:cs="Times New Roman"/>
        </w:rPr>
        <w:t xml:space="preserve">repairs of equivalent </w:t>
      </w:r>
      <w:r w:rsidR="00F63FE2">
        <w:rPr>
          <w:rFonts w:ascii="Times New Roman" w:hAnsi="Times New Roman" w:cs="Times New Roman"/>
        </w:rPr>
        <w:t>cost</w:t>
      </w:r>
      <w:r w:rsidRPr="00BF4D0A" w:rsidR="00435210">
        <w:rPr>
          <w:rFonts w:ascii="Times New Roman" w:hAnsi="Times New Roman" w:cs="Times New Roman"/>
        </w:rPr>
        <w:t>.</w:t>
      </w:r>
      <w:r w:rsidR="00982066">
        <w:rPr>
          <w:rFonts w:ascii="Times New Roman" w:hAnsi="Times New Roman" w:cs="Times New Roman"/>
        </w:rPr>
        <w:t xml:space="preserve"> For STAA implementation, this </w:t>
      </w:r>
      <w:r w:rsidR="004469EA">
        <w:rPr>
          <w:rFonts w:ascii="Times New Roman" w:hAnsi="Times New Roman" w:cs="Times New Roman"/>
        </w:rPr>
        <w:t xml:space="preserve">assumption </w:t>
      </w:r>
      <w:r w:rsidR="00982066">
        <w:rPr>
          <w:rFonts w:ascii="Times New Roman" w:hAnsi="Times New Roman" w:cs="Times New Roman"/>
        </w:rPr>
        <w:t xml:space="preserve">is </w:t>
      </w:r>
      <w:r w:rsidR="00F70A71">
        <w:rPr>
          <w:rFonts w:ascii="Times New Roman" w:hAnsi="Times New Roman" w:cs="Times New Roman"/>
        </w:rPr>
        <w:t xml:space="preserve">likely </w:t>
      </w:r>
      <w:r w:rsidR="00B83ACA">
        <w:rPr>
          <w:rFonts w:ascii="Times New Roman" w:hAnsi="Times New Roman" w:cs="Times New Roman"/>
        </w:rPr>
        <w:t xml:space="preserve">to be accurate </w:t>
      </w:r>
      <w:r w:rsidR="002A7ADA">
        <w:rPr>
          <w:rFonts w:ascii="Times New Roman" w:hAnsi="Times New Roman" w:cs="Times New Roman"/>
        </w:rPr>
        <w:t xml:space="preserve">for </w:t>
      </w:r>
      <w:r w:rsidR="00A7216E">
        <w:rPr>
          <w:rFonts w:ascii="Times New Roman" w:hAnsi="Times New Roman" w:cs="Times New Roman"/>
        </w:rPr>
        <w:t>simpler,</w:t>
      </w:r>
      <w:r w:rsidR="002A7ADA">
        <w:rPr>
          <w:rFonts w:ascii="Times New Roman" w:hAnsi="Times New Roman" w:cs="Times New Roman"/>
        </w:rPr>
        <w:t xml:space="preserve"> less-capital-intensive measures </w:t>
      </w:r>
      <w:r w:rsidR="00220323">
        <w:rPr>
          <w:rFonts w:ascii="Times New Roman" w:hAnsi="Times New Roman" w:cs="Times New Roman"/>
        </w:rPr>
        <w:t xml:space="preserve">where most of the upfront costs are </w:t>
      </w:r>
      <w:r w:rsidR="00072B52">
        <w:rPr>
          <w:rFonts w:ascii="Times New Roman" w:hAnsi="Times New Roman" w:cs="Times New Roman"/>
        </w:rPr>
        <w:t xml:space="preserve">from labor effort </w:t>
      </w:r>
      <w:r w:rsidR="001A7577">
        <w:rPr>
          <w:rFonts w:ascii="Times New Roman" w:hAnsi="Times New Roman" w:cs="Times New Roman"/>
        </w:rPr>
        <w:t>or</w:t>
      </w:r>
      <w:r w:rsidR="00982066">
        <w:rPr>
          <w:rFonts w:ascii="Times New Roman" w:hAnsi="Times New Roman" w:cs="Times New Roman"/>
        </w:rPr>
        <w:t xml:space="preserve"> </w:t>
      </w:r>
      <w:r w:rsidR="003610A6">
        <w:rPr>
          <w:rFonts w:ascii="Times New Roman" w:hAnsi="Times New Roman" w:cs="Times New Roman"/>
        </w:rPr>
        <w:t xml:space="preserve">for </w:t>
      </w:r>
      <w:r w:rsidR="007E6798">
        <w:rPr>
          <w:rFonts w:ascii="Times New Roman" w:hAnsi="Times New Roman" w:cs="Times New Roman"/>
        </w:rPr>
        <w:t xml:space="preserve">measures where </w:t>
      </w:r>
      <w:r w:rsidR="00B83ACA">
        <w:rPr>
          <w:rFonts w:ascii="Times New Roman" w:hAnsi="Times New Roman" w:cs="Times New Roman"/>
        </w:rPr>
        <w:t xml:space="preserve">the </w:t>
      </w:r>
      <w:r w:rsidR="007E6798">
        <w:rPr>
          <w:rFonts w:ascii="Times New Roman" w:hAnsi="Times New Roman" w:cs="Times New Roman"/>
        </w:rPr>
        <w:t xml:space="preserve">equipment </w:t>
      </w:r>
      <w:r w:rsidR="00B83ACA">
        <w:rPr>
          <w:rFonts w:ascii="Times New Roman" w:hAnsi="Times New Roman" w:cs="Times New Roman"/>
        </w:rPr>
        <w:t xml:space="preserve">installation </w:t>
      </w:r>
      <w:r w:rsidR="00493450">
        <w:rPr>
          <w:rFonts w:ascii="Times New Roman" w:hAnsi="Times New Roman" w:cs="Times New Roman"/>
        </w:rPr>
        <w:t>is quick</w:t>
      </w:r>
      <w:r w:rsidR="00510E98">
        <w:rPr>
          <w:rFonts w:ascii="Times New Roman" w:hAnsi="Times New Roman" w:cs="Times New Roman"/>
        </w:rPr>
        <w:t>,</w:t>
      </w:r>
      <w:r w:rsidR="00493450">
        <w:rPr>
          <w:rFonts w:ascii="Times New Roman" w:hAnsi="Times New Roman" w:cs="Times New Roman"/>
        </w:rPr>
        <w:t xml:space="preserve"> </w:t>
      </w:r>
      <w:r w:rsidR="00B83ACA">
        <w:rPr>
          <w:rFonts w:ascii="Times New Roman" w:hAnsi="Times New Roman" w:cs="Times New Roman"/>
        </w:rPr>
        <w:t>but removal is</w:t>
      </w:r>
      <w:r w:rsidR="00A61C40">
        <w:rPr>
          <w:rFonts w:ascii="Times New Roman" w:hAnsi="Times New Roman" w:cs="Times New Roman"/>
        </w:rPr>
        <w:t xml:space="preserve"> difficult. However,</w:t>
      </w:r>
      <w:r w:rsidR="00942E96">
        <w:rPr>
          <w:rFonts w:ascii="Times New Roman" w:hAnsi="Times New Roman" w:cs="Times New Roman"/>
        </w:rPr>
        <w:t xml:space="preserve"> </w:t>
      </w:r>
      <w:r w:rsidR="00B83ACA">
        <w:rPr>
          <w:rFonts w:ascii="Times New Roman" w:hAnsi="Times New Roman" w:cs="Times New Roman"/>
        </w:rPr>
        <w:t xml:space="preserve">this assumption is </w:t>
      </w:r>
      <w:r w:rsidR="00982066">
        <w:rPr>
          <w:rFonts w:ascii="Times New Roman" w:hAnsi="Times New Roman" w:cs="Times New Roman"/>
        </w:rPr>
        <w:t xml:space="preserve">less likely </w:t>
      </w:r>
      <w:r w:rsidR="004469EA">
        <w:rPr>
          <w:rFonts w:ascii="Times New Roman" w:hAnsi="Times New Roman" w:cs="Times New Roman"/>
        </w:rPr>
        <w:t>to be</w:t>
      </w:r>
      <w:r w:rsidR="000F6962">
        <w:rPr>
          <w:rFonts w:ascii="Times New Roman" w:hAnsi="Times New Roman" w:cs="Times New Roman"/>
        </w:rPr>
        <w:t xml:space="preserve"> accurate </w:t>
      </w:r>
      <w:r w:rsidR="00EE15A6">
        <w:rPr>
          <w:rFonts w:ascii="Times New Roman" w:hAnsi="Times New Roman" w:cs="Times New Roman"/>
        </w:rPr>
        <w:t>for</w:t>
      </w:r>
      <w:r w:rsidR="00982066">
        <w:rPr>
          <w:rFonts w:ascii="Times New Roman" w:hAnsi="Times New Roman" w:cs="Times New Roman"/>
        </w:rPr>
        <w:t xml:space="preserve"> many </w:t>
      </w:r>
      <w:r w:rsidR="00EE15A6">
        <w:rPr>
          <w:rFonts w:ascii="Times New Roman" w:hAnsi="Times New Roman" w:cs="Times New Roman"/>
        </w:rPr>
        <w:t xml:space="preserve">other </w:t>
      </w:r>
      <w:r w:rsidR="00982066">
        <w:rPr>
          <w:rFonts w:ascii="Times New Roman" w:hAnsi="Times New Roman" w:cs="Times New Roman"/>
        </w:rPr>
        <w:t>potential implementation measures</w:t>
      </w:r>
      <w:r w:rsidR="00EE15A6">
        <w:rPr>
          <w:rFonts w:ascii="Times New Roman" w:hAnsi="Times New Roman" w:cs="Times New Roman"/>
        </w:rPr>
        <w:t xml:space="preserve"> with </w:t>
      </w:r>
      <w:r w:rsidR="00C333B9">
        <w:rPr>
          <w:rFonts w:ascii="Times New Roman" w:hAnsi="Times New Roman" w:cs="Times New Roman"/>
        </w:rPr>
        <w:t xml:space="preserve">multi-year </w:t>
      </w:r>
      <w:r w:rsidR="005F5F89">
        <w:rPr>
          <w:rFonts w:ascii="Times New Roman" w:hAnsi="Times New Roman" w:cs="Times New Roman"/>
        </w:rPr>
        <w:t>implementation timelines and</w:t>
      </w:r>
      <w:r w:rsidR="00EE15A6">
        <w:rPr>
          <w:rFonts w:ascii="Times New Roman" w:hAnsi="Times New Roman" w:cs="Times New Roman"/>
        </w:rPr>
        <w:t xml:space="preserve"> larger capital costs</w:t>
      </w:r>
      <w:r w:rsidR="00B47973">
        <w:rPr>
          <w:rFonts w:ascii="Times New Roman" w:hAnsi="Times New Roman" w:cs="Times New Roman"/>
        </w:rPr>
        <w:t xml:space="preserve"> where equipment may retain substantial resale value for some years</w:t>
      </w:r>
      <w:r w:rsidR="00982066">
        <w:rPr>
          <w:rFonts w:ascii="Times New Roman" w:hAnsi="Times New Roman" w:cs="Times New Roman"/>
        </w:rPr>
        <w:t xml:space="preserve">. </w:t>
      </w:r>
      <w:r w:rsidR="00B14DCF">
        <w:rPr>
          <w:rFonts w:ascii="Times New Roman" w:hAnsi="Times New Roman" w:cs="Times New Roman"/>
        </w:rPr>
        <w:t>T</w:t>
      </w:r>
      <w:r w:rsidR="00A40E22">
        <w:rPr>
          <w:rFonts w:ascii="Times New Roman" w:hAnsi="Times New Roman" w:cs="Times New Roman"/>
        </w:rPr>
        <w:t xml:space="preserve">he </w:t>
      </w:r>
      <w:r w:rsidR="00325EE5">
        <w:rPr>
          <w:rFonts w:ascii="Times New Roman" w:hAnsi="Times New Roman" w:cs="Times New Roman"/>
        </w:rPr>
        <w:t>effect o</w:t>
      </w:r>
      <w:r w:rsidR="006A29DB">
        <w:rPr>
          <w:rFonts w:ascii="Times New Roman" w:hAnsi="Times New Roman" w:cs="Times New Roman"/>
        </w:rPr>
        <w:t xml:space="preserve">f STAA implementation on a facility’s value </w:t>
      </w:r>
      <w:r w:rsidR="00D14BA6">
        <w:rPr>
          <w:rFonts w:ascii="Times New Roman" w:hAnsi="Times New Roman" w:cs="Times New Roman"/>
        </w:rPr>
        <w:t xml:space="preserve">varies by </w:t>
      </w:r>
      <w:r w:rsidR="006078CE">
        <w:rPr>
          <w:rFonts w:ascii="Times New Roman" w:hAnsi="Times New Roman" w:cs="Times New Roman"/>
        </w:rPr>
        <w:t>measure and facility</w:t>
      </w:r>
      <w:r w:rsidR="0049193B">
        <w:rPr>
          <w:rFonts w:ascii="Times New Roman" w:hAnsi="Times New Roman" w:cs="Times New Roman"/>
        </w:rPr>
        <w:t xml:space="preserve">, and EPA lacks </w:t>
      </w:r>
      <w:r w:rsidR="00E72FBE">
        <w:rPr>
          <w:rFonts w:ascii="Times New Roman" w:hAnsi="Times New Roman" w:cs="Times New Roman"/>
        </w:rPr>
        <w:t>data on</w:t>
      </w:r>
      <w:r w:rsidR="00A822D9">
        <w:rPr>
          <w:rFonts w:ascii="Times New Roman" w:hAnsi="Times New Roman" w:cs="Times New Roman"/>
        </w:rPr>
        <w:t xml:space="preserve"> average values o</w:t>
      </w:r>
      <w:r w:rsidR="00333934">
        <w:rPr>
          <w:rFonts w:ascii="Times New Roman" w:hAnsi="Times New Roman" w:cs="Times New Roman"/>
        </w:rPr>
        <w:t>f old equipment replaced</w:t>
      </w:r>
      <w:r w:rsidR="005C5828">
        <w:rPr>
          <w:rFonts w:ascii="Times New Roman" w:hAnsi="Times New Roman" w:cs="Times New Roman"/>
        </w:rPr>
        <w:t xml:space="preserve"> and on the ease of resale </w:t>
      </w:r>
      <w:r w:rsidR="00046EB0">
        <w:rPr>
          <w:rFonts w:ascii="Times New Roman" w:hAnsi="Times New Roman" w:cs="Times New Roman"/>
        </w:rPr>
        <w:t>o</w:t>
      </w:r>
      <w:r w:rsidR="00725B14">
        <w:rPr>
          <w:rFonts w:ascii="Times New Roman" w:hAnsi="Times New Roman" w:cs="Times New Roman"/>
        </w:rPr>
        <w:t>f equipment installed to implement STAA measure</w:t>
      </w:r>
      <w:r w:rsidR="00A92901">
        <w:rPr>
          <w:rFonts w:ascii="Times New Roman" w:hAnsi="Times New Roman" w:cs="Times New Roman"/>
        </w:rPr>
        <w:t xml:space="preserve">s. </w:t>
      </w:r>
    </w:p>
    <w:p w:rsidR="000D5402" w:rsidP="00FA520A" w14:paraId="27E9CFA8" w14:textId="77777777">
      <w:pPr>
        <w:spacing w:after="0" w:line="240" w:lineRule="auto"/>
        <w:ind w:firstLine="360"/>
        <w:rPr>
          <w:rFonts w:ascii="Times New Roman" w:hAnsi="Times New Roman" w:cs="Times New Roman"/>
        </w:rPr>
      </w:pPr>
    </w:p>
    <w:p w:rsidR="005C39E5" w:rsidRPr="005C39E5" w:rsidP="005C39E5" w14:paraId="4FD02724" w14:textId="77777777">
      <w:pPr>
        <w:spacing w:after="0" w:line="240" w:lineRule="auto"/>
        <w:ind w:firstLine="360"/>
        <w:rPr>
          <w:rFonts w:ascii="Times New Roman" w:hAnsi="Times New Roman" w:cs="Times New Roman"/>
        </w:rPr>
      </w:pPr>
      <w:r>
        <w:rPr>
          <w:rFonts w:ascii="Times New Roman" w:hAnsi="Times New Roman" w:cs="Times New Roman"/>
        </w:rPr>
        <w:tab/>
      </w:r>
      <w:r w:rsidR="008329A4">
        <w:rPr>
          <w:rFonts w:ascii="Times New Roman" w:hAnsi="Times New Roman" w:cs="Times New Roman"/>
        </w:rPr>
        <w:t xml:space="preserve">Financing would smooth a facility’s </w:t>
      </w:r>
      <w:r w:rsidR="004469EA">
        <w:rPr>
          <w:rFonts w:ascii="Times New Roman" w:hAnsi="Times New Roman" w:cs="Times New Roman"/>
        </w:rPr>
        <w:t>costs</w:t>
      </w:r>
      <w:r w:rsidR="008329A4">
        <w:rPr>
          <w:rFonts w:ascii="Times New Roman" w:hAnsi="Times New Roman" w:cs="Times New Roman"/>
        </w:rPr>
        <w:t xml:space="preserve"> </w:t>
      </w:r>
      <w:r w:rsidR="005C5ECC">
        <w:rPr>
          <w:rFonts w:ascii="Times New Roman" w:hAnsi="Times New Roman" w:cs="Times New Roman"/>
        </w:rPr>
        <w:t xml:space="preserve">of directing resources </w:t>
      </w:r>
      <w:r w:rsidR="00F56CD8">
        <w:rPr>
          <w:rFonts w:ascii="Times New Roman" w:hAnsi="Times New Roman" w:cs="Times New Roman"/>
        </w:rPr>
        <w:t>(</w:t>
      </w:r>
      <w:r w:rsidR="00DD791A">
        <w:rPr>
          <w:rFonts w:ascii="Times New Roman" w:hAnsi="Times New Roman" w:cs="Times New Roman"/>
        </w:rPr>
        <w:t xml:space="preserve">for example, </w:t>
      </w:r>
      <w:r w:rsidR="008329A4">
        <w:rPr>
          <w:rFonts w:ascii="Times New Roman" w:hAnsi="Times New Roman" w:cs="Times New Roman"/>
        </w:rPr>
        <w:t>labor and materials</w:t>
      </w:r>
      <w:r w:rsidR="00F56CD8">
        <w:rPr>
          <w:rFonts w:ascii="Times New Roman" w:hAnsi="Times New Roman" w:cs="Times New Roman"/>
        </w:rPr>
        <w:t>)</w:t>
      </w:r>
      <w:r w:rsidR="008329A4">
        <w:rPr>
          <w:rFonts w:ascii="Times New Roman" w:hAnsi="Times New Roman" w:cs="Times New Roman"/>
        </w:rPr>
        <w:t xml:space="preserve"> toward construction and/or installation for the measure.</w:t>
      </w:r>
      <w:r w:rsidR="00982066">
        <w:rPr>
          <w:rFonts w:ascii="Times New Roman" w:hAnsi="Times New Roman" w:cs="Times New Roman"/>
        </w:rPr>
        <w:t xml:space="preserve"> </w:t>
      </w:r>
      <w:r w:rsidRPr="005C39E5">
        <w:rPr>
          <w:rFonts w:ascii="Times New Roman" w:hAnsi="Times New Roman" w:cs="Times New Roman"/>
        </w:rPr>
        <w:t xml:space="preserve">Many </w:t>
      </w:r>
      <w:r w:rsidRPr="005C39E5">
        <w:rPr>
          <w:rFonts w:ascii="Times New Roman" w:eastAsia="Times New Roman" w:hAnsi="Times New Roman" w:cs="Times New Roman"/>
        </w:rPr>
        <w:t>chemical plants, ethanol plants, and other processing assets do not typically finance parts of facilities</w:t>
      </w:r>
      <w:r>
        <w:rPr>
          <w:rFonts w:ascii="Times New Roman" w:eastAsia="Times New Roman" w:hAnsi="Times New Roman" w:cs="Times New Roman"/>
        </w:rPr>
        <w:t>. T</w:t>
      </w:r>
      <w:r w:rsidRPr="005C39E5">
        <w:rPr>
          <w:rFonts w:ascii="Times New Roman" w:eastAsia="Times New Roman" w:hAnsi="Times New Roman" w:cs="Times New Roman"/>
        </w:rPr>
        <w:t>hey would finance only equipment/processes that can be separated out</w:t>
      </w:r>
      <w:r>
        <w:rPr>
          <w:rFonts w:ascii="Times New Roman" w:eastAsia="Times New Roman" w:hAnsi="Times New Roman" w:cs="Times New Roman"/>
        </w:rPr>
        <w:t>, meaning that some STAA</w:t>
      </w:r>
      <w:r w:rsidR="001362B0">
        <w:rPr>
          <w:rFonts w:ascii="Times New Roman" w:eastAsia="Times New Roman" w:hAnsi="Times New Roman" w:cs="Times New Roman"/>
        </w:rPr>
        <w:t xml:space="preserve"> implementation measures </w:t>
      </w:r>
      <w:r w:rsidR="000139C8">
        <w:rPr>
          <w:rFonts w:ascii="Times New Roman" w:eastAsia="Times New Roman" w:hAnsi="Times New Roman" w:cs="Times New Roman"/>
        </w:rPr>
        <w:t xml:space="preserve">that fall into this category </w:t>
      </w:r>
      <w:r w:rsidR="001362B0">
        <w:rPr>
          <w:rFonts w:ascii="Times New Roman" w:eastAsia="Times New Roman" w:hAnsi="Times New Roman" w:cs="Times New Roman"/>
        </w:rPr>
        <w:t>may not be financed</w:t>
      </w:r>
      <w:r w:rsidRPr="005C39E5">
        <w:rPr>
          <w:rFonts w:ascii="Times New Roman" w:eastAsia="Times New Roman" w:hAnsi="Times New Roman" w:cs="Times New Roman"/>
        </w:rPr>
        <w:t>. </w:t>
      </w:r>
      <w:r w:rsidR="000139C8">
        <w:rPr>
          <w:rFonts w:ascii="Times New Roman" w:eastAsia="Times New Roman" w:hAnsi="Times New Roman" w:cs="Times New Roman"/>
        </w:rPr>
        <w:t>Additionally</w:t>
      </w:r>
      <w:r w:rsidR="00611C85">
        <w:rPr>
          <w:rFonts w:ascii="Times New Roman" w:eastAsia="Times New Roman" w:hAnsi="Times New Roman" w:cs="Times New Roman"/>
        </w:rPr>
        <w:t>, many facilities may not</w:t>
      </w:r>
      <w:r w:rsidR="00376945">
        <w:rPr>
          <w:rFonts w:ascii="Times New Roman" w:eastAsia="Times New Roman" w:hAnsi="Times New Roman" w:cs="Times New Roman"/>
        </w:rPr>
        <w:t xml:space="preserve"> want, or be able to get</w:t>
      </w:r>
      <w:r>
        <w:rPr>
          <w:rFonts w:ascii="Times New Roman" w:eastAsia="Times New Roman" w:hAnsi="Times New Roman" w:cs="Times New Roman"/>
        </w:rPr>
        <w:t>,</w:t>
      </w:r>
      <w:r w:rsidR="00376945">
        <w:rPr>
          <w:rFonts w:ascii="Times New Roman" w:eastAsia="Times New Roman" w:hAnsi="Times New Roman" w:cs="Times New Roman"/>
        </w:rPr>
        <w:t xml:space="preserve"> from primary lenders loans for </w:t>
      </w:r>
      <w:r>
        <w:rPr>
          <w:rFonts w:ascii="Times New Roman" w:eastAsia="Times New Roman" w:hAnsi="Times New Roman" w:cs="Times New Roman"/>
        </w:rPr>
        <w:t xml:space="preserve">the </w:t>
      </w:r>
      <w:r w:rsidR="00376945">
        <w:rPr>
          <w:rFonts w:ascii="Times New Roman" w:eastAsia="Times New Roman" w:hAnsi="Times New Roman" w:cs="Times New Roman"/>
        </w:rPr>
        <w:t xml:space="preserve">typical size of STAA implementation measures </w:t>
      </w:r>
      <w:r w:rsidR="00B11177">
        <w:rPr>
          <w:rFonts w:ascii="Times New Roman" w:eastAsia="Times New Roman" w:hAnsi="Times New Roman" w:cs="Times New Roman"/>
        </w:rPr>
        <w:t>(see Exhibit 4-6)</w:t>
      </w:r>
      <w:r w:rsidR="00376945">
        <w:rPr>
          <w:rFonts w:ascii="Times New Roman" w:eastAsia="Times New Roman" w:hAnsi="Times New Roman" w:cs="Times New Roman"/>
        </w:rPr>
        <w:t xml:space="preserve"> </w:t>
      </w:r>
      <w:r w:rsidR="002C66CE">
        <w:rPr>
          <w:rFonts w:ascii="Times New Roman" w:eastAsia="Times New Roman" w:hAnsi="Times New Roman" w:cs="Times New Roman"/>
        </w:rPr>
        <w:t>being considered as industry loans tend to be for amounts larger than $25 million</w:t>
      </w:r>
      <w:r w:rsidRPr="005C39E5">
        <w:rPr>
          <w:rFonts w:ascii="Times New Roman" w:eastAsia="Times New Roman" w:hAnsi="Times New Roman" w:cs="Times New Roman"/>
        </w:rPr>
        <w:t>.</w:t>
      </w:r>
      <w:r>
        <w:rPr>
          <w:rStyle w:val="FootnoteReference"/>
          <w:rFonts w:ascii="Times New Roman" w:eastAsia="Times New Roman" w:hAnsi="Times New Roman" w:cs="Times New Roman"/>
        </w:rPr>
        <w:footnoteReference w:id="121"/>
      </w:r>
      <w:r w:rsidRPr="005C39E5">
        <w:rPr>
          <w:rFonts w:ascii="Times New Roman" w:eastAsia="Times New Roman" w:hAnsi="Times New Roman" w:cs="Times New Roman"/>
        </w:rPr>
        <w:t xml:space="preserve"> </w:t>
      </w:r>
      <w:r w:rsidR="00D23614">
        <w:rPr>
          <w:rFonts w:ascii="Times New Roman" w:hAnsi="Times New Roman" w:cs="Times New Roman"/>
        </w:rPr>
        <w:t xml:space="preserve">As a result of </w:t>
      </w:r>
      <w:r w:rsidR="006C0325">
        <w:rPr>
          <w:rFonts w:ascii="Times New Roman" w:hAnsi="Times New Roman" w:cs="Times New Roman"/>
        </w:rPr>
        <w:t xml:space="preserve">these financing </w:t>
      </w:r>
      <w:r w:rsidR="00487305">
        <w:rPr>
          <w:rFonts w:ascii="Times New Roman" w:hAnsi="Times New Roman" w:cs="Times New Roman"/>
        </w:rPr>
        <w:t>considerations,</w:t>
      </w:r>
      <w:r w:rsidR="00D23614">
        <w:rPr>
          <w:rFonts w:ascii="Times New Roman" w:hAnsi="Times New Roman" w:cs="Times New Roman"/>
        </w:rPr>
        <w:t xml:space="preserve"> </w:t>
      </w:r>
      <w:r w:rsidR="006C0325">
        <w:rPr>
          <w:rFonts w:ascii="Times New Roman" w:hAnsi="Times New Roman" w:cs="Times New Roman"/>
        </w:rPr>
        <w:t>and</w:t>
      </w:r>
      <w:r w:rsidR="00615557">
        <w:rPr>
          <w:rFonts w:ascii="Times New Roman" w:hAnsi="Times New Roman" w:cs="Times New Roman"/>
        </w:rPr>
        <w:t xml:space="preserve"> the</w:t>
      </w:r>
      <w:r w:rsidR="00D23614">
        <w:rPr>
          <w:rFonts w:ascii="Times New Roman" w:hAnsi="Times New Roman" w:cs="Times New Roman"/>
        </w:rPr>
        <w:t xml:space="preserve"> value considerations in the prior paragraph</w:t>
      </w:r>
      <w:r w:rsidR="006C0325">
        <w:rPr>
          <w:rFonts w:ascii="Times New Roman" w:hAnsi="Times New Roman" w:cs="Times New Roman"/>
        </w:rPr>
        <w:t>, EPA makes the simplifying assumption that all upfront costs of implementation occur in a single year and are not amortized.</w:t>
      </w:r>
    </w:p>
    <w:p w:rsidR="000D5402" w:rsidRPr="005C39E5" w:rsidP="005C39E5" w14:paraId="7F7A5D83" w14:textId="77777777">
      <w:pPr>
        <w:spacing w:after="0" w:line="240" w:lineRule="auto"/>
        <w:ind w:firstLine="360"/>
        <w:rPr>
          <w:rFonts w:ascii="Times New Roman" w:hAnsi="Times New Roman" w:cs="Times New Roman"/>
        </w:rPr>
      </w:pPr>
    </w:p>
    <w:p w:rsidR="00435210" w:rsidRPr="00BF4D0A" w:rsidP="00576F93" w14:paraId="14627369" w14:textId="77777777">
      <w:pPr>
        <w:spacing w:after="0" w:line="240" w:lineRule="auto"/>
        <w:ind w:firstLine="360"/>
        <w:rPr>
          <w:rFonts w:ascii="Times New Roman" w:hAnsi="Times New Roman" w:cs="Times New Roman"/>
        </w:rPr>
      </w:pPr>
      <w:r>
        <w:rPr>
          <w:rFonts w:ascii="Times New Roman" w:hAnsi="Times New Roman" w:cs="Times New Roman"/>
        </w:rPr>
        <w:t xml:space="preserve"> </w:t>
      </w:r>
      <w:r w:rsidR="000D5402">
        <w:rPr>
          <w:rFonts w:ascii="Times New Roman" w:hAnsi="Times New Roman" w:cs="Times New Roman"/>
        </w:rPr>
        <w:tab/>
      </w:r>
      <w:r w:rsidR="008329A4">
        <w:rPr>
          <w:rFonts w:ascii="Times New Roman" w:hAnsi="Times New Roman" w:cs="Times New Roman"/>
        </w:rPr>
        <w:t xml:space="preserve">While </w:t>
      </w:r>
      <w:r w:rsidR="00CF7DDB">
        <w:rPr>
          <w:rFonts w:ascii="Times New Roman" w:hAnsi="Times New Roman" w:cs="Times New Roman"/>
        </w:rPr>
        <w:t>construction and installation</w:t>
      </w:r>
      <w:r w:rsidR="008329A4">
        <w:rPr>
          <w:rFonts w:ascii="Times New Roman" w:hAnsi="Times New Roman" w:cs="Times New Roman"/>
        </w:rPr>
        <w:t xml:space="preserve"> may </w:t>
      </w:r>
      <w:r w:rsidR="00CF7DDB">
        <w:rPr>
          <w:rFonts w:ascii="Times New Roman" w:hAnsi="Times New Roman" w:cs="Times New Roman"/>
        </w:rPr>
        <w:t>take</w:t>
      </w:r>
      <w:r w:rsidR="008329A4">
        <w:rPr>
          <w:rFonts w:ascii="Times New Roman" w:hAnsi="Times New Roman" w:cs="Times New Roman"/>
        </w:rPr>
        <w:t xml:space="preserve"> multiple years</w:t>
      </w:r>
      <w:r w:rsidR="00CF7DDB">
        <w:rPr>
          <w:rFonts w:ascii="Times New Roman" w:hAnsi="Times New Roman" w:cs="Times New Roman"/>
        </w:rPr>
        <w:t xml:space="preserve"> for some measures</w:t>
      </w:r>
      <w:r w:rsidR="008329A4">
        <w:rPr>
          <w:rFonts w:ascii="Times New Roman" w:hAnsi="Times New Roman" w:cs="Times New Roman"/>
        </w:rPr>
        <w:t xml:space="preserve">, all facilities must implement </w:t>
      </w:r>
      <w:r w:rsidR="000D5402">
        <w:rPr>
          <w:rFonts w:ascii="Times New Roman" w:hAnsi="Times New Roman" w:cs="Times New Roman"/>
        </w:rPr>
        <w:t xml:space="preserve">the measures </w:t>
      </w:r>
      <w:r w:rsidR="008329A4">
        <w:rPr>
          <w:rFonts w:ascii="Times New Roman" w:hAnsi="Times New Roman" w:cs="Times New Roman"/>
        </w:rPr>
        <w:t>within five years, so EPA believes it is reasonable to assume one</w:t>
      </w:r>
      <w:r w:rsidR="004469EA">
        <w:rPr>
          <w:rFonts w:ascii="Times New Roman" w:hAnsi="Times New Roman" w:cs="Times New Roman"/>
        </w:rPr>
        <w:t>-</w:t>
      </w:r>
      <w:r w:rsidR="008329A4">
        <w:rPr>
          <w:rFonts w:ascii="Times New Roman" w:hAnsi="Times New Roman" w:cs="Times New Roman"/>
        </w:rPr>
        <w:t xml:space="preserve">fifth of </w:t>
      </w:r>
      <w:r w:rsidR="00CF7DDB">
        <w:rPr>
          <w:rFonts w:ascii="Times New Roman" w:hAnsi="Times New Roman" w:cs="Times New Roman"/>
        </w:rPr>
        <w:t xml:space="preserve">total </w:t>
      </w:r>
      <w:r w:rsidR="008329A4">
        <w:rPr>
          <w:rFonts w:ascii="Times New Roman" w:hAnsi="Times New Roman" w:cs="Times New Roman"/>
        </w:rPr>
        <w:t>capital costs occur in each year</w:t>
      </w:r>
      <w:r w:rsidR="004469EA">
        <w:rPr>
          <w:rFonts w:ascii="Times New Roman" w:hAnsi="Times New Roman" w:cs="Times New Roman"/>
        </w:rPr>
        <w:t>,</w:t>
      </w:r>
      <w:r w:rsidR="00CF7DDB">
        <w:rPr>
          <w:rFonts w:ascii="Times New Roman" w:hAnsi="Times New Roman" w:cs="Times New Roman"/>
        </w:rPr>
        <w:t xml:space="preserve"> per five-year period</w:t>
      </w:r>
      <w:r w:rsidR="008329A4">
        <w:rPr>
          <w:rFonts w:ascii="Times New Roman" w:hAnsi="Times New Roman" w:cs="Times New Roman"/>
        </w:rPr>
        <w:t>.</w:t>
      </w:r>
    </w:p>
    <w:p w:rsidR="00576F93" w:rsidRPr="00BF4D0A" w:rsidP="00576F93" w14:paraId="1FF250B3" w14:textId="77777777">
      <w:pPr>
        <w:spacing w:after="0" w:line="240" w:lineRule="auto"/>
        <w:ind w:firstLine="360"/>
        <w:rPr>
          <w:rFonts w:ascii="Times New Roman" w:hAnsi="Times New Roman" w:cs="Times New Roman"/>
        </w:rPr>
      </w:pPr>
    </w:p>
    <w:p w:rsidR="00435210" w:rsidRPr="00BF4D0A" w:rsidP="00C07306" w14:paraId="2E0E966E" w14:textId="77777777">
      <w:pPr>
        <w:pStyle w:val="Heading2"/>
      </w:pPr>
      <w:bookmarkStart w:id="242" w:name="5.2__Rule_Familiarization"/>
      <w:bookmarkStart w:id="243" w:name="_bookmark72"/>
      <w:bookmarkStart w:id="244" w:name="_Toc98856221"/>
      <w:bookmarkStart w:id="245" w:name="_Toc144303553"/>
      <w:bookmarkEnd w:id="242"/>
      <w:bookmarkEnd w:id="243"/>
      <w:r w:rsidRPr="00BF4D0A">
        <w:t>5.2 Rule</w:t>
      </w:r>
      <w:r w:rsidRPr="00BF4D0A">
        <w:rPr>
          <w:spacing w:val="-12"/>
        </w:rPr>
        <w:t xml:space="preserve"> </w:t>
      </w:r>
      <w:r w:rsidRPr="00BF4D0A">
        <w:t>Familiarization</w:t>
      </w:r>
      <w:bookmarkEnd w:id="244"/>
      <w:bookmarkEnd w:id="245"/>
    </w:p>
    <w:p w:rsidR="00435210" w:rsidP="00576F93" w14:paraId="00ADC4AB" w14:textId="77777777">
      <w:pPr>
        <w:spacing w:after="0" w:line="240" w:lineRule="auto"/>
        <w:ind w:right="388"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 xml:space="preserve">EPA </w:t>
      </w:r>
      <w:r w:rsidR="00416803">
        <w:rPr>
          <w:rFonts w:ascii="Times New Roman" w:hAnsi="Times New Roman" w:cs="Times New Roman"/>
        </w:rPr>
        <w:t>estimated</w:t>
      </w:r>
      <w:r w:rsidRPr="00BF4D0A" w:rsidR="00F21C96">
        <w:rPr>
          <w:rFonts w:ascii="Times New Roman" w:hAnsi="Times New Roman" w:cs="Times New Roman"/>
        </w:rPr>
        <w:t xml:space="preserve"> the cost of</w:t>
      </w:r>
      <w:r w:rsidRPr="00BF4D0A" w:rsidR="00200686">
        <w:rPr>
          <w:rFonts w:ascii="Times New Roman" w:hAnsi="Times New Roman" w:cs="Times New Roman"/>
        </w:rPr>
        <w:t xml:space="preserve"> </w:t>
      </w:r>
      <w:r w:rsidRPr="00BF4D0A">
        <w:rPr>
          <w:rFonts w:ascii="Times New Roman" w:hAnsi="Times New Roman" w:cs="Times New Roman"/>
        </w:rPr>
        <w:t xml:space="preserve">rule familiarization, </w:t>
      </w:r>
      <w:r w:rsidRPr="00BF4D0A" w:rsidR="00597B7C">
        <w:rPr>
          <w:rFonts w:ascii="Times New Roman" w:hAnsi="Times New Roman" w:cs="Times New Roman"/>
        </w:rPr>
        <w:t>which</w:t>
      </w:r>
      <w:r w:rsidR="004C7CAF">
        <w:rPr>
          <w:rFonts w:ascii="Times New Roman" w:hAnsi="Times New Roman" w:cs="Times New Roman"/>
        </w:rPr>
        <w:t>,</w:t>
      </w:r>
      <w:r w:rsidR="00B4726A">
        <w:rPr>
          <w:rFonts w:ascii="Times New Roman" w:hAnsi="Times New Roman" w:cs="Times New Roman"/>
        </w:rPr>
        <w:t xml:space="preserve"> while not a provision of the </w:t>
      </w:r>
      <w:r w:rsidR="00694CC5">
        <w:rPr>
          <w:rFonts w:ascii="Times New Roman" w:hAnsi="Times New Roman" w:cs="Times New Roman"/>
        </w:rPr>
        <w:t xml:space="preserve">final </w:t>
      </w:r>
      <w:r w:rsidR="00B4726A">
        <w:rPr>
          <w:rFonts w:ascii="Times New Roman" w:hAnsi="Times New Roman" w:cs="Times New Roman"/>
        </w:rPr>
        <w:t>rule,</w:t>
      </w:r>
      <w:r w:rsidRPr="00BF4D0A">
        <w:rPr>
          <w:rFonts w:ascii="Times New Roman" w:hAnsi="Times New Roman" w:cs="Times New Roman"/>
        </w:rPr>
        <w:t xml:space="preserve"> </w:t>
      </w:r>
      <w:r w:rsidR="00B4726A">
        <w:rPr>
          <w:rFonts w:ascii="Times New Roman" w:hAnsi="Times New Roman" w:cs="Times New Roman"/>
        </w:rPr>
        <w:t>is a</w:t>
      </w:r>
      <w:r w:rsidR="00D85EAB">
        <w:rPr>
          <w:rFonts w:ascii="Times New Roman" w:hAnsi="Times New Roman" w:cs="Times New Roman"/>
        </w:rPr>
        <w:t xml:space="preserve"> </w:t>
      </w:r>
      <w:r w:rsidR="00B4726A">
        <w:rPr>
          <w:rFonts w:ascii="Times New Roman" w:hAnsi="Times New Roman" w:cs="Times New Roman"/>
        </w:rPr>
        <w:t>n</w:t>
      </w:r>
      <w:r w:rsidR="00D85EAB">
        <w:rPr>
          <w:rFonts w:ascii="Times New Roman" w:hAnsi="Times New Roman" w:cs="Times New Roman"/>
        </w:rPr>
        <w:t>ecessary</w:t>
      </w:r>
      <w:r w:rsidR="00B4726A">
        <w:rPr>
          <w:rFonts w:ascii="Times New Roman" w:hAnsi="Times New Roman" w:cs="Times New Roman"/>
        </w:rPr>
        <w:t xml:space="preserve"> activity </w:t>
      </w:r>
      <w:r w:rsidR="00D85EAB">
        <w:rPr>
          <w:rFonts w:ascii="Times New Roman" w:hAnsi="Times New Roman" w:cs="Times New Roman"/>
        </w:rPr>
        <w:t xml:space="preserve">for facilities to </w:t>
      </w:r>
      <w:r w:rsidR="007670AC">
        <w:rPr>
          <w:rFonts w:ascii="Times New Roman" w:hAnsi="Times New Roman" w:cs="Times New Roman"/>
        </w:rPr>
        <w:t xml:space="preserve">successfully </w:t>
      </w:r>
      <w:r w:rsidR="00D85EAB">
        <w:rPr>
          <w:rFonts w:ascii="Times New Roman" w:hAnsi="Times New Roman" w:cs="Times New Roman"/>
        </w:rPr>
        <w:t xml:space="preserve">implement the </w:t>
      </w:r>
      <w:r w:rsidR="00C91456">
        <w:rPr>
          <w:rFonts w:ascii="Times New Roman" w:hAnsi="Times New Roman" w:cs="Times New Roman"/>
        </w:rPr>
        <w:t>rule provisions.</w:t>
      </w:r>
      <w:r w:rsidRPr="00BF4D0A">
        <w:rPr>
          <w:rFonts w:ascii="Times New Roman" w:hAnsi="Times New Roman" w:cs="Times New Roman"/>
        </w:rPr>
        <w:t xml:space="preserve"> </w:t>
      </w:r>
      <w:r w:rsidR="00AC10A1">
        <w:rPr>
          <w:rFonts w:ascii="Times New Roman" w:hAnsi="Times New Roman" w:cs="Times New Roman"/>
        </w:rPr>
        <w:t>See Exhibit 5-1.</w:t>
      </w:r>
    </w:p>
    <w:p w:rsidR="00C84234" w:rsidRPr="00BF4D0A" w:rsidP="00576F93" w14:paraId="255E8B45" w14:textId="77777777">
      <w:pPr>
        <w:spacing w:after="0" w:line="240" w:lineRule="auto"/>
        <w:ind w:right="388" w:firstLine="360"/>
        <w:rPr>
          <w:rFonts w:ascii="Times New Roman" w:hAnsi="Times New Roman" w:cs="Times New Roman"/>
        </w:rPr>
      </w:pPr>
    </w:p>
    <w:p w:rsidR="00576F93" w:rsidRPr="00576F93" w:rsidP="00576F93" w14:paraId="3711A3EB" w14:textId="77777777">
      <w:pPr>
        <w:pStyle w:val="Caption"/>
        <w:jc w:val="center"/>
        <w:rPr>
          <w:rFonts w:ascii="Times New Roman" w:hAnsi="Times New Roman" w:cs="Times New Roman"/>
          <w:b/>
          <w:bCs/>
          <w:i w:val="0"/>
          <w:iCs w:val="0"/>
          <w:color w:val="auto"/>
          <w:sz w:val="22"/>
          <w:szCs w:val="22"/>
        </w:rPr>
      </w:pPr>
      <w:bookmarkStart w:id="246" w:name="_Hlk107997755"/>
      <w:r w:rsidRPr="00576F93">
        <w:rPr>
          <w:rFonts w:ascii="Times New Roman" w:hAnsi="Times New Roman" w:cs="Times New Roman"/>
          <w:b/>
          <w:bCs/>
          <w:i w:val="0"/>
          <w:iCs w:val="0"/>
          <w:color w:val="auto"/>
          <w:sz w:val="22"/>
          <w:szCs w:val="22"/>
        </w:rPr>
        <w:t>Exhibit 5-1: Rule Familiarization (202</w:t>
      </w:r>
      <w:r w:rsidR="00281BD1">
        <w:rPr>
          <w:rFonts w:ascii="Times New Roman" w:hAnsi="Times New Roman" w:cs="Times New Roman"/>
          <w:b/>
          <w:bCs/>
          <w:i w:val="0"/>
          <w:iCs w:val="0"/>
          <w:color w:val="auto"/>
          <w:sz w:val="22"/>
          <w:szCs w:val="22"/>
        </w:rPr>
        <w:t>2</w:t>
      </w:r>
      <w:r w:rsidRPr="00576F93">
        <w:rPr>
          <w:rFonts w:ascii="Times New Roman" w:hAnsi="Times New Roman" w:cs="Times New Roman"/>
          <w:b/>
          <w:bCs/>
          <w:i w:val="0"/>
          <w:iCs w:val="0"/>
          <w:color w:val="auto"/>
          <w:sz w:val="22"/>
          <w:szCs w:val="22"/>
        </w:rPr>
        <w:t xml:space="preserve"> </w:t>
      </w:r>
      <w:r w:rsidR="004D2850">
        <w:rPr>
          <w:rFonts w:ascii="Times New Roman" w:hAnsi="Times New Roman" w:cs="Times New Roman"/>
          <w:b/>
          <w:bCs/>
          <w:i w:val="0"/>
          <w:iCs w:val="0"/>
          <w:color w:val="auto"/>
          <w:sz w:val="22"/>
          <w:szCs w:val="22"/>
        </w:rPr>
        <w:t>d</w:t>
      </w:r>
      <w:r w:rsidRPr="00576F93">
        <w:rPr>
          <w:rFonts w:ascii="Times New Roman" w:hAnsi="Times New Roman" w:cs="Times New Roman"/>
          <w:b/>
          <w:bCs/>
          <w:i w:val="0"/>
          <w:iCs w:val="0"/>
          <w:color w:val="auto"/>
          <w:sz w:val="22"/>
          <w:szCs w:val="22"/>
        </w:rPr>
        <w:t>ollars).</w:t>
      </w:r>
    </w:p>
    <w:tbl>
      <w:tblPr>
        <w:tblW w:w="0" w:type="auto"/>
        <w:tblInd w:w="1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370"/>
        <w:gridCol w:w="1020"/>
        <w:gridCol w:w="1190"/>
        <w:gridCol w:w="1620"/>
      </w:tblGrid>
      <w:tr w14:paraId="457E38AA" w14:textId="77777777" w:rsidTr="00576F93">
        <w:tblPrEx>
          <w:tblW w:w="0" w:type="auto"/>
          <w:tblInd w:w="1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25"/>
        </w:trPr>
        <w:tc>
          <w:tcPr>
            <w:tcW w:w="3370" w:type="dxa"/>
            <w:tcBorders>
              <w:left w:val="single" w:sz="8" w:space="0" w:color="000000"/>
            </w:tcBorders>
            <w:shd w:val="clear" w:color="auto" w:fill="DADADA"/>
            <w:vAlign w:val="center"/>
          </w:tcPr>
          <w:p w:rsidR="00435210" w:rsidRPr="00576F93" w:rsidP="00D21E4B" w14:paraId="3ACA4926" w14:textId="77777777">
            <w:pPr>
              <w:spacing w:after="0" w:line="240" w:lineRule="auto"/>
              <w:ind w:left="2516" w:hanging="2430"/>
              <w:jc w:val="center"/>
              <w:rPr>
                <w:rFonts w:ascii="Times New Roman" w:hAnsi="Times New Roman" w:cs="Times New Roman"/>
                <w:b/>
                <w:sz w:val="20"/>
                <w:szCs w:val="20"/>
              </w:rPr>
            </w:pPr>
            <w:r w:rsidRPr="00576F93">
              <w:rPr>
                <w:rFonts w:ascii="Times New Roman" w:hAnsi="Times New Roman" w:cs="Times New Roman"/>
                <w:b/>
                <w:sz w:val="20"/>
                <w:szCs w:val="20"/>
              </w:rPr>
              <w:t>Facility Type</w:t>
            </w:r>
          </w:p>
        </w:tc>
        <w:tc>
          <w:tcPr>
            <w:tcW w:w="1020" w:type="dxa"/>
            <w:shd w:val="clear" w:color="auto" w:fill="DADADA"/>
            <w:vAlign w:val="center"/>
          </w:tcPr>
          <w:p w:rsidR="00435210" w:rsidRPr="00576F93" w:rsidP="00576F93" w14:paraId="7D64FFA2" w14:textId="77777777">
            <w:pPr>
              <w:spacing w:after="0" w:line="240" w:lineRule="auto"/>
              <w:ind w:left="94" w:right="37"/>
              <w:jc w:val="center"/>
              <w:rPr>
                <w:rFonts w:ascii="Times New Roman" w:hAnsi="Times New Roman" w:cs="Times New Roman"/>
                <w:b/>
                <w:sz w:val="20"/>
                <w:szCs w:val="20"/>
              </w:rPr>
            </w:pPr>
            <w:r w:rsidRPr="00576F93">
              <w:rPr>
                <w:rFonts w:ascii="Times New Roman" w:hAnsi="Times New Roman" w:cs="Times New Roman"/>
                <w:b/>
                <w:sz w:val="20"/>
                <w:szCs w:val="20"/>
              </w:rPr>
              <w:t>Unit Cost</w:t>
            </w:r>
          </w:p>
        </w:tc>
        <w:tc>
          <w:tcPr>
            <w:tcW w:w="1190" w:type="dxa"/>
            <w:tcBorders>
              <w:right w:val="single" w:sz="8" w:space="0" w:color="000000"/>
            </w:tcBorders>
            <w:shd w:val="clear" w:color="auto" w:fill="DADADA"/>
            <w:vAlign w:val="center"/>
          </w:tcPr>
          <w:p w:rsidR="00435210" w:rsidRPr="00576F93" w:rsidP="00576F93" w14:paraId="26AFD8F9" w14:textId="77777777">
            <w:pPr>
              <w:spacing w:after="0" w:line="240" w:lineRule="auto"/>
              <w:ind w:left="77" w:right="51"/>
              <w:jc w:val="center"/>
              <w:rPr>
                <w:rFonts w:ascii="Times New Roman" w:hAnsi="Times New Roman" w:cs="Times New Roman"/>
                <w:b/>
                <w:sz w:val="20"/>
                <w:szCs w:val="20"/>
              </w:rPr>
            </w:pPr>
            <w:r w:rsidRPr="00576F93">
              <w:rPr>
                <w:rFonts w:ascii="Times New Roman" w:hAnsi="Times New Roman" w:cs="Times New Roman"/>
                <w:b/>
                <w:sz w:val="20"/>
                <w:szCs w:val="20"/>
              </w:rPr>
              <w:t>Facilities</w:t>
            </w:r>
          </w:p>
        </w:tc>
        <w:tc>
          <w:tcPr>
            <w:tcW w:w="1620" w:type="dxa"/>
            <w:tcBorders>
              <w:left w:val="single" w:sz="8" w:space="0" w:color="000000"/>
            </w:tcBorders>
            <w:shd w:val="clear" w:color="auto" w:fill="DADADA"/>
            <w:vAlign w:val="center"/>
          </w:tcPr>
          <w:p w:rsidR="00435210" w:rsidRPr="00576F93" w:rsidP="00576F93" w14:paraId="43238A52" w14:textId="77777777">
            <w:pPr>
              <w:spacing w:after="0" w:line="240" w:lineRule="auto"/>
              <w:ind w:left="91" w:right="36"/>
              <w:jc w:val="center"/>
              <w:rPr>
                <w:rFonts w:ascii="Times New Roman" w:hAnsi="Times New Roman" w:cs="Times New Roman"/>
                <w:b/>
                <w:sz w:val="20"/>
                <w:szCs w:val="20"/>
              </w:rPr>
            </w:pPr>
            <w:r w:rsidRPr="00576F93">
              <w:rPr>
                <w:rFonts w:ascii="Times New Roman" w:hAnsi="Times New Roman" w:cs="Times New Roman"/>
                <w:b/>
                <w:sz w:val="20"/>
                <w:szCs w:val="20"/>
              </w:rPr>
              <w:t>Total Cost</w:t>
            </w:r>
            <w:r w:rsidRPr="00576F93" w:rsidR="00C96ED3">
              <w:rPr>
                <w:rFonts w:ascii="Times New Roman" w:hAnsi="Times New Roman" w:cs="Times New Roman"/>
                <w:b/>
                <w:sz w:val="20"/>
                <w:szCs w:val="20"/>
              </w:rPr>
              <w:t xml:space="preserve"> (</w:t>
            </w:r>
            <w:r w:rsidR="00416803">
              <w:rPr>
                <w:rFonts w:ascii="Times New Roman" w:hAnsi="Times New Roman" w:cs="Times New Roman"/>
                <w:b/>
                <w:sz w:val="20"/>
                <w:szCs w:val="20"/>
              </w:rPr>
              <w:t>I</w:t>
            </w:r>
            <w:r w:rsidRPr="00576F93" w:rsidR="00C96ED3">
              <w:rPr>
                <w:rFonts w:ascii="Times New Roman" w:hAnsi="Times New Roman" w:cs="Times New Roman"/>
                <w:b/>
                <w:sz w:val="20"/>
                <w:szCs w:val="20"/>
              </w:rPr>
              <w:t>ncurred in Year 1)</w:t>
            </w:r>
          </w:p>
        </w:tc>
      </w:tr>
      <w:tr w14:paraId="35B7703E" w14:textId="77777777" w:rsidTr="00576F93">
        <w:tblPrEx>
          <w:tblW w:w="0" w:type="auto"/>
          <w:tblInd w:w="1340" w:type="dxa"/>
          <w:tblLayout w:type="fixed"/>
          <w:tblCellMar>
            <w:left w:w="0" w:type="dxa"/>
            <w:right w:w="0" w:type="dxa"/>
          </w:tblCellMar>
          <w:tblLook w:val="01E0"/>
        </w:tblPrEx>
        <w:trPr>
          <w:trHeight w:val="282"/>
        </w:trPr>
        <w:tc>
          <w:tcPr>
            <w:tcW w:w="3370" w:type="dxa"/>
            <w:tcBorders>
              <w:left w:val="single" w:sz="8" w:space="0" w:color="000000"/>
              <w:bottom w:val="single" w:sz="8" w:space="0" w:color="000000"/>
            </w:tcBorders>
            <w:vAlign w:val="center"/>
          </w:tcPr>
          <w:p w:rsidR="00435210" w:rsidRPr="00576F93" w:rsidP="00D21E4B" w14:paraId="1650B989" w14:textId="77777777">
            <w:pPr>
              <w:spacing w:after="0" w:line="240" w:lineRule="auto"/>
              <w:ind w:left="125"/>
              <w:rPr>
                <w:rFonts w:ascii="Times New Roman" w:hAnsi="Times New Roman" w:cs="Times New Roman"/>
                <w:sz w:val="20"/>
                <w:szCs w:val="20"/>
              </w:rPr>
            </w:pPr>
            <w:r w:rsidRPr="00576F93">
              <w:rPr>
                <w:rFonts w:ascii="Times New Roman" w:hAnsi="Times New Roman" w:cs="Times New Roman"/>
                <w:sz w:val="20"/>
                <w:szCs w:val="20"/>
              </w:rPr>
              <w:t>Simple</w:t>
            </w:r>
          </w:p>
        </w:tc>
        <w:tc>
          <w:tcPr>
            <w:tcW w:w="1020" w:type="dxa"/>
            <w:tcBorders>
              <w:bottom w:val="single" w:sz="8" w:space="0" w:color="000000"/>
            </w:tcBorders>
            <w:vAlign w:val="center"/>
          </w:tcPr>
          <w:p w:rsidR="00435210" w:rsidRPr="00576F93" w:rsidP="00576F93" w14:paraId="31EA8633" w14:textId="77777777">
            <w:pPr>
              <w:spacing w:after="0" w:line="240" w:lineRule="auto"/>
              <w:ind w:left="94" w:right="34"/>
              <w:jc w:val="center"/>
              <w:rPr>
                <w:rFonts w:ascii="Times New Roman" w:hAnsi="Times New Roman" w:cs="Times New Roman"/>
                <w:sz w:val="20"/>
                <w:szCs w:val="20"/>
              </w:rPr>
            </w:pPr>
            <w:r w:rsidRPr="00576F93">
              <w:rPr>
                <w:rFonts w:ascii="Times New Roman" w:hAnsi="Times New Roman" w:cs="Times New Roman"/>
                <w:color w:val="000000"/>
                <w:sz w:val="20"/>
                <w:szCs w:val="20"/>
              </w:rPr>
              <w:t>$</w:t>
            </w:r>
            <w:r w:rsidR="008F36D1">
              <w:rPr>
                <w:rFonts w:ascii="Times New Roman" w:hAnsi="Times New Roman" w:cs="Times New Roman"/>
                <w:color w:val="000000"/>
                <w:sz w:val="20"/>
                <w:szCs w:val="20"/>
              </w:rPr>
              <w:t>553</w:t>
            </w:r>
          </w:p>
        </w:tc>
        <w:tc>
          <w:tcPr>
            <w:tcW w:w="1190" w:type="dxa"/>
            <w:tcBorders>
              <w:bottom w:val="single" w:sz="8" w:space="0" w:color="000000"/>
              <w:right w:val="single" w:sz="8" w:space="0" w:color="000000"/>
            </w:tcBorders>
            <w:vAlign w:val="center"/>
          </w:tcPr>
          <w:p w:rsidR="00435210" w:rsidRPr="00576F93" w:rsidP="00576F93" w14:paraId="0D2B2CAB" w14:textId="77777777">
            <w:pPr>
              <w:spacing w:after="0" w:line="240" w:lineRule="auto"/>
              <w:ind w:left="77" w:right="45"/>
              <w:jc w:val="center"/>
              <w:rPr>
                <w:rFonts w:ascii="Times New Roman" w:hAnsi="Times New Roman" w:cs="Times New Roman"/>
                <w:sz w:val="20"/>
                <w:szCs w:val="20"/>
              </w:rPr>
            </w:pPr>
            <w:r w:rsidRPr="00576F93">
              <w:rPr>
                <w:rFonts w:ascii="Times New Roman" w:hAnsi="Times New Roman" w:cs="Times New Roman"/>
                <w:sz w:val="20"/>
                <w:szCs w:val="20"/>
              </w:rPr>
              <w:t>10,</w:t>
            </w:r>
            <w:r w:rsidRPr="00576F93" w:rsidR="000A6340">
              <w:rPr>
                <w:rFonts w:ascii="Times New Roman" w:hAnsi="Times New Roman" w:cs="Times New Roman"/>
                <w:sz w:val="20"/>
                <w:szCs w:val="20"/>
              </w:rPr>
              <w:t>082</w:t>
            </w:r>
          </w:p>
        </w:tc>
        <w:tc>
          <w:tcPr>
            <w:tcW w:w="1620" w:type="dxa"/>
            <w:tcBorders>
              <w:left w:val="single" w:sz="8" w:space="0" w:color="000000"/>
              <w:bottom w:val="single" w:sz="8" w:space="0" w:color="000000"/>
            </w:tcBorders>
            <w:vAlign w:val="center"/>
          </w:tcPr>
          <w:p w:rsidR="00435210" w:rsidRPr="00576F93" w:rsidP="00576F93" w14:paraId="4C5D634D" w14:textId="77777777">
            <w:pPr>
              <w:spacing w:after="0" w:line="240" w:lineRule="auto"/>
              <w:ind w:left="91" w:right="49"/>
              <w:jc w:val="center"/>
              <w:rPr>
                <w:rFonts w:ascii="Times New Roman" w:hAnsi="Times New Roman" w:cs="Times New Roman"/>
                <w:sz w:val="20"/>
                <w:szCs w:val="20"/>
              </w:rPr>
            </w:pPr>
            <w:r w:rsidRPr="00576F93">
              <w:rPr>
                <w:rFonts w:ascii="Times New Roman" w:hAnsi="Times New Roman" w:cs="Times New Roman"/>
                <w:color w:val="000000"/>
                <w:sz w:val="20"/>
                <w:szCs w:val="20"/>
              </w:rPr>
              <w:t>$</w:t>
            </w:r>
            <w:r w:rsidR="00986B38">
              <w:rPr>
                <w:rFonts w:ascii="Times New Roman" w:hAnsi="Times New Roman" w:cs="Times New Roman"/>
                <w:color w:val="000000"/>
                <w:sz w:val="20"/>
                <w:szCs w:val="20"/>
              </w:rPr>
              <w:t>5,580,285</w:t>
            </w:r>
          </w:p>
        </w:tc>
      </w:tr>
      <w:tr w14:paraId="2A6A86D0" w14:textId="77777777" w:rsidTr="00576F93">
        <w:tblPrEx>
          <w:tblW w:w="0" w:type="auto"/>
          <w:tblInd w:w="1340" w:type="dxa"/>
          <w:tblLayout w:type="fixed"/>
          <w:tblCellMar>
            <w:left w:w="0" w:type="dxa"/>
            <w:right w:w="0" w:type="dxa"/>
          </w:tblCellMar>
          <w:tblLook w:val="01E0"/>
        </w:tblPrEx>
        <w:trPr>
          <w:trHeight w:val="295"/>
        </w:trPr>
        <w:tc>
          <w:tcPr>
            <w:tcW w:w="3370" w:type="dxa"/>
            <w:tcBorders>
              <w:top w:val="single" w:sz="8" w:space="0" w:color="000000"/>
              <w:left w:val="single" w:sz="8" w:space="0" w:color="000000"/>
              <w:bottom w:val="single" w:sz="8" w:space="0" w:color="000000"/>
            </w:tcBorders>
            <w:vAlign w:val="center"/>
          </w:tcPr>
          <w:p w:rsidR="00435210" w:rsidRPr="00576F93" w:rsidP="00D21E4B" w14:paraId="5959CA3F" w14:textId="77777777">
            <w:pPr>
              <w:spacing w:after="0" w:line="240" w:lineRule="auto"/>
              <w:ind w:left="125"/>
              <w:rPr>
                <w:rFonts w:ascii="Times New Roman" w:hAnsi="Times New Roman" w:cs="Times New Roman"/>
                <w:sz w:val="20"/>
                <w:szCs w:val="20"/>
              </w:rPr>
            </w:pPr>
            <w:r w:rsidRPr="00576F93">
              <w:rPr>
                <w:rFonts w:ascii="Times New Roman" w:hAnsi="Times New Roman" w:cs="Times New Roman"/>
                <w:sz w:val="20"/>
                <w:szCs w:val="20"/>
              </w:rPr>
              <w:t>P</w:t>
            </w:r>
            <w:r w:rsidRPr="00576F93" w:rsidR="00A346C6">
              <w:rPr>
                <w:rFonts w:ascii="Times New Roman" w:hAnsi="Times New Roman" w:cs="Times New Roman"/>
                <w:sz w:val="20"/>
                <w:szCs w:val="20"/>
              </w:rPr>
              <w:t xml:space="preserve">rogram </w:t>
            </w:r>
            <w:r w:rsidRPr="00576F93">
              <w:rPr>
                <w:rFonts w:ascii="Times New Roman" w:hAnsi="Times New Roman" w:cs="Times New Roman"/>
                <w:sz w:val="20"/>
                <w:szCs w:val="20"/>
              </w:rPr>
              <w:t>1 and P</w:t>
            </w:r>
            <w:r w:rsidRPr="00576F93" w:rsidR="00A346C6">
              <w:rPr>
                <w:rFonts w:ascii="Times New Roman" w:hAnsi="Times New Roman" w:cs="Times New Roman"/>
                <w:sz w:val="20"/>
                <w:szCs w:val="20"/>
              </w:rPr>
              <w:t xml:space="preserve">rogram </w:t>
            </w:r>
            <w:r w:rsidRPr="00576F93">
              <w:rPr>
                <w:rFonts w:ascii="Times New Roman" w:hAnsi="Times New Roman" w:cs="Times New Roman"/>
                <w:sz w:val="20"/>
                <w:szCs w:val="20"/>
              </w:rPr>
              <w:t>2 Complex</w:t>
            </w:r>
          </w:p>
        </w:tc>
        <w:tc>
          <w:tcPr>
            <w:tcW w:w="1020" w:type="dxa"/>
            <w:tcBorders>
              <w:top w:val="single" w:sz="8" w:space="0" w:color="000000"/>
              <w:bottom w:val="single" w:sz="8" w:space="0" w:color="000000"/>
            </w:tcBorders>
            <w:vAlign w:val="center"/>
          </w:tcPr>
          <w:p w:rsidR="00435210" w:rsidRPr="00576F93" w:rsidP="00576F93" w14:paraId="64B0B6EA" w14:textId="77777777">
            <w:pPr>
              <w:spacing w:after="0" w:line="240" w:lineRule="auto"/>
              <w:ind w:left="94" w:right="34"/>
              <w:jc w:val="center"/>
              <w:rPr>
                <w:rFonts w:ascii="Times New Roman" w:hAnsi="Times New Roman" w:cs="Times New Roman"/>
                <w:sz w:val="20"/>
                <w:szCs w:val="20"/>
              </w:rPr>
            </w:pPr>
            <w:r w:rsidRPr="00576F93">
              <w:rPr>
                <w:rFonts w:ascii="Times New Roman" w:hAnsi="Times New Roman" w:cs="Times New Roman"/>
                <w:color w:val="000000"/>
                <w:sz w:val="20"/>
                <w:szCs w:val="20"/>
              </w:rPr>
              <w:t>$</w:t>
            </w:r>
            <w:r w:rsidR="006E195B">
              <w:rPr>
                <w:rFonts w:ascii="Times New Roman" w:hAnsi="Times New Roman" w:cs="Times New Roman"/>
                <w:color w:val="000000"/>
                <w:sz w:val="20"/>
                <w:szCs w:val="20"/>
              </w:rPr>
              <w:t>688</w:t>
            </w:r>
          </w:p>
        </w:tc>
        <w:tc>
          <w:tcPr>
            <w:tcW w:w="1190" w:type="dxa"/>
            <w:tcBorders>
              <w:top w:val="single" w:sz="8" w:space="0" w:color="000000"/>
              <w:bottom w:val="single" w:sz="8" w:space="0" w:color="000000"/>
              <w:right w:val="single" w:sz="8" w:space="0" w:color="000000"/>
            </w:tcBorders>
            <w:vAlign w:val="center"/>
          </w:tcPr>
          <w:p w:rsidR="00435210" w:rsidRPr="00576F93" w:rsidP="00576F93" w14:paraId="6A661BA7" w14:textId="77777777">
            <w:pPr>
              <w:spacing w:after="0" w:line="240" w:lineRule="auto"/>
              <w:ind w:left="77" w:right="45"/>
              <w:jc w:val="center"/>
              <w:rPr>
                <w:rFonts w:ascii="Times New Roman" w:hAnsi="Times New Roman" w:cs="Times New Roman"/>
                <w:sz w:val="20"/>
                <w:szCs w:val="20"/>
              </w:rPr>
            </w:pPr>
            <w:r w:rsidRPr="00576F93">
              <w:rPr>
                <w:rFonts w:ascii="Times New Roman" w:hAnsi="Times New Roman" w:cs="Times New Roman"/>
                <w:sz w:val="20"/>
                <w:szCs w:val="20"/>
              </w:rPr>
              <w:t>131</w:t>
            </w:r>
          </w:p>
        </w:tc>
        <w:tc>
          <w:tcPr>
            <w:tcW w:w="1620" w:type="dxa"/>
            <w:tcBorders>
              <w:top w:val="single" w:sz="8" w:space="0" w:color="000000"/>
              <w:left w:val="single" w:sz="8" w:space="0" w:color="000000"/>
              <w:bottom w:val="single" w:sz="8" w:space="0" w:color="000000"/>
            </w:tcBorders>
            <w:vAlign w:val="center"/>
          </w:tcPr>
          <w:p w:rsidR="00435210" w:rsidRPr="00576F93" w:rsidP="00576F93" w14:paraId="6A3FBE0A" w14:textId="77777777">
            <w:pPr>
              <w:spacing w:after="0" w:line="240" w:lineRule="auto"/>
              <w:ind w:left="91" w:right="49"/>
              <w:jc w:val="center"/>
              <w:rPr>
                <w:rFonts w:ascii="Times New Roman" w:hAnsi="Times New Roman" w:cs="Times New Roman"/>
                <w:sz w:val="20"/>
                <w:szCs w:val="20"/>
              </w:rPr>
            </w:pPr>
            <w:r w:rsidRPr="00576F93">
              <w:rPr>
                <w:rFonts w:ascii="Times New Roman" w:hAnsi="Times New Roman" w:cs="Times New Roman"/>
                <w:color w:val="000000"/>
                <w:sz w:val="20"/>
                <w:szCs w:val="20"/>
              </w:rPr>
              <w:t>$</w:t>
            </w:r>
            <w:r w:rsidR="0098427D">
              <w:rPr>
                <w:rFonts w:ascii="Times New Roman" w:hAnsi="Times New Roman" w:cs="Times New Roman"/>
                <w:color w:val="000000"/>
                <w:sz w:val="20"/>
                <w:szCs w:val="20"/>
              </w:rPr>
              <w:t>90,076</w:t>
            </w:r>
          </w:p>
        </w:tc>
      </w:tr>
      <w:tr w14:paraId="56E869E8" w14:textId="77777777" w:rsidTr="00576F93">
        <w:tblPrEx>
          <w:tblW w:w="0" w:type="auto"/>
          <w:tblInd w:w="1340" w:type="dxa"/>
          <w:tblLayout w:type="fixed"/>
          <w:tblCellMar>
            <w:left w:w="0" w:type="dxa"/>
            <w:right w:w="0" w:type="dxa"/>
          </w:tblCellMar>
          <w:tblLook w:val="01E0"/>
        </w:tblPrEx>
        <w:trPr>
          <w:trHeight w:val="282"/>
        </w:trPr>
        <w:tc>
          <w:tcPr>
            <w:tcW w:w="3370" w:type="dxa"/>
            <w:tcBorders>
              <w:top w:val="single" w:sz="8" w:space="0" w:color="000000"/>
              <w:left w:val="single" w:sz="8" w:space="0" w:color="000000"/>
            </w:tcBorders>
            <w:vAlign w:val="center"/>
          </w:tcPr>
          <w:p w:rsidR="00435210" w:rsidRPr="00576F93" w:rsidP="00D21E4B" w14:paraId="53C292BB" w14:textId="77777777">
            <w:pPr>
              <w:spacing w:after="0" w:line="240" w:lineRule="auto"/>
              <w:ind w:left="125"/>
              <w:rPr>
                <w:rFonts w:ascii="Times New Roman" w:hAnsi="Times New Roman" w:cs="Times New Roman"/>
                <w:sz w:val="20"/>
                <w:szCs w:val="20"/>
              </w:rPr>
            </w:pPr>
            <w:r w:rsidRPr="00576F93">
              <w:rPr>
                <w:rFonts w:ascii="Times New Roman" w:hAnsi="Times New Roman" w:cs="Times New Roman"/>
                <w:sz w:val="20"/>
                <w:szCs w:val="20"/>
              </w:rPr>
              <w:t>P</w:t>
            </w:r>
            <w:r w:rsidRPr="00576F93" w:rsidR="00A346C6">
              <w:rPr>
                <w:rFonts w:ascii="Times New Roman" w:hAnsi="Times New Roman" w:cs="Times New Roman"/>
                <w:sz w:val="20"/>
                <w:szCs w:val="20"/>
              </w:rPr>
              <w:t xml:space="preserve">rogram </w:t>
            </w:r>
            <w:r w:rsidRPr="00576F93">
              <w:rPr>
                <w:rFonts w:ascii="Times New Roman" w:hAnsi="Times New Roman" w:cs="Times New Roman"/>
                <w:sz w:val="20"/>
                <w:szCs w:val="20"/>
              </w:rPr>
              <w:t>3 Complex</w:t>
            </w:r>
          </w:p>
        </w:tc>
        <w:tc>
          <w:tcPr>
            <w:tcW w:w="1020" w:type="dxa"/>
            <w:tcBorders>
              <w:top w:val="single" w:sz="8" w:space="0" w:color="000000"/>
            </w:tcBorders>
            <w:vAlign w:val="center"/>
          </w:tcPr>
          <w:p w:rsidR="00435210" w:rsidRPr="00576F93" w:rsidP="00576F93" w14:paraId="6A840079" w14:textId="77777777">
            <w:pPr>
              <w:spacing w:after="0" w:line="240" w:lineRule="auto"/>
              <w:ind w:left="94" w:right="34"/>
              <w:jc w:val="center"/>
              <w:rPr>
                <w:rFonts w:ascii="Times New Roman" w:hAnsi="Times New Roman" w:cs="Times New Roman"/>
                <w:sz w:val="20"/>
                <w:szCs w:val="20"/>
              </w:rPr>
            </w:pPr>
            <w:r w:rsidRPr="00576F93">
              <w:rPr>
                <w:rFonts w:ascii="Times New Roman" w:hAnsi="Times New Roman" w:cs="Times New Roman"/>
                <w:color w:val="000000"/>
                <w:sz w:val="20"/>
                <w:szCs w:val="20"/>
              </w:rPr>
              <w:t>$</w:t>
            </w:r>
            <w:r w:rsidR="005E29F6">
              <w:rPr>
                <w:rFonts w:ascii="Times New Roman" w:hAnsi="Times New Roman" w:cs="Times New Roman"/>
                <w:color w:val="000000"/>
                <w:sz w:val="20"/>
                <w:szCs w:val="20"/>
              </w:rPr>
              <w:t>28,744</w:t>
            </w:r>
          </w:p>
        </w:tc>
        <w:tc>
          <w:tcPr>
            <w:tcW w:w="1190" w:type="dxa"/>
            <w:tcBorders>
              <w:top w:val="single" w:sz="8" w:space="0" w:color="000000"/>
              <w:right w:val="single" w:sz="8" w:space="0" w:color="000000"/>
            </w:tcBorders>
            <w:vAlign w:val="center"/>
          </w:tcPr>
          <w:p w:rsidR="00435210" w:rsidRPr="00576F93" w:rsidP="00576F93" w14:paraId="65131B6A" w14:textId="77777777">
            <w:pPr>
              <w:spacing w:after="0" w:line="240" w:lineRule="auto"/>
              <w:ind w:left="77" w:right="30"/>
              <w:jc w:val="center"/>
              <w:rPr>
                <w:rFonts w:ascii="Times New Roman" w:hAnsi="Times New Roman" w:cs="Times New Roman"/>
                <w:sz w:val="20"/>
                <w:szCs w:val="20"/>
              </w:rPr>
            </w:pPr>
            <w:r w:rsidRPr="00576F93">
              <w:rPr>
                <w:rFonts w:ascii="Times New Roman" w:hAnsi="Times New Roman" w:cs="Times New Roman"/>
                <w:sz w:val="20"/>
                <w:szCs w:val="20"/>
              </w:rPr>
              <w:t>1</w:t>
            </w:r>
            <w:r w:rsidRPr="00576F93" w:rsidR="00825B57">
              <w:rPr>
                <w:rFonts w:ascii="Times New Roman" w:hAnsi="Times New Roman" w:cs="Times New Roman"/>
                <w:sz w:val="20"/>
                <w:szCs w:val="20"/>
              </w:rPr>
              <w:t>,</w:t>
            </w:r>
            <w:r w:rsidRPr="00576F93" w:rsidR="000A6340">
              <w:rPr>
                <w:rFonts w:ascii="Times New Roman" w:hAnsi="Times New Roman" w:cs="Times New Roman"/>
                <w:sz w:val="20"/>
                <w:szCs w:val="20"/>
              </w:rPr>
              <w:t>527</w:t>
            </w:r>
          </w:p>
        </w:tc>
        <w:tc>
          <w:tcPr>
            <w:tcW w:w="1620" w:type="dxa"/>
            <w:tcBorders>
              <w:top w:val="single" w:sz="8" w:space="0" w:color="000000"/>
              <w:left w:val="single" w:sz="8" w:space="0" w:color="000000"/>
            </w:tcBorders>
            <w:vAlign w:val="center"/>
          </w:tcPr>
          <w:p w:rsidR="00435210" w:rsidRPr="00576F93" w:rsidP="00576F93" w14:paraId="290F9C35" w14:textId="77777777">
            <w:pPr>
              <w:spacing w:after="0" w:line="240" w:lineRule="auto"/>
              <w:ind w:left="91" w:right="34"/>
              <w:jc w:val="center"/>
              <w:rPr>
                <w:rFonts w:ascii="Times New Roman" w:hAnsi="Times New Roman" w:cs="Times New Roman"/>
                <w:sz w:val="20"/>
                <w:szCs w:val="20"/>
              </w:rPr>
            </w:pPr>
            <w:r w:rsidRPr="00576F93">
              <w:rPr>
                <w:rFonts w:ascii="Times New Roman" w:hAnsi="Times New Roman" w:cs="Times New Roman"/>
                <w:color w:val="000000"/>
                <w:sz w:val="20"/>
                <w:szCs w:val="20"/>
              </w:rPr>
              <w:t>$</w:t>
            </w:r>
            <w:r w:rsidR="00BE4ABF">
              <w:rPr>
                <w:rFonts w:ascii="Times New Roman" w:hAnsi="Times New Roman" w:cs="Times New Roman"/>
                <w:color w:val="000000"/>
                <w:sz w:val="20"/>
                <w:szCs w:val="20"/>
              </w:rPr>
              <w:t>43,892,</w:t>
            </w:r>
            <w:r w:rsidR="009252B8">
              <w:rPr>
                <w:rFonts w:ascii="Times New Roman" w:hAnsi="Times New Roman" w:cs="Times New Roman"/>
                <w:color w:val="000000"/>
                <w:sz w:val="20"/>
                <w:szCs w:val="20"/>
              </w:rPr>
              <w:t>735</w:t>
            </w:r>
          </w:p>
        </w:tc>
      </w:tr>
      <w:tr w14:paraId="4E09D6B0" w14:textId="77777777" w:rsidTr="00576F93">
        <w:tblPrEx>
          <w:tblW w:w="0" w:type="auto"/>
          <w:tblInd w:w="1340" w:type="dxa"/>
          <w:tblLayout w:type="fixed"/>
          <w:tblCellMar>
            <w:left w:w="0" w:type="dxa"/>
            <w:right w:w="0" w:type="dxa"/>
          </w:tblCellMar>
          <w:tblLook w:val="01E0"/>
        </w:tblPrEx>
        <w:trPr>
          <w:trHeight w:val="300"/>
        </w:trPr>
        <w:tc>
          <w:tcPr>
            <w:tcW w:w="3370" w:type="dxa"/>
            <w:tcBorders>
              <w:left w:val="single" w:sz="8" w:space="0" w:color="000000"/>
            </w:tcBorders>
            <w:vAlign w:val="center"/>
          </w:tcPr>
          <w:p w:rsidR="00435210" w:rsidRPr="00576F93" w:rsidP="00D21E4B" w14:paraId="2D33BC27" w14:textId="77777777">
            <w:pPr>
              <w:spacing w:after="0" w:line="240" w:lineRule="auto"/>
              <w:ind w:left="125"/>
              <w:rPr>
                <w:rFonts w:ascii="Times New Roman" w:hAnsi="Times New Roman" w:cs="Times New Roman"/>
                <w:sz w:val="20"/>
                <w:szCs w:val="20"/>
              </w:rPr>
            </w:pPr>
            <w:r w:rsidRPr="00576F93">
              <w:rPr>
                <w:rFonts w:ascii="Times New Roman" w:hAnsi="Times New Roman" w:cs="Times New Roman"/>
                <w:sz w:val="20"/>
                <w:szCs w:val="20"/>
              </w:rPr>
              <w:t>LEPCs</w:t>
            </w:r>
          </w:p>
        </w:tc>
        <w:tc>
          <w:tcPr>
            <w:tcW w:w="1020" w:type="dxa"/>
            <w:vAlign w:val="center"/>
          </w:tcPr>
          <w:p w:rsidR="00435210" w:rsidRPr="00576F93" w:rsidP="00576F93" w14:paraId="34C5F9F6" w14:textId="77777777">
            <w:pPr>
              <w:spacing w:after="0" w:line="240" w:lineRule="auto"/>
              <w:ind w:left="94" w:right="49"/>
              <w:jc w:val="center"/>
              <w:rPr>
                <w:rFonts w:ascii="Times New Roman" w:hAnsi="Times New Roman" w:cs="Times New Roman"/>
                <w:sz w:val="20"/>
                <w:szCs w:val="20"/>
              </w:rPr>
            </w:pPr>
            <w:r w:rsidRPr="00576F93">
              <w:rPr>
                <w:rFonts w:ascii="Times New Roman" w:hAnsi="Times New Roman" w:cs="Times New Roman"/>
                <w:color w:val="000000"/>
                <w:sz w:val="20"/>
                <w:szCs w:val="20"/>
              </w:rPr>
              <w:t>$</w:t>
            </w:r>
            <w:r w:rsidR="005E29F6">
              <w:rPr>
                <w:rFonts w:ascii="Times New Roman" w:hAnsi="Times New Roman" w:cs="Times New Roman"/>
                <w:color w:val="000000"/>
                <w:sz w:val="20"/>
                <w:szCs w:val="20"/>
              </w:rPr>
              <w:t>553</w:t>
            </w:r>
          </w:p>
        </w:tc>
        <w:tc>
          <w:tcPr>
            <w:tcW w:w="1190" w:type="dxa"/>
            <w:tcBorders>
              <w:right w:val="single" w:sz="8" w:space="0" w:color="000000"/>
            </w:tcBorders>
            <w:vAlign w:val="center"/>
          </w:tcPr>
          <w:p w:rsidR="00435210" w:rsidRPr="00576F93" w:rsidP="00576F93" w14:paraId="2A132B62" w14:textId="77777777">
            <w:pPr>
              <w:spacing w:after="0" w:line="240" w:lineRule="auto"/>
              <w:ind w:left="77" w:right="30"/>
              <w:jc w:val="center"/>
              <w:rPr>
                <w:rFonts w:ascii="Times New Roman" w:hAnsi="Times New Roman" w:cs="Times New Roman"/>
                <w:sz w:val="20"/>
                <w:szCs w:val="20"/>
              </w:rPr>
            </w:pPr>
            <w:r w:rsidRPr="00576F93">
              <w:rPr>
                <w:rFonts w:ascii="Times New Roman" w:hAnsi="Times New Roman" w:cs="Times New Roman"/>
                <w:sz w:val="20"/>
                <w:szCs w:val="20"/>
              </w:rPr>
              <w:t>2</w:t>
            </w:r>
            <w:r w:rsidRPr="00576F93" w:rsidR="00825B57">
              <w:rPr>
                <w:rFonts w:ascii="Times New Roman" w:hAnsi="Times New Roman" w:cs="Times New Roman"/>
                <w:sz w:val="20"/>
                <w:szCs w:val="20"/>
              </w:rPr>
              <w:t>,</w:t>
            </w:r>
            <w:r w:rsidRPr="00576F93">
              <w:rPr>
                <w:rFonts w:ascii="Times New Roman" w:hAnsi="Times New Roman" w:cs="Times New Roman"/>
                <w:sz w:val="20"/>
                <w:szCs w:val="20"/>
              </w:rPr>
              <w:t>473</w:t>
            </w:r>
          </w:p>
        </w:tc>
        <w:tc>
          <w:tcPr>
            <w:tcW w:w="1620" w:type="dxa"/>
            <w:tcBorders>
              <w:left w:val="single" w:sz="8" w:space="0" w:color="000000"/>
            </w:tcBorders>
            <w:vAlign w:val="center"/>
          </w:tcPr>
          <w:p w:rsidR="00435210" w:rsidRPr="00576F93" w:rsidP="00576F93" w14:paraId="3C742059" w14:textId="77777777">
            <w:pPr>
              <w:spacing w:after="0" w:line="240" w:lineRule="auto"/>
              <w:ind w:left="91" w:right="49"/>
              <w:jc w:val="center"/>
              <w:rPr>
                <w:rFonts w:ascii="Times New Roman" w:hAnsi="Times New Roman" w:cs="Times New Roman"/>
                <w:sz w:val="20"/>
                <w:szCs w:val="20"/>
              </w:rPr>
            </w:pPr>
            <w:r w:rsidRPr="00576F93">
              <w:rPr>
                <w:rFonts w:ascii="Times New Roman" w:hAnsi="Times New Roman" w:cs="Times New Roman"/>
                <w:color w:val="000000"/>
                <w:sz w:val="20"/>
                <w:szCs w:val="20"/>
              </w:rPr>
              <w:t>$</w:t>
            </w:r>
            <w:r w:rsidR="004B47F9">
              <w:rPr>
                <w:rFonts w:ascii="Times New Roman" w:hAnsi="Times New Roman" w:cs="Times New Roman"/>
                <w:color w:val="000000"/>
                <w:sz w:val="20"/>
                <w:szCs w:val="20"/>
              </w:rPr>
              <w:t>1,368,781</w:t>
            </w:r>
          </w:p>
        </w:tc>
      </w:tr>
      <w:tr w14:paraId="15FAC611" w14:textId="77777777" w:rsidTr="00576F93">
        <w:tblPrEx>
          <w:tblW w:w="0" w:type="auto"/>
          <w:tblInd w:w="1340" w:type="dxa"/>
          <w:tblLayout w:type="fixed"/>
          <w:tblCellMar>
            <w:left w:w="0" w:type="dxa"/>
            <w:right w:w="0" w:type="dxa"/>
          </w:tblCellMar>
          <w:tblLook w:val="01E0"/>
        </w:tblPrEx>
        <w:trPr>
          <w:trHeight w:val="285"/>
        </w:trPr>
        <w:tc>
          <w:tcPr>
            <w:tcW w:w="3370" w:type="dxa"/>
            <w:tcBorders>
              <w:left w:val="single" w:sz="8" w:space="0" w:color="000000"/>
            </w:tcBorders>
            <w:vAlign w:val="center"/>
          </w:tcPr>
          <w:p w:rsidR="00435210" w:rsidRPr="00576F93" w:rsidP="00D21E4B" w14:paraId="6A7E0E67" w14:textId="77777777">
            <w:pPr>
              <w:spacing w:after="0" w:line="240" w:lineRule="auto"/>
              <w:ind w:left="125"/>
              <w:rPr>
                <w:rFonts w:ascii="Times New Roman" w:hAnsi="Times New Roman" w:cs="Times New Roman"/>
                <w:sz w:val="20"/>
                <w:szCs w:val="20"/>
              </w:rPr>
            </w:pPr>
            <w:r w:rsidRPr="00576F93">
              <w:rPr>
                <w:rFonts w:ascii="Times New Roman" w:hAnsi="Times New Roman" w:cs="Times New Roman"/>
                <w:sz w:val="20"/>
                <w:szCs w:val="20"/>
              </w:rPr>
              <w:t>Delegated Implementing Agencies</w:t>
            </w:r>
          </w:p>
        </w:tc>
        <w:tc>
          <w:tcPr>
            <w:tcW w:w="1020" w:type="dxa"/>
            <w:vAlign w:val="center"/>
          </w:tcPr>
          <w:p w:rsidR="00435210" w:rsidRPr="00576F93" w:rsidP="00576F93" w14:paraId="00FB77EA" w14:textId="77777777">
            <w:pPr>
              <w:spacing w:after="0" w:line="240" w:lineRule="auto"/>
              <w:ind w:left="94" w:right="34"/>
              <w:jc w:val="center"/>
              <w:rPr>
                <w:rFonts w:ascii="Times New Roman" w:hAnsi="Times New Roman" w:cs="Times New Roman"/>
                <w:sz w:val="20"/>
                <w:szCs w:val="20"/>
              </w:rPr>
            </w:pPr>
            <w:r w:rsidRPr="00576F93">
              <w:rPr>
                <w:rFonts w:ascii="Times New Roman" w:hAnsi="Times New Roman" w:cs="Times New Roman"/>
                <w:color w:val="000000"/>
                <w:sz w:val="20"/>
                <w:szCs w:val="20"/>
              </w:rPr>
              <w:t>$</w:t>
            </w:r>
            <w:r w:rsidR="005E29F6">
              <w:rPr>
                <w:rFonts w:ascii="Times New Roman" w:hAnsi="Times New Roman" w:cs="Times New Roman"/>
                <w:color w:val="000000"/>
                <w:sz w:val="20"/>
                <w:szCs w:val="20"/>
              </w:rPr>
              <w:t>553</w:t>
            </w:r>
          </w:p>
        </w:tc>
        <w:tc>
          <w:tcPr>
            <w:tcW w:w="1190" w:type="dxa"/>
            <w:tcBorders>
              <w:right w:val="single" w:sz="8" w:space="0" w:color="000000"/>
            </w:tcBorders>
            <w:vAlign w:val="center"/>
          </w:tcPr>
          <w:p w:rsidR="00435210" w:rsidRPr="00576F93" w:rsidP="00576F93" w14:paraId="4A33EE1A" w14:textId="77777777">
            <w:pPr>
              <w:spacing w:after="0" w:line="240" w:lineRule="auto"/>
              <w:ind w:left="77" w:right="30"/>
              <w:jc w:val="center"/>
              <w:rPr>
                <w:rFonts w:ascii="Times New Roman" w:hAnsi="Times New Roman" w:cs="Times New Roman"/>
                <w:sz w:val="20"/>
                <w:szCs w:val="20"/>
              </w:rPr>
            </w:pPr>
            <w:r w:rsidRPr="00576F93">
              <w:rPr>
                <w:rFonts w:ascii="Times New Roman" w:hAnsi="Times New Roman" w:cs="Times New Roman"/>
                <w:sz w:val="20"/>
                <w:szCs w:val="20"/>
              </w:rPr>
              <w:t>1</w:t>
            </w:r>
            <w:r w:rsidRPr="00576F93" w:rsidR="007335A7">
              <w:rPr>
                <w:rFonts w:ascii="Times New Roman" w:hAnsi="Times New Roman" w:cs="Times New Roman"/>
                <w:sz w:val="20"/>
                <w:szCs w:val="20"/>
              </w:rPr>
              <w:t>3</w:t>
            </w:r>
          </w:p>
        </w:tc>
        <w:tc>
          <w:tcPr>
            <w:tcW w:w="1620" w:type="dxa"/>
            <w:tcBorders>
              <w:left w:val="single" w:sz="8" w:space="0" w:color="000000"/>
            </w:tcBorders>
            <w:vAlign w:val="center"/>
          </w:tcPr>
          <w:p w:rsidR="00435210" w:rsidRPr="00576F93" w:rsidP="00576F93" w14:paraId="454227B9" w14:textId="77777777">
            <w:pPr>
              <w:spacing w:after="0" w:line="240" w:lineRule="auto"/>
              <w:ind w:left="91" w:right="34"/>
              <w:jc w:val="center"/>
              <w:rPr>
                <w:rFonts w:ascii="Times New Roman" w:hAnsi="Times New Roman" w:cs="Times New Roman"/>
                <w:sz w:val="20"/>
                <w:szCs w:val="20"/>
              </w:rPr>
            </w:pPr>
            <w:r w:rsidRPr="00576F93">
              <w:rPr>
                <w:rFonts w:ascii="Times New Roman" w:hAnsi="Times New Roman" w:cs="Times New Roman"/>
                <w:color w:val="000000"/>
                <w:sz w:val="20"/>
                <w:szCs w:val="20"/>
              </w:rPr>
              <w:t>$</w:t>
            </w:r>
            <w:r w:rsidR="00281BD1">
              <w:rPr>
                <w:rFonts w:ascii="Times New Roman" w:hAnsi="Times New Roman" w:cs="Times New Roman"/>
                <w:color w:val="000000"/>
                <w:sz w:val="20"/>
                <w:szCs w:val="20"/>
              </w:rPr>
              <w:t>7,195</w:t>
            </w:r>
          </w:p>
        </w:tc>
      </w:tr>
      <w:tr w14:paraId="54F4AD1A" w14:textId="77777777" w:rsidTr="00576F93">
        <w:tblPrEx>
          <w:tblW w:w="0" w:type="auto"/>
          <w:tblInd w:w="1340" w:type="dxa"/>
          <w:tblLayout w:type="fixed"/>
          <w:tblCellMar>
            <w:left w:w="0" w:type="dxa"/>
            <w:right w:w="0" w:type="dxa"/>
          </w:tblCellMar>
          <w:tblLook w:val="01E0"/>
        </w:tblPrEx>
        <w:trPr>
          <w:trHeight w:val="282"/>
        </w:trPr>
        <w:tc>
          <w:tcPr>
            <w:tcW w:w="3370" w:type="dxa"/>
            <w:tcBorders>
              <w:left w:val="single" w:sz="8" w:space="0" w:color="000000"/>
              <w:bottom w:val="single" w:sz="8" w:space="0" w:color="000000"/>
            </w:tcBorders>
            <w:vAlign w:val="center"/>
          </w:tcPr>
          <w:p w:rsidR="00435210" w:rsidRPr="00576F93" w:rsidP="00576F93" w14:paraId="508D3631" w14:textId="77777777">
            <w:pPr>
              <w:spacing w:after="0" w:line="240" w:lineRule="auto"/>
              <w:ind w:left="1340" w:right="1292"/>
              <w:jc w:val="center"/>
              <w:rPr>
                <w:rFonts w:ascii="Times New Roman" w:hAnsi="Times New Roman" w:cs="Times New Roman"/>
                <w:b/>
                <w:sz w:val="20"/>
                <w:szCs w:val="20"/>
              </w:rPr>
            </w:pPr>
            <w:r w:rsidRPr="00576F93">
              <w:rPr>
                <w:rFonts w:ascii="Times New Roman" w:hAnsi="Times New Roman" w:cs="Times New Roman"/>
                <w:b/>
                <w:sz w:val="20"/>
                <w:szCs w:val="20"/>
              </w:rPr>
              <w:t>Total</w:t>
            </w:r>
          </w:p>
        </w:tc>
        <w:tc>
          <w:tcPr>
            <w:tcW w:w="1020" w:type="dxa"/>
            <w:tcBorders>
              <w:bottom w:val="single" w:sz="8" w:space="0" w:color="000000"/>
            </w:tcBorders>
            <w:vAlign w:val="center"/>
          </w:tcPr>
          <w:p w:rsidR="00435210" w:rsidRPr="00576F93" w:rsidP="00576F93" w14:paraId="5464E299" w14:textId="77777777">
            <w:pPr>
              <w:spacing w:after="0" w:line="240" w:lineRule="auto"/>
              <w:jc w:val="center"/>
              <w:rPr>
                <w:rFonts w:ascii="Times New Roman" w:hAnsi="Times New Roman" w:cs="Times New Roman"/>
                <w:sz w:val="20"/>
                <w:szCs w:val="20"/>
              </w:rPr>
            </w:pPr>
          </w:p>
        </w:tc>
        <w:tc>
          <w:tcPr>
            <w:tcW w:w="1190" w:type="dxa"/>
            <w:tcBorders>
              <w:bottom w:val="single" w:sz="8" w:space="0" w:color="000000"/>
              <w:right w:val="single" w:sz="8" w:space="0" w:color="000000"/>
            </w:tcBorders>
            <w:vAlign w:val="center"/>
          </w:tcPr>
          <w:p w:rsidR="00435210" w:rsidRPr="00576F93" w:rsidP="00576F93" w14:paraId="3D55D788" w14:textId="77777777">
            <w:pPr>
              <w:spacing w:after="0" w:line="240" w:lineRule="auto"/>
              <w:ind w:left="77" w:right="45"/>
              <w:jc w:val="center"/>
              <w:rPr>
                <w:rFonts w:ascii="Times New Roman" w:hAnsi="Times New Roman" w:cs="Times New Roman"/>
                <w:b/>
                <w:sz w:val="20"/>
                <w:szCs w:val="20"/>
              </w:rPr>
            </w:pPr>
            <w:r w:rsidRPr="00576F93">
              <w:rPr>
                <w:rFonts w:ascii="Times New Roman" w:hAnsi="Times New Roman" w:cs="Times New Roman"/>
                <w:b/>
                <w:sz w:val="20"/>
                <w:szCs w:val="20"/>
              </w:rPr>
              <w:t>14,2</w:t>
            </w:r>
            <w:r w:rsidRPr="00576F93" w:rsidR="000F7061">
              <w:rPr>
                <w:rFonts w:ascii="Times New Roman" w:hAnsi="Times New Roman" w:cs="Times New Roman"/>
                <w:b/>
                <w:sz w:val="20"/>
                <w:szCs w:val="20"/>
              </w:rPr>
              <w:t>2</w:t>
            </w:r>
            <w:r w:rsidRPr="00576F93">
              <w:rPr>
                <w:rFonts w:ascii="Times New Roman" w:hAnsi="Times New Roman" w:cs="Times New Roman"/>
                <w:b/>
                <w:sz w:val="20"/>
                <w:szCs w:val="20"/>
              </w:rPr>
              <w:t>6</w:t>
            </w:r>
          </w:p>
        </w:tc>
        <w:tc>
          <w:tcPr>
            <w:tcW w:w="1620" w:type="dxa"/>
            <w:tcBorders>
              <w:left w:val="single" w:sz="8" w:space="0" w:color="000000"/>
              <w:bottom w:val="single" w:sz="8" w:space="0" w:color="000000"/>
            </w:tcBorders>
            <w:vAlign w:val="center"/>
          </w:tcPr>
          <w:p w:rsidR="00435210" w:rsidRPr="00576F93" w:rsidP="00576F93" w14:paraId="213A4EFB" w14:textId="77777777">
            <w:pPr>
              <w:spacing w:after="0" w:line="240" w:lineRule="auto"/>
              <w:ind w:left="91" w:right="49"/>
              <w:jc w:val="center"/>
              <w:rPr>
                <w:rFonts w:ascii="Times New Roman" w:hAnsi="Times New Roman" w:cs="Times New Roman"/>
                <w:b/>
                <w:sz w:val="20"/>
                <w:szCs w:val="20"/>
              </w:rPr>
            </w:pPr>
            <w:r w:rsidRPr="00576F93">
              <w:rPr>
                <w:rFonts w:ascii="Times New Roman" w:hAnsi="Times New Roman" w:cs="Times New Roman"/>
                <w:b/>
                <w:color w:val="000000"/>
                <w:sz w:val="20"/>
                <w:szCs w:val="20"/>
              </w:rPr>
              <w:t>$</w:t>
            </w:r>
            <w:r w:rsidR="00281BD1">
              <w:rPr>
                <w:rFonts w:ascii="Times New Roman" w:hAnsi="Times New Roman" w:cs="Times New Roman"/>
                <w:b/>
                <w:color w:val="000000"/>
                <w:sz w:val="20"/>
                <w:szCs w:val="20"/>
              </w:rPr>
              <w:t>50,939,073</w:t>
            </w:r>
          </w:p>
        </w:tc>
      </w:tr>
    </w:tbl>
    <w:p w:rsidR="00435210" w:rsidRPr="00BF4D0A" w:rsidP="00576F93" w14:paraId="49A1A7F2" w14:textId="77777777">
      <w:pPr>
        <w:spacing w:after="0" w:line="240" w:lineRule="auto"/>
        <w:rPr>
          <w:rFonts w:ascii="Times New Roman" w:hAnsi="Times New Roman" w:cs="Times New Roman"/>
          <w:b/>
        </w:rPr>
      </w:pPr>
    </w:p>
    <w:p w:rsidR="00435210" w:rsidRPr="00BF4D0A" w:rsidP="00C07306" w14:paraId="59B4BF29" w14:textId="77777777">
      <w:pPr>
        <w:pStyle w:val="Heading2"/>
      </w:pPr>
      <w:bookmarkStart w:id="247" w:name="5.3_Prevention_Program_Rule_Provisions"/>
      <w:bookmarkStart w:id="248" w:name="_bookmark73"/>
      <w:bookmarkStart w:id="249" w:name="_Toc98856222"/>
      <w:bookmarkStart w:id="250" w:name="_Toc144303554"/>
      <w:bookmarkEnd w:id="247"/>
      <w:bookmarkEnd w:id="248"/>
      <w:r w:rsidRPr="00BF4D0A">
        <w:t>5.3 Prevention</w:t>
      </w:r>
      <w:r w:rsidRPr="00BF4D0A">
        <w:rPr>
          <w:spacing w:val="-22"/>
        </w:rPr>
        <w:t xml:space="preserve"> </w:t>
      </w:r>
      <w:r w:rsidRPr="00BF4D0A">
        <w:t>Program</w:t>
      </w:r>
      <w:r w:rsidRPr="00BF4D0A">
        <w:rPr>
          <w:spacing w:val="-25"/>
        </w:rPr>
        <w:t xml:space="preserve"> </w:t>
      </w:r>
      <w:r w:rsidRPr="00BF4D0A">
        <w:t>Rule</w:t>
      </w:r>
      <w:r w:rsidRPr="00BF4D0A">
        <w:rPr>
          <w:spacing w:val="-11"/>
        </w:rPr>
        <w:t xml:space="preserve"> </w:t>
      </w:r>
      <w:r w:rsidRPr="00BF4D0A">
        <w:t>Provisions</w:t>
      </w:r>
      <w:bookmarkEnd w:id="249"/>
      <w:bookmarkEnd w:id="250"/>
    </w:p>
    <w:p w:rsidR="001E53EE" w:rsidRPr="000B5381" w:rsidP="00E544A6" w14:paraId="06167658" w14:textId="77777777">
      <w:pPr>
        <w:spacing w:line="240" w:lineRule="auto"/>
      </w:pPr>
      <w:r>
        <w:tab/>
      </w:r>
      <w:r w:rsidR="005A6545">
        <w:rPr>
          <w:rFonts w:ascii="Times New Roman" w:hAnsi="Times New Roman" w:cs="Times New Roman"/>
        </w:rPr>
        <w:t xml:space="preserve">Major provisions of the </w:t>
      </w:r>
      <w:r w:rsidR="006434DA">
        <w:rPr>
          <w:rFonts w:ascii="Times New Roman" w:hAnsi="Times New Roman" w:cs="Times New Roman"/>
        </w:rPr>
        <w:t xml:space="preserve">final rule </w:t>
      </w:r>
      <w:r w:rsidR="00E57165">
        <w:rPr>
          <w:rFonts w:ascii="Times New Roman" w:hAnsi="Times New Roman" w:cs="Times New Roman"/>
        </w:rPr>
        <w:t xml:space="preserve">include </w:t>
      </w:r>
      <w:r w:rsidR="005A6545">
        <w:rPr>
          <w:rFonts w:ascii="Times New Roman" w:hAnsi="Times New Roman" w:cs="Times New Roman"/>
        </w:rPr>
        <w:t>several changes to accident prevention program requirements</w:t>
      </w:r>
      <w:r w:rsidR="00811842">
        <w:rPr>
          <w:rFonts w:ascii="Times New Roman" w:hAnsi="Times New Roman" w:cs="Times New Roman"/>
        </w:rPr>
        <w:t xml:space="preserve"> </w:t>
      </w:r>
      <w:r w:rsidR="00F06122">
        <w:rPr>
          <w:rFonts w:ascii="Times New Roman" w:hAnsi="Times New Roman" w:cs="Times New Roman"/>
        </w:rPr>
        <w:t xml:space="preserve">designed to </w:t>
      </w:r>
      <w:r w:rsidR="00A345E3">
        <w:rPr>
          <w:rFonts w:ascii="Times New Roman" w:hAnsi="Times New Roman" w:cs="Times New Roman"/>
        </w:rPr>
        <w:t xml:space="preserve">reduce the likelihood </w:t>
      </w:r>
      <w:r w:rsidR="006B3591">
        <w:rPr>
          <w:rFonts w:ascii="Times New Roman" w:hAnsi="Times New Roman" w:cs="Times New Roman"/>
        </w:rPr>
        <w:t xml:space="preserve">and/or severity </w:t>
      </w:r>
      <w:r w:rsidR="00A345E3">
        <w:rPr>
          <w:rFonts w:ascii="Times New Roman" w:hAnsi="Times New Roman" w:cs="Times New Roman"/>
        </w:rPr>
        <w:t>of future accidents.</w:t>
      </w:r>
      <w:r w:rsidR="008647B0">
        <w:rPr>
          <w:rFonts w:ascii="Times New Roman" w:hAnsi="Times New Roman" w:cs="Times New Roman"/>
        </w:rPr>
        <w:t xml:space="preserve"> </w:t>
      </w:r>
      <w:r w:rsidR="009E7076">
        <w:rPr>
          <w:rFonts w:ascii="Times New Roman" w:hAnsi="Times New Roman" w:cs="Times New Roman"/>
        </w:rPr>
        <w:t>These</w:t>
      </w:r>
      <w:r w:rsidR="00B727E8">
        <w:rPr>
          <w:rFonts w:ascii="Times New Roman" w:hAnsi="Times New Roman" w:cs="Times New Roman"/>
        </w:rPr>
        <w:t xml:space="preserve"> include new requirements </w:t>
      </w:r>
      <w:r w:rsidR="009778C6">
        <w:rPr>
          <w:rFonts w:ascii="Times New Roman" w:hAnsi="Times New Roman" w:cs="Times New Roman"/>
        </w:rPr>
        <w:t>for STAA initial evaluation, practicability assessment, and implementation</w:t>
      </w:r>
      <w:r w:rsidR="001059B0">
        <w:rPr>
          <w:rFonts w:ascii="Times New Roman" w:hAnsi="Times New Roman" w:cs="Times New Roman"/>
        </w:rPr>
        <w:t xml:space="preserve"> of practicable measures</w:t>
      </w:r>
      <w:r w:rsidR="006E116E">
        <w:rPr>
          <w:rFonts w:ascii="Times New Roman" w:hAnsi="Times New Roman" w:cs="Times New Roman"/>
        </w:rPr>
        <w:t>;</w:t>
      </w:r>
      <w:r w:rsidR="00640B11">
        <w:rPr>
          <w:rFonts w:ascii="Times New Roman" w:hAnsi="Times New Roman" w:cs="Times New Roman"/>
        </w:rPr>
        <w:t xml:space="preserve"> as well as root cause analysis, third-party audits, </w:t>
      </w:r>
      <w:r w:rsidR="00E31AF4">
        <w:rPr>
          <w:rFonts w:ascii="Times New Roman" w:hAnsi="Times New Roman" w:cs="Times New Roman"/>
        </w:rPr>
        <w:t xml:space="preserve">employee participation plans, </w:t>
      </w:r>
      <w:r w:rsidR="00FB39BC">
        <w:rPr>
          <w:rFonts w:ascii="Times New Roman" w:hAnsi="Times New Roman" w:cs="Times New Roman"/>
        </w:rPr>
        <w:t xml:space="preserve">emergency backup power </w:t>
      </w:r>
      <w:r w:rsidR="00512F55">
        <w:rPr>
          <w:rFonts w:ascii="Times New Roman" w:hAnsi="Times New Roman" w:cs="Times New Roman"/>
        </w:rPr>
        <w:t xml:space="preserve">for perimeter monitors, </w:t>
      </w:r>
      <w:r w:rsidR="00862EDC">
        <w:rPr>
          <w:rFonts w:ascii="Times New Roman" w:hAnsi="Times New Roman" w:cs="Times New Roman"/>
        </w:rPr>
        <w:t>and hazard ev</w:t>
      </w:r>
      <w:r w:rsidR="00D8276A">
        <w:rPr>
          <w:rFonts w:ascii="Times New Roman" w:hAnsi="Times New Roman" w:cs="Times New Roman"/>
        </w:rPr>
        <w:t>aluation amplifications and RAGAGEP gap analysis</w:t>
      </w:r>
      <w:r w:rsidR="0008523B">
        <w:rPr>
          <w:rFonts w:ascii="Times New Roman" w:hAnsi="Times New Roman" w:cs="Times New Roman"/>
        </w:rPr>
        <w:t>.</w:t>
      </w:r>
      <w:r w:rsidR="00E006A4">
        <w:rPr>
          <w:rFonts w:ascii="Times New Roman" w:hAnsi="Times New Roman" w:cs="Times New Roman"/>
        </w:rPr>
        <w:t xml:space="preserve"> </w:t>
      </w:r>
      <w:r w:rsidR="00820F17">
        <w:rPr>
          <w:rFonts w:ascii="Times New Roman" w:hAnsi="Times New Roman" w:cs="Times New Roman"/>
        </w:rPr>
        <w:t xml:space="preserve">Costs vary considerably </w:t>
      </w:r>
      <w:r w:rsidR="00C90A96">
        <w:rPr>
          <w:rFonts w:ascii="Times New Roman" w:hAnsi="Times New Roman" w:cs="Times New Roman"/>
        </w:rPr>
        <w:t>across requirements.</w:t>
      </w:r>
    </w:p>
    <w:p w:rsidR="000257ED" w:rsidRPr="00720AAA" w:rsidP="00720AAA" w14:paraId="26C6B768" w14:textId="77777777">
      <w:pPr>
        <w:pStyle w:val="Heading3"/>
        <w:rPr>
          <w:rFonts w:ascii="Times New Roman" w:hAnsi="Times New Roman" w:cs="Times New Roman"/>
          <w:sz w:val="22"/>
          <w:szCs w:val="22"/>
        </w:rPr>
      </w:pPr>
      <w:bookmarkStart w:id="251" w:name="_Toc141732949"/>
      <w:bookmarkStart w:id="252" w:name="_Toc141733160"/>
      <w:bookmarkStart w:id="253" w:name="_Toc142404064"/>
      <w:bookmarkStart w:id="254" w:name="_Toc144213872"/>
      <w:bookmarkStart w:id="255" w:name="_Toc144283617"/>
      <w:bookmarkStart w:id="256" w:name="_Toc144303555"/>
      <w:bookmarkEnd w:id="246"/>
      <w:r w:rsidRPr="00720AAA">
        <w:rPr>
          <w:rFonts w:ascii="Times New Roman" w:hAnsi="Times New Roman" w:cs="Times New Roman"/>
          <w:sz w:val="22"/>
          <w:szCs w:val="22"/>
        </w:rPr>
        <w:t>5.3.1 Safer Technology Alternatives Analysis (STAA)</w:t>
      </w:r>
      <w:r w:rsidRPr="00720AAA" w:rsidR="005C00B4">
        <w:rPr>
          <w:rFonts w:ascii="Times New Roman" w:hAnsi="Times New Roman" w:cs="Times New Roman"/>
          <w:sz w:val="22"/>
          <w:szCs w:val="22"/>
        </w:rPr>
        <w:t xml:space="preserve"> </w:t>
      </w:r>
      <w:r w:rsidRPr="00720AAA" w:rsidR="00AA1574">
        <w:rPr>
          <w:rFonts w:ascii="Times New Roman" w:hAnsi="Times New Roman" w:cs="Times New Roman"/>
          <w:sz w:val="22"/>
          <w:szCs w:val="22"/>
        </w:rPr>
        <w:t xml:space="preserve">Initial Evaluation and </w:t>
      </w:r>
      <w:bookmarkEnd w:id="251"/>
      <w:bookmarkEnd w:id="252"/>
      <w:r w:rsidR="00E25B3A">
        <w:rPr>
          <w:rFonts w:ascii="Times New Roman" w:hAnsi="Times New Roman" w:cs="Times New Roman"/>
          <w:sz w:val="22"/>
          <w:szCs w:val="22"/>
        </w:rPr>
        <w:t>Practicability Assessment</w:t>
      </w:r>
      <w:bookmarkEnd w:id="253"/>
      <w:bookmarkEnd w:id="254"/>
      <w:bookmarkEnd w:id="255"/>
      <w:bookmarkEnd w:id="256"/>
    </w:p>
    <w:p w:rsidR="000257ED" w:rsidRPr="00BF4D0A" w:rsidP="000257ED" w14:paraId="3076D56B" w14:textId="2B9BCFAB">
      <w:pPr>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The RMP rule currently does not require facilities to conduct a STAA.</w:t>
      </w:r>
      <w:r>
        <w:rPr>
          <w:rFonts w:ascii="Times New Roman" w:hAnsi="Times New Roman" w:cs="Times New Roman"/>
          <w:iCs/>
        </w:rPr>
        <w:t xml:space="preserve"> </w:t>
      </w:r>
      <w:r w:rsidRPr="00BF4D0A">
        <w:rPr>
          <w:rFonts w:ascii="Times New Roman" w:hAnsi="Times New Roman" w:cs="Times New Roman"/>
        </w:rPr>
        <w:t xml:space="preserve">The </w:t>
      </w:r>
      <w:r w:rsidR="00336368">
        <w:rPr>
          <w:rFonts w:ascii="Times New Roman" w:hAnsi="Times New Roman" w:cs="Times New Roman"/>
        </w:rPr>
        <w:t>final</w:t>
      </w:r>
      <w:r w:rsidRPr="00BF4D0A" w:rsidR="00336368">
        <w:rPr>
          <w:rFonts w:ascii="Times New Roman" w:hAnsi="Times New Roman" w:cs="Times New Roman"/>
        </w:rPr>
        <w:t xml:space="preserve"> </w:t>
      </w:r>
      <w:r w:rsidRPr="00BF4D0A">
        <w:rPr>
          <w:rFonts w:ascii="Times New Roman" w:hAnsi="Times New Roman" w:cs="Times New Roman"/>
        </w:rPr>
        <w:t xml:space="preserve">rule’s STAA provision </w:t>
      </w:r>
      <w:r w:rsidR="009449B7">
        <w:rPr>
          <w:rFonts w:ascii="Times New Roman" w:hAnsi="Times New Roman" w:cs="Times New Roman"/>
        </w:rPr>
        <w:t>will</w:t>
      </w:r>
      <w:r w:rsidRPr="00BF4D0A">
        <w:rPr>
          <w:rFonts w:ascii="Times New Roman" w:hAnsi="Times New Roman" w:cs="Times New Roman"/>
        </w:rPr>
        <w:t xml:space="preserve"> apply to </w:t>
      </w:r>
      <w:r w:rsidR="000929CB">
        <w:rPr>
          <w:rFonts w:ascii="Times New Roman" w:hAnsi="Times New Roman" w:cs="Times New Roman"/>
        </w:rPr>
        <w:t>facilities with either</w:t>
      </w:r>
      <w:r w:rsidRPr="00BF4D0A">
        <w:rPr>
          <w:rFonts w:ascii="Times New Roman" w:hAnsi="Times New Roman" w:cs="Times New Roman"/>
        </w:rPr>
        <w:t xml:space="preserve"> NAICS 324 (petroleum and coal products manufacturing) </w:t>
      </w:r>
      <w:r w:rsidR="000929CB">
        <w:rPr>
          <w:rFonts w:ascii="Times New Roman" w:hAnsi="Times New Roman" w:cs="Times New Roman"/>
        </w:rPr>
        <w:t>or</w:t>
      </w:r>
      <w:r w:rsidRPr="00BF4D0A" w:rsidR="000929CB">
        <w:rPr>
          <w:rFonts w:ascii="Times New Roman" w:hAnsi="Times New Roman" w:cs="Times New Roman"/>
        </w:rPr>
        <w:t xml:space="preserve"> </w:t>
      </w:r>
      <w:r w:rsidRPr="00BF4D0A">
        <w:rPr>
          <w:rFonts w:ascii="Times New Roman" w:hAnsi="Times New Roman" w:cs="Times New Roman"/>
        </w:rPr>
        <w:t xml:space="preserve">325 (chemical manufacturing) </w:t>
      </w:r>
      <w:r w:rsidR="000929CB">
        <w:rPr>
          <w:rFonts w:ascii="Times New Roman" w:hAnsi="Times New Roman" w:cs="Times New Roman"/>
        </w:rPr>
        <w:t>processes</w:t>
      </w:r>
      <w:r w:rsidRPr="00BF4D0A">
        <w:rPr>
          <w:rFonts w:ascii="Times New Roman" w:hAnsi="Times New Roman" w:cs="Times New Roman"/>
        </w:rPr>
        <w:t xml:space="preserve">. The provision </w:t>
      </w:r>
      <w:r w:rsidR="009449B7">
        <w:rPr>
          <w:rFonts w:ascii="Times New Roman" w:hAnsi="Times New Roman" w:cs="Times New Roman"/>
        </w:rPr>
        <w:t>will</w:t>
      </w:r>
      <w:r w:rsidRPr="00BF4D0A">
        <w:rPr>
          <w:rFonts w:ascii="Times New Roman" w:hAnsi="Times New Roman" w:cs="Times New Roman"/>
        </w:rPr>
        <w:t xml:space="preserve"> require owners/operators to conduct an initial evaluation</w:t>
      </w:r>
      <w:r w:rsidR="00C95B0E">
        <w:rPr>
          <w:rFonts w:ascii="Times New Roman" w:hAnsi="Times New Roman" w:cs="Times New Roman"/>
        </w:rPr>
        <w:t xml:space="preserve"> of potential safer technologies every five years as part of the</w:t>
      </w:r>
      <w:r w:rsidR="00892C91">
        <w:rPr>
          <w:rFonts w:ascii="Times New Roman" w:hAnsi="Times New Roman" w:cs="Times New Roman"/>
        </w:rPr>
        <w:t xml:space="preserve"> PHA</w:t>
      </w:r>
      <w:r w:rsidR="00236638">
        <w:rPr>
          <w:rFonts w:ascii="Times New Roman" w:hAnsi="Times New Roman" w:cs="Times New Roman"/>
        </w:rPr>
        <w:t xml:space="preserve">. If the facility </w:t>
      </w:r>
      <w:r w:rsidR="002743A0">
        <w:rPr>
          <w:rFonts w:ascii="Times New Roman" w:hAnsi="Times New Roman" w:cs="Times New Roman"/>
        </w:rPr>
        <w:t>had an accident</w:t>
      </w:r>
      <w:r w:rsidR="00B61780">
        <w:rPr>
          <w:rFonts w:ascii="Times New Roman" w:hAnsi="Times New Roman" w:cs="Times New Roman"/>
        </w:rPr>
        <w:t xml:space="preserve"> since </w:t>
      </w:r>
      <w:r w:rsidR="00966A05">
        <w:rPr>
          <w:rFonts w:ascii="Times New Roman" w:hAnsi="Times New Roman" w:cs="Times New Roman"/>
        </w:rPr>
        <w:t>its</w:t>
      </w:r>
      <w:r w:rsidR="00B61780">
        <w:rPr>
          <w:rFonts w:ascii="Times New Roman" w:hAnsi="Times New Roman" w:cs="Times New Roman"/>
        </w:rPr>
        <w:t xml:space="preserve"> most recent PHA</w:t>
      </w:r>
      <w:r w:rsidR="002743A0">
        <w:rPr>
          <w:rFonts w:ascii="Times New Roman" w:hAnsi="Times New Roman" w:cs="Times New Roman"/>
        </w:rPr>
        <w:t>, has an HF unit,</w:t>
      </w:r>
      <w:r w:rsidR="00D3053C">
        <w:rPr>
          <w:rFonts w:ascii="Times New Roman" w:hAnsi="Times New Roman" w:cs="Times New Roman"/>
        </w:rPr>
        <w:t xml:space="preserve"> or is within one mile of another facility with processes in NAICS 324 or 325, then it </w:t>
      </w:r>
      <w:r w:rsidR="009449B7">
        <w:rPr>
          <w:rFonts w:ascii="Times New Roman" w:hAnsi="Times New Roman" w:cs="Times New Roman"/>
        </w:rPr>
        <w:t>will</w:t>
      </w:r>
      <w:r w:rsidR="00D3053C">
        <w:rPr>
          <w:rFonts w:ascii="Times New Roman" w:hAnsi="Times New Roman" w:cs="Times New Roman"/>
        </w:rPr>
        <w:t xml:space="preserve"> also have to conduct</w:t>
      </w:r>
      <w:r w:rsidRPr="00BF4D0A">
        <w:rPr>
          <w:rFonts w:ascii="Times New Roman" w:hAnsi="Times New Roman" w:cs="Times New Roman"/>
        </w:rPr>
        <w:t xml:space="preserve"> a </w:t>
      </w:r>
      <w:r w:rsidR="00E25B3A">
        <w:rPr>
          <w:rFonts w:ascii="Times New Roman" w:hAnsi="Times New Roman" w:cs="Times New Roman"/>
        </w:rPr>
        <w:t>practicability assessment</w:t>
      </w:r>
      <w:r w:rsidRPr="00BF4D0A">
        <w:rPr>
          <w:rFonts w:ascii="Times New Roman" w:hAnsi="Times New Roman" w:cs="Times New Roman"/>
        </w:rPr>
        <w:t xml:space="preserve"> of potential </w:t>
      </w:r>
      <w:r w:rsidR="00512C98">
        <w:rPr>
          <w:rFonts w:ascii="Times New Roman" w:hAnsi="Times New Roman" w:cs="Times New Roman"/>
        </w:rPr>
        <w:t>IST/ISD</w:t>
      </w:r>
      <w:r w:rsidRPr="00BF4D0A">
        <w:rPr>
          <w:rFonts w:ascii="Times New Roman" w:hAnsi="Times New Roman" w:cs="Times New Roman"/>
        </w:rPr>
        <w:t xml:space="preserve"> every five years as part of the PHA. EPA believes </w:t>
      </w:r>
      <w:r w:rsidR="00274870">
        <w:rPr>
          <w:rFonts w:ascii="Times New Roman" w:hAnsi="Times New Roman" w:cs="Times New Roman"/>
        </w:rPr>
        <w:t xml:space="preserve">the </w:t>
      </w:r>
      <w:r w:rsidR="00966A05">
        <w:rPr>
          <w:rFonts w:ascii="Times New Roman" w:hAnsi="Times New Roman" w:cs="Times New Roman"/>
        </w:rPr>
        <w:t>S</w:t>
      </w:r>
      <w:r w:rsidRPr="00BF4D0A">
        <w:rPr>
          <w:rFonts w:ascii="Times New Roman" w:hAnsi="Times New Roman" w:cs="Times New Roman"/>
        </w:rPr>
        <w:t>tates</w:t>
      </w:r>
      <w:r w:rsidR="00274870">
        <w:rPr>
          <w:rFonts w:ascii="Times New Roman" w:hAnsi="Times New Roman" w:cs="Times New Roman"/>
        </w:rPr>
        <w:t xml:space="preserve"> of </w:t>
      </w:r>
      <w:r w:rsidR="00330778">
        <w:rPr>
          <w:rFonts w:ascii="Times New Roman" w:hAnsi="Times New Roman" w:cs="Times New Roman"/>
        </w:rPr>
        <w:t>Californ</w:t>
      </w:r>
      <w:r w:rsidR="00855202">
        <w:rPr>
          <w:rFonts w:ascii="Times New Roman" w:hAnsi="Times New Roman" w:cs="Times New Roman"/>
        </w:rPr>
        <w:t>ia (</w:t>
      </w:r>
      <w:r w:rsidR="00BF36FD">
        <w:rPr>
          <w:rFonts w:ascii="Times New Roman" w:hAnsi="Times New Roman" w:cs="Times New Roman"/>
        </w:rPr>
        <w:t xml:space="preserve">only </w:t>
      </w:r>
      <w:r w:rsidR="00323369">
        <w:rPr>
          <w:rFonts w:ascii="Times New Roman" w:hAnsi="Times New Roman" w:cs="Times New Roman"/>
        </w:rPr>
        <w:t>at</w:t>
      </w:r>
      <w:r w:rsidR="00BF36FD">
        <w:rPr>
          <w:rFonts w:ascii="Times New Roman" w:hAnsi="Times New Roman" w:cs="Times New Roman"/>
        </w:rPr>
        <w:t xml:space="preserve"> refineries with HF units) and Massachusetts</w:t>
      </w:r>
      <w:r w:rsidRPr="00BF4D0A">
        <w:rPr>
          <w:rFonts w:ascii="Times New Roman" w:hAnsi="Times New Roman" w:cs="Times New Roman"/>
        </w:rPr>
        <w:t xml:space="preserve"> </w:t>
      </w:r>
      <w:r w:rsidR="00DC0012">
        <w:rPr>
          <w:rFonts w:ascii="Times New Roman" w:hAnsi="Times New Roman" w:cs="Times New Roman"/>
        </w:rPr>
        <w:t>and Contra Costa County, California</w:t>
      </w:r>
      <w:r w:rsidR="00966A05">
        <w:rPr>
          <w:rFonts w:ascii="Times New Roman" w:hAnsi="Times New Roman" w:cs="Times New Roman"/>
        </w:rPr>
        <w:t>, which have</w:t>
      </w:r>
      <w:r w:rsidRPr="00BF4D0A">
        <w:rPr>
          <w:rFonts w:ascii="Times New Roman" w:hAnsi="Times New Roman" w:cs="Times New Roman"/>
        </w:rPr>
        <w:t xml:space="preserve"> existing requirements similar to the STAA requirement</w:t>
      </w:r>
      <w:r w:rsidR="00966A05">
        <w:rPr>
          <w:rFonts w:ascii="Times New Roman" w:hAnsi="Times New Roman" w:cs="Times New Roman"/>
        </w:rPr>
        <w:t>,</w:t>
      </w:r>
      <w:r w:rsidRPr="00BF4D0A">
        <w:rPr>
          <w:rFonts w:ascii="Times New Roman" w:hAnsi="Times New Roman" w:cs="Times New Roman"/>
        </w:rPr>
        <w:t xml:space="preserve"> are likely already conducting activities that </w:t>
      </w:r>
      <w:r w:rsidR="009449B7">
        <w:rPr>
          <w:rFonts w:ascii="Times New Roman" w:hAnsi="Times New Roman" w:cs="Times New Roman"/>
        </w:rPr>
        <w:t>will</w:t>
      </w:r>
      <w:r w:rsidRPr="00BF4D0A">
        <w:rPr>
          <w:rFonts w:ascii="Times New Roman" w:hAnsi="Times New Roman" w:cs="Times New Roman"/>
        </w:rPr>
        <w:t xml:space="preserve"> satisfy EPA’s </w:t>
      </w:r>
      <w:r w:rsidR="00756367">
        <w:rPr>
          <w:rFonts w:ascii="Times New Roman" w:hAnsi="Times New Roman" w:cs="Times New Roman"/>
        </w:rPr>
        <w:t>new</w:t>
      </w:r>
      <w:r w:rsidRPr="00BF4D0A">
        <w:rPr>
          <w:rFonts w:ascii="Times New Roman" w:hAnsi="Times New Roman" w:cs="Times New Roman"/>
        </w:rPr>
        <w:t xml:space="preserve"> requirement. EPA also believes this cost </w:t>
      </w:r>
      <w:r w:rsidR="009449B7">
        <w:rPr>
          <w:rFonts w:ascii="Times New Roman" w:hAnsi="Times New Roman" w:cs="Times New Roman"/>
        </w:rPr>
        <w:t>will</w:t>
      </w:r>
      <w:r w:rsidRPr="00BF4D0A">
        <w:rPr>
          <w:rFonts w:ascii="Times New Roman" w:hAnsi="Times New Roman" w:cs="Times New Roman"/>
        </w:rPr>
        <w:t xml:space="preserve"> be reduced after the first five-year PHA cycle because after the initial PHA, EPA requires owner</w:t>
      </w:r>
      <w:r w:rsidR="00466B69">
        <w:rPr>
          <w:rFonts w:ascii="Times New Roman" w:hAnsi="Times New Roman" w:cs="Times New Roman"/>
        </w:rPr>
        <w:t>s</w:t>
      </w:r>
      <w:r w:rsidRPr="00BF4D0A">
        <w:rPr>
          <w:rFonts w:ascii="Times New Roman" w:hAnsi="Times New Roman" w:cs="Times New Roman"/>
        </w:rPr>
        <w:t>/operators to update and revalidate a PHA to ensure that the PHA is consistent with the current processes</w:t>
      </w:r>
      <w:r w:rsidR="00466B69">
        <w:rPr>
          <w:rFonts w:ascii="Times New Roman" w:hAnsi="Times New Roman" w:cs="Times New Roman"/>
        </w:rPr>
        <w:t>.</w:t>
      </w:r>
      <w:r w:rsidR="002167BE">
        <w:rPr>
          <w:rFonts w:ascii="Times New Roman" w:hAnsi="Times New Roman" w:cs="Times New Roman"/>
        </w:rPr>
        <w:t xml:space="preserve"> </w:t>
      </w:r>
      <w:r w:rsidR="00466B69">
        <w:rPr>
          <w:rFonts w:ascii="Times New Roman" w:hAnsi="Times New Roman" w:cs="Times New Roman"/>
        </w:rPr>
        <w:t>Revalidation</w:t>
      </w:r>
      <w:r w:rsidRPr="00BF4D0A">
        <w:rPr>
          <w:rFonts w:ascii="Times New Roman" w:hAnsi="Times New Roman" w:cs="Times New Roman"/>
        </w:rPr>
        <w:t xml:space="preserve"> is a much less costly activity than conducting the initial PHA</w:t>
      </w:r>
      <w:r w:rsidR="002167BE">
        <w:rPr>
          <w:rFonts w:ascii="Times New Roman" w:hAnsi="Times New Roman" w:cs="Times New Roman"/>
        </w:rPr>
        <w:t xml:space="preserve">. EPA believes the cost of an initial </w:t>
      </w:r>
      <w:r w:rsidRPr="00BF4D0A">
        <w:rPr>
          <w:rFonts w:ascii="Times New Roman" w:hAnsi="Times New Roman" w:cs="Times New Roman"/>
        </w:rPr>
        <w:t>STAA</w:t>
      </w:r>
      <w:r w:rsidR="002167BE">
        <w:rPr>
          <w:rFonts w:ascii="Times New Roman" w:hAnsi="Times New Roman" w:cs="Times New Roman"/>
        </w:rPr>
        <w:t xml:space="preserve"> </w:t>
      </w:r>
      <w:r w:rsidR="00F57AA2">
        <w:rPr>
          <w:rFonts w:ascii="Times New Roman" w:hAnsi="Times New Roman" w:cs="Times New Roman"/>
        </w:rPr>
        <w:t xml:space="preserve">evaluation and practicability </w:t>
      </w:r>
      <w:r w:rsidR="002167BE">
        <w:rPr>
          <w:rFonts w:ascii="Times New Roman" w:hAnsi="Times New Roman" w:cs="Times New Roman"/>
        </w:rPr>
        <w:t>assessment will likewise be lower after the first submission; that is</w:t>
      </w:r>
      <w:r w:rsidR="00966A05">
        <w:rPr>
          <w:rFonts w:ascii="Times New Roman" w:hAnsi="Times New Roman" w:cs="Times New Roman"/>
        </w:rPr>
        <w:t>,</w:t>
      </w:r>
      <w:r w:rsidR="002167BE">
        <w:rPr>
          <w:rFonts w:ascii="Times New Roman" w:hAnsi="Times New Roman" w:cs="Times New Roman"/>
        </w:rPr>
        <w:t xml:space="preserve"> in all subsequent 5</w:t>
      </w:r>
      <w:r w:rsidR="00C3284B">
        <w:rPr>
          <w:rFonts w:ascii="Times New Roman" w:hAnsi="Times New Roman" w:cs="Times New Roman"/>
        </w:rPr>
        <w:t>-</w:t>
      </w:r>
      <w:r w:rsidR="002167BE">
        <w:rPr>
          <w:rFonts w:ascii="Times New Roman" w:hAnsi="Times New Roman" w:cs="Times New Roman"/>
        </w:rPr>
        <w:t>year submissions</w:t>
      </w:r>
      <w:r w:rsidRPr="00BF4D0A">
        <w:rPr>
          <w:rFonts w:ascii="Times New Roman" w:hAnsi="Times New Roman" w:cs="Times New Roman"/>
        </w:rPr>
        <w:t xml:space="preserve">. </w:t>
      </w:r>
      <w:r w:rsidR="00E01025">
        <w:rPr>
          <w:rFonts w:ascii="Times New Roman" w:hAnsi="Times New Roman" w:cs="Times New Roman"/>
        </w:rPr>
        <w:t xml:space="preserve">However, </w:t>
      </w:r>
      <w:r w:rsidRPr="00BF4D0A">
        <w:rPr>
          <w:rFonts w:ascii="Times New Roman" w:hAnsi="Times New Roman" w:cs="Times New Roman"/>
        </w:rPr>
        <w:t xml:space="preserve">EPA estimates this cost as identical in both the first and second </w:t>
      </w:r>
      <w:r w:rsidR="007302CB">
        <w:rPr>
          <w:rFonts w:ascii="Times New Roman" w:hAnsi="Times New Roman" w:cs="Times New Roman"/>
        </w:rPr>
        <w:t>five-</w:t>
      </w:r>
      <w:r w:rsidRPr="00BF4D0A">
        <w:rPr>
          <w:rFonts w:ascii="Times New Roman" w:hAnsi="Times New Roman" w:cs="Times New Roman"/>
        </w:rPr>
        <w:t>year cycles in the period of analysis</w:t>
      </w:r>
      <w:r w:rsidR="009915B9">
        <w:rPr>
          <w:rFonts w:ascii="Times New Roman" w:hAnsi="Times New Roman" w:cs="Times New Roman"/>
        </w:rPr>
        <w:t xml:space="preserve"> for affected facilities </w:t>
      </w:r>
      <w:r w:rsidR="00EE4885">
        <w:rPr>
          <w:rFonts w:ascii="Times New Roman" w:hAnsi="Times New Roman" w:cs="Times New Roman"/>
        </w:rPr>
        <w:t xml:space="preserve">only </w:t>
      </w:r>
      <w:r w:rsidR="00977335">
        <w:rPr>
          <w:rFonts w:ascii="Times New Roman" w:hAnsi="Times New Roman" w:cs="Times New Roman"/>
        </w:rPr>
        <w:t xml:space="preserve">required to conduct STAA </w:t>
      </w:r>
      <w:r w:rsidR="00953134">
        <w:rPr>
          <w:rFonts w:ascii="Times New Roman" w:hAnsi="Times New Roman" w:cs="Times New Roman"/>
        </w:rPr>
        <w:t xml:space="preserve">only because of </w:t>
      </w:r>
      <w:r w:rsidR="00977335">
        <w:rPr>
          <w:rFonts w:ascii="Times New Roman" w:hAnsi="Times New Roman" w:cs="Times New Roman"/>
        </w:rPr>
        <w:t>an</w:t>
      </w:r>
      <w:r w:rsidR="00E05E86">
        <w:rPr>
          <w:rFonts w:ascii="Times New Roman" w:hAnsi="Times New Roman" w:cs="Times New Roman"/>
        </w:rPr>
        <w:t xml:space="preserve"> accident</w:t>
      </w:r>
      <w:r w:rsidRPr="00BF4D0A">
        <w:rPr>
          <w:rFonts w:ascii="Times New Roman" w:hAnsi="Times New Roman" w:cs="Times New Roman"/>
        </w:rPr>
        <w:t xml:space="preserve">. </w:t>
      </w:r>
      <w:r w:rsidR="002B3412">
        <w:rPr>
          <w:rFonts w:ascii="Times New Roman" w:hAnsi="Times New Roman" w:cs="Times New Roman"/>
        </w:rPr>
        <w:t xml:space="preserve">For the remaining facilities, EPA assumes </w:t>
      </w:r>
      <w:r w:rsidR="007C7FBB">
        <w:rPr>
          <w:rFonts w:ascii="Times New Roman" w:hAnsi="Times New Roman" w:cs="Times New Roman"/>
        </w:rPr>
        <w:t>the cost</w:t>
      </w:r>
      <w:r w:rsidR="00C578CA">
        <w:rPr>
          <w:rFonts w:ascii="Times New Roman" w:hAnsi="Times New Roman" w:cs="Times New Roman"/>
        </w:rPr>
        <w:t xml:space="preserve"> in the second five-year cycle</w:t>
      </w:r>
      <w:r w:rsidR="007C7FBB">
        <w:rPr>
          <w:rFonts w:ascii="Times New Roman" w:hAnsi="Times New Roman" w:cs="Times New Roman"/>
        </w:rPr>
        <w:t xml:space="preserve"> will average 18</w:t>
      </w:r>
      <w:r w:rsidR="00722278">
        <w:rPr>
          <w:rFonts w:ascii="Times New Roman" w:hAnsi="Times New Roman" w:cs="Times New Roman"/>
        </w:rPr>
        <w:t xml:space="preserve">% </w:t>
      </w:r>
      <w:r w:rsidR="00C578CA">
        <w:rPr>
          <w:rFonts w:ascii="Times New Roman" w:hAnsi="Times New Roman" w:cs="Times New Roman"/>
        </w:rPr>
        <w:t>of the cost in the first five-year cycle.</w:t>
      </w:r>
      <w:r>
        <w:rPr>
          <w:rStyle w:val="FootnoteReference"/>
          <w:rFonts w:ascii="Times New Roman" w:hAnsi="Times New Roman" w:cs="Times New Roman"/>
        </w:rPr>
        <w:footnoteReference w:id="122"/>
      </w:r>
      <w:r w:rsidR="00C578CA">
        <w:rPr>
          <w:rFonts w:ascii="Times New Roman" w:hAnsi="Times New Roman" w:cs="Times New Roman"/>
        </w:rPr>
        <w:t xml:space="preserve"> </w:t>
      </w:r>
      <w:r w:rsidRPr="00BF4D0A">
        <w:rPr>
          <w:rFonts w:ascii="Times New Roman" w:hAnsi="Times New Roman" w:cs="Times New Roman"/>
        </w:rPr>
        <w:t>Exhibit</w:t>
      </w:r>
      <w:r w:rsidR="00296311">
        <w:rPr>
          <w:rFonts w:ascii="Times New Roman" w:hAnsi="Times New Roman" w:cs="Times New Roman"/>
        </w:rPr>
        <w:t>s</w:t>
      </w:r>
      <w:r w:rsidRPr="00BF4D0A">
        <w:rPr>
          <w:rFonts w:ascii="Times New Roman" w:hAnsi="Times New Roman" w:cs="Times New Roman"/>
        </w:rPr>
        <w:t xml:space="preserve"> 5-</w:t>
      </w:r>
      <w:r w:rsidR="00C84234">
        <w:rPr>
          <w:rFonts w:ascii="Times New Roman" w:hAnsi="Times New Roman" w:cs="Times New Roman"/>
        </w:rPr>
        <w:t>2</w:t>
      </w:r>
      <w:r w:rsidRPr="00BF4D0A">
        <w:rPr>
          <w:rFonts w:ascii="Times New Roman" w:hAnsi="Times New Roman" w:cs="Times New Roman"/>
        </w:rPr>
        <w:t xml:space="preserve"> </w:t>
      </w:r>
      <w:r w:rsidR="00296311">
        <w:rPr>
          <w:rFonts w:ascii="Times New Roman" w:hAnsi="Times New Roman" w:cs="Times New Roman"/>
        </w:rPr>
        <w:t xml:space="preserve">and 5-3 </w:t>
      </w:r>
      <w:r w:rsidRPr="00BF4D0A">
        <w:rPr>
          <w:rFonts w:ascii="Times New Roman" w:hAnsi="Times New Roman" w:cs="Times New Roman"/>
        </w:rPr>
        <w:t>present the estimated costs for the provision</w:t>
      </w:r>
      <w:r w:rsidR="00296311">
        <w:rPr>
          <w:rFonts w:ascii="Times New Roman" w:hAnsi="Times New Roman" w:cs="Times New Roman"/>
        </w:rPr>
        <w:t xml:space="preserve"> in Years 1-5 and Years 6-10, respectively</w:t>
      </w:r>
      <w:r w:rsidRPr="00BF4D0A">
        <w:rPr>
          <w:rFonts w:ascii="Times New Roman" w:hAnsi="Times New Roman" w:cs="Times New Roman"/>
        </w:rPr>
        <w:t>.</w:t>
      </w:r>
      <w:r>
        <w:br/>
      </w:r>
    </w:p>
    <w:p w:rsidR="008E6BA5" w:rsidP="00FA04B8" w14:paraId="59E62C08" w14:textId="77777777">
      <w:pPr>
        <w:pStyle w:val="Caption"/>
        <w:keepNext/>
        <w:spacing w:after="0"/>
        <w:jc w:val="center"/>
        <w:rPr>
          <w:rFonts w:ascii="Times New Roman" w:hAnsi="Times New Roman" w:cs="Times New Roman"/>
          <w:b/>
          <w:bCs/>
          <w:i w:val="0"/>
          <w:iCs w:val="0"/>
          <w:color w:val="auto"/>
          <w:sz w:val="22"/>
          <w:szCs w:val="22"/>
        </w:rPr>
      </w:pPr>
      <w:r w:rsidRPr="00B87FD9">
        <w:rPr>
          <w:rFonts w:ascii="Times New Roman" w:hAnsi="Times New Roman" w:cs="Times New Roman"/>
          <w:b/>
          <w:bCs/>
          <w:i w:val="0"/>
          <w:iCs w:val="0"/>
          <w:color w:val="auto"/>
          <w:sz w:val="22"/>
          <w:szCs w:val="22"/>
        </w:rPr>
        <w:t xml:space="preserve">Exhibit </w:t>
      </w:r>
      <w:r w:rsidRPr="00D21E4B">
        <w:rPr>
          <w:rFonts w:ascii="Times New Roman" w:hAnsi="Times New Roman" w:cs="Times New Roman"/>
          <w:b/>
          <w:bCs/>
          <w:i w:val="0"/>
          <w:iCs w:val="0"/>
          <w:color w:val="auto"/>
          <w:sz w:val="22"/>
          <w:szCs w:val="22"/>
        </w:rPr>
        <w:t>5-</w:t>
      </w:r>
      <w:r w:rsidR="00C84234">
        <w:rPr>
          <w:rFonts w:ascii="Times New Roman" w:hAnsi="Times New Roman" w:cs="Times New Roman"/>
          <w:b/>
          <w:bCs/>
          <w:i w:val="0"/>
          <w:iCs w:val="0"/>
          <w:color w:val="auto"/>
          <w:sz w:val="22"/>
          <w:szCs w:val="22"/>
        </w:rPr>
        <w:t>2</w:t>
      </w:r>
      <w:r w:rsidRPr="00D21E4B">
        <w:rPr>
          <w:rFonts w:ascii="Times New Roman" w:hAnsi="Times New Roman" w:cs="Times New Roman"/>
          <w:b/>
          <w:bCs/>
          <w:i w:val="0"/>
          <w:iCs w:val="0"/>
          <w:color w:val="auto"/>
          <w:sz w:val="22"/>
          <w:szCs w:val="22"/>
        </w:rPr>
        <w:t xml:space="preserve">: Estimated </w:t>
      </w:r>
      <w:r w:rsidR="0019334D">
        <w:rPr>
          <w:rFonts w:ascii="Times New Roman" w:hAnsi="Times New Roman" w:cs="Times New Roman"/>
          <w:b/>
          <w:bCs/>
          <w:i w:val="0"/>
          <w:iCs w:val="0"/>
          <w:color w:val="auto"/>
          <w:sz w:val="22"/>
          <w:szCs w:val="22"/>
        </w:rPr>
        <w:t>Annual</w:t>
      </w:r>
      <w:r w:rsidRPr="00D21E4B" w:rsidR="0019334D">
        <w:rPr>
          <w:rFonts w:ascii="Times New Roman" w:hAnsi="Times New Roman" w:cs="Times New Roman"/>
          <w:b/>
          <w:bCs/>
          <w:i w:val="0"/>
          <w:iCs w:val="0"/>
          <w:color w:val="auto"/>
          <w:sz w:val="22"/>
          <w:szCs w:val="22"/>
        </w:rPr>
        <w:t xml:space="preserve"> </w:t>
      </w:r>
      <w:r w:rsidRPr="00D21E4B">
        <w:rPr>
          <w:rFonts w:ascii="Times New Roman" w:hAnsi="Times New Roman" w:cs="Times New Roman"/>
          <w:b/>
          <w:bCs/>
          <w:i w:val="0"/>
          <w:iCs w:val="0"/>
          <w:color w:val="auto"/>
          <w:sz w:val="22"/>
          <w:szCs w:val="22"/>
        </w:rPr>
        <w:t xml:space="preserve">Costs for STAA </w:t>
      </w:r>
      <w:r w:rsidR="00E25B3A">
        <w:rPr>
          <w:rFonts w:ascii="Times New Roman" w:hAnsi="Times New Roman" w:cs="Times New Roman"/>
          <w:b/>
          <w:bCs/>
          <w:i w:val="0"/>
          <w:iCs w:val="0"/>
          <w:color w:val="auto"/>
          <w:sz w:val="22"/>
          <w:szCs w:val="22"/>
        </w:rPr>
        <w:t>Initial Evaluation</w:t>
      </w:r>
      <w:r w:rsidR="00FF5E51">
        <w:rPr>
          <w:rFonts w:ascii="Times New Roman" w:hAnsi="Times New Roman" w:cs="Times New Roman"/>
          <w:b/>
          <w:bCs/>
          <w:i w:val="0"/>
          <w:iCs w:val="0"/>
          <w:color w:val="auto"/>
          <w:sz w:val="22"/>
          <w:szCs w:val="22"/>
        </w:rPr>
        <w:t xml:space="preserve"> and </w:t>
      </w:r>
      <w:r w:rsidR="00E25B3A">
        <w:rPr>
          <w:rFonts w:ascii="Times New Roman" w:hAnsi="Times New Roman" w:cs="Times New Roman"/>
          <w:b/>
          <w:bCs/>
          <w:i w:val="0"/>
          <w:iCs w:val="0"/>
          <w:color w:val="auto"/>
          <w:sz w:val="22"/>
          <w:szCs w:val="22"/>
        </w:rPr>
        <w:t>Practicability Assessment</w:t>
      </w:r>
    </w:p>
    <w:p w:rsidR="000257ED" w:rsidP="001C1947" w14:paraId="6E3417A7" w14:textId="77777777">
      <w:pPr>
        <w:pStyle w:val="Caption"/>
        <w:keepNext/>
        <w:jc w:val="center"/>
      </w:pPr>
      <w:r>
        <w:rPr>
          <w:rFonts w:ascii="Times New Roman" w:hAnsi="Times New Roman" w:cs="Times New Roman"/>
          <w:b/>
          <w:bCs/>
          <w:i w:val="0"/>
          <w:iCs w:val="0"/>
          <w:color w:val="auto"/>
          <w:sz w:val="22"/>
          <w:szCs w:val="22"/>
        </w:rPr>
        <w:t xml:space="preserve"> Years 1-5</w:t>
      </w:r>
      <w:r w:rsidR="00091C2D">
        <w:rPr>
          <w:rFonts w:ascii="Times New Roman" w:hAnsi="Times New Roman" w:cs="Times New Roman"/>
          <w:b/>
          <w:bCs/>
          <w:i w:val="0"/>
          <w:iCs w:val="0"/>
          <w:color w:val="auto"/>
          <w:sz w:val="22"/>
          <w:szCs w:val="22"/>
        </w:rPr>
        <w:t xml:space="preserve"> </w:t>
      </w:r>
      <w:r w:rsidRPr="00D21E4B">
        <w:rPr>
          <w:rFonts w:ascii="Times New Roman" w:hAnsi="Times New Roman" w:cs="Times New Roman"/>
          <w:b/>
          <w:bCs/>
          <w:i w:val="0"/>
          <w:iCs w:val="0"/>
          <w:color w:val="auto"/>
          <w:sz w:val="22"/>
          <w:szCs w:val="22"/>
        </w:rPr>
        <w:t>(</w:t>
      </w:r>
      <w:r w:rsidRPr="00D21E4B" w:rsidR="00456281">
        <w:rPr>
          <w:rFonts w:ascii="Times New Roman" w:hAnsi="Times New Roman" w:cs="Times New Roman"/>
          <w:b/>
          <w:bCs/>
          <w:i w:val="0"/>
          <w:iCs w:val="0"/>
          <w:color w:val="auto"/>
          <w:sz w:val="22"/>
          <w:szCs w:val="22"/>
        </w:rPr>
        <w:t>202</w:t>
      </w:r>
      <w:r w:rsidR="00456281">
        <w:rPr>
          <w:rFonts w:ascii="Times New Roman" w:hAnsi="Times New Roman" w:cs="Times New Roman"/>
          <w:b/>
          <w:bCs/>
          <w:i w:val="0"/>
          <w:iCs w:val="0"/>
          <w:color w:val="auto"/>
          <w:sz w:val="22"/>
          <w:szCs w:val="22"/>
        </w:rPr>
        <w:t>2</w:t>
      </w:r>
      <w:r w:rsidRPr="00D21E4B" w:rsidR="00456281">
        <w:rPr>
          <w:rFonts w:ascii="Times New Roman" w:hAnsi="Times New Roman" w:cs="Times New Roman"/>
          <w:b/>
          <w:bCs/>
          <w:i w:val="0"/>
          <w:iCs w:val="0"/>
          <w:color w:val="auto"/>
          <w:sz w:val="22"/>
          <w:szCs w:val="22"/>
        </w:rPr>
        <w:t xml:space="preserve"> </w:t>
      </w:r>
      <w:r w:rsidR="004D2850">
        <w:rPr>
          <w:rFonts w:ascii="Times New Roman" w:hAnsi="Times New Roman" w:cs="Times New Roman"/>
          <w:b/>
          <w:bCs/>
          <w:i w:val="0"/>
          <w:iCs w:val="0"/>
          <w:color w:val="auto"/>
          <w:sz w:val="22"/>
          <w:szCs w:val="22"/>
        </w:rPr>
        <w:t>d</w:t>
      </w:r>
      <w:r w:rsidRPr="00D21E4B">
        <w:rPr>
          <w:rFonts w:ascii="Times New Roman" w:hAnsi="Times New Roman" w:cs="Times New Roman"/>
          <w:b/>
          <w:bCs/>
          <w:i w:val="0"/>
          <w:iCs w:val="0"/>
          <w:color w:val="auto"/>
          <w:sz w:val="22"/>
          <w:szCs w:val="22"/>
        </w:rPr>
        <w:t>ollars).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20"/>
        <w:gridCol w:w="1080"/>
        <w:gridCol w:w="1170"/>
        <w:gridCol w:w="1170"/>
        <w:gridCol w:w="1541"/>
      </w:tblGrid>
      <w:tr w14:paraId="1764A240" w14:textId="77777777" w:rsidTr="001B7E0E">
        <w:tblPrEx>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37"/>
          <w:jc w:val="center"/>
        </w:trPr>
        <w:tc>
          <w:tcPr>
            <w:tcW w:w="2520" w:type="dxa"/>
            <w:tcBorders>
              <w:bottom w:val="single" w:sz="8" w:space="0" w:color="000000"/>
            </w:tcBorders>
            <w:shd w:val="clear" w:color="auto" w:fill="DADADA"/>
            <w:vAlign w:val="center"/>
          </w:tcPr>
          <w:p w:rsidR="000257ED" w:rsidRPr="00D21E4B" w:rsidP="00E6210A" w14:paraId="5F7C5F52" w14:textId="77777777">
            <w:pPr>
              <w:keepNext/>
              <w:spacing w:after="0" w:line="240" w:lineRule="auto"/>
              <w:ind w:left="183" w:right="171"/>
              <w:jc w:val="center"/>
              <w:rPr>
                <w:rFonts w:ascii="Times New Roman" w:hAnsi="Times New Roman" w:cs="Times New Roman"/>
                <w:b/>
                <w:sz w:val="20"/>
                <w:szCs w:val="20"/>
              </w:rPr>
            </w:pPr>
            <w:r w:rsidRPr="00D21E4B">
              <w:rPr>
                <w:rFonts w:ascii="Times New Roman" w:hAnsi="Times New Roman" w:cs="Times New Roman"/>
                <w:b/>
                <w:sz w:val="20"/>
                <w:szCs w:val="20"/>
              </w:rPr>
              <w:t>Facility Type</w:t>
            </w:r>
          </w:p>
        </w:tc>
        <w:tc>
          <w:tcPr>
            <w:tcW w:w="1080" w:type="dxa"/>
            <w:tcBorders>
              <w:bottom w:val="single" w:sz="8" w:space="0" w:color="000000"/>
            </w:tcBorders>
            <w:shd w:val="clear" w:color="auto" w:fill="DADADA"/>
            <w:vAlign w:val="center"/>
          </w:tcPr>
          <w:p w:rsidR="000257ED" w:rsidRPr="00D21E4B" w:rsidP="00E6210A" w14:paraId="4161BE28" w14:textId="77777777">
            <w:pPr>
              <w:keepNext/>
              <w:spacing w:after="0" w:line="240" w:lineRule="auto"/>
              <w:ind w:left="93" w:right="57"/>
              <w:jc w:val="center"/>
              <w:rPr>
                <w:rFonts w:ascii="Times New Roman" w:hAnsi="Times New Roman" w:cs="Times New Roman"/>
                <w:b/>
                <w:sz w:val="20"/>
                <w:szCs w:val="20"/>
              </w:rPr>
            </w:pPr>
            <w:r w:rsidRPr="00D21E4B">
              <w:rPr>
                <w:rFonts w:ascii="Times New Roman" w:hAnsi="Times New Roman" w:cs="Times New Roman"/>
                <w:b/>
                <w:sz w:val="20"/>
                <w:szCs w:val="20"/>
              </w:rPr>
              <w:t>Annual</w:t>
            </w:r>
          </w:p>
          <w:p w:rsidR="000257ED" w:rsidRPr="00D21E4B" w:rsidP="00E6210A" w14:paraId="5DC8D78D" w14:textId="77777777">
            <w:pPr>
              <w:keepNext/>
              <w:spacing w:after="0" w:line="240" w:lineRule="auto"/>
              <w:ind w:left="88" w:right="64"/>
              <w:jc w:val="center"/>
              <w:rPr>
                <w:rFonts w:ascii="Times New Roman" w:hAnsi="Times New Roman" w:cs="Times New Roman"/>
                <w:b/>
                <w:sz w:val="20"/>
                <w:szCs w:val="20"/>
              </w:rPr>
            </w:pPr>
            <w:r w:rsidRPr="00D21E4B">
              <w:rPr>
                <w:rFonts w:ascii="Times New Roman" w:hAnsi="Times New Roman" w:cs="Times New Roman"/>
                <w:b/>
                <w:sz w:val="20"/>
                <w:szCs w:val="20"/>
              </w:rPr>
              <w:t>Frequency</w:t>
            </w:r>
          </w:p>
        </w:tc>
        <w:tc>
          <w:tcPr>
            <w:tcW w:w="1170" w:type="dxa"/>
            <w:tcBorders>
              <w:bottom w:val="single" w:sz="8" w:space="0" w:color="000000"/>
            </w:tcBorders>
            <w:shd w:val="clear" w:color="auto" w:fill="DADADA"/>
            <w:vAlign w:val="center"/>
          </w:tcPr>
          <w:p w:rsidR="000257ED" w:rsidRPr="00D21E4B" w:rsidP="00E6210A" w14:paraId="7D021FF3" w14:textId="77777777">
            <w:pPr>
              <w:keepNext/>
              <w:spacing w:after="0" w:line="240" w:lineRule="auto"/>
              <w:ind w:left="93"/>
              <w:jc w:val="center"/>
              <w:rPr>
                <w:rFonts w:ascii="Times New Roman" w:hAnsi="Times New Roman" w:cs="Times New Roman"/>
                <w:b/>
                <w:sz w:val="20"/>
                <w:szCs w:val="20"/>
              </w:rPr>
            </w:pPr>
            <w:r w:rsidRPr="00D21E4B">
              <w:rPr>
                <w:rFonts w:ascii="Times New Roman" w:hAnsi="Times New Roman" w:cs="Times New Roman"/>
                <w:b/>
                <w:sz w:val="20"/>
                <w:szCs w:val="20"/>
              </w:rPr>
              <w:t>Unit Cost</w:t>
            </w:r>
          </w:p>
        </w:tc>
        <w:tc>
          <w:tcPr>
            <w:tcW w:w="1170" w:type="dxa"/>
            <w:tcBorders>
              <w:bottom w:val="single" w:sz="8" w:space="0" w:color="000000"/>
            </w:tcBorders>
            <w:shd w:val="clear" w:color="auto" w:fill="DADADA"/>
            <w:vAlign w:val="center"/>
          </w:tcPr>
          <w:p w:rsidR="000257ED" w:rsidRPr="00D21E4B" w:rsidP="00E6210A" w14:paraId="5590A46A" w14:textId="77777777">
            <w:pPr>
              <w:keepNext/>
              <w:spacing w:after="0" w:line="240" w:lineRule="auto"/>
              <w:ind w:left="98" w:right="76"/>
              <w:jc w:val="center"/>
              <w:rPr>
                <w:rFonts w:ascii="Times New Roman" w:hAnsi="Times New Roman" w:cs="Times New Roman"/>
                <w:b/>
                <w:sz w:val="20"/>
                <w:szCs w:val="20"/>
              </w:rPr>
            </w:pPr>
            <w:r>
              <w:rPr>
                <w:rFonts w:ascii="Times New Roman" w:hAnsi="Times New Roman" w:cs="Times New Roman"/>
                <w:b/>
                <w:sz w:val="20"/>
                <w:szCs w:val="20"/>
              </w:rPr>
              <w:t>Number of Units</w:t>
            </w:r>
          </w:p>
        </w:tc>
        <w:tc>
          <w:tcPr>
            <w:tcW w:w="1541" w:type="dxa"/>
            <w:tcBorders>
              <w:bottom w:val="single" w:sz="8" w:space="0" w:color="000000"/>
            </w:tcBorders>
            <w:shd w:val="clear" w:color="auto" w:fill="DADADA"/>
            <w:vAlign w:val="center"/>
          </w:tcPr>
          <w:p w:rsidR="000257ED" w:rsidRPr="00D21E4B" w:rsidP="00E6210A" w14:paraId="29004928" w14:textId="77777777">
            <w:pPr>
              <w:keepNext/>
              <w:spacing w:after="0" w:line="240" w:lineRule="auto"/>
              <w:ind w:left="91" w:right="55"/>
              <w:jc w:val="center"/>
              <w:rPr>
                <w:rFonts w:ascii="Times New Roman" w:hAnsi="Times New Roman" w:cs="Times New Roman"/>
                <w:b/>
                <w:sz w:val="20"/>
                <w:szCs w:val="20"/>
              </w:rPr>
            </w:pPr>
            <w:r w:rsidRPr="00D21E4B">
              <w:rPr>
                <w:rFonts w:ascii="Times New Roman" w:hAnsi="Times New Roman" w:cs="Times New Roman"/>
                <w:b/>
                <w:sz w:val="20"/>
                <w:szCs w:val="20"/>
              </w:rPr>
              <w:t xml:space="preserve">Total </w:t>
            </w:r>
            <w:r w:rsidR="0019334D">
              <w:rPr>
                <w:rFonts w:ascii="Times New Roman" w:hAnsi="Times New Roman" w:cs="Times New Roman"/>
                <w:b/>
                <w:sz w:val="20"/>
                <w:szCs w:val="20"/>
              </w:rPr>
              <w:t>Annual</w:t>
            </w:r>
          </w:p>
          <w:p w:rsidR="000257ED" w:rsidRPr="00D21E4B" w:rsidP="00E6210A" w14:paraId="0B03446C" w14:textId="77777777">
            <w:pPr>
              <w:keepNext/>
              <w:spacing w:after="0" w:line="240" w:lineRule="auto"/>
              <w:ind w:left="82" w:right="55"/>
              <w:jc w:val="center"/>
              <w:rPr>
                <w:rFonts w:ascii="Times New Roman" w:hAnsi="Times New Roman" w:cs="Times New Roman"/>
                <w:b/>
                <w:sz w:val="20"/>
                <w:szCs w:val="20"/>
              </w:rPr>
            </w:pPr>
            <w:r w:rsidRPr="00D21E4B">
              <w:rPr>
                <w:rFonts w:ascii="Times New Roman" w:hAnsi="Times New Roman" w:cs="Times New Roman"/>
                <w:b/>
                <w:sz w:val="20"/>
                <w:szCs w:val="20"/>
              </w:rPr>
              <w:t>Cost</w:t>
            </w:r>
          </w:p>
        </w:tc>
      </w:tr>
      <w:tr w14:paraId="4D38F2EF" w14:textId="77777777" w:rsidTr="0079360D">
        <w:tblPrEx>
          <w:tblW w:w="0" w:type="auto"/>
          <w:jc w:val="center"/>
          <w:tblLayout w:type="fixed"/>
          <w:tblCellMar>
            <w:left w:w="0" w:type="dxa"/>
            <w:right w:w="0" w:type="dxa"/>
          </w:tblCellMar>
          <w:tblLook w:val="01E0"/>
        </w:tblPrEx>
        <w:trPr>
          <w:trHeight w:val="295"/>
          <w:jc w:val="center"/>
        </w:trPr>
        <w:tc>
          <w:tcPr>
            <w:tcW w:w="7481" w:type="dxa"/>
            <w:gridSpan w:val="5"/>
            <w:tcBorders>
              <w:top w:val="single" w:sz="8" w:space="0" w:color="000000"/>
              <w:bottom w:val="single" w:sz="8" w:space="0" w:color="000000"/>
            </w:tcBorders>
            <w:shd w:val="clear" w:color="auto" w:fill="F2F2F2"/>
            <w:vAlign w:val="center"/>
          </w:tcPr>
          <w:p w:rsidR="000257ED" w:rsidRPr="00D21E4B" w:rsidP="00E6210A" w14:paraId="0AB141E0" w14:textId="77777777">
            <w:pPr>
              <w:keepNext/>
              <w:spacing w:after="0" w:line="240" w:lineRule="auto"/>
              <w:ind w:left="183" w:right="83"/>
              <w:rPr>
                <w:rFonts w:ascii="Times New Roman" w:hAnsi="Times New Roman" w:cs="Times New Roman"/>
                <w:b/>
                <w:sz w:val="20"/>
                <w:szCs w:val="20"/>
              </w:rPr>
            </w:pPr>
            <w:r w:rsidRPr="00D21E4B">
              <w:rPr>
                <w:rFonts w:ascii="Times New Roman" w:hAnsi="Times New Roman" w:cs="Times New Roman"/>
                <w:b/>
                <w:sz w:val="20"/>
                <w:szCs w:val="20"/>
              </w:rPr>
              <w:t>Initial Phase Analysis</w:t>
            </w:r>
          </w:p>
        </w:tc>
      </w:tr>
      <w:tr w14:paraId="1A9F59C1" w14:textId="77777777" w:rsidTr="001B7E0E">
        <w:tblPrEx>
          <w:tblW w:w="0" w:type="auto"/>
          <w:jc w:val="center"/>
          <w:tblLayout w:type="fixed"/>
          <w:tblCellMar>
            <w:left w:w="0" w:type="dxa"/>
            <w:right w:w="0" w:type="dxa"/>
          </w:tblCellMar>
          <w:tblLook w:val="01E0"/>
        </w:tblPrEx>
        <w:trPr>
          <w:trHeight w:val="282"/>
          <w:jc w:val="center"/>
        </w:trPr>
        <w:tc>
          <w:tcPr>
            <w:tcW w:w="2520" w:type="dxa"/>
            <w:tcBorders>
              <w:top w:val="single" w:sz="8" w:space="0" w:color="000000"/>
            </w:tcBorders>
            <w:vAlign w:val="center"/>
          </w:tcPr>
          <w:p w:rsidR="001B7E0E" w:rsidRPr="00D21E4B" w:rsidP="001B7E0E" w14:paraId="1CCC9C62" w14:textId="77777777">
            <w:pPr>
              <w:keepNext/>
              <w:spacing w:after="0" w:line="240" w:lineRule="auto"/>
              <w:ind w:left="183"/>
              <w:rPr>
                <w:rFonts w:ascii="Times New Roman" w:hAnsi="Times New Roman" w:cs="Times New Roman"/>
                <w:sz w:val="20"/>
                <w:szCs w:val="20"/>
              </w:rPr>
            </w:pPr>
            <w:r w:rsidRPr="00D21E4B">
              <w:rPr>
                <w:rFonts w:ascii="Times New Roman" w:hAnsi="Times New Roman" w:cs="Times New Roman"/>
                <w:sz w:val="20"/>
                <w:szCs w:val="20"/>
              </w:rPr>
              <w:t>Refineries</w:t>
            </w:r>
          </w:p>
        </w:tc>
        <w:tc>
          <w:tcPr>
            <w:tcW w:w="1080" w:type="dxa"/>
            <w:tcBorders>
              <w:top w:val="single" w:sz="8" w:space="0" w:color="000000"/>
            </w:tcBorders>
            <w:vAlign w:val="center"/>
          </w:tcPr>
          <w:p w:rsidR="001B7E0E" w:rsidRPr="00D21E4B" w:rsidP="001B7E0E" w14:paraId="7098221B" w14:textId="77777777">
            <w:pPr>
              <w:keepNext/>
              <w:spacing w:after="0" w:line="240" w:lineRule="auto"/>
              <w:ind w:left="93" w:right="62"/>
              <w:jc w:val="center"/>
              <w:rPr>
                <w:rFonts w:ascii="Times New Roman" w:hAnsi="Times New Roman" w:cs="Times New Roman"/>
                <w:sz w:val="20"/>
                <w:szCs w:val="20"/>
              </w:rPr>
            </w:pPr>
            <w:r w:rsidRPr="00D21E4B">
              <w:rPr>
                <w:rFonts w:ascii="Times New Roman" w:hAnsi="Times New Roman" w:cs="Times New Roman"/>
                <w:sz w:val="20"/>
                <w:szCs w:val="20"/>
              </w:rPr>
              <w:t>0.2</w:t>
            </w:r>
          </w:p>
        </w:tc>
        <w:tc>
          <w:tcPr>
            <w:tcW w:w="1170" w:type="dxa"/>
            <w:tcBorders>
              <w:top w:val="single" w:sz="8" w:space="0" w:color="000000"/>
            </w:tcBorders>
            <w:vAlign w:val="center"/>
          </w:tcPr>
          <w:p w:rsidR="001B7E0E" w:rsidRPr="00D21E4B" w:rsidP="001B7E0E" w14:paraId="17616317" w14:textId="3AC3EDBE">
            <w:pPr>
              <w:keepNext/>
              <w:spacing w:after="0" w:line="240" w:lineRule="auto"/>
              <w:ind w:left="93"/>
              <w:jc w:val="center"/>
              <w:rPr>
                <w:rFonts w:ascii="Times New Roman" w:hAnsi="Times New Roman" w:cs="Times New Roman"/>
                <w:sz w:val="20"/>
                <w:szCs w:val="20"/>
              </w:rPr>
            </w:pPr>
            <w:r w:rsidRPr="00D21E4B">
              <w:rPr>
                <w:rFonts w:ascii="Times New Roman" w:hAnsi="Times New Roman" w:cs="Times New Roman"/>
                <w:color w:val="000000"/>
                <w:sz w:val="20"/>
                <w:szCs w:val="20"/>
              </w:rPr>
              <w:t>$7</w:t>
            </w:r>
            <w:r>
              <w:rPr>
                <w:rFonts w:ascii="Times New Roman" w:hAnsi="Times New Roman" w:cs="Times New Roman"/>
                <w:color w:val="000000"/>
                <w:sz w:val="20"/>
                <w:szCs w:val="20"/>
              </w:rPr>
              <w:t>3,149</w:t>
            </w:r>
          </w:p>
        </w:tc>
        <w:tc>
          <w:tcPr>
            <w:tcW w:w="1170" w:type="dxa"/>
            <w:tcBorders>
              <w:top w:val="single" w:sz="8" w:space="0" w:color="000000"/>
            </w:tcBorders>
            <w:vAlign w:val="center"/>
          </w:tcPr>
          <w:p w:rsidR="001B7E0E" w:rsidRPr="00D21E4B" w:rsidP="001B7E0E" w14:paraId="0E2337CF" w14:textId="137A99A2">
            <w:pPr>
              <w:keepNext/>
              <w:spacing w:after="0" w:line="240" w:lineRule="auto"/>
              <w:ind w:left="98" w:right="69"/>
              <w:jc w:val="center"/>
              <w:rPr>
                <w:rFonts w:ascii="Times New Roman" w:hAnsi="Times New Roman" w:cs="Times New Roman"/>
                <w:sz w:val="20"/>
                <w:szCs w:val="20"/>
              </w:rPr>
            </w:pPr>
            <w:r>
              <w:rPr>
                <w:rFonts w:ascii="Times New Roman" w:hAnsi="Times New Roman" w:cs="Times New Roman"/>
                <w:sz w:val="20"/>
                <w:szCs w:val="20"/>
              </w:rPr>
              <w:t>1,535</w:t>
            </w:r>
          </w:p>
        </w:tc>
        <w:tc>
          <w:tcPr>
            <w:tcW w:w="1541" w:type="dxa"/>
            <w:tcBorders>
              <w:top w:val="single" w:sz="8" w:space="0" w:color="000000"/>
            </w:tcBorders>
            <w:vAlign w:val="center"/>
          </w:tcPr>
          <w:p w:rsidR="001B7E0E" w:rsidRPr="00D21E4B" w:rsidP="001B7E0E" w14:paraId="7820BA7E" w14:textId="61648C67">
            <w:pPr>
              <w:keepNext/>
              <w:spacing w:after="0" w:line="240" w:lineRule="auto"/>
              <w:ind w:left="84" w:right="55"/>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Pr>
                <w:rFonts w:ascii="Times New Roman" w:hAnsi="Times New Roman" w:cs="Times New Roman"/>
                <w:color w:val="000000"/>
                <w:sz w:val="20"/>
                <w:szCs w:val="20"/>
              </w:rPr>
              <w:t>22,456,638</w:t>
            </w:r>
          </w:p>
        </w:tc>
      </w:tr>
      <w:tr w14:paraId="4E8A0881" w14:textId="77777777" w:rsidTr="001B7E0E">
        <w:tblPrEx>
          <w:tblW w:w="0" w:type="auto"/>
          <w:jc w:val="center"/>
          <w:tblLayout w:type="fixed"/>
          <w:tblCellMar>
            <w:left w:w="0" w:type="dxa"/>
            <w:right w:w="0" w:type="dxa"/>
          </w:tblCellMar>
          <w:tblLook w:val="01E0"/>
        </w:tblPrEx>
        <w:trPr>
          <w:trHeight w:val="285"/>
          <w:jc w:val="center"/>
        </w:trPr>
        <w:tc>
          <w:tcPr>
            <w:tcW w:w="2520" w:type="dxa"/>
            <w:vAlign w:val="center"/>
          </w:tcPr>
          <w:p w:rsidR="001B7E0E" w:rsidRPr="00D21E4B" w:rsidP="001B7E0E" w14:paraId="6E42FCD4" w14:textId="77777777">
            <w:pPr>
              <w:spacing w:after="0" w:line="240" w:lineRule="auto"/>
              <w:ind w:left="183"/>
              <w:rPr>
                <w:rFonts w:ascii="Times New Roman" w:hAnsi="Times New Roman" w:cs="Times New Roman"/>
                <w:sz w:val="20"/>
                <w:szCs w:val="20"/>
              </w:rPr>
            </w:pPr>
            <w:r w:rsidRPr="00D21E4B">
              <w:rPr>
                <w:rFonts w:ascii="Times New Roman" w:hAnsi="Times New Roman" w:cs="Times New Roman"/>
                <w:sz w:val="20"/>
                <w:szCs w:val="20"/>
              </w:rPr>
              <w:t>Chemical Manufacturers</w:t>
            </w:r>
          </w:p>
        </w:tc>
        <w:tc>
          <w:tcPr>
            <w:tcW w:w="1080" w:type="dxa"/>
            <w:vAlign w:val="center"/>
          </w:tcPr>
          <w:p w:rsidR="001B7E0E" w:rsidRPr="00D21E4B" w:rsidP="001B7E0E" w14:paraId="1AEA484E" w14:textId="77777777">
            <w:pPr>
              <w:spacing w:after="0" w:line="240" w:lineRule="auto"/>
              <w:ind w:left="93" w:right="62"/>
              <w:jc w:val="center"/>
              <w:rPr>
                <w:rFonts w:ascii="Times New Roman" w:hAnsi="Times New Roman" w:cs="Times New Roman"/>
                <w:sz w:val="20"/>
                <w:szCs w:val="20"/>
              </w:rPr>
            </w:pPr>
            <w:r w:rsidRPr="00D21E4B">
              <w:rPr>
                <w:rFonts w:ascii="Times New Roman" w:hAnsi="Times New Roman" w:cs="Times New Roman"/>
                <w:sz w:val="20"/>
                <w:szCs w:val="20"/>
              </w:rPr>
              <w:t>0.2</w:t>
            </w:r>
          </w:p>
        </w:tc>
        <w:tc>
          <w:tcPr>
            <w:tcW w:w="1170" w:type="dxa"/>
            <w:vAlign w:val="center"/>
          </w:tcPr>
          <w:p w:rsidR="001B7E0E" w:rsidRPr="00D21E4B" w:rsidP="001B7E0E" w14:paraId="28E49268" w14:textId="696B403B">
            <w:pPr>
              <w:spacing w:after="0" w:line="240" w:lineRule="auto"/>
              <w:ind w:left="93"/>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Pr>
                <w:rFonts w:ascii="Times New Roman" w:hAnsi="Times New Roman" w:cs="Times New Roman"/>
                <w:color w:val="000000"/>
                <w:sz w:val="20"/>
                <w:szCs w:val="20"/>
              </w:rPr>
              <w:t>13,284</w:t>
            </w:r>
          </w:p>
        </w:tc>
        <w:tc>
          <w:tcPr>
            <w:tcW w:w="1170" w:type="dxa"/>
            <w:vAlign w:val="center"/>
          </w:tcPr>
          <w:p w:rsidR="001B7E0E" w:rsidRPr="00D21E4B" w:rsidP="001B7E0E" w14:paraId="63D170DA" w14:textId="528BF817">
            <w:pPr>
              <w:spacing w:after="0" w:line="240" w:lineRule="auto"/>
              <w:ind w:left="98" w:right="69"/>
              <w:jc w:val="center"/>
              <w:rPr>
                <w:rFonts w:ascii="Times New Roman" w:hAnsi="Times New Roman" w:cs="Times New Roman"/>
                <w:sz w:val="20"/>
                <w:szCs w:val="20"/>
              </w:rPr>
            </w:pPr>
            <w:r>
              <w:rPr>
                <w:rFonts w:ascii="Times New Roman" w:hAnsi="Times New Roman" w:cs="Times New Roman"/>
                <w:sz w:val="20"/>
                <w:szCs w:val="20"/>
              </w:rPr>
              <w:t>2,799</w:t>
            </w:r>
          </w:p>
        </w:tc>
        <w:tc>
          <w:tcPr>
            <w:tcW w:w="1541" w:type="dxa"/>
            <w:vAlign w:val="center"/>
          </w:tcPr>
          <w:p w:rsidR="001B7E0E" w:rsidRPr="00D21E4B" w:rsidP="001B7E0E" w14:paraId="74E34990" w14:textId="5EB97055">
            <w:pPr>
              <w:spacing w:after="0" w:line="240" w:lineRule="auto"/>
              <w:ind w:left="69" w:right="55"/>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Pr>
                <w:rFonts w:ascii="Times New Roman" w:hAnsi="Times New Roman" w:cs="Times New Roman"/>
                <w:color w:val="000000"/>
                <w:sz w:val="20"/>
                <w:szCs w:val="20"/>
              </w:rPr>
              <w:t>7,436,475</w:t>
            </w:r>
          </w:p>
        </w:tc>
      </w:tr>
      <w:tr w14:paraId="5A386313" w14:textId="77777777" w:rsidTr="001B7E0E">
        <w:tblPrEx>
          <w:tblW w:w="0" w:type="auto"/>
          <w:jc w:val="center"/>
          <w:tblLayout w:type="fixed"/>
          <w:tblCellMar>
            <w:left w:w="0" w:type="dxa"/>
            <w:right w:w="0" w:type="dxa"/>
          </w:tblCellMar>
          <w:tblLook w:val="01E0"/>
        </w:tblPrEx>
        <w:trPr>
          <w:trHeight w:val="285"/>
          <w:jc w:val="center"/>
        </w:trPr>
        <w:tc>
          <w:tcPr>
            <w:tcW w:w="2520" w:type="dxa"/>
            <w:vAlign w:val="center"/>
          </w:tcPr>
          <w:p w:rsidR="001B7E0E" w:rsidRPr="00D21E4B" w:rsidP="001B7E0E" w14:paraId="20752BFC" w14:textId="77777777">
            <w:pPr>
              <w:spacing w:after="0" w:line="240" w:lineRule="auto"/>
              <w:ind w:left="183"/>
              <w:rPr>
                <w:rFonts w:ascii="Times New Roman" w:hAnsi="Times New Roman" w:cs="Times New Roman"/>
                <w:b/>
                <w:sz w:val="20"/>
                <w:szCs w:val="20"/>
              </w:rPr>
            </w:pPr>
            <w:r w:rsidRPr="00D21E4B">
              <w:rPr>
                <w:rFonts w:ascii="Times New Roman" w:hAnsi="Times New Roman" w:cs="Times New Roman"/>
                <w:b/>
                <w:sz w:val="20"/>
                <w:szCs w:val="20"/>
              </w:rPr>
              <w:t>Total</w:t>
            </w:r>
          </w:p>
        </w:tc>
        <w:tc>
          <w:tcPr>
            <w:tcW w:w="1080" w:type="dxa"/>
            <w:vAlign w:val="center"/>
          </w:tcPr>
          <w:p w:rsidR="001B7E0E" w:rsidRPr="00D21E4B" w:rsidP="001B7E0E" w14:paraId="4A252455" w14:textId="77777777">
            <w:pPr>
              <w:spacing w:after="0" w:line="240" w:lineRule="auto"/>
              <w:ind w:left="93" w:right="62"/>
              <w:jc w:val="center"/>
              <w:rPr>
                <w:rFonts w:ascii="Times New Roman" w:hAnsi="Times New Roman" w:cs="Times New Roman"/>
                <w:b/>
                <w:sz w:val="20"/>
                <w:szCs w:val="20"/>
              </w:rPr>
            </w:pPr>
          </w:p>
        </w:tc>
        <w:tc>
          <w:tcPr>
            <w:tcW w:w="1170" w:type="dxa"/>
            <w:vAlign w:val="center"/>
          </w:tcPr>
          <w:p w:rsidR="001B7E0E" w:rsidRPr="00D21E4B" w:rsidP="001B7E0E" w14:paraId="0DEFBD27" w14:textId="77777777">
            <w:pPr>
              <w:spacing w:after="0" w:line="240" w:lineRule="auto"/>
              <w:ind w:left="93"/>
              <w:jc w:val="center"/>
              <w:rPr>
                <w:rFonts w:ascii="Times New Roman" w:hAnsi="Times New Roman" w:cs="Times New Roman"/>
                <w:b/>
                <w:sz w:val="20"/>
                <w:szCs w:val="20"/>
              </w:rPr>
            </w:pPr>
          </w:p>
        </w:tc>
        <w:tc>
          <w:tcPr>
            <w:tcW w:w="1170" w:type="dxa"/>
            <w:vAlign w:val="center"/>
          </w:tcPr>
          <w:p w:rsidR="001B7E0E" w:rsidRPr="00D21E4B" w:rsidP="001B7E0E" w14:paraId="413846B4" w14:textId="0B174EE3">
            <w:pPr>
              <w:spacing w:after="0" w:line="240" w:lineRule="auto"/>
              <w:ind w:left="98" w:right="69"/>
              <w:jc w:val="center"/>
              <w:rPr>
                <w:rFonts w:ascii="Times New Roman" w:hAnsi="Times New Roman" w:cs="Times New Roman"/>
                <w:b/>
                <w:sz w:val="20"/>
                <w:szCs w:val="20"/>
              </w:rPr>
            </w:pPr>
            <w:r>
              <w:rPr>
                <w:rFonts w:ascii="Times New Roman" w:hAnsi="Times New Roman" w:cs="Times New Roman"/>
                <w:b/>
                <w:sz w:val="20"/>
                <w:szCs w:val="20"/>
              </w:rPr>
              <w:t>4,334</w:t>
            </w:r>
          </w:p>
        </w:tc>
        <w:tc>
          <w:tcPr>
            <w:tcW w:w="1541" w:type="dxa"/>
            <w:vAlign w:val="center"/>
          </w:tcPr>
          <w:p w:rsidR="001B7E0E" w:rsidRPr="00D21E4B" w:rsidP="001B7E0E" w14:paraId="26FD3073" w14:textId="183A246C">
            <w:pPr>
              <w:spacing w:after="0" w:line="240" w:lineRule="auto"/>
              <w:ind w:left="69" w:right="55"/>
              <w:jc w:val="center"/>
              <w:rPr>
                <w:rFonts w:ascii="Times New Roman" w:hAnsi="Times New Roman" w:cs="Times New Roman"/>
                <w:b/>
                <w:sz w:val="20"/>
                <w:szCs w:val="20"/>
              </w:rPr>
            </w:pPr>
            <w:r w:rsidRPr="00D21E4B">
              <w:rPr>
                <w:rFonts w:ascii="Times New Roman" w:hAnsi="Times New Roman" w:cs="Times New Roman"/>
                <w:b/>
                <w:color w:val="000000"/>
                <w:sz w:val="20"/>
                <w:szCs w:val="20"/>
              </w:rPr>
              <w:t>$</w:t>
            </w:r>
            <w:r>
              <w:rPr>
                <w:rFonts w:ascii="Times New Roman" w:hAnsi="Times New Roman" w:cs="Times New Roman"/>
                <w:b/>
                <w:color w:val="000000"/>
                <w:sz w:val="20"/>
                <w:szCs w:val="20"/>
              </w:rPr>
              <w:t>29,893,113</w:t>
            </w:r>
          </w:p>
        </w:tc>
      </w:tr>
      <w:tr w14:paraId="18F06C56" w14:textId="77777777" w:rsidTr="00E6210A">
        <w:tblPrEx>
          <w:tblW w:w="0" w:type="auto"/>
          <w:jc w:val="center"/>
          <w:tblLayout w:type="fixed"/>
          <w:tblCellMar>
            <w:left w:w="0" w:type="dxa"/>
            <w:right w:w="0" w:type="dxa"/>
          </w:tblCellMar>
          <w:tblLook w:val="01E0"/>
        </w:tblPrEx>
        <w:trPr>
          <w:trHeight w:val="285"/>
          <w:jc w:val="center"/>
        </w:trPr>
        <w:tc>
          <w:tcPr>
            <w:tcW w:w="7481" w:type="dxa"/>
            <w:gridSpan w:val="5"/>
            <w:shd w:val="clear" w:color="auto" w:fill="F2F2F2"/>
            <w:vAlign w:val="center"/>
          </w:tcPr>
          <w:p w:rsidR="000257ED" w:rsidRPr="00D21E4B" w:rsidP="00E6210A" w14:paraId="403DABB1" w14:textId="77777777">
            <w:pPr>
              <w:spacing w:after="0" w:line="240" w:lineRule="auto"/>
              <w:ind w:left="183" w:right="83"/>
              <w:rPr>
                <w:rFonts w:ascii="Times New Roman" w:hAnsi="Times New Roman" w:cs="Times New Roman"/>
                <w:b/>
                <w:sz w:val="20"/>
                <w:szCs w:val="20"/>
              </w:rPr>
            </w:pPr>
            <w:r w:rsidRPr="00D21E4B">
              <w:rPr>
                <w:rFonts w:ascii="Times New Roman" w:hAnsi="Times New Roman" w:cs="Times New Roman"/>
                <w:b/>
                <w:sz w:val="20"/>
                <w:szCs w:val="20"/>
              </w:rPr>
              <w:t>Practicability Analysis</w:t>
            </w:r>
          </w:p>
        </w:tc>
      </w:tr>
      <w:tr w14:paraId="12F84BFF" w14:textId="77777777" w:rsidTr="001B7E0E">
        <w:tblPrEx>
          <w:tblW w:w="0" w:type="auto"/>
          <w:jc w:val="center"/>
          <w:tblLayout w:type="fixed"/>
          <w:tblCellMar>
            <w:left w:w="0" w:type="dxa"/>
            <w:right w:w="0" w:type="dxa"/>
          </w:tblCellMar>
          <w:tblLook w:val="01E0"/>
        </w:tblPrEx>
        <w:trPr>
          <w:trHeight w:val="300"/>
          <w:jc w:val="center"/>
        </w:trPr>
        <w:tc>
          <w:tcPr>
            <w:tcW w:w="2520" w:type="dxa"/>
            <w:vAlign w:val="center"/>
          </w:tcPr>
          <w:p w:rsidR="000257ED" w:rsidRPr="00D21E4B" w:rsidP="00E6210A" w14:paraId="5A78DA36" w14:textId="77777777">
            <w:pPr>
              <w:spacing w:after="0" w:line="240" w:lineRule="auto"/>
              <w:ind w:left="183"/>
              <w:rPr>
                <w:rFonts w:ascii="Times New Roman" w:hAnsi="Times New Roman" w:cs="Times New Roman"/>
                <w:sz w:val="20"/>
                <w:szCs w:val="20"/>
              </w:rPr>
            </w:pPr>
            <w:r w:rsidRPr="00D21E4B">
              <w:rPr>
                <w:rFonts w:ascii="Times New Roman" w:hAnsi="Times New Roman" w:cs="Times New Roman"/>
                <w:sz w:val="20"/>
                <w:szCs w:val="20"/>
              </w:rPr>
              <w:t>Refineries</w:t>
            </w:r>
          </w:p>
        </w:tc>
        <w:tc>
          <w:tcPr>
            <w:tcW w:w="1080" w:type="dxa"/>
            <w:vAlign w:val="center"/>
          </w:tcPr>
          <w:p w:rsidR="000257ED" w:rsidRPr="00D21E4B" w:rsidP="00E6210A" w14:paraId="69582195" w14:textId="77777777">
            <w:pPr>
              <w:spacing w:after="0" w:line="240" w:lineRule="auto"/>
              <w:ind w:left="93" w:right="62"/>
              <w:jc w:val="center"/>
              <w:rPr>
                <w:rFonts w:ascii="Times New Roman" w:hAnsi="Times New Roman" w:cs="Times New Roman"/>
                <w:sz w:val="20"/>
                <w:szCs w:val="20"/>
              </w:rPr>
            </w:pPr>
            <w:r w:rsidRPr="00D21E4B">
              <w:rPr>
                <w:rFonts w:ascii="Times New Roman" w:hAnsi="Times New Roman" w:cs="Times New Roman"/>
                <w:sz w:val="20"/>
                <w:szCs w:val="20"/>
              </w:rPr>
              <w:t>0.2</w:t>
            </w:r>
          </w:p>
        </w:tc>
        <w:tc>
          <w:tcPr>
            <w:tcW w:w="1170" w:type="dxa"/>
            <w:vAlign w:val="center"/>
          </w:tcPr>
          <w:p w:rsidR="000257ED" w:rsidRPr="00D21E4B" w:rsidP="00E6210A" w14:paraId="750D3468" w14:textId="77777777">
            <w:pPr>
              <w:spacing w:after="0" w:line="240" w:lineRule="auto"/>
              <w:ind w:left="93"/>
              <w:jc w:val="center"/>
              <w:rPr>
                <w:rFonts w:ascii="Times New Roman" w:hAnsi="Times New Roman" w:cs="Times New Roman"/>
                <w:sz w:val="20"/>
                <w:szCs w:val="20"/>
              </w:rPr>
            </w:pPr>
            <w:r w:rsidRPr="00D21E4B">
              <w:rPr>
                <w:rFonts w:ascii="Times New Roman" w:hAnsi="Times New Roman" w:cs="Times New Roman"/>
                <w:sz w:val="20"/>
                <w:szCs w:val="20"/>
              </w:rPr>
              <w:t>$2,</w:t>
            </w:r>
            <w:r w:rsidR="008C3D6F">
              <w:rPr>
                <w:rFonts w:ascii="Times New Roman" w:hAnsi="Times New Roman" w:cs="Times New Roman"/>
                <w:sz w:val="20"/>
                <w:szCs w:val="20"/>
              </w:rPr>
              <w:t>233,771</w:t>
            </w:r>
          </w:p>
        </w:tc>
        <w:tc>
          <w:tcPr>
            <w:tcW w:w="1170" w:type="dxa"/>
            <w:vAlign w:val="center"/>
          </w:tcPr>
          <w:p w:rsidR="000257ED" w:rsidRPr="00D21E4B" w:rsidP="00E6210A" w14:paraId="16A06D79" w14:textId="77777777">
            <w:pPr>
              <w:spacing w:after="0" w:line="240" w:lineRule="auto"/>
              <w:ind w:left="98" w:right="69"/>
              <w:jc w:val="center"/>
              <w:rPr>
                <w:rFonts w:ascii="Times New Roman" w:hAnsi="Times New Roman" w:cs="Times New Roman"/>
                <w:sz w:val="20"/>
                <w:szCs w:val="20"/>
              </w:rPr>
            </w:pPr>
            <w:r>
              <w:rPr>
                <w:rFonts w:ascii="Times New Roman" w:hAnsi="Times New Roman" w:cs="Times New Roman"/>
                <w:sz w:val="20"/>
                <w:szCs w:val="20"/>
              </w:rPr>
              <w:t>89</w:t>
            </w:r>
          </w:p>
        </w:tc>
        <w:tc>
          <w:tcPr>
            <w:tcW w:w="1541" w:type="dxa"/>
            <w:vAlign w:val="center"/>
          </w:tcPr>
          <w:p w:rsidR="000257ED" w:rsidRPr="00D21E4B" w:rsidP="00E6210A" w14:paraId="23947FD1" w14:textId="77777777">
            <w:pPr>
              <w:spacing w:after="0" w:line="240" w:lineRule="auto"/>
              <w:ind w:left="84" w:right="55"/>
              <w:jc w:val="center"/>
              <w:rPr>
                <w:rFonts w:ascii="Times New Roman" w:hAnsi="Times New Roman" w:cs="Times New Roman"/>
                <w:sz w:val="20"/>
                <w:szCs w:val="20"/>
              </w:rPr>
            </w:pPr>
            <w:r w:rsidRPr="00D21E4B">
              <w:rPr>
                <w:rFonts w:ascii="Times New Roman" w:hAnsi="Times New Roman" w:cs="Times New Roman"/>
                <w:sz w:val="20"/>
                <w:szCs w:val="20"/>
              </w:rPr>
              <w:t>$</w:t>
            </w:r>
            <w:r w:rsidR="00766258">
              <w:rPr>
                <w:rFonts w:ascii="Times New Roman" w:hAnsi="Times New Roman" w:cs="Times New Roman"/>
                <w:sz w:val="20"/>
                <w:szCs w:val="20"/>
              </w:rPr>
              <w:t>3</w:t>
            </w:r>
            <w:r w:rsidR="00600C19">
              <w:rPr>
                <w:rFonts w:ascii="Times New Roman" w:hAnsi="Times New Roman" w:cs="Times New Roman"/>
                <w:sz w:val="20"/>
                <w:szCs w:val="20"/>
              </w:rPr>
              <w:t>9,</w:t>
            </w:r>
            <w:r w:rsidR="006727F0">
              <w:rPr>
                <w:rFonts w:ascii="Times New Roman" w:hAnsi="Times New Roman" w:cs="Times New Roman"/>
                <w:sz w:val="20"/>
                <w:szCs w:val="20"/>
              </w:rPr>
              <w:t>761,125</w:t>
            </w:r>
          </w:p>
        </w:tc>
      </w:tr>
      <w:tr w14:paraId="17E633AD" w14:textId="77777777" w:rsidTr="001B7E0E">
        <w:tblPrEx>
          <w:tblW w:w="0" w:type="auto"/>
          <w:jc w:val="center"/>
          <w:tblLayout w:type="fixed"/>
          <w:tblCellMar>
            <w:left w:w="0" w:type="dxa"/>
            <w:right w:w="0" w:type="dxa"/>
          </w:tblCellMar>
          <w:tblLook w:val="01E0"/>
        </w:tblPrEx>
        <w:trPr>
          <w:trHeight w:val="300"/>
          <w:jc w:val="center"/>
        </w:trPr>
        <w:tc>
          <w:tcPr>
            <w:tcW w:w="2520" w:type="dxa"/>
            <w:vAlign w:val="center"/>
          </w:tcPr>
          <w:p w:rsidR="000315CE" w:rsidRPr="008D09DD" w:rsidP="00E6210A" w14:paraId="5A882BA9" w14:textId="77777777">
            <w:pPr>
              <w:spacing w:after="0" w:line="240" w:lineRule="auto"/>
              <w:ind w:left="183"/>
              <w:rPr>
                <w:rFonts w:ascii="Times New Roman" w:hAnsi="Times New Roman" w:cs="Times New Roman"/>
                <w:i/>
                <w:iCs/>
                <w:sz w:val="20"/>
                <w:szCs w:val="20"/>
              </w:rPr>
            </w:pPr>
            <w:r w:rsidRPr="008D09DD">
              <w:rPr>
                <w:rFonts w:ascii="Times New Roman" w:hAnsi="Times New Roman" w:cs="Times New Roman"/>
                <w:i/>
                <w:iCs/>
                <w:sz w:val="20"/>
                <w:szCs w:val="20"/>
              </w:rPr>
              <w:t xml:space="preserve">  </w:t>
            </w:r>
            <w:r w:rsidRPr="008D09DD" w:rsidR="005D257C">
              <w:rPr>
                <w:rFonts w:ascii="Times New Roman" w:hAnsi="Times New Roman" w:cs="Times New Roman"/>
                <w:i/>
                <w:iCs/>
                <w:sz w:val="20"/>
                <w:szCs w:val="20"/>
              </w:rPr>
              <w:t xml:space="preserve"> </w:t>
            </w:r>
            <w:r w:rsidRPr="008D09DD" w:rsidR="0011113B">
              <w:rPr>
                <w:rFonts w:ascii="Times New Roman" w:hAnsi="Times New Roman" w:cs="Times New Roman"/>
                <w:i/>
                <w:iCs/>
                <w:sz w:val="20"/>
                <w:szCs w:val="20"/>
              </w:rPr>
              <w:t xml:space="preserve">  </w:t>
            </w:r>
            <w:r w:rsidRPr="008D09DD" w:rsidR="007C1D4C">
              <w:rPr>
                <w:rFonts w:ascii="Times New Roman" w:hAnsi="Times New Roman" w:cs="Times New Roman"/>
                <w:i/>
                <w:iCs/>
                <w:sz w:val="20"/>
                <w:szCs w:val="20"/>
              </w:rPr>
              <w:t>HF</w:t>
            </w:r>
          </w:p>
        </w:tc>
        <w:tc>
          <w:tcPr>
            <w:tcW w:w="1080" w:type="dxa"/>
            <w:vAlign w:val="center"/>
          </w:tcPr>
          <w:p w:rsidR="000315CE" w:rsidRPr="008D09DD" w:rsidP="00E6210A" w14:paraId="34FFCAD0" w14:textId="77777777">
            <w:pPr>
              <w:spacing w:after="0" w:line="240" w:lineRule="auto"/>
              <w:ind w:left="93" w:right="62"/>
              <w:jc w:val="center"/>
              <w:rPr>
                <w:rFonts w:ascii="Times New Roman" w:hAnsi="Times New Roman" w:cs="Times New Roman"/>
                <w:i/>
                <w:iCs/>
                <w:sz w:val="20"/>
                <w:szCs w:val="20"/>
              </w:rPr>
            </w:pPr>
            <w:r w:rsidRPr="008D09DD">
              <w:rPr>
                <w:rFonts w:ascii="Times New Roman" w:hAnsi="Times New Roman" w:cs="Times New Roman"/>
                <w:i/>
                <w:iCs/>
                <w:sz w:val="20"/>
                <w:szCs w:val="20"/>
              </w:rPr>
              <w:t>0.2</w:t>
            </w:r>
          </w:p>
        </w:tc>
        <w:tc>
          <w:tcPr>
            <w:tcW w:w="1170" w:type="dxa"/>
            <w:vAlign w:val="center"/>
          </w:tcPr>
          <w:p w:rsidR="000315CE" w:rsidRPr="008D09DD" w:rsidP="00E6210A" w14:paraId="54144DED" w14:textId="77777777">
            <w:pPr>
              <w:spacing w:after="0" w:line="240" w:lineRule="auto"/>
              <w:ind w:left="93"/>
              <w:jc w:val="center"/>
              <w:rPr>
                <w:rFonts w:ascii="Times New Roman" w:hAnsi="Times New Roman" w:cs="Times New Roman"/>
                <w:i/>
                <w:iCs/>
                <w:sz w:val="20"/>
                <w:szCs w:val="20"/>
              </w:rPr>
            </w:pPr>
            <w:r w:rsidRPr="008D09DD">
              <w:rPr>
                <w:rFonts w:ascii="Times New Roman" w:hAnsi="Times New Roman" w:cs="Times New Roman"/>
                <w:i/>
                <w:iCs/>
                <w:sz w:val="20"/>
                <w:szCs w:val="20"/>
              </w:rPr>
              <w:t>$4,3</w:t>
            </w:r>
            <w:r w:rsidRPr="008D09DD" w:rsidR="005D257C">
              <w:rPr>
                <w:rFonts w:ascii="Times New Roman" w:hAnsi="Times New Roman" w:cs="Times New Roman"/>
                <w:i/>
                <w:iCs/>
                <w:sz w:val="20"/>
                <w:szCs w:val="20"/>
              </w:rPr>
              <w:t>90,674</w:t>
            </w:r>
          </w:p>
        </w:tc>
        <w:tc>
          <w:tcPr>
            <w:tcW w:w="1170" w:type="dxa"/>
            <w:vAlign w:val="center"/>
          </w:tcPr>
          <w:p w:rsidR="000315CE" w:rsidRPr="008D09DD" w:rsidP="00E6210A" w14:paraId="29FE5810" w14:textId="77777777">
            <w:pPr>
              <w:spacing w:after="0" w:line="240" w:lineRule="auto"/>
              <w:ind w:left="98" w:right="69"/>
              <w:jc w:val="center"/>
              <w:rPr>
                <w:rFonts w:ascii="Times New Roman" w:hAnsi="Times New Roman" w:cs="Times New Roman"/>
                <w:i/>
                <w:iCs/>
                <w:sz w:val="20"/>
                <w:szCs w:val="20"/>
              </w:rPr>
            </w:pPr>
            <w:r w:rsidRPr="008D09DD">
              <w:rPr>
                <w:rFonts w:ascii="Times New Roman" w:hAnsi="Times New Roman" w:cs="Times New Roman"/>
                <w:i/>
                <w:iCs/>
                <w:sz w:val="20"/>
                <w:szCs w:val="20"/>
              </w:rPr>
              <w:t>42</w:t>
            </w:r>
          </w:p>
        </w:tc>
        <w:tc>
          <w:tcPr>
            <w:tcW w:w="1541" w:type="dxa"/>
            <w:vAlign w:val="center"/>
          </w:tcPr>
          <w:p w:rsidR="000315CE" w:rsidRPr="008D09DD" w:rsidP="00E6210A" w14:paraId="1D8524EC" w14:textId="77777777">
            <w:pPr>
              <w:spacing w:after="0" w:line="240" w:lineRule="auto"/>
              <w:ind w:left="84" w:right="55"/>
              <w:jc w:val="center"/>
              <w:rPr>
                <w:rFonts w:ascii="Times New Roman" w:hAnsi="Times New Roman" w:cs="Times New Roman"/>
                <w:i/>
                <w:iCs/>
                <w:sz w:val="20"/>
                <w:szCs w:val="20"/>
              </w:rPr>
            </w:pPr>
            <w:r w:rsidRPr="008D09DD">
              <w:rPr>
                <w:rFonts w:ascii="Times New Roman" w:hAnsi="Times New Roman" w:cs="Times New Roman"/>
                <w:i/>
                <w:iCs/>
                <w:sz w:val="20"/>
                <w:szCs w:val="20"/>
              </w:rPr>
              <w:t>$36,</w:t>
            </w:r>
            <w:r w:rsidRPr="008D09DD" w:rsidR="00095334">
              <w:rPr>
                <w:rFonts w:ascii="Times New Roman" w:hAnsi="Times New Roman" w:cs="Times New Roman"/>
                <w:i/>
                <w:iCs/>
                <w:sz w:val="20"/>
                <w:szCs w:val="20"/>
              </w:rPr>
              <w:t>881,660</w:t>
            </w:r>
          </w:p>
        </w:tc>
      </w:tr>
      <w:tr w14:paraId="1C1A72A1" w14:textId="77777777" w:rsidTr="001B7E0E">
        <w:tblPrEx>
          <w:tblW w:w="0" w:type="auto"/>
          <w:jc w:val="center"/>
          <w:tblLayout w:type="fixed"/>
          <w:tblCellMar>
            <w:left w:w="0" w:type="dxa"/>
            <w:right w:w="0" w:type="dxa"/>
          </w:tblCellMar>
          <w:tblLook w:val="01E0"/>
        </w:tblPrEx>
        <w:trPr>
          <w:trHeight w:val="300"/>
          <w:jc w:val="center"/>
        </w:trPr>
        <w:tc>
          <w:tcPr>
            <w:tcW w:w="2520" w:type="dxa"/>
            <w:vAlign w:val="center"/>
          </w:tcPr>
          <w:p w:rsidR="000315CE" w:rsidRPr="008D09DD" w:rsidP="00E6210A" w14:paraId="75592154" w14:textId="77777777">
            <w:pPr>
              <w:spacing w:after="0" w:line="240" w:lineRule="auto"/>
              <w:ind w:left="183"/>
              <w:rPr>
                <w:rFonts w:ascii="Times New Roman" w:hAnsi="Times New Roman" w:cs="Times New Roman"/>
                <w:i/>
                <w:iCs/>
                <w:sz w:val="20"/>
                <w:szCs w:val="20"/>
              </w:rPr>
            </w:pPr>
            <w:r w:rsidRPr="008D09DD">
              <w:rPr>
                <w:rFonts w:ascii="Times New Roman" w:hAnsi="Times New Roman" w:cs="Times New Roman"/>
                <w:i/>
                <w:iCs/>
                <w:sz w:val="20"/>
                <w:szCs w:val="20"/>
              </w:rPr>
              <w:t xml:space="preserve">  </w:t>
            </w:r>
            <w:r w:rsidRPr="008D09DD" w:rsidR="005D257C">
              <w:rPr>
                <w:rFonts w:ascii="Times New Roman" w:hAnsi="Times New Roman" w:cs="Times New Roman"/>
                <w:i/>
                <w:iCs/>
                <w:sz w:val="20"/>
                <w:szCs w:val="20"/>
              </w:rPr>
              <w:t xml:space="preserve"> </w:t>
            </w:r>
            <w:r w:rsidRPr="008D09DD" w:rsidR="0011113B">
              <w:rPr>
                <w:rFonts w:ascii="Times New Roman" w:hAnsi="Times New Roman" w:cs="Times New Roman"/>
                <w:i/>
                <w:iCs/>
                <w:sz w:val="20"/>
                <w:szCs w:val="20"/>
              </w:rPr>
              <w:t xml:space="preserve">  </w:t>
            </w:r>
            <w:r w:rsidRPr="008D09DD">
              <w:rPr>
                <w:rFonts w:ascii="Times New Roman" w:hAnsi="Times New Roman" w:cs="Times New Roman"/>
                <w:i/>
                <w:iCs/>
                <w:sz w:val="20"/>
                <w:szCs w:val="20"/>
              </w:rPr>
              <w:t>Non-HF</w:t>
            </w:r>
          </w:p>
        </w:tc>
        <w:tc>
          <w:tcPr>
            <w:tcW w:w="1080" w:type="dxa"/>
            <w:vAlign w:val="center"/>
          </w:tcPr>
          <w:p w:rsidR="000315CE" w:rsidRPr="008D09DD" w:rsidP="00E6210A" w14:paraId="7760772B" w14:textId="77777777">
            <w:pPr>
              <w:spacing w:after="0" w:line="240" w:lineRule="auto"/>
              <w:ind w:left="93" w:right="62"/>
              <w:jc w:val="center"/>
              <w:rPr>
                <w:rFonts w:ascii="Times New Roman" w:hAnsi="Times New Roman" w:cs="Times New Roman"/>
                <w:i/>
                <w:iCs/>
                <w:sz w:val="20"/>
                <w:szCs w:val="20"/>
              </w:rPr>
            </w:pPr>
            <w:r w:rsidRPr="008D09DD">
              <w:rPr>
                <w:rFonts w:ascii="Times New Roman" w:hAnsi="Times New Roman" w:cs="Times New Roman"/>
                <w:i/>
                <w:iCs/>
                <w:sz w:val="20"/>
                <w:szCs w:val="20"/>
              </w:rPr>
              <w:t>0.2</w:t>
            </w:r>
          </w:p>
        </w:tc>
        <w:tc>
          <w:tcPr>
            <w:tcW w:w="1170" w:type="dxa"/>
            <w:vAlign w:val="center"/>
          </w:tcPr>
          <w:p w:rsidR="000315CE" w:rsidRPr="008D09DD" w:rsidP="00E6210A" w14:paraId="4AC89CF0" w14:textId="77777777">
            <w:pPr>
              <w:spacing w:after="0" w:line="240" w:lineRule="auto"/>
              <w:ind w:left="93"/>
              <w:jc w:val="center"/>
              <w:rPr>
                <w:rFonts w:ascii="Times New Roman" w:hAnsi="Times New Roman" w:cs="Times New Roman"/>
                <w:i/>
                <w:iCs/>
                <w:sz w:val="20"/>
                <w:szCs w:val="20"/>
              </w:rPr>
            </w:pPr>
            <w:r w:rsidRPr="008D09DD">
              <w:rPr>
                <w:rFonts w:ascii="Times New Roman" w:hAnsi="Times New Roman" w:cs="Times New Roman"/>
                <w:i/>
                <w:iCs/>
                <w:sz w:val="20"/>
                <w:szCs w:val="20"/>
              </w:rPr>
              <w:t>$306,326</w:t>
            </w:r>
          </w:p>
        </w:tc>
        <w:tc>
          <w:tcPr>
            <w:tcW w:w="1170" w:type="dxa"/>
            <w:vAlign w:val="center"/>
          </w:tcPr>
          <w:p w:rsidR="000315CE" w:rsidRPr="008D09DD" w:rsidP="00E6210A" w14:paraId="0D3987D2" w14:textId="77777777">
            <w:pPr>
              <w:spacing w:after="0" w:line="240" w:lineRule="auto"/>
              <w:ind w:left="98" w:right="69"/>
              <w:jc w:val="center"/>
              <w:rPr>
                <w:rFonts w:ascii="Times New Roman" w:hAnsi="Times New Roman" w:cs="Times New Roman"/>
                <w:i/>
                <w:iCs/>
                <w:sz w:val="20"/>
                <w:szCs w:val="20"/>
              </w:rPr>
            </w:pPr>
            <w:r w:rsidRPr="008D09DD">
              <w:rPr>
                <w:rFonts w:ascii="Times New Roman" w:hAnsi="Times New Roman" w:cs="Times New Roman"/>
                <w:i/>
                <w:iCs/>
                <w:sz w:val="20"/>
                <w:szCs w:val="20"/>
              </w:rPr>
              <w:t>47</w:t>
            </w:r>
          </w:p>
        </w:tc>
        <w:tc>
          <w:tcPr>
            <w:tcW w:w="1541" w:type="dxa"/>
            <w:vAlign w:val="center"/>
          </w:tcPr>
          <w:p w:rsidR="000315CE" w:rsidRPr="008D09DD" w:rsidP="00E6210A" w14:paraId="731C3497" w14:textId="77777777">
            <w:pPr>
              <w:spacing w:after="0" w:line="240" w:lineRule="auto"/>
              <w:ind w:left="84" w:right="55"/>
              <w:jc w:val="center"/>
              <w:rPr>
                <w:rFonts w:ascii="Times New Roman" w:hAnsi="Times New Roman" w:cs="Times New Roman"/>
                <w:i/>
                <w:iCs/>
                <w:sz w:val="20"/>
                <w:szCs w:val="20"/>
              </w:rPr>
            </w:pPr>
            <w:r w:rsidRPr="008D09DD">
              <w:rPr>
                <w:rFonts w:ascii="Times New Roman" w:hAnsi="Times New Roman" w:cs="Times New Roman"/>
                <w:i/>
                <w:iCs/>
                <w:sz w:val="20"/>
                <w:szCs w:val="20"/>
              </w:rPr>
              <w:t>$</w:t>
            </w:r>
            <w:r w:rsidRPr="008D09DD" w:rsidR="00B60BEE">
              <w:rPr>
                <w:rFonts w:ascii="Times New Roman" w:hAnsi="Times New Roman" w:cs="Times New Roman"/>
                <w:i/>
                <w:iCs/>
                <w:sz w:val="20"/>
                <w:szCs w:val="20"/>
              </w:rPr>
              <w:t>2,</w:t>
            </w:r>
            <w:r w:rsidRPr="008D09DD" w:rsidR="0000315D">
              <w:rPr>
                <w:rFonts w:ascii="Times New Roman" w:hAnsi="Times New Roman" w:cs="Times New Roman"/>
                <w:i/>
                <w:iCs/>
                <w:sz w:val="20"/>
                <w:szCs w:val="20"/>
              </w:rPr>
              <w:t>879,</w:t>
            </w:r>
            <w:r w:rsidRPr="008D09DD" w:rsidR="00AE4EBA">
              <w:rPr>
                <w:rFonts w:ascii="Times New Roman" w:hAnsi="Times New Roman" w:cs="Times New Roman"/>
                <w:i/>
                <w:iCs/>
                <w:sz w:val="20"/>
                <w:szCs w:val="20"/>
              </w:rPr>
              <w:t>465</w:t>
            </w:r>
          </w:p>
        </w:tc>
      </w:tr>
      <w:tr w14:paraId="0DC6D3B3" w14:textId="77777777" w:rsidTr="001B7E0E">
        <w:tblPrEx>
          <w:tblW w:w="0" w:type="auto"/>
          <w:jc w:val="center"/>
          <w:tblLayout w:type="fixed"/>
          <w:tblCellMar>
            <w:left w:w="0" w:type="dxa"/>
            <w:right w:w="0" w:type="dxa"/>
          </w:tblCellMar>
          <w:tblLook w:val="01E0"/>
        </w:tblPrEx>
        <w:trPr>
          <w:trHeight w:val="282"/>
          <w:jc w:val="center"/>
        </w:trPr>
        <w:tc>
          <w:tcPr>
            <w:tcW w:w="2520" w:type="dxa"/>
            <w:tcBorders>
              <w:bottom w:val="single" w:sz="8" w:space="0" w:color="000000"/>
            </w:tcBorders>
            <w:vAlign w:val="center"/>
          </w:tcPr>
          <w:p w:rsidR="000257ED" w:rsidRPr="00D21E4B" w:rsidP="00E6210A" w14:paraId="3DAC4203" w14:textId="77777777">
            <w:pPr>
              <w:spacing w:after="0" w:line="240" w:lineRule="auto"/>
              <w:ind w:left="183"/>
              <w:rPr>
                <w:rFonts w:ascii="Times New Roman" w:hAnsi="Times New Roman" w:cs="Times New Roman"/>
                <w:sz w:val="20"/>
                <w:szCs w:val="20"/>
              </w:rPr>
            </w:pPr>
            <w:r w:rsidRPr="00D21E4B">
              <w:rPr>
                <w:rFonts w:ascii="Times New Roman" w:hAnsi="Times New Roman" w:cs="Times New Roman"/>
                <w:sz w:val="20"/>
                <w:szCs w:val="20"/>
              </w:rPr>
              <w:t>Chemical Manufacturers</w:t>
            </w:r>
          </w:p>
        </w:tc>
        <w:tc>
          <w:tcPr>
            <w:tcW w:w="1080" w:type="dxa"/>
            <w:tcBorders>
              <w:bottom w:val="single" w:sz="8" w:space="0" w:color="000000"/>
            </w:tcBorders>
            <w:vAlign w:val="center"/>
          </w:tcPr>
          <w:p w:rsidR="000257ED" w:rsidRPr="00D21E4B" w:rsidP="00E6210A" w14:paraId="146D376C" w14:textId="77777777">
            <w:pPr>
              <w:spacing w:after="0" w:line="240" w:lineRule="auto"/>
              <w:ind w:left="93" w:right="62"/>
              <w:jc w:val="center"/>
              <w:rPr>
                <w:rFonts w:ascii="Times New Roman" w:hAnsi="Times New Roman" w:cs="Times New Roman"/>
                <w:sz w:val="20"/>
                <w:szCs w:val="20"/>
              </w:rPr>
            </w:pPr>
            <w:r w:rsidRPr="00D21E4B">
              <w:rPr>
                <w:rFonts w:ascii="Times New Roman" w:hAnsi="Times New Roman" w:cs="Times New Roman"/>
                <w:sz w:val="20"/>
                <w:szCs w:val="20"/>
              </w:rPr>
              <w:t>0.2</w:t>
            </w:r>
          </w:p>
        </w:tc>
        <w:tc>
          <w:tcPr>
            <w:tcW w:w="1170" w:type="dxa"/>
            <w:tcBorders>
              <w:bottom w:val="single" w:sz="8" w:space="0" w:color="000000"/>
            </w:tcBorders>
            <w:vAlign w:val="center"/>
          </w:tcPr>
          <w:p w:rsidR="000257ED" w:rsidRPr="00D21E4B" w:rsidP="00E6210A" w14:paraId="3CF3E4E7" w14:textId="77777777">
            <w:pPr>
              <w:spacing w:after="0" w:line="240" w:lineRule="auto"/>
              <w:ind w:left="93"/>
              <w:jc w:val="center"/>
              <w:rPr>
                <w:rFonts w:ascii="Times New Roman" w:hAnsi="Times New Roman" w:cs="Times New Roman"/>
                <w:sz w:val="20"/>
                <w:szCs w:val="20"/>
              </w:rPr>
            </w:pPr>
            <w:r w:rsidRPr="00D21E4B">
              <w:rPr>
                <w:rFonts w:ascii="Times New Roman" w:hAnsi="Times New Roman" w:cs="Times New Roman"/>
                <w:sz w:val="20"/>
                <w:szCs w:val="20"/>
              </w:rPr>
              <w:t>$</w:t>
            </w:r>
            <w:r w:rsidR="007A3C1B">
              <w:rPr>
                <w:rFonts w:ascii="Times New Roman" w:hAnsi="Times New Roman" w:cs="Times New Roman"/>
                <w:sz w:val="20"/>
                <w:szCs w:val="20"/>
              </w:rPr>
              <w:t>3</w:t>
            </w:r>
            <w:r w:rsidR="0091288B">
              <w:rPr>
                <w:rFonts w:ascii="Times New Roman" w:hAnsi="Times New Roman" w:cs="Times New Roman"/>
                <w:sz w:val="20"/>
                <w:szCs w:val="20"/>
              </w:rPr>
              <w:t>3,550</w:t>
            </w:r>
          </w:p>
        </w:tc>
        <w:tc>
          <w:tcPr>
            <w:tcW w:w="1170" w:type="dxa"/>
            <w:tcBorders>
              <w:bottom w:val="single" w:sz="8" w:space="0" w:color="000000"/>
            </w:tcBorders>
            <w:vAlign w:val="center"/>
          </w:tcPr>
          <w:p w:rsidR="000257ED" w:rsidRPr="00D21E4B" w:rsidP="00E6210A" w14:paraId="73A1545F" w14:textId="77777777">
            <w:pPr>
              <w:spacing w:after="0" w:line="240" w:lineRule="auto"/>
              <w:ind w:left="98" w:right="69"/>
              <w:jc w:val="center"/>
              <w:rPr>
                <w:rFonts w:ascii="Times New Roman" w:hAnsi="Times New Roman" w:cs="Times New Roman"/>
                <w:sz w:val="20"/>
                <w:szCs w:val="20"/>
              </w:rPr>
            </w:pPr>
            <w:r>
              <w:rPr>
                <w:rFonts w:ascii="Times New Roman" w:hAnsi="Times New Roman" w:cs="Times New Roman"/>
                <w:sz w:val="20"/>
                <w:szCs w:val="20"/>
              </w:rPr>
              <w:t>509</w:t>
            </w:r>
          </w:p>
        </w:tc>
        <w:tc>
          <w:tcPr>
            <w:tcW w:w="1541" w:type="dxa"/>
            <w:tcBorders>
              <w:bottom w:val="single" w:sz="8" w:space="0" w:color="000000"/>
            </w:tcBorders>
            <w:vAlign w:val="center"/>
          </w:tcPr>
          <w:p w:rsidR="000257ED" w:rsidRPr="00D21E4B" w:rsidP="00E6210A" w14:paraId="0F2EB447" w14:textId="77777777">
            <w:pPr>
              <w:spacing w:after="0" w:line="240" w:lineRule="auto"/>
              <w:ind w:left="84" w:right="55"/>
              <w:jc w:val="center"/>
              <w:rPr>
                <w:rFonts w:ascii="Times New Roman" w:hAnsi="Times New Roman" w:cs="Times New Roman"/>
                <w:sz w:val="20"/>
                <w:szCs w:val="20"/>
              </w:rPr>
            </w:pPr>
            <w:r w:rsidRPr="00D21E4B">
              <w:rPr>
                <w:rFonts w:ascii="Times New Roman" w:hAnsi="Times New Roman" w:cs="Times New Roman"/>
                <w:sz w:val="20"/>
                <w:szCs w:val="20"/>
              </w:rPr>
              <w:t>$</w:t>
            </w:r>
            <w:r w:rsidR="000E70E6">
              <w:rPr>
                <w:rFonts w:ascii="Times New Roman" w:hAnsi="Times New Roman" w:cs="Times New Roman"/>
                <w:sz w:val="20"/>
                <w:szCs w:val="20"/>
              </w:rPr>
              <w:t>3,415,</w:t>
            </w:r>
            <w:r w:rsidR="000147A9">
              <w:rPr>
                <w:rFonts w:ascii="Times New Roman" w:hAnsi="Times New Roman" w:cs="Times New Roman"/>
                <w:sz w:val="20"/>
                <w:szCs w:val="20"/>
              </w:rPr>
              <w:t>390</w:t>
            </w:r>
          </w:p>
        </w:tc>
      </w:tr>
      <w:tr w14:paraId="7FA91455" w14:textId="77777777" w:rsidTr="001B7E0E">
        <w:tblPrEx>
          <w:tblW w:w="0" w:type="auto"/>
          <w:jc w:val="center"/>
          <w:tblLayout w:type="fixed"/>
          <w:tblCellMar>
            <w:left w:w="0" w:type="dxa"/>
            <w:right w:w="0" w:type="dxa"/>
          </w:tblCellMar>
          <w:tblLook w:val="01E0"/>
        </w:tblPrEx>
        <w:trPr>
          <w:trHeight w:val="282"/>
          <w:jc w:val="center"/>
        </w:trPr>
        <w:tc>
          <w:tcPr>
            <w:tcW w:w="2520" w:type="dxa"/>
            <w:tcBorders>
              <w:bottom w:val="single" w:sz="8" w:space="0" w:color="000000"/>
            </w:tcBorders>
            <w:vAlign w:val="center"/>
          </w:tcPr>
          <w:p w:rsidR="000257ED" w:rsidRPr="00D21E4B" w:rsidP="00E6210A" w14:paraId="1FB42D95" w14:textId="77777777">
            <w:pPr>
              <w:spacing w:after="0" w:line="240" w:lineRule="auto"/>
              <w:ind w:left="183"/>
              <w:rPr>
                <w:rFonts w:ascii="Times New Roman" w:hAnsi="Times New Roman" w:cs="Times New Roman"/>
                <w:b/>
                <w:sz w:val="20"/>
                <w:szCs w:val="20"/>
              </w:rPr>
            </w:pPr>
            <w:r w:rsidRPr="00D21E4B">
              <w:rPr>
                <w:rFonts w:ascii="Times New Roman" w:hAnsi="Times New Roman" w:cs="Times New Roman"/>
                <w:b/>
                <w:sz w:val="20"/>
                <w:szCs w:val="20"/>
              </w:rPr>
              <w:t>Total</w:t>
            </w:r>
          </w:p>
        </w:tc>
        <w:tc>
          <w:tcPr>
            <w:tcW w:w="1080" w:type="dxa"/>
            <w:tcBorders>
              <w:bottom w:val="single" w:sz="8" w:space="0" w:color="000000"/>
            </w:tcBorders>
            <w:vAlign w:val="center"/>
          </w:tcPr>
          <w:p w:rsidR="000257ED" w:rsidRPr="00D21E4B" w:rsidP="00E6210A" w14:paraId="5E455F67" w14:textId="77777777">
            <w:pPr>
              <w:spacing w:after="0" w:line="240" w:lineRule="auto"/>
              <w:ind w:left="93" w:right="62"/>
              <w:jc w:val="center"/>
              <w:rPr>
                <w:rFonts w:ascii="Times New Roman" w:hAnsi="Times New Roman" w:cs="Times New Roman"/>
                <w:b/>
                <w:sz w:val="20"/>
                <w:szCs w:val="20"/>
              </w:rPr>
            </w:pPr>
          </w:p>
        </w:tc>
        <w:tc>
          <w:tcPr>
            <w:tcW w:w="1170" w:type="dxa"/>
            <w:tcBorders>
              <w:bottom w:val="single" w:sz="8" w:space="0" w:color="000000"/>
            </w:tcBorders>
            <w:vAlign w:val="center"/>
          </w:tcPr>
          <w:p w:rsidR="000257ED" w:rsidRPr="00D21E4B" w:rsidP="00E6210A" w14:paraId="2669EE0D" w14:textId="77777777">
            <w:pPr>
              <w:spacing w:after="0" w:line="240" w:lineRule="auto"/>
              <w:ind w:left="292"/>
              <w:jc w:val="center"/>
              <w:rPr>
                <w:rFonts w:ascii="Times New Roman" w:hAnsi="Times New Roman" w:cs="Times New Roman"/>
                <w:b/>
                <w:sz w:val="20"/>
                <w:szCs w:val="20"/>
              </w:rPr>
            </w:pPr>
          </w:p>
        </w:tc>
        <w:tc>
          <w:tcPr>
            <w:tcW w:w="1170" w:type="dxa"/>
            <w:tcBorders>
              <w:bottom w:val="single" w:sz="8" w:space="0" w:color="000000"/>
            </w:tcBorders>
            <w:vAlign w:val="center"/>
          </w:tcPr>
          <w:p w:rsidR="000257ED" w:rsidRPr="00D21E4B" w:rsidP="00E6210A" w14:paraId="48DE3752" w14:textId="77777777">
            <w:pPr>
              <w:spacing w:after="0" w:line="240" w:lineRule="auto"/>
              <w:ind w:left="98" w:right="69"/>
              <w:jc w:val="center"/>
              <w:rPr>
                <w:rFonts w:ascii="Times New Roman" w:hAnsi="Times New Roman" w:cs="Times New Roman"/>
                <w:b/>
                <w:sz w:val="20"/>
                <w:szCs w:val="20"/>
              </w:rPr>
            </w:pPr>
            <w:r w:rsidRPr="00D21E4B">
              <w:rPr>
                <w:rFonts w:ascii="Times New Roman" w:hAnsi="Times New Roman" w:cs="Times New Roman"/>
                <w:b/>
                <w:sz w:val="20"/>
                <w:szCs w:val="20"/>
              </w:rPr>
              <w:t>5</w:t>
            </w:r>
            <w:r w:rsidR="003C1954">
              <w:rPr>
                <w:rFonts w:ascii="Times New Roman" w:hAnsi="Times New Roman" w:cs="Times New Roman"/>
                <w:b/>
                <w:sz w:val="20"/>
                <w:szCs w:val="20"/>
              </w:rPr>
              <w:t>98</w:t>
            </w:r>
          </w:p>
        </w:tc>
        <w:tc>
          <w:tcPr>
            <w:tcW w:w="1541" w:type="dxa"/>
            <w:tcBorders>
              <w:bottom w:val="single" w:sz="8" w:space="0" w:color="000000"/>
            </w:tcBorders>
            <w:vAlign w:val="center"/>
          </w:tcPr>
          <w:p w:rsidR="000257ED" w:rsidRPr="00D21E4B" w:rsidP="00E6210A" w14:paraId="0FFD3363" w14:textId="77777777">
            <w:pPr>
              <w:spacing w:after="0" w:line="240" w:lineRule="auto"/>
              <w:ind w:left="84" w:right="55"/>
              <w:jc w:val="center"/>
              <w:rPr>
                <w:rFonts w:ascii="Times New Roman" w:hAnsi="Times New Roman" w:cs="Times New Roman"/>
                <w:b/>
                <w:sz w:val="20"/>
                <w:szCs w:val="20"/>
              </w:rPr>
            </w:pPr>
            <w:r w:rsidRPr="00D21E4B">
              <w:rPr>
                <w:rFonts w:ascii="Times New Roman" w:hAnsi="Times New Roman" w:cs="Times New Roman"/>
                <w:b/>
                <w:sz w:val="20"/>
                <w:szCs w:val="20"/>
              </w:rPr>
              <w:t>$</w:t>
            </w:r>
            <w:r w:rsidR="00763219">
              <w:rPr>
                <w:rFonts w:ascii="Times New Roman" w:hAnsi="Times New Roman" w:cs="Times New Roman"/>
                <w:b/>
                <w:sz w:val="20"/>
                <w:szCs w:val="20"/>
              </w:rPr>
              <w:t>43,176,</w:t>
            </w:r>
            <w:r w:rsidR="009A5625">
              <w:rPr>
                <w:rFonts w:ascii="Times New Roman" w:hAnsi="Times New Roman" w:cs="Times New Roman"/>
                <w:b/>
                <w:sz w:val="20"/>
                <w:szCs w:val="20"/>
              </w:rPr>
              <w:t>515</w:t>
            </w:r>
          </w:p>
        </w:tc>
      </w:tr>
      <w:tr w14:paraId="24E20A00" w14:textId="77777777" w:rsidTr="001B7E0E">
        <w:tblPrEx>
          <w:tblW w:w="0" w:type="auto"/>
          <w:jc w:val="center"/>
          <w:tblLayout w:type="fixed"/>
          <w:tblCellMar>
            <w:left w:w="0" w:type="dxa"/>
            <w:right w:w="0" w:type="dxa"/>
          </w:tblCellMar>
          <w:tblLook w:val="01E0"/>
        </w:tblPrEx>
        <w:trPr>
          <w:trHeight w:val="282"/>
          <w:jc w:val="center"/>
        </w:trPr>
        <w:tc>
          <w:tcPr>
            <w:tcW w:w="2520" w:type="dxa"/>
            <w:tcBorders>
              <w:top w:val="single" w:sz="8" w:space="0" w:color="000000"/>
            </w:tcBorders>
            <w:vAlign w:val="center"/>
          </w:tcPr>
          <w:p w:rsidR="000257ED" w:rsidRPr="00D21E4B" w:rsidP="00E6210A" w14:paraId="147E0A00" w14:textId="77777777">
            <w:pPr>
              <w:keepNext/>
              <w:spacing w:after="0" w:line="240" w:lineRule="auto"/>
              <w:ind w:left="183" w:right="82"/>
              <w:rPr>
                <w:rFonts w:ascii="Times New Roman" w:hAnsi="Times New Roman" w:cs="Times New Roman"/>
                <w:b/>
                <w:sz w:val="20"/>
                <w:szCs w:val="20"/>
              </w:rPr>
            </w:pPr>
            <w:r w:rsidRPr="00D21E4B">
              <w:rPr>
                <w:rFonts w:ascii="Times New Roman" w:hAnsi="Times New Roman" w:cs="Times New Roman"/>
                <w:b/>
                <w:sz w:val="20"/>
                <w:szCs w:val="20"/>
              </w:rPr>
              <w:t>Grand Total</w:t>
            </w:r>
          </w:p>
        </w:tc>
        <w:tc>
          <w:tcPr>
            <w:tcW w:w="1080" w:type="dxa"/>
            <w:tcBorders>
              <w:top w:val="single" w:sz="8" w:space="0" w:color="000000"/>
            </w:tcBorders>
            <w:vAlign w:val="center"/>
          </w:tcPr>
          <w:p w:rsidR="000257ED" w:rsidRPr="00D21E4B" w:rsidP="00E6210A" w14:paraId="42526510" w14:textId="77777777">
            <w:pPr>
              <w:keepNext/>
              <w:spacing w:after="0" w:line="240" w:lineRule="auto"/>
              <w:jc w:val="center"/>
              <w:rPr>
                <w:rFonts w:ascii="Times New Roman" w:hAnsi="Times New Roman" w:cs="Times New Roman"/>
                <w:sz w:val="20"/>
                <w:szCs w:val="20"/>
              </w:rPr>
            </w:pPr>
          </w:p>
        </w:tc>
        <w:tc>
          <w:tcPr>
            <w:tcW w:w="1170" w:type="dxa"/>
            <w:tcBorders>
              <w:top w:val="single" w:sz="8" w:space="0" w:color="000000"/>
            </w:tcBorders>
            <w:vAlign w:val="center"/>
          </w:tcPr>
          <w:p w:rsidR="000257ED" w:rsidRPr="00D21E4B" w:rsidP="00E6210A" w14:paraId="6DFBE017" w14:textId="77777777">
            <w:pPr>
              <w:keepNext/>
              <w:spacing w:after="0" w:line="240" w:lineRule="auto"/>
              <w:jc w:val="center"/>
              <w:rPr>
                <w:rFonts w:ascii="Times New Roman" w:hAnsi="Times New Roman" w:cs="Times New Roman"/>
                <w:sz w:val="20"/>
                <w:szCs w:val="20"/>
              </w:rPr>
            </w:pPr>
          </w:p>
        </w:tc>
        <w:tc>
          <w:tcPr>
            <w:tcW w:w="1170" w:type="dxa"/>
            <w:tcBorders>
              <w:top w:val="single" w:sz="8" w:space="0" w:color="000000"/>
            </w:tcBorders>
            <w:vAlign w:val="center"/>
          </w:tcPr>
          <w:p w:rsidR="000257ED" w:rsidRPr="00D21E4B" w:rsidP="00E6210A" w14:paraId="72D0C4EB" w14:textId="77777777">
            <w:pPr>
              <w:keepNext/>
              <w:spacing w:after="0" w:line="240" w:lineRule="auto"/>
              <w:ind w:left="90" w:right="76"/>
              <w:jc w:val="center"/>
              <w:rPr>
                <w:rFonts w:ascii="Times New Roman" w:hAnsi="Times New Roman" w:cs="Times New Roman"/>
                <w:b/>
                <w:sz w:val="20"/>
                <w:szCs w:val="20"/>
              </w:rPr>
            </w:pPr>
          </w:p>
        </w:tc>
        <w:tc>
          <w:tcPr>
            <w:tcW w:w="1541" w:type="dxa"/>
            <w:tcBorders>
              <w:top w:val="single" w:sz="8" w:space="0" w:color="000000"/>
            </w:tcBorders>
            <w:vAlign w:val="center"/>
          </w:tcPr>
          <w:p w:rsidR="000257ED" w:rsidRPr="00D21E4B" w:rsidP="00E6210A" w14:paraId="4E1F613C" w14:textId="0E07834C">
            <w:pPr>
              <w:keepNext/>
              <w:spacing w:after="0" w:line="240" w:lineRule="auto"/>
              <w:ind w:left="77" w:right="55"/>
              <w:jc w:val="center"/>
              <w:rPr>
                <w:rFonts w:ascii="Times New Roman" w:hAnsi="Times New Roman" w:cs="Times New Roman"/>
                <w:b/>
                <w:sz w:val="20"/>
                <w:szCs w:val="20"/>
              </w:rPr>
            </w:pPr>
            <w:r w:rsidRPr="00D21E4B">
              <w:rPr>
                <w:rFonts w:ascii="Times New Roman" w:hAnsi="Times New Roman" w:cs="Times New Roman"/>
                <w:b/>
                <w:sz w:val="20"/>
                <w:szCs w:val="20"/>
              </w:rPr>
              <w:t>$</w:t>
            </w:r>
            <w:r>
              <w:rPr>
                <w:rFonts w:ascii="Times New Roman" w:hAnsi="Times New Roman" w:cs="Times New Roman"/>
                <w:b/>
                <w:sz w:val="20"/>
                <w:szCs w:val="20"/>
              </w:rPr>
              <w:t>73,069,638</w:t>
            </w:r>
          </w:p>
        </w:tc>
      </w:tr>
    </w:tbl>
    <w:p w:rsidR="000257ED" w:rsidRPr="00D21E4B" w:rsidP="000257ED" w14:paraId="0EA65541" w14:textId="77777777">
      <w:pPr>
        <w:keepNext/>
        <w:spacing w:after="0" w:line="240" w:lineRule="auto"/>
        <w:ind w:left="640"/>
        <w:rPr>
          <w:rFonts w:ascii="Times New Roman" w:hAnsi="Times New Roman" w:cs="Times New Roman"/>
          <w:sz w:val="18"/>
          <w:szCs w:val="18"/>
        </w:rPr>
      </w:pPr>
      <w:r w:rsidRPr="00D21E4B">
        <w:rPr>
          <w:rFonts w:ascii="Times New Roman" w:hAnsi="Times New Roman" w:cs="Times New Roman"/>
          <w:w w:val="105"/>
          <w:position w:val="6"/>
          <w:sz w:val="18"/>
          <w:szCs w:val="18"/>
        </w:rPr>
        <w:t>*</w:t>
      </w:r>
      <w:r w:rsidRPr="00D21E4B">
        <w:rPr>
          <w:rFonts w:ascii="Times New Roman" w:hAnsi="Times New Roman" w:cs="Times New Roman"/>
          <w:w w:val="105"/>
          <w:sz w:val="18"/>
          <w:szCs w:val="18"/>
        </w:rPr>
        <w:t>Totals may not sum due to rounding</w:t>
      </w:r>
      <w:r>
        <w:rPr>
          <w:rFonts w:ascii="Times New Roman" w:hAnsi="Times New Roman" w:cs="Times New Roman"/>
          <w:w w:val="105"/>
          <w:sz w:val="18"/>
          <w:szCs w:val="18"/>
        </w:rPr>
        <w:t>.</w:t>
      </w:r>
    </w:p>
    <w:p w:rsidR="00D21B63" w:rsidRPr="00BF4D0A" w:rsidP="00D21B63" w14:paraId="1E215B62" w14:textId="77777777">
      <w:pPr>
        <w:spacing w:after="0" w:line="240" w:lineRule="auto"/>
        <w:ind w:firstLine="360"/>
        <w:rPr>
          <w:rFonts w:ascii="Times New Roman" w:hAnsi="Times New Roman" w:cs="Times New Roman"/>
        </w:rPr>
      </w:pPr>
    </w:p>
    <w:p w:rsidR="008E6BA5" w:rsidP="00FA04B8" w14:paraId="00BB7DFF" w14:textId="77777777">
      <w:pPr>
        <w:pStyle w:val="Caption"/>
        <w:spacing w:after="0"/>
        <w:jc w:val="center"/>
        <w:rPr>
          <w:rFonts w:ascii="Times New Roman" w:hAnsi="Times New Roman" w:cs="Times New Roman"/>
          <w:b/>
          <w:bCs/>
          <w:i w:val="0"/>
          <w:iCs w:val="0"/>
          <w:color w:val="auto"/>
          <w:sz w:val="22"/>
          <w:szCs w:val="22"/>
        </w:rPr>
      </w:pPr>
      <w:r w:rsidRPr="00B87FD9">
        <w:rPr>
          <w:rFonts w:ascii="Times New Roman" w:hAnsi="Times New Roman" w:cs="Times New Roman"/>
          <w:b/>
          <w:bCs/>
          <w:i w:val="0"/>
          <w:iCs w:val="0"/>
          <w:color w:val="auto"/>
          <w:sz w:val="22"/>
          <w:szCs w:val="22"/>
        </w:rPr>
        <w:t xml:space="preserve">Exhibit </w:t>
      </w:r>
      <w:r w:rsidRPr="00D21E4B">
        <w:rPr>
          <w:rFonts w:ascii="Times New Roman" w:hAnsi="Times New Roman" w:cs="Times New Roman"/>
          <w:b/>
          <w:bCs/>
          <w:i w:val="0"/>
          <w:iCs w:val="0"/>
          <w:color w:val="auto"/>
          <w:sz w:val="22"/>
          <w:szCs w:val="22"/>
        </w:rPr>
        <w:t>5-</w:t>
      </w:r>
      <w:r w:rsidR="006C545F">
        <w:rPr>
          <w:rFonts w:ascii="Times New Roman" w:hAnsi="Times New Roman" w:cs="Times New Roman"/>
          <w:b/>
          <w:bCs/>
          <w:i w:val="0"/>
          <w:iCs w:val="0"/>
          <w:color w:val="auto"/>
          <w:sz w:val="22"/>
          <w:szCs w:val="22"/>
        </w:rPr>
        <w:t>3</w:t>
      </w:r>
      <w:r w:rsidRPr="00D21E4B">
        <w:rPr>
          <w:rFonts w:ascii="Times New Roman" w:hAnsi="Times New Roman" w:cs="Times New Roman"/>
          <w:b/>
          <w:bCs/>
          <w:i w:val="0"/>
          <w:iCs w:val="0"/>
          <w:color w:val="auto"/>
          <w:sz w:val="22"/>
          <w:szCs w:val="22"/>
        </w:rPr>
        <w:t xml:space="preserve">: Estimated </w:t>
      </w:r>
      <w:r>
        <w:rPr>
          <w:rFonts w:ascii="Times New Roman" w:hAnsi="Times New Roman" w:cs="Times New Roman"/>
          <w:b/>
          <w:bCs/>
          <w:i w:val="0"/>
          <w:iCs w:val="0"/>
          <w:color w:val="auto"/>
          <w:sz w:val="22"/>
          <w:szCs w:val="22"/>
        </w:rPr>
        <w:t>Annual</w:t>
      </w:r>
      <w:r w:rsidRPr="00D21E4B">
        <w:rPr>
          <w:rFonts w:ascii="Times New Roman" w:hAnsi="Times New Roman" w:cs="Times New Roman"/>
          <w:b/>
          <w:bCs/>
          <w:i w:val="0"/>
          <w:iCs w:val="0"/>
          <w:color w:val="auto"/>
          <w:sz w:val="22"/>
          <w:szCs w:val="22"/>
        </w:rPr>
        <w:t xml:space="preserve"> Costs for STAA </w:t>
      </w:r>
      <w:r w:rsidR="00E25B3A">
        <w:rPr>
          <w:rFonts w:ascii="Times New Roman" w:hAnsi="Times New Roman" w:cs="Times New Roman"/>
          <w:b/>
          <w:bCs/>
          <w:i w:val="0"/>
          <w:iCs w:val="0"/>
          <w:color w:val="auto"/>
          <w:sz w:val="22"/>
          <w:szCs w:val="22"/>
        </w:rPr>
        <w:t>Initial Evaluation</w:t>
      </w:r>
      <w:r w:rsidR="00157E39">
        <w:rPr>
          <w:rFonts w:ascii="Times New Roman" w:hAnsi="Times New Roman" w:cs="Times New Roman"/>
          <w:b/>
          <w:bCs/>
          <w:i w:val="0"/>
          <w:iCs w:val="0"/>
          <w:color w:val="auto"/>
          <w:sz w:val="22"/>
          <w:szCs w:val="22"/>
        </w:rPr>
        <w:t xml:space="preserve"> and </w:t>
      </w:r>
      <w:r w:rsidR="00E25B3A">
        <w:rPr>
          <w:rFonts w:ascii="Times New Roman" w:hAnsi="Times New Roman" w:cs="Times New Roman"/>
          <w:b/>
          <w:bCs/>
          <w:i w:val="0"/>
          <w:iCs w:val="0"/>
          <w:color w:val="auto"/>
          <w:sz w:val="22"/>
          <w:szCs w:val="22"/>
        </w:rPr>
        <w:t>Practicability Assessment</w:t>
      </w:r>
      <w:r>
        <w:rPr>
          <w:rFonts w:ascii="Times New Roman" w:hAnsi="Times New Roman" w:cs="Times New Roman"/>
          <w:b/>
          <w:bCs/>
          <w:i w:val="0"/>
          <w:iCs w:val="0"/>
          <w:color w:val="auto"/>
          <w:sz w:val="22"/>
          <w:szCs w:val="22"/>
        </w:rPr>
        <w:t xml:space="preserve"> </w:t>
      </w:r>
    </w:p>
    <w:p w:rsidR="00D21B63" w:rsidP="00D21B63" w14:paraId="33DD4660" w14:textId="77777777">
      <w:pPr>
        <w:pStyle w:val="Caption"/>
        <w:jc w:val="center"/>
      </w:pPr>
      <w:r>
        <w:rPr>
          <w:rFonts w:ascii="Times New Roman" w:hAnsi="Times New Roman" w:cs="Times New Roman"/>
          <w:b/>
          <w:bCs/>
          <w:i w:val="0"/>
          <w:iCs w:val="0"/>
          <w:color w:val="auto"/>
          <w:sz w:val="22"/>
          <w:szCs w:val="22"/>
        </w:rPr>
        <w:t xml:space="preserve">Years </w:t>
      </w:r>
      <w:r w:rsidR="00296311">
        <w:rPr>
          <w:rFonts w:ascii="Times New Roman" w:hAnsi="Times New Roman" w:cs="Times New Roman"/>
          <w:b/>
          <w:bCs/>
          <w:i w:val="0"/>
          <w:iCs w:val="0"/>
          <w:color w:val="auto"/>
          <w:sz w:val="22"/>
          <w:szCs w:val="22"/>
        </w:rPr>
        <w:t>6</w:t>
      </w:r>
      <w:r>
        <w:rPr>
          <w:rFonts w:ascii="Times New Roman" w:hAnsi="Times New Roman" w:cs="Times New Roman"/>
          <w:b/>
          <w:bCs/>
          <w:i w:val="0"/>
          <w:iCs w:val="0"/>
          <w:color w:val="auto"/>
          <w:sz w:val="22"/>
          <w:szCs w:val="22"/>
        </w:rPr>
        <w:t>-</w:t>
      </w:r>
      <w:r w:rsidR="00296311">
        <w:rPr>
          <w:rFonts w:ascii="Times New Roman" w:hAnsi="Times New Roman" w:cs="Times New Roman"/>
          <w:b/>
          <w:bCs/>
          <w:i w:val="0"/>
          <w:iCs w:val="0"/>
          <w:color w:val="auto"/>
          <w:sz w:val="22"/>
          <w:szCs w:val="22"/>
        </w:rPr>
        <w:t>10</w:t>
      </w:r>
      <w:r w:rsidR="00091C2D">
        <w:rPr>
          <w:rFonts w:ascii="Times New Roman" w:hAnsi="Times New Roman" w:cs="Times New Roman"/>
          <w:b/>
          <w:bCs/>
          <w:i w:val="0"/>
          <w:iCs w:val="0"/>
          <w:color w:val="auto"/>
          <w:sz w:val="22"/>
          <w:szCs w:val="22"/>
        </w:rPr>
        <w:t xml:space="preserve"> </w:t>
      </w:r>
      <w:r w:rsidRPr="00D21E4B">
        <w:rPr>
          <w:rFonts w:ascii="Times New Roman" w:hAnsi="Times New Roman" w:cs="Times New Roman"/>
          <w:b/>
          <w:bCs/>
          <w:i w:val="0"/>
          <w:iCs w:val="0"/>
          <w:color w:val="auto"/>
          <w:sz w:val="22"/>
          <w:szCs w:val="22"/>
        </w:rPr>
        <w:t>(202</w:t>
      </w:r>
      <w:r>
        <w:rPr>
          <w:rFonts w:ascii="Times New Roman" w:hAnsi="Times New Roman" w:cs="Times New Roman"/>
          <w:b/>
          <w:bCs/>
          <w:i w:val="0"/>
          <w:iCs w:val="0"/>
          <w:color w:val="auto"/>
          <w:sz w:val="22"/>
          <w:szCs w:val="22"/>
        </w:rPr>
        <w:t>2</w:t>
      </w:r>
      <w:r w:rsidRPr="00D21E4B">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d</w:t>
      </w:r>
      <w:r w:rsidRPr="00D21E4B">
        <w:rPr>
          <w:rFonts w:ascii="Times New Roman" w:hAnsi="Times New Roman" w:cs="Times New Roman"/>
          <w:b/>
          <w:bCs/>
          <w:i w:val="0"/>
          <w:iCs w:val="0"/>
          <w:color w:val="auto"/>
          <w:sz w:val="22"/>
          <w:szCs w:val="22"/>
        </w:rPr>
        <w:t>ollars).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20"/>
        <w:gridCol w:w="1080"/>
        <w:gridCol w:w="1170"/>
        <w:gridCol w:w="1170"/>
        <w:gridCol w:w="1792"/>
      </w:tblGrid>
      <w:tr w14:paraId="79319165" w14:textId="77777777" w:rsidTr="002D467F">
        <w:tblPrEx>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37"/>
          <w:jc w:val="center"/>
        </w:trPr>
        <w:tc>
          <w:tcPr>
            <w:tcW w:w="2520" w:type="dxa"/>
            <w:tcBorders>
              <w:bottom w:val="single" w:sz="8" w:space="0" w:color="000000"/>
            </w:tcBorders>
            <w:shd w:val="clear" w:color="auto" w:fill="DADADA"/>
            <w:vAlign w:val="center"/>
          </w:tcPr>
          <w:p w:rsidR="00D21B63" w:rsidRPr="00D21E4B" w:rsidP="00FA67C7" w14:paraId="4AE1A731" w14:textId="77777777">
            <w:pPr>
              <w:keepNext/>
              <w:spacing w:after="0" w:line="240" w:lineRule="auto"/>
              <w:ind w:left="183" w:right="171"/>
              <w:jc w:val="center"/>
              <w:rPr>
                <w:rFonts w:ascii="Times New Roman" w:hAnsi="Times New Roman" w:cs="Times New Roman"/>
                <w:b/>
                <w:sz w:val="20"/>
                <w:szCs w:val="20"/>
              </w:rPr>
            </w:pPr>
            <w:r w:rsidRPr="00D21E4B">
              <w:rPr>
                <w:rFonts w:ascii="Times New Roman" w:hAnsi="Times New Roman" w:cs="Times New Roman"/>
                <w:b/>
                <w:sz w:val="20"/>
                <w:szCs w:val="20"/>
              </w:rPr>
              <w:t>Facility Type</w:t>
            </w:r>
          </w:p>
        </w:tc>
        <w:tc>
          <w:tcPr>
            <w:tcW w:w="1080" w:type="dxa"/>
            <w:tcBorders>
              <w:bottom w:val="single" w:sz="8" w:space="0" w:color="000000"/>
            </w:tcBorders>
            <w:shd w:val="clear" w:color="auto" w:fill="DADADA"/>
            <w:vAlign w:val="center"/>
          </w:tcPr>
          <w:p w:rsidR="00D21B63" w:rsidRPr="00D21E4B" w:rsidP="00FA67C7" w14:paraId="4DD7F1BB" w14:textId="77777777">
            <w:pPr>
              <w:keepNext/>
              <w:spacing w:after="0" w:line="240" w:lineRule="auto"/>
              <w:ind w:left="93" w:right="57"/>
              <w:jc w:val="center"/>
              <w:rPr>
                <w:rFonts w:ascii="Times New Roman" w:hAnsi="Times New Roman" w:cs="Times New Roman"/>
                <w:b/>
                <w:sz w:val="20"/>
                <w:szCs w:val="20"/>
              </w:rPr>
            </w:pPr>
            <w:r w:rsidRPr="00D21E4B">
              <w:rPr>
                <w:rFonts w:ascii="Times New Roman" w:hAnsi="Times New Roman" w:cs="Times New Roman"/>
                <w:b/>
                <w:sz w:val="20"/>
                <w:szCs w:val="20"/>
              </w:rPr>
              <w:t>Annual</w:t>
            </w:r>
          </w:p>
          <w:p w:rsidR="00D21B63" w:rsidRPr="00D21E4B" w:rsidP="00FA67C7" w14:paraId="70617CE1" w14:textId="77777777">
            <w:pPr>
              <w:keepNext/>
              <w:spacing w:after="0" w:line="240" w:lineRule="auto"/>
              <w:ind w:left="88" w:right="64"/>
              <w:jc w:val="center"/>
              <w:rPr>
                <w:rFonts w:ascii="Times New Roman" w:hAnsi="Times New Roman" w:cs="Times New Roman"/>
                <w:b/>
                <w:sz w:val="20"/>
                <w:szCs w:val="20"/>
              </w:rPr>
            </w:pPr>
            <w:r w:rsidRPr="00D21E4B">
              <w:rPr>
                <w:rFonts w:ascii="Times New Roman" w:hAnsi="Times New Roman" w:cs="Times New Roman"/>
                <w:b/>
                <w:sz w:val="20"/>
                <w:szCs w:val="20"/>
              </w:rPr>
              <w:t>Frequency</w:t>
            </w:r>
          </w:p>
        </w:tc>
        <w:tc>
          <w:tcPr>
            <w:tcW w:w="1170" w:type="dxa"/>
            <w:tcBorders>
              <w:bottom w:val="single" w:sz="8" w:space="0" w:color="000000"/>
            </w:tcBorders>
            <w:shd w:val="clear" w:color="auto" w:fill="DADADA"/>
            <w:vAlign w:val="center"/>
          </w:tcPr>
          <w:p w:rsidR="00D21B63" w:rsidRPr="00D21E4B" w:rsidP="00FA67C7" w14:paraId="6700BDCB" w14:textId="77777777">
            <w:pPr>
              <w:keepNext/>
              <w:spacing w:after="0" w:line="240" w:lineRule="auto"/>
              <w:ind w:left="93"/>
              <w:jc w:val="center"/>
              <w:rPr>
                <w:rFonts w:ascii="Times New Roman" w:hAnsi="Times New Roman" w:cs="Times New Roman"/>
                <w:b/>
                <w:sz w:val="20"/>
                <w:szCs w:val="20"/>
              </w:rPr>
            </w:pPr>
            <w:r w:rsidRPr="00D21E4B">
              <w:rPr>
                <w:rFonts w:ascii="Times New Roman" w:hAnsi="Times New Roman" w:cs="Times New Roman"/>
                <w:b/>
                <w:sz w:val="20"/>
                <w:szCs w:val="20"/>
              </w:rPr>
              <w:t>Unit Cost</w:t>
            </w:r>
          </w:p>
        </w:tc>
        <w:tc>
          <w:tcPr>
            <w:tcW w:w="1170" w:type="dxa"/>
            <w:tcBorders>
              <w:bottom w:val="single" w:sz="8" w:space="0" w:color="000000"/>
            </w:tcBorders>
            <w:shd w:val="clear" w:color="auto" w:fill="DADADA"/>
            <w:vAlign w:val="center"/>
          </w:tcPr>
          <w:p w:rsidR="00D21B63" w:rsidRPr="00D21E4B" w:rsidP="00FA67C7" w14:paraId="227E10E8" w14:textId="77777777">
            <w:pPr>
              <w:keepNext/>
              <w:spacing w:after="0" w:line="240" w:lineRule="auto"/>
              <w:ind w:left="98" w:right="76"/>
              <w:jc w:val="center"/>
              <w:rPr>
                <w:rFonts w:ascii="Times New Roman" w:hAnsi="Times New Roman" w:cs="Times New Roman"/>
                <w:b/>
                <w:sz w:val="20"/>
                <w:szCs w:val="20"/>
              </w:rPr>
            </w:pPr>
            <w:r>
              <w:rPr>
                <w:rFonts w:ascii="Times New Roman" w:hAnsi="Times New Roman" w:cs="Times New Roman"/>
                <w:b/>
                <w:sz w:val="20"/>
                <w:szCs w:val="20"/>
              </w:rPr>
              <w:t>Number of Units</w:t>
            </w:r>
          </w:p>
        </w:tc>
        <w:tc>
          <w:tcPr>
            <w:tcW w:w="1792" w:type="dxa"/>
            <w:tcBorders>
              <w:bottom w:val="single" w:sz="8" w:space="0" w:color="000000"/>
            </w:tcBorders>
            <w:shd w:val="clear" w:color="auto" w:fill="DADADA"/>
            <w:vAlign w:val="center"/>
          </w:tcPr>
          <w:p w:rsidR="00D21B63" w:rsidRPr="00D21E4B" w:rsidP="00FA67C7" w14:paraId="595B46EE" w14:textId="77777777">
            <w:pPr>
              <w:keepNext/>
              <w:spacing w:after="0" w:line="240" w:lineRule="auto"/>
              <w:ind w:left="91" w:right="55"/>
              <w:jc w:val="center"/>
              <w:rPr>
                <w:rFonts w:ascii="Times New Roman" w:hAnsi="Times New Roman" w:cs="Times New Roman"/>
                <w:b/>
                <w:sz w:val="20"/>
                <w:szCs w:val="20"/>
              </w:rPr>
            </w:pPr>
            <w:r w:rsidRPr="00D21E4B">
              <w:rPr>
                <w:rFonts w:ascii="Times New Roman" w:hAnsi="Times New Roman" w:cs="Times New Roman"/>
                <w:b/>
                <w:sz w:val="20"/>
                <w:szCs w:val="20"/>
              </w:rPr>
              <w:t xml:space="preserve">Total </w:t>
            </w:r>
            <w:r>
              <w:rPr>
                <w:rFonts w:ascii="Times New Roman" w:hAnsi="Times New Roman" w:cs="Times New Roman"/>
                <w:b/>
                <w:sz w:val="20"/>
                <w:szCs w:val="20"/>
              </w:rPr>
              <w:t>Annual</w:t>
            </w:r>
          </w:p>
          <w:p w:rsidR="00D21B63" w:rsidRPr="00D21E4B" w:rsidP="00FA67C7" w14:paraId="1DBD1093" w14:textId="77777777">
            <w:pPr>
              <w:keepNext/>
              <w:spacing w:after="0" w:line="240" w:lineRule="auto"/>
              <w:ind w:left="82" w:right="55"/>
              <w:jc w:val="center"/>
              <w:rPr>
                <w:rFonts w:ascii="Times New Roman" w:hAnsi="Times New Roman" w:cs="Times New Roman"/>
                <w:b/>
                <w:sz w:val="20"/>
                <w:szCs w:val="20"/>
              </w:rPr>
            </w:pPr>
            <w:r w:rsidRPr="00D21E4B">
              <w:rPr>
                <w:rFonts w:ascii="Times New Roman" w:hAnsi="Times New Roman" w:cs="Times New Roman"/>
                <w:b/>
                <w:sz w:val="20"/>
                <w:szCs w:val="20"/>
              </w:rPr>
              <w:t>Cost</w:t>
            </w:r>
          </w:p>
        </w:tc>
      </w:tr>
      <w:tr w14:paraId="0E0FB11A" w14:textId="77777777" w:rsidTr="002D467F">
        <w:tblPrEx>
          <w:tblW w:w="0" w:type="auto"/>
          <w:jc w:val="center"/>
          <w:tblLayout w:type="fixed"/>
          <w:tblCellMar>
            <w:left w:w="0" w:type="dxa"/>
            <w:right w:w="0" w:type="dxa"/>
          </w:tblCellMar>
          <w:tblLook w:val="01E0"/>
        </w:tblPrEx>
        <w:trPr>
          <w:trHeight w:val="295"/>
          <w:jc w:val="center"/>
        </w:trPr>
        <w:tc>
          <w:tcPr>
            <w:tcW w:w="7732" w:type="dxa"/>
            <w:gridSpan w:val="5"/>
            <w:tcBorders>
              <w:top w:val="single" w:sz="8" w:space="0" w:color="000000"/>
              <w:bottom w:val="single" w:sz="8" w:space="0" w:color="000000"/>
            </w:tcBorders>
            <w:shd w:val="clear" w:color="auto" w:fill="F2F2F2"/>
            <w:vAlign w:val="center"/>
          </w:tcPr>
          <w:p w:rsidR="00D21B63" w:rsidRPr="00D21E4B" w:rsidP="00FA67C7" w14:paraId="7DA3C028" w14:textId="77777777">
            <w:pPr>
              <w:keepNext/>
              <w:spacing w:after="0" w:line="240" w:lineRule="auto"/>
              <w:ind w:left="183" w:right="83"/>
              <w:rPr>
                <w:rFonts w:ascii="Times New Roman" w:hAnsi="Times New Roman" w:cs="Times New Roman"/>
                <w:b/>
                <w:sz w:val="20"/>
                <w:szCs w:val="20"/>
              </w:rPr>
            </w:pPr>
            <w:r>
              <w:rPr>
                <w:rFonts w:ascii="Times New Roman" w:hAnsi="Times New Roman" w:cs="Times New Roman"/>
                <w:b/>
                <w:sz w:val="20"/>
                <w:szCs w:val="20"/>
              </w:rPr>
              <w:t>Initial Evaluation</w:t>
            </w:r>
          </w:p>
        </w:tc>
      </w:tr>
      <w:tr w14:paraId="05A70F67" w14:textId="77777777" w:rsidTr="002D467F">
        <w:tblPrEx>
          <w:tblW w:w="0" w:type="auto"/>
          <w:jc w:val="center"/>
          <w:tblLayout w:type="fixed"/>
          <w:tblCellMar>
            <w:left w:w="0" w:type="dxa"/>
            <w:right w:w="0" w:type="dxa"/>
          </w:tblCellMar>
          <w:tblLook w:val="01E0"/>
        </w:tblPrEx>
        <w:trPr>
          <w:trHeight w:val="282"/>
          <w:jc w:val="center"/>
        </w:trPr>
        <w:tc>
          <w:tcPr>
            <w:tcW w:w="2520" w:type="dxa"/>
            <w:tcBorders>
              <w:top w:val="single" w:sz="8" w:space="0" w:color="000000"/>
            </w:tcBorders>
            <w:vAlign w:val="center"/>
          </w:tcPr>
          <w:p w:rsidR="00342B71" w:rsidRPr="00D21E4B" w:rsidP="00342B71" w14:paraId="0B09DB96" w14:textId="77777777">
            <w:pPr>
              <w:keepNext/>
              <w:spacing w:after="0" w:line="240" w:lineRule="auto"/>
              <w:ind w:left="183"/>
              <w:rPr>
                <w:rFonts w:ascii="Times New Roman" w:hAnsi="Times New Roman" w:cs="Times New Roman"/>
                <w:sz w:val="20"/>
                <w:szCs w:val="20"/>
              </w:rPr>
            </w:pPr>
            <w:r w:rsidRPr="00D21E4B">
              <w:rPr>
                <w:rFonts w:ascii="Times New Roman" w:hAnsi="Times New Roman" w:cs="Times New Roman"/>
                <w:sz w:val="20"/>
                <w:szCs w:val="20"/>
              </w:rPr>
              <w:t>Refineries</w:t>
            </w:r>
          </w:p>
        </w:tc>
        <w:tc>
          <w:tcPr>
            <w:tcW w:w="1080" w:type="dxa"/>
            <w:tcBorders>
              <w:top w:val="single" w:sz="8" w:space="0" w:color="000000"/>
            </w:tcBorders>
            <w:vAlign w:val="center"/>
          </w:tcPr>
          <w:p w:rsidR="00342B71" w:rsidRPr="00D21E4B" w:rsidP="00342B71" w14:paraId="1439B242" w14:textId="77777777">
            <w:pPr>
              <w:keepNext/>
              <w:spacing w:after="0" w:line="240" w:lineRule="auto"/>
              <w:ind w:left="93" w:right="62"/>
              <w:jc w:val="center"/>
              <w:rPr>
                <w:rFonts w:ascii="Times New Roman" w:hAnsi="Times New Roman" w:cs="Times New Roman"/>
                <w:sz w:val="20"/>
                <w:szCs w:val="20"/>
              </w:rPr>
            </w:pPr>
            <w:r w:rsidRPr="00D21E4B">
              <w:rPr>
                <w:rFonts w:ascii="Times New Roman" w:hAnsi="Times New Roman" w:cs="Times New Roman"/>
                <w:sz w:val="20"/>
                <w:szCs w:val="20"/>
              </w:rPr>
              <w:t>0.2</w:t>
            </w:r>
          </w:p>
        </w:tc>
        <w:tc>
          <w:tcPr>
            <w:tcW w:w="1170" w:type="dxa"/>
            <w:tcBorders>
              <w:top w:val="single" w:sz="8" w:space="0" w:color="000000"/>
            </w:tcBorders>
            <w:vAlign w:val="center"/>
          </w:tcPr>
          <w:p w:rsidR="00342B71" w:rsidRPr="00D21E4B" w:rsidP="00342B71" w14:paraId="04783A43" w14:textId="3339D523">
            <w:pPr>
              <w:keepNext/>
              <w:spacing w:after="0" w:line="240" w:lineRule="auto"/>
              <w:ind w:left="93"/>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Pr>
                <w:rFonts w:ascii="Times New Roman" w:hAnsi="Times New Roman" w:cs="Times New Roman"/>
                <w:color w:val="000000"/>
                <w:sz w:val="20"/>
                <w:szCs w:val="20"/>
              </w:rPr>
              <w:t>13,167</w:t>
            </w:r>
          </w:p>
        </w:tc>
        <w:tc>
          <w:tcPr>
            <w:tcW w:w="1170" w:type="dxa"/>
            <w:tcBorders>
              <w:top w:val="single" w:sz="8" w:space="0" w:color="000000"/>
            </w:tcBorders>
            <w:vAlign w:val="center"/>
          </w:tcPr>
          <w:p w:rsidR="00342B71" w:rsidRPr="00D21E4B" w:rsidP="00342B71" w14:paraId="135FDD3B" w14:textId="5144C623">
            <w:pPr>
              <w:keepNext/>
              <w:spacing w:after="0" w:line="240" w:lineRule="auto"/>
              <w:ind w:left="98" w:right="69"/>
              <w:jc w:val="center"/>
              <w:rPr>
                <w:rFonts w:ascii="Times New Roman" w:hAnsi="Times New Roman" w:cs="Times New Roman"/>
                <w:sz w:val="20"/>
                <w:szCs w:val="20"/>
              </w:rPr>
            </w:pPr>
            <w:r>
              <w:rPr>
                <w:rFonts w:ascii="Times New Roman" w:hAnsi="Times New Roman" w:cs="Times New Roman"/>
                <w:sz w:val="20"/>
                <w:szCs w:val="20"/>
              </w:rPr>
              <w:t>1,535</w:t>
            </w:r>
          </w:p>
        </w:tc>
        <w:tc>
          <w:tcPr>
            <w:tcW w:w="1792" w:type="dxa"/>
            <w:tcBorders>
              <w:top w:val="single" w:sz="8" w:space="0" w:color="000000"/>
            </w:tcBorders>
            <w:vAlign w:val="center"/>
          </w:tcPr>
          <w:p w:rsidR="00342B71" w:rsidRPr="00D21E4B" w:rsidP="00342B71" w14:paraId="5FB6DF72" w14:textId="56720A26">
            <w:pPr>
              <w:keepNext/>
              <w:spacing w:after="0" w:line="240" w:lineRule="auto"/>
              <w:ind w:left="84" w:right="55"/>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Pr>
                <w:rFonts w:ascii="Times New Roman" w:hAnsi="Times New Roman" w:cs="Times New Roman"/>
                <w:color w:val="000000"/>
                <w:sz w:val="20"/>
                <w:szCs w:val="20"/>
              </w:rPr>
              <w:t>4,042,195</w:t>
            </w:r>
          </w:p>
        </w:tc>
      </w:tr>
      <w:tr w14:paraId="12DB1D29" w14:textId="77777777" w:rsidTr="002D467F">
        <w:tblPrEx>
          <w:tblW w:w="0" w:type="auto"/>
          <w:jc w:val="center"/>
          <w:tblLayout w:type="fixed"/>
          <w:tblCellMar>
            <w:left w:w="0" w:type="dxa"/>
            <w:right w:w="0" w:type="dxa"/>
          </w:tblCellMar>
          <w:tblLook w:val="01E0"/>
        </w:tblPrEx>
        <w:trPr>
          <w:trHeight w:val="285"/>
          <w:jc w:val="center"/>
        </w:trPr>
        <w:tc>
          <w:tcPr>
            <w:tcW w:w="2520" w:type="dxa"/>
            <w:vAlign w:val="center"/>
          </w:tcPr>
          <w:p w:rsidR="00342B71" w:rsidRPr="00D21E4B" w:rsidP="00342B71" w14:paraId="7506A6F9" w14:textId="77777777">
            <w:pPr>
              <w:spacing w:after="0" w:line="240" w:lineRule="auto"/>
              <w:ind w:left="183"/>
              <w:rPr>
                <w:rFonts w:ascii="Times New Roman" w:hAnsi="Times New Roman" w:cs="Times New Roman"/>
                <w:sz w:val="20"/>
                <w:szCs w:val="20"/>
              </w:rPr>
            </w:pPr>
            <w:r w:rsidRPr="00D21E4B">
              <w:rPr>
                <w:rFonts w:ascii="Times New Roman" w:hAnsi="Times New Roman" w:cs="Times New Roman"/>
                <w:sz w:val="20"/>
                <w:szCs w:val="20"/>
              </w:rPr>
              <w:t>Chemical Manufacturers</w:t>
            </w:r>
          </w:p>
        </w:tc>
        <w:tc>
          <w:tcPr>
            <w:tcW w:w="1080" w:type="dxa"/>
            <w:vAlign w:val="center"/>
          </w:tcPr>
          <w:p w:rsidR="00342B71" w:rsidRPr="00D21E4B" w:rsidP="00342B71" w14:paraId="1B40A661" w14:textId="77777777">
            <w:pPr>
              <w:spacing w:after="0" w:line="240" w:lineRule="auto"/>
              <w:ind w:left="93" w:right="62"/>
              <w:jc w:val="center"/>
              <w:rPr>
                <w:rFonts w:ascii="Times New Roman" w:hAnsi="Times New Roman" w:cs="Times New Roman"/>
                <w:sz w:val="20"/>
                <w:szCs w:val="20"/>
              </w:rPr>
            </w:pPr>
            <w:r w:rsidRPr="00D21E4B">
              <w:rPr>
                <w:rFonts w:ascii="Times New Roman" w:hAnsi="Times New Roman" w:cs="Times New Roman"/>
                <w:sz w:val="20"/>
                <w:szCs w:val="20"/>
              </w:rPr>
              <w:t>0.2</w:t>
            </w:r>
          </w:p>
        </w:tc>
        <w:tc>
          <w:tcPr>
            <w:tcW w:w="1170" w:type="dxa"/>
            <w:vAlign w:val="center"/>
          </w:tcPr>
          <w:p w:rsidR="00342B71" w:rsidRPr="00D21E4B" w:rsidP="00342B71" w14:paraId="1A3B9DE6" w14:textId="1CE679FD">
            <w:pPr>
              <w:spacing w:after="0" w:line="240" w:lineRule="auto"/>
              <w:ind w:left="93"/>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Pr>
                <w:rFonts w:ascii="Times New Roman" w:hAnsi="Times New Roman" w:cs="Times New Roman"/>
                <w:color w:val="000000"/>
                <w:sz w:val="20"/>
                <w:szCs w:val="20"/>
              </w:rPr>
              <w:t>2,391</w:t>
            </w:r>
          </w:p>
        </w:tc>
        <w:tc>
          <w:tcPr>
            <w:tcW w:w="1170" w:type="dxa"/>
            <w:vAlign w:val="center"/>
          </w:tcPr>
          <w:p w:rsidR="00342B71" w:rsidRPr="00D21E4B" w:rsidP="00342B71" w14:paraId="7C253F0B" w14:textId="6FFC410C">
            <w:pPr>
              <w:spacing w:after="0" w:line="240" w:lineRule="auto"/>
              <w:ind w:left="98" w:right="69"/>
              <w:jc w:val="center"/>
              <w:rPr>
                <w:rFonts w:ascii="Times New Roman" w:hAnsi="Times New Roman" w:cs="Times New Roman"/>
                <w:sz w:val="20"/>
                <w:szCs w:val="20"/>
              </w:rPr>
            </w:pPr>
            <w:r>
              <w:rPr>
                <w:rFonts w:ascii="Times New Roman" w:hAnsi="Times New Roman" w:cs="Times New Roman"/>
                <w:sz w:val="20"/>
                <w:szCs w:val="20"/>
              </w:rPr>
              <w:t>2,799</w:t>
            </w:r>
          </w:p>
        </w:tc>
        <w:tc>
          <w:tcPr>
            <w:tcW w:w="1792" w:type="dxa"/>
            <w:vAlign w:val="center"/>
          </w:tcPr>
          <w:p w:rsidR="00342B71" w:rsidRPr="00D21E4B" w:rsidP="00342B71" w14:paraId="3BF07591" w14:textId="3AFA0C36">
            <w:pPr>
              <w:spacing w:after="0" w:line="240" w:lineRule="auto"/>
              <w:ind w:left="69" w:right="55"/>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Pr>
                <w:rFonts w:ascii="Times New Roman" w:hAnsi="Times New Roman" w:cs="Times New Roman"/>
                <w:color w:val="000000"/>
                <w:sz w:val="20"/>
                <w:szCs w:val="20"/>
              </w:rPr>
              <w:t>1,338,565</w:t>
            </w:r>
          </w:p>
        </w:tc>
      </w:tr>
      <w:tr w14:paraId="5E1EABFC" w14:textId="77777777" w:rsidTr="002D467F">
        <w:tblPrEx>
          <w:tblW w:w="0" w:type="auto"/>
          <w:jc w:val="center"/>
          <w:tblLayout w:type="fixed"/>
          <w:tblCellMar>
            <w:left w:w="0" w:type="dxa"/>
            <w:right w:w="0" w:type="dxa"/>
          </w:tblCellMar>
          <w:tblLook w:val="01E0"/>
        </w:tblPrEx>
        <w:trPr>
          <w:trHeight w:val="285"/>
          <w:jc w:val="center"/>
        </w:trPr>
        <w:tc>
          <w:tcPr>
            <w:tcW w:w="2520" w:type="dxa"/>
            <w:vAlign w:val="center"/>
          </w:tcPr>
          <w:p w:rsidR="00342B71" w:rsidRPr="00D21E4B" w:rsidP="00342B71" w14:paraId="7AFA6D6E" w14:textId="77777777">
            <w:pPr>
              <w:spacing w:after="0" w:line="240" w:lineRule="auto"/>
              <w:ind w:left="183"/>
              <w:rPr>
                <w:rFonts w:ascii="Times New Roman" w:hAnsi="Times New Roman" w:cs="Times New Roman"/>
                <w:b/>
                <w:sz w:val="20"/>
                <w:szCs w:val="20"/>
              </w:rPr>
            </w:pPr>
            <w:r w:rsidRPr="00D21E4B">
              <w:rPr>
                <w:rFonts w:ascii="Times New Roman" w:hAnsi="Times New Roman" w:cs="Times New Roman"/>
                <w:b/>
                <w:sz w:val="20"/>
                <w:szCs w:val="20"/>
              </w:rPr>
              <w:t>Total</w:t>
            </w:r>
          </w:p>
        </w:tc>
        <w:tc>
          <w:tcPr>
            <w:tcW w:w="1080" w:type="dxa"/>
            <w:vAlign w:val="center"/>
          </w:tcPr>
          <w:p w:rsidR="00342B71" w:rsidRPr="00D21E4B" w:rsidP="00342B71" w14:paraId="7445165C" w14:textId="77777777">
            <w:pPr>
              <w:spacing w:after="0" w:line="240" w:lineRule="auto"/>
              <w:ind w:left="93" w:right="62"/>
              <w:jc w:val="center"/>
              <w:rPr>
                <w:rFonts w:ascii="Times New Roman" w:hAnsi="Times New Roman" w:cs="Times New Roman"/>
                <w:b/>
                <w:sz w:val="20"/>
                <w:szCs w:val="20"/>
              </w:rPr>
            </w:pPr>
          </w:p>
        </w:tc>
        <w:tc>
          <w:tcPr>
            <w:tcW w:w="1170" w:type="dxa"/>
            <w:vAlign w:val="center"/>
          </w:tcPr>
          <w:p w:rsidR="00342B71" w:rsidRPr="00D21E4B" w:rsidP="00342B71" w14:paraId="1977BBF0" w14:textId="77777777">
            <w:pPr>
              <w:spacing w:after="0" w:line="240" w:lineRule="auto"/>
              <w:ind w:left="93"/>
              <w:jc w:val="center"/>
              <w:rPr>
                <w:rFonts w:ascii="Times New Roman" w:hAnsi="Times New Roman" w:cs="Times New Roman"/>
                <w:b/>
                <w:sz w:val="20"/>
                <w:szCs w:val="20"/>
              </w:rPr>
            </w:pPr>
          </w:p>
        </w:tc>
        <w:tc>
          <w:tcPr>
            <w:tcW w:w="1170" w:type="dxa"/>
            <w:vAlign w:val="center"/>
          </w:tcPr>
          <w:p w:rsidR="00342B71" w:rsidRPr="00D21E4B" w:rsidP="00342B71" w14:paraId="2171AB0C" w14:textId="25B343DE">
            <w:pPr>
              <w:spacing w:after="0" w:line="240" w:lineRule="auto"/>
              <w:ind w:left="98" w:right="69"/>
              <w:jc w:val="center"/>
              <w:rPr>
                <w:rFonts w:ascii="Times New Roman" w:hAnsi="Times New Roman" w:cs="Times New Roman"/>
                <w:b/>
                <w:sz w:val="20"/>
                <w:szCs w:val="20"/>
              </w:rPr>
            </w:pPr>
            <w:r>
              <w:rPr>
                <w:rFonts w:ascii="Times New Roman" w:hAnsi="Times New Roman" w:cs="Times New Roman"/>
                <w:b/>
                <w:sz w:val="20"/>
                <w:szCs w:val="20"/>
              </w:rPr>
              <w:t>4,334</w:t>
            </w:r>
          </w:p>
        </w:tc>
        <w:tc>
          <w:tcPr>
            <w:tcW w:w="1792" w:type="dxa"/>
            <w:vAlign w:val="center"/>
          </w:tcPr>
          <w:p w:rsidR="00342B71" w:rsidRPr="00D21E4B" w:rsidP="00342B71" w14:paraId="20BBC26E" w14:textId="693F63BA">
            <w:pPr>
              <w:spacing w:after="0" w:line="240" w:lineRule="auto"/>
              <w:ind w:left="69" w:right="55"/>
              <w:jc w:val="center"/>
              <w:rPr>
                <w:rFonts w:ascii="Times New Roman" w:hAnsi="Times New Roman" w:cs="Times New Roman"/>
                <w:b/>
                <w:sz w:val="20"/>
                <w:szCs w:val="20"/>
              </w:rPr>
            </w:pPr>
            <w:r w:rsidRPr="00D21E4B">
              <w:rPr>
                <w:rFonts w:ascii="Times New Roman" w:hAnsi="Times New Roman" w:cs="Times New Roman"/>
                <w:b/>
                <w:color w:val="000000"/>
                <w:sz w:val="20"/>
                <w:szCs w:val="20"/>
              </w:rPr>
              <w:t>$</w:t>
            </w:r>
            <w:r>
              <w:rPr>
                <w:rFonts w:ascii="Times New Roman" w:hAnsi="Times New Roman" w:cs="Times New Roman"/>
                <w:b/>
                <w:color w:val="000000"/>
                <w:sz w:val="20"/>
                <w:szCs w:val="20"/>
              </w:rPr>
              <w:t>5,380,760</w:t>
            </w:r>
          </w:p>
        </w:tc>
      </w:tr>
      <w:tr w14:paraId="1EE95619" w14:textId="77777777" w:rsidTr="002D467F">
        <w:tblPrEx>
          <w:tblW w:w="0" w:type="auto"/>
          <w:jc w:val="center"/>
          <w:tblLayout w:type="fixed"/>
          <w:tblCellMar>
            <w:left w:w="0" w:type="dxa"/>
            <w:right w:w="0" w:type="dxa"/>
          </w:tblCellMar>
          <w:tblLook w:val="01E0"/>
        </w:tblPrEx>
        <w:trPr>
          <w:trHeight w:val="285"/>
          <w:jc w:val="center"/>
        </w:trPr>
        <w:tc>
          <w:tcPr>
            <w:tcW w:w="7732" w:type="dxa"/>
            <w:gridSpan w:val="5"/>
            <w:shd w:val="clear" w:color="auto" w:fill="F2F2F2"/>
            <w:vAlign w:val="center"/>
          </w:tcPr>
          <w:p w:rsidR="00D21B63" w:rsidRPr="00D21E4B" w:rsidP="00FA67C7" w14:paraId="59B8BAF6" w14:textId="77777777">
            <w:pPr>
              <w:spacing w:after="0" w:line="240" w:lineRule="auto"/>
              <w:ind w:left="183" w:right="83"/>
              <w:rPr>
                <w:rFonts w:ascii="Times New Roman" w:hAnsi="Times New Roman" w:cs="Times New Roman"/>
                <w:b/>
                <w:sz w:val="20"/>
                <w:szCs w:val="20"/>
              </w:rPr>
            </w:pPr>
            <w:r w:rsidRPr="00D21E4B">
              <w:rPr>
                <w:rFonts w:ascii="Times New Roman" w:hAnsi="Times New Roman" w:cs="Times New Roman"/>
                <w:b/>
                <w:sz w:val="20"/>
                <w:szCs w:val="20"/>
              </w:rPr>
              <w:t>Practicability Analysis</w:t>
            </w:r>
          </w:p>
        </w:tc>
      </w:tr>
      <w:tr w14:paraId="35DCA931" w14:textId="77777777" w:rsidTr="002D467F">
        <w:tblPrEx>
          <w:tblW w:w="0" w:type="auto"/>
          <w:jc w:val="center"/>
          <w:tblLayout w:type="fixed"/>
          <w:tblCellMar>
            <w:left w:w="0" w:type="dxa"/>
            <w:right w:w="0" w:type="dxa"/>
          </w:tblCellMar>
          <w:tblLook w:val="01E0"/>
        </w:tblPrEx>
        <w:trPr>
          <w:trHeight w:val="300"/>
          <w:jc w:val="center"/>
        </w:trPr>
        <w:tc>
          <w:tcPr>
            <w:tcW w:w="2520" w:type="dxa"/>
            <w:vAlign w:val="center"/>
          </w:tcPr>
          <w:p w:rsidR="00732C2C" w:rsidRPr="00D21E4B" w:rsidP="00732C2C" w14:paraId="7898B1AE" w14:textId="77777777">
            <w:pPr>
              <w:spacing w:after="0" w:line="240" w:lineRule="auto"/>
              <w:ind w:left="183"/>
              <w:rPr>
                <w:rFonts w:ascii="Times New Roman" w:hAnsi="Times New Roman" w:cs="Times New Roman"/>
                <w:sz w:val="20"/>
                <w:szCs w:val="20"/>
              </w:rPr>
            </w:pPr>
            <w:r w:rsidRPr="00D21E4B">
              <w:rPr>
                <w:rFonts w:ascii="Times New Roman" w:hAnsi="Times New Roman" w:cs="Times New Roman"/>
                <w:sz w:val="20"/>
                <w:szCs w:val="20"/>
              </w:rPr>
              <w:t>Refineries</w:t>
            </w:r>
          </w:p>
        </w:tc>
        <w:tc>
          <w:tcPr>
            <w:tcW w:w="1080" w:type="dxa"/>
            <w:vAlign w:val="center"/>
          </w:tcPr>
          <w:p w:rsidR="00732C2C" w:rsidRPr="00D21E4B" w:rsidP="00732C2C" w14:paraId="14E54DAF" w14:textId="77777777">
            <w:pPr>
              <w:spacing w:after="0" w:line="240" w:lineRule="auto"/>
              <w:ind w:left="93" w:right="62"/>
              <w:jc w:val="center"/>
              <w:rPr>
                <w:rFonts w:ascii="Times New Roman" w:hAnsi="Times New Roman" w:cs="Times New Roman"/>
                <w:sz w:val="20"/>
                <w:szCs w:val="20"/>
              </w:rPr>
            </w:pPr>
            <w:r w:rsidRPr="00D21E4B">
              <w:rPr>
                <w:rFonts w:ascii="Times New Roman" w:hAnsi="Times New Roman" w:cs="Times New Roman"/>
                <w:sz w:val="20"/>
                <w:szCs w:val="20"/>
              </w:rPr>
              <w:t>0.2</w:t>
            </w:r>
          </w:p>
        </w:tc>
        <w:tc>
          <w:tcPr>
            <w:tcW w:w="1170" w:type="dxa"/>
            <w:vAlign w:val="center"/>
          </w:tcPr>
          <w:p w:rsidR="00732C2C" w:rsidRPr="00D21E4B" w:rsidP="00732C2C" w14:paraId="3BE1F496" w14:textId="77777777">
            <w:pPr>
              <w:spacing w:after="0" w:line="240" w:lineRule="auto"/>
              <w:ind w:left="93"/>
              <w:jc w:val="center"/>
              <w:rPr>
                <w:rFonts w:ascii="Times New Roman" w:hAnsi="Times New Roman" w:cs="Times New Roman"/>
                <w:sz w:val="20"/>
                <w:szCs w:val="20"/>
              </w:rPr>
            </w:pPr>
            <w:r w:rsidRPr="00D21E4B">
              <w:rPr>
                <w:rFonts w:ascii="Times New Roman" w:hAnsi="Times New Roman" w:cs="Times New Roman"/>
                <w:sz w:val="20"/>
                <w:szCs w:val="20"/>
              </w:rPr>
              <w:t>$</w:t>
            </w:r>
            <w:r>
              <w:rPr>
                <w:rFonts w:ascii="Times New Roman" w:hAnsi="Times New Roman" w:cs="Times New Roman"/>
                <w:sz w:val="20"/>
                <w:szCs w:val="20"/>
              </w:rPr>
              <w:t>419,013</w:t>
            </w:r>
          </w:p>
        </w:tc>
        <w:tc>
          <w:tcPr>
            <w:tcW w:w="1170" w:type="dxa"/>
            <w:vAlign w:val="center"/>
          </w:tcPr>
          <w:p w:rsidR="00732C2C" w:rsidRPr="00D21E4B" w:rsidP="00732C2C" w14:paraId="6670F94E" w14:textId="77777777">
            <w:pPr>
              <w:spacing w:after="0" w:line="240" w:lineRule="auto"/>
              <w:ind w:left="98" w:right="69"/>
              <w:jc w:val="center"/>
              <w:rPr>
                <w:rFonts w:ascii="Times New Roman" w:hAnsi="Times New Roman" w:cs="Times New Roman"/>
                <w:sz w:val="20"/>
                <w:szCs w:val="20"/>
              </w:rPr>
            </w:pPr>
            <w:r>
              <w:rPr>
                <w:rFonts w:ascii="Times New Roman" w:hAnsi="Times New Roman" w:cs="Times New Roman"/>
                <w:sz w:val="20"/>
                <w:szCs w:val="20"/>
              </w:rPr>
              <w:t>89</w:t>
            </w:r>
          </w:p>
        </w:tc>
        <w:tc>
          <w:tcPr>
            <w:tcW w:w="1792" w:type="dxa"/>
            <w:vAlign w:val="center"/>
          </w:tcPr>
          <w:p w:rsidR="00732C2C" w:rsidRPr="00D21E4B" w:rsidP="00732C2C" w14:paraId="171904DF" w14:textId="4B5DA13B">
            <w:pPr>
              <w:spacing w:after="0" w:line="240" w:lineRule="auto"/>
              <w:ind w:left="84" w:right="55"/>
              <w:jc w:val="center"/>
              <w:rPr>
                <w:rFonts w:ascii="Times New Roman" w:hAnsi="Times New Roman" w:cs="Times New Roman"/>
                <w:sz w:val="20"/>
                <w:szCs w:val="20"/>
              </w:rPr>
            </w:pPr>
            <w:r w:rsidRPr="00D21E4B">
              <w:rPr>
                <w:rFonts w:ascii="Times New Roman" w:hAnsi="Times New Roman" w:cs="Times New Roman"/>
                <w:sz w:val="20"/>
                <w:szCs w:val="20"/>
              </w:rPr>
              <w:t>$</w:t>
            </w:r>
            <w:r>
              <w:rPr>
                <w:rFonts w:ascii="Times New Roman" w:hAnsi="Times New Roman" w:cs="Times New Roman"/>
                <w:sz w:val="20"/>
                <w:szCs w:val="20"/>
              </w:rPr>
              <w:t>7,458,427</w:t>
            </w:r>
          </w:p>
        </w:tc>
      </w:tr>
      <w:tr w14:paraId="09E35555" w14:textId="77777777" w:rsidTr="002D467F">
        <w:tblPrEx>
          <w:tblW w:w="0" w:type="auto"/>
          <w:jc w:val="center"/>
          <w:tblLayout w:type="fixed"/>
          <w:tblCellMar>
            <w:left w:w="0" w:type="dxa"/>
            <w:right w:w="0" w:type="dxa"/>
          </w:tblCellMar>
          <w:tblLook w:val="01E0"/>
        </w:tblPrEx>
        <w:trPr>
          <w:trHeight w:val="300"/>
          <w:jc w:val="center"/>
        </w:trPr>
        <w:tc>
          <w:tcPr>
            <w:tcW w:w="2520" w:type="dxa"/>
            <w:vAlign w:val="center"/>
          </w:tcPr>
          <w:p w:rsidR="00732C2C" w:rsidRPr="00D21E4B" w:rsidP="00732C2C" w14:paraId="6D538FE5" w14:textId="77777777">
            <w:pPr>
              <w:spacing w:after="0" w:line="240" w:lineRule="auto"/>
              <w:ind w:left="183"/>
              <w:rPr>
                <w:rFonts w:ascii="Times New Roman" w:hAnsi="Times New Roman" w:cs="Times New Roman"/>
                <w:sz w:val="20"/>
                <w:szCs w:val="20"/>
              </w:rPr>
            </w:pPr>
            <w:r w:rsidRPr="008D09DD">
              <w:rPr>
                <w:rFonts w:ascii="Times New Roman" w:hAnsi="Times New Roman" w:cs="Times New Roman"/>
                <w:i/>
                <w:iCs/>
                <w:sz w:val="20"/>
                <w:szCs w:val="20"/>
              </w:rPr>
              <w:t xml:space="preserve">     HF</w:t>
            </w:r>
          </w:p>
        </w:tc>
        <w:tc>
          <w:tcPr>
            <w:tcW w:w="1080" w:type="dxa"/>
            <w:vAlign w:val="center"/>
          </w:tcPr>
          <w:p w:rsidR="00732C2C" w:rsidRPr="00D21E4B" w:rsidP="00732C2C" w14:paraId="39C42EE4" w14:textId="77777777">
            <w:pPr>
              <w:spacing w:after="0" w:line="240" w:lineRule="auto"/>
              <w:ind w:left="93" w:right="62"/>
              <w:jc w:val="center"/>
              <w:rPr>
                <w:rFonts w:ascii="Times New Roman" w:hAnsi="Times New Roman" w:cs="Times New Roman"/>
                <w:sz w:val="20"/>
                <w:szCs w:val="20"/>
              </w:rPr>
            </w:pPr>
            <w:r w:rsidRPr="008D09DD">
              <w:rPr>
                <w:rFonts w:ascii="Times New Roman" w:hAnsi="Times New Roman" w:cs="Times New Roman"/>
                <w:i/>
                <w:iCs/>
                <w:sz w:val="20"/>
                <w:szCs w:val="20"/>
              </w:rPr>
              <w:t>0.2</w:t>
            </w:r>
          </w:p>
        </w:tc>
        <w:tc>
          <w:tcPr>
            <w:tcW w:w="1170" w:type="dxa"/>
            <w:vAlign w:val="center"/>
          </w:tcPr>
          <w:p w:rsidR="00732C2C" w:rsidRPr="00D21E4B" w:rsidP="00732C2C" w14:paraId="3647AD7B" w14:textId="77777777">
            <w:pPr>
              <w:spacing w:after="0" w:line="240" w:lineRule="auto"/>
              <w:ind w:left="93"/>
              <w:jc w:val="center"/>
              <w:rPr>
                <w:rFonts w:ascii="Times New Roman" w:hAnsi="Times New Roman" w:cs="Times New Roman"/>
                <w:sz w:val="20"/>
                <w:szCs w:val="20"/>
              </w:rPr>
            </w:pPr>
            <w:r w:rsidRPr="008D09DD">
              <w:rPr>
                <w:rFonts w:ascii="Times New Roman" w:hAnsi="Times New Roman" w:cs="Times New Roman"/>
                <w:i/>
                <w:iCs/>
                <w:sz w:val="20"/>
                <w:szCs w:val="20"/>
              </w:rPr>
              <w:t>$</w:t>
            </w:r>
            <w:r>
              <w:rPr>
                <w:rFonts w:ascii="Times New Roman" w:hAnsi="Times New Roman" w:cs="Times New Roman"/>
                <w:i/>
                <w:iCs/>
                <w:sz w:val="20"/>
                <w:szCs w:val="20"/>
              </w:rPr>
              <w:t>790,321</w:t>
            </w:r>
          </w:p>
        </w:tc>
        <w:tc>
          <w:tcPr>
            <w:tcW w:w="1170" w:type="dxa"/>
            <w:vAlign w:val="center"/>
          </w:tcPr>
          <w:p w:rsidR="00732C2C" w:rsidP="00732C2C" w14:paraId="76D71A8D" w14:textId="77777777">
            <w:pPr>
              <w:spacing w:after="0" w:line="240" w:lineRule="auto"/>
              <w:ind w:left="98" w:right="69"/>
              <w:jc w:val="center"/>
              <w:rPr>
                <w:rFonts w:ascii="Times New Roman" w:hAnsi="Times New Roman" w:cs="Times New Roman"/>
                <w:sz w:val="20"/>
                <w:szCs w:val="20"/>
              </w:rPr>
            </w:pPr>
            <w:r w:rsidRPr="008D09DD">
              <w:rPr>
                <w:rFonts w:ascii="Times New Roman" w:hAnsi="Times New Roman" w:cs="Times New Roman"/>
                <w:i/>
                <w:iCs/>
                <w:sz w:val="20"/>
                <w:szCs w:val="20"/>
              </w:rPr>
              <w:t>42</w:t>
            </w:r>
          </w:p>
        </w:tc>
        <w:tc>
          <w:tcPr>
            <w:tcW w:w="1792" w:type="dxa"/>
            <w:vAlign w:val="center"/>
          </w:tcPr>
          <w:p w:rsidR="00732C2C" w:rsidRPr="00D21E4B" w:rsidP="00732C2C" w14:paraId="35228F61" w14:textId="14D00E6A">
            <w:pPr>
              <w:spacing w:after="0" w:line="240" w:lineRule="auto"/>
              <w:ind w:left="84" w:right="55"/>
              <w:jc w:val="center"/>
              <w:rPr>
                <w:rFonts w:ascii="Times New Roman" w:hAnsi="Times New Roman" w:cs="Times New Roman"/>
                <w:sz w:val="20"/>
                <w:szCs w:val="20"/>
              </w:rPr>
            </w:pPr>
            <w:r w:rsidRPr="008D09DD">
              <w:rPr>
                <w:rFonts w:ascii="Times New Roman" w:hAnsi="Times New Roman" w:cs="Times New Roman"/>
                <w:i/>
                <w:iCs/>
                <w:sz w:val="20"/>
                <w:szCs w:val="20"/>
              </w:rPr>
              <w:t>$</w:t>
            </w:r>
            <w:r>
              <w:rPr>
                <w:rFonts w:ascii="Times New Roman" w:hAnsi="Times New Roman" w:cs="Times New Roman"/>
                <w:i/>
                <w:iCs/>
                <w:sz w:val="20"/>
                <w:szCs w:val="20"/>
              </w:rPr>
              <w:t>6,638,699</w:t>
            </w:r>
          </w:p>
        </w:tc>
      </w:tr>
      <w:tr w14:paraId="35D77EDC" w14:textId="77777777" w:rsidTr="002D467F">
        <w:tblPrEx>
          <w:tblW w:w="0" w:type="auto"/>
          <w:jc w:val="center"/>
          <w:tblLayout w:type="fixed"/>
          <w:tblCellMar>
            <w:left w:w="0" w:type="dxa"/>
            <w:right w:w="0" w:type="dxa"/>
          </w:tblCellMar>
          <w:tblLook w:val="01E0"/>
        </w:tblPrEx>
        <w:trPr>
          <w:trHeight w:val="300"/>
          <w:jc w:val="center"/>
        </w:trPr>
        <w:tc>
          <w:tcPr>
            <w:tcW w:w="2520" w:type="dxa"/>
            <w:vAlign w:val="center"/>
          </w:tcPr>
          <w:p w:rsidR="00732C2C" w:rsidRPr="00D21E4B" w:rsidP="00732C2C" w14:paraId="714D503A" w14:textId="77777777">
            <w:pPr>
              <w:spacing w:after="0" w:line="240" w:lineRule="auto"/>
              <w:ind w:left="183"/>
              <w:rPr>
                <w:rFonts w:ascii="Times New Roman" w:hAnsi="Times New Roman" w:cs="Times New Roman"/>
                <w:sz w:val="20"/>
                <w:szCs w:val="20"/>
              </w:rPr>
            </w:pPr>
            <w:r w:rsidRPr="008D09DD">
              <w:rPr>
                <w:rFonts w:ascii="Times New Roman" w:hAnsi="Times New Roman" w:cs="Times New Roman"/>
                <w:i/>
                <w:iCs/>
                <w:sz w:val="20"/>
                <w:szCs w:val="20"/>
              </w:rPr>
              <w:t xml:space="preserve">     Non-HF</w:t>
            </w:r>
          </w:p>
        </w:tc>
        <w:tc>
          <w:tcPr>
            <w:tcW w:w="1080" w:type="dxa"/>
            <w:vAlign w:val="center"/>
          </w:tcPr>
          <w:p w:rsidR="00732C2C" w:rsidRPr="00D21E4B" w:rsidP="00732C2C" w14:paraId="3E0BC3AC" w14:textId="77777777">
            <w:pPr>
              <w:spacing w:after="0" w:line="240" w:lineRule="auto"/>
              <w:ind w:left="93" w:right="62"/>
              <w:jc w:val="center"/>
              <w:rPr>
                <w:rFonts w:ascii="Times New Roman" w:hAnsi="Times New Roman" w:cs="Times New Roman"/>
                <w:sz w:val="20"/>
                <w:szCs w:val="20"/>
              </w:rPr>
            </w:pPr>
            <w:r w:rsidRPr="008D09DD">
              <w:rPr>
                <w:rFonts w:ascii="Times New Roman" w:hAnsi="Times New Roman" w:cs="Times New Roman"/>
                <w:i/>
                <w:iCs/>
                <w:sz w:val="20"/>
                <w:szCs w:val="20"/>
              </w:rPr>
              <w:t>0.2</w:t>
            </w:r>
          </w:p>
        </w:tc>
        <w:tc>
          <w:tcPr>
            <w:tcW w:w="1170" w:type="dxa"/>
            <w:vAlign w:val="center"/>
          </w:tcPr>
          <w:p w:rsidR="00732C2C" w:rsidRPr="00D21E4B" w:rsidP="00732C2C" w14:paraId="645E6809" w14:textId="77777777">
            <w:pPr>
              <w:spacing w:after="0" w:line="240" w:lineRule="auto"/>
              <w:ind w:left="93"/>
              <w:jc w:val="center"/>
              <w:rPr>
                <w:rFonts w:ascii="Times New Roman" w:hAnsi="Times New Roman" w:cs="Times New Roman"/>
                <w:sz w:val="20"/>
                <w:szCs w:val="20"/>
              </w:rPr>
            </w:pPr>
            <w:r w:rsidRPr="008D09DD">
              <w:rPr>
                <w:rFonts w:ascii="Times New Roman" w:hAnsi="Times New Roman" w:cs="Times New Roman"/>
                <w:i/>
                <w:iCs/>
                <w:sz w:val="20"/>
                <w:szCs w:val="20"/>
              </w:rPr>
              <w:t>$</w:t>
            </w:r>
            <w:r>
              <w:rPr>
                <w:rFonts w:ascii="Times New Roman" w:hAnsi="Times New Roman" w:cs="Times New Roman"/>
                <w:i/>
                <w:iCs/>
                <w:sz w:val="20"/>
                <w:szCs w:val="20"/>
              </w:rPr>
              <w:t>87,205</w:t>
            </w:r>
          </w:p>
        </w:tc>
        <w:tc>
          <w:tcPr>
            <w:tcW w:w="1170" w:type="dxa"/>
            <w:vAlign w:val="center"/>
          </w:tcPr>
          <w:p w:rsidR="00732C2C" w:rsidP="00732C2C" w14:paraId="14CA1736" w14:textId="77777777">
            <w:pPr>
              <w:spacing w:after="0" w:line="240" w:lineRule="auto"/>
              <w:ind w:left="98" w:right="69"/>
              <w:jc w:val="center"/>
              <w:rPr>
                <w:rFonts w:ascii="Times New Roman" w:hAnsi="Times New Roman" w:cs="Times New Roman"/>
                <w:sz w:val="20"/>
                <w:szCs w:val="20"/>
              </w:rPr>
            </w:pPr>
            <w:r w:rsidRPr="008D09DD">
              <w:rPr>
                <w:rFonts w:ascii="Times New Roman" w:hAnsi="Times New Roman" w:cs="Times New Roman"/>
                <w:i/>
                <w:iCs/>
                <w:sz w:val="20"/>
                <w:szCs w:val="20"/>
              </w:rPr>
              <w:t>47</w:t>
            </w:r>
          </w:p>
        </w:tc>
        <w:tc>
          <w:tcPr>
            <w:tcW w:w="1792" w:type="dxa"/>
            <w:vAlign w:val="center"/>
          </w:tcPr>
          <w:p w:rsidR="00732C2C" w:rsidRPr="00D21E4B" w:rsidP="00732C2C" w14:paraId="27E92259" w14:textId="3FE1CCBC">
            <w:pPr>
              <w:spacing w:after="0" w:line="240" w:lineRule="auto"/>
              <w:ind w:left="84" w:right="55"/>
              <w:jc w:val="center"/>
              <w:rPr>
                <w:rFonts w:ascii="Times New Roman" w:hAnsi="Times New Roman" w:cs="Times New Roman"/>
                <w:sz w:val="20"/>
                <w:szCs w:val="20"/>
              </w:rPr>
            </w:pPr>
            <w:r w:rsidRPr="008D09DD">
              <w:rPr>
                <w:rFonts w:ascii="Times New Roman" w:hAnsi="Times New Roman" w:cs="Times New Roman"/>
                <w:i/>
                <w:iCs/>
                <w:sz w:val="20"/>
                <w:szCs w:val="20"/>
              </w:rPr>
              <w:t>$</w:t>
            </w:r>
            <w:r>
              <w:rPr>
                <w:rFonts w:ascii="Times New Roman" w:hAnsi="Times New Roman" w:cs="Times New Roman"/>
                <w:i/>
                <w:iCs/>
                <w:sz w:val="20"/>
                <w:szCs w:val="20"/>
              </w:rPr>
              <w:t>819,729</w:t>
            </w:r>
          </w:p>
        </w:tc>
      </w:tr>
      <w:tr w14:paraId="4DC1EF38" w14:textId="77777777" w:rsidTr="002D467F">
        <w:tblPrEx>
          <w:tblW w:w="0" w:type="auto"/>
          <w:jc w:val="center"/>
          <w:tblLayout w:type="fixed"/>
          <w:tblCellMar>
            <w:left w:w="0" w:type="dxa"/>
            <w:right w:w="0" w:type="dxa"/>
          </w:tblCellMar>
          <w:tblLook w:val="01E0"/>
        </w:tblPrEx>
        <w:trPr>
          <w:trHeight w:val="282"/>
          <w:jc w:val="center"/>
        </w:trPr>
        <w:tc>
          <w:tcPr>
            <w:tcW w:w="2520" w:type="dxa"/>
            <w:tcBorders>
              <w:bottom w:val="single" w:sz="8" w:space="0" w:color="000000"/>
            </w:tcBorders>
            <w:vAlign w:val="center"/>
          </w:tcPr>
          <w:p w:rsidR="00732C2C" w:rsidRPr="00D21E4B" w:rsidP="00732C2C" w14:paraId="272A7F30" w14:textId="77777777">
            <w:pPr>
              <w:spacing w:after="0" w:line="240" w:lineRule="auto"/>
              <w:ind w:left="183"/>
              <w:rPr>
                <w:rFonts w:ascii="Times New Roman" w:hAnsi="Times New Roman" w:cs="Times New Roman"/>
                <w:sz w:val="20"/>
                <w:szCs w:val="20"/>
              </w:rPr>
            </w:pPr>
            <w:r w:rsidRPr="00D21E4B">
              <w:rPr>
                <w:rFonts w:ascii="Times New Roman" w:hAnsi="Times New Roman" w:cs="Times New Roman"/>
                <w:sz w:val="20"/>
                <w:szCs w:val="20"/>
              </w:rPr>
              <w:t>Chemical Manufacturers</w:t>
            </w:r>
          </w:p>
        </w:tc>
        <w:tc>
          <w:tcPr>
            <w:tcW w:w="1080" w:type="dxa"/>
            <w:tcBorders>
              <w:bottom w:val="single" w:sz="8" w:space="0" w:color="000000"/>
            </w:tcBorders>
            <w:vAlign w:val="center"/>
          </w:tcPr>
          <w:p w:rsidR="00732C2C" w:rsidRPr="00D21E4B" w:rsidP="00732C2C" w14:paraId="245E0FEF" w14:textId="77777777">
            <w:pPr>
              <w:spacing w:after="0" w:line="240" w:lineRule="auto"/>
              <w:ind w:left="93" w:right="62"/>
              <w:jc w:val="center"/>
              <w:rPr>
                <w:rFonts w:ascii="Times New Roman" w:hAnsi="Times New Roman" w:cs="Times New Roman"/>
                <w:sz w:val="20"/>
                <w:szCs w:val="20"/>
              </w:rPr>
            </w:pPr>
            <w:r w:rsidRPr="00D21E4B">
              <w:rPr>
                <w:rFonts w:ascii="Times New Roman" w:hAnsi="Times New Roman" w:cs="Times New Roman"/>
                <w:sz w:val="20"/>
                <w:szCs w:val="20"/>
              </w:rPr>
              <w:t>0.2</w:t>
            </w:r>
          </w:p>
        </w:tc>
        <w:tc>
          <w:tcPr>
            <w:tcW w:w="1170" w:type="dxa"/>
            <w:tcBorders>
              <w:bottom w:val="single" w:sz="8" w:space="0" w:color="000000"/>
            </w:tcBorders>
            <w:vAlign w:val="center"/>
          </w:tcPr>
          <w:p w:rsidR="00732C2C" w:rsidRPr="00D21E4B" w:rsidP="00732C2C" w14:paraId="4795FFD7" w14:textId="77777777">
            <w:pPr>
              <w:spacing w:after="0" w:line="240" w:lineRule="auto"/>
              <w:ind w:left="93"/>
              <w:jc w:val="center"/>
              <w:rPr>
                <w:rFonts w:ascii="Times New Roman" w:hAnsi="Times New Roman" w:cs="Times New Roman"/>
                <w:sz w:val="20"/>
                <w:szCs w:val="20"/>
              </w:rPr>
            </w:pPr>
            <w:r w:rsidRPr="00D21E4B">
              <w:rPr>
                <w:rFonts w:ascii="Times New Roman" w:hAnsi="Times New Roman" w:cs="Times New Roman"/>
                <w:sz w:val="20"/>
                <w:szCs w:val="20"/>
              </w:rPr>
              <w:t>$</w:t>
            </w:r>
            <w:r>
              <w:rPr>
                <w:rFonts w:ascii="Times New Roman" w:hAnsi="Times New Roman" w:cs="Times New Roman"/>
                <w:sz w:val="20"/>
                <w:szCs w:val="20"/>
              </w:rPr>
              <w:t>7,336</w:t>
            </w:r>
          </w:p>
        </w:tc>
        <w:tc>
          <w:tcPr>
            <w:tcW w:w="1170" w:type="dxa"/>
            <w:tcBorders>
              <w:bottom w:val="single" w:sz="8" w:space="0" w:color="000000"/>
            </w:tcBorders>
            <w:vAlign w:val="center"/>
          </w:tcPr>
          <w:p w:rsidR="00732C2C" w:rsidRPr="00D21E4B" w:rsidP="00732C2C" w14:paraId="6084C7E6" w14:textId="77777777">
            <w:pPr>
              <w:spacing w:after="0" w:line="240" w:lineRule="auto"/>
              <w:ind w:left="98" w:right="69"/>
              <w:jc w:val="center"/>
              <w:rPr>
                <w:rFonts w:ascii="Times New Roman" w:hAnsi="Times New Roman" w:cs="Times New Roman"/>
                <w:sz w:val="20"/>
                <w:szCs w:val="20"/>
              </w:rPr>
            </w:pPr>
            <w:r>
              <w:rPr>
                <w:rFonts w:ascii="Times New Roman" w:hAnsi="Times New Roman" w:cs="Times New Roman"/>
                <w:sz w:val="20"/>
                <w:szCs w:val="20"/>
              </w:rPr>
              <w:t>509</w:t>
            </w:r>
          </w:p>
        </w:tc>
        <w:tc>
          <w:tcPr>
            <w:tcW w:w="1792" w:type="dxa"/>
            <w:tcBorders>
              <w:bottom w:val="single" w:sz="8" w:space="0" w:color="000000"/>
            </w:tcBorders>
            <w:vAlign w:val="center"/>
          </w:tcPr>
          <w:p w:rsidR="00732C2C" w:rsidRPr="00D21E4B" w:rsidP="00732C2C" w14:paraId="60F5B8DD" w14:textId="54780CEE">
            <w:pPr>
              <w:spacing w:after="0" w:line="240" w:lineRule="auto"/>
              <w:ind w:left="84" w:right="55"/>
              <w:jc w:val="center"/>
              <w:rPr>
                <w:rFonts w:ascii="Times New Roman" w:hAnsi="Times New Roman" w:cs="Times New Roman"/>
                <w:sz w:val="20"/>
                <w:szCs w:val="20"/>
              </w:rPr>
            </w:pPr>
            <w:r w:rsidRPr="00D21E4B">
              <w:rPr>
                <w:rFonts w:ascii="Times New Roman" w:hAnsi="Times New Roman" w:cs="Times New Roman"/>
                <w:sz w:val="20"/>
                <w:szCs w:val="20"/>
              </w:rPr>
              <w:t>$</w:t>
            </w:r>
            <w:r>
              <w:rPr>
                <w:rFonts w:ascii="Times New Roman" w:hAnsi="Times New Roman" w:cs="Times New Roman"/>
                <w:sz w:val="20"/>
                <w:szCs w:val="20"/>
              </w:rPr>
              <w:t>746,823</w:t>
            </w:r>
          </w:p>
        </w:tc>
      </w:tr>
      <w:tr w14:paraId="641DDB78" w14:textId="77777777" w:rsidTr="002D467F">
        <w:tblPrEx>
          <w:tblW w:w="0" w:type="auto"/>
          <w:jc w:val="center"/>
          <w:tblLayout w:type="fixed"/>
          <w:tblCellMar>
            <w:left w:w="0" w:type="dxa"/>
            <w:right w:w="0" w:type="dxa"/>
          </w:tblCellMar>
          <w:tblLook w:val="01E0"/>
        </w:tblPrEx>
        <w:trPr>
          <w:trHeight w:val="282"/>
          <w:jc w:val="center"/>
        </w:trPr>
        <w:tc>
          <w:tcPr>
            <w:tcW w:w="2520" w:type="dxa"/>
            <w:tcBorders>
              <w:bottom w:val="single" w:sz="8" w:space="0" w:color="000000"/>
            </w:tcBorders>
            <w:vAlign w:val="center"/>
          </w:tcPr>
          <w:p w:rsidR="00BF4F8A" w:rsidRPr="00D21E4B" w:rsidP="00BF4F8A" w14:paraId="240317A1" w14:textId="77777777">
            <w:pPr>
              <w:spacing w:after="0" w:line="240" w:lineRule="auto"/>
              <w:ind w:left="183"/>
              <w:rPr>
                <w:rFonts w:ascii="Times New Roman" w:hAnsi="Times New Roman" w:cs="Times New Roman"/>
                <w:b/>
                <w:sz w:val="20"/>
                <w:szCs w:val="20"/>
              </w:rPr>
            </w:pPr>
            <w:r w:rsidRPr="00D21E4B">
              <w:rPr>
                <w:rFonts w:ascii="Times New Roman" w:hAnsi="Times New Roman" w:cs="Times New Roman"/>
                <w:b/>
                <w:sz w:val="20"/>
                <w:szCs w:val="20"/>
              </w:rPr>
              <w:t>Total</w:t>
            </w:r>
          </w:p>
        </w:tc>
        <w:tc>
          <w:tcPr>
            <w:tcW w:w="1080" w:type="dxa"/>
            <w:tcBorders>
              <w:bottom w:val="single" w:sz="8" w:space="0" w:color="000000"/>
            </w:tcBorders>
            <w:vAlign w:val="center"/>
          </w:tcPr>
          <w:p w:rsidR="00BF4F8A" w:rsidRPr="00D21E4B" w:rsidP="00BF4F8A" w14:paraId="25AE3EA0" w14:textId="77777777">
            <w:pPr>
              <w:spacing w:after="0" w:line="240" w:lineRule="auto"/>
              <w:ind w:left="93" w:right="62"/>
              <w:jc w:val="center"/>
              <w:rPr>
                <w:rFonts w:ascii="Times New Roman" w:hAnsi="Times New Roman" w:cs="Times New Roman"/>
                <w:b/>
                <w:sz w:val="20"/>
                <w:szCs w:val="20"/>
              </w:rPr>
            </w:pPr>
          </w:p>
        </w:tc>
        <w:tc>
          <w:tcPr>
            <w:tcW w:w="1170" w:type="dxa"/>
            <w:tcBorders>
              <w:bottom w:val="single" w:sz="8" w:space="0" w:color="000000"/>
            </w:tcBorders>
            <w:vAlign w:val="center"/>
          </w:tcPr>
          <w:p w:rsidR="00BF4F8A" w:rsidRPr="00D21E4B" w:rsidP="00BF4F8A" w14:paraId="28A55060" w14:textId="77777777">
            <w:pPr>
              <w:spacing w:after="0" w:line="240" w:lineRule="auto"/>
              <w:ind w:left="292"/>
              <w:jc w:val="center"/>
              <w:rPr>
                <w:rFonts w:ascii="Times New Roman" w:hAnsi="Times New Roman" w:cs="Times New Roman"/>
                <w:b/>
                <w:sz w:val="20"/>
                <w:szCs w:val="20"/>
              </w:rPr>
            </w:pPr>
          </w:p>
        </w:tc>
        <w:tc>
          <w:tcPr>
            <w:tcW w:w="1170" w:type="dxa"/>
            <w:tcBorders>
              <w:bottom w:val="single" w:sz="8" w:space="0" w:color="000000"/>
            </w:tcBorders>
            <w:vAlign w:val="center"/>
          </w:tcPr>
          <w:p w:rsidR="00BF4F8A" w:rsidRPr="00D21E4B" w:rsidP="00BF4F8A" w14:paraId="69093AF4" w14:textId="77777777">
            <w:pPr>
              <w:spacing w:after="0" w:line="240" w:lineRule="auto"/>
              <w:ind w:left="98" w:right="69"/>
              <w:jc w:val="center"/>
              <w:rPr>
                <w:rFonts w:ascii="Times New Roman" w:hAnsi="Times New Roman" w:cs="Times New Roman"/>
                <w:b/>
                <w:sz w:val="20"/>
                <w:szCs w:val="20"/>
              </w:rPr>
            </w:pPr>
            <w:r w:rsidRPr="00D21E4B">
              <w:rPr>
                <w:rFonts w:ascii="Times New Roman" w:hAnsi="Times New Roman" w:cs="Times New Roman"/>
                <w:b/>
                <w:sz w:val="20"/>
                <w:szCs w:val="20"/>
              </w:rPr>
              <w:t>5</w:t>
            </w:r>
            <w:r>
              <w:rPr>
                <w:rFonts w:ascii="Times New Roman" w:hAnsi="Times New Roman" w:cs="Times New Roman"/>
                <w:b/>
                <w:sz w:val="20"/>
                <w:szCs w:val="20"/>
              </w:rPr>
              <w:t>98</w:t>
            </w:r>
          </w:p>
        </w:tc>
        <w:tc>
          <w:tcPr>
            <w:tcW w:w="1792" w:type="dxa"/>
            <w:tcBorders>
              <w:bottom w:val="single" w:sz="8" w:space="0" w:color="000000"/>
            </w:tcBorders>
            <w:vAlign w:val="center"/>
          </w:tcPr>
          <w:p w:rsidR="00BF4F8A" w:rsidRPr="00D21E4B" w:rsidP="00BF4F8A" w14:paraId="222798CE" w14:textId="77777777">
            <w:pPr>
              <w:spacing w:after="0" w:line="240" w:lineRule="auto"/>
              <w:ind w:left="84" w:right="55"/>
              <w:jc w:val="center"/>
              <w:rPr>
                <w:rFonts w:ascii="Times New Roman" w:hAnsi="Times New Roman" w:cs="Times New Roman"/>
                <w:b/>
                <w:sz w:val="20"/>
                <w:szCs w:val="20"/>
              </w:rPr>
            </w:pPr>
            <w:r w:rsidRPr="00D21E4B">
              <w:rPr>
                <w:rFonts w:ascii="Times New Roman" w:hAnsi="Times New Roman" w:cs="Times New Roman"/>
                <w:b/>
                <w:sz w:val="20"/>
                <w:szCs w:val="20"/>
              </w:rPr>
              <w:t>$</w:t>
            </w:r>
            <w:r w:rsidR="0001042A">
              <w:rPr>
                <w:rFonts w:ascii="Times New Roman" w:hAnsi="Times New Roman" w:cs="Times New Roman"/>
                <w:b/>
                <w:sz w:val="20"/>
                <w:szCs w:val="20"/>
              </w:rPr>
              <w:t>8,205,250</w:t>
            </w:r>
          </w:p>
        </w:tc>
      </w:tr>
      <w:tr w14:paraId="1C3CAD6E" w14:textId="77777777" w:rsidTr="002D467F">
        <w:tblPrEx>
          <w:tblW w:w="0" w:type="auto"/>
          <w:jc w:val="center"/>
          <w:tblLayout w:type="fixed"/>
          <w:tblCellMar>
            <w:left w:w="0" w:type="dxa"/>
            <w:right w:w="0" w:type="dxa"/>
          </w:tblCellMar>
          <w:tblLook w:val="01E0"/>
        </w:tblPrEx>
        <w:trPr>
          <w:trHeight w:val="282"/>
          <w:jc w:val="center"/>
        </w:trPr>
        <w:tc>
          <w:tcPr>
            <w:tcW w:w="2520" w:type="dxa"/>
            <w:tcBorders>
              <w:top w:val="single" w:sz="8" w:space="0" w:color="000000"/>
            </w:tcBorders>
            <w:vAlign w:val="center"/>
          </w:tcPr>
          <w:p w:rsidR="00D21B63" w:rsidRPr="00D21E4B" w:rsidP="00FA67C7" w14:paraId="6879731E" w14:textId="77777777">
            <w:pPr>
              <w:keepNext/>
              <w:spacing w:after="0" w:line="240" w:lineRule="auto"/>
              <w:ind w:left="183" w:right="82"/>
              <w:rPr>
                <w:rFonts w:ascii="Times New Roman" w:hAnsi="Times New Roman" w:cs="Times New Roman"/>
                <w:b/>
                <w:sz w:val="20"/>
                <w:szCs w:val="20"/>
              </w:rPr>
            </w:pPr>
            <w:r w:rsidRPr="00D21E4B">
              <w:rPr>
                <w:rFonts w:ascii="Times New Roman" w:hAnsi="Times New Roman" w:cs="Times New Roman"/>
                <w:b/>
                <w:sz w:val="20"/>
                <w:szCs w:val="20"/>
              </w:rPr>
              <w:t>Grand Total</w:t>
            </w:r>
          </w:p>
        </w:tc>
        <w:tc>
          <w:tcPr>
            <w:tcW w:w="1080" w:type="dxa"/>
            <w:tcBorders>
              <w:top w:val="single" w:sz="8" w:space="0" w:color="000000"/>
            </w:tcBorders>
            <w:vAlign w:val="center"/>
          </w:tcPr>
          <w:p w:rsidR="00D21B63" w:rsidRPr="00D21E4B" w:rsidP="00FA67C7" w14:paraId="16422EA7" w14:textId="77777777">
            <w:pPr>
              <w:keepNext/>
              <w:spacing w:after="0" w:line="240" w:lineRule="auto"/>
              <w:jc w:val="center"/>
              <w:rPr>
                <w:rFonts w:ascii="Times New Roman" w:hAnsi="Times New Roman" w:cs="Times New Roman"/>
                <w:sz w:val="20"/>
                <w:szCs w:val="20"/>
              </w:rPr>
            </w:pPr>
          </w:p>
        </w:tc>
        <w:tc>
          <w:tcPr>
            <w:tcW w:w="1170" w:type="dxa"/>
            <w:tcBorders>
              <w:top w:val="single" w:sz="8" w:space="0" w:color="000000"/>
            </w:tcBorders>
            <w:vAlign w:val="center"/>
          </w:tcPr>
          <w:p w:rsidR="00D21B63" w:rsidRPr="00D21E4B" w:rsidP="00FA67C7" w14:paraId="04046D9A" w14:textId="77777777">
            <w:pPr>
              <w:keepNext/>
              <w:spacing w:after="0" w:line="240" w:lineRule="auto"/>
              <w:jc w:val="center"/>
              <w:rPr>
                <w:rFonts w:ascii="Times New Roman" w:hAnsi="Times New Roman" w:cs="Times New Roman"/>
                <w:sz w:val="20"/>
                <w:szCs w:val="20"/>
              </w:rPr>
            </w:pPr>
          </w:p>
        </w:tc>
        <w:tc>
          <w:tcPr>
            <w:tcW w:w="1170" w:type="dxa"/>
            <w:tcBorders>
              <w:top w:val="single" w:sz="8" w:space="0" w:color="000000"/>
            </w:tcBorders>
            <w:vAlign w:val="center"/>
          </w:tcPr>
          <w:p w:rsidR="00D21B63" w:rsidRPr="00D21E4B" w:rsidP="00FA67C7" w14:paraId="38ED5183" w14:textId="77777777">
            <w:pPr>
              <w:keepNext/>
              <w:spacing w:after="0" w:line="240" w:lineRule="auto"/>
              <w:ind w:left="90" w:right="76"/>
              <w:jc w:val="center"/>
              <w:rPr>
                <w:rFonts w:ascii="Times New Roman" w:hAnsi="Times New Roman" w:cs="Times New Roman"/>
                <w:b/>
                <w:sz w:val="20"/>
                <w:szCs w:val="20"/>
              </w:rPr>
            </w:pPr>
          </w:p>
        </w:tc>
        <w:tc>
          <w:tcPr>
            <w:tcW w:w="1792" w:type="dxa"/>
            <w:tcBorders>
              <w:top w:val="single" w:sz="8" w:space="0" w:color="000000"/>
            </w:tcBorders>
            <w:vAlign w:val="center"/>
          </w:tcPr>
          <w:p w:rsidR="00D21B63" w:rsidRPr="00D21E4B" w:rsidP="00FA67C7" w14:paraId="035CDAA5" w14:textId="1C94EEFD">
            <w:pPr>
              <w:keepNext/>
              <w:spacing w:after="0" w:line="240" w:lineRule="auto"/>
              <w:ind w:left="77" w:right="55"/>
              <w:jc w:val="center"/>
              <w:rPr>
                <w:rFonts w:ascii="Times New Roman" w:hAnsi="Times New Roman" w:cs="Times New Roman"/>
                <w:b/>
                <w:sz w:val="20"/>
                <w:szCs w:val="20"/>
              </w:rPr>
            </w:pPr>
            <w:r w:rsidRPr="00D21E4B">
              <w:rPr>
                <w:rFonts w:ascii="Times New Roman" w:hAnsi="Times New Roman" w:cs="Times New Roman"/>
                <w:b/>
                <w:sz w:val="20"/>
                <w:szCs w:val="20"/>
              </w:rPr>
              <w:t>$</w:t>
            </w:r>
            <w:r>
              <w:rPr>
                <w:rFonts w:ascii="Times New Roman" w:hAnsi="Times New Roman" w:cs="Times New Roman"/>
                <w:b/>
                <w:sz w:val="20"/>
                <w:szCs w:val="20"/>
              </w:rPr>
              <w:t>13,586,011</w:t>
            </w:r>
          </w:p>
        </w:tc>
      </w:tr>
    </w:tbl>
    <w:p w:rsidR="00D21B63" w:rsidRPr="00D21E4B" w:rsidP="00D21B63" w14:paraId="5ED6255C" w14:textId="77777777">
      <w:pPr>
        <w:keepNext/>
        <w:spacing w:after="0" w:line="240" w:lineRule="auto"/>
        <w:ind w:left="640"/>
        <w:rPr>
          <w:rFonts w:ascii="Times New Roman" w:hAnsi="Times New Roman" w:cs="Times New Roman"/>
          <w:sz w:val="18"/>
          <w:szCs w:val="18"/>
        </w:rPr>
      </w:pPr>
      <w:bookmarkStart w:id="257" w:name="_Hlk138255679"/>
      <w:r w:rsidRPr="00D21E4B">
        <w:rPr>
          <w:rFonts w:ascii="Times New Roman" w:hAnsi="Times New Roman" w:cs="Times New Roman"/>
          <w:w w:val="105"/>
          <w:position w:val="6"/>
          <w:sz w:val="18"/>
          <w:szCs w:val="18"/>
        </w:rPr>
        <w:t>*</w:t>
      </w:r>
      <w:r w:rsidRPr="00D21E4B">
        <w:rPr>
          <w:rFonts w:ascii="Times New Roman" w:hAnsi="Times New Roman" w:cs="Times New Roman"/>
          <w:w w:val="105"/>
          <w:sz w:val="18"/>
          <w:szCs w:val="18"/>
        </w:rPr>
        <w:t>Totals may not sum due to rounding</w:t>
      </w:r>
      <w:r>
        <w:rPr>
          <w:rFonts w:ascii="Times New Roman" w:hAnsi="Times New Roman" w:cs="Times New Roman"/>
          <w:w w:val="105"/>
          <w:sz w:val="18"/>
          <w:szCs w:val="18"/>
        </w:rPr>
        <w:t>.</w:t>
      </w:r>
    </w:p>
    <w:bookmarkEnd w:id="257"/>
    <w:p w:rsidR="0095340B" w:rsidP="0095340B" w14:paraId="58641070" w14:textId="77777777">
      <w:pPr>
        <w:spacing w:after="0" w:line="240" w:lineRule="auto"/>
        <w:rPr>
          <w:rFonts w:ascii="Times New Roman" w:hAnsi="Times New Roman" w:cs="Times New Roman"/>
          <w:bCs/>
          <w:i/>
          <w:iCs/>
        </w:rPr>
      </w:pPr>
    </w:p>
    <w:p w:rsidR="0095340B" w:rsidRPr="00720AAA" w:rsidP="00720AAA" w14:paraId="11D7869C" w14:textId="77777777">
      <w:pPr>
        <w:pStyle w:val="Heading3"/>
        <w:rPr>
          <w:rFonts w:ascii="Times New Roman" w:hAnsi="Times New Roman" w:cs="Times New Roman"/>
          <w:sz w:val="22"/>
          <w:szCs w:val="22"/>
        </w:rPr>
      </w:pPr>
      <w:bookmarkStart w:id="258" w:name="_Toc141732950"/>
      <w:bookmarkStart w:id="259" w:name="_Toc141733161"/>
      <w:bookmarkStart w:id="260" w:name="_Toc142404065"/>
      <w:bookmarkStart w:id="261" w:name="_Toc144213873"/>
      <w:bookmarkStart w:id="262" w:name="_Toc144283618"/>
      <w:bookmarkStart w:id="263" w:name="_Toc144303556"/>
      <w:r w:rsidRPr="00720AAA">
        <w:rPr>
          <w:rFonts w:ascii="Times New Roman" w:hAnsi="Times New Roman" w:cs="Times New Roman"/>
          <w:sz w:val="22"/>
          <w:szCs w:val="22"/>
        </w:rPr>
        <w:t xml:space="preserve">5.3.2 </w:t>
      </w:r>
      <w:r w:rsidRPr="00720AAA" w:rsidR="009363C0">
        <w:rPr>
          <w:rFonts w:ascii="Times New Roman" w:hAnsi="Times New Roman" w:cs="Times New Roman"/>
          <w:sz w:val="22"/>
          <w:szCs w:val="22"/>
        </w:rPr>
        <w:t>STAA</w:t>
      </w:r>
      <w:r w:rsidRPr="00720AAA">
        <w:rPr>
          <w:rFonts w:ascii="Times New Roman" w:hAnsi="Times New Roman" w:cs="Times New Roman"/>
          <w:sz w:val="22"/>
          <w:szCs w:val="22"/>
        </w:rPr>
        <w:t xml:space="preserve"> Implementation</w:t>
      </w:r>
      <w:r w:rsidRPr="00720AAA" w:rsidR="00766B67">
        <w:rPr>
          <w:rFonts w:ascii="Times New Roman" w:hAnsi="Times New Roman" w:cs="Times New Roman"/>
          <w:sz w:val="22"/>
          <w:szCs w:val="22"/>
        </w:rPr>
        <w:t xml:space="preserve"> of </w:t>
      </w:r>
      <w:r w:rsidRPr="00720AAA" w:rsidR="00037425">
        <w:rPr>
          <w:rFonts w:ascii="Times New Roman" w:hAnsi="Times New Roman" w:cs="Times New Roman"/>
          <w:sz w:val="22"/>
          <w:szCs w:val="22"/>
        </w:rPr>
        <w:t xml:space="preserve">Practicable </w:t>
      </w:r>
      <w:r w:rsidRPr="00720AAA" w:rsidR="00766B67">
        <w:rPr>
          <w:rFonts w:ascii="Times New Roman" w:hAnsi="Times New Roman" w:cs="Times New Roman"/>
          <w:sz w:val="22"/>
          <w:szCs w:val="22"/>
        </w:rPr>
        <w:t>Measures</w:t>
      </w:r>
      <w:bookmarkEnd w:id="258"/>
      <w:bookmarkEnd w:id="259"/>
      <w:bookmarkEnd w:id="260"/>
      <w:bookmarkEnd w:id="261"/>
      <w:bookmarkEnd w:id="262"/>
      <w:bookmarkEnd w:id="263"/>
    </w:p>
    <w:p w:rsidR="0095340B" w:rsidRPr="00BF4D0A" w:rsidP="0095340B" w14:paraId="1453D40F" w14:textId="77777777">
      <w:pPr>
        <w:spacing w:after="0" w:line="240" w:lineRule="auto"/>
        <w:ind w:firstLine="360"/>
        <w:rPr>
          <w:rFonts w:ascii="Times New Roman" w:hAnsi="Times New Roman" w:cs="Times New Roman"/>
        </w:rPr>
      </w:pPr>
      <w:r>
        <w:rPr>
          <w:rFonts w:ascii="Times New Roman" w:hAnsi="Times New Roman" w:cs="Times New Roman"/>
        </w:rPr>
        <w:tab/>
      </w:r>
      <w:r w:rsidR="00905DD6">
        <w:rPr>
          <w:rFonts w:ascii="Times New Roman" w:hAnsi="Times New Roman" w:cs="Times New Roman"/>
        </w:rPr>
        <w:t>Under the final rule</w:t>
      </w:r>
      <w:r w:rsidR="00BB0B9A">
        <w:rPr>
          <w:rFonts w:ascii="Times New Roman" w:hAnsi="Times New Roman" w:cs="Times New Roman"/>
        </w:rPr>
        <w:t xml:space="preserve">’s STAA </w:t>
      </w:r>
      <w:r w:rsidR="00DB7E54">
        <w:rPr>
          <w:rFonts w:ascii="Times New Roman" w:hAnsi="Times New Roman" w:cs="Times New Roman"/>
        </w:rPr>
        <w:t>provisions</w:t>
      </w:r>
      <w:r w:rsidR="00905DD6">
        <w:rPr>
          <w:rFonts w:ascii="Times New Roman" w:hAnsi="Times New Roman" w:cs="Times New Roman"/>
        </w:rPr>
        <w:t>, f</w:t>
      </w:r>
      <w:r w:rsidR="00FE532B">
        <w:rPr>
          <w:rFonts w:ascii="Times New Roman" w:hAnsi="Times New Roman" w:cs="Times New Roman"/>
        </w:rPr>
        <w:t xml:space="preserve">acilities required to conduct a STAA </w:t>
      </w:r>
      <w:r w:rsidR="00E25B3A">
        <w:rPr>
          <w:rFonts w:ascii="Times New Roman" w:hAnsi="Times New Roman" w:cs="Times New Roman"/>
        </w:rPr>
        <w:t>practicability assessment</w:t>
      </w:r>
      <w:r w:rsidR="00FE532B">
        <w:rPr>
          <w:rFonts w:ascii="Times New Roman" w:hAnsi="Times New Roman" w:cs="Times New Roman"/>
        </w:rPr>
        <w:t xml:space="preserve"> </w:t>
      </w:r>
      <w:r w:rsidR="00905DD6">
        <w:rPr>
          <w:rFonts w:ascii="Times New Roman" w:hAnsi="Times New Roman" w:cs="Times New Roman"/>
        </w:rPr>
        <w:t>(</w:t>
      </w:r>
      <w:r w:rsidR="00A4731D">
        <w:rPr>
          <w:rFonts w:ascii="Times New Roman" w:hAnsi="Times New Roman" w:cs="Times New Roman"/>
        </w:rPr>
        <w:t>i.e</w:t>
      </w:r>
      <w:r w:rsidR="000960D1">
        <w:rPr>
          <w:rFonts w:ascii="Times New Roman" w:hAnsi="Times New Roman" w:cs="Times New Roman"/>
        </w:rPr>
        <w:t xml:space="preserve">., </w:t>
      </w:r>
      <w:r w:rsidR="004A30F1">
        <w:rPr>
          <w:rFonts w:ascii="Times New Roman" w:hAnsi="Times New Roman" w:cs="Times New Roman"/>
        </w:rPr>
        <w:t>Program 3 NAICS 324 or 325 facilities with</w:t>
      </w:r>
      <w:r>
        <w:rPr>
          <w:rFonts w:ascii="Times New Roman" w:hAnsi="Times New Roman" w:cs="Times New Roman"/>
        </w:rPr>
        <w:t xml:space="preserve"> an accident</w:t>
      </w:r>
      <w:r w:rsidR="00091C2D">
        <w:rPr>
          <w:rFonts w:ascii="Times New Roman" w:hAnsi="Times New Roman" w:cs="Times New Roman"/>
        </w:rPr>
        <w:t xml:space="preserve"> since their most recent PHA</w:t>
      </w:r>
      <w:r>
        <w:rPr>
          <w:rFonts w:ascii="Times New Roman" w:hAnsi="Times New Roman" w:cs="Times New Roman"/>
        </w:rPr>
        <w:t xml:space="preserve">, </w:t>
      </w:r>
      <w:r w:rsidR="004A30F1">
        <w:rPr>
          <w:rFonts w:ascii="Times New Roman" w:hAnsi="Times New Roman" w:cs="Times New Roman"/>
        </w:rPr>
        <w:t>with</w:t>
      </w:r>
      <w:r>
        <w:rPr>
          <w:rFonts w:ascii="Times New Roman" w:hAnsi="Times New Roman" w:cs="Times New Roman"/>
        </w:rPr>
        <w:t xml:space="preserve"> an HF unit</w:t>
      </w:r>
      <w:r w:rsidR="004A30F1">
        <w:rPr>
          <w:rFonts w:ascii="Times New Roman" w:hAnsi="Times New Roman" w:cs="Times New Roman"/>
        </w:rPr>
        <w:t xml:space="preserve"> in a NAICS 324 process</w:t>
      </w:r>
      <w:r>
        <w:rPr>
          <w:rFonts w:ascii="Times New Roman" w:hAnsi="Times New Roman" w:cs="Times New Roman"/>
        </w:rPr>
        <w:t xml:space="preserve">, or within one mile of another </w:t>
      </w:r>
      <w:r w:rsidR="00945A9C">
        <w:rPr>
          <w:rFonts w:ascii="Times New Roman" w:hAnsi="Times New Roman" w:cs="Times New Roman"/>
        </w:rPr>
        <w:t xml:space="preserve">NAICS 324 or 325 </w:t>
      </w:r>
      <w:r>
        <w:rPr>
          <w:rFonts w:ascii="Times New Roman" w:hAnsi="Times New Roman" w:cs="Times New Roman"/>
        </w:rPr>
        <w:t>facility</w:t>
      </w:r>
      <w:r w:rsidR="00945A9C">
        <w:rPr>
          <w:rFonts w:ascii="Times New Roman" w:hAnsi="Times New Roman" w:cs="Times New Roman"/>
        </w:rPr>
        <w:t>)</w:t>
      </w:r>
      <w:r w:rsidR="00DF3D3C">
        <w:rPr>
          <w:rFonts w:ascii="Times New Roman" w:hAnsi="Times New Roman" w:cs="Times New Roman"/>
        </w:rPr>
        <w:t xml:space="preserve"> </w:t>
      </w:r>
      <w:r w:rsidR="009449B7">
        <w:rPr>
          <w:rFonts w:ascii="Times New Roman" w:hAnsi="Times New Roman" w:cs="Times New Roman"/>
        </w:rPr>
        <w:t>will</w:t>
      </w:r>
      <w:r>
        <w:rPr>
          <w:rFonts w:ascii="Times New Roman" w:hAnsi="Times New Roman" w:cs="Times New Roman"/>
        </w:rPr>
        <w:t xml:space="preserve"> also</w:t>
      </w:r>
      <w:r w:rsidR="000A5A6A">
        <w:rPr>
          <w:rFonts w:ascii="Times New Roman" w:hAnsi="Times New Roman" w:cs="Times New Roman"/>
        </w:rPr>
        <w:t xml:space="preserve"> be required</w:t>
      </w:r>
      <w:r>
        <w:rPr>
          <w:rFonts w:ascii="Times New Roman" w:hAnsi="Times New Roman" w:cs="Times New Roman"/>
        </w:rPr>
        <w:t xml:space="preserve"> to </w:t>
      </w:r>
      <w:r w:rsidR="00DF3D3C">
        <w:rPr>
          <w:rFonts w:ascii="Times New Roman" w:hAnsi="Times New Roman" w:cs="Times New Roman"/>
        </w:rPr>
        <w:t xml:space="preserve">implement </w:t>
      </w:r>
      <w:r w:rsidR="00091C2D">
        <w:rPr>
          <w:rFonts w:ascii="Times New Roman" w:hAnsi="Times New Roman" w:cs="Times New Roman"/>
        </w:rPr>
        <w:t>at least</w:t>
      </w:r>
      <w:r w:rsidR="00DF3D3C">
        <w:rPr>
          <w:rFonts w:ascii="Times New Roman" w:hAnsi="Times New Roman" w:cs="Times New Roman"/>
        </w:rPr>
        <w:t xml:space="preserve"> </w:t>
      </w:r>
      <w:r w:rsidR="006F103A">
        <w:rPr>
          <w:rFonts w:ascii="Times New Roman" w:hAnsi="Times New Roman" w:cs="Times New Roman"/>
        </w:rPr>
        <w:t>one or more</w:t>
      </w:r>
      <w:r w:rsidR="00DF3D3C">
        <w:rPr>
          <w:rFonts w:ascii="Times New Roman" w:hAnsi="Times New Roman" w:cs="Times New Roman"/>
        </w:rPr>
        <w:t xml:space="preserve"> practicable measure</w:t>
      </w:r>
      <w:r w:rsidRPr="00BF4D0A">
        <w:rPr>
          <w:rFonts w:ascii="Times New Roman" w:hAnsi="Times New Roman" w:cs="Times New Roman"/>
        </w:rPr>
        <w:t xml:space="preserve"> every five years as part of the PHA. </w:t>
      </w:r>
      <w:r w:rsidR="00D13CBE">
        <w:rPr>
          <w:rFonts w:ascii="Times New Roman" w:hAnsi="Times New Roman" w:cs="Times New Roman"/>
        </w:rPr>
        <w:t>The implemented measure(s) may be IST</w:t>
      </w:r>
      <w:r w:rsidR="00B632FD">
        <w:rPr>
          <w:rFonts w:ascii="Times New Roman" w:hAnsi="Times New Roman" w:cs="Times New Roman"/>
        </w:rPr>
        <w:t>/ISD</w:t>
      </w:r>
      <w:r w:rsidR="00D13CBE">
        <w:rPr>
          <w:rFonts w:ascii="Times New Roman" w:hAnsi="Times New Roman" w:cs="Times New Roman"/>
        </w:rPr>
        <w:t xml:space="preserve">, passive, active, </w:t>
      </w:r>
      <w:r w:rsidR="00783CAB">
        <w:rPr>
          <w:rFonts w:ascii="Times New Roman" w:hAnsi="Times New Roman" w:cs="Times New Roman"/>
        </w:rPr>
        <w:t>and/</w:t>
      </w:r>
      <w:r w:rsidR="00D13CBE">
        <w:rPr>
          <w:rFonts w:ascii="Times New Roman" w:hAnsi="Times New Roman" w:cs="Times New Roman"/>
        </w:rPr>
        <w:t>or procedural</w:t>
      </w:r>
      <w:r w:rsidR="00711044">
        <w:rPr>
          <w:rFonts w:ascii="Times New Roman" w:hAnsi="Times New Roman" w:cs="Times New Roman"/>
        </w:rPr>
        <w:t>,</w:t>
      </w:r>
      <w:r w:rsidR="00D13CBE">
        <w:rPr>
          <w:rFonts w:ascii="Times New Roman" w:hAnsi="Times New Roman" w:cs="Times New Roman"/>
        </w:rPr>
        <w:t xml:space="preserve"> </w:t>
      </w:r>
      <w:r w:rsidR="007041AF">
        <w:rPr>
          <w:rFonts w:ascii="Times New Roman" w:hAnsi="Times New Roman" w:cs="Times New Roman"/>
        </w:rPr>
        <w:t xml:space="preserve">but must </w:t>
      </w:r>
      <w:r w:rsidR="00091C2D">
        <w:rPr>
          <w:rFonts w:ascii="Times New Roman" w:hAnsi="Times New Roman" w:cs="Times New Roman"/>
        </w:rPr>
        <w:t>reduce risk</w:t>
      </w:r>
      <w:r w:rsidR="007041AF">
        <w:rPr>
          <w:rFonts w:ascii="Times New Roman" w:hAnsi="Times New Roman" w:cs="Times New Roman"/>
        </w:rPr>
        <w:t xml:space="preserve"> at least as much as </w:t>
      </w:r>
      <w:r w:rsidR="00737A13">
        <w:rPr>
          <w:rFonts w:ascii="Times New Roman" w:hAnsi="Times New Roman" w:cs="Times New Roman"/>
        </w:rPr>
        <w:t xml:space="preserve">would </w:t>
      </w:r>
      <w:r w:rsidR="007041AF">
        <w:rPr>
          <w:rFonts w:ascii="Times New Roman" w:hAnsi="Times New Roman" w:cs="Times New Roman"/>
        </w:rPr>
        <w:t>a</w:t>
      </w:r>
      <w:r w:rsidR="009D7BEE">
        <w:rPr>
          <w:rFonts w:ascii="Times New Roman" w:hAnsi="Times New Roman" w:cs="Times New Roman"/>
        </w:rPr>
        <w:t>n identified practicable</w:t>
      </w:r>
      <w:r w:rsidR="007041AF">
        <w:rPr>
          <w:rFonts w:ascii="Times New Roman" w:hAnsi="Times New Roman" w:cs="Times New Roman"/>
        </w:rPr>
        <w:t xml:space="preserve"> </w:t>
      </w:r>
      <w:r w:rsidR="009D7BEE">
        <w:rPr>
          <w:rFonts w:ascii="Times New Roman" w:hAnsi="Times New Roman" w:cs="Times New Roman"/>
        </w:rPr>
        <w:t>passive measure</w:t>
      </w:r>
      <w:r w:rsidR="002F1717">
        <w:rPr>
          <w:rFonts w:ascii="Times New Roman" w:hAnsi="Times New Roman" w:cs="Times New Roman"/>
        </w:rPr>
        <w:t xml:space="preserve"> </w:t>
      </w:r>
      <w:r w:rsidR="00133ADB">
        <w:rPr>
          <w:rFonts w:ascii="Times New Roman" w:hAnsi="Times New Roman" w:cs="Times New Roman"/>
        </w:rPr>
        <w:t xml:space="preserve">(or active if no practicable </w:t>
      </w:r>
      <w:r w:rsidR="00021D0D">
        <w:rPr>
          <w:rFonts w:ascii="Times New Roman" w:hAnsi="Times New Roman" w:cs="Times New Roman"/>
        </w:rPr>
        <w:t xml:space="preserve">passive </w:t>
      </w:r>
      <w:r w:rsidR="00133ADB">
        <w:rPr>
          <w:rFonts w:ascii="Times New Roman" w:hAnsi="Times New Roman" w:cs="Times New Roman"/>
        </w:rPr>
        <w:t>measure</w:t>
      </w:r>
      <w:r w:rsidR="009A6704">
        <w:rPr>
          <w:rFonts w:ascii="Times New Roman" w:hAnsi="Times New Roman" w:cs="Times New Roman"/>
        </w:rPr>
        <w:t xml:space="preserve"> is</w:t>
      </w:r>
      <w:r w:rsidR="00133ADB">
        <w:rPr>
          <w:rFonts w:ascii="Times New Roman" w:hAnsi="Times New Roman" w:cs="Times New Roman"/>
        </w:rPr>
        <w:t xml:space="preserve"> identified</w:t>
      </w:r>
      <w:r w:rsidR="00CD0AF7">
        <w:rPr>
          <w:rFonts w:ascii="Times New Roman" w:hAnsi="Times New Roman" w:cs="Times New Roman"/>
        </w:rPr>
        <w:t>,</w:t>
      </w:r>
      <w:r w:rsidR="00133ADB">
        <w:rPr>
          <w:rFonts w:ascii="Times New Roman" w:hAnsi="Times New Roman" w:cs="Times New Roman"/>
        </w:rPr>
        <w:t xml:space="preserve"> or procedural</w:t>
      </w:r>
      <w:r w:rsidR="00021D0D">
        <w:rPr>
          <w:rFonts w:ascii="Times New Roman" w:hAnsi="Times New Roman" w:cs="Times New Roman"/>
        </w:rPr>
        <w:t xml:space="preserve"> if </w:t>
      </w:r>
      <w:r w:rsidR="00CB6912">
        <w:rPr>
          <w:rFonts w:ascii="Times New Roman" w:hAnsi="Times New Roman" w:cs="Times New Roman"/>
        </w:rPr>
        <w:t xml:space="preserve">no practicable </w:t>
      </w:r>
      <w:r w:rsidR="009A6704">
        <w:rPr>
          <w:rFonts w:ascii="Times New Roman" w:hAnsi="Times New Roman" w:cs="Times New Roman"/>
        </w:rPr>
        <w:t xml:space="preserve">passive or </w:t>
      </w:r>
      <w:r w:rsidR="00CB6912">
        <w:rPr>
          <w:rFonts w:ascii="Times New Roman" w:hAnsi="Times New Roman" w:cs="Times New Roman"/>
        </w:rPr>
        <w:t>active</w:t>
      </w:r>
      <w:r w:rsidR="00C47A10">
        <w:rPr>
          <w:rFonts w:ascii="Times New Roman" w:hAnsi="Times New Roman" w:cs="Times New Roman"/>
        </w:rPr>
        <w:t xml:space="preserve"> measure</w:t>
      </w:r>
      <w:r w:rsidR="00CB6912">
        <w:rPr>
          <w:rFonts w:ascii="Times New Roman" w:hAnsi="Times New Roman" w:cs="Times New Roman"/>
        </w:rPr>
        <w:t xml:space="preserve"> </w:t>
      </w:r>
      <w:r w:rsidR="009A6704">
        <w:rPr>
          <w:rFonts w:ascii="Times New Roman" w:hAnsi="Times New Roman" w:cs="Times New Roman"/>
        </w:rPr>
        <w:t xml:space="preserve">is </w:t>
      </w:r>
      <w:r w:rsidR="00091C2D">
        <w:rPr>
          <w:rFonts w:ascii="Times New Roman" w:hAnsi="Times New Roman" w:cs="Times New Roman"/>
        </w:rPr>
        <w:t>identified</w:t>
      </w:r>
      <w:r w:rsidR="00DC0012">
        <w:rPr>
          <w:rFonts w:ascii="Times New Roman" w:hAnsi="Times New Roman" w:cs="Times New Roman"/>
        </w:rPr>
        <w:t>).</w:t>
      </w:r>
      <w:r w:rsidR="00CB6912">
        <w:rPr>
          <w:rFonts w:ascii="Times New Roman" w:hAnsi="Times New Roman" w:cs="Times New Roman"/>
        </w:rPr>
        <w:t xml:space="preserve"> </w:t>
      </w:r>
      <w:r w:rsidRPr="00BF4D0A">
        <w:rPr>
          <w:rFonts w:ascii="Times New Roman" w:hAnsi="Times New Roman" w:cs="Times New Roman"/>
        </w:rPr>
        <w:t xml:space="preserve">EPA believes </w:t>
      </w:r>
      <w:r w:rsidR="000960D1">
        <w:rPr>
          <w:rFonts w:ascii="Times New Roman" w:hAnsi="Times New Roman" w:cs="Times New Roman"/>
        </w:rPr>
        <w:t xml:space="preserve">facilities in </w:t>
      </w:r>
      <w:r w:rsidR="00DC0012">
        <w:rPr>
          <w:rFonts w:ascii="Times New Roman" w:hAnsi="Times New Roman" w:cs="Times New Roman"/>
        </w:rPr>
        <w:t>Contra Costa County</w:t>
      </w:r>
      <w:r w:rsidR="000960D1">
        <w:rPr>
          <w:rFonts w:ascii="Times New Roman" w:hAnsi="Times New Roman" w:cs="Times New Roman"/>
        </w:rPr>
        <w:t>, which has</w:t>
      </w:r>
      <w:r w:rsidRPr="00BF4D0A">
        <w:rPr>
          <w:rFonts w:ascii="Times New Roman" w:hAnsi="Times New Roman" w:cs="Times New Roman"/>
        </w:rPr>
        <w:t xml:space="preserve"> existing requirements </w:t>
      </w:r>
      <w:r w:rsidR="00FB0561">
        <w:rPr>
          <w:rFonts w:ascii="Times New Roman" w:hAnsi="Times New Roman" w:cs="Times New Roman"/>
        </w:rPr>
        <w:t xml:space="preserve">for facilities to implement </w:t>
      </w:r>
      <w:r w:rsidR="00037425">
        <w:rPr>
          <w:rFonts w:ascii="Times New Roman" w:hAnsi="Times New Roman" w:cs="Times New Roman"/>
        </w:rPr>
        <w:t>IST</w:t>
      </w:r>
      <w:r w:rsidR="00B632FD">
        <w:rPr>
          <w:rFonts w:ascii="Times New Roman" w:hAnsi="Times New Roman" w:cs="Times New Roman"/>
        </w:rPr>
        <w:t>/ISD</w:t>
      </w:r>
      <w:r w:rsidR="000960D1">
        <w:rPr>
          <w:rFonts w:ascii="Times New Roman" w:hAnsi="Times New Roman" w:cs="Times New Roman"/>
        </w:rPr>
        <w:t>,</w:t>
      </w:r>
      <w:r w:rsidRPr="00BF4D0A">
        <w:rPr>
          <w:rFonts w:ascii="Times New Roman" w:hAnsi="Times New Roman" w:cs="Times New Roman"/>
        </w:rPr>
        <w:t xml:space="preserve"> are likely already conducting activities that </w:t>
      </w:r>
      <w:r w:rsidR="009449B7">
        <w:rPr>
          <w:rFonts w:ascii="Times New Roman" w:hAnsi="Times New Roman" w:cs="Times New Roman"/>
        </w:rPr>
        <w:t>will</w:t>
      </w:r>
      <w:r w:rsidRPr="00BF4D0A">
        <w:rPr>
          <w:rFonts w:ascii="Times New Roman" w:hAnsi="Times New Roman" w:cs="Times New Roman"/>
        </w:rPr>
        <w:t xml:space="preserve"> satisfy EPA’s requirement. EPA estimates th</w:t>
      </w:r>
      <w:r w:rsidR="00FE0CE0">
        <w:rPr>
          <w:rFonts w:ascii="Times New Roman" w:hAnsi="Times New Roman" w:cs="Times New Roman"/>
        </w:rPr>
        <w:t>e</w:t>
      </w:r>
      <w:r w:rsidRPr="00BF4D0A">
        <w:rPr>
          <w:rFonts w:ascii="Times New Roman" w:hAnsi="Times New Roman" w:cs="Times New Roman"/>
        </w:rPr>
        <w:t xml:space="preserve"> cost as </w:t>
      </w:r>
      <w:r w:rsidR="00FE0CE0">
        <w:rPr>
          <w:rFonts w:ascii="Times New Roman" w:hAnsi="Times New Roman" w:cs="Times New Roman"/>
        </w:rPr>
        <w:t xml:space="preserve">increasing </w:t>
      </w:r>
      <w:r w:rsidR="00B05616">
        <w:rPr>
          <w:rFonts w:ascii="Times New Roman" w:hAnsi="Times New Roman" w:cs="Times New Roman"/>
        </w:rPr>
        <w:t xml:space="preserve">each year </w:t>
      </w:r>
      <w:r w:rsidRPr="00BF4D0A">
        <w:rPr>
          <w:rFonts w:ascii="Times New Roman" w:hAnsi="Times New Roman" w:cs="Times New Roman"/>
        </w:rPr>
        <w:t>in the period of analysis</w:t>
      </w:r>
      <w:r>
        <w:rPr>
          <w:rFonts w:ascii="Times New Roman" w:hAnsi="Times New Roman" w:cs="Times New Roman"/>
        </w:rPr>
        <w:t xml:space="preserve"> </w:t>
      </w:r>
      <w:r w:rsidR="008370FD">
        <w:rPr>
          <w:rFonts w:ascii="Times New Roman" w:hAnsi="Times New Roman" w:cs="Times New Roman"/>
        </w:rPr>
        <w:t xml:space="preserve">due to accumulating recurring </w:t>
      </w:r>
      <w:r w:rsidR="00F27B4E">
        <w:rPr>
          <w:rFonts w:ascii="Times New Roman" w:hAnsi="Times New Roman" w:cs="Times New Roman"/>
        </w:rPr>
        <w:t xml:space="preserve">O&amp;M </w:t>
      </w:r>
      <w:r w:rsidR="008370FD">
        <w:rPr>
          <w:rFonts w:ascii="Times New Roman" w:hAnsi="Times New Roman" w:cs="Times New Roman"/>
        </w:rPr>
        <w:t>costs as facilities implement measures</w:t>
      </w:r>
      <w:r w:rsidRPr="00BF4D0A">
        <w:rPr>
          <w:rFonts w:ascii="Times New Roman" w:hAnsi="Times New Roman" w:cs="Times New Roman"/>
        </w:rPr>
        <w:t>.</w:t>
      </w:r>
      <w:r w:rsidR="000579E9">
        <w:rPr>
          <w:rFonts w:ascii="Times New Roman" w:hAnsi="Times New Roman" w:cs="Times New Roman"/>
        </w:rPr>
        <w:t xml:space="preserve"> </w:t>
      </w:r>
      <w:r w:rsidR="00465A65">
        <w:rPr>
          <w:rFonts w:ascii="Times New Roman" w:hAnsi="Times New Roman" w:cs="Times New Roman"/>
        </w:rPr>
        <w:t xml:space="preserve">Recurring </w:t>
      </w:r>
      <w:r w:rsidR="00F27B4E">
        <w:rPr>
          <w:rFonts w:ascii="Times New Roman" w:hAnsi="Times New Roman" w:cs="Times New Roman"/>
        </w:rPr>
        <w:t>O&amp;M</w:t>
      </w:r>
      <w:r w:rsidR="00465A65">
        <w:rPr>
          <w:rFonts w:ascii="Times New Roman" w:hAnsi="Times New Roman" w:cs="Times New Roman"/>
        </w:rPr>
        <w:t xml:space="preserve"> costs accumulate as each year</w:t>
      </w:r>
      <w:r w:rsidR="00C0485F">
        <w:rPr>
          <w:rFonts w:ascii="Times New Roman" w:hAnsi="Times New Roman" w:cs="Times New Roman"/>
        </w:rPr>
        <w:t>,</w:t>
      </w:r>
      <w:r w:rsidR="00465A65">
        <w:rPr>
          <w:rFonts w:ascii="Times New Roman" w:hAnsi="Times New Roman" w:cs="Times New Roman"/>
        </w:rPr>
        <w:t xml:space="preserve"> another </w:t>
      </w:r>
      <w:r w:rsidR="00CB681C">
        <w:rPr>
          <w:rFonts w:ascii="Times New Roman" w:hAnsi="Times New Roman" w:cs="Times New Roman"/>
        </w:rPr>
        <w:t>one-</w:t>
      </w:r>
      <w:r w:rsidR="00465A65">
        <w:rPr>
          <w:rFonts w:ascii="Times New Roman" w:hAnsi="Times New Roman" w:cs="Times New Roman"/>
        </w:rPr>
        <w:t xml:space="preserve">fifth of facilities implement </w:t>
      </w:r>
      <w:r w:rsidR="00CB681C">
        <w:rPr>
          <w:rFonts w:ascii="Times New Roman" w:hAnsi="Times New Roman" w:cs="Times New Roman"/>
        </w:rPr>
        <w:t xml:space="preserve">new </w:t>
      </w:r>
      <w:r w:rsidR="00465A65">
        <w:rPr>
          <w:rFonts w:ascii="Times New Roman" w:hAnsi="Times New Roman" w:cs="Times New Roman"/>
        </w:rPr>
        <w:t xml:space="preserve">measures, while measures implemented in prior years continue to incur </w:t>
      </w:r>
      <w:r w:rsidR="00F27B4E">
        <w:rPr>
          <w:rFonts w:ascii="Times New Roman" w:hAnsi="Times New Roman" w:cs="Times New Roman"/>
        </w:rPr>
        <w:t xml:space="preserve">the O&amp;M </w:t>
      </w:r>
      <w:r w:rsidR="00465A65">
        <w:rPr>
          <w:rFonts w:ascii="Times New Roman" w:hAnsi="Times New Roman" w:cs="Times New Roman"/>
        </w:rPr>
        <w:t>costs.</w:t>
      </w:r>
      <w:r w:rsidRPr="00BF4D0A">
        <w:rPr>
          <w:rFonts w:ascii="Times New Roman" w:hAnsi="Times New Roman" w:cs="Times New Roman"/>
        </w:rPr>
        <w:t xml:space="preserve"> Exhibit</w:t>
      </w:r>
      <w:r>
        <w:rPr>
          <w:rFonts w:ascii="Times New Roman" w:hAnsi="Times New Roman" w:cs="Times New Roman"/>
        </w:rPr>
        <w:t>s</w:t>
      </w:r>
      <w:r w:rsidRPr="00BF4D0A">
        <w:rPr>
          <w:rFonts w:ascii="Times New Roman" w:hAnsi="Times New Roman" w:cs="Times New Roman"/>
        </w:rPr>
        <w:t xml:space="preserve"> 5-</w:t>
      </w:r>
      <w:r w:rsidR="006C545F">
        <w:rPr>
          <w:rFonts w:ascii="Times New Roman" w:hAnsi="Times New Roman" w:cs="Times New Roman"/>
        </w:rPr>
        <w:t>4</w:t>
      </w:r>
      <w:r w:rsidRPr="00BF4D0A">
        <w:rPr>
          <w:rFonts w:ascii="Times New Roman" w:hAnsi="Times New Roman" w:cs="Times New Roman"/>
        </w:rPr>
        <w:t xml:space="preserve"> </w:t>
      </w:r>
      <w:r>
        <w:rPr>
          <w:rFonts w:ascii="Times New Roman" w:hAnsi="Times New Roman" w:cs="Times New Roman"/>
        </w:rPr>
        <w:t>and 5-</w:t>
      </w:r>
      <w:r w:rsidR="006C545F">
        <w:rPr>
          <w:rFonts w:ascii="Times New Roman" w:hAnsi="Times New Roman" w:cs="Times New Roman"/>
        </w:rPr>
        <w:t>5</w:t>
      </w:r>
      <w:r>
        <w:rPr>
          <w:rFonts w:ascii="Times New Roman" w:hAnsi="Times New Roman" w:cs="Times New Roman"/>
        </w:rPr>
        <w:t xml:space="preserve"> </w:t>
      </w:r>
      <w:r w:rsidRPr="00BF4D0A">
        <w:rPr>
          <w:rFonts w:ascii="Times New Roman" w:hAnsi="Times New Roman" w:cs="Times New Roman"/>
        </w:rPr>
        <w:t>present the estimated</w:t>
      </w:r>
      <w:r w:rsidR="00725E66">
        <w:rPr>
          <w:rFonts w:ascii="Times New Roman" w:hAnsi="Times New Roman" w:cs="Times New Roman"/>
        </w:rPr>
        <w:t xml:space="preserve"> total</w:t>
      </w:r>
      <w:r w:rsidRPr="00BF4D0A">
        <w:rPr>
          <w:rFonts w:ascii="Times New Roman" w:hAnsi="Times New Roman" w:cs="Times New Roman"/>
        </w:rPr>
        <w:t xml:space="preserve"> costs for the provision</w:t>
      </w:r>
      <w:r>
        <w:rPr>
          <w:rFonts w:ascii="Times New Roman" w:hAnsi="Times New Roman" w:cs="Times New Roman"/>
        </w:rPr>
        <w:t xml:space="preserve"> in Years 1-5 and Years 6-10, respectively</w:t>
      </w:r>
      <w:r w:rsidR="002529BD">
        <w:rPr>
          <w:rFonts w:ascii="Times New Roman" w:hAnsi="Times New Roman" w:cs="Times New Roman"/>
        </w:rPr>
        <w:t>.</w:t>
      </w:r>
      <w:bookmarkStart w:id="264" w:name="_Hlk141695338"/>
      <w:r>
        <w:br/>
      </w:r>
    </w:p>
    <w:p w:rsidR="0095340B" w:rsidP="00B918E7" w14:paraId="6EFAFE91" w14:textId="77777777">
      <w:pPr>
        <w:pStyle w:val="Caption"/>
        <w:keepNext/>
        <w:jc w:val="center"/>
      </w:pPr>
      <w:r w:rsidRPr="00B87FD9">
        <w:rPr>
          <w:rFonts w:ascii="Times New Roman" w:hAnsi="Times New Roman" w:cs="Times New Roman"/>
          <w:b/>
          <w:bCs/>
          <w:i w:val="0"/>
          <w:iCs w:val="0"/>
          <w:color w:val="auto"/>
          <w:sz w:val="22"/>
          <w:szCs w:val="22"/>
        </w:rPr>
        <w:t xml:space="preserve">Exhibit </w:t>
      </w:r>
      <w:r w:rsidRPr="00D21E4B">
        <w:rPr>
          <w:rFonts w:ascii="Times New Roman" w:hAnsi="Times New Roman" w:cs="Times New Roman"/>
          <w:b/>
          <w:bCs/>
          <w:i w:val="0"/>
          <w:iCs w:val="0"/>
          <w:color w:val="auto"/>
          <w:sz w:val="22"/>
          <w:szCs w:val="22"/>
        </w:rPr>
        <w:t>5-</w:t>
      </w:r>
      <w:r w:rsidR="006C545F">
        <w:rPr>
          <w:rFonts w:ascii="Times New Roman" w:hAnsi="Times New Roman" w:cs="Times New Roman"/>
          <w:b/>
          <w:bCs/>
          <w:i w:val="0"/>
          <w:iCs w:val="0"/>
          <w:color w:val="auto"/>
          <w:sz w:val="22"/>
          <w:szCs w:val="22"/>
        </w:rPr>
        <w:t>4</w:t>
      </w:r>
      <w:r w:rsidRPr="00D21E4B">
        <w:rPr>
          <w:rFonts w:ascii="Times New Roman" w:hAnsi="Times New Roman" w:cs="Times New Roman"/>
          <w:b/>
          <w:bCs/>
          <w:i w:val="0"/>
          <w:iCs w:val="0"/>
          <w:color w:val="auto"/>
          <w:sz w:val="22"/>
          <w:szCs w:val="22"/>
        </w:rPr>
        <w:t xml:space="preserve">: Estimated </w:t>
      </w:r>
      <w:r>
        <w:rPr>
          <w:rFonts w:ascii="Times New Roman" w:hAnsi="Times New Roman" w:cs="Times New Roman"/>
          <w:b/>
          <w:bCs/>
          <w:i w:val="0"/>
          <w:iCs w:val="0"/>
          <w:color w:val="auto"/>
          <w:sz w:val="22"/>
          <w:szCs w:val="22"/>
        </w:rPr>
        <w:t>Annual</w:t>
      </w:r>
      <w:r w:rsidRPr="00D21E4B">
        <w:rPr>
          <w:rFonts w:ascii="Times New Roman" w:hAnsi="Times New Roman" w:cs="Times New Roman"/>
          <w:b/>
          <w:bCs/>
          <w:i w:val="0"/>
          <w:iCs w:val="0"/>
          <w:color w:val="auto"/>
          <w:sz w:val="22"/>
          <w:szCs w:val="22"/>
        </w:rPr>
        <w:t xml:space="preserve"> Costs for STAA </w:t>
      </w:r>
      <w:r w:rsidR="00157E39">
        <w:rPr>
          <w:rFonts w:ascii="Times New Roman" w:hAnsi="Times New Roman" w:cs="Times New Roman"/>
          <w:b/>
          <w:bCs/>
          <w:i w:val="0"/>
          <w:iCs w:val="0"/>
          <w:color w:val="auto"/>
          <w:sz w:val="22"/>
          <w:szCs w:val="22"/>
        </w:rPr>
        <w:t xml:space="preserve">Implementation </w:t>
      </w:r>
      <w:r>
        <w:rPr>
          <w:rFonts w:ascii="Times New Roman" w:hAnsi="Times New Roman" w:cs="Times New Roman"/>
          <w:b/>
          <w:bCs/>
          <w:i w:val="0"/>
          <w:iCs w:val="0"/>
          <w:color w:val="auto"/>
          <w:sz w:val="22"/>
          <w:szCs w:val="22"/>
        </w:rPr>
        <w:t>Years 1-5</w:t>
      </w:r>
      <w:r w:rsidRPr="00D21E4B">
        <w:rPr>
          <w:rFonts w:ascii="Times New Roman" w:hAnsi="Times New Roman" w:cs="Times New Roman"/>
          <w:b/>
          <w:bCs/>
          <w:i w:val="0"/>
          <w:iCs w:val="0"/>
          <w:color w:val="auto"/>
          <w:sz w:val="22"/>
          <w:szCs w:val="22"/>
        </w:rPr>
        <w:t xml:space="preserve"> (202</w:t>
      </w:r>
      <w:r>
        <w:rPr>
          <w:rFonts w:ascii="Times New Roman" w:hAnsi="Times New Roman" w:cs="Times New Roman"/>
          <w:b/>
          <w:bCs/>
          <w:i w:val="0"/>
          <w:iCs w:val="0"/>
          <w:color w:val="auto"/>
          <w:sz w:val="22"/>
          <w:szCs w:val="22"/>
        </w:rPr>
        <w:t>2</w:t>
      </w:r>
      <w:r w:rsidRPr="00D21E4B">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d</w:t>
      </w:r>
      <w:r w:rsidRPr="00D21E4B">
        <w:rPr>
          <w:rFonts w:ascii="Times New Roman" w:hAnsi="Times New Roman" w:cs="Times New Roman"/>
          <w:b/>
          <w:bCs/>
          <w:i w:val="0"/>
          <w:iCs w:val="0"/>
          <w:color w:val="auto"/>
          <w:sz w:val="22"/>
          <w:szCs w:val="22"/>
        </w:rPr>
        <w:t>ollars).</w:t>
      </w:r>
    </w:p>
    <w:tbl>
      <w:tblPr>
        <w:tblW w:w="11546" w:type="dxa"/>
        <w:tblInd w:w="-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80"/>
        <w:gridCol w:w="990"/>
        <w:gridCol w:w="990"/>
        <w:gridCol w:w="900"/>
        <w:gridCol w:w="900"/>
        <w:gridCol w:w="1694"/>
        <w:gridCol w:w="1198"/>
        <w:gridCol w:w="1198"/>
        <w:gridCol w:w="1198"/>
        <w:gridCol w:w="1198"/>
      </w:tblGrid>
      <w:tr w14:paraId="3AA096DB" w14:textId="77777777">
        <w:tblPrEx>
          <w:tblW w:w="11546" w:type="dxa"/>
          <w:tblInd w:w="-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25"/>
        </w:trPr>
        <w:tc>
          <w:tcPr>
            <w:tcW w:w="1280" w:type="dxa"/>
            <w:vMerge w:val="restart"/>
            <w:shd w:val="clear" w:color="auto" w:fill="DADADA"/>
            <w:vAlign w:val="center"/>
          </w:tcPr>
          <w:p w:rsidR="00E2118F" w:rsidRPr="002529BD" w:rsidP="002529BD" w14:paraId="2E04E694" w14:textId="77777777">
            <w:pPr>
              <w:keepNext/>
              <w:spacing w:after="0" w:line="240" w:lineRule="auto"/>
              <w:ind w:left="183" w:right="171"/>
              <w:jc w:val="center"/>
              <w:rPr>
                <w:rFonts w:ascii="Times New Roman" w:hAnsi="Times New Roman" w:cs="Times New Roman"/>
                <w:b/>
                <w:sz w:val="18"/>
                <w:szCs w:val="18"/>
              </w:rPr>
            </w:pPr>
            <w:r w:rsidRPr="002529BD">
              <w:rPr>
                <w:rFonts w:ascii="Times New Roman" w:hAnsi="Times New Roman" w:cs="Times New Roman"/>
                <w:b/>
                <w:sz w:val="18"/>
                <w:szCs w:val="18"/>
              </w:rPr>
              <w:t>Facility Type</w:t>
            </w:r>
          </w:p>
        </w:tc>
        <w:tc>
          <w:tcPr>
            <w:tcW w:w="990" w:type="dxa"/>
            <w:vMerge w:val="restart"/>
            <w:shd w:val="clear" w:color="auto" w:fill="DADADA"/>
            <w:vAlign w:val="center"/>
          </w:tcPr>
          <w:p w:rsidR="00E2118F" w:rsidRPr="002529BD" w:rsidP="002529BD" w14:paraId="0D0E96CF" w14:textId="77777777">
            <w:pPr>
              <w:keepNext/>
              <w:spacing w:after="0" w:line="240" w:lineRule="auto"/>
              <w:ind w:left="93" w:right="57"/>
              <w:jc w:val="center"/>
              <w:rPr>
                <w:rFonts w:ascii="Times New Roman" w:hAnsi="Times New Roman" w:cs="Times New Roman"/>
                <w:b/>
                <w:sz w:val="18"/>
                <w:szCs w:val="18"/>
              </w:rPr>
            </w:pPr>
            <w:r w:rsidRPr="002529BD">
              <w:rPr>
                <w:rFonts w:ascii="Times New Roman" w:hAnsi="Times New Roman" w:cs="Times New Roman"/>
                <w:b/>
                <w:sz w:val="18"/>
                <w:szCs w:val="18"/>
              </w:rPr>
              <w:t>Capital Cost Annual</w:t>
            </w:r>
          </w:p>
          <w:p w:rsidR="00E2118F" w:rsidRPr="002529BD" w:rsidP="002529BD" w14:paraId="03BC2AEA" w14:textId="77777777">
            <w:pPr>
              <w:keepNext/>
              <w:spacing w:after="0" w:line="240" w:lineRule="auto"/>
              <w:ind w:left="88" w:right="64"/>
              <w:jc w:val="center"/>
              <w:rPr>
                <w:rFonts w:ascii="Times New Roman" w:hAnsi="Times New Roman" w:cs="Times New Roman"/>
                <w:b/>
                <w:sz w:val="18"/>
                <w:szCs w:val="18"/>
              </w:rPr>
            </w:pPr>
            <w:r w:rsidRPr="002529BD">
              <w:rPr>
                <w:rFonts w:ascii="Times New Roman" w:hAnsi="Times New Roman" w:cs="Times New Roman"/>
                <w:b/>
                <w:sz w:val="18"/>
                <w:szCs w:val="18"/>
              </w:rPr>
              <w:t>Frequency</w:t>
            </w:r>
          </w:p>
        </w:tc>
        <w:tc>
          <w:tcPr>
            <w:tcW w:w="990" w:type="dxa"/>
            <w:vMerge w:val="restart"/>
            <w:shd w:val="clear" w:color="auto" w:fill="D9D9D9" w:themeFill="background1" w:themeFillShade="D9"/>
            <w:vAlign w:val="center"/>
          </w:tcPr>
          <w:p w:rsidR="00E2118F" w:rsidRPr="002529BD" w:rsidP="002529BD" w14:paraId="64C710D2" w14:textId="77777777">
            <w:pPr>
              <w:keepNext/>
              <w:spacing w:after="0" w:line="240" w:lineRule="auto"/>
              <w:ind w:left="93"/>
              <w:jc w:val="center"/>
              <w:rPr>
                <w:rFonts w:ascii="Times New Roman" w:hAnsi="Times New Roman" w:cs="Times New Roman"/>
                <w:b/>
                <w:sz w:val="18"/>
                <w:szCs w:val="18"/>
              </w:rPr>
            </w:pPr>
            <w:r w:rsidRPr="002529BD">
              <w:rPr>
                <w:rFonts w:ascii="Times New Roman" w:hAnsi="Times New Roman" w:cs="Times New Roman"/>
                <w:b/>
                <w:sz w:val="18"/>
                <w:szCs w:val="18"/>
              </w:rPr>
              <w:t>Unit Capital Cost</w:t>
            </w:r>
          </w:p>
        </w:tc>
        <w:tc>
          <w:tcPr>
            <w:tcW w:w="900" w:type="dxa"/>
            <w:vMerge w:val="restart"/>
            <w:shd w:val="clear" w:color="auto" w:fill="D9D9D9" w:themeFill="background1" w:themeFillShade="D9"/>
            <w:vAlign w:val="center"/>
          </w:tcPr>
          <w:p w:rsidR="00E2118F" w:rsidRPr="002529BD" w:rsidP="002529BD" w14:paraId="43DD42DF" w14:textId="77777777">
            <w:pPr>
              <w:keepNext/>
              <w:spacing w:after="0" w:line="240" w:lineRule="auto"/>
              <w:ind w:left="93"/>
              <w:jc w:val="center"/>
              <w:rPr>
                <w:rFonts w:ascii="Times New Roman" w:hAnsi="Times New Roman" w:cs="Times New Roman"/>
                <w:b/>
                <w:sz w:val="18"/>
                <w:szCs w:val="18"/>
              </w:rPr>
            </w:pPr>
            <w:r w:rsidRPr="002529BD">
              <w:rPr>
                <w:rFonts w:ascii="Times New Roman" w:hAnsi="Times New Roman" w:cs="Times New Roman"/>
                <w:b/>
                <w:sz w:val="18"/>
                <w:szCs w:val="18"/>
              </w:rPr>
              <w:t>Unit Recurring Cost</w:t>
            </w:r>
          </w:p>
        </w:tc>
        <w:tc>
          <w:tcPr>
            <w:tcW w:w="900" w:type="dxa"/>
            <w:vMerge w:val="restart"/>
            <w:shd w:val="clear" w:color="auto" w:fill="DADADA"/>
            <w:vAlign w:val="center"/>
          </w:tcPr>
          <w:p w:rsidR="00E2118F" w:rsidRPr="002529BD" w:rsidP="002529BD" w14:paraId="1A5B4526" w14:textId="77777777">
            <w:pPr>
              <w:keepNext/>
              <w:spacing w:after="0" w:line="240" w:lineRule="auto"/>
              <w:ind w:left="98" w:right="76"/>
              <w:jc w:val="center"/>
              <w:rPr>
                <w:rFonts w:ascii="Times New Roman" w:hAnsi="Times New Roman" w:cs="Times New Roman"/>
                <w:b/>
                <w:sz w:val="18"/>
                <w:szCs w:val="18"/>
              </w:rPr>
            </w:pPr>
            <w:r w:rsidRPr="002529BD">
              <w:rPr>
                <w:rFonts w:ascii="Times New Roman" w:hAnsi="Times New Roman" w:cs="Times New Roman"/>
                <w:b/>
                <w:sz w:val="18"/>
                <w:szCs w:val="18"/>
              </w:rPr>
              <w:t>Facilities</w:t>
            </w:r>
          </w:p>
        </w:tc>
        <w:tc>
          <w:tcPr>
            <w:tcW w:w="6486" w:type="dxa"/>
            <w:gridSpan w:val="5"/>
            <w:shd w:val="clear" w:color="auto" w:fill="DADADA"/>
            <w:vAlign w:val="center"/>
          </w:tcPr>
          <w:p w:rsidR="00E2118F" w:rsidRPr="002529BD" w:rsidP="00E2118F" w14:paraId="3A787801" w14:textId="77777777">
            <w:pPr>
              <w:keepNext/>
              <w:spacing w:after="0" w:line="240" w:lineRule="auto"/>
              <w:ind w:left="91" w:right="55"/>
              <w:jc w:val="center"/>
              <w:rPr>
                <w:rFonts w:ascii="Times New Roman" w:hAnsi="Times New Roman" w:cs="Times New Roman"/>
                <w:b/>
                <w:sz w:val="18"/>
                <w:szCs w:val="18"/>
              </w:rPr>
            </w:pPr>
            <w:r w:rsidRPr="002529BD">
              <w:rPr>
                <w:rFonts w:ascii="Times New Roman" w:hAnsi="Times New Roman" w:cs="Times New Roman"/>
                <w:b/>
                <w:sz w:val="18"/>
                <w:szCs w:val="18"/>
              </w:rPr>
              <w:t>Total Annual</w:t>
            </w:r>
            <w:r>
              <w:rPr>
                <w:rFonts w:ascii="Times New Roman" w:hAnsi="Times New Roman" w:cs="Times New Roman"/>
                <w:b/>
                <w:sz w:val="18"/>
                <w:szCs w:val="18"/>
              </w:rPr>
              <w:t xml:space="preserve"> </w:t>
            </w:r>
            <w:r w:rsidRPr="002529BD">
              <w:rPr>
                <w:rFonts w:ascii="Times New Roman" w:hAnsi="Times New Roman" w:cs="Times New Roman"/>
                <w:b/>
                <w:sz w:val="18"/>
                <w:szCs w:val="18"/>
              </w:rPr>
              <w:t>Cost</w:t>
            </w:r>
            <w:r>
              <w:rPr>
                <w:rFonts w:ascii="Times New Roman" w:hAnsi="Times New Roman" w:cs="Times New Roman"/>
                <w:b/>
                <w:sz w:val="18"/>
                <w:szCs w:val="18"/>
              </w:rPr>
              <w:t xml:space="preserve"> in Year:</w:t>
            </w:r>
          </w:p>
        </w:tc>
      </w:tr>
      <w:tr w14:paraId="5F0D3727" w14:textId="77777777" w:rsidTr="00113457">
        <w:tblPrEx>
          <w:tblW w:w="11546" w:type="dxa"/>
          <w:tblInd w:w="-568" w:type="dxa"/>
          <w:tblLayout w:type="fixed"/>
          <w:tblCellMar>
            <w:left w:w="0" w:type="dxa"/>
            <w:right w:w="0" w:type="dxa"/>
          </w:tblCellMar>
          <w:tblLook w:val="01E0"/>
        </w:tblPrEx>
        <w:trPr>
          <w:trHeight w:val="525"/>
        </w:trPr>
        <w:tc>
          <w:tcPr>
            <w:tcW w:w="1280" w:type="dxa"/>
            <w:vMerge/>
            <w:shd w:val="clear" w:color="auto" w:fill="DADADA"/>
            <w:vAlign w:val="center"/>
          </w:tcPr>
          <w:p w:rsidR="00AC73AC" w:rsidRPr="002529BD" w:rsidP="002529BD" w14:paraId="3DC816E4" w14:textId="77777777">
            <w:pPr>
              <w:keepNext/>
              <w:spacing w:after="0" w:line="240" w:lineRule="auto"/>
              <w:ind w:left="183" w:right="171"/>
              <w:jc w:val="center"/>
              <w:rPr>
                <w:rFonts w:ascii="Times New Roman" w:hAnsi="Times New Roman" w:cs="Times New Roman"/>
                <w:b/>
                <w:sz w:val="18"/>
                <w:szCs w:val="18"/>
              </w:rPr>
            </w:pPr>
          </w:p>
        </w:tc>
        <w:tc>
          <w:tcPr>
            <w:tcW w:w="990" w:type="dxa"/>
            <w:vMerge/>
            <w:shd w:val="clear" w:color="auto" w:fill="DADADA"/>
            <w:vAlign w:val="center"/>
          </w:tcPr>
          <w:p w:rsidR="00AC73AC" w:rsidRPr="002529BD" w:rsidP="002529BD" w14:paraId="4022FFAC" w14:textId="77777777">
            <w:pPr>
              <w:keepNext/>
              <w:spacing w:after="0" w:line="240" w:lineRule="auto"/>
              <w:ind w:left="93" w:right="57"/>
              <w:jc w:val="center"/>
              <w:rPr>
                <w:rFonts w:ascii="Times New Roman" w:hAnsi="Times New Roman" w:cs="Times New Roman"/>
                <w:b/>
                <w:sz w:val="18"/>
                <w:szCs w:val="18"/>
              </w:rPr>
            </w:pPr>
          </w:p>
        </w:tc>
        <w:tc>
          <w:tcPr>
            <w:tcW w:w="990" w:type="dxa"/>
            <w:vMerge/>
            <w:shd w:val="clear" w:color="auto" w:fill="D9D9D9" w:themeFill="background1" w:themeFillShade="D9"/>
            <w:vAlign w:val="center"/>
          </w:tcPr>
          <w:p w:rsidR="00AC73AC" w:rsidRPr="002529BD" w:rsidP="002529BD" w14:paraId="19B730F8" w14:textId="77777777">
            <w:pPr>
              <w:keepNext/>
              <w:spacing w:after="0" w:line="240" w:lineRule="auto"/>
              <w:ind w:left="93"/>
              <w:jc w:val="center"/>
              <w:rPr>
                <w:rFonts w:ascii="Times New Roman" w:hAnsi="Times New Roman" w:cs="Times New Roman"/>
                <w:b/>
                <w:sz w:val="18"/>
                <w:szCs w:val="18"/>
              </w:rPr>
            </w:pPr>
          </w:p>
        </w:tc>
        <w:tc>
          <w:tcPr>
            <w:tcW w:w="900" w:type="dxa"/>
            <w:vMerge/>
            <w:shd w:val="clear" w:color="auto" w:fill="D9D9D9" w:themeFill="background1" w:themeFillShade="D9"/>
            <w:vAlign w:val="center"/>
          </w:tcPr>
          <w:p w:rsidR="00AC73AC" w:rsidRPr="002529BD" w:rsidP="002529BD" w14:paraId="23DE5883" w14:textId="77777777">
            <w:pPr>
              <w:keepNext/>
              <w:spacing w:after="0" w:line="240" w:lineRule="auto"/>
              <w:ind w:left="93"/>
              <w:jc w:val="center"/>
              <w:rPr>
                <w:rFonts w:ascii="Times New Roman" w:hAnsi="Times New Roman" w:cs="Times New Roman"/>
                <w:b/>
                <w:sz w:val="18"/>
                <w:szCs w:val="18"/>
              </w:rPr>
            </w:pPr>
          </w:p>
        </w:tc>
        <w:tc>
          <w:tcPr>
            <w:tcW w:w="900" w:type="dxa"/>
            <w:vMerge/>
            <w:shd w:val="clear" w:color="auto" w:fill="DADADA"/>
            <w:vAlign w:val="center"/>
          </w:tcPr>
          <w:p w:rsidR="00AC73AC" w:rsidRPr="002529BD" w:rsidP="002529BD" w14:paraId="23F658D5" w14:textId="77777777">
            <w:pPr>
              <w:keepNext/>
              <w:spacing w:after="0" w:line="240" w:lineRule="auto"/>
              <w:ind w:left="98" w:right="76"/>
              <w:jc w:val="center"/>
              <w:rPr>
                <w:rFonts w:ascii="Times New Roman" w:hAnsi="Times New Roman" w:cs="Times New Roman"/>
                <w:b/>
                <w:sz w:val="18"/>
                <w:szCs w:val="18"/>
              </w:rPr>
            </w:pPr>
          </w:p>
        </w:tc>
        <w:tc>
          <w:tcPr>
            <w:tcW w:w="1694" w:type="dxa"/>
            <w:shd w:val="clear" w:color="auto" w:fill="DADADA"/>
            <w:vAlign w:val="center"/>
          </w:tcPr>
          <w:p w:rsidR="00AC73AC" w:rsidRPr="002529BD" w:rsidP="002529BD" w14:paraId="3CBAA28B"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1</w:t>
            </w:r>
          </w:p>
        </w:tc>
        <w:tc>
          <w:tcPr>
            <w:tcW w:w="1198" w:type="dxa"/>
            <w:shd w:val="clear" w:color="auto" w:fill="DADADA"/>
            <w:vAlign w:val="center"/>
          </w:tcPr>
          <w:p w:rsidR="00AC73AC" w:rsidRPr="002529BD" w:rsidP="002529BD" w14:paraId="5EFA8D0E"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2</w:t>
            </w:r>
          </w:p>
        </w:tc>
        <w:tc>
          <w:tcPr>
            <w:tcW w:w="1198" w:type="dxa"/>
            <w:shd w:val="clear" w:color="auto" w:fill="DADADA"/>
            <w:vAlign w:val="center"/>
          </w:tcPr>
          <w:p w:rsidR="00AC73AC" w:rsidRPr="002529BD" w:rsidP="002529BD" w14:paraId="4D0234C4"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3</w:t>
            </w:r>
          </w:p>
        </w:tc>
        <w:tc>
          <w:tcPr>
            <w:tcW w:w="1198" w:type="dxa"/>
            <w:shd w:val="clear" w:color="auto" w:fill="DADADA"/>
            <w:vAlign w:val="center"/>
          </w:tcPr>
          <w:p w:rsidR="00AC73AC" w:rsidRPr="002529BD" w:rsidP="002529BD" w14:paraId="68AF2582"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4</w:t>
            </w:r>
          </w:p>
        </w:tc>
        <w:tc>
          <w:tcPr>
            <w:tcW w:w="1198" w:type="dxa"/>
            <w:shd w:val="clear" w:color="auto" w:fill="DADADA"/>
            <w:vAlign w:val="center"/>
          </w:tcPr>
          <w:p w:rsidR="00AC73AC" w:rsidRPr="002529BD" w:rsidP="002529BD" w14:paraId="223ED20E"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5</w:t>
            </w:r>
          </w:p>
        </w:tc>
      </w:tr>
      <w:tr w14:paraId="4043930C" w14:textId="77777777" w:rsidTr="00113457">
        <w:tblPrEx>
          <w:tblW w:w="11546" w:type="dxa"/>
          <w:tblInd w:w="-568" w:type="dxa"/>
          <w:tblLayout w:type="fixed"/>
          <w:tblCellMar>
            <w:left w:w="0" w:type="dxa"/>
            <w:right w:w="0" w:type="dxa"/>
          </w:tblCellMar>
          <w:tblLook w:val="01E0"/>
        </w:tblPrEx>
        <w:trPr>
          <w:trHeight w:val="314"/>
        </w:trPr>
        <w:tc>
          <w:tcPr>
            <w:tcW w:w="1280" w:type="dxa"/>
            <w:tcBorders>
              <w:top w:val="single" w:sz="8" w:space="0" w:color="000000"/>
            </w:tcBorders>
            <w:vAlign w:val="center"/>
          </w:tcPr>
          <w:p w:rsidR="002529BD" w:rsidRPr="002529BD" w:rsidP="002529BD" w14:paraId="1909CBBB" w14:textId="77777777">
            <w:pPr>
              <w:keepNext/>
              <w:spacing w:after="0" w:line="240" w:lineRule="auto"/>
              <w:ind w:left="183"/>
              <w:rPr>
                <w:rFonts w:ascii="Times New Roman" w:hAnsi="Times New Roman" w:cs="Times New Roman"/>
                <w:sz w:val="18"/>
                <w:szCs w:val="18"/>
              </w:rPr>
            </w:pPr>
            <w:r w:rsidRPr="002529BD">
              <w:rPr>
                <w:rFonts w:ascii="Times New Roman" w:hAnsi="Times New Roman" w:cs="Times New Roman"/>
                <w:sz w:val="18"/>
                <w:szCs w:val="18"/>
              </w:rPr>
              <w:t>Refineries</w:t>
            </w:r>
          </w:p>
        </w:tc>
        <w:tc>
          <w:tcPr>
            <w:tcW w:w="990" w:type="dxa"/>
            <w:tcBorders>
              <w:top w:val="single" w:sz="8" w:space="0" w:color="000000"/>
            </w:tcBorders>
            <w:vAlign w:val="center"/>
          </w:tcPr>
          <w:p w:rsidR="002529BD" w:rsidRPr="002529BD" w:rsidP="002529BD" w14:paraId="27D98260" w14:textId="77777777">
            <w:pPr>
              <w:keepNext/>
              <w:spacing w:after="0" w:line="240" w:lineRule="auto"/>
              <w:ind w:left="93" w:right="62"/>
              <w:jc w:val="center"/>
              <w:rPr>
                <w:rFonts w:ascii="Times New Roman" w:hAnsi="Times New Roman" w:cs="Times New Roman"/>
                <w:sz w:val="18"/>
                <w:szCs w:val="18"/>
              </w:rPr>
            </w:pPr>
            <w:r w:rsidRPr="002529BD">
              <w:rPr>
                <w:rFonts w:ascii="Times New Roman" w:hAnsi="Times New Roman" w:cs="Times New Roman"/>
                <w:sz w:val="18"/>
                <w:szCs w:val="18"/>
              </w:rPr>
              <w:t>0.2</w:t>
            </w:r>
          </w:p>
        </w:tc>
        <w:tc>
          <w:tcPr>
            <w:tcW w:w="990" w:type="dxa"/>
            <w:tcBorders>
              <w:top w:val="single" w:sz="8" w:space="0" w:color="000000"/>
            </w:tcBorders>
            <w:vAlign w:val="center"/>
          </w:tcPr>
          <w:p w:rsidR="002529BD" w:rsidRPr="002529BD" w:rsidP="002529BD" w14:paraId="5E6B749D" w14:textId="77777777">
            <w:pPr>
              <w:keepNext/>
              <w:spacing w:after="0" w:line="240" w:lineRule="auto"/>
              <w:ind w:left="93"/>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33023B">
              <w:rPr>
                <w:rFonts w:ascii="Times New Roman" w:hAnsi="Times New Roman" w:cs="Times New Roman"/>
                <w:color w:val="000000"/>
                <w:sz w:val="18"/>
                <w:szCs w:val="18"/>
              </w:rPr>
              <w:t>4,449,414</w:t>
            </w:r>
          </w:p>
        </w:tc>
        <w:tc>
          <w:tcPr>
            <w:tcW w:w="900" w:type="dxa"/>
            <w:tcBorders>
              <w:top w:val="single" w:sz="8" w:space="0" w:color="000000"/>
            </w:tcBorders>
            <w:vAlign w:val="center"/>
          </w:tcPr>
          <w:p w:rsidR="002529BD" w:rsidRPr="002529BD" w:rsidP="002529BD" w14:paraId="5B659FC6" w14:textId="77777777">
            <w:pPr>
              <w:keepNext/>
              <w:spacing w:after="0" w:line="240" w:lineRule="auto"/>
              <w:ind w:left="93"/>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sidR="00113457">
              <w:rPr>
                <w:rFonts w:ascii="Times New Roman" w:hAnsi="Times New Roman" w:cs="Times New Roman"/>
                <w:color w:val="000000"/>
                <w:sz w:val="18"/>
                <w:szCs w:val="18"/>
              </w:rPr>
              <w:t>177,977</w:t>
            </w:r>
          </w:p>
        </w:tc>
        <w:tc>
          <w:tcPr>
            <w:tcW w:w="900" w:type="dxa"/>
            <w:tcBorders>
              <w:top w:val="single" w:sz="8" w:space="0" w:color="000000"/>
            </w:tcBorders>
            <w:vAlign w:val="center"/>
          </w:tcPr>
          <w:p w:rsidR="002529BD" w:rsidRPr="002529BD" w:rsidP="002529BD" w14:paraId="64AF489E" w14:textId="77777777">
            <w:pPr>
              <w:keepNext/>
              <w:spacing w:after="0" w:line="240" w:lineRule="auto"/>
              <w:ind w:left="98" w:right="69"/>
              <w:jc w:val="center"/>
              <w:rPr>
                <w:rFonts w:ascii="Times New Roman" w:hAnsi="Times New Roman" w:cs="Times New Roman"/>
                <w:sz w:val="18"/>
                <w:szCs w:val="18"/>
              </w:rPr>
            </w:pPr>
            <w:r>
              <w:rPr>
                <w:rFonts w:ascii="Times New Roman" w:hAnsi="Times New Roman" w:cs="Times New Roman"/>
                <w:sz w:val="18"/>
                <w:szCs w:val="18"/>
              </w:rPr>
              <w:t>93</w:t>
            </w:r>
          </w:p>
        </w:tc>
        <w:tc>
          <w:tcPr>
            <w:tcW w:w="1694" w:type="dxa"/>
            <w:tcBorders>
              <w:top w:val="single" w:sz="8" w:space="0" w:color="000000"/>
            </w:tcBorders>
            <w:vAlign w:val="center"/>
          </w:tcPr>
          <w:p w:rsidR="002529BD" w:rsidRPr="002529BD" w:rsidP="002529BD" w14:paraId="3381BF7F"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5E40BE">
              <w:rPr>
                <w:rFonts w:ascii="Times New Roman" w:hAnsi="Times New Roman" w:cs="Times New Roman"/>
                <w:color w:val="000000"/>
                <w:sz w:val="18"/>
                <w:szCs w:val="18"/>
              </w:rPr>
              <w:t>86,</w:t>
            </w:r>
            <w:r w:rsidR="00D07561">
              <w:rPr>
                <w:rFonts w:ascii="Times New Roman" w:hAnsi="Times New Roman" w:cs="Times New Roman"/>
                <w:color w:val="000000"/>
                <w:sz w:val="18"/>
                <w:szCs w:val="18"/>
              </w:rPr>
              <w:t>069,</w:t>
            </w:r>
            <w:r w:rsidR="009D47BE">
              <w:rPr>
                <w:rFonts w:ascii="Times New Roman" w:hAnsi="Times New Roman" w:cs="Times New Roman"/>
                <w:color w:val="000000"/>
                <w:sz w:val="18"/>
                <w:szCs w:val="18"/>
              </w:rPr>
              <w:t>456</w:t>
            </w:r>
          </w:p>
        </w:tc>
        <w:tc>
          <w:tcPr>
            <w:tcW w:w="1198" w:type="dxa"/>
            <w:tcBorders>
              <w:top w:val="single" w:sz="8" w:space="0" w:color="000000"/>
            </w:tcBorders>
            <w:vAlign w:val="center"/>
          </w:tcPr>
          <w:p w:rsidR="002529BD" w:rsidRPr="002529BD" w:rsidP="002529BD" w14:paraId="139C4CC5"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7D1BDE">
              <w:rPr>
                <w:rFonts w:ascii="Times New Roman" w:hAnsi="Times New Roman" w:cs="Times New Roman"/>
                <w:color w:val="000000"/>
                <w:sz w:val="18"/>
                <w:szCs w:val="18"/>
              </w:rPr>
              <w:t>89,</w:t>
            </w:r>
            <w:r w:rsidR="008E1460">
              <w:rPr>
                <w:rFonts w:ascii="Times New Roman" w:hAnsi="Times New Roman" w:cs="Times New Roman"/>
                <w:color w:val="000000"/>
                <w:sz w:val="18"/>
                <w:szCs w:val="18"/>
              </w:rPr>
              <w:t>379</w:t>
            </w:r>
            <w:r w:rsidR="00DB065C">
              <w:rPr>
                <w:rFonts w:ascii="Times New Roman" w:hAnsi="Times New Roman" w:cs="Times New Roman"/>
                <w:color w:val="000000"/>
                <w:sz w:val="18"/>
                <w:szCs w:val="18"/>
              </w:rPr>
              <w:t>,</w:t>
            </w:r>
            <w:r w:rsidR="003C76A3">
              <w:rPr>
                <w:rFonts w:ascii="Times New Roman" w:hAnsi="Times New Roman" w:cs="Times New Roman"/>
                <w:color w:val="000000"/>
                <w:sz w:val="18"/>
                <w:szCs w:val="18"/>
              </w:rPr>
              <w:t>820</w:t>
            </w:r>
          </w:p>
        </w:tc>
        <w:tc>
          <w:tcPr>
            <w:tcW w:w="1198" w:type="dxa"/>
            <w:tcBorders>
              <w:top w:val="single" w:sz="8" w:space="0" w:color="000000"/>
            </w:tcBorders>
            <w:vAlign w:val="center"/>
          </w:tcPr>
          <w:p w:rsidR="002529BD" w:rsidRPr="002529BD" w:rsidP="002529BD" w14:paraId="6E39EF0A"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4B052A">
              <w:rPr>
                <w:rFonts w:ascii="Times New Roman" w:hAnsi="Times New Roman" w:cs="Times New Roman"/>
                <w:color w:val="000000"/>
                <w:sz w:val="18"/>
                <w:szCs w:val="18"/>
              </w:rPr>
              <w:t>92,</w:t>
            </w:r>
            <w:r w:rsidR="00D3168A">
              <w:rPr>
                <w:rFonts w:ascii="Times New Roman" w:hAnsi="Times New Roman" w:cs="Times New Roman"/>
                <w:color w:val="000000"/>
                <w:sz w:val="18"/>
                <w:szCs w:val="18"/>
              </w:rPr>
              <w:t>690,184</w:t>
            </w:r>
          </w:p>
        </w:tc>
        <w:tc>
          <w:tcPr>
            <w:tcW w:w="1198" w:type="dxa"/>
            <w:tcBorders>
              <w:top w:val="single" w:sz="8" w:space="0" w:color="000000"/>
            </w:tcBorders>
            <w:vAlign w:val="center"/>
          </w:tcPr>
          <w:p w:rsidR="002529BD" w:rsidRPr="002529BD" w:rsidP="002529BD" w14:paraId="3F944BCB"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D3168A">
              <w:rPr>
                <w:rFonts w:ascii="Times New Roman" w:hAnsi="Times New Roman" w:cs="Times New Roman"/>
                <w:color w:val="000000"/>
                <w:sz w:val="18"/>
                <w:szCs w:val="18"/>
              </w:rPr>
              <w:t>96,000,548</w:t>
            </w:r>
          </w:p>
        </w:tc>
        <w:tc>
          <w:tcPr>
            <w:tcW w:w="1198" w:type="dxa"/>
            <w:tcBorders>
              <w:top w:val="single" w:sz="8" w:space="0" w:color="000000"/>
            </w:tcBorders>
            <w:vAlign w:val="center"/>
          </w:tcPr>
          <w:p w:rsidR="002529BD" w:rsidRPr="002529BD" w:rsidP="002529BD" w14:paraId="372C79A5" w14:textId="77777777">
            <w:pPr>
              <w:keepNext/>
              <w:spacing w:after="0" w:line="240" w:lineRule="auto"/>
              <w:ind w:left="84" w:right="55"/>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sidR="00FD002B">
              <w:rPr>
                <w:rFonts w:ascii="Times New Roman" w:hAnsi="Times New Roman" w:cs="Times New Roman"/>
                <w:color w:val="000000"/>
                <w:sz w:val="18"/>
                <w:szCs w:val="18"/>
              </w:rPr>
              <w:t>99,310,911</w:t>
            </w:r>
          </w:p>
        </w:tc>
      </w:tr>
      <w:tr w14:paraId="42348052" w14:textId="77777777" w:rsidTr="00113457">
        <w:tblPrEx>
          <w:tblW w:w="11546" w:type="dxa"/>
          <w:tblInd w:w="-568" w:type="dxa"/>
          <w:tblLayout w:type="fixed"/>
          <w:tblCellMar>
            <w:left w:w="0" w:type="dxa"/>
            <w:right w:w="0" w:type="dxa"/>
          </w:tblCellMar>
          <w:tblLook w:val="01E0"/>
        </w:tblPrEx>
        <w:trPr>
          <w:trHeight w:val="318"/>
        </w:trPr>
        <w:tc>
          <w:tcPr>
            <w:tcW w:w="1280" w:type="dxa"/>
            <w:vAlign w:val="center"/>
          </w:tcPr>
          <w:p w:rsidR="002529BD" w:rsidRPr="002529BD" w:rsidP="002529BD" w14:paraId="7B6D009B" w14:textId="77777777">
            <w:pPr>
              <w:spacing w:after="0" w:line="240" w:lineRule="auto"/>
              <w:ind w:left="183"/>
              <w:rPr>
                <w:rFonts w:ascii="Times New Roman" w:hAnsi="Times New Roman" w:cs="Times New Roman"/>
                <w:sz w:val="18"/>
                <w:szCs w:val="18"/>
              </w:rPr>
            </w:pPr>
            <w:r w:rsidRPr="002529BD">
              <w:rPr>
                <w:rFonts w:ascii="Times New Roman" w:hAnsi="Times New Roman" w:cs="Times New Roman"/>
                <w:sz w:val="18"/>
                <w:szCs w:val="18"/>
              </w:rPr>
              <w:t>Chemical Manufacturers</w:t>
            </w:r>
          </w:p>
        </w:tc>
        <w:tc>
          <w:tcPr>
            <w:tcW w:w="990" w:type="dxa"/>
            <w:vAlign w:val="center"/>
          </w:tcPr>
          <w:p w:rsidR="002529BD" w:rsidRPr="002529BD" w:rsidP="002529BD" w14:paraId="1FBD44EE" w14:textId="77777777">
            <w:pPr>
              <w:spacing w:after="0" w:line="240" w:lineRule="auto"/>
              <w:ind w:left="93" w:right="62"/>
              <w:jc w:val="center"/>
              <w:rPr>
                <w:rFonts w:ascii="Times New Roman" w:hAnsi="Times New Roman" w:cs="Times New Roman"/>
                <w:sz w:val="18"/>
                <w:szCs w:val="18"/>
              </w:rPr>
            </w:pPr>
            <w:r w:rsidRPr="002529BD">
              <w:rPr>
                <w:rFonts w:ascii="Times New Roman" w:hAnsi="Times New Roman" w:cs="Times New Roman"/>
                <w:sz w:val="18"/>
                <w:szCs w:val="18"/>
              </w:rPr>
              <w:t>0.2</w:t>
            </w:r>
          </w:p>
        </w:tc>
        <w:tc>
          <w:tcPr>
            <w:tcW w:w="990" w:type="dxa"/>
            <w:vAlign w:val="center"/>
          </w:tcPr>
          <w:p w:rsidR="002529BD" w:rsidRPr="002529BD" w:rsidP="002529BD" w14:paraId="3B0A1370" w14:textId="77777777">
            <w:pPr>
              <w:spacing w:after="0" w:line="240" w:lineRule="auto"/>
              <w:ind w:left="93"/>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113457">
              <w:rPr>
                <w:rFonts w:ascii="Times New Roman" w:hAnsi="Times New Roman" w:cs="Times New Roman"/>
                <w:color w:val="000000"/>
                <w:sz w:val="18"/>
                <w:szCs w:val="18"/>
              </w:rPr>
              <w:t>546,494</w:t>
            </w:r>
          </w:p>
        </w:tc>
        <w:tc>
          <w:tcPr>
            <w:tcW w:w="900" w:type="dxa"/>
            <w:vAlign w:val="center"/>
          </w:tcPr>
          <w:p w:rsidR="002529BD" w:rsidRPr="002529BD" w:rsidP="002529BD" w14:paraId="0C987347" w14:textId="77777777">
            <w:pPr>
              <w:spacing w:after="0" w:line="240" w:lineRule="auto"/>
              <w:ind w:left="93"/>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sidR="00113457">
              <w:rPr>
                <w:rFonts w:ascii="Times New Roman" w:hAnsi="Times New Roman" w:cs="Times New Roman"/>
                <w:color w:val="000000"/>
                <w:sz w:val="18"/>
                <w:szCs w:val="18"/>
              </w:rPr>
              <w:t>21,860</w:t>
            </w:r>
          </w:p>
        </w:tc>
        <w:tc>
          <w:tcPr>
            <w:tcW w:w="900" w:type="dxa"/>
            <w:vAlign w:val="center"/>
          </w:tcPr>
          <w:p w:rsidR="002529BD" w:rsidRPr="002529BD" w:rsidP="002529BD" w14:paraId="4F8B1820" w14:textId="77777777">
            <w:pPr>
              <w:spacing w:after="0" w:line="240" w:lineRule="auto"/>
              <w:ind w:left="98" w:right="69"/>
              <w:jc w:val="center"/>
              <w:rPr>
                <w:rFonts w:ascii="Times New Roman" w:hAnsi="Times New Roman" w:cs="Times New Roman"/>
                <w:sz w:val="18"/>
                <w:szCs w:val="18"/>
              </w:rPr>
            </w:pPr>
            <w:r>
              <w:rPr>
                <w:rFonts w:ascii="Times New Roman" w:hAnsi="Times New Roman" w:cs="Times New Roman"/>
                <w:sz w:val="18"/>
                <w:szCs w:val="18"/>
              </w:rPr>
              <w:t>518</w:t>
            </w:r>
          </w:p>
        </w:tc>
        <w:tc>
          <w:tcPr>
            <w:tcW w:w="1694" w:type="dxa"/>
            <w:vAlign w:val="center"/>
          </w:tcPr>
          <w:p w:rsidR="002529BD" w:rsidRPr="002529BD" w:rsidP="002529BD" w14:paraId="26295958"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BA20B1">
              <w:rPr>
                <w:rFonts w:ascii="Times New Roman" w:hAnsi="Times New Roman" w:cs="Times New Roman"/>
                <w:color w:val="000000"/>
                <w:sz w:val="18"/>
                <w:szCs w:val="18"/>
              </w:rPr>
              <w:t>58,881,469</w:t>
            </w:r>
          </w:p>
        </w:tc>
        <w:tc>
          <w:tcPr>
            <w:tcW w:w="1198" w:type="dxa"/>
            <w:vAlign w:val="center"/>
          </w:tcPr>
          <w:p w:rsidR="002529BD" w:rsidRPr="002529BD" w:rsidP="002529BD" w14:paraId="1B555705"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D46426">
              <w:rPr>
                <w:rFonts w:ascii="Times New Roman" w:hAnsi="Times New Roman" w:cs="Times New Roman"/>
                <w:color w:val="000000"/>
                <w:sz w:val="18"/>
                <w:szCs w:val="18"/>
              </w:rPr>
              <w:t>61,146,141</w:t>
            </w:r>
          </w:p>
        </w:tc>
        <w:tc>
          <w:tcPr>
            <w:tcW w:w="1198" w:type="dxa"/>
            <w:vAlign w:val="center"/>
          </w:tcPr>
          <w:p w:rsidR="002529BD" w:rsidRPr="002529BD" w:rsidP="002529BD" w14:paraId="33F80A52"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DF72B6">
              <w:rPr>
                <w:rFonts w:ascii="Times New Roman" w:hAnsi="Times New Roman" w:cs="Times New Roman"/>
                <w:color w:val="000000"/>
                <w:sz w:val="18"/>
                <w:szCs w:val="18"/>
              </w:rPr>
              <w:t>63,410,</w:t>
            </w:r>
            <w:r w:rsidR="002D6D35">
              <w:rPr>
                <w:rFonts w:ascii="Times New Roman" w:hAnsi="Times New Roman" w:cs="Times New Roman"/>
                <w:color w:val="000000"/>
                <w:sz w:val="18"/>
                <w:szCs w:val="18"/>
              </w:rPr>
              <w:t>813</w:t>
            </w:r>
          </w:p>
        </w:tc>
        <w:tc>
          <w:tcPr>
            <w:tcW w:w="1198" w:type="dxa"/>
            <w:vAlign w:val="center"/>
          </w:tcPr>
          <w:p w:rsidR="002529BD" w:rsidRPr="002529BD" w:rsidP="002529BD" w14:paraId="4DB0CBC6"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664CEB">
              <w:rPr>
                <w:rFonts w:ascii="Times New Roman" w:hAnsi="Times New Roman" w:cs="Times New Roman"/>
                <w:color w:val="000000"/>
                <w:sz w:val="18"/>
                <w:szCs w:val="18"/>
              </w:rPr>
              <w:t>65,</w:t>
            </w:r>
            <w:r w:rsidR="007D2B8F">
              <w:rPr>
                <w:rFonts w:ascii="Times New Roman" w:hAnsi="Times New Roman" w:cs="Times New Roman"/>
                <w:color w:val="000000"/>
                <w:sz w:val="18"/>
                <w:szCs w:val="18"/>
              </w:rPr>
              <w:t>675,485</w:t>
            </w:r>
          </w:p>
        </w:tc>
        <w:tc>
          <w:tcPr>
            <w:tcW w:w="1198" w:type="dxa"/>
            <w:vAlign w:val="center"/>
          </w:tcPr>
          <w:p w:rsidR="002529BD" w:rsidRPr="002529BD" w:rsidP="002529BD" w14:paraId="1286388F" w14:textId="77777777">
            <w:pPr>
              <w:spacing w:after="0" w:line="240" w:lineRule="auto"/>
              <w:ind w:left="69" w:right="55"/>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sidR="00DC0FC1">
              <w:rPr>
                <w:rFonts w:ascii="Times New Roman" w:hAnsi="Times New Roman" w:cs="Times New Roman"/>
                <w:color w:val="000000"/>
                <w:sz w:val="18"/>
                <w:szCs w:val="18"/>
              </w:rPr>
              <w:t>67,</w:t>
            </w:r>
            <w:r w:rsidR="00ED27E0">
              <w:rPr>
                <w:rFonts w:ascii="Times New Roman" w:hAnsi="Times New Roman" w:cs="Times New Roman"/>
                <w:color w:val="000000"/>
                <w:sz w:val="18"/>
                <w:szCs w:val="18"/>
              </w:rPr>
              <w:t>940,157</w:t>
            </w:r>
          </w:p>
        </w:tc>
      </w:tr>
      <w:tr w14:paraId="52424454" w14:textId="77777777" w:rsidTr="00113457">
        <w:tblPrEx>
          <w:tblW w:w="11546" w:type="dxa"/>
          <w:tblInd w:w="-568" w:type="dxa"/>
          <w:tblLayout w:type="fixed"/>
          <w:tblCellMar>
            <w:left w:w="0" w:type="dxa"/>
            <w:right w:w="0" w:type="dxa"/>
          </w:tblCellMar>
          <w:tblLook w:val="01E0"/>
        </w:tblPrEx>
        <w:trPr>
          <w:trHeight w:val="318"/>
        </w:trPr>
        <w:tc>
          <w:tcPr>
            <w:tcW w:w="1280" w:type="dxa"/>
            <w:vAlign w:val="center"/>
          </w:tcPr>
          <w:p w:rsidR="002529BD" w:rsidRPr="002529BD" w:rsidP="002529BD" w14:paraId="732B905E" w14:textId="77777777">
            <w:pPr>
              <w:spacing w:after="0" w:line="240" w:lineRule="auto"/>
              <w:ind w:left="183"/>
              <w:rPr>
                <w:rFonts w:ascii="Times New Roman" w:hAnsi="Times New Roman" w:cs="Times New Roman"/>
                <w:b/>
                <w:sz w:val="18"/>
                <w:szCs w:val="18"/>
              </w:rPr>
            </w:pPr>
            <w:r w:rsidRPr="002529BD">
              <w:rPr>
                <w:rFonts w:ascii="Times New Roman" w:hAnsi="Times New Roman" w:cs="Times New Roman"/>
                <w:b/>
                <w:sz w:val="18"/>
                <w:szCs w:val="18"/>
              </w:rPr>
              <w:t>Total</w:t>
            </w:r>
          </w:p>
        </w:tc>
        <w:tc>
          <w:tcPr>
            <w:tcW w:w="990" w:type="dxa"/>
            <w:vAlign w:val="center"/>
          </w:tcPr>
          <w:p w:rsidR="002529BD" w:rsidRPr="002529BD" w:rsidP="002529BD" w14:paraId="694E6A65" w14:textId="77777777">
            <w:pPr>
              <w:spacing w:after="0" w:line="240" w:lineRule="auto"/>
              <w:ind w:left="93" w:right="62"/>
              <w:jc w:val="center"/>
              <w:rPr>
                <w:rFonts w:ascii="Times New Roman" w:hAnsi="Times New Roman" w:cs="Times New Roman"/>
                <w:b/>
                <w:sz w:val="18"/>
                <w:szCs w:val="18"/>
              </w:rPr>
            </w:pPr>
          </w:p>
        </w:tc>
        <w:tc>
          <w:tcPr>
            <w:tcW w:w="990" w:type="dxa"/>
            <w:vAlign w:val="center"/>
          </w:tcPr>
          <w:p w:rsidR="002529BD" w:rsidRPr="002529BD" w:rsidP="002529BD" w14:paraId="00549576" w14:textId="77777777">
            <w:pPr>
              <w:spacing w:after="0" w:line="240" w:lineRule="auto"/>
              <w:ind w:left="93"/>
              <w:jc w:val="center"/>
              <w:rPr>
                <w:rFonts w:ascii="Times New Roman" w:hAnsi="Times New Roman" w:cs="Times New Roman"/>
                <w:b/>
                <w:sz w:val="18"/>
                <w:szCs w:val="18"/>
              </w:rPr>
            </w:pPr>
          </w:p>
        </w:tc>
        <w:tc>
          <w:tcPr>
            <w:tcW w:w="900" w:type="dxa"/>
            <w:vAlign w:val="center"/>
          </w:tcPr>
          <w:p w:rsidR="002529BD" w:rsidRPr="002529BD" w:rsidP="002529BD" w14:paraId="47F69181" w14:textId="77777777">
            <w:pPr>
              <w:spacing w:after="0" w:line="240" w:lineRule="auto"/>
              <w:ind w:left="93"/>
              <w:jc w:val="center"/>
              <w:rPr>
                <w:rFonts w:ascii="Times New Roman" w:hAnsi="Times New Roman" w:cs="Times New Roman"/>
                <w:b/>
                <w:sz w:val="18"/>
                <w:szCs w:val="18"/>
              </w:rPr>
            </w:pPr>
          </w:p>
        </w:tc>
        <w:tc>
          <w:tcPr>
            <w:tcW w:w="900" w:type="dxa"/>
            <w:vAlign w:val="center"/>
          </w:tcPr>
          <w:p w:rsidR="002529BD" w:rsidRPr="002529BD" w:rsidP="002529BD" w14:paraId="5938E033" w14:textId="77777777">
            <w:pPr>
              <w:spacing w:after="0" w:line="240" w:lineRule="auto"/>
              <w:ind w:left="98" w:right="69"/>
              <w:jc w:val="center"/>
              <w:rPr>
                <w:rFonts w:ascii="Times New Roman" w:hAnsi="Times New Roman" w:cs="Times New Roman"/>
                <w:b/>
                <w:sz w:val="18"/>
                <w:szCs w:val="18"/>
              </w:rPr>
            </w:pPr>
            <w:r>
              <w:rPr>
                <w:rFonts w:ascii="Times New Roman" w:hAnsi="Times New Roman" w:cs="Times New Roman"/>
                <w:b/>
                <w:sz w:val="18"/>
                <w:szCs w:val="18"/>
              </w:rPr>
              <w:t>611</w:t>
            </w:r>
          </w:p>
        </w:tc>
        <w:tc>
          <w:tcPr>
            <w:tcW w:w="1694" w:type="dxa"/>
            <w:vAlign w:val="center"/>
          </w:tcPr>
          <w:p w:rsidR="002529BD" w:rsidRPr="002529BD" w:rsidP="002529BD" w14:paraId="75FDE0B0"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sidR="003F4CBD">
              <w:rPr>
                <w:rFonts w:ascii="Times New Roman" w:hAnsi="Times New Roman" w:cs="Times New Roman"/>
                <w:b/>
                <w:color w:val="000000"/>
                <w:sz w:val="18"/>
                <w:szCs w:val="18"/>
              </w:rPr>
              <w:t>144,950,926</w:t>
            </w:r>
          </w:p>
        </w:tc>
        <w:tc>
          <w:tcPr>
            <w:tcW w:w="1198" w:type="dxa"/>
            <w:vAlign w:val="center"/>
          </w:tcPr>
          <w:p w:rsidR="002529BD" w:rsidRPr="002529BD" w:rsidP="002529BD" w14:paraId="27A1A9D0"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sidR="007F684C">
              <w:rPr>
                <w:rFonts w:ascii="Times New Roman" w:hAnsi="Times New Roman" w:cs="Times New Roman"/>
                <w:b/>
                <w:color w:val="000000"/>
                <w:sz w:val="18"/>
                <w:szCs w:val="18"/>
              </w:rPr>
              <w:t>150,525,961</w:t>
            </w:r>
          </w:p>
        </w:tc>
        <w:tc>
          <w:tcPr>
            <w:tcW w:w="1198" w:type="dxa"/>
            <w:vAlign w:val="center"/>
          </w:tcPr>
          <w:p w:rsidR="002529BD" w:rsidRPr="002529BD" w:rsidP="002529BD" w14:paraId="7FFC5D5C"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sidR="00E668AB">
              <w:rPr>
                <w:rFonts w:ascii="Times New Roman" w:hAnsi="Times New Roman" w:cs="Times New Roman"/>
                <w:b/>
                <w:color w:val="000000"/>
                <w:sz w:val="18"/>
                <w:szCs w:val="18"/>
              </w:rPr>
              <w:t>156,</w:t>
            </w:r>
            <w:r w:rsidR="007C5293">
              <w:rPr>
                <w:rFonts w:ascii="Times New Roman" w:hAnsi="Times New Roman" w:cs="Times New Roman"/>
                <w:b/>
                <w:color w:val="000000"/>
                <w:sz w:val="18"/>
                <w:szCs w:val="18"/>
              </w:rPr>
              <w:t>100,997</w:t>
            </w:r>
          </w:p>
        </w:tc>
        <w:tc>
          <w:tcPr>
            <w:tcW w:w="1198" w:type="dxa"/>
            <w:vAlign w:val="center"/>
          </w:tcPr>
          <w:p w:rsidR="002529BD" w:rsidRPr="002529BD" w:rsidP="002529BD" w14:paraId="0F969999"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sidR="00034A96">
              <w:rPr>
                <w:rFonts w:ascii="Times New Roman" w:hAnsi="Times New Roman" w:cs="Times New Roman"/>
                <w:b/>
                <w:color w:val="000000"/>
                <w:sz w:val="18"/>
                <w:szCs w:val="18"/>
              </w:rPr>
              <w:t>161,676,032</w:t>
            </w:r>
          </w:p>
        </w:tc>
        <w:tc>
          <w:tcPr>
            <w:tcW w:w="1198" w:type="dxa"/>
            <w:vAlign w:val="center"/>
          </w:tcPr>
          <w:p w:rsidR="002529BD" w:rsidRPr="002529BD" w:rsidP="002529BD" w14:paraId="1F8F29C6" w14:textId="77777777">
            <w:pPr>
              <w:spacing w:after="0" w:line="240" w:lineRule="auto"/>
              <w:ind w:left="69" w:right="55"/>
              <w:jc w:val="center"/>
              <w:rPr>
                <w:rFonts w:ascii="Times New Roman" w:hAnsi="Times New Roman" w:cs="Times New Roman"/>
                <w:b/>
                <w:sz w:val="18"/>
                <w:szCs w:val="18"/>
              </w:rPr>
            </w:pPr>
            <w:r w:rsidRPr="002529BD">
              <w:rPr>
                <w:rFonts w:ascii="Times New Roman" w:hAnsi="Times New Roman" w:cs="Times New Roman"/>
                <w:b/>
                <w:color w:val="000000"/>
                <w:sz w:val="18"/>
                <w:szCs w:val="18"/>
              </w:rPr>
              <w:t>$</w:t>
            </w:r>
            <w:r w:rsidR="00155C92">
              <w:rPr>
                <w:rFonts w:ascii="Times New Roman" w:hAnsi="Times New Roman" w:cs="Times New Roman"/>
                <w:b/>
                <w:color w:val="000000"/>
                <w:sz w:val="18"/>
                <w:szCs w:val="18"/>
              </w:rPr>
              <w:t>167,251,068</w:t>
            </w:r>
          </w:p>
        </w:tc>
      </w:tr>
    </w:tbl>
    <w:p w:rsidR="0095340B" w:rsidP="0095340B" w14:paraId="53443B95" w14:textId="77777777">
      <w:pPr>
        <w:keepNext/>
        <w:spacing w:after="0" w:line="240" w:lineRule="auto"/>
        <w:ind w:left="640"/>
        <w:rPr>
          <w:rFonts w:ascii="Times New Roman" w:hAnsi="Times New Roman" w:cs="Times New Roman"/>
          <w:w w:val="105"/>
          <w:sz w:val="18"/>
          <w:szCs w:val="18"/>
        </w:rPr>
      </w:pPr>
      <w:r w:rsidRPr="00D21E4B">
        <w:rPr>
          <w:rFonts w:ascii="Times New Roman" w:hAnsi="Times New Roman" w:cs="Times New Roman"/>
          <w:w w:val="105"/>
          <w:position w:val="6"/>
          <w:sz w:val="18"/>
          <w:szCs w:val="18"/>
        </w:rPr>
        <w:t>*</w:t>
      </w:r>
      <w:r w:rsidRPr="00D21E4B">
        <w:rPr>
          <w:rFonts w:ascii="Times New Roman" w:hAnsi="Times New Roman" w:cs="Times New Roman"/>
          <w:w w:val="105"/>
          <w:sz w:val="18"/>
          <w:szCs w:val="18"/>
        </w:rPr>
        <w:t>Totals may not sum due to rounding</w:t>
      </w:r>
      <w:r>
        <w:rPr>
          <w:rFonts w:ascii="Times New Roman" w:hAnsi="Times New Roman" w:cs="Times New Roman"/>
          <w:w w:val="105"/>
          <w:sz w:val="18"/>
          <w:szCs w:val="18"/>
        </w:rPr>
        <w:t>.</w:t>
      </w:r>
    </w:p>
    <w:p w:rsidR="00465A65" w:rsidRPr="00D21E4B" w:rsidP="0095340B" w14:paraId="7BAEA0A3" w14:textId="77777777">
      <w:pPr>
        <w:keepNext/>
        <w:spacing w:after="0" w:line="240" w:lineRule="auto"/>
        <w:ind w:left="640"/>
        <w:rPr>
          <w:rFonts w:ascii="Times New Roman" w:hAnsi="Times New Roman" w:cs="Times New Roman"/>
          <w:sz w:val="18"/>
          <w:szCs w:val="18"/>
        </w:rPr>
      </w:pPr>
      <w:r>
        <w:rPr>
          <w:rFonts w:ascii="Times New Roman" w:hAnsi="Times New Roman" w:cs="Times New Roman"/>
          <w:w w:val="105"/>
          <w:sz w:val="18"/>
          <w:szCs w:val="18"/>
        </w:rPr>
        <w:t>**Total annual recurring cost = (year)</w:t>
      </w:r>
      <w:r w:rsidR="00A020B7">
        <w:rPr>
          <w:rFonts w:ascii="Times New Roman" w:hAnsi="Times New Roman" w:cs="Times New Roman"/>
          <w:w w:val="105"/>
          <w:sz w:val="18"/>
          <w:szCs w:val="18"/>
        </w:rPr>
        <w:t>×</w:t>
      </w:r>
      <w:r>
        <w:rPr>
          <w:rFonts w:ascii="Times New Roman" w:hAnsi="Times New Roman" w:cs="Times New Roman"/>
          <w:w w:val="105"/>
          <w:sz w:val="18"/>
          <w:szCs w:val="18"/>
        </w:rPr>
        <w:t>(capital cost annual frequency)</w:t>
      </w:r>
      <w:r w:rsidRPr="00A020B7" w:rsidR="00A020B7">
        <w:rPr>
          <w:rFonts w:ascii="Times New Roman" w:hAnsi="Times New Roman" w:cs="Times New Roman"/>
          <w:w w:val="105"/>
          <w:sz w:val="18"/>
          <w:szCs w:val="18"/>
        </w:rPr>
        <w:t xml:space="preserve"> </w:t>
      </w:r>
      <w:r w:rsidR="00A020B7">
        <w:rPr>
          <w:rFonts w:ascii="Times New Roman" w:hAnsi="Times New Roman" w:cs="Times New Roman"/>
          <w:w w:val="105"/>
          <w:sz w:val="18"/>
          <w:szCs w:val="18"/>
        </w:rPr>
        <w:t>×</w:t>
      </w:r>
      <w:r>
        <w:rPr>
          <w:rFonts w:ascii="Times New Roman" w:hAnsi="Times New Roman" w:cs="Times New Roman"/>
          <w:w w:val="105"/>
          <w:sz w:val="18"/>
          <w:szCs w:val="18"/>
        </w:rPr>
        <w:t>(unit recurring cost)</w:t>
      </w:r>
      <w:r w:rsidRPr="00A020B7" w:rsidR="00A020B7">
        <w:rPr>
          <w:rFonts w:ascii="Times New Roman" w:hAnsi="Times New Roman" w:cs="Times New Roman"/>
          <w:w w:val="105"/>
          <w:sz w:val="18"/>
          <w:szCs w:val="18"/>
        </w:rPr>
        <w:t xml:space="preserve"> </w:t>
      </w:r>
      <w:r w:rsidR="00A020B7">
        <w:rPr>
          <w:rFonts w:ascii="Times New Roman" w:hAnsi="Times New Roman" w:cs="Times New Roman"/>
          <w:w w:val="105"/>
          <w:sz w:val="18"/>
          <w:szCs w:val="18"/>
        </w:rPr>
        <w:t>×</w:t>
      </w:r>
      <w:r>
        <w:rPr>
          <w:rFonts w:ascii="Times New Roman" w:hAnsi="Times New Roman" w:cs="Times New Roman"/>
          <w:w w:val="105"/>
          <w:sz w:val="18"/>
          <w:szCs w:val="18"/>
        </w:rPr>
        <w:t>(facilities)</w:t>
      </w:r>
    </w:p>
    <w:p w:rsidR="004D4DDF" w:rsidRPr="00BF4D0A" w:rsidP="00065503" w14:paraId="7555816D" w14:textId="77777777">
      <w:pPr>
        <w:spacing w:after="0" w:line="240" w:lineRule="auto"/>
        <w:rPr>
          <w:rFonts w:ascii="Times New Roman" w:hAnsi="Times New Roman" w:cs="Times New Roman"/>
        </w:rPr>
      </w:pPr>
    </w:p>
    <w:p w:rsidR="001B4B66" w:rsidP="00065503" w14:paraId="6C53284F" w14:textId="77777777">
      <w:pPr>
        <w:spacing w:after="0" w:line="240" w:lineRule="auto"/>
        <w:rPr>
          <w:rFonts w:ascii="Times New Roman" w:hAnsi="Times New Roman" w:cs="Times New Roman"/>
        </w:rPr>
      </w:pPr>
    </w:p>
    <w:p w:rsidR="001B4B66" w:rsidP="00065503" w14:paraId="4D3E4653" w14:textId="77777777">
      <w:pPr>
        <w:spacing w:after="0" w:line="240" w:lineRule="auto"/>
        <w:rPr>
          <w:rFonts w:ascii="Times New Roman" w:hAnsi="Times New Roman" w:cs="Times New Roman"/>
        </w:rPr>
      </w:pPr>
    </w:p>
    <w:p w:rsidR="001B4B66" w:rsidP="00065503" w14:paraId="691CC015" w14:textId="77777777">
      <w:pPr>
        <w:spacing w:after="0" w:line="240" w:lineRule="auto"/>
        <w:rPr>
          <w:rFonts w:ascii="Times New Roman" w:hAnsi="Times New Roman" w:cs="Times New Roman"/>
        </w:rPr>
      </w:pPr>
    </w:p>
    <w:p w:rsidR="001B4B66" w:rsidP="00065503" w14:paraId="0F01CEFB" w14:textId="77777777">
      <w:pPr>
        <w:spacing w:after="0" w:line="240" w:lineRule="auto"/>
        <w:rPr>
          <w:rFonts w:ascii="Times New Roman" w:hAnsi="Times New Roman" w:cs="Times New Roman"/>
        </w:rPr>
      </w:pPr>
    </w:p>
    <w:p w:rsidR="001B4B66" w:rsidP="00065503" w14:paraId="536E357F" w14:textId="77777777">
      <w:pPr>
        <w:spacing w:after="0" w:line="240" w:lineRule="auto"/>
        <w:rPr>
          <w:rFonts w:ascii="Times New Roman" w:hAnsi="Times New Roman" w:cs="Times New Roman"/>
        </w:rPr>
      </w:pPr>
    </w:p>
    <w:p w:rsidR="001B4B66" w:rsidRPr="00BF4D0A" w:rsidP="00065503" w14:paraId="46071976" w14:textId="77777777">
      <w:pPr>
        <w:spacing w:after="0" w:line="240" w:lineRule="auto"/>
        <w:rPr>
          <w:rFonts w:ascii="Times New Roman" w:hAnsi="Times New Roman" w:cs="Times New Roman"/>
        </w:rPr>
      </w:pPr>
    </w:p>
    <w:p w:rsidR="004D4DDF" w:rsidP="004D4DDF" w14:paraId="196892EB" w14:textId="77777777">
      <w:pPr>
        <w:pStyle w:val="Caption"/>
        <w:jc w:val="center"/>
      </w:pPr>
      <w:r w:rsidRPr="00B87FD9">
        <w:rPr>
          <w:rFonts w:ascii="Times New Roman" w:hAnsi="Times New Roman" w:cs="Times New Roman"/>
          <w:b/>
          <w:bCs/>
          <w:i w:val="0"/>
          <w:iCs w:val="0"/>
          <w:color w:val="auto"/>
          <w:sz w:val="22"/>
          <w:szCs w:val="22"/>
        </w:rPr>
        <w:t xml:space="preserve">Exhibit </w:t>
      </w:r>
      <w:r w:rsidRPr="00D21E4B">
        <w:rPr>
          <w:rFonts w:ascii="Times New Roman" w:hAnsi="Times New Roman" w:cs="Times New Roman"/>
          <w:b/>
          <w:bCs/>
          <w:i w:val="0"/>
          <w:iCs w:val="0"/>
          <w:color w:val="auto"/>
          <w:sz w:val="22"/>
          <w:szCs w:val="22"/>
        </w:rPr>
        <w:t>5-</w:t>
      </w:r>
      <w:r>
        <w:rPr>
          <w:rFonts w:ascii="Times New Roman" w:hAnsi="Times New Roman" w:cs="Times New Roman"/>
          <w:b/>
          <w:bCs/>
          <w:i w:val="0"/>
          <w:iCs w:val="0"/>
          <w:color w:val="auto"/>
          <w:sz w:val="22"/>
          <w:szCs w:val="22"/>
        </w:rPr>
        <w:t>5</w:t>
      </w:r>
      <w:r w:rsidRPr="00D21E4B">
        <w:rPr>
          <w:rFonts w:ascii="Times New Roman" w:hAnsi="Times New Roman" w:cs="Times New Roman"/>
          <w:b/>
          <w:bCs/>
          <w:i w:val="0"/>
          <w:iCs w:val="0"/>
          <w:color w:val="auto"/>
          <w:sz w:val="22"/>
          <w:szCs w:val="22"/>
        </w:rPr>
        <w:t xml:space="preserve">: Estimated </w:t>
      </w:r>
      <w:r>
        <w:rPr>
          <w:rFonts w:ascii="Times New Roman" w:hAnsi="Times New Roman" w:cs="Times New Roman"/>
          <w:b/>
          <w:bCs/>
          <w:i w:val="0"/>
          <w:iCs w:val="0"/>
          <w:color w:val="auto"/>
          <w:sz w:val="22"/>
          <w:szCs w:val="22"/>
        </w:rPr>
        <w:t>Annual</w:t>
      </w:r>
      <w:r w:rsidRPr="00D21E4B">
        <w:rPr>
          <w:rFonts w:ascii="Times New Roman" w:hAnsi="Times New Roman" w:cs="Times New Roman"/>
          <w:b/>
          <w:bCs/>
          <w:i w:val="0"/>
          <w:iCs w:val="0"/>
          <w:color w:val="auto"/>
          <w:sz w:val="22"/>
          <w:szCs w:val="22"/>
        </w:rPr>
        <w:t xml:space="preserve"> Costs for STAA </w:t>
      </w:r>
      <w:r>
        <w:rPr>
          <w:rFonts w:ascii="Times New Roman" w:hAnsi="Times New Roman" w:cs="Times New Roman"/>
          <w:b/>
          <w:bCs/>
          <w:i w:val="0"/>
          <w:iCs w:val="0"/>
          <w:color w:val="auto"/>
          <w:sz w:val="22"/>
          <w:szCs w:val="22"/>
        </w:rPr>
        <w:t>Implementation Years 6-10</w:t>
      </w:r>
      <w:r w:rsidRPr="00D21E4B">
        <w:rPr>
          <w:rFonts w:ascii="Times New Roman" w:hAnsi="Times New Roman" w:cs="Times New Roman"/>
          <w:b/>
          <w:bCs/>
          <w:i w:val="0"/>
          <w:iCs w:val="0"/>
          <w:color w:val="auto"/>
          <w:sz w:val="22"/>
          <w:szCs w:val="22"/>
        </w:rPr>
        <w:t xml:space="preserve"> (202</w:t>
      </w:r>
      <w:r>
        <w:rPr>
          <w:rFonts w:ascii="Times New Roman" w:hAnsi="Times New Roman" w:cs="Times New Roman"/>
          <w:b/>
          <w:bCs/>
          <w:i w:val="0"/>
          <w:iCs w:val="0"/>
          <w:color w:val="auto"/>
          <w:sz w:val="22"/>
          <w:szCs w:val="22"/>
        </w:rPr>
        <w:t>2</w:t>
      </w:r>
      <w:r w:rsidRPr="00D21E4B">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d</w:t>
      </w:r>
      <w:r w:rsidRPr="00D21E4B">
        <w:rPr>
          <w:rFonts w:ascii="Times New Roman" w:hAnsi="Times New Roman" w:cs="Times New Roman"/>
          <w:b/>
          <w:bCs/>
          <w:i w:val="0"/>
          <w:iCs w:val="0"/>
          <w:color w:val="auto"/>
          <w:sz w:val="22"/>
          <w:szCs w:val="22"/>
        </w:rPr>
        <w:t>ollars).</w:t>
      </w:r>
    </w:p>
    <w:tbl>
      <w:tblPr>
        <w:tblW w:w="11546" w:type="dxa"/>
        <w:tblInd w:w="-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80"/>
        <w:gridCol w:w="990"/>
        <w:gridCol w:w="990"/>
        <w:gridCol w:w="900"/>
        <w:gridCol w:w="900"/>
        <w:gridCol w:w="1694"/>
        <w:gridCol w:w="1198"/>
        <w:gridCol w:w="1198"/>
        <w:gridCol w:w="1198"/>
        <w:gridCol w:w="1198"/>
      </w:tblGrid>
      <w:tr w14:paraId="3892685F" w14:textId="77777777">
        <w:tblPrEx>
          <w:tblW w:w="11546" w:type="dxa"/>
          <w:tblInd w:w="-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25"/>
        </w:trPr>
        <w:tc>
          <w:tcPr>
            <w:tcW w:w="1280" w:type="dxa"/>
            <w:vMerge w:val="restart"/>
            <w:shd w:val="clear" w:color="auto" w:fill="DADADA"/>
            <w:vAlign w:val="center"/>
          </w:tcPr>
          <w:p w:rsidR="004D4DDF" w:rsidRPr="002529BD" w14:paraId="5BD90D0C" w14:textId="77777777">
            <w:pPr>
              <w:keepNext/>
              <w:spacing w:after="0" w:line="240" w:lineRule="auto"/>
              <w:ind w:left="183" w:right="171"/>
              <w:jc w:val="center"/>
              <w:rPr>
                <w:rFonts w:ascii="Times New Roman" w:hAnsi="Times New Roman" w:cs="Times New Roman"/>
                <w:b/>
                <w:sz w:val="18"/>
                <w:szCs w:val="18"/>
              </w:rPr>
            </w:pPr>
            <w:r w:rsidRPr="002529BD">
              <w:rPr>
                <w:rFonts w:ascii="Times New Roman" w:hAnsi="Times New Roman" w:cs="Times New Roman"/>
                <w:b/>
                <w:sz w:val="18"/>
                <w:szCs w:val="18"/>
              </w:rPr>
              <w:t>Facility Type</w:t>
            </w:r>
          </w:p>
        </w:tc>
        <w:tc>
          <w:tcPr>
            <w:tcW w:w="990" w:type="dxa"/>
            <w:vMerge w:val="restart"/>
            <w:shd w:val="clear" w:color="auto" w:fill="DADADA"/>
            <w:vAlign w:val="center"/>
          </w:tcPr>
          <w:p w:rsidR="004D4DDF" w:rsidRPr="002529BD" w14:paraId="30D670BC" w14:textId="77777777">
            <w:pPr>
              <w:keepNext/>
              <w:spacing w:after="0" w:line="240" w:lineRule="auto"/>
              <w:ind w:left="93" w:right="57"/>
              <w:jc w:val="center"/>
              <w:rPr>
                <w:rFonts w:ascii="Times New Roman" w:hAnsi="Times New Roman" w:cs="Times New Roman"/>
                <w:b/>
                <w:sz w:val="18"/>
                <w:szCs w:val="18"/>
              </w:rPr>
            </w:pPr>
            <w:r w:rsidRPr="002529BD">
              <w:rPr>
                <w:rFonts w:ascii="Times New Roman" w:hAnsi="Times New Roman" w:cs="Times New Roman"/>
                <w:b/>
                <w:sz w:val="18"/>
                <w:szCs w:val="18"/>
              </w:rPr>
              <w:t>Capital Cost Annual</w:t>
            </w:r>
          </w:p>
          <w:p w:rsidR="004D4DDF" w:rsidRPr="002529BD" w14:paraId="2DAF9AF0" w14:textId="77777777">
            <w:pPr>
              <w:keepNext/>
              <w:spacing w:after="0" w:line="240" w:lineRule="auto"/>
              <w:ind w:left="88" w:right="64"/>
              <w:jc w:val="center"/>
              <w:rPr>
                <w:rFonts w:ascii="Times New Roman" w:hAnsi="Times New Roman" w:cs="Times New Roman"/>
                <w:b/>
                <w:sz w:val="18"/>
                <w:szCs w:val="18"/>
              </w:rPr>
            </w:pPr>
            <w:r w:rsidRPr="002529BD">
              <w:rPr>
                <w:rFonts w:ascii="Times New Roman" w:hAnsi="Times New Roman" w:cs="Times New Roman"/>
                <w:b/>
                <w:sz w:val="18"/>
                <w:szCs w:val="18"/>
              </w:rPr>
              <w:t>Frequency</w:t>
            </w:r>
          </w:p>
        </w:tc>
        <w:tc>
          <w:tcPr>
            <w:tcW w:w="990" w:type="dxa"/>
            <w:vMerge w:val="restart"/>
            <w:shd w:val="clear" w:color="auto" w:fill="D9D9D9" w:themeFill="background1" w:themeFillShade="D9"/>
            <w:vAlign w:val="center"/>
          </w:tcPr>
          <w:p w:rsidR="004D4DDF" w:rsidRPr="002529BD" w14:paraId="44D7BD55" w14:textId="77777777">
            <w:pPr>
              <w:keepNext/>
              <w:spacing w:after="0" w:line="240" w:lineRule="auto"/>
              <w:ind w:left="93"/>
              <w:jc w:val="center"/>
              <w:rPr>
                <w:rFonts w:ascii="Times New Roman" w:hAnsi="Times New Roman" w:cs="Times New Roman"/>
                <w:b/>
                <w:sz w:val="18"/>
                <w:szCs w:val="18"/>
              </w:rPr>
            </w:pPr>
            <w:r w:rsidRPr="002529BD">
              <w:rPr>
                <w:rFonts w:ascii="Times New Roman" w:hAnsi="Times New Roman" w:cs="Times New Roman"/>
                <w:b/>
                <w:sz w:val="18"/>
                <w:szCs w:val="18"/>
              </w:rPr>
              <w:t>Unit Capital Cost</w:t>
            </w:r>
          </w:p>
        </w:tc>
        <w:tc>
          <w:tcPr>
            <w:tcW w:w="900" w:type="dxa"/>
            <w:vMerge w:val="restart"/>
            <w:shd w:val="clear" w:color="auto" w:fill="D9D9D9" w:themeFill="background1" w:themeFillShade="D9"/>
            <w:vAlign w:val="center"/>
          </w:tcPr>
          <w:p w:rsidR="004D4DDF" w:rsidRPr="002529BD" w14:paraId="23873F0C" w14:textId="77777777">
            <w:pPr>
              <w:keepNext/>
              <w:spacing w:after="0" w:line="240" w:lineRule="auto"/>
              <w:ind w:left="93"/>
              <w:jc w:val="center"/>
              <w:rPr>
                <w:rFonts w:ascii="Times New Roman" w:hAnsi="Times New Roman" w:cs="Times New Roman"/>
                <w:b/>
                <w:sz w:val="18"/>
                <w:szCs w:val="18"/>
              </w:rPr>
            </w:pPr>
            <w:r w:rsidRPr="002529BD">
              <w:rPr>
                <w:rFonts w:ascii="Times New Roman" w:hAnsi="Times New Roman" w:cs="Times New Roman"/>
                <w:b/>
                <w:sz w:val="18"/>
                <w:szCs w:val="18"/>
              </w:rPr>
              <w:t>Unit Recurring Cost</w:t>
            </w:r>
          </w:p>
        </w:tc>
        <w:tc>
          <w:tcPr>
            <w:tcW w:w="900" w:type="dxa"/>
            <w:vMerge w:val="restart"/>
            <w:shd w:val="clear" w:color="auto" w:fill="DADADA"/>
            <w:vAlign w:val="center"/>
          </w:tcPr>
          <w:p w:rsidR="004D4DDF" w:rsidRPr="002529BD" w14:paraId="168A68AF" w14:textId="77777777">
            <w:pPr>
              <w:keepNext/>
              <w:spacing w:after="0" w:line="240" w:lineRule="auto"/>
              <w:ind w:left="98" w:right="76"/>
              <w:jc w:val="center"/>
              <w:rPr>
                <w:rFonts w:ascii="Times New Roman" w:hAnsi="Times New Roman" w:cs="Times New Roman"/>
                <w:b/>
                <w:sz w:val="18"/>
                <w:szCs w:val="18"/>
              </w:rPr>
            </w:pPr>
            <w:r w:rsidRPr="002529BD">
              <w:rPr>
                <w:rFonts w:ascii="Times New Roman" w:hAnsi="Times New Roman" w:cs="Times New Roman"/>
                <w:b/>
                <w:sz w:val="18"/>
                <w:szCs w:val="18"/>
              </w:rPr>
              <w:t>Facilities</w:t>
            </w:r>
          </w:p>
        </w:tc>
        <w:tc>
          <w:tcPr>
            <w:tcW w:w="6486" w:type="dxa"/>
            <w:gridSpan w:val="5"/>
            <w:shd w:val="clear" w:color="auto" w:fill="DADADA"/>
            <w:vAlign w:val="center"/>
          </w:tcPr>
          <w:p w:rsidR="004D4DDF" w:rsidRPr="002529BD" w14:paraId="56DEB353" w14:textId="77777777">
            <w:pPr>
              <w:keepNext/>
              <w:spacing w:after="0" w:line="240" w:lineRule="auto"/>
              <w:ind w:left="91" w:right="55"/>
              <w:jc w:val="center"/>
              <w:rPr>
                <w:rFonts w:ascii="Times New Roman" w:hAnsi="Times New Roman" w:cs="Times New Roman"/>
                <w:b/>
                <w:sz w:val="18"/>
                <w:szCs w:val="18"/>
              </w:rPr>
            </w:pPr>
            <w:r w:rsidRPr="002529BD">
              <w:rPr>
                <w:rFonts w:ascii="Times New Roman" w:hAnsi="Times New Roman" w:cs="Times New Roman"/>
                <w:b/>
                <w:sz w:val="18"/>
                <w:szCs w:val="18"/>
              </w:rPr>
              <w:t>Total Annual</w:t>
            </w:r>
            <w:r>
              <w:rPr>
                <w:rFonts w:ascii="Times New Roman" w:hAnsi="Times New Roman" w:cs="Times New Roman"/>
                <w:b/>
                <w:sz w:val="18"/>
                <w:szCs w:val="18"/>
              </w:rPr>
              <w:t xml:space="preserve"> </w:t>
            </w:r>
            <w:r w:rsidRPr="002529BD">
              <w:rPr>
                <w:rFonts w:ascii="Times New Roman" w:hAnsi="Times New Roman" w:cs="Times New Roman"/>
                <w:b/>
                <w:sz w:val="18"/>
                <w:szCs w:val="18"/>
              </w:rPr>
              <w:t>Cost</w:t>
            </w:r>
            <w:r>
              <w:rPr>
                <w:rFonts w:ascii="Times New Roman" w:hAnsi="Times New Roman" w:cs="Times New Roman"/>
                <w:b/>
                <w:sz w:val="18"/>
                <w:szCs w:val="18"/>
              </w:rPr>
              <w:t xml:space="preserve"> in Year:</w:t>
            </w:r>
          </w:p>
        </w:tc>
      </w:tr>
      <w:tr w14:paraId="1E8F0BF2" w14:textId="77777777">
        <w:tblPrEx>
          <w:tblW w:w="11546" w:type="dxa"/>
          <w:tblInd w:w="-568" w:type="dxa"/>
          <w:tblLayout w:type="fixed"/>
          <w:tblCellMar>
            <w:left w:w="0" w:type="dxa"/>
            <w:right w:w="0" w:type="dxa"/>
          </w:tblCellMar>
          <w:tblLook w:val="01E0"/>
        </w:tblPrEx>
        <w:trPr>
          <w:trHeight w:val="525"/>
        </w:trPr>
        <w:tc>
          <w:tcPr>
            <w:tcW w:w="1280" w:type="dxa"/>
            <w:vMerge/>
            <w:shd w:val="clear" w:color="auto" w:fill="DADADA"/>
            <w:vAlign w:val="center"/>
          </w:tcPr>
          <w:p w:rsidR="004D4DDF" w:rsidRPr="002529BD" w14:paraId="63BAC998" w14:textId="77777777">
            <w:pPr>
              <w:keepNext/>
              <w:spacing w:after="0" w:line="240" w:lineRule="auto"/>
              <w:ind w:left="183" w:right="171"/>
              <w:jc w:val="center"/>
              <w:rPr>
                <w:rFonts w:ascii="Times New Roman" w:hAnsi="Times New Roman" w:cs="Times New Roman"/>
                <w:b/>
                <w:sz w:val="18"/>
                <w:szCs w:val="18"/>
              </w:rPr>
            </w:pPr>
          </w:p>
        </w:tc>
        <w:tc>
          <w:tcPr>
            <w:tcW w:w="990" w:type="dxa"/>
            <w:vMerge/>
            <w:shd w:val="clear" w:color="auto" w:fill="DADADA"/>
            <w:vAlign w:val="center"/>
          </w:tcPr>
          <w:p w:rsidR="004D4DDF" w:rsidRPr="002529BD" w14:paraId="0FD4B832" w14:textId="77777777">
            <w:pPr>
              <w:keepNext/>
              <w:spacing w:after="0" w:line="240" w:lineRule="auto"/>
              <w:ind w:left="93" w:right="57"/>
              <w:jc w:val="center"/>
              <w:rPr>
                <w:rFonts w:ascii="Times New Roman" w:hAnsi="Times New Roman" w:cs="Times New Roman"/>
                <w:b/>
                <w:sz w:val="18"/>
                <w:szCs w:val="18"/>
              </w:rPr>
            </w:pPr>
          </w:p>
        </w:tc>
        <w:tc>
          <w:tcPr>
            <w:tcW w:w="990" w:type="dxa"/>
            <w:vMerge/>
            <w:shd w:val="clear" w:color="auto" w:fill="D9D9D9" w:themeFill="background1" w:themeFillShade="D9"/>
            <w:vAlign w:val="center"/>
          </w:tcPr>
          <w:p w:rsidR="004D4DDF" w:rsidRPr="002529BD" w14:paraId="6EAAFFD2" w14:textId="77777777">
            <w:pPr>
              <w:keepNext/>
              <w:spacing w:after="0" w:line="240" w:lineRule="auto"/>
              <w:ind w:left="93"/>
              <w:jc w:val="center"/>
              <w:rPr>
                <w:rFonts w:ascii="Times New Roman" w:hAnsi="Times New Roman" w:cs="Times New Roman"/>
                <w:b/>
                <w:sz w:val="18"/>
                <w:szCs w:val="18"/>
              </w:rPr>
            </w:pPr>
          </w:p>
        </w:tc>
        <w:tc>
          <w:tcPr>
            <w:tcW w:w="900" w:type="dxa"/>
            <w:vMerge/>
            <w:shd w:val="clear" w:color="auto" w:fill="D9D9D9" w:themeFill="background1" w:themeFillShade="D9"/>
            <w:vAlign w:val="center"/>
          </w:tcPr>
          <w:p w:rsidR="004D4DDF" w:rsidRPr="002529BD" w14:paraId="31251B31" w14:textId="77777777">
            <w:pPr>
              <w:keepNext/>
              <w:spacing w:after="0" w:line="240" w:lineRule="auto"/>
              <w:ind w:left="93"/>
              <w:jc w:val="center"/>
              <w:rPr>
                <w:rFonts w:ascii="Times New Roman" w:hAnsi="Times New Roman" w:cs="Times New Roman"/>
                <w:b/>
                <w:sz w:val="18"/>
                <w:szCs w:val="18"/>
              </w:rPr>
            </w:pPr>
          </w:p>
        </w:tc>
        <w:tc>
          <w:tcPr>
            <w:tcW w:w="900" w:type="dxa"/>
            <w:vMerge/>
            <w:shd w:val="clear" w:color="auto" w:fill="DADADA"/>
            <w:vAlign w:val="center"/>
          </w:tcPr>
          <w:p w:rsidR="004D4DDF" w:rsidRPr="002529BD" w14:paraId="77910309" w14:textId="77777777">
            <w:pPr>
              <w:keepNext/>
              <w:spacing w:after="0" w:line="240" w:lineRule="auto"/>
              <w:ind w:left="98" w:right="76"/>
              <w:jc w:val="center"/>
              <w:rPr>
                <w:rFonts w:ascii="Times New Roman" w:hAnsi="Times New Roman" w:cs="Times New Roman"/>
                <w:b/>
                <w:sz w:val="18"/>
                <w:szCs w:val="18"/>
              </w:rPr>
            </w:pPr>
          </w:p>
        </w:tc>
        <w:tc>
          <w:tcPr>
            <w:tcW w:w="1694" w:type="dxa"/>
            <w:shd w:val="clear" w:color="auto" w:fill="DADADA"/>
            <w:vAlign w:val="center"/>
          </w:tcPr>
          <w:p w:rsidR="004D4DDF" w:rsidRPr="002529BD" w14:paraId="112E611D"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6</w:t>
            </w:r>
          </w:p>
        </w:tc>
        <w:tc>
          <w:tcPr>
            <w:tcW w:w="1198" w:type="dxa"/>
            <w:shd w:val="clear" w:color="auto" w:fill="DADADA"/>
            <w:vAlign w:val="center"/>
          </w:tcPr>
          <w:p w:rsidR="004D4DDF" w:rsidRPr="002529BD" w14:paraId="3B505E4B"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7</w:t>
            </w:r>
          </w:p>
        </w:tc>
        <w:tc>
          <w:tcPr>
            <w:tcW w:w="1198" w:type="dxa"/>
            <w:shd w:val="clear" w:color="auto" w:fill="DADADA"/>
            <w:vAlign w:val="center"/>
          </w:tcPr>
          <w:p w:rsidR="004D4DDF" w:rsidRPr="002529BD" w14:paraId="153E2509"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8</w:t>
            </w:r>
          </w:p>
        </w:tc>
        <w:tc>
          <w:tcPr>
            <w:tcW w:w="1198" w:type="dxa"/>
            <w:shd w:val="clear" w:color="auto" w:fill="DADADA"/>
            <w:vAlign w:val="center"/>
          </w:tcPr>
          <w:p w:rsidR="004D4DDF" w:rsidRPr="002529BD" w14:paraId="0C1F902E"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9</w:t>
            </w:r>
          </w:p>
        </w:tc>
        <w:tc>
          <w:tcPr>
            <w:tcW w:w="1198" w:type="dxa"/>
            <w:shd w:val="clear" w:color="auto" w:fill="DADADA"/>
            <w:vAlign w:val="center"/>
          </w:tcPr>
          <w:p w:rsidR="004D4DDF" w:rsidRPr="002529BD" w14:paraId="31EAFA3F"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10</w:t>
            </w:r>
          </w:p>
        </w:tc>
      </w:tr>
      <w:tr w14:paraId="0351E6F8" w14:textId="77777777">
        <w:tblPrEx>
          <w:tblW w:w="11546" w:type="dxa"/>
          <w:tblInd w:w="-568" w:type="dxa"/>
          <w:tblLayout w:type="fixed"/>
          <w:tblCellMar>
            <w:left w:w="0" w:type="dxa"/>
            <w:right w:w="0" w:type="dxa"/>
          </w:tblCellMar>
          <w:tblLook w:val="01E0"/>
        </w:tblPrEx>
        <w:trPr>
          <w:trHeight w:val="314"/>
        </w:trPr>
        <w:tc>
          <w:tcPr>
            <w:tcW w:w="1280" w:type="dxa"/>
            <w:tcBorders>
              <w:top w:val="single" w:sz="8" w:space="0" w:color="000000"/>
            </w:tcBorders>
            <w:vAlign w:val="center"/>
          </w:tcPr>
          <w:p w:rsidR="004D4DDF" w:rsidRPr="002529BD" w14:paraId="70C9FA35" w14:textId="77777777">
            <w:pPr>
              <w:keepNext/>
              <w:spacing w:after="0" w:line="240" w:lineRule="auto"/>
              <w:ind w:left="183"/>
              <w:rPr>
                <w:rFonts w:ascii="Times New Roman" w:hAnsi="Times New Roman" w:cs="Times New Roman"/>
                <w:sz w:val="18"/>
                <w:szCs w:val="18"/>
              </w:rPr>
            </w:pPr>
            <w:r w:rsidRPr="002529BD">
              <w:rPr>
                <w:rFonts w:ascii="Times New Roman" w:hAnsi="Times New Roman" w:cs="Times New Roman"/>
                <w:sz w:val="18"/>
                <w:szCs w:val="18"/>
              </w:rPr>
              <w:t>Refineries</w:t>
            </w:r>
          </w:p>
        </w:tc>
        <w:tc>
          <w:tcPr>
            <w:tcW w:w="990" w:type="dxa"/>
            <w:tcBorders>
              <w:top w:val="single" w:sz="8" w:space="0" w:color="000000"/>
            </w:tcBorders>
            <w:vAlign w:val="center"/>
          </w:tcPr>
          <w:p w:rsidR="004D4DDF" w:rsidRPr="002529BD" w14:paraId="0F90C568" w14:textId="77777777">
            <w:pPr>
              <w:keepNext/>
              <w:spacing w:after="0" w:line="240" w:lineRule="auto"/>
              <w:ind w:left="93" w:right="62"/>
              <w:jc w:val="center"/>
              <w:rPr>
                <w:rFonts w:ascii="Times New Roman" w:hAnsi="Times New Roman" w:cs="Times New Roman"/>
                <w:sz w:val="18"/>
                <w:szCs w:val="18"/>
              </w:rPr>
            </w:pPr>
            <w:r w:rsidRPr="002529BD">
              <w:rPr>
                <w:rFonts w:ascii="Times New Roman" w:hAnsi="Times New Roman" w:cs="Times New Roman"/>
                <w:sz w:val="18"/>
                <w:szCs w:val="18"/>
              </w:rPr>
              <w:t>0.2</w:t>
            </w:r>
          </w:p>
        </w:tc>
        <w:tc>
          <w:tcPr>
            <w:tcW w:w="990" w:type="dxa"/>
            <w:tcBorders>
              <w:top w:val="single" w:sz="8" w:space="0" w:color="000000"/>
            </w:tcBorders>
            <w:vAlign w:val="center"/>
          </w:tcPr>
          <w:p w:rsidR="004D4DDF" w:rsidRPr="002529BD" w14:paraId="3FF1EDE3" w14:textId="77777777">
            <w:pPr>
              <w:keepNext/>
              <w:spacing w:after="0" w:line="240" w:lineRule="auto"/>
              <w:ind w:left="93"/>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4,449,414</w:t>
            </w:r>
          </w:p>
        </w:tc>
        <w:tc>
          <w:tcPr>
            <w:tcW w:w="900" w:type="dxa"/>
            <w:tcBorders>
              <w:top w:val="single" w:sz="8" w:space="0" w:color="000000"/>
            </w:tcBorders>
            <w:vAlign w:val="center"/>
          </w:tcPr>
          <w:p w:rsidR="004D4DDF" w:rsidRPr="002529BD" w14:paraId="3F4005C4" w14:textId="77777777">
            <w:pPr>
              <w:keepNext/>
              <w:spacing w:after="0" w:line="240" w:lineRule="auto"/>
              <w:ind w:left="93"/>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177,977</w:t>
            </w:r>
          </w:p>
        </w:tc>
        <w:tc>
          <w:tcPr>
            <w:tcW w:w="900" w:type="dxa"/>
            <w:tcBorders>
              <w:top w:val="single" w:sz="8" w:space="0" w:color="000000"/>
            </w:tcBorders>
            <w:vAlign w:val="center"/>
          </w:tcPr>
          <w:p w:rsidR="004D4DDF" w:rsidRPr="002529BD" w14:paraId="162A040D" w14:textId="77777777">
            <w:pPr>
              <w:keepNext/>
              <w:spacing w:after="0" w:line="240" w:lineRule="auto"/>
              <w:ind w:left="98" w:right="69"/>
              <w:jc w:val="center"/>
              <w:rPr>
                <w:rFonts w:ascii="Times New Roman" w:hAnsi="Times New Roman" w:cs="Times New Roman"/>
                <w:sz w:val="18"/>
                <w:szCs w:val="18"/>
              </w:rPr>
            </w:pPr>
            <w:r>
              <w:rPr>
                <w:rFonts w:ascii="Times New Roman" w:hAnsi="Times New Roman" w:cs="Times New Roman"/>
                <w:sz w:val="18"/>
                <w:szCs w:val="18"/>
              </w:rPr>
              <w:t>93</w:t>
            </w:r>
          </w:p>
        </w:tc>
        <w:tc>
          <w:tcPr>
            <w:tcW w:w="1694" w:type="dxa"/>
            <w:tcBorders>
              <w:top w:val="single" w:sz="8" w:space="0" w:color="000000"/>
            </w:tcBorders>
            <w:vAlign w:val="center"/>
          </w:tcPr>
          <w:p w:rsidR="004D4DDF" w:rsidRPr="002529BD" w14:paraId="64EA2403"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3E59C1">
              <w:rPr>
                <w:rFonts w:ascii="Times New Roman" w:hAnsi="Times New Roman" w:cs="Times New Roman"/>
                <w:color w:val="000000"/>
                <w:sz w:val="18"/>
                <w:szCs w:val="18"/>
              </w:rPr>
              <w:t>102,621,275</w:t>
            </w:r>
          </w:p>
        </w:tc>
        <w:tc>
          <w:tcPr>
            <w:tcW w:w="1198" w:type="dxa"/>
            <w:tcBorders>
              <w:top w:val="single" w:sz="8" w:space="0" w:color="000000"/>
            </w:tcBorders>
            <w:vAlign w:val="center"/>
          </w:tcPr>
          <w:p w:rsidR="004D4DDF" w:rsidRPr="002529BD" w14:paraId="05747743"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9163AC">
              <w:rPr>
                <w:rFonts w:ascii="Times New Roman" w:hAnsi="Times New Roman" w:cs="Times New Roman"/>
                <w:color w:val="000000"/>
                <w:sz w:val="18"/>
                <w:szCs w:val="18"/>
              </w:rPr>
              <w:t>105,931,</w:t>
            </w:r>
            <w:r w:rsidR="00746C25">
              <w:rPr>
                <w:rFonts w:ascii="Times New Roman" w:hAnsi="Times New Roman" w:cs="Times New Roman"/>
                <w:color w:val="000000"/>
                <w:sz w:val="18"/>
                <w:szCs w:val="18"/>
              </w:rPr>
              <w:t>639</w:t>
            </w:r>
          </w:p>
        </w:tc>
        <w:tc>
          <w:tcPr>
            <w:tcW w:w="1198" w:type="dxa"/>
            <w:tcBorders>
              <w:top w:val="single" w:sz="8" w:space="0" w:color="000000"/>
            </w:tcBorders>
            <w:vAlign w:val="center"/>
          </w:tcPr>
          <w:p w:rsidR="004D4DDF" w:rsidRPr="002529BD" w14:paraId="600FF598"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746C25">
              <w:rPr>
                <w:rFonts w:ascii="Times New Roman" w:hAnsi="Times New Roman" w:cs="Times New Roman"/>
                <w:color w:val="000000"/>
                <w:sz w:val="18"/>
                <w:szCs w:val="18"/>
              </w:rPr>
              <w:t>109,242,002</w:t>
            </w:r>
          </w:p>
        </w:tc>
        <w:tc>
          <w:tcPr>
            <w:tcW w:w="1198" w:type="dxa"/>
            <w:tcBorders>
              <w:top w:val="single" w:sz="8" w:space="0" w:color="000000"/>
            </w:tcBorders>
            <w:vAlign w:val="center"/>
          </w:tcPr>
          <w:p w:rsidR="004D4DDF" w:rsidRPr="002529BD" w14:paraId="5F4DA128"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827A9E">
              <w:rPr>
                <w:rFonts w:ascii="Times New Roman" w:hAnsi="Times New Roman" w:cs="Times New Roman"/>
                <w:color w:val="000000"/>
                <w:sz w:val="18"/>
                <w:szCs w:val="18"/>
              </w:rPr>
              <w:t>112,552,366</w:t>
            </w:r>
          </w:p>
        </w:tc>
        <w:tc>
          <w:tcPr>
            <w:tcW w:w="1198" w:type="dxa"/>
            <w:tcBorders>
              <w:top w:val="single" w:sz="8" w:space="0" w:color="000000"/>
            </w:tcBorders>
            <w:vAlign w:val="center"/>
          </w:tcPr>
          <w:p w:rsidR="004D4DDF" w:rsidRPr="002529BD" w14:paraId="402C6CAC" w14:textId="77777777">
            <w:pPr>
              <w:keepNext/>
              <w:spacing w:after="0" w:line="240" w:lineRule="auto"/>
              <w:ind w:left="84" w:right="55"/>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sidR="00827A9E">
              <w:rPr>
                <w:rFonts w:ascii="Times New Roman" w:hAnsi="Times New Roman" w:cs="Times New Roman"/>
                <w:color w:val="000000"/>
                <w:sz w:val="18"/>
                <w:szCs w:val="18"/>
              </w:rPr>
              <w:t>115,862,</w:t>
            </w:r>
            <w:r w:rsidR="00353436">
              <w:rPr>
                <w:rFonts w:ascii="Times New Roman" w:hAnsi="Times New Roman" w:cs="Times New Roman"/>
                <w:color w:val="000000"/>
                <w:sz w:val="18"/>
                <w:szCs w:val="18"/>
              </w:rPr>
              <w:t>730</w:t>
            </w:r>
          </w:p>
        </w:tc>
      </w:tr>
      <w:tr w14:paraId="24958BA2" w14:textId="77777777">
        <w:tblPrEx>
          <w:tblW w:w="11546" w:type="dxa"/>
          <w:tblInd w:w="-568" w:type="dxa"/>
          <w:tblLayout w:type="fixed"/>
          <w:tblCellMar>
            <w:left w:w="0" w:type="dxa"/>
            <w:right w:w="0" w:type="dxa"/>
          </w:tblCellMar>
          <w:tblLook w:val="01E0"/>
        </w:tblPrEx>
        <w:trPr>
          <w:trHeight w:val="318"/>
        </w:trPr>
        <w:tc>
          <w:tcPr>
            <w:tcW w:w="1280" w:type="dxa"/>
            <w:vAlign w:val="center"/>
          </w:tcPr>
          <w:p w:rsidR="004D4DDF" w:rsidRPr="002529BD" w14:paraId="78165B75" w14:textId="77777777">
            <w:pPr>
              <w:spacing w:after="0" w:line="240" w:lineRule="auto"/>
              <w:ind w:left="183"/>
              <w:rPr>
                <w:rFonts w:ascii="Times New Roman" w:hAnsi="Times New Roman" w:cs="Times New Roman"/>
                <w:sz w:val="18"/>
                <w:szCs w:val="18"/>
              </w:rPr>
            </w:pPr>
            <w:r w:rsidRPr="002529BD">
              <w:rPr>
                <w:rFonts w:ascii="Times New Roman" w:hAnsi="Times New Roman" w:cs="Times New Roman"/>
                <w:sz w:val="18"/>
                <w:szCs w:val="18"/>
              </w:rPr>
              <w:t>Chemical Manufacturers</w:t>
            </w:r>
          </w:p>
        </w:tc>
        <w:tc>
          <w:tcPr>
            <w:tcW w:w="990" w:type="dxa"/>
            <w:vAlign w:val="center"/>
          </w:tcPr>
          <w:p w:rsidR="004D4DDF" w:rsidRPr="002529BD" w14:paraId="0CBF8D86" w14:textId="77777777">
            <w:pPr>
              <w:spacing w:after="0" w:line="240" w:lineRule="auto"/>
              <w:ind w:left="93" w:right="62"/>
              <w:jc w:val="center"/>
              <w:rPr>
                <w:rFonts w:ascii="Times New Roman" w:hAnsi="Times New Roman" w:cs="Times New Roman"/>
                <w:sz w:val="18"/>
                <w:szCs w:val="18"/>
              </w:rPr>
            </w:pPr>
            <w:r w:rsidRPr="002529BD">
              <w:rPr>
                <w:rFonts w:ascii="Times New Roman" w:hAnsi="Times New Roman" w:cs="Times New Roman"/>
                <w:sz w:val="18"/>
                <w:szCs w:val="18"/>
              </w:rPr>
              <w:t>0.2</w:t>
            </w:r>
          </w:p>
        </w:tc>
        <w:tc>
          <w:tcPr>
            <w:tcW w:w="990" w:type="dxa"/>
            <w:vAlign w:val="center"/>
          </w:tcPr>
          <w:p w:rsidR="004D4DDF" w:rsidRPr="002529BD" w14:paraId="2BA4F505" w14:textId="77777777">
            <w:pPr>
              <w:spacing w:after="0" w:line="240" w:lineRule="auto"/>
              <w:ind w:left="93"/>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546,494</w:t>
            </w:r>
          </w:p>
        </w:tc>
        <w:tc>
          <w:tcPr>
            <w:tcW w:w="900" w:type="dxa"/>
            <w:vAlign w:val="center"/>
          </w:tcPr>
          <w:p w:rsidR="004D4DDF" w:rsidRPr="002529BD" w14:paraId="72588227" w14:textId="77777777">
            <w:pPr>
              <w:spacing w:after="0" w:line="240" w:lineRule="auto"/>
              <w:ind w:left="93"/>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21,860</w:t>
            </w:r>
          </w:p>
        </w:tc>
        <w:tc>
          <w:tcPr>
            <w:tcW w:w="900" w:type="dxa"/>
            <w:vAlign w:val="center"/>
          </w:tcPr>
          <w:p w:rsidR="004D4DDF" w:rsidRPr="002529BD" w14:paraId="4885FAFE" w14:textId="77777777">
            <w:pPr>
              <w:spacing w:after="0" w:line="240" w:lineRule="auto"/>
              <w:ind w:left="98" w:right="69"/>
              <w:jc w:val="center"/>
              <w:rPr>
                <w:rFonts w:ascii="Times New Roman" w:hAnsi="Times New Roman" w:cs="Times New Roman"/>
                <w:sz w:val="18"/>
                <w:szCs w:val="18"/>
              </w:rPr>
            </w:pPr>
            <w:r>
              <w:rPr>
                <w:rFonts w:ascii="Times New Roman" w:hAnsi="Times New Roman" w:cs="Times New Roman"/>
                <w:sz w:val="18"/>
                <w:szCs w:val="18"/>
              </w:rPr>
              <w:t>518</w:t>
            </w:r>
          </w:p>
        </w:tc>
        <w:tc>
          <w:tcPr>
            <w:tcW w:w="1694" w:type="dxa"/>
            <w:vAlign w:val="center"/>
          </w:tcPr>
          <w:p w:rsidR="004D4DDF" w:rsidRPr="002529BD" w14:paraId="56FAC09B"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630745">
              <w:rPr>
                <w:rFonts w:ascii="Times New Roman" w:hAnsi="Times New Roman" w:cs="Times New Roman"/>
                <w:color w:val="000000"/>
                <w:sz w:val="18"/>
                <w:szCs w:val="18"/>
              </w:rPr>
              <w:t>70,204,</w:t>
            </w:r>
            <w:r w:rsidR="0080157C">
              <w:rPr>
                <w:rFonts w:ascii="Times New Roman" w:hAnsi="Times New Roman" w:cs="Times New Roman"/>
                <w:color w:val="000000"/>
                <w:sz w:val="18"/>
                <w:szCs w:val="18"/>
              </w:rPr>
              <w:t>829</w:t>
            </w:r>
          </w:p>
        </w:tc>
        <w:tc>
          <w:tcPr>
            <w:tcW w:w="1198" w:type="dxa"/>
            <w:vAlign w:val="center"/>
          </w:tcPr>
          <w:p w:rsidR="004D4DDF" w:rsidRPr="002529BD" w14:paraId="6CBBEE72"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80157C">
              <w:rPr>
                <w:rFonts w:ascii="Times New Roman" w:hAnsi="Times New Roman" w:cs="Times New Roman"/>
                <w:color w:val="000000"/>
                <w:sz w:val="18"/>
                <w:szCs w:val="18"/>
              </w:rPr>
              <w:t>72,469,500</w:t>
            </w:r>
          </w:p>
        </w:tc>
        <w:tc>
          <w:tcPr>
            <w:tcW w:w="1198" w:type="dxa"/>
            <w:vAlign w:val="center"/>
          </w:tcPr>
          <w:p w:rsidR="004D4DDF" w:rsidRPr="002529BD" w14:paraId="00B77A16"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80157C">
              <w:rPr>
                <w:rFonts w:ascii="Times New Roman" w:hAnsi="Times New Roman" w:cs="Times New Roman"/>
                <w:color w:val="000000"/>
                <w:sz w:val="18"/>
                <w:szCs w:val="18"/>
              </w:rPr>
              <w:t>74,734,172</w:t>
            </w:r>
          </w:p>
        </w:tc>
        <w:tc>
          <w:tcPr>
            <w:tcW w:w="1198" w:type="dxa"/>
            <w:vAlign w:val="center"/>
          </w:tcPr>
          <w:p w:rsidR="004D4DDF" w:rsidRPr="002529BD" w14:paraId="19D35C69"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sidR="002D6D99">
              <w:rPr>
                <w:rFonts w:ascii="Times New Roman" w:hAnsi="Times New Roman" w:cs="Times New Roman"/>
                <w:color w:val="000000"/>
                <w:sz w:val="18"/>
                <w:szCs w:val="18"/>
              </w:rPr>
              <w:t>76,998,844</w:t>
            </w:r>
          </w:p>
        </w:tc>
        <w:tc>
          <w:tcPr>
            <w:tcW w:w="1198" w:type="dxa"/>
            <w:vAlign w:val="center"/>
          </w:tcPr>
          <w:p w:rsidR="004D4DDF" w:rsidRPr="002529BD" w14:paraId="5C8CE762" w14:textId="77777777">
            <w:pPr>
              <w:spacing w:after="0" w:line="240" w:lineRule="auto"/>
              <w:ind w:left="69" w:right="55"/>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sidR="002D6D99">
              <w:rPr>
                <w:rFonts w:ascii="Times New Roman" w:hAnsi="Times New Roman" w:cs="Times New Roman"/>
                <w:color w:val="000000"/>
                <w:sz w:val="18"/>
                <w:szCs w:val="18"/>
              </w:rPr>
              <w:t>79,263,516</w:t>
            </w:r>
          </w:p>
        </w:tc>
      </w:tr>
      <w:tr w14:paraId="1F7CD6F5" w14:textId="77777777">
        <w:tblPrEx>
          <w:tblW w:w="11546" w:type="dxa"/>
          <w:tblInd w:w="-568" w:type="dxa"/>
          <w:tblLayout w:type="fixed"/>
          <w:tblCellMar>
            <w:left w:w="0" w:type="dxa"/>
            <w:right w:w="0" w:type="dxa"/>
          </w:tblCellMar>
          <w:tblLook w:val="01E0"/>
        </w:tblPrEx>
        <w:trPr>
          <w:trHeight w:val="318"/>
        </w:trPr>
        <w:tc>
          <w:tcPr>
            <w:tcW w:w="1280" w:type="dxa"/>
            <w:vAlign w:val="center"/>
          </w:tcPr>
          <w:p w:rsidR="004D4DDF" w:rsidRPr="002529BD" w14:paraId="181A8CBD" w14:textId="77777777">
            <w:pPr>
              <w:spacing w:after="0" w:line="240" w:lineRule="auto"/>
              <w:ind w:left="183"/>
              <w:rPr>
                <w:rFonts w:ascii="Times New Roman" w:hAnsi="Times New Roman" w:cs="Times New Roman"/>
                <w:b/>
                <w:sz w:val="18"/>
                <w:szCs w:val="18"/>
              </w:rPr>
            </w:pPr>
            <w:r w:rsidRPr="002529BD">
              <w:rPr>
                <w:rFonts w:ascii="Times New Roman" w:hAnsi="Times New Roman" w:cs="Times New Roman"/>
                <w:b/>
                <w:sz w:val="18"/>
                <w:szCs w:val="18"/>
              </w:rPr>
              <w:t>Total</w:t>
            </w:r>
          </w:p>
        </w:tc>
        <w:tc>
          <w:tcPr>
            <w:tcW w:w="990" w:type="dxa"/>
            <w:vAlign w:val="center"/>
          </w:tcPr>
          <w:p w:rsidR="004D4DDF" w:rsidRPr="002529BD" w14:paraId="4D95DBB1" w14:textId="77777777">
            <w:pPr>
              <w:spacing w:after="0" w:line="240" w:lineRule="auto"/>
              <w:ind w:left="93" w:right="62"/>
              <w:jc w:val="center"/>
              <w:rPr>
                <w:rFonts w:ascii="Times New Roman" w:hAnsi="Times New Roman" w:cs="Times New Roman"/>
                <w:b/>
                <w:sz w:val="18"/>
                <w:szCs w:val="18"/>
              </w:rPr>
            </w:pPr>
          </w:p>
        </w:tc>
        <w:tc>
          <w:tcPr>
            <w:tcW w:w="990" w:type="dxa"/>
            <w:vAlign w:val="center"/>
          </w:tcPr>
          <w:p w:rsidR="004D4DDF" w:rsidRPr="002529BD" w14:paraId="0919F583" w14:textId="77777777">
            <w:pPr>
              <w:spacing w:after="0" w:line="240" w:lineRule="auto"/>
              <w:ind w:left="93"/>
              <w:jc w:val="center"/>
              <w:rPr>
                <w:rFonts w:ascii="Times New Roman" w:hAnsi="Times New Roman" w:cs="Times New Roman"/>
                <w:b/>
                <w:sz w:val="18"/>
                <w:szCs w:val="18"/>
              </w:rPr>
            </w:pPr>
          </w:p>
        </w:tc>
        <w:tc>
          <w:tcPr>
            <w:tcW w:w="900" w:type="dxa"/>
            <w:vAlign w:val="center"/>
          </w:tcPr>
          <w:p w:rsidR="004D4DDF" w:rsidRPr="002529BD" w14:paraId="43EC5EC2" w14:textId="77777777">
            <w:pPr>
              <w:spacing w:after="0" w:line="240" w:lineRule="auto"/>
              <w:ind w:left="93"/>
              <w:jc w:val="center"/>
              <w:rPr>
                <w:rFonts w:ascii="Times New Roman" w:hAnsi="Times New Roman" w:cs="Times New Roman"/>
                <w:b/>
                <w:sz w:val="18"/>
                <w:szCs w:val="18"/>
              </w:rPr>
            </w:pPr>
          </w:p>
        </w:tc>
        <w:tc>
          <w:tcPr>
            <w:tcW w:w="900" w:type="dxa"/>
            <w:vAlign w:val="center"/>
          </w:tcPr>
          <w:p w:rsidR="004D4DDF" w:rsidRPr="002529BD" w14:paraId="5DFC0CD8" w14:textId="77777777">
            <w:pPr>
              <w:spacing w:after="0" w:line="240" w:lineRule="auto"/>
              <w:ind w:left="98" w:right="69"/>
              <w:jc w:val="center"/>
              <w:rPr>
                <w:rFonts w:ascii="Times New Roman" w:hAnsi="Times New Roman" w:cs="Times New Roman"/>
                <w:b/>
                <w:sz w:val="18"/>
                <w:szCs w:val="18"/>
              </w:rPr>
            </w:pPr>
            <w:r>
              <w:rPr>
                <w:rFonts w:ascii="Times New Roman" w:hAnsi="Times New Roman" w:cs="Times New Roman"/>
                <w:b/>
                <w:sz w:val="18"/>
                <w:szCs w:val="18"/>
              </w:rPr>
              <w:t>611</w:t>
            </w:r>
          </w:p>
        </w:tc>
        <w:tc>
          <w:tcPr>
            <w:tcW w:w="1694" w:type="dxa"/>
            <w:vAlign w:val="center"/>
          </w:tcPr>
          <w:p w:rsidR="004D4DDF" w:rsidRPr="002529BD" w14:paraId="2985A88A"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sidR="00F41ED4">
              <w:rPr>
                <w:rFonts w:ascii="Times New Roman" w:hAnsi="Times New Roman" w:cs="Times New Roman"/>
                <w:b/>
                <w:color w:val="000000"/>
                <w:sz w:val="18"/>
                <w:szCs w:val="18"/>
              </w:rPr>
              <w:t>172,</w:t>
            </w:r>
            <w:r w:rsidR="00F6219E">
              <w:rPr>
                <w:rFonts w:ascii="Times New Roman" w:hAnsi="Times New Roman" w:cs="Times New Roman"/>
                <w:b/>
                <w:color w:val="000000"/>
                <w:sz w:val="18"/>
                <w:szCs w:val="18"/>
              </w:rPr>
              <w:t>826,</w:t>
            </w:r>
            <w:r w:rsidR="00EC3FA5">
              <w:rPr>
                <w:rFonts w:ascii="Times New Roman" w:hAnsi="Times New Roman" w:cs="Times New Roman"/>
                <w:b/>
                <w:color w:val="000000"/>
                <w:sz w:val="18"/>
                <w:szCs w:val="18"/>
              </w:rPr>
              <w:t>104</w:t>
            </w:r>
          </w:p>
        </w:tc>
        <w:tc>
          <w:tcPr>
            <w:tcW w:w="1198" w:type="dxa"/>
            <w:vAlign w:val="center"/>
          </w:tcPr>
          <w:p w:rsidR="004D4DDF" w:rsidRPr="002529BD" w14:paraId="079F8975"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sidR="009A1EB2">
              <w:rPr>
                <w:rFonts w:ascii="Times New Roman" w:hAnsi="Times New Roman" w:cs="Times New Roman"/>
                <w:b/>
                <w:color w:val="000000"/>
                <w:sz w:val="18"/>
                <w:szCs w:val="18"/>
              </w:rPr>
              <w:t>178,401,139</w:t>
            </w:r>
          </w:p>
        </w:tc>
        <w:tc>
          <w:tcPr>
            <w:tcW w:w="1198" w:type="dxa"/>
            <w:vAlign w:val="center"/>
          </w:tcPr>
          <w:p w:rsidR="004D4DDF" w:rsidRPr="002529BD" w14:paraId="0E690062"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sidR="006B4825">
              <w:rPr>
                <w:rFonts w:ascii="Times New Roman" w:hAnsi="Times New Roman" w:cs="Times New Roman"/>
                <w:b/>
                <w:color w:val="000000"/>
                <w:sz w:val="18"/>
                <w:szCs w:val="18"/>
              </w:rPr>
              <w:t>183,</w:t>
            </w:r>
            <w:r w:rsidR="00791E0F">
              <w:rPr>
                <w:rFonts w:ascii="Times New Roman" w:hAnsi="Times New Roman" w:cs="Times New Roman"/>
                <w:b/>
                <w:color w:val="000000"/>
                <w:sz w:val="18"/>
                <w:szCs w:val="18"/>
              </w:rPr>
              <w:t>976,175</w:t>
            </w:r>
          </w:p>
        </w:tc>
        <w:tc>
          <w:tcPr>
            <w:tcW w:w="1198" w:type="dxa"/>
            <w:vAlign w:val="center"/>
          </w:tcPr>
          <w:p w:rsidR="004D4DDF" w:rsidRPr="002529BD" w14:paraId="6D406FE3"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sidR="00065503">
              <w:rPr>
                <w:rFonts w:ascii="Times New Roman" w:hAnsi="Times New Roman" w:cs="Times New Roman"/>
                <w:b/>
                <w:color w:val="000000"/>
                <w:sz w:val="18"/>
                <w:szCs w:val="18"/>
              </w:rPr>
              <w:t>189,551,210</w:t>
            </w:r>
          </w:p>
        </w:tc>
        <w:tc>
          <w:tcPr>
            <w:tcW w:w="1198" w:type="dxa"/>
            <w:vAlign w:val="center"/>
          </w:tcPr>
          <w:p w:rsidR="004D4DDF" w:rsidRPr="002529BD" w14:paraId="5C1151D2" w14:textId="77777777">
            <w:pPr>
              <w:spacing w:after="0" w:line="240" w:lineRule="auto"/>
              <w:ind w:left="69" w:right="55"/>
              <w:jc w:val="center"/>
              <w:rPr>
                <w:rFonts w:ascii="Times New Roman" w:hAnsi="Times New Roman" w:cs="Times New Roman"/>
                <w:b/>
                <w:sz w:val="18"/>
                <w:szCs w:val="18"/>
              </w:rPr>
            </w:pPr>
            <w:r w:rsidRPr="002529BD">
              <w:rPr>
                <w:rFonts w:ascii="Times New Roman" w:hAnsi="Times New Roman" w:cs="Times New Roman"/>
                <w:b/>
                <w:color w:val="000000"/>
                <w:sz w:val="18"/>
                <w:szCs w:val="18"/>
              </w:rPr>
              <w:t>$</w:t>
            </w:r>
            <w:r w:rsidR="00065503">
              <w:rPr>
                <w:rFonts w:ascii="Times New Roman" w:hAnsi="Times New Roman" w:cs="Times New Roman"/>
                <w:b/>
                <w:color w:val="000000"/>
                <w:sz w:val="18"/>
                <w:szCs w:val="18"/>
              </w:rPr>
              <w:t>195,126,246</w:t>
            </w:r>
          </w:p>
        </w:tc>
      </w:tr>
    </w:tbl>
    <w:p w:rsidR="0095340B" w:rsidP="00065503" w14:paraId="134F3D8A" w14:textId="77777777">
      <w:pPr>
        <w:keepNext/>
        <w:spacing w:after="0" w:line="240" w:lineRule="auto"/>
        <w:ind w:left="640"/>
        <w:rPr>
          <w:rFonts w:ascii="Times New Roman" w:hAnsi="Times New Roman" w:cs="Times New Roman"/>
          <w:w w:val="105"/>
          <w:sz w:val="18"/>
          <w:szCs w:val="18"/>
        </w:rPr>
      </w:pPr>
      <w:r w:rsidRPr="00D21E4B">
        <w:rPr>
          <w:rFonts w:ascii="Times New Roman" w:hAnsi="Times New Roman" w:cs="Times New Roman"/>
          <w:w w:val="105"/>
          <w:position w:val="6"/>
          <w:sz w:val="18"/>
          <w:szCs w:val="18"/>
        </w:rPr>
        <w:t>*</w:t>
      </w:r>
      <w:r w:rsidRPr="00D21E4B">
        <w:rPr>
          <w:rFonts w:ascii="Times New Roman" w:hAnsi="Times New Roman" w:cs="Times New Roman"/>
          <w:w w:val="105"/>
          <w:sz w:val="18"/>
          <w:szCs w:val="18"/>
        </w:rPr>
        <w:t>Totals may not sum due to rounding</w:t>
      </w:r>
      <w:r>
        <w:rPr>
          <w:rFonts w:ascii="Times New Roman" w:hAnsi="Times New Roman" w:cs="Times New Roman"/>
          <w:w w:val="105"/>
          <w:sz w:val="18"/>
          <w:szCs w:val="18"/>
        </w:rPr>
        <w:t>.</w:t>
      </w:r>
    </w:p>
    <w:p w:rsidR="00465A65" w:rsidRPr="00065503" w:rsidP="00065503" w14:paraId="61F88403" w14:textId="77777777">
      <w:pPr>
        <w:keepNext/>
        <w:spacing w:after="0" w:line="240" w:lineRule="auto"/>
        <w:ind w:left="640"/>
        <w:rPr>
          <w:rFonts w:ascii="Times New Roman" w:hAnsi="Times New Roman" w:cs="Times New Roman"/>
          <w:sz w:val="18"/>
          <w:szCs w:val="18"/>
        </w:rPr>
      </w:pPr>
      <w:r>
        <w:rPr>
          <w:rFonts w:ascii="Times New Roman" w:hAnsi="Times New Roman" w:cs="Times New Roman"/>
          <w:w w:val="105"/>
          <w:sz w:val="18"/>
          <w:szCs w:val="18"/>
        </w:rPr>
        <w:t>**Total annual recurring cost = (year)</w:t>
      </w:r>
      <w:r w:rsidRPr="00A020B7" w:rsidR="00A020B7">
        <w:rPr>
          <w:rFonts w:ascii="Times New Roman" w:hAnsi="Times New Roman" w:cs="Times New Roman"/>
          <w:w w:val="105"/>
          <w:sz w:val="18"/>
          <w:szCs w:val="18"/>
        </w:rPr>
        <w:t xml:space="preserve"> </w:t>
      </w:r>
      <w:r w:rsidR="00A020B7">
        <w:rPr>
          <w:rFonts w:ascii="Times New Roman" w:hAnsi="Times New Roman" w:cs="Times New Roman"/>
          <w:w w:val="105"/>
          <w:sz w:val="18"/>
          <w:szCs w:val="18"/>
        </w:rPr>
        <w:t>×</w:t>
      </w:r>
      <w:r>
        <w:rPr>
          <w:rFonts w:ascii="Times New Roman" w:hAnsi="Times New Roman" w:cs="Times New Roman"/>
          <w:w w:val="105"/>
          <w:sz w:val="18"/>
          <w:szCs w:val="18"/>
        </w:rPr>
        <w:t>(capital cost annual frequency)</w:t>
      </w:r>
      <w:r w:rsidRPr="00A020B7" w:rsidR="00A020B7">
        <w:rPr>
          <w:rFonts w:ascii="Times New Roman" w:hAnsi="Times New Roman" w:cs="Times New Roman"/>
          <w:w w:val="105"/>
          <w:sz w:val="18"/>
          <w:szCs w:val="18"/>
        </w:rPr>
        <w:t xml:space="preserve"> </w:t>
      </w:r>
      <w:r w:rsidR="00A020B7">
        <w:rPr>
          <w:rFonts w:ascii="Times New Roman" w:hAnsi="Times New Roman" w:cs="Times New Roman"/>
          <w:w w:val="105"/>
          <w:sz w:val="18"/>
          <w:szCs w:val="18"/>
        </w:rPr>
        <w:t>×</w:t>
      </w:r>
      <w:r>
        <w:rPr>
          <w:rFonts w:ascii="Times New Roman" w:hAnsi="Times New Roman" w:cs="Times New Roman"/>
          <w:w w:val="105"/>
          <w:sz w:val="18"/>
          <w:szCs w:val="18"/>
        </w:rPr>
        <w:t>(unit recurring cost)</w:t>
      </w:r>
      <w:r w:rsidRPr="00A020B7" w:rsidR="00A020B7">
        <w:rPr>
          <w:rFonts w:ascii="Times New Roman" w:hAnsi="Times New Roman" w:cs="Times New Roman"/>
          <w:w w:val="105"/>
          <w:sz w:val="18"/>
          <w:szCs w:val="18"/>
        </w:rPr>
        <w:t xml:space="preserve"> </w:t>
      </w:r>
      <w:r w:rsidR="00A020B7">
        <w:rPr>
          <w:rFonts w:ascii="Times New Roman" w:hAnsi="Times New Roman" w:cs="Times New Roman"/>
          <w:w w:val="105"/>
          <w:sz w:val="18"/>
          <w:szCs w:val="18"/>
        </w:rPr>
        <w:t xml:space="preserve">× </w:t>
      </w:r>
      <w:r>
        <w:rPr>
          <w:rFonts w:ascii="Times New Roman" w:hAnsi="Times New Roman" w:cs="Times New Roman"/>
          <w:w w:val="105"/>
          <w:sz w:val="18"/>
          <w:szCs w:val="18"/>
        </w:rPr>
        <w:t>(facilities)</w:t>
      </w:r>
    </w:p>
    <w:p w:rsidR="000257ED" w:rsidRPr="00D21B63" w:rsidP="00576F93" w14:paraId="15ED5FBA" w14:textId="77777777">
      <w:pPr>
        <w:spacing w:after="0" w:line="240" w:lineRule="auto"/>
        <w:rPr>
          <w:rFonts w:ascii="Times New Roman" w:hAnsi="Times New Roman" w:cs="Times New Roman"/>
        </w:rPr>
      </w:pPr>
    </w:p>
    <w:p w:rsidR="00435210" w:rsidRPr="00720AAA" w:rsidP="00720AAA" w14:paraId="4E7E26FB" w14:textId="77777777">
      <w:pPr>
        <w:pStyle w:val="Heading3"/>
        <w:rPr>
          <w:rFonts w:ascii="Times New Roman" w:hAnsi="Times New Roman" w:cs="Times New Roman"/>
          <w:sz w:val="22"/>
          <w:szCs w:val="22"/>
        </w:rPr>
      </w:pPr>
      <w:bookmarkStart w:id="265" w:name="_Toc141732951"/>
      <w:bookmarkStart w:id="266" w:name="_Toc141733162"/>
      <w:bookmarkStart w:id="267" w:name="_Toc142404066"/>
      <w:bookmarkStart w:id="268" w:name="_Toc144213874"/>
      <w:bookmarkStart w:id="269" w:name="_Toc144283619"/>
      <w:bookmarkStart w:id="270" w:name="_Toc144303557"/>
      <w:bookmarkEnd w:id="264"/>
      <w:r w:rsidRPr="00720AAA">
        <w:rPr>
          <w:rFonts w:ascii="Times New Roman" w:hAnsi="Times New Roman" w:cs="Times New Roman"/>
          <w:sz w:val="22"/>
          <w:szCs w:val="22"/>
        </w:rPr>
        <w:t>5.3.3 Root Cause Analysi</w:t>
      </w:r>
      <w:r w:rsidRPr="00720AAA" w:rsidR="00142C57">
        <w:rPr>
          <w:rFonts w:ascii="Times New Roman" w:hAnsi="Times New Roman" w:cs="Times New Roman"/>
          <w:sz w:val="22"/>
          <w:szCs w:val="22"/>
        </w:rPr>
        <w:t>s</w:t>
      </w:r>
      <w:bookmarkEnd w:id="265"/>
      <w:bookmarkEnd w:id="266"/>
      <w:bookmarkEnd w:id="267"/>
      <w:bookmarkEnd w:id="268"/>
      <w:bookmarkEnd w:id="269"/>
      <w:bookmarkEnd w:id="270"/>
    </w:p>
    <w:p w:rsidR="00435210" w:rsidRPr="00BF4D0A" w:rsidP="00576F93" w14:paraId="58AA3ECD" w14:textId="77777777">
      <w:pPr>
        <w:keepNext/>
        <w:keepLines/>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 xml:space="preserve">The RMP rule currently requires the owner or operator of a facility to investigate each incident </w:t>
      </w:r>
      <w:r w:rsidRPr="00BF4D0A" w:rsidR="009E2365">
        <w:rPr>
          <w:rFonts w:ascii="Times New Roman" w:hAnsi="Times New Roman" w:cs="Times New Roman"/>
        </w:rPr>
        <w:t>that</w:t>
      </w:r>
      <w:r w:rsidRPr="00BF4D0A">
        <w:rPr>
          <w:rFonts w:ascii="Times New Roman" w:hAnsi="Times New Roman" w:cs="Times New Roman"/>
        </w:rPr>
        <w:t xml:space="preserve"> resulted </w:t>
      </w:r>
      <w:r w:rsidRPr="00BF4D0A" w:rsidR="00AF4EF4">
        <w:rPr>
          <w:rFonts w:ascii="Times New Roman" w:hAnsi="Times New Roman" w:cs="Times New Roman"/>
        </w:rPr>
        <w:t>in or could have reasonably resulted in</w:t>
      </w:r>
      <w:r w:rsidRPr="00BF4D0A">
        <w:rPr>
          <w:rFonts w:ascii="Times New Roman" w:hAnsi="Times New Roman" w:cs="Times New Roman"/>
        </w:rPr>
        <w:t xml:space="preserve"> a catastrophic release</w:t>
      </w:r>
      <w:r w:rsidRPr="00BF4D0A" w:rsidR="009643E0">
        <w:rPr>
          <w:rFonts w:ascii="Times New Roman" w:hAnsi="Times New Roman" w:cs="Times New Roman"/>
        </w:rPr>
        <w:t>.</w:t>
      </w:r>
      <w:r w:rsidR="00576F93">
        <w:rPr>
          <w:rFonts w:ascii="Times New Roman" w:hAnsi="Times New Roman" w:cs="Times New Roman"/>
        </w:rPr>
        <w:t xml:space="preserve"> </w:t>
      </w:r>
      <w:r w:rsidRPr="00BF4D0A">
        <w:rPr>
          <w:rFonts w:ascii="Times New Roman" w:hAnsi="Times New Roman" w:cs="Times New Roman"/>
        </w:rPr>
        <w:t xml:space="preserve">The </w:t>
      </w:r>
      <w:r w:rsidR="008D4547">
        <w:rPr>
          <w:rFonts w:ascii="Times New Roman" w:hAnsi="Times New Roman" w:cs="Times New Roman"/>
        </w:rPr>
        <w:t>final</w:t>
      </w:r>
      <w:r w:rsidRPr="00BF4D0A" w:rsidR="008D4547">
        <w:rPr>
          <w:rFonts w:ascii="Times New Roman" w:hAnsi="Times New Roman" w:cs="Times New Roman"/>
        </w:rPr>
        <w:t xml:space="preserve"> </w:t>
      </w:r>
      <w:r w:rsidRPr="00BF4D0A" w:rsidR="00E60B87">
        <w:rPr>
          <w:rFonts w:ascii="Times New Roman" w:hAnsi="Times New Roman" w:cs="Times New Roman"/>
        </w:rPr>
        <w:t>rule</w:t>
      </w:r>
      <w:r w:rsidRPr="00BF4D0A">
        <w:rPr>
          <w:rFonts w:ascii="Times New Roman" w:hAnsi="Times New Roman" w:cs="Times New Roman"/>
        </w:rPr>
        <w:t xml:space="preserve"> </w:t>
      </w:r>
      <w:r w:rsidR="009449B7">
        <w:rPr>
          <w:rFonts w:ascii="Times New Roman" w:hAnsi="Times New Roman" w:cs="Times New Roman"/>
        </w:rPr>
        <w:t>will</w:t>
      </w:r>
      <w:r w:rsidRPr="00BF4D0A">
        <w:rPr>
          <w:rFonts w:ascii="Times New Roman" w:hAnsi="Times New Roman" w:cs="Times New Roman"/>
        </w:rPr>
        <w:t xml:space="preserve"> require </w:t>
      </w:r>
      <w:r w:rsidRPr="00BF4D0A" w:rsidR="00D76FBA">
        <w:rPr>
          <w:rFonts w:ascii="Times New Roman" w:hAnsi="Times New Roman" w:cs="Times New Roman"/>
        </w:rPr>
        <w:t xml:space="preserve">all </w:t>
      </w:r>
      <w:r w:rsidRPr="00BF4D0A" w:rsidR="00B849E6">
        <w:rPr>
          <w:rFonts w:ascii="Times New Roman" w:hAnsi="Times New Roman" w:cs="Times New Roman"/>
        </w:rPr>
        <w:t>Program 2</w:t>
      </w:r>
      <w:r w:rsidRPr="00BF4D0A" w:rsidR="00E60B87">
        <w:rPr>
          <w:rFonts w:ascii="Times New Roman" w:hAnsi="Times New Roman" w:cs="Times New Roman"/>
        </w:rPr>
        <w:t xml:space="preserve"> and </w:t>
      </w:r>
      <w:r w:rsidRPr="6A0ED392" w:rsidR="00845762">
        <w:rPr>
          <w:rFonts w:ascii="Times New Roman" w:hAnsi="Times New Roman" w:cs="Times New Roman"/>
          <w:color w:val="000000" w:themeColor="text1"/>
        </w:rPr>
        <w:t>Program 3</w:t>
      </w:r>
      <w:r w:rsidRPr="00BF4D0A">
        <w:rPr>
          <w:rFonts w:ascii="Times New Roman" w:hAnsi="Times New Roman" w:cs="Times New Roman"/>
        </w:rPr>
        <w:t xml:space="preserve"> facilities to conduct </w:t>
      </w:r>
      <w:r w:rsidRPr="00BF4D0A" w:rsidR="0006228B">
        <w:rPr>
          <w:rFonts w:ascii="Times New Roman" w:hAnsi="Times New Roman" w:cs="Times New Roman"/>
        </w:rPr>
        <w:t xml:space="preserve">a </w:t>
      </w:r>
      <w:r w:rsidRPr="00BF4D0A">
        <w:rPr>
          <w:rFonts w:ascii="Times New Roman" w:hAnsi="Times New Roman" w:cs="Times New Roman"/>
        </w:rPr>
        <w:t>root cause analys</w:t>
      </w:r>
      <w:r w:rsidRPr="00BF4D0A" w:rsidR="0006228B">
        <w:rPr>
          <w:rFonts w:ascii="Times New Roman" w:hAnsi="Times New Roman" w:cs="Times New Roman"/>
        </w:rPr>
        <w:t>i</w:t>
      </w:r>
      <w:r w:rsidRPr="00BF4D0A">
        <w:rPr>
          <w:rFonts w:ascii="Times New Roman" w:hAnsi="Times New Roman" w:cs="Times New Roman"/>
        </w:rPr>
        <w:t>s for any RMP</w:t>
      </w:r>
      <w:r w:rsidRPr="00BF4D0A" w:rsidR="002C5463">
        <w:rPr>
          <w:rFonts w:ascii="Times New Roman" w:hAnsi="Times New Roman" w:cs="Times New Roman"/>
        </w:rPr>
        <w:t>-</w:t>
      </w:r>
      <w:r w:rsidRPr="00BF4D0A">
        <w:rPr>
          <w:rFonts w:ascii="Times New Roman" w:hAnsi="Times New Roman" w:cs="Times New Roman"/>
        </w:rPr>
        <w:t>reportable accident.</w:t>
      </w:r>
      <w:r w:rsidRPr="00BF4D0A" w:rsidR="00842ED0">
        <w:rPr>
          <w:rFonts w:ascii="Times New Roman" w:hAnsi="Times New Roman" w:cs="Times New Roman"/>
        </w:rPr>
        <w:t xml:space="preserve"> </w:t>
      </w:r>
      <w:r w:rsidRPr="00BF4D0A">
        <w:rPr>
          <w:rFonts w:ascii="Times New Roman" w:hAnsi="Times New Roman" w:cs="Times New Roman"/>
        </w:rPr>
        <w:t>Accident numbers are drawn from the data on RMP</w:t>
      </w:r>
      <w:r w:rsidRPr="00BF4D0A" w:rsidR="0006228B">
        <w:rPr>
          <w:rFonts w:ascii="Times New Roman" w:hAnsi="Times New Roman" w:cs="Times New Roman"/>
        </w:rPr>
        <w:t>-</w:t>
      </w:r>
      <w:r w:rsidRPr="00BF4D0A">
        <w:rPr>
          <w:rFonts w:ascii="Times New Roman" w:hAnsi="Times New Roman" w:cs="Times New Roman"/>
        </w:rPr>
        <w:t>reportable accidents, referenced in Exhibit 3-</w:t>
      </w:r>
      <w:r w:rsidR="006E3224">
        <w:rPr>
          <w:rFonts w:ascii="Times New Roman" w:hAnsi="Times New Roman" w:cs="Times New Roman"/>
        </w:rPr>
        <w:t>8</w:t>
      </w:r>
      <w:r w:rsidRPr="00BF4D0A">
        <w:rPr>
          <w:rFonts w:ascii="Times New Roman" w:hAnsi="Times New Roman" w:cs="Times New Roman"/>
        </w:rPr>
        <w:t>.</w:t>
      </w:r>
      <w:r w:rsidRPr="00BF4D0A" w:rsidR="001D4793">
        <w:rPr>
          <w:rFonts w:ascii="Times New Roman" w:hAnsi="Times New Roman" w:cs="Times New Roman"/>
        </w:rPr>
        <w:t xml:space="preserve"> The total costs of this provision are provided in Exhibit 5-</w:t>
      </w:r>
      <w:r w:rsidR="00677142">
        <w:rPr>
          <w:rFonts w:ascii="Times New Roman" w:hAnsi="Times New Roman" w:cs="Times New Roman"/>
        </w:rPr>
        <w:t>6</w:t>
      </w:r>
      <w:r w:rsidRPr="00BF4D0A" w:rsidR="001D4793">
        <w:rPr>
          <w:rFonts w:ascii="Times New Roman" w:hAnsi="Times New Roman" w:cs="Times New Roman"/>
        </w:rPr>
        <w:t>.</w:t>
      </w:r>
      <w:r w:rsidR="00BA7A0C">
        <w:br/>
      </w:r>
    </w:p>
    <w:p w:rsidR="00D21E4B" w:rsidRPr="00D21E4B" w:rsidP="00D21E4B" w14:paraId="16383397" w14:textId="77777777">
      <w:pPr>
        <w:pStyle w:val="Caption"/>
        <w:jc w:val="center"/>
        <w:rPr>
          <w:rFonts w:ascii="Times New Roman" w:hAnsi="Times New Roman" w:eastAsiaTheme="majorEastAsia" w:cs="Times New Roman"/>
          <w:b/>
          <w:bCs/>
          <w:i w:val="0"/>
          <w:iCs w:val="0"/>
          <w:color w:val="auto"/>
          <w:sz w:val="22"/>
          <w:szCs w:val="22"/>
        </w:rPr>
      </w:pPr>
      <w:r w:rsidRPr="00D21E4B">
        <w:rPr>
          <w:rFonts w:ascii="Times New Roman" w:hAnsi="Times New Roman" w:cs="Times New Roman"/>
          <w:b/>
          <w:bCs/>
          <w:i w:val="0"/>
          <w:iCs w:val="0"/>
          <w:color w:val="auto"/>
          <w:sz w:val="22"/>
          <w:szCs w:val="22"/>
        </w:rPr>
        <w:t>Exhibit 5-</w:t>
      </w:r>
      <w:r w:rsidR="00677142">
        <w:rPr>
          <w:rFonts w:ascii="Times New Roman" w:hAnsi="Times New Roman" w:cs="Times New Roman"/>
          <w:b/>
          <w:bCs/>
          <w:i w:val="0"/>
          <w:iCs w:val="0"/>
          <w:color w:val="auto"/>
          <w:sz w:val="22"/>
          <w:szCs w:val="22"/>
        </w:rPr>
        <w:t>6</w:t>
      </w:r>
      <w:r w:rsidR="00C84234">
        <w:rPr>
          <w:rFonts w:ascii="Times New Roman" w:hAnsi="Times New Roman" w:cs="Times New Roman"/>
          <w:b/>
          <w:bCs/>
          <w:i w:val="0"/>
          <w:iCs w:val="0"/>
          <w:color w:val="auto"/>
          <w:sz w:val="22"/>
          <w:szCs w:val="22"/>
        </w:rPr>
        <w:t>:</w:t>
      </w:r>
      <w:r w:rsidRPr="00D21E4B">
        <w:rPr>
          <w:rFonts w:ascii="Times New Roman" w:hAnsi="Times New Roman" w:cs="Times New Roman"/>
          <w:b/>
          <w:bCs/>
          <w:i w:val="0"/>
          <w:iCs w:val="0"/>
          <w:color w:val="auto"/>
          <w:sz w:val="22"/>
          <w:szCs w:val="22"/>
        </w:rPr>
        <w:t xml:space="preserve"> Total Undiscounted Costs for Root Cause Incident Investigation (202</w:t>
      </w:r>
      <w:r w:rsidR="00E17C18">
        <w:rPr>
          <w:rFonts w:ascii="Times New Roman" w:hAnsi="Times New Roman" w:cs="Times New Roman"/>
          <w:b/>
          <w:bCs/>
          <w:i w:val="0"/>
          <w:iCs w:val="0"/>
          <w:color w:val="auto"/>
          <w:sz w:val="22"/>
          <w:szCs w:val="22"/>
        </w:rPr>
        <w:t>2</w:t>
      </w:r>
      <w:r w:rsidRPr="00D21E4B">
        <w:rPr>
          <w:rFonts w:ascii="Times New Roman" w:hAnsi="Times New Roman" w:cs="Times New Roman"/>
          <w:b/>
          <w:bCs/>
          <w:i w:val="0"/>
          <w:iCs w:val="0"/>
          <w:color w:val="auto"/>
          <w:sz w:val="22"/>
          <w:szCs w:val="22"/>
        </w:rPr>
        <w:t xml:space="preserve"> </w:t>
      </w:r>
      <w:r w:rsidR="00794F08">
        <w:rPr>
          <w:rFonts w:ascii="Times New Roman" w:hAnsi="Times New Roman" w:cs="Times New Roman"/>
          <w:b/>
          <w:bCs/>
          <w:i w:val="0"/>
          <w:iCs w:val="0"/>
          <w:color w:val="auto"/>
          <w:sz w:val="22"/>
          <w:szCs w:val="22"/>
        </w:rPr>
        <w:t>d</w:t>
      </w:r>
      <w:r w:rsidRPr="00D21E4B">
        <w:rPr>
          <w:rFonts w:ascii="Times New Roman" w:hAnsi="Times New Roman" w:cs="Times New Roman"/>
          <w:b/>
          <w:bCs/>
          <w:i w:val="0"/>
          <w:iCs w:val="0"/>
          <w:color w:val="auto"/>
          <w:sz w:val="22"/>
          <w:szCs w:val="22"/>
        </w:rPr>
        <w:t>ollars).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250"/>
        <w:gridCol w:w="990"/>
        <w:gridCol w:w="1980"/>
        <w:gridCol w:w="1530"/>
      </w:tblGrid>
      <w:tr w14:paraId="4E1FA06E" w14:textId="77777777" w:rsidTr="00D21E4B">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37"/>
          <w:jc w:val="center"/>
        </w:trPr>
        <w:tc>
          <w:tcPr>
            <w:tcW w:w="2250" w:type="dxa"/>
            <w:tcBorders>
              <w:left w:val="single" w:sz="6" w:space="0" w:color="000000"/>
              <w:bottom w:val="single" w:sz="6" w:space="0" w:color="000000"/>
              <w:right w:val="single" w:sz="6" w:space="0" w:color="000000"/>
            </w:tcBorders>
            <w:shd w:val="clear" w:color="auto" w:fill="DADADA"/>
            <w:vAlign w:val="center"/>
          </w:tcPr>
          <w:p w:rsidR="00435210" w:rsidRPr="00D21E4B" w:rsidP="00D21E4B" w14:paraId="051FD7AA" w14:textId="77777777">
            <w:pPr>
              <w:keepNext/>
              <w:spacing w:after="0" w:line="240" w:lineRule="auto"/>
              <w:ind w:left="176"/>
              <w:jc w:val="center"/>
              <w:rPr>
                <w:rFonts w:ascii="Times New Roman" w:hAnsi="Times New Roman" w:cs="Times New Roman"/>
                <w:b/>
                <w:sz w:val="20"/>
                <w:szCs w:val="20"/>
              </w:rPr>
            </w:pPr>
            <w:r w:rsidRPr="00D21E4B">
              <w:rPr>
                <w:rFonts w:ascii="Times New Roman" w:hAnsi="Times New Roman" w:cs="Times New Roman"/>
                <w:b/>
                <w:sz w:val="20"/>
                <w:szCs w:val="20"/>
              </w:rPr>
              <w:t>Facility Type</w:t>
            </w:r>
          </w:p>
        </w:tc>
        <w:tc>
          <w:tcPr>
            <w:tcW w:w="990" w:type="dxa"/>
            <w:tcBorders>
              <w:left w:val="single" w:sz="6" w:space="0" w:color="000000"/>
              <w:bottom w:val="single" w:sz="6" w:space="0" w:color="000000"/>
            </w:tcBorders>
            <w:shd w:val="clear" w:color="auto" w:fill="DADADA"/>
            <w:vAlign w:val="center"/>
          </w:tcPr>
          <w:p w:rsidR="00435210" w:rsidRPr="00D21E4B" w:rsidP="00D21E4B" w14:paraId="31A143E4" w14:textId="77777777">
            <w:pPr>
              <w:keepNext/>
              <w:spacing w:after="0" w:line="240" w:lineRule="auto"/>
              <w:ind w:left="80" w:right="50"/>
              <w:jc w:val="center"/>
              <w:rPr>
                <w:rFonts w:ascii="Times New Roman" w:hAnsi="Times New Roman" w:cs="Times New Roman"/>
                <w:b/>
                <w:sz w:val="20"/>
                <w:szCs w:val="20"/>
              </w:rPr>
            </w:pPr>
            <w:r w:rsidRPr="00D21E4B">
              <w:rPr>
                <w:rFonts w:ascii="Times New Roman" w:hAnsi="Times New Roman" w:cs="Times New Roman"/>
                <w:b/>
                <w:sz w:val="20"/>
                <w:szCs w:val="20"/>
              </w:rPr>
              <w:t>Unit Cost</w:t>
            </w:r>
          </w:p>
        </w:tc>
        <w:tc>
          <w:tcPr>
            <w:tcW w:w="1980" w:type="dxa"/>
            <w:tcBorders>
              <w:bottom w:val="single" w:sz="6" w:space="0" w:color="000000"/>
              <w:right w:val="single" w:sz="6" w:space="0" w:color="000000"/>
            </w:tcBorders>
            <w:shd w:val="clear" w:color="auto" w:fill="DADADA"/>
            <w:vAlign w:val="center"/>
          </w:tcPr>
          <w:p w:rsidR="00435210" w:rsidRPr="00D21E4B" w:rsidP="00D21E4B" w14:paraId="12B63EF9" w14:textId="77777777">
            <w:pPr>
              <w:keepNext/>
              <w:spacing w:after="0" w:line="240" w:lineRule="auto"/>
              <w:ind w:left="61" w:right="67"/>
              <w:jc w:val="center"/>
              <w:rPr>
                <w:rFonts w:ascii="Times New Roman" w:hAnsi="Times New Roman" w:cs="Times New Roman"/>
                <w:b/>
                <w:sz w:val="20"/>
                <w:szCs w:val="20"/>
              </w:rPr>
            </w:pPr>
            <w:r w:rsidRPr="00D21E4B">
              <w:rPr>
                <w:rFonts w:ascii="Times New Roman" w:hAnsi="Times New Roman" w:cs="Times New Roman"/>
                <w:b/>
                <w:sz w:val="20"/>
                <w:szCs w:val="20"/>
              </w:rPr>
              <w:t xml:space="preserve">Avg. Annual Number of </w:t>
            </w:r>
            <w:r w:rsidRPr="00D21E4B" w:rsidR="007B2C60">
              <w:rPr>
                <w:rFonts w:ascii="Times New Roman" w:hAnsi="Times New Roman" w:cs="Times New Roman"/>
                <w:b/>
                <w:sz w:val="20"/>
                <w:szCs w:val="20"/>
              </w:rPr>
              <w:t>Accidents</w:t>
            </w:r>
            <w:r w:rsidRPr="00D21E4B" w:rsidR="004933E7">
              <w:rPr>
                <w:rFonts w:ascii="Times New Roman" w:hAnsi="Times New Roman" w:cs="Times New Roman"/>
                <w:b/>
                <w:sz w:val="20"/>
                <w:szCs w:val="20"/>
              </w:rPr>
              <w:t xml:space="preserve"> </w:t>
            </w:r>
            <w:r w:rsidRPr="00D21E4B" w:rsidR="00945F52">
              <w:rPr>
                <w:rFonts w:ascii="Times New Roman" w:hAnsi="Times New Roman" w:cs="Times New Roman"/>
                <w:b/>
                <w:sz w:val="20"/>
                <w:szCs w:val="20"/>
              </w:rPr>
              <w:t>(2016-2020)</w:t>
            </w:r>
            <w:r w:rsidRPr="00D21E4B" w:rsidR="005E7CC6">
              <w:rPr>
                <w:rFonts w:ascii="Times New Roman" w:hAnsi="Times New Roman" w:cs="Times New Roman"/>
                <w:b/>
                <w:sz w:val="20"/>
                <w:szCs w:val="20"/>
              </w:rPr>
              <w:t xml:space="preserve"> </w:t>
            </w:r>
            <w:r w:rsidRPr="00D21E4B" w:rsidR="004933E7">
              <w:rPr>
                <w:rFonts w:ascii="Times New Roman" w:hAnsi="Times New Roman" w:cs="Times New Roman"/>
                <w:b/>
                <w:sz w:val="20"/>
                <w:szCs w:val="20"/>
              </w:rPr>
              <w:t>per year</w:t>
            </w:r>
          </w:p>
        </w:tc>
        <w:tc>
          <w:tcPr>
            <w:tcW w:w="1530" w:type="dxa"/>
            <w:tcBorders>
              <w:left w:val="single" w:sz="6" w:space="0" w:color="000000"/>
              <w:bottom w:val="single" w:sz="6" w:space="0" w:color="000000"/>
            </w:tcBorders>
            <w:shd w:val="clear" w:color="auto" w:fill="DADADA"/>
            <w:vAlign w:val="center"/>
          </w:tcPr>
          <w:p w:rsidR="009E2365" w:rsidRPr="00D21E4B" w:rsidP="00D21E4B" w14:paraId="749A9252" w14:textId="77777777">
            <w:pPr>
              <w:keepNext/>
              <w:spacing w:after="0" w:line="240" w:lineRule="auto"/>
              <w:ind w:left="81" w:right="51"/>
              <w:jc w:val="center"/>
              <w:rPr>
                <w:rFonts w:ascii="Times New Roman" w:hAnsi="Times New Roman" w:cs="Times New Roman"/>
                <w:b/>
                <w:sz w:val="20"/>
                <w:szCs w:val="20"/>
              </w:rPr>
            </w:pPr>
            <w:r w:rsidRPr="00D21E4B">
              <w:rPr>
                <w:rFonts w:ascii="Times New Roman" w:hAnsi="Times New Roman" w:cs="Times New Roman"/>
                <w:b/>
                <w:sz w:val="20"/>
                <w:szCs w:val="20"/>
              </w:rPr>
              <w:t xml:space="preserve">Total </w:t>
            </w:r>
            <w:r w:rsidR="004C2531">
              <w:rPr>
                <w:rFonts w:ascii="Times New Roman" w:hAnsi="Times New Roman" w:cs="Times New Roman"/>
                <w:b/>
                <w:sz w:val="20"/>
                <w:szCs w:val="20"/>
              </w:rPr>
              <w:t>Annual</w:t>
            </w:r>
          </w:p>
          <w:p w:rsidR="00435210" w:rsidRPr="00D21E4B" w:rsidP="00D21E4B" w14:paraId="68EC5902" w14:textId="77777777">
            <w:pPr>
              <w:keepNext/>
              <w:spacing w:after="0" w:line="240" w:lineRule="auto"/>
              <w:ind w:left="81" w:right="51"/>
              <w:jc w:val="center"/>
              <w:rPr>
                <w:rFonts w:ascii="Times New Roman" w:hAnsi="Times New Roman" w:cs="Times New Roman"/>
                <w:b/>
                <w:sz w:val="20"/>
                <w:szCs w:val="20"/>
              </w:rPr>
            </w:pPr>
            <w:r w:rsidRPr="00D21E4B">
              <w:rPr>
                <w:rFonts w:ascii="Times New Roman" w:hAnsi="Times New Roman" w:cs="Times New Roman"/>
                <w:b/>
                <w:sz w:val="20"/>
                <w:szCs w:val="20"/>
              </w:rPr>
              <w:t>Cost</w:t>
            </w:r>
          </w:p>
        </w:tc>
      </w:tr>
      <w:tr w14:paraId="41566C49" w14:textId="77777777" w:rsidTr="00D21E4B">
        <w:tblPrEx>
          <w:tblW w:w="0" w:type="auto"/>
          <w:jc w:val="center"/>
          <w:tblLayout w:type="fixed"/>
          <w:tblCellMar>
            <w:left w:w="0" w:type="dxa"/>
            <w:right w:w="0" w:type="dxa"/>
          </w:tblCellMar>
          <w:tblLook w:val="01E0"/>
        </w:tblPrEx>
        <w:trPr>
          <w:trHeight w:val="285"/>
          <w:jc w:val="center"/>
        </w:trPr>
        <w:tc>
          <w:tcPr>
            <w:tcW w:w="2250" w:type="dxa"/>
            <w:tcBorders>
              <w:top w:val="single" w:sz="6" w:space="0" w:color="000000"/>
              <w:left w:val="single" w:sz="6" w:space="0" w:color="000000"/>
              <w:bottom w:val="single" w:sz="6" w:space="0" w:color="000000"/>
              <w:right w:val="single" w:sz="6" w:space="0" w:color="000000"/>
            </w:tcBorders>
            <w:vAlign w:val="center"/>
          </w:tcPr>
          <w:p w:rsidR="00435210" w:rsidRPr="00D21E4B" w:rsidP="00D21E4B" w14:paraId="2E5A7BB8" w14:textId="77777777">
            <w:pPr>
              <w:keepNext/>
              <w:spacing w:after="0" w:line="240" w:lineRule="auto"/>
              <w:ind w:left="112"/>
              <w:jc w:val="center"/>
              <w:rPr>
                <w:rFonts w:ascii="Times New Roman" w:hAnsi="Times New Roman" w:cs="Times New Roman"/>
                <w:sz w:val="20"/>
                <w:szCs w:val="20"/>
              </w:rPr>
            </w:pPr>
            <w:r w:rsidRPr="00D21E4B">
              <w:rPr>
                <w:rFonts w:ascii="Times New Roman" w:hAnsi="Times New Roman" w:cs="Times New Roman"/>
                <w:sz w:val="20"/>
                <w:szCs w:val="20"/>
              </w:rPr>
              <w:t>P2 Accident - Simple</w:t>
            </w:r>
          </w:p>
        </w:tc>
        <w:tc>
          <w:tcPr>
            <w:tcW w:w="990" w:type="dxa"/>
            <w:tcBorders>
              <w:top w:val="single" w:sz="6" w:space="0" w:color="000000"/>
              <w:left w:val="single" w:sz="6" w:space="0" w:color="000000"/>
              <w:bottom w:val="single" w:sz="6" w:space="0" w:color="000000"/>
            </w:tcBorders>
            <w:vAlign w:val="center"/>
          </w:tcPr>
          <w:p w:rsidR="00435210" w:rsidRPr="00D21E4B" w:rsidP="00D21E4B" w14:paraId="604920ED" w14:textId="77777777">
            <w:pPr>
              <w:keepNext/>
              <w:spacing w:after="0" w:line="240" w:lineRule="auto"/>
              <w:ind w:left="67" w:right="50"/>
              <w:jc w:val="center"/>
              <w:rPr>
                <w:rFonts w:ascii="Times New Roman" w:hAnsi="Times New Roman" w:cs="Times New Roman"/>
                <w:sz w:val="20"/>
                <w:szCs w:val="20"/>
              </w:rPr>
            </w:pPr>
            <w:r w:rsidRPr="00D21E4B">
              <w:rPr>
                <w:rFonts w:ascii="Times New Roman" w:hAnsi="Times New Roman" w:cs="Times New Roman"/>
                <w:color w:val="000000"/>
                <w:sz w:val="20"/>
                <w:szCs w:val="20"/>
              </w:rPr>
              <w:t>$2,</w:t>
            </w:r>
            <w:r w:rsidR="00954A67">
              <w:rPr>
                <w:rFonts w:ascii="Times New Roman" w:hAnsi="Times New Roman" w:cs="Times New Roman"/>
                <w:color w:val="000000"/>
                <w:sz w:val="20"/>
                <w:szCs w:val="20"/>
              </w:rPr>
              <w:t>350</w:t>
            </w:r>
          </w:p>
        </w:tc>
        <w:tc>
          <w:tcPr>
            <w:tcW w:w="1980" w:type="dxa"/>
            <w:tcBorders>
              <w:top w:val="single" w:sz="6" w:space="0" w:color="000000"/>
              <w:bottom w:val="single" w:sz="6" w:space="0" w:color="000000"/>
              <w:right w:val="single" w:sz="6" w:space="0" w:color="000000"/>
            </w:tcBorders>
            <w:vAlign w:val="center"/>
          </w:tcPr>
          <w:p w:rsidR="00435210" w:rsidRPr="00D21E4B" w:rsidP="00D21E4B" w14:paraId="70811131" w14:textId="77777777">
            <w:pPr>
              <w:keepNext/>
              <w:spacing w:after="0" w:line="240" w:lineRule="auto"/>
              <w:ind w:left="93" w:right="1"/>
              <w:jc w:val="center"/>
              <w:rPr>
                <w:rFonts w:ascii="Times New Roman" w:hAnsi="Times New Roman" w:cs="Times New Roman"/>
                <w:sz w:val="20"/>
                <w:szCs w:val="20"/>
              </w:rPr>
            </w:pPr>
            <w:r w:rsidRPr="00D21E4B">
              <w:rPr>
                <w:rFonts w:ascii="Times New Roman" w:hAnsi="Times New Roman" w:cs="Times New Roman"/>
                <w:sz w:val="20"/>
                <w:szCs w:val="20"/>
              </w:rPr>
              <w:t>12.8</w:t>
            </w:r>
          </w:p>
        </w:tc>
        <w:tc>
          <w:tcPr>
            <w:tcW w:w="1530" w:type="dxa"/>
            <w:tcBorders>
              <w:top w:val="single" w:sz="6" w:space="0" w:color="000000"/>
              <w:left w:val="single" w:sz="6" w:space="0" w:color="000000"/>
              <w:bottom w:val="single" w:sz="6" w:space="0" w:color="000000"/>
            </w:tcBorders>
            <w:vAlign w:val="center"/>
          </w:tcPr>
          <w:p w:rsidR="00435210" w:rsidRPr="00D21E4B" w:rsidP="00D21E4B" w14:paraId="227D70A0" w14:textId="77777777">
            <w:pPr>
              <w:keepNext/>
              <w:spacing w:after="0" w:line="240" w:lineRule="auto"/>
              <w:ind w:left="83"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AC2FCE">
              <w:rPr>
                <w:rFonts w:ascii="Times New Roman" w:hAnsi="Times New Roman" w:cs="Times New Roman"/>
                <w:color w:val="000000"/>
                <w:sz w:val="20"/>
                <w:szCs w:val="20"/>
              </w:rPr>
              <w:t>30,079</w:t>
            </w:r>
          </w:p>
        </w:tc>
      </w:tr>
      <w:tr w14:paraId="6E04EE4F" w14:textId="77777777" w:rsidTr="00D21E4B">
        <w:tblPrEx>
          <w:tblW w:w="0" w:type="auto"/>
          <w:jc w:val="center"/>
          <w:tblLayout w:type="fixed"/>
          <w:tblCellMar>
            <w:left w:w="0" w:type="dxa"/>
            <w:right w:w="0" w:type="dxa"/>
          </w:tblCellMar>
          <w:tblLook w:val="01E0"/>
        </w:tblPrEx>
        <w:trPr>
          <w:trHeight w:val="300"/>
          <w:jc w:val="center"/>
        </w:trPr>
        <w:tc>
          <w:tcPr>
            <w:tcW w:w="2250" w:type="dxa"/>
            <w:tcBorders>
              <w:top w:val="single" w:sz="6" w:space="0" w:color="000000"/>
              <w:left w:val="single" w:sz="6" w:space="0" w:color="000000"/>
              <w:bottom w:val="single" w:sz="6" w:space="0" w:color="000000"/>
              <w:right w:val="single" w:sz="6" w:space="0" w:color="000000"/>
            </w:tcBorders>
            <w:vAlign w:val="center"/>
          </w:tcPr>
          <w:p w:rsidR="00435210" w:rsidRPr="00D21E4B" w:rsidP="00D21E4B" w14:paraId="2B851545" w14:textId="77777777">
            <w:pPr>
              <w:keepNext/>
              <w:spacing w:after="0" w:line="240" w:lineRule="auto"/>
              <w:ind w:left="112"/>
              <w:jc w:val="center"/>
              <w:rPr>
                <w:rFonts w:ascii="Times New Roman" w:hAnsi="Times New Roman" w:cs="Times New Roman"/>
                <w:sz w:val="20"/>
                <w:szCs w:val="20"/>
              </w:rPr>
            </w:pPr>
            <w:r w:rsidRPr="00D21E4B">
              <w:rPr>
                <w:rFonts w:ascii="Times New Roman" w:hAnsi="Times New Roman" w:cs="Times New Roman"/>
                <w:sz w:val="20"/>
                <w:szCs w:val="20"/>
              </w:rPr>
              <w:t>P2 Accident - Complex</w:t>
            </w:r>
          </w:p>
        </w:tc>
        <w:tc>
          <w:tcPr>
            <w:tcW w:w="990" w:type="dxa"/>
            <w:tcBorders>
              <w:top w:val="single" w:sz="6" w:space="0" w:color="000000"/>
              <w:left w:val="single" w:sz="6" w:space="0" w:color="000000"/>
              <w:bottom w:val="single" w:sz="6" w:space="0" w:color="000000"/>
            </w:tcBorders>
            <w:vAlign w:val="center"/>
          </w:tcPr>
          <w:p w:rsidR="00435210" w:rsidRPr="00D21E4B" w:rsidP="00D21E4B" w14:paraId="2B8DCF5C" w14:textId="77777777">
            <w:pPr>
              <w:keepNext/>
              <w:spacing w:after="0" w:line="240" w:lineRule="auto"/>
              <w:ind w:left="67" w:right="50"/>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954A67">
              <w:rPr>
                <w:rFonts w:ascii="Times New Roman" w:hAnsi="Times New Roman" w:cs="Times New Roman"/>
                <w:color w:val="000000"/>
                <w:sz w:val="20"/>
                <w:szCs w:val="20"/>
              </w:rPr>
              <w:t>15,496</w:t>
            </w:r>
          </w:p>
        </w:tc>
        <w:tc>
          <w:tcPr>
            <w:tcW w:w="1980" w:type="dxa"/>
            <w:tcBorders>
              <w:top w:val="single" w:sz="6" w:space="0" w:color="000000"/>
              <w:bottom w:val="single" w:sz="6" w:space="0" w:color="000000"/>
              <w:right w:val="single" w:sz="6" w:space="0" w:color="000000"/>
            </w:tcBorders>
            <w:vAlign w:val="center"/>
          </w:tcPr>
          <w:p w:rsidR="00435210" w:rsidRPr="00D21E4B" w:rsidP="00D21E4B" w14:paraId="7A58C759" w14:textId="77777777">
            <w:pPr>
              <w:keepNext/>
              <w:spacing w:after="0" w:line="240" w:lineRule="auto"/>
              <w:ind w:left="93" w:right="1"/>
              <w:jc w:val="center"/>
              <w:rPr>
                <w:rFonts w:ascii="Times New Roman" w:hAnsi="Times New Roman" w:cs="Times New Roman"/>
                <w:sz w:val="20"/>
                <w:szCs w:val="20"/>
              </w:rPr>
            </w:pPr>
            <w:r w:rsidRPr="00D21E4B">
              <w:rPr>
                <w:rFonts w:ascii="Times New Roman" w:hAnsi="Times New Roman" w:cs="Times New Roman"/>
                <w:sz w:val="20"/>
                <w:szCs w:val="20"/>
              </w:rPr>
              <w:t>0</w:t>
            </w:r>
            <w:r w:rsidRPr="00D21E4B" w:rsidR="000C341A">
              <w:rPr>
                <w:rFonts w:ascii="Times New Roman" w:hAnsi="Times New Roman" w:cs="Times New Roman"/>
                <w:sz w:val="20"/>
                <w:szCs w:val="20"/>
              </w:rPr>
              <w:t>.2</w:t>
            </w:r>
          </w:p>
        </w:tc>
        <w:tc>
          <w:tcPr>
            <w:tcW w:w="1530" w:type="dxa"/>
            <w:tcBorders>
              <w:top w:val="single" w:sz="6" w:space="0" w:color="000000"/>
              <w:left w:val="single" w:sz="6" w:space="0" w:color="000000"/>
              <w:bottom w:val="single" w:sz="6" w:space="0" w:color="000000"/>
            </w:tcBorders>
            <w:vAlign w:val="center"/>
          </w:tcPr>
          <w:p w:rsidR="00435210" w:rsidRPr="00D21E4B" w:rsidP="00D21E4B" w14:paraId="3AE493C0" w14:textId="77777777">
            <w:pPr>
              <w:keepNext/>
              <w:spacing w:after="0" w:line="240" w:lineRule="auto"/>
              <w:ind w:left="83"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AC2FCE">
              <w:rPr>
                <w:rFonts w:ascii="Times New Roman" w:hAnsi="Times New Roman" w:cs="Times New Roman"/>
                <w:color w:val="000000"/>
                <w:sz w:val="20"/>
                <w:szCs w:val="20"/>
              </w:rPr>
              <w:t>3,099</w:t>
            </w:r>
          </w:p>
        </w:tc>
      </w:tr>
      <w:tr w14:paraId="1FA7E585" w14:textId="77777777" w:rsidTr="00D21E4B">
        <w:tblPrEx>
          <w:tblW w:w="0" w:type="auto"/>
          <w:jc w:val="center"/>
          <w:tblLayout w:type="fixed"/>
          <w:tblCellMar>
            <w:left w:w="0" w:type="dxa"/>
            <w:right w:w="0" w:type="dxa"/>
          </w:tblCellMar>
          <w:tblLook w:val="01E0"/>
        </w:tblPrEx>
        <w:trPr>
          <w:trHeight w:val="282"/>
          <w:jc w:val="center"/>
        </w:trPr>
        <w:tc>
          <w:tcPr>
            <w:tcW w:w="2250" w:type="dxa"/>
            <w:tcBorders>
              <w:top w:val="single" w:sz="6" w:space="0" w:color="000000"/>
              <w:left w:val="single" w:sz="6" w:space="0" w:color="000000"/>
              <w:right w:val="single" w:sz="6" w:space="0" w:color="000000"/>
            </w:tcBorders>
            <w:vAlign w:val="center"/>
          </w:tcPr>
          <w:p w:rsidR="00435210" w:rsidRPr="00D21E4B" w:rsidP="00D21E4B" w14:paraId="4E374A6E" w14:textId="77777777">
            <w:pPr>
              <w:keepNext/>
              <w:spacing w:after="0" w:line="240" w:lineRule="auto"/>
              <w:ind w:left="112"/>
              <w:jc w:val="center"/>
              <w:rPr>
                <w:rFonts w:ascii="Times New Roman" w:hAnsi="Times New Roman" w:cs="Times New Roman"/>
                <w:sz w:val="20"/>
                <w:szCs w:val="20"/>
              </w:rPr>
            </w:pPr>
            <w:r w:rsidRPr="00D21E4B">
              <w:rPr>
                <w:rFonts w:ascii="Times New Roman" w:hAnsi="Times New Roman" w:cs="Times New Roman"/>
                <w:sz w:val="20"/>
                <w:szCs w:val="20"/>
              </w:rPr>
              <w:t>P3 Accident - Simple</w:t>
            </w:r>
          </w:p>
        </w:tc>
        <w:tc>
          <w:tcPr>
            <w:tcW w:w="990" w:type="dxa"/>
            <w:tcBorders>
              <w:top w:val="single" w:sz="6" w:space="0" w:color="000000"/>
              <w:left w:val="single" w:sz="6" w:space="0" w:color="000000"/>
            </w:tcBorders>
            <w:vAlign w:val="center"/>
          </w:tcPr>
          <w:p w:rsidR="00435210" w:rsidRPr="00D21E4B" w:rsidP="00D21E4B" w14:paraId="3A2F3002" w14:textId="77777777">
            <w:pPr>
              <w:keepNext/>
              <w:spacing w:after="0" w:line="240" w:lineRule="auto"/>
              <w:ind w:left="67" w:right="50"/>
              <w:jc w:val="center"/>
              <w:rPr>
                <w:rFonts w:ascii="Times New Roman" w:hAnsi="Times New Roman" w:cs="Times New Roman"/>
                <w:sz w:val="20"/>
                <w:szCs w:val="20"/>
              </w:rPr>
            </w:pPr>
            <w:r w:rsidRPr="00D21E4B">
              <w:rPr>
                <w:rFonts w:ascii="Times New Roman" w:hAnsi="Times New Roman" w:cs="Times New Roman"/>
                <w:color w:val="000000"/>
                <w:sz w:val="20"/>
                <w:szCs w:val="20"/>
              </w:rPr>
              <w:t>$2,</w:t>
            </w:r>
            <w:r w:rsidR="00954A67">
              <w:rPr>
                <w:rFonts w:ascii="Times New Roman" w:hAnsi="Times New Roman" w:cs="Times New Roman"/>
                <w:color w:val="000000"/>
                <w:sz w:val="20"/>
                <w:szCs w:val="20"/>
              </w:rPr>
              <w:t>350</w:t>
            </w:r>
          </w:p>
        </w:tc>
        <w:tc>
          <w:tcPr>
            <w:tcW w:w="1980" w:type="dxa"/>
            <w:tcBorders>
              <w:top w:val="single" w:sz="6" w:space="0" w:color="000000"/>
              <w:right w:val="single" w:sz="6" w:space="0" w:color="000000"/>
            </w:tcBorders>
            <w:vAlign w:val="center"/>
          </w:tcPr>
          <w:p w:rsidR="00435210" w:rsidRPr="00D21E4B" w:rsidP="00D21E4B" w14:paraId="3F519298" w14:textId="77777777">
            <w:pPr>
              <w:keepNext/>
              <w:spacing w:after="0" w:line="240" w:lineRule="auto"/>
              <w:ind w:left="93" w:right="65"/>
              <w:jc w:val="center"/>
              <w:rPr>
                <w:rFonts w:ascii="Times New Roman" w:hAnsi="Times New Roman" w:cs="Times New Roman"/>
                <w:sz w:val="20"/>
                <w:szCs w:val="20"/>
              </w:rPr>
            </w:pPr>
            <w:r w:rsidRPr="00D21E4B">
              <w:rPr>
                <w:rFonts w:ascii="Times New Roman" w:hAnsi="Times New Roman" w:cs="Times New Roman"/>
                <w:sz w:val="20"/>
                <w:szCs w:val="20"/>
              </w:rPr>
              <w:t>40</w:t>
            </w:r>
            <w:r w:rsidRPr="00D21E4B" w:rsidR="00D90F35">
              <w:rPr>
                <w:rFonts w:ascii="Times New Roman" w:hAnsi="Times New Roman" w:cs="Times New Roman"/>
                <w:sz w:val="20"/>
                <w:szCs w:val="20"/>
              </w:rPr>
              <w:t>.2</w:t>
            </w:r>
          </w:p>
        </w:tc>
        <w:tc>
          <w:tcPr>
            <w:tcW w:w="1530" w:type="dxa"/>
            <w:tcBorders>
              <w:top w:val="single" w:sz="6" w:space="0" w:color="000000"/>
              <w:left w:val="single" w:sz="6" w:space="0" w:color="000000"/>
            </w:tcBorders>
            <w:vAlign w:val="center"/>
          </w:tcPr>
          <w:p w:rsidR="00435210" w:rsidRPr="00D21E4B" w:rsidP="00D21E4B" w14:paraId="3771B134" w14:textId="77777777">
            <w:pPr>
              <w:keepNext/>
              <w:spacing w:after="0" w:line="240" w:lineRule="auto"/>
              <w:ind w:left="83"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D03591">
              <w:rPr>
                <w:rFonts w:ascii="Times New Roman" w:hAnsi="Times New Roman" w:cs="Times New Roman"/>
                <w:color w:val="000000"/>
                <w:sz w:val="20"/>
                <w:szCs w:val="20"/>
              </w:rPr>
              <w:t>94,466</w:t>
            </w:r>
          </w:p>
        </w:tc>
      </w:tr>
      <w:tr w14:paraId="305C593F" w14:textId="77777777" w:rsidTr="00D21E4B">
        <w:tblPrEx>
          <w:tblW w:w="0" w:type="auto"/>
          <w:jc w:val="center"/>
          <w:tblLayout w:type="fixed"/>
          <w:tblCellMar>
            <w:left w:w="0" w:type="dxa"/>
            <w:right w:w="0" w:type="dxa"/>
          </w:tblCellMar>
          <w:tblLook w:val="01E0"/>
        </w:tblPrEx>
        <w:trPr>
          <w:trHeight w:val="295"/>
          <w:jc w:val="center"/>
        </w:trPr>
        <w:tc>
          <w:tcPr>
            <w:tcW w:w="2250" w:type="dxa"/>
            <w:tcBorders>
              <w:left w:val="single" w:sz="6" w:space="0" w:color="000000"/>
              <w:right w:val="single" w:sz="6" w:space="0" w:color="000000"/>
            </w:tcBorders>
            <w:vAlign w:val="center"/>
          </w:tcPr>
          <w:p w:rsidR="00435210" w:rsidRPr="00D21E4B" w:rsidP="00D21E4B" w14:paraId="071CD9B0" w14:textId="77777777">
            <w:pPr>
              <w:keepNext/>
              <w:spacing w:after="0" w:line="240" w:lineRule="auto"/>
              <w:ind w:left="112"/>
              <w:jc w:val="center"/>
              <w:rPr>
                <w:rFonts w:ascii="Times New Roman" w:hAnsi="Times New Roman" w:cs="Times New Roman"/>
                <w:sz w:val="20"/>
                <w:szCs w:val="20"/>
              </w:rPr>
            </w:pPr>
            <w:r w:rsidRPr="00D21E4B">
              <w:rPr>
                <w:rFonts w:ascii="Times New Roman" w:hAnsi="Times New Roman" w:cs="Times New Roman"/>
                <w:sz w:val="20"/>
                <w:szCs w:val="20"/>
              </w:rPr>
              <w:t>P3 Accident - Complex</w:t>
            </w:r>
          </w:p>
        </w:tc>
        <w:tc>
          <w:tcPr>
            <w:tcW w:w="990" w:type="dxa"/>
            <w:tcBorders>
              <w:left w:val="single" w:sz="6" w:space="0" w:color="000000"/>
            </w:tcBorders>
            <w:vAlign w:val="center"/>
          </w:tcPr>
          <w:p w:rsidR="00435210" w:rsidRPr="00D21E4B" w:rsidP="00D21E4B" w14:paraId="78D7FB84" w14:textId="77777777">
            <w:pPr>
              <w:keepNext/>
              <w:spacing w:after="0" w:line="240" w:lineRule="auto"/>
              <w:ind w:left="67" w:right="50"/>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954A67">
              <w:rPr>
                <w:rFonts w:ascii="Times New Roman" w:hAnsi="Times New Roman" w:cs="Times New Roman"/>
                <w:color w:val="000000"/>
                <w:sz w:val="20"/>
                <w:szCs w:val="20"/>
              </w:rPr>
              <w:t>15,496</w:t>
            </w:r>
          </w:p>
        </w:tc>
        <w:tc>
          <w:tcPr>
            <w:tcW w:w="1980" w:type="dxa"/>
            <w:tcBorders>
              <w:right w:val="single" w:sz="6" w:space="0" w:color="000000"/>
            </w:tcBorders>
            <w:vAlign w:val="center"/>
          </w:tcPr>
          <w:p w:rsidR="00435210" w:rsidRPr="00D21E4B" w:rsidP="00D21E4B" w14:paraId="10D8FB34" w14:textId="77777777">
            <w:pPr>
              <w:keepNext/>
              <w:spacing w:after="0" w:line="240" w:lineRule="auto"/>
              <w:ind w:left="93" w:right="65"/>
              <w:jc w:val="center"/>
              <w:rPr>
                <w:rFonts w:ascii="Times New Roman" w:hAnsi="Times New Roman" w:cs="Times New Roman"/>
                <w:sz w:val="20"/>
                <w:szCs w:val="20"/>
              </w:rPr>
            </w:pPr>
            <w:r w:rsidRPr="00D21E4B">
              <w:rPr>
                <w:rFonts w:ascii="Times New Roman" w:hAnsi="Times New Roman" w:cs="Times New Roman"/>
                <w:sz w:val="20"/>
                <w:szCs w:val="20"/>
              </w:rPr>
              <w:t>41</w:t>
            </w:r>
            <w:r w:rsidRPr="00D21E4B" w:rsidR="00D90F35">
              <w:rPr>
                <w:rFonts w:ascii="Times New Roman" w:hAnsi="Times New Roman" w:cs="Times New Roman"/>
                <w:sz w:val="20"/>
                <w:szCs w:val="20"/>
              </w:rPr>
              <w:t>.2</w:t>
            </w:r>
          </w:p>
        </w:tc>
        <w:tc>
          <w:tcPr>
            <w:tcW w:w="1530" w:type="dxa"/>
            <w:tcBorders>
              <w:left w:val="single" w:sz="6" w:space="0" w:color="000000"/>
            </w:tcBorders>
            <w:vAlign w:val="center"/>
          </w:tcPr>
          <w:p w:rsidR="00435210" w:rsidRPr="00D21E4B" w:rsidP="00D21E4B" w14:paraId="6F29C44B" w14:textId="77777777">
            <w:pPr>
              <w:keepNext/>
              <w:spacing w:after="0" w:line="240" w:lineRule="auto"/>
              <w:ind w:left="83"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BB2022">
              <w:rPr>
                <w:rFonts w:ascii="Times New Roman" w:hAnsi="Times New Roman" w:cs="Times New Roman"/>
                <w:color w:val="000000"/>
                <w:sz w:val="20"/>
                <w:szCs w:val="20"/>
              </w:rPr>
              <w:t>638,448</w:t>
            </w:r>
          </w:p>
        </w:tc>
      </w:tr>
      <w:tr w14:paraId="7C6505B0" w14:textId="77777777" w:rsidTr="00D21E4B">
        <w:tblPrEx>
          <w:tblW w:w="0" w:type="auto"/>
          <w:jc w:val="center"/>
          <w:tblLayout w:type="fixed"/>
          <w:tblCellMar>
            <w:left w:w="0" w:type="dxa"/>
            <w:right w:w="0" w:type="dxa"/>
          </w:tblCellMar>
          <w:tblLook w:val="01E0"/>
        </w:tblPrEx>
        <w:trPr>
          <w:trHeight w:val="282"/>
          <w:jc w:val="center"/>
        </w:trPr>
        <w:tc>
          <w:tcPr>
            <w:tcW w:w="2250" w:type="dxa"/>
            <w:tcBorders>
              <w:left w:val="single" w:sz="6" w:space="0" w:color="000000"/>
              <w:bottom w:val="single" w:sz="6" w:space="0" w:color="000000"/>
              <w:right w:val="single" w:sz="6" w:space="0" w:color="000000"/>
            </w:tcBorders>
            <w:vAlign w:val="center"/>
          </w:tcPr>
          <w:p w:rsidR="00435210" w:rsidRPr="00D21E4B" w:rsidP="00D21E4B" w14:paraId="61D8A438" w14:textId="77777777">
            <w:pPr>
              <w:keepNext/>
              <w:spacing w:after="0" w:line="240" w:lineRule="auto"/>
              <w:ind w:right="887"/>
              <w:jc w:val="center"/>
              <w:rPr>
                <w:rFonts w:ascii="Times New Roman" w:hAnsi="Times New Roman" w:cs="Times New Roman"/>
                <w:b/>
                <w:sz w:val="20"/>
                <w:szCs w:val="20"/>
              </w:rPr>
            </w:pPr>
            <w:r w:rsidRPr="00D21E4B">
              <w:rPr>
                <w:rFonts w:ascii="Times New Roman" w:hAnsi="Times New Roman" w:cs="Times New Roman"/>
                <w:b/>
                <w:sz w:val="20"/>
                <w:szCs w:val="20"/>
              </w:rPr>
              <w:t>Total</w:t>
            </w:r>
          </w:p>
        </w:tc>
        <w:tc>
          <w:tcPr>
            <w:tcW w:w="990" w:type="dxa"/>
            <w:tcBorders>
              <w:left w:val="single" w:sz="6" w:space="0" w:color="000000"/>
              <w:bottom w:val="single" w:sz="6" w:space="0" w:color="000000"/>
            </w:tcBorders>
            <w:vAlign w:val="center"/>
          </w:tcPr>
          <w:p w:rsidR="00435210" w:rsidRPr="00D21E4B" w:rsidP="00D21E4B" w14:paraId="4F20EC7B" w14:textId="77777777">
            <w:pPr>
              <w:keepNext/>
              <w:spacing w:after="0" w:line="240" w:lineRule="auto"/>
              <w:jc w:val="center"/>
              <w:rPr>
                <w:rFonts w:ascii="Times New Roman" w:hAnsi="Times New Roman" w:cs="Times New Roman"/>
                <w:sz w:val="20"/>
                <w:szCs w:val="20"/>
              </w:rPr>
            </w:pPr>
          </w:p>
        </w:tc>
        <w:tc>
          <w:tcPr>
            <w:tcW w:w="1980" w:type="dxa"/>
            <w:tcBorders>
              <w:bottom w:val="single" w:sz="6" w:space="0" w:color="000000"/>
              <w:right w:val="single" w:sz="6" w:space="0" w:color="000000"/>
            </w:tcBorders>
            <w:vAlign w:val="center"/>
          </w:tcPr>
          <w:p w:rsidR="00435210" w:rsidRPr="00D21E4B" w:rsidP="00D21E4B" w14:paraId="3D1D195A" w14:textId="77777777">
            <w:pPr>
              <w:keepNext/>
              <w:spacing w:after="0" w:line="240" w:lineRule="auto"/>
              <w:ind w:left="67" w:right="67"/>
              <w:jc w:val="center"/>
              <w:rPr>
                <w:rFonts w:ascii="Times New Roman" w:hAnsi="Times New Roman" w:cs="Times New Roman"/>
                <w:b/>
                <w:sz w:val="20"/>
                <w:szCs w:val="20"/>
              </w:rPr>
            </w:pPr>
            <w:r w:rsidRPr="00D21E4B">
              <w:rPr>
                <w:rFonts w:ascii="Times New Roman" w:hAnsi="Times New Roman" w:cs="Times New Roman"/>
                <w:b/>
                <w:sz w:val="20"/>
                <w:szCs w:val="20"/>
              </w:rPr>
              <w:t>94</w:t>
            </w:r>
            <w:r w:rsidRPr="00D21E4B" w:rsidR="00D90F35">
              <w:rPr>
                <w:rFonts w:ascii="Times New Roman" w:hAnsi="Times New Roman" w:cs="Times New Roman"/>
                <w:b/>
                <w:sz w:val="20"/>
                <w:szCs w:val="20"/>
              </w:rPr>
              <w:t>.4</w:t>
            </w:r>
          </w:p>
        </w:tc>
        <w:tc>
          <w:tcPr>
            <w:tcW w:w="1530" w:type="dxa"/>
            <w:tcBorders>
              <w:left w:val="single" w:sz="6" w:space="0" w:color="000000"/>
              <w:bottom w:val="single" w:sz="6" w:space="0" w:color="000000"/>
            </w:tcBorders>
            <w:vAlign w:val="center"/>
          </w:tcPr>
          <w:p w:rsidR="00435210" w:rsidRPr="00D21E4B" w:rsidP="00D21E4B" w14:paraId="20627667" w14:textId="77777777">
            <w:pPr>
              <w:keepNext/>
              <w:spacing w:after="0" w:line="240" w:lineRule="auto"/>
              <w:ind w:left="83" w:right="51"/>
              <w:jc w:val="center"/>
              <w:rPr>
                <w:rFonts w:ascii="Times New Roman" w:hAnsi="Times New Roman" w:cs="Times New Roman"/>
                <w:b/>
                <w:sz w:val="20"/>
                <w:szCs w:val="20"/>
              </w:rPr>
            </w:pPr>
            <w:r w:rsidRPr="00D21E4B">
              <w:rPr>
                <w:rFonts w:ascii="Times New Roman" w:hAnsi="Times New Roman" w:cs="Times New Roman"/>
                <w:b/>
                <w:color w:val="000000"/>
                <w:sz w:val="20"/>
                <w:szCs w:val="20"/>
              </w:rPr>
              <w:t>$</w:t>
            </w:r>
            <w:r w:rsidR="00F77E89">
              <w:rPr>
                <w:rFonts w:ascii="Times New Roman" w:hAnsi="Times New Roman" w:cs="Times New Roman"/>
                <w:b/>
                <w:color w:val="000000"/>
                <w:sz w:val="20"/>
                <w:szCs w:val="20"/>
              </w:rPr>
              <w:t>766,092</w:t>
            </w:r>
          </w:p>
        </w:tc>
      </w:tr>
    </w:tbl>
    <w:p w:rsidR="00576F93" w:rsidP="00576F93" w14:paraId="4A981A96" w14:textId="77777777">
      <w:pPr>
        <w:spacing w:after="0" w:line="240" w:lineRule="auto"/>
        <w:rPr>
          <w:rFonts w:ascii="Times New Roman" w:hAnsi="Times New Roman" w:cs="Times New Roman"/>
          <w:b/>
          <w:bCs/>
        </w:rPr>
      </w:pPr>
    </w:p>
    <w:p w:rsidR="000257ED" w:rsidRPr="00720AAA" w:rsidP="00720AAA" w14:paraId="4840CAD4" w14:textId="77777777">
      <w:pPr>
        <w:pStyle w:val="Heading3"/>
        <w:rPr>
          <w:rFonts w:ascii="Times New Roman" w:hAnsi="Times New Roman" w:cs="Times New Roman"/>
          <w:sz w:val="22"/>
          <w:szCs w:val="22"/>
        </w:rPr>
      </w:pPr>
      <w:bookmarkStart w:id="271" w:name="_Toc141732952"/>
      <w:bookmarkStart w:id="272" w:name="_Toc141733163"/>
      <w:bookmarkStart w:id="273" w:name="_Toc142404067"/>
      <w:bookmarkStart w:id="274" w:name="_Toc144213875"/>
      <w:bookmarkStart w:id="275" w:name="_Toc144283620"/>
      <w:bookmarkStart w:id="276" w:name="_Toc144303558"/>
      <w:r w:rsidRPr="00720AAA">
        <w:rPr>
          <w:rFonts w:ascii="Times New Roman" w:hAnsi="Times New Roman" w:cs="Times New Roman"/>
          <w:iCs/>
          <w:sz w:val="22"/>
          <w:szCs w:val="22"/>
        </w:rPr>
        <w:t xml:space="preserve">5.3.4 </w:t>
      </w:r>
      <w:r w:rsidRPr="00720AAA">
        <w:rPr>
          <w:rFonts w:ascii="Times New Roman" w:hAnsi="Times New Roman" w:cs="Times New Roman"/>
          <w:sz w:val="22"/>
          <w:szCs w:val="22"/>
        </w:rPr>
        <w:t>Third-party Audits</w:t>
      </w:r>
      <w:bookmarkEnd w:id="271"/>
      <w:bookmarkEnd w:id="272"/>
      <w:bookmarkEnd w:id="273"/>
      <w:bookmarkEnd w:id="274"/>
      <w:bookmarkEnd w:id="275"/>
      <w:bookmarkEnd w:id="276"/>
    </w:p>
    <w:p w:rsidR="000257ED" w:rsidP="000257ED" w14:paraId="78B1F4CA"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 xml:space="preserve">The RMP rule currently requires Program 2 and </w:t>
      </w:r>
      <w:r w:rsidRPr="6A0ED392">
        <w:rPr>
          <w:rFonts w:ascii="Times New Roman" w:hAnsi="Times New Roman" w:cs="Times New Roman"/>
          <w:color w:val="000000" w:themeColor="text1"/>
        </w:rPr>
        <w:t xml:space="preserve">Program </w:t>
      </w:r>
      <w:r w:rsidRPr="00BF4D0A">
        <w:rPr>
          <w:rFonts w:ascii="Times New Roman" w:hAnsi="Times New Roman" w:cs="Times New Roman"/>
        </w:rPr>
        <w:t>3 facilities to conduct a compliance audit at least once every three years.</w:t>
      </w:r>
      <w:r w:rsidR="00F77E89">
        <w:rPr>
          <w:rFonts w:ascii="Times New Roman" w:hAnsi="Times New Roman" w:cs="Times New Roman"/>
        </w:rPr>
        <w:t xml:space="preserve"> </w:t>
      </w:r>
      <w:r w:rsidRPr="00BF4D0A">
        <w:rPr>
          <w:rFonts w:ascii="Times New Roman" w:hAnsi="Times New Roman" w:cs="Times New Roman"/>
        </w:rPr>
        <w:t xml:space="preserve">The </w:t>
      </w:r>
      <w:r w:rsidR="00920CFB">
        <w:rPr>
          <w:rFonts w:ascii="Times New Roman" w:hAnsi="Times New Roman" w:cs="Times New Roman"/>
        </w:rPr>
        <w:t>final</w:t>
      </w:r>
      <w:r w:rsidRPr="00BF4D0A" w:rsidR="00920CFB">
        <w:rPr>
          <w:rFonts w:ascii="Times New Roman" w:hAnsi="Times New Roman" w:cs="Times New Roman"/>
        </w:rPr>
        <w:t xml:space="preserve"> </w:t>
      </w:r>
      <w:r w:rsidRPr="00BF4D0A">
        <w:rPr>
          <w:rFonts w:ascii="Times New Roman" w:hAnsi="Times New Roman" w:cs="Times New Roman"/>
        </w:rPr>
        <w:t xml:space="preserve">rule </w:t>
      </w:r>
      <w:r w:rsidR="009449B7">
        <w:rPr>
          <w:rFonts w:ascii="Times New Roman" w:hAnsi="Times New Roman" w:cs="Times New Roman"/>
        </w:rPr>
        <w:t>will</w:t>
      </w:r>
      <w:r w:rsidRPr="00BF4D0A">
        <w:rPr>
          <w:rFonts w:ascii="Times New Roman" w:hAnsi="Times New Roman" w:cs="Times New Roman"/>
        </w:rPr>
        <w:t xml:space="preserve"> require that the next scheduled compliance audit be conducted by a contracted third-party for any Program 2 or </w:t>
      </w:r>
      <w:r w:rsidRPr="6A0ED392">
        <w:rPr>
          <w:rFonts w:ascii="Times New Roman" w:hAnsi="Times New Roman" w:cs="Times New Roman"/>
          <w:color w:val="000000" w:themeColor="text1"/>
        </w:rPr>
        <w:t>Program 3</w:t>
      </w:r>
      <w:r w:rsidRPr="00BF4D0A">
        <w:rPr>
          <w:rFonts w:ascii="Times New Roman" w:hAnsi="Times New Roman" w:cs="Times New Roman"/>
        </w:rPr>
        <w:t xml:space="preserve"> facility that had </w:t>
      </w:r>
      <w:r w:rsidR="00792AC1">
        <w:rPr>
          <w:rFonts w:ascii="Times New Roman" w:hAnsi="Times New Roman" w:cs="Times New Roman"/>
        </w:rPr>
        <w:t>a</w:t>
      </w:r>
      <w:r w:rsidR="00F25A6C">
        <w:rPr>
          <w:rFonts w:ascii="Times New Roman" w:hAnsi="Times New Roman" w:cs="Times New Roman"/>
        </w:rPr>
        <w:t>n</w:t>
      </w:r>
      <w:r w:rsidRPr="00BF4D0A">
        <w:rPr>
          <w:rFonts w:ascii="Times New Roman" w:hAnsi="Times New Roman" w:cs="Times New Roman"/>
        </w:rPr>
        <w:t xml:space="preserve"> </w:t>
      </w:r>
      <w:r w:rsidR="00F25A6C">
        <w:rPr>
          <w:rFonts w:ascii="Times New Roman" w:hAnsi="Times New Roman" w:cs="Times New Roman"/>
        </w:rPr>
        <w:t>RMP-</w:t>
      </w:r>
      <w:r w:rsidRPr="00BF4D0A">
        <w:rPr>
          <w:rFonts w:ascii="Times New Roman" w:hAnsi="Times New Roman" w:cs="Times New Roman"/>
        </w:rPr>
        <w:t xml:space="preserve">reportable accidental release. </w:t>
      </w:r>
    </w:p>
    <w:p w:rsidR="000257ED" w:rsidRPr="00BF4D0A" w:rsidP="000257ED" w14:paraId="5E08D80D" w14:textId="77777777">
      <w:pPr>
        <w:spacing w:after="0" w:line="240" w:lineRule="auto"/>
        <w:ind w:firstLine="360"/>
        <w:rPr>
          <w:rFonts w:ascii="Times New Roman" w:hAnsi="Times New Roman" w:cs="Times New Roman"/>
        </w:rPr>
      </w:pPr>
    </w:p>
    <w:p w:rsidR="000257ED" w:rsidP="000257ED" w14:paraId="14554F81"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 xml:space="preserve">Accident numbers are based on the RMP data from RMP-reportable accidents, referenced in Exhibit 3-9. Numbers of affected facilities are estimated based on the </w:t>
      </w:r>
      <w:r w:rsidR="006E337C">
        <w:rPr>
          <w:rFonts w:ascii="Times New Roman" w:hAnsi="Times New Roman" w:cs="Times New Roman"/>
        </w:rPr>
        <w:t xml:space="preserve">average </w:t>
      </w:r>
      <w:r w:rsidRPr="00BF4D0A">
        <w:rPr>
          <w:rFonts w:ascii="Times New Roman" w:hAnsi="Times New Roman" w:cs="Times New Roman"/>
        </w:rPr>
        <w:t xml:space="preserve">number of </w:t>
      </w:r>
      <w:r w:rsidR="00F25A6C">
        <w:rPr>
          <w:rFonts w:ascii="Times New Roman" w:hAnsi="Times New Roman" w:cs="Times New Roman"/>
        </w:rPr>
        <w:t>RMP-</w:t>
      </w:r>
      <w:r w:rsidRPr="00BF4D0A">
        <w:rPr>
          <w:rFonts w:ascii="Times New Roman" w:hAnsi="Times New Roman" w:cs="Times New Roman"/>
        </w:rPr>
        <w:t xml:space="preserve">reportable accidents from 2016 to 2020. The RMP Database contains data on accidents with and without </w:t>
      </w:r>
      <w:r w:rsidR="00F25A6C">
        <w:rPr>
          <w:rFonts w:ascii="Times New Roman" w:hAnsi="Times New Roman" w:cs="Times New Roman"/>
        </w:rPr>
        <w:t>RMP-</w:t>
      </w:r>
      <w:r w:rsidRPr="00BF4D0A">
        <w:rPr>
          <w:rFonts w:ascii="Times New Roman" w:hAnsi="Times New Roman" w:cs="Times New Roman"/>
        </w:rPr>
        <w:t xml:space="preserve">reportable impacts. Because </w:t>
      </w:r>
      <w:r w:rsidRPr="00BF4D0A">
        <w:rPr>
          <w:rFonts w:ascii="Times New Roman" w:hAnsi="Times New Roman" w:cs="Times New Roman"/>
        </w:rPr>
        <w:t xml:space="preserve">this provision does not require third-party audits for accidents with no </w:t>
      </w:r>
      <w:r w:rsidR="00F25A6C">
        <w:rPr>
          <w:rFonts w:ascii="Times New Roman" w:hAnsi="Times New Roman" w:cs="Times New Roman"/>
        </w:rPr>
        <w:t>RMP-</w:t>
      </w:r>
      <w:r w:rsidRPr="00BF4D0A">
        <w:rPr>
          <w:rFonts w:ascii="Times New Roman" w:hAnsi="Times New Roman" w:cs="Times New Roman"/>
        </w:rPr>
        <w:t xml:space="preserve">reportable impacts, EPA deducted those accidents from the total in the RMP Database. </w:t>
      </w:r>
    </w:p>
    <w:p w:rsidR="000257ED" w:rsidP="000257ED" w14:paraId="27D7C71B" w14:textId="77777777">
      <w:pPr>
        <w:spacing w:after="0" w:line="240" w:lineRule="auto"/>
        <w:ind w:firstLine="360"/>
        <w:rPr>
          <w:rFonts w:ascii="Times New Roman" w:hAnsi="Times New Roman" w:cs="Times New Roman"/>
        </w:rPr>
      </w:pPr>
    </w:p>
    <w:p w:rsidR="000257ED" w:rsidRPr="00BF4D0A" w:rsidP="000257ED" w14:paraId="1BFE15FA"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 xml:space="preserve">The analysis </w:t>
      </w:r>
      <w:r w:rsidR="008406D9">
        <w:rPr>
          <w:rFonts w:ascii="Times New Roman" w:hAnsi="Times New Roman" w:cs="Times New Roman"/>
        </w:rPr>
        <w:t>assumes</w:t>
      </w:r>
      <w:r w:rsidRPr="00BF4D0A">
        <w:rPr>
          <w:rFonts w:ascii="Times New Roman" w:hAnsi="Times New Roman" w:cs="Times New Roman"/>
        </w:rPr>
        <w:t xml:space="preserve"> that the annual number and distribution of accidents among types of facilities </w:t>
      </w:r>
      <w:r w:rsidR="008406D9">
        <w:rPr>
          <w:rFonts w:ascii="Times New Roman" w:hAnsi="Times New Roman" w:cs="Times New Roman"/>
        </w:rPr>
        <w:t xml:space="preserve">reflects the 5-year baseline </w:t>
      </w:r>
      <w:r w:rsidR="00292BA2">
        <w:rPr>
          <w:rFonts w:ascii="Times New Roman" w:hAnsi="Times New Roman" w:cs="Times New Roman"/>
        </w:rPr>
        <w:t>estimates</w:t>
      </w:r>
      <w:r w:rsidRPr="00BF4D0A">
        <w:rPr>
          <w:rFonts w:ascii="Times New Roman" w:hAnsi="Times New Roman" w:cs="Times New Roman"/>
        </w:rPr>
        <w:t xml:space="preserve"> and that in any one year, the number of facilities conducting a third-party audit will be equal to the </w:t>
      </w:r>
      <w:r w:rsidR="002C473C">
        <w:rPr>
          <w:rFonts w:ascii="Times New Roman" w:hAnsi="Times New Roman" w:cs="Times New Roman"/>
        </w:rPr>
        <w:t xml:space="preserve">average </w:t>
      </w:r>
      <w:r w:rsidRPr="00BF4D0A">
        <w:rPr>
          <w:rFonts w:ascii="Times New Roman" w:hAnsi="Times New Roman" w:cs="Times New Roman"/>
        </w:rPr>
        <w:t>number of accidents.</w:t>
      </w:r>
      <w:r>
        <w:rPr>
          <w:rFonts w:ascii="Times New Roman" w:hAnsi="Times New Roman" w:cs="Times New Roman"/>
          <w:vertAlign w:val="superscript"/>
        </w:rPr>
        <w:footnoteReference w:id="123"/>
      </w:r>
      <w:r w:rsidRPr="00BF4D0A">
        <w:rPr>
          <w:rFonts w:ascii="Times New Roman" w:hAnsi="Times New Roman" w:cs="Times New Roman"/>
        </w:rPr>
        <w:t xml:space="preserve"> That is, although the approximately </w:t>
      </w:r>
      <w:r w:rsidR="00B42158">
        <w:rPr>
          <w:rFonts w:ascii="Times New Roman" w:hAnsi="Times New Roman" w:cs="Times New Roman"/>
        </w:rPr>
        <w:t>94</w:t>
      </w:r>
      <w:r w:rsidRPr="00BF4D0A" w:rsidR="00B42158">
        <w:rPr>
          <w:rFonts w:ascii="Times New Roman" w:hAnsi="Times New Roman" w:cs="Times New Roman"/>
        </w:rPr>
        <w:t xml:space="preserve"> </w:t>
      </w:r>
      <w:r w:rsidRPr="00BF4D0A">
        <w:rPr>
          <w:rFonts w:ascii="Times New Roman" w:hAnsi="Times New Roman" w:cs="Times New Roman"/>
        </w:rPr>
        <w:t xml:space="preserve">third-party audits for </w:t>
      </w:r>
      <w:r w:rsidR="00E808DD">
        <w:rPr>
          <w:rFonts w:ascii="Times New Roman" w:hAnsi="Times New Roman" w:cs="Times New Roman"/>
        </w:rPr>
        <w:t>accidents at</w:t>
      </w:r>
      <w:r w:rsidRPr="00BF4D0A" w:rsidR="00E808DD">
        <w:rPr>
          <w:rFonts w:ascii="Times New Roman" w:hAnsi="Times New Roman" w:cs="Times New Roman"/>
        </w:rPr>
        <w:t xml:space="preserve"> </w:t>
      </w:r>
      <w:r w:rsidRPr="00BF4D0A">
        <w:rPr>
          <w:rFonts w:ascii="Times New Roman" w:hAnsi="Times New Roman" w:cs="Times New Roman"/>
        </w:rPr>
        <w:t xml:space="preserve">Program 2 and </w:t>
      </w:r>
      <w:r w:rsidRPr="00BF4D0A">
        <w:rPr>
          <w:rFonts w:ascii="Times New Roman" w:hAnsi="Times New Roman" w:cs="Times New Roman"/>
          <w:color w:val="000000"/>
        </w:rPr>
        <w:t xml:space="preserve">Program </w:t>
      </w:r>
      <w:r w:rsidRPr="00BF4D0A">
        <w:rPr>
          <w:rFonts w:ascii="Times New Roman" w:hAnsi="Times New Roman" w:cs="Times New Roman"/>
        </w:rPr>
        <w:t xml:space="preserve">3 facilities may occur up to three years after the release, depending on when the previous audit occurred, the analysis projects over time that </w:t>
      </w:r>
      <w:r w:rsidR="007C3046">
        <w:rPr>
          <w:rFonts w:ascii="Times New Roman" w:hAnsi="Times New Roman" w:cs="Times New Roman"/>
        </w:rPr>
        <w:t>94</w:t>
      </w:r>
      <w:r w:rsidRPr="00BF4D0A" w:rsidR="007C3046">
        <w:rPr>
          <w:rFonts w:ascii="Times New Roman" w:hAnsi="Times New Roman" w:cs="Times New Roman"/>
        </w:rPr>
        <w:t xml:space="preserve"> </w:t>
      </w:r>
      <w:r w:rsidRPr="00BF4D0A">
        <w:rPr>
          <w:rFonts w:ascii="Times New Roman" w:hAnsi="Times New Roman" w:cs="Times New Roman"/>
        </w:rPr>
        <w:t xml:space="preserve">facilities </w:t>
      </w:r>
      <w:r w:rsidR="009449B7">
        <w:rPr>
          <w:rFonts w:ascii="Times New Roman" w:hAnsi="Times New Roman" w:cs="Times New Roman"/>
        </w:rPr>
        <w:t>will</w:t>
      </w:r>
      <w:r w:rsidRPr="00BF4D0A">
        <w:rPr>
          <w:rFonts w:ascii="Times New Roman" w:hAnsi="Times New Roman" w:cs="Times New Roman"/>
        </w:rPr>
        <w:t xml:space="preserve"> conduct such an audit each year.</w:t>
      </w:r>
      <w:r>
        <w:rPr>
          <w:rFonts w:ascii="Times New Roman" w:hAnsi="Times New Roman" w:cs="Times New Roman"/>
          <w:vertAlign w:val="superscript"/>
        </w:rPr>
        <w:footnoteReference w:id="124"/>
      </w:r>
      <w:r w:rsidRPr="00BF4D0A">
        <w:rPr>
          <w:rFonts w:ascii="Times New Roman" w:hAnsi="Times New Roman" w:cs="Times New Roman"/>
          <w:vertAlign w:val="superscript"/>
        </w:rPr>
        <w:t xml:space="preserve"> </w:t>
      </w:r>
      <w:r w:rsidRPr="00BF4D0A">
        <w:rPr>
          <w:rFonts w:ascii="Times New Roman" w:hAnsi="Times New Roman" w:cs="Times New Roman"/>
        </w:rPr>
        <w:t>The breakout for total costs is shown in Exhibit 5-</w:t>
      </w:r>
      <w:r w:rsidR="00677142">
        <w:rPr>
          <w:rFonts w:ascii="Times New Roman" w:hAnsi="Times New Roman" w:cs="Times New Roman"/>
        </w:rPr>
        <w:t>7</w:t>
      </w:r>
      <w:r w:rsidRPr="00BF4D0A">
        <w:rPr>
          <w:rFonts w:ascii="Times New Roman" w:hAnsi="Times New Roman" w:cs="Times New Roman"/>
        </w:rPr>
        <w:t>:</w:t>
      </w:r>
      <w:r w:rsidRPr="00BF4D0A">
        <w:rPr>
          <w:rFonts w:ascii="Times New Roman" w:hAnsi="Times New Roman" w:cs="Times New Roman"/>
        </w:rPr>
        <w:br/>
      </w:r>
    </w:p>
    <w:p w:rsidR="000257ED" w:rsidP="000257ED" w14:paraId="7D9DD003" w14:textId="77777777">
      <w:pPr>
        <w:keepNext/>
        <w:spacing w:after="0" w:line="240" w:lineRule="auto"/>
        <w:jc w:val="center"/>
        <w:rPr>
          <w:rFonts w:ascii="Times New Roman" w:hAnsi="Times New Roman" w:cs="Times New Roman"/>
          <w:b/>
        </w:rPr>
      </w:pPr>
      <w:r w:rsidRPr="00D21E4B">
        <w:rPr>
          <w:rFonts w:ascii="Times New Roman" w:hAnsi="Times New Roman" w:cs="Times New Roman"/>
          <w:b/>
          <w:bCs/>
        </w:rPr>
        <w:t xml:space="preserve">Exhibit </w:t>
      </w:r>
      <w:r w:rsidRPr="00BF4D0A">
        <w:rPr>
          <w:rFonts w:ascii="Times New Roman" w:hAnsi="Times New Roman" w:cs="Times New Roman"/>
          <w:b/>
        </w:rPr>
        <w:t>5-</w:t>
      </w:r>
      <w:r w:rsidR="00677142">
        <w:rPr>
          <w:rFonts w:ascii="Times New Roman" w:hAnsi="Times New Roman" w:cs="Times New Roman"/>
          <w:b/>
        </w:rPr>
        <w:t>7</w:t>
      </w:r>
      <w:r w:rsidRPr="00BF4D0A">
        <w:rPr>
          <w:rFonts w:ascii="Times New Roman" w:hAnsi="Times New Roman" w:cs="Times New Roman"/>
          <w:b/>
        </w:rPr>
        <w:t>: Total Annual Undiscounted Costs for Third-party Audits (202</w:t>
      </w:r>
      <w:r w:rsidR="00751115">
        <w:rPr>
          <w:rFonts w:ascii="Times New Roman" w:hAnsi="Times New Roman" w:cs="Times New Roman"/>
          <w:b/>
        </w:rPr>
        <w:t>2</w:t>
      </w:r>
      <w:r w:rsidRPr="00BF4D0A">
        <w:rPr>
          <w:rFonts w:ascii="Times New Roman" w:hAnsi="Times New Roman" w:cs="Times New Roman"/>
          <w:b/>
        </w:rPr>
        <w:t xml:space="preserve"> </w:t>
      </w:r>
      <w:r w:rsidR="00794F08">
        <w:rPr>
          <w:rFonts w:ascii="Times New Roman" w:hAnsi="Times New Roman" w:cs="Times New Roman"/>
          <w:b/>
        </w:rPr>
        <w:t>d</w:t>
      </w:r>
      <w:r w:rsidRPr="00BF4D0A">
        <w:rPr>
          <w:rFonts w:ascii="Times New Roman" w:hAnsi="Times New Roman" w:cs="Times New Roman"/>
          <w:b/>
        </w:rPr>
        <w:t>ollars)</w:t>
      </w:r>
      <w:r>
        <w:rPr>
          <w:rFonts w:ascii="Times New Roman" w:hAnsi="Times New Roman" w:cs="Times New Roman"/>
          <w:b/>
        </w:rPr>
        <w:t>.</w:t>
      </w:r>
    </w:p>
    <w:p w:rsidR="000257ED" w:rsidRPr="00BF4D0A" w:rsidP="000257ED" w14:paraId="2A420C23" w14:textId="77777777">
      <w:pPr>
        <w:keepNext/>
        <w:spacing w:after="0" w:line="240" w:lineRule="auto"/>
        <w:jc w:val="center"/>
        <w:rPr>
          <w:rFonts w:ascii="Times New Roman" w:hAnsi="Times New Roman" w:cs="Times New Roman"/>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220"/>
        <w:gridCol w:w="1137"/>
        <w:gridCol w:w="1170"/>
        <w:gridCol w:w="990"/>
        <w:gridCol w:w="1620"/>
      </w:tblGrid>
      <w:tr w14:paraId="6E97EBEA" w14:textId="77777777" w:rsidTr="00E6210A">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20"/>
          <w:jc w:val="center"/>
        </w:trPr>
        <w:tc>
          <w:tcPr>
            <w:tcW w:w="2220" w:type="dxa"/>
            <w:tcBorders>
              <w:left w:val="single" w:sz="6" w:space="0" w:color="000000"/>
              <w:right w:val="single" w:sz="6" w:space="0" w:color="000000"/>
            </w:tcBorders>
            <w:shd w:val="clear" w:color="auto" w:fill="DADADA"/>
            <w:vAlign w:val="center"/>
          </w:tcPr>
          <w:p w:rsidR="000257ED" w:rsidRPr="00D21E4B" w:rsidP="00E6210A" w14:paraId="42D856BC" w14:textId="77777777">
            <w:pPr>
              <w:spacing w:after="0" w:line="240" w:lineRule="auto"/>
              <w:ind w:left="121"/>
              <w:jc w:val="center"/>
              <w:rPr>
                <w:rFonts w:ascii="Times New Roman" w:hAnsi="Times New Roman" w:cs="Times New Roman"/>
                <w:b/>
                <w:sz w:val="20"/>
                <w:szCs w:val="20"/>
              </w:rPr>
            </w:pPr>
            <w:r w:rsidRPr="00D21E4B">
              <w:rPr>
                <w:rFonts w:ascii="Times New Roman" w:hAnsi="Times New Roman" w:cs="Times New Roman"/>
                <w:b/>
                <w:sz w:val="20"/>
                <w:szCs w:val="20"/>
              </w:rPr>
              <w:t>Facility Type</w:t>
            </w:r>
          </w:p>
        </w:tc>
        <w:tc>
          <w:tcPr>
            <w:tcW w:w="1137" w:type="dxa"/>
            <w:tcBorders>
              <w:left w:val="single" w:sz="6" w:space="0" w:color="000000"/>
              <w:right w:val="single" w:sz="6" w:space="0" w:color="000000"/>
            </w:tcBorders>
            <w:shd w:val="clear" w:color="auto" w:fill="DADADA"/>
            <w:vAlign w:val="center"/>
          </w:tcPr>
          <w:p w:rsidR="000257ED" w:rsidRPr="00D21E4B" w:rsidP="00E6210A" w14:paraId="008430BC" w14:textId="77777777">
            <w:pPr>
              <w:spacing w:after="0" w:line="240" w:lineRule="auto"/>
              <w:ind w:left="96" w:right="57"/>
              <w:jc w:val="center"/>
              <w:rPr>
                <w:rFonts w:ascii="Times New Roman" w:hAnsi="Times New Roman" w:cs="Times New Roman"/>
                <w:b/>
                <w:sz w:val="20"/>
                <w:szCs w:val="20"/>
              </w:rPr>
            </w:pPr>
            <w:r w:rsidRPr="00D21E4B">
              <w:rPr>
                <w:rFonts w:ascii="Times New Roman" w:hAnsi="Times New Roman" w:cs="Times New Roman"/>
                <w:b/>
                <w:sz w:val="20"/>
                <w:szCs w:val="20"/>
              </w:rPr>
              <w:t>Annual Frequency</w:t>
            </w:r>
          </w:p>
        </w:tc>
        <w:tc>
          <w:tcPr>
            <w:tcW w:w="1170" w:type="dxa"/>
            <w:tcBorders>
              <w:left w:val="single" w:sz="6" w:space="0" w:color="000000"/>
            </w:tcBorders>
            <w:shd w:val="clear" w:color="auto" w:fill="DADADA"/>
            <w:vAlign w:val="center"/>
          </w:tcPr>
          <w:p w:rsidR="000257ED" w:rsidRPr="00D21E4B" w:rsidP="00E6210A" w14:paraId="6A4E45E1" w14:textId="77777777">
            <w:pPr>
              <w:spacing w:after="0" w:line="240" w:lineRule="auto"/>
              <w:ind w:left="92" w:right="32"/>
              <w:jc w:val="center"/>
              <w:rPr>
                <w:rFonts w:ascii="Times New Roman" w:hAnsi="Times New Roman" w:cs="Times New Roman"/>
                <w:b/>
                <w:sz w:val="20"/>
                <w:szCs w:val="20"/>
              </w:rPr>
            </w:pPr>
            <w:r w:rsidRPr="00D21E4B">
              <w:rPr>
                <w:rFonts w:ascii="Times New Roman" w:hAnsi="Times New Roman" w:cs="Times New Roman"/>
                <w:b/>
                <w:sz w:val="20"/>
                <w:szCs w:val="20"/>
              </w:rPr>
              <w:t>Unit Cost</w:t>
            </w:r>
          </w:p>
        </w:tc>
        <w:tc>
          <w:tcPr>
            <w:tcW w:w="990" w:type="dxa"/>
            <w:tcBorders>
              <w:right w:val="single" w:sz="6" w:space="0" w:color="000000"/>
            </w:tcBorders>
            <w:shd w:val="clear" w:color="auto" w:fill="DADADA"/>
            <w:vAlign w:val="center"/>
          </w:tcPr>
          <w:p w:rsidR="000257ED" w:rsidRPr="00D21E4B" w:rsidP="00E6210A" w14:paraId="57DBC1AC" w14:textId="77777777">
            <w:pPr>
              <w:spacing w:after="0" w:line="240" w:lineRule="auto"/>
              <w:ind w:left="61" w:right="67"/>
              <w:jc w:val="center"/>
              <w:rPr>
                <w:rFonts w:ascii="Times New Roman" w:hAnsi="Times New Roman" w:cs="Times New Roman"/>
                <w:b/>
                <w:sz w:val="20"/>
                <w:szCs w:val="20"/>
              </w:rPr>
            </w:pPr>
            <w:r w:rsidRPr="00D21E4B">
              <w:rPr>
                <w:rFonts w:ascii="Times New Roman" w:hAnsi="Times New Roman" w:cs="Times New Roman"/>
                <w:b/>
                <w:sz w:val="20"/>
                <w:szCs w:val="20"/>
              </w:rPr>
              <w:t>Facilities</w:t>
            </w:r>
          </w:p>
        </w:tc>
        <w:tc>
          <w:tcPr>
            <w:tcW w:w="1620" w:type="dxa"/>
            <w:tcBorders>
              <w:left w:val="single" w:sz="6" w:space="0" w:color="000000"/>
            </w:tcBorders>
            <w:shd w:val="clear" w:color="auto" w:fill="DADADA"/>
            <w:vAlign w:val="center"/>
          </w:tcPr>
          <w:p w:rsidR="000257ED" w:rsidRPr="00D21E4B" w:rsidP="00E6210A" w14:paraId="24A1CF3C" w14:textId="77777777">
            <w:pPr>
              <w:spacing w:after="0" w:line="240" w:lineRule="auto"/>
              <w:ind w:left="81" w:right="51"/>
              <w:jc w:val="center"/>
              <w:rPr>
                <w:rFonts w:ascii="Times New Roman" w:hAnsi="Times New Roman" w:cs="Times New Roman"/>
                <w:b/>
                <w:sz w:val="20"/>
                <w:szCs w:val="20"/>
              </w:rPr>
            </w:pPr>
            <w:r w:rsidRPr="00D21E4B">
              <w:rPr>
                <w:rFonts w:ascii="Times New Roman" w:hAnsi="Times New Roman" w:cs="Times New Roman"/>
                <w:b/>
                <w:sz w:val="20"/>
                <w:szCs w:val="20"/>
              </w:rPr>
              <w:t xml:space="preserve">Total </w:t>
            </w:r>
            <w:r w:rsidR="00FB5419">
              <w:rPr>
                <w:rFonts w:ascii="Times New Roman" w:hAnsi="Times New Roman" w:cs="Times New Roman"/>
                <w:b/>
                <w:sz w:val="20"/>
                <w:szCs w:val="20"/>
              </w:rPr>
              <w:t>Annual</w:t>
            </w:r>
            <w:r w:rsidRPr="00D21E4B">
              <w:rPr>
                <w:rFonts w:ascii="Times New Roman" w:hAnsi="Times New Roman" w:cs="Times New Roman"/>
                <w:b/>
                <w:sz w:val="20"/>
                <w:szCs w:val="20"/>
              </w:rPr>
              <w:t xml:space="preserve"> Cost</w:t>
            </w:r>
          </w:p>
        </w:tc>
      </w:tr>
      <w:tr w14:paraId="2950969F" w14:textId="77777777" w:rsidTr="00E6210A">
        <w:tblPrEx>
          <w:tblW w:w="0" w:type="auto"/>
          <w:jc w:val="center"/>
          <w:tblLayout w:type="fixed"/>
          <w:tblCellMar>
            <w:left w:w="0" w:type="dxa"/>
            <w:right w:w="0" w:type="dxa"/>
          </w:tblCellMar>
          <w:tblLook w:val="01E0"/>
        </w:tblPrEx>
        <w:trPr>
          <w:trHeight w:val="295"/>
          <w:jc w:val="center"/>
        </w:trPr>
        <w:tc>
          <w:tcPr>
            <w:tcW w:w="2220" w:type="dxa"/>
            <w:tcBorders>
              <w:left w:val="single" w:sz="6" w:space="0" w:color="000000"/>
              <w:right w:val="single" w:sz="6" w:space="0" w:color="000000"/>
            </w:tcBorders>
            <w:vAlign w:val="center"/>
          </w:tcPr>
          <w:p w:rsidR="000257ED" w:rsidRPr="00D21E4B" w:rsidP="00E6210A" w14:paraId="554255E9" w14:textId="77777777">
            <w:pPr>
              <w:spacing w:after="0" w:line="240" w:lineRule="auto"/>
              <w:ind w:left="127"/>
              <w:rPr>
                <w:rFonts w:ascii="Times New Roman" w:hAnsi="Times New Roman" w:cs="Times New Roman"/>
                <w:sz w:val="20"/>
                <w:szCs w:val="20"/>
              </w:rPr>
            </w:pPr>
            <w:r w:rsidRPr="00D21E4B">
              <w:rPr>
                <w:rFonts w:ascii="Times New Roman" w:hAnsi="Times New Roman" w:cs="Times New Roman"/>
                <w:sz w:val="20"/>
                <w:szCs w:val="20"/>
              </w:rPr>
              <w:t>Simple w/ 0-19 FTEs</w:t>
            </w:r>
          </w:p>
        </w:tc>
        <w:tc>
          <w:tcPr>
            <w:tcW w:w="1137" w:type="dxa"/>
            <w:tcBorders>
              <w:left w:val="single" w:sz="6" w:space="0" w:color="000000"/>
              <w:right w:val="single" w:sz="6" w:space="0" w:color="000000"/>
            </w:tcBorders>
            <w:vAlign w:val="center"/>
          </w:tcPr>
          <w:p w:rsidR="000257ED" w:rsidRPr="00D21E4B" w:rsidP="00E6210A" w14:paraId="6CE6A6AE" w14:textId="77777777">
            <w:pPr>
              <w:spacing w:after="0" w:line="240" w:lineRule="auto"/>
              <w:ind w:left="31"/>
              <w:jc w:val="center"/>
              <w:rPr>
                <w:rFonts w:ascii="Times New Roman" w:hAnsi="Times New Roman" w:cs="Times New Roman"/>
                <w:sz w:val="20"/>
                <w:szCs w:val="20"/>
              </w:rPr>
            </w:pPr>
            <w:r w:rsidRPr="00D21E4B">
              <w:rPr>
                <w:rFonts w:ascii="Times New Roman" w:hAnsi="Times New Roman" w:cs="Times New Roman"/>
                <w:sz w:val="20"/>
                <w:szCs w:val="20"/>
              </w:rPr>
              <w:t>1</w:t>
            </w:r>
          </w:p>
        </w:tc>
        <w:tc>
          <w:tcPr>
            <w:tcW w:w="1170" w:type="dxa"/>
            <w:tcBorders>
              <w:left w:val="single" w:sz="6" w:space="0" w:color="000000"/>
            </w:tcBorders>
            <w:vAlign w:val="center"/>
          </w:tcPr>
          <w:p w:rsidR="000257ED" w:rsidRPr="00D21E4B" w:rsidP="00E6210A" w14:paraId="679555A6" w14:textId="77777777">
            <w:pPr>
              <w:spacing w:after="0" w:line="240" w:lineRule="auto"/>
              <w:ind w:left="92" w:right="30"/>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217A8D">
              <w:rPr>
                <w:rFonts w:ascii="Times New Roman" w:hAnsi="Times New Roman" w:cs="Times New Roman"/>
                <w:color w:val="000000"/>
                <w:sz w:val="20"/>
                <w:szCs w:val="20"/>
              </w:rPr>
              <w:t>44,758</w:t>
            </w:r>
          </w:p>
        </w:tc>
        <w:tc>
          <w:tcPr>
            <w:tcW w:w="990" w:type="dxa"/>
            <w:tcBorders>
              <w:right w:val="single" w:sz="6" w:space="0" w:color="000000"/>
            </w:tcBorders>
            <w:vAlign w:val="center"/>
          </w:tcPr>
          <w:p w:rsidR="000257ED" w:rsidRPr="00D21E4B" w:rsidP="00E6210A" w14:paraId="6703A5A2" w14:textId="77777777">
            <w:pPr>
              <w:spacing w:after="0" w:line="240" w:lineRule="auto"/>
              <w:ind w:left="77" w:right="65"/>
              <w:jc w:val="center"/>
              <w:rPr>
                <w:rFonts w:ascii="Times New Roman" w:hAnsi="Times New Roman" w:cs="Times New Roman"/>
                <w:sz w:val="20"/>
                <w:szCs w:val="20"/>
              </w:rPr>
            </w:pPr>
            <w:r>
              <w:rPr>
                <w:rFonts w:ascii="Times New Roman" w:hAnsi="Times New Roman" w:cs="Times New Roman"/>
                <w:sz w:val="20"/>
                <w:szCs w:val="20"/>
              </w:rPr>
              <w:t>15</w:t>
            </w:r>
          </w:p>
        </w:tc>
        <w:tc>
          <w:tcPr>
            <w:tcW w:w="1620" w:type="dxa"/>
            <w:tcBorders>
              <w:left w:val="single" w:sz="6" w:space="0" w:color="000000"/>
            </w:tcBorders>
            <w:vAlign w:val="center"/>
          </w:tcPr>
          <w:p w:rsidR="000257ED" w:rsidRPr="00D21E4B" w:rsidP="00E6210A" w14:paraId="11F61A03" w14:textId="77777777">
            <w:pPr>
              <w:spacing w:after="0" w:line="240" w:lineRule="auto"/>
              <w:ind w:left="83"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4360C3">
              <w:rPr>
                <w:rFonts w:ascii="Times New Roman" w:hAnsi="Times New Roman" w:cs="Times New Roman"/>
                <w:color w:val="000000"/>
                <w:sz w:val="20"/>
                <w:szCs w:val="20"/>
              </w:rPr>
              <w:t>689,279</w:t>
            </w:r>
          </w:p>
        </w:tc>
      </w:tr>
      <w:tr w14:paraId="7FE13A63" w14:textId="77777777" w:rsidTr="00E6210A">
        <w:tblPrEx>
          <w:tblW w:w="0" w:type="auto"/>
          <w:jc w:val="center"/>
          <w:tblLayout w:type="fixed"/>
          <w:tblCellMar>
            <w:left w:w="0" w:type="dxa"/>
            <w:right w:w="0" w:type="dxa"/>
          </w:tblCellMar>
          <w:tblLook w:val="01E0"/>
        </w:tblPrEx>
        <w:trPr>
          <w:trHeight w:val="282"/>
          <w:jc w:val="center"/>
        </w:trPr>
        <w:tc>
          <w:tcPr>
            <w:tcW w:w="2220" w:type="dxa"/>
            <w:tcBorders>
              <w:left w:val="single" w:sz="6" w:space="0" w:color="000000"/>
              <w:bottom w:val="single" w:sz="6" w:space="0" w:color="000000"/>
              <w:right w:val="single" w:sz="6" w:space="0" w:color="000000"/>
            </w:tcBorders>
            <w:vAlign w:val="center"/>
          </w:tcPr>
          <w:p w:rsidR="000257ED" w:rsidRPr="00D21E4B" w:rsidP="00E6210A" w14:paraId="13AF07B7" w14:textId="77777777">
            <w:pPr>
              <w:spacing w:after="0" w:line="240" w:lineRule="auto"/>
              <w:ind w:left="127"/>
              <w:rPr>
                <w:rFonts w:ascii="Times New Roman" w:hAnsi="Times New Roman" w:cs="Times New Roman"/>
                <w:sz w:val="20"/>
                <w:szCs w:val="20"/>
              </w:rPr>
            </w:pPr>
            <w:r w:rsidRPr="00D21E4B">
              <w:rPr>
                <w:rFonts w:ascii="Times New Roman" w:hAnsi="Times New Roman" w:cs="Times New Roman"/>
                <w:sz w:val="20"/>
                <w:szCs w:val="20"/>
              </w:rPr>
              <w:t>Simple w/ 20-99 FTEs</w:t>
            </w:r>
          </w:p>
        </w:tc>
        <w:tc>
          <w:tcPr>
            <w:tcW w:w="1137" w:type="dxa"/>
            <w:tcBorders>
              <w:left w:val="single" w:sz="6" w:space="0" w:color="000000"/>
              <w:bottom w:val="single" w:sz="6" w:space="0" w:color="000000"/>
              <w:right w:val="single" w:sz="6" w:space="0" w:color="000000"/>
            </w:tcBorders>
            <w:vAlign w:val="center"/>
          </w:tcPr>
          <w:p w:rsidR="000257ED" w:rsidRPr="00D21E4B" w:rsidP="00E6210A" w14:paraId="3CC7A291" w14:textId="77777777">
            <w:pPr>
              <w:spacing w:after="0" w:line="240" w:lineRule="auto"/>
              <w:ind w:left="31"/>
              <w:jc w:val="center"/>
              <w:rPr>
                <w:rFonts w:ascii="Times New Roman" w:hAnsi="Times New Roman" w:cs="Times New Roman"/>
                <w:sz w:val="20"/>
                <w:szCs w:val="20"/>
              </w:rPr>
            </w:pPr>
            <w:r w:rsidRPr="00D21E4B">
              <w:rPr>
                <w:rFonts w:ascii="Times New Roman" w:hAnsi="Times New Roman" w:cs="Times New Roman"/>
                <w:sz w:val="20"/>
                <w:szCs w:val="20"/>
              </w:rPr>
              <w:t>1</w:t>
            </w:r>
          </w:p>
        </w:tc>
        <w:tc>
          <w:tcPr>
            <w:tcW w:w="1170" w:type="dxa"/>
            <w:tcBorders>
              <w:left w:val="single" w:sz="6" w:space="0" w:color="000000"/>
              <w:bottom w:val="single" w:sz="6" w:space="0" w:color="000000"/>
            </w:tcBorders>
            <w:vAlign w:val="center"/>
          </w:tcPr>
          <w:p w:rsidR="000257ED" w:rsidRPr="00D21E4B" w:rsidP="00E6210A" w14:paraId="51B45929" w14:textId="77777777">
            <w:pPr>
              <w:spacing w:after="0" w:line="240" w:lineRule="auto"/>
              <w:ind w:left="92" w:right="30"/>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217A8D">
              <w:rPr>
                <w:rFonts w:ascii="Times New Roman" w:hAnsi="Times New Roman" w:cs="Times New Roman"/>
                <w:color w:val="000000"/>
                <w:sz w:val="20"/>
                <w:szCs w:val="20"/>
              </w:rPr>
              <w:t>50,091</w:t>
            </w:r>
          </w:p>
        </w:tc>
        <w:tc>
          <w:tcPr>
            <w:tcW w:w="990" w:type="dxa"/>
            <w:tcBorders>
              <w:bottom w:val="single" w:sz="6" w:space="0" w:color="000000"/>
              <w:right w:val="single" w:sz="6" w:space="0" w:color="000000"/>
            </w:tcBorders>
            <w:vAlign w:val="center"/>
          </w:tcPr>
          <w:p w:rsidR="000257ED" w:rsidRPr="00D21E4B" w:rsidP="00E6210A" w14:paraId="0ECD547C" w14:textId="77777777">
            <w:pPr>
              <w:spacing w:after="0" w:line="240" w:lineRule="auto"/>
              <w:ind w:left="77" w:right="65"/>
              <w:jc w:val="center"/>
              <w:rPr>
                <w:rFonts w:ascii="Times New Roman" w:hAnsi="Times New Roman" w:cs="Times New Roman"/>
                <w:sz w:val="20"/>
                <w:szCs w:val="20"/>
              </w:rPr>
            </w:pPr>
            <w:r>
              <w:rPr>
                <w:rFonts w:ascii="Times New Roman" w:hAnsi="Times New Roman" w:cs="Times New Roman"/>
                <w:sz w:val="20"/>
                <w:szCs w:val="20"/>
              </w:rPr>
              <w:t>8</w:t>
            </w:r>
          </w:p>
        </w:tc>
        <w:tc>
          <w:tcPr>
            <w:tcW w:w="1620" w:type="dxa"/>
            <w:tcBorders>
              <w:left w:val="single" w:sz="6" w:space="0" w:color="000000"/>
              <w:bottom w:val="single" w:sz="6" w:space="0" w:color="000000"/>
            </w:tcBorders>
            <w:vAlign w:val="center"/>
          </w:tcPr>
          <w:p w:rsidR="000257ED" w:rsidRPr="00D21E4B" w:rsidP="00E6210A" w14:paraId="762EE3AC" w14:textId="77777777">
            <w:pPr>
              <w:spacing w:after="0" w:line="240" w:lineRule="auto"/>
              <w:ind w:left="83"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4360C3">
              <w:rPr>
                <w:rFonts w:ascii="Times New Roman" w:hAnsi="Times New Roman" w:cs="Times New Roman"/>
                <w:color w:val="000000"/>
                <w:sz w:val="20"/>
                <w:szCs w:val="20"/>
              </w:rPr>
              <w:t>400,727</w:t>
            </w:r>
          </w:p>
        </w:tc>
      </w:tr>
      <w:tr w14:paraId="2223721F" w14:textId="77777777" w:rsidTr="00E6210A">
        <w:tblPrEx>
          <w:tblW w:w="0" w:type="auto"/>
          <w:jc w:val="center"/>
          <w:tblLayout w:type="fixed"/>
          <w:tblCellMar>
            <w:left w:w="0" w:type="dxa"/>
            <w:right w:w="0" w:type="dxa"/>
          </w:tblCellMar>
          <w:tblLook w:val="01E0"/>
        </w:tblPrEx>
        <w:trPr>
          <w:trHeight w:val="300"/>
          <w:jc w:val="center"/>
        </w:trPr>
        <w:tc>
          <w:tcPr>
            <w:tcW w:w="2220" w:type="dxa"/>
            <w:tcBorders>
              <w:top w:val="single" w:sz="6" w:space="0" w:color="000000"/>
              <w:left w:val="single" w:sz="6" w:space="0" w:color="000000"/>
              <w:bottom w:val="single" w:sz="6" w:space="0" w:color="000000"/>
              <w:right w:val="single" w:sz="6" w:space="0" w:color="000000"/>
            </w:tcBorders>
            <w:vAlign w:val="center"/>
          </w:tcPr>
          <w:p w:rsidR="000257ED" w:rsidRPr="00D21E4B" w:rsidP="00E6210A" w14:paraId="7E89E05F" w14:textId="77777777">
            <w:pPr>
              <w:spacing w:after="0" w:line="240" w:lineRule="auto"/>
              <w:ind w:left="127"/>
              <w:rPr>
                <w:rFonts w:ascii="Times New Roman" w:hAnsi="Times New Roman" w:cs="Times New Roman"/>
                <w:sz w:val="20"/>
                <w:szCs w:val="20"/>
              </w:rPr>
            </w:pPr>
            <w:r w:rsidRPr="00D21E4B">
              <w:rPr>
                <w:rFonts w:ascii="Times New Roman" w:hAnsi="Times New Roman" w:cs="Times New Roman"/>
                <w:sz w:val="20"/>
                <w:szCs w:val="20"/>
              </w:rPr>
              <w:t>Simple w/ 100+ FTEs</w:t>
            </w:r>
          </w:p>
        </w:tc>
        <w:tc>
          <w:tcPr>
            <w:tcW w:w="1137" w:type="dxa"/>
            <w:tcBorders>
              <w:top w:val="single" w:sz="6" w:space="0" w:color="000000"/>
              <w:left w:val="single" w:sz="6" w:space="0" w:color="000000"/>
              <w:bottom w:val="single" w:sz="6" w:space="0" w:color="000000"/>
              <w:right w:val="single" w:sz="6" w:space="0" w:color="000000"/>
            </w:tcBorders>
            <w:vAlign w:val="center"/>
          </w:tcPr>
          <w:p w:rsidR="000257ED" w:rsidRPr="00D21E4B" w:rsidP="00E6210A" w14:paraId="0A7198D2" w14:textId="77777777">
            <w:pPr>
              <w:spacing w:after="0" w:line="240" w:lineRule="auto"/>
              <w:ind w:left="31"/>
              <w:jc w:val="center"/>
              <w:rPr>
                <w:rFonts w:ascii="Times New Roman" w:hAnsi="Times New Roman" w:cs="Times New Roman"/>
                <w:sz w:val="20"/>
                <w:szCs w:val="20"/>
              </w:rPr>
            </w:pPr>
            <w:r w:rsidRPr="00D21E4B">
              <w:rPr>
                <w:rFonts w:ascii="Times New Roman" w:hAnsi="Times New Roman" w:cs="Times New Roman"/>
                <w:sz w:val="20"/>
                <w:szCs w:val="20"/>
              </w:rPr>
              <w:t>1</w:t>
            </w:r>
          </w:p>
        </w:tc>
        <w:tc>
          <w:tcPr>
            <w:tcW w:w="1170" w:type="dxa"/>
            <w:tcBorders>
              <w:top w:val="single" w:sz="6" w:space="0" w:color="000000"/>
              <w:left w:val="single" w:sz="6" w:space="0" w:color="000000"/>
              <w:bottom w:val="single" w:sz="6" w:space="0" w:color="000000"/>
            </w:tcBorders>
            <w:vAlign w:val="center"/>
          </w:tcPr>
          <w:p w:rsidR="000257ED" w:rsidRPr="00D21E4B" w:rsidP="00E6210A" w14:paraId="430070F4" w14:textId="77777777">
            <w:pPr>
              <w:spacing w:after="0" w:line="240" w:lineRule="auto"/>
              <w:ind w:left="92" w:right="30"/>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217A8D">
              <w:rPr>
                <w:rFonts w:ascii="Times New Roman" w:hAnsi="Times New Roman" w:cs="Times New Roman"/>
                <w:color w:val="000000"/>
                <w:sz w:val="20"/>
                <w:szCs w:val="20"/>
              </w:rPr>
              <w:t>52,640</w:t>
            </w:r>
          </w:p>
        </w:tc>
        <w:tc>
          <w:tcPr>
            <w:tcW w:w="990" w:type="dxa"/>
            <w:tcBorders>
              <w:top w:val="single" w:sz="6" w:space="0" w:color="000000"/>
              <w:bottom w:val="single" w:sz="6" w:space="0" w:color="000000"/>
              <w:right w:val="single" w:sz="6" w:space="0" w:color="000000"/>
            </w:tcBorders>
            <w:vAlign w:val="center"/>
          </w:tcPr>
          <w:p w:rsidR="000257ED" w:rsidRPr="00D21E4B" w:rsidP="00E6210A" w14:paraId="02FA111E" w14:textId="77777777">
            <w:pPr>
              <w:spacing w:after="0" w:line="240" w:lineRule="auto"/>
              <w:ind w:left="77" w:right="65"/>
              <w:jc w:val="center"/>
              <w:rPr>
                <w:rFonts w:ascii="Times New Roman" w:hAnsi="Times New Roman" w:cs="Times New Roman"/>
                <w:sz w:val="20"/>
                <w:szCs w:val="20"/>
              </w:rPr>
            </w:pPr>
            <w:r>
              <w:rPr>
                <w:rFonts w:ascii="Times New Roman" w:hAnsi="Times New Roman" w:cs="Times New Roman"/>
                <w:sz w:val="20"/>
                <w:szCs w:val="20"/>
              </w:rPr>
              <w:t>26</w:t>
            </w:r>
          </w:p>
        </w:tc>
        <w:tc>
          <w:tcPr>
            <w:tcW w:w="1620" w:type="dxa"/>
            <w:tcBorders>
              <w:top w:val="single" w:sz="6" w:space="0" w:color="000000"/>
              <w:left w:val="single" w:sz="6" w:space="0" w:color="000000"/>
              <w:bottom w:val="single" w:sz="6" w:space="0" w:color="000000"/>
            </w:tcBorders>
            <w:vAlign w:val="center"/>
          </w:tcPr>
          <w:p w:rsidR="000257ED" w:rsidRPr="00D21E4B" w:rsidP="00E6210A" w14:paraId="4E6F6285" w14:textId="77777777">
            <w:pPr>
              <w:spacing w:after="0" w:line="240" w:lineRule="auto"/>
              <w:ind w:left="83"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3B19E6">
              <w:rPr>
                <w:rFonts w:ascii="Times New Roman" w:hAnsi="Times New Roman" w:cs="Times New Roman"/>
                <w:color w:val="000000"/>
                <w:sz w:val="20"/>
                <w:szCs w:val="20"/>
              </w:rPr>
              <w:t>1,368,646</w:t>
            </w:r>
          </w:p>
        </w:tc>
      </w:tr>
      <w:tr w14:paraId="5AB63B54" w14:textId="77777777" w:rsidTr="00E6210A">
        <w:tblPrEx>
          <w:tblW w:w="0" w:type="auto"/>
          <w:jc w:val="center"/>
          <w:tblLayout w:type="fixed"/>
          <w:tblCellMar>
            <w:left w:w="0" w:type="dxa"/>
            <w:right w:w="0" w:type="dxa"/>
          </w:tblCellMar>
          <w:tblLook w:val="01E0"/>
        </w:tblPrEx>
        <w:trPr>
          <w:trHeight w:val="285"/>
          <w:jc w:val="center"/>
        </w:trPr>
        <w:tc>
          <w:tcPr>
            <w:tcW w:w="2220" w:type="dxa"/>
            <w:tcBorders>
              <w:top w:val="single" w:sz="6" w:space="0" w:color="000000"/>
              <w:left w:val="single" w:sz="6" w:space="0" w:color="000000"/>
              <w:bottom w:val="single" w:sz="6" w:space="0" w:color="000000"/>
              <w:right w:val="single" w:sz="6" w:space="0" w:color="000000"/>
            </w:tcBorders>
            <w:vAlign w:val="center"/>
          </w:tcPr>
          <w:p w:rsidR="000257ED" w:rsidRPr="00D21E4B" w:rsidP="00E6210A" w14:paraId="44DDC5A9" w14:textId="77777777">
            <w:pPr>
              <w:spacing w:after="0" w:line="240" w:lineRule="auto"/>
              <w:ind w:left="127"/>
              <w:rPr>
                <w:rFonts w:ascii="Times New Roman" w:hAnsi="Times New Roman" w:cs="Times New Roman"/>
                <w:sz w:val="20"/>
                <w:szCs w:val="20"/>
              </w:rPr>
            </w:pPr>
            <w:r w:rsidRPr="00D21E4B">
              <w:rPr>
                <w:rFonts w:ascii="Times New Roman" w:hAnsi="Times New Roman" w:cs="Times New Roman"/>
                <w:sz w:val="20"/>
                <w:szCs w:val="20"/>
              </w:rPr>
              <w:t>Complex w/ 0-19 FTEs</w:t>
            </w:r>
          </w:p>
        </w:tc>
        <w:tc>
          <w:tcPr>
            <w:tcW w:w="1137" w:type="dxa"/>
            <w:tcBorders>
              <w:top w:val="single" w:sz="6" w:space="0" w:color="000000"/>
              <w:left w:val="single" w:sz="6" w:space="0" w:color="000000"/>
              <w:bottom w:val="single" w:sz="6" w:space="0" w:color="000000"/>
              <w:right w:val="single" w:sz="6" w:space="0" w:color="000000"/>
            </w:tcBorders>
            <w:vAlign w:val="center"/>
          </w:tcPr>
          <w:p w:rsidR="000257ED" w:rsidRPr="00D21E4B" w:rsidP="00E6210A" w14:paraId="0AF4B94B" w14:textId="77777777">
            <w:pPr>
              <w:spacing w:after="0" w:line="240" w:lineRule="auto"/>
              <w:ind w:left="31"/>
              <w:jc w:val="center"/>
              <w:rPr>
                <w:rFonts w:ascii="Times New Roman" w:hAnsi="Times New Roman" w:cs="Times New Roman"/>
                <w:sz w:val="20"/>
                <w:szCs w:val="20"/>
              </w:rPr>
            </w:pPr>
            <w:r w:rsidRPr="00D21E4B">
              <w:rPr>
                <w:rFonts w:ascii="Times New Roman" w:hAnsi="Times New Roman" w:cs="Times New Roman"/>
                <w:sz w:val="20"/>
                <w:szCs w:val="20"/>
              </w:rPr>
              <w:t>1</w:t>
            </w:r>
          </w:p>
        </w:tc>
        <w:tc>
          <w:tcPr>
            <w:tcW w:w="1170" w:type="dxa"/>
            <w:tcBorders>
              <w:top w:val="single" w:sz="6" w:space="0" w:color="000000"/>
              <w:left w:val="single" w:sz="6" w:space="0" w:color="000000"/>
              <w:bottom w:val="single" w:sz="6" w:space="0" w:color="000000"/>
            </w:tcBorders>
            <w:vAlign w:val="center"/>
          </w:tcPr>
          <w:p w:rsidR="000257ED" w:rsidRPr="00D21E4B" w:rsidP="00E6210A" w14:paraId="69751E01" w14:textId="77777777">
            <w:pPr>
              <w:spacing w:after="0" w:line="240" w:lineRule="auto"/>
              <w:ind w:left="92" w:right="3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217A8D">
              <w:rPr>
                <w:rFonts w:ascii="Times New Roman" w:hAnsi="Times New Roman" w:cs="Times New Roman"/>
                <w:color w:val="000000"/>
                <w:sz w:val="20"/>
                <w:szCs w:val="20"/>
              </w:rPr>
              <w:t>107,</w:t>
            </w:r>
            <w:r w:rsidR="004724FB">
              <w:rPr>
                <w:rFonts w:ascii="Times New Roman" w:hAnsi="Times New Roman" w:cs="Times New Roman"/>
                <w:color w:val="000000"/>
                <w:sz w:val="20"/>
                <w:szCs w:val="20"/>
              </w:rPr>
              <w:t>694</w:t>
            </w:r>
          </w:p>
        </w:tc>
        <w:tc>
          <w:tcPr>
            <w:tcW w:w="990" w:type="dxa"/>
            <w:tcBorders>
              <w:top w:val="single" w:sz="6" w:space="0" w:color="000000"/>
              <w:bottom w:val="single" w:sz="6" w:space="0" w:color="000000"/>
              <w:right w:val="single" w:sz="6" w:space="0" w:color="000000"/>
            </w:tcBorders>
            <w:vAlign w:val="center"/>
          </w:tcPr>
          <w:p w:rsidR="000257ED" w:rsidRPr="00D21E4B" w:rsidP="00E6210A" w14:paraId="4D0CE933" w14:textId="77777777">
            <w:pPr>
              <w:spacing w:after="0" w:line="240" w:lineRule="auto"/>
              <w:ind w:right="1"/>
              <w:jc w:val="center"/>
              <w:rPr>
                <w:rFonts w:ascii="Times New Roman" w:hAnsi="Times New Roman" w:cs="Times New Roman"/>
                <w:sz w:val="20"/>
                <w:szCs w:val="20"/>
              </w:rPr>
            </w:pPr>
            <w:r>
              <w:rPr>
                <w:rFonts w:ascii="Times New Roman" w:hAnsi="Times New Roman" w:cs="Times New Roman"/>
                <w:sz w:val="20"/>
                <w:szCs w:val="20"/>
              </w:rPr>
              <w:t>2</w:t>
            </w:r>
          </w:p>
        </w:tc>
        <w:tc>
          <w:tcPr>
            <w:tcW w:w="1620" w:type="dxa"/>
            <w:tcBorders>
              <w:top w:val="single" w:sz="6" w:space="0" w:color="000000"/>
              <w:left w:val="single" w:sz="6" w:space="0" w:color="000000"/>
              <w:bottom w:val="single" w:sz="6" w:space="0" w:color="000000"/>
            </w:tcBorders>
            <w:vAlign w:val="center"/>
          </w:tcPr>
          <w:p w:rsidR="000257ED" w:rsidRPr="00D21E4B" w:rsidP="00E6210A" w14:paraId="035B2565" w14:textId="77777777">
            <w:pPr>
              <w:spacing w:after="0" w:line="240" w:lineRule="auto"/>
              <w:ind w:left="83"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5C2908">
              <w:rPr>
                <w:rFonts w:ascii="Times New Roman" w:hAnsi="Times New Roman" w:cs="Times New Roman"/>
                <w:color w:val="000000"/>
                <w:sz w:val="20"/>
                <w:szCs w:val="20"/>
              </w:rPr>
              <w:t>172,311</w:t>
            </w:r>
          </w:p>
        </w:tc>
      </w:tr>
      <w:tr w14:paraId="6B6DCB69" w14:textId="77777777" w:rsidTr="00E6210A">
        <w:tblPrEx>
          <w:tblW w:w="0" w:type="auto"/>
          <w:jc w:val="center"/>
          <w:tblLayout w:type="fixed"/>
          <w:tblCellMar>
            <w:left w:w="0" w:type="dxa"/>
            <w:right w:w="0" w:type="dxa"/>
          </w:tblCellMar>
          <w:tblLook w:val="01E0"/>
        </w:tblPrEx>
        <w:trPr>
          <w:trHeight w:val="315"/>
          <w:jc w:val="center"/>
        </w:trPr>
        <w:tc>
          <w:tcPr>
            <w:tcW w:w="2220" w:type="dxa"/>
            <w:tcBorders>
              <w:top w:val="single" w:sz="6" w:space="0" w:color="000000"/>
              <w:left w:val="single" w:sz="6" w:space="0" w:color="000000"/>
              <w:bottom w:val="single" w:sz="6" w:space="0" w:color="000000"/>
              <w:right w:val="single" w:sz="6" w:space="0" w:color="000000"/>
            </w:tcBorders>
            <w:vAlign w:val="center"/>
          </w:tcPr>
          <w:p w:rsidR="000257ED" w:rsidRPr="00D21E4B" w:rsidP="00E6210A" w14:paraId="1C0EE2BB" w14:textId="77777777">
            <w:pPr>
              <w:spacing w:after="0" w:line="240" w:lineRule="auto"/>
              <w:ind w:left="127"/>
              <w:rPr>
                <w:rFonts w:ascii="Times New Roman" w:hAnsi="Times New Roman" w:cs="Times New Roman"/>
                <w:sz w:val="20"/>
                <w:szCs w:val="20"/>
              </w:rPr>
            </w:pPr>
            <w:r w:rsidRPr="00D21E4B">
              <w:rPr>
                <w:rFonts w:ascii="Times New Roman" w:hAnsi="Times New Roman" w:cs="Times New Roman"/>
                <w:sz w:val="20"/>
                <w:szCs w:val="20"/>
              </w:rPr>
              <w:t>Complex w/ 20-99 FTEs</w:t>
            </w:r>
          </w:p>
        </w:tc>
        <w:tc>
          <w:tcPr>
            <w:tcW w:w="1137" w:type="dxa"/>
            <w:tcBorders>
              <w:top w:val="single" w:sz="6" w:space="0" w:color="000000"/>
              <w:left w:val="single" w:sz="6" w:space="0" w:color="000000"/>
              <w:bottom w:val="single" w:sz="6" w:space="0" w:color="000000"/>
              <w:right w:val="single" w:sz="6" w:space="0" w:color="000000"/>
            </w:tcBorders>
            <w:vAlign w:val="center"/>
          </w:tcPr>
          <w:p w:rsidR="000257ED" w:rsidRPr="00D21E4B" w:rsidP="00E6210A" w14:paraId="021CD1EA" w14:textId="77777777">
            <w:pPr>
              <w:spacing w:after="0" w:line="240" w:lineRule="auto"/>
              <w:ind w:left="31"/>
              <w:jc w:val="center"/>
              <w:rPr>
                <w:rFonts w:ascii="Times New Roman" w:hAnsi="Times New Roman" w:cs="Times New Roman"/>
                <w:sz w:val="20"/>
                <w:szCs w:val="20"/>
              </w:rPr>
            </w:pPr>
            <w:r w:rsidRPr="00D21E4B">
              <w:rPr>
                <w:rFonts w:ascii="Times New Roman" w:hAnsi="Times New Roman" w:cs="Times New Roman"/>
                <w:sz w:val="20"/>
                <w:szCs w:val="20"/>
              </w:rPr>
              <w:t>1</w:t>
            </w:r>
          </w:p>
        </w:tc>
        <w:tc>
          <w:tcPr>
            <w:tcW w:w="1170" w:type="dxa"/>
            <w:tcBorders>
              <w:top w:val="single" w:sz="6" w:space="0" w:color="000000"/>
              <w:left w:val="single" w:sz="6" w:space="0" w:color="000000"/>
              <w:bottom w:val="single" w:sz="6" w:space="0" w:color="000000"/>
            </w:tcBorders>
            <w:vAlign w:val="center"/>
          </w:tcPr>
          <w:p w:rsidR="000257ED" w:rsidRPr="00D21E4B" w:rsidP="00E6210A" w14:paraId="26ADB768" w14:textId="77777777">
            <w:pPr>
              <w:spacing w:after="0" w:line="240" w:lineRule="auto"/>
              <w:ind w:left="92" w:right="30"/>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1E4584">
              <w:rPr>
                <w:rFonts w:ascii="Times New Roman" w:hAnsi="Times New Roman" w:cs="Times New Roman"/>
                <w:color w:val="000000"/>
                <w:sz w:val="20"/>
                <w:szCs w:val="20"/>
              </w:rPr>
              <w:t>114,</w:t>
            </w:r>
            <w:r w:rsidR="00F835A4">
              <w:rPr>
                <w:rFonts w:ascii="Times New Roman" w:hAnsi="Times New Roman" w:cs="Times New Roman"/>
                <w:color w:val="000000"/>
                <w:sz w:val="20"/>
                <w:szCs w:val="20"/>
              </w:rPr>
              <w:t>563</w:t>
            </w:r>
          </w:p>
        </w:tc>
        <w:tc>
          <w:tcPr>
            <w:tcW w:w="990" w:type="dxa"/>
            <w:tcBorders>
              <w:top w:val="single" w:sz="6" w:space="0" w:color="000000"/>
              <w:bottom w:val="single" w:sz="6" w:space="0" w:color="000000"/>
              <w:right w:val="single" w:sz="6" w:space="0" w:color="000000"/>
            </w:tcBorders>
            <w:vAlign w:val="center"/>
          </w:tcPr>
          <w:p w:rsidR="000257ED" w:rsidRPr="00D21E4B" w:rsidP="00E6210A" w14:paraId="7161C980" w14:textId="77777777">
            <w:pPr>
              <w:spacing w:after="0" w:line="240" w:lineRule="auto"/>
              <w:ind w:left="77" w:right="65"/>
              <w:jc w:val="center"/>
              <w:rPr>
                <w:rFonts w:ascii="Times New Roman" w:hAnsi="Times New Roman" w:cs="Times New Roman"/>
                <w:sz w:val="20"/>
                <w:szCs w:val="20"/>
              </w:rPr>
            </w:pPr>
            <w:r>
              <w:rPr>
                <w:rFonts w:ascii="Times New Roman" w:hAnsi="Times New Roman" w:cs="Times New Roman"/>
                <w:sz w:val="20"/>
                <w:szCs w:val="20"/>
              </w:rPr>
              <w:t>8</w:t>
            </w:r>
          </w:p>
        </w:tc>
        <w:tc>
          <w:tcPr>
            <w:tcW w:w="1620" w:type="dxa"/>
            <w:tcBorders>
              <w:top w:val="single" w:sz="6" w:space="0" w:color="000000"/>
              <w:left w:val="single" w:sz="6" w:space="0" w:color="000000"/>
              <w:bottom w:val="single" w:sz="6" w:space="0" w:color="000000"/>
            </w:tcBorders>
            <w:vAlign w:val="center"/>
          </w:tcPr>
          <w:p w:rsidR="000257ED" w:rsidRPr="00D21E4B" w:rsidP="00E6210A" w14:paraId="4F7C3799" w14:textId="77777777">
            <w:pPr>
              <w:spacing w:after="0" w:line="240" w:lineRule="auto"/>
              <w:ind w:left="83"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221113">
              <w:rPr>
                <w:rFonts w:ascii="Times New Roman" w:hAnsi="Times New Roman" w:cs="Times New Roman"/>
                <w:color w:val="000000"/>
                <w:sz w:val="20"/>
                <w:szCs w:val="20"/>
              </w:rPr>
              <w:t>870,680</w:t>
            </w:r>
          </w:p>
        </w:tc>
      </w:tr>
      <w:tr w14:paraId="2BE6D645" w14:textId="77777777" w:rsidTr="00E6210A">
        <w:tblPrEx>
          <w:tblW w:w="0" w:type="auto"/>
          <w:jc w:val="center"/>
          <w:tblLayout w:type="fixed"/>
          <w:tblCellMar>
            <w:left w:w="0" w:type="dxa"/>
            <w:right w:w="0" w:type="dxa"/>
          </w:tblCellMar>
          <w:tblLook w:val="01E0"/>
        </w:tblPrEx>
        <w:trPr>
          <w:trHeight w:val="285"/>
          <w:jc w:val="center"/>
        </w:trPr>
        <w:tc>
          <w:tcPr>
            <w:tcW w:w="2220" w:type="dxa"/>
            <w:tcBorders>
              <w:top w:val="single" w:sz="6" w:space="0" w:color="000000"/>
              <w:left w:val="single" w:sz="6" w:space="0" w:color="000000"/>
              <w:bottom w:val="single" w:sz="6" w:space="0" w:color="000000"/>
              <w:right w:val="single" w:sz="6" w:space="0" w:color="000000"/>
            </w:tcBorders>
            <w:vAlign w:val="center"/>
          </w:tcPr>
          <w:p w:rsidR="000257ED" w:rsidRPr="00D21E4B" w:rsidP="00E6210A" w14:paraId="6E216B62" w14:textId="77777777">
            <w:pPr>
              <w:spacing w:after="0" w:line="240" w:lineRule="auto"/>
              <w:ind w:left="127"/>
              <w:rPr>
                <w:rFonts w:ascii="Times New Roman" w:hAnsi="Times New Roman" w:cs="Times New Roman"/>
                <w:sz w:val="20"/>
                <w:szCs w:val="20"/>
              </w:rPr>
            </w:pPr>
            <w:r w:rsidRPr="00D21E4B">
              <w:rPr>
                <w:rFonts w:ascii="Times New Roman" w:hAnsi="Times New Roman" w:cs="Times New Roman"/>
                <w:sz w:val="20"/>
                <w:szCs w:val="20"/>
              </w:rPr>
              <w:t>Complex w/ 100+ FTEs</w:t>
            </w:r>
          </w:p>
        </w:tc>
        <w:tc>
          <w:tcPr>
            <w:tcW w:w="1137" w:type="dxa"/>
            <w:tcBorders>
              <w:top w:val="single" w:sz="6" w:space="0" w:color="000000"/>
              <w:left w:val="single" w:sz="6" w:space="0" w:color="000000"/>
              <w:bottom w:val="single" w:sz="6" w:space="0" w:color="000000"/>
              <w:right w:val="single" w:sz="6" w:space="0" w:color="000000"/>
            </w:tcBorders>
            <w:vAlign w:val="center"/>
          </w:tcPr>
          <w:p w:rsidR="000257ED" w:rsidRPr="00D21E4B" w:rsidP="00E6210A" w14:paraId="132192B4" w14:textId="77777777">
            <w:pPr>
              <w:spacing w:after="0" w:line="240" w:lineRule="auto"/>
              <w:ind w:left="31"/>
              <w:jc w:val="center"/>
              <w:rPr>
                <w:rFonts w:ascii="Times New Roman" w:hAnsi="Times New Roman" w:cs="Times New Roman"/>
                <w:sz w:val="20"/>
                <w:szCs w:val="20"/>
              </w:rPr>
            </w:pPr>
            <w:r w:rsidRPr="00D21E4B">
              <w:rPr>
                <w:rFonts w:ascii="Times New Roman" w:hAnsi="Times New Roman" w:cs="Times New Roman"/>
                <w:sz w:val="20"/>
                <w:szCs w:val="20"/>
              </w:rPr>
              <w:t>1</w:t>
            </w:r>
          </w:p>
        </w:tc>
        <w:tc>
          <w:tcPr>
            <w:tcW w:w="1170" w:type="dxa"/>
            <w:tcBorders>
              <w:top w:val="single" w:sz="6" w:space="0" w:color="000000"/>
              <w:left w:val="single" w:sz="6" w:space="0" w:color="000000"/>
              <w:bottom w:val="single" w:sz="6" w:space="0" w:color="000000"/>
            </w:tcBorders>
            <w:vAlign w:val="center"/>
          </w:tcPr>
          <w:p w:rsidR="000257ED" w:rsidRPr="00D21E4B" w:rsidP="00E6210A" w14:paraId="0A05BFDD" w14:textId="77777777">
            <w:pPr>
              <w:spacing w:after="0" w:line="240" w:lineRule="auto"/>
              <w:ind w:left="92" w:right="30"/>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F835A4">
              <w:rPr>
                <w:rFonts w:ascii="Times New Roman" w:hAnsi="Times New Roman" w:cs="Times New Roman"/>
                <w:color w:val="000000"/>
                <w:sz w:val="20"/>
                <w:szCs w:val="20"/>
              </w:rPr>
              <w:t>118,246</w:t>
            </w:r>
          </w:p>
        </w:tc>
        <w:tc>
          <w:tcPr>
            <w:tcW w:w="990" w:type="dxa"/>
            <w:tcBorders>
              <w:top w:val="single" w:sz="6" w:space="0" w:color="000000"/>
              <w:bottom w:val="single" w:sz="6" w:space="0" w:color="000000"/>
              <w:right w:val="single" w:sz="6" w:space="0" w:color="000000"/>
            </w:tcBorders>
            <w:vAlign w:val="center"/>
          </w:tcPr>
          <w:p w:rsidR="000257ED" w:rsidRPr="00D21E4B" w:rsidP="00E6210A" w14:paraId="199E24CE" w14:textId="77777777">
            <w:pPr>
              <w:spacing w:after="0" w:line="240" w:lineRule="auto"/>
              <w:ind w:left="77" w:right="65"/>
              <w:jc w:val="center"/>
              <w:rPr>
                <w:rFonts w:ascii="Times New Roman" w:hAnsi="Times New Roman" w:cs="Times New Roman"/>
                <w:sz w:val="20"/>
                <w:szCs w:val="20"/>
              </w:rPr>
            </w:pPr>
            <w:r>
              <w:rPr>
                <w:rFonts w:ascii="Times New Roman" w:hAnsi="Times New Roman" w:cs="Times New Roman"/>
                <w:sz w:val="20"/>
                <w:szCs w:val="20"/>
              </w:rPr>
              <w:t>32</w:t>
            </w:r>
          </w:p>
        </w:tc>
        <w:tc>
          <w:tcPr>
            <w:tcW w:w="1620" w:type="dxa"/>
            <w:tcBorders>
              <w:top w:val="single" w:sz="6" w:space="0" w:color="000000"/>
              <w:left w:val="single" w:sz="6" w:space="0" w:color="000000"/>
              <w:bottom w:val="single" w:sz="6" w:space="0" w:color="000000"/>
            </w:tcBorders>
            <w:vAlign w:val="center"/>
          </w:tcPr>
          <w:p w:rsidR="000257ED" w:rsidRPr="00D21E4B" w:rsidP="00E6210A" w14:paraId="62F6AA0E" w14:textId="77777777">
            <w:pPr>
              <w:spacing w:after="0" w:line="240" w:lineRule="auto"/>
              <w:ind w:left="68"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221113">
              <w:rPr>
                <w:rFonts w:ascii="Times New Roman" w:hAnsi="Times New Roman" w:cs="Times New Roman"/>
                <w:color w:val="000000"/>
                <w:sz w:val="20"/>
                <w:szCs w:val="20"/>
              </w:rPr>
              <w:t>3,807,505</w:t>
            </w:r>
          </w:p>
        </w:tc>
      </w:tr>
      <w:tr w14:paraId="24D4B204" w14:textId="77777777" w:rsidTr="00E6210A">
        <w:tblPrEx>
          <w:tblW w:w="0" w:type="auto"/>
          <w:jc w:val="center"/>
          <w:tblLayout w:type="fixed"/>
          <w:tblCellMar>
            <w:left w:w="0" w:type="dxa"/>
            <w:right w:w="0" w:type="dxa"/>
          </w:tblCellMar>
          <w:tblLook w:val="01E0"/>
        </w:tblPrEx>
        <w:trPr>
          <w:trHeight w:val="282"/>
          <w:jc w:val="center"/>
        </w:trPr>
        <w:tc>
          <w:tcPr>
            <w:tcW w:w="2220" w:type="dxa"/>
            <w:tcBorders>
              <w:top w:val="single" w:sz="6" w:space="0" w:color="000000"/>
              <w:left w:val="single" w:sz="6" w:space="0" w:color="000000"/>
              <w:right w:val="single" w:sz="6" w:space="0" w:color="000000"/>
            </w:tcBorders>
            <w:vAlign w:val="center"/>
          </w:tcPr>
          <w:p w:rsidR="000257ED" w:rsidRPr="00D21E4B" w:rsidP="00E6210A" w14:paraId="51B6E038" w14:textId="77777777">
            <w:pPr>
              <w:spacing w:after="0" w:line="240" w:lineRule="auto"/>
              <w:ind w:left="127"/>
              <w:rPr>
                <w:rFonts w:ascii="Times New Roman" w:hAnsi="Times New Roman" w:cs="Times New Roman"/>
                <w:sz w:val="20"/>
                <w:szCs w:val="20"/>
              </w:rPr>
            </w:pPr>
            <w:r w:rsidRPr="00D21E4B">
              <w:rPr>
                <w:rFonts w:ascii="Times New Roman" w:hAnsi="Times New Roman" w:cs="Times New Roman"/>
                <w:sz w:val="20"/>
                <w:szCs w:val="20"/>
              </w:rPr>
              <w:t>Small Government</w:t>
            </w:r>
          </w:p>
        </w:tc>
        <w:tc>
          <w:tcPr>
            <w:tcW w:w="1137" w:type="dxa"/>
            <w:tcBorders>
              <w:top w:val="single" w:sz="6" w:space="0" w:color="000000"/>
              <w:left w:val="single" w:sz="6" w:space="0" w:color="000000"/>
              <w:right w:val="single" w:sz="6" w:space="0" w:color="000000"/>
            </w:tcBorders>
            <w:vAlign w:val="center"/>
          </w:tcPr>
          <w:p w:rsidR="000257ED" w:rsidRPr="00D21E4B" w:rsidP="00E6210A" w14:paraId="6FC4A54C" w14:textId="77777777">
            <w:pPr>
              <w:spacing w:after="0" w:line="240" w:lineRule="auto"/>
              <w:ind w:left="31"/>
              <w:jc w:val="center"/>
              <w:rPr>
                <w:rFonts w:ascii="Times New Roman" w:hAnsi="Times New Roman" w:cs="Times New Roman"/>
                <w:sz w:val="20"/>
                <w:szCs w:val="20"/>
              </w:rPr>
            </w:pPr>
            <w:r w:rsidRPr="00D21E4B">
              <w:rPr>
                <w:rFonts w:ascii="Times New Roman" w:hAnsi="Times New Roman" w:cs="Times New Roman"/>
                <w:sz w:val="20"/>
                <w:szCs w:val="20"/>
              </w:rPr>
              <w:t>1</w:t>
            </w:r>
          </w:p>
        </w:tc>
        <w:tc>
          <w:tcPr>
            <w:tcW w:w="1170" w:type="dxa"/>
            <w:tcBorders>
              <w:top w:val="single" w:sz="6" w:space="0" w:color="000000"/>
              <w:left w:val="single" w:sz="6" w:space="0" w:color="000000"/>
            </w:tcBorders>
            <w:vAlign w:val="center"/>
          </w:tcPr>
          <w:p w:rsidR="000257ED" w:rsidRPr="00D21E4B" w:rsidP="00E6210A" w14:paraId="66065675" w14:textId="77777777">
            <w:pPr>
              <w:spacing w:after="0" w:line="240" w:lineRule="auto"/>
              <w:ind w:left="92" w:right="30"/>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0E1A9D">
              <w:rPr>
                <w:rFonts w:ascii="Times New Roman" w:hAnsi="Times New Roman" w:cs="Times New Roman"/>
                <w:color w:val="000000"/>
                <w:sz w:val="20"/>
                <w:szCs w:val="20"/>
              </w:rPr>
              <w:t>46,826</w:t>
            </w:r>
          </w:p>
        </w:tc>
        <w:tc>
          <w:tcPr>
            <w:tcW w:w="990" w:type="dxa"/>
            <w:tcBorders>
              <w:top w:val="single" w:sz="6" w:space="0" w:color="000000"/>
              <w:right w:val="single" w:sz="6" w:space="0" w:color="000000"/>
            </w:tcBorders>
            <w:vAlign w:val="center"/>
          </w:tcPr>
          <w:p w:rsidR="000257ED" w:rsidRPr="00D21E4B" w:rsidP="00E6210A" w14:paraId="1C2FBE77" w14:textId="77777777">
            <w:pPr>
              <w:spacing w:after="0" w:line="240" w:lineRule="auto"/>
              <w:ind w:right="1"/>
              <w:jc w:val="center"/>
              <w:rPr>
                <w:rFonts w:ascii="Times New Roman" w:hAnsi="Times New Roman" w:cs="Times New Roman"/>
                <w:sz w:val="20"/>
                <w:szCs w:val="20"/>
              </w:rPr>
            </w:pPr>
            <w:r>
              <w:rPr>
                <w:rFonts w:ascii="Times New Roman" w:hAnsi="Times New Roman" w:cs="Times New Roman"/>
                <w:sz w:val="20"/>
                <w:szCs w:val="20"/>
              </w:rPr>
              <w:t>3</w:t>
            </w:r>
          </w:p>
        </w:tc>
        <w:tc>
          <w:tcPr>
            <w:tcW w:w="1620" w:type="dxa"/>
            <w:tcBorders>
              <w:top w:val="single" w:sz="6" w:space="0" w:color="000000"/>
              <w:left w:val="single" w:sz="6" w:space="0" w:color="000000"/>
            </w:tcBorders>
            <w:vAlign w:val="center"/>
          </w:tcPr>
          <w:p w:rsidR="000257ED" w:rsidRPr="00D21E4B" w:rsidP="00E6210A" w14:paraId="6EAAADA6" w14:textId="77777777">
            <w:pPr>
              <w:spacing w:after="0" w:line="240" w:lineRule="auto"/>
              <w:ind w:left="68"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221113">
              <w:rPr>
                <w:rFonts w:ascii="Times New Roman" w:hAnsi="Times New Roman" w:cs="Times New Roman"/>
                <w:color w:val="000000"/>
                <w:sz w:val="20"/>
                <w:szCs w:val="20"/>
              </w:rPr>
              <w:t>140,</w:t>
            </w:r>
            <w:r w:rsidR="00425C14">
              <w:rPr>
                <w:rFonts w:ascii="Times New Roman" w:hAnsi="Times New Roman" w:cs="Times New Roman"/>
                <w:color w:val="000000"/>
                <w:sz w:val="20"/>
                <w:szCs w:val="20"/>
              </w:rPr>
              <w:t>477</w:t>
            </w:r>
          </w:p>
        </w:tc>
      </w:tr>
      <w:tr w14:paraId="4827F967" w14:textId="77777777" w:rsidTr="00E6210A">
        <w:tblPrEx>
          <w:tblW w:w="0" w:type="auto"/>
          <w:jc w:val="center"/>
          <w:tblLayout w:type="fixed"/>
          <w:tblCellMar>
            <w:left w:w="0" w:type="dxa"/>
            <w:right w:w="0" w:type="dxa"/>
          </w:tblCellMar>
          <w:tblLook w:val="01E0"/>
        </w:tblPrEx>
        <w:trPr>
          <w:trHeight w:val="295"/>
          <w:jc w:val="center"/>
        </w:trPr>
        <w:tc>
          <w:tcPr>
            <w:tcW w:w="2220" w:type="dxa"/>
            <w:tcBorders>
              <w:left w:val="single" w:sz="6" w:space="0" w:color="000000"/>
              <w:right w:val="single" w:sz="6" w:space="0" w:color="000000"/>
            </w:tcBorders>
            <w:vAlign w:val="center"/>
          </w:tcPr>
          <w:p w:rsidR="000257ED" w:rsidRPr="00D21E4B" w:rsidP="00E6210A" w14:paraId="0EBE0EE9" w14:textId="77777777">
            <w:pPr>
              <w:spacing w:after="0" w:line="240" w:lineRule="auto"/>
              <w:ind w:left="127"/>
              <w:rPr>
                <w:rFonts w:ascii="Times New Roman" w:hAnsi="Times New Roman" w:cs="Times New Roman"/>
                <w:sz w:val="20"/>
                <w:szCs w:val="20"/>
              </w:rPr>
            </w:pPr>
            <w:r w:rsidRPr="00D21E4B">
              <w:rPr>
                <w:rFonts w:ascii="Times New Roman" w:hAnsi="Times New Roman" w:cs="Times New Roman"/>
                <w:sz w:val="20"/>
                <w:szCs w:val="20"/>
              </w:rPr>
              <w:t>Large Government</w:t>
            </w:r>
          </w:p>
        </w:tc>
        <w:tc>
          <w:tcPr>
            <w:tcW w:w="1137" w:type="dxa"/>
            <w:tcBorders>
              <w:left w:val="single" w:sz="6" w:space="0" w:color="000000"/>
              <w:right w:val="single" w:sz="6" w:space="0" w:color="000000"/>
            </w:tcBorders>
            <w:vAlign w:val="center"/>
          </w:tcPr>
          <w:p w:rsidR="000257ED" w:rsidRPr="00D21E4B" w:rsidP="00E6210A" w14:paraId="2C4EB0C0" w14:textId="77777777">
            <w:pPr>
              <w:spacing w:after="0" w:line="240" w:lineRule="auto"/>
              <w:ind w:left="31"/>
              <w:jc w:val="center"/>
              <w:rPr>
                <w:rFonts w:ascii="Times New Roman" w:hAnsi="Times New Roman" w:cs="Times New Roman"/>
                <w:sz w:val="20"/>
                <w:szCs w:val="20"/>
              </w:rPr>
            </w:pPr>
            <w:r w:rsidRPr="00D21E4B">
              <w:rPr>
                <w:rFonts w:ascii="Times New Roman" w:hAnsi="Times New Roman" w:cs="Times New Roman"/>
                <w:sz w:val="20"/>
                <w:szCs w:val="20"/>
              </w:rPr>
              <w:t>1</w:t>
            </w:r>
          </w:p>
        </w:tc>
        <w:tc>
          <w:tcPr>
            <w:tcW w:w="1170" w:type="dxa"/>
            <w:tcBorders>
              <w:left w:val="single" w:sz="6" w:space="0" w:color="000000"/>
            </w:tcBorders>
            <w:vAlign w:val="center"/>
          </w:tcPr>
          <w:p w:rsidR="000257ED" w:rsidRPr="00D21E4B" w:rsidP="00E6210A" w14:paraId="61DF80C0" w14:textId="77777777">
            <w:pPr>
              <w:spacing w:after="0" w:line="240" w:lineRule="auto"/>
              <w:ind w:left="92" w:right="30"/>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0E1A9D">
              <w:rPr>
                <w:rFonts w:ascii="Times New Roman" w:hAnsi="Times New Roman" w:cs="Times New Roman"/>
                <w:color w:val="000000"/>
                <w:sz w:val="20"/>
                <w:szCs w:val="20"/>
              </w:rPr>
              <w:t>121,480</w:t>
            </w:r>
          </w:p>
        </w:tc>
        <w:tc>
          <w:tcPr>
            <w:tcW w:w="990" w:type="dxa"/>
            <w:tcBorders>
              <w:right w:val="single" w:sz="6" w:space="0" w:color="000000"/>
            </w:tcBorders>
            <w:vAlign w:val="center"/>
          </w:tcPr>
          <w:p w:rsidR="000257ED" w:rsidRPr="00D21E4B" w:rsidP="00E6210A" w14:paraId="565B3F22" w14:textId="77777777">
            <w:pPr>
              <w:spacing w:after="0" w:line="240" w:lineRule="auto"/>
              <w:ind w:right="1"/>
              <w:jc w:val="center"/>
              <w:rPr>
                <w:rFonts w:ascii="Times New Roman" w:hAnsi="Times New Roman" w:cs="Times New Roman"/>
                <w:sz w:val="20"/>
                <w:szCs w:val="20"/>
              </w:rPr>
            </w:pPr>
            <w:r w:rsidRPr="00D21E4B">
              <w:rPr>
                <w:rFonts w:ascii="Times New Roman" w:hAnsi="Times New Roman" w:cs="Times New Roman"/>
                <w:sz w:val="20"/>
                <w:szCs w:val="20"/>
              </w:rPr>
              <w:t>1</w:t>
            </w:r>
          </w:p>
        </w:tc>
        <w:tc>
          <w:tcPr>
            <w:tcW w:w="1620" w:type="dxa"/>
            <w:tcBorders>
              <w:left w:val="single" w:sz="6" w:space="0" w:color="000000"/>
            </w:tcBorders>
            <w:vAlign w:val="center"/>
          </w:tcPr>
          <w:p w:rsidR="000257ED" w:rsidRPr="00D21E4B" w:rsidP="00E6210A" w14:paraId="0591DF16" w14:textId="77777777">
            <w:pPr>
              <w:spacing w:after="0" w:line="240" w:lineRule="auto"/>
              <w:ind w:left="83" w:right="51"/>
              <w:jc w:val="center"/>
              <w:rPr>
                <w:rFonts w:ascii="Times New Roman" w:hAnsi="Times New Roman" w:cs="Times New Roman"/>
                <w:sz w:val="20"/>
                <w:szCs w:val="20"/>
              </w:rPr>
            </w:pPr>
            <w:r w:rsidRPr="00D21E4B">
              <w:rPr>
                <w:rFonts w:ascii="Times New Roman" w:hAnsi="Times New Roman" w:cs="Times New Roman"/>
                <w:color w:val="000000"/>
                <w:sz w:val="20"/>
                <w:szCs w:val="20"/>
              </w:rPr>
              <w:t>$</w:t>
            </w:r>
            <w:r w:rsidR="00425C14">
              <w:rPr>
                <w:rFonts w:ascii="Times New Roman" w:hAnsi="Times New Roman" w:cs="Times New Roman"/>
                <w:color w:val="000000"/>
                <w:sz w:val="20"/>
                <w:szCs w:val="20"/>
              </w:rPr>
              <w:t>72,888</w:t>
            </w:r>
          </w:p>
        </w:tc>
      </w:tr>
      <w:tr w14:paraId="7545F346" w14:textId="77777777" w:rsidTr="00E6210A">
        <w:tblPrEx>
          <w:tblW w:w="0" w:type="auto"/>
          <w:jc w:val="center"/>
          <w:tblLayout w:type="fixed"/>
          <w:tblCellMar>
            <w:left w:w="0" w:type="dxa"/>
            <w:right w:w="0" w:type="dxa"/>
          </w:tblCellMar>
          <w:tblLook w:val="01E0"/>
        </w:tblPrEx>
        <w:trPr>
          <w:trHeight w:val="295"/>
          <w:jc w:val="center"/>
        </w:trPr>
        <w:tc>
          <w:tcPr>
            <w:tcW w:w="2220" w:type="dxa"/>
            <w:tcBorders>
              <w:left w:val="single" w:sz="6" w:space="0" w:color="000000"/>
              <w:right w:val="single" w:sz="6" w:space="0" w:color="000000"/>
            </w:tcBorders>
            <w:vAlign w:val="center"/>
          </w:tcPr>
          <w:p w:rsidR="000257ED" w:rsidRPr="00D21E4B" w:rsidP="00E6210A" w14:paraId="4097B6EA" w14:textId="77777777">
            <w:pPr>
              <w:spacing w:after="0" w:line="240" w:lineRule="auto"/>
              <w:ind w:left="127"/>
              <w:rPr>
                <w:rFonts w:ascii="Times New Roman" w:hAnsi="Times New Roman" w:cs="Times New Roman"/>
                <w:b/>
                <w:sz w:val="20"/>
                <w:szCs w:val="20"/>
              </w:rPr>
            </w:pPr>
            <w:r w:rsidRPr="00D21E4B">
              <w:rPr>
                <w:rFonts w:ascii="Times New Roman" w:hAnsi="Times New Roman" w:cs="Times New Roman"/>
                <w:b/>
                <w:sz w:val="20"/>
                <w:szCs w:val="20"/>
              </w:rPr>
              <w:t>Total</w:t>
            </w:r>
          </w:p>
        </w:tc>
        <w:tc>
          <w:tcPr>
            <w:tcW w:w="1137" w:type="dxa"/>
            <w:tcBorders>
              <w:left w:val="single" w:sz="6" w:space="0" w:color="000000"/>
              <w:right w:val="single" w:sz="6" w:space="0" w:color="000000"/>
            </w:tcBorders>
            <w:vAlign w:val="center"/>
          </w:tcPr>
          <w:p w:rsidR="000257ED" w:rsidRPr="00D21E4B" w:rsidP="00E6210A" w14:paraId="17510853" w14:textId="77777777">
            <w:pPr>
              <w:spacing w:after="0" w:line="240" w:lineRule="auto"/>
              <w:ind w:left="31"/>
              <w:jc w:val="center"/>
              <w:rPr>
                <w:rFonts w:ascii="Times New Roman" w:hAnsi="Times New Roman" w:cs="Times New Roman"/>
                <w:b/>
                <w:sz w:val="20"/>
                <w:szCs w:val="20"/>
              </w:rPr>
            </w:pPr>
          </w:p>
        </w:tc>
        <w:tc>
          <w:tcPr>
            <w:tcW w:w="1170" w:type="dxa"/>
            <w:tcBorders>
              <w:left w:val="single" w:sz="6" w:space="0" w:color="000000"/>
            </w:tcBorders>
            <w:vAlign w:val="center"/>
          </w:tcPr>
          <w:p w:rsidR="000257ED" w:rsidRPr="00D21E4B" w:rsidP="00E6210A" w14:paraId="1AB91F69" w14:textId="77777777">
            <w:pPr>
              <w:spacing w:after="0" w:line="240" w:lineRule="auto"/>
              <w:ind w:left="92" w:right="30"/>
              <w:jc w:val="center"/>
              <w:rPr>
                <w:rFonts w:ascii="Times New Roman" w:hAnsi="Times New Roman" w:cs="Times New Roman"/>
                <w:b/>
                <w:sz w:val="20"/>
                <w:szCs w:val="20"/>
              </w:rPr>
            </w:pPr>
          </w:p>
        </w:tc>
        <w:tc>
          <w:tcPr>
            <w:tcW w:w="990" w:type="dxa"/>
            <w:tcBorders>
              <w:right w:val="single" w:sz="6" w:space="0" w:color="000000"/>
            </w:tcBorders>
            <w:vAlign w:val="center"/>
          </w:tcPr>
          <w:p w:rsidR="000257ED" w:rsidRPr="00D21E4B" w:rsidP="00E6210A" w14:paraId="4AF6CF05" w14:textId="77777777">
            <w:pPr>
              <w:spacing w:after="0" w:line="240" w:lineRule="auto"/>
              <w:ind w:right="1"/>
              <w:jc w:val="center"/>
              <w:rPr>
                <w:rFonts w:ascii="Times New Roman" w:hAnsi="Times New Roman" w:cs="Times New Roman"/>
                <w:b/>
                <w:sz w:val="20"/>
                <w:szCs w:val="20"/>
              </w:rPr>
            </w:pPr>
            <w:r>
              <w:rPr>
                <w:rFonts w:ascii="Times New Roman" w:hAnsi="Times New Roman" w:cs="Times New Roman"/>
                <w:b/>
                <w:sz w:val="20"/>
                <w:szCs w:val="20"/>
              </w:rPr>
              <w:t>94</w:t>
            </w:r>
          </w:p>
        </w:tc>
        <w:tc>
          <w:tcPr>
            <w:tcW w:w="1620" w:type="dxa"/>
            <w:tcBorders>
              <w:left w:val="single" w:sz="6" w:space="0" w:color="000000"/>
            </w:tcBorders>
            <w:vAlign w:val="center"/>
          </w:tcPr>
          <w:p w:rsidR="000257ED" w:rsidRPr="00D21E4B" w:rsidP="00E6210A" w14:paraId="7970BE6A" w14:textId="77777777">
            <w:pPr>
              <w:spacing w:after="0" w:line="240" w:lineRule="auto"/>
              <w:ind w:left="83" w:right="51"/>
              <w:jc w:val="center"/>
              <w:rPr>
                <w:rFonts w:ascii="Times New Roman" w:hAnsi="Times New Roman" w:cs="Times New Roman"/>
                <w:b/>
                <w:sz w:val="20"/>
                <w:szCs w:val="20"/>
              </w:rPr>
            </w:pPr>
            <w:r w:rsidRPr="00D21E4B">
              <w:rPr>
                <w:rFonts w:ascii="Times New Roman" w:hAnsi="Times New Roman" w:cs="Times New Roman"/>
                <w:b/>
                <w:color w:val="000000"/>
                <w:sz w:val="20"/>
                <w:szCs w:val="20"/>
              </w:rPr>
              <w:t>$</w:t>
            </w:r>
            <w:r w:rsidR="00425C14">
              <w:rPr>
                <w:rFonts w:ascii="Times New Roman" w:hAnsi="Times New Roman" w:cs="Times New Roman"/>
                <w:b/>
                <w:color w:val="000000"/>
                <w:sz w:val="20"/>
                <w:szCs w:val="20"/>
              </w:rPr>
              <w:t>7,522,514</w:t>
            </w:r>
          </w:p>
        </w:tc>
      </w:tr>
    </w:tbl>
    <w:p w:rsidR="000257ED" w:rsidRPr="0095641F" w:rsidP="0095641F" w14:paraId="1792AD8F" w14:textId="77777777">
      <w:pPr>
        <w:keepNext/>
        <w:spacing w:after="0" w:line="240" w:lineRule="auto"/>
        <w:ind w:left="640"/>
        <w:rPr>
          <w:rFonts w:ascii="Times New Roman" w:hAnsi="Times New Roman" w:cs="Times New Roman"/>
          <w:sz w:val="18"/>
          <w:szCs w:val="18"/>
        </w:rPr>
      </w:pPr>
      <w:r>
        <w:rPr>
          <w:rFonts w:ascii="Times New Roman" w:hAnsi="Times New Roman" w:cs="Times New Roman"/>
          <w:b/>
          <w:bCs/>
        </w:rPr>
        <w:tab/>
      </w:r>
      <w:r>
        <w:rPr>
          <w:rFonts w:ascii="Times New Roman" w:hAnsi="Times New Roman" w:cs="Times New Roman"/>
          <w:b/>
          <w:bCs/>
        </w:rPr>
        <w:tab/>
      </w:r>
      <w:r w:rsidRPr="00D21E4B">
        <w:rPr>
          <w:rFonts w:ascii="Times New Roman" w:hAnsi="Times New Roman" w:cs="Times New Roman"/>
          <w:w w:val="105"/>
          <w:position w:val="6"/>
          <w:sz w:val="18"/>
          <w:szCs w:val="18"/>
        </w:rPr>
        <w:t>*</w:t>
      </w:r>
      <w:r w:rsidRPr="00D21E4B">
        <w:rPr>
          <w:rFonts w:ascii="Times New Roman" w:hAnsi="Times New Roman" w:cs="Times New Roman"/>
          <w:w w:val="105"/>
          <w:sz w:val="18"/>
          <w:szCs w:val="18"/>
        </w:rPr>
        <w:t>Totals may not sum due to rounding</w:t>
      </w:r>
      <w:r>
        <w:rPr>
          <w:rFonts w:ascii="Times New Roman" w:hAnsi="Times New Roman" w:cs="Times New Roman"/>
          <w:w w:val="105"/>
          <w:sz w:val="18"/>
          <w:szCs w:val="18"/>
        </w:rPr>
        <w:t>.</w:t>
      </w:r>
    </w:p>
    <w:p w:rsidR="0095641F" w:rsidP="000257ED" w14:paraId="7118F46E" w14:textId="77777777">
      <w:pPr>
        <w:keepNext/>
        <w:keepLines/>
        <w:spacing w:after="0" w:line="240" w:lineRule="auto"/>
        <w:rPr>
          <w:rFonts w:ascii="Times New Roman" w:hAnsi="Times New Roman" w:cs="Times New Roman"/>
          <w:b/>
          <w:bCs/>
        </w:rPr>
      </w:pPr>
    </w:p>
    <w:p w:rsidR="00200686" w:rsidRPr="00720AAA" w:rsidP="00720AAA" w14:paraId="6566039D" w14:textId="77777777">
      <w:pPr>
        <w:pStyle w:val="Heading3"/>
        <w:rPr>
          <w:rFonts w:ascii="Times New Roman" w:hAnsi="Times New Roman" w:cs="Times New Roman"/>
          <w:sz w:val="22"/>
          <w:szCs w:val="22"/>
        </w:rPr>
      </w:pPr>
      <w:bookmarkStart w:id="277" w:name="_Toc141732953"/>
      <w:bookmarkStart w:id="278" w:name="_Toc141733164"/>
      <w:bookmarkStart w:id="279" w:name="_Toc142404068"/>
      <w:bookmarkStart w:id="280" w:name="_Toc144213876"/>
      <w:bookmarkStart w:id="281" w:name="_Toc144283621"/>
      <w:bookmarkStart w:id="282" w:name="_Toc144303559"/>
      <w:r w:rsidRPr="00720AAA">
        <w:rPr>
          <w:rFonts w:ascii="Times New Roman" w:hAnsi="Times New Roman" w:cs="Times New Roman"/>
          <w:sz w:val="22"/>
          <w:szCs w:val="22"/>
        </w:rPr>
        <w:t>5.3.5 Employee Participation Pla</w:t>
      </w:r>
      <w:r w:rsidRPr="00720AAA" w:rsidR="003C2EBD">
        <w:rPr>
          <w:rFonts w:ascii="Times New Roman" w:hAnsi="Times New Roman" w:cs="Times New Roman"/>
          <w:sz w:val="22"/>
          <w:szCs w:val="22"/>
        </w:rPr>
        <w:t>n</w:t>
      </w:r>
      <w:bookmarkEnd w:id="277"/>
      <w:bookmarkEnd w:id="278"/>
      <w:bookmarkEnd w:id="279"/>
      <w:bookmarkEnd w:id="280"/>
      <w:bookmarkEnd w:id="281"/>
      <w:bookmarkEnd w:id="282"/>
    </w:p>
    <w:p w:rsidR="00200686" w:rsidRPr="00BF4D0A" w:rsidP="00576F93" w14:paraId="15A58E5B"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sidR="003C2EBD">
        <w:rPr>
          <w:rFonts w:ascii="Times New Roman" w:hAnsi="Times New Roman" w:cs="Times New Roman"/>
        </w:rPr>
        <w:t xml:space="preserve">The RMP rule currently requires only facilities with Program 3 processes to develop an </w:t>
      </w:r>
      <w:r w:rsidRPr="00BF4D0A" w:rsidR="00354D92">
        <w:rPr>
          <w:rFonts w:ascii="Times New Roman" w:hAnsi="Times New Roman" w:cs="Times New Roman"/>
        </w:rPr>
        <w:t>employee participation plan</w:t>
      </w:r>
      <w:r w:rsidRPr="00BF4D0A" w:rsidR="003C2EBD">
        <w:rPr>
          <w:rFonts w:ascii="Times New Roman" w:hAnsi="Times New Roman" w:cs="Times New Roman"/>
        </w:rPr>
        <w:t>.</w:t>
      </w:r>
      <w:r w:rsidR="00576F93">
        <w:rPr>
          <w:rFonts w:ascii="Times New Roman" w:hAnsi="Times New Roman" w:cs="Times New Roman"/>
        </w:rPr>
        <w:t xml:space="preserve"> </w:t>
      </w:r>
      <w:r w:rsidRPr="00BF4D0A">
        <w:rPr>
          <w:rFonts w:ascii="Times New Roman" w:hAnsi="Times New Roman" w:cs="Times New Roman"/>
        </w:rPr>
        <w:t xml:space="preserve">The </w:t>
      </w:r>
      <w:r w:rsidR="00081B10">
        <w:rPr>
          <w:rFonts w:ascii="Times New Roman" w:hAnsi="Times New Roman" w:cs="Times New Roman"/>
        </w:rPr>
        <w:t>final</w:t>
      </w:r>
      <w:r w:rsidRPr="00BF4D0A" w:rsidR="00081B10">
        <w:rPr>
          <w:rFonts w:ascii="Times New Roman" w:hAnsi="Times New Roman" w:cs="Times New Roman"/>
        </w:rPr>
        <w:t xml:space="preserve"> </w:t>
      </w:r>
      <w:r w:rsidRPr="00BF4D0A">
        <w:rPr>
          <w:rFonts w:ascii="Times New Roman" w:hAnsi="Times New Roman" w:cs="Times New Roman"/>
        </w:rPr>
        <w:t>rule</w:t>
      </w:r>
      <w:r w:rsidRPr="00BF4D0A" w:rsidR="00376DDB">
        <w:rPr>
          <w:rFonts w:ascii="Times New Roman" w:hAnsi="Times New Roman" w:cs="Times New Roman"/>
        </w:rPr>
        <w:t xml:space="preserve"> </w:t>
      </w:r>
      <w:r w:rsidR="009449B7">
        <w:rPr>
          <w:rFonts w:ascii="Times New Roman" w:hAnsi="Times New Roman" w:cs="Times New Roman"/>
        </w:rPr>
        <w:t>will</w:t>
      </w:r>
      <w:r w:rsidRPr="00BF4D0A">
        <w:rPr>
          <w:rFonts w:ascii="Times New Roman" w:hAnsi="Times New Roman" w:cs="Times New Roman"/>
        </w:rPr>
        <w:t xml:space="preserve"> require </w:t>
      </w:r>
      <w:r w:rsidRPr="00BF4D0A" w:rsidR="00376DDB">
        <w:rPr>
          <w:rFonts w:ascii="Times New Roman" w:hAnsi="Times New Roman" w:cs="Times New Roman"/>
        </w:rPr>
        <w:t xml:space="preserve">all facilities with a Program 2 process to newly develop an </w:t>
      </w:r>
      <w:r w:rsidRPr="00BF4D0A" w:rsidR="00354D92">
        <w:rPr>
          <w:rFonts w:ascii="Times New Roman" w:hAnsi="Times New Roman" w:cs="Times New Roman"/>
        </w:rPr>
        <w:t>employee participation plan</w:t>
      </w:r>
      <w:r w:rsidR="00C31BC2">
        <w:rPr>
          <w:rFonts w:ascii="Times New Roman" w:hAnsi="Times New Roman" w:cs="Times New Roman"/>
        </w:rPr>
        <w:t>, in addition to facilities with Program 3 processes</w:t>
      </w:r>
      <w:r w:rsidRPr="00BF4D0A" w:rsidR="00376DDB">
        <w:rPr>
          <w:rFonts w:ascii="Times New Roman" w:hAnsi="Times New Roman" w:cs="Times New Roman"/>
        </w:rPr>
        <w:t xml:space="preserve">. These newly developed </w:t>
      </w:r>
      <w:r w:rsidRPr="00BF4D0A" w:rsidR="00354D92">
        <w:rPr>
          <w:rFonts w:ascii="Times New Roman" w:hAnsi="Times New Roman" w:cs="Times New Roman"/>
        </w:rPr>
        <w:t>employee participation plan</w:t>
      </w:r>
      <w:r w:rsidRPr="00BF4D0A" w:rsidR="00376DDB">
        <w:rPr>
          <w:rFonts w:ascii="Times New Roman" w:hAnsi="Times New Roman" w:cs="Times New Roman"/>
        </w:rPr>
        <w:t>s, as well as a</w:t>
      </w:r>
      <w:r w:rsidRPr="00BF4D0A">
        <w:rPr>
          <w:rFonts w:ascii="Times New Roman" w:hAnsi="Times New Roman" w:cs="Times New Roman"/>
        </w:rPr>
        <w:t xml:space="preserve">ll facilities with Program 3 processes </w:t>
      </w:r>
      <w:r w:rsidRPr="00BF4D0A" w:rsidR="00376DDB">
        <w:rPr>
          <w:rFonts w:ascii="Times New Roman" w:hAnsi="Times New Roman" w:cs="Times New Roman"/>
        </w:rPr>
        <w:t xml:space="preserve">which already have an </w:t>
      </w:r>
      <w:r w:rsidRPr="00BF4D0A" w:rsidR="00354D92">
        <w:rPr>
          <w:rFonts w:ascii="Times New Roman" w:hAnsi="Times New Roman" w:cs="Times New Roman"/>
        </w:rPr>
        <w:t>employee participation plan</w:t>
      </w:r>
      <w:r w:rsidRPr="00BF4D0A" w:rsidR="00376DDB">
        <w:rPr>
          <w:rFonts w:ascii="Times New Roman" w:hAnsi="Times New Roman" w:cs="Times New Roman"/>
        </w:rPr>
        <w:t xml:space="preserve">, </w:t>
      </w:r>
      <w:r w:rsidR="009449B7">
        <w:rPr>
          <w:rFonts w:ascii="Times New Roman" w:hAnsi="Times New Roman" w:cs="Times New Roman"/>
        </w:rPr>
        <w:t>will</w:t>
      </w:r>
      <w:r w:rsidRPr="00BF4D0A" w:rsidR="00376DDB">
        <w:rPr>
          <w:rFonts w:ascii="Times New Roman" w:hAnsi="Times New Roman" w:cs="Times New Roman"/>
        </w:rPr>
        <w:t xml:space="preserve"> need </w:t>
      </w:r>
      <w:r w:rsidRPr="00BF4D0A">
        <w:rPr>
          <w:rFonts w:ascii="Times New Roman" w:hAnsi="Times New Roman" w:cs="Times New Roman"/>
        </w:rPr>
        <w:t>to include</w:t>
      </w:r>
      <w:r w:rsidRPr="00BF4D0A" w:rsidR="003446B9">
        <w:rPr>
          <w:rFonts w:ascii="Times New Roman" w:hAnsi="Times New Roman" w:cs="Times New Roman"/>
        </w:rPr>
        <w:t xml:space="preserve"> newl</w:t>
      </w:r>
      <w:r w:rsidRPr="00BF4D0A" w:rsidR="000859D7">
        <w:rPr>
          <w:rFonts w:ascii="Times New Roman" w:hAnsi="Times New Roman" w:cs="Times New Roman"/>
        </w:rPr>
        <w:t>y</w:t>
      </w:r>
      <w:r w:rsidRPr="00BF4D0A">
        <w:rPr>
          <w:rFonts w:ascii="Times New Roman" w:hAnsi="Times New Roman" w:cs="Times New Roman"/>
        </w:rPr>
        <w:t xml:space="preserve"> explicit language for </w:t>
      </w:r>
      <w:r w:rsidR="00234338">
        <w:rPr>
          <w:rFonts w:ascii="Times New Roman" w:hAnsi="Times New Roman" w:cs="Times New Roman"/>
        </w:rPr>
        <w:t xml:space="preserve">employees </w:t>
      </w:r>
      <w:r w:rsidRPr="00BF4D0A">
        <w:rPr>
          <w:rFonts w:ascii="Times New Roman" w:hAnsi="Times New Roman" w:cs="Times New Roman"/>
        </w:rPr>
        <w:t>reporting</w:t>
      </w:r>
      <w:r w:rsidR="004C31E4">
        <w:rPr>
          <w:rFonts w:ascii="Times New Roman" w:hAnsi="Times New Roman" w:cs="Times New Roman"/>
        </w:rPr>
        <w:t xml:space="preserve"> any</w:t>
      </w:r>
      <w:r w:rsidRPr="00BF4D0A">
        <w:rPr>
          <w:rFonts w:ascii="Times New Roman" w:hAnsi="Times New Roman" w:cs="Times New Roman"/>
        </w:rPr>
        <w:t xml:space="preserve"> RMP</w:t>
      </w:r>
      <w:r w:rsidRPr="00BF4D0A" w:rsidR="002C5463">
        <w:rPr>
          <w:rFonts w:ascii="Times New Roman" w:hAnsi="Times New Roman" w:cs="Times New Roman"/>
        </w:rPr>
        <w:t>-</w:t>
      </w:r>
      <w:r w:rsidRPr="00BF4D0A">
        <w:rPr>
          <w:rFonts w:ascii="Times New Roman" w:hAnsi="Times New Roman" w:cs="Times New Roman"/>
        </w:rPr>
        <w:t xml:space="preserve">reportable accidents or other related RMP non-compliance issues. </w:t>
      </w:r>
      <w:r w:rsidR="0018575F">
        <w:rPr>
          <w:rFonts w:ascii="Times New Roman" w:hAnsi="Times New Roman" w:cs="Times New Roman"/>
        </w:rPr>
        <w:t>Facilities with both Program 2 and 3 processes will also have to</w:t>
      </w:r>
      <w:r w:rsidR="003A2BDD">
        <w:rPr>
          <w:rFonts w:ascii="Times New Roman" w:hAnsi="Times New Roman" w:cs="Times New Roman"/>
        </w:rPr>
        <w:t xml:space="preserve"> provide employees with annual notice that RMP information is available and</w:t>
      </w:r>
      <w:r w:rsidR="0018575F">
        <w:rPr>
          <w:rFonts w:ascii="Times New Roman" w:hAnsi="Times New Roman" w:cs="Times New Roman"/>
        </w:rPr>
        <w:t xml:space="preserve"> train employees</w:t>
      </w:r>
      <w:r w:rsidR="00456572">
        <w:rPr>
          <w:rFonts w:ascii="Times New Roman" w:hAnsi="Times New Roman" w:cs="Times New Roman"/>
        </w:rPr>
        <w:t xml:space="preserve"> on </w:t>
      </w:r>
      <w:r w:rsidR="000951B3">
        <w:rPr>
          <w:rFonts w:ascii="Times New Roman" w:hAnsi="Times New Roman" w:cs="Times New Roman"/>
        </w:rPr>
        <w:t xml:space="preserve">the employee participation plans. </w:t>
      </w:r>
      <w:r w:rsidR="00CB1E14">
        <w:rPr>
          <w:rFonts w:ascii="Times New Roman" w:hAnsi="Times New Roman" w:cs="Times New Roman"/>
        </w:rPr>
        <w:t xml:space="preserve">Program 3 facilities </w:t>
      </w:r>
      <w:r w:rsidR="009449B7">
        <w:rPr>
          <w:rFonts w:ascii="Times New Roman" w:hAnsi="Times New Roman" w:cs="Times New Roman"/>
        </w:rPr>
        <w:t>will</w:t>
      </w:r>
      <w:r w:rsidR="00025465">
        <w:rPr>
          <w:rFonts w:ascii="Times New Roman" w:hAnsi="Times New Roman" w:cs="Times New Roman"/>
        </w:rPr>
        <w:t xml:space="preserve"> have to </w:t>
      </w:r>
      <w:r w:rsidR="00E1703B">
        <w:rPr>
          <w:rFonts w:ascii="Times New Roman" w:hAnsi="Times New Roman" w:cs="Times New Roman"/>
        </w:rPr>
        <w:t xml:space="preserve">update their employee participation plans </w:t>
      </w:r>
      <w:r w:rsidR="00B4022D">
        <w:rPr>
          <w:rFonts w:ascii="Times New Roman" w:hAnsi="Times New Roman" w:cs="Times New Roman"/>
        </w:rPr>
        <w:t xml:space="preserve">for </w:t>
      </w:r>
      <w:r w:rsidR="00682DFA">
        <w:rPr>
          <w:rFonts w:ascii="Times New Roman" w:hAnsi="Times New Roman" w:cs="Times New Roman"/>
        </w:rPr>
        <w:t xml:space="preserve">owners or operators to consult with employees </w:t>
      </w:r>
      <w:r w:rsidR="008E380B">
        <w:rPr>
          <w:rFonts w:ascii="Times New Roman" w:hAnsi="Times New Roman" w:cs="Times New Roman"/>
        </w:rPr>
        <w:t xml:space="preserve">and their representatives </w:t>
      </w:r>
      <w:r w:rsidR="00682DFA">
        <w:rPr>
          <w:rFonts w:ascii="Times New Roman" w:hAnsi="Times New Roman" w:cs="Times New Roman"/>
        </w:rPr>
        <w:t xml:space="preserve">on recommendation decisions and </w:t>
      </w:r>
      <w:r w:rsidR="00F01A4C">
        <w:rPr>
          <w:rFonts w:ascii="Times New Roman" w:hAnsi="Times New Roman" w:cs="Times New Roman"/>
        </w:rPr>
        <w:t>provide</w:t>
      </w:r>
      <w:r w:rsidR="008E380B">
        <w:rPr>
          <w:rFonts w:ascii="Times New Roman" w:hAnsi="Times New Roman" w:cs="Times New Roman"/>
        </w:rPr>
        <w:t xml:space="preserve"> employees knowledgeable in the process and their representatives stop work authority</w:t>
      </w:r>
      <w:r w:rsidR="000D64D4">
        <w:rPr>
          <w:rFonts w:ascii="Times New Roman" w:hAnsi="Times New Roman" w:cs="Times New Roman"/>
        </w:rPr>
        <w:t xml:space="preserve"> under certain conditions</w:t>
      </w:r>
      <w:r w:rsidR="008E380B">
        <w:rPr>
          <w:rFonts w:ascii="Times New Roman" w:hAnsi="Times New Roman" w:cs="Times New Roman"/>
        </w:rPr>
        <w:t>.</w:t>
      </w:r>
      <w:r w:rsidR="00F01A4C">
        <w:rPr>
          <w:rFonts w:ascii="Times New Roman" w:hAnsi="Times New Roman" w:cs="Times New Roman"/>
        </w:rPr>
        <w:t xml:space="preserve"> </w:t>
      </w:r>
      <w:r w:rsidR="00E2233A">
        <w:rPr>
          <w:rFonts w:ascii="Times New Roman" w:hAnsi="Times New Roman" w:cs="Times New Roman"/>
        </w:rPr>
        <w:t>EPA assumes facilities will</w:t>
      </w:r>
      <w:r w:rsidR="00F15E8E">
        <w:rPr>
          <w:rFonts w:ascii="Times New Roman" w:hAnsi="Times New Roman" w:cs="Times New Roman"/>
        </w:rPr>
        <w:t xml:space="preserve"> </w:t>
      </w:r>
      <w:r w:rsidR="00E2233A">
        <w:rPr>
          <w:rFonts w:ascii="Times New Roman" w:hAnsi="Times New Roman" w:cs="Times New Roman"/>
        </w:rPr>
        <w:t xml:space="preserve">review their </w:t>
      </w:r>
      <w:r w:rsidR="00F15E8E">
        <w:rPr>
          <w:rFonts w:ascii="Times New Roman" w:hAnsi="Times New Roman" w:cs="Times New Roman"/>
        </w:rPr>
        <w:t xml:space="preserve">employee participation </w:t>
      </w:r>
      <w:r w:rsidR="007C31FA">
        <w:rPr>
          <w:rFonts w:ascii="Times New Roman" w:hAnsi="Times New Roman" w:cs="Times New Roman"/>
        </w:rPr>
        <w:t>plan</w:t>
      </w:r>
      <w:r w:rsidR="00F15E8E">
        <w:rPr>
          <w:rFonts w:ascii="Times New Roman" w:hAnsi="Times New Roman" w:cs="Times New Roman"/>
        </w:rPr>
        <w:t xml:space="preserve"> </w:t>
      </w:r>
      <w:r w:rsidR="00A64B79">
        <w:rPr>
          <w:rFonts w:ascii="Times New Roman" w:hAnsi="Times New Roman" w:cs="Times New Roman"/>
        </w:rPr>
        <w:t>before each required annual notice and conservatively assumes</w:t>
      </w:r>
      <w:r w:rsidR="007C31FA">
        <w:rPr>
          <w:rFonts w:ascii="Times New Roman" w:hAnsi="Times New Roman" w:cs="Times New Roman"/>
        </w:rPr>
        <w:t xml:space="preserve"> </w:t>
      </w:r>
      <w:r w:rsidR="00D37C09">
        <w:rPr>
          <w:rFonts w:ascii="Times New Roman" w:hAnsi="Times New Roman" w:cs="Times New Roman"/>
        </w:rPr>
        <w:t>the</w:t>
      </w:r>
      <w:r w:rsidR="00011793">
        <w:rPr>
          <w:rFonts w:ascii="Times New Roman" w:hAnsi="Times New Roman" w:cs="Times New Roman"/>
        </w:rPr>
        <w:t>se</w:t>
      </w:r>
      <w:r w:rsidR="0016626C">
        <w:rPr>
          <w:rFonts w:ascii="Times New Roman" w:hAnsi="Times New Roman" w:cs="Times New Roman"/>
        </w:rPr>
        <w:t xml:space="preserve"> reviews </w:t>
      </w:r>
      <w:r w:rsidR="00D37C09">
        <w:rPr>
          <w:rFonts w:ascii="Times New Roman" w:hAnsi="Times New Roman" w:cs="Times New Roman"/>
        </w:rPr>
        <w:t>may</w:t>
      </w:r>
      <w:r w:rsidR="0016626C">
        <w:rPr>
          <w:rFonts w:ascii="Times New Roman" w:hAnsi="Times New Roman" w:cs="Times New Roman"/>
        </w:rPr>
        <w:t xml:space="preserve"> cost </w:t>
      </w:r>
      <w:r w:rsidR="00FD0B3C">
        <w:rPr>
          <w:rFonts w:ascii="Times New Roman" w:hAnsi="Times New Roman" w:cs="Times New Roman"/>
        </w:rPr>
        <w:t xml:space="preserve">annually </w:t>
      </w:r>
      <w:r w:rsidR="00D37C09">
        <w:rPr>
          <w:rFonts w:ascii="Times New Roman" w:hAnsi="Times New Roman" w:cs="Times New Roman"/>
        </w:rPr>
        <w:t xml:space="preserve">as much as </w:t>
      </w:r>
      <w:r w:rsidR="003A6EA9">
        <w:rPr>
          <w:rFonts w:ascii="Times New Roman" w:hAnsi="Times New Roman" w:cs="Times New Roman"/>
        </w:rPr>
        <w:t>facilities’</w:t>
      </w:r>
      <w:r w:rsidR="00940601">
        <w:rPr>
          <w:rFonts w:ascii="Times New Roman" w:hAnsi="Times New Roman" w:cs="Times New Roman"/>
        </w:rPr>
        <w:t xml:space="preserve"> </w:t>
      </w:r>
      <w:r w:rsidR="00630E87">
        <w:rPr>
          <w:rFonts w:ascii="Times New Roman" w:hAnsi="Times New Roman" w:cs="Times New Roman"/>
        </w:rPr>
        <w:t>one-time</w:t>
      </w:r>
      <w:r w:rsidR="00055D5D">
        <w:rPr>
          <w:rFonts w:ascii="Times New Roman" w:hAnsi="Times New Roman" w:cs="Times New Roman"/>
        </w:rPr>
        <w:t xml:space="preserve"> cost to</w:t>
      </w:r>
      <w:r w:rsidR="00E8339E">
        <w:rPr>
          <w:rFonts w:ascii="Times New Roman" w:hAnsi="Times New Roman" w:cs="Times New Roman"/>
        </w:rPr>
        <w:t xml:space="preserve"> develop and update the employee participation plans</w:t>
      </w:r>
      <w:r w:rsidR="006F59FA">
        <w:rPr>
          <w:rFonts w:ascii="Times New Roman" w:hAnsi="Times New Roman" w:cs="Times New Roman"/>
        </w:rPr>
        <w:t xml:space="preserve"> under this new requirement</w:t>
      </w:r>
      <w:r w:rsidR="0013327A">
        <w:rPr>
          <w:rFonts w:ascii="Times New Roman" w:hAnsi="Times New Roman" w:cs="Times New Roman"/>
        </w:rPr>
        <w:t>.</w:t>
      </w:r>
      <w:r w:rsidR="00F15E8E">
        <w:rPr>
          <w:rFonts w:ascii="Times New Roman" w:hAnsi="Times New Roman" w:cs="Times New Roman"/>
        </w:rPr>
        <w:t xml:space="preserve"> </w:t>
      </w:r>
      <w:r w:rsidR="00FB6C39">
        <w:rPr>
          <w:rFonts w:ascii="Times New Roman" w:hAnsi="Times New Roman" w:cs="Times New Roman"/>
        </w:rPr>
        <w:t xml:space="preserve">EPA assumes employees receive training </w:t>
      </w:r>
      <w:r w:rsidR="005E0C8B">
        <w:rPr>
          <w:rFonts w:ascii="Times New Roman" w:hAnsi="Times New Roman" w:cs="Times New Roman"/>
        </w:rPr>
        <w:t xml:space="preserve">on the plan </w:t>
      </w:r>
      <w:r w:rsidR="00FB6C39">
        <w:rPr>
          <w:rFonts w:ascii="Times New Roman" w:hAnsi="Times New Roman" w:cs="Times New Roman"/>
        </w:rPr>
        <w:t>once every five years.</w:t>
      </w:r>
      <w:r w:rsidR="00F15E8E">
        <w:rPr>
          <w:rFonts w:ascii="Times New Roman" w:hAnsi="Times New Roman" w:cs="Times New Roman"/>
        </w:rPr>
        <w:t xml:space="preserve"> </w:t>
      </w:r>
      <w:r w:rsidRPr="00BF4D0A">
        <w:rPr>
          <w:rFonts w:ascii="Times New Roman" w:hAnsi="Times New Roman" w:cs="Times New Roman"/>
        </w:rPr>
        <w:t>Exhibit 5-</w:t>
      </w:r>
      <w:r w:rsidR="00677142">
        <w:rPr>
          <w:rFonts w:ascii="Times New Roman" w:hAnsi="Times New Roman" w:cs="Times New Roman"/>
        </w:rPr>
        <w:t>8</w:t>
      </w:r>
      <w:r w:rsidRPr="00BF4D0A" w:rsidR="00081B10">
        <w:rPr>
          <w:rFonts w:ascii="Times New Roman" w:hAnsi="Times New Roman" w:cs="Times New Roman"/>
        </w:rPr>
        <w:t xml:space="preserve"> </w:t>
      </w:r>
      <w:r w:rsidRPr="00BF4D0A">
        <w:rPr>
          <w:rFonts w:ascii="Times New Roman" w:hAnsi="Times New Roman" w:cs="Times New Roman"/>
        </w:rPr>
        <w:t>presents the costs for the provision.</w:t>
      </w:r>
    </w:p>
    <w:p w:rsidR="003C2EBD" w:rsidRPr="00BF4D0A" w:rsidP="00576F93" w14:paraId="0B52F741" w14:textId="77777777">
      <w:pPr>
        <w:spacing w:after="0" w:line="240" w:lineRule="auto"/>
        <w:ind w:firstLine="720"/>
        <w:rPr>
          <w:rFonts w:ascii="Times New Roman" w:hAnsi="Times New Roman" w:cs="Times New Roman"/>
        </w:rPr>
      </w:pPr>
    </w:p>
    <w:p w:rsidR="00B87FD9" w:rsidRPr="00B87FD9" w:rsidP="00B918E7" w14:paraId="08E422F4" w14:textId="77777777">
      <w:pPr>
        <w:pStyle w:val="Caption"/>
        <w:keepNext/>
        <w:jc w:val="center"/>
        <w:rPr>
          <w:rFonts w:ascii="Times New Roman" w:hAnsi="Times New Roman" w:cs="Times New Roman"/>
          <w:b/>
          <w:bCs/>
          <w:i w:val="0"/>
          <w:iCs w:val="0"/>
          <w:color w:val="auto"/>
          <w:sz w:val="22"/>
          <w:szCs w:val="22"/>
        </w:rPr>
      </w:pPr>
      <w:r w:rsidRPr="00B87FD9">
        <w:rPr>
          <w:rFonts w:ascii="Times New Roman" w:hAnsi="Times New Roman" w:cs="Times New Roman"/>
          <w:b/>
          <w:bCs/>
          <w:i w:val="0"/>
          <w:iCs w:val="0"/>
          <w:color w:val="auto"/>
          <w:sz w:val="22"/>
          <w:szCs w:val="22"/>
        </w:rPr>
        <w:t>Exhibit 5-</w:t>
      </w:r>
      <w:r w:rsidR="00CC3094">
        <w:rPr>
          <w:rFonts w:ascii="Times New Roman" w:hAnsi="Times New Roman" w:cs="Times New Roman"/>
          <w:b/>
          <w:bCs/>
          <w:i w:val="0"/>
          <w:iCs w:val="0"/>
          <w:color w:val="auto"/>
          <w:sz w:val="22"/>
          <w:szCs w:val="22"/>
        </w:rPr>
        <w:t>8</w:t>
      </w:r>
      <w:r w:rsidRPr="00B87FD9">
        <w:rPr>
          <w:rFonts w:ascii="Times New Roman" w:hAnsi="Times New Roman" w:cs="Times New Roman"/>
          <w:b/>
          <w:bCs/>
          <w:i w:val="0"/>
          <w:iCs w:val="0"/>
          <w:color w:val="auto"/>
          <w:sz w:val="22"/>
          <w:szCs w:val="22"/>
        </w:rPr>
        <w:t>: Estimated Costs for Employee Participation Plan Provision (202</w:t>
      </w:r>
      <w:r w:rsidR="00081B10">
        <w:rPr>
          <w:rFonts w:ascii="Times New Roman" w:hAnsi="Times New Roman" w:cs="Times New Roman"/>
          <w:b/>
          <w:bCs/>
          <w:i w:val="0"/>
          <w:iCs w:val="0"/>
          <w:color w:val="auto"/>
          <w:sz w:val="22"/>
          <w:szCs w:val="22"/>
        </w:rPr>
        <w:t>2</w:t>
      </w:r>
      <w:r w:rsidRPr="00B87FD9">
        <w:rPr>
          <w:rFonts w:ascii="Times New Roman" w:hAnsi="Times New Roman" w:cs="Times New Roman"/>
          <w:b/>
          <w:bCs/>
          <w:i w:val="0"/>
          <w:iCs w:val="0"/>
          <w:color w:val="auto"/>
          <w:sz w:val="22"/>
          <w:szCs w:val="22"/>
        </w:rPr>
        <w:t xml:space="preserve"> </w:t>
      </w:r>
      <w:r w:rsidR="00794F08">
        <w:rPr>
          <w:rFonts w:ascii="Times New Roman" w:hAnsi="Times New Roman" w:cs="Times New Roman"/>
          <w:b/>
          <w:bCs/>
          <w:i w:val="0"/>
          <w:iCs w:val="0"/>
          <w:color w:val="auto"/>
          <w:sz w:val="22"/>
          <w:szCs w:val="22"/>
        </w:rPr>
        <w:t>d</w:t>
      </w:r>
      <w:r w:rsidRPr="00B87FD9">
        <w:rPr>
          <w:rFonts w:ascii="Times New Roman" w:hAnsi="Times New Roman" w:cs="Times New Roman"/>
          <w:b/>
          <w:bCs/>
          <w:i w:val="0"/>
          <w:iCs w:val="0"/>
          <w:color w:val="auto"/>
          <w:sz w:val="22"/>
          <w:szCs w:val="22"/>
        </w:rPr>
        <w:t>ollars).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492"/>
        <w:gridCol w:w="1170"/>
        <w:gridCol w:w="910"/>
        <w:gridCol w:w="1080"/>
        <w:gridCol w:w="1340"/>
      </w:tblGrid>
      <w:tr w14:paraId="0B7A436E" w14:textId="77777777" w:rsidTr="00777E45">
        <w:tblPrEx>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37"/>
          <w:tblHeader/>
          <w:jc w:val="center"/>
        </w:trPr>
        <w:tc>
          <w:tcPr>
            <w:tcW w:w="3492" w:type="dxa"/>
            <w:tcBorders>
              <w:bottom w:val="single" w:sz="8" w:space="0" w:color="000000"/>
            </w:tcBorders>
            <w:shd w:val="clear" w:color="auto" w:fill="DADADA"/>
            <w:vAlign w:val="center"/>
          </w:tcPr>
          <w:p w:rsidR="00200686" w:rsidRPr="00BF4D0A" w:rsidP="00B87FD9" w14:paraId="331D8FCE" w14:textId="77777777">
            <w:pPr>
              <w:keepNext/>
              <w:spacing w:after="0" w:line="240" w:lineRule="auto"/>
              <w:ind w:left="1335" w:right="87" w:hanging="1162"/>
              <w:jc w:val="center"/>
              <w:rPr>
                <w:rFonts w:ascii="Times New Roman" w:hAnsi="Times New Roman" w:cs="Times New Roman"/>
                <w:b/>
              </w:rPr>
            </w:pPr>
            <w:r w:rsidRPr="00BF4D0A">
              <w:rPr>
                <w:rFonts w:ascii="Times New Roman" w:hAnsi="Times New Roman" w:cs="Times New Roman"/>
                <w:b/>
              </w:rPr>
              <w:t>Facility Type</w:t>
            </w:r>
          </w:p>
        </w:tc>
        <w:tc>
          <w:tcPr>
            <w:tcW w:w="1170" w:type="dxa"/>
            <w:tcBorders>
              <w:bottom w:val="single" w:sz="8" w:space="0" w:color="000000"/>
            </w:tcBorders>
            <w:shd w:val="clear" w:color="auto" w:fill="DADADA"/>
            <w:vAlign w:val="center"/>
          </w:tcPr>
          <w:p w:rsidR="00200686" w:rsidRPr="00BF4D0A" w:rsidP="00B87FD9" w14:paraId="1022AF46" w14:textId="77777777">
            <w:pPr>
              <w:keepNext/>
              <w:spacing w:after="0" w:line="240" w:lineRule="auto"/>
              <w:ind w:left="93" w:right="57"/>
              <w:jc w:val="center"/>
              <w:rPr>
                <w:rFonts w:ascii="Times New Roman" w:hAnsi="Times New Roman" w:cs="Times New Roman"/>
                <w:b/>
              </w:rPr>
            </w:pPr>
            <w:r w:rsidRPr="00BF4D0A">
              <w:rPr>
                <w:rFonts w:ascii="Times New Roman" w:hAnsi="Times New Roman" w:cs="Times New Roman"/>
                <w:b/>
              </w:rPr>
              <w:t>Annual</w:t>
            </w:r>
          </w:p>
          <w:p w:rsidR="00200686" w:rsidRPr="00BF4D0A" w:rsidP="00B87FD9" w14:paraId="1DAAD750" w14:textId="77777777">
            <w:pPr>
              <w:keepNext/>
              <w:spacing w:after="0" w:line="240" w:lineRule="auto"/>
              <w:ind w:left="88" w:right="64"/>
              <w:jc w:val="center"/>
              <w:rPr>
                <w:rFonts w:ascii="Times New Roman" w:hAnsi="Times New Roman" w:cs="Times New Roman"/>
                <w:b/>
              </w:rPr>
            </w:pPr>
            <w:r w:rsidRPr="00BF4D0A">
              <w:rPr>
                <w:rFonts w:ascii="Times New Roman" w:hAnsi="Times New Roman" w:cs="Times New Roman"/>
                <w:b/>
              </w:rPr>
              <w:t>Frequency</w:t>
            </w:r>
          </w:p>
        </w:tc>
        <w:tc>
          <w:tcPr>
            <w:tcW w:w="910" w:type="dxa"/>
            <w:tcBorders>
              <w:bottom w:val="single" w:sz="8" w:space="0" w:color="000000"/>
            </w:tcBorders>
            <w:shd w:val="clear" w:color="auto" w:fill="DADADA"/>
            <w:vAlign w:val="center"/>
          </w:tcPr>
          <w:p w:rsidR="00200686" w:rsidRPr="00BF4D0A" w:rsidP="00B87FD9" w14:paraId="3E12EB75" w14:textId="77777777">
            <w:pPr>
              <w:keepNext/>
              <w:spacing w:after="0" w:line="240" w:lineRule="auto"/>
              <w:ind w:left="72"/>
              <w:jc w:val="center"/>
              <w:rPr>
                <w:rFonts w:ascii="Times New Roman" w:hAnsi="Times New Roman" w:cs="Times New Roman"/>
                <w:b/>
              </w:rPr>
            </w:pPr>
            <w:r w:rsidRPr="00BF4D0A">
              <w:rPr>
                <w:rFonts w:ascii="Times New Roman" w:hAnsi="Times New Roman" w:cs="Times New Roman"/>
                <w:b/>
              </w:rPr>
              <w:t>Unit Cost</w:t>
            </w:r>
          </w:p>
        </w:tc>
        <w:tc>
          <w:tcPr>
            <w:tcW w:w="1080" w:type="dxa"/>
            <w:tcBorders>
              <w:bottom w:val="single" w:sz="8" w:space="0" w:color="000000"/>
            </w:tcBorders>
            <w:shd w:val="clear" w:color="auto" w:fill="DADADA"/>
            <w:vAlign w:val="center"/>
          </w:tcPr>
          <w:p w:rsidR="00200686" w:rsidRPr="00BF4D0A" w:rsidP="00B87FD9" w14:paraId="76DFC7B5" w14:textId="77777777">
            <w:pPr>
              <w:keepNext/>
              <w:spacing w:after="0" w:line="240" w:lineRule="auto"/>
              <w:ind w:left="98" w:right="76"/>
              <w:jc w:val="center"/>
              <w:rPr>
                <w:rFonts w:ascii="Times New Roman" w:hAnsi="Times New Roman" w:cs="Times New Roman"/>
                <w:b/>
              </w:rPr>
            </w:pPr>
            <w:r>
              <w:rPr>
                <w:rFonts w:ascii="Times New Roman" w:hAnsi="Times New Roman" w:cs="Times New Roman"/>
                <w:b/>
              </w:rPr>
              <w:t>Facilities</w:t>
            </w:r>
          </w:p>
        </w:tc>
        <w:tc>
          <w:tcPr>
            <w:tcW w:w="1340" w:type="dxa"/>
            <w:tcBorders>
              <w:bottom w:val="single" w:sz="8" w:space="0" w:color="000000"/>
            </w:tcBorders>
            <w:shd w:val="clear" w:color="auto" w:fill="DADADA"/>
            <w:vAlign w:val="center"/>
          </w:tcPr>
          <w:p w:rsidR="00200686" w:rsidRPr="00BF4D0A" w:rsidP="00B87FD9" w14:paraId="01FD73A7" w14:textId="77777777">
            <w:pPr>
              <w:keepNext/>
              <w:spacing w:after="0" w:line="240" w:lineRule="auto"/>
              <w:ind w:left="91" w:right="55"/>
              <w:jc w:val="center"/>
              <w:rPr>
                <w:rFonts w:ascii="Times New Roman" w:hAnsi="Times New Roman" w:cs="Times New Roman"/>
                <w:b/>
              </w:rPr>
            </w:pPr>
            <w:r w:rsidRPr="00BF4D0A">
              <w:rPr>
                <w:rFonts w:ascii="Times New Roman" w:hAnsi="Times New Roman" w:cs="Times New Roman"/>
                <w:b/>
              </w:rPr>
              <w:t>Total</w:t>
            </w:r>
            <w:r w:rsidR="00FB5419">
              <w:rPr>
                <w:rFonts w:ascii="Times New Roman" w:hAnsi="Times New Roman" w:cs="Times New Roman"/>
                <w:b/>
              </w:rPr>
              <w:t xml:space="preserve"> Annual</w:t>
            </w:r>
          </w:p>
          <w:p w:rsidR="00200686" w:rsidRPr="00BF4D0A" w:rsidP="00B87FD9" w14:paraId="734A7BBF" w14:textId="77777777">
            <w:pPr>
              <w:keepNext/>
              <w:spacing w:after="0" w:line="240" w:lineRule="auto"/>
              <w:ind w:left="82" w:right="55"/>
              <w:jc w:val="center"/>
              <w:rPr>
                <w:rFonts w:ascii="Times New Roman" w:hAnsi="Times New Roman" w:cs="Times New Roman"/>
                <w:b/>
              </w:rPr>
            </w:pPr>
            <w:r w:rsidRPr="00BF4D0A">
              <w:rPr>
                <w:rFonts w:ascii="Times New Roman" w:hAnsi="Times New Roman" w:cs="Times New Roman"/>
                <w:b/>
              </w:rPr>
              <w:t>Cost</w:t>
            </w:r>
          </w:p>
        </w:tc>
      </w:tr>
      <w:tr w14:paraId="0F0472E5" w14:textId="77777777" w:rsidTr="00B87FD9">
        <w:tblPrEx>
          <w:tblW w:w="0" w:type="auto"/>
          <w:jc w:val="center"/>
          <w:tblLayout w:type="fixed"/>
          <w:tblCellMar>
            <w:left w:w="0" w:type="dxa"/>
            <w:right w:w="0" w:type="dxa"/>
          </w:tblCellMar>
          <w:tblLook w:val="01E0"/>
        </w:tblPrEx>
        <w:trPr>
          <w:trHeight w:val="295"/>
          <w:jc w:val="center"/>
        </w:trPr>
        <w:tc>
          <w:tcPr>
            <w:tcW w:w="7992" w:type="dxa"/>
            <w:gridSpan w:val="5"/>
            <w:tcBorders>
              <w:top w:val="single" w:sz="8" w:space="0" w:color="000000"/>
              <w:bottom w:val="single" w:sz="8" w:space="0" w:color="000000"/>
            </w:tcBorders>
            <w:shd w:val="clear" w:color="auto" w:fill="F2F2F2"/>
            <w:vAlign w:val="center"/>
          </w:tcPr>
          <w:p w:rsidR="00200686" w:rsidRPr="00BF4D0A" w:rsidP="00B87FD9" w14:paraId="6C7992DF" w14:textId="77777777">
            <w:pPr>
              <w:keepNext/>
              <w:spacing w:after="0" w:line="240" w:lineRule="auto"/>
              <w:ind w:left="165" w:right="79" w:hanging="90"/>
              <w:rPr>
                <w:rFonts w:ascii="Times New Roman" w:hAnsi="Times New Roman" w:cs="Times New Roman"/>
                <w:b/>
              </w:rPr>
            </w:pPr>
            <w:r w:rsidRPr="00BF4D0A">
              <w:rPr>
                <w:rFonts w:ascii="Times New Roman" w:hAnsi="Times New Roman" w:cs="Times New Roman"/>
                <w:b/>
              </w:rPr>
              <w:t>P</w:t>
            </w:r>
            <w:r w:rsidRPr="00BF4D0A" w:rsidR="00202CF3">
              <w:rPr>
                <w:rFonts w:ascii="Times New Roman" w:hAnsi="Times New Roman" w:cs="Times New Roman"/>
                <w:b/>
              </w:rPr>
              <w:t xml:space="preserve">rogram </w:t>
            </w:r>
            <w:r w:rsidRPr="00BF4D0A">
              <w:rPr>
                <w:rFonts w:ascii="Times New Roman" w:hAnsi="Times New Roman" w:cs="Times New Roman"/>
                <w:b/>
              </w:rPr>
              <w:t xml:space="preserve">2 </w:t>
            </w:r>
            <w:r w:rsidR="005C1B6F">
              <w:rPr>
                <w:rFonts w:ascii="Times New Roman" w:hAnsi="Times New Roman" w:cs="Times New Roman"/>
                <w:b/>
              </w:rPr>
              <w:t>r</w:t>
            </w:r>
            <w:r w:rsidRPr="00BF4D0A">
              <w:rPr>
                <w:rFonts w:ascii="Times New Roman" w:hAnsi="Times New Roman" w:cs="Times New Roman"/>
                <w:b/>
              </w:rPr>
              <w:t xml:space="preserve">equirement to </w:t>
            </w:r>
            <w:r w:rsidR="005C1B6F">
              <w:rPr>
                <w:rFonts w:ascii="Times New Roman" w:hAnsi="Times New Roman" w:cs="Times New Roman"/>
                <w:b/>
              </w:rPr>
              <w:t>d</w:t>
            </w:r>
            <w:r w:rsidRPr="00BF4D0A">
              <w:rPr>
                <w:rFonts w:ascii="Times New Roman" w:hAnsi="Times New Roman" w:cs="Times New Roman"/>
                <w:b/>
              </w:rPr>
              <w:t xml:space="preserve">evelop </w:t>
            </w:r>
            <w:r w:rsidR="005C1B6F">
              <w:rPr>
                <w:rFonts w:ascii="Times New Roman" w:hAnsi="Times New Roman" w:cs="Times New Roman"/>
                <w:b/>
              </w:rPr>
              <w:t>n</w:t>
            </w:r>
            <w:r w:rsidRPr="00BF4D0A">
              <w:rPr>
                <w:rFonts w:ascii="Times New Roman" w:hAnsi="Times New Roman" w:cs="Times New Roman"/>
                <w:b/>
              </w:rPr>
              <w:t xml:space="preserve">ew </w:t>
            </w:r>
            <w:r w:rsidRPr="00BF4D0A" w:rsidR="00354D92">
              <w:rPr>
                <w:rFonts w:ascii="Times New Roman" w:hAnsi="Times New Roman" w:cs="Times New Roman"/>
                <w:b/>
              </w:rPr>
              <w:t>employee participation plan</w:t>
            </w:r>
          </w:p>
        </w:tc>
      </w:tr>
      <w:tr w14:paraId="148EE5D5" w14:textId="77777777" w:rsidTr="00777E45">
        <w:tblPrEx>
          <w:tblW w:w="0" w:type="auto"/>
          <w:jc w:val="center"/>
          <w:tblLayout w:type="fixed"/>
          <w:tblCellMar>
            <w:left w:w="0" w:type="dxa"/>
            <w:right w:w="0" w:type="dxa"/>
          </w:tblCellMar>
          <w:tblLook w:val="01E0"/>
        </w:tblPrEx>
        <w:trPr>
          <w:trHeight w:val="282"/>
          <w:jc w:val="center"/>
        </w:trPr>
        <w:tc>
          <w:tcPr>
            <w:tcW w:w="3492" w:type="dxa"/>
            <w:tcBorders>
              <w:top w:val="single" w:sz="8" w:space="0" w:color="000000"/>
            </w:tcBorders>
            <w:vAlign w:val="center"/>
          </w:tcPr>
          <w:p w:rsidR="00200686" w:rsidRPr="00BF4D0A" w:rsidP="00B87FD9" w14:paraId="38B874AA" w14:textId="77777777">
            <w:pPr>
              <w:keepNext/>
              <w:spacing w:after="0" w:line="240" w:lineRule="auto"/>
              <w:ind w:left="112"/>
              <w:rPr>
                <w:rFonts w:ascii="Times New Roman" w:hAnsi="Times New Roman" w:cs="Times New Roman"/>
              </w:rPr>
            </w:pPr>
            <w:r w:rsidRPr="00BF4D0A">
              <w:rPr>
                <w:rFonts w:ascii="Times New Roman" w:hAnsi="Times New Roman" w:cs="Times New Roman"/>
              </w:rPr>
              <w:t xml:space="preserve">Simple </w:t>
            </w:r>
            <w:r w:rsidR="00847AA0">
              <w:rPr>
                <w:rFonts w:ascii="Times New Roman" w:hAnsi="Times New Roman" w:cs="Times New Roman"/>
              </w:rPr>
              <w:t xml:space="preserve">Facilities w/ </w:t>
            </w:r>
            <w:r w:rsidRPr="00BF4D0A">
              <w:rPr>
                <w:rFonts w:ascii="Times New Roman" w:hAnsi="Times New Roman" w:cs="Times New Roman"/>
              </w:rPr>
              <w:t>0-19 FTEs</w:t>
            </w:r>
          </w:p>
        </w:tc>
        <w:tc>
          <w:tcPr>
            <w:tcW w:w="1170" w:type="dxa"/>
            <w:tcBorders>
              <w:top w:val="single" w:sz="8" w:space="0" w:color="000000"/>
            </w:tcBorders>
            <w:vAlign w:val="center"/>
          </w:tcPr>
          <w:p w:rsidR="00200686" w:rsidRPr="00BF4D0A" w:rsidP="00B87FD9" w14:paraId="17605D73" w14:textId="77777777">
            <w:pPr>
              <w:keepNext/>
              <w:spacing w:after="0" w:line="240" w:lineRule="auto"/>
              <w:ind w:left="93" w:right="62"/>
              <w:jc w:val="center"/>
              <w:rPr>
                <w:rFonts w:ascii="Times New Roman" w:hAnsi="Times New Roman" w:cs="Times New Roman"/>
              </w:rPr>
            </w:pPr>
            <w:r w:rsidRPr="00BF4D0A">
              <w:rPr>
                <w:rFonts w:ascii="Times New Roman" w:hAnsi="Times New Roman" w:cs="Times New Roman"/>
              </w:rPr>
              <w:t>1</w:t>
            </w:r>
          </w:p>
        </w:tc>
        <w:tc>
          <w:tcPr>
            <w:tcW w:w="910" w:type="dxa"/>
            <w:tcBorders>
              <w:top w:val="single" w:sz="8" w:space="0" w:color="000000"/>
            </w:tcBorders>
            <w:vAlign w:val="center"/>
          </w:tcPr>
          <w:p w:rsidR="00200686" w:rsidRPr="00BF4D0A" w:rsidP="00777E45" w14:paraId="66EDC763" w14:textId="77777777">
            <w:pPr>
              <w:keepNext/>
              <w:spacing w:after="0" w:line="240" w:lineRule="auto"/>
              <w:ind w:left="72"/>
              <w:jc w:val="center"/>
              <w:rPr>
                <w:rFonts w:ascii="Times New Roman" w:hAnsi="Times New Roman" w:cs="Times New Roman"/>
              </w:rPr>
            </w:pPr>
            <w:r w:rsidRPr="00BF4D0A">
              <w:rPr>
                <w:rFonts w:ascii="Times New Roman" w:hAnsi="Times New Roman" w:cs="Times New Roman"/>
                <w:color w:val="000000"/>
              </w:rPr>
              <w:t>$</w:t>
            </w:r>
            <w:r w:rsidR="004913F7">
              <w:rPr>
                <w:rFonts w:ascii="Times New Roman" w:hAnsi="Times New Roman" w:cs="Times New Roman"/>
                <w:color w:val="000000"/>
              </w:rPr>
              <w:t>96</w:t>
            </w:r>
          </w:p>
        </w:tc>
        <w:tc>
          <w:tcPr>
            <w:tcW w:w="1080" w:type="dxa"/>
            <w:tcBorders>
              <w:top w:val="single" w:sz="8" w:space="0" w:color="000000"/>
            </w:tcBorders>
            <w:vAlign w:val="center"/>
          </w:tcPr>
          <w:p w:rsidR="00200686" w:rsidRPr="00BF4D0A" w:rsidP="00B87FD9" w14:paraId="4B070D29" w14:textId="77777777">
            <w:pPr>
              <w:keepNext/>
              <w:spacing w:after="0" w:line="240" w:lineRule="auto"/>
              <w:ind w:left="98" w:right="69"/>
              <w:jc w:val="center"/>
              <w:rPr>
                <w:rFonts w:ascii="Times New Roman" w:hAnsi="Times New Roman" w:cs="Times New Roman"/>
              </w:rPr>
            </w:pPr>
            <w:r w:rsidRPr="00BF4D0A">
              <w:rPr>
                <w:rFonts w:ascii="Times New Roman" w:hAnsi="Times New Roman" w:cs="Times New Roman"/>
              </w:rPr>
              <w:t>3,415</w:t>
            </w:r>
          </w:p>
        </w:tc>
        <w:tc>
          <w:tcPr>
            <w:tcW w:w="1340" w:type="dxa"/>
            <w:tcBorders>
              <w:top w:val="single" w:sz="8" w:space="0" w:color="000000"/>
            </w:tcBorders>
            <w:vAlign w:val="center"/>
          </w:tcPr>
          <w:p w:rsidR="00200686" w:rsidRPr="00BF4D0A" w:rsidP="00B87FD9" w14:paraId="6890C2D2" w14:textId="77777777">
            <w:pPr>
              <w:keepNext/>
              <w:spacing w:after="0" w:line="240" w:lineRule="auto"/>
              <w:ind w:left="84" w:right="55"/>
              <w:jc w:val="center"/>
              <w:rPr>
                <w:rFonts w:ascii="Times New Roman" w:hAnsi="Times New Roman" w:cs="Times New Roman"/>
              </w:rPr>
            </w:pPr>
            <w:r w:rsidRPr="00BF4D0A">
              <w:rPr>
                <w:rFonts w:ascii="Times New Roman" w:hAnsi="Times New Roman" w:cs="Times New Roman"/>
                <w:color w:val="000000"/>
              </w:rPr>
              <w:t>$</w:t>
            </w:r>
            <w:r w:rsidR="008316A4">
              <w:rPr>
                <w:rFonts w:ascii="Times New Roman" w:hAnsi="Times New Roman" w:cs="Times New Roman"/>
                <w:color w:val="000000"/>
              </w:rPr>
              <w:t>327,602</w:t>
            </w:r>
          </w:p>
        </w:tc>
      </w:tr>
      <w:tr w14:paraId="75925372" w14:textId="77777777" w:rsidTr="00777E45">
        <w:tblPrEx>
          <w:tblW w:w="0" w:type="auto"/>
          <w:jc w:val="center"/>
          <w:tblLayout w:type="fixed"/>
          <w:tblCellMar>
            <w:left w:w="0" w:type="dxa"/>
            <w:right w:w="0" w:type="dxa"/>
          </w:tblCellMar>
          <w:tblLook w:val="01E0"/>
        </w:tblPrEx>
        <w:trPr>
          <w:trHeight w:val="285"/>
          <w:jc w:val="center"/>
        </w:trPr>
        <w:tc>
          <w:tcPr>
            <w:tcW w:w="3492" w:type="dxa"/>
            <w:vAlign w:val="center"/>
          </w:tcPr>
          <w:p w:rsidR="00200686" w:rsidRPr="00BF4D0A" w:rsidP="00B87FD9" w14:paraId="4913D34D" w14:textId="77777777">
            <w:pPr>
              <w:spacing w:after="0" w:line="240" w:lineRule="auto"/>
              <w:ind w:left="112"/>
              <w:rPr>
                <w:rFonts w:ascii="Times New Roman" w:hAnsi="Times New Roman" w:cs="Times New Roman"/>
              </w:rPr>
            </w:pPr>
            <w:bookmarkStart w:id="283" w:name="_Hlk98192408"/>
            <w:r w:rsidRPr="00BF4D0A">
              <w:rPr>
                <w:rFonts w:ascii="Times New Roman" w:hAnsi="Times New Roman" w:cs="Times New Roman"/>
              </w:rPr>
              <w:t xml:space="preserve">Simple </w:t>
            </w:r>
            <w:r w:rsidR="00847AA0">
              <w:rPr>
                <w:rFonts w:ascii="Times New Roman" w:hAnsi="Times New Roman" w:cs="Times New Roman"/>
              </w:rPr>
              <w:t xml:space="preserve">Facilities w/ </w:t>
            </w:r>
            <w:r w:rsidRPr="00BF4D0A">
              <w:rPr>
                <w:rFonts w:ascii="Times New Roman" w:hAnsi="Times New Roman" w:cs="Times New Roman"/>
              </w:rPr>
              <w:t>20+ FTEs</w:t>
            </w:r>
          </w:p>
        </w:tc>
        <w:tc>
          <w:tcPr>
            <w:tcW w:w="1170" w:type="dxa"/>
            <w:vAlign w:val="center"/>
          </w:tcPr>
          <w:p w:rsidR="00200686" w:rsidRPr="00BF4D0A" w:rsidP="00B87FD9" w14:paraId="189E1049" w14:textId="77777777">
            <w:pPr>
              <w:spacing w:after="0" w:line="240" w:lineRule="auto"/>
              <w:ind w:left="93" w:right="62"/>
              <w:jc w:val="center"/>
              <w:rPr>
                <w:rFonts w:ascii="Times New Roman" w:hAnsi="Times New Roman" w:cs="Times New Roman"/>
              </w:rPr>
            </w:pPr>
            <w:r w:rsidRPr="00BF4D0A">
              <w:rPr>
                <w:rFonts w:ascii="Times New Roman" w:hAnsi="Times New Roman" w:cs="Times New Roman"/>
              </w:rPr>
              <w:t>1</w:t>
            </w:r>
          </w:p>
        </w:tc>
        <w:tc>
          <w:tcPr>
            <w:tcW w:w="910" w:type="dxa"/>
            <w:vAlign w:val="center"/>
          </w:tcPr>
          <w:p w:rsidR="00200686" w:rsidRPr="00BF4D0A" w:rsidP="00777E45" w14:paraId="02E375CC" w14:textId="77777777">
            <w:pPr>
              <w:spacing w:after="0" w:line="240" w:lineRule="auto"/>
              <w:ind w:left="72"/>
              <w:jc w:val="center"/>
              <w:rPr>
                <w:rFonts w:ascii="Times New Roman" w:hAnsi="Times New Roman" w:cs="Times New Roman"/>
              </w:rPr>
            </w:pPr>
            <w:r w:rsidRPr="00BF4D0A">
              <w:rPr>
                <w:rFonts w:ascii="Times New Roman" w:hAnsi="Times New Roman" w:cs="Times New Roman"/>
                <w:color w:val="000000"/>
              </w:rPr>
              <w:t>$</w:t>
            </w:r>
            <w:r w:rsidR="004913F7">
              <w:rPr>
                <w:rFonts w:ascii="Times New Roman" w:hAnsi="Times New Roman" w:cs="Times New Roman"/>
                <w:color w:val="000000"/>
              </w:rPr>
              <w:t>245</w:t>
            </w:r>
          </w:p>
        </w:tc>
        <w:tc>
          <w:tcPr>
            <w:tcW w:w="1080" w:type="dxa"/>
            <w:vAlign w:val="center"/>
          </w:tcPr>
          <w:p w:rsidR="00200686" w:rsidRPr="00BF4D0A" w:rsidP="00B87FD9" w14:paraId="6B2ACC34" w14:textId="77777777">
            <w:pPr>
              <w:spacing w:after="0" w:line="240" w:lineRule="auto"/>
              <w:ind w:left="98" w:right="69"/>
              <w:jc w:val="center"/>
              <w:rPr>
                <w:rFonts w:ascii="Times New Roman" w:hAnsi="Times New Roman" w:cs="Times New Roman"/>
              </w:rPr>
            </w:pPr>
            <w:r w:rsidRPr="00BF4D0A">
              <w:rPr>
                <w:rFonts w:ascii="Times New Roman" w:hAnsi="Times New Roman" w:cs="Times New Roman"/>
              </w:rPr>
              <w:t>496</w:t>
            </w:r>
          </w:p>
        </w:tc>
        <w:tc>
          <w:tcPr>
            <w:tcW w:w="1340" w:type="dxa"/>
            <w:vAlign w:val="center"/>
          </w:tcPr>
          <w:p w:rsidR="00200686" w:rsidRPr="00BF4D0A" w:rsidP="00B87FD9" w14:paraId="63E8D077" w14:textId="77777777">
            <w:pPr>
              <w:spacing w:after="0" w:line="240" w:lineRule="auto"/>
              <w:ind w:left="69" w:right="55"/>
              <w:jc w:val="center"/>
              <w:rPr>
                <w:rFonts w:ascii="Times New Roman" w:hAnsi="Times New Roman" w:cs="Times New Roman"/>
              </w:rPr>
            </w:pPr>
            <w:r w:rsidRPr="00BF4D0A">
              <w:rPr>
                <w:rFonts w:ascii="Times New Roman" w:hAnsi="Times New Roman" w:cs="Times New Roman"/>
                <w:color w:val="000000"/>
              </w:rPr>
              <w:t>$1</w:t>
            </w:r>
            <w:r w:rsidR="008316A4">
              <w:rPr>
                <w:rFonts w:ascii="Times New Roman" w:hAnsi="Times New Roman" w:cs="Times New Roman"/>
                <w:color w:val="000000"/>
              </w:rPr>
              <w:t>21,314</w:t>
            </w:r>
          </w:p>
        </w:tc>
      </w:tr>
      <w:tr w14:paraId="6A01A9C0" w14:textId="77777777" w:rsidTr="00777E45">
        <w:tblPrEx>
          <w:tblW w:w="0" w:type="auto"/>
          <w:jc w:val="center"/>
          <w:tblLayout w:type="fixed"/>
          <w:tblCellMar>
            <w:left w:w="0" w:type="dxa"/>
            <w:right w:w="0" w:type="dxa"/>
          </w:tblCellMar>
          <w:tblLook w:val="01E0"/>
        </w:tblPrEx>
        <w:trPr>
          <w:trHeight w:val="285"/>
          <w:jc w:val="center"/>
        </w:trPr>
        <w:tc>
          <w:tcPr>
            <w:tcW w:w="3492" w:type="dxa"/>
            <w:vAlign w:val="center"/>
          </w:tcPr>
          <w:p w:rsidR="00200686" w:rsidRPr="00BF4D0A" w:rsidP="00B87FD9" w14:paraId="0998440A" w14:textId="77777777">
            <w:pPr>
              <w:spacing w:after="0" w:line="240" w:lineRule="auto"/>
              <w:ind w:left="112"/>
              <w:rPr>
                <w:rFonts w:ascii="Times New Roman" w:hAnsi="Times New Roman" w:cs="Times New Roman"/>
              </w:rPr>
            </w:pPr>
            <w:bookmarkStart w:id="284" w:name="_Hlk98192419"/>
            <w:r w:rsidRPr="00BF4D0A">
              <w:rPr>
                <w:rFonts w:ascii="Times New Roman" w:hAnsi="Times New Roman" w:cs="Times New Roman"/>
              </w:rPr>
              <w:t xml:space="preserve">Complex </w:t>
            </w:r>
            <w:r w:rsidR="00847AA0">
              <w:rPr>
                <w:rFonts w:ascii="Times New Roman" w:hAnsi="Times New Roman" w:cs="Times New Roman"/>
              </w:rPr>
              <w:t xml:space="preserve">Facilities w/ </w:t>
            </w:r>
            <w:r w:rsidRPr="00BF4D0A">
              <w:rPr>
                <w:rFonts w:ascii="Times New Roman" w:hAnsi="Times New Roman" w:cs="Times New Roman"/>
              </w:rPr>
              <w:t>0-19 FTEs</w:t>
            </w:r>
          </w:p>
        </w:tc>
        <w:tc>
          <w:tcPr>
            <w:tcW w:w="1170" w:type="dxa"/>
            <w:vAlign w:val="center"/>
          </w:tcPr>
          <w:p w:rsidR="00200686" w:rsidRPr="00BF4D0A" w:rsidP="00B87FD9" w14:paraId="3176DE6B" w14:textId="77777777">
            <w:pPr>
              <w:spacing w:after="0" w:line="240" w:lineRule="auto"/>
              <w:ind w:left="93" w:right="62"/>
              <w:jc w:val="center"/>
              <w:rPr>
                <w:rFonts w:ascii="Times New Roman" w:hAnsi="Times New Roman" w:cs="Times New Roman"/>
              </w:rPr>
            </w:pPr>
            <w:r w:rsidRPr="00BF4D0A">
              <w:rPr>
                <w:rFonts w:ascii="Times New Roman" w:hAnsi="Times New Roman" w:cs="Times New Roman"/>
              </w:rPr>
              <w:t>1</w:t>
            </w:r>
          </w:p>
        </w:tc>
        <w:tc>
          <w:tcPr>
            <w:tcW w:w="910" w:type="dxa"/>
            <w:vAlign w:val="center"/>
          </w:tcPr>
          <w:p w:rsidR="00200686" w:rsidRPr="00BF4D0A" w:rsidP="00777E45" w14:paraId="383F7DD9" w14:textId="77777777">
            <w:pPr>
              <w:spacing w:after="0" w:line="240" w:lineRule="auto"/>
              <w:ind w:left="72"/>
              <w:jc w:val="center"/>
              <w:rPr>
                <w:rFonts w:ascii="Times New Roman" w:hAnsi="Times New Roman" w:cs="Times New Roman"/>
              </w:rPr>
            </w:pPr>
            <w:r w:rsidRPr="00BF4D0A">
              <w:rPr>
                <w:rFonts w:ascii="Times New Roman" w:hAnsi="Times New Roman" w:cs="Times New Roman"/>
                <w:color w:val="000000"/>
              </w:rPr>
              <w:t>$</w:t>
            </w:r>
            <w:r w:rsidR="004913F7">
              <w:rPr>
                <w:rFonts w:ascii="Times New Roman" w:hAnsi="Times New Roman" w:cs="Times New Roman"/>
                <w:color w:val="000000"/>
              </w:rPr>
              <w:t>132</w:t>
            </w:r>
          </w:p>
        </w:tc>
        <w:tc>
          <w:tcPr>
            <w:tcW w:w="1080" w:type="dxa"/>
            <w:vAlign w:val="center"/>
          </w:tcPr>
          <w:p w:rsidR="00200686" w:rsidRPr="00BF4D0A" w:rsidP="00B87FD9" w14:paraId="76CBB28A" w14:textId="77777777">
            <w:pPr>
              <w:spacing w:after="0" w:line="240" w:lineRule="auto"/>
              <w:ind w:left="98" w:right="69"/>
              <w:jc w:val="center"/>
              <w:rPr>
                <w:rFonts w:ascii="Times New Roman" w:hAnsi="Times New Roman" w:cs="Times New Roman"/>
              </w:rPr>
            </w:pPr>
            <w:r w:rsidRPr="00BF4D0A">
              <w:rPr>
                <w:rFonts w:ascii="Times New Roman" w:hAnsi="Times New Roman" w:cs="Times New Roman"/>
              </w:rPr>
              <w:t>29</w:t>
            </w:r>
          </w:p>
        </w:tc>
        <w:tc>
          <w:tcPr>
            <w:tcW w:w="1340" w:type="dxa"/>
            <w:vAlign w:val="center"/>
          </w:tcPr>
          <w:p w:rsidR="00200686" w:rsidRPr="00BF4D0A" w:rsidP="00B87FD9" w14:paraId="7F8D479F" w14:textId="77777777">
            <w:pPr>
              <w:spacing w:after="0" w:line="240" w:lineRule="auto"/>
              <w:ind w:left="69" w:right="55"/>
              <w:jc w:val="center"/>
              <w:rPr>
                <w:rFonts w:ascii="Times New Roman" w:hAnsi="Times New Roman" w:cs="Times New Roman"/>
              </w:rPr>
            </w:pPr>
            <w:r w:rsidRPr="00BF4D0A">
              <w:rPr>
                <w:rFonts w:ascii="Times New Roman" w:hAnsi="Times New Roman" w:cs="Times New Roman"/>
                <w:color w:val="000000"/>
              </w:rPr>
              <w:t>$</w:t>
            </w:r>
            <w:r w:rsidR="00C66410">
              <w:rPr>
                <w:rFonts w:ascii="Times New Roman" w:hAnsi="Times New Roman" w:cs="Times New Roman"/>
                <w:color w:val="000000"/>
              </w:rPr>
              <w:t>3,84</w:t>
            </w:r>
            <w:r w:rsidR="005A2A27">
              <w:rPr>
                <w:rFonts w:ascii="Times New Roman" w:hAnsi="Times New Roman" w:cs="Times New Roman"/>
                <w:color w:val="000000"/>
              </w:rPr>
              <w:t>2</w:t>
            </w:r>
          </w:p>
        </w:tc>
      </w:tr>
      <w:tr w14:paraId="45899784" w14:textId="77777777" w:rsidTr="00777E45">
        <w:tblPrEx>
          <w:tblW w:w="0" w:type="auto"/>
          <w:jc w:val="center"/>
          <w:tblLayout w:type="fixed"/>
          <w:tblCellMar>
            <w:left w:w="0" w:type="dxa"/>
            <w:right w:w="0" w:type="dxa"/>
          </w:tblCellMar>
          <w:tblLook w:val="01E0"/>
        </w:tblPrEx>
        <w:trPr>
          <w:trHeight w:val="285"/>
          <w:jc w:val="center"/>
        </w:trPr>
        <w:tc>
          <w:tcPr>
            <w:tcW w:w="3492" w:type="dxa"/>
            <w:vAlign w:val="center"/>
          </w:tcPr>
          <w:p w:rsidR="00200686" w:rsidRPr="00BF4D0A" w:rsidP="00B87FD9" w14:paraId="5CDA28DA" w14:textId="77777777">
            <w:pPr>
              <w:spacing w:after="0" w:line="240" w:lineRule="auto"/>
              <w:ind w:left="112"/>
              <w:rPr>
                <w:rFonts w:ascii="Times New Roman" w:hAnsi="Times New Roman" w:cs="Times New Roman"/>
              </w:rPr>
            </w:pPr>
            <w:r w:rsidRPr="00BF4D0A">
              <w:rPr>
                <w:rFonts w:ascii="Times New Roman" w:hAnsi="Times New Roman" w:cs="Times New Roman"/>
              </w:rPr>
              <w:t xml:space="preserve">Complex </w:t>
            </w:r>
            <w:r w:rsidR="00847AA0">
              <w:rPr>
                <w:rFonts w:ascii="Times New Roman" w:hAnsi="Times New Roman" w:cs="Times New Roman"/>
              </w:rPr>
              <w:t xml:space="preserve">Facilities w/ </w:t>
            </w:r>
            <w:r w:rsidRPr="00BF4D0A">
              <w:rPr>
                <w:rFonts w:ascii="Times New Roman" w:hAnsi="Times New Roman" w:cs="Times New Roman"/>
              </w:rPr>
              <w:t>20+ FTEs</w:t>
            </w:r>
          </w:p>
        </w:tc>
        <w:tc>
          <w:tcPr>
            <w:tcW w:w="1170" w:type="dxa"/>
            <w:vAlign w:val="center"/>
          </w:tcPr>
          <w:p w:rsidR="00200686" w:rsidRPr="00BF4D0A" w:rsidP="00B87FD9" w14:paraId="385E27EF" w14:textId="77777777">
            <w:pPr>
              <w:spacing w:after="0" w:line="240" w:lineRule="auto"/>
              <w:ind w:left="93" w:right="62"/>
              <w:jc w:val="center"/>
              <w:rPr>
                <w:rFonts w:ascii="Times New Roman" w:hAnsi="Times New Roman" w:cs="Times New Roman"/>
              </w:rPr>
            </w:pPr>
            <w:r w:rsidRPr="00BF4D0A">
              <w:rPr>
                <w:rFonts w:ascii="Times New Roman" w:hAnsi="Times New Roman" w:cs="Times New Roman"/>
              </w:rPr>
              <w:t>1</w:t>
            </w:r>
          </w:p>
        </w:tc>
        <w:tc>
          <w:tcPr>
            <w:tcW w:w="910" w:type="dxa"/>
            <w:vAlign w:val="center"/>
          </w:tcPr>
          <w:p w:rsidR="00200686" w:rsidRPr="00BF4D0A" w:rsidP="00777E45" w14:paraId="0F2ED584" w14:textId="77777777">
            <w:pPr>
              <w:spacing w:after="0" w:line="240" w:lineRule="auto"/>
              <w:ind w:left="72"/>
              <w:jc w:val="center"/>
              <w:rPr>
                <w:rFonts w:ascii="Times New Roman" w:hAnsi="Times New Roman" w:cs="Times New Roman"/>
              </w:rPr>
            </w:pPr>
            <w:r w:rsidRPr="00BF4D0A">
              <w:rPr>
                <w:rFonts w:ascii="Times New Roman" w:hAnsi="Times New Roman" w:cs="Times New Roman"/>
                <w:color w:val="000000"/>
              </w:rPr>
              <w:t>$</w:t>
            </w:r>
            <w:r w:rsidR="004913F7">
              <w:rPr>
                <w:rFonts w:ascii="Times New Roman" w:hAnsi="Times New Roman" w:cs="Times New Roman"/>
                <w:color w:val="000000"/>
              </w:rPr>
              <w:t>331</w:t>
            </w:r>
          </w:p>
        </w:tc>
        <w:tc>
          <w:tcPr>
            <w:tcW w:w="1080" w:type="dxa"/>
            <w:vAlign w:val="center"/>
          </w:tcPr>
          <w:p w:rsidR="00200686" w:rsidRPr="00BF4D0A" w:rsidP="00B87FD9" w14:paraId="12C1ECB1" w14:textId="77777777">
            <w:pPr>
              <w:spacing w:after="0" w:line="240" w:lineRule="auto"/>
              <w:ind w:left="98" w:right="69"/>
              <w:jc w:val="center"/>
              <w:rPr>
                <w:rFonts w:ascii="Times New Roman" w:hAnsi="Times New Roman" w:cs="Times New Roman"/>
              </w:rPr>
            </w:pPr>
            <w:r w:rsidRPr="00BF4D0A">
              <w:rPr>
                <w:rFonts w:ascii="Times New Roman" w:hAnsi="Times New Roman" w:cs="Times New Roman"/>
              </w:rPr>
              <w:t>35</w:t>
            </w:r>
          </w:p>
        </w:tc>
        <w:tc>
          <w:tcPr>
            <w:tcW w:w="1340" w:type="dxa"/>
            <w:vAlign w:val="center"/>
          </w:tcPr>
          <w:p w:rsidR="00200686" w:rsidRPr="00BF4D0A" w:rsidP="00B87FD9" w14:paraId="34A1FD92" w14:textId="77777777">
            <w:pPr>
              <w:spacing w:after="0" w:line="240" w:lineRule="auto"/>
              <w:ind w:left="69" w:right="55"/>
              <w:jc w:val="center"/>
              <w:rPr>
                <w:rFonts w:ascii="Times New Roman" w:hAnsi="Times New Roman" w:cs="Times New Roman"/>
              </w:rPr>
            </w:pPr>
            <w:r w:rsidRPr="00BF4D0A">
              <w:rPr>
                <w:rFonts w:ascii="Times New Roman" w:hAnsi="Times New Roman" w:cs="Times New Roman"/>
                <w:color w:val="000000"/>
              </w:rPr>
              <w:t>$</w:t>
            </w:r>
            <w:r w:rsidR="00C06518">
              <w:rPr>
                <w:rFonts w:ascii="Times New Roman" w:hAnsi="Times New Roman" w:cs="Times New Roman"/>
                <w:color w:val="000000"/>
              </w:rPr>
              <w:t>11,575</w:t>
            </w:r>
          </w:p>
        </w:tc>
      </w:tr>
      <w:bookmarkEnd w:id="283"/>
      <w:bookmarkEnd w:id="284"/>
      <w:tr w14:paraId="66EFFFBB" w14:textId="77777777" w:rsidTr="00777E45">
        <w:tblPrEx>
          <w:tblW w:w="0" w:type="auto"/>
          <w:jc w:val="center"/>
          <w:tblLayout w:type="fixed"/>
          <w:tblCellMar>
            <w:left w:w="0" w:type="dxa"/>
            <w:right w:w="0" w:type="dxa"/>
          </w:tblCellMar>
          <w:tblLook w:val="01E0"/>
        </w:tblPrEx>
        <w:trPr>
          <w:trHeight w:val="285"/>
          <w:jc w:val="center"/>
        </w:trPr>
        <w:tc>
          <w:tcPr>
            <w:tcW w:w="3492" w:type="dxa"/>
            <w:vAlign w:val="center"/>
          </w:tcPr>
          <w:p w:rsidR="00200686" w:rsidRPr="00BF4D0A" w:rsidP="00B87FD9" w14:paraId="4A8675C0" w14:textId="77777777">
            <w:pPr>
              <w:spacing w:after="0" w:line="240" w:lineRule="auto"/>
              <w:ind w:left="112"/>
              <w:rPr>
                <w:rFonts w:ascii="Times New Roman" w:hAnsi="Times New Roman" w:cs="Times New Roman"/>
                <w:b/>
              </w:rPr>
            </w:pPr>
            <w:r w:rsidRPr="00BF4D0A">
              <w:rPr>
                <w:rFonts w:ascii="Times New Roman" w:hAnsi="Times New Roman" w:cs="Times New Roman"/>
                <w:b/>
              </w:rPr>
              <w:t>Total</w:t>
            </w:r>
          </w:p>
        </w:tc>
        <w:tc>
          <w:tcPr>
            <w:tcW w:w="1170" w:type="dxa"/>
            <w:vAlign w:val="center"/>
          </w:tcPr>
          <w:p w:rsidR="00200686" w:rsidRPr="00BF4D0A" w:rsidP="00B87FD9" w14:paraId="23601594" w14:textId="77777777">
            <w:pPr>
              <w:spacing w:after="0" w:line="240" w:lineRule="auto"/>
              <w:ind w:left="93" w:right="62"/>
              <w:jc w:val="center"/>
              <w:rPr>
                <w:rFonts w:ascii="Times New Roman" w:hAnsi="Times New Roman" w:cs="Times New Roman"/>
                <w:b/>
              </w:rPr>
            </w:pPr>
          </w:p>
        </w:tc>
        <w:tc>
          <w:tcPr>
            <w:tcW w:w="910" w:type="dxa"/>
            <w:vAlign w:val="center"/>
          </w:tcPr>
          <w:p w:rsidR="00200686" w:rsidRPr="00BF4D0A" w:rsidP="00777E45" w14:paraId="3828858A" w14:textId="77777777">
            <w:pPr>
              <w:spacing w:after="0" w:line="240" w:lineRule="auto"/>
              <w:ind w:left="247"/>
              <w:jc w:val="center"/>
              <w:rPr>
                <w:rFonts w:ascii="Times New Roman" w:hAnsi="Times New Roman" w:cs="Times New Roman"/>
                <w:b/>
              </w:rPr>
            </w:pPr>
          </w:p>
        </w:tc>
        <w:tc>
          <w:tcPr>
            <w:tcW w:w="1080" w:type="dxa"/>
            <w:vAlign w:val="center"/>
          </w:tcPr>
          <w:p w:rsidR="00200686" w:rsidRPr="00BF4D0A" w:rsidP="00B87FD9" w14:paraId="0597D082" w14:textId="77777777">
            <w:pPr>
              <w:spacing w:after="0" w:line="240" w:lineRule="auto"/>
              <w:ind w:left="98" w:right="69"/>
              <w:jc w:val="center"/>
              <w:rPr>
                <w:rFonts w:ascii="Times New Roman" w:hAnsi="Times New Roman" w:cs="Times New Roman"/>
                <w:b/>
              </w:rPr>
            </w:pPr>
            <w:r w:rsidRPr="00BF4D0A">
              <w:rPr>
                <w:rFonts w:ascii="Times New Roman" w:hAnsi="Times New Roman" w:cs="Times New Roman"/>
                <w:b/>
              </w:rPr>
              <w:t>3,975</w:t>
            </w:r>
          </w:p>
        </w:tc>
        <w:tc>
          <w:tcPr>
            <w:tcW w:w="1340" w:type="dxa"/>
            <w:vAlign w:val="center"/>
          </w:tcPr>
          <w:p w:rsidR="00200686" w:rsidRPr="00BF4D0A" w:rsidP="00B87FD9" w14:paraId="2C26C8BF" w14:textId="77777777">
            <w:pPr>
              <w:spacing w:after="0" w:line="240" w:lineRule="auto"/>
              <w:ind w:left="69" w:right="55"/>
              <w:jc w:val="center"/>
              <w:rPr>
                <w:rFonts w:ascii="Times New Roman" w:hAnsi="Times New Roman" w:cs="Times New Roman"/>
                <w:b/>
              </w:rPr>
            </w:pPr>
            <w:r w:rsidRPr="00BF4D0A">
              <w:rPr>
                <w:rFonts w:ascii="Times New Roman" w:hAnsi="Times New Roman" w:cs="Times New Roman"/>
                <w:b/>
                <w:color w:val="000000"/>
              </w:rPr>
              <w:t>$4</w:t>
            </w:r>
            <w:r w:rsidR="00C06518">
              <w:rPr>
                <w:rFonts w:ascii="Times New Roman" w:hAnsi="Times New Roman" w:cs="Times New Roman"/>
                <w:b/>
                <w:color w:val="000000"/>
              </w:rPr>
              <w:t>64</w:t>
            </w:r>
            <w:r w:rsidR="00A02C02">
              <w:rPr>
                <w:rFonts w:ascii="Times New Roman" w:hAnsi="Times New Roman" w:cs="Times New Roman"/>
                <w:b/>
                <w:color w:val="000000"/>
              </w:rPr>
              <w:t>,333</w:t>
            </w:r>
          </w:p>
        </w:tc>
      </w:tr>
      <w:tr w14:paraId="50399049" w14:textId="77777777" w:rsidTr="00FA67C7">
        <w:tblPrEx>
          <w:tblW w:w="0" w:type="auto"/>
          <w:jc w:val="center"/>
          <w:tblLayout w:type="fixed"/>
          <w:tblCellMar>
            <w:left w:w="0" w:type="dxa"/>
            <w:right w:w="0" w:type="dxa"/>
          </w:tblCellMar>
          <w:tblLook w:val="01E0"/>
        </w:tblPrEx>
        <w:trPr>
          <w:trHeight w:val="285"/>
          <w:jc w:val="center"/>
        </w:trPr>
        <w:tc>
          <w:tcPr>
            <w:tcW w:w="7992" w:type="dxa"/>
            <w:gridSpan w:val="5"/>
            <w:shd w:val="clear" w:color="auto" w:fill="F2F2F2"/>
            <w:vAlign w:val="center"/>
          </w:tcPr>
          <w:p w:rsidR="009A355D" w:rsidRPr="00BF4D0A" w:rsidP="00FA67C7" w14:paraId="2032998E" w14:textId="77777777">
            <w:pPr>
              <w:spacing w:after="0" w:line="240" w:lineRule="auto"/>
              <w:ind w:right="79" w:firstLine="75"/>
              <w:rPr>
                <w:rFonts w:ascii="Times New Roman" w:hAnsi="Times New Roman" w:cs="Times New Roman"/>
                <w:b/>
              </w:rPr>
            </w:pPr>
            <w:r w:rsidRPr="00BF4D0A">
              <w:rPr>
                <w:rFonts w:ascii="Times New Roman" w:hAnsi="Times New Roman" w:cs="Times New Roman"/>
                <w:b/>
              </w:rPr>
              <w:t xml:space="preserve">Program 3 </w:t>
            </w:r>
            <w:r>
              <w:rPr>
                <w:rFonts w:ascii="Times New Roman" w:hAnsi="Times New Roman" w:cs="Times New Roman"/>
                <w:b/>
              </w:rPr>
              <w:t>r</w:t>
            </w:r>
            <w:r w:rsidRPr="00BF4D0A">
              <w:rPr>
                <w:rFonts w:ascii="Times New Roman" w:hAnsi="Times New Roman" w:cs="Times New Roman"/>
                <w:b/>
              </w:rPr>
              <w:t xml:space="preserve">equirement to </w:t>
            </w:r>
            <w:r>
              <w:rPr>
                <w:rFonts w:ascii="Times New Roman" w:hAnsi="Times New Roman" w:cs="Times New Roman"/>
                <w:b/>
              </w:rPr>
              <w:t>u</w:t>
            </w:r>
            <w:r w:rsidRPr="00BF4D0A">
              <w:rPr>
                <w:rFonts w:ascii="Times New Roman" w:hAnsi="Times New Roman" w:cs="Times New Roman"/>
                <w:b/>
              </w:rPr>
              <w:t xml:space="preserve">pdate </w:t>
            </w:r>
            <w:r>
              <w:rPr>
                <w:rFonts w:ascii="Times New Roman" w:hAnsi="Times New Roman" w:cs="Times New Roman"/>
                <w:b/>
              </w:rPr>
              <w:t>current</w:t>
            </w:r>
            <w:r w:rsidRPr="00BF4D0A">
              <w:rPr>
                <w:rFonts w:ascii="Times New Roman" w:hAnsi="Times New Roman" w:cs="Times New Roman"/>
                <w:b/>
              </w:rPr>
              <w:t xml:space="preserve"> employee participation plan</w:t>
            </w:r>
          </w:p>
        </w:tc>
      </w:tr>
      <w:tr w14:paraId="500D5A45" w14:textId="77777777" w:rsidTr="00777E45">
        <w:tblPrEx>
          <w:tblW w:w="0" w:type="auto"/>
          <w:jc w:val="center"/>
          <w:tblLayout w:type="fixed"/>
          <w:tblCellMar>
            <w:left w:w="0" w:type="dxa"/>
            <w:right w:w="0" w:type="dxa"/>
          </w:tblCellMar>
          <w:tblLook w:val="01E0"/>
        </w:tblPrEx>
        <w:trPr>
          <w:trHeight w:val="300"/>
          <w:jc w:val="center"/>
        </w:trPr>
        <w:tc>
          <w:tcPr>
            <w:tcW w:w="3492" w:type="dxa"/>
            <w:vAlign w:val="center"/>
          </w:tcPr>
          <w:p w:rsidR="009A355D" w:rsidRPr="00BF4D0A" w:rsidP="00FA67C7" w14:paraId="4B612719" w14:textId="77777777">
            <w:pPr>
              <w:spacing w:after="0" w:line="240" w:lineRule="auto"/>
              <w:ind w:left="112"/>
              <w:rPr>
                <w:rFonts w:ascii="Times New Roman" w:hAnsi="Times New Roman" w:cs="Times New Roman"/>
              </w:rPr>
            </w:pPr>
            <w:r w:rsidRPr="00BF4D0A">
              <w:rPr>
                <w:rFonts w:ascii="Times New Roman" w:hAnsi="Times New Roman" w:cs="Times New Roman"/>
              </w:rPr>
              <w:t>Simple</w:t>
            </w:r>
            <w:r w:rsidR="0092195C">
              <w:rPr>
                <w:rFonts w:ascii="Times New Roman" w:hAnsi="Times New Roman" w:cs="Times New Roman"/>
              </w:rPr>
              <w:t xml:space="preserve"> Facilities</w:t>
            </w:r>
          </w:p>
        </w:tc>
        <w:tc>
          <w:tcPr>
            <w:tcW w:w="1170" w:type="dxa"/>
            <w:vAlign w:val="center"/>
          </w:tcPr>
          <w:p w:rsidR="009A355D" w:rsidRPr="00BF4D0A" w:rsidP="00FA67C7" w14:paraId="6925B71B" w14:textId="77777777">
            <w:pPr>
              <w:spacing w:after="0" w:line="240" w:lineRule="auto"/>
              <w:ind w:left="93" w:right="62"/>
              <w:jc w:val="center"/>
              <w:rPr>
                <w:rFonts w:ascii="Times New Roman" w:hAnsi="Times New Roman" w:cs="Times New Roman"/>
              </w:rPr>
            </w:pPr>
            <w:r w:rsidRPr="00BF4D0A">
              <w:rPr>
                <w:rFonts w:ascii="Times New Roman" w:hAnsi="Times New Roman" w:cs="Times New Roman"/>
              </w:rPr>
              <w:t>1</w:t>
            </w:r>
          </w:p>
        </w:tc>
        <w:tc>
          <w:tcPr>
            <w:tcW w:w="910" w:type="dxa"/>
            <w:vAlign w:val="center"/>
          </w:tcPr>
          <w:p w:rsidR="009A355D" w:rsidRPr="00BF4D0A" w:rsidP="00777E45" w14:paraId="66EE7C85" w14:textId="77777777">
            <w:pPr>
              <w:spacing w:after="0" w:line="240" w:lineRule="auto"/>
              <w:jc w:val="center"/>
              <w:rPr>
                <w:rFonts w:ascii="Times New Roman" w:hAnsi="Times New Roman" w:cs="Times New Roman"/>
              </w:rPr>
            </w:pPr>
            <w:r w:rsidRPr="00BF4D0A">
              <w:rPr>
                <w:rFonts w:ascii="Times New Roman" w:hAnsi="Times New Roman" w:cs="Times New Roman"/>
                <w:color w:val="000000"/>
              </w:rPr>
              <w:t>$</w:t>
            </w:r>
            <w:r w:rsidR="004913F7">
              <w:rPr>
                <w:rFonts w:ascii="Times New Roman" w:hAnsi="Times New Roman" w:cs="Times New Roman"/>
                <w:color w:val="000000"/>
              </w:rPr>
              <w:t>59</w:t>
            </w:r>
          </w:p>
        </w:tc>
        <w:tc>
          <w:tcPr>
            <w:tcW w:w="1080" w:type="dxa"/>
            <w:vAlign w:val="center"/>
          </w:tcPr>
          <w:p w:rsidR="009A355D" w:rsidRPr="00BF4D0A" w:rsidP="00FA67C7" w14:paraId="662BE1DE" w14:textId="77777777">
            <w:pPr>
              <w:spacing w:after="0" w:line="240" w:lineRule="auto"/>
              <w:ind w:left="98" w:right="69"/>
              <w:jc w:val="center"/>
              <w:rPr>
                <w:rFonts w:ascii="Times New Roman" w:hAnsi="Times New Roman" w:cs="Times New Roman"/>
              </w:rPr>
            </w:pPr>
            <w:r w:rsidRPr="00BF4D0A">
              <w:rPr>
                <w:rFonts w:ascii="Times New Roman" w:hAnsi="Times New Roman" w:cs="Times New Roman"/>
              </w:rPr>
              <w:t>5,578</w:t>
            </w:r>
          </w:p>
        </w:tc>
        <w:tc>
          <w:tcPr>
            <w:tcW w:w="1340" w:type="dxa"/>
            <w:vAlign w:val="center"/>
          </w:tcPr>
          <w:p w:rsidR="009A355D" w:rsidRPr="00BF4D0A" w:rsidP="00FA67C7" w14:paraId="3C84DC89" w14:textId="77777777">
            <w:pPr>
              <w:spacing w:after="0" w:line="240" w:lineRule="auto"/>
              <w:ind w:left="84" w:right="55"/>
              <w:jc w:val="center"/>
              <w:rPr>
                <w:rFonts w:ascii="Times New Roman" w:hAnsi="Times New Roman" w:cs="Times New Roman"/>
              </w:rPr>
            </w:pPr>
            <w:r w:rsidRPr="00BF4D0A">
              <w:rPr>
                <w:rFonts w:ascii="Times New Roman" w:hAnsi="Times New Roman" w:cs="Times New Roman"/>
                <w:color w:val="000000"/>
              </w:rPr>
              <w:t>$</w:t>
            </w:r>
            <w:r w:rsidR="00731B38">
              <w:rPr>
                <w:rFonts w:ascii="Times New Roman" w:hAnsi="Times New Roman" w:cs="Times New Roman"/>
                <w:color w:val="000000"/>
              </w:rPr>
              <w:t>327,801</w:t>
            </w:r>
          </w:p>
        </w:tc>
      </w:tr>
      <w:tr w14:paraId="2EED3696" w14:textId="77777777" w:rsidTr="00777E45">
        <w:tblPrEx>
          <w:tblW w:w="0" w:type="auto"/>
          <w:jc w:val="center"/>
          <w:tblLayout w:type="fixed"/>
          <w:tblCellMar>
            <w:left w:w="0" w:type="dxa"/>
            <w:right w:w="0" w:type="dxa"/>
          </w:tblCellMar>
          <w:tblLook w:val="01E0"/>
        </w:tblPrEx>
        <w:trPr>
          <w:trHeight w:val="282"/>
          <w:jc w:val="center"/>
        </w:trPr>
        <w:tc>
          <w:tcPr>
            <w:tcW w:w="3492" w:type="dxa"/>
            <w:tcBorders>
              <w:bottom w:val="single" w:sz="8" w:space="0" w:color="000000"/>
            </w:tcBorders>
            <w:vAlign w:val="center"/>
          </w:tcPr>
          <w:p w:rsidR="009A355D" w:rsidRPr="00BF4D0A" w:rsidP="00FA67C7" w14:paraId="2B4CF57D" w14:textId="77777777">
            <w:pPr>
              <w:spacing w:after="0" w:line="240" w:lineRule="auto"/>
              <w:ind w:left="112"/>
              <w:rPr>
                <w:rFonts w:ascii="Times New Roman" w:hAnsi="Times New Roman" w:cs="Times New Roman"/>
              </w:rPr>
            </w:pPr>
            <w:r w:rsidRPr="00BF4D0A">
              <w:rPr>
                <w:rFonts w:ascii="Times New Roman" w:hAnsi="Times New Roman" w:cs="Times New Roman"/>
              </w:rPr>
              <w:t>Complex</w:t>
            </w:r>
            <w:r w:rsidR="0092195C">
              <w:rPr>
                <w:rFonts w:ascii="Times New Roman" w:hAnsi="Times New Roman" w:cs="Times New Roman"/>
              </w:rPr>
              <w:t xml:space="preserve"> Facilities</w:t>
            </w:r>
          </w:p>
        </w:tc>
        <w:tc>
          <w:tcPr>
            <w:tcW w:w="1170" w:type="dxa"/>
            <w:tcBorders>
              <w:bottom w:val="single" w:sz="8" w:space="0" w:color="000000"/>
            </w:tcBorders>
            <w:vAlign w:val="center"/>
          </w:tcPr>
          <w:p w:rsidR="009A355D" w:rsidRPr="00BF4D0A" w:rsidP="00FA67C7" w14:paraId="42728FE1" w14:textId="77777777">
            <w:pPr>
              <w:spacing w:after="0" w:line="240" w:lineRule="auto"/>
              <w:ind w:left="93" w:right="62"/>
              <w:jc w:val="center"/>
              <w:rPr>
                <w:rFonts w:ascii="Times New Roman" w:hAnsi="Times New Roman" w:cs="Times New Roman"/>
              </w:rPr>
            </w:pPr>
            <w:r w:rsidRPr="00BF4D0A">
              <w:rPr>
                <w:rFonts w:ascii="Times New Roman" w:hAnsi="Times New Roman" w:cs="Times New Roman"/>
              </w:rPr>
              <w:t>1</w:t>
            </w:r>
          </w:p>
        </w:tc>
        <w:tc>
          <w:tcPr>
            <w:tcW w:w="910" w:type="dxa"/>
            <w:tcBorders>
              <w:bottom w:val="single" w:sz="8" w:space="0" w:color="000000"/>
            </w:tcBorders>
            <w:vAlign w:val="center"/>
          </w:tcPr>
          <w:p w:rsidR="009A355D" w:rsidRPr="00BF4D0A" w:rsidP="00777E45" w14:paraId="400691EA" w14:textId="77777777">
            <w:pPr>
              <w:spacing w:after="0" w:line="240" w:lineRule="auto"/>
              <w:jc w:val="center"/>
              <w:rPr>
                <w:rFonts w:ascii="Times New Roman" w:hAnsi="Times New Roman" w:cs="Times New Roman"/>
              </w:rPr>
            </w:pPr>
            <w:r w:rsidRPr="00BF4D0A">
              <w:rPr>
                <w:rFonts w:ascii="Times New Roman" w:hAnsi="Times New Roman" w:cs="Times New Roman"/>
                <w:color w:val="000000"/>
              </w:rPr>
              <w:t>$</w:t>
            </w:r>
            <w:r w:rsidR="004913F7">
              <w:rPr>
                <w:rFonts w:ascii="Times New Roman" w:hAnsi="Times New Roman" w:cs="Times New Roman"/>
                <w:color w:val="000000"/>
              </w:rPr>
              <w:t>83</w:t>
            </w:r>
          </w:p>
        </w:tc>
        <w:tc>
          <w:tcPr>
            <w:tcW w:w="1080" w:type="dxa"/>
            <w:tcBorders>
              <w:bottom w:val="single" w:sz="8" w:space="0" w:color="000000"/>
            </w:tcBorders>
            <w:vAlign w:val="center"/>
          </w:tcPr>
          <w:p w:rsidR="009A355D" w:rsidRPr="00BF4D0A" w:rsidP="00FA67C7" w14:paraId="57189C6B" w14:textId="77777777">
            <w:pPr>
              <w:spacing w:after="0" w:line="240" w:lineRule="auto"/>
              <w:ind w:left="98" w:right="69"/>
              <w:jc w:val="center"/>
              <w:rPr>
                <w:rFonts w:ascii="Times New Roman" w:hAnsi="Times New Roman" w:cs="Times New Roman"/>
              </w:rPr>
            </w:pPr>
            <w:r w:rsidRPr="00BF4D0A">
              <w:rPr>
                <w:rFonts w:ascii="Times New Roman" w:hAnsi="Times New Roman" w:cs="Times New Roman"/>
              </w:rPr>
              <w:t>1,527</w:t>
            </w:r>
          </w:p>
        </w:tc>
        <w:tc>
          <w:tcPr>
            <w:tcW w:w="1340" w:type="dxa"/>
            <w:tcBorders>
              <w:bottom w:val="single" w:sz="8" w:space="0" w:color="000000"/>
            </w:tcBorders>
            <w:vAlign w:val="center"/>
          </w:tcPr>
          <w:p w:rsidR="009A355D" w:rsidRPr="00BF4D0A" w:rsidP="00FA67C7" w14:paraId="6635899D" w14:textId="77777777">
            <w:pPr>
              <w:spacing w:after="0" w:line="240" w:lineRule="auto"/>
              <w:ind w:left="84" w:right="55"/>
              <w:jc w:val="center"/>
              <w:rPr>
                <w:rFonts w:ascii="Times New Roman" w:hAnsi="Times New Roman" w:cs="Times New Roman"/>
              </w:rPr>
            </w:pPr>
            <w:r w:rsidRPr="00BF4D0A">
              <w:rPr>
                <w:rFonts w:ascii="Times New Roman" w:hAnsi="Times New Roman" w:cs="Times New Roman"/>
                <w:color w:val="000000"/>
              </w:rPr>
              <w:t>$</w:t>
            </w:r>
            <w:r w:rsidR="00AA302B">
              <w:rPr>
                <w:rFonts w:ascii="Times New Roman" w:hAnsi="Times New Roman" w:cs="Times New Roman"/>
                <w:color w:val="000000"/>
              </w:rPr>
              <w:t>126,612</w:t>
            </w:r>
          </w:p>
        </w:tc>
      </w:tr>
      <w:tr w14:paraId="427B8775" w14:textId="77777777" w:rsidTr="00777E45">
        <w:tblPrEx>
          <w:tblW w:w="0" w:type="auto"/>
          <w:jc w:val="center"/>
          <w:tblLayout w:type="fixed"/>
          <w:tblCellMar>
            <w:left w:w="0" w:type="dxa"/>
            <w:right w:w="0" w:type="dxa"/>
          </w:tblCellMar>
          <w:tblLook w:val="01E0"/>
        </w:tblPrEx>
        <w:trPr>
          <w:trHeight w:val="282"/>
          <w:jc w:val="center"/>
        </w:trPr>
        <w:tc>
          <w:tcPr>
            <w:tcW w:w="3492" w:type="dxa"/>
            <w:tcBorders>
              <w:bottom w:val="single" w:sz="8" w:space="0" w:color="000000"/>
            </w:tcBorders>
            <w:vAlign w:val="center"/>
          </w:tcPr>
          <w:p w:rsidR="009A355D" w:rsidRPr="00BF4D0A" w:rsidP="00FA67C7" w14:paraId="5D53D735" w14:textId="77777777">
            <w:pPr>
              <w:spacing w:after="0" w:line="240" w:lineRule="auto"/>
              <w:ind w:left="112"/>
              <w:rPr>
                <w:rFonts w:ascii="Times New Roman" w:hAnsi="Times New Roman" w:cs="Times New Roman"/>
                <w:b/>
              </w:rPr>
            </w:pPr>
            <w:r w:rsidRPr="00BF4D0A">
              <w:rPr>
                <w:rFonts w:ascii="Times New Roman" w:hAnsi="Times New Roman" w:cs="Times New Roman"/>
                <w:b/>
              </w:rPr>
              <w:t>Total</w:t>
            </w:r>
          </w:p>
        </w:tc>
        <w:tc>
          <w:tcPr>
            <w:tcW w:w="1170" w:type="dxa"/>
            <w:tcBorders>
              <w:bottom w:val="single" w:sz="8" w:space="0" w:color="000000"/>
            </w:tcBorders>
            <w:vAlign w:val="center"/>
          </w:tcPr>
          <w:p w:rsidR="009A355D" w:rsidRPr="00BF4D0A" w:rsidP="00FA67C7" w14:paraId="7473E75D" w14:textId="77777777">
            <w:pPr>
              <w:spacing w:after="0" w:line="240" w:lineRule="auto"/>
              <w:ind w:left="93" w:right="62"/>
              <w:jc w:val="center"/>
              <w:rPr>
                <w:rFonts w:ascii="Times New Roman" w:hAnsi="Times New Roman" w:cs="Times New Roman"/>
                <w:b/>
              </w:rPr>
            </w:pPr>
          </w:p>
        </w:tc>
        <w:tc>
          <w:tcPr>
            <w:tcW w:w="910" w:type="dxa"/>
            <w:tcBorders>
              <w:bottom w:val="single" w:sz="8" w:space="0" w:color="000000"/>
            </w:tcBorders>
            <w:vAlign w:val="center"/>
          </w:tcPr>
          <w:p w:rsidR="009A355D" w:rsidRPr="00BF4D0A" w:rsidP="00777E45" w14:paraId="1D7FD632" w14:textId="77777777">
            <w:pPr>
              <w:spacing w:after="0" w:line="240" w:lineRule="auto"/>
              <w:ind w:left="292"/>
              <w:jc w:val="center"/>
              <w:rPr>
                <w:rFonts w:ascii="Times New Roman" w:hAnsi="Times New Roman" w:cs="Times New Roman"/>
                <w:b/>
              </w:rPr>
            </w:pPr>
          </w:p>
        </w:tc>
        <w:tc>
          <w:tcPr>
            <w:tcW w:w="1080" w:type="dxa"/>
            <w:tcBorders>
              <w:bottom w:val="single" w:sz="8" w:space="0" w:color="000000"/>
            </w:tcBorders>
            <w:vAlign w:val="center"/>
          </w:tcPr>
          <w:p w:rsidR="009A355D" w:rsidRPr="00BF4D0A" w:rsidP="00FA67C7" w14:paraId="4C48F5EF" w14:textId="77777777">
            <w:pPr>
              <w:spacing w:after="0" w:line="240" w:lineRule="auto"/>
              <w:ind w:left="98" w:right="69"/>
              <w:jc w:val="center"/>
              <w:rPr>
                <w:rFonts w:ascii="Times New Roman" w:hAnsi="Times New Roman" w:cs="Times New Roman"/>
                <w:b/>
              </w:rPr>
            </w:pPr>
            <w:r w:rsidRPr="00BF4D0A">
              <w:rPr>
                <w:rFonts w:ascii="Times New Roman" w:hAnsi="Times New Roman" w:cs="Times New Roman"/>
                <w:b/>
              </w:rPr>
              <w:t>7,105</w:t>
            </w:r>
          </w:p>
        </w:tc>
        <w:tc>
          <w:tcPr>
            <w:tcW w:w="1340" w:type="dxa"/>
            <w:tcBorders>
              <w:bottom w:val="single" w:sz="8" w:space="0" w:color="000000"/>
            </w:tcBorders>
            <w:vAlign w:val="center"/>
          </w:tcPr>
          <w:p w:rsidR="009A355D" w:rsidRPr="0051583D" w:rsidP="00FA67C7" w14:paraId="260FAD63" w14:textId="77777777">
            <w:pPr>
              <w:spacing w:after="0" w:line="240" w:lineRule="auto"/>
              <w:ind w:left="84" w:right="55"/>
              <w:jc w:val="center"/>
              <w:rPr>
                <w:rFonts w:ascii="Times New Roman" w:hAnsi="Times New Roman" w:cs="Times New Roman"/>
                <w:b/>
                <w:bCs/>
              </w:rPr>
            </w:pPr>
            <w:r w:rsidRPr="0051583D">
              <w:rPr>
                <w:rFonts w:ascii="Times New Roman" w:hAnsi="Times New Roman" w:cs="Times New Roman"/>
                <w:b/>
                <w:bCs/>
                <w:color w:val="000000"/>
              </w:rPr>
              <w:t>$</w:t>
            </w:r>
            <w:r w:rsidRPr="0051583D" w:rsidR="0051583D">
              <w:rPr>
                <w:rFonts w:ascii="Times New Roman" w:hAnsi="Times New Roman" w:cs="Times New Roman"/>
                <w:b/>
                <w:bCs/>
                <w:color w:val="000000"/>
              </w:rPr>
              <w:t>454,413</w:t>
            </w:r>
          </w:p>
        </w:tc>
      </w:tr>
      <w:tr w14:paraId="13919A96" w14:textId="77777777" w:rsidTr="00FA67C7">
        <w:tblPrEx>
          <w:tblW w:w="0" w:type="auto"/>
          <w:jc w:val="center"/>
          <w:tblLayout w:type="fixed"/>
          <w:tblCellMar>
            <w:left w:w="0" w:type="dxa"/>
            <w:right w:w="0" w:type="dxa"/>
          </w:tblCellMar>
          <w:tblLook w:val="01E0"/>
        </w:tblPrEx>
        <w:trPr>
          <w:trHeight w:val="285"/>
          <w:jc w:val="center"/>
        </w:trPr>
        <w:tc>
          <w:tcPr>
            <w:tcW w:w="7992" w:type="dxa"/>
            <w:gridSpan w:val="5"/>
            <w:shd w:val="clear" w:color="auto" w:fill="F2F2F2"/>
            <w:vAlign w:val="center"/>
          </w:tcPr>
          <w:p w:rsidR="009A355D" w:rsidRPr="00BF4D0A" w:rsidP="00FA67C7" w14:paraId="18085AD7" w14:textId="77777777">
            <w:pPr>
              <w:spacing w:after="0" w:line="240" w:lineRule="auto"/>
              <w:ind w:right="79" w:firstLine="75"/>
              <w:rPr>
                <w:rFonts w:ascii="Times New Roman" w:hAnsi="Times New Roman" w:cs="Times New Roman"/>
                <w:b/>
              </w:rPr>
            </w:pPr>
            <w:r w:rsidRPr="00BF4D0A">
              <w:rPr>
                <w:rFonts w:ascii="Times New Roman" w:hAnsi="Times New Roman" w:cs="Times New Roman"/>
                <w:b/>
              </w:rPr>
              <w:t xml:space="preserve">Program </w:t>
            </w:r>
            <w:r>
              <w:rPr>
                <w:rFonts w:ascii="Times New Roman" w:hAnsi="Times New Roman" w:cs="Times New Roman"/>
                <w:b/>
              </w:rPr>
              <w:t>2</w:t>
            </w:r>
            <w:r w:rsidRPr="00BF4D0A">
              <w:rPr>
                <w:rFonts w:ascii="Times New Roman" w:hAnsi="Times New Roman" w:cs="Times New Roman"/>
                <w:b/>
              </w:rPr>
              <w:t xml:space="preserve"> </w:t>
            </w:r>
            <w:r>
              <w:rPr>
                <w:rFonts w:ascii="Times New Roman" w:hAnsi="Times New Roman" w:cs="Times New Roman"/>
                <w:b/>
              </w:rPr>
              <w:t>r</w:t>
            </w:r>
            <w:r w:rsidRPr="00BF4D0A">
              <w:rPr>
                <w:rFonts w:ascii="Times New Roman" w:hAnsi="Times New Roman" w:cs="Times New Roman"/>
                <w:b/>
              </w:rPr>
              <w:t xml:space="preserve">equirement </w:t>
            </w:r>
            <w:r>
              <w:rPr>
                <w:rFonts w:ascii="Times New Roman" w:hAnsi="Times New Roman" w:cs="Times New Roman"/>
                <w:b/>
              </w:rPr>
              <w:t>to train employees on</w:t>
            </w:r>
            <w:r w:rsidRPr="00BF4D0A">
              <w:rPr>
                <w:rFonts w:ascii="Times New Roman" w:hAnsi="Times New Roman" w:cs="Times New Roman"/>
                <w:b/>
              </w:rPr>
              <w:t xml:space="preserve"> employee participation plan</w:t>
            </w:r>
          </w:p>
        </w:tc>
      </w:tr>
      <w:tr w14:paraId="443F759E" w14:textId="77777777" w:rsidTr="00777E45">
        <w:tblPrEx>
          <w:tblW w:w="0" w:type="auto"/>
          <w:jc w:val="center"/>
          <w:tblLayout w:type="fixed"/>
          <w:tblCellMar>
            <w:left w:w="0" w:type="dxa"/>
            <w:right w:w="0" w:type="dxa"/>
          </w:tblCellMar>
          <w:tblLook w:val="01E0"/>
        </w:tblPrEx>
        <w:trPr>
          <w:trHeight w:val="300"/>
          <w:jc w:val="center"/>
        </w:trPr>
        <w:tc>
          <w:tcPr>
            <w:tcW w:w="3492" w:type="dxa"/>
            <w:vAlign w:val="center"/>
          </w:tcPr>
          <w:p w:rsidR="009A355D" w:rsidRPr="00BF4D0A" w:rsidP="00FA67C7" w14:paraId="53E433F9" w14:textId="77777777">
            <w:pPr>
              <w:spacing w:after="0" w:line="240" w:lineRule="auto"/>
              <w:ind w:left="112"/>
              <w:rPr>
                <w:rFonts w:ascii="Times New Roman" w:hAnsi="Times New Roman" w:cs="Times New Roman"/>
              </w:rPr>
            </w:pPr>
            <w:r>
              <w:rPr>
                <w:rFonts w:ascii="Times New Roman" w:hAnsi="Times New Roman" w:cs="Times New Roman"/>
              </w:rPr>
              <w:t>Trained Employees</w:t>
            </w:r>
          </w:p>
        </w:tc>
        <w:tc>
          <w:tcPr>
            <w:tcW w:w="1170" w:type="dxa"/>
            <w:vAlign w:val="center"/>
          </w:tcPr>
          <w:p w:rsidR="009A355D" w:rsidRPr="00BF4D0A" w:rsidP="00FA67C7" w14:paraId="74AABC3C" w14:textId="77777777">
            <w:pPr>
              <w:spacing w:after="0" w:line="240" w:lineRule="auto"/>
              <w:ind w:left="93" w:right="62"/>
              <w:jc w:val="center"/>
              <w:rPr>
                <w:rFonts w:ascii="Times New Roman" w:hAnsi="Times New Roman" w:cs="Times New Roman"/>
              </w:rPr>
            </w:pPr>
            <w:r>
              <w:rPr>
                <w:rFonts w:ascii="Times New Roman" w:hAnsi="Times New Roman" w:cs="Times New Roman"/>
              </w:rPr>
              <w:t>0.2</w:t>
            </w:r>
          </w:p>
        </w:tc>
        <w:tc>
          <w:tcPr>
            <w:tcW w:w="910" w:type="dxa"/>
            <w:vAlign w:val="center"/>
          </w:tcPr>
          <w:p w:rsidR="009A355D" w:rsidRPr="00BF4D0A" w:rsidP="00777E45" w14:paraId="55042F66" w14:textId="77777777">
            <w:pPr>
              <w:spacing w:after="0" w:line="240" w:lineRule="auto"/>
              <w:jc w:val="center"/>
              <w:rPr>
                <w:rFonts w:ascii="Times New Roman" w:hAnsi="Times New Roman" w:cs="Times New Roman"/>
              </w:rPr>
            </w:pPr>
            <w:r w:rsidRPr="00BF4D0A">
              <w:rPr>
                <w:rFonts w:ascii="Times New Roman" w:hAnsi="Times New Roman" w:cs="Times New Roman"/>
                <w:color w:val="000000"/>
              </w:rPr>
              <w:t>$</w:t>
            </w:r>
            <w:r w:rsidR="00ED0872">
              <w:rPr>
                <w:rFonts w:ascii="Times New Roman" w:hAnsi="Times New Roman" w:cs="Times New Roman"/>
                <w:color w:val="000000"/>
              </w:rPr>
              <w:t>33</w:t>
            </w:r>
          </w:p>
        </w:tc>
        <w:tc>
          <w:tcPr>
            <w:tcW w:w="1080" w:type="dxa"/>
            <w:vAlign w:val="center"/>
          </w:tcPr>
          <w:p w:rsidR="009A355D" w:rsidRPr="00BF4D0A" w:rsidP="00FA67C7" w14:paraId="1C9B4196" w14:textId="77777777">
            <w:pPr>
              <w:spacing w:after="0" w:line="240" w:lineRule="auto"/>
              <w:ind w:left="98" w:right="69"/>
              <w:jc w:val="center"/>
              <w:rPr>
                <w:rFonts w:ascii="Times New Roman" w:hAnsi="Times New Roman" w:cs="Times New Roman"/>
              </w:rPr>
            </w:pPr>
            <w:r>
              <w:rPr>
                <w:rFonts w:ascii="Times New Roman" w:hAnsi="Times New Roman" w:cs="Times New Roman"/>
              </w:rPr>
              <w:t>60,</w:t>
            </w:r>
            <w:r w:rsidR="007716FF">
              <w:rPr>
                <w:rFonts w:ascii="Times New Roman" w:hAnsi="Times New Roman" w:cs="Times New Roman"/>
              </w:rPr>
              <w:t>793</w:t>
            </w:r>
          </w:p>
        </w:tc>
        <w:tc>
          <w:tcPr>
            <w:tcW w:w="1340" w:type="dxa"/>
            <w:vAlign w:val="center"/>
          </w:tcPr>
          <w:p w:rsidR="009A355D" w:rsidRPr="00BF4D0A" w:rsidP="00FA67C7" w14:paraId="0B2FCFB1" w14:textId="77777777">
            <w:pPr>
              <w:spacing w:after="0" w:line="240" w:lineRule="auto"/>
              <w:ind w:left="84" w:right="55"/>
              <w:jc w:val="center"/>
              <w:rPr>
                <w:rFonts w:ascii="Times New Roman" w:hAnsi="Times New Roman" w:cs="Times New Roman"/>
              </w:rPr>
            </w:pPr>
            <w:r w:rsidRPr="00BF4D0A">
              <w:rPr>
                <w:rFonts w:ascii="Times New Roman" w:hAnsi="Times New Roman" w:cs="Times New Roman"/>
                <w:color w:val="000000"/>
              </w:rPr>
              <w:t>$</w:t>
            </w:r>
            <w:r w:rsidR="00BF75A0">
              <w:rPr>
                <w:rFonts w:ascii="Times New Roman" w:hAnsi="Times New Roman" w:cs="Times New Roman"/>
                <w:color w:val="000000"/>
              </w:rPr>
              <w:t>405,571</w:t>
            </w:r>
          </w:p>
        </w:tc>
      </w:tr>
      <w:tr w14:paraId="3159E9E8" w14:textId="77777777" w:rsidTr="00777E45">
        <w:tblPrEx>
          <w:tblW w:w="0" w:type="auto"/>
          <w:jc w:val="center"/>
          <w:tblLayout w:type="fixed"/>
          <w:tblCellMar>
            <w:left w:w="0" w:type="dxa"/>
            <w:right w:w="0" w:type="dxa"/>
          </w:tblCellMar>
          <w:tblLook w:val="01E0"/>
        </w:tblPrEx>
        <w:trPr>
          <w:trHeight w:val="282"/>
          <w:jc w:val="center"/>
        </w:trPr>
        <w:tc>
          <w:tcPr>
            <w:tcW w:w="3492" w:type="dxa"/>
            <w:tcBorders>
              <w:bottom w:val="single" w:sz="8" w:space="0" w:color="000000"/>
            </w:tcBorders>
            <w:vAlign w:val="center"/>
          </w:tcPr>
          <w:p w:rsidR="009A355D" w:rsidRPr="00BF4D0A" w:rsidP="00FA67C7" w14:paraId="519010B4" w14:textId="77777777">
            <w:pPr>
              <w:spacing w:after="0" w:line="240" w:lineRule="auto"/>
              <w:ind w:left="112"/>
              <w:rPr>
                <w:rFonts w:ascii="Times New Roman" w:hAnsi="Times New Roman" w:cs="Times New Roman"/>
              </w:rPr>
            </w:pPr>
            <w:r>
              <w:rPr>
                <w:rFonts w:ascii="Times New Roman" w:hAnsi="Times New Roman" w:cs="Times New Roman"/>
              </w:rPr>
              <w:t>Facilit</w:t>
            </w:r>
            <w:r w:rsidR="0092195C">
              <w:rPr>
                <w:rFonts w:ascii="Times New Roman" w:hAnsi="Times New Roman" w:cs="Times New Roman"/>
              </w:rPr>
              <w:t>ies</w:t>
            </w:r>
          </w:p>
        </w:tc>
        <w:tc>
          <w:tcPr>
            <w:tcW w:w="1170" w:type="dxa"/>
            <w:tcBorders>
              <w:bottom w:val="single" w:sz="8" w:space="0" w:color="000000"/>
            </w:tcBorders>
            <w:vAlign w:val="center"/>
          </w:tcPr>
          <w:p w:rsidR="009A355D" w:rsidRPr="00BF4D0A" w:rsidP="00FA67C7" w14:paraId="1EDDAF38" w14:textId="77777777">
            <w:pPr>
              <w:spacing w:after="0" w:line="240" w:lineRule="auto"/>
              <w:ind w:left="93" w:right="62"/>
              <w:jc w:val="center"/>
              <w:rPr>
                <w:rFonts w:ascii="Times New Roman" w:hAnsi="Times New Roman" w:cs="Times New Roman"/>
              </w:rPr>
            </w:pPr>
            <w:r>
              <w:rPr>
                <w:rFonts w:ascii="Times New Roman" w:hAnsi="Times New Roman" w:cs="Times New Roman"/>
              </w:rPr>
              <w:t>0.2</w:t>
            </w:r>
          </w:p>
        </w:tc>
        <w:tc>
          <w:tcPr>
            <w:tcW w:w="910" w:type="dxa"/>
            <w:tcBorders>
              <w:bottom w:val="single" w:sz="8" w:space="0" w:color="000000"/>
            </w:tcBorders>
            <w:vAlign w:val="center"/>
          </w:tcPr>
          <w:p w:rsidR="009A355D" w:rsidRPr="00BF4D0A" w:rsidP="00777E45" w14:paraId="3997CB6A" w14:textId="77777777">
            <w:pPr>
              <w:spacing w:after="0" w:line="240" w:lineRule="auto"/>
              <w:jc w:val="center"/>
              <w:rPr>
                <w:rFonts w:ascii="Times New Roman" w:hAnsi="Times New Roman" w:cs="Times New Roman"/>
              </w:rPr>
            </w:pPr>
            <w:r w:rsidRPr="00BF4D0A">
              <w:rPr>
                <w:rFonts w:ascii="Times New Roman" w:hAnsi="Times New Roman" w:cs="Times New Roman"/>
                <w:color w:val="000000"/>
              </w:rPr>
              <w:t>$</w:t>
            </w:r>
            <w:r w:rsidR="00ED0872">
              <w:rPr>
                <w:rFonts w:ascii="Times New Roman" w:hAnsi="Times New Roman" w:cs="Times New Roman"/>
                <w:color w:val="000000"/>
              </w:rPr>
              <w:t>138</w:t>
            </w:r>
          </w:p>
        </w:tc>
        <w:tc>
          <w:tcPr>
            <w:tcW w:w="1080" w:type="dxa"/>
            <w:tcBorders>
              <w:bottom w:val="single" w:sz="8" w:space="0" w:color="000000"/>
            </w:tcBorders>
            <w:vAlign w:val="center"/>
          </w:tcPr>
          <w:p w:rsidR="009A355D" w:rsidRPr="00BF4D0A" w:rsidP="00FA67C7" w14:paraId="0F6373B5" w14:textId="77777777">
            <w:pPr>
              <w:spacing w:after="0" w:line="240" w:lineRule="auto"/>
              <w:ind w:left="98" w:right="69"/>
              <w:jc w:val="center"/>
              <w:rPr>
                <w:rFonts w:ascii="Times New Roman" w:hAnsi="Times New Roman" w:cs="Times New Roman"/>
              </w:rPr>
            </w:pPr>
            <w:r>
              <w:rPr>
                <w:rFonts w:ascii="Times New Roman" w:hAnsi="Times New Roman" w:cs="Times New Roman"/>
              </w:rPr>
              <w:t>3,975</w:t>
            </w:r>
          </w:p>
        </w:tc>
        <w:tc>
          <w:tcPr>
            <w:tcW w:w="1340" w:type="dxa"/>
            <w:tcBorders>
              <w:bottom w:val="single" w:sz="8" w:space="0" w:color="000000"/>
            </w:tcBorders>
            <w:vAlign w:val="center"/>
          </w:tcPr>
          <w:p w:rsidR="009A355D" w:rsidRPr="00BF4D0A" w:rsidP="00FA67C7" w14:paraId="755AA431" w14:textId="77777777">
            <w:pPr>
              <w:spacing w:after="0" w:line="240" w:lineRule="auto"/>
              <w:ind w:left="84" w:right="55"/>
              <w:jc w:val="center"/>
              <w:rPr>
                <w:rFonts w:ascii="Times New Roman" w:hAnsi="Times New Roman" w:cs="Times New Roman"/>
              </w:rPr>
            </w:pPr>
            <w:r w:rsidRPr="00BF4D0A">
              <w:rPr>
                <w:rFonts w:ascii="Times New Roman" w:hAnsi="Times New Roman" w:cs="Times New Roman"/>
                <w:color w:val="000000"/>
              </w:rPr>
              <w:t>$1</w:t>
            </w:r>
            <w:r w:rsidR="0018353D">
              <w:rPr>
                <w:rFonts w:ascii="Times New Roman" w:hAnsi="Times New Roman" w:cs="Times New Roman"/>
                <w:color w:val="000000"/>
              </w:rPr>
              <w:t>09,329</w:t>
            </w:r>
          </w:p>
        </w:tc>
      </w:tr>
      <w:tr w14:paraId="4B749B5F" w14:textId="77777777" w:rsidTr="00777E45">
        <w:tblPrEx>
          <w:tblW w:w="0" w:type="auto"/>
          <w:jc w:val="center"/>
          <w:tblLayout w:type="fixed"/>
          <w:tblCellMar>
            <w:left w:w="0" w:type="dxa"/>
            <w:right w:w="0" w:type="dxa"/>
          </w:tblCellMar>
          <w:tblLook w:val="01E0"/>
        </w:tblPrEx>
        <w:trPr>
          <w:trHeight w:val="282"/>
          <w:jc w:val="center"/>
        </w:trPr>
        <w:tc>
          <w:tcPr>
            <w:tcW w:w="3492" w:type="dxa"/>
            <w:tcBorders>
              <w:bottom w:val="single" w:sz="8" w:space="0" w:color="000000"/>
            </w:tcBorders>
            <w:vAlign w:val="center"/>
          </w:tcPr>
          <w:p w:rsidR="009A355D" w:rsidRPr="00BF4D0A" w:rsidP="00FA67C7" w14:paraId="616F37BB" w14:textId="77777777">
            <w:pPr>
              <w:spacing w:after="0" w:line="240" w:lineRule="auto"/>
              <w:ind w:left="112"/>
              <w:rPr>
                <w:rFonts w:ascii="Times New Roman" w:hAnsi="Times New Roman" w:cs="Times New Roman"/>
                <w:b/>
              </w:rPr>
            </w:pPr>
            <w:r w:rsidRPr="00BF4D0A">
              <w:rPr>
                <w:rFonts w:ascii="Times New Roman" w:hAnsi="Times New Roman" w:cs="Times New Roman"/>
                <w:b/>
              </w:rPr>
              <w:t>Total</w:t>
            </w:r>
          </w:p>
        </w:tc>
        <w:tc>
          <w:tcPr>
            <w:tcW w:w="1170" w:type="dxa"/>
            <w:tcBorders>
              <w:bottom w:val="single" w:sz="8" w:space="0" w:color="000000"/>
            </w:tcBorders>
            <w:vAlign w:val="center"/>
          </w:tcPr>
          <w:p w:rsidR="009A355D" w:rsidRPr="00BF4D0A" w:rsidP="00FA67C7" w14:paraId="02B9E198" w14:textId="77777777">
            <w:pPr>
              <w:spacing w:after="0" w:line="240" w:lineRule="auto"/>
              <w:ind w:left="93" w:right="62"/>
              <w:jc w:val="center"/>
              <w:rPr>
                <w:rFonts w:ascii="Times New Roman" w:hAnsi="Times New Roman" w:cs="Times New Roman"/>
                <w:b/>
              </w:rPr>
            </w:pPr>
          </w:p>
        </w:tc>
        <w:tc>
          <w:tcPr>
            <w:tcW w:w="910" w:type="dxa"/>
            <w:tcBorders>
              <w:bottom w:val="single" w:sz="8" w:space="0" w:color="000000"/>
            </w:tcBorders>
            <w:vAlign w:val="center"/>
          </w:tcPr>
          <w:p w:rsidR="009A355D" w:rsidRPr="00BF4D0A" w:rsidP="00777E45" w14:paraId="301043D6" w14:textId="77777777">
            <w:pPr>
              <w:spacing w:after="0" w:line="240" w:lineRule="auto"/>
              <w:ind w:left="292"/>
              <w:jc w:val="center"/>
              <w:rPr>
                <w:rFonts w:ascii="Times New Roman" w:hAnsi="Times New Roman" w:cs="Times New Roman"/>
                <w:b/>
              </w:rPr>
            </w:pPr>
          </w:p>
        </w:tc>
        <w:tc>
          <w:tcPr>
            <w:tcW w:w="1080" w:type="dxa"/>
            <w:tcBorders>
              <w:bottom w:val="single" w:sz="8" w:space="0" w:color="000000"/>
            </w:tcBorders>
            <w:vAlign w:val="center"/>
          </w:tcPr>
          <w:p w:rsidR="009A355D" w:rsidRPr="00BF4D0A" w:rsidP="00FA67C7" w14:paraId="7B072462" w14:textId="77777777">
            <w:pPr>
              <w:spacing w:after="0" w:line="240" w:lineRule="auto"/>
              <w:ind w:left="98" w:right="69"/>
              <w:jc w:val="center"/>
              <w:rPr>
                <w:rFonts w:ascii="Times New Roman" w:hAnsi="Times New Roman" w:cs="Times New Roman"/>
                <w:b/>
              </w:rPr>
            </w:pPr>
            <w:r>
              <w:rPr>
                <w:rFonts w:ascii="Times New Roman" w:hAnsi="Times New Roman" w:cs="Times New Roman"/>
                <w:b/>
              </w:rPr>
              <w:t>3,975</w:t>
            </w:r>
          </w:p>
        </w:tc>
        <w:tc>
          <w:tcPr>
            <w:tcW w:w="1340" w:type="dxa"/>
            <w:tcBorders>
              <w:bottom w:val="single" w:sz="8" w:space="0" w:color="000000"/>
            </w:tcBorders>
            <w:vAlign w:val="center"/>
          </w:tcPr>
          <w:p w:rsidR="009A355D" w:rsidRPr="0051583D" w:rsidP="00FA67C7" w14:paraId="5C0BCAEC" w14:textId="77777777">
            <w:pPr>
              <w:spacing w:after="0" w:line="240" w:lineRule="auto"/>
              <w:ind w:left="84" w:right="55"/>
              <w:jc w:val="center"/>
              <w:rPr>
                <w:rFonts w:ascii="Times New Roman" w:hAnsi="Times New Roman" w:cs="Times New Roman"/>
                <w:b/>
                <w:bCs/>
              </w:rPr>
            </w:pPr>
            <w:r w:rsidRPr="0051583D">
              <w:rPr>
                <w:rFonts w:ascii="Times New Roman" w:hAnsi="Times New Roman" w:cs="Times New Roman"/>
                <w:b/>
                <w:bCs/>
                <w:color w:val="000000"/>
              </w:rPr>
              <w:t>$</w:t>
            </w:r>
            <w:r w:rsidR="004900C2">
              <w:rPr>
                <w:rFonts w:ascii="Times New Roman" w:hAnsi="Times New Roman" w:cs="Times New Roman"/>
                <w:b/>
                <w:bCs/>
                <w:color w:val="000000"/>
              </w:rPr>
              <w:t>514,900</w:t>
            </w:r>
          </w:p>
        </w:tc>
      </w:tr>
      <w:tr w14:paraId="740995AA" w14:textId="77777777" w:rsidTr="00B87FD9">
        <w:tblPrEx>
          <w:tblW w:w="0" w:type="auto"/>
          <w:jc w:val="center"/>
          <w:tblLayout w:type="fixed"/>
          <w:tblCellMar>
            <w:left w:w="0" w:type="dxa"/>
            <w:right w:w="0" w:type="dxa"/>
          </w:tblCellMar>
          <w:tblLook w:val="01E0"/>
        </w:tblPrEx>
        <w:trPr>
          <w:trHeight w:val="285"/>
          <w:jc w:val="center"/>
        </w:trPr>
        <w:tc>
          <w:tcPr>
            <w:tcW w:w="7992" w:type="dxa"/>
            <w:gridSpan w:val="5"/>
            <w:shd w:val="clear" w:color="auto" w:fill="F2F2F2"/>
            <w:vAlign w:val="center"/>
          </w:tcPr>
          <w:p w:rsidR="00200686" w:rsidRPr="00BF4D0A" w:rsidP="00B87FD9" w14:paraId="53796AF8" w14:textId="77777777">
            <w:pPr>
              <w:spacing w:after="0" w:line="240" w:lineRule="auto"/>
              <w:ind w:right="79" w:firstLine="75"/>
              <w:rPr>
                <w:rFonts w:ascii="Times New Roman" w:hAnsi="Times New Roman" w:cs="Times New Roman"/>
                <w:b/>
              </w:rPr>
            </w:pPr>
            <w:r w:rsidRPr="00BF4D0A">
              <w:rPr>
                <w:rFonts w:ascii="Times New Roman" w:hAnsi="Times New Roman" w:cs="Times New Roman"/>
                <w:b/>
              </w:rPr>
              <w:t>P</w:t>
            </w:r>
            <w:r w:rsidRPr="00BF4D0A" w:rsidR="00202CF3">
              <w:rPr>
                <w:rFonts w:ascii="Times New Roman" w:hAnsi="Times New Roman" w:cs="Times New Roman"/>
                <w:b/>
              </w:rPr>
              <w:t xml:space="preserve">rogram </w:t>
            </w:r>
            <w:r w:rsidRPr="00BF4D0A">
              <w:rPr>
                <w:rFonts w:ascii="Times New Roman" w:hAnsi="Times New Roman" w:cs="Times New Roman"/>
                <w:b/>
              </w:rPr>
              <w:t xml:space="preserve">3 </w:t>
            </w:r>
            <w:r w:rsidR="005C1B6F">
              <w:rPr>
                <w:rFonts w:ascii="Times New Roman" w:hAnsi="Times New Roman" w:cs="Times New Roman"/>
                <w:b/>
              </w:rPr>
              <w:t>r</w:t>
            </w:r>
            <w:r w:rsidRPr="00BF4D0A">
              <w:rPr>
                <w:rFonts w:ascii="Times New Roman" w:hAnsi="Times New Roman" w:cs="Times New Roman"/>
                <w:b/>
              </w:rPr>
              <w:t xml:space="preserve">equirement to </w:t>
            </w:r>
            <w:r w:rsidR="009A355D">
              <w:rPr>
                <w:rFonts w:ascii="Times New Roman" w:hAnsi="Times New Roman" w:cs="Times New Roman"/>
                <w:b/>
              </w:rPr>
              <w:t>train employees on</w:t>
            </w:r>
            <w:r w:rsidRPr="00BF4D0A">
              <w:rPr>
                <w:rFonts w:ascii="Times New Roman" w:hAnsi="Times New Roman" w:cs="Times New Roman"/>
                <w:b/>
              </w:rPr>
              <w:t xml:space="preserve"> </w:t>
            </w:r>
            <w:r w:rsidRPr="00BF4D0A" w:rsidR="00354D92">
              <w:rPr>
                <w:rFonts w:ascii="Times New Roman" w:hAnsi="Times New Roman" w:cs="Times New Roman"/>
                <w:b/>
              </w:rPr>
              <w:t>employee participation plan</w:t>
            </w:r>
          </w:p>
        </w:tc>
      </w:tr>
      <w:tr w14:paraId="3DC3ED06" w14:textId="77777777" w:rsidTr="00777E45">
        <w:tblPrEx>
          <w:tblW w:w="0" w:type="auto"/>
          <w:jc w:val="center"/>
          <w:tblLayout w:type="fixed"/>
          <w:tblCellMar>
            <w:left w:w="0" w:type="dxa"/>
            <w:right w:w="0" w:type="dxa"/>
          </w:tblCellMar>
          <w:tblLook w:val="01E0"/>
        </w:tblPrEx>
        <w:trPr>
          <w:trHeight w:val="300"/>
          <w:jc w:val="center"/>
        </w:trPr>
        <w:tc>
          <w:tcPr>
            <w:tcW w:w="3492" w:type="dxa"/>
            <w:vAlign w:val="center"/>
          </w:tcPr>
          <w:p w:rsidR="00200686" w:rsidRPr="00BF4D0A" w:rsidP="00B87FD9" w14:paraId="2EBF9857" w14:textId="77777777">
            <w:pPr>
              <w:spacing w:after="0" w:line="240" w:lineRule="auto"/>
              <w:ind w:left="112"/>
              <w:rPr>
                <w:rFonts w:ascii="Times New Roman" w:hAnsi="Times New Roman" w:cs="Times New Roman"/>
              </w:rPr>
            </w:pPr>
            <w:r>
              <w:rPr>
                <w:rFonts w:ascii="Times New Roman" w:hAnsi="Times New Roman" w:cs="Times New Roman"/>
              </w:rPr>
              <w:t>Trained Employees</w:t>
            </w:r>
          </w:p>
        </w:tc>
        <w:tc>
          <w:tcPr>
            <w:tcW w:w="1170" w:type="dxa"/>
            <w:vAlign w:val="center"/>
          </w:tcPr>
          <w:p w:rsidR="00200686" w:rsidRPr="00BF4D0A" w:rsidP="00B87FD9" w14:paraId="07440592" w14:textId="77777777">
            <w:pPr>
              <w:spacing w:after="0" w:line="240" w:lineRule="auto"/>
              <w:ind w:left="93" w:right="62"/>
              <w:jc w:val="center"/>
              <w:rPr>
                <w:rFonts w:ascii="Times New Roman" w:hAnsi="Times New Roman" w:cs="Times New Roman"/>
              </w:rPr>
            </w:pPr>
            <w:r>
              <w:rPr>
                <w:rFonts w:ascii="Times New Roman" w:hAnsi="Times New Roman" w:cs="Times New Roman"/>
              </w:rPr>
              <w:t>0.2</w:t>
            </w:r>
          </w:p>
        </w:tc>
        <w:tc>
          <w:tcPr>
            <w:tcW w:w="910" w:type="dxa"/>
            <w:vAlign w:val="center"/>
          </w:tcPr>
          <w:p w:rsidR="00200686" w:rsidRPr="00BF4D0A" w:rsidP="00777E45" w14:paraId="57965BD9" w14:textId="77777777">
            <w:pPr>
              <w:spacing w:after="0" w:line="240" w:lineRule="auto"/>
              <w:jc w:val="center"/>
              <w:rPr>
                <w:rFonts w:ascii="Times New Roman" w:hAnsi="Times New Roman" w:cs="Times New Roman"/>
              </w:rPr>
            </w:pPr>
            <w:r w:rsidRPr="00BF4D0A">
              <w:rPr>
                <w:rFonts w:ascii="Times New Roman" w:hAnsi="Times New Roman" w:cs="Times New Roman"/>
                <w:color w:val="000000"/>
              </w:rPr>
              <w:t>$</w:t>
            </w:r>
            <w:r w:rsidR="00ED0872">
              <w:rPr>
                <w:rFonts w:ascii="Times New Roman" w:hAnsi="Times New Roman" w:cs="Times New Roman"/>
                <w:color w:val="000000"/>
              </w:rPr>
              <w:t>33</w:t>
            </w:r>
          </w:p>
        </w:tc>
        <w:tc>
          <w:tcPr>
            <w:tcW w:w="1080" w:type="dxa"/>
            <w:vAlign w:val="center"/>
          </w:tcPr>
          <w:p w:rsidR="00200686" w:rsidRPr="00BF4D0A" w:rsidP="00B87FD9" w14:paraId="3E4E7B4F" w14:textId="77777777">
            <w:pPr>
              <w:spacing w:after="0" w:line="240" w:lineRule="auto"/>
              <w:ind w:left="98" w:right="69"/>
              <w:jc w:val="center"/>
              <w:rPr>
                <w:rFonts w:ascii="Times New Roman" w:hAnsi="Times New Roman" w:cs="Times New Roman"/>
              </w:rPr>
            </w:pPr>
            <w:r>
              <w:rPr>
                <w:rFonts w:ascii="Times New Roman" w:hAnsi="Times New Roman" w:cs="Times New Roman"/>
              </w:rPr>
              <w:t>1,475,579</w:t>
            </w:r>
          </w:p>
        </w:tc>
        <w:tc>
          <w:tcPr>
            <w:tcW w:w="1340" w:type="dxa"/>
            <w:vAlign w:val="center"/>
          </w:tcPr>
          <w:p w:rsidR="00200686" w:rsidRPr="00BF4D0A" w:rsidP="00B87FD9" w14:paraId="63DD599E" w14:textId="77777777">
            <w:pPr>
              <w:spacing w:after="0" w:line="240" w:lineRule="auto"/>
              <w:ind w:left="84" w:right="55"/>
              <w:jc w:val="center"/>
              <w:rPr>
                <w:rFonts w:ascii="Times New Roman" w:hAnsi="Times New Roman" w:cs="Times New Roman"/>
              </w:rPr>
            </w:pPr>
            <w:r>
              <w:rPr>
                <w:rFonts w:ascii="Times New Roman" w:hAnsi="Times New Roman" w:cs="Times New Roman"/>
                <w:color w:val="000000"/>
              </w:rPr>
              <w:t>$9,844</w:t>
            </w:r>
            <w:r w:rsidR="009E1FF2">
              <w:rPr>
                <w:rFonts w:ascii="Times New Roman" w:hAnsi="Times New Roman" w:cs="Times New Roman"/>
                <w:color w:val="000000"/>
              </w:rPr>
              <w:t>,095</w:t>
            </w:r>
          </w:p>
        </w:tc>
      </w:tr>
      <w:tr w14:paraId="10BE3CCE" w14:textId="77777777" w:rsidTr="00777E45">
        <w:tblPrEx>
          <w:tblW w:w="0" w:type="auto"/>
          <w:jc w:val="center"/>
          <w:tblLayout w:type="fixed"/>
          <w:tblCellMar>
            <w:left w:w="0" w:type="dxa"/>
            <w:right w:w="0" w:type="dxa"/>
          </w:tblCellMar>
          <w:tblLook w:val="01E0"/>
        </w:tblPrEx>
        <w:trPr>
          <w:trHeight w:val="282"/>
          <w:jc w:val="center"/>
        </w:trPr>
        <w:tc>
          <w:tcPr>
            <w:tcW w:w="3492" w:type="dxa"/>
            <w:tcBorders>
              <w:bottom w:val="single" w:sz="8" w:space="0" w:color="000000"/>
            </w:tcBorders>
            <w:vAlign w:val="center"/>
          </w:tcPr>
          <w:p w:rsidR="00200686" w:rsidRPr="00BF4D0A" w:rsidP="00B87FD9" w14:paraId="2068C4DE" w14:textId="77777777">
            <w:pPr>
              <w:spacing w:after="0" w:line="240" w:lineRule="auto"/>
              <w:ind w:left="112"/>
              <w:rPr>
                <w:rFonts w:ascii="Times New Roman" w:hAnsi="Times New Roman" w:cs="Times New Roman"/>
              </w:rPr>
            </w:pPr>
            <w:r>
              <w:rPr>
                <w:rFonts w:ascii="Times New Roman" w:hAnsi="Times New Roman" w:cs="Times New Roman"/>
              </w:rPr>
              <w:t>Facilities</w:t>
            </w:r>
          </w:p>
        </w:tc>
        <w:tc>
          <w:tcPr>
            <w:tcW w:w="1170" w:type="dxa"/>
            <w:tcBorders>
              <w:bottom w:val="single" w:sz="8" w:space="0" w:color="000000"/>
            </w:tcBorders>
            <w:vAlign w:val="center"/>
          </w:tcPr>
          <w:p w:rsidR="00200686" w:rsidRPr="00BF4D0A" w:rsidP="00B87FD9" w14:paraId="6E552946" w14:textId="77777777">
            <w:pPr>
              <w:spacing w:after="0" w:line="240" w:lineRule="auto"/>
              <w:ind w:left="93" w:right="62"/>
              <w:jc w:val="center"/>
              <w:rPr>
                <w:rFonts w:ascii="Times New Roman" w:hAnsi="Times New Roman" w:cs="Times New Roman"/>
              </w:rPr>
            </w:pPr>
            <w:r>
              <w:rPr>
                <w:rFonts w:ascii="Times New Roman" w:hAnsi="Times New Roman" w:cs="Times New Roman"/>
              </w:rPr>
              <w:t>0.2</w:t>
            </w:r>
          </w:p>
        </w:tc>
        <w:tc>
          <w:tcPr>
            <w:tcW w:w="910" w:type="dxa"/>
            <w:tcBorders>
              <w:bottom w:val="single" w:sz="8" w:space="0" w:color="000000"/>
            </w:tcBorders>
            <w:vAlign w:val="center"/>
          </w:tcPr>
          <w:p w:rsidR="00200686" w:rsidRPr="00BF4D0A" w:rsidP="00777E45" w14:paraId="541D5E36" w14:textId="77777777">
            <w:pPr>
              <w:spacing w:after="0" w:line="240" w:lineRule="auto"/>
              <w:jc w:val="center"/>
              <w:rPr>
                <w:rFonts w:ascii="Times New Roman" w:hAnsi="Times New Roman" w:cs="Times New Roman"/>
              </w:rPr>
            </w:pPr>
            <w:r w:rsidRPr="00BF4D0A">
              <w:rPr>
                <w:rFonts w:ascii="Times New Roman" w:hAnsi="Times New Roman" w:cs="Times New Roman"/>
                <w:color w:val="000000"/>
              </w:rPr>
              <w:t>$</w:t>
            </w:r>
            <w:r w:rsidR="00ED0872">
              <w:rPr>
                <w:rFonts w:ascii="Times New Roman" w:hAnsi="Times New Roman" w:cs="Times New Roman"/>
                <w:color w:val="000000"/>
              </w:rPr>
              <w:t>138</w:t>
            </w:r>
          </w:p>
        </w:tc>
        <w:tc>
          <w:tcPr>
            <w:tcW w:w="1080" w:type="dxa"/>
            <w:tcBorders>
              <w:bottom w:val="single" w:sz="8" w:space="0" w:color="000000"/>
            </w:tcBorders>
            <w:vAlign w:val="center"/>
          </w:tcPr>
          <w:p w:rsidR="00200686" w:rsidRPr="00BF4D0A" w:rsidP="00B87FD9" w14:paraId="05B41A28" w14:textId="77777777">
            <w:pPr>
              <w:spacing w:after="0" w:line="240" w:lineRule="auto"/>
              <w:ind w:left="98" w:right="69"/>
              <w:jc w:val="center"/>
              <w:rPr>
                <w:rFonts w:ascii="Times New Roman" w:hAnsi="Times New Roman" w:cs="Times New Roman"/>
              </w:rPr>
            </w:pPr>
            <w:r>
              <w:rPr>
                <w:rFonts w:ascii="Times New Roman" w:hAnsi="Times New Roman" w:cs="Times New Roman"/>
              </w:rPr>
              <w:t>7,105</w:t>
            </w:r>
          </w:p>
        </w:tc>
        <w:tc>
          <w:tcPr>
            <w:tcW w:w="1340" w:type="dxa"/>
            <w:tcBorders>
              <w:bottom w:val="single" w:sz="8" w:space="0" w:color="000000"/>
            </w:tcBorders>
            <w:vAlign w:val="center"/>
          </w:tcPr>
          <w:p w:rsidR="00200686" w:rsidRPr="00BF4D0A" w:rsidP="00B87FD9" w14:paraId="695C3085" w14:textId="77777777">
            <w:pPr>
              <w:spacing w:after="0" w:line="240" w:lineRule="auto"/>
              <w:ind w:left="84" w:right="55"/>
              <w:jc w:val="center"/>
              <w:rPr>
                <w:rFonts w:ascii="Times New Roman" w:hAnsi="Times New Roman" w:cs="Times New Roman"/>
              </w:rPr>
            </w:pPr>
            <w:r w:rsidRPr="00BF4D0A">
              <w:rPr>
                <w:rFonts w:ascii="Times New Roman" w:hAnsi="Times New Roman" w:cs="Times New Roman"/>
                <w:color w:val="000000"/>
              </w:rPr>
              <w:t>$</w:t>
            </w:r>
            <w:r w:rsidR="00077CF8">
              <w:rPr>
                <w:rFonts w:ascii="Times New Roman" w:hAnsi="Times New Roman" w:cs="Times New Roman"/>
                <w:color w:val="000000"/>
              </w:rPr>
              <w:t>195,417</w:t>
            </w:r>
          </w:p>
        </w:tc>
      </w:tr>
      <w:tr w14:paraId="3B21DDEE" w14:textId="77777777" w:rsidTr="00777E45">
        <w:tblPrEx>
          <w:tblW w:w="0" w:type="auto"/>
          <w:jc w:val="center"/>
          <w:tblLayout w:type="fixed"/>
          <w:tblCellMar>
            <w:left w:w="0" w:type="dxa"/>
            <w:right w:w="0" w:type="dxa"/>
          </w:tblCellMar>
          <w:tblLook w:val="01E0"/>
        </w:tblPrEx>
        <w:trPr>
          <w:trHeight w:val="282"/>
          <w:jc w:val="center"/>
        </w:trPr>
        <w:tc>
          <w:tcPr>
            <w:tcW w:w="3492" w:type="dxa"/>
            <w:tcBorders>
              <w:bottom w:val="single" w:sz="8" w:space="0" w:color="000000"/>
            </w:tcBorders>
            <w:vAlign w:val="center"/>
          </w:tcPr>
          <w:p w:rsidR="00200686" w:rsidRPr="00BF4D0A" w:rsidP="00B87FD9" w14:paraId="6D2F602F" w14:textId="77777777">
            <w:pPr>
              <w:spacing w:after="0" w:line="240" w:lineRule="auto"/>
              <w:ind w:left="112"/>
              <w:rPr>
                <w:rFonts w:ascii="Times New Roman" w:hAnsi="Times New Roman" w:cs="Times New Roman"/>
                <w:b/>
              </w:rPr>
            </w:pPr>
            <w:r w:rsidRPr="00BF4D0A">
              <w:rPr>
                <w:rFonts w:ascii="Times New Roman" w:hAnsi="Times New Roman" w:cs="Times New Roman"/>
                <w:b/>
              </w:rPr>
              <w:t>Total</w:t>
            </w:r>
          </w:p>
        </w:tc>
        <w:tc>
          <w:tcPr>
            <w:tcW w:w="1170" w:type="dxa"/>
            <w:tcBorders>
              <w:bottom w:val="single" w:sz="8" w:space="0" w:color="000000"/>
            </w:tcBorders>
            <w:vAlign w:val="center"/>
          </w:tcPr>
          <w:p w:rsidR="00200686" w:rsidRPr="00BF4D0A" w:rsidP="00B87FD9" w14:paraId="4D89D180" w14:textId="77777777">
            <w:pPr>
              <w:spacing w:after="0" w:line="240" w:lineRule="auto"/>
              <w:ind w:left="93" w:right="62"/>
              <w:jc w:val="center"/>
              <w:rPr>
                <w:rFonts w:ascii="Times New Roman" w:hAnsi="Times New Roman" w:cs="Times New Roman"/>
                <w:b/>
              </w:rPr>
            </w:pPr>
          </w:p>
        </w:tc>
        <w:tc>
          <w:tcPr>
            <w:tcW w:w="910" w:type="dxa"/>
            <w:tcBorders>
              <w:bottom w:val="single" w:sz="8" w:space="0" w:color="000000"/>
            </w:tcBorders>
            <w:vAlign w:val="center"/>
          </w:tcPr>
          <w:p w:rsidR="00200686" w:rsidRPr="00BF4D0A" w:rsidP="00777E45" w14:paraId="3B370107" w14:textId="77777777">
            <w:pPr>
              <w:spacing w:after="0" w:line="240" w:lineRule="auto"/>
              <w:ind w:left="292"/>
              <w:jc w:val="center"/>
              <w:rPr>
                <w:rFonts w:ascii="Times New Roman" w:hAnsi="Times New Roman" w:cs="Times New Roman"/>
                <w:b/>
              </w:rPr>
            </w:pPr>
          </w:p>
        </w:tc>
        <w:tc>
          <w:tcPr>
            <w:tcW w:w="1080" w:type="dxa"/>
            <w:tcBorders>
              <w:bottom w:val="single" w:sz="8" w:space="0" w:color="000000"/>
            </w:tcBorders>
            <w:vAlign w:val="center"/>
          </w:tcPr>
          <w:p w:rsidR="00200686" w:rsidRPr="00BF4D0A" w:rsidP="00B87FD9" w14:paraId="482F481A" w14:textId="77777777">
            <w:pPr>
              <w:spacing w:after="0" w:line="240" w:lineRule="auto"/>
              <w:ind w:left="98" w:right="69"/>
              <w:jc w:val="center"/>
              <w:rPr>
                <w:rFonts w:ascii="Times New Roman" w:hAnsi="Times New Roman" w:cs="Times New Roman"/>
                <w:b/>
              </w:rPr>
            </w:pPr>
            <w:r w:rsidRPr="00BF4D0A">
              <w:rPr>
                <w:rFonts w:ascii="Times New Roman" w:hAnsi="Times New Roman" w:cs="Times New Roman"/>
                <w:b/>
              </w:rPr>
              <w:t>7,105</w:t>
            </w:r>
          </w:p>
        </w:tc>
        <w:tc>
          <w:tcPr>
            <w:tcW w:w="1340" w:type="dxa"/>
            <w:tcBorders>
              <w:bottom w:val="single" w:sz="8" w:space="0" w:color="000000"/>
            </w:tcBorders>
            <w:vAlign w:val="center"/>
          </w:tcPr>
          <w:p w:rsidR="00200686" w:rsidRPr="00BF4D0A" w:rsidP="00B87FD9" w14:paraId="58EDF020" w14:textId="77777777">
            <w:pPr>
              <w:spacing w:after="0" w:line="240" w:lineRule="auto"/>
              <w:ind w:left="84" w:right="55"/>
              <w:jc w:val="center"/>
              <w:rPr>
                <w:rFonts w:ascii="Times New Roman" w:hAnsi="Times New Roman" w:cs="Times New Roman"/>
                <w:b/>
              </w:rPr>
            </w:pPr>
            <w:r w:rsidRPr="00BF4D0A">
              <w:rPr>
                <w:rFonts w:ascii="Times New Roman" w:hAnsi="Times New Roman" w:cs="Times New Roman"/>
                <w:color w:val="000000"/>
              </w:rPr>
              <w:t>$</w:t>
            </w:r>
            <w:r w:rsidR="004F2B44">
              <w:rPr>
                <w:rFonts w:ascii="Times New Roman" w:hAnsi="Times New Roman" w:cs="Times New Roman"/>
                <w:color w:val="000000"/>
              </w:rPr>
              <w:t>10,039,512</w:t>
            </w:r>
          </w:p>
        </w:tc>
      </w:tr>
      <w:tr w14:paraId="01FFDAA0" w14:textId="77777777" w:rsidTr="00777E45">
        <w:tblPrEx>
          <w:tblW w:w="0" w:type="auto"/>
          <w:jc w:val="center"/>
          <w:tblLayout w:type="fixed"/>
          <w:tblCellMar>
            <w:left w:w="0" w:type="dxa"/>
            <w:right w:w="0" w:type="dxa"/>
          </w:tblCellMar>
          <w:tblLook w:val="01E0"/>
        </w:tblPrEx>
        <w:trPr>
          <w:trHeight w:val="282"/>
          <w:jc w:val="center"/>
        </w:trPr>
        <w:tc>
          <w:tcPr>
            <w:tcW w:w="3492" w:type="dxa"/>
            <w:tcBorders>
              <w:top w:val="single" w:sz="8" w:space="0" w:color="000000"/>
            </w:tcBorders>
            <w:vAlign w:val="center"/>
          </w:tcPr>
          <w:p w:rsidR="00200686" w:rsidRPr="00BF4D0A" w:rsidP="00B87FD9" w14:paraId="1D4BD94A" w14:textId="77777777">
            <w:pPr>
              <w:keepNext/>
              <w:spacing w:after="0" w:line="240" w:lineRule="auto"/>
              <w:ind w:left="1318" w:right="177" w:hanging="1243"/>
              <w:jc w:val="center"/>
              <w:rPr>
                <w:rFonts w:ascii="Times New Roman" w:hAnsi="Times New Roman" w:cs="Times New Roman"/>
                <w:b/>
              </w:rPr>
            </w:pPr>
            <w:r w:rsidRPr="00BF4D0A">
              <w:rPr>
                <w:rFonts w:ascii="Times New Roman" w:hAnsi="Times New Roman" w:cs="Times New Roman"/>
                <w:b/>
              </w:rPr>
              <w:t>Grand Total</w:t>
            </w:r>
          </w:p>
        </w:tc>
        <w:tc>
          <w:tcPr>
            <w:tcW w:w="1170" w:type="dxa"/>
            <w:tcBorders>
              <w:top w:val="single" w:sz="8" w:space="0" w:color="000000"/>
            </w:tcBorders>
            <w:vAlign w:val="center"/>
          </w:tcPr>
          <w:p w:rsidR="00200686" w:rsidRPr="00BF4D0A" w:rsidP="00B87FD9" w14:paraId="01DBBFF5" w14:textId="77777777">
            <w:pPr>
              <w:keepNext/>
              <w:spacing w:after="0" w:line="240" w:lineRule="auto"/>
              <w:jc w:val="center"/>
              <w:rPr>
                <w:rFonts w:ascii="Times New Roman" w:hAnsi="Times New Roman" w:cs="Times New Roman"/>
              </w:rPr>
            </w:pPr>
          </w:p>
        </w:tc>
        <w:tc>
          <w:tcPr>
            <w:tcW w:w="910" w:type="dxa"/>
            <w:tcBorders>
              <w:top w:val="single" w:sz="8" w:space="0" w:color="000000"/>
            </w:tcBorders>
            <w:vAlign w:val="center"/>
          </w:tcPr>
          <w:p w:rsidR="00200686" w:rsidRPr="00BF4D0A" w:rsidP="00777E45" w14:paraId="665FC5D6" w14:textId="77777777">
            <w:pPr>
              <w:keepNext/>
              <w:spacing w:after="0" w:line="240" w:lineRule="auto"/>
              <w:jc w:val="center"/>
              <w:rPr>
                <w:rFonts w:ascii="Times New Roman" w:hAnsi="Times New Roman" w:cs="Times New Roman"/>
              </w:rPr>
            </w:pPr>
          </w:p>
        </w:tc>
        <w:tc>
          <w:tcPr>
            <w:tcW w:w="1080" w:type="dxa"/>
            <w:tcBorders>
              <w:top w:val="single" w:sz="8" w:space="0" w:color="000000"/>
            </w:tcBorders>
            <w:vAlign w:val="center"/>
          </w:tcPr>
          <w:p w:rsidR="00200686" w:rsidRPr="00BF4D0A" w:rsidP="00B87FD9" w14:paraId="0335868E" w14:textId="77777777">
            <w:pPr>
              <w:keepNext/>
              <w:spacing w:after="0" w:line="240" w:lineRule="auto"/>
              <w:ind w:left="90" w:right="76"/>
              <w:jc w:val="center"/>
              <w:rPr>
                <w:rFonts w:ascii="Times New Roman" w:hAnsi="Times New Roman" w:cs="Times New Roman"/>
                <w:b/>
              </w:rPr>
            </w:pPr>
            <w:r w:rsidRPr="00BF4D0A">
              <w:rPr>
                <w:rFonts w:ascii="Times New Roman" w:hAnsi="Times New Roman" w:cs="Times New Roman"/>
                <w:b/>
              </w:rPr>
              <w:t>11,080</w:t>
            </w:r>
          </w:p>
        </w:tc>
        <w:tc>
          <w:tcPr>
            <w:tcW w:w="1340" w:type="dxa"/>
            <w:tcBorders>
              <w:top w:val="single" w:sz="8" w:space="0" w:color="000000"/>
            </w:tcBorders>
            <w:vAlign w:val="center"/>
          </w:tcPr>
          <w:p w:rsidR="00200686" w:rsidRPr="00BF4D0A" w:rsidP="00B87FD9" w14:paraId="3777979B" w14:textId="77777777">
            <w:pPr>
              <w:keepNext/>
              <w:spacing w:after="0" w:line="240" w:lineRule="auto"/>
              <w:ind w:right="55"/>
              <w:jc w:val="center"/>
              <w:rPr>
                <w:rFonts w:ascii="Times New Roman" w:hAnsi="Times New Roman" w:cs="Times New Roman"/>
                <w:b/>
              </w:rPr>
            </w:pPr>
            <w:r w:rsidRPr="00BF4D0A">
              <w:rPr>
                <w:rFonts w:ascii="Times New Roman" w:hAnsi="Times New Roman" w:cs="Times New Roman"/>
                <w:b/>
                <w:color w:val="000000"/>
              </w:rPr>
              <w:t>$</w:t>
            </w:r>
            <w:r w:rsidR="00C37442">
              <w:rPr>
                <w:rFonts w:ascii="Times New Roman" w:hAnsi="Times New Roman" w:cs="Times New Roman"/>
                <w:b/>
                <w:color w:val="000000"/>
              </w:rPr>
              <w:t>11,473,158</w:t>
            </w:r>
          </w:p>
        </w:tc>
      </w:tr>
    </w:tbl>
    <w:p w:rsidR="00200686" w:rsidRPr="00E707DE" w:rsidP="00576F93" w14:paraId="4F72D0EA" w14:textId="77777777">
      <w:pPr>
        <w:keepNext/>
        <w:spacing w:after="0" w:line="240" w:lineRule="auto"/>
        <w:ind w:left="640"/>
        <w:rPr>
          <w:rFonts w:ascii="Times New Roman" w:hAnsi="Times New Roman" w:cs="Times New Roman"/>
          <w:sz w:val="18"/>
          <w:szCs w:val="18"/>
        </w:rPr>
      </w:pPr>
      <w:r w:rsidRPr="00E707DE">
        <w:rPr>
          <w:rFonts w:ascii="Times New Roman" w:hAnsi="Times New Roman" w:cs="Times New Roman"/>
          <w:w w:val="105"/>
          <w:position w:val="6"/>
          <w:sz w:val="18"/>
          <w:szCs w:val="18"/>
        </w:rPr>
        <w:t>*</w:t>
      </w:r>
      <w:r w:rsidRPr="00E707DE">
        <w:rPr>
          <w:rFonts w:ascii="Times New Roman" w:hAnsi="Times New Roman" w:cs="Times New Roman"/>
          <w:w w:val="105"/>
          <w:sz w:val="18"/>
          <w:szCs w:val="18"/>
        </w:rPr>
        <w:t>Totals may not sum due to rounding</w:t>
      </w:r>
      <w:r w:rsidRPr="00E707DE" w:rsidR="003D22EF">
        <w:rPr>
          <w:rFonts w:ascii="Times New Roman" w:hAnsi="Times New Roman" w:cs="Times New Roman"/>
          <w:w w:val="105"/>
          <w:sz w:val="18"/>
          <w:szCs w:val="18"/>
        </w:rPr>
        <w:t>.</w:t>
      </w:r>
      <w:r w:rsidRPr="00E707DE" w:rsidR="00FE3FC0">
        <w:rPr>
          <w:rFonts w:ascii="Times New Roman" w:hAnsi="Times New Roman" w:cs="Times New Roman"/>
          <w:w w:val="105"/>
          <w:sz w:val="18"/>
          <w:szCs w:val="18"/>
        </w:rPr>
        <w:t xml:space="preserve"> The “</w:t>
      </w:r>
      <w:r w:rsidRPr="00E707DE" w:rsidR="004F4B09">
        <w:rPr>
          <w:rFonts w:ascii="Times New Roman" w:hAnsi="Times New Roman" w:cs="Times New Roman"/>
          <w:w w:val="105"/>
          <w:sz w:val="18"/>
          <w:szCs w:val="18"/>
        </w:rPr>
        <w:t>Facilities</w:t>
      </w:r>
      <w:r w:rsidRPr="00E707DE" w:rsidR="00FE3FC0">
        <w:rPr>
          <w:rFonts w:ascii="Times New Roman" w:hAnsi="Times New Roman" w:cs="Times New Roman"/>
          <w:w w:val="105"/>
          <w:sz w:val="18"/>
          <w:szCs w:val="18"/>
        </w:rPr>
        <w:t xml:space="preserve">” column reflects the number of facilities except </w:t>
      </w:r>
      <w:r w:rsidRPr="00E707DE" w:rsidR="0014003A">
        <w:rPr>
          <w:rFonts w:ascii="Times New Roman" w:hAnsi="Times New Roman" w:cs="Times New Roman"/>
          <w:w w:val="105"/>
          <w:sz w:val="18"/>
          <w:szCs w:val="18"/>
        </w:rPr>
        <w:t>for the “Trained Employees” rows</w:t>
      </w:r>
      <w:r w:rsidRPr="00E707DE" w:rsidR="00EC6566">
        <w:rPr>
          <w:rFonts w:ascii="Times New Roman" w:hAnsi="Times New Roman" w:cs="Times New Roman"/>
          <w:w w:val="105"/>
          <w:sz w:val="18"/>
          <w:szCs w:val="18"/>
        </w:rPr>
        <w:t xml:space="preserve"> where it reflects the number of trained employees.</w:t>
      </w:r>
    </w:p>
    <w:p w:rsidR="00435210" w:rsidP="00CA3D57" w14:paraId="02C581F9" w14:textId="77777777">
      <w:pPr>
        <w:spacing w:after="0" w:line="240" w:lineRule="auto"/>
        <w:ind w:firstLine="360"/>
        <w:rPr>
          <w:rFonts w:ascii="Times New Roman" w:hAnsi="Times New Roman" w:cs="Times New Roman"/>
        </w:rPr>
      </w:pPr>
    </w:p>
    <w:p w:rsidR="00C10DD0" w:rsidRPr="00720AAA" w:rsidP="00720AAA" w14:paraId="6E17D338" w14:textId="77777777">
      <w:pPr>
        <w:pStyle w:val="Heading3"/>
        <w:rPr>
          <w:rFonts w:ascii="Times New Roman" w:hAnsi="Times New Roman" w:cs="Times New Roman"/>
          <w:sz w:val="22"/>
          <w:szCs w:val="22"/>
        </w:rPr>
      </w:pPr>
      <w:bookmarkStart w:id="285" w:name="_Toc101350551"/>
      <w:bookmarkStart w:id="286" w:name="_Toc101350900"/>
      <w:bookmarkStart w:id="287" w:name="_Toc101351041"/>
      <w:bookmarkStart w:id="288" w:name="_Toc101351355"/>
      <w:bookmarkStart w:id="289" w:name="_Toc141732954"/>
      <w:bookmarkStart w:id="290" w:name="_Toc141733165"/>
      <w:bookmarkStart w:id="291" w:name="_Toc142404069"/>
      <w:bookmarkStart w:id="292" w:name="_Toc144213877"/>
      <w:bookmarkStart w:id="293" w:name="_Toc144283622"/>
      <w:bookmarkStart w:id="294" w:name="_Toc144303560"/>
      <w:r w:rsidRPr="00720AAA">
        <w:rPr>
          <w:rFonts w:ascii="Times New Roman" w:hAnsi="Times New Roman" w:cs="Times New Roman"/>
          <w:sz w:val="22"/>
          <w:szCs w:val="22"/>
        </w:rPr>
        <w:t>5.3.6 Emergency Backup Power for Perimeter Monitors</w:t>
      </w:r>
      <w:bookmarkEnd w:id="285"/>
      <w:bookmarkEnd w:id="286"/>
      <w:bookmarkEnd w:id="287"/>
      <w:bookmarkEnd w:id="288"/>
      <w:bookmarkEnd w:id="289"/>
      <w:bookmarkEnd w:id="290"/>
      <w:bookmarkEnd w:id="291"/>
      <w:bookmarkEnd w:id="292"/>
      <w:bookmarkEnd w:id="293"/>
      <w:bookmarkEnd w:id="294"/>
    </w:p>
    <w:p w:rsidR="00C10DD0" w:rsidRPr="00142C57" w:rsidP="00813745" w14:paraId="230EFA2B" w14:textId="77777777">
      <w:pPr>
        <w:pStyle w:val="ListParagraph"/>
        <w:spacing w:after="0" w:line="240" w:lineRule="auto"/>
        <w:ind w:left="0" w:firstLine="360"/>
        <w:rPr>
          <w:rFonts w:ascii="Times New Roman" w:hAnsi="Times New Roman" w:cs="Times New Roman"/>
        </w:rPr>
      </w:pPr>
      <w:r w:rsidRPr="00142C57">
        <w:rPr>
          <w:rFonts w:ascii="Times New Roman" w:hAnsi="Times New Roman" w:cs="Times New Roman"/>
        </w:rPr>
        <w:tab/>
        <w:t xml:space="preserve">The </w:t>
      </w:r>
      <w:r w:rsidR="00185112">
        <w:rPr>
          <w:rFonts w:ascii="Times New Roman" w:hAnsi="Times New Roman" w:cs="Times New Roman"/>
        </w:rPr>
        <w:t>final</w:t>
      </w:r>
      <w:r w:rsidRPr="00142C57">
        <w:rPr>
          <w:rFonts w:ascii="Times New Roman" w:hAnsi="Times New Roman" w:cs="Times New Roman"/>
        </w:rPr>
        <w:t xml:space="preserve"> rule’s backup power provision </w:t>
      </w:r>
      <w:r w:rsidR="009449B7">
        <w:rPr>
          <w:rFonts w:ascii="Times New Roman" w:hAnsi="Times New Roman" w:cs="Times New Roman"/>
        </w:rPr>
        <w:t>will</w:t>
      </w:r>
      <w:r w:rsidRPr="00142C57">
        <w:rPr>
          <w:rFonts w:ascii="Times New Roman" w:hAnsi="Times New Roman" w:cs="Times New Roman"/>
        </w:rPr>
        <w:t xml:space="preserve"> require facilities with processes that have perimeter monitors and have identified power loss as a major hazard to implement emergency backup power for their perimeter monitors. Among these facilities, those that have not yet implemented emergency backup power will incur a cost to purchase and install a backup generator for their perimeter monitors. EPA assumes the life of the backup generator to be </w:t>
      </w:r>
      <w:r w:rsidR="005F511A">
        <w:rPr>
          <w:rFonts w:ascii="Times New Roman" w:hAnsi="Times New Roman" w:cs="Times New Roman"/>
        </w:rPr>
        <w:t>five years</w:t>
      </w:r>
      <w:r w:rsidR="00B44C88">
        <w:rPr>
          <w:rFonts w:ascii="Times New Roman" w:hAnsi="Times New Roman" w:cs="Times New Roman"/>
        </w:rPr>
        <w:t>. EPA makes the conservative assumption that facilities will pay for the backup generator in a lump</w:t>
      </w:r>
      <w:r w:rsidR="00EB042B">
        <w:rPr>
          <w:rFonts w:ascii="Times New Roman" w:hAnsi="Times New Roman" w:cs="Times New Roman"/>
        </w:rPr>
        <w:t xml:space="preserve"> </w:t>
      </w:r>
      <w:r w:rsidR="00B44C88">
        <w:rPr>
          <w:rFonts w:ascii="Times New Roman" w:hAnsi="Times New Roman" w:cs="Times New Roman"/>
        </w:rPr>
        <w:t xml:space="preserve">sum </w:t>
      </w:r>
      <w:r w:rsidR="00F97414">
        <w:rPr>
          <w:rFonts w:ascii="Times New Roman" w:hAnsi="Times New Roman" w:cs="Times New Roman"/>
        </w:rPr>
        <w:t>every five years</w:t>
      </w:r>
      <w:r w:rsidRPr="00142C57">
        <w:rPr>
          <w:rFonts w:ascii="Times New Roman" w:hAnsi="Times New Roman" w:cs="Times New Roman"/>
        </w:rPr>
        <w:t xml:space="preserve">. </w:t>
      </w:r>
      <w:r w:rsidR="00974ECD">
        <w:rPr>
          <w:rFonts w:ascii="Times New Roman" w:hAnsi="Times New Roman" w:cs="Times New Roman"/>
        </w:rPr>
        <w:t xml:space="preserve">EPA </w:t>
      </w:r>
      <w:r w:rsidR="00771578">
        <w:rPr>
          <w:rFonts w:ascii="Times New Roman" w:hAnsi="Times New Roman" w:cs="Times New Roman"/>
        </w:rPr>
        <w:t>estimates</w:t>
      </w:r>
      <w:r w:rsidR="00974ECD">
        <w:rPr>
          <w:rFonts w:ascii="Times New Roman" w:hAnsi="Times New Roman" w:cs="Times New Roman"/>
        </w:rPr>
        <w:t xml:space="preserve"> 392 facilities must implement </w:t>
      </w:r>
      <w:r w:rsidR="00771578">
        <w:rPr>
          <w:rFonts w:ascii="Times New Roman" w:hAnsi="Times New Roman" w:cs="Times New Roman"/>
        </w:rPr>
        <w:t xml:space="preserve">backup power </w:t>
      </w:r>
      <w:r w:rsidR="00E82A4A">
        <w:rPr>
          <w:rFonts w:ascii="Times New Roman" w:hAnsi="Times New Roman" w:cs="Times New Roman"/>
        </w:rPr>
        <w:t xml:space="preserve">for perimeter monitoring </w:t>
      </w:r>
      <w:r w:rsidR="00771578">
        <w:rPr>
          <w:rFonts w:ascii="Times New Roman" w:hAnsi="Times New Roman" w:cs="Times New Roman"/>
        </w:rPr>
        <w:t xml:space="preserve">by counting the number of </w:t>
      </w:r>
      <w:r w:rsidR="00FF2DE1">
        <w:rPr>
          <w:rFonts w:ascii="Times New Roman" w:hAnsi="Times New Roman" w:cs="Times New Roman"/>
        </w:rPr>
        <w:t xml:space="preserve">active </w:t>
      </w:r>
      <w:r w:rsidR="009853D1">
        <w:rPr>
          <w:rFonts w:ascii="Times New Roman" w:hAnsi="Times New Roman" w:cs="Times New Roman"/>
        </w:rPr>
        <w:t>Program 2 and 3</w:t>
      </w:r>
      <w:r w:rsidR="00771578">
        <w:rPr>
          <w:rFonts w:ascii="Times New Roman" w:hAnsi="Times New Roman" w:cs="Times New Roman"/>
        </w:rPr>
        <w:t xml:space="preserve"> facilities</w:t>
      </w:r>
      <w:r w:rsidR="00305BDF">
        <w:rPr>
          <w:rFonts w:ascii="Times New Roman" w:hAnsi="Times New Roman" w:cs="Times New Roman"/>
        </w:rPr>
        <w:t xml:space="preserve"> </w:t>
      </w:r>
      <w:r w:rsidR="001F7A03">
        <w:rPr>
          <w:rFonts w:ascii="Times New Roman" w:hAnsi="Times New Roman" w:cs="Times New Roman"/>
        </w:rPr>
        <w:t xml:space="preserve">in the RMP database </w:t>
      </w:r>
      <w:r w:rsidR="00C96649">
        <w:rPr>
          <w:rFonts w:ascii="Times New Roman" w:hAnsi="Times New Roman" w:cs="Times New Roman"/>
        </w:rPr>
        <w:t xml:space="preserve">(as of 31 December 2020) </w:t>
      </w:r>
      <w:r w:rsidR="00BD7D69">
        <w:rPr>
          <w:rFonts w:ascii="Times New Roman" w:hAnsi="Times New Roman" w:cs="Times New Roman"/>
        </w:rPr>
        <w:t>that</w:t>
      </w:r>
      <w:r w:rsidR="00341AC1">
        <w:rPr>
          <w:rFonts w:ascii="Times New Roman" w:hAnsi="Times New Roman" w:cs="Times New Roman"/>
        </w:rPr>
        <w:t xml:space="preserve"> report </w:t>
      </w:r>
      <w:r w:rsidR="00BD7D69">
        <w:rPr>
          <w:rFonts w:ascii="Times New Roman" w:hAnsi="Times New Roman" w:cs="Times New Roman"/>
        </w:rPr>
        <w:t xml:space="preserve">having perimeter monitors, </w:t>
      </w:r>
      <w:r w:rsidR="00341AC1">
        <w:rPr>
          <w:rFonts w:ascii="Times New Roman" w:hAnsi="Times New Roman" w:cs="Times New Roman"/>
        </w:rPr>
        <w:t>a cooling loss hazard</w:t>
      </w:r>
      <w:r w:rsidR="00206ADD">
        <w:rPr>
          <w:rFonts w:ascii="Times New Roman" w:hAnsi="Times New Roman" w:cs="Times New Roman"/>
        </w:rPr>
        <w:t xml:space="preserve"> (</w:t>
      </w:r>
      <w:r w:rsidR="00373029">
        <w:rPr>
          <w:rFonts w:ascii="Times New Roman" w:hAnsi="Times New Roman" w:cs="Times New Roman"/>
        </w:rPr>
        <w:t>as a proxy for power loss being a major hazard)</w:t>
      </w:r>
      <w:r w:rsidR="002C672E">
        <w:rPr>
          <w:rFonts w:ascii="Times New Roman" w:hAnsi="Times New Roman" w:cs="Times New Roman"/>
        </w:rPr>
        <w:t>, and no backup power.</w:t>
      </w:r>
      <w:r w:rsidR="00771578">
        <w:rPr>
          <w:rFonts w:ascii="Times New Roman" w:hAnsi="Times New Roman" w:cs="Times New Roman"/>
        </w:rPr>
        <w:t xml:space="preserve"> </w:t>
      </w:r>
      <w:r w:rsidRPr="00142C57">
        <w:rPr>
          <w:rFonts w:ascii="Times New Roman" w:hAnsi="Times New Roman" w:cs="Times New Roman"/>
        </w:rPr>
        <w:t>Exhibit 5-</w:t>
      </w:r>
      <w:r w:rsidR="00CC3094">
        <w:rPr>
          <w:rFonts w:ascii="Times New Roman" w:hAnsi="Times New Roman" w:cs="Times New Roman"/>
        </w:rPr>
        <w:t>9</w:t>
      </w:r>
      <w:r w:rsidRPr="00142C57">
        <w:rPr>
          <w:rFonts w:ascii="Times New Roman" w:hAnsi="Times New Roman" w:cs="Times New Roman"/>
        </w:rPr>
        <w:t xml:space="preserve"> presents the </w:t>
      </w:r>
      <w:r w:rsidR="00294CA9">
        <w:rPr>
          <w:rFonts w:ascii="Times New Roman" w:hAnsi="Times New Roman" w:cs="Times New Roman"/>
        </w:rPr>
        <w:t xml:space="preserve">estimated </w:t>
      </w:r>
      <w:r w:rsidRPr="00142C57">
        <w:rPr>
          <w:rFonts w:ascii="Times New Roman" w:hAnsi="Times New Roman" w:cs="Times New Roman"/>
        </w:rPr>
        <w:t>costs for the provision.</w:t>
      </w:r>
      <w:r>
        <w:br/>
      </w:r>
    </w:p>
    <w:p w:rsidR="00C10DD0" w:rsidP="00C10DD0" w14:paraId="10A0008A" w14:textId="77777777">
      <w:pPr>
        <w:pStyle w:val="Caption"/>
        <w:spacing w:after="0"/>
        <w:ind w:left="1080"/>
        <w:jc w:val="center"/>
        <w:rPr>
          <w:rFonts w:ascii="Times New Roman" w:hAnsi="Times New Roman" w:cs="Times New Roman"/>
          <w:b/>
          <w:bCs/>
          <w:i w:val="0"/>
          <w:iCs w:val="0"/>
          <w:color w:val="auto"/>
          <w:sz w:val="22"/>
          <w:szCs w:val="22"/>
        </w:rPr>
      </w:pPr>
      <w:r w:rsidRPr="00576F93">
        <w:rPr>
          <w:rFonts w:ascii="Times New Roman" w:hAnsi="Times New Roman" w:cs="Times New Roman"/>
          <w:b/>
          <w:bCs/>
          <w:i w:val="0"/>
          <w:iCs w:val="0"/>
          <w:color w:val="auto"/>
          <w:sz w:val="22"/>
          <w:szCs w:val="22"/>
        </w:rPr>
        <w:t>Exhibit 5-</w:t>
      </w:r>
      <w:r w:rsidR="00CC3094">
        <w:rPr>
          <w:rFonts w:ascii="Times New Roman" w:hAnsi="Times New Roman" w:cs="Times New Roman"/>
          <w:b/>
          <w:bCs/>
          <w:i w:val="0"/>
          <w:iCs w:val="0"/>
          <w:color w:val="auto"/>
          <w:sz w:val="22"/>
          <w:szCs w:val="22"/>
        </w:rPr>
        <w:t>9</w:t>
      </w:r>
      <w:r w:rsidRPr="00576F93">
        <w:rPr>
          <w:rFonts w:ascii="Times New Roman" w:hAnsi="Times New Roman" w:cs="Times New Roman"/>
          <w:b/>
          <w:bCs/>
          <w:i w:val="0"/>
          <w:iCs w:val="0"/>
          <w:color w:val="auto"/>
          <w:sz w:val="22"/>
          <w:szCs w:val="22"/>
        </w:rPr>
        <w:t xml:space="preserve">: Total Undiscounted Costs for Backup Generator for Perimeter Monitors </w:t>
      </w:r>
    </w:p>
    <w:p w:rsidR="00C10DD0" w:rsidP="00C10DD0" w14:paraId="65417B75" w14:textId="77777777">
      <w:pPr>
        <w:pStyle w:val="Caption"/>
        <w:spacing w:after="0"/>
        <w:ind w:left="1080"/>
        <w:jc w:val="center"/>
        <w:rPr>
          <w:rFonts w:ascii="Times New Roman" w:hAnsi="Times New Roman" w:cs="Times New Roman"/>
          <w:b/>
          <w:bCs/>
          <w:i w:val="0"/>
          <w:iCs w:val="0"/>
          <w:color w:val="auto"/>
          <w:sz w:val="22"/>
          <w:szCs w:val="22"/>
        </w:rPr>
      </w:pPr>
      <w:r w:rsidRPr="00576F93">
        <w:rPr>
          <w:rFonts w:ascii="Times New Roman" w:hAnsi="Times New Roman" w:cs="Times New Roman"/>
          <w:b/>
          <w:bCs/>
          <w:i w:val="0"/>
          <w:iCs w:val="0"/>
          <w:color w:val="auto"/>
          <w:sz w:val="22"/>
          <w:szCs w:val="22"/>
        </w:rPr>
        <w:t xml:space="preserve">at Facilities with a Process that has a Perimeter Monitor and Power Loss Hazard </w:t>
      </w:r>
    </w:p>
    <w:p w:rsidR="00C10DD0" w:rsidRPr="00CA6523" w:rsidP="00CA6523" w14:paraId="1C2A22BB" w14:textId="77777777">
      <w:pPr>
        <w:pStyle w:val="Caption"/>
        <w:spacing w:after="120"/>
        <w:ind w:left="1080"/>
        <w:jc w:val="center"/>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t>without</w:t>
      </w:r>
      <w:r w:rsidRPr="00576F93">
        <w:rPr>
          <w:rFonts w:ascii="Times New Roman" w:hAnsi="Times New Roman" w:cs="Times New Roman"/>
          <w:b/>
          <w:bCs/>
          <w:i w:val="0"/>
          <w:iCs w:val="0"/>
          <w:color w:val="auto"/>
          <w:sz w:val="22"/>
          <w:szCs w:val="22"/>
        </w:rPr>
        <w:t xml:space="preserve"> Backup Power (202</w:t>
      </w:r>
      <w:r w:rsidR="00545D41">
        <w:rPr>
          <w:rFonts w:ascii="Times New Roman" w:hAnsi="Times New Roman" w:cs="Times New Roman"/>
          <w:b/>
          <w:bCs/>
          <w:i w:val="0"/>
          <w:iCs w:val="0"/>
          <w:color w:val="auto"/>
          <w:sz w:val="22"/>
          <w:szCs w:val="22"/>
        </w:rPr>
        <w:t>2</w:t>
      </w:r>
      <w:r w:rsidRPr="00576F93">
        <w:rPr>
          <w:rFonts w:ascii="Times New Roman" w:hAnsi="Times New Roman" w:cs="Times New Roman"/>
          <w:b/>
          <w:bCs/>
          <w:i w:val="0"/>
          <w:iCs w:val="0"/>
          <w:color w:val="auto"/>
          <w:sz w:val="22"/>
          <w:szCs w:val="22"/>
        </w:rPr>
        <w:t xml:space="preserve"> Dollars).</w:t>
      </w:r>
    </w:p>
    <w:tbl>
      <w:tblPr>
        <w:tblW w:w="95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68"/>
        <w:gridCol w:w="1182"/>
        <w:gridCol w:w="900"/>
        <w:gridCol w:w="900"/>
        <w:gridCol w:w="900"/>
        <w:gridCol w:w="855"/>
        <w:gridCol w:w="855"/>
        <w:gridCol w:w="900"/>
        <w:gridCol w:w="900"/>
        <w:gridCol w:w="1100"/>
      </w:tblGrid>
      <w:tr w14:paraId="66EA2DDD" w14:textId="77777777" w:rsidTr="00D43808">
        <w:tblPrEx>
          <w:tblW w:w="95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gridAfter w:val="1"/>
          <w:wAfter w:w="1100" w:type="dxa"/>
          <w:trHeight w:val="525"/>
        </w:trPr>
        <w:tc>
          <w:tcPr>
            <w:tcW w:w="1068" w:type="dxa"/>
            <w:shd w:val="clear" w:color="auto" w:fill="DADADA"/>
            <w:vAlign w:val="center"/>
          </w:tcPr>
          <w:p w:rsidR="009041E5" w:rsidRPr="002529BD" w14:paraId="178310A4" w14:textId="77777777">
            <w:pPr>
              <w:keepNext/>
              <w:spacing w:after="0" w:line="240" w:lineRule="auto"/>
              <w:ind w:left="183" w:right="171"/>
              <w:jc w:val="center"/>
              <w:rPr>
                <w:rFonts w:ascii="Times New Roman" w:hAnsi="Times New Roman" w:cs="Times New Roman"/>
                <w:b/>
                <w:sz w:val="18"/>
                <w:szCs w:val="18"/>
              </w:rPr>
            </w:pPr>
            <w:r w:rsidRPr="002529BD">
              <w:rPr>
                <w:rFonts w:ascii="Times New Roman" w:hAnsi="Times New Roman" w:cs="Times New Roman"/>
                <w:b/>
                <w:sz w:val="18"/>
                <w:szCs w:val="18"/>
              </w:rPr>
              <w:t>Facility Type</w:t>
            </w:r>
          </w:p>
        </w:tc>
        <w:tc>
          <w:tcPr>
            <w:tcW w:w="1182" w:type="dxa"/>
            <w:shd w:val="clear" w:color="auto" w:fill="DADADA"/>
            <w:vAlign w:val="center"/>
          </w:tcPr>
          <w:p w:rsidR="009041E5" w:rsidRPr="002529BD" w14:paraId="1A22199B" w14:textId="77777777">
            <w:pPr>
              <w:keepNext/>
              <w:spacing w:after="0" w:line="240" w:lineRule="auto"/>
              <w:ind w:left="93" w:right="57"/>
              <w:jc w:val="center"/>
              <w:rPr>
                <w:rFonts w:ascii="Times New Roman" w:hAnsi="Times New Roman" w:cs="Times New Roman"/>
                <w:b/>
                <w:sz w:val="18"/>
                <w:szCs w:val="18"/>
              </w:rPr>
            </w:pPr>
            <w:r w:rsidRPr="002529BD">
              <w:rPr>
                <w:rFonts w:ascii="Times New Roman" w:hAnsi="Times New Roman" w:cs="Times New Roman"/>
                <w:b/>
                <w:sz w:val="18"/>
                <w:szCs w:val="18"/>
              </w:rPr>
              <w:t>Capital Cost Annual</w:t>
            </w:r>
          </w:p>
          <w:p w:rsidR="009041E5" w:rsidRPr="002529BD" w14:paraId="293D015D" w14:textId="77777777">
            <w:pPr>
              <w:keepNext/>
              <w:spacing w:after="0" w:line="240" w:lineRule="auto"/>
              <w:ind w:left="88" w:right="64"/>
              <w:jc w:val="center"/>
              <w:rPr>
                <w:rFonts w:ascii="Times New Roman" w:hAnsi="Times New Roman" w:cs="Times New Roman"/>
                <w:b/>
                <w:sz w:val="18"/>
                <w:szCs w:val="18"/>
              </w:rPr>
            </w:pPr>
            <w:r w:rsidRPr="002529BD">
              <w:rPr>
                <w:rFonts w:ascii="Times New Roman" w:hAnsi="Times New Roman" w:cs="Times New Roman"/>
                <w:b/>
                <w:sz w:val="18"/>
                <w:szCs w:val="18"/>
              </w:rPr>
              <w:t>Frequency</w:t>
            </w:r>
          </w:p>
        </w:tc>
        <w:tc>
          <w:tcPr>
            <w:tcW w:w="900" w:type="dxa"/>
            <w:vMerge w:val="restart"/>
            <w:shd w:val="clear" w:color="auto" w:fill="D9D9D9" w:themeFill="background1" w:themeFillShade="D9"/>
            <w:vAlign w:val="center"/>
          </w:tcPr>
          <w:p w:rsidR="009041E5" w:rsidRPr="002529BD" w14:paraId="246A0D27" w14:textId="77777777">
            <w:pPr>
              <w:keepNext/>
              <w:spacing w:after="0" w:line="240" w:lineRule="auto"/>
              <w:ind w:left="93"/>
              <w:jc w:val="center"/>
              <w:rPr>
                <w:rFonts w:ascii="Times New Roman" w:hAnsi="Times New Roman" w:cs="Times New Roman"/>
                <w:b/>
                <w:sz w:val="18"/>
                <w:szCs w:val="18"/>
              </w:rPr>
            </w:pPr>
            <w:r w:rsidRPr="002529BD">
              <w:rPr>
                <w:rFonts w:ascii="Times New Roman" w:hAnsi="Times New Roman" w:cs="Times New Roman"/>
                <w:b/>
                <w:sz w:val="18"/>
                <w:szCs w:val="18"/>
              </w:rPr>
              <w:t>Unit Capital Cost</w:t>
            </w:r>
          </w:p>
        </w:tc>
        <w:tc>
          <w:tcPr>
            <w:tcW w:w="900" w:type="dxa"/>
            <w:vMerge w:val="restart"/>
            <w:shd w:val="clear" w:color="auto" w:fill="D9D9D9" w:themeFill="background1" w:themeFillShade="D9"/>
            <w:vAlign w:val="center"/>
          </w:tcPr>
          <w:p w:rsidR="009041E5" w:rsidRPr="002529BD" w14:paraId="138745C5" w14:textId="77777777">
            <w:pPr>
              <w:keepNext/>
              <w:spacing w:after="0" w:line="240" w:lineRule="auto"/>
              <w:ind w:left="93"/>
              <w:jc w:val="center"/>
              <w:rPr>
                <w:rFonts w:ascii="Times New Roman" w:hAnsi="Times New Roman" w:cs="Times New Roman"/>
                <w:b/>
                <w:sz w:val="18"/>
                <w:szCs w:val="18"/>
              </w:rPr>
            </w:pPr>
            <w:r w:rsidRPr="002529BD">
              <w:rPr>
                <w:rFonts w:ascii="Times New Roman" w:hAnsi="Times New Roman" w:cs="Times New Roman"/>
                <w:b/>
                <w:sz w:val="18"/>
                <w:szCs w:val="18"/>
              </w:rPr>
              <w:t>Unit Recurring Cost</w:t>
            </w:r>
          </w:p>
        </w:tc>
        <w:tc>
          <w:tcPr>
            <w:tcW w:w="900" w:type="dxa"/>
            <w:vMerge w:val="restart"/>
            <w:shd w:val="clear" w:color="auto" w:fill="DADADA"/>
            <w:vAlign w:val="center"/>
          </w:tcPr>
          <w:p w:rsidR="009041E5" w:rsidRPr="002529BD" w14:paraId="478C5DAC" w14:textId="77777777">
            <w:pPr>
              <w:keepNext/>
              <w:spacing w:after="0" w:line="240" w:lineRule="auto"/>
              <w:ind w:left="98" w:right="76"/>
              <w:jc w:val="center"/>
              <w:rPr>
                <w:rFonts w:ascii="Times New Roman" w:hAnsi="Times New Roman" w:cs="Times New Roman"/>
                <w:b/>
                <w:sz w:val="18"/>
                <w:szCs w:val="18"/>
              </w:rPr>
            </w:pPr>
            <w:r w:rsidRPr="002529BD">
              <w:rPr>
                <w:rFonts w:ascii="Times New Roman" w:hAnsi="Times New Roman" w:cs="Times New Roman"/>
                <w:b/>
                <w:sz w:val="18"/>
                <w:szCs w:val="18"/>
              </w:rPr>
              <w:t>Facilities</w:t>
            </w:r>
          </w:p>
        </w:tc>
        <w:tc>
          <w:tcPr>
            <w:tcW w:w="3510" w:type="dxa"/>
            <w:gridSpan w:val="4"/>
            <w:shd w:val="clear" w:color="auto" w:fill="DADADA"/>
            <w:vAlign w:val="center"/>
          </w:tcPr>
          <w:p w:rsidR="009041E5" w:rsidRPr="002529BD" w14:paraId="6EF277C8" w14:textId="77777777">
            <w:pPr>
              <w:keepNext/>
              <w:spacing w:after="0" w:line="240" w:lineRule="auto"/>
              <w:ind w:left="91" w:right="55"/>
              <w:jc w:val="center"/>
              <w:rPr>
                <w:rFonts w:ascii="Times New Roman" w:hAnsi="Times New Roman" w:cs="Times New Roman"/>
                <w:b/>
                <w:sz w:val="18"/>
                <w:szCs w:val="18"/>
              </w:rPr>
            </w:pPr>
            <w:r w:rsidRPr="002529BD">
              <w:rPr>
                <w:rFonts w:ascii="Times New Roman" w:hAnsi="Times New Roman" w:cs="Times New Roman"/>
                <w:b/>
                <w:sz w:val="18"/>
                <w:szCs w:val="18"/>
              </w:rPr>
              <w:t>Total Annual</w:t>
            </w:r>
            <w:r>
              <w:rPr>
                <w:rFonts w:ascii="Times New Roman" w:hAnsi="Times New Roman" w:cs="Times New Roman"/>
                <w:b/>
                <w:sz w:val="18"/>
                <w:szCs w:val="18"/>
              </w:rPr>
              <w:t xml:space="preserve"> </w:t>
            </w:r>
            <w:r w:rsidRPr="002529BD">
              <w:rPr>
                <w:rFonts w:ascii="Times New Roman" w:hAnsi="Times New Roman" w:cs="Times New Roman"/>
                <w:b/>
                <w:sz w:val="18"/>
                <w:szCs w:val="18"/>
              </w:rPr>
              <w:t>Cost</w:t>
            </w:r>
            <w:r>
              <w:rPr>
                <w:rFonts w:ascii="Times New Roman" w:hAnsi="Times New Roman" w:cs="Times New Roman"/>
                <w:b/>
                <w:sz w:val="18"/>
                <w:szCs w:val="18"/>
              </w:rPr>
              <w:t xml:space="preserve"> in Year:</w:t>
            </w:r>
          </w:p>
        </w:tc>
      </w:tr>
      <w:tr w14:paraId="76DDD5EB" w14:textId="77777777" w:rsidTr="00D43808">
        <w:tblPrEx>
          <w:tblW w:w="9560" w:type="dxa"/>
          <w:tblInd w:w="-8" w:type="dxa"/>
          <w:tblLayout w:type="fixed"/>
          <w:tblCellMar>
            <w:left w:w="0" w:type="dxa"/>
            <w:right w:w="0" w:type="dxa"/>
          </w:tblCellMar>
          <w:tblLook w:val="01E0"/>
        </w:tblPrEx>
        <w:trPr>
          <w:trHeight w:val="525"/>
        </w:trPr>
        <w:tc>
          <w:tcPr>
            <w:tcW w:w="1068" w:type="dxa"/>
            <w:shd w:val="clear" w:color="auto" w:fill="DADADA"/>
            <w:vAlign w:val="center"/>
          </w:tcPr>
          <w:p w:rsidR="009041E5" w:rsidRPr="002529BD" w14:paraId="40EE5B04" w14:textId="77777777">
            <w:pPr>
              <w:keepNext/>
              <w:spacing w:after="0" w:line="240" w:lineRule="auto"/>
              <w:ind w:left="183" w:right="171"/>
              <w:jc w:val="center"/>
              <w:rPr>
                <w:rFonts w:ascii="Times New Roman" w:hAnsi="Times New Roman" w:cs="Times New Roman"/>
                <w:b/>
                <w:sz w:val="18"/>
                <w:szCs w:val="18"/>
              </w:rPr>
            </w:pPr>
          </w:p>
        </w:tc>
        <w:tc>
          <w:tcPr>
            <w:tcW w:w="1182" w:type="dxa"/>
            <w:shd w:val="clear" w:color="auto" w:fill="DADADA"/>
            <w:vAlign w:val="center"/>
          </w:tcPr>
          <w:p w:rsidR="009041E5" w:rsidRPr="002529BD" w14:paraId="1326793B" w14:textId="77777777">
            <w:pPr>
              <w:keepNext/>
              <w:spacing w:after="0" w:line="240" w:lineRule="auto"/>
              <w:ind w:left="93" w:right="57"/>
              <w:jc w:val="center"/>
              <w:rPr>
                <w:rFonts w:ascii="Times New Roman" w:hAnsi="Times New Roman" w:cs="Times New Roman"/>
                <w:b/>
                <w:sz w:val="18"/>
                <w:szCs w:val="18"/>
              </w:rPr>
            </w:pPr>
          </w:p>
        </w:tc>
        <w:tc>
          <w:tcPr>
            <w:tcW w:w="900" w:type="dxa"/>
            <w:vMerge/>
            <w:shd w:val="clear" w:color="auto" w:fill="D9D9D9" w:themeFill="background1" w:themeFillShade="D9"/>
            <w:vAlign w:val="center"/>
          </w:tcPr>
          <w:p w:rsidR="009041E5" w:rsidRPr="002529BD" w14:paraId="46057891" w14:textId="77777777">
            <w:pPr>
              <w:keepNext/>
              <w:spacing w:after="0" w:line="240" w:lineRule="auto"/>
              <w:ind w:left="93"/>
              <w:jc w:val="center"/>
              <w:rPr>
                <w:rFonts w:ascii="Times New Roman" w:hAnsi="Times New Roman" w:cs="Times New Roman"/>
                <w:b/>
                <w:sz w:val="18"/>
                <w:szCs w:val="18"/>
              </w:rPr>
            </w:pPr>
          </w:p>
        </w:tc>
        <w:tc>
          <w:tcPr>
            <w:tcW w:w="900" w:type="dxa"/>
            <w:vMerge/>
            <w:shd w:val="clear" w:color="auto" w:fill="D9D9D9" w:themeFill="background1" w:themeFillShade="D9"/>
            <w:vAlign w:val="center"/>
          </w:tcPr>
          <w:p w:rsidR="009041E5" w:rsidRPr="002529BD" w14:paraId="5AEF2BFD" w14:textId="77777777">
            <w:pPr>
              <w:keepNext/>
              <w:spacing w:after="0" w:line="240" w:lineRule="auto"/>
              <w:ind w:left="93"/>
              <w:jc w:val="center"/>
              <w:rPr>
                <w:rFonts w:ascii="Times New Roman" w:hAnsi="Times New Roman" w:cs="Times New Roman"/>
                <w:b/>
                <w:sz w:val="18"/>
                <w:szCs w:val="18"/>
              </w:rPr>
            </w:pPr>
          </w:p>
        </w:tc>
        <w:tc>
          <w:tcPr>
            <w:tcW w:w="900" w:type="dxa"/>
            <w:vMerge/>
            <w:shd w:val="clear" w:color="auto" w:fill="DADADA"/>
            <w:vAlign w:val="center"/>
          </w:tcPr>
          <w:p w:rsidR="009041E5" w:rsidRPr="002529BD" w14:paraId="24777688" w14:textId="77777777">
            <w:pPr>
              <w:keepNext/>
              <w:spacing w:after="0" w:line="240" w:lineRule="auto"/>
              <w:ind w:left="98" w:right="76"/>
              <w:jc w:val="center"/>
              <w:rPr>
                <w:rFonts w:ascii="Times New Roman" w:hAnsi="Times New Roman" w:cs="Times New Roman"/>
                <w:b/>
                <w:sz w:val="18"/>
                <w:szCs w:val="18"/>
              </w:rPr>
            </w:pPr>
          </w:p>
        </w:tc>
        <w:tc>
          <w:tcPr>
            <w:tcW w:w="855" w:type="dxa"/>
            <w:shd w:val="clear" w:color="auto" w:fill="DADADA"/>
            <w:vAlign w:val="center"/>
          </w:tcPr>
          <w:p w:rsidR="009041E5" w:rsidRPr="002529BD" w14:paraId="160B0F48"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1</w:t>
            </w:r>
          </w:p>
        </w:tc>
        <w:tc>
          <w:tcPr>
            <w:tcW w:w="855" w:type="dxa"/>
            <w:shd w:val="clear" w:color="auto" w:fill="DADADA"/>
            <w:vAlign w:val="center"/>
          </w:tcPr>
          <w:p w:rsidR="009041E5" w:rsidRPr="002529BD" w14:paraId="415608C2"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2</w:t>
            </w:r>
          </w:p>
        </w:tc>
        <w:tc>
          <w:tcPr>
            <w:tcW w:w="900" w:type="dxa"/>
            <w:shd w:val="clear" w:color="auto" w:fill="DADADA"/>
            <w:vAlign w:val="center"/>
          </w:tcPr>
          <w:p w:rsidR="009041E5" w:rsidRPr="002529BD" w14:paraId="1C9ADEE2"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3</w:t>
            </w:r>
          </w:p>
        </w:tc>
        <w:tc>
          <w:tcPr>
            <w:tcW w:w="900" w:type="dxa"/>
            <w:shd w:val="clear" w:color="auto" w:fill="DADADA"/>
            <w:vAlign w:val="center"/>
          </w:tcPr>
          <w:p w:rsidR="009041E5" w:rsidRPr="002529BD" w14:paraId="7C6546DC"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4</w:t>
            </w:r>
          </w:p>
        </w:tc>
        <w:tc>
          <w:tcPr>
            <w:tcW w:w="1100" w:type="dxa"/>
            <w:shd w:val="clear" w:color="auto" w:fill="DADADA"/>
            <w:vAlign w:val="center"/>
          </w:tcPr>
          <w:p w:rsidR="009041E5" w:rsidRPr="002529BD" w14:paraId="545C600E"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5-10</w:t>
            </w:r>
          </w:p>
        </w:tc>
      </w:tr>
      <w:tr w14:paraId="23382467" w14:textId="77777777" w:rsidTr="00D43808">
        <w:tblPrEx>
          <w:tblW w:w="9560" w:type="dxa"/>
          <w:tblInd w:w="-8" w:type="dxa"/>
          <w:tblLayout w:type="fixed"/>
          <w:tblCellMar>
            <w:left w:w="0" w:type="dxa"/>
            <w:right w:w="0" w:type="dxa"/>
          </w:tblCellMar>
          <w:tblLook w:val="01E0"/>
        </w:tblPrEx>
        <w:trPr>
          <w:trHeight w:val="525"/>
        </w:trPr>
        <w:tc>
          <w:tcPr>
            <w:tcW w:w="1068" w:type="dxa"/>
            <w:shd w:val="clear" w:color="auto" w:fill="auto"/>
            <w:vAlign w:val="center"/>
          </w:tcPr>
          <w:p w:rsidR="00D43808" w:rsidRPr="002529BD" w:rsidP="00D43808" w14:paraId="37649A99" w14:textId="77777777">
            <w:pPr>
              <w:keepNext/>
              <w:spacing w:after="0" w:line="240" w:lineRule="auto"/>
              <w:ind w:left="183" w:right="171"/>
              <w:jc w:val="center"/>
              <w:rPr>
                <w:rFonts w:ascii="Times New Roman" w:hAnsi="Times New Roman" w:cs="Times New Roman"/>
                <w:b/>
                <w:sz w:val="18"/>
                <w:szCs w:val="18"/>
              </w:rPr>
            </w:pPr>
            <w:r w:rsidRPr="002529BD">
              <w:rPr>
                <w:rFonts w:ascii="Times New Roman" w:hAnsi="Times New Roman" w:cs="Times New Roman"/>
                <w:b/>
                <w:sz w:val="18"/>
                <w:szCs w:val="18"/>
              </w:rPr>
              <w:t>Total</w:t>
            </w:r>
          </w:p>
        </w:tc>
        <w:tc>
          <w:tcPr>
            <w:tcW w:w="1182" w:type="dxa"/>
            <w:shd w:val="clear" w:color="auto" w:fill="auto"/>
            <w:vAlign w:val="center"/>
          </w:tcPr>
          <w:p w:rsidR="00D43808" w:rsidRPr="002529BD" w:rsidP="00D43808" w14:paraId="298BADBC" w14:textId="77777777">
            <w:pPr>
              <w:keepNext/>
              <w:spacing w:after="0" w:line="240" w:lineRule="auto"/>
              <w:ind w:left="93" w:right="57"/>
              <w:jc w:val="center"/>
              <w:rPr>
                <w:rFonts w:ascii="Times New Roman" w:hAnsi="Times New Roman" w:cs="Times New Roman"/>
                <w:b/>
                <w:sz w:val="18"/>
                <w:szCs w:val="18"/>
              </w:rPr>
            </w:pPr>
            <w:r>
              <w:rPr>
                <w:rFonts w:ascii="Times New Roman" w:hAnsi="Times New Roman" w:cs="Times New Roman"/>
                <w:bCs/>
                <w:sz w:val="18"/>
                <w:szCs w:val="18"/>
              </w:rPr>
              <w:t>0.2</w:t>
            </w:r>
          </w:p>
        </w:tc>
        <w:tc>
          <w:tcPr>
            <w:tcW w:w="900" w:type="dxa"/>
            <w:shd w:val="clear" w:color="auto" w:fill="auto"/>
            <w:vAlign w:val="center"/>
          </w:tcPr>
          <w:p w:rsidR="00D43808" w:rsidRPr="002529BD" w:rsidP="00D43808" w14:paraId="6E94CA14" w14:textId="77777777">
            <w:pPr>
              <w:keepNext/>
              <w:spacing w:after="0" w:line="240" w:lineRule="auto"/>
              <w:ind w:left="93"/>
              <w:jc w:val="center"/>
              <w:rPr>
                <w:rFonts w:ascii="Times New Roman" w:hAnsi="Times New Roman" w:cs="Times New Roman"/>
                <w:b/>
                <w:sz w:val="18"/>
                <w:szCs w:val="18"/>
              </w:rPr>
            </w:pPr>
            <w:r>
              <w:rPr>
                <w:rFonts w:ascii="Times New Roman" w:hAnsi="Times New Roman" w:cs="Times New Roman"/>
                <w:bCs/>
                <w:sz w:val="18"/>
                <w:szCs w:val="18"/>
              </w:rPr>
              <w:t>$3,000</w:t>
            </w:r>
          </w:p>
        </w:tc>
        <w:tc>
          <w:tcPr>
            <w:tcW w:w="900" w:type="dxa"/>
            <w:shd w:val="clear" w:color="auto" w:fill="auto"/>
            <w:vAlign w:val="center"/>
          </w:tcPr>
          <w:p w:rsidR="00D43808" w:rsidRPr="002529BD" w:rsidP="00D43808" w14:paraId="5D1957BA" w14:textId="77777777">
            <w:pPr>
              <w:keepNext/>
              <w:spacing w:after="0" w:line="240" w:lineRule="auto"/>
              <w:ind w:left="93"/>
              <w:jc w:val="center"/>
              <w:rPr>
                <w:rFonts w:ascii="Times New Roman" w:hAnsi="Times New Roman" w:cs="Times New Roman"/>
                <w:b/>
                <w:sz w:val="18"/>
                <w:szCs w:val="18"/>
              </w:rPr>
            </w:pPr>
            <w:r>
              <w:rPr>
                <w:rFonts w:ascii="Times New Roman" w:hAnsi="Times New Roman" w:cs="Times New Roman"/>
                <w:bCs/>
                <w:sz w:val="18"/>
                <w:szCs w:val="18"/>
              </w:rPr>
              <w:t>$300</w:t>
            </w:r>
          </w:p>
        </w:tc>
        <w:tc>
          <w:tcPr>
            <w:tcW w:w="900" w:type="dxa"/>
            <w:shd w:val="clear" w:color="auto" w:fill="auto"/>
            <w:vAlign w:val="center"/>
          </w:tcPr>
          <w:p w:rsidR="00D43808" w:rsidRPr="002529BD" w:rsidP="00D43808" w14:paraId="30475B27" w14:textId="77777777">
            <w:pPr>
              <w:keepNext/>
              <w:spacing w:after="0" w:line="240" w:lineRule="auto"/>
              <w:ind w:left="98" w:right="76"/>
              <w:jc w:val="center"/>
              <w:rPr>
                <w:rFonts w:ascii="Times New Roman" w:hAnsi="Times New Roman" w:cs="Times New Roman"/>
                <w:b/>
                <w:sz w:val="18"/>
                <w:szCs w:val="18"/>
              </w:rPr>
            </w:pPr>
            <w:r>
              <w:rPr>
                <w:rFonts w:ascii="Times New Roman" w:hAnsi="Times New Roman" w:cs="Times New Roman"/>
                <w:bCs/>
                <w:sz w:val="18"/>
                <w:szCs w:val="18"/>
              </w:rPr>
              <w:t>392</w:t>
            </w:r>
          </w:p>
        </w:tc>
        <w:tc>
          <w:tcPr>
            <w:tcW w:w="855" w:type="dxa"/>
            <w:shd w:val="clear" w:color="auto" w:fill="auto"/>
            <w:vAlign w:val="center"/>
          </w:tcPr>
          <w:p w:rsidR="00D43808" w:rsidP="00D43808" w14:paraId="3C80C62D" w14:textId="77777777">
            <w:pPr>
              <w:keepNext/>
              <w:spacing w:after="0" w:line="240" w:lineRule="auto"/>
              <w:ind w:left="91" w:right="55"/>
              <w:jc w:val="center"/>
              <w:rPr>
                <w:rFonts w:ascii="Times New Roman" w:hAnsi="Times New Roman" w:cs="Times New Roman"/>
                <w:b/>
                <w:sz w:val="18"/>
                <w:szCs w:val="18"/>
              </w:rPr>
            </w:pPr>
            <w:r w:rsidRPr="00763E66">
              <w:rPr>
                <w:rFonts w:ascii="Times New Roman" w:hAnsi="Times New Roman" w:cs="Times New Roman"/>
                <w:bCs/>
                <w:color w:val="000000"/>
                <w:sz w:val="18"/>
                <w:szCs w:val="18"/>
              </w:rPr>
              <w:t>$</w:t>
            </w:r>
            <w:r>
              <w:rPr>
                <w:rFonts w:ascii="Times New Roman" w:hAnsi="Times New Roman" w:cs="Times New Roman"/>
                <w:bCs/>
                <w:color w:val="000000"/>
                <w:sz w:val="18"/>
                <w:szCs w:val="18"/>
              </w:rPr>
              <w:t>258,720</w:t>
            </w:r>
          </w:p>
        </w:tc>
        <w:tc>
          <w:tcPr>
            <w:tcW w:w="855" w:type="dxa"/>
            <w:shd w:val="clear" w:color="auto" w:fill="auto"/>
            <w:vAlign w:val="center"/>
          </w:tcPr>
          <w:p w:rsidR="00D43808" w:rsidP="00D43808" w14:paraId="333F927A" w14:textId="77777777">
            <w:pPr>
              <w:keepNext/>
              <w:spacing w:after="0" w:line="240" w:lineRule="auto"/>
              <w:ind w:left="91" w:right="55"/>
              <w:jc w:val="center"/>
              <w:rPr>
                <w:rFonts w:ascii="Times New Roman" w:hAnsi="Times New Roman" w:cs="Times New Roman"/>
                <w:b/>
                <w:sz w:val="18"/>
                <w:szCs w:val="18"/>
              </w:rPr>
            </w:pPr>
            <w:r w:rsidRPr="00763E66">
              <w:rPr>
                <w:rFonts w:ascii="Times New Roman" w:hAnsi="Times New Roman" w:cs="Times New Roman"/>
                <w:bCs/>
                <w:color w:val="000000"/>
                <w:sz w:val="18"/>
                <w:szCs w:val="18"/>
              </w:rPr>
              <w:t>$</w:t>
            </w:r>
            <w:r>
              <w:rPr>
                <w:rFonts w:ascii="Times New Roman" w:hAnsi="Times New Roman" w:cs="Times New Roman"/>
                <w:bCs/>
                <w:color w:val="000000"/>
                <w:sz w:val="18"/>
                <w:szCs w:val="18"/>
              </w:rPr>
              <w:t>282,240</w:t>
            </w:r>
          </w:p>
        </w:tc>
        <w:tc>
          <w:tcPr>
            <w:tcW w:w="900" w:type="dxa"/>
            <w:shd w:val="clear" w:color="auto" w:fill="auto"/>
            <w:vAlign w:val="center"/>
          </w:tcPr>
          <w:p w:rsidR="00D43808" w:rsidP="00D43808" w14:paraId="28E31BE7" w14:textId="77777777">
            <w:pPr>
              <w:keepNext/>
              <w:spacing w:after="0" w:line="240" w:lineRule="auto"/>
              <w:ind w:left="91" w:right="55"/>
              <w:jc w:val="center"/>
              <w:rPr>
                <w:rFonts w:ascii="Times New Roman" w:hAnsi="Times New Roman" w:cs="Times New Roman"/>
                <w:b/>
                <w:sz w:val="18"/>
                <w:szCs w:val="18"/>
              </w:rPr>
            </w:pPr>
            <w:r w:rsidRPr="00763E66">
              <w:rPr>
                <w:rFonts w:ascii="Times New Roman" w:hAnsi="Times New Roman" w:cs="Times New Roman"/>
                <w:bCs/>
                <w:color w:val="000000"/>
                <w:sz w:val="18"/>
                <w:szCs w:val="18"/>
              </w:rPr>
              <w:t>$</w:t>
            </w:r>
            <w:r>
              <w:rPr>
                <w:rFonts w:ascii="Times New Roman" w:hAnsi="Times New Roman" w:cs="Times New Roman"/>
                <w:bCs/>
                <w:color w:val="000000"/>
                <w:sz w:val="18"/>
                <w:szCs w:val="18"/>
              </w:rPr>
              <w:t>305,760</w:t>
            </w:r>
          </w:p>
        </w:tc>
        <w:tc>
          <w:tcPr>
            <w:tcW w:w="900" w:type="dxa"/>
            <w:shd w:val="clear" w:color="auto" w:fill="auto"/>
            <w:vAlign w:val="center"/>
          </w:tcPr>
          <w:p w:rsidR="00D43808" w:rsidP="00D43808" w14:paraId="2BB22EA2" w14:textId="77777777">
            <w:pPr>
              <w:keepNext/>
              <w:spacing w:after="0" w:line="240" w:lineRule="auto"/>
              <w:ind w:left="91" w:right="55"/>
              <w:jc w:val="center"/>
              <w:rPr>
                <w:rFonts w:ascii="Times New Roman" w:hAnsi="Times New Roman" w:cs="Times New Roman"/>
                <w:b/>
                <w:sz w:val="18"/>
                <w:szCs w:val="18"/>
              </w:rPr>
            </w:pPr>
            <w:r w:rsidRPr="00763E66">
              <w:rPr>
                <w:rFonts w:ascii="Times New Roman" w:hAnsi="Times New Roman" w:cs="Times New Roman"/>
                <w:bCs/>
                <w:color w:val="000000"/>
                <w:sz w:val="18"/>
                <w:szCs w:val="18"/>
              </w:rPr>
              <w:t>$</w:t>
            </w:r>
            <w:r>
              <w:rPr>
                <w:rFonts w:ascii="Times New Roman" w:hAnsi="Times New Roman" w:cs="Times New Roman"/>
                <w:bCs/>
                <w:color w:val="000000"/>
                <w:sz w:val="18"/>
                <w:szCs w:val="18"/>
              </w:rPr>
              <w:t>329,280</w:t>
            </w:r>
          </w:p>
        </w:tc>
        <w:tc>
          <w:tcPr>
            <w:tcW w:w="1100" w:type="dxa"/>
            <w:shd w:val="clear" w:color="auto" w:fill="auto"/>
            <w:vAlign w:val="center"/>
          </w:tcPr>
          <w:p w:rsidR="00D43808" w:rsidP="00D43808" w14:paraId="6DB3BBCA" w14:textId="77777777">
            <w:pPr>
              <w:keepNext/>
              <w:spacing w:after="0" w:line="240" w:lineRule="auto"/>
              <w:ind w:left="91" w:right="55"/>
              <w:jc w:val="center"/>
              <w:rPr>
                <w:rFonts w:ascii="Times New Roman" w:hAnsi="Times New Roman" w:cs="Times New Roman"/>
                <w:b/>
                <w:sz w:val="18"/>
                <w:szCs w:val="18"/>
              </w:rPr>
            </w:pPr>
            <w:r w:rsidRPr="00763E66">
              <w:rPr>
                <w:rFonts w:ascii="Times New Roman" w:hAnsi="Times New Roman" w:cs="Times New Roman"/>
                <w:bCs/>
                <w:color w:val="000000"/>
                <w:sz w:val="18"/>
                <w:szCs w:val="18"/>
              </w:rPr>
              <w:t>$</w:t>
            </w:r>
            <w:r>
              <w:rPr>
                <w:rFonts w:ascii="Times New Roman" w:hAnsi="Times New Roman" w:cs="Times New Roman"/>
                <w:bCs/>
                <w:color w:val="000000"/>
                <w:sz w:val="18"/>
                <w:szCs w:val="18"/>
              </w:rPr>
              <w:t>352,800</w:t>
            </w:r>
          </w:p>
        </w:tc>
      </w:tr>
    </w:tbl>
    <w:p w:rsidR="007E5F48" w:rsidP="007E5F48" w14:paraId="3BD94C2D" w14:textId="77777777">
      <w:pPr>
        <w:spacing w:after="0" w:line="240" w:lineRule="auto"/>
        <w:rPr>
          <w:rFonts w:ascii="Times New Roman" w:hAnsi="Times New Roman" w:cs="Times New Roman"/>
        </w:rPr>
      </w:pPr>
    </w:p>
    <w:p w:rsidR="007E5F48" w:rsidRPr="00BF4D0A" w:rsidP="00C07306" w14:paraId="1A4C1C23" w14:textId="77777777">
      <w:pPr>
        <w:pStyle w:val="Heading2"/>
      </w:pPr>
      <w:bookmarkStart w:id="295" w:name="_Toc144303561"/>
      <w:r w:rsidRPr="00BF4D0A">
        <w:t>5.</w:t>
      </w:r>
      <w:r w:rsidR="00210D24">
        <w:t>4</w:t>
      </w:r>
      <w:r w:rsidRPr="00BF4D0A">
        <w:t xml:space="preserve"> </w:t>
      </w:r>
      <w:r>
        <w:t>RMP Justifications</w:t>
      </w:r>
      <w:bookmarkEnd w:id="295"/>
    </w:p>
    <w:p w:rsidR="007E5F48" w:rsidRPr="00C9143C" w:rsidP="007E5F48" w14:paraId="74E0309F" w14:textId="77777777">
      <w:pPr>
        <w:pStyle w:val="Heading3"/>
        <w:rPr>
          <w:rFonts w:ascii="Times New Roman" w:hAnsi="Times New Roman" w:cs="Times New Roman"/>
          <w:sz w:val="22"/>
          <w:szCs w:val="22"/>
        </w:rPr>
      </w:pPr>
      <w:bookmarkStart w:id="296" w:name="_Toc141732956"/>
      <w:bookmarkStart w:id="297" w:name="_Toc141733167"/>
      <w:bookmarkStart w:id="298" w:name="_Toc142404071"/>
      <w:bookmarkStart w:id="299" w:name="_Toc144213879"/>
      <w:bookmarkStart w:id="300" w:name="_Toc144283624"/>
      <w:bookmarkStart w:id="301" w:name="_Toc144303562"/>
      <w:r w:rsidRPr="00C9143C">
        <w:rPr>
          <w:rFonts w:ascii="Times New Roman" w:hAnsi="Times New Roman" w:cs="Times New Roman"/>
          <w:sz w:val="22"/>
          <w:szCs w:val="22"/>
        </w:rPr>
        <w:t>5.</w:t>
      </w:r>
      <w:r w:rsidR="00210D24">
        <w:rPr>
          <w:rFonts w:ascii="Times New Roman" w:hAnsi="Times New Roman" w:cs="Times New Roman"/>
          <w:sz w:val="22"/>
          <w:szCs w:val="22"/>
        </w:rPr>
        <w:t>4</w:t>
      </w:r>
      <w:r w:rsidRPr="00C9143C">
        <w:rPr>
          <w:rFonts w:ascii="Times New Roman" w:hAnsi="Times New Roman" w:cs="Times New Roman"/>
          <w:sz w:val="22"/>
          <w:szCs w:val="22"/>
        </w:rPr>
        <w:t xml:space="preserve">.1 Hazard Evaluation Amplifications and RAGAGEP </w:t>
      </w:r>
      <w:bookmarkEnd w:id="296"/>
      <w:bookmarkEnd w:id="297"/>
      <w:r w:rsidR="009269B2">
        <w:rPr>
          <w:rFonts w:ascii="Times New Roman" w:hAnsi="Times New Roman" w:cs="Times New Roman"/>
          <w:sz w:val="22"/>
          <w:szCs w:val="22"/>
        </w:rPr>
        <w:t>G</w:t>
      </w:r>
      <w:r w:rsidRPr="00C9143C">
        <w:rPr>
          <w:rFonts w:ascii="Times New Roman" w:hAnsi="Times New Roman" w:cs="Times New Roman"/>
          <w:sz w:val="22"/>
          <w:szCs w:val="22"/>
        </w:rPr>
        <w:t xml:space="preserve">ap </w:t>
      </w:r>
      <w:r w:rsidR="009269B2">
        <w:rPr>
          <w:rFonts w:ascii="Times New Roman" w:hAnsi="Times New Roman" w:cs="Times New Roman"/>
          <w:sz w:val="22"/>
          <w:szCs w:val="22"/>
        </w:rPr>
        <w:t>A</w:t>
      </w:r>
      <w:r w:rsidRPr="00C9143C">
        <w:rPr>
          <w:rFonts w:ascii="Times New Roman" w:hAnsi="Times New Roman" w:cs="Times New Roman"/>
          <w:sz w:val="22"/>
          <w:szCs w:val="22"/>
        </w:rPr>
        <w:t>nalysis</w:t>
      </w:r>
      <w:bookmarkEnd w:id="298"/>
      <w:bookmarkEnd w:id="299"/>
      <w:bookmarkEnd w:id="300"/>
      <w:bookmarkEnd w:id="301"/>
    </w:p>
    <w:p w:rsidR="007E5F48" w:rsidRPr="007E5F48" w:rsidP="007E5F48" w14:paraId="57B62FA8" w14:textId="77777777">
      <w:pPr>
        <w:spacing w:after="0" w:line="240" w:lineRule="auto"/>
        <w:ind w:firstLine="360"/>
        <w:rPr>
          <w:rFonts w:ascii="Times New Roman" w:hAnsi="Times New Roman" w:cs="Times New Roman"/>
        </w:rPr>
      </w:pPr>
      <w:r>
        <w:rPr>
          <w:rFonts w:ascii="Times New Roman" w:hAnsi="Times New Roman" w:cs="Times New Roman"/>
        </w:rPr>
        <w:tab/>
        <w:t xml:space="preserve">The final rule will require Program 2 and 3 facilities to include in their RMP a justification </w:t>
      </w:r>
      <w:r w:rsidR="00316693">
        <w:rPr>
          <w:rFonts w:ascii="Times New Roman" w:hAnsi="Times New Roman" w:cs="Times New Roman"/>
        </w:rPr>
        <w:t xml:space="preserve">for why </w:t>
      </w:r>
      <w:r w:rsidR="00197913">
        <w:rPr>
          <w:rFonts w:ascii="Times New Roman" w:hAnsi="Times New Roman" w:cs="Times New Roman"/>
        </w:rPr>
        <w:t xml:space="preserve">the facility has not installed </w:t>
      </w:r>
      <w:r w:rsidR="003B458B">
        <w:rPr>
          <w:rFonts w:ascii="Times New Roman" w:hAnsi="Times New Roman" w:cs="Times New Roman"/>
        </w:rPr>
        <w:t xml:space="preserve">emergency </w:t>
      </w:r>
      <w:r w:rsidR="00316693">
        <w:rPr>
          <w:rFonts w:ascii="Times New Roman" w:hAnsi="Times New Roman" w:cs="Times New Roman"/>
        </w:rPr>
        <w:t xml:space="preserve">backup power </w:t>
      </w:r>
      <w:r>
        <w:rPr>
          <w:rFonts w:ascii="Times New Roman" w:hAnsi="Times New Roman" w:cs="Times New Roman"/>
        </w:rPr>
        <w:t xml:space="preserve">for </w:t>
      </w:r>
      <w:r w:rsidR="00E51672">
        <w:rPr>
          <w:rFonts w:ascii="Times New Roman" w:hAnsi="Times New Roman" w:cs="Times New Roman"/>
        </w:rPr>
        <w:t>each process without</w:t>
      </w:r>
      <w:r w:rsidR="003B458B">
        <w:rPr>
          <w:rFonts w:ascii="Times New Roman" w:hAnsi="Times New Roman" w:cs="Times New Roman"/>
        </w:rPr>
        <w:t xml:space="preserve"> emergency</w:t>
      </w:r>
      <w:r w:rsidR="00E51672">
        <w:rPr>
          <w:rFonts w:ascii="Times New Roman" w:hAnsi="Times New Roman" w:cs="Times New Roman"/>
        </w:rPr>
        <w:t xml:space="preserve"> backup power, </w:t>
      </w:r>
      <w:r w:rsidR="00660CD5">
        <w:rPr>
          <w:rFonts w:ascii="Times New Roman" w:hAnsi="Times New Roman" w:cs="Times New Roman"/>
        </w:rPr>
        <w:t>a</w:t>
      </w:r>
      <w:r w:rsidR="00197913">
        <w:rPr>
          <w:rFonts w:ascii="Times New Roman" w:hAnsi="Times New Roman" w:cs="Times New Roman"/>
        </w:rPr>
        <w:t>nd</w:t>
      </w:r>
      <w:r w:rsidR="00660CD5">
        <w:rPr>
          <w:rFonts w:ascii="Times New Roman" w:hAnsi="Times New Roman" w:cs="Times New Roman"/>
        </w:rPr>
        <w:t xml:space="preserve"> justification</w:t>
      </w:r>
      <w:r w:rsidR="00197913">
        <w:rPr>
          <w:rFonts w:ascii="Times New Roman" w:hAnsi="Times New Roman" w:cs="Times New Roman"/>
        </w:rPr>
        <w:t>s</w:t>
      </w:r>
      <w:r w:rsidR="00660CD5">
        <w:rPr>
          <w:rFonts w:ascii="Times New Roman" w:hAnsi="Times New Roman" w:cs="Times New Roman"/>
        </w:rPr>
        <w:t xml:space="preserve"> for </w:t>
      </w:r>
      <w:r w:rsidRPr="00E51672" w:rsidR="00E51672">
        <w:rPr>
          <w:rFonts w:ascii="Times New Roman" w:hAnsi="Times New Roman" w:cs="Times New Roman"/>
        </w:rPr>
        <w:t xml:space="preserve">each declined natural hazards recommendation </w:t>
      </w:r>
      <w:r w:rsidR="00524C17">
        <w:rPr>
          <w:rFonts w:ascii="Times New Roman" w:hAnsi="Times New Roman" w:cs="Times New Roman"/>
        </w:rPr>
        <w:t>and</w:t>
      </w:r>
      <w:r w:rsidR="00660CD5">
        <w:rPr>
          <w:rFonts w:ascii="Times New Roman" w:hAnsi="Times New Roman" w:cs="Times New Roman"/>
        </w:rPr>
        <w:t xml:space="preserve"> </w:t>
      </w:r>
      <w:r>
        <w:rPr>
          <w:rFonts w:ascii="Times New Roman" w:hAnsi="Times New Roman" w:cs="Times New Roman"/>
        </w:rPr>
        <w:t>stationary source siting recommendation</w:t>
      </w:r>
      <w:r w:rsidR="00524C17">
        <w:rPr>
          <w:rFonts w:ascii="Times New Roman" w:hAnsi="Times New Roman" w:cs="Times New Roman"/>
        </w:rPr>
        <w:t>.</w:t>
      </w:r>
      <w:r>
        <w:rPr>
          <w:rFonts w:ascii="Times New Roman" w:hAnsi="Times New Roman" w:cs="Times New Roman"/>
        </w:rPr>
        <w:t xml:space="preserve"> </w:t>
      </w:r>
      <w:r w:rsidR="000551D7">
        <w:rPr>
          <w:rFonts w:ascii="Times New Roman" w:hAnsi="Times New Roman" w:cs="Times New Roman"/>
        </w:rPr>
        <w:t xml:space="preserve">The final rule will also require </w:t>
      </w:r>
      <w:r w:rsidR="00524C17">
        <w:rPr>
          <w:rFonts w:ascii="Times New Roman" w:hAnsi="Times New Roman" w:cs="Times New Roman"/>
        </w:rPr>
        <w:t>Program 3 facilities</w:t>
      </w:r>
      <w:r w:rsidR="000551D7">
        <w:rPr>
          <w:rFonts w:ascii="Times New Roman" w:hAnsi="Times New Roman" w:cs="Times New Roman"/>
        </w:rPr>
        <w:t xml:space="preserve"> to include in their RMP a justification for</w:t>
      </w:r>
      <w:r w:rsidR="00524C17">
        <w:rPr>
          <w:rFonts w:ascii="Times New Roman" w:hAnsi="Times New Roman" w:cs="Times New Roman"/>
        </w:rPr>
        <w:t xml:space="preserve"> </w:t>
      </w:r>
      <w:r>
        <w:rPr>
          <w:rFonts w:ascii="Times New Roman" w:hAnsi="Times New Roman" w:cs="Times New Roman"/>
        </w:rPr>
        <w:t xml:space="preserve">each declined PHA recommendation associated with the most recent version of RAGAGEP. </w:t>
      </w:r>
      <w:r w:rsidRPr="00193D8C" w:rsidR="00193D8C">
        <w:rPr>
          <w:rFonts w:ascii="Times New Roman" w:hAnsi="Times New Roman" w:cs="Times New Roman"/>
        </w:rPr>
        <w:t>EPA assumes the number of justifications for not implementing backup power will equal the number of Program 2 and 3 processes without backup power as of December 31, 2020.</w:t>
      </w:r>
      <w:r w:rsidR="00193D8C">
        <w:rPr>
          <w:rFonts w:ascii="Times New Roman" w:hAnsi="Times New Roman" w:cs="Times New Roman"/>
        </w:rPr>
        <w:t xml:space="preserve"> </w:t>
      </w:r>
      <w:r>
        <w:rPr>
          <w:rFonts w:ascii="Times New Roman" w:hAnsi="Times New Roman" w:cs="Times New Roman"/>
        </w:rPr>
        <w:t xml:space="preserve">EPA assumes each Program 2 and Program 3 facility will, on average, </w:t>
      </w:r>
      <w:r w:rsidR="0094600A">
        <w:rPr>
          <w:rFonts w:ascii="Times New Roman" w:hAnsi="Times New Roman" w:cs="Times New Roman"/>
        </w:rPr>
        <w:t xml:space="preserve">provide </w:t>
      </w:r>
      <w:r>
        <w:rPr>
          <w:rFonts w:ascii="Times New Roman" w:hAnsi="Times New Roman" w:cs="Times New Roman"/>
        </w:rPr>
        <w:t>two natural hazards justifications</w:t>
      </w:r>
      <w:r w:rsidR="005573B2">
        <w:rPr>
          <w:rFonts w:ascii="Times New Roman" w:hAnsi="Times New Roman" w:cs="Times New Roman"/>
        </w:rPr>
        <w:t xml:space="preserve"> and </w:t>
      </w:r>
      <w:r w:rsidRPr="00193D8C" w:rsidR="00193D8C">
        <w:rPr>
          <w:rFonts w:ascii="Times New Roman" w:hAnsi="Times New Roman" w:cs="Times New Roman"/>
        </w:rPr>
        <w:t xml:space="preserve">two siting justifications, </w:t>
      </w:r>
      <w:r>
        <w:rPr>
          <w:rFonts w:ascii="Times New Roman" w:hAnsi="Times New Roman" w:cs="Times New Roman"/>
        </w:rPr>
        <w:t xml:space="preserve">and </w:t>
      </w:r>
      <w:r w:rsidR="005D20BE">
        <w:rPr>
          <w:rFonts w:ascii="Times New Roman" w:hAnsi="Times New Roman" w:cs="Times New Roman"/>
        </w:rPr>
        <w:t xml:space="preserve">each Program 3 facility </w:t>
      </w:r>
      <w:r w:rsidR="00E92F39">
        <w:rPr>
          <w:rFonts w:ascii="Times New Roman" w:hAnsi="Times New Roman" w:cs="Times New Roman"/>
        </w:rPr>
        <w:t xml:space="preserve">will additionally average </w:t>
      </w:r>
      <w:r>
        <w:rPr>
          <w:rFonts w:ascii="Times New Roman" w:hAnsi="Times New Roman" w:cs="Times New Roman"/>
        </w:rPr>
        <w:t xml:space="preserve">two RAGAGEP justifications. Exhibits 5-10, 5-11, 5-12, and 5-13 present the </w:t>
      </w:r>
      <w:r w:rsidR="003B458B">
        <w:rPr>
          <w:rFonts w:ascii="Times New Roman" w:hAnsi="Times New Roman" w:cs="Times New Roman"/>
        </w:rPr>
        <w:t xml:space="preserve">estimated </w:t>
      </w:r>
      <w:r>
        <w:rPr>
          <w:rFonts w:ascii="Times New Roman" w:hAnsi="Times New Roman" w:cs="Times New Roman"/>
        </w:rPr>
        <w:t>costs for the RMP justification provisions.</w:t>
      </w:r>
    </w:p>
    <w:p w:rsidR="007E5F48" w:rsidP="007E5F48" w14:paraId="034F2F74" w14:textId="77777777">
      <w:pPr>
        <w:spacing w:after="0" w:line="240" w:lineRule="auto"/>
        <w:ind w:firstLine="360"/>
        <w:rPr>
          <w:rFonts w:ascii="Times New Roman" w:hAnsi="Times New Roman" w:cs="Times New Roman"/>
          <w:b/>
          <w:bCs/>
          <w:i/>
          <w:iCs/>
        </w:rPr>
      </w:pPr>
    </w:p>
    <w:p w:rsidR="005D2B5A" w:rsidRPr="002D372A" w:rsidP="005D2B5A" w14:paraId="0FDC2C71" w14:textId="77777777">
      <w:pPr>
        <w:pStyle w:val="Caption"/>
        <w:jc w:val="center"/>
        <w:rPr>
          <w:rFonts w:ascii="Times New Roman" w:hAnsi="Times New Roman" w:cs="Times New Roman"/>
          <w:b/>
          <w:bCs/>
          <w:i w:val="0"/>
          <w:iCs w:val="0"/>
          <w:color w:val="auto"/>
          <w:sz w:val="22"/>
          <w:szCs w:val="22"/>
        </w:rPr>
      </w:pPr>
      <w:r w:rsidRPr="002D372A">
        <w:rPr>
          <w:rFonts w:ascii="Times New Roman" w:hAnsi="Times New Roman" w:cs="Times New Roman"/>
          <w:b/>
          <w:bCs/>
          <w:i w:val="0"/>
          <w:iCs w:val="0"/>
          <w:color w:val="auto"/>
          <w:sz w:val="22"/>
          <w:szCs w:val="22"/>
        </w:rPr>
        <w:t>Exhibit 5-</w:t>
      </w:r>
      <w:r>
        <w:rPr>
          <w:rFonts w:ascii="Times New Roman" w:hAnsi="Times New Roman" w:cs="Times New Roman"/>
          <w:b/>
          <w:bCs/>
          <w:i w:val="0"/>
          <w:iCs w:val="0"/>
          <w:color w:val="auto"/>
          <w:sz w:val="22"/>
          <w:szCs w:val="22"/>
        </w:rPr>
        <w:t>10</w:t>
      </w:r>
      <w:r w:rsidRPr="002D372A">
        <w:rPr>
          <w:rFonts w:ascii="Times New Roman" w:hAnsi="Times New Roman" w:cs="Times New Roman"/>
          <w:b/>
          <w:bCs/>
          <w:i w:val="0"/>
          <w:iCs w:val="0"/>
          <w:color w:val="auto"/>
          <w:sz w:val="22"/>
          <w:szCs w:val="22"/>
        </w:rPr>
        <w:t xml:space="preserve">: Costs for </w:t>
      </w:r>
      <w:r>
        <w:rPr>
          <w:rFonts w:ascii="Times New Roman" w:hAnsi="Times New Roman" w:cs="Times New Roman"/>
          <w:b/>
          <w:bCs/>
          <w:i w:val="0"/>
          <w:iCs w:val="0"/>
          <w:color w:val="auto"/>
          <w:sz w:val="22"/>
          <w:szCs w:val="22"/>
        </w:rPr>
        <w:t>Emergency Backup Power RMP Justification</w:t>
      </w:r>
      <w:r w:rsidRPr="002D372A">
        <w:rPr>
          <w:rFonts w:ascii="Times New Roman" w:hAnsi="Times New Roman" w:cs="Times New Roman"/>
          <w:b/>
          <w:bCs/>
          <w:i w:val="0"/>
          <w:iCs w:val="0"/>
          <w:color w:val="auto"/>
          <w:sz w:val="22"/>
          <w:szCs w:val="22"/>
        </w:rPr>
        <w:t xml:space="preserve"> Provision (202</w:t>
      </w:r>
      <w:r>
        <w:rPr>
          <w:rFonts w:ascii="Times New Roman" w:hAnsi="Times New Roman" w:cs="Times New Roman"/>
          <w:b/>
          <w:bCs/>
          <w:i w:val="0"/>
          <w:iCs w:val="0"/>
          <w:color w:val="auto"/>
          <w:sz w:val="22"/>
          <w:szCs w:val="22"/>
        </w:rPr>
        <w:t>2</w:t>
      </w:r>
      <w:r w:rsidRPr="002D372A">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d</w:t>
      </w:r>
      <w:r w:rsidRPr="002D372A">
        <w:rPr>
          <w:rFonts w:ascii="Times New Roman" w:hAnsi="Times New Roman" w:cs="Times New Roman"/>
          <w:b/>
          <w:bCs/>
          <w:i w:val="0"/>
          <w:iCs w:val="0"/>
          <w:color w:val="auto"/>
          <w:sz w:val="22"/>
          <w:szCs w:val="22"/>
        </w:rPr>
        <w:t>ollars).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82"/>
        <w:gridCol w:w="1440"/>
        <w:gridCol w:w="1350"/>
        <w:gridCol w:w="1770"/>
        <w:gridCol w:w="1812"/>
      </w:tblGrid>
      <w:tr w14:paraId="7B49F3B8" w14:textId="77777777" w:rsidTr="00FA04B8">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20"/>
          <w:jc w:val="center"/>
        </w:trPr>
        <w:tc>
          <w:tcPr>
            <w:tcW w:w="1782" w:type="dxa"/>
            <w:tcBorders>
              <w:left w:val="single" w:sz="6" w:space="0" w:color="000000"/>
              <w:right w:val="single" w:sz="6" w:space="0" w:color="000000"/>
            </w:tcBorders>
            <w:shd w:val="clear" w:color="auto" w:fill="DADADA"/>
            <w:vAlign w:val="center"/>
          </w:tcPr>
          <w:p w:rsidR="005D2B5A" w:rsidRPr="002D372A" w:rsidP="007F63D3" w14:paraId="0CA1A07B" w14:textId="77777777">
            <w:pPr>
              <w:keepNext/>
              <w:spacing w:after="0" w:line="240" w:lineRule="auto"/>
              <w:ind w:left="1087" w:hanging="1017"/>
              <w:jc w:val="center"/>
              <w:rPr>
                <w:rFonts w:ascii="Times New Roman" w:hAnsi="Times New Roman" w:cs="Times New Roman"/>
                <w:b/>
                <w:sz w:val="20"/>
                <w:szCs w:val="20"/>
              </w:rPr>
            </w:pPr>
            <w:r w:rsidRPr="002D372A">
              <w:rPr>
                <w:rFonts w:ascii="Times New Roman" w:hAnsi="Times New Roman" w:cs="Times New Roman"/>
                <w:b/>
                <w:sz w:val="20"/>
                <w:szCs w:val="20"/>
              </w:rPr>
              <w:t>Facility Type</w:t>
            </w:r>
          </w:p>
        </w:tc>
        <w:tc>
          <w:tcPr>
            <w:tcW w:w="1440" w:type="dxa"/>
            <w:tcBorders>
              <w:left w:val="single" w:sz="6" w:space="0" w:color="000000"/>
              <w:right w:val="single" w:sz="6" w:space="0" w:color="000000"/>
            </w:tcBorders>
            <w:shd w:val="clear" w:color="auto" w:fill="DADADA"/>
            <w:vAlign w:val="center"/>
          </w:tcPr>
          <w:p w:rsidR="005D2B5A" w:rsidRPr="002D372A" w:rsidP="007F63D3" w14:paraId="2F96465B" w14:textId="77777777">
            <w:pPr>
              <w:keepNext/>
              <w:spacing w:after="0" w:line="240" w:lineRule="auto"/>
              <w:ind w:left="91" w:right="55"/>
              <w:jc w:val="center"/>
              <w:rPr>
                <w:rFonts w:ascii="Times New Roman" w:hAnsi="Times New Roman" w:cs="Times New Roman"/>
                <w:b/>
                <w:sz w:val="20"/>
                <w:szCs w:val="20"/>
              </w:rPr>
            </w:pPr>
            <w:r w:rsidRPr="002D372A">
              <w:rPr>
                <w:rFonts w:ascii="Times New Roman" w:hAnsi="Times New Roman" w:cs="Times New Roman"/>
                <w:b/>
                <w:sz w:val="20"/>
                <w:szCs w:val="20"/>
              </w:rPr>
              <w:t>Annual</w:t>
            </w:r>
          </w:p>
          <w:p w:rsidR="005D2B5A" w:rsidRPr="002D372A" w:rsidP="007F63D3" w14:paraId="3315E953" w14:textId="77777777">
            <w:pPr>
              <w:keepNext/>
              <w:spacing w:after="0" w:line="240" w:lineRule="auto"/>
              <w:ind w:left="79" w:right="55"/>
              <w:jc w:val="center"/>
              <w:rPr>
                <w:rFonts w:ascii="Times New Roman" w:hAnsi="Times New Roman" w:cs="Times New Roman"/>
                <w:b/>
                <w:sz w:val="20"/>
                <w:szCs w:val="20"/>
              </w:rPr>
            </w:pPr>
            <w:r w:rsidRPr="002D372A">
              <w:rPr>
                <w:rFonts w:ascii="Times New Roman" w:hAnsi="Times New Roman" w:cs="Times New Roman"/>
                <w:b/>
                <w:sz w:val="20"/>
                <w:szCs w:val="20"/>
              </w:rPr>
              <w:t>Frequency</w:t>
            </w:r>
          </w:p>
        </w:tc>
        <w:tc>
          <w:tcPr>
            <w:tcW w:w="1350" w:type="dxa"/>
            <w:tcBorders>
              <w:left w:val="single" w:sz="6" w:space="0" w:color="000000"/>
              <w:right w:val="single" w:sz="6" w:space="0" w:color="000000"/>
            </w:tcBorders>
            <w:shd w:val="clear" w:color="auto" w:fill="DADADA"/>
            <w:vAlign w:val="center"/>
          </w:tcPr>
          <w:p w:rsidR="005D2B5A" w:rsidRPr="002D372A" w:rsidP="007F63D3" w14:paraId="6AA4EDF1" w14:textId="77777777">
            <w:pPr>
              <w:keepNext/>
              <w:spacing w:after="0" w:line="240" w:lineRule="auto"/>
              <w:ind w:left="75" w:right="133"/>
              <w:jc w:val="center"/>
              <w:rPr>
                <w:rFonts w:ascii="Times New Roman" w:hAnsi="Times New Roman" w:cs="Times New Roman"/>
                <w:b/>
                <w:sz w:val="20"/>
                <w:szCs w:val="20"/>
              </w:rPr>
            </w:pPr>
            <w:r>
              <w:rPr>
                <w:rFonts w:ascii="Times New Roman" w:hAnsi="Times New Roman" w:cs="Times New Roman"/>
                <w:b/>
                <w:sz w:val="20"/>
                <w:szCs w:val="20"/>
              </w:rPr>
              <w:t>Cost per Justification</w:t>
            </w:r>
          </w:p>
        </w:tc>
        <w:tc>
          <w:tcPr>
            <w:tcW w:w="1770" w:type="dxa"/>
            <w:tcBorders>
              <w:left w:val="single" w:sz="6" w:space="0" w:color="000000"/>
              <w:right w:val="single" w:sz="6" w:space="0" w:color="000000"/>
            </w:tcBorders>
            <w:shd w:val="clear" w:color="auto" w:fill="DADADA"/>
            <w:vAlign w:val="center"/>
          </w:tcPr>
          <w:p w:rsidR="005D2B5A" w:rsidRPr="002D372A" w:rsidP="00FA04B8" w14:paraId="544919C1"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Justifications</w:t>
            </w:r>
          </w:p>
        </w:tc>
        <w:tc>
          <w:tcPr>
            <w:tcW w:w="1812" w:type="dxa"/>
            <w:tcBorders>
              <w:left w:val="single" w:sz="6" w:space="0" w:color="000000"/>
              <w:right w:val="single" w:sz="6" w:space="0" w:color="000000"/>
            </w:tcBorders>
            <w:shd w:val="clear" w:color="auto" w:fill="DADADA"/>
            <w:vAlign w:val="center"/>
          </w:tcPr>
          <w:p w:rsidR="005D2B5A" w:rsidRPr="002D372A" w:rsidP="007F63D3" w14:paraId="136DEDD6" w14:textId="77777777">
            <w:pPr>
              <w:keepNext/>
              <w:spacing w:after="0" w:line="240" w:lineRule="auto"/>
              <w:ind w:left="99" w:right="238"/>
              <w:jc w:val="center"/>
              <w:rPr>
                <w:rFonts w:ascii="Times New Roman" w:hAnsi="Times New Roman" w:cs="Times New Roman"/>
                <w:b/>
                <w:sz w:val="20"/>
                <w:szCs w:val="20"/>
              </w:rPr>
            </w:pPr>
            <w:r w:rsidRPr="002D372A">
              <w:rPr>
                <w:rFonts w:ascii="Times New Roman" w:hAnsi="Times New Roman" w:cs="Times New Roman"/>
                <w:b/>
                <w:sz w:val="20"/>
                <w:szCs w:val="20"/>
              </w:rPr>
              <w:t xml:space="preserve">Total </w:t>
            </w:r>
            <w:r>
              <w:rPr>
                <w:rFonts w:ascii="Times New Roman" w:hAnsi="Times New Roman" w:cs="Times New Roman"/>
                <w:b/>
                <w:sz w:val="20"/>
                <w:szCs w:val="20"/>
              </w:rPr>
              <w:t>Annual</w:t>
            </w:r>
            <w:r w:rsidRPr="002D372A">
              <w:rPr>
                <w:rFonts w:ascii="Times New Roman" w:hAnsi="Times New Roman" w:cs="Times New Roman"/>
                <w:b/>
                <w:sz w:val="20"/>
                <w:szCs w:val="20"/>
              </w:rPr>
              <w:t xml:space="preserve"> Cost</w:t>
            </w:r>
          </w:p>
        </w:tc>
      </w:tr>
      <w:tr w14:paraId="50965F5B" w14:textId="77777777" w:rsidTr="007F63D3">
        <w:tblPrEx>
          <w:tblW w:w="0" w:type="auto"/>
          <w:jc w:val="center"/>
          <w:tblLayout w:type="fixed"/>
          <w:tblCellMar>
            <w:left w:w="0" w:type="dxa"/>
            <w:right w:w="0" w:type="dxa"/>
          </w:tblCellMar>
          <w:tblLook w:val="01E0"/>
        </w:tblPrEx>
        <w:trPr>
          <w:trHeight w:val="250"/>
          <w:jc w:val="center"/>
        </w:trPr>
        <w:tc>
          <w:tcPr>
            <w:tcW w:w="1782" w:type="dxa"/>
            <w:tcBorders>
              <w:left w:val="single" w:sz="6" w:space="0" w:color="000000"/>
              <w:right w:val="single" w:sz="6" w:space="0" w:color="000000"/>
            </w:tcBorders>
            <w:vAlign w:val="bottom"/>
          </w:tcPr>
          <w:p w:rsidR="005D2B5A" w:rsidRPr="002D372A" w:rsidP="007F63D3" w14:paraId="5F17D6E6" w14:textId="77777777">
            <w:pPr>
              <w:keepNext/>
              <w:spacing w:after="0" w:line="240" w:lineRule="auto"/>
              <w:ind w:left="127"/>
              <w:rPr>
                <w:rFonts w:ascii="Times New Roman" w:hAnsi="Times New Roman" w:cs="Times New Roman"/>
                <w:sz w:val="20"/>
                <w:szCs w:val="20"/>
              </w:rPr>
            </w:pPr>
            <w:r w:rsidRPr="002D372A">
              <w:rPr>
                <w:rFonts w:ascii="Times New Roman" w:hAnsi="Times New Roman" w:cs="Times New Roman"/>
                <w:sz w:val="20"/>
                <w:szCs w:val="20"/>
              </w:rPr>
              <w:t>Simple</w:t>
            </w:r>
          </w:p>
        </w:tc>
        <w:tc>
          <w:tcPr>
            <w:tcW w:w="1440" w:type="dxa"/>
            <w:tcBorders>
              <w:left w:val="single" w:sz="6" w:space="0" w:color="000000"/>
              <w:right w:val="single" w:sz="6" w:space="0" w:color="000000"/>
            </w:tcBorders>
            <w:vAlign w:val="bottom"/>
          </w:tcPr>
          <w:p w:rsidR="005D2B5A" w:rsidRPr="002D372A" w:rsidP="007F63D3" w14:paraId="309C158A" w14:textId="77777777">
            <w:pPr>
              <w:keepNext/>
              <w:spacing w:after="0" w:line="240" w:lineRule="auto"/>
              <w:ind w:left="16"/>
              <w:jc w:val="center"/>
              <w:rPr>
                <w:rFonts w:ascii="Times New Roman" w:hAnsi="Times New Roman" w:cs="Times New Roman"/>
                <w:sz w:val="20"/>
                <w:szCs w:val="20"/>
              </w:rPr>
            </w:pPr>
            <w:r>
              <w:rPr>
                <w:rFonts w:ascii="Times New Roman" w:hAnsi="Times New Roman" w:cs="Times New Roman"/>
                <w:sz w:val="20"/>
                <w:szCs w:val="20"/>
              </w:rPr>
              <w:t>0.2</w:t>
            </w:r>
          </w:p>
        </w:tc>
        <w:tc>
          <w:tcPr>
            <w:tcW w:w="1350" w:type="dxa"/>
            <w:tcBorders>
              <w:left w:val="single" w:sz="6" w:space="0" w:color="000000"/>
              <w:right w:val="single" w:sz="6" w:space="0" w:color="000000"/>
            </w:tcBorders>
            <w:vAlign w:val="bottom"/>
          </w:tcPr>
          <w:p w:rsidR="005D2B5A" w:rsidRPr="002D372A" w:rsidP="007F63D3" w14:paraId="6EF31CC2" w14:textId="77777777">
            <w:pPr>
              <w:keepNext/>
              <w:spacing w:after="0" w:line="240" w:lineRule="auto"/>
              <w:ind w:left="75" w:right="133"/>
              <w:jc w:val="center"/>
              <w:rPr>
                <w:rFonts w:ascii="Times New Roman" w:hAnsi="Times New Roman" w:cs="Times New Roman"/>
                <w:color w:val="000000"/>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9</w:t>
            </w:r>
          </w:p>
        </w:tc>
        <w:tc>
          <w:tcPr>
            <w:tcW w:w="1770" w:type="dxa"/>
            <w:tcBorders>
              <w:left w:val="single" w:sz="6" w:space="0" w:color="000000"/>
              <w:right w:val="single" w:sz="6" w:space="0" w:color="000000"/>
            </w:tcBorders>
            <w:vAlign w:val="bottom"/>
          </w:tcPr>
          <w:p w:rsidR="005D2B5A" w:rsidRPr="002D372A" w:rsidP="007F63D3" w14:paraId="7FA31F35" w14:textId="77777777">
            <w:pPr>
              <w:keepNext/>
              <w:spacing w:after="0" w:line="240" w:lineRule="auto"/>
              <w:ind w:left="72" w:right="164"/>
              <w:jc w:val="center"/>
              <w:rPr>
                <w:rFonts w:ascii="Times New Roman" w:hAnsi="Times New Roman" w:cs="Times New Roman"/>
                <w:sz w:val="20"/>
                <w:szCs w:val="20"/>
              </w:rPr>
            </w:pPr>
            <w:r>
              <w:rPr>
                <w:rFonts w:ascii="Times New Roman" w:hAnsi="Times New Roman" w:cs="Times New Roman"/>
                <w:sz w:val="20"/>
                <w:szCs w:val="20"/>
              </w:rPr>
              <w:t>7,471</w:t>
            </w:r>
          </w:p>
        </w:tc>
        <w:tc>
          <w:tcPr>
            <w:tcW w:w="1812" w:type="dxa"/>
            <w:tcBorders>
              <w:left w:val="single" w:sz="6" w:space="0" w:color="000000"/>
              <w:right w:val="single" w:sz="6" w:space="0" w:color="000000"/>
            </w:tcBorders>
            <w:vAlign w:val="bottom"/>
          </w:tcPr>
          <w:p w:rsidR="005D2B5A" w:rsidRPr="002D372A" w:rsidP="007F63D3" w14:paraId="2FF12147" w14:textId="77777777">
            <w:pPr>
              <w:keepNext/>
              <w:spacing w:after="0" w:line="240" w:lineRule="auto"/>
              <w:ind w:left="99"/>
              <w:jc w:val="center"/>
              <w:rPr>
                <w:rFonts w:ascii="Times New Roman" w:hAnsi="Times New Roman" w:cs="Times New Roman"/>
                <w:color w:val="000000"/>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13,784</w:t>
            </w:r>
          </w:p>
        </w:tc>
      </w:tr>
      <w:tr w14:paraId="1AD449B7" w14:textId="77777777" w:rsidTr="007F63D3">
        <w:tblPrEx>
          <w:tblW w:w="0" w:type="auto"/>
          <w:jc w:val="center"/>
          <w:tblLayout w:type="fixed"/>
          <w:tblCellMar>
            <w:left w:w="0" w:type="dxa"/>
            <w:right w:w="0" w:type="dxa"/>
          </w:tblCellMar>
          <w:tblLook w:val="01E0"/>
        </w:tblPrEx>
        <w:trPr>
          <w:trHeight w:val="250"/>
          <w:jc w:val="center"/>
        </w:trPr>
        <w:tc>
          <w:tcPr>
            <w:tcW w:w="1782" w:type="dxa"/>
            <w:tcBorders>
              <w:left w:val="single" w:sz="6" w:space="0" w:color="000000"/>
              <w:right w:val="single" w:sz="6" w:space="0" w:color="000000"/>
            </w:tcBorders>
            <w:vAlign w:val="bottom"/>
          </w:tcPr>
          <w:p w:rsidR="005D2B5A" w:rsidRPr="002D372A" w:rsidP="007F63D3" w14:paraId="33D51999" w14:textId="77777777">
            <w:pPr>
              <w:keepNext/>
              <w:spacing w:after="0" w:line="240" w:lineRule="auto"/>
              <w:ind w:left="127"/>
              <w:rPr>
                <w:rFonts w:ascii="Times New Roman" w:hAnsi="Times New Roman" w:cs="Times New Roman"/>
                <w:sz w:val="20"/>
                <w:szCs w:val="20"/>
              </w:rPr>
            </w:pPr>
            <w:r w:rsidRPr="002D372A">
              <w:rPr>
                <w:rFonts w:ascii="Times New Roman" w:hAnsi="Times New Roman" w:cs="Times New Roman"/>
                <w:sz w:val="20"/>
                <w:szCs w:val="20"/>
              </w:rPr>
              <w:t>Complex</w:t>
            </w:r>
          </w:p>
        </w:tc>
        <w:tc>
          <w:tcPr>
            <w:tcW w:w="1440" w:type="dxa"/>
            <w:tcBorders>
              <w:left w:val="single" w:sz="6" w:space="0" w:color="000000"/>
              <w:right w:val="single" w:sz="6" w:space="0" w:color="000000"/>
            </w:tcBorders>
            <w:vAlign w:val="bottom"/>
          </w:tcPr>
          <w:p w:rsidR="005D2B5A" w:rsidRPr="002D372A" w:rsidP="007F63D3" w14:paraId="1143DFDF" w14:textId="77777777">
            <w:pPr>
              <w:keepNext/>
              <w:spacing w:after="0" w:line="240" w:lineRule="auto"/>
              <w:ind w:left="16"/>
              <w:jc w:val="center"/>
              <w:rPr>
                <w:rFonts w:ascii="Times New Roman" w:hAnsi="Times New Roman" w:cs="Times New Roman"/>
                <w:sz w:val="20"/>
                <w:szCs w:val="20"/>
              </w:rPr>
            </w:pPr>
            <w:r>
              <w:rPr>
                <w:rFonts w:ascii="Times New Roman" w:hAnsi="Times New Roman" w:cs="Times New Roman"/>
                <w:sz w:val="20"/>
                <w:szCs w:val="20"/>
              </w:rPr>
              <w:t>0.2</w:t>
            </w:r>
          </w:p>
        </w:tc>
        <w:tc>
          <w:tcPr>
            <w:tcW w:w="1350" w:type="dxa"/>
            <w:tcBorders>
              <w:left w:val="single" w:sz="6" w:space="0" w:color="000000"/>
              <w:right w:val="single" w:sz="6" w:space="0" w:color="000000"/>
            </w:tcBorders>
            <w:vAlign w:val="bottom"/>
          </w:tcPr>
          <w:p w:rsidR="005D2B5A" w:rsidRPr="002D372A" w:rsidP="007F63D3" w14:paraId="73F026F4" w14:textId="77777777">
            <w:pPr>
              <w:keepNext/>
              <w:spacing w:after="0" w:line="240" w:lineRule="auto"/>
              <w:ind w:left="75" w:right="133"/>
              <w:jc w:val="center"/>
              <w:rPr>
                <w:rFonts w:ascii="Times New Roman" w:hAnsi="Times New Roman" w:cs="Times New Roman"/>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11</w:t>
            </w:r>
          </w:p>
        </w:tc>
        <w:tc>
          <w:tcPr>
            <w:tcW w:w="1770" w:type="dxa"/>
            <w:tcBorders>
              <w:left w:val="single" w:sz="6" w:space="0" w:color="000000"/>
              <w:right w:val="single" w:sz="6" w:space="0" w:color="000000"/>
            </w:tcBorders>
            <w:vAlign w:val="bottom"/>
          </w:tcPr>
          <w:p w:rsidR="005D2B5A" w:rsidRPr="002D372A" w:rsidP="007F63D3" w14:paraId="5F1360A4" w14:textId="77777777">
            <w:pPr>
              <w:keepNext/>
              <w:spacing w:after="0" w:line="240" w:lineRule="auto"/>
              <w:ind w:left="72" w:right="164"/>
              <w:jc w:val="center"/>
              <w:rPr>
                <w:rFonts w:ascii="Times New Roman" w:hAnsi="Times New Roman" w:cs="Times New Roman"/>
                <w:sz w:val="20"/>
                <w:szCs w:val="20"/>
              </w:rPr>
            </w:pPr>
            <w:r>
              <w:rPr>
                <w:rFonts w:ascii="Times New Roman" w:hAnsi="Times New Roman" w:cs="Times New Roman"/>
                <w:sz w:val="20"/>
                <w:szCs w:val="20"/>
              </w:rPr>
              <w:t>879</w:t>
            </w:r>
          </w:p>
        </w:tc>
        <w:tc>
          <w:tcPr>
            <w:tcW w:w="1812" w:type="dxa"/>
            <w:tcBorders>
              <w:left w:val="single" w:sz="6" w:space="0" w:color="000000"/>
              <w:right w:val="single" w:sz="6" w:space="0" w:color="000000"/>
            </w:tcBorders>
            <w:vAlign w:val="bottom"/>
          </w:tcPr>
          <w:p w:rsidR="005D2B5A" w:rsidRPr="002D372A" w:rsidP="007F63D3" w14:paraId="056F531E" w14:textId="77777777">
            <w:pPr>
              <w:keepNext/>
              <w:spacing w:after="0" w:line="240" w:lineRule="auto"/>
              <w:ind w:left="99"/>
              <w:jc w:val="center"/>
              <w:rPr>
                <w:rFonts w:ascii="Times New Roman" w:hAnsi="Times New Roman" w:cs="Times New Roman"/>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2,015</w:t>
            </w:r>
          </w:p>
        </w:tc>
      </w:tr>
      <w:tr w14:paraId="461CE257" w14:textId="77777777" w:rsidTr="007F63D3">
        <w:tblPrEx>
          <w:tblW w:w="0" w:type="auto"/>
          <w:jc w:val="center"/>
          <w:tblLayout w:type="fixed"/>
          <w:tblCellMar>
            <w:left w:w="0" w:type="dxa"/>
            <w:right w:w="0" w:type="dxa"/>
          </w:tblCellMar>
          <w:tblLook w:val="01E0"/>
        </w:tblPrEx>
        <w:trPr>
          <w:trHeight w:val="255"/>
          <w:jc w:val="center"/>
        </w:trPr>
        <w:tc>
          <w:tcPr>
            <w:tcW w:w="1782" w:type="dxa"/>
            <w:tcBorders>
              <w:top w:val="single" w:sz="6" w:space="0" w:color="000000"/>
              <w:left w:val="single" w:sz="6" w:space="0" w:color="000000"/>
              <w:bottom w:val="single" w:sz="6" w:space="0" w:color="000000"/>
              <w:right w:val="single" w:sz="6" w:space="0" w:color="000000"/>
            </w:tcBorders>
            <w:vAlign w:val="bottom"/>
          </w:tcPr>
          <w:p w:rsidR="005D2B5A" w:rsidRPr="002D372A" w:rsidP="007F63D3" w14:paraId="5D1CC493" w14:textId="77777777">
            <w:pPr>
              <w:spacing w:after="0" w:line="240" w:lineRule="auto"/>
              <w:ind w:left="246" w:right="210"/>
              <w:rPr>
                <w:rFonts w:ascii="Times New Roman" w:hAnsi="Times New Roman" w:cs="Times New Roman"/>
                <w:b/>
                <w:sz w:val="20"/>
                <w:szCs w:val="20"/>
              </w:rPr>
            </w:pPr>
            <w:r w:rsidRPr="002D372A">
              <w:rPr>
                <w:rFonts w:ascii="Times New Roman" w:hAnsi="Times New Roman" w:cs="Times New Roman"/>
                <w:b/>
                <w:sz w:val="20"/>
                <w:szCs w:val="20"/>
              </w:rPr>
              <w:t>Total</w:t>
            </w:r>
          </w:p>
        </w:tc>
        <w:tc>
          <w:tcPr>
            <w:tcW w:w="1440" w:type="dxa"/>
            <w:tcBorders>
              <w:top w:val="single" w:sz="6" w:space="0" w:color="000000"/>
              <w:left w:val="single" w:sz="6" w:space="0" w:color="000000"/>
              <w:bottom w:val="single" w:sz="6" w:space="0" w:color="000000"/>
              <w:right w:val="single" w:sz="6" w:space="0" w:color="000000"/>
            </w:tcBorders>
            <w:vAlign w:val="bottom"/>
          </w:tcPr>
          <w:p w:rsidR="005D2B5A" w:rsidRPr="002D372A" w:rsidP="007F63D3" w14:paraId="33AE261A" w14:textId="77777777">
            <w:pPr>
              <w:spacing w:after="0" w:line="240" w:lineRule="auto"/>
              <w:jc w:val="center"/>
              <w:rPr>
                <w:rFonts w:ascii="Times New Roman" w:hAnsi="Times New Roman" w:cs="Times New Roman"/>
                <w:sz w:val="20"/>
                <w:szCs w:val="20"/>
              </w:rPr>
            </w:pPr>
          </w:p>
        </w:tc>
        <w:tc>
          <w:tcPr>
            <w:tcW w:w="1350" w:type="dxa"/>
            <w:tcBorders>
              <w:top w:val="single" w:sz="6" w:space="0" w:color="000000"/>
              <w:left w:val="single" w:sz="6" w:space="0" w:color="000000"/>
              <w:bottom w:val="single" w:sz="6" w:space="0" w:color="000000"/>
              <w:right w:val="single" w:sz="6" w:space="0" w:color="000000"/>
            </w:tcBorders>
            <w:vAlign w:val="bottom"/>
          </w:tcPr>
          <w:p w:rsidR="005D2B5A" w:rsidRPr="002D372A" w:rsidP="007F63D3" w14:paraId="3AF88019" w14:textId="77777777">
            <w:pPr>
              <w:spacing w:after="0" w:line="240" w:lineRule="auto"/>
              <w:jc w:val="center"/>
              <w:rPr>
                <w:rFonts w:ascii="Times New Roman" w:hAnsi="Times New Roman" w:cs="Times New Roman"/>
                <w:sz w:val="20"/>
                <w:szCs w:val="20"/>
              </w:rPr>
            </w:pPr>
          </w:p>
        </w:tc>
        <w:tc>
          <w:tcPr>
            <w:tcW w:w="1770" w:type="dxa"/>
            <w:tcBorders>
              <w:top w:val="single" w:sz="6" w:space="0" w:color="000000"/>
              <w:left w:val="single" w:sz="6" w:space="0" w:color="000000"/>
              <w:bottom w:val="single" w:sz="6" w:space="0" w:color="000000"/>
              <w:right w:val="single" w:sz="6" w:space="0" w:color="000000"/>
            </w:tcBorders>
            <w:vAlign w:val="bottom"/>
          </w:tcPr>
          <w:p w:rsidR="005D2B5A" w:rsidRPr="002D372A" w:rsidP="007F63D3" w14:paraId="6A5711F3" w14:textId="77777777">
            <w:pPr>
              <w:spacing w:after="0" w:line="240" w:lineRule="auto"/>
              <w:ind w:left="72"/>
              <w:jc w:val="center"/>
              <w:rPr>
                <w:rFonts w:ascii="Times New Roman" w:hAnsi="Times New Roman" w:cs="Times New Roman"/>
                <w:b/>
                <w:sz w:val="20"/>
                <w:szCs w:val="20"/>
              </w:rPr>
            </w:pPr>
            <w:r>
              <w:rPr>
                <w:rFonts w:ascii="Times New Roman" w:hAnsi="Times New Roman" w:cs="Times New Roman"/>
                <w:b/>
                <w:sz w:val="20"/>
                <w:szCs w:val="20"/>
              </w:rPr>
              <w:t>8,350</w:t>
            </w:r>
          </w:p>
        </w:tc>
        <w:tc>
          <w:tcPr>
            <w:tcW w:w="1812" w:type="dxa"/>
            <w:tcBorders>
              <w:top w:val="single" w:sz="6" w:space="0" w:color="000000"/>
              <w:left w:val="single" w:sz="6" w:space="0" w:color="000000"/>
              <w:bottom w:val="single" w:sz="6" w:space="0" w:color="000000"/>
              <w:right w:val="single" w:sz="6" w:space="0" w:color="000000"/>
            </w:tcBorders>
            <w:vAlign w:val="bottom"/>
          </w:tcPr>
          <w:p w:rsidR="005D2B5A" w:rsidRPr="002D372A" w:rsidP="007F63D3" w14:paraId="2958936F" w14:textId="77777777">
            <w:pPr>
              <w:spacing w:after="0" w:line="240" w:lineRule="auto"/>
              <w:ind w:left="99"/>
              <w:jc w:val="center"/>
              <w:rPr>
                <w:rFonts w:ascii="Times New Roman" w:hAnsi="Times New Roman" w:cs="Times New Roman"/>
                <w:b/>
                <w:sz w:val="20"/>
                <w:szCs w:val="20"/>
              </w:rPr>
            </w:pPr>
            <w:r w:rsidRPr="002D372A">
              <w:rPr>
                <w:rFonts w:ascii="Times New Roman" w:hAnsi="Times New Roman" w:cs="Times New Roman"/>
                <w:b/>
                <w:color w:val="000000"/>
                <w:sz w:val="20"/>
                <w:szCs w:val="20"/>
              </w:rPr>
              <w:t>$</w:t>
            </w:r>
            <w:r>
              <w:rPr>
                <w:rFonts w:ascii="Times New Roman" w:hAnsi="Times New Roman" w:cs="Times New Roman"/>
                <w:b/>
                <w:color w:val="000000"/>
                <w:sz w:val="20"/>
                <w:szCs w:val="20"/>
              </w:rPr>
              <w:t>15,798</w:t>
            </w:r>
          </w:p>
        </w:tc>
      </w:tr>
    </w:tbl>
    <w:p w:rsidR="005D2B5A" w:rsidP="005D2B5A" w14:paraId="5D23F55A" w14:textId="77777777">
      <w:pPr>
        <w:pStyle w:val="Caption"/>
        <w:spacing w:after="0"/>
        <w:jc w:val="center"/>
        <w:rPr>
          <w:rFonts w:ascii="Times New Roman" w:hAnsi="Times New Roman" w:cs="Times New Roman"/>
          <w:b/>
          <w:bCs/>
          <w:i w:val="0"/>
          <w:iCs w:val="0"/>
          <w:color w:val="auto"/>
          <w:sz w:val="22"/>
          <w:szCs w:val="22"/>
        </w:rPr>
      </w:pPr>
    </w:p>
    <w:p w:rsidR="002525A6" w:rsidRPr="002D372A" w:rsidP="002525A6" w14:paraId="47885E0E" w14:textId="77777777">
      <w:pPr>
        <w:pStyle w:val="Caption"/>
        <w:jc w:val="center"/>
        <w:rPr>
          <w:rFonts w:ascii="Times New Roman" w:hAnsi="Times New Roman" w:cs="Times New Roman"/>
          <w:b/>
          <w:bCs/>
          <w:i w:val="0"/>
          <w:iCs w:val="0"/>
          <w:color w:val="auto"/>
          <w:sz w:val="22"/>
          <w:szCs w:val="22"/>
        </w:rPr>
      </w:pPr>
      <w:r w:rsidRPr="002D372A">
        <w:rPr>
          <w:rFonts w:ascii="Times New Roman" w:hAnsi="Times New Roman" w:cs="Times New Roman"/>
          <w:b/>
          <w:bCs/>
          <w:i w:val="0"/>
          <w:iCs w:val="0"/>
          <w:color w:val="auto"/>
          <w:sz w:val="22"/>
          <w:szCs w:val="22"/>
        </w:rPr>
        <w:t>Exhibit 5-</w:t>
      </w:r>
      <w:r>
        <w:rPr>
          <w:rFonts w:ascii="Times New Roman" w:hAnsi="Times New Roman" w:cs="Times New Roman"/>
          <w:b/>
          <w:bCs/>
          <w:i w:val="0"/>
          <w:iCs w:val="0"/>
          <w:color w:val="auto"/>
          <w:sz w:val="22"/>
          <w:szCs w:val="22"/>
        </w:rPr>
        <w:t>11</w:t>
      </w:r>
      <w:r w:rsidRPr="002D372A">
        <w:rPr>
          <w:rFonts w:ascii="Times New Roman" w:hAnsi="Times New Roman" w:cs="Times New Roman"/>
          <w:b/>
          <w:bCs/>
          <w:i w:val="0"/>
          <w:iCs w:val="0"/>
          <w:color w:val="auto"/>
          <w:sz w:val="22"/>
          <w:szCs w:val="22"/>
        </w:rPr>
        <w:t xml:space="preserve">: Costs for </w:t>
      </w:r>
      <w:r>
        <w:rPr>
          <w:rFonts w:ascii="Times New Roman" w:hAnsi="Times New Roman" w:cs="Times New Roman"/>
          <w:b/>
          <w:bCs/>
          <w:i w:val="0"/>
          <w:iCs w:val="0"/>
          <w:color w:val="auto"/>
          <w:sz w:val="22"/>
          <w:szCs w:val="22"/>
        </w:rPr>
        <w:t>Natural Hazards RMP Justification</w:t>
      </w:r>
      <w:r w:rsidRPr="002D372A">
        <w:rPr>
          <w:rFonts w:ascii="Times New Roman" w:hAnsi="Times New Roman" w:cs="Times New Roman"/>
          <w:b/>
          <w:bCs/>
          <w:i w:val="0"/>
          <w:iCs w:val="0"/>
          <w:color w:val="auto"/>
          <w:sz w:val="22"/>
          <w:szCs w:val="22"/>
        </w:rPr>
        <w:t xml:space="preserve"> Provision (202</w:t>
      </w:r>
      <w:r>
        <w:rPr>
          <w:rFonts w:ascii="Times New Roman" w:hAnsi="Times New Roman" w:cs="Times New Roman"/>
          <w:b/>
          <w:bCs/>
          <w:i w:val="0"/>
          <w:iCs w:val="0"/>
          <w:color w:val="auto"/>
          <w:sz w:val="22"/>
          <w:szCs w:val="22"/>
        </w:rPr>
        <w:t>2</w:t>
      </w:r>
      <w:r w:rsidRPr="002D372A">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d</w:t>
      </w:r>
      <w:r w:rsidRPr="002D372A">
        <w:rPr>
          <w:rFonts w:ascii="Times New Roman" w:hAnsi="Times New Roman" w:cs="Times New Roman"/>
          <w:b/>
          <w:bCs/>
          <w:i w:val="0"/>
          <w:iCs w:val="0"/>
          <w:color w:val="auto"/>
          <w:sz w:val="22"/>
          <w:szCs w:val="22"/>
        </w:rPr>
        <w:t>ollars).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82"/>
        <w:gridCol w:w="1440"/>
        <w:gridCol w:w="1350"/>
        <w:gridCol w:w="1770"/>
        <w:gridCol w:w="1812"/>
      </w:tblGrid>
      <w:tr w14:paraId="5F833ABC" w14:textId="77777777" w:rsidTr="00FA04B8">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20"/>
          <w:jc w:val="center"/>
        </w:trPr>
        <w:tc>
          <w:tcPr>
            <w:tcW w:w="1782" w:type="dxa"/>
            <w:tcBorders>
              <w:left w:val="single" w:sz="6" w:space="0" w:color="000000"/>
              <w:right w:val="single" w:sz="6" w:space="0" w:color="000000"/>
            </w:tcBorders>
            <w:shd w:val="clear" w:color="auto" w:fill="DADADA"/>
            <w:vAlign w:val="center"/>
          </w:tcPr>
          <w:p w:rsidR="002525A6" w:rsidRPr="002D372A" w:rsidP="007F63D3" w14:paraId="558D0930" w14:textId="77777777">
            <w:pPr>
              <w:keepNext/>
              <w:spacing w:after="0" w:line="240" w:lineRule="auto"/>
              <w:ind w:left="1087" w:hanging="1017"/>
              <w:jc w:val="center"/>
              <w:rPr>
                <w:rFonts w:ascii="Times New Roman" w:hAnsi="Times New Roman" w:cs="Times New Roman"/>
                <w:b/>
                <w:sz w:val="20"/>
                <w:szCs w:val="20"/>
              </w:rPr>
            </w:pPr>
            <w:r w:rsidRPr="002D372A">
              <w:rPr>
                <w:rFonts w:ascii="Times New Roman" w:hAnsi="Times New Roman" w:cs="Times New Roman"/>
                <w:b/>
                <w:sz w:val="20"/>
                <w:szCs w:val="20"/>
              </w:rPr>
              <w:t>Facility Type</w:t>
            </w:r>
          </w:p>
        </w:tc>
        <w:tc>
          <w:tcPr>
            <w:tcW w:w="1440" w:type="dxa"/>
            <w:tcBorders>
              <w:left w:val="single" w:sz="6" w:space="0" w:color="000000"/>
              <w:right w:val="single" w:sz="6" w:space="0" w:color="000000"/>
            </w:tcBorders>
            <w:shd w:val="clear" w:color="auto" w:fill="DADADA"/>
            <w:vAlign w:val="center"/>
          </w:tcPr>
          <w:p w:rsidR="002525A6" w:rsidRPr="002D372A" w:rsidP="007F63D3" w14:paraId="1EA668EE" w14:textId="77777777">
            <w:pPr>
              <w:keepNext/>
              <w:spacing w:after="0" w:line="240" w:lineRule="auto"/>
              <w:ind w:left="91" w:right="55"/>
              <w:jc w:val="center"/>
              <w:rPr>
                <w:rFonts w:ascii="Times New Roman" w:hAnsi="Times New Roman" w:cs="Times New Roman"/>
                <w:b/>
                <w:sz w:val="20"/>
                <w:szCs w:val="20"/>
              </w:rPr>
            </w:pPr>
            <w:r w:rsidRPr="002D372A">
              <w:rPr>
                <w:rFonts w:ascii="Times New Roman" w:hAnsi="Times New Roman" w:cs="Times New Roman"/>
                <w:b/>
                <w:sz w:val="20"/>
                <w:szCs w:val="20"/>
              </w:rPr>
              <w:t>Annual</w:t>
            </w:r>
          </w:p>
          <w:p w:rsidR="002525A6" w:rsidRPr="002D372A" w:rsidP="007F63D3" w14:paraId="71143AEA" w14:textId="77777777">
            <w:pPr>
              <w:keepNext/>
              <w:spacing w:after="0" w:line="240" w:lineRule="auto"/>
              <w:ind w:left="79" w:right="55"/>
              <w:jc w:val="center"/>
              <w:rPr>
                <w:rFonts w:ascii="Times New Roman" w:hAnsi="Times New Roman" w:cs="Times New Roman"/>
                <w:b/>
                <w:sz w:val="20"/>
                <w:szCs w:val="20"/>
              </w:rPr>
            </w:pPr>
            <w:r w:rsidRPr="002D372A">
              <w:rPr>
                <w:rFonts w:ascii="Times New Roman" w:hAnsi="Times New Roman" w:cs="Times New Roman"/>
                <w:b/>
                <w:sz w:val="20"/>
                <w:szCs w:val="20"/>
              </w:rPr>
              <w:t>Frequency</w:t>
            </w:r>
          </w:p>
        </w:tc>
        <w:tc>
          <w:tcPr>
            <w:tcW w:w="1350" w:type="dxa"/>
            <w:tcBorders>
              <w:left w:val="single" w:sz="6" w:space="0" w:color="000000"/>
              <w:right w:val="single" w:sz="6" w:space="0" w:color="000000"/>
            </w:tcBorders>
            <w:shd w:val="clear" w:color="auto" w:fill="DADADA"/>
            <w:vAlign w:val="center"/>
          </w:tcPr>
          <w:p w:rsidR="002525A6" w:rsidRPr="002D372A" w:rsidP="007F63D3" w14:paraId="302515A6" w14:textId="77777777">
            <w:pPr>
              <w:keepNext/>
              <w:spacing w:after="0" w:line="240" w:lineRule="auto"/>
              <w:ind w:left="75" w:right="133"/>
              <w:jc w:val="center"/>
              <w:rPr>
                <w:rFonts w:ascii="Times New Roman" w:hAnsi="Times New Roman" w:cs="Times New Roman"/>
                <w:b/>
                <w:sz w:val="20"/>
                <w:szCs w:val="20"/>
              </w:rPr>
            </w:pPr>
            <w:r>
              <w:rPr>
                <w:rFonts w:ascii="Times New Roman" w:hAnsi="Times New Roman" w:cs="Times New Roman"/>
                <w:b/>
                <w:sz w:val="20"/>
                <w:szCs w:val="20"/>
              </w:rPr>
              <w:t>Cost per Justification</w:t>
            </w:r>
          </w:p>
        </w:tc>
        <w:tc>
          <w:tcPr>
            <w:tcW w:w="1770" w:type="dxa"/>
            <w:tcBorders>
              <w:left w:val="single" w:sz="6" w:space="0" w:color="000000"/>
              <w:right w:val="single" w:sz="6" w:space="0" w:color="000000"/>
            </w:tcBorders>
            <w:shd w:val="clear" w:color="auto" w:fill="DADADA"/>
            <w:vAlign w:val="center"/>
          </w:tcPr>
          <w:p w:rsidR="002525A6" w:rsidRPr="002D372A" w:rsidP="0058428D" w14:paraId="19BC57D9" w14:textId="77777777">
            <w:pPr>
              <w:keepNext/>
              <w:spacing w:after="0" w:line="240" w:lineRule="auto"/>
              <w:ind w:left="72"/>
              <w:jc w:val="center"/>
              <w:rPr>
                <w:rFonts w:ascii="Times New Roman" w:hAnsi="Times New Roman" w:cs="Times New Roman"/>
                <w:b/>
                <w:sz w:val="20"/>
                <w:szCs w:val="20"/>
              </w:rPr>
            </w:pPr>
            <w:r>
              <w:rPr>
                <w:rFonts w:ascii="Times New Roman" w:hAnsi="Times New Roman" w:cs="Times New Roman"/>
                <w:b/>
                <w:sz w:val="20"/>
                <w:szCs w:val="20"/>
              </w:rPr>
              <w:t>Justifications</w:t>
            </w:r>
          </w:p>
        </w:tc>
        <w:tc>
          <w:tcPr>
            <w:tcW w:w="1812" w:type="dxa"/>
            <w:tcBorders>
              <w:left w:val="single" w:sz="6" w:space="0" w:color="000000"/>
              <w:right w:val="single" w:sz="6" w:space="0" w:color="000000"/>
            </w:tcBorders>
            <w:shd w:val="clear" w:color="auto" w:fill="DADADA"/>
            <w:vAlign w:val="center"/>
          </w:tcPr>
          <w:p w:rsidR="002525A6" w:rsidRPr="002D372A" w:rsidP="007F63D3" w14:paraId="6982F1CD" w14:textId="77777777">
            <w:pPr>
              <w:keepNext/>
              <w:spacing w:after="0" w:line="240" w:lineRule="auto"/>
              <w:ind w:left="99" w:right="238"/>
              <w:jc w:val="center"/>
              <w:rPr>
                <w:rFonts w:ascii="Times New Roman" w:hAnsi="Times New Roman" w:cs="Times New Roman"/>
                <w:b/>
                <w:sz w:val="20"/>
                <w:szCs w:val="20"/>
              </w:rPr>
            </w:pPr>
            <w:r w:rsidRPr="002D372A">
              <w:rPr>
                <w:rFonts w:ascii="Times New Roman" w:hAnsi="Times New Roman" w:cs="Times New Roman"/>
                <w:b/>
                <w:sz w:val="20"/>
                <w:szCs w:val="20"/>
              </w:rPr>
              <w:t xml:space="preserve">Total </w:t>
            </w:r>
            <w:r>
              <w:rPr>
                <w:rFonts w:ascii="Times New Roman" w:hAnsi="Times New Roman" w:cs="Times New Roman"/>
                <w:b/>
                <w:sz w:val="20"/>
                <w:szCs w:val="20"/>
              </w:rPr>
              <w:t>Annual</w:t>
            </w:r>
            <w:r w:rsidRPr="002D372A">
              <w:rPr>
                <w:rFonts w:ascii="Times New Roman" w:hAnsi="Times New Roman" w:cs="Times New Roman"/>
                <w:b/>
                <w:sz w:val="20"/>
                <w:szCs w:val="20"/>
              </w:rPr>
              <w:t xml:space="preserve"> Cost</w:t>
            </w:r>
          </w:p>
        </w:tc>
      </w:tr>
      <w:tr w14:paraId="054CCF98" w14:textId="77777777" w:rsidTr="007F63D3">
        <w:tblPrEx>
          <w:tblW w:w="0" w:type="auto"/>
          <w:jc w:val="center"/>
          <w:tblLayout w:type="fixed"/>
          <w:tblCellMar>
            <w:left w:w="0" w:type="dxa"/>
            <w:right w:w="0" w:type="dxa"/>
          </w:tblCellMar>
          <w:tblLook w:val="01E0"/>
        </w:tblPrEx>
        <w:trPr>
          <w:trHeight w:val="250"/>
          <w:jc w:val="center"/>
        </w:trPr>
        <w:tc>
          <w:tcPr>
            <w:tcW w:w="1782" w:type="dxa"/>
            <w:tcBorders>
              <w:left w:val="single" w:sz="6" w:space="0" w:color="000000"/>
              <w:right w:val="single" w:sz="6" w:space="0" w:color="000000"/>
            </w:tcBorders>
            <w:vAlign w:val="bottom"/>
          </w:tcPr>
          <w:p w:rsidR="002525A6" w:rsidRPr="002D372A" w:rsidP="007F63D3" w14:paraId="48712267" w14:textId="77777777">
            <w:pPr>
              <w:keepNext/>
              <w:spacing w:after="0" w:line="240" w:lineRule="auto"/>
              <w:ind w:left="127"/>
              <w:rPr>
                <w:rFonts w:ascii="Times New Roman" w:hAnsi="Times New Roman" w:cs="Times New Roman"/>
                <w:sz w:val="20"/>
                <w:szCs w:val="20"/>
              </w:rPr>
            </w:pPr>
            <w:r w:rsidRPr="002D372A">
              <w:rPr>
                <w:rFonts w:ascii="Times New Roman" w:hAnsi="Times New Roman" w:cs="Times New Roman"/>
                <w:sz w:val="20"/>
                <w:szCs w:val="20"/>
              </w:rPr>
              <w:t>Simple</w:t>
            </w:r>
          </w:p>
        </w:tc>
        <w:tc>
          <w:tcPr>
            <w:tcW w:w="1440" w:type="dxa"/>
            <w:tcBorders>
              <w:left w:val="single" w:sz="6" w:space="0" w:color="000000"/>
              <w:right w:val="single" w:sz="6" w:space="0" w:color="000000"/>
            </w:tcBorders>
            <w:vAlign w:val="bottom"/>
          </w:tcPr>
          <w:p w:rsidR="002525A6" w:rsidRPr="002D372A" w:rsidP="007F63D3" w14:paraId="374196AB" w14:textId="77777777">
            <w:pPr>
              <w:keepNext/>
              <w:spacing w:after="0" w:line="240" w:lineRule="auto"/>
              <w:ind w:left="16"/>
              <w:jc w:val="center"/>
              <w:rPr>
                <w:rFonts w:ascii="Times New Roman" w:hAnsi="Times New Roman" w:cs="Times New Roman"/>
                <w:sz w:val="20"/>
                <w:szCs w:val="20"/>
              </w:rPr>
            </w:pPr>
            <w:r>
              <w:rPr>
                <w:rFonts w:ascii="Times New Roman" w:hAnsi="Times New Roman" w:cs="Times New Roman"/>
                <w:sz w:val="20"/>
                <w:szCs w:val="20"/>
              </w:rPr>
              <w:t>0.2</w:t>
            </w:r>
          </w:p>
        </w:tc>
        <w:tc>
          <w:tcPr>
            <w:tcW w:w="1350" w:type="dxa"/>
            <w:tcBorders>
              <w:left w:val="single" w:sz="6" w:space="0" w:color="000000"/>
              <w:right w:val="single" w:sz="6" w:space="0" w:color="000000"/>
            </w:tcBorders>
            <w:vAlign w:val="bottom"/>
          </w:tcPr>
          <w:p w:rsidR="002525A6" w:rsidRPr="002D372A" w:rsidP="007F63D3" w14:paraId="6A3E025F" w14:textId="77777777">
            <w:pPr>
              <w:keepNext/>
              <w:spacing w:after="0" w:line="240" w:lineRule="auto"/>
              <w:ind w:left="75" w:right="133"/>
              <w:jc w:val="center"/>
              <w:rPr>
                <w:rFonts w:ascii="Times New Roman" w:hAnsi="Times New Roman" w:cs="Times New Roman"/>
                <w:color w:val="000000"/>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9</w:t>
            </w:r>
          </w:p>
        </w:tc>
        <w:tc>
          <w:tcPr>
            <w:tcW w:w="1770" w:type="dxa"/>
            <w:tcBorders>
              <w:left w:val="single" w:sz="6" w:space="0" w:color="000000"/>
              <w:right w:val="single" w:sz="6" w:space="0" w:color="000000"/>
            </w:tcBorders>
            <w:vAlign w:val="bottom"/>
          </w:tcPr>
          <w:p w:rsidR="002525A6" w:rsidRPr="002D372A" w:rsidP="007F63D3" w14:paraId="67EDF810" w14:textId="77777777">
            <w:pPr>
              <w:keepNext/>
              <w:spacing w:after="0" w:line="240" w:lineRule="auto"/>
              <w:ind w:left="72" w:right="164"/>
              <w:jc w:val="center"/>
              <w:rPr>
                <w:rFonts w:ascii="Times New Roman" w:hAnsi="Times New Roman" w:cs="Times New Roman"/>
                <w:sz w:val="20"/>
                <w:szCs w:val="20"/>
              </w:rPr>
            </w:pPr>
            <w:r>
              <w:rPr>
                <w:rFonts w:ascii="Times New Roman" w:hAnsi="Times New Roman" w:cs="Times New Roman"/>
                <w:sz w:val="20"/>
                <w:szCs w:val="20"/>
              </w:rPr>
              <w:t>18,978</w:t>
            </w:r>
          </w:p>
        </w:tc>
        <w:tc>
          <w:tcPr>
            <w:tcW w:w="1812" w:type="dxa"/>
            <w:tcBorders>
              <w:left w:val="single" w:sz="6" w:space="0" w:color="000000"/>
              <w:right w:val="single" w:sz="6" w:space="0" w:color="000000"/>
            </w:tcBorders>
            <w:vAlign w:val="bottom"/>
          </w:tcPr>
          <w:p w:rsidR="002525A6" w:rsidRPr="002D372A" w:rsidP="007F63D3" w14:paraId="2F5259D3" w14:textId="77777777">
            <w:pPr>
              <w:keepNext/>
              <w:spacing w:after="0" w:line="240" w:lineRule="auto"/>
              <w:ind w:left="99"/>
              <w:jc w:val="center"/>
              <w:rPr>
                <w:rFonts w:ascii="Times New Roman" w:hAnsi="Times New Roman" w:cs="Times New Roman"/>
                <w:color w:val="000000"/>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35,014</w:t>
            </w:r>
          </w:p>
        </w:tc>
      </w:tr>
      <w:tr w14:paraId="3B50CE14" w14:textId="77777777" w:rsidTr="007F63D3">
        <w:tblPrEx>
          <w:tblW w:w="0" w:type="auto"/>
          <w:jc w:val="center"/>
          <w:tblLayout w:type="fixed"/>
          <w:tblCellMar>
            <w:left w:w="0" w:type="dxa"/>
            <w:right w:w="0" w:type="dxa"/>
          </w:tblCellMar>
          <w:tblLook w:val="01E0"/>
        </w:tblPrEx>
        <w:trPr>
          <w:trHeight w:val="250"/>
          <w:jc w:val="center"/>
        </w:trPr>
        <w:tc>
          <w:tcPr>
            <w:tcW w:w="1782" w:type="dxa"/>
            <w:tcBorders>
              <w:left w:val="single" w:sz="6" w:space="0" w:color="000000"/>
              <w:right w:val="single" w:sz="6" w:space="0" w:color="000000"/>
            </w:tcBorders>
            <w:vAlign w:val="bottom"/>
          </w:tcPr>
          <w:p w:rsidR="002525A6" w:rsidRPr="002D372A" w:rsidP="007F63D3" w14:paraId="6EC4A8D2" w14:textId="77777777">
            <w:pPr>
              <w:keepNext/>
              <w:spacing w:after="0" w:line="240" w:lineRule="auto"/>
              <w:ind w:left="127"/>
              <w:rPr>
                <w:rFonts w:ascii="Times New Roman" w:hAnsi="Times New Roman" w:cs="Times New Roman"/>
                <w:sz w:val="20"/>
                <w:szCs w:val="20"/>
              </w:rPr>
            </w:pPr>
            <w:r w:rsidRPr="002D372A">
              <w:rPr>
                <w:rFonts w:ascii="Times New Roman" w:hAnsi="Times New Roman" w:cs="Times New Roman"/>
                <w:sz w:val="20"/>
                <w:szCs w:val="20"/>
              </w:rPr>
              <w:t>Complex</w:t>
            </w:r>
          </w:p>
        </w:tc>
        <w:tc>
          <w:tcPr>
            <w:tcW w:w="1440" w:type="dxa"/>
            <w:tcBorders>
              <w:left w:val="single" w:sz="6" w:space="0" w:color="000000"/>
              <w:right w:val="single" w:sz="6" w:space="0" w:color="000000"/>
            </w:tcBorders>
            <w:vAlign w:val="bottom"/>
          </w:tcPr>
          <w:p w:rsidR="002525A6" w:rsidRPr="002D372A" w:rsidP="007F63D3" w14:paraId="098D7FBF" w14:textId="77777777">
            <w:pPr>
              <w:keepNext/>
              <w:spacing w:after="0" w:line="240" w:lineRule="auto"/>
              <w:ind w:left="16"/>
              <w:jc w:val="center"/>
              <w:rPr>
                <w:rFonts w:ascii="Times New Roman" w:hAnsi="Times New Roman" w:cs="Times New Roman"/>
                <w:sz w:val="20"/>
                <w:szCs w:val="20"/>
              </w:rPr>
            </w:pPr>
            <w:r>
              <w:rPr>
                <w:rFonts w:ascii="Times New Roman" w:hAnsi="Times New Roman" w:cs="Times New Roman"/>
                <w:sz w:val="20"/>
                <w:szCs w:val="20"/>
              </w:rPr>
              <w:t>0.2</w:t>
            </w:r>
          </w:p>
        </w:tc>
        <w:tc>
          <w:tcPr>
            <w:tcW w:w="1350" w:type="dxa"/>
            <w:tcBorders>
              <w:left w:val="single" w:sz="6" w:space="0" w:color="000000"/>
              <w:right w:val="single" w:sz="6" w:space="0" w:color="000000"/>
            </w:tcBorders>
            <w:vAlign w:val="bottom"/>
          </w:tcPr>
          <w:p w:rsidR="002525A6" w:rsidRPr="002D372A" w:rsidP="007F63D3" w14:paraId="146A74D1" w14:textId="77777777">
            <w:pPr>
              <w:keepNext/>
              <w:spacing w:after="0" w:line="240" w:lineRule="auto"/>
              <w:ind w:left="75" w:right="133"/>
              <w:jc w:val="center"/>
              <w:rPr>
                <w:rFonts w:ascii="Times New Roman" w:hAnsi="Times New Roman" w:cs="Times New Roman"/>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11</w:t>
            </w:r>
          </w:p>
        </w:tc>
        <w:tc>
          <w:tcPr>
            <w:tcW w:w="1770" w:type="dxa"/>
            <w:tcBorders>
              <w:left w:val="single" w:sz="6" w:space="0" w:color="000000"/>
              <w:right w:val="single" w:sz="6" w:space="0" w:color="000000"/>
            </w:tcBorders>
            <w:vAlign w:val="bottom"/>
          </w:tcPr>
          <w:p w:rsidR="002525A6" w:rsidRPr="002D372A" w:rsidP="007F63D3" w14:paraId="531032C4" w14:textId="77777777">
            <w:pPr>
              <w:keepNext/>
              <w:spacing w:after="0" w:line="240" w:lineRule="auto"/>
              <w:ind w:left="72" w:right="164"/>
              <w:jc w:val="center"/>
              <w:rPr>
                <w:rFonts w:ascii="Times New Roman" w:hAnsi="Times New Roman" w:cs="Times New Roman"/>
                <w:sz w:val="20"/>
                <w:szCs w:val="20"/>
              </w:rPr>
            </w:pPr>
            <w:r>
              <w:rPr>
                <w:rFonts w:ascii="Times New Roman" w:hAnsi="Times New Roman" w:cs="Times New Roman"/>
                <w:sz w:val="20"/>
                <w:szCs w:val="20"/>
              </w:rPr>
              <w:t>3,182</w:t>
            </w:r>
          </w:p>
        </w:tc>
        <w:tc>
          <w:tcPr>
            <w:tcW w:w="1812" w:type="dxa"/>
            <w:tcBorders>
              <w:left w:val="single" w:sz="6" w:space="0" w:color="000000"/>
              <w:right w:val="single" w:sz="6" w:space="0" w:color="000000"/>
            </w:tcBorders>
            <w:vAlign w:val="bottom"/>
          </w:tcPr>
          <w:p w:rsidR="002525A6" w:rsidRPr="002D372A" w:rsidP="007F63D3" w14:paraId="2F7875ED" w14:textId="77777777">
            <w:pPr>
              <w:keepNext/>
              <w:spacing w:after="0" w:line="240" w:lineRule="auto"/>
              <w:ind w:left="99"/>
              <w:jc w:val="center"/>
              <w:rPr>
                <w:rFonts w:ascii="Times New Roman" w:hAnsi="Times New Roman" w:cs="Times New Roman"/>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7,293</w:t>
            </w:r>
          </w:p>
        </w:tc>
      </w:tr>
      <w:tr w14:paraId="114EEAEF" w14:textId="77777777" w:rsidTr="007F63D3">
        <w:tblPrEx>
          <w:tblW w:w="0" w:type="auto"/>
          <w:jc w:val="center"/>
          <w:tblLayout w:type="fixed"/>
          <w:tblCellMar>
            <w:left w:w="0" w:type="dxa"/>
            <w:right w:w="0" w:type="dxa"/>
          </w:tblCellMar>
          <w:tblLook w:val="01E0"/>
        </w:tblPrEx>
        <w:trPr>
          <w:trHeight w:val="255"/>
          <w:jc w:val="center"/>
        </w:trPr>
        <w:tc>
          <w:tcPr>
            <w:tcW w:w="1782" w:type="dxa"/>
            <w:tcBorders>
              <w:top w:val="single" w:sz="6" w:space="0" w:color="000000"/>
              <w:left w:val="single" w:sz="6" w:space="0" w:color="000000"/>
              <w:bottom w:val="single" w:sz="6" w:space="0" w:color="000000"/>
              <w:right w:val="single" w:sz="6" w:space="0" w:color="000000"/>
            </w:tcBorders>
            <w:vAlign w:val="bottom"/>
          </w:tcPr>
          <w:p w:rsidR="002525A6" w:rsidRPr="002D372A" w:rsidP="007F63D3" w14:paraId="25FEABF6" w14:textId="77777777">
            <w:pPr>
              <w:spacing w:after="0" w:line="240" w:lineRule="auto"/>
              <w:ind w:left="246" w:right="210"/>
              <w:rPr>
                <w:rFonts w:ascii="Times New Roman" w:hAnsi="Times New Roman" w:cs="Times New Roman"/>
                <w:b/>
                <w:sz w:val="20"/>
                <w:szCs w:val="20"/>
              </w:rPr>
            </w:pPr>
            <w:r w:rsidRPr="002D372A">
              <w:rPr>
                <w:rFonts w:ascii="Times New Roman" w:hAnsi="Times New Roman" w:cs="Times New Roman"/>
                <w:b/>
                <w:sz w:val="20"/>
                <w:szCs w:val="20"/>
              </w:rPr>
              <w:t>Total</w:t>
            </w:r>
          </w:p>
        </w:tc>
        <w:tc>
          <w:tcPr>
            <w:tcW w:w="1440" w:type="dxa"/>
            <w:tcBorders>
              <w:top w:val="single" w:sz="6" w:space="0" w:color="000000"/>
              <w:left w:val="single" w:sz="6" w:space="0" w:color="000000"/>
              <w:bottom w:val="single" w:sz="6" w:space="0" w:color="000000"/>
              <w:right w:val="single" w:sz="6" w:space="0" w:color="000000"/>
            </w:tcBorders>
            <w:vAlign w:val="bottom"/>
          </w:tcPr>
          <w:p w:rsidR="002525A6" w:rsidRPr="002D372A" w:rsidP="007F63D3" w14:paraId="3617B5EA" w14:textId="77777777">
            <w:pPr>
              <w:spacing w:after="0" w:line="240" w:lineRule="auto"/>
              <w:jc w:val="center"/>
              <w:rPr>
                <w:rFonts w:ascii="Times New Roman" w:hAnsi="Times New Roman" w:cs="Times New Roman"/>
                <w:sz w:val="20"/>
                <w:szCs w:val="20"/>
              </w:rPr>
            </w:pPr>
          </w:p>
        </w:tc>
        <w:tc>
          <w:tcPr>
            <w:tcW w:w="1350" w:type="dxa"/>
            <w:tcBorders>
              <w:top w:val="single" w:sz="6" w:space="0" w:color="000000"/>
              <w:left w:val="single" w:sz="6" w:space="0" w:color="000000"/>
              <w:bottom w:val="single" w:sz="6" w:space="0" w:color="000000"/>
              <w:right w:val="single" w:sz="6" w:space="0" w:color="000000"/>
            </w:tcBorders>
            <w:vAlign w:val="bottom"/>
          </w:tcPr>
          <w:p w:rsidR="002525A6" w:rsidRPr="002D372A" w:rsidP="007F63D3" w14:paraId="46AA98AA" w14:textId="77777777">
            <w:pPr>
              <w:spacing w:after="0" w:line="240" w:lineRule="auto"/>
              <w:jc w:val="center"/>
              <w:rPr>
                <w:rFonts w:ascii="Times New Roman" w:hAnsi="Times New Roman" w:cs="Times New Roman"/>
                <w:sz w:val="20"/>
                <w:szCs w:val="20"/>
              </w:rPr>
            </w:pPr>
          </w:p>
        </w:tc>
        <w:tc>
          <w:tcPr>
            <w:tcW w:w="1770" w:type="dxa"/>
            <w:tcBorders>
              <w:top w:val="single" w:sz="6" w:space="0" w:color="000000"/>
              <w:left w:val="single" w:sz="6" w:space="0" w:color="000000"/>
              <w:bottom w:val="single" w:sz="6" w:space="0" w:color="000000"/>
              <w:right w:val="single" w:sz="6" w:space="0" w:color="000000"/>
            </w:tcBorders>
            <w:vAlign w:val="bottom"/>
          </w:tcPr>
          <w:p w:rsidR="002525A6" w:rsidRPr="002D372A" w:rsidP="007F63D3" w14:paraId="19AF969D" w14:textId="77777777">
            <w:pPr>
              <w:spacing w:after="0" w:line="240" w:lineRule="auto"/>
              <w:ind w:left="72"/>
              <w:jc w:val="center"/>
              <w:rPr>
                <w:rFonts w:ascii="Times New Roman" w:hAnsi="Times New Roman" w:cs="Times New Roman"/>
                <w:b/>
                <w:sz w:val="20"/>
                <w:szCs w:val="20"/>
              </w:rPr>
            </w:pPr>
            <w:r>
              <w:rPr>
                <w:rFonts w:ascii="Times New Roman" w:hAnsi="Times New Roman" w:cs="Times New Roman"/>
                <w:b/>
                <w:sz w:val="20"/>
                <w:szCs w:val="20"/>
              </w:rPr>
              <w:t>22,160</w:t>
            </w:r>
          </w:p>
        </w:tc>
        <w:tc>
          <w:tcPr>
            <w:tcW w:w="1812" w:type="dxa"/>
            <w:tcBorders>
              <w:top w:val="single" w:sz="6" w:space="0" w:color="000000"/>
              <w:left w:val="single" w:sz="6" w:space="0" w:color="000000"/>
              <w:bottom w:val="single" w:sz="6" w:space="0" w:color="000000"/>
              <w:right w:val="single" w:sz="6" w:space="0" w:color="000000"/>
            </w:tcBorders>
            <w:vAlign w:val="bottom"/>
          </w:tcPr>
          <w:p w:rsidR="002525A6" w:rsidRPr="002D372A" w:rsidP="007F63D3" w14:paraId="0031CB3F" w14:textId="77777777">
            <w:pPr>
              <w:spacing w:after="0" w:line="240" w:lineRule="auto"/>
              <w:ind w:left="99"/>
              <w:jc w:val="center"/>
              <w:rPr>
                <w:rFonts w:ascii="Times New Roman" w:hAnsi="Times New Roman" w:cs="Times New Roman"/>
                <w:b/>
                <w:sz w:val="20"/>
                <w:szCs w:val="20"/>
              </w:rPr>
            </w:pPr>
            <w:r w:rsidRPr="002D372A">
              <w:rPr>
                <w:rFonts w:ascii="Times New Roman" w:hAnsi="Times New Roman" w:cs="Times New Roman"/>
                <w:b/>
                <w:color w:val="000000"/>
                <w:sz w:val="20"/>
                <w:szCs w:val="20"/>
              </w:rPr>
              <w:t>$</w:t>
            </w:r>
            <w:r>
              <w:rPr>
                <w:rFonts w:ascii="Times New Roman" w:hAnsi="Times New Roman" w:cs="Times New Roman"/>
                <w:b/>
                <w:color w:val="000000"/>
                <w:sz w:val="20"/>
                <w:szCs w:val="20"/>
              </w:rPr>
              <w:t>42,307</w:t>
            </w:r>
          </w:p>
        </w:tc>
      </w:tr>
    </w:tbl>
    <w:p w:rsidR="002525A6" w:rsidP="002525A6" w14:paraId="1B978B66" w14:textId="77777777">
      <w:pPr>
        <w:pStyle w:val="Caption"/>
        <w:spacing w:after="0"/>
        <w:rPr>
          <w:rFonts w:ascii="Times New Roman" w:hAnsi="Times New Roman" w:cs="Times New Roman"/>
          <w:b/>
          <w:bCs/>
          <w:i w:val="0"/>
          <w:iCs w:val="0"/>
          <w:color w:val="auto"/>
          <w:sz w:val="22"/>
          <w:szCs w:val="22"/>
        </w:rPr>
      </w:pPr>
    </w:p>
    <w:p w:rsidR="007E5F48" w:rsidRPr="002D372A" w:rsidP="005D2B5A" w14:paraId="1FCB8F38" w14:textId="77777777">
      <w:pPr>
        <w:pStyle w:val="Caption"/>
        <w:jc w:val="center"/>
        <w:rPr>
          <w:rFonts w:ascii="Times New Roman" w:hAnsi="Times New Roman" w:cs="Times New Roman"/>
          <w:b/>
          <w:bCs/>
          <w:i w:val="0"/>
          <w:iCs w:val="0"/>
          <w:color w:val="auto"/>
          <w:sz w:val="22"/>
          <w:szCs w:val="22"/>
        </w:rPr>
      </w:pPr>
      <w:r w:rsidRPr="002D372A">
        <w:rPr>
          <w:rFonts w:ascii="Times New Roman" w:hAnsi="Times New Roman" w:cs="Times New Roman"/>
          <w:b/>
          <w:bCs/>
          <w:i w:val="0"/>
          <w:iCs w:val="0"/>
          <w:color w:val="auto"/>
          <w:sz w:val="22"/>
          <w:szCs w:val="22"/>
        </w:rPr>
        <w:t>Exhibit 5-</w:t>
      </w:r>
      <w:r>
        <w:rPr>
          <w:rFonts w:ascii="Times New Roman" w:hAnsi="Times New Roman" w:cs="Times New Roman"/>
          <w:b/>
          <w:bCs/>
          <w:i w:val="0"/>
          <w:iCs w:val="0"/>
          <w:color w:val="auto"/>
          <w:sz w:val="22"/>
          <w:szCs w:val="22"/>
        </w:rPr>
        <w:t>1</w:t>
      </w:r>
      <w:r w:rsidR="002525A6">
        <w:rPr>
          <w:rFonts w:ascii="Times New Roman" w:hAnsi="Times New Roman" w:cs="Times New Roman"/>
          <w:b/>
          <w:bCs/>
          <w:i w:val="0"/>
          <w:iCs w:val="0"/>
          <w:color w:val="auto"/>
          <w:sz w:val="22"/>
          <w:szCs w:val="22"/>
        </w:rPr>
        <w:t>2</w:t>
      </w:r>
      <w:r w:rsidRPr="002D372A">
        <w:rPr>
          <w:rFonts w:ascii="Times New Roman" w:hAnsi="Times New Roman" w:cs="Times New Roman"/>
          <w:b/>
          <w:bCs/>
          <w:i w:val="0"/>
          <w:iCs w:val="0"/>
          <w:color w:val="auto"/>
          <w:sz w:val="22"/>
          <w:szCs w:val="22"/>
        </w:rPr>
        <w:t xml:space="preserve">: Costs for </w:t>
      </w:r>
      <w:r>
        <w:rPr>
          <w:rFonts w:ascii="Times New Roman" w:hAnsi="Times New Roman" w:cs="Times New Roman"/>
          <w:b/>
          <w:bCs/>
          <w:i w:val="0"/>
          <w:iCs w:val="0"/>
          <w:color w:val="auto"/>
          <w:sz w:val="22"/>
          <w:szCs w:val="22"/>
        </w:rPr>
        <w:t>Stationary Source Siting RMP Justification</w:t>
      </w:r>
      <w:r w:rsidRPr="002D372A">
        <w:rPr>
          <w:rFonts w:ascii="Times New Roman" w:hAnsi="Times New Roman" w:cs="Times New Roman"/>
          <w:b/>
          <w:bCs/>
          <w:i w:val="0"/>
          <w:iCs w:val="0"/>
          <w:color w:val="auto"/>
          <w:sz w:val="22"/>
          <w:szCs w:val="22"/>
        </w:rPr>
        <w:t xml:space="preserve"> Provision (202</w:t>
      </w:r>
      <w:r>
        <w:rPr>
          <w:rFonts w:ascii="Times New Roman" w:hAnsi="Times New Roman" w:cs="Times New Roman"/>
          <w:b/>
          <w:bCs/>
          <w:i w:val="0"/>
          <w:iCs w:val="0"/>
          <w:color w:val="auto"/>
          <w:sz w:val="22"/>
          <w:szCs w:val="22"/>
        </w:rPr>
        <w:t>2</w:t>
      </w:r>
      <w:r w:rsidRPr="002D372A">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d</w:t>
      </w:r>
      <w:r w:rsidRPr="002D372A">
        <w:rPr>
          <w:rFonts w:ascii="Times New Roman" w:hAnsi="Times New Roman" w:cs="Times New Roman"/>
          <w:b/>
          <w:bCs/>
          <w:i w:val="0"/>
          <w:iCs w:val="0"/>
          <w:color w:val="auto"/>
          <w:sz w:val="22"/>
          <w:szCs w:val="22"/>
        </w:rPr>
        <w:t>ollars).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82"/>
        <w:gridCol w:w="1440"/>
        <w:gridCol w:w="1350"/>
        <w:gridCol w:w="1770"/>
        <w:gridCol w:w="1812"/>
      </w:tblGrid>
      <w:tr w14:paraId="04229D0A" w14:textId="77777777" w:rsidTr="00FA04B8">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20"/>
          <w:jc w:val="center"/>
        </w:trPr>
        <w:tc>
          <w:tcPr>
            <w:tcW w:w="1782" w:type="dxa"/>
            <w:tcBorders>
              <w:left w:val="single" w:sz="6" w:space="0" w:color="000000"/>
              <w:right w:val="single" w:sz="6" w:space="0" w:color="000000"/>
            </w:tcBorders>
            <w:shd w:val="clear" w:color="auto" w:fill="DADADA"/>
            <w:vAlign w:val="center"/>
          </w:tcPr>
          <w:p w:rsidR="007E5F48" w:rsidRPr="002D372A" w:rsidP="007F63D3" w14:paraId="5F42281D" w14:textId="77777777">
            <w:pPr>
              <w:keepNext/>
              <w:spacing w:after="0" w:line="240" w:lineRule="auto"/>
              <w:ind w:left="1087" w:hanging="1017"/>
              <w:jc w:val="center"/>
              <w:rPr>
                <w:rFonts w:ascii="Times New Roman" w:hAnsi="Times New Roman" w:cs="Times New Roman"/>
                <w:b/>
                <w:sz w:val="20"/>
                <w:szCs w:val="20"/>
              </w:rPr>
            </w:pPr>
            <w:r w:rsidRPr="002D372A">
              <w:rPr>
                <w:rFonts w:ascii="Times New Roman" w:hAnsi="Times New Roman" w:cs="Times New Roman"/>
                <w:b/>
                <w:sz w:val="20"/>
                <w:szCs w:val="20"/>
              </w:rPr>
              <w:t>Facility Type</w:t>
            </w:r>
          </w:p>
        </w:tc>
        <w:tc>
          <w:tcPr>
            <w:tcW w:w="1440" w:type="dxa"/>
            <w:tcBorders>
              <w:left w:val="single" w:sz="6" w:space="0" w:color="000000"/>
              <w:right w:val="single" w:sz="6" w:space="0" w:color="000000"/>
            </w:tcBorders>
            <w:shd w:val="clear" w:color="auto" w:fill="DADADA"/>
            <w:vAlign w:val="center"/>
          </w:tcPr>
          <w:p w:rsidR="007E5F48" w:rsidRPr="002D372A" w:rsidP="007F63D3" w14:paraId="0809D966" w14:textId="77777777">
            <w:pPr>
              <w:keepNext/>
              <w:spacing w:after="0" w:line="240" w:lineRule="auto"/>
              <w:ind w:left="91" w:right="55"/>
              <w:jc w:val="center"/>
              <w:rPr>
                <w:rFonts w:ascii="Times New Roman" w:hAnsi="Times New Roman" w:cs="Times New Roman"/>
                <w:b/>
                <w:sz w:val="20"/>
                <w:szCs w:val="20"/>
              </w:rPr>
            </w:pPr>
            <w:r w:rsidRPr="002D372A">
              <w:rPr>
                <w:rFonts w:ascii="Times New Roman" w:hAnsi="Times New Roman" w:cs="Times New Roman"/>
                <w:b/>
                <w:sz w:val="20"/>
                <w:szCs w:val="20"/>
              </w:rPr>
              <w:t>Annual</w:t>
            </w:r>
          </w:p>
          <w:p w:rsidR="007E5F48" w:rsidRPr="002D372A" w:rsidP="007F63D3" w14:paraId="7CE5D101" w14:textId="77777777">
            <w:pPr>
              <w:keepNext/>
              <w:spacing w:after="0" w:line="240" w:lineRule="auto"/>
              <w:ind w:left="79" w:right="55"/>
              <w:jc w:val="center"/>
              <w:rPr>
                <w:rFonts w:ascii="Times New Roman" w:hAnsi="Times New Roman" w:cs="Times New Roman"/>
                <w:b/>
                <w:sz w:val="20"/>
                <w:szCs w:val="20"/>
              </w:rPr>
            </w:pPr>
            <w:r w:rsidRPr="002D372A">
              <w:rPr>
                <w:rFonts w:ascii="Times New Roman" w:hAnsi="Times New Roman" w:cs="Times New Roman"/>
                <w:b/>
                <w:sz w:val="20"/>
                <w:szCs w:val="20"/>
              </w:rPr>
              <w:t>Frequency</w:t>
            </w:r>
          </w:p>
        </w:tc>
        <w:tc>
          <w:tcPr>
            <w:tcW w:w="1350" w:type="dxa"/>
            <w:tcBorders>
              <w:left w:val="single" w:sz="6" w:space="0" w:color="000000"/>
              <w:right w:val="single" w:sz="6" w:space="0" w:color="000000"/>
            </w:tcBorders>
            <w:shd w:val="clear" w:color="auto" w:fill="DADADA"/>
            <w:vAlign w:val="center"/>
          </w:tcPr>
          <w:p w:rsidR="007E5F48" w:rsidRPr="002D372A" w:rsidP="007F63D3" w14:paraId="179000FC" w14:textId="77777777">
            <w:pPr>
              <w:keepNext/>
              <w:spacing w:after="0" w:line="240" w:lineRule="auto"/>
              <w:ind w:left="75" w:right="133"/>
              <w:jc w:val="center"/>
              <w:rPr>
                <w:rFonts w:ascii="Times New Roman" w:hAnsi="Times New Roman" w:cs="Times New Roman"/>
                <w:b/>
                <w:sz w:val="20"/>
                <w:szCs w:val="20"/>
              </w:rPr>
            </w:pPr>
            <w:r>
              <w:rPr>
                <w:rFonts w:ascii="Times New Roman" w:hAnsi="Times New Roman" w:cs="Times New Roman"/>
                <w:b/>
                <w:sz w:val="20"/>
                <w:szCs w:val="20"/>
              </w:rPr>
              <w:t>Cost per Justification</w:t>
            </w:r>
          </w:p>
        </w:tc>
        <w:tc>
          <w:tcPr>
            <w:tcW w:w="1770" w:type="dxa"/>
            <w:tcBorders>
              <w:left w:val="single" w:sz="6" w:space="0" w:color="000000"/>
              <w:right w:val="single" w:sz="6" w:space="0" w:color="000000"/>
            </w:tcBorders>
            <w:shd w:val="clear" w:color="auto" w:fill="DADADA"/>
            <w:vAlign w:val="center"/>
          </w:tcPr>
          <w:p w:rsidR="007E5F48" w:rsidRPr="002D372A" w:rsidP="007C2582" w14:paraId="0A829380"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Justifications</w:t>
            </w:r>
          </w:p>
        </w:tc>
        <w:tc>
          <w:tcPr>
            <w:tcW w:w="1812" w:type="dxa"/>
            <w:tcBorders>
              <w:left w:val="single" w:sz="6" w:space="0" w:color="000000"/>
              <w:right w:val="single" w:sz="6" w:space="0" w:color="000000"/>
            </w:tcBorders>
            <w:shd w:val="clear" w:color="auto" w:fill="DADADA"/>
            <w:vAlign w:val="center"/>
          </w:tcPr>
          <w:p w:rsidR="007E5F48" w:rsidRPr="002D372A" w:rsidP="007F63D3" w14:paraId="4E6141B5" w14:textId="77777777">
            <w:pPr>
              <w:keepNext/>
              <w:spacing w:after="0" w:line="240" w:lineRule="auto"/>
              <w:ind w:left="99" w:right="238"/>
              <w:jc w:val="center"/>
              <w:rPr>
                <w:rFonts w:ascii="Times New Roman" w:hAnsi="Times New Roman" w:cs="Times New Roman"/>
                <w:b/>
                <w:sz w:val="20"/>
                <w:szCs w:val="20"/>
              </w:rPr>
            </w:pPr>
            <w:r w:rsidRPr="002D372A">
              <w:rPr>
                <w:rFonts w:ascii="Times New Roman" w:hAnsi="Times New Roman" w:cs="Times New Roman"/>
                <w:b/>
                <w:sz w:val="20"/>
                <w:szCs w:val="20"/>
              </w:rPr>
              <w:t xml:space="preserve">Total </w:t>
            </w:r>
            <w:r>
              <w:rPr>
                <w:rFonts w:ascii="Times New Roman" w:hAnsi="Times New Roman" w:cs="Times New Roman"/>
                <w:b/>
                <w:sz w:val="20"/>
                <w:szCs w:val="20"/>
              </w:rPr>
              <w:t>Annual</w:t>
            </w:r>
            <w:r w:rsidRPr="002D372A">
              <w:rPr>
                <w:rFonts w:ascii="Times New Roman" w:hAnsi="Times New Roman" w:cs="Times New Roman"/>
                <w:b/>
                <w:sz w:val="20"/>
                <w:szCs w:val="20"/>
              </w:rPr>
              <w:t xml:space="preserve"> Cost</w:t>
            </w:r>
          </w:p>
        </w:tc>
      </w:tr>
      <w:tr w14:paraId="400C9E27" w14:textId="77777777" w:rsidTr="007F63D3">
        <w:tblPrEx>
          <w:tblW w:w="0" w:type="auto"/>
          <w:jc w:val="center"/>
          <w:tblLayout w:type="fixed"/>
          <w:tblCellMar>
            <w:left w:w="0" w:type="dxa"/>
            <w:right w:w="0" w:type="dxa"/>
          </w:tblCellMar>
          <w:tblLook w:val="01E0"/>
        </w:tblPrEx>
        <w:trPr>
          <w:trHeight w:val="250"/>
          <w:jc w:val="center"/>
        </w:trPr>
        <w:tc>
          <w:tcPr>
            <w:tcW w:w="1782" w:type="dxa"/>
            <w:tcBorders>
              <w:left w:val="single" w:sz="6" w:space="0" w:color="000000"/>
              <w:right w:val="single" w:sz="6" w:space="0" w:color="000000"/>
            </w:tcBorders>
            <w:vAlign w:val="bottom"/>
          </w:tcPr>
          <w:p w:rsidR="007E5F48" w:rsidRPr="002D372A" w:rsidP="007F63D3" w14:paraId="3EEF4BC5" w14:textId="77777777">
            <w:pPr>
              <w:keepNext/>
              <w:spacing w:after="0" w:line="240" w:lineRule="auto"/>
              <w:ind w:left="127"/>
              <w:rPr>
                <w:rFonts w:ascii="Times New Roman" w:hAnsi="Times New Roman" w:cs="Times New Roman"/>
                <w:sz w:val="20"/>
                <w:szCs w:val="20"/>
              </w:rPr>
            </w:pPr>
            <w:r w:rsidRPr="002D372A">
              <w:rPr>
                <w:rFonts w:ascii="Times New Roman" w:hAnsi="Times New Roman" w:cs="Times New Roman"/>
                <w:sz w:val="20"/>
                <w:szCs w:val="20"/>
              </w:rPr>
              <w:t>Simple</w:t>
            </w:r>
          </w:p>
        </w:tc>
        <w:tc>
          <w:tcPr>
            <w:tcW w:w="1440" w:type="dxa"/>
            <w:tcBorders>
              <w:left w:val="single" w:sz="6" w:space="0" w:color="000000"/>
              <w:right w:val="single" w:sz="6" w:space="0" w:color="000000"/>
            </w:tcBorders>
            <w:vAlign w:val="bottom"/>
          </w:tcPr>
          <w:p w:rsidR="007E5F48" w:rsidRPr="002D372A" w:rsidP="007F63D3" w14:paraId="7D3A94D0" w14:textId="77777777">
            <w:pPr>
              <w:keepNext/>
              <w:spacing w:after="0" w:line="240" w:lineRule="auto"/>
              <w:ind w:left="16"/>
              <w:jc w:val="center"/>
              <w:rPr>
                <w:rFonts w:ascii="Times New Roman" w:hAnsi="Times New Roman" w:cs="Times New Roman"/>
                <w:sz w:val="20"/>
                <w:szCs w:val="20"/>
              </w:rPr>
            </w:pPr>
            <w:r>
              <w:rPr>
                <w:rFonts w:ascii="Times New Roman" w:hAnsi="Times New Roman" w:cs="Times New Roman"/>
                <w:sz w:val="20"/>
                <w:szCs w:val="20"/>
              </w:rPr>
              <w:t>0.2</w:t>
            </w:r>
          </w:p>
        </w:tc>
        <w:tc>
          <w:tcPr>
            <w:tcW w:w="1350" w:type="dxa"/>
            <w:tcBorders>
              <w:left w:val="single" w:sz="6" w:space="0" w:color="000000"/>
              <w:right w:val="single" w:sz="6" w:space="0" w:color="000000"/>
            </w:tcBorders>
            <w:vAlign w:val="bottom"/>
          </w:tcPr>
          <w:p w:rsidR="007E5F48" w:rsidRPr="002D372A" w:rsidP="007F63D3" w14:paraId="4B6BDE02" w14:textId="77777777">
            <w:pPr>
              <w:keepNext/>
              <w:spacing w:after="0" w:line="240" w:lineRule="auto"/>
              <w:ind w:left="75" w:right="133"/>
              <w:jc w:val="center"/>
              <w:rPr>
                <w:rFonts w:ascii="Times New Roman" w:hAnsi="Times New Roman" w:cs="Times New Roman"/>
                <w:color w:val="000000"/>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9</w:t>
            </w:r>
          </w:p>
        </w:tc>
        <w:tc>
          <w:tcPr>
            <w:tcW w:w="1770" w:type="dxa"/>
            <w:tcBorders>
              <w:left w:val="single" w:sz="6" w:space="0" w:color="000000"/>
              <w:right w:val="single" w:sz="6" w:space="0" w:color="000000"/>
            </w:tcBorders>
            <w:vAlign w:val="bottom"/>
          </w:tcPr>
          <w:p w:rsidR="007E5F48" w:rsidRPr="002D372A" w:rsidP="007F63D3" w14:paraId="0430C2AE" w14:textId="77777777">
            <w:pPr>
              <w:keepNext/>
              <w:spacing w:after="0" w:line="240" w:lineRule="auto"/>
              <w:ind w:left="72" w:right="164"/>
              <w:jc w:val="center"/>
              <w:rPr>
                <w:rFonts w:ascii="Times New Roman" w:hAnsi="Times New Roman" w:cs="Times New Roman"/>
                <w:sz w:val="20"/>
                <w:szCs w:val="20"/>
              </w:rPr>
            </w:pPr>
            <w:r>
              <w:rPr>
                <w:rFonts w:ascii="Times New Roman" w:hAnsi="Times New Roman" w:cs="Times New Roman"/>
                <w:sz w:val="20"/>
                <w:szCs w:val="20"/>
              </w:rPr>
              <w:t>18,978</w:t>
            </w:r>
          </w:p>
        </w:tc>
        <w:tc>
          <w:tcPr>
            <w:tcW w:w="1812" w:type="dxa"/>
            <w:tcBorders>
              <w:left w:val="single" w:sz="6" w:space="0" w:color="000000"/>
              <w:right w:val="single" w:sz="6" w:space="0" w:color="000000"/>
            </w:tcBorders>
            <w:vAlign w:val="bottom"/>
          </w:tcPr>
          <w:p w:rsidR="007E5F48" w:rsidRPr="002D372A" w:rsidP="007F63D3" w14:paraId="5DA9396B" w14:textId="77777777">
            <w:pPr>
              <w:keepNext/>
              <w:spacing w:after="0" w:line="240" w:lineRule="auto"/>
              <w:ind w:left="99"/>
              <w:jc w:val="center"/>
              <w:rPr>
                <w:rFonts w:ascii="Times New Roman" w:hAnsi="Times New Roman" w:cs="Times New Roman"/>
                <w:color w:val="000000"/>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35,014</w:t>
            </w:r>
          </w:p>
        </w:tc>
      </w:tr>
      <w:tr w14:paraId="5AD8464D" w14:textId="77777777" w:rsidTr="007F63D3">
        <w:tblPrEx>
          <w:tblW w:w="0" w:type="auto"/>
          <w:jc w:val="center"/>
          <w:tblLayout w:type="fixed"/>
          <w:tblCellMar>
            <w:left w:w="0" w:type="dxa"/>
            <w:right w:w="0" w:type="dxa"/>
          </w:tblCellMar>
          <w:tblLook w:val="01E0"/>
        </w:tblPrEx>
        <w:trPr>
          <w:trHeight w:val="250"/>
          <w:jc w:val="center"/>
        </w:trPr>
        <w:tc>
          <w:tcPr>
            <w:tcW w:w="1782" w:type="dxa"/>
            <w:tcBorders>
              <w:left w:val="single" w:sz="6" w:space="0" w:color="000000"/>
              <w:right w:val="single" w:sz="6" w:space="0" w:color="000000"/>
            </w:tcBorders>
            <w:vAlign w:val="bottom"/>
          </w:tcPr>
          <w:p w:rsidR="007E5F48" w:rsidRPr="002D372A" w:rsidP="007F63D3" w14:paraId="3F1C27AB" w14:textId="77777777">
            <w:pPr>
              <w:keepNext/>
              <w:spacing w:after="0" w:line="240" w:lineRule="auto"/>
              <w:ind w:left="127"/>
              <w:rPr>
                <w:rFonts w:ascii="Times New Roman" w:hAnsi="Times New Roman" w:cs="Times New Roman"/>
                <w:sz w:val="20"/>
                <w:szCs w:val="20"/>
              </w:rPr>
            </w:pPr>
            <w:r w:rsidRPr="002D372A">
              <w:rPr>
                <w:rFonts w:ascii="Times New Roman" w:hAnsi="Times New Roman" w:cs="Times New Roman"/>
                <w:sz w:val="20"/>
                <w:szCs w:val="20"/>
              </w:rPr>
              <w:t>Complex</w:t>
            </w:r>
          </w:p>
        </w:tc>
        <w:tc>
          <w:tcPr>
            <w:tcW w:w="1440" w:type="dxa"/>
            <w:tcBorders>
              <w:left w:val="single" w:sz="6" w:space="0" w:color="000000"/>
              <w:right w:val="single" w:sz="6" w:space="0" w:color="000000"/>
            </w:tcBorders>
            <w:vAlign w:val="bottom"/>
          </w:tcPr>
          <w:p w:rsidR="007E5F48" w:rsidRPr="002D372A" w:rsidP="007F63D3" w14:paraId="362A9B5F" w14:textId="77777777">
            <w:pPr>
              <w:keepNext/>
              <w:spacing w:after="0" w:line="240" w:lineRule="auto"/>
              <w:ind w:left="16"/>
              <w:jc w:val="center"/>
              <w:rPr>
                <w:rFonts w:ascii="Times New Roman" w:hAnsi="Times New Roman" w:cs="Times New Roman"/>
                <w:sz w:val="20"/>
                <w:szCs w:val="20"/>
              </w:rPr>
            </w:pPr>
            <w:r>
              <w:rPr>
                <w:rFonts w:ascii="Times New Roman" w:hAnsi="Times New Roman" w:cs="Times New Roman"/>
                <w:sz w:val="20"/>
                <w:szCs w:val="20"/>
              </w:rPr>
              <w:t>0.2</w:t>
            </w:r>
          </w:p>
        </w:tc>
        <w:tc>
          <w:tcPr>
            <w:tcW w:w="1350" w:type="dxa"/>
            <w:tcBorders>
              <w:left w:val="single" w:sz="6" w:space="0" w:color="000000"/>
              <w:right w:val="single" w:sz="6" w:space="0" w:color="000000"/>
            </w:tcBorders>
            <w:vAlign w:val="bottom"/>
          </w:tcPr>
          <w:p w:rsidR="007E5F48" w:rsidRPr="002D372A" w:rsidP="007F63D3" w14:paraId="1B975398" w14:textId="77777777">
            <w:pPr>
              <w:keepNext/>
              <w:spacing w:after="0" w:line="240" w:lineRule="auto"/>
              <w:ind w:left="75" w:right="133"/>
              <w:jc w:val="center"/>
              <w:rPr>
                <w:rFonts w:ascii="Times New Roman" w:hAnsi="Times New Roman" w:cs="Times New Roman"/>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11</w:t>
            </w:r>
          </w:p>
        </w:tc>
        <w:tc>
          <w:tcPr>
            <w:tcW w:w="1770" w:type="dxa"/>
            <w:tcBorders>
              <w:left w:val="single" w:sz="6" w:space="0" w:color="000000"/>
              <w:right w:val="single" w:sz="6" w:space="0" w:color="000000"/>
            </w:tcBorders>
            <w:vAlign w:val="bottom"/>
          </w:tcPr>
          <w:p w:rsidR="007E5F48" w:rsidRPr="002D372A" w:rsidP="007F63D3" w14:paraId="176EBE05" w14:textId="77777777">
            <w:pPr>
              <w:keepNext/>
              <w:spacing w:after="0" w:line="240" w:lineRule="auto"/>
              <w:ind w:left="72" w:right="164"/>
              <w:jc w:val="center"/>
              <w:rPr>
                <w:rFonts w:ascii="Times New Roman" w:hAnsi="Times New Roman" w:cs="Times New Roman"/>
                <w:sz w:val="20"/>
                <w:szCs w:val="20"/>
              </w:rPr>
            </w:pPr>
            <w:r>
              <w:rPr>
                <w:rFonts w:ascii="Times New Roman" w:hAnsi="Times New Roman" w:cs="Times New Roman"/>
                <w:sz w:val="20"/>
                <w:szCs w:val="20"/>
              </w:rPr>
              <w:t>3,182</w:t>
            </w:r>
          </w:p>
        </w:tc>
        <w:tc>
          <w:tcPr>
            <w:tcW w:w="1812" w:type="dxa"/>
            <w:tcBorders>
              <w:left w:val="single" w:sz="6" w:space="0" w:color="000000"/>
              <w:right w:val="single" w:sz="6" w:space="0" w:color="000000"/>
            </w:tcBorders>
            <w:vAlign w:val="bottom"/>
          </w:tcPr>
          <w:p w:rsidR="007E5F48" w:rsidRPr="002D372A" w:rsidP="007F63D3" w14:paraId="0E7C8A74" w14:textId="77777777">
            <w:pPr>
              <w:keepNext/>
              <w:spacing w:after="0" w:line="240" w:lineRule="auto"/>
              <w:ind w:left="99"/>
              <w:jc w:val="center"/>
              <w:rPr>
                <w:rFonts w:ascii="Times New Roman" w:hAnsi="Times New Roman" w:cs="Times New Roman"/>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7,293</w:t>
            </w:r>
          </w:p>
        </w:tc>
      </w:tr>
      <w:tr w14:paraId="4119F519" w14:textId="77777777" w:rsidTr="007F63D3">
        <w:tblPrEx>
          <w:tblW w:w="0" w:type="auto"/>
          <w:jc w:val="center"/>
          <w:tblLayout w:type="fixed"/>
          <w:tblCellMar>
            <w:left w:w="0" w:type="dxa"/>
            <w:right w:w="0" w:type="dxa"/>
          </w:tblCellMar>
          <w:tblLook w:val="01E0"/>
        </w:tblPrEx>
        <w:trPr>
          <w:trHeight w:val="255"/>
          <w:jc w:val="center"/>
        </w:trPr>
        <w:tc>
          <w:tcPr>
            <w:tcW w:w="1782" w:type="dxa"/>
            <w:tcBorders>
              <w:top w:val="single" w:sz="6" w:space="0" w:color="000000"/>
              <w:left w:val="single" w:sz="6" w:space="0" w:color="000000"/>
              <w:bottom w:val="single" w:sz="6" w:space="0" w:color="000000"/>
              <w:right w:val="single" w:sz="6" w:space="0" w:color="000000"/>
            </w:tcBorders>
            <w:vAlign w:val="bottom"/>
          </w:tcPr>
          <w:p w:rsidR="007E5F48" w:rsidRPr="002D372A" w:rsidP="007F63D3" w14:paraId="360DE0B9" w14:textId="77777777">
            <w:pPr>
              <w:spacing w:after="0" w:line="240" w:lineRule="auto"/>
              <w:ind w:left="246" w:right="210"/>
              <w:rPr>
                <w:rFonts w:ascii="Times New Roman" w:hAnsi="Times New Roman" w:cs="Times New Roman"/>
                <w:b/>
                <w:sz w:val="20"/>
                <w:szCs w:val="20"/>
              </w:rPr>
            </w:pPr>
            <w:r w:rsidRPr="002D372A">
              <w:rPr>
                <w:rFonts w:ascii="Times New Roman" w:hAnsi="Times New Roman" w:cs="Times New Roman"/>
                <w:b/>
                <w:sz w:val="20"/>
                <w:szCs w:val="20"/>
              </w:rPr>
              <w:t>Total</w:t>
            </w:r>
          </w:p>
        </w:tc>
        <w:tc>
          <w:tcPr>
            <w:tcW w:w="1440" w:type="dxa"/>
            <w:tcBorders>
              <w:top w:val="single" w:sz="6" w:space="0" w:color="000000"/>
              <w:left w:val="single" w:sz="6" w:space="0" w:color="000000"/>
              <w:bottom w:val="single" w:sz="6" w:space="0" w:color="000000"/>
              <w:right w:val="single" w:sz="6" w:space="0" w:color="000000"/>
            </w:tcBorders>
            <w:vAlign w:val="bottom"/>
          </w:tcPr>
          <w:p w:rsidR="007E5F48" w:rsidRPr="002D372A" w:rsidP="007F63D3" w14:paraId="4D72F07F" w14:textId="77777777">
            <w:pPr>
              <w:spacing w:after="0" w:line="240" w:lineRule="auto"/>
              <w:jc w:val="center"/>
              <w:rPr>
                <w:rFonts w:ascii="Times New Roman" w:hAnsi="Times New Roman" w:cs="Times New Roman"/>
                <w:sz w:val="20"/>
                <w:szCs w:val="20"/>
              </w:rPr>
            </w:pPr>
          </w:p>
        </w:tc>
        <w:tc>
          <w:tcPr>
            <w:tcW w:w="1350" w:type="dxa"/>
            <w:tcBorders>
              <w:top w:val="single" w:sz="6" w:space="0" w:color="000000"/>
              <w:left w:val="single" w:sz="6" w:space="0" w:color="000000"/>
              <w:bottom w:val="single" w:sz="6" w:space="0" w:color="000000"/>
              <w:right w:val="single" w:sz="6" w:space="0" w:color="000000"/>
            </w:tcBorders>
            <w:vAlign w:val="bottom"/>
          </w:tcPr>
          <w:p w:rsidR="007E5F48" w:rsidRPr="002D372A" w:rsidP="007F63D3" w14:paraId="4D81296E" w14:textId="77777777">
            <w:pPr>
              <w:spacing w:after="0" w:line="240" w:lineRule="auto"/>
              <w:jc w:val="center"/>
              <w:rPr>
                <w:rFonts w:ascii="Times New Roman" w:hAnsi="Times New Roman" w:cs="Times New Roman"/>
                <w:sz w:val="20"/>
                <w:szCs w:val="20"/>
              </w:rPr>
            </w:pPr>
          </w:p>
        </w:tc>
        <w:tc>
          <w:tcPr>
            <w:tcW w:w="1770" w:type="dxa"/>
            <w:tcBorders>
              <w:top w:val="single" w:sz="6" w:space="0" w:color="000000"/>
              <w:left w:val="single" w:sz="6" w:space="0" w:color="000000"/>
              <w:bottom w:val="single" w:sz="6" w:space="0" w:color="000000"/>
              <w:right w:val="single" w:sz="6" w:space="0" w:color="000000"/>
            </w:tcBorders>
            <w:vAlign w:val="bottom"/>
          </w:tcPr>
          <w:p w:rsidR="007E5F48" w:rsidRPr="002D372A" w:rsidP="007F63D3" w14:paraId="6F1F2D03" w14:textId="77777777">
            <w:pPr>
              <w:spacing w:after="0" w:line="240" w:lineRule="auto"/>
              <w:ind w:left="72"/>
              <w:jc w:val="center"/>
              <w:rPr>
                <w:rFonts w:ascii="Times New Roman" w:hAnsi="Times New Roman" w:cs="Times New Roman"/>
                <w:b/>
                <w:sz w:val="20"/>
                <w:szCs w:val="20"/>
              </w:rPr>
            </w:pPr>
            <w:r>
              <w:rPr>
                <w:rFonts w:ascii="Times New Roman" w:hAnsi="Times New Roman" w:cs="Times New Roman"/>
                <w:b/>
                <w:sz w:val="20"/>
                <w:szCs w:val="20"/>
              </w:rPr>
              <w:t>22,160</w:t>
            </w:r>
          </w:p>
        </w:tc>
        <w:tc>
          <w:tcPr>
            <w:tcW w:w="1812" w:type="dxa"/>
            <w:tcBorders>
              <w:top w:val="single" w:sz="6" w:space="0" w:color="000000"/>
              <w:left w:val="single" w:sz="6" w:space="0" w:color="000000"/>
              <w:bottom w:val="single" w:sz="6" w:space="0" w:color="000000"/>
              <w:right w:val="single" w:sz="6" w:space="0" w:color="000000"/>
            </w:tcBorders>
            <w:vAlign w:val="bottom"/>
          </w:tcPr>
          <w:p w:rsidR="007E5F48" w:rsidRPr="002D372A" w:rsidP="007F63D3" w14:paraId="1A0EB3F1" w14:textId="77777777">
            <w:pPr>
              <w:spacing w:after="0" w:line="240" w:lineRule="auto"/>
              <w:ind w:left="99"/>
              <w:jc w:val="center"/>
              <w:rPr>
                <w:rFonts w:ascii="Times New Roman" w:hAnsi="Times New Roman" w:cs="Times New Roman"/>
                <w:b/>
                <w:sz w:val="20"/>
                <w:szCs w:val="20"/>
              </w:rPr>
            </w:pPr>
            <w:r w:rsidRPr="002D372A">
              <w:rPr>
                <w:rFonts w:ascii="Times New Roman" w:hAnsi="Times New Roman" w:cs="Times New Roman"/>
                <w:b/>
                <w:color w:val="000000"/>
                <w:sz w:val="20"/>
                <w:szCs w:val="20"/>
              </w:rPr>
              <w:t>$</w:t>
            </w:r>
            <w:r>
              <w:rPr>
                <w:rFonts w:ascii="Times New Roman" w:hAnsi="Times New Roman" w:cs="Times New Roman"/>
                <w:b/>
                <w:color w:val="000000"/>
                <w:sz w:val="20"/>
                <w:szCs w:val="20"/>
              </w:rPr>
              <w:t>42,307</w:t>
            </w:r>
          </w:p>
        </w:tc>
      </w:tr>
    </w:tbl>
    <w:p w:rsidR="007E5F48" w:rsidP="007E5F48" w14:paraId="1BDCA40A" w14:textId="77777777">
      <w:pPr>
        <w:spacing w:after="0" w:line="240" w:lineRule="auto"/>
        <w:rPr>
          <w:rFonts w:ascii="Times New Roman" w:hAnsi="Times New Roman" w:cs="Times New Roman"/>
          <w:b/>
          <w:bCs/>
          <w:i/>
          <w:iCs/>
        </w:rPr>
      </w:pPr>
    </w:p>
    <w:p w:rsidR="007E5F48" w:rsidRPr="002D372A" w:rsidP="007E5F48" w14:paraId="7A8DD2F2" w14:textId="77777777">
      <w:pPr>
        <w:pStyle w:val="Caption"/>
        <w:jc w:val="center"/>
        <w:rPr>
          <w:rFonts w:ascii="Times New Roman" w:hAnsi="Times New Roman" w:cs="Times New Roman"/>
          <w:b/>
          <w:bCs/>
          <w:i w:val="0"/>
          <w:iCs w:val="0"/>
          <w:color w:val="auto"/>
          <w:sz w:val="22"/>
          <w:szCs w:val="22"/>
        </w:rPr>
      </w:pPr>
      <w:r w:rsidRPr="002D372A">
        <w:rPr>
          <w:rFonts w:ascii="Times New Roman" w:hAnsi="Times New Roman" w:cs="Times New Roman"/>
          <w:b/>
          <w:bCs/>
          <w:i w:val="0"/>
          <w:iCs w:val="0"/>
          <w:color w:val="auto"/>
          <w:sz w:val="22"/>
          <w:szCs w:val="22"/>
        </w:rPr>
        <w:t>Exhibit 5-</w:t>
      </w:r>
      <w:r>
        <w:rPr>
          <w:rFonts w:ascii="Times New Roman" w:hAnsi="Times New Roman" w:cs="Times New Roman"/>
          <w:b/>
          <w:bCs/>
          <w:i w:val="0"/>
          <w:iCs w:val="0"/>
          <w:color w:val="auto"/>
          <w:sz w:val="22"/>
          <w:szCs w:val="22"/>
        </w:rPr>
        <w:t>1</w:t>
      </w:r>
      <w:r w:rsidR="002525A6">
        <w:rPr>
          <w:rFonts w:ascii="Times New Roman" w:hAnsi="Times New Roman" w:cs="Times New Roman"/>
          <w:b/>
          <w:bCs/>
          <w:i w:val="0"/>
          <w:iCs w:val="0"/>
          <w:color w:val="auto"/>
          <w:sz w:val="22"/>
          <w:szCs w:val="22"/>
        </w:rPr>
        <w:t>3</w:t>
      </w:r>
      <w:r w:rsidRPr="002D372A">
        <w:rPr>
          <w:rFonts w:ascii="Times New Roman" w:hAnsi="Times New Roman" w:cs="Times New Roman"/>
          <w:b/>
          <w:bCs/>
          <w:i w:val="0"/>
          <w:iCs w:val="0"/>
          <w:color w:val="auto"/>
          <w:sz w:val="22"/>
          <w:szCs w:val="22"/>
        </w:rPr>
        <w:t xml:space="preserve">: Costs for </w:t>
      </w:r>
      <w:r>
        <w:rPr>
          <w:rFonts w:ascii="Times New Roman" w:hAnsi="Times New Roman" w:cs="Times New Roman"/>
          <w:b/>
          <w:bCs/>
          <w:i w:val="0"/>
          <w:iCs w:val="0"/>
          <w:color w:val="auto"/>
          <w:sz w:val="22"/>
          <w:szCs w:val="22"/>
        </w:rPr>
        <w:t>RAGAGEP RMP Justification</w:t>
      </w:r>
      <w:r w:rsidRPr="002D372A">
        <w:rPr>
          <w:rFonts w:ascii="Times New Roman" w:hAnsi="Times New Roman" w:cs="Times New Roman"/>
          <w:b/>
          <w:bCs/>
          <w:i w:val="0"/>
          <w:iCs w:val="0"/>
          <w:color w:val="auto"/>
          <w:sz w:val="22"/>
          <w:szCs w:val="22"/>
        </w:rPr>
        <w:t xml:space="preserve"> Provision (202</w:t>
      </w:r>
      <w:r>
        <w:rPr>
          <w:rFonts w:ascii="Times New Roman" w:hAnsi="Times New Roman" w:cs="Times New Roman"/>
          <w:b/>
          <w:bCs/>
          <w:i w:val="0"/>
          <w:iCs w:val="0"/>
          <w:color w:val="auto"/>
          <w:sz w:val="22"/>
          <w:szCs w:val="22"/>
        </w:rPr>
        <w:t>2</w:t>
      </w:r>
      <w:r w:rsidRPr="002D372A">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d</w:t>
      </w:r>
      <w:r w:rsidRPr="002D372A">
        <w:rPr>
          <w:rFonts w:ascii="Times New Roman" w:hAnsi="Times New Roman" w:cs="Times New Roman"/>
          <w:b/>
          <w:bCs/>
          <w:i w:val="0"/>
          <w:iCs w:val="0"/>
          <w:color w:val="auto"/>
          <w:sz w:val="22"/>
          <w:szCs w:val="22"/>
        </w:rPr>
        <w:t>ollars).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82"/>
        <w:gridCol w:w="1440"/>
        <w:gridCol w:w="1350"/>
        <w:gridCol w:w="1770"/>
        <w:gridCol w:w="1812"/>
      </w:tblGrid>
      <w:tr w14:paraId="73F64A71" w14:textId="77777777" w:rsidTr="00FA04B8">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20"/>
          <w:jc w:val="center"/>
        </w:trPr>
        <w:tc>
          <w:tcPr>
            <w:tcW w:w="1782" w:type="dxa"/>
            <w:tcBorders>
              <w:left w:val="single" w:sz="6" w:space="0" w:color="000000"/>
              <w:right w:val="single" w:sz="6" w:space="0" w:color="000000"/>
            </w:tcBorders>
            <w:shd w:val="clear" w:color="auto" w:fill="DADADA"/>
            <w:vAlign w:val="center"/>
          </w:tcPr>
          <w:p w:rsidR="007E5F48" w:rsidRPr="002D372A" w:rsidP="007C2582" w14:paraId="2DE27A69" w14:textId="77777777">
            <w:pPr>
              <w:keepNext/>
              <w:spacing w:after="0" w:line="240" w:lineRule="auto"/>
              <w:jc w:val="center"/>
              <w:rPr>
                <w:rFonts w:ascii="Times New Roman" w:hAnsi="Times New Roman" w:cs="Times New Roman"/>
                <w:b/>
                <w:sz w:val="20"/>
                <w:szCs w:val="20"/>
              </w:rPr>
            </w:pPr>
            <w:r w:rsidRPr="002D372A">
              <w:rPr>
                <w:rFonts w:ascii="Times New Roman" w:hAnsi="Times New Roman" w:cs="Times New Roman"/>
                <w:b/>
                <w:sz w:val="20"/>
                <w:szCs w:val="20"/>
              </w:rPr>
              <w:t>Facility Type</w:t>
            </w:r>
          </w:p>
        </w:tc>
        <w:tc>
          <w:tcPr>
            <w:tcW w:w="1440" w:type="dxa"/>
            <w:tcBorders>
              <w:left w:val="single" w:sz="6" w:space="0" w:color="000000"/>
              <w:right w:val="single" w:sz="6" w:space="0" w:color="000000"/>
            </w:tcBorders>
            <w:shd w:val="clear" w:color="auto" w:fill="DADADA"/>
            <w:vAlign w:val="center"/>
          </w:tcPr>
          <w:p w:rsidR="007E5F48" w:rsidRPr="002D372A" w:rsidP="007F63D3" w14:paraId="647EE895" w14:textId="77777777">
            <w:pPr>
              <w:keepNext/>
              <w:spacing w:after="0" w:line="240" w:lineRule="auto"/>
              <w:ind w:left="91" w:right="55"/>
              <w:jc w:val="center"/>
              <w:rPr>
                <w:rFonts w:ascii="Times New Roman" w:hAnsi="Times New Roman" w:cs="Times New Roman"/>
                <w:b/>
                <w:sz w:val="20"/>
                <w:szCs w:val="20"/>
              </w:rPr>
            </w:pPr>
            <w:r w:rsidRPr="002D372A">
              <w:rPr>
                <w:rFonts w:ascii="Times New Roman" w:hAnsi="Times New Roman" w:cs="Times New Roman"/>
                <w:b/>
                <w:sz w:val="20"/>
                <w:szCs w:val="20"/>
              </w:rPr>
              <w:t>Annual</w:t>
            </w:r>
          </w:p>
          <w:p w:rsidR="007E5F48" w:rsidRPr="002D372A" w:rsidP="007F63D3" w14:paraId="73AD7F2E" w14:textId="77777777">
            <w:pPr>
              <w:keepNext/>
              <w:spacing w:after="0" w:line="240" w:lineRule="auto"/>
              <w:ind w:left="79" w:right="55"/>
              <w:jc w:val="center"/>
              <w:rPr>
                <w:rFonts w:ascii="Times New Roman" w:hAnsi="Times New Roman" w:cs="Times New Roman"/>
                <w:b/>
                <w:sz w:val="20"/>
                <w:szCs w:val="20"/>
              </w:rPr>
            </w:pPr>
            <w:r w:rsidRPr="002D372A">
              <w:rPr>
                <w:rFonts w:ascii="Times New Roman" w:hAnsi="Times New Roman" w:cs="Times New Roman"/>
                <w:b/>
                <w:sz w:val="20"/>
                <w:szCs w:val="20"/>
              </w:rPr>
              <w:t>Frequency</w:t>
            </w:r>
          </w:p>
        </w:tc>
        <w:tc>
          <w:tcPr>
            <w:tcW w:w="1350" w:type="dxa"/>
            <w:tcBorders>
              <w:left w:val="single" w:sz="6" w:space="0" w:color="000000"/>
              <w:right w:val="single" w:sz="6" w:space="0" w:color="000000"/>
            </w:tcBorders>
            <w:shd w:val="clear" w:color="auto" w:fill="DADADA"/>
            <w:vAlign w:val="center"/>
          </w:tcPr>
          <w:p w:rsidR="007E5F48" w:rsidRPr="002D372A" w:rsidP="007F63D3" w14:paraId="61F50CDB" w14:textId="77777777">
            <w:pPr>
              <w:keepNext/>
              <w:spacing w:after="0" w:line="240" w:lineRule="auto"/>
              <w:ind w:left="75" w:right="133"/>
              <w:jc w:val="center"/>
              <w:rPr>
                <w:rFonts w:ascii="Times New Roman" w:hAnsi="Times New Roman" w:cs="Times New Roman"/>
                <w:b/>
                <w:sz w:val="20"/>
                <w:szCs w:val="20"/>
              </w:rPr>
            </w:pPr>
            <w:r>
              <w:rPr>
                <w:rFonts w:ascii="Times New Roman" w:hAnsi="Times New Roman" w:cs="Times New Roman"/>
                <w:b/>
                <w:sz w:val="20"/>
                <w:szCs w:val="20"/>
              </w:rPr>
              <w:t>Cost per Justification</w:t>
            </w:r>
          </w:p>
        </w:tc>
        <w:tc>
          <w:tcPr>
            <w:tcW w:w="1770" w:type="dxa"/>
            <w:tcBorders>
              <w:left w:val="single" w:sz="6" w:space="0" w:color="000000"/>
              <w:right w:val="single" w:sz="6" w:space="0" w:color="000000"/>
            </w:tcBorders>
            <w:shd w:val="clear" w:color="auto" w:fill="DADADA"/>
            <w:vAlign w:val="center"/>
          </w:tcPr>
          <w:p w:rsidR="007E5F48" w:rsidRPr="002D372A" w:rsidP="007C2582" w14:paraId="10FB2539" w14:textId="77777777">
            <w:pPr>
              <w:keepNext/>
              <w:spacing w:after="0" w:line="240" w:lineRule="auto"/>
              <w:ind w:left="72"/>
              <w:jc w:val="center"/>
              <w:rPr>
                <w:rFonts w:ascii="Times New Roman" w:hAnsi="Times New Roman" w:cs="Times New Roman"/>
                <w:b/>
                <w:sz w:val="20"/>
                <w:szCs w:val="20"/>
              </w:rPr>
            </w:pPr>
            <w:r>
              <w:rPr>
                <w:rFonts w:ascii="Times New Roman" w:hAnsi="Times New Roman" w:cs="Times New Roman"/>
                <w:b/>
                <w:sz w:val="20"/>
                <w:szCs w:val="20"/>
              </w:rPr>
              <w:t>Justifications</w:t>
            </w:r>
          </w:p>
        </w:tc>
        <w:tc>
          <w:tcPr>
            <w:tcW w:w="1812" w:type="dxa"/>
            <w:tcBorders>
              <w:left w:val="single" w:sz="6" w:space="0" w:color="000000"/>
              <w:right w:val="single" w:sz="6" w:space="0" w:color="000000"/>
            </w:tcBorders>
            <w:shd w:val="clear" w:color="auto" w:fill="DADADA"/>
            <w:vAlign w:val="center"/>
          </w:tcPr>
          <w:p w:rsidR="007E5F48" w:rsidRPr="002D372A" w:rsidP="007F63D3" w14:paraId="0DCFB242" w14:textId="77777777">
            <w:pPr>
              <w:keepNext/>
              <w:spacing w:after="0" w:line="240" w:lineRule="auto"/>
              <w:ind w:left="99" w:right="238"/>
              <w:jc w:val="center"/>
              <w:rPr>
                <w:rFonts w:ascii="Times New Roman" w:hAnsi="Times New Roman" w:cs="Times New Roman"/>
                <w:b/>
                <w:sz w:val="20"/>
                <w:szCs w:val="20"/>
              </w:rPr>
            </w:pPr>
            <w:r w:rsidRPr="002D372A">
              <w:rPr>
                <w:rFonts w:ascii="Times New Roman" w:hAnsi="Times New Roman" w:cs="Times New Roman"/>
                <w:b/>
                <w:sz w:val="20"/>
                <w:szCs w:val="20"/>
              </w:rPr>
              <w:t xml:space="preserve">Total </w:t>
            </w:r>
            <w:r>
              <w:rPr>
                <w:rFonts w:ascii="Times New Roman" w:hAnsi="Times New Roman" w:cs="Times New Roman"/>
                <w:b/>
                <w:sz w:val="20"/>
                <w:szCs w:val="20"/>
              </w:rPr>
              <w:t>Annual</w:t>
            </w:r>
            <w:r w:rsidRPr="002D372A">
              <w:rPr>
                <w:rFonts w:ascii="Times New Roman" w:hAnsi="Times New Roman" w:cs="Times New Roman"/>
                <w:b/>
                <w:sz w:val="20"/>
                <w:szCs w:val="20"/>
              </w:rPr>
              <w:t xml:space="preserve"> Cost</w:t>
            </w:r>
          </w:p>
        </w:tc>
      </w:tr>
      <w:tr w14:paraId="20DD2180" w14:textId="77777777" w:rsidTr="007F63D3">
        <w:tblPrEx>
          <w:tblW w:w="0" w:type="auto"/>
          <w:jc w:val="center"/>
          <w:tblLayout w:type="fixed"/>
          <w:tblCellMar>
            <w:left w:w="0" w:type="dxa"/>
            <w:right w:w="0" w:type="dxa"/>
          </w:tblCellMar>
          <w:tblLook w:val="01E0"/>
        </w:tblPrEx>
        <w:trPr>
          <w:trHeight w:val="250"/>
          <w:jc w:val="center"/>
        </w:trPr>
        <w:tc>
          <w:tcPr>
            <w:tcW w:w="1782" w:type="dxa"/>
            <w:tcBorders>
              <w:left w:val="single" w:sz="6" w:space="0" w:color="000000"/>
              <w:right w:val="single" w:sz="6" w:space="0" w:color="000000"/>
            </w:tcBorders>
            <w:vAlign w:val="bottom"/>
          </w:tcPr>
          <w:p w:rsidR="007E5F48" w:rsidRPr="002D372A" w:rsidP="007F63D3" w14:paraId="4A92C14B" w14:textId="77777777">
            <w:pPr>
              <w:keepNext/>
              <w:spacing w:after="0" w:line="240" w:lineRule="auto"/>
              <w:ind w:left="127"/>
              <w:rPr>
                <w:rFonts w:ascii="Times New Roman" w:hAnsi="Times New Roman" w:cs="Times New Roman"/>
                <w:sz w:val="20"/>
                <w:szCs w:val="20"/>
              </w:rPr>
            </w:pPr>
            <w:r w:rsidRPr="002D372A">
              <w:rPr>
                <w:rFonts w:ascii="Times New Roman" w:hAnsi="Times New Roman" w:cs="Times New Roman"/>
                <w:sz w:val="20"/>
                <w:szCs w:val="20"/>
              </w:rPr>
              <w:t>Simple</w:t>
            </w:r>
          </w:p>
        </w:tc>
        <w:tc>
          <w:tcPr>
            <w:tcW w:w="1440" w:type="dxa"/>
            <w:tcBorders>
              <w:left w:val="single" w:sz="6" w:space="0" w:color="000000"/>
              <w:right w:val="single" w:sz="6" w:space="0" w:color="000000"/>
            </w:tcBorders>
            <w:vAlign w:val="bottom"/>
          </w:tcPr>
          <w:p w:rsidR="007E5F48" w:rsidRPr="002D372A" w:rsidP="007F63D3" w14:paraId="7B0E37FA" w14:textId="77777777">
            <w:pPr>
              <w:keepNext/>
              <w:spacing w:after="0" w:line="240" w:lineRule="auto"/>
              <w:ind w:left="16"/>
              <w:jc w:val="center"/>
              <w:rPr>
                <w:rFonts w:ascii="Times New Roman" w:hAnsi="Times New Roman" w:cs="Times New Roman"/>
                <w:sz w:val="20"/>
                <w:szCs w:val="20"/>
              </w:rPr>
            </w:pPr>
            <w:r>
              <w:rPr>
                <w:rFonts w:ascii="Times New Roman" w:hAnsi="Times New Roman" w:cs="Times New Roman"/>
                <w:sz w:val="20"/>
                <w:szCs w:val="20"/>
              </w:rPr>
              <w:t>0.2</w:t>
            </w:r>
          </w:p>
        </w:tc>
        <w:tc>
          <w:tcPr>
            <w:tcW w:w="1350" w:type="dxa"/>
            <w:tcBorders>
              <w:left w:val="single" w:sz="6" w:space="0" w:color="000000"/>
              <w:right w:val="single" w:sz="6" w:space="0" w:color="000000"/>
            </w:tcBorders>
            <w:vAlign w:val="bottom"/>
          </w:tcPr>
          <w:p w:rsidR="007E5F48" w:rsidRPr="002D372A" w:rsidP="007F63D3" w14:paraId="6B867AF0" w14:textId="77777777">
            <w:pPr>
              <w:keepNext/>
              <w:spacing w:after="0" w:line="240" w:lineRule="auto"/>
              <w:ind w:left="75" w:right="133"/>
              <w:jc w:val="center"/>
              <w:rPr>
                <w:rFonts w:ascii="Times New Roman" w:hAnsi="Times New Roman" w:cs="Times New Roman"/>
                <w:color w:val="000000"/>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9</w:t>
            </w:r>
          </w:p>
        </w:tc>
        <w:tc>
          <w:tcPr>
            <w:tcW w:w="1770" w:type="dxa"/>
            <w:tcBorders>
              <w:left w:val="single" w:sz="6" w:space="0" w:color="000000"/>
              <w:right w:val="single" w:sz="6" w:space="0" w:color="000000"/>
            </w:tcBorders>
            <w:vAlign w:val="bottom"/>
          </w:tcPr>
          <w:p w:rsidR="007E5F48" w:rsidRPr="002D372A" w:rsidP="007F63D3" w14:paraId="2127329D" w14:textId="77777777">
            <w:pPr>
              <w:keepNext/>
              <w:spacing w:after="0" w:line="240" w:lineRule="auto"/>
              <w:ind w:left="72" w:right="164"/>
              <w:jc w:val="center"/>
              <w:rPr>
                <w:rFonts w:ascii="Times New Roman" w:hAnsi="Times New Roman" w:cs="Times New Roman"/>
                <w:sz w:val="20"/>
                <w:szCs w:val="20"/>
              </w:rPr>
            </w:pPr>
            <w:r>
              <w:rPr>
                <w:rFonts w:ascii="Times New Roman" w:hAnsi="Times New Roman" w:cs="Times New Roman"/>
                <w:sz w:val="20"/>
                <w:szCs w:val="20"/>
              </w:rPr>
              <w:t>11,156</w:t>
            </w:r>
          </w:p>
        </w:tc>
        <w:tc>
          <w:tcPr>
            <w:tcW w:w="1812" w:type="dxa"/>
            <w:tcBorders>
              <w:left w:val="single" w:sz="6" w:space="0" w:color="000000"/>
              <w:right w:val="single" w:sz="6" w:space="0" w:color="000000"/>
            </w:tcBorders>
            <w:vAlign w:val="bottom"/>
          </w:tcPr>
          <w:p w:rsidR="007E5F48" w:rsidRPr="002D372A" w:rsidP="007F63D3" w14:paraId="77CD7A63" w14:textId="77777777">
            <w:pPr>
              <w:keepNext/>
              <w:spacing w:after="0" w:line="240" w:lineRule="auto"/>
              <w:ind w:left="99"/>
              <w:jc w:val="center"/>
              <w:rPr>
                <w:rFonts w:ascii="Times New Roman" w:hAnsi="Times New Roman" w:cs="Times New Roman"/>
                <w:color w:val="000000"/>
                <w:sz w:val="20"/>
                <w:szCs w:val="20"/>
              </w:rPr>
            </w:pPr>
            <w:r w:rsidRPr="002D372A">
              <w:rPr>
                <w:rFonts w:ascii="Times New Roman" w:hAnsi="Times New Roman" w:cs="Times New Roman"/>
                <w:color w:val="000000"/>
                <w:sz w:val="20"/>
                <w:szCs w:val="20"/>
              </w:rPr>
              <w:t>$</w:t>
            </w:r>
            <w:r w:rsidR="00F04D79">
              <w:rPr>
                <w:rFonts w:ascii="Times New Roman" w:hAnsi="Times New Roman" w:cs="Times New Roman"/>
                <w:color w:val="000000"/>
                <w:sz w:val="20"/>
                <w:szCs w:val="20"/>
              </w:rPr>
              <w:t>20,582</w:t>
            </w:r>
          </w:p>
        </w:tc>
      </w:tr>
      <w:tr w14:paraId="7AFB9C82" w14:textId="77777777" w:rsidTr="007F63D3">
        <w:tblPrEx>
          <w:tblW w:w="0" w:type="auto"/>
          <w:jc w:val="center"/>
          <w:tblLayout w:type="fixed"/>
          <w:tblCellMar>
            <w:left w:w="0" w:type="dxa"/>
            <w:right w:w="0" w:type="dxa"/>
          </w:tblCellMar>
          <w:tblLook w:val="01E0"/>
        </w:tblPrEx>
        <w:trPr>
          <w:trHeight w:val="250"/>
          <w:jc w:val="center"/>
        </w:trPr>
        <w:tc>
          <w:tcPr>
            <w:tcW w:w="1782" w:type="dxa"/>
            <w:tcBorders>
              <w:left w:val="single" w:sz="6" w:space="0" w:color="000000"/>
              <w:right w:val="single" w:sz="6" w:space="0" w:color="000000"/>
            </w:tcBorders>
            <w:vAlign w:val="bottom"/>
          </w:tcPr>
          <w:p w:rsidR="007E5F48" w:rsidRPr="002D372A" w:rsidP="007F63D3" w14:paraId="5E5AF6F4" w14:textId="77777777">
            <w:pPr>
              <w:keepNext/>
              <w:spacing w:after="0" w:line="240" w:lineRule="auto"/>
              <w:ind w:left="127"/>
              <w:rPr>
                <w:rFonts w:ascii="Times New Roman" w:hAnsi="Times New Roman" w:cs="Times New Roman"/>
                <w:sz w:val="20"/>
                <w:szCs w:val="20"/>
              </w:rPr>
            </w:pPr>
            <w:r w:rsidRPr="002D372A">
              <w:rPr>
                <w:rFonts w:ascii="Times New Roman" w:hAnsi="Times New Roman" w:cs="Times New Roman"/>
                <w:sz w:val="20"/>
                <w:szCs w:val="20"/>
              </w:rPr>
              <w:t>Complex</w:t>
            </w:r>
          </w:p>
        </w:tc>
        <w:tc>
          <w:tcPr>
            <w:tcW w:w="1440" w:type="dxa"/>
            <w:tcBorders>
              <w:left w:val="single" w:sz="6" w:space="0" w:color="000000"/>
              <w:right w:val="single" w:sz="6" w:space="0" w:color="000000"/>
            </w:tcBorders>
            <w:vAlign w:val="bottom"/>
          </w:tcPr>
          <w:p w:rsidR="007E5F48" w:rsidRPr="002D372A" w:rsidP="007F63D3" w14:paraId="62C0C51B" w14:textId="77777777">
            <w:pPr>
              <w:keepNext/>
              <w:spacing w:after="0" w:line="240" w:lineRule="auto"/>
              <w:ind w:left="16"/>
              <w:jc w:val="center"/>
              <w:rPr>
                <w:rFonts w:ascii="Times New Roman" w:hAnsi="Times New Roman" w:cs="Times New Roman"/>
                <w:sz w:val="20"/>
                <w:szCs w:val="20"/>
              </w:rPr>
            </w:pPr>
            <w:r>
              <w:rPr>
                <w:rFonts w:ascii="Times New Roman" w:hAnsi="Times New Roman" w:cs="Times New Roman"/>
                <w:sz w:val="20"/>
                <w:szCs w:val="20"/>
              </w:rPr>
              <w:t>0.2</w:t>
            </w:r>
          </w:p>
        </w:tc>
        <w:tc>
          <w:tcPr>
            <w:tcW w:w="1350" w:type="dxa"/>
            <w:tcBorders>
              <w:left w:val="single" w:sz="6" w:space="0" w:color="000000"/>
              <w:right w:val="single" w:sz="6" w:space="0" w:color="000000"/>
            </w:tcBorders>
            <w:vAlign w:val="bottom"/>
          </w:tcPr>
          <w:p w:rsidR="007E5F48" w:rsidRPr="002D372A" w:rsidP="007F63D3" w14:paraId="18568E2E" w14:textId="77777777">
            <w:pPr>
              <w:keepNext/>
              <w:spacing w:after="0" w:line="240" w:lineRule="auto"/>
              <w:ind w:left="75" w:right="133"/>
              <w:jc w:val="center"/>
              <w:rPr>
                <w:rFonts w:ascii="Times New Roman" w:hAnsi="Times New Roman" w:cs="Times New Roman"/>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11</w:t>
            </w:r>
          </w:p>
        </w:tc>
        <w:tc>
          <w:tcPr>
            <w:tcW w:w="1770" w:type="dxa"/>
            <w:tcBorders>
              <w:left w:val="single" w:sz="6" w:space="0" w:color="000000"/>
              <w:right w:val="single" w:sz="6" w:space="0" w:color="000000"/>
            </w:tcBorders>
            <w:vAlign w:val="bottom"/>
          </w:tcPr>
          <w:p w:rsidR="007E5F48" w:rsidRPr="002D372A" w:rsidP="007F63D3" w14:paraId="4B99275E" w14:textId="77777777">
            <w:pPr>
              <w:keepNext/>
              <w:spacing w:after="0" w:line="240" w:lineRule="auto"/>
              <w:ind w:left="72" w:right="164"/>
              <w:jc w:val="center"/>
              <w:rPr>
                <w:rFonts w:ascii="Times New Roman" w:hAnsi="Times New Roman" w:cs="Times New Roman"/>
                <w:sz w:val="20"/>
                <w:szCs w:val="20"/>
              </w:rPr>
            </w:pPr>
            <w:r>
              <w:rPr>
                <w:rFonts w:ascii="Times New Roman" w:hAnsi="Times New Roman" w:cs="Times New Roman"/>
                <w:sz w:val="20"/>
                <w:szCs w:val="20"/>
              </w:rPr>
              <w:t>3,</w:t>
            </w:r>
            <w:r w:rsidR="00B429EB">
              <w:rPr>
                <w:rFonts w:ascii="Times New Roman" w:hAnsi="Times New Roman" w:cs="Times New Roman"/>
                <w:sz w:val="20"/>
                <w:szCs w:val="20"/>
              </w:rPr>
              <w:t>054</w:t>
            </w:r>
          </w:p>
        </w:tc>
        <w:tc>
          <w:tcPr>
            <w:tcW w:w="1812" w:type="dxa"/>
            <w:tcBorders>
              <w:left w:val="single" w:sz="6" w:space="0" w:color="000000"/>
              <w:right w:val="single" w:sz="6" w:space="0" w:color="000000"/>
            </w:tcBorders>
            <w:vAlign w:val="bottom"/>
          </w:tcPr>
          <w:p w:rsidR="007E5F48" w:rsidRPr="002D372A" w:rsidP="007F63D3" w14:paraId="4D8824E1" w14:textId="77777777">
            <w:pPr>
              <w:keepNext/>
              <w:spacing w:after="0" w:line="240" w:lineRule="auto"/>
              <w:ind w:left="99"/>
              <w:jc w:val="center"/>
              <w:rPr>
                <w:rFonts w:ascii="Times New Roman" w:hAnsi="Times New Roman" w:cs="Times New Roman"/>
                <w:sz w:val="20"/>
                <w:szCs w:val="20"/>
              </w:rPr>
            </w:pPr>
            <w:r w:rsidRPr="002D372A">
              <w:rPr>
                <w:rFonts w:ascii="Times New Roman" w:hAnsi="Times New Roman" w:cs="Times New Roman"/>
                <w:color w:val="000000"/>
                <w:sz w:val="20"/>
                <w:szCs w:val="20"/>
              </w:rPr>
              <w:t>$</w:t>
            </w:r>
            <w:r>
              <w:rPr>
                <w:rFonts w:ascii="Times New Roman" w:hAnsi="Times New Roman" w:cs="Times New Roman"/>
                <w:color w:val="000000"/>
                <w:sz w:val="20"/>
                <w:szCs w:val="20"/>
              </w:rPr>
              <w:t>7,</w:t>
            </w:r>
            <w:r w:rsidR="00D36C5F">
              <w:rPr>
                <w:rFonts w:ascii="Times New Roman" w:hAnsi="Times New Roman" w:cs="Times New Roman"/>
                <w:color w:val="000000"/>
                <w:sz w:val="20"/>
                <w:szCs w:val="20"/>
              </w:rPr>
              <w:t>000</w:t>
            </w:r>
          </w:p>
        </w:tc>
      </w:tr>
      <w:tr w14:paraId="74A47886" w14:textId="77777777" w:rsidTr="007F63D3">
        <w:tblPrEx>
          <w:tblW w:w="0" w:type="auto"/>
          <w:jc w:val="center"/>
          <w:tblLayout w:type="fixed"/>
          <w:tblCellMar>
            <w:left w:w="0" w:type="dxa"/>
            <w:right w:w="0" w:type="dxa"/>
          </w:tblCellMar>
          <w:tblLook w:val="01E0"/>
        </w:tblPrEx>
        <w:trPr>
          <w:trHeight w:val="255"/>
          <w:jc w:val="center"/>
        </w:trPr>
        <w:tc>
          <w:tcPr>
            <w:tcW w:w="1782" w:type="dxa"/>
            <w:tcBorders>
              <w:top w:val="single" w:sz="6" w:space="0" w:color="000000"/>
              <w:left w:val="single" w:sz="6" w:space="0" w:color="000000"/>
              <w:bottom w:val="single" w:sz="6" w:space="0" w:color="000000"/>
              <w:right w:val="single" w:sz="6" w:space="0" w:color="000000"/>
            </w:tcBorders>
            <w:vAlign w:val="bottom"/>
          </w:tcPr>
          <w:p w:rsidR="007E5F48" w:rsidRPr="002D372A" w:rsidP="007F63D3" w14:paraId="21B02017" w14:textId="77777777">
            <w:pPr>
              <w:spacing w:after="0" w:line="240" w:lineRule="auto"/>
              <w:ind w:left="246" w:right="210"/>
              <w:rPr>
                <w:rFonts w:ascii="Times New Roman" w:hAnsi="Times New Roman" w:cs="Times New Roman"/>
                <w:b/>
                <w:sz w:val="20"/>
                <w:szCs w:val="20"/>
              </w:rPr>
            </w:pPr>
            <w:r w:rsidRPr="002D372A">
              <w:rPr>
                <w:rFonts w:ascii="Times New Roman" w:hAnsi="Times New Roman" w:cs="Times New Roman"/>
                <w:b/>
                <w:sz w:val="20"/>
                <w:szCs w:val="20"/>
              </w:rPr>
              <w:t>Total</w:t>
            </w:r>
          </w:p>
        </w:tc>
        <w:tc>
          <w:tcPr>
            <w:tcW w:w="1440" w:type="dxa"/>
            <w:tcBorders>
              <w:top w:val="single" w:sz="6" w:space="0" w:color="000000"/>
              <w:left w:val="single" w:sz="6" w:space="0" w:color="000000"/>
              <w:bottom w:val="single" w:sz="6" w:space="0" w:color="000000"/>
              <w:right w:val="single" w:sz="6" w:space="0" w:color="000000"/>
            </w:tcBorders>
            <w:vAlign w:val="bottom"/>
          </w:tcPr>
          <w:p w:rsidR="007E5F48" w:rsidRPr="002D372A" w:rsidP="007F63D3" w14:paraId="7CCBC561" w14:textId="77777777">
            <w:pPr>
              <w:spacing w:after="0" w:line="240" w:lineRule="auto"/>
              <w:jc w:val="center"/>
              <w:rPr>
                <w:rFonts w:ascii="Times New Roman" w:hAnsi="Times New Roman" w:cs="Times New Roman"/>
                <w:sz w:val="20"/>
                <w:szCs w:val="20"/>
              </w:rPr>
            </w:pPr>
          </w:p>
        </w:tc>
        <w:tc>
          <w:tcPr>
            <w:tcW w:w="1350" w:type="dxa"/>
            <w:tcBorders>
              <w:top w:val="single" w:sz="6" w:space="0" w:color="000000"/>
              <w:left w:val="single" w:sz="6" w:space="0" w:color="000000"/>
              <w:bottom w:val="single" w:sz="6" w:space="0" w:color="000000"/>
              <w:right w:val="single" w:sz="6" w:space="0" w:color="000000"/>
            </w:tcBorders>
            <w:vAlign w:val="bottom"/>
          </w:tcPr>
          <w:p w:rsidR="007E5F48" w:rsidRPr="002D372A" w:rsidP="007F63D3" w14:paraId="30600ED4" w14:textId="77777777">
            <w:pPr>
              <w:spacing w:after="0" w:line="240" w:lineRule="auto"/>
              <w:jc w:val="center"/>
              <w:rPr>
                <w:rFonts w:ascii="Times New Roman" w:hAnsi="Times New Roman" w:cs="Times New Roman"/>
                <w:sz w:val="20"/>
                <w:szCs w:val="20"/>
              </w:rPr>
            </w:pPr>
          </w:p>
        </w:tc>
        <w:tc>
          <w:tcPr>
            <w:tcW w:w="1770" w:type="dxa"/>
            <w:tcBorders>
              <w:top w:val="single" w:sz="6" w:space="0" w:color="000000"/>
              <w:left w:val="single" w:sz="6" w:space="0" w:color="000000"/>
              <w:bottom w:val="single" w:sz="6" w:space="0" w:color="000000"/>
              <w:right w:val="single" w:sz="6" w:space="0" w:color="000000"/>
            </w:tcBorders>
            <w:vAlign w:val="bottom"/>
          </w:tcPr>
          <w:p w:rsidR="007E5F48" w:rsidRPr="002D372A" w:rsidP="007F63D3" w14:paraId="7025A6C4" w14:textId="77777777">
            <w:pPr>
              <w:spacing w:after="0" w:line="240" w:lineRule="auto"/>
              <w:ind w:left="72"/>
              <w:jc w:val="center"/>
              <w:rPr>
                <w:rFonts w:ascii="Times New Roman" w:hAnsi="Times New Roman" w:cs="Times New Roman"/>
                <w:b/>
                <w:sz w:val="20"/>
                <w:szCs w:val="20"/>
              </w:rPr>
            </w:pPr>
            <w:r>
              <w:rPr>
                <w:rFonts w:ascii="Times New Roman" w:hAnsi="Times New Roman" w:cs="Times New Roman"/>
                <w:b/>
                <w:sz w:val="20"/>
                <w:szCs w:val="20"/>
              </w:rPr>
              <w:t>14,210</w:t>
            </w:r>
          </w:p>
        </w:tc>
        <w:tc>
          <w:tcPr>
            <w:tcW w:w="1812" w:type="dxa"/>
            <w:tcBorders>
              <w:top w:val="single" w:sz="6" w:space="0" w:color="000000"/>
              <w:left w:val="single" w:sz="6" w:space="0" w:color="000000"/>
              <w:bottom w:val="single" w:sz="6" w:space="0" w:color="000000"/>
              <w:right w:val="single" w:sz="6" w:space="0" w:color="000000"/>
            </w:tcBorders>
            <w:vAlign w:val="bottom"/>
          </w:tcPr>
          <w:p w:rsidR="007E5F48" w:rsidRPr="002D372A" w:rsidP="007F63D3" w14:paraId="6F7B9F8B" w14:textId="77777777">
            <w:pPr>
              <w:spacing w:after="0" w:line="240" w:lineRule="auto"/>
              <w:ind w:left="99"/>
              <w:jc w:val="center"/>
              <w:rPr>
                <w:rFonts w:ascii="Times New Roman" w:hAnsi="Times New Roman" w:cs="Times New Roman"/>
                <w:b/>
                <w:sz w:val="20"/>
                <w:szCs w:val="20"/>
              </w:rPr>
            </w:pPr>
            <w:r w:rsidRPr="002D372A">
              <w:rPr>
                <w:rFonts w:ascii="Times New Roman" w:hAnsi="Times New Roman" w:cs="Times New Roman"/>
                <w:b/>
                <w:color w:val="000000"/>
                <w:sz w:val="20"/>
                <w:szCs w:val="20"/>
              </w:rPr>
              <w:t>$</w:t>
            </w:r>
            <w:r w:rsidR="00D36C5F">
              <w:rPr>
                <w:rFonts w:ascii="Times New Roman" w:hAnsi="Times New Roman" w:cs="Times New Roman"/>
                <w:b/>
                <w:color w:val="000000"/>
                <w:sz w:val="20"/>
                <w:szCs w:val="20"/>
              </w:rPr>
              <w:t>27,</w:t>
            </w:r>
            <w:r w:rsidR="00EE2D4D">
              <w:rPr>
                <w:rFonts w:ascii="Times New Roman" w:hAnsi="Times New Roman" w:cs="Times New Roman"/>
                <w:b/>
                <w:color w:val="000000"/>
                <w:sz w:val="20"/>
                <w:szCs w:val="20"/>
              </w:rPr>
              <w:t>582</w:t>
            </w:r>
          </w:p>
        </w:tc>
      </w:tr>
    </w:tbl>
    <w:p w:rsidR="00F43B3D" w:rsidP="00D21960" w14:paraId="64B0B592" w14:textId="77777777">
      <w:pPr>
        <w:spacing w:after="0" w:line="240" w:lineRule="auto"/>
        <w:rPr>
          <w:rFonts w:ascii="Times New Roman" w:hAnsi="Times New Roman" w:cs="Times New Roman"/>
        </w:rPr>
      </w:pPr>
    </w:p>
    <w:p w:rsidR="00F43B3D" w:rsidRPr="00BF4D0A" w:rsidP="00D21960" w14:paraId="6A329CD8" w14:textId="77777777">
      <w:pPr>
        <w:spacing w:after="0" w:line="240" w:lineRule="auto"/>
        <w:rPr>
          <w:rFonts w:ascii="Times New Roman" w:hAnsi="Times New Roman" w:cs="Times New Roman"/>
        </w:rPr>
      </w:pPr>
    </w:p>
    <w:p w:rsidR="00142C57" w:rsidRPr="00142C57" w:rsidP="00C07306" w14:paraId="32B7FF82" w14:textId="77777777">
      <w:pPr>
        <w:pStyle w:val="Heading2"/>
      </w:pPr>
      <w:bookmarkStart w:id="302" w:name="5.4__Emergency_Response_Preparedness_Req"/>
      <w:bookmarkStart w:id="303" w:name="_bookmark78"/>
      <w:bookmarkStart w:id="304" w:name="_Toc98856223"/>
      <w:bookmarkStart w:id="305" w:name="_Toc144303563"/>
      <w:bookmarkEnd w:id="302"/>
      <w:bookmarkEnd w:id="303"/>
      <w:r>
        <w:t>5.</w:t>
      </w:r>
      <w:r w:rsidR="00637A49">
        <w:t>5</w:t>
      </w:r>
      <w:r>
        <w:t xml:space="preserve"> E</w:t>
      </w:r>
      <w:r w:rsidRPr="000654A0" w:rsidR="00435210">
        <w:t>mergency Response</w:t>
      </w:r>
      <w:bookmarkEnd w:id="304"/>
      <w:bookmarkEnd w:id="305"/>
    </w:p>
    <w:p w:rsidR="00435210" w:rsidRPr="00720AAA" w:rsidP="00720AAA" w14:paraId="57D1ED6D" w14:textId="77777777">
      <w:pPr>
        <w:pStyle w:val="Heading3"/>
        <w:rPr>
          <w:rFonts w:ascii="Times New Roman" w:hAnsi="Times New Roman" w:cs="Times New Roman"/>
          <w:sz w:val="22"/>
          <w:szCs w:val="22"/>
        </w:rPr>
      </w:pPr>
      <w:bookmarkStart w:id="306" w:name="5.4.1__Emergency_Response_Program_Coordi"/>
      <w:bookmarkStart w:id="307" w:name="_Toc141733169"/>
      <w:bookmarkStart w:id="308" w:name="_Toc142404073"/>
      <w:bookmarkStart w:id="309" w:name="_Toc144213881"/>
      <w:bookmarkStart w:id="310" w:name="_Toc144283626"/>
      <w:bookmarkStart w:id="311" w:name="_Toc144303564"/>
      <w:bookmarkEnd w:id="306"/>
      <w:r w:rsidRPr="00720AAA">
        <w:rPr>
          <w:rFonts w:ascii="Times New Roman" w:hAnsi="Times New Roman" w:cs="Times New Roman"/>
          <w:sz w:val="22"/>
          <w:szCs w:val="22"/>
        </w:rPr>
        <w:t>5.</w:t>
      </w:r>
      <w:r w:rsidR="00637A49">
        <w:rPr>
          <w:rFonts w:ascii="Times New Roman" w:hAnsi="Times New Roman" w:cs="Times New Roman"/>
          <w:sz w:val="22"/>
          <w:szCs w:val="22"/>
        </w:rPr>
        <w:t>5</w:t>
      </w:r>
      <w:r w:rsidRPr="00720AAA">
        <w:rPr>
          <w:rFonts w:ascii="Times New Roman" w:hAnsi="Times New Roman" w:cs="Times New Roman"/>
          <w:sz w:val="22"/>
          <w:szCs w:val="22"/>
        </w:rPr>
        <w:t xml:space="preserve">.1 </w:t>
      </w:r>
      <w:r w:rsidRPr="00720AAA" w:rsidR="00200686">
        <w:rPr>
          <w:rFonts w:ascii="Times New Roman" w:hAnsi="Times New Roman" w:cs="Times New Roman"/>
          <w:sz w:val="22"/>
          <w:szCs w:val="22"/>
        </w:rPr>
        <w:t xml:space="preserve">Community Notification </w:t>
      </w:r>
      <w:r w:rsidRPr="00720AAA" w:rsidR="002B2801">
        <w:rPr>
          <w:rFonts w:ascii="Times New Roman" w:hAnsi="Times New Roman" w:cs="Times New Roman"/>
          <w:sz w:val="22"/>
          <w:szCs w:val="22"/>
        </w:rPr>
        <w:t>of RMP Accidents</w:t>
      </w:r>
      <w:bookmarkEnd w:id="307"/>
      <w:bookmarkEnd w:id="308"/>
      <w:bookmarkEnd w:id="309"/>
      <w:bookmarkEnd w:id="310"/>
      <w:bookmarkEnd w:id="311"/>
    </w:p>
    <w:p w:rsidR="00435210" w:rsidRPr="00BF4D0A" w:rsidP="00576F93" w14:paraId="2B8E4837" w14:textId="77777777">
      <w:pPr>
        <w:spacing w:after="0" w:line="240" w:lineRule="auto"/>
        <w:ind w:right="338" w:firstLine="360"/>
        <w:rPr>
          <w:rFonts w:ascii="Times New Roman" w:hAnsi="Times New Roman" w:cs="Times New Roman"/>
        </w:rPr>
      </w:pPr>
      <w:r>
        <w:rPr>
          <w:rFonts w:ascii="Times New Roman" w:hAnsi="Times New Roman" w:cs="Times New Roman"/>
        </w:rPr>
        <w:tab/>
      </w:r>
      <w:r w:rsidRPr="00BF4D0A" w:rsidR="00D9245C">
        <w:rPr>
          <w:rFonts w:ascii="Times New Roman" w:hAnsi="Times New Roman" w:cs="Times New Roman"/>
        </w:rPr>
        <w:t xml:space="preserve">The RMP rule currently requires </w:t>
      </w:r>
      <w:r w:rsidRPr="00BF4D0A" w:rsidR="005D66EF">
        <w:rPr>
          <w:rFonts w:ascii="Times New Roman" w:hAnsi="Times New Roman" w:cs="Times New Roman"/>
        </w:rPr>
        <w:t xml:space="preserve">only </w:t>
      </w:r>
      <w:r w:rsidRPr="00BF4D0A" w:rsidR="00D9245C">
        <w:rPr>
          <w:rFonts w:ascii="Times New Roman" w:hAnsi="Times New Roman" w:cs="Times New Roman"/>
        </w:rPr>
        <w:t xml:space="preserve">responding </w:t>
      </w:r>
      <w:r w:rsidRPr="00BF4D0A" w:rsidR="00994579">
        <w:rPr>
          <w:rFonts w:ascii="Times New Roman" w:hAnsi="Times New Roman" w:cs="Times New Roman"/>
        </w:rPr>
        <w:t xml:space="preserve">Program 2 and 3 </w:t>
      </w:r>
      <w:r w:rsidRPr="00BF4D0A" w:rsidR="00D9245C">
        <w:rPr>
          <w:rFonts w:ascii="Times New Roman" w:hAnsi="Times New Roman" w:cs="Times New Roman"/>
        </w:rPr>
        <w:t xml:space="preserve">facilities to have procedures in place for informing the public and the appropriate Federal, State, and </w:t>
      </w:r>
      <w:r w:rsidRPr="000401F5" w:rsidR="00D9245C">
        <w:rPr>
          <w:rFonts w:ascii="Times New Roman" w:hAnsi="Times New Roman" w:cs="Times New Roman"/>
        </w:rPr>
        <w:t xml:space="preserve">local emergency response agencies about accidental releases. </w:t>
      </w:r>
      <w:r w:rsidRPr="000401F5" w:rsidR="00200686">
        <w:rPr>
          <w:rFonts w:ascii="Times New Roman" w:hAnsi="Times New Roman" w:cs="Times New Roman"/>
        </w:rPr>
        <w:t xml:space="preserve">The </w:t>
      </w:r>
      <w:r w:rsidR="00C804EB">
        <w:rPr>
          <w:rFonts w:ascii="Times New Roman" w:hAnsi="Times New Roman" w:cs="Times New Roman"/>
        </w:rPr>
        <w:t>final</w:t>
      </w:r>
      <w:r w:rsidRPr="000401F5" w:rsidR="00C804EB">
        <w:rPr>
          <w:rFonts w:ascii="Times New Roman" w:hAnsi="Times New Roman" w:cs="Times New Roman"/>
        </w:rPr>
        <w:t xml:space="preserve"> </w:t>
      </w:r>
      <w:r w:rsidRPr="000401F5" w:rsidR="00200686">
        <w:rPr>
          <w:rFonts w:ascii="Times New Roman" w:hAnsi="Times New Roman" w:cs="Times New Roman"/>
        </w:rPr>
        <w:t xml:space="preserve">rule </w:t>
      </w:r>
      <w:r w:rsidR="009449B7">
        <w:rPr>
          <w:rFonts w:ascii="Times New Roman" w:hAnsi="Times New Roman" w:cs="Times New Roman"/>
        </w:rPr>
        <w:t>will</w:t>
      </w:r>
      <w:r w:rsidRPr="000401F5" w:rsidR="00200686">
        <w:rPr>
          <w:rFonts w:ascii="Times New Roman" w:hAnsi="Times New Roman" w:cs="Times New Roman"/>
        </w:rPr>
        <w:t xml:space="preserve"> require </w:t>
      </w:r>
      <w:r w:rsidRPr="000401F5" w:rsidR="00D62DEA">
        <w:rPr>
          <w:rFonts w:ascii="Times New Roman" w:hAnsi="Times New Roman" w:cs="Times New Roman"/>
        </w:rPr>
        <w:t xml:space="preserve">both responding and non-responding </w:t>
      </w:r>
      <w:r w:rsidRPr="000401F5" w:rsidR="00200686">
        <w:rPr>
          <w:rFonts w:ascii="Times New Roman" w:hAnsi="Times New Roman" w:cs="Times New Roman"/>
        </w:rPr>
        <w:t>Program 2 and 3 facilities</w:t>
      </w:r>
      <w:r w:rsidRPr="000401F5" w:rsidR="000F3A26">
        <w:rPr>
          <w:rFonts w:ascii="Times New Roman" w:hAnsi="Times New Roman" w:cs="Times New Roman"/>
        </w:rPr>
        <w:t xml:space="preserve"> </w:t>
      </w:r>
      <w:r w:rsidRPr="000401F5" w:rsidR="00200686">
        <w:rPr>
          <w:rFonts w:ascii="Times New Roman" w:hAnsi="Times New Roman" w:cs="Times New Roman"/>
        </w:rPr>
        <w:t xml:space="preserve">to ensure a community notification system is in place. This analysis assumes that facilities are </w:t>
      </w:r>
      <w:r w:rsidRPr="000401F5" w:rsidR="00846C7B">
        <w:rPr>
          <w:rFonts w:ascii="Times New Roman" w:hAnsi="Times New Roman" w:cs="Times New Roman"/>
        </w:rPr>
        <w:t xml:space="preserve">coordinating </w:t>
      </w:r>
      <w:r w:rsidRPr="000401F5" w:rsidR="00200686">
        <w:rPr>
          <w:rFonts w:ascii="Times New Roman" w:hAnsi="Times New Roman" w:cs="Times New Roman"/>
        </w:rPr>
        <w:t>annually with LEPCs</w:t>
      </w:r>
      <w:r w:rsidRPr="00BF4D0A" w:rsidR="00200686">
        <w:rPr>
          <w:rFonts w:ascii="Times New Roman" w:hAnsi="Times New Roman" w:cs="Times New Roman"/>
        </w:rPr>
        <w:t xml:space="preserve"> to ensure a community notification system is</w:t>
      </w:r>
      <w:r w:rsidRPr="00BF4D0A" w:rsidR="006501DC">
        <w:rPr>
          <w:rFonts w:ascii="Times New Roman" w:hAnsi="Times New Roman" w:cs="Times New Roman"/>
        </w:rPr>
        <w:t xml:space="preserve"> used to communicate information about RMP-reportable accidents</w:t>
      </w:r>
      <w:r w:rsidRPr="00BF4D0A" w:rsidR="00200686">
        <w:rPr>
          <w:rFonts w:ascii="Times New Roman" w:hAnsi="Times New Roman" w:cs="Times New Roman"/>
        </w:rPr>
        <w:t>.</w:t>
      </w:r>
      <w:r w:rsidRPr="00BF4D0A" w:rsidR="003A5B52">
        <w:rPr>
          <w:rFonts w:ascii="Times New Roman" w:hAnsi="Times New Roman" w:cs="Times New Roman"/>
        </w:rPr>
        <w:t xml:space="preserve"> Exhibit 5-</w:t>
      </w:r>
      <w:r w:rsidR="00CC3094">
        <w:rPr>
          <w:rFonts w:ascii="Times New Roman" w:hAnsi="Times New Roman" w:cs="Times New Roman"/>
        </w:rPr>
        <w:t>1</w:t>
      </w:r>
      <w:r w:rsidR="005D4B4E">
        <w:rPr>
          <w:rFonts w:ascii="Times New Roman" w:hAnsi="Times New Roman" w:cs="Times New Roman"/>
        </w:rPr>
        <w:t>4</w:t>
      </w:r>
      <w:r w:rsidRPr="00BF4D0A" w:rsidR="00C804EB">
        <w:rPr>
          <w:rFonts w:ascii="Times New Roman" w:hAnsi="Times New Roman" w:cs="Times New Roman"/>
        </w:rPr>
        <w:t xml:space="preserve"> </w:t>
      </w:r>
      <w:r w:rsidRPr="00BF4D0A" w:rsidR="003A5B52">
        <w:rPr>
          <w:rFonts w:ascii="Times New Roman" w:hAnsi="Times New Roman" w:cs="Times New Roman"/>
        </w:rPr>
        <w:t>presents the cost for this provision.</w:t>
      </w:r>
    </w:p>
    <w:p w:rsidR="009B0E5A" w:rsidRPr="00BF4D0A" w:rsidP="00576F93" w14:paraId="0C7522C0" w14:textId="77777777">
      <w:pPr>
        <w:spacing w:after="0" w:line="240" w:lineRule="auto"/>
        <w:ind w:firstLine="720"/>
        <w:rPr>
          <w:rFonts w:ascii="Times New Roman" w:hAnsi="Times New Roman" w:cs="Times New Roman"/>
        </w:rPr>
      </w:pPr>
    </w:p>
    <w:p w:rsidR="00B87FD9" w:rsidP="00B87FD9" w14:paraId="04C2DF25" w14:textId="77777777">
      <w:pPr>
        <w:keepNext/>
        <w:spacing w:after="0" w:line="240" w:lineRule="auto"/>
        <w:jc w:val="center"/>
        <w:rPr>
          <w:rFonts w:ascii="Times New Roman" w:hAnsi="Times New Roman" w:cs="Times New Roman"/>
          <w:b/>
        </w:rPr>
      </w:pPr>
      <w:r w:rsidRPr="00B87FD9">
        <w:rPr>
          <w:rFonts w:ascii="Times New Roman" w:hAnsi="Times New Roman" w:cs="Times New Roman"/>
          <w:b/>
          <w:bCs/>
        </w:rPr>
        <w:t>Exhibit</w:t>
      </w:r>
      <w:r>
        <w:t xml:space="preserve"> </w:t>
      </w:r>
      <w:r w:rsidRPr="00BF4D0A">
        <w:rPr>
          <w:rFonts w:ascii="Times New Roman" w:hAnsi="Times New Roman" w:cs="Times New Roman"/>
          <w:b/>
        </w:rPr>
        <w:t>5-</w:t>
      </w:r>
      <w:r w:rsidR="00CC3094">
        <w:rPr>
          <w:rFonts w:ascii="Times New Roman" w:hAnsi="Times New Roman" w:cs="Times New Roman"/>
          <w:b/>
          <w:bCs/>
        </w:rPr>
        <w:t>1</w:t>
      </w:r>
      <w:r w:rsidR="005D4B4E">
        <w:rPr>
          <w:rFonts w:ascii="Times New Roman" w:hAnsi="Times New Roman" w:cs="Times New Roman"/>
          <w:b/>
          <w:bCs/>
        </w:rPr>
        <w:t>4</w:t>
      </w:r>
      <w:r w:rsidRPr="00BF4D0A">
        <w:rPr>
          <w:rFonts w:ascii="Times New Roman" w:hAnsi="Times New Roman" w:cs="Times New Roman"/>
          <w:b/>
        </w:rPr>
        <w:t>: Costs for Coordinating Community Notification (202</w:t>
      </w:r>
      <w:r w:rsidR="00C804EB">
        <w:rPr>
          <w:rFonts w:ascii="Times New Roman" w:hAnsi="Times New Roman" w:cs="Times New Roman"/>
          <w:b/>
        </w:rPr>
        <w:t>2</w:t>
      </w:r>
      <w:r w:rsidRPr="00BF4D0A">
        <w:rPr>
          <w:rFonts w:ascii="Times New Roman" w:hAnsi="Times New Roman" w:cs="Times New Roman"/>
          <w:b/>
        </w:rPr>
        <w:t xml:space="preserve"> </w:t>
      </w:r>
      <w:r w:rsidR="00794F08">
        <w:rPr>
          <w:rFonts w:ascii="Times New Roman" w:hAnsi="Times New Roman" w:cs="Times New Roman"/>
          <w:b/>
        </w:rPr>
        <w:t>d</w:t>
      </w:r>
      <w:r w:rsidRPr="00BF4D0A">
        <w:rPr>
          <w:rFonts w:ascii="Times New Roman" w:hAnsi="Times New Roman" w:cs="Times New Roman"/>
          <w:b/>
        </w:rPr>
        <w:t>ollars)</w:t>
      </w:r>
      <w:r>
        <w:rPr>
          <w:rFonts w:ascii="Times New Roman" w:hAnsi="Times New Roman" w:cs="Times New Roman"/>
          <w:b/>
        </w:rPr>
        <w:t>.</w:t>
      </w:r>
    </w:p>
    <w:p w:rsidR="00B87FD9" w:rsidRPr="00B87FD9" w:rsidP="00B87FD9" w14:paraId="42F7352E" w14:textId="77777777">
      <w:pPr>
        <w:keepNext/>
        <w:spacing w:after="0" w:line="240" w:lineRule="auto"/>
        <w:jc w:val="center"/>
        <w:rPr>
          <w:rFonts w:ascii="Times New Roman" w:hAnsi="Times New Roman" w:cs="Times New Roman"/>
          <w:b/>
        </w:rPr>
      </w:pPr>
    </w:p>
    <w:tbl>
      <w:tblPr>
        <w:tblW w:w="0" w:type="auto"/>
        <w:tblInd w:w="1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602"/>
        <w:gridCol w:w="1608"/>
        <w:gridCol w:w="1020"/>
        <w:gridCol w:w="1332"/>
        <w:gridCol w:w="1620"/>
      </w:tblGrid>
      <w:tr w14:paraId="650194FA" w14:textId="77777777" w:rsidTr="00141656">
        <w:tblPrEx>
          <w:tblW w:w="0" w:type="auto"/>
          <w:tblInd w:w="1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25"/>
          <w:tblHeader/>
        </w:trPr>
        <w:tc>
          <w:tcPr>
            <w:tcW w:w="1602" w:type="dxa"/>
            <w:shd w:val="clear" w:color="auto" w:fill="DADADA"/>
            <w:vAlign w:val="center"/>
          </w:tcPr>
          <w:p w:rsidR="00435210" w:rsidRPr="00BF4D0A" w:rsidP="00FA04B8" w14:paraId="20BFFC08" w14:textId="77777777">
            <w:pPr>
              <w:keepNext/>
              <w:spacing w:after="0" w:line="240" w:lineRule="auto"/>
              <w:ind w:hanging="17"/>
              <w:jc w:val="center"/>
              <w:rPr>
                <w:rFonts w:ascii="Times New Roman" w:hAnsi="Times New Roman" w:cs="Times New Roman"/>
                <w:b/>
              </w:rPr>
            </w:pPr>
            <w:r w:rsidRPr="00BF4D0A">
              <w:rPr>
                <w:rFonts w:ascii="Times New Roman" w:hAnsi="Times New Roman" w:cs="Times New Roman"/>
                <w:b/>
              </w:rPr>
              <w:t>Facility Type</w:t>
            </w:r>
          </w:p>
        </w:tc>
        <w:tc>
          <w:tcPr>
            <w:tcW w:w="1608" w:type="dxa"/>
            <w:shd w:val="clear" w:color="auto" w:fill="DADADA"/>
            <w:vAlign w:val="center"/>
          </w:tcPr>
          <w:p w:rsidR="00435210" w:rsidRPr="00BF4D0A" w:rsidP="00576F93" w14:paraId="00347BFA" w14:textId="77777777">
            <w:pPr>
              <w:keepNext/>
              <w:spacing w:after="0" w:line="240" w:lineRule="auto"/>
              <w:ind w:left="103" w:right="49"/>
              <w:jc w:val="center"/>
              <w:rPr>
                <w:rFonts w:ascii="Times New Roman" w:hAnsi="Times New Roman" w:cs="Times New Roman"/>
                <w:b/>
              </w:rPr>
            </w:pPr>
            <w:r w:rsidRPr="00BF4D0A">
              <w:rPr>
                <w:rFonts w:ascii="Times New Roman" w:hAnsi="Times New Roman" w:cs="Times New Roman"/>
                <w:b/>
              </w:rPr>
              <w:t>Annual Frequency</w:t>
            </w:r>
          </w:p>
        </w:tc>
        <w:tc>
          <w:tcPr>
            <w:tcW w:w="1020" w:type="dxa"/>
            <w:shd w:val="clear" w:color="auto" w:fill="DADADA"/>
            <w:vAlign w:val="center"/>
          </w:tcPr>
          <w:p w:rsidR="00435210" w:rsidRPr="00BF4D0A" w:rsidP="00576F93" w14:paraId="7884DAB7" w14:textId="77777777">
            <w:pPr>
              <w:keepNext/>
              <w:spacing w:after="0" w:line="240" w:lineRule="auto"/>
              <w:ind w:left="79" w:right="52"/>
              <w:jc w:val="center"/>
              <w:rPr>
                <w:rFonts w:ascii="Times New Roman" w:hAnsi="Times New Roman" w:cs="Times New Roman"/>
                <w:b/>
              </w:rPr>
            </w:pPr>
            <w:r w:rsidRPr="00BF4D0A">
              <w:rPr>
                <w:rFonts w:ascii="Times New Roman" w:hAnsi="Times New Roman" w:cs="Times New Roman"/>
                <w:b/>
              </w:rPr>
              <w:t>Unit Cost</w:t>
            </w:r>
          </w:p>
        </w:tc>
        <w:tc>
          <w:tcPr>
            <w:tcW w:w="1332" w:type="dxa"/>
            <w:tcBorders>
              <w:right w:val="single" w:sz="8" w:space="0" w:color="000000"/>
            </w:tcBorders>
            <w:shd w:val="clear" w:color="auto" w:fill="DADADA"/>
            <w:vAlign w:val="center"/>
          </w:tcPr>
          <w:p w:rsidR="00435210" w:rsidRPr="00BF4D0A" w:rsidP="00576F93" w14:paraId="1BC7A7D4" w14:textId="77777777">
            <w:pPr>
              <w:keepNext/>
              <w:spacing w:after="0" w:line="240" w:lineRule="auto"/>
              <w:ind w:left="66" w:right="67"/>
              <w:jc w:val="center"/>
              <w:rPr>
                <w:rFonts w:ascii="Times New Roman" w:hAnsi="Times New Roman" w:cs="Times New Roman"/>
                <w:b/>
              </w:rPr>
            </w:pPr>
            <w:r w:rsidRPr="00BF4D0A">
              <w:rPr>
                <w:rFonts w:ascii="Times New Roman" w:hAnsi="Times New Roman" w:cs="Times New Roman"/>
                <w:b/>
              </w:rPr>
              <w:t>Facilities</w:t>
            </w:r>
          </w:p>
        </w:tc>
        <w:tc>
          <w:tcPr>
            <w:tcW w:w="1620" w:type="dxa"/>
            <w:tcBorders>
              <w:left w:val="single" w:sz="8" w:space="0" w:color="000000"/>
            </w:tcBorders>
            <w:shd w:val="clear" w:color="auto" w:fill="DADADA"/>
            <w:vAlign w:val="center"/>
          </w:tcPr>
          <w:p w:rsidR="00435210" w:rsidRPr="00BF4D0A" w:rsidP="00576F93" w14:paraId="557E2FEE" w14:textId="77777777">
            <w:pPr>
              <w:keepNext/>
              <w:spacing w:after="0" w:line="240" w:lineRule="auto"/>
              <w:ind w:left="76" w:right="51"/>
              <w:jc w:val="center"/>
              <w:rPr>
                <w:rFonts w:ascii="Times New Roman" w:hAnsi="Times New Roman" w:cs="Times New Roman"/>
                <w:b/>
              </w:rPr>
            </w:pPr>
            <w:r w:rsidRPr="00BF4D0A">
              <w:rPr>
                <w:rFonts w:ascii="Times New Roman" w:hAnsi="Times New Roman" w:cs="Times New Roman"/>
                <w:b/>
              </w:rPr>
              <w:t xml:space="preserve">Total </w:t>
            </w:r>
            <w:r w:rsidR="003A3920">
              <w:rPr>
                <w:rFonts w:ascii="Times New Roman" w:hAnsi="Times New Roman" w:cs="Times New Roman"/>
                <w:b/>
              </w:rPr>
              <w:t xml:space="preserve">Annual </w:t>
            </w:r>
            <w:r w:rsidRPr="00BF4D0A">
              <w:rPr>
                <w:rFonts w:ascii="Times New Roman" w:hAnsi="Times New Roman" w:cs="Times New Roman"/>
                <w:b/>
              </w:rPr>
              <w:t>Cost</w:t>
            </w:r>
          </w:p>
        </w:tc>
      </w:tr>
      <w:tr w14:paraId="59B45EB8" w14:textId="77777777" w:rsidTr="00167F64">
        <w:tblPrEx>
          <w:tblW w:w="0" w:type="auto"/>
          <w:tblInd w:w="1540" w:type="dxa"/>
          <w:tblLayout w:type="fixed"/>
          <w:tblCellMar>
            <w:left w:w="0" w:type="dxa"/>
            <w:right w:w="0" w:type="dxa"/>
          </w:tblCellMar>
          <w:tblLook w:val="01E0"/>
        </w:tblPrEx>
        <w:trPr>
          <w:trHeight w:val="285"/>
        </w:trPr>
        <w:tc>
          <w:tcPr>
            <w:tcW w:w="7182" w:type="dxa"/>
            <w:gridSpan w:val="5"/>
            <w:shd w:val="clear" w:color="auto" w:fill="F2F2F2" w:themeFill="background1" w:themeFillShade="F2"/>
          </w:tcPr>
          <w:p w:rsidR="00200686" w:rsidRPr="00BF4D0A" w:rsidP="00B87FD9" w14:paraId="08BD1AA8" w14:textId="77777777">
            <w:pPr>
              <w:spacing w:after="0" w:line="240" w:lineRule="auto"/>
              <w:ind w:left="63" w:right="51" w:firstLine="10"/>
              <w:rPr>
                <w:rFonts w:ascii="Times New Roman" w:hAnsi="Times New Roman" w:cs="Times New Roman"/>
                <w:b/>
              </w:rPr>
            </w:pPr>
            <w:r w:rsidRPr="00BF4D0A">
              <w:rPr>
                <w:rFonts w:ascii="Times New Roman" w:hAnsi="Times New Roman" w:cs="Times New Roman"/>
                <w:b/>
              </w:rPr>
              <w:t>Facility Burden</w:t>
            </w:r>
          </w:p>
        </w:tc>
      </w:tr>
      <w:tr w14:paraId="4539101E" w14:textId="77777777" w:rsidTr="00B87FD9">
        <w:tblPrEx>
          <w:tblW w:w="0" w:type="auto"/>
          <w:tblInd w:w="1540" w:type="dxa"/>
          <w:tblLayout w:type="fixed"/>
          <w:tblCellMar>
            <w:left w:w="0" w:type="dxa"/>
            <w:right w:w="0" w:type="dxa"/>
          </w:tblCellMar>
          <w:tblLook w:val="01E0"/>
        </w:tblPrEx>
        <w:trPr>
          <w:trHeight w:val="285"/>
        </w:trPr>
        <w:tc>
          <w:tcPr>
            <w:tcW w:w="1602" w:type="dxa"/>
            <w:vAlign w:val="bottom"/>
          </w:tcPr>
          <w:p w:rsidR="00435210" w:rsidRPr="00BF4D0A" w:rsidP="00B87FD9" w14:paraId="77A2A1D1" w14:textId="77777777">
            <w:pPr>
              <w:spacing w:after="0" w:line="240" w:lineRule="auto"/>
              <w:ind w:left="73"/>
              <w:rPr>
                <w:rFonts w:ascii="Times New Roman" w:hAnsi="Times New Roman" w:cs="Times New Roman"/>
              </w:rPr>
            </w:pPr>
            <w:r w:rsidRPr="00BF4D0A">
              <w:rPr>
                <w:rFonts w:ascii="Times New Roman" w:hAnsi="Times New Roman" w:cs="Times New Roman"/>
              </w:rPr>
              <w:t>Simple P2/3</w:t>
            </w:r>
          </w:p>
        </w:tc>
        <w:tc>
          <w:tcPr>
            <w:tcW w:w="1608" w:type="dxa"/>
            <w:vAlign w:val="bottom"/>
          </w:tcPr>
          <w:p w:rsidR="00435210" w:rsidRPr="00BF4D0A" w:rsidP="00576F93" w14:paraId="3526BB20" w14:textId="77777777">
            <w:pPr>
              <w:spacing w:after="0" w:line="240" w:lineRule="auto"/>
              <w:ind w:left="46"/>
              <w:jc w:val="center"/>
              <w:rPr>
                <w:rFonts w:ascii="Times New Roman" w:hAnsi="Times New Roman" w:cs="Times New Roman"/>
              </w:rPr>
            </w:pPr>
            <w:r w:rsidRPr="00BF4D0A">
              <w:rPr>
                <w:rFonts w:ascii="Times New Roman" w:hAnsi="Times New Roman" w:cs="Times New Roman"/>
              </w:rPr>
              <w:t>1</w:t>
            </w:r>
          </w:p>
        </w:tc>
        <w:tc>
          <w:tcPr>
            <w:tcW w:w="1020" w:type="dxa"/>
            <w:vAlign w:val="bottom"/>
          </w:tcPr>
          <w:p w:rsidR="00435210" w:rsidRPr="00BF4D0A" w:rsidP="00576F93" w14:paraId="29E57931" w14:textId="77777777">
            <w:pPr>
              <w:spacing w:after="0" w:line="240" w:lineRule="auto"/>
              <w:ind w:left="82" w:right="52"/>
              <w:jc w:val="center"/>
              <w:rPr>
                <w:rFonts w:ascii="Times New Roman" w:hAnsi="Times New Roman" w:cs="Times New Roman"/>
              </w:rPr>
            </w:pPr>
            <w:r w:rsidRPr="00BF4D0A">
              <w:rPr>
                <w:rFonts w:ascii="Times New Roman" w:hAnsi="Times New Roman" w:cs="Times New Roman"/>
              </w:rPr>
              <w:t>$</w:t>
            </w:r>
            <w:r w:rsidRPr="00BF4D0A" w:rsidR="00D26236">
              <w:rPr>
                <w:rFonts w:ascii="Times New Roman" w:hAnsi="Times New Roman" w:cs="Times New Roman"/>
              </w:rPr>
              <w:t>2</w:t>
            </w:r>
            <w:r w:rsidR="00696596">
              <w:rPr>
                <w:rFonts w:ascii="Times New Roman" w:hAnsi="Times New Roman" w:cs="Times New Roman"/>
              </w:rPr>
              <w:t>21</w:t>
            </w:r>
          </w:p>
        </w:tc>
        <w:tc>
          <w:tcPr>
            <w:tcW w:w="1332" w:type="dxa"/>
            <w:tcBorders>
              <w:right w:val="single" w:sz="8" w:space="0" w:color="000000"/>
            </w:tcBorders>
            <w:vAlign w:val="bottom"/>
          </w:tcPr>
          <w:p w:rsidR="00435210" w:rsidRPr="00BF4D0A" w:rsidP="00576F93" w14:paraId="636719FA" w14:textId="77777777">
            <w:pPr>
              <w:spacing w:after="0" w:line="240" w:lineRule="auto"/>
              <w:ind w:left="69" w:right="67"/>
              <w:jc w:val="center"/>
              <w:rPr>
                <w:rFonts w:ascii="Times New Roman" w:hAnsi="Times New Roman" w:cs="Times New Roman"/>
              </w:rPr>
            </w:pPr>
            <w:r w:rsidRPr="00BF4D0A">
              <w:rPr>
                <w:rFonts w:ascii="Times New Roman" w:hAnsi="Times New Roman" w:cs="Times New Roman"/>
              </w:rPr>
              <w:t>9,288</w:t>
            </w:r>
          </w:p>
        </w:tc>
        <w:tc>
          <w:tcPr>
            <w:tcW w:w="1620" w:type="dxa"/>
            <w:tcBorders>
              <w:left w:val="single" w:sz="8" w:space="0" w:color="000000"/>
            </w:tcBorders>
            <w:vAlign w:val="bottom"/>
          </w:tcPr>
          <w:p w:rsidR="00435210" w:rsidRPr="00BF4D0A" w:rsidP="00576F93" w14:paraId="055C691C" w14:textId="77777777">
            <w:pPr>
              <w:spacing w:after="0" w:line="240" w:lineRule="auto"/>
              <w:ind w:left="63" w:right="51"/>
              <w:jc w:val="center"/>
              <w:rPr>
                <w:rFonts w:ascii="Times New Roman" w:hAnsi="Times New Roman" w:cs="Times New Roman"/>
              </w:rPr>
            </w:pPr>
            <w:r w:rsidRPr="00BF4D0A">
              <w:rPr>
                <w:rFonts w:ascii="Times New Roman" w:hAnsi="Times New Roman" w:cs="Times New Roman"/>
              </w:rPr>
              <w:t>$</w:t>
            </w:r>
            <w:r w:rsidR="007E6DD3">
              <w:rPr>
                <w:rFonts w:ascii="Times New Roman" w:hAnsi="Times New Roman" w:cs="Times New Roman"/>
              </w:rPr>
              <w:t>2,056,</w:t>
            </w:r>
            <w:r w:rsidR="00D80ED4">
              <w:rPr>
                <w:rFonts w:ascii="Times New Roman" w:hAnsi="Times New Roman" w:cs="Times New Roman"/>
              </w:rPr>
              <w:t>326</w:t>
            </w:r>
          </w:p>
        </w:tc>
      </w:tr>
      <w:tr w14:paraId="1E7B27A0" w14:textId="77777777" w:rsidTr="00B87FD9">
        <w:tblPrEx>
          <w:tblW w:w="0" w:type="auto"/>
          <w:tblInd w:w="1540" w:type="dxa"/>
          <w:tblLayout w:type="fixed"/>
          <w:tblCellMar>
            <w:left w:w="0" w:type="dxa"/>
            <w:right w:w="0" w:type="dxa"/>
          </w:tblCellMar>
          <w:tblLook w:val="01E0"/>
        </w:tblPrEx>
        <w:trPr>
          <w:trHeight w:val="300"/>
        </w:trPr>
        <w:tc>
          <w:tcPr>
            <w:tcW w:w="1602" w:type="dxa"/>
            <w:vAlign w:val="bottom"/>
          </w:tcPr>
          <w:p w:rsidR="00435210" w:rsidRPr="00BF4D0A" w:rsidP="00B87FD9" w14:paraId="392C2A89" w14:textId="77777777">
            <w:pPr>
              <w:spacing w:after="0" w:line="240" w:lineRule="auto"/>
              <w:ind w:left="73"/>
              <w:rPr>
                <w:rFonts w:ascii="Times New Roman" w:hAnsi="Times New Roman" w:cs="Times New Roman"/>
              </w:rPr>
            </w:pPr>
            <w:r w:rsidRPr="00BF4D0A">
              <w:rPr>
                <w:rFonts w:ascii="Times New Roman" w:hAnsi="Times New Roman" w:cs="Times New Roman"/>
              </w:rPr>
              <w:t>Complex P2/3</w:t>
            </w:r>
          </w:p>
        </w:tc>
        <w:tc>
          <w:tcPr>
            <w:tcW w:w="1608" w:type="dxa"/>
            <w:vAlign w:val="bottom"/>
          </w:tcPr>
          <w:p w:rsidR="00435210" w:rsidRPr="00BF4D0A" w:rsidP="00576F93" w14:paraId="6E68A93A" w14:textId="77777777">
            <w:pPr>
              <w:spacing w:after="0" w:line="240" w:lineRule="auto"/>
              <w:ind w:left="46"/>
              <w:jc w:val="center"/>
              <w:rPr>
                <w:rFonts w:ascii="Times New Roman" w:hAnsi="Times New Roman" w:cs="Times New Roman"/>
              </w:rPr>
            </w:pPr>
            <w:r w:rsidRPr="00BF4D0A">
              <w:rPr>
                <w:rFonts w:ascii="Times New Roman" w:hAnsi="Times New Roman" w:cs="Times New Roman"/>
              </w:rPr>
              <w:t>1</w:t>
            </w:r>
          </w:p>
        </w:tc>
        <w:tc>
          <w:tcPr>
            <w:tcW w:w="1020" w:type="dxa"/>
            <w:vAlign w:val="bottom"/>
          </w:tcPr>
          <w:p w:rsidR="00435210" w:rsidRPr="00BF4D0A" w:rsidP="00576F93" w14:paraId="4030FFA5" w14:textId="77777777">
            <w:pPr>
              <w:spacing w:after="0" w:line="240" w:lineRule="auto"/>
              <w:ind w:left="82" w:right="52"/>
              <w:jc w:val="center"/>
              <w:rPr>
                <w:rFonts w:ascii="Times New Roman" w:hAnsi="Times New Roman" w:cs="Times New Roman"/>
              </w:rPr>
            </w:pPr>
            <w:r w:rsidRPr="00BF4D0A">
              <w:rPr>
                <w:rFonts w:ascii="Times New Roman" w:hAnsi="Times New Roman" w:cs="Times New Roman"/>
              </w:rPr>
              <w:t>$</w:t>
            </w:r>
            <w:r w:rsidRPr="00BF4D0A" w:rsidR="00D26236">
              <w:rPr>
                <w:rFonts w:ascii="Times New Roman" w:hAnsi="Times New Roman" w:cs="Times New Roman"/>
              </w:rPr>
              <w:t>5</w:t>
            </w:r>
            <w:r w:rsidR="00696596">
              <w:rPr>
                <w:rFonts w:ascii="Times New Roman" w:hAnsi="Times New Roman" w:cs="Times New Roman"/>
              </w:rPr>
              <w:t>50</w:t>
            </w:r>
          </w:p>
        </w:tc>
        <w:tc>
          <w:tcPr>
            <w:tcW w:w="1332" w:type="dxa"/>
            <w:tcBorders>
              <w:right w:val="single" w:sz="8" w:space="0" w:color="000000"/>
            </w:tcBorders>
            <w:vAlign w:val="bottom"/>
          </w:tcPr>
          <w:p w:rsidR="00435210" w:rsidRPr="00BF4D0A" w:rsidP="00576F93" w14:paraId="32CC343C" w14:textId="77777777">
            <w:pPr>
              <w:spacing w:after="0" w:line="240" w:lineRule="auto"/>
              <w:ind w:left="77" w:right="60"/>
              <w:jc w:val="center"/>
              <w:rPr>
                <w:rFonts w:ascii="Times New Roman" w:hAnsi="Times New Roman" w:cs="Times New Roman"/>
              </w:rPr>
            </w:pPr>
            <w:r w:rsidRPr="00BF4D0A">
              <w:rPr>
                <w:rFonts w:ascii="Times New Roman" w:hAnsi="Times New Roman" w:cs="Times New Roman"/>
              </w:rPr>
              <w:t>1,</w:t>
            </w:r>
            <w:r w:rsidRPr="00BF4D0A" w:rsidR="00200686">
              <w:rPr>
                <w:rFonts w:ascii="Times New Roman" w:hAnsi="Times New Roman" w:cs="Times New Roman"/>
              </w:rPr>
              <w:t>792</w:t>
            </w:r>
          </w:p>
        </w:tc>
        <w:tc>
          <w:tcPr>
            <w:tcW w:w="1620" w:type="dxa"/>
            <w:tcBorders>
              <w:left w:val="single" w:sz="8" w:space="0" w:color="000000"/>
            </w:tcBorders>
            <w:vAlign w:val="bottom"/>
          </w:tcPr>
          <w:p w:rsidR="00435210" w:rsidRPr="00BF4D0A" w:rsidP="00576F93" w14:paraId="5EFCACB9" w14:textId="77777777">
            <w:pPr>
              <w:spacing w:after="0" w:line="240" w:lineRule="auto"/>
              <w:ind w:left="78" w:right="51"/>
              <w:jc w:val="center"/>
              <w:rPr>
                <w:rFonts w:ascii="Times New Roman" w:hAnsi="Times New Roman" w:cs="Times New Roman"/>
              </w:rPr>
            </w:pPr>
            <w:r w:rsidRPr="00BF4D0A">
              <w:rPr>
                <w:rFonts w:ascii="Times New Roman" w:hAnsi="Times New Roman" w:cs="Times New Roman"/>
              </w:rPr>
              <w:t>$</w:t>
            </w:r>
            <w:r w:rsidR="00596116">
              <w:rPr>
                <w:rFonts w:ascii="Times New Roman" w:hAnsi="Times New Roman" w:cs="Times New Roman"/>
              </w:rPr>
              <w:t>985,</w:t>
            </w:r>
            <w:r w:rsidR="00643A81">
              <w:rPr>
                <w:rFonts w:ascii="Times New Roman" w:hAnsi="Times New Roman" w:cs="Times New Roman"/>
              </w:rPr>
              <w:t>751</w:t>
            </w:r>
          </w:p>
        </w:tc>
      </w:tr>
      <w:tr w14:paraId="392FC348" w14:textId="77777777" w:rsidTr="00B87FD9">
        <w:tblPrEx>
          <w:tblW w:w="0" w:type="auto"/>
          <w:tblInd w:w="1540" w:type="dxa"/>
          <w:tblLayout w:type="fixed"/>
          <w:tblCellMar>
            <w:left w:w="0" w:type="dxa"/>
            <w:right w:w="0" w:type="dxa"/>
          </w:tblCellMar>
          <w:tblLook w:val="01E0"/>
        </w:tblPrEx>
        <w:trPr>
          <w:trHeight w:val="282"/>
        </w:trPr>
        <w:tc>
          <w:tcPr>
            <w:tcW w:w="1602" w:type="dxa"/>
            <w:vAlign w:val="bottom"/>
          </w:tcPr>
          <w:p w:rsidR="00435210" w:rsidRPr="00BF4D0A" w:rsidP="00B87FD9" w14:paraId="75ABE69C" w14:textId="77777777">
            <w:pPr>
              <w:spacing w:after="0" w:line="240" w:lineRule="auto"/>
              <w:rPr>
                <w:rFonts w:ascii="Times New Roman" w:hAnsi="Times New Roman" w:cs="Times New Roman"/>
                <w:b/>
              </w:rPr>
            </w:pPr>
            <w:r>
              <w:rPr>
                <w:rFonts w:ascii="Times New Roman" w:hAnsi="Times New Roman" w:cs="Times New Roman"/>
                <w:b/>
              </w:rPr>
              <w:t xml:space="preserve"> </w:t>
            </w:r>
            <w:r w:rsidRPr="00BF4D0A">
              <w:rPr>
                <w:rFonts w:ascii="Times New Roman" w:hAnsi="Times New Roman" w:cs="Times New Roman"/>
                <w:b/>
              </w:rPr>
              <w:t>Total</w:t>
            </w:r>
          </w:p>
        </w:tc>
        <w:tc>
          <w:tcPr>
            <w:tcW w:w="1608" w:type="dxa"/>
            <w:vAlign w:val="bottom"/>
          </w:tcPr>
          <w:p w:rsidR="00435210" w:rsidRPr="00BF4D0A" w:rsidP="00576F93" w14:paraId="5EBAE56F" w14:textId="77777777">
            <w:pPr>
              <w:spacing w:after="0" w:line="240" w:lineRule="auto"/>
              <w:jc w:val="center"/>
              <w:rPr>
                <w:rFonts w:ascii="Times New Roman" w:hAnsi="Times New Roman" w:cs="Times New Roman"/>
              </w:rPr>
            </w:pPr>
          </w:p>
        </w:tc>
        <w:tc>
          <w:tcPr>
            <w:tcW w:w="1020" w:type="dxa"/>
            <w:vAlign w:val="bottom"/>
          </w:tcPr>
          <w:p w:rsidR="00435210" w:rsidRPr="00BF4D0A" w:rsidP="00576F93" w14:paraId="4300A96B" w14:textId="77777777">
            <w:pPr>
              <w:spacing w:after="0" w:line="240" w:lineRule="auto"/>
              <w:jc w:val="center"/>
              <w:rPr>
                <w:rFonts w:ascii="Times New Roman" w:hAnsi="Times New Roman" w:cs="Times New Roman"/>
              </w:rPr>
            </w:pPr>
          </w:p>
        </w:tc>
        <w:tc>
          <w:tcPr>
            <w:tcW w:w="1332" w:type="dxa"/>
            <w:tcBorders>
              <w:right w:val="single" w:sz="8" w:space="0" w:color="000000"/>
            </w:tcBorders>
            <w:vAlign w:val="bottom"/>
          </w:tcPr>
          <w:p w:rsidR="00435210" w:rsidRPr="00BF4D0A" w:rsidP="00576F93" w14:paraId="0B703C66" w14:textId="77777777">
            <w:pPr>
              <w:spacing w:after="0" w:line="240" w:lineRule="auto"/>
              <w:ind w:left="69" w:right="67"/>
              <w:jc w:val="center"/>
              <w:rPr>
                <w:rFonts w:ascii="Times New Roman" w:hAnsi="Times New Roman" w:cs="Times New Roman"/>
                <w:b/>
              </w:rPr>
            </w:pPr>
            <w:r w:rsidRPr="00BF4D0A">
              <w:rPr>
                <w:rFonts w:ascii="Times New Roman" w:hAnsi="Times New Roman" w:cs="Times New Roman"/>
                <w:b/>
              </w:rPr>
              <w:t>11,</w:t>
            </w:r>
            <w:r w:rsidRPr="00BF4D0A" w:rsidR="00200686">
              <w:rPr>
                <w:rFonts w:ascii="Times New Roman" w:hAnsi="Times New Roman" w:cs="Times New Roman"/>
                <w:b/>
              </w:rPr>
              <w:t>080</w:t>
            </w:r>
          </w:p>
        </w:tc>
        <w:tc>
          <w:tcPr>
            <w:tcW w:w="1620" w:type="dxa"/>
            <w:tcBorders>
              <w:left w:val="single" w:sz="8" w:space="0" w:color="000000"/>
            </w:tcBorders>
            <w:vAlign w:val="bottom"/>
          </w:tcPr>
          <w:p w:rsidR="00435210" w:rsidRPr="00BF4D0A" w:rsidP="00576F93" w14:paraId="6BC9D651" w14:textId="77777777">
            <w:pPr>
              <w:spacing w:after="0" w:line="240" w:lineRule="auto"/>
              <w:ind w:left="63" w:right="51"/>
              <w:jc w:val="center"/>
              <w:rPr>
                <w:rFonts w:ascii="Times New Roman" w:hAnsi="Times New Roman" w:cs="Times New Roman"/>
                <w:b/>
              </w:rPr>
            </w:pPr>
            <w:r w:rsidRPr="00BF4D0A">
              <w:rPr>
                <w:rFonts w:ascii="Times New Roman" w:hAnsi="Times New Roman" w:cs="Times New Roman"/>
                <w:b/>
              </w:rPr>
              <w:t>$</w:t>
            </w:r>
            <w:r w:rsidR="00EE34D5">
              <w:rPr>
                <w:rFonts w:ascii="Times New Roman" w:hAnsi="Times New Roman" w:cs="Times New Roman"/>
                <w:b/>
              </w:rPr>
              <w:t>3,042,</w:t>
            </w:r>
            <w:r w:rsidR="00FE5B1B">
              <w:rPr>
                <w:rFonts w:ascii="Times New Roman" w:hAnsi="Times New Roman" w:cs="Times New Roman"/>
                <w:b/>
              </w:rPr>
              <w:t>077</w:t>
            </w:r>
          </w:p>
        </w:tc>
      </w:tr>
      <w:tr w14:paraId="1CBFCB4F" w14:textId="77777777" w:rsidTr="00167F64">
        <w:tblPrEx>
          <w:tblW w:w="0" w:type="auto"/>
          <w:tblInd w:w="1540" w:type="dxa"/>
          <w:tblLayout w:type="fixed"/>
          <w:tblCellMar>
            <w:left w:w="0" w:type="dxa"/>
            <w:right w:w="0" w:type="dxa"/>
          </w:tblCellMar>
          <w:tblLook w:val="01E0"/>
        </w:tblPrEx>
        <w:trPr>
          <w:trHeight w:val="282"/>
        </w:trPr>
        <w:tc>
          <w:tcPr>
            <w:tcW w:w="7182" w:type="dxa"/>
            <w:gridSpan w:val="5"/>
            <w:shd w:val="clear" w:color="auto" w:fill="F2F2F2" w:themeFill="background1" w:themeFillShade="F2"/>
          </w:tcPr>
          <w:p w:rsidR="00200686" w:rsidRPr="00BF4D0A" w:rsidP="00B87FD9" w14:paraId="786383AF" w14:textId="77777777">
            <w:pPr>
              <w:spacing w:after="0" w:line="240" w:lineRule="auto"/>
              <w:ind w:left="73" w:right="51"/>
              <w:rPr>
                <w:rFonts w:ascii="Times New Roman" w:hAnsi="Times New Roman" w:cs="Times New Roman"/>
                <w:b/>
              </w:rPr>
            </w:pPr>
            <w:r w:rsidRPr="00BF4D0A">
              <w:rPr>
                <w:rFonts w:ascii="Times New Roman" w:hAnsi="Times New Roman" w:cs="Times New Roman"/>
                <w:b/>
              </w:rPr>
              <w:t>LEPC Burden</w:t>
            </w:r>
          </w:p>
        </w:tc>
      </w:tr>
      <w:tr w14:paraId="5774D637" w14:textId="77777777" w:rsidTr="00B87FD9">
        <w:tblPrEx>
          <w:tblW w:w="0" w:type="auto"/>
          <w:tblInd w:w="1540" w:type="dxa"/>
          <w:tblLayout w:type="fixed"/>
          <w:tblCellMar>
            <w:left w:w="0" w:type="dxa"/>
            <w:right w:w="0" w:type="dxa"/>
          </w:tblCellMar>
          <w:tblLook w:val="01E0"/>
        </w:tblPrEx>
        <w:trPr>
          <w:trHeight w:val="282"/>
        </w:trPr>
        <w:tc>
          <w:tcPr>
            <w:tcW w:w="1602" w:type="dxa"/>
          </w:tcPr>
          <w:p w:rsidR="00200686" w:rsidRPr="00BF4D0A" w:rsidP="00B87FD9" w14:paraId="04E75D8F" w14:textId="77777777">
            <w:pPr>
              <w:spacing w:after="0" w:line="240" w:lineRule="auto"/>
              <w:ind w:left="73"/>
              <w:rPr>
                <w:rFonts w:ascii="Times New Roman" w:hAnsi="Times New Roman" w:cs="Times New Roman"/>
                <w:b/>
              </w:rPr>
            </w:pPr>
            <w:r w:rsidRPr="00BF4D0A">
              <w:rPr>
                <w:rFonts w:ascii="Times New Roman" w:hAnsi="Times New Roman" w:cs="Times New Roman"/>
              </w:rPr>
              <w:t>Simple P2/3</w:t>
            </w:r>
          </w:p>
        </w:tc>
        <w:tc>
          <w:tcPr>
            <w:tcW w:w="1608" w:type="dxa"/>
          </w:tcPr>
          <w:p w:rsidR="00200686" w:rsidRPr="00BF4D0A" w:rsidP="00576F93" w14:paraId="3AFCF1D8" w14:textId="77777777">
            <w:pPr>
              <w:spacing w:after="0" w:line="240" w:lineRule="auto"/>
              <w:jc w:val="center"/>
              <w:rPr>
                <w:rFonts w:ascii="Times New Roman" w:hAnsi="Times New Roman" w:cs="Times New Roman"/>
              </w:rPr>
            </w:pPr>
            <w:r w:rsidRPr="00BF4D0A">
              <w:rPr>
                <w:rFonts w:ascii="Times New Roman" w:hAnsi="Times New Roman" w:cs="Times New Roman"/>
              </w:rPr>
              <w:t>1</w:t>
            </w:r>
          </w:p>
        </w:tc>
        <w:tc>
          <w:tcPr>
            <w:tcW w:w="1020" w:type="dxa"/>
          </w:tcPr>
          <w:p w:rsidR="00200686" w:rsidRPr="00BF4D0A" w:rsidP="00576F93" w14:paraId="14D6BC78" w14:textId="77777777">
            <w:pPr>
              <w:spacing w:after="0" w:line="240" w:lineRule="auto"/>
              <w:jc w:val="center"/>
              <w:rPr>
                <w:rFonts w:ascii="Times New Roman" w:hAnsi="Times New Roman" w:cs="Times New Roman"/>
              </w:rPr>
            </w:pPr>
            <w:r w:rsidRPr="00BF4D0A">
              <w:rPr>
                <w:rFonts w:ascii="Times New Roman" w:hAnsi="Times New Roman" w:cs="Times New Roman"/>
              </w:rPr>
              <w:t>$</w:t>
            </w:r>
            <w:r w:rsidRPr="00BF4D0A" w:rsidR="00BE2DA9">
              <w:rPr>
                <w:rFonts w:ascii="Times New Roman" w:hAnsi="Times New Roman" w:cs="Times New Roman"/>
              </w:rPr>
              <w:t>7</w:t>
            </w:r>
            <w:r w:rsidR="00696596">
              <w:rPr>
                <w:rFonts w:ascii="Times New Roman" w:hAnsi="Times New Roman" w:cs="Times New Roman"/>
              </w:rPr>
              <w:t>2</w:t>
            </w:r>
          </w:p>
        </w:tc>
        <w:tc>
          <w:tcPr>
            <w:tcW w:w="1332" w:type="dxa"/>
            <w:tcBorders>
              <w:right w:val="single" w:sz="8" w:space="0" w:color="000000"/>
            </w:tcBorders>
          </w:tcPr>
          <w:p w:rsidR="00200686" w:rsidRPr="00BF4D0A" w:rsidP="00576F93" w14:paraId="0D0908A3" w14:textId="77777777">
            <w:pPr>
              <w:spacing w:after="0" w:line="240" w:lineRule="auto"/>
              <w:ind w:left="69" w:right="67"/>
              <w:jc w:val="center"/>
              <w:rPr>
                <w:rFonts w:ascii="Times New Roman" w:hAnsi="Times New Roman" w:cs="Times New Roman"/>
                <w:b/>
              </w:rPr>
            </w:pPr>
            <w:r w:rsidRPr="00BF4D0A">
              <w:rPr>
                <w:rFonts w:ascii="Times New Roman" w:hAnsi="Times New Roman" w:cs="Times New Roman"/>
              </w:rPr>
              <w:t>9,288</w:t>
            </w:r>
          </w:p>
        </w:tc>
        <w:tc>
          <w:tcPr>
            <w:tcW w:w="1620" w:type="dxa"/>
            <w:tcBorders>
              <w:left w:val="single" w:sz="8" w:space="0" w:color="000000"/>
            </w:tcBorders>
          </w:tcPr>
          <w:p w:rsidR="00200686" w:rsidRPr="00BF4D0A" w:rsidP="00576F93" w14:paraId="2E9CFBCE" w14:textId="77777777">
            <w:pPr>
              <w:spacing w:after="0" w:line="240" w:lineRule="auto"/>
              <w:ind w:left="63" w:right="51"/>
              <w:jc w:val="center"/>
              <w:rPr>
                <w:rFonts w:ascii="Times New Roman" w:hAnsi="Times New Roman" w:cs="Times New Roman"/>
                <w:b/>
              </w:rPr>
            </w:pPr>
            <w:r w:rsidRPr="00BF4D0A">
              <w:rPr>
                <w:rFonts w:ascii="Times New Roman" w:hAnsi="Times New Roman" w:cs="Times New Roman"/>
              </w:rPr>
              <w:t>$</w:t>
            </w:r>
            <w:r w:rsidR="0026133D">
              <w:rPr>
                <w:rFonts w:ascii="Times New Roman" w:hAnsi="Times New Roman" w:cs="Times New Roman"/>
              </w:rPr>
              <w:t>671,</w:t>
            </w:r>
            <w:r w:rsidR="00F64DD2">
              <w:rPr>
                <w:rFonts w:ascii="Times New Roman" w:hAnsi="Times New Roman" w:cs="Times New Roman"/>
              </w:rPr>
              <w:t>500</w:t>
            </w:r>
          </w:p>
        </w:tc>
      </w:tr>
      <w:tr w14:paraId="657E13E4" w14:textId="77777777" w:rsidTr="00B87FD9">
        <w:tblPrEx>
          <w:tblW w:w="0" w:type="auto"/>
          <w:tblInd w:w="1540" w:type="dxa"/>
          <w:tblLayout w:type="fixed"/>
          <w:tblCellMar>
            <w:left w:w="0" w:type="dxa"/>
            <w:right w:w="0" w:type="dxa"/>
          </w:tblCellMar>
          <w:tblLook w:val="01E0"/>
        </w:tblPrEx>
        <w:trPr>
          <w:trHeight w:val="282"/>
        </w:trPr>
        <w:tc>
          <w:tcPr>
            <w:tcW w:w="1602" w:type="dxa"/>
          </w:tcPr>
          <w:p w:rsidR="00200686" w:rsidRPr="00BF4D0A" w:rsidP="00B87FD9" w14:paraId="384AE7A7" w14:textId="77777777">
            <w:pPr>
              <w:spacing w:after="0" w:line="240" w:lineRule="auto"/>
              <w:ind w:left="73"/>
              <w:rPr>
                <w:rFonts w:ascii="Times New Roman" w:hAnsi="Times New Roman" w:cs="Times New Roman"/>
                <w:b/>
              </w:rPr>
            </w:pPr>
            <w:r w:rsidRPr="00BF4D0A">
              <w:rPr>
                <w:rFonts w:ascii="Times New Roman" w:hAnsi="Times New Roman" w:cs="Times New Roman"/>
              </w:rPr>
              <w:t>Complex P2/3</w:t>
            </w:r>
          </w:p>
        </w:tc>
        <w:tc>
          <w:tcPr>
            <w:tcW w:w="1608" w:type="dxa"/>
          </w:tcPr>
          <w:p w:rsidR="00200686" w:rsidRPr="00BF4D0A" w:rsidP="00576F93" w14:paraId="2CA5CC2F" w14:textId="77777777">
            <w:pPr>
              <w:spacing w:after="0" w:line="240" w:lineRule="auto"/>
              <w:jc w:val="center"/>
              <w:rPr>
                <w:rFonts w:ascii="Times New Roman" w:hAnsi="Times New Roman" w:cs="Times New Roman"/>
              </w:rPr>
            </w:pPr>
            <w:r w:rsidRPr="00BF4D0A">
              <w:rPr>
                <w:rFonts w:ascii="Times New Roman" w:hAnsi="Times New Roman" w:cs="Times New Roman"/>
              </w:rPr>
              <w:t>1</w:t>
            </w:r>
          </w:p>
        </w:tc>
        <w:tc>
          <w:tcPr>
            <w:tcW w:w="1020" w:type="dxa"/>
          </w:tcPr>
          <w:p w:rsidR="00200686" w:rsidRPr="00BF4D0A" w:rsidP="00576F93" w14:paraId="6F96EABB" w14:textId="77777777">
            <w:pPr>
              <w:spacing w:after="0" w:line="240" w:lineRule="auto"/>
              <w:jc w:val="center"/>
              <w:rPr>
                <w:rFonts w:ascii="Times New Roman" w:hAnsi="Times New Roman" w:cs="Times New Roman"/>
              </w:rPr>
            </w:pPr>
            <w:r w:rsidRPr="00BF4D0A">
              <w:rPr>
                <w:rFonts w:ascii="Times New Roman" w:hAnsi="Times New Roman" w:cs="Times New Roman"/>
              </w:rPr>
              <w:t>$1</w:t>
            </w:r>
            <w:r w:rsidRPr="00BF4D0A" w:rsidR="00BE2DA9">
              <w:rPr>
                <w:rFonts w:ascii="Times New Roman" w:hAnsi="Times New Roman" w:cs="Times New Roman"/>
              </w:rPr>
              <w:t>4</w:t>
            </w:r>
            <w:r w:rsidR="00696596">
              <w:rPr>
                <w:rFonts w:ascii="Times New Roman" w:hAnsi="Times New Roman" w:cs="Times New Roman"/>
              </w:rPr>
              <w:t>5</w:t>
            </w:r>
          </w:p>
        </w:tc>
        <w:tc>
          <w:tcPr>
            <w:tcW w:w="1332" w:type="dxa"/>
            <w:tcBorders>
              <w:right w:val="single" w:sz="8" w:space="0" w:color="000000"/>
            </w:tcBorders>
          </w:tcPr>
          <w:p w:rsidR="00200686" w:rsidRPr="00BF4D0A" w:rsidP="00576F93" w14:paraId="0BB808F7" w14:textId="77777777">
            <w:pPr>
              <w:spacing w:after="0" w:line="240" w:lineRule="auto"/>
              <w:ind w:left="69" w:right="67"/>
              <w:jc w:val="center"/>
              <w:rPr>
                <w:rFonts w:ascii="Times New Roman" w:hAnsi="Times New Roman" w:cs="Times New Roman"/>
                <w:b/>
              </w:rPr>
            </w:pPr>
            <w:r w:rsidRPr="00BF4D0A">
              <w:rPr>
                <w:rFonts w:ascii="Times New Roman" w:hAnsi="Times New Roman" w:cs="Times New Roman"/>
              </w:rPr>
              <w:t>1,792</w:t>
            </w:r>
          </w:p>
        </w:tc>
        <w:tc>
          <w:tcPr>
            <w:tcW w:w="1620" w:type="dxa"/>
            <w:tcBorders>
              <w:left w:val="single" w:sz="8" w:space="0" w:color="000000"/>
            </w:tcBorders>
          </w:tcPr>
          <w:p w:rsidR="00200686" w:rsidRPr="00BF4D0A" w:rsidP="00576F93" w14:paraId="2E3C971E" w14:textId="77777777">
            <w:pPr>
              <w:spacing w:after="0" w:line="240" w:lineRule="auto"/>
              <w:ind w:left="63" w:right="51"/>
              <w:jc w:val="center"/>
              <w:rPr>
                <w:rFonts w:ascii="Times New Roman" w:hAnsi="Times New Roman" w:cs="Times New Roman"/>
                <w:b/>
              </w:rPr>
            </w:pPr>
            <w:r w:rsidRPr="00BF4D0A">
              <w:rPr>
                <w:rFonts w:ascii="Times New Roman" w:hAnsi="Times New Roman" w:cs="Times New Roman"/>
              </w:rPr>
              <w:t>$</w:t>
            </w:r>
            <w:r w:rsidR="00274A21">
              <w:rPr>
                <w:rFonts w:ascii="Times New Roman" w:hAnsi="Times New Roman" w:cs="Times New Roman"/>
              </w:rPr>
              <w:t>259,114</w:t>
            </w:r>
          </w:p>
        </w:tc>
      </w:tr>
      <w:tr w14:paraId="46F363CD" w14:textId="77777777" w:rsidTr="00B87FD9">
        <w:tblPrEx>
          <w:tblW w:w="0" w:type="auto"/>
          <w:tblInd w:w="1540" w:type="dxa"/>
          <w:tblLayout w:type="fixed"/>
          <w:tblCellMar>
            <w:left w:w="0" w:type="dxa"/>
            <w:right w:w="0" w:type="dxa"/>
          </w:tblCellMar>
          <w:tblLook w:val="01E0"/>
        </w:tblPrEx>
        <w:trPr>
          <w:trHeight w:val="282"/>
        </w:trPr>
        <w:tc>
          <w:tcPr>
            <w:tcW w:w="1602" w:type="dxa"/>
          </w:tcPr>
          <w:p w:rsidR="00200686" w:rsidRPr="00BF4D0A" w:rsidP="00B87FD9" w14:paraId="30CE024C" w14:textId="77777777">
            <w:pPr>
              <w:spacing w:after="0" w:line="240" w:lineRule="auto"/>
              <w:ind w:left="73"/>
              <w:rPr>
                <w:rFonts w:ascii="Times New Roman" w:hAnsi="Times New Roman" w:cs="Times New Roman"/>
                <w:b/>
              </w:rPr>
            </w:pPr>
            <w:bookmarkStart w:id="312" w:name="_Hlk98189242"/>
            <w:r w:rsidRPr="00BF4D0A">
              <w:rPr>
                <w:rFonts w:ascii="Times New Roman" w:hAnsi="Times New Roman" w:cs="Times New Roman"/>
                <w:b/>
              </w:rPr>
              <w:t>Total</w:t>
            </w:r>
          </w:p>
        </w:tc>
        <w:tc>
          <w:tcPr>
            <w:tcW w:w="1608" w:type="dxa"/>
          </w:tcPr>
          <w:p w:rsidR="00200686" w:rsidRPr="00BF4D0A" w:rsidP="00576F93" w14:paraId="6A3AE9BC" w14:textId="77777777">
            <w:pPr>
              <w:spacing w:after="0" w:line="240" w:lineRule="auto"/>
              <w:jc w:val="center"/>
              <w:rPr>
                <w:rFonts w:ascii="Times New Roman" w:hAnsi="Times New Roman" w:cs="Times New Roman"/>
              </w:rPr>
            </w:pPr>
          </w:p>
        </w:tc>
        <w:tc>
          <w:tcPr>
            <w:tcW w:w="1020" w:type="dxa"/>
          </w:tcPr>
          <w:p w:rsidR="00200686" w:rsidRPr="00BF4D0A" w:rsidP="00576F93" w14:paraId="7125C01D" w14:textId="77777777">
            <w:pPr>
              <w:spacing w:after="0" w:line="240" w:lineRule="auto"/>
              <w:jc w:val="center"/>
              <w:rPr>
                <w:rFonts w:ascii="Times New Roman" w:hAnsi="Times New Roman" w:cs="Times New Roman"/>
              </w:rPr>
            </w:pPr>
          </w:p>
        </w:tc>
        <w:tc>
          <w:tcPr>
            <w:tcW w:w="1332" w:type="dxa"/>
            <w:tcBorders>
              <w:right w:val="single" w:sz="8" w:space="0" w:color="000000"/>
            </w:tcBorders>
          </w:tcPr>
          <w:p w:rsidR="00200686" w:rsidRPr="00BF4D0A" w:rsidP="00576F93" w14:paraId="50480B2D" w14:textId="77777777">
            <w:pPr>
              <w:spacing w:after="0" w:line="240" w:lineRule="auto"/>
              <w:ind w:left="69" w:right="67"/>
              <w:jc w:val="center"/>
              <w:rPr>
                <w:rFonts w:ascii="Times New Roman" w:hAnsi="Times New Roman" w:cs="Times New Roman"/>
                <w:b/>
              </w:rPr>
            </w:pPr>
            <w:r w:rsidRPr="00BF4D0A">
              <w:rPr>
                <w:rFonts w:ascii="Times New Roman" w:hAnsi="Times New Roman" w:cs="Times New Roman"/>
                <w:b/>
              </w:rPr>
              <w:t>11,080</w:t>
            </w:r>
          </w:p>
        </w:tc>
        <w:tc>
          <w:tcPr>
            <w:tcW w:w="1620" w:type="dxa"/>
            <w:tcBorders>
              <w:left w:val="single" w:sz="8" w:space="0" w:color="000000"/>
            </w:tcBorders>
          </w:tcPr>
          <w:p w:rsidR="00200686" w:rsidRPr="00BF4D0A" w:rsidP="00576F93" w14:paraId="76E193E3" w14:textId="77777777">
            <w:pPr>
              <w:spacing w:after="0" w:line="240" w:lineRule="auto"/>
              <w:ind w:left="63" w:right="51"/>
              <w:jc w:val="center"/>
              <w:rPr>
                <w:rFonts w:ascii="Times New Roman" w:hAnsi="Times New Roman" w:cs="Times New Roman"/>
                <w:b/>
              </w:rPr>
            </w:pPr>
            <w:r w:rsidRPr="00BF4D0A">
              <w:rPr>
                <w:rFonts w:ascii="Times New Roman" w:hAnsi="Times New Roman" w:cs="Times New Roman"/>
                <w:b/>
              </w:rPr>
              <w:t>$</w:t>
            </w:r>
            <w:r w:rsidR="00C32FFD">
              <w:rPr>
                <w:rFonts w:ascii="Times New Roman" w:hAnsi="Times New Roman" w:cs="Times New Roman"/>
                <w:b/>
              </w:rPr>
              <w:t>930,</w:t>
            </w:r>
            <w:r w:rsidR="00D429D4">
              <w:rPr>
                <w:rFonts w:ascii="Times New Roman" w:hAnsi="Times New Roman" w:cs="Times New Roman"/>
                <w:b/>
              </w:rPr>
              <w:t>614</w:t>
            </w:r>
          </w:p>
        </w:tc>
      </w:tr>
      <w:tr w14:paraId="322AA65C" w14:textId="77777777" w:rsidTr="00FC1ACA">
        <w:tblPrEx>
          <w:tblW w:w="0" w:type="auto"/>
          <w:tblInd w:w="1540" w:type="dxa"/>
          <w:tblLayout w:type="fixed"/>
          <w:tblCellMar>
            <w:left w:w="0" w:type="dxa"/>
            <w:right w:w="0" w:type="dxa"/>
          </w:tblCellMar>
          <w:tblLook w:val="01E0"/>
        </w:tblPrEx>
        <w:trPr>
          <w:trHeight w:val="282"/>
        </w:trPr>
        <w:tc>
          <w:tcPr>
            <w:tcW w:w="7182" w:type="dxa"/>
            <w:gridSpan w:val="5"/>
            <w:shd w:val="clear" w:color="auto" w:fill="E7E6E6" w:themeFill="background2"/>
          </w:tcPr>
          <w:p w:rsidR="00093EAB" w:rsidRPr="00BF4D0A" w:rsidP="00B87FD9" w14:paraId="02487E87" w14:textId="77777777">
            <w:pPr>
              <w:spacing w:after="0" w:line="240" w:lineRule="auto"/>
              <w:ind w:left="63" w:right="51"/>
              <w:rPr>
                <w:rFonts w:ascii="Times New Roman" w:hAnsi="Times New Roman" w:cs="Times New Roman"/>
                <w:b/>
              </w:rPr>
            </w:pPr>
            <w:r w:rsidRPr="00BF4D0A">
              <w:rPr>
                <w:rFonts w:ascii="Times New Roman" w:hAnsi="Times New Roman" w:cs="Times New Roman"/>
                <w:b/>
              </w:rPr>
              <w:t>Facility + LEPC BURDEN</w:t>
            </w:r>
          </w:p>
        </w:tc>
      </w:tr>
      <w:tr w14:paraId="1E542253" w14:textId="77777777" w:rsidTr="00B87FD9">
        <w:tblPrEx>
          <w:tblW w:w="0" w:type="auto"/>
          <w:tblInd w:w="1540" w:type="dxa"/>
          <w:tblLayout w:type="fixed"/>
          <w:tblCellMar>
            <w:left w:w="0" w:type="dxa"/>
            <w:right w:w="0" w:type="dxa"/>
          </w:tblCellMar>
          <w:tblLook w:val="01E0"/>
        </w:tblPrEx>
        <w:trPr>
          <w:trHeight w:val="282"/>
        </w:trPr>
        <w:tc>
          <w:tcPr>
            <w:tcW w:w="1602" w:type="dxa"/>
          </w:tcPr>
          <w:p w:rsidR="00200686" w:rsidRPr="00BF4D0A" w:rsidP="00B87FD9" w14:paraId="293CDC6F" w14:textId="77777777">
            <w:pPr>
              <w:spacing w:after="0" w:line="240" w:lineRule="auto"/>
              <w:rPr>
                <w:rFonts w:ascii="Times New Roman" w:hAnsi="Times New Roman" w:cs="Times New Roman"/>
                <w:b/>
              </w:rPr>
            </w:pPr>
            <w:r>
              <w:rPr>
                <w:rFonts w:ascii="Times New Roman" w:hAnsi="Times New Roman" w:cs="Times New Roman"/>
                <w:b/>
              </w:rPr>
              <w:t xml:space="preserve"> </w:t>
            </w:r>
            <w:r w:rsidRPr="00BF4D0A">
              <w:rPr>
                <w:rFonts w:ascii="Times New Roman" w:hAnsi="Times New Roman" w:cs="Times New Roman"/>
                <w:b/>
              </w:rPr>
              <w:t>Grand Total</w:t>
            </w:r>
          </w:p>
        </w:tc>
        <w:tc>
          <w:tcPr>
            <w:tcW w:w="1608" w:type="dxa"/>
          </w:tcPr>
          <w:p w:rsidR="00200686" w:rsidRPr="00BF4D0A" w:rsidP="00576F93" w14:paraId="1EE163F8" w14:textId="77777777">
            <w:pPr>
              <w:spacing w:after="0" w:line="240" w:lineRule="auto"/>
              <w:jc w:val="center"/>
              <w:rPr>
                <w:rFonts w:ascii="Times New Roman" w:hAnsi="Times New Roman" w:cs="Times New Roman"/>
              </w:rPr>
            </w:pPr>
          </w:p>
        </w:tc>
        <w:tc>
          <w:tcPr>
            <w:tcW w:w="1020" w:type="dxa"/>
          </w:tcPr>
          <w:p w:rsidR="00200686" w:rsidRPr="00BF4D0A" w:rsidP="00576F93" w14:paraId="47C4EC2C" w14:textId="77777777">
            <w:pPr>
              <w:spacing w:after="0" w:line="240" w:lineRule="auto"/>
              <w:jc w:val="center"/>
              <w:rPr>
                <w:rFonts w:ascii="Times New Roman" w:hAnsi="Times New Roman" w:cs="Times New Roman"/>
              </w:rPr>
            </w:pPr>
          </w:p>
        </w:tc>
        <w:tc>
          <w:tcPr>
            <w:tcW w:w="1332" w:type="dxa"/>
            <w:tcBorders>
              <w:right w:val="single" w:sz="8" w:space="0" w:color="000000"/>
            </w:tcBorders>
          </w:tcPr>
          <w:p w:rsidR="00200686" w:rsidRPr="00BF4D0A" w:rsidP="00576F93" w14:paraId="68A52DF9" w14:textId="77777777">
            <w:pPr>
              <w:spacing w:after="0" w:line="240" w:lineRule="auto"/>
              <w:ind w:left="69" w:right="67"/>
              <w:jc w:val="center"/>
              <w:rPr>
                <w:rFonts w:ascii="Times New Roman" w:hAnsi="Times New Roman" w:cs="Times New Roman"/>
                <w:b/>
              </w:rPr>
            </w:pPr>
          </w:p>
        </w:tc>
        <w:tc>
          <w:tcPr>
            <w:tcW w:w="1620" w:type="dxa"/>
            <w:tcBorders>
              <w:left w:val="single" w:sz="8" w:space="0" w:color="000000"/>
            </w:tcBorders>
          </w:tcPr>
          <w:p w:rsidR="00200686" w:rsidRPr="00BF4D0A" w:rsidP="00576F93" w14:paraId="23E18911" w14:textId="77777777">
            <w:pPr>
              <w:spacing w:after="0" w:line="240" w:lineRule="auto"/>
              <w:ind w:left="63" w:right="51"/>
              <w:jc w:val="center"/>
              <w:rPr>
                <w:rFonts w:ascii="Times New Roman" w:hAnsi="Times New Roman" w:cs="Times New Roman"/>
                <w:b/>
              </w:rPr>
            </w:pPr>
            <w:r w:rsidRPr="00BF4D0A">
              <w:rPr>
                <w:rFonts w:ascii="Times New Roman" w:hAnsi="Times New Roman" w:cs="Times New Roman"/>
                <w:b/>
              </w:rPr>
              <w:t>$</w:t>
            </w:r>
            <w:r w:rsidR="00323C8D">
              <w:rPr>
                <w:rFonts w:ascii="Times New Roman" w:hAnsi="Times New Roman" w:cs="Times New Roman"/>
                <w:b/>
              </w:rPr>
              <w:t>3,972,691</w:t>
            </w:r>
          </w:p>
        </w:tc>
      </w:tr>
    </w:tbl>
    <w:p w:rsidR="006316C9" w:rsidP="00FD5FDC" w14:paraId="1CB59921" w14:textId="77777777">
      <w:bookmarkStart w:id="313" w:name="5.5_Information_Disclosure_Rule_Provisio"/>
      <w:bookmarkStart w:id="314" w:name="_bookmark86"/>
      <w:bookmarkStart w:id="315" w:name="_Toc98856224"/>
      <w:bookmarkEnd w:id="312"/>
      <w:bookmarkEnd w:id="313"/>
      <w:bookmarkEnd w:id="314"/>
    </w:p>
    <w:p w:rsidR="00BE13EA" w:rsidP="00C07306" w14:paraId="7DC04BB2" w14:textId="77777777">
      <w:pPr>
        <w:pStyle w:val="Heading2"/>
      </w:pPr>
      <w:bookmarkStart w:id="316" w:name="_Toc144303565"/>
      <w:r w:rsidRPr="00BF4D0A">
        <w:t>5.</w:t>
      </w:r>
      <w:r w:rsidR="00637A49">
        <w:t>6</w:t>
      </w:r>
      <w:r w:rsidRPr="00BF4D0A">
        <w:t xml:space="preserve"> </w:t>
      </w:r>
      <w:r w:rsidRPr="00BF4D0A" w:rsidR="00A91A23">
        <w:t>Information Availability</w:t>
      </w:r>
      <w:r w:rsidRPr="00BF4D0A" w:rsidR="00435210">
        <w:t xml:space="preserve"> </w:t>
      </w:r>
      <w:r w:rsidRPr="00BF4D0A" w:rsidR="00ED6417">
        <w:t>to the Public</w:t>
      </w:r>
      <w:bookmarkStart w:id="317" w:name="5.5.1__Public_Meeting"/>
      <w:bookmarkEnd w:id="315"/>
      <w:bookmarkEnd w:id="316"/>
      <w:bookmarkEnd w:id="317"/>
    </w:p>
    <w:p w:rsidR="00BE13EA" w:rsidRPr="00C9143C" w:rsidP="00C9143C" w14:paraId="5524DB28" w14:textId="77777777">
      <w:pPr>
        <w:pStyle w:val="Heading3"/>
        <w:rPr>
          <w:rFonts w:ascii="Times New Roman" w:hAnsi="Times New Roman" w:cs="Times New Roman"/>
          <w:sz w:val="22"/>
          <w:szCs w:val="22"/>
        </w:rPr>
      </w:pPr>
      <w:bookmarkStart w:id="318" w:name="_Toc141733171"/>
      <w:bookmarkStart w:id="319" w:name="_Toc142404075"/>
      <w:bookmarkStart w:id="320" w:name="_Toc144213883"/>
      <w:bookmarkStart w:id="321" w:name="_Toc144283628"/>
      <w:bookmarkStart w:id="322" w:name="_Toc144303566"/>
      <w:r w:rsidRPr="00C9143C">
        <w:rPr>
          <w:rFonts w:ascii="Times New Roman" w:hAnsi="Times New Roman" w:cs="Times New Roman"/>
          <w:sz w:val="22"/>
          <w:szCs w:val="22"/>
        </w:rPr>
        <w:t>5.</w:t>
      </w:r>
      <w:r w:rsidR="00637A49">
        <w:rPr>
          <w:rFonts w:ascii="Times New Roman" w:hAnsi="Times New Roman" w:cs="Times New Roman"/>
          <w:sz w:val="22"/>
          <w:szCs w:val="22"/>
        </w:rPr>
        <w:t>6</w:t>
      </w:r>
      <w:r w:rsidRPr="00C9143C">
        <w:rPr>
          <w:rFonts w:ascii="Times New Roman" w:hAnsi="Times New Roman" w:cs="Times New Roman"/>
          <w:sz w:val="22"/>
          <w:szCs w:val="22"/>
        </w:rPr>
        <w:t>.1 Costs to Facilities</w:t>
      </w:r>
      <w:bookmarkEnd w:id="318"/>
      <w:bookmarkEnd w:id="319"/>
      <w:bookmarkEnd w:id="320"/>
      <w:bookmarkEnd w:id="321"/>
      <w:bookmarkEnd w:id="322"/>
      <w:r w:rsidRPr="00C9143C" w:rsidR="00E235AD">
        <w:rPr>
          <w:rFonts w:ascii="Times New Roman" w:hAnsi="Times New Roman" w:cs="Times New Roman"/>
          <w:sz w:val="22"/>
          <w:szCs w:val="22"/>
        </w:rPr>
        <w:tab/>
      </w:r>
    </w:p>
    <w:p w:rsidR="00250383" w:rsidP="00AC10A1" w14:paraId="01F8722A" w14:textId="77777777">
      <w:pPr>
        <w:spacing w:after="0" w:line="240" w:lineRule="auto"/>
        <w:ind w:firstLine="360"/>
        <w:rPr>
          <w:rFonts w:ascii="Times New Roman" w:hAnsi="Times New Roman" w:cs="Times New Roman"/>
          <w:b/>
          <w:bCs/>
          <w:i/>
          <w:iCs/>
        </w:rPr>
      </w:pPr>
      <w:r w:rsidRPr="00354967">
        <w:rPr>
          <w:rFonts w:ascii="Times New Roman" w:hAnsi="Times New Roman" w:cs="Times New Roman"/>
        </w:rPr>
        <w:t>The RMP</w:t>
      </w:r>
      <w:r>
        <w:rPr>
          <w:rFonts w:ascii="Times New Roman" w:hAnsi="Times New Roman" w:cs="Times New Roman"/>
        </w:rPr>
        <w:t xml:space="preserve"> rule currently</w:t>
      </w:r>
      <w:r w:rsidR="00E91967">
        <w:rPr>
          <w:rFonts w:ascii="Times New Roman" w:hAnsi="Times New Roman" w:cs="Times New Roman"/>
        </w:rPr>
        <w:t xml:space="preserve"> does not</w:t>
      </w:r>
      <w:r>
        <w:rPr>
          <w:rFonts w:ascii="Times New Roman" w:hAnsi="Times New Roman" w:cs="Times New Roman"/>
        </w:rPr>
        <w:t xml:space="preserve"> </w:t>
      </w:r>
      <w:r w:rsidR="00BC5DA9">
        <w:rPr>
          <w:rFonts w:ascii="Times New Roman" w:hAnsi="Times New Roman" w:cs="Times New Roman"/>
        </w:rPr>
        <w:t>require</w:t>
      </w:r>
      <w:r w:rsidR="00E91967">
        <w:rPr>
          <w:rFonts w:ascii="Times New Roman" w:hAnsi="Times New Roman" w:cs="Times New Roman"/>
        </w:rPr>
        <w:t xml:space="preserve"> facilities to </w:t>
      </w:r>
      <w:r w:rsidRPr="00E91967" w:rsidR="00E91967">
        <w:rPr>
          <w:rFonts w:ascii="Times New Roman" w:hAnsi="Times New Roman" w:cs="Times New Roman"/>
        </w:rPr>
        <w:t>conduct</w:t>
      </w:r>
      <w:r w:rsidRPr="00E91967" w:rsidR="00BC5DA9">
        <w:rPr>
          <w:rFonts w:ascii="Times New Roman" w:hAnsi="Times New Roman" w:cs="Times New Roman"/>
        </w:rPr>
        <w:t xml:space="preserve"> </w:t>
      </w:r>
      <w:r w:rsidRPr="00E91967" w:rsidR="00E91967">
        <w:rPr>
          <w:rFonts w:ascii="Times New Roman" w:hAnsi="Times New Roman" w:cs="Times New Roman"/>
        </w:rPr>
        <w:t>i</w:t>
      </w:r>
      <w:r w:rsidRPr="00E91967">
        <w:rPr>
          <w:rFonts w:ascii="Times New Roman" w:hAnsi="Times New Roman" w:cs="Times New Roman"/>
        </w:rPr>
        <w:t>nfor</w:t>
      </w:r>
      <w:r w:rsidRPr="00E91967" w:rsidR="00BC5DA9">
        <w:rPr>
          <w:rFonts w:ascii="Times New Roman" w:hAnsi="Times New Roman" w:cs="Times New Roman"/>
        </w:rPr>
        <w:t xml:space="preserve">mation </w:t>
      </w:r>
      <w:r w:rsidRPr="00E91967" w:rsidR="00E91967">
        <w:rPr>
          <w:rFonts w:ascii="Times New Roman" w:hAnsi="Times New Roman" w:cs="Times New Roman"/>
        </w:rPr>
        <w:t>availability</w:t>
      </w:r>
      <w:r w:rsidRPr="00E91967" w:rsidR="00BC5DA9">
        <w:rPr>
          <w:rFonts w:ascii="Times New Roman" w:hAnsi="Times New Roman" w:cs="Times New Roman"/>
        </w:rPr>
        <w:t xml:space="preserve"> activities.</w:t>
      </w:r>
      <w:r w:rsidR="00576F93">
        <w:rPr>
          <w:rFonts w:ascii="Times New Roman" w:hAnsi="Times New Roman" w:cs="Times New Roman"/>
        </w:rPr>
        <w:t xml:space="preserve"> </w:t>
      </w:r>
      <w:r w:rsidRPr="00BF4D0A" w:rsidR="00EA319C">
        <w:rPr>
          <w:rFonts w:ascii="Times New Roman" w:hAnsi="Times New Roman" w:cs="Times New Roman"/>
        </w:rPr>
        <w:t>Th</w:t>
      </w:r>
      <w:r w:rsidRPr="00BF4D0A" w:rsidR="00BC5DA9">
        <w:rPr>
          <w:rFonts w:ascii="Times New Roman" w:hAnsi="Times New Roman" w:cs="Times New Roman"/>
        </w:rPr>
        <w:t>e</w:t>
      </w:r>
      <w:r w:rsidRPr="00BF4D0A" w:rsidR="00EA319C">
        <w:rPr>
          <w:rFonts w:ascii="Times New Roman" w:hAnsi="Times New Roman" w:cs="Times New Roman"/>
        </w:rPr>
        <w:t xml:space="preserve"> </w:t>
      </w:r>
      <w:r w:rsidR="005A564F">
        <w:rPr>
          <w:rFonts w:ascii="Times New Roman" w:hAnsi="Times New Roman" w:cs="Times New Roman"/>
        </w:rPr>
        <w:t>final</w:t>
      </w:r>
      <w:r w:rsidRPr="00BF4D0A" w:rsidR="005A564F">
        <w:rPr>
          <w:rFonts w:ascii="Times New Roman" w:hAnsi="Times New Roman" w:cs="Times New Roman"/>
        </w:rPr>
        <w:t xml:space="preserve"> </w:t>
      </w:r>
      <w:r w:rsidRPr="00BF4D0A" w:rsidR="00BC5DA9">
        <w:rPr>
          <w:rFonts w:ascii="Times New Roman" w:hAnsi="Times New Roman" w:cs="Times New Roman"/>
        </w:rPr>
        <w:t>rule</w:t>
      </w:r>
      <w:r w:rsidRPr="00BF4D0A" w:rsidR="00EA319C">
        <w:rPr>
          <w:rFonts w:ascii="Times New Roman" w:hAnsi="Times New Roman" w:cs="Times New Roman"/>
        </w:rPr>
        <w:t xml:space="preserve"> </w:t>
      </w:r>
      <w:r w:rsidR="009449B7">
        <w:rPr>
          <w:rFonts w:ascii="Times New Roman" w:hAnsi="Times New Roman" w:cs="Times New Roman"/>
        </w:rPr>
        <w:t>will</w:t>
      </w:r>
      <w:r w:rsidRPr="00BF4D0A" w:rsidR="00EA319C">
        <w:rPr>
          <w:rFonts w:ascii="Times New Roman" w:hAnsi="Times New Roman" w:cs="Times New Roman"/>
        </w:rPr>
        <w:t xml:space="preserve"> require </w:t>
      </w:r>
      <w:r w:rsidRPr="00BF4D0A" w:rsidR="00BC5DA9">
        <w:rPr>
          <w:rFonts w:ascii="Times New Roman" w:hAnsi="Times New Roman" w:cs="Times New Roman"/>
        </w:rPr>
        <w:t xml:space="preserve">all </w:t>
      </w:r>
      <w:r w:rsidRPr="00BF4D0A" w:rsidR="00EA319C">
        <w:rPr>
          <w:rFonts w:ascii="Times New Roman" w:hAnsi="Times New Roman" w:cs="Times New Roman"/>
        </w:rPr>
        <w:t>facilit</w:t>
      </w:r>
      <w:r w:rsidRPr="00BF4D0A" w:rsidR="00CF40A1">
        <w:rPr>
          <w:rFonts w:ascii="Times New Roman" w:hAnsi="Times New Roman" w:cs="Times New Roman"/>
        </w:rPr>
        <w:t>ies</w:t>
      </w:r>
      <w:r w:rsidRPr="00BF4D0A" w:rsidR="00BC5DA9">
        <w:rPr>
          <w:rFonts w:ascii="Times New Roman" w:hAnsi="Times New Roman" w:cs="Times New Roman"/>
        </w:rPr>
        <w:t xml:space="preserve">, including those with Program 1 processes, to </w:t>
      </w:r>
      <w:r w:rsidRPr="00BF4D0A" w:rsidR="00EA319C">
        <w:rPr>
          <w:rFonts w:ascii="Times New Roman" w:hAnsi="Times New Roman" w:cs="Times New Roman"/>
        </w:rPr>
        <w:t>make information</w:t>
      </w:r>
      <w:r w:rsidRPr="00BF4D0A" w:rsidR="003108C7">
        <w:rPr>
          <w:rFonts w:ascii="Times New Roman" w:hAnsi="Times New Roman" w:cs="Times New Roman"/>
        </w:rPr>
        <w:t xml:space="preserve"> related to RMP compliance </w:t>
      </w:r>
      <w:r w:rsidRPr="00BF4D0A" w:rsidR="00EA319C">
        <w:rPr>
          <w:rFonts w:ascii="Times New Roman" w:hAnsi="Times New Roman" w:cs="Times New Roman"/>
        </w:rPr>
        <w:t xml:space="preserve">available </w:t>
      </w:r>
      <w:r w:rsidRPr="00BF4D0A" w:rsidR="00694A02">
        <w:rPr>
          <w:rFonts w:ascii="Times New Roman" w:hAnsi="Times New Roman" w:cs="Times New Roman"/>
        </w:rPr>
        <w:t>upon request</w:t>
      </w:r>
      <w:r w:rsidRPr="00BF4D0A" w:rsidR="00EA319C">
        <w:rPr>
          <w:rFonts w:ascii="Times New Roman" w:hAnsi="Times New Roman" w:cs="Times New Roman"/>
        </w:rPr>
        <w:t xml:space="preserve"> in a manner that is easily accessible to </w:t>
      </w:r>
      <w:r w:rsidRPr="00BF4D0A" w:rsidR="00A8001F">
        <w:rPr>
          <w:rFonts w:ascii="Times New Roman" w:hAnsi="Times New Roman" w:cs="Times New Roman"/>
        </w:rPr>
        <w:t xml:space="preserve">community members </w:t>
      </w:r>
      <w:r w:rsidR="006316C9">
        <w:rPr>
          <w:rFonts w:ascii="Times New Roman" w:hAnsi="Times New Roman" w:cs="Times New Roman"/>
        </w:rPr>
        <w:t>residing, working, or spending significant time</w:t>
      </w:r>
      <w:r w:rsidRPr="00BF4D0A" w:rsidR="006316C9">
        <w:rPr>
          <w:rFonts w:ascii="Times New Roman" w:hAnsi="Times New Roman" w:cs="Times New Roman"/>
        </w:rPr>
        <w:t xml:space="preserve"> </w:t>
      </w:r>
      <w:r w:rsidRPr="00BF4D0A" w:rsidR="00FA61F4">
        <w:rPr>
          <w:rFonts w:ascii="Times New Roman" w:hAnsi="Times New Roman" w:cs="Times New Roman"/>
        </w:rPr>
        <w:t>within 6 miles of the facility</w:t>
      </w:r>
      <w:r w:rsidRPr="00BF4D0A" w:rsidR="00077321">
        <w:rPr>
          <w:rFonts w:ascii="Times New Roman" w:hAnsi="Times New Roman" w:cs="Times New Roman"/>
        </w:rPr>
        <w:t xml:space="preserve">. The information </w:t>
      </w:r>
      <w:r w:rsidR="009449B7">
        <w:rPr>
          <w:rFonts w:ascii="Times New Roman" w:hAnsi="Times New Roman" w:cs="Times New Roman"/>
        </w:rPr>
        <w:t>will</w:t>
      </w:r>
      <w:r w:rsidRPr="00BF4D0A" w:rsidR="00EA319C">
        <w:rPr>
          <w:rFonts w:ascii="Times New Roman" w:hAnsi="Times New Roman" w:cs="Times New Roman"/>
        </w:rPr>
        <w:t xml:space="preserve"> includ</w:t>
      </w:r>
      <w:r w:rsidRPr="00BF4D0A" w:rsidR="00077321">
        <w:rPr>
          <w:rFonts w:ascii="Times New Roman" w:hAnsi="Times New Roman" w:cs="Times New Roman"/>
        </w:rPr>
        <w:t>e</w:t>
      </w:r>
      <w:r w:rsidRPr="00BF4D0A" w:rsidR="00EA319C">
        <w:rPr>
          <w:rFonts w:ascii="Times New Roman" w:hAnsi="Times New Roman" w:cs="Times New Roman"/>
        </w:rPr>
        <w:t xml:space="preserve"> </w:t>
      </w:r>
      <w:r w:rsidRPr="00BF4D0A" w:rsidR="00994579">
        <w:rPr>
          <w:rFonts w:ascii="Times New Roman" w:hAnsi="Times New Roman" w:cs="Times New Roman"/>
        </w:rPr>
        <w:t>t</w:t>
      </w:r>
      <w:r w:rsidRPr="00BF4D0A" w:rsidR="00EA319C">
        <w:rPr>
          <w:rFonts w:ascii="Times New Roman" w:hAnsi="Times New Roman" w:cs="Times New Roman"/>
        </w:rPr>
        <w:t xml:space="preserve">he names and </w:t>
      </w:r>
      <w:r w:rsidR="005C4289">
        <w:rPr>
          <w:rFonts w:ascii="Times New Roman" w:hAnsi="Times New Roman" w:cs="Times New Roman"/>
        </w:rPr>
        <w:t>SDSs</w:t>
      </w:r>
      <w:r w:rsidRPr="00BF4D0A" w:rsidR="00EA319C">
        <w:rPr>
          <w:rFonts w:ascii="Times New Roman" w:hAnsi="Times New Roman" w:cs="Times New Roman"/>
        </w:rPr>
        <w:t xml:space="preserve"> of regulated substances used at the facility, the facility’s accident history, emergency response program information, and LEPC contact information.</w:t>
      </w:r>
      <w:r w:rsidRPr="00BF4D0A" w:rsidR="00093EAB">
        <w:rPr>
          <w:rFonts w:ascii="Times New Roman" w:hAnsi="Times New Roman" w:cs="Times New Roman"/>
        </w:rPr>
        <w:t xml:space="preserve"> The assumption is that each facility receives 1 request per year from a community member residing within 6 miles of the facility. </w:t>
      </w:r>
      <w:r w:rsidRPr="00BF4D0A" w:rsidR="00435210">
        <w:rPr>
          <w:rFonts w:ascii="Times New Roman" w:hAnsi="Times New Roman" w:cs="Times New Roman"/>
        </w:rPr>
        <w:t xml:space="preserve">The breakout of costs </w:t>
      </w:r>
      <w:r w:rsidR="000C185C">
        <w:rPr>
          <w:rFonts w:ascii="Times New Roman" w:hAnsi="Times New Roman" w:cs="Times New Roman"/>
        </w:rPr>
        <w:t xml:space="preserve">to facilities </w:t>
      </w:r>
      <w:r w:rsidRPr="00BF4D0A" w:rsidR="00435210">
        <w:rPr>
          <w:rFonts w:ascii="Times New Roman" w:hAnsi="Times New Roman" w:cs="Times New Roman"/>
        </w:rPr>
        <w:t xml:space="preserve">related to </w:t>
      </w:r>
      <w:r w:rsidRPr="00BF4D0A" w:rsidR="00254DEC">
        <w:rPr>
          <w:rFonts w:ascii="Times New Roman" w:hAnsi="Times New Roman" w:cs="Times New Roman"/>
        </w:rPr>
        <w:t>Information Availability</w:t>
      </w:r>
      <w:r w:rsidRPr="00BF4D0A" w:rsidR="00435210">
        <w:rPr>
          <w:rFonts w:ascii="Times New Roman" w:hAnsi="Times New Roman" w:cs="Times New Roman"/>
        </w:rPr>
        <w:t xml:space="preserve"> is in Exhibit 5-</w:t>
      </w:r>
      <w:r w:rsidR="00CC3094">
        <w:rPr>
          <w:rFonts w:ascii="Times New Roman" w:hAnsi="Times New Roman" w:cs="Times New Roman"/>
        </w:rPr>
        <w:t>1</w:t>
      </w:r>
      <w:r w:rsidR="005D4B4E">
        <w:rPr>
          <w:rFonts w:ascii="Times New Roman" w:hAnsi="Times New Roman" w:cs="Times New Roman"/>
        </w:rPr>
        <w:t>5</w:t>
      </w:r>
      <w:r w:rsidR="00AC10A1">
        <w:rPr>
          <w:rFonts w:ascii="Times New Roman" w:hAnsi="Times New Roman" w:cs="Times New Roman"/>
        </w:rPr>
        <w:t>.</w:t>
      </w:r>
      <w:bookmarkStart w:id="323" w:name="_Hlk99525702"/>
    </w:p>
    <w:p w:rsidR="000401F5" w:rsidP="00AC10A1" w14:paraId="33406690" w14:textId="77777777">
      <w:pPr>
        <w:spacing w:after="0" w:line="240" w:lineRule="auto"/>
        <w:ind w:firstLine="360"/>
        <w:rPr>
          <w:rFonts w:ascii="Times New Roman" w:hAnsi="Times New Roman" w:cs="Times New Roman"/>
          <w:b/>
          <w:bCs/>
          <w:i/>
          <w:iCs/>
        </w:rPr>
      </w:pPr>
    </w:p>
    <w:p w:rsidR="002D372A" w:rsidRPr="002D372A" w:rsidP="002D372A" w14:paraId="48AB69B9" w14:textId="77777777">
      <w:pPr>
        <w:pStyle w:val="Caption"/>
        <w:jc w:val="center"/>
        <w:rPr>
          <w:rFonts w:ascii="Times New Roman" w:hAnsi="Times New Roman" w:cs="Times New Roman"/>
          <w:b/>
          <w:bCs/>
          <w:i w:val="0"/>
          <w:iCs w:val="0"/>
          <w:color w:val="auto"/>
          <w:sz w:val="22"/>
          <w:szCs w:val="22"/>
        </w:rPr>
      </w:pPr>
      <w:r w:rsidRPr="002D372A">
        <w:rPr>
          <w:rFonts w:ascii="Times New Roman" w:hAnsi="Times New Roman" w:cs="Times New Roman"/>
          <w:b/>
          <w:bCs/>
          <w:i w:val="0"/>
          <w:iCs w:val="0"/>
          <w:color w:val="auto"/>
          <w:sz w:val="22"/>
          <w:szCs w:val="22"/>
        </w:rPr>
        <w:t>Exhibit 5-</w:t>
      </w:r>
      <w:r w:rsidR="00CC3094">
        <w:rPr>
          <w:rFonts w:ascii="Times New Roman" w:hAnsi="Times New Roman" w:cs="Times New Roman"/>
          <w:b/>
          <w:bCs/>
          <w:i w:val="0"/>
          <w:iCs w:val="0"/>
          <w:color w:val="auto"/>
          <w:sz w:val="22"/>
          <w:szCs w:val="22"/>
        </w:rPr>
        <w:t>1</w:t>
      </w:r>
      <w:r w:rsidR="005D4B4E">
        <w:rPr>
          <w:rFonts w:ascii="Times New Roman" w:hAnsi="Times New Roman" w:cs="Times New Roman"/>
          <w:b/>
          <w:bCs/>
          <w:i w:val="0"/>
          <w:iCs w:val="0"/>
          <w:color w:val="auto"/>
          <w:sz w:val="22"/>
          <w:szCs w:val="22"/>
        </w:rPr>
        <w:t>5</w:t>
      </w:r>
      <w:r w:rsidRPr="002D372A">
        <w:rPr>
          <w:rFonts w:ascii="Times New Roman" w:hAnsi="Times New Roman" w:cs="Times New Roman"/>
          <w:b/>
          <w:bCs/>
          <w:i w:val="0"/>
          <w:iCs w:val="0"/>
          <w:color w:val="auto"/>
          <w:sz w:val="22"/>
          <w:szCs w:val="22"/>
        </w:rPr>
        <w:t xml:space="preserve">: Costs </w:t>
      </w:r>
      <w:r w:rsidR="00294E80">
        <w:rPr>
          <w:rFonts w:ascii="Times New Roman" w:hAnsi="Times New Roman" w:cs="Times New Roman"/>
          <w:b/>
          <w:bCs/>
          <w:i w:val="0"/>
          <w:iCs w:val="0"/>
          <w:color w:val="auto"/>
          <w:sz w:val="22"/>
          <w:szCs w:val="22"/>
        </w:rPr>
        <w:t xml:space="preserve">to Facilities </w:t>
      </w:r>
      <w:r w:rsidRPr="002D372A">
        <w:rPr>
          <w:rFonts w:ascii="Times New Roman" w:hAnsi="Times New Roman" w:cs="Times New Roman"/>
          <w:b/>
          <w:bCs/>
          <w:i w:val="0"/>
          <w:iCs w:val="0"/>
          <w:color w:val="auto"/>
          <w:sz w:val="22"/>
          <w:szCs w:val="22"/>
        </w:rPr>
        <w:t>for Information Availability Provision (202</w:t>
      </w:r>
      <w:r w:rsidR="00323F17">
        <w:rPr>
          <w:rFonts w:ascii="Times New Roman" w:hAnsi="Times New Roman" w:cs="Times New Roman"/>
          <w:b/>
          <w:bCs/>
          <w:i w:val="0"/>
          <w:iCs w:val="0"/>
          <w:color w:val="auto"/>
          <w:sz w:val="22"/>
          <w:szCs w:val="22"/>
        </w:rPr>
        <w:t>2</w:t>
      </w:r>
      <w:r w:rsidRPr="002D372A">
        <w:rPr>
          <w:rFonts w:ascii="Times New Roman" w:hAnsi="Times New Roman" w:cs="Times New Roman"/>
          <w:b/>
          <w:bCs/>
          <w:i w:val="0"/>
          <w:iCs w:val="0"/>
          <w:color w:val="auto"/>
          <w:sz w:val="22"/>
          <w:szCs w:val="22"/>
        </w:rPr>
        <w:t xml:space="preserve"> </w:t>
      </w:r>
      <w:r w:rsidR="00794F08">
        <w:rPr>
          <w:rFonts w:ascii="Times New Roman" w:hAnsi="Times New Roman" w:cs="Times New Roman"/>
          <w:b/>
          <w:bCs/>
          <w:i w:val="0"/>
          <w:iCs w:val="0"/>
          <w:color w:val="auto"/>
          <w:sz w:val="22"/>
          <w:szCs w:val="22"/>
        </w:rPr>
        <w:t>d</w:t>
      </w:r>
      <w:r w:rsidRPr="002D372A">
        <w:rPr>
          <w:rFonts w:ascii="Times New Roman" w:hAnsi="Times New Roman" w:cs="Times New Roman"/>
          <w:b/>
          <w:bCs/>
          <w:i w:val="0"/>
          <w:iCs w:val="0"/>
          <w:color w:val="auto"/>
          <w:sz w:val="22"/>
          <w:szCs w:val="22"/>
        </w:rPr>
        <w:t>ollars).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82"/>
        <w:gridCol w:w="1440"/>
        <w:gridCol w:w="1350"/>
        <w:gridCol w:w="1770"/>
        <w:gridCol w:w="1812"/>
      </w:tblGrid>
      <w:tr w14:paraId="057812C6" w14:textId="77777777" w:rsidTr="00FA04B8">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20"/>
          <w:jc w:val="center"/>
        </w:trPr>
        <w:tc>
          <w:tcPr>
            <w:tcW w:w="1782" w:type="dxa"/>
            <w:tcBorders>
              <w:left w:val="single" w:sz="6" w:space="0" w:color="000000"/>
              <w:right w:val="single" w:sz="6" w:space="0" w:color="000000"/>
            </w:tcBorders>
            <w:shd w:val="clear" w:color="auto" w:fill="DADADA"/>
            <w:vAlign w:val="center"/>
          </w:tcPr>
          <w:p w:rsidR="00435210" w:rsidRPr="002D372A" w:rsidP="002D372A" w14:paraId="7303ACA7" w14:textId="77777777">
            <w:pPr>
              <w:keepNext/>
              <w:spacing w:after="0" w:line="240" w:lineRule="auto"/>
              <w:ind w:left="1087" w:hanging="1017"/>
              <w:jc w:val="center"/>
              <w:rPr>
                <w:rFonts w:ascii="Times New Roman" w:hAnsi="Times New Roman" w:cs="Times New Roman"/>
                <w:b/>
                <w:sz w:val="20"/>
                <w:szCs w:val="20"/>
              </w:rPr>
            </w:pPr>
            <w:r w:rsidRPr="002D372A">
              <w:rPr>
                <w:rFonts w:ascii="Times New Roman" w:hAnsi="Times New Roman" w:cs="Times New Roman"/>
                <w:b/>
                <w:sz w:val="20"/>
                <w:szCs w:val="20"/>
              </w:rPr>
              <w:t>Facility Type</w:t>
            </w:r>
          </w:p>
        </w:tc>
        <w:tc>
          <w:tcPr>
            <w:tcW w:w="1440" w:type="dxa"/>
            <w:tcBorders>
              <w:left w:val="single" w:sz="6" w:space="0" w:color="000000"/>
              <w:right w:val="single" w:sz="6" w:space="0" w:color="000000"/>
            </w:tcBorders>
            <w:shd w:val="clear" w:color="auto" w:fill="DADADA"/>
            <w:vAlign w:val="center"/>
          </w:tcPr>
          <w:p w:rsidR="00435210" w:rsidRPr="002D372A" w:rsidP="00576F93" w14:paraId="6F0389B0" w14:textId="77777777">
            <w:pPr>
              <w:keepNext/>
              <w:spacing w:after="0" w:line="240" w:lineRule="auto"/>
              <w:ind w:left="91" w:right="55"/>
              <w:jc w:val="center"/>
              <w:rPr>
                <w:rFonts w:ascii="Times New Roman" w:hAnsi="Times New Roman" w:cs="Times New Roman"/>
                <w:b/>
                <w:sz w:val="20"/>
                <w:szCs w:val="20"/>
              </w:rPr>
            </w:pPr>
            <w:r w:rsidRPr="002D372A">
              <w:rPr>
                <w:rFonts w:ascii="Times New Roman" w:hAnsi="Times New Roman" w:cs="Times New Roman"/>
                <w:b/>
                <w:sz w:val="20"/>
                <w:szCs w:val="20"/>
              </w:rPr>
              <w:t>Annual</w:t>
            </w:r>
          </w:p>
          <w:p w:rsidR="00435210" w:rsidRPr="002D372A" w:rsidP="00576F93" w14:paraId="75C60B10" w14:textId="77777777">
            <w:pPr>
              <w:keepNext/>
              <w:spacing w:after="0" w:line="240" w:lineRule="auto"/>
              <w:ind w:left="79" w:right="55"/>
              <w:jc w:val="center"/>
              <w:rPr>
                <w:rFonts w:ascii="Times New Roman" w:hAnsi="Times New Roman" w:cs="Times New Roman"/>
                <w:b/>
                <w:sz w:val="20"/>
                <w:szCs w:val="20"/>
              </w:rPr>
            </w:pPr>
            <w:r w:rsidRPr="002D372A">
              <w:rPr>
                <w:rFonts w:ascii="Times New Roman" w:hAnsi="Times New Roman" w:cs="Times New Roman"/>
                <w:b/>
                <w:sz w:val="20"/>
                <w:szCs w:val="20"/>
              </w:rPr>
              <w:t>Frequency</w:t>
            </w:r>
          </w:p>
        </w:tc>
        <w:tc>
          <w:tcPr>
            <w:tcW w:w="1350" w:type="dxa"/>
            <w:tcBorders>
              <w:left w:val="single" w:sz="6" w:space="0" w:color="000000"/>
              <w:right w:val="single" w:sz="6" w:space="0" w:color="000000"/>
            </w:tcBorders>
            <w:shd w:val="clear" w:color="auto" w:fill="DADADA"/>
            <w:vAlign w:val="center"/>
          </w:tcPr>
          <w:p w:rsidR="00435210" w:rsidRPr="002D372A" w:rsidP="002D372A" w14:paraId="49A354D4" w14:textId="77777777">
            <w:pPr>
              <w:keepNext/>
              <w:spacing w:after="0" w:line="240" w:lineRule="auto"/>
              <w:ind w:left="75" w:right="133"/>
              <w:jc w:val="center"/>
              <w:rPr>
                <w:rFonts w:ascii="Times New Roman" w:hAnsi="Times New Roman" w:cs="Times New Roman"/>
                <w:b/>
                <w:sz w:val="20"/>
                <w:szCs w:val="20"/>
              </w:rPr>
            </w:pPr>
            <w:r w:rsidRPr="002D372A">
              <w:rPr>
                <w:rFonts w:ascii="Times New Roman" w:hAnsi="Times New Roman" w:cs="Times New Roman"/>
                <w:b/>
                <w:sz w:val="20"/>
                <w:szCs w:val="20"/>
              </w:rPr>
              <w:t>Unit Cost</w:t>
            </w:r>
          </w:p>
        </w:tc>
        <w:tc>
          <w:tcPr>
            <w:tcW w:w="1770" w:type="dxa"/>
            <w:tcBorders>
              <w:left w:val="single" w:sz="6" w:space="0" w:color="000000"/>
              <w:right w:val="single" w:sz="6" w:space="0" w:color="000000"/>
            </w:tcBorders>
            <w:shd w:val="clear" w:color="auto" w:fill="DADADA"/>
            <w:vAlign w:val="center"/>
          </w:tcPr>
          <w:p w:rsidR="00435210" w:rsidRPr="002D372A" w:rsidP="00FA04B8" w14:paraId="19FA3823" w14:textId="77777777">
            <w:pPr>
              <w:keepNext/>
              <w:spacing w:after="0" w:line="240" w:lineRule="auto"/>
              <w:jc w:val="center"/>
              <w:rPr>
                <w:rFonts w:ascii="Times New Roman" w:hAnsi="Times New Roman" w:cs="Times New Roman"/>
                <w:b/>
                <w:sz w:val="20"/>
                <w:szCs w:val="20"/>
              </w:rPr>
            </w:pPr>
            <w:r w:rsidRPr="002D372A">
              <w:rPr>
                <w:rFonts w:ascii="Times New Roman" w:hAnsi="Times New Roman" w:cs="Times New Roman"/>
                <w:b/>
                <w:sz w:val="20"/>
                <w:szCs w:val="20"/>
              </w:rPr>
              <w:t>Facilities</w:t>
            </w:r>
          </w:p>
        </w:tc>
        <w:tc>
          <w:tcPr>
            <w:tcW w:w="1812" w:type="dxa"/>
            <w:tcBorders>
              <w:left w:val="single" w:sz="6" w:space="0" w:color="000000"/>
              <w:right w:val="single" w:sz="6" w:space="0" w:color="000000"/>
            </w:tcBorders>
            <w:shd w:val="clear" w:color="auto" w:fill="DADADA"/>
            <w:vAlign w:val="center"/>
          </w:tcPr>
          <w:p w:rsidR="00435210" w:rsidRPr="002D372A" w:rsidP="002D372A" w14:paraId="2F485881" w14:textId="77777777">
            <w:pPr>
              <w:keepNext/>
              <w:spacing w:after="0" w:line="240" w:lineRule="auto"/>
              <w:ind w:left="99" w:right="238"/>
              <w:jc w:val="center"/>
              <w:rPr>
                <w:rFonts w:ascii="Times New Roman" w:hAnsi="Times New Roman" w:cs="Times New Roman"/>
                <w:b/>
                <w:sz w:val="20"/>
                <w:szCs w:val="20"/>
              </w:rPr>
            </w:pPr>
            <w:r w:rsidRPr="002D372A">
              <w:rPr>
                <w:rFonts w:ascii="Times New Roman" w:hAnsi="Times New Roman" w:cs="Times New Roman"/>
                <w:b/>
                <w:sz w:val="20"/>
                <w:szCs w:val="20"/>
              </w:rPr>
              <w:t xml:space="preserve">Total </w:t>
            </w:r>
            <w:r w:rsidR="00A5291C">
              <w:rPr>
                <w:rFonts w:ascii="Times New Roman" w:hAnsi="Times New Roman" w:cs="Times New Roman"/>
                <w:b/>
                <w:sz w:val="20"/>
                <w:szCs w:val="20"/>
              </w:rPr>
              <w:t>Annual</w:t>
            </w:r>
            <w:r w:rsidRPr="002D372A" w:rsidR="00A5291C">
              <w:rPr>
                <w:rFonts w:ascii="Times New Roman" w:hAnsi="Times New Roman" w:cs="Times New Roman"/>
                <w:b/>
                <w:sz w:val="20"/>
                <w:szCs w:val="20"/>
              </w:rPr>
              <w:t xml:space="preserve"> </w:t>
            </w:r>
            <w:r w:rsidRPr="002D372A">
              <w:rPr>
                <w:rFonts w:ascii="Times New Roman" w:hAnsi="Times New Roman" w:cs="Times New Roman"/>
                <w:b/>
                <w:sz w:val="20"/>
                <w:szCs w:val="20"/>
              </w:rPr>
              <w:t>Cost</w:t>
            </w:r>
          </w:p>
        </w:tc>
      </w:tr>
      <w:tr w14:paraId="7BF566BC" w14:textId="77777777" w:rsidTr="002D372A">
        <w:tblPrEx>
          <w:tblW w:w="0" w:type="auto"/>
          <w:jc w:val="center"/>
          <w:tblLayout w:type="fixed"/>
          <w:tblCellMar>
            <w:left w:w="0" w:type="dxa"/>
            <w:right w:w="0" w:type="dxa"/>
          </w:tblCellMar>
          <w:tblLook w:val="01E0"/>
        </w:tblPrEx>
        <w:trPr>
          <w:trHeight w:val="250"/>
          <w:jc w:val="center"/>
        </w:trPr>
        <w:tc>
          <w:tcPr>
            <w:tcW w:w="1782" w:type="dxa"/>
            <w:tcBorders>
              <w:left w:val="single" w:sz="6" w:space="0" w:color="000000"/>
              <w:right w:val="single" w:sz="6" w:space="0" w:color="000000"/>
            </w:tcBorders>
            <w:vAlign w:val="bottom"/>
          </w:tcPr>
          <w:p w:rsidR="004873A3" w:rsidRPr="002D372A" w:rsidP="00576F93" w14:paraId="6A74FB76" w14:textId="77777777">
            <w:pPr>
              <w:keepNext/>
              <w:spacing w:after="0" w:line="240" w:lineRule="auto"/>
              <w:ind w:left="127"/>
              <w:rPr>
                <w:rFonts w:ascii="Times New Roman" w:hAnsi="Times New Roman" w:cs="Times New Roman"/>
                <w:sz w:val="20"/>
                <w:szCs w:val="20"/>
              </w:rPr>
            </w:pPr>
            <w:r w:rsidRPr="002D372A">
              <w:rPr>
                <w:rFonts w:ascii="Times New Roman" w:hAnsi="Times New Roman" w:cs="Times New Roman"/>
                <w:sz w:val="20"/>
                <w:szCs w:val="20"/>
              </w:rPr>
              <w:t>Simple</w:t>
            </w:r>
          </w:p>
        </w:tc>
        <w:tc>
          <w:tcPr>
            <w:tcW w:w="1440" w:type="dxa"/>
            <w:tcBorders>
              <w:left w:val="single" w:sz="6" w:space="0" w:color="000000"/>
              <w:right w:val="single" w:sz="6" w:space="0" w:color="000000"/>
            </w:tcBorders>
            <w:vAlign w:val="bottom"/>
          </w:tcPr>
          <w:p w:rsidR="004873A3" w:rsidRPr="002D372A" w:rsidP="00576F93" w14:paraId="24DFCD4A" w14:textId="77777777">
            <w:pPr>
              <w:keepNext/>
              <w:spacing w:after="0" w:line="240" w:lineRule="auto"/>
              <w:ind w:left="16"/>
              <w:jc w:val="center"/>
              <w:rPr>
                <w:rFonts w:ascii="Times New Roman" w:hAnsi="Times New Roman" w:cs="Times New Roman"/>
                <w:sz w:val="20"/>
                <w:szCs w:val="20"/>
              </w:rPr>
            </w:pPr>
            <w:r w:rsidRPr="002D372A">
              <w:rPr>
                <w:rFonts w:ascii="Times New Roman" w:hAnsi="Times New Roman" w:cs="Times New Roman"/>
                <w:sz w:val="20"/>
                <w:szCs w:val="20"/>
              </w:rPr>
              <w:t>1</w:t>
            </w:r>
          </w:p>
        </w:tc>
        <w:tc>
          <w:tcPr>
            <w:tcW w:w="1350" w:type="dxa"/>
            <w:tcBorders>
              <w:left w:val="single" w:sz="6" w:space="0" w:color="000000"/>
              <w:right w:val="single" w:sz="6" w:space="0" w:color="000000"/>
            </w:tcBorders>
            <w:vAlign w:val="bottom"/>
          </w:tcPr>
          <w:p w:rsidR="004873A3" w:rsidRPr="002D372A" w:rsidP="002D372A" w14:paraId="38D3472E" w14:textId="77777777">
            <w:pPr>
              <w:keepNext/>
              <w:spacing w:after="0" w:line="240" w:lineRule="auto"/>
              <w:ind w:left="75" w:right="133"/>
              <w:jc w:val="center"/>
              <w:rPr>
                <w:rFonts w:ascii="Times New Roman" w:hAnsi="Times New Roman" w:cs="Times New Roman"/>
                <w:color w:val="000000"/>
                <w:sz w:val="20"/>
                <w:szCs w:val="20"/>
              </w:rPr>
            </w:pPr>
            <w:r w:rsidRPr="002D372A">
              <w:rPr>
                <w:rFonts w:ascii="Times New Roman" w:hAnsi="Times New Roman" w:cs="Times New Roman"/>
                <w:color w:val="000000"/>
                <w:sz w:val="20"/>
                <w:szCs w:val="20"/>
              </w:rPr>
              <w:t>$1</w:t>
            </w:r>
            <w:r w:rsidR="00323F17">
              <w:rPr>
                <w:rFonts w:ascii="Times New Roman" w:hAnsi="Times New Roman" w:cs="Times New Roman"/>
                <w:color w:val="000000"/>
                <w:sz w:val="20"/>
                <w:szCs w:val="20"/>
              </w:rPr>
              <w:t>85</w:t>
            </w:r>
          </w:p>
        </w:tc>
        <w:tc>
          <w:tcPr>
            <w:tcW w:w="1770" w:type="dxa"/>
            <w:tcBorders>
              <w:left w:val="single" w:sz="6" w:space="0" w:color="000000"/>
              <w:right w:val="single" w:sz="6" w:space="0" w:color="000000"/>
            </w:tcBorders>
            <w:vAlign w:val="bottom"/>
          </w:tcPr>
          <w:p w:rsidR="004873A3" w:rsidRPr="002D372A" w:rsidP="002D372A" w14:paraId="1C5E8B80" w14:textId="77777777">
            <w:pPr>
              <w:keepNext/>
              <w:spacing w:after="0" w:line="240" w:lineRule="auto"/>
              <w:ind w:left="72" w:right="164"/>
              <w:jc w:val="center"/>
              <w:rPr>
                <w:rFonts w:ascii="Times New Roman" w:hAnsi="Times New Roman" w:cs="Times New Roman"/>
                <w:sz w:val="20"/>
                <w:szCs w:val="20"/>
              </w:rPr>
            </w:pPr>
            <w:r w:rsidRPr="002D372A">
              <w:rPr>
                <w:rFonts w:ascii="Times New Roman" w:hAnsi="Times New Roman" w:cs="Times New Roman"/>
                <w:sz w:val="20"/>
                <w:szCs w:val="20"/>
              </w:rPr>
              <w:t>10,082</w:t>
            </w:r>
          </w:p>
        </w:tc>
        <w:tc>
          <w:tcPr>
            <w:tcW w:w="1812" w:type="dxa"/>
            <w:tcBorders>
              <w:left w:val="single" w:sz="6" w:space="0" w:color="000000"/>
              <w:right w:val="single" w:sz="6" w:space="0" w:color="000000"/>
            </w:tcBorders>
            <w:vAlign w:val="bottom"/>
          </w:tcPr>
          <w:p w:rsidR="004873A3" w:rsidRPr="002D372A" w:rsidP="002D372A" w14:paraId="721A7487" w14:textId="77777777">
            <w:pPr>
              <w:keepNext/>
              <w:spacing w:after="0" w:line="240" w:lineRule="auto"/>
              <w:ind w:left="99"/>
              <w:jc w:val="center"/>
              <w:rPr>
                <w:rFonts w:ascii="Times New Roman" w:hAnsi="Times New Roman" w:cs="Times New Roman"/>
                <w:color w:val="000000"/>
                <w:sz w:val="20"/>
                <w:szCs w:val="20"/>
              </w:rPr>
            </w:pPr>
            <w:r w:rsidRPr="002D372A">
              <w:rPr>
                <w:rFonts w:ascii="Times New Roman" w:hAnsi="Times New Roman" w:cs="Times New Roman"/>
                <w:color w:val="000000"/>
                <w:sz w:val="20"/>
                <w:szCs w:val="20"/>
              </w:rPr>
              <w:t>$</w:t>
            </w:r>
            <w:r w:rsidR="00323F17">
              <w:rPr>
                <w:rFonts w:ascii="Times New Roman" w:hAnsi="Times New Roman" w:cs="Times New Roman"/>
                <w:color w:val="000000"/>
                <w:sz w:val="20"/>
                <w:szCs w:val="20"/>
              </w:rPr>
              <w:t>1,865,424</w:t>
            </w:r>
          </w:p>
        </w:tc>
      </w:tr>
      <w:tr w14:paraId="3709AF1F" w14:textId="77777777" w:rsidTr="002D372A">
        <w:tblPrEx>
          <w:tblW w:w="0" w:type="auto"/>
          <w:jc w:val="center"/>
          <w:tblLayout w:type="fixed"/>
          <w:tblCellMar>
            <w:left w:w="0" w:type="dxa"/>
            <w:right w:w="0" w:type="dxa"/>
          </w:tblCellMar>
          <w:tblLook w:val="01E0"/>
        </w:tblPrEx>
        <w:trPr>
          <w:trHeight w:val="250"/>
          <w:jc w:val="center"/>
        </w:trPr>
        <w:tc>
          <w:tcPr>
            <w:tcW w:w="1782" w:type="dxa"/>
            <w:tcBorders>
              <w:left w:val="single" w:sz="6" w:space="0" w:color="000000"/>
              <w:right w:val="single" w:sz="6" w:space="0" w:color="000000"/>
            </w:tcBorders>
            <w:vAlign w:val="bottom"/>
          </w:tcPr>
          <w:p w:rsidR="004873A3" w:rsidRPr="002D372A" w:rsidP="00576F93" w14:paraId="107338B4" w14:textId="77777777">
            <w:pPr>
              <w:keepNext/>
              <w:spacing w:after="0" w:line="240" w:lineRule="auto"/>
              <w:ind w:left="127"/>
              <w:rPr>
                <w:rFonts w:ascii="Times New Roman" w:hAnsi="Times New Roman" w:cs="Times New Roman"/>
                <w:sz w:val="20"/>
                <w:szCs w:val="20"/>
              </w:rPr>
            </w:pPr>
            <w:r w:rsidRPr="002D372A">
              <w:rPr>
                <w:rFonts w:ascii="Times New Roman" w:hAnsi="Times New Roman" w:cs="Times New Roman"/>
                <w:sz w:val="20"/>
                <w:szCs w:val="20"/>
              </w:rPr>
              <w:t>Small Complex</w:t>
            </w:r>
          </w:p>
        </w:tc>
        <w:tc>
          <w:tcPr>
            <w:tcW w:w="1440" w:type="dxa"/>
            <w:tcBorders>
              <w:left w:val="single" w:sz="6" w:space="0" w:color="000000"/>
              <w:right w:val="single" w:sz="6" w:space="0" w:color="000000"/>
            </w:tcBorders>
            <w:vAlign w:val="bottom"/>
          </w:tcPr>
          <w:p w:rsidR="004873A3" w:rsidRPr="002D372A" w:rsidP="00576F93" w14:paraId="2F53155A" w14:textId="77777777">
            <w:pPr>
              <w:keepNext/>
              <w:spacing w:after="0" w:line="240" w:lineRule="auto"/>
              <w:ind w:left="16"/>
              <w:jc w:val="center"/>
              <w:rPr>
                <w:rFonts w:ascii="Times New Roman" w:hAnsi="Times New Roman" w:cs="Times New Roman"/>
                <w:sz w:val="20"/>
                <w:szCs w:val="20"/>
              </w:rPr>
            </w:pPr>
            <w:r w:rsidRPr="002D372A">
              <w:rPr>
                <w:rFonts w:ascii="Times New Roman" w:hAnsi="Times New Roman" w:cs="Times New Roman"/>
                <w:sz w:val="20"/>
                <w:szCs w:val="20"/>
              </w:rPr>
              <w:t>1</w:t>
            </w:r>
          </w:p>
        </w:tc>
        <w:tc>
          <w:tcPr>
            <w:tcW w:w="1350" w:type="dxa"/>
            <w:tcBorders>
              <w:left w:val="single" w:sz="6" w:space="0" w:color="000000"/>
              <w:right w:val="single" w:sz="6" w:space="0" w:color="000000"/>
            </w:tcBorders>
            <w:vAlign w:val="bottom"/>
          </w:tcPr>
          <w:p w:rsidR="004873A3" w:rsidRPr="002D372A" w:rsidP="002D372A" w14:paraId="2166EDDF" w14:textId="77777777">
            <w:pPr>
              <w:keepNext/>
              <w:spacing w:after="0" w:line="240" w:lineRule="auto"/>
              <w:ind w:left="75" w:right="133"/>
              <w:jc w:val="center"/>
              <w:rPr>
                <w:rFonts w:ascii="Times New Roman" w:hAnsi="Times New Roman" w:cs="Times New Roman"/>
                <w:sz w:val="20"/>
                <w:szCs w:val="20"/>
              </w:rPr>
            </w:pPr>
            <w:r w:rsidRPr="002D372A">
              <w:rPr>
                <w:rFonts w:ascii="Times New Roman" w:hAnsi="Times New Roman" w:cs="Times New Roman"/>
                <w:color w:val="000000"/>
                <w:sz w:val="20"/>
                <w:szCs w:val="20"/>
              </w:rPr>
              <w:t>$47</w:t>
            </w:r>
            <w:r w:rsidR="00323F17">
              <w:rPr>
                <w:rFonts w:ascii="Times New Roman" w:hAnsi="Times New Roman" w:cs="Times New Roman"/>
                <w:color w:val="000000"/>
                <w:sz w:val="20"/>
                <w:szCs w:val="20"/>
              </w:rPr>
              <w:t>3</w:t>
            </w:r>
          </w:p>
        </w:tc>
        <w:tc>
          <w:tcPr>
            <w:tcW w:w="1770" w:type="dxa"/>
            <w:tcBorders>
              <w:left w:val="single" w:sz="6" w:space="0" w:color="000000"/>
              <w:right w:val="single" w:sz="6" w:space="0" w:color="000000"/>
            </w:tcBorders>
            <w:vAlign w:val="bottom"/>
          </w:tcPr>
          <w:p w:rsidR="004873A3" w:rsidRPr="002D372A" w:rsidP="002D372A" w14:paraId="04C04521" w14:textId="77777777">
            <w:pPr>
              <w:keepNext/>
              <w:spacing w:after="0" w:line="240" w:lineRule="auto"/>
              <w:ind w:left="72" w:right="164"/>
              <w:jc w:val="center"/>
              <w:rPr>
                <w:rFonts w:ascii="Times New Roman" w:hAnsi="Times New Roman" w:cs="Times New Roman"/>
                <w:sz w:val="20"/>
                <w:szCs w:val="20"/>
              </w:rPr>
            </w:pPr>
            <w:r w:rsidRPr="002D372A">
              <w:rPr>
                <w:rFonts w:ascii="Times New Roman" w:hAnsi="Times New Roman" w:cs="Times New Roman"/>
                <w:sz w:val="20"/>
                <w:szCs w:val="20"/>
              </w:rPr>
              <w:t>1,050</w:t>
            </w:r>
          </w:p>
        </w:tc>
        <w:tc>
          <w:tcPr>
            <w:tcW w:w="1812" w:type="dxa"/>
            <w:tcBorders>
              <w:left w:val="single" w:sz="6" w:space="0" w:color="000000"/>
              <w:right w:val="single" w:sz="6" w:space="0" w:color="000000"/>
            </w:tcBorders>
            <w:vAlign w:val="bottom"/>
          </w:tcPr>
          <w:p w:rsidR="004873A3" w:rsidRPr="002D372A" w:rsidP="002D372A" w14:paraId="5F28B08B" w14:textId="77777777">
            <w:pPr>
              <w:keepNext/>
              <w:spacing w:after="0" w:line="240" w:lineRule="auto"/>
              <w:ind w:left="99"/>
              <w:jc w:val="center"/>
              <w:rPr>
                <w:rFonts w:ascii="Times New Roman" w:hAnsi="Times New Roman" w:cs="Times New Roman"/>
                <w:sz w:val="20"/>
                <w:szCs w:val="20"/>
              </w:rPr>
            </w:pPr>
            <w:r w:rsidRPr="002D372A">
              <w:rPr>
                <w:rFonts w:ascii="Times New Roman" w:hAnsi="Times New Roman" w:cs="Times New Roman"/>
                <w:color w:val="000000"/>
                <w:sz w:val="20"/>
                <w:szCs w:val="20"/>
              </w:rPr>
              <w:t>$</w:t>
            </w:r>
            <w:r w:rsidR="00446238">
              <w:rPr>
                <w:rFonts w:ascii="Times New Roman" w:hAnsi="Times New Roman" w:cs="Times New Roman"/>
                <w:color w:val="000000"/>
                <w:sz w:val="20"/>
                <w:szCs w:val="20"/>
              </w:rPr>
              <w:t>496,941</w:t>
            </w:r>
          </w:p>
        </w:tc>
      </w:tr>
      <w:tr w14:paraId="593F813E" w14:textId="77777777" w:rsidTr="002D372A">
        <w:tblPrEx>
          <w:tblW w:w="0" w:type="auto"/>
          <w:jc w:val="center"/>
          <w:tblLayout w:type="fixed"/>
          <w:tblCellMar>
            <w:left w:w="0" w:type="dxa"/>
            <w:right w:w="0" w:type="dxa"/>
          </w:tblCellMar>
          <w:tblLook w:val="01E0"/>
        </w:tblPrEx>
        <w:trPr>
          <w:trHeight w:val="237"/>
          <w:jc w:val="center"/>
        </w:trPr>
        <w:tc>
          <w:tcPr>
            <w:tcW w:w="1782" w:type="dxa"/>
            <w:tcBorders>
              <w:left w:val="single" w:sz="6" w:space="0" w:color="000000"/>
              <w:bottom w:val="single" w:sz="6" w:space="0" w:color="000000"/>
              <w:right w:val="single" w:sz="6" w:space="0" w:color="000000"/>
            </w:tcBorders>
            <w:vAlign w:val="bottom"/>
          </w:tcPr>
          <w:p w:rsidR="004873A3" w:rsidRPr="002D372A" w:rsidP="00576F93" w14:paraId="098FFDF3" w14:textId="77777777">
            <w:pPr>
              <w:spacing w:after="0" w:line="240" w:lineRule="auto"/>
              <w:ind w:left="127"/>
              <w:rPr>
                <w:rFonts w:ascii="Times New Roman" w:hAnsi="Times New Roman" w:cs="Times New Roman"/>
                <w:sz w:val="20"/>
                <w:szCs w:val="20"/>
              </w:rPr>
            </w:pPr>
            <w:r w:rsidRPr="002D372A">
              <w:rPr>
                <w:rFonts w:ascii="Times New Roman" w:hAnsi="Times New Roman" w:cs="Times New Roman"/>
                <w:sz w:val="20"/>
                <w:szCs w:val="20"/>
              </w:rPr>
              <w:t>Large Complex</w:t>
            </w:r>
          </w:p>
        </w:tc>
        <w:tc>
          <w:tcPr>
            <w:tcW w:w="1440" w:type="dxa"/>
            <w:tcBorders>
              <w:left w:val="single" w:sz="6" w:space="0" w:color="000000"/>
              <w:bottom w:val="single" w:sz="6" w:space="0" w:color="000000"/>
              <w:right w:val="single" w:sz="6" w:space="0" w:color="000000"/>
            </w:tcBorders>
            <w:vAlign w:val="bottom"/>
          </w:tcPr>
          <w:p w:rsidR="004873A3" w:rsidRPr="002D372A" w:rsidP="00576F93" w14:paraId="740E03E7" w14:textId="77777777">
            <w:pPr>
              <w:spacing w:after="0" w:line="240" w:lineRule="auto"/>
              <w:ind w:left="16"/>
              <w:jc w:val="center"/>
              <w:rPr>
                <w:rFonts w:ascii="Times New Roman" w:hAnsi="Times New Roman" w:cs="Times New Roman"/>
                <w:sz w:val="20"/>
                <w:szCs w:val="20"/>
              </w:rPr>
            </w:pPr>
            <w:r w:rsidRPr="002D372A">
              <w:rPr>
                <w:rFonts w:ascii="Times New Roman" w:hAnsi="Times New Roman" w:cs="Times New Roman"/>
                <w:sz w:val="20"/>
                <w:szCs w:val="20"/>
              </w:rPr>
              <w:t>1</w:t>
            </w:r>
          </w:p>
        </w:tc>
        <w:tc>
          <w:tcPr>
            <w:tcW w:w="1350" w:type="dxa"/>
            <w:tcBorders>
              <w:left w:val="single" w:sz="6" w:space="0" w:color="000000"/>
              <w:bottom w:val="single" w:sz="6" w:space="0" w:color="000000"/>
              <w:right w:val="single" w:sz="6" w:space="0" w:color="000000"/>
            </w:tcBorders>
            <w:vAlign w:val="bottom"/>
          </w:tcPr>
          <w:p w:rsidR="004873A3" w:rsidRPr="002D372A" w:rsidP="002D372A" w14:paraId="58B8B0B3" w14:textId="77777777">
            <w:pPr>
              <w:spacing w:after="0" w:line="240" w:lineRule="auto"/>
              <w:ind w:left="75" w:right="133"/>
              <w:jc w:val="center"/>
              <w:rPr>
                <w:rFonts w:ascii="Times New Roman" w:hAnsi="Times New Roman" w:cs="Times New Roman"/>
                <w:sz w:val="20"/>
                <w:szCs w:val="20"/>
              </w:rPr>
            </w:pPr>
            <w:r w:rsidRPr="002D372A">
              <w:rPr>
                <w:rFonts w:ascii="Times New Roman" w:hAnsi="Times New Roman" w:cs="Times New Roman"/>
                <w:color w:val="000000"/>
                <w:sz w:val="20"/>
                <w:szCs w:val="20"/>
              </w:rPr>
              <w:t>$6,</w:t>
            </w:r>
            <w:r w:rsidR="00323F17">
              <w:rPr>
                <w:rFonts w:ascii="Times New Roman" w:hAnsi="Times New Roman" w:cs="Times New Roman"/>
                <w:color w:val="000000"/>
                <w:sz w:val="20"/>
                <w:szCs w:val="20"/>
              </w:rPr>
              <w:t>727</w:t>
            </w:r>
          </w:p>
        </w:tc>
        <w:tc>
          <w:tcPr>
            <w:tcW w:w="1770" w:type="dxa"/>
            <w:tcBorders>
              <w:left w:val="single" w:sz="6" w:space="0" w:color="000000"/>
              <w:bottom w:val="single" w:sz="6" w:space="0" w:color="000000"/>
              <w:right w:val="single" w:sz="6" w:space="0" w:color="000000"/>
            </w:tcBorders>
            <w:vAlign w:val="bottom"/>
          </w:tcPr>
          <w:p w:rsidR="004873A3" w:rsidRPr="002D372A" w:rsidP="002D372A" w14:paraId="405F9F90" w14:textId="77777777">
            <w:pPr>
              <w:spacing w:after="0" w:line="240" w:lineRule="auto"/>
              <w:ind w:left="72" w:right="155"/>
              <w:jc w:val="center"/>
              <w:rPr>
                <w:rFonts w:ascii="Times New Roman" w:hAnsi="Times New Roman" w:cs="Times New Roman"/>
                <w:sz w:val="20"/>
                <w:szCs w:val="20"/>
              </w:rPr>
            </w:pPr>
            <w:r w:rsidRPr="002D372A">
              <w:rPr>
                <w:rFonts w:ascii="Times New Roman" w:hAnsi="Times New Roman" w:cs="Times New Roman"/>
                <w:sz w:val="20"/>
                <w:szCs w:val="20"/>
              </w:rPr>
              <w:t>608</w:t>
            </w:r>
          </w:p>
        </w:tc>
        <w:tc>
          <w:tcPr>
            <w:tcW w:w="1812" w:type="dxa"/>
            <w:tcBorders>
              <w:left w:val="single" w:sz="6" w:space="0" w:color="000000"/>
              <w:bottom w:val="single" w:sz="6" w:space="0" w:color="000000"/>
              <w:right w:val="single" w:sz="6" w:space="0" w:color="000000"/>
            </w:tcBorders>
            <w:vAlign w:val="bottom"/>
          </w:tcPr>
          <w:p w:rsidR="004873A3" w:rsidRPr="002D372A" w:rsidP="002D372A" w14:paraId="2F793DAA" w14:textId="77777777">
            <w:pPr>
              <w:spacing w:after="0" w:line="240" w:lineRule="auto"/>
              <w:ind w:left="99"/>
              <w:jc w:val="center"/>
              <w:rPr>
                <w:rFonts w:ascii="Times New Roman" w:hAnsi="Times New Roman" w:cs="Times New Roman"/>
                <w:sz w:val="20"/>
                <w:szCs w:val="20"/>
              </w:rPr>
            </w:pPr>
            <w:r w:rsidRPr="002D372A">
              <w:rPr>
                <w:rFonts w:ascii="Times New Roman" w:hAnsi="Times New Roman" w:cs="Times New Roman"/>
                <w:color w:val="000000"/>
                <w:sz w:val="20"/>
                <w:szCs w:val="20"/>
              </w:rPr>
              <w:t>$</w:t>
            </w:r>
            <w:r w:rsidR="00446238">
              <w:rPr>
                <w:rFonts w:ascii="Times New Roman" w:hAnsi="Times New Roman" w:cs="Times New Roman"/>
                <w:color w:val="000000"/>
                <w:sz w:val="20"/>
                <w:szCs w:val="20"/>
              </w:rPr>
              <w:t>4,089,892</w:t>
            </w:r>
          </w:p>
        </w:tc>
      </w:tr>
      <w:tr w14:paraId="6058C6DB" w14:textId="77777777" w:rsidTr="002D372A">
        <w:tblPrEx>
          <w:tblW w:w="0" w:type="auto"/>
          <w:jc w:val="center"/>
          <w:tblLayout w:type="fixed"/>
          <w:tblCellMar>
            <w:left w:w="0" w:type="dxa"/>
            <w:right w:w="0" w:type="dxa"/>
          </w:tblCellMar>
          <w:tblLook w:val="01E0"/>
        </w:tblPrEx>
        <w:trPr>
          <w:trHeight w:val="255"/>
          <w:jc w:val="center"/>
        </w:trPr>
        <w:tc>
          <w:tcPr>
            <w:tcW w:w="1782" w:type="dxa"/>
            <w:tcBorders>
              <w:top w:val="single" w:sz="6" w:space="0" w:color="000000"/>
              <w:left w:val="single" w:sz="6" w:space="0" w:color="000000"/>
              <w:bottom w:val="single" w:sz="6" w:space="0" w:color="000000"/>
              <w:right w:val="single" w:sz="6" w:space="0" w:color="000000"/>
            </w:tcBorders>
            <w:vAlign w:val="bottom"/>
          </w:tcPr>
          <w:p w:rsidR="004873A3" w:rsidRPr="002D372A" w:rsidP="00576F93" w14:paraId="744E033C" w14:textId="77777777">
            <w:pPr>
              <w:spacing w:after="0" w:line="240" w:lineRule="auto"/>
              <w:ind w:left="246" w:right="210"/>
              <w:rPr>
                <w:rFonts w:ascii="Times New Roman" w:hAnsi="Times New Roman" w:cs="Times New Roman"/>
                <w:b/>
                <w:sz w:val="20"/>
                <w:szCs w:val="20"/>
              </w:rPr>
            </w:pPr>
            <w:r w:rsidRPr="002D372A">
              <w:rPr>
                <w:rFonts w:ascii="Times New Roman" w:hAnsi="Times New Roman" w:cs="Times New Roman"/>
                <w:b/>
                <w:sz w:val="20"/>
                <w:szCs w:val="20"/>
              </w:rPr>
              <w:t>Total</w:t>
            </w:r>
          </w:p>
        </w:tc>
        <w:tc>
          <w:tcPr>
            <w:tcW w:w="1440" w:type="dxa"/>
            <w:tcBorders>
              <w:top w:val="single" w:sz="6" w:space="0" w:color="000000"/>
              <w:left w:val="single" w:sz="6" w:space="0" w:color="000000"/>
              <w:bottom w:val="single" w:sz="6" w:space="0" w:color="000000"/>
              <w:right w:val="single" w:sz="6" w:space="0" w:color="000000"/>
            </w:tcBorders>
            <w:vAlign w:val="bottom"/>
          </w:tcPr>
          <w:p w:rsidR="004873A3" w:rsidRPr="002D372A" w:rsidP="00576F93" w14:paraId="6FDEFB39" w14:textId="77777777">
            <w:pPr>
              <w:spacing w:after="0" w:line="240" w:lineRule="auto"/>
              <w:jc w:val="center"/>
              <w:rPr>
                <w:rFonts w:ascii="Times New Roman" w:hAnsi="Times New Roman" w:cs="Times New Roman"/>
                <w:sz w:val="20"/>
                <w:szCs w:val="20"/>
              </w:rPr>
            </w:pPr>
          </w:p>
        </w:tc>
        <w:tc>
          <w:tcPr>
            <w:tcW w:w="1350" w:type="dxa"/>
            <w:tcBorders>
              <w:top w:val="single" w:sz="6" w:space="0" w:color="000000"/>
              <w:left w:val="single" w:sz="6" w:space="0" w:color="000000"/>
              <w:bottom w:val="single" w:sz="6" w:space="0" w:color="000000"/>
              <w:right w:val="single" w:sz="6" w:space="0" w:color="000000"/>
            </w:tcBorders>
            <w:vAlign w:val="bottom"/>
          </w:tcPr>
          <w:p w:rsidR="004873A3" w:rsidRPr="002D372A" w:rsidP="00576F93" w14:paraId="58589F3C" w14:textId="77777777">
            <w:pPr>
              <w:spacing w:after="0" w:line="240" w:lineRule="auto"/>
              <w:jc w:val="center"/>
              <w:rPr>
                <w:rFonts w:ascii="Times New Roman" w:hAnsi="Times New Roman" w:cs="Times New Roman"/>
                <w:sz w:val="20"/>
                <w:szCs w:val="20"/>
              </w:rPr>
            </w:pPr>
          </w:p>
        </w:tc>
        <w:tc>
          <w:tcPr>
            <w:tcW w:w="1770" w:type="dxa"/>
            <w:tcBorders>
              <w:top w:val="single" w:sz="6" w:space="0" w:color="000000"/>
              <w:left w:val="single" w:sz="6" w:space="0" w:color="000000"/>
              <w:bottom w:val="single" w:sz="6" w:space="0" w:color="000000"/>
              <w:right w:val="single" w:sz="6" w:space="0" w:color="000000"/>
            </w:tcBorders>
            <w:vAlign w:val="bottom"/>
          </w:tcPr>
          <w:p w:rsidR="004873A3" w:rsidRPr="002D372A" w:rsidP="002D372A" w14:paraId="5AE19F6E" w14:textId="77777777">
            <w:pPr>
              <w:spacing w:after="0" w:line="240" w:lineRule="auto"/>
              <w:ind w:left="72"/>
              <w:jc w:val="center"/>
              <w:rPr>
                <w:rFonts w:ascii="Times New Roman" w:hAnsi="Times New Roman" w:cs="Times New Roman"/>
                <w:b/>
                <w:sz w:val="20"/>
                <w:szCs w:val="20"/>
              </w:rPr>
            </w:pPr>
            <w:r w:rsidRPr="002D372A">
              <w:rPr>
                <w:rFonts w:ascii="Times New Roman" w:hAnsi="Times New Roman" w:cs="Times New Roman"/>
                <w:b/>
                <w:sz w:val="20"/>
                <w:szCs w:val="20"/>
              </w:rPr>
              <w:t>11,740</w:t>
            </w:r>
          </w:p>
        </w:tc>
        <w:tc>
          <w:tcPr>
            <w:tcW w:w="1812" w:type="dxa"/>
            <w:tcBorders>
              <w:top w:val="single" w:sz="6" w:space="0" w:color="000000"/>
              <w:left w:val="single" w:sz="6" w:space="0" w:color="000000"/>
              <w:bottom w:val="single" w:sz="6" w:space="0" w:color="000000"/>
              <w:right w:val="single" w:sz="6" w:space="0" w:color="000000"/>
            </w:tcBorders>
            <w:vAlign w:val="bottom"/>
          </w:tcPr>
          <w:p w:rsidR="004873A3" w:rsidRPr="002D372A" w:rsidP="002D372A" w14:paraId="1CAE289D" w14:textId="77777777">
            <w:pPr>
              <w:spacing w:after="0" w:line="240" w:lineRule="auto"/>
              <w:ind w:left="99"/>
              <w:jc w:val="center"/>
              <w:rPr>
                <w:rFonts w:ascii="Times New Roman" w:hAnsi="Times New Roman" w:cs="Times New Roman"/>
                <w:b/>
                <w:sz w:val="20"/>
                <w:szCs w:val="20"/>
              </w:rPr>
            </w:pPr>
            <w:r w:rsidRPr="002D372A">
              <w:rPr>
                <w:rFonts w:ascii="Times New Roman" w:hAnsi="Times New Roman" w:cs="Times New Roman"/>
                <w:b/>
                <w:color w:val="000000"/>
                <w:sz w:val="20"/>
                <w:szCs w:val="20"/>
              </w:rPr>
              <w:t>$</w:t>
            </w:r>
            <w:r w:rsidR="00446238">
              <w:rPr>
                <w:rFonts w:ascii="Times New Roman" w:hAnsi="Times New Roman" w:cs="Times New Roman"/>
                <w:b/>
                <w:color w:val="000000"/>
                <w:sz w:val="20"/>
                <w:szCs w:val="20"/>
              </w:rPr>
              <w:t>6,</w:t>
            </w:r>
            <w:r w:rsidR="004E1490">
              <w:rPr>
                <w:rFonts w:ascii="Times New Roman" w:hAnsi="Times New Roman" w:cs="Times New Roman"/>
                <w:b/>
                <w:color w:val="000000"/>
                <w:sz w:val="20"/>
                <w:szCs w:val="20"/>
              </w:rPr>
              <w:t>452,257</w:t>
            </w:r>
          </w:p>
        </w:tc>
      </w:tr>
    </w:tbl>
    <w:p w:rsidR="00435210" w:rsidP="00576F93" w14:paraId="48D1A5C3" w14:textId="77777777">
      <w:pPr>
        <w:spacing w:after="0" w:line="240" w:lineRule="auto"/>
        <w:rPr>
          <w:rFonts w:ascii="Times New Roman" w:hAnsi="Times New Roman" w:cs="Times New Roman"/>
        </w:rPr>
      </w:pPr>
      <w:bookmarkStart w:id="324" w:name="5.6__New_Responders"/>
      <w:bookmarkStart w:id="325" w:name="_bookmark88"/>
      <w:bookmarkEnd w:id="323"/>
      <w:bookmarkEnd w:id="324"/>
      <w:bookmarkEnd w:id="325"/>
    </w:p>
    <w:p w:rsidR="00BE13EA" w:rsidRPr="00C9143C" w:rsidP="00C9143C" w14:paraId="2DD0FA64" w14:textId="77777777">
      <w:pPr>
        <w:pStyle w:val="Heading3"/>
        <w:rPr>
          <w:rFonts w:ascii="Times New Roman" w:hAnsi="Times New Roman" w:cs="Times New Roman"/>
          <w:sz w:val="22"/>
          <w:szCs w:val="22"/>
        </w:rPr>
      </w:pPr>
      <w:bookmarkStart w:id="326" w:name="_Toc141733172"/>
      <w:bookmarkStart w:id="327" w:name="_Toc142404076"/>
      <w:bookmarkStart w:id="328" w:name="_Toc144213884"/>
      <w:bookmarkStart w:id="329" w:name="_Toc144283629"/>
      <w:bookmarkStart w:id="330" w:name="_Toc144303567"/>
      <w:r w:rsidRPr="00C9143C">
        <w:rPr>
          <w:rFonts w:ascii="Times New Roman" w:hAnsi="Times New Roman" w:cs="Times New Roman"/>
          <w:sz w:val="22"/>
          <w:szCs w:val="22"/>
        </w:rPr>
        <w:t>5.</w:t>
      </w:r>
      <w:r w:rsidR="00637A49">
        <w:rPr>
          <w:rFonts w:ascii="Times New Roman" w:hAnsi="Times New Roman" w:cs="Times New Roman"/>
          <w:sz w:val="22"/>
          <w:szCs w:val="22"/>
        </w:rPr>
        <w:t>6</w:t>
      </w:r>
      <w:r w:rsidRPr="00C9143C">
        <w:rPr>
          <w:rFonts w:ascii="Times New Roman" w:hAnsi="Times New Roman" w:cs="Times New Roman"/>
          <w:sz w:val="22"/>
          <w:szCs w:val="22"/>
        </w:rPr>
        <w:t xml:space="preserve">.2 </w:t>
      </w:r>
      <w:r w:rsidRPr="00347BE9">
        <w:rPr>
          <w:rFonts w:ascii="Times New Roman" w:hAnsi="Times New Roman" w:cs="Times New Roman"/>
          <w:sz w:val="22"/>
          <w:szCs w:val="22"/>
        </w:rPr>
        <w:t>ID Verification</w:t>
      </w:r>
      <w:r w:rsidRPr="00347BE9" w:rsidR="00CD04FD">
        <w:rPr>
          <w:rFonts w:ascii="Times New Roman" w:hAnsi="Times New Roman" w:cs="Times New Roman"/>
          <w:sz w:val="22"/>
          <w:szCs w:val="22"/>
        </w:rPr>
        <w:t xml:space="preserve"> Cost to the Public</w:t>
      </w:r>
      <w:bookmarkEnd w:id="326"/>
      <w:bookmarkEnd w:id="327"/>
      <w:bookmarkEnd w:id="328"/>
      <w:bookmarkEnd w:id="329"/>
      <w:bookmarkEnd w:id="330"/>
    </w:p>
    <w:p w:rsidR="00294E80" w:rsidRPr="007B00D4" w:rsidP="00294E80" w14:paraId="45228BEB" w14:textId="77777777">
      <w:pPr>
        <w:spacing w:after="0" w:line="240" w:lineRule="auto"/>
        <w:ind w:firstLine="360"/>
        <w:rPr>
          <w:rFonts w:ascii="Times New Roman" w:hAnsi="Times New Roman" w:cs="Times New Roman"/>
        </w:rPr>
      </w:pPr>
      <w:r w:rsidRPr="00347BE9">
        <w:rPr>
          <w:rFonts w:ascii="Times New Roman" w:hAnsi="Times New Roman" w:cs="Times New Roman"/>
        </w:rPr>
        <w:t xml:space="preserve">EPA </w:t>
      </w:r>
      <w:r w:rsidRPr="00347BE9" w:rsidR="00DA2FA1">
        <w:rPr>
          <w:rFonts w:ascii="Times New Roman" w:hAnsi="Times New Roman" w:cs="Times New Roman"/>
        </w:rPr>
        <w:t xml:space="preserve">expects facilities will require </w:t>
      </w:r>
      <w:r w:rsidRPr="00347BE9" w:rsidR="00B16BFF">
        <w:rPr>
          <w:rFonts w:ascii="Times New Roman" w:hAnsi="Times New Roman" w:cs="Times New Roman"/>
        </w:rPr>
        <w:t>community members to verify their identification</w:t>
      </w:r>
      <w:r w:rsidRPr="00347BE9" w:rsidR="00BF7AE6">
        <w:rPr>
          <w:rFonts w:ascii="Times New Roman" w:hAnsi="Times New Roman" w:cs="Times New Roman"/>
        </w:rPr>
        <w:t xml:space="preserve"> </w:t>
      </w:r>
      <w:r w:rsidRPr="00347BE9" w:rsidR="000F37CA">
        <w:rPr>
          <w:rFonts w:ascii="Times New Roman" w:hAnsi="Times New Roman" w:cs="Times New Roman"/>
        </w:rPr>
        <w:t xml:space="preserve">before </w:t>
      </w:r>
      <w:r w:rsidRPr="00347BE9" w:rsidR="000F100C">
        <w:rPr>
          <w:rFonts w:ascii="Times New Roman" w:hAnsi="Times New Roman" w:cs="Times New Roman"/>
        </w:rPr>
        <w:t xml:space="preserve">disclosing the </w:t>
      </w:r>
      <w:r w:rsidRPr="00347BE9" w:rsidR="009C56F1">
        <w:rPr>
          <w:rFonts w:ascii="Times New Roman" w:hAnsi="Times New Roman" w:cs="Times New Roman"/>
        </w:rPr>
        <w:t xml:space="preserve">requested </w:t>
      </w:r>
      <w:r w:rsidRPr="00347BE9" w:rsidR="000F100C">
        <w:rPr>
          <w:rFonts w:ascii="Times New Roman" w:hAnsi="Times New Roman" w:cs="Times New Roman"/>
        </w:rPr>
        <w:t>information</w:t>
      </w:r>
      <w:r w:rsidRPr="00347BE9" w:rsidR="009C56F1">
        <w:rPr>
          <w:rFonts w:ascii="Times New Roman" w:hAnsi="Times New Roman" w:cs="Times New Roman"/>
        </w:rPr>
        <w:t xml:space="preserve">. </w:t>
      </w:r>
      <w:r w:rsidRPr="00347BE9" w:rsidR="002B22D0">
        <w:rPr>
          <w:rFonts w:ascii="Times New Roman" w:hAnsi="Times New Roman" w:cs="Times New Roman"/>
        </w:rPr>
        <w:t xml:space="preserve">EPA </w:t>
      </w:r>
      <w:r w:rsidRPr="00347BE9" w:rsidR="00496D4B">
        <w:rPr>
          <w:rFonts w:ascii="Times New Roman" w:hAnsi="Times New Roman" w:cs="Times New Roman"/>
        </w:rPr>
        <w:t xml:space="preserve">assumes </w:t>
      </w:r>
      <w:r w:rsidRPr="00347BE9" w:rsidR="00854B52">
        <w:rPr>
          <w:rFonts w:ascii="Times New Roman" w:hAnsi="Times New Roman" w:cs="Times New Roman"/>
        </w:rPr>
        <w:t xml:space="preserve">each year </w:t>
      </w:r>
      <w:r w:rsidRPr="00347BE9" w:rsidR="006E63A2">
        <w:rPr>
          <w:rFonts w:ascii="Times New Roman" w:hAnsi="Times New Roman" w:cs="Times New Roman"/>
        </w:rPr>
        <w:t xml:space="preserve">one community member </w:t>
      </w:r>
      <w:r w:rsidRPr="00347BE9" w:rsidR="00854B52">
        <w:rPr>
          <w:rFonts w:ascii="Times New Roman" w:hAnsi="Times New Roman" w:cs="Times New Roman"/>
        </w:rPr>
        <w:t xml:space="preserve">per facility </w:t>
      </w:r>
      <w:r w:rsidRPr="00347BE9" w:rsidR="004A1DEB">
        <w:rPr>
          <w:rFonts w:ascii="Times New Roman" w:hAnsi="Times New Roman" w:cs="Times New Roman"/>
        </w:rPr>
        <w:t xml:space="preserve">will request </w:t>
      </w:r>
      <w:r w:rsidRPr="00347BE9" w:rsidR="00A85EE5">
        <w:rPr>
          <w:rFonts w:ascii="Times New Roman" w:hAnsi="Times New Roman" w:cs="Times New Roman"/>
        </w:rPr>
        <w:t>information</w:t>
      </w:r>
      <w:r w:rsidRPr="00347BE9" w:rsidR="00854B52">
        <w:rPr>
          <w:rFonts w:ascii="Times New Roman" w:hAnsi="Times New Roman" w:cs="Times New Roman"/>
        </w:rPr>
        <w:t>.</w:t>
      </w:r>
      <w:r w:rsidRPr="00347BE9" w:rsidR="00142037">
        <w:rPr>
          <w:rFonts w:ascii="Times New Roman" w:hAnsi="Times New Roman" w:cs="Times New Roman"/>
        </w:rPr>
        <w:t xml:space="preserve"> </w:t>
      </w:r>
      <w:r w:rsidRPr="00347BE9" w:rsidR="000C185C">
        <w:rPr>
          <w:rFonts w:ascii="Times New Roman" w:hAnsi="Times New Roman" w:cs="Times New Roman"/>
        </w:rPr>
        <w:t xml:space="preserve">The breakout of </w:t>
      </w:r>
      <w:r w:rsidRPr="00347BE9" w:rsidR="004E7D41">
        <w:rPr>
          <w:rFonts w:ascii="Times New Roman" w:hAnsi="Times New Roman" w:cs="Times New Roman"/>
        </w:rPr>
        <w:t xml:space="preserve">costs to </w:t>
      </w:r>
      <w:r w:rsidRPr="00347BE9" w:rsidR="008A436A">
        <w:rPr>
          <w:rFonts w:ascii="Times New Roman" w:hAnsi="Times New Roman" w:cs="Times New Roman"/>
        </w:rPr>
        <w:t xml:space="preserve">the </w:t>
      </w:r>
      <w:r w:rsidRPr="00347BE9" w:rsidR="004E7D41">
        <w:rPr>
          <w:rFonts w:ascii="Times New Roman" w:hAnsi="Times New Roman" w:cs="Times New Roman"/>
        </w:rPr>
        <w:t xml:space="preserve">public </w:t>
      </w:r>
      <w:r w:rsidRPr="00347BE9" w:rsidR="00071804">
        <w:rPr>
          <w:rFonts w:ascii="Times New Roman" w:hAnsi="Times New Roman" w:cs="Times New Roman"/>
        </w:rPr>
        <w:t xml:space="preserve">in requesting information </w:t>
      </w:r>
      <w:r w:rsidRPr="00347BE9" w:rsidR="001B5B50">
        <w:rPr>
          <w:rFonts w:ascii="Times New Roman" w:hAnsi="Times New Roman" w:cs="Times New Roman"/>
        </w:rPr>
        <w:t>from facilities is in Exhibit 5-1</w:t>
      </w:r>
      <w:r w:rsidR="005D4B4E">
        <w:rPr>
          <w:rFonts w:ascii="Times New Roman" w:hAnsi="Times New Roman" w:cs="Times New Roman"/>
        </w:rPr>
        <w:t>6</w:t>
      </w:r>
      <w:r w:rsidRPr="00347BE9" w:rsidR="001B5B50">
        <w:rPr>
          <w:rFonts w:ascii="Times New Roman" w:hAnsi="Times New Roman" w:cs="Times New Roman"/>
        </w:rPr>
        <w:t>.</w:t>
      </w:r>
    </w:p>
    <w:p w:rsidR="00294E80" w:rsidP="00294E80" w14:paraId="595E9C0C" w14:textId="77777777">
      <w:pPr>
        <w:spacing w:after="0" w:line="240" w:lineRule="auto"/>
        <w:ind w:firstLine="360"/>
        <w:rPr>
          <w:rFonts w:ascii="Times New Roman" w:hAnsi="Times New Roman" w:cs="Times New Roman"/>
          <w:b/>
          <w:bCs/>
          <w:i/>
          <w:iCs/>
        </w:rPr>
      </w:pPr>
    </w:p>
    <w:p w:rsidR="00294E80" w:rsidRPr="002D372A" w:rsidP="00294E80" w14:paraId="1D9564DC" w14:textId="77777777">
      <w:pPr>
        <w:pStyle w:val="Caption"/>
        <w:jc w:val="center"/>
        <w:rPr>
          <w:rFonts w:ascii="Times New Roman" w:hAnsi="Times New Roman" w:cs="Times New Roman"/>
          <w:b/>
          <w:bCs/>
          <w:i w:val="0"/>
          <w:iCs w:val="0"/>
          <w:color w:val="auto"/>
          <w:sz w:val="22"/>
          <w:szCs w:val="22"/>
        </w:rPr>
      </w:pPr>
      <w:r w:rsidRPr="002D372A">
        <w:rPr>
          <w:rFonts w:ascii="Times New Roman" w:hAnsi="Times New Roman" w:cs="Times New Roman"/>
          <w:b/>
          <w:bCs/>
          <w:i w:val="0"/>
          <w:iCs w:val="0"/>
          <w:color w:val="auto"/>
          <w:sz w:val="22"/>
          <w:szCs w:val="22"/>
        </w:rPr>
        <w:t>Exhibit 5-</w:t>
      </w:r>
      <w:r w:rsidR="00CC3094">
        <w:rPr>
          <w:rFonts w:ascii="Times New Roman" w:hAnsi="Times New Roman" w:cs="Times New Roman"/>
          <w:b/>
          <w:bCs/>
          <w:i w:val="0"/>
          <w:iCs w:val="0"/>
          <w:color w:val="auto"/>
          <w:sz w:val="22"/>
          <w:szCs w:val="22"/>
        </w:rPr>
        <w:t>1</w:t>
      </w:r>
      <w:r w:rsidR="005D4B4E">
        <w:rPr>
          <w:rFonts w:ascii="Times New Roman" w:hAnsi="Times New Roman" w:cs="Times New Roman"/>
          <w:b/>
          <w:bCs/>
          <w:i w:val="0"/>
          <w:iCs w:val="0"/>
          <w:color w:val="auto"/>
          <w:sz w:val="22"/>
          <w:szCs w:val="22"/>
        </w:rPr>
        <w:t>6</w:t>
      </w:r>
      <w:r w:rsidRPr="002D372A">
        <w:rPr>
          <w:rFonts w:ascii="Times New Roman" w:hAnsi="Times New Roman" w:cs="Times New Roman"/>
          <w:b/>
          <w:bCs/>
          <w:i w:val="0"/>
          <w:iCs w:val="0"/>
          <w:color w:val="auto"/>
          <w:sz w:val="22"/>
          <w:szCs w:val="22"/>
        </w:rPr>
        <w:t xml:space="preserve">: Costs </w:t>
      </w:r>
      <w:r>
        <w:rPr>
          <w:rFonts w:ascii="Times New Roman" w:hAnsi="Times New Roman" w:cs="Times New Roman"/>
          <w:b/>
          <w:bCs/>
          <w:i w:val="0"/>
          <w:iCs w:val="0"/>
          <w:color w:val="auto"/>
          <w:sz w:val="22"/>
          <w:szCs w:val="22"/>
        </w:rPr>
        <w:t xml:space="preserve">to Public </w:t>
      </w:r>
      <w:r w:rsidRPr="002D372A">
        <w:rPr>
          <w:rFonts w:ascii="Times New Roman" w:hAnsi="Times New Roman" w:cs="Times New Roman"/>
          <w:b/>
          <w:bCs/>
          <w:i w:val="0"/>
          <w:iCs w:val="0"/>
          <w:color w:val="auto"/>
          <w:sz w:val="22"/>
          <w:szCs w:val="22"/>
        </w:rPr>
        <w:t xml:space="preserve">for </w:t>
      </w:r>
      <w:r w:rsidR="00A314E1">
        <w:rPr>
          <w:rFonts w:ascii="Times New Roman" w:hAnsi="Times New Roman" w:cs="Times New Roman"/>
          <w:b/>
          <w:bCs/>
          <w:i w:val="0"/>
          <w:iCs w:val="0"/>
          <w:color w:val="auto"/>
          <w:sz w:val="22"/>
          <w:szCs w:val="22"/>
        </w:rPr>
        <w:t xml:space="preserve">ID Verification from </w:t>
      </w:r>
      <w:r w:rsidRPr="002D372A">
        <w:rPr>
          <w:rFonts w:ascii="Times New Roman" w:hAnsi="Times New Roman" w:cs="Times New Roman"/>
          <w:b/>
          <w:bCs/>
          <w:i w:val="0"/>
          <w:iCs w:val="0"/>
          <w:color w:val="auto"/>
          <w:sz w:val="22"/>
          <w:szCs w:val="22"/>
        </w:rPr>
        <w:t>Information Availability Provision (202</w:t>
      </w:r>
      <w:r w:rsidR="000844BD">
        <w:rPr>
          <w:rFonts w:ascii="Times New Roman" w:hAnsi="Times New Roman" w:cs="Times New Roman"/>
          <w:b/>
          <w:bCs/>
          <w:i w:val="0"/>
          <w:iCs w:val="0"/>
          <w:color w:val="auto"/>
          <w:sz w:val="22"/>
          <w:szCs w:val="22"/>
        </w:rPr>
        <w:t>2</w:t>
      </w:r>
      <w:r w:rsidRPr="002D372A">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d</w:t>
      </w:r>
      <w:r w:rsidRPr="002D372A">
        <w:rPr>
          <w:rFonts w:ascii="Times New Roman" w:hAnsi="Times New Roman" w:cs="Times New Roman"/>
          <w:b/>
          <w:bCs/>
          <w:i w:val="0"/>
          <w:iCs w:val="0"/>
          <w:color w:val="auto"/>
          <w:sz w:val="22"/>
          <w:szCs w:val="22"/>
        </w:rPr>
        <w:t>ollars).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152"/>
        <w:gridCol w:w="1070"/>
        <w:gridCol w:w="1350"/>
        <w:gridCol w:w="1770"/>
        <w:gridCol w:w="1812"/>
      </w:tblGrid>
      <w:tr w14:paraId="67AB6C32" w14:textId="77777777" w:rsidTr="00FA04B8">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20"/>
          <w:jc w:val="center"/>
        </w:trPr>
        <w:tc>
          <w:tcPr>
            <w:tcW w:w="2152" w:type="dxa"/>
            <w:tcBorders>
              <w:left w:val="single" w:sz="6" w:space="0" w:color="000000"/>
              <w:right w:val="single" w:sz="6" w:space="0" w:color="000000"/>
            </w:tcBorders>
            <w:shd w:val="clear" w:color="auto" w:fill="DADADA"/>
            <w:vAlign w:val="center"/>
          </w:tcPr>
          <w:p w:rsidR="00294E80" w:rsidRPr="002D372A" w:rsidP="00C17A95" w14:paraId="074B0000" w14:textId="77777777">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Community Members Requesting Information</w:t>
            </w:r>
          </w:p>
        </w:tc>
        <w:tc>
          <w:tcPr>
            <w:tcW w:w="1070" w:type="dxa"/>
            <w:tcBorders>
              <w:left w:val="single" w:sz="6" w:space="0" w:color="000000"/>
              <w:right w:val="single" w:sz="6" w:space="0" w:color="000000"/>
            </w:tcBorders>
            <w:shd w:val="clear" w:color="auto" w:fill="DADADA"/>
            <w:vAlign w:val="center"/>
          </w:tcPr>
          <w:p w:rsidR="00294E80" w:rsidRPr="002D372A" w:rsidP="00FA67C7" w14:paraId="634BBCB1" w14:textId="77777777">
            <w:pPr>
              <w:keepNext/>
              <w:spacing w:after="0" w:line="240" w:lineRule="auto"/>
              <w:ind w:left="91" w:right="55"/>
              <w:jc w:val="center"/>
              <w:rPr>
                <w:rFonts w:ascii="Times New Roman" w:hAnsi="Times New Roman" w:cs="Times New Roman"/>
                <w:b/>
                <w:sz w:val="20"/>
                <w:szCs w:val="20"/>
              </w:rPr>
            </w:pPr>
            <w:r w:rsidRPr="002D372A">
              <w:rPr>
                <w:rFonts w:ascii="Times New Roman" w:hAnsi="Times New Roman" w:cs="Times New Roman"/>
                <w:b/>
                <w:sz w:val="20"/>
                <w:szCs w:val="20"/>
              </w:rPr>
              <w:t>Annual</w:t>
            </w:r>
          </w:p>
          <w:p w:rsidR="00294E80" w:rsidRPr="002D372A" w:rsidP="00FA67C7" w14:paraId="6B92B115" w14:textId="77777777">
            <w:pPr>
              <w:keepNext/>
              <w:spacing w:after="0" w:line="240" w:lineRule="auto"/>
              <w:ind w:left="79" w:right="55"/>
              <w:jc w:val="center"/>
              <w:rPr>
                <w:rFonts w:ascii="Times New Roman" w:hAnsi="Times New Roman" w:cs="Times New Roman"/>
                <w:b/>
                <w:sz w:val="20"/>
                <w:szCs w:val="20"/>
              </w:rPr>
            </w:pPr>
            <w:r w:rsidRPr="002D372A">
              <w:rPr>
                <w:rFonts w:ascii="Times New Roman" w:hAnsi="Times New Roman" w:cs="Times New Roman"/>
                <w:b/>
                <w:sz w:val="20"/>
                <w:szCs w:val="20"/>
              </w:rPr>
              <w:t>Frequency</w:t>
            </w:r>
          </w:p>
        </w:tc>
        <w:tc>
          <w:tcPr>
            <w:tcW w:w="1350" w:type="dxa"/>
            <w:tcBorders>
              <w:left w:val="single" w:sz="6" w:space="0" w:color="000000"/>
              <w:right w:val="single" w:sz="6" w:space="0" w:color="000000"/>
            </w:tcBorders>
            <w:shd w:val="clear" w:color="auto" w:fill="DADADA"/>
            <w:vAlign w:val="center"/>
          </w:tcPr>
          <w:p w:rsidR="00294E80" w:rsidRPr="002D372A" w:rsidP="00FA67C7" w14:paraId="75A06A36" w14:textId="77777777">
            <w:pPr>
              <w:keepNext/>
              <w:spacing w:after="0" w:line="240" w:lineRule="auto"/>
              <w:ind w:left="75" w:right="133"/>
              <w:jc w:val="center"/>
              <w:rPr>
                <w:rFonts w:ascii="Times New Roman" w:hAnsi="Times New Roman" w:cs="Times New Roman"/>
                <w:b/>
                <w:sz w:val="20"/>
                <w:szCs w:val="20"/>
              </w:rPr>
            </w:pPr>
            <w:r w:rsidRPr="002D372A">
              <w:rPr>
                <w:rFonts w:ascii="Times New Roman" w:hAnsi="Times New Roman" w:cs="Times New Roman"/>
                <w:b/>
                <w:sz w:val="20"/>
                <w:szCs w:val="20"/>
              </w:rPr>
              <w:t>Unit Cost</w:t>
            </w:r>
          </w:p>
        </w:tc>
        <w:tc>
          <w:tcPr>
            <w:tcW w:w="1770" w:type="dxa"/>
            <w:tcBorders>
              <w:left w:val="single" w:sz="6" w:space="0" w:color="000000"/>
              <w:right w:val="single" w:sz="6" w:space="0" w:color="000000"/>
            </w:tcBorders>
            <w:shd w:val="clear" w:color="auto" w:fill="DADADA"/>
            <w:vAlign w:val="center"/>
          </w:tcPr>
          <w:p w:rsidR="00294E80" w:rsidRPr="002D372A" w:rsidP="00FA67C7" w14:paraId="261795ED" w14:textId="77777777">
            <w:pPr>
              <w:keepNext/>
              <w:spacing w:after="0" w:line="240" w:lineRule="auto"/>
              <w:ind w:left="72"/>
              <w:jc w:val="center"/>
              <w:rPr>
                <w:rFonts w:ascii="Times New Roman" w:hAnsi="Times New Roman" w:cs="Times New Roman"/>
                <w:b/>
                <w:sz w:val="20"/>
                <w:szCs w:val="20"/>
              </w:rPr>
            </w:pPr>
            <w:r>
              <w:rPr>
                <w:rFonts w:ascii="Times New Roman" w:hAnsi="Times New Roman" w:cs="Times New Roman"/>
                <w:b/>
                <w:sz w:val="20"/>
                <w:szCs w:val="20"/>
              </w:rPr>
              <w:t xml:space="preserve">Number of </w:t>
            </w:r>
            <w:r w:rsidR="00130549">
              <w:rPr>
                <w:rFonts w:ascii="Times New Roman" w:hAnsi="Times New Roman" w:cs="Times New Roman"/>
                <w:b/>
                <w:sz w:val="20"/>
                <w:szCs w:val="20"/>
              </w:rPr>
              <w:t>Reques</w:t>
            </w:r>
            <w:r w:rsidR="00D15870">
              <w:rPr>
                <w:rFonts w:ascii="Times New Roman" w:hAnsi="Times New Roman" w:cs="Times New Roman"/>
                <w:b/>
                <w:sz w:val="20"/>
                <w:szCs w:val="20"/>
              </w:rPr>
              <w:t>ts</w:t>
            </w:r>
          </w:p>
          <w:p w:rsidR="00294E80" w:rsidRPr="002D372A" w:rsidP="00FA67C7" w14:paraId="71DF65C2" w14:textId="77777777">
            <w:pPr>
              <w:keepNext/>
              <w:spacing w:after="0" w:line="240" w:lineRule="auto"/>
              <w:ind w:left="72"/>
              <w:jc w:val="center"/>
              <w:rPr>
                <w:rFonts w:ascii="Times New Roman" w:hAnsi="Times New Roman" w:cs="Times New Roman"/>
                <w:b/>
                <w:sz w:val="20"/>
                <w:szCs w:val="20"/>
              </w:rPr>
            </w:pPr>
          </w:p>
        </w:tc>
        <w:tc>
          <w:tcPr>
            <w:tcW w:w="1812" w:type="dxa"/>
            <w:tcBorders>
              <w:left w:val="single" w:sz="6" w:space="0" w:color="000000"/>
              <w:right w:val="single" w:sz="6" w:space="0" w:color="000000"/>
            </w:tcBorders>
            <w:shd w:val="clear" w:color="auto" w:fill="DADADA"/>
            <w:vAlign w:val="center"/>
          </w:tcPr>
          <w:p w:rsidR="00294E80" w:rsidRPr="002D372A" w:rsidP="00FA67C7" w14:paraId="224FBA51" w14:textId="77777777">
            <w:pPr>
              <w:keepNext/>
              <w:spacing w:after="0" w:line="240" w:lineRule="auto"/>
              <w:ind w:left="99" w:right="238"/>
              <w:jc w:val="center"/>
              <w:rPr>
                <w:rFonts w:ascii="Times New Roman" w:hAnsi="Times New Roman" w:cs="Times New Roman"/>
                <w:b/>
                <w:sz w:val="20"/>
                <w:szCs w:val="20"/>
              </w:rPr>
            </w:pPr>
            <w:r w:rsidRPr="002D372A">
              <w:rPr>
                <w:rFonts w:ascii="Times New Roman" w:hAnsi="Times New Roman" w:cs="Times New Roman"/>
                <w:b/>
                <w:sz w:val="20"/>
                <w:szCs w:val="20"/>
              </w:rPr>
              <w:t xml:space="preserve">Total </w:t>
            </w:r>
            <w:r>
              <w:rPr>
                <w:rFonts w:ascii="Times New Roman" w:hAnsi="Times New Roman" w:cs="Times New Roman"/>
                <w:b/>
                <w:sz w:val="20"/>
                <w:szCs w:val="20"/>
              </w:rPr>
              <w:t>Annual</w:t>
            </w:r>
            <w:r w:rsidRPr="002D372A">
              <w:rPr>
                <w:rFonts w:ascii="Times New Roman" w:hAnsi="Times New Roman" w:cs="Times New Roman"/>
                <w:b/>
                <w:sz w:val="20"/>
                <w:szCs w:val="20"/>
              </w:rPr>
              <w:t xml:space="preserve"> Cost</w:t>
            </w:r>
          </w:p>
        </w:tc>
      </w:tr>
      <w:tr w14:paraId="4FD275E6" w14:textId="77777777" w:rsidTr="00B707FB">
        <w:tblPrEx>
          <w:tblW w:w="0" w:type="auto"/>
          <w:jc w:val="center"/>
          <w:tblLayout w:type="fixed"/>
          <w:tblCellMar>
            <w:left w:w="0" w:type="dxa"/>
            <w:right w:w="0" w:type="dxa"/>
          </w:tblCellMar>
          <w:tblLook w:val="01E0"/>
        </w:tblPrEx>
        <w:trPr>
          <w:trHeight w:val="255"/>
          <w:jc w:val="center"/>
        </w:trPr>
        <w:tc>
          <w:tcPr>
            <w:tcW w:w="2152" w:type="dxa"/>
            <w:tcBorders>
              <w:top w:val="single" w:sz="6" w:space="0" w:color="000000"/>
              <w:left w:val="single" w:sz="6" w:space="0" w:color="000000"/>
              <w:bottom w:val="single" w:sz="6" w:space="0" w:color="000000"/>
              <w:right w:val="single" w:sz="6" w:space="0" w:color="000000"/>
            </w:tcBorders>
            <w:vAlign w:val="bottom"/>
          </w:tcPr>
          <w:p w:rsidR="00294E80" w:rsidRPr="00BB0140" w:rsidP="00FA67C7" w14:paraId="3662B1E6" w14:textId="77777777">
            <w:pPr>
              <w:spacing w:after="0" w:line="240" w:lineRule="auto"/>
              <w:ind w:left="246" w:right="210"/>
              <w:rPr>
                <w:rFonts w:ascii="Times New Roman" w:hAnsi="Times New Roman" w:cs="Times New Roman"/>
                <w:b/>
                <w:sz w:val="20"/>
                <w:szCs w:val="20"/>
              </w:rPr>
            </w:pPr>
            <w:r w:rsidRPr="00BB0140">
              <w:rPr>
                <w:rFonts w:ascii="Times New Roman" w:hAnsi="Times New Roman" w:cs="Times New Roman"/>
                <w:b/>
                <w:sz w:val="20"/>
                <w:szCs w:val="20"/>
              </w:rPr>
              <w:t>Total</w:t>
            </w:r>
          </w:p>
        </w:tc>
        <w:tc>
          <w:tcPr>
            <w:tcW w:w="1070" w:type="dxa"/>
            <w:tcBorders>
              <w:top w:val="single" w:sz="6" w:space="0" w:color="000000"/>
              <w:left w:val="single" w:sz="6" w:space="0" w:color="000000"/>
              <w:bottom w:val="single" w:sz="6" w:space="0" w:color="000000"/>
              <w:right w:val="single" w:sz="6" w:space="0" w:color="000000"/>
            </w:tcBorders>
            <w:vAlign w:val="bottom"/>
          </w:tcPr>
          <w:p w:rsidR="00294E80" w:rsidRPr="00BB0140" w:rsidP="00FA67C7" w14:paraId="034FA870" w14:textId="77777777">
            <w:pPr>
              <w:spacing w:after="0" w:line="240" w:lineRule="auto"/>
              <w:jc w:val="center"/>
              <w:rPr>
                <w:rFonts w:ascii="Times New Roman" w:hAnsi="Times New Roman" w:cs="Times New Roman"/>
                <w:b/>
                <w:sz w:val="20"/>
                <w:szCs w:val="20"/>
              </w:rPr>
            </w:pPr>
            <w:r w:rsidRPr="00BB0140">
              <w:rPr>
                <w:rFonts w:ascii="Times New Roman" w:hAnsi="Times New Roman" w:cs="Times New Roman"/>
                <w:b/>
                <w:sz w:val="20"/>
                <w:szCs w:val="20"/>
              </w:rPr>
              <w:t>1</w:t>
            </w:r>
          </w:p>
        </w:tc>
        <w:tc>
          <w:tcPr>
            <w:tcW w:w="1350" w:type="dxa"/>
            <w:tcBorders>
              <w:top w:val="single" w:sz="6" w:space="0" w:color="000000"/>
              <w:left w:val="single" w:sz="6" w:space="0" w:color="000000"/>
              <w:bottom w:val="single" w:sz="6" w:space="0" w:color="000000"/>
              <w:right w:val="single" w:sz="6" w:space="0" w:color="000000"/>
            </w:tcBorders>
            <w:vAlign w:val="bottom"/>
          </w:tcPr>
          <w:p w:rsidR="00294E80" w:rsidRPr="00BB0140" w:rsidP="00FA67C7" w14:paraId="21FD8909" w14:textId="77777777">
            <w:pPr>
              <w:spacing w:after="0" w:line="240" w:lineRule="auto"/>
              <w:jc w:val="center"/>
              <w:rPr>
                <w:rFonts w:ascii="Times New Roman" w:hAnsi="Times New Roman" w:cs="Times New Roman"/>
                <w:b/>
                <w:sz w:val="20"/>
                <w:szCs w:val="20"/>
              </w:rPr>
            </w:pPr>
            <w:r w:rsidRPr="00BB0140">
              <w:rPr>
                <w:rFonts w:ascii="Times New Roman" w:hAnsi="Times New Roman" w:cs="Times New Roman"/>
                <w:b/>
                <w:sz w:val="20"/>
                <w:szCs w:val="20"/>
              </w:rPr>
              <w:t>$4</w:t>
            </w:r>
            <w:r w:rsidR="003C454B">
              <w:rPr>
                <w:rFonts w:ascii="Times New Roman" w:hAnsi="Times New Roman" w:cs="Times New Roman"/>
                <w:b/>
                <w:sz w:val="20"/>
                <w:szCs w:val="20"/>
              </w:rPr>
              <w:t>2.56</w:t>
            </w:r>
          </w:p>
        </w:tc>
        <w:tc>
          <w:tcPr>
            <w:tcW w:w="1770" w:type="dxa"/>
            <w:tcBorders>
              <w:top w:val="single" w:sz="6" w:space="0" w:color="000000"/>
              <w:left w:val="single" w:sz="6" w:space="0" w:color="000000"/>
              <w:bottom w:val="single" w:sz="6" w:space="0" w:color="000000"/>
              <w:right w:val="single" w:sz="6" w:space="0" w:color="000000"/>
            </w:tcBorders>
            <w:vAlign w:val="bottom"/>
          </w:tcPr>
          <w:p w:rsidR="00294E80" w:rsidRPr="00BB0140" w:rsidP="00FA67C7" w14:paraId="167EE887" w14:textId="77777777">
            <w:pPr>
              <w:spacing w:after="0" w:line="240" w:lineRule="auto"/>
              <w:ind w:left="72"/>
              <w:jc w:val="center"/>
              <w:rPr>
                <w:rFonts w:ascii="Times New Roman" w:hAnsi="Times New Roman" w:cs="Times New Roman"/>
                <w:b/>
                <w:sz w:val="20"/>
                <w:szCs w:val="20"/>
              </w:rPr>
            </w:pPr>
            <w:r w:rsidRPr="00BB0140">
              <w:rPr>
                <w:rFonts w:ascii="Times New Roman" w:hAnsi="Times New Roman" w:cs="Times New Roman"/>
                <w:b/>
                <w:sz w:val="20"/>
                <w:szCs w:val="20"/>
              </w:rPr>
              <w:t>11,740</w:t>
            </w:r>
          </w:p>
        </w:tc>
        <w:tc>
          <w:tcPr>
            <w:tcW w:w="1812" w:type="dxa"/>
            <w:tcBorders>
              <w:top w:val="single" w:sz="6" w:space="0" w:color="000000"/>
              <w:left w:val="single" w:sz="6" w:space="0" w:color="000000"/>
              <w:bottom w:val="single" w:sz="6" w:space="0" w:color="000000"/>
              <w:right w:val="single" w:sz="6" w:space="0" w:color="000000"/>
            </w:tcBorders>
            <w:vAlign w:val="bottom"/>
          </w:tcPr>
          <w:p w:rsidR="00294E80" w:rsidRPr="00BB0140" w:rsidP="00FA67C7" w14:paraId="1DAB4DC0" w14:textId="77777777">
            <w:pPr>
              <w:spacing w:after="0" w:line="240" w:lineRule="auto"/>
              <w:ind w:left="99"/>
              <w:jc w:val="center"/>
              <w:rPr>
                <w:rFonts w:ascii="Times New Roman" w:hAnsi="Times New Roman" w:cs="Times New Roman"/>
                <w:b/>
                <w:sz w:val="20"/>
                <w:szCs w:val="20"/>
              </w:rPr>
            </w:pPr>
            <w:r w:rsidRPr="00BB0140">
              <w:rPr>
                <w:rFonts w:ascii="Times New Roman" w:hAnsi="Times New Roman" w:cs="Times New Roman"/>
                <w:b/>
                <w:color w:val="000000"/>
                <w:sz w:val="20"/>
                <w:szCs w:val="20"/>
              </w:rPr>
              <w:t>$</w:t>
            </w:r>
            <w:r w:rsidRPr="00BB0140" w:rsidR="005E348C">
              <w:rPr>
                <w:rFonts w:ascii="Times New Roman" w:hAnsi="Times New Roman" w:cs="Times New Roman"/>
                <w:b/>
                <w:color w:val="000000"/>
                <w:sz w:val="20"/>
                <w:szCs w:val="20"/>
              </w:rPr>
              <w:t>49</w:t>
            </w:r>
            <w:r w:rsidR="00FC1979">
              <w:rPr>
                <w:rFonts w:ascii="Times New Roman" w:hAnsi="Times New Roman" w:cs="Times New Roman"/>
                <w:b/>
                <w:color w:val="000000"/>
                <w:sz w:val="20"/>
                <w:szCs w:val="20"/>
              </w:rPr>
              <w:t>9,645</w:t>
            </w:r>
          </w:p>
        </w:tc>
      </w:tr>
    </w:tbl>
    <w:p w:rsidR="00BE13EA" w:rsidP="00576F93" w14:paraId="5801C667" w14:textId="77777777">
      <w:pPr>
        <w:spacing w:after="0" w:line="240" w:lineRule="auto"/>
        <w:rPr>
          <w:rFonts w:ascii="Times New Roman" w:hAnsi="Times New Roman" w:cs="Times New Roman"/>
        </w:rPr>
      </w:pPr>
    </w:p>
    <w:p w:rsidR="00435210" w:rsidRPr="00CA3D57" w:rsidP="00C07306" w14:paraId="5725530E" w14:textId="77777777">
      <w:pPr>
        <w:pStyle w:val="Heading2"/>
      </w:pPr>
      <w:bookmarkStart w:id="331" w:name="5.7_Cost_Uncertainties_Associated_with_P"/>
      <w:bookmarkStart w:id="332" w:name="_bookmark92"/>
      <w:bookmarkStart w:id="333" w:name="_Toc98856225"/>
      <w:bookmarkStart w:id="334" w:name="_Toc144303568"/>
      <w:bookmarkEnd w:id="331"/>
      <w:bookmarkEnd w:id="332"/>
      <w:r w:rsidRPr="00CA3D57">
        <w:t>5.</w:t>
      </w:r>
      <w:r w:rsidR="00BB2646">
        <w:t>7</w:t>
      </w:r>
      <w:r w:rsidRPr="00CA3D57">
        <w:t xml:space="preserve"> </w:t>
      </w:r>
      <w:r w:rsidR="008E11AE">
        <w:t xml:space="preserve">Important </w:t>
      </w:r>
      <w:r w:rsidRPr="00CA3D57">
        <w:t>Cost</w:t>
      </w:r>
      <w:r w:rsidRPr="00CA3D57">
        <w:rPr>
          <w:spacing w:val="-9"/>
        </w:rPr>
        <w:t xml:space="preserve"> </w:t>
      </w:r>
      <w:r w:rsidRPr="00CA3D57">
        <w:t>Uncertainties</w:t>
      </w:r>
      <w:r w:rsidRPr="00CA3D57">
        <w:rPr>
          <w:spacing w:val="-7"/>
        </w:rPr>
        <w:t xml:space="preserve"> </w:t>
      </w:r>
      <w:r w:rsidR="000851B9">
        <w:rPr>
          <w:spacing w:val="-7"/>
        </w:rPr>
        <w:t xml:space="preserve">and </w:t>
      </w:r>
      <w:r w:rsidR="00162131">
        <w:rPr>
          <w:spacing w:val="-7"/>
        </w:rPr>
        <w:t xml:space="preserve">Indirect Costs </w:t>
      </w:r>
      <w:r w:rsidRPr="00CA3D57">
        <w:t>Associated</w:t>
      </w:r>
      <w:r w:rsidRPr="00CA3D57">
        <w:rPr>
          <w:spacing w:val="-19"/>
        </w:rPr>
        <w:t xml:space="preserve"> </w:t>
      </w:r>
      <w:r w:rsidRPr="00CA3D57">
        <w:t>with</w:t>
      </w:r>
      <w:r w:rsidRPr="00CA3D57">
        <w:rPr>
          <w:spacing w:val="-18"/>
        </w:rPr>
        <w:t xml:space="preserve"> </w:t>
      </w:r>
      <w:r w:rsidRPr="00CA3D57">
        <w:t>Prevention</w:t>
      </w:r>
      <w:r w:rsidRPr="00CA3D57">
        <w:rPr>
          <w:spacing w:val="-18"/>
        </w:rPr>
        <w:t xml:space="preserve"> </w:t>
      </w:r>
      <w:r w:rsidRPr="00CA3D57">
        <w:t>Program</w:t>
      </w:r>
      <w:r w:rsidRPr="00CA3D57">
        <w:rPr>
          <w:spacing w:val="-23"/>
        </w:rPr>
        <w:t xml:space="preserve"> </w:t>
      </w:r>
      <w:r w:rsidRPr="00CA3D57">
        <w:t>Provisions</w:t>
      </w:r>
      <w:bookmarkEnd w:id="333"/>
      <w:bookmarkEnd w:id="334"/>
    </w:p>
    <w:p w:rsidR="00435210" w:rsidRPr="00BF4D0A" w:rsidP="00576F93" w14:paraId="4DF020AB"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 xml:space="preserve">This section </w:t>
      </w:r>
      <w:r w:rsidRPr="00BF4D0A" w:rsidR="00093EAB">
        <w:rPr>
          <w:rFonts w:ascii="Times New Roman" w:hAnsi="Times New Roman" w:cs="Times New Roman"/>
        </w:rPr>
        <w:t>highlights some of</w:t>
      </w:r>
      <w:r w:rsidRPr="00BF4D0A">
        <w:rPr>
          <w:rFonts w:ascii="Times New Roman" w:hAnsi="Times New Roman" w:cs="Times New Roman"/>
        </w:rPr>
        <w:t xml:space="preserve"> the uncertaint</w:t>
      </w:r>
      <w:r w:rsidRPr="00BF4D0A" w:rsidR="004F4310">
        <w:rPr>
          <w:rFonts w:ascii="Times New Roman" w:hAnsi="Times New Roman" w:cs="Times New Roman"/>
        </w:rPr>
        <w:t>ies</w:t>
      </w:r>
      <w:r w:rsidRPr="00BF4D0A">
        <w:rPr>
          <w:rFonts w:ascii="Times New Roman" w:hAnsi="Times New Roman" w:cs="Times New Roman"/>
        </w:rPr>
        <w:t xml:space="preserve"> associated with estimating the costs of </w:t>
      </w:r>
      <w:r w:rsidRPr="00BF4D0A" w:rsidR="004F4310">
        <w:rPr>
          <w:rFonts w:ascii="Times New Roman" w:hAnsi="Times New Roman" w:cs="Times New Roman"/>
        </w:rPr>
        <w:t>the of</w:t>
      </w:r>
      <w:r w:rsidRPr="00BF4D0A">
        <w:rPr>
          <w:rFonts w:ascii="Times New Roman" w:hAnsi="Times New Roman" w:cs="Times New Roman"/>
        </w:rPr>
        <w:t xml:space="preserve"> </w:t>
      </w:r>
      <w:r w:rsidRPr="00BF4D0A" w:rsidR="00A10237">
        <w:rPr>
          <w:rFonts w:ascii="Times New Roman" w:hAnsi="Times New Roman" w:cs="Times New Roman"/>
        </w:rPr>
        <w:t xml:space="preserve">the </w:t>
      </w:r>
      <w:r w:rsidRPr="00BF4D0A" w:rsidR="00FA3B63">
        <w:rPr>
          <w:rFonts w:ascii="Times New Roman" w:hAnsi="Times New Roman" w:cs="Times New Roman"/>
        </w:rPr>
        <w:t>STAA</w:t>
      </w:r>
      <w:r w:rsidR="00FA3B63">
        <w:rPr>
          <w:rFonts w:ascii="Times New Roman" w:hAnsi="Times New Roman" w:cs="Times New Roman"/>
        </w:rPr>
        <w:t>,</w:t>
      </w:r>
      <w:r w:rsidRPr="00BF4D0A" w:rsidR="00FA3B63">
        <w:rPr>
          <w:rFonts w:ascii="Times New Roman" w:hAnsi="Times New Roman" w:cs="Times New Roman"/>
        </w:rPr>
        <w:t xml:space="preserve"> </w:t>
      </w:r>
      <w:r w:rsidRPr="00BF4D0A" w:rsidR="006164B2">
        <w:rPr>
          <w:rFonts w:ascii="Times New Roman" w:hAnsi="Times New Roman" w:cs="Times New Roman"/>
        </w:rPr>
        <w:t xml:space="preserve">the root cause analysis and the </w:t>
      </w:r>
      <w:r w:rsidRPr="00BF4D0A" w:rsidR="00FA3B63">
        <w:rPr>
          <w:rFonts w:ascii="Times New Roman" w:hAnsi="Times New Roman" w:cs="Times New Roman"/>
        </w:rPr>
        <w:t>third-party audit</w:t>
      </w:r>
      <w:r w:rsidR="004C592D">
        <w:rPr>
          <w:rFonts w:ascii="Times New Roman" w:hAnsi="Times New Roman" w:cs="Times New Roman"/>
        </w:rPr>
        <w:t xml:space="preserve"> final</w:t>
      </w:r>
      <w:r w:rsidRPr="00BF4D0A" w:rsidR="004C592D">
        <w:rPr>
          <w:rFonts w:ascii="Times New Roman" w:hAnsi="Times New Roman" w:cs="Times New Roman"/>
        </w:rPr>
        <w:t xml:space="preserve"> rule </w:t>
      </w:r>
      <w:r w:rsidRPr="00BF4D0A">
        <w:rPr>
          <w:rFonts w:ascii="Times New Roman" w:hAnsi="Times New Roman" w:cs="Times New Roman"/>
        </w:rPr>
        <w:t>provisions</w:t>
      </w:r>
      <w:r w:rsidRPr="00BF4D0A" w:rsidR="00574B58">
        <w:rPr>
          <w:rFonts w:ascii="Times New Roman" w:hAnsi="Times New Roman" w:cs="Times New Roman"/>
        </w:rPr>
        <w:t xml:space="preserve">. It considers </w:t>
      </w:r>
      <w:r w:rsidRPr="00BF4D0A" w:rsidR="004364DB">
        <w:rPr>
          <w:rFonts w:ascii="Times New Roman" w:hAnsi="Times New Roman" w:cs="Times New Roman"/>
        </w:rPr>
        <w:t>the potential indirect</w:t>
      </w:r>
      <w:r w:rsidRPr="00BF4D0A" w:rsidR="008A713E">
        <w:rPr>
          <w:rFonts w:ascii="Times New Roman" w:hAnsi="Times New Roman" w:cs="Times New Roman"/>
        </w:rPr>
        <w:t>, follow-on</w:t>
      </w:r>
      <w:r w:rsidRPr="00BF4D0A" w:rsidR="004364DB">
        <w:rPr>
          <w:rFonts w:ascii="Times New Roman" w:hAnsi="Times New Roman" w:cs="Times New Roman"/>
        </w:rPr>
        <w:t xml:space="preserve"> costs that </w:t>
      </w:r>
      <w:r w:rsidRPr="00BF4D0A" w:rsidR="008A713E">
        <w:rPr>
          <w:rFonts w:ascii="Times New Roman" w:hAnsi="Times New Roman" w:cs="Times New Roman"/>
        </w:rPr>
        <w:t xml:space="preserve">facilities </w:t>
      </w:r>
      <w:r w:rsidRPr="00BF4D0A" w:rsidR="004364DB">
        <w:rPr>
          <w:rFonts w:ascii="Times New Roman" w:hAnsi="Times New Roman" w:cs="Times New Roman"/>
        </w:rPr>
        <w:t xml:space="preserve">could incur if </w:t>
      </w:r>
      <w:r w:rsidRPr="00BF4D0A" w:rsidR="008A713E">
        <w:rPr>
          <w:rFonts w:ascii="Times New Roman" w:hAnsi="Times New Roman" w:cs="Times New Roman"/>
        </w:rPr>
        <w:t>they</w:t>
      </w:r>
      <w:r w:rsidRPr="00BF4D0A" w:rsidR="004364DB">
        <w:rPr>
          <w:rFonts w:ascii="Times New Roman" w:hAnsi="Times New Roman" w:cs="Times New Roman"/>
        </w:rPr>
        <w:t xml:space="preserve"> were to implement recommendations resulting from those </w:t>
      </w:r>
      <w:r w:rsidRPr="00BF4D0A" w:rsidR="008A713E">
        <w:rPr>
          <w:rFonts w:ascii="Times New Roman" w:hAnsi="Times New Roman" w:cs="Times New Roman"/>
        </w:rPr>
        <w:t>provisions</w:t>
      </w:r>
      <w:r w:rsidRPr="00BF4D0A" w:rsidR="004364DB">
        <w:rPr>
          <w:rFonts w:ascii="Times New Roman" w:hAnsi="Times New Roman" w:cs="Times New Roman"/>
        </w:rPr>
        <w:t>.</w:t>
      </w:r>
    </w:p>
    <w:p w:rsidR="00576F93" w:rsidP="00576F93" w14:paraId="10221F22" w14:textId="77777777">
      <w:pPr>
        <w:keepNext/>
        <w:keepLines/>
        <w:spacing w:after="0" w:line="240" w:lineRule="auto"/>
        <w:rPr>
          <w:rFonts w:ascii="Times New Roman" w:hAnsi="Times New Roman" w:cs="Times New Roman"/>
          <w:i/>
          <w:u w:val="single"/>
        </w:rPr>
      </w:pPr>
    </w:p>
    <w:p w:rsidR="008B47E4" w:rsidRPr="00C9143C" w:rsidP="00C9143C" w14:paraId="08111B1F" w14:textId="77777777">
      <w:pPr>
        <w:pStyle w:val="Heading3"/>
        <w:rPr>
          <w:rFonts w:ascii="Times New Roman" w:hAnsi="Times New Roman" w:cs="Times New Roman"/>
          <w:sz w:val="22"/>
          <w:szCs w:val="22"/>
        </w:rPr>
      </w:pPr>
      <w:bookmarkStart w:id="335" w:name="_Toc141733174"/>
      <w:bookmarkStart w:id="336" w:name="_Toc142404078"/>
      <w:bookmarkStart w:id="337" w:name="_Toc144213886"/>
      <w:bookmarkStart w:id="338" w:name="_Toc144283631"/>
      <w:bookmarkStart w:id="339" w:name="_Toc144303569"/>
      <w:r w:rsidRPr="00C9143C">
        <w:rPr>
          <w:rFonts w:ascii="Times New Roman" w:hAnsi="Times New Roman" w:cs="Times New Roman"/>
          <w:sz w:val="22"/>
          <w:szCs w:val="22"/>
        </w:rPr>
        <w:t>5.7.1 STAA</w:t>
      </w:r>
      <w:bookmarkEnd w:id="335"/>
      <w:bookmarkEnd w:id="336"/>
      <w:bookmarkEnd w:id="337"/>
      <w:bookmarkEnd w:id="338"/>
      <w:bookmarkEnd w:id="339"/>
    </w:p>
    <w:p w:rsidR="008B47E4" w:rsidP="008B47E4" w14:paraId="134A177B"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 xml:space="preserve">The STAA requirement is intended to </w:t>
      </w:r>
      <w:r w:rsidR="001B7B8D">
        <w:rPr>
          <w:rFonts w:ascii="Times New Roman" w:hAnsi="Times New Roman" w:cs="Times New Roman"/>
        </w:rPr>
        <w:t>identify</w:t>
      </w:r>
      <w:r w:rsidRPr="00BF4D0A">
        <w:rPr>
          <w:rFonts w:ascii="Times New Roman" w:hAnsi="Times New Roman" w:cs="Times New Roman"/>
        </w:rPr>
        <w:t xml:space="preserve"> potential opportunities for certain complex regulated facilities to eliminate or substantially reduce the hazards </w:t>
      </w:r>
      <w:r w:rsidR="007A1114">
        <w:rPr>
          <w:rFonts w:ascii="Times New Roman" w:hAnsi="Times New Roman" w:cs="Times New Roman"/>
        </w:rPr>
        <w:t>or risks</w:t>
      </w:r>
      <w:r w:rsidRPr="00BF4D0A">
        <w:rPr>
          <w:rFonts w:ascii="Times New Roman" w:hAnsi="Times New Roman" w:cs="Times New Roman"/>
        </w:rPr>
        <w:t xml:space="preserve"> associated with regulated processes by performing a detailed analysis of alternative process technologies. The STAA provision </w:t>
      </w:r>
      <w:r w:rsidR="009449B7">
        <w:rPr>
          <w:rFonts w:ascii="Times New Roman" w:hAnsi="Times New Roman" w:cs="Times New Roman"/>
        </w:rPr>
        <w:t>will</w:t>
      </w:r>
      <w:r w:rsidRPr="00BF4D0A">
        <w:rPr>
          <w:rFonts w:ascii="Times New Roman" w:hAnsi="Times New Roman" w:cs="Times New Roman"/>
        </w:rPr>
        <w:t xml:space="preserve"> require the owner or operator to consider process hazard controls in the following descending order of preference: IST</w:t>
      </w:r>
      <w:r w:rsidR="00982196">
        <w:rPr>
          <w:rFonts w:ascii="Times New Roman" w:hAnsi="Times New Roman" w:cs="Times New Roman"/>
        </w:rPr>
        <w:t>/ISD</w:t>
      </w:r>
      <w:r w:rsidRPr="00BF4D0A">
        <w:rPr>
          <w:rFonts w:ascii="Times New Roman" w:hAnsi="Times New Roman" w:cs="Times New Roman"/>
        </w:rPr>
        <w:t xml:space="preserve">, passive measures, active measures, and procedural measures. The provision also </w:t>
      </w:r>
      <w:r w:rsidR="009449B7">
        <w:rPr>
          <w:rFonts w:ascii="Times New Roman" w:hAnsi="Times New Roman" w:cs="Times New Roman"/>
        </w:rPr>
        <w:t>will</w:t>
      </w:r>
      <w:r w:rsidRPr="00BF4D0A">
        <w:rPr>
          <w:rFonts w:ascii="Times New Roman" w:hAnsi="Times New Roman" w:cs="Times New Roman"/>
        </w:rPr>
        <w:t xml:space="preserve"> require the owner or operator to determine the </w:t>
      </w:r>
      <w:r w:rsidR="00FD47A4">
        <w:rPr>
          <w:rFonts w:ascii="Times New Roman" w:hAnsi="Times New Roman" w:cs="Times New Roman"/>
        </w:rPr>
        <w:t>practicabi</w:t>
      </w:r>
      <w:r w:rsidRPr="00BF4D0A">
        <w:rPr>
          <w:rFonts w:ascii="Times New Roman" w:hAnsi="Times New Roman" w:cs="Times New Roman"/>
        </w:rPr>
        <w:t>lity of the IST</w:t>
      </w:r>
      <w:r w:rsidR="005470C3">
        <w:rPr>
          <w:rFonts w:ascii="Times New Roman" w:hAnsi="Times New Roman" w:cs="Times New Roman"/>
        </w:rPr>
        <w:t>/ISD</w:t>
      </w:r>
      <w:r w:rsidRPr="00BF4D0A">
        <w:rPr>
          <w:rFonts w:ascii="Times New Roman" w:hAnsi="Times New Roman" w:cs="Times New Roman"/>
        </w:rPr>
        <w:t xml:space="preserve"> considered.</w:t>
      </w:r>
    </w:p>
    <w:p w:rsidR="008B47E4" w:rsidP="008B47E4" w14:paraId="1C738B66" w14:textId="77777777">
      <w:pPr>
        <w:spacing w:after="0" w:line="240" w:lineRule="auto"/>
        <w:ind w:firstLine="360"/>
        <w:rPr>
          <w:rFonts w:ascii="Times New Roman" w:hAnsi="Times New Roman" w:cs="Times New Roman"/>
          <w:i/>
          <w:u w:val="single"/>
        </w:rPr>
      </w:pPr>
    </w:p>
    <w:p w:rsidR="008B47E4" w:rsidP="008B47E4" w14:paraId="17B786FF"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 xml:space="preserve">The STAA provision is targeted at two sectors – petroleum and coal products manufacturing, and chemical manufacturing (NAICS codes 324 and 325, respectively) – </w:t>
      </w:r>
      <w:r w:rsidR="004E13B5">
        <w:rPr>
          <w:rFonts w:ascii="Times New Roman" w:hAnsi="Times New Roman" w:cs="Times New Roman"/>
        </w:rPr>
        <w:t>which</w:t>
      </w:r>
      <w:r w:rsidRPr="00BF4D0A">
        <w:rPr>
          <w:rFonts w:ascii="Times New Roman" w:hAnsi="Times New Roman" w:cs="Times New Roman"/>
        </w:rPr>
        <w:t xml:space="preserve"> have had a high frequency of RMP-reportable accidents relative to other RMP-regulated industry sectors. The provisions </w:t>
      </w:r>
      <w:r w:rsidR="009449B7">
        <w:rPr>
          <w:rFonts w:ascii="Times New Roman" w:hAnsi="Times New Roman" w:cs="Times New Roman"/>
        </w:rPr>
        <w:t>will</w:t>
      </w:r>
      <w:r w:rsidRPr="00BF4D0A">
        <w:rPr>
          <w:rFonts w:ascii="Times New Roman" w:hAnsi="Times New Roman" w:cs="Times New Roman"/>
        </w:rPr>
        <w:t xml:space="preserve"> apply only to </w:t>
      </w:r>
      <w:r w:rsidR="00C11274">
        <w:rPr>
          <w:rFonts w:ascii="Times New Roman" w:hAnsi="Times New Roman" w:cs="Times New Roman"/>
        </w:rPr>
        <w:t xml:space="preserve">certain </w:t>
      </w:r>
      <w:r w:rsidRPr="00BF4D0A">
        <w:rPr>
          <w:rFonts w:ascii="Times New Roman" w:hAnsi="Times New Roman" w:cs="Times New Roman"/>
        </w:rPr>
        <w:t xml:space="preserve">facilities in these two sectors. </w:t>
      </w:r>
    </w:p>
    <w:p w:rsidR="008B47E4" w:rsidP="008B47E4" w14:paraId="76C2AE4A" w14:textId="77777777">
      <w:pPr>
        <w:spacing w:after="0" w:line="240" w:lineRule="auto"/>
        <w:ind w:firstLine="360"/>
        <w:rPr>
          <w:rFonts w:ascii="Times New Roman" w:hAnsi="Times New Roman" w:cs="Times New Roman"/>
          <w:i/>
          <w:u w:val="single"/>
        </w:rPr>
      </w:pPr>
    </w:p>
    <w:p w:rsidR="008B47E4" w:rsidP="008B47E4" w14:paraId="25A53BEE"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The current RMP rule already require</w:t>
      </w:r>
      <w:r w:rsidR="00BE227E">
        <w:rPr>
          <w:rFonts w:ascii="Times New Roman" w:hAnsi="Times New Roman" w:cs="Times New Roman"/>
        </w:rPr>
        <w:t>s</w:t>
      </w:r>
      <w:r w:rsidRPr="00BF4D0A">
        <w:rPr>
          <w:rFonts w:ascii="Times New Roman" w:hAnsi="Times New Roman" w:cs="Times New Roman"/>
        </w:rPr>
        <w:t xml:space="preserve"> owners and operators of most facilities in these sectors to perform a PHA. The PHA provision requires facilities to identify, evaluate, and control process hazards using appropriate engineering and administrative controls. However, the baseline requirement does not explicitly require the owner or operator to consider IST</w:t>
      </w:r>
      <w:r w:rsidR="005470C3">
        <w:rPr>
          <w:rFonts w:ascii="Times New Roman" w:hAnsi="Times New Roman" w:cs="Times New Roman"/>
        </w:rPr>
        <w:t>/ISD</w:t>
      </w:r>
      <w:r w:rsidRPr="00BF4D0A">
        <w:rPr>
          <w:rFonts w:ascii="Times New Roman" w:hAnsi="Times New Roman" w:cs="Times New Roman"/>
        </w:rPr>
        <w:t>. EPA believes that requiring owners and operators of higher risk facilities to consider safer technologies and alternatives – with an emphasis on IST</w:t>
      </w:r>
      <w:r w:rsidR="008906CB">
        <w:rPr>
          <w:rFonts w:ascii="Times New Roman" w:hAnsi="Times New Roman" w:cs="Times New Roman"/>
        </w:rPr>
        <w:t>/ISD</w:t>
      </w:r>
      <w:r w:rsidRPr="00BF4D0A">
        <w:rPr>
          <w:rFonts w:ascii="Times New Roman" w:hAnsi="Times New Roman" w:cs="Times New Roman"/>
        </w:rPr>
        <w:t xml:space="preserve"> – may identify alternative hazard controls that were not considered in the baseline PHA requirement.</w:t>
      </w:r>
    </w:p>
    <w:p w:rsidR="008B47E4" w:rsidP="008B47E4" w14:paraId="4EF8D46E" w14:textId="77777777">
      <w:pPr>
        <w:spacing w:after="0" w:line="240" w:lineRule="auto"/>
        <w:ind w:firstLine="360"/>
        <w:rPr>
          <w:rFonts w:ascii="Times New Roman" w:hAnsi="Times New Roman" w:cs="Times New Roman"/>
          <w:i/>
          <w:u w:val="single"/>
        </w:rPr>
      </w:pPr>
    </w:p>
    <w:p w:rsidR="008B47E4" w:rsidP="008B47E4" w14:paraId="3AFA57ED" w14:textId="77777777">
      <w:pPr>
        <w:spacing w:after="0" w:line="240" w:lineRule="auto"/>
        <w:ind w:firstLine="360"/>
        <w:rPr>
          <w:rFonts w:ascii="Times New Roman" w:hAnsi="Times New Roman" w:cs="Times New Roman"/>
        </w:rPr>
      </w:pPr>
      <w:r>
        <w:rPr>
          <w:rFonts w:ascii="Times New Roman" w:hAnsi="Times New Roman" w:cs="Times New Roman"/>
        </w:rPr>
        <w:tab/>
        <w:t>T</w:t>
      </w:r>
      <w:r w:rsidRPr="00BF4D0A">
        <w:rPr>
          <w:rFonts w:ascii="Times New Roman" w:hAnsi="Times New Roman" w:cs="Times New Roman"/>
        </w:rPr>
        <w:t xml:space="preserve">he STAA provision </w:t>
      </w:r>
      <w:r w:rsidR="009449B7">
        <w:rPr>
          <w:rFonts w:ascii="Times New Roman" w:hAnsi="Times New Roman" w:cs="Times New Roman"/>
        </w:rPr>
        <w:t>will</w:t>
      </w:r>
      <w:r w:rsidR="00A6316D">
        <w:rPr>
          <w:rFonts w:ascii="Times New Roman" w:hAnsi="Times New Roman" w:cs="Times New Roman"/>
        </w:rPr>
        <w:t xml:space="preserve"> </w:t>
      </w:r>
      <w:r w:rsidRPr="00BF4D0A">
        <w:rPr>
          <w:rFonts w:ascii="Times New Roman" w:hAnsi="Times New Roman" w:cs="Times New Roman"/>
        </w:rPr>
        <w:t xml:space="preserve">require </w:t>
      </w:r>
      <w:r w:rsidR="000679ED">
        <w:rPr>
          <w:rFonts w:ascii="Times New Roman" w:hAnsi="Times New Roman" w:cs="Times New Roman"/>
        </w:rPr>
        <w:t>facilities</w:t>
      </w:r>
      <w:r w:rsidR="00BA2676">
        <w:rPr>
          <w:rFonts w:ascii="Times New Roman" w:hAnsi="Times New Roman" w:cs="Times New Roman"/>
        </w:rPr>
        <w:t>,</w:t>
      </w:r>
      <w:r w:rsidR="000679ED">
        <w:rPr>
          <w:rFonts w:ascii="Times New Roman" w:hAnsi="Times New Roman" w:cs="Times New Roman"/>
        </w:rPr>
        <w:t xml:space="preserve"> </w:t>
      </w:r>
      <w:r w:rsidR="00DF0D54">
        <w:rPr>
          <w:rFonts w:ascii="Times New Roman" w:hAnsi="Times New Roman" w:cs="Times New Roman"/>
        </w:rPr>
        <w:t>every five years</w:t>
      </w:r>
      <w:r w:rsidR="00BA2676">
        <w:rPr>
          <w:rFonts w:ascii="Times New Roman" w:hAnsi="Times New Roman" w:cs="Times New Roman"/>
        </w:rPr>
        <w:t>,</w:t>
      </w:r>
      <w:r w:rsidR="00DF0D54">
        <w:rPr>
          <w:rFonts w:ascii="Times New Roman" w:hAnsi="Times New Roman" w:cs="Times New Roman"/>
        </w:rPr>
        <w:t xml:space="preserve"> to </w:t>
      </w:r>
      <w:r w:rsidRPr="00BF4D0A">
        <w:rPr>
          <w:rFonts w:ascii="Times New Roman" w:hAnsi="Times New Roman" w:cs="Times New Roman"/>
        </w:rPr>
        <w:t xml:space="preserve">implement </w:t>
      </w:r>
      <w:r w:rsidR="00EF68A8">
        <w:rPr>
          <w:rFonts w:ascii="Times New Roman" w:hAnsi="Times New Roman" w:cs="Times New Roman"/>
        </w:rPr>
        <w:t>at least one</w:t>
      </w:r>
      <w:r w:rsidRPr="00BF4D0A" w:rsidR="00EF68A8">
        <w:rPr>
          <w:rFonts w:ascii="Times New Roman" w:hAnsi="Times New Roman" w:cs="Times New Roman"/>
        </w:rPr>
        <w:t xml:space="preserve"> </w:t>
      </w:r>
      <w:r w:rsidRPr="00BF4D0A">
        <w:rPr>
          <w:rFonts w:ascii="Times New Roman" w:hAnsi="Times New Roman" w:cs="Times New Roman"/>
        </w:rPr>
        <w:t xml:space="preserve">process or operational change identified as </w:t>
      </w:r>
      <w:r w:rsidR="001D26F2">
        <w:rPr>
          <w:rFonts w:ascii="Times New Roman" w:hAnsi="Times New Roman" w:cs="Times New Roman"/>
        </w:rPr>
        <w:t>p</w:t>
      </w:r>
      <w:r w:rsidR="00F35004">
        <w:rPr>
          <w:rFonts w:ascii="Times New Roman" w:hAnsi="Times New Roman" w:cs="Times New Roman"/>
        </w:rPr>
        <w:t>racticable</w:t>
      </w:r>
      <w:r w:rsidR="006E5E40">
        <w:rPr>
          <w:rFonts w:ascii="Times New Roman" w:hAnsi="Times New Roman" w:cs="Times New Roman"/>
        </w:rPr>
        <w:t xml:space="preserve"> that </w:t>
      </w:r>
      <w:r w:rsidR="003B1BB6">
        <w:rPr>
          <w:rFonts w:ascii="Times New Roman" w:hAnsi="Times New Roman" w:cs="Times New Roman"/>
        </w:rPr>
        <w:t>reduces risk</w:t>
      </w:r>
      <w:r w:rsidR="006E5E40">
        <w:rPr>
          <w:rFonts w:ascii="Times New Roman" w:hAnsi="Times New Roman" w:cs="Times New Roman"/>
        </w:rPr>
        <w:t xml:space="preserve"> </w:t>
      </w:r>
      <w:r w:rsidR="00350ADA">
        <w:rPr>
          <w:rFonts w:ascii="Times New Roman" w:hAnsi="Times New Roman" w:cs="Times New Roman"/>
        </w:rPr>
        <w:t xml:space="preserve">at least as much as </w:t>
      </w:r>
      <w:r w:rsidR="00335A7E">
        <w:rPr>
          <w:rFonts w:ascii="Times New Roman" w:hAnsi="Times New Roman" w:cs="Times New Roman"/>
        </w:rPr>
        <w:t xml:space="preserve">would </w:t>
      </w:r>
      <w:r w:rsidR="005C069D">
        <w:rPr>
          <w:rFonts w:ascii="Times New Roman" w:hAnsi="Times New Roman" w:cs="Times New Roman"/>
        </w:rPr>
        <w:t>a</w:t>
      </w:r>
      <w:r w:rsidR="00F35004">
        <w:rPr>
          <w:rFonts w:ascii="Times New Roman" w:hAnsi="Times New Roman" w:cs="Times New Roman"/>
        </w:rPr>
        <w:t xml:space="preserve"> practicable</w:t>
      </w:r>
      <w:r w:rsidR="0034129F">
        <w:rPr>
          <w:rFonts w:ascii="Times New Roman" w:hAnsi="Times New Roman" w:cs="Times New Roman"/>
        </w:rPr>
        <w:t xml:space="preserve"> </w:t>
      </w:r>
      <w:r w:rsidR="005C069D">
        <w:rPr>
          <w:rFonts w:ascii="Times New Roman" w:hAnsi="Times New Roman" w:cs="Times New Roman"/>
        </w:rPr>
        <w:t>passive measure</w:t>
      </w:r>
      <w:r w:rsidRPr="00BF4D0A">
        <w:rPr>
          <w:rFonts w:ascii="Times New Roman" w:hAnsi="Times New Roman" w:cs="Times New Roman"/>
        </w:rPr>
        <w:t xml:space="preserve">. While implementation </w:t>
      </w:r>
      <w:r w:rsidR="00635B17">
        <w:rPr>
          <w:rFonts w:ascii="Times New Roman" w:hAnsi="Times New Roman" w:cs="Times New Roman"/>
        </w:rPr>
        <w:t>of IST</w:t>
      </w:r>
      <w:r w:rsidR="00D0714F">
        <w:rPr>
          <w:rFonts w:ascii="Times New Roman" w:hAnsi="Times New Roman" w:cs="Times New Roman"/>
        </w:rPr>
        <w:t>/ISD</w:t>
      </w:r>
      <w:r w:rsidR="00635B17">
        <w:rPr>
          <w:rFonts w:ascii="Times New Roman" w:hAnsi="Times New Roman" w:cs="Times New Roman"/>
        </w:rPr>
        <w:t xml:space="preserve"> </w:t>
      </w:r>
      <w:r w:rsidR="009449B7">
        <w:rPr>
          <w:rFonts w:ascii="Times New Roman" w:hAnsi="Times New Roman" w:cs="Times New Roman"/>
        </w:rPr>
        <w:t>will</w:t>
      </w:r>
      <w:r w:rsidRPr="00BF4D0A">
        <w:rPr>
          <w:rFonts w:ascii="Times New Roman" w:hAnsi="Times New Roman" w:cs="Times New Roman"/>
        </w:rPr>
        <w:t xml:space="preserve"> </w:t>
      </w:r>
      <w:r w:rsidR="00827AA3">
        <w:rPr>
          <w:rFonts w:ascii="Times New Roman" w:hAnsi="Times New Roman" w:cs="Times New Roman"/>
        </w:rPr>
        <w:t xml:space="preserve">both </w:t>
      </w:r>
      <w:r w:rsidR="00635B17">
        <w:rPr>
          <w:rFonts w:ascii="Times New Roman" w:hAnsi="Times New Roman" w:cs="Times New Roman"/>
        </w:rPr>
        <w:t xml:space="preserve">satisfy </w:t>
      </w:r>
      <w:r w:rsidR="00AD1CB6">
        <w:rPr>
          <w:rFonts w:ascii="Times New Roman" w:hAnsi="Times New Roman" w:cs="Times New Roman"/>
        </w:rPr>
        <w:t xml:space="preserve">and </w:t>
      </w:r>
      <w:r w:rsidR="0065045C">
        <w:rPr>
          <w:rFonts w:ascii="Times New Roman" w:hAnsi="Times New Roman" w:cs="Times New Roman"/>
        </w:rPr>
        <w:t xml:space="preserve">exceed </w:t>
      </w:r>
      <w:r w:rsidR="00FF07F3">
        <w:rPr>
          <w:rFonts w:ascii="Times New Roman" w:hAnsi="Times New Roman" w:cs="Times New Roman"/>
        </w:rPr>
        <w:t>what is necessary</w:t>
      </w:r>
      <w:r w:rsidR="00A0296A">
        <w:rPr>
          <w:rFonts w:ascii="Times New Roman" w:hAnsi="Times New Roman" w:cs="Times New Roman"/>
        </w:rPr>
        <w:t xml:space="preserve"> </w:t>
      </w:r>
      <w:r w:rsidR="00E47A69">
        <w:rPr>
          <w:rFonts w:ascii="Times New Roman" w:hAnsi="Times New Roman" w:cs="Times New Roman"/>
        </w:rPr>
        <w:t xml:space="preserve">for </w:t>
      </w:r>
      <w:r w:rsidRPr="00BF4D0A">
        <w:rPr>
          <w:rFonts w:ascii="Times New Roman" w:hAnsi="Times New Roman" w:cs="Times New Roman"/>
        </w:rPr>
        <w:t xml:space="preserve">both the baseline and </w:t>
      </w:r>
      <w:r w:rsidR="00F4735C">
        <w:rPr>
          <w:rFonts w:ascii="Times New Roman" w:hAnsi="Times New Roman" w:cs="Times New Roman"/>
        </w:rPr>
        <w:t>final</w:t>
      </w:r>
      <w:r w:rsidRPr="00BF4D0A" w:rsidR="00F4735C">
        <w:rPr>
          <w:rFonts w:ascii="Times New Roman" w:hAnsi="Times New Roman" w:cs="Times New Roman"/>
        </w:rPr>
        <w:t xml:space="preserve"> </w:t>
      </w:r>
      <w:r w:rsidRPr="00BF4D0A">
        <w:rPr>
          <w:rFonts w:ascii="Times New Roman" w:hAnsi="Times New Roman" w:cs="Times New Roman"/>
        </w:rPr>
        <w:t>rule STAA requirements, EPA believes that some facilities may voluntarily implement IST</w:t>
      </w:r>
      <w:r w:rsidR="00B632FD">
        <w:rPr>
          <w:rFonts w:ascii="Times New Roman" w:hAnsi="Times New Roman" w:cs="Times New Roman"/>
        </w:rPr>
        <w:t>/ISD</w:t>
      </w:r>
      <w:r w:rsidRPr="00BF4D0A">
        <w:rPr>
          <w:rFonts w:ascii="Times New Roman" w:hAnsi="Times New Roman" w:cs="Times New Roman"/>
        </w:rPr>
        <w:t xml:space="preserve"> as a result of conducting the STAA. This is, in part, because the </w:t>
      </w:r>
      <w:r w:rsidR="009639FD">
        <w:rPr>
          <w:rFonts w:ascii="Times New Roman" w:hAnsi="Times New Roman" w:cs="Times New Roman"/>
        </w:rPr>
        <w:t xml:space="preserve">final </w:t>
      </w:r>
      <w:r w:rsidR="008B272F">
        <w:rPr>
          <w:rFonts w:ascii="Times New Roman" w:hAnsi="Times New Roman" w:cs="Times New Roman"/>
        </w:rPr>
        <w:t>rule’s</w:t>
      </w:r>
      <w:r w:rsidRPr="00BF4D0A" w:rsidR="008B272F">
        <w:rPr>
          <w:rFonts w:ascii="Times New Roman" w:hAnsi="Times New Roman" w:cs="Times New Roman"/>
        </w:rPr>
        <w:t xml:space="preserve"> </w:t>
      </w:r>
      <w:r w:rsidRPr="00BF4D0A">
        <w:rPr>
          <w:rFonts w:ascii="Times New Roman" w:hAnsi="Times New Roman" w:cs="Times New Roman"/>
        </w:rPr>
        <w:t>definition of “</w:t>
      </w:r>
      <w:r w:rsidR="00F35004">
        <w:rPr>
          <w:rFonts w:ascii="Times New Roman" w:hAnsi="Times New Roman" w:cs="Times New Roman"/>
        </w:rPr>
        <w:t>practicable</w:t>
      </w:r>
      <w:r w:rsidRPr="00BF4D0A">
        <w:rPr>
          <w:rFonts w:ascii="Times New Roman" w:hAnsi="Times New Roman" w:cs="Times New Roman"/>
        </w:rPr>
        <w:t>”</w:t>
      </w:r>
      <w:r w:rsidR="00256555">
        <w:t xml:space="preserve"> </w:t>
      </w:r>
      <w:r w:rsidRPr="00BF4D0A">
        <w:rPr>
          <w:rFonts w:ascii="Times New Roman" w:hAnsi="Times New Roman" w:cs="Times New Roman"/>
        </w:rPr>
        <w:t xml:space="preserve">may result in the adoption of alternatives that previously were not considered </w:t>
      </w:r>
      <w:r w:rsidR="00DE0860">
        <w:rPr>
          <w:rFonts w:ascii="Times New Roman" w:hAnsi="Times New Roman" w:cs="Times New Roman"/>
        </w:rPr>
        <w:t>practicable</w:t>
      </w:r>
      <w:r w:rsidRPr="00BF4D0A">
        <w:rPr>
          <w:rFonts w:ascii="Times New Roman" w:hAnsi="Times New Roman" w:cs="Times New Roman"/>
        </w:rPr>
        <w:t xml:space="preserve"> (i.e., where barriers such as costs or </w:t>
      </w:r>
      <w:r w:rsidRPr="00BF4D0A">
        <w:rPr>
          <w:rFonts w:ascii="Times New Roman" w:hAnsi="Times New Roman" w:cs="Times New Roman"/>
        </w:rPr>
        <w:t>environmental and legal factors previously had been judged as too high to warrant implementation).</w:t>
      </w:r>
      <w:r>
        <w:rPr>
          <w:rStyle w:val="FootnoteReference"/>
          <w:rFonts w:ascii="Times New Roman" w:hAnsi="Times New Roman" w:cs="Times New Roman"/>
        </w:rPr>
        <w:footnoteReference w:id="125"/>
      </w:r>
      <w:r w:rsidRPr="00BF4D0A">
        <w:rPr>
          <w:rFonts w:ascii="Times New Roman" w:hAnsi="Times New Roman" w:cs="Times New Roman"/>
        </w:rPr>
        <w:t xml:space="preserve"> </w:t>
      </w:r>
      <w:r w:rsidR="004B0067">
        <w:rPr>
          <w:rFonts w:ascii="Times New Roman" w:hAnsi="Times New Roman" w:cs="Times New Roman"/>
        </w:rPr>
        <w:t>Add</w:t>
      </w:r>
      <w:r w:rsidR="2467B61F">
        <w:rPr>
          <w:rFonts w:ascii="Times New Roman" w:hAnsi="Times New Roman" w:cs="Times New Roman"/>
        </w:rPr>
        <w:t>i</w:t>
      </w:r>
      <w:r w:rsidR="004B0067">
        <w:rPr>
          <w:rFonts w:ascii="Times New Roman" w:hAnsi="Times New Roman" w:cs="Times New Roman"/>
        </w:rPr>
        <w:t>tionally, a</w:t>
      </w:r>
      <w:r w:rsidR="00C459AF">
        <w:rPr>
          <w:rFonts w:ascii="Times New Roman" w:hAnsi="Times New Roman" w:cs="Times New Roman"/>
        </w:rPr>
        <w:t xml:space="preserve">fter review </w:t>
      </w:r>
      <w:r w:rsidR="004B0067">
        <w:rPr>
          <w:rFonts w:ascii="Times New Roman" w:hAnsi="Times New Roman" w:cs="Times New Roman"/>
        </w:rPr>
        <w:t xml:space="preserve">of the </w:t>
      </w:r>
      <w:r w:rsidRPr="00BF4D0A">
        <w:rPr>
          <w:rFonts w:ascii="Times New Roman" w:hAnsi="Times New Roman" w:cs="Times New Roman"/>
        </w:rPr>
        <w:t>STAA and practicability analysis, the facility owner or operator may re-assess and decide to implement inherently safer alternative</w:t>
      </w:r>
      <w:r w:rsidR="00C459AF">
        <w:rPr>
          <w:rFonts w:ascii="Times New Roman" w:hAnsi="Times New Roman" w:cs="Times New Roman"/>
        </w:rPr>
        <w:t>s</w:t>
      </w:r>
      <w:r w:rsidR="004B0067">
        <w:rPr>
          <w:rFonts w:ascii="Times New Roman" w:hAnsi="Times New Roman" w:cs="Times New Roman"/>
        </w:rPr>
        <w:t>.</w:t>
      </w:r>
    </w:p>
    <w:p w:rsidR="008B47E4" w:rsidP="008B47E4" w14:paraId="310C0261" w14:textId="77777777">
      <w:pPr>
        <w:spacing w:after="0" w:line="240" w:lineRule="auto"/>
        <w:ind w:firstLine="360"/>
        <w:rPr>
          <w:rFonts w:ascii="Times New Roman" w:hAnsi="Times New Roman" w:cs="Times New Roman"/>
          <w:i/>
          <w:u w:val="single"/>
        </w:rPr>
      </w:pPr>
    </w:p>
    <w:p w:rsidR="00FF488E" w:rsidP="00FF488E" w14:paraId="34C41091" w14:textId="77777777">
      <w:pPr>
        <w:spacing w:after="0" w:line="240" w:lineRule="auto"/>
        <w:ind w:firstLine="720"/>
        <w:rPr>
          <w:rFonts w:ascii="Times New Roman" w:hAnsi="Times New Roman" w:cs="Times New Roman"/>
        </w:rPr>
      </w:pPr>
      <w:r w:rsidRPr="00BF4D0A">
        <w:rPr>
          <w:rFonts w:ascii="Times New Roman" w:hAnsi="Times New Roman" w:cs="Times New Roman"/>
        </w:rPr>
        <w:t>The costs of</w:t>
      </w:r>
      <w:r w:rsidR="00667B5A">
        <w:rPr>
          <w:rFonts w:ascii="Times New Roman" w:hAnsi="Times New Roman" w:cs="Times New Roman"/>
        </w:rPr>
        <w:t xml:space="preserve"> voluntary</w:t>
      </w:r>
      <w:r w:rsidRPr="00BF4D0A">
        <w:rPr>
          <w:rFonts w:ascii="Times New Roman" w:hAnsi="Times New Roman" w:cs="Times New Roman"/>
        </w:rPr>
        <w:t xml:space="preserve"> implement</w:t>
      </w:r>
      <w:r w:rsidR="00667B5A">
        <w:rPr>
          <w:rFonts w:ascii="Times New Roman" w:hAnsi="Times New Roman" w:cs="Times New Roman"/>
        </w:rPr>
        <w:t>ation of</w:t>
      </w:r>
      <w:r w:rsidRPr="00BF4D0A">
        <w:rPr>
          <w:rFonts w:ascii="Times New Roman" w:hAnsi="Times New Roman" w:cs="Times New Roman"/>
        </w:rPr>
        <w:t xml:space="preserve"> recommendations resulting from the STAA provision are uncertain. A facility owner or operator may voluntarily implement a high-cost change if they believe its benefits warrant the expense.</w:t>
      </w:r>
      <w:r w:rsidR="00867466">
        <w:rPr>
          <w:rFonts w:ascii="Times New Roman" w:hAnsi="Times New Roman" w:cs="Times New Roman"/>
        </w:rPr>
        <w:t xml:space="preserve"> For example, a facility might expect the reduction in accident risks from a safer technology to offset the extra costs of that technology.</w:t>
      </w:r>
      <w:r w:rsidRPr="00BF4D0A">
        <w:rPr>
          <w:rFonts w:ascii="Times New Roman" w:hAnsi="Times New Roman" w:cs="Times New Roman"/>
        </w:rPr>
        <w:t xml:space="preserve"> EPA did not attempt to estimate the costs of voluntary implementation of alternative technologies identified in a STAA because of a high degree of uncertainty associated with which and how many facilities might </w:t>
      </w:r>
      <w:r w:rsidR="00CC6CD3">
        <w:rPr>
          <w:rFonts w:ascii="Times New Roman" w:hAnsi="Times New Roman" w:cs="Times New Roman"/>
        </w:rPr>
        <w:t>voluntarily</w:t>
      </w:r>
      <w:r w:rsidRPr="00BF4D0A">
        <w:rPr>
          <w:rFonts w:ascii="Times New Roman" w:hAnsi="Times New Roman" w:cs="Times New Roman"/>
        </w:rPr>
        <w:t xml:space="preserve"> implement STAA projects. Judgments regarding which changes are considered safer or inherently safer, and the </w:t>
      </w:r>
      <w:r w:rsidR="00FC5F4D">
        <w:rPr>
          <w:rFonts w:ascii="Times New Roman" w:hAnsi="Times New Roman" w:cs="Times New Roman"/>
        </w:rPr>
        <w:t>practicability</w:t>
      </w:r>
      <w:r w:rsidRPr="00BF4D0A" w:rsidR="00FC5F4D">
        <w:rPr>
          <w:rFonts w:ascii="Times New Roman" w:hAnsi="Times New Roman" w:cs="Times New Roman"/>
        </w:rPr>
        <w:t xml:space="preserve"> </w:t>
      </w:r>
      <w:r w:rsidRPr="00BF4D0A">
        <w:rPr>
          <w:rFonts w:ascii="Times New Roman" w:hAnsi="Times New Roman" w:cs="Times New Roman"/>
        </w:rPr>
        <w:t>of implementing such changes</w:t>
      </w:r>
      <w:r w:rsidR="00AD7F66">
        <w:rPr>
          <w:rFonts w:ascii="Times New Roman" w:hAnsi="Times New Roman" w:cs="Times New Roman"/>
        </w:rPr>
        <w:t>,</w:t>
      </w:r>
      <w:r w:rsidRPr="00BF4D0A">
        <w:rPr>
          <w:rFonts w:ascii="Times New Roman" w:hAnsi="Times New Roman" w:cs="Times New Roman"/>
        </w:rPr>
        <w:t xml:space="preserve"> </w:t>
      </w:r>
      <w:r w:rsidR="00AD7F66">
        <w:rPr>
          <w:rFonts w:ascii="Times New Roman" w:hAnsi="Times New Roman" w:cs="Times New Roman"/>
        </w:rPr>
        <w:t>are</w:t>
      </w:r>
      <w:r w:rsidRPr="00BF4D0A">
        <w:rPr>
          <w:rFonts w:ascii="Times New Roman" w:hAnsi="Times New Roman" w:cs="Times New Roman"/>
        </w:rPr>
        <w:t xml:space="preserve"> subjective.</w:t>
      </w:r>
      <w:r w:rsidR="00AA77E2">
        <w:rPr>
          <w:rFonts w:ascii="Times New Roman" w:hAnsi="Times New Roman" w:cs="Times New Roman"/>
        </w:rPr>
        <w:t xml:space="preserve"> </w:t>
      </w:r>
      <w:r w:rsidR="009166BA">
        <w:rPr>
          <w:rFonts w:ascii="Times New Roman" w:hAnsi="Times New Roman" w:cs="Times New Roman"/>
        </w:rPr>
        <w:t>Additionally</w:t>
      </w:r>
      <w:r w:rsidR="00AA77E2">
        <w:rPr>
          <w:rFonts w:ascii="Times New Roman" w:hAnsi="Times New Roman" w:cs="Times New Roman"/>
        </w:rPr>
        <w:t xml:space="preserve">, some facilities </w:t>
      </w:r>
      <w:r w:rsidR="00423634">
        <w:rPr>
          <w:rFonts w:ascii="Times New Roman" w:hAnsi="Times New Roman" w:cs="Times New Roman"/>
        </w:rPr>
        <w:t>that may have adopted IST</w:t>
      </w:r>
      <w:r w:rsidR="00400236">
        <w:rPr>
          <w:rFonts w:ascii="Times New Roman" w:hAnsi="Times New Roman" w:cs="Times New Roman"/>
        </w:rPr>
        <w:t>/ISD</w:t>
      </w:r>
      <w:r w:rsidR="00423634">
        <w:rPr>
          <w:rFonts w:ascii="Times New Roman" w:hAnsi="Times New Roman" w:cs="Times New Roman"/>
        </w:rPr>
        <w:t xml:space="preserve"> </w:t>
      </w:r>
      <w:r w:rsidR="00155BDD">
        <w:rPr>
          <w:rFonts w:ascii="Times New Roman" w:hAnsi="Times New Roman" w:cs="Times New Roman"/>
        </w:rPr>
        <w:t xml:space="preserve">or other </w:t>
      </w:r>
      <w:r w:rsidR="00E1355E">
        <w:rPr>
          <w:rFonts w:ascii="Times New Roman" w:hAnsi="Times New Roman" w:cs="Times New Roman"/>
        </w:rPr>
        <w:t xml:space="preserve">risk-reduction </w:t>
      </w:r>
      <w:r w:rsidR="00B35244">
        <w:rPr>
          <w:rFonts w:ascii="Times New Roman" w:hAnsi="Times New Roman" w:cs="Times New Roman"/>
        </w:rPr>
        <w:t xml:space="preserve">measures </w:t>
      </w:r>
      <w:r w:rsidR="00423634">
        <w:rPr>
          <w:rFonts w:ascii="Times New Roman" w:hAnsi="Times New Roman" w:cs="Times New Roman"/>
        </w:rPr>
        <w:t xml:space="preserve">in </w:t>
      </w:r>
      <w:r w:rsidR="00752211">
        <w:rPr>
          <w:rFonts w:ascii="Times New Roman" w:hAnsi="Times New Roman" w:cs="Times New Roman"/>
        </w:rPr>
        <w:t xml:space="preserve">the </w:t>
      </w:r>
      <w:r w:rsidR="00423634">
        <w:rPr>
          <w:rFonts w:ascii="Times New Roman" w:hAnsi="Times New Roman" w:cs="Times New Roman"/>
        </w:rPr>
        <w:t xml:space="preserve">absence of this rule may </w:t>
      </w:r>
      <w:r w:rsidR="00395DA2">
        <w:rPr>
          <w:rFonts w:ascii="Times New Roman" w:hAnsi="Times New Roman" w:cs="Times New Roman"/>
        </w:rPr>
        <w:t>instead c</w:t>
      </w:r>
      <w:r w:rsidR="00423634">
        <w:rPr>
          <w:rFonts w:ascii="Times New Roman" w:hAnsi="Times New Roman" w:cs="Times New Roman"/>
        </w:rPr>
        <w:t xml:space="preserve">hoose to </w:t>
      </w:r>
      <w:r w:rsidR="00EE0820">
        <w:rPr>
          <w:rFonts w:ascii="Times New Roman" w:hAnsi="Times New Roman" w:cs="Times New Roman"/>
        </w:rPr>
        <w:t xml:space="preserve">adopt alternatives </w:t>
      </w:r>
      <w:r w:rsidR="00395DA2">
        <w:rPr>
          <w:rFonts w:ascii="Times New Roman" w:hAnsi="Times New Roman" w:cs="Times New Roman"/>
        </w:rPr>
        <w:t>satisfying the final rule’s implementation requirement</w:t>
      </w:r>
      <w:r w:rsidR="00B0666F">
        <w:rPr>
          <w:rFonts w:ascii="Times New Roman" w:hAnsi="Times New Roman" w:cs="Times New Roman"/>
        </w:rPr>
        <w:t xml:space="preserve"> </w:t>
      </w:r>
      <w:r w:rsidRPr="00511F15" w:rsidR="00957971">
        <w:rPr>
          <w:rFonts w:ascii="Times New Roman" w:hAnsi="Times New Roman" w:cs="Times New Roman"/>
        </w:rPr>
        <w:t>which</w:t>
      </w:r>
      <w:r w:rsidR="00B0666F">
        <w:rPr>
          <w:rFonts w:ascii="Times New Roman" w:hAnsi="Times New Roman" w:cs="Times New Roman"/>
        </w:rPr>
        <w:t xml:space="preserve"> achieve </w:t>
      </w:r>
      <w:r w:rsidRPr="00511F15" w:rsidR="00442C0D">
        <w:rPr>
          <w:rFonts w:ascii="Times New Roman" w:hAnsi="Times New Roman" w:cs="Times New Roman"/>
        </w:rPr>
        <w:t>different levels of</w:t>
      </w:r>
      <w:r w:rsidR="00B0666F">
        <w:rPr>
          <w:rFonts w:ascii="Times New Roman" w:hAnsi="Times New Roman" w:cs="Times New Roman"/>
        </w:rPr>
        <w:t xml:space="preserve"> risk reduction than </w:t>
      </w:r>
      <w:r w:rsidR="00B7134D">
        <w:rPr>
          <w:rFonts w:ascii="Times New Roman" w:hAnsi="Times New Roman" w:cs="Times New Roman"/>
        </w:rPr>
        <w:t>they would have</w:t>
      </w:r>
      <w:r w:rsidR="00E64CA3">
        <w:rPr>
          <w:rFonts w:ascii="Times New Roman" w:hAnsi="Times New Roman" w:cs="Times New Roman"/>
        </w:rPr>
        <w:t xml:space="preserve"> done</w:t>
      </w:r>
      <w:r w:rsidR="00B7134D">
        <w:rPr>
          <w:rFonts w:ascii="Times New Roman" w:hAnsi="Times New Roman" w:cs="Times New Roman"/>
        </w:rPr>
        <w:t xml:space="preserve"> </w:t>
      </w:r>
      <w:r w:rsidR="00B0666F">
        <w:rPr>
          <w:rFonts w:ascii="Times New Roman" w:hAnsi="Times New Roman" w:cs="Times New Roman"/>
        </w:rPr>
        <w:t xml:space="preserve">in </w:t>
      </w:r>
      <w:r w:rsidR="00E64CA3">
        <w:rPr>
          <w:rFonts w:ascii="Times New Roman" w:hAnsi="Times New Roman" w:cs="Times New Roman"/>
        </w:rPr>
        <w:t xml:space="preserve">the </w:t>
      </w:r>
      <w:r w:rsidR="00B0666F">
        <w:rPr>
          <w:rFonts w:ascii="Times New Roman" w:hAnsi="Times New Roman" w:cs="Times New Roman"/>
        </w:rPr>
        <w:t>absence of this rule</w:t>
      </w:r>
      <w:r w:rsidR="00EE0820">
        <w:rPr>
          <w:rFonts w:ascii="Times New Roman" w:hAnsi="Times New Roman" w:cs="Times New Roman"/>
        </w:rPr>
        <w:t>.</w:t>
      </w:r>
      <w:r w:rsidRPr="00442C0D">
        <w:rPr>
          <w:rFonts w:ascii="Times New Roman" w:hAnsi="Times New Roman" w:cs="Times New Roman"/>
        </w:rPr>
        <w:t xml:space="preserve"> EPA expects that, overall, the requirement will result in facilities identifying more</w:t>
      </w:r>
      <w:r>
        <w:rPr>
          <w:rFonts w:ascii="Times New Roman" w:hAnsi="Times New Roman" w:cs="Times New Roman"/>
        </w:rPr>
        <w:t xml:space="preserve"> options to reduce risk and implementing a larger number of more effective risk-reduction measures than facilities would in the absence of the rule, particularly among facilities that in the baseline have infrequent voluntary implementation of risk-reduction measures.</w:t>
      </w:r>
    </w:p>
    <w:p w:rsidR="004D2741" w:rsidP="000D4AD7" w14:paraId="60BC4F89" w14:textId="77777777">
      <w:pPr>
        <w:spacing w:after="0" w:line="240" w:lineRule="auto"/>
        <w:ind w:firstLine="360"/>
        <w:rPr>
          <w:rFonts w:ascii="Times New Roman" w:hAnsi="Times New Roman" w:cs="Times New Roman"/>
        </w:rPr>
      </w:pPr>
    </w:p>
    <w:p w:rsidR="00435210" w:rsidRPr="00C9143C" w:rsidP="00C9143C" w14:paraId="334411D6" w14:textId="77777777">
      <w:pPr>
        <w:pStyle w:val="Heading3"/>
        <w:rPr>
          <w:rFonts w:ascii="Times New Roman" w:hAnsi="Times New Roman" w:cs="Times New Roman"/>
          <w:sz w:val="22"/>
          <w:szCs w:val="22"/>
        </w:rPr>
      </w:pPr>
      <w:bookmarkStart w:id="340" w:name="_Toc141733175"/>
      <w:bookmarkStart w:id="341" w:name="_Toc142404079"/>
      <w:bookmarkStart w:id="342" w:name="_Toc144213887"/>
      <w:bookmarkStart w:id="343" w:name="_Toc144283632"/>
      <w:bookmarkStart w:id="344" w:name="_Toc144303570"/>
      <w:r w:rsidRPr="00C9143C">
        <w:rPr>
          <w:rFonts w:ascii="Times New Roman" w:hAnsi="Times New Roman" w:cs="Times New Roman"/>
          <w:sz w:val="22"/>
          <w:szCs w:val="22"/>
        </w:rPr>
        <w:t>5.7.2 Root Cause Analysis</w:t>
      </w:r>
      <w:bookmarkEnd w:id="340"/>
      <w:bookmarkEnd w:id="341"/>
      <w:bookmarkEnd w:id="342"/>
      <w:bookmarkEnd w:id="343"/>
      <w:bookmarkEnd w:id="344"/>
    </w:p>
    <w:p w:rsidR="00435210" w:rsidP="00576F93" w14:paraId="556D1B21"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The</w:t>
      </w:r>
      <w:r w:rsidRPr="00BF4D0A" w:rsidR="00993FEC">
        <w:rPr>
          <w:rFonts w:ascii="Times New Roman" w:hAnsi="Times New Roman" w:cs="Times New Roman"/>
        </w:rPr>
        <w:t xml:space="preserve"> RMP </w:t>
      </w:r>
      <w:r w:rsidRPr="00BF4D0A">
        <w:rPr>
          <w:rFonts w:ascii="Times New Roman" w:hAnsi="Times New Roman" w:cs="Times New Roman"/>
        </w:rPr>
        <w:t>rule</w:t>
      </w:r>
      <w:r w:rsidRPr="00BF4D0A" w:rsidR="00993FEC">
        <w:rPr>
          <w:rFonts w:ascii="Times New Roman" w:hAnsi="Times New Roman" w:cs="Times New Roman"/>
        </w:rPr>
        <w:t xml:space="preserve"> currently</w:t>
      </w:r>
      <w:r w:rsidRPr="00BF4D0A">
        <w:rPr>
          <w:rFonts w:ascii="Times New Roman" w:hAnsi="Times New Roman" w:cs="Times New Roman"/>
        </w:rPr>
        <w:t xml:space="preserve"> requires </w:t>
      </w:r>
      <w:r w:rsidRPr="00BF4D0A" w:rsidR="00993FEC">
        <w:rPr>
          <w:rFonts w:ascii="Times New Roman" w:hAnsi="Times New Roman" w:cs="Times New Roman"/>
        </w:rPr>
        <w:t xml:space="preserve">facilities to conduct </w:t>
      </w:r>
      <w:r w:rsidRPr="00BF4D0A">
        <w:rPr>
          <w:rFonts w:ascii="Times New Roman" w:hAnsi="Times New Roman" w:cs="Times New Roman"/>
        </w:rPr>
        <w:t xml:space="preserve">incident investigations and </w:t>
      </w:r>
      <w:r w:rsidRPr="00BF4D0A" w:rsidR="00993FEC">
        <w:rPr>
          <w:rFonts w:ascii="Times New Roman" w:hAnsi="Times New Roman" w:cs="Times New Roman"/>
        </w:rPr>
        <w:t xml:space="preserve">address their </w:t>
      </w:r>
      <w:r w:rsidRPr="00BF4D0A">
        <w:rPr>
          <w:rFonts w:ascii="Times New Roman" w:hAnsi="Times New Roman" w:cs="Times New Roman"/>
        </w:rPr>
        <w:t>finding</w:t>
      </w:r>
      <w:r w:rsidRPr="00BF4D0A" w:rsidR="00993FEC">
        <w:rPr>
          <w:rFonts w:ascii="Times New Roman" w:hAnsi="Times New Roman" w:cs="Times New Roman"/>
        </w:rPr>
        <w:t>s</w:t>
      </w:r>
      <w:r w:rsidRPr="00BF4D0A">
        <w:rPr>
          <w:rFonts w:ascii="Times New Roman" w:hAnsi="Times New Roman" w:cs="Times New Roman"/>
        </w:rPr>
        <w:t xml:space="preserve">. However, the </w:t>
      </w:r>
      <w:r w:rsidR="004D2741">
        <w:rPr>
          <w:rFonts w:ascii="Times New Roman" w:hAnsi="Times New Roman" w:cs="Times New Roman"/>
        </w:rPr>
        <w:t>final</w:t>
      </w:r>
      <w:r w:rsidRPr="00BF4D0A" w:rsidR="004D2741">
        <w:rPr>
          <w:rFonts w:ascii="Times New Roman" w:hAnsi="Times New Roman" w:cs="Times New Roman"/>
        </w:rPr>
        <w:t xml:space="preserve"> </w:t>
      </w:r>
      <w:r w:rsidRPr="00BF4D0A">
        <w:rPr>
          <w:rFonts w:ascii="Times New Roman" w:hAnsi="Times New Roman" w:cs="Times New Roman"/>
        </w:rPr>
        <w:t xml:space="preserve">rule contemplates a more thorough “root cause” investigation to identify underlying causes of an </w:t>
      </w:r>
      <w:r w:rsidRPr="00BF4D0A" w:rsidR="00F50A72">
        <w:rPr>
          <w:rFonts w:ascii="Times New Roman" w:hAnsi="Times New Roman" w:cs="Times New Roman"/>
        </w:rPr>
        <w:t>accident</w:t>
      </w:r>
      <w:r w:rsidRPr="00BF4D0A">
        <w:rPr>
          <w:rFonts w:ascii="Times New Roman" w:hAnsi="Times New Roman" w:cs="Times New Roman"/>
        </w:rPr>
        <w:t>. The outcome of a root cause investigation could reveal more substantial system-related reasons why an incident occurred and identify correctable failures in</w:t>
      </w:r>
      <w:r w:rsidRPr="00BF4D0A" w:rsidR="00587546">
        <w:rPr>
          <w:rFonts w:ascii="Times New Roman" w:hAnsi="Times New Roman" w:cs="Times New Roman"/>
        </w:rPr>
        <w:t xml:space="preserve"> </w:t>
      </w:r>
      <w:r w:rsidRPr="00BF4D0A">
        <w:rPr>
          <w:rFonts w:ascii="Times New Roman" w:hAnsi="Times New Roman" w:cs="Times New Roman"/>
        </w:rPr>
        <w:t>management systems. These underlying causes may not be identified under the baseline incident investigation provision.</w:t>
      </w:r>
      <w:r w:rsidR="00D80CD3">
        <w:rPr>
          <w:rFonts w:ascii="Times New Roman" w:hAnsi="Times New Roman" w:cs="Times New Roman"/>
        </w:rPr>
        <w:t xml:space="preserve"> </w:t>
      </w:r>
      <w:r w:rsidRPr="00BF4D0A">
        <w:rPr>
          <w:rFonts w:ascii="Times New Roman" w:hAnsi="Times New Roman" w:cs="Times New Roman"/>
        </w:rPr>
        <w:t xml:space="preserve">Similar to </w:t>
      </w:r>
      <w:r w:rsidRPr="00BF4D0A" w:rsidR="00EF1BC3">
        <w:rPr>
          <w:rFonts w:ascii="Times New Roman" w:hAnsi="Times New Roman" w:cs="Times New Roman"/>
        </w:rPr>
        <w:t>compliance</w:t>
      </w:r>
      <w:r w:rsidRPr="00BF4D0A">
        <w:rPr>
          <w:rFonts w:ascii="Times New Roman" w:hAnsi="Times New Roman" w:cs="Times New Roman"/>
        </w:rPr>
        <w:t xml:space="preserve"> audits, incident investigations can reveal a wide variety of causes</w:t>
      </w:r>
      <w:r w:rsidRPr="00BF4D0A" w:rsidR="00EF1BC3">
        <w:rPr>
          <w:rFonts w:ascii="Times New Roman" w:hAnsi="Times New Roman" w:cs="Times New Roman"/>
        </w:rPr>
        <w:t xml:space="preserve"> for an incident</w:t>
      </w:r>
      <w:r w:rsidR="00D80CD3">
        <w:rPr>
          <w:rFonts w:ascii="Times New Roman" w:hAnsi="Times New Roman" w:cs="Times New Roman"/>
        </w:rPr>
        <w:t>.</w:t>
      </w:r>
      <w:r w:rsidRPr="00BF4D0A">
        <w:rPr>
          <w:rFonts w:ascii="Times New Roman" w:hAnsi="Times New Roman" w:cs="Times New Roman"/>
        </w:rPr>
        <w:t xml:space="preserve"> These can range from the immediate or proximate causes of an incident to its underlying, system-related cause or causes. For example, an investigation may reveal that the immediate cause of an incident was equipment failure (e.g., failure of a corroded pipe), or operator error (e.g., an operator performed procedural steps in an incorrect sequence). A deeper “root cause” investigation </w:t>
      </w:r>
      <w:r w:rsidR="009449B7">
        <w:rPr>
          <w:rFonts w:ascii="Times New Roman" w:hAnsi="Times New Roman" w:cs="Times New Roman"/>
        </w:rPr>
        <w:t>will</w:t>
      </w:r>
      <w:r w:rsidRPr="00BF4D0A">
        <w:rPr>
          <w:rFonts w:ascii="Times New Roman" w:hAnsi="Times New Roman" w:cs="Times New Roman"/>
        </w:rPr>
        <w:t xml:space="preserve"> go beyond these findings and identify the underlying reasons why the equipment failed (e.g., underlying deficiencies in the facility’s mechanical integrity program) or why the operator made the error (e.g., underlying deficiencies in the facility’s operator training program).</w:t>
      </w:r>
    </w:p>
    <w:p w:rsidR="00E235AD" w:rsidP="00576F93" w14:paraId="55B69967" w14:textId="77777777">
      <w:pPr>
        <w:spacing w:after="0" w:line="240" w:lineRule="auto"/>
        <w:ind w:firstLine="360"/>
        <w:rPr>
          <w:rFonts w:ascii="Times New Roman" w:hAnsi="Times New Roman" w:cs="Times New Roman"/>
          <w:i/>
          <w:u w:val="single"/>
        </w:rPr>
      </w:pPr>
    </w:p>
    <w:p w:rsidR="00435210" w:rsidP="00576F93" w14:paraId="5927EB25"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The baseline incident investigation provision requires the owner or operator to determine “the factors that contributed to the incident,” but does not explicitly require the owner to perform a root cause investigation. Some regulated facilities may already interpret the baseline provision as requiring root cause investigations</w:t>
      </w:r>
      <w:r w:rsidRPr="00BF4D0A" w:rsidR="00574B58">
        <w:rPr>
          <w:rFonts w:ascii="Times New Roman" w:hAnsi="Times New Roman" w:cs="Times New Roman"/>
        </w:rPr>
        <w:t xml:space="preserve"> or may opt for a root cause investigation in an effort to uncover systemic problems</w:t>
      </w:r>
      <w:r w:rsidRPr="00BF4D0A">
        <w:rPr>
          <w:rFonts w:ascii="Times New Roman" w:hAnsi="Times New Roman" w:cs="Times New Roman"/>
        </w:rPr>
        <w:t xml:space="preserve">, but EPA believes that many others do not. Because the </w:t>
      </w:r>
      <w:r w:rsidR="00496C88">
        <w:rPr>
          <w:rFonts w:ascii="Times New Roman" w:hAnsi="Times New Roman" w:cs="Times New Roman"/>
        </w:rPr>
        <w:t>new</w:t>
      </w:r>
      <w:r w:rsidR="00A773FB">
        <w:rPr>
          <w:rFonts w:ascii="Times New Roman" w:hAnsi="Times New Roman" w:cs="Times New Roman"/>
        </w:rPr>
        <w:t xml:space="preserve"> </w:t>
      </w:r>
      <w:r w:rsidRPr="00BF4D0A">
        <w:rPr>
          <w:rFonts w:ascii="Times New Roman" w:hAnsi="Times New Roman" w:cs="Times New Roman"/>
        </w:rPr>
        <w:t>root cause investigation requirement is likely to result in many facilities identifying deeper</w:t>
      </w:r>
      <w:r w:rsidRPr="00BF4D0A" w:rsidR="00FE63C5">
        <w:rPr>
          <w:rFonts w:ascii="Times New Roman" w:hAnsi="Times New Roman" w:cs="Times New Roman"/>
        </w:rPr>
        <w:t>,</w:t>
      </w:r>
      <w:r w:rsidRPr="00BF4D0A">
        <w:rPr>
          <w:rFonts w:ascii="Times New Roman" w:hAnsi="Times New Roman" w:cs="Times New Roman"/>
        </w:rPr>
        <w:t xml:space="preserve"> system-related causes of incidents, actions taken to resolve these </w:t>
      </w:r>
      <w:r w:rsidRPr="00BF4D0A" w:rsidR="00FE63C5">
        <w:rPr>
          <w:rFonts w:ascii="Times New Roman" w:hAnsi="Times New Roman" w:cs="Times New Roman"/>
        </w:rPr>
        <w:t xml:space="preserve">issues </w:t>
      </w:r>
      <w:r w:rsidRPr="00BF4D0A">
        <w:rPr>
          <w:rFonts w:ascii="Times New Roman" w:hAnsi="Times New Roman" w:cs="Times New Roman"/>
        </w:rPr>
        <w:t xml:space="preserve">may require greater expenditures </w:t>
      </w:r>
      <w:r w:rsidR="00140D1C">
        <w:rPr>
          <w:rFonts w:ascii="Times New Roman" w:hAnsi="Times New Roman" w:cs="Times New Roman"/>
        </w:rPr>
        <w:t xml:space="preserve">than </w:t>
      </w:r>
      <w:r w:rsidRPr="00BF4D0A" w:rsidR="00FE63C5">
        <w:rPr>
          <w:rFonts w:ascii="Times New Roman" w:hAnsi="Times New Roman" w:cs="Times New Roman"/>
        </w:rPr>
        <w:t xml:space="preserve">what </w:t>
      </w:r>
      <w:r w:rsidR="009449B7">
        <w:rPr>
          <w:rFonts w:ascii="Times New Roman" w:hAnsi="Times New Roman" w:cs="Times New Roman"/>
        </w:rPr>
        <w:t>will</w:t>
      </w:r>
      <w:r w:rsidRPr="00BF4D0A" w:rsidR="00FE63C5">
        <w:rPr>
          <w:rFonts w:ascii="Times New Roman" w:hAnsi="Times New Roman" w:cs="Times New Roman"/>
        </w:rPr>
        <w:t xml:space="preserve"> occur under </w:t>
      </w:r>
      <w:r w:rsidRPr="00BF4D0A">
        <w:rPr>
          <w:rFonts w:ascii="Times New Roman" w:hAnsi="Times New Roman" w:cs="Times New Roman"/>
        </w:rPr>
        <w:t xml:space="preserve">the baseline investigation requirement. For example, instead of replacing a single piece of failed piping, a root cause investigation </w:t>
      </w:r>
      <w:r w:rsidRPr="00BF4D0A" w:rsidR="00FE63C5">
        <w:rPr>
          <w:rFonts w:ascii="Times New Roman" w:hAnsi="Times New Roman" w:cs="Times New Roman"/>
        </w:rPr>
        <w:t>could</w:t>
      </w:r>
      <w:r w:rsidRPr="00BF4D0A">
        <w:rPr>
          <w:rFonts w:ascii="Times New Roman" w:hAnsi="Times New Roman" w:cs="Times New Roman"/>
        </w:rPr>
        <w:t xml:space="preserve"> lead to facility-wide enhancements in piping inspections, and replacement of numerous additional piping</w:t>
      </w:r>
      <w:r w:rsidR="00951561">
        <w:rPr>
          <w:rFonts w:ascii="Times New Roman" w:hAnsi="Times New Roman" w:cs="Times New Roman"/>
        </w:rPr>
        <w:t xml:space="preserve"> </w:t>
      </w:r>
      <w:r w:rsidRPr="00BF4D0A">
        <w:rPr>
          <w:rFonts w:ascii="Times New Roman" w:hAnsi="Times New Roman" w:cs="Times New Roman"/>
        </w:rPr>
        <w:t xml:space="preserve">sections where excessive corrosion </w:t>
      </w:r>
      <w:r w:rsidRPr="00BF4D0A" w:rsidR="004D5D4D">
        <w:rPr>
          <w:rFonts w:ascii="Times New Roman" w:hAnsi="Times New Roman" w:cs="Times New Roman"/>
        </w:rPr>
        <w:t xml:space="preserve">was </w:t>
      </w:r>
      <w:r w:rsidR="004D5D4D">
        <w:rPr>
          <w:rFonts w:ascii="Times New Roman" w:hAnsi="Times New Roman" w:cs="Times New Roman"/>
        </w:rPr>
        <w:t>subsequently</w:t>
      </w:r>
      <w:r w:rsidRPr="00BF4D0A">
        <w:rPr>
          <w:rFonts w:ascii="Times New Roman" w:hAnsi="Times New Roman" w:cs="Times New Roman"/>
        </w:rPr>
        <w:t xml:space="preserve"> identified. Similarly, instead of providing additional training for a single operator, the root cause investigation </w:t>
      </w:r>
      <w:r w:rsidRPr="00BF4D0A" w:rsidR="00FE63C5">
        <w:rPr>
          <w:rFonts w:ascii="Times New Roman" w:hAnsi="Times New Roman" w:cs="Times New Roman"/>
        </w:rPr>
        <w:t>could</w:t>
      </w:r>
      <w:r w:rsidRPr="00BF4D0A">
        <w:rPr>
          <w:rFonts w:ascii="Times New Roman" w:hAnsi="Times New Roman" w:cs="Times New Roman"/>
        </w:rPr>
        <w:t xml:space="preserve"> prompt a</w:t>
      </w:r>
      <w:r w:rsidRPr="00BF4D0A" w:rsidR="00FE63C5">
        <w:rPr>
          <w:rFonts w:ascii="Times New Roman" w:hAnsi="Times New Roman" w:cs="Times New Roman"/>
        </w:rPr>
        <w:t xml:space="preserve">n </w:t>
      </w:r>
      <w:r w:rsidRPr="00BF4D0A">
        <w:rPr>
          <w:rFonts w:ascii="Times New Roman" w:hAnsi="Times New Roman" w:cs="Times New Roman"/>
        </w:rPr>
        <w:t>overhaul of the facility’s operator training program, including use of new training techniques</w:t>
      </w:r>
      <w:r w:rsidRPr="00BF4D0A" w:rsidR="00FE63C5">
        <w:rPr>
          <w:rFonts w:ascii="Times New Roman" w:hAnsi="Times New Roman" w:cs="Times New Roman"/>
        </w:rPr>
        <w:t xml:space="preserve"> </w:t>
      </w:r>
      <w:r w:rsidRPr="00BF4D0A">
        <w:rPr>
          <w:rFonts w:ascii="Times New Roman" w:hAnsi="Times New Roman" w:cs="Times New Roman"/>
        </w:rPr>
        <w:t xml:space="preserve">and additional training for all process operators. Root cause investigations may also reveal multiple systemic accident causes. For example, in addition to identifying systemic training problems, the </w:t>
      </w:r>
      <w:r w:rsidRPr="00BF4D0A" w:rsidR="00FE63C5">
        <w:rPr>
          <w:rFonts w:ascii="Times New Roman" w:hAnsi="Times New Roman" w:cs="Times New Roman"/>
        </w:rPr>
        <w:t>i</w:t>
      </w:r>
      <w:r w:rsidRPr="00BF4D0A">
        <w:rPr>
          <w:rFonts w:ascii="Times New Roman" w:hAnsi="Times New Roman" w:cs="Times New Roman"/>
        </w:rPr>
        <w:t>nvestigation may reveal other underlying root causes such as an equipment design problem that led the operator to make the error (e.g., confusing labeling or equipment configuration), or unclear operating procedures.</w:t>
      </w:r>
    </w:p>
    <w:p w:rsidR="00E235AD" w:rsidP="00576F93" w14:paraId="6B74C567" w14:textId="77777777">
      <w:pPr>
        <w:spacing w:after="0" w:line="240" w:lineRule="auto"/>
        <w:ind w:firstLine="360"/>
        <w:rPr>
          <w:rFonts w:ascii="Times New Roman" w:hAnsi="Times New Roman" w:cs="Times New Roman"/>
          <w:i/>
          <w:u w:val="single"/>
        </w:rPr>
      </w:pPr>
    </w:p>
    <w:p w:rsidR="00435210" w:rsidP="000D4AD7" w14:paraId="79C5EDE3" w14:textId="77777777">
      <w:pPr>
        <w:widowControl w:val="0"/>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Resolving system-related deficiencies is expected, on average, to require greater expenditures than resolving investigation findings related to baseline (i.e., non-root-cause) investigations. However, similar to audits, EPA expects that resolving underlying problems will, in the long term, reduce the probability and magnitude of a future accident. Similar</w:t>
      </w:r>
      <w:r w:rsidRPr="00BF4D0A" w:rsidR="00970111">
        <w:rPr>
          <w:rFonts w:ascii="Times New Roman" w:hAnsi="Times New Roman" w:cs="Times New Roman"/>
        </w:rPr>
        <w:t xml:space="preserve"> </w:t>
      </w:r>
      <w:r w:rsidRPr="00BF4D0A">
        <w:rPr>
          <w:rFonts w:ascii="Times New Roman" w:hAnsi="Times New Roman" w:cs="Times New Roman"/>
        </w:rPr>
        <w:t>to the audit, the incident investigation is intended to bring facilities into compliance by revealing deficient a</w:t>
      </w:r>
      <w:r w:rsidRPr="00BF4D0A" w:rsidR="00970111">
        <w:rPr>
          <w:rFonts w:ascii="Times New Roman" w:hAnsi="Times New Roman" w:cs="Times New Roman"/>
        </w:rPr>
        <w:t>reas</w:t>
      </w:r>
      <w:r w:rsidRPr="00BF4D0A">
        <w:rPr>
          <w:rFonts w:ascii="Times New Roman" w:hAnsi="Times New Roman" w:cs="Times New Roman"/>
        </w:rPr>
        <w:t xml:space="preserve"> of facility operations – in this case, a</w:t>
      </w:r>
      <w:r w:rsidRPr="00BF4D0A" w:rsidR="00970111">
        <w:rPr>
          <w:rFonts w:ascii="Times New Roman" w:hAnsi="Times New Roman" w:cs="Times New Roman"/>
        </w:rPr>
        <w:t>reas</w:t>
      </w:r>
      <w:r w:rsidRPr="00BF4D0A">
        <w:rPr>
          <w:rFonts w:ascii="Times New Roman" w:hAnsi="Times New Roman" w:cs="Times New Roman"/>
        </w:rPr>
        <w:t xml:space="preserve"> that have caused an accident and may cause future accidents. </w:t>
      </w:r>
      <w:r w:rsidRPr="00BF4D0A" w:rsidR="00574B58">
        <w:rPr>
          <w:rFonts w:ascii="Times New Roman" w:hAnsi="Times New Roman" w:cs="Times New Roman"/>
        </w:rPr>
        <w:t xml:space="preserve">However, EPA does not have information or data showing the increment in costs </w:t>
      </w:r>
      <w:r w:rsidRPr="00BF4D0A" w:rsidR="00856649">
        <w:rPr>
          <w:rFonts w:ascii="Times New Roman" w:hAnsi="Times New Roman" w:cs="Times New Roman"/>
        </w:rPr>
        <w:t xml:space="preserve">faced by a facility implementing changes recommended by a root cause analysis relative to a less deep incident investigation. </w:t>
      </w:r>
      <w:r w:rsidRPr="00BF4D0A" w:rsidR="007357EB">
        <w:rPr>
          <w:rFonts w:ascii="Times New Roman" w:hAnsi="Times New Roman" w:cs="Times New Roman"/>
        </w:rPr>
        <w:t xml:space="preserve">Due to these uncertainties and this lack of information, EPA did not </w:t>
      </w:r>
      <w:r w:rsidRPr="00BF4D0A" w:rsidR="00D13D38">
        <w:rPr>
          <w:rFonts w:ascii="Times New Roman" w:hAnsi="Times New Roman" w:cs="Times New Roman"/>
        </w:rPr>
        <w:t>e</w:t>
      </w:r>
      <w:r w:rsidRPr="00BF4D0A" w:rsidR="007357EB">
        <w:rPr>
          <w:rFonts w:ascii="Times New Roman" w:hAnsi="Times New Roman" w:cs="Times New Roman"/>
        </w:rPr>
        <w:t>stimate</w:t>
      </w:r>
      <w:r w:rsidRPr="00BF4D0A" w:rsidR="00D13D38">
        <w:rPr>
          <w:rFonts w:ascii="Times New Roman" w:hAnsi="Times New Roman" w:cs="Times New Roman"/>
        </w:rPr>
        <w:t xml:space="preserve"> potential</w:t>
      </w:r>
      <w:r w:rsidRPr="00BF4D0A" w:rsidR="007357EB">
        <w:rPr>
          <w:rFonts w:ascii="Times New Roman" w:hAnsi="Times New Roman" w:cs="Times New Roman"/>
        </w:rPr>
        <w:t xml:space="preserve"> </w:t>
      </w:r>
      <w:r w:rsidRPr="00BF4D0A" w:rsidR="00D13D38">
        <w:rPr>
          <w:rFonts w:ascii="Times New Roman" w:hAnsi="Times New Roman" w:cs="Times New Roman"/>
        </w:rPr>
        <w:t>c</w:t>
      </w:r>
      <w:r w:rsidRPr="00BF4D0A" w:rsidR="007357EB">
        <w:rPr>
          <w:rFonts w:ascii="Times New Roman" w:hAnsi="Times New Roman" w:cs="Times New Roman"/>
        </w:rPr>
        <w:t>osts from follow-up actions.</w:t>
      </w:r>
    </w:p>
    <w:p w:rsidR="008B47E4" w:rsidP="000D4AD7" w14:paraId="394405D7" w14:textId="77777777">
      <w:pPr>
        <w:widowControl w:val="0"/>
        <w:spacing w:after="0" w:line="240" w:lineRule="auto"/>
        <w:ind w:firstLine="360"/>
        <w:rPr>
          <w:rFonts w:ascii="Times New Roman" w:hAnsi="Times New Roman" w:cs="Times New Roman"/>
        </w:rPr>
      </w:pPr>
    </w:p>
    <w:p w:rsidR="008B47E4" w:rsidRPr="00C9143C" w:rsidP="00C9143C" w14:paraId="01A0E3FF" w14:textId="77777777">
      <w:pPr>
        <w:pStyle w:val="Heading3"/>
        <w:rPr>
          <w:rFonts w:ascii="Times New Roman" w:hAnsi="Times New Roman" w:cs="Times New Roman"/>
          <w:sz w:val="22"/>
          <w:szCs w:val="22"/>
        </w:rPr>
      </w:pPr>
      <w:bookmarkStart w:id="345" w:name="_Toc141733176"/>
      <w:bookmarkStart w:id="346" w:name="_Toc142404080"/>
      <w:bookmarkStart w:id="347" w:name="_Toc144213888"/>
      <w:bookmarkStart w:id="348" w:name="_Toc144283633"/>
      <w:bookmarkStart w:id="349" w:name="_Toc144303571"/>
      <w:r w:rsidRPr="00C9143C">
        <w:rPr>
          <w:rFonts w:ascii="Times New Roman" w:hAnsi="Times New Roman" w:cs="Times New Roman"/>
          <w:sz w:val="22"/>
          <w:szCs w:val="22"/>
        </w:rPr>
        <w:t>5.7.3 Third-party audits</w:t>
      </w:r>
      <w:bookmarkEnd w:id="345"/>
      <w:bookmarkEnd w:id="346"/>
      <w:bookmarkEnd w:id="347"/>
      <w:bookmarkEnd w:id="348"/>
      <w:bookmarkEnd w:id="349"/>
    </w:p>
    <w:p w:rsidR="008B47E4" w:rsidP="000D4AD7" w14:paraId="14576DC7" w14:textId="77777777">
      <w:pPr>
        <w:widowControl w:val="0"/>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The purpose of a compliance audit is to examine whether the facility’s accident prevention program – PHA, mechanical integrity program, operating procedures, etc. – is properly implemented and in compliance with 40 CFR part 68 requirements. Compliance audits can produce a wide range of findings. Changes recommended in the third-party audit relative to in-house compliance audits may be more costly.</w:t>
      </w:r>
    </w:p>
    <w:p w:rsidR="008B47E4" w:rsidRPr="00BF4D0A" w:rsidP="000D4AD7" w14:paraId="791B3159" w14:textId="77777777">
      <w:pPr>
        <w:widowControl w:val="0"/>
        <w:spacing w:after="0" w:line="240" w:lineRule="auto"/>
        <w:ind w:firstLine="360"/>
        <w:rPr>
          <w:rFonts w:ascii="Times New Roman" w:hAnsi="Times New Roman" w:cs="Times New Roman"/>
        </w:rPr>
      </w:pPr>
    </w:p>
    <w:p w:rsidR="008B47E4" w:rsidP="000D4AD7" w14:paraId="234128AB" w14:textId="77777777">
      <w:pPr>
        <w:widowControl w:val="0"/>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Rigorous auditing by trained experts provides a detailed and thorough examination of potential problems and presents potential solutions to remedy those problems. Currently, compliance audits may be conducted by staff with less expertise</w:t>
      </w:r>
      <w:r w:rsidR="0000623E">
        <w:rPr>
          <w:rFonts w:ascii="Times New Roman" w:hAnsi="Times New Roman" w:cs="Times New Roman"/>
        </w:rPr>
        <w:t xml:space="preserve"> than a third-party expert,</w:t>
      </w:r>
      <w:r w:rsidRPr="00BF4D0A">
        <w:rPr>
          <w:rFonts w:ascii="Times New Roman" w:hAnsi="Times New Roman" w:cs="Times New Roman"/>
        </w:rPr>
        <w:t xml:space="preserve"> or in-house staff that is not arms-length from the facility. The remedies suggested by a third-party audit are expected to be more efficient at identifying deficiencies and correcting hazards than remedies that </w:t>
      </w:r>
      <w:r w:rsidR="009449B7">
        <w:rPr>
          <w:rFonts w:ascii="Times New Roman" w:hAnsi="Times New Roman" w:cs="Times New Roman"/>
        </w:rPr>
        <w:t>will</w:t>
      </w:r>
      <w:r w:rsidRPr="00BF4D0A">
        <w:rPr>
          <w:rFonts w:ascii="Times New Roman" w:hAnsi="Times New Roman" w:cs="Times New Roman"/>
        </w:rPr>
        <w:t xml:space="preserve"> be recommended in the baseline. From this perspective, EPA expects that the more effective remedies suggested by third-party audits will impose different, but not necessarily additional, costs. They may reveal underlying problems and remedies that result in a more efficient allocation of the resources targeted at bringing the facility into compliance with the RMP rule.</w:t>
      </w:r>
    </w:p>
    <w:p w:rsidR="008B47E4" w:rsidRPr="00BF4D0A" w:rsidP="008B47E4" w14:paraId="15C1F79F" w14:textId="77777777">
      <w:pPr>
        <w:keepNext/>
        <w:keepLines/>
        <w:spacing w:after="0" w:line="240" w:lineRule="auto"/>
        <w:ind w:firstLine="360"/>
        <w:rPr>
          <w:rFonts w:ascii="Times New Roman" w:hAnsi="Times New Roman" w:cs="Times New Roman"/>
        </w:rPr>
      </w:pPr>
    </w:p>
    <w:p w:rsidR="008B47E4" w:rsidP="008B47E4" w14:paraId="4D455DE3" w14:textId="77777777">
      <w:pPr>
        <w:keepNext/>
        <w:keepLines/>
        <w:spacing w:after="0" w:line="240" w:lineRule="auto"/>
        <w:ind w:firstLine="360"/>
        <w:rPr>
          <w:rFonts w:ascii="Times New Roman" w:hAnsi="Times New Roman" w:cs="Times New Roman"/>
        </w:rPr>
      </w:pPr>
      <w:r>
        <w:rPr>
          <w:rFonts w:ascii="Times New Roman" w:hAnsi="Times New Roman" w:cs="Times New Roman"/>
        </w:rPr>
        <w:tab/>
      </w:r>
      <w:r w:rsidRPr="00BF4D0A">
        <w:rPr>
          <w:rFonts w:ascii="Times New Roman" w:hAnsi="Times New Roman" w:cs="Times New Roman"/>
        </w:rPr>
        <w:t>Examples of potential actions resulting from third-party audits include more frequent equipment inspections, use of different or additional inspection methods, equipment upgrade or replacement, installation and use of different or additional hazard controls, altering process operating conditions, materials, or chemistry, modification of operating procedures, additional training, and staffing changes, among others. The wide scope of compliance audits and variation in potential follow up actions create uncertainty in estimating expected costs, which is exacerbated by a lack of information about the incremental difference in changes that result from a third-party audit compared to a baseline audit. Due to these uncertainties and this lack of information, EPA did not estimate the potential</w:t>
      </w:r>
      <w:r w:rsidR="00B60DF9">
        <w:rPr>
          <w:rFonts w:ascii="Times New Roman" w:hAnsi="Times New Roman" w:cs="Times New Roman"/>
        </w:rPr>
        <w:t xml:space="preserve"> incremental</w:t>
      </w:r>
      <w:r w:rsidRPr="00BF4D0A">
        <w:rPr>
          <w:rFonts w:ascii="Times New Roman" w:hAnsi="Times New Roman" w:cs="Times New Roman"/>
        </w:rPr>
        <w:t xml:space="preserve"> costs from follow-up actions</w:t>
      </w:r>
      <w:r w:rsidR="00B60DF9">
        <w:rPr>
          <w:rFonts w:ascii="Times New Roman" w:hAnsi="Times New Roman" w:cs="Times New Roman"/>
        </w:rPr>
        <w:t xml:space="preserve"> </w:t>
      </w:r>
      <w:r w:rsidR="009D3178">
        <w:rPr>
          <w:rFonts w:ascii="Times New Roman" w:hAnsi="Times New Roman" w:cs="Times New Roman"/>
        </w:rPr>
        <w:t>from a third-party audit relative to a bas</w:t>
      </w:r>
      <w:r w:rsidR="004621AC">
        <w:rPr>
          <w:rFonts w:ascii="Times New Roman" w:hAnsi="Times New Roman" w:cs="Times New Roman"/>
        </w:rPr>
        <w:t>e</w:t>
      </w:r>
      <w:r w:rsidR="009D3178">
        <w:rPr>
          <w:rFonts w:ascii="Times New Roman" w:hAnsi="Times New Roman" w:cs="Times New Roman"/>
        </w:rPr>
        <w:t>line compliance audit</w:t>
      </w:r>
      <w:r w:rsidRPr="00BF4D0A">
        <w:rPr>
          <w:rFonts w:ascii="Times New Roman" w:hAnsi="Times New Roman" w:cs="Times New Roman"/>
        </w:rPr>
        <w:t>.</w:t>
      </w:r>
    </w:p>
    <w:p w:rsidR="007A3FB8" w:rsidRPr="00BF4D0A" w:rsidP="008B47E4" w14:paraId="792FA01C" w14:textId="77777777">
      <w:pPr>
        <w:keepNext/>
        <w:keepLines/>
        <w:spacing w:after="0" w:line="240" w:lineRule="auto"/>
        <w:ind w:firstLine="360"/>
        <w:rPr>
          <w:rFonts w:ascii="Times New Roman" w:hAnsi="Times New Roman" w:cs="Times New Roman"/>
        </w:rPr>
      </w:pPr>
    </w:p>
    <w:p w:rsidR="00435210" w:rsidRPr="00BF4D0A" w:rsidP="00C07306" w14:paraId="331E396D" w14:textId="77777777">
      <w:pPr>
        <w:pStyle w:val="Heading2"/>
      </w:pPr>
      <w:bookmarkStart w:id="350" w:name="5.8__Total_Costs"/>
      <w:bookmarkStart w:id="351" w:name="_bookmark96"/>
      <w:bookmarkStart w:id="352" w:name="_Toc98856226"/>
      <w:bookmarkStart w:id="353" w:name="_Toc144303572"/>
      <w:bookmarkEnd w:id="350"/>
      <w:bookmarkEnd w:id="351"/>
      <w:r w:rsidRPr="00BF4D0A">
        <w:t>5.</w:t>
      </w:r>
      <w:r w:rsidR="00B4341D">
        <w:t>8</w:t>
      </w:r>
      <w:r w:rsidRPr="00BF4D0A">
        <w:t xml:space="preserve"> Total</w:t>
      </w:r>
      <w:r w:rsidRPr="00BF4D0A">
        <w:rPr>
          <w:spacing w:val="1"/>
        </w:rPr>
        <w:t xml:space="preserve"> </w:t>
      </w:r>
      <w:r w:rsidRPr="00BF4D0A" w:rsidR="00856649">
        <w:rPr>
          <w:spacing w:val="1"/>
        </w:rPr>
        <w:t xml:space="preserve">Estimated </w:t>
      </w:r>
      <w:r w:rsidRPr="00BF4D0A">
        <w:t>Costs</w:t>
      </w:r>
      <w:bookmarkEnd w:id="352"/>
      <w:bookmarkEnd w:id="353"/>
    </w:p>
    <w:p w:rsidR="005B7518" w:rsidRPr="00576F93" w:rsidP="00576F93" w14:paraId="298DC9C4" w14:textId="77777777">
      <w:pPr>
        <w:spacing w:after="0" w:line="240" w:lineRule="auto"/>
        <w:ind w:firstLine="360"/>
        <w:rPr>
          <w:rFonts w:ascii="Times New Roman" w:hAnsi="Times New Roman" w:cs="Times New Roman"/>
        </w:rPr>
      </w:pPr>
      <w:r>
        <w:rPr>
          <w:rFonts w:ascii="Times New Roman" w:hAnsi="Times New Roman" w:cs="Times New Roman"/>
        </w:rPr>
        <w:tab/>
      </w:r>
      <w:r w:rsidRPr="00BF4D0A" w:rsidR="00435210">
        <w:rPr>
          <w:rFonts w:ascii="Times New Roman" w:hAnsi="Times New Roman" w:cs="Times New Roman"/>
        </w:rPr>
        <w:t>The analysis presents total costs as total undiscounted costs over the 10</w:t>
      </w:r>
      <w:r w:rsidRPr="00BF4D0A" w:rsidR="00CB69DF">
        <w:rPr>
          <w:rFonts w:ascii="Times New Roman" w:hAnsi="Times New Roman" w:cs="Times New Roman"/>
        </w:rPr>
        <w:t>-</w:t>
      </w:r>
      <w:r w:rsidRPr="00BF4D0A" w:rsidR="00435210">
        <w:rPr>
          <w:rFonts w:ascii="Times New Roman" w:hAnsi="Times New Roman" w:cs="Times New Roman"/>
        </w:rPr>
        <w:t xml:space="preserve">year period of analysis, total discounted </w:t>
      </w:r>
      <w:r w:rsidR="002233CE">
        <w:rPr>
          <w:rFonts w:ascii="Times New Roman" w:hAnsi="Times New Roman" w:cs="Times New Roman"/>
        </w:rPr>
        <w:t xml:space="preserve">costs </w:t>
      </w:r>
      <w:r w:rsidRPr="00BF4D0A" w:rsidR="00435210">
        <w:rPr>
          <w:rFonts w:ascii="Times New Roman" w:hAnsi="Times New Roman" w:cs="Times New Roman"/>
        </w:rPr>
        <w:t>(</w:t>
      </w:r>
      <w:r w:rsidRPr="00BF4D0A" w:rsidR="00B8445F">
        <w:rPr>
          <w:rFonts w:ascii="Times New Roman" w:hAnsi="Times New Roman" w:cs="Times New Roman"/>
        </w:rPr>
        <w:t xml:space="preserve">at </w:t>
      </w:r>
      <w:r w:rsidRPr="00BF4D0A" w:rsidR="00435210">
        <w:rPr>
          <w:rFonts w:ascii="Times New Roman" w:hAnsi="Times New Roman" w:cs="Times New Roman"/>
        </w:rPr>
        <w:t xml:space="preserve">3 percent and 7 percent), and annualized </w:t>
      </w:r>
      <w:r w:rsidR="002233CE">
        <w:rPr>
          <w:rFonts w:ascii="Times New Roman" w:hAnsi="Times New Roman" w:cs="Times New Roman"/>
        </w:rPr>
        <w:t xml:space="preserve">costs </w:t>
      </w:r>
      <w:r w:rsidRPr="00BF4D0A" w:rsidR="00435210">
        <w:rPr>
          <w:rFonts w:ascii="Times New Roman" w:hAnsi="Times New Roman" w:cs="Times New Roman"/>
        </w:rPr>
        <w:t>(</w:t>
      </w:r>
      <w:r w:rsidRPr="00BF4D0A" w:rsidR="00B8445F">
        <w:rPr>
          <w:rFonts w:ascii="Times New Roman" w:hAnsi="Times New Roman" w:cs="Times New Roman"/>
        </w:rPr>
        <w:t xml:space="preserve">at </w:t>
      </w:r>
      <w:r w:rsidRPr="00BF4D0A" w:rsidR="00435210">
        <w:rPr>
          <w:rFonts w:ascii="Times New Roman" w:hAnsi="Times New Roman" w:cs="Times New Roman"/>
        </w:rPr>
        <w:t>3 percent and 7 percent). When annual costs for different years are equal across the analysis time period,</w:t>
      </w:r>
      <w:r w:rsidRPr="00BF4D0A" w:rsidR="00856649">
        <w:rPr>
          <w:rFonts w:ascii="Times New Roman" w:hAnsi="Times New Roman" w:cs="Times New Roman"/>
        </w:rPr>
        <w:t xml:space="preserve"> which is the case for all </w:t>
      </w:r>
      <w:r w:rsidR="00841BD8">
        <w:rPr>
          <w:rFonts w:ascii="Times New Roman" w:hAnsi="Times New Roman" w:cs="Times New Roman"/>
        </w:rPr>
        <w:t>prov</w:t>
      </w:r>
      <w:r w:rsidRPr="00BF4D0A" w:rsidR="00856649">
        <w:rPr>
          <w:rFonts w:ascii="Times New Roman" w:hAnsi="Times New Roman" w:cs="Times New Roman"/>
        </w:rPr>
        <w:t>ision</w:t>
      </w:r>
      <w:r w:rsidR="00175E30">
        <w:rPr>
          <w:rFonts w:ascii="Times New Roman" w:hAnsi="Times New Roman" w:cs="Times New Roman"/>
        </w:rPr>
        <w:t>s</w:t>
      </w:r>
      <w:r w:rsidR="00841BD8">
        <w:rPr>
          <w:rFonts w:ascii="Times New Roman" w:hAnsi="Times New Roman" w:cs="Times New Roman"/>
        </w:rPr>
        <w:t xml:space="preserve"> except for the </w:t>
      </w:r>
      <w:r w:rsidR="00175E30">
        <w:rPr>
          <w:rFonts w:ascii="Times New Roman" w:hAnsi="Times New Roman" w:cs="Times New Roman"/>
        </w:rPr>
        <w:t>rule familiarization</w:t>
      </w:r>
      <w:r w:rsidR="00841BD8">
        <w:rPr>
          <w:rFonts w:ascii="Times New Roman" w:hAnsi="Times New Roman" w:cs="Times New Roman"/>
        </w:rPr>
        <w:t xml:space="preserve"> activity</w:t>
      </w:r>
      <w:r w:rsidR="00175E30">
        <w:rPr>
          <w:rFonts w:ascii="Times New Roman" w:hAnsi="Times New Roman" w:cs="Times New Roman"/>
        </w:rPr>
        <w:t xml:space="preserve"> and </w:t>
      </w:r>
      <w:r w:rsidR="00496C88">
        <w:rPr>
          <w:rFonts w:ascii="Times New Roman" w:hAnsi="Times New Roman" w:cs="Times New Roman"/>
        </w:rPr>
        <w:t>STAA</w:t>
      </w:r>
      <w:r w:rsidRPr="00BF4D0A" w:rsidR="00856649">
        <w:rPr>
          <w:rFonts w:ascii="Times New Roman" w:hAnsi="Times New Roman" w:cs="Times New Roman"/>
        </w:rPr>
        <w:t>,</w:t>
      </w:r>
      <w:r w:rsidRPr="00BF4D0A" w:rsidR="00435210">
        <w:rPr>
          <w:rFonts w:ascii="Times New Roman" w:hAnsi="Times New Roman" w:cs="Times New Roman"/>
        </w:rPr>
        <w:t xml:space="preserve"> the annualized costs calculated using different discount rates (e.g., 3 and 7 percent) are equal.</w:t>
      </w:r>
      <w:r w:rsidRPr="00BF4D0A" w:rsidR="00723D49">
        <w:rPr>
          <w:rFonts w:ascii="Times New Roman" w:hAnsi="Times New Roman" w:cs="Times New Roman"/>
        </w:rPr>
        <w:t xml:space="preserve"> </w:t>
      </w:r>
      <w:r w:rsidRPr="00BF4D0A" w:rsidR="00200686">
        <w:rPr>
          <w:rFonts w:ascii="Times New Roman" w:hAnsi="Times New Roman" w:cs="Times New Roman"/>
        </w:rPr>
        <w:t>Exhibit 5-</w:t>
      </w:r>
      <w:r w:rsidR="00D23A17">
        <w:rPr>
          <w:rFonts w:ascii="Times New Roman" w:hAnsi="Times New Roman" w:cs="Times New Roman"/>
        </w:rPr>
        <w:t>1</w:t>
      </w:r>
      <w:r w:rsidR="002613A7">
        <w:rPr>
          <w:rFonts w:ascii="Times New Roman" w:hAnsi="Times New Roman" w:cs="Times New Roman"/>
        </w:rPr>
        <w:t>7</w:t>
      </w:r>
      <w:r w:rsidR="00D23A17">
        <w:rPr>
          <w:rFonts w:ascii="Times New Roman" w:hAnsi="Times New Roman" w:cs="Times New Roman"/>
        </w:rPr>
        <w:t xml:space="preserve"> </w:t>
      </w:r>
      <w:r w:rsidRPr="00BF4D0A" w:rsidR="00200686">
        <w:rPr>
          <w:rFonts w:ascii="Times New Roman" w:hAnsi="Times New Roman" w:cs="Times New Roman"/>
        </w:rPr>
        <w:t xml:space="preserve">presents the total </w:t>
      </w:r>
      <w:r w:rsidRPr="00BF4D0A" w:rsidR="00CF053F">
        <w:rPr>
          <w:rFonts w:ascii="Times New Roman" w:hAnsi="Times New Roman" w:cs="Times New Roman"/>
        </w:rPr>
        <w:t xml:space="preserve">estimated </w:t>
      </w:r>
      <w:r w:rsidRPr="00BF4D0A" w:rsidR="00200686">
        <w:rPr>
          <w:rFonts w:ascii="Times New Roman" w:hAnsi="Times New Roman" w:cs="Times New Roman"/>
        </w:rPr>
        <w:t>cost</w:t>
      </w:r>
      <w:r w:rsidRPr="00BF4D0A" w:rsidR="00B8445F">
        <w:rPr>
          <w:rFonts w:ascii="Times New Roman" w:hAnsi="Times New Roman" w:cs="Times New Roman"/>
        </w:rPr>
        <w:t>s</w:t>
      </w:r>
      <w:r w:rsidRPr="00BF4D0A" w:rsidR="00200686">
        <w:rPr>
          <w:rFonts w:ascii="Times New Roman" w:hAnsi="Times New Roman" w:cs="Times New Roman"/>
        </w:rPr>
        <w:t xml:space="preserve"> for the </w:t>
      </w:r>
      <w:r w:rsidR="00F82FF6">
        <w:rPr>
          <w:rFonts w:ascii="Times New Roman" w:hAnsi="Times New Roman" w:cs="Times New Roman"/>
        </w:rPr>
        <w:t>final</w:t>
      </w:r>
      <w:r w:rsidRPr="00BF4D0A" w:rsidR="00F82FF6">
        <w:rPr>
          <w:rFonts w:ascii="Times New Roman" w:hAnsi="Times New Roman" w:cs="Times New Roman"/>
        </w:rPr>
        <w:t xml:space="preserve"> </w:t>
      </w:r>
      <w:r w:rsidRPr="00BF4D0A" w:rsidR="00200686">
        <w:rPr>
          <w:rFonts w:ascii="Times New Roman" w:hAnsi="Times New Roman" w:cs="Times New Roman"/>
        </w:rPr>
        <w:t>rule.</w:t>
      </w:r>
      <w:r w:rsidRPr="00BF4D0A" w:rsidR="00723D49">
        <w:rPr>
          <w:rFonts w:ascii="Times New Roman" w:hAnsi="Times New Roman" w:cs="Times New Roman"/>
        </w:rPr>
        <w:t xml:space="preserve"> In total, the </w:t>
      </w:r>
      <w:r w:rsidR="00F82FF6">
        <w:rPr>
          <w:rFonts w:ascii="Times New Roman" w:hAnsi="Times New Roman" w:cs="Times New Roman"/>
        </w:rPr>
        <w:t>final</w:t>
      </w:r>
      <w:r w:rsidRPr="00BF4D0A" w:rsidR="00F82FF6">
        <w:rPr>
          <w:rFonts w:ascii="Times New Roman" w:hAnsi="Times New Roman" w:cs="Times New Roman"/>
        </w:rPr>
        <w:t xml:space="preserve"> </w:t>
      </w:r>
      <w:r w:rsidRPr="00BF4D0A" w:rsidR="00723D49">
        <w:rPr>
          <w:rFonts w:ascii="Times New Roman" w:hAnsi="Times New Roman" w:cs="Times New Roman"/>
        </w:rPr>
        <w:t xml:space="preserve">rule </w:t>
      </w:r>
      <w:r w:rsidR="00CD7457">
        <w:rPr>
          <w:rFonts w:ascii="Times New Roman" w:hAnsi="Times New Roman" w:cs="Times New Roman"/>
        </w:rPr>
        <w:t>is estimated to</w:t>
      </w:r>
      <w:r w:rsidRPr="00BF4D0A" w:rsidR="00723D49">
        <w:rPr>
          <w:rFonts w:ascii="Times New Roman" w:hAnsi="Times New Roman" w:cs="Times New Roman"/>
        </w:rPr>
        <w:t xml:space="preserve"> cost $</w:t>
      </w:r>
      <w:r w:rsidR="00C35815">
        <w:rPr>
          <w:rFonts w:ascii="Times New Roman" w:hAnsi="Times New Roman" w:cs="Times New Roman"/>
        </w:rPr>
        <w:t>257</w:t>
      </w:r>
      <w:r w:rsidRPr="00BF4D0A" w:rsidR="00B82548">
        <w:rPr>
          <w:rFonts w:ascii="Times New Roman" w:hAnsi="Times New Roman" w:cs="Times New Roman"/>
        </w:rPr>
        <w:t xml:space="preserve"> million per y</w:t>
      </w:r>
      <w:r w:rsidR="00C84234">
        <w:rPr>
          <w:rFonts w:ascii="Times New Roman" w:hAnsi="Times New Roman" w:cs="Times New Roman"/>
        </w:rPr>
        <w:t>e</w:t>
      </w:r>
      <w:r w:rsidRPr="00BF4D0A" w:rsidR="00B82548">
        <w:rPr>
          <w:rFonts w:ascii="Times New Roman" w:hAnsi="Times New Roman" w:cs="Times New Roman"/>
        </w:rPr>
        <w:t>ar</w:t>
      </w:r>
      <w:r w:rsidRPr="00BF4D0A" w:rsidR="00723D49">
        <w:rPr>
          <w:rFonts w:ascii="Times New Roman" w:hAnsi="Times New Roman" w:cs="Times New Roman"/>
        </w:rPr>
        <w:t xml:space="preserve"> (annualized </w:t>
      </w:r>
      <w:r w:rsidRPr="00BF4D0A" w:rsidR="008A47AE">
        <w:rPr>
          <w:rFonts w:ascii="Times New Roman" w:hAnsi="Times New Roman" w:cs="Times New Roman"/>
        </w:rPr>
        <w:t>at</w:t>
      </w:r>
      <w:r w:rsidRPr="00BF4D0A" w:rsidR="00723D49">
        <w:rPr>
          <w:rFonts w:ascii="Times New Roman" w:hAnsi="Times New Roman" w:cs="Times New Roman"/>
        </w:rPr>
        <w:t xml:space="preserve"> 3 percent) </w:t>
      </w:r>
      <w:r w:rsidR="00CD4C58">
        <w:rPr>
          <w:rFonts w:ascii="Times New Roman" w:hAnsi="Times New Roman" w:cs="Times New Roman"/>
        </w:rPr>
        <w:t>and</w:t>
      </w:r>
      <w:r w:rsidRPr="00BF4D0A" w:rsidR="00723D49">
        <w:rPr>
          <w:rFonts w:ascii="Times New Roman" w:hAnsi="Times New Roman" w:cs="Times New Roman"/>
        </w:rPr>
        <w:t xml:space="preserve"> $</w:t>
      </w:r>
      <w:r w:rsidR="00FF4CC4">
        <w:rPr>
          <w:rFonts w:ascii="Times New Roman" w:hAnsi="Times New Roman" w:cs="Times New Roman"/>
        </w:rPr>
        <w:t>297</w:t>
      </w:r>
      <w:r w:rsidRPr="00BF4D0A" w:rsidR="00B82548">
        <w:rPr>
          <w:rFonts w:ascii="Times New Roman" w:hAnsi="Times New Roman" w:cs="Times New Roman"/>
        </w:rPr>
        <w:t xml:space="preserve"> million per year </w:t>
      </w:r>
      <w:r w:rsidRPr="00BF4D0A" w:rsidR="00723D49">
        <w:rPr>
          <w:rFonts w:ascii="Times New Roman" w:hAnsi="Times New Roman" w:cs="Times New Roman"/>
        </w:rPr>
        <w:t xml:space="preserve">(annualized </w:t>
      </w:r>
      <w:r w:rsidRPr="00BF4D0A" w:rsidR="008A47AE">
        <w:rPr>
          <w:rFonts w:ascii="Times New Roman" w:hAnsi="Times New Roman" w:cs="Times New Roman"/>
        </w:rPr>
        <w:t>at</w:t>
      </w:r>
      <w:r w:rsidRPr="00BF4D0A" w:rsidR="00723D49">
        <w:rPr>
          <w:rFonts w:ascii="Times New Roman" w:hAnsi="Times New Roman" w:cs="Times New Roman"/>
        </w:rPr>
        <w:t xml:space="preserve"> 7 percent).</w:t>
      </w:r>
      <w:r w:rsidR="00DC369D">
        <w:br/>
      </w:r>
    </w:p>
    <w:p w:rsidR="002D372A" w:rsidP="002D372A" w14:paraId="3F821C66" w14:textId="77777777">
      <w:pPr>
        <w:spacing w:after="0" w:line="240" w:lineRule="auto"/>
        <w:jc w:val="center"/>
        <w:rPr>
          <w:rFonts w:ascii="Times New Roman" w:hAnsi="Times New Roman" w:cs="Times New Roman"/>
          <w:b/>
        </w:rPr>
      </w:pPr>
      <w:r w:rsidRPr="002D372A">
        <w:rPr>
          <w:rFonts w:ascii="Times New Roman" w:hAnsi="Times New Roman" w:cs="Times New Roman"/>
          <w:b/>
          <w:bCs/>
        </w:rPr>
        <w:t xml:space="preserve">Exhibit </w:t>
      </w:r>
      <w:r w:rsidRPr="00BF4D0A">
        <w:rPr>
          <w:rFonts w:ascii="Times New Roman" w:hAnsi="Times New Roman" w:cs="Times New Roman"/>
          <w:b/>
        </w:rPr>
        <w:t>5-</w:t>
      </w:r>
      <w:r w:rsidR="00F82FF6">
        <w:rPr>
          <w:rFonts w:ascii="Times New Roman" w:hAnsi="Times New Roman" w:cs="Times New Roman"/>
          <w:b/>
          <w:bCs/>
        </w:rPr>
        <w:t>1</w:t>
      </w:r>
      <w:r w:rsidR="002613A7">
        <w:rPr>
          <w:rFonts w:ascii="Times New Roman" w:hAnsi="Times New Roman" w:cs="Times New Roman"/>
          <w:b/>
          <w:bCs/>
        </w:rPr>
        <w:t>7</w:t>
      </w:r>
      <w:r w:rsidRPr="00BF4D0A">
        <w:rPr>
          <w:rFonts w:ascii="Times New Roman" w:hAnsi="Times New Roman" w:cs="Times New Roman"/>
          <w:b/>
        </w:rPr>
        <w:t xml:space="preserve">: Total Estimated Costs of the </w:t>
      </w:r>
      <w:r w:rsidR="00F82FF6">
        <w:rPr>
          <w:rFonts w:ascii="Times New Roman" w:hAnsi="Times New Roman" w:cs="Times New Roman"/>
          <w:b/>
        </w:rPr>
        <w:t>Final</w:t>
      </w:r>
      <w:r w:rsidRPr="00BF4D0A">
        <w:rPr>
          <w:rFonts w:ascii="Times New Roman" w:hAnsi="Times New Roman" w:cs="Times New Roman"/>
          <w:b/>
        </w:rPr>
        <w:t xml:space="preserve"> Rule (millions, 202</w:t>
      </w:r>
      <w:r w:rsidR="00F82FF6">
        <w:rPr>
          <w:rFonts w:ascii="Times New Roman" w:hAnsi="Times New Roman" w:cs="Times New Roman"/>
          <w:b/>
        </w:rPr>
        <w:t>2</w:t>
      </w:r>
      <w:r w:rsidRPr="00BF4D0A">
        <w:rPr>
          <w:rFonts w:ascii="Times New Roman" w:hAnsi="Times New Roman" w:cs="Times New Roman"/>
          <w:b/>
        </w:rPr>
        <w:t xml:space="preserve"> </w:t>
      </w:r>
      <w:r w:rsidR="00794F08">
        <w:rPr>
          <w:rFonts w:ascii="Times New Roman" w:hAnsi="Times New Roman" w:cs="Times New Roman"/>
          <w:b/>
        </w:rPr>
        <w:t>d</w:t>
      </w:r>
      <w:r w:rsidRPr="00BF4D0A">
        <w:rPr>
          <w:rFonts w:ascii="Times New Roman" w:hAnsi="Times New Roman" w:cs="Times New Roman"/>
          <w:b/>
        </w:rPr>
        <w:t>ollars)</w:t>
      </w:r>
      <w:r>
        <w:rPr>
          <w:rFonts w:ascii="Times New Roman" w:hAnsi="Times New Roman" w:cs="Times New Roman"/>
          <w:b/>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2"/>
        <w:gridCol w:w="1260"/>
        <w:gridCol w:w="1530"/>
        <w:gridCol w:w="1530"/>
        <w:gridCol w:w="1170"/>
        <w:gridCol w:w="1080"/>
      </w:tblGrid>
      <w:tr w14:paraId="24277927" w14:textId="77777777" w:rsidTr="00D8562D">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52"/>
          <w:jc w:val="center"/>
        </w:trPr>
        <w:tc>
          <w:tcPr>
            <w:tcW w:w="1612" w:type="dxa"/>
            <w:tcBorders>
              <w:left w:val="single" w:sz="6" w:space="0" w:color="000000"/>
              <w:bottom w:val="single" w:sz="6" w:space="0" w:color="000000"/>
              <w:right w:val="single" w:sz="6" w:space="0" w:color="000000"/>
            </w:tcBorders>
            <w:shd w:val="clear" w:color="auto" w:fill="D9D9D9" w:themeFill="background1" w:themeFillShade="D9"/>
            <w:vAlign w:val="center"/>
          </w:tcPr>
          <w:p w:rsidR="00E81DC0" w:rsidRPr="00A773FB" w:rsidP="00FA04B8" w14:paraId="7D8857BB" w14:textId="77777777">
            <w:pPr>
              <w:spacing w:after="0" w:line="240" w:lineRule="auto"/>
              <w:ind w:firstLine="79"/>
              <w:jc w:val="center"/>
              <w:rPr>
                <w:rFonts w:ascii="Times New Roman" w:hAnsi="Times New Roman" w:cs="Times New Roman"/>
                <w:b/>
                <w:sz w:val="20"/>
                <w:szCs w:val="20"/>
              </w:rPr>
            </w:pPr>
            <w:r w:rsidRPr="00A773FB">
              <w:rPr>
                <w:rFonts w:ascii="Times New Roman" w:hAnsi="Times New Roman" w:cs="Times New Roman"/>
                <w:b/>
                <w:sz w:val="20"/>
                <w:szCs w:val="20"/>
              </w:rPr>
              <w:t>Cost Elements</w:t>
            </w:r>
          </w:p>
        </w:tc>
        <w:tc>
          <w:tcPr>
            <w:tcW w:w="1260" w:type="dxa"/>
            <w:tcBorders>
              <w:left w:val="single" w:sz="6" w:space="0" w:color="000000"/>
              <w:bottom w:val="single" w:sz="6" w:space="0" w:color="000000"/>
              <w:right w:val="single" w:sz="6" w:space="0" w:color="000000"/>
            </w:tcBorders>
            <w:shd w:val="clear" w:color="auto" w:fill="DADADA"/>
            <w:vAlign w:val="center"/>
          </w:tcPr>
          <w:p w:rsidR="00E81DC0" w:rsidRPr="00A773FB" w14:paraId="729AA99A" w14:textId="77777777">
            <w:pPr>
              <w:spacing w:after="0" w:line="240" w:lineRule="auto"/>
              <w:jc w:val="center"/>
              <w:rPr>
                <w:rFonts w:ascii="Times New Roman" w:hAnsi="Times New Roman" w:cs="Times New Roman"/>
                <w:b/>
                <w:sz w:val="20"/>
                <w:szCs w:val="20"/>
              </w:rPr>
            </w:pPr>
            <w:r w:rsidRPr="00A773FB">
              <w:rPr>
                <w:rFonts w:ascii="Times New Roman" w:hAnsi="Times New Roman" w:cs="Times New Roman"/>
                <w:b/>
                <w:sz w:val="20"/>
                <w:szCs w:val="20"/>
              </w:rPr>
              <w:t>Total Undiscounted</w:t>
            </w:r>
          </w:p>
        </w:tc>
        <w:tc>
          <w:tcPr>
            <w:tcW w:w="1530" w:type="dxa"/>
            <w:tcBorders>
              <w:left w:val="single" w:sz="6" w:space="0" w:color="000000"/>
              <w:bottom w:val="single" w:sz="6" w:space="0" w:color="000000"/>
              <w:right w:val="single" w:sz="6" w:space="0" w:color="000000"/>
            </w:tcBorders>
            <w:shd w:val="clear" w:color="auto" w:fill="DADADA"/>
            <w:vAlign w:val="center"/>
          </w:tcPr>
          <w:p w:rsidR="00E81DC0" w:rsidRPr="00A773FB" w14:paraId="32695EC6" w14:textId="77777777">
            <w:pPr>
              <w:spacing w:after="0" w:line="240" w:lineRule="auto"/>
              <w:ind w:right="85"/>
              <w:jc w:val="center"/>
              <w:rPr>
                <w:rFonts w:ascii="Times New Roman" w:hAnsi="Times New Roman" w:cs="Times New Roman"/>
                <w:b/>
                <w:sz w:val="20"/>
                <w:szCs w:val="20"/>
              </w:rPr>
            </w:pPr>
            <w:r w:rsidRPr="00A773FB">
              <w:rPr>
                <w:rFonts w:ascii="Times New Roman" w:hAnsi="Times New Roman" w:cs="Times New Roman"/>
                <w:b/>
                <w:sz w:val="20"/>
                <w:szCs w:val="20"/>
              </w:rPr>
              <w:t>Total</w:t>
            </w:r>
          </w:p>
          <w:p w:rsidR="00E81DC0" w:rsidRPr="00A773FB" w14:paraId="0F65A614" w14:textId="77777777">
            <w:pPr>
              <w:spacing w:after="0" w:line="240" w:lineRule="auto"/>
              <w:ind w:right="85"/>
              <w:jc w:val="center"/>
              <w:rPr>
                <w:rFonts w:ascii="Times New Roman" w:hAnsi="Times New Roman" w:cs="Times New Roman"/>
                <w:b/>
                <w:sz w:val="20"/>
                <w:szCs w:val="20"/>
              </w:rPr>
            </w:pPr>
            <w:r w:rsidRPr="00A773FB">
              <w:rPr>
                <w:rFonts w:ascii="Times New Roman" w:hAnsi="Times New Roman" w:cs="Times New Roman"/>
                <w:b/>
                <w:sz w:val="20"/>
                <w:szCs w:val="20"/>
              </w:rPr>
              <w:t>Discounted</w:t>
            </w:r>
          </w:p>
          <w:p w:rsidR="00E81DC0" w:rsidRPr="00A773FB" w14:paraId="49A10011" w14:textId="77777777">
            <w:pPr>
              <w:spacing w:after="0" w:line="240" w:lineRule="auto"/>
              <w:ind w:right="85"/>
              <w:jc w:val="center"/>
              <w:rPr>
                <w:rFonts w:ascii="Times New Roman" w:hAnsi="Times New Roman" w:cs="Times New Roman"/>
                <w:b/>
                <w:sz w:val="20"/>
                <w:szCs w:val="20"/>
              </w:rPr>
            </w:pPr>
            <w:r w:rsidRPr="00A773FB">
              <w:rPr>
                <w:rFonts w:ascii="Times New Roman" w:hAnsi="Times New Roman" w:cs="Times New Roman"/>
                <w:b/>
                <w:sz w:val="20"/>
                <w:szCs w:val="20"/>
              </w:rPr>
              <w:t>(3%)</w:t>
            </w:r>
          </w:p>
        </w:tc>
        <w:tc>
          <w:tcPr>
            <w:tcW w:w="1530" w:type="dxa"/>
            <w:tcBorders>
              <w:left w:val="single" w:sz="6" w:space="0" w:color="000000"/>
              <w:bottom w:val="single" w:sz="6" w:space="0" w:color="000000"/>
              <w:right w:val="single" w:sz="6" w:space="0" w:color="000000"/>
            </w:tcBorders>
            <w:shd w:val="clear" w:color="auto" w:fill="DADADA"/>
            <w:vAlign w:val="center"/>
          </w:tcPr>
          <w:p w:rsidR="00E81DC0" w:rsidRPr="00A773FB" w14:paraId="408C6BDC" w14:textId="77777777">
            <w:pPr>
              <w:spacing w:after="0" w:line="240" w:lineRule="auto"/>
              <w:ind w:right="85"/>
              <w:jc w:val="center"/>
              <w:rPr>
                <w:rFonts w:ascii="Times New Roman" w:hAnsi="Times New Roman" w:cs="Times New Roman"/>
                <w:b/>
                <w:sz w:val="20"/>
                <w:szCs w:val="20"/>
              </w:rPr>
            </w:pPr>
            <w:r w:rsidRPr="00A773FB">
              <w:rPr>
                <w:rFonts w:ascii="Times New Roman" w:hAnsi="Times New Roman" w:cs="Times New Roman"/>
                <w:b/>
                <w:sz w:val="20"/>
                <w:szCs w:val="20"/>
              </w:rPr>
              <w:t>Total</w:t>
            </w:r>
          </w:p>
          <w:p w:rsidR="00E81DC0" w:rsidRPr="00A773FB" w14:paraId="6612AF09" w14:textId="77777777">
            <w:pPr>
              <w:spacing w:after="0" w:line="240" w:lineRule="auto"/>
              <w:ind w:right="85"/>
              <w:jc w:val="center"/>
              <w:rPr>
                <w:rFonts w:ascii="Times New Roman" w:hAnsi="Times New Roman" w:cs="Times New Roman"/>
                <w:b/>
                <w:sz w:val="20"/>
                <w:szCs w:val="20"/>
              </w:rPr>
            </w:pPr>
            <w:r w:rsidRPr="00A773FB">
              <w:rPr>
                <w:rFonts w:ascii="Times New Roman" w:hAnsi="Times New Roman" w:cs="Times New Roman"/>
                <w:b/>
                <w:sz w:val="20"/>
                <w:szCs w:val="20"/>
              </w:rPr>
              <w:t>Discounted</w:t>
            </w:r>
          </w:p>
          <w:p w:rsidR="00E81DC0" w:rsidRPr="00A773FB" w14:paraId="75D1DD7C" w14:textId="77777777">
            <w:pPr>
              <w:spacing w:after="0" w:line="240" w:lineRule="auto"/>
              <w:ind w:right="85"/>
              <w:jc w:val="center"/>
              <w:rPr>
                <w:rFonts w:ascii="Times New Roman" w:hAnsi="Times New Roman" w:cs="Times New Roman"/>
                <w:b/>
                <w:sz w:val="20"/>
                <w:szCs w:val="20"/>
              </w:rPr>
            </w:pPr>
            <w:r w:rsidRPr="00A773FB">
              <w:rPr>
                <w:rFonts w:ascii="Times New Roman" w:hAnsi="Times New Roman" w:cs="Times New Roman"/>
                <w:b/>
                <w:sz w:val="20"/>
                <w:szCs w:val="20"/>
              </w:rPr>
              <w:t>(7%)</w:t>
            </w:r>
          </w:p>
        </w:tc>
        <w:tc>
          <w:tcPr>
            <w:tcW w:w="1170" w:type="dxa"/>
            <w:tcBorders>
              <w:left w:val="single" w:sz="6" w:space="0" w:color="000000"/>
              <w:bottom w:val="single" w:sz="6" w:space="0" w:color="000000"/>
              <w:right w:val="single" w:sz="6" w:space="0" w:color="000000"/>
            </w:tcBorders>
            <w:shd w:val="clear" w:color="auto" w:fill="DADADA"/>
            <w:vAlign w:val="center"/>
          </w:tcPr>
          <w:p w:rsidR="00E81DC0" w:rsidRPr="00A773FB" w14:paraId="0F2AC97F" w14:textId="77777777">
            <w:pPr>
              <w:spacing w:after="0" w:line="240" w:lineRule="auto"/>
              <w:ind w:right="108"/>
              <w:jc w:val="center"/>
              <w:rPr>
                <w:rFonts w:ascii="Times New Roman" w:hAnsi="Times New Roman" w:cs="Times New Roman"/>
                <w:sz w:val="20"/>
                <w:szCs w:val="20"/>
              </w:rPr>
            </w:pPr>
            <w:r w:rsidRPr="00A773FB">
              <w:rPr>
                <w:rFonts w:ascii="Times New Roman" w:hAnsi="Times New Roman" w:cs="Times New Roman"/>
                <w:b/>
                <w:sz w:val="20"/>
                <w:szCs w:val="20"/>
              </w:rPr>
              <w:t>Annualized (3%)</w:t>
            </w:r>
          </w:p>
        </w:tc>
        <w:tc>
          <w:tcPr>
            <w:tcW w:w="1080" w:type="dxa"/>
            <w:tcBorders>
              <w:left w:val="single" w:sz="6" w:space="0" w:color="000000"/>
              <w:bottom w:val="single" w:sz="6" w:space="0" w:color="000000"/>
              <w:right w:val="single" w:sz="6" w:space="0" w:color="000000"/>
            </w:tcBorders>
            <w:shd w:val="clear" w:color="auto" w:fill="DADADA"/>
            <w:vAlign w:val="center"/>
          </w:tcPr>
          <w:p w:rsidR="00E81DC0" w:rsidRPr="00A773FB" w14:paraId="7780D2E4" w14:textId="77777777">
            <w:pPr>
              <w:spacing w:after="0" w:line="240" w:lineRule="auto"/>
              <w:ind w:right="78"/>
              <w:jc w:val="center"/>
              <w:rPr>
                <w:rFonts w:ascii="Times New Roman" w:hAnsi="Times New Roman" w:cs="Times New Roman"/>
                <w:b/>
                <w:sz w:val="20"/>
                <w:szCs w:val="20"/>
              </w:rPr>
            </w:pPr>
            <w:r w:rsidRPr="00A773FB">
              <w:rPr>
                <w:rFonts w:ascii="Times New Roman" w:hAnsi="Times New Roman" w:cs="Times New Roman"/>
                <w:b/>
                <w:sz w:val="20"/>
                <w:szCs w:val="20"/>
              </w:rPr>
              <w:t>Annualized (7%)</w:t>
            </w:r>
          </w:p>
        </w:tc>
      </w:tr>
      <w:tr w14:paraId="60D1E64A" w14:textId="77777777" w:rsidTr="00035E0B">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E81DC0" w:rsidRPr="00A773FB" w14:paraId="195F9E9E" w14:textId="77777777">
            <w:pPr>
              <w:spacing w:after="0" w:line="240" w:lineRule="auto"/>
              <w:ind w:left="112"/>
              <w:rPr>
                <w:rFonts w:ascii="Times New Roman" w:hAnsi="Times New Roman" w:cs="Times New Roman"/>
                <w:sz w:val="20"/>
                <w:szCs w:val="20"/>
              </w:rPr>
            </w:pPr>
            <w:r w:rsidRPr="00A773FB">
              <w:rPr>
                <w:rFonts w:ascii="Times New Roman" w:hAnsi="Times New Roman" w:cs="Times New Roman"/>
                <w:sz w:val="20"/>
                <w:szCs w:val="20"/>
              </w:rPr>
              <w:t>Rule Familiarization</w:t>
            </w:r>
          </w:p>
        </w:tc>
        <w:tc>
          <w:tcPr>
            <w:tcW w:w="1260" w:type="dxa"/>
            <w:tcBorders>
              <w:top w:val="single" w:sz="6" w:space="0" w:color="000000"/>
              <w:left w:val="single" w:sz="6" w:space="0" w:color="000000"/>
              <w:bottom w:val="single" w:sz="6" w:space="0" w:color="000000"/>
              <w:right w:val="single" w:sz="6" w:space="0" w:color="000000"/>
            </w:tcBorders>
            <w:vAlign w:val="center"/>
          </w:tcPr>
          <w:p w:rsidR="00E81DC0" w:rsidRPr="00A773FB" w14:paraId="0454D7E3" w14:textId="77777777">
            <w:pPr>
              <w:spacing w:after="0" w:line="240" w:lineRule="auto"/>
              <w:ind w:left="133" w:right="102"/>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C10C02">
              <w:rPr>
                <w:rFonts w:ascii="Times New Roman" w:hAnsi="Times New Roman" w:cs="Times New Roman"/>
                <w:sz w:val="20"/>
                <w:szCs w:val="20"/>
              </w:rPr>
              <w:t>50.9</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45EAD3B1"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F364CB">
              <w:rPr>
                <w:rFonts w:ascii="Times New Roman" w:hAnsi="Times New Roman" w:cs="Times New Roman"/>
                <w:sz w:val="20"/>
                <w:szCs w:val="20"/>
              </w:rPr>
              <w:t>49.</w:t>
            </w:r>
            <w:r w:rsidRPr="00A773FB" w:rsidR="00C12658">
              <w:rPr>
                <w:rFonts w:ascii="Times New Roman" w:hAnsi="Times New Roman" w:cs="Times New Roman"/>
                <w:sz w:val="20"/>
                <w:szCs w:val="20"/>
              </w:rPr>
              <w:t>5</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5CC7F7EE"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C12658">
              <w:rPr>
                <w:rFonts w:ascii="Times New Roman" w:hAnsi="Times New Roman" w:cs="Times New Roman"/>
                <w:sz w:val="20"/>
                <w:szCs w:val="20"/>
              </w:rPr>
              <w:t>47.6</w:t>
            </w:r>
          </w:p>
        </w:tc>
        <w:tc>
          <w:tcPr>
            <w:tcW w:w="1170" w:type="dxa"/>
            <w:tcBorders>
              <w:top w:val="single" w:sz="6" w:space="0" w:color="000000"/>
              <w:left w:val="single" w:sz="6" w:space="0" w:color="000000"/>
              <w:bottom w:val="single" w:sz="6" w:space="0" w:color="000000"/>
              <w:right w:val="single" w:sz="6" w:space="0" w:color="000000"/>
            </w:tcBorders>
            <w:vAlign w:val="center"/>
          </w:tcPr>
          <w:p w:rsidR="00E81DC0" w:rsidRPr="00A773FB" w14:paraId="7E7F3C00"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$5.</w:t>
            </w:r>
            <w:r w:rsidRPr="00A773FB" w:rsidR="00C12658">
              <w:rPr>
                <w:rFonts w:ascii="Times New Roman" w:hAnsi="Times New Roman" w:cs="Times New Roman"/>
                <w:sz w:val="20"/>
                <w:szCs w:val="20"/>
              </w:rPr>
              <w:t>8</w:t>
            </w:r>
          </w:p>
        </w:tc>
        <w:tc>
          <w:tcPr>
            <w:tcW w:w="1080" w:type="dxa"/>
            <w:tcBorders>
              <w:top w:val="single" w:sz="6" w:space="0" w:color="000000"/>
              <w:left w:val="single" w:sz="6" w:space="0" w:color="000000"/>
              <w:bottom w:val="single" w:sz="6" w:space="0" w:color="000000"/>
              <w:right w:val="single" w:sz="6" w:space="0" w:color="000000"/>
            </w:tcBorders>
            <w:vAlign w:val="center"/>
          </w:tcPr>
          <w:p w:rsidR="00E81DC0" w:rsidRPr="00A773FB" w14:paraId="722DC455" w14:textId="77777777">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$6.</w:t>
            </w:r>
            <w:r w:rsidRPr="00A773FB" w:rsidR="00C12658">
              <w:rPr>
                <w:rFonts w:ascii="Times New Roman" w:hAnsi="Times New Roman" w:cs="Times New Roman"/>
                <w:sz w:val="20"/>
                <w:szCs w:val="20"/>
              </w:rPr>
              <w:t>8</w:t>
            </w:r>
          </w:p>
        </w:tc>
      </w:tr>
      <w:tr w14:paraId="19B9A6FB" w14:textId="77777777" w:rsidTr="00C5176A">
        <w:tblPrEx>
          <w:tblW w:w="0" w:type="auto"/>
          <w:jc w:val="center"/>
          <w:tblLayout w:type="fixed"/>
          <w:tblCellMar>
            <w:left w:w="0" w:type="dxa"/>
            <w:right w:w="0" w:type="dxa"/>
          </w:tblCellMar>
          <w:tblLook w:val="01E0"/>
        </w:tblPrEx>
        <w:trPr>
          <w:trHeight w:val="285"/>
          <w:jc w:val="center"/>
        </w:trPr>
        <w:tc>
          <w:tcPr>
            <w:tcW w:w="8182" w:type="dxa"/>
            <w:gridSpan w:val="6"/>
            <w:tcBorders>
              <w:top w:val="single" w:sz="6" w:space="0" w:color="000000"/>
              <w:left w:val="single" w:sz="6" w:space="0" w:color="000000"/>
              <w:bottom w:val="single" w:sz="6" w:space="0" w:color="000000"/>
              <w:right w:val="single" w:sz="6" w:space="0" w:color="000000"/>
            </w:tcBorders>
            <w:vAlign w:val="center"/>
          </w:tcPr>
          <w:p w:rsidR="00B46D5D" w:rsidRPr="00A773FB" w:rsidP="00B46D5D" w14:paraId="6F7C96FF" w14:textId="77777777">
            <w:pPr>
              <w:spacing w:after="0" w:line="240" w:lineRule="auto"/>
              <w:ind w:left="75" w:right="59"/>
              <w:rPr>
                <w:rFonts w:ascii="Times New Roman" w:hAnsi="Times New Roman" w:cs="Times New Roman"/>
                <w:sz w:val="20"/>
                <w:szCs w:val="20"/>
              </w:rPr>
            </w:pPr>
            <w:r w:rsidRPr="00A773FB">
              <w:rPr>
                <w:rFonts w:ascii="Times New Roman" w:hAnsi="Times New Roman" w:cs="Times New Roman"/>
                <w:b/>
                <w:bCs/>
                <w:sz w:val="20"/>
                <w:szCs w:val="20"/>
              </w:rPr>
              <w:t>STAA</w:t>
            </w:r>
          </w:p>
        </w:tc>
      </w:tr>
      <w:tr w14:paraId="4BD413D4" w14:textId="77777777" w:rsidTr="00035E0B">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5E663B" w:rsidRPr="00A773FB" w:rsidP="005E663B" w14:paraId="0247A5DB" w14:textId="77777777">
            <w:pPr>
              <w:spacing w:after="0" w:line="240" w:lineRule="auto"/>
              <w:ind w:left="112"/>
              <w:jc w:val="right"/>
              <w:rPr>
                <w:rFonts w:ascii="Times New Roman" w:hAnsi="Times New Roman" w:cs="Times New Roman"/>
                <w:i/>
                <w:iCs/>
                <w:sz w:val="20"/>
                <w:szCs w:val="20"/>
              </w:rPr>
            </w:pPr>
            <w:r w:rsidRPr="00A773FB">
              <w:rPr>
                <w:rFonts w:ascii="Times New Roman" w:hAnsi="Times New Roman" w:cs="Times New Roman"/>
                <w:i/>
                <w:iCs/>
                <w:sz w:val="20"/>
                <w:szCs w:val="20"/>
              </w:rPr>
              <w:t>Initial Evaluation</w:t>
            </w:r>
          </w:p>
        </w:tc>
        <w:tc>
          <w:tcPr>
            <w:tcW w:w="1260" w:type="dxa"/>
            <w:tcBorders>
              <w:top w:val="single" w:sz="6" w:space="0" w:color="000000"/>
              <w:left w:val="single" w:sz="6" w:space="0" w:color="000000"/>
              <w:bottom w:val="single" w:sz="6" w:space="0" w:color="000000"/>
              <w:right w:val="single" w:sz="6" w:space="0" w:color="000000"/>
            </w:tcBorders>
            <w:vAlign w:val="center"/>
          </w:tcPr>
          <w:p w:rsidR="005E663B" w:rsidRPr="00A773FB" w:rsidP="005E663B" w14:paraId="11B27EA7" w14:textId="18A1224D">
            <w:pPr>
              <w:spacing w:after="0" w:line="240" w:lineRule="auto"/>
              <w:ind w:left="133" w:right="102"/>
              <w:jc w:val="center"/>
              <w:rPr>
                <w:rFonts w:ascii="Times New Roman" w:hAnsi="Times New Roman" w:cs="Times New Roman"/>
                <w:sz w:val="20"/>
                <w:szCs w:val="20"/>
              </w:rPr>
            </w:pPr>
            <w:r w:rsidRPr="00A773FB">
              <w:rPr>
                <w:rFonts w:ascii="Times New Roman" w:hAnsi="Times New Roman" w:cs="Times New Roman"/>
                <w:sz w:val="20"/>
                <w:szCs w:val="20"/>
              </w:rPr>
              <w:t>$17</w:t>
            </w:r>
            <w:r>
              <w:rPr>
                <w:rFonts w:ascii="Times New Roman" w:hAnsi="Times New Roman" w:cs="Times New Roman"/>
                <w:sz w:val="20"/>
                <w:szCs w:val="20"/>
              </w:rPr>
              <w:t>6.4</w:t>
            </w:r>
          </w:p>
        </w:tc>
        <w:tc>
          <w:tcPr>
            <w:tcW w:w="1530" w:type="dxa"/>
            <w:tcBorders>
              <w:top w:val="single" w:sz="6" w:space="0" w:color="000000"/>
              <w:left w:val="single" w:sz="6" w:space="0" w:color="000000"/>
              <w:bottom w:val="single" w:sz="6" w:space="0" w:color="000000"/>
              <w:right w:val="single" w:sz="6" w:space="0" w:color="000000"/>
            </w:tcBorders>
            <w:vAlign w:val="center"/>
          </w:tcPr>
          <w:p w:rsidR="005E663B" w:rsidRPr="00A773FB" w:rsidP="005E663B" w14:paraId="07B19A13" w14:textId="78AD94E6">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$1</w:t>
            </w:r>
            <w:r>
              <w:rPr>
                <w:rFonts w:ascii="Times New Roman" w:hAnsi="Times New Roman" w:cs="Times New Roman"/>
                <w:sz w:val="20"/>
                <w:szCs w:val="20"/>
              </w:rPr>
              <w:t>58.2</w:t>
            </w:r>
          </w:p>
        </w:tc>
        <w:tc>
          <w:tcPr>
            <w:tcW w:w="1530" w:type="dxa"/>
            <w:tcBorders>
              <w:top w:val="single" w:sz="6" w:space="0" w:color="000000"/>
              <w:left w:val="single" w:sz="6" w:space="0" w:color="000000"/>
              <w:bottom w:val="single" w:sz="6" w:space="0" w:color="000000"/>
              <w:right w:val="single" w:sz="6" w:space="0" w:color="000000"/>
            </w:tcBorders>
            <w:vAlign w:val="center"/>
          </w:tcPr>
          <w:p w:rsidR="005E663B" w:rsidRPr="00A773FB" w:rsidP="005E663B" w14:paraId="4370875F" w14:textId="36362CD9">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$1</w:t>
            </w:r>
            <w:r>
              <w:rPr>
                <w:rFonts w:ascii="Times New Roman" w:hAnsi="Times New Roman" w:cs="Times New Roman"/>
                <w:sz w:val="20"/>
                <w:szCs w:val="20"/>
              </w:rPr>
              <w:t>38.3</w:t>
            </w:r>
          </w:p>
        </w:tc>
        <w:tc>
          <w:tcPr>
            <w:tcW w:w="1170" w:type="dxa"/>
            <w:tcBorders>
              <w:top w:val="single" w:sz="6" w:space="0" w:color="000000"/>
              <w:left w:val="single" w:sz="6" w:space="0" w:color="000000"/>
              <w:bottom w:val="single" w:sz="6" w:space="0" w:color="000000"/>
              <w:right w:val="single" w:sz="6" w:space="0" w:color="000000"/>
            </w:tcBorders>
            <w:vAlign w:val="center"/>
          </w:tcPr>
          <w:p w:rsidR="005E663B" w:rsidRPr="00A773FB" w:rsidP="005E663B" w14:paraId="4F061164" w14:textId="57634CE2">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$18.</w:t>
            </w:r>
            <w:r>
              <w:rPr>
                <w:rFonts w:ascii="Times New Roman" w:hAnsi="Times New Roman" w:cs="Times New Roman"/>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rsidR="005E663B" w:rsidRPr="00A773FB" w:rsidP="005E663B" w14:paraId="36D606EA" w14:textId="178961F4">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w:t>
            </w:r>
            <w:r>
              <w:rPr>
                <w:rFonts w:ascii="Times New Roman" w:hAnsi="Times New Roman" w:cs="Times New Roman"/>
                <w:sz w:val="20"/>
                <w:szCs w:val="20"/>
              </w:rPr>
              <w:t>19.7</w:t>
            </w:r>
          </w:p>
        </w:tc>
      </w:tr>
      <w:tr w14:paraId="0E67035D" w14:textId="77777777" w:rsidTr="00035E0B">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E81DC0" w:rsidRPr="00A773FB" w:rsidP="00B46D5D" w14:paraId="2209772C" w14:textId="77777777">
            <w:pPr>
              <w:spacing w:after="0" w:line="240" w:lineRule="auto"/>
              <w:ind w:left="112"/>
              <w:jc w:val="right"/>
              <w:rPr>
                <w:rFonts w:ascii="Times New Roman" w:hAnsi="Times New Roman" w:cs="Times New Roman"/>
                <w:i/>
                <w:iCs/>
                <w:sz w:val="20"/>
                <w:szCs w:val="20"/>
              </w:rPr>
            </w:pPr>
            <w:r w:rsidRPr="00A773FB">
              <w:rPr>
                <w:rFonts w:ascii="Times New Roman" w:hAnsi="Times New Roman" w:cs="Times New Roman"/>
                <w:i/>
                <w:iCs/>
                <w:sz w:val="20"/>
                <w:szCs w:val="20"/>
              </w:rPr>
              <w:t>Practicability</w:t>
            </w:r>
            <w:r w:rsidRPr="00A773FB" w:rsidR="006B2E07">
              <w:rPr>
                <w:rFonts w:ascii="Times New Roman" w:hAnsi="Times New Roman" w:cs="Times New Roman"/>
                <w:i/>
                <w:iCs/>
                <w:sz w:val="20"/>
                <w:szCs w:val="20"/>
              </w:rPr>
              <w:t xml:space="preserve"> </w:t>
            </w:r>
          </w:p>
        </w:tc>
        <w:tc>
          <w:tcPr>
            <w:tcW w:w="1260" w:type="dxa"/>
            <w:tcBorders>
              <w:top w:val="single" w:sz="6" w:space="0" w:color="000000"/>
              <w:left w:val="single" w:sz="6" w:space="0" w:color="000000"/>
              <w:bottom w:val="single" w:sz="6" w:space="0" w:color="000000"/>
              <w:right w:val="single" w:sz="6" w:space="0" w:color="000000"/>
            </w:tcBorders>
            <w:vAlign w:val="center"/>
          </w:tcPr>
          <w:p w:rsidR="00E81DC0" w:rsidRPr="00A773FB" w14:paraId="602D8D94" w14:textId="0992B060">
            <w:pPr>
              <w:spacing w:after="0" w:line="240" w:lineRule="auto"/>
              <w:ind w:left="133" w:right="102"/>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5A185F">
              <w:rPr>
                <w:rFonts w:ascii="Times New Roman" w:hAnsi="Times New Roman" w:cs="Times New Roman"/>
                <w:sz w:val="20"/>
                <w:szCs w:val="20"/>
              </w:rPr>
              <w:t>256.9</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4E9D4241"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F92A13">
              <w:rPr>
                <w:rFonts w:ascii="Times New Roman" w:hAnsi="Times New Roman" w:cs="Times New Roman"/>
                <w:sz w:val="20"/>
                <w:szCs w:val="20"/>
              </w:rPr>
              <w:t>230.2</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02038924"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1F3650">
              <w:rPr>
                <w:rFonts w:ascii="Times New Roman" w:hAnsi="Times New Roman" w:cs="Times New Roman"/>
                <w:sz w:val="20"/>
                <w:szCs w:val="20"/>
              </w:rPr>
              <w:t>201.</w:t>
            </w:r>
            <w:r w:rsidRPr="00A773FB" w:rsidR="003B4D6A">
              <w:rPr>
                <w:rFonts w:ascii="Times New Roman" w:hAnsi="Times New Roman" w:cs="Times New Roman"/>
                <w:sz w:val="20"/>
                <w:szCs w:val="20"/>
              </w:rPr>
              <w:t>0</w:t>
            </w:r>
          </w:p>
        </w:tc>
        <w:tc>
          <w:tcPr>
            <w:tcW w:w="1170" w:type="dxa"/>
            <w:tcBorders>
              <w:top w:val="single" w:sz="6" w:space="0" w:color="000000"/>
              <w:left w:val="single" w:sz="6" w:space="0" w:color="000000"/>
              <w:bottom w:val="single" w:sz="6" w:space="0" w:color="000000"/>
              <w:right w:val="single" w:sz="6" w:space="0" w:color="000000"/>
            </w:tcBorders>
            <w:vAlign w:val="center"/>
          </w:tcPr>
          <w:p w:rsidR="00E81DC0" w:rsidRPr="00A773FB" w14:paraId="5CB0CF2B" w14:textId="2E7EA22F">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8E4DE1">
              <w:rPr>
                <w:rFonts w:ascii="Times New Roman" w:hAnsi="Times New Roman" w:cs="Times New Roman"/>
                <w:sz w:val="20"/>
                <w:szCs w:val="20"/>
              </w:rPr>
              <w:t>27.0</w:t>
            </w:r>
          </w:p>
        </w:tc>
        <w:tc>
          <w:tcPr>
            <w:tcW w:w="1080" w:type="dxa"/>
            <w:tcBorders>
              <w:top w:val="single" w:sz="6" w:space="0" w:color="000000"/>
              <w:left w:val="single" w:sz="6" w:space="0" w:color="000000"/>
              <w:bottom w:val="single" w:sz="6" w:space="0" w:color="000000"/>
              <w:right w:val="single" w:sz="6" w:space="0" w:color="000000"/>
            </w:tcBorders>
            <w:vAlign w:val="center"/>
          </w:tcPr>
          <w:p w:rsidR="00E81DC0" w:rsidRPr="00A773FB" w14:paraId="06087B18" w14:textId="77777777">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8E4DE1">
              <w:rPr>
                <w:rFonts w:ascii="Times New Roman" w:hAnsi="Times New Roman" w:cs="Times New Roman"/>
                <w:sz w:val="20"/>
                <w:szCs w:val="20"/>
              </w:rPr>
              <w:t>28</w:t>
            </w:r>
            <w:r w:rsidRPr="00A773FB" w:rsidR="003B3527">
              <w:rPr>
                <w:rFonts w:ascii="Times New Roman" w:hAnsi="Times New Roman" w:cs="Times New Roman"/>
                <w:sz w:val="20"/>
                <w:szCs w:val="20"/>
              </w:rPr>
              <w:t>.6</w:t>
            </w:r>
          </w:p>
        </w:tc>
      </w:tr>
      <w:tr w14:paraId="6093D720" w14:textId="77777777" w:rsidTr="00035E0B">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B46D5D" w:rsidRPr="00A773FB" w:rsidP="00B46D5D" w14:paraId="20F8D0BE" w14:textId="77777777">
            <w:pPr>
              <w:spacing w:after="0" w:line="240" w:lineRule="auto"/>
              <w:ind w:left="112"/>
              <w:jc w:val="right"/>
              <w:rPr>
                <w:rFonts w:ascii="Times New Roman" w:hAnsi="Times New Roman" w:cs="Times New Roman"/>
                <w:i/>
                <w:iCs/>
                <w:sz w:val="20"/>
                <w:szCs w:val="20"/>
              </w:rPr>
            </w:pPr>
            <w:r w:rsidRPr="00A773FB">
              <w:rPr>
                <w:rFonts w:ascii="Times New Roman" w:hAnsi="Times New Roman" w:cs="Times New Roman"/>
                <w:i/>
                <w:iCs/>
                <w:sz w:val="20"/>
                <w:szCs w:val="20"/>
              </w:rPr>
              <w:t>Implementation</w:t>
            </w:r>
          </w:p>
        </w:tc>
        <w:tc>
          <w:tcPr>
            <w:tcW w:w="1260" w:type="dxa"/>
            <w:tcBorders>
              <w:top w:val="single" w:sz="6" w:space="0" w:color="000000"/>
              <w:left w:val="single" w:sz="6" w:space="0" w:color="000000"/>
              <w:bottom w:val="single" w:sz="6" w:space="0" w:color="000000"/>
              <w:right w:val="single" w:sz="6" w:space="0" w:color="000000"/>
            </w:tcBorders>
            <w:vAlign w:val="center"/>
          </w:tcPr>
          <w:p w:rsidR="00B46D5D" w:rsidRPr="00A773FB" w14:paraId="046CC738" w14:textId="77777777">
            <w:pPr>
              <w:spacing w:after="0" w:line="240" w:lineRule="auto"/>
              <w:ind w:left="133" w:right="102"/>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0A6C06">
              <w:rPr>
                <w:rFonts w:ascii="Times New Roman" w:hAnsi="Times New Roman" w:cs="Times New Roman"/>
                <w:sz w:val="20"/>
                <w:szCs w:val="20"/>
              </w:rPr>
              <w:t>1</w:t>
            </w:r>
            <w:r w:rsidRPr="00A773FB" w:rsidR="00FC11E4">
              <w:rPr>
                <w:rFonts w:ascii="Times New Roman" w:hAnsi="Times New Roman" w:cs="Times New Roman"/>
                <w:sz w:val="20"/>
                <w:szCs w:val="20"/>
              </w:rPr>
              <w:t>,700.</w:t>
            </w:r>
            <w:r w:rsidRPr="00A773FB" w:rsidR="004317E5">
              <w:rPr>
                <w:rFonts w:ascii="Times New Roman" w:hAnsi="Times New Roman" w:cs="Times New Roman"/>
                <w:sz w:val="20"/>
                <w:szCs w:val="20"/>
              </w:rPr>
              <w:t>4</w:t>
            </w:r>
          </w:p>
        </w:tc>
        <w:tc>
          <w:tcPr>
            <w:tcW w:w="1530" w:type="dxa"/>
            <w:tcBorders>
              <w:top w:val="single" w:sz="6" w:space="0" w:color="000000"/>
              <w:left w:val="single" w:sz="6" w:space="0" w:color="000000"/>
              <w:bottom w:val="single" w:sz="6" w:space="0" w:color="000000"/>
              <w:right w:val="single" w:sz="6" w:space="0" w:color="000000"/>
            </w:tcBorders>
            <w:vAlign w:val="center"/>
          </w:tcPr>
          <w:p w:rsidR="00B46D5D" w:rsidRPr="00A773FB" w:rsidP="005B4B74" w14:paraId="5C2359AD" w14:textId="77777777">
            <w:pPr>
              <w:spacing w:after="0" w:line="240" w:lineRule="auto"/>
              <w:ind w:right="437"/>
              <w:jc w:val="right"/>
              <w:rPr>
                <w:rFonts w:ascii="Times New Roman" w:hAnsi="Times New Roman" w:cs="Times New Roman"/>
                <w:sz w:val="20"/>
                <w:szCs w:val="20"/>
              </w:rPr>
            </w:pPr>
            <w:r w:rsidRPr="00A773FB">
              <w:rPr>
                <w:rFonts w:ascii="Times New Roman" w:hAnsi="Times New Roman" w:cs="Times New Roman"/>
                <w:sz w:val="20"/>
                <w:szCs w:val="20"/>
              </w:rPr>
              <w:t>$</w:t>
            </w:r>
            <w:r w:rsidRPr="00A773FB" w:rsidR="0044491D">
              <w:rPr>
                <w:rFonts w:ascii="Times New Roman" w:hAnsi="Times New Roman" w:cs="Times New Roman"/>
                <w:sz w:val="20"/>
                <w:szCs w:val="20"/>
              </w:rPr>
              <w:t>1,4</w:t>
            </w:r>
            <w:r w:rsidRPr="00A773FB" w:rsidR="00333A61">
              <w:rPr>
                <w:rFonts w:ascii="Times New Roman" w:hAnsi="Times New Roman" w:cs="Times New Roman"/>
                <w:sz w:val="20"/>
                <w:szCs w:val="20"/>
              </w:rPr>
              <w:t>38</w:t>
            </w:r>
            <w:r w:rsidRPr="00A773FB" w:rsidR="005B4B74">
              <w:rPr>
                <w:rFonts w:ascii="Times New Roman" w:hAnsi="Times New Roman" w:cs="Times New Roman"/>
                <w:sz w:val="20"/>
                <w:szCs w:val="20"/>
              </w:rPr>
              <w:t>.9</w:t>
            </w:r>
          </w:p>
        </w:tc>
        <w:tc>
          <w:tcPr>
            <w:tcW w:w="1530" w:type="dxa"/>
            <w:tcBorders>
              <w:top w:val="single" w:sz="6" w:space="0" w:color="000000"/>
              <w:left w:val="single" w:sz="6" w:space="0" w:color="000000"/>
              <w:bottom w:val="single" w:sz="6" w:space="0" w:color="000000"/>
              <w:right w:val="single" w:sz="6" w:space="0" w:color="000000"/>
            </w:tcBorders>
            <w:vAlign w:val="center"/>
          </w:tcPr>
          <w:p w:rsidR="00B46D5D" w:rsidRPr="00A773FB" w:rsidP="000D610B" w14:paraId="533433BD" w14:textId="77777777">
            <w:pPr>
              <w:spacing w:after="0" w:line="240" w:lineRule="auto"/>
              <w:ind w:right="437"/>
              <w:jc w:val="right"/>
              <w:rPr>
                <w:rFonts w:ascii="Times New Roman" w:hAnsi="Times New Roman" w:cs="Times New Roman"/>
                <w:sz w:val="20"/>
                <w:szCs w:val="20"/>
              </w:rPr>
            </w:pPr>
            <w:r w:rsidRPr="00A773FB">
              <w:rPr>
                <w:rFonts w:ascii="Times New Roman" w:hAnsi="Times New Roman" w:cs="Times New Roman"/>
                <w:sz w:val="20"/>
                <w:szCs w:val="20"/>
              </w:rPr>
              <w:t>$</w:t>
            </w:r>
            <w:r w:rsidRPr="00A773FB" w:rsidR="00FB16C0">
              <w:rPr>
                <w:rFonts w:ascii="Times New Roman" w:hAnsi="Times New Roman" w:cs="Times New Roman"/>
                <w:sz w:val="20"/>
                <w:szCs w:val="20"/>
              </w:rPr>
              <w:t>1,</w:t>
            </w:r>
            <w:r w:rsidRPr="00A773FB" w:rsidR="003B4777">
              <w:rPr>
                <w:rFonts w:ascii="Times New Roman" w:hAnsi="Times New Roman" w:cs="Times New Roman"/>
                <w:sz w:val="20"/>
                <w:szCs w:val="20"/>
              </w:rPr>
              <w:t>172</w:t>
            </w:r>
            <w:r w:rsidRPr="00A773FB" w:rsidR="000D610B">
              <w:rPr>
                <w:rFonts w:ascii="Times New Roman" w:hAnsi="Times New Roman" w:cs="Times New Roman"/>
                <w:sz w:val="20"/>
                <w:szCs w:val="20"/>
              </w:rPr>
              <w:t>.6</w:t>
            </w:r>
          </w:p>
        </w:tc>
        <w:tc>
          <w:tcPr>
            <w:tcW w:w="1170" w:type="dxa"/>
            <w:tcBorders>
              <w:top w:val="single" w:sz="6" w:space="0" w:color="000000"/>
              <w:left w:val="single" w:sz="6" w:space="0" w:color="000000"/>
              <w:bottom w:val="single" w:sz="6" w:space="0" w:color="000000"/>
              <w:right w:val="single" w:sz="6" w:space="0" w:color="000000"/>
            </w:tcBorders>
            <w:vAlign w:val="center"/>
          </w:tcPr>
          <w:p w:rsidR="00B46D5D" w:rsidRPr="00A773FB" w14:paraId="14B1B719"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267046">
              <w:rPr>
                <w:rFonts w:ascii="Times New Roman" w:hAnsi="Times New Roman" w:cs="Times New Roman"/>
                <w:sz w:val="20"/>
                <w:szCs w:val="20"/>
              </w:rPr>
              <w:t>168</w:t>
            </w:r>
            <w:r w:rsidRPr="00A773FB" w:rsidR="0062683F">
              <w:rPr>
                <w:rFonts w:ascii="Times New Roman" w:hAnsi="Times New Roman" w:cs="Times New Roman"/>
                <w:sz w:val="20"/>
                <w:szCs w:val="20"/>
              </w:rPr>
              <w:t>.7</w:t>
            </w:r>
          </w:p>
        </w:tc>
        <w:tc>
          <w:tcPr>
            <w:tcW w:w="1080" w:type="dxa"/>
            <w:tcBorders>
              <w:top w:val="single" w:sz="6" w:space="0" w:color="000000"/>
              <w:left w:val="single" w:sz="6" w:space="0" w:color="000000"/>
              <w:bottom w:val="single" w:sz="6" w:space="0" w:color="000000"/>
              <w:right w:val="single" w:sz="6" w:space="0" w:color="000000"/>
            </w:tcBorders>
            <w:vAlign w:val="center"/>
          </w:tcPr>
          <w:p w:rsidR="00B46D5D" w:rsidRPr="00A773FB" w14:paraId="00CA00F8" w14:textId="77777777">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A23176">
              <w:rPr>
                <w:rFonts w:ascii="Times New Roman" w:hAnsi="Times New Roman" w:cs="Times New Roman"/>
                <w:sz w:val="20"/>
                <w:szCs w:val="20"/>
              </w:rPr>
              <w:t>204.</w:t>
            </w:r>
            <w:r w:rsidRPr="00A773FB" w:rsidR="003D3968">
              <w:rPr>
                <w:rFonts w:ascii="Times New Roman" w:hAnsi="Times New Roman" w:cs="Times New Roman"/>
                <w:sz w:val="20"/>
                <w:szCs w:val="20"/>
              </w:rPr>
              <w:t>9</w:t>
            </w:r>
          </w:p>
        </w:tc>
      </w:tr>
      <w:tr w14:paraId="23979DE3" w14:textId="77777777" w:rsidTr="00035E0B">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E81DC0" w:rsidRPr="00A773FB" w14:paraId="22B0C6D6" w14:textId="77777777">
            <w:pPr>
              <w:spacing w:after="0" w:line="240" w:lineRule="auto"/>
              <w:ind w:left="112"/>
              <w:rPr>
                <w:rFonts w:ascii="Times New Roman" w:hAnsi="Times New Roman" w:cs="Times New Roman"/>
                <w:sz w:val="20"/>
                <w:szCs w:val="20"/>
              </w:rPr>
            </w:pPr>
            <w:r w:rsidRPr="00A773FB">
              <w:rPr>
                <w:rFonts w:ascii="Times New Roman" w:hAnsi="Times New Roman" w:cs="Times New Roman"/>
                <w:sz w:val="20"/>
                <w:szCs w:val="20"/>
              </w:rPr>
              <w:t>Root Cause Analysis</w:t>
            </w:r>
          </w:p>
        </w:tc>
        <w:tc>
          <w:tcPr>
            <w:tcW w:w="1260" w:type="dxa"/>
            <w:tcBorders>
              <w:top w:val="single" w:sz="6" w:space="0" w:color="000000"/>
              <w:left w:val="single" w:sz="6" w:space="0" w:color="000000"/>
              <w:bottom w:val="single" w:sz="6" w:space="0" w:color="000000"/>
              <w:right w:val="single" w:sz="6" w:space="0" w:color="000000"/>
            </w:tcBorders>
            <w:vAlign w:val="center"/>
          </w:tcPr>
          <w:p w:rsidR="00E81DC0" w:rsidRPr="00A773FB" w14:paraId="72C8C75F" w14:textId="77777777">
            <w:pPr>
              <w:spacing w:after="0" w:line="240" w:lineRule="auto"/>
              <w:ind w:left="133" w:right="102"/>
              <w:jc w:val="center"/>
              <w:rPr>
                <w:rFonts w:ascii="Times New Roman" w:hAnsi="Times New Roman" w:cs="Times New Roman"/>
                <w:sz w:val="20"/>
                <w:szCs w:val="20"/>
              </w:rPr>
            </w:pPr>
            <w:r w:rsidRPr="00A773FB">
              <w:rPr>
                <w:rFonts w:ascii="Times New Roman" w:hAnsi="Times New Roman" w:cs="Times New Roman"/>
                <w:sz w:val="20"/>
                <w:szCs w:val="20"/>
              </w:rPr>
              <w:t>$7.</w:t>
            </w:r>
            <w:r w:rsidRPr="00A773FB" w:rsidR="00083A8D">
              <w:rPr>
                <w:rFonts w:ascii="Times New Roman" w:hAnsi="Times New Roman" w:cs="Times New Roman"/>
                <w:sz w:val="20"/>
                <w:szCs w:val="20"/>
              </w:rPr>
              <w:t>7</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1B957A3B"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$6.</w:t>
            </w:r>
            <w:r w:rsidRPr="00A773FB" w:rsidR="006F137C">
              <w:rPr>
                <w:rFonts w:ascii="Times New Roman" w:hAnsi="Times New Roman" w:cs="Times New Roman"/>
                <w:sz w:val="20"/>
                <w:szCs w:val="20"/>
              </w:rPr>
              <w:t>5</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507EE081"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$5.</w:t>
            </w:r>
            <w:r w:rsidRPr="00A773FB" w:rsidR="006F137C">
              <w:rPr>
                <w:rFonts w:ascii="Times New Roman" w:hAnsi="Times New Roman" w:cs="Times New Roman"/>
                <w:sz w:val="20"/>
                <w:szCs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rsidR="00E81DC0" w:rsidRPr="00A773FB" w14:paraId="2E77A21C"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$0.</w:t>
            </w:r>
            <w:r w:rsidRPr="00A773FB" w:rsidR="00AD0E8F">
              <w:rPr>
                <w:rFonts w:ascii="Times New Roman" w:hAnsi="Times New Roman" w:cs="Times New Roman"/>
                <w:sz w:val="20"/>
                <w:szCs w:val="20"/>
              </w:rPr>
              <w:t>8</w:t>
            </w:r>
          </w:p>
        </w:tc>
        <w:tc>
          <w:tcPr>
            <w:tcW w:w="1080" w:type="dxa"/>
            <w:tcBorders>
              <w:top w:val="single" w:sz="6" w:space="0" w:color="000000"/>
              <w:left w:val="single" w:sz="6" w:space="0" w:color="000000"/>
              <w:bottom w:val="single" w:sz="6" w:space="0" w:color="000000"/>
              <w:right w:val="single" w:sz="6" w:space="0" w:color="000000"/>
            </w:tcBorders>
            <w:vAlign w:val="center"/>
          </w:tcPr>
          <w:p w:rsidR="00E81DC0" w:rsidRPr="00A773FB" w14:paraId="3E92DF91" w14:textId="77777777">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$0.</w:t>
            </w:r>
            <w:r w:rsidRPr="00A773FB" w:rsidR="00AD0E8F">
              <w:rPr>
                <w:rFonts w:ascii="Times New Roman" w:hAnsi="Times New Roman" w:cs="Times New Roman"/>
                <w:sz w:val="20"/>
                <w:szCs w:val="20"/>
              </w:rPr>
              <w:t>8</w:t>
            </w:r>
          </w:p>
        </w:tc>
      </w:tr>
      <w:tr w14:paraId="62A211E6" w14:textId="77777777" w:rsidTr="00035E0B">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E81DC0" w:rsidRPr="00A773FB" w14:paraId="0A90C9A3" w14:textId="77777777">
            <w:pPr>
              <w:spacing w:after="0" w:line="240" w:lineRule="auto"/>
              <w:ind w:left="112"/>
              <w:rPr>
                <w:rFonts w:ascii="Times New Roman" w:hAnsi="Times New Roman" w:cs="Times New Roman"/>
                <w:sz w:val="20"/>
                <w:szCs w:val="20"/>
              </w:rPr>
            </w:pPr>
            <w:r w:rsidRPr="00A773FB">
              <w:rPr>
                <w:rFonts w:ascii="Times New Roman" w:hAnsi="Times New Roman" w:cs="Times New Roman"/>
                <w:sz w:val="20"/>
                <w:szCs w:val="20"/>
              </w:rPr>
              <w:t>Third-party Audits</w:t>
            </w:r>
          </w:p>
        </w:tc>
        <w:tc>
          <w:tcPr>
            <w:tcW w:w="1260" w:type="dxa"/>
            <w:tcBorders>
              <w:top w:val="single" w:sz="6" w:space="0" w:color="000000"/>
              <w:left w:val="single" w:sz="6" w:space="0" w:color="000000"/>
              <w:bottom w:val="single" w:sz="6" w:space="0" w:color="000000"/>
              <w:right w:val="single" w:sz="6" w:space="0" w:color="000000"/>
            </w:tcBorders>
            <w:vAlign w:val="center"/>
          </w:tcPr>
          <w:p w:rsidR="00E81DC0" w:rsidRPr="00A773FB" w14:paraId="6F942038" w14:textId="77777777">
            <w:pPr>
              <w:spacing w:after="0" w:line="240" w:lineRule="auto"/>
              <w:ind w:left="133" w:right="102"/>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AD0E8F">
              <w:rPr>
                <w:rFonts w:ascii="Times New Roman" w:hAnsi="Times New Roman" w:cs="Times New Roman"/>
                <w:sz w:val="20"/>
                <w:szCs w:val="20"/>
              </w:rPr>
              <w:t>75</w:t>
            </w:r>
            <w:r w:rsidRPr="00A773FB" w:rsidR="0077557D">
              <w:rPr>
                <w:rFonts w:ascii="Times New Roman" w:hAnsi="Times New Roman" w:cs="Times New Roman"/>
                <w:sz w:val="20"/>
                <w:szCs w:val="20"/>
              </w:rPr>
              <w:t>.2</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20A4F26A"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77557D">
              <w:rPr>
                <w:rFonts w:ascii="Times New Roman" w:hAnsi="Times New Roman" w:cs="Times New Roman"/>
                <w:sz w:val="20"/>
                <w:szCs w:val="20"/>
              </w:rPr>
              <w:t>64.2</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72F49FE6"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C66780">
              <w:rPr>
                <w:rFonts w:ascii="Times New Roman" w:hAnsi="Times New Roman" w:cs="Times New Roman"/>
                <w:sz w:val="20"/>
                <w:szCs w:val="20"/>
              </w:rPr>
              <w:t>52.8</w:t>
            </w:r>
          </w:p>
        </w:tc>
        <w:tc>
          <w:tcPr>
            <w:tcW w:w="1170" w:type="dxa"/>
            <w:tcBorders>
              <w:top w:val="single" w:sz="6" w:space="0" w:color="000000"/>
              <w:left w:val="single" w:sz="6" w:space="0" w:color="000000"/>
              <w:bottom w:val="single" w:sz="6" w:space="0" w:color="000000"/>
              <w:right w:val="single" w:sz="6" w:space="0" w:color="000000"/>
            </w:tcBorders>
            <w:vAlign w:val="center"/>
          </w:tcPr>
          <w:p w:rsidR="00E81DC0" w:rsidRPr="00A773FB" w14:paraId="2DA74121"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C66780">
              <w:rPr>
                <w:rFonts w:ascii="Times New Roman" w:hAnsi="Times New Roman" w:cs="Times New Roman"/>
                <w:sz w:val="20"/>
                <w:szCs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rsidR="00E81DC0" w:rsidRPr="00A773FB" w14:paraId="047A4B29" w14:textId="77777777">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C66780">
              <w:rPr>
                <w:rFonts w:ascii="Times New Roman" w:hAnsi="Times New Roman" w:cs="Times New Roman"/>
                <w:sz w:val="20"/>
                <w:szCs w:val="20"/>
              </w:rPr>
              <w:t>7.5</w:t>
            </w:r>
          </w:p>
        </w:tc>
      </w:tr>
      <w:tr w14:paraId="757CF9AE" w14:textId="77777777" w:rsidTr="00035E0B">
        <w:tblPrEx>
          <w:tblW w:w="0" w:type="auto"/>
          <w:jc w:val="center"/>
          <w:tblLayout w:type="fixed"/>
          <w:tblCellMar>
            <w:left w:w="0" w:type="dxa"/>
            <w:right w:w="0" w:type="dxa"/>
          </w:tblCellMar>
          <w:tblLook w:val="01E0"/>
        </w:tblPrEx>
        <w:trPr>
          <w:trHeight w:val="282"/>
          <w:jc w:val="center"/>
        </w:trPr>
        <w:tc>
          <w:tcPr>
            <w:tcW w:w="1612" w:type="dxa"/>
            <w:tcBorders>
              <w:top w:val="single" w:sz="6" w:space="0" w:color="000000"/>
              <w:left w:val="single" w:sz="6" w:space="0" w:color="000000"/>
              <w:right w:val="single" w:sz="6" w:space="0" w:color="000000"/>
            </w:tcBorders>
            <w:vAlign w:val="center"/>
          </w:tcPr>
          <w:p w:rsidR="00E81DC0" w:rsidRPr="00A773FB" w14:paraId="7E95929F" w14:textId="77777777">
            <w:pPr>
              <w:spacing w:after="0" w:line="240" w:lineRule="auto"/>
              <w:ind w:left="112"/>
              <w:rPr>
                <w:rFonts w:ascii="Times New Roman" w:hAnsi="Times New Roman" w:cs="Times New Roman"/>
                <w:sz w:val="20"/>
                <w:szCs w:val="20"/>
              </w:rPr>
            </w:pPr>
            <w:r w:rsidRPr="00A773FB">
              <w:rPr>
                <w:rFonts w:ascii="Times New Roman" w:hAnsi="Times New Roman" w:cs="Times New Roman"/>
                <w:sz w:val="20"/>
                <w:szCs w:val="20"/>
              </w:rPr>
              <w:t>Employee Participation Plan</w:t>
            </w:r>
          </w:p>
        </w:tc>
        <w:tc>
          <w:tcPr>
            <w:tcW w:w="1260" w:type="dxa"/>
            <w:tcBorders>
              <w:top w:val="single" w:sz="6" w:space="0" w:color="000000"/>
              <w:left w:val="single" w:sz="6" w:space="0" w:color="000000"/>
              <w:right w:val="single" w:sz="6" w:space="0" w:color="000000"/>
            </w:tcBorders>
            <w:vAlign w:val="center"/>
          </w:tcPr>
          <w:p w:rsidR="00E81DC0" w:rsidRPr="00A773FB" w14:paraId="4B26D772" w14:textId="77777777">
            <w:pPr>
              <w:spacing w:after="0" w:line="240" w:lineRule="auto"/>
              <w:ind w:left="131" w:right="115"/>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A715DA">
              <w:rPr>
                <w:rFonts w:ascii="Times New Roman" w:hAnsi="Times New Roman" w:cs="Times New Roman"/>
                <w:sz w:val="20"/>
                <w:szCs w:val="20"/>
              </w:rPr>
              <w:t>114.7</w:t>
            </w:r>
          </w:p>
        </w:tc>
        <w:tc>
          <w:tcPr>
            <w:tcW w:w="1530" w:type="dxa"/>
            <w:tcBorders>
              <w:top w:val="single" w:sz="6" w:space="0" w:color="000000"/>
              <w:left w:val="single" w:sz="6" w:space="0" w:color="000000"/>
              <w:right w:val="single" w:sz="6" w:space="0" w:color="000000"/>
            </w:tcBorders>
            <w:vAlign w:val="center"/>
          </w:tcPr>
          <w:p w:rsidR="00E81DC0" w:rsidRPr="00A773FB" w14:paraId="2C2409A8" w14:textId="77777777">
            <w:pPr>
              <w:spacing w:after="0" w:line="240" w:lineRule="auto"/>
              <w:ind w:left="453"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9018F4">
              <w:rPr>
                <w:rFonts w:ascii="Times New Roman" w:hAnsi="Times New Roman" w:cs="Times New Roman"/>
                <w:sz w:val="20"/>
                <w:szCs w:val="20"/>
              </w:rPr>
              <w:t>97.9</w:t>
            </w:r>
          </w:p>
        </w:tc>
        <w:tc>
          <w:tcPr>
            <w:tcW w:w="1530" w:type="dxa"/>
            <w:tcBorders>
              <w:top w:val="single" w:sz="6" w:space="0" w:color="000000"/>
              <w:left w:val="single" w:sz="6" w:space="0" w:color="000000"/>
              <w:right w:val="single" w:sz="6" w:space="0" w:color="000000"/>
            </w:tcBorders>
            <w:vAlign w:val="center"/>
          </w:tcPr>
          <w:p w:rsidR="00E81DC0" w:rsidRPr="00A773FB" w14:paraId="7D933251" w14:textId="77777777">
            <w:pPr>
              <w:spacing w:after="0" w:line="240" w:lineRule="auto"/>
              <w:ind w:left="453"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EB6EA9">
              <w:rPr>
                <w:rFonts w:ascii="Times New Roman" w:hAnsi="Times New Roman" w:cs="Times New Roman"/>
                <w:sz w:val="20"/>
                <w:szCs w:val="20"/>
              </w:rPr>
              <w:t>80.</w:t>
            </w:r>
            <w:r w:rsidRPr="00A773FB">
              <w:rPr>
                <w:rFonts w:ascii="Times New Roman" w:hAnsi="Times New Roman" w:cs="Times New Roman"/>
                <w:sz w:val="20"/>
                <w:szCs w:val="20"/>
              </w:rPr>
              <w:t>6</w:t>
            </w:r>
          </w:p>
        </w:tc>
        <w:tc>
          <w:tcPr>
            <w:tcW w:w="1170" w:type="dxa"/>
            <w:tcBorders>
              <w:top w:val="single" w:sz="6" w:space="0" w:color="000000"/>
              <w:left w:val="single" w:sz="6" w:space="0" w:color="000000"/>
              <w:right w:val="single" w:sz="6" w:space="0" w:color="000000"/>
            </w:tcBorders>
            <w:vAlign w:val="center"/>
          </w:tcPr>
          <w:p w:rsidR="00E81DC0" w:rsidRPr="00A773FB" w14:paraId="12FE47C9"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C82975">
              <w:rPr>
                <w:rFonts w:ascii="Times New Roman" w:hAnsi="Times New Roman" w:cs="Times New Roman"/>
                <w:sz w:val="20"/>
                <w:szCs w:val="20"/>
              </w:rPr>
              <w:t>11.5</w:t>
            </w:r>
          </w:p>
        </w:tc>
        <w:tc>
          <w:tcPr>
            <w:tcW w:w="1080" w:type="dxa"/>
            <w:tcBorders>
              <w:top w:val="single" w:sz="6" w:space="0" w:color="000000"/>
              <w:left w:val="single" w:sz="6" w:space="0" w:color="000000"/>
              <w:right w:val="single" w:sz="6" w:space="0" w:color="000000"/>
            </w:tcBorders>
            <w:vAlign w:val="center"/>
          </w:tcPr>
          <w:p w:rsidR="00E81DC0" w:rsidRPr="00A773FB" w14:paraId="4014B553" w14:textId="77777777">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C82975">
              <w:rPr>
                <w:rFonts w:ascii="Times New Roman" w:hAnsi="Times New Roman" w:cs="Times New Roman"/>
                <w:sz w:val="20"/>
                <w:szCs w:val="20"/>
              </w:rPr>
              <w:t>11.5</w:t>
            </w:r>
          </w:p>
        </w:tc>
      </w:tr>
      <w:tr w14:paraId="4DD7AFE9" w14:textId="77777777" w:rsidTr="00035E0B">
        <w:tblPrEx>
          <w:tblW w:w="0" w:type="auto"/>
          <w:jc w:val="center"/>
          <w:tblLayout w:type="fixed"/>
          <w:tblCellMar>
            <w:left w:w="0" w:type="dxa"/>
            <w:right w:w="0" w:type="dxa"/>
          </w:tblCellMar>
          <w:tblLook w:val="01E0"/>
        </w:tblPrEx>
        <w:trPr>
          <w:trHeight w:val="552"/>
          <w:jc w:val="center"/>
        </w:trPr>
        <w:tc>
          <w:tcPr>
            <w:tcW w:w="1612" w:type="dxa"/>
            <w:tcBorders>
              <w:left w:val="single" w:sz="6" w:space="0" w:color="000000"/>
              <w:bottom w:val="single" w:sz="6" w:space="0" w:color="000000"/>
              <w:right w:val="single" w:sz="6" w:space="0" w:color="000000"/>
            </w:tcBorders>
            <w:vAlign w:val="center"/>
          </w:tcPr>
          <w:p w:rsidR="00E81DC0" w:rsidRPr="00A773FB" w14:paraId="568381D2" w14:textId="77777777">
            <w:pPr>
              <w:spacing w:after="0" w:line="240" w:lineRule="auto"/>
              <w:ind w:left="112" w:right="85"/>
              <w:rPr>
                <w:rFonts w:ascii="Times New Roman" w:hAnsi="Times New Roman" w:cs="Times New Roman"/>
                <w:sz w:val="20"/>
                <w:szCs w:val="20"/>
              </w:rPr>
            </w:pPr>
            <w:r w:rsidRPr="00A773FB">
              <w:rPr>
                <w:rFonts w:ascii="Times New Roman" w:hAnsi="Times New Roman" w:cs="Times New Roman"/>
                <w:sz w:val="20"/>
                <w:szCs w:val="20"/>
              </w:rPr>
              <w:t>Backup Power for Perimeter Monitors</w:t>
            </w:r>
          </w:p>
        </w:tc>
        <w:tc>
          <w:tcPr>
            <w:tcW w:w="1260" w:type="dxa"/>
            <w:tcBorders>
              <w:left w:val="single" w:sz="6" w:space="0" w:color="000000"/>
              <w:bottom w:val="single" w:sz="6" w:space="0" w:color="000000"/>
              <w:right w:val="single" w:sz="6" w:space="0" w:color="000000"/>
            </w:tcBorders>
            <w:vAlign w:val="center"/>
          </w:tcPr>
          <w:p w:rsidR="00E81DC0" w:rsidRPr="00A773FB" w14:paraId="0E1827A3" w14:textId="77777777">
            <w:pPr>
              <w:spacing w:after="0" w:line="240" w:lineRule="auto"/>
              <w:ind w:left="131" w:right="115"/>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850FEA">
              <w:rPr>
                <w:rFonts w:ascii="Times New Roman" w:hAnsi="Times New Roman" w:cs="Times New Roman"/>
                <w:sz w:val="20"/>
                <w:szCs w:val="20"/>
              </w:rPr>
              <w:t>3.3</w:t>
            </w:r>
          </w:p>
        </w:tc>
        <w:tc>
          <w:tcPr>
            <w:tcW w:w="1530" w:type="dxa"/>
            <w:tcBorders>
              <w:left w:val="single" w:sz="6" w:space="0" w:color="000000"/>
              <w:bottom w:val="single" w:sz="6" w:space="0" w:color="000000"/>
              <w:right w:val="single" w:sz="6" w:space="0" w:color="000000"/>
            </w:tcBorders>
            <w:vAlign w:val="center"/>
          </w:tcPr>
          <w:p w:rsidR="00E81DC0" w:rsidRPr="00A773FB" w14:paraId="4FB56398" w14:textId="77777777">
            <w:pPr>
              <w:spacing w:after="0" w:line="240" w:lineRule="auto"/>
              <w:ind w:left="453"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3E0A61">
              <w:rPr>
                <w:rFonts w:ascii="Times New Roman" w:hAnsi="Times New Roman" w:cs="Times New Roman"/>
                <w:sz w:val="20"/>
                <w:szCs w:val="20"/>
              </w:rPr>
              <w:t>2.</w:t>
            </w:r>
            <w:r w:rsidRPr="00A773FB" w:rsidR="005C229D">
              <w:rPr>
                <w:rFonts w:ascii="Times New Roman" w:hAnsi="Times New Roman" w:cs="Times New Roman"/>
                <w:sz w:val="20"/>
                <w:szCs w:val="20"/>
              </w:rPr>
              <w:t>8</w:t>
            </w:r>
          </w:p>
        </w:tc>
        <w:tc>
          <w:tcPr>
            <w:tcW w:w="1530" w:type="dxa"/>
            <w:tcBorders>
              <w:left w:val="single" w:sz="6" w:space="0" w:color="000000"/>
              <w:bottom w:val="single" w:sz="6" w:space="0" w:color="000000"/>
              <w:right w:val="single" w:sz="6" w:space="0" w:color="000000"/>
            </w:tcBorders>
            <w:vAlign w:val="center"/>
          </w:tcPr>
          <w:p w:rsidR="00E81DC0" w:rsidRPr="00A773FB" w14:paraId="7CBA8DB7" w14:textId="77777777">
            <w:pPr>
              <w:spacing w:after="0" w:line="240" w:lineRule="auto"/>
              <w:ind w:left="453"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7E6FCE">
              <w:rPr>
                <w:rFonts w:ascii="Times New Roman" w:hAnsi="Times New Roman" w:cs="Times New Roman"/>
                <w:sz w:val="20"/>
                <w:szCs w:val="20"/>
              </w:rPr>
              <w:t>2.3</w:t>
            </w:r>
          </w:p>
        </w:tc>
        <w:tc>
          <w:tcPr>
            <w:tcW w:w="1170" w:type="dxa"/>
            <w:tcBorders>
              <w:left w:val="single" w:sz="6" w:space="0" w:color="000000"/>
              <w:bottom w:val="single" w:sz="6" w:space="0" w:color="000000"/>
              <w:right w:val="single" w:sz="6" w:space="0" w:color="000000"/>
            </w:tcBorders>
            <w:vAlign w:val="center"/>
          </w:tcPr>
          <w:p w:rsidR="00E81DC0" w:rsidRPr="00A773FB" w14:paraId="1BDB9AF8"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$0.</w:t>
            </w:r>
            <w:r w:rsidRPr="00A773FB" w:rsidR="008C122D">
              <w:rPr>
                <w:rFonts w:ascii="Times New Roman" w:hAnsi="Times New Roman" w:cs="Times New Roman"/>
                <w:sz w:val="20"/>
                <w:szCs w:val="20"/>
              </w:rPr>
              <w:t>3</w:t>
            </w:r>
          </w:p>
        </w:tc>
        <w:tc>
          <w:tcPr>
            <w:tcW w:w="1080" w:type="dxa"/>
            <w:tcBorders>
              <w:left w:val="single" w:sz="6" w:space="0" w:color="000000"/>
              <w:bottom w:val="single" w:sz="6" w:space="0" w:color="000000"/>
              <w:right w:val="single" w:sz="6" w:space="0" w:color="000000"/>
            </w:tcBorders>
            <w:vAlign w:val="center"/>
          </w:tcPr>
          <w:p w:rsidR="00E81DC0" w:rsidRPr="00A773FB" w14:paraId="52D4EEBD" w14:textId="77777777">
            <w:pPr>
              <w:spacing w:after="0" w:line="240" w:lineRule="auto"/>
              <w:ind w:left="89" w:right="58"/>
              <w:jc w:val="center"/>
              <w:rPr>
                <w:rFonts w:ascii="Times New Roman" w:hAnsi="Times New Roman" w:cs="Times New Roman"/>
                <w:sz w:val="20"/>
                <w:szCs w:val="20"/>
              </w:rPr>
            </w:pPr>
            <w:r w:rsidRPr="00A773FB">
              <w:rPr>
                <w:rFonts w:ascii="Times New Roman" w:hAnsi="Times New Roman" w:cs="Times New Roman"/>
                <w:sz w:val="20"/>
                <w:szCs w:val="20"/>
              </w:rPr>
              <w:t>$0.</w:t>
            </w:r>
            <w:r w:rsidRPr="00A773FB" w:rsidR="008C122D">
              <w:rPr>
                <w:rFonts w:ascii="Times New Roman" w:hAnsi="Times New Roman" w:cs="Times New Roman"/>
                <w:sz w:val="20"/>
                <w:szCs w:val="20"/>
              </w:rPr>
              <w:t>3</w:t>
            </w:r>
          </w:p>
        </w:tc>
      </w:tr>
      <w:tr w14:paraId="07083B59" w14:textId="77777777">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B46D5D" w:rsidRPr="00A773FB" w14:paraId="66846305" w14:textId="77777777">
            <w:pPr>
              <w:spacing w:after="0" w:line="240" w:lineRule="auto"/>
              <w:ind w:left="112"/>
              <w:rPr>
                <w:rFonts w:ascii="Times New Roman" w:hAnsi="Times New Roman" w:cs="Times New Roman"/>
                <w:b/>
                <w:bCs/>
                <w:sz w:val="20"/>
                <w:szCs w:val="20"/>
              </w:rPr>
            </w:pPr>
            <w:r w:rsidRPr="00A773FB">
              <w:rPr>
                <w:rFonts w:ascii="Times New Roman" w:hAnsi="Times New Roman" w:cs="Times New Roman"/>
                <w:b/>
                <w:bCs/>
                <w:sz w:val="20"/>
                <w:szCs w:val="20"/>
              </w:rPr>
              <w:t>Justifications</w:t>
            </w:r>
          </w:p>
        </w:tc>
        <w:tc>
          <w:tcPr>
            <w:tcW w:w="1260" w:type="dxa"/>
            <w:tcBorders>
              <w:top w:val="single" w:sz="6" w:space="0" w:color="000000"/>
              <w:left w:val="single" w:sz="6" w:space="0" w:color="000000"/>
              <w:bottom w:val="single" w:sz="6" w:space="0" w:color="000000"/>
              <w:right w:val="single" w:sz="6" w:space="0" w:color="000000"/>
            </w:tcBorders>
            <w:vAlign w:val="center"/>
          </w:tcPr>
          <w:p w:rsidR="00B46D5D" w:rsidRPr="00A773FB" w14:paraId="7FD7ADCD" w14:textId="77777777">
            <w:pPr>
              <w:spacing w:after="0" w:line="240" w:lineRule="auto"/>
              <w:ind w:left="133" w:right="102"/>
              <w:jc w:val="center"/>
              <w:rPr>
                <w:rFonts w:ascii="Times New Roman" w:hAnsi="Times New Roman" w:cs="Times New Roman"/>
                <w:sz w:val="20"/>
                <w:szCs w:val="20"/>
              </w:rPr>
            </w:pPr>
          </w:p>
        </w:tc>
        <w:tc>
          <w:tcPr>
            <w:tcW w:w="1530" w:type="dxa"/>
            <w:tcBorders>
              <w:top w:val="single" w:sz="6" w:space="0" w:color="000000"/>
              <w:left w:val="single" w:sz="6" w:space="0" w:color="000000"/>
              <w:bottom w:val="single" w:sz="6" w:space="0" w:color="000000"/>
              <w:right w:val="single" w:sz="6" w:space="0" w:color="000000"/>
            </w:tcBorders>
            <w:vAlign w:val="center"/>
          </w:tcPr>
          <w:p w:rsidR="00B46D5D" w:rsidRPr="00A773FB" w14:paraId="10337C66" w14:textId="77777777">
            <w:pPr>
              <w:spacing w:after="0" w:line="240" w:lineRule="auto"/>
              <w:ind w:left="468" w:right="437"/>
              <w:jc w:val="center"/>
              <w:rPr>
                <w:rFonts w:ascii="Times New Roman" w:hAnsi="Times New Roman" w:cs="Times New Roman"/>
                <w:sz w:val="20"/>
                <w:szCs w:val="20"/>
              </w:rPr>
            </w:pPr>
          </w:p>
        </w:tc>
        <w:tc>
          <w:tcPr>
            <w:tcW w:w="1530" w:type="dxa"/>
            <w:tcBorders>
              <w:top w:val="single" w:sz="6" w:space="0" w:color="000000"/>
              <w:left w:val="single" w:sz="6" w:space="0" w:color="000000"/>
              <w:bottom w:val="single" w:sz="6" w:space="0" w:color="000000"/>
              <w:right w:val="single" w:sz="6" w:space="0" w:color="000000"/>
            </w:tcBorders>
            <w:vAlign w:val="center"/>
          </w:tcPr>
          <w:p w:rsidR="00B46D5D" w:rsidRPr="00A773FB" w14:paraId="22381053" w14:textId="77777777">
            <w:pPr>
              <w:spacing w:after="0" w:line="240" w:lineRule="auto"/>
              <w:ind w:left="468" w:right="437"/>
              <w:jc w:val="center"/>
              <w:rPr>
                <w:rFonts w:ascii="Times New Roman" w:hAnsi="Times New Roman" w:cs="Times New Roman"/>
                <w:sz w:val="20"/>
                <w:szCs w:val="20"/>
              </w:rPr>
            </w:pPr>
          </w:p>
        </w:tc>
        <w:tc>
          <w:tcPr>
            <w:tcW w:w="1170" w:type="dxa"/>
            <w:tcBorders>
              <w:top w:val="single" w:sz="6" w:space="0" w:color="000000"/>
              <w:left w:val="single" w:sz="6" w:space="0" w:color="000000"/>
              <w:bottom w:val="single" w:sz="6" w:space="0" w:color="000000"/>
              <w:right w:val="single" w:sz="6" w:space="0" w:color="000000"/>
            </w:tcBorders>
            <w:vAlign w:val="center"/>
          </w:tcPr>
          <w:p w:rsidR="00B46D5D" w:rsidRPr="00A773FB" w14:paraId="5BD70DA0" w14:textId="77777777">
            <w:pPr>
              <w:spacing w:after="0" w:line="240" w:lineRule="auto"/>
              <w:jc w:val="center"/>
              <w:rPr>
                <w:rFonts w:ascii="Times New Roman" w:hAnsi="Times New Roman" w:cs="Times New Roman"/>
                <w:sz w:val="20"/>
                <w:szCs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B46D5D" w:rsidRPr="00A773FB" w14:paraId="6432AC48" w14:textId="77777777">
            <w:pPr>
              <w:spacing w:after="0" w:line="240" w:lineRule="auto"/>
              <w:ind w:left="75" w:right="59"/>
              <w:jc w:val="center"/>
              <w:rPr>
                <w:rFonts w:ascii="Times New Roman" w:hAnsi="Times New Roman" w:cs="Times New Roman"/>
                <w:sz w:val="20"/>
                <w:szCs w:val="20"/>
              </w:rPr>
            </w:pPr>
          </w:p>
        </w:tc>
      </w:tr>
      <w:tr w14:paraId="4EA05B75" w14:textId="77777777">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225CAE" w:rsidRPr="00A773FB" w:rsidP="00B46D5D" w14:paraId="61D97C1A" w14:textId="77777777">
            <w:pPr>
              <w:spacing w:after="0" w:line="240" w:lineRule="auto"/>
              <w:ind w:left="112"/>
              <w:jc w:val="right"/>
              <w:rPr>
                <w:rFonts w:ascii="Times New Roman" w:hAnsi="Times New Roman" w:cs="Times New Roman"/>
                <w:i/>
                <w:iCs/>
                <w:sz w:val="20"/>
                <w:szCs w:val="20"/>
              </w:rPr>
            </w:pPr>
            <w:r w:rsidRPr="00A773FB">
              <w:rPr>
                <w:rFonts w:ascii="Times New Roman" w:hAnsi="Times New Roman" w:cs="Times New Roman"/>
                <w:i/>
                <w:iCs/>
                <w:sz w:val="20"/>
                <w:szCs w:val="20"/>
              </w:rPr>
              <w:t xml:space="preserve">No </w:t>
            </w:r>
            <w:r w:rsidRPr="00A773FB" w:rsidR="002C14C5">
              <w:rPr>
                <w:rFonts w:ascii="Times New Roman" w:hAnsi="Times New Roman" w:cs="Times New Roman"/>
                <w:i/>
                <w:iCs/>
                <w:sz w:val="20"/>
                <w:szCs w:val="20"/>
              </w:rPr>
              <w:t xml:space="preserve">Backup Power </w:t>
            </w:r>
          </w:p>
        </w:tc>
        <w:tc>
          <w:tcPr>
            <w:tcW w:w="1260" w:type="dxa"/>
            <w:tcBorders>
              <w:top w:val="single" w:sz="6" w:space="0" w:color="000000"/>
              <w:left w:val="single" w:sz="6" w:space="0" w:color="000000"/>
              <w:bottom w:val="single" w:sz="6" w:space="0" w:color="000000"/>
              <w:right w:val="single" w:sz="6" w:space="0" w:color="000000"/>
            </w:tcBorders>
            <w:vAlign w:val="center"/>
          </w:tcPr>
          <w:p w:rsidR="00225CAE" w:rsidRPr="00A773FB" w14:paraId="6F7AE92E" w14:textId="77777777">
            <w:pPr>
              <w:spacing w:after="0" w:line="240" w:lineRule="auto"/>
              <w:ind w:left="133" w:right="102"/>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177FB7">
              <w:rPr>
                <w:rFonts w:ascii="Times New Roman" w:hAnsi="Times New Roman" w:cs="Times New Roman"/>
                <w:sz w:val="20"/>
                <w:szCs w:val="20"/>
              </w:rPr>
              <w:t>0.2</w:t>
            </w:r>
          </w:p>
        </w:tc>
        <w:tc>
          <w:tcPr>
            <w:tcW w:w="1530" w:type="dxa"/>
            <w:tcBorders>
              <w:top w:val="single" w:sz="6" w:space="0" w:color="000000"/>
              <w:left w:val="single" w:sz="6" w:space="0" w:color="000000"/>
              <w:bottom w:val="single" w:sz="6" w:space="0" w:color="000000"/>
              <w:right w:val="single" w:sz="6" w:space="0" w:color="000000"/>
            </w:tcBorders>
            <w:vAlign w:val="center"/>
          </w:tcPr>
          <w:p w:rsidR="00225CAE" w:rsidRPr="00A773FB" w14:paraId="59506D97"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FF5060">
              <w:rPr>
                <w:rFonts w:ascii="Times New Roman" w:hAnsi="Times New Roman" w:cs="Times New Roman"/>
                <w:sz w:val="20"/>
                <w:szCs w:val="20"/>
              </w:rPr>
              <w:t>0.1</w:t>
            </w:r>
          </w:p>
        </w:tc>
        <w:tc>
          <w:tcPr>
            <w:tcW w:w="1530" w:type="dxa"/>
            <w:tcBorders>
              <w:top w:val="single" w:sz="6" w:space="0" w:color="000000"/>
              <w:left w:val="single" w:sz="6" w:space="0" w:color="000000"/>
              <w:bottom w:val="single" w:sz="6" w:space="0" w:color="000000"/>
              <w:right w:val="single" w:sz="6" w:space="0" w:color="000000"/>
            </w:tcBorders>
            <w:vAlign w:val="center"/>
          </w:tcPr>
          <w:p w:rsidR="00225CAE" w:rsidRPr="00A773FB" w14:paraId="7D8918A3"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FF5060">
              <w:rPr>
                <w:rFonts w:ascii="Times New Roman" w:hAnsi="Times New Roman" w:cs="Times New Roman"/>
                <w:sz w:val="20"/>
                <w:szCs w:val="20"/>
              </w:rPr>
              <w:t>0.1</w:t>
            </w:r>
          </w:p>
        </w:tc>
        <w:tc>
          <w:tcPr>
            <w:tcW w:w="1170" w:type="dxa"/>
            <w:tcBorders>
              <w:top w:val="single" w:sz="6" w:space="0" w:color="000000"/>
              <w:left w:val="single" w:sz="6" w:space="0" w:color="000000"/>
              <w:bottom w:val="single" w:sz="6" w:space="0" w:color="000000"/>
              <w:right w:val="single" w:sz="6" w:space="0" w:color="000000"/>
            </w:tcBorders>
            <w:vAlign w:val="center"/>
          </w:tcPr>
          <w:p w:rsidR="00225CAE" w:rsidRPr="00A773FB" w14:paraId="0F831CCE"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FA748F">
              <w:rPr>
                <w:rFonts w:ascii="Times New Roman" w:hAnsi="Times New Roman" w:cs="Times New Roman"/>
                <w:sz w:val="20"/>
                <w:szCs w:val="20"/>
              </w:rPr>
              <w:t>0.0</w:t>
            </w:r>
            <w:r w:rsidRPr="00A773FB" w:rsidR="003145EA">
              <w:rPr>
                <w:rFonts w:ascii="Times New Roman" w:hAnsi="Times New Roman" w:cs="Times New Roman"/>
                <w:sz w:val="20"/>
                <w:szCs w:val="20"/>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225CAE" w:rsidRPr="00A773FB" w14:paraId="33F4BA6B" w14:textId="77777777">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FA748F">
              <w:rPr>
                <w:rFonts w:ascii="Times New Roman" w:hAnsi="Times New Roman" w:cs="Times New Roman"/>
                <w:sz w:val="20"/>
                <w:szCs w:val="20"/>
              </w:rPr>
              <w:t>0.0</w:t>
            </w:r>
            <w:r w:rsidRPr="00A773FB" w:rsidR="003145EA">
              <w:rPr>
                <w:rFonts w:ascii="Times New Roman" w:hAnsi="Times New Roman" w:cs="Times New Roman"/>
                <w:sz w:val="20"/>
                <w:szCs w:val="20"/>
              </w:rPr>
              <w:t>**</w:t>
            </w:r>
          </w:p>
        </w:tc>
      </w:tr>
      <w:tr w14:paraId="05C79775" w14:textId="77777777">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3E2051" w:rsidRPr="00A773FB" w:rsidP="00B46D5D" w14:paraId="78E1875E" w14:textId="77777777">
            <w:pPr>
              <w:spacing w:after="0" w:line="240" w:lineRule="auto"/>
              <w:ind w:left="112"/>
              <w:jc w:val="right"/>
              <w:rPr>
                <w:rFonts w:ascii="Times New Roman" w:hAnsi="Times New Roman" w:cs="Times New Roman"/>
                <w:i/>
                <w:iCs/>
                <w:sz w:val="20"/>
                <w:szCs w:val="20"/>
              </w:rPr>
            </w:pPr>
            <w:r w:rsidRPr="00A773FB">
              <w:rPr>
                <w:rFonts w:ascii="Times New Roman" w:hAnsi="Times New Roman" w:cs="Times New Roman"/>
                <w:i/>
                <w:iCs/>
                <w:sz w:val="20"/>
                <w:szCs w:val="20"/>
              </w:rPr>
              <w:t xml:space="preserve">Natural Hazards </w:t>
            </w:r>
          </w:p>
        </w:tc>
        <w:tc>
          <w:tcPr>
            <w:tcW w:w="1260" w:type="dxa"/>
            <w:tcBorders>
              <w:top w:val="single" w:sz="6" w:space="0" w:color="000000"/>
              <w:left w:val="single" w:sz="6" w:space="0" w:color="000000"/>
              <w:bottom w:val="single" w:sz="6" w:space="0" w:color="000000"/>
              <w:right w:val="single" w:sz="6" w:space="0" w:color="000000"/>
            </w:tcBorders>
            <w:vAlign w:val="center"/>
          </w:tcPr>
          <w:p w:rsidR="003E2051" w:rsidRPr="00A773FB" w14:paraId="7F13289E" w14:textId="77777777">
            <w:pPr>
              <w:spacing w:after="0" w:line="240" w:lineRule="auto"/>
              <w:ind w:left="133" w:right="102"/>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257752">
              <w:rPr>
                <w:rFonts w:ascii="Times New Roman" w:hAnsi="Times New Roman" w:cs="Times New Roman"/>
                <w:sz w:val="20"/>
                <w:szCs w:val="20"/>
              </w:rPr>
              <w:t>0.4</w:t>
            </w:r>
          </w:p>
        </w:tc>
        <w:tc>
          <w:tcPr>
            <w:tcW w:w="1530" w:type="dxa"/>
            <w:tcBorders>
              <w:top w:val="single" w:sz="6" w:space="0" w:color="000000"/>
              <w:left w:val="single" w:sz="6" w:space="0" w:color="000000"/>
              <w:bottom w:val="single" w:sz="6" w:space="0" w:color="000000"/>
              <w:right w:val="single" w:sz="6" w:space="0" w:color="000000"/>
            </w:tcBorders>
            <w:vAlign w:val="center"/>
          </w:tcPr>
          <w:p w:rsidR="003E2051" w:rsidRPr="00A773FB" w14:paraId="1D0A1ED3"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$0.4</w:t>
            </w:r>
          </w:p>
        </w:tc>
        <w:tc>
          <w:tcPr>
            <w:tcW w:w="1530" w:type="dxa"/>
            <w:tcBorders>
              <w:top w:val="single" w:sz="6" w:space="0" w:color="000000"/>
              <w:left w:val="single" w:sz="6" w:space="0" w:color="000000"/>
              <w:bottom w:val="single" w:sz="6" w:space="0" w:color="000000"/>
              <w:right w:val="single" w:sz="6" w:space="0" w:color="000000"/>
            </w:tcBorders>
            <w:vAlign w:val="center"/>
          </w:tcPr>
          <w:p w:rsidR="003E2051" w:rsidRPr="00A773FB" w14:paraId="284D4E02"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7423F2">
              <w:rPr>
                <w:rFonts w:ascii="Times New Roman" w:hAnsi="Times New Roman" w:cs="Times New Roman"/>
                <w:sz w:val="20"/>
                <w:szCs w:val="20"/>
              </w:rPr>
              <w:t>0.3</w:t>
            </w:r>
          </w:p>
        </w:tc>
        <w:tc>
          <w:tcPr>
            <w:tcW w:w="1170" w:type="dxa"/>
            <w:tcBorders>
              <w:top w:val="single" w:sz="6" w:space="0" w:color="000000"/>
              <w:left w:val="single" w:sz="6" w:space="0" w:color="000000"/>
              <w:bottom w:val="single" w:sz="6" w:space="0" w:color="000000"/>
              <w:right w:val="single" w:sz="6" w:space="0" w:color="000000"/>
            </w:tcBorders>
            <w:vAlign w:val="center"/>
          </w:tcPr>
          <w:p w:rsidR="003E2051" w:rsidRPr="00A773FB" w14:paraId="38B675E6"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7423F2">
              <w:rPr>
                <w:rFonts w:ascii="Times New Roman" w:hAnsi="Times New Roman" w:cs="Times New Roman"/>
                <w:sz w:val="20"/>
                <w:szCs w:val="20"/>
              </w:rPr>
              <w:t>0.0**</w:t>
            </w:r>
          </w:p>
        </w:tc>
        <w:tc>
          <w:tcPr>
            <w:tcW w:w="1080" w:type="dxa"/>
            <w:tcBorders>
              <w:top w:val="single" w:sz="6" w:space="0" w:color="000000"/>
              <w:left w:val="single" w:sz="6" w:space="0" w:color="000000"/>
              <w:bottom w:val="single" w:sz="6" w:space="0" w:color="000000"/>
              <w:right w:val="single" w:sz="6" w:space="0" w:color="000000"/>
            </w:tcBorders>
            <w:vAlign w:val="center"/>
          </w:tcPr>
          <w:p w:rsidR="003E2051" w:rsidRPr="00A773FB" w14:paraId="4AD5C3DB" w14:textId="77777777">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7423F2">
              <w:rPr>
                <w:rFonts w:ascii="Times New Roman" w:hAnsi="Times New Roman" w:cs="Times New Roman"/>
                <w:sz w:val="20"/>
                <w:szCs w:val="20"/>
              </w:rPr>
              <w:t>0.0**</w:t>
            </w:r>
          </w:p>
        </w:tc>
      </w:tr>
      <w:tr w14:paraId="550C795E" w14:textId="77777777">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3E2051" w:rsidRPr="00A773FB" w:rsidP="00B46D5D" w14:paraId="550A1063" w14:textId="77777777">
            <w:pPr>
              <w:spacing w:after="0" w:line="240" w:lineRule="auto"/>
              <w:ind w:left="112"/>
              <w:jc w:val="right"/>
              <w:rPr>
                <w:rFonts w:ascii="Times New Roman" w:hAnsi="Times New Roman" w:cs="Times New Roman"/>
                <w:i/>
                <w:iCs/>
                <w:sz w:val="20"/>
                <w:szCs w:val="20"/>
              </w:rPr>
            </w:pPr>
            <w:r w:rsidRPr="00A773FB">
              <w:rPr>
                <w:rFonts w:ascii="Times New Roman" w:hAnsi="Times New Roman" w:cs="Times New Roman"/>
                <w:i/>
                <w:iCs/>
                <w:sz w:val="20"/>
                <w:szCs w:val="20"/>
              </w:rPr>
              <w:t xml:space="preserve">Facility Siting </w:t>
            </w:r>
          </w:p>
        </w:tc>
        <w:tc>
          <w:tcPr>
            <w:tcW w:w="1260" w:type="dxa"/>
            <w:tcBorders>
              <w:top w:val="single" w:sz="6" w:space="0" w:color="000000"/>
              <w:left w:val="single" w:sz="6" w:space="0" w:color="000000"/>
              <w:bottom w:val="single" w:sz="6" w:space="0" w:color="000000"/>
              <w:right w:val="single" w:sz="6" w:space="0" w:color="000000"/>
            </w:tcBorders>
            <w:vAlign w:val="center"/>
          </w:tcPr>
          <w:p w:rsidR="003E2051" w:rsidRPr="00A773FB" w14:paraId="7E23783C" w14:textId="77777777">
            <w:pPr>
              <w:spacing w:after="0" w:line="240" w:lineRule="auto"/>
              <w:ind w:left="133" w:right="102"/>
              <w:jc w:val="center"/>
              <w:rPr>
                <w:rFonts w:ascii="Times New Roman" w:hAnsi="Times New Roman" w:cs="Times New Roman"/>
                <w:sz w:val="20"/>
                <w:szCs w:val="20"/>
              </w:rPr>
            </w:pPr>
            <w:r w:rsidRPr="00A773FB">
              <w:rPr>
                <w:rFonts w:ascii="Times New Roman" w:hAnsi="Times New Roman" w:cs="Times New Roman"/>
                <w:sz w:val="20"/>
                <w:szCs w:val="20"/>
              </w:rPr>
              <w:t>$0.4</w:t>
            </w:r>
          </w:p>
        </w:tc>
        <w:tc>
          <w:tcPr>
            <w:tcW w:w="1530" w:type="dxa"/>
            <w:tcBorders>
              <w:top w:val="single" w:sz="6" w:space="0" w:color="000000"/>
              <w:left w:val="single" w:sz="6" w:space="0" w:color="000000"/>
              <w:bottom w:val="single" w:sz="6" w:space="0" w:color="000000"/>
              <w:right w:val="single" w:sz="6" w:space="0" w:color="000000"/>
            </w:tcBorders>
            <w:vAlign w:val="center"/>
          </w:tcPr>
          <w:p w:rsidR="003E2051" w:rsidRPr="00A773FB" w14:paraId="31C88092"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$0.4</w:t>
            </w:r>
          </w:p>
        </w:tc>
        <w:tc>
          <w:tcPr>
            <w:tcW w:w="1530" w:type="dxa"/>
            <w:tcBorders>
              <w:top w:val="single" w:sz="6" w:space="0" w:color="000000"/>
              <w:left w:val="single" w:sz="6" w:space="0" w:color="000000"/>
              <w:bottom w:val="single" w:sz="6" w:space="0" w:color="000000"/>
              <w:right w:val="single" w:sz="6" w:space="0" w:color="000000"/>
            </w:tcBorders>
            <w:vAlign w:val="center"/>
          </w:tcPr>
          <w:p w:rsidR="003E2051" w:rsidRPr="00A773FB" w14:paraId="73F934BB"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020CE6">
              <w:rPr>
                <w:rFonts w:ascii="Times New Roman" w:hAnsi="Times New Roman" w:cs="Times New Roman"/>
                <w:sz w:val="20"/>
                <w:szCs w:val="20"/>
              </w:rPr>
              <w:t>0.3</w:t>
            </w:r>
          </w:p>
        </w:tc>
        <w:tc>
          <w:tcPr>
            <w:tcW w:w="1170" w:type="dxa"/>
            <w:tcBorders>
              <w:top w:val="single" w:sz="6" w:space="0" w:color="000000"/>
              <w:left w:val="single" w:sz="6" w:space="0" w:color="000000"/>
              <w:bottom w:val="single" w:sz="6" w:space="0" w:color="000000"/>
              <w:right w:val="single" w:sz="6" w:space="0" w:color="000000"/>
            </w:tcBorders>
            <w:vAlign w:val="center"/>
          </w:tcPr>
          <w:p w:rsidR="003E2051" w:rsidRPr="00A773FB" w14:paraId="3A68E604"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020CE6">
              <w:rPr>
                <w:rFonts w:ascii="Times New Roman" w:hAnsi="Times New Roman" w:cs="Times New Roman"/>
                <w:sz w:val="20"/>
                <w:szCs w:val="20"/>
              </w:rPr>
              <w:t>0.0</w:t>
            </w:r>
            <w:r w:rsidRPr="00A773FB" w:rsidR="00E43BFF">
              <w:rPr>
                <w:rFonts w:ascii="Times New Roman" w:hAnsi="Times New Roman" w:cs="Times New Roman"/>
                <w:sz w:val="20"/>
                <w:szCs w:val="20"/>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3E2051" w:rsidRPr="00A773FB" w14:paraId="654CF97F" w14:textId="77777777">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020CE6">
              <w:rPr>
                <w:rFonts w:ascii="Times New Roman" w:hAnsi="Times New Roman" w:cs="Times New Roman"/>
                <w:sz w:val="20"/>
                <w:szCs w:val="20"/>
              </w:rPr>
              <w:t>0.0</w:t>
            </w:r>
            <w:r w:rsidRPr="00A773FB" w:rsidR="00E43BFF">
              <w:rPr>
                <w:rFonts w:ascii="Times New Roman" w:hAnsi="Times New Roman" w:cs="Times New Roman"/>
                <w:sz w:val="20"/>
                <w:szCs w:val="20"/>
              </w:rPr>
              <w:t>**</w:t>
            </w:r>
          </w:p>
        </w:tc>
      </w:tr>
      <w:tr w14:paraId="1B725567" w14:textId="77777777">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3E2051" w:rsidRPr="00A773FB" w:rsidP="00B46D5D" w14:paraId="5A98EB21" w14:textId="77777777">
            <w:pPr>
              <w:spacing w:after="0" w:line="240" w:lineRule="auto"/>
              <w:ind w:left="112"/>
              <w:jc w:val="right"/>
              <w:rPr>
                <w:rFonts w:ascii="Times New Roman" w:hAnsi="Times New Roman" w:cs="Times New Roman"/>
                <w:i/>
                <w:iCs/>
                <w:sz w:val="20"/>
                <w:szCs w:val="20"/>
              </w:rPr>
            </w:pPr>
            <w:r w:rsidRPr="00A773FB">
              <w:rPr>
                <w:rFonts w:ascii="Times New Roman" w:hAnsi="Times New Roman" w:cs="Times New Roman"/>
                <w:i/>
                <w:iCs/>
                <w:sz w:val="20"/>
                <w:szCs w:val="20"/>
              </w:rPr>
              <w:t xml:space="preserve">RAGAGEP </w:t>
            </w:r>
          </w:p>
        </w:tc>
        <w:tc>
          <w:tcPr>
            <w:tcW w:w="1260" w:type="dxa"/>
            <w:tcBorders>
              <w:top w:val="single" w:sz="6" w:space="0" w:color="000000"/>
              <w:left w:val="single" w:sz="6" w:space="0" w:color="000000"/>
              <w:bottom w:val="single" w:sz="6" w:space="0" w:color="000000"/>
              <w:right w:val="single" w:sz="6" w:space="0" w:color="000000"/>
            </w:tcBorders>
            <w:vAlign w:val="center"/>
          </w:tcPr>
          <w:p w:rsidR="003E2051" w:rsidRPr="00A773FB" w14:paraId="378144FA" w14:textId="77777777">
            <w:pPr>
              <w:spacing w:after="0" w:line="240" w:lineRule="auto"/>
              <w:ind w:left="133" w:right="102"/>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673922">
              <w:rPr>
                <w:rFonts w:ascii="Times New Roman" w:hAnsi="Times New Roman" w:cs="Times New Roman"/>
                <w:sz w:val="20"/>
                <w:szCs w:val="20"/>
              </w:rPr>
              <w:t>0.</w:t>
            </w:r>
            <w:r w:rsidR="00C07E13">
              <w:rPr>
                <w:rFonts w:ascii="Times New Roman" w:hAnsi="Times New Roman" w:cs="Times New Roman"/>
                <w:sz w:val="20"/>
                <w:szCs w:val="20"/>
              </w:rPr>
              <w:t>3</w:t>
            </w:r>
          </w:p>
        </w:tc>
        <w:tc>
          <w:tcPr>
            <w:tcW w:w="1530" w:type="dxa"/>
            <w:tcBorders>
              <w:top w:val="single" w:sz="6" w:space="0" w:color="000000"/>
              <w:left w:val="single" w:sz="6" w:space="0" w:color="000000"/>
              <w:bottom w:val="single" w:sz="6" w:space="0" w:color="000000"/>
              <w:right w:val="single" w:sz="6" w:space="0" w:color="000000"/>
            </w:tcBorders>
            <w:vAlign w:val="center"/>
          </w:tcPr>
          <w:p w:rsidR="003E2051" w:rsidRPr="00A773FB" w14:paraId="75400B8D"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673922">
              <w:rPr>
                <w:rFonts w:ascii="Times New Roman" w:hAnsi="Times New Roman" w:cs="Times New Roman"/>
                <w:sz w:val="20"/>
                <w:szCs w:val="20"/>
              </w:rPr>
              <w:t>0</w:t>
            </w:r>
            <w:r w:rsidRPr="00A773FB">
              <w:rPr>
                <w:rFonts w:ascii="Times New Roman" w:hAnsi="Times New Roman" w:cs="Times New Roman"/>
                <w:sz w:val="20"/>
                <w:szCs w:val="20"/>
              </w:rPr>
              <w:t>.</w:t>
            </w:r>
            <w:r w:rsidR="00C07E13">
              <w:rPr>
                <w:rFonts w:ascii="Times New Roman" w:hAnsi="Times New Roman" w:cs="Times New Roman"/>
                <w:sz w:val="20"/>
                <w:szCs w:val="20"/>
              </w:rPr>
              <w:t>2</w:t>
            </w:r>
          </w:p>
        </w:tc>
        <w:tc>
          <w:tcPr>
            <w:tcW w:w="1530" w:type="dxa"/>
            <w:tcBorders>
              <w:top w:val="single" w:sz="6" w:space="0" w:color="000000"/>
              <w:left w:val="single" w:sz="6" w:space="0" w:color="000000"/>
              <w:bottom w:val="single" w:sz="6" w:space="0" w:color="000000"/>
              <w:right w:val="single" w:sz="6" w:space="0" w:color="000000"/>
            </w:tcBorders>
            <w:vAlign w:val="center"/>
          </w:tcPr>
          <w:p w:rsidR="003E2051" w:rsidRPr="00A773FB" w14:paraId="35080D2B"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673922">
              <w:rPr>
                <w:rFonts w:ascii="Times New Roman" w:hAnsi="Times New Roman" w:cs="Times New Roman"/>
                <w:sz w:val="20"/>
                <w:szCs w:val="20"/>
              </w:rPr>
              <w:t>0.</w:t>
            </w:r>
            <w:r w:rsidR="00C07E13">
              <w:rPr>
                <w:rFonts w:ascii="Times New Roman" w:hAnsi="Times New Roman" w:cs="Times New Roman"/>
                <w:sz w:val="20"/>
                <w:szCs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rsidR="003E2051" w:rsidRPr="00A773FB" w14:paraId="10EE08A9"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673922">
              <w:rPr>
                <w:rFonts w:ascii="Times New Roman" w:hAnsi="Times New Roman" w:cs="Times New Roman"/>
                <w:sz w:val="20"/>
                <w:szCs w:val="20"/>
              </w:rPr>
              <w:t>0.0</w:t>
            </w:r>
            <w:r w:rsidRPr="00A773FB" w:rsidR="00E43BFF">
              <w:rPr>
                <w:rFonts w:ascii="Times New Roman" w:hAnsi="Times New Roman" w:cs="Times New Roman"/>
                <w:sz w:val="20"/>
                <w:szCs w:val="20"/>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3E2051" w:rsidRPr="00A773FB" w14:paraId="16CEED4D" w14:textId="77777777">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673922">
              <w:rPr>
                <w:rFonts w:ascii="Times New Roman" w:hAnsi="Times New Roman" w:cs="Times New Roman"/>
                <w:sz w:val="20"/>
                <w:szCs w:val="20"/>
              </w:rPr>
              <w:t>0.0</w:t>
            </w:r>
            <w:r w:rsidRPr="00A773FB" w:rsidR="00E43BFF">
              <w:rPr>
                <w:rFonts w:ascii="Times New Roman" w:hAnsi="Times New Roman" w:cs="Times New Roman"/>
                <w:sz w:val="20"/>
                <w:szCs w:val="20"/>
              </w:rPr>
              <w:t>**</w:t>
            </w:r>
          </w:p>
        </w:tc>
      </w:tr>
      <w:tr w14:paraId="6CA34CEA" w14:textId="77777777" w:rsidTr="00035E0B">
        <w:tblPrEx>
          <w:tblW w:w="0" w:type="auto"/>
          <w:jc w:val="center"/>
          <w:tblLayout w:type="fixed"/>
          <w:tblCellMar>
            <w:left w:w="0" w:type="dxa"/>
            <w:right w:w="0" w:type="dxa"/>
          </w:tblCellMar>
          <w:tblLook w:val="01E0"/>
        </w:tblPrEx>
        <w:trPr>
          <w:trHeight w:val="285"/>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E81DC0" w:rsidRPr="00A773FB" w14:paraId="0C430D43" w14:textId="77777777">
            <w:pPr>
              <w:spacing w:after="0" w:line="240" w:lineRule="auto"/>
              <w:ind w:left="112"/>
              <w:rPr>
                <w:rFonts w:ascii="Times New Roman" w:hAnsi="Times New Roman" w:cs="Times New Roman"/>
                <w:sz w:val="20"/>
                <w:szCs w:val="20"/>
              </w:rPr>
            </w:pPr>
            <w:r w:rsidRPr="00A773FB">
              <w:rPr>
                <w:rFonts w:ascii="Times New Roman" w:hAnsi="Times New Roman" w:cs="Times New Roman"/>
                <w:sz w:val="20"/>
                <w:szCs w:val="20"/>
              </w:rPr>
              <w:t>Community Notification System</w:t>
            </w:r>
          </w:p>
        </w:tc>
        <w:tc>
          <w:tcPr>
            <w:tcW w:w="1260" w:type="dxa"/>
            <w:tcBorders>
              <w:top w:val="single" w:sz="6" w:space="0" w:color="000000"/>
              <w:left w:val="single" w:sz="6" w:space="0" w:color="000000"/>
              <w:bottom w:val="single" w:sz="6" w:space="0" w:color="000000"/>
              <w:right w:val="single" w:sz="6" w:space="0" w:color="000000"/>
            </w:tcBorders>
            <w:vAlign w:val="center"/>
          </w:tcPr>
          <w:p w:rsidR="00E81DC0" w:rsidRPr="00A773FB" w14:paraId="036089B4" w14:textId="77777777">
            <w:pPr>
              <w:spacing w:after="0" w:line="240" w:lineRule="auto"/>
              <w:ind w:left="133" w:right="102"/>
              <w:jc w:val="center"/>
              <w:rPr>
                <w:rFonts w:ascii="Times New Roman" w:hAnsi="Times New Roman" w:cs="Times New Roman"/>
                <w:sz w:val="20"/>
                <w:szCs w:val="20"/>
              </w:rPr>
            </w:pPr>
            <w:r w:rsidRPr="00A773FB">
              <w:rPr>
                <w:rFonts w:ascii="Times New Roman" w:hAnsi="Times New Roman" w:cs="Times New Roman"/>
                <w:sz w:val="20"/>
                <w:szCs w:val="20"/>
              </w:rPr>
              <w:t>$3</w:t>
            </w:r>
            <w:r w:rsidRPr="00A773FB" w:rsidR="00B861F6">
              <w:rPr>
                <w:rFonts w:ascii="Times New Roman" w:hAnsi="Times New Roman" w:cs="Times New Roman"/>
                <w:sz w:val="20"/>
                <w:szCs w:val="20"/>
              </w:rPr>
              <w:t>9.7</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298F6102"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7F3299">
              <w:rPr>
                <w:rFonts w:ascii="Times New Roman" w:hAnsi="Times New Roman" w:cs="Times New Roman"/>
                <w:sz w:val="20"/>
                <w:szCs w:val="20"/>
              </w:rPr>
              <w:t>33.9</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7C89606A" w14:textId="77777777">
            <w:pPr>
              <w:spacing w:after="0" w:line="240" w:lineRule="auto"/>
              <w:ind w:left="468"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281415">
              <w:rPr>
                <w:rFonts w:ascii="Times New Roman" w:hAnsi="Times New Roman" w:cs="Times New Roman"/>
                <w:sz w:val="20"/>
                <w:szCs w:val="20"/>
              </w:rPr>
              <w:t>27.9</w:t>
            </w:r>
          </w:p>
        </w:tc>
        <w:tc>
          <w:tcPr>
            <w:tcW w:w="1170" w:type="dxa"/>
            <w:tcBorders>
              <w:top w:val="single" w:sz="6" w:space="0" w:color="000000"/>
              <w:left w:val="single" w:sz="6" w:space="0" w:color="000000"/>
              <w:bottom w:val="single" w:sz="6" w:space="0" w:color="000000"/>
              <w:right w:val="single" w:sz="6" w:space="0" w:color="000000"/>
            </w:tcBorders>
            <w:vAlign w:val="center"/>
          </w:tcPr>
          <w:p w:rsidR="00E81DC0" w:rsidRPr="00A773FB" w14:paraId="3D44C8C8"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A531FB">
              <w:rPr>
                <w:rFonts w:ascii="Times New Roman" w:hAnsi="Times New Roman" w:cs="Times New Roman"/>
                <w:sz w:val="20"/>
                <w:szCs w:val="20"/>
              </w:rPr>
              <w:t>4.0</w:t>
            </w:r>
          </w:p>
        </w:tc>
        <w:tc>
          <w:tcPr>
            <w:tcW w:w="1080" w:type="dxa"/>
            <w:tcBorders>
              <w:top w:val="single" w:sz="6" w:space="0" w:color="000000"/>
              <w:left w:val="single" w:sz="6" w:space="0" w:color="000000"/>
              <w:bottom w:val="single" w:sz="6" w:space="0" w:color="000000"/>
              <w:right w:val="single" w:sz="6" w:space="0" w:color="000000"/>
            </w:tcBorders>
            <w:vAlign w:val="center"/>
          </w:tcPr>
          <w:p w:rsidR="00E81DC0" w:rsidRPr="00A773FB" w14:paraId="12D76751" w14:textId="77777777">
            <w:pPr>
              <w:spacing w:after="0" w:line="240" w:lineRule="auto"/>
              <w:ind w:left="75" w:right="59"/>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A531FB">
              <w:rPr>
                <w:rFonts w:ascii="Times New Roman" w:hAnsi="Times New Roman" w:cs="Times New Roman"/>
                <w:sz w:val="20"/>
                <w:szCs w:val="20"/>
              </w:rPr>
              <w:t>4.0</w:t>
            </w:r>
          </w:p>
        </w:tc>
      </w:tr>
      <w:tr w14:paraId="79916CF4" w14:textId="77777777" w:rsidTr="00035E0B">
        <w:tblPrEx>
          <w:tblW w:w="0" w:type="auto"/>
          <w:jc w:val="center"/>
          <w:tblLayout w:type="fixed"/>
          <w:tblCellMar>
            <w:left w:w="0" w:type="dxa"/>
            <w:right w:w="0" w:type="dxa"/>
          </w:tblCellMar>
          <w:tblLook w:val="01E0"/>
        </w:tblPrEx>
        <w:trPr>
          <w:trHeight w:val="300"/>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E81DC0" w:rsidRPr="00A773FB" w14:paraId="4FCA9994" w14:textId="77777777">
            <w:pPr>
              <w:spacing w:after="0" w:line="240" w:lineRule="auto"/>
              <w:ind w:left="112"/>
              <w:rPr>
                <w:rFonts w:ascii="Times New Roman" w:hAnsi="Times New Roman" w:cs="Times New Roman"/>
                <w:sz w:val="20"/>
                <w:szCs w:val="20"/>
              </w:rPr>
            </w:pPr>
            <w:r w:rsidRPr="00A773FB">
              <w:rPr>
                <w:rFonts w:ascii="Times New Roman" w:hAnsi="Times New Roman" w:cs="Times New Roman"/>
                <w:sz w:val="20"/>
                <w:szCs w:val="20"/>
              </w:rPr>
              <w:t>Information Availability</w:t>
            </w:r>
          </w:p>
        </w:tc>
        <w:tc>
          <w:tcPr>
            <w:tcW w:w="1260" w:type="dxa"/>
            <w:tcBorders>
              <w:top w:val="single" w:sz="6" w:space="0" w:color="000000"/>
              <w:left w:val="single" w:sz="6" w:space="0" w:color="000000"/>
              <w:bottom w:val="single" w:sz="6" w:space="0" w:color="000000"/>
              <w:right w:val="single" w:sz="6" w:space="0" w:color="000000"/>
            </w:tcBorders>
            <w:vAlign w:val="center"/>
          </w:tcPr>
          <w:p w:rsidR="00E81DC0" w:rsidRPr="00A773FB" w14:paraId="2A72A440" w14:textId="77777777">
            <w:pPr>
              <w:spacing w:after="0" w:line="240" w:lineRule="auto"/>
              <w:ind w:left="131" w:right="115"/>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7315B6">
              <w:rPr>
                <w:rFonts w:ascii="Times New Roman" w:hAnsi="Times New Roman" w:cs="Times New Roman"/>
                <w:sz w:val="20"/>
                <w:szCs w:val="20"/>
              </w:rPr>
              <w:t>127.6</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0B13EACB" w14:textId="77777777">
            <w:pPr>
              <w:spacing w:after="0" w:line="240" w:lineRule="auto"/>
              <w:ind w:left="453"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2B1AD8">
              <w:rPr>
                <w:rFonts w:ascii="Times New Roman" w:hAnsi="Times New Roman" w:cs="Times New Roman"/>
                <w:sz w:val="20"/>
                <w:szCs w:val="20"/>
              </w:rPr>
              <w:t>108</w:t>
            </w:r>
            <w:r w:rsidRPr="00A773FB">
              <w:rPr>
                <w:rFonts w:ascii="Times New Roman" w:hAnsi="Times New Roman" w:cs="Times New Roman"/>
                <w:sz w:val="20"/>
                <w:szCs w:val="20"/>
              </w:rPr>
              <w:t>.8</w:t>
            </w:r>
          </w:p>
        </w:tc>
        <w:tc>
          <w:tcPr>
            <w:tcW w:w="1530" w:type="dxa"/>
            <w:tcBorders>
              <w:top w:val="single" w:sz="6" w:space="0" w:color="000000"/>
              <w:left w:val="single" w:sz="6" w:space="0" w:color="000000"/>
              <w:bottom w:val="single" w:sz="6" w:space="0" w:color="000000"/>
              <w:right w:val="single" w:sz="6" w:space="0" w:color="000000"/>
            </w:tcBorders>
            <w:vAlign w:val="center"/>
          </w:tcPr>
          <w:p w:rsidR="00E81DC0" w:rsidRPr="00A773FB" w14:paraId="1623226C" w14:textId="77777777">
            <w:pPr>
              <w:spacing w:after="0" w:line="240" w:lineRule="auto"/>
              <w:ind w:left="453" w:right="437"/>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DD4C79">
              <w:rPr>
                <w:rFonts w:ascii="Times New Roman" w:hAnsi="Times New Roman" w:cs="Times New Roman"/>
                <w:sz w:val="20"/>
                <w:szCs w:val="20"/>
              </w:rPr>
              <w:t>89.6</w:t>
            </w:r>
          </w:p>
        </w:tc>
        <w:tc>
          <w:tcPr>
            <w:tcW w:w="1170" w:type="dxa"/>
            <w:tcBorders>
              <w:top w:val="single" w:sz="6" w:space="0" w:color="000000"/>
              <w:left w:val="single" w:sz="6" w:space="0" w:color="000000"/>
              <w:bottom w:val="single" w:sz="6" w:space="0" w:color="000000"/>
              <w:right w:val="single" w:sz="6" w:space="0" w:color="000000"/>
            </w:tcBorders>
            <w:vAlign w:val="center"/>
          </w:tcPr>
          <w:p w:rsidR="00E81DC0" w:rsidRPr="00A773FB" w14:paraId="5CEC574F" w14:textId="77777777">
            <w:pPr>
              <w:spacing w:after="0" w:line="240" w:lineRule="auto"/>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FD59E6">
              <w:rPr>
                <w:rFonts w:ascii="Times New Roman" w:hAnsi="Times New Roman" w:cs="Times New Roman"/>
                <w:sz w:val="20"/>
                <w:szCs w:val="20"/>
              </w:rPr>
              <w:t>12.8</w:t>
            </w:r>
          </w:p>
        </w:tc>
        <w:tc>
          <w:tcPr>
            <w:tcW w:w="1080" w:type="dxa"/>
            <w:tcBorders>
              <w:top w:val="single" w:sz="6" w:space="0" w:color="000000"/>
              <w:left w:val="single" w:sz="6" w:space="0" w:color="000000"/>
              <w:bottom w:val="single" w:sz="6" w:space="0" w:color="000000"/>
              <w:right w:val="single" w:sz="6" w:space="0" w:color="000000"/>
            </w:tcBorders>
            <w:vAlign w:val="center"/>
          </w:tcPr>
          <w:p w:rsidR="00E81DC0" w:rsidRPr="00A773FB" w14:paraId="71DE55E0" w14:textId="77777777">
            <w:pPr>
              <w:spacing w:after="0" w:line="240" w:lineRule="auto"/>
              <w:ind w:left="89" w:right="58"/>
              <w:jc w:val="center"/>
              <w:rPr>
                <w:rFonts w:ascii="Times New Roman" w:hAnsi="Times New Roman" w:cs="Times New Roman"/>
                <w:sz w:val="20"/>
                <w:szCs w:val="20"/>
              </w:rPr>
            </w:pPr>
            <w:r w:rsidRPr="00A773FB">
              <w:rPr>
                <w:rFonts w:ascii="Times New Roman" w:hAnsi="Times New Roman" w:cs="Times New Roman"/>
                <w:sz w:val="20"/>
                <w:szCs w:val="20"/>
              </w:rPr>
              <w:t>$</w:t>
            </w:r>
            <w:r w:rsidRPr="00A773FB" w:rsidR="00FD59E6">
              <w:rPr>
                <w:rFonts w:ascii="Times New Roman" w:hAnsi="Times New Roman" w:cs="Times New Roman"/>
                <w:sz w:val="20"/>
                <w:szCs w:val="20"/>
              </w:rPr>
              <w:t>12.8</w:t>
            </w:r>
          </w:p>
        </w:tc>
      </w:tr>
      <w:tr w14:paraId="7E08D94B" w14:textId="77777777" w:rsidTr="00340E16">
        <w:tblPrEx>
          <w:tblW w:w="0" w:type="auto"/>
          <w:jc w:val="center"/>
          <w:tblLayout w:type="fixed"/>
          <w:tblCellMar>
            <w:left w:w="0" w:type="dxa"/>
            <w:right w:w="0" w:type="dxa"/>
          </w:tblCellMar>
          <w:tblLook w:val="01E0"/>
        </w:tblPrEx>
        <w:trPr>
          <w:trHeight w:val="282"/>
          <w:jc w:val="center"/>
        </w:trPr>
        <w:tc>
          <w:tcPr>
            <w:tcW w:w="1612" w:type="dxa"/>
            <w:tcBorders>
              <w:left w:val="single" w:sz="6" w:space="0" w:color="000000"/>
              <w:right w:val="single" w:sz="6" w:space="0" w:color="000000"/>
            </w:tcBorders>
            <w:vAlign w:val="center"/>
          </w:tcPr>
          <w:p w:rsidR="00C958F2" w:rsidRPr="00A773FB" w:rsidP="00C958F2" w14:paraId="5B0DD323" w14:textId="77777777">
            <w:pPr>
              <w:spacing w:after="0" w:line="240" w:lineRule="auto"/>
              <w:rPr>
                <w:rFonts w:ascii="Times New Roman" w:hAnsi="Times New Roman" w:cs="Times New Roman"/>
                <w:b/>
                <w:sz w:val="20"/>
                <w:szCs w:val="20"/>
              </w:rPr>
            </w:pPr>
            <w:r w:rsidRPr="00A773FB">
              <w:rPr>
                <w:rFonts w:ascii="Times New Roman" w:hAnsi="Times New Roman" w:cs="Times New Roman"/>
                <w:b/>
                <w:sz w:val="20"/>
                <w:szCs w:val="20"/>
              </w:rPr>
              <w:t>Total Cost*</w:t>
            </w:r>
          </w:p>
        </w:tc>
        <w:tc>
          <w:tcPr>
            <w:tcW w:w="1260" w:type="dxa"/>
            <w:tcBorders>
              <w:left w:val="single" w:sz="6" w:space="0" w:color="000000"/>
              <w:right w:val="single" w:sz="6" w:space="0" w:color="000000"/>
            </w:tcBorders>
            <w:vAlign w:val="center"/>
          </w:tcPr>
          <w:p w:rsidR="00C958F2" w:rsidRPr="00347BE9" w:rsidP="00C958F2" w14:paraId="3C69C15A" w14:textId="16DEBBA7">
            <w:pPr>
              <w:spacing w:after="0" w:line="240" w:lineRule="auto"/>
              <w:ind w:left="133" w:right="102"/>
              <w:jc w:val="center"/>
              <w:rPr>
                <w:rFonts w:ascii="Times New Roman" w:hAnsi="Times New Roman" w:cs="Times New Roman"/>
                <w:b/>
                <w:sz w:val="20"/>
                <w:szCs w:val="20"/>
              </w:rPr>
            </w:pPr>
            <w:r w:rsidRPr="00347BE9">
              <w:rPr>
                <w:rFonts w:ascii="Times New Roman" w:hAnsi="Times New Roman" w:cs="Times New Roman"/>
                <w:b/>
                <w:sz w:val="20"/>
                <w:szCs w:val="20"/>
              </w:rPr>
              <w:t>$2,55</w:t>
            </w:r>
            <w:r>
              <w:rPr>
                <w:rFonts w:ascii="Times New Roman" w:hAnsi="Times New Roman" w:cs="Times New Roman"/>
                <w:b/>
                <w:sz w:val="20"/>
                <w:szCs w:val="20"/>
              </w:rPr>
              <w:t>4.0</w:t>
            </w:r>
          </w:p>
        </w:tc>
        <w:tc>
          <w:tcPr>
            <w:tcW w:w="1530" w:type="dxa"/>
            <w:tcBorders>
              <w:left w:val="single" w:sz="6" w:space="0" w:color="000000"/>
              <w:right w:val="single" w:sz="6" w:space="0" w:color="000000"/>
            </w:tcBorders>
            <w:vAlign w:val="center"/>
          </w:tcPr>
          <w:p w:rsidR="00C958F2" w:rsidRPr="00347BE9" w:rsidP="00C958F2" w14:paraId="402B7927" w14:textId="79D1BD39">
            <w:pPr>
              <w:spacing w:after="0" w:line="240" w:lineRule="auto"/>
              <w:ind w:right="437"/>
              <w:jc w:val="right"/>
              <w:rPr>
                <w:rFonts w:ascii="Times New Roman" w:hAnsi="Times New Roman" w:cs="Times New Roman"/>
                <w:b/>
                <w:sz w:val="20"/>
                <w:szCs w:val="20"/>
              </w:rPr>
            </w:pPr>
            <w:r w:rsidRPr="00347BE9">
              <w:rPr>
                <w:rFonts w:ascii="Times New Roman" w:hAnsi="Times New Roman" w:cs="Times New Roman"/>
                <w:b/>
                <w:sz w:val="20"/>
                <w:szCs w:val="20"/>
              </w:rPr>
              <w:t>$2,19</w:t>
            </w:r>
            <w:r>
              <w:rPr>
                <w:rFonts w:ascii="Times New Roman" w:hAnsi="Times New Roman" w:cs="Times New Roman"/>
                <w:b/>
                <w:sz w:val="20"/>
                <w:szCs w:val="20"/>
              </w:rPr>
              <w:t>1.7</w:t>
            </w:r>
          </w:p>
        </w:tc>
        <w:tc>
          <w:tcPr>
            <w:tcW w:w="1530" w:type="dxa"/>
            <w:tcBorders>
              <w:left w:val="single" w:sz="6" w:space="0" w:color="000000"/>
              <w:right w:val="single" w:sz="6" w:space="0" w:color="000000"/>
            </w:tcBorders>
            <w:vAlign w:val="center"/>
          </w:tcPr>
          <w:p w:rsidR="00C958F2" w:rsidRPr="00347BE9" w:rsidP="00C958F2" w14:paraId="5ED3B6BE" w14:textId="1CD3277C">
            <w:pPr>
              <w:spacing w:after="0" w:line="240" w:lineRule="auto"/>
              <w:ind w:right="437"/>
              <w:jc w:val="right"/>
              <w:rPr>
                <w:rFonts w:ascii="Times New Roman" w:hAnsi="Times New Roman" w:cs="Times New Roman"/>
                <w:b/>
                <w:sz w:val="20"/>
                <w:szCs w:val="20"/>
              </w:rPr>
            </w:pPr>
            <w:r w:rsidRPr="00347BE9">
              <w:rPr>
                <w:rFonts w:ascii="Times New Roman" w:hAnsi="Times New Roman" w:cs="Times New Roman"/>
                <w:b/>
                <w:sz w:val="20"/>
                <w:szCs w:val="20"/>
              </w:rPr>
              <w:t>$1,8</w:t>
            </w:r>
            <w:r>
              <w:rPr>
                <w:rFonts w:ascii="Times New Roman" w:hAnsi="Times New Roman" w:cs="Times New Roman"/>
                <w:b/>
                <w:sz w:val="20"/>
                <w:szCs w:val="20"/>
              </w:rPr>
              <w:t>18.9</w:t>
            </w:r>
          </w:p>
        </w:tc>
        <w:tc>
          <w:tcPr>
            <w:tcW w:w="1170" w:type="dxa"/>
            <w:tcBorders>
              <w:left w:val="single" w:sz="6" w:space="0" w:color="000000"/>
              <w:right w:val="single" w:sz="6" w:space="0" w:color="000000"/>
            </w:tcBorders>
            <w:vAlign w:val="center"/>
          </w:tcPr>
          <w:p w:rsidR="00C958F2" w:rsidRPr="00347BE9" w:rsidP="00C958F2" w14:paraId="7B166E3D" w14:textId="6B9E7372">
            <w:pPr>
              <w:spacing w:after="0" w:line="240" w:lineRule="auto"/>
              <w:ind w:hanging="5"/>
              <w:jc w:val="center"/>
              <w:rPr>
                <w:rFonts w:ascii="Times New Roman" w:hAnsi="Times New Roman" w:cs="Times New Roman"/>
                <w:b/>
                <w:sz w:val="20"/>
                <w:szCs w:val="20"/>
              </w:rPr>
            </w:pPr>
            <w:r w:rsidRPr="00347BE9">
              <w:rPr>
                <w:rFonts w:ascii="Times New Roman" w:hAnsi="Times New Roman" w:cs="Times New Roman"/>
                <w:b/>
                <w:sz w:val="20"/>
                <w:szCs w:val="20"/>
              </w:rPr>
              <w:t>$25</w:t>
            </w:r>
            <w:r>
              <w:rPr>
                <w:rFonts w:ascii="Times New Roman" w:hAnsi="Times New Roman" w:cs="Times New Roman"/>
                <w:b/>
                <w:sz w:val="20"/>
                <w:szCs w:val="20"/>
              </w:rPr>
              <w:t>6.9</w:t>
            </w:r>
          </w:p>
        </w:tc>
        <w:tc>
          <w:tcPr>
            <w:tcW w:w="1080" w:type="dxa"/>
            <w:tcBorders>
              <w:left w:val="single" w:sz="6" w:space="0" w:color="000000"/>
              <w:right w:val="single" w:sz="6" w:space="0" w:color="000000"/>
            </w:tcBorders>
            <w:vAlign w:val="center"/>
          </w:tcPr>
          <w:p w:rsidR="00C958F2" w:rsidRPr="00347BE9" w:rsidP="00C958F2" w14:paraId="2690047C" w14:textId="38BFCD7B">
            <w:pPr>
              <w:spacing w:after="0" w:line="240" w:lineRule="auto"/>
              <w:ind w:left="75" w:right="59"/>
              <w:jc w:val="center"/>
              <w:rPr>
                <w:rFonts w:ascii="Times New Roman" w:hAnsi="Times New Roman" w:cs="Times New Roman"/>
                <w:b/>
                <w:sz w:val="20"/>
                <w:szCs w:val="20"/>
              </w:rPr>
            </w:pPr>
            <w:r w:rsidRPr="00347BE9">
              <w:rPr>
                <w:rFonts w:ascii="Times New Roman" w:hAnsi="Times New Roman" w:cs="Times New Roman"/>
                <w:b/>
                <w:sz w:val="20"/>
                <w:szCs w:val="20"/>
              </w:rPr>
              <w:t>$29</w:t>
            </w:r>
            <w:r>
              <w:rPr>
                <w:rFonts w:ascii="Times New Roman" w:hAnsi="Times New Roman" w:cs="Times New Roman"/>
                <w:b/>
                <w:sz w:val="20"/>
                <w:szCs w:val="20"/>
              </w:rPr>
              <w:t>6.9</w:t>
            </w:r>
          </w:p>
        </w:tc>
      </w:tr>
    </w:tbl>
    <w:p w:rsidR="000A13CD" w:rsidRPr="0036010E" w:rsidP="00FF6E15" w14:paraId="348500B1" w14:textId="77777777">
      <w:pPr>
        <w:spacing w:after="0" w:line="240" w:lineRule="auto"/>
        <w:ind w:firstLine="720"/>
        <w:rPr>
          <w:rFonts w:ascii="Times New Roman" w:hAnsi="Times New Roman" w:cs="Times New Roman"/>
          <w:b/>
          <w:sz w:val="18"/>
          <w:szCs w:val="18"/>
        </w:rPr>
      </w:pPr>
      <w:r w:rsidRPr="0036010E">
        <w:rPr>
          <w:rFonts w:ascii="Times New Roman" w:hAnsi="Times New Roman" w:cs="Times New Roman"/>
          <w:b/>
          <w:sz w:val="18"/>
          <w:szCs w:val="18"/>
        </w:rPr>
        <w:t>*</w:t>
      </w:r>
      <w:r w:rsidRPr="0036010E">
        <w:rPr>
          <w:rFonts w:ascii="Times New Roman" w:hAnsi="Times New Roman" w:cs="Times New Roman"/>
          <w:w w:val="105"/>
          <w:position w:val="6"/>
          <w:sz w:val="18"/>
          <w:szCs w:val="18"/>
        </w:rPr>
        <w:t xml:space="preserve"> </w:t>
      </w:r>
      <w:r w:rsidRPr="0036010E">
        <w:rPr>
          <w:rFonts w:ascii="Times New Roman" w:hAnsi="Times New Roman" w:cs="Times New Roman"/>
          <w:w w:val="105"/>
          <w:sz w:val="18"/>
          <w:szCs w:val="18"/>
        </w:rPr>
        <w:t>Totals may not sum due to rounding.</w:t>
      </w:r>
    </w:p>
    <w:p w:rsidR="004C11CA" w:rsidP="000974AC" w14:paraId="6D78563F" w14:textId="77777777">
      <w:pPr>
        <w:spacing w:line="256" w:lineRule="auto"/>
        <w:ind w:left="720"/>
        <w:rPr>
          <w:rFonts w:ascii="Times New Roman" w:hAnsi="Times New Roman" w:cs="Times New Roman"/>
          <w:sz w:val="18"/>
          <w:szCs w:val="18"/>
        </w:rPr>
      </w:pPr>
      <w:r>
        <w:rPr>
          <w:rFonts w:ascii="Times New Roman" w:hAnsi="Times New Roman" w:cs="Times New Roman"/>
          <w:sz w:val="18"/>
          <w:szCs w:val="18"/>
        </w:rPr>
        <w:t xml:space="preserve">** </w:t>
      </w:r>
      <w:r w:rsidR="00FF6E15">
        <w:rPr>
          <w:rFonts w:ascii="Times New Roman" w:hAnsi="Times New Roman" w:cs="Times New Roman"/>
          <w:sz w:val="18"/>
          <w:szCs w:val="18"/>
        </w:rPr>
        <w:t>Annualized Costs</w:t>
      </w:r>
      <w:r>
        <w:rPr>
          <w:rFonts w:ascii="Times New Roman" w:hAnsi="Times New Roman" w:cs="Times New Roman"/>
          <w:sz w:val="18"/>
          <w:szCs w:val="18"/>
        </w:rPr>
        <w:t xml:space="preserve"> </w:t>
      </w:r>
      <w:r w:rsidR="00FF6E15">
        <w:rPr>
          <w:rFonts w:ascii="Times New Roman" w:hAnsi="Times New Roman" w:cs="Times New Roman"/>
          <w:sz w:val="18"/>
          <w:szCs w:val="18"/>
        </w:rPr>
        <w:t>for RMP Justification provisions</w:t>
      </w:r>
      <w:r>
        <w:rPr>
          <w:rFonts w:ascii="Times New Roman" w:hAnsi="Times New Roman" w:cs="Times New Roman"/>
          <w:sz w:val="18"/>
          <w:szCs w:val="18"/>
        </w:rPr>
        <w:t xml:space="preserve"> are zero due to rounding</w:t>
      </w:r>
      <w:r w:rsidR="007714B8">
        <w:rPr>
          <w:rFonts w:ascii="Times New Roman" w:hAnsi="Times New Roman" w:cs="Times New Roman"/>
          <w:sz w:val="18"/>
          <w:szCs w:val="18"/>
        </w:rPr>
        <w:t>.</w:t>
      </w:r>
      <w:r w:rsidRPr="0036010E" w:rsidR="0036010E">
        <w:rPr>
          <w:rFonts w:ascii="Times New Roman" w:hAnsi="Times New Roman" w:cs="Times New Roman"/>
          <w:sz w:val="18"/>
          <w:szCs w:val="18"/>
        </w:rPr>
        <w:t xml:space="preserve"> </w:t>
      </w:r>
      <w:r w:rsidR="0036010E">
        <w:rPr>
          <w:rFonts w:ascii="Times New Roman" w:hAnsi="Times New Roman" w:cs="Times New Roman"/>
          <w:sz w:val="18"/>
          <w:szCs w:val="18"/>
        </w:rPr>
        <w:t xml:space="preserve">Unrounded </w:t>
      </w:r>
      <w:r w:rsidR="000D7DC4">
        <w:rPr>
          <w:rFonts w:ascii="Times New Roman" w:hAnsi="Times New Roman" w:cs="Times New Roman"/>
          <w:sz w:val="18"/>
          <w:szCs w:val="18"/>
        </w:rPr>
        <w:t xml:space="preserve">costs </w:t>
      </w:r>
      <w:r w:rsidR="00902300">
        <w:rPr>
          <w:rFonts w:ascii="Times New Roman" w:hAnsi="Times New Roman" w:cs="Times New Roman"/>
          <w:sz w:val="18"/>
          <w:szCs w:val="18"/>
        </w:rPr>
        <w:t xml:space="preserve">for No Backup Power </w:t>
      </w:r>
      <w:r w:rsidR="0036010E">
        <w:rPr>
          <w:rFonts w:ascii="Times New Roman" w:hAnsi="Times New Roman" w:cs="Times New Roman"/>
          <w:sz w:val="18"/>
          <w:szCs w:val="18"/>
        </w:rPr>
        <w:t>are $</w:t>
      </w:r>
      <w:r w:rsidR="003145EA">
        <w:rPr>
          <w:rFonts w:ascii="Times New Roman" w:hAnsi="Times New Roman" w:cs="Times New Roman"/>
          <w:sz w:val="18"/>
          <w:szCs w:val="18"/>
        </w:rPr>
        <w:t>15</w:t>
      </w:r>
      <w:r w:rsidR="0036010E">
        <w:rPr>
          <w:rFonts w:ascii="Times New Roman" w:hAnsi="Times New Roman" w:cs="Times New Roman"/>
          <w:sz w:val="18"/>
          <w:szCs w:val="18"/>
        </w:rPr>
        <w:t>,</w:t>
      </w:r>
      <w:r w:rsidR="003145EA">
        <w:rPr>
          <w:rFonts w:ascii="Times New Roman" w:hAnsi="Times New Roman" w:cs="Times New Roman"/>
          <w:sz w:val="18"/>
          <w:szCs w:val="18"/>
        </w:rPr>
        <w:t>798</w:t>
      </w:r>
      <w:r w:rsidR="0036010E">
        <w:rPr>
          <w:rFonts w:ascii="Times New Roman" w:hAnsi="Times New Roman" w:cs="Times New Roman"/>
          <w:sz w:val="18"/>
          <w:szCs w:val="18"/>
        </w:rPr>
        <w:t xml:space="preserve"> at 3% and 7% discount </w:t>
      </w:r>
      <w:r w:rsidR="00130F04">
        <w:rPr>
          <w:rFonts w:ascii="Times New Roman" w:hAnsi="Times New Roman" w:cs="Times New Roman"/>
          <w:sz w:val="18"/>
          <w:szCs w:val="18"/>
        </w:rPr>
        <w:t>rates, for</w:t>
      </w:r>
      <w:r w:rsidR="00E35C87">
        <w:rPr>
          <w:rFonts w:ascii="Times New Roman" w:hAnsi="Times New Roman" w:cs="Times New Roman"/>
          <w:sz w:val="18"/>
          <w:szCs w:val="18"/>
        </w:rPr>
        <w:t xml:space="preserve"> </w:t>
      </w:r>
      <w:r w:rsidR="00F43837">
        <w:rPr>
          <w:rFonts w:ascii="Times New Roman" w:hAnsi="Times New Roman" w:cs="Times New Roman"/>
          <w:sz w:val="18"/>
          <w:szCs w:val="18"/>
        </w:rPr>
        <w:t>Natural Hazards</w:t>
      </w:r>
      <w:r w:rsidR="00F2330D">
        <w:rPr>
          <w:rFonts w:ascii="Times New Roman" w:hAnsi="Times New Roman" w:cs="Times New Roman"/>
          <w:sz w:val="18"/>
          <w:szCs w:val="18"/>
        </w:rPr>
        <w:t xml:space="preserve"> and</w:t>
      </w:r>
      <w:r w:rsidR="00F43837">
        <w:rPr>
          <w:rFonts w:ascii="Times New Roman" w:hAnsi="Times New Roman" w:cs="Times New Roman"/>
          <w:sz w:val="18"/>
          <w:szCs w:val="18"/>
        </w:rPr>
        <w:t xml:space="preserve"> Facility Siting</w:t>
      </w:r>
      <w:r w:rsidR="00F2330D">
        <w:rPr>
          <w:rFonts w:ascii="Times New Roman" w:hAnsi="Times New Roman" w:cs="Times New Roman"/>
          <w:sz w:val="18"/>
          <w:szCs w:val="18"/>
        </w:rPr>
        <w:t xml:space="preserve"> are $42,307 at 3% and 7% d</w:t>
      </w:r>
      <w:r w:rsidR="00A3497A">
        <w:rPr>
          <w:rFonts w:ascii="Times New Roman" w:hAnsi="Times New Roman" w:cs="Times New Roman"/>
          <w:sz w:val="18"/>
          <w:szCs w:val="18"/>
        </w:rPr>
        <w:t>iscount rates</w:t>
      </w:r>
      <w:r w:rsidR="00F43837">
        <w:rPr>
          <w:rFonts w:ascii="Times New Roman" w:hAnsi="Times New Roman" w:cs="Times New Roman"/>
          <w:sz w:val="18"/>
          <w:szCs w:val="18"/>
        </w:rPr>
        <w:t xml:space="preserve">, and </w:t>
      </w:r>
      <w:r w:rsidR="00A3497A">
        <w:rPr>
          <w:rFonts w:ascii="Times New Roman" w:hAnsi="Times New Roman" w:cs="Times New Roman"/>
          <w:sz w:val="18"/>
          <w:szCs w:val="18"/>
        </w:rPr>
        <w:t xml:space="preserve">for </w:t>
      </w:r>
      <w:r w:rsidR="00F43837">
        <w:rPr>
          <w:rFonts w:ascii="Times New Roman" w:hAnsi="Times New Roman" w:cs="Times New Roman"/>
          <w:sz w:val="18"/>
          <w:szCs w:val="18"/>
        </w:rPr>
        <w:t>RAGAGEP</w:t>
      </w:r>
      <w:r w:rsidR="00902300">
        <w:rPr>
          <w:rFonts w:ascii="Times New Roman" w:hAnsi="Times New Roman" w:cs="Times New Roman"/>
          <w:sz w:val="18"/>
          <w:szCs w:val="18"/>
        </w:rPr>
        <w:t xml:space="preserve">, </w:t>
      </w:r>
      <w:r w:rsidR="00B222E9">
        <w:rPr>
          <w:rFonts w:ascii="Times New Roman" w:hAnsi="Times New Roman" w:cs="Times New Roman"/>
          <w:sz w:val="18"/>
          <w:szCs w:val="18"/>
        </w:rPr>
        <w:t>are $27</w:t>
      </w:r>
      <w:r w:rsidR="00276657">
        <w:rPr>
          <w:rFonts w:ascii="Times New Roman" w:hAnsi="Times New Roman" w:cs="Times New Roman"/>
          <w:sz w:val="18"/>
          <w:szCs w:val="18"/>
        </w:rPr>
        <w:t>,582</w:t>
      </w:r>
      <w:r w:rsidR="00902300">
        <w:rPr>
          <w:rFonts w:ascii="Times New Roman" w:hAnsi="Times New Roman" w:cs="Times New Roman"/>
          <w:sz w:val="18"/>
          <w:szCs w:val="18"/>
        </w:rPr>
        <w:t xml:space="preserve"> at 3% and 7% discount rates</w:t>
      </w:r>
      <w:r>
        <w:rPr>
          <w:rFonts w:ascii="Times New Roman" w:hAnsi="Times New Roman" w:cs="Times New Roman"/>
          <w:sz w:val="18"/>
          <w:szCs w:val="18"/>
        </w:rPr>
        <w:t>.</w:t>
      </w:r>
    </w:p>
    <w:p w:rsidR="00762D32" w:rsidP="004C11CA" w14:paraId="3C91A7D2" w14:textId="77777777">
      <w:pPr>
        <w:spacing w:line="256" w:lineRule="auto"/>
        <w:rPr>
          <w:rFonts w:ascii="Times New Roman" w:hAnsi="Times New Roman" w:cs="Times New Roman"/>
          <w:sz w:val="18"/>
          <w:szCs w:val="18"/>
        </w:rPr>
      </w:pPr>
      <w:r>
        <w:rPr>
          <w:rFonts w:ascii="Times New Roman" w:hAnsi="Times New Roman" w:cs="Times New Roman"/>
        </w:rPr>
        <w:tab/>
        <w:t xml:space="preserve">Exhibit </w:t>
      </w:r>
      <w:r w:rsidR="00942DCB">
        <w:rPr>
          <w:rFonts w:ascii="Times New Roman" w:hAnsi="Times New Roman" w:cs="Times New Roman"/>
        </w:rPr>
        <w:t>5-</w:t>
      </w:r>
      <w:r w:rsidR="007A5446">
        <w:rPr>
          <w:rFonts w:ascii="Times New Roman" w:hAnsi="Times New Roman" w:cs="Times New Roman"/>
        </w:rPr>
        <w:t>1</w:t>
      </w:r>
      <w:r w:rsidR="002613A7">
        <w:rPr>
          <w:rFonts w:ascii="Times New Roman" w:hAnsi="Times New Roman" w:cs="Times New Roman"/>
        </w:rPr>
        <w:t>8</w:t>
      </w:r>
      <w:r w:rsidR="007A5446">
        <w:rPr>
          <w:rFonts w:ascii="Times New Roman" w:hAnsi="Times New Roman" w:cs="Times New Roman"/>
        </w:rPr>
        <w:t xml:space="preserve"> </w:t>
      </w:r>
      <w:r>
        <w:rPr>
          <w:rFonts w:ascii="Times New Roman" w:hAnsi="Times New Roman" w:cs="Times New Roman"/>
        </w:rPr>
        <w:t xml:space="preserve">provides undiscounted yearly costs for the </w:t>
      </w:r>
      <w:r w:rsidR="00B5605F">
        <w:rPr>
          <w:rFonts w:ascii="Times New Roman" w:hAnsi="Times New Roman" w:cs="Times New Roman"/>
        </w:rPr>
        <w:t xml:space="preserve">final </w:t>
      </w:r>
      <w:r>
        <w:rPr>
          <w:rFonts w:ascii="Times New Roman" w:hAnsi="Times New Roman" w:cs="Times New Roman"/>
        </w:rPr>
        <w:t>rule provisions, for both Year 1</w:t>
      </w:r>
      <w:r w:rsidR="007A5446">
        <w:rPr>
          <w:rFonts w:ascii="Times New Roman" w:hAnsi="Times New Roman" w:cs="Times New Roman"/>
        </w:rPr>
        <w:t>, Years 2-5,</w:t>
      </w:r>
      <w:r>
        <w:rPr>
          <w:rFonts w:ascii="Times New Roman" w:hAnsi="Times New Roman" w:cs="Times New Roman"/>
        </w:rPr>
        <w:t xml:space="preserve"> and Years </w:t>
      </w:r>
      <w:r w:rsidR="007A5446">
        <w:rPr>
          <w:rFonts w:ascii="Times New Roman" w:hAnsi="Times New Roman" w:cs="Times New Roman"/>
        </w:rPr>
        <w:t>6</w:t>
      </w:r>
      <w:r>
        <w:rPr>
          <w:rFonts w:ascii="Times New Roman" w:hAnsi="Times New Roman" w:cs="Times New Roman"/>
        </w:rPr>
        <w:t>-10. Rule familiarization costs are incurred only in Year 1, and therefore are $0 in subsequent years.</w:t>
      </w:r>
      <w:r w:rsidR="00D518ED">
        <w:rPr>
          <w:rFonts w:ascii="Times New Roman" w:hAnsi="Times New Roman" w:cs="Times New Roman"/>
        </w:rPr>
        <w:t xml:space="preserve"> STAA initial evaluation and </w:t>
      </w:r>
      <w:r w:rsidR="00E25B3A">
        <w:rPr>
          <w:rFonts w:ascii="Times New Roman" w:hAnsi="Times New Roman" w:cs="Times New Roman"/>
        </w:rPr>
        <w:t>practicability assessment</w:t>
      </w:r>
      <w:r w:rsidR="00D518ED">
        <w:rPr>
          <w:rFonts w:ascii="Times New Roman" w:hAnsi="Times New Roman" w:cs="Times New Roman"/>
        </w:rPr>
        <w:t xml:space="preserve"> costs are smaller in Years 6-10</w:t>
      </w:r>
      <w:r w:rsidR="00B770D6">
        <w:rPr>
          <w:rFonts w:ascii="Times New Roman" w:hAnsi="Times New Roman" w:cs="Times New Roman"/>
        </w:rPr>
        <w:t xml:space="preserve"> than in Years 1-5</w:t>
      </w:r>
      <w:r w:rsidR="007737F0">
        <w:rPr>
          <w:rFonts w:ascii="Times New Roman" w:hAnsi="Times New Roman" w:cs="Times New Roman"/>
        </w:rPr>
        <w:t>.</w:t>
      </w:r>
    </w:p>
    <w:p w:rsidR="00256784" w:rsidRPr="00281014" w:rsidP="00256784" w14:paraId="3AE003B9" w14:textId="77777777">
      <w:pPr>
        <w:pStyle w:val="Caption"/>
        <w:jc w:val="center"/>
        <w:rPr>
          <w:rFonts w:ascii="Times New Roman" w:hAnsi="Times New Roman" w:cs="Times New Roman"/>
          <w:b/>
          <w:bCs/>
          <w:i w:val="0"/>
          <w:iCs w:val="0"/>
          <w:color w:val="auto"/>
          <w:sz w:val="22"/>
          <w:szCs w:val="22"/>
        </w:rPr>
      </w:pPr>
      <w:r w:rsidRPr="00281014">
        <w:rPr>
          <w:rFonts w:ascii="Times New Roman" w:hAnsi="Times New Roman" w:cs="Times New Roman"/>
          <w:b/>
          <w:bCs/>
          <w:i w:val="0"/>
          <w:iCs w:val="0"/>
          <w:color w:val="auto"/>
          <w:sz w:val="22"/>
          <w:szCs w:val="22"/>
        </w:rPr>
        <w:t xml:space="preserve">Exhibit </w:t>
      </w:r>
      <w:r>
        <w:rPr>
          <w:rFonts w:ascii="Times New Roman" w:hAnsi="Times New Roman" w:cs="Times New Roman"/>
          <w:b/>
          <w:bCs/>
          <w:i w:val="0"/>
          <w:iCs w:val="0"/>
          <w:color w:val="auto"/>
          <w:sz w:val="22"/>
          <w:szCs w:val="22"/>
        </w:rPr>
        <w:t>5-1</w:t>
      </w:r>
      <w:r w:rsidR="002613A7">
        <w:rPr>
          <w:rFonts w:ascii="Times New Roman" w:hAnsi="Times New Roman" w:cs="Times New Roman"/>
          <w:b/>
          <w:bCs/>
          <w:i w:val="0"/>
          <w:iCs w:val="0"/>
          <w:color w:val="auto"/>
          <w:sz w:val="22"/>
          <w:szCs w:val="22"/>
        </w:rPr>
        <w:t>8</w:t>
      </w:r>
      <w:r w:rsidRPr="00281014">
        <w:rPr>
          <w:rFonts w:ascii="Times New Roman" w:hAnsi="Times New Roman" w:cs="Times New Roman"/>
          <w:b/>
          <w:bCs/>
          <w:i w:val="0"/>
          <w:iCs w:val="0"/>
          <w:color w:val="auto"/>
          <w:sz w:val="22"/>
          <w:szCs w:val="22"/>
        </w:rPr>
        <w:t xml:space="preserve">. Summary of Estimated </w:t>
      </w:r>
      <w:r>
        <w:rPr>
          <w:rFonts w:ascii="Times New Roman" w:hAnsi="Times New Roman" w:cs="Times New Roman"/>
          <w:b/>
          <w:bCs/>
          <w:i w:val="0"/>
          <w:iCs w:val="0"/>
          <w:color w:val="auto"/>
          <w:sz w:val="22"/>
          <w:szCs w:val="22"/>
        </w:rPr>
        <w:t xml:space="preserve">Undiscounted </w:t>
      </w:r>
      <w:r w:rsidRPr="00DD38E1">
        <w:rPr>
          <w:rFonts w:ascii="Times New Roman" w:hAnsi="Times New Roman" w:cs="Times New Roman"/>
          <w:b/>
          <w:i w:val="0"/>
          <w:color w:val="auto"/>
          <w:sz w:val="22"/>
          <w:szCs w:val="22"/>
        </w:rPr>
        <w:t>Yearly</w:t>
      </w:r>
      <w:r w:rsidRPr="00DD38E1">
        <w:rPr>
          <w:rFonts w:ascii="Times New Roman" w:hAnsi="Times New Roman" w:cs="Times New Roman"/>
          <w:b/>
          <w:bCs/>
          <w:i w:val="0"/>
          <w:iCs w:val="0"/>
          <w:color w:val="auto"/>
          <w:sz w:val="22"/>
          <w:szCs w:val="22"/>
        </w:rPr>
        <w:t xml:space="preserve"> C</w:t>
      </w:r>
      <w:r w:rsidRPr="00281014">
        <w:rPr>
          <w:rFonts w:ascii="Times New Roman" w:hAnsi="Times New Roman" w:cs="Times New Roman"/>
          <w:b/>
          <w:bCs/>
          <w:i w:val="0"/>
          <w:iCs w:val="0"/>
          <w:color w:val="auto"/>
          <w:sz w:val="22"/>
          <w:szCs w:val="22"/>
        </w:rPr>
        <w:t>osts (millions, 202</w:t>
      </w:r>
      <w:r>
        <w:rPr>
          <w:rFonts w:ascii="Times New Roman" w:hAnsi="Times New Roman" w:cs="Times New Roman"/>
          <w:b/>
          <w:bCs/>
          <w:i w:val="0"/>
          <w:iCs w:val="0"/>
          <w:color w:val="auto"/>
          <w:sz w:val="22"/>
          <w:szCs w:val="22"/>
        </w:rPr>
        <w:t>2</w:t>
      </w:r>
      <w:r w:rsidRPr="00281014">
        <w:rPr>
          <w:rFonts w:ascii="Times New Roman" w:hAnsi="Times New Roman" w:cs="Times New Roman"/>
          <w:b/>
          <w:bCs/>
          <w:i w:val="0"/>
          <w:iCs w:val="0"/>
          <w:color w:val="auto"/>
          <w:sz w:val="22"/>
          <w:szCs w:val="22"/>
        </w:rPr>
        <w:t xml:space="preserve"> dollars).</w:t>
      </w:r>
    </w:p>
    <w:tbl>
      <w:tblPr>
        <w:tblW w:w="991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6"/>
        <w:gridCol w:w="774"/>
        <w:gridCol w:w="720"/>
        <w:gridCol w:w="719"/>
        <w:gridCol w:w="763"/>
        <w:gridCol w:w="839"/>
        <w:gridCol w:w="839"/>
        <w:gridCol w:w="839"/>
        <w:gridCol w:w="839"/>
        <w:gridCol w:w="839"/>
        <w:gridCol w:w="919"/>
      </w:tblGrid>
      <w:tr w14:paraId="2339713F" w14:textId="77777777" w:rsidTr="00FA04B8">
        <w:tblPrEx>
          <w:tblW w:w="9916"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602"/>
        </w:trPr>
        <w:tc>
          <w:tcPr>
            <w:tcW w:w="1826" w:type="dxa"/>
            <w:tcBorders>
              <w:left w:val="single" w:sz="6" w:space="0" w:color="000000"/>
              <w:bottom w:val="single" w:sz="6" w:space="0" w:color="000000"/>
              <w:right w:val="single" w:sz="6" w:space="0" w:color="000000"/>
            </w:tcBorders>
            <w:shd w:val="clear" w:color="auto" w:fill="DADADA"/>
            <w:vAlign w:val="center"/>
          </w:tcPr>
          <w:p w:rsidR="00EA59D8" w:rsidRPr="00281014" w:rsidP="00FA04B8" w14:paraId="3EFBA148" w14:textId="77777777">
            <w:pPr>
              <w:spacing w:after="0" w:line="240" w:lineRule="auto"/>
              <w:ind w:firstLine="79"/>
              <w:jc w:val="center"/>
              <w:rPr>
                <w:rFonts w:ascii="Times New Roman" w:hAnsi="Times New Roman" w:cs="Times New Roman"/>
                <w:b/>
                <w:sz w:val="20"/>
                <w:szCs w:val="20"/>
              </w:rPr>
            </w:pPr>
            <w:r w:rsidRPr="00281014">
              <w:rPr>
                <w:rFonts w:ascii="Times New Roman" w:hAnsi="Times New Roman" w:cs="Times New Roman"/>
                <w:b/>
                <w:sz w:val="20"/>
                <w:szCs w:val="20"/>
              </w:rPr>
              <w:t>Cost Elements</w:t>
            </w:r>
          </w:p>
        </w:tc>
        <w:tc>
          <w:tcPr>
            <w:tcW w:w="774" w:type="dxa"/>
            <w:tcBorders>
              <w:left w:val="single" w:sz="6" w:space="0" w:color="000000"/>
              <w:bottom w:val="single" w:sz="6" w:space="0" w:color="000000"/>
              <w:right w:val="single" w:sz="6" w:space="0" w:color="000000"/>
            </w:tcBorders>
            <w:shd w:val="clear" w:color="auto" w:fill="DADADA"/>
            <w:vAlign w:val="center"/>
          </w:tcPr>
          <w:p w:rsidR="00EA59D8" w:rsidP="00EA59D8" w14:paraId="56670F29"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1</w:t>
            </w:r>
          </w:p>
        </w:tc>
        <w:tc>
          <w:tcPr>
            <w:tcW w:w="720" w:type="dxa"/>
            <w:tcBorders>
              <w:left w:val="single" w:sz="6" w:space="0" w:color="000000"/>
              <w:bottom w:val="single" w:sz="6" w:space="0" w:color="000000"/>
              <w:right w:val="single" w:sz="6" w:space="0" w:color="000000"/>
            </w:tcBorders>
            <w:shd w:val="clear" w:color="auto" w:fill="DADADA"/>
            <w:vAlign w:val="center"/>
          </w:tcPr>
          <w:p w:rsidR="00EA59D8" w:rsidRPr="00DD38E1" w:rsidP="00EA59D8" w14:paraId="4ABD8716"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2</w:t>
            </w:r>
          </w:p>
        </w:tc>
        <w:tc>
          <w:tcPr>
            <w:tcW w:w="719" w:type="dxa"/>
            <w:tcBorders>
              <w:left w:val="single" w:sz="6" w:space="0" w:color="000000"/>
              <w:bottom w:val="single" w:sz="6" w:space="0" w:color="000000"/>
              <w:right w:val="single" w:sz="6" w:space="0" w:color="000000"/>
            </w:tcBorders>
            <w:shd w:val="clear" w:color="auto" w:fill="DADADA"/>
            <w:vAlign w:val="center"/>
          </w:tcPr>
          <w:p w:rsidR="00EA59D8" w:rsidRPr="00DD38E1" w:rsidP="00EA59D8" w14:paraId="63F4461C"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3</w:t>
            </w:r>
          </w:p>
        </w:tc>
        <w:tc>
          <w:tcPr>
            <w:tcW w:w="763" w:type="dxa"/>
            <w:tcBorders>
              <w:left w:val="single" w:sz="6" w:space="0" w:color="000000"/>
              <w:bottom w:val="single" w:sz="6" w:space="0" w:color="000000"/>
              <w:right w:val="single" w:sz="6" w:space="0" w:color="000000"/>
            </w:tcBorders>
            <w:shd w:val="clear" w:color="auto" w:fill="DADADA"/>
            <w:vAlign w:val="center"/>
          </w:tcPr>
          <w:p w:rsidR="00EA59D8" w:rsidRPr="00DD38E1" w:rsidP="00EA59D8" w14:paraId="2D328853"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4</w:t>
            </w:r>
          </w:p>
        </w:tc>
        <w:tc>
          <w:tcPr>
            <w:tcW w:w="839" w:type="dxa"/>
            <w:tcBorders>
              <w:left w:val="single" w:sz="6" w:space="0" w:color="000000"/>
              <w:bottom w:val="single" w:sz="6" w:space="0" w:color="000000"/>
              <w:right w:val="single" w:sz="6" w:space="0" w:color="000000"/>
            </w:tcBorders>
            <w:shd w:val="clear" w:color="auto" w:fill="DADADA"/>
            <w:vAlign w:val="center"/>
          </w:tcPr>
          <w:p w:rsidR="004730DF" w:rsidP="00560E45" w14:paraId="06A49E10"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5</w:t>
            </w:r>
          </w:p>
        </w:tc>
        <w:tc>
          <w:tcPr>
            <w:tcW w:w="839" w:type="dxa"/>
            <w:tcBorders>
              <w:left w:val="single" w:sz="6" w:space="0" w:color="000000"/>
              <w:bottom w:val="single" w:sz="6" w:space="0" w:color="000000"/>
              <w:right w:val="single" w:sz="6" w:space="0" w:color="000000"/>
            </w:tcBorders>
            <w:shd w:val="clear" w:color="auto" w:fill="DADADA"/>
            <w:vAlign w:val="center"/>
          </w:tcPr>
          <w:p w:rsidR="004730DF" w:rsidRPr="00DD38E1" w:rsidP="00560E45" w14:paraId="74509158" w14:textId="77777777">
            <w:pPr>
              <w:spacing w:after="0" w:line="240" w:lineRule="auto"/>
              <w:ind w:right="78"/>
              <w:jc w:val="center"/>
              <w:rPr>
                <w:rFonts w:ascii="Times New Roman" w:hAnsi="Times New Roman" w:cs="Times New Roman"/>
                <w:b/>
                <w:sz w:val="20"/>
                <w:szCs w:val="20"/>
              </w:rPr>
            </w:pPr>
            <w:r w:rsidRPr="00DD38E1">
              <w:rPr>
                <w:rFonts w:ascii="Times New Roman" w:hAnsi="Times New Roman" w:cs="Times New Roman"/>
                <w:b/>
                <w:sz w:val="20"/>
                <w:szCs w:val="20"/>
              </w:rPr>
              <w:t>Year</w:t>
            </w:r>
            <w:r>
              <w:rPr>
                <w:rFonts w:ascii="Times New Roman" w:hAnsi="Times New Roman" w:cs="Times New Roman"/>
                <w:b/>
                <w:sz w:val="20"/>
                <w:szCs w:val="20"/>
              </w:rPr>
              <w:t xml:space="preserve"> 6</w:t>
            </w:r>
          </w:p>
        </w:tc>
        <w:tc>
          <w:tcPr>
            <w:tcW w:w="839" w:type="dxa"/>
            <w:tcBorders>
              <w:left w:val="single" w:sz="6" w:space="0" w:color="000000"/>
              <w:bottom w:val="single" w:sz="6" w:space="0" w:color="000000"/>
              <w:right w:val="single" w:sz="6" w:space="0" w:color="000000"/>
            </w:tcBorders>
            <w:shd w:val="clear" w:color="auto" w:fill="D9D9D9" w:themeFill="background1" w:themeFillShade="D9"/>
            <w:vAlign w:val="center"/>
          </w:tcPr>
          <w:p w:rsidR="004730DF" w:rsidP="00560E45" w14:paraId="51E4CC63" w14:textId="77777777">
            <w:pPr>
              <w:spacing w:after="0" w:line="240" w:lineRule="auto"/>
              <w:ind w:right="78"/>
              <w:jc w:val="center"/>
              <w:rPr>
                <w:rFonts w:ascii="Times New Roman" w:hAnsi="Times New Roman" w:cs="Times New Roman"/>
                <w:b/>
                <w:sz w:val="20"/>
                <w:szCs w:val="20"/>
              </w:rPr>
            </w:pPr>
            <w:r>
              <w:rPr>
                <w:rFonts w:ascii="Times New Roman" w:hAnsi="Times New Roman" w:cs="Times New Roman"/>
                <w:b/>
                <w:sz w:val="20"/>
                <w:szCs w:val="20"/>
              </w:rPr>
              <w:t>Year 7</w:t>
            </w:r>
          </w:p>
        </w:tc>
        <w:tc>
          <w:tcPr>
            <w:tcW w:w="839" w:type="dxa"/>
            <w:tcBorders>
              <w:left w:val="single" w:sz="6" w:space="0" w:color="000000"/>
              <w:bottom w:val="single" w:sz="6" w:space="0" w:color="000000"/>
              <w:right w:val="single" w:sz="6" w:space="0" w:color="000000"/>
            </w:tcBorders>
            <w:shd w:val="clear" w:color="auto" w:fill="DADADA"/>
            <w:vAlign w:val="center"/>
          </w:tcPr>
          <w:p w:rsidR="007A0709" w:rsidRPr="00DD38E1" w:rsidP="007A0709" w14:paraId="5181CFB3" w14:textId="77777777">
            <w:pPr>
              <w:spacing w:after="0" w:line="240" w:lineRule="auto"/>
              <w:ind w:right="78"/>
              <w:jc w:val="center"/>
              <w:rPr>
                <w:rFonts w:ascii="Times New Roman" w:hAnsi="Times New Roman" w:cs="Times New Roman"/>
                <w:b/>
                <w:sz w:val="20"/>
                <w:szCs w:val="20"/>
              </w:rPr>
            </w:pPr>
            <w:r w:rsidRPr="00DD38E1">
              <w:rPr>
                <w:rFonts w:ascii="Times New Roman" w:hAnsi="Times New Roman" w:cs="Times New Roman"/>
                <w:b/>
                <w:sz w:val="20"/>
                <w:szCs w:val="20"/>
              </w:rPr>
              <w:t>Year</w:t>
            </w:r>
            <w:r>
              <w:rPr>
                <w:rFonts w:ascii="Times New Roman" w:hAnsi="Times New Roman" w:cs="Times New Roman"/>
                <w:b/>
                <w:sz w:val="20"/>
                <w:szCs w:val="20"/>
              </w:rPr>
              <w:t xml:space="preserve"> 8</w:t>
            </w:r>
          </w:p>
        </w:tc>
        <w:tc>
          <w:tcPr>
            <w:tcW w:w="839" w:type="dxa"/>
            <w:tcBorders>
              <w:left w:val="single" w:sz="6" w:space="0" w:color="000000"/>
              <w:bottom w:val="single" w:sz="6" w:space="0" w:color="000000"/>
              <w:right w:val="single" w:sz="6" w:space="0" w:color="000000"/>
            </w:tcBorders>
            <w:shd w:val="clear" w:color="auto" w:fill="DADADA"/>
            <w:vAlign w:val="center"/>
          </w:tcPr>
          <w:p w:rsidR="00EA59D8" w:rsidRPr="00DD38E1" w:rsidP="00EA59D8" w14:paraId="7C09E8C8" w14:textId="77777777">
            <w:pPr>
              <w:spacing w:after="0" w:line="240" w:lineRule="auto"/>
              <w:ind w:right="78"/>
              <w:jc w:val="center"/>
              <w:rPr>
                <w:rFonts w:ascii="Times New Roman" w:hAnsi="Times New Roman" w:cs="Times New Roman"/>
                <w:b/>
                <w:sz w:val="20"/>
                <w:szCs w:val="20"/>
              </w:rPr>
            </w:pPr>
            <w:r w:rsidRPr="00DD38E1">
              <w:rPr>
                <w:rFonts w:ascii="Times New Roman" w:hAnsi="Times New Roman" w:cs="Times New Roman"/>
                <w:b/>
                <w:sz w:val="20"/>
                <w:szCs w:val="20"/>
              </w:rPr>
              <w:t>Year</w:t>
            </w:r>
            <w:r>
              <w:rPr>
                <w:rFonts w:ascii="Times New Roman" w:hAnsi="Times New Roman" w:cs="Times New Roman"/>
                <w:b/>
                <w:sz w:val="20"/>
                <w:szCs w:val="20"/>
              </w:rPr>
              <w:t xml:space="preserve"> 9</w:t>
            </w:r>
          </w:p>
        </w:tc>
        <w:tc>
          <w:tcPr>
            <w:tcW w:w="919" w:type="dxa"/>
            <w:tcBorders>
              <w:left w:val="single" w:sz="6" w:space="0" w:color="000000"/>
              <w:bottom w:val="single" w:sz="6" w:space="0" w:color="000000"/>
              <w:right w:val="single" w:sz="6" w:space="0" w:color="000000"/>
            </w:tcBorders>
            <w:shd w:val="clear" w:color="auto" w:fill="DADADA"/>
            <w:vAlign w:val="center"/>
          </w:tcPr>
          <w:p w:rsidR="00EA59D8" w:rsidRPr="00DD38E1" w:rsidP="00EA59D8" w14:paraId="233429EF" w14:textId="77777777">
            <w:pPr>
              <w:spacing w:after="0" w:line="240" w:lineRule="auto"/>
              <w:ind w:right="78"/>
              <w:jc w:val="center"/>
              <w:rPr>
                <w:rFonts w:ascii="Times New Roman" w:hAnsi="Times New Roman" w:cs="Times New Roman"/>
                <w:b/>
                <w:sz w:val="20"/>
                <w:szCs w:val="20"/>
              </w:rPr>
            </w:pPr>
            <w:r w:rsidRPr="00DD38E1">
              <w:rPr>
                <w:rFonts w:ascii="Times New Roman" w:hAnsi="Times New Roman" w:cs="Times New Roman"/>
                <w:b/>
                <w:sz w:val="20"/>
                <w:szCs w:val="20"/>
              </w:rPr>
              <w:t>Year</w:t>
            </w:r>
            <w:r>
              <w:rPr>
                <w:rFonts w:ascii="Times New Roman" w:hAnsi="Times New Roman" w:cs="Times New Roman"/>
                <w:b/>
                <w:sz w:val="20"/>
                <w:szCs w:val="20"/>
              </w:rPr>
              <w:t xml:space="preserve"> 10</w:t>
            </w:r>
          </w:p>
        </w:tc>
      </w:tr>
      <w:tr w14:paraId="2CAAC4EF" w14:textId="77777777" w:rsidTr="00CA0E46">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EA59D8" w:rsidRPr="00281014" w:rsidP="00EA59D8" w14:paraId="6DBA32EF" w14:textId="77777777">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Rule Familiarization</w:t>
            </w:r>
          </w:p>
        </w:tc>
        <w:tc>
          <w:tcPr>
            <w:tcW w:w="774" w:type="dxa"/>
            <w:tcBorders>
              <w:top w:val="single" w:sz="6" w:space="0" w:color="000000"/>
              <w:left w:val="single" w:sz="6" w:space="0" w:color="000000"/>
              <w:bottom w:val="single" w:sz="6" w:space="0" w:color="000000"/>
              <w:right w:val="single" w:sz="6" w:space="0" w:color="000000"/>
            </w:tcBorders>
          </w:tcPr>
          <w:p w:rsidR="00EA59D8" w:rsidRPr="00281014" w:rsidP="00EA59D8" w14:paraId="1B40EBBE"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$50.9</w:t>
            </w:r>
          </w:p>
        </w:tc>
        <w:tc>
          <w:tcPr>
            <w:tcW w:w="720" w:type="dxa"/>
            <w:tcBorders>
              <w:top w:val="single" w:sz="6" w:space="0" w:color="000000"/>
              <w:left w:val="single" w:sz="6" w:space="0" w:color="000000"/>
              <w:bottom w:val="single" w:sz="6" w:space="0" w:color="000000"/>
              <w:right w:val="single" w:sz="6" w:space="0" w:color="000000"/>
            </w:tcBorders>
          </w:tcPr>
          <w:p w:rsidR="00EA59D8" w:rsidRPr="00DD38E1" w:rsidP="00EA59D8" w14:paraId="24A0A7AD" w14:textId="77777777">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c>
          <w:tcPr>
            <w:tcW w:w="719" w:type="dxa"/>
            <w:tcBorders>
              <w:top w:val="single" w:sz="6" w:space="0" w:color="000000"/>
              <w:left w:val="single" w:sz="6" w:space="0" w:color="000000"/>
              <w:bottom w:val="single" w:sz="6" w:space="0" w:color="000000"/>
              <w:right w:val="single" w:sz="6" w:space="0" w:color="000000"/>
            </w:tcBorders>
          </w:tcPr>
          <w:p w:rsidR="00EA59D8" w:rsidRPr="00DD38E1" w:rsidP="00EA59D8" w14:paraId="424D4E8C" w14:textId="77777777">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c>
          <w:tcPr>
            <w:tcW w:w="763" w:type="dxa"/>
            <w:tcBorders>
              <w:top w:val="single" w:sz="6" w:space="0" w:color="000000"/>
              <w:left w:val="single" w:sz="6" w:space="0" w:color="000000"/>
              <w:bottom w:val="single" w:sz="6" w:space="0" w:color="000000"/>
              <w:right w:val="single" w:sz="6" w:space="0" w:color="000000"/>
            </w:tcBorders>
          </w:tcPr>
          <w:p w:rsidR="00EA59D8" w:rsidRPr="00DD38E1" w:rsidP="00EA59D8" w14:paraId="2ACB1B44"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Borders>
              <w:top w:val="single" w:sz="6" w:space="0" w:color="000000"/>
              <w:left w:val="single" w:sz="6" w:space="0" w:color="000000"/>
              <w:bottom w:val="single" w:sz="6" w:space="0" w:color="000000"/>
              <w:right w:val="single" w:sz="6" w:space="0" w:color="000000"/>
            </w:tcBorders>
          </w:tcPr>
          <w:p w:rsidR="004730DF" w:rsidRPr="00DD38E1" w:rsidP="00560E45" w14:paraId="4CE1C157"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Borders>
              <w:top w:val="single" w:sz="6" w:space="0" w:color="000000"/>
              <w:left w:val="single" w:sz="6" w:space="0" w:color="000000"/>
              <w:bottom w:val="single" w:sz="6" w:space="0" w:color="000000"/>
              <w:right w:val="single" w:sz="6" w:space="0" w:color="000000"/>
            </w:tcBorders>
          </w:tcPr>
          <w:p w:rsidR="004730DF" w:rsidRPr="00DD38E1" w:rsidP="00560E45" w14:paraId="0BC304F2" w14:textId="77777777">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c>
          <w:tcPr>
            <w:tcW w:w="839" w:type="dxa"/>
            <w:tcBorders>
              <w:top w:val="single" w:sz="6" w:space="0" w:color="000000"/>
              <w:left w:val="single" w:sz="6" w:space="0" w:color="000000"/>
              <w:bottom w:val="single" w:sz="6" w:space="0" w:color="000000"/>
              <w:right w:val="single" w:sz="6" w:space="0" w:color="000000"/>
            </w:tcBorders>
          </w:tcPr>
          <w:p w:rsidR="004730DF" w:rsidRPr="00DD38E1" w:rsidP="00560E45" w14:paraId="53A15F53"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Borders>
              <w:top w:val="single" w:sz="6" w:space="0" w:color="000000"/>
              <w:left w:val="single" w:sz="6" w:space="0" w:color="000000"/>
              <w:bottom w:val="single" w:sz="6" w:space="0" w:color="000000"/>
              <w:right w:val="single" w:sz="6" w:space="0" w:color="000000"/>
            </w:tcBorders>
          </w:tcPr>
          <w:p w:rsidR="007A0709" w:rsidRPr="00DD38E1" w:rsidP="007A0709" w14:paraId="70D2E1D2" w14:textId="77777777">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c>
          <w:tcPr>
            <w:tcW w:w="839" w:type="dxa"/>
            <w:tcBorders>
              <w:top w:val="single" w:sz="6" w:space="0" w:color="000000"/>
              <w:left w:val="single" w:sz="6" w:space="0" w:color="000000"/>
              <w:bottom w:val="single" w:sz="6" w:space="0" w:color="000000"/>
              <w:right w:val="single" w:sz="6" w:space="0" w:color="000000"/>
            </w:tcBorders>
          </w:tcPr>
          <w:p w:rsidR="00EA59D8" w:rsidRPr="00DD38E1" w:rsidP="00EA59D8" w14:paraId="652E19FE" w14:textId="77777777">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c>
          <w:tcPr>
            <w:tcW w:w="919" w:type="dxa"/>
            <w:tcBorders>
              <w:top w:val="single" w:sz="6" w:space="0" w:color="000000"/>
              <w:left w:val="single" w:sz="6" w:space="0" w:color="000000"/>
              <w:bottom w:val="single" w:sz="6" w:space="0" w:color="000000"/>
              <w:right w:val="single" w:sz="6" w:space="0" w:color="000000"/>
            </w:tcBorders>
          </w:tcPr>
          <w:p w:rsidR="00EA59D8" w:rsidRPr="00DD38E1" w:rsidP="00EA59D8" w14:paraId="34A803E9" w14:textId="77777777">
            <w:pPr>
              <w:spacing w:after="0" w:line="240" w:lineRule="auto"/>
              <w:ind w:left="75" w:right="59"/>
              <w:jc w:val="center"/>
              <w:rPr>
                <w:rFonts w:ascii="Times New Roman" w:hAnsi="Times New Roman" w:cs="Times New Roman"/>
                <w:sz w:val="20"/>
                <w:szCs w:val="20"/>
              </w:rPr>
            </w:pPr>
            <w:r w:rsidRPr="00DD38E1">
              <w:rPr>
                <w:rFonts w:ascii="Times New Roman" w:hAnsi="Times New Roman" w:cs="Times New Roman"/>
                <w:sz w:val="20"/>
                <w:szCs w:val="20"/>
              </w:rPr>
              <w:t>$0</w:t>
            </w:r>
          </w:p>
        </w:tc>
      </w:tr>
      <w:tr w14:paraId="10BEEC26" w14:textId="77777777" w:rsidTr="00CA0E46">
        <w:tblPrEx>
          <w:tblW w:w="9916" w:type="dxa"/>
          <w:tblInd w:w="-8" w:type="dxa"/>
          <w:tblLayout w:type="fixed"/>
          <w:tblCellMar>
            <w:left w:w="0" w:type="dxa"/>
            <w:right w:w="0" w:type="dxa"/>
          </w:tblCellMar>
          <w:tblLook w:val="01E0"/>
        </w:tblPrEx>
        <w:trPr>
          <w:trHeight w:val="310"/>
        </w:trPr>
        <w:tc>
          <w:tcPr>
            <w:tcW w:w="9916" w:type="dxa"/>
            <w:gridSpan w:val="11"/>
            <w:tcBorders>
              <w:top w:val="single" w:sz="6" w:space="0" w:color="000000"/>
              <w:left w:val="single" w:sz="6" w:space="0" w:color="000000"/>
              <w:bottom w:val="single" w:sz="6" w:space="0" w:color="000000"/>
              <w:right w:val="single" w:sz="6" w:space="0" w:color="000000"/>
            </w:tcBorders>
            <w:vAlign w:val="center"/>
          </w:tcPr>
          <w:p w:rsidR="00EE6551" w:rsidRPr="009251F5" w:rsidP="00A96B7C" w14:paraId="2E51BCA6" w14:textId="77777777">
            <w:pPr>
              <w:spacing w:after="0" w:line="240" w:lineRule="auto"/>
              <w:ind w:left="75" w:right="59"/>
              <w:rPr>
                <w:rFonts w:ascii="Times New Roman" w:hAnsi="Times New Roman" w:cs="Times New Roman"/>
                <w:b/>
                <w:sz w:val="20"/>
                <w:szCs w:val="20"/>
              </w:rPr>
            </w:pPr>
            <w:r w:rsidRPr="009251F5">
              <w:rPr>
                <w:rFonts w:ascii="Times New Roman" w:hAnsi="Times New Roman" w:cs="Times New Roman"/>
                <w:b/>
                <w:bCs/>
                <w:sz w:val="20"/>
                <w:szCs w:val="20"/>
              </w:rPr>
              <w:t>STAA</w:t>
            </w:r>
          </w:p>
        </w:tc>
      </w:tr>
      <w:tr w14:paraId="4D1027C6" w14:textId="77777777" w:rsidTr="00CA0E46">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DB5A3D" w:rsidRPr="0083454F" w:rsidP="00DB5A3D" w14:paraId="077617FE" w14:textId="77777777">
            <w:pPr>
              <w:spacing w:after="0" w:line="240" w:lineRule="auto"/>
              <w:ind w:left="112"/>
              <w:jc w:val="right"/>
              <w:rPr>
                <w:rFonts w:ascii="Times New Roman" w:hAnsi="Times New Roman" w:cs="Times New Roman"/>
                <w:i/>
                <w:iCs/>
                <w:sz w:val="20"/>
                <w:szCs w:val="20"/>
              </w:rPr>
            </w:pPr>
            <w:r w:rsidRPr="0083454F">
              <w:rPr>
                <w:rFonts w:ascii="Times New Roman" w:hAnsi="Times New Roman" w:cs="Times New Roman"/>
                <w:i/>
                <w:iCs/>
                <w:sz w:val="20"/>
                <w:szCs w:val="20"/>
              </w:rPr>
              <w:t xml:space="preserve">Initial </w:t>
            </w:r>
            <w:r>
              <w:rPr>
                <w:rFonts w:ascii="Times New Roman" w:hAnsi="Times New Roman" w:cs="Times New Roman"/>
                <w:i/>
                <w:iCs/>
                <w:sz w:val="20"/>
                <w:szCs w:val="20"/>
              </w:rPr>
              <w:t>Evaluation</w:t>
            </w:r>
          </w:p>
        </w:tc>
        <w:tc>
          <w:tcPr>
            <w:tcW w:w="774" w:type="dxa"/>
            <w:tcBorders>
              <w:top w:val="single" w:sz="6" w:space="0" w:color="000000"/>
              <w:left w:val="single" w:sz="6" w:space="0" w:color="000000"/>
              <w:bottom w:val="single" w:sz="6" w:space="0" w:color="000000"/>
              <w:right w:val="single" w:sz="6" w:space="0" w:color="000000"/>
            </w:tcBorders>
          </w:tcPr>
          <w:p w:rsidR="00DB5A3D" w:rsidRPr="00281014" w:rsidP="00DB5A3D" w14:paraId="588328DD" w14:textId="313AC545">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$29.9</w:t>
            </w:r>
          </w:p>
        </w:tc>
        <w:tc>
          <w:tcPr>
            <w:tcW w:w="720" w:type="dxa"/>
            <w:tcBorders>
              <w:top w:val="single" w:sz="6" w:space="0" w:color="000000"/>
              <w:left w:val="single" w:sz="6" w:space="0" w:color="000000"/>
              <w:bottom w:val="single" w:sz="6" w:space="0" w:color="000000"/>
              <w:right w:val="single" w:sz="6" w:space="0" w:color="000000"/>
            </w:tcBorders>
          </w:tcPr>
          <w:p w:rsidR="00DB5A3D" w:rsidP="00DB5A3D" w14:paraId="3AC38BF7" w14:textId="36AEBCE3">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$29.9</w:t>
            </w:r>
          </w:p>
        </w:tc>
        <w:tc>
          <w:tcPr>
            <w:tcW w:w="719" w:type="dxa"/>
            <w:tcBorders>
              <w:top w:val="single" w:sz="6" w:space="0" w:color="000000"/>
              <w:left w:val="single" w:sz="6" w:space="0" w:color="000000"/>
              <w:bottom w:val="single" w:sz="6" w:space="0" w:color="000000"/>
              <w:right w:val="single" w:sz="6" w:space="0" w:color="000000"/>
            </w:tcBorders>
          </w:tcPr>
          <w:p w:rsidR="00DB5A3D" w:rsidP="00DB5A3D" w14:paraId="7ADD48DC" w14:textId="21DD5D5C">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$29.9</w:t>
            </w:r>
          </w:p>
        </w:tc>
        <w:tc>
          <w:tcPr>
            <w:tcW w:w="763" w:type="dxa"/>
            <w:tcBorders>
              <w:top w:val="single" w:sz="6" w:space="0" w:color="000000"/>
              <w:left w:val="single" w:sz="6" w:space="0" w:color="000000"/>
              <w:bottom w:val="single" w:sz="6" w:space="0" w:color="000000"/>
              <w:right w:val="single" w:sz="6" w:space="0" w:color="000000"/>
            </w:tcBorders>
          </w:tcPr>
          <w:p w:rsidR="00DB5A3D" w:rsidP="00DB5A3D" w14:paraId="164120BA" w14:textId="4453478C">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$29.9</w:t>
            </w:r>
          </w:p>
        </w:tc>
        <w:tc>
          <w:tcPr>
            <w:tcW w:w="839" w:type="dxa"/>
            <w:tcBorders>
              <w:top w:val="single" w:sz="6" w:space="0" w:color="000000"/>
              <w:left w:val="single" w:sz="6" w:space="0" w:color="000000"/>
              <w:bottom w:val="single" w:sz="6" w:space="0" w:color="000000"/>
              <w:right w:val="single" w:sz="6" w:space="0" w:color="000000"/>
            </w:tcBorders>
          </w:tcPr>
          <w:p w:rsidR="00DB5A3D" w:rsidP="00DB5A3D" w14:paraId="5B913C56" w14:textId="49EC9762">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$29.9</w:t>
            </w:r>
          </w:p>
        </w:tc>
        <w:tc>
          <w:tcPr>
            <w:tcW w:w="839" w:type="dxa"/>
            <w:tcBorders>
              <w:top w:val="single" w:sz="6" w:space="0" w:color="000000"/>
              <w:left w:val="single" w:sz="6" w:space="0" w:color="000000"/>
              <w:bottom w:val="single" w:sz="6" w:space="0" w:color="000000"/>
              <w:right w:val="single" w:sz="6" w:space="0" w:color="000000"/>
            </w:tcBorders>
          </w:tcPr>
          <w:p w:rsidR="00DB5A3D" w:rsidP="00DB5A3D" w14:paraId="6DC494FE" w14:textId="1478560F">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$5.4</w:t>
            </w:r>
          </w:p>
        </w:tc>
        <w:tc>
          <w:tcPr>
            <w:tcW w:w="839" w:type="dxa"/>
            <w:tcBorders>
              <w:top w:val="single" w:sz="6" w:space="0" w:color="000000"/>
              <w:left w:val="single" w:sz="6" w:space="0" w:color="000000"/>
              <w:bottom w:val="single" w:sz="6" w:space="0" w:color="000000"/>
              <w:right w:val="single" w:sz="6" w:space="0" w:color="000000"/>
            </w:tcBorders>
          </w:tcPr>
          <w:p w:rsidR="00DB5A3D" w:rsidP="00DB5A3D" w14:paraId="2994C7BD" w14:textId="678A2D8D">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$5.4</w:t>
            </w:r>
          </w:p>
        </w:tc>
        <w:tc>
          <w:tcPr>
            <w:tcW w:w="839" w:type="dxa"/>
            <w:tcBorders>
              <w:top w:val="single" w:sz="6" w:space="0" w:color="000000"/>
              <w:left w:val="single" w:sz="6" w:space="0" w:color="000000"/>
              <w:bottom w:val="single" w:sz="6" w:space="0" w:color="000000"/>
              <w:right w:val="single" w:sz="6" w:space="0" w:color="000000"/>
            </w:tcBorders>
          </w:tcPr>
          <w:p w:rsidR="00DB5A3D" w:rsidP="00DB5A3D" w14:paraId="4BBF740D" w14:textId="3B026B9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$5.4</w:t>
            </w:r>
          </w:p>
        </w:tc>
        <w:tc>
          <w:tcPr>
            <w:tcW w:w="839" w:type="dxa"/>
            <w:tcBorders>
              <w:top w:val="single" w:sz="6" w:space="0" w:color="000000"/>
              <w:left w:val="single" w:sz="6" w:space="0" w:color="000000"/>
              <w:bottom w:val="single" w:sz="6" w:space="0" w:color="000000"/>
              <w:right w:val="single" w:sz="6" w:space="0" w:color="000000"/>
            </w:tcBorders>
          </w:tcPr>
          <w:p w:rsidR="00DB5A3D" w:rsidP="00DB5A3D" w14:paraId="0AD40120" w14:textId="66E652E0">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$5.4</w:t>
            </w:r>
          </w:p>
        </w:tc>
        <w:tc>
          <w:tcPr>
            <w:tcW w:w="919" w:type="dxa"/>
            <w:tcBorders>
              <w:top w:val="single" w:sz="6" w:space="0" w:color="000000"/>
              <w:left w:val="single" w:sz="6" w:space="0" w:color="000000"/>
              <w:bottom w:val="single" w:sz="6" w:space="0" w:color="000000"/>
              <w:right w:val="single" w:sz="6" w:space="0" w:color="000000"/>
            </w:tcBorders>
          </w:tcPr>
          <w:p w:rsidR="00DB5A3D" w:rsidRPr="00281014" w:rsidP="00DB5A3D" w14:paraId="023BD968" w14:textId="2D063F1B">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$5.4</w:t>
            </w:r>
          </w:p>
        </w:tc>
      </w:tr>
      <w:tr w14:paraId="1B3D4101" w14:textId="77777777" w:rsidTr="00CA0E46">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DB5A3D" w:rsidRPr="0083454F" w:rsidP="00DB5A3D" w14:paraId="7FD2AB39" w14:textId="77777777">
            <w:pPr>
              <w:spacing w:after="0" w:line="240" w:lineRule="auto"/>
              <w:ind w:left="112"/>
              <w:jc w:val="right"/>
              <w:rPr>
                <w:rFonts w:ascii="Times New Roman" w:hAnsi="Times New Roman" w:cs="Times New Roman"/>
                <w:i/>
                <w:iCs/>
                <w:sz w:val="20"/>
                <w:szCs w:val="20"/>
              </w:rPr>
            </w:pPr>
            <w:r>
              <w:rPr>
                <w:rFonts w:ascii="Times New Roman" w:hAnsi="Times New Roman" w:cs="Times New Roman"/>
                <w:i/>
                <w:iCs/>
                <w:sz w:val="20"/>
                <w:szCs w:val="20"/>
              </w:rPr>
              <w:t>Practicability Assessment</w:t>
            </w:r>
          </w:p>
        </w:tc>
        <w:tc>
          <w:tcPr>
            <w:tcW w:w="774" w:type="dxa"/>
            <w:tcBorders>
              <w:top w:val="single" w:sz="6" w:space="0" w:color="000000"/>
              <w:left w:val="single" w:sz="6" w:space="0" w:color="000000"/>
              <w:bottom w:val="single" w:sz="6" w:space="0" w:color="000000"/>
              <w:right w:val="single" w:sz="6" w:space="0" w:color="000000"/>
            </w:tcBorders>
          </w:tcPr>
          <w:p w:rsidR="00DB5A3D" w:rsidRPr="00281014" w:rsidP="00DB5A3D" w14:paraId="4FFFA7D0" w14:textId="63AFBF94">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$43.2</w:t>
            </w:r>
          </w:p>
        </w:tc>
        <w:tc>
          <w:tcPr>
            <w:tcW w:w="720" w:type="dxa"/>
            <w:tcBorders>
              <w:top w:val="single" w:sz="6" w:space="0" w:color="000000"/>
              <w:left w:val="single" w:sz="6" w:space="0" w:color="000000"/>
              <w:bottom w:val="single" w:sz="6" w:space="0" w:color="000000"/>
              <w:right w:val="single" w:sz="6" w:space="0" w:color="000000"/>
            </w:tcBorders>
          </w:tcPr>
          <w:p w:rsidR="00DB5A3D" w:rsidP="00DB5A3D" w14:paraId="1DD5A504" w14:textId="6855899F">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$43.2</w:t>
            </w:r>
          </w:p>
        </w:tc>
        <w:tc>
          <w:tcPr>
            <w:tcW w:w="719" w:type="dxa"/>
            <w:tcBorders>
              <w:top w:val="single" w:sz="6" w:space="0" w:color="000000"/>
              <w:left w:val="single" w:sz="6" w:space="0" w:color="000000"/>
              <w:bottom w:val="single" w:sz="6" w:space="0" w:color="000000"/>
              <w:right w:val="single" w:sz="6" w:space="0" w:color="000000"/>
            </w:tcBorders>
          </w:tcPr>
          <w:p w:rsidR="00DB5A3D" w:rsidP="00DB5A3D" w14:paraId="282844C0" w14:textId="348D9871">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$43.2</w:t>
            </w:r>
          </w:p>
        </w:tc>
        <w:tc>
          <w:tcPr>
            <w:tcW w:w="763" w:type="dxa"/>
            <w:tcBorders>
              <w:top w:val="single" w:sz="6" w:space="0" w:color="000000"/>
              <w:left w:val="single" w:sz="6" w:space="0" w:color="000000"/>
              <w:bottom w:val="single" w:sz="6" w:space="0" w:color="000000"/>
              <w:right w:val="single" w:sz="6" w:space="0" w:color="000000"/>
            </w:tcBorders>
          </w:tcPr>
          <w:p w:rsidR="00DB5A3D" w:rsidP="00DB5A3D" w14:paraId="2BE2395E" w14:textId="371DEE4F">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$43.2</w:t>
            </w:r>
          </w:p>
        </w:tc>
        <w:tc>
          <w:tcPr>
            <w:tcW w:w="839" w:type="dxa"/>
            <w:tcBorders>
              <w:top w:val="single" w:sz="6" w:space="0" w:color="000000"/>
              <w:left w:val="single" w:sz="6" w:space="0" w:color="000000"/>
              <w:bottom w:val="single" w:sz="6" w:space="0" w:color="000000"/>
              <w:right w:val="single" w:sz="6" w:space="0" w:color="000000"/>
            </w:tcBorders>
          </w:tcPr>
          <w:p w:rsidR="00DB5A3D" w:rsidP="00DB5A3D" w14:paraId="20BF86CB" w14:textId="124C1C93">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$43.2</w:t>
            </w:r>
          </w:p>
        </w:tc>
        <w:tc>
          <w:tcPr>
            <w:tcW w:w="839" w:type="dxa"/>
            <w:tcBorders>
              <w:top w:val="single" w:sz="6" w:space="0" w:color="000000"/>
              <w:left w:val="single" w:sz="6" w:space="0" w:color="000000"/>
              <w:bottom w:val="single" w:sz="6" w:space="0" w:color="000000"/>
              <w:right w:val="single" w:sz="6" w:space="0" w:color="000000"/>
            </w:tcBorders>
          </w:tcPr>
          <w:p w:rsidR="00DB5A3D" w:rsidP="00DB5A3D" w14:paraId="6EA2E3B3" w14:textId="0CF0FF02">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$8.2</w:t>
            </w:r>
          </w:p>
        </w:tc>
        <w:tc>
          <w:tcPr>
            <w:tcW w:w="839" w:type="dxa"/>
            <w:tcBorders>
              <w:top w:val="single" w:sz="6" w:space="0" w:color="000000"/>
              <w:left w:val="single" w:sz="6" w:space="0" w:color="000000"/>
              <w:bottom w:val="single" w:sz="6" w:space="0" w:color="000000"/>
              <w:right w:val="single" w:sz="6" w:space="0" w:color="000000"/>
            </w:tcBorders>
          </w:tcPr>
          <w:p w:rsidR="00DB5A3D" w:rsidP="00DB5A3D" w14:paraId="7A062E94" w14:textId="1473ADC5">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$8.2</w:t>
            </w:r>
          </w:p>
        </w:tc>
        <w:tc>
          <w:tcPr>
            <w:tcW w:w="839" w:type="dxa"/>
            <w:tcBorders>
              <w:top w:val="single" w:sz="6" w:space="0" w:color="000000"/>
              <w:left w:val="single" w:sz="6" w:space="0" w:color="000000"/>
              <w:bottom w:val="single" w:sz="6" w:space="0" w:color="000000"/>
              <w:right w:val="single" w:sz="6" w:space="0" w:color="000000"/>
            </w:tcBorders>
          </w:tcPr>
          <w:p w:rsidR="00DB5A3D" w:rsidP="00DB5A3D" w14:paraId="5A35DAFA" w14:textId="34DE2154">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$8.2</w:t>
            </w:r>
          </w:p>
        </w:tc>
        <w:tc>
          <w:tcPr>
            <w:tcW w:w="839" w:type="dxa"/>
            <w:tcBorders>
              <w:top w:val="single" w:sz="6" w:space="0" w:color="000000"/>
              <w:left w:val="single" w:sz="6" w:space="0" w:color="000000"/>
              <w:bottom w:val="single" w:sz="6" w:space="0" w:color="000000"/>
              <w:right w:val="single" w:sz="6" w:space="0" w:color="000000"/>
            </w:tcBorders>
          </w:tcPr>
          <w:p w:rsidR="00DB5A3D" w:rsidP="00DB5A3D" w14:paraId="5F1E825C" w14:textId="48B16749">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$8.2</w:t>
            </w:r>
          </w:p>
        </w:tc>
        <w:tc>
          <w:tcPr>
            <w:tcW w:w="919" w:type="dxa"/>
            <w:tcBorders>
              <w:top w:val="single" w:sz="6" w:space="0" w:color="000000"/>
              <w:left w:val="single" w:sz="6" w:space="0" w:color="000000"/>
              <w:bottom w:val="single" w:sz="6" w:space="0" w:color="000000"/>
              <w:right w:val="single" w:sz="6" w:space="0" w:color="000000"/>
            </w:tcBorders>
          </w:tcPr>
          <w:p w:rsidR="00DB5A3D" w:rsidRPr="00281014" w:rsidP="00DB5A3D" w14:paraId="307BDF96" w14:textId="58D43834">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$8.2</w:t>
            </w:r>
          </w:p>
        </w:tc>
      </w:tr>
      <w:tr w14:paraId="570909AE" w14:textId="77777777" w:rsidTr="00CA0E46">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EA59D8" w:rsidRPr="0083454F" w:rsidP="0083454F" w14:paraId="17F39018" w14:textId="77777777">
            <w:pPr>
              <w:spacing w:after="0" w:line="240" w:lineRule="auto"/>
              <w:ind w:left="112"/>
              <w:jc w:val="right"/>
              <w:rPr>
                <w:rFonts w:ascii="Times New Roman" w:hAnsi="Times New Roman" w:cs="Times New Roman"/>
                <w:i/>
                <w:sz w:val="20"/>
                <w:szCs w:val="20"/>
              </w:rPr>
            </w:pPr>
            <w:r w:rsidRPr="0083454F">
              <w:rPr>
                <w:rFonts w:ascii="Times New Roman" w:hAnsi="Times New Roman" w:cs="Times New Roman"/>
                <w:i/>
                <w:iCs/>
                <w:sz w:val="20"/>
                <w:szCs w:val="20"/>
              </w:rPr>
              <w:t>Implementation</w:t>
            </w:r>
          </w:p>
        </w:tc>
        <w:tc>
          <w:tcPr>
            <w:tcW w:w="774" w:type="dxa"/>
            <w:tcBorders>
              <w:top w:val="single" w:sz="6" w:space="0" w:color="000000"/>
              <w:left w:val="single" w:sz="6" w:space="0" w:color="000000"/>
              <w:bottom w:val="single" w:sz="6" w:space="0" w:color="000000"/>
              <w:right w:val="single" w:sz="6" w:space="0" w:color="000000"/>
            </w:tcBorders>
          </w:tcPr>
          <w:p w:rsidR="00EA59D8" w:rsidRPr="00281014" w:rsidP="00EA59D8" w14:paraId="75EB9C31"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w:t>
            </w:r>
            <w:r w:rsidR="00FA57C6">
              <w:rPr>
                <w:rFonts w:ascii="Times New Roman" w:hAnsi="Times New Roman" w:cs="Times New Roman"/>
                <w:sz w:val="20"/>
                <w:szCs w:val="20"/>
              </w:rPr>
              <w:t>145.0</w:t>
            </w:r>
          </w:p>
        </w:tc>
        <w:tc>
          <w:tcPr>
            <w:tcW w:w="720" w:type="dxa"/>
            <w:tcBorders>
              <w:top w:val="single" w:sz="6" w:space="0" w:color="000000"/>
              <w:left w:val="single" w:sz="6" w:space="0" w:color="000000"/>
              <w:bottom w:val="single" w:sz="6" w:space="0" w:color="000000"/>
              <w:right w:val="single" w:sz="6" w:space="0" w:color="000000"/>
            </w:tcBorders>
          </w:tcPr>
          <w:p w:rsidR="00EA59D8" w:rsidP="00EA59D8" w14:paraId="6AD3FBD5"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w:t>
            </w:r>
            <w:r w:rsidR="00593D5A">
              <w:rPr>
                <w:rFonts w:ascii="Times New Roman" w:hAnsi="Times New Roman" w:cs="Times New Roman"/>
                <w:sz w:val="20"/>
                <w:szCs w:val="20"/>
              </w:rPr>
              <w:t>150.5</w:t>
            </w:r>
          </w:p>
        </w:tc>
        <w:tc>
          <w:tcPr>
            <w:tcW w:w="719" w:type="dxa"/>
            <w:tcBorders>
              <w:top w:val="single" w:sz="6" w:space="0" w:color="000000"/>
              <w:left w:val="single" w:sz="6" w:space="0" w:color="000000"/>
              <w:bottom w:val="single" w:sz="6" w:space="0" w:color="000000"/>
              <w:right w:val="single" w:sz="6" w:space="0" w:color="000000"/>
            </w:tcBorders>
          </w:tcPr>
          <w:p w:rsidR="00EA59D8" w:rsidP="00EA59D8" w14:paraId="61711A48"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w:t>
            </w:r>
            <w:r w:rsidR="00AB3361">
              <w:rPr>
                <w:rFonts w:ascii="Times New Roman" w:hAnsi="Times New Roman" w:cs="Times New Roman"/>
                <w:sz w:val="20"/>
                <w:szCs w:val="20"/>
              </w:rPr>
              <w:t>156.1</w:t>
            </w:r>
          </w:p>
        </w:tc>
        <w:tc>
          <w:tcPr>
            <w:tcW w:w="763" w:type="dxa"/>
            <w:tcBorders>
              <w:top w:val="single" w:sz="6" w:space="0" w:color="000000"/>
              <w:left w:val="single" w:sz="6" w:space="0" w:color="000000"/>
              <w:bottom w:val="single" w:sz="6" w:space="0" w:color="000000"/>
              <w:right w:val="single" w:sz="6" w:space="0" w:color="000000"/>
            </w:tcBorders>
          </w:tcPr>
          <w:p w:rsidR="00EA59D8" w:rsidP="00EA59D8" w14:paraId="4B0A1865"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w:t>
            </w:r>
            <w:r w:rsidR="00590158">
              <w:rPr>
                <w:rFonts w:ascii="Times New Roman" w:hAnsi="Times New Roman" w:cs="Times New Roman"/>
                <w:sz w:val="20"/>
                <w:szCs w:val="20"/>
              </w:rPr>
              <w:t>161.7</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5D56A52B"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w:t>
            </w:r>
            <w:r w:rsidR="004549DF">
              <w:rPr>
                <w:rFonts w:ascii="Times New Roman" w:hAnsi="Times New Roman" w:cs="Times New Roman"/>
                <w:sz w:val="20"/>
                <w:szCs w:val="20"/>
              </w:rPr>
              <w:t>167.3</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600B5197"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w:t>
            </w:r>
            <w:r w:rsidR="00130828">
              <w:rPr>
                <w:rFonts w:ascii="Times New Roman" w:hAnsi="Times New Roman" w:cs="Times New Roman"/>
                <w:sz w:val="20"/>
                <w:szCs w:val="20"/>
              </w:rPr>
              <w:t>172.</w:t>
            </w:r>
            <w:r w:rsidR="005F00C7">
              <w:rPr>
                <w:rFonts w:ascii="Times New Roman" w:hAnsi="Times New Roman" w:cs="Times New Roman"/>
                <w:sz w:val="20"/>
                <w:szCs w:val="20"/>
              </w:rPr>
              <w:t>8</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2D45E812"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$178.</w:t>
            </w:r>
            <w:r w:rsidR="0011312B">
              <w:rPr>
                <w:rFonts w:ascii="Times New Roman" w:hAnsi="Times New Roman" w:cs="Times New Roman"/>
                <w:sz w:val="20"/>
                <w:szCs w:val="20"/>
              </w:rPr>
              <w:t>4</w:t>
            </w:r>
          </w:p>
        </w:tc>
        <w:tc>
          <w:tcPr>
            <w:tcW w:w="839" w:type="dxa"/>
            <w:tcBorders>
              <w:top w:val="single" w:sz="6" w:space="0" w:color="000000"/>
              <w:left w:val="single" w:sz="6" w:space="0" w:color="000000"/>
              <w:bottom w:val="single" w:sz="6" w:space="0" w:color="000000"/>
              <w:right w:val="single" w:sz="6" w:space="0" w:color="000000"/>
            </w:tcBorders>
          </w:tcPr>
          <w:p w:rsidR="007A0709" w:rsidP="007A0709" w14:paraId="6DE4C8B0"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w:t>
            </w:r>
            <w:r w:rsidR="00503DBD">
              <w:rPr>
                <w:rFonts w:ascii="Times New Roman" w:hAnsi="Times New Roman" w:cs="Times New Roman"/>
                <w:sz w:val="20"/>
                <w:szCs w:val="20"/>
              </w:rPr>
              <w:t>184.0</w:t>
            </w:r>
          </w:p>
        </w:tc>
        <w:tc>
          <w:tcPr>
            <w:tcW w:w="839" w:type="dxa"/>
            <w:tcBorders>
              <w:top w:val="single" w:sz="6" w:space="0" w:color="000000"/>
              <w:left w:val="single" w:sz="6" w:space="0" w:color="000000"/>
              <w:bottom w:val="single" w:sz="6" w:space="0" w:color="000000"/>
              <w:right w:val="single" w:sz="6" w:space="0" w:color="000000"/>
            </w:tcBorders>
          </w:tcPr>
          <w:p w:rsidR="00EA59D8" w:rsidP="00EA59D8" w14:paraId="7CF3F315"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w:t>
            </w:r>
            <w:r w:rsidR="00051C24">
              <w:rPr>
                <w:rFonts w:ascii="Times New Roman" w:hAnsi="Times New Roman" w:cs="Times New Roman"/>
                <w:sz w:val="20"/>
                <w:szCs w:val="20"/>
              </w:rPr>
              <w:t>189.6</w:t>
            </w:r>
          </w:p>
        </w:tc>
        <w:tc>
          <w:tcPr>
            <w:tcW w:w="919" w:type="dxa"/>
            <w:tcBorders>
              <w:top w:val="single" w:sz="6" w:space="0" w:color="000000"/>
              <w:left w:val="single" w:sz="6" w:space="0" w:color="000000"/>
              <w:bottom w:val="single" w:sz="6" w:space="0" w:color="000000"/>
              <w:right w:val="single" w:sz="6" w:space="0" w:color="000000"/>
            </w:tcBorders>
          </w:tcPr>
          <w:p w:rsidR="00EA59D8" w:rsidRPr="00281014" w:rsidP="00EA59D8" w14:paraId="35C1633E"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w:t>
            </w:r>
            <w:r w:rsidR="00300BAD">
              <w:rPr>
                <w:rFonts w:ascii="Times New Roman" w:hAnsi="Times New Roman" w:cs="Times New Roman"/>
                <w:sz w:val="20"/>
                <w:szCs w:val="20"/>
              </w:rPr>
              <w:t>195.1</w:t>
            </w:r>
          </w:p>
        </w:tc>
      </w:tr>
      <w:tr w14:paraId="5721D017" w14:textId="77777777" w:rsidTr="00CA0E46">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EA59D8" w:rsidRPr="00281014" w:rsidP="00EA59D8" w14:paraId="10C52EFB" w14:textId="77777777">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Root Cause Analysis</w:t>
            </w:r>
          </w:p>
        </w:tc>
        <w:tc>
          <w:tcPr>
            <w:tcW w:w="774" w:type="dxa"/>
            <w:tcBorders>
              <w:top w:val="single" w:sz="6" w:space="0" w:color="000000"/>
              <w:left w:val="single" w:sz="6" w:space="0" w:color="000000"/>
              <w:bottom w:val="single" w:sz="6" w:space="0" w:color="000000"/>
              <w:right w:val="single" w:sz="6" w:space="0" w:color="000000"/>
            </w:tcBorders>
          </w:tcPr>
          <w:p w:rsidR="00EA59D8" w:rsidRPr="00281014" w:rsidP="00EA59D8" w14:paraId="77A813B2"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r w:rsidR="00081C95">
              <w:rPr>
                <w:rFonts w:ascii="Times New Roman" w:hAnsi="Times New Roman" w:cs="Times New Roman"/>
                <w:sz w:val="20"/>
                <w:szCs w:val="20"/>
              </w:rPr>
              <w:t>8</w:t>
            </w:r>
          </w:p>
        </w:tc>
        <w:tc>
          <w:tcPr>
            <w:tcW w:w="720" w:type="dxa"/>
            <w:tcBorders>
              <w:top w:val="single" w:sz="6" w:space="0" w:color="000000"/>
              <w:left w:val="single" w:sz="6" w:space="0" w:color="000000"/>
              <w:bottom w:val="single" w:sz="6" w:space="0" w:color="000000"/>
              <w:right w:val="single" w:sz="6" w:space="0" w:color="000000"/>
            </w:tcBorders>
          </w:tcPr>
          <w:p w:rsidR="00EA59D8" w:rsidP="00EA59D8" w14:paraId="06087C91"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r w:rsidR="00081C95">
              <w:rPr>
                <w:rFonts w:ascii="Times New Roman" w:hAnsi="Times New Roman" w:cs="Times New Roman"/>
                <w:sz w:val="20"/>
                <w:szCs w:val="20"/>
              </w:rPr>
              <w:t>8</w:t>
            </w:r>
          </w:p>
        </w:tc>
        <w:tc>
          <w:tcPr>
            <w:tcW w:w="719" w:type="dxa"/>
            <w:tcBorders>
              <w:top w:val="single" w:sz="6" w:space="0" w:color="000000"/>
              <w:left w:val="single" w:sz="6" w:space="0" w:color="000000"/>
              <w:bottom w:val="single" w:sz="6" w:space="0" w:color="000000"/>
              <w:right w:val="single" w:sz="6" w:space="0" w:color="000000"/>
            </w:tcBorders>
          </w:tcPr>
          <w:p w:rsidR="00EA59D8" w:rsidP="00EA59D8" w14:paraId="0E9F858B"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r w:rsidR="00081C95">
              <w:rPr>
                <w:rFonts w:ascii="Times New Roman" w:hAnsi="Times New Roman" w:cs="Times New Roman"/>
                <w:sz w:val="20"/>
                <w:szCs w:val="20"/>
              </w:rPr>
              <w:t>8</w:t>
            </w:r>
          </w:p>
        </w:tc>
        <w:tc>
          <w:tcPr>
            <w:tcW w:w="763" w:type="dxa"/>
            <w:tcBorders>
              <w:top w:val="single" w:sz="6" w:space="0" w:color="000000"/>
              <w:left w:val="single" w:sz="6" w:space="0" w:color="000000"/>
              <w:bottom w:val="single" w:sz="6" w:space="0" w:color="000000"/>
              <w:right w:val="single" w:sz="6" w:space="0" w:color="000000"/>
            </w:tcBorders>
          </w:tcPr>
          <w:p w:rsidR="00EA59D8" w:rsidP="00EA59D8" w14:paraId="18D2E82F" w14:textId="77777777">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$0.8</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6E221FE0" w14:textId="77777777">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$0.8</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2E2DB52F"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r w:rsidRPr="00081C95" w:rsidR="00081C95">
              <w:rPr>
                <w:rFonts w:ascii="Times New Roman" w:hAnsi="Times New Roman" w:cs="Times New Roman"/>
                <w:sz w:val="20"/>
                <w:szCs w:val="20"/>
              </w:rPr>
              <w:t>8</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2A8C99A0" w14:textId="77777777">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$0.8</w:t>
            </w:r>
          </w:p>
        </w:tc>
        <w:tc>
          <w:tcPr>
            <w:tcW w:w="839" w:type="dxa"/>
            <w:tcBorders>
              <w:top w:val="single" w:sz="6" w:space="0" w:color="000000"/>
              <w:left w:val="single" w:sz="6" w:space="0" w:color="000000"/>
              <w:bottom w:val="single" w:sz="6" w:space="0" w:color="000000"/>
              <w:right w:val="single" w:sz="6" w:space="0" w:color="000000"/>
            </w:tcBorders>
          </w:tcPr>
          <w:p w:rsidR="007A0709" w:rsidP="007A0709" w14:paraId="6EEE68E3"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r w:rsidRPr="00081C95" w:rsidR="00081C95">
              <w:rPr>
                <w:rFonts w:ascii="Times New Roman" w:hAnsi="Times New Roman" w:cs="Times New Roman"/>
                <w:sz w:val="20"/>
                <w:szCs w:val="20"/>
              </w:rPr>
              <w:t>8</w:t>
            </w:r>
          </w:p>
        </w:tc>
        <w:tc>
          <w:tcPr>
            <w:tcW w:w="839" w:type="dxa"/>
            <w:tcBorders>
              <w:top w:val="single" w:sz="6" w:space="0" w:color="000000"/>
              <w:left w:val="single" w:sz="6" w:space="0" w:color="000000"/>
              <w:bottom w:val="single" w:sz="6" w:space="0" w:color="000000"/>
              <w:right w:val="single" w:sz="6" w:space="0" w:color="000000"/>
            </w:tcBorders>
          </w:tcPr>
          <w:p w:rsidR="00EA59D8" w:rsidP="00EA59D8" w14:paraId="4B3ABD88"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r w:rsidRPr="00081C95" w:rsidR="00081C95">
              <w:rPr>
                <w:rFonts w:ascii="Times New Roman" w:hAnsi="Times New Roman" w:cs="Times New Roman"/>
                <w:sz w:val="20"/>
                <w:szCs w:val="20"/>
              </w:rPr>
              <w:t>8</w:t>
            </w:r>
          </w:p>
        </w:tc>
        <w:tc>
          <w:tcPr>
            <w:tcW w:w="919" w:type="dxa"/>
            <w:tcBorders>
              <w:top w:val="single" w:sz="6" w:space="0" w:color="000000"/>
              <w:left w:val="single" w:sz="6" w:space="0" w:color="000000"/>
              <w:bottom w:val="single" w:sz="6" w:space="0" w:color="000000"/>
              <w:right w:val="single" w:sz="6" w:space="0" w:color="000000"/>
            </w:tcBorders>
          </w:tcPr>
          <w:p w:rsidR="00EA59D8" w:rsidRPr="00281014" w:rsidP="00EA59D8" w14:paraId="2785E7FE"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w:t>
            </w:r>
            <w:r w:rsidRPr="00081C95" w:rsidR="00081C95">
              <w:rPr>
                <w:rFonts w:ascii="Times New Roman" w:hAnsi="Times New Roman" w:cs="Times New Roman"/>
                <w:sz w:val="20"/>
                <w:szCs w:val="20"/>
              </w:rPr>
              <w:t>8</w:t>
            </w:r>
          </w:p>
        </w:tc>
      </w:tr>
      <w:tr w14:paraId="66900DD0" w14:textId="77777777" w:rsidTr="00CA0E46">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EA59D8" w:rsidRPr="00281014" w:rsidP="00EA59D8" w14:paraId="4738F3DF" w14:textId="77777777">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Third-party Audits</w:t>
            </w:r>
          </w:p>
        </w:tc>
        <w:tc>
          <w:tcPr>
            <w:tcW w:w="774" w:type="dxa"/>
            <w:tcBorders>
              <w:top w:val="single" w:sz="6" w:space="0" w:color="000000"/>
              <w:left w:val="single" w:sz="6" w:space="0" w:color="000000"/>
              <w:bottom w:val="single" w:sz="6" w:space="0" w:color="000000"/>
              <w:right w:val="single" w:sz="6" w:space="0" w:color="000000"/>
            </w:tcBorders>
          </w:tcPr>
          <w:p w:rsidR="00EA59D8" w:rsidRPr="00281014" w:rsidP="00EA59D8" w14:paraId="6EF092F7"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720" w:type="dxa"/>
            <w:tcBorders>
              <w:top w:val="single" w:sz="6" w:space="0" w:color="000000"/>
              <w:left w:val="single" w:sz="6" w:space="0" w:color="000000"/>
              <w:bottom w:val="single" w:sz="6" w:space="0" w:color="000000"/>
              <w:right w:val="single" w:sz="6" w:space="0" w:color="000000"/>
            </w:tcBorders>
          </w:tcPr>
          <w:p w:rsidR="00EA59D8" w:rsidP="00EA59D8" w14:paraId="1E430F95"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719" w:type="dxa"/>
            <w:tcBorders>
              <w:top w:val="single" w:sz="6" w:space="0" w:color="000000"/>
              <w:left w:val="single" w:sz="6" w:space="0" w:color="000000"/>
              <w:bottom w:val="single" w:sz="6" w:space="0" w:color="000000"/>
              <w:right w:val="single" w:sz="6" w:space="0" w:color="000000"/>
            </w:tcBorders>
          </w:tcPr>
          <w:p w:rsidR="00EA59D8" w:rsidP="00EA59D8" w14:paraId="0DB998BB"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763" w:type="dxa"/>
            <w:tcBorders>
              <w:top w:val="single" w:sz="6" w:space="0" w:color="000000"/>
              <w:left w:val="single" w:sz="6" w:space="0" w:color="000000"/>
              <w:bottom w:val="single" w:sz="6" w:space="0" w:color="000000"/>
              <w:right w:val="single" w:sz="6" w:space="0" w:color="000000"/>
            </w:tcBorders>
          </w:tcPr>
          <w:p w:rsidR="00EA59D8" w:rsidP="00EA59D8" w14:paraId="2424E9FE" w14:textId="77777777">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$7.5</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3731879F" w14:textId="77777777">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$7.5</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022CAA25"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0687F695" w14:textId="77777777">
            <w:pPr>
              <w:spacing w:after="0" w:line="240" w:lineRule="auto"/>
              <w:ind w:left="75" w:right="59"/>
              <w:jc w:val="center"/>
              <w:rPr>
                <w:rFonts w:ascii="Times New Roman" w:hAnsi="Times New Roman" w:cs="Times New Roman"/>
                <w:sz w:val="20"/>
                <w:szCs w:val="20"/>
              </w:rPr>
            </w:pPr>
            <w:r w:rsidRPr="00081C95">
              <w:rPr>
                <w:rFonts w:ascii="Times New Roman" w:hAnsi="Times New Roman" w:cs="Times New Roman"/>
                <w:sz w:val="20"/>
                <w:szCs w:val="20"/>
              </w:rPr>
              <w:t>$7.5</w:t>
            </w:r>
          </w:p>
        </w:tc>
        <w:tc>
          <w:tcPr>
            <w:tcW w:w="839" w:type="dxa"/>
            <w:tcBorders>
              <w:top w:val="single" w:sz="6" w:space="0" w:color="000000"/>
              <w:left w:val="single" w:sz="6" w:space="0" w:color="000000"/>
              <w:bottom w:val="single" w:sz="6" w:space="0" w:color="000000"/>
              <w:right w:val="single" w:sz="6" w:space="0" w:color="000000"/>
            </w:tcBorders>
          </w:tcPr>
          <w:p w:rsidR="007A0709" w:rsidP="007A0709" w14:paraId="290B5AE5"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839" w:type="dxa"/>
            <w:tcBorders>
              <w:top w:val="single" w:sz="6" w:space="0" w:color="000000"/>
              <w:left w:val="single" w:sz="6" w:space="0" w:color="000000"/>
              <w:bottom w:val="single" w:sz="6" w:space="0" w:color="000000"/>
              <w:right w:val="single" w:sz="6" w:space="0" w:color="000000"/>
            </w:tcBorders>
          </w:tcPr>
          <w:p w:rsidR="00EA59D8" w:rsidP="00EA59D8" w14:paraId="33AAC678"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c>
          <w:tcPr>
            <w:tcW w:w="919" w:type="dxa"/>
            <w:tcBorders>
              <w:top w:val="single" w:sz="6" w:space="0" w:color="000000"/>
              <w:left w:val="single" w:sz="6" w:space="0" w:color="000000"/>
              <w:bottom w:val="single" w:sz="6" w:space="0" w:color="000000"/>
              <w:right w:val="single" w:sz="6" w:space="0" w:color="000000"/>
            </w:tcBorders>
          </w:tcPr>
          <w:p w:rsidR="00EA59D8" w:rsidRPr="00281014" w:rsidP="00EA59D8" w14:paraId="398CB888"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$7.5</w:t>
            </w:r>
          </w:p>
        </w:tc>
      </w:tr>
      <w:tr w14:paraId="05212D98" w14:textId="77777777" w:rsidTr="00CA0E46">
        <w:tblPrEx>
          <w:tblW w:w="9916" w:type="dxa"/>
          <w:tblInd w:w="-8" w:type="dxa"/>
          <w:tblLayout w:type="fixed"/>
          <w:tblCellMar>
            <w:left w:w="0" w:type="dxa"/>
            <w:right w:w="0" w:type="dxa"/>
          </w:tblCellMar>
          <w:tblLook w:val="01E0"/>
        </w:tblPrEx>
        <w:trPr>
          <w:trHeight w:val="307"/>
        </w:trPr>
        <w:tc>
          <w:tcPr>
            <w:tcW w:w="1826" w:type="dxa"/>
            <w:tcBorders>
              <w:top w:val="single" w:sz="6" w:space="0" w:color="000000"/>
              <w:left w:val="single" w:sz="6" w:space="0" w:color="000000"/>
              <w:right w:val="single" w:sz="6" w:space="0" w:color="000000"/>
            </w:tcBorders>
            <w:vAlign w:val="center"/>
          </w:tcPr>
          <w:p w:rsidR="00EA59D8" w:rsidRPr="00281014" w:rsidP="00EA59D8" w14:paraId="3F6EC2F9" w14:textId="77777777">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Employee Participation Plan</w:t>
            </w:r>
          </w:p>
        </w:tc>
        <w:tc>
          <w:tcPr>
            <w:tcW w:w="774" w:type="dxa"/>
            <w:tcBorders>
              <w:top w:val="single" w:sz="6" w:space="0" w:color="000000"/>
              <w:left w:val="single" w:sz="6" w:space="0" w:color="000000"/>
              <w:right w:val="single" w:sz="6" w:space="0" w:color="000000"/>
            </w:tcBorders>
          </w:tcPr>
          <w:p w:rsidR="00EA59D8" w:rsidRPr="00281014" w:rsidP="00EA59D8" w14:paraId="173A9F34"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720" w:type="dxa"/>
            <w:tcBorders>
              <w:top w:val="single" w:sz="6" w:space="0" w:color="000000"/>
              <w:left w:val="single" w:sz="6" w:space="0" w:color="000000"/>
              <w:right w:val="single" w:sz="6" w:space="0" w:color="000000"/>
            </w:tcBorders>
          </w:tcPr>
          <w:p w:rsidR="00EA59D8" w:rsidP="00EA59D8" w14:paraId="3EFA5213"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719" w:type="dxa"/>
            <w:tcBorders>
              <w:top w:val="single" w:sz="6" w:space="0" w:color="000000"/>
              <w:left w:val="single" w:sz="6" w:space="0" w:color="000000"/>
              <w:right w:val="single" w:sz="6" w:space="0" w:color="000000"/>
            </w:tcBorders>
          </w:tcPr>
          <w:p w:rsidR="00EA59D8" w:rsidP="00EA59D8" w14:paraId="242B87FC"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763" w:type="dxa"/>
            <w:tcBorders>
              <w:top w:val="single" w:sz="6" w:space="0" w:color="000000"/>
              <w:left w:val="single" w:sz="6" w:space="0" w:color="000000"/>
              <w:right w:val="single" w:sz="6" w:space="0" w:color="000000"/>
            </w:tcBorders>
          </w:tcPr>
          <w:p w:rsidR="00EA59D8" w:rsidP="00EA59D8" w14:paraId="350C834C" w14:textId="77777777">
            <w:pPr>
              <w:spacing w:after="0" w:line="240" w:lineRule="auto"/>
              <w:ind w:left="75" w:right="59"/>
              <w:jc w:val="center"/>
              <w:rPr>
                <w:rFonts w:ascii="Times New Roman" w:hAnsi="Times New Roman" w:cs="Times New Roman"/>
                <w:sz w:val="20"/>
                <w:szCs w:val="20"/>
              </w:rPr>
            </w:pPr>
            <w:r w:rsidRPr="00170096">
              <w:rPr>
                <w:rFonts w:ascii="Times New Roman" w:hAnsi="Times New Roman" w:cs="Times New Roman"/>
                <w:sz w:val="20"/>
                <w:szCs w:val="20"/>
              </w:rPr>
              <w:t>$11.5</w:t>
            </w:r>
          </w:p>
        </w:tc>
        <w:tc>
          <w:tcPr>
            <w:tcW w:w="839" w:type="dxa"/>
            <w:tcBorders>
              <w:top w:val="single" w:sz="6" w:space="0" w:color="000000"/>
              <w:left w:val="single" w:sz="6" w:space="0" w:color="000000"/>
              <w:right w:val="single" w:sz="6" w:space="0" w:color="000000"/>
            </w:tcBorders>
          </w:tcPr>
          <w:p w:rsidR="004730DF" w:rsidP="00560E45" w14:paraId="3C15CFA7" w14:textId="77777777">
            <w:pPr>
              <w:spacing w:after="0" w:line="240" w:lineRule="auto"/>
              <w:ind w:left="75" w:right="59"/>
              <w:jc w:val="center"/>
              <w:rPr>
                <w:rFonts w:ascii="Times New Roman" w:hAnsi="Times New Roman" w:cs="Times New Roman"/>
                <w:sz w:val="20"/>
                <w:szCs w:val="20"/>
              </w:rPr>
            </w:pPr>
            <w:r w:rsidRPr="00170096">
              <w:rPr>
                <w:rFonts w:ascii="Times New Roman" w:hAnsi="Times New Roman" w:cs="Times New Roman"/>
                <w:sz w:val="20"/>
                <w:szCs w:val="20"/>
              </w:rPr>
              <w:t>$11.5</w:t>
            </w:r>
          </w:p>
        </w:tc>
        <w:tc>
          <w:tcPr>
            <w:tcW w:w="839" w:type="dxa"/>
            <w:tcBorders>
              <w:top w:val="single" w:sz="6" w:space="0" w:color="000000"/>
              <w:left w:val="single" w:sz="6" w:space="0" w:color="000000"/>
              <w:right w:val="single" w:sz="6" w:space="0" w:color="000000"/>
            </w:tcBorders>
          </w:tcPr>
          <w:p w:rsidR="004730DF" w:rsidP="00560E45" w14:paraId="2BCC19BA"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839" w:type="dxa"/>
            <w:tcBorders>
              <w:top w:val="single" w:sz="6" w:space="0" w:color="000000"/>
              <w:left w:val="single" w:sz="6" w:space="0" w:color="000000"/>
              <w:right w:val="single" w:sz="6" w:space="0" w:color="000000"/>
            </w:tcBorders>
          </w:tcPr>
          <w:p w:rsidR="004730DF" w:rsidP="00560E45" w14:paraId="5003C92A" w14:textId="77777777">
            <w:pPr>
              <w:spacing w:after="0" w:line="240" w:lineRule="auto"/>
              <w:ind w:left="75" w:right="59"/>
              <w:jc w:val="center"/>
              <w:rPr>
                <w:rFonts w:ascii="Times New Roman" w:hAnsi="Times New Roman" w:cs="Times New Roman"/>
                <w:sz w:val="20"/>
                <w:szCs w:val="20"/>
              </w:rPr>
            </w:pPr>
            <w:r w:rsidRPr="00170096">
              <w:rPr>
                <w:rFonts w:ascii="Times New Roman" w:hAnsi="Times New Roman" w:cs="Times New Roman"/>
                <w:sz w:val="20"/>
                <w:szCs w:val="20"/>
              </w:rPr>
              <w:t>$11.5</w:t>
            </w:r>
          </w:p>
        </w:tc>
        <w:tc>
          <w:tcPr>
            <w:tcW w:w="839" w:type="dxa"/>
            <w:tcBorders>
              <w:top w:val="single" w:sz="6" w:space="0" w:color="000000"/>
              <w:left w:val="single" w:sz="6" w:space="0" w:color="000000"/>
              <w:right w:val="single" w:sz="6" w:space="0" w:color="000000"/>
            </w:tcBorders>
          </w:tcPr>
          <w:p w:rsidR="007A0709" w:rsidP="007A0709" w14:paraId="3C492CDF"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839" w:type="dxa"/>
            <w:tcBorders>
              <w:top w:val="single" w:sz="6" w:space="0" w:color="000000"/>
              <w:left w:val="single" w:sz="6" w:space="0" w:color="000000"/>
              <w:right w:val="single" w:sz="6" w:space="0" w:color="000000"/>
            </w:tcBorders>
          </w:tcPr>
          <w:p w:rsidR="00EA59D8" w:rsidP="00EA59D8" w14:paraId="5E4B2DF8"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c>
          <w:tcPr>
            <w:tcW w:w="919" w:type="dxa"/>
            <w:tcBorders>
              <w:top w:val="single" w:sz="6" w:space="0" w:color="000000"/>
              <w:left w:val="single" w:sz="6" w:space="0" w:color="000000"/>
              <w:right w:val="single" w:sz="6" w:space="0" w:color="000000"/>
            </w:tcBorders>
          </w:tcPr>
          <w:p w:rsidR="00EA59D8" w:rsidRPr="00281014" w:rsidP="00EA59D8" w14:paraId="052F5D76"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$11.5</w:t>
            </w:r>
          </w:p>
        </w:tc>
      </w:tr>
      <w:tr w14:paraId="32A83178" w14:textId="77777777" w:rsidTr="00CA0E46">
        <w:tblPrEx>
          <w:tblW w:w="9916" w:type="dxa"/>
          <w:tblInd w:w="-8" w:type="dxa"/>
          <w:tblLayout w:type="fixed"/>
          <w:tblCellMar>
            <w:left w:w="0" w:type="dxa"/>
            <w:right w:w="0" w:type="dxa"/>
          </w:tblCellMar>
          <w:tblLook w:val="01E0"/>
        </w:tblPrEx>
        <w:trPr>
          <w:trHeight w:val="602"/>
        </w:trPr>
        <w:tc>
          <w:tcPr>
            <w:tcW w:w="1826" w:type="dxa"/>
            <w:tcBorders>
              <w:left w:val="single" w:sz="6" w:space="0" w:color="000000"/>
              <w:bottom w:val="single" w:sz="6" w:space="0" w:color="000000"/>
              <w:right w:val="single" w:sz="6" w:space="0" w:color="000000"/>
            </w:tcBorders>
            <w:vAlign w:val="center"/>
          </w:tcPr>
          <w:p w:rsidR="00EA59D8" w:rsidRPr="00281014" w:rsidP="00EA59D8" w14:paraId="64DEDCC2" w14:textId="77777777">
            <w:pPr>
              <w:spacing w:after="0" w:line="240" w:lineRule="auto"/>
              <w:ind w:left="112" w:right="85"/>
              <w:rPr>
                <w:rFonts w:ascii="Times New Roman" w:hAnsi="Times New Roman" w:cs="Times New Roman"/>
                <w:sz w:val="20"/>
                <w:szCs w:val="20"/>
              </w:rPr>
            </w:pPr>
            <w:r w:rsidRPr="00281014">
              <w:rPr>
                <w:rFonts w:ascii="Times New Roman" w:hAnsi="Times New Roman" w:cs="Times New Roman"/>
                <w:sz w:val="20"/>
                <w:szCs w:val="20"/>
              </w:rPr>
              <w:t>Backup Power for Perimeter Monitors</w:t>
            </w:r>
          </w:p>
        </w:tc>
        <w:tc>
          <w:tcPr>
            <w:tcW w:w="774" w:type="dxa"/>
            <w:tcBorders>
              <w:left w:val="single" w:sz="6" w:space="0" w:color="000000"/>
              <w:bottom w:val="single" w:sz="6" w:space="0" w:color="000000"/>
              <w:right w:val="single" w:sz="6" w:space="0" w:color="000000"/>
            </w:tcBorders>
          </w:tcPr>
          <w:p w:rsidR="00EA59D8" w:rsidRPr="00281014" w:rsidP="00EA59D8" w14:paraId="54C7F5B0"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$0.3</w:t>
            </w:r>
          </w:p>
        </w:tc>
        <w:tc>
          <w:tcPr>
            <w:tcW w:w="720" w:type="dxa"/>
            <w:tcBorders>
              <w:left w:val="single" w:sz="6" w:space="0" w:color="000000"/>
              <w:bottom w:val="single" w:sz="6" w:space="0" w:color="000000"/>
              <w:right w:val="single" w:sz="6" w:space="0" w:color="000000"/>
            </w:tcBorders>
          </w:tcPr>
          <w:p w:rsidR="00EA59D8" w:rsidP="00EA59D8" w14:paraId="16293A68"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$0.3</w:t>
            </w:r>
          </w:p>
        </w:tc>
        <w:tc>
          <w:tcPr>
            <w:tcW w:w="719" w:type="dxa"/>
            <w:tcBorders>
              <w:left w:val="single" w:sz="6" w:space="0" w:color="000000"/>
              <w:bottom w:val="single" w:sz="6" w:space="0" w:color="000000"/>
              <w:right w:val="single" w:sz="6" w:space="0" w:color="000000"/>
            </w:tcBorders>
          </w:tcPr>
          <w:p w:rsidR="00EA59D8" w:rsidP="00EA59D8" w14:paraId="46B2569D"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$0.3</w:t>
            </w:r>
          </w:p>
        </w:tc>
        <w:tc>
          <w:tcPr>
            <w:tcW w:w="763" w:type="dxa"/>
            <w:tcBorders>
              <w:left w:val="single" w:sz="6" w:space="0" w:color="000000"/>
              <w:bottom w:val="single" w:sz="6" w:space="0" w:color="000000"/>
              <w:right w:val="single" w:sz="6" w:space="0" w:color="000000"/>
            </w:tcBorders>
          </w:tcPr>
          <w:p w:rsidR="00EA59D8" w:rsidP="00EA59D8" w14:paraId="42B18CAB"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$0.3</w:t>
            </w:r>
          </w:p>
        </w:tc>
        <w:tc>
          <w:tcPr>
            <w:tcW w:w="839" w:type="dxa"/>
            <w:tcBorders>
              <w:left w:val="single" w:sz="6" w:space="0" w:color="000000"/>
              <w:bottom w:val="single" w:sz="6" w:space="0" w:color="000000"/>
              <w:right w:val="single" w:sz="6" w:space="0" w:color="000000"/>
            </w:tcBorders>
          </w:tcPr>
          <w:p w:rsidR="004730DF" w:rsidP="00560E45" w14:paraId="306E4879"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$0.4</w:t>
            </w:r>
          </w:p>
        </w:tc>
        <w:tc>
          <w:tcPr>
            <w:tcW w:w="839" w:type="dxa"/>
            <w:tcBorders>
              <w:left w:val="single" w:sz="6" w:space="0" w:color="000000"/>
              <w:bottom w:val="single" w:sz="6" w:space="0" w:color="000000"/>
              <w:right w:val="single" w:sz="6" w:space="0" w:color="000000"/>
            </w:tcBorders>
          </w:tcPr>
          <w:p w:rsidR="004730DF" w:rsidP="00560E45" w14:paraId="11DF2752"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w:t>
            </w:r>
            <w:r w:rsidR="00B52981">
              <w:rPr>
                <w:rFonts w:ascii="Times New Roman" w:hAnsi="Times New Roman" w:cs="Times New Roman"/>
                <w:sz w:val="20"/>
                <w:szCs w:val="20"/>
              </w:rPr>
              <w:t>4</w:t>
            </w:r>
          </w:p>
        </w:tc>
        <w:tc>
          <w:tcPr>
            <w:tcW w:w="839" w:type="dxa"/>
            <w:tcBorders>
              <w:left w:val="single" w:sz="6" w:space="0" w:color="000000"/>
              <w:bottom w:val="single" w:sz="6" w:space="0" w:color="000000"/>
              <w:right w:val="single" w:sz="6" w:space="0" w:color="000000"/>
            </w:tcBorders>
          </w:tcPr>
          <w:p w:rsidR="004730DF" w:rsidP="00560E45" w14:paraId="38F434B4"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$0.4</w:t>
            </w:r>
          </w:p>
        </w:tc>
        <w:tc>
          <w:tcPr>
            <w:tcW w:w="839" w:type="dxa"/>
            <w:tcBorders>
              <w:left w:val="single" w:sz="6" w:space="0" w:color="000000"/>
              <w:bottom w:val="single" w:sz="6" w:space="0" w:color="000000"/>
              <w:right w:val="single" w:sz="6" w:space="0" w:color="000000"/>
            </w:tcBorders>
          </w:tcPr>
          <w:p w:rsidR="007A0709" w:rsidP="007A0709" w14:paraId="0B96B4E9"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w:t>
            </w:r>
            <w:r w:rsidR="00B52981">
              <w:rPr>
                <w:rFonts w:ascii="Times New Roman" w:hAnsi="Times New Roman" w:cs="Times New Roman"/>
                <w:sz w:val="20"/>
                <w:szCs w:val="20"/>
              </w:rPr>
              <w:t>4</w:t>
            </w:r>
          </w:p>
        </w:tc>
        <w:tc>
          <w:tcPr>
            <w:tcW w:w="839" w:type="dxa"/>
            <w:tcBorders>
              <w:left w:val="single" w:sz="6" w:space="0" w:color="000000"/>
              <w:bottom w:val="single" w:sz="6" w:space="0" w:color="000000"/>
              <w:right w:val="single" w:sz="6" w:space="0" w:color="000000"/>
            </w:tcBorders>
          </w:tcPr>
          <w:p w:rsidR="00EA59D8" w:rsidP="00EA59D8" w14:paraId="2FA7081E"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w:t>
            </w:r>
            <w:r w:rsidR="00B52981">
              <w:rPr>
                <w:rFonts w:ascii="Times New Roman" w:hAnsi="Times New Roman" w:cs="Times New Roman"/>
                <w:sz w:val="20"/>
                <w:szCs w:val="20"/>
              </w:rPr>
              <w:t>4</w:t>
            </w:r>
          </w:p>
        </w:tc>
        <w:tc>
          <w:tcPr>
            <w:tcW w:w="919" w:type="dxa"/>
            <w:tcBorders>
              <w:left w:val="single" w:sz="6" w:space="0" w:color="000000"/>
              <w:bottom w:val="single" w:sz="6" w:space="0" w:color="000000"/>
              <w:right w:val="single" w:sz="6" w:space="0" w:color="000000"/>
            </w:tcBorders>
          </w:tcPr>
          <w:p w:rsidR="00EA59D8" w:rsidRPr="00281014" w:rsidP="00EA59D8" w14:paraId="35EF2697"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$0.</w:t>
            </w:r>
            <w:r w:rsidR="00B52981">
              <w:rPr>
                <w:rFonts w:ascii="Times New Roman" w:hAnsi="Times New Roman" w:cs="Times New Roman"/>
                <w:sz w:val="20"/>
                <w:szCs w:val="20"/>
              </w:rPr>
              <w:t>4</w:t>
            </w:r>
          </w:p>
        </w:tc>
      </w:tr>
      <w:tr w14:paraId="072AD088" w14:textId="77777777" w:rsidTr="00CA0E46">
        <w:tblPrEx>
          <w:tblW w:w="9916" w:type="dxa"/>
          <w:tblInd w:w="-8" w:type="dxa"/>
          <w:tblLayout w:type="fixed"/>
          <w:tblCellMar>
            <w:left w:w="0" w:type="dxa"/>
            <w:right w:w="0" w:type="dxa"/>
          </w:tblCellMar>
          <w:tblLook w:val="01E0"/>
        </w:tblPrEx>
        <w:trPr>
          <w:trHeight w:val="310"/>
        </w:trPr>
        <w:tc>
          <w:tcPr>
            <w:tcW w:w="9916" w:type="dxa"/>
            <w:gridSpan w:val="11"/>
            <w:tcBorders>
              <w:top w:val="single" w:sz="6" w:space="0" w:color="000000"/>
              <w:left w:val="single" w:sz="6" w:space="0" w:color="000000"/>
              <w:bottom w:val="single" w:sz="6" w:space="0" w:color="000000"/>
              <w:right w:val="single" w:sz="6" w:space="0" w:color="000000"/>
            </w:tcBorders>
            <w:vAlign w:val="center"/>
          </w:tcPr>
          <w:p w:rsidR="008F0E95" w:rsidRPr="009251F5" w:rsidP="008F0E95" w14:paraId="797E8E6C" w14:textId="77777777">
            <w:pPr>
              <w:spacing w:after="0" w:line="240" w:lineRule="auto"/>
              <w:ind w:left="75" w:right="59"/>
              <w:rPr>
                <w:rFonts w:ascii="Times New Roman" w:hAnsi="Times New Roman" w:cs="Times New Roman"/>
                <w:b/>
                <w:sz w:val="20"/>
                <w:szCs w:val="20"/>
              </w:rPr>
            </w:pPr>
            <w:r w:rsidRPr="009251F5">
              <w:rPr>
                <w:rFonts w:ascii="Times New Roman" w:hAnsi="Times New Roman" w:cs="Times New Roman"/>
                <w:b/>
                <w:sz w:val="20"/>
                <w:szCs w:val="20"/>
              </w:rPr>
              <w:t>Justifications</w:t>
            </w:r>
            <w:r w:rsidR="00B843BE">
              <w:rPr>
                <w:rFonts w:ascii="Times New Roman" w:hAnsi="Times New Roman" w:cs="Times New Roman"/>
                <w:b/>
                <w:sz w:val="20"/>
                <w:szCs w:val="20"/>
              </w:rPr>
              <w:t>**</w:t>
            </w:r>
          </w:p>
        </w:tc>
      </w:tr>
      <w:tr w14:paraId="133EF3C7" w14:textId="77777777" w:rsidTr="00CA0E46">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EA59D8" w:rsidRPr="008F0E95" w:rsidP="008F0E95" w14:paraId="108E984C" w14:textId="77777777">
            <w:pPr>
              <w:spacing w:after="0" w:line="240" w:lineRule="auto"/>
              <w:ind w:left="112"/>
              <w:jc w:val="right"/>
              <w:rPr>
                <w:rFonts w:ascii="Times New Roman" w:hAnsi="Times New Roman" w:cs="Times New Roman"/>
                <w:i/>
                <w:sz w:val="20"/>
                <w:szCs w:val="20"/>
              </w:rPr>
            </w:pPr>
            <w:r w:rsidRPr="008F0E95">
              <w:rPr>
                <w:rFonts w:ascii="Times New Roman" w:hAnsi="Times New Roman" w:cs="Times New Roman"/>
                <w:i/>
                <w:sz w:val="20"/>
                <w:szCs w:val="20"/>
              </w:rPr>
              <w:t>No Backup Power</w:t>
            </w:r>
          </w:p>
        </w:tc>
        <w:tc>
          <w:tcPr>
            <w:tcW w:w="774" w:type="dxa"/>
            <w:tcBorders>
              <w:top w:val="single" w:sz="6" w:space="0" w:color="000000"/>
              <w:left w:val="single" w:sz="6" w:space="0" w:color="000000"/>
              <w:bottom w:val="single" w:sz="6" w:space="0" w:color="000000"/>
              <w:right w:val="single" w:sz="6" w:space="0" w:color="000000"/>
            </w:tcBorders>
          </w:tcPr>
          <w:p w:rsidR="00EA59D8" w:rsidRPr="00281014" w:rsidP="00EA59D8" w14:paraId="49755980"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20" w:type="dxa"/>
            <w:tcBorders>
              <w:top w:val="single" w:sz="6" w:space="0" w:color="000000"/>
              <w:left w:val="single" w:sz="6" w:space="0" w:color="000000"/>
              <w:bottom w:val="single" w:sz="6" w:space="0" w:color="000000"/>
              <w:right w:val="single" w:sz="6" w:space="0" w:color="000000"/>
            </w:tcBorders>
          </w:tcPr>
          <w:p w:rsidR="00EA59D8" w:rsidP="00EA59D8" w14:paraId="35F75EB0"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19" w:type="dxa"/>
            <w:tcBorders>
              <w:top w:val="single" w:sz="6" w:space="0" w:color="000000"/>
              <w:left w:val="single" w:sz="6" w:space="0" w:color="000000"/>
              <w:bottom w:val="single" w:sz="6" w:space="0" w:color="000000"/>
              <w:right w:val="single" w:sz="6" w:space="0" w:color="000000"/>
            </w:tcBorders>
          </w:tcPr>
          <w:p w:rsidR="00EA59D8" w:rsidP="00EA59D8" w14:paraId="6DF861F2"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63" w:type="dxa"/>
            <w:tcBorders>
              <w:top w:val="single" w:sz="6" w:space="0" w:color="000000"/>
              <w:left w:val="single" w:sz="6" w:space="0" w:color="000000"/>
              <w:bottom w:val="single" w:sz="6" w:space="0" w:color="000000"/>
              <w:right w:val="single" w:sz="6" w:space="0" w:color="000000"/>
            </w:tcBorders>
          </w:tcPr>
          <w:p w:rsidR="00EA59D8" w:rsidP="00EA59D8" w14:paraId="6CD28336"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6300AA06"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2B878850"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098540A1"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A0709" w:rsidP="007A0709" w14:paraId="580D129D"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EA59D8" w:rsidP="00EA59D8" w14:paraId="088FFEBC"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919" w:type="dxa"/>
            <w:tcBorders>
              <w:top w:val="single" w:sz="6" w:space="0" w:color="000000"/>
              <w:left w:val="single" w:sz="6" w:space="0" w:color="000000"/>
              <w:bottom w:val="single" w:sz="6" w:space="0" w:color="000000"/>
              <w:right w:val="single" w:sz="6" w:space="0" w:color="000000"/>
            </w:tcBorders>
          </w:tcPr>
          <w:p w:rsidR="00EA59D8" w:rsidRPr="00281014" w:rsidP="00EA59D8" w14:paraId="172C22C7"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r>
      <w:tr w14:paraId="25037ACE" w14:textId="77777777" w:rsidTr="00CA0E46">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EA59D8" w:rsidRPr="008F0E95" w:rsidP="008F0E95" w14:paraId="711AD7B5" w14:textId="77777777">
            <w:pPr>
              <w:spacing w:after="0" w:line="240" w:lineRule="auto"/>
              <w:ind w:left="112"/>
              <w:jc w:val="right"/>
              <w:rPr>
                <w:rFonts w:ascii="Times New Roman" w:hAnsi="Times New Roman" w:cs="Times New Roman"/>
                <w:i/>
                <w:sz w:val="20"/>
                <w:szCs w:val="20"/>
              </w:rPr>
            </w:pPr>
            <w:r w:rsidRPr="008F0E95">
              <w:rPr>
                <w:rFonts w:ascii="Times New Roman" w:hAnsi="Times New Roman" w:cs="Times New Roman"/>
                <w:i/>
                <w:sz w:val="20"/>
                <w:szCs w:val="20"/>
              </w:rPr>
              <w:t>Natural Hazards</w:t>
            </w:r>
          </w:p>
        </w:tc>
        <w:tc>
          <w:tcPr>
            <w:tcW w:w="774" w:type="dxa"/>
            <w:tcBorders>
              <w:top w:val="single" w:sz="6" w:space="0" w:color="000000"/>
              <w:left w:val="single" w:sz="6" w:space="0" w:color="000000"/>
              <w:bottom w:val="single" w:sz="6" w:space="0" w:color="000000"/>
              <w:right w:val="single" w:sz="6" w:space="0" w:color="000000"/>
            </w:tcBorders>
          </w:tcPr>
          <w:p w:rsidR="00EA59D8" w:rsidRPr="00281014" w:rsidP="00EA59D8" w14:paraId="2DD2205C"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20" w:type="dxa"/>
            <w:tcBorders>
              <w:top w:val="single" w:sz="6" w:space="0" w:color="000000"/>
              <w:left w:val="single" w:sz="6" w:space="0" w:color="000000"/>
              <w:bottom w:val="single" w:sz="6" w:space="0" w:color="000000"/>
              <w:right w:val="single" w:sz="6" w:space="0" w:color="000000"/>
            </w:tcBorders>
          </w:tcPr>
          <w:p w:rsidR="00EA59D8" w:rsidP="00EA59D8" w14:paraId="71302895"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19" w:type="dxa"/>
            <w:tcBorders>
              <w:top w:val="single" w:sz="6" w:space="0" w:color="000000"/>
              <w:left w:val="single" w:sz="6" w:space="0" w:color="000000"/>
              <w:bottom w:val="single" w:sz="6" w:space="0" w:color="000000"/>
              <w:right w:val="single" w:sz="6" w:space="0" w:color="000000"/>
            </w:tcBorders>
          </w:tcPr>
          <w:p w:rsidR="00EA59D8" w:rsidP="00EA59D8" w14:paraId="5F91E10D"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63" w:type="dxa"/>
            <w:tcBorders>
              <w:top w:val="single" w:sz="6" w:space="0" w:color="000000"/>
              <w:left w:val="single" w:sz="6" w:space="0" w:color="000000"/>
              <w:bottom w:val="single" w:sz="6" w:space="0" w:color="000000"/>
              <w:right w:val="single" w:sz="6" w:space="0" w:color="000000"/>
            </w:tcBorders>
          </w:tcPr>
          <w:p w:rsidR="00EA59D8" w:rsidP="00EA59D8" w14:paraId="7A73928D"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3ECA1B77"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6A8C81F7"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2B62C37D"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A0709" w:rsidP="007A0709" w14:paraId="06F25553"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EA59D8" w:rsidP="00EA59D8" w14:paraId="19C00C80"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919" w:type="dxa"/>
            <w:tcBorders>
              <w:top w:val="single" w:sz="6" w:space="0" w:color="000000"/>
              <w:left w:val="single" w:sz="6" w:space="0" w:color="000000"/>
              <w:bottom w:val="single" w:sz="6" w:space="0" w:color="000000"/>
              <w:right w:val="single" w:sz="6" w:space="0" w:color="000000"/>
            </w:tcBorders>
          </w:tcPr>
          <w:p w:rsidR="00EA59D8" w:rsidRPr="00281014" w:rsidP="00EA59D8" w14:paraId="77AC3894"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r>
      <w:tr w14:paraId="3AD1ECF0" w14:textId="77777777" w:rsidTr="00CA0E46">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EA59D8" w:rsidRPr="008F0E95" w:rsidP="008F0E95" w14:paraId="118B0030" w14:textId="77777777">
            <w:pPr>
              <w:spacing w:after="0" w:line="240" w:lineRule="auto"/>
              <w:ind w:left="112"/>
              <w:jc w:val="right"/>
              <w:rPr>
                <w:rFonts w:ascii="Times New Roman" w:hAnsi="Times New Roman" w:cs="Times New Roman"/>
                <w:i/>
                <w:sz w:val="20"/>
                <w:szCs w:val="20"/>
              </w:rPr>
            </w:pPr>
            <w:r w:rsidRPr="008F0E95">
              <w:rPr>
                <w:rFonts w:ascii="Times New Roman" w:hAnsi="Times New Roman" w:cs="Times New Roman"/>
                <w:i/>
                <w:sz w:val="20"/>
                <w:szCs w:val="20"/>
              </w:rPr>
              <w:t>Facility Siting</w:t>
            </w:r>
          </w:p>
        </w:tc>
        <w:tc>
          <w:tcPr>
            <w:tcW w:w="774" w:type="dxa"/>
            <w:tcBorders>
              <w:top w:val="single" w:sz="6" w:space="0" w:color="000000"/>
              <w:left w:val="single" w:sz="6" w:space="0" w:color="000000"/>
              <w:bottom w:val="single" w:sz="6" w:space="0" w:color="000000"/>
              <w:right w:val="single" w:sz="6" w:space="0" w:color="000000"/>
            </w:tcBorders>
          </w:tcPr>
          <w:p w:rsidR="00EA59D8" w:rsidRPr="00281014" w:rsidP="00EA59D8" w14:paraId="1C92F2A1"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20" w:type="dxa"/>
            <w:tcBorders>
              <w:top w:val="single" w:sz="6" w:space="0" w:color="000000"/>
              <w:left w:val="single" w:sz="6" w:space="0" w:color="000000"/>
              <w:bottom w:val="single" w:sz="6" w:space="0" w:color="000000"/>
              <w:right w:val="single" w:sz="6" w:space="0" w:color="000000"/>
            </w:tcBorders>
          </w:tcPr>
          <w:p w:rsidR="00EA59D8" w:rsidP="00EA59D8" w14:paraId="4C72BF03"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19" w:type="dxa"/>
            <w:tcBorders>
              <w:top w:val="single" w:sz="6" w:space="0" w:color="000000"/>
              <w:left w:val="single" w:sz="6" w:space="0" w:color="000000"/>
              <w:bottom w:val="single" w:sz="6" w:space="0" w:color="000000"/>
              <w:right w:val="single" w:sz="6" w:space="0" w:color="000000"/>
            </w:tcBorders>
          </w:tcPr>
          <w:p w:rsidR="00EA59D8" w:rsidP="00EA59D8" w14:paraId="6916BC97"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63" w:type="dxa"/>
            <w:tcBorders>
              <w:top w:val="single" w:sz="6" w:space="0" w:color="000000"/>
              <w:left w:val="single" w:sz="6" w:space="0" w:color="000000"/>
              <w:bottom w:val="single" w:sz="6" w:space="0" w:color="000000"/>
              <w:right w:val="single" w:sz="6" w:space="0" w:color="000000"/>
            </w:tcBorders>
          </w:tcPr>
          <w:p w:rsidR="00EA59D8" w:rsidP="00EA59D8" w14:paraId="284DD947"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4D954C43"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739B8D83"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3190DF5D"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A0709" w:rsidP="007A0709" w14:paraId="1DD5C788"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EA59D8" w:rsidP="00EA59D8" w14:paraId="2D547098"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919" w:type="dxa"/>
            <w:tcBorders>
              <w:top w:val="single" w:sz="6" w:space="0" w:color="000000"/>
              <w:left w:val="single" w:sz="6" w:space="0" w:color="000000"/>
              <w:bottom w:val="single" w:sz="6" w:space="0" w:color="000000"/>
              <w:right w:val="single" w:sz="6" w:space="0" w:color="000000"/>
            </w:tcBorders>
          </w:tcPr>
          <w:p w:rsidR="00EA59D8" w:rsidRPr="00281014" w:rsidP="00EA59D8" w14:paraId="1B7035F0"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r>
      <w:tr w14:paraId="73868706" w14:textId="77777777" w:rsidTr="00CA0E46">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EA59D8" w:rsidRPr="008F0E95" w:rsidP="008F0E95" w14:paraId="227B883C" w14:textId="77777777">
            <w:pPr>
              <w:spacing w:after="0" w:line="240" w:lineRule="auto"/>
              <w:ind w:left="112"/>
              <w:jc w:val="right"/>
              <w:rPr>
                <w:rFonts w:ascii="Times New Roman" w:hAnsi="Times New Roman" w:cs="Times New Roman"/>
                <w:i/>
                <w:sz w:val="20"/>
                <w:szCs w:val="20"/>
              </w:rPr>
            </w:pPr>
            <w:r w:rsidRPr="008F0E95">
              <w:rPr>
                <w:rFonts w:ascii="Times New Roman" w:hAnsi="Times New Roman" w:cs="Times New Roman"/>
                <w:i/>
                <w:sz w:val="20"/>
                <w:szCs w:val="20"/>
              </w:rPr>
              <w:t>RAGAGEP</w:t>
            </w:r>
          </w:p>
        </w:tc>
        <w:tc>
          <w:tcPr>
            <w:tcW w:w="774" w:type="dxa"/>
            <w:tcBorders>
              <w:top w:val="single" w:sz="6" w:space="0" w:color="000000"/>
              <w:left w:val="single" w:sz="6" w:space="0" w:color="000000"/>
              <w:bottom w:val="single" w:sz="6" w:space="0" w:color="000000"/>
              <w:right w:val="single" w:sz="6" w:space="0" w:color="000000"/>
            </w:tcBorders>
          </w:tcPr>
          <w:p w:rsidR="00EA59D8" w:rsidRPr="00281014" w:rsidP="00EA59D8" w14:paraId="78261F7D"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20" w:type="dxa"/>
            <w:tcBorders>
              <w:top w:val="single" w:sz="6" w:space="0" w:color="000000"/>
              <w:left w:val="single" w:sz="6" w:space="0" w:color="000000"/>
              <w:bottom w:val="single" w:sz="6" w:space="0" w:color="000000"/>
              <w:right w:val="single" w:sz="6" w:space="0" w:color="000000"/>
            </w:tcBorders>
          </w:tcPr>
          <w:p w:rsidR="00EA59D8" w:rsidP="00EA59D8" w14:paraId="6992F95E"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19" w:type="dxa"/>
            <w:tcBorders>
              <w:top w:val="single" w:sz="6" w:space="0" w:color="000000"/>
              <w:left w:val="single" w:sz="6" w:space="0" w:color="000000"/>
              <w:bottom w:val="single" w:sz="6" w:space="0" w:color="000000"/>
              <w:right w:val="single" w:sz="6" w:space="0" w:color="000000"/>
            </w:tcBorders>
          </w:tcPr>
          <w:p w:rsidR="00EA59D8" w:rsidP="00EA59D8" w14:paraId="467567D6"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763" w:type="dxa"/>
            <w:tcBorders>
              <w:top w:val="single" w:sz="6" w:space="0" w:color="000000"/>
              <w:left w:val="single" w:sz="6" w:space="0" w:color="000000"/>
              <w:bottom w:val="single" w:sz="6" w:space="0" w:color="000000"/>
              <w:right w:val="single" w:sz="6" w:space="0" w:color="000000"/>
            </w:tcBorders>
          </w:tcPr>
          <w:p w:rsidR="00EA59D8" w:rsidP="00EA59D8" w14:paraId="211D4AAB"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7BC6585C"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0338C440"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33CD846C" w14:textId="77777777">
            <w:pPr>
              <w:spacing w:after="0" w:line="240" w:lineRule="auto"/>
              <w:ind w:left="75" w:right="59"/>
              <w:jc w:val="center"/>
              <w:rPr>
                <w:rFonts w:ascii="Times New Roman" w:hAnsi="Times New Roman" w:cs="Times New Roman"/>
                <w:sz w:val="20"/>
                <w:szCs w:val="20"/>
              </w:rPr>
            </w:pPr>
            <w:r w:rsidRPr="00EE0AB0">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7A0709" w:rsidP="007A0709" w14:paraId="6E5DED6A"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839" w:type="dxa"/>
            <w:tcBorders>
              <w:top w:val="single" w:sz="6" w:space="0" w:color="000000"/>
              <w:left w:val="single" w:sz="6" w:space="0" w:color="000000"/>
              <w:bottom w:val="single" w:sz="6" w:space="0" w:color="000000"/>
              <w:right w:val="single" w:sz="6" w:space="0" w:color="000000"/>
            </w:tcBorders>
          </w:tcPr>
          <w:p w:rsidR="00EA59D8" w:rsidP="00EA59D8" w14:paraId="2469E59C"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c>
          <w:tcPr>
            <w:tcW w:w="919" w:type="dxa"/>
            <w:tcBorders>
              <w:top w:val="single" w:sz="6" w:space="0" w:color="000000"/>
              <w:left w:val="single" w:sz="6" w:space="0" w:color="000000"/>
              <w:bottom w:val="single" w:sz="6" w:space="0" w:color="000000"/>
              <w:right w:val="single" w:sz="6" w:space="0" w:color="000000"/>
            </w:tcBorders>
          </w:tcPr>
          <w:p w:rsidR="00EA59D8" w:rsidRPr="00281014" w:rsidP="00EA59D8" w14:paraId="0D9A4CF2"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$0.0</w:t>
            </w:r>
          </w:p>
        </w:tc>
      </w:tr>
      <w:tr w14:paraId="6D4829E6" w14:textId="77777777" w:rsidTr="00CA0E46">
        <w:tblPrEx>
          <w:tblW w:w="9916" w:type="dxa"/>
          <w:tblInd w:w="-8" w:type="dxa"/>
          <w:tblLayout w:type="fixed"/>
          <w:tblCellMar>
            <w:left w:w="0" w:type="dxa"/>
            <w:right w:w="0" w:type="dxa"/>
          </w:tblCellMar>
          <w:tblLook w:val="01E0"/>
        </w:tblPrEx>
        <w:trPr>
          <w:trHeight w:val="310"/>
        </w:trPr>
        <w:tc>
          <w:tcPr>
            <w:tcW w:w="1826" w:type="dxa"/>
            <w:tcBorders>
              <w:top w:val="single" w:sz="6" w:space="0" w:color="000000"/>
              <w:left w:val="single" w:sz="6" w:space="0" w:color="000000"/>
              <w:bottom w:val="single" w:sz="6" w:space="0" w:color="000000"/>
              <w:right w:val="single" w:sz="6" w:space="0" w:color="000000"/>
            </w:tcBorders>
            <w:vAlign w:val="center"/>
          </w:tcPr>
          <w:p w:rsidR="00EA59D8" w:rsidRPr="00281014" w:rsidP="00EA59D8" w14:paraId="0AF6EA58" w14:textId="77777777">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Community Notification System</w:t>
            </w:r>
          </w:p>
        </w:tc>
        <w:tc>
          <w:tcPr>
            <w:tcW w:w="774" w:type="dxa"/>
            <w:tcBorders>
              <w:top w:val="single" w:sz="6" w:space="0" w:color="000000"/>
              <w:left w:val="single" w:sz="6" w:space="0" w:color="000000"/>
              <w:bottom w:val="single" w:sz="6" w:space="0" w:color="000000"/>
              <w:right w:val="single" w:sz="6" w:space="0" w:color="000000"/>
            </w:tcBorders>
          </w:tcPr>
          <w:p w:rsidR="00EA59D8" w:rsidRPr="00281014" w:rsidP="00EA59D8" w14:paraId="3D88DA81"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720" w:type="dxa"/>
            <w:tcBorders>
              <w:top w:val="single" w:sz="6" w:space="0" w:color="000000"/>
              <w:left w:val="single" w:sz="6" w:space="0" w:color="000000"/>
              <w:bottom w:val="single" w:sz="6" w:space="0" w:color="000000"/>
              <w:right w:val="single" w:sz="6" w:space="0" w:color="000000"/>
            </w:tcBorders>
          </w:tcPr>
          <w:p w:rsidR="00EA59D8" w:rsidP="00EA59D8" w14:paraId="46336AF8"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719" w:type="dxa"/>
            <w:tcBorders>
              <w:top w:val="single" w:sz="6" w:space="0" w:color="000000"/>
              <w:left w:val="single" w:sz="6" w:space="0" w:color="000000"/>
              <w:bottom w:val="single" w:sz="6" w:space="0" w:color="000000"/>
              <w:right w:val="single" w:sz="6" w:space="0" w:color="000000"/>
            </w:tcBorders>
          </w:tcPr>
          <w:p w:rsidR="00EA59D8" w:rsidP="00EA59D8" w14:paraId="3D9B7958"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763" w:type="dxa"/>
            <w:tcBorders>
              <w:top w:val="single" w:sz="6" w:space="0" w:color="000000"/>
              <w:left w:val="single" w:sz="6" w:space="0" w:color="000000"/>
              <w:bottom w:val="single" w:sz="6" w:space="0" w:color="000000"/>
              <w:right w:val="single" w:sz="6" w:space="0" w:color="000000"/>
            </w:tcBorders>
          </w:tcPr>
          <w:p w:rsidR="00EA59D8" w:rsidP="00EA59D8" w14:paraId="108B093A"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40EDAAE5"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78C1EF33"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430279D4"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839" w:type="dxa"/>
            <w:tcBorders>
              <w:top w:val="single" w:sz="6" w:space="0" w:color="000000"/>
              <w:left w:val="single" w:sz="6" w:space="0" w:color="000000"/>
              <w:bottom w:val="single" w:sz="6" w:space="0" w:color="000000"/>
              <w:right w:val="single" w:sz="6" w:space="0" w:color="000000"/>
            </w:tcBorders>
          </w:tcPr>
          <w:p w:rsidR="007A0709" w:rsidP="007A0709" w14:paraId="51088F0F"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839" w:type="dxa"/>
            <w:tcBorders>
              <w:top w:val="single" w:sz="6" w:space="0" w:color="000000"/>
              <w:left w:val="single" w:sz="6" w:space="0" w:color="000000"/>
              <w:bottom w:val="single" w:sz="6" w:space="0" w:color="000000"/>
              <w:right w:val="single" w:sz="6" w:space="0" w:color="000000"/>
            </w:tcBorders>
          </w:tcPr>
          <w:p w:rsidR="00EA59D8" w:rsidP="00EA59D8" w14:paraId="50651282"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c>
          <w:tcPr>
            <w:tcW w:w="919" w:type="dxa"/>
            <w:tcBorders>
              <w:top w:val="single" w:sz="6" w:space="0" w:color="000000"/>
              <w:left w:val="single" w:sz="6" w:space="0" w:color="000000"/>
              <w:bottom w:val="single" w:sz="6" w:space="0" w:color="000000"/>
              <w:right w:val="single" w:sz="6" w:space="0" w:color="000000"/>
            </w:tcBorders>
          </w:tcPr>
          <w:p w:rsidR="00EA59D8" w:rsidRPr="00281014" w:rsidP="00EA59D8" w14:paraId="5083D9D2" w14:textId="77777777">
            <w:pPr>
              <w:spacing w:after="0" w:line="240" w:lineRule="auto"/>
              <w:ind w:left="75" w:right="59"/>
              <w:jc w:val="center"/>
              <w:rPr>
                <w:rFonts w:ascii="Times New Roman" w:hAnsi="Times New Roman" w:cs="Times New Roman"/>
                <w:sz w:val="20"/>
                <w:szCs w:val="20"/>
              </w:rPr>
            </w:pPr>
            <w:r>
              <w:rPr>
                <w:rFonts w:ascii="Times New Roman" w:hAnsi="Times New Roman" w:cs="Times New Roman"/>
                <w:sz w:val="20"/>
                <w:szCs w:val="20"/>
              </w:rPr>
              <w:t>$4.0</w:t>
            </w:r>
          </w:p>
        </w:tc>
      </w:tr>
      <w:tr w14:paraId="6AED1159" w14:textId="77777777" w:rsidTr="00CA0E46">
        <w:tblPrEx>
          <w:tblW w:w="9916" w:type="dxa"/>
          <w:tblInd w:w="-8" w:type="dxa"/>
          <w:tblLayout w:type="fixed"/>
          <w:tblCellMar>
            <w:left w:w="0" w:type="dxa"/>
            <w:right w:w="0" w:type="dxa"/>
          </w:tblCellMar>
          <w:tblLook w:val="01E0"/>
        </w:tblPrEx>
        <w:trPr>
          <w:trHeight w:val="326"/>
        </w:trPr>
        <w:tc>
          <w:tcPr>
            <w:tcW w:w="1826" w:type="dxa"/>
            <w:tcBorders>
              <w:top w:val="single" w:sz="6" w:space="0" w:color="000000"/>
              <w:left w:val="single" w:sz="6" w:space="0" w:color="000000"/>
              <w:bottom w:val="single" w:sz="6" w:space="0" w:color="000000"/>
              <w:right w:val="single" w:sz="6" w:space="0" w:color="000000"/>
            </w:tcBorders>
            <w:vAlign w:val="center"/>
          </w:tcPr>
          <w:p w:rsidR="00EA59D8" w:rsidRPr="00281014" w:rsidP="00EA59D8" w14:paraId="047C49E1" w14:textId="77777777">
            <w:pPr>
              <w:spacing w:after="0" w:line="240" w:lineRule="auto"/>
              <w:ind w:left="112"/>
              <w:rPr>
                <w:rFonts w:ascii="Times New Roman" w:hAnsi="Times New Roman" w:cs="Times New Roman"/>
                <w:sz w:val="20"/>
                <w:szCs w:val="20"/>
              </w:rPr>
            </w:pPr>
            <w:r w:rsidRPr="00281014">
              <w:rPr>
                <w:rFonts w:ascii="Times New Roman" w:hAnsi="Times New Roman" w:cs="Times New Roman"/>
                <w:sz w:val="20"/>
                <w:szCs w:val="20"/>
              </w:rPr>
              <w:t>Information Availability</w:t>
            </w:r>
          </w:p>
        </w:tc>
        <w:tc>
          <w:tcPr>
            <w:tcW w:w="774" w:type="dxa"/>
            <w:tcBorders>
              <w:top w:val="single" w:sz="6" w:space="0" w:color="000000"/>
              <w:left w:val="single" w:sz="6" w:space="0" w:color="000000"/>
              <w:bottom w:val="single" w:sz="6" w:space="0" w:color="000000"/>
              <w:right w:val="single" w:sz="6" w:space="0" w:color="000000"/>
            </w:tcBorders>
          </w:tcPr>
          <w:p w:rsidR="00EA59D8" w:rsidRPr="00281014" w:rsidP="00EA59D8" w14:paraId="2F2AF0D1"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720" w:type="dxa"/>
            <w:tcBorders>
              <w:top w:val="single" w:sz="6" w:space="0" w:color="000000"/>
              <w:left w:val="single" w:sz="6" w:space="0" w:color="000000"/>
              <w:bottom w:val="single" w:sz="6" w:space="0" w:color="000000"/>
              <w:right w:val="single" w:sz="6" w:space="0" w:color="000000"/>
            </w:tcBorders>
          </w:tcPr>
          <w:p w:rsidR="00EA59D8" w:rsidP="00EA59D8" w14:paraId="1D653E9F"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719" w:type="dxa"/>
            <w:tcBorders>
              <w:top w:val="single" w:sz="6" w:space="0" w:color="000000"/>
              <w:left w:val="single" w:sz="6" w:space="0" w:color="000000"/>
              <w:bottom w:val="single" w:sz="6" w:space="0" w:color="000000"/>
              <w:right w:val="single" w:sz="6" w:space="0" w:color="000000"/>
            </w:tcBorders>
          </w:tcPr>
          <w:p w:rsidR="00EA59D8" w:rsidP="00EA59D8" w14:paraId="5020122F"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763" w:type="dxa"/>
            <w:tcBorders>
              <w:top w:val="single" w:sz="6" w:space="0" w:color="000000"/>
              <w:left w:val="single" w:sz="6" w:space="0" w:color="000000"/>
              <w:bottom w:val="single" w:sz="6" w:space="0" w:color="000000"/>
              <w:right w:val="single" w:sz="6" w:space="0" w:color="000000"/>
            </w:tcBorders>
          </w:tcPr>
          <w:p w:rsidR="00EA59D8" w:rsidP="00EA59D8" w14:paraId="7966664B"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686F478D" w14:textId="77777777">
            <w:pPr>
              <w:spacing w:after="0" w:line="240" w:lineRule="auto"/>
              <w:ind w:left="89" w:right="58"/>
              <w:jc w:val="center"/>
              <w:rPr>
                <w:rFonts w:ascii="Times New Roman" w:hAnsi="Times New Roman" w:cs="Times New Roman"/>
                <w:sz w:val="20"/>
                <w:szCs w:val="20"/>
              </w:rPr>
            </w:pPr>
            <w:r w:rsidRPr="00F706B7">
              <w:rPr>
                <w:rFonts w:ascii="Times New Roman" w:hAnsi="Times New Roman" w:cs="Times New Roman"/>
                <w:sz w:val="20"/>
                <w:szCs w:val="20"/>
              </w:rPr>
              <w:t>$12.8</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1018D341"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839" w:type="dxa"/>
            <w:tcBorders>
              <w:top w:val="single" w:sz="6" w:space="0" w:color="000000"/>
              <w:left w:val="single" w:sz="6" w:space="0" w:color="000000"/>
              <w:bottom w:val="single" w:sz="6" w:space="0" w:color="000000"/>
              <w:right w:val="single" w:sz="6" w:space="0" w:color="000000"/>
            </w:tcBorders>
          </w:tcPr>
          <w:p w:rsidR="004730DF" w:rsidP="00560E45" w14:paraId="236D0EBA"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839" w:type="dxa"/>
            <w:tcBorders>
              <w:top w:val="single" w:sz="6" w:space="0" w:color="000000"/>
              <w:left w:val="single" w:sz="6" w:space="0" w:color="000000"/>
              <w:bottom w:val="single" w:sz="6" w:space="0" w:color="000000"/>
              <w:right w:val="single" w:sz="6" w:space="0" w:color="000000"/>
            </w:tcBorders>
          </w:tcPr>
          <w:p w:rsidR="007A0709" w:rsidP="007A0709" w14:paraId="29DAAC32"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839" w:type="dxa"/>
            <w:tcBorders>
              <w:top w:val="single" w:sz="6" w:space="0" w:color="000000"/>
              <w:left w:val="single" w:sz="6" w:space="0" w:color="000000"/>
              <w:bottom w:val="single" w:sz="6" w:space="0" w:color="000000"/>
              <w:right w:val="single" w:sz="6" w:space="0" w:color="000000"/>
            </w:tcBorders>
          </w:tcPr>
          <w:p w:rsidR="00EA59D8" w:rsidP="00EA59D8" w14:paraId="450CBD99"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c>
          <w:tcPr>
            <w:tcW w:w="919" w:type="dxa"/>
            <w:tcBorders>
              <w:top w:val="single" w:sz="6" w:space="0" w:color="000000"/>
              <w:left w:val="single" w:sz="6" w:space="0" w:color="000000"/>
              <w:bottom w:val="single" w:sz="6" w:space="0" w:color="000000"/>
              <w:right w:val="single" w:sz="6" w:space="0" w:color="000000"/>
            </w:tcBorders>
          </w:tcPr>
          <w:p w:rsidR="00EA59D8" w:rsidRPr="00281014" w:rsidP="00EA59D8" w14:paraId="14D282B5" w14:textId="77777777">
            <w:pPr>
              <w:spacing w:after="0" w:line="240" w:lineRule="auto"/>
              <w:ind w:left="89" w:right="58"/>
              <w:jc w:val="center"/>
              <w:rPr>
                <w:rFonts w:ascii="Times New Roman" w:hAnsi="Times New Roman" w:cs="Times New Roman"/>
                <w:sz w:val="20"/>
                <w:szCs w:val="20"/>
              </w:rPr>
            </w:pPr>
            <w:r>
              <w:rPr>
                <w:rFonts w:ascii="Times New Roman" w:hAnsi="Times New Roman" w:cs="Times New Roman"/>
                <w:sz w:val="20"/>
                <w:szCs w:val="20"/>
              </w:rPr>
              <w:t>$12.8</w:t>
            </w:r>
          </w:p>
        </w:tc>
      </w:tr>
      <w:tr w14:paraId="5874748D" w14:textId="77777777" w:rsidTr="00CA0E46">
        <w:tblPrEx>
          <w:tblW w:w="9916" w:type="dxa"/>
          <w:tblInd w:w="-8" w:type="dxa"/>
          <w:tblLayout w:type="fixed"/>
          <w:tblCellMar>
            <w:left w:w="0" w:type="dxa"/>
            <w:right w:w="0" w:type="dxa"/>
          </w:tblCellMar>
          <w:tblLook w:val="01E0"/>
        </w:tblPrEx>
        <w:trPr>
          <w:trHeight w:val="307"/>
        </w:trPr>
        <w:tc>
          <w:tcPr>
            <w:tcW w:w="1826" w:type="dxa"/>
            <w:tcBorders>
              <w:left w:val="single" w:sz="6" w:space="0" w:color="000000"/>
              <w:bottom w:val="single" w:sz="6" w:space="0" w:color="000000"/>
              <w:right w:val="single" w:sz="6" w:space="0" w:color="000000"/>
            </w:tcBorders>
            <w:vAlign w:val="center"/>
          </w:tcPr>
          <w:p w:rsidR="00681C15" w:rsidRPr="00281014" w:rsidP="00681C15" w14:paraId="23BF7AFF" w14:textId="77777777">
            <w:pPr>
              <w:spacing w:after="0" w:line="240" w:lineRule="auto"/>
              <w:ind w:left="517"/>
              <w:rPr>
                <w:rFonts w:ascii="Times New Roman" w:hAnsi="Times New Roman" w:cs="Times New Roman"/>
                <w:b/>
                <w:sz w:val="20"/>
                <w:szCs w:val="20"/>
              </w:rPr>
            </w:pPr>
            <w:r w:rsidRPr="00281014">
              <w:rPr>
                <w:rFonts w:ascii="Times New Roman" w:hAnsi="Times New Roman" w:cs="Times New Roman"/>
                <w:b/>
                <w:sz w:val="20"/>
                <w:szCs w:val="20"/>
              </w:rPr>
              <w:t>Total Cost*</w:t>
            </w:r>
          </w:p>
        </w:tc>
        <w:tc>
          <w:tcPr>
            <w:tcW w:w="774" w:type="dxa"/>
            <w:tcBorders>
              <w:left w:val="single" w:sz="6" w:space="0" w:color="000000"/>
              <w:bottom w:val="single" w:sz="6" w:space="0" w:color="000000"/>
              <w:right w:val="single" w:sz="6" w:space="0" w:color="000000"/>
            </w:tcBorders>
          </w:tcPr>
          <w:p w:rsidR="00681C15" w:rsidRPr="00281014" w:rsidP="00681C15" w14:paraId="03DE3F43" w14:textId="607D172D">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$305.8</w:t>
            </w:r>
          </w:p>
        </w:tc>
        <w:tc>
          <w:tcPr>
            <w:tcW w:w="720" w:type="dxa"/>
            <w:tcBorders>
              <w:left w:val="single" w:sz="6" w:space="0" w:color="000000"/>
              <w:bottom w:val="single" w:sz="6" w:space="0" w:color="000000"/>
              <w:right w:val="single" w:sz="6" w:space="0" w:color="000000"/>
            </w:tcBorders>
          </w:tcPr>
          <w:p w:rsidR="00681C15" w:rsidP="00681C15" w14:paraId="002DB0C8" w14:textId="39EF15F4">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$260.5</w:t>
            </w:r>
          </w:p>
        </w:tc>
        <w:tc>
          <w:tcPr>
            <w:tcW w:w="719" w:type="dxa"/>
            <w:tcBorders>
              <w:left w:val="single" w:sz="6" w:space="0" w:color="000000"/>
              <w:bottom w:val="single" w:sz="6" w:space="0" w:color="000000"/>
              <w:right w:val="single" w:sz="6" w:space="0" w:color="000000"/>
            </w:tcBorders>
          </w:tcPr>
          <w:p w:rsidR="00681C15" w:rsidP="00681C15" w14:paraId="73E3880C" w14:textId="242A0E1B">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$266.1</w:t>
            </w:r>
          </w:p>
        </w:tc>
        <w:tc>
          <w:tcPr>
            <w:tcW w:w="763" w:type="dxa"/>
            <w:tcBorders>
              <w:left w:val="single" w:sz="6" w:space="0" w:color="000000"/>
              <w:bottom w:val="single" w:sz="6" w:space="0" w:color="000000"/>
              <w:right w:val="single" w:sz="6" w:space="0" w:color="000000"/>
            </w:tcBorders>
          </w:tcPr>
          <w:p w:rsidR="00681C15" w:rsidP="00681C15" w14:paraId="7AE738AE" w14:textId="7C6BDAD3">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$271.7</w:t>
            </w:r>
          </w:p>
        </w:tc>
        <w:tc>
          <w:tcPr>
            <w:tcW w:w="839" w:type="dxa"/>
            <w:tcBorders>
              <w:left w:val="single" w:sz="6" w:space="0" w:color="000000"/>
              <w:bottom w:val="single" w:sz="6" w:space="0" w:color="000000"/>
              <w:right w:val="single" w:sz="6" w:space="0" w:color="000000"/>
            </w:tcBorders>
          </w:tcPr>
          <w:p w:rsidR="00681C15" w:rsidP="00681C15" w14:paraId="13767143" w14:textId="50B6D99F">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$277.3</w:t>
            </w:r>
          </w:p>
        </w:tc>
        <w:tc>
          <w:tcPr>
            <w:tcW w:w="839" w:type="dxa"/>
            <w:tcBorders>
              <w:left w:val="single" w:sz="6" w:space="0" w:color="000000"/>
              <w:bottom w:val="single" w:sz="6" w:space="0" w:color="000000"/>
              <w:right w:val="single" w:sz="6" w:space="0" w:color="000000"/>
            </w:tcBorders>
          </w:tcPr>
          <w:p w:rsidR="00681C15" w:rsidP="00681C15" w14:paraId="41E3C92B" w14:textId="11C7841A">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$223.4</w:t>
            </w:r>
          </w:p>
        </w:tc>
        <w:tc>
          <w:tcPr>
            <w:tcW w:w="839" w:type="dxa"/>
            <w:tcBorders>
              <w:left w:val="single" w:sz="6" w:space="0" w:color="000000"/>
              <w:bottom w:val="single" w:sz="6" w:space="0" w:color="000000"/>
              <w:right w:val="single" w:sz="6" w:space="0" w:color="000000"/>
            </w:tcBorders>
          </w:tcPr>
          <w:p w:rsidR="00681C15" w:rsidP="00681C15" w14:paraId="5AA94871" w14:textId="27D7ED98">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$229.0</w:t>
            </w:r>
          </w:p>
        </w:tc>
        <w:tc>
          <w:tcPr>
            <w:tcW w:w="839" w:type="dxa"/>
            <w:tcBorders>
              <w:left w:val="single" w:sz="6" w:space="0" w:color="000000"/>
              <w:bottom w:val="single" w:sz="6" w:space="0" w:color="000000"/>
              <w:right w:val="single" w:sz="6" w:space="0" w:color="000000"/>
            </w:tcBorders>
          </w:tcPr>
          <w:p w:rsidR="00681C15" w:rsidP="00681C15" w14:paraId="2B4CFE61" w14:textId="2E239D08">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$234.5</w:t>
            </w:r>
          </w:p>
        </w:tc>
        <w:tc>
          <w:tcPr>
            <w:tcW w:w="839" w:type="dxa"/>
            <w:tcBorders>
              <w:left w:val="single" w:sz="6" w:space="0" w:color="000000"/>
              <w:bottom w:val="single" w:sz="6" w:space="0" w:color="000000"/>
              <w:right w:val="single" w:sz="6" w:space="0" w:color="000000"/>
            </w:tcBorders>
          </w:tcPr>
          <w:p w:rsidR="00681C15" w:rsidP="00681C15" w14:paraId="43C79539" w14:textId="274C0F9A">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$240.1</w:t>
            </w:r>
          </w:p>
        </w:tc>
        <w:tc>
          <w:tcPr>
            <w:tcW w:w="919" w:type="dxa"/>
            <w:tcBorders>
              <w:left w:val="single" w:sz="6" w:space="0" w:color="000000"/>
              <w:bottom w:val="single" w:sz="6" w:space="0" w:color="000000"/>
              <w:right w:val="single" w:sz="6" w:space="0" w:color="000000"/>
            </w:tcBorders>
          </w:tcPr>
          <w:p w:rsidR="00681C15" w:rsidRPr="00281014" w:rsidP="00681C15" w14:paraId="5AB47835" w14:textId="2BFF5CAA">
            <w:pPr>
              <w:spacing w:after="0" w:line="240" w:lineRule="auto"/>
              <w:ind w:left="75" w:right="59"/>
              <w:jc w:val="center"/>
              <w:rPr>
                <w:rFonts w:ascii="Times New Roman" w:hAnsi="Times New Roman" w:cs="Times New Roman"/>
                <w:b/>
                <w:sz w:val="20"/>
                <w:szCs w:val="20"/>
              </w:rPr>
            </w:pPr>
            <w:r>
              <w:rPr>
                <w:rFonts w:ascii="Times New Roman" w:hAnsi="Times New Roman" w:cs="Times New Roman"/>
                <w:b/>
                <w:sz w:val="20"/>
                <w:szCs w:val="20"/>
              </w:rPr>
              <w:t>$245.7</w:t>
            </w:r>
          </w:p>
        </w:tc>
      </w:tr>
    </w:tbl>
    <w:p w:rsidR="00256784" w:rsidRPr="00281014" w:rsidP="00256784" w14:paraId="06A82343" w14:textId="77777777">
      <w:pPr>
        <w:spacing w:after="0" w:line="240" w:lineRule="auto"/>
        <w:rPr>
          <w:rFonts w:ascii="Times New Roman" w:hAnsi="Times New Roman" w:cs="Times New Roman"/>
          <w:sz w:val="18"/>
          <w:szCs w:val="18"/>
        </w:rPr>
      </w:pPr>
      <w:r w:rsidRPr="00281014">
        <w:rPr>
          <w:rFonts w:ascii="Times New Roman" w:hAnsi="Times New Roman" w:cs="Times New Roman"/>
          <w:sz w:val="18"/>
          <w:szCs w:val="18"/>
        </w:rPr>
        <w:t>*Totals may not sum due to rounding.</w:t>
      </w:r>
      <w:r>
        <w:rPr>
          <w:rFonts w:ascii="Times New Roman" w:hAnsi="Times New Roman" w:cs="Times New Roman"/>
          <w:sz w:val="18"/>
          <w:szCs w:val="18"/>
        </w:rPr>
        <w:t xml:space="preserve">   </w:t>
      </w:r>
    </w:p>
    <w:p w:rsidR="00B25B60" w:rsidRPr="00281014" w:rsidP="00B25B60" w14:paraId="7B5D733D" w14:textId="77777777">
      <w:pPr>
        <w:spacing w:after="0" w:line="240" w:lineRule="auto"/>
        <w:rPr>
          <w:rFonts w:ascii="Times New Roman" w:hAnsi="Times New Roman" w:cs="Times New Roman"/>
          <w:sz w:val="18"/>
          <w:szCs w:val="18"/>
        </w:rPr>
      </w:pPr>
      <w:r>
        <w:rPr>
          <w:rFonts w:ascii="Times New Roman" w:hAnsi="Times New Roman" w:cs="Times New Roman"/>
          <w:sz w:val="18"/>
          <w:szCs w:val="18"/>
        </w:rPr>
        <w:t>**Annual Costs for RMP Justification provisions are zero due to rounding. Unrounded costs are $15,798 for No Backup Power</w:t>
      </w:r>
      <w:r w:rsidR="004C12C3">
        <w:rPr>
          <w:rFonts w:ascii="Times New Roman" w:hAnsi="Times New Roman" w:cs="Times New Roman"/>
          <w:sz w:val="18"/>
          <w:szCs w:val="18"/>
        </w:rPr>
        <w:t>,</w:t>
      </w:r>
      <w:r>
        <w:rPr>
          <w:rFonts w:ascii="Times New Roman" w:hAnsi="Times New Roman" w:cs="Times New Roman"/>
          <w:sz w:val="18"/>
          <w:szCs w:val="18"/>
        </w:rPr>
        <w:t xml:space="preserve"> $42,307 for Natural Hazards</w:t>
      </w:r>
      <w:r w:rsidR="004C12C3">
        <w:rPr>
          <w:rFonts w:ascii="Times New Roman" w:hAnsi="Times New Roman" w:cs="Times New Roman"/>
          <w:sz w:val="18"/>
          <w:szCs w:val="18"/>
        </w:rPr>
        <w:t xml:space="preserve"> and</w:t>
      </w:r>
      <w:r>
        <w:rPr>
          <w:rFonts w:ascii="Times New Roman" w:hAnsi="Times New Roman" w:cs="Times New Roman"/>
          <w:sz w:val="18"/>
          <w:szCs w:val="18"/>
        </w:rPr>
        <w:t xml:space="preserve"> Facility Siting, and </w:t>
      </w:r>
      <w:r w:rsidR="000D7DC4">
        <w:rPr>
          <w:rFonts w:ascii="Times New Roman" w:hAnsi="Times New Roman" w:cs="Times New Roman"/>
          <w:sz w:val="18"/>
          <w:szCs w:val="18"/>
        </w:rPr>
        <w:t xml:space="preserve">$27,582 for </w:t>
      </w:r>
      <w:r>
        <w:rPr>
          <w:rFonts w:ascii="Times New Roman" w:hAnsi="Times New Roman" w:cs="Times New Roman"/>
          <w:sz w:val="18"/>
          <w:szCs w:val="18"/>
        </w:rPr>
        <w:t>RAGAGEP.</w:t>
      </w:r>
    </w:p>
    <w:p w:rsidR="00762D32" w:rsidP="004C11CA" w14:paraId="4B1AEA50" w14:textId="77777777">
      <w:pPr>
        <w:spacing w:line="256" w:lineRule="auto"/>
        <w:rPr>
          <w:sz w:val="19"/>
        </w:rPr>
      </w:pPr>
    </w:p>
    <w:p w:rsidR="008B32C7" w:rsidRPr="00E16C1A" w:rsidP="004C11CA" w14:paraId="629BE257" w14:textId="7E92B7CD">
      <w:pPr>
        <w:spacing w:line="256" w:lineRule="auto"/>
        <w:rPr>
          <w:rFonts w:ascii="Times New Roman" w:hAnsi="Times New Roman" w:cs="Times New Roman"/>
        </w:rPr>
        <w:sectPr w:rsidSect="005379A2">
          <w:pgSz w:w="12240" w:h="15840"/>
          <w:pgMar w:top="1380" w:right="1100" w:bottom="920" w:left="1160" w:header="0" w:footer="738" w:gutter="0"/>
          <w:cols w:space="720"/>
        </w:sectPr>
      </w:pPr>
      <w:r w:rsidRPr="00E16C1A">
        <w:rPr>
          <w:rFonts w:ascii="Times New Roman" w:hAnsi="Times New Roman" w:cs="Times New Roman"/>
        </w:rPr>
        <w:t xml:space="preserve">Undiscounted costs over the 10-year timeframe </w:t>
      </w:r>
      <w:r w:rsidRPr="00E16C1A" w:rsidR="00041089">
        <w:rPr>
          <w:rFonts w:ascii="Times New Roman" w:hAnsi="Times New Roman" w:cs="Times New Roman"/>
        </w:rPr>
        <w:t xml:space="preserve">are estimated to </w:t>
      </w:r>
      <w:r w:rsidRPr="00E16C1A">
        <w:rPr>
          <w:rFonts w:ascii="Times New Roman" w:hAnsi="Times New Roman" w:cs="Times New Roman"/>
        </w:rPr>
        <w:t xml:space="preserve">vary from </w:t>
      </w:r>
      <w:r w:rsidRPr="00E16C1A" w:rsidR="00975505">
        <w:rPr>
          <w:rFonts w:ascii="Times New Roman" w:hAnsi="Times New Roman" w:cs="Times New Roman"/>
        </w:rPr>
        <w:t>$22</w:t>
      </w:r>
      <w:r w:rsidR="00991B8D">
        <w:rPr>
          <w:rFonts w:ascii="Times New Roman" w:hAnsi="Times New Roman" w:cs="Times New Roman"/>
        </w:rPr>
        <w:t>3</w:t>
      </w:r>
      <w:r w:rsidRPr="00E16C1A" w:rsidR="001452E1">
        <w:rPr>
          <w:rFonts w:ascii="Times New Roman" w:hAnsi="Times New Roman" w:cs="Times New Roman"/>
        </w:rPr>
        <w:t xml:space="preserve"> </w:t>
      </w:r>
      <w:r w:rsidRPr="00E16C1A" w:rsidR="00C53DEA">
        <w:rPr>
          <w:rFonts w:ascii="Times New Roman" w:hAnsi="Times New Roman" w:cs="Times New Roman"/>
        </w:rPr>
        <w:t>m</w:t>
      </w:r>
      <w:r w:rsidRPr="00E16C1A" w:rsidR="007B6617">
        <w:rPr>
          <w:rFonts w:ascii="Times New Roman" w:hAnsi="Times New Roman" w:cs="Times New Roman"/>
        </w:rPr>
        <w:t>illion</w:t>
      </w:r>
      <w:r w:rsidRPr="00E16C1A" w:rsidR="00C53DEA">
        <w:rPr>
          <w:rFonts w:ascii="Times New Roman" w:hAnsi="Times New Roman" w:cs="Times New Roman"/>
        </w:rPr>
        <w:t xml:space="preserve"> </w:t>
      </w:r>
      <w:r w:rsidRPr="00E16C1A" w:rsidR="00975505">
        <w:rPr>
          <w:rFonts w:ascii="Times New Roman" w:hAnsi="Times New Roman" w:cs="Times New Roman"/>
        </w:rPr>
        <w:t xml:space="preserve">in </w:t>
      </w:r>
      <w:r w:rsidRPr="00E16C1A" w:rsidR="00041089">
        <w:rPr>
          <w:rFonts w:ascii="Times New Roman" w:hAnsi="Times New Roman" w:cs="Times New Roman"/>
        </w:rPr>
        <w:t>Y</w:t>
      </w:r>
      <w:r w:rsidRPr="00E16C1A" w:rsidR="00975505">
        <w:rPr>
          <w:rFonts w:ascii="Times New Roman" w:hAnsi="Times New Roman" w:cs="Times New Roman"/>
        </w:rPr>
        <w:t xml:space="preserve">ear </w:t>
      </w:r>
      <w:r w:rsidRPr="00E16C1A" w:rsidR="00C53DEA">
        <w:rPr>
          <w:rFonts w:ascii="Times New Roman" w:hAnsi="Times New Roman" w:cs="Times New Roman"/>
        </w:rPr>
        <w:t>6, to $306 m</w:t>
      </w:r>
      <w:r w:rsidRPr="00E16C1A" w:rsidR="007B6617">
        <w:rPr>
          <w:rFonts w:ascii="Times New Roman" w:hAnsi="Times New Roman" w:cs="Times New Roman"/>
        </w:rPr>
        <w:t>illion</w:t>
      </w:r>
      <w:r w:rsidRPr="00E16C1A" w:rsidR="00C53DEA">
        <w:rPr>
          <w:rFonts w:ascii="Times New Roman" w:hAnsi="Times New Roman" w:cs="Times New Roman"/>
        </w:rPr>
        <w:t xml:space="preserve"> in </w:t>
      </w:r>
      <w:r w:rsidRPr="00E16C1A" w:rsidR="00041089">
        <w:rPr>
          <w:rFonts w:ascii="Times New Roman" w:hAnsi="Times New Roman" w:cs="Times New Roman"/>
        </w:rPr>
        <w:t>Y</w:t>
      </w:r>
      <w:r w:rsidRPr="00E16C1A" w:rsidR="00C53DEA">
        <w:rPr>
          <w:rFonts w:ascii="Times New Roman" w:hAnsi="Times New Roman" w:cs="Times New Roman"/>
        </w:rPr>
        <w:t>ear 1.</w:t>
      </w:r>
    </w:p>
    <w:p w:rsidR="00673838" w:rsidP="00217713" w14:paraId="1147174C" w14:textId="77777777">
      <w:pPr>
        <w:pStyle w:val="Heading1"/>
      </w:pPr>
      <w:bookmarkStart w:id="354" w:name="_bookmark47"/>
      <w:bookmarkStart w:id="355" w:name="_Toc144303573"/>
      <w:bookmarkStart w:id="356" w:name="_Toc98856227"/>
      <w:bookmarkEnd w:id="354"/>
      <w:r w:rsidRPr="00217713">
        <w:t>CHAPTER 6</w:t>
      </w:r>
      <w:r w:rsidR="002D372A">
        <w:t>:</w:t>
      </w:r>
      <w:r w:rsidR="00843659">
        <w:t xml:space="preserve"> </w:t>
      </w:r>
      <w:r w:rsidR="000D136F">
        <w:t xml:space="preserve">Total </w:t>
      </w:r>
      <w:r w:rsidR="002D372A">
        <w:t>Benefits</w:t>
      </w:r>
      <w:r w:rsidR="000D136F">
        <w:t xml:space="preserve"> of the </w:t>
      </w:r>
      <w:r w:rsidR="00F26C44">
        <w:t xml:space="preserve">Final </w:t>
      </w:r>
      <w:r w:rsidR="000D136F">
        <w:t>Rule</w:t>
      </w:r>
      <w:bookmarkEnd w:id="355"/>
    </w:p>
    <w:bookmarkEnd w:id="356"/>
    <w:p w:rsidR="005D51C3" w:rsidP="00693590" w14:paraId="6F558377" w14:textId="77777777">
      <w:pPr>
        <w:spacing w:after="0" w:line="240" w:lineRule="auto"/>
        <w:ind w:firstLine="360"/>
        <w:rPr>
          <w:rFonts w:ascii="Times New Roman" w:hAnsi="Times New Roman" w:cs="Times New Roman"/>
        </w:rPr>
      </w:pPr>
      <w:r>
        <w:rPr>
          <w:rFonts w:ascii="Times New Roman" w:hAnsi="Times New Roman" w:cs="Times New Roman"/>
        </w:rPr>
        <w:tab/>
        <w:t>This Chapter</w:t>
      </w:r>
      <w:r w:rsidR="003658FF">
        <w:rPr>
          <w:rFonts w:ascii="Times New Roman" w:hAnsi="Times New Roman" w:cs="Times New Roman"/>
        </w:rPr>
        <w:t xml:space="preserve"> presents discussion and analysis of the total benefits of the final rule. Section 6.1 discusses </w:t>
      </w:r>
      <w:r w:rsidR="006D2B6E">
        <w:rPr>
          <w:rFonts w:ascii="Times New Roman" w:hAnsi="Times New Roman" w:cs="Times New Roman"/>
        </w:rPr>
        <w:t xml:space="preserve">how the various provisions of the final rule will </w:t>
      </w:r>
      <w:r w:rsidR="003F4220">
        <w:rPr>
          <w:rFonts w:ascii="Times New Roman" w:hAnsi="Times New Roman" w:cs="Times New Roman"/>
        </w:rPr>
        <w:t xml:space="preserve">avoid </w:t>
      </w:r>
      <w:r w:rsidR="00D427EA">
        <w:rPr>
          <w:rFonts w:ascii="Times New Roman" w:hAnsi="Times New Roman" w:cs="Times New Roman"/>
        </w:rPr>
        <w:t>or mitigate</w:t>
      </w:r>
      <w:r w:rsidR="003F4220">
        <w:rPr>
          <w:rFonts w:ascii="Times New Roman" w:hAnsi="Times New Roman" w:cs="Times New Roman"/>
        </w:rPr>
        <w:t xml:space="preserve"> accidents and </w:t>
      </w:r>
      <w:r w:rsidR="006D2B6E">
        <w:rPr>
          <w:rFonts w:ascii="Times New Roman" w:hAnsi="Times New Roman" w:cs="Times New Roman"/>
        </w:rPr>
        <w:t>result in benefits</w:t>
      </w:r>
      <w:r w:rsidR="003F4220">
        <w:rPr>
          <w:rFonts w:ascii="Times New Roman" w:hAnsi="Times New Roman" w:cs="Times New Roman"/>
        </w:rPr>
        <w:t xml:space="preserve">. Section 6.2 discusses </w:t>
      </w:r>
      <w:r w:rsidR="00CA7D1D">
        <w:rPr>
          <w:rFonts w:ascii="Times New Roman" w:hAnsi="Times New Roman" w:cs="Times New Roman"/>
        </w:rPr>
        <w:t xml:space="preserve">benefit categories associated with </w:t>
      </w:r>
      <w:r w:rsidR="00BD2353">
        <w:rPr>
          <w:rFonts w:ascii="Times New Roman" w:hAnsi="Times New Roman" w:cs="Times New Roman"/>
        </w:rPr>
        <w:t xml:space="preserve">avoided and mitigated accidents. </w:t>
      </w:r>
      <w:r w:rsidR="003F4220">
        <w:rPr>
          <w:rFonts w:ascii="Times New Roman" w:hAnsi="Times New Roman" w:cs="Times New Roman"/>
        </w:rPr>
        <w:t xml:space="preserve">Section 6.3 discusses </w:t>
      </w:r>
      <w:r w:rsidR="00BD2353">
        <w:rPr>
          <w:rFonts w:ascii="Times New Roman" w:hAnsi="Times New Roman" w:cs="Times New Roman"/>
        </w:rPr>
        <w:t>the break-even analysis of the rule. Finally, Section 6.4 pr</w:t>
      </w:r>
      <w:r w:rsidR="003D2A7D">
        <w:rPr>
          <w:rFonts w:ascii="Times New Roman" w:hAnsi="Times New Roman" w:cs="Times New Roman"/>
        </w:rPr>
        <w:t>esents</w:t>
      </w:r>
      <w:r w:rsidR="00BD2353">
        <w:rPr>
          <w:rFonts w:ascii="Times New Roman" w:hAnsi="Times New Roman" w:cs="Times New Roman"/>
        </w:rPr>
        <w:t xml:space="preserve"> some </w:t>
      </w:r>
      <w:r w:rsidR="00B5640A">
        <w:rPr>
          <w:rFonts w:ascii="Times New Roman" w:hAnsi="Times New Roman" w:cs="Times New Roman"/>
        </w:rPr>
        <w:t>conclusions</w:t>
      </w:r>
      <w:r w:rsidR="004825C5">
        <w:rPr>
          <w:rFonts w:ascii="Times New Roman" w:hAnsi="Times New Roman" w:cs="Times New Roman"/>
        </w:rPr>
        <w:t>.</w:t>
      </w:r>
      <w:r w:rsidR="003F4220">
        <w:rPr>
          <w:rFonts w:ascii="Times New Roman" w:hAnsi="Times New Roman" w:cs="Times New Roman"/>
        </w:rPr>
        <w:t xml:space="preserve"> </w:t>
      </w:r>
    </w:p>
    <w:p w:rsidR="005D51C3" w:rsidP="00693590" w14:paraId="3EA169A9" w14:textId="77777777">
      <w:pPr>
        <w:spacing w:after="0" w:line="240" w:lineRule="auto"/>
        <w:ind w:firstLine="360"/>
        <w:rPr>
          <w:rFonts w:ascii="Times New Roman" w:hAnsi="Times New Roman" w:cs="Times New Roman"/>
        </w:rPr>
      </w:pPr>
      <w:r>
        <w:rPr>
          <w:rFonts w:ascii="Times New Roman" w:hAnsi="Times New Roman" w:cs="Times New Roman"/>
        </w:rPr>
        <w:tab/>
      </w:r>
    </w:p>
    <w:p w:rsidR="00693590" w:rsidP="00693590" w14:paraId="515F54EE"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sidR="00E93325">
        <w:rPr>
          <w:rFonts w:ascii="Times New Roman" w:hAnsi="Times New Roman" w:cs="Times New Roman"/>
        </w:rPr>
        <w:t>Facilities subject to the RMP regulation</w:t>
      </w:r>
      <w:r w:rsidR="003E4784">
        <w:rPr>
          <w:rFonts w:ascii="Times New Roman" w:hAnsi="Times New Roman" w:cs="Times New Roman"/>
        </w:rPr>
        <w:t>s</w:t>
      </w:r>
      <w:r w:rsidRPr="00BF42A8" w:rsidR="00E93325">
        <w:rPr>
          <w:rFonts w:ascii="Times New Roman" w:hAnsi="Times New Roman" w:cs="Times New Roman"/>
        </w:rPr>
        <w:t xml:space="preserve"> pose significant risks </w:t>
      </w:r>
      <w:r w:rsidR="00BE1B39">
        <w:rPr>
          <w:rFonts w:ascii="Times New Roman" w:hAnsi="Times New Roman" w:cs="Times New Roman"/>
        </w:rPr>
        <w:t>of negative impacts from accidental releases</w:t>
      </w:r>
      <w:r w:rsidR="00676EAA">
        <w:rPr>
          <w:rFonts w:ascii="Times New Roman" w:hAnsi="Times New Roman" w:cs="Times New Roman"/>
        </w:rPr>
        <w:t xml:space="preserve"> of toxic </w:t>
      </w:r>
      <w:r w:rsidR="00B33BBB">
        <w:rPr>
          <w:rFonts w:ascii="Times New Roman" w:hAnsi="Times New Roman" w:cs="Times New Roman"/>
        </w:rPr>
        <w:t>vapors</w:t>
      </w:r>
      <w:r w:rsidR="008A65FE">
        <w:rPr>
          <w:rFonts w:ascii="Times New Roman" w:hAnsi="Times New Roman" w:cs="Times New Roman"/>
        </w:rPr>
        <w:t>,</w:t>
      </w:r>
      <w:r w:rsidR="00B654B0">
        <w:rPr>
          <w:rFonts w:ascii="Times New Roman" w:hAnsi="Times New Roman" w:cs="Times New Roman"/>
        </w:rPr>
        <w:t xml:space="preserve"> fires</w:t>
      </w:r>
      <w:r w:rsidR="008A65FE">
        <w:rPr>
          <w:rFonts w:ascii="Times New Roman" w:hAnsi="Times New Roman" w:cs="Times New Roman"/>
        </w:rPr>
        <w:t>,</w:t>
      </w:r>
      <w:r w:rsidR="00B654B0">
        <w:rPr>
          <w:rFonts w:ascii="Times New Roman" w:hAnsi="Times New Roman" w:cs="Times New Roman"/>
        </w:rPr>
        <w:t xml:space="preserve"> and explosions</w:t>
      </w:r>
      <w:r w:rsidR="003E4784">
        <w:rPr>
          <w:rFonts w:ascii="Times New Roman" w:hAnsi="Times New Roman" w:cs="Times New Roman"/>
        </w:rPr>
        <w:t xml:space="preserve"> </w:t>
      </w:r>
      <w:r w:rsidRPr="00BF42A8" w:rsidR="003E4784">
        <w:rPr>
          <w:rFonts w:ascii="Times New Roman" w:hAnsi="Times New Roman" w:cs="Times New Roman"/>
        </w:rPr>
        <w:t>to the public and the environment</w:t>
      </w:r>
      <w:r w:rsidRPr="00BF42A8" w:rsidR="00E93325">
        <w:rPr>
          <w:rFonts w:ascii="Times New Roman" w:hAnsi="Times New Roman" w:cs="Times New Roman"/>
        </w:rPr>
        <w:t xml:space="preserve">. </w:t>
      </w:r>
      <w:r>
        <w:rPr>
          <w:rFonts w:ascii="Times New Roman" w:hAnsi="Times New Roman" w:cs="Times New Roman"/>
        </w:rPr>
        <w:t>Th</w:t>
      </w:r>
      <w:r w:rsidR="00AC5A76">
        <w:rPr>
          <w:rFonts w:ascii="Times New Roman" w:hAnsi="Times New Roman" w:cs="Times New Roman"/>
        </w:rPr>
        <w:t>is</w:t>
      </w:r>
      <w:r w:rsidRPr="00BC7919">
        <w:rPr>
          <w:rFonts w:ascii="Times New Roman" w:hAnsi="Times New Roman" w:cs="Times New Roman"/>
        </w:rPr>
        <w:t xml:space="preserve"> </w:t>
      </w:r>
      <w:r w:rsidR="00AC5A76">
        <w:rPr>
          <w:rFonts w:ascii="Times New Roman" w:hAnsi="Times New Roman" w:cs="Times New Roman"/>
        </w:rPr>
        <w:t>chapter</w:t>
      </w:r>
      <w:r w:rsidRPr="00BC7919">
        <w:rPr>
          <w:rFonts w:ascii="Times New Roman" w:hAnsi="Times New Roman" w:cs="Times New Roman"/>
        </w:rPr>
        <w:t xml:space="preserve"> qualitatively explains how the </w:t>
      </w:r>
      <w:r>
        <w:rPr>
          <w:rFonts w:ascii="Times New Roman" w:hAnsi="Times New Roman" w:cs="Times New Roman"/>
        </w:rPr>
        <w:t>final</w:t>
      </w:r>
      <w:r w:rsidRPr="00BC7919">
        <w:rPr>
          <w:rFonts w:ascii="Times New Roman" w:hAnsi="Times New Roman" w:cs="Times New Roman"/>
        </w:rPr>
        <w:t xml:space="preserve"> rule provisions could prevent and mitigate </w:t>
      </w:r>
      <w:r>
        <w:rPr>
          <w:rFonts w:ascii="Times New Roman" w:hAnsi="Times New Roman" w:cs="Times New Roman"/>
        </w:rPr>
        <w:t xml:space="preserve">RMP facility </w:t>
      </w:r>
      <w:r w:rsidRPr="00BC7919">
        <w:rPr>
          <w:rFonts w:ascii="Times New Roman" w:hAnsi="Times New Roman" w:cs="Times New Roman"/>
        </w:rPr>
        <w:t>accidents.</w:t>
      </w:r>
      <w:r w:rsidR="00D34F1A">
        <w:rPr>
          <w:rFonts w:ascii="Times New Roman" w:hAnsi="Times New Roman" w:cs="Times New Roman"/>
        </w:rPr>
        <w:t xml:space="preserve"> </w:t>
      </w:r>
      <w:r w:rsidR="00966C37">
        <w:rPr>
          <w:rFonts w:ascii="Times New Roman" w:hAnsi="Times New Roman" w:cs="Times New Roman"/>
        </w:rPr>
        <w:t xml:space="preserve">It outlines </w:t>
      </w:r>
      <w:r w:rsidR="0091068B">
        <w:rPr>
          <w:rFonts w:ascii="Times New Roman" w:hAnsi="Times New Roman" w:cs="Times New Roman"/>
        </w:rPr>
        <w:t xml:space="preserve">a broad set of </w:t>
      </w:r>
      <w:r w:rsidR="00C4243D">
        <w:rPr>
          <w:rFonts w:ascii="Times New Roman" w:hAnsi="Times New Roman" w:cs="Times New Roman"/>
        </w:rPr>
        <w:t>social benefits associated with the rule</w:t>
      </w:r>
      <w:r w:rsidR="0091068B">
        <w:rPr>
          <w:rFonts w:ascii="Times New Roman" w:hAnsi="Times New Roman" w:cs="Times New Roman"/>
        </w:rPr>
        <w:t xml:space="preserve">. The chapter concludes with a comparison of costs to baseline damages and presents a breakeven analysis. </w:t>
      </w:r>
    </w:p>
    <w:p w:rsidR="003E4784" w:rsidP="00693590" w14:paraId="514A14D0" w14:textId="77777777">
      <w:pPr>
        <w:spacing w:after="0" w:line="240" w:lineRule="auto"/>
        <w:ind w:firstLine="360"/>
        <w:rPr>
          <w:rFonts w:ascii="Times New Roman" w:hAnsi="Times New Roman" w:cs="Times New Roman"/>
        </w:rPr>
      </w:pPr>
    </w:p>
    <w:p w:rsidR="00374F85" w:rsidP="00BF42A8" w14:paraId="220D4E0D" w14:textId="77777777">
      <w:pPr>
        <w:spacing w:after="0" w:line="240" w:lineRule="auto"/>
        <w:ind w:firstLine="360"/>
        <w:rPr>
          <w:rFonts w:ascii="Times New Roman" w:hAnsi="Times New Roman" w:cs="Times New Roman"/>
        </w:rPr>
      </w:pPr>
      <w:r>
        <w:rPr>
          <w:rFonts w:ascii="Times New Roman" w:hAnsi="Times New Roman" w:cs="Times New Roman"/>
        </w:rPr>
        <w:tab/>
      </w:r>
      <w:r w:rsidR="002D23B4">
        <w:rPr>
          <w:rFonts w:ascii="Times New Roman" w:hAnsi="Times New Roman" w:cs="Times New Roman"/>
        </w:rPr>
        <w:t>EPA is unable</w:t>
      </w:r>
      <w:r w:rsidRPr="00374F85">
        <w:rPr>
          <w:rFonts w:ascii="Times New Roman" w:hAnsi="Times New Roman" w:cs="Times New Roman"/>
        </w:rPr>
        <w:t xml:space="preserve"> to estimate quantitative benefits for the </w:t>
      </w:r>
      <w:r w:rsidR="00501D6B">
        <w:rPr>
          <w:rFonts w:ascii="Times New Roman" w:hAnsi="Times New Roman" w:cs="Times New Roman"/>
        </w:rPr>
        <w:t>final</w:t>
      </w:r>
      <w:r w:rsidRPr="00374F85" w:rsidR="00501D6B">
        <w:rPr>
          <w:rFonts w:ascii="Times New Roman" w:hAnsi="Times New Roman" w:cs="Times New Roman"/>
        </w:rPr>
        <w:t xml:space="preserve"> </w:t>
      </w:r>
      <w:r w:rsidRPr="00374F85">
        <w:rPr>
          <w:rFonts w:ascii="Times New Roman" w:hAnsi="Times New Roman" w:cs="Times New Roman"/>
        </w:rPr>
        <w:t xml:space="preserve">rule </w:t>
      </w:r>
      <w:r w:rsidR="006643AA">
        <w:rPr>
          <w:rFonts w:ascii="Times New Roman" w:hAnsi="Times New Roman" w:cs="Times New Roman"/>
        </w:rPr>
        <w:t>because</w:t>
      </w:r>
      <w:r w:rsidRPr="00374F85">
        <w:rPr>
          <w:rFonts w:ascii="Times New Roman" w:hAnsi="Times New Roman" w:cs="Times New Roman"/>
        </w:rPr>
        <w:t xml:space="preserve"> EPA has no data to project the specific </w:t>
      </w:r>
      <w:r w:rsidR="00E42552">
        <w:rPr>
          <w:rFonts w:ascii="Times New Roman" w:hAnsi="Times New Roman" w:cs="Times New Roman"/>
        </w:rPr>
        <w:t xml:space="preserve">contribution of </w:t>
      </w:r>
      <w:r w:rsidRPr="00374F85" w:rsidR="00E42552">
        <w:rPr>
          <w:rFonts w:ascii="Times New Roman" w:hAnsi="Times New Roman" w:cs="Times New Roman"/>
        </w:rPr>
        <w:t xml:space="preserve">each </w:t>
      </w:r>
      <w:r w:rsidR="00501D6B">
        <w:rPr>
          <w:rFonts w:ascii="Times New Roman" w:hAnsi="Times New Roman" w:cs="Times New Roman"/>
        </w:rPr>
        <w:t>final</w:t>
      </w:r>
      <w:r w:rsidRPr="00374F85" w:rsidR="00501D6B">
        <w:rPr>
          <w:rFonts w:ascii="Times New Roman" w:hAnsi="Times New Roman" w:cs="Times New Roman"/>
        </w:rPr>
        <w:t xml:space="preserve"> </w:t>
      </w:r>
      <w:r w:rsidRPr="00374F85" w:rsidR="00E42552">
        <w:rPr>
          <w:rFonts w:ascii="Times New Roman" w:hAnsi="Times New Roman" w:cs="Times New Roman"/>
        </w:rPr>
        <w:t>rule provisio</w:t>
      </w:r>
      <w:r w:rsidR="00E42552">
        <w:rPr>
          <w:rFonts w:ascii="Times New Roman" w:hAnsi="Times New Roman" w:cs="Times New Roman"/>
        </w:rPr>
        <w:t xml:space="preserve">n </w:t>
      </w:r>
      <w:r w:rsidR="00312224">
        <w:rPr>
          <w:rFonts w:ascii="Times New Roman" w:hAnsi="Times New Roman" w:cs="Times New Roman"/>
        </w:rPr>
        <w:t xml:space="preserve">to </w:t>
      </w:r>
      <w:r w:rsidR="004B5740">
        <w:rPr>
          <w:rFonts w:ascii="Times New Roman" w:hAnsi="Times New Roman" w:cs="Times New Roman"/>
        </w:rPr>
        <w:t xml:space="preserve">reductions in the </w:t>
      </w:r>
      <w:r w:rsidR="00E50469">
        <w:rPr>
          <w:rFonts w:ascii="Times New Roman" w:hAnsi="Times New Roman" w:cs="Times New Roman"/>
        </w:rPr>
        <w:t xml:space="preserve">frequency </w:t>
      </w:r>
      <w:r w:rsidR="00EE1A07">
        <w:rPr>
          <w:rFonts w:ascii="Times New Roman" w:hAnsi="Times New Roman" w:cs="Times New Roman"/>
        </w:rPr>
        <w:t>or</w:t>
      </w:r>
      <w:r w:rsidR="00E50469">
        <w:rPr>
          <w:rFonts w:ascii="Times New Roman" w:hAnsi="Times New Roman" w:cs="Times New Roman"/>
        </w:rPr>
        <w:t xml:space="preserve"> severity</w:t>
      </w:r>
      <w:r w:rsidR="00B505EE">
        <w:rPr>
          <w:rFonts w:ascii="Times New Roman" w:hAnsi="Times New Roman" w:cs="Times New Roman"/>
        </w:rPr>
        <w:t xml:space="preserve"> of </w:t>
      </w:r>
      <w:r w:rsidR="00066978">
        <w:rPr>
          <w:rFonts w:ascii="Times New Roman" w:hAnsi="Times New Roman" w:cs="Times New Roman"/>
        </w:rPr>
        <w:t xml:space="preserve">future </w:t>
      </w:r>
      <w:r w:rsidR="00B505EE">
        <w:rPr>
          <w:rFonts w:ascii="Times New Roman" w:hAnsi="Times New Roman" w:cs="Times New Roman"/>
        </w:rPr>
        <w:t>accidents</w:t>
      </w:r>
      <w:r w:rsidRPr="00374F85">
        <w:rPr>
          <w:rFonts w:ascii="Times New Roman" w:hAnsi="Times New Roman" w:cs="Times New Roman"/>
        </w:rPr>
        <w:t xml:space="preserve">. As shown by accident trends, accident frequency and severity are difficult to predict. Based on RMP accident data and other data, chemical accidents can impose substantial costs on firms, employees, emergency responders, the community, and the broader economy. Reducing the risk of such accidents and the severity of the impacts when accidents occur, and improving information </w:t>
      </w:r>
      <w:r w:rsidR="00A82513">
        <w:rPr>
          <w:rFonts w:ascii="Times New Roman" w:hAnsi="Times New Roman" w:cs="Times New Roman"/>
        </w:rPr>
        <w:t>availability</w:t>
      </w:r>
      <w:r w:rsidRPr="00374F85">
        <w:rPr>
          <w:rFonts w:ascii="Times New Roman" w:hAnsi="Times New Roman" w:cs="Times New Roman"/>
        </w:rPr>
        <w:t xml:space="preserve">, as the </w:t>
      </w:r>
      <w:r w:rsidR="00501D6B">
        <w:rPr>
          <w:rFonts w:ascii="Times New Roman" w:hAnsi="Times New Roman" w:cs="Times New Roman"/>
        </w:rPr>
        <w:t>final</w:t>
      </w:r>
      <w:r w:rsidRPr="00374F85" w:rsidR="00501D6B">
        <w:rPr>
          <w:rFonts w:ascii="Times New Roman" w:hAnsi="Times New Roman" w:cs="Times New Roman"/>
        </w:rPr>
        <w:t xml:space="preserve"> </w:t>
      </w:r>
      <w:r w:rsidRPr="00374F85">
        <w:rPr>
          <w:rFonts w:ascii="Times New Roman" w:hAnsi="Times New Roman" w:cs="Times New Roman"/>
        </w:rPr>
        <w:t xml:space="preserve">provisions intend, </w:t>
      </w:r>
      <w:r w:rsidR="009449B7">
        <w:rPr>
          <w:rFonts w:ascii="Times New Roman" w:hAnsi="Times New Roman" w:cs="Times New Roman"/>
        </w:rPr>
        <w:t>will</w:t>
      </w:r>
      <w:r w:rsidRPr="00374F85">
        <w:rPr>
          <w:rFonts w:ascii="Times New Roman" w:hAnsi="Times New Roman" w:cs="Times New Roman"/>
        </w:rPr>
        <w:t xml:space="preserve"> provide benefits to the potentially affected members of society.</w:t>
      </w:r>
      <w:r w:rsidR="00BC7919">
        <w:rPr>
          <w:rFonts w:ascii="Times New Roman" w:hAnsi="Times New Roman" w:cs="Times New Roman"/>
        </w:rPr>
        <w:t xml:space="preserve"> </w:t>
      </w:r>
    </w:p>
    <w:p w:rsidR="00374F85" w:rsidP="00BF42A8" w14:paraId="7377FE12" w14:textId="77777777">
      <w:pPr>
        <w:spacing w:after="0" w:line="240" w:lineRule="auto"/>
        <w:ind w:firstLine="360"/>
        <w:rPr>
          <w:rFonts w:ascii="Times New Roman" w:hAnsi="Times New Roman" w:cs="Times New Roman"/>
        </w:rPr>
      </w:pPr>
    </w:p>
    <w:p w:rsidR="00BB51B0" w:rsidP="00C1791C" w14:paraId="5D5ADEF7" w14:textId="77777777">
      <w:pPr>
        <w:spacing w:after="0" w:line="240" w:lineRule="auto"/>
        <w:ind w:firstLine="720"/>
        <w:rPr>
          <w:rFonts w:ascii="Times New Roman" w:hAnsi="Times New Roman" w:cs="Times New Roman"/>
        </w:rPr>
      </w:pPr>
      <w:r w:rsidRPr="39C3D6F5">
        <w:rPr>
          <w:rFonts w:ascii="Times New Roman" w:hAnsi="Times New Roman" w:cs="Times New Roman"/>
        </w:rPr>
        <w:t xml:space="preserve">Chemical accidents </w:t>
      </w:r>
      <w:r w:rsidR="00EF61A7">
        <w:rPr>
          <w:rFonts w:ascii="Times New Roman" w:hAnsi="Times New Roman" w:cs="Times New Roman"/>
        </w:rPr>
        <w:t xml:space="preserve">at RMP facilities </w:t>
      </w:r>
      <w:r w:rsidRPr="39C3D6F5">
        <w:rPr>
          <w:rFonts w:ascii="Times New Roman" w:hAnsi="Times New Roman" w:cs="Times New Roman"/>
        </w:rPr>
        <w:t xml:space="preserve">and </w:t>
      </w:r>
      <w:r w:rsidRPr="39C3D6F5" w:rsidR="00354D92">
        <w:rPr>
          <w:rFonts w:ascii="Times New Roman" w:hAnsi="Times New Roman" w:cs="Times New Roman"/>
        </w:rPr>
        <w:t>their</w:t>
      </w:r>
      <w:r w:rsidR="00EF61A7">
        <w:rPr>
          <w:rFonts w:ascii="Times New Roman" w:hAnsi="Times New Roman" w:cs="Times New Roman"/>
        </w:rPr>
        <w:t xml:space="preserve"> associated</w:t>
      </w:r>
      <w:r w:rsidRPr="39C3D6F5" w:rsidR="00354D92">
        <w:rPr>
          <w:rFonts w:ascii="Times New Roman" w:hAnsi="Times New Roman" w:cs="Times New Roman"/>
        </w:rPr>
        <w:t xml:space="preserve"> impacts</w:t>
      </w:r>
      <w:r w:rsidRPr="39C3D6F5">
        <w:rPr>
          <w:rFonts w:ascii="Times New Roman" w:hAnsi="Times New Roman" w:cs="Times New Roman"/>
        </w:rPr>
        <w:t xml:space="preserve"> not only kill and injure people, but also can </w:t>
      </w:r>
      <w:r w:rsidR="002107AD">
        <w:rPr>
          <w:rFonts w:ascii="Times New Roman" w:hAnsi="Times New Roman" w:cs="Times New Roman"/>
        </w:rPr>
        <w:t>cause</w:t>
      </w:r>
      <w:r w:rsidRPr="39C3D6F5">
        <w:rPr>
          <w:rFonts w:ascii="Times New Roman" w:hAnsi="Times New Roman" w:cs="Times New Roman"/>
        </w:rPr>
        <w:t xml:space="preserve"> </w:t>
      </w:r>
      <w:r w:rsidRPr="39C3D6F5" w:rsidR="00725AC9">
        <w:rPr>
          <w:rFonts w:ascii="Times New Roman" w:hAnsi="Times New Roman" w:cs="Times New Roman"/>
        </w:rPr>
        <w:t>tremendous</w:t>
      </w:r>
      <w:r w:rsidRPr="39C3D6F5">
        <w:rPr>
          <w:rFonts w:ascii="Times New Roman" w:hAnsi="Times New Roman" w:cs="Times New Roman"/>
        </w:rPr>
        <w:t xml:space="preserve"> damage to property. </w:t>
      </w:r>
      <w:r w:rsidR="002107AD">
        <w:rPr>
          <w:rFonts w:ascii="Times New Roman" w:hAnsi="Times New Roman" w:cs="Times New Roman"/>
        </w:rPr>
        <w:t>This</w:t>
      </w:r>
      <w:r w:rsidRPr="39C3D6F5">
        <w:rPr>
          <w:rFonts w:ascii="Times New Roman" w:hAnsi="Times New Roman" w:cs="Times New Roman"/>
        </w:rPr>
        <w:t xml:space="preserve"> can include damage to goods produced, plant equipment and structures, and nearby industrial, commercial, and residential buildings, equipment, and furnishings. Damage can also occur to the natural environment and negatively affect nearby ecosystems and wildlife. </w:t>
      </w:r>
      <w:r w:rsidR="00D30706">
        <w:rPr>
          <w:rFonts w:ascii="Times New Roman" w:hAnsi="Times New Roman" w:cs="Times New Roman"/>
        </w:rPr>
        <w:t xml:space="preserve">Residents and other people in nearby communities may be required or requested to evacuate or shelter-in-place. </w:t>
      </w:r>
      <w:r w:rsidRPr="39C3D6F5">
        <w:rPr>
          <w:rFonts w:ascii="Times New Roman" w:hAnsi="Times New Roman" w:cs="Times New Roman"/>
        </w:rPr>
        <w:t>Resources, such as emergency personnel and equipment, are diverted to address the fire, explosion, or vapor cloud. Properties located near the accident may lose value result</w:t>
      </w:r>
      <w:r w:rsidR="002107AD">
        <w:rPr>
          <w:rFonts w:ascii="Times New Roman" w:hAnsi="Times New Roman" w:cs="Times New Roman"/>
        </w:rPr>
        <w:t>ing from</w:t>
      </w:r>
      <w:r w:rsidRPr="39C3D6F5">
        <w:rPr>
          <w:rFonts w:ascii="Times New Roman" w:hAnsi="Times New Roman" w:cs="Times New Roman"/>
        </w:rPr>
        <w:t xml:space="preserve"> the perceived risks and other disamenities</w:t>
      </w:r>
      <w:r w:rsidRPr="39C3D6F5" w:rsidR="007B71DF">
        <w:rPr>
          <w:rFonts w:ascii="Times New Roman" w:hAnsi="Times New Roman" w:cs="Times New Roman"/>
        </w:rPr>
        <w:t xml:space="preserve"> created </w:t>
      </w:r>
      <w:r w:rsidRPr="39C3D6F5">
        <w:rPr>
          <w:rFonts w:ascii="Times New Roman" w:hAnsi="Times New Roman" w:cs="Times New Roman"/>
        </w:rPr>
        <w:t xml:space="preserve">by proximity to the </w:t>
      </w:r>
      <w:r w:rsidR="00A70028">
        <w:rPr>
          <w:rFonts w:ascii="Times New Roman" w:hAnsi="Times New Roman" w:cs="Times New Roman"/>
        </w:rPr>
        <w:t>accident</w:t>
      </w:r>
      <w:r w:rsidRPr="39C3D6F5">
        <w:rPr>
          <w:rFonts w:ascii="Times New Roman" w:hAnsi="Times New Roman" w:cs="Times New Roman"/>
        </w:rPr>
        <w:t>.</w:t>
      </w:r>
      <w:r w:rsidRPr="39C3D6F5" w:rsidR="00CA7F77">
        <w:rPr>
          <w:rFonts w:ascii="Times New Roman" w:hAnsi="Times New Roman" w:cs="Times New Roman"/>
        </w:rPr>
        <w:t xml:space="preserve"> </w:t>
      </w:r>
      <w:r w:rsidRPr="00BF42A8">
        <w:rPr>
          <w:rFonts w:ascii="Times New Roman" w:hAnsi="Times New Roman" w:cs="Times New Roman"/>
        </w:rPr>
        <w:t xml:space="preserve">Risks posed by RMP facilities are reduced by lowering the probability and magnitude of accidents, which is the objective of the </w:t>
      </w:r>
      <w:r w:rsidR="001D5AA5">
        <w:rPr>
          <w:rFonts w:ascii="Times New Roman" w:hAnsi="Times New Roman" w:cs="Times New Roman"/>
        </w:rPr>
        <w:t>final</w:t>
      </w:r>
      <w:r w:rsidRPr="00BF42A8" w:rsidR="001D5AA5">
        <w:rPr>
          <w:rFonts w:ascii="Times New Roman" w:hAnsi="Times New Roman" w:cs="Times New Roman"/>
        </w:rPr>
        <w:t xml:space="preserve"> </w:t>
      </w:r>
      <w:r w:rsidRPr="00BF42A8">
        <w:rPr>
          <w:rFonts w:ascii="Times New Roman" w:hAnsi="Times New Roman" w:cs="Times New Roman"/>
        </w:rPr>
        <w:t xml:space="preserve">rule. While many of the </w:t>
      </w:r>
      <w:r w:rsidR="001D5AA5">
        <w:rPr>
          <w:rFonts w:ascii="Times New Roman" w:hAnsi="Times New Roman" w:cs="Times New Roman"/>
        </w:rPr>
        <w:t>final</w:t>
      </w:r>
      <w:r w:rsidRPr="00BF42A8" w:rsidR="001D5AA5">
        <w:rPr>
          <w:rFonts w:ascii="Times New Roman" w:hAnsi="Times New Roman" w:cs="Times New Roman"/>
        </w:rPr>
        <w:t xml:space="preserve"> </w:t>
      </w:r>
      <w:r w:rsidR="00F93EA4">
        <w:rPr>
          <w:rFonts w:ascii="Times New Roman" w:hAnsi="Times New Roman" w:cs="Times New Roman"/>
        </w:rPr>
        <w:t xml:space="preserve">rule </w:t>
      </w:r>
      <w:r w:rsidRPr="00BF42A8">
        <w:rPr>
          <w:rFonts w:ascii="Times New Roman" w:hAnsi="Times New Roman" w:cs="Times New Roman"/>
        </w:rPr>
        <w:t xml:space="preserve">provisions reduce risks for a large segment of regulated facilities, several are more targeted. </w:t>
      </w:r>
      <w:r w:rsidRPr="00BF42A8" w:rsidR="00996FCC">
        <w:rPr>
          <w:rFonts w:ascii="Times New Roman" w:hAnsi="Times New Roman" w:cs="Times New Roman"/>
        </w:rPr>
        <w:t xml:space="preserve">The </w:t>
      </w:r>
      <w:r w:rsidR="00A24EBA">
        <w:rPr>
          <w:rFonts w:ascii="Times New Roman" w:hAnsi="Times New Roman" w:cs="Times New Roman"/>
        </w:rPr>
        <w:t>t</w:t>
      </w:r>
      <w:r w:rsidRPr="00BF42A8" w:rsidR="00996FCC">
        <w:rPr>
          <w:rFonts w:ascii="Times New Roman" w:hAnsi="Times New Roman" w:cs="Times New Roman"/>
        </w:rPr>
        <w:t>hird</w:t>
      </w:r>
      <w:r w:rsidR="00C1791C">
        <w:rPr>
          <w:rFonts w:ascii="Times New Roman" w:hAnsi="Times New Roman" w:cs="Times New Roman"/>
        </w:rPr>
        <w:t>-</w:t>
      </w:r>
      <w:r w:rsidR="00A24EBA">
        <w:rPr>
          <w:rFonts w:ascii="Times New Roman" w:hAnsi="Times New Roman" w:cs="Times New Roman"/>
        </w:rPr>
        <w:t>p</w:t>
      </w:r>
      <w:r w:rsidRPr="00BF42A8" w:rsidR="00996FCC">
        <w:rPr>
          <w:rFonts w:ascii="Times New Roman" w:hAnsi="Times New Roman" w:cs="Times New Roman"/>
        </w:rPr>
        <w:t xml:space="preserve">arty </w:t>
      </w:r>
      <w:r w:rsidR="00A24EBA">
        <w:rPr>
          <w:rFonts w:ascii="Times New Roman" w:hAnsi="Times New Roman" w:cs="Times New Roman"/>
        </w:rPr>
        <w:t>a</w:t>
      </w:r>
      <w:r w:rsidRPr="00BF42A8" w:rsidR="00996FCC">
        <w:rPr>
          <w:rFonts w:ascii="Times New Roman" w:hAnsi="Times New Roman" w:cs="Times New Roman"/>
        </w:rPr>
        <w:t xml:space="preserve">udit and </w:t>
      </w:r>
      <w:r w:rsidR="00A24EBA">
        <w:rPr>
          <w:rFonts w:ascii="Times New Roman" w:hAnsi="Times New Roman" w:cs="Times New Roman"/>
        </w:rPr>
        <w:t>r</w:t>
      </w:r>
      <w:r w:rsidRPr="00BF42A8" w:rsidR="00996FCC">
        <w:rPr>
          <w:rFonts w:ascii="Times New Roman" w:hAnsi="Times New Roman" w:cs="Times New Roman"/>
        </w:rPr>
        <w:t xml:space="preserve">oot </w:t>
      </w:r>
      <w:r w:rsidR="00A24EBA">
        <w:rPr>
          <w:rFonts w:ascii="Times New Roman" w:hAnsi="Times New Roman" w:cs="Times New Roman"/>
        </w:rPr>
        <w:t>c</w:t>
      </w:r>
      <w:r w:rsidRPr="00BF42A8" w:rsidR="00996FCC">
        <w:rPr>
          <w:rFonts w:ascii="Times New Roman" w:hAnsi="Times New Roman" w:cs="Times New Roman"/>
        </w:rPr>
        <w:t xml:space="preserve">ause </w:t>
      </w:r>
      <w:r w:rsidR="00A24EBA">
        <w:rPr>
          <w:rFonts w:ascii="Times New Roman" w:hAnsi="Times New Roman" w:cs="Times New Roman"/>
        </w:rPr>
        <w:t>a</w:t>
      </w:r>
      <w:r w:rsidRPr="00BF42A8" w:rsidR="00996FCC">
        <w:rPr>
          <w:rFonts w:ascii="Times New Roman" w:hAnsi="Times New Roman" w:cs="Times New Roman"/>
        </w:rPr>
        <w:t>nalysis requirements are focused on</w:t>
      </w:r>
      <w:r w:rsidRPr="00BF42A8" w:rsidR="00856649">
        <w:rPr>
          <w:rFonts w:ascii="Times New Roman" w:hAnsi="Times New Roman" w:cs="Times New Roman"/>
        </w:rPr>
        <w:t xml:space="preserve"> </w:t>
      </w:r>
      <w:r w:rsidRPr="00BF42A8" w:rsidR="00996FCC">
        <w:rPr>
          <w:rFonts w:ascii="Times New Roman" w:hAnsi="Times New Roman" w:cs="Times New Roman"/>
        </w:rPr>
        <w:t xml:space="preserve">lowering risks at </w:t>
      </w:r>
      <w:r w:rsidRPr="00BF42A8" w:rsidR="00856649">
        <w:rPr>
          <w:rFonts w:ascii="Times New Roman" w:hAnsi="Times New Roman" w:cs="Times New Roman"/>
        </w:rPr>
        <w:t xml:space="preserve">facilities </w:t>
      </w:r>
      <w:r w:rsidRPr="00BF42A8" w:rsidR="00996FCC">
        <w:rPr>
          <w:rFonts w:ascii="Times New Roman" w:hAnsi="Times New Roman" w:cs="Times New Roman"/>
        </w:rPr>
        <w:t>that have experienced one or more accid</w:t>
      </w:r>
      <w:r w:rsidRPr="00BF42A8" w:rsidR="00856649">
        <w:rPr>
          <w:rFonts w:ascii="Times New Roman" w:hAnsi="Times New Roman" w:cs="Times New Roman"/>
        </w:rPr>
        <w:t>ent</w:t>
      </w:r>
      <w:r w:rsidRPr="00BF42A8" w:rsidR="00996FCC">
        <w:rPr>
          <w:rFonts w:ascii="Times New Roman" w:hAnsi="Times New Roman" w:cs="Times New Roman"/>
        </w:rPr>
        <w:t>s</w:t>
      </w:r>
      <w:r w:rsidRPr="00BF42A8" w:rsidR="00856649">
        <w:rPr>
          <w:rFonts w:ascii="Times New Roman" w:hAnsi="Times New Roman" w:cs="Times New Roman"/>
        </w:rPr>
        <w:t>.</w:t>
      </w:r>
      <w:r w:rsidR="00662606">
        <w:rPr>
          <w:rFonts w:ascii="Times New Roman" w:hAnsi="Times New Roman" w:cs="Times New Roman"/>
        </w:rPr>
        <w:t xml:space="preserve"> </w:t>
      </w:r>
      <w:r w:rsidRPr="00BF42A8" w:rsidR="00996FCC">
        <w:rPr>
          <w:rFonts w:ascii="Times New Roman" w:hAnsi="Times New Roman" w:cs="Times New Roman"/>
        </w:rPr>
        <w:t>The</w:t>
      </w:r>
      <w:r w:rsidR="00A24EBA">
        <w:rPr>
          <w:rFonts w:ascii="Times New Roman" w:hAnsi="Times New Roman" w:cs="Times New Roman"/>
        </w:rPr>
        <w:t xml:space="preserve"> </w:t>
      </w:r>
      <w:r w:rsidRPr="00BF42A8" w:rsidR="00A24EBA">
        <w:rPr>
          <w:rFonts w:ascii="Times New Roman" w:hAnsi="Times New Roman" w:cs="Times New Roman"/>
        </w:rPr>
        <w:t>STAA</w:t>
      </w:r>
      <w:r w:rsidR="00A24EBA">
        <w:rPr>
          <w:rFonts w:ascii="Times New Roman" w:hAnsi="Times New Roman" w:cs="Times New Roman"/>
        </w:rPr>
        <w:t xml:space="preserve"> </w:t>
      </w:r>
      <w:r w:rsidRPr="00BF42A8" w:rsidR="00996FCC">
        <w:rPr>
          <w:rFonts w:ascii="Times New Roman" w:hAnsi="Times New Roman" w:cs="Times New Roman"/>
        </w:rPr>
        <w:t>provision focus</w:t>
      </w:r>
      <w:r w:rsidR="00F93EA4">
        <w:rPr>
          <w:rFonts w:ascii="Times New Roman" w:hAnsi="Times New Roman" w:cs="Times New Roman"/>
        </w:rPr>
        <w:t>es</w:t>
      </w:r>
      <w:r w:rsidRPr="00BF42A8" w:rsidR="00856649">
        <w:rPr>
          <w:rFonts w:ascii="Times New Roman" w:hAnsi="Times New Roman" w:cs="Times New Roman"/>
        </w:rPr>
        <w:t xml:space="preserve"> </w:t>
      </w:r>
      <w:r w:rsidRPr="00BF42A8" w:rsidR="00996FCC">
        <w:rPr>
          <w:rFonts w:ascii="Times New Roman" w:hAnsi="Times New Roman" w:cs="Times New Roman"/>
        </w:rPr>
        <w:t>on lowering risks in</w:t>
      </w:r>
      <w:r w:rsidRPr="00BF42A8">
        <w:rPr>
          <w:rFonts w:ascii="Times New Roman" w:hAnsi="Times New Roman" w:cs="Times New Roman"/>
        </w:rPr>
        <w:t xml:space="preserve"> </w:t>
      </w:r>
      <w:r w:rsidRPr="00B2263D" w:rsidR="00B2263D">
        <w:rPr>
          <w:rFonts w:ascii="Times New Roman" w:hAnsi="Times New Roman" w:cs="Times New Roman"/>
        </w:rPr>
        <w:t>industrial sectors with greater rates of accidents</w:t>
      </w:r>
      <w:r w:rsidR="00F93EA4">
        <w:rPr>
          <w:rFonts w:ascii="Times New Roman" w:hAnsi="Times New Roman" w:cs="Times New Roman"/>
        </w:rPr>
        <w:t>,</w:t>
      </w:r>
      <w:r w:rsidRPr="00B2263D" w:rsidR="00B2263D">
        <w:rPr>
          <w:rFonts w:ascii="Times New Roman" w:hAnsi="Times New Roman" w:cs="Times New Roman"/>
        </w:rPr>
        <w:t xml:space="preserve"> </w:t>
      </w:r>
      <w:r w:rsidR="00B2263D">
        <w:rPr>
          <w:rFonts w:ascii="Times New Roman" w:hAnsi="Times New Roman" w:cs="Times New Roman"/>
        </w:rPr>
        <w:t>and</w:t>
      </w:r>
      <w:r w:rsidRPr="00B2263D" w:rsidR="00B2263D">
        <w:rPr>
          <w:rFonts w:ascii="Times New Roman" w:hAnsi="Times New Roman" w:cs="Times New Roman"/>
        </w:rPr>
        <w:t xml:space="preserve"> </w:t>
      </w:r>
      <w:r w:rsidRPr="00BF42A8" w:rsidR="00996FCC">
        <w:rPr>
          <w:rFonts w:ascii="Times New Roman" w:hAnsi="Times New Roman" w:cs="Times New Roman"/>
        </w:rPr>
        <w:t>in</w:t>
      </w:r>
      <w:r w:rsidRPr="00BF42A8">
        <w:rPr>
          <w:rFonts w:ascii="Times New Roman" w:hAnsi="Times New Roman" w:cs="Times New Roman"/>
        </w:rPr>
        <w:t xml:space="preserve"> areas </w:t>
      </w:r>
      <w:r w:rsidRPr="00BF42A8" w:rsidR="00996FCC">
        <w:rPr>
          <w:rFonts w:ascii="Times New Roman" w:hAnsi="Times New Roman" w:cs="Times New Roman"/>
        </w:rPr>
        <w:t>with more than one RMP facility</w:t>
      </w:r>
      <w:r w:rsidR="004F5645">
        <w:rPr>
          <w:rFonts w:ascii="Times New Roman" w:hAnsi="Times New Roman" w:cs="Times New Roman"/>
        </w:rPr>
        <w:t xml:space="preserve"> or at facilities that have </w:t>
      </w:r>
      <w:r w:rsidR="00583639">
        <w:rPr>
          <w:rFonts w:ascii="Times New Roman" w:hAnsi="Times New Roman" w:cs="Times New Roman"/>
        </w:rPr>
        <w:t xml:space="preserve">an HF unit or have </w:t>
      </w:r>
      <w:r w:rsidR="004F5645">
        <w:rPr>
          <w:rFonts w:ascii="Times New Roman" w:hAnsi="Times New Roman" w:cs="Times New Roman"/>
        </w:rPr>
        <w:t>experienced one or more</w:t>
      </w:r>
      <w:r w:rsidR="000B0C89">
        <w:rPr>
          <w:rFonts w:ascii="Times New Roman" w:hAnsi="Times New Roman" w:cs="Times New Roman"/>
        </w:rPr>
        <w:t xml:space="preserve"> </w:t>
      </w:r>
      <w:r w:rsidR="004F5645">
        <w:rPr>
          <w:rFonts w:ascii="Times New Roman" w:hAnsi="Times New Roman" w:cs="Times New Roman"/>
        </w:rPr>
        <w:t>accidents</w:t>
      </w:r>
      <w:r w:rsidRPr="00BF42A8" w:rsidR="00996FCC">
        <w:rPr>
          <w:rFonts w:ascii="Times New Roman" w:hAnsi="Times New Roman" w:cs="Times New Roman"/>
        </w:rPr>
        <w:t xml:space="preserve">. </w:t>
      </w:r>
      <w:r w:rsidRPr="00BF42A8">
        <w:rPr>
          <w:rFonts w:ascii="Times New Roman" w:hAnsi="Times New Roman" w:cs="Times New Roman"/>
        </w:rPr>
        <w:t xml:space="preserve"> </w:t>
      </w:r>
    </w:p>
    <w:p w:rsidR="00E235AD" w:rsidP="00BF42A8" w14:paraId="02288F43" w14:textId="77777777">
      <w:pPr>
        <w:spacing w:after="0" w:line="240" w:lineRule="auto"/>
        <w:ind w:firstLine="360"/>
        <w:rPr>
          <w:rFonts w:ascii="Times New Roman" w:hAnsi="Times New Roman" w:cs="Times New Roman"/>
        </w:rPr>
      </w:pPr>
    </w:p>
    <w:p w:rsidR="00F1727C" w:rsidP="00BF42A8" w14:paraId="690CB589"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sidR="00996FCC">
        <w:rPr>
          <w:rFonts w:ascii="Times New Roman" w:hAnsi="Times New Roman" w:cs="Times New Roman"/>
        </w:rPr>
        <w:t xml:space="preserve">By </w:t>
      </w:r>
      <w:r w:rsidR="00606FE5">
        <w:rPr>
          <w:rFonts w:ascii="Times New Roman" w:hAnsi="Times New Roman" w:cs="Times New Roman"/>
        </w:rPr>
        <w:t>reduc</w:t>
      </w:r>
      <w:r w:rsidRPr="00BF42A8" w:rsidR="00996FCC">
        <w:rPr>
          <w:rFonts w:ascii="Times New Roman" w:hAnsi="Times New Roman" w:cs="Times New Roman"/>
        </w:rPr>
        <w:t xml:space="preserve">ing </w:t>
      </w:r>
      <w:r w:rsidR="00E22586">
        <w:rPr>
          <w:rFonts w:ascii="Times New Roman" w:hAnsi="Times New Roman" w:cs="Times New Roman"/>
        </w:rPr>
        <w:t>the</w:t>
      </w:r>
      <w:r w:rsidRPr="00BF42A8" w:rsidR="00996FCC">
        <w:rPr>
          <w:rFonts w:ascii="Times New Roman" w:hAnsi="Times New Roman" w:cs="Times New Roman"/>
        </w:rPr>
        <w:t xml:space="preserve"> risk of accidents,</w:t>
      </w:r>
      <w:r w:rsidR="00662606">
        <w:rPr>
          <w:rFonts w:ascii="Times New Roman" w:hAnsi="Times New Roman" w:cs="Times New Roman"/>
        </w:rPr>
        <w:t xml:space="preserve"> </w:t>
      </w:r>
      <w:r w:rsidRPr="00BF42A8" w:rsidR="00996FCC">
        <w:rPr>
          <w:rFonts w:ascii="Times New Roman" w:hAnsi="Times New Roman" w:cs="Times New Roman"/>
        </w:rPr>
        <w:t>t</w:t>
      </w:r>
      <w:r w:rsidRPr="00BF42A8" w:rsidR="00E93325">
        <w:rPr>
          <w:rFonts w:ascii="Times New Roman" w:hAnsi="Times New Roman" w:cs="Times New Roman"/>
        </w:rPr>
        <w:t xml:space="preserve">he benefits of the </w:t>
      </w:r>
      <w:r w:rsidR="00C80238">
        <w:rPr>
          <w:rFonts w:ascii="Times New Roman" w:hAnsi="Times New Roman" w:cs="Times New Roman"/>
        </w:rPr>
        <w:t>final</w:t>
      </w:r>
      <w:r w:rsidRPr="00BF42A8" w:rsidR="00C80238">
        <w:rPr>
          <w:rFonts w:ascii="Times New Roman" w:hAnsi="Times New Roman" w:cs="Times New Roman"/>
        </w:rPr>
        <w:t xml:space="preserve"> </w:t>
      </w:r>
      <w:r w:rsidRPr="00BF42A8" w:rsidR="00E93325">
        <w:rPr>
          <w:rFonts w:ascii="Times New Roman" w:hAnsi="Times New Roman" w:cs="Times New Roman"/>
        </w:rPr>
        <w:t>rule include reductions in the number</w:t>
      </w:r>
      <w:r w:rsidRPr="00BF42A8" w:rsidR="00833A33">
        <w:rPr>
          <w:rFonts w:ascii="Times New Roman" w:hAnsi="Times New Roman" w:cs="Times New Roman"/>
        </w:rPr>
        <w:t>s</w:t>
      </w:r>
      <w:r w:rsidRPr="00BF42A8" w:rsidR="00E93325">
        <w:rPr>
          <w:rFonts w:ascii="Times New Roman" w:hAnsi="Times New Roman" w:cs="Times New Roman"/>
        </w:rPr>
        <w:t xml:space="preserve"> of </w:t>
      </w:r>
      <w:r w:rsidRPr="00BF42A8" w:rsidR="00833A33">
        <w:rPr>
          <w:rFonts w:ascii="Times New Roman" w:hAnsi="Times New Roman" w:cs="Times New Roman"/>
        </w:rPr>
        <w:t xml:space="preserve">fatalities and </w:t>
      </w:r>
      <w:r w:rsidRPr="00BF42A8" w:rsidR="00E93325">
        <w:rPr>
          <w:rFonts w:ascii="Times New Roman" w:hAnsi="Times New Roman" w:cs="Times New Roman"/>
        </w:rPr>
        <w:t>injur</w:t>
      </w:r>
      <w:r w:rsidRPr="00BF42A8" w:rsidR="00833A33">
        <w:rPr>
          <w:rFonts w:ascii="Times New Roman" w:hAnsi="Times New Roman" w:cs="Times New Roman"/>
        </w:rPr>
        <w:t>ies</w:t>
      </w:r>
      <w:r w:rsidRPr="00BF42A8" w:rsidR="00CF053F">
        <w:rPr>
          <w:rFonts w:ascii="Times New Roman" w:hAnsi="Times New Roman" w:cs="Times New Roman"/>
        </w:rPr>
        <w:t xml:space="preserve"> both onsite and offsite</w:t>
      </w:r>
      <w:r w:rsidR="002B3F52">
        <w:rPr>
          <w:rFonts w:ascii="Times New Roman" w:hAnsi="Times New Roman" w:cs="Times New Roman"/>
        </w:rPr>
        <w:t>. Reductions are also expected in the number of</w:t>
      </w:r>
      <w:r w:rsidRPr="00BF42A8" w:rsidR="00E93325">
        <w:rPr>
          <w:rFonts w:ascii="Times New Roman" w:hAnsi="Times New Roman" w:cs="Times New Roman"/>
        </w:rPr>
        <w:t xml:space="preserve"> </w:t>
      </w:r>
      <w:r w:rsidRPr="00BF42A8" w:rsidR="00833A33">
        <w:rPr>
          <w:rFonts w:ascii="Times New Roman" w:hAnsi="Times New Roman" w:cs="Times New Roman"/>
        </w:rPr>
        <w:t>residents</w:t>
      </w:r>
      <w:r w:rsidRPr="00BF42A8" w:rsidR="00E93325">
        <w:rPr>
          <w:rFonts w:ascii="Times New Roman" w:hAnsi="Times New Roman" w:cs="Times New Roman"/>
        </w:rPr>
        <w:t xml:space="preserve"> evacuated or otherwise inconvenienced by sheltering in place; reductions in the damage caused to property </w:t>
      </w:r>
      <w:r w:rsidRPr="00BF42A8" w:rsidR="00986800">
        <w:rPr>
          <w:rFonts w:ascii="Times New Roman" w:hAnsi="Times New Roman" w:cs="Times New Roman"/>
        </w:rPr>
        <w:t>onsite</w:t>
      </w:r>
      <w:r w:rsidRPr="00BF42A8" w:rsidR="00E93325">
        <w:rPr>
          <w:rFonts w:ascii="Times New Roman" w:hAnsi="Times New Roman" w:cs="Times New Roman"/>
        </w:rPr>
        <w:t xml:space="preserve"> and </w:t>
      </w:r>
      <w:r w:rsidRPr="00BF42A8" w:rsidR="00986800">
        <w:rPr>
          <w:rFonts w:ascii="Times New Roman" w:hAnsi="Times New Roman" w:cs="Times New Roman"/>
        </w:rPr>
        <w:t>offsite</w:t>
      </w:r>
      <w:r w:rsidRPr="00BF42A8" w:rsidR="00E93325">
        <w:rPr>
          <w:rFonts w:ascii="Times New Roman" w:hAnsi="Times New Roman" w:cs="Times New Roman"/>
        </w:rPr>
        <w:t xml:space="preserve"> </w:t>
      </w:r>
      <w:r w:rsidRPr="00BF42A8" w:rsidR="00833A33">
        <w:rPr>
          <w:rFonts w:ascii="Times New Roman" w:hAnsi="Times New Roman" w:cs="Times New Roman"/>
        </w:rPr>
        <w:t>of the facility</w:t>
      </w:r>
      <w:r w:rsidRPr="00BF42A8" w:rsidR="00E93325">
        <w:rPr>
          <w:rFonts w:ascii="Times New Roman" w:hAnsi="Times New Roman" w:cs="Times New Roman"/>
        </w:rPr>
        <w:t xml:space="preserve"> including</w:t>
      </w:r>
      <w:r w:rsidRPr="00BF42A8" w:rsidR="00672135">
        <w:rPr>
          <w:rFonts w:ascii="Times New Roman" w:hAnsi="Times New Roman" w:cs="Times New Roman"/>
        </w:rPr>
        <w:t xml:space="preserve"> </w:t>
      </w:r>
      <w:r w:rsidR="00662606">
        <w:rPr>
          <w:rFonts w:ascii="Times New Roman" w:hAnsi="Times New Roman" w:cs="Times New Roman"/>
        </w:rPr>
        <w:t xml:space="preserve">damages </w:t>
      </w:r>
      <w:r w:rsidRPr="00BF42A8" w:rsidR="00672135">
        <w:rPr>
          <w:rFonts w:ascii="Times New Roman" w:hAnsi="Times New Roman" w:cs="Times New Roman"/>
        </w:rPr>
        <w:t>to</w:t>
      </w:r>
      <w:r w:rsidRPr="00BF42A8" w:rsidR="00E93325">
        <w:rPr>
          <w:rFonts w:ascii="Times New Roman" w:hAnsi="Times New Roman" w:cs="Times New Roman"/>
        </w:rPr>
        <w:t xml:space="preserve"> product, equipment, and buildings; reductions in damages to the environment and ecosystems; and reductions in resources diverted to extinguish fires and clean</w:t>
      </w:r>
      <w:r w:rsidR="00662606">
        <w:rPr>
          <w:rFonts w:ascii="Times New Roman" w:hAnsi="Times New Roman" w:cs="Times New Roman"/>
        </w:rPr>
        <w:t>-</w:t>
      </w:r>
      <w:r w:rsidRPr="00BF42A8" w:rsidR="00E93325">
        <w:rPr>
          <w:rFonts w:ascii="Times New Roman" w:hAnsi="Times New Roman" w:cs="Times New Roman"/>
        </w:rPr>
        <w:t xml:space="preserve">up affected areas. </w:t>
      </w:r>
      <w:r w:rsidR="00F850F5">
        <w:rPr>
          <w:rFonts w:ascii="Times New Roman" w:hAnsi="Times New Roman" w:cs="Times New Roman"/>
        </w:rPr>
        <w:t xml:space="preserve">Other benefits include </w:t>
      </w:r>
      <w:r w:rsidR="00EB0631">
        <w:rPr>
          <w:rFonts w:ascii="Times New Roman" w:hAnsi="Times New Roman" w:cs="Times New Roman"/>
        </w:rPr>
        <w:t xml:space="preserve">potentially avoided major catastrophes, avoided </w:t>
      </w:r>
      <w:r w:rsidR="000A14FB">
        <w:rPr>
          <w:rFonts w:ascii="Times New Roman" w:hAnsi="Times New Roman" w:cs="Times New Roman"/>
        </w:rPr>
        <w:t>property value damages</w:t>
      </w:r>
      <w:r w:rsidR="002D742F">
        <w:rPr>
          <w:rFonts w:ascii="Times New Roman" w:hAnsi="Times New Roman" w:cs="Times New Roman"/>
        </w:rPr>
        <w:t xml:space="preserve"> and business disruption</w:t>
      </w:r>
      <w:r w:rsidR="000A14FB">
        <w:rPr>
          <w:rFonts w:ascii="Times New Roman" w:hAnsi="Times New Roman" w:cs="Times New Roman"/>
        </w:rPr>
        <w:t xml:space="preserve">, </w:t>
      </w:r>
      <w:r w:rsidR="00A626DE">
        <w:rPr>
          <w:rFonts w:ascii="Times New Roman" w:hAnsi="Times New Roman" w:cs="Times New Roman"/>
        </w:rPr>
        <w:t xml:space="preserve">reduced legal and other transaction costs, </w:t>
      </w:r>
      <w:r w:rsidR="00665859">
        <w:rPr>
          <w:rFonts w:ascii="Times New Roman" w:hAnsi="Times New Roman" w:cs="Times New Roman"/>
        </w:rPr>
        <w:t xml:space="preserve">more efficient </w:t>
      </w:r>
      <w:r w:rsidR="00D37F15">
        <w:rPr>
          <w:rFonts w:ascii="Times New Roman" w:hAnsi="Times New Roman" w:cs="Times New Roman"/>
        </w:rPr>
        <w:t xml:space="preserve">and effective emergency preparedness, </w:t>
      </w:r>
      <w:r w:rsidR="008933ED">
        <w:rPr>
          <w:rFonts w:ascii="Times New Roman" w:hAnsi="Times New Roman" w:cs="Times New Roman"/>
        </w:rPr>
        <w:t xml:space="preserve">more efficient allocation of public resources, </w:t>
      </w:r>
      <w:r w:rsidR="00AA1FEF">
        <w:rPr>
          <w:rFonts w:ascii="Times New Roman" w:hAnsi="Times New Roman" w:cs="Times New Roman"/>
        </w:rPr>
        <w:t>and more efficient property and capital markets</w:t>
      </w:r>
      <w:r w:rsidR="00AB3DEE">
        <w:rPr>
          <w:rFonts w:ascii="Times New Roman" w:hAnsi="Times New Roman" w:cs="Times New Roman"/>
        </w:rPr>
        <w:t>.</w:t>
      </w:r>
    </w:p>
    <w:p w:rsidR="00E235AD" w:rsidP="00BF42A8" w14:paraId="279D2B74" w14:textId="77777777">
      <w:pPr>
        <w:spacing w:after="0" w:line="240" w:lineRule="auto"/>
        <w:ind w:firstLine="360"/>
        <w:rPr>
          <w:rFonts w:ascii="Times New Roman" w:hAnsi="Times New Roman" w:cs="Times New Roman"/>
        </w:rPr>
      </w:pPr>
    </w:p>
    <w:p w:rsidR="008A0882" w:rsidP="00BF42A8" w14:paraId="5398D416" w14:textId="77777777">
      <w:pPr>
        <w:spacing w:after="0" w:line="240" w:lineRule="auto"/>
        <w:ind w:firstLine="360"/>
        <w:rPr>
          <w:rFonts w:ascii="Times New Roman" w:hAnsi="Times New Roman" w:cs="Times New Roman"/>
        </w:rPr>
      </w:pPr>
      <w:r>
        <w:rPr>
          <w:rFonts w:ascii="Times New Roman" w:hAnsi="Times New Roman" w:cs="Times New Roman"/>
        </w:rPr>
        <w:tab/>
      </w:r>
      <w:r w:rsidR="00010EE2">
        <w:rPr>
          <w:rFonts w:ascii="Times New Roman" w:hAnsi="Times New Roman" w:cs="Times New Roman"/>
        </w:rPr>
        <w:t>EPA expects that t</w:t>
      </w:r>
      <w:r w:rsidRPr="00BF42A8" w:rsidR="00E93325">
        <w:rPr>
          <w:rFonts w:ascii="Times New Roman" w:hAnsi="Times New Roman" w:cs="Times New Roman"/>
        </w:rPr>
        <w:t xml:space="preserve">he </w:t>
      </w:r>
      <w:r w:rsidR="00C80238">
        <w:rPr>
          <w:rFonts w:ascii="Times New Roman" w:hAnsi="Times New Roman" w:cs="Times New Roman"/>
        </w:rPr>
        <w:t>final</w:t>
      </w:r>
      <w:r w:rsidRPr="00BF42A8" w:rsidR="00C80238">
        <w:rPr>
          <w:rFonts w:ascii="Times New Roman" w:hAnsi="Times New Roman" w:cs="Times New Roman"/>
        </w:rPr>
        <w:t xml:space="preserve"> </w:t>
      </w:r>
      <w:r w:rsidRPr="00BF42A8" w:rsidR="00E93325">
        <w:rPr>
          <w:rFonts w:ascii="Times New Roman" w:hAnsi="Times New Roman" w:cs="Times New Roman"/>
        </w:rPr>
        <w:t xml:space="preserve">rule </w:t>
      </w:r>
      <w:r w:rsidR="009449B7">
        <w:rPr>
          <w:rFonts w:ascii="Times New Roman" w:hAnsi="Times New Roman" w:cs="Times New Roman"/>
        </w:rPr>
        <w:t>will</w:t>
      </w:r>
      <w:r w:rsidRPr="00BF42A8" w:rsidR="00E93325">
        <w:rPr>
          <w:rFonts w:ascii="Times New Roman" w:hAnsi="Times New Roman" w:cs="Times New Roman"/>
        </w:rPr>
        <w:t xml:space="preserve"> </w:t>
      </w:r>
      <w:r w:rsidRPr="00BF42A8" w:rsidR="00672135">
        <w:rPr>
          <w:rFonts w:ascii="Times New Roman" w:hAnsi="Times New Roman" w:cs="Times New Roman"/>
        </w:rPr>
        <w:t>generate</w:t>
      </w:r>
      <w:r w:rsidRPr="00BF42A8" w:rsidR="00E93325">
        <w:rPr>
          <w:rFonts w:ascii="Times New Roman" w:hAnsi="Times New Roman" w:cs="Times New Roman"/>
        </w:rPr>
        <w:t xml:space="preserve"> other benefits, such as </w:t>
      </w:r>
      <w:r w:rsidR="00662606">
        <w:rPr>
          <w:rFonts w:ascii="Times New Roman" w:hAnsi="Times New Roman" w:cs="Times New Roman"/>
        </w:rPr>
        <w:t xml:space="preserve">from </w:t>
      </w:r>
      <w:r w:rsidRPr="00BF42A8" w:rsidR="00E93325">
        <w:rPr>
          <w:rFonts w:ascii="Times New Roman" w:hAnsi="Times New Roman" w:cs="Times New Roman"/>
        </w:rPr>
        <w:t>increased</w:t>
      </w:r>
      <w:r w:rsidRPr="00BF42A8" w:rsidR="00672135">
        <w:rPr>
          <w:rFonts w:ascii="Times New Roman" w:hAnsi="Times New Roman" w:cs="Times New Roman"/>
        </w:rPr>
        <w:t xml:space="preserve"> public information availability. </w:t>
      </w:r>
      <w:r w:rsidR="00460799">
        <w:rPr>
          <w:rFonts w:ascii="Times New Roman" w:hAnsi="Times New Roman" w:cs="Times New Roman"/>
        </w:rPr>
        <w:t xml:space="preserve">Improved information about risks at RMP facilities </w:t>
      </w:r>
      <w:r w:rsidRPr="00BF42A8" w:rsidR="00E93325">
        <w:rPr>
          <w:rFonts w:ascii="Times New Roman" w:hAnsi="Times New Roman" w:cs="Times New Roman"/>
        </w:rPr>
        <w:t>may also lead to more efficient property markets in areas near</w:t>
      </w:r>
      <w:r w:rsidR="00460799">
        <w:rPr>
          <w:rFonts w:ascii="Times New Roman" w:hAnsi="Times New Roman" w:cs="Times New Roman"/>
        </w:rPr>
        <w:t xml:space="preserve"> these</w:t>
      </w:r>
      <w:r w:rsidRPr="00BF42A8" w:rsidR="00E93325">
        <w:rPr>
          <w:rFonts w:ascii="Times New Roman" w:hAnsi="Times New Roman" w:cs="Times New Roman"/>
        </w:rPr>
        <w:t xml:space="preserve"> facilities. More detailed information about nearby risks </w:t>
      </w:r>
      <w:r w:rsidRPr="00BF42A8" w:rsidR="00E93325">
        <w:rPr>
          <w:rFonts w:ascii="Times New Roman" w:hAnsi="Times New Roman" w:cs="Times New Roman"/>
        </w:rPr>
        <w:t xml:space="preserve">allows participants in property markets to refine the values they place on nearby properties and decisions about where to locate. The outcome should be </w:t>
      </w:r>
      <w:r w:rsidR="000B64F2">
        <w:rPr>
          <w:rFonts w:ascii="Times New Roman" w:hAnsi="Times New Roman" w:cs="Times New Roman"/>
        </w:rPr>
        <w:t xml:space="preserve">property </w:t>
      </w:r>
      <w:r w:rsidRPr="00BF42A8" w:rsidR="00E93325">
        <w:rPr>
          <w:rFonts w:ascii="Times New Roman" w:hAnsi="Times New Roman" w:cs="Times New Roman"/>
        </w:rPr>
        <w:t>values that more closely reflect actual risks and decisions that better reflect true preferences.</w:t>
      </w:r>
      <w:r w:rsidR="003F72BB">
        <w:rPr>
          <w:rFonts w:ascii="Times New Roman" w:hAnsi="Times New Roman" w:cs="Times New Roman"/>
        </w:rPr>
        <w:t xml:space="preserve"> Better information about risks at RMP facilities also facilit</w:t>
      </w:r>
      <w:r w:rsidR="000B64F2">
        <w:rPr>
          <w:rFonts w:ascii="Times New Roman" w:hAnsi="Times New Roman" w:cs="Times New Roman"/>
        </w:rPr>
        <w:t>at</w:t>
      </w:r>
      <w:r w:rsidR="003F72BB">
        <w:rPr>
          <w:rFonts w:ascii="Times New Roman" w:hAnsi="Times New Roman" w:cs="Times New Roman"/>
        </w:rPr>
        <w:t xml:space="preserve">es more efficient use of </w:t>
      </w:r>
      <w:r w:rsidR="00553684">
        <w:rPr>
          <w:rFonts w:ascii="Times New Roman" w:hAnsi="Times New Roman" w:cs="Times New Roman"/>
        </w:rPr>
        <w:t>emergency</w:t>
      </w:r>
      <w:r w:rsidR="003F72BB">
        <w:rPr>
          <w:rFonts w:ascii="Times New Roman" w:hAnsi="Times New Roman" w:cs="Times New Roman"/>
        </w:rPr>
        <w:t xml:space="preserve"> responder resources. Finally, </w:t>
      </w:r>
      <w:r w:rsidR="00553684">
        <w:rPr>
          <w:rFonts w:ascii="Times New Roman" w:hAnsi="Times New Roman" w:cs="Times New Roman"/>
        </w:rPr>
        <w:t>for publicly</w:t>
      </w:r>
      <w:r w:rsidR="000B64F2">
        <w:rPr>
          <w:rFonts w:ascii="Times New Roman" w:hAnsi="Times New Roman" w:cs="Times New Roman"/>
        </w:rPr>
        <w:t>-</w:t>
      </w:r>
      <w:r w:rsidR="00553684">
        <w:rPr>
          <w:rFonts w:ascii="Times New Roman" w:hAnsi="Times New Roman" w:cs="Times New Roman"/>
        </w:rPr>
        <w:t>owned facilities</w:t>
      </w:r>
      <w:r w:rsidR="000B64F2">
        <w:rPr>
          <w:rFonts w:ascii="Times New Roman" w:hAnsi="Times New Roman" w:cs="Times New Roman"/>
        </w:rPr>
        <w:t>,</w:t>
      </w:r>
      <w:r w:rsidR="00553684">
        <w:rPr>
          <w:rFonts w:ascii="Times New Roman" w:hAnsi="Times New Roman" w:cs="Times New Roman"/>
        </w:rPr>
        <w:t xml:space="preserve"> more public information about risks may facilitate efficiency in capital markets.</w:t>
      </w:r>
    </w:p>
    <w:p w:rsidR="00E235AD" w:rsidP="00BF42A8" w14:paraId="290D2CC1" w14:textId="77777777">
      <w:pPr>
        <w:spacing w:after="0" w:line="240" w:lineRule="auto"/>
        <w:ind w:firstLine="360"/>
        <w:rPr>
          <w:rFonts w:ascii="Times New Roman" w:hAnsi="Times New Roman" w:cs="Times New Roman"/>
        </w:rPr>
      </w:pPr>
    </w:p>
    <w:p w:rsidR="004126F4" w:rsidP="00BF42A8" w14:paraId="797ABD01" w14:textId="77777777">
      <w:pPr>
        <w:spacing w:after="0" w:line="240" w:lineRule="auto"/>
        <w:ind w:firstLine="360"/>
        <w:rPr>
          <w:rFonts w:ascii="Times New Roman" w:hAnsi="Times New Roman" w:cs="Times New Roman"/>
        </w:rPr>
      </w:pPr>
      <w:bookmarkStart w:id="357" w:name="_bookmark48"/>
      <w:bookmarkEnd w:id="357"/>
      <w:r>
        <w:rPr>
          <w:rFonts w:ascii="Times New Roman" w:hAnsi="Times New Roman" w:cs="Times New Roman"/>
        </w:rPr>
        <w:tab/>
      </w:r>
      <w:r w:rsidRPr="00BF42A8" w:rsidR="00A244AD">
        <w:rPr>
          <w:rFonts w:ascii="Times New Roman" w:hAnsi="Times New Roman" w:cs="Times New Roman"/>
        </w:rPr>
        <w:t xml:space="preserve">The </w:t>
      </w:r>
      <w:r w:rsidR="00DC5ABE">
        <w:rPr>
          <w:rFonts w:ascii="Times New Roman" w:hAnsi="Times New Roman" w:cs="Times New Roman"/>
        </w:rPr>
        <w:t>2017 a</w:t>
      </w:r>
      <w:r w:rsidRPr="00BF42A8" w:rsidR="00A244AD">
        <w:rPr>
          <w:rFonts w:ascii="Times New Roman" w:hAnsi="Times New Roman" w:cs="Times New Roman"/>
        </w:rPr>
        <w:t>mendments rule contained various new provisions applicable to RMP-regulated facilities addressing prevention program elements (</w:t>
      </w:r>
      <w:r w:rsidRPr="00BF42A8" w:rsidR="00A858B4">
        <w:rPr>
          <w:rFonts w:ascii="Times New Roman" w:hAnsi="Times New Roman" w:cs="Times New Roman"/>
        </w:rPr>
        <w:t xml:space="preserve">including </w:t>
      </w:r>
      <w:r w:rsidRPr="00BF42A8" w:rsidR="00A244AD">
        <w:rPr>
          <w:rFonts w:ascii="Times New Roman" w:hAnsi="Times New Roman" w:cs="Times New Roman"/>
        </w:rPr>
        <w:t xml:space="preserve">STAA, root cause analysis, and third-party audits), emergency response coordination with local responders (including emergency response exercises), and information availability to the public. </w:t>
      </w:r>
      <w:r w:rsidRPr="00BF42A8" w:rsidR="00A858B4">
        <w:rPr>
          <w:rFonts w:ascii="Times New Roman" w:hAnsi="Times New Roman" w:cs="Times New Roman"/>
        </w:rPr>
        <w:t xml:space="preserve">The </w:t>
      </w:r>
      <w:r w:rsidRPr="00BF42A8" w:rsidR="00B546D1">
        <w:rPr>
          <w:rFonts w:ascii="Times New Roman" w:hAnsi="Times New Roman" w:cs="Times New Roman"/>
        </w:rPr>
        <w:t>RIA</w:t>
      </w:r>
      <w:r w:rsidRPr="00BF42A8" w:rsidR="00A858B4">
        <w:rPr>
          <w:rFonts w:ascii="Times New Roman" w:hAnsi="Times New Roman" w:cs="Times New Roman"/>
        </w:rPr>
        <w:t xml:space="preserve"> for</w:t>
      </w:r>
      <w:r w:rsidRPr="00BF42A8" w:rsidR="00A244AD">
        <w:rPr>
          <w:rFonts w:ascii="Times New Roman" w:hAnsi="Times New Roman" w:cs="Times New Roman"/>
        </w:rPr>
        <w:t xml:space="preserve"> that rule </w:t>
      </w:r>
      <w:r w:rsidRPr="00BF42A8" w:rsidR="00A858B4">
        <w:rPr>
          <w:rFonts w:ascii="Times New Roman" w:hAnsi="Times New Roman" w:cs="Times New Roman"/>
        </w:rPr>
        <w:t xml:space="preserve">qualitatively and quantitatively discussed </w:t>
      </w:r>
      <w:r w:rsidRPr="00BF42A8" w:rsidR="00A244AD">
        <w:rPr>
          <w:rFonts w:ascii="Times New Roman" w:hAnsi="Times New Roman" w:cs="Times New Roman"/>
        </w:rPr>
        <w:t xml:space="preserve">benefits related to accident prevention, mitigation, and </w:t>
      </w:r>
      <w:r w:rsidRPr="00BF42A8" w:rsidR="00AC36EE">
        <w:rPr>
          <w:rFonts w:ascii="Times New Roman" w:hAnsi="Times New Roman" w:cs="Times New Roman"/>
        </w:rPr>
        <w:t xml:space="preserve">information disclosure. </w:t>
      </w:r>
      <w:r w:rsidRPr="00BF42A8" w:rsidR="00A244AD">
        <w:rPr>
          <w:rFonts w:ascii="Times New Roman" w:hAnsi="Times New Roman" w:cs="Times New Roman"/>
        </w:rPr>
        <w:t xml:space="preserve">In December 2019, the </w:t>
      </w:r>
      <w:r w:rsidR="003E44E0">
        <w:rPr>
          <w:rFonts w:ascii="Times New Roman" w:hAnsi="Times New Roman" w:cs="Times New Roman"/>
        </w:rPr>
        <w:t>2019 r</w:t>
      </w:r>
      <w:r w:rsidRPr="00BF42A8" w:rsidR="00A244AD">
        <w:rPr>
          <w:rFonts w:ascii="Times New Roman" w:hAnsi="Times New Roman" w:cs="Times New Roman"/>
        </w:rPr>
        <w:t>econsideration rul</w:t>
      </w:r>
      <w:r w:rsidRPr="00BF42A8" w:rsidR="00AC36EE">
        <w:rPr>
          <w:rFonts w:ascii="Times New Roman" w:hAnsi="Times New Roman" w:cs="Times New Roman"/>
        </w:rPr>
        <w:t>e</w:t>
      </w:r>
      <w:r w:rsidRPr="00BF42A8" w:rsidR="00A244AD">
        <w:rPr>
          <w:rFonts w:ascii="Times New Roman" w:hAnsi="Times New Roman" w:cs="Times New Roman"/>
        </w:rPr>
        <w:t xml:space="preserve"> rescinded certain </w:t>
      </w:r>
      <w:r w:rsidR="00C51552">
        <w:rPr>
          <w:rFonts w:ascii="Times New Roman" w:hAnsi="Times New Roman" w:cs="Times New Roman"/>
        </w:rPr>
        <w:t>i</w:t>
      </w:r>
      <w:r w:rsidRPr="00BF42A8" w:rsidR="00A91A23">
        <w:rPr>
          <w:rFonts w:ascii="Times New Roman" w:hAnsi="Times New Roman" w:cs="Times New Roman"/>
        </w:rPr>
        <w:t xml:space="preserve">nformation </w:t>
      </w:r>
      <w:r w:rsidR="00C51552">
        <w:rPr>
          <w:rFonts w:ascii="Times New Roman" w:hAnsi="Times New Roman" w:cs="Times New Roman"/>
        </w:rPr>
        <w:t>disclosure</w:t>
      </w:r>
      <w:r w:rsidRPr="00BF42A8" w:rsidR="00A244AD">
        <w:rPr>
          <w:rFonts w:ascii="Times New Roman" w:hAnsi="Times New Roman" w:cs="Times New Roman"/>
        </w:rPr>
        <w:t xml:space="preserve"> provisions of the </w:t>
      </w:r>
      <w:r w:rsidR="00DC5ABE">
        <w:rPr>
          <w:rFonts w:ascii="Times New Roman" w:hAnsi="Times New Roman" w:cs="Times New Roman"/>
        </w:rPr>
        <w:t>2017 a</w:t>
      </w:r>
      <w:r w:rsidRPr="00BF42A8" w:rsidR="00AC36EE">
        <w:rPr>
          <w:rFonts w:ascii="Times New Roman" w:hAnsi="Times New Roman" w:cs="Times New Roman"/>
        </w:rPr>
        <w:t>mendments</w:t>
      </w:r>
      <w:r w:rsidRPr="00BF42A8" w:rsidR="00A244AD">
        <w:rPr>
          <w:rFonts w:ascii="Times New Roman" w:hAnsi="Times New Roman" w:cs="Times New Roman"/>
        </w:rPr>
        <w:t xml:space="preserve"> rule, removed most new accident prevention requirements added by the </w:t>
      </w:r>
      <w:r w:rsidR="00DC5ABE">
        <w:rPr>
          <w:rFonts w:ascii="Times New Roman" w:hAnsi="Times New Roman" w:cs="Times New Roman"/>
        </w:rPr>
        <w:t>2017 a</w:t>
      </w:r>
      <w:r w:rsidRPr="00BF42A8" w:rsidR="00AC36EE">
        <w:rPr>
          <w:rFonts w:ascii="Times New Roman" w:hAnsi="Times New Roman" w:cs="Times New Roman"/>
        </w:rPr>
        <w:t xml:space="preserve">mendments </w:t>
      </w:r>
      <w:r w:rsidRPr="00BF42A8" w:rsidR="00A244AD">
        <w:rPr>
          <w:rFonts w:ascii="Times New Roman" w:hAnsi="Times New Roman" w:cs="Times New Roman"/>
        </w:rPr>
        <w:t>rule, and modifi</w:t>
      </w:r>
      <w:r w:rsidRPr="00BF42A8" w:rsidR="00A858B4">
        <w:rPr>
          <w:rFonts w:ascii="Times New Roman" w:hAnsi="Times New Roman" w:cs="Times New Roman"/>
        </w:rPr>
        <w:t>ed</w:t>
      </w:r>
      <w:r w:rsidRPr="00BF42A8" w:rsidR="00A244AD">
        <w:rPr>
          <w:rFonts w:ascii="Times New Roman" w:hAnsi="Times New Roman" w:cs="Times New Roman"/>
        </w:rPr>
        <w:t xml:space="preserve"> other provisions</w:t>
      </w:r>
      <w:r w:rsidRPr="00BF42A8" w:rsidR="00AC36EE">
        <w:rPr>
          <w:rFonts w:ascii="Times New Roman" w:hAnsi="Times New Roman" w:cs="Times New Roman"/>
        </w:rPr>
        <w:t xml:space="preserve">. </w:t>
      </w:r>
      <w:r w:rsidRPr="00BF42A8" w:rsidR="00345362">
        <w:rPr>
          <w:rFonts w:ascii="Times New Roman" w:hAnsi="Times New Roman" w:cs="Times New Roman"/>
        </w:rPr>
        <w:t xml:space="preserve">The benefits that </w:t>
      </w:r>
      <w:r w:rsidR="009449B7">
        <w:rPr>
          <w:rFonts w:ascii="Times New Roman" w:hAnsi="Times New Roman" w:cs="Times New Roman"/>
        </w:rPr>
        <w:t>w</w:t>
      </w:r>
      <w:r w:rsidR="002E7D36">
        <w:rPr>
          <w:rFonts w:ascii="Times New Roman" w:hAnsi="Times New Roman" w:cs="Times New Roman"/>
        </w:rPr>
        <w:t>ould</w:t>
      </w:r>
      <w:r w:rsidRPr="00BF42A8" w:rsidR="00345362">
        <w:rPr>
          <w:rFonts w:ascii="Times New Roman" w:hAnsi="Times New Roman" w:cs="Times New Roman"/>
        </w:rPr>
        <w:t xml:space="preserve"> have been generated by the modified </w:t>
      </w:r>
      <w:r w:rsidRPr="00BF42A8" w:rsidR="006B4150">
        <w:rPr>
          <w:rFonts w:ascii="Times New Roman" w:hAnsi="Times New Roman" w:cs="Times New Roman"/>
        </w:rPr>
        <w:t xml:space="preserve">and </w:t>
      </w:r>
      <w:r w:rsidRPr="00BF42A8" w:rsidR="00345362">
        <w:rPr>
          <w:rFonts w:ascii="Times New Roman" w:hAnsi="Times New Roman" w:cs="Times New Roman"/>
        </w:rPr>
        <w:t xml:space="preserve">rolled back </w:t>
      </w:r>
      <w:r w:rsidRPr="00BF42A8" w:rsidR="006B4150">
        <w:rPr>
          <w:rFonts w:ascii="Times New Roman" w:hAnsi="Times New Roman" w:cs="Times New Roman"/>
        </w:rPr>
        <w:t xml:space="preserve">provisions were also eliminated. </w:t>
      </w:r>
      <w:r w:rsidRPr="00BF42A8" w:rsidR="000503A8">
        <w:rPr>
          <w:rFonts w:ascii="Times New Roman" w:hAnsi="Times New Roman" w:cs="Times New Roman"/>
        </w:rPr>
        <w:t xml:space="preserve">Under this </w:t>
      </w:r>
      <w:r w:rsidR="00C43E35">
        <w:rPr>
          <w:rFonts w:ascii="Times New Roman" w:hAnsi="Times New Roman" w:cs="Times New Roman"/>
        </w:rPr>
        <w:t>final</w:t>
      </w:r>
      <w:r w:rsidRPr="00BF42A8" w:rsidR="00C43E35">
        <w:rPr>
          <w:rFonts w:ascii="Times New Roman" w:hAnsi="Times New Roman" w:cs="Times New Roman"/>
        </w:rPr>
        <w:t xml:space="preserve"> </w:t>
      </w:r>
      <w:r w:rsidRPr="00BF42A8" w:rsidR="000503A8">
        <w:rPr>
          <w:rFonts w:ascii="Times New Roman" w:hAnsi="Times New Roman" w:cs="Times New Roman"/>
        </w:rPr>
        <w:t xml:space="preserve">rule, those benefits </w:t>
      </w:r>
      <w:r w:rsidR="009449B7">
        <w:rPr>
          <w:rFonts w:ascii="Times New Roman" w:hAnsi="Times New Roman" w:cs="Times New Roman"/>
        </w:rPr>
        <w:t>will</w:t>
      </w:r>
      <w:r w:rsidRPr="00BF42A8" w:rsidR="000503A8">
        <w:rPr>
          <w:rFonts w:ascii="Times New Roman" w:hAnsi="Times New Roman" w:cs="Times New Roman"/>
        </w:rPr>
        <w:t xml:space="preserve"> be restored to the extent </w:t>
      </w:r>
      <w:r w:rsidR="00503910">
        <w:rPr>
          <w:rFonts w:ascii="Times New Roman" w:hAnsi="Times New Roman" w:cs="Times New Roman"/>
        </w:rPr>
        <w:t>the</w:t>
      </w:r>
      <w:r w:rsidRPr="00BF42A8" w:rsidR="000503A8">
        <w:rPr>
          <w:rFonts w:ascii="Times New Roman" w:hAnsi="Times New Roman" w:cs="Times New Roman"/>
        </w:rPr>
        <w:t xml:space="preserve"> provisions are the same. For example, the STAA provision </w:t>
      </w:r>
      <w:r w:rsidRPr="00BF42A8" w:rsidR="00F76851">
        <w:rPr>
          <w:rFonts w:ascii="Times New Roman" w:hAnsi="Times New Roman" w:cs="Times New Roman"/>
        </w:rPr>
        <w:t xml:space="preserve">is being restored, although </w:t>
      </w:r>
      <w:r w:rsidR="00C51552">
        <w:rPr>
          <w:rFonts w:ascii="Times New Roman" w:hAnsi="Times New Roman" w:cs="Times New Roman"/>
        </w:rPr>
        <w:t xml:space="preserve">it </w:t>
      </w:r>
      <w:r w:rsidR="009449B7">
        <w:rPr>
          <w:rFonts w:ascii="Times New Roman" w:hAnsi="Times New Roman" w:cs="Times New Roman"/>
        </w:rPr>
        <w:t>will</w:t>
      </w:r>
      <w:r w:rsidR="00C51552">
        <w:rPr>
          <w:rFonts w:ascii="Times New Roman" w:hAnsi="Times New Roman" w:cs="Times New Roman"/>
        </w:rPr>
        <w:t xml:space="preserve"> apply </w:t>
      </w:r>
      <w:r w:rsidRPr="00BF42A8" w:rsidR="00F76851">
        <w:rPr>
          <w:rFonts w:ascii="Times New Roman" w:hAnsi="Times New Roman" w:cs="Times New Roman"/>
        </w:rPr>
        <w:t>to a smaller set</w:t>
      </w:r>
      <w:r w:rsidRPr="00BF42A8" w:rsidR="00A244AD">
        <w:rPr>
          <w:rFonts w:ascii="Times New Roman" w:hAnsi="Times New Roman" w:cs="Times New Roman"/>
        </w:rPr>
        <w:t xml:space="preserve"> of </w:t>
      </w:r>
      <w:r w:rsidRPr="00BF42A8" w:rsidR="001462E1">
        <w:rPr>
          <w:rFonts w:ascii="Times New Roman" w:hAnsi="Times New Roman" w:cs="Times New Roman"/>
        </w:rPr>
        <w:t xml:space="preserve">facilities compared to </w:t>
      </w:r>
      <w:r w:rsidRPr="00BF42A8" w:rsidR="00A244AD">
        <w:rPr>
          <w:rFonts w:ascii="Times New Roman" w:hAnsi="Times New Roman" w:cs="Times New Roman"/>
        </w:rPr>
        <w:t xml:space="preserve">the </w:t>
      </w:r>
      <w:r w:rsidR="00DC5ABE">
        <w:rPr>
          <w:rFonts w:ascii="Times New Roman" w:hAnsi="Times New Roman" w:cs="Times New Roman"/>
        </w:rPr>
        <w:t>2</w:t>
      </w:r>
      <w:r w:rsidR="00BC07B6">
        <w:rPr>
          <w:rFonts w:ascii="Times New Roman" w:hAnsi="Times New Roman" w:cs="Times New Roman"/>
        </w:rPr>
        <w:t>017 a</w:t>
      </w:r>
      <w:r w:rsidRPr="00BF42A8" w:rsidR="00AC36EE">
        <w:rPr>
          <w:rFonts w:ascii="Times New Roman" w:hAnsi="Times New Roman" w:cs="Times New Roman"/>
        </w:rPr>
        <w:t xml:space="preserve">mendments rule. </w:t>
      </w:r>
      <w:r w:rsidR="00553684">
        <w:rPr>
          <w:rFonts w:ascii="Times New Roman" w:hAnsi="Times New Roman" w:cs="Times New Roman"/>
        </w:rPr>
        <w:t xml:space="preserve">For the current analysis, </w:t>
      </w:r>
      <w:r w:rsidRPr="00BF42A8" w:rsidR="002202C3">
        <w:rPr>
          <w:rFonts w:ascii="Times New Roman" w:hAnsi="Times New Roman" w:cs="Times New Roman"/>
        </w:rPr>
        <w:t xml:space="preserve">EPA presents and updates much of the benefits analysis developed </w:t>
      </w:r>
      <w:r w:rsidRPr="00BF42A8" w:rsidR="00EB1D9F">
        <w:rPr>
          <w:rFonts w:ascii="Times New Roman" w:hAnsi="Times New Roman" w:cs="Times New Roman"/>
        </w:rPr>
        <w:t>for</w:t>
      </w:r>
      <w:r w:rsidRPr="00BF42A8" w:rsidR="002202C3">
        <w:rPr>
          <w:rFonts w:ascii="Times New Roman" w:hAnsi="Times New Roman" w:cs="Times New Roman"/>
        </w:rPr>
        <w:t xml:space="preserve"> the </w:t>
      </w:r>
      <w:r w:rsidR="00BC07B6">
        <w:rPr>
          <w:rFonts w:ascii="Times New Roman" w:hAnsi="Times New Roman" w:cs="Times New Roman"/>
        </w:rPr>
        <w:t>2017 a</w:t>
      </w:r>
      <w:r w:rsidRPr="00BF42A8" w:rsidR="002202C3">
        <w:rPr>
          <w:rFonts w:ascii="Times New Roman" w:hAnsi="Times New Roman" w:cs="Times New Roman"/>
        </w:rPr>
        <w:t>mendments rule</w:t>
      </w:r>
      <w:r w:rsidRPr="00BF42A8" w:rsidR="00AD2B28">
        <w:rPr>
          <w:rFonts w:ascii="Times New Roman" w:hAnsi="Times New Roman" w:cs="Times New Roman"/>
        </w:rPr>
        <w:t>.</w:t>
      </w:r>
    </w:p>
    <w:p w:rsidR="00BF42A8" w:rsidRPr="00BF42A8" w:rsidP="00BF42A8" w14:paraId="74B1C7D8" w14:textId="77777777">
      <w:pPr>
        <w:spacing w:after="0" w:line="240" w:lineRule="auto"/>
        <w:ind w:firstLine="360"/>
        <w:rPr>
          <w:rFonts w:ascii="Times New Roman" w:hAnsi="Times New Roman" w:cs="Times New Roman"/>
        </w:rPr>
      </w:pPr>
    </w:p>
    <w:p w:rsidR="00E93325" w:rsidRPr="00BF42A8" w:rsidP="00C07306" w14:paraId="634CACAB" w14:textId="77777777">
      <w:pPr>
        <w:pStyle w:val="Heading2"/>
      </w:pPr>
      <w:bookmarkStart w:id="358" w:name="_Toc98856228"/>
      <w:bookmarkStart w:id="359" w:name="_Toc144303574"/>
      <w:r w:rsidRPr="00BF42A8">
        <w:t>6.1 Benefit Categories</w:t>
      </w:r>
      <w:bookmarkEnd w:id="358"/>
      <w:bookmarkEnd w:id="359"/>
    </w:p>
    <w:p w:rsidR="00E93325" w:rsidP="00BF42A8" w14:paraId="0F88F810"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Exhibit 6-1 illustrates the social benefits associated with each </w:t>
      </w:r>
      <w:r w:rsidR="00C43E35">
        <w:rPr>
          <w:rFonts w:ascii="Times New Roman" w:hAnsi="Times New Roman" w:cs="Times New Roman"/>
        </w:rPr>
        <w:t>final</w:t>
      </w:r>
      <w:r w:rsidRPr="00BF42A8" w:rsidR="00C43E35">
        <w:rPr>
          <w:rFonts w:ascii="Times New Roman" w:hAnsi="Times New Roman" w:cs="Times New Roman"/>
        </w:rPr>
        <w:t xml:space="preserve"> </w:t>
      </w:r>
      <w:r w:rsidRPr="00BF42A8">
        <w:rPr>
          <w:rFonts w:ascii="Times New Roman" w:hAnsi="Times New Roman" w:cs="Times New Roman"/>
        </w:rPr>
        <w:t xml:space="preserve">rule provision. </w:t>
      </w:r>
      <w:r w:rsidRPr="00BF42A8" w:rsidR="00EB1D9F">
        <w:rPr>
          <w:rFonts w:ascii="Times New Roman" w:hAnsi="Times New Roman" w:cs="Times New Roman"/>
        </w:rPr>
        <w:t xml:space="preserve">EPA identified </w:t>
      </w:r>
      <w:r w:rsidRPr="00BF42A8">
        <w:rPr>
          <w:rFonts w:ascii="Times New Roman" w:hAnsi="Times New Roman" w:cs="Times New Roman"/>
        </w:rPr>
        <w:t>four primary social benefit categories:</w:t>
      </w:r>
    </w:p>
    <w:p w:rsidR="0072688F" w:rsidRPr="00BF42A8" w:rsidP="00BF42A8" w14:paraId="14A12C6C" w14:textId="77777777">
      <w:pPr>
        <w:spacing w:after="0" w:line="240" w:lineRule="auto"/>
        <w:ind w:firstLine="360"/>
        <w:rPr>
          <w:rFonts w:ascii="Times New Roman" w:hAnsi="Times New Roman" w:cs="Times New Roman"/>
        </w:rPr>
      </w:pPr>
    </w:p>
    <w:p w:rsidR="00E93325" w:rsidP="00082826" w14:paraId="0631DDF7" w14:textId="77777777">
      <w:pPr>
        <w:pStyle w:val="BodyText"/>
        <w:numPr>
          <w:ilvl w:val="0"/>
          <w:numId w:val="11"/>
        </w:numPr>
        <w:rPr>
          <w:rFonts w:ascii="Times New Roman" w:hAnsi="Times New Roman" w:cs="Times New Roman"/>
        </w:rPr>
      </w:pPr>
      <w:r w:rsidRPr="00BF42A8">
        <w:rPr>
          <w:rFonts w:ascii="Times New Roman" w:hAnsi="Times New Roman" w:cs="Times New Roman"/>
          <w:i/>
        </w:rPr>
        <w:t>Prevention of Future RMP Accidents</w:t>
      </w:r>
      <w:r w:rsidRPr="00BF42A8">
        <w:rPr>
          <w:rFonts w:ascii="Times New Roman" w:hAnsi="Times New Roman" w:cs="Times New Roman"/>
        </w:rPr>
        <w:t xml:space="preserve">: Several </w:t>
      </w:r>
      <w:r w:rsidR="00C43E35">
        <w:rPr>
          <w:rFonts w:ascii="Times New Roman" w:hAnsi="Times New Roman" w:cs="Times New Roman"/>
        </w:rPr>
        <w:t>final</w:t>
      </w:r>
      <w:r w:rsidRPr="00BF42A8" w:rsidR="00C43E35">
        <w:rPr>
          <w:rFonts w:ascii="Times New Roman" w:hAnsi="Times New Roman" w:cs="Times New Roman"/>
        </w:rPr>
        <w:t xml:space="preserve"> </w:t>
      </w:r>
      <w:r w:rsidRPr="00BF42A8">
        <w:rPr>
          <w:rFonts w:ascii="Times New Roman" w:hAnsi="Times New Roman" w:cs="Times New Roman"/>
        </w:rPr>
        <w:t xml:space="preserve">rule provisions </w:t>
      </w:r>
      <w:r w:rsidR="009449B7">
        <w:rPr>
          <w:rFonts w:ascii="Times New Roman" w:hAnsi="Times New Roman" w:cs="Times New Roman"/>
        </w:rPr>
        <w:t>will</w:t>
      </w:r>
      <w:r w:rsidRPr="00BF42A8" w:rsidR="00EB1D9F">
        <w:rPr>
          <w:rFonts w:ascii="Times New Roman" w:hAnsi="Times New Roman" w:cs="Times New Roman"/>
        </w:rPr>
        <w:t xml:space="preserve"> </w:t>
      </w:r>
      <w:r w:rsidRPr="00BF42A8">
        <w:rPr>
          <w:rFonts w:ascii="Times New Roman" w:hAnsi="Times New Roman" w:cs="Times New Roman"/>
        </w:rPr>
        <w:t xml:space="preserve">help prevent accidents by triggering improvements in </w:t>
      </w:r>
      <w:r w:rsidR="00F605BE">
        <w:rPr>
          <w:rFonts w:ascii="Times New Roman" w:hAnsi="Times New Roman" w:cs="Times New Roman"/>
        </w:rPr>
        <w:t>RMP process</w:t>
      </w:r>
      <w:r w:rsidR="00646E9A">
        <w:rPr>
          <w:rFonts w:ascii="Times New Roman" w:hAnsi="Times New Roman" w:cs="Times New Roman"/>
        </w:rPr>
        <w:t xml:space="preserve"> design</w:t>
      </w:r>
      <w:r w:rsidRPr="00BF42A8">
        <w:rPr>
          <w:rFonts w:ascii="Times New Roman" w:hAnsi="Times New Roman" w:cs="Times New Roman"/>
        </w:rPr>
        <w:t>, equipment, procedures, or operator training. Preventing serious accidents avoids numerous direct costs, including worker, responder, and public fatalities and injuries, public evacuations, public</w:t>
      </w:r>
      <w:r w:rsidRPr="00BF42A8" w:rsidR="00835781">
        <w:rPr>
          <w:rFonts w:ascii="Times New Roman" w:hAnsi="Times New Roman" w:cs="Times New Roman"/>
        </w:rPr>
        <w:t xml:space="preserve"> sheltering in place</w:t>
      </w:r>
      <w:r w:rsidRPr="00BF42A8">
        <w:rPr>
          <w:rFonts w:ascii="Times New Roman" w:hAnsi="Times New Roman" w:cs="Times New Roman"/>
        </w:rPr>
        <w:t>, and property and environmental damage. It also avoids</w:t>
      </w:r>
      <w:r w:rsidR="00A16C48">
        <w:rPr>
          <w:rFonts w:ascii="Times New Roman" w:hAnsi="Times New Roman" w:cs="Times New Roman"/>
        </w:rPr>
        <w:t xml:space="preserve"> </w:t>
      </w:r>
      <w:r w:rsidR="00B442F6">
        <w:rPr>
          <w:rFonts w:ascii="Times New Roman" w:hAnsi="Times New Roman" w:cs="Times New Roman"/>
        </w:rPr>
        <w:t>negative</w:t>
      </w:r>
      <w:r w:rsidR="00A16C48">
        <w:rPr>
          <w:rFonts w:ascii="Times New Roman" w:hAnsi="Times New Roman" w:cs="Times New Roman"/>
        </w:rPr>
        <w:t xml:space="preserve"> impacts that are difficult to quantify</w:t>
      </w:r>
      <w:r w:rsidR="00A54843">
        <w:rPr>
          <w:rFonts w:ascii="Times New Roman" w:hAnsi="Times New Roman" w:cs="Times New Roman"/>
        </w:rPr>
        <w:t>,</w:t>
      </w:r>
      <w:r w:rsidR="00A16C48">
        <w:rPr>
          <w:rFonts w:ascii="Times New Roman" w:hAnsi="Times New Roman" w:cs="Times New Roman"/>
        </w:rPr>
        <w:t xml:space="preserve"> </w:t>
      </w:r>
      <w:r w:rsidRPr="00BF42A8">
        <w:rPr>
          <w:rFonts w:ascii="Times New Roman" w:hAnsi="Times New Roman" w:cs="Times New Roman"/>
        </w:rPr>
        <w:t xml:space="preserve">such as lost productivity due to </w:t>
      </w:r>
      <w:r w:rsidRPr="00BF42A8" w:rsidR="006B4150">
        <w:rPr>
          <w:rFonts w:ascii="Times New Roman" w:hAnsi="Times New Roman" w:cs="Times New Roman"/>
        </w:rPr>
        <w:t>lost or damaged</w:t>
      </w:r>
      <w:r w:rsidRPr="00BF42A8">
        <w:rPr>
          <w:rFonts w:ascii="Times New Roman" w:hAnsi="Times New Roman" w:cs="Times New Roman"/>
        </w:rPr>
        <w:t xml:space="preserve"> </w:t>
      </w:r>
      <w:r w:rsidRPr="00BF42A8" w:rsidR="00D66204">
        <w:rPr>
          <w:rFonts w:ascii="Times New Roman" w:hAnsi="Times New Roman" w:cs="Times New Roman"/>
        </w:rPr>
        <w:t xml:space="preserve">property </w:t>
      </w:r>
      <w:r w:rsidRPr="00BF42A8">
        <w:rPr>
          <w:rFonts w:ascii="Times New Roman" w:hAnsi="Times New Roman" w:cs="Times New Roman"/>
        </w:rPr>
        <w:t xml:space="preserve">and business interruption both </w:t>
      </w:r>
      <w:r w:rsidRPr="00BF42A8" w:rsidR="00986800">
        <w:rPr>
          <w:rFonts w:ascii="Times New Roman" w:hAnsi="Times New Roman" w:cs="Times New Roman"/>
        </w:rPr>
        <w:t>onsite</w:t>
      </w:r>
      <w:r w:rsidRPr="00BF42A8">
        <w:rPr>
          <w:rFonts w:ascii="Times New Roman" w:hAnsi="Times New Roman" w:cs="Times New Roman"/>
        </w:rPr>
        <w:t xml:space="preserve"> and </w:t>
      </w:r>
      <w:r w:rsidRPr="00BF42A8" w:rsidR="00986800">
        <w:rPr>
          <w:rFonts w:ascii="Times New Roman" w:hAnsi="Times New Roman" w:cs="Times New Roman"/>
        </w:rPr>
        <w:t>offsite</w:t>
      </w:r>
      <w:r w:rsidRPr="00BF42A8">
        <w:rPr>
          <w:rFonts w:ascii="Times New Roman" w:hAnsi="Times New Roman" w:cs="Times New Roman"/>
        </w:rPr>
        <w:t xml:space="preserve">, expenditure of emergency response resources and attendant transaction costs, and reduced </w:t>
      </w:r>
      <w:r w:rsidRPr="00BF42A8" w:rsidR="00986800">
        <w:rPr>
          <w:rFonts w:ascii="Times New Roman" w:hAnsi="Times New Roman" w:cs="Times New Roman"/>
        </w:rPr>
        <w:t>offsite</w:t>
      </w:r>
      <w:r w:rsidRPr="00BF42A8">
        <w:rPr>
          <w:rFonts w:ascii="Times New Roman" w:hAnsi="Times New Roman" w:cs="Times New Roman"/>
        </w:rPr>
        <w:t xml:space="preserve"> property</w:t>
      </w:r>
      <w:r w:rsidRPr="00BF42A8">
        <w:rPr>
          <w:rFonts w:ascii="Times New Roman" w:hAnsi="Times New Roman" w:cs="Times New Roman"/>
          <w:spacing w:val="-9"/>
        </w:rPr>
        <w:t xml:space="preserve"> </w:t>
      </w:r>
      <w:r w:rsidRPr="00BF42A8">
        <w:rPr>
          <w:rFonts w:ascii="Times New Roman" w:hAnsi="Times New Roman" w:cs="Times New Roman"/>
        </w:rPr>
        <w:t>values.</w:t>
      </w:r>
    </w:p>
    <w:p w:rsidR="00E235AD" w:rsidRPr="00BF42A8" w:rsidP="00E235AD" w14:paraId="421CFF15" w14:textId="77777777">
      <w:pPr>
        <w:pStyle w:val="BodyText"/>
        <w:ind w:left="720"/>
        <w:rPr>
          <w:rFonts w:ascii="Times New Roman" w:hAnsi="Times New Roman" w:cs="Times New Roman"/>
        </w:rPr>
      </w:pPr>
    </w:p>
    <w:p w:rsidR="00E93325" w:rsidP="00082826" w14:paraId="6D72A4DD" w14:textId="77777777">
      <w:pPr>
        <w:pStyle w:val="BodyText"/>
        <w:numPr>
          <w:ilvl w:val="0"/>
          <w:numId w:val="11"/>
        </w:numPr>
        <w:rPr>
          <w:rFonts w:ascii="Times New Roman" w:hAnsi="Times New Roman" w:cs="Times New Roman"/>
        </w:rPr>
      </w:pPr>
      <w:r w:rsidRPr="00BF42A8">
        <w:rPr>
          <w:rFonts w:ascii="Times New Roman" w:hAnsi="Times New Roman" w:cs="Times New Roman"/>
          <w:i/>
        </w:rPr>
        <w:t>Mitigation of Future RMP Accidents</w:t>
      </w:r>
      <w:r w:rsidRPr="00BF42A8">
        <w:rPr>
          <w:rFonts w:ascii="Times New Roman" w:hAnsi="Times New Roman" w:cs="Times New Roman"/>
        </w:rPr>
        <w:t xml:space="preserve">: Several </w:t>
      </w:r>
      <w:r w:rsidR="00C43E35">
        <w:rPr>
          <w:rFonts w:ascii="Times New Roman" w:hAnsi="Times New Roman" w:cs="Times New Roman"/>
        </w:rPr>
        <w:t>final</w:t>
      </w:r>
      <w:r w:rsidRPr="00BF42A8" w:rsidR="00C43E35">
        <w:rPr>
          <w:rFonts w:ascii="Times New Roman" w:hAnsi="Times New Roman" w:cs="Times New Roman"/>
        </w:rPr>
        <w:t xml:space="preserve"> </w:t>
      </w:r>
      <w:r w:rsidRPr="00BF42A8">
        <w:rPr>
          <w:rFonts w:ascii="Times New Roman" w:hAnsi="Times New Roman" w:cs="Times New Roman"/>
        </w:rPr>
        <w:t xml:space="preserve">rule provisions </w:t>
      </w:r>
      <w:r w:rsidR="009449B7">
        <w:rPr>
          <w:rFonts w:ascii="Times New Roman" w:hAnsi="Times New Roman" w:cs="Times New Roman"/>
        </w:rPr>
        <w:t>will</w:t>
      </w:r>
      <w:r w:rsidR="005B39D0">
        <w:rPr>
          <w:rFonts w:ascii="Times New Roman" w:hAnsi="Times New Roman" w:cs="Times New Roman"/>
        </w:rPr>
        <w:t xml:space="preserve"> </w:t>
      </w:r>
      <w:r w:rsidRPr="00BF42A8">
        <w:rPr>
          <w:rFonts w:ascii="Times New Roman" w:hAnsi="Times New Roman" w:cs="Times New Roman"/>
        </w:rPr>
        <w:t xml:space="preserve">reduce the impacts </w:t>
      </w:r>
      <w:r w:rsidRPr="00BF42A8" w:rsidR="00D66204">
        <w:rPr>
          <w:rFonts w:ascii="Times New Roman" w:hAnsi="Times New Roman" w:cs="Times New Roman"/>
        </w:rPr>
        <w:t xml:space="preserve">or severity </w:t>
      </w:r>
      <w:r w:rsidRPr="00BF42A8">
        <w:rPr>
          <w:rFonts w:ascii="Times New Roman" w:hAnsi="Times New Roman" w:cs="Times New Roman"/>
        </w:rPr>
        <w:t xml:space="preserve">of accidents by promoting a more rapid and efficient response to these </w:t>
      </w:r>
      <w:r w:rsidR="001C684F">
        <w:rPr>
          <w:rFonts w:ascii="Times New Roman" w:hAnsi="Times New Roman" w:cs="Times New Roman"/>
        </w:rPr>
        <w:t>accidents</w:t>
      </w:r>
      <w:r w:rsidRPr="00BF42A8">
        <w:rPr>
          <w:rFonts w:ascii="Times New Roman" w:hAnsi="Times New Roman" w:cs="Times New Roman"/>
        </w:rPr>
        <w:t>. If a serious chemical accident or major catastrophe occurs, mitigating its impacts benefits society by reducing the number of fatalities and injuries, reducing the magnitude of property damage</w:t>
      </w:r>
      <w:r w:rsidRPr="00BF42A8">
        <w:rPr>
          <w:rFonts w:ascii="Times New Roman" w:hAnsi="Times New Roman" w:cs="Times New Roman"/>
          <w:spacing w:val="-21"/>
        </w:rPr>
        <w:t xml:space="preserve"> </w:t>
      </w:r>
      <w:r w:rsidRPr="00BF42A8">
        <w:rPr>
          <w:rFonts w:ascii="Times New Roman" w:hAnsi="Times New Roman" w:cs="Times New Roman"/>
        </w:rPr>
        <w:t>and</w:t>
      </w:r>
      <w:r w:rsidRPr="00BF42A8" w:rsidR="008A0882">
        <w:rPr>
          <w:rFonts w:ascii="Times New Roman" w:hAnsi="Times New Roman" w:cs="Times New Roman"/>
        </w:rPr>
        <w:t xml:space="preserve"> </w:t>
      </w:r>
      <w:r w:rsidRPr="00BF42A8">
        <w:rPr>
          <w:rFonts w:ascii="Times New Roman" w:hAnsi="Times New Roman" w:cs="Times New Roman"/>
        </w:rPr>
        <w:t xml:space="preserve">lost productivity both </w:t>
      </w:r>
      <w:r w:rsidRPr="00BF42A8" w:rsidR="00986800">
        <w:rPr>
          <w:rFonts w:ascii="Times New Roman" w:hAnsi="Times New Roman" w:cs="Times New Roman"/>
        </w:rPr>
        <w:t>onsite</w:t>
      </w:r>
      <w:r w:rsidRPr="00BF42A8">
        <w:rPr>
          <w:rFonts w:ascii="Times New Roman" w:hAnsi="Times New Roman" w:cs="Times New Roman"/>
        </w:rPr>
        <w:t xml:space="preserve"> and </w:t>
      </w:r>
      <w:r w:rsidRPr="00BF42A8" w:rsidR="00986800">
        <w:rPr>
          <w:rFonts w:ascii="Times New Roman" w:hAnsi="Times New Roman" w:cs="Times New Roman"/>
        </w:rPr>
        <w:t>offsite</w:t>
      </w:r>
      <w:r w:rsidRPr="00BF42A8">
        <w:rPr>
          <w:rFonts w:ascii="Times New Roman" w:hAnsi="Times New Roman" w:cs="Times New Roman"/>
        </w:rPr>
        <w:t xml:space="preserve">, and reducing the extent of public </w:t>
      </w:r>
      <w:r w:rsidRPr="00BF42A8" w:rsidR="008A0882">
        <w:rPr>
          <w:rFonts w:ascii="Times New Roman" w:hAnsi="Times New Roman" w:cs="Times New Roman"/>
        </w:rPr>
        <w:t>e</w:t>
      </w:r>
      <w:r w:rsidRPr="00BF42A8">
        <w:rPr>
          <w:rFonts w:ascii="Times New Roman" w:hAnsi="Times New Roman" w:cs="Times New Roman"/>
        </w:rPr>
        <w:t>vacuations, sheltering</w:t>
      </w:r>
      <w:r w:rsidRPr="00BF42A8" w:rsidR="00F05307">
        <w:rPr>
          <w:rFonts w:ascii="Times New Roman" w:hAnsi="Times New Roman" w:cs="Times New Roman"/>
        </w:rPr>
        <w:t xml:space="preserve"> in place</w:t>
      </w:r>
      <w:r w:rsidRPr="00BF42A8">
        <w:rPr>
          <w:rFonts w:ascii="Times New Roman" w:hAnsi="Times New Roman" w:cs="Times New Roman"/>
        </w:rPr>
        <w:t xml:space="preserve"> and expenditure of emergency response resources.</w:t>
      </w:r>
    </w:p>
    <w:p w:rsidR="00E235AD" w:rsidRPr="00BF42A8" w:rsidP="00E235AD" w14:paraId="622BA320" w14:textId="77777777">
      <w:pPr>
        <w:pStyle w:val="BodyText"/>
        <w:ind w:left="720"/>
        <w:rPr>
          <w:rFonts w:ascii="Times New Roman" w:hAnsi="Times New Roman" w:cs="Times New Roman"/>
        </w:rPr>
      </w:pPr>
    </w:p>
    <w:p w:rsidR="00E93325" w:rsidP="00082826" w14:paraId="3F1DF1BE" w14:textId="77777777">
      <w:pPr>
        <w:pStyle w:val="BodyText"/>
        <w:numPr>
          <w:ilvl w:val="0"/>
          <w:numId w:val="11"/>
        </w:numPr>
        <w:rPr>
          <w:rFonts w:ascii="Times New Roman" w:hAnsi="Times New Roman" w:cs="Times New Roman"/>
        </w:rPr>
      </w:pPr>
      <w:r w:rsidRPr="00BF42A8">
        <w:rPr>
          <w:rFonts w:ascii="Times New Roman" w:hAnsi="Times New Roman" w:cs="Times New Roman"/>
          <w:i/>
        </w:rPr>
        <w:t xml:space="preserve">Improved </w:t>
      </w:r>
      <w:r w:rsidRPr="00BF42A8" w:rsidR="00C54570">
        <w:rPr>
          <w:rFonts w:ascii="Times New Roman" w:hAnsi="Times New Roman" w:cs="Times New Roman"/>
          <w:i/>
        </w:rPr>
        <w:t xml:space="preserve">Public </w:t>
      </w:r>
      <w:r w:rsidRPr="00BF42A8">
        <w:rPr>
          <w:rFonts w:ascii="Times New Roman" w:hAnsi="Times New Roman" w:cs="Times New Roman"/>
          <w:i/>
        </w:rPr>
        <w:t>Information</w:t>
      </w:r>
      <w:r w:rsidRPr="00BF42A8" w:rsidR="00EE337E">
        <w:rPr>
          <w:rFonts w:ascii="Times New Roman" w:hAnsi="Times New Roman" w:cs="Times New Roman"/>
          <w:i/>
        </w:rPr>
        <w:t xml:space="preserve"> Availability</w:t>
      </w:r>
      <w:r w:rsidRPr="00BF42A8">
        <w:rPr>
          <w:rFonts w:ascii="Times New Roman" w:hAnsi="Times New Roman" w:cs="Times New Roman"/>
        </w:rPr>
        <w:t xml:space="preserve">: </w:t>
      </w:r>
      <w:r w:rsidR="007459BC">
        <w:rPr>
          <w:rFonts w:ascii="Times New Roman" w:hAnsi="Times New Roman" w:cs="Times New Roman"/>
        </w:rPr>
        <w:t>N</w:t>
      </w:r>
      <w:r w:rsidRPr="00BF42A8" w:rsidR="00C16E88">
        <w:rPr>
          <w:rFonts w:ascii="Times New Roman" w:hAnsi="Times New Roman" w:cs="Times New Roman"/>
        </w:rPr>
        <w:t xml:space="preserve">otification procedures </w:t>
      </w:r>
      <w:r w:rsidR="007459BC">
        <w:rPr>
          <w:rFonts w:ascii="Times New Roman" w:hAnsi="Times New Roman" w:cs="Times New Roman"/>
        </w:rPr>
        <w:t xml:space="preserve">will </w:t>
      </w:r>
      <w:r w:rsidRPr="00BF42A8" w:rsidR="00C16E88">
        <w:rPr>
          <w:rFonts w:ascii="Times New Roman" w:hAnsi="Times New Roman" w:cs="Times New Roman"/>
        </w:rPr>
        <w:t xml:space="preserve">be available upon request to the public </w:t>
      </w:r>
      <w:r w:rsidR="007459BC">
        <w:rPr>
          <w:rFonts w:ascii="Times New Roman" w:hAnsi="Times New Roman" w:cs="Times New Roman"/>
        </w:rPr>
        <w:t>residing, working</w:t>
      </w:r>
      <w:r w:rsidR="00A67522">
        <w:rPr>
          <w:rFonts w:ascii="Times New Roman" w:hAnsi="Times New Roman" w:cs="Times New Roman"/>
        </w:rPr>
        <w:t>,</w:t>
      </w:r>
      <w:r w:rsidR="007459BC">
        <w:rPr>
          <w:rFonts w:ascii="Times New Roman" w:hAnsi="Times New Roman" w:cs="Times New Roman"/>
        </w:rPr>
        <w:t xml:space="preserve"> and spending significant time </w:t>
      </w:r>
      <w:r w:rsidRPr="00BF42A8" w:rsidR="00DD3947">
        <w:rPr>
          <w:rFonts w:ascii="Times New Roman" w:hAnsi="Times New Roman" w:cs="Times New Roman"/>
        </w:rPr>
        <w:t>within 6</w:t>
      </w:r>
      <w:r w:rsidRPr="00BF42A8" w:rsidR="005B5904">
        <w:rPr>
          <w:rFonts w:ascii="Times New Roman" w:hAnsi="Times New Roman" w:cs="Times New Roman"/>
        </w:rPr>
        <w:t xml:space="preserve"> </w:t>
      </w:r>
      <w:r w:rsidRPr="00BF42A8" w:rsidR="00DD3947">
        <w:rPr>
          <w:rFonts w:ascii="Times New Roman" w:hAnsi="Times New Roman" w:cs="Times New Roman"/>
        </w:rPr>
        <w:t>miles</w:t>
      </w:r>
      <w:r w:rsidRPr="00BF42A8" w:rsidR="005B5904">
        <w:rPr>
          <w:rFonts w:ascii="Times New Roman" w:hAnsi="Times New Roman" w:cs="Times New Roman"/>
        </w:rPr>
        <w:t xml:space="preserve"> of</w:t>
      </w:r>
      <w:r w:rsidRPr="00BF42A8" w:rsidR="00C16E88">
        <w:rPr>
          <w:rFonts w:ascii="Times New Roman" w:hAnsi="Times New Roman" w:cs="Times New Roman"/>
        </w:rPr>
        <w:t xml:space="preserve"> </w:t>
      </w:r>
      <w:r w:rsidRPr="00BF42A8" w:rsidR="005B5904">
        <w:rPr>
          <w:rFonts w:ascii="Times New Roman" w:hAnsi="Times New Roman" w:cs="Times New Roman"/>
        </w:rPr>
        <w:t>an</w:t>
      </w:r>
      <w:r w:rsidRPr="00BF42A8" w:rsidR="00C16E88">
        <w:rPr>
          <w:rFonts w:ascii="Times New Roman" w:hAnsi="Times New Roman" w:cs="Times New Roman"/>
        </w:rPr>
        <w:t xml:space="preserve"> RMP facilit</w:t>
      </w:r>
      <w:r w:rsidRPr="00BF42A8" w:rsidR="005B5904">
        <w:rPr>
          <w:rFonts w:ascii="Times New Roman" w:hAnsi="Times New Roman" w:cs="Times New Roman"/>
        </w:rPr>
        <w:t>y</w:t>
      </w:r>
      <w:r w:rsidRPr="00BF42A8" w:rsidR="00721364">
        <w:rPr>
          <w:rFonts w:ascii="Times New Roman" w:hAnsi="Times New Roman" w:cs="Times New Roman"/>
        </w:rPr>
        <w:t>.</w:t>
      </w:r>
      <w:r w:rsidRPr="00BF42A8">
        <w:rPr>
          <w:rFonts w:ascii="Times New Roman" w:hAnsi="Times New Roman" w:cs="Times New Roman"/>
        </w:rPr>
        <w:t xml:space="preserve"> </w:t>
      </w:r>
      <w:r w:rsidR="008E428F">
        <w:rPr>
          <w:rFonts w:ascii="Times New Roman" w:hAnsi="Times New Roman" w:cs="Times New Roman"/>
        </w:rPr>
        <w:t>F</w:t>
      </w:r>
      <w:r w:rsidRPr="00BF42A8" w:rsidR="00FE1671">
        <w:rPr>
          <w:rFonts w:ascii="Times New Roman" w:hAnsi="Times New Roman" w:cs="Times New Roman"/>
        </w:rPr>
        <w:t xml:space="preserve">acilities </w:t>
      </w:r>
      <w:r w:rsidR="008E428F">
        <w:rPr>
          <w:rFonts w:ascii="Times New Roman" w:hAnsi="Times New Roman" w:cs="Times New Roman"/>
        </w:rPr>
        <w:t>will also</w:t>
      </w:r>
      <w:r w:rsidRPr="00BF42A8" w:rsidR="00FE1671">
        <w:rPr>
          <w:rFonts w:ascii="Times New Roman" w:hAnsi="Times New Roman" w:cs="Times New Roman"/>
        </w:rPr>
        <w:t xml:space="preserve"> </w:t>
      </w:r>
      <w:r w:rsidRPr="00BF42A8" w:rsidR="005B5904">
        <w:rPr>
          <w:rFonts w:ascii="Times New Roman" w:hAnsi="Times New Roman" w:cs="Times New Roman"/>
        </w:rPr>
        <w:t>be</w:t>
      </w:r>
      <w:r w:rsidRPr="00BF42A8" w:rsidR="00FE1671">
        <w:rPr>
          <w:rFonts w:ascii="Times New Roman" w:hAnsi="Times New Roman" w:cs="Times New Roman"/>
        </w:rPr>
        <w:t xml:space="preserve"> required to ensure a community notification system is in place to warn the public within the area threatened by a release. </w:t>
      </w:r>
      <w:r w:rsidRPr="00BF42A8" w:rsidR="00303026">
        <w:rPr>
          <w:rFonts w:ascii="Times New Roman" w:hAnsi="Times New Roman" w:cs="Times New Roman"/>
        </w:rPr>
        <w:t>In addition</w:t>
      </w:r>
      <w:r w:rsidRPr="00BF42A8" w:rsidR="00B578A0">
        <w:rPr>
          <w:rFonts w:ascii="Times New Roman" w:hAnsi="Times New Roman" w:cs="Times New Roman"/>
        </w:rPr>
        <w:t>,</w:t>
      </w:r>
      <w:r w:rsidRPr="00BF42A8" w:rsidR="00303026">
        <w:rPr>
          <w:rFonts w:ascii="Times New Roman" w:hAnsi="Times New Roman" w:cs="Times New Roman"/>
        </w:rPr>
        <w:t xml:space="preserve"> EPA </w:t>
      </w:r>
      <w:r w:rsidR="009449B7">
        <w:rPr>
          <w:rFonts w:ascii="Times New Roman" w:hAnsi="Times New Roman" w:cs="Times New Roman"/>
        </w:rPr>
        <w:t>will</w:t>
      </w:r>
      <w:r w:rsidRPr="00BF42A8" w:rsidR="00303026">
        <w:rPr>
          <w:rFonts w:ascii="Times New Roman" w:hAnsi="Times New Roman" w:cs="Times New Roman"/>
        </w:rPr>
        <w:t xml:space="preserve"> require </w:t>
      </w:r>
      <w:r w:rsidRPr="00BF42A8" w:rsidR="00124614">
        <w:rPr>
          <w:rFonts w:ascii="Times New Roman" w:hAnsi="Times New Roman" w:cs="Times New Roman"/>
        </w:rPr>
        <w:t xml:space="preserve">facilities to provide entities, including the public, with initial RMP accidental release information during releases of regulated substances. </w:t>
      </w:r>
      <w:r w:rsidRPr="00BF42A8" w:rsidR="000B0D0E">
        <w:rPr>
          <w:rFonts w:ascii="Times New Roman" w:hAnsi="Times New Roman" w:cs="Times New Roman"/>
        </w:rPr>
        <w:t xml:space="preserve">EPA expects this </w:t>
      </w:r>
      <w:r w:rsidRPr="00BF42A8" w:rsidR="005B5904">
        <w:rPr>
          <w:rFonts w:ascii="Times New Roman" w:hAnsi="Times New Roman" w:cs="Times New Roman"/>
        </w:rPr>
        <w:t xml:space="preserve">requirement </w:t>
      </w:r>
      <w:r w:rsidRPr="00BF42A8" w:rsidR="000B0D0E">
        <w:rPr>
          <w:rFonts w:ascii="Times New Roman" w:hAnsi="Times New Roman" w:cs="Times New Roman"/>
        </w:rPr>
        <w:t xml:space="preserve">to </w:t>
      </w:r>
      <w:r w:rsidRPr="00BF42A8" w:rsidR="005B5904">
        <w:rPr>
          <w:rFonts w:ascii="Times New Roman" w:hAnsi="Times New Roman" w:cs="Times New Roman"/>
        </w:rPr>
        <w:t>generate benefits</w:t>
      </w:r>
      <w:r w:rsidRPr="00BF42A8">
        <w:rPr>
          <w:rFonts w:ascii="Times New Roman" w:hAnsi="Times New Roman" w:cs="Times New Roman"/>
        </w:rPr>
        <w:t xml:space="preserve"> because it may result in more efficient allocation of public response resources by improving the ability of planners and responders to make appropriate decisions concerning equipment, training, and procedures. Improved information may also improve local contingency planning and training of emergency </w:t>
      </w:r>
      <w:r w:rsidRPr="00BF42A8">
        <w:rPr>
          <w:rFonts w:ascii="Times New Roman" w:hAnsi="Times New Roman" w:cs="Times New Roman"/>
        </w:rPr>
        <w:t xml:space="preserve">responders. </w:t>
      </w:r>
      <w:r w:rsidRPr="00BF42A8" w:rsidR="00B66675">
        <w:rPr>
          <w:rFonts w:ascii="Times New Roman" w:hAnsi="Times New Roman" w:cs="Times New Roman"/>
        </w:rPr>
        <w:t xml:space="preserve">In addition, more timely information and accessible alerts through the community notification system </w:t>
      </w:r>
      <w:r w:rsidRPr="00BF42A8" w:rsidR="000164C6">
        <w:rPr>
          <w:rFonts w:ascii="Times New Roman" w:hAnsi="Times New Roman" w:cs="Times New Roman"/>
        </w:rPr>
        <w:t xml:space="preserve">ensure the public </w:t>
      </w:r>
      <w:r w:rsidRPr="00BF42A8" w:rsidR="00D24A9D">
        <w:rPr>
          <w:rFonts w:ascii="Times New Roman" w:hAnsi="Times New Roman" w:cs="Times New Roman"/>
        </w:rPr>
        <w:t>can</w:t>
      </w:r>
      <w:r w:rsidRPr="00BF42A8" w:rsidR="000164C6">
        <w:rPr>
          <w:rFonts w:ascii="Times New Roman" w:hAnsi="Times New Roman" w:cs="Times New Roman"/>
        </w:rPr>
        <w:t xml:space="preserve"> receive authenticated</w:t>
      </w:r>
      <w:r w:rsidRPr="00BF42A8" w:rsidR="00B84574">
        <w:rPr>
          <w:rFonts w:ascii="Times New Roman" w:hAnsi="Times New Roman" w:cs="Times New Roman"/>
        </w:rPr>
        <w:t xml:space="preserve"> emergency </w:t>
      </w:r>
      <w:r w:rsidRPr="00BF42A8" w:rsidR="00ED25DF">
        <w:rPr>
          <w:rFonts w:ascii="Times New Roman" w:hAnsi="Times New Roman" w:cs="Times New Roman"/>
        </w:rPr>
        <w:t xml:space="preserve">and life-saving alerts when there is an </w:t>
      </w:r>
      <w:r w:rsidR="0044790B">
        <w:rPr>
          <w:rFonts w:ascii="Times New Roman" w:hAnsi="Times New Roman" w:cs="Times New Roman"/>
        </w:rPr>
        <w:t>accident</w:t>
      </w:r>
      <w:r w:rsidRPr="00BF42A8" w:rsidR="00ED25DF">
        <w:rPr>
          <w:rFonts w:ascii="Times New Roman" w:hAnsi="Times New Roman" w:cs="Times New Roman"/>
        </w:rPr>
        <w:t xml:space="preserve">. </w:t>
      </w:r>
      <w:r w:rsidR="00C7572B">
        <w:rPr>
          <w:rFonts w:ascii="Times New Roman" w:hAnsi="Times New Roman" w:cs="Times New Roman"/>
        </w:rPr>
        <w:t>Better information about nearby risks can improve the efficiency of nearby property markets</w:t>
      </w:r>
      <w:r w:rsidR="007D3E21">
        <w:rPr>
          <w:rFonts w:ascii="Times New Roman" w:hAnsi="Times New Roman" w:cs="Times New Roman"/>
        </w:rPr>
        <w:t xml:space="preserve"> and i</w:t>
      </w:r>
      <w:r w:rsidR="00021FEB">
        <w:rPr>
          <w:rFonts w:ascii="Times New Roman" w:hAnsi="Times New Roman" w:cs="Times New Roman"/>
        </w:rPr>
        <w:t>nformation about risks of publicly</w:t>
      </w:r>
      <w:r w:rsidR="007D3E21">
        <w:rPr>
          <w:rFonts w:ascii="Times New Roman" w:hAnsi="Times New Roman" w:cs="Times New Roman"/>
        </w:rPr>
        <w:t>-</w:t>
      </w:r>
      <w:r w:rsidR="00021FEB">
        <w:rPr>
          <w:rFonts w:ascii="Times New Roman" w:hAnsi="Times New Roman" w:cs="Times New Roman"/>
        </w:rPr>
        <w:t>traded firms can improve the efficiency of capital markets.</w:t>
      </w:r>
    </w:p>
    <w:p w:rsidR="00E235AD" w:rsidRPr="00BF42A8" w:rsidP="00E235AD" w14:paraId="7ACFEE2C" w14:textId="77777777">
      <w:pPr>
        <w:pStyle w:val="BodyText"/>
        <w:ind w:left="720"/>
        <w:rPr>
          <w:rFonts w:ascii="Times New Roman" w:hAnsi="Times New Roman" w:cs="Times New Roman"/>
        </w:rPr>
      </w:pPr>
    </w:p>
    <w:p w:rsidR="008B46D8" w:rsidP="00082826" w14:paraId="15F0FA42" w14:textId="77777777">
      <w:pPr>
        <w:pStyle w:val="BodyText"/>
        <w:numPr>
          <w:ilvl w:val="0"/>
          <w:numId w:val="11"/>
        </w:numPr>
        <w:rPr>
          <w:rFonts w:ascii="Times New Roman" w:hAnsi="Times New Roman" w:cs="Times New Roman"/>
        </w:rPr>
      </w:pPr>
      <w:r w:rsidRPr="00BF42A8">
        <w:rPr>
          <w:rFonts w:ascii="Times New Roman" w:hAnsi="Times New Roman" w:cs="Times New Roman"/>
          <w:i/>
        </w:rPr>
        <w:t>Prevention and Mitigation of Future non-RMP Accidents at RMP Facilities</w:t>
      </w:r>
      <w:r w:rsidRPr="00BF42A8">
        <w:rPr>
          <w:rFonts w:ascii="Times New Roman" w:hAnsi="Times New Roman" w:cs="Times New Roman"/>
        </w:rPr>
        <w:t>: Actions that prevent or reduce the severity of accidents in RMP-covered processes are also likely to prevent or mitigate non-RMP accidents at the same facilit</w:t>
      </w:r>
      <w:r w:rsidR="007D3E21">
        <w:rPr>
          <w:rFonts w:ascii="Times New Roman" w:hAnsi="Times New Roman" w:cs="Times New Roman"/>
        </w:rPr>
        <w:t>y</w:t>
      </w:r>
      <w:r w:rsidRPr="00BF42A8">
        <w:rPr>
          <w:rFonts w:ascii="Times New Roman" w:hAnsi="Times New Roman" w:cs="Times New Roman"/>
        </w:rPr>
        <w:t xml:space="preserve"> because the same or similar actions can be taken </w:t>
      </w:r>
      <w:r w:rsidRPr="00BF42A8" w:rsidR="00851D20">
        <w:rPr>
          <w:rFonts w:ascii="Times New Roman" w:hAnsi="Times New Roman" w:cs="Times New Roman"/>
        </w:rPr>
        <w:t xml:space="preserve">for </w:t>
      </w:r>
      <w:r w:rsidRPr="00BF42A8">
        <w:rPr>
          <w:rFonts w:ascii="Times New Roman" w:hAnsi="Times New Roman" w:cs="Times New Roman"/>
        </w:rPr>
        <w:t xml:space="preserve">processes and equipment not subject to the regulation, often at minimal additional cost. For example, </w:t>
      </w:r>
      <w:r w:rsidRPr="00BF42A8" w:rsidR="00851D20">
        <w:rPr>
          <w:rFonts w:ascii="Times New Roman" w:hAnsi="Times New Roman" w:cs="Times New Roman"/>
        </w:rPr>
        <w:t xml:space="preserve">new </w:t>
      </w:r>
      <w:r w:rsidRPr="00BF42A8">
        <w:rPr>
          <w:rFonts w:ascii="Times New Roman" w:hAnsi="Times New Roman" w:cs="Times New Roman"/>
        </w:rPr>
        <w:t>operational safety policies</w:t>
      </w:r>
      <w:r w:rsidRPr="00BF42A8" w:rsidR="00851D20">
        <w:rPr>
          <w:rFonts w:ascii="Times New Roman" w:hAnsi="Times New Roman" w:cs="Times New Roman"/>
        </w:rPr>
        <w:t xml:space="preserve"> implemented by an owner or operator </w:t>
      </w:r>
      <w:r w:rsidRPr="00BF42A8">
        <w:rPr>
          <w:rFonts w:ascii="Times New Roman" w:hAnsi="Times New Roman" w:cs="Times New Roman"/>
        </w:rPr>
        <w:t>to prevent or respond to an RMP-related emergency will also improve their ability to respond to any emergency or accident at the facility</w:t>
      </w:r>
      <w:r w:rsidRPr="00BF42A8" w:rsidR="00851D20">
        <w:rPr>
          <w:rFonts w:ascii="Times New Roman" w:hAnsi="Times New Roman" w:cs="Times New Roman"/>
        </w:rPr>
        <w:t>.</w:t>
      </w:r>
    </w:p>
    <w:p w:rsidR="00964C0A" w:rsidP="00964C0A" w14:paraId="58BD7B95" w14:textId="77777777">
      <w:pPr>
        <w:spacing w:after="0" w:line="240" w:lineRule="auto"/>
        <w:jc w:val="center"/>
      </w:pPr>
    </w:p>
    <w:p w:rsidR="00964C0A" w:rsidP="00964C0A" w14:paraId="783AF983" w14:textId="77777777">
      <w:pPr>
        <w:spacing w:after="0" w:line="240" w:lineRule="auto"/>
        <w:jc w:val="center"/>
        <w:rPr>
          <w:rFonts w:ascii="Times New Roman" w:hAnsi="Times New Roman" w:cs="Times New Roman"/>
          <w:b/>
        </w:rPr>
      </w:pPr>
      <w:r w:rsidRPr="00964C0A">
        <w:rPr>
          <w:rFonts w:ascii="Times New Roman" w:hAnsi="Times New Roman" w:cs="Times New Roman"/>
          <w:b/>
          <w:bCs/>
        </w:rPr>
        <w:t xml:space="preserve">Exhibit 6-1: Social Benefits of </w:t>
      </w:r>
      <w:r w:rsidR="0028075E">
        <w:rPr>
          <w:rFonts w:ascii="Times New Roman" w:hAnsi="Times New Roman" w:cs="Times New Roman"/>
          <w:b/>
          <w:bCs/>
        </w:rPr>
        <w:t>Final</w:t>
      </w:r>
      <w:r w:rsidRPr="00964C0A" w:rsidR="0028075E">
        <w:rPr>
          <w:rFonts w:ascii="Times New Roman" w:hAnsi="Times New Roman" w:cs="Times New Roman"/>
          <w:b/>
          <w:bCs/>
        </w:rPr>
        <w:t xml:space="preserve"> </w:t>
      </w:r>
      <w:r w:rsidRPr="00964C0A">
        <w:rPr>
          <w:rFonts w:ascii="Times New Roman" w:hAnsi="Times New Roman" w:cs="Times New Roman"/>
          <w:b/>
          <w:bCs/>
        </w:rPr>
        <w:t>Rule Provisions</w:t>
      </w:r>
      <w:r>
        <w:rPr>
          <w:rFonts w:ascii="Times New Roman" w:hAnsi="Times New Roman" w:cs="Times New Roman"/>
          <w:b/>
        </w:rPr>
        <w:t>.</w:t>
      </w:r>
    </w:p>
    <w:p w:rsidR="00964C0A" w:rsidRPr="00BF42A8" w:rsidP="00964C0A" w14:paraId="0983167F" w14:textId="77777777">
      <w:pPr>
        <w:spacing w:after="0" w:line="240" w:lineRule="auto"/>
        <w:jc w:val="center"/>
        <w:rPr>
          <w:rFonts w:ascii="Times New Roman" w:hAnsi="Times New Roman" w:cs="Times New Roman"/>
          <w:b/>
        </w:rPr>
      </w:pPr>
    </w:p>
    <w:tbl>
      <w:tblPr>
        <w:tblW w:w="9005" w:type="dxa"/>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91"/>
        <w:gridCol w:w="5414"/>
      </w:tblGrid>
      <w:tr w14:paraId="1DF16EA6" w14:textId="77777777" w:rsidTr="00964C0A">
        <w:tblPrEx>
          <w:tblW w:w="9005" w:type="dxa"/>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94"/>
        </w:trPr>
        <w:tc>
          <w:tcPr>
            <w:tcW w:w="3591" w:type="dxa"/>
            <w:shd w:val="clear" w:color="auto" w:fill="D9D9D9" w:themeFill="background1" w:themeFillShade="D9"/>
          </w:tcPr>
          <w:p w:rsidR="00E93325" w:rsidRPr="00BF42A8" w:rsidP="00BF42A8" w14:paraId="0502BC04" w14:textId="77777777">
            <w:pPr>
              <w:spacing w:after="0" w:line="240" w:lineRule="auto"/>
              <w:ind w:left="107"/>
              <w:rPr>
                <w:rFonts w:ascii="Times New Roman" w:hAnsi="Times New Roman" w:cs="Times New Roman"/>
                <w:b/>
              </w:rPr>
            </w:pPr>
            <w:r w:rsidRPr="00BF42A8">
              <w:rPr>
                <w:rFonts w:ascii="Times New Roman" w:hAnsi="Times New Roman" w:cs="Times New Roman"/>
                <w:b/>
              </w:rPr>
              <w:t>Rule Provision</w:t>
            </w:r>
          </w:p>
        </w:tc>
        <w:tc>
          <w:tcPr>
            <w:tcW w:w="5414" w:type="dxa"/>
            <w:shd w:val="clear" w:color="auto" w:fill="D9D9D9" w:themeFill="background1" w:themeFillShade="D9"/>
          </w:tcPr>
          <w:p w:rsidR="00E93325" w:rsidRPr="00BF42A8" w:rsidP="00964C0A" w14:paraId="54F38991" w14:textId="77777777">
            <w:pPr>
              <w:spacing w:after="0" w:line="240" w:lineRule="auto"/>
              <w:ind w:left="112" w:right="69"/>
              <w:rPr>
                <w:rFonts w:ascii="Times New Roman" w:hAnsi="Times New Roman" w:cs="Times New Roman"/>
                <w:b/>
              </w:rPr>
            </w:pPr>
            <w:r w:rsidRPr="00BF42A8">
              <w:rPr>
                <w:rFonts w:ascii="Times New Roman" w:hAnsi="Times New Roman" w:cs="Times New Roman"/>
                <w:b/>
              </w:rPr>
              <w:t xml:space="preserve">Social Benefits </w:t>
            </w:r>
          </w:p>
        </w:tc>
      </w:tr>
      <w:tr w14:paraId="5EA0BD9F" w14:textId="77777777" w:rsidTr="00964C0A">
        <w:tblPrEx>
          <w:tblW w:w="9005" w:type="dxa"/>
          <w:tblInd w:w="710" w:type="dxa"/>
          <w:tblLayout w:type="fixed"/>
          <w:tblCellMar>
            <w:left w:w="0" w:type="dxa"/>
            <w:right w:w="0" w:type="dxa"/>
          </w:tblCellMar>
          <w:tblLook w:val="01E0"/>
        </w:tblPrEx>
        <w:trPr>
          <w:trHeight w:val="297"/>
        </w:trPr>
        <w:tc>
          <w:tcPr>
            <w:tcW w:w="3591" w:type="dxa"/>
          </w:tcPr>
          <w:p w:rsidR="00B536DF" w:rsidRPr="00964C0A" w:rsidP="00BF42A8" w14:paraId="522E8A27" w14:textId="77777777">
            <w:pPr>
              <w:spacing w:after="0" w:line="240" w:lineRule="auto"/>
              <w:ind w:left="107"/>
              <w:rPr>
                <w:rFonts w:ascii="Times New Roman" w:hAnsi="Times New Roman" w:cs="Times New Roman"/>
              </w:rPr>
            </w:pPr>
            <w:r w:rsidRPr="00964C0A">
              <w:rPr>
                <w:rFonts w:ascii="Times New Roman" w:hAnsi="Times New Roman" w:cs="Times New Roman"/>
              </w:rPr>
              <w:t>1.</w:t>
            </w:r>
            <w:r w:rsidRPr="00964C0A" w:rsidR="0044790B">
              <w:rPr>
                <w:rFonts w:ascii="Times New Roman" w:hAnsi="Times New Roman" w:cs="Times New Roman"/>
              </w:rPr>
              <w:t xml:space="preserve"> </w:t>
            </w:r>
            <w:r w:rsidR="00F71BA5">
              <w:rPr>
                <w:rFonts w:ascii="Times New Roman" w:hAnsi="Times New Roman" w:cs="Times New Roman"/>
              </w:rPr>
              <w:t>STAA</w:t>
            </w:r>
            <w:r w:rsidRPr="00964C0A" w:rsidR="0044790B">
              <w:rPr>
                <w:rFonts w:ascii="Times New Roman" w:hAnsi="Times New Roman" w:cs="Times New Roman"/>
              </w:rPr>
              <w:t>*</w:t>
            </w:r>
          </w:p>
        </w:tc>
        <w:tc>
          <w:tcPr>
            <w:tcW w:w="5414" w:type="dxa"/>
            <w:vMerge w:val="restart"/>
          </w:tcPr>
          <w:p w:rsidR="00B536DF" w:rsidRPr="002C19D8" w:rsidP="00964C0A" w14:paraId="5E76EEAE" w14:textId="77777777">
            <w:pPr>
              <w:spacing w:after="0" w:line="240" w:lineRule="auto"/>
              <w:ind w:left="112" w:right="69"/>
              <w:rPr>
                <w:rFonts w:ascii="Times New Roman" w:hAnsi="Times New Roman" w:cs="Times New Roman"/>
              </w:rPr>
            </w:pPr>
            <w:r w:rsidRPr="002C19D8">
              <w:rPr>
                <w:rFonts w:ascii="Times New Roman" w:hAnsi="Times New Roman" w:cs="Times New Roman"/>
              </w:rPr>
              <w:t>Prevention of future RMP facility accidents</w:t>
            </w:r>
          </w:p>
          <w:p w:rsidR="00B536DF" w:rsidRPr="00BF42A8" w:rsidP="00964C0A" w14:paraId="13AF745D" w14:textId="77777777">
            <w:pPr>
              <w:spacing w:after="0" w:line="240" w:lineRule="auto"/>
              <w:ind w:left="112" w:right="69"/>
              <w:rPr>
                <w:rFonts w:ascii="Times New Roman" w:hAnsi="Times New Roman" w:cs="Times New Roman"/>
              </w:rPr>
            </w:pPr>
            <w:r w:rsidRPr="00BF42A8">
              <w:rPr>
                <w:rFonts w:ascii="Times New Roman" w:hAnsi="Times New Roman" w:cs="Times New Roman"/>
              </w:rPr>
              <w:t>Mitigation of future RMP facility</w:t>
            </w:r>
            <w:r w:rsidR="0044790B">
              <w:rPr>
                <w:rFonts w:ascii="Times New Roman" w:hAnsi="Times New Roman" w:cs="Times New Roman"/>
              </w:rPr>
              <w:t xml:space="preserve"> </w:t>
            </w:r>
            <w:r w:rsidRPr="00BF42A8">
              <w:rPr>
                <w:rFonts w:ascii="Times New Roman" w:hAnsi="Times New Roman" w:cs="Times New Roman"/>
              </w:rPr>
              <w:t>accidents</w:t>
            </w:r>
          </w:p>
          <w:p w:rsidR="00B536DF" w:rsidRPr="00BF42A8" w:rsidP="00964C0A" w14:paraId="4D0FBD85" w14:textId="77777777">
            <w:pPr>
              <w:spacing w:after="0" w:line="240" w:lineRule="auto"/>
              <w:ind w:left="112" w:right="69"/>
              <w:rPr>
                <w:rFonts w:ascii="Times New Roman" w:hAnsi="Times New Roman" w:cs="Times New Roman"/>
              </w:rPr>
            </w:pPr>
            <w:r w:rsidRPr="00964C0A">
              <w:rPr>
                <w:rFonts w:ascii="Times New Roman" w:hAnsi="Times New Roman" w:cs="Times New Roman"/>
              </w:rPr>
              <w:t>Prevention and mitigation of future non-RMP accidents at RMP facilities</w:t>
            </w:r>
          </w:p>
          <w:p w:rsidR="00313B59" w:rsidRPr="00BF42A8" w:rsidP="00964C0A" w14:paraId="6FE677D2" w14:textId="77777777">
            <w:pPr>
              <w:spacing w:after="0" w:line="240" w:lineRule="auto"/>
              <w:ind w:left="112" w:right="69"/>
              <w:rPr>
                <w:rFonts w:ascii="Times New Roman" w:hAnsi="Times New Roman" w:cs="Times New Roman"/>
              </w:rPr>
            </w:pPr>
            <w:r>
              <w:rPr>
                <w:rFonts w:ascii="Times New Roman" w:hAnsi="Times New Roman" w:cs="Times New Roman"/>
              </w:rPr>
              <w:t>Avoided major catastrophes</w:t>
            </w:r>
          </w:p>
          <w:p w:rsidR="00B536DF" w:rsidRPr="002C19D8" w:rsidP="00964C0A" w14:paraId="778FB1B1" w14:textId="77777777">
            <w:pPr>
              <w:spacing w:after="0" w:line="240" w:lineRule="auto"/>
              <w:ind w:left="112" w:right="69"/>
              <w:rPr>
                <w:rFonts w:ascii="Times New Roman" w:hAnsi="Times New Roman" w:cs="Times New Roman"/>
              </w:rPr>
            </w:pPr>
          </w:p>
        </w:tc>
      </w:tr>
      <w:tr w14:paraId="5F1C13CD" w14:textId="77777777" w:rsidTr="00964C0A">
        <w:tblPrEx>
          <w:tblW w:w="9005" w:type="dxa"/>
          <w:tblInd w:w="710" w:type="dxa"/>
          <w:tblLayout w:type="fixed"/>
          <w:tblCellMar>
            <w:left w:w="0" w:type="dxa"/>
            <w:right w:w="0" w:type="dxa"/>
          </w:tblCellMar>
          <w:tblLook w:val="01E0"/>
        </w:tblPrEx>
        <w:trPr>
          <w:trHeight w:val="297"/>
        </w:trPr>
        <w:tc>
          <w:tcPr>
            <w:tcW w:w="3591" w:type="dxa"/>
          </w:tcPr>
          <w:p w:rsidR="00B536DF" w:rsidRPr="00964C0A" w:rsidP="00BF42A8" w14:paraId="5797735F" w14:textId="77777777">
            <w:pPr>
              <w:spacing w:after="0" w:line="240" w:lineRule="auto"/>
              <w:ind w:left="107"/>
              <w:rPr>
                <w:rFonts w:ascii="Times New Roman" w:hAnsi="Times New Roman" w:cs="Times New Roman"/>
              </w:rPr>
            </w:pPr>
            <w:r w:rsidRPr="00964C0A">
              <w:rPr>
                <w:rFonts w:ascii="Times New Roman" w:hAnsi="Times New Roman" w:cs="Times New Roman"/>
              </w:rPr>
              <w:t>2. Root cause analysis*</w:t>
            </w:r>
          </w:p>
        </w:tc>
        <w:tc>
          <w:tcPr>
            <w:tcW w:w="5414" w:type="dxa"/>
            <w:vMerge/>
          </w:tcPr>
          <w:p w:rsidR="00B536DF" w:rsidRPr="00BF42A8" w:rsidP="00964C0A" w14:paraId="6831F1F4" w14:textId="77777777">
            <w:pPr>
              <w:spacing w:after="0" w:line="240" w:lineRule="auto"/>
              <w:ind w:left="112" w:right="69"/>
              <w:rPr>
                <w:rFonts w:ascii="Times New Roman" w:hAnsi="Times New Roman" w:cs="Times New Roman"/>
              </w:rPr>
            </w:pPr>
          </w:p>
        </w:tc>
      </w:tr>
      <w:tr w14:paraId="282095A6" w14:textId="77777777" w:rsidTr="00964C0A">
        <w:tblPrEx>
          <w:tblW w:w="9005" w:type="dxa"/>
          <w:tblInd w:w="710" w:type="dxa"/>
          <w:tblLayout w:type="fixed"/>
          <w:tblCellMar>
            <w:left w:w="0" w:type="dxa"/>
            <w:right w:w="0" w:type="dxa"/>
          </w:tblCellMar>
          <w:tblLook w:val="01E0"/>
        </w:tblPrEx>
        <w:trPr>
          <w:trHeight w:val="836"/>
        </w:trPr>
        <w:tc>
          <w:tcPr>
            <w:tcW w:w="3591" w:type="dxa"/>
          </w:tcPr>
          <w:p w:rsidR="00B536DF" w:rsidRPr="0044790B" w:rsidP="0044790B" w14:paraId="53308A78" w14:textId="77777777">
            <w:pPr>
              <w:pStyle w:val="ListParagraph"/>
              <w:spacing w:after="0" w:line="240" w:lineRule="auto"/>
              <w:ind w:left="90" w:right="316"/>
              <w:rPr>
                <w:rFonts w:ascii="Times New Roman" w:hAnsi="Times New Roman" w:cs="Times New Roman"/>
              </w:rPr>
            </w:pPr>
            <w:r>
              <w:rPr>
                <w:rFonts w:ascii="Times New Roman" w:hAnsi="Times New Roman" w:cs="Times New Roman"/>
              </w:rPr>
              <w:t xml:space="preserve">3. </w:t>
            </w:r>
            <w:r w:rsidRPr="00964C0A">
              <w:rPr>
                <w:rFonts w:ascii="Times New Roman" w:hAnsi="Times New Roman" w:cs="Times New Roman"/>
              </w:rPr>
              <w:t>Third-party audits*</w:t>
            </w:r>
          </w:p>
        </w:tc>
        <w:tc>
          <w:tcPr>
            <w:tcW w:w="5414" w:type="dxa"/>
            <w:vMerge/>
          </w:tcPr>
          <w:p w:rsidR="00B536DF" w:rsidRPr="00BF42A8" w:rsidP="00964C0A" w14:paraId="083D061F" w14:textId="77777777">
            <w:pPr>
              <w:spacing w:after="0" w:line="240" w:lineRule="auto"/>
              <w:ind w:left="112" w:right="69"/>
              <w:rPr>
                <w:rFonts w:ascii="Times New Roman" w:hAnsi="Times New Roman" w:cs="Times New Roman"/>
              </w:rPr>
            </w:pPr>
          </w:p>
        </w:tc>
      </w:tr>
      <w:tr w14:paraId="022CDDA5" w14:textId="77777777" w:rsidTr="00964C0A">
        <w:tblPrEx>
          <w:tblW w:w="9005" w:type="dxa"/>
          <w:tblInd w:w="710" w:type="dxa"/>
          <w:tblLayout w:type="fixed"/>
          <w:tblCellMar>
            <w:left w:w="0" w:type="dxa"/>
            <w:right w:w="0" w:type="dxa"/>
          </w:tblCellMar>
          <w:tblLook w:val="01E0"/>
        </w:tblPrEx>
        <w:trPr>
          <w:trHeight w:val="1066"/>
        </w:trPr>
        <w:tc>
          <w:tcPr>
            <w:tcW w:w="3591" w:type="dxa"/>
          </w:tcPr>
          <w:p w:rsidR="00B536DF" w:rsidRPr="00964C0A" w:rsidP="00BF42A8" w14:paraId="0519D89A" w14:textId="77777777">
            <w:pPr>
              <w:spacing w:after="0" w:line="240" w:lineRule="auto"/>
              <w:ind w:left="107"/>
              <w:rPr>
                <w:rFonts w:ascii="Times New Roman" w:hAnsi="Times New Roman" w:cs="Times New Roman"/>
              </w:rPr>
            </w:pPr>
            <w:r w:rsidRPr="00964C0A">
              <w:rPr>
                <w:rFonts w:ascii="Times New Roman" w:hAnsi="Times New Roman" w:cs="Times New Roman"/>
              </w:rPr>
              <w:t>4. Employee Participation Plan</w:t>
            </w:r>
          </w:p>
        </w:tc>
        <w:tc>
          <w:tcPr>
            <w:tcW w:w="5414" w:type="dxa"/>
            <w:vMerge/>
          </w:tcPr>
          <w:p w:rsidR="00B536DF" w:rsidRPr="00BF42A8" w:rsidP="00964C0A" w14:paraId="4B973083" w14:textId="77777777">
            <w:pPr>
              <w:spacing w:after="0" w:line="240" w:lineRule="auto"/>
              <w:ind w:left="112" w:right="69"/>
              <w:rPr>
                <w:rFonts w:ascii="Times New Roman" w:hAnsi="Times New Roman" w:cs="Times New Roman"/>
                <w:b/>
              </w:rPr>
            </w:pPr>
          </w:p>
        </w:tc>
      </w:tr>
      <w:tr w14:paraId="058B977E" w14:textId="77777777" w:rsidTr="00964C0A">
        <w:tblPrEx>
          <w:tblW w:w="9005" w:type="dxa"/>
          <w:tblInd w:w="710" w:type="dxa"/>
          <w:tblLayout w:type="fixed"/>
          <w:tblCellMar>
            <w:left w:w="0" w:type="dxa"/>
            <w:right w:w="0" w:type="dxa"/>
          </w:tblCellMar>
          <w:tblLook w:val="01E0"/>
        </w:tblPrEx>
        <w:trPr>
          <w:trHeight w:val="1066"/>
        </w:trPr>
        <w:tc>
          <w:tcPr>
            <w:tcW w:w="3591" w:type="dxa"/>
          </w:tcPr>
          <w:p w:rsidR="00995B31" w:rsidRPr="0044790B" w:rsidP="00995B31" w14:paraId="0E3FC46F" w14:textId="77777777">
            <w:pPr>
              <w:pStyle w:val="ListParagraph"/>
              <w:spacing w:after="0" w:line="240" w:lineRule="auto"/>
              <w:ind w:left="90"/>
              <w:rPr>
                <w:rFonts w:ascii="Times New Roman" w:hAnsi="Times New Roman" w:cs="Times New Roman"/>
              </w:rPr>
            </w:pPr>
            <w:r>
              <w:rPr>
                <w:rFonts w:ascii="Times New Roman" w:hAnsi="Times New Roman" w:cs="Times New Roman"/>
              </w:rPr>
              <w:t>5</w:t>
            </w:r>
            <w:r w:rsidRPr="00964C0A">
              <w:rPr>
                <w:rFonts w:ascii="Times New Roman" w:hAnsi="Times New Roman" w:cs="Times New Roman"/>
              </w:rPr>
              <w:t xml:space="preserve">. </w:t>
            </w:r>
            <w:r>
              <w:rPr>
                <w:rFonts w:ascii="Times New Roman" w:hAnsi="Times New Roman" w:cs="Times New Roman"/>
              </w:rPr>
              <w:t>RMP Justifications</w:t>
            </w:r>
          </w:p>
          <w:p w:rsidR="00995B31" w:rsidRPr="00880155" w:rsidP="00C40090" w14:paraId="3F5F805D" w14:textId="77777777">
            <w:pPr>
              <w:pStyle w:val="ListParagraph"/>
              <w:spacing w:after="0" w:line="240" w:lineRule="auto"/>
              <w:ind w:left="420"/>
              <w:rPr>
                <w:rFonts w:ascii="Times New Roman" w:hAnsi="Times New Roman" w:cs="Times New Roman"/>
              </w:rPr>
            </w:pPr>
          </w:p>
        </w:tc>
        <w:tc>
          <w:tcPr>
            <w:tcW w:w="5414" w:type="dxa"/>
          </w:tcPr>
          <w:p w:rsidR="00995B31" w:rsidRPr="002C19D8" w:rsidP="00995B31" w14:paraId="4DCC3671" w14:textId="77777777">
            <w:pPr>
              <w:spacing w:after="0" w:line="240" w:lineRule="auto"/>
              <w:ind w:left="112" w:right="69"/>
              <w:rPr>
                <w:rFonts w:ascii="Times New Roman" w:hAnsi="Times New Roman" w:cs="Times New Roman"/>
              </w:rPr>
            </w:pPr>
            <w:r w:rsidRPr="002C19D8">
              <w:rPr>
                <w:rFonts w:ascii="Times New Roman" w:hAnsi="Times New Roman" w:cs="Times New Roman"/>
              </w:rPr>
              <w:t>Mitigation of future RMP facility accidents</w:t>
            </w:r>
          </w:p>
          <w:p w:rsidR="00995B31" w:rsidRPr="00E16C1A" w:rsidP="00995B31" w14:paraId="2E5171E8" w14:textId="77777777">
            <w:pPr>
              <w:spacing w:after="0" w:line="240" w:lineRule="auto"/>
              <w:ind w:left="112" w:right="69"/>
              <w:rPr>
                <w:rFonts w:ascii="Times New Roman" w:hAnsi="Times New Roman" w:cs="Times New Roman"/>
                <w:bCs/>
              </w:rPr>
            </w:pPr>
            <w:r>
              <w:rPr>
                <w:rFonts w:ascii="Times New Roman" w:hAnsi="Times New Roman" w:cs="Times New Roman"/>
                <w:bCs/>
              </w:rPr>
              <w:t>Mitigation of future non-RMP accidents at RMP facilities</w:t>
            </w:r>
          </w:p>
        </w:tc>
      </w:tr>
      <w:tr w14:paraId="1CA8CE19" w14:textId="77777777" w:rsidTr="00964C0A">
        <w:tblPrEx>
          <w:tblW w:w="9005" w:type="dxa"/>
          <w:tblInd w:w="710" w:type="dxa"/>
          <w:tblLayout w:type="fixed"/>
          <w:tblCellMar>
            <w:left w:w="0" w:type="dxa"/>
            <w:right w:w="0" w:type="dxa"/>
          </w:tblCellMar>
          <w:tblLook w:val="01E0"/>
        </w:tblPrEx>
        <w:trPr>
          <w:trHeight w:val="1066"/>
        </w:trPr>
        <w:tc>
          <w:tcPr>
            <w:tcW w:w="3591" w:type="dxa"/>
          </w:tcPr>
          <w:p w:rsidR="00995B31" w:rsidRPr="0044790B" w:rsidP="00995B31" w14:paraId="573F77D1" w14:textId="77777777">
            <w:pPr>
              <w:pStyle w:val="ListParagraph"/>
              <w:spacing w:after="0" w:line="240" w:lineRule="auto"/>
              <w:ind w:left="90"/>
              <w:rPr>
                <w:rFonts w:ascii="Times New Roman" w:hAnsi="Times New Roman" w:cs="Times New Roman"/>
              </w:rPr>
            </w:pPr>
            <w:r>
              <w:rPr>
                <w:rFonts w:ascii="Times New Roman" w:hAnsi="Times New Roman" w:cs="Times New Roman"/>
              </w:rPr>
              <w:t>6</w:t>
            </w:r>
            <w:r w:rsidRPr="00964C0A">
              <w:rPr>
                <w:rFonts w:ascii="Times New Roman" w:hAnsi="Times New Roman" w:cs="Times New Roman"/>
              </w:rPr>
              <w:t xml:space="preserve">. </w:t>
            </w:r>
            <w:r w:rsidRPr="0044790B">
              <w:rPr>
                <w:rFonts w:ascii="Times New Roman" w:hAnsi="Times New Roman" w:cs="Times New Roman"/>
              </w:rPr>
              <w:t>Emergency Response Provisions</w:t>
            </w:r>
          </w:p>
          <w:p w:rsidR="00995B31" w:rsidRPr="00964C0A" w:rsidP="00995B31" w14:paraId="38E46BDC" w14:textId="77777777">
            <w:pPr>
              <w:spacing w:after="0" w:line="240" w:lineRule="auto"/>
              <w:ind w:left="107"/>
              <w:rPr>
                <w:rFonts w:ascii="Times New Roman" w:hAnsi="Times New Roman" w:cs="Times New Roman"/>
              </w:rPr>
            </w:pPr>
          </w:p>
        </w:tc>
        <w:tc>
          <w:tcPr>
            <w:tcW w:w="5414" w:type="dxa"/>
          </w:tcPr>
          <w:p w:rsidR="00995B31" w:rsidRPr="00BF42A8" w:rsidP="00995B31" w14:paraId="2E0AB615" w14:textId="77777777">
            <w:pPr>
              <w:spacing w:after="0" w:line="240" w:lineRule="auto"/>
              <w:ind w:left="112" w:right="69"/>
              <w:rPr>
                <w:rFonts w:ascii="Times New Roman" w:hAnsi="Times New Roman" w:cs="Times New Roman"/>
                <w:b/>
              </w:rPr>
            </w:pPr>
          </w:p>
          <w:p w:rsidR="00995B31" w:rsidRPr="002C19D8" w:rsidP="00995B31" w14:paraId="6BF81154" w14:textId="77777777">
            <w:pPr>
              <w:spacing w:after="0" w:line="240" w:lineRule="auto"/>
              <w:ind w:left="112" w:right="69"/>
              <w:rPr>
                <w:rFonts w:ascii="Times New Roman" w:hAnsi="Times New Roman" w:cs="Times New Roman"/>
              </w:rPr>
            </w:pPr>
            <w:r w:rsidRPr="002C19D8">
              <w:rPr>
                <w:rFonts w:ascii="Times New Roman" w:hAnsi="Times New Roman" w:cs="Times New Roman"/>
              </w:rPr>
              <w:t>Mitigation of future RMP facility accidents</w:t>
            </w:r>
          </w:p>
          <w:p w:rsidR="00995B31" w:rsidP="00995B31" w14:paraId="26BDAB38" w14:textId="77777777">
            <w:pPr>
              <w:spacing w:after="0" w:line="240" w:lineRule="auto"/>
              <w:ind w:left="112" w:right="69"/>
              <w:rPr>
                <w:rFonts w:ascii="Times New Roman" w:hAnsi="Times New Roman" w:cs="Times New Roman"/>
              </w:rPr>
            </w:pPr>
            <w:r w:rsidRPr="00BF42A8">
              <w:rPr>
                <w:rFonts w:ascii="Times New Roman" w:hAnsi="Times New Roman" w:cs="Times New Roman"/>
              </w:rPr>
              <w:t>Mitigation of future non-RMP accidents at RMP facilities</w:t>
            </w:r>
          </w:p>
          <w:p w:rsidR="00995B31" w:rsidRPr="00BF42A8" w:rsidP="00995B31" w14:paraId="555E45CE" w14:textId="77777777">
            <w:pPr>
              <w:spacing w:after="0" w:line="240" w:lineRule="auto"/>
              <w:ind w:left="112" w:right="69"/>
              <w:rPr>
                <w:rFonts w:ascii="Times New Roman" w:hAnsi="Times New Roman" w:cs="Times New Roman"/>
                <w:b/>
              </w:rPr>
            </w:pPr>
          </w:p>
        </w:tc>
      </w:tr>
      <w:tr w14:paraId="1CD49341" w14:textId="77777777" w:rsidTr="00964C0A">
        <w:tblPrEx>
          <w:tblW w:w="9005" w:type="dxa"/>
          <w:tblInd w:w="710" w:type="dxa"/>
          <w:tblLayout w:type="fixed"/>
          <w:tblCellMar>
            <w:left w:w="0" w:type="dxa"/>
            <w:right w:w="0" w:type="dxa"/>
          </w:tblCellMar>
          <w:tblLook w:val="01E0"/>
        </w:tblPrEx>
        <w:trPr>
          <w:trHeight w:val="573"/>
        </w:trPr>
        <w:tc>
          <w:tcPr>
            <w:tcW w:w="3591" w:type="dxa"/>
          </w:tcPr>
          <w:p w:rsidR="00995B31" w:rsidRPr="0044790B" w:rsidP="00995B31" w14:paraId="12F75BE4" w14:textId="77777777">
            <w:pPr>
              <w:pStyle w:val="ListParagraph"/>
              <w:spacing w:after="0" w:line="240" w:lineRule="auto"/>
              <w:ind w:left="90"/>
              <w:rPr>
                <w:rFonts w:ascii="Times New Roman" w:hAnsi="Times New Roman" w:cs="Times New Roman"/>
              </w:rPr>
            </w:pPr>
            <w:r>
              <w:rPr>
                <w:rFonts w:ascii="Times New Roman" w:hAnsi="Times New Roman" w:cs="Times New Roman"/>
              </w:rPr>
              <w:t xml:space="preserve">7. </w:t>
            </w:r>
            <w:r w:rsidRPr="00964C0A">
              <w:rPr>
                <w:rFonts w:ascii="Times New Roman" w:hAnsi="Times New Roman" w:cs="Times New Roman"/>
              </w:rPr>
              <w:t>Information Availability</w:t>
            </w:r>
          </w:p>
        </w:tc>
        <w:tc>
          <w:tcPr>
            <w:tcW w:w="5414" w:type="dxa"/>
          </w:tcPr>
          <w:p w:rsidR="00995B31" w:rsidRPr="002C19D8" w:rsidP="00995B31" w14:paraId="368D0642" w14:textId="77777777">
            <w:pPr>
              <w:spacing w:after="0" w:line="240" w:lineRule="auto"/>
              <w:ind w:left="112" w:right="69"/>
              <w:rPr>
                <w:rFonts w:ascii="Times New Roman" w:hAnsi="Times New Roman" w:cs="Times New Roman"/>
              </w:rPr>
            </w:pPr>
            <w:r w:rsidRPr="002C19D8">
              <w:rPr>
                <w:rFonts w:ascii="Times New Roman" w:hAnsi="Times New Roman" w:cs="Times New Roman"/>
              </w:rPr>
              <w:t>Improved information</w:t>
            </w:r>
          </w:p>
          <w:p w:rsidR="00995B31" w:rsidRPr="00BF42A8" w:rsidP="00995B31" w14:paraId="5B35CFF1" w14:textId="77777777">
            <w:pPr>
              <w:spacing w:after="0" w:line="240" w:lineRule="auto"/>
              <w:ind w:left="112" w:right="69"/>
              <w:rPr>
                <w:rFonts w:ascii="Times New Roman" w:hAnsi="Times New Roman" w:cs="Times New Roman"/>
              </w:rPr>
            </w:pPr>
            <w:r w:rsidRPr="00BF42A8">
              <w:rPr>
                <w:rFonts w:ascii="Times New Roman" w:hAnsi="Times New Roman" w:cs="Times New Roman"/>
              </w:rPr>
              <w:t>Mitigation of future RMP facility accidents</w:t>
            </w:r>
          </w:p>
          <w:p w:rsidR="00995B31" w:rsidP="00995B31" w14:paraId="3A7732B5" w14:textId="77777777">
            <w:pPr>
              <w:spacing w:after="0" w:line="240" w:lineRule="auto"/>
              <w:ind w:left="112" w:right="69"/>
              <w:rPr>
                <w:rFonts w:ascii="Times New Roman" w:hAnsi="Times New Roman" w:cs="Times New Roman"/>
              </w:rPr>
            </w:pPr>
            <w:r>
              <w:rPr>
                <w:rFonts w:ascii="Times New Roman" w:hAnsi="Times New Roman" w:cs="Times New Roman"/>
              </w:rPr>
              <w:t>M</w:t>
            </w:r>
            <w:r w:rsidRPr="00BF42A8">
              <w:rPr>
                <w:rFonts w:ascii="Times New Roman" w:hAnsi="Times New Roman" w:cs="Times New Roman"/>
              </w:rPr>
              <w:t>itigation of future non-RMP accidents at RMP facilities</w:t>
            </w:r>
          </w:p>
          <w:p w:rsidR="00995B31" w:rsidRPr="0044790B" w:rsidP="00995B31" w14:paraId="09E121A6" w14:textId="77777777">
            <w:pPr>
              <w:spacing w:after="0" w:line="240" w:lineRule="auto"/>
              <w:ind w:left="112" w:right="69"/>
              <w:rPr>
                <w:rFonts w:ascii="Times New Roman" w:hAnsi="Times New Roman" w:cs="Times New Roman"/>
              </w:rPr>
            </w:pPr>
          </w:p>
        </w:tc>
      </w:tr>
    </w:tbl>
    <w:p w:rsidR="00E93325" w:rsidRPr="00210F5D" w:rsidP="00BF42A8" w14:paraId="2221F610" w14:textId="77777777">
      <w:pPr>
        <w:spacing w:after="0" w:line="240" w:lineRule="auto"/>
        <w:ind w:left="813"/>
        <w:rPr>
          <w:rFonts w:ascii="Times New Roman" w:hAnsi="Times New Roman" w:cs="Times New Roman"/>
          <w:sz w:val="18"/>
          <w:szCs w:val="18"/>
        </w:rPr>
      </w:pPr>
      <w:r w:rsidRPr="00210F5D">
        <w:rPr>
          <w:rFonts w:ascii="Times New Roman" w:hAnsi="Times New Roman" w:cs="Times New Roman"/>
          <w:sz w:val="18"/>
          <w:szCs w:val="18"/>
        </w:rPr>
        <w:t xml:space="preserve">* The provision increases the likelihood that RMP facilities </w:t>
      </w:r>
      <w:r w:rsidRPr="00210F5D" w:rsidR="00C01C22">
        <w:rPr>
          <w:rFonts w:ascii="Times New Roman" w:hAnsi="Times New Roman" w:cs="Times New Roman"/>
          <w:sz w:val="18"/>
          <w:szCs w:val="18"/>
        </w:rPr>
        <w:t xml:space="preserve">will </w:t>
      </w:r>
      <w:r w:rsidRPr="00210F5D">
        <w:rPr>
          <w:rFonts w:ascii="Times New Roman" w:hAnsi="Times New Roman" w:cs="Times New Roman"/>
          <w:sz w:val="18"/>
          <w:szCs w:val="18"/>
        </w:rPr>
        <w:t xml:space="preserve">adopt process changes superior to those that </w:t>
      </w:r>
      <w:r w:rsidRPr="00210F5D" w:rsidR="009449B7">
        <w:rPr>
          <w:rFonts w:ascii="Times New Roman" w:hAnsi="Times New Roman" w:cs="Times New Roman"/>
          <w:sz w:val="18"/>
          <w:szCs w:val="18"/>
        </w:rPr>
        <w:t>w</w:t>
      </w:r>
      <w:r w:rsidRPr="00210F5D" w:rsidR="00C01C22">
        <w:rPr>
          <w:rFonts w:ascii="Times New Roman" w:hAnsi="Times New Roman" w:cs="Times New Roman"/>
          <w:sz w:val="18"/>
          <w:szCs w:val="18"/>
        </w:rPr>
        <w:t>ould</w:t>
      </w:r>
      <w:r w:rsidRPr="00210F5D">
        <w:rPr>
          <w:rFonts w:ascii="Times New Roman" w:hAnsi="Times New Roman" w:cs="Times New Roman"/>
          <w:sz w:val="18"/>
          <w:szCs w:val="18"/>
        </w:rPr>
        <w:t xml:space="preserve"> have occurred in the baseline. This incremental improvement results in the social benefits </w:t>
      </w:r>
      <w:r w:rsidRPr="00210F5D" w:rsidR="00333FBA">
        <w:rPr>
          <w:rFonts w:ascii="Times New Roman" w:hAnsi="Times New Roman" w:cs="Times New Roman"/>
          <w:sz w:val="18"/>
          <w:szCs w:val="18"/>
        </w:rPr>
        <w:t>which</w:t>
      </w:r>
      <w:r w:rsidRPr="00210F5D">
        <w:rPr>
          <w:rFonts w:ascii="Times New Roman" w:hAnsi="Times New Roman" w:cs="Times New Roman"/>
          <w:sz w:val="18"/>
          <w:szCs w:val="18"/>
        </w:rPr>
        <w:t xml:space="preserve"> appear in the right hand column.</w:t>
      </w:r>
      <w:r w:rsidRPr="00210F5D" w:rsidR="00B132C7">
        <w:rPr>
          <w:rFonts w:ascii="Times New Roman" w:hAnsi="Times New Roman" w:cs="Times New Roman"/>
          <w:sz w:val="18"/>
          <w:szCs w:val="18"/>
        </w:rPr>
        <w:t xml:space="preserve"> Note that a wide variety of process changes might result, depending on the industry, the findings of the analysis or audit, the specific facility</w:t>
      </w:r>
      <w:r w:rsidRPr="00210F5D" w:rsidR="00D40366">
        <w:rPr>
          <w:rFonts w:ascii="Times New Roman" w:hAnsi="Times New Roman" w:cs="Times New Roman"/>
          <w:sz w:val="18"/>
          <w:szCs w:val="18"/>
        </w:rPr>
        <w:t xml:space="preserve"> or process</w:t>
      </w:r>
      <w:r w:rsidRPr="00210F5D" w:rsidR="00B132C7">
        <w:rPr>
          <w:rFonts w:ascii="Times New Roman" w:hAnsi="Times New Roman" w:cs="Times New Roman"/>
          <w:sz w:val="18"/>
          <w:szCs w:val="18"/>
        </w:rPr>
        <w:t xml:space="preserve">, and </w:t>
      </w:r>
      <w:r w:rsidRPr="00210F5D" w:rsidR="00D40366">
        <w:rPr>
          <w:rFonts w:ascii="Times New Roman" w:hAnsi="Times New Roman" w:cs="Times New Roman"/>
          <w:sz w:val="18"/>
          <w:szCs w:val="18"/>
        </w:rPr>
        <w:t>so on</w:t>
      </w:r>
      <w:r w:rsidRPr="00210F5D" w:rsidR="00B132C7">
        <w:rPr>
          <w:rFonts w:ascii="Times New Roman" w:hAnsi="Times New Roman" w:cs="Times New Roman"/>
          <w:sz w:val="18"/>
          <w:szCs w:val="18"/>
        </w:rPr>
        <w:t>.</w:t>
      </w:r>
    </w:p>
    <w:p w:rsidR="00EE6324" w:rsidRPr="00BF42A8" w:rsidP="00BF42A8" w14:paraId="0BE9884D" w14:textId="77777777">
      <w:pPr>
        <w:spacing w:after="0" w:line="240" w:lineRule="auto"/>
        <w:ind w:left="813"/>
        <w:rPr>
          <w:rFonts w:ascii="Times New Roman" w:hAnsi="Times New Roman" w:cs="Times New Roman"/>
        </w:rPr>
      </w:pPr>
    </w:p>
    <w:p w:rsidR="002E69F6" w:rsidP="00BF42A8" w14:paraId="191EA633"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sidR="00E93325">
        <w:rPr>
          <w:rFonts w:ascii="Times New Roman" w:hAnsi="Times New Roman" w:cs="Times New Roman"/>
        </w:rPr>
        <w:t xml:space="preserve">As Exhibit 6-1 indicates, each rule provision </w:t>
      </w:r>
      <w:r w:rsidR="00882CB9">
        <w:rPr>
          <w:rFonts w:ascii="Times New Roman" w:hAnsi="Times New Roman" w:cs="Times New Roman"/>
        </w:rPr>
        <w:t>is expected to generate</w:t>
      </w:r>
      <w:r w:rsidRPr="00BF42A8" w:rsidR="00E93325">
        <w:rPr>
          <w:rFonts w:ascii="Times New Roman" w:hAnsi="Times New Roman" w:cs="Times New Roman"/>
        </w:rPr>
        <w:t xml:space="preserve"> social benefits in multiple benefit categories. The primary social benefit category for each rule provision is indicated in bold type. Exhibit 6-1 indicates, for example, that performing </w:t>
      </w:r>
      <w:r>
        <w:rPr>
          <w:rFonts w:ascii="Times New Roman" w:hAnsi="Times New Roman" w:cs="Times New Roman"/>
        </w:rPr>
        <w:t xml:space="preserve">an </w:t>
      </w:r>
      <w:r w:rsidRPr="00BF42A8" w:rsidR="00E93325">
        <w:rPr>
          <w:rFonts w:ascii="Times New Roman" w:hAnsi="Times New Roman" w:cs="Times New Roman"/>
        </w:rPr>
        <w:t>accident root cause analysis</w:t>
      </w:r>
      <w:r w:rsidR="00C949C1">
        <w:rPr>
          <w:rFonts w:ascii="Times New Roman" w:hAnsi="Times New Roman" w:cs="Times New Roman"/>
        </w:rPr>
        <w:t xml:space="preserve"> is expected to reduce the risks and magnitudes of </w:t>
      </w:r>
      <w:r w:rsidRPr="00BF42A8" w:rsidR="00E93325">
        <w:rPr>
          <w:rFonts w:ascii="Times New Roman" w:hAnsi="Times New Roman" w:cs="Times New Roman"/>
        </w:rPr>
        <w:t xml:space="preserve">future </w:t>
      </w:r>
      <w:r w:rsidR="00AF2BE8">
        <w:rPr>
          <w:rFonts w:ascii="Times New Roman" w:hAnsi="Times New Roman" w:cs="Times New Roman"/>
        </w:rPr>
        <w:t xml:space="preserve">RMP and non-RMP </w:t>
      </w:r>
      <w:r w:rsidRPr="00BF42A8" w:rsidR="00E93325">
        <w:rPr>
          <w:rFonts w:ascii="Times New Roman" w:hAnsi="Times New Roman" w:cs="Times New Roman"/>
        </w:rPr>
        <w:t>accidents</w:t>
      </w:r>
      <w:r w:rsidR="00AF2BE8">
        <w:rPr>
          <w:rFonts w:ascii="Times New Roman" w:hAnsi="Times New Roman" w:cs="Times New Roman"/>
        </w:rPr>
        <w:t xml:space="preserve"> at RMP facilities</w:t>
      </w:r>
      <w:r w:rsidR="00231172">
        <w:rPr>
          <w:rFonts w:ascii="Times New Roman" w:hAnsi="Times New Roman" w:cs="Times New Roman"/>
        </w:rPr>
        <w:t xml:space="preserve"> and of major catastrophes</w:t>
      </w:r>
      <w:r w:rsidR="00AF2BE8">
        <w:rPr>
          <w:rFonts w:ascii="Times New Roman" w:hAnsi="Times New Roman" w:cs="Times New Roman"/>
        </w:rPr>
        <w:t xml:space="preserve">. </w:t>
      </w:r>
      <w:r>
        <w:rPr>
          <w:rFonts w:ascii="Times New Roman" w:hAnsi="Times New Roman" w:cs="Times New Roman"/>
        </w:rPr>
        <w:t>The</w:t>
      </w:r>
      <w:r w:rsidRPr="00BF42A8" w:rsidR="00E93325">
        <w:rPr>
          <w:rFonts w:ascii="Times New Roman" w:hAnsi="Times New Roman" w:cs="Times New Roman"/>
        </w:rPr>
        <w:t xml:space="preserve"> </w:t>
      </w:r>
      <w:r w:rsidRPr="00BF42A8" w:rsidR="00DC4D13">
        <w:rPr>
          <w:rFonts w:ascii="Times New Roman" w:hAnsi="Times New Roman" w:cs="Times New Roman"/>
        </w:rPr>
        <w:t>emergency response provisions</w:t>
      </w:r>
      <w:r w:rsidR="00AF2BE8">
        <w:rPr>
          <w:rFonts w:ascii="Times New Roman" w:hAnsi="Times New Roman" w:cs="Times New Roman"/>
        </w:rPr>
        <w:t xml:space="preserve"> </w:t>
      </w:r>
      <w:r>
        <w:rPr>
          <w:rFonts w:ascii="Times New Roman" w:hAnsi="Times New Roman" w:cs="Times New Roman"/>
        </w:rPr>
        <w:t>are</w:t>
      </w:r>
      <w:r w:rsidR="00AF2BE8">
        <w:rPr>
          <w:rFonts w:ascii="Times New Roman" w:hAnsi="Times New Roman" w:cs="Times New Roman"/>
        </w:rPr>
        <w:t xml:space="preserve"> another example</w:t>
      </w:r>
      <w:r w:rsidR="00E96D3B">
        <w:rPr>
          <w:rFonts w:ascii="Times New Roman" w:hAnsi="Times New Roman" w:cs="Times New Roman"/>
        </w:rPr>
        <w:t>. The provisions</w:t>
      </w:r>
      <w:r w:rsidRPr="00BF42A8" w:rsidR="00DC4D13">
        <w:rPr>
          <w:rFonts w:ascii="Times New Roman" w:hAnsi="Times New Roman" w:cs="Times New Roman"/>
        </w:rPr>
        <w:t xml:space="preserve"> requir</w:t>
      </w:r>
      <w:r w:rsidR="00E96D3B">
        <w:rPr>
          <w:rFonts w:ascii="Times New Roman" w:hAnsi="Times New Roman" w:cs="Times New Roman"/>
        </w:rPr>
        <w:t>e</w:t>
      </w:r>
      <w:r w:rsidRPr="00BF42A8" w:rsidR="00DC4D13">
        <w:rPr>
          <w:rFonts w:ascii="Times New Roman" w:hAnsi="Times New Roman" w:cs="Times New Roman"/>
        </w:rPr>
        <w:t xml:space="preserve"> a </w:t>
      </w:r>
      <w:r w:rsidRPr="00BF42A8" w:rsidR="00EE6035">
        <w:rPr>
          <w:rFonts w:ascii="Times New Roman" w:hAnsi="Times New Roman" w:cs="Times New Roman"/>
        </w:rPr>
        <w:t>community notification</w:t>
      </w:r>
      <w:r w:rsidRPr="00BF42A8" w:rsidR="00E93325">
        <w:rPr>
          <w:rFonts w:ascii="Times New Roman" w:hAnsi="Times New Roman" w:cs="Times New Roman"/>
        </w:rPr>
        <w:t xml:space="preserve"> </w:t>
      </w:r>
      <w:r w:rsidRPr="00BF42A8" w:rsidR="00DC4D13">
        <w:rPr>
          <w:rFonts w:ascii="Times New Roman" w:hAnsi="Times New Roman" w:cs="Times New Roman"/>
        </w:rPr>
        <w:t>system</w:t>
      </w:r>
      <w:r w:rsidRPr="00BF42A8" w:rsidR="00E93325">
        <w:rPr>
          <w:rFonts w:ascii="Times New Roman" w:hAnsi="Times New Roman" w:cs="Times New Roman"/>
        </w:rPr>
        <w:t xml:space="preserve"> </w:t>
      </w:r>
      <w:r w:rsidR="00E96D3B">
        <w:rPr>
          <w:rFonts w:ascii="Times New Roman" w:hAnsi="Times New Roman" w:cs="Times New Roman"/>
        </w:rPr>
        <w:t xml:space="preserve">which </w:t>
      </w:r>
      <w:r w:rsidRPr="00BF42A8" w:rsidR="00E93325">
        <w:rPr>
          <w:rFonts w:ascii="Times New Roman" w:hAnsi="Times New Roman" w:cs="Times New Roman"/>
        </w:rPr>
        <w:t>helps</w:t>
      </w:r>
      <w:r w:rsidRPr="00BF42A8" w:rsidR="00EE6035">
        <w:rPr>
          <w:rFonts w:ascii="Times New Roman" w:hAnsi="Times New Roman" w:cs="Times New Roman"/>
        </w:rPr>
        <w:t xml:space="preserve"> improve information available to the public</w:t>
      </w:r>
      <w:r w:rsidR="007A2417">
        <w:rPr>
          <w:rFonts w:ascii="Times New Roman" w:hAnsi="Times New Roman" w:cs="Times New Roman"/>
        </w:rPr>
        <w:t xml:space="preserve"> and emergency responders. This will</w:t>
      </w:r>
      <w:r w:rsidRPr="00BF42A8" w:rsidR="00E93325">
        <w:rPr>
          <w:rFonts w:ascii="Times New Roman" w:hAnsi="Times New Roman" w:cs="Times New Roman"/>
        </w:rPr>
        <w:t xml:space="preserve"> mitigate future </w:t>
      </w:r>
      <w:r w:rsidR="007A2417">
        <w:rPr>
          <w:rFonts w:ascii="Times New Roman" w:hAnsi="Times New Roman" w:cs="Times New Roman"/>
        </w:rPr>
        <w:t xml:space="preserve">RMP </w:t>
      </w:r>
      <w:r w:rsidRPr="00BF42A8" w:rsidR="00E93325">
        <w:rPr>
          <w:rFonts w:ascii="Times New Roman" w:hAnsi="Times New Roman" w:cs="Times New Roman"/>
        </w:rPr>
        <w:t>accident</w:t>
      </w:r>
      <w:r w:rsidR="007A2417">
        <w:rPr>
          <w:rFonts w:ascii="Times New Roman" w:hAnsi="Times New Roman" w:cs="Times New Roman"/>
        </w:rPr>
        <w:t>s as well as</w:t>
      </w:r>
      <w:r w:rsidRPr="00BF42A8" w:rsidR="00E93325">
        <w:rPr>
          <w:rFonts w:ascii="Times New Roman" w:hAnsi="Times New Roman" w:cs="Times New Roman"/>
        </w:rPr>
        <w:t xml:space="preserve"> impacts</w:t>
      </w:r>
      <w:r w:rsidR="007A2417">
        <w:rPr>
          <w:rFonts w:ascii="Times New Roman" w:hAnsi="Times New Roman" w:cs="Times New Roman"/>
        </w:rPr>
        <w:t xml:space="preserve"> of non</w:t>
      </w:r>
      <w:r>
        <w:rPr>
          <w:rFonts w:ascii="Times New Roman" w:hAnsi="Times New Roman" w:cs="Times New Roman"/>
        </w:rPr>
        <w:t>-</w:t>
      </w:r>
      <w:r w:rsidR="007A2417">
        <w:rPr>
          <w:rFonts w:ascii="Times New Roman" w:hAnsi="Times New Roman" w:cs="Times New Roman"/>
        </w:rPr>
        <w:t>RMP accidents at RMP facilities</w:t>
      </w:r>
      <w:r w:rsidRPr="00BF42A8" w:rsidR="00E93325">
        <w:rPr>
          <w:rFonts w:ascii="Times New Roman" w:hAnsi="Times New Roman" w:cs="Times New Roman"/>
        </w:rPr>
        <w:t xml:space="preserve">. </w:t>
      </w:r>
    </w:p>
    <w:p w:rsidR="00DA21E6" w:rsidP="00BF42A8" w14:paraId="47DABD28" w14:textId="77777777">
      <w:pPr>
        <w:spacing w:after="0" w:line="240" w:lineRule="auto"/>
        <w:ind w:firstLine="360"/>
        <w:rPr>
          <w:rFonts w:ascii="Times New Roman" w:hAnsi="Times New Roman" w:cs="Times New Roman"/>
        </w:rPr>
      </w:pPr>
    </w:p>
    <w:p w:rsidR="00DA21E6" w:rsidP="00BF42A8" w14:paraId="2D977E13" w14:textId="77777777">
      <w:pPr>
        <w:spacing w:after="0" w:line="240" w:lineRule="auto"/>
        <w:ind w:firstLine="360"/>
        <w:rPr>
          <w:rFonts w:ascii="Times New Roman" w:hAnsi="Times New Roman" w:cs="Times New Roman"/>
        </w:rPr>
      </w:pPr>
      <w:r>
        <w:rPr>
          <w:rFonts w:ascii="Times New Roman" w:hAnsi="Times New Roman" w:cs="Times New Roman"/>
        </w:rPr>
        <w:tab/>
      </w:r>
      <w:r w:rsidR="00587A4C">
        <w:rPr>
          <w:rFonts w:ascii="Times New Roman" w:hAnsi="Times New Roman" w:cs="Times New Roman"/>
        </w:rPr>
        <w:t>T</w:t>
      </w:r>
      <w:r w:rsidR="00F9100C">
        <w:rPr>
          <w:rFonts w:ascii="Times New Roman" w:hAnsi="Times New Roman" w:cs="Times New Roman"/>
        </w:rPr>
        <w:t xml:space="preserve">he following sections discuss each primary benefit category in more detail: </w:t>
      </w:r>
      <w:r w:rsidR="00FB2D09">
        <w:rPr>
          <w:rFonts w:ascii="Times New Roman" w:hAnsi="Times New Roman" w:cs="Times New Roman"/>
        </w:rPr>
        <w:t>a</w:t>
      </w:r>
      <w:r w:rsidR="001440CE">
        <w:rPr>
          <w:rFonts w:ascii="Times New Roman" w:hAnsi="Times New Roman" w:cs="Times New Roman"/>
        </w:rPr>
        <w:t xml:space="preserve">ccident </w:t>
      </w:r>
      <w:r w:rsidR="00FB2D09">
        <w:rPr>
          <w:rFonts w:ascii="Times New Roman" w:hAnsi="Times New Roman" w:cs="Times New Roman"/>
        </w:rPr>
        <w:t>p</w:t>
      </w:r>
      <w:r w:rsidR="001440CE">
        <w:rPr>
          <w:rFonts w:ascii="Times New Roman" w:hAnsi="Times New Roman" w:cs="Times New Roman"/>
        </w:rPr>
        <w:t xml:space="preserve">revention, accident mitigation, and information provision. </w:t>
      </w:r>
      <w:r>
        <w:rPr>
          <w:rFonts w:ascii="Times New Roman" w:hAnsi="Times New Roman" w:cs="Times New Roman"/>
        </w:rPr>
        <w:t xml:space="preserve">Each of the primary social </w:t>
      </w:r>
      <w:r w:rsidR="00441DAC">
        <w:rPr>
          <w:rFonts w:ascii="Times New Roman" w:hAnsi="Times New Roman" w:cs="Times New Roman"/>
        </w:rPr>
        <w:t>benefit</w:t>
      </w:r>
      <w:r>
        <w:rPr>
          <w:rFonts w:ascii="Times New Roman" w:hAnsi="Times New Roman" w:cs="Times New Roman"/>
        </w:rPr>
        <w:t xml:space="preserve"> categories identified in Exhibit 6-1 is associated with more specific benefits</w:t>
      </w:r>
      <w:r w:rsidR="00587A4C">
        <w:rPr>
          <w:rFonts w:ascii="Times New Roman" w:hAnsi="Times New Roman" w:cs="Times New Roman"/>
        </w:rPr>
        <w:t xml:space="preserve"> which are</w:t>
      </w:r>
      <w:r>
        <w:rPr>
          <w:rFonts w:ascii="Times New Roman" w:hAnsi="Times New Roman" w:cs="Times New Roman"/>
        </w:rPr>
        <w:t xml:space="preserve"> elaborate</w:t>
      </w:r>
      <w:r w:rsidR="00587A4C">
        <w:rPr>
          <w:rFonts w:ascii="Times New Roman" w:hAnsi="Times New Roman" w:cs="Times New Roman"/>
        </w:rPr>
        <w:t>d</w:t>
      </w:r>
      <w:r>
        <w:rPr>
          <w:rFonts w:ascii="Times New Roman" w:hAnsi="Times New Roman" w:cs="Times New Roman"/>
        </w:rPr>
        <w:t xml:space="preserve"> </w:t>
      </w:r>
      <w:r w:rsidR="00441DAC">
        <w:rPr>
          <w:rFonts w:ascii="Times New Roman" w:hAnsi="Times New Roman" w:cs="Times New Roman"/>
        </w:rPr>
        <w:t xml:space="preserve">in the </w:t>
      </w:r>
      <w:r w:rsidR="00DF3D36">
        <w:rPr>
          <w:rFonts w:ascii="Times New Roman" w:hAnsi="Times New Roman" w:cs="Times New Roman"/>
        </w:rPr>
        <w:t xml:space="preserve">conclusion of this chapter and the </w:t>
      </w:r>
      <w:r w:rsidR="00441DAC">
        <w:rPr>
          <w:rFonts w:ascii="Times New Roman" w:hAnsi="Times New Roman" w:cs="Times New Roman"/>
        </w:rPr>
        <w:t>discussion of Exhibit 6-</w:t>
      </w:r>
      <w:r w:rsidR="00DF3D36">
        <w:rPr>
          <w:rFonts w:ascii="Times New Roman" w:hAnsi="Times New Roman" w:cs="Times New Roman"/>
        </w:rPr>
        <w:t>3.</w:t>
      </w:r>
    </w:p>
    <w:p w:rsidR="00BF42A8" w:rsidRPr="00BF42A8" w:rsidP="00BF42A8" w14:paraId="27CC70E0" w14:textId="77777777">
      <w:pPr>
        <w:spacing w:after="0" w:line="240" w:lineRule="auto"/>
        <w:ind w:firstLine="360"/>
        <w:rPr>
          <w:rFonts w:ascii="Times New Roman" w:hAnsi="Times New Roman" w:cs="Times New Roman"/>
        </w:rPr>
      </w:pPr>
    </w:p>
    <w:p w:rsidR="00E93325" w:rsidRPr="0041607D" w:rsidP="0041607D" w14:paraId="69131046" w14:textId="77777777">
      <w:pPr>
        <w:pStyle w:val="Heading3"/>
        <w:rPr>
          <w:rFonts w:ascii="Times New Roman" w:hAnsi="Times New Roman" w:cs="Times New Roman"/>
          <w:sz w:val="22"/>
          <w:szCs w:val="22"/>
        </w:rPr>
      </w:pPr>
      <w:bookmarkStart w:id="360" w:name="_Toc141733180"/>
      <w:bookmarkStart w:id="361" w:name="_Toc142404084"/>
      <w:bookmarkStart w:id="362" w:name="_Toc144213892"/>
      <w:bookmarkStart w:id="363" w:name="_Toc144283637"/>
      <w:bookmarkStart w:id="364" w:name="_Toc144303575"/>
      <w:r w:rsidRPr="0041607D">
        <w:rPr>
          <w:rFonts w:ascii="Times New Roman" w:hAnsi="Times New Roman" w:cs="Times New Roman"/>
          <w:sz w:val="22"/>
          <w:szCs w:val="22"/>
        </w:rPr>
        <w:t>6.1.1 Prevention</w:t>
      </w:r>
      <w:bookmarkEnd w:id="360"/>
      <w:bookmarkEnd w:id="361"/>
      <w:bookmarkEnd w:id="362"/>
      <w:bookmarkEnd w:id="363"/>
      <w:bookmarkEnd w:id="364"/>
    </w:p>
    <w:p w:rsidR="00330372" w:rsidP="00BF42A8" w14:paraId="1B643189" w14:textId="77777777">
      <w:pPr>
        <w:spacing w:after="0" w:line="240" w:lineRule="auto"/>
        <w:ind w:firstLine="360"/>
        <w:rPr>
          <w:rFonts w:ascii="Times New Roman" w:hAnsi="Times New Roman" w:cs="Times New Roman"/>
        </w:rPr>
      </w:pPr>
      <w:r>
        <w:rPr>
          <w:rFonts w:ascii="Times New Roman" w:hAnsi="Times New Roman" w:cs="Times New Roman"/>
        </w:rPr>
        <w:tab/>
      </w:r>
      <w:r w:rsidR="00C951C8">
        <w:rPr>
          <w:rFonts w:ascii="Times New Roman" w:hAnsi="Times New Roman" w:cs="Times New Roman"/>
        </w:rPr>
        <w:t>Final</w:t>
      </w:r>
      <w:r w:rsidRPr="00BF42A8" w:rsidR="00C951C8">
        <w:rPr>
          <w:rFonts w:ascii="Times New Roman" w:hAnsi="Times New Roman" w:cs="Times New Roman"/>
        </w:rPr>
        <w:t xml:space="preserve"> </w:t>
      </w:r>
      <w:r w:rsidRPr="00BF42A8" w:rsidR="00E93325">
        <w:rPr>
          <w:rFonts w:ascii="Times New Roman" w:hAnsi="Times New Roman" w:cs="Times New Roman"/>
        </w:rPr>
        <w:t xml:space="preserve">rule provisions </w:t>
      </w:r>
      <w:r w:rsidRPr="00BF42A8" w:rsidR="00E02973">
        <w:rPr>
          <w:rFonts w:ascii="Times New Roman" w:hAnsi="Times New Roman" w:cs="Times New Roman"/>
        </w:rPr>
        <w:t xml:space="preserve">for </w:t>
      </w:r>
      <w:r w:rsidR="001B67B5">
        <w:rPr>
          <w:rFonts w:ascii="Times New Roman" w:hAnsi="Times New Roman" w:cs="Times New Roman"/>
        </w:rPr>
        <w:t>STAA</w:t>
      </w:r>
      <w:r w:rsidRPr="00BF42A8" w:rsidR="00E02973">
        <w:rPr>
          <w:rFonts w:ascii="Times New Roman" w:hAnsi="Times New Roman" w:cs="Times New Roman"/>
        </w:rPr>
        <w:t>,</w:t>
      </w:r>
      <w:r w:rsidR="001B67B5">
        <w:rPr>
          <w:rFonts w:ascii="Times New Roman" w:hAnsi="Times New Roman" w:cs="Times New Roman"/>
        </w:rPr>
        <w:t xml:space="preserve"> </w:t>
      </w:r>
      <w:r w:rsidRPr="00BF42A8" w:rsidR="001B67B5">
        <w:rPr>
          <w:rFonts w:ascii="Times New Roman" w:hAnsi="Times New Roman" w:cs="Times New Roman"/>
        </w:rPr>
        <w:t>root cause analysis</w:t>
      </w:r>
      <w:r w:rsidR="00CD736C">
        <w:rPr>
          <w:rFonts w:ascii="Times New Roman" w:hAnsi="Times New Roman" w:cs="Times New Roman"/>
        </w:rPr>
        <w:t>,</w:t>
      </w:r>
      <w:r w:rsidRPr="00BF42A8" w:rsidR="00E02973">
        <w:rPr>
          <w:rFonts w:ascii="Times New Roman" w:hAnsi="Times New Roman" w:cs="Times New Roman"/>
        </w:rPr>
        <w:t xml:space="preserve"> </w:t>
      </w:r>
      <w:r w:rsidRPr="00BF42A8" w:rsidR="001B67B5">
        <w:rPr>
          <w:rFonts w:ascii="Times New Roman" w:hAnsi="Times New Roman" w:cs="Times New Roman"/>
        </w:rPr>
        <w:t>third-party audit</w:t>
      </w:r>
      <w:r w:rsidR="001B67B5">
        <w:rPr>
          <w:rFonts w:ascii="Times New Roman" w:hAnsi="Times New Roman" w:cs="Times New Roman"/>
        </w:rPr>
        <w:t>s</w:t>
      </w:r>
      <w:r w:rsidR="00CD736C">
        <w:rPr>
          <w:rFonts w:ascii="Times New Roman" w:hAnsi="Times New Roman" w:cs="Times New Roman"/>
        </w:rPr>
        <w:t>, and employee participation</w:t>
      </w:r>
      <w:r w:rsidRPr="00BF42A8" w:rsidR="00E93325">
        <w:rPr>
          <w:rFonts w:ascii="Times New Roman" w:hAnsi="Times New Roman" w:cs="Times New Roman"/>
        </w:rPr>
        <w:t xml:space="preserve"> </w:t>
      </w:r>
      <w:r w:rsidR="006A5655">
        <w:rPr>
          <w:rFonts w:ascii="Times New Roman" w:hAnsi="Times New Roman" w:cs="Times New Roman"/>
        </w:rPr>
        <w:t>plans</w:t>
      </w:r>
      <w:r w:rsidRPr="00BF42A8" w:rsidR="00E93325">
        <w:rPr>
          <w:rFonts w:ascii="Times New Roman" w:hAnsi="Times New Roman" w:cs="Times New Roman"/>
        </w:rPr>
        <w:t xml:space="preserve"> involve changes to the </w:t>
      </w:r>
      <w:r w:rsidR="008D6FF1">
        <w:rPr>
          <w:rFonts w:ascii="Times New Roman" w:hAnsi="Times New Roman" w:cs="Times New Roman"/>
        </w:rPr>
        <w:t xml:space="preserve">current </w:t>
      </w:r>
      <w:r w:rsidRPr="00BF42A8" w:rsidR="005B5904">
        <w:rPr>
          <w:rFonts w:ascii="Times New Roman" w:hAnsi="Times New Roman" w:cs="Times New Roman"/>
        </w:rPr>
        <w:t>RMP</w:t>
      </w:r>
      <w:r w:rsidRPr="00BF42A8" w:rsidR="00E93325">
        <w:rPr>
          <w:rFonts w:ascii="Times New Roman" w:hAnsi="Times New Roman" w:cs="Times New Roman"/>
        </w:rPr>
        <w:t xml:space="preserve"> rule’s accident prevention program elements and are intended to lower the likelihood of future accidents of the same or similar type. </w:t>
      </w:r>
    </w:p>
    <w:p w:rsidR="00330372" w:rsidP="00BF42A8" w14:paraId="6DCD2205" w14:textId="77777777">
      <w:pPr>
        <w:spacing w:after="0" w:line="240" w:lineRule="auto"/>
        <w:ind w:firstLine="360"/>
        <w:rPr>
          <w:rFonts w:ascii="Times New Roman" w:hAnsi="Times New Roman" w:cs="Times New Roman"/>
        </w:rPr>
      </w:pPr>
    </w:p>
    <w:p w:rsidR="009D51AD" w:rsidP="00330372" w14:paraId="719EFE11"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sidR="00330372">
        <w:rPr>
          <w:rFonts w:ascii="Times New Roman" w:hAnsi="Times New Roman" w:cs="Times New Roman"/>
        </w:rPr>
        <w:t xml:space="preserve">The STAA requirement </w:t>
      </w:r>
      <w:r w:rsidR="00E07965">
        <w:rPr>
          <w:rFonts w:ascii="Times New Roman" w:hAnsi="Times New Roman" w:cs="Times New Roman"/>
        </w:rPr>
        <w:t>applies to</w:t>
      </w:r>
      <w:r w:rsidRPr="00BF42A8" w:rsidR="00330372">
        <w:rPr>
          <w:rFonts w:ascii="Times New Roman" w:hAnsi="Times New Roman" w:cs="Times New Roman"/>
        </w:rPr>
        <w:t xml:space="preserve"> facilities</w:t>
      </w:r>
      <w:r w:rsidR="008E5A42">
        <w:rPr>
          <w:rFonts w:ascii="Times New Roman" w:hAnsi="Times New Roman" w:cs="Times New Roman"/>
        </w:rPr>
        <w:t xml:space="preserve"> with a </w:t>
      </w:r>
      <w:r w:rsidR="000003CD">
        <w:rPr>
          <w:rFonts w:ascii="Times New Roman" w:hAnsi="Times New Roman" w:cs="Times New Roman"/>
        </w:rPr>
        <w:t xml:space="preserve">Program 3 </w:t>
      </w:r>
      <w:r w:rsidR="008E5A42">
        <w:rPr>
          <w:rFonts w:ascii="Times New Roman" w:hAnsi="Times New Roman" w:cs="Times New Roman"/>
        </w:rPr>
        <w:t>process</w:t>
      </w:r>
      <w:r w:rsidRPr="00BF42A8" w:rsidR="00330372">
        <w:rPr>
          <w:rFonts w:ascii="Times New Roman" w:hAnsi="Times New Roman" w:cs="Times New Roman"/>
        </w:rPr>
        <w:t xml:space="preserve"> </w:t>
      </w:r>
      <w:r w:rsidR="008E5A42">
        <w:rPr>
          <w:rFonts w:ascii="Times New Roman" w:hAnsi="Times New Roman" w:cs="Times New Roman"/>
        </w:rPr>
        <w:t xml:space="preserve">in </w:t>
      </w:r>
      <w:r w:rsidRPr="00BF42A8" w:rsidR="008E5A42">
        <w:rPr>
          <w:rFonts w:ascii="Times New Roman" w:hAnsi="Times New Roman" w:cs="Times New Roman"/>
        </w:rPr>
        <w:t>NAICS 324 or 325</w:t>
      </w:r>
      <w:r w:rsidR="00E703E9">
        <w:rPr>
          <w:rFonts w:ascii="Times New Roman" w:hAnsi="Times New Roman" w:cs="Times New Roman"/>
        </w:rPr>
        <w:t xml:space="preserve">. The </w:t>
      </w:r>
      <w:r w:rsidR="00E25B3A">
        <w:rPr>
          <w:rFonts w:ascii="Times New Roman" w:hAnsi="Times New Roman" w:cs="Times New Roman"/>
        </w:rPr>
        <w:t>practicability assessment</w:t>
      </w:r>
      <w:r w:rsidR="00E703E9">
        <w:rPr>
          <w:rFonts w:ascii="Times New Roman" w:hAnsi="Times New Roman" w:cs="Times New Roman"/>
        </w:rPr>
        <w:t xml:space="preserve"> portion of the requirement applies</w:t>
      </w:r>
      <w:r w:rsidR="00576832">
        <w:rPr>
          <w:rFonts w:ascii="Times New Roman" w:hAnsi="Times New Roman" w:cs="Times New Roman"/>
        </w:rPr>
        <w:t xml:space="preserve"> only</w:t>
      </w:r>
      <w:r w:rsidR="00E703E9">
        <w:rPr>
          <w:rFonts w:ascii="Times New Roman" w:hAnsi="Times New Roman" w:cs="Times New Roman"/>
        </w:rPr>
        <w:t xml:space="preserve"> t</w:t>
      </w:r>
      <w:r w:rsidR="007465D5">
        <w:rPr>
          <w:rFonts w:ascii="Times New Roman" w:hAnsi="Times New Roman" w:cs="Times New Roman"/>
        </w:rPr>
        <w:t>o Program 3 NAICS 324/325</w:t>
      </w:r>
      <w:r w:rsidR="00E703E9">
        <w:rPr>
          <w:rFonts w:ascii="Times New Roman" w:hAnsi="Times New Roman" w:cs="Times New Roman"/>
        </w:rPr>
        <w:t xml:space="preserve"> facilities</w:t>
      </w:r>
      <w:r w:rsidR="007F476E">
        <w:rPr>
          <w:rFonts w:ascii="Times New Roman" w:hAnsi="Times New Roman" w:cs="Times New Roman"/>
        </w:rPr>
        <w:t xml:space="preserve"> that had accident</w:t>
      </w:r>
      <w:r w:rsidR="00DC7F84">
        <w:rPr>
          <w:rFonts w:ascii="Times New Roman" w:hAnsi="Times New Roman" w:cs="Times New Roman"/>
        </w:rPr>
        <w:t xml:space="preserve"> since their last PHA</w:t>
      </w:r>
      <w:r w:rsidR="007F476E">
        <w:rPr>
          <w:rFonts w:ascii="Times New Roman" w:hAnsi="Times New Roman" w:cs="Times New Roman"/>
        </w:rPr>
        <w:t>,</w:t>
      </w:r>
      <w:r w:rsidRPr="00BF42A8" w:rsidR="008E5A42">
        <w:rPr>
          <w:rFonts w:ascii="Times New Roman" w:hAnsi="Times New Roman" w:cs="Times New Roman"/>
        </w:rPr>
        <w:t xml:space="preserve"> that are located </w:t>
      </w:r>
      <w:r w:rsidRPr="009929B8" w:rsidR="008E5A42">
        <w:rPr>
          <w:rFonts w:ascii="Times New Roman" w:hAnsi="Times New Roman" w:cs="Times New Roman"/>
        </w:rPr>
        <w:t xml:space="preserve">within one mile of another facility </w:t>
      </w:r>
      <w:r w:rsidR="008E5A42">
        <w:rPr>
          <w:rFonts w:ascii="Times New Roman" w:hAnsi="Times New Roman" w:cs="Times New Roman"/>
        </w:rPr>
        <w:t>with</w:t>
      </w:r>
      <w:r w:rsidRPr="009929B8" w:rsidR="008E5A42">
        <w:rPr>
          <w:rFonts w:ascii="Times New Roman" w:hAnsi="Times New Roman" w:cs="Times New Roman"/>
        </w:rPr>
        <w:t xml:space="preserve"> a process in NAICS code 324 or 32</w:t>
      </w:r>
      <w:r w:rsidR="008E5A42">
        <w:rPr>
          <w:rFonts w:ascii="Times New Roman" w:hAnsi="Times New Roman" w:cs="Times New Roman"/>
        </w:rPr>
        <w:t>5, or that have</w:t>
      </w:r>
      <w:r w:rsidRPr="00BF42A8" w:rsidR="00330372">
        <w:rPr>
          <w:rFonts w:ascii="Times New Roman" w:hAnsi="Times New Roman" w:cs="Times New Roman"/>
        </w:rPr>
        <w:t xml:space="preserve"> </w:t>
      </w:r>
      <w:r w:rsidR="008E5A42">
        <w:rPr>
          <w:rFonts w:ascii="Times New Roman" w:hAnsi="Times New Roman" w:cs="Times New Roman"/>
        </w:rPr>
        <w:t xml:space="preserve">an </w:t>
      </w:r>
      <w:r w:rsidRPr="00BF42A8" w:rsidR="00330372">
        <w:rPr>
          <w:rFonts w:ascii="Times New Roman" w:hAnsi="Times New Roman" w:cs="Times New Roman"/>
        </w:rPr>
        <w:t xml:space="preserve">HF alkylation </w:t>
      </w:r>
      <w:r w:rsidR="008E5A42">
        <w:rPr>
          <w:rFonts w:ascii="Times New Roman" w:hAnsi="Times New Roman" w:cs="Times New Roman"/>
        </w:rPr>
        <w:t>unit</w:t>
      </w:r>
      <w:r w:rsidR="00716FC5">
        <w:rPr>
          <w:rFonts w:ascii="Times New Roman" w:hAnsi="Times New Roman" w:cs="Times New Roman"/>
        </w:rPr>
        <w:t xml:space="preserve"> in a NAICS 324 process</w:t>
      </w:r>
      <w:r w:rsidRPr="00BF42A8" w:rsidR="00330372">
        <w:rPr>
          <w:rFonts w:ascii="Times New Roman" w:hAnsi="Times New Roman" w:cs="Times New Roman"/>
        </w:rPr>
        <w:t xml:space="preserve">. The STAA should result in identification of potential process changes </w:t>
      </w:r>
      <w:r w:rsidR="009927CC">
        <w:rPr>
          <w:rFonts w:ascii="Times New Roman" w:hAnsi="Times New Roman" w:cs="Times New Roman"/>
        </w:rPr>
        <w:t>which</w:t>
      </w:r>
      <w:r w:rsidRPr="00BF42A8" w:rsidR="00330372">
        <w:rPr>
          <w:rFonts w:ascii="Times New Roman" w:hAnsi="Times New Roman" w:cs="Times New Roman"/>
        </w:rPr>
        <w:t xml:space="preserve">, if implemented, </w:t>
      </w:r>
      <w:r>
        <w:rPr>
          <w:rFonts w:ascii="Times New Roman" w:hAnsi="Times New Roman" w:cs="Times New Roman"/>
        </w:rPr>
        <w:t xml:space="preserve">will </w:t>
      </w:r>
      <w:r w:rsidRPr="00BF42A8" w:rsidR="00330372">
        <w:rPr>
          <w:rFonts w:ascii="Times New Roman" w:hAnsi="Times New Roman" w:cs="Times New Roman"/>
        </w:rPr>
        <w:t xml:space="preserve">result in owners or operators using less hazardous substances, minimizing the </w:t>
      </w:r>
      <w:r w:rsidR="00633F74">
        <w:rPr>
          <w:rFonts w:ascii="Times New Roman" w:hAnsi="Times New Roman" w:cs="Times New Roman"/>
        </w:rPr>
        <w:t>quantit</w:t>
      </w:r>
      <w:r w:rsidR="00B14559">
        <w:rPr>
          <w:rFonts w:ascii="Times New Roman" w:hAnsi="Times New Roman" w:cs="Times New Roman"/>
        </w:rPr>
        <w:t>ies</w:t>
      </w:r>
      <w:r w:rsidRPr="00BF42A8" w:rsidR="00330372">
        <w:rPr>
          <w:rFonts w:ascii="Times New Roman" w:hAnsi="Times New Roman" w:cs="Times New Roman"/>
        </w:rPr>
        <w:t xml:space="preserve"> of regulated substances present in a process, moderating process conditions, or reducing process complexity. </w:t>
      </w:r>
    </w:p>
    <w:p w:rsidR="009D51AD" w:rsidP="00330372" w14:paraId="7B85D3E0" w14:textId="77777777">
      <w:pPr>
        <w:spacing w:after="0" w:line="240" w:lineRule="auto"/>
        <w:ind w:firstLine="360"/>
        <w:rPr>
          <w:rFonts w:ascii="Times New Roman" w:hAnsi="Times New Roman" w:cs="Times New Roman"/>
        </w:rPr>
      </w:pPr>
    </w:p>
    <w:p w:rsidR="00330372" w:rsidP="00FA04B8" w14:paraId="581E2266" w14:textId="77777777">
      <w:pPr>
        <w:spacing w:after="0" w:line="240" w:lineRule="auto"/>
        <w:ind w:firstLine="720"/>
        <w:rPr>
          <w:rFonts w:ascii="Times New Roman" w:hAnsi="Times New Roman" w:cs="Times New Roman"/>
        </w:rPr>
      </w:pPr>
      <w:r w:rsidRPr="000308F2">
        <w:rPr>
          <w:rFonts w:ascii="Times New Roman" w:hAnsi="Times New Roman" w:cs="Times New Roman"/>
          <w:iCs/>
        </w:rPr>
        <w:t>Th</w:t>
      </w:r>
      <w:r w:rsidR="009D51AD">
        <w:rPr>
          <w:rFonts w:ascii="Times New Roman" w:hAnsi="Times New Roman" w:cs="Times New Roman"/>
          <w:iCs/>
        </w:rPr>
        <w:t>e</w:t>
      </w:r>
      <w:r w:rsidRPr="000308F2">
        <w:rPr>
          <w:rFonts w:ascii="Times New Roman" w:hAnsi="Times New Roman" w:cs="Times New Roman"/>
          <w:iCs/>
        </w:rPr>
        <w:t xml:space="preserve"> final rule </w:t>
      </w:r>
      <w:r>
        <w:rPr>
          <w:rFonts w:ascii="Times New Roman" w:hAnsi="Times New Roman" w:cs="Times New Roman"/>
          <w:iCs/>
        </w:rPr>
        <w:t>also requires</w:t>
      </w:r>
      <w:r w:rsidRPr="000308F2">
        <w:rPr>
          <w:rFonts w:ascii="Times New Roman" w:hAnsi="Times New Roman" w:cs="Times New Roman"/>
          <w:iCs/>
        </w:rPr>
        <w:t xml:space="preserve"> that facilities with Program 3 </w:t>
      </w:r>
      <w:r w:rsidR="009251F5">
        <w:rPr>
          <w:rFonts w:ascii="Times New Roman" w:hAnsi="Times New Roman" w:cs="Times New Roman"/>
          <w:iCs/>
        </w:rPr>
        <w:t xml:space="preserve">processes in </w:t>
      </w:r>
      <w:r w:rsidRPr="000308F2">
        <w:rPr>
          <w:rFonts w:ascii="Times New Roman" w:hAnsi="Times New Roman" w:cs="Times New Roman"/>
          <w:iCs/>
        </w:rPr>
        <w:t xml:space="preserve">NAICS </w:t>
      </w:r>
      <w:r w:rsidR="009251F5">
        <w:rPr>
          <w:rFonts w:ascii="Times New Roman" w:hAnsi="Times New Roman" w:cs="Times New Roman"/>
          <w:iCs/>
        </w:rPr>
        <w:t xml:space="preserve">code </w:t>
      </w:r>
      <w:r w:rsidRPr="000308F2">
        <w:rPr>
          <w:rFonts w:ascii="Times New Roman" w:hAnsi="Times New Roman" w:cs="Times New Roman"/>
          <w:iCs/>
        </w:rPr>
        <w:t xml:space="preserve">324 or 325 that have </w:t>
      </w:r>
      <w:r w:rsidR="009D51AD">
        <w:rPr>
          <w:rFonts w:ascii="Times New Roman" w:hAnsi="Times New Roman" w:cs="Times New Roman"/>
          <w:iCs/>
        </w:rPr>
        <w:t>had</w:t>
      </w:r>
      <w:r w:rsidRPr="000308F2">
        <w:rPr>
          <w:rFonts w:ascii="Times New Roman" w:hAnsi="Times New Roman" w:cs="Times New Roman"/>
          <w:iCs/>
        </w:rPr>
        <w:t xml:space="preserve"> an accident, have an HF unit in a 324 process, or are within 1 mile of another 324 or 325 facility implement a measure </w:t>
      </w:r>
      <w:r>
        <w:rPr>
          <w:rFonts w:ascii="Times New Roman" w:hAnsi="Times New Roman" w:cs="Times New Roman"/>
          <w:iCs/>
        </w:rPr>
        <w:t>(IST</w:t>
      </w:r>
      <w:r w:rsidR="00111F19">
        <w:rPr>
          <w:rFonts w:ascii="Times New Roman" w:hAnsi="Times New Roman" w:cs="Times New Roman"/>
          <w:iCs/>
        </w:rPr>
        <w:t>/ISD</w:t>
      </w:r>
      <w:r>
        <w:rPr>
          <w:rFonts w:ascii="Times New Roman" w:hAnsi="Times New Roman" w:cs="Times New Roman"/>
          <w:iCs/>
        </w:rPr>
        <w:t>, passive, active, or procedural)</w:t>
      </w:r>
      <w:r w:rsidRPr="000308F2">
        <w:rPr>
          <w:rFonts w:ascii="Times New Roman" w:hAnsi="Times New Roman" w:cs="Times New Roman"/>
          <w:iCs/>
        </w:rPr>
        <w:t xml:space="preserve"> or combination of </w:t>
      </w:r>
      <w:r w:rsidR="009D51AD">
        <w:rPr>
          <w:rFonts w:ascii="Times New Roman" w:hAnsi="Times New Roman" w:cs="Times New Roman"/>
          <w:iCs/>
        </w:rPr>
        <w:t xml:space="preserve">these </w:t>
      </w:r>
      <w:r w:rsidRPr="000308F2">
        <w:rPr>
          <w:rFonts w:ascii="Times New Roman" w:hAnsi="Times New Roman" w:cs="Times New Roman"/>
          <w:iCs/>
        </w:rPr>
        <w:t>measures</w:t>
      </w:r>
      <w:r>
        <w:rPr>
          <w:rFonts w:ascii="Times New Roman" w:hAnsi="Times New Roman" w:cs="Times New Roman"/>
          <w:iCs/>
        </w:rPr>
        <w:t xml:space="preserve"> </w:t>
      </w:r>
      <w:r w:rsidR="009D51AD">
        <w:rPr>
          <w:rFonts w:ascii="Times New Roman" w:hAnsi="Times New Roman" w:cs="Times New Roman"/>
          <w:iCs/>
        </w:rPr>
        <w:t>that</w:t>
      </w:r>
      <w:r>
        <w:rPr>
          <w:rFonts w:ascii="Times New Roman" w:hAnsi="Times New Roman" w:cs="Times New Roman"/>
          <w:iCs/>
        </w:rPr>
        <w:t xml:space="preserve"> </w:t>
      </w:r>
      <w:r w:rsidR="009A1823">
        <w:rPr>
          <w:rFonts w:ascii="Times New Roman" w:hAnsi="Times New Roman" w:cs="Times New Roman"/>
          <w:iCs/>
        </w:rPr>
        <w:t>reduc</w:t>
      </w:r>
      <w:r w:rsidR="009D51AD">
        <w:rPr>
          <w:rFonts w:ascii="Times New Roman" w:hAnsi="Times New Roman" w:cs="Times New Roman"/>
          <w:iCs/>
        </w:rPr>
        <w:t>e</w:t>
      </w:r>
      <w:r w:rsidR="009A1823">
        <w:rPr>
          <w:rFonts w:ascii="Times New Roman" w:hAnsi="Times New Roman" w:cs="Times New Roman"/>
          <w:iCs/>
        </w:rPr>
        <w:t xml:space="preserve"> risk</w:t>
      </w:r>
      <w:r w:rsidRPr="000308F2">
        <w:rPr>
          <w:rFonts w:ascii="Times New Roman" w:hAnsi="Times New Roman" w:cs="Times New Roman"/>
          <w:iCs/>
        </w:rPr>
        <w:t xml:space="preserve"> at least as much as </w:t>
      </w:r>
      <w:r w:rsidR="00EC6F2B">
        <w:rPr>
          <w:rFonts w:ascii="Times New Roman" w:hAnsi="Times New Roman" w:cs="Times New Roman"/>
          <w:iCs/>
        </w:rPr>
        <w:t xml:space="preserve">would </w:t>
      </w:r>
      <w:r w:rsidRPr="000308F2">
        <w:rPr>
          <w:rFonts w:ascii="Times New Roman" w:hAnsi="Times New Roman" w:cs="Times New Roman"/>
          <w:iCs/>
        </w:rPr>
        <w:t>a passive measure identified as practicable in the facility’s STAA.</w:t>
      </w:r>
      <w:r w:rsidR="00D86D46">
        <w:rPr>
          <w:rFonts w:ascii="Times New Roman" w:hAnsi="Times New Roman" w:cs="Times New Roman"/>
          <w:iCs/>
        </w:rPr>
        <w:t xml:space="preserve"> </w:t>
      </w:r>
      <w:r w:rsidRPr="00BF42A8">
        <w:rPr>
          <w:rFonts w:ascii="Times New Roman" w:hAnsi="Times New Roman" w:cs="Times New Roman"/>
        </w:rPr>
        <w:t>Such changes help reduce the prevalence of higher risk processes</w:t>
      </w:r>
      <w:r w:rsidR="009D51AD">
        <w:rPr>
          <w:rFonts w:ascii="Times New Roman" w:hAnsi="Times New Roman" w:cs="Times New Roman"/>
        </w:rPr>
        <w:t xml:space="preserve">. They </w:t>
      </w:r>
      <w:r w:rsidRPr="00BF42A8">
        <w:rPr>
          <w:rFonts w:ascii="Times New Roman" w:hAnsi="Times New Roman" w:cs="Times New Roman"/>
        </w:rPr>
        <w:t>prevent accidents by either eliminating the possibility of an accidental release entirely</w:t>
      </w:r>
      <w:r w:rsidR="009D51AD">
        <w:rPr>
          <w:rFonts w:ascii="Times New Roman" w:hAnsi="Times New Roman" w:cs="Times New Roman"/>
        </w:rPr>
        <w:t xml:space="preserve"> </w:t>
      </w:r>
      <w:r w:rsidRPr="00BF42A8">
        <w:rPr>
          <w:rFonts w:ascii="Times New Roman" w:hAnsi="Times New Roman" w:cs="Times New Roman"/>
        </w:rPr>
        <w:t>by making a process more fault-tolerant, such that a minor process upset, or equipment malfunction is less likely to result in a serious accidental release</w:t>
      </w:r>
      <w:r w:rsidR="009D51AD">
        <w:rPr>
          <w:rFonts w:ascii="Times New Roman" w:hAnsi="Times New Roman" w:cs="Times New Roman"/>
        </w:rPr>
        <w:t>;</w:t>
      </w:r>
      <w:r w:rsidRPr="00BF42A8">
        <w:rPr>
          <w:rFonts w:ascii="Times New Roman" w:hAnsi="Times New Roman" w:cs="Times New Roman"/>
        </w:rPr>
        <w:t xml:space="preserve"> and by making releases that </w:t>
      </w:r>
      <w:r w:rsidR="00C52DAD">
        <w:rPr>
          <w:rFonts w:ascii="Times New Roman" w:hAnsi="Times New Roman" w:cs="Times New Roman"/>
        </w:rPr>
        <w:t>do</w:t>
      </w:r>
      <w:r w:rsidRPr="00BF42A8">
        <w:rPr>
          <w:rFonts w:ascii="Times New Roman" w:hAnsi="Times New Roman" w:cs="Times New Roman"/>
        </w:rPr>
        <w:t xml:space="preserve"> occur, less severe</w:t>
      </w:r>
      <w:r w:rsidR="00BA6EF8">
        <w:rPr>
          <w:rFonts w:ascii="Times New Roman" w:hAnsi="Times New Roman" w:cs="Times New Roman"/>
        </w:rPr>
        <w:t>.</w:t>
      </w:r>
      <w:r w:rsidR="0026275A">
        <w:rPr>
          <w:rFonts w:ascii="Times New Roman" w:hAnsi="Times New Roman" w:cs="Times New Roman"/>
        </w:rPr>
        <w:t xml:space="preserve"> </w:t>
      </w:r>
      <w:r w:rsidR="00E8758C">
        <w:rPr>
          <w:rFonts w:ascii="Times New Roman" w:hAnsi="Times New Roman" w:cs="Times New Roman"/>
        </w:rPr>
        <w:t xml:space="preserve">The requirement is expected to change the level of </w:t>
      </w:r>
      <w:r w:rsidR="00267D58">
        <w:rPr>
          <w:rFonts w:ascii="Times New Roman" w:hAnsi="Times New Roman" w:cs="Times New Roman"/>
        </w:rPr>
        <w:t>risk reduction</w:t>
      </w:r>
      <w:r w:rsidR="007449DD">
        <w:rPr>
          <w:rFonts w:ascii="Times New Roman" w:hAnsi="Times New Roman" w:cs="Times New Roman"/>
        </w:rPr>
        <w:t xml:space="preserve"> </w:t>
      </w:r>
      <w:r w:rsidR="006938F5">
        <w:rPr>
          <w:rFonts w:ascii="Times New Roman" w:hAnsi="Times New Roman" w:cs="Times New Roman"/>
        </w:rPr>
        <w:t xml:space="preserve">facilities achieve. </w:t>
      </w:r>
      <w:r w:rsidR="0026275A">
        <w:rPr>
          <w:rFonts w:ascii="Times New Roman" w:hAnsi="Times New Roman" w:cs="Times New Roman"/>
        </w:rPr>
        <w:t>T</w:t>
      </w:r>
      <w:r w:rsidR="008673A9">
        <w:rPr>
          <w:rFonts w:ascii="Times New Roman" w:hAnsi="Times New Roman" w:cs="Times New Roman"/>
        </w:rPr>
        <w:t xml:space="preserve">he requirement may encourage some facilities to </w:t>
      </w:r>
      <w:r w:rsidR="00CD2A1F">
        <w:rPr>
          <w:rFonts w:ascii="Times New Roman" w:hAnsi="Times New Roman" w:cs="Times New Roman"/>
        </w:rPr>
        <w:t xml:space="preserve">implement complementary </w:t>
      </w:r>
      <w:r w:rsidR="00545BE4">
        <w:rPr>
          <w:rFonts w:ascii="Times New Roman" w:hAnsi="Times New Roman" w:cs="Times New Roman"/>
        </w:rPr>
        <w:t>measures</w:t>
      </w:r>
      <w:r w:rsidR="00CF328D">
        <w:rPr>
          <w:rFonts w:ascii="Times New Roman" w:hAnsi="Times New Roman" w:cs="Times New Roman"/>
        </w:rPr>
        <w:t xml:space="preserve"> which</w:t>
      </w:r>
      <w:r w:rsidR="00545BE4">
        <w:rPr>
          <w:rFonts w:ascii="Times New Roman" w:hAnsi="Times New Roman" w:cs="Times New Roman"/>
        </w:rPr>
        <w:t xml:space="preserve"> enhanc</w:t>
      </w:r>
      <w:r w:rsidR="00CF328D">
        <w:rPr>
          <w:rFonts w:ascii="Times New Roman" w:hAnsi="Times New Roman" w:cs="Times New Roman"/>
        </w:rPr>
        <w:t xml:space="preserve">e </w:t>
      </w:r>
      <w:r w:rsidR="00545BE4">
        <w:rPr>
          <w:rFonts w:ascii="Times New Roman" w:hAnsi="Times New Roman" w:cs="Times New Roman"/>
        </w:rPr>
        <w:t>cumulative risk reduction</w:t>
      </w:r>
      <w:r w:rsidR="006B7BFB">
        <w:rPr>
          <w:rFonts w:ascii="Times New Roman" w:hAnsi="Times New Roman" w:cs="Times New Roman"/>
        </w:rPr>
        <w:t>.</w:t>
      </w:r>
      <w:r w:rsidR="00EE5A03">
        <w:rPr>
          <w:rFonts w:ascii="Times New Roman" w:hAnsi="Times New Roman" w:cs="Times New Roman"/>
        </w:rPr>
        <w:t xml:space="preserve"> </w:t>
      </w:r>
      <w:r w:rsidR="004D4AA5">
        <w:rPr>
          <w:rFonts w:ascii="Times New Roman" w:hAnsi="Times New Roman" w:cs="Times New Roman"/>
        </w:rPr>
        <w:t xml:space="preserve">EPA expects </w:t>
      </w:r>
      <w:r w:rsidR="00701694">
        <w:rPr>
          <w:rFonts w:ascii="Times New Roman" w:hAnsi="Times New Roman" w:cs="Times New Roman"/>
        </w:rPr>
        <w:t>that</w:t>
      </w:r>
      <w:r w:rsidR="00DA04AB">
        <w:rPr>
          <w:rFonts w:ascii="Times New Roman" w:hAnsi="Times New Roman" w:cs="Times New Roman"/>
        </w:rPr>
        <w:t>,</w:t>
      </w:r>
      <w:r w:rsidR="004D4AA5">
        <w:rPr>
          <w:rFonts w:ascii="Times New Roman" w:hAnsi="Times New Roman" w:cs="Times New Roman"/>
        </w:rPr>
        <w:t xml:space="preserve"> overall</w:t>
      </w:r>
      <w:r w:rsidR="00701694">
        <w:rPr>
          <w:rFonts w:ascii="Times New Roman" w:hAnsi="Times New Roman" w:cs="Times New Roman"/>
        </w:rPr>
        <w:t>,</w:t>
      </w:r>
      <w:r w:rsidR="004D4AA5">
        <w:rPr>
          <w:rFonts w:ascii="Times New Roman" w:hAnsi="Times New Roman" w:cs="Times New Roman"/>
        </w:rPr>
        <w:t xml:space="preserve"> the requirement will </w:t>
      </w:r>
      <w:r w:rsidR="001569FF">
        <w:rPr>
          <w:rFonts w:ascii="Times New Roman" w:hAnsi="Times New Roman" w:cs="Times New Roman"/>
        </w:rPr>
        <w:t>result in facilities identifying more opt</w:t>
      </w:r>
      <w:r w:rsidR="000A1C75">
        <w:rPr>
          <w:rFonts w:ascii="Times New Roman" w:hAnsi="Times New Roman" w:cs="Times New Roman"/>
        </w:rPr>
        <w:t xml:space="preserve">ions to reduce risk and implementing </w:t>
      </w:r>
      <w:r w:rsidR="00287A0A">
        <w:rPr>
          <w:rFonts w:ascii="Times New Roman" w:hAnsi="Times New Roman" w:cs="Times New Roman"/>
        </w:rPr>
        <w:t>a larger number of</w:t>
      </w:r>
      <w:r w:rsidR="000A1C75">
        <w:rPr>
          <w:rFonts w:ascii="Times New Roman" w:hAnsi="Times New Roman" w:cs="Times New Roman"/>
        </w:rPr>
        <w:t xml:space="preserve"> </w:t>
      </w:r>
      <w:r w:rsidR="00D20313">
        <w:rPr>
          <w:rFonts w:ascii="Times New Roman" w:hAnsi="Times New Roman" w:cs="Times New Roman"/>
        </w:rPr>
        <w:t>more effective risk-reduction measures</w:t>
      </w:r>
      <w:r w:rsidR="009202D8">
        <w:rPr>
          <w:rFonts w:ascii="Times New Roman" w:hAnsi="Times New Roman" w:cs="Times New Roman"/>
        </w:rPr>
        <w:t xml:space="preserve"> than </w:t>
      </w:r>
      <w:r w:rsidR="00F66F63">
        <w:rPr>
          <w:rFonts w:ascii="Times New Roman" w:hAnsi="Times New Roman" w:cs="Times New Roman"/>
        </w:rPr>
        <w:t xml:space="preserve">facilities would in </w:t>
      </w:r>
      <w:r w:rsidR="00D10F08">
        <w:rPr>
          <w:rFonts w:ascii="Times New Roman" w:hAnsi="Times New Roman" w:cs="Times New Roman"/>
        </w:rPr>
        <w:t xml:space="preserve">the </w:t>
      </w:r>
      <w:r w:rsidR="00F66F63">
        <w:rPr>
          <w:rFonts w:ascii="Times New Roman" w:hAnsi="Times New Roman" w:cs="Times New Roman"/>
        </w:rPr>
        <w:t xml:space="preserve">absence of the rule, particularly among facilities </w:t>
      </w:r>
      <w:r w:rsidR="00C965F1">
        <w:rPr>
          <w:rFonts w:ascii="Times New Roman" w:hAnsi="Times New Roman" w:cs="Times New Roman"/>
        </w:rPr>
        <w:t>that in the baseline have</w:t>
      </w:r>
      <w:r w:rsidR="00AA6F86">
        <w:rPr>
          <w:rFonts w:ascii="Times New Roman" w:hAnsi="Times New Roman" w:cs="Times New Roman"/>
        </w:rPr>
        <w:t xml:space="preserve"> infrequent voluntary implementation of risk-reduction measures</w:t>
      </w:r>
      <w:r w:rsidR="00D20313">
        <w:rPr>
          <w:rFonts w:ascii="Times New Roman" w:hAnsi="Times New Roman" w:cs="Times New Roman"/>
        </w:rPr>
        <w:t>.</w:t>
      </w:r>
    </w:p>
    <w:p w:rsidR="008E5A42" w:rsidP="00BF42A8" w14:paraId="171A7DCC" w14:textId="77777777">
      <w:pPr>
        <w:spacing w:after="0" w:line="240" w:lineRule="auto"/>
        <w:ind w:firstLine="360"/>
        <w:rPr>
          <w:rFonts w:ascii="Times New Roman" w:hAnsi="Times New Roman" w:cs="Times New Roman"/>
        </w:rPr>
      </w:pPr>
    </w:p>
    <w:p w:rsidR="00C4418D" w:rsidP="00BF42A8" w14:paraId="6E58AD4F"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The root cause analysis provision is expected to prevent future accidents by identifying the underlying causes and corrective actions for serious accidents. Over time, EPA expects that implementing the corrective actions and lessons learned through root cause analyses should prevent future accidents and result in a reduction of onsite and offsite impact</w:t>
      </w:r>
      <w:r>
        <w:rPr>
          <w:rFonts w:ascii="Times New Roman" w:hAnsi="Times New Roman" w:cs="Times New Roman"/>
        </w:rPr>
        <w:t>s.</w:t>
      </w:r>
    </w:p>
    <w:p w:rsidR="00330372" w:rsidP="00BF42A8" w14:paraId="5AFDA45C" w14:textId="77777777">
      <w:pPr>
        <w:spacing w:after="0" w:line="240" w:lineRule="auto"/>
        <w:ind w:firstLine="360"/>
        <w:rPr>
          <w:rFonts w:ascii="Times New Roman" w:hAnsi="Times New Roman" w:cs="Times New Roman"/>
        </w:rPr>
      </w:pPr>
      <w:r>
        <w:rPr>
          <w:rFonts w:ascii="Times New Roman" w:hAnsi="Times New Roman" w:cs="Times New Roman"/>
        </w:rPr>
        <w:tab/>
      </w:r>
    </w:p>
    <w:p w:rsidR="003775CC" w:rsidP="00BF42A8" w14:paraId="4F975695"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sidR="00336C9E">
        <w:rPr>
          <w:rFonts w:ascii="Times New Roman" w:hAnsi="Times New Roman" w:cs="Times New Roman"/>
        </w:rPr>
        <w:t>The third</w:t>
      </w:r>
      <w:r w:rsidRPr="00BF42A8" w:rsidR="005B5904">
        <w:rPr>
          <w:rFonts w:ascii="Times New Roman" w:hAnsi="Times New Roman" w:cs="Times New Roman"/>
        </w:rPr>
        <w:t>-</w:t>
      </w:r>
      <w:r w:rsidRPr="00BF42A8" w:rsidR="00336C9E">
        <w:rPr>
          <w:rFonts w:ascii="Times New Roman" w:hAnsi="Times New Roman" w:cs="Times New Roman"/>
        </w:rPr>
        <w:t>party audit provision</w:t>
      </w:r>
      <w:r w:rsidRPr="00BF42A8" w:rsidR="00E93325">
        <w:rPr>
          <w:rFonts w:ascii="Times New Roman" w:hAnsi="Times New Roman" w:cs="Times New Roman"/>
        </w:rPr>
        <w:t xml:space="preserve"> requires </w:t>
      </w:r>
      <w:r w:rsidR="008D6FF1">
        <w:rPr>
          <w:rFonts w:ascii="Times New Roman" w:hAnsi="Times New Roman" w:cs="Times New Roman"/>
        </w:rPr>
        <w:t xml:space="preserve">regularly scheduled </w:t>
      </w:r>
      <w:r w:rsidRPr="00BF42A8" w:rsidR="00E93325">
        <w:rPr>
          <w:rFonts w:ascii="Times New Roman" w:hAnsi="Times New Roman" w:cs="Times New Roman"/>
        </w:rPr>
        <w:t>compliance audits to be conducted by an independent third-party</w:t>
      </w:r>
      <w:r w:rsidRPr="00BF42A8" w:rsidR="00994840">
        <w:rPr>
          <w:rFonts w:ascii="Times New Roman" w:hAnsi="Times New Roman" w:cs="Times New Roman"/>
        </w:rPr>
        <w:t xml:space="preserve"> for facilities that have had </w:t>
      </w:r>
      <w:r w:rsidR="007436F0">
        <w:rPr>
          <w:rFonts w:ascii="Times New Roman" w:hAnsi="Times New Roman" w:cs="Times New Roman"/>
        </w:rPr>
        <w:t>an</w:t>
      </w:r>
      <w:r w:rsidRPr="00BF42A8" w:rsidR="007436F0">
        <w:rPr>
          <w:rFonts w:ascii="Times New Roman" w:hAnsi="Times New Roman" w:cs="Times New Roman"/>
        </w:rPr>
        <w:t xml:space="preserve"> </w:t>
      </w:r>
      <w:r w:rsidRPr="00BF42A8" w:rsidR="00994840">
        <w:rPr>
          <w:rFonts w:ascii="Times New Roman" w:hAnsi="Times New Roman" w:cs="Times New Roman"/>
        </w:rPr>
        <w:t>accidental release</w:t>
      </w:r>
      <w:r w:rsidR="0024515C">
        <w:rPr>
          <w:rFonts w:ascii="Times New Roman" w:hAnsi="Times New Roman" w:cs="Times New Roman"/>
        </w:rPr>
        <w:t xml:space="preserve"> or when required by an implementing agency</w:t>
      </w:r>
      <w:r w:rsidR="000B0204">
        <w:rPr>
          <w:rFonts w:ascii="Times New Roman" w:hAnsi="Times New Roman" w:cs="Times New Roman"/>
        </w:rPr>
        <w:t xml:space="preserve">. </w:t>
      </w:r>
      <w:r w:rsidRPr="00BF42A8" w:rsidR="00E93325">
        <w:rPr>
          <w:rFonts w:ascii="Times New Roman" w:hAnsi="Times New Roman" w:cs="Times New Roman"/>
        </w:rPr>
        <w:t>This</w:t>
      </w:r>
      <w:r w:rsidR="008D6FF1">
        <w:rPr>
          <w:rFonts w:ascii="Times New Roman" w:hAnsi="Times New Roman" w:cs="Times New Roman"/>
        </w:rPr>
        <w:t xml:space="preserve"> </w:t>
      </w:r>
      <w:r w:rsidRPr="00BF42A8" w:rsidR="00E93325">
        <w:rPr>
          <w:rFonts w:ascii="Times New Roman" w:hAnsi="Times New Roman" w:cs="Times New Roman"/>
        </w:rPr>
        <w:t>differ</w:t>
      </w:r>
      <w:r w:rsidR="008D6FF1">
        <w:rPr>
          <w:rFonts w:ascii="Times New Roman" w:hAnsi="Times New Roman" w:cs="Times New Roman"/>
        </w:rPr>
        <w:t xml:space="preserve">s </w:t>
      </w:r>
      <w:r w:rsidRPr="00BF42A8" w:rsidR="00E93325">
        <w:rPr>
          <w:rFonts w:ascii="Times New Roman" w:hAnsi="Times New Roman" w:cs="Times New Roman"/>
        </w:rPr>
        <w:t xml:space="preserve">from the </w:t>
      </w:r>
      <w:r w:rsidR="008E5A42">
        <w:rPr>
          <w:rFonts w:ascii="Times New Roman" w:hAnsi="Times New Roman" w:cs="Times New Roman"/>
        </w:rPr>
        <w:t>current compliance</w:t>
      </w:r>
      <w:r w:rsidRPr="00BF42A8" w:rsidR="00E93325">
        <w:rPr>
          <w:rFonts w:ascii="Times New Roman" w:hAnsi="Times New Roman" w:cs="Times New Roman"/>
        </w:rPr>
        <w:t xml:space="preserve"> audit requirement</w:t>
      </w:r>
      <w:r w:rsidRPr="00BF42A8">
        <w:rPr>
          <w:rFonts w:ascii="Times New Roman" w:hAnsi="Times New Roman" w:cs="Times New Roman"/>
        </w:rPr>
        <w:t>,</w:t>
      </w:r>
      <w:r w:rsidRPr="00BF42A8" w:rsidR="00E93325">
        <w:rPr>
          <w:rFonts w:ascii="Times New Roman" w:hAnsi="Times New Roman" w:cs="Times New Roman"/>
        </w:rPr>
        <w:t xml:space="preserve"> which d</w:t>
      </w:r>
      <w:r w:rsidR="00DC7F84">
        <w:rPr>
          <w:rFonts w:ascii="Times New Roman" w:hAnsi="Times New Roman" w:cs="Times New Roman"/>
        </w:rPr>
        <w:t>oes</w:t>
      </w:r>
      <w:r w:rsidRPr="00BF42A8" w:rsidR="00E93325">
        <w:rPr>
          <w:rFonts w:ascii="Times New Roman" w:hAnsi="Times New Roman" w:cs="Times New Roman"/>
        </w:rPr>
        <w:t xml:space="preserve"> not set requirements regarding auditor independence</w:t>
      </w:r>
      <w:r w:rsidRPr="00BF42A8" w:rsidR="00994840">
        <w:rPr>
          <w:rFonts w:ascii="Times New Roman" w:hAnsi="Times New Roman" w:cs="Times New Roman"/>
        </w:rPr>
        <w:t xml:space="preserve"> for these</w:t>
      </w:r>
      <w:r w:rsidRPr="00BF42A8" w:rsidR="00996FCC">
        <w:rPr>
          <w:rFonts w:ascii="Times New Roman" w:hAnsi="Times New Roman" w:cs="Times New Roman"/>
        </w:rPr>
        <w:t xml:space="preserve"> or other</w:t>
      </w:r>
      <w:r w:rsidRPr="00BF42A8" w:rsidR="00994840">
        <w:rPr>
          <w:rFonts w:ascii="Times New Roman" w:hAnsi="Times New Roman" w:cs="Times New Roman"/>
        </w:rPr>
        <w:t xml:space="preserve"> facilities</w:t>
      </w:r>
      <w:r w:rsidRPr="00BF42A8" w:rsidR="00E93325">
        <w:rPr>
          <w:rFonts w:ascii="Times New Roman" w:hAnsi="Times New Roman" w:cs="Times New Roman"/>
        </w:rPr>
        <w:t xml:space="preserve">. The </w:t>
      </w:r>
      <w:r w:rsidR="0095196B">
        <w:rPr>
          <w:rFonts w:ascii="Times New Roman" w:hAnsi="Times New Roman" w:cs="Times New Roman"/>
        </w:rPr>
        <w:t>final</w:t>
      </w:r>
      <w:r w:rsidRPr="00BF42A8" w:rsidR="0095196B">
        <w:rPr>
          <w:rFonts w:ascii="Times New Roman" w:hAnsi="Times New Roman" w:cs="Times New Roman"/>
        </w:rPr>
        <w:t xml:space="preserve"> </w:t>
      </w:r>
      <w:r w:rsidRPr="00BF42A8" w:rsidR="00E93325">
        <w:rPr>
          <w:rFonts w:ascii="Times New Roman" w:hAnsi="Times New Roman" w:cs="Times New Roman"/>
        </w:rPr>
        <w:t>rule specifies third-party auditor qualifications including both competency and independence requirements. These safeguards regarding competency and independence should improve auditor objectivity and performance. In</w:t>
      </w:r>
      <w:r w:rsidRPr="00BF42A8" w:rsidR="00135110">
        <w:rPr>
          <w:rFonts w:ascii="Times New Roman" w:hAnsi="Times New Roman" w:cs="Times New Roman"/>
        </w:rPr>
        <w:t xml:space="preserve"> fact</w:t>
      </w:r>
      <w:r w:rsidRPr="00BF42A8" w:rsidR="00E93325">
        <w:rPr>
          <w:rFonts w:ascii="Times New Roman" w:hAnsi="Times New Roman" w:cs="Times New Roman"/>
        </w:rPr>
        <w:t>, peer-reviewed empirical literature has found that auditors are less likely to be lenient or biased w</w:t>
      </w:r>
      <w:r w:rsidR="008D6FF1">
        <w:rPr>
          <w:rFonts w:ascii="Times New Roman" w:hAnsi="Times New Roman" w:cs="Times New Roman"/>
        </w:rPr>
        <w:t>hen</w:t>
      </w:r>
      <w:r w:rsidRPr="00BF42A8" w:rsidR="00E93325">
        <w:rPr>
          <w:rFonts w:ascii="Times New Roman" w:hAnsi="Times New Roman" w:cs="Times New Roman"/>
        </w:rPr>
        <w:t xml:space="preserve"> </w:t>
      </w:r>
      <w:r w:rsidRPr="00BF42A8" w:rsidR="00E93325">
        <w:rPr>
          <w:rFonts w:ascii="Times New Roman" w:hAnsi="Times New Roman" w:cs="Times New Roman"/>
        </w:rPr>
        <w:t xml:space="preserve">sufficient safeguards </w:t>
      </w:r>
      <w:r w:rsidRPr="00BF42A8" w:rsidR="00135110">
        <w:rPr>
          <w:rFonts w:ascii="Times New Roman" w:hAnsi="Times New Roman" w:cs="Times New Roman"/>
        </w:rPr>
        <w:t xml:space="preserve">are in place </w:t>
      </w:r>
      <w:r w:rsidRPr="00BF42A8" w:rsidR="00E93325">
        <w:rPr>
          <w:rFonts w:ascii="Times New Roman" w:hAnsi="Times New Roman" w:cs="Times New Roman"/>
        </w:rPr>
        <w:t xml:space="preserve">to ensure auditor independence from the facility under review. Relative to the baseline, the third-party </w:t>
      </w:r>
      <w:r w:rsidRPr="00BF42A8" w:rsidR="00E276F2">
        <w:rPr>
          <w:rFonts w:ascii="Times New Roman" w:hAnsi="Times New Roman" w:cs="Times New Roman"/>
        </w:rPr>
        <w:t>audit</w:t>
      </w:r>
      <w:r w:rsidRPr="00BF42A8" w:rsidR="00E93325">
        <w:rPr>
          <w:rFonts w:ascii="Times New Roman" w:hAnsi="Times New Roman" w:cs="Times New Roman"/>
        </w:rPr>
        <w:t xml:space="preserve"> requirement i</w:t>
      </w:r>
      <w:r w:rsidR="008D6FF1">
        <w:rPr>
          <w:rFonts w:ascii="Times New Roman" w:hAnsi="Times New Roman" w:cs="Times New Roman"/>
        </w:rPr>
        <w:t>ncreases</w:t>
      </w:r>
      <w:r w:rsidRPr="00BF42A8" w:rsidR="00E93325">
        <w:rPr>
          <w:rFonts w:ascii="Times New Roman" w:hAnsi="Times New Roman" w:cs="Times New Roman"/>
        </w:rPr>
        <w:t xml:space="preserve"> the likelihood that audits </w:t>
      </w:r>
      <w:r w:rsidRPr="00BF42A8">
        <w:rPr>
          <w:rFonts w:ascii="Times New Roman" w:hAnsi="Times New Roman" w:cs="Times New Roman"/>
        </w:rPr>
        <w:t xml:space="preserve">will </w:t>
      </w:r>
      <w:r w:rsidRPr="00BF42A8" w:rsidR="00E93325">
        <w:rPr>
          <w:rFonts w:ascii="Times New Roman" w:hAnsi="Times New Roman" w:cs="Times New Roman"/>
        </w:rPr>
        <w:t xml:space="preserve">result in identification of safety problems and necessary process improvements before such deficiencies can result in accidents. </w:t>
      </w:r>
    </w:p>
    <w:p w:rsidR="00E235AD" w:rsidP="00BF42A8" w14:paraId="7BE160F3" w14:textId="77777777">
      <w:pPr>
        <w:spacing w:after="0" w:line="240" w:lineRule="auto"/>
        <w:ind w:firstLine="360"/>
        <w:rPr>
          <w:rFonts w:ascii="Times New Roman" w:hAnsi="Times New Roman" w:cs="Times New Roman"/>
        </w:rPr>
      </w:pPr>
    </w:p>
    <w:p w:rsidR="00524BEA" w:rsidP="009128A3" w14:paraId="10514DC8"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sidR="00C15A41">
        <w:rPr>
          <w:rFonts w:ascii="Times New Roman" w:hAnsi="Times New Roman" w:cs="Times New Roman"/>
        </w:rPr>
        <w:t>EPA expects t</w:t>
      </w:r>
      <w:r w:rsidRPr="00BF42A8">
        <w:rPr>
          <w:rFonts w:ascii="Times New Roman" w:hAnsi="Times New Roman" w:cs="Times New Roman"/>
        </w:rPr>
        <w:t>h</w:t>
      </w:r>
      <w:r w:rsidRPr="00BF42A8" w:rsidR="00860CFA">
        <w:rPr>
          <w:rFonts w:ascii="Times New Roman" w:hAnsi="Times New Roman" w:cs="Times New Roman"/>
        </w:rPr>
        <w:t>e</w:t>
      </w:r>
      <w:r w:rsidRPr="00BF42A8">
        <w:rPr>
          <w:rFonts w:ascii="Times New Roman" w:hAnsi="Times New Roman" w:cs="Times New Roman"/>
        </w:rPr>
        <w:t xml:space="preserve"> employee participation plan provision </w:t>
      </w:r>
      <w:r w:rsidR="00411029">
        <w:rPr>
          <w:rFonts w:ascii="Times New Roman" w:hAnsi="Times New Roman" w:cs="Times New Roman"/>
        </w:rPr>
        <w:t xml:space="preserve">to </w:t>
      </w:r>
      <w:r w:rsidRPr="00BF42A8" w:rsidR="000A701C">
        <w:rPr>
          <w:rFonts w:ascii="Times New Roman" w:hAnsi="Times New Roman" w:cs="Times New Roman"/>
        </w:rPr>
        <w:t xml:space="preserve">prevent future accidents as well. Although employees </w:t>
      </w:r>
      <w:r w:rsidR="00F43F1A">
        <w:rPr>
          <w:rFonts w:ascii="Times New Roman" w:hAnsi="Times New Roman" w:cs="Times New Roman"/>
        </w:rPr>
        <w:t>currently</w:t>
      </w:r>
      <w:r w:rsidRPr="00BF42A8" w:rsidR="000A701C">
        <w:rPr>
          <w:rFonts w:ascii="Times New Roman" w:hAnsi="Times New Roman" w:cs="Times New Roman"/>
        </w:rPr>
        <w:t xml:space="preserve"> may be involved in the development of plans and procedures (through 40 CFR 68.83 or otherwise), they may not be guaranteed “a seat at the table” when final decisions are made about process operations </w:t>
      </w:r>
      <w:r w:rsidRPr="00BF42A8" w:rsidR="00107C06">
        <w:rPr>
          <w:rFonts w:ascii="Times New Roman" w:hAnsi="Times New Roman" w:cs="Times New Roman"/>
        </w:rPr>
        <w:t xml:space="preserve">that </w:t>
      </w:r>
      <w:r w:rsidRPr="00BF42A8" w:rsidR="000A701C">
        <w:rPr>
          <w:rFonts w:ascii="Times New Roman" w:hAnsi="Times New Roman" w:cs="Times New Roman"/>
        </w:rPr>
        <w:t xml:space="preserve">they are directly involved in that </w:t>
      </w:r>
      <w:r w:rsidRPr="00BF42A8" w:rsidR="00C15A41">
        <w:rPr>
          <w:rFonts w:ascii="Times New Roman" w:hAnsi="Times New Roman" w:cs="Times New Roman"/>
        </w:rPr>
        <w:t>pose hazards t</w:t>
      </w:r>
      <w:r w:rsidRPr="00BF42A8" w:rsidR="00FC2D52">
        <w:rPr>
          <w:rFonts w:ascii="Times New Roman" w:hAnsi="Times New Roman" w:cs="Times New Roman"/>
        </w:rPr>
        <w:t>hat</w:t>
      </w:r>
      <w:r w:rsidRPr="00BF42A8" w:rsidR="00C15A41">
        <w:rPr>
          <w:rFonts w:ascii="Times New Roman" w:hAnsi="Times New Roman" w:cs="Times New Roman"/>
        </w:rPr>
        <w:t xml:space="preserve"> </w:t>
      </w:r>
      <w:r w:rsidRPr="00BF42A8" w:rsidR="000A701C">
        <w:rPr>
          <w:rFonts w:ascii="Times New Roman" w:hAnsi="Times New Roman" w:cs="Times New Roman"/>
        </w:rPr>
        <w:t>could threaten their health and safety. Employees may have practicable recommendations for hazard evaluations, incident investigations, and compliance audits that may reduce hazards at RMP facilities. Involving directly affected employees in these discussions and decisions will help ensure that the most effective recommendations for reducing hazards and mi</w:t>
      </w:r>
      <w:r w:rsidR="00C22F26">
        <w:rPr>
          <w:rFonts w:ascii="Times New Roman" w:hAnsi="Times New Roman" w:cs="Times New Roman"/>
        </w:rPr>
        <w:t>nimizing</w:t>
      </w:r>
      <w:r w:rsidRPr="00BF42A8" w:rsidR="000A701C">
        <w:rPr>
          <w:rFonts w:ascii="Times New Roman" w:hAnsi="Times New Roman" w:cs="Times New Roman"/>
        </w:rPr>
        <w:t xml:space="preserve"> risks to employees and the public are given the proper consideration.</w:t>
      </w:r>
    </w:p>
    <w:p w:rsidR="00204ADB" w:rsidP="009128A3" w14:paraId="1A219CBE" w14:textId="77777777">
      <w:pPr>
        <w:spacing w:after="0" w:line="240" w:lineRule="auto"/>
        <w:ind w:firstLine="360"/>
        <w:rPr>
          <w:rFonts w:ascii="Times New Roman" w:hAnsi="Times New Roman" w:cs="Times New Roman"/>
        </w:rPr>
      </w:pPr>
    </w:p>
    <w:p w:rsidR="00204ADB" w:rsidP="009128A3" w14:paraId="1686E983" w14:textId="77777777">
      <w:pPr>
        <w:spacing w:after="0" w:line="240" w:lineRule="auto"/>
        <w:ind w:firstLine="360"/>
        <w:rPr>
          <w:rFonts w:ascii="Times New Roman" w:hAnsi="Times New Roman" w:cs="Times New Roman"/>
        </w:rPr>
      </w:pPr>
      <w:r>
        <w:rPr>
          <w:rFonts w:ascii="Times New Roman" w:hAnsi="Times New Roman" w:cs="Times New Roman"/>
        </w:rPr>
        <w:tab/>
        <w:t xml:space="preserve">Climate change is associated with extreme weather events that can trigger accidental releases. </w:t>
      </w:r>
      <w:r w:rsidR="00701C30">
        <w:rPr>
          <w:rFonts w:ascii="Times New Roman" w:hAnsi="Times New Roman" w:cs="Times New Roman"/>
        </w:rPr>
        <w:t xml:space="preserve">One way </w:t>
      </w:r>
      <w:r w:rsidRPr="000E6E0F">
        <w:rPr>
          <w:rFonts w:ascii="Times New Roman" w:hAnsi="Times New Roman" w:cs="Times New Roman"/>
        </w:rPr>
        <w:t xml:space="preserve">EPA is </w:t>
      </w:r>
      <w:r w:rsidRPr="007760CC">
        <w:rPr>
          <w:rFonts w:ascii="Times New Roman" w:hAnsi="Times New Roman" w:cs="Times New Roman"/>
        </w:rPr>
        <w:t>addressing</w:t>
      </w:r>
      <w:r>
        <w:rPr>
          <w:rFonts w:ascii="Times New Roman" w:hAnsi="Times New Roman" w:cs="Times New Roman"/>
        </w:rPr>
        <w:t xml:space="preserve"> </w:t>
      </w:r>
      <w:r w:rsidR="008D0F5E">
        <w:rPr>
          <w:rFonts w:ascii="Times New Roman" w:hAnsi="Times New Roman" w:cs="Times New Roman"/>
        </w:rPr>
        <w:t>the risk</w:t>
      </w:r>
      <w:r w:rsidR="007544A0">
        <w:rPr>
          <w:rFonts w:ascii="Times New Roman" w:hAnsi="Times New Roman" w:cs="Times New Roman"/>
        </w:rPr>
        <w:t>s</w:t>
      </w:r>
      <w:r w:rsidR="00191EBD">
        <w:rPr>
          <w:rFonts w:ascii="Times New Roman" w:hAnsi="Times New Roman" w:cs="Times New Roman"/>
        </w:rPr>
        <w:t xml:space="preserve"> associated with</w:t>
      </w:r>
      <w:r>
        <w:rPr>
          <w:rFonts w:ascii="Times New Roman" w:hAnsi="Times New Roman" w:cs="Times New Roman"/>
        </w:rPr>
        <w:t xml:space="preserve"> climate change impacts in the final regulation </w:t>
      </w:r>
      <w:r w:rsidR="00F406A1">
        <w:rPr>
          <w:rFonts w:ascii="Times New Roman" w:hAnsi="Times New Roman" w:cs="Times New Roman"/>
        </w:rPr>
        <w:t>is</w:t>
      </w:r>
      <w:r>
        <w:rPr>
          <w:rFonts w:ascii="Times New Roman" w:hAnsi="Times New Roman" w:cs="Times New Roman"/>
        </w:rPr>
        <w:t xml:space="preserve"> by </w:t>
      </w:r>
      <w:r w:rsidRPr="007760CC">
        <w:rPr>
          <w:rFonts w:ascii="Times New Roman" w:hAnsi="Times New Roman" w:cs="Times New Roman"/>
        </w:rPr>
        <w:t>emphasizing</w:t>
      </w:r>
      <w:r w:rsidRPr="000E6E0F">
        <w:rPr>
          <w:rFonts w:ascii="Times New Roman" w:hAnsi="Times New Roman" w:cs="Times New Roman"/>
        </w:rPr>
        <w:t xml:space="preserve"> language in the process hazard analysis</w:t>
      </w:r>
      <w:r>
        <w:rPr>
          <w:rFonts w:ascii="Times New Roman" w:hAnsi="Times New Roman" w:cs="Times New Roman"/>
        </w:rPr>
        <w:t xml:space="preserve"> requiring owners and operators</w:t>
      </w:r>
      <w:r w:rsidRPr="000E6E0F">
        <w:rPr>
          <w:rFonts w:ascii="Times New Roman" w:hAnsi="Times New Roman" w:cs="Times New Roman"/>
        </w:rPr>
        <w:t xml:space="preserve"> to consider the impacts of natural hazards </w:t>
      </w:r>
      <w:r w:rsidRPr="007760CC">
        <w:rPr>
          <w:rFonts w:ascii="Times New Roman" w:hAnsi="Times New Roman" w:cs="Times New Roman"/>
        </w:rPr>
        <w:t>including</w:t>
      </w:r>
      <w:r w:rsidRPr="000E6E0F">
        <w:rPr>
          <w:rFonts w:ascii="Times New Roman" w:hAnsi="Times New Roman" w:cs="Times New Roman"/>
        </w:rPr>
        <w:t xml:space="preserve"> climate change</w:t>
      </w:r>
      <w:r>
        <w:rPr>
          <w:rFonts w:ascii="Times New Roman" w:hAnsi="Times New Roman" w:cs="Times New Roman"/>
        </w:rPr>
        <w:t>-</w:t>
      </w:r>
      <w:r w:rsidRPr="000E6E0F">
        <w:rPr>
          <w:rFonts w:ascii="Times New Roman" w:hAnsi="Times New Roman" w:cs="Times New Roman"/>
        </w:rPr>
        <w:t xml:space="preserve">related weather events. </w:t>
      </w:r>
      <w:r w:rsidR="00B60229">
        <w:rPr>
          <w:rFonts w:ascii="Times New Roman" w:hAnsi="Times New Roman" w:cs="Times New Roman"/>
        </w:rPr>
        <w:t>While EPA does not assign a cost to this provision, t</w:t>
      </w:r>
      <w:r>
        <w:rPr>
          <w:rFonts w:ascii="Times New Roman" w:hAnsi="Times New Roman" w:cs="Times New Roman"/>
        </w:rPr>
        <w:t xml:space="preserve">o the extent that the </w:t>
      </w:r>
      <w:r w:rsidRPr="007760CC">
        <w:rPr>
          <w:rFonts w:ascii="Times New Roman" w:hAnsi="Times New Roman" w:cs="Times New Roman"/>
        </w:rPr>
        <w:t>final</w:t>
      </w:r>
      <w:r>
        <w:rPr>
          <w:rFonts w:ascii="Times New Roman" w:hAnsi="Times New Roman" w:cs="Times New Roman"/>
        </w:rPr>
        <w:t xml:space="preserve"> provisions </w:t>
      </w:r>
      <w:r w:rsidR="002C741B">
        <w:rPr>
          <w:rFonts w:ascii="Times New Roman" w:hAnsi="Times New Roman" w:cs="Times New Roman"/>
        </w:rPr>
        <w:t>prevent</w:t>
      </w:r>
      <w:r>
        <w:rPr>
          <w:rFonts w:ascii="Times New Roman" w:hAnsi="Times New Roman" w:cs="Times New Roman"/>
        </w:rPr>
        <w:t xml:space="preserve"> the potential consequences of accidents at regulated facilities as the result of natural hazards, EPA expects these provisions to </w:t>
      </w:r>
      <w:r w:rsidR="006345D1">
        <w:rPr>
          <w:rFonts w:ascii="Times New Roman" w:hAnsi="Times New Roman" w:cs="Times New Roman"/>
        </w:rPr>
        <w:t>provide benefits from those mitigated or avoided accidents.</w:t>
      </w:r>
    </w:p>
    <w:p w:rsidR="00E235AD" w:rsidP="009128A3" w14:paraId="50B8FAD0" w14:textId="77777777">
      <w:pPr>
        <w:spacing w:after="0" w:line="240" w:lineRule="auto"/>
        <w:ind w:firstLine="360"/>
        <w:rPr>
          <w:rFonts w:ascii="Times New Roman" w:hAnsi="Times New Roman" w:cs="Times New Roman"/>
        </w:rPr>
      </w:pPr>
    </w:p>
    <w:p w:rsidR="00231172" w:rsidP="00D21960" w14:paraId="637AEE8D" w14:textId="77777777">
      <w:pPr>
        <w:spacing w:after="0" w:line="240" w:lineRule="auto"/>
        <w:rPr>
          <w:rFonts w:ascii="Times New Roman" w:hAnsi="Times New Roman" w:cs="Times New Roman"/>
        </w:rPr>
      </w:pPr>
      <w:r>
        <w:rPr>
          <w:rFonts w:ascii="Times New Roman" w:hAnsi="Times New Roman" w:cs="Times New Roman"/>
        </w:rPr>
        <w:tab/>
        <w:t>These provisions will also reduce the probability of a major catastrophe</w:t>
      </w:r>
      <w:r w:rsidR="00016A88">
        <w:rPr>
          <w:rFonts w:ascii="Times New Roman" w:hAnsi="Times New Roman" w:cs="Times New Roman"/>
        </w:rPr>
        <w:t xml:space="preserve"> – a rare but extremely high consequence accident.</w:t>
      </w:r>
    </w:p>
    <w:p w:rsidR="00231172" w:rsidP="00D21960" w14:paraId="7E1E9420" w14:textId="77777777">
      <w:pPr>
        <w:spacing w:after="0" w:line="240" w:lineRule="auto"/>
        <w:rPr>
          <w:rFonts w:ascii="Times New Roman" w:hAnsi="Times New Roman" w:cs="Times New Roman"/>
        </w:rPr>
      </w:pPr>
    </w:p>
    <w:p w:rsidR="009128A3" w:rsidP="00D94CB4" w14:paraId="762587F5" w14:textId="77777777">
      <w:pPr>
        <w:spacing w:after="0" w:line="240" w:lineRule="auto"/>
        <w:ind w:firstLine="720"/>
        <w:rPr>
          <w:rFonts w:ascii="Times New Roman" w:hAnsi="Times New Roman" w:cs="Times New Roman"/>
        </w:rPr>
      </w:pPr>
      <w:r w:rsidRPr="00BF42A8">
        <w:rPr>
          <w:rFonts w:ascii="Times New Roman" w:hAnsi="Times New Roman" w:cs="Times New Roman"/>
        </w:rPr>
        <w:t xml:space="preserve">In addition to preventing future accidents, </w:t>
      </w:r>
      <w:r w:rsidRPr="00BF42A8" w:rsidR="00336C9E">
        <w:rPr>
          <w:rFonts w:ascii="Times New Roman" w:hAnsi="Times New Roman" w:cs="Times New Roman"/>
        </w:rPr>
        <w:t xml:space="preserve">these </w:t>
      </w:r>
      <w:r w:rsidRPr="00BF42A8">
        <w:rPr>
          <w:rFonts w:ascii="Times New Roman" w:hAnsi="Times New Roman" w:cs="Times New Roman"/>
        </w:rPr>
        <w:t xml:space="preserve">provisions </w:t>
      </w:r>
      <w:r w:rsidR="00D74893">
        <w:rPr>
          <w:rFonts w:ascii="Times New Roman" w:hAnsi="Times New Roman" w:cs="Times New Roman"/>
        </w:rPr>
        <w:t>will generate</w:t>
      </w:r>
      <w:r w:rsidRPr="00BF42A8">
        <w:rPr>
          <w:rFonts w:ascii="Times New Roman" w:hAnsi="Times New Roman" w:cs="Times New Roman"/>
        </w:rPr>
        <w:t xml:space="preserve"> additional social benefits, including mitigation of future RMP facility accidents, prevention of future non-RMP accidents at RMP</w:t>
      </w:r>
      <w:r w:rsidRPr="00BF42A8" w:rsidR="00336C9E">
        <w:rPr>
          <w:rFonts w:ascii="Times New Roman" w:hAnsi="Times New Roman" w:cs="Times New Roman"/>
        </w:rPr>
        <w:t xml:space="preserve"> </w:t>
      </w:r>
      <w:r w:rsidRPr="00BF42A8">
        <w:rPr>
          <w:rFonts w:ascii="Times New Roman" w:hAnsi="Times New Roman" w:cs="Times New Roman"/>
        </w:rPr>
        <w:t>facilities, and mitigation of future non-RMP accidents at RMP facilities. These provisions can identify process improvements that result in less severe releases (e.g., an audit or investigation that identifies improvements to a release detection or mitigation system).</w:t>
      </w:r>
      <w:bookmarkStart w:id="365" w:name="_bookmark50"/>
      <w:bookmarkEnd w:id="365"/>
    </w:p>
    <w:p w:rsidR="00B9069B" w:rsidRPr="00BF42A8" w:rsidP="00D21960" w14:paraId="18DDB76B" w14:textId="77777777">
      <w:pPr>
        <w:spacing w:after="0" w:line="240" w:lineRule="auto"/>
        <w:rPr>
          <w:rFonts w:ascii="Times New Roman" w:hAnsi="Times New Roman" w:cs="Times New Roman"/>
        </w:rPr>
      </w:pPr>
    </w:p>
    <w:p w:rsidR="00E93325" w:rsidRPr="0041607D" w:rsidP="0041607D" w14:paraId="0CD24FA1" w14:textId="77777777">
      <w:pPr>
        <w:pStyle w:val="Heading3"/>
        <w:rPr>
          <w:rFonts w:ascii="Times New Roman" w:hAnsi="Times New Roman" w:cs="Times New Roman"/>
          <w:b w:val="0"/>
          <w:sz w:val="22"/>
          <w:szCs w:val="22"/>
        </w:rPr>
      </w:pPr>
      <w:bookmarkStart w:id="366" w:name="_Toc141733181"/>
      <w:bookmarkStart w:id="367" w:name="_Toc142404085"/>
      <w:bookmarkStart w:id="368" w:name="_Toc144213893"/>
      <w:bookmarkStart w:id="369" w:name="_Toc144283638"/>
      <w:bookmarkStart w:id="370" w:name="_Toc144303576"/>
      <w:r w:rsidRPr="0041607D">
        <w:rPr>
          <w:rFonts w:ascii="Times New Roman" w:hAnsi="Times New Roman" w:cs="Times New Roman"/>
          <w:sz w:val="22"/>
          <w:szCs w:val="22"/>
        </w:rPr>
        <w:t>6.1.2 Mitigation</w:t>
      </w:r>
      <w:bookmarkEnd w:id="366"/>
      <w:bookmarkEnd w:id="367"/>
      <w:bookmarkEnd w:id="368"/>
      <w:bookmarkEnd w:id="369"/>
      <w:bookmarkEnd w:id="370"/>
    </w:p>
    <w:p w:rsidR="00E93325" w:rsidP="009128A3" w14:paraId="7B457919" w14:textId="77777777">
      <w:pPr>
        <w:spacing w:after="0" w:line="240" w:lineRule="auto"/>
        <w:ind w:firstLine="360"/>
        <w:rPr>
          <w:rFonts w:ascii="Times New Roman" w:hAnsi="Times New Roman" w:cs="Times New Roman"/>
        </w:rPr>
      </w:pPr>
      <w:r>
        <w:rPr>
          <w:rFonts w:ascii="Times New Roman" w:hAnsi="Times New Roman" w:cs="Times New Roman"/>
        </w:rPr>
        <w:tab/>
      </w:r>
      <w:r w:rsidR="0023691B">
        <w:rPr>
          <w:rFonts w:ascii="Times New Roman" w:hAnsi="Times New Roman" w:cs="Times New Roman"/>
        </w:rPr>
        <w:t>Final</w:t>
      </w:r>
      <w:r w:rsidRPr="00BF42A8" w:rsidR="0023691B">
        <w:rPr>
          <w:rFonts w:ascii="Times New Roman" w:hAnsi="Times New Roman" w:cs="Times New Roman"/>
        </w:rPr>
        <w:t xml:space="preserve"> </w:t>
      </w:r>
      <w:r w:rsidRPr="00BF42A8">
        <w:rPr>
          <w:rFonts w:ascii="Times New Roman" w:hAnsi="Times New Roman" w:cs="Times New Roman"/>
        </w:rPr>
        <w:t>rule</w:t>
      </w:r>
      <w:r w:rsidRPr="00BF42A8" w:rsidR="00354E17">
        <w:rPr>
          <w:rFonts w:ascii="Times New Roman" w:hAnsi="Times New Roman" w:cs="Times New Roman"/>
        </w:rPr>
        <w:t xml:space="preserve"> provisions for </w:t>
      </w:r>
      <w:r w:rsidRPr="00BF42A8" w:rsidR="00DC4D13">
        <w:rPr>
          <w:rFonts w:ascii="Times New Roman" w:hAnsi="Times New Roman" w:cs="Times New Roman"/>
        </w:rPr>
        <w:t xml:space="preserve">emergency response </w:t>
      </w:r>
      <w:r w:rsidRPr="00BF42A8" w:rsidR="00354E17">
        <w:rPr>
          <w:rFonts w:ascii="Times New Roman" w:hAnsi="Times New Roman" w:cs="Times New Roman"/>
        </w:rPr>
        <w:t xml:space="preserve">and </w:t>
      </w:r>
      <w:r w:rsidRPr="00BF42A8" w:rsidR="0050786A">
        <w:rPr>
          <w:rFonts w:ascii="Times New Roman" w:hAnsi="Times New Roman" w:cs="Times New Roman"/>
        </w:rPr>
        <w:t xml:space="preserve">hazard evaluation </w:t>
      </w:r>
      <w:r w:rsidRPr="00BF42A8" w:rsidR="007518B5">
        <w:rPr>
          <w:rFonts w:ascii="Times New Roman" w:hAnsi="Times New Roman" w:cs="Times New Roman"/>
        </w:rPr>
        <w:t>amplifications</w:t>
      </w:r>
      <w:r w:rsidRPr="00BF42A8" w:rsidR="00860CFA">
        <w:rPr>
          <w:rFonts w:ascii="Times New Roman" w:hAnsi="Times New Roman" w:cs="Times New Roman"/>
        </w:rPr>
        <w:t xml:space="preserve"> </w:t>
      </w:r>
      <w:r w:rsidRPr="00BF42A8">
        <w:rPr>
          <w:rFonts w:ascii="Times New Roman" w:hAnsi="Times New Roman" w:cs="Times New Roman"/>
        </w:rPr>
        <w:t xml:space="preserve">are primarily focused on </w:t>
      </w:r>
      <w:r w:rsidRPr="00BF42A8" w:rsidR="00354E17">
        <w:rPr>
          <w:rFonts w:ascii="Times New Roman" w:hAnsi="Times New Roman" w:cs="Times New Roman"/>
        </w:rPr>
        <w:t>mitigating consequences of accidents</w:t>
      </w:r>
      <w:r w:rsidRPr="00BF42A8">
        <w:rPr>
          <w:rFonts w:ascii="Times New Roman" w:hAnsi="Times New Roman" w:cs="Times New Roman"/>
        </w:rPr>
        <w:t xml:space="preserve">. </w:t>
      </w:r>
      <w:r w:rsidRPr="00BF42A8" w:rsidR="0050786A">
        <w:rPr>
          <w:rFonts w:ascii="Times New Roman" w:hAnsi="Times New Roman" w:cs="Times New Roman"/>
        </w:rPr>
        <w:t>One component of the emergency response provision</w:t>
      </w:r>
      <w:r w:rsidR="005D0678">
        <w:rPr>
          <w:rFonts w:ascii="Times New Roman" w:hAnsi="Times New Roman" w:cs="Times New Roman"/>
        </w:rPr>
        <w:t>s</w:t>
      </w:r>
      <w:r w:rsidRPr="00BF42A8" w:rsidR="00354E17">
        <w:rPr>
          <w:rFonts w:ascii="Times New Roman" w:hAnsi="Times New Roman" w:cs="Times New Roman"/>
        </w:rPr>
        <w:t xml:space="preserve"> </w:t>
      </w:r>
      <w:r w:rsidRPr="00BF42A8" w:rsidR="00B021B2">
        <w:rPr>
          <w:rFonts w:ascii="Times New Roman" w:hAnsi="Times New Roman" w:cs="Times New Roman"/>
        </w:rPr>
        <w:t xml:space="preserve">ensures that </w:t>
      </w:r>
      <w:r w:rsidRPr="00BF42A8" w:rsidR="00C4348A">
        <w:rPr>
          <w:rFonts w:ascii="Times New Roman" w:hAnsi="Times New Roman" w:cs="Times New Roman"/>
        </w:rPr>
        <w:t>a community notification system is in place to warn the public</w:t>
      </w:r>
      <w:r w:rsidRPr="00BF42A8" w:rsidR="00B91A0B">
        <w:rPr>
          <w:rFonts w:ascii="Times New Roman" w:hAnsi="Times New Roman" w:cs="Times New Roman"/>
        </w:rPr>
        <w:t xml:space="preserve"> within the area threatened by release. </w:t>
      </w:r>
      <w:r w:rsidRPr="00BF42A8" w:rsidR="00F4112B">
        <w:rPr>
          <w:rFonts w:ascii="Times New Roman" w:hAnsi="Times New Roman" w:cs="Times New Roman"/>
        </w:rPr>
        <w:t>The emergency response provision</w:t>
      </w:r>
      <w:r w:rsidR="005D0678">
        <w:rPr>
          <w:rFonts w:ascii="Times New Roman" w:hAnsi="Times New Roman" w:cs="Times New Roman"/>
        </w:rPr>
        <w:t>s</w:t>
      </w:r>
      <w:r w:rsidRPr="00BF42A8" w:rsidR="00F4112B">
        <w:rPr>
          <w:rFonts w:ascii="Times New Roman" w:hAnsi="Times New Roman" w:cs="Times New Roman"/>
        </w:rPr>
        <w:t xml:space="preserve"> expand recordkeeping and implementation</w:t>
      </w:r>
      <w:r w:rsidRPr="00BF42A8" w:rsidR="00EE0346">
        <w:rPr>
          <w:rFonts w:ascii="Times New Roman" w:hAnsi="Times New Roman" w:cs="Times New Roman"/>
        </w:rPr>
        <w:t xml:space="preserve"> related to a community notification system</w:t>
      </w:r>
      <w:r w:rsidRPr="00BF42A8" w:rsidR="00F4112B">
        <w:rPr>
          <w:rFonts w:ascii="Times New Roman" w:hAnsi="Times New Roman" w:cs="Times New Roman"/>
        </w:rPr>
        <w:t xml:space="preserve"> to non-responding facilities</w:t>
      </w:r>
      <w:r w:rsidRPr="00BF42A8" w:rsidR="00BB7E80">
        <w:rPr>
          <w:rFonts w:ascii="Times New Roman" w:hAnsi="Times New Roman" w:cs="Times New Roman"/>
        </w:rPr>
        <w:t>. EPA expects</w:t>
      </w:r>
      <w:r w:rsidRPr="00BF42A8" w:rsidR="00F4112B">
        <w:rPr>
          <w:rFonts w:ascii="Times New Roman" w:hAnsi="Times New Roman" w:cs="Times New Roman"/>
        </w:rPr>
        <w:t xml:space="preserve"> that </w:t>
      </w:r>
      <w:r w:rsidRPr="00BF42A8" w:rsidR="00BB7E80">
        <w:rPr>
          <w:rFonts w:ascii="Times New Roman" w:hAnsi="Times New Roman" w:cs="Times New Roman"/>
        </w:rPr>
        <w:t>this expansion</w:t>
      </w:r>
      <w:r w:rsidRPr="00BF42A8" w:rsidR="00F4112B">
        <w:rPr>
          <w:rFonts w:ascii="Times New Roman" w:hAnsi="Times New Roman" w:cs="Times New Roman"/>
        </w:rPr>
        <w:t xml:space="preserve"> will ensure </w:t>
      </w:r>
      <w:r w:rsidRPr="00BF42A8" w:rsidR="00BB7E80">
        <w:rPr>
          <w:rFonts w:ascii="Times New Roman" w:hAnsi="Times New Roman" w:cs="Times New Roman"/>
        </w:rPr>
        <w:t>that</w:t>
      </w:r>
      <w:r w:rsidRPr="00BF42A8" w:rsidR="00F4112B">
        <w:rPr>
          <w:rFonts w:ascii="Times New Roman" w:hAnsi="Times New Roman" w:cs="Times New Roman"/>
        </w:rPr>
        <w:t xml:space="preserve"> all facilities subject to emergency response requirements have documented knowledge of the public notification process that </w:t>
      </w:r>
      <w:r w:rsidR="009449B7">
        <w:rPr>
          <w:rFonts w:ascii="Times New Roman" w:hAnsi="Times New Roman" w:cs="Times New Roman"/>
        </w:rPr>
        <w:t>will</w:t>
      </w:r>
      <w:r w:rsidRPr="00BF42A8" w:rsidR="00F4112B">
        <w:rPr>
          <w:rFonts w:ascii="Times New Roman" w:hAnsi="Times New Roman" w:cs="Times New Roman"/>
        </w:rPr>
        <w:t xml:space="preserve"> occur </w:t>
      </w:r>
      <w:r w:rsidR="00874B93">
        <w:rPr>
          <w:rFonts w:ascii="Times New Roman" w:hAnsi="Times New Roman" w:cs="Times New Roman"/>
        </w:rPr>
        <w:t>in</w:t>
      </w:r>
      <w:r w:rsidRPr="00BF42A8" w:rsidR="00F4112B">
        <w:rPr>
          <w:rFonts w:ascii="Times New Roman" w:hAnsi="Times New Roman" w:cs="Times New Roman"/>
        </w:rPr>
        <w:t xml:space="preserve"> the </w:t>
      </w:r>
      <w:r w:rsidR="00874B93">
        <w:rPr>
          <w:rFonts w:ascii="Times New Roman" w:hAnsi="Times New Roman" w:cs="Times New Roman"/>
        </w:rPr>
        <w:t>event of</w:t>
      </w:r>
      <w:r w:rsidRPr="00BF42A8" w:rsidR="00F4112B">
        <w:rPr>
          <w:rFonts w:ascii="Times New Roman" w:hAnsi="Times New Roman" w:cs="Times New Roman"/>
        </w:rPr>
        <w:t xml:space="preserve"> an accidental release at the facility</w:t>
      </w:r>
      <w:r w:rsidRPr="00BF42A8" w:rsidR="00BB7E80">
        <w:rPr>
          <w:rFonts w:ascii="Times New Roman" w:hAnsi="Times New Roman" w:cs="Times New Roman"/>
        </w:rPr>
        <w:t>. The provision also</w:t>
      </w:r>
      <w:r w:rsidRPr="00BF42A8" w:rsidR="00F4112B">
        <w:rPr>
          <w:rFonts w:ascii="Times New Roman" w:hAnsi="Times New Roman" w:cs="Times New Roman"/>
        </w:rPr>
        <w:t xml:space="preserve"> will help clarify the facility’s role in the implementation of the notification process by requiring the owner or operator to provide the information needed to initiate a public release notification. </w:t>
      </w:r>
      <w:r w:rsidRPr="00BF42A8" w:rsidR="00BB7E80">
        <w:rPr>
          <w:rFonts w:ascii="Times New Roman" w:hAnsi="Times New Roman" w:cs="Times New Roman"/>
        </w:rPr>
        <w:t>I</w:t>
      </w:r>
      <w:r w:rsidRPr="00BF42A8" w:rsidR="00F4112B">
        <w:rPr>
          <w:rFonts w:ascii="Times New Roman" w:hAnsi="Times New Roman" w:cs="Times New Roman"/>
        </w:rPr>
        <w:t>n</w:t>
      </w:r>
      <w:r w:rsidRPr="00BF42A8" w:rsidR="00860CFA">
        <w:rPr>
          <w:rFonts w:ascii="Times New Roman" w:hAnsi="Times New Roman" w:cs="Times New Roman"/>
        </w:rPr>
        <w:t xml:space="preserve"> </w:t>
      </w:r>
      <w:r w:rsidRPr="00BF42A8" w:rsidR="00F4112B">
        <w:rPr>
          <w:rFonts w:ascii="Times New Roman" w:hAnsi="Times New Roman" w:cs="Times New Roman"/>
        </w:rPr>
        <w:t>combination with annual emergency coordination meetings and notification exercises</w:t>
      </w:r>
      <w:r w:rsidR="00882A43">
        <w:rPr>
          <w:rFonts w:ascii="Times New Roman" w:hAnsi="Times New Roman" w:cs="Times New Roman"/>
        </w:rPr>
        <w:t xml:space="preserve"> already required in the baseline</w:t>
      </w:r>
      <w:r w:rsidRPr="00BF42A8" w:rsidR="00F4112B">
        <w:rPr>
          <w:rFonts w:ascii="Times New Roman" w:hAnsi="Times New Roman" w:cs="Times New Roman"/>
        </w:rPr>
        <w:t>,</w:t>
      </w:r>
      <w:r w:rsidRPr="00BF42A8" w:rsidR="00707251">
        <w:rPr>
          <w:rFonts w:ascii="Times New Roman" w:hAnsi="Times New Roman" w:cs="Times New Roman"/>
        </w:rPr>
        <w:t xml:space="preserve"> </w:t>
      </w:r>
      <w:r w:rsidRPr="00BF42A8" w:rsidR="00BB7E80">
        <w:rPr>
          <w:rFonts w:ascii="Times New Roman" w:hAnsi="Times New Roman" w:cs="Times New Roman"/>
        </w:rPr>
        <w:t xml:space="preserve">this </w:t>
      </w:r>
      <w:r w:rsidRPr="00BF42A8" w:rsidR="00707251">
        <w:rPr>
          <w:rFonts w:ascii="Times New Roman" w:hAnsi="Times New Roman" w:cs="Times New Roman"/>
        </w:rPr>
        <w:t xml:space="preserve">will enhance coordinated notification to the public, improve documented accountability for the notification process, and help ensure timely decisions about notification of releases, particularly those with </w:t>
      </w:r>
      <w:r w:rsidRPr="00BF42A8" w:rsidR="00986800">
        <w:rPr>
          <w:rFonts w:ascii="Times New Roman" w:hAnsi="Times New Roman" w:cs="Times New Roman"/>
        </w:rPr>
        <w:t>offsite</w:t>
      </w:r>
      <w:r w:rsidRPr="00BF42A8" w:rsidR="00707251">
        <w:rPr>
          <w:rFonts w:ascii="Times New Roman" w:hAnsi="Times New Roman" w:cs="Times New Roman"/>
        </w:rPr>
        <w:t xml:space="preserve"> impacts</w:t>
      </w:r>
      <w:r w:rsidRPr="00BF42A8" w:rsidR="00F4112B">
        <w:rPr>
          <w:rFonts w:ascii="Times New Roman" w:hAnsi="Times New Roman" w:cs="Times New Roman"/>
        </w:rPr>
        <w:t xml:space="preserve">. These </w:t>
      </w:r>
      <w:r w:rsidRPr="00BF42A8" w:rsidR="00EE0346">
        <w:rPr>
          <w:rFonts w:ascii="Times New Roman" w:hAnsi="Times New Roman" w:cs="Times New Roman"/>
        </w:rPr>
        <w:t xml:space="preserve">changes </w:t>
      </w:r>
      <w:r w:rsidRPr="00BF42A8" w:rsidR="00F4112B">
        <w:rPr>
          <w:rFonts w:ascii="Times New Roman" w:hAnsi="Times New Roman" w:cs="Times New Roman"/>
        </w:rPr>
        <w:t>will result in f</w:t>
      </w:r>
      <w:r w:rsidRPr="00BF42A8">
        <w:rPr>
          <w:rFonts w:ascii="Times New Roman" w:hAnsi="Times New Roman" w:cs="Times New Roman"/>
        </w:rPr>
        <w:t xml:space="preserve">aster and better coordinated responses, including effective and efficient notification of the public, </w:t>
      </w:r>
      <w:r w:rsidRPr="00BF42A8" w:rsidR="00F4112B">
        <w:rPr>
          <w:rFonts w:ascii="Times New Roman" w:hAnsi="Times New Roman" w:cs="Times New Roman"/>
        </w:rPr>
        <w:t xml:space="preserve">that </w:t>
      </w:r>
      <w:r w:rsidR="009449B7">
        <w:rPr>
          <w:rFonts w:ascii="Times New Roman" w:hAnsi="Times New Roman" w:cs="Times New Roman"/>
        </w:rPr>
        <w:t>will</w:t>
      </w:r>
      <w:r w:rsidRPr="00BF42A8">
        <w:rPr>
          <w:rFonts w:ascii="Times New Roman" w:hAnsi="Times New Roman" w:cs="Times New Roman"/>
        </w:rPr>
        <w:t xml:space="preserve"> reduce human health impacts and property damage, and </w:t>
      </w:r>
      <w:r w:rsidR="006A4C9B">
        <w:rPr>
          <w:rFonts w:ascii="Times New Roman" w:hAnsi="Times New Roman" w:cs="Times New Roman"/>
        </w:rPr>
        <w:t>help reduce</w:t>
      </w:r>
      <w:r w:rsidRPr="00BF42A8">
        <w:rPr>
          <w:rFonts w:ascii="Times New Roman" w:hAnsi="Times New Roman" w:cs="Times New Roman"/>
        </w:rPr>
        <w:t xml:space="preserve"> the number of </w:t>
      </w:r>
      <w:r w:rsidRPr="00BF42A8" w:rsidR="00986800">
        <w:rPr>
          <w:rFonts w:ascii="Times New Roman" w:hAnsi="Times New Roman" w:cs="Times New Roman"/>
        </w:rPr>
        <w:t>onsite</w:t>
      </w:r>
      <w:r w:rsidRPr="00BF42A8">
        <w:rPr>
          <w:rFonts w:ascii="Times New Roman" w:hAnsi="Times New Roman" w:cs="Times New Roman"/>
        </w:rPr>
        <w:t xml:space="preserve"> and </w:t>
      </w:r>
      <w:r w:rsidRPr="00BF42A8" w:rsidR="00986800">
        <w:rPr>
          <w:rFonts w:ascii="Times New Roman" w:hAnsi="Times New Roman" w:cs="Times New Roman"/>
        </w:rPr>
        <w:t>offsite</w:t>
      </w:r>
      <w:r w:rsidRPr="00BF42A8">
        <w:rPr>
          <w:rFonts w:ascii="Times New Roman" w:hAnsi="Times New Roman" w:cs="Times New Roman"/>
        </w:rPr>
        <w:t xml:space="preserve"> impacts. </w:t>
      </w:r>
      <w:r w:rsidRPr="00BF42A8" w:rsidR="001F1801">
        <w:rPr>
          <w:rFonts w:ascii="Times New Roman" w:hAnsi="Times New Roman" w:cs="Times New Roman"/>
        </w:rPr>
        <w:t>Finally,</w:t>
      </w:r>
      <w:r w:rsidRPr="00BF42A8">
        <w:rPr>
          <w:rFonts w:ascii="Times New Roman" w:hAnsi="Times New Roman" w:cs="Times New Roman"/>
        </w:rPr>
        <w:t xml:space="preserve"> fires and releases </w:t>
      </w:r>
      <w:r w:rsidR="00706E95">
        <w:rPr>
          <w:rFonts w:ascii="Times New Roman" w:hAnsi="Times New Roman" w:cs="Times New Roman"/>
        </w:rPr>
        <w:t xml:space="preserve">will be </w:t>
      </w:r>
      <w:r w:rsidRPr="00BF42A8">
        <w:rPr>
          <w:rFonts w:ascii="Times New Roman" w:hAnsi="Times New Roman" w:cs="Times New Roman"/>
        </w:rPr>
        <w:t xml:space="preserve">under control more quickly and ensuring that workers and responders know the most effective actions to take </w:t>
      </w:r>
      <w:r w:rsidRPr="00BF42A8">
        <w:rPr>
          <w:rFonts w:ascii="Times New Roman" w:hAnsi="Times New Roman" w:cs="Times New Roman"/>
        </w:rPr>
        <w:t xml:space="preserve">for a particular facility under </w:t>
      </w:r>
      <w:r w:rsidR="00874B93">
        <w:rPr>
          <w:rFonts w:ascii="Times New Roman" w:hAnsi="Times New Roman" w:cs="Times New Roman"/>
        </w:rPr>
        <w:t xml:space="preserve">certain </w:t>
      </w:r>
      <w:r w:rsidRPr="00BF42A8">
        <w:rPr>
          <w:rFonts w:ascii="Times New Roman" w:hAnsi="Times New Roman" w:cs="Times New Roman"/>
        </w:rPr>
        <w:t>conditions</w:t>
      </w:r>
      <w:r w:rsidR="00985E55">
        <w:rPr>
          <w:rFonts w:ascii="Times New Roman" w:hAnsi="Times New Roman" w:cs="Times New Roman"/>
        </w:rPr>
        <w:t>, the provision</w:t>
      </w:r>
      <w:r w:rsidRPr="00BF42A8">
        <w:rPr>
          <w:rFonts w:ascii="Times New Roman" w:hAnsi="Times New Roman" w:cs="Times New Roman"/>
        </w:rPr>
        <w:t xml:space="preserve"> could reduce the duration of </w:t>
      </w:r>
      <w:r w:rsidR="002F3E87">
        <w:rPr>
          <w:rFonts w:ascii="Times New Roman" w:hAnsi="Times New Roman" w:cs="Times New Roman"/>
        </w:rPr>
        <w:t>accidents</w:t>
      </w:r>
      <w:r w:rsidRPr="00BF42A8" w:rsidR="00EE0346">
        <w:rPr>
          <w:rFonts w:ascii="Times New Roman" w:hAnsi="Times New Roman" w:cs="Times New Roman"/>
        </w:rPr>
        <w:t xml:space="preserve"> as well as </w:t>
      </w:r>
      <w:r w:rsidRPr="00BF42A8">
        <w:rPr>
          <w:rFonts w:ascii="Times New Roman" w:hAnsi="Times New Roman" w:cs="Times New Roman"/>
        </w:rPr>
        <w:t>the likelihood of injuries to emergency responders</w:t>
      </w:r>
      <w:r w:rsidRPr="00BF42A8" w:rsidR="00EE0346">
        <w:rPr>
          <w:rFonts w:ascii="Times New Roman" w:hAnsi="Times New Roman" w:cs="Times New Roman"/>
        </w:rPr>
        <w:t>. E</w:t>
      </w:r>
      <w:r w:rsidRPr="00BF42A8">
        <w:rPr>
          <w:rFonts w:ascii="Times New Roman" w:hAnsi="Times New Roman" w:cs="Times New Roman"/>
        </w:rPr>
        <w:t>xposures</w:t>
      </w:r>
      <w:r w:rsidRPr="00BF42A8" w:rsidR="00EE0346">
        <w:rPr>
          <w:rFonts w:ascii="Times New Roman" w:hAnsi="Times New Roman" w:cs="Times New Roman"/>
        </w:rPr>
        <w:t xml:space="preserve"> may also be limited</w:t>
      </w:r>
      <w:r w:rsidRPr="00BF42A8">
        <w:rPr>
          <w:rFonts w:ascii="Times New Roman" w:hAnsi="Times New Roman" w:cs="Times New Roman"/>
        </w:rPr>
        <w:t xml:space="preserve">—particularly for long-duration events. </w:t>
      </w:r>
    </w:p>
    <w:p w:rsidR="00E235AD" w:rsidP="009128A3" w14:paraId="3343BB54" w14:textId="77777777">
      <w:pPr>
        <w:spacing w:after="0" w:line="240" w:lineRule="auto"/>
        <w:ind w:firstLine="360"/>
        <w:rPr>
          <w:rFonts w:ascii="Times New Roman" w:hAnsi="Times New Roman" w:cs="Times New Roman"/>
        </w:rPr>
      </w:pPr>
    </w:p>
    <w:p w:rsidR="00A00231" w:rsidP="009128A3" w14:paraId="48765A1C"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sidR="008B5335">
        <w:rPr>
          <w:rFonts w:ascii="Times New Roman" w:hAnsi="Times New Roman" w:cs="Times New Roman"/>
        </w:rPr>
        <w:t xml:space="preserve">Hazard evaluation </w:t>
      </w:r>
      <w:r w:rsidRPr="00BF42A8" w:rsidR="00EE0346">
        <w:rPr>
          <w:rFonts w:ascii="Times New Roman" w:hAnsi="Times New Roman" w:cs="Times New Roman"/>
        </w:rPr>
        <w:t>amplifications</w:t>
      </w:r>
      <w:r w:rsidRPr="00BF42A8" w:rsidR="008B5335">
        <w:rPr>
          <w:rFonts w:ascii="Times New Roman" w:hAnsi="Times New Roman" w:cs="Times New Roman"/>
        </w:rPr>
        <w:t xml:space="preserve"> can mitigate the consequences of accidents by </w:t>
      </w:r>
      <w:r w:rsidRPr="00BF42A8" w:rsidR="00FE6B96">
        <w:rPr>
          <w:rFonts w:ascii="Times New Roman" w:hAnsi="Times New Roman" w:cs="Times New Roman"/>
        </w:rPr>
        <w:t xml:space="preserve">requiring facilities with Program 2 and Program 3 processes to explicitly address natural hazards that could lead to </w:t>
      </w:r>
      <w:r w:rsidR="00820730">
        <w:rPr>
          <w:rFonts w:ascii="Times New Roman" w:hAnsi="Times New Roman" w:cs="Times New Roman"/>
        </w:rPr>
        <w:t xml:space="preserve">or exacerbate </w:t>
      </w:r>
      <w:r w:rsidRPr="00BF42A8" w:rsidR="00FE6B96">
        <w:rPr>
          <w:rFonts w:ascii="Times New Roman" w:hAnsi="Times New Roman" w:cs="Times New Roman"/>
        </w:rPr>
        <w:t>an accidental release</w:t>
      </w:r>
      <w:r w:rsidRPr="00BF42A8" w:rsidR="00EE0346">
        <w:rPr>
          <w:rFonts w:ascii="Times New Roman" w:hAnsi="Times New Roman" w:cs="Times New Roman"/>
        </w:rPr>
        <w:t>. Accident consequences should also be mitigated through an explicit requirement that facilities</w:t>
      </w:r>
      <w:r w:rsidRPr="00BF42A8" w:rsidR="00FE6B96">
        <w:rPr>
          <w:rFonts w:ascii="Times New Roman" w:hAnsi="Times New Roman" w:cs="Times New Roman"/>
        </w:rPr>
        <w:t xml:space="preserve"> address standby or emergency power systems</w:t>
      </w:r>
      <w:r w:rsidRPr="00BF42A8" w:rsidR="00EE0346">
        <w:rPr>
          <w:rFonts w:ascii="Times New Roman" w:hAnsi="Times New Roman" w:cs="Times New Roman"/>
        </w:rPr>
        <w:t>. Finally, mitigation should result from EPA</w:t>
      </w:r>
      <w:r w:rsidRPr="00BF42A8" w:rsidR="00FE6B96">
        <w:rPr>
          <w:rFonts w:ascii="Times New Roman" w:hAnsi="Times New Roman" w:cs="Times New Roman"/>
        </w:rPr>
        <w:t xml:space="preserve"> explicitly defin</w:t>
      </w:r>
      <w:r w:rsidRPr="00BF42A8" w:rsidR="00EE0346">
        <w:rPr>
          <w:rFonts w:ascii="Times New Roman" w:hAnsi="Times New Roman" w:cs="Times New Roman"/>
        </w:rPr>
        <w:t>ing</w:t>
      </w:r>
      <w:r w:rsidRPr="00BF42A8" w:rsidR="00FE6B96">
        <w:rPr>
          <w:rFonts w:ascii="Times New Roman" w:hAnsi="Times New Roman" w:cs="Times New Roman"/>
        </w:rPr>
        <w:t xml:space="preserve"> stationary source siting as inclusive of the placement of processes, equipment, buildings, and hazards posed by proximate facilities, and accidental release consequences posed by proximity to the public</w:t>
      </w:r>
      <w:r w:rsidRPr="00BF42A8" w:rsidR="006D0949">
        <w:rPr>
          <w:rFonts w:ascii="Times New Roman" w:hAnsi="Times New Roman" w:cs="Times New Roman"/>
        </w:rPr>
        <w:t>.</w:t>
      </w:r>
      <w:r w:rsidRPr="00BF42A8" w:rsidR="001338AE">
        <w:rPr>
          <w:rFonts w:ascii="Times New Roman" w:hAnsi="Times New Roman" w:cs="Times New Roman"/>
        </w:rPr>
        <w:t xml:space="preserve"> Natural hazards continue to be a factor in RMP accidents and present a growing threat to process safety at RMP facilities</w:t>
      </w:r>
      <w:r w:rsidR="009F04C1">
        <w:rPr>
          <w:rFonts w:ascii="Times New Roman" w:hAnsi="Times New Roman" w:cs="Times New Roman"/>
        </w:rPr>
        <w:t>. Therefore</w:t>
      </w:r>
      <w:r w:rsidRPr="00BF42A8" w:rsidR="001338AE">
        <w:rPr>
          <w:rFonts w:ascii="Times New Roman" w:hAnsi="Times New Roman" w:cs="Times New Roman"/>
        </w:rPr>
        <w:t xml:space="preserve">, </w:t>
      </w:r>
      <w:r w:rsidRPr="00BF42A8" w:rsidR="00B52629">
        <w:rPr>
          <w:rFonts w:ascii="Times New Roman" w:hAnsi="Times New Roman" w:cs="Times New Roman"/>
        </w:rPr>
        <w:t>at a minimum</w:t>
      </w:r>
      <w:r w:rsidR="00B52629">
        <w:rPr>
          <w:rFonts w:ascii="Times New Roman" w:hAnsi="Times New Roman" w:cs="Times New Roman"/>
        </w:rPr>
        <w:t>,</w:t>
      </w:r>
      <w:r w:rsidRPr="00BF42A8" w:rsidR="001338AE">
        <w:rPr>
          <w:rFonts w:ascii="Times New Roman" w:hAnsi="Times New Roman" w:cs="Times New Roman"/>
        </w:rPr>
        <w:t xml:space="preserve"> a requirement to evaluate and control natural hazards will </w:t>
      </w:r>
      <w:r w:rsidRPr="00BF42A8" w:rsidR="005E09D1">
        <w:rPr>
          <w:rFonts w:ascii="Times New Roman" w:hAnsi="Times New Roman" w:cs="Times New Roman"/>
        </w:rPr>
        <w:t>allow for accidents to have</w:t>
      </w:r>
      <w:r w:rsidRPr="00BF42A8" w:rsidR="00A62B76">
        <w:rPr>
          <w:rFonts w:ascii="Times New Roman" w:hAnsi="Times New Roman" w:cs="Times New Roman"/>
        </w:rPr>
        <w:t xml:space="preserve"> lower consequences when natural hazards do occur. For example, </w:t>
      </w:r>
      <w:r w:rsidRPr="00BF42A8" w:rsidR="003E6595">
        <w:rPr>
          <w:rFonts w:ascii="Times New Roman" w:hAnsi="Times New Roman" w:cs="Times New Roman"/>
        </w:rPr>
        <w:t xml:space="preserve">the provision requires facilities with </w:t>
      </w:r>
      <w:r w:rsidRPr="00BF42A8" w:rsidR="0080538D">
        <w:rPr>
          <w:rFonts w:ascii="Times New Roman" w:hAnsi="Times New Roman" w:cs="Times New Roman"/>
        </w:rPr>
        <w:t xml:space="preserve">perimeter </w:t>
      </w:r>
      <w:r w:rsidRPr="00BF42A8" w:rsidR="003E6595">
        <w:rPr>
          <w:rFonts w:ascii="Times New Roman" w:hAnsi="Times New Roman" w:cs="Times New Roman"/>
        </w:rPr>
        <w:t>monitor</w:t>
      </w:r>
      <w:r w:rsidRPr="00BF42A8" w:rsidR="0080538D">
        <w:rPr>
          <w:rFonts w:ascii="Times New Roman" w:hAnsi="Times New Roman" w:cs="Times New Roman"/>
        </w:rPr>
        <w:t xml:space="preserve">s </w:t>
      </w:r>
      <w:r w:rsidRPr="00BF42A8" w:rsidR="003E6595">
        <w:rPr>
          <w:rFonts w:ascii="Times New Roman" w:hAnsi="Times New Roman" w:cs="Times New Roman"/>
        </w:rPr>
        <w:t>to implement backup power if they do not have it already</w:t>
      </w:r>
      <w:r w:rsidRPr="00BF42A8" w:rsidR="009759B9">
        <w:rPr>
          <w:rFonts w:ascii="Times New Roman" w:hAnsi="Times New Roman" w:cs="Times New Roman"/>
        </w:rPr>
        <w:t xml:space="preserve"> also can mitigate the consequences of accidents</w:t>
      </w:r>
      <w:r w:rsidRPr="00BF42A8" w:rsidR="003E6595">
        <w:rPr>
          <w:rFonts w:ascii="Times New Roman" w:hAnsi="Times New Roman" w:cs="Times New Roman"/>
        </w:rPr>
        <w:t>.</w:t>
      </w:r>
      <w:r w:rsidRPr="00BF42A8" w:rsidR="00860CFA">
        <w:rPr>
          <w:rFonts w:ascii="Times New Roman" w:hAnsi="Times New Roman" w:cs="Times New Roman"/>
        </w:rPr>
        <w:t xml:space="preserve"> </w:t>
      </w:r>
      <w:r w:rsidRPr="00BF42A8" w:rsidR="003E6595">
        <w:rPr>
          <w:rFonts w:ascii="Times New Roman" w:hAnsi="Times New Roman" w:cs="Times New Roman"/>
        </w:rPr>
        <w:t xml:space="preserve">Should </w:t>
      </w:r>
      <w:r w:rsidRPr="00BF42A8" w:rsidR="00C17E79">
        <w:rPr>
          <w:rFonts w:ascii="Times New Roman" w:hAnsi="Times New Roman" w:cs="Times New Roman"/>
        </w:rPr>
        <w:t xml:space="preserve">there be a natural </w:t>
      </w:r>
      <w:r w:rsidRPr="00BF42A8" w:rsidR="009C60C9">
        <w:rPr>
          <w:rFonts w:ascii="Times New Roman" w:hAnsi="Times New Roman" w:cs="Times New Roman"/>
        </w:rPr>
        <w:t>cause for loss of power</w:t>
      </w:r>
      <w:r w:rsidRPr="00BF42A8" w:rsidR="00E70569">
        <w:rPr>
          <w:rFonts w:ascii="Times New Roman" w:hAnsi="Times New Roman" w:cs="Times New Roman"/>
        </w:rPr>
        <w:t>,</w:t>
      </w:r>
      <w:r w:rsidRPr="00BF42A8" w:rsidR="009C60C9">
        <w:rPr>
          <w:rFonts w:ascii="Times New Roman" w:hAnsi="Times New Roman" w:cs="Times New Roman"/>
        </w:rPr>
        <w:t xml:space="preserve"> </w:t>
      </w:r>
      <w:r w:rsidRPr="00BF42A8" w:rsidR="00A475DC">
        <w:rPr>
          <w:rFonts w:ascii="Times New Roman" w:hAnsi="Times New Roman" w:cs="Times New Roman"/>
        </w:rPr>
        <w:t xml:space="preserve">this requirement will ensure that </w:t>
      </w:r>
      <w:r w:rsidRPr="00BF42A8" w:rsidR="0080538D">
        <w:rPr>
          <w:rFonts w:ascii="Times New Roman" w:hAnsi="Times New Roman" w:cs="Times New Roman"/>
        </w:rPr>
        <w:t xml:space="preserve">perimeter </w:t>
      </w:r>
      <w:r w:rsidRPr="00BF42A8" w:rsidR="00A475DC">
        <w:rPr>
          <w:rFonts w:ascii="Times New Roman" w:hAnsi="Times New Roman" w:cs="Times New Roman"/>
        </w:rPr>
        <w:t>monitors are able to continue to detect releases</w:t>
      </w:r>
      <w:r w:rsidRPr="00BF42A8" w:rsidR="0080538D">
        <w:rPr>
          <w:rFonts w:ascii="Times New Roman" w:hAnsi="Times New Roman" w:cs="Times New Roman"/>
        </w:rPr>
        <w:t xml:space="preserve"> at the fenceline</w:t>
      </w:r>
      <w:r w:rsidRPr="00BF42A8" w:rsidR="00A475DC">
        <w:rPr>
          <w:rFonts w:ascii="Times New Roman" w:hAnsi="Times New Roman" w:cs="Times New Roman"/>
        </w:rPr>
        <w:t xml:space="preserve"> and allow for a quicker response. This may also </w:t>
      </w:r>
      <w:r w:rsidRPr="00BF42A8" w:rsidR="00F76A53">
        <w:rPr>
          <w:rFonts w:ascii="Times New Roman" w:hAnsi="Times New Roman" w:cs="Times New Roman"/>
        </w:rPr>
        <w:t>mitigate</w:t>
      </w:r>
      <w:r w:rsidRPr="00BF42A8" w:rsidR="00A475DC">
        <w:rPr>
          <w:rFonts w:ascii="Times New Roman" w:hAnsi="Times New Roman" w:cs="Times New Roman"/>
        </w:rPr>
        <w:t xml:space="preserve"> </w:t>
      </w:r>
      <w:r w:rsidR="002E4828">
        <w:rPr>
          <w:rFonts w:ascii="Times New Roman" w:hAnsi="Times New Roman" w:cs="Times New Roman"/>
        </w:rPr>
        <w:t xml:space="preserve">the </w:t>
      </w:r>
      <w:r w:rsidRPr="00BF42A8" w:rsidR="00B81383">
        <w:rPr>
          <w:rFonts w:ascii="Times New Roman" w:hAnsi="Times New Roman" w:cs="Times New Roman"/>
        </w:rPr>
        <w:t>consequences of</w:t>
      </w:r>
      <w:r w:rsidRPr="00BF42A8" w:rsidR="00A475DC">
        <w:rPr>
          <w:rFonts w:ascii="Times New Roman" w:hAnsi="Times New Roman" w:cs="Times New Roman"/>
        </w:rPr>
        <w:t xml:space="preserve"> some accidents that </w:t>
      </w:r>
      <w:r w:rsidRPr="00BF42A8" w:rsidR="00B81383">
        <w:rPr>
          <w:rFonts w:ascii="Times New Roman" w:hAnsi="Times New Roman" w:cs="Times New Roman"/>
        </w:rPr>
        <w:t xml:space="preserve">might </w:t>
      </w:r>
      <w:r w:rsidRPr="00BF42A8" w:rsidR="00A475DC">
        <w:rPr>
          <w:rFonts w:ascii="Times New Roman" w:hAnsi="Times New Roman" w:cs="Times New Roman"/>
        </w:rPr>
        <w:t xml:space="preserve">otherwise occur </w:t>
      </w:r>
      <w:r w:rsidRPr="00BF42A8" w:rsidR="009C340C">
        <w:rPr>
          <w:rFonts w:ascii="Times New Roman" w:hAnsi="Times New Roman" w:cs="Times New Roman"/>
        </w:rPr>
        <w:t>when</w:t>
      </w:r>
      <w:r w:rsidRPr="00BF42A8" w:rsidR="00A475DC">
        <w:rPr>
          <w:rFonts w:ascii="Times New Roman" w:hAnsi="Times New Roman" w:cs="Times New Roman"/>
        </w:rPr>
        <w:t xml:space="preserve"> releases are </w:t>
      </w:r>
      <w:r w:rsidRPr="00BF42A8" w:rsidR="00FC2D52">
        <w:rPr>
          <w:rFonts w:ascii="Times New Roman" w:hAnsi="Times New Roman" w:cs="Times New Roman"/>
        </w:rPr>
        <w:t xml:space="preserve">not </w:t>
      </w:r>
      <w:r w:rsidRPr="00BF42A8" w:rsidR="00A475DC">
        <w:rPr>
          <w:rFonts w:ascii="Times New Roman" w:hAnsi="Times New Roman" w:cs="Times New Roman"/>
        </w:rPr>
        <w:t>detected early enough.</w:t>
      </w:r>
      <w:bookmarkStart w:id="371" w:name="_bookmark51"/>
      <w:bookmarkEnd w:id="371"/>
    </w:p>
    <w:p w:rsidR="009128A3" w:rsidRPr="00BF42A8" w:rsidP="009128A3" w14:paraId="7F6BC0C8" w14:textId="77777777">
      <w:pPr>
        <w:spacing w:after="0" w:line="240" w:lineRule="auto"/>
        <w:ind w:firstLine="360"/>
        <w:rPr>
          <w:rFonts w:ascii="Times New Roman" w:hAnsi="Times New Roman" w:cs="Times New Roman"/>
        </w:rPr>
      </w:pPr>
    </w:p>
    <w:p w:rsidR="00E93325" w:rsidRPr="0041607D" w:rsidP="0041607D" w14:paraId="63CFA5FA" w14:textId="77777777">
      <w:pPr>
        <w:pStyle w:val="Heading3"/>
        <w:rPr>
          <w:rFonts w:ascii="Times New Roman" w:hAnsi="Times New Roman" w:cs="Times New Roman"/>
          <w:b w:val="0"/>
          <w:sz w:val="22"/>
          <w:szCs w:val="22"/>
        </w:rPr>
      </w:pPr>
      <w:bookmarkStart w:id="372" w:name="_Toc141733182"/>
      <w:bookmarkStart w:id="373" w:name="_Toc142404086"/>
      <w:bookmarkStart w:id="374" w:name="_Toc144213894"/>
      <w:bookmarkStart w:id="375" w:name="_Toc144283639"/>
      <w:bookmarkStart w:id="376" w:name="_Toc144303577"/>
      <w:r w:rsidRPr="0041607D">
        <w:rPr>
          <w:rFonts w:ascii="Times New Roman" w:hAnsi="Times New Roman" w:cs="Times New Roman"/>
          <w:sz w:val="22"/>
          <w:szCs w:val="22"/>
        </w:rPr>
        <w:t xml:space="preserve">6.1.3 </w:t>
      </w:r>
      <w:r w:rsidRPr="0041607D" w:rsidR="00A91A23">
        <w:rPr>
          <w:rFonts w:ascii="Times New Roman" w:hAnsi="Times New Roman" w:cs="Times New Roman"/>
          <w:sz w:val="22"/>
          <w:szCs w:val="22"/>
        </w:rPr>
        <w:t>I</w:t>
      </w:r>
      <w:r w:rsidRPr="0041607D" w:rsidR="009D3E56">
        <w:rPr>
          <w:rFonts w:ascii="Times New Roman" w:hAnsi="Times New Roman" w:cs="Times New Roman"/>
          <w:sz w:val="22"/>
          <w:szCs w:val="22"/>
        </w:rPr>
        <w:t>mproved I</w:t>
      </w:r>
      <w:r w:rsidRPr="0041607D" w:rsidR="00A91A23">
        <w:rPr>
          <w:rFonts w:ascii="Times New Roman" w:hAnsi="Times New Roman" w:cs="Times New Roman"/>
          <w:sz w:val="22"/>
          <w:szCs w:val="22"/>
        </w:rPr>
        <w:t>nformation</w:t>
      </w:r>
      <w:bookmarkEnd w:id="372"/>
      <w:bookmarkEnd w:id="373"/>
      <w:bookmarkEnd w:id="374"/>
      <w:bookmarkEnd w:id="375"/>
      <w:bookmarkEnd w:id="376"/>
    </w:p>
    <w:p w:rsidR="00E93325" w:rsidP="009128A3" w14:paraId="301F4243"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Several of the </w:t>
      </w:r>
      <w:r w:rsidR="001A4151">
        <w:rPr>
          <w:rFonts w:ascii="Times New Roman" w:hAnsi="Times New Roman" w:cs="Times New Roman"/>
        </w:rPr>
        <w:t>final</w:t>
      </w:r>
      <w:r w:rsidRPr="00BF42A8" w:rsidR="001A4151">
        <w:rPr>
          <w:rFonts w:ascii="Times New Roman" w:hAnsi="Times New Roman" w:cs="Times New Roman"/>
        </w:rPr>
        <w:t xml:space="preserve"> </w:t>
      </w:r>
      <w:r w:rsidRPr="00BF42A8">
        <w:rPr>
          <w:rFonts w:ascii="Times New Roman" w:hAnsi="Times New Roman" w:cs="Times New Roman"/>
        </w:rPr>
        <w:t xml:space="preserve">rule </w:t>
      </w:r>
      <w:r w:rsidRPr="00BF42A8" w:rsidR="006B7660">
        <w:rPr>
          <w:rFonts w:ascii="Times New Roman" w:hAnsi="Times New Roman" w:cs="Times New Roman"/>
        </w:rPr>
        <w:t>provisions</w:t>
      </w:r>
      <w:r w:rsidRPr="00BF42A8">
        <w:rPr>
          <w:rFonts w:ascii="Times New Roman" w:hAnsi="Times New Roman" w:cs="Times New Roman"/>
        </w:rPr>
        <w:t xml:space="preserve"> target information provision</w:t>
      </w:r>
      <w:r w:rsidR="005D0678">
        <w:rPr>
          <w:rFonts w:ascii="Times New Roman" w:hAnsi="Times New Roman" w:cs="Times New Roman"/>
        </w:rPr>
        <w:t>,</w:t>
      </w:r>
      <w:r w:rsidRPr="00BF42A8" w:rsidR="006B7660">
        <w:rPr>
          <w:rFonts w:ascii="Times New Roman" w:hAnsi="Times New Roman" w:cs="Times New Roman"/>
        </w:rPr>
        <w:t xml:space="preserve"> including community notification under the emergency response provision</w:t>
      </w:r>
      <w:r w:rsidRPr="00BF42A8" w:rsidR="001412D1">
        <w:rPr>
          <w:rFonts w:ascii="Times New Roman" w:hAnsi="Times New Roman" w:cs="Times New Roman"/>
        </w:rPr>
        <w:t xml:space="preserve"> and </w:t>
      </w:r>
      <w:r w:rsidRPr="00BF42A8" w:rsidR="00FC2D52">
        <w:rPr>
          <w:rFonts w:ascii="Times New Roman" w:hAnsi="Times New Roman" w:cs="Times New Roman"/>
        </w:rPr>
        <w:t>i</w:t>
      </w:r>
      <w:r w:rsidRPr="00BF42A8" w:rsidR="00254DEC">
        <w:rPr>
          <w:rFonts w:ascii="Times New Roman" w:hAnsi="Times New Roman" w:cs="Times New Roman"/>
        </w:rPr>
        <w:t xml:space="preserve">nformation </w:t>
      </w:r>
      <w:r w:rsidRPr="00BF42A8" w:rsidR="00FC2D52">
        <w:rPr>
          <w:rFonts w:ascii="Times New Roman" w:hAnsi="Times New Roman" w:cs="Times New Roman"/>
        </w:rPr>
        <w:t>a</w:t>
      </w:r>
      <w:r w:rsidRPr="00BF42A8" w:rsidR="00254DEC">
        <w:rPr>
          <w:rFonts w:ascii="Times New Roman" w:hAnsi="Times New Roman" w:cs="Times New Roman"/>
        </w:rPr>
        <w:t>vailability</w:t>
      </w:r>
      <w:r w:rsidR="005D0678">
        <w:rPr>
          <w:rFonts w:ascii="Times New Roman" w:hAnsi="Times New Roman" w:cs="Times New Roman"/>
        </w:rPr>
        <w:t>;</w:t>
      </w:r>
      <w:r w:rsidRPr="00BF42A8" w:rsidR="009D3E56">
        <w:rPr>
          <w:rFonts w:ascii="Times New Roman" w:hAnsi="Times New Roman" w:cs="Times New Roman"/>
        </w:rPr>
        <w:t xml:space="preserve"> specifically,</w:t>
      </w:r>
      <w:r w:rsidRPr="00BF42A8">
        <w:rPr>
          <w:rFonts w:ascii="Times New Roman" w:hAnsi="Times New Roman" w:cs="Times New Roman"/>
        </w:rPr>
        <w:t xml:space="preserve"> </w:t>
      </w:r>
      <w:r w:rsidRPr="00BF42A8" w:rsidR="009D3E56">
        <w:rPr>
          <w:rFonts w:ascii="Times New Roman" w:hAnsi="Times New Roman" w:cs="Times New Roman"/>
        </w:rPr>
        <w:t xml:space="preserve">the </w:t>
      </w:r>
      <w:r w:rsidR="001A4151">
        <w:rPr>
          <w:rFonts w:ascii="Times New Roman" w:hAnsi="Times New Roman" w:cs="Times New Roman"/>
        </w:rPr>
        <w:t>final rule</w:t>
      </w:r>
      <w:r w:rsidRPr="00BF42A8" w:rsidR="001A4151">
        <w:rPr>
          <w:rFonts w:ascii="Times New Roman" w:hAnsi="Times New Roman" w:cs="Times New Roman"/>
        </w:rPr>
        <w:t xml:space="preserve"> </w:t>
      </w:r>
      <w:r w:rsidRPr="00BF42A8" w:rsidR="009D3E56">
        <w:rPr>
          <w:rFonts w:ascii="Times New Roman" w:hAnsi="Times New Roman" w:cs="Times New Roman"/>
        </w:rPr>
        <w:t xml:space="preserve">provision requiring facilities to disclose information upon request by nearby </w:t>
      </w:r>
      <w:r w:rsidR="00171899">
        <w:rPr>
          <w:rFonts w:ascii="Times New Roman" w:hAnsi="Times New Roman" w:cs="Times New Roman"/>
        </w:rPr>
        <w:t>community members</w:t>
      </w:r>
      <w:r w:rsidRPr="00BF42A8" w:rsidR="009D3E56">
        <w:rPr>
          <w:rFonts w:ascii="Times New Roman" w:hAnsi="Times New Roman" w:cs="Times New Roman"/>
        </w:rPr>
        <w:t xml:space="preserve">. </w:t>
      </w:r>
      <w:r w:rsidRPr="00BF42A8">
        <w:rPr>
          <w:rFonts w:ascii="Times New Roman" w:hAnsi="Times New Roman" w:cs="Times New Roman"/>
        </w:rPr>
        <w:t xml:space="preserve">The </w:t>
      </w:r>
      <w:r w:rsidRPr="00BF42A8" w:rsidR="00F60EBD">
        <w:rPr>
          <w:rFonts w:ascii="Times New Roman" w:hAnsi="Times New Roman" w:cs="Times New Roman"/>
        </w:rPr>
        <w:t xml:space="preserve">community notification provisions </w:t>
      </w:r>
      <w:r w:rsidR="009449B7">
        <w:rPr>
          <w:rFonts w:ascii="Times New Roman" w:hAnsi="Times New Roman" w:cs="Times New Roman"/>
        </w:rPr>
        <w:t>will</w:t>
      </w:r>
      <w:r w:rsidRPr="00BF42A8" w:rsidR="00F60EBD">
        <w:rPr>
          <w:rFonts w:ascii="Times New Roman" w:hAnsi="Times New Roman" w:cs="Times New Roman"/>
        </w:rPr>
        <w:t xml:space="preserve"> improve coordination with the local community by ensuring systems are in place to provide quick</w:t>
      </w:r>
      <w:r w:rsidRPr="00BF42A8">
        <w:rPr>
          <w:rFonts w:ascii="Times New Roman" w:hAnsi="Times New Roman" w:cs="Times New Roman"/>
        </w:rPr>
        <w:t xml:space="preserve"> information </w:t>
      </w:r>
      <w:r w:rsidRPr="00BF42A8" w:rsidR="00F60EBD">
        <w:rPr>
          <w:rFonts w:ascii="Times New Roman" w:hAnsi="Times New Roman" w:cs="Times New Roman"/>
        </w:rPr>
        <w:t>when there is an accidental release</w:t>
      </w:r>
      <w:r w:rsidRPr="00BF42A8" w:rsidR="00FF197A">
        <w:rPr>
          <w:rFonts w:ascii="Times New Roman" w:hAnsi="Times New Roman" w:cs="Times New Roman"/>
        </w:rPr>
        <w:t xml:space="preserve">. The other components of the emergency response provisions </w:t>
      </w:r>
      <w:r w:rsidR="009449B7">
        <w:rPr>
          <w:rFonts w:ascii="Times New Roman" w:hAnsi="Times New Roman" w:cs="Times New Roman"/>
        </w:rPr>
        <w:t>will</w:t>
      </w:r>
      <w:r w:rsidRPr="00BF42A8" w:rsidR="00FF197A">
        <w:rPr>
          <w:rFonts w:ascii="Times New Roman" w:hAnsi="Times New Roman" w:cs="Times New Roman"/>
        </w:rPr>
        <w:t xml:space="preserve"> ensure </w:t>
      </w:r>
      <w:r w:rsidRPr="00BF42A8">
        <w:rPr>
          <w:rFonts w:ascii="Times New Roman" w:hAnsi="Times New Roman" w:cs="Times New Roman"/>
        </w:rPr>
        <w:t xml:space="preserve">the public and emergency responders </w:t>
      </w:r>
      <w:r w:rsidRPr="00BF42A8" w:rsidR="00F022DC">
        <w:rPr>
          <w:rFonts w:ascii="Times New Roman" w:hAnsi="Times New Roman" w:cs="Times New Roman"/>
        </w:rPr>
        <w:t>are aware of</w:t>
      </w:r>
      <w:r w:rsidRPr="00BF42A8">
        <w:rPr>
          <w:rFonts w:ascii="Times New Roman" w:hAnsi="Times New Roman" w:cs="Times New Roman"/>
        </w:rPr>
        <w:t xml:space="preserve"> the chemicals stored and processes used at RMP facilities, equipment, </w:t>
      </w:r>
      <w:r w:rsidRPr="00BF42A8" w:rsidR="00F022DC">
        <w:rPr>
          <w:rFonts w:ascii="Times New Roman" w:hAnsi="Times New Roman" w:cs="Times New Roman"/>
        </w:rPr>
        <w:t xml:space="preserve">and </w:t>
      </w:r>
      <w:r w:rsidRPr="00BF42A8">
        <w:rPr>
          <w:rFonts w:ascii="Times New Roman" w:hAnsi="Times New Roman" w:cs="Times New Roman"/>
        </w:rPr>
        <w:t>materials</w:t>
      </w:r>
      <w:r w:rsidRPr="00BF42A8" w:rsidR="00F022DC">
        <w:rPr>
          <w:rFonts w:ascii="Times New Roman" w:hAnsi="Times New Roman" w:cs="Times New Roman"/>
        </w:rPr>
        <w:t>.</w:t>
      </w:r>
      <w:r w:rsidRPr="00BF42A8">
        <w:rPr>
          <w:rFonts w:ascii="Times New Roman" w:hAnsi="Times New Roman" w:cs="Times New Roman"/>
        </w:rPr>
        <w:t xml:space="preserve"> In addition, if local </w:t>
      </w:r>
      <w:r w:rsidR="00DD295B">
        <w:rPr>
          <w:rFonts w:ascii="Times New Roman" w:hAnsi="Times New Roman" w:cs="Times New Roman"/>
        </w:rPr>
        <w:t>community members</w:t>
      </w:r>
      <w:r w:rsidRPr="00BF42A8" w:rsidR="00DD295B">
        <w:rPr>
          <w:rFonts w:ascii="Times New Roman" w:hAnsi="Times New Roman" w:cs="Times New Roman"/>
        </w:rPr>
        <w:t xml:space="preserve"> </w:t>
      </w:r>
      <w:r w:rsidRPr="00BF42A8">
        <w:rPr>
          <w:rFonts w:ascii="Times New Roman" w:hAnsi="Times New Roman" w:cs="Times New Roman"/>
        </w:rPr>
        <w:t xml:space="preserve">and businesses understand the potential risks from a facility accident, they will be better able to understand recommendations </w:t>
      </w:r>
      <w:r w:rsidRPr="00BF42A8" w:rsidR="00562177">
        <w:rPr>
          <w:rFonts w:ascii="Times New Roman" w:hAnsi="Times New Roman" w:cs="Times New Roman"/>
        </w:rPr>
        <w:t xml:space="preserve">or orders from local officials </w:t>
      </w:r>
      <w:r w:rsidRPr="00BF42A8">
        <w:rPr>
          <w:rFonts w:ascii="Times New Roman" w:hAnsi="Times New Roman" w:cs="Times New Roman"/>
        </w:rPr>
        <w:t xml:space="preserve">for sheltering in place or evacuation and take appropriate actions should an actual </w:t>
      </w:r>
      <w:r w:rsidR="00FF0789">
        <w:rPr>
          <w:rFonts w:ascii="Times New Roman" w:hAnsi="Times New Roman" w:cs="Times New Roman"/>
        </w:rPr>
        <w:t>accident</w:t>
      </w:r>
      <w:r w:rsidRPr="00BF42A8">
        <w:rPr>
          <w:rFonts w:ascii="Times New Roman" w:hAnsi="Times New Roman" w:cs="Times New Roman"/>
        </w:rPr>
        <w:t xml:space="preserve"> occur</w:t>
      </w:r>
      <w:r w:rsidRPr="00BF42A8" w:rsidR="009C340C">
        <w:rPr>
          <w:rFonts w:ascii="Times New Roman" w:hAnsi="Times New Roman" w:cs="Times New Roman"/>
        </w:rPr>
        <w:t xml:space="preserve">. </w:t>
      </w:r>
      <w:r w:rsidR="00DD295B">
        <w:rPr>
          <w:rFonts w:ascii="Times New Roman" w:hAnsi="Times New Roman" w:cs="Times New Roman"/>
        </w:rPr>
        <w:t>Community members</w:t>
      </w:r>
      <w:r w:rsidRPr="00BF42A8" w:rsidR="00DD295B">
        <w:rPr>
          <w:rFonts w:ascii="Times New Roman" w:hAnsi="Times New Roman" w:cs="Times New Roman"/>
        </w:rPr>
        <w:t xml:space="preserve"> </w:t>
      </w:r>
      <w:r w:rsidRPr="00BF42A8" w:rsidR="009C340C">
        <w:rPr>
          <w:rFonts w:ascii="Times New Roman" w:hAnsi="Times New Roman" w:cs="Times New Roman"/>
        </w:rPr>
        <w:t xml:space="preserve">and businesses </w:t>
      </w:r>
      <w:r w:rsidR="009449B7">
        <w:rPr>
          <w:rFonts w:ascii="Times New Roman" w:hAnsi="Times New Roman" w:cs="Times New Roman"/>
        </w:rPr>
        <w:t>will</w:t>
      </w:r>
      <w:r w:rsidRPr="00BF42A8" w:rsidR="009C340C">
        <w:rPr>
          <w:rFonts w:ascii="Times New Roman" w:hAnsi="Times New Roman" w:cs="Times New Roman"/>
        </w:rPr>
        <w:t xml:space="preserve"> be better prepared for possible </w:t>
      </w:r>
      <w:r w:rsidR="00312224">
        <w:rPr>
          <w:rFonts w:ascii="Times New Roman" w:hAnsi="Times New Roman" w:cs="Times New Roman"/>
        </w:rPr>
        <w:t>accidents</w:t>
      </w:r>
      <w:r w:rsidRPr="00BF42A8" w:rsidR="00312224">
        <w:rPr>
          <w:rFonts w:ascii="Times New Roman" w:hAnsi="Times New Roman" w:cs="Times New Roman"/>
        </w:rPr>
        <w:t>, thereby</w:t>
      </w:r>
      <w:r w:rsidRPr="00BF42A8">
        <w:rPr>
          <w:rFonts w:ascii="Times New Roman" w:hAnsi="Times New Roman" w:cs="Times New Roman"/>
        </w:rPr>
        <w:t xml:space="preserve"> mitigating the impacts of the event. </w:t>
      </w:r>
      <w:r w:rsidRPr="00BF42A8" w:rsidR="009C340C">
        <w:rPr>
          <w:rFonts w:ascii="Times New Roman" w:hAnsi="Times New Roman" w:cs="Times New Roman"/>
        </w:rPr>
        <w:t>Better public information will improve efficiency of nearby property markets</w:t>
      </w:r>
      <w:r w:rsidR="005D0678">
        <w:rPr>
          <w:rFonts w:ascii="Times New Roman" w:hAnsi="Times New Roman" w:cs="Times New Roman"/>
        </w:rPr>
        <w:t>, and</w:t>
      </w:r>
      <w:r w:rsidR="002738FD">
        <w:rPr>
          <w:rFonts w:ascii="Times New Roman" w:hAnsi="Times New Roman" w:cs="Times New Roman"/>
        </w:rPr>
        <w:t xml:space="preserve"> b</w:t>
      </w:r>
      <w:r w:rsidRPr="00BF42A8" w:rsidR="009C340C">
        <w:rPr>
          <w:rFonts w:ascii="Times New Roman" w:hAnsi="Times New Roman" w:cs="Times New Roman"/>
        </w:rPr>
        <w:t xml:space="preserve">etter information </w:t>
      </w:r>
      <w:r w:rsidR="002738FD">
        <w:rPr>
          <w:rFonts w:ascii="Times New Roman" w:hAnsi="Times New Roman" w:cs="Times New Roman"/>
        </w:rPr>
        <w:t>provided</w:t>
      </w:r>
      <w:r w:rsidRPr="00BF42A8" w:rsidR="009C340C">
        <w:rPr>
          <w:rFonts w:ascii="Times New Roman" w:hAnsi="Times New Roman" w:cs="Times New Roman"/>
        </w:rPr>
        <w:t xml:space="preserve"> to emergency responders will improve the efficiency of their decisions regarding preventive measure</w:t>
      </w:r>
      <w:r w:rsidR="0074647D">
        <w:rPr>
          <w:rFonts w:ascii="Times New Roman" w:hAnsi="Times New Roman" w:cs="Times New Roman"/>
        </w:rPr>
        <w:t>s</w:t>
      </w:r>
      <w:r w:rsidRPr="00BF42A8" w:rsidR="009C340C">
        <w:rPr>
          <w:rFonts w:ascii="Times New Roman" w:hAnsi="Times New Roman" w:cs="Times New Roman"/>
        </w:rPr>
        <w:t xml:space="preserve"> to take and equipment and materials to purchase. </w:t>
      </w:r>
      <w:r w:rsidR="00901308">
        <w:rPr>
          <w:rFonts w:ascii="Times New Roman" w:hAnsi="Times New Roman" w:cs="Times New Roman"/>
        </w:rPr>
        <w:t>Finally, i</w:t>
      </w:r>
      <w:r w:rsidR="009F7D8F">
        <w:rPr>
          <w:rFonts w:ascii="Times New Roman" w:hAnsi="Times New Roman" w:cs="Times New Roman"/>
        </w:rPr>
        <w:t>mproved information about publicly traded firms could improve the efficiency of capital markets.</w:t>
      </w:r>
    </w:p>
    <w:p w:rsidR="009128A3" w:rsidRPr="00BF42A8" w:rsidP="009128A3" w14:paraId="3A3DC108" w14:textId="77777777">
      <w:pPr>
        <w:spacing w:after="0" w:line="240" w:lineRule="auto"/>
        <w:ind w:firstLine="360"/>
        <w:rPr>
          <w:rFonts w:ascii="Times New Roman" w:hAnsi="Times New Roman" w:cs="Times New Roman"/>
        </w:rPr>
      </w:pPr>
      <w:bookmarkStart w:id="377" w:name="_bookmark52"/>
      <w:bookmarkEnd w:id="377"/>
    </w:p>
    <w:p w:rsidR="00E93325" w:rsidRPr="0041607D" w:rsidP="00C1791C" w14:paraId="6E232EB0" w14:textId="77777777">
      <w:pPr>
        <w:pStyle w:val="Heading3"/>
        <w:keepNext/>
        <w:rPr>
          <w:rFonts w:ascii="Times New Roman" w:hAnsi="Times New Roman" w:cs="Times New Roman"/>
          <w:b w:val="0"/>
          <w:sz w:val="22"/>
          <w:szCs w:val="22"/>
        </w:rPr>
      </w:pPr>
      <w:bookmarkStart w:id="378" w:name="_Toc141733183"/>
      <w:bookmarkStart w:id="379" w:name="_Toc142404087"/>
      <w:bookmarkStart w:id="380" w:name="_Toc144213895"/>
      <w:bookmarkStart w:id="381" w:name="_Toc144283640"/>
      <w:bookmarkStart w:id="382" w:name="_Toc144303578"/>
      <w:r w:rsidRPr="0041607D">
        <w:rPr>
          <w:rFonts w:ascii="Times New Roman" w:hAnsi="Times New Roman" w:cs="Times New Roman"/>
          <w:sz w:val="22"/>
          <w:szCs w:val="22"/>
        </w:rPr>
        <w:t>6.</w:t>
      </w:r>
      <w:r w:rsidRPr="0041607D" w:rsidR="00A00231">
        <w:rPr>
          <w:rFonts w:ascii="Times New Roman" w:hAnsi="Times New Roman" w:cs="Times New Roman"/>
          <w:sz w:val="22"/>
          <w:szCs w:val="22"/>
        </w:rPr>
        <w:t xml:space="preserve">1.4 </w:t>
      </w:r>
      <w:r w:rsidRPr="0041607D">
        <w:rPr>
          <w:rFonts w:ascii="Times New Roman" w:hAnsi="Times New Roman" w:cs="Times New Roman"/>
          <w:sz w:val="22"/>
          <w:szCs w:val="22"/>
        </w:rPr>
        <w:t>Evidence from the</w:t>
      </w:r>
      <w:r w:rsidRPr="0041607D">
        <w:rPr>
          <w:rFonts w:ascii="Times New Roman" w:hAnsi="Times New Roman" w:cs="Times New Roman"/>
          <w:spacing w:val="-6"/>
          <w:sz w:val="22"/>
          <w:szCs w:val="22"/>
        </w:rPr>
        <w:t xml:space="preserve"> </w:t>
      </w:r>
      <w:r w:rsidRPr="0041607D">
        <w:rPr>
          <w:rFonts w:ascii="Times New Roman" w:hAnsi="Times New Roman" w:cs="Times New Roman"/>
          <w:sz w:val="22"/>
          <w:szCs w:val="22"/>
        </w:rPr>
        <w:t>Literature</w:t>
      </w:r>
      <w:bookmarkEnd w:id="378"/>
      <w:bookmarkEnd w:id="379"/>
      <w:bookmarkEnd w:id="380"/>
      <w:bookmarkEnd w:id="381"/>
      <w:bookmarkEnd w:id="382"/>
    </w:p>
    <w:p w:rsidR="00E93325" w:rsidP="00465932" w14:paraId="56C30D86" w14:textId="77777777">
      <w:pPr>
        <w:spacing w:after="0" w:line="240" w:lineRule="auto"/>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Evidence of the effectiveness of several of the rule provisions can be found in </w:t>
      </w:r>
      <w:r w:rsidR="00527845">
        <w:rPr>
          <w:rFonts w:ascii="Times New Roman" w:hAnsi="Times New Roman" w:cs="Times New Roman"/>
        </w:rPr>
        <w:t xml:space="preserve">the </w:t>
      </w:r>
      <w:r w:rsidRPr="00BF42A8">
        <w:rPr>
          <w:rFonts w:ascii="Times New Roman" w:hAnsi="Times New Roman" w:cs="Times New Roman"/>
        </w:rPr>
        <w:t>peer reviewed literature. Regarding root cause analysis, Carroll et al. (2002) concluded that the cultural legacy of a root cause analysis at a chemical plant “was embodied in managers’ increased openness to new ideas, individuals’ questioning attitude and disciplined thinking, and a root cause analysis process that provided continual opportunities to learn and improve.”</w:t>
      </w:r>
      <w:r>
        <w:rPr>
          <w:rStyle w:val="FootnoteReference"/>
          <w:rFonts w:ascii="Times New Roman" w:hAnsi="Times New Roman" w:cs="Times New Roman"/>
        </w:rPr>
        <w:footnoteReference w:id="126"/>
      </w:r>
      <w:r w:rsidRPr="00BF42A8">
        <w:rPr>
          <w:rFonts w:ascii="Times New Roman" w:hAnsi="Times New Roman" w:cs="Times New Roman"/>
        </w:rPr>
        <w:t xml:space="preserve"> Root cause analysis is </w:t>
      </w:r>
      <w:r w:rsidR="00471942">
        <w:rPr>
          <w:rFonts w:ascii="Times New Roman" w:hAnsi="Times New Roman" w:cs="Times New Roman"/>
        </w:rPr>
        <w:t xml:space="preserve">used </w:t>
      </w:r>
      <w:r w:rsidRPr="00BF42A8">
        <w:rPr>
          <w:rFonts w:ascii="Times New Roman" w:hAnsi="Times New Roman" w:cs="Times New Roman"/>
        </w:rPr>
        <w:t>widely in health care</w:t>
      </w:r>
      <w:r w:rsidR="00471942">
        <w:rPr>
          <w:rFonts w:ascii="Times New Roman" w:hAnsi="Times New Roman" w:cs="Times New Roman"/>
        </w:rPr>
        <w:t>,</w:t>
      </w:r>
      <w:r w:rsidRPr="00BF42A8">
        <w:rPr>
          <w:rFonts w:ascii="Times New Roman" w:hAnsi="Times New Roman" w:cs="Times New Roman"/>
        </w:rPr>
        <w:t xml:space="preserve"> where its effectiveness was studied by Percarpio, et al. (2008). Case studies of root cause analysis were gathered from 38 articles, 11 of which measured its effectiveness. Safety improvement following root cause analysis was reported by all 11 articles. However, the authors noted that the evidence of improved safety </w:t>
      </w:r>
      <w:r w:rsidRPr="00BF42A8">
        <w:rPr>
          <w:rFonts w:ascii="Times New Roman" w:hAnsi="Times New Roman" w:cs="Times New Roman"/>
        </w:rPr>
        <w:t>was anecdotal and that further formal studies are still needed.</w:t>
      </w:r>
      <w:r>
        <w:rPr>
          <w:rStyle w:val="FootnoteReference"/>
          <w:rFonts w:ascii="Times New Roman" w:hAnsi="Times New Roman" w:cs="Times New Roman"/>
        </w:rPr>
        <w:footnoteReference w:id="127"/>
      </w:r>
      <w:r w:rsidRPr="00BF42A8">
        <w:rPr>
          <w:rFonts w:ascii="Times New Roman" w:hAnsi="Times New Roman" w:cs="Times New Roman"/>
        </w:rPr>
        <w:t xml:space="preserve"> A later empirical analysis by Percarpio and Watts (2013) of data on root cause analysis for 139 medical centers from 2004 through 2006 concluded that facilities that completed fewer than four analyses per year had higher rates of postoperative complications</w:t>
      </w:r>
      <w:r w:rsidR="00247DC1">
        <w:rPr>
          <w:rFonts w:ascii="Times New Roman" w:hAnsi="Times New Roman" w:cs="Times New Roman"/>
        </w:rPr>
        <w:t>,</w:t>
      </w:r>
      <w:r w:rsidRPr="00BF42A8">
        <w:rPr>
          <w:rFonts w:ascii="Times New Roman" w:hAnsi="Times New Roman" w:cs="Times New Roman"/>
        </w:rPr>
        <w:t xml:space="preserve"> but it was not clear that root cause analyses directly improved patient safety.</w:t>
      </w:r>
      <w:r>
        <w:rPr>
          <w:rStyle w:val="FootnoteReference"/>
          <w:rFonts w:ascii="Times New Roman" w:hAnsi="Times New Roman" w:cs="Times New Roman"/>
        </w:rPr>
        <w:footnoteReference w:id="128"/>
      </w:r>
      <w:r w:rsidRPr="00BF42A8" w:rsidR="00A32C86">
        <w:rPr>
          <w:rFonts w:ascii="Times New Roman" w:hAnsi="Times New Roman" w:cs="Times New Roman"/>
        </w:rPr>
        <w:t xml:space="preserve"> CSB investigations have indicated that </w:t>
      </w:r>
      <w:r w:rsidRPr="00BF42A8" w:rsidR="00A32C86">
        <w:rPr>
          <w:rFonts w:ascii="Times New Roman" w:eastAsia="Times New Roman" w:hAnsi="Times New Roman" w:cs="Times New Roman"/>
        </w:rPr>
        <w:t>root cause analyses help eliminate or substantially reduce the risk of reoccurrence of the incident and other similar incidents. The CSB investigations of the 2004 Formosa Plastics Corporation incident,</w:t>
      </w:r>
      <w:r>
        <w:rPr>
          <w:rStyle w:val="FootnoteReference"/>
          <w:rFonts w:ascii="Times New Roman" w:eastAsia="Times New Roman" w:hAnsi="Times New Roman" w:cs="Times New Roman"/>
        </w:rPr>
        <w:footnoteReference w:id="129"/>
      </w:r>
      <w:r w:rsidRPr="00BF42A8" w:rsidR="00A32C86">
        <w:rPr>
          <w:rFonts w:ascii="Times New Roman" w:eastAsia="Times New Roman" w:hAnsi="Times New Roman" w:cs="Times New Roman"/>
        </w:rPr>
        <w:t xml:space="preserve"> the 2005 BP Texas City Refinery incidents,</w:t>
      </w:r>
      <w:r>
        <w:rPr>
          <w:rStyle w:val="FootnoteReference"/>
          <w:rFonts w:ascii="Times New Roman" w:eastAsia="Times New Roman" w:hAnsi="Times New Roman" w:cs="Times New Roman"/>
        </w:rPr>
        <w:footnoteReference w:id="130"/>
      </w:r>
      <w:r w:rsidRPr="00BF42A8" w:rsidR="00A32C86">
        <w:rPr>
          <w:rFonts w:ascii="Times New Roman" w:eastAsia="Times New Roman" w:hAnsi="Times New Roman" w:cs="Times New Roman"/>
        </w:rPr>
        <w:t xml:space="preserve"> and the 2010 Millard Refrigerated Services incident</w:t>
      </w:r>
      <w:r>
        <w:rPr>
          <w:rStyle w:val="FootnoteReference"/>
          <w:rFonts w:ascii="Times New Roman" w:eastAsia="Times New Roman" w:hAnsi="Times New Roman" w:cs="Times New Roman"/>
        </w:rPr>
        <w:footnoteReference w:id="131"/>
      </w:r>
      <w:r w:rsidRPr="00BF42A8" w:rsidR="00A32C86">
        <w:rPr>
          <w:rFonts w:ascii="Times New Roman" w:eastAsia="Times New Roman" w:hAnsi="Times New Roman" w:cs="Times New Roman"/>
        </w:rPr>
        <w:t xml:space="preserve"> found that root causes of prior, similar incidents were not identified, </w:t>
      </w:r>
      <w:r w:rsidR="00F010D4">
        <w:rPr>
          <w:rFonts w:ascii="Times New Roman" w:eastAsia="Times New Roman" w:hAnsi="Times New Roman" w:cs="Times New Roman"/>
        </w:rPr>
        <w:t>which</w:t>
      </w:r>
      <w:r w:rsidRPr="00BF42A8" w:rsidR="00A32C86">
        <w:rPr>
          <w:rFonts w:ascii="Times New Roman" w:eastAsia="Times New Roman" w:hAnsi="Times New Roman" w:cs="Times New Roman"/>
        </w:rPr>
        <w:t xml:space="preserve"> contributed to subsequent incidents.</w:t>
      </w:r>
    </w:p>
    <w:p w:rsidR="00E235AD" w:rsidP="009128A3" w14:paraId="13EAA3A0" w14:textId="77777777">
      <w:pPr>
        <w:spacing w:after="0" w:line="240" w:lineRule="auto"/>
        <w:ind w:firstLine="360"/>
        <w:rPr>
          <w:rFonts w:ascii="Times New Roman" w:hAnsi="Times New Roman" w:cs="Times New Roman"/>
        </w:rPr>
      </w:pPr>
    </w:p>
    <w:p w:rsidR="001F50A7" w:rsidP="001F50A7" w14:paraId="2B93F1B7" w14:textId="77777777">
      <w:pPr>
        <w:keepNext/>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When independent third-party auditing is necessary and appropriate, the literature indicates that without sufficient safeguards to ensure auditor independence, auditors are more likely to provide lenient or biased audit reports that can fail to accurately identify problems and violations by the regulated entity. For example, Duflo, et al. (2013) found that plants in India reduced actual pollution emissions following a strengthening of requirements regarding third-party audits.</w:t>
      </w:r>
      <w:r>
        <w:rPr>
          <w:rStyle w:val="FootnoteReference"/>
          <w:rFonts w:ascii="Times New Roman" w:hAnsi="Times New Roman" w:cs="Times New Roman"/>
        </w:rPr>
        <w:footnoteReference w:id="132"/>
      </w:r>
      <w:r w:rsidRPr="00BF42A8">
        <w:rPr>
          <w:rFonts w:ascii="Times New Roman" w:hAnsi="Times New Roman" w:cs="Times New Roman"/>
        </w:rPr>
        <w:t xml:space="preserve"> Kunreuther, McNulty, and Kang (2002) characterized as successful a variety of third-party inspection programs, several of which included insurance components. The programs included third-party inspections of U</w:t>
      </w:r>
      <w:r>
        <w:rPr>
          <w:rFonts w:ascii="Times New Roman" w:hAnsi="Times New Roman" w:cs="Times New Roman"/>
        </w:rPr>
        <w:t>.</w:t>
      </w:r>
      <w:r w:rsidRPr="00BF42A8">
        <w:rPr>
          <w:rFonts w:ascii="Times New Roman" w:hAnsi="Times New Roman" w:cs="Times New Roman"/>
        </w:rPr>
        <w:t>S</w:t>
      </w:r>
      <w:r>
        <w:rPr>
          <w:rFonts w:ascii="Times New Roman" w:hAnsi="Times New Roman" w:cs="Times New Roman"/>
        </w:rPr>
        <w:t>.</w:t>
      </w:r>
      <w:r w:rsidRPr="00BF42A8">
        <w:rPr>
          <w:rFonts w:ascii="Times New Roman" w:hAnsi="Times New Roman" w:cs="Times New Roman"/>
        </w:rPr>
        <w:t xml:space="preserve"> steam boilers, Los Angeles hygiene services, and a Massachusetts waste cleanup program. Based on case studies, the authors concluded, “The use of third-party inspections has had very beneficial effects on reducing the risks associated with different activities.”</w:t>
      </w:r>
      <w:r>
        <w:rPr>
          <w:rStyle w:val="FootnoteReference"/>
          <w:rFonts w:ascii="Times New Roman" w:hAnsi="Times New Roman" w:cs="Times New Roman"/>
        </w:rPr>
        <w:footnoteReference w:id="133"/>
      </w:r>
    </w:p>
    <w:p w:rsidR="001F50A7" w:rsidP="001F50A7" w14:paraId="65ACC2FC" w14:textId="77777777">
      <w:pPr>
        <w:keepNext/>
        <w:spacing w:after="0" w:line="240" w:lineRule="auto"/>
        <w:ind w:firstLine="360"/>
        <w:rPr>
          <w:rFonts w:ascii="Times New Roman" w:hAnsi="Times New Roman" w:cs="Times New Roman"/>
        </w:rPr>
      </w:pPr>
    </w:p>
    <w:p w:rsidR="00E93325" w:rsidP="009128A3" w14:paraId="2FC11EA8" w14:textId="03688CB3">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The </w:t>
      </w:r>
      <w:r w:rsidR="0092666E">
        <w:rPr>
          <w:rFonts w:ascii="Times New Roman" w:hAnsi="Times New Roman" w:cs="Times New Roman"/>
        </w:rPr>
        <w:t>final</w:t>
      </w:r>
      <w:r w:rsidRPr="00BF42A8" w:rsidR="0092666E">
        <w:rPr>
          <w:rFonts w:ascii="Times New Roman" w:hAnsi="Times New Roman" w:cs="Times New Roman"/>
        </w:rPr>
        <w:t xml:space="preserve"> </w:t>
      </w:r>
      <w:r w:rsidRPr="00BF42A8">
        <w:rPr>
          <w:rFonts w:ascii="Times New Roman" w:hAnsi="Times New Roman" w:cs="Times New Roman"/>
        </w:rPr>
        <w:t xml:space="preserve">rule </w:t>
      </w:r>
      <w:r w:rsidR="009449B7">
        <w:rPr>
          <w:rFonts w:ascii="Times New Roman" w:hAnsi="Times New Roman" w:cs="Times New Roman"/>
        </w:rPr>
        <w:t>will</w:t>
      </w:r>
      <w:r w:rsidRPr="00BF42A8">
        <w:rPr>
          <w:rFonts w:ascii="Times New Roman" w:hAnsi="Times New Roman" w:cs="Times New Roman"/>
        </w:rPr>
        <w:t xml:space="preserve"> require RMP facilities to make certain types of information available to the public upon request</w:t>
      </w:r>
      <w:r w:rsidR="00DA0848">
        <w:rPr>
          <w:rFonts w:ascii="Times New Roman" w:hAnsi="Times New Roman" w:cs="Times New Roman"/>
        </w:rPr>
        <w:t>,</w:t>
      </w:r>
      <w:r w:rsidRPr="00BF42A8">
        <w:rPr>
          <w:rFonts w:ascii="Times New Roman" w:hAnsi="Times New Roman" w:cs="Times New Roman"/>
        </w:rPr>
        <w:t xml:space="preserve"> including chemical hazard information, names of regulated substances</w:t>
      </w:r>
      <w:r w:rsidR="00B020D2">
        <w:rPr>
          <w:rFonts w:ascii="Times New Roman" w:hAnsi="Times New Roman" w:cs="Times New Roman"/>
        </w:rPr>
        <w:t>,</w:t>
      </w:r>
      <w:r w:rsidRPr="00BF42A8">
        <w:rPr>
          <w:rFonts w:ascii="Times New Roman" w:hAnsi="Times New Roman" w:cs="Times New Roman"/>
        </w:rPr>
        <w:t xml:space="preserve"> </w:t>
      </w:r>
      <w:r w:rsidRPr="00BF42A8" w:rsidR="00D74D0E">
        <w:rPr>
          <w:rFonts w:ascii="Times New Roman" w:hAnsi="Times New Roman" w:cs="Times New Roman"/>
        </w:rPr>
        <w:t>SDSs</w:t>
      </w:r>
      <w:r w:rsidRPr="00BF42A8">
        <w:rPr>
          <w:rFonts w:ascii="Times New Roman" w:hAnsi="Times New Roman" w:cs="Times New Roman"/>
        </w:rPr>
        <w:t xml:space="preserve">; accident history information and more. As stated by Oberholzer-Gee and Mitsunari (2006), “… if individuals pay attention to information regulation, this type of regulation can possibly lead to the spatial reallocation of resources in the metropolitan economy.” </w:t>
      </w:r>
      <w:r w:rsidR="00DA0848">
        <w:rPr>
          <w:rFonts w:ascii="Times New Roman" w:hAnsi="Times New Roman" w:cs="Times New Roman"/>
        </w:rPr>
        <w:t>M</w:t>
      </w:r>
      <w:r w:rsidRPr="00BF42A8">
        <w:rPr>
          <w:rFonts w:ascii="Times New Roman" w:hAnsi="Times New Roman" w:cs="Times New Roman"/>
        </w:rPr>
        <w:t>any studies of the effect of publicly available information on market transactions, including property markets</w:t>
      </w:r>
      <w:r w:rsidR="00DA0848">
        <w:rPr>
          <w:rFonts w:ascii="Times New Roman" w:hAnsi="Times New Roman" w:cs="Times New Roman"/>
        </w:rPr>
        <w:t xml:space="preserve"> have been conducted and m</w:t>
      </w:r>
      <w:r w:rsidRPr="00BF42A8">
        <w:rPr>
          <w:rFonts w:ascii="Times New Roman" w:hAnsi="Times New Roman" w:cs="Times New Roman"/>
        </w:rPr>
        <w:t>any have focused on potential impacts of the Toxic Release Inventory (TRI). For example, Oberholzer-Gee and Mitsunari (2006) examined property values in the Philadelphia region from 1988 to 1990 - one year prior and one year after publication of the TRI. The researchers concluded that after the release of TRI data, the</w:t>
      </w:r>
      <w:r w:rsidRPr="00BF42A8" w:rsidR="00623420">
        <w:rPr>
          <w:rFonts w:ascii="Times New Roman" w:hAnsi="Times New Roman" w:cs="Times New Roman"/>
        </w:rPr>
        <w:t xml:space="preserve"> </w:t>
      </w:r>
      <w:r w:rsidRPr="00BF42A8">
        <w:rPr>
          <w:rFonts w:ascii="Times New Roman" w:hAnsi="Times New Roman" w:cs="Times New Roman"/>
        </w:rPr>
        <w:t>predicted effect of pollution on property values changed and on average property values declined.</w:t>
      </w:r>
      <w:r>
        <w:rPr>
          <w:rStyle w:val="FootnoteReference"/>
          <w:rFonts w:ascii="Times New Roman" w:hAnsi="Times New Roman" w:cs="Times New Roman"/>
        </w:rPr>
        <w:footnoteReference w:id="134"/>
      </w:r>
      <w:r w:rsidRPr="00BF42A8">
        <w:rPr>
          <w:rFonts w:ascii="Times New Roman" w:hAnsi="Times New Roman" w:cs="Times New Roman"/>
        </w:rPr>
        <w:t xml:space="preserve"> Not all studies of pollution information found significant effects. Mastromonaco (2015) states</w:t>
      </w:r>
      <w:r w:rsidRPr="00BF42A8" w:rsidR="00434514">
        <w:rPr>
          <w:rFonts w:ascii="Times New Roman" w:hAnsi="Times New Roman" w:cs="Times New Roman"/>
        </w:rPr>
        <w:t xml:space="preserve"> </w:t>
      </w:r>
      <w:r w:rsidRPr="00BF42A8">
        <w:rPr>
          <w:rFonts w:ascii="Times New Roman" w:hAnsi="Times New Roman" w:cs="Times New Roman"/>
        </w:rPr>
        <w:t xml:space="preserve">“…evidence that the public internalizes information on toxic emissions, for example in the housing and stock markets, </w:t>
      </w:r>
      <w:r w:rsidRPr="00BF42A8">
        <w:rPr>
          <w:rFonts w:ascii="Times New Roman" w:hAnsi="Times New Roman" w:cs="Times New Roman"/>
        </w:rPr>
        <w:t>is mixed.”</w:t>
      </w:r>
      <w:r>
        <w:rPr>
          <w:rStyle w:val="FootnoteReference"/>
          <w:rFonts w:ascii="Times New Roman" w:hAnsi="Times New Roman" w:cs="Times New Roman"/>
        </w:rPr>
        <w:footnoteReference w:id="135"/>
      </w:r>
      <w:r w:rsidRPr="00BF42A8">
        <w:rPr>
          <w:rFonts w:ascii="Times New Roman" w:hAnsi="Times New Roman" w:cs="Times New Roman"/>
        </w:rPr>
        <w:t xml:space="preserve"> The current </w:t>
      </w:r>
      <w:r w:rsidRPr="00BF42A8" w:rsidR="00562177">
        <w:rPr>
          <w:rFonts w:ascii="Times New Roman" w:hAnsi="Times New Roman" w:cs="Times New Roman"/>
        </w:rPr>
        <w:t xml:space="preserve">RMP </w:t>
      </w:r>
      <w:r w:rsidRPr="00BF42A8">
        <w:rPr>
          <w:rFonts w:ascii="Times New Roman" w:hAnsi="Times New Roman" w:cs="Times New Roman"/>
        </w:rPr>
        <w:t>rule makes additional information beyond toxic</w:t>
      </w:r>
      <w:r w:rsidR="00724AB9">
        <w:rPr>
          <w:rFonts w:ascii="Times New Roman" w:hAnsi="Times New Roman" w:cs="Times New Roman"/>
        </w:rPr>
        <w:t>s</w:t>
      </w:r>
      <w:r w:rsidRPr="00BF42A8">
        <w:rPr>
          <w:rFonts w:ascii="Times New Roman" w:hAnsi="Times New Roman" w:cs="Times New Roman"/>
        </w:rPr>
        <w:t xml:space="preserve"> emissions available to the public. Mastromonaco (2015) looked beyond the impact of emissions data and examined a regulatory change in 2001 that lowered the threshold for required reporting for lead to the TRI. The paper studied San Francisco property value data to explore whether the new listing of existing facilities using lead that previously did not report to the TRI affected values of houses located near those facilities. The conclusion was that identifying a plant as a TRI plant significantly reduced nearby property values</w:t>
      </w:r>
      <w:r w:rsidR="005C1B6F">
        <w:rPr>
          <w:rFonts w:ascii="Times New Roman" w:hAnsi="Times New Roman" w:cs="Times New Roman"/>
        </w:rPr>
        <w:t>,</w:t>
      </w:r>
      <w:r w:rsidRPr="00BF42A8">
        <w:rPr>
          <w:rFonts w:ascii="Times New Roman" w:hAnsi="Times New Roman" w:cs="Times New Roman"/>
        </w:rPr>
        <w:t xml:space="preserve"> suggesting that nearby residents adjusted their risk perceptions upward following newly available public risk information.</w:t>
      </w:r>
      <w:r>
        <w:rPr>
          <w:rStyle w:val="FootnoteReference"/>
          <w:rFonts w:ascii="Times New Roman" w:hAnsi="Times New Roman" w:cs="Times New Roman"/>
        </w:rPr>
        <w:footnoteReference w:id="136"/>
      </w:r>
    </w:p>
    <w:p w:rsidR="009128A3" w:rsidRPr="00BF42A8" w:rsidP="009128A3" w14:paraId="1EC1D618" w14:textId="77777777">
      <w:pPr>
        <w:spacing w:after="0" w:line="240" w:lineRule="auto"/>
        <w:ind w:firstLine="360"/>
        <w:rPr>
          <w:rFonts w:ascii="Times New Roman" w:hAnsi="Times New Roman" w:cs="Times New Roman"/>
        </w:rPr>
      </w:pPr>
      <w:bookmarkStart w:id="383" w:name="_bookmark53"/>
      <w:bookmarkEnd w:id="383"/>
    </w:p>
    <w:p w:rsidR="00E93325" w:rsidRPr="0041607D" w:rsidP="0041607D" w14:paraId="0D3F2001" w14:textId="77777777">
      <w:pPr>
        <w:pStyle w:val="Heading3"/>
        <w:rPr>
          <w:rFonts w:ascii="Times New Roman" w:hAnsi="Times New Roman" w:cs="Times New Roman"/>
          <w:b w:val="0"/>
          <w:sz w:val="22"/>
          <w:szCs w:val="22"/>
        </w:rPr>
      </w:pPr>
      <w:bookmarkStart w:id="384" w:name="_Toc141733184"/>
      <w:bookmarkStart w:id="385" w:name="_Toc142404088"/>
      <w:bookmarkStart w:id="386" w:name="_Toc144213896"/>
      <w:bookmarkStart w:id="387" w:name="_Toc144283641"/>
      <w:bookmarkStart w:id="388" w:name="_Toc144303579"/>
      <w:r w:rsidRPr="0041607D">
        <w:rPr>
          <w:rFonts w:ascii="Times New Roman" w:hAnsi="Times New Roman" w:cs="Times New Roman"/>
          <w:sz w:val="22"/>
          <w:szCs w:val="22"/>
        </w:rPr>
        <w:t>6.</w:t>
      </w:r>
      <w:r w:rsidRPr="0041607D" w:rsidR="000D3FCC">
        <w:rPr>
          <w:rFonts w:ascii="Times New Roman" w:hAnsi="Times New Roman" w:cs="Times New Roman"/>
          <w:sz w:val="22"/>
          <w:szCs w:val="22"/>
        </w:rPr>
        <w:t xml:space="preserve">1.5 </w:t>
      </w:r>
      <w:r w:rsidRPr="0041607D">
        <w:rPr>
          <w:rFonts w:ascii="Times New Roman" w:hAnsi="Times New Roman" w:cs="Times New Roman"/>
          <w:sz w:val="22"/>
          <w:szCs w:val="22"/>
        </w:rPr>
        <w:t>Conclusion</w:t>
      </w:r>
      <w:bookmarkEnd w:id="384"/>
      <w:bookmarkEnd w:id="385"/>
      <w:bookmarkEnd w:id="386"/>
      <w:bookmarkEnd w:id="387"/>
      <w:bookmarkEnd w:id="388"/>
    </w:p>
    <w:p w:rsidR="00E93325" w:rsidP="009128A3" w14:paraId="49BB6C34"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The discussion in this section has qualitatively </w:t>
      </w:r>
      <w:r w:rsidRPr="00BF42A8" w:rsidR="00A96F88">
        <w:rPr>
          <w:rFonts w:ascii="Times New Roman" w:hAnsi="Times New Roman" w:cs="Times New Roman"/>
        </w:rPr>
        <w:t>discussed</w:t>
      </w:r>
      <w:r w:rsidRPr="00BF42A8">
        <w:rPr>
          <w:rFonts w:ascii="Times New Roman" w:hAnsi="Times New Roman" w:cs="Times New Roman"/>
        </w:rPr>
        <w:t xml:space="preserve"> how the </w:t>
      </w:r>
      <w:r w:rsidR="00DC059C">
        <w:rPr>
          <w:rFonts w:ascii="Times New Roman" w:hAnsi="Times New Roman" w:cs="Times New Roman"/>
        </w:rPr>
        <w:t>final</w:t>
      </w:r>
      <w:r w:rsidRPr="00BF42A8" w:rsidR="00DC059C">
        <w:rPr>
          <w:rFonts w:ascii="Times New Roman" w:hAnsi="Times New Roman" w:cs="Times New Roman"/>
        </w:rPr>
        <w:t xml:space="preserve"> </w:t>
      </w:r>
      <w:r w:rsidRPr="00BF42A8">
        <w:rPr>
          <w:rFonts w:ascii="Times New Roman" w:hAnsi="Times New Roman" w:cs="Times New Roman"/>
        </w:rPr>
        <w:t xml:space="preserve">rule provisions </w:t>
      </w:r>
      <w:r w:rsidR="009449B7">
        <w:rPr>
          <w:rFonts w:ascii="Times New Roman" w:hAnsi="Times New Roman" w:cs="Times New Roman"/>
        </w:rPr>
        <w:t>will</w:t>
      </w:r>
      <w:r w:rsidRPr="00BF42A8" w:rsidR="00562177">
        <w:rPr>
          <w:rFonts w:ascii="Times New Roman" w:hAnsi="Times New Roman" w:cs="Times New Roman"/>
        </w:rPr>
        <w:t xml:space="preserve"> </w:t>
      </w:r>
      <w:r w:rsidRPr="00BF42A8">
        <w:rPr>
          <w:rFonts w:ascii="Times New Roman" w:hAnsi="Times New Roman" w:cs="Times New Roman"/>
        </w:rPr>
        <w:t xml:space="preserve">aid in the prevention and mitigation of accidents and improve information available to the public and LEPCs. EPA has no data or empirical estimates of the precise impact of each rule provision on the probability </w:t>
      </w:r>
      <w:r w:rsidR="00A43F51">
        <w:rPr>
          <w:rFonts w:ascii="Times New Roman" w:hAnsi="Times New Roman" w:cs="Times New Roman"/>
        </w:rPr>
        <w:t>or</w:t>
      </w:r>
      <w:r w:rsidRPr="00BF42A8">
        <w:rPr>
          <w:rFonts w:ascii="Times New Roman" w:hAnsi="Times New Roman" w:cs="Times New Roman"/>
        </w:rPr>
        <w:t xml:space="preserve"> magnitude of an accident, or on improved efficiency due to better information. </w:t>
      </w:r>
      <w:r w:rsidRPr="00BF42A8" w:rsidR="00342F25">
        <w:rPr>
          <w:rFonts w:ascii="Times New Roman" w:hAnsi="Times New Roman" w:cs="Times New Roman"/>
        </w:rPr>
        <w:t>T</w:t>
      </w:r>
      <w:r w:rsidRPr="00BF42A8">
        <w:rPr>
          <w:rFonts w:ascii="Times New Roman" w:hAnsi="Times New Roman" w:cs="Times New Roman"/>
        </w:rPr>
        <w:t>o shed light on the landscape</w:t>
      </w:r>
      <w:r w:rsidRPr="00BF42A8" w:rsidR="00342F25">
        <w:rPr>
          <w:rFonts w:ascii="Times New Roman" w:hAnsi="Times New Roman" w:cs="Times New Roman"/>
        </w:rPr>
        <w:t xml:space="preserve"> in the baseline</w:t>
      </w:r>
      <w:r w:rsidRPr="00BF42A8">
        <w:rPr>
          <w:rFonts w:ascii="Times New Roman" w:hAnsi="Times New Roman" w:cs="Times New Roman"/>
        </w:rPr>
        <w:t xml:space="preserve">, in </w:t>
      </w:r>
      <w:r w:rsidR="00350233">
        <w:rPr>
          <w:rFonts w:ascii="Times New Roman" w:hAnsi="Times New Roman" w:cs="Times New Roman"/>
        </w:rPr>
        <w:t>Section 3.</w:t>
      </w:r>
      <w:r w:rsidR="00081296">
        <w:rPr>
          <w:rFonts w:ascii="Times New Roman" w:hAnsi="Times New Roman" w:cs="Times New Roman"/>
        </w:rPr>
        <w:t>2</w:t>
      </w:r>
      <w:r w:rsidR="00625E1B">
        <w:rPr>
          <w:rFonts w:ascii="Times New Roman" w:hAnsi="Times New Roman" w:cs="Times New Roman"/>
        </w:rPr>
        <w:t>.5</w:t>
      </w:r>
      <w:r w:rsidRPr="00BF42A8">
        <w:rPr>
          <w:rFonts w:ascii="Times New Roman" w:hAnsi="Times New Roman" w:cs="Times New Roman"/>
        </w:rPr>
        <w:t xml:space="preserve"> EPA describe</w:t>
      </w:r>
      <w:r w:rsidR="00350233">
        <w:rPr>
          <w:rFonts w:ascii="Times New Roman" w:hAnsi="Times New Roman" w:cs="Times New Roman"/>
        </w:rPr>
        <w:t>d</w:t>
      </w:r>
      <w:r w:rsidRPr="00BF42A8">
        <w:rPr>
          <w:rFonts w:ascii="Times New Roman" w:hAnsi="Times New Roman" w:cs="Times New Roman"/>
        </w:rPr>
        <w:t xml:space="preserve"> in detail the number and costs of accidents currently associated with RMP facilities. To the extent practicable, th</w:t>
      </w:r>
      <w:r w:rsidR="00FA0022">
        <w:rPr>
          <w:rFonts w:ascii="Times New Roman" w:hAnsi="Times New Roman" w:cs="Times New Roman"/>
        </w:rPr>
        <w:t>at</w:t>
      </w:r>
      <w:r w:rsidRPr="00BF42A8">
        <w:rPr>
          <w:rFonts w:ascii="Times New Roman" w:hAnsi="Times New Roman" w:cs="Times New Roman"/>
        </w:rPr>
        <w:t xml:space="preserve"> analysis monetizes the costs of damages to partially estimate the baseline costs that </w:t>
      </w:r>
      <w:r w:rsidRPr="00BF42A8" w:rsidR="003311BC">
        <w:rPr>
          <w:rFonts w:ascii="Times New Roman" w:hAnsi="Times New Roman" w:cs="Times New Roman"/>
        </w:rPr>
        <w:t>EPA expects will</w:t>
      </w:r>
      <w:r w:rsidRPr="00BF42A8">
        <w:rPr>
          <w:rFonts w:ascii="Times New Roman" w:hAnsi="Times New Roman" w:cs="Times New Roman"/>
        </w:rPr>
        <w:t xml:space="preserve"> decline due to the </w:t>
      </w:r>
      <w:r w:rsidR="005F7176">
        <w:rPr>
          <w:rFonts w:ascii="Times New Roman" w:hAnsi="Times New Roman" w:cs="Times New Roman"/>
        </w:rPr>
        <w:t>final</w:t>
      </w:r>
      <w:r w:rsidRPr="00BF42A8" w:rsidR="005F7176">
        <w:rPr>
          <w:rFonts w:ascii="Times New Roman" w:hAnsi="Times New Roman" w:cs="Times New Roman"/>
        </w:rPr>
        <w:t xml:space="preserve"> </w:t>
      </w:r>
      <w:r w:rsidRPr="00BF42A8">
        <w:rPr>
          <w:rFonts w:ascii="Times New Roman" w:hAnsi="Times New Roman" w:cs="Times New Roman"/>
        </w:rPr>
        <w:t xml:space="preserve">rule. </w:t>
      </w:r>
      <w:r w:rsidR="00665342">
        <w:rPr>
          <w:rFonts w:ascii="Times New Roman" w:hAnsi="Times New Roman" w:cs="Times New Roman"/>
        </w:rPr>
        <w:t xml:space="preserve">However, there are additional benefits to the final rule beyond those that data allow to be monetized. </w:t>
      </w:r>
      <w:r w:rsidR="009622CF">
        <w:rPr>
          <w:rFonts w:ascii="Times New Roman" w:hAnsi="Times New Roman" w:cs="Times New Roman"/>
        </w:rPr>
        <w:t xml:space="preserve">As illustrated </w:t>
      </w:r>
      <w:r w:rsidRPr="00CE28AA" w:rsidR="009622CF">
        <w:rPr>
          <w:rFonts w:ascii="Times New Roman" w:hAnsi="Times New Roman" w:cs="Times New Roman"/>
        </w:rPr>
        <w:t xml:space="preserve">in </w:t>
      </w:r>
      <w:r w:rsidRPr="00CE28AA" w:rsidR="00693A2E">
        <w:rPr>
          <w:rFonts w:ascii="Times New Roman" w:hAnsi="Times New Roman" w:cs="Times New Roman"/>
        </w:rPr>
        <w:t>Section</w:t>
      </w:r>
      <w:r w:rsidRPr="00CE28AA" w:rsidR="009622CF">
        <w:rPr>
          <w:rFonts w:ascii="Times New Roman" w:hAnsi="Times New Roman" w:cs="Times New Roman"/>
        </w:rPr>
        <w:t xml:space="preserve"> 3</w:t>
      </w:r>
      <w:r w:rsidRPr="00CE28AA" w:rsidR="00693A2E">
        <w:rPr>
          <w:rFonts w:ascii="Times New Roman" w:hAnsi="Times New Roman" w:cs="Times New Roman"/>
        </w:rPr>
        <w:t>.2.1</w:t>
      </w:r>
      <w:r w:rsidR="009622CF">
        <w:rPr>
          <w:rFonts w:ascii="Times New Roman" w:hAnsi="Times New Roman" w:cs="Times New Roman"/>
        </w:rPr>
        <w:t>, EPA</w:t>
      </w:r>
      <w:r w:rsidRPr="00DE507E" w:rsidR="009622CF">
        <w:rPr>
          <w:rFonts w:ascii="Times New Roman" w:hAnsi="Times New Roman" w:cs="Times New Roman"/>
        </w:rPr>
        <w:t xml:space="preserve"> describes the impacts of two recent </w:t>
      </w:r>
      <w:r w:rsidR="00F25A6C">
        <w:rPr>
          <w:rFonts w:ascii="Times New Roman" w:hAnsi="Times New Roman" w:cs="Times New Roman"/>
        </w:rPr>
        <w:t>RMP-</w:t>
      </w:r>
      <w:r w:rsidRPr="00DE507E" w:rsidR="009622CF">
        <w:rPr>
          <w:rFonts w:ascii="Times New Roman" w:hAnsi="Times New Roman" w:cs="Times New Roman"/>
        </w:rPr>
        <w:t>reportable accidents</w:t>
      </w:r>
      <w:r w:rsidR="009622CF">
        <w:rPr>
          <w:rFonts w:ascii="Times New Roman" w:hAnsi="Times New Roman" w:cs="Times New Roman"/>
        </w:rPr>
        <w:t xml:space="preserve"> to further illustrate </w:t>
      </w:r>
      <w:r w:rsidRPr="00DE507E" w:rsidR="009622CF">
        <w:rPr>
          <w:rFonts w:ascii="Times New Roman" w:hAnsi="Times New Roman" w:cs="Times New Roman"/>
        </w:rPr>
        <w:t>the nature of damages from accidents at RMP facilities</w:t>
      </w:r>
      <w:r w:rsidR="00F74C5C">
        <w:rPr>
          <w:rFonts w:ascii="Times New Roman" w:hAnsi="Times New Roman" w:cs="Times New Roman"/>
        </w:rPr>
        <w:t xml:space="preserve"> including some that can be monetized and some that cannot</w:t>
      </w:r>
      <w:r w:rsidR="009622CF">
        <w:rPr>
          <w:rFonts w:ascii="Times New Roman" w:hAnsi="Times New Roman" w:cs="Times New Roman"/>
        </w:rPr>
        <w:t>.</w:t>
      </w:r>
      <w:r w:rsidR="00E3652F">
        <w:rPr>
          <w:rFonts w:ascii="Times New Roman" w:hAnsi="Times New Roman" w:cs="Times New Roman"/>
        </w:rPr>
        <w:t xml:space="preserve"> T</w:t>
      </w:r>
      <w:r w:rsidR="0030181F">
        <w:rPr>
          <w:rFonts w:ascii="Times New Roman" w:hAnsi="Times New Roman" w:cs="Times New Roman"/>
        </w:rPr>
        <w:t>h</w:t>
      </w:r>
      <w:r w:rsidR="00665342">
        <w:rPr>
          <w:rFonts w:ascii="Times New Roman" w:hAnsi="Times New Roman" w:cs="Times New Roman"/>
        </w:rPr>
        <w:t xml:space="preserve">e </w:t>
      </w:r>
      <w:r w:rsidR="004505AE">
        <w:rPr>
          <w:rFonts w:ascii="Times New Roman" w:hAnsi="Times New Roman" w:cs="Times New Roman"/>
        </w:rPr>
        <w:t>following</w:t>
      </w:r>
      <w:r w:rsidR="0030181F">
        <w:rPr>
          <w:rFonts w:ascii="Times New Roman" w:hAnsi="Times New Roman" w:cs="Times New Roman"/>
        </w:rPr>
        <w:t xml:space="preserve"> </w:t>
      </w:r>
      <w:r w:rsidR="00665342">
        <w:rPr>
          <w:rFonts w:ascii="Times New Roman" w:hAnsi="Times New Roman" w:cs="Times New Roman"/>
        </w:rPr>
        <w:t>present</w:t>
      </w:r>
      <w:r w:rsidR="00394EA1">
        <w:rPr>
          <w:rFonts w:ascii="Times New Roman" w:hAnsi="Times New Roman" w:cs="Times New Roman"/>
        </w:rPr>
        <w:t>s</w:t>
      </w:r>
      <w:r w:rsidR="00665342">
        <w:rPr>
          <w:rFonts w:ascii="Times New Roman" w:hAnsi="Times New Roman" w:cs="Times New Roman"/>
        </w:rPr>
        <w:t xml:space="preserve"> and explain</w:t>
      </w:r>
      <w:r w:rsidR="00394EA1">
        <w:rPr>
          <w:rFonts w:ascii="Times New Roman" w:hAnsi="Times New Roman" w:cs="Times New Roman"/>
        </w:rPr>
        <w:t>s</w:t>
      </w:r>
      <w:r w:rsidR="00665342">
        <w:rPr>
          <w:rFonts w:ascii="Times New Roman" w:hAnsi="Times New Roman" w:cs="Times New Roman"/>
        </w:rPr>
        <w:t xml:space="preserve"> additional </w:t>
      </w:r>
      <w:r w:rsidR="00487431">
        <w:rPr>
          <w:rFonts w:ascii="Times New Roman" w:hAnsi="Times New Roman" w:cs="Times New Roman"/>
        </w:rPr>
        <w:t>baseline accident damages</w:t>
      </w:r>
      <w:r w:rsidR="00665342">
        <w:rPr>
          <w:rFonts w:ascii="Times New Roman" w:hAnsi="Times New Roman" w:cs="Times New Roman"/>
        </w:rPr>
        <w:t xml:space="preserve"> that could not be monetized. </w:t>
      </w:r>
    </w:p>
    <w:p w:rsidR="00582681" w:rsidRPr="00BF42A8" w:rsidP="00BF42A8" w14:paraId="3632D651" w14:textId="77777777">
      <w:pPr>
        <w:spacing w:after="0" w:line="240" w:lineRule="auto"/>
        <w:ind w:firstLine="720"/>
        <w:rPr>
          <w:rFonts w:ascii="Times New Roman" w:hAnsi="Times New Roman" w:cs="Times New Roman"/>
        </w:rPr>
      </w:pPr>
      <w:bookmarkStart w:id="389" w:name="_bookmark54"/>
      <w:bookmarkStart w:id="390" w:name="_bookmark56"/>
      <w:bookmarkStart w:id="391" w:name="_bookmark57"/>
      <w:bookmarkStart w:id="392" w:name="_bookmark58"/>
      <w:bookmarkEnd w:id="389"/>
      <w:bookmarkEnd w:id="390"/>
      <w:bookmarkEnd w:id="391"/>
      <w:bookmarkEnd w:id="392"/>
    </w:p>
    <w:p w:rsidR="00E93325" w:rsidP="00C07306" w14:paraId="5754A995" w14:textId="77777777">
      <w:pPr>
        <w:pStyle w:val="Heading2"/>
      </w:pPr>
      <w:bookmarkStart w:id="393" w:name="_bookmark61"/>
      <w:bookmarkStart w:id="394" w:name="_Toc98856232"/>
      <w:bookmarkStart w:id="395" w:name="_Toc144303580"/>
      <w:bookmarkEnd w:id="393"/>
      <w:r w:rsidRPr="00BF42A8">
        <w:t>6.</w:t>
      </w:r>
      <w:r w:rsidR="00B47818">
        <w:t>2</w:t>
      </w:r>
      <w:r w:rsidRPr="00BF42A8">
        <w:t xml:space="preserve"> Benefit Categories Associated with Accident Prevention</w:t>
      </w:r>
      <w:r w:rsidRPr="00BF42A8">
        <w:rPr>
          <w:spacing w:val="-28"/>
        </w:rPr>
        <w:t xml:space="preserve"> </w:t>
      </w:r>
      <w:r w:rsidRPr="00BF42A8">
        <w:t>and Mitigation</w:t>
      </w:r>
      <w:bookmarkEnd w:id="394"/>
      <w:bookmarkEnd w:id="395"/>
    </w:p>
    <w:p w:rsidR="00402EBC" w:rsidP="00402EBC" w14:paraId="65FA8FE5" w14:textId="5DA22FB4">
      <w:pPr>
        <w:spacing w:after="0" w:line="240" w:lineRule="auto"/>
        <w:ind w:firstLine="360"/>
        <w:rPr>
          <w:rFonts w:ascii="Times New Roman" w:hAnsi="Times New Roman" w:cs="Times New Roman"/>
        </w:rPr>
      </w:pPr>
      <w:r>
        <w:rPr>
          <w:rFonts w:ascii="Times New Roman" w:hAnsi="Times New Roman" w:cs="Times New Roman"/>
        </w:rPr>
        <w:tab/>
      </w:r>
      <w:r w:rsidRPr="00EE75DA" w:rsidR="005A7DCC">
        <w:rPr>
          <w:rFonts w:ascii="Times New Roman" w:hAnsi="Times New Roman" w:cs="Times New Roman"/>
        </w:rPr>
        <w:t xml:space="preserve">In addition to the </w:t>
      </w:r>
      <w:r w:rsidR="005A7DCC">
        <w:rPr>
          <w:rFonts w:ascii="Times New Roman" w:hAnsi="Times New Roman" w:cs="Times New Roman"/>
        </w:rPr>
        <w:t xml:space="preserve">avoided costs from the reduced likelihood of an </w:t>
      </w:r>
      <w:r w:rsidRPr="00EE75DA" w:rsidR="005A7DCC">
        <w:rPr>
          <w:rFonts w:ascii="Times New Roman" w:hAnsi="Times New Roman" w:cs="Times New Roman"/>
        </w:rPr>
        <w:t>accident</w:t>
      </w:r>
      <w:r w:rsidR="005A7DCC">
        <w:rPr>
          <w:rFonts w:ascii="Times New Roman" w:hAnsi="Times New Roman" w:cs="Times New Roman"/>
        </w:rPr>
        <w:t xml:space="preserve"> or a catastrophe</w:t>
      </w:r>
      <w:r w:rsidRPr="00EE75DA" w:rsidR="005A7DCC">
        <w:rPr>
          <w:rFonts w:ascii="Times New Roman" w:hAnsi="Times New Roman" w:cs="Times New Roman"/>
        </w:rPr>
        <w:t>, the rule</w:t>
      </w:r>
      <w:r w:rsidR="005A7DCC">
        <w:rPr>
          <w:rFonts w:ascii="Times New Roman" w:hAnsi="Times New Roman" w:cs="Times New Roman"/>
        </w:rPr>
        <w:t xml:space="preserve"> </w:t>
      </w:r>
      <w:r w:rsidR="009837FF">
        <w:rPr>
          <w:rFonts w:ascii="Times New Roman" w:hAnsi="Times New Roman" w:cs="Times New Roman"/>
        </w:rPr>
        <w:t>will</w:t>
      </w:r>
      <w:r w:rsidR="005A7DCC">
        <w:rPr>
          <w:rFonts w:ascii="Times New Roman" w:hAnsi="Times New Roman" w:cs="Times New Roman"/>
        </w:rPr>
        <w:t xml:space="preserve"> </w:t>
      </w:r>
      <w:r w:rsidR="00E9268D">
        <w:rPr>
          <w:rFonts w:ascii="Times New Roman" w:hAnsi="Times New Roman" w:cs="Times New Roman"/>
        </w:rPr>
        <w:t xml:space="preserve">generate benefits </w:t>
      </w:r>
      <w:r w:rsidR="005A7DCC">
        <w:rPr>
          <w:rFonts w:ascii="Times New Roman" w:hAnsi="Times New Roman" w:cs="Times New Roman"/>
        </w:rPr>
        <w:t>in other</w:t>
      </w:r>
      <w:r w:rsidRPr="00EE75DA" w:rsidR="005A7DCC">
        <w:rPr>
          <w:rFonts w:ascii="Times New Roman" w:hAnsi="Times New Roman" w:cs="Times New Roman"/>
        </w:rPr>
        <w:t xml:space="preserve"> </w:t>
      </w:r>
      <w:r w:rsidRPr="00BF42A8" w:rsidR="005A7DCC">
        <w:rPr>
          <w:rFonts w:ascii="Times New Roman" w:hAnsi="Times New Roman" w:cs="Times New Roman"/>
        </w:rPr>
        <w:t xml:space="preserve">important categories, including avoided impacts of non-RMP accidents at RMP facilities; the information benefits described above; and additional benefit categories not reported in the RMP data that result from accident prevention and mitigation. Additional benefit categories include </w:t>
      </w:r>
      <w:r w:rsidR="00DA633E">
        <w:rPr>
          <w:rFonts w:ascii="Times New Roman" w:hAnsi="Times New Roman" w:cs="Times New Roman"/>
        </w:rPr>
        <w:t xml:space="preserve">avoided </w:t>
      </w:r>
      <w:r w:rsidR="00FE0CD1">
        <w:rPr>
          <w:rFonts w:ascii="Times New Roman" w:hAnsi="Times New Roman" w:cs="Times New Roman"/>
        </w:rPr>
        <w:t>major catastrophes</w:t>
      </w:r>
      <w:r w:rsidR="00211046">
        <w:rPr>
          <w:rFonts w:ascii="Times New Roman" w:hAnsi="Times New Roman" w:cs="Times New Roman"/>
        </w:rPr>
        <w:t xml:space="preserve">, </w:t>
      </w:r>
      <w:r w:rsidR="00DA633E">
        <w:rPr>
          <w:rFonts w:ascii="Times New Roman" w:hAnsi="Times New Roman" w:cs="Times New Roman"/>
        </w:rPr>
        <w:t xml:space="preserve">avoided </w:t>
      </w:r>
      <w:r w:rsidR="00ED6194">
        <w:rPr>
          <w:rFonts w:ascii="Times New Roman" w:hAnsi="Times New Roman" w:cs="Times New Roman"/>
        </w:rPr>
        <w:t xml:space="preserve">health risks from </w:t>
      </w:r>
      <w:r w:rsidR="008B1319">
        <w:rPr>
          <w:rFonts w:ascii="Times New Roman" w:hAnsi="Times New Roman" w:cs="Times New Roman"/>
        </w:rPr>
        <w:t xml:space="preserve">exposure to </w:t>
      </w:r>
      <w:r w:rsidR="00ED6194">
        <w:rPr>
          <w:rFonts w:ascii="Times New Roman" w:hAnsi="Times New Roman" w:cs="Times New Roman"/>
        </w:rPr>
        <w:t>toxic chemicals,</w:t>
      </w:r>
      <w:r w:rsidRPr="00BF42A8" w:rsidR="005A7DCC">
        <w:rPr>
          <w:rFonts w:ascii="Times New Roman" w:hAnsi="Times New Roman" w:cs="Times New Roman"/>
        </w:rPr>
        <w:t xml:space="preserve"> </w:t>
      </w:r>
      <w:r w:rsidR="00DA633E">
        <w:rPr>
          <w:rFonts w:ascii="Times New Roman" w:hAnsi="Times New Roman" w:cs="Times New Roman"/>
        </w:rPr>
        <w:t xml:space="preserve">avoided </w:t>
      </w:r>
      <w:r w:rsidRPr="00BF42A8" w:rsidR="005A7DCC">
        <w:rPr>
          <w:rFonts w:ascii="Times New Roman" w:hAnsi="Times New Roman" w:cs="Times New Roman"/>
        </w:rPr>
        <w:t>lost productivity</w:t>
      </w:r>
      <w:r w:rsidR="00211046">
        <w:rPr>
          <w:rFonts w:ascii="Times New Roman" w:hAnsi="Times New Roman" w:cs="Times New Roman"/>
        </w:rPr>
        <w:t>,</w:t>
      </w:r>
      <w:r w:rsidRPr="00BF42A8" w:rsidR="005A7DCC">
        <w:rPr>
          <w:rFonts w:ascii="Times New Roman" w:hAnsi="Times New Roman" w:cs="Times New Roman"/>
        </w:rPr>
        <w:t xml:space="preserve"> avoided responder costs</w:t>
      </w:r>
      <w:r w:rsidR="00211046">
        <w:rPr>
          <w:rFonts w:ascii="Times New Roman" w:hAnsi="Times New Roman" w:cs="Times New Roman"/>
        </w:rPr>
        <w:t>,</w:t>
      </w:r>
      <w:r w:rsidRPr="00BF42A8" w:rsidR="005A7DCC">
        <w:rPr>
          <w:rFonts w:ascii="Times New Roman" w:hAnsi="Times New Roman" w:cs="Times New Roman"/>
        </w:rPr>
        <w:t xml:space="preserve"> avoided transaction costs</w:t>
      </w:r>
      <w:r w:rsidR="00211046">
        <w:rPr>
          <w:rFonts w:ascii="Times New Roman" w:hAnsi="Times New Roman" w:cs="Times New Roman"/>
        </w:rPr>
        <w:t>,</w:t>
      </w:r>
      <w:r w:rsidRPr="00BF42A8" w:rsidR="005A7DCC">
        <w:rPr>
          <w:rFonts w:ascii="Times New Roman" w:hAnsi="Times New Roman" w:cs="Times New Roman"/>
        </w:rPr>
        <w:t xml:space="preserve"> protected property values</w:t>
      </w:r>
      <w:r w:rsidR="00211046">
        <w:rPr>
          <w:rFonts w:ascii="Times New Roman" w:hAnsi="Times New Roman" w:cs="Times New Roman"/>
        </w:rPr>
        <w:t>,</w:t>
      </w:r>
      <w:r w:rsidRPr="00BF42A8" w:rsidR="005A7DCC">
        <w:rPr>
          <w:rFonts w:ascii="Times New Roman" w:hAnsi="Times New Roman" w:cs="Times New Roman"/>
        </w:rPr>
        <w:t xml:space="preserve"> avoided environmental impacts</w:t>
      </w:r>
      <w:r w:rsidR="00303B3C">
        <w:rPr>
          <w:rFonts w:ascii="Times New Roman" w:hAnsi="Times New Roman" w:cs="Times New Roman"/>
        </w:rPr>
        <w:t>,</w:t>
      </w:r>
      <w:r w:rsidR="00431EDA">
        <w:rPr>
          <w:rFonts w:ascii="Times New Roman" w:hAnsi="Times New Roman" w:cs="Times New Roman"/>
        </w:rPr>
        <w:t xml:space="preserve"> avoided unquantified </w:t>
      </w:r>
      <w:r w:rsidR="00E33F97">
        <w:rPr>
          <w:rFonts w:ascii="Times New Roman" w:hAnsi="Times New Roman" w:cs="Times New Roman"/>
        </w:rPr>
        <w:t xml:space="preserve">evacuation and </w:t>
      </w:r>
      <w:r w:rsidR="00787391">
        <w:rPr>
          <w:rFonts w:ascii="Times New Roman" w:hAnsi="Times New Roman" w:cs="Times New Roman"/>
        </w:rPr>
        <w:t>shelter</w:t>
      </w:r>
      <w:r w:rsidR="004326F7">
        <w:rPr>
          <w:rFonts w:ascii="Times New Roman" w:hAnsi="Times New Roman" w:cs="Times New Roman"/>
        </w:rPr>
        <w:t xml:space="preserve">-in-place costs, and potential benefits to </w:t>
      </w:r>
      <w:r w:rsidR="00363297">
        <w:rPr>
          <w:rFonts w:ascii="Times New Roman" w:hAnsi="Times New Roman" w:cs="Times New Roman"/>
        </w:rPr>
        <w:t>communities with environmental justice concerns</w:t>
      </w:r>
      <w:r w:rsidRPr="00BF42A8" w:rsidR="005A7DCC">
        <w:rPr>
          <w:rFonts w:ascii="Times New Roman" w:hAnsi="Times New Roman" w:cs="Times New Roman"/>
        </w:rPr>
        <w:t>.</w:t>
      </w:r>
      <w:r w:rsidR="005A7DCC">
        <w:rPr>
          <w:rFonts w:ascii="Times New Roman" w:hAnsi="Times New Roman" w:cs="Times New Roman"/>
        </w:rPr>
        <w:t xml:space="preserve"> </w:t>
      </w:r>
      <w:r w:rsidRPr="00BF42A8" w:rsidR="00E93325">
        <w:rPr>
          <w:rFonts w:ascii="Times New Roman" w:hAnsi="Times New Roman" w:cs="Times New Roman"/>
        </w:rPr>
        <w:t xml:space="preserve">The sections below present a discussion of </w:t>
      </w:r>
      <w:r w:rsidR="005107CD">
        <w:rPr>
          <w:rFonts w:ascii="Times New Roman" w:hAnsi="Times New Roman" w:cs="Times New Roman"/>
        </w:rPr>
        <w:t xml:space="preserve">these </w:t>
      </w:r>
      <w:r w:rsidR="0081435C">
        <w:rPr>
          <w:rFonts w:ascii="Times New Roman" w:hAnsi="Times New Roman" w:cs="Times New Roman"/>
        </w:rPr>
        <w:t>baseline damages that could not be monetized.</w:t>
      </w:r>
      <w:bookmarkStart w:id="396" w:name="_Hlk143875585"/>
    </w:p>
    <w:p w:rsidR="00402EBC" w:rsidP="00402EBC" w14:paraId="586F2B11" w14:textId="77777777">
      <w:pPr>
        <w:spacing w:after="0" w:line="240" w:lineRule="auto"/>
        <w:ind w:firstLine="360"/>
        <w:rPr>
          <w:rFonts w:ascii="Times New Roman" w:hAnsi="Times New Roman" w:cs="Times New Roman"/>
        </w:rPr>
      </w:pPr>
    </w:p>
    <w:p w:rsidR="00402EBC" w:rsidRPr="0041607D" w:rsidP="00402EBC" w14:paraId="3BD41413" w14:textId="77777777">
      <w:pPr>
        <w:pStyle w:val="Heading3"/>
        <w:keepNext/>
        <w:rPr>
          <w:rFonts w:ascii="Times New Roman" w:hAnsi="Times New Roman" w:cs="Times New Roman"/>
          <w:sz w:val="22"/>
          <w:szCs w:val="22"/>
        </w:rPr>
      </w:pPr>
      <w:bookmarkStart w:id="397" w:name="_Toc144213898"/>
      <w:bookmarkStart w:id="398" w:name="_Toc144283643"/>
      <w:bookmarkStart w:id="399" w:name="_Toc144303581"/>
      <w:r w:rsidRPr="0041607D">
        <w:rPr>
          <w:rFonts w:ascii="Times New Roman" w:hAnsi="Times New Roman" w:cs="Times New Roman"/>
          <w:sz w:val="22"/>
          <w:szCs w:val="22"/>
        </w:rPr>
        <w:t>6.</w:t>
      </w:r>
      <w:r>
        <w:rPr>
          <w:rFonts w:ascii="Times New Roman" w:hAnsi="Times New Roman" w:cs="Times New Roman"/>
          <w:sz w:val="22"/>
          <w:szCs w:val="22"/>
        </w:rPr>
        <w:t>2</w:t>
      </w:r>
      <w:r w:rsidRPr="0041607D">
        <w:rPr>
          <w:rFonts w:ascii="Times New Roman" w:hAnsi="Times New Roman" w:cs="Times New Roman"/>
          <w:sz w:val="22"/>
          <w:szCs w:val="22"/>
        </w:rPr>
        <w:t xml:space="preserve">.1 </w:t>
      </w:r>
      <w:r>
        <w:rPr>
          <w:rFonts w:ascii="Times New Roman" w:hAnsi="Times New Roman" w:cs="Times New Roman"/>
          <w:sz w:val="22"/>
          <w:szCs w:val="22"/>
        </w:rPr>
        <w:t>Major Catastrophes</w:t>
      </w:r>
      <w:bookmarkEnd w:id="397"/>
      <w:bookmarkEnd w:id="398"/>
      <w:bookmarkEnd w:id="399"/>
    </w:p>
    <w:p w:rsidR="00E93325" w:rsidP="00522CAA" w14:paraId="52130221" w14:textId="3F97C14C">
      <w:pPr>
        <w:keepNext/>
        <w:spacing w:after="0" w:line="240" w:lineRule="auto"/>
        <w:rPr>
          <w:rFonts w:ascii="Times New Roman" w:hAnsi="Times New Roman" w:cs="Times New Roman"/>
        </w:rPr>
      </w:pPr>
      <w:r>
        <w:rPr>
          <w:rFonts w:ascii="Times New Roman" w:hAnsi="Times New Roman" w:cs="Times New Roman"/>
        </w:rPr>
        <w:tab/>
      </w:r>
      <w:r w:rsidRPr="00402EBC">
        <w:rPr>
          <w:rFonts w:ascii="Times New Roman" w:hAnsi="Times New Roman" w:cs="Times New Roman"/>
        </w:rPr>
        <w:t>In enacting section 112(r), Congress was focused on catastrophic accidents such as Bhopal, which are extremely rare, but very high consequence events. The large chemical facility accidents that have occurred in the U.S. and Europe have not approached this level of damage, although it is possible that could happen. The single largest chemical accident in the U.S., the explosion at Phillips in Pasadena, TX, in 1989 killed 23 workers ($239 million in 2022 dollars), injured at least 150 more ($7.5 million), and caused $1.8 billion in property damage.</w:t>
      </w:r>
      <w:r>
        <w:rPr>
          <w:rStyle w:val="FootnoteReference"/>
          <w:rFonts w:ascii="Times New Roman" w:hAnsi="Times New Roman" w:cs="Times New Roman"/>
        </w:rPr>
        <w:footnoteReference w:id="137"/>
      </w:r>
      <w:r w:rsidRPr="00402EBC">
        <w:rPr>
          <w:rFonts w:ascii="Times New Roman" w:hAnsi="Times New Roman" w:cs="Times New Roman"/>
        </w:rPr>
        <w:t xml:space="preserve"> The five-year baseline period included in this analysis does not </w:t>
      </w:r>
      <w:r w:rsidRPr="00402EBC">
        <w:rPr>
          <w:rFonts w:ascii="Times New Roman" w:hAnsi="Times New Roman" w:cs="Times New Roman"/>
        </w:rPr>
        <w:t>include a major catastrophe, nor were any reflected in the Amendments RIA time frame of 2004 to 2013. If the final rule provisions were to prevent or substantially mitigate even one accident of this magnitude, the benefits generated will be dramatic</w:t>
      </w:r>
      <w:r>
        <w:rPr>
          <w:rFonts w:ascii="Times New Roman" w:hAnsi="Times New Roman" w:cs="Times New Roman"/>
        </w:rPr>
        <w:t>.</w:t>
      </w:r>
    </w:p>
    <w:p w:rsidR="00457A26" w:rsidP="009128A3" w14:paraId="3E45950A" w14:textId="77777777">
      <w:pPr>
        <w:spacing w:after="0" w:line="240" w:lineRule="auto"/>
        <w:ind w:firstLine="360"/>
        <w:rPr>
          <w:rFonts w:ascii="Times New Roman" w:hAnsi="Times New Roman" w:cs="Times New Roman"/>
        </w:rPr>
      </w:pPr>
    </w:p>
    <w:p w:rsidR="00FB58C1" w:rsidRPr="0041607D" w:rsidP="00993F67" w14:paraId="0E736D70" w14:textId="320CEC86">
      <w:pPr>
        <w:pStyle w:val="Heading3"/>
        <w:keepNext/>
        <w:rPr>
          <w:rFonts w:ascii="Times New Roman" w:hAnsi="Times New Roman" w:cs="Times New Roman"/>
          <w:sz w:val="22"/>
          <w:szCs w:val="22"/>
        </w:rPr>
      </w:pPr>
      <w:bookmarkStart w:id="400" w:name="_Toc141733188"/>
      <w:bookmarkStart w:id="401" w:name="_Toc142404092"/>
      <w:bookmarkStart w:id="402" w:name="_Toc144213899"/>
      <w:bookmarkStart w:id="403" w:name="_Toc144283644"/>
      <w:bookmarkStart w:id="404" w:name="_Toc144303582"/>
      <w:r w:rsidRPr="0041607D">
        <w:rPr>
          <w:rFonts w:ascii="Times New Roman" w:hAnsi="Times New Roman" w:cs="Times New Roman"/>
          <w:sz w:val="22"/>
          <w:szCs w:val="22"/>
        </w:rPr>
        <w:t>6.</w:t>
      </w:r>
      <w:r w:rsidR="00DC599E">
        <w:rPr>
          <w:rFonts w:ascii="Times New Roman" w:hAnsi="Times New Roman" w:cs="Times New Roman"/>
          <w:sz w:val="22"/>
          <w:szCs w:val="22"/>
        </w:rPr>
        <w:t>2</w:t>
      </w:r>
      <w:r w:rsidRPr="0041607D">
        <w:rPr>
          <w:rFonts w:ascii="Times New Roman" w:hAnsi="Times New Roman" w:cs="Times New Roman"/>
          <w:sz w:val="22"/>
          <w:szCs w:val="22"/>
        </w:rPr>
        <w:t>.</w:t>
      </w:r>
      <w:r w:rsidR="00DC599E">
        <w:rPr>
          <w:rFonts w:ascii="Times New Roman" w:hAnsi="Times New Roman" w:cs="Times New Roman"/>
          <w:sz w:val="22"/>
          <w:szCs w:val="22"/>
        </w:rPr>
        <w:t>2</w:t>
      </w:r>
      <w:r w:rsidRPr="0041607D">
        <w:rPr>
          <w:rFonts w:ascii="Times New Roman" w:hAnsi="Times New Roman" w:cs="Times New Roman"/>
          <w:sz w:val="22"/>
          <w:szCs w:val="22"/>
        </w:rPr>
        <w:t xml:space="preserve"> </w:t>
      </w:r>
      <w:r w:rsidR="00536080">
        <w:rPr>
          <w:rFonts w:ascii="Times New Roman" w:hAnsi="Times New Roman" w:cs="Times New Roman"/>
          <w:sz w:val="22"/>
          <w:szCs w:val="22"/>
        </w:rPr>
        <w:t xml:space="preserve">Potential </w:t>
      </w:r>
      <w:r w:rsidRPr="0041607D" w:rsidR="00C04204">
        <w:rPr>
          <w:rFonts w:ascii="Times New Roman" w:hAnsi="Times New Roman" w:cs="Times New Roman"/>
          <w:sz w:val="22"/>
          <w:szCs w:val="22"/>
        </w:rPr>
        <w:t xml:space="preserve">Health Risks </w:t>
      </w:r>
      <w:r w:rsidRPr="0041607D" w:rsidR="00700C38">
        <w:rPr>
          <w:rFonts w:ascii="Times New Roman" w:hAnsi="Times New Roman" w:cs="Times New Roman"/>
          <w:sz w:val="22"/>
          <w:szCs w:val="22"/>
        </w:rPr>
        <w:t xml:space="preserve">from </w:t>
      </w:r>
      <w:r w:rsidR="008B1319">
        <w:rPr>
          <w:rFonts w:ascii="Times New Roman" w:hAnsi="Times New Roman" w:cs="Times New Roman"/>
          <w:sz w:val="22"/>
          <w:szCs w:val="22"/>
        </w:rPr>
        <w:t xml:space="preserve">Exposure to </w:t>
      </w:r>
      <w:r w:rsidRPr="0041607D" w:rsidR="00700C38">
        <w:rPr>
          <w:rFonts w:ascii="Times New Roman" w:hAnsi="Times New Roman" w:cs="Times New Roman"/>
          <w:sz w:val="22"/>
          <w:szCs w:val="22"/>
        </w:rPr>
        <w:t>Toxic Chemicals</w:t>
      </w:r>
      <w:bookmarkEnd w:id="400"/>
      <w:bookmarkEnd w:id="401"/>
      <w:bookmarkEnd w:id="402"/>
      <w:bookmarkEnd w:id="403"/>
      <w:bookmarkEnd w:id="404"/>
    </w:p>
    <w:p w:rsidR="00FB58C1" w:rsidRPr="00BF42A8" w:rsidP="00993F67" w14:paraId="7D3A1C21" w14:textId="650861D7">
      <w:pPr>
        <w:keepNext/>
        <w:spacing w:after="0" w:line="240" w:lineRule="auto"/>
        <w:rPr>
          <w:rFonts w:ascii="Times New Roman" w:hAnsi="Times New Roman" w:cs="Times New Roman"/>
        </w:rPr>
      </w:pPr>
      <w:r>
        <w:rPr>
          <w:rFonts w:ascii="Times New Roman" w:hAnsi="Times New Roman" w:cs="Times New Roman"/>
        </w:rPr>
        <w:tab/>
      </w:r>
      <w:r w:rsidR="003E2E9F">
        <w:rPr>
          <w:rFonts w:ascii="Times New Roman" w:hAnsi="Times New Roman" w:cs="Times New Roman"/>
        </w:rPr>
        <w:t>A</w:t>
      </w:r>
      <w:r w:rsidR="00DF0DDC">
        <w:rPr>
          <w:rFonts w:ascii="Times New Roman" w:hAnsi="Times New Roman" w:cs="Times New Roman"/>
        </w:rPr>
        <w:t xml:space="preserve"> baseline</w:t>
      </w:r>
      <w:r w:rsidR="003E2E9F">
        <w:rPr>
          <w:rFonts w:ascii="Times New Roman" w:hAnsi="Times New Roman" w:cs="Times New Roman"/>
        </w:rPr>
        <w:t xml:space="preserve"> cost from </w:t>
      </w:r>
      <w:r w:rsidR="00DF0DDC">
        <w:rPr>
          <w:rFonts w:ascii="Times New Roman" w:hAnsi="Times New Roman" w:cs="Times New Roman"/>
        </w:rPr>
        <w:t xml:space="preserve">RMP facility accidents </w:t>
      </w:r>
      <w:r w:rsidR="00A748FA">
        <w:rPr>
          <w:rFonts w:ascii="Times New Roman" w:hAnsi="Times New Roman" w:cs="Times New Roman"/>
        </w:rPr>
        <w:t>is</w:t>
      </w:r>
      <w:r w:rsidR="00DF0DDC">
        <w:rPr>
          <w:rFonts w:ascii="Times New Roman" w:hAnsi="Times New Roman" w:cs="Times New Roman"/>
        </w:rPr>
        <w:t xml:space="preserve"> </w:t>
      </w:r>
      <w:r w:rsidR="002E6888">
        <w:rPr>
          <w:rFonts w:ascii="Times New Roman" w:hAnsi="Times New Roman" w:cs="Times New Roman"/>
        </w:rPr>
        <w:t xml:space="preserve">potential </w:t>
      </w:r>
      <w:r w:rsidR="009C50E3">
        <w:rPr>
          <w:rFonts w:ascii="Times New Roman" w:hAnsi="Times New Roman" w:cs="Times New Roman"/>
        </w:rPr>
        <w:t xml:space="preserve">and/or perceived </w:t>
      </w:r>
      <w:r w:rsidR="00DF0DDC">
        <w:rPr>
          <w:rFonts w:ascii="Times New Roman" w:hAnsi="Times New Roman" w:cs="Times New Roman"/>
        </w:rPr>
        <w:t xml:space="preserve">health risks from </w:t>
      </w:r>
      <w:r w:rsidR="008B1319">
        <w:rPr>
          <w:rFonts w:ascii="Times New Roman" w:hAnsi="Times New Roman" w:cs="Times New Roman"/>
        </w:rPr>
        <w:t xml:space="preserve">exposure to </w:t>
      </w:r>
      <w:r w:rsidR="00DF0DDC">
        <w:rPr>
          <w:rFonts w:ascii="Times New Roman" w:hAnsi="Times New Roman" w:cs="Times New Roman"/>
        </w:rPr>
        <w:t>toxic chemicals.</w:t>
      </w:r>
      <w:r w:rsidR="00015D21">
        <w:rPr>
          <w:rFonts w:ascii="Times New Roman" w:hAnsi="Times New Roman" w:cs="Times New Roman"/>
        </w:rPr>
        <w:t xml:space="preserve"> </w:t>
      </w:r>
      <w:r w:rsidR="003D4178">
        <w:rPr>
          <w:rFonts w:ascii="Times New Roman" w:hAnsi="Times New Roman" w:cs="Times New Roman"/>
        </w:rPr>
        <w:t>A</w:t>
      </w:r>
      <w:r w:rsidR="00401ABC">
        <w:rPr>
          <w:rFonts w:ascii="Times New Roman" w:hAnsi="Times New Roman" w:cs="Times New Roman"/>
        </w:rPr>
        <w:t xml:space="preserve"> benefit of</w:t>
      </w:r>
      <w:r w:rsidR="00DF0DDC">
        <w:rPr>
          <w:rFonts w:ascii="Times New Roman" w:hAnsi="Times New Roman" w:cs="Times New Roman"/>
        </w:rPr>
        <w:t xml:space="preserve"> </w:t>
      </w:r>
      <w:r w:rsidR="005E4187">
        <w:rPr>
          <w:rFonts w:ascii="Times New Roman" w:hAnsi="Times New Roman" w:cs="Times New Roman"/>
        </w:rPr>
        <w:t xml:space="preserve">the final rule in </w:t>
      </w:r>
      <w:r w:rsidR="003E2E9F">
        <w:rPr>
          <w:rFonts w:ascii="Times New Roman" w:hAnsi="Times New Roman" w:cs="Times New Roman"/>
        </w:rPr>
        <w:t>reduc</w:t>
      </w:r>
      <w:r w:rsidR="00401ABC">
        <w:rPr>
          <w:rFonts w:ascii="Times New Roman" w:hAnsi="Times New Roman" w:cs="Times New Roman"/>
        </w:rPr>
        <w:t>ing the</w:t>
      </w:r>
      <w:r w:rsidR="003E2E9F">
        <w:rPr>
          <w:rFonts w:ascii="Times New Roman" w:hAnsi="Times New Roman" w:cs="Times New Roman"/>
        </w:rPr>
        <w:t xml:space="preserve"> likelihood of an accident </w:t>
      </w:r>
      <w:r w:rsidR="009837FF">
        <w:rPr>
          <w:rFonts w:ascii="Times New Roman" w:hAnsi="Times New Roman" w:cs="Times New Roman"/>
        </w:rPr>
        <w:t>will</w:t>
      </w:r>
      <w:r w:rsidR="003E2E9F">
        <w:rPr>
          <w:rFonts w:ascii="Times New Roman" w:hAnsi="Times New Roman" w:cs="Times New Roman"/>
        </w:rPr>
        <w:t xml:space="preserve"> be reduced long-term health risks from exposure to toxic chemicals. EPA is unable to quantify this benefit because in many cases the health risks </w:t>
      </w:r>
      <w:r w:rsidR="008B1319">
        <w:rPr>
          <w:rFonts w:ascii="Times New Roman" w:hAnsi="Times New Roman" w:cs="Times New Roman"/>
        </w:rPr>
        <w:t xml:space="preserve">from exposure </w:t>
      </w:r>
      <w:r w:rsidR="003E2E9F">
        <w:rPr>
          <w:rFonts w:ascii="Times New Roman" w:hAnsi="Times New Roman" w:cs="Times New Roman"/>
        </w:rPr>
        <w:t>to many toxic chemicals are unknown and may only be discovered years after an accident occurs. These health risks may occur from toxic chemical releases into the air, surface water, or soil. In addition, beyond actual health impacts, there may be costs to the public from stress and uncertainty associated with perceived risk of long-term health problems due to chemical accidents.</w:t>
      </w:r>
    </w:p>
    <w:bookmarkEnd w:id="396"/>
    <w:p w:rsidR="00D21960" w:rsidP="001F1FDC" w14:paraId="395611E7" w14:textId="77777777">
      <w:pPr>
        <w:spacing w:after="0" w:line="240" w:lineRule="auto"/>
        <w:rPr>
          <w:rFonts w:ascii="Times New Roman" w:hAnsi="Times New Roman" w:cs="Times New Roman"/>
          <w:b/>
        </w:rPr>
      </w:pPr>
    </w:p>
    <w:p w:rsidR="00E93325" w:rsidRPr="0041607D" w:rsidP="0041607D" w14:paraId="35F9A4C2" w14:textId="77777777">
      <w:pPr>
        <w:pStyle w:val="Heading3"/>
        <w:rPr>
          <w:rFonts w:ascii="Times New Roman" w:hAnsi="Times New Roman" w:cs="Times New Roman"/>
          <w:sz w:val="22"/>
          <w:szCs w:val="22"/>
        </w:rPr>
      </w:pPr>
      <w:bookmarkStart w:id="405" w:name="_Toc141733189"/>
      <w:bookmarkStart w:id="406" w:name="_Toc142404093"/>
      <w:bookmarkStart w:id="407" w:name="_Toc144213900"/>
      <w:bookmarkStart w:id="408" w:name="_Toc144283645"/>
      <w:bookmarkStart w:id="409" w:name="_Toc144303583"/>
      <w:r w:rsidRPr="0041607D">
        <w:rPr>
          <w:rFonts w:ascii="Times New Roman" w:hAnsi="Times New Roman" w:cs="Times New Roman"/>
          <w:sz w:val="22"/>
          <w:szCs w:val="22"/>
        </w:rPr>
        <w:t>6</w:t>
      </w:r>
      <w:r w:rsidRPr="0041607D">
        <w:rPr>
          <w:rFonts w:ascii="Times New Roman" w:hAnsi="Times New Roman" w:cs="Times New Roman"/>
          <w:sz w:val="22"/>
          <w:szCs w:val="22"/>
        </w:rPr>
        <w:t>.</w:t>
      </w:r>
      <w:r w:rsidRPr="0041607D" w:rsidR="00700C38">
        <w:rPr>
          <w:rFonts w:ascii="Times New Roman" w:hAnsi="Times New Roman" w:cs="Times New Roman"/>
          <w:sz w:val="22"/>
          <w:szCs w:val="22"/>
        </w:rPr>
        <w:t>2</w:t>
      </w:r>
      <w:r w:rsidRPr="0041607D">
        <w:rPr>
          <w:rFonts w:ascii="Times New Roman" w:hAnsi="Times New Roman" w:cs="Times New Roman"/>
          <w:sz w:val="22"/>
          <w:szCs w:val="22"/>
        </w:rPr>
        <w:t>.</w:t>
      </w:r>
      <w:r w:rsidR="00DC599E">
        <w:rPr>
          <w:rFonts w:ascii="Times New Roman" w:hAnsi="Times New Roman" w:cs="Times New Roman"/>
          <w:sz w:val="22"/>
          <w:szCs w:val="22"/>
        </w:rPr>
        <w:t>3</w:t>
      </w:r>
      <w:r w:rsidRPr="0041607D" w:rsidR="00DC599E">
        <w:rPr>
          <w:rFonts w:ascii="Times New Roman" w:hAnsi="Times New Roman" w:cs="Times New Roman"/>
          <w:sz w:val="22"/>
          <w:szCs w:val="22"/>
        </w:rPr>
        <w:t xml:space="preserve"> </w:t>
      </w:r>
      <w:r w:rsidRPr="0041607D">
        <w:rPr>
          <w:rFonts w:ascii="Times New Roman" w:hAnsi="Times New Roman" w:cs="Times New Roman"/>
          <w:sz w:val="22"/>
          <w:szCs w:val="22"/>
        </w:rPr>
        <w:t>Lost</w:t>
      </w:r>
      <w:r w:rsidRPr="0041607D">
        <w:rPr>
          <w:rFonts w:ascii="Times New Roman" w:hAnsi="Times New Roman" w:cs="Times New Roman"/>
          <w:spacing w:val="-3"/>
          <w:sz w:val="22"/>
          <w:szCs w:val="22"/>
        </w:rPr>
        <w:t xml:space="preserve"> </w:t>
      </w:r>
      <w:r w:rsidRPr="0041607D">
        <w:rPr>
          <w:rFonts w:ascii="Times New Roman" w:hAnsi="Times New Roman" w:cs="Times New Roman"/>
          <w:sz w:val="22"/>
          <w:szCs w:val="22"/>
        </w:rPr>
        <w:t>Productivity</w:t>
      </w:r>
      <w:bookmarkEnd w:id="405"/>
      <w:bookmarkEnd w:id="406"/>
      <w:bookmarkEnd w:id="407"/>
      <w:bookmarkEnd w:id="408"/>
      <w:bookmarkEnd w:id="409"/>
    </w:p>
    <w:p w:rsidR="009128A3" w:rsidP="009128A3" w14:paraId="45327826" w14:textId="0F23974F">
      <w:pPr>
        <w:spacing w:after="0" w:line="240" w:lineRule="auto"/>
        <w:ind w:firstLine="360"/>
        <w:rPr>
          <w:rFonts w:ascii="Times New Roman" w:hAnsi="Times New Roman" w:cs="Times New Roman"/>
        </w:rPr>
      </w:pPr>
      <w:r>
        <w:rPr>
          <w:rFonts w:ascii="Times New Roman" w:hAnsi="Times New Roman" w:cs="Times New Roman"/>
        </w:rPr>
        <w:tab/>
      </w:r>
      <w:r w:rsidRPr="00BF42A8" w:rsidR="00E93325">
        <w:rPr>
          <w:rFonts w:ascii="Times New Roman" w:hAnsi="Times New Roman" w:cs="Times New Roman"/>
        </w:rPr>
        <w:t xml:space="preserve">A major cost associated with some chemical </w:t>
      </w:r>
      <w:r w:rsidR="00B629EE">
        <w:rPr>
          <w:rFonts w:ascii="Times New Roman" w:hAnsi="Times New Roman" w:cs="Times New Roman"/>
        </w:rPr>
        <w:t>accidents</w:t>
      </w:r>
      <w:r w:rsidRPr="00BF42A8" w:rsidR="00E93325">
        <w:rPr>
          <w:rFonts w:ascii="Times New Roman" w:hAnsi="Times New Roman" w:cs="Times New Roman"/>
        </w:rPr>
        <w:t xml:space="preserve"> that is not captured in the </w:t>
      </w:r>
      <w:r w:rsidRPr="00BF42A8" w:rsidR="007479B8">
        <w:rPr>
          <w:rFonts w:ascii="Times New Roman" w:hAnsi="Times New Roman" w:cs="Times New Roman"/>
        </w:rPr>
        <w:t>five-year</w:t>
      </w:r>
      <w:r w:rsidRPr="00BF42A8" w:rsidR="00E93325">
        <w:rPr>
          <w:rFonts w:ascii="Times New Roman" w:hAnsi="Times New Roman" w:cs="Times New Roman"/>
        </w:rPr>
        <w:t>-baseline estimates presented above is the lost productivity that can result if a facility or process unit must be shut down or is destroyed. The RMP data include estimates of property damage but specifically exclude estimates of lost productivity.</w:t>
      </w:r>
      <w:r>
        <w:rPr>
          <w:rStyle w:val="FootnoteReference"/>
          <w:rFonts w:ascii="Times New Roman" w:hAnsi="Times New Roman" w:cs="Times New Roman"/>
        </w:rPr>
        <w:footnoteReference w:id="138"/>
      </w:r>
      <w:r w:rsidRPr="00BF42A8" w:rsidR="00E93325">
        <w:rPr>
          <w:rFonts w:ascii="Times New Roman" w:hAnsi="Times New Roman" w:cs="Times New Roman"/>
        </w:rPr>
        <w:t xml:space="preserve"> EPA has not estimated these costs because of a lack of data. Such costs are highly </w:t>
      </w:r>
      <w:r w:rsidRPr="00AF6AF5" w:rsidR="00E93325">
        <w:rPr>
          <w:rFonts w:ascii="Times New Roman" w:hAnsi="Times New Roman" w:cs="Times New Roman"/>
        </w:rPr>
        <w:t>variable based on the type of release, the extent of the damage, the location of the facility, and product being produced. Marsh</w:t>
      </w:r>
      <w:r w:rsidRPr="00AF6AF5" w:rsidR="003B259C">
        <w:rPr>
          <w:rFonts w:ascii="Times New Roman" w:hAnsi="Times New Roman" w:cs="Times New Roman"/>
        </w:rPr>
        <w:t xml:space="preserve"> Specialty</w:t>
      </w:r>
      <w:r w:rsidRPr="00AF6AF5" w:rsidR="00E93325">
        <w:rPr>
          <w:rFonts w:ascii="Times New Roman" w:hAnsi="Times New Roman" w:cs="Times New Roman"/>
        </w:rPr>
        <w:t xml:space="preserve">, a risk management and energy consultancy, has collected data on 10,000 accidents in the petrochemical sector over 40 years and published </w:t>
      </w:r>
      <w:r w:rsidRPr="00AF6AF5" w:rsidR="009D617E">
        <w:rPr>
          <w:rFonts w:ascii="Times New Roman" w:hAnsi="Times New Roman" w:cs="Times New Roman"/>
        </w:rPr>
        <w:t xml:space="preserve">27 </w:t>
      </w:r>
      <w:r w:rsidRPr="00AF6AF5" w:rsidR="00E93325">
        <w:rPr>
          <w:rFonts w:ascii="Times New Roman" w:hAnsi="Times New Roman" w:cs="Times New Roman"/>
        </w:rPr>
        <w:t>editions of its “100 Largest Losses” reports.</w:t>
      </w:r>
      <w:r>
        <w:rPr>
          <w:rStyle w:val="FootnoteReference"/>
          <w:rFonts w:ascii="Times New Roman" w:hAnsi="Times New Roman" w:cs="Times New Roman"/>
        </w:rPr>
        <w:footnoteReference w:id="139"/>
      </w:r>
      <w:r w:rsidRPr="00AF6AF5" w:rsidR="00E93325">
        <w:rPr>
          <w:rFonts w:ascii="Times New Roman" w:hAnsi="Times New Roman" w:cs="Times New Roman"/>
        </w:rPr>
        <w:t xml:space="preserve"> The</w:t>
      </w:r>
      <w:r w:rsidRPr="00AF6AF5" w:rsidR="003055F9">
        <w:rPr>
          <w:rFonts w:ascii="Times New Roman" w:hAnsi="Times New Roman" w:cs="Times New Roman"/>
        </w:rPr>
        <w:t>ir</w:t>
      </w:r>
      <w:r w:rsidRPr="00AF6AF5" w:rsidR="003E5A0A">
        <w:rPr>
          <w:rFonts w:ascii="Times New Roman" w:hAnsi="Times New Roman" w:cs="Times New Roman"/>
        </w:rPr>
        <w:t xml:space="preserve"> </w:t>
      </w:r>
      <w:r w:rsidRPr="00AF6AF5" w:rsidR="00E93325">
        <w:rPr>
          <w:rFonts w:ascii="Times New Roman" w:hAnsi="Times New Roman" w:cs="Times New Roman"/>
        </w:rPr>
        <w:t xml:space="preserve">data suggest that lost productivity </w:t>
      </w:r>
      <w:r w:rsidRPr="00DF720F" w:rsidR="00F64C6E">
        <w:rPr>
          <w:rFonts w:ascii="Times New Roman" w:hAnsi="Times New Roman" w:cs="Times New Roman"/>
        </w:rPr>
        <w:t>is typically two or three</w:t>
      </w:r>
      <w:r w:rsidRPr="00DF720F" w:rsidR="00E1173C">
        <w:rPr>
          <w:rFonts w:ascii="Times New Roman" w:hAnsi="Times New Roman" w:cs="Times New Roman"/>
        </w:rPr>
        <w:t xml:space="preserve"> </w:t>
      </w:r>
      <w:r w:rsidRPr="00DF720F" w:rsidR="00E93325">
        <w:rPr>
          <w:rFonts w:ascii="Times New Roman" w:hAnsi="Times New Roman" w:cs="Times New Roman"/>
        </w:rPr>
        <w:t xml:space="preserve">times the cost of </w:t>
      </w:r>
      <w:r w:rsidRPr="00A03476" w:rsidR="00216B86">
        <w:rPr>
          <w:rFonts w:ascii="Times New Roman" w:hAnsi="Times New Roman" w:cs="Times New Roman"/>
        </w:rPr>
        <w:t xml:space="preserve">onsite </w:t>
      </w:r>
      <w:r w:rsidRPr="00DF720F" w:rsidR="00E93325">
        <w:rPr>
          <w:rFonts w:ascii="Times New Roman" w:hAnsi="Times New Roman" w:cs="Times New Roman"/>
        </w:rPr>
        <w:t>property damage</w:t>
      </w:r>
      <w:r w:rsidRPr="00DF720F" w:rsidR="004A1479">
        <w:rPr>
          <w:rFonts w:ascii="Times New Roman" w:hAnsi="Times New Roman" w:cs="Times New Roman"/>
        </w:rPr>
        <w:t xml:space="preserve"> and sometimes much more than that</w:t>
      </w:r>
      <w:r w:rsidRPr="00DF720F" w:rsidR="00E93325">
        <w:rPr>
          <w:rFonts w:ascii="Times New Roman" w:hAnsi="Times New Roman" w:cs="Times New Roman"/>
        </w:rPr>
        <w:t>.</w:t>
      </w:r>
      <w:r>
        <w:rPr>
          <w:rStyle w:val="FootnoteReference"/>
          <w:rFonts w:ascii="Times New Roman" w:hAnsi="Times New Roman" w:cs="Times New Roman"/>
        </w:rPr>
        <w:footnoteReference w:id="140"/>
      </w:r>
      <w:r w:rsidRPr="00A03476" w:rsidR="00E93325">
        <w:rPr>
          <w:rFonts w:ascii="Times New Roman" w:hAnsi="Times New Roman" w:cs="Times New Roman"/>
        </w:rPr>
        <w:t xml:space="preserve"> </w:t>
      </w:r>
      <w:r w:rsidRPr="00A03476" w:rsidR="001F4F74">
        <w:rPr>
          <w:rFonts w:ascii="Times New Roman" w:hAnsi="Times New Roman" w:cs="Times New Roman"/>
        </w:rPr>
        <w:t>For example, a series of three explosions at a refinery in Sweeney, Texas on April 13, 1991 resulted in $225 million in 2002 dollars ($353 million in 2022 dollars) of business interruption losses, five times the $45 million ($71 million in 2022 dollars) in</w:t>
      </w:r>
      <w:r w:rsidRPr="00A03476" w:rsidR="00E93325">
        <w:rPr>
          <w:rFonts w:ascii="Times New Roman" w:hAnsi="Times New Roman" w:cs="Times New Roman"/>
        </w:rPr>
        <w:t xml:space="preserve"> property damage.</w:t>
      </w:r>
      <w:r>
        <w:rPr>
          <w:rStyle w:val="FootnoteReference"/>
          <w:rFonts w:ascii="Times New Roman" w:hAnsi="Times New Roman" w:cs="Times New Roman"/>
        </w:rPr>
        <w:footnoteReference w:id="141"/>
      </w:r>
      <w:r w:rsidRPr="00A03476" w:rsidR="00E93325">
        <w:rPr>
          <w:rFonts w:ascii="Times New Roman" w:hAnsi="Times New Roman" w:cs="Times New Roman"/>
        </w:rPr>
        <w:t xml:space="preserve"> </w:t>
      </w:r>
      <w:r w:rsidRPr="00A03476" w:rsidR="003B259C">
        <w:rPr>
          <w:rFonts w:ascii="Times New Roman" w:hAnsi="Times New Roman" w:cs="Times New Roman"/>
        </w:rPr>
        <w:t xml:space="preserve">Applying </w:t>
      </w:r>
      <w:r w:rsidRPr="00DF720F" w:rsidR="00216B86">
        <w:rPr>
          <w:rFonts w:ascii="Times New Roman" w:hAnsi="Times New Roman" w:cs="Times New Roman"/>
        </w:rPr>
        <w:t xml:space="preserve">a multiplier of two or three to the annual average onsite property damages of $455 million over the 5-year period of 2016 to 2020 from RMP-related accidents included in this analysis, the annual productivity losses would be $909 million (using a factor of two) or $1.364 billion (using a factor of three). </w:t>
      </w:r>
      <w:r w:rsidRPr="00DF720F" w:rsidR="00E93325">
        <w:rPr>
          <w:rFonts w:ascii="Times New Roman" w:hAnsi="Times New Roman" w:cs="Times New Roman"/>
        </w:rPr>
        <w:t xml:space="preserve">Many </w:t>
      </w:r>
      <w:r w:rsidRPr="00DF720F" w:rsidR="003770F8">
        <w:rPr>
          <w:rFonts w:ascii="Times New Roman" w:hAnsi="Times New Roman" w:cs="Times New Roman"/>
        </w:rPr>
        <w:t xml:space="preserve">chemical </w:t>
      </w:r>
      <w:r w:rsidRPr="00DF720F" w:rsidR="00B629EE">
        <w:rPr>
          <w:rFonts w:ascii="Times New Roman" w:hAnsi="Times New Roman" w:cs="Times New Roman"/>
        </w:rPr>
        <w:t>accidents</w:t>
      </w:r>
      <w:r w:rsidRPr="00DF720F" w:rsidR="00E93325">
        <w:rPr>
          <w:rFonts w:ascii="Times New Roman" w:hAnsi="Times New Roman" w:cs="Times New Roman"/>
        </w:rPr>
        <w:t xml:space="preserve"> do not result in property damage and, therefore, have a limited impact on business beyond the loss of the chemical itself. Explosions and fires, however, can produce substantial</w:t>
      </w:r>
      <w:r w:rsidRPr="00DF720F" w:rsidR="00E93325">
        <w:rPr>
          <w:rFonts w:ascii="Times New Roman" w:hAnsi="Times New Roman" w:cs="Times New Roman"/>
          <w:spacing w:val="-3"/>
        </w:rPr>
        <w:t xml:space="preserve"> </w:t>
      </w:r>
      <w:r w:rsidRPr="00DF720F" w:rsidR="00E93325">
        <w:rPr>
          <w:rFonts w:ascii="Times New Roman" w:hAnsi="Times New Roman" w:cs="Times New Roman"/>
        </w:rPr>
        <w:t>damage.</w:t>
      </w:r>
    </w:p>
    <w:p w:rsidR="0072688F" w:rsidP="009128A3" w14:paraId="3C382332" w14:textId="77777777">
      <w:pPr>
        <w:spacing w:after="0" w:line="240" w:lineRule="auto"/>
        <w:ind w:firstLine="360"/>
        <w:rPr>
          <w:rFonts w:ascii="Times New Roman" w:hAnsi="Times New Roman" w:cs="Times New Roman"/>
        </w:rPr>
      </w:pPr>
    </w:p>
    <w:p w:rsidR="009128A3" w:rsidP="009128A3" w14:paraId="50AB0363"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sidR="00E93325">
        <w:rPr>
          <w:rFonts w:ascii="Times New Roman" w:hAnsi="Times New Roman" w:cs="Times New Roman"/>
        </w:rPr>
        <w:t>The Marsh accident summaries provide examples of the extent of damage and the impact on production as well as the variability in those impacts. One refinery facility had $240 million in damage but continued to operate; another that experienced the same level of damage was shut down for 6 months. Production units affected by major explosions have been shut down for weeks</w:t>
      </w:r>
      <w:r w:rsidRPr="00BF42A8" w:rsidR="00376B96">
        <w:rPr>
          <w:rFonts w:ascii="Times New Roman" w:hAnsi="Times New Roman" w:cs="Times New Roman"/>
        </w:rPr>
        <w:t xml:space="preserve">, </w:t>
      </w:r>
      <w:r w:rsidRPr="00BF42A8" w:rsidR="00E93325">
        <w:rPr>
          <w:rFonts w:ascii="Times New Roman" w:hAnsi="Times New Roman" w:cs="Times New Roman"/>
        </w:rPr>
        <w:t xml:space="preserve">months or more than a year. Some accident reports indicate production continued but at a reduced rate for weeks or </w:t>
      </w:r>
      <w:r w:rsidRPr="00BF42A8" w:rsidR="00E36872">
        <w:rPr>
          <w:rFonts w:ascii="Times New Roman" w:hAnsi="Times New Roman" w:cs="Times New Roman"/>
        </w:rPr>
        <w:t xml:space="preserve">even </w:t>
      </w:r>
      <w:r w:rsidRPr="00BF42A8" w:rsidR="00E93325">
        <w:rPr>
          <w:rFonts w:ascii="Times New Roman" w:hAnsi="Times New Roman" w:cs="Times New Roman"/>
        </w:rPr>
        <w:t xml:space="preserve">months. A refinery accident that shuts down one or more units will affect the firm involved, especially if it has no other refinery in the area or its other units do not have the capacity to increase production. In some cases, such reduced production may be offset by increased production at other firms. Refining capacity in the </w:t>
      </w:r>
      <w:r w:rsidR="00E46A39">
        <w:rPr>
          <w:rFonts w:ascii="Times New Roman" w:hAnsi="Times New Roman" w:cs="Times New Roman"/>
        </w:rPr>
        <w:t>U.S.</w:t>
      </w:r>
      <w:r w:rsidRPr="00BF42A8" w:rsidR="00E93325">
        <w:rPr>
          <w:rFonts w:ascii="Times New Roman" w:hAnsi="Times New Roman" w:cs="Times New Roman"/>
        </w:rPr>
        <w:t xml:space="preserve"> is located primarily in the Gulf Coast and West Coast regions; accidents that shut down units in those areas may be less likely to have economic impacts beyond the firm owning the refinery if other nearby refineries can increase production. However, in some cases regional </w:t>
      </w:r>
      <w:r w:rsidR="00AF1293">
        <w:rPr>
          <w:rFonts w:ascii="Times New Roman" w:hAnsi="Times New Roman" w:cs="Times New Roman"/>
        </w:rPr>
        <w:t xml:space="preserve">supply disruptions </w:t>
      </w:r>
      <w:r w:rsidR="006D2FBC">
        <w:rPr>
          <w:rFonts w:ascii="Times New Roman" w:hAnsi="Times New Roman" w:cs="Times New Roman"/>
        </w:rPr>
        <w:t>and related</w:t>
      </w:r>
      <w:r w:rsidR="00E632B3">
        <w:rPr>
          <w:rFonts w:ascii="Times New Roman" w:hAnsi="Times New Roman" w:cs="Times New Roman"/>
        </w:rPr>
        <w:t xml:space="preserve"> </w:t>
      </w:r>
      <w:r w:rsidRPr="00BF42A8" w:rsidR="00E93325">
        <w:rPr>
          <w:rFonts w:ascii="Times New Roman" w:hAnsi="Times New Roman" w:cs="Times New Roman"/>
        </w:rPr>
        <w:t>impacts may</w:t>
      </w:r>
      <w:r w:rsidRPr="00BF42A8" w:rsidR="00E93325">
        <w:rPr>
          <w:rFonts w:ascii="Times New Roman" w:hAnsi="Times New Roman" w:cs="Times New Roman"/>
          <w:spacing w:val="-15"/>
        </w:rPr>
        <w:t xml:space="preserve"> </w:t>
      </w:r>
      <w:r w:rsidRPr="00BF42A8" w:rsidR="00E93325">
        <w:rPr>
          <w:rFonts w:ascii="Times New Roman" w:hAnsi="Times New Roman" w:cs="Times New Roman"/>
        </w:rPr>
        <w:t>occur.</w:t>
      </w:r>
      <w:r w:rsidR="005F79DD">
        <w:rPr>
          <w:rFonts w:ascii="Times New Roman" w:hAnsi="Times New Roman" w:cs="Times New Roman"/>
        </w:rPr>
        <w:t xml:space="preserve"> </w:t>
      </w:r>
      <w:r w:rsidR="002934DC">
        <w:rPr>
          <w:rFonts w:ascii="Times New Roman" w:hAnsi="Times New Roman" w:cs="Times New Roman"/>
        </w:rPr>
        <w:t>As illustrated by the case stud</w:t>
      </w:r>
      <w:r w:rsidR="00B078DA">
        <w:rPr>
          <w:rFonts w:ascii="Times New Roman" w:hAnsi="Times New Roman" w:cs="Times New Roman"/>
        </w:rPr>
        <w:t>ies</w:t>
      </w:r>
      <w:r w:rsidR="002934DC">
        <w:rPr>
          <w:rFonts w:ascii="Times New Roman" w:hAnsi="Times New Roman" w:cs="Times New Roman"/>
        </w:rPr>
        <w:t>, firm closure has occurred in response to serious accidents.</w:t>
      </w:r>
    </w:p>
    <w:p w:rsidR="0072688F" w:rsidP="009128A3" w14:paraId="4BADDF15" w14:textId="77777777">
      <w:pPr>
        <w:spacing w:after="0" w:line="240" w:lineRule="auto"/>
        <w:ind w:firstLine="360"/>
        <w:rPr>
          <w:rFonts w:ascii="Times New Roman" w:hAnsi="Times New Roman" w:cs="Times New Roman"/>
        </w:rPr>
      </w:pPr>
    </w:p>
    <w:p w:rsidR="0072688F" w:rsidP="009128A3" w14:paraId="6853F49B"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sidR="00E93325">
        <w:rPr>
          <w:rFonts w:ascii="Times New Roman" w:hAnsi="Times New Roman" w:cs="Times New Roman"/>
        </w:rPr>
        <w:t>According to a RAND Corporation study, lost production capacity resulting from the August 12, 2012</w:t>
      </w:r>
      <w:r w:rsidR="00B65AB2">
        <w:rPr>
          <w:rFonts w:ascii="Times New Roman" w:hAnsi="Times New Roman" w:cs="Times New Roman"/>
        </w:rPr>
        <w:t>,</w:t>
      </w:r>
      <w:r w:rsidRPr="00BF42A8" w:rsidR="00E93325">
        <w:rPr>
          <w:rFonts w:ascii="Times New Roman" w:hAnsi="Times New Roman" w:cs="Times New Roman"/>
        </w:rPr>
        <w:t xml:space="preserve"> Chevron Richmond refinery accident cost California consumers an additional $447 million in increased</w:t>
      </w:r>
      <w:r w:rsidRPr="00BF42A8" w:rsidR="003779BC">
        <w:rPr>
          <w:rFonts w:ascii="Times New Roman" w:hAnsi="Times New Roman" w:cs="Times New Roman"/>
        </w:rPr>
        <w:t xml:space="preserve"> </w:t>
      </w:r>
      <w:r w:rsidRPr="00BF42A8" w:rsidR="00E93325">
        <w:rPr>
          <w:rFonts w:ascii="Times New Roman" w:hAnsi="Times New Roman" w:cs="Times New Roman"/>
        </w:rPr>
        <w:t>gasoline costs.</w:t>
      </w:r>
      <w:r>
        <w:rPr>
          <w:rStyle w:val="FootnoteReference"/>
          <w:rFonts w:ascii="Times New Roman" w:hAnsi="Times New Roman" w:cs="Times New Roman"/>
        </w:rPr>
        <w:footnoteReference w:id="142"/>
      </w:r>
      <w:r w:rsidRPr="00BF42A8" w:rsidR="00E93325">
        <w:rPr>
          <w:rFonts w:ascii="Times New Roman" w:hAnsi="Times New Roman" w:cs="Times New Roman"/>
        </w:rPr>
        <w:t xml:space="preserve"> The study also estimated that the February 18, 2015</w:t>
      </w:r>
      <w:r w:rsidR="00B65AB2">
        <w:rPr>
          <w:rFonts w:ascii="Times New Roman" w:hAnsi="Times New Roman" w:cs="Times New Roman"/>
        </w:rPr>
        <w:t>,</w:t>
      </w:r>
      <w:r w:rsidRPr="00BF42A8" w:rsidR="00E93325">
        <w:rPr>
          <w:rFonts w:ascii="Times New Roman" w:hAnsi="Times New Roman" w:cs="Times New Roman"/>
        </w:rPr>
        <w:t xml:space="preserve"> accident at ExxonMobil in Torrance cost California consumers more than $2.4 billion due to shutdown of a production unit. In addition to lost production, accidents at refineries in other regions could impose additional social costs because even if other refineries can </w:t>
      </w:r>
      <w:r w:rsidRPr="00BF42A8" w:rsidR="00376B96">
        <w:rPr>
          <w:rFonts w:ascii="Times New Roman" w:hAnsi="Times New Roman" w:cs="Times New Roman"/>
        </w:rPr>
        <w:t xml:space="preserve">increase </w:t>
      </w:r>
      <w:r w:rsidRPr="00BF42A8" w:rsidR="00E93325">
        <w:rPr>
          <w:rFonts w:ascii="Times New Roman" w:hAnsi="Times New Roman" w:cs="Times New Roman"/>
        </w:rPr>
        <w:t>produc</w:t>
      </w:r>
      <w:r w:rsidRPr="00BF42A8" w:rsidR="00376B96">
        <w:rPr>
          <w:rFonts w:ascii="Times New Roman" w:hAnsi="Times New Roman" w:cs="Times New Roman"/>
        </w:rPr>
        <w:t>tion</w:t>
      </w:r>
      <w:r w:rsidR="00C830B2">
        <w:rPr>
          <w:rFonts w:ascii="Times New Roman" w:hAnsi="Times New Roman" w:cs="Times New Roman"/>
        </w:rPr>
        <w:t>,</w:t>
      </w:r>
      <w:r w:rsidRPr="00BF42A8" w:rsidR="00E93325">
        <w:rPr>
          <w:rFonts w:ascii="Times New Roman" w:hAnsi="Times New Roman" w:cs="Times New Roman"/>
        </w:rPr>
        <w:t xml:space="preserve"> higher costs of transporting products longer distances</w:t>
      </w:r>
      <w:r w:rsidRPr="00BF42A8" w:rsidR="00376B96">
        <w:rPr>
          <w:rFonts w:ascii="Times New Roman" w:hAnsi="Times New Roman" w:cs="Times New Roman"/>
        </w:rPr>
        <w:t xml:space="preserve"> may result</w:t>
      </w:r>
      <w:r w:rsidRPr="00BF42A8" w:rsidR="00E93325">
        <w:rPr>
          <w:rFonts w:ascii="Times New Roman" w:hAnsi="Times New Roman" w:cs="Times New Roman"/>
        </w:rPr>
        <w:t>.</w:t>
      </w:r>
    </w:p>
    <w:p w:rsidR="0072688F" w:rsidP="009128A3" w14:paraId="77DBBF30" w14:textId="77777777">
      <w:pPr>
        <w:spacing w:after="0" w:line="240" w:lineRule="auto"/>
        <w:ind w:firstLine="360"/>
        <w:rPr>
          <w:rFonts w:ascii="Times New Roman" w:hAnsi="Times New Roman" w:cs="Times New Roman"/>
        </w:rPr>
      </w:pPr>
    </w:p>
    <w:p w:rsidR="00E93325" w:rsidP="009F72A2" w14:paraId="44428F52" w14:textId="32B8CBDE">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Broader losses could occur in the petrochemical sector where some facilities may be </w:t>
      </w:r>
      <w:r w:rsidRPr="00BF42A8" w:rsidR="00E36872">
        <w:rPr>
          <w:rFonts w:ascii="Times New Roman" w:hAnsi="Times New Roman" w:cs="Times New Roman"/>
        </w:rPr>
        <w:t xml:space="preserve">the sole </w:t>
      </w:r>
      <w:r w:rsidRPr="00BF42A8">
        <w:rPr>
          <w:rFonts w:ascii="Times New Roman" w:hAnsi="Times New Roman" w:cs="Times New Roman"/>
        </w:rPr>
        <w:t xml:space="preserve">source for some products. Even in that sector, however, losses may be limited to the firm involved. For example, the 1989 explosion at the Phillips plant in Pasadena, TX, which destroyed two units at the facility appears to have had a limited impact on the economy even though </w:t>
      </w:r>
      <w:r w:rsidR="001F4839">
        <w:rPr>
          <w:rFonts w:ascii="Times New Roman" w:hAnsi="Times New Roman" w:cs="Times New Roman"/>
        </w:rPr>
        <w:t>the plant</w:t>
      </w:r>
      <w:r w:rsidRPr="00BF42A8">
        <w:rPr>
          <w:rFonts w:ascii="Times New Roman" w:hAnsi="Times New Roman" w:cs="Times New Roman"/>
        </w:rPr>
        <w:t xml:space="preserve"> was the only domestic source for one product.</w:t>
      </w:r>
      <w:r>
        <w:rPr>
          <w:rStyle w:val="FootnoteReference"/>
          <w:rFonts w:ascii="Times New Roman" w:hAnsi="Times New Roman" w:cs="Times New Roman"/>
        </w:rPr>
        <w:footnoteReference w:id="143"/>
      </w:r>
      <w:r w:rsidRPr="00BF42A8">
        <w:rPr>
          <w:rFonts w:ascii="Times New Roman" w:hAnsi="Times New Roman" w:cs="Times New Roman"/>
        </w:rPr>
        <w:t xml:space="preserve"> Appendix </w:t>
      </w:r>
      <w:r w:rsidR="004150BA">
        <w:rPr>
          <w:rFonts w:ascii="Times New Roman" w:hAnsi="Times New Roman" w:cs="Times New Roman"/>
        </w:rPr>
        <w:t>B</w:t>
      </w:r>
      <w:r w:rsidRPr="00BF42A8" w:rsidR="004150BA">
        <w:rPr>
          <w:rFonts w:ascii="Times New Roman" w:hAnsi="Times New Roman" w:cs="Times New Roman"/>
        </w:rPr>
        <w:t xml:space="preserve"> </w:t>
      </w:r>
      <w:r w:rsidRPr="00BF42A8">
        <w:rPr>
          <w:rFonts w:ascii="Times New Roman" w:hAnsi="Times New Roman" w:cs="Times New Roman"/>
        </w:rPr>
        <w:t>provides a list of the major U</w:t>
      </w:r>
      <w:r w:rsidRPr="00BF42A8" w:rsidR="00376B96">
        <w:rPr>
          <w:rFonts w:ascii="Times New Roman" w:hAnsi="Times New Roman" w:cs="Times New Roman"/>
        </w:rPr>
        <w:t>.</w:t>
      </w:r>
      <w:r w:rsidRPr="00BF42A8">
        <w:rPr>
          <w:rFonts w:ascii="Times New Roman" w:hAnsi="Times New Roman" w:cs="Times New Roman"/>
        </w:rPr>
        <w:t>S</w:t>
      </w:r>
      <w:r w:rsidRPr="00BF42A8" w:rsidR="00376B96">
        <w:rPr>
          <w:rFonts w:ascii="Times New Roman" w:hAnsi="Times New Roman" w:cs="Times New Roman"/>
        </w:rPr>
        <w:t>.</w:t>
      </w:r>
      <w:r w:rsidRPr="00BF42A8">
        <w:rPr>
          <w:rFonts w:ascii="Times New Roman" w:hAnsi="Times New Roman" w:cs="Times New Roman"/>
        </w:rPr>
        <w:t xml:space="preserve"> accidents cited by Marsh in its </w:t>
      </w:r>
      <w:r w:rsidRPr="00BF42A8" w:rsidR="006C79CC">
        <w:rPr>
          <w:rFonts w:ascii="Times New Roman" w:hAnsi="Times New Roman" w:cs="Times New Roman"/>
        </w:rPr>
        <w:t>2020</w:t>
      </w:r>
      <w:r w:rsidRPr="00BF42A8">
        <w:rPr>
          <w:rFonts w:ascii="Times New Roman" w:hAnsi="Times New Roman" w:cs="Times New Roman"/>
        </w:rPr>
        <w:t xml:space="preserve"> publication, with </w:t>
      </w:r>
      <w:r w:rsidR="00B67DDB">
        <w:rPr>
          <w:rFonts w:ascii="Times New Roman" w:hAnsi="Times New Roman" w:cs="Times New Roman"/>
        </w:rPr>
        <w:t>property damages</w:t>
      </w:r>
      <w:r w:rsidRPr="00BF42A8" w:rsidR="00B67DDB">
        <w:rPr>
          <w:rFonts w:ascii="Times New Roman" w:hAnsi="Times New Roman" w:cs="Times New Roman"/>
        </w:rPr>
        <w:t xml:space="preserve"> </w:t>
      </w:r>
      <w:r w:rsidRPr="00BF42A8">
        <w:rPr>
          <w:rFonts w:ascii="Times New Roman" w:hAnsi="Times New Roman" w:cs="Times New Roman"/>
        </w:rPr>
        <w:t xml:space="preserve">adjusted by Marsh to </w:t>
      </w:r>
      <w:r w:rsidRPr="00BF42A8" w:rsidR="003B25D3">
        <w:rPr>
          <w:rFonts w:ascii="Times New Roman" w:hAnsi="Times New Roman" w:cs="Times New Roman"/>
        </w:rPr>
        <w:t>20</w:t>
      </w:r>
      <w:r w:rsidR="003B25D3">
        <w:rPr>
          <w:rFonts w:ascii="Times New Roman" w:hAnsi="Times New Roman" w:cs="Times New Roman"/>
        </w:rPr>
        <w:t>21</w:t>
      </w:r>
      <w:r w:rsidRPr="00BF42A8" w:rsidR="003B25D3">
        <w:rPr>
          <w:rFonts w:ascii="Times New Roman" w:hAnsi="Times New Roman" w:cs="Times New Roman"/>
        </w:rPr>
        <w:t xml:space="preserve"> </w:t>
      </w:r>
      <w:r w:rsidRPr="00BF42A8">
        <w:rPr>
          <w:rFonts w:ascii="Times New Roman" w:hAnsi="Times New Roman" w:cs="Times New Roman"/>
        </w:rPr>
        <w:t>dollars</w:t>
      </w:r>
      <w:r w:rsidR="00FF32E6">
        <w:rPr>
          <w:rFonts w:ascii="Times New Roman" w:hAnsi="Times New Roman" w:cs="Times New Roman"/>
        </w:rPr>
        <w:t xml:space="preserve">, as well as some business interruptions in </w:t>
      </w:r>
      <w:r w:rsidR="000C4A51">
        <w:rPr>
          <w:rFonts w:ascii="Times New Roman" w:hAnsi="Times New Roman" w:cs="Times New Roman"/>
        </w:rPr>
        <w:t>accident year dollars</w:t>
      </w:r>
      <w:r w:rsidRPr="00BF42A8">
        <w:rPr>
          <w:rFonts w:ascii="Times New Roman" w:hAnsi="Times New Roman" w:cs="Times New Roman"/>
        </w:rPr>
        <w:t>. These accidents are limited to those that might have occurred at RMP facilities (offshore oil and distribution accidents were omitted)</w:t>
      </w:r>
      <w:r w:rsidR="00F46750">
        <w:rPr>
          <w:rFonts w:ascii="Times New Roman" w:hAnsi="Times New Roman" w:cs="Times New Roman"/>
        </w:rPr>
        <w:t xml:space="preserve">. </w:t>
      </w:r>
      <w:r w:rsidR="009F72A2">
        <w:rPr>
          <w:rFonts w:ascii="Times New Roman" w:hAnsi="Times New Roman" w:cs="Times New Roman"/>
        </w:rPr>
        <w:t>In cases</w:t>
      </w:r>
      <w:r w:rsidRPr="00BF42A8" w:rsidR="009F72A2">
        <w:rPr>
          <w:rFonts w:ascii="Times New Roman" w:hAnsi="Times New Roman" w:cs="Times New Roman"/>
        </w:rPr>
        <w:t xml:space="preserve"> where the damage was the result of flooding or wind, </w:t>
      </w:r>
      <w:r w:rsidR="009F72A2">
        <w:rPr>
          <w:rFonts w:ascii="Times New Roman" w:hAnsi="Times New Roman" w:cs="Times New Roman"/>
        </w:rPr>
        <w:t xml:space="preserve">the flooding or wind damage was a secondary effect of an accident where the primary cause was a chemical release and not a </w:t>
      </w:r>
      <w:r w:rsidRPr="00BF42A8" w:rsidR="009F72A2">
        <w:rPr>
          <w:rFonts w:ascii="Times New Roman" w:hAnsi="Times New Roman" w:cs="Times New Roman"/>
        </w:rPr>
        <w:t>natural disaster. The accident list does not include all serious accidents because Marsh excluded any accident that produced less than $130 million in property damage (the publication covers accidents worldwide). Nonetheless, the list indicates the range of property damage and the lost productivity</w:t>
      </w:r>
      <w:r w:rsidR="009F72A2">
        <w:rPr>
          <w:rFonts w:ascii="Times New Roman" w:hAnsi="Times New Roman" w:cs="Times New Roman"/>
        </w:rPr>
        <w:t xml:space="preserve"> in the United States</w:t>
      </w:r>
      <w:r w:rsidRPr="00BF42A8" w:rsidR="009F72A2">
        <w:rPr>
          <w:rFonts w:ascii="Times New Roman" w:hAnsi="Times New Roman" w:cs="Times New Roman"/>
        </w:rPr>
        <w:t>.</w:t>
      </w:r>
    </w:p>
    <w:p w:rsidR="009128A3" w:rsidRPr="00BF42A8" w:rsidP="009128A3" w14:paraId="4881126F" w14:textId="77777777">
      <w:pPr>
        <w:spacing w:after="0" w:line="240" w:lineRule="auto"/>
        <w:ind w:firstLine="360"/>
        <w:rPr>
          <w:rFonts w:ascii="Times New Roman" w:hAnsi="Times New Roman" w:cs="Times New Roman"/>
        </w:rPr>
      </w:pPr>
    </w:p>
    <w:p w:rsidR="00E93325" w:rsidRPr="0041607D" w:rsidP="0041607D" w14:paraId="1AACF768" w14:textId="77777777">
      <w:pPr>
        <w:pStyle w:val="Heading3"/>
        <w:rPr>
          <w:rFonts w:ascii="Times New Roman" w:hAnsi="Times New Roman" w:cs="Times New Roman"/>
          <w:sz w:val="22"/>
          <w:szCs w:val="22"/>
        </w:rPr>
      </w:pPr>
      <w:bookmarkStart w:id="410" w:name="_Toc141733190"/>
      <w:bookmarkStart w:id="411" w:name="_Toc142404094"/>
      <w:bookmarkStart w:id="412" w:name="_Toc144213901"/>
      <w:bookmarkStart w:id="413" w:name="_Toc144283646"/>
      <w:bookmarkStart w:id="414" w:name="_Toc144303584"/>
      <w:r w:rsidRPr="0041607D">
        <w:rPr>
          <w:rFonts w:ascii="Times New Roman" w:hAnsi="Times New Roman" w:cs="Times New Roman"/>
          <w:sz w:val="22"/>
          <w:szCs w:val="22"/>
        </w:rPr>
        <w:t>6.</w:t>
      </w:r>
      <w:r w:rsidR="005449C1">
        <w:rPr>
          <w:rFonts w:ascii="Times New Roman" w:hAnsi="Times New Roman" w:cs="Times New Roman"/>
          <w:sz w:val="22"/>
          <w:szCs w:val="22"/>
        </w:rPr>
        <w:t>2</w:t>
      </w:r>
      <w:r w:rsidRPr="0041607D">
        <w:rPr>
          <w:rFonts w:ascii="Times New Roman" w:hAnsi="Times New Roman" w:cs="Times New Roman"/>
          <w:sz w:val="22"/>
          <w:szCs w:val="22"/>
        </w:rPr>
        <w:t>.</w:t>
      </w:r>
      <w:r w:rsidR="005449C1">
        <w:rPr>
          <w:rFonts w:ascii="Times New Roman" w:hAnsi="Times New Roman" w:cs="Times New Roman"/>
          <w:sz w:val="22"/>
          <w:szCs w:val="22"/>
        </w:rPr>
        <w:t>4</w:t>
      </w:r>
      <w:r w:rsidRPr="0041607D">
        <w:rPr>
          <w:rFonts w:ascii="Times New Roman" w:hAnsi="Times New Roman" w:cs="Times New Roman"/>
          <w:sz w:val="22"/>
          <w:szCs w:val="22"/>
        </w:rPr>
        <w:t xml:space="preserve"> Emergency Response</w:t>
      </w:r>
      <w:r w:rsidRPr="0041607D">
        <w:rPr>
          <w:rFonts w:ascii="Times New Roman" w:hAnsi="Times New Roman" w:cs="Times New Roman"/>
          <w:spacing w:val="-2"/>
          <w:sz w:val="22"/>
          <w:szCs w:val="22"/>
        </w:rPr>
        <w:t xml:space="preserve"> </w:t>
      </w:r>
      <w:r w:rsidRPr="0041607D">
        <w:rPr>
          <w:rFonts w:ascii="Times New Roman" w:hAnsi="Times New Roman" w:cs="Times New Roman"/>
          <w:sz w:val="22"/>
          <w:szCs w:val="22"/>
        </w:rPr>
        <w:t>Costs</w:t>
      </w:r>
      <w:bookmarkEnd w:id="410"/>
      <w:bookmarkEnd w:id="411"/>
      <w:bookmarkEnd w:id="412"/>
      <w:bookmarkEnd w:id="413"/>
      <w:bookmarkEnd w:id="414"/>
    </w:p>
    <w:p w:rsidR="00E93325" w:rsidP="009128A3" w14:paraId="789C0467" w14:textId="0722EEEB">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EPA was unable to locate data summarizing the costs associated with responding to a chemical release, fire, or explosion. </w:t>
      </w:r>
      <w:r w:rsidRPr="00BF42A8" w:rsidR="00376B96">
        <w:rPr>
          <w:rFonts w:ascii="Times New Roman" w:hAnsi="Times New Roman" w:cs="Times New Roman"/>
        </w:rPr>
        <w:t>Those</w:t>
      </w:r>
      <w:r w:rsidRPr="00BF42A8">
        <w:rPr>
          <w:rFonts w:ascii="Times New Roman" w:hAnsi="Times New Roman" w:cs="Times New Roman"/>
        </w:rPr>
        <w:t xml:space="preserve"> costs </w:t>
      </w:r>
      <w:r w:rsidRPr="00BF42A8" w:rsidR="00376B96">
        <w:rPr>
          <w:rFonts w:ascii="Times New Roman" w:hAnsi="Times New Roman" w:cs="Times New Roman"/>
        </w:rPr>
        <w:t>are very likely t</w:t>
      </w:r>
      <w:r w:rsidRPr="00BF42A8" w:rsidR="00E36872">
        <w:rPr>
          <w:rFonts w:ascii="Times New Roman" w:hAnsi="Times New Roman" w:cs="Times New Roman"/>
        </w:rPr>
        <w:t>o</w:t>
      </w:r>
      <w:r w:rsidRPr="00BF42A8">
        <w:rPr>
          <w:rFonts w:ascii="Times New Roman" w:hAnsi="Times New Roman" w:cs="Times New Roman"/>
        </w:rPr>
        <w:t xml:space="preserve"> vary widely depending on the </w:t>
      </w:r>
      <w:r w:rsidR="00FF0789">
        <w:rPr>
          <w:rFonts w:ascii="Times New Roman" w:hAnsi="Times New Roman" w:cs="Times New Roman"/>
        </w:rPr>
        <w:t>accident</w:t>
      </w:r>
      <w:r w:rsidRPr="00BF42A8">
        <w:rPr>
          <w:rFonts w:ascii="Times New Roman" w:hAnsi="Times New Roman" w:cs="Times New Roman"/>
        </w:rPr>
        <w:t xml:space="preserve">. A response may involve facility fire brigades, community fire departments, volunteer fire departments, and mutual </w:t>
      </w:r>
      <w:r w:rsidRPr="00F432CA">
        <w:rPr>
          <w:rFonts w:ascii="Times New Roman" w:hAnsi="Times New Roman" w:cs="Times New Roman"/>
        </w:rPr>
        <w:t xml:space="preserve">aid </w:t>
      </w:r>
      <w:r w:rsidRPr="00F432CA" w:rsidR="00A27C2B">
        <w:rPr>
          <w:rFonts w:ascii="Times New Roman" w:hAnsi="Times New Roman" w:cs="Times New Roman"/>
        </w:rPr>
        <w:t>organizations</w:t>
      </w:r>
      <w:r w:rsidRPr="00F432CA">
        <w:rPr>
          <w:rFonts w:ascii="Times New Roman" w:hAnsi="Times New Roman" w:cs="Times New Roman"/>
        </w:rPr>
        <w:t xml:space="preserve">. There is also the cost associated with equipment depreciation and fire suppressant used. The level of effort and equipment use can be seen in </w:t>
      </w:r>
      <w:r w:rsidRPr="00F432CA" w:rsidR="00FF0789">
        <w:rPr>
          <w:rFonts w:ascii="Times New Roman" w:hAnsi="Times New Roman" w:cs="Times New Roman"/>
        </w:rPr>
        <w:t>accidents</w:t>
      </w:r>
      <w:r w:rsidRPr="00F432CA">
        <w:rPr>
          <w:rFonts w:ascii="Times New Roman" w:hAnsi="Times New Roman" w:cs="Times New Roman"/>
        </w:rPr>
        <w:t xml:space="preserve"> reported by Marsh. </w:t>
      </w:r>
      <w:r w:rsidRPr="00F432CA" w:rsidR="00D82CC3">
        <w:rPr>
          <w:rFonts w:ascii="Times New Roman" w:hAnsi="Times New Roman" w:cs="Times New Roman"/>
        </w:rPr>
        <w:t>For example, i</w:t>
      </w:r>
      <w:r w:rsidRPr="00F432CA" w:rsidR="00681C41">
        <w:rPr>
          <w:rFonts w:ascii="Times New Roman" w:hAnsi="Times New Roman" w:cs="Times New Roman"/>
        </w:rPr>
        <w:t>n 1999</w:t>
      </w:r>
      <w:r w:rsidRPr="00F432CA">
        <w:rPr>
          <w:rFonts w:ascii="Times New Roman" w:hAnsi="Times New Roman" w:cs="Times New Roman"/>
        </w:rPr>
        <w:t>,</w:t>
      </w:r>
      <w:r w:rsidRPr="00BF42A8">
        <w:rPr>
          <w:rFonts w:ascii="Times New Roman" w:hAnsi="Times New Roman" w:cs="Times New Roman"/>
        </w:rPr>
        <w:t xml:space="preserve"> approximately 300 firefighters and 33 fire trucks participated in the </w:t>
      </w:r>
      <w:r w:rsidR="00A27C2B">
        <w:rPr>
          <w:rFonts w:ascii="Times New Roman" w:hAnsi="Times New Roman" w:cs="Times New Roman"/>
        </w:rPr>
        <w:t xml:space="preserve">2 ½ </w:t>
      </w:r>
      <w:r w:rsidRPr="00BF42A8">
        <w:rPr>
          <w:rFonts w:ascii="Times New Roman" w:hAnsi="Times New Roman" w:cs="Times New Roman"/>
        </w:rPr>
        <w:t xml:space="preserve">hour </w:t>
      </w:r>
      <w:r w:rsidRPr="00BF42A8">
        <w:rPr>
          <w:rFonts w:ascii="Times New Roman" w:hAnsi="Times New Roman" w:cs="Times New Roman"/>
        </w:rPr>
        <w:t xml:space="preserve">effort to control </w:t>
      </w:r>
      <w:r w:rsidRPr="00BF42A8" w:rsidR="00681C41">
        <w:rPr>
          <w:rFonts w:ascii="Times New Roman" w:hAnsi="Times New Roman" w:cs="Times New Roman"/>
        </w:rPr>
        <w:t>a</w:t>
      </w:r>
      <w:r w:rsidRPr="00BF42A8">
        <w:rPr>
          <w:rFonts w:ascii="Times New Roman" w:hAnsi="Times New Roman" w:cs="Times New Roman"/>
        </w:rPr>
        <w:t xml:space="preserve"> fir</w:t>
      </w:r>
      <w:r w:rsidRPr="00BF42A8" w:rsidR="00376B96">
        <w:rPr>
          <w:rFonts w:ascii="Times New Roman" w:hAnsi="Times New Roman" w:cs="Times New Roman"/>
        </w:rPr>
        <w:t xml:space="preserve">e at a refinery in California. </w:t>
      </w:r>
      <w:r w:rsidRPr="00BF42A8">
        <w:rPr>
          <w:rFonts w:ascii="Times New Roman" w:hAnsi="Times New Roman" w:cs="Times New Roman"/>
        </w:rPr>
        <w:t>Foam concentrate consumption totaled 3,200 gallons.</w:t>
      </w:r>
      <w:r>
        <w:rPr>
          <w:rStyle w:val="FootnoteReference"/>
          <w:rFonts w:ascii="Times New Roman" w:hAnsi="Times New Roman" w:cs="Times New Roman"/>
        </w:rPr>
        <w:footnoteReference w:id="144"/>
      </w:r>
      <w:r w:rsidRPr="00BF42A8">
        <w:rPr>
          <w:rFonts w:ascii="Times New Roman" w:hAnsi="Times New Roman" w:cs="Times New Roman"/>
        </w:rPr>
        <w:t xml:space="preserve"> </w:t>
      </w:r>
      <w:r w:rsidRPr="00BF42A8" w:rsidR="00376B96">
        <w:rPr>
          <w:rFonts w:ascii="Times New Roman" w:hAnsi="Times New Roman" w:cs="Times New Roman"/>
        </w:rPr>
        <w:t>At a f</w:t>
      </w:r>
      <w:r w:rsidRPr="00BF42A8">
        <w:rPr>
          <w:rFonts w:ascii="Times New Roman" w:hAnsi="Times New Roman" w:cs="Times New Roman"/>
        </w:rPr>
        <w:t>oam concentrate cost between $20 and $60 per gallon</w:t>
      </w:r>
      <w:r w:rsidRPr="00BF42A8" w:rsidR="00376B96">
        <w:rPr>
          <w:rFonts w:ascii="Times New Roman" w:hAnsi="Times New Roman" w:cs="Times New Roman"/>
        </w:rPr>
        <w:t>,</w:t>
      </w:r>
      <w:r w:rsidRPr="00BF42A8">
        <w:rPr>
          <w:rFonts w:ascii="Times New Roman" w:hAnsi="Times New Roman" w:cs="Times New Roman"/>
        </w:rPr>
        <w:t xml:space="preserve"> the cost of the fire suppressant alone </w:t>
      </w:r>
      <w:r w:rsidR="009837FF">
        <w:rPr>
          <w:rFonts w:ascii="Times New Roman" w:hAnsi="Times New Roman" w:cs="Times New Roman"/>
        </w:rPr>
        <w:t>will</w:t>
      </w:r>
      <w:r w:rsidRPr="00BF42A8">
        <w:rPr>
          <w:rFonts w:ascii="Times New Roman" w:hAnsi="Times New Roman" w:cs="Times New Roman"/>
        </w:rPr>
        <w:t xml:space="preserve"> range from $64,000 to almost $</w:t>
      </w:r>
      <w:r w:rsidRPr="00BF42A8" w:rsidR="007A4CD3">
        <w:rPr>
          <w:rFonts w:ascii="Times New Roman" w:hAnsi="Times New Roman" w:cs="Times New Roman"/>
        </w:rPr>
        <w:t>192,000</w:t>
      </w:r>
      <w:r w:rsidR="00F3022E">
        <w:rPr>
          <w:rFonts w:ascii="Times New Roman" w:hAnsi="Times New Roman" w:cs="Times New Roman"/>
        </w:rPr>
        <w:t xml:space="preserve">. </w:t>
      </w:r>
      <w:r w:rsidRPr="00BF42A8">
        <w:rPr>
          <w:rFonts w:ascii="Times New Roman" w:hAnsi="Times New Roman" w:cs="Times New Roman"/>
        </w:rPr>
        <w:t>In sum, EPA expects that these costs are</w:t>
      </w:r>
      <w:r w:rsidRPr="00BF42A8">
        <w:rPr>
          <w:rFonts w:ascii="Times New Roman" w:hAnsi="Times New Roman" w:cs="Times New Roman"/>
          <w:spacing w:val="-4"/>
        </w:rPr>
        <w:t xml:space="preserve"> </w:t>
      </w:r>
      <w:r w:rsidRPr="00BF42A8">
        <w:rPr>
          <w:rFonts w:ascii="Times New Roman" w:hAnsi="Times New Roman" w:cs="Times New Roman"/>
        </w:rPr>
        <w:t>significant.</w:t>
      </w:r>
    </w:p>
    <w:p w:rsidR="009128A3" w:rsidRPr="00BF42A8" w:rsidP="009128A3" w14:paraId="1461E965" w14:textId="77777777">
      <w:pPr>
        <w:spacing w:after="0" w:line="240" w:lineRule="auto"/>
        <w:ind w:firstLine="360"/>
        <w:rPr>
          <w:rFonts w:ascii="Times New Roman" w:hAnsi="Times New Roman" w:cs="Times New Roman"/>
        </w:rPr>
      </w:pPr>
    </w:p>
    <w:p w:rsidR="00E93325" w:rsidRPr="0041607D" w:rsidP="0041607D" w14:paraId="0B43727B" w14:textId="77777777">
      <w:pPr>
        <w:pStyle w:val="Heading3"/>
        <w:rPr>
          <w:rFonts w:ascii="Times New Roman" w:hAnsi="Times New Roman" w:cs="Times New Roman"/>
          <w:sz w:val="22"/>
          <w:szCs w:val="22"/>
        </w:rPr>
      </w:pPr>
      <w:bookmarkStart w:id="415" w:name="_Toc141733191"/>
      <w:bookmarkStart w:id="416" w:name="_Toc142404095"/>
      <w:bookmarkStart w:id="417" w:name="_Toc144213902"/>
      <w:bookmarkStart w:id="418" w:name="_Toc144283647"/>
      <w:bookmarkStart w:id="419" w:name="_Toc144303585"/>
      <w:r w:rsidRPr="0041607D">
        <w:rPr>
          <w:rFonts w:ascii="Times New Roman" w:hAnsi="Times New Roman" w:cs="Times New Roman"/>
          <w:sz w:val="22"/>
          <w:szCs w:val="22"/>
        </w:rPr>
        <w:t>6.</w:t>
      </w:r>
      <w:r w:rsidR="005449C1">
        <w:rPr>
          <w:rFonts w:ascii="Times New Roman" w:hAnsi="Times New Roman" w:cs="Times New Roman"/>
          <w:sz w:val="22"/>
          <w:szCs w:val="22"/>
        </w:rPr>
        <w:t>2</w:t>
      </w:r>
      <w:r w:rsidRPr="0041607D">
        <w:rPr>
          <w:rFonts w:ascii="Times New Roman" w:hAnsi="Times New Roman" w:cs="Times New Roman"/>
          <w:sz w:val="22"/>
          <w:szCs w:val="22"/>
        </w:rPr>
        <w:t>.</w:t>
      </w:r>
      <w:r w:rsidR="005449C1">
        <w:rPr>
          <w:rFonts w:ascii="Times New Roman" w:hAnsi="Times New Roman" w:cs="Times New Roman"/>
          <w:sz w:val="22"/>
          <w:szCs w:val="22"/>
        </w:rPr>
        <w:t>5</w:t>
      </w:r>
      <w:r w:rsidRPr="0041607D">
        <w:rPr>
          <w:rFonts w:ascii="Times New Roman" w:hAnsi="Times New Roman" w:cs="Times New Roman"/>
          <w:sz w:val="22"/>
          <w:szCs w:val="22"/>
        </w:rPr>
        <w:t xml:space="preserve">  Transaction</w:t>
      </w:r>
      <w:r w:rsidRPr="0041607D">
        <w:rPr>
          <w:rFonts w:ascii="Times New Roman" w:hAnsi="Times New Roman" w:cs="Times New Roman"/>
          <w:spacing w:val="-2"/>
          <w:sz w:val="22"/>
          <w:szCs w:val="22"/>
        </w:rPr>
        <w:t xml:space="preserve"> </w:t>
      </w:r>
      <w:r w:rsidRPr="0041607D">
        <w:rPr>
          <w:rFonts w:ascii="Times New Roman" w:hAnsi="Times New Roman" w:cs="Times New Roman"/>
          <w:sz w:val="22"/>
          <w:szCs w:val="22"/>
        </w:rPr>
        <w:t>Costs</w:t>
      </w:r>
      <w:bookmarkEnd w:id="415"/>
      <w:bookmarkEnd w:id="416"/>
      <w:bookmarkEnd w:id="417"/>
      <w:bookmarkEnd w:id="418"/>
      <w:bookmarkEnd w:id="419"/>
    </w:p>
    <w:p w:rsidR="009679FE" w:rsidP="009128A3" w14:paraId="358B814C"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sidR="00E93325">
        <w:rPr>
          <w:rFonts w:ascii="Times New Roman" w:hAnsi="Times New Roman" w:cs="Times New Roman"/>
        </w:rPr>
        <w:t xml:space="preserve">Chemical accidents result in transactions between parties that consume time and other resources that </w:t>
      </w:r>
      <w:r w:rsidR="009837FF">
        <w:rPr>
          <w:rFonts w:ascii="Times New Roman" w:hAnsi="Times New Roman" w:cs="Times New Roman"/>
        </w:rPr>
        <w:t>will</w:t>
      </w:r>
      <w:r w:rsidRPr="00BF42A8" w:rsidR="00E93325">
        <w:rPr>
          <w:rFonts w:ascii="Times New Roman" w:hAnsi="Times New Roman" w:cs="Times New Roman"/>
        </w:rPr>
        <w:t xml:space="preserve"> otherwise be directed to other productive activities. </w:t>
      </w:r>
      <w:r w:rsidRPr="00BF42A8" w:rsidR="004973A1">
        <w:rPr>
          <w:rFonts w:ascii="Times New Roman" w:hAnsi="Times New Roman" w:cs="Times New Roman"/>
        </w:rPr>
        <w:t>For example</w:t>
      </w:r>
      <w:r w:rsidRPr="00BF42A8" w:rsidR="002C6243">
        <w:rPr>
          <w:rFonts w:ascii="Times New Roman" w:hAnsi="Times New Roman" w:cs="Times New Roman"/>
        </w:rPr>
        <w:t>,</w:t>
      </w:r>
      <w:r w:rsidRPr="00BF42A8" w:rsidR="00E93325">
        <w:rPr>
          <w:rFonts w:ascii="Times New Roman" w:hAnsi="Times New Roman" w:cs="Times New Roman"/>
        </w:rPr>
        <w:t xml:space="preserve"> litigation can impose substantial transaction costs. Particularly when the public is affected, facilities are often sued</w:t>
      </w:r>
      <w:r w:rsidRPr="00BF42A8" w:rsidR="002C6243">
        <w:rPr>
          <w:rFonts w:ascii="Times New Roman" w:hAnsi="Times New Roman" w:cs="Times New Roman"/>
        </w:rPr>
        <w:t>;</w:t>
      </w:r>
      <w:r w:rsidRPr="00BF42A8" w:rsidR="00E93325">
        <w:rPr>
          <w:rFonts w:ascii="Times New Roman" w:hAnsi="Times New Roman" w:cs="Times New Roman"/>
        </w:rPr>
        <w:t xml:space="preserve"> a 1988 refinery explosion led to </w:t>
      </w:r>
      <w:r w:rsidR="001A4FCE">
        <w:rPr>
          <w:rFonts w:ascii="Times New Roman" w:hAnsi="Times New Roman" w:cs="Times New Roman"/>
        </w:rPr>
        <w:t>about</w:t>
      </w:r>
      <w:r w:rsidRPr="00BF42A8" w:rsidR="00E93325">
        <w:rPr>
          <w:rFonts w:ascii="Times New Roman" w:hAnsi="Times New Roman" w:cs="Times New Roman"/>
        </w:rPr>
        <w:t xml:space="preserve"> 5,</w:t>
      </w:r>
      <w:r w:rsidR="001A4FCE">
        <w:rPr>
          <w:rFonts w:ascii="Times New Roman" w:hAnsi="Times New Roman" w:cs="Times New Roman"/>
        </w:rPr>
        <w:t>2</w:t>
      </w:r>
      <w:r w:rsidRPr="00BF42A8" w:rsidR="001A4FCE">
        <w:rPr>
          <w:rFonts w:ascii="Times New Roman" w:hAnsi="Times New Roman" w:cs="Times New Roman"/>
        </w:rPr>
        <w:t>00</w:t>
      </w:r>
      <w:r w:rsidRPr="00BF42A8" w:rsidR="00E93325">
        <w:rPr>
          <w:rFonts w:ascii="Times New Roman" w:hAnsi="Times New Roman" w:cs="Times New Roman"/>
        </w:rPr>
        <w:t xml:space="preserve"> property claims.</w:t>
      </w:r>
      <w:r>
        <w:rPr>
          <w:rStyle w:val="FootnoteReference"/>
          <w:rFonts w:ascii="Times New Roman" w:hAnsi="Times New Roman" w:cs="Times New Roman"/>
        </w:rPr>
        <w:footnoteReference w:id="145"/>
      </w:r>
      <w:r w:rsidRPr="00BF42A8" w:rsidR="00E93325">
        <w:rPr>
          <w:rFonts w:ascii="Times New Roman" w:hAnsi="Times New Roman" w:cs="Times New Roman"/>
        </w:rPr>
        <w:t xml:space="preserve"> </w:t>
      </w:r>
      <w:r w:rsidRPr="00BF42A8" w:rsidR="002C6243">
        <w:rPr>
          <w:rFonts w:ascii="Times New Roman" w:hAnsi="Times New Roman" w:cs="Times New Roman"/>
        </w:rPr>
        <w:t>S</w:t>
      </w:r>
      <w:r w:rsidRPr="00BF42A8" w:rsidR="00E93325">
        <w:rPr>
          <w:rFonts w:ascii="Times New Roman" w:hAnsi="Times New Roman" w:cs="Times New Roman"/>
        </w:rPr>
        <w:t xml:space="preserve">ubstantial costs </w:t>
      </w:r>
      <w:r w:rsidRPr="00BF42A8" w:rsidR="002C6243">
        <w:rPr>
          <w:rFonts w:ascii="Times New Roman" w:hAnsi="Times New Roman" w:cs="Times New Roman"/>
        </w:rPr>
        <w:t>are</w:t>
      </w:r>
      <w:r w:rsidRPr="00BF42A8" w:rsidR="00E93325">
        <w:rPr>
          <w:rFonts w:ascii="Times New Roman" w:hAnsi="Times New Roman" w:cs="Times New Roman"/>
        </w:rPr>
        <w:t xml:space="preserve"> associated with making and responding to such claims and the </w:t>
      </w:r>
      <w:r w:rsidR="00F3022E">
        <w:rPr>
          <w:rFonts w:ascii="Times New Roman" w:hAnsi="Times New Roman" w:cs="Times New Roman"/>
        </w:rPr>
        <w:t xml:space="preserve">associated </w:t>
      </w:r>
      <w:r w:rsidRPr="00BF42A8" w:rsidR="00E93325">
        <w:rPr>
          <w:rFonts w:ascii="Times New Roman" w:hAnsi="Times New Roman" w:cs="Times New Roman"/>
        </w:rPr>
        <w:t xml:space="preserve">litigation, both on behalf of plaintiffs and defendants. Rule provisions that reduce the number or severity of accidents could reduce the number of lawsuits and the resources </w:t>
      </w:r>
      <w:r w:rsidRPr="00BF42A8" w:rsidR="002C6243">
        <w:rPr>
          <w:rFonts w:ascii="Times New Roman" w:hAnsi="Times New Roman" w:cs="Times New Roman"/>
        </w:rPr>
        <w:t xml:space="preserve">expended on </w:t>
      </w:r>
      <w:r w:rsidRPr="00BF42A8" w:rsidR="00E93325">
        <w:rPr>
          <w:rFonts w:ascii="Times New Roman" w:hAnsi="Times New Roman" w:cs="Times New Roman"/>
        </w:rPr>
        <w:t>litigation.</w:t>
      </w:r>
      <w:r w:rsidR="00E432C5">
        <w:rPr>
          <w:rFonts w:ascii="Times New Roman" w:hAnsi="Times New Roman" w:cs="Times New Roman"/>
        </w:rPr>
        <w:t xml:space="preserve"> In addition</w:t>
      </w:r>
      <w:r w:rsidR="00AC378D">
        <w:rPr>
          <w:rFonts w:ascii="Times New Roman" w:hAnsi="Times New Roman" w:cs="Times New Roman"/>
        </w:rPr>
        <w:t>,</w:t>
      </w:r>
      <w:r w:rsidR="00E432C5">
        <w:rPr>
          <w:rFonts w:ascii="Times New Roman" w:hAnsi="Times New Roman" w:cs="Times New Roman"/>
        </w:rPr>
        <w:t xml:space="preserve"> there is lost time to the public from </w:t>
      </w:r>
      <w:r w:rsidR="00EE32A8">
        <w:rPr>
          <w:rFonts w:ascii="Times New Roman" w:hAnsi="Times New Roman" w:cs="Times New Roman"/>
        </w:rPr>
        <w:t>often necessary interactions with government agencies,</w:t>
      </w:r>
      <w:r w:rsidR="001E72C5">
        <w:rPr>
          <w:rFonts w:ascii="Times New Roman" w:hAnsi="Times New Roman" w:cs="Times New Roman"/>
        </w:rPr>
        <w:t xml:space="preserve"> responsible parties, and media to try and understand the </w:t>
      </w:r>
      <w:r w:rsidR="00D46D83">
        <w:rPr>
          <w:rFonts w:ascii="Times New Roman" w:hAnsi="Times New Roman" w:cs="Times New Roman"/>
        </w:rPr>
        <w:t xml:space="preserve">“true” </w:t>
      </w:r>
      <w:r w:rsidR="001E72C5">
        <w:rPr>
          <w:rFonts w:ascii="Times New Roman" w:hAnsi="Times New Roman" w:cs="Times New Roman"/>
        </w:rPr>
        <w:t xml:space="preserve">cause, nature, and </w:t>
      </w:r>
      <w:r w:rsidR="00BD3BB4">
        <w:rPr>
          <w:rFonts w:ascii="Times New Roman" w:hAnsi="Times New Roman" w:cs="Times New Roman"/>
        </w:rPr>
        <w:t>implications of chemical accidents</w:t>
      </w:r>
      <w:r w:rsidR="00176659">
        <w:rPr>
          <w:rFonts w:ascii="Times New Roman" w:hAnsi="Times New Roman" w:cs="Times New Roman"/>
        </w:rPr>
        <w:t xml:space="preserve"> due to perceived or real</w:t>
      </w:r>
      <w:r w:rsidR="00CF397C">
        <w:rPr>
          <w:rFonts w:ascii="Times New Roman" w:hAnsi="Times New Roman" w:cs="Times New Roman"/>
        </w:rPr>
        <w:t xml:space="preserve"> information barriers</w:t>
      </w:r>
      <w:r w:rsidR="00BD3BB4">
        <w:rPr>
          <w:rFonts w:ascii="Times New Roman" w:hAnsi="Times New Roman" w:cs="Times New Roman"/>
        </w:rPr>
        <w:t xml:space="preserve">. </w:t>
      </w:r>
      <w:r w:rsidR="00EE32A8">
        <w:rPr>
          <w:rFonts w:ascii="Times New Roman" w:hAnsi="Times New Roman" w:cs="Times New Roman"/>
        </w:rPr>
        <w:t xml:space="preserve"> </w:t>
      </w:r>
    </w:p>
    <w:p w:rsidR="009128A3" w:rsidRPr="00BF42A8" w:rsidP="009128A3" w14:paraId="43EC0552" w14:textId="77777777">
      <w:pPr>
        <w:spacing w:after="0" w:line="240" w:lineRule="auto"/>
        <w:ind w:firstLine="360"/>
        <w:rPr>
          <w:rFonts w:ascii="Times New Roman" w:hAnsi="Times New Roman" w:cs="Times New Roman"/>
        </w:rPr>
      </w:pPr>
    </w:p>
    <w:p w:rsidR="00E93325" w:rsidRPr="0041607D" w:rsidP="0041607D" w14:paraId="5094E3EB" w14:textId="77777777">
      <w:pPr>
        <w:pStyle w:val="Heading3"/>
        <w:rPr>
          <w:rFonts w:ascii="Times New Roman" w:hAnsi="Times New Roman" w:cs="Times New Roman"/>
          <w:sz w:val="22"/>
          <w:szCs w:val="22"/>
        </w:rPr>
      </w:pPr>
      <w:bookmarkStart w:id="420" w:name="_Toc141733192"/>
      <w:bookmarkStart w:id="421" w:name="_Toc142404096"/>
      <w:bookmarkStart w:id="422" w:name="_Toc144213903"/>
      <w:bookmarkStart w:id="423" w:name="_Toc144283648"/>
      <w:bookmarkStart w:id="424" w:name="_Toc144303586"/>
      <w:r w:rsidRPr="0041607D">
        <w:rPr>
          <w:rFonts w:ascii="Times New Roman" w:hAnsi="Times New Roman" w:cs="Times New Roman"/>
          <w:sz w:val="22"/>
          <w:szCs w:val="22"/>
        </w:rPr>
        <w:t>6.</w:t>
      </w:r>
      <w:r w:rsidR="005449C1">
        <w:rPr>
          <w:rFonts w:ascii="Times New Roman" w:hAnsi="Times New Roman" w:cs="Times New Roman"/>
          <w:sz w:val="22"/>
          <w:szCs w:val="22"/>
        </w:rPr>
        <w:t>2</w:t>
      </w:r>
      <w:r w:rsidRPr="0041607D">
        <w:rPr>
          <w:rFonts w:ascii="Times New Roman" w:hAnsi="Times New Roman" w:cs="Times New Roman"/>
          <w:sz w:val="22"/>
          <w:szCs w:val="22"/>
        </w:rPr>
        <w:t>.</w:t>
      </w:r>
      <w:r w:rsidR="005449C1">
        <w:rPr>
          <w:rFonts w:ascii="Times New Roman" w:hAnsi="Times New Roman" w:cs="Times New Roman"/>
          <w:sz w:val="22"/>
          <w:szCs w:val="22"/>
        </w:rPr>
        <w:t>6</w:t>
      </w:r>
      <w:r w:rsidRPr="0041607D">
        <w:rPr>
          <w:rFonts w:ascii="Times New Roman" w:hAnsi="Times New Roman" w:cs="Times New Roman"/>
          <w:sz w:val="22"/>
          <w:szCs w:val="22"/>
        </w:rPr>
        <w:t xml:space="preserve"> Property Value</w:t>
      </w:r>
      <w:r w:rsidRPr="0041607D">
        <w:rPr>
          <w:rFonts w:ascii="Times New Roman" w:hAnsi="Times New Roman" w:cs="Times New Roman"/>
          <w:spacing w:val="1"/>
          <w:sz w:val="22"/>
          <w:szCs w:val="22"/>
        </w:rPr>
        <w:t xml:space="preserve"> </w:t>
      </w:r>
      <w:r w:rsidRPr="0041607D">
        <w:rPr>
          <w:rFonts w:ascii="Times New Roman" w:hAnsi="Times New Roman" w:cs="Times New Roman"/>
          <w:sz w:val="22"/>
          <w:szCs w:val="22"/>
        </w:rPr>
        <w:t>Impacts</w:t>
      </w:r>
      <w:bookmarkEnd w:id="420"/>
      <w:bookmarkEnd w:id="421"/>
      <w:bookmarkEnd w:id="422"/>
      <w:bookmarkEnd w:id="423"/>
      <w:bookmarkEnd w:id="424"/>
    </w:p>
    <w:p w:rsidR="00DB158E" w:rsidP="00DB158E" w14:paraId="7AF892FF" w14:textId="254A4019">
      <w:pPr>
        <w:spacing w:after="0" w:line="240" w:lineRule="auto"/>
        <w:ind w:firstLine="360"/>
        <w:rPr>
          <w:rFonts w:ascii="Times New Roman" w:hAnsi="Times New Roman" w:cs="Times New Roman"/>
        </w:rPr>
      </w:pPr>
      <w:bookmarkStart w:id="425" w:name="_Hlk99960974"/>
      <w:r>
        <w:rPr>
          <w:rFonts w:ascii="Times New Roman" w:hAnsi="Times New Roman" w:cs="Times New Roman"/>
        </w:rPr>
        <w:tab/>
        <w:t xml:space="preserve">Values of properties in close proximity may be affected by an </w:t>
      </w:r>
      <w:r w:rsidRPr="00952CE4">
        <w:rPr>
          <w:rFonts w:ascii="Times New Roman" w:hAnsi="Times New Roman" w:cs="Times New Roman"/>
        </w:rPr>
        <w:t>RMP facility accident</w:t>
      </w:r>
      <w:r>
        <w:rPr>
          <w:rFonts w:ascii="Times New Roman" w:hAnsi="Times New Roman" w:cs="Times New Roman"/>
        </w:rPr>
        <w:t xml:space="preserve">. </w:t>
      </w:r>
      <w:r w:rsidR="00601517">
        <w:rPr>
          <w:rFonts w:ascii="Times New Roman" w:hAnsi="Times New Roman" w:cs="Times New Roman"/>
        </w:rPr>
        <w:t>Property values may be changed because d</w:t>
      </w:r>
      <w:r>
        <w:rPr>
          <w:rFonts w:ascii="Times New Roman" w:hAnsi="Times New Roman" w:cs="Times New Roman"/>
        </w:rPr>
        <w:t>amages caused by an accident may result in persistent effects</w:t>
      </w:r>
      <w:r w:rsidR="00F46750">
        <w:rPr>
          <w:rFonts w:ascii="Times New Roman" w:hAnsi="Times New Roman" w:cs="Times New Roman"/>
        </w:rPr>
        <w:t>. These effects may include</w:t>
      </w:r>
      <w:r>
        <w:rPr>
          <w:rFonts w:ascii="Times New Roman" w:hAnsi="Times New Roman" w:cs="Times New Roman"/>
        </w:rPr>
        <w:t xml:space="preserve"> including offsite </w:t>
      </w:r>
      <w:r w:rsidR="009124C7">
        <w:rPr>
          <w:rFonts w:ascii="Times New Roman" w:hAnsi="Times New Roman" w:cs="Times New Roman"/>
        </w:rPr>
        <w:t>damage to buildings and other structure</w:t>
      </w:r>
      <w:r w:rsidR="00F46750">
        <w:rPr>
          <w:rFonts w:ascii="Times New Roman" w:hAnsi="Times New Roman" w:cs="Times New Roman"/>
        </w:rPr>
        <w:t>s</w:t>
      </w:r>
      <w:r>
        <w:rPr>
          <w:rFonts w:ascii="Times New Roman" w:hAnsi="Times New Roman" w:cs="Times New Roman"/>
        </w:rPr>
        <w:t xml:space="preserve"> and environmental damage which change the aesthetic appeal of the surrounding area and potentially reduce ecological services. </w:t>
      </w:r>
      <w:r w:rsidR="00F46750">
        <w:rPr>
          <w:rFonts w:ascii="Times New Roman" w:hAnsi="Times New Roman" w:cs="Times New Roman"/>
        </w:rPr>
        <w:t xml:space="preserve">Nearby residents </w:t>
      </w:r>
      <w:r>
        <w:rPr>
          <w:rFonts w:ascii="Times New Roman" w:hAnsi="Times New Roman" w:cs="Times New Roman"/>
        </w:rPr>
        <w:t>may</w:t>
      </w:r>
      <w:r w:rsidR="00F46750">
        <w:rPr>
          <w:rFonts w:ascii="Times New Roman" w:hAnsi="Times New Roman" w:cs="Times New Roman"/>
        </w:rPr>
        <w:t xml:space="preserve"> have</w:t>
      </w:r>
      <w:r>
        <w:rPr>
          <w:rFonts w:ascii="Times New Roman" w:hAnsi="Times New Roman" w:cs="Times New Roman"/>
        </w:rPr>
        <w:t xml:space="preserve"> concerns about  </w:t>
      </w:r>
      <w:r w:rsidR="008B1319">
        <w:rPr>
          <w:rFonts w:ascii="Times New Roman" w:hAnsi="Times New Roman" w:cs="Times New Roman"/>
        </w:rPr>
        <w:t xml:space="preserve">health </w:t>
      </w:r>
      <w:r>
        <w:rPr>
          <w:rFonts w:ascii="Times New Roman" w:hAnsi="Times New Roman" w:cs="Times New Roman"/>
        </w:rPr>
        <w:t xml:space="preserve">risks from </w:t>
      </w:r>
      <w:r w:rsidR="00F46750">
        <w:rPr>
          <w:rFonts w:ascii="Times New Roman" w:hAnsi="Times New Roman" w:cs="Times New Roman"/>
        </w:rPr>
        <w:t xml:space="preserve">the </w:t>
      </w:r>
      <w:r>
        <w:rPr>
          <w:rFonts w:ascii="Times New Roman" w:hAnsi="Times New Roman" w:cs="Times New Roman"/>
        </w:rPr>
        <w:t xml:space="preserve">potential </w:t>
      </w:r>
      <w:r w:rsidR="00F46750">
        <w:rPr>
          <w:rFonts w:ascii="Times New Roman" w:hAnsi="Times New Roman" w:cs="Times New Roman"/>
        </w:rPr>
        <w:t xml:space="preserve">for </w:t>
      </w:r>
      <w:r>
        <w:rPr>
          <w:rFonts w:ascii="Times New Roman" w:hAnsi="Times New Roman" w:cs="Times New Roman"/>
        </w:rPr>
        <w:t>continu</w:t>
      </w:r>
      <w:r w:rsidR="00F46750">
        <w:rPr>
          <w:rFonts w:ascii="Times New Roman" w:hAnsi="Times New Roman" w:cs="Times New Roman"/>
        </w:rPr>
        <w:t>ed</w:t>
      </w:r>
      <w:r>
        <w:rPr>
          <w:rFonts w:ascii="Times New Roman" w:hAnsi="Times New Roman" w:cs="Times New Roman"/>
        </w:rPr>
        <w:t xml:space="preserve"> exposure to toxic chemicals released during an accident. An accident could also serve as a signal affecting nearby residents’ perceptions and expectations regarding future accidents and risks (Guignet, et al. 2023b)</w:t>
      </w:r>
      <w:r>
        <w:rPr>
          <w:rStyle w:val="FootnoteReference"/>
          <w:rFonts w:ascii="Times New Roman" w:hAnsi="Times New Roman" w:cs="Times New Roman"/>
        </w:rPr>
        <w:footnoteReference w:id="146"/>
      </w:r>
      <w:r>
        <w:rPr>
          <w:rFonts w:ascii="Times New Roman" w:hAnsi="Times New Roman" w:cs="Times New Roman"/>
        </w:rPr>
        <w:t xml:space="preserve">.  These potential changes can affect the values of nearby properties. </w:t>
      </w:r>
      <w:r w:rsidRPr="00952CE4">
        <w:rPr>
          <w:rFonts w:ascii="Times New Roman" w:hAnsi="Times New Roman" w:cs="Times New Roman"/>
        </w:rPr>
        <w:t xml:space="preserve"> </w:t>
      </w:r>
    </w:p>
    <w:p w:rsidR="00DB158E" w:rsidP="00DB158E" w14:paraId="2D2C3EAB" w14:textId="77777777">
      <w:pPr>
        <w:spacing w:after="0" w:line="240" w:lineRule="auto"/>
        <w:ind w:firstLine="360"/>
        <w:rPr>
          <w:rFonts w:ascii="Times New Roman" w:hAnsi="Times New Roman" w:cs="Times New Roman"/>
        </w:rPr>
      </w:pPr>
    </w:p>
    <w:p w:rsidR="00DB158E" w:rsidP="00DB158E" w14:paraId="156CEDAE" w14:textId="26EA67FD">
      <w:pPr>
        <w:spacing w:after="0" w:line="240" w:lineRule="auto"/>
        <w:ind w:firstLine="360"/>
        <w:rPr>
          <w:rFonts w:ascii="Times New Roman" w:hAnsi="Times New Roman" w:cs="Times New Roman"/>
        </w:rPr>
      </w:pPr>
      <w:r>
        <w:rPr>
          <w:rFonts w:ascii="Times New Roman" w:hAnsi="Times New Roman" w:cs="Times New Roman"/>
        </w:rPr>
        <w:tab/>
        <w:t>Two recent hedonic property value analyses have examined the impact of RMP facility accidents on residential property values (Guignet et al. 2023a, b)</w:t>
      </w:r>
      <w:r>
        <w:rPr>
          <w:rStyle w:val="FootnoteReference"/>
          <w:rFonts w:ascii="Times New Roman" w:hAnsi="Times New Roman" w:cs="Times New Roman"/>
        </w:rPr>
        <w:footnoteReference w:id="147"/>
      </w:r>
      <w:r>
        <w:rPr>
          <w:rFonts w:ascii="Times New Roman" w:hAnsi="Times New Roman" w:cs="Times New Roman"/>
        </w:rPr>
        <w:t xml:space="preserve">. Using a difference in differences estimation approach, Guignet et al. (2023b) studied nationwide data on RMP facility accidents and residential transactions between 2004 and 2019 that occurred within 5.75 km (3.57 miles) of an accident. The analysis found that accidents with only onsite impacts reduced nearby property values between zero and two percent. However, accidents with impacts that occurred offsite, including fatalities, hospitalizations, people in need of medical treatment, evacuations, sheltering in place events, and/or property and environmental damage, reduced home values by two to three percent. The lower values persisted for about 10 to 12 years on average. </w:t>
      </w:r>
      <w:r w:rsidRPr="00F46750" w:rsidR="00F46750">
        <w:rPr>
          <w:rFonts w:ascii="Times New Roman" w:hAnsi="Times New Roman" w:cs="Times New Roman"/>
        </w:rPr>
        <w:t xml:space="preserve">The paper estimates an average loss of $5,350 per home in 2021 year values. Aggregating across the communities near the 661 facilities that experienced an offsite impact accident in their data, </w:t>
      </w:r>
      <w:r w:rsidR="00F070C1">
        <w:rPr>
          <w:rFonts w:ascii="Times New Roman" w:hAnsi="Times New Roman" w:cs="Times New Roman"/>
        </w:rPr>
        <w:t>Guignet et al. (2023b)</w:t>
      </w:r>
      <w:r w:rsidRPr="00F46750" w:rsidR="00F46750">
        <w:rPr>
          <w:rFonts w:ascii="Times New Roman" w:hAnsi="Times New Roman" w:cs="Times New Roman"/>
        </w:rPr>
        <w:t xml:space="preserve"> calculate a total $39.5 billion loss.</w:t>
      </w:r>
    </w:p>
    <w:p w:rsidR="00DB158E" w:rsidP="00DB158E" w14:paraId="0EE6F199" w14:textId="77777777">
      <w:pPr>
        <w:spacing w:after="0" w:line="240" w:lineRule="auto"/>
        <w:ind w:firstLine="360"/>
        <w:rPr>
          <w:rFonts w:ascii="Times New Roman" w:hAnsi="Times New Roman" w:cs="Times New Roman"/>
        </w:rPr>
      </w:pPr>
    </w:p>
    <w:p w:rsidR="00DB158E" w:rsidP="00DB158E" w14:paraId="4CCF35B3" w14:textId="77777777">
      <w:pPr>
        <w:spacing w:after="0" w:line="240" w:lineRule="auto"/>
        <w:ind w:firstLine="360"/>
        <w:rPr>
          <w:rFonts w:ascii="Times New Roman" w:hAnsi="Times New Roman" w:cs="Times New Roman"/>
        </w:rPr>
      </w:pPr>
      <w:r>
        <w:rPr>
          <w:rFonts w:ascii="Times New Roman" w:hAnsi="Times New Roman" w:cs="Times New Roman"/>
        </w:rPr>
        <w:tab/>
        <w:t xml:space="preserve">In the second paper, Guignet et al. (2023a) analyzed RMP facilities and accidents in a smaller geographic area – the three states of Michigan, Ohio, and Pennsylvania – from 2004 through 2014. The analysis used alternative difference-in-differences and triple differences approaches that allowed comparison between homes before and after an accident, near an accident versus farther away, and homes near facilities with an accident versus near facilities with no accidents. The study concluded that accidents with offsite impacts caused a five to eight percent decrease in home values within 5 km (3.1 miles) of a </w:t>
      </w:r>
      <w:r>
        <w:rPr>
          <w:rFonts w:ascii="Times New Roman" w:hAnsi="Times New Roman" w:cs="Times New Roman"/>
        </w:rPr>
        <w:t>facility accident. Both studies concluded that nearby homeowners experienced significant losses following an accident with offsite impacts. Thus, provisions that reduce the risks and expected magnitudes of such accidents will protect nearby property values. Guignet et al. (2023a) found that homes located near facilities regardless of whether an accident has occurred are already valued significantly lower than homes farther away. Accidents can further depress property values and exacerbate disparities in home values. This is an important distributional concern considering that residential property is a key source of wealth to many households.</w:t>
      </w:r>
    </w:p>
    <w:p w:rsidR="00DB158E" w:rsidP="00DB158E" w14:paraId="444BF9EE" w14:textId="77777777">
      <w:pPr>
        <w:spacing w:after="0" w:line="240" w:lineRule="auto"/>
        <w:ind w:firstLine="360"/>
        <w:rPr>
          <w:rFonts w:ascii="Times New Roman" w:hAnsi="Times New Roman" w:cs="Times New Roman"/>
        </w:rPr>
      </w:pPr>
    </w:p>
    <w:p w:rsidR="00DB158E" w:rsidRPr="00952CE4" w:rsidP="00DB158E" w14:paraId="31BFFA80" w14:textId="479EB147">
      <w:pPr>
        <w:spacing w:after="0" w:line="240" w:lineRule="auto"/>
        <w:ind w:firstLine="360"/>
        <w:rPr>
          <w:rFonts w:ascii="Times New Roman" w:hAnsi="Times New Roman" w:cs="Times New Roman"/>
        </w:rPr>
      </w:pPr>
      <w:r>
        <w:rPr>
          <w:rFonts w:ascii="Times New Roman" w:hAnsi="Times New Roman" w:cs="Times New Roman"/>
        </w:rPr>
        <w:tab/>
      </w:r>
      <w:r w:rsidR="00673592">
        <w:rPr>
          <w:rFonts w:ascii="Times New Roman" w:hAnsi="Times New Roman" w:cs="Times New Roman"/>
        </w:rPr>
        <w:t xml:space="preserve">Other research has not specifically targeted RMP facilities but </w:t>
      </w:r>
      <w:r w:rsidR="00137F2A">
        <w:rPr>
          <w:rFonts w:ascii="Times New Roman" w:hAnsi="Times New Roman" w:cs="Times New Roman"/>
        </w:rPr>
        <w:t>t is relevant to understanding the benefits of the final rule includ</w:t>
      </w:r>
      <w:r w:rsidR="00F46750">
        <w:rPr>
          <w:rFonts w:ascii="Times New Roman" w:hAnsi="Times New Roman" w:cs="Times New Roman"/>
        </w:rPr>
        <w:t>ing</w:t>
      </w:r>
      <w:r w:rsidR="00230F29">
        <w:rPr>
          <w:rFonts w:ascii="Times New Roman" w:hAnsi="Times New Roman" w:cs="Times New Roman"/>
        </w:rPr>
        <w:t xml:space="preserve"> a</w:t>
      </w:r>
      <w:r w:rsidRPr="00952CE4">
        <w:rPr>
          <w:rFonts w:ascii="Times New Roman" w:hAnsi="Times New Roman" w:cs="Times New Roman"/>
        </w:rPr>
        <w:t xml:space="preserve"> variety of papers</w:t>
      </w:r>
      <w:r w:rsidR="00230F29">
        <w:rPr>
          <w:rFonts w:ascii="Times New Roman" w:hAnsi="Times New Roman" w:cs="Times New Roman"/>
        </w:rPr>
        <w:t xml:space="preserve"> that</w:t>
      </w:r>
      <w:r w:rsidRPr="00952CE4">
        <w:rPr>
          <w:rFonts w:ascii="Times New Roman" w:hAnsi="Times New Roman" w:cs="Times New Roman"/>
        </w:rPr>
        <w:t xml:space="preserve"> have specifically examined the impact on property prices of </w:t>
      </w:r>
      <w:r>
        <w:rPr>
          <w:rFonts w:ascii="Times New Roman" w:hAnsi="Times New Roman" w:cs="Times New Roman"/>
        </w:rPr>
        <w:t xml:space="preserve">being near </w:t>
      </w:r>
      <w:r w:rsidRPr="00952CE4">
        <w:rPr>
          <w:rFonts w:ascii="Times New Roman" w:hAnsi="Times New Roman" w:cs="Times New Roman"/>
        </w:rPr>
        <w:t>hazardous industrial facilities, usually finding that prices increase with distance from the facility.</w:t>
      </w:r>
      <w:r>
        <w:rPr>
          <w:rFonts w:ascii="Times New Roman" w:hAnsi="Times New Roman" w:cs="Times New Roman"/>
          <w:vertAlign w:val="superscript"/>
        </w:rPr>
        <w:footnoteReference w:id="148"/>
      </w:r>
      <w:r w:rsidRPr="00952CE4">
        <w:rPr>
          <w:rFonts w:ascii="Times New Roman" w:hAnsi="Times New Roman" w:cs="Times New Roman"/>
        </w:rPr>
        <w:t xml:space="preserve"> </w:t>
      </w:r>
      <w:r w:rsidR="002939ED">
        <w:rPr>
          <w:rFonts w:ascii="Times New Roman" w:hAnsi="Times New Roman" w:cs="Times New Roman"/>
        </w:rPr>
        <w:t>Early r</w:t>
      </w:r>
      <w:r w:rsidRPr="00952CE4">
        <w:rPr>
          <w:rFonts w:ascii="Times New Roman" w:hAnsi="Times New Roman" w:cs="Times New Roman"/>
        </w:rPr>
        <w:t xml:space="preserve">esearch on the property value impact of </w:t>
      </w:r>
      <w:r w:rsidR="007E1349">
        <w:rPr>
          <w:rFonts w:ascii="Times New Roman" w:hAnsi="Times New Roman" w:cs="Times New Roman"/>
        </w:rPr>
        <w:t xml:space="preserve">industrial </w:t>
      </w:r>
      <w:r w:rsidRPr="00F03CB7" w:rsidR="007E1349">
        <w:rPr>
          <w:rFonts w:ascii="Times New Roman" w:hAnsi="Times New Roman"/>
        </w:rPr>
        <w:t>accidents</w:t>
      </w:r>
      <w:r w:rsidR="004247F7">
        <w:rPr>
          <w:rFonts w:ascii="Times New Roman" w:hAnsi="Times New Roman" w:cs="Times New Roman"/>
        </w:rPr>
        <w:t xml:space="preserve"> includ</w:t>
      </w:r>
      <w:r w:rsidR="00F26B8C">
        <w:rPr>
          <w:rFonts w:ascii="Times New Roman" w:hAnsi="Times New Roman" w:cs="Times New Roman"/>
        </w:rPr>
        <w:t>es</w:t>
      </w:r>
      <w:r w:rsidRPr="00952CE4">
        <w:rPr>
          <w:rFonts w:ascii="Times New Roman" w:hAnsi="Times New Roman" w:cs="Times New Roman"/>
        </w:rPr>
        <w:t xml:space="preserve"> Carroll et al (1996)</w:t>
      </w:r>
      <w:r w:rsidR="00F218D2">
        <w:rPr>
          <w:rFonts w:ascii="Times New Roman" w:hAnsi="Times New Roman" w:cs="Times New Roman"/>
        </w:rPr>
        <w:t xml:space="preserve"> which</w:t>
      </w:r>
      <w:r w:rsidRPr="00952CE4">
        <w:rPr>
          <w:rFonts w:ascii="Times New Roman" w:hAnsi="Times New Roman" w:cs="Times New Roman"/>
        </w:rPr>
        <w:t xml:space="preserve"> studied property prices in neighborhoods surrounding the Pepcon chemical facility in Nevada before and after a dramatic explosion in 1988.</w:t>
      </w:r>
      <w:r>
        <w:rPr>
          <w:rFonts w:ascii="Times New Roman" w:hAnsi="Times New Roman" w:cs="Times New Roman"/>
          <w:vertAlign w:val="superscript"/>
        </w:rPr>
        <w:footnoteReference w:id="149"/>
      </w:r>
      <w:r w:rsidRPr="00952CE4">
        <w:rPr>
          <w:rFonts w:ascii="Times New Roman" w:hAnsi="Times New Roman" w:cs="Times New Roman"/>
        </w:rPr>
        <w:t xml:space="preserve"> Data for around 5,000 property transactions from 1986 to 1990 showed that the explosion was followed by a 17.6 percent decline in property values in the two closest towns of Green Valley and Henderson. </w:t>
      </w:r>
    </w:p>
    <w:p w:rsidR="00DB158E" w:rsidRPr="00952CE4" w:rsidP="00DB158E" w14:paraId="2CF9CE94" w14:textId="77777777">
      <w:pPr>
        <w:spacing w:after="0" w:line="240" w:lineRule="auto"/>
        <w:ind w:firstLine="360"/>
        <w:rPr>
          <w:rFonts w:ascii="Times New Roman" w:hAnsi="Times New Roman" w:cs="Times New Roman"/>
        </w:rPr>
      </w:pPr>
    </w:p>
    <w:p w:rsidR="00DB158E" w:rsidRPr="00952CE4" w:rsidP="00DB158E" w14:paraId="0676C196" w14:textId="77777777">
      <w:pPr>
        <w:spacing w:after="0" w:line="240" w:lineRule="auto"/>
        <w:ind w:firstLine="360"/>
        <w:rPr>
          <w:rFonts w:ascii="Times New Roman" w:hAnsi="Times New Roman" w:cs="Times New Roman"/>
        </w:rPr>
      </w:pPr>
      <w:r w:rsidRPr="00952CE4">
        <w:rPr>
          <w:rFonts w:ascii="Times New Roman" w:hAnsi="Times New Roman" w:cs="Times New Roman"/>
        </w:rPr>
        <w:tab/>
        <w:t>Two studies have examined the effects of pipeline explosions on nearby property values. While the explosions were not from chemical facilities, the property value impacts may be comparable.</w:t>
      </w:r>
      <w:r>
        <w:rPr>
          <w:rFonts w:ascii="Times New Roman" w:hAnsi="Times New Roman" w:cs="Times New Roman"/>
          <w:vertAlign w:val="superscript"/>
        </w:rPr>
        <w:footnoteReference w:id="150"/>
      </w:r>
      <w:r w:rsidRPr="00952CE4">
        <w:rPr>
          <w:rFonts w:ascii="Times New Roman" w:hAnsi="Times New Roman" w:cs="Times New Roman"/>
        </w:rPr>
        <w:t xml:space="preserve"> Preliminary findings by Cheng, et al. (202</w:t>
      </w:r>
      <w:r>
        <w:rPr>
          <w:rFonts w:ascii="Times New Roman" w:hAnsi="Times New Roman" w:cs="Times New Roman"/>
        </w:rPr>
        <w:t>2</w:t>
      </w:r>
      <w:r w:rsidRPr="00952CE4">
        <w:rPr>
          <w:rFonts w:ascii="Times New Roman" w:hAnsi="Times New Roman" w:cs="Times New Roman"/>
        </w:rPr>
        <w:t xml:space="preserve">) of nationwide property value impacts of accidents at natural gas pipelines suggest that values within 1 km </w:t>
      </w:r>
      <w:r>
        <w:rPr>
          <w:rFonts w:ascii="Times New Roman" w:hAnsi="Times New Roman" w:cs="Times New Roman"/>
        </w:rPr>
        <w:t xml:space="preserve">(.62 mile) </w:t>
      </w:r>
      <w:r w:rsidRPr="00952CE4">
        <w:rPr>
          <w:rFonts w:ascii="Times New Roman" w:hAnsi="Times New Roman" w:cs="Times New Roman"/>
        </w:rPr>
        <w:t xml:space="preserve">of natural gas distribution pipelines declined by 7 percent compared to properties 1 to 2 km </w:t>
      </w:r>
      <w:r>
        <w:rPr>
          <w:rFonts w:ascii="Times New Roman" w:hAnsi="Times New Roman" w:cs="Times New Roman"/>
        </w:rPr>
        <w:t xml:space="preserve">(.62 to 1.24 miles) </w:t>
      </w:r>
      <w:r w:rsidRPr="00952CE4">
        <w:rPr>
          <w:rFonts w:ascii="Times New Roman" w:hAnsi="Times New Roman" w:cs="Times New Roman"/>
        </w:rPr>
        <w:t>from an explosion.</w:t>
      </w:r>
      <w:r>
        <w:rPr>
          <w:rFonts w:ascii="Times New Roman" w:hAnsi="Times New Roman" w:cs="Times New Roman"/>
          <w:vertAlign w:val="superscript"/>
        </w:rPr>
        <w:footnoteReference w:id="151"/>
      </w:r>
      <w:r w:rsidRPr="00952CE4">
        <w:rPr>
          <w:rFonts w:ascii="Times New Roman" w:hAnsi="Times New Roman" w:cs="Times New Roman"/>
        </w:rPr>
        <w:t xml:space="preserve"> Hansen et al. (2006) studied the effect of a 1999 fuel pipeline explosion in Bellingham, Washington.</w:t>
      </w:r>
      <w:r>
        <w:rPr>
          <w:rFonts w:ascii="Times New Roman" w:hAnsi="Times New Roman" w:cs="Times New Roman"/>
          <w:vertAlign w:val="superscript"/>
        </w:rPr>
        <w:footnoteReference w:id="152"/>
      </w:r>
      <w:r w:rsidRPr="00952CE4">
        <w:rPr>
          <w:rFonts w:ascii="Times New Roman" w:hAnsi="Times New Roman" w:cs="Times New Roman"/>
        </w:rPr>
        <w:t xml:space="preserve"> Following the pipeline explosion, prices of properties within a mile were significantly adversely affected, with the mean property price discounted by 4.6 percent for a property 50 feet from the pipeline, and declining at further distances. </w:t>
      </w:r>
    </w:p>
    <w:p w:rsidR="00DB158E" w:rsidRPr="00952CE4" w:rsidP="00DB158E" w14:paraId="14ED455A" w14:textId="77777777">
      <w:pPr>
        <w:spacing w:after="0" w:line="240" w:lineRule="auto"/>
        <w:ind w:firstLine="360"/>
        <w:rPr>
          <w:rFonts w:ascii="Times New Roman" w:hAnsi="Times New Roman" w:cs="Times New Roman"/>
        </w:rPr>
      </w:pPr>
    </w:p>
    <w:p w:rsidR="009128A3" w:rsidRPr="00BF42A8" w:rsidP="0077378D" w14:paraId="6D8A4776" w14:textId="2D7654A1">
      <w:pPr>
        <w:spacing w:after="0" w:line="240" w:lineRule="auto"/>
        <w:ind w:firstLine="720"/>
        <w:rPr>
          <w:rFonts w:ascii="Times New Roman" w:hAnsi="Times New Roman" w:cs="Times New Roman"/>
        </w:rPr>
      </w:pPr>
      <w:r w:rsidRPr="00952CE4">
        <w:rPr>
          <w:rFonts w:ascii="Times New Roman" w:hAnsi="Times New Roman" w:cs="Times New Roman"/>
        </w:rPr>
        <w:t xml:space="preserve">These studies </w:t>
      </w:r>
      <w:r>
        <w:rPr>
          <w:rFonts w:ascii="Times New Roman" w:hAnsi="Times New Roman" w:cs="Times New Roman"/>
        </w:rPr>
        <w:t>strongly</w:t>
      </w:r>
      <w:r w:rsidRPr="00BF42A8" w:rsidR="00961293">
        <w:rPr>
          <w:rFonts w:ascii="Times New Roman" w:hAnsi="Times New Roman" w:cs="Times New Roman"/>
        </w:rPr>
        <w:t xml:space="preserve"> suggest that preventing or mitigating an accident at a chemical facility may prevent or mitigate property value losses in nearby neighborhoods. Note that any avoided property value losses represent part of society’s combined valuation of reduced risks to human health, reduced ecosystem services, and negative impacts on aesthetic appeal. </w:t>
      </w:r>
      <w:r>
        <w:rPr>
          <w:rFonts w:ascii="Times New Roman" w:hAnsi="Times New Roman" w:cs="Times New Roman"/>
        </w:rPr>
        <w:t>At the same time, p</w:t>
      </w:r>
      <w:r w:rsidRPr="00952CE4">
        <w:rPr>
          <w:rFonts w:ascii="Times New Roman" w:hAnsi="Times New Roman" w:cs="Times New Roman"/>
        </w:rPr>
        <w:t>roperty</w:t>
      </w:r>
      <w:r w:rsidRPr="00BF42A8" w:rsidR="00961293">
        <w:rPr>
          <w:rFonts w:ascii="Times New Roman" w:hAnsi="Times New Roman" w:cs="Times New Roman"/>
        </w:rPr>
        <w:t xml:space="preserve"> value losses </w:t>
      </w:r>
      <w:r>
        <w:rPr>
          <w:rFonts w:ascii="Times New Roman" w:hAnsi="Times New Roman" w:cs="Times New Roman"/>
        </w:rPr>
        <w:t>reflect losses</w:t>
      </w:r>
      <w:r w:rsidR="0028049F">
        <w:rPr>
          <w:rFonts w:ascii="Times New Roman" w:hAnsi="Times New Roman" w:cs="Times New Roman"/>
        </w:rPr>
        <w:t xml:space="preserve"> </w:t>
      </w:r>
      <w:r w:rsidRPr="00BF42A8" w:rsidR="00961293">
        <w:rPr>
          <w:rFonts w:ascii="Times New Roman" w:hAnsi="Times New Roman" w:cs="Times New Roman"/>
        </w:rPr>
        <w:t xml:space="preserve">only </w:t>
      </w:r>
      <w:r w:rsidR="0028049F">
        <w:rPr>
          <w:rFonts w:ascii="Times New Roman" w:hAnsi="Times New Roman" w:cs="Times New Roman"/>
        </w:rPr>
        <w:t xml:space="preserve">to </w:t>
      </w:r>
      <w:r w:rsidRPr="00BF42A8" w:rsidR="00961293">
        <w:rPr>
          <w:rFonts w:ascii="Times New Roman" w:hAnsi="Times New Roman" w:cs="Times New Roman"/>
        </w:rPr>
        <w:t xml:space="preserve">nearby homeowners, </w:t>
      </w:r>
      <w:r w:rsidR="0028049F">
        <w:rPr>
          <w:rFonts w:ascii="Times New Roman" w:hAnsi="Times New Roman" w:cs="Times New Roman"/>
        </w:rPr>
        <w:t xml:space="preserve">and </w:t>
      </w:r>
      <w:r w:rsidRPr="00BF42A8" w:rsidR="00961293">
        <w:rPr>
          <w:rFonts w:ascii="Times New Roman" w:hAnsi="Times New Roman" w:cs="Times New Roman"/>
        </w:rPr>
        <w:t xml:space="preserve">not </w:t>
      </w:r>
      <w:r>
        <w:rPr>
          <w:rFonts w:ascii="Times New Roman" w:hAnsi="Times New Roman" w:cs="Times New Roman"/>
        </w:rPr>
        <w:t xml:space="preserve">to </w:t>
      </w:r>
      <w:r w:rsidRPr="00BF42A8" w:rsidR="00961293">
        <w:rPr>
          <w:rFonts w:ascii="Times New Roman" w:hAnsi="Times New Roman" w:cs="Times New Roman"/>
        </w:rPr>
        <w:t>other affected parties such as employees</w:t>
      </w:r>
      <w:r>
        <w:rPr>
          <w:rFonts w:ascii="Times New Roman" w:hAnsi="Times New Roman" w:cs="Times New Roman"/>
        </w:rPr>
        <w:t xml:space="preserve">, emergency responders, and others </w:t>
      </w:r>
      <w:r w:rsidRPr="00952CE4">
        <w:rPr>
          <w:rFonts w:ascii="Times New Roman" w:hAnsi="Times New Roman" w:cs="Times New Roman"/>
        </w:rPr>
        <w:t>who</w:t>
      </w:r>
      <w:r>
        <w:rPr>
          <w:rFonts w:ascii="Times New Roman" w:hAnsi="Times New Roman" w:cs="Times New Roman"/>
        </w:rPr>
        <w:t xml:space="preserve"> are affected through avenues other than property values, including affected individuals</w:t>
      </w:r>
      <w:r w:rsidRPr="00BF42A8" w:rsidR="00961293">
        <w:rPr>
          <w:rFonts w:ascii="Times New Roman" w:hAnsi="Times New Roman" w:cs="Times New Roman"/>
        </w:rPr>
        <w:t xml:space="preserve"> who do not </w:t>
      </w:r>
      <w:r>
        <w:rPr>
          <w:rFonts w:ascii="Times New Roman" w:hAnsi="Times New Roman" w:cs="Times New Roman"/>
        </w:rPr>
        <w:t>live</w:t>
      </w:r>
      <w:r w:rsidRPr="00BF42A8" w:rsidR="00961293">
        <w:rPr>
          <w:rFonts w:ascii="Times New Roman" w:hAnsi="Times New Roman" w:cs="Times New Roman"/>
        </w:rPr>
        <w:t xml:space="preserve"> in the immediate neighborhood.</w:t>
      </w:r>
      <w:bookmarkEnd w:id="425"/>
      <w:r>
        <w:rPr>
          <w:rFonts w:ascii="Times New Roman" w:hAnsi="Times New Roman" w:cs="Times New Roman"/>
        </w:rPr>
        <w:t xml:space="preserve"> </w:t>
      </w:r>
      <w:bookmarkStart w:id="426" w:name="_Hlk144121272"/>
    </w:p>
    <w:p w:rsidR="00657566" w:rsidRPr="00BF42A8" w:rsidP="009128A3" w14:paraId="6CE47BCA" w14:textId="77777777">
      <w:pPr>
        <w:spacing w:after="0" w:line="240" w:lineRule="auto"/>
        <w:ind w:firstLine="360"/>
        <w:rPr>
          <w:rFonts w:ascii="Times New Roman" w:hAnsi="Times New Roman" w:cs="Times New Roman"/>
        </w:rPr>
      </w:pPr>
    </w:p>
    <w:p w:rsidR="00E93325" w:rsidRPr="002E557F" w:rsidP="00095450" w14:paraId="146DF364" w14:textId="77777777">
      <w:pPr>
        <w:pStyle w:val="Heading3"/>
        <w:ind w:left="1081"/>
        <w:rPr>
          <w:rFonts w:ascii="Times New Roman" w:hAnsi="Times New Roman" w:cs="Times New Roman"/>
          <w:sz w:val="22"/>
          <w:szCs w:val="22"/>
        </w:rPr>
      </w:pPr>
      <w:bookmarkStart w:id="427" w:name="_Toc141733193"/>
      <w:bookmarkStart w:id="428" w:name="_Toc142404097"/>
      <w:bookmarkStart w:id="429" w:name="_Toc144213904"/>
      <w:bookmarkStart w:id="430" w:name="_Toc144283649"/>
      <w:bookmarkStart w:id="431" w:name="_Toc144303587"/>
      <w:r w:rsidRPr="002E557F">
        <w:rPr>
          <w:rFonts w:ascii="Times New Roman" w:hAnsi="Times New Roman" w:cs="Times New Roman"/>
          <w:sz w:val="22"/>
          <w:szCs w:val="22"/>
        </w:rPr>
        <w:t>6.</w:t>
      </w:r>
      <w:r w:rsidR="005449C1">
        <w:rPr>
          <w:rFonts w:ascii="Times New Roman" w:hAnsi="Times New Roman" w:cs="Times New Roman"/>
          <w:sz w:val="22"/>
          <w:szCs w:val="22"/>
        </w:rPr>
        <w:t>2</w:t>
      </w:r>
      <w:r w:rsidRPr="002E557F">
        <w:rPr>
          <w:rFonts w:ascii="Times New Roman" w:hAnsi="Times New Roman" w:cs="Times New Roman"/>
          <w:sz w:val="22"/>
          <w:szCs w:val="22"/>
        </w:rPr>
        <w:t>.</w:t>
      </w:r>
      <w:r w:rsidR="005449C1">
        <w:rPr>
          <w:rFonts w:ascii="Times New Roman" w:hAnsi="Times New Roman" w:cs="Times New Roman"/>
          <w:sz w:val="22"/>
          <w:szCs w:val="22"/>
        </w:rPr>
        <w:t>7</w:t>
      </w:r>
      <w:r w:rsidRPr="002E557F">
        <w:rPr>
          <w:rFonts w:ascii="Times New Roman" w:hAnsi="Times New Roman" w:cs="Times New Roman"/>
          <w:sz w:val="22"/>
          <w:szCs w:val="22"/>
        </w:rPr>
        <w:t xml:space="preserve"> Environmental</w:t>
      </w:r>
      <w:r w:rsidRPr="002E557F">
        <w:rPr>
          <w:rFonts w:ascii="Times New Roman" w:hAnsi="Times New Roman" w:cs="Times New Roman"/>
          <w:spacing w:val="-1"/>
          <w:sz w:val="22"/>
          <w:szCs w:val="22"/>
        </w:rPr>
        <w:t xml:space="preserve"> </w:t>
      </w:r>
      <w:r w:rsidRPr="002E557F">
        <w:rPr>
          <w:rFonts w:ascii="Times New Roman" w:hAnsi="Times New Roman" w:cs="Times New Roman"/>
          <w:sz w:val="22"/>
          <w:szCs w:val="22"/>
        </w:rPr>
        <w:t>Impacts</w:t>
      </w:r>
      <w:bookmarkEnd w:id="427"/>
      <w:bookmarkEnd w:id="428"/>
      <w:bookmarkEnd w:id="429"/>
      <w:bookmarkEnd w:id="430"/>
      <w:bookmarkEnd w:id="431"/>
    </w:p>
    <w:bookmarkEnd w:id="426"/>
    <w:p w:rsidR="00E93325" w:rsidP="009128A3" w14:paraId="591EF24F"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 xml:space="preserve">In addition to </w:t>
      </w:r>
      <w:r w:rsidR="00EC7904">
        <w:rPr>
          <w:rFonts w:ascii="Times New Roman" w:hAnsi="Times New Roman" w:cs="Times New Roman"/>
        </w:rPr>
        <w:t>data</w:t>
      </w:r>
      <w:r w:rsidRPr="00BF42A8">
        <w:rPr>
          <w:rFonts w:ascii="Times New Roman" w:hAnsi="Times New Roman" w:cs="Times New Roman"/>
        </w:rPr>
        <w:t xml:space="preserve"> on deaths, injuries, property damage, evacuations, and sheltering in place, the </w:t>
      </w:r>
      <w:r w:rsidR="00EC7904">
        <w:rPr>
          <w:rFonts w:ascii="Times New Roman" w:hAnsi="Times New Roman" w:cs="Times New Roman"/>
        </w:rPr>
        <w:t xml:space="preserve">current </w:t>
      </w:r>
      <w:r w:rsidRPr="00BF42A8">
        <w:rPr>
          <w:rFonts w:ascii="Times New Roman" w:hAnsi="Times New Roman" w:cs="Times New Roman"/>
        </w:rPr>
        <w:t xml:space="preserve">RMP rule requires owners and operators to report within the five-year accident history </w:t>
      </w:r>
      <w:r w:rsidRPr="00BF42A8" w:rsidR="002C6243">
        <w:rPr>
          <w:rFonts w:ascii="Times New Roman" w:hAnsi="Times New Roman" w:cs="Times New Roman"/>
        </w:rPr>
        <w:t>those</w:t>
      </w:r>
      <w:r w:rsidRPr="00BF42A8">
        <w:rPr>
          <w:rFonts w:ascii="Times New Roman" w:hAnsi="Times New Roman" w:cs="Times New Roman"/>
        </w:rPr>
        <w:t xml:space="preserve"> </w:t>
      </w:r>
      <w:r w:rsidRPr="00BF42A8">
        <w:rPr>
          <w:rFonts w:ascii="Times New Roman" w:hAnsi="Times New Roman" w:cs="Times New Roman"/>
        </w:rPr>
        <w:t>accidental releases that result in environmental damage. However, the environmental damage information contained in the RMP database is limited</w:t>
      </w:r>
      <w:r w:rsidR="006F65CA">
        <w:rPr>
          <w:rFonts w:ascii="Times New Roman" w:hAnsi="Times New Roman" w:cs="Times New Roman"/>
        </w:rPr>
        <w:t>.</w:t>
      </w:r>
      <w:r w:rsidRPr="00BF42A8">
        <w:rPr>
          <w:rFonts w:ascii="Times New Roman" w:hAnsi="Times New Roman" w:cs="Times New Roman"/>
        </w:rPr>
        <w:t xml:space="preserve"> RMP accident history reports indicate general categories of environmental damage (e.g., fish or animal kills, tree, lawn, shrub, or crop damage, etc.), but do not contain estimates of damage valuation or other specific information on reported impacts.</w:t>
      </w:r>
    </w:p>
    <w:p w:rsidR="0072688F" w:rsidP="009128A3" w14:paraId="13429645" w14:textId="77777777">
      <w:pPr>
        <w:spacing w:after="0" w:line="240" w:lineRule="auto"/>
        <w:ind w:firstLine="360"/>
        <w:rPr>
          <w:rFonts w:ascii="Times New Roman" w:hAnsi="Times New Roman" w:cs="Times New Roman"/>
        </w:rPr>
      </w:pPr>
    </w:p>
    <w:p w:rsidR="00E93325" w:rsidP="009128A3" w14:paraId="7C8B992C"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Rule provisions that prevent or mitigate the extent of accidental releases are therefore likely to prevent or reduce the environmental impacts associated with those releases</w:t>
      </w:r>
      <w:r w:rsidRPr="00BF42A8" w:rsidR="00B60603">
        <w:rPr>
          <w:rFonts w:ascii="Times New Roman" w:hAnsi="Times New Roman" w:cs="Times New Roman"/>
        </w:rPr>
        <w:t>. T</w:t>
      </w:r>
      <w:r w:rsidRPr="00BF42A8">
        <w:rPr>
          <w:rFonts w:ascii="Times New Roman" w:hAnsi="Times New Roman" w:cs="Times New Roman"/>
        </w:rPr>
        <w:t>hese benefits cannot be quantified using the available data.</w:t>
      </w:r>
    </w:p>
    <w:p w:rsidR="009E38A7" w:rsidP="009128A3" w14:paraId="12803176" w14:textId="77777777">
      <w:pPr>
        <w:spacing w:after="0" w:line="240" w:lineRule="auto"/>
        <w:ind w:firstLine="360"/>
        <w:rPr>
          <w:rFonts w:ascii="Times New Roman" w:hAnsi="Times New Roman" w:cs="Times New Roman"/>
        </w:rPr>
      </w:pPr>
    </w:p>
    <w:p w:rsidR="00817D37" w:rsidRPr="002E557F" w:rsidP="00095450" w14:paraId="5AF634BD" w14:textId="77777777">
      <w:pPr>
        <w:pStyle w:val="Heading3"/>
        <w:ind w:left="1081"/>
        <w:rPr>
          <w:rFonts w:ascii="Times New Roman" w:hAnsi="Times New Roman" w:cs="Times New Roman"/>
          <w:sz w:val="22"/>
          <w:szCs w:val="22"/>
        </w:rPr>
      </w:pPr>
      <w:bookmarkStart w:id="432" w:name="_Toc144213905"/>
      <w:bookmarkStart w:id="433" w:name="_Toc144283650"/>
      <w:bookmarkStart w:id="434" w:name="_Toc144303588"/>
      <w:r w:rsidRPr="002E557F">
        <w:rPr>
          <w:rFonts w:ascii="Times New Roman" w:hAnsi="Times New Roman" w:cs="Times New Roman"/>
          <w:sz w:val="22"/>
          <w:szCs w:val="22"/>
        </w:rPr>
        <w:t>6.</w:t>
      </w:r>
      <w:r>
        <w:rPr>
          <w:rFonts w:ascii="Times New Roman" w:hAnsi="Times New Roman" w:cs="Times New Roman"/>
          <w:sz w:val="22"/>
          <w:szCs w:val="22"/>
        </w:rPr>
        <w:t>2</w:t>
      </w:r>
      <w:r w:rsidRPr="002E557F">
        <w:rPr>
          <w:rFonts w:ascii="Times New Roman" w:hAnsi="Times New Roman" w:cs="Times New Roman"/>
          <w:sz w:val="22"/>
          <w:szCs w:val="22"/>
        </w:rPr>
        <w:t>.</w:t>
      </w:r>
      <w:r w:rsidR="00482792">
        <w:rPr>
          <w:rFonts w:ascii="Times New Roman" w:hAnsi="Times New Roman" w:cs="Times New Roman"/>
          <w:sz w:val="22"/>
          <w:szCs w:val="22"/>
        </w:rPr>
        <w:t>8</w:t>
      </w:r>
      <w:r w:rsidRPr="002E557F">
        <w:rPr>
          <w:rFonts w:ascii="Times New Roman" w:hAnsi="Times New Roman" w:cs="Times New Roman"/>
          <w:sz w:val="22"/>
          <w:szCs w:val="22"/>
        </w:rPr>
        <w:t xml:space="preserve"> </w:t>
      </w:r>
      <w:r w:rsidR="00955CFE">
        <w:rPr>
          <w:rFonts w:ascii="Times New Roman" w:hAnsi="Times New Roman" w:cs="Times New Roman"/>
          <w:sz w:val="22"/>
          <w:szCs w:val="22"/>
        </w:rPr>
        <w:t xml:space="preserve">Unquantified </w:t>
      </w:r>
      <w:r w:rsidR="008F3019">
        <w:rPr>
          <w:rFonts w:ascii="Times New Roman" w:hAnsi="Times New Roman" w:cs="Times New Roman"/>
          <w:sz w:val="22"/>
          <w:szCs w:val="22"/>
        </w:rPr>
        <w:t>Costs of Evacuation and Sheltering-in-place Events</w:t>
      </w:r>
      <w:bookmarkEnd w:id="432"/>
      <w:bookmarkEnd w:id="433"/>
      <w:bookmarkEnd w:id="434"/>
    </w:p>
    <w:p w:rsidR="0075405F" w:rsidRPr="000A5C0E" w:rsidP="00817D37" w14:paraId="32520B55" w14:textId="74F1A59A">
      <w:pPr>
        <w:spacing w:after="0" w:line="240" w:lineRule="auto"/>
        <w:ind w:firstLine="360"/>
        <w:rPr>
          <w:rFonts w:ascii="Times New Roman" w:hAnsi="Times New Roman" w:cs="Times New Roman"/>
        </w:rPr>
      </w:pPr>
      <w:r w:rsidRPr="00AE265E">
        <w:rPr>
          <w:rFonts w:ascii="Times New Roman" w:hAnsi="Times New Roman" w:cs="Times New Roman"/>
          <w:i/>
        </w:rPr>
        <w:tab/>
      </w:r>
      <w:r w:rsidRPr="00955CFE">
        <w:rPr>
          <w:rFonts w:ascii="Times New Roman" w:hAnsi="Times New Roman" w:cs="Times New Roman"/>
        </w:rPr>
        <w:t xml:space="preserve">While EPA has </w:t>
      </w:r>
      <w:r w:rsidRPr="00955CFE" w:rsidR="004C73D1">
        <w:rPr>
          <w:rFonts w:ascii="Times New Roman" w:hAnsi="Times New Roman" w:cs="Times New Roman"/>
        </w:rPr>
        <w:t>estimated</w:t>
      </w:r>
      <w:r w:rsidRPr="00522CAA" w:rsidR="004C73D1">
        <w:rPr>
          <w:rFonts w:ascii="Times New Roman" w:hAnsi="Times New Roman" w:cs="Times New Roman"/>
        </w:rPr>
        <w:t xml:space="preserve"> t</w:t>
      </w:r>
      <w:r w:rsidRPr="00522CAA">
        <w:rPr>
          <w:rFonts w:ascii="Times New Roman" w:hAnsi="Times New Roman" w:cs="Times New Roman"/>
        </w:rPr>
        <w:t>he</w:t>
      </w:r>
      <w:r w:rsidRPr="00522CAA" w:rsidR="004C73D1">
        <w:rPr>
          <w:rFonts w:ascii="Times New Roman" w:hAnsi="Times New Roman" w:cs="Times New Roman"/>
        </w:rPr>
        <w:t xml:space="preserve"> baseline time </w:t>
      </w:r>
      <w:r w:rsidRPr="00522CAA">
        <w:rPr>
          <w:rFonts w:ascii="Times New Roman" w:hAnsi="Times New Roman" w:cs="Times New Roman"/>
        </w:rPr>
        <w:t>costs of evacuations</w:t>
      </w:r>
      <w:r w:rsidRPr="00522CAA" w:rsidR="004C73D1">
        <w:rPr>
          <w:rFonts w:ascii="Times New Roman" w:hAnsi="Times New Roman" w:cs="Times New Roman"/>
        </w:rPr>
        <w:t xml:space="preserve"> and</w:t>
      </w:r>
      <w:r w:rsidRPr="00522CAA">
        <w:rPr>
          <w:rFonts w:ascii="Times New Roman" w:hAnsi="Times New Roman" w:cs="Times New Roman"/>
        </w:rPr>
        <w:t xml:space="preserve"> sheltering-in-place events, there are additional costs </w:t>
      </w:r>
      <w:r w:rsidRPr="00522CAA" w:rsidR="004C73D1">
        <w:rPr>
          <w:rFonts w:ascii="Times New Roman" w:hAnsi="Times New Roman" w:cs="Times New Roman"/>
        </w:rPr>
        <w:t>t</w:t>
      </w:r>
      <w:r w:rsidRPr="00522CAA">
        <w:rPr>
          <w:rFonts w:ascii="Times New Roman" w:hAnsi="Times New Roman" w:cs="Times New Roman"/>
        </w:rPr>
        <w:t>hat EPA is unable to quantify. Some of these additional costs were described in the cases presented in Section 3.</w:t>
      </w:r>
      <w:r w:rsidRPr="00522CAA" w:rsidR="003E7A4A">
        <w:rPr>
          <w:rFonts w:ascii="Times New Roman" w:hAnsi="Times New Roman" w:cs="Times New Roman"/>
        </w:rPr>
        <w:t>2.</w:t>
      </w:r>
      <w:r w:rsidR="003E7A4A">
        <w:rPr>
          <w:rFonts w:ascii="Times New Roman" w:hAnsi="Times New Roman" w:cs="Times New Roman"/>
        </w:rPr>
        <w:t>1</w:t>
      </w:r>
      <w:r w:rsidRPr="00522CAA">
        <w:rPr>
          <w:rFonts w:ascii="Times New Roman" w:hAnsi="Times New Roman" w:cs="Times New Roman"/>
          <w:i/>
        </w:rPr>
        <w:t>.</w:t>
      </w:r>
      <w:r w:rsidRPr="00522CAA">
        <w:rPr>
          <w:rFonts w:ascii="Times New Roman" w:hAnsi="Times New Roman" w:cs="Times New Roman"/>
        </w:rPr>
        <w:t xml:space="preserve"> The following list highlights examples of additional unquantified</w:t>
      </w:r>
      <w:r w:rsidRPr="00522CAA" w:rsidR="004F3677">
        <w:rPr>
          <w:rFonts w:ascii="Times New Roman" w:hAnsi="Times New Roman" w:cs="Times New Roman"/>
        </w:rPr>
        <w:t xml:space="preserve"> impacts</w:t>
      </w:r>
      <w:r w:rsidRPr="00522CAA" w:rsidR="00257DE2">
        <w:rPr>
          <w:rFonts w:ascii="Times New Roman" w:hAnsi="Times New Roman" w:cs="Times New Roman"/>
        </w:rPr>
        <w:t xml:space="preserve"> of evacuations and sheltering in place events:</w:t>
      </w:r>
      <w:r w:rsidRPr="00522CAA">
        <w:rPr>
          <w:rFonts w:ascii="Times New Roman" w:hAnsi="Times New Roman" w:cs="Times New Roman"/>
        </w:rPr>
        <w:t xml:space="preserve"> </w:t>
      </w:r>
    </w:p>
    <w:p w:rsidR="0075405F" w:rsidRPr="002A7D2B" w:rsidP="00082826" w14:paraId="10897919" w14:textId="77777777">
      <w:pPr>
        <w:pStyle w:val="ListParagraph"/>
        <w:numPr>
          <w:ilvl w:val="0"/>
          <w:numId w:val="16"/>
        </w:numPr>
        <w:tabs>
          <w:tab w:val="left" w:pos="1440"/>
        </w:tabs>
        <w:ind w:left="720"/>
        <w:rPr>
          <w:rFonts w:ascii="Times New Roman" w:hAnsi="Times New Roman" w:cs="Times New Roman"/>
        </w:rPr>
      </w:pPr>
      <w:r>
        <w:rPr>
          <w:rFonts w:ascii="Times New Roman" w:hAnsi="Times New Roman" w:cs="Times New Roman"/>
        </w:rPr>
        <w:t>Inconvenience of r</w:t>
      </w:r>
      <w:r w:rsidRPr="002A7D2B">
        <w:rPr>
          <w:rFonts w:ascii="Times New Roman" w:hAnsi="Times New Roman" w:cs="Times New Roman"/>
        </w:rPr>
        <w:t xml:space="preserve">elocating to a relative’s or friend’s house. </w:t>
      </w:r>
    </w:p>
    <w:p w:rsidR="0075405F" w:rsidRPr="001030A1" w:rsidP="00082826" w14:paraId="04F776EC" w14:textId="77777777">
      <w:pPr>
        <w:pStyle w:val="ListParagraph"/>
        <w:numPr>
          <w:ilvl w:val="0"/>
          <w:numId w:val="16"/>
        </w:numPr>
        <w:tabs>
          <w:tab w:val="left" w:pos="1440"/>
        </w:tabs>
        <w:ind w:left="720"/>
        <w:rPr>
          <w:rFonts w:ascii="Times New Roman" w:hAnsi="Times New Roman" w:cs="Times New Roman"/>
        </w:rPr>
      </w:pPr>
      <w:r w:rsidRPr="001030A1">
        <w:rPr>
          <w:rFonts w:ascii="Times New Roman" w:hAnsi="Times New Roman" w:cs="Times New Roman"/>
        </w:rPr>
        <w:t xml:space="preserve">If staying at a hotel, </w:t>
      </w:r>
      <w:r w:rsidRPr="001030A1" w:rsidR="001030A1">
        <w:rPr>
          <w:rFonts w:ascii="Times New Roman" w:hAnsi="Times New Roman" w:cs="Times New Roman"/>
        </w:rPr>
        <w:t>e</w:t>
      </w:r>
      <w:r w:rsidRPr="001030A1">
        <w:rPr>
          <w:rFonts w:ascii="Times New Roman" w:hAnsi="Times New Roman" w:cs="Times New Roman"/>
        </w:rPr>
        <w:t>xpenses for rooms, meals, parking</w:t>
      </w:r>
      <w:r>
        <w:rPr>
          <w:rStyle w:val="FootnoteReference"/>
          <w:rFonts w:ascii="Times New Roman" w:hAnsi="Times New Roman" w:cs="Times New Roman"/>
        </w:rPr>
        <w:footnoteReference w:id="153"/>
      </w:r>
      <w:r w:rsidRPr="001030A1">
        <w:rPr>
          <w:rFonts w:ascii="Times New Roman" w:hAnsi="Times New Roman" w:cs="Times New Roman"/>
        </w:rPr>
        <w:t xml:space="preserve"> </w:t>
      </w:r>
      <w:r w:rsidRPr="001030A1" w:rsidR="001030A1">
        <w:rPr>
          <w:rFonts w:ascii="Times New Roman" w:hAnsi="Times New Roman" w:cs="Times New Roman"/>
        </w:rPr>
        <w:t xml:space="preserve">and </w:t>
      </w:r>
      <w:r w:rsidR="001030A1">
        <w:rPr>
          <w:rFonts w:ascii="Times New Roman" w:hAnsi="Times New Roman" w:cs="Times New Roman"/>
        </w:rPr>
        <w:t>t</w:t>
      </w:r>
      <w:r w:rsidRPr="001030A1">
        <w:rPr>
          <w:rFonts w:ascii="Times New Roman" w:hAnsi="Times New Roman" w:cs="Times New Roman"/>
        </w:rPr>
        <w:t>he stress of not knowing whether you will be reimbursed for hotel and related expenses (e.g.,</w:t>
      </w:r>
      <w:r w:rsidR="002C5595">
        <w:rPr>
          <w:rFonts w:ascii="Times New Roman" w:hAnsi="Times New Roman" w:cs="Times New Roman"/>
        </w:rPr>
        <w:t xml:space="preserve"> restaurant</w:t>
      </w:r>
      <w:r w:rsidRPr="001030A1">
        <w:rPr>
          <w:rFonts w:ascii="Times New Roman" w:hAnsi="Times New Roman" w:cs="Times New Roman"/>
        </w:rPr>
        <w:t xml:space="preserve"> meals).</w:t>
      </w:r>
      <w:r>
        <w:rPr>
          <w:rStyle w:val="FootnoteReference"/>
          <w:rFonts w:ascii="Times New Roman" w:hAnsi="Times New Roman" w:cs="Times New Roman"/>
        </w:rPr>
        <w:footnoteReference w:id="154"/>
      </w:r>
    </w:p>
    <w:p w:rsidR="0075405F" w:rsidRPr="002A7D2B" w:rsidP="00082826" w14:paraId="2499F01C" w14:textId="77777777">
      <w:pPr>
        <w:pStyle w:val="ListParagraph"/>
        <w:numPr>
          <w:ilvl w:val="0"/>
          <w:numId w:val="16"/>
        </w:numPr>
        <w:tabs>
          <w:tab w:val="left" w:pos="1440"/>
        </w:tabs>
        <w:ind w:left="720"/>
        <w:rPr>
          <w:rFonts w:ascii="Times New Roman" w:hAnsi="Times New Roman" w:cs="Times New Roman"/>
        </w:rPr>
      </w:pPr>
      <w:r>
        <w:rPr>
          <w:rFonts w:ascii="Times New Roman" w:hAnsi="Times New Roman" w:cs="Times New Roman"/>
        </w:rPr>
        <w:t>The emotional toll of d</w:t>
      </w:r>
      <w:r w:rsidRPr="002A7D2B">
        <w:rPr>
          <w:rFonts w:ascii="Times New Roman" w:hAnsi="Times New Roman" w:cs="Times New Roman"/>
        </w:rPr>
        <w:t>eaths</w:t>
      </w:r>
      <w:r w:rsidR="00152932">
        <w:rPr>
          <w:rFonts w:ascii="Times New Roman" w:hAnsi="Times New Roman" w:cs="Times New Roman"/>
        </w:rPr>
        <w:t xml:space="preserve"> or</w:t>
      </w:r>
      <w:r w:rsidRPr="002A7D2B">
        <w:rPr>
          <w:rFonts w:ascii="Times New Roman" w:hAnsi="Times New Roman" w:cs="Times New Roman"/>
        </w:rPr>
        <w:t xml:space="preserve"> illness</w:t>
      </w:r>
      <w:r w:rsidR="00CB4E09">
        <w:rPr>
          <w:rFonts w:ascii="Times New Roman" w:hAnsi="Times New Roman" w:cs="Times New Roman"/>
        </w:rPr>
        <w:t xml:space="preserve"> experienced by</w:t>
      </w:r>
      <w:r w:rsidRPr="002A7D2B">
        <w:rPr>
          <w:rFonts w:ascii="Times New Roman" w:hAnsi="Times New Roman" w:cs="Times New Roman"/>
        </w:rPr>
        <w:t xml:space="preserve"> pets and yard animals left behind </w:t>
      </w:r>
      <w:r w:rsidR="00A963D9">
        <w:rPr>
          <w:rFonts w:ascii="Times New Roman" w:hAnsi="Times New Roman" w:cs="Times New Roman"/>
        </w:rPr>
        <w:t>such as dogs, ba</w:t>
      </w:r>
      <w:r w:rsidRPr="002A7D2B">
        <w:rPr>
          <w:rFonts w:ascii="Times New Roman" w:hAnsi="Times New Roman" w:cs="Times New Roman"/>
        </w:rPr>
        <w:t>ckyard chickens, goats etc.</w:t>
      </w:r>
      <w:r>
        <w:rPr>
          <w:rStyle w:val="FootnoteReference"/>
          <w:rFonts w:ascii="Times New Roman" w:hAnsi="Times New Roman" w:cs="Times New Roman"/>
        </w:rPr>
        <w:footnoteReference w:id="155"/>
      </w:r>
      <w:r w:rsidRPr="002A7D2B">
        <w:rPr>
          <w:rFonts w:ascii="Times New Roman" w:hAnsi="Times New Roman" w:cs="Times New Roman"/>
        </w:rPr>
        <w:t xml:space="preserve"> </w:t>
      </w:r>
    </w:p>
    <w:p w:rsidR="0075405F" w:rsidP="00082826" w14:paraId="409D3ABD" w14:textId="77777777">
      <w:pPr>
        <w:pStyle w:val="ListParagraph"/>
        <w:numPr>
          <w:ilvl w:val="0"/>
          <w:numId w:val="16"/>
        </w:numPr>
        <w:tabs>
          <w:tab w:val="left" w:pos="1440"/>
        </w:tabs>
        <w:ind w:left="720"/>
        <w:rPr>
          <w:rFonts w:ascii="Times New Roman" w:hAnsi="Times New Roman" w:cs="Times New Roman"/>
        </w:rPr>
      </w:pPr>
      <w:r w:rsidRPr="002A7D2B">
        <w:rPr>
          <w:rFonts w:ascii="Times New Roman" w:hAnsi="Times New Roman" w:cs="Times New Roman"/>
        </w:rPr>
        <w:t xml:space="preserve">Loss of </w:t>
      </w:r>
      <w:r>
        <w:rPr>
          <w:rFonts w:ascii="Times New Roman" w:hAnsi="Times New Roman" w:cs="Times New Roman"/>
        </w:rPr>
        <w:t>subsistence agriculture or homegrown produce</w:t>
      </w:r>
      <w:r w:rsidRPr="002A7D2B">
        <w:rPr>
          <w:rFonts w:ascii="Times New Roman" w:hAnsi="Times New Roman" w:cs="Times New Roman"/>
        </w:rPr>
        <w:t xml:space="preserve">. </w:t>
      </w:r>
    </w:p>
    <w:p w:rsidR="0075405F" w:rsidP="00082826" w14:paraId="6AE332F5" w14:textId="77777777">
      <w:pPr>
        <w:pStyle w:val="ListParagraph"/>
        <w:numPr>
          <w:ilvl w:val="0"/>
          <w:numId w:val="16"/>
        </w:numPr>
        <w:tabs>
          <w:tab w:val="left" w:pos="1440"/>
        </w:tabs>
        <w:ind w:left="720"/>
        <w:rPr>
          <w:rFonts w:ascii="Times New Roman" w:hAnsi="Times New Roman" w:cs="Times New Roman"/>
        </w:rPr>
      </w:pPr>
      <w:r w:rsidRPr="002A7D2B">
        <w:rPr>
          <w:rFonts w:ascii="Times New Roman" w:hAnsi="Times New Roman" w:cs="Times New Roman"/>
        </w:rPr>
        <w:t xml:space="preserve">Cost of bottled water </w:t>
      </w:r>
      <w:r>
        <w:rPr>
          <w:rFonts w:ascii="Times New Roman" w:hAnsi="Times New Roman" w:cs="Times New Roman"/>
        </w:rPr>
        <w:t>purchased by municipalities, other governments, relief organizations, and businesses.</w:t>
      </w:r>
      <w:r>
        <w:rPr>
          <w:rStyle w:val="FootnoteReference"/>
          <w:rFonts w:ascii="Times New Roman" w:hAnsi="Times New Roman" w:cs="Times New Roman"/>
        </w:rPr>
        <w:footnoteReference w:id="156"/>
      </w:r>
    </w:p>
    <w:p w:rsidR="0075405F" w:rsidP="00082826" w14:paraId="2926DA17" w14:textId="77777777">
      <w:pPr>
        <w:pStyle w:val="ListParagraph"/>
        <w:numPr>
          <w:ilvl w:val="0"/>
          <w:numId w:val="16"/>
        </w:numPr>
        <w:tabs>
          <w:tab w:val="left" w:pos="1440"/>
        </w:tabs>
        <w:ind w:left="720"/>
        <w:rPr>
          <w:rFonts w:ascii="Times New Roman" w:hAnsi="Times New Roman" w:cs="Times New Roman"/>
        </w:rPr>
      </w:pPr>
      <w:r>
        <w:rPr>
          <w:rFonts w:ascii="Times New Roman" w:hAnsi="Times New Roman" w:cs="Times New Roman"/>
        </w:rPr>
        <w:t>Cost of b</w:t>
      </w:r>
      <w:r w:rsidRPr="002A7D2B">
        <w:rPr>
          <w:rFonts w:ascii="Times New Roman" w:hAnsi="Times New Roman" w:cs="Times New Roman"/>
        </w:rPr>
        <w:t>ottled water</w:t>
      </w:r>
      <w:r>
        <w:rPr>
          <w:rFonts w:ascii="Times New Roman" w:hAnsi="Times New Roman" w:cs="Times New Roman"/>
        </w:rPr>
        <w:t xml:space="preserve"> purchased by individuals</w:t>
      </w:r>
      <w:r w:rsidRPr="002A7D2B">
        <w:rPr>
          <w:rFonts w:ascii="Times New Roman" w:hAnsi="Times New Roman" w:cs="Times New Roman"/>
        </w:rPr>
        <w:t xml:space="preserve"> </w:t>
      </w:r>
      <w:r>
        <w:rPr>
          <w:rFonts w:ascii="Times New Roman" w:hAnsi="Times New Roman" w:cs="Times New Roman"/>
        </w:rPr>
        <w:t>–</w:t>
      </w:r>
      <w:r w:rsidRPr="002A7D2B">
        <w:rPr>
          <w:rFonts w:ascii="Times New Roman" w:hAnsi="Times New Roman" w:cs="Times New Roman"/>
        </w:rPr>
        <w:t xml:space="preserve"> </w:t>
      </w:r>
      <w:r>
        <w:rPr>
          <w:rFonts w:ascii="Times New Roman" w:hAnsi="Times New Roman" w:cs="Times New Roman"/>
        </w:rPr>
        <w:t>individuals impacted by accidents may choose to purchase bottled water for their household rather than rely on municipal or other water systems due to perceived or real risk of water contamination</w:t>
      </w:r>
      <w:r w:rsidRPr="002A7D2B">
        <w:rPr>
          <w:rFonts w:ascii="Times New Roman" w:hAnsi="Times New Roman" w:cs="Times New Roman"/>
        </w:rPr>
        <w:t>.</w:t>
      </w:r>
      <w:r>
        <w:rPr>
          <w:rStyle w:val="FootnoteReference"/>
          <w:rFonts w:ascii="Times New Roman" w:hAnsi="Times New Roman" w:cs="Times New Roman"/>
        </w:rPr>
        <w:footnoteReference w:id="157"/>
      </w:r>
    </w:p>
    <w:p w:rsidR="0075405F" w:rsidRPr="002D2D41" w:rsidP="00082826" w14:paraId="52896C36" w14:textId="77777777">
      <w:pPr>
        <w:pStyle w:val="ListParagraph"/>
        <w:numPr>
          <w:ilvl w:val="0"/>
          <w:numId w:val="16"/>
        </w:numPr>
        <w:tabs>
          <w:tab w:val="left" w:pos="1440"/>
        </w:tabs>
        <w:ind w:left="720"/>
        <w:rPr>
          <w:rFonts w:ascii="Times New Roman" w:hAnsi="Times New Roman" w:cs="Times New Roman"/>
        </w:rPr>
      </w:pPr>
      <w:r>
        <w:rPr>
          <w:rFonts w:ascii="Times New Roman" w:hAnsi="Times New Roman" w:cs="Times New Roman"/>
        </w:rPr>
        <w:t xml:space="preserve">Other contamination averting behaviors (e.g., such as gloves, masks, and air/water filters/purifiers; limiting of outdoor time, </w:t>
      </w:r>
      <w:r w:rsidRPr="00675108">
        <w:rPr>
          <w:rFonts w:ascii="Times New Roman" w:hAnsi="Times New Roman" w:cs="Times New Roman"/>
        </w:rPr>
        <w:t>which may also disrupt social networks and exercise activities</w:t>
      </w:r>
      <w:r>
        <w:rPr>
          <w:rFonts w:ascii="Times New Roman" w:hAnsi="Times New Roman" w:cs="Times New Roman"/>
        </w:rPr>
        <w:t>; and increased time and resources spent boiling tap water, washing, and cleaning).</w:t>
      </w:r>
      <w:r>
        <w:rPr>
          <w:rStyle w:val="FootnoteReference"/>
          <w:rFonts w:ascii="Times New Roman" w:hAnsi="Times New Roman" w:cs="Times New Roman"/>
        </w:rPr>
        <w:footnoteReference w:id="158"/>
      </w:r>
      <w:r>
        <w:rPr>
          <w:rFonts w:ascii="Times New Roman" w:hAnsi="Times New Roman" w:cs="Times New Roman"/>
        </w:rPr>
        <w:t>,</w:t>
      </w:r>
      <w:r>
        <w:rPr>
          <w:rStyle w:val="FootnoteReference"/>
          <w:rFonts w:ascii="Times New Roman" w:hAnsi="Times New Roman" w:cs="Times New Roman"/>
        </w:rPr>
        <w:footnoteReference w:id="159"/>
      </w:r>
    </w:p>
    <w:p w:rsidR="0075405F" w:rsidRPr="00BF5735" w:rsidP="00082826" w14:paraId="7D0934DF" w14:textId="77777777">
      <w:pPr>
        <w:pStyle w:val="ListParagraph"/>
        <w:numPr>
          <w:ilvl w:val="0"/>
          <w:numId w:val="16"/>
        </w:numPr>
        <w:tabs>
          <w:tab w:val="left" w:pos="1440"/>
        </w:tabs>
        <w:ind w:left="720"/>
        <w:rPr>
          <w:rFonts w:ascii="Times New Roman" w:hAnsi="Times New Roman" w:cs="Times New Roman"/>
        </w:rPr>
      </w:pPr>
      <w:r w:rsidRPr="002A7D2B">
        <w:rPr>
          <w:rFonts w:ascii="Times New Roman" w:hAnsi="Times New Roman" w:cs="Times New Roman"/>
        </w:rPr>
        <w:t>Cost of children missing school.</w:t>
      </w:r>
      <w:r>
        <w:rPr>
          <w:rStyle w:val="FootnoteReference"/>
          <w:rFonts w:ascii="Times New Roman" w:hAnsi="Times New Roman" w:cs="Times New Roman"/>
        </w:rPr>
        <w:footnoteReference w:id="160"/>
      </w:r>
      <w:r w:rsidRPr="002A7D2B">
        <w:rPr>
          <w:rFonts w:ascii="Times New Roman" w:hAnsi="Times New Roman" w:cs="Times New Roman"/>
        </w:rPr>
        <w:t xml:space="preserve"> </w:t>
      </w:r>
    </w:p>
    <w:p w:rsidR="0075405F" w:rsidP="009128A3" w14:paraId="653E465F" w14:textId="77777777">
      <w:pPr>
        <w:spacing w:after="0" w:line="240" w:lineRule="auto"/>
        <w:ind w:firstLine="360"/>
        <w:rPr>
          <w:rFonts w:ascii="Times New Roman" w:hAnsi="Times New Roman" w:cs="Times New Roman"/>
        </w:rPr>
      </w:pPr>
    </w:p>
    <w:p w:rsidR="00922D75" w:rsidRPr="002E557F" w:rsidP="002E557F" w14:paraId="211E91FD" w14:textId="77777777">
      <w:pPr>
        <w:pStyle w:val="Heading3"/>
        <w:rPr>
          <w:rFonts w:ascii="Times New Roman" w:hAnsi="Times New Roman" w:cs="Times New Roman"/>
          <w:sz w:val="22"/>
          <w:szCs w:val="22"/>
        </w:rPr>
      </w:pPr>
      <w:bookmarkStart w:id="435" w:name="_Toc141733194"/>
      <w:bookmarkStart w:id="436" w:name="_Toc142404098"/>
      <w:bookmarkStart w:id="437" w:name="_Toc144213906"/>
      <w:bookmarkStart w:id="438" w:name="_Toc144283651"/>
      <w:bookmarkStart w:id="439" w:name="_Toc144303589"/>
      <w:r w:rsidRPr="002E557F">
        <w:rPr>
          <w:rFonts w:ascii="Times New Roman" w:hAnsi="Times New Roman" w:cs="Times New Roman"/>
          <w:sz w:val="22"/>
          <w:szCs w:val="22"/>
        </w:rPr>
        <w:t>6.</w:t>
      </w:r>
      <w:r w:rsidR="005449C1">
        <w:rPr>
          <w:rFonts w:ascii="Times New Roman" w:hAnsi="Times New Roman" w:cs="Times New Roman"/>
          <w:sz w:val="22"/>
          <w:szCs w:val="22"/>
        </w:rPr>
        <w:t>2</w:t>
      </w:r>
      <w:r w:rsidRPr="002E557F">
        <w:rPr>
          <w:rFonts w:ascii="Times New Roman" w:hAnsi="Times New Roman" w:cs="Times New Roman"/>
          <w:sz w:val="22"/>
          <w:szCs w:val="22"/>
        </w:rPr>
        <w:t>.</w:t>
      </w:r>
      <w:r w:rsidR="005449C1">
        <w:rPr>
          <w:rFonts w:ascii="Times New Roman" w:hAnsi="Times New Roman" w:cs="Times New Roman"/>
          <w:sz w:val="22"/>
          <w:szCs w:val="22"/>
        </w:rPr>
        <w:t>9</w:t>
      </w:r>
      <w:r w:rsidRPr="002E557F">
        <w:rPr>
          <w:rFonts w:ascii="Times New Roman" w:hAnsi="Times New Roman" w:cs="Times New Roman"/>
          <w:sz w:val="22"/>
          <w:szCs w:val="22"/>
        </w:rPr>
        <w:t xml:space="preserve"> Potential </w:t>
      </w:r>
      <w:r w:rsidR="005449C1">
        <w:rPr>
          <w:rFonts w:ascii="Times New Roman" w:hAnsi="Times New Roman" w:cs="Times New Roman"/>
          <w:sz w:val="22"/>
          <w:szCs w:val="22"/>
        </w:rPr>
        <w:t>impacts</w:t>
      </w:r>
      <w:r w:rsidRPr="002E557F">
        <w:rPr>
          <w:rFonts w:ascii="Times New Roman" w:hAnsi="Times New Roman" w:cs="Times New Roman"/>
          <w:sz w:val="22"/>
          <w:szCs w:val="22"/>
        </w:rPr>
        <w:t xml:space="preserve"> to communities with environmental justice concerns</w:t>
      </w:r>
      <w:bookmarkEnd w:id="435"/>
      <w:bookmarkEnd w:id="436"/>
      <w:bookmarkEnd w:id="437"/>
      <w:bookmarkEnd w:id="438"/>
      <w:bookmarkEnd w:id="439"/>
    </w:p>
    <w:p w:rsidR="00B5047F" w:rsidP="00B5047F" w14:paraId="2CD36AD5" w14:textId="77777777">
      <w:pPr>
        <w:spacing w:after="0" w:line="240" w:lineRule="auto"/>
        <w:rPr>
          <w:rFonts w:ascii="Times New Roman" w:eastAsia="Times New Roman" w:hAnsi="Times New Roman" w:cs="Times New Roman"/>
        </w:rPr>
      </w:pPr>
      <w:r>
        <w:rPr>
          <w:rFonts w:ascii="Times New Roman" w:hAnsi="Times New Roman" w:cs="Times New Roman"/>
        </w:rPr>
        <w:tab/>
      </w:r>
      <w:r w:rsidRPr="002E42D7">
        <w:rPr>
          <w:rFonts w:ascii="Times New Roman" w:eastAsia="Times New Roman" w:hAnsi="Times New Roman" w:cs="Times New Roman"/>
        </w:rPr>
        <w:t xml:space="preserve">While EPA is unable to estimate the incremental changes in accident risks from the provisions </w:t>
      </w:r>
      <w:r w:rsidR="004C00CB">
        <w:rPr>
          <w:rFonts w:ascii="Times New Roman" w:eastAsia="Times New Roman" w:hAnsi="Times New Roman" w:cs="Times New Roman"/>
        </w:rPr>
        <w:t>of this final</w:t>
      </w:r>
      <w:r w:rsidR="00C92C4B">
        <w:rPr>
          <w:rFonts w:ascii="Times New Roman" w:eastAsia="Times New Roman" w:hAnsi="Times New Roman" w:cs="Times New Roman"/>
        </w:rPr>
        <w:t xml:space="preserve"> </w:t>
      </w:r>
      <w:r w:rsidRPr="002E42D7">
        <w:rPr>
          <w:rFonts w:ascii="Times New Roman" w:eastAsia="Times New Roman" w:hAnsi="Times New Roman" w:cs="Times New Roman"/>
        </w:rPr>
        <w:t xml:space="preserve">rule, the baseline distribution of population </w:t>
      </w:r>
      <w:r>
        <w:rPr>
          <w:rFonts w:ascii="Times New Roman" w:eastAsia="Times New Roman" w:hAnsi="Times New Roman" w:cs="Times New Roman"/>
        </w:rPr>
        <w:t>(</w:t>
      </w:r>
      <w:r w:rsidR="00312224">
        <w:rPr>
          <w:rFonts w:ascii="Times New Roman" w:eastAsia="Times New Roman" w:hAnsi="Times New Roman" w:cs="Times New Roman"/>
        </w:rPr>
        <w:t>see</w:t>
      </w:r>
      <w:r>
        <w:rPr>
          <w:rFonts w:ascii="Times New Roman" w:eastAsia="Times New Roman" w:hAnsi="Times New Roman" w:cs="Times New Roman"/>
        </w:rPr>
        <w:t xml:space="preserve"> Chapter 9) </w:t>
      </w:r>
      <w:r w:rsidRPr="002E42D7">
        <w:rPr>
          <w:rFonts w:ascii="Times New Roman" w:eastAsia="Times New Roman" w:hAnsi="Times New Roman" w:cs="Times New Roman"/>
        </w:rPr>
        <w:t xml:space="preserve">suggests that the benefits of the provisions may reduce potential exposure for historically </w:t>
      </w:r>
      <w:r w:rsidR="00374919">
        <w:rPr>
          <w:rFonts w:ascii="Times New Roman" w:eastAsia="Times New Roman" w:hAnsi="Times New Roman" w:cs="Times New Roman"/>
        </w:rPr>
        <w:t>vulnerable</w:t>
      </w:r>
      <w:r w:rsidRPr="002E42D7">
        <w:rPr>
          <w:rFonts w:ascii="Times New Roman" w:eastAsia="Times New Roman" w:hAnsi="Times New Roman" w:cs="Times New Roman"/>
        </w:rPr>
        <w:t xml:space="preserve"> populations. </w:t>
      </w:r>
      <w:r w:rsidR="00412154">
        <w:rPr>
          <w:rFonts w:ascii="Times New Roman" w:eastAsia="Times New Roman" w:hAnsi="Times New Roman" w:cs="Times New Roman"/>
        </w:rPr>
        <w:t>C</w:t>
      </w:r>
      <w:r w:rsidRPr="00326476" w:rsidR="00326476">
        <w:rPr>
          <w:rFonts w:ascii="Times New Roman" w:eastAsia="Times New Roman" w:hAnsi="Times New Roman" w:cs="Times New Roman"/>
        </w:rPr>
        <w:t xml:space="preserve">ommunities within one mile and three miles of RMP facilities have higher percentages of people belonging to historically </w:t>
      </w:r>
      <w:r w:rsidR="00482777">
        <w:rPr>
          <w:rFonts w:ascii="Times New Roman" w:eastAsia="Times New Roman" w:hAnsi="Times New Roman" w:cs="Times New Roman"/>
        </w:rPr>
        <w:t>vulnerable</w:t>
      </w:r>
      <w:r w:rsidRPr="00326476" w:rsidR="00326476">
        <w:rPr>
          <w:rFonts w:ascii="Times New Roman" w:eastAsia="Times New Roman" w:hAnsi="Times New Roman" w:cs="Times New Roman"/>
        </w:rPr>
        <w:t xml:space="preserve"> income, race, and ethnic groups compared to the national average. The disparity is even more acute when looking at RMP facilities classified under NAICS codes 324 and 325 or by number of accidents between 2016 and 2020. </w:t>
      </w:r>
      <w:r w:rsidR="001C7C66">
        <w:rPr>
          <w:rFonts w:ascii="Times New Roman" w:eastAsia="Times New Roman" w:hAnsi="Times New Roman" w:cs="Times New Roman"/>
        </w:rPr>
        <w:t>P</w:t>
      </w:r>
      <w:r w:rsidRPr="00326476" w:rsidR="00326476">
        <w:rPr>
          <w:rFonts w:ascii="Times New Roman" w:eastAsia="Times New Roman" w:hAnsi="Times New Roman" w:cs="Times New Roman"/>
        </w:rPr>
        <w:t xml:space="preserve">opulations living closer to RMP-regulated facilities are more likely to be exposed if an accidental release </w:t>
      </w:r>
      <w:r w:rsidR="00412154">
        <w:rPr>
          <w:rFonts w:ascii="Times New Roman" w:eastAsia="Times New Roman" w:hAnsi="Times New Roman" w:cs="Times New Roman"/>
        </w:rPr>
        <w:t xml:space="preserve">occurs </w:t>
      </w:r>
      <w:r w:rsidRPr="00326476" w:rsidR="00326476">
        <w:rPr>
          <w:rFonts w:ascii="Times New Roman" w:eastAsia="Times New Roman" w:hAnsi="Times New Roman" w:cs="Times New Roman"/>
        </w:rPr>
        <w:t>at an RMP facility</w:t>
      </w:r>
      <w:r w:rsidR="00412154">
        <w:rPr>
          <w:rFonts w:ascii="Times New Roman" w:eastAsia="Times New Roman" w:hAnsi="Times New Roman" w:cs="Times New Roman"/>
        </w:rPr>
        <w:t>.</w:t>
      </w:r>
      <w:r w:rsidRPr="00326476" w:rsidR="00326476">
        <w:rPr>
          <w:rFonts w:ascii="Times New Roman" w:eastAsia="Times New Roman" w:hAnsi="Times New Roman" w:cs="Times New Roman"/>
        </w:rPr>
        <w:t xml:space="preserve"> </w:t>
      </w:r>
      <w:r w:rsidR="001C7C66">
        <w:rPr>
          <w:rFonts w:ascii="Times New Roman" w:eastAsia="Times New Roman" w:hAnsi="Times New Roman" w:cs="Times New Roman"/>
        </w:rPr>
        <w:t>Thus</w:t>
      </w:r>
      <w:r w:rsidRPr="00326476" w:rsidR="00326476">
        <w:rPr>
          <w:rFonts w:ascii="Times New Roman" w:eastAsia="Times New Roman" w:hAnsi="Times New Roman" w:cs="Times New Roman"/>
        </w:rPr>
        <w:t xml:space="preserve">, these releases pose a greater risk to historically </w:t>
      </w:r>
      <w:r w:rsidR="00C13C5E">
        <w:rPr>
          <w:rFonts w:ascii="Times New Roman" w:eastAsia="Times New Roman" w:hAnsi="Times New Roman" w:cs="Times New Roman"/>
        </w:rPr>
        <w:t>vulnerable</w:t>
      </w:r>
      <w:r w:rsidRPr="00326476" w:rsidR="00326476">
        <w:rPr>
          <w:rFonts w:ascii="Times New Roman" w:eastAsia="Times New Roman" w:hAnsi="Times New Roman" w:cs="Times New Roman"/>
        </w:rPr>
        <w:t xml:space="preserve"> populations. Hence, EPA anticipates that provisions reducing the risk of these releases will benefit </w:t>
      </w:r>
      <w:r w:rsidR="00DE7FC2">
        <w:rPr>
          <w:rFonts w:ascii="Times New Roman" w:eastAsia="Times New Roman" w:hAnsi="Times New Roman" w:cs="Times New Roman"/>
        </w:rPr>
        <w:t>vulnerable</w:t>
      </w:r>
      <w:r w:rsidRPr="00326476" w:rsidR="00326476">
        <w:rPr>
          <w:rFonts w:ascii="Times New Roman" w:eastAsia="Times New Roman" w:hAnsi="Times New Roman" w:cs="Times New Roman"/>
        </w:rPr>
        <w:t xml:space="preserve"> populations.</w:t>
      </w:r>
      <w:r w:rsidR="00326476">
        <w:rPr>
          <w:rFonts w:ascii="Times New Roman" w:eastAsia="Times New Roman" w:hAnsi="Times New Roman" w:cs="Times New Roman"/>
        </w:rPr>
        <w:t xml:space="preserve"> </w:t>
      </w:r>
      <w:r w:rsidR="00660166">
        <w:rPr>
          <w:rFonts w:ascii="Times New Roman" w:eastAsia="Times New Roman" w:hAnsi="Times New Roman" w:cs="Times New Roman"/>
        </w:rPr>
        <w:t>S</w:t>
      </w:r>
      <w:r w:rsidRPr="002E42D7">
        <w:rPr>
          <w:rFonts w:ascii="Times New Roman" w:eastAsia="Times New Roman" w:hAnsi="Times New Roman" w:cs="Times New Roman"/>
        </w:rPr>
        <w:t xml:space="preserve">everal of the </w:t>
      </w:r>
      <w:r w:rsidR="004C00CB">
        <w:rPr>
          <w:rFonts w:ascii="Times New Roman" w:eastAsia="Times New Roman" w:hAnsi="Times New Roman" w:cs="Times New Roman"/>
        </w:rPr>
        <w:t>final rule</w:t>
      </w:r>
      <w:r w:rsidRPr="002E42D7" w:rsidR="004C00CB">
        <w:rPr>
          <w:rFonts w:ascii="Times New Roman" w:eastAsia="Times New Roman" w:hAnsi="Times New Roman" w:cs="Times New Roman"/>
        </w:rPr>
        <w:t xml:space="preserve"> </w:t>
      </w:r>
      <w:r w:rsidRPr="002E42D7">
        <w:rPr>
          <w:rFonts w:ascii="Times New Roman" w:eastAsia="Times New Roman" w:hAnsi="Times New Roman" w:cs="Times New Roman"/>
        </w:rPr>
        <w:t xml:space="preserve">provisions will </w:t>
      </w:r>
      <w:r w:rsidR="00660166">
        <w:rPr>
          <w:rFonts w:ascii="Times New Roman" w:eastAsia="Times New Roman" w:hAnsi="Times New Roman" w:cs="Times New Roman"/>
        </w:rPr>
        <w:t xml:space="preserve">prove especially </w:t>
      </w:r>
      <w:r w:rsidR="000709CE">
        <w:rPr>
          <w:rFonts w:ascii="Times New Roman" w:eastAsia="Times New Roman" w:hAnsi="Times New Roman" w:cs="Times New Roman"/>
        </w:rPr>
        <w:t>helpful,</w:t>
      </w:r>
      <w:r w:rsidRPr="002E42D7">
        <w:rPr>
          <w:rFonts w:ascii="Times New Roman" w:eastAsia="Times New Roman" w:hAnsi="Times New Roman" w:cs="Times New Roman"/>
        </w:rPr>
        <w:t xml:space="preserve"> including the stationary source siting requirements, increase</w:t>
      </w:r>
      <w:r w:rsidR="002953D2">
        <w:rPr>
          <w:rFonts w:ascii="Times New Roman" w:eastAsia="Times New Roman" w:hAnsi="Times New Roman" w:cs="Times New Roman"/>
        </w:rPr>
        <w:t>d</w:t>
      </w:r>
      <w:r w:rsidRPr="002E42D7">
        <w:rPr>
          <w:rFonts w:ascii="Times New Roman" w:eastAsia="Times New Roman" w:hAnsi="Times New Roman" w:cs="Times New Roman"/>
        </w:rPr>
        <w:t xml:space="preserve"> information availability for fenceline communities, backup power for perimeter monitoring, and community notification and related response planning improvements</w:t>
      </w:r>
      <w:r>
        <w:rPr>
          <w:rFonts w:ascii="Times New Roman" w:eastAsia="Times New Roman" w:hAnsi="Times New Roman" w:cs="Times New Roman"/>
        </w:rPr>
        <w:t>.</w:t>
      </w:r>
    </w:p>
    <w:p w:rsidR="00556BFE" w:rsidP="00B5047F" w14:paraId="45B631A3" w14:textId="77777777">
      <w:pPr>
        <w:spacing w:after="0" w:line="240" w:lineRule="auto"/>
        <w:rPr>
          <w:rFonts w:ascii="Times New Roman" w:hAnsi="Times New Roman" w:cs="Times New Roman"/>
        </w:rPr>
      </w:pPr>
      <w:r>
        <w:rPr>
          <w:rFonts w:ascii="Times New Roman" w:hAnsi="Times New Roman" w:cs="Times New Roman"/>
        </w:rPr>
        <w:t xml:space="preserve"> </w:t>
      </w:r>
    </w:p>
    <w:p w:rsidR="00711009" w:rsidP="00C07306" w14:paraId="799B2642" w14:textId="77777777">
      <w:pPr>
        <w:pStyle w:val="Heading2"/>
      </w:pPr>
      <w:bookmarkStart w:id="440" w:name="_Toc144303590"/>
      <w:bookmarkStart w:id="441" w:name="_Toc98856233"/>
      <w:r w:rsidRPr="00BF42A8">
        <w:t>6.</w:t>
      </w:r>
      <w:r w:rsidR="00E4674D">
        <w:t>3</w:t>
      </w:r>
      <w:r>
        <w:t xml:space="preserve"> Avoided</w:t>
      </w:r>
      <w:r w:rsidRPr="00BF42A8">
        <w:t xml:space="preserve"> Accident</w:t>
      </w:r>
      <w:r w:rsidRPr="00BF42A8">
        <w:rPr>
          <w:spacing w:val="-5"/>
        </w:rPr>
        <w:t xml:space="preserve"> </w:t>
      </w:r>
      <w:r w:rsidRPr="00BF42A8">
        <w:t>Impacts</w:t>
      </w:r>
      <w:r>
        <w:t xml:space="preserve">: </w:t>
      </w:r>
      <w:r w:rsidR="00A06590">
        <w:t xml:space="preserve">A Limited </w:t>
      </w:r>
      <w:r>
        <w:t>Breakeven Analysis</w:t>
      </w:r>
      <w:bookmarkEnd w:id="440"/>
    </w:p>
    <w:p w:rsidR="00B836C1" w:rsidP="00B836C1" w14:paraId="32419DF5" w14:textId="77777777">
      <w:pPr>
        <w:spacing w:after="0" w:line="240" w:lineRule="auto"/>
        <w:ind w:firstLine="720"/>
        <w:rPr>
          <w:rFonts w:ascii="Times New Roman" w:hAnsi="Times New Roman" w:cs="Times New Roman"/>
        </w:rPr>
      </w:pPr>
    </w:p>
    <w:p w:rsidR="004B5949" w:rsidP="004B5949" w14:paraId="36A26767" w14:textId="77777777">
      <w:pPr>
        <w:spacing w:after="0" w:line="240" w:lineRule="auto"/>
        <w:ind w:firstLine="720"/>
        <w:rPr>
          <w:rFonts w:ascii="Times New Roman" w:hAnsi="Times New Roman" w:cs="Times New Roman"/>
        </w:rPr>
      </w:pPr>
      <w:r>
        <w:rPr>
          <w:rFonts w:ascii="Times New Roman" w:hAnsi="Times New Roman" w:cs="Times New Roman"/>
        </w:rPr>
        <w:t>EPA expects the final rule to reduce accident risks across the spectrum of RMP facilities and accident categories. The rule requirements are targeted at reducing both the probability and the magnitude of the full range of accident types</w:t>
      </w:r>
      <w:r w:rsidRPr="00A02C18">
        <w:rPr>
          <w:rFonts w:ascii="Times New Roman" w:hAnsi="Times New Roman" w:cs="Times New Roman"/>
        </w:rPr>
        <w:t xml:space="preserve"> </w:t>
      </w:r>
      <w:r>
        <w:rPr>
          <w:rFonts w:ascii="Times New Roman" w:hAnsi="Times New Roman" w:cs="Times New Roman"/>
        </w:rPr>
        <w:t xml:space="preserve">regulated by the RMP program including fires, explosions, and releases of toxic vapors. Accident risks posed by the variety of RMP facilities in the numerous industries listed in Exhibit 3-1 should decrease, with larger impacts expected for P3 facilities and especially petroleum refineries and chemical manufacturers that meet the three conditions for STAA practicability and implementation requirements. EPA expects the provisions, especially the STAA provision, to ameliorate the upper end of the distribution of accident magnitudes so that the highest impact accidents are less likely. </w:t>
      </w:r>
    </w:p>
    <w:p w:rsidR="004B5949" w:rsidP="004B5949" w14:paraId="0F65B41C" w14:textId="77777777">
      <w:pPr>
        <w:spacing w:after="0" w:line="240" w:lineRule="auto"/>
        <w:ind w:firstLine="720"/>
        <w:rPr>
          <w:rFonts w:ascii="Times New Roman" w:hAnsi="Times New Roman" w:cs="Times New Roman"/>
        </w:rPr>
      </w:pPr>
    </w:p>
    <w:p w:rsidR="004B5949" w:rsidP="004B5949" w14:paraId="4BBB59E8" w14:textId="25B832BF">
      <w:pPr>
        <w:spacing w:after="0" w:line="240" w:lineRule="auto"/>
        <w:ind w:firstLine="720"/>
        <w:rPr>
          <w:rFonts w:ascii="Times New Roman" w:hAnsi="Times New Roman" w:cs="Times New Roman"/>
        </w:rPr>
      </w:pPr>
      <w:r>
        <w:rPr>
          <w:rFonts w:ascii="Times New Roman" w:hAnsi="Times New Roman" w:cs="Times New Roman"/>
        </w:rPr>
        <w:t>Section 3.2.5</w:t>
      </w:r>
      <w:r w:rsidRPr="00253BE0">
        <w:rPr>
          <w:rFonts w:ascii="Times New Roman" w:hAnsi="Times New Roman" w:cs="Times New Roman"/>
        </w:rPr>
        <w:t xml:space="preserve"> describes the number and </w:t>
      </w:r>
      <w:r>
        <w:rPr>
          <w:rFonts w:ascii="Times New Roman" w:hAnsi="Times New Roman" w:cs="Times New Roman"/>
        </w:rPr>
        <w:t>impacts</w:t>
      </w:r>
      <w:r w:rsidRPr="00253BE0">
        <w:rPr>
          <w:rFonts w:ascii="Times New Roman" w:hAnsi="Times New Roman" w:cs="Times New Roman"/>
        </w:rPr>
        <w:t xml:space="preserve"> of accidents currently associated with RMP facilities based on </w:t>
      </w:r>
      <w:r>
        <w:rPr>
          <w:rFonts w:ascii="Times New Roman" w:hAnsi="Times New Roman" w:cs="Times New Roman"/>
        </w:rPr>
        <w:t xml:space="preserve">their self-reported accident histories over 2016 to 2020. A limited set of accident impacts are monetized. These monetized values range from a </w:t>
      </w:r>
      <w:r w:rsidRPr="00AC174C">
        <w:rPr>
          <w:rFonts w:ascii="Times New Roman" w:hAnsi="Times New Roman" w:cs="Times New Roman"/>
        </w:rPr>
        <w:t>low of $10</w:t>
      </w:r>
      <w:r>
        <w:rPr>
          <w:rFonts w:ascii="Times New Roman" w:hAnsi="Times New Roman" w:cs="Times New Roman"/>
        </w:rPr>
        <w:t>0</w:t>
      </w:r>
      <w:r w:rsidRPr="00AC174C">
        <w:rPr>
          <w:rFonts w:ascii="Times New Roman" w:hAnsi="Times New Roman" w:cs="Times New Roman"/>
        </w:rPr>
        <w:t xml:space="preserve"> to a high of $</w:t>
      </w:r>
      <w:r>
        <w:rPr>
          <w:rFonts w:ascii="Times New Roman" w:hAnsi="Times New Roman" w:cs="Times New Roman"/>
        </w:rPr>
        <w:t>700</w:t>
      </w:r>
      <w:r w:rsidRPr="00AC174C">
        <w:rPr>
          <w:rFonts w:ascii="Times New Roman" w:hAnsi="Times New Roman" w:cs="Times New Roman"/>
        </w:rPr>
        <w:t xml:space="preserve"> million</w:t>
      </w:r>
      <w:r>
        <w:rPr>
          <w:rFonts w:ascii="Times New Roman" w:hAnsi="Times New Roman" w:cs="Times New Roman"/>
        </w:rPr>
        <w:t xml:space="preserve"> for a single accident. Important to note is that t</w:t>
      </w:r>
      <w:r w:rsidRPr="00253BE0">
        <w:rPr>
          <w:rFonts w:ascii="Times New Roman" w:hAnsi="Times New Roman" w:cs="Times New Roman"/>
        </w:rPr>
        <w:t>hese</w:t>
      </w:r>
      <w:r>
        <w:rPr>
          <w:rFonts w:ascii="Times New Roman" w:hAnsi="Times New Roman" w:cs="Times New Roman"/>
        </w:rPr>
        <w:t xml:space="preserve"> monetized</w:t>
      </w:r>
      <w:r w:rsidRPr="00253BE0">
        <w:rPr>
          <w:rFonts w:ascii="Times New Roman" w:hAnsi="Times New Roman" w:cs="Times New Roman"/>
        </w:rPr>
        <w:t xml:space="preserve"> accident</w:t>
      </w:r>
      <w:r>
        <w:rPr>
          <w:rFonts w:ascii="Times New Roman" w:hAnsi="Times New Roman" w:cs="Times New Roman"/>
        </w:rPr>
        <w:t xml:space="preserve"> impacts</w:t>
      </w:r>
      <w:r w:rsidRPr="00253BE0">
        <w:rPr>
          <w:rFonts w:ascii="Times New Roman" w:hAnsi="Times New Roman" w:cs="Times New Roman"/>
        </w:rPr>
        <w:t xml:space="preserve"> do not </w:t>
      </w:r>
      <w:r>
        <w:rPr>
          <w:rFonts w:ascii="Times New Roman" w:hAnsi="Times New Roman" w:cs="Times New Roman"/>
        </w:rPr>
        <w:t>reflect</w:t>
      </w:r>
      <w:r w:rsidRPr="00253BE0">
        <w:rPr>
          <w:rFonts w:ascii="Times New Roman" w:hAnsi="Times New Roman" w:cs="Times New Roman"/>
        </w:rPr>
        <w:t xml:space="preserve"> a major catastrophe</w:t>
      </w:r>
      <w:r>
        <w:rPr>
          <w:rFonts w:ascii="Times New Roman" w:hAnsi="Times New Roman" w:cs="Times New Roman"/>
        </w:rPr>
        <w:t xml:space="preserve"> (a low probability but very high consequence accident). However, the final rule provisions are expected to reduce the likelihood that one would occur. </w:t>
      </w:r>
    </w:p>
    <w:p w:rsidR="004B5949" w:rsidP="004B5949" w14:paraId="6D74FAE9" w14:textId="77777777">
      <w:pPr>
        <w:spacing w:after="0" w:line="240" w:lineRule="auto"/>
        <w:ind w:firstLine="720"/>
        <w:rPr>
          <w:rFonts w:ascii="Times New Roman" w:hAnsi="Times New Roman" w:cs="Times New Roman"/>
        </w:rPr>
      </w:pPr>
    </w:p>
    <w:p w:rsidR="004B5949" w:rsidP="004B5949" w14:paraId="3BCAB07C" w14:textId="756B09F1">
      <w:pPr>
        <w:spacing w:after="0" w:line="240" w:lineRule="auto"/>
        <w:ind w:firstLine="720"/>
        <w:rPr>
          <w:rFonts w:ascii="Times New Roman" w:hAnsi="Times New Roman" w:cs="Times New Roman"/>
        </w:rPr>
      </w:pPr>
      <w:r>
        <w:rPr>
          <w:rFonts w:ascii="Times New Roman" w:hAnsi="Times New Roman" w:cs="Times New Roman"/>
        </w:rPr>
        <w:t xml:space="preserve">While data constraints prevent EPA from conducting a benefit-cost analysis of the final rule, to provide insight into the trade-off between the costs and benefits of the final rule provisions, this RIA presents </w:t>
      </w:r>
      <w:r w:rsidR="00BF1E8D">
        <w:rPr>
          <w:rFonts w:ascii="Times New Roman" w:hAnsi="Times New Roman" w:cs="Times New Roman"/>
        </w:rPr>
        <w:t>a limited</w:t>
      </w:r>
      <w:r>
        <w:rPr>
          <w:rFonts w:ascii="Times New Roman" w:hAnsi="Times New Roman" w:cs="Times New Roman"/>
        </w:rPr>
        <w:t xml:space="preserve"> breakeven analysis consisting of a simple comparison between the estimated annualized costs of the rule and the limited set of monetized baseline accident impacts. The results of this analysis should be viewed with caution. The annualized costs of the final rule (at a 3 percent discount rate) are estimated as $257 million, while average annual monetized accident impacts based on self-reported RMP facility data are estimated as $540 million. Important to note is that many baseline accident impacts are not reflected in the $540 million baseline accident cost estimate, yet these additional unmonetized impacts are expected to be avoided as a benefit of the final provisions. These impacts include taxpayer-funded responder costs, transaction costs for parties affected by the accident, property value reductions in nearby neighborhoods (which reflect the risks to residents</w:t>
      </w:r>
      <w:r>
        <w:rPr>
          <w:rStyle w:val="FootnoteReference"/>
          <w:rFonts w:ascii="Times New Roman" w:hAnsi="Times New Roman" w:cs="Times New Roman"/>
        </w:rPr>
        <w:footnoteReference w:id="161"/>
      </w:r>
      <w:r>
        <w:rPr>
          <w:rFonts w:ascii="Times New Roman" w:hAnsi="Times New Roman" w:cs="Times New Roman"/>
        </w:rPr>
        <w:t xml:space="preserve">), unmonetized costs of evacuations and sheltering-in-place, the costs of potential health </w:t>
      </w:r>
      <w:r w:rsidR="008B1319">
        <w:rPr>
          <w:rFonts w:ascii="Times New Roman" w:hAnsi="Times New Roman" w:cs="Times New Roman"/>
        </w:rPr>
        <w:t xml:space="preserve">risks from exposure to toxic </w:t>
      </w:r>
      <w:r w:rsidR="008B1319">
        <w:rPr>
          <w:rFonts w:ascii="Times New Roman" w:hAnsi="Times New Roman" w:cs="Times New Roman"/>
        </w:rPr>
        <w:t>chemicals</w:t>
      </w:r>
      <w:r>
        <w:rPr>
          <w:rFonts w:ascii="Times New Roman" w:hAnsi="Times New Roman" w:cs="Times New Roman"/>
        </w:rPr>
        <w:t xml:space="preserve">, and more. The $540 million estimate also does not reflect the full set of baseline inefficiencies that will be improved due to the improved information offered by several of the final provisions such as the community notification requirements and the back-up power for monitors. Finally, as explained above, the baseline estimate of costs does not include a major catastrophic loss. In light of these numerous unmonetized impacts, the estimate of baseline costs potentially reduced by the final rule is only partial. </w:t>
      </w:r>
    </w:p>
    <w:p w:rsidR="004B5949" w:rsidP="004B5949" w14:paraId="69E157FE" w14:textId="77777777">
      <w:pPr>
        <w:spacing w:after="0" w:line="240" w:lineRule="auto"/>
        <w:ind w:firstLine="720"/>
        <w:rPr>
          <w:rFonts w:ascii="Times New Roman" w:hAnsi="Times New Roman" w:cs="Times New Roman"/>
        </w:rPr>
      </w:pPr>
    </w:p>
    <w:p w:rsidR="004B5949" w:rsidP="004B5949" w14:paraId="04F9880A" w14:textId="1C8FFEF3">
      <w:pPr>
        <w:spacing w:after="0" w:line="240" w:lineRule="auto"/>
        <w:ind w:firstLine="360"/>
        <w:rPr>
          <w:rFonts w:ascii="Times New Roman" w:hAnsi="Times New Roman" w:cs="Times New Roman"/>
        </w:rPr>
      </w:pPr>
      <w:r>
        <w:rPr>
          <w:rFonts w:ascii="Times New Roman" w:hAnsi="Times New Roman" w:cs="Times New Roman"/>
        </w:rPr>
        <w:tab/>
        <w:t xml:space="preserve">For a sense of the potential magnitude of omitted baseline accident costs, consider estimates of the property value impacts of an RMP facility accident discussed in Section </w:t>
      </w:r>
      <w:r w:rsidRPr="00A03476">
        <w:rPr>
          <w:rFonts w:ascii="Times New Roman" w:hAnsi="Times New Roman" w:cs="Times New Roman"/>
        </w:rPr>
        <w:t xml:space="preserve">6.2.6 </w:t>
      </w:r>
      <w:r w:rsidRPr="00A03476" w:rsidR="00DF0952">
        <w:rPr>
          <w:rFonts w:ascii="Times New Roman" w:hAnsi="Times New Roman" w:cs="Times New Roman"/>
        </w:rPr>
        <w:t>and productivity losses discussed in Section 6.2.3</w:t>
      </w:r>
      <w:r w:rsidRPr="00A03476" w:rsidR="00A03E77">
        <w:rPr>
          <w:rFonts w:ascii="Times New Roman" w:hAnsi="Times New Roman" w:cs="Times New Roman"/>
        </w:rPr>
        <w:t xml:space="preserve"> </w:t>
      </w:r>
      <w:r w:rsidRPr="00A03476">
        <w:rPr>
          <w:rFonts w:ascii="Times New Roman" w:hAnsi="Times New Roman" w:cs="Times New Roman"/>
        </w:rPr>
        <w:t>above. A recent nationwide hedonic property value analysis focused specifically on the impact of RMP facility accidents on residential property values (Guignet et al. 2023b).</w:t>
      </w:r>
      <w:r>
        <w:rPr>
          <w:rStyle w:val="FootnoteReference"/>
          <w:rFonts w:ascii="Times New Roman" w:hAnsi="Times New Roman" w:cs="Times New Roman"/>
        </w:rPr>
        <w:footnoteReference w:id="162"/>
      </w:r>
      <w:r w:rsidRPr="00A03476">
        <w:rPr>
          <w:rFonts w:ascii="Times New Roman" w:hAnsi="Times New Roman" w:cs="Times New Roman"/>
        </w:rPr>
        <w:t xml:space="preserve"> The research concluded that accidents with reported offsite impacts reduced the values of homes located within 5.75 km (3.57 miles) by two to three percent and that on average, the lower values persisted for about a decade. The study estimated an average loss of $5,350 per home in 2021 year values. Across the communities near the 661 facilities that experienced an offsite impact accident during the study period covering transactions between 2004 and 2019, Guignet et al. (2023b) calculated a total loss of $39.5 billion. </w:t>
      </w:r>
      <w:r w:rsidRPr="00A03476" w:rsidR="007E394E">
        <w:rPr>
          <w:rFonts w:ascii="Times New Roman" w:hAnsi="Times New Roman" w:cs="Times New Roman"/>
        </w:rPr>
        <w:t>As for productivity losses, a Marsh 2016 report observed that business interruption insurance claims in the energy sector were typically 2</w:t>
      </w:r>
      <w:r w:rsidRPr="00A03476" w:rsidR="008E6410">
        <w:rPr>
          <w:rFonts w:ascii="Times New Roman" w:hAnsi="Times New Roman" w:cs="Times New Roman"/>
        </w:rPr>
        <w:t xml:space="preserve"> to </w:t>
      </w:r>
      <w:r w:rsidRPr="00A03476" w:rsidR="007E394E">
        <w:rPr>
          <w:rFonts w:ascii="Times New Roman" w:hAnsi="Times New Roman" w:cs="Times New Roman"/>
        </w:rPr>
        <w:t>3 times a facility’s property loss value.</w:t>
      </w:r>
      <w:r>
        <w:rPr>
          <w:rStyle w:val="FootnoteReference"/>
          <w:rFonts w:ascii="Times New Roman" w:hAnsi="Times New Roman" w:cs="Times New Roman"/>
        </w:rPr>
        <w:footnoteReference w:id="163"/>
      </w:r>
      <w:r w:rsidRPr="00A03476" w:rsidR="007E394E">
        <w:rPr>
          <w:rFonts w:ascii="Times New Roman" w:hAnsi="Times New Roman" w:cs="Times New Roman"/>
        </w:rPr>
        <w:t xml:space="preserve"> Applying such a multipl</w:t>
      </w:r>
      <w:r w:rsidRPr="00A03476" w:rsidR="009B1A33">
        <w:rPr>
          <w:rFonts w:ascii="Times New Roman" w:hAnsi="Times New Roman" w:cs="Times New Roman"/>
        </w:rPr>
        <w:t>ier</w:t>
      </w:r>
      <w:r w:rsidRPr="00A03476" w:rsidR="007E394E">
        <w:rPr>
          <w:rFonts w:ascii="Times New Roman" w:hAnsi="Times New Roman" w:cs="Times New Roman"/>
        </w:rPr>
        <w:t xml:space="preserve"> to the annual average onsite property damages of $455 million over the 5-year period of 2016 to 2020 from RMP-related accidents included in this analysis, the annual average productivity losses would be $909 million (using a factor of 2) to $1.364 billion (using a factor of 3).</w:t>
      </w:r>
      <w:r w:rsidRPr="00697169">
        <w:rPr>
          <w:rFonts w:ascii="Times New Roman" w:hAnsi="Times New Roman" w:cs="Times New Roman"/>
        </w:rPr>
        <w:t xml:space="preserve"> </w:t>
      </w:r>
    </w:p>
    <w:p w:rsidR="004B5949" w:rsidP="004B5949" w14:paraId="73E49629" w14:textId="77777777">
      <w:pPr>
        <w:spacing w:after="0" w:line="240" w:lineRule="auto"/>
        <w:ind w:firstLine="360"/>
        <w:rPr>
          <w:rFonts w:ascii="Times New Roman" w:hAnsi="Times New Roman" w:cs="Times New Roman"/>
        </w:rPr>
      </w:pPr>
    </w:p>
    <w:p w:rsidR="004B5949" w:rsidRPr="00AE32BE" w:rsidP="004B5949" w14:paraId="23619B62" w14:textId="53601BB8">
      <w:pPr>
        <w:ind w:firstLine="720"/>
        <w:rPr>
          <w:rFonts w:ascii="Times New Roman" w:hAnsi="Times New Roman" w:cs="Times New Roman"/>
        </w:rPr>
      </w:pPr>
      <w:r>
        <w:rPr>
          <w:rFonts w:ascii="Times New Roman" w:hAnsi="Times New Roman" w:cs="Times New Roman"/>
        </w:rPr>
        <w:t>Keeping in mind the noted omissions from the $540 million estimate of annualized baseline accident impacts, th</w:t>
      </w:r>
      <w:r w:rsidRPr="00C2275C">
        <w:rPr>
          <w:rFonts w:ascii="Times New Roman" w:hAnsi="Times New Roman" w:cs="Times New Roman"/>
        </w:rPr>
        <w:t xml:space="preserve">e </w:t>
      </w:r>
      <w:r>
        <w:rPr>
          <w:rFonts w:ascii="Times New Roman" w:hAnsi="Times New Roman" w:cs="Times New Roman"/>
        </w:rPr>
        <w:t>final</w:t>
      </w:r>
      <w:r w:rsidRPr="00C2275C">
        <w:rPr>
          <w:rFonts w:ascii="Times New Roman" w:hAnsi="Times New Roman" w:cs="Times New Roman"/>
        </w:rPr>
        <w:t xml:space="preserve"> rule </w:t>
      </w:r>
      <w:r>
        <w:rPr>
          <w:rFonts w:ascii="Times New Roman" w:hAnsi="Times New Roman" w:cs="Times New Roman"/>
        </w:rPr>
        <w:t>will</w:t>
      </w:r>
      <w:r w:rsidRPr="00C2275C">
        <w:rPr>
          <w:rFonts w:ascii="Times New Roman" w:hAnsi="Times New Roman" w:cs="Times New Roman"/>
        </w:rPr>
        <w:t xml:space="preserve"> need to reduce damages valued </w:t>
      </w:r>
      <w:r w:rsidRPr="001A0503">
        <w:rPr>
          <w:rFonts w:ascii="Times New Roman" w:hAnsi="Times New Roman" w:cs="Times New Roman"/>
        </w:rPr>
        <w:t>at approximately $</w:t>
      </w:r>
      <w:r>
        <w:rPr>
          <w:rFonts w:ascii="Times New Roman" w:hAnsi="Times New Roman" w:cs="Times New Roman"/>
        </w:rPr>
        <w:t>2</w:t>
      </w:r>
      <w:r w:rsidRPr="001A0503">
        <w:rPr>
          <w:rFonts w:ascii="Times New Roman" w:hAnsi="Times New Roman" w:cs="Times New Roman"/>
        </w:rPr>
        <w:t xml:space="preserve"> </w:t>
      </w:r>
      <w:r>
        <w:rPr>
          <w:rFonts w:ascii="Times New Roman" w:hAnsi="Times New Roman" w:cs="Times New Roman"/>
        </w:rPr>
        <w:t>b</w:t>
      </w:r>
      <w:r w:rsidRPr="001A0503">
        <w:rPr>
          <w:rFonts w:ascii="Times New Roman" w:hAnsi="Times New Roman" w:cs="Times New Roman"/>
        </w:rPr>
        <w:t xml:space="preserve">illion over any number of future accidents to achieve breakeven. </w:t>
      </w:r>
      <w:r>
        <w:rPr>
          <w:rFonts w:ascii="Times New Roman" w:hAnsi="Times New Roman" w:cs="Times New Roman"/>
        </w:rPr>
        <w:t>Given the estimated $257 million annualized rule costs, if accident impacts are reduced by at least $257 million annually, the benefits of the rule will break even with its costs. This could mean the prevention or mitigation of a single high cost accident such as the $700 million high end accident in the 2016 to 2020 period. Or, a</w:t>
      </w:r>
      <w:r w:rsidRPr="0E8A0FAD">
        <w:rPr>
          <w:rFonts w:ascii="Times New Roman" w:hAnsi="Times New Roman" w:cs="Times New Roman"/>
        </w:rPr>
        <w:t xml:space="preserve">lternatively, </w:t>
      </w:r>
      <w:r>
        <w:rPr>
          <w:rFonts w:ascii="Times New Roman" w:hAnsi="Times New Roman" w:cs="Times New Roman"/>
        </w:rPr>
        <w:t xml:space="preserve">considering </w:t>
      </w:r>
      <w:r w:rsidRPr="0E8A0FAD">
        <w:rPr>
          <w:rFonts w:ascii="Times New Roman" w:hAnsi="Times New Roman" w:cs="Times New Roman"/>
        </w:rPr>
        <w:t>an estimated number of annual accidents of about 100</w:t>
      </w:r>
      <w:r>
        <w:rPr>
          <w:rFonts w:ascii="Times New Roman" w:hAnsi="Times New Roman" w:cs="Times New Roman"/>
        </w:rPr>
        <w:t xml:space="preserve"> (see </w:t>
      </w:r>
      <w:r w:rsidRPr="0088694C">
        <w:rPr>
          <w:rFonts w:ascii="Times New Roman" w:hAnsi="Times New Roman" w:cs="Times New Roman"/>
        </w:rPr>
        <w:t>Exhibit 3-</w:t>
      </w:r>
      <w:r>
        <w:rPr>
          <w:rFonts w:ascii="Times New Roman" w:hAnsi="Times New Roman" w:cs="Times New Roman"/>
        </w:rPr>
        <w:t>11) with an average cost of $5.5 million each and ignoring unquantified accident impacts</w:t>
      </w:r>
      <w:r w:rsidRPr="0E8A0FAD">
        <w:rPr>
          <w:rFonts w:ascii="Times New Roman" w:hAnsi="Times New Roman" w:cs="Times New Roman"/>
        </w:rPr>
        <w:t xml:space="preserve">, </w:t>
      </w:r>
      <w:r>
        <w:rPr>
          <w:rFonts w:ascii="Times New Roman" w:hAnsi="Times New Roman" w:cs="Times New Roman"/>
        </w:rPr>
        <w:t>it could mean the prevention of 47 or fewer</w:t>
      </w:r>
      <w:r w:rsidRPr="0E8A0FAD">
        <w:rPr>
          <w:rFonts w:ascii="Times New Roman" w:hAnsi="Times New Roman" w:cs="Times New Roman"/>
        </w:rPr>
        <w:t xml:space="preserve"> accidents per year</w:t>
      </w:r>
      <w:r>
        <w:rPr>
          <w:rFonts w:ascii="Times New Roman" w:hAnsi="Times New Roman" w:cs="Times New Roman"/>
        </w:rPr>
        <w:t xml:space="preserve"> with the number fewer depending on the value of unmonetized and information benefits.</w:t>
      </w:r>
    </w:p>
    <w:p w:rsidR="00B529ED" w:rsidP="00C16436" w14:paraId="0148BFDF" w14:textId="334D757C">
      <w:pPr>
        <w:spacing w:after="0" w:line="240" w:lineRule="auto"/>
        <w:ind w:firstLine="720"/>
        <w:rPr>
          <w:rFonts w:ascii="Times New Roman" w:hAnsi="Times New Roman" w:cs="Times New Roman"/>
        </w:rPr>
      </w:pPr>
      <w:r>
        <w:rPr>
          <w:rFonts w:ascii="Times New Roman" w:hAnsi="Times New Roman" w:cs="Times New Roman"/>
        </w:rPr>
        <w:t xml:space="preserve">As the range of monetized accident impacts suggests (from $100 to $700 million for 2016 to 2020), the variation in monetized damages is substantial. </w:t>
      </w:r>
      <w:r w:rsidR="00D477E7">
        <w:rPr>
          <w:rFonts w:ascii="Times New Roman" w:hAnsi="Times New Roman" w:cs="Times New Roman"/>
        </w:rPr>
        <w:t xml:space="preserve"> </w:t>
      </w:r>
      <w:r w:rsidRPr="00AE32BE" w:rsidR="00D477E7">
        <w:rPr>
          <w:rFonts w:ascii="Times New Roman" w:hAnsi="Times New Roman" w:cs="Times New Roman"/>
        </w:rPr>
        <w:t xml:space="preserve">The estimates of monetized accident damages for the time periods </w:t>
      </w:r>
      <w:r>
        <w:rPr>
          <w:rFonts w:ascii="Times New Roman" w:hAnsi="Times New Roman" w:cs="Times New Roman"/>
        </w:rPr>
        <w:t xml:space="preserve">for two prior RMP rules </w:t>
      </w:r>
      <w:r w:rsidRPr="00AE32BE" w:rsidR="00D477E7">
        <w:rPr>
          <w:rFonts w:ascii="Times New Roman" w:hAnsi="Times New Roman" w:cs="Times New Roman"/>
        </w:rPr>
        <w:t xml:space="preserve">give lower </w:t>
      </w:r>
      <w:r>
        <w:rPr>
          <w:rFonts w:ascii="Times New Roman" w:hAnsi="Times New Roman" w:cs="Times New Roman"/>
        </w:rPr>
        <w:t>averages</w:t>
      </w:r>
      <w:r w:rsidR="003405AF">
        <w:rPr>
          <w:rFonts w:ascii="Times New Roman" w:hAnsi="Times New Roman" w:cs="Times New Roman"/>
        </w:rPr>
        <w:t>.</w:t>
      </w:r>
      <w:r w:rsidRPr="00AE32BE" w:rsidR="00D477E7">
        <w:rPr>
          <w:rFonts w:ascii="Times New Roman" w:hAnsi="Times New Roman" w:cs="Times New Roman"/>
        </w:rPr>
        <w:t xml:space="preserve"> </w:t>
      </w:r>
      <w:r w:rsidR="003405AF">
        <w:rPr>
          <w:rFonts w:ascii="Times New Roman" w:hAnsi="Times New Roman" w:cs="Times New Roman"/>
        </w:rPr>
        <w:t>F</w:t>
      </w:r>
      <w:r w:rsidRPr="00AE32BE" w:rsidR="00D477E7">
        <w:rPr>
          <w:rFonts w:ascii="Times New Roman" w:hAnsi="Times New Roman" w:cs="Times New Roman"/>
        </w:rPr>
        <w:t xml:space="preserve">or example, the average </w:t>
      </w:r>
      <w:r w:rsidRPr="00F432CA" w:rsidR="00D477E7">
        <w:rPr>
          <w:rFonts w:ascii="Times New Roman" w:hAnsi="Times New Roman" w:cs="Times New Roman"/>
        </w:rPr>
        <w:t>per year is $47</w:t>
      </w:r>
      <w:r w:rsidRPr="00F432CA" w:rsidR="003405AF">
        <w:rPr>
          <w:rFonts w:ascii="Times New Roman" w:hAnsi="Times New Roman" w:cs="Times New Roman"/>
        </w:rPr>
        <w:t>3</w:t>
      </w:r>
      <w:r w:rsidRPr="00F432CA" w:rsidR="00714986">
        <w:rPr>
          <w:rFonts w:ascii="Times New Roman" w:hAnsi="Times New Roman" w:cs="Times New Roman"/>
        </w:rPr>
        <w:t>.2</w:t>
      </w:r>
      <w:r w:rsidRPr="00F432CA" w:rsidR="00D477E7">
        <w:rPr>
          <w:rFonts w:ascii="Times New Roman" w:hAnsi="Times New Roman" w:cs="Times New Roman"/>
        </w:rPr>
        <w:t xml:space="preserve"> million for 2004 to 2013 and is $441.7 million for 2014 to 2016. The average per accident is $2.</w:t>
      </w:r>
      <w:r w:rsidRPr="00F432CA" w:rsidR="00064187">
        <w:rPr>
          <w:rFonts w:ascii="Times New Roman" w:hAnsi="Times New Roman" w:cs="Times New Roman"/>
        </w:rPr>
        <w:t>9</w:t>
      </w:r>
      <w:r w:rsidRPr="00F432CA" w:rsidR="00D477E7">
        <w:rPr>
          <w:rFonts w:ascii="Times New Roman" w:hAnsi="Times New Roman" w:cs="Times New Roman"/>
        </w:rPr>
        <w:t xml:space="preserve"> million for 2004</w:t>
      </w:r>
      <w:r w:rsidRPr="00AE32BE" w:rsidR="00D477E7">
        <w:rPr>
          <w:rFonts w:ascii="Times New Roman" w:hAnsi="Times New Roman" w:cs="Times New Roman"/>
        </w:rPr>
        <w:t xml:space="preserve"> to 2013 and is $</w:t>
      </w:r>
      <w:r w:rsidR="00D477E7">
        <w:rPr>
          <w:rFonts w:ascii="Times New Roman" w:hAnsi="Times New Roman" w:cs="Times New Roman"/>
        </w:rPr>
        <w:t>3.2</w:t>
      </w:r>
      <w:r w:rsidRPr="00AE32BE" w:rsidR="00D477E7">
        <w:rPr>
          <w:rFonts w:ascii="Times New Roman" w:hAnsi="Times New Roman" w:cs="Times New Roman"/>
        </w:rPr>
        <w:t xml:space="preserve"> million for 2014 to 2016.</w:t>
      </w:r>
      <w:r>
        <w:rPr>
          <w:rStyle w:val="FootnoteReference"/>
          <w:rFonts w:ascii="Times New Roman" w:hAnsi="Times New Roman" w:cs="Times New Roman"/>
        </w:rPr>
        <w:footnoteReference w:id="164"/>
      </w:r>
    </w:p>
    <w:p w:rsidR="00D477E7" w:rsidP="00DA58FF" w14:paraId="678CFC50" w14:textId="77777777">
      <w:pPr>
        <w:spacing w:after="0" w:line="240" w:lineRule="auto"/>
        <w:ind w:firstLine="720"/>
        <w:rPr>
          <w:rFonts w:ascii="Times New Roman" w:hAnsi="Times New Roman" w:cs="Times New Roman"/>
        </w:rPr>
      </w:pPr>
    </w:p>
    <w:p w:rsidR="00D33D0A" w:rsidRPr="00CB6A1E" w:rsidP="00D33D0A" w14:paraId="2C9B15A4" w14:textId="0A6FC228">
      <w:pPr>
        <w:spacing w:after="0" w:line="240" w:lineRule="auto"/>
        <w:ind w:firstLine="720"/>
        <w:rPr>
          <w:rFonts w:ascii="Times New Roman" w:hAnsi="Times New Roman" w:cs="Times New Roman"/>
        </w:rPr>
      </w:pPr>
      <w:r>
        <w:rPr>
          <w:rFonts w:ascii="Times New Roman" w:hAnsi="Times New Roman" w:cs="Times New Roman"/>
        </w:rPr>
        <w:t>Also o</w:t>
      </w:r>
      <w:r w:rsidRPr="004A4EA1">
        <w:rPr>
          <w:rFonts w:ascii="Times New Roman" w:hAnsi="Times New Roman" w:cs="Times New Roman"/>
        </w:rPr>
        <w:t xml:space="preserve">f note is the timing of costs incurred to comply with the rule versus the timing of benefits. </w:t>
      </w:r>
      <w:r w:rsidRPr="00CB6A1E">
        <w:rPr>
          <w:rFonts w:ascii="Times New Roman" w:hAnsi="Times New Roman" w:cs="Times New Roman"/>
        </w:rPr>
        <w:t>The rule</w:t>
      </w:r>
      <w:r w:rsidRPr="00CB6A1E" w:rsidR="00F23D78">
        <w:rPr>
          <w:rFonts w:ascii="Times New Roman" w:hAnsi="Times New Roman" w:cs="Times New Roman"/>
        </w:rPr>
        <w:t>’</w:t>
      </w:r>
      <w:r w:rsidRPr="00CB6A1E">
        <w:rPr>
          <w:rFonts w:ascii="Times New Roman" w:hAnsi="Times New Roman" w:cs="Times New Roman"/>
        </w:rPr>
        <w:t xml:space="preserve">s benefits of accident prevention and mitigation and improved information occur only after the costs incurred to implement provisions; in other words, the costs incurred today lead to benefits experienced at a later time. </w:t>
      </w:r>
      <w:r w:rsidRPr="00CB6A1E" w:rsidR="0083364F">
        <w:rPr>
          <w:rFonts w:ascii="Times New Roman" w:hAnsi="Times New Roman" w:cs="Times New Roman"/>
        </w:rPr>
        <w:t>In some cases</w:t>
      </w:r>
      <w:r w:rsidR="00B03944">
        <w:rPr>
          <w:rFonts w:ascii="Times New Roman" w:hAnsi="Times New Roman" w:cs="Times New Roman"/>
        </w:rPr>
        <w:t>,</w:t>
      </w:r>
      <w:r w:rsidRPr="00CB6A1E" w:rsidR="0083364F">
        <w:rPr>
          <w:rFonts w:ascii="Times New Roman" w:hAnsi="Times New Roman" w:cs="Times New Roman"/>
        </w:rPr>
        <w:t xml:space="preserve"> the benefits may be experienced almost immediately and in other cases</w:t>
      </w:r>
      <w:r w:rsidR="00B03944">
        <w:rPr>
          <w:rFonts w:ascii="Times New Roman" w:hAnsi="Times New Roman" w:cs="Times New Roman"/>
        </w:rPr>
        <w:t>, they</w:t>
      </w:r>
      <w:r w:rsidR="00AC4942">
        <w:rPr>
          <w:rFonts w:ascii="Times New Roman" w:hAnsi="Times New Roman" w:cs="Times New Roman"/>
        </w:rPr>
        <w:t xml:space="preserve"> may occur</w:t>
      </w:r>
      <w:r w:rsidRPr="00CB6A1E">
        <w:rPr>
          <w:rFonts w:ascii="Times New Roman" w:hAnsi="Times New Roman" w:cs="Times New Roman"/>
        </w:rPr>
        <w:t xml:space="preserve"> many years later. For example, ensuring a community notification system is in place would be expected to result in benefits as soon as the next need for an emergency response occurs but may still provide a benefit to emergency response even a few years later. On the other hand, STAA initial evaluation and practicability assessment costs would be expected to begin resulting in accident prevention and mitigation benefits only after a facility implements risk reduction measures in response to the analyses, which may be years after the facility incurs the cost of conducting the </w:t>
      </w:r>
      <w:r w:rsidRPr="00CB6A1E" w:rsidR="00E31A1B">
        <w:rPr>
          <w:rFonts w:ascii="Times New Roman" w:hAnsi="Times New Roman" w:cs="Times New Roman"/>
        </w:rPr>
        <w:t>analyses but</w:t>
      </w:r>
      <w:r w:rsidRPr="00CB6A1E">
        <w:rPr>
          <w:rFonts w:ascii="Times New Roman" w:hAnsi="Times New Roman" w:cs="Times New Roman"/>
        </w:rPr>
        <w:t xml:space="preserve"> would be expected to continue reducing accident risks for many more years to come.</w:t>
      </w:r>
    </w:p>
    <w:p w:rsidR="00D33D0A" w:rsidRPr="00CB6A1E" w:rsidP="00D33D0A" w14:paraId="549A09C5" w14:textId="77777777">
      <w:pPr>
        <w:spacing w:after="0" w:line="240" w:lineRule="auto"/>
        <w:ind w:firstLine="720"/>
        <w:rPr>
          <w:rFonts w:ascii="Times New Roman" w:hAnsi="Times New Roman" w:cs="Times New Roman"/>
        </w:rPr>
      </w:pPr>
    </w:p>
    <w:p w:rsidR="006105AC" w:rsidP="006105AC" w14:paraId="3C42CE04" w14:textId="41F14FFF">
      <w:pPr>
        <w:spacing w:after="0" w:line="240" w:lineRule="auto"/>
        <w:ind w:firstLine="720"/>
        <w:rPr>
          <w:rFonts w:ascii="Times New Roman" w:hAnsi="Times New Roman" w:cs="Times New Roman"/>
        </w:rPr>
      </w:pPr>
      <w:r w:rsidRPr="00CB6A1E">
        <w:rPr>
          <w:rFonts w:ascii="Times New Roman" w:hAnsi="Times New Roman" w:cs="Times New Roman"/>
        </w:rPr>
        <w:t>Conceptually, these future benefits should be discounted similarly to how future costs are discounted. This would imply that achieving average annualized benefits of $257 million for the rule to break even within the 10-year period of analysis may require preventing slightly more than an annual average of 47 or fewer accidents, depending on how much more concentrated in later years benefits are than are costs. However, the role of timing also implies that the rule could break even within a longer period of analysis with fewer than 47 or fewer annual accidents prevented if benefits consistently exceed costs in the years following the initial decade.</w:t>
      </w:r>
      <w:r w:rsidRPr="004A4EA1">
        <w:rPr>
          <w:rFonts w:ascii="Times New Roman" w:hAnsi="Times New Roman" w:cs="Times New Roman"/>
        </w:rPr>
        <w:t>.</w:t>
      </w:r>
    </w:p>
    <w:p w:rsidR="006105AC" w:rsidP="006105AC" w14:paraId="2E015B49" w14:textId="77777777">
      <w:pPr>
        <w:spacing w:after="0" w:line="240" w:lineRule="auto"/>
        <w:ind w:firstLine="720"/>
        <w:rPr>
          <w:rFonts w:ascii="Times New Roman" w:hAnsi="Times New Roman" w:cs="Times New Roman"/>
        </w:rPr>
      </w:pPr>
    </w:p>
    <w:p w:rsidR="006105AC" w:rsidRPr="00AE32BE" w:rsidP="00700665" w14:paraId="69E637E8" w14:textId="10FE27A4">
      <w:pPr>
        <w:spacing w:after="0" w:line="240" w:lineRule="auto"/>
        <w:ind w:firstLine="720"/>
        <w:rPr>
          <w:rFonts w:ascii="Times New Roman" w:hAnsi="Times New Roman" w:cs="Times New Roman"/>
        </w:rPr>
      </w:pPr>
      <w:r w:rsidRPr="00AE32BE">
        <w:rPr>
          <w:rFonts w:ascii="Times New Roman" w:hAnsi="Times New Roman" w:cs="Times New Roman"/>
        </w:rPr>
        <w:t xml:space="preserve">When considering the rule’s likely benefits </w:t>
      </w:r>
      <w:r w:rsidR="00AE7FD7">
        <w:rPr>
          <w:rFonts w:ascii="Times New Roman" w:hAnsi="Times New Roman" w:cs="Times New Roman"/>
        </w:rPr>
        <w:t>that</w:t>
      </w:r>
      <w:r w:rsidRPr="00AE32BE">
        <w:rPr>
          <w:rFonts w:ascii="Times New Roman" w:hAnsi="Times New Roman" w:cs="Times New Roman"/>
        </w:rPr>
        <w:t xml:space="preserve"> </w:t>
      </w:r>
      <w:r>
        <w:rPr>
          <w:rFonts w:ascii="Times New Roman" w:hAnsi="Times New Roman" w:cs="Times New Roman"/>
        </w:rPr>
        <w:t>a</w:t>
      </w:r>
      <w:r w:rsidRPr="00AE32BE">
        <w:rPr>
          <w:rFonts w:ascii="Times New Roman" w:hAnsi="Times New Roman" w:cs="Times New Roman"/>
        </w:rPr>
        <w:t xml:space="preserve"> portion of the monetized accident impacts</w:t>
      </w:r>
      <w:r w:rsidR="00AE7FD7">
        <w:rPr>
          <w:rFonts w:ascii="Times New Roman" w:hAnsi="Times New Roman" w:cs="Times New Roman"/>
        </w:rPr>
        <w:t xml:space="preserve"> would be avoided</w:t>
      </w:r>
      <w:r w:rsidRPr="00AE32BE">
        <w:rPr>
          <w:rFonts w:ascii="Times New Roman" w:hAnsi="Times New Roman" w:cs="Times New Roman"/>
        </w:rPr>
        <w:t xml:space="preserve">, as well as additional </w:t>
      </w:r>
      <w:r w:rsidR="00AE7FD7">
        <w:rPr>
          <w:rFonts w:ascii="Times New Roman" w:hAnsi="Times New Roman" w:cs="Times New Roman"/>
        </w:rPr>
        <w:t>un</w:t>
      </w:r>
      <w:r w:rsidRPr="00AE32BE" w:rsidR="00AE7FD7">
        <w:rPr>
          <w:rFonts w:ascii="Times New Roman" w:hAnsi="Times New Roman" w:cs="Times New Roman"/>
        </w:rPr>
        <w:t xml:space="preserve">monetized </w:t>
      </w:r>
      <w:r>
        <w:rPr>
          <w:rFonts w:ascii="Times New Roman" w:hAnsi="Times New Roman" w:cs="Times New Roman"/>
        </w:rPr>
        <w:t>accident impacts</w:t>
      </w:r>
      <w:r w:rsidR="00AE7FD7">
        <w:rPr>
          <w:rFonts w:ascii="Times New Roman" w:hAnsi="Times New Roman" w:cs="Times New Roman"/>
        </w:rPr>
        <w:t>,</w:t>
      </w:r>
      <w:r w:rsidR="00700665">
        <w:rPr>
          <w:rFonts w:ascii="Times New Roman" w:hAnsi="Times New Roman" w:cs="Times New Roman"/>
        </w:rPr>
        <w:t xml:space="preserve"> information benefits, and avoided risks of catastrophe as</w:t>
      </w:r>
      <w:r w:rsidRPr="00AE32BE">
        <w:rPr>
          <w:rFonts w:ascii="Times New Roman" w:hAnsi="Times New Roman" w:cs="Times New Roman"/>
        </w:rPr>
        <w:t xml:space="preserve"> described </w:t>
      </w:r>
      <w:r>
        <w:rPr>
          <w:rFonts w:ascii="Times New Roman" w:hAnsi="Times New Roman" w:cs="Times New Roman"/>
        </w:rPr>
        <w:t>above</w:t>
      </w:r>
      <w:r w:rsidRPr="00AE32BE">
        <w:rPr>
          <w:rFonts w:ascii="Times New Roman" w:hAnsi="Times New Roman" w:cs="Times New Roman"/>
        </w:rPr>
        <w:t>, EPA believes the costs of the rule are reasonable in comparison to anticipated benefits.</w:t>
      </w:r>
    </w:p>
    <w:p w:rsidR="00711009" w:rsidRPr="00BF42A8" w:rsidP="00700665" w14:paraId="03AF8089" w14:textId="77777777">
      <w:pPr>
        <w:spacing w:after="0" w:line="240" w:lineRule="auto"/>
        <w:rPr>
          <w:rFonts w:ascii="Times New Roman" w:hAnsi="Times New Roman" w:cs="Times New Roman"/>
        </w:rPr>
      </w:pPr>
      <w:r>
        <w:rPr>
          <w:rFonts w:ascii="Times New Roman" w:hAnsi="Times New Roman" w:cs="Times New Roman"/>
        </w:rPr>
        <w:tab/>
      </w:r>
    </w:p>
    <w:p w:rsidR="00E93325" w:rsidRPr="00BF42A8" w:rsidP="00C07306" w14:paraId="7EE2ACB5" w14:textId="77777777">
      <w:pPr>
        <w:pStyle w:val="Heading2"/>
      </w:pPr>
      <w:bookmarkStart w:id="442" w:name="_Toc144303591"/>
      <w:r w:rsidRPr="00BF42A8">
        <w:t>6.</w:t>
      </w:r>
      <w:r w:rsidR="00E4674D">
        <w:t>4</w:t>
      </w:r>
      <w:r w:rsidRPr="00BF42A8">
        <w:t xml:space="preserve"> Conclusions</w:t>
      </w:r>
      <w:bookmarkEnd w:id="441"/>
      <w:bookmarkEnd w:id="442"/>
    </w:p>
    <w:p w:rsidR="00595B61" w:rsidP="00964C0A" w14:paraId="5A0180E4" w14:textId="77777777">
      <w:pPr>
        <w:spacing w:after="0" w:line="240" w:lineRule="auto"/>
        <w:ind w:firstLine="360"/>
        <w:rPr>
          <w:rFonts w:ascii="Times New Roman" w:hAnsi="Times New Roman" w:cs="Times New Roman"/>
        </w:rPr>
      </w:pPr>
      <w:r>
        <w:rPr>
          <w:rFonts w:ascii="Times New Roman" w:hAnsi="Times New Roman" w:cs="Times New Roman"/>
        </w:rPr>
        <w:tab/>
      </w:r>
    </w:p>
    <w:p w:rsidR="00170A38" w:rsidP="00964C0A" w14:paraId="59088AA6" w14:textId="4BCACB97">
      <w:pPr>
        <w:spacing w:after="0" w:line="240" w:lineRule="auto"/>
        <w:ind w:firstLine="360"/>
        <w:rPr>
          <w:rFonts w:ascii="Times New Roman" w:hAnsi="Times New Roman" w:cs="Times New Roman"/>
        </w:rPr>
      </w:pPr>
      <w:r w:rsidRPr="00BF42A8">
        <w:rPr>
          <w:rFonts w:ascii="Times New Roman" w:hAnsi="Times New Roman" w:cs="Times New Roman"/>
        </w:rPr>
        <w:t xml:space="preserve">EPA is unable </w:t>
      </w:r>
      <w:r w:rsidRPr="00BF42A8" w:rsidR="00E93325">
        <w:rPr>
          <w:rFonts w:ascii="Times New Roman" w:hAnsi="Times New Roman" w:cs="Times New Roman"/>
        </w:rPr>
        <w:t xml:space="preserve">to estimate quantitative benefits for the </w:t>
      </w:r>
      <w:r w:rsidR="0063267E">
        <w:rPr>
          <w:rFonts w:ascii="Times New Roman" w:hAnsi="Times New Roman" w:cs="Times New Roman"/>
        </w:rPr>
        <w:t>final</w:t>
      </w:r>
      <w:r w:rsidRPr="00BF42A8" w:rsidR="0063267E">
        <w:rPr>
          <w:rFonts w:ascii="Times New Roman" w:hAnsi="Times New Roman" w:cs="Times New Roman"/>
        </w:rPr>
        <w:t xml:space="preserve"> </w:t>
      </w:r>
      <w:r w:rsidRPr="00BF42A8" w:rsidR="00E93325">
        <w:rPr>
          <w:rFonts w:ascii="Times New Roman" w:hAnsi="Times New Roman" w:cs="Times New Roman"/>
        </w:rPr>
        <w:t xml:space="preserve">rule </w:t>
      </w:r>
      <w:r w:rsidRPr="00BF42A8">
        <w:rPr>
          <w:rFonts w:ascii="Times New Roman" w:hAnsi="Times New Roman" w:cs="Times New Roman"/>
        </w:rPr>
        <w:t>because</w:t>
      </w:r>
      <w:r w:rsidRPr="00BF42A8" w:rsidR="00E93325">
        <w:rPr>
          <w:rFonts w:ascii="Times New Roman" w:hAnsi="Times New Roman" w:cs="Times New Roman"/>
        </w:rPr>
        <w:t xml:space="preserve"> </w:t>
      </w:r>
      <w:r w:rsidRPr="00BF42A8">
        <w:rPr>
          <w:rFonts w:ascii="Times New Roman" w:hAnsi="Times New Roman" w:cs="Times New Roman"/>
        </w:rPr>
        <w:t>the agency</w:t>
      </w:r>
      <w:r w:rsidRPr="00BF42A8" w:rsidR="00E93325">
        <w:rPr>
          <w:rFonts w:ascii="Times New Roman" w:hAnsi="Times New Roman" w:cs="Times New Roman"/>
        </w:rPr>
        <w:t xml:space="preserve"> has no data to project the specific impact on </w:t>
      </w:r>
      <w:r w:rsidRPr="00BF42A8">
        <w:rPr>
          <w:rFonts w:ascii="Times New Roman" w:hAnsi="Times New Roman" w:cs="Times New Roman"/>
        </w:rPr>
        <w:t xml:space="preserve">potential future </w:t>
      </w:r>
      <w:r w:rsidRPr="00BF42A8" w:rsidR="00E93325">
        <w:rPr>
          <w:rFonts w:ascii="Times New Roman" w:hAnsi="Times New Roman" w:cs="Times New Roman"/>
        </w:rPr>
        <w:t xml:space="preserve">accidents </w:t>
      </w:r>
      <w:r w:rsidRPr="00BF42A8">
        <w:rPr>
          <w:rFonts w:ascii="Times New Roman" w:hAnsi="Times New Roman" w:cs="Times New Roman"/>
        </w:rPr>
        <w:t xml:space="preserve">of </w:t>
      </w:r>
      <w:r w:rsidRPr="00BF42A8" w:rsidR="00E93325">
        <w:rPr>
          <w:rFonts w:ascii="Times New Roman" w:hAnsi="Times New Roman" w:cs="Times New Roman"/>
        </w:rPr>
        <w:t xml:space="preserve">each </w:t>
      </w:r>
      <w:r w:rsidR="0063267E">
        <w:rPr>
          <w:rFonts w:ascii="Times New Roman" w:hAnsi="Times New Roman" w:cs="Times New Roman"/>
        </w:rPr>
        <w:t>final</w:t>
      </w:r>
      <w:r w:rsidRPr="00BF42A8" w:rsidR="0063267E">
        <w:rPr>
          <w:rFonts w:ascii="Times New Roman" w:hAnsi="Times New Roman" w:cs="Times New Roman"/>
        </w:rPr>
        <w:t xml:space="preserve"> </w:t>
      </w:r>
      <w:r w:rsidRPr="00BF42A8" w:rsidR="00E93325">
        <w:rPr>
          <w:rFonts w:ascii="Times New Roman" w:hAnsi="Times New Roman" w:cs="Times New Roman"/>
        </w:rPr>
        <w:t xml:space="preserve">rule provision. </w:t>
      </w:r>
      <w:r w:rsidRPr="00BF42A8" w:rsidR="00B60603">
        <w:rPr>
          <w:rFonts w:ascii="Times New Roman" w:hAnsi="Times New Roman" w:cs="Times New Roman"/>
        </w:rPr>
        <w:t>As the data show, past</w:t>
      </w:r>
      <w:r w:rsidRPr="00BF42A8" w:rsidR="00E93325">
        <w:rPr>
          <w:rFonts w:ascii="Times New Roman" w:hAnsi="Times New Roman" w:cs="Times New Roman"/>
        </w:rPr>
        <w:t xml:space="preserve"> accidents </w:t>
      </w:r>
      <w:r w:rsidR="00EC7904">
        <w:rPr>
          <w:rFonts w:ascii="Times New Roman" w:hAnsi="Times New Roman" w:cs="Times New Roman"/>
        </w:rPr>
        <w:t>have generated</w:t>
      </w:r>
      <w:r w:rsidRPr="00BF42A8" w:rsidR="00E93325">
        <w:rPr>
          <w:rFonts w:ascii="Times New Roman" w:hAnsi="Times New Roman" w:cs="Times New Roman"/>
        </w:rPr>
        <w:t xml:space="preserve"> highly variable impacts</w:t>
      </w:r>
      <w:r w:rsidR="00EC10F6">
        <w:rPr>
          <w:rFonts w:ascii="Times New Roman" w:hAnsi="Times New Roman" w:cs="Times New Roman"/>
        </w:rPr>
        <w:t>,</w:t>
      </w:r>
      <w:r w:rsidRPr="00BF42A8" w:rsidR="00E93325">
        <w:rPr>
          <w:rFonts w:ascii="Times New Roman" w:hAnsi="Times New Roman" w:cs="Times New Roman"/>
        </w:rPr>
        <w:t xml:space="preserve"> </w:t>
      </w:r>
      <w:r w:rsidRPr="00BF42A8" w:rsidR="00B60603">
        <w:rPr>
          <w:rFonts w:ascii="Times New Roman" w:hAnsi="Times New Roman" w:cs="Times New Roman"/>
        </w:rPr>
        <w:t xml:space="preserve">so the impacts of future accidents </w:t>
      </w:r>
      <w:r w:rsidRPr="00BF42A8" w:rsidR="00E93325">
        <w:rPr>
          <w:rFonts w:ascii="Times New Roman" w:hAnsi="Times New Roman" w:cs="Times New Roman"/>
        </w:rPr>
        <w:t xml:space="preserve">are difficult to predict. However, it is clear from the RMP accident data and other data, such as </w:t>
      </w:r>
      <w:r w:rsidR="00D54213">
        <w:rPr>
          <w:rFonts w:ascii="Times New Roman" w:hAnsi="Times New Roman" w:cs="Times New Roman"/>
        </w:rPr>
        <w:t>hedonic property value analyses and the data</w:t>
      </w:r>
      <w:r w:rsidRPr="00BF42A8" w:rsidR="00E93325">
        <w:rPr>
          <w:rFonts w:ascii="Times New Roman" w:hAnsi="Times New Roman" w:cs="Times New Roman"/>
        </w:rPr>
        <w:t xml:space="preserve"> reported by Marsh, that chemical accidents can impose substantial costs on firms, employees, emergency responders, the community, and the broader economy.</w:t>
      </w:r>
      <w:r>
        <w:rPr>
          <w:rStyle w:val="FootnoteReference"/>
          <w:rFonts w:ascii="Times New Roman" w:hAnsi="Times New Roman" w:cs="Times New Roman"/>
        </w:rPr>
        <w:footnoteReference w:id="165"/>
      </w:r>
      <w:r w:rsidRPr="00BF42A8" w:rsidR="00E93325">
        <w:rPr>
          <w:rFonts w:ascii="Times New Roman" w:hAnsi="Times New Roman" w:cs="Times New Roman"/>
        </w:rPr>
        <w:t xml:space="preserve"> </w:t>
      </w:r>
      <w:r w:rsidRPr="00BF42A8">
        <w:rPr>
          <w:rFonts w:ascii="Times New Roman" w:hAnsi="Times New Roman" w:cs="Times New Roman"/>
        </w:rPr>
        <w:t>T</w:t>
      </w:r>
      <w:r w:rsidRPr="00BF42A8" w:rsidR="00E93325">
        <w:rPr>
          <w:rFonts w:ascii="Times New Roman" w:hAnsi="Times New Roman" w:cs="Times New Roman"/>
        </w:rPr>
        <w:t xml:space="preserve">he </w:t>
      </w:r>
      <w:r w:rsidR="009B6FFA">
        <w:rPr>
          <w:rFonts w:ascii="Times New Roman" w:hAnsi="Times New Roman" w:cs="Times New Roman"/>
        </w:rPr>
        <w:t>final</w:t>
      </w:r>
      <w:r w:rsidRPr="00BF42A8">
        <w:rPr>
          <w:rFonts w:ascii="Times New Roman" w:hAnsi="Times New Roman" w:cs="Times New Roman"/>
        </w:rPr>
        <w:t xml:space="preserve"> rule’s objective</w:t>
      </w:r>
      <w:r w:rsidR="00852599">
        <w:rPr>
          <w:rFonts w:ascii="Times New Roman" w:hAnsi="Times New Roman" w:cs="Times New Roman"/>
        </w:rPr>
        <w:t>s to</w:t>
      </w:r>
      <w:r w:rsidRPr="00BF42A8">
        <w:rPr>
          <w:rFonts w:ascii="Times New Roman" w:hAnsi="Times New Roman" w:cs="Times New Roman"/>
        </w:rPr>
        <w:t xml:space="preserve"> reduc</w:t>
      </w:r>
      <w:r w:rsidR="00852599">
        <w:rPr>
          <w:rFonts w:ascii="Times New Roman" w:hAnsi="Times New Roman" w:cs="Times New Roman"/>
        </w:rPr>
        <w:t>e</w:t>
      </w:r>
      <w:r w:rsidRPr="00BF42A8" w:rsidR="00E93325">
        <w:rPr>
          <w:rFonts w:ascii="Times New Roman" w:hAnsi="Times New Roman" w:cs="Times New Roman"/>
        </w:rPr>
        <w:t xml:space="preserve"> risk</w:t>
      </w:r>
      <w:r w:rsidR="00C47D3F">
        <w:rPr>
          <w:rFonts w:ascii="Times New Roman" w:hAnsi="Times New Roman" w:cs="Times New Roman"/>
        </w:rPr>
        <w:t>s across</w:t>
      </w:r>
      <w:r w:rsidRPr="00BF42A8" w:rsidR="00E93325">
        <w:rPr>
          <w:rFonts w:ascii="Times New Roman" w:hAnsi="Times New Roman" w:cs="Times New Roman"/>
        </w:rPr>
        <w:t xml:space="preserve"> the </w:t>
      </w:r>
      <w:r w:rsidR="006D33BB">
        <w:rPr>
          <w:rFonts w:ascii="Times New Roman" w:hAnsi="Times New Roman" w:cs="Times New Roman"/>
        </w:rPr>
        <w:t>range</w:t>
      </w:r>
      <w:r w:rsidRPr="00BF42A8" w:rsidR="00E93325">
        <w:rPr>
          <w:rFonts w:ascii="Times New Roman" w:hAnsi="Times New Roman" w:cs="Times New Roman"/>
        </w:rPr>
        <w:t xml:space="preserve"> of </w:t>
      </w:r>
      <w:r w:rsidR="00CD2435">
        <w:rPr>
          <w:rFonts w:ascii="Times New Roman" w:hAnsi="Times New Roman" w:cs="Times New Roman"/>
        </w:rPr>
        <w:t xml:space="preserve">RMP </w:t>
      </w:r>
      <w:r w:rsidRPr="00BF42A8" w:rsidR="00E93325">
        <w:rPr>
          <w:rFonts w:ascii="Times New Roman" w:hAnsi="Times New Roman" w:cs="Times New Roman"/>
        </w:rPr>
        <w:t>accident</w:t>
      </w:r>
      <w:r w:rsidR="00CD2435">
        <w:rPr>
          <w:rFonts w:ascii="Times New Roman" w:hAnsi="Times New Roman" w:cs="Times New Roman"/>
        </w:rPr>
        <w:t xml:space="preserve"> types</w:t>
      </w:r>
      <w:r w:rsidRPr="00BF42A8" w:rsidR="00E93325">
        <w:rPr>
          <w:rFonts w:ascii="Times New Roman" w:hAnsi="Times New Roman" w:cs="Times New Roman"/>
        </w:rPr>
        <w:t xml:space="preserve"> and the </w:t>
      </w:r>
      <w:r w:rsidR="00CD2435">
        <w:rPr>
          <w:rFonts w:ascii="Times New Roman" w:hAnsi="Times New Roman" w:cs="Times New Roman"/>
        </w:rPr>
        <w:t>spectrum of RMP facilities</w:t>
      </w:r>
      <w:r w:rsidR="00C47D3F">
        <w:rPr>
          <w:rFonts w:ascii="Times New Roman" w:hAnsi="Times New Roman" w:cs="Times New Roman"/>
        </w:rPr>
        <w:t>,</w:t>
      </w:r>
      <w:r w:rsidR="00CD2435">
        <w:rPr>
          <w:rFonts w:ascii="Times New Roman" w:hAnsi="Times New Roman" w:cs="Times New Roman"/>
        </w:rPr>
        <w:t xml:space="preserve"> </w:t>
      </w:r>
      <w:r w:rsidR="00C47D3F">
        <w:rPr>
          <w:rFonts w:ascii="Times New Roman" w:hAnsi="Times New Roman" w:cs="Times New Roman"/>
        </w:rPr>
        <w:t>reduc</w:t>
      </w:r>
      <w:r w:rsidR="00852599">
        <w:rPr>
          <w:rFonts w:ascii="Times New Roman" w:hAnsi="Times New Roman" w:cs="Times New Roman"/>
        </w:rPr>
        <w:t>e</w:t>
      </w:r>
      <w:r w:rsidRPr="00BF42A8" w:rsidR="00E93325">
        <w:rPr>
          <w:rFonts w:ascii="Times New Roman" w:hAnsi="Times New Roman" w:cs="Times New Roman"/>
        </w:rPr>
        <w:t xml:space="preserve"> the severity of impacts when accidents </w:t>
      </w:r>
      <w:r w:rsidR="00852599">
        <w:rPr>
          <w:rFonts w:ascii="Times New Roman" w:hAnsi="Times New Roman" w:cs="Times New Roman"/>
        </w:rPr>
        <w:t>do</w:t>
      </w:r>
      <w:r w:rsidRPr="00BF42A8" w:rsidR="00E93325">
        <w:rPr>
          <w:rFonts w:ascii="Times New Roman" w:hAnsi="Times New Roman" w:cs="Times New Roman"/>
        </w:rPr>
        <w:t xml:space="preserve"> occur, and improv</w:t>
      </w:r>
      <w:r w:rsidR="00852599">
        <w:rPr>
          <w:rFonts w:ascii="Times New Roman" w:hAnsi="Times New Roman" w:cs="Times New Roman"/>
        </w:rPr>
        <w:t>e</w:t>
      </w:r>
      <w:r w:rsidRPr="00BF42A8" w:rsidR="00E93325">
        <w:rPr>
          <w:rFonts w:ascii="Times New Roman" w:hAnsi="Times New Roman" w:cs="Times New Roman"/>
        </w:rPr>
        <w:t xml:space="preserve"> information </w:t>
      </w:r>
      <w:r w:rsidR="00EC7904">
        <w:rPr>
          <w:rFonts w:ascii="Times New Roman" w:hAnsi="Times New Roman" w:cs="Times New Roman"/>
        </w:rPr>
        <w:t>availab</w:t>
      </w:r>
      <w:r w:rsidR="00852599">
        <w:rPr>
          <w:rFonts w:ascii="Times New Roman" w:hAnsi="Times New Roman" w:cs="Times New Roman"/>
        </w:rPr>
        <w:t>le</w:t>
      </w:r>
      <w:r w:rsidR="00EC7904">
        <w:rPr>
          <w:rFonts w:ascii="Times New Roman" w:hAnsi="Times New Roman" w:cs="Times New Roman"/>
        </w:rPr>
        <w:t xml:space="preserve"> to the public</w:t>
      </w:r>
      <w:r w:rsidRPr="00BF42A8" w:rsidR="00E93325">
        <w:rPr>
          <w:rFonts w:ascii="Times New Roman" w:hAnsi="Times New Roman" w:cs="Times New Roman"/>
        </w:rPr>
        <w:t xml:space="preserve">, </w:t>
      </w:r>
      <w:r w:rsidR="009837FF">
        <w:rPr>
          <w:rFonts w:ascii="Times New Roman" w:hAnsi="Times New Roman" w:cs="Times New Roman"/>
        </w:rPr>
        <w:t>will</w:t>
      </w:r>
      <w:r w:rsidRPr="00BF42A8">
        <w:rPr>
          <w:rFonts w:ascii="Times New Roman" w:hAnsi="Times New Roman" w:cs="Times New Roman"/>
        </w:rPr>
        <w:t xml:space="preserve"> </w:t>
      </w:r>
      <w:r w:rsidRPr="00BF42A8" w:rsidR="00E93325">
        <w:rPr>
          <w:rFonts w:ascii="Times New Roman" w:hAnsi="Times New Roman" w:cs="Times New Roman"/>
        </w:rPr>
        <w:t xml:space="preserve">provide </w:t>
      </w:r>
      <w:r w:rsidR="0000587F">
        <w:rPr>
          <w:rFonts w:ascii="Times New Roman" w:hAnsi="Times New Roman" w:cs="Times New Roman"/>
        </w:rPr>
        <w:t xml:space="preserve">substantial </w:t>
      </w:r>
      <w:r w:rsidRPr="00BF42A8" w:rsidR="00E93325">
        <w:rPr>
          <w:rFonts w:ascii="Times New Roman" w:hAnsi="Times New Roman" w:cs="Times New Roman"/>
        </w:rPr>
        <w:t xml:space="preserve">benefits to potentially affected members of </w:t>
      </w:r>
      <w:r w:rsidR="00EC7904">
        <w:rPr>
          <w:rFonts w:ascii="Times New Roman" w:hAnsi="Times New Roman" w:cs="Times New Roman"/>
        </w:rPr>
        <w:t>the public.</w:t>
      </w:r>
    </w:p>
    <w:p w:rsidR="0072688F" w:rsidP="00AC4942" w14:paraId="37BBD58D" w14:textId="77777777">
      <w:pPr>
        <w:tabs>
          <w:tab w:val="left" w:pos="6770"/>
        </w:tabs>
        <w:spacing w:after="0" w:line="240" w:lineRule="auto"/>
        <w:ind w:firstLine="360"/>
        <w:rPr>
          <w:rFonts w:ascii="Times New Roman" w:hAnsi="Times New Roman" w:cs="Times New Roman"/>
        </w:rPr>
      </w:pPr>
      <w:r>
        <w:rPr>
          <w:rFonts w:ascii="Times New Roman" w:hAnsi="Times New Roman" w:cs="Times New Roman"/>
        </w:rPr>
        <w:tab/>
      </w:r>
    </w:p>
    <w:p w:rsidR="00E93325" w:rsidP="000E6E0F" w14:paraId="3BFC547F" w14:textId="77777777">
      <w:pPr>
        <w:spacing w:after="0" w:line="240" w:lineRule="auto"/>
        <w:ind w:firstLine="360"/>
        <w:rPr>
          <w:rFonts w:ascii="Times New Roman" w:hAnsi="Times New Roman" w:cs="Times New Roman"/>
        </w:rPr>
      </w:pPr>
      <w:r>
        <w:rPr>
          <w:rFonts w:ascii="Times New Roman" w:hAnsi="Times New Roman" w:cs="Times New Roman"/>
        </w:rPr>
        <w:tab/>
      </w:r>
      <w:r w:rsidRPr="00BF42A8">
        <w:rPr>
          <w:rFonts w:ascii="Times New Roman" w:hAnsi="Times New Roman" w:cs="Times New Roman"/>
        </w:rPr>
        <w:t>Exhibit 6-</w:t>
      </w:r>
      <w:r w:rsidR="00D36706">
        <w:rPr>
          <w:rFonts w:ascii="Times New Roman" w:hAnsi="Times New Roman" w:cs="Times New Roman"/>
        </w:rPr>
        <w:t>3</w:t>
      </w:r>
      <w:r w:rsidRPr="00BF42A8">
        <w:rPr>
          <w:rFonts w:ascii="Times New Roman" w:hAnsi="Times New Roman" w:cs="Times New Roman"/>
        </w:rPr>
        <w:t xml:space="preserve"> summarizes the benefit or accident cost categories described in this chapter. </w:t>
      </w:r>
      <w:r w:rsidRPr="00BF42A8" w:rsidR="00170A38">
        <w:rPr>
          <w:rFonts w:ascii="Times New Roman" w:hAnsi="Times New Roman" w:cs="Times New Roman"/>
        </w:rPr>
        <w:t>F</w:t>
      </w:r>
      <w:r w:rsidRPr="00BF42A8">
        <w:rPr>
          <w:rFonts w:ascii="Times New Roman" w:hAnsi="Times New Roman" w:cs="Times New Roman"/>
        </w:rPr>
        <w:t xml:space="preserve">our broad benefit categories </w:t>
      </w:r>
      <w:r w:rsidRPr="00BF42A8" w:rsidR="00170A38">
        <w:rPr>
          <w:rFonts w:ascii="Times New Roman" w:hAnsi="Times New Roman" w:cs="Times New Roman"/>
        </w:rPr>
        <w:t>are</w:t>
      </w:r>
      <w:r w:rsidRPr="00BF42A8">
        <w:rPr>
          <w:rFonts w:ascii="Times New Roman" w:hAnsi="Times New Roman" w:cs="Times New Roman"/>
        </w:rPr>
        <w:t xml:space="preserve"> related to accident prevention and mitigation including RMP accidents, non-RMP accidents at RMP facilities, and potential major catastrophes. The exhibit explains each and identifies ten associated specific benefit categories. Exhibit 6-</w:t>
      </w:r>
      <w:r w:rsidR="0088694C">
        <w:rPr>
          <w:rFonts w:ascii="Times New Roman" w:hAnsi="Times New Roman" w:cs="Times New Roman"/>
        </w:rPr>
        <w:t>3</w:t>
      </w:r>
      <w:r w:rsidRPr="00BF42A8">
        <w:rPr>
          <w:rFonts w:ascii="Times New Roman" w:hAnsi="Times New Roman" w:cs="Times New Roman"/>
        </w:rPr>
        <w:t xml:space="preserve"> also highlights and explains the </w:t>
      </w:r>
      <w:r w:rsidRPr="00BF42A8" w:rsidR="00A91A23">
        <w:rPr>
          <w:rFonts w:ascii="Times New Roman" w:hAnsi="Times New Roman" w:cs="Times New Roman"/>
        </w:rPr>
        <w:t>Information Availability</w:t>
      </w:r>
      <w:r w:rsidRPr="00BF42A8">
        <w:rPr>
          <w:rFonts w:ascii="Times New Roman" w:hAnsi="Times New Roman" w:cs="Times New Roman"/>
        </w:rPr>
        <w:t xml:space="preserve"> benefit category and identifies two specific benefits associated with it.</w:t>
      </w:r>
      <w:r w:rsidR="002E1956">
        <w:rPr>
          <w:rFonts w:ascii="Times New Roman" w:hAnsi="Times New Roman" w:cs="Times New Roman"/>
        </w:rPr>
        <w:t xml:space="preserve"> To further illustrate </w:t>
      </w:r>
      <w:r w:rsidRPr="00DE507E" w:rsidR="002E1956">
        <w:rPr>
          <w:rFonts w:ascii="Times New Roman" w:hAnsi="Times New Roman" w:cs="Times New Roman"/>
        </w:rPr>
        <w:t xml:space="preserve">the nature of damages from accidents </w:t>
      </w:r>
      <w:r w:rsidR="002E1956">
        <w:rPr>
          <w:rFonts w:ascii="Times New Roman" w:hAnsi="Times New Roman" w:cs="Times New Roman"/>
        </w:rPr>
        <w:t xml:space="preserve">that could be avoided </w:t>
      </w:r>
      <w:r w:rsidRPr="00DE507E" w:rsidR="002E1956">
        <w:rPr>
          <w:rFonts w:ascii="Times New Roman" w:hAnsi="Times New Roman" w:cs="Times New Roman"/>
        </w:rPr>
        <w:t>at RMP facilities</w:t>
      </w:r>
      <w:r w:rsidR="00833161">
        <w:rPr>
          <w:rFonts w:ascii="Times New Roman" w:hAnsi="Times New Roman" w:cs="Times New Roman"/>
        </w:rPr>
        <w:t>,</w:t>
      </w:r>
      <w:r w:rsidR="002E1956">
        <w:rPr>
          <w:rFonts w:ascii="Times New Roman" w:hAnsi="Times New Roman" w:cs="Times New Roman"/>
        </w:rPr>
        <w:t xml:space="preserve"> </w:t>
      </w:r>
      <w:r w:rsidR="006832AB">
        <w:rPr>
          <w:rFonts w:ascii="Times New Roman" w:hAnsi="Times New Roman" w:cs="Times New Roman"/>
        </w:rPr>
        <w:t>Section 3.2.1</w:t>
      </w:r>
      <w:r w:rsidRPr="00DE507E" w:rsidR="002E1956">
        <w:rPr>
          <w:rFonts w:ascii="Times New Roman" w:hAnsi="Times New Roman" w:cs="Times New Roman"/>
        </w:rPr>
        <w:t xml:space="preserve"> describes the impacts of two recent </w:t>
      </w:r>
      <w:r w:rsidR="00F25A6C">
        <w:rPr>
          <w:rFonts w:ascii="Times New Roman" w:hAnsi="Times New Roman" w:cs="Times New Roman"/>
        </w:rPr>
        <w:t>RMP-</w:t>
      </w:r>
      <w:r w:rsidRPr="00DE507E" w:rsidR="002E1956">
        <w:rPr>
          <w:rFonts w:ascii="Times New Roman" w:hAnsi="Times New Roman" w:cs="Times New Roman"/>
        </w:rPr>
        <w:t>reportable accidents.</w:t>
      </w:r>
    </w:p>
    <w:p w:rsidR="004101BF" w:rsidP="000E6E0F" w14:paraId="5A42508C" w14:textId="77777777">
      <w:pPr>
        <w:spacing w:after="0" w:line="240" w:lineRule="auto"/>
        <w:ind w:firstLine="360"/>
        <w:rPr>
          <w:rFonts w:ascii="Times New Roman" w:hAnsi="Times New Roman" w:cs="Times New Roman"/>
        </w:rPr>
      </w:pPr>
    </w:p>
    <w:p w:rsidR="00560522" w:rsidP="002C4654" w14:paraId="48921A09" w14:textId="091CD012">
      <w:pPr>
        <w:spacing w:line="240" w:lineRule="auto"/>
        <w:rPr>
          <w:rFonts w:ascii="Times New Roman" w:hAnsi="Times New Roman" w:cs="Times New Roman"/>
        </w:rPr>
      </w:pPr>
      <w:r>
        <w:rPr>
          <w:rFonts w:ascii="Times New Roman" w:hAnsi="Times New Roman" w:cs="Times New Roman"/>
        </w:rPr>
        <w:tab/>
      </w:r>
      <w:r w:rsidR="004101BF">
        <w:rPr>
          <w:rFonts w:ascii="Times New Roman" w:hAnsi="Times New Roman" w:cs="Times New Roman"/>
        </w:rPr>
        <w:t xml:space="preserve">EPA conducted a </w:t>
      </w:r>
      <w:r w:rsidR="00BD7F27">
        <w:rPr>
          <w:rFonts w:ascii="Times New Roman" w:hAnsi="Times New Roman" w:cs="Times New Roman"/>
        </w:rPr>
        <w:t>simple</w:t>
      </w:r>
      <w:r w:rsidR="00093F00">
        <w:rPr>
          <w:rFonts w:ascii="Times New Roman" w:hAnsi="Times New Roman" w:cs="Times New Roman"/>
        </w:rPr>
        <w:t xml:space="preserve"> and </w:t>
      </w:r>
      <w:r w:rsidR="00BF1E8D">
        <w:rPr>
          <w:rFonts w:ascii="Times New Roman" w:hAnsi="Times New Roman" w:cs="Times New Roman"/>
        </w:rPr>
        <w:t>limited</w:t>
      </w:r>
      <w:r w:rsidR="00BD7F27">
        <w:rPr>
          <w:rFonts w:ascii="Times New Roman" w:hAnsi="Times New Roman" w:cs="Times New Roman"/>
        </w:rPr>
        <w:t xml:space="preserve"> </w:t>
      </w:r>
      <w:r w:rsidR="004101BF">
        <w:rPr>
          <w:rFonts w:ascii="Times New Roman" w:hAnsi="Times New Roman" w:cs="Times New Roman"/>
        </w:rPr>
        <w:t xml:space="preserve">breakeven analysis </w:t>
      </w:r>
      <w:r w:rsidR="00BD7F27">
        <w:rPr>
          <w:rFonts w:ascii="Times New Roman" w:hAnsi="Times New Roman" w:cs="Times New Roman"/>
        </w:rPr>
        <w:t xml:space="preserve">with limited </w:t>
      </w:r>
      <w:r w:rsidR="00004D63">
        <w:rPr>
          <w:rFonts w:ascii="Times New Roman" w:hAnsi="Times New Roman" w:cs="Times New Roman"/>
        </w:rPr>
        <w:t xml:space="preserve">data on the final rule’s </w:t>
      </w:r>
      <w:r w:rsidR="00766CAC">
        <w:rPr>
          <w:rFonts w:ascii="Times New Roman" w:hAnsi="Times New Roman" w:cs="Times New Roman"/>
        </w:rPr>
        <w:t xml:space="preserve">benefit </w:t>
      </w:r>
      <w:r w:rsidR="00004D63">
        <w:rPr>
          <w:rFonts w:ascii="Times New Roman" w:hAnsi="Times New Roman" w:cs="Times New Roman"/>
        </w:rPr>
        <w:t>values</w:t>
      </w:r>
      <w:r w:rsidRPr="00C2275C" w:rsidR="004101BF">
        <w:rPr>
          <w:rFonts w:ascii="Times New Roman" w:hAnsi="Times New Roman" w:cs="Times New Roman"/>
        </w:rPr>
        <w:t xml:space="preserve"> because while EPA was able to quantify and monetize </w:t>
      </w:r>
      <w:r w:rsidR="00775D81">
        <w:rPr>
          <w:rFonts w:ascii="Times New Roman" w:hAnsi="Times New Roman" w:cs="Times New Roman"/>
        </w:rPr>
        <w:t>estimated</w:t>
      </w:r>
      <w:r w:rsidRPr="00C2275C" w:rsidR="004101BF">
        <w:rPr>
          <w:rFonts w:ascii="Times New Roman" w:hAnsi="Times New Roman" w:cs="Times New Roman"/>
        </w:rPr>
        <w:t xml:space="preserve"> costs of the </w:t>
      </w:r>
      <w:r w:rsidR="009B6FFA">
        <w:rPr>
          <w:rFonts w:ascii="Times New Roman" w:hAnsi="Times New Roman" w:cs="Times New Roman"/>
        </w:rPr>
        <w:t>final</w:t>
      </w:r>
      <w:r w:rsidRPr="00C2275C" w:rsidR="009B6FFA">
        <w:rPr>
          <w:rFonts w:ascii="Times New Roman" w:hAnsi="Times New Roman" w:cs="Times New Roman"/>
        </w:rPr>
        <w:t xml:space="preserve"> </w:t>
      </w:r>
      <w:r w:rsidRPr="00C2275C" w:rsidR="004101BF">
        <w:rPr>
          <w:rFonts w:ascii="Times New Roman" w:hAnsi="Times New Roman" w:cs="Times New Roman"/>
        </w:rPr>
        <w:t xml:space="preserve">rule, it cannot sufficiently quantify or monetize </w:t>
      </w:r>
      <w:r w:rsidR="00384239">
        <w:rPr>
          <w:rFonts w:ascii="Times New Roman" w:hAnsi="Times New Roman" w:cs="Times New Roman"/>
        </w:rPr>
        <w:t>estimated</w:t>
      </w:r>
      <w:r w:rsidRPr="00C2275C" w:rsidR="004101BF">
        <w:rPr>
          <w:rFonts w:ascii="Times New Roman" w:hAnsi="Times New Roman" w:cs="Times New Roman"/>
        </w:rPr>
        <w:t xml:space="preserve"> benefits. </w:t>
      </w:r>
      <w:r w:rsidR="000D63CB">
        <w:rPr>
          <w:rFonts w:ascii="Times New Roman" w:hAnsi="Times New Roman" w:cs="Times New Roman"/>
        </w:rPr>
        <w:t xml:space="preserve">The results of this </w:t>
      </w:r>
      <w:r w:rsidR="00BF1E8D">
        <w:rPr>
          <w:rFonts w:ascii="Times New Roman" w:hAnsi="Times New Roman" w:cs="Times New Roman"/>
        </w:rPr>
        <w:t>limited</w:t>
      </w:r>
      <w:r w:rsidR="000D63CB">
        <w:rPr>
          <w:rFonts w:ascii="Times New Roman" w:hAnsi="Times New Roman" w:cs="Times New Roman"/>
        </w:rPr>
        <w:t xml:space="preserve"> analysis should be viewed with caution due to the omission of key </w:t>
      </w:r>
      <w:r w:rsidR="000E2F4A">
        <w:rPr>
          <w:rFonts w:ascii="Times New Roman" w:hAnsi="Times New Roman" w:cs="Times New Roman"/>
        </w:rPr>
        <w:t>un</w:t>
      </w:r>
      <w:r w:rsidR="000D63CB">
        <w:rPr>
          <w:rFonts w:ascii="Times New Roman" w:hAnsi="Times New Roman" w:cs="Times New Roman"/>
        </w:rPr>
        <w:t xml:space="preserve">monetized benefits. </w:t>
      </w:r>
      <w:r w:rsidRPr="00C2275C" w:rsidR="004101BF">
        <w:rPr>
          <w:rFonts w:ascii="Times New Roman" w:hAnsi="Times New Roman" w:cs="Times New Roman"/>
        </w:rPr>
        <w:t xml:space="preserve">The </w:t>
      </w:r>
      <w:r w:rsidR="009B6FFA">
        <w:rPr>
          <w:rFonts w:ascii="Times New Roman" w:hAnsi="Times New Roman" w:cs="Times New Roman"/>
        </w:rPr>
        <w:t>final</w:t>
      </w:r>
      <w:r w:rsidRPr="00C2275C" w:rsidR="009B6FFA">
        <w:rPr>
          <w:rFonts w:ascii="Times New Roman" w:hAnsi="Times New Roman" w:cs="Times New Roman"/>
        </w:rPr>
        <w:t xml:space="preserve"> </w:t>
      </w:r>
      <w:r w:rsidRPr="00C2275C" w:rsidR="004101BF">
        <w:rPr>
          <w:rFonts w:ascii="Times New Roman" w:hAnsi="Times New Roman" w:cs="Times New Roman"/>
        </w:rPr>
        <w:t xml:space="preserve">rule </w:t>
      </w:r>
      <w:r w:rsidR="009837FF">
        <w:rPr>
          <w:rFonts w:ascii="Times New Roman" w:hAnsi="Times New Roman" w:cs="Times New Roman"/>
        </w:rPr>
        <w:t>will</w:t>
      </w:r>
      <w:r w:rsidRPr="00C2275C" w:rsidR="004101BF">
        <w:rPr>
          <w:rFonts w:ascii="Times New Roman" w:hAnsi="Times New Roman" w:cs="Times New Roman"/>
        </w:rPr>
        <w:t xml:space="preserve"> need to reduce, or mitigate, damages valued at </w:t>
      </w:r>
      <w:r w:rsidRPr="00821A95" w:rsidR="004101BF">
        <w:rPr>
          <w:rFonts w:ascii="Times New Roman" w:hAnsi="Times New Roman" w:cs="Times New Roman"/>
        </w:rPr>
        <w:t xml:space="preserve">approximately </w:t>
      </w:r>
      <w:r w:rsidR="00FC01AC">
        <w:rPr>
          <w:rFonts w:ascii="Times New Roman" w:hAnsi="Times New Roman" w:cs="Times New Roman"/>
        </w:rPr>
        <w:t xml:space="preserve">$257 million </w:t>
      </w:r>
      <w:r w:rsidR="00DD771B">
        <w:rPr>
          <w:rFonts w:ascii="Times New Roman" w:hAnsi="Times New Roman" w:cs="Times New Roman"/>
        </w:rPr>
        <w:t xml:space="preserve">per year </w:t>
      </w:r>
      <w:r w:rsidRPr="00821A95" w:rsidR="004101BF">
        <w:rPr>
          <w:rFonts w:ascii="Times New Roman" w:hAnsi="Times New Roman" w:cs="Times New Roman"/>
        </w:rPr>
        <w:t xml:space="preserve">over any number of future accidents to achieve breakeven. </w:t>
      </w:r>
      <w:r w:rsidR="00320A5A">
        <w:rPr>
          <w:rFonts w:ascii="Times New Roman" w:hAnsi="Times New Roman" w:cs="Times New Roman"/>
        </w:rPr>
        <w:t xml:space="preserve">EPA compared this </w:t>
      </w:r>
      <w:r w:rsidR="00801FED">
        <w:rPr>
          <w:rFonts w:ascii="Times New Roman" w:hAnsi="Times New Roman" w:cs="Times New Roman"/>
        </w:rPr>
        <w:t xml:space="preserve">cost estimate to estimates of </w:t>
      </w:r>
      <w:r w:rsidR="00C82CFE">
        <w:rPr>
          <w:rFonts w:ascii="Times New Roman" w:hAnsi="Times New Roman" w:cs="Times New Roman"/>
        </w:rPr>
        <w:t xml:space="preserve">RMP </w:t>
      </w:r>
      <w:r w:rsidR="00801FED">
        <w:rPr>
          <w:rFonts w:ascii="Times New Roman" w:hAnsi="Times New Roman" w:cs="Times New Roman"/>
        </w:rPr>
        <w:t>accident impacts</w:t>
      </w:r>
      <w:r w:rsidR="00864DE9">
        <w:rPr>
          <w:rFonts w:ascii="Times New Roman" w:hAnsi="Times New Roman" w:cs="Times New Roman"/>
        </w:rPr>
        <w:t>,</w:t>
      </w:r>
      <w:r w:rsidR="00801FED">
        <w:rPr>
          <w:rFonts w:ascii="Times New Roman" w:hAnsi="Times New Roman" w:cs="Times New Roman"/>
        </w:rPr>
        <w:t xml:space="preserve"> noting that many accident impacts could not be monetized so the comparison is</w:t>
      </w:r>
      <w:r w:rsidR="00C8037A">
        <w:rPr>
          <w:rFonts w:ascii="Times New Roman" w:hAnsi="Times New Roman" w:cs="Times New Roman"/>
        </w:rPr>
        <w:t xml:space="preserve"> limited</w:t>
      </w:r>
      <w:r w:rsidR="00A274F1">
        <w:rPr>
          <w:rFonts w:ascii="Times New Roman" w:hAnsi="Times New Roman" w:cs="Times New Roman"/>
        </w:rPr>
        <w:t>. However,</w:t>
      </w:r>
      <w:r w:rsidR="00D6278D">
        <w:rPr>
          <w:rFonts w:ascii="Times New Roman" w:hAnsi="Times New Roman" w:cs="Times New Roman"/>
        </w:rPr>
        <w:t xml:space="preserve"> setting aside </w:t>
      </w:r>
      <w:r w:rsidR="001E2B97">
        <w:rPr>
          <w:rFonts w:ascii="Times New Roman" w:hAnsi="Times New Roman" w:cs="Times New Roman"/>
        </w:rPr>
        <w:t>i</w:t>
      </w:r>
      <w:r w:rsidR="007417E7">
        <w:rPr>
          <w:rFonts w:ascii="Times New Roman" w:hAnsi="Times New Roman" w:cs="Times New Roman"/>
        </w:rPr>
        <w:t>mportant</w:t>
      </w:r>
      <w:r w:rsidR="001E2B97">
        <w:rPr>
          <w:rFonts w:ascii="Times New Roman" w:hAnsi="Times New Roman" w:cs="Times New Roman"/>
        </w:rPr>
        <w:t xml:space="preserve"> unmonetized accident damages, and ignoring the information benefits of the </w:t>
      </w:r>
      <w:r w:rsidRPr="00821A95" w:rsidR="004101BF">
        <w:rPr>
          <w:rFonts w:ascii="Times New Roman" w:hAnsi="Times New Roman" w:cs="Times New Roman"/>
        </w:rPr>
        <w:t xml:space="preserve">rule </w:t>
      </w:r>
      <w:r w:rsidR="002C1EB6">
        <w:rPr>
          <w:rFonts w:ascii="Times New Roman" w:hAnsi="Times New Roman" w:cs="Times New Roman"/>
        </w:rPr>
        <w:t>and that no major catastrophes are represented in the baseline accident</w:t>
      </w:r>
      <w:r w:rsidR="0086722B">
        <w:rPr>
          <w:rFonts w:ascii="Times New Roman" w:hAnsi="Times New Roman" w:cs="Times New Roman"/>
        </w:rPr>
        <w:t xml:space="preserve"> cases</w:t>
      </w:r>
      <w:r w:rsidR="001E2B97">
        <w:rPr>
          <w:rFonts w:ascii="Times New Roman" w:hAnsi="Times New Roman" w:cs="Times New Roman"/>
        </w:rPr>
        <w:t xml:space="preserve">, </w:t>
      </w:r>
      <w:r w:rsidR="00931B0F">
        <w:rPr>
          <w:rFonts w:ascii="Times New Roman" w:hAnsi="Times New Roman" w:cs="Times New Roman"/>
        </w:rPr>
        <w:t xml:space="preserve">if the rule prevents a single high cost accident per </w:t>
      </w:r>
      <w:r w:rsidR="00702C75">
        <w:rPr>
          <w:rFonts w:ascii="Times New Roman" w:hAnsi="Times New Roman" w:cs="Times New Roman"/>
        </w:rPr>
        <w:t xml:space="preserve">year </w:t>
      </w:r>
      <w:r w:rsidR="00931B0F">
        <w:rPr>
          <w:rFonts w:ascii="Times New Roman" w:hAnsi="Times New Roman" w:cs="Times New Roman"/>
        </w:rPr>
        <w:t xml:space="preserve">or </w:t>
      </w:r>
      <w:r w:rsidR="00AB1E92">
        <w:rPr>
          <w:rFonts w:ascii="Times New Roman" w:hAnsi="Times New Roman" w:cs="Times New Roman"/>
        </w:rPr>
        <w:t>47</w:t>
      </w:r>
      <w:r w:rsidRPr="00821A95" w:rsidR="00A753F6">
        <w:rPr>
          <w:rFonts w:ascii="Times New Roman" w:hAnsi="Times New Roman" w:cs="Times New Roman"/>
        </w:rPr>
        <w:t xml:space="preserve"> </w:t>
      </w:r>
      <w:r w:rsidRPr="00821A95" w:rsidR="004101BF">
        <w:rPr>
          <w:rFonts w:ascii="Times New Roman" w:hAnsi="Times New Roman" w:cs="Times New Roman"/>
        </w:rPr>
        <w:t>accidents</w:t>
      </w:r>
      <w:r w:rsidR="008635FB">
        <w:rPr>
          <w:rFonts w:ascii="Times New Roman" w:hAnsi="Times New Roman" w:cs="Times New Roman"/>
        </w:rPr>
        <w:t xml:space="preserve"> that imposed </w:t>
      </w:r>
      <w:r w:rsidR="00931B0F">
        <w:rPr>
          <w:rFonts w:ascii="Times New Roman" w:hAnsi="Times New Roman" w:cs="Times New Roman"/>
        </w:rPr>
        <w:t>average</w:t>
      </w:r>
      <w:r w:rsidR="008635FB">
        <w:rPr>
          <w:rFonts w:ascii="Times New Roman" w:hAnsi="Times New Roman" w:cs="Times New Roman"/>
        </w:rPr>
        <w:t xml:space="preserve"> costs, the rule</w:t>
      </w:r>
      <w:r>
        <w:rPr>
          <w:rFonts w:ascii="Times New Roman" w:hAnsi="Times New Roman" w:cs="Times New Roman"/>
        </w:rPr>
        <w:t>’s benefits and costs</w:t>
      </w:r>
      <w:r w:rsidR="008635FB">
        <w:rPr>
          <w:rFonts w:ascii="Times New Roman" w:hAnsi="Times New Roman" w:cs="Times New Roman"/>
        </w:rPr>
        <w:t xml:space="preserve"> would </w:t>
      </w:r>
      <w:r w:rsidR="00462053">
        <w:rPr>
          <w:rFonts w:ascii="Times New Roman" w:hAnsi="Times New Roman" w:cs="Times New Roman"/>
        </w:rPr>
        <w:t xml:space="preserve">more than </w:t>
      </w:r>
      <w:r w:rsidR="008635FB">
        <w:rPr>
          <w:rFonts w:ascii="Times New Roman" w:hAnsi="Times New Roman" w:cs="Times New Roman"/>
        </w:rPr>
        <w:t>breakeven.</w:t>
      </w:r>
      <w:r w:rsidR="00DC1F64">
        <w:rPr>
          <w:rFonts w:ascii="Times New Roman" w:hAnsi="Times New Roman" w:cs="Times New Roman"/>
        </w:rPr>
        <w:t xml:space="preserve"> </w:t>
      </w:r>
    </w:p>
    <w:p w:rsidR="00D21960" w:rsidRPr="00DD1AC8" w:rsidP="002C4654" w14:paraId="3D18DE7B" w14:textId="67F3B4B1">
      <w:pPr>
        <w:spacing w:line="240" w:lineRule="auto"/>
        <w:rPr>
          <w:rFonts w:ascii="Times New Roman" w:hAnsi="Times New Roman" w:cs="Times New Roman"/>
        </w:rPr>
      </w:pPr>
      <w:r>
        <w:rPr>
          <w:rFonts w:ascii="Times New Roman" w:hAnsi="Times New Roman" w:cs="Times New Roman"/>
        </w:rPr>
        <w:tab/>
      </w:r>
      <w:r w:rsidR="00DC1F64">
        <w:rPr>
          <w:rFonts w:ascii="Times New Roman" w:hAnsi="Times New Roman" w:cs="Times New Roman"/>
        </w:rPr>
        <w:t xml:space="preserve">EPA believes that </w:t>
      </w:r>
      <w:r w:rsidR="009319D2">
        <w:rPr>
          <w:rFonts w:ascii="Times New Roman" w:hAnsi="Times New Roman" w:cs="Times New Roman"/>
        </w:rPr>
        <w:t>the reductions in the probability and magnitude of accidents justify the costs of the final rule.</w:t>
      </w:r>
      <w:r w:rsidR="00A9320C">
        <w:rPr>
          <w:rFonts w:ascii="Times New Roman" w:hAnsi="Times New Roman" w:cs="Times New Roman"/>
        </w:rPr>
        <w:t xml:space="preserve"> </w:t>
      </w:r>
      <w:r w:rsidRPr="00C2275C" w:rsidR="00827144">
        <w:rPr>
          <w:rFonts w:ascii="Times New Roman" w:hAnsi="Times New Roman" w:cs="Times New Roman"/>
        </w:rPr>
        <w:t xml:space="preserve">When </w:t>
      </w:r>
      <w:r w:rsidRPr="00BD77BA" w:rsidR="008F3365">
        <w:rPr>
          <w:rFonts w:ascii="Times New Roman" w:hAnsi="Times New Roman" w:cs="Times New Roman"/>
        </w:rPr>
        <w:t xml:space="preserve">assessing the reasonableness of the benefits and burdens of various regulatory options, EPA </w:t>
      </w:r>
      <w:r w:rsidR="008F3365">
        <w:rPr>
          <w:rFonts w:ascii="Times New Roman" w:hAnsi="Times New Roman" w:cs="Times New Roman"/>
        </w:rPr>
        <w:t xml:space="preserve">must </w:t>
      </w:r>
      <w:r w:rsidRPr="00BD77BA" w:rsidR="008F3365">
        <w:rPr>
          <w:rFonts w:ascii="Times New Roman" w:hAnsi="Times New Roman" w:cs="Times New Roman"/>
        </w:rPr>
        <w:t>place weight on both preventing more common accidental releases captured in the accident history</w:t>
      </w:r>
      <w:r w:rsidRPr="00C2275C" w:rsidR="00827144">
        <w:rPr>
          <w:rFonts w:ascii="Times New Roman" w:hAnsi="Times New Roman" w:cs="Times New Roman"/>
        </w:rPr>
        <w:t xml:space="preserve"> portion of the </w:t>
      </w:r>
      <w:r w:rsidRPr="00BD77BA" w:rsidR="008F3365">
        <w:rPr>
          <w:rFonts w:ascii="Times New Roman" w:hAnsi="Times New Roman" w:cs="Times New Roman"/>
        </w:rPr>
        <w:t xml:space="preserve">RMP database while also placing weight on less quantifiable potential catastrophic events. </w:t>
      </w:r>
      <w:r w:rsidR="008F3365">
        <w:rPr>
          <w:rFonts w:ascii="Times New Roman" w:hAnsi="Times New Roman" w:cs="Times New Roman"/>
        </w:rPr>
        <w:t xml:space="preserve">The Agency’s </w:t>
      </w:r>
      <w:r w:rsidRPr="00BD77BA" w:rsidR="008F3365">
        <w:rPr>
          <w:rFonts w:ascii="Times New Roman" w:hAnsi="Times New Roman" w:cs="Times New Roman"/>
        </w:rPr>
        <w:t>judgment as to what regulations are “</w:t>
      </w:r>
      <w:r w:rsidRPr="00C2275C" w:rsidR="00827144">
        <w:rPr>
          <w:rFonts w:ascii="Times New Roman" w:hAnsi="Times New Roman" w:cs="Times New Roman"/>
        </w:rPr>
        <w:t>reasonable</w:t>
      </w:r>
      <w:r w:rsidRPr="00BD77BA" w:rsidR="008F3365">
        <w:rPr>
          <w:rFonts w:ascii="Times New Roman" w:hAnsi="Times New Roman" w:cs="Times New Roman"/>
        </w:rPr>
        <w:t>” is informed by both quantifiable and unquantifiable burdens and benefits.</w:t>
      </w:r>
      <w:r w:rsidR="00A574EC">
        <w:rPr>
          <w:rFonts w:ascii="Times New Roman" w:hAnsi="Times New Roman" w:cs="Times New Roman"/>
        </w:rPr>
        <w:t xml:space="preserve">  </w:t>
      </w:r>
    </w:p>
    <w:p w:rsidR="00E93325" w:rsidRPr="00BF42A8" w:rsidP="00236E25" w14:paraId="7E1BE36E" w14:textId="77777777">
      <w:pPr>
        <w:pStyle w:val="Caption"/>
        <w:keepNext/>
        <w:jc w:val="center"/>
        <w:rPr>
          <w:rFonts w:ascii="Times New Roman" w:hAnsi="Times New Roman" w:cs="Times New Roman"/>
          <w:b/>
        </w:rPr>
      </w:pPr>
      <w:r w:rsidRPr="00693892">
        <w:rPr>
          <w:rFonts w:ascii="Times New Roman" w:hAnsi="Times New Roman" w:cs="Times New Roman"/>
          <w:b/>
          <w:bCs/>
          <w:i w:val="0"/>
          <w:iCs w:val="0"/>
          <w:color w:val="auto"/>
          <w:sz w:val="22"/>
          <w:szCs w:val="22"/>
        </w:rPr>
        <w:t>Exhibit 6-</w:t>
      </w:r>
      <w:r w:rsidR="0088694C">
        <w:rPr>
          <w:rFonts w:ascii="Times New Roman" w:hAnsi="Times New Roman" w:cs="Times New Roman"/>
          <w:b/>
          <w:bCs/>
          <w:i w:val="0"/>
          <w:iCs w:val="0"/>
          <w:color w:val="auto"/>
          <w:sz w:val="22"/>
          <w:szCs w:val="22"/>
        </w:rPr>
        <w:t>3</w:t>
      </w:r>
      <w:r w:rsidRPr="00693892">
        <w:rPr>
          <w:rFonts w:ascii="Times New Roman" w:hAnsi="Times New Roman" w:cs="Times New Roman"/>
          <w:b/>
          <w:bCs/>
          <w:i w:val="0"/>
          <w:iCs w:val="0"/>
          <w:color w:val="auto"/>
          <w:sz w:val="22"/>
          <w:szCs w:val="22"/>
        </w:rPr>
        <w:t>: Summary of Social Benefits.</w:t>
      </w:r>
    </w:p>
    <w:tbl>
      <w:tblPr>
        <w:tblpPr w:leftFromText="180" w:rightFromText="180" w:vertAnchor="text" w:horzAnchor="margin" w:tblpY="-19"/>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45"/>
        <w:gridCol w:w="2970"/>
        <w:gridCol w:w="4140"/>
      </w:tblGrid>
      <w:tr w14:paraId="7D6A4543" w14:textId="77777777" w:rsidTr="00FA04B8">
        <w:tblPrEx>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47"/>
          <w:tblHeader/>
        </w:trPr>
        <w:tc>
          <w:tcPr>
            <w:tcW w:w="2245" w:type="dxa"/>
            <w:shd w:val="clear" w:color="auto" w:fill="D9D9D9"/>
            <w:vAlign w:val="center"/>
          </w:tcPr>
          <w:p w:rsidR="00E93325" w:rsidRPr="00693892" w:rsidP="00FA04B8" w14:paraId="0EF0EF7F" w14:textId="77777777">
            <w:pPr>
              <w:keepNext/>
              <w:spacing w:after="0" w:line="240" w:lineRule="auto"/>
              <w:jc w:val="center"/>
              <w:rPr>
                <w:rFonts w:ascii="Times New Roman" w:hAnsi="Times New Roman" w:cs="Times New Roman"/>
                <w:b/>
                <w:sz w:val="20"/>
                <w:szCs w:val="20"/>
              </w:rPr>
            </w:pPr>
            <w:r w:rsidRPr="00693892">
              <w:rPr>
                <w:rFonts w:ascii="Times New Roman" w:hAnsi="Times New Roman" w:cs="Times New Roman"/>
                <w:b/>
                <w:sz w:val="20"/>
                <w:szCs w:val="20"/>
              </w:rPr>
              <w:t>Broad Benefit Category</w:t>
            </w:r>
          </w:p>
        </w:tc>
        <w:tc>
          <w:tcPr>
            <w:tcW w:w="2970" w:type="dxa"/>
            <w:shd w:val="clear" w:color="auto" w:fill="D9D9D9"/>
            <w:vAlign w:val="center"/>
          </w:tcPr>
          <w:p w:rsidR="00E93325" w:rsidRPr="00693892" w:rsidP="00FA04B8" w14:paraId="4C208A6B" w14:textId="77777777">
            <w:pPr>
              <w:keepNext/>
              <w:spacing w:after="0" w:line="240" w:lineRule="auto"/>
              <w:ind w:left="89" w:right="77"/>
              <w:jc w:val="center"/>
              <w:rPr>
                <w:rFonts w:ascii="Times New Roman" w:hAnsi="Times New Roman" w:cs="Times New Roman"/>
                <w:b/>
                <w:sz w:val="20"/>
                <w:szCs w:val="20"/>
              </w:rPr>
            </w:pPr>
            <w:r w:rsidRPr="00693892">
              <w:rPr>
                <w:rFonts w:ascii="Times New Roman" w:hAnsi="Times New Roman" w:cs="Times New Roman"/>
                <w:b/>
                <w:sz w:val="20"/>
                <w:szCs w:val="20"/>
              </w:rPr>
              <w:t>Explanation</w:t>
            </w:r>
          </w:p>
        </w:tc>
        <w:tc>
          <w:tcPr>
            <w:tcW w:w="4140" w:type="dxa"/>
            <w:shd w:val="clear" w:color="auto" w:fill="D9D9D9"/>
            <w:vAlign w:val="center"/>
          </w:tcPr>
          <w:p w:rsidR="00E93325" w:rsidRPr="00693892" w:rsidP="00FA04B8" w14:paraId="176AF5F4" w14:textId="77777777">
            <w:pPr>
              <w:keepNext/>
              <w:spacing w:after="0" w:line="240" w:lineRule="auto"/>
              <w:ind w:left="100"/>
              <w:jc w:val="center"/>
              <w:rPr>
                <w:rFonts w:ascii="Times New Roman" w:hAnsi="Times New Roman" w:cs="Times New Roman"/>
                <w:b/>
                <w:sz w:val="20"/>
                <w:szCs w:val="20"/>
              </w:rPr>
            </w:pPr>
            <w:r w:rsidRPr="00693892">
              <w:rPr>
                <w:rFonts w:ascii="Times New Roman" w:hAnsi="Times New Roman" w:cs="Times New Roman"/>
                <w:b/>
                <w:sz w:val="20"/>
                <w:szCs w:val="20"/>
              </w:rPr>
              <w:t>Specific Benefit Categories</w:t>
            </w:r>
          </w:p>
        </w:tc>
      </w:tr>
      <w:tr w14:paraId="252CB6B7" w14:textId="77777777" w:rsidTr="00693892">
        <w:tblPrEx>
          <w:tblW w:w="9355" w:type="dxa"/>
          <w:tblLayout w:type="fixed"/>
          <w:tblCellMar>
            <w:left w:w="0" w:type="dxa"/>
            <w:right w:w="0" w:type="dxa"/>
          </w:tblCellMar>
          <w:tblLook w:val="01E0"/>
        </w:tblPrEx>
        <w:trPr>
          <w:trHeight w:val="776"/>
        </w:trPr>
        <w:tc>
          <w:tcPr>
            <w:tcW w:w="2245" w:type="dxa"/>
            <w:vAlign w:val="center"/>
          </w:tcPr>
          <w:p w:rsidR="00E93325" w:rsidRPr="00693892" w:rsidP="00693892" w14:paraId="70F0214F" w14:textId="77777777">
            <w:pPr>
              <w:spacing w:after="0" w:line="240" w:lineRule="auto"/>
              <w:rPr>
                <w:rFonts w:ascii="Times New Roman" w:hAnsi="Times New Roman" w:cs="Times New Roman"/>
                <w:b/>
                <w:sz w:val="20"/>
                <w:szCs w:val="20"/>
              </w:rPr>
            </w:pPr>
          </w:p>
          <w:p w:rsidR="00E93325" w:rsidRPr="00693892" w:rsidP="00693892" w14:paraId="473ACB36" w14:textId="77777777">
            <w:pPr>
              <w:spacing w:after="0" w:line="240" w:lineRule="auto"/>
              <w:ind w:left="107"/>
              <w:rPr>
                <w:rFonts w:ascii="Times New Roman" w:hAnsi="Times New Roman" w:cs="Times New Roman"/>
                <w:sz w:val="20"/>
                <w:szCs w:val="20"/>
              </w:rPr>
            </w:pPr>
            <w:r w:rsidRPr="00693892">
              <w:rPr>
                <w:rFonts w:ascii="Times New Roman" w:hAnsi="Times New Roman" w:cs="Times New Roman"/>
                <w:sz w:val="20"/>
                <w:szCs w:val="20"/>
              </w:rPr>
              <w:t>Accident Prevention</w:t>
            </w:r>
          </w:p>
        </w:tc>
        <w:tc>
          <w:tcPr>
            <w:tcW w:w="2970" w:type="dxa"/>
            <w:vAlign w:val="center"/>
          </w:tcPr>
          <w:p w:rsidR="00E93325" w:rsidRPr="00693892" w:rsidP="00693892" w14:paraId="3592A5AB" w14:textId="77777777">
            <w:pPr>
              <w:spacing w:after="0" w:line="240" w:lineRule="auto"/>
              <w:rPr>
                <w:rFonts w:ascii="Times New Roman" w:hAnsi="Times New Roman" w:cs="Times New Roman"/>
                <w:b/>
                <w:sz w:val="20"/>
                <w:szCs w:val="20"/>
              </w:rPr>
            </w:pPr>
          </w:p>
          <w:p w:rsidR="00E93325" w:rsidRPr="00693892" w:rsidP="00693892" w14:paraId="55EA5CCC" w14:textId="77777777">
            <w:pPr>
              <w:spacing w:after="0" w:line="240" w:lineRule="auto"/>
              <w:ind w:left="107" w:right="926"/>
              <w:rPr>
                <w:rFonts w:ascii="Times New Roman" w:hAnsi="Times New Roman" w:cs="Times New Roman"/>
                <w:sz w:val="20"/>
                <w:szCs w:val="20"/>
              </w:rPr>
            </w:pPr>
            <w:r w:rsidRPr="00693892">
              <w:rPr>
                <w:rFonts w:ascii="Times New Roman" w:hAnsi="Times New Roman" w:cs="Times New Roman"/>
                <w:sz w:val="20"/>
                <w:szCs w:val="20"/>
              </w:rPr>
              <w:t>Prevention of future RMP facility accidents</w:t>
            </w:r>
          </w:p>
        </w:tc>
        <w:tc>
          <w:tcPr>
            <w:tcW w:w="4140" w:type="dxa"/>
            <w:vMerge w:val="restart"/>
            <w:vAlign w:val="center"/>
          </w:tcPr>
          <w:p w:rsidR="00E93325" w:rsidRPr="00693892" w:rsidP="009C49A0" w14:paraId="1AF6E97C" w14:textId="77777777">
            <w:pPr>
              <w:numPr>
                <w:ilvl w:val="0"/>
                <w:numId w:val="7"/>
              </w:numPr>
              <w:tabs>
                <w:tab w:val="left" w:pos="520"/>
                <w:tab w:val="left" w:pos="521"/>
              </w:tabs>
              <w:spacing w:after="0" w:line="240" w:lineRule="auto"/>
              <w:ind w:hanging="361"/>
              <w:rPr>
                <w:rFonts w:ascii="Times New Roman" w:hAnsi="Times New Roman" w:cs="Times New Roman"/>
                <w:sz w:val="20"/>
                <w:szCs w:val="20"/>
              </w:rPr>
            </w:pPr>
            <w:r w:rsidRPr="00693892">
              <w:rPr>
                <w:rFonts w:ascii="Times New Roman" w:hAnsi="Times New Roman" w:cs="Times New Roman"/>
                <w:sz w:val="20"/>
                <w:szCs w:val="20"/>
              </w:rPr>
              <w:t>Reduced</w:t>
            </w:r>
            <w:r w:rsidRPr="00693892">
              <w:rPr>
                <w:rFonts w:ascii="Times New Roman" w:hAnsi="Times New Roman" w:cs="Times New Roman"/>
                <w:spacing w:val="-4"/>
                <w:sz w:val="20"/>
                <w:szCs w:val="20"/>
              </w:rPr>
              <w:t xml:space="preserve"> </w:t>
            </w:r>
            <w:r w:rsidRPr="00693892">
              <w:rPr>
                <w:rFonts w:ascii="Times New Roman" w:hAnsi="Times New Roman" w:cs="Times New Roman"/>
                <w:sz w:val="20"/>
                <w:szCs w:val="20"/>
              </w:rPr>
              <w:t>Fatalities</w:t>
            </w:r>
          </w:p>
          <w:p w:rsidR="00E93325" w:rsidRPr="00693892" w:rsidP="009C49A0" w14:paraId="0D67F8B1" w14:textId="77777777">
            <w:pPr>
              <w:numPr>
                <w:ilvl w:val="0"/>
                <w:numId w:val="7"/>
              </w:numPr>
              <w:tabs>
                <w:tab w:val="left" w:pos="520"/>
                <w:tab w:val="left" w:pos="521"/>
              </w:tabs>
              <w:spacing w:after="0" w:line="240" w:lineRule="auto"/>
              <w:ind w:hanging="361"/>
              <w:rPr>
                <w:rFonts w:ascii="Times New Roman" w:hAnsi="Times New Roman" w:cs="Times New Roman"/>
                <w:sz w:val="20"/>
                <w:szCs w:val="20"/>
              </w:rPr>
            </w:pPr>
            <w:r w:rsidRPr="00693892">
              <w:rPr>
                <w:rFonts w:ascii="Times New Roman" w:hAnsi="Times New Roman" w:cs="Times New Roman"/>
                <w:sz w:val="20"/>
                <w:szCs w:val="20"/>
              </w:rPr>
              <w:t>Reduced</w:t>
            </w:r>
            <w:r w:rsidRPr="00693892">
              <w:rPr>
                <w:rFonts w:ascii="Times New Roman" w:hAnsi="Times New Roman" w:cs="Times New Roman"/>
                <w:spacing w:val="-4"/>
                <w:sz w:val="20"/>
                <w:szCs w:val="20"/>
              </w:rPr>
              <w:t xml:space="preserve"> </w:t>
            </w:r>
            <w:r w:rsidRPr="00693892">
              <w:rPr>
                <w:rFonts w:ascii="Times New Roman" w:hAnsi="Times New Roman" w:cs="Times New Roman"/>
                <w:sz w:val="20"/>
                <w:szCs w:val="20"/>
              </w:rPr>
              <w:t>Injuries</w:t>
            </w:r>
          </w:p>
          <w:p w:rsidR="00E93325" w:rsidRPr="00693892" w:rsidP="009C49A0" w14:paraId="68BC4C14" w14:textId="77777777">
            <w:pPr>
              <w:numPr>
                <w:ilvl w:val="0"/>
                <w:numId w:val="7"/>
              </w:numPr>
              <w:tabs>
                <w:tab w:val="left" w:pos="520"/>
                <w:tab w:val="left" w:pos="521"/>
              </w:tabs>
              <w:spacing w:after="0" w:line="240" w:lineRule="auto"/>
              <w:ind w:right="446"/>
              <w:rPr>
                <w:rFonts w:ascii="Times New Roman" w:hAnsi="Times New Roman" w:cs="Times New Roman"/>
                <w:sz w:val="20"/>
                <w:szCs w:val="20"/>
              </w:rPr>
            </w:pPr>
            <w:r w:rsidRPr="00693892">
              <w:rPr>
                <w:rFonts w:ascii="Times New Roman" w:hAnsi="Times New Roman" w:cs="Times New Roman"/>
                <w:sz w:val="20"/>
                <w:szCs w:val="20"/>
              </w:rPr>
              <w:t xml:space="preserve">Reduced </w:t>
            </w:r>
            <w:r w:rsidRPr="00693892">
              <w:rPr>
                <w:rFonts w:ascii="Times New Roman" w:hAnsi="Times New Roman" w:cs="Times New Roman"/>
                <w:spacing w:val="-3"/>
                <w:sz w:val="20"/>
                <w:szCs w:val="20"/>
              </w:rPr>
              <w:t xml:space="preserve">Property </w:t>
            </w:r>
            <w:r w:rsidRPr="00693892">
              <w:rPr>
                <w:rFonts w:ascii="Times New Roman" w:hAnsi="Times New Roman" w:cs="Times New Roman"/>
                <w:sz w:val="20"/>
                <w:szCs w:val="20"/>
              </w:rPr>
              <w:t>Damage</w:t>
            </w:r>
          </w:p>
          <w:p w:rsidR="00E93325" w:rsidRPr="00693892" w:rsidP="009C49A0" w14:paraId="1ABF9ACC" w14:textId="77777777">
            <w:pPr>
              <w:numPr>
                <w:ilvl w:val="0"/>
                <w:numId w:val="7"/>
              </w:numPr>
              <w:tabs>
                <w:tab w:val="left" w:pos="520"/>
                <w:tab w:val="left" w:pos="521"/>
              </w:tabs>
              <w:spacing w:after="0" w:line="240" w:lineRule="auto"/>
              <w:ind w:right="454"/>
              <w:rPr>
                <w:rFonts w:ascii="Times New Roman" w:hAnsi="Times New Roman" w:cs="Times New Roman"/>
                <w:sz w:val="20"/>
                <w:szCs w:val="20"/>
              </w:rPr>
            </w:pPr>
            <w:r w:rsidRPr="00693892">
              <w:rPr>
                <w:rFonts w:ascii="Times New Roman" w:hAnsi="Times New Roman" w:cs="Times New Roman"/>
                <w:sz w:val="20"/>
                <w:szCs w:val="20"/>
              </w:rPr>
              <w:t>Fewer People Sheltered in</w:t>
            </w:r>
            <w:r w:rsidRPr="00693892">
              <w:rPr>
                <w:rFonts w:ascii="Times New Roman" w:hAnsi="Times New Roman" w:cs="Times New Roman"/>
                <w:spacing w:val="3"/>
                <w:sz w:val="20"/>
                <w:szCs w:val="20"/>
              </w:rPr>
              <w:t xml:space="preserve"> </w:t>
            </w:r>
            <w:r w:rsidRPr="00693892">
              <w:rPr>
                <w:rFonts w:ascii="Times New Roman" w:hAnsi="Times New Roman" w:cs="Times New Roman"/>
                <w:spacing w:val="-4"/>
                <w:sz w:val="20"/>
                <w:szCs w:val="20"/>
              </w:rPr>
              <w:t>Place</w:t>
            </w:r>
          </w:p>
          <w:p w:rsidR="00E93325" w:rsidRPr="00693892" w:rsidP="009C49A0" w14:paraId="43A23D6E" w14:textId="77777777">
            <w:pPr>
              <w:numPr>
                <w:ilvl w:val="0"/>
                <w:numId w:val="7"/>
              </w:numPr>
              <w:tabs>
                <w:tab w:val="left" w:pos="520"/>
                <w:tab w:val="left" w:pos="521"/>
              </w:tabs>
              <w:spacing w:after="0" w:line="240" w:lineRule="auto"/>
              <w:ind w:hanging="361"/>
              <w:rPr>
                <w:rFonts w:ascii="Times New Roman" w:hAnsi="Times New Roman" w:cs="Times New Roman"/>
                <w:sz w:val="20"/>
                <w:szCs w:val="20"/>
              </w:rPr>
            </w:pPr>
            <w:r w:rsidRPr="00693892">
              <w:rPr>
                <w:rFonts w:ascii="Times New Roman" w:hAnsi="Times New Roman" w:cs="Times New Roman"/>
                <w:sz w:val="20"/>
                <w:szCs w:val="20"/>
              </w:rPr>
              <w:t>Fewer</w:t>
            </w:r>
            <w:r w:rsidRPr="00693892">
              <w:rPr>
                <w:rFonts w:ascii="Times New Roman" w:hAnsi="Times New Roman" w:cs="Times New Roman"/>
                <w:spacing w:val="-4"/>
                <w:sz w:val="20"/>
                <w:szCs w:val="20"/>
              </w:rPr>
              <w:t xml:space="preserve"> </w:t>
            </w:r>
            <w:r w:rsidRPr="00693892">
              <w:rPr>
                <w:rFonts w:ascii="Times New Roman" w:hAnsi="Times New Roman" w:cs="Times New Roman"/>
                <w:sz w:val="20"/>
                <w:szCs w:val="20"/>
              </w:rPr>
              <w:t>Evacuations</w:t>
            </w:r>
          </w:p>
          <w:p w:rsidR="00687B52" w:rsidRPr="00693892" w:rsidP="009C49A0" w14:paraId="421B7D14" w14:textId="291E3F25">
            <w:pPr>
              <w:numPr>
                <w:ilvl w:val="0"/>
                <w:numId w:val="7"/>
              </w:numPr>
              <w:tabs>
                <w:tab w:val="left" w:pos="520"/>
                <w:tab w:val="left" w:pos="521"/>
              </w:tabs>
              <w:spacing w:after="0" w:line="240" w:lineRule="auto"/>
              <w:ind w:hanging="361"/>
              <w:rPr>
                <w:rFonts w:ascii="Times New Roman" w:hAnsi="Times New Roman" w:cs="Times New Roman"/>
                <w:sz w:val="20"/>
                <w:szCs w:val="20"/>
              </w:rPr>
            </w:pPr>
            <w:r>
              <w:rPr>
                <w:rFonts w:ascii="Times New Roman" w:hAnsi="Times New Roman" w:cs="Times New Roman"/>
                <w:sz w:val="20"/>
                <w:szCs w:val="20"/>
              </w:rPr>
              <w:t xml:space="preserve">Avoided </w:t>
            </w:r>
            <w:r w:rsidR="00CE5CAB">
              <w:rPr>
                <w:rFonts w:ascii="Times New Roman" w:hAnsi="Times New Roman" w:cs="Times New Roman"/>
                <w:sz w:val="20"/>
                <w:szCs w:val="20"/>
              </w:rPr>
              <w:t>Health R</w:t>
            </w:r>
            <w:r>
              <w:rPr>
                <w:rFonts w:ascii="Times New Roman" w:hAnsi="Times New Roman" w:cs="Times New Roman"/>
                <w:sz w:val="20"/>
                <w:szCs w:val="20"/>
              </w:rPr>
              <w:t>isks of  exposure to toxics</w:t>
            </w:r>
          </w:p>
          <w:p w:rsidR="00E93325" w:rsidRPr="00693892" w:rsidP="009C49A0" w14:paraId="339A331F" w14:textId="77777777">
            <w:pPr>
              <w:numPr>
                <w:ilvl w:val="0"/>
                <w:numId w:val="7"/>
              </w:numPr>
              <w:tabs>
                <w:tab w:val="left" w:pos="520"/>
                <w:tab w:val="left" w:pos="521"/>
              </w:tabs>
              <w:spacing w:after="0" w:line="240" w:lineRule="auto"/>
              <w:ind w:right="882"/>
              <w:rPr>
                <w:rFonts w:ascii="Times New Roman" w:hAnsi="Times New Roman" w:cs="Times New Roman"/>
                <w:sz w:val="20"/>
                <w:szCs w:val="20"/>
              </w:rPr>
            </w:pPr>
            <w:r w:rsidRPr="00693892">
              <w:rPr>
                <w:rFonts w:ascii="Times New Roman" w:hAnsi="Times New Roman" w:cs="Times New Roman"/>
                <w:sz w:val="20"/>
                <w:szCs w:val="20"/>
              </w:rPr>
              <w:t xml:space="preserve">Avoided </w:t>
            </w:r>
            <w:r w:rsidRPr="00693892">
              <w:rPr>
                <w:rFonts w:ascii="Times New Roman" w:hAnsi="Times New Roman" w:cs="Times New Roman"/>
                <w:spacing w:val="-5"/>
                <w:sz w:val="20"/>
                <w:szCs w:val="20"/>
              </w:rPr>
              <w:t xml:space="preserve">Lost </w:t>
            </w:r>
            <w:r w:rsidRPr="00693892">
              <w:rPr>
                <w:rFonts w:ascii="Times New Roman" w:hAnsi="Times New Roman" w:cs="Times New Roman"/>
                <w:sz w:val="20"/>
                <w:szCs w:val="20"/>
              </w:rPr>
              <w:t>Productivity</w:t>
            </w:r>
          </w:p>
          <w:p w:rsidR="00E93325" w:rsidRPr="00693892" w:rsidP="009C49A0" w14:paraId="3DA7F159" w14:textId="77777777">
            <w:pPr>
              <w:numPr>
                <w:ilvl w:val="0"/>
                <w:numId w:val="7"/>
              </w:numPr>
              <w:tabs>
                <w:tab w:val="left" w:pos="520"/>
                <w:tab w:val="left" w:pos="521"/>
              </w:tabs>
              <w:spacing w:after="0" w:line="240" w:lineRule="auto"/>
              <w:ind w:right="285"/>
              <w:rPr>
                <w:rFonts w:ascii="Times New Roman" w:hAnsi="Times New Roman" w:cs="Times New Roman"/>
                <w:sz w:val="20"/>
                <w:szCs w:val="20"/>
              </w:rPr>
            </w:pPr>
            <w:r w:rsidRPr="00693892">
              <w:rPr>
                <w:rFonts w:ascii="Times New Roman" w:hAnsi="Times New Roman" w:cs="Times New Roman"/>
                <w:sz w:val="20"/>
                <w:szCs w:val="20"/>
              </w:rPr>
              <w:t xml:space="preserve">Avoided </w:t>
            </w:r>
            <w:r w:rsidRPr="00693892">
              <w:rPr>
                <w:rFonts w:ascii="Times New Roman" w:hAnsi="Times New Roman" w:cs="Times New Roman"/>
                <w:spacing w:val="-3"/>
                <w:sz w:val="20"/>
                <w:szCs w:val="20"/>
              </w:rPr>
              <w:t xml:space="preserve">Emergency </w:t>
            </w:r>
            <w:r w:rsidRPr="00693892">
              <w:rPr>
                <w:rFonts w:ascii="Times New Roman" w:hAnsi="Times New Roman" w:cs="Times New Roman"/>
                <w:sz w:val="20"/>
                <w:szCs w:val="20"/>
              </w:rPr>
              <w:t>Response</w:t>
            </w:r>
            <w:r w:rsidRPr="00693892">
              <w:rPr>
                <w:rFonts w:ascii="Times New Roman" w:hAnsi="Times New Roman" w:cs="Times New Roman"/>
                <w:spacing w:val="-1"/>
                <w:sz w:val="20"/>
                <w:szCs w:val="20"/>
              </w:rPr>
              <w:t xml:space="preserve"> </w:t>
            </w:r>
            <w:r w:rsidRPr="00693892">
              <w:rPr>
                <w:rFonts w:ascii="Times New Roman" w:hAnsi="Times New Roman" w:cs="Times New Roman"/>
                <w:sz w:val="20"/>
                <w:szCs w:val="20"/>
              </w:rPr>
              <w:t>Costs</w:t>
            </w:r>
          </w:p>
          <w:p w:rsidR="00E93325" w:rsidRPr="00693892" w:rsidP="009C49A0" w14:paraId="6EE2A8F0" w14:textId="77777777">
            <w:pPr>
              <w:numPr>
                <w:ilvl w:val="0"/>
                <w:numId w:val="7"/>
              </w:numPr>
              <w:tabs>
                <w:tab w:val="left" w:pos="520"/>
                <w:tab w:val="left" w:pos="521"/>
              </w:tabs>
              <w:spacing w:after="0" w:line="240" w:lineRule="auto"/>
              <w:ind w:right="235"/>
              <w:rPr>
                <w:rFonts w:ascii="Times New Roman" w:hAnsi="Times New Roman" w:cs="Times New Roman"/>
                <w:sz w:val="20"/>
                <w:szCs w:val="20"/>
              </w:rPr>
            </w:pPr>
            <w:r w:rsidRPr="00693892">
              <w:rPr>
                <w:rFonts w:ascii="Times New Roman" w:hAnsi="Times New Roman" w:cs="Times New Roman"/>
                <w:sz w:val="20"/>
                <w:szCs w:val="20"/>
              </w:rPr>
              <w:t xml:space="preserve">Avoided </w:t>
            </w:r>
            <w:r w:rsidRPr="00693892">
              <w:rPr>
                <w:rFonts w:ascii="Times New Roman" w:hAnsi="Times New Roman" w:cs="Times New Roman"/>
                <w:spacing w:val="-3"/>
                <w:sz w:val="20"/>
                <w:szCs w:val="20"/>
              </w:rPr>
              <w:t xml:space="preserve">Transaction </w:t>
            </w:r>
            <w:r w:rsidRPr="00693892">
              <w:rPr>
                <w:rFonts w:ascii="Times New Roman" w:hAnsi="Times New Roman" w:cs="Times New Roman"/>
                <w:sz w:val="20"/>
                <w:szCs w:val="20"/>
              </w:rPr>
              <w:t>Costs</w:t>
            </w:r>
          </w:p>
          <w:p w:rsidR="00E93325" w:rsidRPr="00693892" w:rsidP="009C49A0" w14:paraId="0877F594" w14:textId="77777777">
            <w:pPr>
              <w:numPr>
                <w:ilvl w:val="0"/>
                <w:numId w:val="7"/>
              </w:numPr>
              <w:tabs>
                <w:tab w:val="left" w:pos="520"/>
                <w:tab w:val="left" w:pos="521"/>
              </w:tabs>
              <w:spacing w:after="0" w:line="240" w:lineRule="auto"/>
              <w:ind w:right="488"/>
              <w:rPr>
                <w:rFonts w:ascii="Times New Roman" w:hAnsi="Times New Roman" w:cs="Times New Roman"/>
                <w:sz w:val="20"/>
                <w:szCs w:val="20"/>
              </w:rPr>
            </w:pPr>
            <w:r w:rsidRPr="00693892">
              <w:rPr>
                <w:rFonts w:ascii="Times New Roman" w:hAnsi="Times New Roman" w:cs="Times New Roman"/>
                <w:sz w:val="20"/>
                <w:szCs w:val="20"/>
              </w:rPr>
              <w:t xml:space="preserve">Avoided </w:t>
            </w:r>
            <w:r w:rsidRPr="00693892">
              <w:rPr>
                <w:rFonts w:ascii="Times New Roman" w:hAnsi="Times New Roman" w:cs="Times New Roman"/>
                <w:spacing w:val="-4"/>
                <w:sz w:val="20"/>
                <w:szCs w:val="20"/>
              </w:rPr>
              <w:t xml:space="preserve">Property </w:t>
            </w:r>
            <w:r w:rsidRPr="00693892">
              <w:rPr>
                <w:rFonts w:ascii="Times New Roman" w:hAnsi="Times New Roman" w:cs="Times New Roman"/>
                <w:sz w:val="20"/>
                <w:szCs w:val="20"/>
              </w:rPr>
              <w:t>Value</w:t>
            </w:r>
            <w:r w:rsidRPr="00693892">
              <w:rPr>
                <w:rFonts w:ascii="Times New Roman" w:hAnsi="Times New Roman" w:cs="Times New Roman"/>
                <w:spacing w:val="-1"/>
                <w:sz w:val="20"/>
                <w:szCs w:val="20"/>
              </w:rPr>
              <w:t xml:space="preserve"> </w:t>
            </w:r>
            <w:r w:rsidRPr="00693892">
              <w:rPr>
                <w:rFonts w:ascii="Times New Roman" w:hAnsi="Times New Roman" w:cs="Times New Roman"/>
                <w:sz w:val="20"/>
                <w:szCs w:val="20"/>
              </w:rPr>
              <w:t>Impacts*</w:t>
            </w:r>
          </w:p>
          <w:p w:rsidR="00E93325" w:rsidRPr="00693892" w:rsidP="009C49A0" w14:paraId="7D14E1F0" w14:textId="77777777">
            <w:pPr>
              <w:numPr>
                <w:ilvl w:val="0"/>
                <w:numId w:val="7"/>
              </w:numPr>
              <w:tabs>
                <w:tab w:val="left" w:pos="520"/>
                <w:tab w:val="left" w:pos="521"/>
              </w:tabs>
              <w:spacing w:after="0" w:line="240" w:lineRule="auto"/>
              <w:ind w:right="729"/>
              <w:rPr>
                <w:rFonts w:ascii="Times New Roman" w:hAnsi="Times New Roman" w:cs="Times New Roman"/>
                <w:sz w:val="20"/>
                <w:szCs w:val="20"/>
              </w:rPr>
            </w:pPr>
            <w:r w:rsidRPr="00693892">
              <w:rPr>
                <w:rFonts w:ascii="Times New Roman" w:hAnsi="Times New Roman" w:cs="Times New Roman"/>
                <w:sz w:val="20"/>
                <w:szCs w:val="20"/>
              </w:rPr>
              <w:t xml:space="preserve">Avoided </w:t>
            </w:r>
            <w:r w:rsidRPr="00693892">
              <w:rPr>
                <w:rFonts w:ascii="Times New Roman" w:hAnsi="Times New Roman" w:cs="Times New Roman"/>
                <w:spacing w:val="-1"/>
                <w:sz w:val="20"/>
                <w:szCs w:val="20"/>
              </w:rPr>
              <w:t xml:space="preserve">Environmental </w:t>
            </w:r>
            <w:r w:rsidRPr="00693892">
              <w:rPr>
                <w:rFonts w:ascii="Times New Roman" w:hAnsi="Times New Roman" w:cs="Times New Roman"/>
                <w:sz w:val="20"/>
                <w:szCs w:val="20"/>
              </w:rPr>
              <w:t>Impacts</w:t>
            </w:r>
          </w:p>
        </w:tc>
      </w:tr>
      <w:tr w14:paraId="6A237C35" w14:textId="77777777" w:rsidTr="00693892">
        <w:tblPrEx>
          <w:tblW w:w="9355" w:type="dxa"/>
          <w:tblLayout w:type="fixed"/>
          <w:tblCellMar>
            <w:left w:w="0" w:type="dxa"/>
            <w:right w:w="0" w:type="dxa"/>
          </w:tblCellMar>
          <w:tblLook w:val="01E0"/>
        </w:tblPrEx>
        <w:trPr>
          <w:trHeight w:val="356"/>
        </w:trPr>
        <w:tc>
          <w:tcPr>
            <w:tcW w:w="2245" w:type="dxa"/>
            <w:vAlign w:val="center"/>
          </w:tcPr>
          <w:p w:rsidR="00E93325" w:rsidRPr="00693892" w:rsidP="00693892" w14:paraId="3F6A4E24" w14:textId="77777777">
            <w:pPr>
              <w:spacing w:after="0" w:line="240" w:lineRule="auto"/>
              <w:rPr>
                <w:rFonts w:ascii="Times New Roman" w:hAnsi="Times New Roman" w:cs="Times New Roman"/>
                <w:b/>
                <w:sz w:val="20"/>
                <w:szCs w:val="20"/>
              </w:rPr>
            </w:pPr>
          </w:p>
          <w:p w:rsidR="00E93325" w:rsidRPr="00693892" w:rsidP="00693892" w14:paraId="6C4495BD" w14:textId="77777777">
            <w:pPr>
              <w:spacing w:after="0" w:line="240" w:lineRule="auto"/>
              <w:rPr>
                <w:rFonts w:ascii="Times New Roman" w:hAnsi="Times New Roman" w:cs="Times New Roman"/>
                <w:b/>
                <w:sz w:val="20"/>
                <w:szCs w:val="20"/>
              </w:rPr>
            </w:pPr>
          </w:p>
          <w:p w:rsidR="00E93325" w:rsidRPr="00693892" w:rsidP="00693892" w14:paraId="1E316B9F" w14:textId="77777777">
            <w:pPr>
              <w:spacing w:after="0" w:line="240" w:lineRule="auto"/>
              <w:ind w:left="107"/>
              <w:rPr>
                <w:rFonts w:ascii="Times New Roman" w:hAnsi="Times New Roman" w:cs="Times New Roman"/>
                <w:sz w:val="20"/>
                <w:szCs w:val="20"/>
              </w:rPr>
            </w:pPr>
            <w:r w:rsidRPr="00693892">
              <w:rPr>
                <w:rFonts w:ascii="Times New Roman" w:hAnsi="Times New Roman" w:cs="Times New Roman"/>
                <w:sz w:val="20"/>
                <w:szCs w:val="20"/>
              </w:rPr>
              <w:t>Accident Mitigation</w:t>
            </w:r>
          </w:p>
        </w:tc>
        <w:tc>
          <w:tcPr>
            <w:tcW w:w="2970" w:type="dxa"/>
            <w:vAlign w:val="center"/>
          </w:tcPr>
          <w:p w:rsidR="00E93325" w:rsidRPr="00693892" w:rsidP="00693892" w14:paraId="68FA8541" w14:textId="77777777">
            <w:pPr>
              <w:spacing w:after="0" w:line="240" w:lineRule="auto"/>
              <w:rPr>
                <w:rFonts w:ascii="Times New Roman" w:hAnsi="Times New Roman" w:cs="Times New Roman"/>
                <w:b/>
                <w:sz w:val="20"/>
                <w:szCs w:val="20"/>
              </w:rPr>
            </w:pPr>
          </w:p>
          <w:p w:rsidR="00E93325" w:rsidRPr="00693892" w:rsidP="00693892" w14:paraId="6DD70E4A" w14:textId="77777777">
            <w:pPr>
              <w:spacing w:after="0" w:line="240" w:lineRule="auto"/>
              <w:rPr>
                <w:rFonts w:ascii="Times New Roman" w:hAnsi="Times New Roman" w:cs="Times New Roman"/>
                <w:b/>
                <w:sz w:val="20"/>
                <w:szCs w:val="20"/>
              </w:rPr>
            </w:pPr>
          </w:p>
          <w:p w:rsidR="00E93325" w:rsidRPr="00693892" w:rsidP="00693892" w14:paraId="6E4C1A80" w14:textId="77777777">
            <w:pPr>
              <w:spacing w:after="0" w:line="240" w:lineRule="auto"/>
              <w:ind w:left="89" w:right="122"/>
              <w:rPr>
                <w:rFonts w:ascii="Times New Roman" w:hAnsi="Times New Roman" w:cs="Times New Roman"/>
                <w:sz w:val="20"/>
                <w:szCs w:val="20"/>
              </w:rPr>
            </w:pPr>
            <w:r w:rsidRPr="00693892">
              <w:rPr>
                <w:rFonts w:ascii="Times New Roman" w:hAnsi="Times New Roman" w:cs="Times New Roman"/>
                <w:sz w:val="20"/>
                <w:szCs w:val="20"/>
              </w:rPr>
              <w:t>Mitigation of future RMP facility accidents</w:t>
            </w:r>
          </w:p>
        </w:tc>
        <w:tc>
          <w:tcPr>
            <w:tcW w:w="4140" w:type="dxa"/>
            <w:vMerge/>
            <w:tcBorders>
              <w:top w:val="nil"/>
            </w:tcBorders>
            <w:vAlign w:val="center"/>
          </w:tcPr>
          <w:p w:rsidR="00E93325" w:rsidRPr="00693892" w:rsidP="00693892" w14:paraId="78A196CF" w14:textId="77777777">
            <w:pPr>
              <w:spacing w:after="0" w:line="240" w:lineRule="auto"/>
              <w:rPr>
                <w:rFonts w:ascii="Times New Roman" w:hAnsi="Times New Roman" w:cs="Times New Roman"/>
                <w:sz w:val="20"/>
                <w:szCs w:val="20"/>
              </w:rPr>
            </w:pPr>
          </w:p>
        </w:tc>
      </w:tr>
      <w:tr w14:paraId="63CE2187" w14:textId="77777777" w:rsidTr="00693892">
        <w:tblPrEx>
          <w:tblW w:w="9355" w:type="dxa"/>
          <w:tblLayout w:type="fixed"/>
          <w:tblCellMar>
            <w:left w:w="0" w:type="dxa"/>
            <w:right w:w="0" w:type="dxa"/>
          </w:tblCellMar>
          <w:tblLook w:val="01E0"/>
        </w:tblPrEx>
        <w:trPr>
          <w:trHeight w:val="920"/>
        </w:trPr>
        <w:tc>
          <w:tcPr>
            <w:tcW w:w="2245" w:type="dxa"/>
            <w:vAlign w:val="center"/>
          </w:tcPr>
          <w:p w:rsidR="00E93325" w:rsidRPr="00693892" w:rsidP="00693892" w14:paraId="6E60E494" w14:textId="77777777">
            <w:pPr>
              <w:spacing w:after="0" w:line="240" w:lineRule="auto"/>
              <w:rPr>
                <w:rFonts w:ascii="Times New Roman" w:hAnsi="Times New Roman" w:cs="Times New Roman"/>
                <w:b/>
                <w:sz w:val="20"/>
                <w:szCs w:val="20"/>
              </w:rPr>
            </w:pPr>
          </w:p>
          <w:p w:rsidR="00E93325" w:rsidRPr="00693892" w:rsidP="00693892" w14:paraId="162DEE1D" w14:textId="77777777">
            <w:pPr>
              <w:spacing w:after="0" w:line="240" w:lineRule="auto"/>
              <w:ind w:left="107" w:right="259"/>
              <w:rPr>
                <w:rFonts w:ascii="Times New Roman" w:hAnsi="Times New Roman" w:cs="Times New Roman"/>
                <w:sz w:val="20"/>
                <w:szCs w:val="20"/>
              </w:rPr>
            </w:pPr>
            <w:r w:rsidRPr="00693892">
              <w:rPr>
                <w:rFonts w:ascii="Times New Roman" w:hAnsi="Times New Roman" w:cs="Times New Roman"/>
                <w:sz w:val="20"/>
                <w:szCs w:val="20"/>
              </w:rPr>
              <w:t xml:space="preserve">Non-RMP </w:t>
            </w:r>
            <w:r w:rsidR="00250508">
              <w:rPr>
                <w:rFonts w:ascii="Times New Roman" w:hAnsi="Times New Roman" w:cs="Times New Roman"/>
                <w:sz w:val="20"/>
                <w:szCs w:val="20"/>
              </w:rPr>
              <w:t>A</w:t>
            </w:r>
            <w:r w:rsidRPr="00693892">
              <w:rPr>
                <w:rFonts w:ascii="Times New Roman" w:hAnsi="Times New Roman" w:cs="Times New Roman"/>
                <w:sz w:val="20"/>
                <w:szCs w:val="20"/>
              </w:rPr>
              <w:t xml:space="preserve">ccident </w:t>
            </w:r>
            <w:r w:rsidR="00250508">
              <w:rPr>
                <w:rFonts w:ascii="Times New Roman" w:hAnsi="Times New Roman" w:cs="Times New Roman"/>
                <w:sz w:val="20"/>
                <w:szCs w:val="20"/>
              </w:rPr>
              <w:t>P</w:t>
            </w:r>
            <w:r w:rsidRPr="00693892">
              <w:rPr>
                <w:rFonts w:ascii="Times New Roman" w:hAnsi="Times New Roman" w:cs="Times New Roman"/>
                <w:sz w:val="20"/>
                <w:szCs w:val="20"/>
              </w:rPr>
              <w:t xml:space="preserve">revention and </w:t>
            </w:r>
            <w:r w:rsidR="00250508">
              <w:rPr>
                <w:rFonts w:ascii="Times New Roman" w:hAnsi="Times New Roman" w:cs="Times New Roman"/>
                <w:sz w:val="20"/>
                <w:szCs w:val="20"/>
              </w:rPr>
              <w:t>M</w:t>
            </w:r>
            <w:r w:rsidRPr="00693892">
              <w:rPr>
                <w:rFonts w:ascii="Times New Roman" w:hAnsi="Times New Roman" w:cs="Times New Roman"/>
                <w:sz w:val="20"/>
                <w:szCs w:val="20"/>
              </w:rPr>
              <w:t>itigation</w:t>
            </w:r>
          </w:p>
        </w:tc>
        <w:tc>
          <w:tcPr>
            <w:tcW w:w="2970" w:type="dxa"/>
            <w:vAlign w:val="center"/>
          </w:tcPr>
          <w:p w:rsidR="00E93325" w:rsidRPr="00693892" w:rsidP="00693892" w14:paraId="7B149B2F" w14:textId="77777777">
            <w:pPr>
              <w:spacing w:after="0" w:line="240" w:lineRule="auto"/>
              <w:rPr>
                <w:rFonts w:ascii="Times New Roman" w:hAnsi="Times New Roman" w:cs="Times New Roman"/>
                <w:b/>
                <w:sz w:val="20"/>
                <w:szCs w:val="20"/>
              </w:rPr>
            </w:pPr>
          </w:p>
          <w:p w:rsidR="00E93325" w:rsidRPr="00693892" w:rsidP="00693892" w14:paraId="6092534E" w14:textId="77777777">
            <w:pPr>
              <w:spacing w:after="0" w:line="240" w:lineRule="auto"/>
              <w:ind w:left="107" w:right="254"/>
              <w:rPr>
                <w:rFonts w:ascii="Times New Roman" w:hAnsi="Times New Roman" w:cs="Times New Roman"/>
                <w:sz w:val="20"/>
                <w:szCs w:val="20"/>
              </w:rPr>
            </w:pPr>
            <w:r w:rsidRPr="00693892">
              <w:rPr>
                <w:rFonts w:ascii="Times New Roman" w:hAnsi="Times New Roman" w:cs="Times New Roman"/>
                <w:sz w:val="20"/>
                <w:szCs w:val="20"/>
              </w:rPr>
              <w:t>Prevention and mitigation of future non-RMP accidents at RMP facilities</w:t>
            </w:r>
          </w:p>
        </w:tc>
        <w:tc>
          <w:tcPr>
            <w:tcW w:w="4140" w:type="dxa"/>
            <w:vMerge/>
            <w:tcBorders>
              <w:top w:val="nil"/>
            </w:tcBorders>
            <w:vAlign w:val="center"/>
          </w:tcPr>
          <w:p w:rsidR="00E93325" w:rsidRPr="00693892" w:rsidP="00693892" w14:paraId="6892D3A4" w14:textId="77777777">
            <w:pPr>
              <w:spacing w:after="0" w:line="240" w:lineRule="auto"/>
              <w:rPr>
                <w:rFonts w:ascii="Times New Roman" w:hAnsi="Times New Roman" w:cs="Times New Roman"/>
                <w:sz w:val="20"/>
                <w:szCs w:val="20"/>
              </w:rPr>
            </w:pPr>
          </w:p>
        </w:tc>
      </w:tr>
      <w:tr w14:paraId="4A5C14BA" w14:textId="77777777" w:rsidTr="00693892">
        <w:tblPrEx>
          <w:tblW w:w="9355" w:type="dxa"/>
          <w:tblLayout w:type="fixed"/>
          <w:tblCellMar>
            <w:left w:w="0" w:type="dxa"/>
            <w:right w:w="0" w:type="dxa"/>
          </w:tblCellMar>
          <w:tblLook w:val="01E0"/>
        </w:tblPrEx>
        <w:trPr>
          <w:trHeight w:val="758"/>
        </w:trPr>
        <w:tc>
          <w:tcPr>
            <w:tcW w:w="2245" w:type="dxa"/>
            <w:vAlign w:val="center"/>
          </w:tcPr>
          <w:p w:rsidR="00E93325" w:rsidRPr="00693892" w:rsidP="00693892" w14:paraId="75E927E8" w14:textId="77777777">
            <w:pPr>
              <w:spacing w:after="0" w:line="240" w:lineRule="auto"/>
              <w:rPr>
                <w:rFonts w:ascii="Times New Roman" w:hAnsi="Times New Roman" w:cs="Times New Roman"/>
                <w:b/>
                <w:sz w:val="20"/>
                <w:szCs w:val="20"/>
              </w:rPr>
            </w:pPr>
          </w:p>
          <w:p w:rsidR="00E93325" w:rsidRPr="00693892" w:rsidP="00693892" w14:paraId="0CACF6C1" w14:textId="77777777">
            <w:pPr>
              <w:spacing w:after="0" w:line="240" w:lineRule="auto"/>
              <w:rPr>
                <w:rFonts w:ascii="Times New Roman" w:hAnsi="Times New Roman" w:cs="Times New Roman"/>
                <w:b/>
                <w:sz w:val="20"/>
                <w:szCs w:val="20"/>
              </w:rPr>
            </w:pPr>
          </w:p>
          <w:p w:rsidR="00E93325" w:rsidRPr="00693892" w:rsidP="00693892" w14:paraId="62830D2C" w14:textId="77777777">
            <w:pPr>
              <w:spacing w:after="0" w:line="240" w:lineRule="auto"/>
              <w:ind w:left="107"/>
              <w:rPr>
                <w:rFonts w:ascii="Times New Roman" w:hAnsi="Times New Roman" w:cs="Times New Roman"/>
                <w:sz w:val="20"/>
                <w:szCs w:val="20"/>
              </w:rPr>
            </w:pPr>
            <w:r w:rsidRPr="00693892">
              <w:rPr>
                <w:rFonts w:ascii="Times New Roman" w:hAnsi="Times New Roman" w:cs="Times New Roman"/>
                <w:sz w:val="20"/>
                <w:szCs w:val="20"/>
              </w:rPr>
              <w:t xml:space="preserve">Avoided </w:t>
            </w:r>
            <w:r w:rsidR="00231172">
              <w:rPr>
                <w:rFonts w:ascii="Times New Roman" w:hAnsi="Times New Roman" w:cs="Times New Roman"/>
                <w:sz w:val="20"/>
                <w:szCs w:val="20"/>
              </w:rPr>
              <w:t xml:space="preserve">Major </w:t>
            </w:r>
            <w:r w:rsidRPr="00693892">
              <w:rPr>
                <w:rFonts w:ascii="Times New Roman" w:hAnsi="Times New Roman" w:cs="Times New Roman"/>
                <w:sz w:val="20"/>
                <w:szCs w:val="20"/>
              </w:rPr>
              <w:t>Catastrophes</w:t>
            </w:r>
          </w:p>
        </w:tc>
        <w:tc>
          <w:tcPr>
            <w:tcW w:w="2970" w:type="dxa"/>
            <w:vAlign w:val="center"/>
          </w:tcPr>
          <w:p w:rsidR="00E93325" w:rsidRPr="00693892" w:rsidP="00693892" w14:paraId="589D40A0" w14:textId="77777777">
            <w:pPr>
              <w:spacing w:after="0" w:line="240" w:lineRule="auto"/>
              <w:rPr>
                <w:rFonts w:ascii="Times New Roman" w:hAnsi="Times New Roman" w:cs="Times New Roman"/>
                <w:b/>
                <w:sz w:val="20"/>
                <w:szCs w:val="20"/>
              </w:rPr>
            </w:pPr>
          </w:p>
          <w:p w:rsidR="00E93325" w:rsidRPr="00693892" w:rsidP="00693892" w14:paraId="23C52CB1" w14:textId="77777777">
            <w:pPr>
              <w:spacing w:after="0" w:line="240" w:lineRule="auto"/>
              <w:ind w:left="107" w:right="508"/>
              <w:rPr>
                <w:rFonts w:ascii="Times New Roman" w:hAnsi="Times New Roman" w:cs="Times New Roman"/>
                <w:sz w:val="20"/>
                <w:szCs w:val="20"/>
              </w:rPr>
            </w:pPr>
            <w:r w:rsidRPr="00693892">
              <w:rPr>
                <w:rFonts w:ascii="Times New Roman" w:hAnsi="Times New Roman" w:cs="Times New Roman"/>
                <w:sz w:val="20"/>
                <w:szCs w:val="20"/>
              </w:rPr>
              <w:t>Prevention of rare but extremely high consequence events</w:t>
            </w:r>
          </w:p>
        </w:tc>
        <w:tc>
          <w:tcPr>
            <w:tcW w:w="4140" w:type="dxa"/>
            <w:vMerge/>
            <w:tcBorders>
              <w:top w:val="nil"/>
            </w:tcBorders>
            <w:vAlign w:val="center"/>
          </w:tcPr>
          <w:p w:rsidR="00E93325" w:rsidRPr="00693892" w:rsidP="00693892" w14:paraId="5E5051B9" w14:textId="77777777">
            <w:pPr>
              <w:spacing w:after="0" w:line="240" w:lineRule="auto"/>
              <w:rPr>
                <w:rFonts w:ascii="Times New Roman" w:hAnsi="Times New Roman" w:cs="Times New Roman"/>
                <w:sz w:val="20"/>
                <w:szCs w:val="20"/>
              </w:rPr>
            </w:pPr>
          </w:p>
        </w:tc>
      </w:tr>
      <w:tr w14:paraId="3666512B" w14:textId="77777777" w:rsidTr="00693892">
        <w:tblPrEx>
          <w:tblW w:w="9355" w:type="dxa"/>
          <w:tblLayout w:type="fixed"/>
          <w:tblCellMar>
            <w:left w:w="0" w:type="dxa"/>
            <w:right w:w="0" w:type="dxa"/>
          </w:tblCellMar>
          <w:tblLook w:val="01E0"/>
        </w:tblPrEx>
        <w:trPr>
          <w:trHeight w:val="1089"/>
        </w:trPr>
        <w:tc>
          <w:tcPr>
            <w:tcW w:w="2245" w:type="dxa"/>
            <w:vAlign w:val="center"/>
          </w:tcPr>
          <w:p w:rsidR="00E93325" w:rsidRPr="00693892" w:rsidP="00693892" w14:paraId="4993FA56" w14:textId="77777777">
            <w:pPr>
              <w:spacing w:after="0" w:line="240" w:lineRule="auto"/>
              <w:rPr>
                <w:rFonts w:ascii="Times New Roman" w:hAnsi="Times New Roman" w:cs="Times New Roman"/>
                <w:b/>
                <w:sz w:val="20"/>
                <w:szCs w:val="20"/>
              </w:rPr>
            </w:pPr>
          </w:p>
          <w:p w:rsidR="00E93325" w:rsidRPr="00693892" w:rsidP="00693892" w14:paraId="4CF79C1E" w14:textId="77777777">
            <w:pPr>
              <w:spacing w:after="0" w:line="240" w:lineRule="auto"/>
              <w:ind w:left="107"/>
              <w:rPr>
                <w:rFonts w:ascii="Times New Roman" w:hAnsi="Times New Roman" w:cs="Times New Roman"/>
                <w:sz w:val="20"/>
                <w:szCs w:val="20"/>
              </w:rPr>
            </w:pPr>
            <w:r w:rsidRPr="00693892">
              <w:rPr>
                <w:rFonts w:ascii="Times New Roman" w:hAnsi="Times New Roman" w:cs="Times New Roman"/>
                <w:sz w:val="20"/>
                <w:szCs w:val="20"/>
              </w:rPr>
              <w:t>Information Availability</w:t>
            </w:r>
          </w:p>
        </w:tc>
        <w:tc>
          <w:tcPr>
            <w:tcW w:w="2970" w:type="dxa"/>
            <w:vAlign w:val="center"/>
          </w:tcPr>
          <w:p w:rsidR="00E93325" w:rsidRPr="00693892" w:rsidP="00693892" w14:paraId="522D13CC" w14:textId="77777777">
            <w:pPr>
              <w:spacing w:after="0" w:line="240" w:lineRule="auto"/>
              <w:rPr>
                <w:rFonts w:ascii="Times New Roman" w:hAnsi="Times New Roman" w:cs="Times New Roman"/>
                <w:b/>
                <w:sz w:val="20"/>
                <w:szCs w:val="20"/>
              </w:rPr>
            </w:pPr>
          </w:p>
          <w:p w:rsidR="00E93325" w:rsidRPr="00693892" w:rsidP="00693892" w14:paraId="265D5E57" w14:textId="77777777">
            <w:pPr>
              <w:spacing w:after="0" w:line="240" w:lineRule="auto"/>
              <w:ind w:left="107" w:right="160"/>
              <w:rPr>
                <w:rFonts w:ascii="Times New Roman" w:hAnsi="Times New Roman" w:cs="Times New Roman"/>
                <w:sz w:val="20"/>
                <w:szCs w:val="20"/>
              </w:rPr>
            </w:pPr>
            <w:r w:rsidRPr="00693892">
              <w:rPr>
                <w:rFonts w:ascii="Times New Roman" w:hAnsi="Times New Roman" w:cs="Times New Roman"/>
                <w:sz w:val="20"/>
                <w:szCs w:val="20"/>
              </w:rPr>
              <w:t>Provision of information to the public and emergency responders</w:t>
            </w:r>
          </w:p>
        </w:tc>
        <w:tc>
          <w:tcPr>
            <w:tcW w:w="4140" w:type="dxa"/>
            <w:vAlign w:val="center"/>
          </w:tcPr>
          <w:p w:rsidR="00E93325" w:rsidRPr="00693892" w:rsidP="009C49A0" w14:paraId="66F8F24A" w14:textId="77777777">
            <w:pPr>
              <w:numPr>
                <w:ilvl w:val="0"/>
                <w:numId w:val="6"/>
              </w:numPr>
              <w:tabs>
                <w:tab w:val="left" w:pos="520"/>
                <w:tab w:val="left" w:pos="521"/>
              </w:tabs>
              <w:spacing w:after="0" w:line="240" w:lineRule="auto"/>
              <w:ind w:right="71"/>
              <w:rPr>
                <w:rFonts w:ascii="Times New Roman" w:hAnsi="Times New Roman" w:cs="Times New Roman"/>
                <w:sz w:val="20"/>
                <w:szCs w:val="20"/>
              </w:rPr>
            </w:pPr>
            <w:r w:rsidRPr="00693892">
              <w:rPr>
                <w:rFonts w:ascii="Times New Roman" w:hAnsi="Times New Roman" w:cs="Times New Roman"/>
                <w:sz w:val="20"/>
                <w:szCs w:val="20"/>
              </w:rPr>
              <w:t>Improved efficiency of property</w:t>
            </w:r>
            <w:r w:rsidRPr="00693892">
              <w:rPr>
                <w:rFonts w:ascii="Times New Roman" w:hAnsi="Times New Roman" w:cs="Times New Roman"/>
                <w:spacing w:val="-3"/>
                <w:sz w:val="20"/>
                <w:szCs w:val="20"/>
              </w:rPr>
              <w:t xml:space="preserve"> </w:t>
            </w:r>
            <w:r w:rsidRPr="00693892">
              <w:rPr>
                <w:rFonts w:ascii="Times New Roman" w:hAnsi="Times New Roman" w:cs="Times New Roman"/>
                <w:sz w:val="20"/>
                <w:szCs w:val="20"/>
              </w:rPr>
              <w:t>markets</w:t>
            </w:r>
          </w:p>
          <w:p w:rsidR="00E93325" w:rsidRPr="00693892" w:rsidP="009C49A0" w14:paraId="7773F40B" w14:textId="77777777">
            <w:pPr>
              <w:numPr>
                <w:ilvl w:val="0"/>
                <w:numId w:val="6"/>
              </w:numPr>
              <w:tabs>
                <w:tab w:val="left" w:pos="520"/>
                <w:tab w:val="left" w:pos="521"/>
              </w:tabs>
              <w:spacing w:after="0" w:line="240" w:lineRule="auto"/>
              <w:ind w:right="361"/>
              <w:rPr>
                <w:rFonts w:ascii="Times New Roman" w:hAnsi="Times New Roman" w:cs="Times New Roman"/>
                <w:sz w:val="20"/>
                <w:szCs w:val="20"/>
              </w:rPr>
            </w:pPr>
            <w:r w:rsidRPr="00693892">
              <w:rPr>
                <w:rFonts w:ascii="Times New Roman" w:hAnsi="Times New Roman" w:cs="Times New Roman"/>
                <w:sz w:val="20"/>
                <w:szCs w:val="20"/>
              </w:rPr>
              <w:t>Improved resource allocation</w:t>
            </w:r>
          </w:p>
        </w:tc>
      </w:tr>
    </w:tbl>
    <w:p w:rsidR="002863B3" w:rsidRPr="00693892" w:rsidP="00BF42A8" w14:paraId="0E44AC2D" w14:textId="77777777">
      <w:pPr>
        <w:spacing w:after="0" w:line="240" w:lineRule="auto"/>
        <w:rPr>
          <w:rFonts w:ascii="Times New Roman" w:hAnsi="Times New Roman" w:cs="Times New Roman"/>
          <w:sz w:val="18"/>
          <w:szCs w:val="18"/>
        </w:rPr>
      </w:pPr>
      <w:r w:rsidRPr="00964C0A">
        <w:rPr>
          <w:rFonts w:ascii="Times New Roman" w:hAnsi="Times New Roman" w:cs="Times New Roman"/>
          <w:sz w:val="18"/>
          <w:szCs w:val="18"/>
        </w:rPr>
        <w:t>*</w:t>
      </w:r>
      <w:r w:rsidRPr="00964C0A" w:rsidR="00E93325">
        <w:rPr>
          <w:rFonts w:ascii="Times New Roman" w:hAnsi="Times New Roman" w:cs="Times New Roman"/>
          <w:sz w:val="18"/>
          <w:szCs w:val="18"/>
        </w:rPr>
        <w:t>These impacts partially overlap with several other categories</w:t>
      </w:r>
      <w:r w:rsidRPr="00964C0A" w:rsidR="003C5AFC">
        <w:rPr>
          <w:rFonts w:ascii="Times New Roman" w:hAnsi="Times New Roman" w:cs="Times New Roman"/>
          <w:sz w:val="18"/>
          <w:szCs w:val="18"/>
        </w:rPr>
        <w:t>.</w:t>
      </w:r>
    </w:p>
    <w:p w:rsidR="00D726C0" w:rsidP="000000C7" w14:paraId="7B8DEDBF" w14:textId="77777777">
      <w:bookmarkStart w:id="443" w:name="_Toc98856234"/>
    </w:p>
    <w:p w:rsidR="00D726C0" w:rsidP="000000C7" w14:paraId="0EE6A975" w14:textId="77777777"/>
    <w:p w:rsidR="00673838" w:rsidP="008E0F4E" w14:paraId="41FFA4BA" w14:textId="77777777">
      <w:pPr>
        <w:pStyle w:val="Heading1"/>
      </w:pPr>
      <w:bookmarkStart w:id="444" w:name="_Toc144303592"/>
      <w:r w:rsidRPr="008E0F4E">
        <w:t>CHAPTER 7</w:t>
      </w:r>
      <w:r w:rsidR="00693892">
        <w:t>: Regulatory Alternatives Considered</w:t>
      </w:r>
      <w:bookmarkEnd w:id="444"/>
    </w:p>
    <w:bookmarkEnd w:id="443"/>
    <w:p w:rsidR="00306C75" w:rsidRPr="00693892" w:rsidP="000E6E0F" w14:paraId="075F4865"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 xml:space="preserve">The RIA analyzed </w:t>
      </w:r>
      <w:r w:rsidRPr="00693892" w:rsidR="00065EEC">
        <w:rPr>
          <w:rFonts w:ascii="Times New Roman" w:hAnsi="Times New Roman" w:cs="Times New Roman"/>
        </w:rPr>
        <w:t>t</w:t>
      </w:r>
      <w:r w:rsidRPr="00693892" w:rsidR="004779BB">
        <w:rPr>
          <w:rFonts w:ascii="Times New Roman" w:hAnsi="Times New Roman" w:cs="Times New Roman"/>
        </w:rPr>
        <w:t>wo</w:t>
      </w:r>
      <w:r w:rsidRPr="00693892">
        <w:rPr>
          <w:rFonts w:ascii="Times New Roman" w:hAnsi="Times New Roman" w:cs="Times New Roman"/>
        </w:rPr>
        <w:t xml:space="preserve"> </w:t>
      </w:r>
      <w:r w:rsidRPr="00693892" w:rsidR="00F315FB">
        <w:rPr>
          <w:rFonts w:ascii="Times New Roman" w:hAnsi="Times New Roman" w:cs="Times New Roman"/>
        </w:rPr>
        <w:t xml:space="preserve">regulatory </w:t>
      </w:r>
      <w:r w:rsidRPr="00693892">
        <w:rPr>
          <w:rFonts w:ascii="Times New Roman" w:hAnsi="Times New Roman" w:cs="Times New Roman"/>
        </w:rPr>
        <w:t xml:space="preserve">alternatives </w:t>
      </w:r>
      <w:r w:rsidRPr="00693892" w:rsidR="006479D8">
        <w:rPr>
          <w:rFonts w:ascii="Times New Roman" w:hAnsi="Times New Roman" w:cs="Times New Roman"/>
        </w:rPr>
        <w:t xml:space="preserve">to the </w:t>
      </w:r>
      <w:r w:rsidR="00E97E9E">
        <w:rPr>
          <w:rFonts w:ascii="Times New Roman" w:hAnsi="Times New Roman" w:cs="Times New Roman"/>
        </w:rPr>
        <w:t>final</w:t>
      </w:r>
      <w:r w:rsidRPr="00693892" w:rsidR="00E97E9E">
        <w:rPr>
          <w:rFonts w:ascii="Times New Roman" w:hAnsi="Times New Roman" w:cs="Times New Roman"/>
        </w:rPr>
        <w:t xml:space="preserve"> </w:t>
      </w:r>
      <w:r w:rsidRPr="00693892" w:rsidR="006479D8">
        <w:rPr>
          <w:rFonts w:ascii="Times New Roman" w:hAnsi="Times New Roman" w:cs="Times New Roman"/>
        </w:rPr>
        <w:t>rule</w:t>
      </w:r>
      <w:r w:rsidR="00CC51B4">
        <w:rPr>
          <w:rFonts w:ascii="Times New Roman" w:hAnsi="Times New Roman" w:cs="Times New Roman"/>
        </w:rPr>
        <w:t>:</w:t>
      </w:r>
      <w:r w:rsidRPr="00693892" w:rsidR="00F315FB">
        <w:rPr>
          <w:rFonts w:ascii="Times New Roman" w:hAnsi="Times New Roman" w:cs="Times New Roman"/>
        </w:rPr>
        <w:t xml:space="preserve"> one</w:t>
      </w:r>
      <w:r w:rsidRPr="00693892">
        <w:rPr>
          <w:rFonts w:ascii="Times New Roman" w:hAnsi="Times New Roman" w:cs="Times New Roman"/>
        </w:rPr>
        <w:t xml:space="preserve"> alternative with lower costs and</w:t>
      </w:r>
      <w:r w:rsidRPr="00693892" w:rsidR="008D5242">
        <w:rPr>
          <w:rFonts w:ascii="Times New Roman" w:hAnsi="Times New Roman" w:cs="Times New Roman"/>
        </w:rPr>
        <w:t xml:space="preserve"> one </w:t>
      </w:r>
      <w:r w:rsidRPr="00693892">
        <w:rPr>
          <w:rFonts w:ascii="Times New Roman" w:hAnsi="Times New Roman" w:cs="Times New Roman"/>
        </w:rPr>
        <w:t>with higher costs. The low</w:t>
      </w:r>
      <w:r w:rsidRPr="00693892" w:rsidR="00F315FB">
        <w:rPr>
          <w:rFonts w:ascii="Times New Roman" w:hAnsi="Times New Roman" w:cs="Times New Roman"/>
        </w:rPr>
        <w:t>er</w:t>
      </w:r>
      <w:r w:rsidR="00170E04">
        <w:rPr>
          <w:rFonts w:ascii="Times New Roman" w:hAnsi="Times New Roman" w:cs="Times New Roman"/>
        </w:rPr>
        <w:t>-</w:t>
      </w:r>
      <w:r w:rsidRPr="00693892">
        <w:rPr>
          <w:rFonts w:ascii="Times New Roman" w:hAnsi="Times New Roman" w:cs="Times New Roman"/>
        </w:rPr>
        <w:t xml:space="preserve">cost alternative considers alternatives for </w:t>
      </w:r>
      <w:r w:rsidR="00C82E33">
        <w:rPr>
          <w:rFonts w:ascii="Times New Roman" w:hAnsi="Times New Roman" w:cs="Times New Roman"/>
        </w:rPr>
        <w:t>four</w:t>
      </w:r>
      <w:r w:rsidRPr="00693892" w:rsidR="00C82E33">
        <w:rPr>
          <w:rFonts w:ascii="Times New Roman" w:hAnsi="Times New Roman" w:cs="Times New Roman"/>
        </w:rPr>
        <w:t xml:space="preserve"> </w:t>
      </w:r>
      <w:r w:rsidRPr="00693892">
        <w:rPr>
          <w:rFonts w:ascii="Times New Roman" w:hAnsi="Times New Roman" w:cs="Times New Roman"/>
        </w:rPr>
        <w:t xml:space="preserve">provisions: </w:t>
      </w:r>
      <w:r w:rsidR="00F8196C">
        <w:rPr>
          <w:rFonts w:ascii="Times New Roman" w:hAnsi="Times New Roman" w:cs="Times New Roman"/>
        </w:rPr>
        <w:t xml:space="preserve">STAA, </w:t>
      </w:r>
      <w:r w:rsidRPr="00693892" w:rsidR="00740CB6">
        <w:rPr>
          <w:rFonts w:ascii="Times New Roman" w:hAnsi="Times New Roman" w:cs="Times New Roman"/>
        </w:rPr>
        <w:t>root cause analysis</w:t>
      </w:r>
      <w:r w:rsidR="00740CB6">
        <w:rPr>
          <w:rFonts w:ascii="Times New Roman" w:hAnsi="Times New Roman" w:cs="Times New Roman"/>
        </w:rPr>
        <w:t xml:space="preserve">, </w:t>
      </w:r>
      <w:r w:rsidRPr="00693892" w:rsidR="006479D8">
        <w:rPr>
          <w:rFonts w:ascii="Times New Roman" w:hAnsi="Times New Roman" w:cs="Times New Roman"/>
        </w:rPr>
        <w:t>t</w:t>
      </w:r>
      <w:r w:rsidRPr="00693892">
        <w:rPr>
          <w:rFonts w:ascii="Times New Roman" w:hAnsi="Times New Roman" w:cs="Times New Roman"/>
        </w:rPr>
        <w:t>hird</w:t>
      </w:r>
      <w:r w:rsidRPr="00693892" w:rsidR="002619CB">
        <w:rPr>
          <w:rFonts w:ascii="Times New Roman" w:hAnsi="Times New Roman" w:cs="Times New Roman"/>
        </w:rPr>
        <w:t>-</w:t>
      </w:r>
      <w:r w:rsidRPr="00693892">
        <w:rPr>
          <w:rFonts w:ascii="Times New Roman" w:hAnsi="Times New Roman" w:cs="Times New Roman"/>
        </w:rPr>
        <w:t>party audits</w:t>
      </w:r>
      <w:r w:rsidR="00DA1841">
        <w:rPr>
          <w:rFonts w:ascii="Times New Roman" w:hAnsi="Times New Roman" w:cs="Times New Roman"/>
        </w:rPr>
        <w:t>,</w:t>
      </w:r>
      <w:r w:rsidR="00740CB6">
        <w:rPr>
          <w:rFonts w:ascii="Times New Roman" w:hAnsi="Times New Roman" w:cs="Times New Roman"/>
        </w:rPr>
        <w:t xml:space="preserve"> and </w:t>
      </w:r>
      <w:r w:rsidRPr="00693892">
        <w:rPr>
          <w:rFonts w:ascii="Times New Roman" w:hAnsi="Times New Roman" w:cs="Times New Roman"/>
        </w:rPr>
        <w:t>employee participation.</w:t>
      </w:r>
      <w:r w:rsidRPr="00693892" w:rsidR="006479D8">
        <w:rPr>
          <w:rFonts w:ascii="Times New Roman" w:hAnsi="Times New Roman" w:cs="Times New Roman"/>
        </w:rPr>
        <w:t xml:space="preserve"> The higher</w:t>
      </w:r>
      <w:r w:rsidR="00170E04">
        <w:rPr>
          <w:rFonts w:ascii="Times New Roman" w:hAnsi="Times New Roman" w:cs="Times New Roman"/>
        </w:rPr>
        <w:t>-</w:t>
      </w:r>
      <w:r w:rsidRPr="00693892" w:rsidR="006479D8">
        <w:rPr>
          <w:rFonts w:ascii="Times New Roman" w:hAnsi="Times New Roman" w:cs="Times New Roman"/>
        </w:rPr>
        <w:t>cost regulatory alternative consider</w:t>
      </w:r>
      <w:r w:rsidRPr="00693892" w:rsidR="008D5242">
        <w:rPr>
          <w:rFonts w:ascii="Times New Roman" w:hAnsi="Times New Roman" w:cs="Times New Roman"/>
        </w:rPr>
        <w:t xml:space="preserve">ed includes </w:t>
      </w:r>
      <w:r w:rsidRPr="00693892" w:rsidR="006479D8">
        <w:rPr>
          <w:rFonts w:ascii="Times New Roman" w:hAnsi="Times New Roman" w:cs="Times New Roman"/>
        </w:rPr>
        <w:t>more costly versions of</w:t>
      </w:r>
      <w:r w:rsidR="00740CB6">
        <w:rPr>
          <w:rFonts w:ascii="Times New Roman" w:hAnsi="Times New Roman" w:cs="Times New Roman"/>
        </w:rPr>
        <w:t xml:space="preserve"> the </w:t>
      </w:r>
      <w:r w:rsidRPr="00693892" w:rsidR="00740CB6">
        <w:rPr>
          <w:rFonts w:ascii="Times New Roman" w:hAnsi="Times New Roman" w:cs="Times New Roman"/>
        </w:rPr>
        <w:t xml:space="preserve">STAA </w:t>
      </w:r>
      <w:r w:rsidR="00740CB6">
        <w:rPr>
          <w:rFonts w:ascii="Times New Roman" w:hAnsi="Times New Roman" w:cs="Times New Roman"/>
        </w:rPr>
        <w:t>and</w:t>
      </w:r>
      <w:r w:rsidRPr="00693892" w:rsidR="006479D8">
        <w:rPr>
          <w:rFonts w:ascii="Times New Roman" w:hAnsi="Times New Roman" w:cs="Times New Roman"/>
        </w:rPr>
        <w:t xml:space="preserve"> third</w:t>
      </w:r>
      <w:r w:rsidRPr="00693892" w:rsidR="002619CB">
        <w:rPr>
          <w:rFonts w:ascii="Times New Roman" w:hAnsi="Times New Roman" w:cs="Times New Roman"/>
        </w:rPr>
        <w:t>-</w:t>
      </w:r>
      <w:r w:rsidRPr="00693892" w:rsidR="006479D8">
        <w:rPr>
          <w:rFonts w:ascii="Times New Roman" w:hAnsi="Times New Roman" w:cs="Times New Roman"/>
        </w:rPr>
        <w:t>party audit</w:t>
      </w:r>
      <w:r w:rsidR="00740CB6">
        <w:rPr>
          <w:rFonts w:ascii="Times New Roman" w:hAnsi="Times New Roman" w:cs="Times New Roman"/>
        </w:rPr>
        <w:t xml:space="preserve"> provisions.</w:t>
      </w:r>
    </w:p>
    <w:p w:rsidR="00ED7D47" w:rsidRPr="00693892" w:rsidP="00ED7D47" w14:paraId="6D68EF7B" w14:textId="77777777">
      <w:pPr>
        <w:spacing w:after="0" w:line="240" w:lineRule="auto"/>
        <w:ind w:firstLine="720"/>
        <w:rPr>
          <w:rFonts w:ascii="Times New Roman" w:hAnsi="Times New Roman" w:cs="Times New Roman"/>
        </w:rPr>
      </w:pPr>
    </w:p>
    <w:p w:rsidR="00CE674F" w:rsidP="00C07306" w14:paraId="6DB822A3" w14:textId="77777777">
      <w:pPr>
        <w:pStyle w:val="Heading2"/>
      </w:pPr>
      <w:bookmarkStart w:id="445" w:name="_Toc98165259"/>
      <w:bookmarkStart w:id="446" w:name="_Toc98239724"/>
      <w:bookmarkStart w:id="447" w:name="_Toc98239822"/>
      <w:bookmarkStart w:id="448" w:name="_Toc98240019"/>
      <w:bookmarkStart w:id="449" w:name="_Toc98856235"/>
      <w:bookmarkStart w:id="450" w:name="_Toc144303593"/>
      <w:bookmarkEnd w:id="445"/>
      <w:bookmarkEnd w:id="446"/>
      <w:bookmarkEnd w:id="447"/>
      <w:bookmarkEnd w:id="448"/>
      <w:r w:rsidRPr="00693892">
        <w:t>7.1 Low</w:t>
      </w:r>
      <w:r w:rsidRPr="00693892" w:rsidR="00454DF7">
        <w:t>er</w:t>
      </w:r>
      <w:r w:rsidR="00860686">
        <w:t>-</w:t>
      </w:r>
      <w:r w:rsidR="00EA2D9B">
        <w:t>c</w:t>
      </w:r>
      <w:r w:rsidRPr="00693892">
        <w:t>ost Regulatory Alternative</w:t>
      </w:r>
      <w:bookmarkEnd w:id="449"/>
      <w:bookmarkEnd w:id="450"/>
    </w:p>
    <w:p w:rsidR="00536854" w:rsidRPr="008A2020" w:rsidP="00130523" w14:paraId="4C15C937" w14:textId="77777777">
      <w:r>
        <w:tab/>
      </w:r>
      <w:r w:rsidR="00541AB8">
        <w:rPr>
          <w:rFonts w:ascii="Times New Roman" w:hAnsi="Times New Roman" w:cs="Times New Roman"/>
        </w:rPr>
        <w:t>The</w:t>
      </w:r>
      <w:r w:rsidR="00EF7DDF">
        <w:rPr>
          <w:rFonts w:ascii="Times New Roman" w:hAnsi="Times New Roman" w:cs="Times New Roman"/>
        </w:rPr>
        <w:t xml:space="preserve"> lower cost regulatory alternative </w:t>
      </w:r>
      <w:r w:rsidR="00541AB8">
        <w:rPr>
          <w:rFonts w:ascii="Times New Roman" w:hAnsi="Times New Roman" w:cs="Times New Roman"/>
        </w:rPr>
        <w:t>considers alternatives for STAA</w:t>
      </w:r>
      <w:r w:rsidR="00DC4094">
        <w:rPr>
          <w:rFonts w:ascii="Times New Roman" w:hAnsi="Times New Roman" w:cs="Times New Roman"/>
        </w:rPr>
        <w:t xml:space="preserve">, </w:t>
      </w:r>
      <w:r w:rsidR="00596804">
        <w:rPr>
          <w:rFonts w:ascii="Times New Roman" w:hAnsi="Times New Roman" w:cs="Times New Roman"/>
        </w:rPr>
        <w:t>root cause analysis, third-party audits, and employee participation plans.</w:t>
      </w:r>
    </w:p>
    <w:p w:rsidR="00F8196C" w:rsidRPr="00CB33E5" w:rsidP="00CB33E5" w14:paraId="7AD52283" w14:textId="77777777">
      <w:pPr>
        <w:pStyle w:val="Heading3"/>
        <w:rPr>
          <w:rFonts w:ascii="Times New Roman" w:hAnsi="Times New Roman" w:cs="Times New Roman"/>
          <w:sz w:val="22"/>
          <w:szCs w:val="22"/>
          <w:shd w:val="clear" w:color="auto" w:fill="FFFFFF"/>
        </w:rPr>
      </w:pPr>
      <w:bookmarkStart w:id="451" w:name="_Toc141733198"/>
      <w:bookmarkStart w:id="452" w:name="_Toc142404102"/>
      <w:bookmarkStart w:id="453" w:name="_Toc144213911"/>
      <w:bookmarkStart w:id="454" w:name="_Toc144283656"/>
      <w:bookmarkStart w:id="455" w:name="_Toc144303594"/>
      <w:r w:rsidRPr="00305612">
        <w:rPr>
          <w:rFonts w:ascii="Times New Roman" w:hAnsi="Times New Roman" w:cs="Times New Roman"/>
          <w:sz w:val="22"/>
          <w:szCs w:val="22"/>
          <w:shd w:val="clear" w:color="auto" w:fill="FFFFFF"/>
        </w:rPr>
        <w:t>7.1.</w:t>
      </w:r>
      <w:r>
        <w:rPr>
          <w:rFonts w:ascii="Times New Roman" w:hAnsi="Times New Roman" w:cs="Times New Roman"/>
          <w:sz w:val="22"/>
          <w:szCs w:val="22"/>
          <w:shd w:val="clear" w:color="auto" w:fill="FFFFFF"/>
        </w:rPr>
        <w:t>1</w:t>
      </w:r>
      <w:r w:rsidRPr="00305612">
        <w:rPr>
          <w:rFonts w:ascii="Times New Roman" w:hAnsi="Times New Roman" w:cs="Times New Roman"/>
          <w:sz w:val="22"/>
          <w:szCs w:val="22"/>
          <w:shd w:val="clear" w:color="auto" w:fill="FFFFFF"/>
        </w:rPr>
        <w:t xml:space="preserve"> </w:t>
      </w:r>
      <w:r w:rsidRPr="00305612" w:rsidR="00EF4299">
        <w:rPr>
          <w:rFonts w:ascii="Times New Roman" w:hAnsi="Times New Roman" w:cs="Times New Roman"/>
          <w:sz w:val="22"/>
          <w:szCs w:val="22"/>
          <w:shd w:val="clear" w:color="auto" w:fill="FFFFFF"/>
        </w:rPr>
        <w:t>STAA – (</w:t>
      </w:r>
      <w:r w:rsidRPr="00305612" w:rsidR="00E72B85">
        <w:rPr>
          <w:rFonts w:ascii="Times New Roman" w:hAnsi="Times New Roman" w:cs="Times New Roman"/>
          <w:sz w:val="22"/>
          <w:szCs w:val="22"/>
          <w:shd w:val="clear" w:color="auto" w:fill="FFFFFF"/>
        </w:rPr>
        <w:t>revisions apply to §68.3 and §68.67</w:t>
      </w:r>
      <w:r w:rsidRPr="00305612">
        <w:rPr>
          <w:rFonts w:ascii="Times New Roman" w:hAnsi="Times New Roman" w:cs="Times New Roman"/>
          <w:sz w:val="22"/>
          <w:szCs w:val="22"/>
          <w:shd w:val="clear" w:color="auto" w:fill="FFFFFF"/>
        </w:rPr>
        <w:t>)</w:t>
      </w:r>
      <w:bookmarkEnd w:id="451"/>
      <w:bookmarkEnd w:id="452"/>
      <w:bookmarkEnd w:id="453"/>
      <w:bookmarkEnd w:id="454"/>
      <w:bookmarkEnd w:id="455"/>
    </w:p>
    <w:p w:rsidR="00F8196C" w:rsidRPr="00693892" w:rsidP="00F8196C" w14:paraId="5D99EC21" w14:textId="77777777">
      <w:pPr>
        <w:spacing w:after="0" w:line="240" w:lineRule="auto"/>
        <w:ind w:firstLine="360"/>
        <w:rPr>
          <w:rFonts w:ascii="Times New Roman" w:hAnsi="Times New Roman" w:cs="Times New Roman"/>
        </w:rPr>
      </w:pPr>
      <w:r>
        <w:rPr>
          <w:rFonts w:ascii="Times New Roman" w:hAnsi="Times New Roman" w:cs="Times New Roman"/>
        </w:rPr>
        <w:tab/>
      </w:r>
      <w:r w:rsidR="00B0250C">
        <w:rPr>
          <w:rFonts w:ascii="Times New Roman" w:hAnsi="Times New Roman" w:cs="Times New Roman"/>
        </w:rPr>
        <w:t xml:space="preserve">The final rule STAA provision </w:t>
      </w:r>
      <w:r w:rsidR="009837FF">
        <w:rPr>
          <w:rFonts w:ascii="Times New Roman" w:hAnsi="Times New Roman" w:cs="Times New Roman"/>
        </w:rPr>
        <w:t>will</w:t>
      </w:r>
      <w:r w:rsidR="00B0250C">
        <w:rPr>
          <w:rFonts w:ascii="Times New Roman" w:hAnsi="Times New Roman" w:cs="Times New Roman"/>
        </w:rPr>
        <w:t xml:space="preserve"> require a STAA </w:t>
      </w:r>
      <w:r w:rsidR="00E25B3A">
        <w:rPr>
          <w:rFonts w:ascii="Times New Roman" w:hAnsi="Times New Roman" w:cs="Times New Roman"/>
        </w:rPr>
        <w:t>initial evaluation</w:t>
      </w:r>
      <w:r w:rsidR="00100446">
        <w:rPr>
          <w:rFonts w:ascii="Times New Roman" w:hAnsi="Times New Roman" w:cs="Times New Roman"/>
        </w:rPr>
        <w:t xml:space="preserve"> for all complex (NAICS 324 or NAICS 325) facilities with a Program 3 process</w:t>
      </w:r>
      <w:r w:rsidR="00EE300D">
        <w:rPr>
          <w:rFonts w:ascii="Times New Roman" w:hAnsi="Times New Roman" w:cs="Times New Roman"/>
        </w:rPr>
        <w:t xml:space="preserve"> and a STAA </w:t>
      </w:r>
      <w:r w:rsidR="00E25B3A">
        <w:rPr>
          <w:rFonts w:ascii="Times New Roman" w:hAnsi="Times New Roman" w:cs="Times New Roman"/>
        </w:rPr>
        <w:t>practicability assessment</w:t>
      </w:r>
      <w:r w:rsidR="00B00567">
        <w:rPr>
          <w:rFonts w:ascii="Times New Roman" w:hAnsi="Times New Roman" w:cs="Times New Roman"/>
        </w:rPr>
        <w:t xml:space="preserve"> </w:t>
      </w:r>
      <w:r w:rsidRPr="00F71EB2" w:rsidR="00F71EB2">
        <w:rPr>
          <w:rFonts w:ascii="Times New Roman" w:hAnsi="Times New Roman" w:cs="Times New Roman"/>
        </w:rPr>
        <w:t xml:space="preserve">and implementation of a passive-equivalent measure </w:t>
      </w:r>
      <w:r w:rsidR="00B00567">
        <w:rPr>
          <w:rFonts w:ascii="Times New Roman" w:hAnsi="Times New Roman" w:cs="Times New Roman"/>
        </w:rPr>
        <w:t xml:space="preserve">for those complex Program 3 facilities that have had an </w:t>
      </w:r>
      <w:r w:rsidR="00B00567">
        <w:rPr>
          <w:rFonts w:ascii="Times New Roman" w:hAnsi="Times New Roman" w:cs="Times New Roman"/>
        </w:rPr>
        <w:t>accident, that are within 1-mile of another complex facility, or that have a</w:t>
      </w:r>
      <w:r w:rsidR="00356C49">
        <w:rPr>
          <w:rFonts w:ascii="Times New Roman" w:hAnsi="Times New Roman" w:cs="Times New Roman"/>
        </w:rPr>
        <w:t xml:space="preserve">n </w:t>
      </w:r>
      <w:r w:rsidR="00B00567">
        <w:rPr>
          <w:rFonts w:ascii="Times New Roman" w:hAnsi="Times New Roman" w:cs="Times New Roman"/>
        </w:rPr>
        <w:t>HF unit</w:t>
      </w:r>
      <w:r w:rsidR="00356C49">
        <w:rPr>
          <w:rFonts w:ascii="Times New Roman" w:hAnsi="Times New Roman" w:cs="Times New Roman"/>
        </w:rPr>
        <w:t xml:space="preserve"> in a NAICS 324 process</w:t>
      </w:r>
      <w:r w:rsidR="00834363">
        <w:rPr>
          <w:rFonts w:ascii="Times New Roman" w:hAnsi="Times New Roman" w:cs="Times New Roman"/>
        </w:rPr>
        <w:t xml:space="preserve">. </w:t>
      </w:r>
      <w:r w:rsidRPr="00693892">
        <w:rPr>
          <w:rFonts w:ascii="Times New Roman" w:hAnsi="Times New Roman" w:cs="Times New Roman"/>
        </w:rPr>
        <w:t xml:space="preserve">The </w:t>
      </w:r>
      <w:r w:rsidR="00ED700D">
        <w:rPr>
          <w:rFonts w:ascii="Times New Roman" w:hAnsi="Times New Roman" w:cs="Times New Roman"/>
        </w:rPr>
        <w:t>less</w:t>
      </w:r>
      <w:r w:rsidRPr="00693892">
        <w:rPr>
          <w:rFonts w:ascii="Times New Roman" w:hAnsi="Times New Roman" w:cs="Times New Roman"/>
        </w:rPr>
        <w:t xml:space="preserve"> stringent STAA provision </w:t>
      </w:r>
      <w:r w:rsidR="009837FF">
        <w:rPr>
          <w:rFonts w:ascii="Times New Roman" w:hAnsi="Times New Roman" w:cs="Times New Roman"/>
        </w:rPr>
        <w:t>w</w:t>
      </w:r>
      <w:r w:rsidR="007E0C59">
        <w:rPr>
          <w:rFonts w:ascii="Times New Roman" w:hAnsi="Times New Roman" w:cs="Times New Roman"/>
        </w:rPr>
        <w:t>ould</w:t>
      </w:r>
      <w:r w:rsidRPr="00693892">
        <w:rPr>
          <w:rFonts w:ascii="Times New Roman" w:hAnsi="Times New Roman" w:cs="Times New Roman"/>
        </w:rPr>
        <w:t xml:space="preserve"> require </w:t>
      </w:r>
      <w:r w:rsidR="00ED700D">
        <w:rPr>
          <w:rFonts w:ascii="Times New Roman" w:hAnsi="Times New Roman" w:cs="Times New Roman"/>
        </w:rPr>
        <w:t xml:space="preserve">only </w:t>
      </w:r>
      <w:r w:rsidRPr="00693892">
        <w:rPr>
          <w:rFonts w:ascii="Times New Roman" w:hAnsi="Times New Roman" w:cs="Times New Roman"/>
        </w:rPr>
        <w:t xml:space="preserve">a STAA </w:t>
      </w:r>
      <w:r w:rsidR="00E25B3A">
        <w:rPr>
          <w:rFonts w:ascii="Times New Roman" w:hAnsi="Times New Roman" w:cs="Times New Roman"/>
        </w:rPr>
        <w:t>initial evaluation</w:t>
      </w:r>
      <w:r w:rsidRPr="00693892">
        <w:rPr>
          <w:rFonts w:ascii="Times New Roman" w:hAnsi="Times New Roman" w:cs="Times New Roman"/>
        </w:rPr>
        <w:t xml:space="preserve"> for all complex facilities with a Program 3 process.</w:t>
      </w:r>
      <w:r w:rsidR="0082340D">
        <w:rPr>
          <w:rFonts w:ascii="Times New Roman" w:hAnsi="Times New Roman" w:cs="Times New Roman"/>
        </w:rPr>
        <w:t xml:space="preserve"> No facilities </w:t>
      </w:r>
      <w:r w:rsidR="009837FF">
        <w:rPr>
          <w:rFonts w:ascii="Times New Roman" w:hAnsi="Times New Roman" w:cs="Times New Roman"/>
        </w:rPr>
        <w:t>w</w:t>
      </w:r>
      <w:r w:rsidR="007E0C59">
        <w:rPr>
          <w:rFonts w:ascii="Times New Roman" w:hAnsi="Times New Roman" w:cs="Times New Roman"/>
        </w:rPr>
        <w:t>ould</w:t>
      </w:r>
      <w:r w:rsidR="00217528">
        <w:rPr>
          <w:rFonts w:ascii="Times New Roman" w:hAnsi="Times New Roman" w:cs="Times New Roman"/>
        </w:rPr>
        <w:t xml:space="preserve"> be required to conduct a </w:t>
      </w:r>
      <w:r w:rsidR="00E25B3A">
        <w:rPr>
          <w:rFonts w:ascii="Times New Roman" w:hAnsi="Times New Roman" w:cs="Times New Roman"/>
        </w:rPr>
        <w:t>practicability assessment</w:t>
      </w:r>
      <w:r w:rsidR="0012310C">
        <w:rPr>
          <w:rFonts w:ascii="Times New Roman" w:hAnsi="Times New Roman" w:cs="Times New Roman"/>
        </w:rPr>
        <w:t xml:space="preserve"> or implement </w:t>
      </w:r>
      <w:r w:rsidR="00570558">
        <w:rPr>
          <w:rFonts w:ascii="Times New Roman" w:hAnsi="Times New Roman" w:cs="Times New Roman"/>
        </w:rPr>
        <w:t>any measures</w:t>
      </w:r>
      <w:r w:rsidR="00217528">
        <w:rPr>
          <w:rFonts w:ascii="Times New Roman" w:hAnsi="Times New Roman" w:cs="Times New Roman"/>
        </w:rPr>
        <w:t>.</w:t>
      </w:r>
      <w:r w:rsidRPr="00693892">
        <w:rPr>
          <w:rFonts w:ascii="Times New Roman" w:hAnsi="Times New Roman" w:cs="Times New Roman"/>
        </w:rPr>
        <w:t xml:space="preserve"> The unit costs applied to the STAA provision are consistent with the unit costs presented in Exhibit 4-5. The total costs of the </w:t>
      </w:r>
      <w:r w:rsidR="00D21611">
        <w:rPr>
          <w:rFonts w:ascii="Times New Roman" w:hAnsi="Times New Roman" w:cs="Times New Roman"/>
        </w:rPr>
        <w:t>low</w:t>
      </w:r>
      <w:r w:rsidR="00AD2C07">
        <w:rPr>
          <w:rFonts w:ascii="Times New Roman" w:hAnsi="Times New Roman" w:cs="Times New Roman"/>
        </w:rPr>
        <w:t>er</w:t>
      </w:r>
      <w:r w:rsidRPr="00693892" w:rsidR="00D21611">
        <w:rPr>
          <w:rFonts w:ascii="Times New Roman" w:hAnsi="Times New Roman" w:cs="Times New Roman"/>
        </w:rPr>
        <w:t xml:space="preserve"> </w:t>
      </w:r>
      <w:r w:rsidRPr="00693892">
        <w:rPr>
          <w:rFonts w:ascii="Times New Roman" w:hAnsi="Times New Roman" w:cs="Times New Roman"/>
        </w:rPr>
        <w:t>cost STAA provision are summarized in Exhibit 7-</w:t>
      </w:r>
      <w:r w:rsidR="004177BA">
        <w:rPr>
          <w:rFonts w:ascii="Times New Roman" w:hAnsi="Times New Roman" w:cs="Times New Roman"/>
        </w:rPr>
        <w:t>1</w:t>
      </w:r>
      <w:r w:rsidRPr="00693892">
        <w:rPr>
          <w:rFonts w:ascii="Times New Roman" w:hAnsi="Times New Roman" w:cs="Times New Roman"/>
        </w:rPr>
        <w:t>.</w:t>
      </w:r>
    </w:p>
    <w:p w:rsidR="00F8196C" w:rsidRPr="00693892" w:rsidP="00F8196C" w14:paraId="7504A798" w14:textId="77777777">
      <w:pPr>
        <w:spacing w:after="0" w:line="240" w:lineRule="auto"/>
        <w:ind w:firstLine="720"/>
        <w:rPr>
          <w:rFonts w:ascii="Times New Roman" w:hAnsi="Times New Roman" w:cs="Times New Roman"/>
        </w:rPr>
      </w:pPr>
    </w:p>
    <w:p w:rsidR="00F8196C" w:rsidRPr="00693892" w:rsidP="00F8196C" w14:paraId="4E9E6ADA" w14:textId="77777777">
      <w:pPr>
        <w:keepNext/>
        <w:spacing w:after="0" w:line="240" w:lineRule="auto"/>
        <w:jc w:val="center"/>
        <w:rPr>
          <w:rFonts w:ascii="Times New Roman" w:hAnsi="Times New Roman" w:cs="Times New Roman"/>
          <w:b/>
        </w:rPr>
      </w:pPr>
      <w:r w:rsidRPr="00DB1152">
        <w:rPr>
          <w:rFonts w:ascii="Times New Roman" w:hAnsi="Times New Roman" w:cs="Times New Roman"/>
          <w:b/>
        </w:rPr>
        <w:t xml:space="preserve">Exhibit </w:t>
      </w:r>
      <w:r w:rsidRPr="00693892">
        <w:rPr>
          <w:rFonts w:ascii="Times New Roman" w:hAnsi="Times New Roman" w:cs="Times New Roman"/>
          <w:b/>
        </w:rPr>
        <w:t>7-</w:t>
      </w:r>
      <w:r w:rsidR="004177BA">
        <w:rPr>
          <w:rFonts w:ascii="Times New Roman" w:hAnsi="Times New Roman" w:cs="Times New Roman"/>
          <w:b/>
        </w:rPr>
        <w:t>1</w:t>
      </w:r>
      <w:r w:rsidRPr="00693892">
        <w:rPr>
          <w:rFonts w:ascii="Times New Roman" w:hAnsi="Times New Roman" w:cs="Times New Roman"/>
          <w:b/>
        </w:rPr>
        <w:t>: Total Undiscounted Costs for STAA Provision</w:t>
      </w:r>
    </w:p>
    <w:p w:rsidR="00F8196C" w:rsidP="00F8196C" w14:paraId="2E76181F" w14:textId="77777777">
      <w:pPr>
        <w:keepNext/>
        <w:spacing w:after="0" w:line="240" w:lineRule="auto"/>
        <w:jc w:val="center"/>
        <w:rPr>
          <w:rFonts w:ascii="Times New Roman" w:hAnsi="Times New Roman" w:cs="Times New Roman"/>
          <w:b/>
        </w:rPr>
      </w:pPr>
      <w:r w:rsidRPr="00693892">
        <w:rPr>
          <w:rFonts w:ascii="Times New Roman" w:hAnsi="Times New Roman" w:cs="Times New Roman"/>
          <w:b/>
        </w:rPr>
        <w:t xml:space="preserve"> </w:t>
      </w:r>
      <w:r w:rsidR="0037541D">
        <w:rPr>
          <w:rFonts w:ascii="Times New Roman" w:hAnsi="Times New Roman" w:cs="Times New Roman"/>
          <w:b/>
        </w:rPr>
        <w:t>Lower</w:t>
      </w:r>
      <w:r w:rsidRPr="00693892">
        <w:rPr>
          <w:rFonts w:ascii="Times New Roman" w:hAnsi="Times New Roman" w:cs="Times New Roman"/>
          <w:b/>
        </w:rPr>
        <w:t xml:space="preserve"> Cost Regulatory Alternative </w:t>
      </w:r>
      <w:r>
        <w:rPr>
          <w:rFonts w:ascii="Times New Roman" w:hAnsi="Times New Roman" w:cs="Times New Roman"/>
          <w:b/>
        </w:rPr>
        <w:t>(</w:t>
      </w:r>
      <w:r w:rsidRPr="00693892">
        <w:rPr>
          <w:rFonts w:ascii="Times New Roman" w:hAnsi="Times New Roman" w:cs="Times New Roman"/>
          <w:b/>
        </w:rPr>
        <w:t>202</w:t>
      </w:r>
      <w:r>
        <w:rPr>
          <w:rFonts w:ascii="Times New Roman" w:hAnsi="Times New Roman" w:cs="Times New Roman"/>
          <w:b/>
        </w:rPr>
        <w:t>2</w:t>
      </w:r>
      <w:r w:rsidRPr="00693892">
        <w:rPr>
          <w:rFonts w:ascii="Times New Roman" w:hAnsi="Times New Roman" w:cs="Times New Roman"/>
          <w:b/>
        </w:rPr>
        <w:t xml:space="preserve"> Dollars)</w:t>
      </w:r>
      <w:r>
        <w:rPr>
          <w:rFonts w:ascii="Times New Roman" w:hAnsi="Times New Roman" w:cs="Times New Roman"/>
          <w:b/>
        </w:rPr>
        <w:t>.</w:t>
      </w:r>
    </w:p>
    <w:p w:rsidR="00F8196C" w:rsidRPr="00DB1152" w:rsidP="00F8196C" w14:paraId="03881876" w14:textId="77777777">
      <w:pPr>
        <w:keepNext/>
        <w:spacing w:after="0" w:line="240" w:lineRule="auto"/>
        <w:jc w:val="center"/>
        <w:rPr>
          <w:rFonts w:ascii="Times New Roman" w:hAnsi="Times New Roman" w:cs="Times New Roman"/>
          <w:i/>
          <w:color w:val="2F5496" w:themeColor="accent1" w:themeShade="BF"/>
        </w:rPr>
      </w:pPr>
    </w:p>
    <w:tbl>
      <w:tblPr>
        <w:tblW w:w="9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682"/>
        <w:gridCol w:w="1350"/>
        <w:gridCol w:w="1350"/>
        <w:gridCol w:w="1260"/>
        <w:gridCol w:w="1530"/>
        <w:gridCol w:w="1530"/>
      </w:tblGrid>
      <w:tr w14:paraId="781272FC" w14:textId="77777777" w:rsidTr="009A4B42">
        <w:tblPrEx>
          <w:tblW w:w="9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615"/>
          <w:tblHeader/>
          <w:jc w:val="center"/>
        </w:trPr>
        <w:tc>
          <w:tcPr>
            <w:tcW w:w="2682" w:type="dxa"/>
            <w:tcBorders>
              <w:bottom w:val="single" w:sz="8" w:space="0" w:color="000000"/>
            </w:tcBorders>
            <w:shd w:val="clear" w:color="auto" w:fill="DADADA"/>
            <w:vAlign w:val="center"/>
          </w:tcPr>
          <w:p w:rsidR="00F8196C" w:rsidRPr="00693892" w14:paraId="171F0704" w14:textId="77777777">
            <w:pPr>
              <w:keepNext/>
              <w:spacing w:after="0" w:line="240" w:lineRule="auto"/>
              <w:ind w:left="163" w:right="79"/>
              <w:jc w:val="center"/>
              <w:rPr>
                <w:rFonts w:ascii="Times New Roman" w:hAnsi="Times New Roman" w:cs="Times New Roman"/>
                <w:b/>
              </w:rPr>
            </w:pPr>
            <w:r w:rsidRPr="00693892">
              <w:rPr>
                <w:rFonts w:ascii="Times New Roman" w:hAnsi="Times New Roman" w:cs="Times New Roman"/>
                <w:b/>
              </w:rPr>
              <w:t>Facility Type</w:t>
            </w:r>
          </w:p>
        </w:tc>
        <w:tc>
          <w:tcPr>
            <w:tcW w:w="1350" w:type="dxa"/>
            <w:tcBorders>
              <w:bottom w:val="single" w:sz="8" w:space="0" w:color="000000"/>
            </w:tcBorders>
            <w:shd w:val="clear" w:color="auto" w:fill="DADADA"/>
            <w:vAlign w:val="center"/>
          </w:tcPr>
          <w:p w:rsidR="00F8196C" w:rsidRPr="00693892" w14:paraId="1C5CD502" w14:textId="77777777">
            <w:pPr>
              <w:keepNext/>
              <w:spacing w:after="0" w:line="240" w:lineRule="auto"/>
              <w:ind w:left="93" w:right="57"/>
              <w:jc w:val="center"/>
              <w:rPr>
                <w:rFonts w:ascii="Times New Roman" w:hAnsi="Times New Roman" w:cs="Times New Roman"/>
                <w:b/>
              </w:rPr>
            </w:pPr>
            <w:r w:rsidRPr="00693892">
              <w:rPr>
                <w:rFonts w:ascii="Times New Roman" w:hAnsi="Times New Roman" w:cs="Times New Roman"/>
                <w:b/>
              </w:rPr>
              <w:t>Annual Frequency</w:t>
            </w:r>
          </w:p>
        </w:tc>
        <w:tc>
          <w:tcPr>
            <w:tcW w:w="1350" w:type="dxa"/>
            <w:tcBorders>
              <w:bottom w:val="single" w:sz="8" w:space="0" w:color="000000"/>
            </w:tcBorders>
            <w:shd w:val="clear" w:color="auto" w:fill="DADADA"/>
            <w:vAlign w:val="center"/>
          </w:tcPr>
          <w:p w:rsidR="00F8196C" w:rsidRPr="00693892" w14:paraId="30647C2E" w14:textId="77777777">
            <w:pPr>
              <w:keepNext/>
              <w:spacing w:after="0" w:line="240" w:lineRule="auto"/>
              <w:jc w:val="center"/>
              <w:rPr>
                <w:rFonts w:ascii="Times New Roman" w:hAnsi="Times New Roman" w:cs="Times New Roman"/>
                <w:b/>
              </w:rPr>
            </w:pPr>
            <w:r w:rsidRPr="00693892">
              <w:rPr>
                <w:rFonts w:ascii="Times New Roman" w:hAnsi="Times New Roman" w:cs="Times New Roman"/>
                <w:b/>
              </w:rPr>
              <w:t>Unit Cost</w:t>
            </w:r>
          </w:p>
        </w:tc>
        <w:tc>
          <w:tcPr>
            <w:tcW w:w="1260" w:type="dxa"/>
            <w:tcBorders>
              <w:bottom w:val="single" w:sz="8" w:space="0" w:color="000000"/>
            </w:tcBorders>
            <w:shd w:val="clear" w:color="auto" w:fill="DADADA"/>
            <w:vAlign w:val="center"/>
          </w:tcPr>
          <w:p w:rsidR="00F8196C" w:rsidRPr="00693892" w14:paraId="19FCAB02" w14:textId="77777777">
            <w:pPr>
              <w:keepNext/>
              <w:spacing w:after="0" w:line="240" w:lineRule="auto"/>
              <w:ind w:left="98" w:right="76"/>
              <w:jc w:val="center"/>
              <w:rPr>
                <w:rFonts w:ascii="Times New Roman" w:hAnsi="Times New Roman" w:cs="Times New Roman"/>
                <w:b/>
              </w:rPr>
            </w:pPr>
            <w:r w:rsidRPr="00693892">
              <w:rPr>
                <w:rFonts w:ascii="Times New Roman" w:hAnsi="Times New Roman" w:cs="Times New Roman"/>
                <w:b/>
              </w:rPr>
              <w:t>Processes</w:t>
            </w:r>
          </w:p>
        </w:tc>
        <w:tc>
          <w:tcPr>
            <w:tcW w:w="1530" w:type="dxa"/>
            <w:tcBorders>
              <w:bottom w:val="single" w:sz="8" w:space="0" w:color="000000"/>
            </w:tcBorders>
            <w:shd w:val="clear" w:color="auto" w:fill="DADADA"/>
            <w:vAlign w:val="center"/>
          </w:tcPr>
          <w:p w:rsidR="00F8196C" w:rsidRPr="00693892" w14:paraId="0D392B58" w14:textId="77777777">
            <w:pPr>
              <w:keepNext/>
              <w:spacing w:after="0" w:line="240" w:lineRule="auto"/>
              <w:ind w:left="91" w:right="55"/>
              <w:jc w:val="center"/>
              <w:rPr>
                <w:rFonts w:ascii="Times New Roman" w:hAnsi="Times New Roman" w:cs="Times New Roman"/>
                <w:b/>
              </w:rPr>
            </w:pPr>
            <w:r w:rsidRPr="00693892">
              <w:rPr>
                <w:rFonts w:ascii="Times New Roman" w:hAnsi="Times New Roman" w:cs="Times New Roman"/>
                <w:b/>
              </w:rPr>
              <w:t>Total Initial Cost</w:t>
            </w:r>
          </w:p>
        </w:tc>
        <w:tc>
          <w:tcPr>
            <w:tcW w:w="1530" w:type="dxa"/>
            <w:tcBorders>
              <w:bottom w:val="single" w:sz="8" w:space="0" w:color="000000"/>
            </w:tcBorders>
            <w:shd w:val="clear" w:color="auto" w:fill="DADADA"/>
            <w:vAlign w:val="center"/>
          </w:tcPr>
          <w:p w:rsidR="00F8196C" w:rsidRPr="00693892" w14:paraId="65408A9C" w14:textId="77777777">
            <w:pPr>
              <w:keepNext/>
              <w:spacing w:after="0" w:line="240" w:lineRule="auto"/>
              <w:ind w:left="91" w:right="55"/>
              <w:jc w:val="center"/>
              <w:rPr>
                <w:rFonts w:ascii="Times New Roman" w:hAnsi="Times New Roman" w:cs="Times New Roman"/>
                <w:b/>
              </w:rPr>
            </w:pPr>
            <w:r w:rsidRPr="00693892">
              <w:rPr>
                <w:rFonts w:ascii="Times New Roman" w:hAnsi="Times New Roman" w:cs="Times New Roman"/>
                <w:b/>
              </w:rPr>
              <w:t xml:space="preserve">Total </w:t>
            </w:r>
            <w:r>
              <w:rPr>
                <w:rFonts w:ascii="Times New Roman" w:hAnsi="Times New Roman" w:cs="Times New Roman"/>
                <w:b/>
              </w:rPr>
              <w:t>Year 6</w:t>
            </w:r>
            <w:r w:rsidRPr="00693892">
              <w:rPr>
                <w:rFonts w:ascii="Times New Roman" w:hAnsi="Times New Roman" w:cs="Times New Roman"/>
                <w:b/>
              </w:rPr>
              <w:t xml:space="preserve"> Cost</w:t>
            </w:r>
          </w:p>
        </w:tc>
      </w:tr>
      <w:tr w14:paraId="79CCFE13" w14:textId="77777777" w:rsidTr="009A4B42">
        <w:tblPrEx>
          <w:tblW w:w="9702" w:type="dxa"/>
          <w:jc w:val="center"/>
          <w:tblLayout w:type="fixed"/>
          <w:tblCellMar>
            <w:left w:w="0" w:type="dxa"/>
            <w:right w:w="0" w:type="dxa"/>
          </w:tblCellMar>
          <w:tblLook w:val="01E0"/>
        </w:tblPrEx>
        <w:trPr>
          <w:trHeight w:val="295"/>
          <w:jc w:val="center"/>
        </w:trPr>
        <w:tc>
          <w:tcPr>
            <w:tcW w:w="9702" w:type="dxa"/>
            <w:gridSpan w:val="6"/>
            <w:tcBorders>
              <w:top w:val="single" w:sz="8" w:space="0" w:color="000000"/>
              <w:bottom w:val="single" w:sz="8" w:space="0" w:color="000000"/>
            </w:tcBorders>
            <w:shd w:val="clear" w:color="auto" w:fill="F2F2F2"/>
          </w:tcPr>
          <w:p w:rsidR="00F8196C" w:rsidRPr="00693892" w14:paraId="76D23876" w14:textId="77777777">
            <w:pPr>
              <w:keepNext/>
              <w:spacing w:after="0" w:line="240" w:lineRule="auto"/>
              <w:ind w:left="163" w:right="3375"/>
              <w:rPr>
                <w:rFonts w:ascii="Times New Roman" w:hAnsi="Times New Roman" w:cs="Times New Roman"/>
                <w:b/>
              </w:rPr>
            </w:pPr>
            <w:r>
              <w:rPr>
                <w:rFonts w:ascii="Times New Roman" w:hAnsi="Times New Roman" w:cs="Times New Roman"/>
                <w:b/>
              </w:rPr>
              <w:t>Initial Evaluation</w:t>
            </w:r>
          </w:p>
        </w:tc>
      </w:tr>
      <w:tr w14:paraId="0A5B8DF0" w14:textId="77777777" w:rsidTr="009A4B42">
        <w:tblPrEx>
          <w:tblW w:w="9702" w:type="dxa"/>
          <w:jc w:val="center"/>
          <w:tblLayout w:type="fixed"/>
          <w:tblCellMar>
            <w:left w:w="0" w:type="dxa"/>
            <w:right w:w="0" w:type="dxa"/>
          </w:tblCellMar>
          <w:tblLook w:val="01E0"/>
        </w:tblPrEx>
        <w:trPr>
          <w:trHeight w:val="282"/>
          <w:jc w:val="center"/>
        </w:trPr>
        <w:tc>
          <w:tcPr>
            <w:tcW w:w="2682" w:type="dxa"/>
            <w:tcBorders>
              <w:top w:val="single" w:sz="8" w:space="0" w:color="000000"/>
            </w:tcBorders>
          </w:tcPr>
          <w:p w:rsidR="00B343F1" w:rsidRPr="00693892" w:rsidP="00B343F1" w14:paraId="483C1ECE" w14:textId="77777777">
            <w:pPr>
              <w:keepNext/>
              <w:spacing w:after="0" w:line="240" w:lineRule="auto"/>
              <w:ind w:left="112"/>
              <w:rPr>
                <w:rFonts w:ascii="Times New Roman" w:hAnsi="Times New Roman" w:cs="Times New Roman"/>
              </w:rPr>
            </w:pPr>
            <w:r w:rsidRPr="00693892">
              <w:rPr>
                <w:rFonts w:ascii="Times New Roman" w:hAnsi="Times New Roman" w:cs="Times New Roman"/>
              </w:rPr>
              <w:t>Refineries</w:t>
            </w:r>
          </w:p>
        </w:tc>
        <w:tc>
          <w:tcPr>
            <w:tcW w:w="1350" w:type="dxa"/>
            <w:tcBorders>
              <w:top w:val="single" w:sz="8" w:space="0" w:color="000000"/>
            </w:tcBorders>
          </w:tcPr>
          <w:p w:rsidR="00B343F1" w:rsidRPr="00693892" w:rsidP="00B343F1" w14:paraId="4576A113" w14:textId="77777777">
            <w:pPr>
              <w:keepNext/>
              <w:spacing w:after="0" w:line="240" w:lineRule="auto"/>
              <w:ind w:left="93" w:right="62"/>
              <w:jc w:val="center"/>
              <w:rPr>
                <w:rFonts w:ascii="Times New Roman" w:hAnsi="Times New Roman" w:cs="Times New Roman"/>
              </w:rPr>
            </w:pPr>
            <w:r w:rsidRPr="00693892">
              <w:rPr>
                <w:rFonts w:ascii="Times New Roman" w:hAnsi="Times New Roman" w:cs="Times New Roman"/>
              </w:rPr>
              <w:t>0.2</w:t>
            </w:r>
          </w:p>
        </w:tc>
        <w:tc>
          <w:tcPr>
            <w:tcW w:w="1350" w:type="dxa"/>
            <w:tcBorders>
              <w:top w:val="single" w:sz="8" w:space="0" w:color="000000"/>
            </w:tcBorders>
          </w:tcPr>
          <w:p w:rsidR="00B343F1" w:rsidRPr="00693892" w:rsidP="00B343F1" w14:paraId="730E2061" w14:textId="77777777">
            <w:pPr>
              <w:keepNext/>
              <w:spacing w:after="0" w:line="240" w:lineRule="auto"/>
              <w:ind w:left="247"/>
              <w:jc w:val="center"/>
              <w:rPr>
                <w:rFonts w:ascii="Times New Roman" w:hAnsi="Times New Roman" w:cs="Times New Roman"/>
              </w:rPr>
            </w:pPr>
            <w:r w:rsidRPr="00693892">
              <w:rPr>
                <w:rFonts w:ascii="Times New Roman" w:hAnsi="Times New Roman" w:cs="Times New Roman"/>
              </w:rPr>
              <w:t>$7</w:t>
            </w:r>
            <w:r>
              <w:rPr>
                <w:rFonts w:ascii="Times New Roman" w:hAnsi="Times New Roman" w:cs="Times New Roman"/>
              </w:rPr>
              <w:t>3,149</w:t>
            </w:r>
          </w:p>
        </w:tc>
        <w:tc>
          <w:tcPr>
            <w:tcW w:w="1260" w:type="dxa"/>
            <w:tcBorders>
              <w:top w:val="single" w:sz="8" w:space="0" w:color="000000"/>
            </w:tcBorders>
          </w:tcPr>
          <w:p w:rsidR="00B343F1" w:rsidRPr="00693892" w:rsidP="00B343F1" w14:paraId="7FFD1834" w14:textId="45D69411">
            <w:pPr>
              <w:keepNext/>
              <w:spacing w:after="0" w:line="240" w:lineRule="auto"/>
              <w:ind w:left="98" w:right="69"/>
              <w:jc w:val="center"/>
              <w:rPr>
                <w:rFonts w:ascii="Times New Roman" w:hAnsi="Times New Roman" w:cs="Times New Roman"/>
              </w:rPr>
            </w:pPr>
            <w:r w:rsidRPr="00693892">
              <w:rPr>
                <w:rFonts w:ascii="Times New Roman" w:hAnsi="Times New Roman" w:cs="Times New Roman"/>
              </w:rPr>
              <w:t>1,</w:t>
            </w:r>
            <w:r>
              <w:rPr>
                <w:rFonts w:ascii="Times New Roman" w:hAnsi="Times New Roman" w:cs="Times New Roman"/>
              </w:rPr>
              <w:t>535</w:t>
            </w:r>
          </w:p>
        </w:tc>
        <w:tc>
          <w:tcPr>
            <w:tcW w:w="1530" w:type="dxa"/>
            <w:tcBorders>
              <w:top w:val="single" w:sz="8" w:space="0" w:color="000000"/>
            </w:tcBorders>
            <w:vAlign w:val="bottom"/>
          </w:tcPr>
          <w:p w:rsidR="00B343F1" w:rsidRPr="00693892" w:rsidP="00B343F1" w14:paraId="2B96838B" w14:textId="1F037CD9">
            <w:pPr>
              <w:keepNext/>
              <w:spacing w:after="0" w:line="240" w:lineRule="auto"/>
              <w:ind w:left="84" w:right="55"/>
              <w:jc w:val="center"/>
              <w:rPr>
                <w:rFonts w:ascii="Times New Roman" w:hAnsi="Times New Roman" w:cs="Times New Roman"/>
                <w:color w:val="000000"/>
              </w:rPr>
            </w:pPr>
            <w:r w:rsidRPr="00693892">
              <w:rPr>
                <w:rFonts w:ascii="Times New Roman" w:hAnsi="Times New Roman" w:cs="Times New Roman"/>
                <w:color w:val="000000"/>
              </w:rPr>
              <w:t>$</w:t>
            </w:r>
            <w:r>
              <w:rPr>
                <w:rFonts w:ascii="Times New Roman" w:hAnsi="Times New Roman" w:cs="Times New Roman"/>
                <w:color w:val="000000"/>
              </w:rPr>
              <w:t>22,456,638</w:t>
            </w:r>
          </w:p>
        </w:tc>
        <w:tc>
          <w:tcPr>
            <w:tcW w:w="1530" w:type="dxa"/>
            <w:tcBorders>
              <w:top w:val="single" w:sz="8" w:space="0" w:color="000000"/>
            </w:tcBorders>
            <w:vAlign w:val="bottom"/>
          </w:tcPr>
          <w:p w:rsidR="00B343F1" w:rsidRPr="00693892" w:rsidP="00B343F1" w14:paraId="484140B0" w14:textId="63D9438E">
            <w:pPr>
              <w:keepNext/>
              <w:spacing w:after="0" w:line="240" w:lineRule="auto"/>
              <w:ind w:left="84" w:right="55"/>
              <w:jc w:val="center"/>
              <w:rPr>
                <w:rFonts w:ascii="Times New Roman" w:hAnsi="Times New Roman" w:cs="Times New Roman"/>
              </w:rPr>
            </w:pPr>
            <w:r w:rsidRPr="00693892">
              <w:rPr>
                <w:rFonts w:ascii="Times New Roman" w:hAnsi="Times New Roman" w:cs="Times New Roman"/>
                <w:color w:val="000000"/>
              </w:rPr>
              <w:t>$</w:t>
            </w:r>
            <w:r>
              <w:rPr>
                <w:rFonts w:ascii="Times New Roman" w:hAnsi="Times New Roman" w:cs="Times New Roman"/>
                <w:color w:val="000000"/>
              </w:rPr>
              <w:t>4,042,195</w:t>
            </w:r>
          </w:p>
        </w:tc>
      </w:tr>
      <w:tr w14:paraId="1D3FF6C9" w14:textId="77777777" w:rsidTr="009A4B42">
        <w:tblPrEx>
          <w:tblW w:w="9702" w:type="dxa"/>
          <w:jc w:val="center"/>
          <w:tblLayout w:type="fixed"/>
          <w:tblCellMar>
            <w:left w:w="0" w:type="dxa"/>
            <w:right w:w="0" w:type="dxa"/>
          </w:tblCellMar>
          <w:tblLook w:val="01E0"/>
        </w:tblPrEx>
        <w:trPr>
          <w:trHeight w:val="285"/>
          <w:jc w:val="center"/>
        </w:trPr>
        <w:tc>
          <w:tcPr>
            <w:tcW w:w="2682" w:type="dxa"/>
          </w:tcPr>
          <w:p w:rsidR="00B343F1" w:rsidRPr="00693892" w:rsidP="00B343F1" w14:paraId="7560D62C" w14:textId="77777777">
            <w:pPr>
              <w:spacing w:after="0" w:line="240" w:lineRule="auto"/>
              <w:ind w:left="112"/>
              <w:rPr>
                <w:rFonts w:ascii="Times New Roman" w:hAnsi="Times New Roman" w:cs="Times New Roman"/>
              </w:rPr>
            </w:pPr>
            <w:r w:rsidRPr="00693892">
              <w:rPr>
                <w:rFonts w:ascii="Times New Roman" w:hAnsi="Times New Roman" w:cs="Times New Roman"/>
              </w:rPr>
              <w:t>Chemical Manufacturers</w:t>
            </w:r>
          </w:p>
        </w:tc>
        <w:tc>
          <w:tcPr>
            <w:tcW w:w="1350" w:type="dxa"/>
          </w:tcPr>
          <w:p w:rsidR="00B343F1" w:rsidRPr="00693892" w:rsidP="00B343F1" w14:paraId="1F0559B6" w14:textId="77777777">
            <w:pPr>
              <w:spacing w:after="0" w:line="240" w:lineRule="auto"/>
              <w:ind w:left="93" w:right="62"/>
              <w:jc w:val="center"/>
              <w:rPr>
                <w:rFonts w:ascii="Times New Roman" w:hAnsi="Times New Roman" w:cs="Times New Roman"/>
              </w:rPr>
            </w:pPr>
            <w:r w:rsidRPr="00693892">
              <w:rPr>
                <w:rFonts w:ascii="Times New Roman" w:hAnsi="Times New Roman" w:cs="Times New Roman"/>
              </w:rPr>
              <w:t>0.2</w:t>
            </w:r>
          </w:p>
        </w:tc>
        <w:tc>
          <w:tcPr>
            <w:tcW w:w="1350" w:type="dxa"/>
          </w:tcPr>
          <w:p w:rsidR="00B343F1" w:rsidRPr="00693892" w:rsidP="00B343F1" w14:paraId="2B4F5B2F" w14:textId="21019DAB">
            <w:pPr>
              <w:spacing w:after="0" w:line="240" w:lineRule="auto"/>
              <w:ind w:left="247"/>
              <w:jc w:val="center"/>
              <w:rPr>
                <w:rFonts w:ascii="Times New Roman" w:hAnsi="Times New Roman" w:cs="Times New Roman"/>
              </w:rPr>
            </w:pPr>
            <w:r w:rsidRPr="00BE7DE1">
              <w:rPr>
                <w:rFonts w:ascii="Times New Roman" w:hAnsi="Times New Roman" w:cs="Times New Roman"/>
              </w:rPr>
              <w:t>$13,2</w:t>
            </w:r>
            <w:r w:rsidRPr="00BE7DE1" w:rsidR="00942F6B">
              <w:rPr>
                <w:rFonts w:ascii="Times New Roman" w:hAnsi="Times New Roman" w:cs="Times New Roman"/>
              </w:rPr>
              <w:t>84</w:t>
            </w:r>
          </w:p>
        </w:tc>
        <w:tc>
          <w:tcPr>
            <w:tcW w:w="1260" w:type="dxa"/>
          </w:tcPr>
          <w:p w:rsidR="00B343F1" w:rsidRPr="00693892" w:rsidP="00B343F1" w14:paraId="1E69D92B" w14:textId="66EB271D">
            <w:pPr>
              <w:spacing w:after="0" w:line="240" w:lineRule="auto"/>
              <w:ind w:left="98" w:right="69"/>
              <w:jc w:val="center"/>
              <w:rPr>
                <w:rFonts w:ascii="Times New Roman" w:hAnsi="Times New Roman" w:cs="Times New Roman"/>
              </w:rPr>
            </w:pPr>
            <w:r w:rsidRPr="00693892">
              <w:rPr>
                <w:rFonts w:ascii="Times New Roman" w:hAnsi="Times New Roman" w:cs="Times New Roman"/>
              </w:rPr>
              <w:t>2,</w:t>
            </w:r>
            <w:r>
              <w:rPr>
                <w:rFonts w:ascii="Times New Roman" w:hAnsi="Times New Roman" w:cs="Times New Roman"/>
              </w:rPr>
              <w:t>799</w:t>
            </w:r>
          </w:p>
        </w:tc>
        <w:tc>
          <w:tcPr>
            <w:tcW w:w="1530" w:type="dxa"/>
            <w:vAlign w:val="bottom"/>
          </w:tcPr>
          <w:p w:rsidR="00B343F1" w:rsidRPr="00693892" w:rsidP="00B343F1" w14:paraId="5DBCF7D9" w14:textId="045D9915">
            <w:pPr>
              <w:spacing w:after="0" w:line="240" w:lineRule="auto"/>
              <w:ind w:left="69" w:right="55"/>
              <w:jc w:val="center"/>
              <w:rPr>
                <w:rFonts w:ascii="Times New Roman" w:hAnsi="Times New Roman" w:cs="Times New Roman"/>
                <w:color w:val="000000"/>
              </w:rPr>
            </w:pPr>
            <w:r w:rsidRPr="00693892">
              <w:rPr>
                <w:rFonts w:ascii="Times New Roman" w:hAnsi="Times New Roman" w:cs="Times New Roman"/>
                <w:color w:val="000000"/>
              </w:rPr>
              <w:t>$</w:t>
            </w:r>
            <w:r>
              <w:rPr>
                <w:rFonts w:ascii="Times New Roman" w:hAnsi="Times New Roman" w:cs="Times New Roman"/>
                <w:color w:val="000000"/>
              </w:rPr>
              <w:t>7,436,475</w:t>
            </w:r>
          </w:p>
        </w:tc>
        <w:tc>
          <w:tcPr>
            <w:tcW w:w="1530" w:type="dxa"/>
            <w:vAlign w:val="bottom"/>
          </w:tcPr>
          <w:p w:rsidR="00B343F1" w:rsidRPr="00693892" w:rsidP="00B343F1" w14:paraId="357D26A2" w14:textId="15C6626B">
            <w:pPr>
              <w:spacing w:after="0" w:line="240" w:lineRule="auto"/>
              <w:ind w:left="69" w:right="55"/>
              <w:jc w:val="center"/>
              <w:rPr>
                <w:rFonts w:ascii="Times New Roman" w:hAnsi="Times New Roman" w:cs="Times New Roman"/>
              </w:rPr>
            </w:pPr>
            <w:r w:rsidRPr="00693892">
              <w:rPr>
                <w:rFonts w:ascii="Times New Roman" w:hAnsi="Times New Roman" w:cs="Times New Roman"/>
                <w:color w:val="000000"/>
              </w:rPr>
              <w:t>$</w:t>
            </w:r>
            <w:r>
              <w:rPr>
                <w:rFonts w:ascii="Times New Roman" w:hAnsi="Times New Roman" w:cs="Times New Roman"/>
                <w:color w:val="000000"/>
              </w:rPr>
              <w:t>1,338,565</w:t>
            </w:r>
          </w:p>
        </w:tc>
      </w:tr>
      <w:tr w14:paraId="56F4549F" w14:textId="77777777" w:rsidTr="009A4B42">
        <w:tblPrEx>
          <w:tblW w:w="9702" w:type="dxa"/>
          <w:jc w:val="center"/>
          <w:tblLayout w:type="fixed"/>
          <w:tblCellMar>
            <w:left w:w="0" w:type="dxa"/>
            <w:right w:w="0" w:type="dxa"/>
          </w:tblCellMar>
          <w:tblLook w:val="01E0"/>
        </w:tblPrEx>
        <w:trPr>
          <w:trHeight w:val="285"/>
          <w:jc w:val="center"/>
        </w:trPr>
        <w:tc>
          <w:tcPr>
            <w:tcW w:w="2682" w:type="dxa"/>
          </w:tcPr>
          <w:p w:rsidR="00B343F1" w:rsidRPr="00693892" w:rsidP="00B343F1" w14:paraId="39EB4002" w14:textId="77777777">
            <w:pPr>
              <w:spacing w:after="0" w:line="240" w:lineRule="auto"/>
              <w:ind w:left="112"/>
              <w:rPr>
                <w:rFonts w:ascii="Times New Roman" w:hAnsi="Times New Roman" w:cs="Times New Roman"/>
                <w:b/>
              </w:rPr>
            </w:pPr>
            <w:r>
              <w:rPr>
                <w:rFonts w:ascii="Times New Roman" w:hAnsi="Times New Roman" w:cs="Times New Roman"/>
                <w:b/>
              </w:rPr>
              <w:t>Subt</w:t>
            </w:r>
            <w:r w:rsidRPr="00693892">
              <w:rPr>
                <w:rFonts w:ascii="Times New Roman" w:hAnsi="Times New Roman" w:cs="Times New Roman"/>
                <w:b/>
              </w:rPr>
              <w:t>otal</w:t>
            </w:r>
          </w:p>
        </w:tc>
        <w:tc>
          <w:tcPr>
            <w:tcW w:w="1350" w:type="dxa"/>
          </w:tcPr>
          <w:p w:rsidR="00B343F1" w:rsidRPr="00693892" w:rsidP="00B343F1" w14:paraId="11034F0B" w14:textId="77777777">
            <w:pPr>
              <w:spacing w:after="0" w:line="240" w:lineRule="auto"/>
              <w:ind w:left="93" w:right="62"/>
              <w:jc w:val="center"/>
              <w:rPr>
                <w:rFonts w:ascii="Times New Roman" w:hAnsi="Times New Roman" w:cs="Times New Roman"/>
                <w:b/>
              </w:rPr>
            </w:pPr>
          </w:p>
        </w:tc>
        <w:tc>
          <w:tcPr>
            <w:tcW w:w="1350" w:type="dxa"/>
          </w:tcPr>
          <w:p w:rsidR="00B343F1" w:rsidRPr="00693892" w:rsidP="00B343F1" w14:paraId="46FC02F5" w14:textId="77777777">
            <w:pPr>
              <w:spacing w:after="0" w:line="240" w:lineRule="auto"/>
              <w:ind w:left="247"/>
              <w:jc w:val="center"/>
              <w:rPr>
                <w:rFonts w:ascii="Times New Roman" w:hAnsi="Times New Roman" w:cs="Times New Roman"/>
                <w:b/>
              </w:rPr>
            </w:pPr>
          </w:p>
        </w:tc>
        <w:tc>
          <w:tcPr>
            <w:tcW w:w="1260" w:type="dxa"/>
          </w:tcPr>
          <w:p w:rsidR="00B343F1" w:rsidRPr="00693892" w:rsidP="00B343F1" w14:paraId="4D0A400E" w14:textId="76BA67A7">
            <w:pPr>
              <w:spacing w:after="0" w:line="240" w:lineRule="auto"/>
              <w:ind w:left="98" w:right="69"/>
              <w:jc w:val="center"/>
              <w:rPr>
                <w:rFonts w:ascii="Times New Roman" w:hAnsi="Times New Roman" w:cs="Times New Roman"/>
                <w:b/>
              </w:rPr>
            </w:pPr>
            <w:r w:rsidRPr="00693892">
              <w:rPr>
                <w:rFonts w:ascii="Times New Roman" w:hAnsi="Times New Roman" w:cs="Times New Roman"/>
                <w:b/>
              </w:rPr>
              <w:t>4,</w:t>
            </w:r>
            <w:r>
              <w:rPr>
                <w:rFonts w:ascii="Times New Roman" w:hAnsi="Times New Roman" w:cs="Times New Roman"/>
                <w:b/>
              </w:rPr>
              <w:t>334</w:t>
            </w:r>
          </w:p>
        </w:tc>
        <w:tc>
          <w:tcPr>
            <w:tcW w:w="1530" w:type="dxa"/>
            <w:vAlign w:val="bottom"/>
          </w:tcPr>
          <w:p w:rsidR="00B343F1" w:rsidRPr="00693892" w:rsidP="00B343F1" w14:paraId="1D4824C4" w14:textId="4AD29A92">
            <w:pPr>
              <w:spacing w:after="0" w:line="240" w:lineRule="auto"/>
              <w:ind w:left="69" w:right="55"/>
              <w:jc w:val="center"/>
              <w:rPr>
                <w:rFonts w:ascii="Times New Roman" w:hAnsi="Times New Roman" w:cs="Times New Roman"/>
                <w:b/>
                <w:color w:val="000000"/>
              </w:rPr>
            </w:pPr>
            <w:r w:rsidRPr="00693892">
              <w:rPr>
                <w:rFonts w:ascii="Times New Roman" w:hAnsi="Times New Roman" w:cs="Times New Roman"/>
                <w:b/>
                <w:color w:val="000000"/>
              </w:rPr>
              <w:t>$</w:t>
            </w:r>
            <w:r>
              <w:rPr>
                <w:rFonts w:ascii="Times New Roman" w:hAnsi="Times New Roman" w:cs="Times New Roman"/>
                <w:b/>
                <w:color w:val="000000"/>
              </w:rPr>
              <w:t>29,893,113</w:t>
            </w:r>
          </w:p>
        </w:tc>
        <w:tc>
          <w:tcPr>
            <w:tcW w:w="1530" w:type="dxa"/>
            <w:vAlign w:val="bottom"/>
          </w:tcPr>
          <w:p w:rsidR="00B343F1" w:rsidRPr="00693892" w:rsidP="00B343F1" w14:paraId="73B73836" w14:textId="0C80B20D">
            <w:pPr>
              <w:spacing w:after="0" w:line="240" w:lineRule="auto"/>
              <w:ind w:left="69" w:right="55"/>
              <w:jc w:val="center"/>
              <w:rPr>
                <w:rFonts w:ascii="Times New Roman" w:hAnsi="Times New Roman" w:cs="Times New Roman"/>
                <w:b/>
              </w:rPr>
            </w:pPr>
            <w:r w:rsidRPr="00693892">
              <w:rPr>
                <w:rFonts w:ascii="Times New Roman" w:hAnsi="Times New Roman" w:cs="Times New Roman"/>
                <w:b/>
                <w:color w:val="000000"/>
              </w:rPr>
              <w:t>$</w:t>
            </w:r>
            <w:r>
              <w:rPr>
                <w:rFonts w:ascii="Times New Roman" w:hAnsi="Times New Roman" w:cs="Times New Roman"/>
                <w:b/>
                <w:color w:val="000000"/>
              </w:rPr>
              <w:t>5,380,760</w:t>
            </w:r>
          </w:p>
        </w:tc>
      </w:tr>
      <w:tr w14:paraId="1386A349" w14:textId="77777777" w:rsidTr="009A4B42">
        <w:tblPrEx>
          <w:tblW w:w="9702" w:type="dxa"/>
          <w:jc w:val="center"/>
          <w:tblLayout w:type="fixed"/>
          <w:tblCellMar>
            <w:left w:w="0" w:type="dxa"/>
            <w:right w:w="0" w:type="dxa"/>
          </w:tblCellMar>
          <w:tblLook w:val="01E0"/>
        </w:tblPrEx>
        <w:trPr>
          <w:trHeight w:val="282"/>
          <w:jc w:val="center"/>
        </w:trPr>
        <w:tc>
          <w:tcPr>
            <w:tcW w:w="2682" w:type="dxa"/>
            <w:tcBorders>
              <w:top w:val="single" w:sz="8" w:space="0" w:color="000000"/>
            </w:tcBorders>
          </w:tcPr>
          <w:p w:rsidR="00B343F1" w:rsidRPr="00693892" w:rsidP="00B343F1" w14:paraId="765F2BE7" w14:textId="77777777">
            <w:pPr>
              <w:keepNext/>
              <w:spacing w:after="0" w:line="240" w:lineRule="auto"/>
              <w:ind w:right="1312"/>
              <w:jc w:val="center"/>
              <w:rPr>
                <w:rFonts w:ascii="Times New Roman" w:hAnsi="Times New Roman" w:cs="Times New Roman"/>
                <w:b/>
              </w:rPr>
            </w:pPr>
            <w:r w:rsidRPr="00693892">
              <w:rPr>
                <w:rFonts w:ascii="Times New Roman" w:hAnsi="Times New Roman" w:cs="Times New Roman"/>
                <w:b/>
              </w:rPr>
              <w:t>Grand Total</w:t>
            </w:r>
          </w:p>
        </w:tc>
        <w:tc>
          <w:tcPr>
            <w:tcW w:w="1350" w:type="dxa"/>
            <w:tcBorders>
              <w:top w:val="single" w:sz="8" w:space="0" w:color="000000"/>
            </w:tcBorders>
          </w:tcPr>
          <w:p w:rsidR="00B343F1" w:rsidRPr="00693892" w:rsidP="00B343F1" w14:paraId="3C243C72" w14:textId="77777777">
            <w:pPr>
              <w:keepNext/>
              <w:spacing w:after="0" w:line="240" w:lineRule="auto"/>
              <w:jc w:val="center"/>
              <w:rPr>
                <w:rFonts w:ascii="Times New Roman" w:hAnsi="Times New Roman" w:cs="Times New Roman"/>
              </w:rPr>
            </w:pPr>
          </w:p>
        </w:tc>
        <w:tc>
          <w:tcPr>
            <w:tcW w:w="1350" w:type="dxa"/>
            <w:tcBorders>
              <w:top w:val="single" w:sz="8" w:space="0" w:color="000000"/>
            </w:tcBorders>
          </w:tcPr>
          <w:p w:rsidR="00B343F1" w:rsidRPr="00693892" w:rsidP="00B343F1" w14:paraId="552FC13F" w14:textId="77777777">
            <w:pPr>
              <w:keepNext/>
              <w:spacing w:after="0" w:line="240" w:lineRule="auto"/>
              <w:jc w:val="center"/>
              <w:rPr>
                <w:rFonts w:ascii="Times New Roman" w:hAnsi="Times New Roman" w:cs="Times New Roman"/>
              </w:rPr>
            </w:pPr>
          </w:p>
        </w:tc>
        <w:tc>
          <w:tcPr>
            <w:tcW w:w="1260" w:type="dxa"/>
            <w:tcBorders>
              <w:top w:val="single" w:sz="8" w:space="0" w:color="000000"/>
            </w:tcBorders>
          </w:tcPr>
          <w:p w:rsidR="00B343F1" w:rsidRPr="00693892" w:rsidP="00B343F1" w14:paraId="241573F1" w14:textId="77777777">
            <w:pPr>
              <w:keepNext/>
              <w:spacing w:after="0" w:line="240" w:lineRule="auto"/>
              <w:ind w:left="90" w:right="76"/>
              <w:jc w:val="center"/>
              <w:rPr>
                <w:rFonts w:ascii="Times New Roman" w:hAnsi="Times New Roman" w:cs="Times New Roman"/>
                <w:b/>
              </w:rPr>
            </w:pPr>
          </w:p>
        </w:tc>
        <w:tc>
          <w:tcPr>
            <w:tcW w:w="1530" w:type="dxa"/>
            <w:tcBorders>
              <w:top w:val="single" w:sz="8" w:space="0" w:color="000000"/>
            </w:tcBorders>
          </w:tcPr>
          <w:p w:rsidR="00B343F1" w:rsidRPr="00693892" w:rsidP="00B343F1" w14:paraId="660DA729" w14:textId="4057F0FD">
            <w:pPr>
              <w:spacing w:after="0" w:line="240" w:lineRule="auto"/>
              <w:jc w:val="center"/>
              <w:rPr>
                <w:rFonts w:ascii="Times New Roman" w:hAnsi="Times New Roman" w:cs="Times New Roman"/>
                <w:b/>
              </w:rPr>
            </w:pPr>
            <w:r>
              <w:rPr>
                <w:rFonts w:ascii="Times New Roman" w:hAnsi="Times New Roman" w:cs="Times New Roman"/>
                <w:b/>
              </w:rPr>
              <w:t>$29,893,113</w:t>
            </w:r>
          </w:p>
        </w:tc>
        <w:tc>
          <w:tcPr>
            <w:tcW w:w="1530" w:type="dxa"/>
            <w:tcBorders>
              <w:top w:val="single" w:sz="8" w:space="0" w:color="000000"/>
            </w:tcBorders>
          </w:tcPr>
          <w:p w:rsidR="00B343F1" w:rsidRPr="00A464DD" w:rsidP="00B343F1" w14:paraId="34D2BC18" w14:textId="08C501FD">
            <w:pPr>
              <w:spacing w:after="0" w:line="240" w:lineRule="auto"/>
              <w:jc w:val="center"/>
              <w:rPr>
                <w:rFonts w:ascii="Times New Roman" w:hAnsi="Times New Roman" w:cs="Times New Roman"/>
                <w:b/>
              </w:rPr>
            </w:pPr>
            <w:r w:rsidRPr="00693892">
              <w:rPr>
                <w:rFonts w:ascii="Times New Roman" w:hAnsi="Times New Roman" w:cs="Times New Roman"/>
                <w:b/>
              </w:rPr>
              <w:t>$</w:t>
            </w:r>
            <w:r w:rsidRPr="00334853">
              <w:rPr>
                <w:rFonts w:ascii="Times New Roman" w:hAnsi="Times New Roman" w:cs="Times New Roman"/>
                <w:b/>
              </w:rPr>
              <w:t>5,</w:t>
            </w:r>
            <w:r>
              <w:rPr>
                <w:rFonts w:ascii="Times New Roman" w:hAnsi="Times New Roman" w:cs="Times New Roman"/>
                <w:b/>
              </w:rPr>
              <w:t>380,760</w:t>
            </w:r>
          </w:p>
        </w:tc>
      </w:tr>
    </w:tbl>
    <w:p w:rsidR="00F8196C" w:rsidRPr="00F8196C" w:rsidP="00072152" w14:paraId="2F32F4B2" w14:textId="77777777">
      <w:pPr>
        <w:keepNext/>
        <w:spacing w:after="0" w:line="240" w:lineRule="auto"/>
        <w:rPr>
          <w:rFonts w:ascii="Times New Roman" w:hAnsi="Times New Roman" w:cs="Times New Roman"/>
          <w:sz w:val="18"/>
          <w:szCs w:val="18"/>
        </w:rPr>
      </w:pPr>
      <w:r w:rsidRPr="00DB1152">
        <w:rPr>
          <w:rFonts w:ascii="Times New Roman" w:hAnsi="Times New Roman" w:cs="Times New Roman"/>
          <w:w w:val="105"/>
          <w:position w:val="6"/>
          <w:sz w:val="18"/>
          <w:szCs w:val="18"/>
        </w:rPr>
        <w:t>*</w:t>
      </w:r>
      <w:r w:rsidRPr="00DB1152">
        <w:rPr>
          <w:rFonts w:ascii="Times New Roman" w:hAnsi="Times New Roman" w:cs="Times New Roman"/>
          <w:w w:val="105"/>
          <w:sz w:val="18"/>
          <w:szCs w:val="18"/>
        </w:rPr>
        <w:t>Totals may not sum due to rounding</w:t>
      </w:r>
      <w:r w:rsidRPr="00DB1152">
        <w:rPr>
          <w:rFonts w:ascii="Times New Roman" w:hAnsi="Times New Roman" w:cs="Times New Roman"/>
          <w:sz w:val="18"/>
          <w:szCs w:val="18"/>
        </w:rPr>
        <w:br/>
      </w:r>
    </w:p>
    <w:p w:rsidR="0085060F" w:rsidRPr="00305612" w:rsidP="00305612" w14:paraId="50E22DF3" w14:textId="77777777">
      <w:pPr>
        <w:pStyle w:val="Heading3"/>
        <w:rPr>
          <w:rFonts w:ascii="Times New Roman" w:hAnsi="Times New Roman" w:cs="Times New Roman"/>
          <w:sz w:val="22"/>
          <w:szCs w:val="22"/>
        </w:rPr>
      </w:pPr>
      <w:bookmarkStart w:id="456" w:name="_Toc141733199"/>
      <w:bookmarkStart w:id="457" w:name="_Toc142404103"/>
      <w:bookmarkStart w:id="458" w:name="_Toc144213912"/>
      <w:bookmarkStart w:id="459" w:name="_Toc144283657"/>
      <w:bookmarkStart w:id="460" w:name="_Toc144303595"/>
      <w:r w:rsidRPr="00305612">
        <w:rPr>
          <w:rFonts w:ascii="Times New Roman" w:hAnsi="Times New Roman" w:cs="Times New Roman"/>
          <w:sz w:val="22"/>
          <w:szCs w:val="22"/>
          <w:shd w:val="clear" w:color="auto" w:fill="FFFFFF"/>
        </w:rPr>
        <w:t xml:space="preserve">7.1.2 Root Cause Analysis – </w:t>
      </w:r>
      <w:r w:rsidRPr="00305612">
        <w:rPr>
          <w:rFonts w:ascii="Times New Roman" w:hAnsi="Times New Roman" w:cs="Times New Roman"/>
          <w:sz w:val="22"/>
          <w:szCs w:val="22"/>
        </w:rPr>
        <w:t>(revisions apply to §§68.60 and 68.81)</w:t>
      </w:r>
      <w:bookmarkEnd w:id="456"/>
      <w:bookmarkEnd w:id="457"/>
      <w:bookmarkEnd w:id="458"/>
      <w:bookmarkEnd w:id="459"/>
      <w:bookmarkEnd w:id="460"/>
    </w:p>
    <w:p w:rsidR="0085060F" w:rsidP="00236E25" w14:paraId="1009A297"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 xml:space="preserve">The </w:t>
      </w:r>
      <w:r w:rsidR="00483C2C">
        <w:rPr>
          <w:rFonts w:ascii="Times New Roman" w:hAnsi="Times New Roman" w:cs="Times New Roman"/>
        </w:rPr>
        <w:t>final</w:t>
      </w:r>
      <w:r w:rsidRPr="00693892">
        <w:rPr>
          <w:rFonts w:ascii="Times New Roman" w:hAnsi="Times New Roman" w:cs="Times New Roman"/>
        </w:rPr>
        <w:t xml:space="preserve"> rule revises the incident investigation provisions to require a root cause analysis following an RMP-reportable accident. The incident investigation revisions </w:t>
      </w:r>
      <w:r w:rsidR="009837FF">
        <w:rPr>
          <w:rFonts w:ascii="Times New Roman" w:hAnsi="Times New Roman" w:cs="Times New Roman"/>
        </w:rPr>
        <w:t>will</w:t>
      </w:r>
      <w:r w:rsidRPr="00693892">
        <w:rPr>
          <w:rFonts w:ascii="Times New Roman" w:hAnsi="Times New Roman" w:cs="Times New Roman"/>
        </w:rPr>
        <w:t xml:space="preserve"> apply to all facilities with Program 2 and 3 processes that experience an RMP-reportable accident. The low</w:t>
      </w:r>
      <w:r w:rsidR="007E0C59">
        <w:rPr>
          <w:rFonts w:ascii="Times New Roman" w:hAnsi="Times New Roman" w:cs="Times New Roman"/>
        </w:rPr>
        <w:t>er</w:t>
      </w:r>
      <w:r w:rsidR="009B66C5">
        <w:rPr>
          <w:rFonts w:ascii="Times New Roman" w:hAnsi="Times New Roman" w:cs="Times New Roman"/>
        </w:rPr>
        <w:t>-</w:t>
      </w:r>
      <w:r w:rsidRPr="00693892">
        <w:rPr>
          <w:rFonts w:ascii="Times New Roman" w:hAnsi="Times New Roman" w:cs="Times New Roman"/>
        </w:rPr>
        <w:t xml:space="preserve">cost regulatory alternative </w:t>
      </w:r>
      <w:r w:rsidR="009837FF">
        <w:rPr>
          <w:rFonts w:ascii="Times New Roman" w:hAnsi="Times New Roman" w:cs="Times New Roman"/>
        </w:rPr>
        <w:t>w</w:t>
      </w:r>
      <w:r w:rsidR="007E0C59">
        <w:rPr>
          <w:rFonts w:ascii="Times New Roman" w:hAnsi="Times New Roman" w:cs="Times New Roman"/>
        </w:rPr>
        <w:t>ould</w:t>
      </w:r>
      <w:r w:rsidRPr="00693892">
        <w:rPr>
          <w:rFonts w:ascii="Times New Roman" w:hAnsi="Times New Roman" w:cs="Times New Roman"/>
        </w:rPr>
        <w:t xml:space="preserve"> apply to only facilities with Program 3 processes that experience an RMP-reportable accident. Accident numbers are based on the RMP data from RMP-reportable accidents, referenced in Exhibit 3-</w:t>
      </w:r>
      <w:r w:rsidR="00043203">
        <w:rPr>
          <w:rFonts w:ascii="Times New Roman" w:hAnsi="Times New Roman" w:cs="Times New Roman"/>
        </w:rPr>
        <w:t>8</w:t>
      </w:r>
      <w:r w:rsidRPr="00693892">
        <w:rPr>
          <w:rFonts w:ascii="Times New Roman" w:hAnsi="Times New Roman" w:cs="Times New Roman"/>
        </w:rPr>
        <w:t>, and are estimated based on the five-year annual average. The unit costs applied to the accidents are consistent with the unit costs presented in Exhibit 4-</w:t>
      </w:r>
      <w:r w:rsidR="00FD4EE0">
        <w:rPr>
          <w:rFonts w:ascii="Times New Roman" w:hAnsi="Times New Roman" w:cs="Times New Roman"/>
        </w:rPr>
        <w:t>6</w:t>
      </w:r>
      <w:r w:rsidRPr="00693892">
        <w:rPr>
          <w:rFonts w:ascii="Times New Roman" w:hAnsi="Times New Roman" w:cs="Times New Roman"/>
        </w:rPr>
        <w:t>. The total initial cost of the low</w:t>
      </w:r>
      <w:r w:rsidR="00794DAE">
        <w:rPr>
          <w:rFonts w:ascii="Times New Roman" w:hAnsi="Times New Roman" w:cs="Times New Roman"/>
        </w:rPr>
        <w:t>er</w:t>
      </w:r>
      <w:r w:rsidR="00BE7946">
        <w:rPr>
          <w:rFonts w:ascii="Times New Roman" w:hAnsi="Times New Roman" w:cs="Times New Roman"/>
        </w:rPr>
        <w:t>-</w:t>
      </w:r>
      <w:r w:rsidRPr="00693892">
        <w:rPr>
          <w:rFonts w:ascii="Times New Roman" w:hAnsi="Times New Roman" w:cs="Times New Roman"/>
        </w:rPr>
        <w:t>cost root cause analysis provision is summarized in Exhibit 7-</w:t>
      </w:r>
      <w:r w:rsidR="007D4D16">
        <w:rPr>
          <w:rFonts w:ascii="Times New Roman" w:hAnsi="Times New Roman" w:cs="Times New Roman"/>
        </w:rPr>
        <w:t>2</w:t>
      </w:r>
      <w:r w:rsidRPr="00693892">
        <w:rPr>
          <w:rFonts w:ascii="Times New Roman" w:hAnsi="Times New Roman" w:cs="Times New Roman"/>
        </w:rPr>
        <w:t>.</w:t>
      </w:r>
    </w:p>
    <w:p w:rsidR="0085060F" w:rsidRPr="00693892" w:rsidP="0085060F" w14:paraId="5CAF3021" w14:textId="77777777">
      <w:pPr>
        <w:keepNext/>
        <w:spacing w:after="0" w:line="240" w:lineRule="auto"/>
        <w:ind w:firstLine="360"/>
        <w:rPr>
          <w:rFonts w:ascii="Times New Roman" w:hAnsi="Times New Roman" w:cs="Times New Roman"/>
        </w:rPr>
      </w:pPr>
    </w:p>
    <w:p w:rsidR="0085060F" w:rsidRPr="00693892" w:rsidP="0085060F" w14:paraId="47D64172" w14:textId="77777777">
      <w:pPr>
        <w:keepNext/>
        <w:spacing w:after="0" w:line="240" w:lineRule="auto"/>
        <w:jc w:val="center"/>
        <w:rPr>
          <w:rFonts w:ascii="Times New Roman" w:hAnsi="Times New Roman" w:cs="Times New Roman"/>
          <w:b/>
        </w:rPr>
      </w:pPr>
      <w:r w:rsidRPr="00DB1152">
        <w:rPr>
          <w:rFonts w:ascii="Times New Roman" w:hAnsi="Times New Roman" w:cs="Times New Roman"/>
          <w:b/>
        </w:rPr>
        <w:t>Exhibit 7</w:t>
      </w:r>
      <w:r w:rsidRPr="00693892">
        <w:rPr>
          <w:rFonts w:ascii="Times New Roman" w:hAnsi="Times New Roman" w:cs="Times New Roman"/>
          <w:b/>
        </w:rPr>
        <w:t>-</w:t>
      </w:r>
      <w:r w:rsidR="00DC1D68">
        <w:rPr>
          <w:rFonts w:ascii="Times New Roman" w:hAnsi="Times New Roman" w:cs="Times New Roman"/>
          <w:b/>
        </w:rPr>
        <w:t>2</w:t>
      </w:r>
      <w:r w:rsidRPr="00693892">
        <w:rPr>
          <w:rFonts w:ascii="Times New Roman" w:hAnsi="Times New Roman" w:cs="Times New Roman"/>
          <w:b/>
        </w:rPr>
        <w:t xml:space="preserve">: Total Annual Undiscounted Costs for </w:t>
      </w:r>
      <w:r>
        <w:rPr>
          <w:rFonts w:ascii="Times New Roman" w:hAnsi="Times New Roman" w:cs="Times New Roman"/>
          <w:b/>
        </w:rPr>
        <w:t>Root Cause Analysis</w:t>
      </w:r>
    </w:p>
    <w:p w:rsidR="0085060F" w:rsidP="0085060F" w14:paraId="01999BFE" w14:textId="77777777">
      <w:pPr>
        <w:keepNext/>
        <w:spacing w:after="0" w:line="240" w:lineRule="auto"/>
        <w:jc w:val="center"/>
        <w:rPr>
          <w:rFonts w:ascii="Times New Roman" w:hAnsi="Times New Roman" w:cs="Times New Roman"/>
          <w:b/>
        </w:rPr>
      </w:pPr>
      <w:r w:rsidRPr="00693892">
        <w:rPr>
          <w:rFonts w:ascii="Times New Roman" w:hAnsi="Times New Roman" w:cs="Times New Roman"/>
          <w:b/>
        </w:rPr>
        <w:t xml:space="preserve">Lower Cost Regulatory Alternative </w:t>
      </w:r>
      <w:r>
        <w:rPr>
          <w:rFonts w:ascii="Times New Roman" w:hAnsi="Times New Roman" w:cs="Times New Roman"/>
          <w:b/>
        </w:rPr>
        <w:t>(</w:t>
      </w:r>
      <w:r w:rsidRPr="00693892">
        <w:rPr>
          <w:rFonts w:ascii="Times New Roman" w:hAnsi="Times New Roman" w:cs="Times New Roman"/>
          <w:b/>
        </w:rPr>
        <w:t>202</w:t>
      </w:r>
      <w:r w:rsidR="003A49A4">
        <w:rPr>
          <w:rFonts w:ascii="Times New Roman" w:hAnsi="Times New Roman" w:cs="Times New Roman"/>
          <w:b/>
        </w:rPr>
        <w:t>2</w:t>
      </w:r>
      <w:r w:rsidRPr="00693892">
        <w:rPr>
          <w:rFonts w:ascii="Times New Roman" w:hAnsi="Times New Roman" w:cs="Times New Roman"/>
          <w:b/>
        </w:rPr>
        <w:t xml:space="preserve"> Dollars)</w:t>
      </w:r>
      <w:r>
        <w:rPr>
          <w:rFonts w:ascii="Times New Roman" w:hAnsi="Times New Roman" w:cs="Times New Roman"/>
          <w:b/>
        </w:rPr>
        <w:t>.</w:t>
      </w:r>
    </w:p>
    <w:p w:rsidR="0085060F" w:rsidRPr="00DB1152" w:rsidP="0085060F" w14:paraId="7D021020" w14:textId="77777777">
      <w:pPr>
        <w:keepNext/>
        <w:spacing w:after="0" w:line="240" w:lineRule="auto"/>
        <w:jc w:val="center"/>
        <w:rPr>
          <w:rFonts w:ascii="Times New Roman" w:hAnsi="Times New Roman" w:cs="Times New Roman"/>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51"/>
        <w:gridCol w:w="1126"/>
        <w:gridCol w:w="1220"/>
        <w:gridCol w:w="1661"/>
      </w:tblGrid>
      <w:tr w14:paraId="35C5BA75" w14:textId="77777777" w:rsidTr="00E6210A">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92"/>
          <w:jc w:val="center"/>
        </w:trPr>
        <w:tc>
          <w:tcPr>
            <w:tcW w:w="2451" w:type="dxa"/>
            <w:tcBorders>
              <w:left w:val="single" w:sz="6" w:space="0" w:color="000000"/>
              <w:right w:val="single" w:sz="6" w:space="0" w:color="000000"/>
            </w:tcBorders>
            <w:shd w:val="clear" w:color="auto" w:fill="DADADA"/>
            <w:vAlign w:val="center"/>
          </w:tcPr>
          <w:p w:rsidR="0085060F" w:rsidRPr="00DB1152" w:rsidP="00E6210A" w14:paraId="533185F3" w14:textId="77777777">
            <w:pPr>
              <w:keepNext/>
              <w:spacing w:after="0" w:line="240" w:lineRule="auto"/>
              <w:ind w:left="168" w:hanging="90"/>
              <w:jc w:val="center"/>
              <w:rPr>
                <w:rFonts w:ascii="Times New Roman" w:hAnsi="Times New Roman" w:cs="Times New Roman"/>
                <w:b/>
                <w:sz w:val="20"/>
                <w:szCs w:val="20"/>
              </w:rPr>
            </w:pPr>
            <w:r w:rsidRPr="00DB1152">
              <w:rPr>
                <w:rFonts w:ascii="Times New Roman" w:hAnsi="Times New Roman" w:cs="Times New Roman"/>
                <w:b/>
                <w:sz w:val="20"/>
                <w:szCs w:val="20"/>
              </w:rPr>
              <w:t>Facility Type</w:t>
            </w:r>
          </w:p>
        </w:tc>
        <w:tc>
          <w:tcPr>
            <w:tcW w:w="1126" w:type="dxa"/>
            <w:tcBorders>
              <w:left w:val="single" w:sz="6" w:space="0" w:color="000000"/>
            </w:tcBorders>
            <w:shd w:val="clear" w:color="auto" w:fill="DADADA"/>
            <w:vAlign w:val="center"/>
          </w:tcPr>
          <w:p w:rsidR="0085060F" w:rsidRPr="00DB1152" w:rsidP="00E6210A" w14:paraId="2DEC9711" w14:textId="77777777">
            <w:pPr>
              <w:keepNext/>
              <w:spacing w:after="0" w:line="240" w:lineRule="auto"/>
              <w:ind w:left="92" w:right="32"/>
              <w:jc w:val="center"/>
              <w:rPr>
                <w:rFonts w:ascii="Times New Roman" w:hAnsi="Times New Roman" w:cs="Times New Roman"/>
                <w:b/>
                <w:sz w:val="20"/>
                <w:szCs w:val="20"/>
              </w:rPr>
            </w:pPr>
            <w:r w:rsidRPr="00DB1152">
              <w:rPr>
                <w:rFonts w:ascii="Times New Roman" w:hAnsi="Times New Roman" w:cs="Times New Roman"/>
                <w:b/>
                <w:sz w:val="20"/>
                <w:szCs w:val="20"/>
              </w:rPr>
              <w:t>Unit Cost</w:t>
            </w:r>
          </w:p>
        </w:tc>
        <w:tc>
          <w:tcPr>
            <w:tcW w:w="1220" w:type="dxa"/>
            <w:tcBorders>
              <w:right w:val="single" w:sz="6" w:space="0" w:color="000000"/>
            </w:tcBorders>
            <w:shd w:val="clear" w:color="auto" w:fill="DADADA"/>
            <w:vAlign w:val="center"/>
          </w:tcPr>
          <w:p w:rsidR="0085060F" w:rsidRPr="00DB1152" w:rsidP="00E6210A" w14:paraId="686C2E35" w14:textId="77777777">
            <w:pPr>
              <w:keepNext/>
              <w:spacing w:after="0" w:line="240" w:lineRule="auto"/>
              <w:ind w:left="61" w:right="67"/>
              <w:jc w:val="center"/>
              <w:rPr>
                <w:rFonts w:ascii="Times New Roman" w:hAnsi="Times New Roman" w:cs="Times New Roman"/>
                <w:b/>
                <w:sz w:val="20"/>
                <w:szCs w:val="20"/>
              </w:rPr>
            </w:pPr>
            <w:r w:rsidRPr="00DB1152">
              <w:rPr>
                <w:rFonts w:ascii="Times New Roman" w:hAnsi="Times New Roman" w:cs="Times New Roman"/>
                <w:b/>
                <w:sz w:val="20"/>
                <w:szCs w:val="20"/>
              </w:rPr>
              <w:t>Accidents</w:t>
            </w:r>
          </w:p>
        </w:tc>
        <w:tc>
          <w:tcPr>
            <w:tcW w:w="1661" w:type="dxa"/>
            <w:tcBorders>
              <w:left w:val="single" w:sz="6" w:space="0" w:color="000000"/>
            </w:tcBorders>
            <w:shd w:val="clear" w:color="auto" w:fill="DADADA"/>
            <w:vAlign w:val="center"/>
          </w:tcPr>
          <w:p w:rsidR="0085060F" w:rsidRPr="00DB1152" w:rsidP="00E6210A" w14:paraId="19358897" w14:textId="77777777">
            <w:pPr>
              <w:keepNext/>
              <w:spacing w:after="0" w:line="240" w:lineRule="auto"/>
              <w:ind w:left="81" w:right="51"/>
              <w:jc w:val="center"/>
              <w:rPr>
                <w:rFonts w:ascii="Times New Roman" w:hAnsi="Times New Roman" w:cs="Times New Roman"/>
                <w:b/>
                <w:sz w:val="20"/>
                <w:szCs w:val="20"/>
              </w:rPr>
            </w:pPr>
            <w:r w:rsidRPr="00DB1152">
              <w:rPr>
                <w:rFonts w:ascii="Times New Roman" w:hAnsi="Times New Roman" w:cs="Times New Roman"/>
                <w:b/>
                <w:sz w:val="20"/>
                <w:szCs w:val="20"/>
              </w:rPr>
              <w:t>Total Initial Cost</w:t>
            </w:r>
          </w:p>
        </w:tc>
      </w:tr>
      <w:tr w14:paraId="608612E7" w14:textId="77777777" w:rsidTr="00E6210A">
        <w:tblPrEx>
          <w:tblW w:w="0" w:type="auto"/>
          <w:jc w:val="center"/>
          <w:tblLayout w:type="fixed"/>
          <w:tblCellMar>
            <w:left w:w="0" w:type="dxa"/>
            <w:right w:w="0" w:type="dxa"/>
          </w:tblCellMar>
          <w:tblLook w:val="01E0"/>
        </w:tblPrEx>
        <w:trPr>
          <w:trHeight w:val="160"/>
          <w:jc w:val="center"/>
        </w:trPr>
        <w:tc>
          <w:tcPr>
            <w:tcW w:w="2451" w:type="dxa"/>
            <w:tcBorders>
              <w:top w:val="single" w:sz="6" w:space="0" w:color="000000"/>
              <w:left w:val="single" w:sz="6" w:space="0" w:color="000000"/>
              <w:bottom w:val="single" w:sz="6" w:space="0" w:color="000000"/>
              <w:right w:val="single" w:sz="6" w:space="0" w:color="000000"/>
            </w:tcBorders>
            <w:vAlign w:val="center"/>
          </w:tcPr>
          <w:p w:rsidR="0085060F" w:rsidRPr="00DB1152" w:rsidP="00236E25" w14:paraId="7D8EFDC8" w14:textId="77777777">
            <w:pPr>
              <w:keepNext/>
              <w:spacing w:after="0" w:line="240" w:lineRule="auto"/>
              <w:ind w:left="127"/>
              <w:rPr>
                <w:rFonts w:ascii="Times New Roman" w:hAnsi="Times New Roman" w:cs="Times New Roman"/>
                <w:sz w:val="20"/>
                <w:szCs w:val="20"/>
              </w:rPr>
            </w:pPr>
            <w:r w:rsidRPr="00DB1152">
              <w:rPr>
                <w:rFonts w:ascii="Times New Roman" w:hAnsi="Times New Roman" w:cs="Times New Roman"/>
                <w:color w:val="000000"/>
                <w:sz w:val="20"/>
                <w:szCs w:val="20"/>
              </w:rPr>
              <w:t>P3 Accidents - simple</w:t>
            </w:r>
          </w:p>
        </w:tc>
        <w:tc>
          <w:tcPr>
            <w:tcW w:w="1126" w:type="dxa"/>
            <w:tcBorders>
              <w:top w:val="single" w:sz="6" w:space="0" w:color="000000"/>
              <w:left w:val="single" w:sz="6" w:space="0" w:color="000000"/>
              <w:bottom w:val="single" w:sz="6" w:space="0" w:color="000000"/>
            </w:tcBorders>
            <w:vAlign w:val="center"/>
          </w:tcPr>
          <w:p w:rsidR="0085060F" w:rsidRPr="00DB1152" w:rsidP="00236E25" w14:paraId="71AAD558" w14:textId="77777777">
            <w:pPr>
              <w:keepNext/>
              <w:spacing w:after="0" w:line="240" w:lineRule="auto"/>
              <w:ind w:left="92" w:right="30"/>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$2,</w:t>
            </w:r>
            <w:r w:rsidR="0060005F">
              <w:rPr>
                <w:rFonts w:ascii="Times New Roman" w:hAnsi="Times New Roman" w:cs="Times New Roman"/>
                <w:color w:val="000000"/>
                <w:sz w:val="20"/>
                <w:szCs w:val="20"/>
              </w:rPr>
              <w:t>350</w:t>
            </w:r>
          </w:p>
        </w:tc>
        <w:tc>
          <w:tcPr>
            <w:tcW w:w="1220" w:type="dxa"/>
            <w:tcBorders>
              <w:top w:val="single" w:sz="6" w:space="0" w:color="000000"/>
              <w:bottom w:val="single" w:sz="6" w:space="0" w:color="000000"/>
              <w:right w:val="single" w:sz="6" w:space="0" w:color="000000"/>
            </w:tcBorders>
            <w:vAlign w:val="center"/>
          </w:tcPr>
          <w:p w:rsidR="0085060F" w:rsidRPr="00DB1152" w:rsidP="00236E25" w14:paraId="41C77C31" w14:textId="77777777">
            <w:pPr>
              <w:keepNext/>
              <w:spacing w:after="0" w:line="240" w:lineRule="auto"/>
              <w:ind w:left="77" w:right="65"/>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40</w:t>
            </w:r>
          </w:p>
        </w:tc>
        <w:tc>
          <w:tcPr>
            <w:tcW w:w="1661" w:type="dxa"/>
            <w:tcBorders>
              <w:top w:val="single" w:sz="6" w:space="0" w:color="000000"/>
              <w:left w:val="single" w:sz="6" w:space="0" w:color="000000"/>
              <w:bottom w:val="single" w:sz="6" w:space="0" w:color="000000"/>
            </w:tcBorders>
            <w:vAlign w:val="center"/>
          </w:tcPr>
          <w:p w:rsidR="0085060F" w:rsidRPr="00DB1152" w:rsidP="00236E25" w14:paraId="1CF43AF2" w14:textId="77777777">
            <w:pPr>
              <w:keepNext/>
              <w:spacing w:after="0" w:line="240" w:lineRule="auto"/>
              <w:ind w:left="83" w:right="51"/>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w:t>
            </w:r>
            <w:r w:rsidR="003A49A4">
              <w:rPr>
                <w:rFonts w:ascii="Times New Roman" w:hAnsi="Times New Roman" w:cs="Times New Roman"/>
                <w:color w:val="000000"/>
                <w:sz w:val="20"/>
                <w:szCs w:val="20"/>
              </w:rPr>
              <w:t>94,466</w:t>
            </w:r>
          </w:p>
        </w:tc>
      </w:tr>
      <w:tr w14:paraId="590B47B3" w14:textId="77777777" w:rsidTr="00E6210A">
        <w:tblPrEx>
          <w:tblW w:w="0" w:type="auto"/>
          <w:jc w:val="center"/>
          <w:tblLayout w:type="fixed"/>
          <w:tblCellMar>
            <w:left w:w="0" w:type="dxa"/>
            <w:right w:w="0" w:type="dxa"/>
          </w:tblCellMar>
          <w:tblLook w:val="01E0"/>
        </w:tblPrEx>
        <w:trPr>
          <w:trHeight w:val="183"/>
          <w:jc w:val="center"/>
        </w:trPr>
        <w:tc>
          <w:tcPr>
            <w:tcW w:w="2451" w:type="dxa"/>
            <w:tcBorders>
              <w:top w:val="single" w:sz="6" w:space="0" w:color="000000"/>
              <w:left w:val="single" w:sz="6" w:space="0" w:color="000000"/>
              <w:bottom w:val="single" w:sz="6" w:space="0" w:color="000000"/>
              <w:right w:val="single" w:sz="6" w:space="0" w:color="000000"/>
            </w:tcBorders>
            <w:vAlign w:val="center"/>
          </w:tcPr>
          <w:p w:rsidR="0085060F" w:rsidRPr="00DB1152" w:rsidP="00236E25" w14:paraId="12902294" w14:textId="77777777">
            <w:pPr>
              <w:keepNext/>
              <w:spacing w:after="0" w:line="240" w:lineRule="auto"/>
              <w:ind w:left="127"/>
              <w:rPr>
                <w:rFonts w:ascii="Times New Roman" w:hAnsi="Times New Roman" w:cs="Times New Roman"/>
                <w:sz w:val="20"/>
                <w:szCs w:val="20"/>
              </w:rPr>
            </w:pPr>
            <w:r w:rsidRPr="00DB1152">
              <w:rPr>
                <w:rFonts w:ascii="Times New Roman" w:hAnsi="Times New Roman" w:cs="Times New Roman"/>
                <w:color w:val="000000"/>
                <w:sz w:val="20"/>
                <w:szCs w:val="20"/>
              </w:rPr>
              <w:t>P3 Accidents - complex</w:t>
            </w:r>
          </w:p>
        </w:tc>
        <w:tc>
          <w:tcPr>
            <w:tcW w:w="1126" w:type="dxa"/>
            <w:tcBorders>
              <w:top w:val="single" w:sz="6" w:space="0" w:color="000000"/>
              <w:left w:val="single" w:sz="6" w:space="0" w:color="000000"/>
              <w:bottom w:val="single" w:sz="6" w:space="0" w:color="000000"/>
            </w:tcBorders>
            <w:vAlign w:val="center"/>
          </w:tcPr>
          <w:p w:rsidR="0085060F" w:rsidRPr="00DB1152" w:rsidP="00236E25" w14:paraId="3E8B4881" w14:textId="77777777">
            <w:pPr>
              <w:keepNext/>
              <w:spacing w:after="0" w:line="240" w:lineRule="auto"/>
              <w:ind w:left="92" w:right="30"/>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$1</w:t>
            </w:r>
            <w:r w:rsidR="0060005F">
              <w:rPr>
                <w:rFonts w:ascii="Times New Roman" w:hAnsi="Times New Roman" w:cs="Times New Roman"/>
                <w:color w:val="000000"/>
                <w:sz w:val="20"/>
                <w:szCs w:val="20"/>
              </w:rPr>
              <w:t>5,496</w:t>
            </w:r>
          </w:p>
        </w:tc>
        <w:tc>
          <w:tcPr>
            <w:tcW w:w="1220" w:type="dxa"/>
            <w:tcBorders>
              <w:top w:val="single" w:sz="6" w:space="0" w:color="000000"/>
              <w:bottom w:val="single" w:sz="6" w:space="0" w:color="000000"/>
              <w:right w:val="single" w:sz="6" w:space="0" w:color="000000"/>
            </w:tcBorders>
            <w:vAlign w:val="center"/>
          </w:tcPr>
          <w:p w:rsidR="0085060F" w:rsidRPr="00DB1152" w:rsidP="00236E25" w14:paraId="0069544F" w14:textId="77777777">
            <w:pPr>
              <w:keepNext/>
              <w:spacing w:after="0" w:line="240" w:lineRule="auto"/>
              <w:ind w:left="77" w:right="65"/>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41</w:t>
            </w:r>
          </w:p>
        </w:tc>
        <w:tc>
          <w:tcPr>
            <w:tcW w:w="1661" w:type="dxa"/>
            <w:tcBorders>
              <w:top w:val="single" w:sz="6" w:space="0" w:color="000000"/>
              <w:left w:val="single" w:sz="6" w:space="0" w:color="000000"/>
              <w:bottom w:val="single" w:sz="6" w:space="0" w:color="000000"/>
            </w:tcBorders>
            <w:vAlign w:val="center"/>
          </w:tcPr>
          <w:p w:rsidR="0085060F" w:rsidRPr="00DB1152" w:rsidP="00236E25" w14:paraId="63D40D33" w14:textId="77777777">
            <w:pPr>
              <w:keepNext/>
              <w:spacing w:after="0" w:line="240" w:lineRule="auto"/>
              <w:ind w:left="83" w:right="51"/>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w:t>
            </w:r>
            <w:r w:rsidR="003A49A4">
              <w:rPr>
                <w:rFonts w:ascii="Times New Roman" w:hAnsi="Times New Roman" w:cs="Times New Roman"/>
                <w:color w:val="000000"/>
                <w:sz w:val="20"/>
                <w:szCs w:val="20"/>
              </w:rPr>
              <w:t>638,448</w:t>
            </w:r>
          </w:p>
        </w:tc>
      </w:tr>
      <w:tr w14:paraId="2901BF7B" w14:textId="77777777" w:rsidTr="00E6210A">
        <w:tblPrEx>
          <w:tblW w:w="0" w:type="auto"/>
          <w:jc w:val="center"/>
          <w:tblLayout w:type="fixed"/>
          <w:tblCellMar>
            <w:left w:w="0" w:type="dxa"/>
            <w:right w:w="0" w:type="dxa"/>
          </w:tblCellMar>
          <w:tblLook w:val="01E0"/>
        </w:tblPrEx>
        <w:trPr>
          <w:trHeight w:val="97"/>
          <w:jc w:val="center"/>
        </w:trPr>
        <w:tc>
          <w:tcPr>
            <w:tcW w:w="2451" w:type="dxa"/>
            <w:tcBorders>
              <w:left w:val="single" w:sz="6" w:space="0" w:color="000000"/>
              <w:bottom w:val="single" w:sz="6" w:space="0" w:color="000000"/>
              <w:right w:val="single" w:sz="6" w:space="0" w:color="000000"/>
            </w:tcBorders>
            <w:vAlign w:val="center"/>
          </w:tcPr>
          <w:p w:rsidR="0085060F" w:rsidRPr="00DB1152" w:rsidP="00236E25" w14:paraId="20CA9504" w14:textId="77777777">
            <w:pPr>
              <w:keepNext/>
              <w:spacing w:after="0" w:line="240" w:lineRule="auto"/>
              <w:ind w:left="878" w:right="842"/>
              <w:jc w:val="center"/>
              <w:rPr>
                <w:rFonts w:ascii="Times New Roman" w:hAnsi="Times New Roman" w:cs="Times New Roman"/>
                <w:b/>
                <w:sz w:val="20"/>
                <w:szCs w:val="20"/>
              </w:rPr>
            </w:pPr>
            <w:r w:rsidRPr="00DB1152">
              <w:rPr>
                <w:rFonts w:ascii="Times New Roman" w:hAnsi="Times New Roman" w:cs="Times New Roman"/>
                <w:b/>
                <w:sz w:val="20"/>
                <w:szCs w:val="20"/>
              </w:rPr>
              <w:t>Total</w:t>
            </w:r>
          </w:p>
        </w:tc>
        <w:tc>
          <w:tcPr>
            <w:tcW w:w="1126" w:type="dxa"/>
            <w:tcBorders>
              <w:left w:val="single" w:sz="6" w:space="0" w:color="000000"/>
              <w:bottom w:val="single" w:sz="6" w:space="0" w:color="000000"/>
            </w:tcBorders>
            <w:vAlign w:val="center"/>
          </w:tcPr>
          <w:p w:rsidR="0085060F" w:rsidRPr="00DB1152" w:rsidP="00236E25" w14:paraId="16C37F04" w14:textId="77777777">
            <w:pPr>
              <w:keepNext/>
              <w:spacing w:after="0" w:line="240" w:lineRule="auto"/>
              <w:jc w:val="center"/>
              <w:rPr>
                <w:rFonts w:ascii="Times New Roman" w:hAnsi="Times New Roman" w:cs="Times New Roman"/>
                <w:sz w:val="20"/>
                <w:szCs w:val="20"/>
              </w:rPr>
            </w:pPr>
          </w:p>
        </w:tc>
        <w:tc>
          <w:tcPr>
            <w:tcW w:w="1220" w:type="dxa"/>
            <w:tcBorders>
              <w:bottom w:val="single" w:sz="6" w:space="0" w:color="000000"/>
              <w:right w:val="single" w:sz="6" w:space="0" w:color="000000"/>
            </w:tcBorders>
            <w:vAlign w:val="center"/>
          </w:tcPr>
          <w:p w:rsidR="0085060F" w:rsidRPr="00DB1152" w:rsidP="00236E25" w14:paraId="64EC77A5" w14:textId="77777777">
            <w:pPr>
              <w:keepNext/>
              <w:spacing w:after="0" w:line="240" w:lineRule="auto"/>
              <w:ind w:left="67" w:right="67"/>
              <w:jc w:val="center"/>
              <w:rPr>
                <w:rFonts w:ascii="Times New Roman" w:hAnsi="Times New Roman" w:cs="Times New Roman"/>
                <w:b/>
                <w:sz w:val="20"/>
                <w:szCs w:val="20"/>
              </w:rPr>
            </w:pPr>
            <w:r w:rsidRPr="00DB1152">
              <w:rPr>
                <w:rFonts w:ascii="Times New Roman" w:hAnsi="Times New Roman" w:cs="Times New Roman"/>
                <w:b/>
                <w:color w:val="000000"/>
                <w:sz w:val="20"/>
                <w:szCs w:val="20"/>
              </w:rPr>
              <w:t>81</w:t>
            </w:r>
          </w:p>
        </w:tc>
        <w:tc>
          <w:tcPr>
            <w:tcW w:w="1661" w:type="dxa"/>
            <w:tcBorders>
              <w:left w:val="single" w:sz="6" w:space="0" w:color="000000"/>
              <w:bottom w:val="single" w:sz="6" w:space="0" w:color="000000"/>
            </w:tcBorders>
            <w:vAlign w:val="center"/>
          </w:tcPr>
          <w:p w:rsidR="0085060F" w:rsidRPr="00DB1152" w:rsidP="00236E25" w14:paraId="5EB6E1D0" w14:textId="77777777">
            <w:pPr>
              <w:keepNext/>
              <w:spacing w:after="0" w:line="240" w:lineRule="auto"/>
              <w:jc w:val="center"/>
              <w:rPr>
                <w:rFonts w:ascii="Times New Roman" w:hAnsi="Times New Roman" w:cs="Times New Roman"/>
                <w:b/>
                <w:color w:val="000000"/>
                <w:sz w:val="20"/>
                <w:szCs w:val="20"/>
              </w:rPr>
            </w:pPr>
            <w:r w:rsidRPr="00DB1152">
              <w:rPr>
                <w:rFonts w:ascii="Times New Roman" w:hAnsi="Times New Roman" w:cs="Times New Roman"/>
                <w:b/>
                <w:color w:val="000000"/>
                <w:sz w:val="20"/>
                <w:szCs w:val="20"/>
              </w:rPr>
              <w:t>$</w:t>
            </w:r>
            <w:r w:rsidR="003A49A4">
              <w:rPr>
                <w:rFonts w:ascii="Times New Roman" w:hAnsi="Times New Roman" w:cs="Times New Roman"/>
                <w:b/>
                <w:color w:val="000000"/>
                <w:sz w:val="20"/>
                <w:szCs w:val="20"/>
              </w:rPr>
              <w:t>732,914</w:t>
            </w:r>
          </w:p>
        </w:tc>
      </w:tr>
    </w:tbl>
    <w:p w:rsidR="0085060F" w:rsidRPr="0085060F" w:rsidP="0085060F" w14:paraId="431BA022" w14:textId="77777777"/>
    <w:p w:rsidR="00306C75" w:rsidRPr="00305612" w:rsidP="00305612" w14:paraId="15DB1903" w14:textId="77777777">
      <w:pPr>
        <w:pStyle w:val="Heading3"/>
        <w:rPr>
          <w:rFonts w:ascii="Times New Roman" w:hAnsi="Times New Roman" w:cs="Times New Roman"/>
          <w:sz w:val="22"/>
          <w:szCs w:val="22"/>
        </w:rPr>
      </w:pPr>
      <w:bookmarkStart w:id="461" w:name="_Toc141733200"/>
      <w:bookmarkStart w:id="462" w:name="_Toc142404104"/>
      <w:bookmarkStart w:id="463" w:name="_Toc144213913"/>
      <w:bookmarkStart w:id="464" w:name="_Toc144283658"/>
      <w:bookmarkStart w:id="465" w:name="_Toc144303596"/>
      <w:r w:rsidRPr="00305612">
        <w:rPr>
          <w:rFonts w:ascii="Times New Roman" w:hAnsi="Times New Roman" w:cs="Times New Roman"/>
          <w:sz w:val="22"/>
          <w:szCs w:val="22"/>
        </w:rPr>
        <w:t>7.1.3 Third</w:t>
      </w:r>
      <w:r w:rsidRPr="00305612" w:rsidR="002619CB">
        <w:rPr>
          <w:rFonts w:ascii="Times New Roman" w:hAnsi="Times New Roman" w:cs="Times New Roman"/>
          <w:sz w:val="22"/>
          <w:szCs w:val="22"/>
        </w:rPr>
        <w:t>-</w:t>
      </w:r>
      <w:r w:rsidRPr="00305612">
        <w:rPr>
          <w:rFonts w:ascii="Times New Roman" w:hAnsi="Times New Roman" w:cs="Times New Roman"/>
          <w:sz w:val="22"/>
          <w:szCs w:val="22"/>
        </w:rPr>
        <w:t xml:space="preserve">party </w:t>
      </w:r>
      <w:r w:rsidR="00B373ED">
        <w:rPr>
          <w:rFonts w:ascii="Times New Roman" w:hAnsi="Times New Roman" w:cs="Times New Roman"/>
          <w:sz w:val="22"/>
          <w:szCs w:val="22"/>
        </w:rPr>
        <w:t>A</w:t>
      </w:r>
      <w:r w:rsidRPr="00305612">
        <w:rPr>
          <w:rFonts w:ascii="Times New Roman" w:hAnsi="Times New Roman" w:cs="Times New Roman"/>
          <w:sz w:val="22"/>
          <w:szCs w:val="22"/>
        </w:rPr>
        <w:t>udits – (revisions apply to §§68.58 and 68.79 and new §§68.59 and 68.80))</w:t>
      </w:r>
      <w:bookmarkEnd w:id="461"/>
      <w:bookmarkEnd w:id="462"/>
      <w:bookmarkEnd w:id="463"/>
      <w:bookmarkEnd w:id="464"/>
      <w:bookmarkEnd w:id="465"/>
    </w:p>
    <w:p w:rsidR="00D726C0" w:rsidP="000E6E0F" w14:paraId="115B47B5"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sidR="00306C75">
        <w:rPr>
          <w:rFonts w:ascii="Times New Roman" w:hAnsi="Times New Roman" w:cs="Times New Roman"/>
        </w:rPr>
        <w:t xml:space="preserve">The </w:t>
      </w:r>
      <w:r w:rsidR="005E4C37">
        <w:rPr>
          <w:rFonts w:ascii="Times New Roman" w:hAnsi="Times New Roman" w:cs="Times New Roman"/>
        </w:rPr>
        <w:t>final</w:t>
      </w:r>
      <w:r w:rsidRPr="00693892" w:rsidR="00306C75">
        <w:rPr>
          <w:rFonts w:ascii="Times New Roman" w:hAnsi="Times New Roman" w:cs="Times New Roman"/>
        </w:rPr>
        <w:t xml:space="preserve"> rule </w:t>
      </w:r>
      <w:r w:rsidR="009837FF">
        <w:rPr>
          <w:rFonts w:ascii="Times New Roman" w:hAnsi="Times New Roman" w:cs="Times New Roman"/>
        </w:rPr>
        <w:t>will</w:t>
      </w:r>
      <w:r w:rsidRPr="00693892" w:rsidR="00306C75">
        <w:rPr>
          <w:rFonts w:ascii="Times New Roman" w:hAnsi="Times New Roman" w:cs="Times New Roman"/>
        </w:rPr>
        <w:t xml:space="preserve"> revise the </w:t>
      </w:r>
      <w:r w:rsidR="00C55755">
        <w:rPr>
          <w:rFonts w:ascii="Times New Roman" w:hAnsi="Times New Roman" w:cs="Times New Roman"/>
        </w:rPr>
        <w:t>2017 a</w:t>
      </w:r>
      <w:r w:rsidRPr="00693892" w:rsidR="00306C75">
        <w:rPr>
          <w:rFonts w:ascii="Times New Roman" w:hAnsi="Times New Roman" w:cs="Times New Roman"/>
        </w:rPr>
        <w:t xml:space="preserve">mendments </w:t>
      </w:r>
      <w:r w:rsidRPr="00693892" w:rsidR="007776AD">
        <w:rPr>
          <w:rFonts w:ascii="Times New Roman" w:hAnsi="Times New Roman" w:cs="Times New Roman"/>
        </w:rPr>
        <w:t>r</w:t>
      </w:r>
      <w:r w:rsidRPr="00693892" w:rsidR="00306C75">
        <w:rPr>
          <w:rFonts w:ascii="Times New Roman" w:hAnsi="Times New Roman" w:cs="Times New Roman"/>
        </w:rPr>
        <w:t xml:space="preserve">ule compliance audit provision by requiring </w:t>
      </w:r>
      <w:r w:rsidR="00544BC4">
        <w:rPr>
          <w:rFonts w:ascii="Times New Roman" w:hAnsi="Times New Roman" w:cs="Times New Roman"/>
        </w:rPr>
        <w:t>facilities with a Program 2 or 3 process</w:t>
      </w:r>
      <w:r w:rsidRPr="00693892" w:rsidR="00B26B68">
        <w:rPr>
          <w:rFonts w:ascii="Times New Roman" w:hAnsi="Times New Roman" w:cs="Times New Roman"/>
        </w:rPr>
        <w:t xml:space="preserve"> having one accident</w:t>
      </w:r>
      <w:r w:rsidRPr="00693892" w:rsidR="00306C75">
        <w:rPr>
          <w:rFonts w:ascii="Times New Roman" w:hAnsi="Times New Roman" w:cs="Times New Roman"/>
        </w:rPr>
        <w:t>, to contract with a third</w:t>
      </w:r>
      <w:r w:rsidR="004C4A23">
        <w:rPr>
          <w:rFonts w:ascii="Times New Roman" w:hAnsi="Times New Roman" w:cs="Times New Roman"/>
        </w:rPr>
        <w:t>-</w:t>
      </w:r>
      <w:r w:rsidRPr="00693892" w:rsidR="00306C75">
        <w:rPr>
          <w:rFonts w:ascii="Times New Roman" w:hAnsi="Times New Roman" w:cs="Times New Roman"/>
        </w:rPr>
        <w:t xml:space="preserve">party to conduct the next scheduled compliance audit. </w:t>
      </w:r>
      <w:r w:rsidRPr="00693892" w:rsidR="00B26B68">
        <w:rPr>
          <w:rFonts w:ascii="Times New Roman" w:hAnsi="Times New Roman" w:cs="Times New Roman"/>
        </w:rPr>
        <w:t>The low</w:t>
      </w:r>
      <w:r w:rsidRPr="00693892" w:rsidR="004779BB">
        <w:rPr>
          <w:rFonts w:ascii="Times New Roman" w:hAnsi="Times New Roman" w:cs="Times New Roman"/>
        </w:rPr>
        <w:t>er</w:t>
      </w:r>
      <w:r w:rsidR="00C4667E">
        <w:rPr>
          <w:rFonts w:ascii="Times New Roman" w:hAnsi="Times New Roman" w:cs="Times New Roman"/>
        </w:rPr>
        <w:t>-</w:t>
      </w:r>
      <w:r w:rsidRPr="00693892" w:rsidR="00B26B68">
        <w:rPr>
          <w:rFonts w:ascii="Times New Roman" w:hAnsi="Times New Roman" w:cs="Times New Roman"/>
        </w:rPr>
        <w:t xml:space="preserve">cost alternative </w:t>
      </w:r>
      <w:r w:rsidR="009837FF">
        <w:rPr>
          <w:rFonts w:ascii="Times New Roman" w:hAnsi="Times New Roman" w:cs="Times New Roman"/>
        </w:rPr>
        <w:t>w</w:t>
      </w:r>
      <w:r w:rsidR="007E0C59">
        <w:rPr>
          <w:rFonts w:ascii="Times New Roman" w:hAnsi="Times New Roman" w:cs="Times New Roman"/>
        </w:rPr>
        <w:t>ould</w:t>
      </w:r>
      <w:r w:rsidRPr="00693892" w:rsidR="00B26B68">
        <w:rPr>
          <w:rFonts w:ascii="Times New Roman" w:hAnsi="Times New Roman" w:cs="Times New Roman"/>
        </w:rPr>
        <w:t xml:space="preserve"> revise the </w:t>
      </w:r>
      <w:r w:rsidR="00C55755">
        <w:rPr>
          <w:rFonts w:ascii="Times New Roman" w:hAnsi="Times New Roman" w:cs="Times New Roman"/>
        </w:rPr>
        <w:t>2017 a</w:t>
      </w:r>
      <w:r w:rsidRPr="00693892" w:rsidR="00B26B68">
        <w:rPr>
          <w:rFonts w:ascii="Times New Roman" w:hAnsi="Times New Roman" w:cs="Times New Roman"/>
        </w:rPr>
        <w:t xml:space="preserve">mendments </w:t>
      </w:r>
      <w:r w:rsidRPr="00693892" w:rsidR="007776AD">
        <w:rPr>
          <w:rFonts w:ascii="Times New Roman" w:hAnsi="Times New Roman" w:cs="Times New Roman"/>
        </w:rPr>
        <w:t>r</w:t>
      </w:r>
      <w:r w:rsidRPr="00693892" w:rsidR="00B26B68">
        <w:rPr>
          <w:rFonts w:ascii="Times New Roman" w:hAnsi="Times New Roman" w:cs="Times New Roman"/>
        </w:rPr>
        <w:t xml:space="preserve">ule </w:t>
      </w:r>
      <w:r w:rsidRPr="00693892" w:rsidR="00B26B68">
        <w:rPr>
          <w:rFonts w:ascii="Times New Roman" w:hAnsi="Times New Roman" w:cs="Times New Roman"/>
        </w:rPr>
        <w:t xml:space="preserve">compliance audit provisions by requiring </w:t>
      </w:r>
      <w:r w:rsidRPr="00693892" w:rsidR="004779BB">
        <w:rPr>
          <w:rFonts w:ascii="Times New Roman" w:hAnsi="Times New Roman" w:cs="Times New Roman"/>
        </w:rPr>
        <w:t xml:space="preserve">only </w:t>
      </w:r>
      <w:r w:rsidR="00BB6064">
        <w:rPr>
          <w:rFonts w:ascii="Times New Roman" w:hAnsi="Times New Roman" w:cs="Times New Roman"/>
        </w:rPr>
        <w:t xml:space="preserve">Program 2 and 3 </w:t>
      </w:r>
      <w:r w:rsidRPr="00693892" w:rsidR="00B26B68">
        <w:rPr>
          <w:rFonts w:ascii="Times New Roman" w:hAnsi="Times New Roman" w:cs="Times New Roman"/>
        </w:rPr>
        <w:t>facilities with two RMP</w:t>
      </w:r>
      <w:r w:rsidRPr="00693892" w:rsidR="00B5560D">
        <w:rPr>
          <w:rFonts w:ascii="Times New Roman" w:hAnsi="Times New Roman" w:cs="Times New Roman"/>
        </w:rPr>
        <w:t>-</w:t>
      </w:r>
      <w:r w:rsidRPr="00693892" w:rsidR="00B26B68">
        <w:rPr>
          <w:rFonts w:ascii="Times New Roman" w:hAnsi="Times New Roman" w:cs="Times New Roman"/>
        </w:rPr>
        <w:t>reportable accidents within five years to contract with a third</w:t>
      </w:r>
      <w:r w:rsidR="004C4A23">
        <w:rPr>
          <w:rFonts w:ascii="Times New Roman" w:hAnsi="Times New Roman" w:cs="Times New Roman"/>
        </w:rPr>
        <w:t>-</w:t>
      </w:r>
      <w:r w:rsidRPr="00693892" w:rsidR="00B26B68">
        <w:rPr>
          <w:rFonts w:ascii="Times New Roman" w:hAnsi="Times New Roman" w:cs="Times New Roman"/>
        </w:rPr>
        <w:t xml:space="preserve">party to conduct the next scheduled compliance audit. </w:t>
      </w:r>
    </w:p>
    <w:p w:rsidR="00D726C0" w:rsidP="000E6E0F" w14:paraId="75DAA665" w14:textId="77777777">
      <w:pPr>
        <w:spacing w:after="0" w:line="240" w:lineRule="auto"/>
        <w:ind w:firstLine="360"/>
        <w:rPr>
          <w:rFonts w:ascii="Times New Roman" w:hAnsi="Times New Roman" w:cs="Times New Roman"/>
        </w:rPr>
      </w:pPr>
    </w:p>
    <w:p w:rsidR="002470E8" w:rsidRPr="00693892" w:rsidP="000E6E0F" w14:paraId="602E6102" w14:textId="77777777">
      <w:pPr>
        <w:spacing w:after="0" w:line="240" w:lineRule="auto"/>
        <w:ind w:firstLine="360"/>
        <w:rPr>
          <w:rFonts w:ascii="Times New Roman" w:hAnsi="Times New Roman" w:cs="Times New Roman"/>
        </w:rPr>
      </w:pPr>
      <w:r>
        <w:rPr>
          <w:rFonts w:ascii="Times New Roman" w:hAnsi="Times New Roman" w:cs="Times New Roman"/>
        </w:rPr>
        <w:tab/>
      </w:r>
      <w:r w:rsidR="00326C11">
        <w:rPr>
          <w:rFonts w:ascii="Times New Roman" w:hAnsi="Times New Roman" w:cs="Times New Roman"/>
        </w:rPr>
        <w:t xml:space="preserve">Exhibit </w:t>
      </w:r>
      <w:r w:rsidR="00BB0B45">
        <w:rPr>
          <w:rFonts w:ascii="Times New Roman" w:hAnsi="Times New Roman" w:cs="Times New Roman"/>
        </w:rPr>
        <w:t xml:space="preserve">7-3 presents the number of </w:t>
      </w:r>
      <w:r w:rsidR="002A7762">
        <w:rPr>
          <w:rFonts w:ascii="Times New Roman" w:hAnsi="Times New Roman" w:cs="Times New Roman"/>
        </w:rPr>
        <w:t xml:space="preserve">Program 2 and 3 facilities </w:t>
      </w:r>
      <w:r w:rsidR="004F7D5F">
        <w:rPr>
          <w:rFonts w:ascii="Times New Roman" w:hAnsi="Times New Roman" w:cs="Times New Roman"/>
        </w:rPr>
        <w:t xml:space="preserve">by facility type and size </w:t>
      </w:r>
      <w:r w:rsidR="00623839">
        <w:rPr>
          <w:rFonts w:ascii="Times New Roman" w:hAnsi="Times New Roman" w:cs="Times New Roman"/>
        </w:rPr>
        <w:t xml:space="preserve">with multiple </w:t>
      </w:r>
      <w:r w:rsidR="00E622EB">
        <w:rPr>
          <w:rFonts w:ascii="Times New Roman" w:hAnsi="Times New Roman" w:cs="Times New Roman"/>
        </w:rPr>
        <w:t xml:space="preserve">RMP-reportable </w:t>
      </w:r>
      <w:r w:rsidR="00623839">
        <w:rPr>
          <w:rFonts w:ascii="Times New Roman" w:hAnsi="Times New Roman" w:cs="Times New Roman"/>
        </w:rPr>
        <w:t xml:space="preserve">accidents during the 2016-2020 </w:t>
      </w:r>
      <w:r w:rsidRPr="00693892" w:rsidR="007479B8">
        <w:rPr>
          <w:rFonts w:ascii="Times New Roman" w:hAnsi="Times New Roman" w:cs="Times New Roman"/>
        </w:rPr>
        <w:t>five-year</w:t>
      </w:r>
      <w:r w:rsidRPr="00693892">
        <w:rPr>
          <w:rFonts w:ascii="Times New Roman" w:hAnsi="Times New Roman" w:cs="Times New Roman"/>
        </w:rPr>
        <w:t xml:space="preserve"> </w:t>
      </w:r>
      <w:r w:rsidR="00623839">
        <w:rPr>
          <w:rFonts w:ascii="Times New Roman" w:hAnsi="Times New Roman" w:cs="Times New Roman"/>
        </w:rPr>
        <w:t>period</w:t>
      </w:r>
      <w:r w:rsidR="004F7D5F">
        <w:rPr>
          <w:rFonts w:ascii="Times New Roman" w:hAnsi="Times New Roman" w:cs="Times New Roman"/>
        </w:rPr>
        <w:t>,</w:t>
      </w:r>
      <w:r w:rsidR="00326C11">
        <w:rPr>
          <w:rFonts w:ascii="Times New Roman" w:hAnsi="Times New Roman" w:cs="Times New Roman"/>
        </w:rPr>
        <w:t xml:space="preserve"> based on RMP data</w:t>
      </w:r>
      <w:r w:rsidRPr="00693892">
        <w:rPr>
          <w:rFonts w:ascii="Times New Roman" w:hAnsi="Times New Roman" w:cs="Times New Roman"/>
        </w:rPr>
        <w:t xml:space="preserve">. </w:t>
      </w:r>
      <w:r w:rsidRPr="00693892" w:rsidR="00E046A5">
        <w:rPr>
          <w:rFonts w:ascii="Times New Roman" w:hAnsi="Times New Roman" w:cs="Times New Roman"/>
        </w:rPr>
        <w:t>The unit costs applied to the third</w:t>
      </w:r>
      <w:r w:rsidRPr="00693892" w:rsidR="00B94F4A">
        <w:rPr>
          <w:rFonts w:ascii="Times New Roman" w:hAnsi="Times New Roman" w:cs="Times New Roman"/>
        </w:rPr>
        <w:t>-</w:t>
      </w:r>
      <w:r w:rsidRPr="00693892" w:rsidR="00E046A5">
        <w:rPr>
          <w:rFonts w:ascii="Times New Roman" w:hAnsi="Times New Roman" w:cs="Times New Roman"/>
        </w:rPr>
        <w:t xml:space="preserve">party </w:t>
      </w:r>
      <w:r w:rsidR="009D0DC6">
        <w:rPr>
          <w:rFonts w:ascii="Times New Roman" w:hAnsi="Times New Roman" w:cs="Times New Roman"/>
        </w:rPr>
        <w:t xml:space="preserve">audit </w:t>
      </w:r>
      <w:r w:rsidRPr="00693892" w:rsidR="00E046A5">
        <w:rPr>
          <w:rFonts w:ascii="Times New Roman" w:hAnsi="Times New Roman" w:cs="Times New Roman"/>
        </w:rPr>
        <w:t xml:space="preserve">alternative are consistent with the unit costs </w:t>
      </w:r>
      <w:r w:rsidRPr="00B72F8E" w:rsidR="00E046A5">
        <w:rPr>
          <w:rFonts w:ascii="Times New Roman" w:hAnsi="Times New Roman" w:cs="Times New Roman"/>
        </w:rPr>
        <w:t>presented in Exhibit 4-</w:t>
      </w:r>
      <w:r w:rsidRPr="00B72F8E" w:rsidR="00B72F8E">
        <w:rPr>
          <w:rFonts w:ascii="Times New Roman" w:hAnsi="Times New Roman" w:cs="Times New Roman"/>
        </w:rPr>
        <w:t>7</w:t>
      </w:r>
      <w:r w:rsidRPr="00B72F8E" w:rsidR="00E046A5">
        <w:rPr>
          <w:rFonts w:ascii="Times New Roman" w:hAnsi="Times New Roman" w:cs="Times New Roman"/>
        </w:rPr>
        <w:t xml:space="preserve">. </w:t>
      </w:r>
      <w:r w:rsidRPr="00B72F8E" w:rsidR="009B2F3B">
        <w:rPr>
          <w:rFonts w:ascii="Times New Roman" w:hAnsi="Times New Roman" w:cs="Times New Roman"/>
        </w:rPr>
        <w:t>The</w:t>
      </w:r>
      <w:r w:rsidRPr="00693892" w:rsidR="009B2F3B">
        <w:rPr>
          <w:rFonts w:ascii="Times New Roman" w:hAnsi="Times New Roman" w:cs="Times New Roman"/>
        </w:rPr>
        <w:t xml:space="preserve"> </w:t>
      </w:r>
      <w:r w:rsidRPr="00693892" w:rsidR="00160369">
        <w:rPr>
          <w:rFonts w:ascii="Times New Roman" w:hAnsi="Times New Roman" w:cs="Times New Roman"/>
        </w:rPr>
        <w:t>total</w:t>
      </w:r>
      <w:r w:rsidRPr="00693892" w:rsidR="009B2F3B">
        <w:rPr>
          <w:rFonts w:ascii="Times New Roman" w:hAnsi="Times New Roman" w:cs="Times New Roman"/>
        </w:rPr>
        <w:t xml:space="preserve"> cost of the </w:t>
      </w:r>
      <w:r w:rsidRPr="00693892" w:rsidR="00E96892">
        <w:rPr>
          <w:rFonts w:ascii="Times New Roman" w:hAnsi="Times New Roman" w:cs="Times New Roman"/>
        </w:rPr>
        <w:t>low</w:t>
      </w:r>
      <w:r w:rsidR="007E0C59">
        <w:rPr>
          <w:rFonts w:ascii="Times New Roman" w:hAnsi="Times New Roman" w:cs="Times New Roman"/>
        </w:rPr>
        <w:t>er</w:t>
      </w:r>
      <w:r w:rsidR="00A26F14">
        <w:rPr>
          <w:rFonts w:ascii="Times New Roman" w:hAnsi="Times New Roman" w:cs="Times New Roman"/>
        </w:rPr>
        <w:t>-</w:t>
      </w:r>
      <w:r w:rsidRPr="00693892" w:rsidR="00E96892">
        <w:rPr>
          <w:rFonts w:ascii="Times New Roman" w:hAnsi="Times New Roman" w:cs="Times New Roman"/>
        </w:rPr>
        <w:t>cost third</w:t>
      </w:r>
      <w:r w:rsidRPr="00693892" w:rsidR="00B94F4A">
        <w:rPr>
          <w:rFonts w:ascii="Times New Roman" w:hAnsi="Times New Roman" w:cs="Times New Roman"/>
        </w:rPr>
        <w:t>-</w:t>
      </w:r>
      <w:r w:rsidRPr="00693892" w:rsidR="00E96892">
        <w:rPr>
          <w:rFonts w:ascii="Times New Roman" w:hAnsi="Times New Roman" w:cs="Times New Roman"/>
        </w:rPr>
        <w:t xml:space="preserve">party </w:t>
      </w:r>
      <w:r w:rsidR="009D0DC6">
        <w:rPr>
          <w:rFonts w:ascii="Times New Roman" w:hAnsi="Times New Roman" w:cs="Times New Roman"/>
        </w:rPr>
        <w:t>audit</w:t>
      </w:r>
      <w:r w:rsidRPr="00693892" w:rsidR="00E96892">
        <w:rPr>
          <w:rFonts w:ascii="Times New Roman" w:hAnsi="Times New Roman" w:cs="Times New Roman"/>
        </w:rPr>
        <w:t xml:space="preserve"> provision is summarized in Exhibit </w:t>
      </w:r>
      <w:r w:rsidRPr="00693892" w:rsidR="00F979E9">
        <w:rPr>
          <w:rFonts w:ascii="Times New Roman" w:hAnsi="Times New Roman" w:cs="Times New Roman"/>
        </w:rPr>
        <w:t>7</w:t>
      </w:r>
      <w:r w:rsidRPr="00693892" w:rsidR="00E96892">
        <w:rPr>
          <w:rFonts w:ascii="Times New Roman" w:hAnsi="Times New Roman" w:cs="Times New Roman"/>
        </w:rPr>
        <w:t>-</w:t>
      </w:r>
      <w:r w:rsidR="00FA6138">
        <w:rPr>
          <w:rFonts w:ascii="Times New Roman" w:hAnsi="Times New Roman" w:cs="Times New Roman"/>
        </w:rPr>
        <w:t>3</w:t>
      </w:r>
      <w:r w:rsidRPr="00693892" w:rsidR="00E96892">
        <w:rPr>
          <w:rFonts w:ascii="Times New Roman" w:hAnsi="Times New Roman" w:cs="Times New Roman"/>
        </w:rPr>
        <w:t>.</w:t>
      </w:r>
    </w:p>
    <w:p w:rsidR="0085060F" w:rsidRPr="00693892" w:rsidP="00693892" w14:paraId="6E4C6E5A" w14:textId="77777777">
      <w:pPr>
        <w:spacing w:after="0" w:line="240" w:lineRule="auto"/>
        <w:rPr>
          <w:rFonts w:ascii="Times New Roman" w:hAnsi="Times New Roman" w:cs="Times New Roman"/>
        </w:rPr>
      </w:pPr>
    </w:p>
    <w:p w:rsidR="000E734A" w:rsidRPr="00693892" w:rsidP="00704DBA" w14:paraId="053270BB" w14:textId="77777777">
      <w:pPr>
        <w:spacing w:after="0" w:line="240" w:lineRule="auto"/>
        <w:jc w:val="center"/>
        <w:rPr>
          <w:rFonts w:ascii="Times New Roman" w:hAnsi="Times New Roman" w:cs="Times New Roman"/>
          <w:b/>
        </w:rPr>
      </w:pPr>
      <w:r w:rsidRPr="00704DBA">
        <w:rPr>
          <w:rFonts w:ascii="Times New Roman" w:hAnsi="Times New Roman" w:cs="Times New Roman"/>
          <w:b/>
        </w:rPr>
        <w:t xml:space="preserve">Exhibit </w:t>
      </w:r>
      <w:r w:rsidRPr="00693892" w:rsidR="00F979E9">
        <w:rPr>
          <w:rFonts w:ascii="Times New Roman" w:hAnsi="Times New Roman" w:cs="Times New Roman"/>
          <w:b/>
        </w:rPr>
        <w:t>7</w:t>
      </w:r>
      <w:r w:rsidRPr="00693892">
        <w:rPr>
          <w:rFonts w:ascii="Times New Roman" w:hAnsi="Times New Roman" w:cs="Times New Roman"/>
          <w:b/>
        </w:rPr>
        <w:t>-</w:t>
      </w:r>
      <w:r w:rsidR="00FA6138">
        <w:rPr>
          <w:rFonts w:ascii="Times New Roman" w:hAnsi="Times New Roman" w:cs="Times New Roman"/>
          <w:b/>
        </w:rPr>
        <w:t>3</w:t>
      </w:r>
      <w:r w:rsidRPr="00693892">
        <w:rPr>
          <w:rFonts w:ascii="Times New Roman" w:hAnsi="Times New Roman" w:cs="Times New Roman"/>
          <w:b/>
        </w:rPr>
        <w:t>: Total Annual Undiscounted Costs for Third-party Audits</w:t>
      </w:r>
    </w:p>
    <w:p w:rsidR="002470E8" w:rsidP="00704DBA" w14:paraId="7B1B5720" w14:textId="77777777">
      <w:pPr>
        <w:keepNext/>
        <w:spacing w:after="0" w:line="240" w:lineRule="auto"/>
        <w:jc w:val="center"/>
        <w:rPr>
          <w:rFonts w:ascii="Times New Roman" w:hAnsi="Times New Roman" w:cs="Times New Roman"/>
          <w:b/>
        </w:rPr>
      </w:pPr>
      <w:r w:rsidRPr="00693892">
        <w:rPr>
          <w:rFonts w:ascii="Times New Roman" w:hAnsi="Times New Roman" w:cs="Times New Roman"/>
          <w:b/>
        </w:rPr>
        <w:t xml:space="preserve"> Low</w:t>
      </w:r>
      <w:r w:rsidR="00D726C0">
        <w:rPr>
          <w:rFonts w:ascii="Times New Roman" w:hAnsi="Times New Roman" w:cs="Times New Roman"/>
          <w:b/>
        </w:rPr>
        <w:t>er Cost</w:t>
      </w:r>
      <w:r w:rsidRPr="00693892">
        <w:rPr>
          <w:rFonts w:ascii="Times New Roman" w:hAnsi="Times New Roman" w:cs="Times New Roman"/>
          <w:b/>
        </w:rPr>
        <w:t xml:space="preserve"> </w:t>
      </w:r>
      <w:r w:rsidRPr="00693892" w:rsidR="00CA0C04">
        <w:rPr>
          <w:rFonts w:ascii="Times New Roman" w:hAnsi="Times New Roman" w:cs="Times New Roman"/>
          <w:b/>
        </w:rPr>
        <w:t>Regulatory Alternative</w:t>
      </w:r>
      <w:r w:rsidR="00D726C0">
        <w:rPr>
          <w:rFonts w:ascii="Times New Roman" w:hAnsi="Times New Roman" w:cs="Times New Roman"/>
          <w:b/>
        </w:rPr>
        <w:t xml:space="preserve"> (</w:t>
      </w:r>
      <w:r w:rsidRPr="00693892" w:rsidR="001E568E">
        <w:rPr>
          <w:rFonts w:ascii="Times New Roman" w:hAnsi="Times New Roman" w:cs="Times New Roman"/>
          <w:b/>
        </w:rPr>
        <w:t>202</w:t>
      </w:r>
      <w:r w:rsidR="001E568E">
        <w:rPr>
          <w:rFonts w:ascii="Times New Roman" w:hAnsi="Times New Roman" w:cs="Times New Roman"/>
          <w:b/>
        </w:rPr>
        <w:t>2</w:t>
      </w:r>
      <w:r w:rsidRPr="00693892" w:rsidR="001E568E">
        <w:rPr>
          <w:rFonts w:ascii="Times New Roman" w:hAnsi="Times New Roman" w:cs="Times New Roman"/>
          <w:b/>
        </w:rPr>
        <w:t xml:space="preserve"> </w:t>
      </w:r>
      <w:r w:rsidRPr="00693892" w:rsidR="005E0DFE">
        <w:rPr>
          <w:rFonts w:ascii="Times New Roman" w:hAnsi="Times New Roman" w:cs="Times New Roman"/>
          <w:b/>
        </w:rPr>
        <w:t>Dollars</w:t>
      </w:r>
      <w:r w:rsidRPr="00693892" w:rsidR="00704DBA">
        <w:rPr>
          <w:rFonts w:ascii="Times New Roman" w:hAnsi="Times New Roman" w:cs="Times New Roman"/>
          <w:b/>
        </w:rPr>
        <w:t>)</w:t>
      </w:r>
      <w:r w:rsidR="00704DBA">
        <w:rPr>
          <w:rFonts w:ascii="Times New Roman" w:hAnsi="Times New Roman" w:cs="Times New Roman"/>
          <w:b/>
        </w:rPr>
        <w:t>.</w:t>
      </w:r>
    </w:p>
    <w:p w:rsidR="00704DBA" w:rsidRPr="00704DBA" w:rsidP="00704DBA" w14:paraId="62EA525F" w14:textId="77777777">
      <w:pPr>
        <w:keepNext/>
        <w:spacing w:after="0" w:line="240" w:lineRule="auto"/>
        <w:jc w:val="center"/>
        <w:rPr>
          <w:rFonts w:ascii="Times New Roman" w:hAnsi="Times New Roman" w:cs="Times New Roman"/>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63"/>
        <w:gridCol w:w="1587"/>
        <w:gridCol w:w="1218"/>
        <w:gridCol w:w="1212"/>
        <w:gridCol w:w="1620"/>
      </w:tblGrid>
      <w:tr w14:paraId="7412EE98" w14:textId="77777777" w:rsidTr="009A4B42">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20"/>
          <w:tblHeader/>
          <w:jc w:val="center"/>
        </w:trPr>
        <w:tc>
          <w:tcPr>
            <w:tcW w:w="2463" w:type="dxa"/>
            <w:tcBorders>
              <w:left w:val="single" w:sz="6" w:space="0" w:color="000000"/>
              <w:right w:val="single" w:sz="6" w:space="0" w:color="000000"/>
            </w:tcBorders>
            <w:shd w:val="clear" w:color="auto" w:fill="DADADA"/>
            <w:vAlign w:val="center"/>
          </w:tcPr>
          <w:p w:rsidR="002470E8" w:rsidRPr="00693892" w:rsidP="00DB1152" w14:paraId="5266E824" w14:textId="77777777">
            <w:pPr>
              <w:spacing w:after="0" w:line="240" w:lineRule="auto"/>
              <w:ind w:left="90"/>
              <w:jc w:val="center"/>
              <w:rPr>
                <w:rFonts w:ascii="Times New Roman" w:hAnsi="Times New Roman" w:cs="Times New Roman"/>
                <w:b/>
              </w:rPr>
            </w:pPr>
            <w:r w:rsidRPr="00693892">
              <w:rPr>
                <w:rFonts w:ascii="Times New Roman" w:hAnsi="Times New Roman" w:cs="Times New Roman"/>
                <w:b/>
              </w:rPr>
              <w:t>Facility Type</w:t>
            </w:r>
          </w:p>
        </w:tc>
        <w:tc>
          <w:tcPr>
            <w:tcW w:w="1587" w:type="dxa"/>
            <w:tcBorders>
              <w:left w:val="single" w:sz="6" w:space="0" w:color="000000"/>
              <w:right w:val="single" w:sz="6" w:space="0" w:color="000000"/>
            </w:tcBorders>
            <w:shd w:val="clear" w:color="auto" w:fill="DADADA"/>
            <w:vAlign w:val="center"/>
          </w:tcPr>
          <w:p w:rsidR="002470E8" w:rsidRPr="00693892" w:rsidP="00704DBA" w14:paraId="50E4A0EB" w14:textId="77777777">
            <w:pPr>
              <w:spacing w:after="0" w:line="240" w:lineRule="auto"/>
              <w:ind w:left="96" w:right="57"/>
              <w:jc w:val="center"/>
              <w:rPr>
                <w:rFonts w:ascii="Times New Roman" w:hAnsi="Times New Roman" w:cs="Times New Roman"/>
                <w:b/>
              </w:rPr>
            </w:pPr>
            <w:r w:rsidRPr="00693892">
              <w:rPr>
                <w:rFonts w:ascii="Times New Roman" w:hAnsi="Times New Roman" w:cs="Times New Roman"/>
                <w:b/>
              </w:rPr>
              <w:t xml:space="preserve">Annual </w:t>
            </w:r>
            <w:r w:rsidRPr="00693892" w:rsidR="00C9138E">
              <w:rPr>
                <w:rFonts w:ascii="Times New Roman" w:hAnsi="Times New Roman" w:cs="Times New Roman"/>
                <w:b/>
              </w:rPr>
              <w:t xml:space="preserve">Accident </w:t>
            </w:r>
            <w:r w:rsidRPr="00693892">
              <w:rPr>
                <w:rFonts w:ascii="Times New Roman" w:hAnsi="Times New Roman" w:cs="Times New Roman"/>
                <w:b/>
              </w:rPr>
              <w:t>Frequency</w:t>
            </w:r>
          </w:p>
        </w:tc>
        <w:tc>
          <w:tcPr>
            <w:tcW w:w="1218" w:type="dxa"/>
            <w:tcBorders>
              <w:left w:val="single" w:sz="6" w:space="0" w:color="000000"/>
            </w:tcBorders>
            <w:shd w:val="clear" w:color="auto" w:fill="DADADA"/>
            <w:vAlign w:val="center"/>
          </w:tcPr>
          <w:p w:rsidR="002470E8" w:rsidRPr="00693892" w:rsidP="00704DBA" w14:paraId="6DFE2A2A" w14:textId="77777777">
            <w:pPr>
              <w:spacing w:after="0" w:line="240" w:lineRule="auto"/>
              <w:ind w:left="92" w:right="32"/>
              <w:jc w:val="center"/>
              <w:rPr>
                <w:rFonts w:ascii="Times New Roman" w:hAnsi="Times New Roman" w:cs="Times New Roman"/>
                <w:b/>
              </w:rPr>
            </w:pPr>
            <w:r w:rsidRPr="00693892">
              <w:rPr>
                <w:rFonts w:ascii="Times New Roman" w:hAnsi="Times New Roman" w:cs="Times New Roman"/>
                <w:b/>
              </w:rPr>
              <w:t>Unit Cost</w:t>
            </w:r>
          </w:p>
        </w:tc>
        <w:tc>
          <w:tcPr>
            <w:tcW w:w="1212" w:type="dxa"/>
            <w:tcBorders>
              <w:right w:val="single" w:sz="6" w:space="0" w:color="000000"/>
            </w:tcBorders>
            <w:shd w:val="clear" w:color="auto" w:fill="DADADA"/>
            <w:vAlign w:val="center"/>
          </w:tcPr>
          <w:p w:rsidR="002470E8" w:rsidRPr="00693892" w:rsidP="00704DBA" w14:paraId="4AA48272" w14:textId="77777777">
            <w:pPr>
              <w:spacing w:after="0" w:line="240" w:lineRule="auto"/>
              <w:ind w:left="61" w:right="67"/>
              <w:jc w:val="center"/>
              <w:rPr>
                <w:rFonts w:ascii="Times New Roman" w:hAnsi="Times New Roman" w:cs="Times New Roman"/>
                <w:b/>
              </w:rPr>
            </w:pPr>
            <w:r w:rsidRPr="00693892">
              <w:rPr>
                <w:rFonts w:ascii="Times New Roman" w:hAnsi="Times New Roman" w:cs="Times New Roman"/>
                <w:b/>
              </w:rPr>
              <w:t>Facilities</w:t>
            </w:r>
          </w:p>
        </w:tc>
        <w:tc>
          <w:tcPr>
            <w:tcW w:w="1620" w:type="dxa"/>
            <w:tcBorders>
              <w:left w:val="single" w:sz="6" w:space="0" w:color="000000"/>
            </w:tcBorders>
            <w:shd w:val="clear" w:color="auto" w:fill="DADADA"/>
            <w:vAlign w:val="center"/>
          </w:tcPr>
          <w:p w:rsidR="002470E8" w:rsidRPr="00693892" w:rsidP="00704DBA" w14:paraId="242D2C8D" w14:textId="77777777">
            <w:pPr>
              <w:spacing w:after="0" w:line="240" w:lineRule="auto"/>
              <w:ind w:left="81" w:right="51"/>
              <w:jc w:val="center"/>
              <w:rPr>
                <w:rFonts w:ascii="Times New Roman" w:hAnsi="Times New Roman" w:cs="Times New Roman"/>
                <w:b/>
              </w:rPr>
            </w:pPr>
            <w:r w:rsidRPr="00693892">
              <w:rPr>
                <w:rFonts w:ascii="Times New Roman" w:hAnsi="Times New Roman" w:cs="Times New Roman"/>
                <w:b/>
              </w:rPr>
              <w:t>Total Initial Cost</w:t>
            </w:r>
          </w:p>
        </w:tc>
      </w:tr>
      <w:tr w14:paraId="38322EE0" w14:textId="77777777" w:rsidTr="009A4B42">
        <w:tblPrEx>
          <w:tblW w:w="0" w:type="auto"/>
          <w:jc w:val="center"/>
          <w:tblLayout w:type="fixed"/>
          <w:tblCellMar>
            <w:left w:w="0" w:type="dxa"/>
            <w:right w:w="0" w:type="dxa"/>
          </w:tblCellMar>
          <w:tblLook w:val="01E0"/>
        </w:tblPrEx>
        <w:trPr>
          <w:trHeight w:val="295"/>
          <w:jc w:val="center"/>
        </w:trPr>
        <w:tc>
          <w:tcPr>
            <w:tcW w:w="2463" w:type="dxa"/>
            <w:tcBorders>
              <w:left w:val="single" w:sz="6" w:space="0" w:color="000000"/>
              <w:right w:val="single" w:sz="6" w:space="0" w:color="000000"/>
            </w:tcBorders>
            <w:vAlign w:val="center"/>
          </w:tcPr>
          <w:p w:rsidR="00A82BAA" w:rsidRPr="00693892" w:rsidP="00ED3152" w14:paraId="1558211A" w14:textId="77777777">
            <w:pPr>
              <w:spacing w:after="0" w:line="240" w:lineRule="auto"/>
              <w:ind w:left="127"/>
              <w:rPr>
                <w:rFonts w:ascii="Times New Roman" w:hAnsi="Times New Roman" w:cs="Times New Roman"/>
              </w:rPr>
            </w:pPr>
            <w:r w:rsidRPr="00693892">
              <w:rPr>
                <w:rFonts w:ascii="Times New Roman" w:hAnsi="Times New Roman" w:cs="Times New Roman"/>
              </w:rPr>
              <w:t>Simple w/ 0-19 FTEs</w:t>
            </w:r>
          </w:p>
        </w:tc>
        <w:tc>
          <w:tcPr>
            <w:tcW w:w="1587" w:type="dxa"/>
            <w:tcBorders>
              <w:left w:val="single" w:sz="6" w:space="0" w:color="000000"/>
              <w:right w:val="single" w:sz="6" w:space="0" w:color="000000"/>
            </w:tcBorders>
            <w:vAlign w:val="center"/>
          </w:tcPr>
          <w:p w:rsidR="00A82BAA" w:rsidRPr="00693892" w:rsidP="00704DBA" w14:paraId="70FA9ADD" w14:textId="77777777">
            <w:pPr>
              <w:spacing w:after="0" w:line="240" w:lineRule="auto"/>
              <w:ind w:left="31"/>
              <w:jc w:val="center"/>
              <w:rPr>
                <w:rFonts w:ascii="Times New Roman" w:hAnsi="Times New Roman" w:cs="Times New Roman"/>
              </w:rPr>
            </w:pPr>
            <w:r w:rsidRPr="00693892">
              <w:rPr>
                <w:rFonts w:ascii="Times New Roman" w:hAnsi="Times New Roman" w:cs="Times New Roman"/>
              </w:rPr>
              <w:t>1</w:t>
            </w:r>
          </w:p>
        </w:tc>
        <w:tc>
          <w:tcPr>
            <w:tcW w:w="1218" w:type="dxa"/>
            <w:tcBorders>
              <w:left w:val="single" w:sz="6" w:space="0" w:color="000000"/>
            </w:tcBorders>
            <w:vAlign w:val="center"/>
          </w:tcPr>
          <w:p w:rsidR="00A82BAA" w:rsidRPr="00693892" w:rsidP="00704DBA" w14:paraId="591407DF" w14:textId="77777777">
            <w:pPr>
              <w:spacing w:after="0" w:line="240" w:lineRule="auto"/>
              <w:ind w:left="92" w:right="30"/>
              <w:jc w:val="center"/>
              <w:rPr>
                <w:rFonts w:ascii="Times New Roman" w:hAnsi="Times New Roman" w:cs="Times New Roman"/>
              </w:rPr>
            </w:pPr>
            <w:r w:rsidRPr="00693892">
              <w:rPr>
                <w:rFonts w:ascii="Times New Roman" w:hAnsi="Times New Roman" w:cs="Times New Roman"/>
                <w:color w:val="000000"/>
              </w:rPr>
              <w:t>$4</w:t>
            </w:r>
            <w:r w:rsidR="00BD4438">
              <w:rPr>
                <w:rFonts w:ascii="Times New Roman" w:hAnsi="Times New Roman" w:cs="Times New Roman"/>
                <w:color w:val="000000"/>
              </w:rPr>
              <w:t>4,758</w:t>
            </w:r>
          </w:p>
        </w:tc>
        <w:tc>
          <w:tcPr>
            <w:tcW w:w="1212" w:type="dxa"/>
            <w:tcBorders>
              <w:right w:val="single" w:sz="6" w:space="0" w:color="000000"/>
            </w:tcBorders>
            <w:vAlign w:val="center"/>
          </w:tcPr>
          <w:p w:rsidR="00A82BAA" w:rsidRPr="00693892" w:rsidP="00704DBA" w14:paraId="707ECBF4" w14:textId="77777777">
            <w:pPr>
              <w:spacing w:after="0" w:line="240" w:lineRule="auto"/>
              <w:ind w:left="77" w:right="65"/>
              <w:jc w:val="center"/>
              <w:rPr>
                <w:rFonts w:ascii="Times New Roman" w:hAnsi="Times New Roman" w:cs="Times New Roman"/>
              </w:rPr>
            </w:pPr>
            <w:r w:rsidRPr="00693892">
              <w:rPr>
                <w:rFonts w:ascii="Times New Roman" w:hAnsi="Times New Roman" w:cs="Times New Roman"/>
                <w:color w:val="000000"/>
              </w:rPr>
              <w:t>5</w:t>
            </w:r>
          </w:p>
        </w:tc>
        <w:tc>
          <w:tcPr>
            <w:tcW w:w="1620" w:type="dxa"/>
            <w:tcBorders>
              <w:left w:val="single" w:sz="6" w:space="0" w:color="000000"/>
            </w:tcBorders>
            <w:vAlign w:val="center"/>
          </w:tcPr>
          <w:p w:rsidR="00A82BAA" w:rsidRPr="00693892" w:rsidP="00704DBA" w14:paraId="4B633697" w14:textId="77777777">
            <w:pPr>
              <w:spacing w:after="0" w:line="240" w:lineRule="auto"/>
              <w:ind w:left="83" w:right="51"/>
              <w:jc w:val="center"/>
              <w:rPr>
                <w:rFonts w:ascii="Times New Roman" w:hAnsi="Times New Roman" w:cs="Times New Roman"/>
              </w:rPr>
            </w:pPr>
            <w:r w:rsidRPr="00693892">
              <w:rPr>
                <w:rFonts w:ascii="Times New Roman" w:hAnsi="Times New Roman" w:cs="Times New Roman"/>
                <w:color w:val="000000"/>
              </w:rPr>
              <w:t>$</w:t>
            </w:r>
            <w:r w:rsidR="00A90613">
              <w:rPr>
                <w:rFonts w:ascii="Times New Roman" w:hAnsi="Times New Roman" w:cs="Times New Roman"/>
                <w:color w:val="000000"/>
              </w:rPr>
              <w:t>223,792</w:t>
            </w:r>
          </w:p>
        </w:tc>
      </w:tr>
      <w:tr w14:paraId="5C8C8FA0" w14:textId="77777777" w:rsidTr="009A4B42">
        <w:tblPrEx>
          <w:tblW w:w="0" w:type="auto"/>
          <w:jc w:val="center"/>
          <w:tblLayout w:type="fixed"/>
          <w:tblCellMar>
            <w:left w:w="0" w:type="dxa"/>
            <w:right w:w="0" w:type="dxa"/>
          </w:tblCellMar>
          <w:tblLook w:val="01E0"/>
        </w:tblPrEx>
        <w:trPr>
          <w:trHeight w:val="282"/>
          <w:jc w:val="center"/>
        </w:trPr>
        <w:tc>
          <w:tcPr>
            <w:tcW w:w="2463" w:type="dxa"/>
            <w:tcBorders>
              <w:left w:val="single" w:sz="6" w:space="0" w:color="000000"/>
              <w:bottom w:val="single" w:sz="6" w:space="0" w:color="000000"/>
              <w:right w:val="single" w:sz="6" w:space="0" w:color="000000"/>
            </w:tcBorders>
            <w:vAlign w:val="center"/>
          </w:tcPr>
          <w:p w:rsidR="00A82BAA" w:rsidRPr="00693892" w:rsidP="00ED3152" w14:paraId="783D100D" w14:textId="77777777">
            <w:pPr>
              <w:spacing w:after="0" w:line="240" w:lineRule="auto"/>
              <w:ind w:left="127"/>
              <w:rPr>
                <w:rFonts w:ascii="Times New Roman" w:hAnsi="Times New Roman" w:cs="Times New Roman"/>
              </w:rPr>
            </w:pPr>
            <w:r w:rsidRPr="00693892">
              <w:rPr>
                <w:rFonts w:ascii="Times New Roman" w:hAnsi="Times New Roman" w:cs="Times New Roman"/>
              </w:rPr>
              <w:t>Simple w/ 20-99 FTEs</w:t>
            </w:r>
          </w:p>
        </w:tc>
        <w:tc>
          <w:tcPr>
            <w:tcW w:w="1587" w:type="dxa"/>
            <w:tcBorders>
              <w:left w:val="single" w:sz="6" w:space="0" w:color="000000"/>
              <w:bottom w:val="single" w:sz="6" w:space="0" w:color="000000"/>
              <w:right w:val="single" w:sz="6" w:space="0" w:color="000000"/>
            </w:tcBorders>
            <w:vAlign w:val="center"/>
          </w:tcPr>
          <w:p w:rsidR="00A82BAA" w:rsidRPr="00693892" w:rsidP="00704DBA" w14:paraId="599DCA44" w14:textId="77777777">
            <w:pPr>
              <w:spacing w:after="0" w:line="240" w:lineRule="auto"/>
              <w:ind w:left="31"/>
              <w:jc w:val="center"/>
              <w:rPr>
                <w:rFonts w:ascii="Times New Roman" w:hAnsi="Times New Roman" w:cs="Times New Roman"/>
              </w:rPr>
            </w:pPr>
            <w:r w:rsidRPr="00693892">
              <w:rPr>
                <w:rFonts w:ascii="Times New Roman" w:hAnsi="Times New Roman" w:cs="Times New Roman"/>
              </w:rPr>
              <w:t>1</w:t>
            </w:r>
          </w:p>
        </w:tc>
        <w:tc>
          <w:tcPr>
            <w:tcW w:w="1218" w:type="dxa"/>
            <w:tcBorders>
              <w:left w:val="single" w:sz="6" w:space="0" w:color="000000"/>
              <w:bottom w:val="single" w:sz="6" w:space="0" w:color="000000"/>
            </w:tcBorders>
            <w:vAlign w:val="center"/>
          </w:tcPr>
          <w:p w:rsidR="00A82BAA" w:rsidRPr="00693892" w:rsidP="00704DBA" w14:paraId="1565832C" w14:textId="77777777">
            <w:pPr>
              <w:spacing w:after="0" w:line="240" w:lineRule="auto"/>
              <w:ind w:left="92" w:right="30"/>
              <w:jc w:val="center"/>
              <w:rPr>
                <w:rFonts w:ascii="Times New Roman" w:hAnsi="Times New Roman" w:cs="Times New Roman"/>
              </w:rPr>
            </w:pPr>
            <w:r w:rsidRPr="00693892">
              <w:rPr>
                <w:rFonts w:ascii="Times New Roman" w:hAnsi="Times New Roman" w:cs="Times New Roman"/>
                <w:color w:val="000000"/>
              </w:rPr>
              <w:t>$</w:t>
            </w:r>
            <w:r w:rsidR="00BD4438">
              <w:rPr>
                <w:rFonts w:ascii="Times New Roman" w:hAnsi="Times New Roman" w:cs="Times New Roman"/>
                <w:color w:val="000000"/>
              </w:rPr>
              <w:t>50,091</w:t>
            </w:r>
          </w:p>
        </w:tc>
        <w:tc>
          <w:tcPr>
            <w:tcW w:w="1212" w:type="dxa"/>
            <w:tcBorders>
              <w:bottom w:val="single" w:sz="6" w:space="0" w:color="000000"/>
              <w:right w:val="single" w:sz="6" w:space="0" w:color="000000"/>
            </w:tcBorders>
            <w:vAlign w:val="center"/>
          </w:tcPr>
          <w:p w:rsidR="00A82BAA" w:rsidRPr="00693892" w:rsidP="00704DBA" w14:paraId="7265FB1C" w14:textId="77777777">
            <w:pPr>
              <w:spacing w:after="0" w:line="240" w:lineRule="auto"/>
              <w:ind w:left="77" w:right="65"/>
              <w:jc w:val="center"/>
              <w:rPr>
                <w:rFonts w:ascii="Times New Roman" w:hAnsi="Times New Roman" w:cs="Times New Roman"/>
              </w:rPr>
            </w:pPr>
            <w:r w:rsidRPr="00693892">
              <w:rPr>
                <w:rFonts w:ascii="Times New Roman" w:hAnsi="Times New Roman" w:cs="Times New Roman"/>
                <w:color w:val="000000"/>
              </w:rPr>
              <w:t>4</w:t>
            </w:r>
          </w:p>
        </w:tc>
        <w:tc>
          <w:tcPr>
            <w:tcW w:w="1620" w:type="dxa"/>
            <w:tcBorders>
              <w:left w:val="single" w:sz="6" w:space="0" w:color="000000"/>
              <w:bottom w:val="single" w:sz="6" w:space="0" w:color="000000"/>
            </w:tcBorders>
            <w:vAlign w:val="center"/>
          </w:tcPr>
          <w:p w:rsidR="00A82BAA" w:rsidRPr="00693892" w:rsidP="00704DBA" w14:paraId="4D5F4FFE" w14:textId="77777777">
            <w:pPr>
              <w:spacing w:after="0" w:line="240" w:lineRule="auto"/>
              <w:ind w:left="83" w:right="51"/>
              <w:jc w:val="center"/>
              <w:rPr>
                <w:rFonts w:ascii="Times New Roman" w:hAnsi="Times New Roman" w:cs="Times New Roman"/>
              </w:rPr>
            </w:pPr>
            <w:r w:rsidRPr="00693892">
              <w:rPr>
                <w:rFonts w:ascii="Times New Roman" w:hAnsi="Times New Roman" w:cs="Times New Roman"/>
                <w:color w:val="000000"/>
              </w:rPr>
              <w:t>$</w:t>
            </w:r>
            <w:r w:rsidR="00A90613">
              <w:rPr>
                <w:rFonts w:ascii="Times New Roman" w:hAnsi="Times New Roman" w:cs="Times New Roman"/>
                <w:color w:val="000000"/>
              </w:rPr>
              <w:t>200,364</w:t>
            </w:r>
          </w:p>
        </w:tc>
      </w:tr>
      <w:tr w14:paraId="26AFD447" w14:textId="77777777" w:rsidTr="009A4B42">
        <w:tblPrEx>
          <w:tblW w:w="0" w:type="auto"/>
          <w:jc w:val="center"/>
          <w:tblLayout w:type="fixed"/>
          <w:tblCellMar>
            <w:left w:w="0" w:type="dxa"/>
            <w:right w:w="0" w:type="dxa"/>
          </w:tblCellMar>
          <w:tblLook w:val="01E0"/>
        </w:tblPrEx>
        <w:trPr>
          <w:trHeight w:val="300"/>
          <w:jc w:val="center"/>
        </w:trPr>
        <w:tc>
          <w:tcPr>
            <w:tcW w:w="2463" w:type="dxa"/>
            <w:tcBorders>
              <w:top w:val="single" w:sz="6" w:space="0" w:color="000000"/>
              <w:left w:val="single" w:sz="6" w:space="0" w:color="000000"/>
              <w:bottom w:val="single" w:sz="6" w:space="0" w:color="000000"/>
              <w:right w:val="single" w:sz="6" w:space="0" w:color="000000"/>
            </w:tcBorders>
            <w:vAlign w:val="center"/>
          </w:tcPr>
          <w:p w:rsidR="00A82BAA" w:rsidRPr="00693892" w:rsidP="00ED3152" w14:paraId="176ECA7D" w14:textId="77777777">
            <w:pPr>
              <w:spacing w:after="0" w:line="240" w:lineRule="auto"/>
              <w:ind w:left="127"/>
              <w:rPr>
                <w:rFonts w:ascii="Times New Roman" w:hAnsi="Times New Roman" w:cs="Times New Roman"/>
              </w:rPr>
            </w:pPr>
            <w:r w:rsidRPr="00693892">
              <w:rPr>
                <w:rFonts w:ascii="Times New Roman" w:hAnsi="Times New Roman" w:cs="Times New Roman"/>
              </w:rPr>
              <w:t>Simple w/ 100+ FTEs</w:t>
            </w:r>
          </w:p>
        </w:tc>
        <w:tc>
          <w:tcPr>
            <w:tcW w:w="1587" w:type="dxa"/>
            <w:tcBorders>
              <w:top w:val="single" w:sz="6" w:space="0" w:color="000000"/>
              <w:left w:val="single" w:sz="6" w:space="0" w:color="000000"/>
              <w:bottom w:val="single" w:sz="6" w:space="0" w:color="000000"/>
              <w:right w:val="single" w:sz="6" w:space="0" w:color="000000"/>
            </w:tcBorders>
            <w:vAlign w:val="center"/>
          </w:tcPr>
          <w:p w:rsidR="00A82BAA" w:rsidRPr="00693892" w:rsidP="00704DBA" w14:paraId="105ADD54" w14:textId="77777777">
            <w:pPr>
              <w:spacing w:after="0" w:line="240" w:lineRule="auto"/>
              <w:ind w:left="31"/>
              <w:jc w:val="center"/>
              <w:rPr>
                <w:rFonts w:ascii="Times New Roman" w:hAnsi="Times New Roman" w:cs="Times New Roman"/>
              </w:rPr>
            </w:pPr>
            <w:r w:rsidRPr="00693892">
              <w:rPr>
                <w:rFonts w:ascii="Times New Roman" w:hAnsi="Times New Roman" w:cs="Times New Roman"/>
              </w:rPr>
              <w:t>1</w:t>
            </w:r>
          </w:p>
        </w:tc>
        <w:tc>
          <w:tcPr>
            <w:tcW w:w="1218" w:type="dxa"/>
            <w:tcBorders>
              <w:top w:val="single" w:sz="6" w:space="0" w:color="000000"/>
              <w:left w:val="single" w:sz="6" w:space="0" w:color="000000"/>
              <w:bottom w:val="single" w:sz="6" w:space="0" w:color="000000"/>
            </w:tcBorders>
            <w:vAlign w:val="center"/>
          </w:tcPr>
          <w:p w:rsidR="00A82BAA" w:rsidRPr="00693892" w:rsidP="00704DBA" w14:paraId="08E990AC" w14:textId="77777777">
            <w:pPr>
              <w:spacing w:after="0" w:line="240" w:lineRule="auto"/>
              <w:ind w:left="92" w:right="30"/>
              <w:jc w:val="center"/>
              <w:rPr>
                <w:rFonts w:ascii="Times New Roman" w:hAnsi="Times New Roman" w:cs="Times New Roman"/>
              </w:rPr>
            </w:pPr>
            <w:r w:rsidRPr="00693892">
              <w:rPr>
                <w:rFonts w:ascii="Times New Roman" w:hAnsi="Times New Roman" w:cs="Times New Roman"/>
                <w:color w:val="000000"/>
              </w:rPr>
              <w:t>$</w:t>
            </w:r>
            <w:r w:rsidR="00BD4438">
              <w:rPr>
                <w:rFonts w:ascii="Times New Roman" w:hAnsi="Times New Roman" w:cs="Times New Roman"/>
                <w:color w:val="000000"/>
              </w:rPr>
              <w:t>52,640</w:t>
            </w:r>
          </w:p>
        </w:tc>
        <w:tc>
          <w:tcPr>
            <w:tcW w:w="1212" w:type="dxa"/>
            <w:tcBorders>
              <w:top w:val="single" w:sz="6" w:space="0" w:color="000000"/>
              <w:bottom w:val="single" w:sz="6" w:space="0" w:color="000000"/>
              <w:right w:val="single" w:sz="6" w:space="0" w:color="000000"/>
            </w:tcBorders>
            <w:vAlign w:val="center"/>
          </w:tcPr>
          <w:p w:rsidR="00A82BAA" w:rsidRPr="00693892" w:rsidP="00704DBA" w14:paraId="035FCFF5" w14:textId="77777777">
            <w:pPr>
              <w:spacing w:after="0" w:line="240" w:lineRule="auto"/>
              <w:ind w:left="77" w:right="65"/>
              <w:jc w:val="center"/>
              <w:rPr>
                <w:rFonts w:ascii="Times New Roman" w:hAnsi="Times New Roman" w:cs="Times New Roman"/>
              </w:rPr>
            </w:pPr>
            <w:r w:rsidRPr="00693892">
              <w:rPr>
                <w:rFonts w:ascii="Times New Roman" w:hAnsi="Times New Roman" w:cs="Times New Roman"/>
                <w:color w:val="000000"/>
              </w:rPr>
              <w:t>11</w:t>
            </w:r>
          </w:p>
        </w:tc>
        <w:tc>
          <w:tcPr>
            <w:tcW w:w="1620" w:type="dxa"/>
            <w:tcBorders>
              <w:top w:val="single" w:sz="6" w:space="0" w:color="000000"/>
              <w:left w:val="single" w:sz="6" w:space="0" w:color="000000"/>
              <w:bottom w:val="single" w:sz="6" w:space="0" w:color="000000"/>
            </w:tcBorders>
            <w:vAlign w:val="center"/>
          </w:tcPr>
          <w:p w:rsidR="00A82BAA" w:rsidRPr="00693892" w:rsidP="00704DBA" w14:paraId="0DB9A9B2" w14:textId="77777777">
            <w:pPr>
              <w:spacing w:after="0" w:line="240" w:lineRule="auto"/>
              <w:ind w:left="83" w:right="51"/>
              <w:jc w:val="center"/>
              <w:rPr>
                <w:rFonts w:ascii="Times New Roman" w:hAnsi="Times New Roman" w:cs="Times New Roman"/>
              </w:rPr>
            </w:pPr>
            <w:r w:rsidRPr="00693892">
              <w:rPr>
                <w:rFonts w:ascii="Times New Roman" w:hAnsi="Times New Roman" w:cs="Times New Roman"/>
                <w:color w:val="000000"/>
              </w:rPr>
              <w:t>$</w:t>
            </w:r>
            <w:r w:rsidR="00A90613">
              <w:rPr>
                <w:rFonts w:ascii="Times New Roman" w:hAnsi="Times New Roman" w:cs="Times New Roman"/>
                <w:color w:val="000000"/>
              </w:rPr>
              <w:t>579,043</w:t>
            </w:r>
          </w:p>
        </w:tc>
      </w:tr>
      <w:tr w14:paraId="7D3E27F5" w14:textId="77777777" w:rsidTr="009A4B42">
        <w:tblPrEx>
          <w:tblW w:w="0" w:type="auto"/>
          <w:jc w:val="center"/>
          <w:tblLayout w:type="fixed"/>
          <w:tblCellMar>
            <w:left w:w="0" w:type="dxa"/>
            <w:right w:w="0" w:type="dxa"/>
          </w:tblCellMar>
          <w:tblLook w:val="01E0"/>
        </w:tblPrEx>
        <w:trPr>
          <w:trHeight w:val="285"/>
          <w:jc w:val="center"/>
        </w:trPr>
        <w:tc>
          <w:tcPr>
            <w:tcW w:w="2463" w:type="dxa"/>
            <w:tcBorders>
              <w:top w:val="single" w:sz="6" w:space="0" w:color="000000"/>
              <w:left w:val="single" w:sz="6" w:space="0" w:color="000000"/>
              <w:bottom w:val="single" w:sz="6" w:space="0" w:color="000000"/>
              <w:right w:val="single" w:sz="6" w:space="0" w:color="000000"/>
            </w:tcBorders>
            <w:vAlign w:val="center"/>
          </w:tcPr>
          <w:p w:rsidR="00A82BAA" w:rsidRPr="00693892" w:rsidP="00ED3152" w14:paraId="426F6DA0" w14:textId="77777777">
            <w:pPr>
              <w:spacing w:after="0" w:line="240" w:lineRule="auto"/>
              <w:ind w:left="127"/>
              <w:rPr>
                <w:rFonts w:ascii="Times New Roman" w:hAnsi="Times New Roman" w:cs="Times New Roman"/>
              </w:rPr>
            </w:pPr>
            <w:r w:rsidRPr="00693892">
              <w:rPr>
                <w:rFonts w:ascii="Times New Roman" w:hAnsi="Times New Roman" w:cs="Times New Roman"/>
              </w:rPr>
              <w:t>Complex w/ 0-19 FTEs</w:t>
            </w:r>
          </w:p>
        </w:tc>
        <w:tc>
          <w:tcPr>
            <w:tcW w:w="1587" w:type="dxa"/>
            <w:tcBorders>
              <w:top w:val="single" w:sz="6" w:space="0" w:color="000000"/>
              <w:left w:val="single" w:sz="6" w:space="0" w:color="000000"/>
              <w:bottom w:val="single" w:sz="6" w:space="0" w:color="000000"/>
              <w:right w:val="single" w:sz="6" w:space="0" w:color="000000"/>
            </w:tcBorders>
            <w:vAlign w:val="center"/>
          </w:tcPr>
          <w:p w:rsidR="00A82BAA" w:rsidRPr="00693892" w:rsidP="00704DBA" w14:paraId="47CD780E" w14:textId="77777777">
            <w:pPr>
              <w:spacing w:after="0" w:line="240" w:lineRule="auto"/>
              <w:ind w:left="31"/>
              <w:jc w:val="center"/>
              <w:rPr>
                <w:rFonts w:ascii="Times New Roman" w:hAnsi="Times New Roman" w:cs="Times New Roman"/>
              </w:rPr>
            </w:pPr>
            <w:r w:rsidRPr="00693892">
              <w:rPr>
                <w:rFonts w:ascii="Times New Roman" w:hAnsi="Times New Roman" w:cs="Times New Roman"/>
              </w:rPr>
              <w:t>1</w:t>
            </w:r>
          </w:p>
        </w:tc>
        <w:tc>
          <w:tcPr>
            <w:tcW w:w="1218" w:type="dxa"/>
            <w:tcBorders>
              <w:top w:val="single" w:sz="6" w:space="0" w:color="000000"/>
              <w:left w:val="single" w:sz="6" w:space="0" w:color="000000"/>
              <w:bottom w:val="single" w:sz="6" w:space="0" w:color="000000"/>
            </w:tcBorders>
            <w:vAlign w:val="center"/>
          </w:tcPr>
          <w:p w:rsidR="00A82BAA" w:rsidRPr="00693892" w:rsidP="00704DBA" w14:paraId="30837E43" w14:textId="77777777">
            <w:pPr>
              <w:spacing w:after="0" w:line="240" w:lineRule="auto"/>
              <w:ind w:left="92" w:right="31"/>
              <w:jc w:val="center"/>
              <w:rPr>
                <w:rFonts w:ascii="Times New Roman" w:hAnsi="Times New Roman" w:cs="Times New Roman"/>
              </w:rPr>
            </w:pPr>
            <w:r w:rsidRPr="00693892">
              <w:rPr>
                <w:rFonts w:ascii="Times New Roman" w:hAnsi="Times New Roman" w:cs="Times New Roman"/>
                <w:color w:val="000000"/>
              </w:rPr>
              <w:t>$</w:t>
            </w:r>
            <w:r w:rsidR="00BD4438">
              <w:rPr>
                <w:rFonts w:ascii="Times New Roman" w:hAnsi="Times New Roman" w:cs="Times New Roman"/>
                <w:color w:val="000000"/>
              </w:rPr>
              <w:t>107</w:t>
            </w:r>
            <w:r w:rsidR="00C307D7">
              <w:rPr>
                <w:rFonts w:ascii="Times New Roman" w:hAnsi="Times New Roman" w:cs="Times New Roman"/>
                <w:color w:val="000000"/>
              </w:rPr>
              <w:t>,694</w:t>
            </w:r>
          </w:p>
        </w:tc>
        <w:tc>
          <w:tcPr>
            <w:tcW w:w="1212" w:type="dxa"/>
            <w:tcBorders>
              <w:top w:val="single" w:sz="6" w:space="0" w:color="000000"/>
              <w:bottom w:val="single" w:sz="6" w:space="0" w:color="000000"/>
              <w:right w:val="single" w:sz="6" w:space="0" w:color="000000"/>
            </w:tcBorders>
            <w:vAlign w:val="center"/>
          </w:tcPr>
          <w:p w:rsidR="00A82BAA" w:rsidRPr="00693892" w:rsidP="00704DBA" w14:paraId="3F8FADA0" w14:textId="77777777">
            <w:pPr>
              <w:spacing w:after="0" w:line="240" w:lineRule="auto"/>
              <w:ind w:right="1"/>
              <w:jc w:val="center"/>
              <w:rPr>
                <w:rFonts w:ascii="Times New Roman" w:hAnsi="Times New Roman" w:cs="Times New Roman"/>
              </w:rPr>
            </w:pPr>
            <w:r w:rsidRPr="00693892">
              <w:rPr>
                <w:rFonts w:ascii="Times New Roman" w:hAnsi="Times New Roman" w:cs="Times New Roman"/>
                <w:color w:val="000000"/>
              </w:rPr>
              <w:t>1</w:t>
            </w:r>
          </w:p>
        </w:tc>
        <w:tc>
          <w:tcPr>
            <w:tcW w:w="1620" w:type="dxa"/>
            <w:tcBorders>
              <w:top w:val="single" w:sz="6" w:space="0" w:color="000000"/>
              <w:left w:val="single" w:sz="6" w:space="0" w:color="000000"/>
              <w:bottom w:val="single" w:sz="6" w:space="0" w:color="000000"/>
            </w:tcBorders>
            <w:vAlign w:val="center"/>
          </w:tcPr>
          <w:p w:rsidR="00A82BAA" w:rsidRPr="00693892" w:rsidP="00704DBA" w14:paraId="0604B270" w14:textId="77777777">
            <w:pPr>
              <w:spacing w:after="0" w:line="240" w:lineRule="auto"/>
              <w:ind w:left="83" w:right="51"/>
              <w:jc w:val="center"/>
              <w:rPr>
                <w:rFonts w:ascii="Times New Roman" w:hAnsi="Times New Roman" w:cs="Times New Roman"/>
              </w:rPr>
            </w:pPr>
            <w:r w:rsidRPr="00693892">
              <w:rPr>
                <w:rFonts w:ascii="Times New Roman" w:hAnsi="Times New Roman" w:cs="Times New Roman"/>
                <w:color w:val="000000"/>
              </w:rPr>
              <w:t>$</w:t>
            </w:r>
            <w:r w:rsidR="00A90613">
              <w:rPr>
                <w:rFonts w:ascii="Times New Roman" w:hAnsi="Times New Roman" w:cs="Times New Roman"/>
                <w:color w:val="000000"/>
              </w:rPr>
              <w:t>107,694</w:t>
            </w:r>
          </w:p>
        </w:tc>
      </w:tr>
      <w:tr w14:paraId="48EC94CB" w14:textId="77777777" w:rsidTr="009A4B42">
        <w:tblPrEx>
          <w:tblW w:w="0" w:type="auto"/>
          <w:jc w:val="center"/>
          <w:tblLayout w:type="fixed"/>
          <w:tblCellMar>
            <w:left w:w="0" w:type="dxa"/>
            <w:right w:w="0" w:type="dxa"/>
          </w:tblCellMar>
          <w:tblLook w:val="01E0"/>
        </w:tblPrEx>
        <w:trPr>
          <w:trHeight w:val="315"/>
          <w:jc w:val="center"/>
        </w:trPr>
        <w:tc>
          <w:tcPr>
            <w:tcW w:w="2463" w:type="dxa"/>
            <w:tcBorders>
              <w:top w:val="single" w:sz="6" w:space="0" w:color="000000"/>
              <w:left w:val="single" w:sz="6" w:space="0" w:color="000000"/>
              <w:bottom w:val="single" w:sz="6" w:space="0" w:color="000000"/>
              <w:right w:val="single" w:sz="6" w:space="0" w:color="000000"/>
            </w:tcBorders>
            <w:vAlign w:val="center"/>
          </w:tcPr>
          <w:p w:rsidR="00A82BAA" w:rsidRPr="00693892" w:rsidP="00ED3152" w14:paraId="548FE7D3" w14:textId="77777777">
            <w:pPr>
              <w:spacing w:after="0" w:line="240" w:lineRule="auto"/>
              <w:ind w:left="127"/>
              <w:rPr>
                <w:rFonts w:ascii="Times New Roman" w:hAnsi="Times New Roman" w:cs="Times New Roman"/>
              </w:rPr>
            </w:pPr>
            <w:r w:rsidRPr="00693892">
              <w:rPr>
                <w:rFonts w:ascii="Times New Roman" w:hAnsi="Times New Roman" w:cs="Times New Roman"/>
              </w:rPr>
              <w:t>Complex w/ 20-99 FTEs</w:t>
            </w:r>
          </w:p>
        </w:tc>
        <w:tc>
          <w:tcPr>
            <w:tcW w:w="1587" w:type="dxa"/>
            <w:tcBorders>
              <w:top w:val="single" w:sz="6" w:space="0" w:color="000000"/>
              <w:left w:val="single" w:sz="6" w:space="0" w:color="000000"/>
              <w:bottom w:val="single" w:sz="6" w:space="0" w:color="000000"/>
              <w:right w:val="single" w:sz="6" w:space="0" w:color="000000"/>
            </w:tcBorders>
            <w:vAlign w:val="center"/>
          </w:tcPr>
          <w:p w:rsidR="00A82BAA" w:rsidRPr="00693892" w:rsidP="00704DBA" w14:paraId="2FBD7361" w14:textId="77777777">
            <w:pPr>
              <w:spacing w:after="0" w:line="240" w:lineRule="auto"/>
              <w:ind w:left="31"/>
              <w:jc w:val="center"/>
              <w:rPr>
                <w:rFonts w:ascii="Times New Roman" w:hAnsi="Times New Roman" w:cs="Times New Roman"/>
              </w:rPr>
            </w:pPr>
            <w:r w:rsidRPr="00693892">
              <w:rPr>
                <w:rFonts w:ascii="Times New Roman" w:hAnsi="Times New Roman" w:cs="Times New Roman"/>
              </w:rPr>
              <w:t>1</w:t>
            </w:r>
          </w:p>
        </w:tc>
        <w:tc>
          <w:tcPr>
            <w:tcW w:w="1218" w:type="dxa"/>
            <w:tcBorders>
              <w:top w:val="single" w:sz="6" w:space="0" w:color="000000"/>
              <w:left w:val="single" w:sz="6" w:space="0" w:color="000000"/>
              <w:bottom w:val="single" w:sz="6" w:space="0" w:color="000000"/>
            </w:tcBorders>
            <w:vAlign w:val="center"/>
          </w:tcPr>
          <w:p w:rsidR="00A82BAA" w:rsidRPr="00693892" w:rsidP="00704DBA" w14:paraId="12000F08" w14:textId="77777777">
            <w:pPr>
              <w:spacing w:after="0" w:line="240" w:lineRule="auto"/>
              <w:ind w:left="92" w:right="30"/>
              <w:jc w:val="center"/>
              <w:rPr>
                <w:rFonts w:ascii="Times New Roman" w:hAnsi="Times New Roman" w:cs="Times New Roman"/>
              </w:rPr>
            </w:pPr>
            <w:r w:rsidRPr="00693892">
              <w:rPr>
                <w:rFonts w:ascii="Times New Roman" w:hAnsi="Times New Roman" w:cs="Times New Roman"/>
                <w:color w:val="000000"/>
              </w:rPr>
              <w:t>$</w:t>
            </w:r>
            <w:r w:rsidR="00C307D7">
              <w:rPr>
                <w:rFonts w:ascii="Times New Roman" w:hAnsi="Times New Roman" w:cs="Times New Roman"/>
                <w:color w:val="000000"/>
              </w:rPr>
              <w:t>114,563</w:t>
            </w:r>
          </w:p>
        </w:tc>
        <w:tc>
          <w:tcPr>
            <w:tcW w:w="1212" w:type="dxa"/>
            <w:tcBorders>
              <w:top w:val="single" w:sz="6" w:space="0" w:color="000000"/>
              <w:bottom w:val="single" w:sz="6" w:space="0" w:color="000000"/>
              <w:right w:val="single" w:sz="6" w:space="0" w:color="000000"/>
            </w:tcBorders>
            <w:vAlign w:val="center"/>
          </w:tcPr>
          <w:p w:rsidR="00A82BAA" w:rsidRPr="00693892" w:rsidP="00704DBA" w14:paraId="274D61A0" w14:textId="77777777">
            <w:pPr>
              <w:spacing w:after="0" w:line="240" w:lineRule="auto"/>
              <w:ind w:left="77" w:right="65"/>
              <w:jc w:val="center"/>
              <w:rPr>
                <w:rFonts w:ascii="Times New Roman" w:hAnsi="Times New Roman" w:cs="Times New Roman"/>
              </w:rPr>
            </w:pPr>
            <w:r w:rsidRPr="00693892">
              <w:rPr>
                <w:rFonts w:ascii="Times New Roman" w:hAnsi="Times New Roman" w:cs="Times New Roman"/>
                <w:color w:val="000000"/>
              </w:rPr>
              <w:t>5</w:t>
            </w:r>
          </w:p>
        </w:tc>
        <w:tc>
          <w:tcPr>
            <w:tcW w:w="1620" w:type="dxa"/>
            <w:tcBorders>
              <w:top w:val="single" w:sz="6" w:space="0" w:color="000000"/>
              <w:left w:val="single" w:sz="6" w:space="0" w:color="000000"/>
              <w:bottom w:val="single" w:sz="6" w:space="0" w:color="000000"/>
            </w:tcBorders>
            <w:vAlign w:val="center"/>
          </w:tcPr>
          <w:p w:rsidR="00A82BAA" w:rsidRPr="00693892" w:rsidP="00704DBA" w14:paraId="5EA7080C" w14:textId="77777777">
            <w:pPr>
              <w:spacing w:after="0" w:line="240" w:lineRule="auto"/>
              <w:ind w:left="83" w:right="51"/>
              <w:jc w:val="center"/>
              <w:rPr>
                <w:rFonts w:ascii="Times New Roman" w:hAnsi="Times New Roman" w:cs="Times New Roman"/>
              </w:rPr>
            </w:pPr>
            <w:r w:rsidRPr="00693892">
              <w:rPr>
                <w:rFonts w:ascii="Times New Roman" w:hAnsi="Times New Roman" w:cs="Times New Roman"/>
                <w:color w:val="000000"/>
              </w:rPr>
              <w:t>$</w:t>
            </w:r>
            <w:r w:rsidR="00A90613">
              <w:rPr>
                <w:rFonts w:ascii="Times New Roman" w:hAnsi="Times New Roman" w:cs="Times New Roman"/>
                <w:color w:val="000000"/>
              </w:rPr>
              <w:t>572,816</w:t>
            </w:r>
          </w:p>
        </w:tc>
      </w:tr>
      <w:tr w14:paraId="521768D1" w14:textId="77777777" w:rsidTr="009A4B42">
        <w:tblPrEx>
          <w:tblW w:w="0" w:type="auto"/>
          <w:jc w:val="center"/>
          <w:tblLayout w:type="fixed"/>
          <w:tblCellMar>
            <w:left w:w="0" w:type="dxa"/>
            <w:right w:w="0" w:type="dxa"/>
          </w:tblCellMar>
          <w:tblLook w:val="01E0"/>
        </w:tblPrEx>
        <w:trPr>
          <w:trHeight w:val="285"/>
          <w:jc w:val="center"/>
        </w:trPr>
        <w:tc>
          <w:tcPr>
            <w:tcW w:w="2463" w:type="dxa"/>
            <w:tcBorders>
              <w:top w:val="single" w:sz="6" w:space="0" w:color="000000"/>
              <w:left w:val="single" w:sz="6" w:space="0" w:color="000000"/>
              <w:bottom w:val="single" w:sz="6" w:space="0" w:color="000000"/>
              <w:right w:val="single" w:sz="6" w:space="0" w:color="000000"/>
            </w:tcBorders>
            <w:vAlign w:val="center"/>
          </w:tcPr>
          <w:p w:rsidR="00A82BAA" w:rsidRPr="00693892" w:rsidP="00ED3152" w14:paraId="371500D2" w14:textId="77777777">
            <w:pPr>
              <w:spacing w:after="0" w:line="240" w:lineRule="auto"/>
              <w:ind w:left="127"/>
              <w:rPr>
                <w:rFonts w:ascii="Times New Roman" w:hAnsi="Times New Roman" w:cs="Times New Roman"/>
              </w:rPr>
            </w:pPr>
            <w:r w:rsidRPr="00693892">
              <w:rPr>
                <w:rFonts w:ascii="Times New Roman" w:hAnsi="Times New Roman" w:cs="Times New Roman"/>
              </w:rPr>
              <w:t>Complex w/ 100+ FTEs</w:t>
            </w:r>
          </w:p>
        </w:tc>
        <w:tc>
          <w:tcPr>
            <w:tcW w:w="1587" w:type="dxa"/>
            <w:tcBorders>
              <w:top w:val="single" w:sz="6" w:space="0" w:color="000000"/>
              <w:left w:val="single" w:sz="6" w:space="0" w:color="000000"/>
              <w:bottom w:val="single" w:sz="6" w:space="0" w:color="000000"/>
              <w:right w:val="single" w:sz="6" w:space="0" w:color="000000"/>
            </w:tcBorders>
            <w:vAlign w:val="center"/>
          </w:tcPr>
          <w:p w:rsidR="00A82BAA" w:rsidRPr="00693892" w:rsidP="00704DBA" w14:paraId="3BCD404C" w14:textId="77777777">
            <w:pPr>
              <w:spacing w:after="0" w:line="240" w:lineRule="auto"/>
              <w:ind w:left="31"/>
              <w:jc w:val="center"/>
              <w:rPr>
                <w:rFonts w:ascii="Times New Roman" w:hAnsi="Times New Roman" w:cs="Times New Roman"/>
              </w:rPr>
            </w:pPr>
            <w:r w:rsidRPr="00693892">
              <w:rPr>
                <w:rFonts w:ascii="Times New Roman" w:hAnsi="Times New Roman" w:cs="Times New Roman"/>
              </w:rPr>
              <w:t>1</w:t>
            </w:r>
          </w:p>
        </w:tc>
        <w:tc>
          <w:tcPr>
            <w:tcW w:w="1218" w:type="dxa"/>
            <w:tcBorders>
              <w:top w:val="single" w:sz="6" w:space="0" w:color="000000"/>
              <w:left w:val="single" w:sz="6" w:space="0" w:color="000000"/>
              <w:bottom w:val="single" w:sz="6" w:space="0" w:color="000000"/>
            </w:tcBorders>
            <w:vAlign w:val="center"/>
          </w:tcPr>
          <w:p w:rsidR="00A82BAA" w:rsidRPr="00693892" w:rsidP="00704DBA" w14:paraId="4C286C70" w14:textId="77777777">
            <w:pPr>
              <w:spacing w:after="0" w:line="240" w:lineRule="auto"/>
              <w:ind w:left="92" w:right="30"/>
              <w:jc w:val="center"/>
              <w:rPr>
                <w:rFonts w:ascii="Times New Roman" w:hAnsi="Times New Roman" w:cs="Times New Roman"/>
              </w:rPr>
            </w:pPr>
            <w:r w:rsidRPr="00693892">
              <w:rPr>
                <w:rFonts w:ascii="Times New Roman" w:hAnsi="Times New Roman" w:cs="Times New Roman"/>
                <w:color w:val="000000"/>
              </w:rPr>
              <w:t>$</w:t>
            </w:r>
            <w:r w:rsidR="00C307D7">
              <w:rPr>
                <w:rFonts w:ascii="Times New Roman" w:hAnsi="Times New Roman" w:cs="Times New Roman"/>
                <w:color w:val="000000"/>
              </w:rPr>
              <w:t>118,246</w:t>
            </w:r>
          </w:p>
        </w:tc>
        <w:tc>
          <w:tcPr>
            <w:tcW w:w="1212" w:type="dxa"/>
            <w:tcBorders>
              <w:top w:val="single" w:sz="6" w:space="0" w:color="000000"/>
              <w:bottom w:val="single" w:sz="6" w:space="0" w:color="000000"/>
              <w:right w:val="single" w:sz="6" w:space="0" w:color="000000"/>
            </w:tcBorders>
            <w:vAlign w:val="center"/>
          </w:tcPr>
          <w:p w:rsidR="00A82BAA" w:rsidRPr="00693892" w:rsidP="00704DBA" w14:paraId="45D4F3CE" w14:textId="77777777">
            <w:pPr>
              <w:spacing w:after="0" w:line="240" w:lineRule="auto"/>
              <w:ind w:left="77" w:right="65"/>
              <w:jc w:val="center"/>
              <w:rPr>
                <w:rFonts w:ascii="Times New Roman" w:hAnsi="Times New Roman" w:cs="Times New Roman"/>
              </w:rPr>
            </w:pPr>
            <w:r w:rsidRPr="00693892">
              <w:rPr>
                <w:rFonts w:ascii="Times New Roman" w:hAnsi="Times New Roman" w:cs="Times New Roman"/>
                <w:color w:val="000000"/>
              </w:rPr>
              <w:t>3</w:t>
            </w:r>
            <w:r w:rsidR="001641BE">
              <w:rPr>
                <w:rFonts w:ascii="Times New Roman" w:hAnsi="Times New Roman" w:cs="Times New Roman"/>
                <w:color w:val="000000"/>
              </w:rPr>
              <w:t>2</w:t>
            </w:r>
          </w:p>
        </w:tc>
        <w:tc>
          <w:tcPr>
            <w:tcW w:w="1620" w:type="dxa"/>
            <w:tcBorders>
              <w:top w:val="single" w:sz="6" w:space="0" w:color="000000"/>
              <w:left w:val="single" w:sz="6" w:space="0" w:color="000000"/>
              <w:bottom w:val="single" w:sz="6" w:space="0" w:color="000000"/>
            </w:tcBorders>
            <w:vAlign w:val="center"/>
          </w:tcPr>
          <w:p w:rsidR="00A82BAA" w:rsidRPr="00693892" w:rsidP="00704DBA" w14:paraId="159A0DFD" w14:textId="77777777">
            <w:pPr>
              <w:spacing w:after="0" w:line="240" w:lineRule="auto"/>
              <w:ind w:left="83" w:right="51"/>
              <w:jc w:val="center"/>
              <w:rPr>
                <w:rFonts w:ascii="Times New Roman" w:hAnsi="Times New Roman" w:cs="Times New Roman"/>
              </w:rPr>
            </w:pPr>
            <w:r w:rsidRPr="00693892">
              <w:rPr>
                <w:rFonts w:ascii="Times New Roman" w:hAnsi="Times New Roman" w:cs="Times New Roman"/>
                <w:color w:val="000000"/>
              </w:rPr>
              <w:t>$</w:t>
            </w:r>
            <w:r w:rsidR="008101C4">
              <w:rPr>
                <w:rFonts w:ascii="Times New Roman" w:hAnsi="Times New Roman" w:cs="Times New Roman"/>
                <w:color w:val="000000"/>
              </w:rPr>
              <w:t>3,807,505</w:t>
            </w:r>
          </w:p>
        </w:tc>
      </w:tr>
      <w:tr w14:paraId="31AA8DE9" w14:textId="77777777" w:rsidTr="009A4B42">
        <w:tblPrEx>
          <w:tblW w:w="0" w:type="auto"/>
          <w:jc w:val="center"/>
          <w:tblLayout w:type="fixed"/>
          <w:tblCellMar>
            <w:left w:w="0" w:type="dxa"/>
            <w:right w:w="0" w:type="dxa"/>
          </w:tblCellMar>
          <w:tblLook w:val="01E0"/>
        </w:tblPrEx>
        <w:trPr>
          <w:trHeight w:val="282"/>
          <w:jc w:val="center"/>
        </w:trPr>
        <w:tc>
          <w:tcPr>
            <w:tcW w:w="2463" w:type="dxa"/>
            <w:tcBorders>
              <w:top w:val="single" w:sz="6" w:space="0" w:color="000000"/>
              <w:left w:val="single" w:sz="6" w:space="0" w:color="000000"/>
              <w:right w:val="single" w:sz="6" w:space="0" w:color="000000"/>
            </w:tcBorders>
            <w:vAlign w:val="center"/>
          </w:tcPr>
          <w:p w:rsidR="00A82BAA" w:rsidRPr="00693892" w:rsidP="00ED3152" w14:paraId="671D05D2" w14:textId="77777777">
            <w:pPr>
              <w:spacing w:after="0" w:line="240" w:lineRule="auto"/>
              <w:ind w:left="127"/>
              <w:rPr>
                <w:rFonts w:ascii="Times New Roman" w:hAnsi="Times New Roman" w:cs="Times New Roman"/>
              </w:rPr>
            </w:pPr>
            <w:r w:rsidRPr="00693892">
              <w:rPr>
                <w:rFonts w:ascii="Times New Roman" w:hAnsi="Times New Roman" w:cs="Times New Roman"/>
              </w:rPr>
              <w:t>Small Government</w:t>
            </w:r>
          </w:p>
        </w:tc>
        <w:tc>
          <w:tcPr>
            <w:tcW w:w="1587" w:type="dxa"/>
            <w:tcBorders>
              <w:top w:val="single" w:sz="6" w:space="0" w:color="000000"/>
              <w:left w:val="single" w:sz="6" w:space="0" w:color="000000"/>
              <w:right w:val="single" w:sz="6" w:space="0" w:color="000000"/>
            </w:tcBorders>
            <w:vAlign w:val="center"/>
          </w:tcPr>
          <w:p w:rsidR="00A82BAA" w:rsidRPr="00693892" w:rsidP="00704DBA" w14:paraId="5F7538B5" w14:textId="77777777">
            <w:pPr>
              <w:spacing w:after="0" w:line="240" w:lineRule="auto"/>
              <w:ind w:left="31"/>
              <w:jc w:val="center"/>
              <w:rPr>
                <w:rFonts w:ascii="Times New Roman" w:hAnsi="Times New Roman" w:cs="Times New Roman"/>
              </w:rPr>
            </w:pPr>
            <w:r w:rsidRPr="00693892">
              <w:rPr>
                <w:rFonts w:ascii="Times New Roman" w:hAnsi="Times New Roman" w:cs="Times New Roman"/>
              </w:rPr>
              <w:t>1</w:t>
            </w:r>
          </w:p>
        </w:tc>
        <w:tc>
          <w:tcPr>
            <w:tcW w:w="1218" w:type="dxa"/>
            <w:tcBorders>
              <w:top w:val="single" w:sz="6" w:space="0" w:color="000000"/>
              <w:left w:val="single" w:sz="6" w:space="0" w:color="000000"/>
            </w:tcBorders>
            <w:vAlign w:val="center"/>
          </w:tcPr>
          <w:p w:rsidR="00A82BAA" w:rsidRPr="00693892" w:rsidP="00704DBA" w14:paraId="2F0D556A" w14:textId="77777777">
            <w:pPr>
              <w:spacing w:after="0" w:line="240" w:lineRule="auto"/>
              <w:ind w:left="92" w:right="30"/>
              <w:jc w:val="center"/>
              <w:rPr>
                <w:rFonts w:ascii="Times New Roman" w:hAnsi="Times New Roman" w:cs="Times New Roman"/>
              </w:rPr>
            </w:pPr>
            <w:r w:rsidRPr="00693892">
              <w:rPr>
                <w:rFonts w:ascii="Times New Roman" w:hAnsi="Times New Roman" w:cs="Times New Roman"/>
                <w:color w:val="000000"/>
              </w:rPr>
              <w:t>$</w:t>
            </w:r>
            <w:r w:rsidR="00C307D7">
              <w:rPr>
                <w:rFonts w:ascii="Times New Roman" w:hAnsi="Times New Roman" w:cs="Times New Roman"/>
                <w:color w:val="000000"/>
              </w:rPr>
              <w:t>46,</w:t>
            </w:r>
            <w:r w:rsidR="0077453D">
              <w:rPr>
                <w:rFonts w:ascii="Times New Roman" w:hAnsi="Times New Roman" w:cs="Times New Roman"/>
                <w:color w:val="000000"/>
              </w:rPr>
              <w:t>826</w:t>
            </w:r>
          </w:p>
        </w:tc>
        <w:tc>
          <w:tcPr>
            <w:tcW w:w="1212" w:type="dxa"/>
            <w:tcBorders>
              <w:top w:val="single" w:sz="6" w:space="0" w:color="000000"/>
              <w:right w:val="single" w:sz="6" w:space="0" w:color="000000"/>
            </w:tcBorders>
            <w:vAlign w:val="center"/>
          </w:tcPr>
          <w:p w:rsidR="00A82BAA" w:rsidRPr="00693892" w:rsidP="00704DBA" w14:paraId="2D929F4C" w14:textId="77777777">
            <w:pPr>
              <w:spacing w:after="0" w:line="240" w:lineRule="auto"/>
              <w:ind w:right="1"/>
              <w:jc w:val="center"/>
              <w:rPr>
                <w:rFonts w:ascii="Times New Roman" w:hAnsi="Times New Roman" w:cs="Times New Roman"/>
              </w:rPr>
            </w:pPr>
            <w:r w:rsidRPr="00693892">
              <w:rPr>
                <w:rFonts w:ascii="Times New Roman" w:hAnsi="Times New Roman" w:cs="Times New Roman"/>
                <w:color w:val="000000"/>
              </w:rPr>
              <w:t>2</w:t>
            </w:r>
          </w:p>
        </w:tc>
        <w:tc>
          <w:tcPr>
            <w:tcW w:w="1620" w:type="dxa"/>
            <w:tcBorders>
              <w:top w:val="single" w:sz="6" w:space="0" w:color="000000"/>
              <w:left w:val="single" w:sz="6" w:space="0" w:color="000000"/>
            </w:tcBorders>
            <w:vAlign w:val="center"/>
          </w:tcPr>
          <w:p w:rsidR="00A82BAA" w:rsidRPr="00693892" w:rsidP="00704DBA" w14:paraId="6CF5EDA4" w14:textId="77777777">
            <w:pPr>
              <w:spacing w:after="0" w:line="240" w:lineRule="auto"/>
              <w:ind w:left="83" w:right="51"/>
              <w:jc w:val="center"/>
              <w:rPr>
                <w:rFonts w:ascii="Times New Roman" w:hAnsi="Times New Roman" w:cs="Times New Roman"/>
              </w:rPr>
            </w:pPr>
            <w:r w:rsidRPr="00693892">
              <w:rPr>
                <w:rFonts w:ascii="Times New Roman" w:hAnsi="Times New Roman" w:cs="Times New Roman"/>
                <w:color w:val="000000"/>
              </w:rPr>
              <w:t>$</w:t>
            </w:r>
            <w:r w:rsidR="008101C4">
              <w:rPr>
                <w:rFonts w:ascii="Times New Roman" w:hAnsi="Times New Roman" w:cs="Times New Roman"/>
                <w:color w:val="000000"/>
              </w:rPr>
              <w:t>93,651</w:t>
            </w:r>
          </w:p>
        </w:tc>
      </w:tr>
      <w:tr w14:paraId="0F620B88" w14:textId="77777777" w:rsidTr="009A4B42">
        <w:tblPrEx>
          <w:tblW w:w="0" w:type="auto"/>
          <w:jc w:val="center"/>
          <w:tblLayout w:type="fixed"/>
          <w:tblCellMar>
            <w:left w:w="0" w:type="dxa"/>
            <w:right w:w="0" w:type="dxa"/>
          </w:tblCellMar>
          <w:tblLook w:val="01E0"/>
        </w:tblPrEx>
        <w:trPr>
          <w:trHeight w:val="295"/>
          <w:jc w:val="center"/>
        </w:trPr>
        <w:tc>
          <w:tcPr>
            <w:tcW w:w="2463" w:type="dxa"/>
            <w:tcBorders>
              <w:left w:val="single" w:sz="6" w:space="0" w:color="000000"/>
              <w:right w:val="single" w:sz="6" w:space="0" w:color="000000"/>
            </w:tcBorders>
            <w:vAlign w:val="center"/>
          </w:tcPr>
          <w:p w:rsidR="00A82BAA" w:rsidRPr="00693892" w:rsidP="00ED3152" w14:paraId="7712FBAF" w14:textId="77777777">
            <w:pPr>
              <w:spacing w:after="0" w:line="240" w:lineRule="auto"/>
              <w:ind w:left="127"/>
              <w:rPr>
                <w:rFonts w:ascii="Times New Roman" w:hAnsi="Times New Roman" w:cs="Times New Roman"/>
              </w:rPr>
            </w:pPr>
            <w:r w:rsidRPr="00693892">
              <w:rPr>
                <w:rFonts w:ascii="Times New Roman" w:hAnsi="Times New Roman" w:cs="Times New Roman"/>
              </w:rPr>
              <w:t>Large Government</w:t>
            </w:r>
          </w:p>
        </w:tc>
        <w:tc>
          <w:tcPr>
            <w:tcW w:w="1587" w:type="dxa"/>
            <w:tcBorders>
              <w:left w:val="single" w:sz="6" w:space="0" w:color="000000"/>
              <w:right w:val="single" w:sz="6" w:space="0" w:color="000000"/>
            </w:tcBorders>
            <w:vAlign w:val="center"/>
          </w:tcPr>
          <w:p w:rsidR="00A82BAA" w:rsidRPr="00693892" w:rsidP="00704DBA" w14:paraId="2E4E52D3" w14:textId="77777777">
            <w:pPr>
              <w:spacing w:after="0" w:line="240" w:lineRule="auto"/>
              <w:ind w:left="31"/>
              <w:jc w:val="center"/>
              <w:rPr>
                <w:rFonts w:ascii="Times New Roman" w:hAnsi="Times New Roman" w:cs="Times New Roman"/>
              </w:rPr>
            </w:pPr>
            <w:r w:rsidRPr="00693892">
              <w:rPr>
                <w:rFonts w:ascii="Times New Roman" w:hAnsi="Times New Roman" w:cs="Times New Roman"/>
              </w:rPr>
              <w:t>1</w:t>
            </w:r>
          </w:p>
        </w:tc>
        <w:tc>
          <w:tcPr>
            <w:tcW w:w="1218" w:type="dxa"/>
            <w:tcBorders>
              <w:left w:val="single" w:sz="6" w:space="0" w:color="000000"/>
            </w:tcBorders>
            <w:vAlign w:val="center"/>
          </w:tcPr>
          <w:p w:rsidR="00A82BAA" w:rsidRPr="00693892" w:rsidP="00704DBA" w14:paraId="0DCC3203" w14:textId="77777777">
            <w:pPr>
              <w:spacing w:after="0" w:line="240" w:lineRule="auto"/>
              <w:ind w:left="92" w:right="30"/>
              <w:jc w:val="center"/>
              <w:rPr>
                <w:rFonts w:ascii="Times New Roman" w:hAnsi="Times New Roman" w:cs="Times New Roman"/>
              </w:rPr>
            </w:pPr>
            <w:r w:rsidRPr="00693892">
              <w:rPr>
                <w:rFonts w:ascii="Times New Roman" w:hAnsi="Times New Roman" w:cs="Times New Roman"/>
                <w:color w:val="000000"/>
              </w:rPr>
              <w:t>$1</w:t>
            </w:r>
            <w:r w:rsidR="0077453D">
              <w:rPr>
                <w:rFonts w:ascii="Times New Roman" w:hAnsi="Times New Roman" w:cs="Times New Roman"/>
                <w:color w:val="000000"/>
              </w:rPr>
              <w:t>21,480</w:t>
            </w:r>
          </w:p>
        </w:tc>
        <w:tc>
          <w:tcPr>
            <w:tcW w:w="1212" w:type="dxa"/>
            <w:tcBorders>
              <w:right w:val="single" w:sz="6" w:space="0" w:color="000000"/>
            </w:tcBorders>
            <w:vAlign w:val="center"/>
          </w:tcPr>
          <w:p w:rsidR="00A82BAA" w:rsidRPr="00693892" w:rsidP="00704DBA" w14:paraId="6DA749E5" w14:textId="77777777">
            <w:pPr>
              <w:spacing w:after="0" w:line="240" w:lineRule="auto"/>
              <w:ind w:right="1"/>
              <w:jc w:val="center"/>
              <w:rPr>
                <w:rFonts w:ascii="Times New Roman" w:hAnsi="Times New Roman" w:cs="Times New Roman"/>
              </w:rPr>
            </w:pPr>
            <w:r w:rsidRPr="00693892">
              <w:rPr>
                <w:rFonts w:ascii="Times New Roman" w:hAnsi="Times New Roman" w:cs="Times New Roman"/>
                <w:color w:val="000000"/>
              </w:rPr>
              <w:t>1</w:t>
            </w:r>
          </w:p>
        </w:tc>
        <w:tc>
          <w:tcPr>
            <w:tcW w:w="1620" w:type="dxa"/>
            <w:tcBorders>
              <w:left w:val="single" w:sz="6" w:space="0" w:color="000000"/>
            </w:tcBorders>
            <w:vAlign w:val="center"/>
          </w:tcPr>
          <w:p w:rsidR="00A82BAA" w:rsidRPr="00693892" w:rsidP="00704DBA" w14:paraId="45CAC7DC" w14:textId="77777777">
            <w:pPr>
              <w:spacing w:after="0" w:line="240" w:lineRule="auto"/>
              <w:ind w:left="83" w:right="51"/>
              <w:jc w:val="center"/>
              <w:rPr>
                <w:rFonts w:ascii="Times New Roman" w:hAnsi="Times New Roman" w:cs="Times New Roman"/>
              </w:rPr>
            </w:pPr>
            <w:r w:rsidRPr="00693892">
              <w:rPr>
                <w:rFonts w:ascii="Times New Roman" w:hAnsi="Times New Roman" w:cs="Times New Roman"/>
                <w:color w:val="000000"/>
              </w:rPr>
              <w:t>$1</w:t>
            </w:r>
            <w:r w:rsidR="008101C4">
              <w:rPr>
                <w:rFonts w:ascii="Times New Roman" w:hAnsi="Times New Roman" w:cs="Times New Roman"/>
                <w:color w:val="000000"/>
              </w:rPr>
              <w:t>21,480</w:t>
            </w:r>
          </w:p>
        </w:tc>
      </w:tr>
      <w:tr w14:paraId="2470A3C4" w14:textId="77777777" w:rsidTr="009A4B42">
        <w:tblPrEx>
          <w:tblW w:w="0" w:type="auto"/>
          <w:jc w:val="center"/>
          <w:tblLayout w:type="fixed"/>
          <w:tblCellMar>
            <w:left w:w="0" w:type="dxa"/>
            <w:right w:w="0" w:type="dxa"/>
          </w:tblCellMar>
          <w:tblLook w:val="01E0"/>
        </w:tblPrEx>
        <w:trPr>
          <w:trHeight w:val="337"/>
          <w:jc w:val="center"/>
        </w:trPr>
        <w:tc>
          <w:tcPr>
            <w:tcW w:w="2463" w:type="dxa"/>
            <w:tcBorders>
              <w:left w:val="single" w:sz="6" w:space="0" w:color="000000"/>
              <w:bottom w:val="single" w:sz="6" w:space="0" w:color="000000"/>
              <w:right w:val="single" w:sz="6" w:space="0" w:color="000000"/>
            </w:tcBorders>
            <w:vAlign w:val="center"/>
          </w:tcPr>
          <w:p w:rsidR="002470E8" w:rsidRPr="00693892" w:rsidP="00704DBA" w14:paraId="3F611442" w14:textId="77777777">
            <w:pPr>
              <w:spacing w:after="0" w:line="240" w:lineRule="auto"/>
              <w:ind w:left="878" w:right="842"/>
              <w:jc w:val="center"/>
              <w:rPr>
                <w:rFonts w:ascii="Times New Roman" w:hAnsi="Times New Roman" w:cs="Times New Roman"/>
                <w:b/>
              </w:rPr>
            </w:pPr>
            <w:r w:rsidRPr="00693892">
              <w:rPr>
                <w:rFonts w:ascii="Times New Roman" w:hAnsi="Times New Roman" w:cs="Times New Roman"/>
                <w:b/>
              </w:rPr>
              <w:t>Total</w:t>
            </w:r>
          </w:p>
        </w:tc>
        <w:tc>
          <w:tcPr>
            <w:tcW w:w="1587" w:type="dxa"/>
            <w:tcBorders>
              <w:left w:val="single" w:sz="6" w:space="0" w:color="000000"/>
              <w:bottom w:val="single" w:sz="6" w:space="0" w:color="000000"/>
              <w:right w:val="single" w:sz="6" w:space="0" w:color="000000"/>
            </w:tcBorders>
            <w:vAlign w:val="center"/>
          </w:tcPr>
          <w:p w:rsidR="002470E8" w:rsidRPr="00693892" w:rsidP="00704DBA" w14:paraId="0A52F621" w14:textId="77777777">
            <w:pPr>
              <w:spacing w:after="0" w:line="240" w:lineRule="auto"/>
              <w:jc w:val="center"/>
              <w:rPr>
                <w:rFonts w:ascii="Times New Roman" w:hAnsi="Times New Roman" w:cs="Times New Roman"/>
              </w:rPr>
            </w:pPr>
          </w:p>
        </w:tc>
        <w:tc>
          <w:tcPr>
            <w:tcW w:w="1218" w:type="dxa"/>
            <w:tcBorders>
              <w:left w:val="single" w:sz="6" w:space="0" w:color="000000"/>
              <w:bottom w:val="single" w:sz="6" w:space="0" w:color="000000"/>
            </w:tcBorders>
            <w:vAlign w:val="center"/>
          </w:tcPr>
          <w:p w:rsidR="002470E8" w:rsidRPr="00693892" w:rsidP="00704DBA" w14:paraId="2BB914C6" w14:textId="77777777">
            <w:pPr>
              <w:spacing w:after="0" w:line="240" w:lineRule="auto"/>
              <w:jc w:val="center"/>
              <w:rPr>
                <w:rFonts w:ascii="Times New Roman" w:hAnsi="Times New Roman" w:cs="Times New Roman"/>
              </w:rPr>
            </w:pPr>
          </w:p>
        </w:tc>
        <w:tc>
          <w:tcPr>
            <w:tcW w:w="1212" w:type="dxa"/>
            <w:tcBorders>
              <w:bottom w:val="single" w:sz="6" w:space="0" w:color="000000"/>
              <w:right w:val="single" w:sz="6" w:space="0" w:color="000000"/>
            </w:tcBorders>
            <w:vAlign w:val="center"/>
          </w:tcPr>
          <w:p w:rsidR="002470E8" w:rsidRPr="00693892" w:rsidP="00704DBA" w14:paraId="765EC006" w14:textId="77777777">
            <w:pPr>
              <w:spacing w:after="0" w:line="240" w:lineRule="auto"/>
              <w:ind w:left="67" w:right="67"/>
              <w:jc w:val="center"/>
              <w:rPr>
                <w:rFonts w:ascii="Times New Roman" w:hAnsi="Times New Roman" w:cs="Times New Roman"/>
                <w:b/>
              </w:rPr>
            </w:pPr>
            <w:r w:rsidRPr="00693892">
              <w:rPr>
                <w:rFonts w:ascii="Times New Roman" w:hAnsi="Times New Roman" w:cs="Times New Roman"/>
                <w:b/>
              </w:rPr>
              <w:t>6</w:t>
            </w:r>
            <w:r w:rsidR="001641BE">
              <w:rPr>
                <w:rFonts w:ascii="Times New Roman" w:hAnsi="Times New Roman" w:cs="Times New Roman"/>
                <w:b/>
              </w:rPr>
              <w:t>1</w:t>
            </w:r>
          </w:p>
        </w:tc>
        <w:tc>
          <w:tcPr>
            <w:tcW w:w="1620" w:type="dxa"/>
            <w:tcBorders>
              <w:left w:val="single" w:sz="6" w:space="0" w:color="000000"/>
              <w:bottom w:val="single" w:sz="6" w:space="0" w:color="000000"/>
            </w:tcBorders>
            <w:vAlign w:val="center"/>
          </w:tcPr>
          <w:p w:rsidR="002470E8" w:rsidRPr="00693892" w:rsidP="00704DBA" w14:paraId="2BF9AD0D" w14:textId="77777777">
            <w:pPr>
              <w:spacing w:after="0" w:line="240" w:lineRule="auto"/>
              <w:ind w:left="83"/>
              <w:jc w:val="center"/>
              <w:rPr>
                <w:rFonts w:ascii="Times New Roman" w:hAnsi="Times New Roman" w:cs="Times New Roman"/>
                <w:b/>
                <w:color w:val="000000"/>
              </w:rPr>
            </w:pPr>
            <w:r w:rsidRPr="00693892">
              <w:rPr>
                <w:rFonts w:ascii="Times New Roman" w:hAnsi="Times New Roman" w:cs="Times New Roman"/>
                <w:b/>
                <w:color w:val="000000"/>
              </w:rPr>
              <w:t>$5,</w:t>
            </w:r>
            <w:r w:rsidR="00F16377">
              <w:rPr>
                <w:rFonts w:ascii="Times New Roman" w:hAnsi="Times New Roman" w:cs="Times New Roman"/>
                <w:b/>
                <w:color w:val="000000"/>
              </w:rPr>
              <w:t>706,345</w:t>
            </w:r>
          </w:p>
        </w:tc>
      </w:tr>
    </w:tbl>
    <w:p w:rsidR="00306C75" w:rsidRPr="00693892" w:rsidP="00693892" w14:paraId="10475A17" w14:textId="77777777">
      <w:pPr>
        <w:spacing w:after="0" w:line="240" w:lineRule="auto"/>
        <w:rPr>
          <w:rFonts w:ascii="Times New Roman" w:hAnsi="Times New Roman" w:cs="Times New Roman"/>
        </w:rPr>
      </w:pPr>
      <w:r w:rsidRPr="00693892">
        <w:rPr>
          <w:rFonts w:ascii="Times New Roman" w:hAnsi="Times New Roman" w:cs="Times New Roman"/>
        </w:rPr>
        <w:t xml:space="preserve"> </w:t>
      </w:r>
    </w:p>
    <w:p w:rsidR="00740CB6" w:rsidP="00693892" w14:paraId="1C57ED90" w14:textId="77777777">
      <w:pPr>
        <w:spacing w:after="0" w:line="240" w:lineRule="auto"/>
        <w:rPr>
          <w:rFonts w:ascii="Times New Roman" w:hAnsi="Times New Roman" w:cs="Times New Roman"/>
          <w:i/>
        </w:rPr>
      </w:pPr>
    </w:p>
    <w:p w:rsidR="00306C75" w:rsidRPr="00305612" w:rsidP="00305612" w14:paraId="7441728B" w14:textId="77777777">
      <w:pPr>
        <w:pStyle w:val="Heading3"/>
        <w:rPr>
          <w:rFonts w:ascii="Times New Roman" w:hAnsi="Times New Roman" w:cs="Times New Roman"/>
          <w:sz w:val="22"/>
          <w:szCs w:val="22"/>
        </w:rPr>
      </w:pPr>
      <w:bookmarkStart w:id="466" w:name="_Toc141733201"/>
      <w:bookmarkStart w:id="467" w:name="_Toc142404105"/>
      <w:bookmarkStart w:id="468" w:name="_Toc144213914"/>
      <w:bookmarkStart w:id="469" w:name="_Toc144283659"/>
      <w:bookmarkStart w:id="470" w:name="_Toc144303597"/>
      <w:r w:rsidRPr="00305612">
        <w:rPr>
          <w:rFonts w:ascii="Times New Roman" w:hAnsi="Times New Roman" w:cs="Times New Roman"/>
          <w:sz w:val="22"/>
          <w:szCs w:val="22"/>
        </w:rPr>
        <w:t xml:space="preserve">7.1.4 Employee </w:t>
      </w:r>
      <w:r w:rsidR="007E0C59">
        <w:rPr>
          <w:rFonts w:ascii="Times New Roman" w:hAnsi="Times New Roman" w:cs="Times New Roman"/>
          <w:sz w:val="22"/>
          <w:szCs w:val="22"/>
        </w:rPr>
        <w:t>P</w:t>
      </w:r>
      <w:r w:rsidRPr="00305612">
        <w:rPr>
          <w:rFonts w:ascii="Times New Roman" w:hAnsi="Times New Roman" w:cs="Times New Roman"/>
          <w:sz w:val="22"/>
          <w:szCs w:val="22"/>
        </w:rPr>
        <w:t>articipation – (revisions apply to §68.83)</w:t>
      </w:r>
      <w:bookmarkEnd w:id="466"/>
      <w:bookmarkEnd w:id="467"/>
      <w:bookmarkEnd w:id="468"/>
      <w:bookmarkEnd w:id="469"/>
      <w:bookmarkEnd w:id="470"/>
    </w:p>
    <w:p w:rsidR="00C71B1E" w:rsidP="000E6E0F" w14:paraId="0DD43868" w14:textId="77777777">
      <w:pPr>
        <w:spacing w:after="0" w:line="240" w:lineRule="auto"/>
        <w:ind w:firstLine="360"/>
        <w:rPr>
          <w:rFonts w:ascii="Times New Roman" w:hAnsi="Times New Roman" w:cs="Times New Roman"/>
        </w:rPr>
      </w:pPr>
      <w:bookmarkStart w:id="471" w:name="_Hlk98257425"/>
      <w:r>
        <w:rPr>
          <w:rFonts w:ascii="Times New Roman" w:hAnsi="Times New Roman" w:cs="Times New Roman"/>
          <w:shd w:val="clear" w:color="auto" w:fill="FFFFFF"/>
        </w:rPr>
        <w:tab/>
      </w:r>
      <w:r w:rsidRPr="00693892" w:rsidR="00306C75">
        <w:rPr>
          <w:rFonts w:ascii="Times New Roman" w:hAnsi="Times New Roman" w:cs="Times New Roman"/>
          <w:shd w:val="clear" w:color="auto" w:fill="FFFFFF"/>
        </w:rPr>
        <w:t xml:space="preserve">EPA is </w:t>
      </w:r>
      <w:r w:rsidR="001E568E">
        <w:rPr>
          <w:rFonts w:ascii="Times New Roman" w:hAnsi="Times New Roman" w:cs="Times New Roman"/>
          <w:shd w:val="clear" w:color="auto" w:fill="FFFFFF"/>
        </w:rPr>
        <w:t>revising</w:t>
      </w:r>
      <w:r w:rsidRPr="00693892" w:rsidR="00306C75">
        <w:rPr>
          <w:rFonts w:ascii="Times New Roman" w:hAnsi="Times New Roman" w:cs="Times New Roman"/>
          <w:shd w:val="clear" w:color="auto" w:fill="FFFFFF"/>
        </w:rPr>
        <w:t xml:space="preserve"> employee participation</w:t>
      </w:r>
      <w:r w:rsidR="00DC09F6">
        <w:rPr>
          <w:rFonts w:ascii="Times New Roman" w:hAnsi="Times New Roman" w:cs="Times New Roman"/>
          <w:shd w:val="clear" w:color="auto" w:fill="FFFFFF"/>
        </w:rPr>
        <w:t xml:space="preserve"> requirements</w:t>
      </w:r>
      <w:r w:rsidRPr="00693892" w:rsidR="00306C75">
        <w:rPr>
          <w:rFonts w:ascii="Times New Roman" w:hAnsi="Times New Roman" w:cs="Times New Roman"/>
          <w:shd w:val="clear" w:color="auto" w:fill="FFFFFF"/>
        </w:rPr>
        <w:t xml:space="preserve"> for owners and operators of regulated facilities with Program 3 processes</w:t>
      </w:r>
      <w:r w:rsidR="00B26D2E">
        <w:rPr>
          <w:rFonts w:ascii="Times New Roman" w:hAnsi="Times New Roman" w:cs="Times New Roman"/>
          <w:shd w:val="clear" w:color="auto" w:fill="FFFFFF"/>
        </w:rPr>
        <w:t>. The final rule will</w:t>
      </w:r>
      <w:r w:rsidRPr="00693892" w:rsidR="00306C75">
        <w:rPr>
          <w:rFonts w:ascii="Times New Roman" w:hAnsi="Times New Roman" w:cs="Times New Roman"/>
        </w:rPr>
        <w:t xml:space="preserve"> require that the </w:t>
      </w:r>
      <w:r w:rsidRPr="00693892" w:rsidR="00354D92">
        <w:rPr>
          <w:rFonts w:ascii="Times New Roman" w:hAnsi="Times New Roman" w:cs="Times New Roman"/>
        </w:rPr>
        <w:t>employee participation plan</w:t>
      </w:r>
      <w:r w:rsidRPr="00693892" w:rsidR="00306C75">
        <w:rPr>
          <w:rFonts w:ascii="Times New Roman" w:hAnsi="Times New Roman" w:cs="Times New Roman"/>
        </w:rPr>
        <w:t xml:space="preserve"> include consultation of employees and their representatives on addressing, correcting, resolving, documenting, and implementing recommendations </w:t>
      </w:r>
      <w:r w:rsidRPr="00693892">
        <w:rPr>
          <w:rFonts w:ascii="Times New Roman" w:hAnsi="Times New Roman" w:cs="Times New Roman"/>
        </w:rPr>
        <w:t xml:space="preserve">or findings </w:t>
      </w:r>
      <w:r w:rsidRPr="00693892" w:rsidR="00306C75">
        <w:rPr>
          <w:rFonts w:ascii="Times New Roman" w:hAnsi="Times New Roman" w:cs="Times New Roman"/>
        </w:rPr>
        <w:t xml:space="preserve">of process hazard analyses, incident investigations, and compliance audits, at </w:t>
      </w:r>
      <w:r w:rsidRPr="00693892" w:rsidR="00603834">
        <w:rPr>
          <w:rFonts w:ascii="Times New Roman" w:hAnsi="Times New Roman" w:cs="Times New Roman"/>
        </w:rPr>
        <w:t xml:space="preserve">a </w:t>
      </w:r>
      <w:r w:rsidRPr="00693892" w:rsidR="00306C75">
        <w:rPr>
          <w:rFonts w:ascii="Times New Roman" w:hAnsi="Times New Roman" w:cs="Times New Roman"/>
        </w:rPr>
        <w:t xml:space="preserve">minimum. In addition, the </w:t>
      </w:r>
      <w:r w:rsidR="0003038E">
        <w:rPr>
          <w:rFonts w:ascii="Times New Roman" w:hAnsi="Times New Roman" w:cs="Times New Roman"/>
        </w:rPr>
        <w:t>final</w:t>
      </w:r>
      <w:r w:rsidRPr="00693892" w:rsidR="00306C75">
        <w:rPr>
          <w:rFonts w:ascii="Times New Roman" w:hAnsi="Times New Roman" w:cs="Times New Roman"/>
        </w:rPr>
        <w:t xml:space="preserve"> rule </w:t>
      </w:r>
      <w:r w:rsidR="009837FF">
        <w:rPr>
          <w:rFonts w:ascii="Times New Roman" w:hAnsi="Times New Roman" w:cs="Times New Roman"/>
        </w:rPr>
        <w:t>will</w:t>
      </w:r>
      <w:r w:rsidRPr="00693892" w:rsidR="00306C75">
        <w:rPr>
          <w:rFonts w:ascii="Times New Roman" w:hAnsi="Times New Roman" w:cs="Times New Roman"/>
        </w:rPr>
        <w:t xml:space="preserve"> require that the</w:t>
      </w:r>
      <w:r w:rsidR="009F3737">
        <w:rPr>
          <w:rFonts w:ascii="Times New Roman" w:hAnsi="Times New Roman" w:cs="Times New Roman"/>
        </w:rPr>
        <w:t xml:space="preserve"> Program 3</w:t>
      </w:r>
      <w:r w:rsidRPr="00693892" w:rsidR="00306C75">
        <w:rPr>
          <w:rFonts w:ascii="Times New Roman" w:hAnsi="Times New Roman" w:cs="Times New Roman"/>
        </w:rPr>
        <w:t xml:space="preserve"> </w:t>
      </w:r>
      <w:r w:rsidRPr="00693892" w:rsidR="00354D92">
        <w:rPr>
          <w:rFonts w:ascii="Times New Roman" w:hAnsi="Times New Roman" w:cs="Times New Roman"/>
        </w:rPr>
        <w:t>employee participation plan</w:t>
      </w:r>
      <w:r w:rsidRPr="00693892" w:rsidR="00306C75">
        <w:rPr>
          <w:rFonts w:ascii="Times New Roman" w:hAnsi="Times New Roman" w:cs="Times New Roman"/>
        </w:rPr>
        <w:t xml:space="preserve"> include and ensure </w:t>
      </w:r>
      <w:r w:rsidRPr="00693892" w:rsidR="00C9138E">
        <w:rPr>
          <w:rFonts w:ascii="Times New Roman" w:hAnsi="Times New Roman" w:cs="Times New Roman"/>
        </w:rPr>
        <w:t xml:space="preserve">that </w:t>
      </w:r>
      <w:r w:rsidRPr="00693892" w:rsidR="00306C75">
        <w:rPr>
          <w:rFonts w:ascii="Times New Roman" w:hAnsi="Times New Roman" w:cs="Times New Roman"/>
        </w:rPr>
        <w:t xml:space="preserve">effective methods are in place so that </w:t>
      </w:r>
      <w:r w:rsidR="004F1833">
        <w:rPr>
          <w:rFonts w:ascii="Times New Roman" w:hAnsi="Times New Roman" w:cs="Times New Roman"/>
        </w:rPr>
        <w:t xml:space="preserve">1) </w:t>
      </w:r>
      <w:r w:rsidRPr="00693892" w:rsidR="00306C75">
        <w:rPr>
          <w:rFonts w:ascii="Times New Roman" w:hAnsi="Times New Roman" w:cs="Times New Roman"/>
        </w:rPr>
        <w:t xml:space="preserve">employees </w:t>
      </w:r>
      <w:r w:rsidR="00667035">
        <w:rPr>
          <w:rFonts w:ascii="Times New Roman" w:hAnsi="Times New Roman" w:cs="Times New Roman"/>
        </w:rPr>
        <w:t>knowledge</w:t>
      </w:r>
      <w:r w:rsidR="00E33D4D">
        <w:rPr>
          <w:rFonts w:ascii="Times New Roman" w:hAnsi="Times New Roman" w:cs="Times New Roman"/>
        </w:rPr>
        <w:t>able</w:t>
      </w:r>
      <w:r w:rsidR="00667035">
        <w:rPr>
          <w:rFonts w:ascii="Times New Roman" w:hAnsi="Times New Roman" w:cs="Times New Roman"/>
        </w:rPr>
        <w:t xml:space="preserve"> in the process</w:t>
      </w:r>
      <w:r w:rsidRPr="00693892" w:rsidR="00306C75">
        <w:rPr>
          <w:rFonts w:ascii="Times New Roman" w:hAnsi="Times New Roman" w:cs="Times New Roman"/>
        </w:rPr>
        <w:t xml:space="preserve"> and their representatives have </w:t>
      </w:r>
      <w:r w:rsidRPr="00693892" w:rsidR="00C9138E">
        <w:rPr>
          <w:rFonts w:ascii="Times New Roman" w:hAnsi="Times New Roman" w:cs="Times New Roman"/>
        </w:rPr>
        <w:t>the</w:t>
      </w:r>
      <w:r w:rsidRPr="00693892" w:rsidR="00306C75">
        <w:rPr>
          <w:rFonts w:ascii="Times New Roman" w:hAnsi="Times New Roman" w:cs="Times New Roman"/>
        </w:rPr>
        <w:t xml:space="preserve"> authority to recommend to the operator in charge of a unit that an operation or process be partially or completely shut down</w:t>
      </w:r>
      <w:r w:rsidR="00B26D2E">
        <w:rPr>
          <w:rFonts w:ascii="Times New Roman" w:hAnsi="Times New Roman" w:cs="Times New Roman"/>
        </w:rPr>
        <w:t>,</w:t>
      </w:r>
      <w:r w:rsidRPr="00693892">
        <w:rPr>
          <w:rFonts w:ascii="Times New Roman" w:hAnsi="Times New Roman" w:cs="Times New Roman"/>
        </w:rPr>
        <w:t xml:space="preserve"> </w:t>
      </w:r>
      <w:r w:rsidR="0037360E">
        <w:rPr>
          <w:rFonts w:ascii="Times New Roman" w:hAnsi="Times New Roman" w:cs="Times New Roman"/>
        </w:rPr>
        <w:t>and</w:t>
      </w:r>
      <w:r w:rsidRPr="00693892">
        <w:rPr>
          <w:rFonts w:ascii="Times New Roman" w:hAnsi="Times New Roman" w:cs="Times New Roman"/>
        </w:rPr>
        <w:t xml:space="preserve"> </w:t>
      </w:r>
      <w:r w:rsidR="00CB25A3">
        <w:rPr>
          <w:rFonts w:ascii="Times New Roman" w:hAnsi="Times New Roman" w:cs="Times New Roman"/>
        </w:rPr>
        <w:t>2</w:t>
      </w:r>
      <w:r w:rsidRPr="00693892" w:rsidR="007F351E">
        <w:rPr>
          <w:rFonts w:ascii="Times New Roman" w:hAnsi="Times New Roman" w:cs="Times New Roman"/>
        </w:rPr>
        <w:t xml:space="preserve">) </w:t>
      </w:r>
      <w:r w:rsidRPr="00693892">
        <w:rPr>
          <w:rFonts w:ascii="Times New Roman" w:hAnsi="Times New Roman" w:cs="Times New Roman"/>
        </w:rPr>
        <w:t xml:space="preserve">a qualified operator in charge of a unit </w:t>
      </w:r>
      <w:r w:rsidR="007C04B6">
        <w:rPr>
          <w:rFonts w:ascii="Times New Roman" w:hAnsi="Times New Roman" w:cs="Times New Roman"/>
        </w:rPr>
        <w:t>may</w:t>
      </w:r>
      <w:r w:rsidRPr="00693892" w:rsidR="007C04B6">
        <w:rPr>
          <w:rFonts w:ascii="Times New Roman" w:hAnsi="Times New Roman" w:cs="Times New Roman"/>
        </w:rPr>
        <w:t xml:space="preserve"> </w:t>
      </w:r>
      <w:r w:rsidRPr="00693892">
        <w:rPr>
          <w:rFonts w:ascii="Times New Roman" w:hAnsi="Times New Roman" w:cs="Times New Roman"/>
        </w:rPr>
        <w:t>partially or completely shut down an operation or process</w:t>
      </w:r>
      <w:r w:rsidR="00420BF2">
        <w:rPr>
          <w:rFonts w:ascii="Times New Roman" w:hAnsi="Times New Roman" w:cs="Times New Roman"/>
        </w:rPr>
        <w:t>,</w:t>
      </w:r>
      <w:r w:rsidRPr="00693892" w:rsidR="00306C75">
        <w:rPr>
          <w:rFonts w:ascii="Times New Roman" w:hAnsi="Times New Roman" w:cs="Times New Roman"/>
        </w:rPr>
        <w:t xml:space="preserve"> based on the potential for a catastrophic release. </w:t>
      </w:r>
      <w:r w:rsidRPr="00693892">
        <w:rPr>
          <w:rFonts w:ascii="Times New Roman" w:hAnsi="Times New Roman" w:cs="Times New Roman"/>
        </w:rPr>
        <w:t xml:space="preserve">EPA is </w:t>
      </w:r>
      <w:r w:rsidR="002B2B45">
        <w:rPr>
          <w:rFonts w:ascii="Times New Roman" w:hAnsi="Times New Roman" w:cs="Times New Roman"/>
        </w:rPr>
        <w:t>requiring</w:t>
      </w:r>
      <w:r w:rsidRPr="00693892">
        <w:rPr>
          <w:rFonts w:ascii="Times New Roman" w:hAnsi="Times New Roman" w:cs="Times New Roman"/>
        </w:rPr>
        <w:t xml:space="preserve"> </w:t>
      </w:r>
      <w:r w:rsidRPr="00693892" w:rsidR="007F351E">
        <w:rPr>
          <w:rFonts w:ascii="Times New Roman" w:hAnsi="Times New Roman" w:cs="Times New Roman"/>
        </w:rPr>
        <w:t>that</w:t>
      </w:r>
      <w:r w:rsidRPr="00693892">
        <w:rPr>
          <w:rFonts w:ascii="Times New Roman" w:hAnsi="Times New Roman" w:cs="Times New Roman"/>
        </w:rPr>
        <w:t xml:space="preserve"> an </w:t>
      </w:r>
      <w:r w:rsidRPr="00693892" w:rsidR="00354D92">
        <w:rPr>
          <w:rFonts w:ascii="Times New Roman" w:hAnsi="Times New Roman" w:cs="Times New Roman"/>
        </w:rPr>
        <w:t>employee participation plan</w:t>
      </w:r>
      <w:r w:rsidRPr="00693892">
        <w:rPr>
          <w:rFonts w:ascii="Times New Roman" w:hAnsi="Times New Roman" w:cs="Times New Roman"/>
        </w:rPr>
        <w:t xml:space="preserve"> for Program 2 and Program 3 processes include explicit language addressing worker participation and reporting, along with information </w:t>
      </w:r>
      <w:r w:rsidRPr="00693892" w:rsidR="007F351E">
        <w:rPr>
          <w:rFonts w:ascii="Times New Roman" w:hAnsi="Times New Roman" w:cs="Times New Roman"/>
        </w:rPr>
        <w:t>on</w:t>
      </w:r>
      <w:r w:rsidRPr="00693892">
        <w:rPr>
          <w:rFonts w:ascii="Times New Roman" w:hAnsi="Times New Roman" w:cs="Times New Roman"/>
        </w:rPr>
        <w:t xml:space="preserve"> how to report RMP-reportable accidents or related RMP non-compliance issues. </w:t>
      </w:r>
      <w:r w:rsidR="00107E98">
        <w:rPr>
          <w:rFonts w:ascii="Times New Roman" w:hAnsi="Times New Roman" w:cs="Times New Roman"/>
        </w:rPr>
        <w:t>Last, EPA is requiring th</w:t>
      </w:r>
      <w:r w:rsidR="00475E8F">
        <w:rPr>
          <w:rFonts w:ascii="Times New Roman" w:hAnsi="Times New Roman" w:cs="Times New Roman"/>
        </w:rPr>
        <w:t>at Program 2 and 3 facilities train employees on the employee participation plan.</w:t>
      </w:r>
    </w:p>
    <w:p w:rsidR="00D726C0" w:rsidP="000E6E0F" w14:paraId="2184B5A4" w14:textId="77777777">
      <w:pPr>
        <w:spacing w:after="0" w:line="240" w:lineRule="auto"/>
        <w:ind w:firstLine="360"/>
        <w:rPr>
          <w:rFonts w:ascii="Times New Roman" w:hAnsi="Times New Roman" w:cs="Times New Roman"/>
        </w:rPr>
      </w:pPr>
    </w:p>
    <w:p w:rsidR="00306C75" w:rsidRPr="00693892" w:rsidP="000E6E0F" w14:paraId="7B390F78"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The low</w:t>
      </w:r>
      <w:r w:rsidRPr="00693892" w:rsidR="004779BB">
        <w:rPr>
          <w:rFonts w:ascii="Times New Roman" w:hAnsi="Times New Roman" w:cs="Times New Roman"/>
        </w:rPr>
        <w:t>er</w:t>
      </w:r>
      <w:r w:rsidR="00C4667E">
        <w:rPr>
          <w:rFonts w:ascii="Times New Roman" w:hAnsi="Times New Roman" w:cs="Times New Roman"/>
        </w:rPr>
        <w:t>-</w:t>
      </w:r>
      <w:r w:rsidRPr="00693892">
        <w:rPr>
          <w:rFonts w:ascii="Times New Roman" w:hAnsi="Times New Roman" w:cs="Times New Roman"/>
        </w:rPr>
        <w:t xml:space="preserve">cost regulatory alternative </w:t>
      </w:r>
      <w:r w:rsidR="009837FF">
        <w:rPr>
          <w:rFonts w:ascii="Times New Roman" w:hAnsi="Times New Roman" w:cs="Times New Roman"/>
        </w:rPr>
        <w:t>will</w:t>
      </w:r>
      <w:r w:rsidRPr="00693892">
        <w:rPr>
          <w:rFonts w:ascii="Times New Roman" w:hAnsi="Times New Roman" w:cs="Times New Roman"/>
        </w:rPr>
        <w:t xml:space="preserve"> add provisions to the employee participation requirements </w:t>
      </w:r>
      <w:r w:rsidRPr="00693892" w:rsidR="00603834">
        <w:rPr>
          <w:rFonts w:ascii="Times New Roman" w:hAnsi="Times New Roman" w:cs="Times New Roman"/>
        </w:rPr>
        <w:t>only for</w:t>
      </w:r>
      <w:r w:rsidRPr="00693892">
        <w:rPr>
          <w:rFonts w:ascii="Times New Roman" w:hAnsi="Times New Roman" w:cs="Times New Roman"/>
        </w:rPr>
        <w:t xml:space="preserve"> owners and operators of regulated facilities with Program 3 processes</w:t>
      </w:r>
      <w:bookmarkEnd w:id="471"/>
      <w:r w:rsidR="005A3D32">
        <w:rPr>
          <w:rFonts w:ascii="Times New Roman" w:hAnsi="Times New Roman" w:cs="Times New Roman"/>
        </w:rPr>
        <w:t xml:space="preserve"> and </w:t>
      </w:r>
      <w:r w:rsidR="009837FF">
        <w:rPr>
          <w:rFonts w:ascii="Times New Roman" w:hAnsi="Times New Roman" w:cs="Times New Roman"/>
        </w:rPr>
        <w:t>will</w:t>
      </w:r>
      <w:r w:rsidR="005A3D32">
        <w:rPr>
          <w:rFonts w:ascii="Times New Roman" w:hAnsi="Times New Roman" w:cs="Times New Roman"/>
        </w:rPr>
        <w:t xml:space="preserve"> not require training</w:t>
      </w:r>
      <w:r w:rsidRPr="00693892">
        <w:rPr>
          <w:rFonts w:ascii="Times New Roman" w:hAnsi="Times New Roman" w:cs="Times New Roman"/>
        </w:rPr>
        <w:t>.</w:t>
      </w:r>
      <w:r w:rsidRPr="00693892" w:rsidR="00CA6898">
        <w:rPr>
          <w:rFonts w:ascii="Times New Roman" w:hAnsi="Times New Roman" w:cs="Times New Roman"/>
        </w:rPr>
        <w:t xml:space="preserve"> To estimate the cost of this option</w:t>
      </w:r>
      <w:r w:rsidR="00B26D2E">
        <w:rPr>
          <w:rFonts w:ascii="Times New Roman" w:hAnsi="Times New Roman" w:cs="Times New Roman"/>
        </w:rPr>
        <w:t>,</w:t>
      </w:r>
      <w:r w:rsidRPr="00693892" w:rsidR="00CA6898">
        <w:rPr>
          <w:rFonts w:ascii="Times New Roman" w:hAnsi="Times New Roman" w:cs="Times New Roman"/>
        </w:rPr>
        <w:t xml:space="preserve"> EPA applied the unit cost estimates from Exhibit 4-</w:t>
      </w:r>
      <w:r w:rsidR="0085129C">
        <w:rPr>
          <w:rFonts w:ascii="Times New Roman" w:hAnsi="Times New Roman" w:cs="Times New Roman"/>
        </w:rPr>
        <w:t>9</w:t>
      </w:r>
      <w:r w:rsidRPr="00693892" w:rsidR="002B76CF">
        <w:rPr>
          <w:rFonts w:ascii="Times New Roman" w:hAnsi="Times New Roman" w:cs="Times New Roman"/>
        </w:rPr>
        <w:t xml:space="preserve"> to </w:t>
      </w:r>
      <w:r w:rsidRPr="00693892" w:rsidR="00173418">
        <w:rPr>
          <w:rFonts w:ascii="Times New Roman" w:hAnsi="Times New Roman" w:cs="Times New Roman"/>
        </w:rPr>
        <w:t xml:space="preserve">facilities with Program 3 processes. The total cost estimate is presented in Exhibit </w:t>
      </w:r>
      <w:r w:rsidRPr="00693892" w:rsidR="00F979E9">
        <w:rPr>
          <w:rFonts w:ascii="Times New Roman" w:hAnsi="Times New Roman" w:cs="Times New Roman"/>
        </w:rPr>
        <w:t>7</w:t>
      </w:r>
      <w:r w:rsidR="0085060F">
        <w:rPr>
          <w:rFonts w:ascii="Times New Roman" w:hAnsi="Times New Roman" w:cs="Times New Roman"/>
        </w:rPr>
        <w:t>-</w:t>
      </w:r>
      <w:r w:rsidR="00244D85">
        <w:rPr>
          <w:rFonts w:ascii="Times New Roman" w:hAnsi="Times New Roman" w:cs="Times New Roman"/>
        </w:rPr>
        <w:t>4</w:t>
      </w:r>
      <w:r w:rsidR="0085060F">
        <w:rPr>
          <w:rFonts w:ascii="Times New Roman" w:hAnsi="Times New Roman" w:cs="Times New Roman"/>
        </w:rPr>
        <w:t>.</w:t>
      </w:r>
      <w:r w:rsidR="00A80E9C">
        <w:br/>
      </w:r>
    </w:p>
    <w:p w:rsidR="00AD5A55" w:rsidRPr="00693892" w:rsidP="00DB1152" w14:paraId="571365F4" w14:textId="77777777">
      <w:pPr>
        <w:keepNext/>
        <w:spacing w:after="0" w:line="240" w:lineRule="auto"/>
        <w:jc w:val="center"/>
        <w:rPr>
          <w:rFonts w:ascii="Times New Roman" w:hAnsi="Times New Roman" w:cs="Times New Roman"/>
          <w:b/>
        </w:rPr>
      </w:pPr>
      <w:r w:rsidRPr="00DB1152">
        <w:rPr>
          <w:rFonts w:ascii="Times New Roman" w:hAnsi="Times New Roman" w:cs="Times New Roman"/>
          <w:b/>
        </w:rPr>
        <w:t xml:space="preserve">Exhibit </w:t>
      </w:r>
      <w:r w:rsidRPr="00693892" w:rsidR="00F979E9">
        <w:rPr>
          <w:rFonts w:ascii="Times New Roman" w:hAnsi="Times New Roman" w:cs="Times New Roman"/>
          <w:b/>
        </w:rPr>
        <w:t>7</w:t>
      </w:r>
      <w:r w:rsidRPr="00693892">
        <w:rPr>
          <w:rFonts w:ascii="Times New Roman" w:hAnsi="Times New Roman" w:cs="Times New Roman"/>
          <w:b/>
        </w:rPr>
        <w:t>-</w:t>
      </w:r>
      <w:r w:rsidR="00244D85">
        <w:rPr>
          <w:rFonts w:ascii="Times New Roman" w:hAnsi="Times New Roman" w:cs="Times New Roman"/>
          <w:b/>
        </w:rPr>
        <w:t>4</w:t>
      </w:r>
      <w:r w:rsidRPr="00693892">
        <w:rPr>
          <w:rFonts w:ascii="Times New Roman" w:hAnsi="Times New Roman" w:cs="Times New Roman"/>
          <w:b/>
        </w:rPr>
        <w:t xml:space="preserve">: Total Annual Undiscounted Costs for </w:t>
      </w:r>
      <w:r w:rsidRPr="00693892" w:rsidR="00A7375F">
        <w:rPr>
          <w:rFonts w:ascii="Times New Roman" w:hAnsi="Times New Roman" w:cs="Times New Roman"/>
          <w:b/>
        </w:rPr>
        <w:t>Employee Participation</w:t>
      </w:r>
      <w:r w:rsidRPr="00693892">
        <w:rPr>
          <w:rFonts w:ascii="Times New Roman" w:hAnsi="Times New Roman" w:cs="Times New Roman"/>
          <w:b/>
        </w:rPr>
        <w:t xml:space="preserve"> </w:t>
      </w:r>
      <w:r w:rsidR="001549DB">
        <w:rPr>
          <w:rFonts w:ascii="Times New Roman" w:hAnsi="Times New Roman" w:cs="Times New Roman"/>
          <w:b/>
        </w:rPr>
        <w:t>Plan</w:t>
      </w:r>
    </w:p>
    <w:p w:rsidR="00DB1152" w:rsidP="00DB1152" w14:paraId="1E3B291E" w14:textId="77777777">
      <w:pPr>
        <w:keepNext/>
        <w:spacing w:after="0" w:line="240" w:lineRule="auto"/>
        <w:jc w:val="center"/>
        <w:rPr>
          <w:rFonts w:ascii="Times New Roman" w:hAnsi="Times New Roman" w:cs="Times New Roman"/>
          <w:b/>
        </w:rPr>
      </w:pPr>
      <w:r w:rsidRPr="00693892">
        <w:rPr>
          <w:rFonts w:ascii="Times New Roman" w:hAnsi="Times New Roman" w:cs="Times New Roman"/>
          <w:b/>
        </w:rPr>
        <w:t>Low</w:t>
      </w:r>
      <w:r w:rsidR="00D726C0">
        <w:rPr>
          <w:rFonts w:ascii="Times New Roman" w:hAnsi="Times New Roman" w:cs="Times New Roman"/>
          <w:b/>
        </w:rPr>
        <w:t>er Cost</w:t>
      </w:r>
      <w:r w:rsidRPr="00693892">
        <w:rPr>
          <w:rFonts w:ascii="Times New Roman" w:hAnsi="Times New Roman" w:cs="Times New Roman"/>
          <w:b/>
        </w:rPr>
        <w:t xml:space="preserve"> Regulatory Alternative</w:t>
      </w:r>
      <w:r w:rsidR="00D726C0">
        <w:rPr>
          <w:rFonts w:ascii="Times New Roman" w:hAnsi="Times New Roman" w:cs="Times New Roman"/>
          <w:b/>
        </w:rPr>
        <w:t xml:space="preserve"> (</w:t>
      </w:r>
      <w:r w:rsidRPr="00693892" w:rsidR="00203845">
        <w:rPr>
          <w:rFonts w:ascii="Times New Roman" w:hAnsi="Times New Roman" w:cs="Times New Roman"/>
          <w:b/>
        </w:rPr>
        <w:t>202</w:t>
      </w:r>
      <w:r w:rsidR="00203845">
        <w:rPr>
          <w:rFonts w:ascii="Times New Roman" w:hAnsi="Times New Roman" w:cs="Times New Roman"/>
          <w:b/>
        </w:rPr>
        <w:t>2</w:t>
      </w:r>
      <w:r w:rsidRPr="00693892" w:rsidR="00203845">
        <w:rPr>
          <w:rFonts w:ascii="Times New Roman" w:hAnsi="Times New Roman" w:cs="Times New Roman"/>
          <w:b/>
        </w:rPr>
        <w:t xml:space="preserve"> </w:t>
      </w:r>
      <w:r w:rsidRPr="00693892">
        <w:rPr>
          <w:rFonts w:ascii="Times New Roman" w:hAnsi="Times New Roman" w:cs="Times New Roman"/>
          <w:b/>
        </w:rPr>
        <w:t>Dollars)</w:t>
      </w:r>
      <w:r>
        <w:rPr>
          <w:rFonts w:ascii="Times New Roman" w:hAnsi="Times New Roman" w:cs="Times New Roman"/>
          <w:b/>
        </w:rPr>
        <w:t>.</w:t>
      </w:r>
    </w:p>
    <w:p w:rsidR="00DB1152" w:rsidRPr="00DB1152" w:rsidP="00DB1152" w14:paraId="5EA537D1" w14:textId="77777777">
      <w:pPr>
        <w:keepNext/>
        <w:spacing w:after="0" w:line="240" w:lineRule="auto"/>
        <w:jc w:val="center"/>
        <w:rPr>
          <w:rFonts w:ascii="Times New Roman" w:hAnsi="Times New Roman" w:cs="Times New Roman"/>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373"/>
        <w:gridCol w:w="1137"/>
        <w:gridCol w:w="1020"/>
        <w:gridCol w:w="1122"/>
        <w:gridCol w:w="1188"/>
      </w:tblGrid>
      <w:tr w14:paraId="5FE96A80" w14:textId="77777777" w:rsidTr="00DB1152">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691"/>
          <w:jc w:val="center"/>
        </w:trPr>
        <w:tc>
          <w:tcPr>
            <w:tcW w:w="2373" w:type="dxa"/>
            <w:tcBorders>
              <w:left w:val="single" w:sz="6" w:space="0" w:color="000000"/>
              <w:right w:val="single" w:sz="6" w:space="0" w:color="000000"/>
            </w:tcBorders>
            <w:shd w:val="clear" w:color="auto" w:fill="DADADA"/>
            <w:vAlign w:val="center"/>
          </w:tcPr>
          <w:p w:rsidR="009315ED" w:rsidRPr="00DB1152" w:rsidP="00DB1152" w14:paraId="035B378E" w14:textId="77777777">
            <w:pPr>
              <w:keepNext/>
              <w:spacing w:after="0" w:line="240" w:lineRule="auto"/>
              <w:ind w:left="182" w:hanging="90"/>
              <w:jc w:val="center"/>
              <w:rPr>
                <w:rFonts w:ascii="Times New Roman" w:hAnsi="Times New Roman" w:cs="Times New Roman"/>
                <w:b/>
                <w:sz w:val="20"/>
                <w:szCs w:val="20"/>
              </w:rPr>
            </w:pPr>
            <w:r w:rsidRPr="00DB1152">
              <w:rPr>
                <w:rFonts w:ascii="Times New Roman" w:hAnsi="Times New Roman" w:cs="Times New Roman"/>
                <w:b/>
                <w:sz w:val="20"/>
                <w:szCs w:val="20"/>
              </w:rPr>
              <w:t>Facility Type</w:t>
            </w:r>
          </w:p>
        </w:tc>
        <w:tc>
          <w:tcPr>
            <w:tcW w:w="1137" w:type="dxa"/>
            <w:tcBorders>
              <w:left w:val="single" w:sz="6" w:space="0" w:color="000000"/>
              <w:right w:val="single" w:sz="6" w:space="0" w:color="000000"/>
            </w:tcBorders>
            <w:shd w:val="clear" w:color="auto" w:fill="DADADA"/>
            <w:vAlign w:val="center"/>
          </w:tcPr>
          <w:p w:rsidR="009315ED" w:rsidRPr="00DB1152" w:rsidP="00DB1152" w14:paraId="5D6EE1E8" w14:textId="77777777">
            <w:pPr>
              <w:keepNext/>
              <w:spacing w:after="0" w:line="240" w:lineRule="auto"/>
              <w:ind w:left="96" w:right="57"/>
              <w:jc w:val="center"/>
              <w:rPr>
                <w:rFonts w:ascii="Times New Roman" w:hAnsi="Times New Roman" w:cs="Times New Roman"/>
                <w:b/>
                <w:sz w:val="20"/>
                <w:szCs w:val="20"/>
              </w:rPr>
            </w:pPr>
            <w:r w:rsidRPr="00DB1152">
              <w:rPr>
                <w:rFonts w:ascii="Times New Roman" w:hAnsi="Times New Roman" w:cs="Times New Roman"/>
                <w:b/>
                <w:sz w:val="20"/>
                <w:szCs w:val="20"/>
              </w:rPr>
              <w:t>Annual Frequency</w:t>
            </w:r>
          </w:p>
        </w:tc>
        <w:tc>
          <w:tcPr>
            <w:tcW w:w="1020" w:type="dxa"/>
            <w:tcBorders>
              <w:left w:val="single" w:sz="6" w:space="0" w:color="000000"/>
            </w:tcBorders>
            <w:shd w:val="clear" w:color="auto" w:fill="DADADA"/>
            <w:vAlign w:val="center"/>
          </w:tcPr>
          <w:p w:rsidR="009315ED" w:rsidRPr="00DB1152" w:rsidP="00DB1152" w14:paraId="01DD5847" w14:textId="77777777">
            <w:pPr>
              <w:keepNext/>
              <w:spacing w:after="0" w:line="240" w:lineRule="auto"/>
              <w:ind w:left="92" w:right="32"/>
              <w:jc w:val="center"/>
              <w:rPr>
                <w:rFonts w:ascii="Times New Roman" w:hAnsi="Times New Roman" w:cs="Times New Roman"/>
                <w:b/>
                <w:sz w:val="20"/>
                <w:szCs w:val="20"/>
              </w:rPr>
            </w:pPr>
            <w:r w:rsidRPr="00DB1152">
              <w:rPr>
                <w:rFonts w:ascii="Times New Roman" w:hAnsi="Times New Roman" w:cs="Times New Roman"/>
                <w:b/>
                <w:sz w:val="20"/>
                <w:szCs w:val="20"/>
              </w:rPr>
              <w:t>Unit Cost</w:t>
            </w:r>
          </w:p>
        </w:tc>
        <w:tc>
          <w:tcPr>
            <w:tcW w:w="1122" w:type="dxa"/>
            <w:tcBorders>
              <w:right w:val="single" w:sz="6" w:space="0" w:color="000000"/>
            </w:tcBorders>
            <w:shd w:val="clear" w:color="auto" w:fill="DADADA"/>
            <w:vAlign w:val="center"/>
          </w:tcPr>
          <w:p w:rsidR="009315ED" w:rsidRPr="00DB1152" w:rsidP="00DB1152" w14:paraId="23904ADA" w14:textId="77777777">
            <w:pPr>
              <w:keepNext/>
              <w:spacing w:after="0" w:line="240" w:lineRule="auto"/>
              <w:ind w:left="61" w:right="67"/>
              <w:jc w:val="center"/>
              <w:rPr>
                <w:rFonts w:ascii="Times New Roman" w:hAnsi="Times New Roman" w:cs="Times New Roman"/>
                <w:b/>
                <w:sz w:val="20"/>
                <w:szCs w:val="20"/>
              </w:rPr>
            </w:pPr>
            <w:r w:rsidRPr="00DB1152">
              <w:rPr>
                <w:rFonts w:ascii="Times New Roman" w:hAnsi="Times New Roman" w:cs="Times New Roman"/>
                <w:b/>
                <w:sz w:val="20"/>
                <w:szCs w:val="20"/>
              </w:rPr>
              <w:t>Facilities</w:t>
            </w:r>
          </w:p>
        </w:tc>
        <w:tc>
          <w:tcPr>
            <w:tcW w:w="1188" w:type="dxa"/>
            <w:tcBorders>
              <w:left w:val="single" w:sz="6" w:space="0" w:color="000000"/>
            </w:tcBorders>
            <w:shd w:val="clear" w:color="auto" w:fill="DADADA"/>
            <w:vAlign w:val="center"/>
          </w:tcPr>
          <w:p w:rsidR="009315ED" w:rsidRPr="00DB1152" w:rsidP="00DB1152" w14:paraId="7194435E" w14:textId="77777777">
            <w:pPr>
              <w:keepNext/>
              <w:spacing w:after="0" w:line="240" w:lineRule="auto"/>
              <w:ind w:left="81" w:right="51"/>
              <w:jc w:val="center"/>
              <w:rPr>
                <w:rFonts w:ascii="Times New Roman" w:hAnsi="Times New Roman" w:cs="Times New Roman"/>
                <w:b/>
                <w:sz w:val="20"/>
                <w:szCs w:val="20"/>
              </w:rPr>
            </w:pPr>
            <w:r w:rsidRPr="00DB1152">
              <w:rPr>
                <w:rFonts w:ascii="Times New Roman" w:hAnsi="Times New Roman" w:cs="Times New Roman"/>
                <w:b/>
                <w:sz w:val="20"/>
                <w:szCs w:val="20"/>
              </w:rPr>
              <w:t>Total Initial Cost</w:t>
            </w:r>
          </w:p>
        </w:tc>
      </w:tr>
      <w:tr w14:paraId="2BD1FCF7" w14:textId="77777777" w:rsidTr="00DB1152">
        <w:tblPrEx>
          <w:tblW w:w="0" w:type="auto"/>
          <w:jc w:val="center"/>
          <w:tblLayout w:type="fixed"/>
          <w:tblCellMar>
            <w:left w:w="0" w:type="dxa"/>
            <w:right w:w="0" w:type="dxa"/>
          </w:tblCellMar>
          <w:tblLook w:val="01E0"/>
        </w:tblPrEx>
        <w:trPr>
          <w:trHeight w:val="315"/>
          <w:jc w:val="center"/>
        </w:trPr>
        <w:tc>
          <w:tcPr>
            <w:tcW w:w="2373" w:type="dxa"/>
            <w:tcBorders>
              <w:top w:val="single" w:sz="6" w:space="0" w:color="000000"/>
              <w:left w:val="single" w:sz="6" w:space="0" w:color="000000"/>
              <w:bottom w:val="single" w:sz="6" w:space="0" w:color="000000"/>
              <w:right w:val="single" w:sz="6" w:space="0" w:color="000000"/>
            </w:tcBorders>
            <w:vAlign w:val="center"/>
          </w:tcPr>
          <w:p w:rsidR="00862A3C" w:rsidRPr="00DB1152" w:rsidP="00ED3152" w14:paraId="18A7AC5C" w14:textId="77777777">
            <w:pPr>
              <w:keepNext/>
              <w:spacing w:after="0" w:line="240" w:lineRule="auto"/>
              <w:ind w:left="127"/>
              <w:rPr>
                <w:rFonts w:ascii="Times New Roman" w:hAnsi="Times New Roman" w:cs="Times New Roman"/>
                <w:sz w:val="20"/>
                <w:szCs w:val="20"/>
              </w:rPr>
            </w:pPr>
            <w:r w:rsidRPr="00DB1152">
              <w:rPr>
                <w:rFonts w:ascii="Times New Roman" w:hAnsi="Times New Roman" w:cs="Times New Roman"/>
                <w:sz w:val="20"/>
                <w:szCs w:val="20"/>
              </w:rPr>
              <w:t>Simple</w:t>
            </w:r>
          </w:p>
        </w:tc>
        <w:tc>
          <w:tcPr>
            <w:tcW w:w="1137" w:type="dxa"/>
            <w:tcBorders>
              <w:top w:val="single" w:sz="6" w:space="0" w:color="000000"/>
              <w:left w:val="single" w:sz="6" w:space="0" w:color="000000"/>
              <w:bottom w:val="single" w:sz="6" w:space="0" w:color="000000"/>
              <w:right w:val="single" w:sz="6" w:space="0" w:color="000000"/>
            </w:tcBorders>
            <w:vAlign w:val="center"/>
          </w:tcPr>
          <w:p w:rsidR="00862A3C" w:rsidRPr="00DB1152" w:rsidP="00DB1152" w14:paraId="738C028F" w14:textId="77777777">
            <w:pPr>
              <w:keepNext/>
              <w:spacing w:after="0" w:line="240" w:lineRule="auto"/>
              <w:ind w:left="31"/>
              <w:jc w:val="center"/>
              <w:rPr>
                <w:rFonts w:ascii="Times New Roman" w:hAnsi="Times New Roman" w:cs="Times New Roman"/>
                <w:sz w:val="20"/>
                <w:szCs w:val="20"/>
              </w:rPr>
            </w:pPr>
            <w:r w:rsidRPr="00DB1152">
              <w:rPr>
                <w:rFonts w:ascii="Times New Roman" w:hAnsi="Times New Roman" w:cs="Times New Roman"/>
                <w:sz w:val="20"/>
                <w:szCs w:val="20"/>
              </w:rPr>
              <w:t>1</w:t>
            </w:r>
          </w:p>
        </w:tc>
        <w:tc>
          <w:tcPr>
            <w:tcW w:w="1020" w:type="dxa"/>
            <w:tcBorders>
              <w:top w:val="single" w:sz="6" w:space="0" w:color="000000"/>
              <w:left w:val="single" w:sz="6" w:space="0" w:color="000000"/>
              <w:bottom w:val="single" w:sz="6" w:space="0" w:color="000000"/>
            </w:tcBorders>
            <w:vAlign w:val="center"/>
          </w:tcPr>
          <w:p w:rsidR="00862A3C" w:rsidRPr="00DB1152" w:rsidP="00DB1152" w14:paraId="5D4B308B" w14:textId="77777777">
            <w:pPr>
              <w:keepNext/>
              <w:spacing w:after="0" w:line="240" w:lineRule="auto"/>
              <w:ind w:left="92" w:right="30"/>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w:t>
            </w:r>
            <w:r w:rsidRPr="00DB1152" w:rsidR="00E54DC6">
              <w:rPr>
                <w:rFonts w:ascii="Times New Roman" w:hAnsi="Times New Roman" w:cs="Times New Roman"/>
                <w:color w:val="000000"/>
                <w:sz w:val="20"/>
                <w:szCs w:val="20"/>
              </w:rPr>
              <w:t>5</w:t>
            </w:r>
            <w:r w:rsidR="00203845">
              <w:rPr>
                <w:rFonts w:ascii="Times New Roman" w:hAnsi="Times New Roman" w:cs="Times New Roman"/>
                <w:color w:val="000000"/>
                <w:sz w:val="20"/>
                <w:szCs w:val="20"/>
              </w:rPr>
              <w:t>9</w:t>
            </w:r>
          </w:p>
        </w:tc>
        <w:tc>
          <w:tcPr>
            <w:tcW w:w="1122" w:type="dxa"/>
            <w:tcBorders>
              <w:top w:val="single" w:sz="6" w:space="0" w:color="000000"/>
              <w:bottom w:val="single" w:sz="6" w:space="0" w:color="000000"/>
              <w:right w:val="single" w:sz="6" w:space="0" w:color="000000"/>
            </w:tcBorders>
            <w:vAlign w:val="center"/>
          </w:tcPr>
          <w:p w:rsidR="00862A3C" w:rsidRPr="00DB1152" w:rsidP="00DB1152" w14:paraId="2892236F" w14:textId="77777777">
            <w:pPr>
              <w:keepNext/>
              <w:spacing w:after="0" w:line="240" w:lineRule="auto"/>
              <w:ind w:left="77" w:right="65"/>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5,578</w:t>
            </w:r>
          </w:p>
        </w:tc>
        <w:tc>
          <w:tcPr>
            <w:tcW w:w="1188" w:type="dxa"/>
            <w:tcBorders>
              <w:top w:val="single" w:sz="6" w:space="0" w:color="000000"/>
              <w:left w:val="single" w:sz="6" w:space="0" w:color="000000"/>
              <w:bottom w:val="single" w:sz="6" w:space="0" w:color="000000"/>
            </w:tcBorders>
            <w:vAlign w:val="center"/>
          </w:tcPr>
          <w:p w:rsidR="00862A3C" w:rsidRPr="00DB1152" w:rsidP="00DB1152" w14:paraId="09661220" w14:textId="77777777">
            <w:pPr>
              <w:keepNext/>
              <w:spacing w:after="0" w:line="240" w:lineRule="auto"/>
              <w:ind w:left="83" w:right="51"/>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w:t>
            </w:r>
            <w:r w:rsidRPr="00DB1152" w:rsidR="00E54DC6">
              <w:rPr>
                <w:rFonts w:ascii="Times New Roman" w:hAnsi="Times New Roman" w:cs="Times New Roman"/>
                <w:color w:val="000000"/>
                <w:sz w:val="20"/>
                <w:szCs w:val="20"/>
              </w:rPr>
              <w:t>3</w:t>
            </w:r>
            <w:r w:rsidR="00203845">
              <w:rPr>
                <w:rFonts w:ascii="Times New Roman" w:hAnsi="Times New Roman" w:cs="Times New Roman"/>
                <w:color w:val="000000"/>
                <w:sz w:val="20"/>
                <w:szCs w:val="20"/>
              </w:rPr>
              <w:t>27,</w:t>
            </w:r>
            <w:r w:rsidR="00B83EEE">
              <w:rPr>
                <w:rFonts w:ascii="Times New Roman" w:hAnsi="Times New Roman" w:cs="Times New Roman"/>
                <w:color w:val="000000"/>
                <w:sz w:val="20"/>
                <w:szCs w:val="20"/>
              </w:rPr>
              <w:t>801</w:t>
            </w:r>
          </w:p>
        </w:tc>
      </w:tr>
      <w:tr w14:paraId="2A1B72C4" w14:textId="77777777" w:rsidTr="00DB1152">
        <w:tblPrEx>
          <w:tblW w:w="0" w:type="auto"/>
          <w:jc w:val="center"/>
          <w:tblLayout w:type="fixed"/>
          <w:tblCellMar>
            <w:left w:w="0" w:type="dxa"/>
            <w:right w:w="0" w:type="dxa"/>
          </w:tblCellMar>
          <w:tblLook w:val="01E0"/>
        </w:tblPrEx>
        <w:trPr>
          <w:trHeight w:val="315"/>
          <w:jc w:val="center"/>
        </w:trPr>
        <w:tc>
          <w:tcPr>
            <w:tcW w:w="2373" w:type="dxa"/>
            <w:tcBorders>
              <w:top w:val="single" w:sz="6" w:space="0" w:color="000000"/>
              <w:left w:val="single" w:sz="6" w:space="0" w:color="000000"/>
              <w:bottom w:val="single" w:sz="6" w:space="0" w:color="000000"/>
              <w:right w:val="single" w:sz="6" w:space="0" w:color="000000"/>
            </w:tcBorders>
            <w:vAlign w:val="center"/>
          </w:tcPr>
          <w:p w:rsidR="00862A3C" w:rsidRPr="00DB1152" w:rsidP="00ED3152" w14:paraId="31E25112" w14:textId="77777777">
            <w:pPr>
              <w:keepNext/>
              <w:spacing w:after="0" w:line="240" w:lineRule="auto"/>
              <w:ind w:left="127"/>
              <w:rPr>
                <w:rFonts w:ascii="Times New Roman" w:hAnsi="Times New Roman" w:cs="Times New Roman"/>
                <w:sz w:val="20"/>
                <w:szCs w:val="20"/>
              </w:rPr>
            </w:pPr>
            <w:r w:rsidRPr="00DB1152">
              <w:rPr>
                <w:rFonts w:ascii="Times New Roman" w:hAnsi="Times New Roman" w:cs="Times New Roman"/>
                <w:sz w:val="20"/>
                <w:szCs w:val="20"/>
              </w:rPr>
              <w:t>Complex</w:t>
            </w:r>
          </w:p>
        </w:tc>
        <w:tc>
          <w:tcPr>
            <w:tcW w:w="1137" w:type="dxa"/>
            <w:tcBorders>
              <w:top w:val="single" w:sz="6" w:space="0" w:color="000000"/>
              <w:left w:val="single" w:sz="6" w:space="0" w:color="000000"/>
              <w:bottom w:val="single" w:sz="6" w:space="0" w:color="000000"/>
              <w:right w:val="single" w:sz="6" w:space="0" w:color="000000"/>
            </w:tcBorders>
            <w:vAlign w:val="center"/>
          </w:tcPr>
          <w:p w:rsidR="00862A3C" w:rsidRPr="00DB1152" w:rsidP="00DB1152" w14:paraId="524CE200" w14:textId="77777777">
            <w:pPr>
              <w:keepNext/>
              <w:spacing w:after="0" w:line="240" w:lineRule="auto"/>
              <w:ind w:left="31"/>
              <w:jc w:val="center"/>
              <w:rPr>
                <w:rFonts w:ascii="Times New Roman" w:hAnsi="Times New Roman" w:cs="Times New Roman"/>
                <w:sz w:val="20"/>
                <w:szCs w:val="20"/>
              </w:rPr>
            </w:pPr>
            <w:r w:rsidRPr="00DB1152">
              <w:rPr>
                <w:rFonts w:ascii="Times New Roman" w:hAnsi="Times New Roman" w:cs="Times New Roman"/>
                <w:sz w:val="20"/>
                <w:szCs w:val="20"/>
              </w:rPr>
              <w:t>1</w:t>
            </w:r>
          </w:p>
        </w:tc>
        <w:tc>
          <w:tcPr>
            <w:tcW w:w="1020" w:type="dxa"/>
            <w:tcBorders>
              <w:top w:val="single" w:sz="6" w:space="0" w:color="000000"/>
              <w:left w:val="single" w:sz="6" w:space="0" w:color="000000"/>
              <w:bottom w:val="single" w:sz="6" w:space="0" w:color="000000"/>
            </w:tcBorders>
            <w:vAlign w:val="center"/>
          </w:tcPr>
          <w:p w:rsidR="00862A3C" w:rsidRPr="00DB1152" w:rsidP="00DB1152" w14:paraId="6A86F842" w14:textId="77777777">
            <w:pPr>
              <w:keepNext/>
              <w:spacing w:after="0" w:line="240" w:lineRule="auto"/>
              <w:ind w:left="92" w:right="30"/>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w:t>
            </w:r>
            <w:r w:rsidR="00203845">
              <w:rPr>
                <w:rFonts w:ascii="Times New Roman" w:hAnsi="Times New Roman" w:cs="Times New Roman"/>
                <w:color w:val="000000"/>
                <w:sz w:val="20"/>
                <w:szCs w:val="20"/>
              </w:rPr>
              <w:t>83</w:t>
            </w:r>
          </w:p>
        </w:tc>
        <w:tc>
          <w:tcPr>
            <w:tcW w:w="1122" w:type="dxa"/>
            <w:tcBorders>
              <w:top w:val="single" w:sz="6" w:space="0" w:color="000000"/>
              <w:bottom w:val="single" w:sz="6" w:space="0" w:color="000000"/>
              <w:right w:val="single" w:sz="6" w:space="0" w:color="000000"/>
            </w:tcBorders>
            <w:vAlign w:val="center"/>
          </w:tcPr>
          <w:p w:rsidR="00862A3C" w:rsidRPr="00DB1152" w:rsidP="00DB1152" w14:paraId="56EEE925" w14:textId="77777777">
            <w:pPr>
              <w:keepNext/>
              <w:spacing w:after="0" w:line="240" w:lineRule="auto"/>
              <w:ind w:left="77" w:right="65"/>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1,527</w:t>
            </w:r>
          </w:p>
        </w:tc>
        <w:tc>
          <w:tcPr>
            <w:tcW w:w="1188" w:type="dxa"/>
            <w:tcBorders>
              <w:top w:val="single" w:sz="6" w:space="0" w:color="000000"/>
              <w:left w:val="single" w:sz="6" w:space="0" w:color="000000"/>
              <w:bottom w:val="single" w:sz="6" w:space="0" w:color="000000"/>
            </w:tcBorders>
            <w:vAlign w:val="center"/>
          </w:tcPr>
          <w:p w:rsidR="00862A3C" w:rsidRPr="00DB1152" w:rsidP="00DB1152" w14:paraId="2673233C" w14:textId="77777777">
            <w:pPr>
              <w:keepNext/>
              <w:spacing w:after="0" w:line="240" w:lineRule="auto"/>
              <w:ind w:left="83" w:right="51"/>
              <w:jc w:val="center"/>
              <w:rPr>
                <w:rFonts w:ascii="Times New Roman" w:hAnsi="Times New Roman" w:cs="Times New Roman"/>
                <w:color w:val="000000"/>
                <w:sz w:val="20"/>
                <w:szCs w:val="20"/>
              </w:rPr>
            </w:pPr>
            <w:r w:rsidRPr="00DB1152">
              <w:rPr>
                <w:rFonts w:ascii="Times New Roman" w:hAnsi="Times New Roman" w:cs="Times New Roman"/>
                <w:color w:val="000000"/>
                <w:sz w:val="20"/>
                <w:szCs w:val="20"/>
              </w:rPr>
              <w:t>$1</w:t>
            </w:r>
            <w:r w:rsidR="00B83EEE">
              <w:rPr>
                <w:rFonts w:ascii="Times New Roman" w:hAnsi="Times New Roman" w:cs="Times New Roman"/>
                <w:color w:val="000000"/>
                <w:sz w:val="20"/>
                <w:szCs w:val="20"/>
              </w:rPr>
              <w:t>26,612</w:t>
            </w:r>
          </w:p>
        </w:tc>
      </w:tr>
      <w:tr w14:paraId="543C7CE8" w14:textId="77777777" w:rsidTr="00DB1152">
        <w:tblPrEx>
          <w:tblW w:w="0" w:type="auto"/>
          <w:jc w:val="center"/>
          <w:tblLayout w:type="fixed"/>
          <w:tblCellMar>
            <w:left w:w="0" w:type="dxa"/>
            <w:right w:w="0" w:type="dxa"/>
          </w:tblCellMar>
          <w:tblLook w:val="01E0"/>
        </w:tblPrEx>
        <w:trPr>
          <w:trHeight w:val="337"/>
          <w:jc w:val="center"/>
        </w:trPr>
        <w:tc>
          <w:tcPr>
            <w:tcW w:w="2373" w:type="dxa"/>
            <w:tcBorders>
              <w:left w:val="single" w:sz="6" w:space="0" w:color="000000"/>
              <w:bottom w:val="single" w:sz="6" w:space="0" w:color="000000"/>
              <w:right w:val="single" w:sz="6" w:space="0" w:color="000000"/>
            </w:tcBorders>
            <w:vAlign w:val="center"/>
          </w:tcPr>
          <w:p w:rsidR="009315ED" w:rsidRPr="00DB1152" w:rsidP="00DB1152" w14:paraId="7A0E84FE" w14:textId="77777777">
            <w:pPr>
              <w:keepNext/>
              <w:spacing w:after="0" w:line="240" w:lineRule="auto"/>
              <w:ind w:left="878" w:right="842"/>
              <w:jc w:val="center"/>
              <w:rPr>
                <w:rFonts w:ascii="Times New Roman" w:hAnsi="Times New Roman" w:cs="Times New Roman"/>
                <w:b/>
                <w:sz w:val="20"/>
                <w:szCs w:val="20"/>
              </w:rPr>
            </w:pPr>
            <w:r w:rsidRPr="00DB1152">
              <w:rPr>
                <w:rFonts w:ascii="Times New Roman" w:hAnsi="Times New Roman" w:cs="Times New Roman"/>
                <w:b/>
                <w:sz w:val="20"/>
                <w:szCs w:val="20"/>
              </w:rPr>
              <w:t>Total</w:t>
            </w:r>
          </w:p>
        </w:tc>
        <w:tc>
          <w:tcPr>
            <w:tcW w:w="1137" w:type="dxa"/>
            <w:tcBorders>
              <w:left w:val="single" w:sz="6" w:space="0" w:color="000000"/>
              <w:bottom w:val="single" w:sz="6" w:space="0" w:color="000000"/>
              <w:right w:val="single" w:sz="6" w:space="0" w:color="000000"/>
            </w:tcBorders>
            <w:vAlign w:val="center"/>
          </w:tcPr>
          <w:p w:rsidR="009315ED" w:rsidRPr="00DB1152" w:rsidP="00DB1152" w14:paraId="1A110288" w14:textId="77777777">
            <w:pPr>
              <w:keepNext/>
              <w:spacing w:after="0" w:line="240" w:lineRule="auto"/>
              <w:jc w:val="center"/>
              <w:rPr>
                <w:rFonts w:ascii="Times New Roman" w:hAnsi="Times New Roman" w:cs="Times New Roman"/>
                <w:sz w:val="20"/>
                <w:szCs w:val="20"/>
              </w:rPr>
            </w:pPr>
          </w:p>
        </w:tc>
        <w:tc>
          <w:tcPr>
            <w:tcW w:w="1020" w:type="dxa"/>
            <w:tcBorders>
              <w:left w:val="single" w:sz="6" w:space="0" w:color="000000"/>
              <w:bottom w:val="single" w:sz="6" w:space="0" w:color="000000"/>
            </w:tcBorders>
            <w:vAlign w:val="center"/>
          </w:tcPr>
          <w:p w:rsidR="009315ED" w:rsidRPr="00DB1152" w:rsidP="00DB1152" w14:paraId="199AD16F" w14:textId="77777777">
            <w:pPr>
              <w:keepNext/>
              <w:spacing w:after="0" w:line="240" w:lineRule="auto"/>
              <w:jc w:val="center"/>
              <w:rPr>
                <w:rFonts w:ascii="Times New Roman" w:hAnsi="Times New Roman" w:cs="Times New Roman"/>
                <w:sz w:val="20"/>
                <w:szCs w:val="20"/>
              </w:rPr>
            </w:pPr>
          </w:p>
        </w:tc>
        <w:tc>
          <w:tcPr>
            <w:tcW w:w="1122" w:type="dxa"/>
            <w:tcBorders>
              <w:bottom w:val="single" w:sz="6" w:space="0" w:color="000000"/>
              <w:right w:val="single" w:sz="6" w:space="0" w:color="000000"/>
            </w:tcBorders>
            <w:vAlign w:val="center"/>
          </w:tcPr>
          <w:p w:rsidR="009315ED" w:rsidRPr="00DB1152" w:rsidP="00DB1152" w14:paraId="63614160" w14:textId="77777777">
            <w:pPr>
              <w:keepNext/>
              <w:spacing w:after="0" w:line="240" w:lineRule="auto"/>
              <w:ind w:left="67" w:right="67"/>
              <w:jc w:val="center"/>
              <w:rPr>
                <w:rFonts w:ascii="Times New Roman" w:hAnsi="Times New Roman" w:cs="Times New Roman"/>
                <w:b/>
                <w:sz w:val="20"/>
                <w:szCs w:val="20"/>
              </w:rPr>
            </w:pPr>
            <w:r w:rsidRPr="00DB1152">
              <w:rPr>
                <w:rFonts w:ascii="Times New Roman" w:hAnsi="Times New Roman" w:cs="Times New Roman"/>
                <w:b/>
                <w:sz w:val="20"/>
                <w:szCs w:val="20"/>
              </w:rPr>
              <w:t>7,105</w:t>
            </w:r>
          </w:p>
        </w:tc>
        <w:tc>
          <w:tcPr>
            <w:tcW w:w="1188" w:type="dxa"/>
            <w:tcBorders>
              <w:left w:val="single" w:sz="6" w:space="0" w:color="000000"/>
              <w:bottom w:val="single" w:sz="6" w:space="0" w:color="000000"/>
            </w:tcBorders>
            <w:vAlign w:val="center"/>
          </w:tcPr>
          <w:p w:rsidR="009315ED" w:rsidRPr="00DB1152" w:rsidP="00DB1152" w14:paraId="2515E69B" w14:textId="77777777">
            <w:pPr>
              <w:keepNext/>
              <w:spacing w:after="0" w:line="240" w:lineRule="auto"/>
              <w:jc w:val="center"/>
              <w:rPr>
                <w:rFonts w:ascii="Times New Roman" w:hAnsi="Times New Roman" w:cs="Times New Roman"/>
                <w:b/>
                <w:color w:val="000000"/>
                <w:sz w:val="20"/>
                <w:szCs w:val="20"/>
              </w:rPr>
            </w:pPr>
            <w:r w:rsidRPr="00DB1152">
              <w:rPr>
                <w:rFonts w:ascii="Times New Roman" w:hAnsi="Times New Roman" w:cs="Times New Roman"/>
                <w:b/>
                <w:color w:val="000000"/>
                <w:sz w:val="20"/>
                <w:szCs w:val="20"/>
              </w:rPr>
              <w:t>$</w:t>
            </w:r>
            <w:r w:rsidRPr="00DB1152" w:rsidR="00527F97">
              <w:rPr>
                <w:rFonts w:ascii="Times New Roman" w:hAnsi="Times New Roman" w:cs="Times New Roman"/>
                <w:b/>
                <w:color w:val="000000"/>
                <w:sz w:val="20"/>
                <w:szCs w:val="20"/>
              </w:rPr>
              <w:t>4</w:t>
            </w:r>
            <w:r w:rsidR="00B83EEE">
              <w:rPr>
                <w:rFonts w:ascii="Times New Roman" w:hAnsi="Times New Roman" w:cs="Times New Roman"/>
                <w:b/>
                <w:color w:val="000000"/>
                <w:sz w:val="20"/>
                <w:szCs w:val="20"/>
              </w:rPr>
              <w:t>54,413</w:t>
            </w:r>
          </w:p>
        </w:tc>
      </w:tr>
    </w:tbl>
    <w:p w:rsidR="009315ED" w:rsidRPr="00693892" w:rsidP="004051AB" w14:paraId="2F90BDC1" w14:textId="77777777">
      <w:pPr>
        <w:spacing w:after="0" w:line="240" w:lineRule="auto"/>
        <w:rPr>
          <w:rFonts w:ascii="Times New Roman" w:hAnsi="Times New Roman" w:cs="Times New Roman"/>
          <w:i/>
          <w:shd w:val="clear" w:color="auto" w:fill="FFFFFF"/>
        </w:rPr>
      </w:pPr>
    </w:p>
    <w:p w:rsidR="009C7B7A" w:rsidRPr="00693892" w:rsidP="00C07306" w14:paraId="5ECC570C" w14:textId="77777777">
      <w:pPr>
        <w:pStyle w:val="Heading2"/>
      </w:pPr>
      <w:bookmarkStart w:id="472" w:name="_Toc98856236"/>
      <w:bookmarkStart w:id="473" w:name="_Toc144303598"/>
      <w:r w:rsidRPr="00693892">
        <w:t>7</w:t>
      </w:r>
      <w:r w:rsidRPr="00693892" w:rsidR="004F72E5">
        <w:t xml:space="preserve">.2 </w:t>
      </w:r>
      <w:r w:rsidRPr="00693892">
        <w:t>High</w:t>
      </w:r>
      <w:r w:rsidRPr="00693892" w:rsidR="004779BB">
        <w:t>er</w:t>
      </w:r>
      <w:r w:rsidR="004364FA">
        <w:t xml:space="preserve"> C</w:t>
      </w:r>
      <w:r w:rsidRPr="00693892">
        <w:t>ost Regulatory Alternative</w:t>
      </w:r>
      <w:bookmarkEnd w:id="472"/>
      <w:bookmarkEnd w:id="473"/>
    </w:p>
    <w:p w:rsidR="004B312A" w:rsidP="000E6E0F" w14:paraId="60346191"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sidR="001B169E">
        <w:rPr>
          <w:rFonts w:ascii="Times New Roman" w:hAnsi="Times New Roman" w:cs="Times New Roman"/>
        </w:rPr>
        <w:t>The high</w:t>
      </w:r>
      <w:r w:rsidRPr="00693892" w:rsidR="004779BB">
        <w:rPr>
          <w:rFonts w:ascii="Times New Roman" w:hAnsi="Times New Roman" w:cs="Times New Roman"/>
        </w:rPr>
        <w:t>er</w:t>
      </w:r>
      <w:r w:rsidR="00DD26C0">
        <w:rPr>
          <w:rFonts w:ascii="Times New Roman" w:hAnsi="Times New Roman" w:cs="Times New Roman"/>
        </w:rPr>
        <w:t>-</w:t>
      </w:r>
      <w:r w:rsidRPr="00693892" w:rsidR="001B169E">
        <w:rPr>
          <w:rFonts w:ascii="Times New Roman" w:hAnsi="Times New Roman" w:cs="Times New Roman"/>
        </w:rPr>
        <w:t>cost regulatory alternative</w:t>
      </w:r>
      <w:r w:rsidRPr="00693892" w:rsidR="008D5242">
        <w:rPr>
          <w:rFonts w:ascii="Times New Roman" w:hAnsi="Times New Roman" w:cs="Times New Roman"/>
        </w:rPr>
        <w:t xml:space="preserve"> includes </w:t>
      </w:r>
      <w:r w:rsidRPr="00693892" w:rsidR="00313D7C">
        <w:rPr>
          <w:rFonts w:ascii="Times New Roman" w:hAnsi="Times New Roman" w:cs="Times New Roman"/>
        </w:rPr>
        <w:t xml:space="preserve">more stringent </w:t>
      </w:r>
      <w:r w:rsidRPr="00693892" w:rsidR="00713378">
        <w:rPr>
          <w:rFonts w:ascii="Times New Roman" w:hAnsi="Times New Roman" w:cs="Times New Roman"/>
        </w:rPr>
        <w:t xml:space="preserve">STAA </w:t>
      </w:r>
      <w:r>
        <w:rPr>
          <w:rFonts w:ascii="Times New Roman" w:hAnsi="Times New Roman" w:cs="Times New Roman"/>
        </w:rPr>
        <w:t xml:space="preserve">and </w:t>
      </w:r>
      <w:r w:rsidRPr="00693892">
        <w:rPr>
          <w:rFonts w:ascii="Times New Roman" w:hAnsi="Times New Roman" w:cs="Times New Roman"/>
        </w:rPr>
        <w:t xml:space="preserve">third-party audit </w:t>
      </w:r>
      <w:r w:rsidRPr="00693892" w:rsidR="00713378">
        <w:rPr>
          <w:rFonts w:ascii="Times New Roman" w:hAnsi="Times New Roman" w:cs="Times New Roman"/>
        </w:rPr>
        <w:t>provision</w:t>
      </w:r>
      <w:r w:rsidRPr="00693892" w:rsidR="00603834">
        <w:rPr>
          <w:rFonts w:ascii="Times New Roman" w:hAnsi="Times New Roman" w:cs="Times New Roman"/>
        </w:rPr>
        <w:t>s</w:t>
      </w:r>
      <w:r w:rsidRPr="00693892" w:rsidR="00713378">
        <w:rPr>
          <w:rFonts w:ascii="Times New Roman" w:hAnsi="Times New Roman" w:cs="Times New Roman"/>
        </w:rPr>
        <w:t xml:space="preserve"> </w:t>
      </w:r>
      <w:r w:rsidRPr="00693892" w:rsidR="00313D7C">
        <w:rPr>
          <w:rFonts w:ascii="Times New Roman" w:hAnsi="Times New Roman" w:cs="Times New Roman"/>
        </w:rPr>
        <w:t xml:space="preserve">than the </w:t>
      </w:r>
      <w:r w:rsidR="00D53225">
        <w:rPr>
          <w:rFonts w:ascii="Times New Roman" w:hAnsi="Times New Roman" w:cs="Times New Roman"/>
        </w:rPr>
        <w:t>final</w:t>
      </w:r>
      <w:r w:rsidRPr="00693892" w:rsidR="00D53225">
        <w:rPr>
          <w:rFonts w:ascii="Times New Roman" w:hAnsi="Times New Roman" w:cs="Times New Roman"/>
        </w:rPr>
        <w:t xml:space="preserve"> </w:t>
      </w:r>
      <w:r w:rsidRPr="00693892" w:rsidR="00313D7C">
        <w:rPr>
          <w:rFonts w:ascii="Times New Roman" w:hAnsi="Times New Roman" w:cs="Times New Roman"/>
        </w:rPr>
        <w:t>rule, combined with all other</w:t>
      </w:r>
      <w:r w:rsidR="00B26D2E">
        <w:rPr>
          <w:rFonts w:ascii="Times New Roman" w:hAnsi="Times New Roman" w:cs="Times New Roman"/>
        </w:rPr>
        <w:t xml:space="preserve"> final</w:t>
      </w:r>
      <w:r w:rsidRPr="00693892" w:rsidR="00313D7C">
        <w:rPr>
          <w:rFonts w:ascii="Times New Roman" w:hAnsi="Times New Roman" w:cs="Times New Roman"/>
        </w:rPr>
        <w:t xml:space="preserve"> </w:t>
      </w:r>
      <w:r w:rsidR="00DD26C0">
        <w:rPr>
          <w:rFonts w:ascii="Times New Roman" w:hAnsi="Times New Roman" w:cs="Times New Roman"/>
        </w:rPr>
        <w:t xml:space="preserve">rule </w:t>
      </w:r>
      <w:r w:rsidRPr="00693892" w:rsidR="00313D7C">
        <w:rPr>
          <w:rFonts w:ascii="Times New Roman" w:hAnsi="Times New Roman" w:cs="Times New Roman"/>
        </w:rPr>
        <w:t xml:space="preserve">provisions. </w:t>
      </w:r>
    </w:p>
    <w:p w:rsidR="00112CB6" w:rsidP="000E6E0F" w14:paraId="548FDB54" w14:textId="77777777">
      <w:pPr>
        <w:spacing w:after="0" w:line="240" w:lineRule="auto"/>
        <w:ind w:firstLine="360"/>
        <w:rPr>
          <w:rFonts w:ascii="Times New Roman" w:hAnsi="Times New Roman" w:cs="Times New Roman"/>
        </w:rPr>
      </w:pPr>
      <w:bookmarkStart w:id="474" w:name="_Hlk140516026"/>
    </w:p>
    <w:p w:rsidR="00112CB6" w:rsidRPr="00693892" w:rsidP="00112CB6" w14:paraId="2DDE15AF"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The more stringent STAA provision</w:t>
      </w:r>
      <w:r w:rsidR="0075060C">
        <w:rPr>
          <w:rFonts w:ascii="Times New Roman" w:hAnsi="Times New Roman" w:cs="Times New Roman"/>
        </w:rPr>
        <w:t>s</w:t>
      </w:r>
      <w:r w:rsidRPr="00693892">
        <w:rPr>
          <w:rFonts w:ascii="Times New Roman" w:hAnsi="Times New Roman" w:cs="Times New Roman"/>
        </w:rPr>
        <w:t xml:space="preserve"> </w:t>
      </w:r>
      <w:r w:rsidR="009837FF">
        <w:rPr>
          <w:rFonts w:ascii="Times New Roman" w:hAnsi="Times New Roman" w:cs="Times New Roman"/>
        </w:rPr>
        <w:t>w</w:t>
      </w:r>
      <w:r w:rsidR="00B26D2E">
        <w:rPr>
          <w:rFonts w:ascii="Times New Roman" w:hAnsi="Times New Roman" w:cs="Times New Roman"/>
        </w:rPr>
        <w:t>ould</w:t>
      </w:r>
      <w:r w:rsidRPr="00693892">
        <w:rPr>
          <w:rFonts w:ascii="Times New Roman" w:hAnsi="Times New Roman" w:cs="Times New Roman"/>
        </w:rPr>
        <w:t xml:space="preserve"> require a STAA </w:t>
      </w:r>
      <w:r w:rsidR="0003536C">
        <w:rPr>
          <w:rFonts w:ascii="Times New Roman" w:hAnsi="Times New Roman" w:cs="Times New Roman"/>
        </w:rPr>
        <w:t>initial and practicab</w:t>
      </w:r>
      <w:r w:rsidR="00F13653">
        <w:rPr>
          <w:rFonts w:ascii="Times New Roman" w:hAnsi="Times New Roman" w:cs="Times New Roman"/>
        </w:rPr>
        <w:t xml:space="preserve">ility </w:t>
      </w:r>
      <w:r w:rsidRPr="00693892">
        <w:rPr>
          <w:rFonts w:ascii="Times New Roman" w:hAnsi="Times New Roman" w:cs="Times New Roman"/>
        </w:rPr>
        <w:t xml:space="preserve">analysis </w:t>
      </w:r>
      <w:r w:rsidR="003E6431">
        <w:rPr>
          <w:rFonts w:ascii="Times New Roman" w:hAnsi="Times New Roman" w:cs="Times New Roman"/>
        </w:rPr>
        <w:t>and implementation of a passive-equivalent measure</w:t>
      </w:r>
      <w:r w:rsidRPr="00693892">
        <w:rPr>
          <w:rFonts w:ascii="Times New Roman" w:hAnsi="Times New Roman" w:cs="Times New Roman"/>
        </w:rPr>
        <w:t xml:space="preserve"> for all complex (NAICS 324 or NAICS 325) facilities with a Program 3 process. The unit costs applied to the STAA provision</w:t>
      </w:r>
      <w:r w:rsidR="0075060C">
        <w:rPr>
          <w:rFonts w:ascii="Times New Roman" w:hAnsi="Times New Roman" w:cs="Times New Roman"/>
        </w:rPr>
        <w:t>s</w:t>
      </w:r>
      <w:r w:rsidRPr="00693892">
        <w:rPr>
          <w:rFonts w:ascii="Times New Roman" w:hAnsi="Times New Roman" w:cs="Times New Roman"/>
        </w:rPr>
        <w:t xml:space="preserve"> are consistent with the unit costs presented in Exhibit</w:t>
      </w:r>
      <w:r w:rsidR="0075060C">
        <w:rPr>
          <w:rFonts w:ascii="Times New Roman" w:hAnsi="Times New Roman" w:cs="Times New Roman"/>
        </w:rPr>
        <w:t>s</w:t>
      </w:r>
      <w:r w:rsidRPr="00693892">
        <w:rPr>
          <w:rFonts w:ascii="Times New Roman" w:hAnsi="Times New Roman" w:cs="Times New Roman"/>
        </w:rPr>
        <w:t xml:space="preserve"> 4-5</w:t>
      </w:r>
      <w:r w:rsidR="002B5F8D">
        <w:rPr>
          <w:rFonts w:ascii="Times New Roman" w:hAnsi="Times New Roman" w:cs="Times New Roman"/>
        </w:rPr>
        <w:t xml:space="preserve"> and 4-6</w:t>
      </w:r>
      <w:r w:rsidRPr="00693892">
        <w:rPr>
          <w:rFonts w:ascii="Times New Roman" w:hAnsi="Times New Roman" w:cs="Times New Roman"/>
        </w:rPr>
        <w:t xml:space="preserve">. The total </w:t>
      </w:r>
      <w:r w:rsidR="003360CC">
        <w:rPr>
          <w:rFonts w:ascii="Times New Roman" w:hAnsi="Times New Roman" w:cs="Times New Roman"/>
        </w:rPr>
        <w:t xml:space="preserve">annual </w:t>
      </w:r>
      <w:r w:rsidRPr="00693892">
        <w:rPr>
          <w:rFonts w:ascii="Times New Roman" w:hAnsi="Times New Roman" w:cs="Times New Roman"/>
        </w:rPr>
        <w:t>costs of the high</w:t>
      </w:r>
      <w:r w:rsidR="00B8514C">
        <w:rPr>
          <w:rFonts w:ascii="Times New Roman" w:hAnsi="Times New Roman" w:cs="Times New Roman"/>
        </w:rPr>
        <w:t>er</w:t>
      </w:r>
      <w:r w:rsidR="007B4511">
        <w:rPr>
          <w:rFonts w:ascii="Times New Roman" w:hAnsi="Times New Roman" w:cs="Times New Roman"/>
        </w:rPr>
        <w:t>-</w:t>
      </w:r>
      <w:r w:rsidRPr="00693892">
        <w:rPr>
          <w:rFonts w:ascii="Times New Roman" w:hAnsi="Times New Roman" w:cs="Times New Roman"/>
        </w:rPr>
        <w:t>cost STAA provision</w:t>
      </w:r>
      <w:r w:rsidR="003360CC">
        <w:rPr>
          <w:rFonts w:ascii="Times New Roman" w:hAnsi="Times New Roman" w:cs="Times New Roman"/>
        </w:rPr>
        <w:t>s</w:t>
      </w:r>
      <w:r w:rsidRPr="00693892">
        <w:rPr>
          <w:rFonts w:ascii="Times New Roman" w:hAnsi="Times New Roman" w:cs="Times New Roman"/>
        </w:rPr>
        <w:t xml:space="preserve"> are summarized in Exhibit</w:t>
      </w:r>
      <w:r w:rsidR="003360CC">
        <w:rPr>
          <w:rFonts w:ascii="Times New Roman" w:hAnsi="Times New Roman" w:cs="Times New Roman"/>
        </w:rPr>
        <w:t>s</w:t>
      </w:r>
      <w:r w:rsidRPr="00693892">
        <w:rPr>
          <w:rFonts w:ascii="Times New Roman" w:hAnsi="Times New Roman" w:cs="Times New Roman"/>
        </w:rPr>
        <w:t xml:space="preserve"> 7-</w:t>
      </w:r>
      <w:r w:rsidR="00244D85">
        <w:rPr>
          <w:rFonts w:ascii="Times New Roman" w:hAnsi="Times New Roman" w:cs="Times New Roman"/>
        </w:rPr>
        <w:t>5</w:t>
      </w:r>
      <w:r w:rsidR="003360CC">
        <w:rPr>
          <w:rFonts w:ascii="Times New Roman" w:hAnsi="Times New Roman" w:cs="Times New Roman"/>
        </w:rPr>
        <w:t xml:space="preserve">, </w:t>
      </w:r>
      <w:r w:rsidR="00164B95">
        <w:rPr>
          <w:rFonts w:ascii="Times New Roman" w:hAnsi="Times New Roman" w:cs="Times New Roman"/>
        </w:rPr>
        <w:t>7-6, and 7-7</w:t>
      </w:r>
      <w:r w:rsidRPr="00693892">
        <w:rPr>
          <w:rFonts w:ascii="Times New Roman" w:hAnsi="Times New Roman" w:cs="Times New Roman"/>
        </w:rPr>
        <w:t>.</w:t>
      </w:r>
    </w:p>
    <w:p w:rsidR="00112CB6" w:rsidRPr="00693892" w:rsidP="00112CB6" w14:paraId="3BF2B131" w14:textId="77777777">
      <w:pPr>
        <w:spacing w:after="0" w:line="240" w:lineRule="auto"/>
        <w:ind w:firstLine="720"/>
        <w:rPr>
          <w:rFonts w:ascii="Times New Roman" w:hAnsi="Times New Roman" w:cs="Times New Roman"/>
        </w:rPr>
      </w:pPr>
    </w:p>
    <w:p w:rsidR="00112CB6" w:rsidP="00112CB6" w14:paraId="68847DBD" w14:textId="77777777">
      <w:pPr>
        <w:keepNext/>
        <w:spacing w:after="0" w:line="240" w:lineRule="auto"/>
        <w:jc w:val="center"/>
        <w:rPr>
          <w:rFonts w:ascii="Times New Roman" w:hAnsi="Times New Roman" w:cs="Times New Roman"/>
          <w:b/>
        </w:rPr>
      </w:pPr>
      <w:r w:rsidRPr="00DB1152">
        <w:rPr>
          <w:rFonts w:ascii="Times New Roman" w:hAnsi="Times New Roman" w:cs="Times New Roman"/>
          <w:b/>
        </w:rPr>
        <w:t xml:space="preserve">Exhibit </w:t>
      </w:r>
      <w:r w:rsidRPr="00693892">
        <w:rPr>
          <w:rFonts w:ascii="Times New Roman" w:hAnsi="Times New Roman" w:cs="Times New Roman"/>
          <w:b/>
        </w:rPr>
        <w:t>7-</w:t>
      </w:r>
      <w:r w:rsidR="00244D85">
        <w:rPr>
          <w:rFonts w:ascii="Times New Roman" w:hAnsi="Times New Roman" w:cs="Times New Roman"/>
          <w:b/>
        </w:rPr>
        <w:t>5</w:t>
      </w:r>
      <w:r w:rsidRPr="00693892">
        <w:rPr>
          <w:rFonts w:ascii="Times New Roman" w:hAnsi="Times New Roman" w:cs="Times New Roman"/>
          <w:b/>
        </w:rPr>
        <w:t xml:space="preserve">: Total </w:t>
      </w:r>
      <w:r w:rsidR="00102C01">
        <w:rPr>
          <w:rFonts w:ascii="Times New Roman" w:hAnsi="Times New Roman" w:cs="Times New Roman"/>
          <w:b/>
        </w:rPr>
        <w:t xml:space="preserve">Annual </w:t>
      </w:r>
      <w:r w:rsidRPr="00693892">
        <w:rPr>
          <w:rFonts w:ascii="Times New Roman" w:hAnsi="Times New Roman" w:cs="Times New Roman"/>
          <w:b/>
        </w:rPr>
        <w:t xml:space="preserve">Undiscounted Costs for STAA </w:t>
      </w:r>
      <w:r w:rsidR="00E25B3A">
        <w:rPr>
          <w:rFonts w:ascii="Times New Roman" w:hAnsi="Times New Roman" w:cs="Times New Roman"/>
          <w:b/>
        </w:rPr>
        <w:t>Initial Evaluation</w:t>
      </w:r>
      <w:r w:rsidR="00B20CCA">
        <w:rPr>
          <w:rFonts w:ascii="Times New Roman" w:hAnsi="Times New Roman" w:cs="Times New Roman"/>
          <w:b/>
        </w:rPr>
        <w:t xml:space="preserve"> and </w:t>
      </w:r>
      <w:r w:rsidR="00E25B3A">
        <w:rPr>
          <w:rFonts w:ascii="Times New Roman" w:hAnsi="Times New Roman" w:cs="Times New Roman"/>
          <w:b/>
        </w:rPr>
        <w:t>Practicability Assessment</w:t>
      </w:r>
      <w:r w:rsidR="00B20CCA">
        <w:rPr>
          <w:rFonts w:ascii="Times New Roman" w:hAnsi="Times New Roman" w:cs="Times New Roman"/>
          <w:b/>
        </w:rPr>
        <w:t xml:space="preserve"> </w:t>
      </w:r>
      <w:r w:rsidRPr="00693892">
        <w:rPr>
          <w:rFonts w:ascii="Times New Roman" w:hAnsi="Times New Roman" w:cs="Times New Roman"/>
          <w:b/>
        </w:rPr>
        <w:t>Provision</w:t>
      </w:r>
      <w:r w:rsidR="00240448">
        <w:rPr>
          <w:rFonts w:ascii="Times New Roman" w:hAnsi="Times New Roman" w:cs="Times New Roman"/>
          <w:b/>
        </w:rPr>
        <w:t xml:space="preserve"> </w:t>
      </w:r>
      <w:r w:rsidRPr="00693892">
        <w:rPr>
          <w:rFonts w:ascii="Times New Roman" w:hAnsi="Times New Roman" w:cs="Times New Roman"/>
          <w:b/>
        </w:rPr>
        <w:t>High</w:t>
      </w:r>
      <w:r>
        <w:rPr>
          <w:rFonts w:ascii="Times New Roman" w:hAnsi="Times New Roman" w:cs="Times New Roman"/>
          <w:b/>
        </w:rPr>
        <w:t>er</w:t>
      </w:r>
      <w:r w:rsidR="00022804">
        <w:rPr>
          <w:rFonts w:ascii="Times New Roman" w:hAnsi="Times New Roman" w:cs="Times New Roman"/>
          <w:b/>
        </w:rPr>
        <w:t xml:space="preserve"> C</w:t>
      </w:r>
      <w:r w:rsidRPr="00693892">
        <w:rPr>
          <w:rFonts w:ascii="Times New Roman" w:hAnsi="Times New Roman" w:cs="Times New Roman"/>
          <w:b/>
        </w:rPr>
        <w:t xml:space="preserve">ost Regulatory Alternative </w:t>
      </w:r>
      <w:r>
        <w:rPr>
          <w:rFonts w:ascii="Times New Roman" w:hAnsi="Times New Roman" w:cs="Times New Roman"/>
          <w:b/>
        </w:rPr>
        <w:t>(</w:t>
      </w:r>
      <w:r w:rsidRPr="00693892" w:rsidR="00B00B88">
        <w:rPr>
          <w:rFonts w:ascii="Times New Roman" w:hAnsi="Times New Roman" w:cs="Times New Roman"/>
          <w:b/>
        </w:rPr>
        <w:t>202</w:t>
      </w:r>
      <w:r w:rsidR="00B00B88">
        <w:rPr>
          <w:rFonts w:ascii="Times New Roman" w:hAnsi="Times New Roman" w:cs="Times New Roman"/>
          <w:b/>
        </w:rPr>
        <w:t>2</w:t>
      </w:r>
      <w:r w:rsidRPr="00693892" w:rsidR="00B00B88">
        <w:rPr>
          <w:rFonts w:ascii="Times New Roman" w:hAnsi="Times New Roman" w:cs="Times New Roman"/>
          <w:b/>
        </w:rPr>
        <w:t xml:space="preserve"> </w:t>
      </w:r>
      <w:r w:rsidRPr="00693892">
        <w:rPr>
          <w:rFonts w:ascii="Times New Roman" w:hAnsi="Times New Roman" w:cs="Times New Roman"/>
          <w:b/>
        </w:rPr>
        <w:t>Dollars)</w:t>
      </w:r>
      <w:r>
        <w:rPr>
          <w:rFonts w:ascii="Times New Roman" w:hAnsi="Times New Roman" w:cs="Times New Roman"/>
          <w:b/>
        </w:rPr>
        <w:t>.</w:t>
      </w:r>
    </w:p>
    <w:p w:rsidR="00112CB6" w:rsidRPr="00DB1152" w:rsidP="00112CB6" w14:paraId="3DD8ACCD" w14:textId="77777777">
      <w:pPr>
        <w:keepNext/>
        <w:spacing w:after="0" w:line="240" w:lineRule="auto"/>
        <w:jc w:val="center"/>
        <w:rPr>
          <w:rFonts w:ascii="Times New Roman" w:hAnsi="Times New Roman" w:cs="Times New Roman"/>
          <w:i/>
          <w:color w:val="2F5496" w:themeColor="accent1" w:themeShade="BF"/>
        </w:rPr>
      </w:pPr>
    </w:p>
    <w:tbl>
      <w:tblPr>
        <w:tblW w:w="9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682"/>
        <w:gridCol w:w="1350"/>
        <w:gridCol w:w="1350"/>
        <w:gridCol w:w="1260"/>
        <w:gridCol w:w="1530"/>
        <w:gridCol w:w="1530"/>
      </w:tblGrid>
      <w:tr w14:paraId="0F6ED7C7" w14:textId="77777777" w:rsidTr="00E4358E">
        <w:tblPrEx>
          <w:tblW w:w="9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615"/>
          <w:tblHeader/>
          <w:jc w:val="center"/>
        </w:trPr>
        <w:tc>
          <w:tcPr>
            <w:tcW w:w="2682" w:type="dxa"/>
            <w:tcBorders>
              <w:bottom w:val="single" w:sz="8" w:space="0" w:color="000000"/>
            </w:tcBorders>
            <w:shd w:val="clear" w:color="auto" w:fill="DADADA"/>
            <w:vAlign w:val="center"/>
          </w:tcPr>
          <w:p w:rsidR="00112CB6" w:rsidRPr="00693892" w:rsidP="00E6210A" w14:paraId="3C6A18F4" w14:textId="77777777">
            <w:pPr>
              <w:keepNext/>
              <w:spacing w:after="0" w:line="240" w:lineRule="auto"/>
              <w:ind w:left="163" w:right="79"/>
              <w:jc w:val="center"/>
              <w:rPr>
                <w:rFonts w:ascii="Times New Roman" w:hAnsi="Times New Roman" w:cs="Times New Roman"/>
                <w:b/>
              </w:rPr>
            </w:pPr>
            <w:r w:rsidRPr="00693892">
              <w:rPr>
                <w:rFonts w:ascii="Times New Roman" w:hAnsi="Times New Roman" w:cs="Times New Roman"/>
                <w:b/>
              </w:rPr>
              <w:t>Facility Type</w:t>
            </w:r>
          </w:p>
        </w:tc>
        <w:tc>
          <w:tcPr>
            <w:tcW w:w="1350" w:type="dxa"/>
            <w:tcBorders>
              <w:bottom w:val="single" w:sz="8" w:space="0" w:color="000000"/>
            </w:tcBorders>
            <w:shd w:val="clear" w:color="auto" w:fill="DADADA"/>
            <w:vAlign w:val="center"/>
          </w:tcPr>
          <w:p w:rsidR="00112CB6" w:rsidRPr="00693892" w:rsidP="00E6210A" w14:paraId="4D4C125F" w14:textId="77777777">
            <w:pPr>
              <w:keepNext/>
              <w:spacing w:after="0" w:line="240" w:lineRule="auto"/>
              <w:ind w:left="93" w:right="57"/>
              <w:jc w:val="center"/>
              <w:rPr>
                <w:rFonts w:ascii="Times New Roman" w:hAnsi="Times New Roman" w:cs="Times New Roman"/>
                <w:b/>
              </w:rPr>
            </w:pPr>
            <w:r w:rsidRPr="00693892">
              <w:rPr>
                <w:rFonts w:ascii="Times New Roman" w:hAnsi="Times New Roman" w:cs="Times New Roman"/>
                <w:b/>
              </w:rPr>
              <w:t>Annual Frequency</w:t>
            </w:r>
          </w:p>
        </w:tc>
        <w:tc>
          <w:tcPr>
            <w:tcW w:w="1350" w:type="dxa"/>
            <w:tcBorders>
              <w:bottom w:val="single" w:sz="8" w:space="0" w:color="000000"/>
            </w:tcBorders>
            <w:shd w:val="clear" w:color="auto" w:fill="DADADA"/>
            <w:vAlign w:val="center"/>
          </w:tcPr>
          <w:p w:rsidR="00112CB6" w:rsidRPr="00693892" w:rsidP="00E6210A" w14:paraId="7A699628" w14:textId="77777777">
            <w:pPr>
              <w:keepNext/>
              <w:spacing w:after="0" w:line="240" w:lineRule="auto"/>
              <w:jc w:val="center"/>
              <w:rPr>
                <w:rFonts w:ascii="Times New Roman" w:hAnsi="Times New Roman" w:cs="Times New Roman"/>
                <w:b/>
              </w:rPr>
            </w:pPr>
            <w:r w:rsidRPr="00693892">
              <w:rPr>
                <w:rFonts w:ascii="Times New Roman" w:hAnsi="Times New Roman" w:cs="Times New Roman"/>
                <w:b/>
              </w:rPr>
              <w:t>Unit Cost</w:t>
            </w:r>
          </w:p>
        </w:tc>
        <w:tc>
          <w:tcPr>
            <w:tcW w:w="1260" w:type="dxa"/>
            <w:tcBorders>
              <w:bottom w:val="single" w:sz="8" w:space="0" w:color="000000"/>
            </w:tcBorders>
            <w:shd w:val="clear" w:color="auto" w:fill="DADADA"/>
            <w:vAlign w:val="center"/>
          </w:tcPr>
          <w:p w:rsidR="00112CB6" w:rsidRPr="00693892" w:rsidP="00E6210A" w14:paraId="3FB27FF5" w14:textId="77777777">
            <w:pPr>
              <w:keepNext/>
              <w:spacing w:after="0" w:line="240" w:lineRule="auto"/>
              <w:ind w:left="98" w:right="76"/>
              <w:jc w:val="center"/>
              <w:rPr>
                <w:rFonts w:ascii="Times New Roman" w:hAnsi="Times New Roman" w:cs="Times New Roman"/>
                <w:b/>
              </w:rPr>
            </w:pPr>
            <w:r>
              <w:rPr>
                <w:rFonts w:ascii="Times New Roman" w:hAnsi="Times New Roman" w:cs="Times New Roman"/>
                <w:b/>
              </w:rPr>
              <w:t>Units</w:t>
            </w:r>
          </w:p>
        </w:tc>
        <w:tc>
          <w:tcPr>
            <w:tcW w:w="1530" w:type="dxa"/>
            <w:tcBorders>
              <w:bottom w:val="single" w:sz="8" w:space="0" w:color="000000"/>
            </w:tcBorders>
            <w:shd w:val="clear" w:color="auto" w:fill="DADADA"/>
            <w:vAlign w:val="center"/>
          </w:tcPr>
          <w:p w:rsidR="00AC03F6" w:rsidRPr="00693892" w:rsidP="00AC03F6" w14:paraId="3DE3A48F" w14:textId="77777777">
            <w:pPr>
              <w:keepNext/>
              <w:spacing w:after="0" w:line="240" w:lineRule="auto"/>
              <w:ind w:left="91" w:right="55"/>
              <w:jc w:val="center"/>
              <w:rPr>
                <w:rFonts w:ascii="Times New Roman" w:hAnsi="Times New Roman" w:cs="Times New Roman"/>
                <w:b/>
              </w:rPr>
            </w:pPr>
            <w:r w:rsidRPr="00693892">
              <w:rPr>
                <w:rFonts w:ascii="Times New Roman" w:hAnsi="Times New Roman" w:cs="Times New Roman"/>
                <w:b/>
              </w:rPr>
              <w:t>Total Initial Cost</w:t>
            </w:r>
          </w:p>
        </w:tc>
        <w:tc>
          <w:tcPr>
            <w:tcW w:w="1530" w:type="dxa"/>
            <w:tcBorders>
              <w:bottom w:val="single" w:sz="8" w:space="0" w:color="000000"/>
            </w:tcBorders>
            <w:shd w:val="clear" w:color="auto" w:fill="DADADA"/>
            <w:vAlign w:val="center"/>
          </w:tcPr>
          <w:p w:rsidR="00112CB6" w:rsidRPr="00693892" w:rsidP="00E6210A" w14:paraId="612CD185" w14:textId="77777777">
            <w:pPr>
              <w:keepNext/>
              <w:spacing w:after="0" w:line="240" w:lineRule="auto"/>
              <w:ind w:left="91" w:right="55"/>
              <w:jc w:val="center"/>
              <w:rPr>
                <w:rFonts w:ascii="Times New Roman" w:hAnsi="Times New Roman" w:cs="Times New Roman"/>
                <w:b/>
              </w:rPr>
            </w:pPr>
            <w:r w:rsidRPr="00693892">
              <w:rPr>
                <w:rFonts w:ascii="Times New Roman" w:hAnsi="Times New Roman" w:cs="Times New Roman"/>
                <w:b/>
              </w:rPr>
              <w:t xml:space="preserve">Total </w:t>
            </w:r>
            <w:r w:rsidR="00D92FAE">
              <w:rPr>
                <w:rFonts w:ascii="Times New Roman" w:hAnsi="Times New Roman" w:cs="Times New Roman"/>
                <w:b/>
              </w:rPr>
              <w:t>Year 6</w:t>
            </w:r>
            <w:r w:rsidRPr="00693892">
              <w:rPr>
                <w:rFonts w:ascii="Times New Roman" w:hAnsi="Times New Roman" w:cs="Times New Roman"/>
                <w:b/>
              </w:rPr>
              <w:t xml:space="preserve"> Cost</w:t>
            </w:r>
          </w:p>
        </w:tc>
      </w:tr>
      <w:tr w14:paraId="236A6AC5" w14:textId="77777777" w:rsidTr="00E4358E">
        <w:tblPrEx>
          <w:tblW w:w="9702" w:type="dxa"/>
          <w:jc w:val="center"/>
          <w:tblLayout w:type="fixed"/>
          <w:tblCellMar>
            <w:left w:w="0" w:type="dxa"/>
            <w:right w:w="0" w:type="dxa"/>
          </w:tblCellMar>
          <w:tblLook w:val="01E0"/>
        </w:tblPrEx>
        <w:trPr>
          <w:trHeight w:val="295"/>
          <w:jc w:val="center"/>
        </w:trPr>
        <w:tc>
          <w:tcPr>
            <w:tcW w:w="9702" w:type="dxa"/>
            <w:gridSpan w:val="6"/>
            <w:tcBorders>
              <w:top w:val="single" w:sz="8" w:space="0" w:color="000000"/>
              <w:bottom w:val="single" w:sz="8" w:space="0" w:color="000000"/>
            </w:tcBorders>
            <w:shd w:val="clear" w:color="auto" w:fill="F2F2F2"/>
          </w:tcPr>
          <w:p w:rsidR="00112CB6" w:rsidRPr="00693892" w:rsidP="00E6210A" w14:paraId="2A589575" w14:textId="77777777">
            <w:pPr>
              <w:keepNext/>
              <w:spacing w:after="0" w:line="240" w:lineRule="auto"/>
              <w:ind w:left="163" w:right="3375"/>
              <w:rPr>
                <w:rFonts w:ascii="Times New Roman" w:hAnsi="Times New Roman" w:cs="Times New Roman"/>
                <w:b/>
              </w:rPr>
            </w:pPr>
            <w:r>
              <w:rPr>
                <w:rFonts w:ascii="Times New Roman" w:hAnsi="Times New Roman" w:cs="Times New Roman"/>
                <w:b/>
              </w:rPr>
              <w:t>Initial Evaluation</w:t>
            </w:r>
          </w:p>
        </w:tc>
      </w:tr>
      <w:tr w14:paraId="381F8CD9" w14:textId="77777777" w:rsidTr="00E4358E">
        <w:tblPrEx>
          <w:tblW w:w="9702" w:type="dxa"/>
          <w:jc w:val="center"/>
          <w:tblLayout w:type="fixed"/>
          <w:tblCellMar>
            <w:left w:w="0" w:type="dxa"/>
            <w:right w:w="0" w:type="dxa"/>
          </w:tblCellMar>
          <w:tblLook w:val="01E0"/>
        </w:tblPrEx>
        <w:trPr>
          <w:trHeight w:val="282"/>
          <w:jc w:val="center"/>
        </w:trPr>
        <w:tc>
          <w:tcPr>
            <w:tcW w:w="2682" w:type="dxa"/>
            <w:tcBorders>
              <w:top w:val="single" w:sz="8" w:space="0" w:color="000000"/>
            </w:tcBorders>
          </w:tcPr>
          <w:p w:rsidR="00CA2A5F" w:rsidRPr="00693892" w:rsidP="00CA2A5F" w14:paraId="448EC30F" w14:textId="77777777">
            <w:pPr>
              <w:keepNext/>
              <w:spacing w:after="0" w:line="240" w:lineRule="auto"/>
              <w:ind w:left="112"/>
              <w:rPr>
                <w:rFonts w:ascii="Times New Roman" w:hAnsi="Times New Roman" w:cs="Times New Roman"/>
              </w:rPr>
            </w:pPr>
            <w:r w:rsidRPr="00693892">
              <w:rPr>
                <w:rFonts w:ascii="Times New Roman" w:hAnsi="Times New Roman" w:cs="Times New Roman"/>
              </w:rPr>
              <w:t>Refineries</w:t>
            </w:r>
          </w:p>
        </w:tc>
        <w:tc>
          <w:tcPr>
            <w:tcW w:w="1350" w:type="dxa"/>
            <w:tcBorders>
              <w:top w:val="single" w:sz="8" w:space="0" w:color="000000"/>
            </w:tcBorders>
          </w:tcPr>
          <w:p w:rsidR="00CA2A5F" w:rsidRPr="00693892" w:rsidP="00CA2A5F" w14:paraId="33DDF8D5" w14:textId="77777777">
            <w:pPr>
              <w:keepNext/>
              <w:spacing w:after="0" w:line="240" w:lineRule="auto"/>
              <w:ind w:left="93" w:right="62"/>
              <w:jc w:val="center"/>
              <w:rPr>
                <w:rFonts w:ascii="Times New Roman" w:hAnsi="Times New Roman" w:cs="Times New Roman"/>
              </w:rPr>
            </w:pPr>
            <w:r w:rsidRPr="00693892">
              <w:rPr>
                <w:rFonts w:ascii="Times New Roman" w:hAnsi="Times New Roman" w:cs="Times New Roman"/>
              </w:rPr>
              <w:t>0.2</w:t>
            </w:r>
          </w:p>
        </w:tc>
        <w:tc>
          <w:tcPr>
            <w:tcW w:w="1350" w:type="dxa"/>
            <w:tcBorders>
              <w:top w:val="single" w:sz="8" w:space="0" w:color="000000"/>
            </w:tcBorders>
          </w:tcPr>
          <w:p w:rsidR="00CA2A5F" w:rsidRPr="00693892" w:rsidP="00CA2A5F" w14:paraId="659FC9CF" w14:textId="2D3D9763">
            <w:pPr>
              <w:keepNext/>
              <w:spacing w:after="0" w:line="240" w:lineRule="auto"/>
              <w:ind w:left="247"/>
              <w:jc w:val="center"/>
              <w:rPr>
                <w:rFonts w:ascii="Times New Roman" w:hAnsi="Times New Roman" w:cs="Times New Roman"/>
              </w:rPr>
            </w:pPr>
            <w:r w:rsidRPr="00693892">
              <w:rPr>
                <w:rFonts w:ascii="Times New Roman" w:hAnsi="Times New Roman" w:cs="Times New Roman"/>
              </w:rPr>
              <w:t>$7</w:t>
            </w:r>
            <w:r>
              <w:rPr>
                <w:rFonts w:ascii="Times New Roman" w:hAnsi="Times New Roman" w:cs="Times New Roman"/>
              </w:rPr>
              <w:t>3,149</w:t>
            </w:r>
          </w:p>
        </w:tc>
        <w:tc>
          <w:tcPr>
            <w:tcW w:w="1260" w:type="dxa"/>
            <w:tcBorders>
              <w:top w:val="single" w:sz="8" w:space="0" w:color="000000"/>
            </w:tcBorders>
          </w:tcPr>
          <w:p w:rsidR="00CA2A5F" w:rsidRPr="00693892" w:rsidP="00CA2A5F" w14:paraId="3E0E0083" w14:textId="14EF45DA">
            <w:pPr>
              <w:keepNext/>
              <w:spacing w:after="0" w:line="240" w:lineRule="auto"/>
              <w:ind w:left="98" w:right="69"/>
              <w:jc w:val="center"/>
              <w:rPr>
                <w:rFonts w:ascii="Times New Roman" w:hAnsi="Times New Roman" w:cs="Times New Roman"/>
              </w:rPr>
            </w:pPr>
            <w:r w:rsidRPr="00693892">
              <w:rPr>
                <w:rFonts w:ascii="Times New Roman" w:hAnsi="Times New Roman" w:cs="Times New Roman"/>
              </w:rPr>
              <w:t>1,</w:t>
            </w:r>
            <w:r>
              <w:rPr>
                <w:rFonts w:ascii="Times New Roman" w:hAnsi="Times New Roman" w:cs="Times New Roman"/>
              </w:rPr>
              <w:t>535</w:t>
            </w:r>
          </w:p>
        </w:tc>
        <w:tc>
          <w:tcPr>
            <w:tcW w:w="1530" w:type="dxa"/>
            <w:tcBorders>
              <w:top w:val="single" w:sz="8" w:space="0" w:color="000000"/>
            </w:tcBorders>
            <w:vAlign w:val="bottom"/>
          </w:tcPr>
          <w:p w:rsidR="00CA2A5F" w:rsidRPr="00693892" w:rsidP="00CA2A5F" w14:paraId="3A367429" w14:textId="471845FA">
            <w:pPr>
              <w:keepNext/>
              <w:spacing w:after="0" w:line="240" w:lineRule="auto"/>
              <w:ind w:left="84" w:right="55"/>
              <w:jc w:val="center"/>
              <w:rPr>
                <w:rFonts w:ascii="Times New Roman" w:hAnsi="Times New Roman" w:cs="Times New Roman"/>
                <w:color w:val="000000"/>
              </w:rPr>
            </w:pPr>
            <w:r w:rsidRPr="00693892">
              <w:rPr>
                <w:rFonts w:ascii="Times New Roman" w:hAnsi="Times New Roman" w:cs="Times New Roman"/>
                <w:color w:val="000000"/>
              </w:rPr>
              <w:t>$</w:t>
            </w:r>
            <w:r>
              <w:rPr>
                <w:rFonts w:ascii="Times New Roman" w:hAnsi="Times New Roman" w:cs="Times New Roman"/>
                <w:color w:val="000000"/>
              </w:rPr>
              <w:t>22,456,638</w:t>
            </w:r>
          </w:p>
        </w:tc>
        <w:tc>
          <w:tcPr>
            <w:tcW w:w="1530" w:type="dxa"/>
            <w:tcBorders>
              <w:top w:val="single" w:sz="8" w:space="0" w:color="000000"/>
            </w:tcBorders>
            <w:vAlign w:val="bottom"/>
          </w:tcPr>
          <w:p w:rsidR="00CA2A5F" w:rsidRPr="00693892" w:rsidP="00CA2A5F" w14:paraId="5613292D" w14:textId="09417359">
            <w:pPr>
              <w:keepNext/>
              <w:spacing w:after="0" w:line="240" w:lineRule="auto"/>
              <w:ind w:left="84" w:right="55"/>
              <w:jc w:val="center"/>
              <w:rPr>
                <w:rFonts w:ascii="Times New Roman" w:hAnsi="Times New Roman" w:cs="Times New Roman"/>
              </w:rPr>
            </w:pPr>
            <w:r w:rsidRPr="00693892">
              <w:rPr>
                <w:rFonts w:ascii="Times New Roman" w:hAnsi="Times New Roman" w:cs="Times New Roman"/>
                <w:color w:val="000000"/>
              </w:rPr>
              <w:t>$</w:t>
            </w:r>
            <w:r>
              <w:rPr>
                <w:rFonts w:ascii="Times New Roman" w:hAnsi="Times New Roman" w:cs="Times New Roman"/>
                <w:color w:val="000000"/>
              </w:rPr>
              <w:t>4,042,195</w:t>
            </w:r>
          </w:p>
        </w:tc>
      </w:tr>
      <w:tr w14:paraId="3BF36F46" w14:textId="77777777" w:rsidTr="00E4358E">
        <w:tblPrEx>
          <w:tblW w:w="9702" w:type="dxa"/>
          <w:jc w:val="center"/>
          <w:tblLayout w:type="fixed"/>
          <w:tblCellMar>
            <w:left w:w="0" w:type="dxa"/>
            <w:right w:w="0" w:type="dxa"/>
          </w:tblCellMar>
          <w:tblLook w:val="01E0"/>
        </w:tblPrEx>
        <w:trPr>
          <w:trHeight w:val="285"/>
          <w:jc w:val="center"/>
        </w:trPr>
        <w:tc>
          <w:tcPr>
            <w:tcW w:w="2682" w:type="dxa"/>
          </w:tcPr>
          <w:p w:rsidR="00CA2A5F" w:rsidRPr="00693892" w:rsidP="00CA2A5F" w14:paraId="2D6B3115" w14:textId="77777777">
            <w:pPr>
              <w:spacing w:after="0" w:line="240" w:lineRule="auto"/>
              <w:ind w:left="112"/>
              <w:rPr>
                <w:rFonts w:ascii="Times New Roman" w:hAnsi="Times New Roman" w:cs="Times New Roman"/>
              </w:rPr>
            </w:pPr>
            <w:r w:rsidRPr="00693892">
              <w:rPr>
                <w:rFonts w:ascii="Times New Roman" w:hAnsi="Times New Roman" w:cs="Times New Roman"/>
              </w:rPr>
              <w:t>Chemical Manufacturers</w:t>
            </w:r>
          </w:p>
        </w:tc>
        <w:tc>
          <w:tcPr>
            <w:tcW w:w="1350" w:type="dxa"/>
          </w:tcPr>
          <w:p w:rsidR="00CA2A5F" w:rsidRPr="00693892" w:rsidP="00CA2A5F" w14:paraId="0446BAB7" w14:textId="77777777">
            <w:pPr>
              <w:spacing w:after="0" w:line="240" w:lineRule="auto"/>
              <w:ind w:left="93" w:right="62"/>
              <w:jc w:val="center"/>
              <w:rPr>
                <w:rFonts w:ascii="Times New Roman" w:hAnsi="Times New Roman" w:cs="Times New Roman"/>
              </w:rPr>
            </w:pPr>
            <w:r w:rsidRPr="00693892">
              <w:rPr>
                <w:rFonts w:ascii="Times New Roman" w:hAnsi="Times New Roman" w:cs="Times New Roman"/>
              </w:rPr>
              <w:t>0.2</w:t>
            </w:r>
          </w:p>
        </w:tc>
        <w:tc>
          <w:tcPr>
            <w:tcW w:w="1350" w:type="dxa"/>
          </w:tcPr>
          <w:p w:rsidR="00CA2A5F" w:rsidRPr="00693892" w:rsidP="00CA2A5F" w14:paraId="2875A7EB" w14:textId="2EF2C38C">
            <w:pPr>
              <w:spacing w:after="0" w:line="240" w:lineRule="auto"/>
              <w:ind w:left="247"/>
              <w:jc w:val="center"/>
              <w:rPr>
                <w:rFonts w:ascii="Times New Roman" w:hAnsi="Times New Roman" w:cs="Times New Roman"/>
              </w:rPr>
            </w:pPr>
            <w:r w:rsidRPr="00693892">
              <w:rPr>
                <w:rFonts w:ascii="Times New Roman" w:hAnsi="Times New Roman" w:cs="Times New Roman"/>
              </w:rPr>
              <w:t>$1</w:t>
            </w:r>
            <w:r>
              <w:rPr>
                <w:rFonts w:ascii="Times New Roman" w:hAnsi="Times New Roman" w:cs="Times New Roman"/>
              </w:rPr>
              <w:t>3,284</w:t>
            </w:r>
          </w:p>
        </w:tc>
        <w:tc>
          <w:tcPr>
            <w:tcW w:w="1260" w:type="dxa"/>
          </w:tcPr>
          <w:p w:rsidR="00CA2A5F" w:rsidRPr="00693892" w:rsidP="00CA2A5F" w14:paraId="44B7A701" w14:textId="0D651BC2">
            <w:pPr>
              <w:spacing w:after="0" w:line="240" w:lineRule="auto"/>
              <w:ind w:left="98" w:right="69"/>
              <w:jc w:val="center"/>
              <w:rPr>
                <w:rFonts w:ascii="Times New Roman" w:hAnsi="Times New Roman" w:cs="Times New Roman"/>
              </w:rPr>
            </w:pPr>
            <w:r w:rsidRPr="00693892">
              <w:rPr>
                <w:rFonts w:ascii="Times New Roman" w:hAnsi="Times New Roman" w:cs="Times New Roman"/>
              </w:rPr>
              <w:t>2,</w:t>
            </w:r>
            <w:r>
              <w:rPr>
                <w:rFonts w:ascii="Times New Roman" w:hAnsi="Times New Roman" w:cs="Times New Roman"/>
              </w:rPr>
              <w:t>799</w:t>
            </w:r>
          </w:p>
        </w:tc>
        <w:tc>
          <w:tcPr>
            <w:tcW w:w="1530" w:type="dxa"/>
            <w:vAlign w:val="bottom"/>
          </w:tcPr>
          <w:p w:rsidR="00CA2A5F" w:rsidRPr="00693892" w:rsidP="00CA2A5F" w14:paraId="548EB9E3" w14:textId="7AE693C0">
            <w:pPr>
              <w:spacing w:after="0" w:line="240" w:lineRule="auto"/>
              <w:ind w:left="69" w:right="55"/>
              <w:jc w:val="center"/>
              <w:rPr>
                <w:rFonts w:ascii="Times New Roman" w:hAnsi="Times New Roman" w:cs="Times New Roman"/>
                <w:color w:val="000000"/>
              </w:rPr>
            </w:pPr>
            <w:r w:rsidRPr="00693892">
              <w:rPr>
                <w:rFonts w:ascii="Times New Roman" w:hAnsi="Times New Roman" w:cs="Times New Roman"/>
                <w:color w:val="000000"/>
              </w:rPr>
              <w:t>$</w:t>
            </w:r>
            <w:r>
              <w:rPr>
                <w:rFonts w:ascii="Times New Roman" w:hAnsi="Times New Roman" w:cs="Times New Roman"/>
                <w:color w:val="000000"/>
              </w:rPr>
              <w:t>7,436,475</w:t>
            </w:r>
          </w:p>
        </w:tc>
        <w:tc>
          <w:tcPr>
            <w:tcW w:w="1530" w:type="dxa"/>
            <w:vAlign w:val="bottom"/>
          </w:tcPr>
          <w:p w:rsidR="00CA2A5F" w:rsidRPr="00693892" w:rsidP="00CA2A5F" w14:paraId="027E2238" w14:textId="7ABF2861">
            <w:pPr>
              <w:spacing w:after="0" w:line="240" w:lineRule="auto"/>
              <w:ind w:left="69" w:right="55"/>
              <w:jc w:val="center"/>
              <w:rPr>
                <w:rFonts w:ascii="Times New Roman" w:hAnsi="Times New Roman" w:cs="Times New Roman"/>
              </w:rPr>
            </w:pPr>
            <w:r w:rsidRPr="00693892">
              <w:rPr>
                <w:rFonts w:ascii="Times New Roman" w:hAnsi="Times New Roman" w:cs="Times New Roman"/>
                <w:color w:val="000000"/>
              </w:rPr>
              <w:t>$</w:t>
            </w:r>
            <w:r>
              <w:rPr>
                <w:rFonts w:ascii="Times New Roman" w:hAnsi="Times New Roman" w:cs="Times New Roman"/>
                <w:color w:val="000000"/>
              </w:rPr>
              <w:t>1,338,565</w:t>
            </w:r>
          </w:p>
        </w:tc>
      </w:tr>
      <w:tr w14:paraId="774CFCD8" w14:textId="77777777" w:rsidTr="00E4358E">
        <w:tblPrEx>
          <w:tblW w:w="9702" w:type="dxa"/>
          <w:jc w:val="center"/>
          <w:tblLayout w:type="fixed"/>
          <w:tblCellMar>
            <w:left w:w="0" w:type="dxa"/>
            <w:right w:w="0" w:type="dxa"/>
          </w:tblCellMar>
          <w:tblLook w:val="01E0"/>
        </w:tblPrEx>
        <w:trPr>
          <w:trHeight w:val="285"/>
          <w:jc w:val="center"/>
        </w:trPr>
        <w:tc>
          <w:tcPr>
            <w:tcW w:w="2682" w:type="dxa"/>
          </w:tcPr>
          <w:p w:rsidR="00CA2A5F" w:rsidRPr="00693892" w:rsidP="00CA2A5F" w14:paraId="05009B5D" w14:textId="77777777">
            <w:pPr>
              <w:spacing w:after="0" w:line="240" w:lineRule="auto"/>
              <w:ind w:left="112"/>
              <w:rPr>
                <w:rFonts w:ascii="Times New Roman" w:hAnsi="Times New Roman" w:cs="Times New Roman"/>
                <w:b/>
              </w:rPr>
            </w:pPr>
            <w:r w:rsidRPr="00693892">
              <w:rPr>
                <w:rFonts w:ascii="Times New Roman" w:hAnsi="Times New Roman" w:cs="Times New Roman"/>
                <w:b/>
              </w:rPr>
              <w:t>Subtotal</w:t>
            </w:r>
          </w:p>
        </w:tc>
        <w:tc>
          <w:tcPr>
            <w:tcW w:w="1350" w:type="dxa"/>
          </w:tcPr>
          <w:p w:rsidR="00CA2A5F" w:rsidRPr="00693892" w:rsidP="00CA2A5F" w14:paraId="0354FB7B" w14:textId="77777777">
            <w:pPr>
              <w:spacing w:after="0" w:line="240" w:lineRule="auto"/>
              <w:ind w:left="93" w:right="62"/>
              <w:jc w:val="center"/>
              <w:rPr>
                <w:rFonts w:ascii="Times New Roman" w:hAnsi="Times New Roman" w:cs="Times New Roman"/>
                <w:b/>
              </w:rPr>
            </w:pPr>
          </w:p>
        </w:tc>
        <w:tc>
          <w:tcPr>
            <w:tcW w:w="1350" w:type="dxa"/>
          </w:tcPr>
          <w:p w:rsidR="00CA2A5F" w:rsidRPr="00693892" w:rsidP="00CA2A5F" w14:paraId="6E40561A" w14:textId="77777777">
            <w:pPr>
              <w:spacing w:after="0" w:line="240" w:lineRule="auto"/>
              <w:ind w:left="247"/>
              <w:jc w:val="center"/>
              <w:rPr>
                <w:rFonts w:ascii="Times New Roman" w:hAnsi="Times New Roman" w:cs="Times New Roman"/>
                <w:b/>
              </w:rPr>
            </w:pPr>
          </w:p>
        </w:tc>
        <w:tc>
          <w:tcPr>
            <w:tcW w:w="1260" w:type="dxa"/>
          </w:tcPr>
          <w:p w:rsidR="00CA2A5F" w:rsidRPr="00693892" w:rsidP="00CA2A5F" w14:paraId="35341B09" w14:textId="127D065B">
            <w:pPr>
              <w:spacing w:after="0" w:line="240" w:lineRule="auto"/>
              <w:ind w:left="98" w:right="69"/>
              <w:jc w:val="center"/>
              <w:rPr>
                <w:rFonts w:ascii="Times New Roman" w:hAnsi="Times New Roman" w:cs="Times New Roman"/>
                <w:b/>
              </w:rPr>
            </w:pPr>
            <w:r w:rsidRPr="00693892">
              <w:rPr>
                <w:rFonts w:ascii="Times New Roman" w:hAnsi="Times New Roman" w:cs="Times New Roman"/>
                <w:b/>
              </w:rPr>
              <w:t>4,</w:t>
            </w:r>
            <w:r>
              <w:rPr>
                <w:rFonts w:ascii="Times New Roman" w:hAnsi="Times New Roman" w:cs="Times New Roman"/>
                <w:b/>
              </w:rPr>
              <w:t>334</w:t>
            </w:r>
          </w:p>
        </w:tc>
        <w:tc>
          <w:tcPr>
            <w:tcW w:w="1530" w:type="dxa"/>
            <w:vAlign w:val="bottom"/>
          </w:tcPr>
          <w:p w:rsidR="00CA2A5F" w:rsidRPr="00693892" w:rsidP="00CA2A5F" w14:paraId="2AFDEEEE" w14:textId="278453A7">
            <w:pPr>
              <w:spacing w:after="0" w:line="240" w:lineRule="auto"/>
              <w:ind w:left="69" w:right="55"/>
              <w:jc w:val="center"/>
              <w:rPr>
                <w:rFonts w:ascii="Times New Roman" w:hAnsi="Times New Roman" w:cs="Times New Roman"/>
                <w:b/>
                <w:color w:val="000000"/>
              </w:rPr>
            </w:pPr>
            <w:r w:rsidRPr="00693892">
              <w:rPr>
                <w:rFonts w:ascii="Times New Roman" w:hAnsi="Times New Roman" w:cs="Times New Roman"/>
                <w:b/>
                <w:color w:val="000000"/>
              </w:rPr>
              <w:t>$</w:t>
            </w:r>
            <w:r>
              <w:rPr>
                <w:rFonts w:ascii="Times New Roman" w:hAnsi="Times New Roman" w:cs="Times New Roman"/>
                <w:b/>
                <w:color w:val="000000"/>
              </w:rPr>
              <w:t>29,893,113</w:t>
            </w:r>
          </w:p>
        </w:tc>
        <w:tc>
          <w:tcPr>
            <w:tcW w:w="1530" w:type="dxa"/>
            <w:vAlign w:val="bottom"/>
          </w:tcPr>
          <w:p w:rsidR="00CA2A5F" w:rsidRPr="00693892" w:rsidP="00CA2A5F" w14:paraId="6AC3DEF3" w14:textId="1A89E6B1">
            <w:pPr>
              <w:spacing w:after="0" w:line="240" w:lineRule="auto"/>
              <w:ind w:left="69" w:right="55"/>
              <w:jc w:val="center"/>
              <w:rPr>
                <w:rFonts w:ascii="Times New Roman" w:hAnsi="Times New Roman" w:cs="Times New Roman"/>
                <w:b/>
              </w:rPr>
            </w:pPr>
            <w:r w:rsidRPr="00693892">
              <w:rPr>
                <w:rFonts w:ascii="Times New Roman" w:hAnsi="Times New Roman" w:cs="Times New Roman"/>
                <w:b/>
                <w:color w:val="000000"/>
              </w:rPr>
              <w:t>$</w:t>
            </w:r>
            <w:r>
              <w:rPr>
                <w:rFonts w:ascii="Times New Roman" w:hAnsi="Times New Roman" w:cs="Times New Roman"/>
                <w:b/>
                <w:color w:val="000000"/>
              </w:rPr>
              <w:t>5,380,760</w:t>
            </w:r>
          </w:p>
        </w:tc>
      </w:tr>
      <w:tr w14:paraId="3D35ED18" w14:textId="77777777" w:rsidTr="00E4358E">
        <w:tblPrEx>
          <w:tblW w:w="9702" w:type="dxa"/>
          <w:jc w:val="center"/>
          <w:tblLayout w:type="fixed"/>
          <w:tblCellMar>
            <w:left w:w="0" w:type="dxa"/>
            <w:right w:w="0" w:type="dxa"/>
          </w:tblCellMar>
          <w:tblLook w:val="01E0"/>
        </w:tblPrEx>
        <w:trPr>
          <w:trHeight w:val="285"/>
          <w:jc w:val="center"/>
        </w:trPr>
        <w:tc>
          <w:tcPr>
            <w:tcW w:w="9702" w:type="dxa"/>
            <w:gridSpan w:val="6"/>
            <w:shd w:val="clear" w:color="auto" w:fill="F2F2F2"/>
          </w:tcPr>
          <w:p w:rsidR="00112CB6" w:rsidRPr="00693892" w:rsidP="00E6210A" w14:paraId="5F8CF23D" w14:textId="77777777">
            <w:pPr>
              <w:spacing w:after="0" w:line="240" w:lineRule="auto"/>
              <w:ind w:left="83" w:right="51"/>
              <w:rPr>
                <w:rFonts w:ascii="Times New Roman" w:hAnsi="Times New Roman" w:cs="Times New Roman"/>
              </w:rPr>
            </w:pPr>
            <w:r w:rsidRPr="00693892">
              <w:rPr>
                <w:rFonts w:ascii="Times New Roman" w:hAnsi="Times New Roman" w:cs="Times New Roman"/>
                <w:b/>
              </w:rPr>
              <w:t>Practicability Analysis</w:t>
            </w:r>
          </w:p>
        </w:tc>
      </w:tr>
      <w:tr w14:paraId="721E242D" w14:textId="77777777" w:rsidTr="00E4358E">
        <w:tblPrEx>
          <w:tblW w:w="9702" w:type="dxa"/>
          <w:jc w:val="center"/>
          <w:tblLayout w:type="fixed"/>
          <w:tblCellMar>
            <w:left w:w="0" w:type="dxa"/>
            <w:right w:w="0" w:type="dxa"/>
          </w:tblCellMar>
          <w:tblLook w:val="01E0"/>
        </w:tblPrEx>
        <w:trPr>
          <w:trHeight w:val="300"/>
          <w:jc w:val="center"/>
        </w:trPr>
        <w:tc>
          <w:tcPr>
            <w:tcW w:w="2682" w:type="dxa"/>
          </w:tcPr>
          <w:p w:rsidR="004A5638" w:rsidRPr="00693892" w:rsidP="004A5638" w14:paraId="58D590E0" w14:textId="77777777">
            <w:pPr>
              <w:spacing w:after="0" w:line="240" w:lineRule="auto"/>
              <w:ind w:left="112"/>
              <w:rPr>
                <w:rFonts w:ascii="Times New Roman" w:hAnsi="Times New Roman" w:cs="Times New Roman"/>
              </w:rPr>
            </w:pPr>
            <w:r w:rsidRPr="00693892">
              <w:rPr>
                <w:rFonts w:ascii="Times New Roman" w:hAnsi="Times New Roman" w:cs="Times New Roman"/>
              </w:rPr>
              <w:t>Refineries</w:t>
            </w:r>
            <w:r>
              <w:rPr>
                <w:rFonts w:ascii="Times New Roman" w:hAnsi="Times New Roman" w:cs="Times New Roman"/>
              </w:rPr>
              <w:t xml:space="preserve"> – HF</w:t>
            </w:r>
          </w:p>
        </w:tc>
        <w:tc>
          <w:tcPr>
            <w:tcW w:w="1350" w:type="dxa"/>
          </w:tcPr>
          <w:p w:rsidR="004A5638" w:rsidRPr="00693892" w:rsidP="004A5638" w14:paraId="1423D571" w14:textId="77777777">
            <w:pPr>
              <w:spacing w:after="0" w:line="240" w:lineRule="auto"/>
              <w:ind w:left="93" w:right="62"/>
              <w:jc w:val="center"/>
              <w:rPr>
                <w:rFonts w:ascii="Times New Roman" w:hAnsi="Times New Roman" w:cs="Times New Roman"/>
              </w:rPr>
            </w:pPr>
            <w:r w:rsidRPr="00693892">
              <w:rPr>
                <w:rFonts w:ascii="Times New Roman" w:hAnsi="Times New Roman" w:cs="Times New Roman"/>
              </w:rPr>
              <w:t>0.2</w:t>
            </w:r>
          </w:p>
        </w:tc>
        <w:tc>
          <w:tcPr>
            <w:tcW w:w="1350" w:type="dxa"/>
          </w:tcPr>
          <w:p w:rsidR="004A5638" w:rsidRPr="00693892" w:rsidP="004A5638" w14:paraId="3DC01164" w14:textId="08E9B427">
            <w:pPr>
              <w:spacing w:after="0" w:line="240" w:lineRule="auto"/>
              <w:ind w:left="247"/>
              <w:jc w:val="center"/>
              <w:rPr>
                <w:rFonts w:ascii="Times New Roman" w:hAnsi="Times New Roman" w:cs="Times New Roman"/>
              </w:rPr>
            </w:pPr>
            <w:r w:rsidRPr="00693892">
              <w:rPr>
                <w:rFonts w:ascii="Times New Roman" w:hAnsi="Times New Roman" w:cs="Times New Roman"/>
              </w:rPr>
              <w:t>$</w:t>
            </w:r>
            <w:r>
              <w:rPr>
                <w:rFonts w:ascii="Times New Roman" w:hAnsi="Times New Roman" w:cs="Times New Roman"/>
              </w:rPr>
              <w:t>4,390,674</w:t>
            </w:r>
          </w:p>
        </w:tc>
        <w:tc>
          <w:tcPr>
            <w:tcW w:w="1260" w:type="dxa"/>
          </w:tcPr>
          <w:p w:rsidR="004A5638" w:rsidRPr="00693892" w:rsidP="004A5638" w14:paraId="0C67EBCB" w14:textId="05BB6C11">
            <w:pPr>
              <w:spacing w:after="0" w:line="240" w:lineRule="auto"/>
              <w:ind w:left="98" w:right="69"/>
              <w:jc w:val="center"/>
              <w:rPr>
                <w:rFonts w:ascii="Times New Roman" w:hAnsi="Times New Roman" w:cs="Times New Roman"/>
              </w:rPr>
            </w:pPr>
            <w:r w:rsidRPr="00693892">
              <w:rPr>
                <w:rFonts w:ascii="Times New Roman" w:hAnsi="Times New Roman" w:cs="Times New Roman"/>
              </w:rPr>
              <w:t>42</w:t>
            </w:r>
          </w:p>
        </w:tc>
        <w:tc>
          <w:tcPr>
            <w:tcW w:w="1530" w:type="dxa"/>
            <w:vAlign w:val="bottom"/>
          </w:tcPr>
          <w:p w:rsidR="004A5638" w:rsidRPr="00693892" w:rsidP="004A5638" w14:paraId="09CD82A5" w14:textId="26D93CBD">
            <w:pPr>
              <w:spacing w:after="0" w:line="240" w:lineRule="auto"/>
              <w:ind w:left="84" w:right="55"/>
              <w:jc w:val="center"/>
              <w:rPr>
                <w:rFonts w:ascii="Times New Roman" w:hAnsi="Times New Roman" w:cs="Times New Roman"/>
              </w:rPr>
            </w:pPr>
            <w:r w:rsidRPr="00693892">
              <w:rPr>
                <w:rFonts w:ascii="Times New Roman" w:hAnsi="Times New Roman" w:cs="Times New Roman"/>
              </w:rPr>
              <w:t>$</w:t>
            </w:r>
            <w:r>
              <w:rPr>
                <w:rFonts w:ascii="Times New Roman" w:hAnsi="Times New Roman" w:cs="Times New Roman"/>
              </w:rPr>
              <w:t>36,881,660</w:t>
            </w:r>
          </w:p>
        </w:tc>
        <w:tc>
          <w:tcPr>
            <w:tcW w:w="1530" w:type="dxa"/>
            <w:vAlign w:val="bottom"/>
          </w:tcPr>
          <w:p w:rsidR="004A5638" w:rsidRPr="00693892" w:rsidP="004A5638" w14:paraId="2C19BAC0" w14:textId="36C1E57E">
            <w:pPr>
              <w:spacing w:after="0" w:line="240" w:lineRule="auto"/>
              <w:ind w:left="84" w:right="55"/>
              <w:jc w:val="center"/>
              <w:rPr>
                <w:rFonts w:ascii="Times New Roman" w:hAnsi="Times New Roman" w:cs="Times New Roman"/>
              </w:rPr>
            </w:pPr>
            <w:r w:rsidRPr="00693892">
              <w:rPr>
                <w:rFonts w:ascii="Times New Roman" w:hAnsi="Times New Roman" w:cs="Times New Roman"/>
              </w:rPr>
              <w:t>$</w:t>
            </w:r>
            <w:r>
              <w:rPr>
                <w:rFonts w:ascii="Times New Roman" w:hAnsi="Times New Roman" w:cs="Times New Roman"/>
              </w:rPr>
              <w:t>6,638,699</w:t>
            </w:r>
          </w:p>
        </w:tc>
      </w:tr>
      <w:tr w14:paraId="4EA83177" w14:textId="77777777" w:rsidTr="00E4358E">
        <w:tblPrEx>
          <w:tblW w:w="9702" w:type="dxa"/>
          <w:jc w:val="center"/>
          <w:tblLayout w:type="fixed"/>
          <w:tblCellMar>
            <w:left w:w="0" w:type="dxa"/>
            <w:right w:w="0" w:type="dxa"/>
          </w:tblCellMar>
          <w:tblLook w:val="01E0"/>
        </w:tblPrEx>
        <w:trPr>
          <w:trHeight w:val="300"/>
          <w:jc w:val="center"/>
        </w:trPr>
        <w:tc>
          <w:tcPr>
            <w:tcW w:w="2682" w:type="dxa"/>
          </w:tcPr>
          <w:p w:rsidR="004A5638" w:rsidRPr="00693892" w:rsidP="004A5638" w14:paraId="095EB6AE" w14:textId="77777777">
            <w:pPr>
              <w:spacing w:after="0" w:line="240" w:lineRule="auto"/>
              <w:ind w:left="112"/>
              <w:rPr>
                <w:rFonts w:ascii="Times New Roman" w:hAnsi="Times New Roman" w:cs="Times New Roman"/>
              </w:rPr>
            </w:pPr>
            <w:r>
              <w:rPr>
                <w:rFonts w:ascii="Times New Roman" w:hAnsi="Times New Roman" w:cs="Times New Roman"/>
              </w:rPr>
              <w:t>Refineries – Non-HF</w:t>
            </w:r>
          </w:p>
        </w:tc>
        <w:tc>
          <w:tcPr>
            <w:tcW w:w="1350" w:type="dxa"/>
          </w:tcPr>
          <w:p w:rsidR="004A5638" w:rsidRPr="00693892" w:rsidP="004A5638" w14:paraId="1192ED15" w14:textId="77777777">
            <w:pPr>
              <w:spacing w:after="0" w:line="240" w:lineRule="auto"/>
              <w:ind w:left="93" w:right="62"/>
              <w:jc w:val="center"/>
              <w:rPr>
                <w:rFonts w:ascii="Times New Roman" w:hAnsi="Times New Roman" w:cs="Times New Roman"/>
              </w:rPr>
            </w:pPr>
            <w:r>
              <w:rPr>
                <w:rFonts w:ascii="Times New Roman" w:hAnsi="Times New Roman" w:cs="Times New Roman"/>
              </w:rPr>
              <w:t>0.2</w:t>
            </w:r>
          </w:p>
        </w:tc>
        <w:tc>
          <w:tcPr>
            <w:tcW w:w="1350" w:type="dxa"/>
          </w:tcPr>
          <w:p w:rsidR="004A5638" w:rsidRPr="00693892" w:rsidP="004A5638" w14:paraId="4C9DF720" w14:textId="29FD5D3F">
            <w:pPr>
              <w:spacing w:after="0" w:line="240" w:lineRule="auto"/>
              <w:ind w:left="247"/>
              <w:jc w:val="center"/>
              <w:rPr>
                <w:rFonts w:ascii="Times New Roman" w:hAnsi="Times New Roman" w:cs="Times New Roman"/>
              </w:rPr>
            </w:pPr>
            <w:r>
              <w:rPr>
                <w:rFonts w:ascii="Times New Roman" w:hAnsi="Times New Roman" w:cs="Times New Roman"/>
              </w:rPr>
              <w:t>$306,326</w:t>
            </w:r>
          </w:p>
        </w:tc>
        <w:tc>
          <w:tcPr>
            <w:tcW w:w="1260" w:type="dxa"/>
          </w:tcPr>
          <w:p w:rsidR="004A5638" w:rsidRPr="00693892" w:rsidP="004A5638" w14:paraId="631E5ED0" w14:textId="3763D08B">
            <w:pPr>
              <w:spacing w:after="0" w:line="240" w:lineRule="auto"/>
              <w:ind w:left="98" w:right="69"/>
              <w:jc w:val="center"/>
              <w:rPr>
                <w:rFonts w:ascii="Times New Roman" w:hAnsi="Times New Roman" w:cs="Times New Roman"/>
              </w:rPr>
            </w:pPr>
            <w:r>
              <w:rPr>
                <w:rFonts w:ascii="Times New Roman" w:hAnsi="Times New Roman" w:cs="Times New Roman"/>
              </w:rPr>
              <w:t>92</w:t>
            </w:r>
          </w:p>
        </w:tc>
        <w:tc>
          <w:tcPr>
            <w:tcW w:w="1530" w:type="dxa"/>
          </w:tcPr>
          <w:p w:rsidR="004A5638" w:rsidP="004A5638" w14:paraId="1F2849C0" w14:textId="0B443FD6">
            <w:pPr>
              <w:spacing w:after="0" w:line="240" w:lineRule="auto"/>
              <w:ind w:left="84" w:right="55"/>
              <w:jc w:val="center"/>
              <w:rPr>
                <w:rFonts w:ascii="Times New Roman" w:hAnsi="Times New Roman" w:cs="Times New Roman"/>
              </w:rPr>
            </w:pPr>
            <w:r>
              <w:rPr>
                <w:rFonts w:ascii="Times New Roman" w:hAnsi="Times New Roman" w:cs="Times New Roman"/>
              </w:rPr>
              <w:t>$5,636,400</w:t>
            </w:r>
          </w:p>
        </w:tc>
        <w:tc>
          <w:tcPr>
            <w:tcW w:w="1530" w:type="dxa"/>
            <w:vAlign w:val="bottom"/>
          </w:tcPr>
          <w:p w:rsidR="004A5638" w:rsidRPr="00693892" w:rsidP="004A5638" w14:paraId="67A20BB6" w14:textId="5451B854">
            <w:pPr>
              <w:spacing w:after="0" w:line="240" w:lineRule="auto"/>
              <w:ind w:left="84" w:right="55"/>
              <w:jc w:val="center"/>
              <w:rPr>
                <w:rFonts w:ascii="Times New Roman" w:hAnsi="Times New Roman" w:cs="Times New Roman"/>
              </w:rPr>
            </w:pPr>
            <w:r>
              <w:rPr>
                <w:rFonts w:ascii="Times New Roman" w:hAnsi="Times New Roman" w:cs="Times New Roman"/>
              </w:rPr>
              <w:t>$1,014,552</w:t>
            </w:r>
          </w:p>
        </w:tc>
      </w:tr>
      <w:tr w14:paraId="56347AB6" w14:textId="77777777" w:rsidTr="00E4358E">
        <w:tblPrEx>
          <w:tblW w:w="9702" w:type="dxa"/>
          <w:jc w:val="center"/>
          <w:tblLayout w:type="fixed"/>
          <w:tblCellMar>
            <w:left w:w="0" w:type="dxa"/>
            <w:right w:w="0" w:type="dxa"/>
          </w:tblCellMar>
          <w:tblLook w:val="01E0"/>
        </w:tblPrEx>
        <w:trPr>
          <w:trHeight w:val="282"/>
          <w:jc w:val="center"/>
        </w:trPr>
        <w:tc>
          <w:tcPr>
            <w:tcW w:w="2682" w:type="dxa"/>
            <w:tcBorders>
              <w:bottom w:val="single" w:sz="8" w:space="0" w:color="000000"/>
            </w:tcBorders>
          </w:tcPr>
          <w:p w:rsidR="004A5638" w:rsidRPr="00693892" w:rsidP="004A5638" w14:paraId="257E6EBC" w14:textId="77777777">
            <w:pPr>
              <w:spacing w:after="0" w:line="240" w:lineRule="auto"/>
              <w:ind w:left="112"/>
              <w:rPr>
                <w:rFonts w:ascii="Times New Roman" w:hAnsi="Times New Roman" w:cs="Times New Roman"/>
              </w:rPr>
            </w:pPr>
            <w:r w:rsidRPr="00693892">
              <w:rPr>
                <w:rFonts w:ascii="Times New Roman" w:hAnsi="Times New Roman" w:cs="Times New Roman"/>
              </w:rPr>
              <w:t>Chemical Manufacturers</w:t>
            </w:r>
          </w:p>
        </w:tc>
        <w:tc>
          <w:tcPr>
            <w:tcW w:w="1350" w:type="dxa"/>
            <w:tcBorders>
              <w:bottom w:val="single" w:sz="8" w:space="0" w:color="000000"/>
            </w:tcBorders>
          </w:tcPr>
          <w:p w:rsidR="004A5638" w:rsidRPr="00693892" w:rsidP="004A5638" w14:paraId="7E6AE73A" w14:textId="77777777">
            <w:pPr>
              <w:spacing w:after="0" w:line="240" w:lineRule="auto"/>
              <w:ind w:left="93" w:right="62"/>
              <w:jc w:val="center"/>
              <w:rPr>
                <w:rFonts w:ascii="Times New Roman" w:hAnsi="Times New Roman" w:cs="Times New Roman"/>
              </w:rPr>
            </w:pPr>
            <w:r w:rsidRPr="00693892">
              <w:rPr>
                <w:rFonts w:ascii="Times New Roman" w:hAnsi="Times New Roman" w:cs="Times New Roman"/>
              </w:rPr>
              <w:t>0.2</w:t>
            </w:r>
          </w:p>
        </w:tc>
        <w:tc>
          <w:tcPr>
            <w:tcW w:w="1350" w:type="dxa"/>
            <w:tcBorders>
              <w:bottom w:val="single" w:sz="8" w:space="0" w:color="000000"/>
            </w:tcBorders>
          </w:tcPr>
          <w:p w:rsidR="004A5638" w:rsidRPr="00693892" w:rsidP="004A5638" w14:paraId="6635A077" w14:textId="5E194236">
            <w:pPr>
              <w:spacing w:after="0" w:line="240" w:lineRule="auto"/>
              <w:ind w:left="292"/>
              <w:jc w:val="center"/>
              <w:rPr>
                <w:rFonts w:ascii="Times New Roman" w:hAnsi="Times New Roman" w:cs="Times New Roman"/>
              </w:rPr>
            </w:pPr>
            <w:r w:rsidRPr="00693892">
              <w:rPr>
                <w:rFonts w:ascii="Times New Roman" w:hAnsi="Times New Roman" w:cs="Times New Roman"/>
              </w:rPr>
              <w:t>$</w:t>
            </w:r>
            <w:r>
              <w:rPr>
                <w:rFonts w:ascii="Times New Roman" w:hAnsi="Times New Roman" w:cs="Times New Roman"/>
              </w:rPr>
              <w:t>33,550</w:t>
            </w:r>
          </w:p>
        </w:tc>
        <w:tc>
          <w:tcPr>
            <w:tcW w:w="1260" w:type="dxa"/>
            <w:tcBorders>
              <w:bottom w:val="single" w:sz="8" w:space="0" w:color="000000"/>
            </w:tcBorders>
          </w:tcPr>
          <w:p w:rsidR="004A5638" w:rsidRPr="00693892" w:rsidP="004A5638" w14:paraId="3259F3EF" w14:textId="0A0DE757">
            <w:pPr>
              <w:spacing w:after="0" w:line="240" w:lineRule="auto"/>
              <w:ind w:left="98" w:right="69"/>
              <w:jc w:val="center"/>
              <w:rPr>
                <w:rFonts w:ascii="Times New Roman" w:hAnsi="Times New Roman" w:cs="Times New Roman"/>
              </w:rPr>
            </w:pPr>
            <w:r w:rsidRPr="00693892">
              <w:rPr>
                <w:rFonts w:ascii="Times New Roman" w:hAnsi="Times New Roman" w:cs="Times New Roman"/>
              </w:rPr>
              <w:t>1,3</w:t>
            </w:r>
            <w:r>
              <w:rPr>
                <w:rFonts w:ascii="Times New Roman" w:hAnsi="Times New Roman" w:cs="Times New Roman"/>
              </w:rPr>
              <w:t>55</w:t>
            </w:r>
          </w:p>
        </w:tc>
        <w:tc>
          <w:tcPr>
            <w:tcW w:w="1530" w:type="dxa"/>
            <w:tcBorders>
              <w:bottom w:val="single" w:sz="8" w:space="0" w:color="000000"/>
            </w:tcBorders>
          </w:tcPr>
          <w:p w:rsidR="004A5638" w:rsidP="004A5638" w14:paraId="3FEFF795" w14:textId="5270A04A">
            <w:pPr>
              <w:spacing w:after="0" w:line="240" w:lineRule="auto"/>
              <w:ind w:left="84" w:right="55"/>
              <w:jc w:val="center"/>
              <w:rPr>
                <w:rFonts w:ascii="Times New Roman" w:hAnsi="Times New Roman" w:cs="Times New Roman"/>
              </w:rPr>
            </w:pPr>
            <w:r>
              <w:rPr>
                <w:rFonts w:ascii="Times New Roman" w:hAnsi="Times New Roman" w:cs="Times New Roman"/>
              </w:rPr>
              <w:t>$9,092,050</w:t>
            </w:r>
          </w:p>
        </w:tc>
        <w:tc>
          <w:tcPr>
            <w:tcW w:w="1530" w:type="dxa"/>
            <w:tcBorders>
              <w:bottom w:val="single" w:sz="8" w:space="0" w:color="000000"/>
            </w:tcBorders>
            <w:vAlign w:val="bottom"/>
          </w:tcPr>
          <w:p w:rsidR="004A5638" w:rsidRPr="00693892" w:rsidP="004A5638" w14:paraId="73F9EE36" w14:textId="45C20CC0">
            <w:pPr>
              <w:spacing w:after="0" w:line="240" w:lineRule="auto"/>
              <w:ind w:left="84" w:right="55"/>
              <w:jc w:val="center"/>
              <w:rPr>
                <w:rFonts w:ascii="Times New Roman" w:hAnsi="Times New Roman" w:cs="Times New Roman"/>
              </w:rPr>
            </w:pPr>
            <w:r w:rsidRPr="00693892">
              <w:rPr>
                <w:rFonts w:ascii="Times New Roman" w:hAnsi="Times New Roman" w:cs="Times New Roman"/>
              </w:rPr>
              <w:t>$</w:t>
            </w:r>
            <w:r>
              <w:rPr>
                <w:rFonts w:ascii="Times New Roman" w:hAnsi="Times New Roman" w:cs="Times New Roman"/>
              </w:rPr>
              <w:t>1,636,569</w:t>
            </w:r>
          </w:p>
        </w:tc>
      </w:tr>
      <w:tr w14:paraId="6A665E3D" w14:textId="77777777" w:rsidTr="00E4358E">
        <w:tblPrEx>
          <w:tblW w:w="9702" w:type="dxa"/>
          <w:jc w:val="center"/>
          <w:tblLayout w:type="fixed"/>
          <w:tblCellMar>
            <w:left w:w="0" w:type="dxa"/>
            <w:right w:w="0" w:type="dxa"/>
          </w:tblCellMar>
          <w:tblLook w:val="01E0"/>
        </w:tblPrEx>
        <w:trPr>
          <w:trHeight w:val="282"/>
          <w:jc w:val="center"/>
        </w:trPr>
        <w:tc>
          <w:tcPr>
            <w:tcW w:w="2682" w:type="dxa"/>
            <w:tcBorders>
              <w:bottom w:val="single" w:sz="8" w:space="0" w:color="000000"/>
            </w:tcBorders>
          </w:tcPr>
          <w:p w:rsidR="004A5638" w:rsidRPr="00693892" w:rsidP="004A5638" w14:paraId="365483F1" w14:textId="77777777">
            <w:pPr>
              <w:spacing w:after="0" w:line="240" w:lineRule="auto"/>
              <w:ind w:left="112"/>
              <w:rPr>
                <w:rFonts w:ascii="Times New Roman" w:hAnsi="Times New Roman" w:cs="Times New Roman"/>
                <w:b/>
              </w:rPr>
            </w:pPr>
            <w:r w:rsidRPr="00693892">
              <w:rPr>
                <w:rFonts w:ascii="Times New Roman" w:hAnsi="Times New Roman" w:cs="Times New Roman"/>
                <w:b/>
              </w:rPr>
              <w:t>Subtotal</w:t>
            </w:r>
          </w:p>
        </w:tc>
        <w:tc>
          <w:tcPr>
            <w:tcW w:w="1350" w:type="dxa"/>
            <w:tcBorders>
              <w:bottom w:val="single" w:sz="8" w:space="0" w:color="000000"/>
            </w:tcBorders>
          </w:tcPr>
          <w:p w:rsidR="004A5638" w:rsidRPr="00693892" w:rsidP="004A5638" w14:paraId="635676A3" w14:textId="77777777">
            <w:pPr>
              <w:spacing w:after="0" w:line="240" w:lineRule="auto"/>
              <w:ind w:left="93" w:right="62"/>
              <w:jc w:val="center"/>
              <w:rPr>
                <w:rFonts w:ascii="Times New Roman" w:hAnsi="Times New Roman" w:cs="Times New Roman"/>
                <w:b/>
              </w:rPr>
            </w:pPr>
          </w:p>
        </w:tc>
        <w:tc>
          <w:tcPr>
            <w:tcW w:w="1350" w:type="dxa"/>
            <w:tcBorders>
              <w:bottom w:val="single" w:sz="8" w:space="0" w:color="000000"/>
            </w:tcBorders>
          </w:tcPr>
          <w:p w:rsidR="004A5638" w:rsidRPr="00693892" w:rsidP="004A5638" w14:paraId="07122D00" w14:textId="77777777">
            <w:pPr>
              <w:spacing w:after="0" w:line="240" w:lineRule="auto"/>
              <w:ind w:left="292"/>
              <w:jc w:val="center"/>
              <w:rPr>
                <w:rFonts w:ascii="Times New Roman" w:hAnsi="Times New Roman" w:cs="Times New Roman"/>
                <w:b/>
              </w:rPr>
            </w:pPr>
          </w:p>
        </w:tc>
        <w:tc>
          <w:tcPr>
            <w:tcW w:w="1260" w:type="dxa"/>
            <w:tcBorders>
              <w:bottom w:val="single" w:sz="8" w:space="0" w:color="000000"/>
            </w:tcBorders>
          </w:tcPr>
          <w:p w:rsidR="004A5638" w:rsidRPr="00693892" w:rsidP="004A5638" w14:paraId="5F550E0C" w14:textId="407001BC">
            <w:pPr>
              <w:spacing w:after="0" w:line="240" w:lineRule="auto"/>
              <w:ind w:left="98" w:right="69"/>
              <w:jc w:val="center"/>
              <w:rPr>
                <w:rFonts w:ascii="Times New Roman" w:hAnsi="Times New Roman" w:cs="Times New Roman"/>
                <w:b/>
              </w:rPr>
            </w:pPr>
            <w:r w:rsidRPr="00693892">
              <w:rPr>
                <w:rFonts w:ascii="Times New Roman" w:hAnsi="Times New Roman" w:cs="Times New Roman"/>
                <w:b/>
              </w:rPr>
              <w:t>1,</w:t>
            </w:r>
            <w:r>
              <w:rPr>
                <w:rFonts w:ascii="Times New Roman" w:hAnsi="Times New Roman" w:cs="Times New Roman"/>
                <w:b/>
              </w:rPr>
              <w:t>489</w:t>
            </w:r>
          </w:p>
        </w:tc>
        <w:tc>
          <w:tcPr>
            <w:tcW w:w="1530" w:type="dxa"/>
            <w:tcBorders>
              <w:bottom w:val="single" w:sz="8" w:space="0" w:color="000000"/>
            </w:tcBorders>
          </w:tcPr>
          <w:p w:rsidR="004A5638" w:rsidP="004A5638" w14:paraId="5D08D346" w14:textId="23FF56ED">
            <w:pPr>
              <w:spacing w:after="0" w:line="240" w:lineRule="auto"/>
              <w:ind w:left="84" w:right="55"/>
              <w:jc w:val="center"/>
              <w:rPr>
                <w:rFonts w:ascii="Times New Roman" w:hAnsi="Times New Roman" w:cs="Times New Roman"/>
                <w:b/>
              </w:rPr>
            </w:pPr>
            <w:r>
              <w:rPr>
                <w:rFonts w:ascii="Times New Roman" w:hAnsi="Times New Roman" w:cs="Times New Roman"/>
                <w:b/>
              </w:rPr>
              <w:t>$51,610,109</w:t>
            </w:r>
          </w:p>
        </w:tc>
        <w:tc>
          <w:tcPr>
            <w:tcW w:w="1530" w:type="dxa"/>
            <w:tcBorders>
              <w:bottom w:val="single" w:sz="8" w:space="0" w:color="000000"/>
            </w:tcBorders>
            <w:vAlign w:val="bottom"/>
          </w:tcPr>
          <w:p w:rsidR="004A5638" w:rsidRPr="00693892" w:rsidP="004A5638" w14:paraId="369E1A5E" w14:textId="15B67C78">
            <w:pPr>
              <w:spacing w:after="0" w:line="240" w:lineRule="auto"/>
              <w:ind w:left="84" w:right="55"/>
              <w:jc w:val="center"/>
              <w:rPr>
                <w:rFonts w:ascii="Times New Roman" w:hAnsi="Times New Roman" w:cs="Times New Roman"/>
                <w:b/>
              </w:rPr>
            </w:pPr>
            <w:r w:rsidRPr="00693892">
              <w:rPr>
                <w:rFonts w:ascii="Times New Roman" w:hAnsi="Times New Roman" w:cs="Times New Roman"/>
                <w:b/>
              </w:rPr>
              <w:t>$</w:t>
            </w:r>
            <w:r>
              <w:rPr>
                <w:rFonts w:ascii="Times New Roman" w:hAnsi="Times New Roman" w:cs="Times New Roman"/>
                <w:b/>
              </w:rPr>
              <w:t>9,289,820</w:t>
            </w:r>
          </w:p>
        </w:tc>
      </w:tr>
      <w:tr w14:paraId="10F0AB94" w14:textId="77777777" w:rsidTr="00E4358E">
        <w:tblPrEx>
          <w:tblW w:w="9702" w:type="dxa"/>
          <w:jc w:val="center"/>
          <w:tblLayout w:type="fixed"/>
          <w:tblCellMar>
            <w:left w:w="0" w:type="dxa"/>
            <w:right w:w="0" w:type="dxa"/>
          </w:tblCellMar>
          <w:tblLook w:val="01E0"/>
        </w:tblPrEx>
        <w:trPr>
          <w:trHeight w:val="282"/>
          <w:jc w:val="center"/>
        </w:trPr>
        <w:tc>
          <w:tcPr>
            <w:tcW w:w="2682" w:type="dxa"/>
            <w:tcBorders>
              <w:top w:val="single" w:sz="8" w:space="0" w:color="000000"/>
            </w:tcBorders>
          </w:tcPr>
          <w:p w:rsidR="004A5638" w:rsidRPr="00693892" w:rsidP="004A5638" w14:paraId="743A3F0C" w14:textId="77777777">
            <w:pPr>
              <w:spacing w:after="0" w:line="240" w:lineRule="auto"/>
              <w:ind w:right="1312"/>
              <w:jc w:val="center"/>
              <w:rPr>
                <w:rFonts w:ascii="Times New Roman" w:hAnsi="Times New Roman" w:cs="Times New Roman"/>
                <w:b/>
              </w:rPr>
            </w:pPr>
            <w:r w:rsidRPr="00693892">
              <w:rPr>
                <w:rFonts w:ascii="Times New Roman" w:hAnsi="Times New Roman" w:cs="Times New Roman"/>
                <w:b/>
              </w:rPr>
              <w:t>Grand Total</w:t>
            </w:r>
          </w:p>
        </w:tc>
        <w:tc>
          <w:tcPr>
            <w:tcW w:w="1350" w:type="dxa"/>
            <w:tcBorders>
              <w:top w:val="single" w:sz="8" w:space="0" w:color="000000"/>
            </w:tcBorders>
          </w:tcPr>
          <w:p w:rsidR="004A5638" w:rsidRPr="00693892" w:rsidP="004A5638" w14:paraId="799196FB" w14:textId="77777777">
            <w:pPr>
              <w:spacing w:after="0" w:line="240" w:lineRule="auto"/>
              <w:jc w:val="center"/>
              <w:rPr>
                <w:rFonts w:ascii="Times New Roman" w:hAnsi="Times New Roman" w:cs="Times New Roman"/>
              </w:rPr>
            </w:pPr>
          </w:p>
        </w:tc>
        <w:tc>
          <w:tcPr>
            <w:tcW w:w="1350" w:type="dxa"/>
            <w:tcBorders>
              <w:top w:val="single" w:sz="8" w:space="0" w:color="000000"/>
            </w:tcBorders>
          </w:tcPr>
          <w:p w:rsidR="004A5638" w:rsidRPr="00693892" w:rsidP="004A5638" w14:paraId="615A237A" w14:textId="77777777">
            <w:pPr>
              <w:spacing w:after="0" w:line="240" w:lineRule="auto"/>
              <w:jc w:val="center"/>
              <w:rPr>
                <w:rFonts w:ascii="Times New Roman" w:hAnsi="Times New Roman" w:cs="Times New Roman"/>
              </w:rPr>
            </w:pPr>
          </w:p>
        </w:tc>
        <w:tc>
          <w:tcPr>
            <w:tcW w:w="1260" w:type="dxa"/>
            <w:tcBorders>
              <w:top w:val="single" w:sz="8" w:space="0" w:color="000000"/>
            </w:tcBorders>
          </w:tcPr>
          <w:p w:rsidR="004A5638" w:rsidRPr="00693892" w:rsidP="004A5638" w14:paraId="5A0FE8BE" w14:textId="77777777">
            <w:pPr>
              <w:spacing w:after="0" w:line="240" w:lineRule="auto"/>
              <w:ind w:left="90" w:right="76"/>
              <w:jc w:val="center"/>
              <w:rPr>
                <w:rFonts w:ascii="Times New Roman" w:hAnsi="Times New Roman" w:cs="Times New Roman"/>
                <w:b/>
              </w:rPr>
            </w:pPr>
          </w:p>
        </w:tc>
        <w:tc>
          <w:tcPr>
            <w:tcW w:w="1530" w:type="dxa"/>
            <w:tcBorders>
              <w:top w:val="single" w:sz="8" w:space="0" w:color="000000"/>
            </w:tcBorders>
          </w:tcPr>
          <w:p w:rsidR="004A5638" w:rsidP="004A5638" w14:paraId="2F60B0AB" w14:textId="14D1CE2E">
            <w:pPr>
              <w:spacing w:after="0" w:line="240" w:lineRule="auto"/>
              <w:jc w:val="center"/>
              <w:rPr>
                <w:rFonts w:ascii="Times New Roman" w:hAnsi="Times New Roman" w:cs="Times New Roman"/>
                <w:b/>
              </w:rPr>
            </w:pPr>
            <w:r>
              <w:rPr>
                <w:rFonts w:ascii="Times New Roman" w:hAnsi="Times New Roman" w:cs="Times New Roman"/>
                <w:b/>
              </w:rPr>
              <w:t>$81,503,222</w:t>
            </w:r>
          </w:p>
        </w:tc>
        <w:tc>
          <w:tcPr>
            <w:tcW w:w="1530" w:type="dxa"/>
            <w:tcBorders>
              <w:top w:val="single" w:sz="8" w:space="0" w:color="000000"/>
            </w:tcBorders>
          </w:tcPr>
          <w:p w:rsidR="004A5638" w:rsidRPr="00A464DD" w:rsidP="004A5638" w14:paraId="2B665C53" w14:textId="4FDF723B">
            <w:pPr>
              <w:spacing w:after="0" w:line="240" w:lineRule="auto"/>
              <w:jc w:val="center"/>
              <w:rPr>
                <w:rFonts w:ascii="Times New Roman" w:hAnsi="Times New Roman" w:cs="Times New Roman"/>
                <w:b/>
              </w:rPr>
            </w:pPr>
            <w:r w:rsidRPr="00693892">
              <w:rPr>
                <w:rFonts w:ascii="Times New Roman" w:hAnsi="Times New Roman" w:cs="Times New Roman"/>
                <w:b/>
              </w:rPr>
              <w:t>$</w:t>
            </w:r>
            <w:r>
              <w:rPr>
                <w:rFonts w:ascii="Times New Roman" w:hAnsi="Times New Roman" w:cs="Times New Roman"/>
                <w:b/>
              </w:rPr>
              <w:t>14,670,580</w:t>
            </w:r>
          </w:p>
        </w:tc>
      </w:tr>
    </w:tbl>
    <w:p w:rsidR="00112CB6" w:rsidRPr="00DB1152" w:rsidP="00E4358E" w14:paraId="7BF314EB" w14:textId="77777777">
      <w:pPr>
        <w:spacing w:after="0" w:line="240" w:lineRule="auto"/>
        <w:rPr>
          <w:rFonts w:ascii="Times New Roman" w:hAnsi="Times New Roman" w:cs="Times New Roman"/>
          <w:sz w:val="18"/>
          <w:szCs w:val="18"/>
        </w:rPr>
      </w:pPr>
      <w:r w:rsidRPr="00DB1152">
        <w:rPr>
          <w:rFonts w:ascii="Times New Roman" w:hAnsi="Times New Roman" w:cs="Times New Roman"/>
          <w:w w:val="105"/>
          <w:position w:val="6"/>
          <w:sz w:val="18"/>
          <w:szCs w:val="18"/>
        </w:rPr>
        <w:t>*</w:t>
      </w:r>
      <w:r w:rsidRPr="00DB1152">
        <w:rPr>
          <w:rFonts w:ascii="Times New Roman" w:hAnsi="Times New Roman" w:cs="Times New Roman"/>
          <w:w w:val="105"/>
          <w:sz w:val="18"/>
          <w:szCs w:val="18"/>
        </w:rPr>
        <w:t>Totals may not sum due to rounding</w:t>
      </w:r>
      <w:r>
        <w:br/>
      </w:r>
    </w:p>
    <w:p w:rsidR="006765FF" w:rsidP="004C4A23" w14:paraId="37767881" w14:textId="77777777">
      <w:pPr>
        <w:pStyle w:val="Caption"/>
        <w:keepNext/>
        <w:jc w:val="center"/>
      </w:pPr>
      <w:r w:rsidRPr="00B87FD9">
        <w:rPr>
          <w:rFonts w:ascii="Times New Roman" w:hAnsi="Times New Roman" w:cs="Times New Roman"/>
          <w:b/>
          <w:bCs/>
          <w:i w:val="0"/>
          <w:iCs w:val="0"/>
          <w:color w:val="auto"/>
          <w:sz w:val="22"/>
          <w:szCs w:val="22"/>
        </w:rPr>
        <w:t xml:space="preserve">Exhibit </w:t>
      </w:r>
      <w:r w:rsidR="00102C01">
        <w:rPr>
          <w:rFonts w:ascii="Times New Roman" w:hAnsi="Times New Roman" w:cs="Times New Roman"/>
          <w:b/>
          <w:bCs/>
          <w:i w:val="0"/>
          <w:iCs w:val="0"/>
          <w:color w:val="auto"/>
          <w:sz w:val="22"/>
          <w:szCs w:val="22"/>
        </w:rPr>
        <w:t>7</w:t>
      </w:r>
      <w:r w:rsidRPr="00D21E4B">
        <w:rPr>
          <w:rFonts w:ascii="Times New Roman" w:hAnsi="Times New Roman" w:cs="Times New Roman"/>
          <w:b/>
          <w:bCs/>
          <w:i w:val="0"/>
          <w:iCs w:val="0"/>
          <w:color w:val="auto"/>
          <w:sz w:val="22"/>
          <w:szCs w:val="22"/>
        </w:rPr>
        <w:t>-</w:t>
      </w:r>
      <w:r w:rsidR="00102C01">
        <w:rPr>
          <w:rFonts w:ascii="Times New Roman" w:hAnsi="Times New Roman" w:cs="Times New Roman"/>
          <w:b/>
          <w:bCs/>
          <w:i w:val="0"/>
          <w:iCs w:val="0"/>
          <w:color w:val="auto"/>
          <w:sz w:val="22"/>
          <w:szCs w:val="22"/>
        </w:rPr>
        <w:t>6</w:t>
      </w:r>
      <w:r w:rsidRPr="00D21E4B">
        <w:rPr>
          <w:rFonts w:ascii="Times New Roman" w:hAnsi="Times New Roman" w:cs="Times New Roman"/>
          <w:b/>
          <w:bCs/>
          <w:i w:val="0"/>
          <w:iCs w:val="0"/>
          <w:color w:val="auto"/>
          <w:sz w:val="22"/>
          <w:szCs w:val="22"/>
        </w:rPr>
        <w:t xml:space="preserve">: </w:t>
      </w:r>
      <w:r w:rsidR="00102C01">
        <w:rPr>
          <w:rFonts w:ascii="Times New Roman" w:hAnsi="Times New Roman" w:cs="Times New Roman"/>
          <w:b/>
          <w:bCs/>
          <w:i w:val="0"/>
          <w:iCs w:val="0"/>
          <w:color w:val="auto"/>
          <w:sz w:val="22"/>
          <w:szCs w:val="22"/>
        </w:rPr>
        <w:t>Total</w:t>
      </w:r>
      <w:r w:rsidRPr="00D21E4B">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Annual</w:t>
      </w:r>
      <w:r w:rsidRPr="00D21E4B">
        <w:rPr>
          <w:rFonts w:ascii="Times New Roman" w:hAnsi="Times New Roman" w:cs="Times New Roman"/>
          <w:b/>
          <w:bCs/>
          <w:i w:val="0"/>
          <w:iCs w:val="0"/>
          <w:color w:val="auto"/>
          <w:sz w:val="22"/>
          <w:szCs w:val="22"/>
        </w:rPr>
        <w:t xml:space="preserve"> </w:t>
      </w:r>
      <w:r w:rsidR="00102C01">
        <w:rPr>
          <w:rFonts w:ascii="Times New Roman" w:hAnsi="Times New Roman" w:cs="Times New Roman"/>
          <w:b/>
          <w:bCs/>
          <w:i w:val="0"/>
          <w:iCs w:val="0"/>
          <w:color w:val="auto"/>
          <w:sz w:val="22"/>
          <w:szCs w:val="22"/>
        </w:rPr>
        <w:t xml:space="preserve">Undiscounted </w:t>
      </w:r>
      <w:r w:rsidRPr="00D21E4B">
        <w:rPr>
          <w:rFonts w:ascii="Times New Roman" w:hAnsi="Times New Roman" w:cs="Times New Roman"/>
          <w:b/>
          <w:bCs/>
          <w:i w:val="0"/>
          <w:iCs w:val="0"/>
          <w:color w:val="auto"/>
          <w:sz w:val="22"/>
          <w:szCs w:val="22"/>
        </w:rPr>
        <w:t xml:space="preserve">Costs for STAA </w:t>
      </w:r>
      <w:r>
        <w:rPr>
          <w:rFonts w:ascii="Times New Roman" w:hAnsi="Times New Roman" w:cs="Times New Roman"/>
          <w:b/>
          <w:bCs/>
          <w:i w:val="0"/>
          <w:iCs w:val="0"/>
          <w:color w:val="auto"/>
          <w:sz w:val="22"/>
          <w:szCs w:val="22"/>
        </w:rPr>
        <w:t xml:space="preserve">Implementation </w:t>
      </w:r>
      <w:r w:rsidR="00102C01">
        <w:rPr>
          <w:rFonts w:ascii="Times New Roman" w:hAnsi="Times New Roman" w:cs="Times New Roman"/>
          <w:b/>
          <w:bCs/>
          <w:i w:val="0"/>
          <w:iCs w:val="0"/>
          <w:color w:val="auto"/>
          <w:sz w:val="22"/>
          <w:szCs w:val="22"/>
        </w:rPr>
        <w:t>Provision Higher</w:t>
      </w:r>
      <w:r w:rsidR="00AA6781">
        <w:rPr>
          <w:rFonts w:ascii="Times New Roman" w:hAnsi="Times New Roman" w:cs="Times New Roman"/>
          <w:b/>
          <w:bCs/>
          <w:i w:val="0"/>
          <w:iCs w:val="0"/>
          <w:color w:val="auto"/>
          <w:sz w:val="22"/>
          <w:szCs w:val="22"/>
        </w:rPr>
        <w:t xml:space="preserve"> C</w:t>
      </w:r>
      <w:r w:rsidR="00102C01">
        <w:rPr>
          <w:rFonts w:ascii="Times New Roman" w:hAnsi="Times New Roman" w:cs="Times New Roman"/>
          <w:b/>
          <w:bCs/>
          <w:i w:val="0"/>
          <w:iCs w:val="0"/>
          <w:color w:val="auto"/>
          <w:sz w:val="22"/>
          <w:szCs w:val="22"/>
        </w:rPr>
        <w:t xml:space="preserve">ost Regulatory Alternative </w:t>
      </w:r>
      <w:r>
        <w:rPr>
          <w:rFonts w:ascii="Times New Roman" w:hAnsi="Times New Roman" w:cs="Times New Roman"/>
          <w:b/>
          <w:bCs/>
          <w:i w:val="0"/>
          <w:iCs w:val="0"/>
          <w:color w:val="auto"/>
          <w:sz w:val="22"/>
          <w:szCs w:val="22"/>
        </w:rPr>
        <w:t>Years 1-5</w:t>
      </w:r>
      <w:r w:rsidRPr="00D21E4B">
        <w:rPr>
          <w:rFonts w:ascii="Times New Roman" w:hAnsi="Times New Roman" w:cs="Times New Roman"/>
          <w:b/>
          <w:bCs/>
          <w:i w:val="0"/>
          <w:iCs w:val="0"/>
          <w:color w:val="auto"/>
          <w:sz w:val="22"/>
          <w:szCs w:val="22"/>
        </w:rPr>
        <w:t xml:space="preserve"> (202</w:t>
      </w:r>
      <w:r>
        <w:rPr>
          <w:rFonts w:ascii="Times New Roman" w:hAnsi="Times New Roman" w:cs="Times New Roman"/>
          <w:b/>
          <w:bCs/>
          <w:i w:val="0"/>
          <w:iCs w:val="0"/>
          <w:color w:val="auto"/>
          <w:sz w:val="22"/>
          <w:szCs w:val="22"/>
        </w:rPr>
        <w:t>2</w:t>
      </w:r>
      <w:r w:rsidRPr="00D21E4B">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d</w:t>
      </w:r>
      <w:r w:rsidRPr="00D21E4B">
        <w:rPr>
          <w:rFonts w:ascii="Times New Roman" w:hAnsi="Times New Roman" w:cs="Times New Roman"/>
          <w:b/>
          <w:bCs/>
          <w:i w:val="0"/>
          <w:iCs w:val="0"/>
          <w:color w:val="auto"/>
          <w:sz w:val="22"/>
          <w:szCs w:val="22"/>
        </w:rPr>
        <w:t>ollars).</w:t>
      </w:r>
    </w:p>
    <w:tbl>
      <w:tblPr>
        <w:tblW w:w="11315" w:type="dxa"/>
        <w:tblInd w:w="-9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54"/>
        <w:gridCol w:w="1016"/>
        <w:gridCol w:w="922"/>
        <w:gridCol w:w="968"/>
        <w:gridCol w:w="900"/>
        <w:gridCol w:w="1556"/>
        <w:gridCol w:w="1174"/>
        <w:gridCol w:w="1174"/>
        <w:gridCol w:w="1174"/>
        <w:gridCol w:w="1177"/>
      </w:tblGrid>
      <w:tr w14:paraId="3A31CFC0" w14:textId="77777777" w:rsidTr="00F979ED">
        <w:tblPrEx>
          <w:tblW w:w="11315" w:type="dxa"/>
          <w:tblInd w:w="-9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651"/>
        </w:trPr>
        <w:tc>
          <w:tcPr>
            <w:tcW w:w="1254" w:type="dxa"/>
            <w:vMerge w:val="restart"/>
            <w:shd w:val="clear" w:color="auto" w:fill="DADADA"/>
            <w:vAlign w:val="center"/>
          </w:tcPr>
          <w:p w:rsidR="006765FF" w:rsidRPr="002529BD" w14:paraId="56F9AD86" w14:textId="77777777">
            <w:pPr>
              <w:keepNext/>
              <w:spacing w:after="0" w:line="240" w:lineRule="auto"/>
              <w:ind w:left="183" w:right="171"/>
              <w:jc w:val="center"/>
              <w:rPr>
                <w:rFonts w:ascii="Times New Roman" w:hAnsi="Times New Roman" w:cs="Times New Roman"/>
                <w:b/>
                <w:sz w:val="18"/>
                <w:szCs w:val="18"/>
              </w:rPr>
            </w:pPr>
            <w:r w:rsidRPr="002529BD">
              <w:rPr>
                <w:rFonts w:ascii="Times New Roman" w:hAnsi="Times New Roman" w:cs="Times New Roman"/>
                <w:b/>
                <w:sz w:val="18"/>
                <w:szCs w:val="18"/>
              </w:rPr>
              <w:t>Facility Type</w:t>
            </w:r>
          </w:p>
        </w:tc>
        <w:tc>
          <w:tcPr>
            <w:tcW w:w="1016" w:type="dxa"/>
            <w:vMerge w:val="restart"/>
            <w:shd w:val="clear" w:color="auto" w:fill="DADADA"/>
            <w:vAlign w:val="center"/>
          </w:tcPr>
          <w:p w:rsidR="006765FF" w:rsidRPr="002529BD" w14:paraId="4382E484" w14:textId="77777777">
            <w:pPr>
              <w:keepNext/>
              <w:spacing w:after="0" w:line="240" w:lineRule="auto"/>
              <w:ind w:left="93" w:right="57"/>
              <w:jc w:val="center"/>
              <w:rPr>
                <w:rFonts w:ascii="Times New Roman" w:hAnsi="Times New Roman" w:cs="Times New Roman"/>
                <w:b/>
                <w:sz w:val="18"/>
                <w:szCs w:val="18"/>
              </w:rPr>
            </w:pPr>
            <w:r w:rsidRPr="002529BD">
              <w:rPr>
                <w:rFonts w:ascii="Times New Roman" w:hAnsi="Times New Roman" w:cs="Times New Roman"/>
                <w:b/>
                <w:sz w:val="18"/>
                <w:szCs w:val="18"/>
              </w:rPr>
              <w:t>Capital Cost Annual</w:t>
            </w:r>
          </w:p>
          <w:p w:rsidR="006765FF" w:rsidRPr="002529BD" w14:paraId="0F8578F1" w14:textId="77777777">
            <w:pPr>
              <w:keepNext/>
              <w:spacing w:after="0" w:line="240" w:lineRule="auto"/>
              <w:ind w:left="88" w:right="64"/>
              <w:jc w:val="center"/>
              <w:rPr>
                <w:rFonts w:ascii="Times New Roman" w:hAnsi="Times New Roman" w:cs="Times New Roman"/>
                <w:b/>
                <w:sz w:val="18"/>
                <w:szCs w:val="18"/>
              </w:rPr>
            </w:pPr>
            <w:r w:rsidRPr="002529BD">
              <w:rPr>
                <w:rFonts w:ascii="Times New Roman" w:hAnsi="Times New Roman" w:cs="Times New Roman"/>
                <w:b/>
                <w:sz w:val="18"/>
                <w:szCs w:val="18"/>
              </w:rPr>
              <w:t>Frequency</w:t>
            </w:r>
          </w:p>
        </w:tc>
        <w:tc>
          <w:tcPr>
            <w:tcW w:w="922" w:type="dxa"/>
            <w:vMerge w:val="restart"/>
            <w:shd w:val="clear" w:color="auto" w:fill="D9D9D9" w:themeFill="background1" w:themeFillShade="D9"/>
            <w:vAlign w:val="center"/>
          </w:tcPr>
          <w:p w:rsidR="006765FF" w:rsidRPr="002529BD" w14:paraId="0E7D78FD" w14:textId="77777777">
            <w:pPr>
              <w:keepNext/>
              <w:spacing w:after="0" w:line="240" w:lineRule="auto"/>
              <w:ind w:left="93"/>
              <w:jc w:val="center"/>
              <w:rPr>
                <w:rFonts w:ascii="Times New Roman" w:hAnsi="Times New Roman" w:cs="Times New Roman"/>
                <w:b/>
                <w:sz w:val="18"/>
                <w:szCs w:val="18"/>
              </w:rPr>
            </w:pPr>
            <w:r w:rsidRPr="002529BD">
              <w:rPr>
                <w:rFonts w:ascii="Times New Roman" w:hAnsi="Times New Roman" w:cs="Times New Roman"/>
                <w:b/>
                <w:sz w:val="18"/>
                <w:szCs w:val="18"/>
              </w:rPr>
              <w:t>Unit Capital Cost</w:t>
            </w:r>
          </w:p>
        </w:tc>
        <w:tc>
          <w:tcPr>
            <w:tcW w:w="968" w:type="dxa"/>
            <w:vMerge w:val="restart"/>
            <w:shd w:val="clear" w:color="auto" w:fill="D9D9D9" w:themeFill="background1" w:themeFillShade="D9"/>
            <w:vAlign w:val="center"/>
          </w:tcPr>
          <w:p w:rsidR="006765FF" w:rsidRPr="002529BD" w14:paraId="7E9747AA" w14:textId="77777777">
            <w:pPr>
              <w:keepNext/>
              <w:spacing w:after="0" w:line="240" w:lineRule="auto"/>
              <w:ind w:left="93"/>
              <w:jc w:val="center"/>
              <w:rPr>
                <w:rFonts w:ascii="Times New Roman" w:hAnsi="Times New Roman" w:cs="Times New Roman"/>
                <w:b/>
                <w:sz w:val="18"/>
                <w:szCs w:val="18"/>
              </w:rPr>
            </w:pPr>
            <w:r w:rsidRPr="002529BD">
              <w:rPr>
                <w:rFonts w:ascii="Times New Roman" w:hAnsi="Times New Roman" w:cs="Times New Roman"/>
                <w:b/>
                <w:sz w:val="18"/>
                <w:szCs w:val="18"/>
              </w:rPr>
              <w:t>Unit Recurring Cost</w:t>
            </w:r>
          </w:p>
        </w:tc>
        <w:tc>
          <w:tcPr>
            <w:tcW w:w="900" w:type="dxa"/>
            <w:vMerge w:val="restart"/>
            <w:shd w:val="clear" w:color="auto" w:fill="DADADA"/>
            <w:vAlign w:val="center"/>
          </w:tcPr>
          <w:p w:rsidR="006765FF" w:rsidRPr="002529BD" w14:paraId="0CA54916" w14:textId="77777777">
            <w:pPr>
              <w:keepNext/>
              <w:spacing w:after="0" w:line="240" w:lineRule="auto"/>
              <w:ind w:left="98" w:right="76"/>
              <w:jc w:val="center"/>
              <w:rPr>
                <w:rFonts w:ascii="Times New Roman" w:hAnsi="Times New Roman" w:cs="Times New Roman"/>
                <w:b/>
                <w:sz w:val="18"/>
                <w:szCs w:val="18"/>
              </w:rPr>
            </w:pPr>
            <w:r w:rsidRPr="002529BD">
              <w:rPr>
                <w:rFonts w:ascii="Times New Roman" w:hAnsi="Times New Roman" w:cs="Times New Roman"/>
                <w:b/>
                <w:sz w:val="18"/>
                <w:szCs w:val="18"/>
              </w:rPr>
              <w:t>Facilities</w:t>
            </w:r>
          </w:p>
        </w:tc>
        <w:tc>
          <w:tcPr>
            <w:tcW w:w="6255" w:type="dxa"/>
            <w:gridSpan w:val="5"/>
            <w:shd w:val="clear" w:color="auto" w:fill="DADADA"/>
            <w:vAlign w:val="center"/>
          </w:tcPr>
          <w:p w:rsidR="006765FF" w:rsidRPr="002529BD" w14:paraId="3BF17C14" w14:textId="77777777">
            <w:pPr>
              <w:keepNext/>
              <w:spacing w:after="0" w:line="240" w:lineRule="auto"/>
              <w:ind w:left="91" w:right="55"/>
              <w:jc w:val="center"/>
              <w:rPr>
                <w:rFonts w:ascii="Times New Roman" w:hAnsi="Times New Roman" w:cs="Times New Roman"/>
                <w:b/>
                <w:sz w:val="18"/>
                <w:szCs w:val="18"/>
              </w:rPr>
            </w:pPr>
            <w:r w:rsidRPr="002529BD">
              <w:rPr>
                <w:rFonts w:ascii="Times New Roman" w:hAnsi="Times New Roman" w:cs="Times New Roman"/>
                <w:b/>
                <w:sz w:val="18"/>
                <w:szCs w:val="18"/>
              </w:rPr>
              <w:t>Total Annual</w:t>
            </w:r>
            <w:r>
              <w:rPr>
                <w:rFonts w:ascii="Times New Roman" w:hAnsi="Times New Roman" w:cs="Times New Roman"/>
                <w:b/>
                <w:sz w:val="18"/>
                <w:szCs w:val="18"/>
              </w:rPr>
              <w:t xml:space="preserve"> </w:t>
            </w:r>
            <w:r w:rsidRPr="002529BD">
              <w:rPr>
                <w:rFonts w:ascii="Times New Roman" w:hAnsi="Times New Roman" w:cs="Times New Roman"/>
                <w:b/>
                <w:sz w:val="18"/>
                <w:szCs w:val="18"/>
              </w:rPr>
              <w:t>Cost</w:t>
            </w:r>
            <w:r>
              <w:rPr>
                <w:rFonts w:ascii="Times New Roman" w:hAnsi="Times New Roman" w:cs="Times New Roman"/>
                <w:b/>
                <w:sz w:val="18"/>
                <w:szCs w:val="18"/>
              </w:rPr>
              <w:t xml:space="preserve"> in Year:</w:t>
            </w:r>
          </w:p>
        </w:tc>
      </w:tr>
      <w:tr w14:paraId="2A7E59C7" w14:textId="77777777" w:rsidTr="00F979ED">
        <w:tblPrEx>
          <w:tblW w:w="11315" w:type="dxa"/>
          <w:tblInd w:w="-983" w:type="dxa"/>
          <w:tblLayout w:type="fixed"/>
          <w:tblCellMar>
            <w:left w:w="0" w:type="dxa"/>
            <w:right w:w="0" w:type="dxa"/>
          </w:tblCellMar>
          <w:tblLook w:val="01E0"/>
        </w:tblPrEx>
        <w:trPr>
          <w:trHeight w:val="651"/>
        </w:trPr>
        <w:tc>
          <w:tcPr>
            <w:tcW w:w="1254" w:type="dxa"/>
            <w:vMerge/>
            <w:shd w:val="clear" w:color="auto" w:fill="DADADA"/>
            <w:vAlign w:val="center"/>
          </w:tcPr>
          <w:p w:rsidR="006765FF" w:rsidRPr="002529BD" w14:paraId="23FBD357" w14:textId="77777777">
            <w:pPr>
              <w:keepNext/>
              <w:spacing w:after="0" w:line="240" w:lineRule="auto"/>
              <w:ind w:left="183" w:right="171"/>
              <w:jc w:val="center"/>
              <w:rPr>
                <w:rFonts w:ascii="Times New Roman" w:hAnsi="Times New Roman" w:cs="Times New Roman"/>
                <w:b/>
                <w:sz w:val="18"/>
                <w:szCs w:val="18"/>
              </w:rPr>
            </w:pPr>
          </w:p>
        </w:tc>
        <w:tc>
          <w:tcPr>
            <w:tcW w:w="1016" w:type="dxa"/>
            <w:vMerge/>
            <w:shd w:val="clear" w:color="auto" w:fill="DADADA"/>
            <w:vAlign w:val="center"/>
          </w:tcPr>
          <w:p w:rsidR="006765FF" w:rsidRPr="002529BD" w14:paraId="0EE77B3D" w14:textId="77777777">
            <w:pPr>
              <w:keepNext/>
              <w:spacing w:after="0" w:line="240" w:lineRule="auto"/>
              <w:ind w:left="93" w:right="57"/>
              <w:jc w:val="center"/>
              <w:rPr>
                <w:rFonts w:ascii="Times New Roman" w:hAnsi="Times New Roman" w:cs="Times New Roman"/>
                <w:b/>
                <w:sz w:val="18"/>
                <w:szCs w:val="18"/>
              </w:rPr>
            </w:pPr>
          </w:p>
        </w:tc>
        <w:tc>
          <w:tcPr>
            <w:tcW w:w="922" w:type="dxa"/>
            <w:vMerge/>
            <w:shd w:val="clear" w:color="auto" w:fill="D9D9D9" w:themeFill="background1" w:themeFillShade="D9"/>
            <w:vAlign w:val="center"/>
          </w:tcPr>
          <w:p w:rsidR="006765FF" w:rsidRPr="002529BD" w14:paraId="616F8356" w14:textId="77777777">
            <w:pPr>
              <w:keepNext/>
              <w:spacing w:after="0" w:line="240" w:lineRule="auto"/>
              <w:ind w:left="93"/>
              <w:jc w:val="center"/>
              <w:rPr>
                <w:rFonts w:ascii="Times New Roman" w:hAnsi="Times New Roman" w:cs="Times New Roman"/>
                <w:b/>
                <w:sz w:val="18"/>
                <w:szCs w:val="18"/>
              </w:rPr>
            </w:pPr>
          </w:p>
        </w:tc>
        <w:tc>
          <w:tcPr>
            <w:tcW w:w="968" w:type="dxa"/>
            <w:vMerge/>
            <w:shd w:val="clear" w:color="auto" w:fill="D9D9D9" w:themeFill="background1" w:themeFillShade="D9"/>
            <w:vAlign w:val="center"/>
          </w:tcPr>
          <w:p w:rsidR="006765FF" w:rsidRPr="002529BD" w14:paraId="0E0E7295" w14:textId="77777777">
            <w:pPr>
              <w:keepNext/>
              <w:spacing w:after="0" w:line="240" w:lineRule="auto"/>
              <w:ind w:left="93"/>
              <w:jc w:val="center"/>
              <w:rPr>
                <w:rFonts w:ascii="Times New Roman" w:hAnsi="Times New Roman" w:cs="Times New Roman"/>
                <w:b/>
                <w:sz w:val="18"/>
                <w:szCs w:val="18"/>
              </w:rPr>
            </w:pPr>
          </w:p>
        </w:tc>
        <w:tc>
          <w:tcPr>
            <w:tcW w:w="900" w:type="dxa"/>
            <w:vMerge/>
            <w:shd w:val="clear" w:color="auto" w:fill="DADADA"/>
            <w:vAlign w:val="center"/>
          </w:tcPr>
          <w:p w:rsidR="006765FF" w:rsidRPr="002529BD" w14:paraId="5B4E66AA" w14:textId="77777777">
            <w:pPr>
              <w:keepNext/>
              <w:spacing w:after="0" w:line="240" w:lineRule="auto"/>
              <w:ind w:left="98" w:right="76"/>
              <w:jc w:val="center"/>
              <w:rPr>
                <w:rFonts w:ascii="Times New Roman" w:hAnsi="Times New Roman" w:cs="Times New Roman"/>
                <w:b/>
                <w:sz w:val="18"/>
                <w:szCs w:val="18"/>
              </w:rPr>
            </w:pPr>
          </w:p>
        </w:tc>
        <w:tc>
          <w:tcPr>
            <w:tcW w:w="1556" w:type="dxa"/>
            <w:shd w:val="clear" w:color="auto" w:fill="DADADA"/>
            <w:vAlign w:val="center"/>
          </w:tcPr>
          <w:p w:rsidR="006765FF" w:rsidRPr="002529BD" w14:paraId="69C56BDC"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1</w:t>
            </w:r>
          </w:p>
        </w:tc>
        <w:tc>
          <w:tcPr>
            <w:tcW w:w="1174" w:type="dxa"/>
            <w:shd w:val="clear" w:color="auto" w:fill="DADADA"/>
            <w:vAlign w:val="center"/>
          </w:tcPr>
          <w:p w:rsidR="006765FF" w:rsidRPr="002529BD" w14:paraId="55C7CA89"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2</w:t>
            </w:r>
          </w:p>
        </w:tc>
        <w:tc>
          <w:tcPr>
            <w:tcW w:w="1174" w:type="dxa"/>
            <w:shd w:val="clear" w:color="auto" w:fill="DADADA"/>
            <w:vAlign w:val="center"/>
          </w:tcPr>
          <w:p w:rsidR="006765FF" w:rsidRPr="002529BD" w14:paraId="6CB1CE05"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3</w:t>
            </w:r>
          </w:p>
        </w:tc>
        <w:tc>
          <w:tcPr>
            <w:tcW w:w="1174" w:type="dxa"/>
            <w:shd w:val="clear" w:color="auto" w:fill="DADADA"/>
            <w:vAlign w:val="center"/>
          </w:tcPr>
          <w:p w:rsidR="006765FF" w:rsidRPr="002529BD" w14:paraId="7C39975D"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4</w:t>
            </w:r>
          </w:p>
        </w:tc>
        <w:tc>
          <w:tcPr>
            <w:tcW w:w="1177" w:type="dxa"/>
            <w:shd w:val="clear" w:color="auto" w:fill="DADADA"/>
            <w:vAlign w:val="center"/>
          </w:tcPr>
          <w:p w:rsidR="006765FF" w:rsidRPr="002529BD" w14:paraId="4870CD3C"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5</w:t>
            </w:r>
          </w:p>
        </w:tc>
      </w:tr>
      <w:tr w14:paraId="670E1CE9" w14:textId="77777777" w:rsidTr="00F979ED">
        <w:tblPrEx>
          <w:tblW w:w="11315" w:type="dxa"/>
          <w:tblInd w:w="-983" w:type="dxa"/>
          <w:tblLayout w:type="fixed"/>
          <w:tblCellMar>
            <w:left w:w="0" w:type="dxa"/>
            <w:right w:w="0" w:type="dxa"/>
          </w:tblCellMar>
          <w:tblLook w:val="01E0"/>
        </w:tblPrEx>
        <w:trPr>
          <w:trHeight w:val="389"/>
        </w:trPr>
        <w:tc>
          <w:tcPr>
            <w:tcW w:w="1254" w:type="dxa"/>
            <w:tcBorders>
              <w:top w:val="single" w:sz="8" w:space="0" w:color="000000"/>
            </w:tcBorders>
            <w:vAlign w:val="center"/>
          </w:tcPr>
          <w:p w:rsidR="00F1551E" w:rsidRPr="002529BD" w:rsidP="00F1551E" w14:paraId="4C46FF1C" w14:textId="77777777">
            <w:pPr>
              <w:keepNext/>
              <w:spacing w:after="0" w:line="240" w:lineRule="auto"/>
              <w:ind w:left="183"/>
              <w:rPr>
                <w:rFonts w:ascii="Times New Roman" w:hAnsi="Times New Roman" w:cs="Times New Roman"/>
                <w:sz w:val="18"/>
                <w:szCs w:val="18"/>
              </w:rPr>
            </w:pPr>
            <w:r w:rsidRPr="002529BD">
              <w:rPr>
                <w:rFonts w:ascii="Times New Roman" w:hAnsi="Times New Roman" w:cs="Times New Roman"/>
                <w:sz w:val="18"/>
                <w:szCs w:val="18"/>
              </w:rPr>
              <w:t>Refineries</w:t>
            </w:r>
          </w:p>
        </w:tc>
        <w:tc>
          <w:tcPr>
            <w:tcW w:w="1016" w:type="dxa"/>
            <w:tcBorders>
              <w:top w:val="single" w:sz="8" w:space="0" w:color="000000"/>
            </w:tcBorders>
            <w:vAlign w:val="center"/>
          </w:tcPr>
          <w:p w:rsidR="00F1551E" w:rsidRPr="002529BD" w:rsidP="00F1551E" w14:paraId="5AB5AA84" w14:textId="77777777">
            <w:pPr>
              <w:keepNext/>
              <w:spacing w:after="0" w:line="240" w:lineRule="auto"/>
              <w:ind w:left="93" w:right="62"/>
              <w:jc w:val="center"/>
              <w:rPr>
                <w:rFonts w:ascii="Times New Roman" w:hAnsi="Times New Roman" w:cs="Times New Roman"/>
                <w:sz w:val="18"/>
                <w:szCs w:val="18"/>
              </w:rPr>
            </w:pPr>
            <w:r w:rsidRPr="002529BD">
              <w:rPr>
                <w:rFonts w:ascii="Times New Roman" w:hAnsi="Times New Roman" w:cs="Times New Roman"/>
                <w:sz w:val="18"/>
                <w:szCs w:val="18"/>
              </w:rPr>
              <w:t>0.2</w:t>
            </w:r>
          </w:p>
        </w:tc>
        <w:tc>
          <w:tcPr>
            <w:tcW w:w="922" w:type="dxa"/>
            <w:tcBorders>
              <w:top w:val="single" w:sz="8" w:space="0" w:color="000000"/>
            </w:tcBorders>
            <w:vAlign w:val="center"/>
          </w:tcPr>
          <w:p w:rsidR="00F1551E" w:rsidRPr="002529BD" w:rsidP="00F1551E" w14:paraId="065B5F86" w14:textId="77777777">
            <w:pPr>
              <w:keepNext/>
              <w:spacing w:after="0" w:line="240" w:lineRule="auto"/>
              <w:ind w:left="93"/>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4,449,414</w:t>
            </w:r>
          </w:p>
        </w:tc>
        <w:tc>
          <w:tcPr>
            <w:tcW w:w="968" w:type="dxa"/>
            <w:tcBorders>
              <w:top w:val="single" w:sz="8" w:space="0" w:color="000000"/>
            </w:tcBorders>
            <w:vAlign w:val="center"/>
          </w:tcPr>
          <w:p w:rsidR="00F1551E" w:rsidRPr="002529BD" w:rsidP="00F1551E" w14:paraId="7A6C5BC9" w14:textId="77777777">
            <w:pPr>
              <w:keepNext/>
              <w:spacing w:after="0" w:line="240" w:lineRule="auto"/>
              <w:ind w:left="93"/>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177,977</w:t>
            </w:r>
          </w:p>
        </w:tc>
        <w:tc>
          <w:tcPr>
            <w:tcW w:w="900" w:type="dxa"/>
            <w:tcBorders>
              <w:top w:val="single" w:sz="8" w:space="0" w:color="000000"/>
            </w:tcBorders>
            <w:vAlign w:val="center"/>
          </w:tcPr>
          <w:p w:rsidR="00F1551E" w:rsidRPr="002529BD" w:rsidP="00F1551E" w14:paraId="2A0A327F" w14:textId="4A2E3220">
            <w:pPr>
              <w:keepNext/>
              <w:spacing w:after="0" w:line="240" w:lineRule="auto"/>
              <w:ind w:left="98" w:right="69"/>
              <w:jc w:val="center"/>
              <w:rPr>
                <w:rFonts w:ascii="Times New Roman" w:hAnsi="Times New Roman" w:cs="Times New Roman"/>
                <w:sz w:val="18"/>
                <w:szCs w:val="18"/>
              </w:rPr>
            </w:pPr>
            <w:r>
              <w:rPr>
                <w:rFonts w:ascii="Times New Roman" w:hAnsi="Times New Roman" w:cs="Times New Roman"/>
                <w:sz w:val="18"/>
                <w:szCs w:val="18"/>
              </w:rPr>
              <w:t>138</w:t>
            </w:r>
          </w:p>
        </w:tc>
        <w:tc>
          <w:tcPr>
            <w:tcW w:w="1556" w:type="dxa"/>
            <w:tcBorders>
              <w:top w:val="single" w:sz="8" w:space="0" w:color="000000"/>
            </w:tcBorders>
            <w:vAlign w:val="center"/>
          </w:tcPr>
          <w:p w:rsidR="00F1551E" w:rsidRPr="002529BD" w:rsidP="00F1551E" w14:paraId="643FEB01"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127,715,968</w:t>
            </w:r>
          </w:p>
        </w:tc>
        <w:tc>
          <w:tcPr>
            <w:tcW w:w="1174" w:type="dxa"/>
            <w:tcBorders>
              <w:top w:val="single" w:sz="8" w:space="0" w:color="000000"/>
            </w:tcBorders>
            <w:vAlign w:val="center"/>
          </w:tcPr>
          <w:p w:rsidR="00F1551E" w:rsidRPr="002529BD" w:rsidP="00F1551E" w14:paraId="03278066"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132,628,120</w:t>
            </w:r>
          </w:p>
        </w:tc>
        <w:tc>
          <w:tcPr>
            <w:tcW w:w="1174" w:type="dxa"/>
            <w:tcBorders>
              <w:top w:val="single" w:sz="8" w:space="0" w:color="000000"/>
            </w:tcBorders>
            <w:vAlign w:val="center"/>
          </w:tcPr>
          <w:p w:rsidR="00F1551E" w:rsidRPr="002529BD" w:rsidP="00F1551E" w14:paraId="1D758646"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137,540,273</w:t>
            </w:r>
          </w:p>
        </w:tc>
        <w:tc>
          <w:tcPr>
            <w:tcW w:w="1174" w:type="dxa"/>
            <w:tcBorders>
              <w:top w:val="single" w:sz="8" w:space="0" w:color="000000"/>
            </w:tcBorders>
            <w:vAlign w:val="center"/>
          </w:tcPr>
          <w:p w:rsidR="00F1551E" w:rsidRPr="002529BD" w:rsidP="00F1551E" w14:paraId="40ACEE45"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142,452,425</w:t>
            </w:r>
          </w:p>
        </w:tc>
        <w:tc>
          <w:tcPr>
            <w:tcW w:w="1177" w:type="dxa"/>
            <w:tcBorders>
              <w:top w:val="single" w:sz="8" w:space="0" w:color="000000"/>
            </w:tcBorders>
            <w:vAlign w:val="center"/>
          </w:tcPr>
          <w:p w:rsidR="00F1551E" w:rsidRPr="002529BD" w:rsidP="00F1551E" w14:paraId="453D9872" w14:textId="77777777">
            <w:pPr>
              <w:keepNext/>
              <w:spacing w:after="0" w:line="240" w:lineRule="auto"/>
              <w:ind w:left="84" w:right="55"/>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147,364,578</w:t>
            </w:r>
          </w:p>
        </w:tc>
      </w:tr>
      <w:tr w14:paraId="23A03365" w14:textId="77777777" w:rsidTr="00F979ED">
        <w:tblPrEx>
          <w:tblW w:w="11315" w:type="dxa"/>
          <w:tblInd w:w="-983" w:type="dxa"/>
          <w:tblLayout w:type="fixed"/>
          <w:tblCellMar>
            <w:left w:w="0" w:type="dxa"/>
            <w:right w:w="0" w:type="dxa"/>
          </w:tblCellMar>
          <w:tblLook w:val="01E0"/>
        </w:tblPrEx>
        <w:trPr>
          <w:trHeight w:val="395"/>
        </w:trPr>
        <w:tc>
          <w:tcPr>
            <w:tcW w:w="1254" w:type="dxa"/>
            <w:vAlign w:val="center"/>
          </w:tcPr>
          <w:p w:rsidR="00F1551E" w:rsidRPr="002529BD" w:rsidP="00F1551E" w14:paraId="23780C22" w14:textId="77777777">
            <w:pPr>
              <w:spacing w:after="0" w:line="240" w:lineRule="auto"/>
              <w:ind w:left="183"/>
              <w:rPr>
                <w:rFonts w:ascii="Times New Roman" w:hAnsi="Times New Roman" w:cs="Times New Roman"/>
                <w:sz w:val="18"/>
                <w:szCs w:val="18"/>
              </w:rPr>
            </w:pPr>
            <w:r w:rsidRPr="002529BD">
              <w:rPr>
                <w:rFonts w:ascii="Times New Roman" w:hAnsi="Times New Roman" w:cs="Times New Roman"/>
                <w:sz w:val="18"/>
                <w:szCs w:val="18"/>
              </w:rPr>
              <w:t>Chemical Manufacturers</w:t>
            </w:r>
          </w:p>
        </w:tc>
        <w:tc>
          <w:tcPr>
            <w:tcW w:w="1016" w:type="dxa"/>
            <w:vAlign w:val="center"/>
          </w:tcPr>
          <w:p w:rsidR="00F1551E" w:rsidRPr="002529BD" w:rsidP="00F1551E" w14:paraId="4F7646FF" w14:textId="77777777">
            <w:pPr>
              <w:spacing w:after="0" w:line="240" w:lineRule="auto"/>
              <w:ind w:left="93" w:right="62"/>
              <w:jc w:val="center"/>
              <w:rPr>
                <w:rFonts w:ascii="Times New Roman" w:hAnsi="Times New Roman" w:cs="Times New Roman"/>
                <w:sz w:val="18"/>
                <w:szCs w:val="18"/>
              </w:rPr>
            </w:pPr>
            <w:r w:rsidRPr="002529BD">
              <w:rPr>
                <w:rFonts w:ascii="Times New Roman" w:hAnsi="Times New Roman" w:cs="Times New Roman"/>
                <w:sz w:val="18"/>
                <w:szCs w:val="18"/>
              </w:rPr>
              <w:t>0.2</w:t>
            </w:r>
          </w:p>
        </w:tc>
        <w:tc>
          <w:tcPr>
            <w:tcW w:w="922" w:type="dxa"/>
            <w:vAlign w:val="center"/>
          </w:tcPr>
          <w:p w:rsidR="00F1551E" w:rsidRPr="002529BD" w:rsidP="00F1551E" w14:paraId="078E8BE4" w14:textId="77777777">
            <w:pPr>
              <w:spacing w:after="0" w:line="240" w:lineRule="auto"/>
              <w:ind w:left="93"/>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546,494</w:t>
            </w:r>
          </w:p>
        </w:tc>
        <w:tc>
          <w:tcPr>
            <w:tcW w:w="968" w:type="dxa"/>
            <w:vAlign w:val="center"/>
          </w:tcPr>
          <w:p w:rsidR="00F1551E" w:rsidRPr="002529BD" w:rsidP="00F1551E" w14:paraId="029968D9" w14:textId="77777777">
            <w:pPr>
              <w:spacing w:after="0" w:line="240" w:lineRule="auto"/>
              <w:ind w:left="93"/>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21,860</w:t>
            </w:r>
          </w:p>
        </w:tc>
        <w:tc>
          <w:tcPr>
            <w:tcW w:w="900" w:type="dxa"/>
            <w:vAlign w:val="center"/>
          </w:tcPr>
          <w:p w:rsidR="00F1551E" w:rsidRPr="002529BD" w:rsidP="00F1551E" w14:paraId="5257F717" w14:textId="6945D6A8">
            <w:pPr>
              <w:spacing w:after="0" w:line="240" w:lineRule="auto"/>
              <w:ind w:left="98" w:right="69"/>
              <w:jc w:val="center"/>
              <w:rPr>
                <w:rFonts w:ascii="Times New Roman" w:hAnsi="Times New Roman" w:cs="Times New Roman"/>
                <w:sz w:val="18"/>
                <w:szCs w:val="18"/>
              </w:rPr>
            </w:pPr>
            <w:r>
              <w:rPr>
                <w:rFonts w:ascii="Times New Roman" w:hAnsi="Times New Roman" w:cs="Times New Roman"/>
                <w:sz w:val="18"/>
                <w:szCs w:val="18"/>
              </w:rPr>
              <w:t>1,376</w:t>
            </w:r>
          </w:p>
        </w:tc>
        <w:tc>
          <w:tcPr>
            <w:tcW w:w="1556" w:type="dxa"/>
            <w:vAlign w:val="center"/>
          </w:tcPr>
          <w:p w:rsidR="00F1551E" w:rsidRPr="002529BD" w:rsidP="00F1551E" w14:paraId="13AF1849"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156,411,007</w:t>
            </w:r>
          </w:p>
        </w:tc>
        <w:tc>
          <w:tcPr>
            <w:tcW w:w="1174" w:type="dxa"/>
            <w:vAlign w:val="center"/>
          </w:tcPr>
          <w:p w:rsidR="00F1551E" w:rsidRPr="002529BD" w:rsidP="00F1551E" w14:paraId="3F43545A"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162,426,815</w:t>
            </w:r>
          </w:p>
        </w:tc>
        <w:tc>
          <w:tcPr>
            <w:tcW w:w="1174" w:type="dxa"/>
            <w:vAlign w:val="center"/>
          </w:tcPr>
          <w:p w:rsidR="00F1551E" w:rsidRPr="002529BD" w:rsidP="00F1551E" w14:paraId="1507E481"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168,442,623</w:t>
            </w:r>
          </w:p>
        </w:tc>
        <w:tc>
          <w:tcPr>
            <w:tcW w:w="1174" w:type="dxa"/>
            <w:vAlign w:val="center"/>
          </w:tcPr>
          <w:p w:rsidR="00F1551E" w:rsidRPr="002529BD" w:rsidP="00F1551E" w14:paraId="6AD5DA3D"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174,458,431</w:t>
            </w:r>
          </w:p>
        </w:tc>
        <w:tc>
          <w:tcPr>
            <w:tcW w:w="1177" w:type="dxa"/>
            <w:vAlign w:val="center"/>
          </w:tcPr>
          <w:p w:rsidR="00F1551E" w:rsidRPr="002529BD" w:rsidP="00F1551E" w14:paraId="29224AE6" w14:textId="77777777">
            <w:pPr>
              <w:spacing w:after="0" w:line="240" w:lineRule="auto"/>
              <w:ind w:left="69" w:right="55"/>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180,474,239</w:t>
            </w:r>
          </w:p>
        </w:tc>
      </w:tr>
      <w:tr w14:paraId="00767007" w14:textId="77777777" w:rsidTr="00F979ED">
        <w:tblPrEx>
          <w:tblW w:w="11315" w:type="dxa"/>
          <w:tblInd w:w="-983" w:type="dxa"/>
          <w:tblLayout w:type="fixed"/>
          <w:tblCellMar>
            <w:left w:w="0" w:type="dxa"/>
            <w:right w:w="0" w:type="dxa"/>
          </w:tblCellMar>
          <w:tblLook w:val="01E0"/>
        </w:tblPrEx>
        <w:trPr>
          <w:trHeight w:val="395"/>
        </w:trPr>
        <w:tc>
          <w:tcPr>
            <w:tcW w:w="1254" w:type="dxa"/>
            <w:vAlign w:val="center"/>
          </w:tcPr>
          <w:p w:rsidR="00F1551E" w:rsidRPr="002529BD" w:rsidP="00F1551E" w14:paraId="53E07B5D" w14:textId="77777777">
            <w:pPr>
              <w:spacing w:after="0" w:line="240" w:lineRule="auto"/>
              <w:ind w:left="183"/>
              <w:rPr>
                <w:rFonts w:ascii="Times New Roman" w:hAnsi="Times New Roman" w:cs="Times New Roman"/>
                <w:b/>
                <w:sz w:val="18"/>
                <w:szCs w:val="18"/>
              </w:rPr>
            </w:pPr>
            <w:r w:rsidRPr="002529BD">
              <w:rPr>
                <w:rFonts w:ascii="Times New Roman" w:hAnsi="Times New Roman" w:cs="Times New Roman"/>
                <w:b/>
                <w:sz w:val="18"/>
                <w:szCs w:val="18"/>
              </w:rPr>
              <w:t>Total</w:t>
            </w:r>
          </w:p>
        </w:tc>
        <w:tc>
          <w:tcPr>
            <w:tcW w:w="1016" w:type="dxa"/>
            <w:vAlign w:val="center"/>
          </w:tcPr>
          <w:p w:rsidR="00F1551E" w:rsidRPr="002529BD" w:rsidP="00F1551E" w14:paraId="65E9782C" w14:textId="77777777">
            <w:pPr>
              <w:spacing w:after="0" w:line="240" w:lineRule="auto"/>
              <w:ind w:left="93" w:right="62"/>
              <w:jc w:val="center"/>
              <w:rPr>
                <w:rFonts w:ascii="Times New Roman" w:hAnsi="Times New Roman" w:cs="Times New Roman"/>
                <w:b/>
                <w:sz w:val="18"/>
                <w:szCs w:val="18"/>
              </w:rPr>
            </w:pPr>
          </w:p>
        </w:tc>
        <w:tc>
          <w:tcPr>
            <w:tcW w:w="922" w:type="dxa"/>
            <w:vAlign w:val="center"/>
          </w:tcPr>
          <w:p w:rsidR="00F1551E" w:rsidRPr="002529BD" w:rsidP="00F1551E" w14:paraId="48B42493" w14:textId="77777777">
            <w:pPr>
              <w:spacing w:after="0" w:line="240" w:lineRule="auto"/>
              <w:ind w:left="93"/>
              <w:jc w:val="center"/>
              <w:rPr>
                <w:rFonts w:ascii="Times New Roman" w:hAnsi="Times New Roman" w:cs="Times New Roman"/>
                <w:b/>
                <w:sz w:val="18"/>
                <w:szCs w:val="18"/>
              </w:rPr>
            </w:pPr>
          </w:p>
        </w:tc>
        <w:tc>
          <w:tcPr>
            <w:tcW w:w="968" w:type="dxa"/>
            <w:vAlign w:val="center"/>
          </w:tcPr>
          <w:p w:rsidR="00F1551E" w:rsidRPr="002529BD" w:rsidP="00F1551E" w14:paraId="41EBE728" w14:textId="77777777">
            <w:pPr>
              <w:spacing w:after="0" w:line="240" w:lineRule="auto"/>
              <w:ind w:left="93"/>
              <w:jc w:val="center"/>
              <w:rPr>
                <w:rFonts w:ascii="Times New Roman" w:hAnsi="Times New Roman" w:cs="Times New Roman"/>
                <w:b/>
                <w:sz w:val="18"/>
                <w:szCs w:val="18"/>
              </w:rPr>
            </w:pPr>
          </w:p>
        </w:tc>
        <w:tc>
          <w:tcPr>
            <w:tcW w:w="900" w:type="dxa"/>
            <w:vAlign w:val="center"/>
          </w:tcPr>
          <w:p w:rsidR="00F1551E" w:rsidRPr="002529BD" w:rsidP="00F1551E" w14:paraId="120FB583" w14:textId="3748CD7D">
            <w:pPr>
              <w:spacing w:after="0" w:line="240" w:lineRule="auto"/>
              <w:ind w:left="98" w:right="69"/>
              <w:jc w:val="center"/>
              <w:rPr>
                <w:rFonts w:ascii="Times New Roman" w:hAnsi="Times New Roman" w:cs="Times New Roman"/>
                <w:b/>
                <w:sz w:val="18"/>
                <w:szCs w:val="18"/>
              </w:rPr>
            </w:pPr>
            <w:r>
              <w:rPr>
                <w:rFonts w:ascii="Times New Roman" w:hAnsi="Times New Roman" w:cs="Times New Roman"/>
                <w:b/>
                <w:sz w:val="18"/>
                <w:szCs w:val="18"/>
              </w:rPr>
              <w:t>1,514</w:t>
            </w:r>
          </w:p>
        </w:tc>
        <w:tc>
          <w:tcPr>
            <w:tcW w:w="1556" w:type="dxa"/>
            <w:vAlign w:val="center"/>
          </w:tcPr>
          <w:p w:rsidR="00F1551E" w:rsidRPr="002529BD" w:rsidP="00F1551E" w14:paraId="7FB31D1B"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Pr>
                <w:rFonts w:ascii="Times New Roman" w:hAnsi="Times New Roman" w:cs="Times New Roman"/>
                <w:b/>
                <w:color w:val="000000"/>
                <w:sz w:val="18"/>
                <w:szCs w:val="18"/>
              </w:rPr>
              <w:t>284,126,974</w:t>
            </w:r>
          </w:p>
        </w:tc>
        <w:tc>
          <w:tcPr>
            <w:tcW w:w="1174" w:type="dxa"/>
            <w:vAlign w:val="center"/>
          </w:tcPr>
          <w:p w:rsidR="00F1551E" w:rsidRPr="002529BD" w:rsidP="00F1551E" w14:paraId="15708FB2"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Pr>
                <w:rFonts w:ascii="Times New Roman" w:hAnsi="Times New Roman" w:cs="Times New Roman"/>
                <w:b/>
                <w:color w:val="000000"/>
                <w:sz w:val="18"/>
                <w:szCs w:val="18"/>
              </w:rPr>
              <w:t>295,054,935</w:t>
            </w:r>
          </w:p>
        </w:tc>
        <w:tc>
          <w:tcPr>
            <w:tcW w:w="1174" w:type="dxa"/>
            <w:vAlign w:val="center"/>
          </w:tcPr>
          <w:p w:rsidR="00F1551E" w:rsidRPr="002529BD" w:rsidP="00F1551E" w14:paraId="1A454EF2"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Pr>
                <w:rFonts w:ascii="Times New Roman" w:hAnsi="Times New Roman" w:cs="Times New Roman"/>
                <w:b/>
                <w:color w:val="000000"/>
                <w:sz w:val="18"/>
                <w:szCs w:val="18"/>
              </w:rPr>
              <w:t>305,982,896</w:t>
            </w:r>
          </w:p>
        </w:tc>
        <w:tc>
          <w:tcPr>
            <w:tcW w:w="1174" w:type="dxa"/>
            <w:vAlign w:val="center"/>
          </w:tcPr>
          <w:p w:rsidR="00F1551E" w:rsidRPr="002529BD" w:rsidP="00F1551E" w14:paraId="6FF264FD"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Pr>
                <w:rFonts w:ascii="Times New Roman" w:hAnsi="Times New Roman" w:cs="Times New Roman"/>
                <w:b/>
                <w:color w:val="000000"/>
                <w:sz w:val="18"/>
                <w:szCs w:val="18"/>
              </w:rPr>
              <w:t>316,910,856</w:t>
            </w:r>
          </w:p>
        </w:tc>
        <w:tc>
          <w:tcPr>
            <w:tcW w:w="1177" w:type="dxa"/>
            <w:vAlign w:val="center"/>
          </w:tcPr>
          <w:p w:rsidR="00F1551E" w:rsidRPr="002529BD" w:rsidP="00F1551E" w14:paraId="41193E43" w14:textId="77777777">
            <w:pPr>
              <w:spacing w:after="0" w:line="240" w:lineRule="auto"/>
              <w:ind w:left="69" w:right="55"/>
              <w:jc w:val="center"/>
              <w:rPr>
                <w:rFonts w:ascii="Times New Roman" w:hAnsi="Times New Roman" w:cs="Times New Roman"/>
                <w:b/>
                <w:sz w:val="18"/>
                <w:szCs w:val="18"/>
              </w:rPr>
            </w:pPr>
            <w:r w:rsidRPr="002529BD">
              <w:rPr>
                <w:rFonts w:ascii="Times New Roman" w:hAnsi="Times New Roman" w:cs="Times New Roman"/>
                <w:b/>
                <w:color w:val="000000"/>
                <w:sz w:val="18"/>
                <w:szCs w:val="18"/>
              </w:rPr>
              <w:t>$</w:t>
            </w:r>
            <w:r>
              <w:rPr>
                <w:rFonts w:ascii="Times New Roman" w:hAnsi="Times New Roman" w:cs="Times New Roman"/>
                <w:b/>
                <w:color w:val="000000"/>
                <w:sz w:val="18"/>
                <w:szCs w:val="18"/>
              </w:rPr>
              <w:t>327,838,817</w:t>
            </w:r>
          </w:p>
        </w:tc>
      </w:tr>
    </w:tbl>
    <w:p w:rsidR="006765FF" w:rsidRPr="00D21E4B" w:rsidP="00ED781E" w14:paraId="5AB46E4B" w14:textId="77777777">
      <w:pPr>
        <w:keepNext/>
        <w:spacing w:after="0" w:line="240" w:lineRule="auto"/>
        <w:rPr>
          <w:rFonts w:ascii="Times New Roman" w:hAnsi="Times New Roman" w:cs="Times New Roman"/>
          <w:sz w:val="18"/>
          <w:szCs w:val="18"/>
        </w:rPr>
      </w:pPr>
      <w:r w:rsidRPr="00D21E4B">
        <w:rPr>
          <w:rFonts w:ascii="Times New Roman" w:hAnsi="Times New Roman" w:cs="Times New Roman"/>
          <w:w w:val="105"/>
          <w:position w:val="6"/>
          <w:sz w:val="18"/>
          <w:szCs w:val="18"/>
        </w:rPr>
        <w:t>*</w:t>
      </w:r>
      <w:r w:rsidRPr="00D21E4B">
        <w:rPr>
          <w:rFonts w:ascii="Times New Roman" w:hAnsi="Times New Roman" w:cs="Times New Roman"/>
          <w:w w:val="105"/>
          <w:sz w:val="18"/>
          <w:szCs w:val="18"/>
        </w:rPr>
        <w:t>Totals may not sum due to rounding</w:t>
      </w:r>
      <w:r>
        <w:rPr>
          <w:rFonts w:ascii="Times New Roman" w:hAnsi="Times New Roman" w:cs="Times New Roman"/>
          <w:w w:val="105"/>
          <w:sz w:val="18"/>
          <w:szCs w:val="18"/>
        </w:rPr>
        <w:t>.</w:t>
      </w:r>
    </w:p>
    <w:p w:rsidR="006765FF" w:rsidRPr="00BF4D0A" w:rsidP="006765FF" w14:paraId="56F82476" w14:textId="77777777">
      <w:pPr>
        <w:spacing w:after="0" w:line="240" w:lineRule="auto"/>
        <w:rPr>
          <w:rFonts w:ascii="Times New Roman" w:hAnsi="Times New Roman" w:cs="Times New Roman"/>
        </w:rPr>
      </w:pPr>
    </w:p>
    <w:p w:rsidR="006765FF" w:rsidP="006765FF" w14:paraId="089BB9C8" w14:textId="77777777">
      <w:pPr>
        <w:pStyle w:val="Caption"/>
        <w:jc w:val="center"/>
      </w:pPr>
      <w:r w:rsidRPr="00B87FD9">
        <w:rPr>
          <w:rFonts w:ascii="Times New Roman" w:hAnsi="Times New Roman" w:cs="Times New Roman"/>
          <w:b/>
          <w:bCs/>
          <w:i w:val="0"/>
          <w:iCs w:val="0"/>
          <w:color w:val="auto"/>
          <w:sz w:val="22"/>
          <w:szCs w:val="22"/>
        </w:rPr>
        <w:t xml:space="preserve">Exhibit </w:t>
      </w:r>
      <w:r w:rsidR="00102C01">
        <w:rPr>
          <w:rFonts w:ascii="Times New Roman" w:hAnsi="Times New Roman" w:cs="Times New Roman"/>
          <w:b/>
          <w:bCs/>
          <w:i w:val="0"/>
          <w:iCs w:val="0"/>
          <w:color w:val="auto"/>
          <w:sz w:val="22"/>
          <w:szCs w:val="22"/>
        </w:rPr>
        <w:t>7</w:t>
      </w:r>
      <w:r w:rsidRPr="00D21E4B">
        <w:rPr>
          <w:rFonts w:ascii="Times New Roman" w:hAnsi="Times New Roman" w:cs="Times New Roman"/>
          <w:b/>
          <w:bCs/>
          <w:i w:val="0"/>
          <w:iCs w:val="0"/>
          <w:color w:val="auto"/>
          <w:sz w:val="22"/>
          <w:szCs w:val="22"/>
        </w:rPr>
        <w:t>-</w:t>
      </w:r>
      <w:r w:rsidR="00102C01">
        <w:rPr>
          <w:rFonts w:ascii="Times New Roman" w:hAnsi="Times New Roman" w:cs="Times New Roman"/>
          <w:b/>
          <w:bCs/>
          <w:i w:val="0"/>
          <w:iCs w:val="0"/>
          <w:color w:val="auto"/>
          <w:sz w:val="22"/>
          <w:szCs w:val="22"/>
        </w:rPr>
        <w:t>7</w:t>
      </w:r>
      <w:r w:rsidRPr="00D21E4B">
        <w:rPr>
          <w:rFonts w:ascii="Times New Roman" w:hAnsi="Times New Roman" w:cs="Times New Roman"/>
          <w:b/>
          <w:bCs/>
          <w:i w:val="0"/>
          <w:iCs w:val="0"/>
          <w:color w:val="auto"/>
          <w:sz w:val="22"/>
          <w:szCs w:val="22"/>
        </w:rPr>
        <w:t xml:space="preserve">: </w:t>
      </w:r>
      <w:r w:rsidRPr="00102C01" w:rsidR="00102C01">
        <w:rPr>
          <w:rFonts w:ascii="Times New Roman" w:hAnsi="Times New Roman" w:cs="Times New Roman"/>
          <w:b/>
          <w:bCs/>
          <w:i w:val="0"/>
          <w:iCs w:val="0"/>
          <w:color w:val="auto"/>
          <w:sz w:val="22"/>
          <w:szCs w:val="22"/>
        </w:rPr>
        <w:t>Total</w:t>
      </w:r>
      <w:r w:rsidRPr="00D21E4B">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Annual</w:t>
      </w:r>
      <w:r w:rsidRPr="00D21E4B">
        <w:rPr>
          <w:rFonts w:ascii="Times New Roman" w:hAnsi="Times New Roman" w:cs="Times New Roman"/>
          <w:b/>
          <w:bCs/>
          <w:i w:val="0"/>
          <w:iCs w:val="0"/>
          <w:color w:val="auto"/>
          <w:sz w:val="22"/>
          <w:szCs w:val="22"/>
        </w:rPr>
        <w:t xml:space="preserve"> </w:t>
      </w:r>
      <w:r w:rsidRPr="00102C01" w:rsidR="00102C01">
        <w:rPr>
          <w:rFonts w:ascii="Times New Roman" w:hAnsi="Times New Roman" w:cs="Times New Roman"/>
          <w:b/>
          <w:bCs/>
          <w:i w:val="0"/>
          <w:iCs w:val="0"/>
          <w:color w:val="auto"/>
          <w:sz w:val="22"/>
          <w:szCs w:val="22"/>
        </w:rPr>
        <w:t xml:space="preserve">Undiscounted </w:t>
      </w:r>
      <w:r w:rsidRPr="00D21E4B">
        <w:rPr>
          <w:rFonts w:ascii="Times New Roman" w:hAnsi="Times New Roman" w:cs="Times New Roman"/>
          <w:b/>
          <w:bCs/>
          <w:i w:val="0"/>
          <w:iCs w:val="0"/>
          <w:color w:val="auto"/>
          <w:sz w:val="22"/>
          <w:szCs w:val="22"/>
        </w:rPr>
        <w:t xml:space="preserve">Costs for STAA </w:t>
      </w:r>
      <w:r>
        <w:rPr>
          <w:rFonts w:ascii="Times New Roman" w:hAnsi="Times New Roman" w:cs="Times New Roman"/>
          <w:b/>
          <w:bCs/>
          <w:i w:val="0"/>
          <w:iCs w:val="0"/>
          <w:color w:val="auto"/>
          <w:sz w:val="22"/>
          <w:szCs w:val="22"/>
        </w:rPr>
        <w:t xml:space="preserve">Implementation </w:t>
      </w:r>
      <w:r w:rsidRPr="00102C01" w:rsidR="00102C01">
        <w:rPr>
          <w:rFonts w:ascii="Times New Roman" w:hAnsi="Times New Roman" w:cs="Times New Roman"/>
          <w:b/>
          <w:bCs/>
          <w:i w:val="0"/>
          <w:iCs w:val="0"/>
          <w:color w:val="auto"/>
          <w:sz w:val="22"/>
          <w:szCs w:val="22"/>
        </w:rPr>
        <w:t>Provision Higher</w:t>
      </w:r>
      <w:r w:rsidR="00240448">
        <w:rPr>
          <w:rFonts w:ascii="Times New Roman" w:hAnsi="Times New Roman" w:cs="Times New Roman"/>
          <w:b/>
          <w:bCs/>
          <w:i w:val="0"/>
          <w:iCs w:val="0"/>
          <w:color w:val="auto"/>
          <w:sz w:val="22"/>
          <w:szCs w:val="22"/>
        </w:rPr>
        <w:t xml:space="preserve"> C</w:t>
      </w:r>
      <w:r w:rsidRPr="00102C01" w:rsidR="00102C01">
        <w:rPr>
          <w:rFonts w:ascii="Times New Roman" w:hAnsi="Times New Roman" w:cs="Times New Roman"/>
          <w:b/>
          <w:bCs/>
          <w:i w:val="0"/>
          <w:iCs w:val="0"/>
          <w:color w:val="auto"/>
          <w:sz w:val="22"/>
          <w:szCs w:val="22"/>
        </w:rPr>
        <w:t>ost Regulatory Alternative</w:t>
      </w:r>
      <w:r>
        <w:rPr>
          <w:rFonts w:ascii="Times New Roman" w:hAnsi="Times New Roman" w:cs="Times New Roman"/>
          <w:b/>
          <w:bCs/>
          <w:i w:val="0"/>
          <w:iCs w:val="0"/>
          <w:color w:val="auto"/>
          <w:sz w:val="22"/>
          <w:szCs w:val="22"/>
        </w:rPr>
        <w:t xml:space="preserve"> Years 6-10</w:t>
      </w:r>
      <w:r w:rsidRPr="00D21E4B">
        <w:rPr>
          <w:rFonts w:ascii="Times New Roman" w:hAnsi="Times New Roman" w:cs="Times New Roman"/>
          <w:b/>
          <w:bCs/>
          <w:i w:val="0"/>
          <w:iCs w:val="0"/>
          <w:color w:val="auto"/>
          <w:sz w:val="22"/>
          <w:szCs w:val="22"/>
        </w:rPr>
        <w:t xml:space="preserve"> (202</w:t>
      </w:r>
      <w:r>
        <w:rPr>
          <w:rFonts w:ascii="Times New Roman" w:hAnsi="Times New Roman" w:cs="Times New Roman"/>
          <w:b/>
          <w:bCs/>
          <w:i w:val="0"/>
          <w:iCs w:val="0"/>
          <w:color w:val="auto"/>
          <w:sz w:val="22"/>
          <w:szCs w:val="22"/>
        </w:rPr>
        <w:t>2</w:t>
      </w:r>
      <w:r w:rsidRPr="00D21E4B">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d</w:t>
      </w:r>
      <w:r w:rsidRPr="00D21E4B">
        <w:rPr>
          <w:rFonts w:ascii="Times New Roman" w:hAnsi="Times New Roman" w:cs="Times New Roman"/>
          <w:b/>
          <w:bCs/>
          <w:i w:val="0"/>
          <w:iCs w:val="0"/>
          <w:color w:val="auto"/>
          <w:sz w:val="22"/>
          <w:szCs w:val="22"/>
        </w:rPr>
        <w:t>ollars).</w:t>
      </w:r>
    </w:p>
    <w:tbl>
      <w:tblPr>
        <w:tblW w:w="11312" w:type="dxa"/>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54"/>
        <w:gridCol w:w="1016"/>
        <w:gridCol w:w="922"/>
        <w:gridCol w:w="968"/>
        <w:gridCol w:w="900"/>
        <w:gridCol w:w="1554"/>
        <w:gridCol w:w="1173"/>
        <w:gridCol w:w="1173"/>
        <w:gridCol w:w="1173"/>
        <w:gridCol w:w="1179"/>
      </w:tblGrid>
      <w:tr w14:paraId="76DA53D0" w14:textId="77777777" w:rsidTr="00F979ED">
        <w:tblPrEx>
          <w:tblW w:w="11312" w:type="dxa"/>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616"/>
        </w:trPr>
        <w:tc>
          <w:tcPr>
            <w:tcW w:w="1254" w:type="dxa"/>
            <w:vMerge w:val="restart"/>
            <w:shd w:val="clear" w:color="auto" w:fill="DADADA"/>
            <w:vAlign w:val="center"/>
          </w:tcPr>
          <w:p w:rsidR="006765FF" w:rsidRPr="002529BD" w14:paraId="5932EB3F" w14:textId="77777777">
            <w:pPr>
              <w:keepNext/>
              <w:spacing w:after="0" w:line="240" w:lineRule="auto"/>
              <w:ind w:left="183" w:right="171"/>
              <w:jc w:val="center"/>
              <w:rPr>
                <w:rFonts w:ascii="Times New Roman" w:hAnsi="Times New Roman" w:cs="Times New Roman"/>
                <w:b/>
                <w:sz w:val="18"/>
                <w:szCs w:val="18"/>
              </w:rPr>
            </w:pPr>
            <w:r w:rsidRPr="002529BD">
              <w:rPr>
                <w:rFonts w:ascii="Times New Roman" w:hAnsi="Times New Roman" w:cs="Times New Roman"/>
                <w:b/>
                <w:sz w:val="18"/>
                <w:szCs w:val="18"/>
              </w:rPr>
              <w:t>Facility Type</w:t>
            </w:r>
          </w:p>
        </w:tc>
        <w:tc>
          <w:tcPr>
            <w:tcW w:w="1016" w:type="dxa"/>
            <w:vMerge w:val="restart"/>
            <w:shd w:val="clear" w:color="auto" w:fill="DADADA"/>
            <w:vAlign w:val="center"/>
          </w:tcPr>
          <w:p w:rsidR="006765FF" w:rsidRPr="002529BD" w14:paraId="1177B591" w14:textId="77777777">
            <w:pPr>
              <w:keepNext/>
              <w:spacing w:after="0" w:line="240" w:lineRule="auto"/>
              <w:ind w:left="93" w:right="57"/>
              <w:jc w:val="center"/>
              <w:rPr>
                <w:rFonts w:ascii="Times New Roman" w:hAnsi="Times New Roman" w:cs="Times New Roman"/>
                <w:b/>
                <w:sz w:val="18"/>
                <w:szCs w:val="18"/>
              </w:rPr>
            </w:pPr>
            <w:r w:rsidRPr="002529BD">
              <w:rPr>
                <w:rFonts w:ascii="Times New Roman" w:hAnsi="Times New Roman" w:cs="Times New Roman"/>
                <w:b/>
                <w:sz w:val="18"/>
                <w:szCs w:val="18"/>
              </w:rPr>
              <w:t>Capital Cost Annual</w:t>
            </w:r>
          </w:p>
          <w:p w:rsidR="006765FF" w:rsidRPr="002529BD" w14:paraId="387D41CF" w14:textId="77777777">
            <w:pPr>
              <w:keepNext/>
              <w:spacing w:after="0" w:line="240" w:lineRule="auto"/>
              <w:ind w:left="88" w:right="64"/>
              <w:jc w:val="center"/>
              <w:rPr>
                <w:rFonts w:ascii="Times New Roman" w:hAnsi="Times New Roman" w:cs="Times New Roman"/>
                <w:b/>
                <w:sz w:val="18"/>
                <w:szCs w:val="18"/>
              </w:rPr>
            </w:pPr>
            <w:r w:rsidRPr="002529BD">
              <w:rPr>
                <w:rFonts w:ascii="Times New Roman" w:hAnsi="Times New Roman" w:cs="Times New Roman"/>
                <w:b/>
                <w:sz w:val="18"/>
                <w:szCs w:val="18"/>
              </w:rPr>
              <w:t>Frequency</w:t>
            </w:r>
          </w:p>
        </w:tc>
        <w:tc>
          <w:tcPr>
            <w:tcW w:w="922" w:type="dxa"/>
            <w:vMerge w:val="restart"/>
            <w:shd w:val="clear" w:color="auto" w:fill="D9D9D9" w:themeFill="background1" w:themeFillShade="D9"/>
            <w:vAlign w:val="center"/>
          </w:tcPr>
          <w:p w:rsidR="006765FF" w:rsidRPr="002529BD" w14:paraId="38527CA3" w14:textId="77777777">
            <w:pPr>
              <w:keepNext/>
              <w:spacing w:after="0" w:line="240" w:lineRule="auto"/>
              <w:ind w:left="93"/>
              <w:jc w:val="center"/>
              <w:rPr>
                <w:rFonts w:ascii="Times New Roman" w:hAnsi="Times New Roman" w:cs="Times New Roman"/>
                <w:b/>
                <w:sz w:val="18"/>
                <w:szCs w:val="18"/>
              </w:rPr>
            </w:pPr>
            <w:r w:rsidRPr="002529BD">
              <w:rPr>
                <w:rFonts w:ascii="Times New Roman" w:hAnsi="Times New Roman" w:cs="Times New Roman"/>
                <w:b/>
                <w:sz w:val="18"/>
                <w:szCs w:val="18"/>
              </w:rPr>
              <w:t>Unit Capital Cost</w:t>
            </w:r>
          </w:p>
        </w:tc>
        <w:tc>
          <w:tcPr>
            <w:tcW w:w="968" w:type="dxa"/>
            <w:vMerge w:val="restart"/>
            <w:shd w:val="clear" w:color="auto" w:fill="D9D9D9" w:themeFill="background1" w:themeFillShade="D9"/>
            <w:vAlign w:val="center"/>
          </w:tcPr>
          <w:p w:rsidR="006765FF" w:rsidRPr="002529BD" w14:paraId="4F845C45" w14:textId="77777777">
            <w:pPr>
              <w:keepNext/>
              <w:spacing w:after="0" w:line="240" w:lineRule="auto"/>
              <w:ind w:left="93"/>
              <w:jc w:val="center"/>
              <w:rPr>
                <w:rFonts w:ascii="Times New Roman" w:hAnsi="Times New Roman" w:cs="Times New Roman"/>
                <w:b/>
                <w:sz w:val="18"/>
                <w:szCs w:val="18"/>
              </w:rPr>
            </w:pPr>
            <w:r w:rsidRPr="002529BD">
              <w:rPr>
                <w:rFonts w:ascii="Times New Roman" w:hAnsi="Times New Roman" w:cs="Times New Roman"/>
                <w:b/>
                <w:sz w:val="18"/>
                <w:szCs w:val="18"/>
              </w:rPr>
              <w:t>Unit Recurring Cost</w:t>
            </w:r>
          </w:p>
        </w:tc>
        <w:tc>
          <w:tcPr>
            <w:tcW w:w="900" w:type="dxa"/>
            <w:vMerge w:val="restart"/>
            <w:shd w:val="clear" w:color="auto" w:fill="DADADA"/>
            <w:vAlign w:val="center"/>
          </w:tcPr>
          <w:p w:rsidR="006765FF" w:rsidRPr="002529BD" w14:paraId="23D4A1DA" w14:textId="77777777">
            <w:pPr>
              <w:keepNext/>
              <w:spacing w:after="0" w:line="240" w:lineRule="auto"/>
              <w:ind w:left="98" w:right="76"/>
              <w:jc w:val="center"/>
              <w:rPr>
                <w:rFonts w:ascii="Times New Roman" w:hAnsi="Times New Roman" w:cs="Times New Roman"/>
                <w:b/>
                <w:sz w:val="18"/>
                <w:szCs w:val="18"/>
              </w:rPr>
            </w:pPr>
            <w:r w:rsidRPr="002529BD">
              <w:rPr>
                <w:rFonts w:ascii="Times New Roman" w:hAnsi="Times New Roman" w:cs="Times New Roman"/>
                <w:b/>
                <w:sz w:val="18"/>
                <w:szCs w:val="18"/>
              </w:rPr>
              <w:t>Facilities</w:t>
            </w:r>
          </w:p>
        </w:tc>
        <w:tc>
          <w:tcPr>
            <w:tcW w:w="6252" w:type="dxa"/>
            <w:gridSpan w:val="5"/>
            <w:shd w:val="clear" w:color="auto" w:fill="DADADA"/>
            <w:vAlign w:val="center"/>
          </w:tcPr>
          <w:p w:rsidR="006765FF" w:rsidRPr="002529BD" w14:paraId="2F51F96B" w14:textId="77777777">
            <w:pPr>
              <w:keepNext/>
              <w:spacing w:after="0" w:line="240" w:lineRule="auto"/>
              <w:ind w:left="91" w:right="55"/>
              <w:jc w:val="center"/>
              <w:rPr>
                <w:rFonts w:ascii="Times New Roman" w:hAnsi="Times New Roman" w:cs="Times New Roman"/>
                <w:b/>
                <w:sz w:val="18"/>
                <w:szCs w:val="18"/>
              </w:rPr>
            </w:pPr>
            <w:r w:rsidRPr="002529BD">
              <w:rPr>
                <w:rFonts w:ascii="Times New Roman" w:hAnsi="Times New Roman" w:cs="Times New Roman"/>
                <w:b/>
                <w:sz w:val="18"/>
                <w:szCs w:val="18"/>
              </w:rPr>
              <w:t>Total Annual</w:t>
            </w:r>
            <w:r>
              <w:rPr>
                <w:rFonts w:ascii="Times New Roman" w:hAnsi="Times New Roman" w:cs="Times New Roman"/>
                <w:b/>
                <w:sz w:val="18"/>
                <w:szCs w:val="18"/>
              </w:rPr>
              <w:t xml:space="preserve"> </w:t>
            </w:r>
            <w:r w:rsidRPr="002529BD">
              <w:rPr>
                <w:rFonts w:ascii="Times New Roman" w:hAnsi="Times New Roman" w:cs="Times New Roman"/>
                <w:b/>
                <w:sz w:val="18"/>
                <w:szCs w:val="18"/>
              </w:rPr>
              <w:t>Cost</w:t>
            </w:r>
            <w:r>
              <w:rPr>
                <w:rFonts w:ascii="Times New Roman" w:hAnsi="Times New Roman" w:cs="Times New Roman"/>
                <w:b/>
                <w:sz w:val="18"/>
                <w:szCs w:val="18"/>
              </w:rPr>
              <w:t xml:space="preserve"> in Year:</w:t>
            </w:r>
          </w:p>
        </w:tc>
      </w:tr>
      <w:tr w14:paraId="3D721F57" w14:textId="77777777" w:rsidTr="00F979ED">
        <w:tblPrEx>
          <w:tblW w:w="11312" w:type="dxa"/>
          <w:tblInd w:w="-968" w:type="dxa"/>
          <w:tblLayout w:type="fixed"/>
          <w:tblCellMar>
            <w:left w:w="0" w:type="dxa"/>
            <w:right w:w="0" w:type="dxa"/>
          </w:tblCellMar>
          <w:tblLook w:val="01E0"/>
        </w:tblPrEx>
        <w:trPr>
          <w:trHeight w:val="616"/>
        </w:trPr>
        <w:tc>
          <w:tcPr>
            <w:tcW w:w="1254" w:type="dxa"/>
            <w:vMerge/>
            <w:shd w:val="clear" w:color="auto" w:fill="DADADA"/>
            <w:vAlign w:val="center"/>
          </w:tcPr>
          <w:p w:rsidR="006765FF" w:rsidRPr="002529BD" w14:paraId="30CE3984" w14:textId="77777777">
            <w:pPr>
              <w:keepNext/>
              <w:spacing w:after="0" w:line="240" w:lineRule="auto"/>
              <w:ind w:left="183" w:right="171"/>
              <w:jc w:val="center"/>
              <w:rPr>
                <w:rFonts w:ascii="Times New Roman" w:hAnsi="Times New Roman" w:cs="Times New Roman"/>
                <w:b/>
                <w:sz w:val="18"/>
                <w:szCs w:val="18"/>
              </w:rPr>
            </w:pPr>
          </w:p>
        </w:tc>
        <w:tc>
          <w:tcPr>
            <w:tcW w:w="1016" w:type="dxa"/>
            <w:vMerge/>
            <w:shd w:val="clear" w:color="auto" w:fill="DADADA"/>
            <w:vAlign w:val="center"/>
          </w:tcPr>
          <w:p w:rsidR="006765FF" w:rsidRPr="002529BD" w14:paraId="7281469B" w14:textId="77777777">
            <w:pPr>
              <w:keepNext/>
              <w:spacing w:after="0" w:line="240" w:lineRule="auto"/>
              <w:ind w:left="93" w:right="57"/>
              <w:jc w:val="center"/>
              <w:rPr>
                <w:rFonts w:ascii="Times New Roman" w:hAnsi="Times New Roman" w:cs="Times New Roman"/>
                <w:b/>
                <w:sz w:val="18"/>
                <w:szCs w:val="18"/>
              </w:rPr>
            </w:pPr>
          </w:p>
        </w:tc>
        <w:tc>
          <w:tcPr>
            <w:tcW w:w="922" w:type="dxa"/>
            <w:vMerge/>
            <w:shd w:val="clear" w:color="auto" w:fill="D9D9D9" w:themeFill="background1" w:themeFillShade="D9"/>
            <w:vAlign w:val="center"/>
          </w:tcPr>
          <w:p w:rsidR="006765FF" w:rsidRPr="002529BD" w14:paraId="647E975A" w14:textId="77777777">
            <w:pPr>
              <w:keepNext/>
              <w:spacing w:after="0" w:line="240" w:lineRule="auto"/>
              <w:ind w:left="93"/>
              <w:jc w:val="center"/>
              <w:rPr>
                <w:rFonts w:ascii="Times New Roman" w:hAnsi="Times New Roman" w:cs="Times New Roman"/>
                <w:b/>
                <w:sz w:val="18"/>
                <w:szCs w:val="18"/>
              </w:rPr>
            </w:pPr>
          </w:p>
        </w:tc>
        <w:tc>
          <w:tcPr>
            <w:tcW w:w="968" w:type="dxa"/>
            <w:vMerge/>
            <w:shd w:val="clear" w:color="auto" w:fill="D9D9D9" w:themeFill="background1" w:themeFillShade="D9"/>
            <w:vAlign w:val="center"/>
          </w:tcPr>
          <w:p w:rsidR="006765FF" w:rsidRPr="002529BD" w14:paraId="67813906" w14:textId="77777777">
            <w:pPr>
              <w:keepNext/>
              <w:spacing w:after="0" w:line="240" w:lineRule="auto"/>
              <w:ind w:left="93"/>
              <w:jc w:val="center"/>
              <w:rPr>
                <w:rFonts w:ascii="Times New Roman" w:hAnsi="Times New Roman" w:cs="Times New Roman"/>
                <w:b/>
                <w:sz w:val="18"/>
                <w:szCs w:val="18"/>
              </w:rPr>
            </w:pPr>
          </w:p>
        </w:tc>
        <w:tc>
          <w:tcPr>
            <w:tcW w:w="900" w:type="dxa"/>
            <w:vMerge/>
            <w:shd w:val="clear" w:color="auto" w:fill="DADADA"/>
            <w:vAlign w:val="center"/>
          </w:tcPr>
          <w:p w:rsidR="006765FF" w:rsidRPr="002529BD" w14:paraId="63759982" w14:textId="77777777">
            <w:pPr>
              <w:keepNext/>
              <w:spacing w:after="0" w:line="240" w:lineRule="auto"/>
              <w:ind w:left="98" w:right="76"/>
              <w:jc w:val="center"/>
              <w:rPr>
                <w:rFonts w:ascii="Times New Roman" w:hAnsi="Times New Roman" w:cs="Times New Roman"/>
                <w:b/>
                <w:sz w:val="18"/>
                <w:szCs w:val="18"/>
              </w:rPr>
            </w:pPr>
          </w:p>
        </w:tc>
        <w:tc>
          <w:tcPr>
            <w:tcW w:w="1554" w:type="dxa"/>
            <w:shd w:val="clear" w:color="auto" w:fill="DADADA"/>
            <w:vAlign w:val="center"/>
          </w:tcPr>
          <w:p w:rsidR="006765FF" w:rsidRPr="002529BD" w14:paraId="318EF382"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6</w:t>
            </w:r>
          </w:p>
        </w:tc>
        <w:tc>
          <w:tcPr>
            <w:tcW w:w="1173" w:type="dxa"/>
            <w:shd w:val="clear" w:color="auto" w:fill="DADADA"/>
            <w:vAlign w:val="center"/>
          </w:tcPr>
          <w:p w:rsidR="006765FF" w:rsidRPr="002529BD" w14:paraId="54208F8D"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7</w:t>
            </w:r>
          </w:p>
        </w:tc>
        <w:tc>
          <w:tcPr>
            <w:tcW w:w="1173" w:type="dxa"/>
            <w:shd w:val="clear" w:color="auto" w:fill="DADADA"/>
            <w:vAlign w:val="center"/>
          </w:tcPr>
          <w:p w:rsidR="006765FF" w:rsidRPr="002529BD" w14:paraId="002FFF73"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8</w:t>
            </w:r>
          </w:p>
        </w:tc>
        <w:tc>
          <w:tcPr>
            <w:tcW w:w="1173" w:type="dxa"/>
            <w:shd w:val="clear" w:color="auto" w:fill="DADADA"/>
            <w:vAlign w:val="center"/>
          </w:tcPr>
          <w:p w:rsidR="006765FF" w:rsidRPr="002529BD" w14:paraId="4C678F7B"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9</w:t>
            </w:r>
          </w:p>
        </w:tc>
        <w:tc>
          <w:tcPr>
            <w:tcW w:w="1179" w:type="dxa"/>
            <w:shd w:val="clear" w:color="auto" w:fill="DADADA"/>
            <w:vAlign w:val="center"/>
          </w:tcPr>
          <w:p w:rsidR="006765FF" w:rsidRPr="002529BD" w14:paraId="3BF83E12" w14:textId="77777777">
            <w:pPr>
              <w:keepNext/>
              <w:spacing w:after="0" w:line="240" w:lineRule="auto"/>
              <w:ind w:left="91" w:right="55"/>
              <w:jc w:val="center"/>
              <w:rPr>
                <w:rFonts w:ascii="Times New Roman" w:hAnsi="Times New Roman" w:cs="Times New Roman"/>
                <w:b/>
                <w:sz w:val="18"/>
                <w:szCs w:val="18"/>
              </w:rPr>
            </w:pPr>
            <w:r>
              <w:rPr>
                <w:rFonts w:ascii="Times New Roman" w:hAnsi="Times New Roman" w:cs="Times New Roman"/>
                <w:b/>
                <w:sz w:val="18"/>
                <w:szCs w:val="18"/>
              </w:rPr>
              <w:t>10</w:t>
            </w:r>
          </w:p>
        </w:tc>
      </w:tr>
      <w:tr w14:paraId="316B7F2F" w14:textId="77777777" w:rsidTr="00F979ED">
        <w:tblPrEx>
          <w:tblW w:w="11312" w:type="dxa"/>
          <w:tblInd w:w="-968" w:type="dxa"/>
          <w:tblLayout w:type="fixed"/>
          <w:tblCellMar>
            <w:left w:w="0" w:type="dxa"/>
            <w:right w:w="0" w:type="dxa"/>
          </w:tblCellMar>
          <w:tblLook w:val="01E0"/>
        </w:tblPrEx>
        <w:trPr>
          <w:trHeight w:val="367"/>
        </w:trPr>
        <w:tc>
          <w:tcPr>
            <w:tcW w:w="1254" w:type="dxa"/>
            <w:tcBorders>
              <w:top w:val="single" w:sz="8" w:space="0" w:color="000000"/>
            </w:tcBorders>
            <w:vAlign w:val="center"/>
          </w:tcPr>
          <w:p w:rsidR="002B541B" w:rsidRPr="002529BD" w:rsidP="002B541B" w14:paraId="5E292E89" w14:textId="77777777">
            <w:pPr>
              <w:keepNext/>
              <w:spacing w:after="0" w:line="240" w:lineRule="auto"/>
              <w:ind w:left="183"/>
              <w:rPr>
                <w:rFonts w:ascii="Times New Roman" w:hAnsi="Times New Roman" w:cs="Times New Roman"/>
                <w:sz w:val="18"/>
                <w:szCs w:val="18"/>
              </w:rPr>
            </w:pPr>
            <w:r w:rsidRPr="002529BD">
              <w:rPr>
                <w:rFonts w:ascii="Times New Roman" w:hAnsi="Times New Roman" w:cs="Times New Roman"/>
                <w:sz w:val="18"/>
                <w:szCs w:val="18"/>
              </w:rPr>
              <w:t>Refineries</w:t>
            </w:r>
          </w:p>
        </w:tc>
        <w:tc>
          <w:tcPr>
            <w:tcW w:w="1016" w:type="dxa"/>
            <w:tcBorders>
              <w:top w:val="single" w:sz="8" w:space="0" w:color="000000"/>
            </w:tcBorders>
            <w:vAlign w:val="center"/>
          </w:tcPr>
          <w:p w:rsidR="002B541B" w:rsidRPr="002529BD" w:rsidP="002B541B" w14:paraId="6CEB271E" w14:textId="77777777">
            <w:pPr>
              <w:keepNext/>
              <w:spacing w:after="0" w:line="240" w:lineRule="auto"/>
              <w:ind w:left="93" w:right="62"/>
              <w:jc w:val="center"/>
              <w:rPr>
                <w:rFonts w:ascii="Times New Roman" w:hAnsi="Times New Roman" w:cs="Times New Roman"/>
                <w:sz w:val="18"/>
                <w:szCs w:val="18"/>
              </w:rPr>
            </w:pPr>
            <w:r w:rsidRPr="002529BD">
              <w:rPr>
                <w:rFonts w:ascii="Times New Roman" w:hAnsi="Times New Roman" w:cs="Times New Roman"/>
                <w:sz w:val="18"/>
                <w:szCs w:val="18"/>
              </w:rPr>
              <w:t>0.2</w:t>
            </w:r>
          </w:p>
        </w:tc>
        <w:tc>
          <w:tcPr>
            <w:tcW w:w="922" w:type="dxa"/>
            <w:tcBorders>
              <w:top w:val="single" w:sz="8" w:space="0" w:color="000000"/>
            </w:tcBorders>
            <w:vAlign w:val="center"/>
          </w:tcPr>
          <w:p w:rsidR="002B541B" w:rsidRPr="002529BD" w:rsidP="002B541B" w14:paraId="14489294" w14:textId="77777777">
            <w:pPr>
              <w:keepNext/>
              <w:spacing w:after="0" w:line="240" w:lineRule="auto"/>
              <w:ind w:left="93"/>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4,449,414</w:t>
            </w:r>
          </w:p>
        </w:tc>
        <w:tc>
          <w:tcPr>
            <w:tcW w:w="968" w:type="dxa"/>
            <w:tcBorders>
              <w:top w:val="single" w:sz="8" w:space="0" w:color="000000"/>
            </w:tcBorders>
            <w:vAlign w:val="center"/>
          </w:tcPr>
          <w:p w:rsidR="002B541B" w:rsidRPr="002529BD" w:rsidP="002B541B" w14:paraId="3F2BE1CD" w14:textId="77777777">
            <w:pPr>
              <w:keepNext/>
              <w:spacing w:after="0" w:line="240" w:lineRule="auto"/>
              <w:ind w:left="93"/>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177,977</w:t>
            </w:r>
          </w:p>
        </w:tc>
        <w:tc>
          <w:tcPr>
            <w:tcW w:w="900" w:type="dxa"/>
            <w:tcBorders>
              <w:top w:val="single" w:sz="8" w:space="0" w:color="000000"/>
            </w:tcBorders>
            <w:vAlign w:val="center"/>
          </w:tcPr>
          <w:p w:rsidR="002B541B" w:rsidRPr="002529BD" w:rsidP="002B541B" w14:paraId="11824B7E" w14:textId="7F0001CF">
            <w:pPr>
              <w:keepNext/>
              <w:spacing w:after="0" w:line="240" w:lineRule="auto"/>
              <w:ind w:left="98" w:right="69"/>
              <w:jc w:val="center"/>
              <w:rPr>
                <w:rFonts w:ascii="Times New Roman" w:hAnsi="Times New Roman" w:cs="Times New Roman"/>
                <w:sz w:val="18"/>
                <w:szCs w:val="18"/>
              </w:rPr>
            </w:pPr>
            <w:r>
              <w:rPr>
                <w:rFonts w:ascii="Times New Roman" w:hAnsi="Times New Roman" w:cs="Times New Roman"/>
                <w:sz w:val="18"/>
                <w:szCs w:val="18"/>
              </w:rPr>
              <w:t>138</w:t>
            </w:r>
          </w:p>
        </w:tc>
        <w:tc>
          <w:tcPr>
            <w:tcW w:w="1554" w:type="dxa"/>
            <w:tcBorders>
              <w:top w:val="single" w:sz="8" w:space="0" w:color="000000"/>
            </w:tcBorders>
            <w:vAlign w:val="center"/>
          </w:tcPr>
          <w:p w:rsidR="002B541B" w:rsidRPr="002529BD" w:rsidP="002B541B" w14:paraId="4E96E854"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152,276,731</w:t>
            </w:r>
          </w:p>
        </w:tc>
        <w:tc>
          <w:tcPr>
            <w:tcW w:w="1173" w:type="dxa"/>
            <w:tcBorders>
              <w:top w:val="single" w:sz="8" w:space="0" w:color="000000"/>
            </w:tcBorders>
            <w:vAlign w:val="center"/>
          </w:tcPr>
          <w:p w:rsidR="002B541B" w:rsidRPr="002529BD" w:rsidP="002B541B" w14:paraId="0E5BCA44"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157,188,883</w:t>
            </w:r>
          </w:p>
        </w:tc>
        <w:tc>
          <w:tcPr>
            <w:tcW w:w="1173" w:type="dxa"/>
            <w:tcBorders>
              <w:top w:val="single" w:sz="8" w:space="0" w:color="000000"/>
            </w:tcBorders>
            <w:vAlign w:val="center"/>
          </w:tcPr>
          <w:p w:rsidR="002B541B" w:rsidRPr="002529BD" w:rsidP="002B541B" w14:paraId="726B4DD2"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162,101,036</w:t>
            </w:r>
          </w:p>
        </w:tc>
        <w:tc>
          <w:tcPr>
            <w:tcW w:w="1173" w:type="dxa"/>
            <w:tcBorders>
              <w:top w:val="single" w:sz="8" w:space="0" w:color="000000"/>
            </w:tcBorders>
            <w:vAlign w:val="center"/>
          </w:tcPr>
          <w:p w:rsidR="002B541B" w:rsidRPr="002529BD" w:rsidP="002B541B" w14:paraId="19955732" w14:textId="77777777">
            <w:pPr>
              <w:keepNext/>
              <w:spacing w:after="0" w:line="240" w:lineRule="auto"/>
              <w:ind w:left="84"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167,013,188</w:t>
            </w:r>
          </w:p>
        </w:tc>
        <w:tc>
          <w:tcPr>
            <w:tcW w:w="1179" w:type="dxa"/>
            <w:tcBorders>
              <w:top w:val="single" w:sz="8" w:space="0" w:color="000000"/>
            </w:tcBorders>
            <w:vAlign w:val="center"/>
          </w:tcPr>
          <w:p w:rsidR="002B541B" w:rsidRPr="002529BD" w:rsidP="002B541B" w14:paraId="113ECDD8" w14:textId="77777777">
            <w:pPr>
              <w:keepNext/>
              <w:spacing w:after="0" w:line="240" w:lineRule="auto"/>
              <w:ind w:left="84" w:right="55"/>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171,925,341</w:t>
            </w:r>
          </w:p>
        </w:tc>
      </w:tr>
      <w:tr w14:paraId="7E5AAF75" w14:textId="77777777" w:rsidTr="00F979ED">
        <w:tblPrEx>
          <w:tblW w:w="11312" w:type="dxa"/>
          <w:tblInd w:w="-968" w:type="dxa"/>
          <w:tblLayout w:type="fixed"/>
          <w:tblCellMar>
            <w:left w:w="0" w:type="dxa"/>
            <w:right w:w="0" w:type="dxa"/>
          </w:tblCellMar>
          <w:tblLook w:val="01E0"/>
        </w:tblPrEx>
        <w:trPr>
          <w:trHeight w:val="373"/>
        </w:trPr>
        <w:tc>
          <w:tcPr>
            <w:tcW w:w="1254" w:type="dxa"/>
            <w:vAlign w:val="center"/>
          </w:tcPr>
          <w:p w:rsidR="002B541B" w:rsidRPr="002529BD" w:rsidP="002B541B" w14:paraId="03FAEBE5" w14:textId="77777777">
            <w:pPr>
              <w:spacing w:after="0" w:line="240" w:lineRule="auto"/>
              <w:ind w:left="183"/>
              <w:rPr>
                <w:rFonts w:ascii="Times New Roman" w:hAnsi="Times New Roman" w:cs="Times New Roman"/>
                <w:sz w:val="18"/>
                <w:szCs w:val="18"/>
              </w:rPr>
            </w:pPr>
            <w:r w:rsidRPr="002529BD">
              <w:rPr>
                <w:rFonts w:ascii="Times New Roman" w:hAnsi="Times New Roman" w:cs="Times New Roman"/>
                <w:sz w:val="18"/>
                <w:szCs w:val="18"/>
              </w:rPr>
              <w:t>Chemical Manufacturers</w:t>
            </w:r>
          </w:p>
        </w:tc>
        <w:tc>
          <w:tcPr>
            <w:tcW w:w="1016" w:type="dxa"/>
            <w:vAlign w:val="center"/>
          </w:tcPr>
          <w:p w:rsidR="002B541B" w:rsidRPr="002529BD" w:rsidP="002B541B" w14:paraId="4C385E0C" w14:textId="77777777">
            <w:pPr>
              <w:spacing w:after="0" w:line="240" w:lineRule="auto"/>
              <w:ind w:left="93" w:right="62"/>
              <w:jc w:val="center"/>
              <w:rPr>
                <w:rFonts w:ascii="Times New Roman" w:hAnsi="Times New Roman" w:cs="Times New Roman"/>
                <w:sz w:val="18"/>
                <w:szCs w:val="18"/>
              </w:rPr>
            </w:pPr>
            <w:r w:rsidRPr="002529BD">
              <w:rPr>
                <w:rFonts w:ascii="Times New Roman" w:hAnsi="Times New Roman" w:cs="Times New Roman"/>
                <w:sz w:val="18"/>
                <w:szCs w:val="18"/>
              </w:rPr>
              <w:t>0.2</w:t>
            </w:r>
          </w:p>
        </w:tc>
        <w:tc>
          <w:tcPr>
            <w:tcW w:w="922" w:type="dxa"/>
            <w:vAlign w:val="center"/>
          </w:tcPr>
          <w:p w:rsidR="002B541B" w:rsidRPr="002529BD" w:rsidP="002B541B" w14:paraId="297CD27E" w14:textId="77777777">
            <w:pPr>
              <w:spacing w:after="0" w:line="240" w:lineRule="auto"/>
              <w:ind w:left="93"/>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546,494</w:t>
            </w:r>
          </w:p>
        </w:tc>
        <w:tc>
          <w:tcPr>
            <w:tcW w:w="968" w:type="dxa"/>
            <w:vAlign w:val="center"/>
          </w:tcPr>
          <w:p w:rsidR="002B541B" w:rsidRPr="002529BD" w:rsidP="002B541B" w14:paraId="34A40756" w14:textId="77777777">
            <w:pPr>
              <w:spacing w:after="0" w:line="240" w:lineRule="auto"/>
              <w:ind w:left="93"/>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21,860</w:t>
            </w:r>
          </w:p>
        </w:tc>
        <w:tc>
          <w:tcPr>
            <w:tcW w:w="900" w:type="dxa"/>
            <w:vAlign w:val="center"/>
          </w:tcPr>
          <w:p w:rsidR="002B541B" w:rsidRPr="002529BD" w:rsidP="002B541B" w14:paraId="13BA46BC" w14:textId="3E525464">
            <w:pPr>
              <w:spacing w:after="0" w:line="240" w:lineRule="auto"/>
              <w:ind w:left="98" w:right="69"/>
              <w:jc w:val="center"/>
              <w:rPr>
                <w:rFonts w:ascii="Times New Roman" w:hAnsi="Times New Roman" w:cs="Times New Roman"/>
                <w:sz w:val="18"/>
                <w:szCs w:val="18"/>
              </w:rPr>
            </w:pPr>
            <w:r>
              <w:rPr>
                <w:rFonts w:ascii="Times New Roman" w:hAnsi="Times New Roman" w:cs="Times New Roman"/>
                <w:sz w:val="18"/>
                <w:szCs w:val="18"/>
              </w:rPr>
              <w:t>1,376</w:t>
            </w:r>
          </w:p>
        </w:tc>
        <w:tc>
          <w:tcPr>
            <w:tcW w:w="1554" w:type="dxa"/>
            <w:vAlign w:val="center"/>
          </w:tcPr>
          <w:p w:rsidR="002B541B" w:rsidRPr="002529BD" w:rsidP="002B541B" w14:paraId="6C3861A0"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186,490,047</w:t>
            </w:r>
          </w:p>
        </w:tc>
        <w:tc>
          <w:tcPr>
            <w:tcW w:w="1173" w:type="dxa"/>
            <w:vAlign w:val="center"/>
          </w:tcPr>
          <w:p w:rsidR="002B541B" w:rsidRPr="002529BD" w:rsidP="002B541B" w14:paraId="4A063454"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192,505,855</w:t>
            </w:r>
          </w:p>
        </w:tc>
        <w:tc>
          <w:tcPr>
            <w:tcW w:w="1173" w:type="dxa"/>
            <w:vAlign w:val="center"/>
          </w:tcPr>
          <w:p w:rsidR="002B541B" w:rsidRPr="002529BD" w:rsidP="002B541B" w14:paraId="6B12686F"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198,521,662</w:t>
            </w:r>
          </w:p>
        </w:tc>
        <w:tc>
          <w:tcPr>
            <w:tcW w:w="1173" w:type="dxa"/>
            <w:vAlign w:val="center"/>
          </w:tcPr>
          <w:p w:rsidR="002B541B" w:rsidRPr="002529BD" w:rsidP="002B541B" w14:paraId="3C3D5612" w14:textId="77777777">
            <w:pPr>
              <w:spacing w:after="0" w:line="240" w:lineRule="auto"/>
              <w:ind w:left="69" w:right="55"/>
              <w:jc w:val="center"/>
              <w:rPr>
                <w:rFonts w:ascii="Times New Roman" w:hAnsi="Times New Roman" w:cs="Times New Roman"/>
                <w:color w:val="000000"/>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204,537,470</w:t>
            </w:r>
          </w:p>
        </w:tc>
        <w:tc>
          <w:tcPr>
            <w:tcW w:w="1179" w:type="dxa"/>
            <w:vAlign w:val="center"/>
          </w:tcPr>
          <w:p w:rsidR="002B541B" w:rsidRPr="002529BD" w:rsidP="002B541B" w14:paraId="181BD22C" w14:textId="77777777">
            <w:pPr>
              <w:spacing w:after="0" w:line="240" w:lineRule="auto"/>
              <w:ind w:left="69" w:right="55"/>
              <w:jc w:val="center"/>
              <w:rPr>
                <w:rFonts w:ascii="Times New Roman" w:hAnsi="Times New Roman" w:cs="Times New Roman"/>
                <w:sz w:val="18"/>
                <w:szCs w:val="18"/>
              </w:rPr>
            </w:pPr>
            <w:r w:rsidRPr="002529BD">
              <w:rPr>
                <w:rFonts w:ascii="Times New Roman" w:hAnsi="Times New Roman" w:cs="Times New Roman"/>
                <w:color w:val="000000"/>
                <w:sz w:val="18"/>
                <w:szCs w:val="18"/>
              </w:rPr>
              <w:t>$</w:t>
            </w:r>
            <w:r>
              <w:rPr>
                <w:rFonts w:ascii="Times New Roman" w:hAnsi="Times New Roman" w:cs="Times New Roman"/>
                <w:color w:val="000000"/>
                <w:sz w:val="18"/>
                <w:szCs w:val="18"/>
              </w:rPr>
              <w:t>210,553,278</w:t>
            </w:r>
          </w:p>
        </w:tc>
      </w:tr>
      <w:tr w14:paraId="6C2D2982" w14:textId="77777777" w:rsidTr="00F979ED">
        <w:tblPrEx>
          <w:tblW w:w="11312" w:type="dxa"/>
          <w:tblInd w:w="-968" w:type="dxa"/>
          <w:tblLayout w:type="fixed"/>
          <w:tblCellMar>
            <w:left w:w="0" w:type="dxa"/>
            <w:right w:w="0" w:type="dxa"/>
          </w:tblCellMar>
          <w:tblLook w:val="01E0"/>
        </w:tblPrEx>
        <w:trPr>
          <w:trHeight w:val="373"/>
        </w:trPr>
        <w:tc>
          <w:tcPr>
            <w:tcW w:w="1254" w:type="dxa"/>
            <w:vAlign w:val="center"/>
          </w:tcPr>
          <w:p w:rsidR="002B541B" w:rsidRPr="002529BD" w:rsidP="002B541B" w14:paraId="780A14A9" w14:textId="77777777">
            <w:pPr>
              <w:spacing w:after="0" w:line="240" w:lineRule="auto"/>
              <w:ind w:left="183"/>
              <w:rPr>
                <w:rFonts w:ascii="Times New Roman" w:hAnsi="Times New Roman" w:cs="Times New Roman"/>
                <w:b/>
                <w:sz w:val="18"/>
                <w:szCs w:val="18"/>
              </w:rPr>
            </w:pPr>
            <w:r w:rsidRPr="002529BD">
              <w:rPr>
                <w:rFonts w:ascii="Times New Roman" w:hAnsi="Times New Roman" w:cs="Times New Roman"/>
                <w:b/>
                <w:sz w:val="18"/>
                <w:szCs w:val="18"/>
              </w:rPr>
              <w:t>Total</w:t>
            </w:r>
          </w:p>
        </w:tc>
        <w:tc>
          <w:tcPr>
            <w:tcW w:w="1016" w:type="dxa"/>
            <w:vAlign w:val="center"/>
          </w:tcPr>
          <w:p w:rsidR="002B541B" w:rsidRPr="002529BD" w:rsidP="002B541B" w14:paraId="35C78CA9" w14:textId="77777777">
            <w:pPr>
              <w:spacing w:after="0" w:line="240" w:lineRule="auto"/>
              <w:ind w:left="93" w:right="62"/>
              <w:jc w:val="center"/>
              <w:rPr>
                <w:rFonts w:ascii="Times New Roman" w:hAnsi="Times New Roman" w:cs="Times New Roman"/>
                <w:b/>
                <w:sz w:val="18"/>
                <w:szCs w:val="18"/>
              </w:rPr>
            </w:pPr>
          </w:p>
        </w:tc>
        <w:tc>
          <w:tcPr>
            <w:tcW w:w="922" w:type="dxa"/>
            <w:vAlign w:val="center"/>
          </w:tcPr>
          <w:p w:rsidR="002B541B" w:rsidRPr="002529BD" w:rsidP="002B541B" w14:paraId="436BED36" w14:textId="77777777">
            <w:pPr>
              <w:spacing w:after="0" w:line="240" w:lineRule="auto"/>
              <w:ind w:left="93"/>
              <w:jc w:val="center"/>
              <w:rPr>
                <w:rFonts w:ascii="Times New Roman" w:hAnsi="Times New Roman" w:cs="Times New Roman"/>
                <w:b/>
                <w:sz w:val="18"/>
                <w:szCs w:val="18"/>
              </w:rPr>
            </w:pPr>
          </w:p>
        </w:tc>
        <w:tc>
          <w:tcPr>
            <w:tcW w:w="968" w:type="dxa"/>
            <w:vAlign w:val="center"/>
          </w:tcPr>
          <w:p w:rsidR="002B541B" w:rsidRPr="002529BD" w:rsidP="002B541B" w14:paraId="1E7804D7" w14:textId="77777777">
            <w:pPr>
              <w:spacing w:after="0" w:line="240" w:lineRule="auto"/>
              <w:ind w:left="93"/>
              <w:jc w:val="center"/>
              <w:rPr>
                <w:rFonts w:ascii="Times New Roman" w:hAnsi="Times New Roman" w:cs="Times New Roman"/>
                <w:b/>
                <w:sz w:val="18"/>
                <w:szCs w:val="18"/>
              </w:rPr>
            </w:pPr>
          </w:p>
        </w:tc>
        <w:tc>
          <w:tcPr>
            <w:tcW w:w="900" w:type="dxa"/>
            <w:vAlign w:val="center"/>
          </w:tcPr>
          <w:p w:rsidR="002B541B" w:rsidRPr="002529BD" w:rsidP="002B541B" w14:paraId="7D5E65DF" w14:textId="777C5345">
            <w:pPr>
              <w:spacing w:after="0" w:line="240" w:lineRule="auto"/>
              <w:ind w:left="98" w:right="69"/>
              <w:jc w:val="center"/>
              <w:rPr>
                <w:rFonts w:ascii="Times New Roman" w:hAnsi="Times New Roman" w:cs="Times New Roman"/>
                <w:b/>
                <w:sz w:val="18"/>
                <w:szCs w:val="18"/>
              </w:rPr>
            </w:pPr>
            <w:r>
              <w:rPr>
                <w:rFonts w:ascii="Times New Roman" w:hAnsi="Times New Roman" w:cs="Times New Roman"/>
                <w:b/>
                <w:sz w:val="18"/>
                <w:szCs w:val="18"/>
              </w:rPr>
              <w:t>1,514</w:t>
            </w:r>
          </w:p>
        </w:tc>
        <w:tc>
          <w:tcPr>
            <w:tcW w:w="1554" w:type="dxa"/>
            <w:vAlign w:val="center"/>
          </w:tcPr>
          <w:p w:rsidR="002B541B" w:rsidRPr="002529BD" w:rsidP="002B541B" w14:paraId="29771DF0"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Pr>
                <w:rFonts w:ascii="Times New Roman" w:hAnsi="Times New Roman" w:cs="Times New Roman"/>
                <w:b/>
                <w:color w:val="000000"/>
                <w:sz w:val="18"/>
                <w:szCs w:val="18"/>
              </w:rPr>
              <w:t>338,766,777</w:t>
            </w:r>
          </w:p>
        </w:tc>
        <w:tc>
          <w:tcPr>
            <w:tcW w:w="1173" w:type="dxa"/>
            <w:vAlign w:val="center"/>
          </w:tcPr>
          <w:p w:rsidR="002B541B" w:rsidRPr="002529BD" w:rsidP="002B541B" w14:paraId="59C458D4"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Pr>
                <w:rFonts w:ascii="Times New Roman" w:hAnsi="Times New Roman" w:cs="Times New Roman"/>
                <w:b/>
                <w:color w:val="000000"/>
                <w:sz w:val="18"/>
                <w:szCs w:val="18"/>
              </w:rPr>
              <w:t>349,694,738</w:t>
            </w:r>
          </w:p>
        </w:tc>
        <w:tc>
          <w:tcPr>
            <w:tcW w:w="1173" w:type="dxa"/>
            <w:vAlign w:val="center"/>
          </w:tcPr>
          <w:p w:rsidR="002B541B" w:rsidRPr="002529BD" w:rsidP="002B541B" w14:paraId="5C909248"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Pr>
                <w:rFonts w:ascii="Times New Roman" w:hAnsi="Times New Roman" w:cs="Times New Roman"/>
                <w:b/>
                <w:color w:val="000000"/>
                <w:sz w:val="18"/>
                <w:szCs w:val="18"/>
              </w:rPr>
              <w:t>360,622,698</w:t>
            </w:r>
          </w:p>
        </w:tc>
        <w:tc>
          <w:tcPr>
            <w:tcW w:w="1173" w:type="dxa"/>
            <w:vAlign w:val="center"/>
          </w:tcPr>
          <w:p w:rsidR="002B541B" w:rsidRPr="002529BD" w:rsidP="002B541B" w14:paraId="3148C91F" w14:textId="77777777">
            <w:pPr>
              <w:spacing w:after="0" w:line="240" w:lineRule="auto"/>
              <w:ind w:left="69" w:right="55"/>
              <w:jc w:val="center"/>
              <w:rPr>
                <w:rFonts w:ascii="Times New Roman" w:hAnsi="Times New Roman" w:cs="Times New Roman"/>
                <w:b/>
                <w:color w:val="000000"/>
                <w:sz w:val="18"/>
                <w:szCs w:val="18"/>
              </w:rPr>
            </w:pPr>
            <w:r w:rsidRPr="002529BD">
              <w:rPr>
                <w:rFonts w:ascii="Times New Roman" w:hAnsi="Times New Roman" w:cs="Times New Roman"/>
                <w:b/>
                <w:color w:val="000000"/>
                <w:sz w:val="18"/>
                <w:szCs w:val="18"/>
              </w:rPr>
              <w:t>$</w:t>
            </w:r>
            <w:r>
              <w:rPr>
                <w:rFonts w:ascii="Times New Roman" w:hAnsi="Times New Roman" w:cs="Times New Roman"/>
                <w:b/>
                <w:color w:val="000000"/>
                <w:sz w:val="18"/>
                <w:szCs w:val="18"/>
              </w:rPr>
              <w:t>371,550,659</w:t>
            </w:r>
          </w:p>
        </w:tc>
        <w:tc>
          <w:tcPr>
            <w:tcW w:w="1179" w:type="dxa"/>
            <w:vAlign w:val="center"/>
          </w:tcPr>
          <w:p w:rsidR="002B541B" w:rsidRPr="002529BD" w:rsidP="002B541B" w14:paraId="5058727E" w14:textId="77777777">
            <w:pPr>
              <w:spacing w:after="0" w:line="240" w:lineRule="auto"/>
              <w:ind w:left="69" w:right="55"/>
              <w:jc w:val="center"/>
              <w:rPr>
                <w:rFonts w:ascii="Times New Roman" w:hAnsi="Times New Roman" w:cs="Times New Roman"/>
                <w:b/>
                <w:sz w:val="18"/>
                <w:szCs w:val="18"/>
              </w:rPr>
            </w:pPr>
            <w:r w:rsidRPr="002529BD">
              <w:rPr>
                <w:rFonts w:ascii="Times New Roman" w:hAnsi="Times New Roman" w:cs="Times New Roman"/>
                <w:b/>
                <w:color w:val="000000"/>
                <w:sz w:val="18"/>
                <w:szCs w:val="18"/>
              </w:rPr>
              <w:t>$</w:t>
            </w:r>
            <w:r>
              <w:rPr>
                <w:rFonts w:ascii="Times New Roman" w:hAnsi="Times New Roman" w:cs="Times New Roman"/>
                <w:b/>
                <w:color w:val="000000"/>
                <w:sz w:val="18"/>
                <w:szCs w:val="18"/>
              </w:rPr>
              <w:t>382,478,619</w:t>
            </w:r>
          </w:p>
        </w:tc>
      </w:tr>
    </w:tbl>
    <w:p w:rsidR="006765FF" w:rsidRPr="00065503" w:rsidP="00ED781E" w14:paraId="1B9E42FC" w14:textId="77777777">
      <w:pPr>
        <w:keepNext/>
        <w:spacing w:after="0" w:line="240" w:lineRule="auto"/>
        <w:rPr>
          <w:rFonts w:ascii="Times New Roman" w:hAnsi="Times New Roman" w:cs="Times New Roman"/>
          <w:sz w:val="18"/>
          <w:szCs w:val="18"/>
        </w:rPr>
      </w:pPr>
      <w:r w:rsidRPr="00D21E4B">
        <w:rPr>
          <w:rFonts w:ascii="Times New Roman" w:hAnsi="Times New Roman" w:cs="Times New Roman"/>
          <w:w w:val="105"/>
          <w:position w:val="6"/>
          <w:sz w:val="18"/>
          <w:szCs w:val="18"/>
        </w:rPr>
        <w:t>*</w:t>
      </w:r>
      <w:r w:rsidRPr="00D21E4B">
        <w:rPr>
          <w:rFonts w:ascii="Times New Roman" w:hAnsi="Times New Roman" w:cs="Times New Roman"/>
          <w:w w:val="105"/>
          <w:sz w:val="18"/>
          <w:szCs w:val="18"/>
        </w:rPr>
        <w:t>Totals may not sum due to rounding</w:t>
      </w:r>
      <w:r>
        <w:rPr>
          <w:rFonts w:ascii="Times New Roman" w:hAnsi="Times New Roman" w:cs="Times New Roman"/>
          <w:w w:val="105"/>
          <w:sz w:val="18"/>
          <w:szCs w:val="18"/>
        </w:rPr>
        <w:t>.</w:t>
      </w:r>
    </w:p>
    <w:p w:rsidR="004B312A" w:rsidRPr="006765FF" w:rsidP="006765FF" w14:paraId="217C809C" w14:textId="77777777">
      <w:pPr>
        <w:keepNext/>
        <w:spacing w:after="0" w:line="240" w:lineRule="auto"/>
        <w:rPr>
          <w:rFonts w:ascii="Times New Roman" w:hAnsi="Times New Roman" w:cs="Times New Roman"/>
          <w:sz w:val="18"/>
          <w:szCs w:val="18"/>
        </w:rPr>
      </w:pPr>
    </w:p>
    <w:bookmarkEnd w:id="474"/>
    <w:p w:rsidR="00915E63" w:rsidRPr="00693892" w:rsidP="000E6E0F" w14:paraId="405EA9F4"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sidR="00313D7C">
        <w:rPr>
          <w:rFonts w:ascii="Times New Roman" w:hAnsi="Times New Roman" w:cs="Times New Roman"/>
        </w:rPr>
        <w:t>The more stringent third</w:t>
      </w:r>
      <w:r w:rsidRPr="00693892" w:rsidR="00B94F4A">
        <w:rPr>
          <w:rFonts w:ascii="Times New Roman" w:hAnsi="Times New Roman" w:cs="Times New Roman"/>
        </w:rPr>
        <w:t>-</w:t>
      </w:r>
      <w:r w:rsidRPr="00693892" w:rsidR="00313D7C">
        <w:rPr>
          <w:rFonts w:ascii="Times New Roman" w:hAnsi="Times New Roman" w:cs="Times New Roman"/>
        </w:rPr>
        <w:t>party audit provision</w:t>
      </w:r>
      <w:r w:rsidRPr="00693892" w:rsidR="001B169E">
        <w:rPr>
          <w:rFonts w:ascii="Times New Roman" w:hAnsi="Times New Roman" w:cs="Times New Roman"/>
        </w:rPr>
        <w:t xml:space="preserve"> </w:t>
      </w:r>
      <w:r w:rsidR="009837FF">
        <w:rPr>
          <w:rFonts w:ascii="Times New Roman" w:hAnsi="Times New Roman" w:cs="Times New Roman"/>
        </w:rPr>
        <w:t>w</w:t>
      </w:r>
      <w:r w:rsidR="001D2D41">
        <w:rPr>
          <w:rFonts w:ascii="Times New Roman" w:hAnsi="Times New Roman" w:cs="Times New Roman"/>
        </w:rPr>
        <w:t>ould</w:t>
      </w:r>
      <w:r w:rsidRPr="00693892" w:rsidR="001B169E">
        <w:rPr>
          <w:rFonts w:ascii="Times New Roman" w:hAnsi="Times New Roman" w:cs="Times New Roman"/>
        </w:rPr>
        <w:t xml:space="preserve"> require all </w:t>
      </w:r>
      <w:r w:rsidRPr="00693892" w:rsidR="00782370">
        <w:rPr>
          <w:rFonts w:ascii="Times New Roman" w:hAnsi="Times New Roman" w:cs="Times New Roman"/>
        </w:rPr>
        <w:t xml:space="preserve">scheduled </w:t>
      </w:r>
      <w:r w:rsidRPr="00693892" w:rsidR="001B169E">
        <w:rPr>
          <w:rFonts w:ascii="Times New Roman" w:hAnsi="Times New Roman" w:cs="Times New Roman"/>
        </w:rPr>
        <w:t xml:space="preserve">compliance audits at facilities with Program 3 processes </w:t>
      </w:r>
      <w:r w:rsidRPr="00693892" w:rsidR="00782370">
        <w:rPr>
          <w:rFonts w:ascii="Times New Roman" w:hAnsi="Times New Roman" w:cs="Times New Roman"/>
        </w:rPr>
        <w:t xml:space="preserve">to </w:t>
      </w:r>
      <w:r w:rsidRPr="00693892" w:rsidR="001B169E">
        <w:rPr>
          <w:rFonts w:ascii="Times New Roman" w:hAnsi="Times New Roman" w:cs="Times New Roman"/>
        </w:rPr>
        <w:t xml:space="preserve">be conducted every three years by a </w:t>
      </w:r>
      <w:r w:rsidRPr="00693892" w:rsidR="00782370">
        <w:rPr>
          <w:rFonts w:ascii="Times New Roman" w:hAnsi="Times New Roman" w:cs="Times New Roman"/>
        </w:rPr>
        <w:t xml:space="preserve">contracted </w:t>
      </w:r>
      <w:r w:rsidRPr="00693892" w:rsidR="001B169E">
        <w:rPr>
          <w:rFonts w:ascii="Times New Roman" w:hAnsi="Times New Roman" w:cs="Times New Roman"/>
        </w:rPr>
        <w:t>third</w:t>
      </w:r>
      <w:r w:rsidR="00AF7B4A">
        <w:rPr>
          <w:rFonts w:ascii="Times New Roman" w:hAnsi="Times New Roman" w:cs="Times New Roman"/>
        </w:rPr>
        <w:t xml:space="preserve"> </w:t>
      </w:r>
      <w:r w:rsidRPr="00693892" w:rsidR="001B169E">
        <w:rPr>
          <w:rFonts w:ascii="Times New Roman" w:hAnsi="Times New Roman" w:cs="Times New Roman"/>
        </w:rPr>
        <w:t>party</w:t>
      </w:r>
      <w:r w:rsidRPr="00693892">
        <w:rPr>
          <w:rFonts w:ascii="Times New Roman" w:hAnsi="Times New Roman" w:cs="Times New Roman"/>
        </w:rPr>
        <w:t xml:space="preserve">. The analysis projects that </w:t>
      </w:r>
      <w:r w:rsidRPr="00693892" w:rsidR="00EC659C">
        <w:rPr>
          <w:rFonts w:ascii="Times New Roman" w:hAnsi="Times New Roman" w:cs="Times New Roman"/>
        </w:rPr>
        <w:t>one-</w:t>
      </w:r>
      <w:r w:rsidRPr="00693892">
        <w:rPr>
          <w:rFonts w:ascii="Times New Roman" w:hAnsi="Times New Roman" w:cs="Times New Roman"/>
        </w:rPr>
        <w:t xml:space="preserve">third </w:t>
      </w:r>
      <w:r w:rsidRPr="00693892" w:rsidR="0050594C">
        <w:rPr>
          <w:rFonts w:ascii="Times New Roman" w:hAnsi="Times New Roman" w:cs="Times New Roman"/>
        </w:rPr>
        <w:t xml:space="preserve">of </w:t>
      </w:r>
      <w:r w:rsidRPr="00693892">
        <w:rPr>
          <w:rFonts w:ascii="Times New Roman" w:hAnsi="Times New Roman" w:cs="Times New Roman"/>
        </w:rPr>
        <w:t xml:space="preserve">affected </w:t>
      </w:r>
      <w:r w:rsidRPr="00693892">
        <w:rPr>
          <w:rFonts w:ascii="Times New Roman" w:hAnsi="Times New Roman" w:cs="Times New Roman"/>
          <w:spacing w:val="2"/>
        </w:rPr>
        <w:t xml:space="preserve">facilities </w:t>
      </w:r>
      <w:r w:rsidR="009837FF">
        <w:rPr>
          <w:rFonts w:ascii="Times New Roman" w:hAnsi="Times New Roman" w:cs="Times New Roman"/>
        </w:rPr>
        <w:t>w</w:t>
      </w:r>
      <w:r w:rsidR="00B66359">
        <w:rPr>
          <w:rFonts w:ascii="Times New Roman" w:hAnsi="Times New Roman" w:cs="Times New Roman"/>
        </w:rPr>
        <w:t>ould</w:t>
      </w:r>
      <w:r w:rsidRPr="00693892">
        <w:rPr>
          <w:rFonts w:ascii="Times New Roman" w:hAnsi="Times New Roman" w:cs="Times New Roman"/>
        </w:rPr>
        <w:t xml:space="preserve">, therefore, </w:t>
      </w:r>
      <w:r w:rsidRPr="00693892" w:rsidR="0050594C">
        <w:rPr>
          <w:rFonts w:ascii="Times New Roman" w:hAnsi="Times New Roman" w:cs="Times New Roman"/>
        </w:rPr>
        <w:t>conduct</w:t>
      </w:r>
      <w:r w:rsidRPr="00693892">
        <w:rPr>
          <w:rFonts w:ascii="Times New Roman" w:hAnsi="Times New Roman" w:cs="Times New Roman"/>
        </w:rPr>
        <w:t xml:space="preserve"> a third-party audit </w:t>
      </w:r>
      <w:r w:rsidRPr="00693892">
        <w:rPr>
          <w:rFonts w:ascii="Times New Roman" w:hAnsi="Times New Roman" w:cs="Times New Roman"/>
          <w:spacing w:val="3"/>
        </w:rPr>
        <w:t xml:space="preserve">every </w:t>
      </w:r>
      <w:r w:rsidRPr="00693892">
        <w:rPr>
          <w:rFonts w:ascii="Times New Roman" w:hAnsi="Times New Roman" w:cs="Times New Roman"/>
        </w:rPr>
        <w:t>year. The unit costs applied to the third</w:t>
      </w:r>
      <w:r w:rsidRPr="00693892" w:rsidR="00B94F4A">
        <w:rPr>
          <w:rFonts w:ascii="Times New Roman" w:hAnsi="Times New Roman" w:cs="Times New Roman"/>
        </w:rPr>
        <w:t>-</w:t>
      </w:r>
      <w:r w:rsidRPr="00693892">
        <w:rPr>
          <w:rFonts w:ascii="Times New Roman" w:hAnsi="Times New Roman" w:cs="Times New Roman"/>
        </w:rPr>
        <w:t>party</w:t>
      </w:r>
      <w:r w:rsidRPr="00693892" w:rsidR="00EC659C">
        <w:rPr>
          <w:rFonts w:ascii="Times New Roman" w:hAnsi="Times New Roman" w:cs="Times New Roman"/>
        </w:rPr>
        <w:t xml:space="preserve"> audit </w:t>
      </w:r>
      <w:r w:rsidRPr="00693892">
        <w:rPr>
          <w:rFonts w:ascii="Times New Roman" w:hAnsi="Times New Roman" w:cs="Times New Roman"/>
        </w:rPr>
        <w:t>alternative are consistent with the unit costs presented in Exhibit 4-</w:t>
      </w:r>
      <w:r w:rsidR="00F42BD3">
        <w:rPr>
          <w:rFonts w:ascii="Times New Roman" w:hAnsi="Times New Roman" w:cs="Times New Roman"/>
        </w:rPr>
        <w:t>8</w:t>
      </w:r>
      <w:r w:rsidRPr="00693892">
        <w:rPr>
          <w:rFonts w:ascii="Times New Roman" w:hAnsi="Times New Roman" w:cs="Times New Roman"/>
        </w:rPr>
        <w:t xml:space="preserve">. The </w:t>
      </w:r>
      <w:r w:rsidR="009F3737">
        <w:rPr>
          <w:rFonts w:ascii="Times New Roman" w:hAnsi="Times New Roman" w:cs="Times New Roman"/>
        </w:rPr>
        <w:t>t</w:t>
      </w:r>
      <w:r w:rsidRPr="00693892">
        <w:rPr>
          <w:rFonts w:ascii="Times New Roman" w:hAnsi="Times New Roman" w:cs="Times New Roman"/>
        </w:rPr>
        <w:t xml:space="preserve">otal costs of the </w:t>
      </w:r>
      <w:r w:rsidRPr="00693892" w:rsidR="007D1414">
        <w:rPr>
          <w:rFonts w:ascii="Times New Roman" w:hAnsi="Times New Roman" w:cs="Times New Roman"/>
        </w:rPr>
        <w:t>high</w:t>
      </w:r>
      <w:r w:rsidRPr="00693892" w:rsidR="004779BB">
        <w:rPr>
          <w:rFonts w:ascii="Times New Roman" w:hAnsi="Times New Roman" w:cs="Times New Roman"/>
        </w:rPr>
        <w:t>er</w:t>
      </w:r>
      <w:r w:rsidR="00B66359">
        <w:rPr>
          <w:rFonts w:ascii="Times New Roman" w:hAnsi="Times New Roman" w:cs="Times New Roman"/>
        </w:rPr>
        <w:t>-</w:t>
      </w:r>
      <w:r w:rsidRPr="00693892">
        <w:rPr>
          <w:rFonts w:ascii="Times New Roman" w:hAnsi="Times New Roman" w:cs="Times New Roman"/>
        </w:rPr>
        <w:t>cost third</w:t>
      </w:r>
      <w:r w:rsidRPr="00693892" w:rsidR="00B94F4A">
        <w:rPr>
          <w:rFonts w:ascii="Times New Roman" w:hAnsi="Times New Roman" w:cs="Times New Roman"/>
        </w:rPr>
        <w:t>-</w:t>
      </w:r>
      <w:r w:rsidRPr="00693892">
        <w:rPr>
          <w:rFonts w:ascii="Times New Roman" w:hAnsi="Times New Roman" w:cs="Times New Roman"/>
        </w:rPr>
        <w:t xml:space="preserve">party compliance provision </w:t>
      </w:r>
      <w:r w:rsidRPr="00693892" w:rsidR="008D5242">
        <w:rPr>
          <w:rFonts w:ascii="Times New Roman" w:hAnsi="Times New Roman" w:cs="Times New Roman"/>
        </w:rPr>
        <w:t>are</w:t>
      </w:r>
      <w:r w:rsidRPr="00693892">
        <w:rPr>
          <w:rFonts w:ascii="Times New Roman" w:hAnsi="Times New Roman" w:cs="Times New Roman"/>
        </w:rPr>
        <w:t xml:space="preserve"> summarized in Exhibit 7-</w:t>
      </w:r>
      <w:r w:rsidR="008C3CF3">
        <w:rPr>
          <w:rFonts w:ascii="Times New Roman" w:hAnsi="Times New Roman" w:cs="Times New Roman"/>
        </w:rPr>
        <w:t>8</w:t>
      </w:r>
      <w:r w:rsidRPr="00693892">
        <w:rPr>
          <w:rFonts w:ascii="Times New Roman" w:hAnsi="Times New Roman" w:cs="Times New Roman"/>
        </w:rPr>
        <w:t>.</w:t>
      </w:r>
    </w:p>
    <w:p w:rsidR="004051AB" w:rsidRPr="00693892" w:rsidP="004051AB" w14:paraId="0AAAC1D9" w14:textId="77777777">
      <w:pPr>
        <w:spacing w:after="0" w:line="240" w:lineRule="auto"/>
        <w:ind w:firstLine="700"/>
        <w:rPr>
          <w:rFonts w:ascii="Times New Roman" w:hAnsi="Times New Roman" w:cs="Times New Roman"/>
        </w:rPr>
      </w:pPr>
    </w:p>
    <w:p w:rsidR="00AD5A55" w:rsidRPr="00693892" w:rsidP="00DB1152" w14:paraId="53DB4AE4" w14:textId="77777777">
      <w:pPr>
        <w:keepNext/>
        <w:spacing w:after="0" w:line="240" w:lineRule="auto"/>
        <w:jc w:val="center"/>
        <w:rPr>
          <w:rFonts w:ascii="Times New Roman" w:hAnsi="Times New Roman" w:cs="Times New Roman"/>
          <w:b/>
        </w:rPr>
      </w:pPr>
      <w:r w:rsidRPr="00DB1152">
        <w:rPr>
          <w:rFonts w:ascii="Times New Roman" w:hAnsi="Times New Roman" w:cs="Times New Roman"/>
          <w:b/>
        </w:rPr>
        <w:t xml:space="preserve">Exhibit </w:t>
      </w:r>
      <w:r w:rsidRPr="00693892">
        <w:rPr>
          <w:rFonts w:ascii="Times New Roman" w:hAnsi="Times New Roman" w:cs="Times New Roman"/>
          <w:b/>
        </w:rPr>
        <w:t>7-</w:t>
      </w:r>
      <w:r w:rsidR="008C3CF3">
        <w:rPr>
          <w:rFonts w:ascii="Times New Roman" w:hAnsi="Times New Roman" w:cs="Times New Roman"/>
          <w:b/>
        </w:rPr>
        <w:t>8</w:t>
      </w:r>
      <w:r w:rsidRPr="00693892">
        <w:rPr>
          <w:rFonts w:ascii="Times New Roman" w:hAnsi="Times New Roman" w:cs="Times New Roman"/>
          <w:b/>
        </w:rPr>
        <w:t>: Total Annual Undiscounted Costs for Third-party</w:t>
      </w:r>
      <w:r w:rsidR="004B312A">
        <w:rPr>
          <w:rFonts w:ascii="Times New Roman" w:hAnsi="Times New Roman" w:cs="Times New Roman"/>
          <w:b/>
        </w:rPr>
        <w:t xml:space="preserve"> </w:t>
      </w:r>
      <w:r w:rsidRPr="00693892">
        <w:rPr>
          <w:rFonts w:ascii="Times New Roman" w:hAnsi="Times New Roman" w:cs="Times New Roman"/>
          <w:b/>
        </w:rPr>
        <w:t xml:space="preserve">Audits </w:t>
      </w:r>
    </w:p>
    <w:p w:rsidR="007D1414" w:rsidP="00DB1152" w14:paraId="1ED4FB5A" w14:textId="77777777">
      <w:pPr>
        <w:keepNext/>
        <w:spacing w:after="0" w:line="240" w:lineRule="auto"/>
        <w:jc w:val="center"/>
        <w:rPr>
          <w:rFonts w:ascii="Times New Roman" w:hAnsi="Times New Roman" w:cs="Times New Roman"/>
          <w:b/>
        </w:rPr>
      </w:pPr>
      <w:r w:rsidRPr="00693892">
        <w:rPr>
          <w:rFonts w:ascii="Times New Roman" w:hAnsi="Times New Roman" w:cs="Times New Roman"/>
          <w:b/>
        </w:rPr>
        <w:t>High</w:t>
      </w:r>
      <w:r w:rsidRPr="00693892" w:rsidR="004779BB">
        <w:rPr>
          <w:rFonts w:ascii="Times New Roman" w:hAnsi="Times New Roman" w:cs="Times New Roman"/>
          <w:b/>
        </w:rPr>
        <w:t>er</w:t>
      </w:r>
      <w:r w:rsidR="00240448">
        <w:rPr>
          <w:rFonts w:ascii="Times New Roman" w:hAnsi="Times New Roman" w:cs="Times New Roman"/>
          <w:b/>
        </w:rPr>
        <w:t xml:space="preserve"> C</w:t>
      </w:r>
      <w:r w:rsidRPr="00693892">
        <w:rPr>
          <w:rFonts w:ascii="Times New Roman" w:hAnsi="Times New Roman" w:cs="Times New Roman"/>
          <w:b/>
        </w:rPr>
        <w:t>ost Regulatory Alternative</w:t>
      </w:r>
      <w:r w:rsidRPr="00693892" w:rsidR="002D7D2A">
        <w:rPr>
          <w:rFonts w:ascii="Times New Roman" w:hAnsi="Times New Roman" w:cs="Times New Roman"/>
          <w:b/>
        </w:rPr>
        <w:t xml:space="preserve"> </w:t>
      </w:r>
      <w:r w:rsidR="00D726C0">
        <w:rPr>
          <w:rFonts w:ascii="Times New Roman" w:hAnsi="Times New Roman" w:cs="Times New Roman"/>
          <w:b/>
        </w:rPr>
        <w:t>(</w:t>
      </w:r>
      <w:r w:rsidRPr="00693892" w:rsidR="00517B84">
        <w:rPr>
          <w:rFonts w:ascii="Times New Roman" w:hAnsi="Times New Roman" w:cs="Times New Roman"/>
          <w:b/>
        </w:rPr>
        <w:t>202</w:t>
      </w:r>
      <w:r w:rsidR="00517B84">
        <w:rPr>
          <w:rFonts w:ascii="Times New Roman" w:hAnsi="Times New Roman" w:cs="Times New Roman"/>
          <w:b/>
        </w:rPr>
        <w:t>2</w:t>
      </w:r>
      <w:r w:rsidRPr="00693892" w:rsidR="00517B84">
        <w:rPr>
          <w:rFonts w:ascii="Times New Roman" w:hAnsi="Times New Roman" w:cs="Times New Roman"/>
          <w:b/>
        </w:rPr>
        <w:t xml:space="preserve"> </w:t>
      </w:r>
      <w:r w:rsidRPr="00693892" w:rsidR="002D7D2A">
        <w:rPr>
          <w:rFonts w:ascii="Times New Roman" w:hAnsi="Times New Roman" w:cs="Times New Roman"/>
          <w:b/>
        </w:rPr>
        <w:t>Dollars</w:t>
      </w:r>
      <w:r w:rsidRPr="00693892" w:rsidR="00DB1152">
        <w:rPr>
          <w:rFonts w:ascii="Times New Roman" w:hAnsi="Times New Roman" w:cs="Times New Roman"/>
          <w:b/>
        </w:rPr>
        <w:t>)</w:t>
      </w:r>
      <w:r w:rsidR="00DB1152">
        <w:rPr>
          <w:rFonts w:ascii="Times New Roman" w:hAnsi="Times New Roman" w:cs="Times New Roman"/>
          <w:b/>
        </w:rPr>
        <w:t>.</w:t>
      </w:r>
    </w:p>
    <w:p w:rsidR="00DB1152" w:rsidRPr="00693892" w:rsidP="00DB1152" w14:paraId="6BBB5C19" w14:textId="77777777">
      <w:pPr>
        <w:keepNext/>
        <w:spacing w:after="0" w:line="240" w:lineRule="auto"/>
        <w:jc w:val="center"/>
        <w:rPr>
          <w:rFonts w:ascii="Times New Roman" w:hAnsi="Times New Roman" w:cs="Times New Roman"/>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57"/>
        <w:gridCol w:w="1350"/>
        <w:gridCol w:w="1350"/>
        <w:gridCol w:w="1080"/>
        <w:gridCol w:w="1620"/>
      </w:tblGrid>
      <w:tr w14:paraId="409D24BB" w14:textId="77777777" w:rsidTr="009A4B42">
        <w:tblPrEx>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736"/>
          <w:jc w:val="center"/>
        </w:trPr>
        <w:tc>
          <w:tcPr>
            <w:tcW w:w="2457" w:type="dxa"/>
            <w:tcBorders>
              <w:left w:val="single" w:sz="6" w:space="0" w:color="000000"/>
              <w:right w:val="single" w:sz="6" w:space="0" w:color="000000"/>
            </w:tcBorders>
            <w:shd w:val="clear" w:color="auto" w:fill="DADADA"/>
            <w:vAlign w:val="center"/>
          </w:tcPr>
          <w:p w:rsidR="007D1414" w:rsidRPr="00DB1152" w:rsidP="00DB1152" w14:paraId="0DC911F6" w14:textId="77777777">
            <w:pPr>
              <w:keepNext/>
              <w:spacing w:after="0" w:line="240" w:lineRule="auto"/>
              <w:ind w:left="113"/>
              <w:jc w:val="center"/>
              <w:rPr>
                <w:rFonts w:ascii="Times New Roman" w:hAnsi="Times New Roman" w:cs="Times New Roman"/>
                <w:b/>
                <w:sz w:val="20"/>
                <w:szCs w:val="20"/>
              </w:rPr>
            </w:pPr>
            <w:r w:rsidRPr="00DB1152">
              <w:rPr>
                <w:rFonts w:ascii="Times New Roman" w:hAnsi="Times New Roman" w:cs="Times New Roman"/>
                <w:b/>
                <w:sz w:val="20"/>
                <w:szCs w:val="20"/>
              </w:rPr>
              <w:t>Facility Type</w:t>
            </w:r>
          </w:p>
        </w:tc>
        <w:tc>
          <w:tcPr>
            <w:tcW w:w="1350" w:type="dxa"/>
            <w:tcBorders>
              <w:left w:val="single" w:sz="6" w:space="0" w:color="000000"/>
              <w:right w:val="single" w:sz="6" w:space="0" w:color="000000"/>
            </w:tcBorders>
            <w:shd w:val="clear" w:color="auto" w:fill="DADADA"/>
            <w:vAlign w:val="center"/>
          </w:tcPr>
          <w:p w:rsidR="007D1414" w:rsidRPr="00DB1152" w:rsidP="00DB1152" w14:paraId="75C2CCFA" w14:textId="77777777">
            <w:pPr>
              <w:keepNext/>
              <w:spacing w:after="0" w:line="240" w:lineRule="auto"/>
              <w:ind w:left="96" w:right="57"/>
              <w:jc w:val="center"/>
              <w:rPr>
                <w:rFonts w:ascii="Times New Roman" w:hAnsi="Times New Roman" w:cs="Times New Roman"/>
                <w:b/>
                <w:sz w:val="20"/>
                <w:szCs w:val="20"/>
              </w:rPr>
            </w:pPr>
            <w:r w:rsidRPr="00DB1152">
              <w:rPr>
                <w:rFonts w:ascii="Times New Roman" w:hAnsi="Times New Roman" w:cs="Times New Roman"/>
                <w:b/>
                <w:sz w:val="20"/>
                <w:szCs w:val="20"/>
              </w:rPr>
              <w:t>Annual Frequency</w:t>
            </w:r>
          </w:p>
        </w:tc>
        <w:tc>
          <w:tcPr>
            <w:tcW w:w="1350" w:type="dxa"/>
            <w:tcBorders>
              <w:left w:val="single" w:sz="6" w:space="0" w:color="000000"/>
            </w:tcBorders>
            <w:shd w:val="clear" w:color="auto" w:fill="DADADA"/>
            <w:vAlign w:val="center"/>
          </w:tcPr>
          <w:p w:rsidR="007D1414" w:rsidRPr="00DB1152" w:rsidP="00DB1152" w14:paraId="4D3E7F04" w14:textId="77777777">
            <w:pPr>
              <w:keepNext/>
              <w:spacing w:after="0" w:line="240" w:lineRule="auto"/>
              <w:ind w:left="92" w:right="32"/>
              <w:jc w:val="center"/>
              <w:rPr>
                <w:rFonts w:ascii="Times New Roman" w:hAnsi="Times New Roman" w:cs="Times New Roman"/>
                <w:b/>
                <w:sz w:val="20"/>
                <w:szCs w:val="20"/>
              </w:rPr>
            </w:pPr>
            <w:r w:rsidRPr="00DB1152">
              <w:rPr>
                <w:rFonts w:ascii="Times New Roman" w:hAnsi="Times New Roman" w:cs="Times New Roman"/>
                <w:b/>
                <w:sz w:val="20"/>
                <w:szCs w:val="20"/>
              </w:rPr>
              <w:t>Unit Cost</w:t>
            </w:r>
          </w:p>
        </w:tc>
        <w:tc>
          <w:tcPr>
            <w:tcW w:w="1080" w:type="dxa"/>
            <w:tcBorders>
              <w:right w:val="single" w:sz="6" w:space="0" w:color="000000"/>
            </w:tcBorders>
            <w:shd w:val="clear" w:color="auto" w:fill="DADADA"/>
            <w:vAlign w:val="center"/>
          </w:tcPr>
          <w:p w:rsidR="007D1414" w:rsidRPr="00DB1152" w:rsidP="00DB1152" w14:paraId="719BA161" w14:textId="77777777">
            <w:pPr>
              <w:keepNext/>
              <w:spacing w:after="0" w:line="240" w:lineRule="auto"/>
              <w:ind w:left="61" w:right="67"/>
              <w:jc w:val="center"/>
              <w:rPr>
                <w:rFonts w:ascii="Times New Roman" w:hAnsi="Times New Roman" w:cs="Times New Roman"/>
                <w:b/>
                <w:sz w:val="20"/>
                <w:szCs w:val="20"/>
              </w:rPr>
            </w:pPr>
            <w:r w:rsidRPr="00DB1152">
              <w:rPr>
                <w:rFonts w:ascii="Times New Roman" w:hAnsi="Times New Roman" w:cs="Times New Roman"/>
                <w:b/>
                <w:sz w:val="20"/>
                <w:szCs w:val="20"/>
              </w:rPr>
              <w:t>Facilities</w:t>
            </w:r>
          </w:p>
        </w:tc>
        <w:tc>
          <w:tcPr>
            <w:tcW w:w="1620" w:type="dxa"/>
            <w:tcBorders>
              <w:left w:val="single" w:sz="6" w:space="0" w:color="000000"/>
            </w:tcBorders>
            <w:shd w:val="clear" w:color="auto" w:fill="DADADA"/>
            <w:vAlign w:val="center"/>
          </w:tcPr>
          <w:p w:rsidR="007D1414" w:rsidRPr="00DB1152" w:rsidP="00DB1152" w14:paraId="7A8AF9C6" w14:textId="77777777">
            <w:pPr>
              <w:keepNext/>
              <w:spacing w:after="0" w:line="240" w:lineRule="auto"/>
              <w:ind w:left="81" w:right="51"/>
              <w:jc w:val="center"/>
              <w:rPr>
                <w:rFonts w:ascii="Times New Roman" w:hAnsi="Times New Roman" w:cs="Times New Roman"/>
                <w:b/>
                <w:sz w:val="20"/>
                <w:szCs w:val="20"/>
              </w:rPr>
            </w:pPr>
            <w:r w:rsidRPr="00DB1152">
              <w:rPr>
                <w:rFonts w:ascii="Times New Roman" w:hAnsi="Times New Roman" w:cs="Times New Roman"/>
                <w:b/>
                <w:sz w:val="20"/>
                <w:szCs w:val="20"/>
              </w:rPr>
              <w:t>Total Initial Cost</w:t>
            </w:r>
          </w:p>
        </w:tc>
      </w:tr>
      <w:tr w14:paraId="510B2EE3" w14:textId="77777777" w:rsidTr="009A4B42">
        <w:tblPrEx>
          <w:tblW w:w="0" w:type="auto"/>
          <w:jc w:val="center"/>
          <w:tblLayout w:type="fixed"/>
          <w:tblCellMar>
            <w:left w:w="0" w:type="dxa"/>
            <w:right w:w="0" w:type="dxa"/>
          </w:tblCellMar>
          <w:tblLook w:val="01E0"/>
        </w:tblPrEx>
        <w:trPr>
          <w:trHeight w:val="295"/>
          <w:jc w:val="center"/>
        </w:trPr>
        <w:tc>
          <w:tcPr>
            <w:tcW w:w="2457" w:type="dxa"/>
            <w:tcBorders>
              <w:left w:val="single" w:sz="6" w:space="0" w:color="000000"/>
              <w:right w:val="single" w:sz="6" w:space="0" w:color="000000"/>
            </w:tcBorders>
            <w:vAlign w:val="center"/>
          </w:tcPr>
          <w:p w:rsidR="00D42821" w:rsidRPr="00DB1152" w:rsidP="00ED3152" w14:paraId="6796E0E3" w14:textId="77777777">
            <w:pPr>
              <w:keepNext/>
              <w:spacing w:after="0" w:line="240" w:lineRule="auto"/>
              <w:ind w:left="127"/>
              <w:rPr>
                <w:rFonts w:ascii="Times New Roman" w:hAnsi="Times New Roman" w:cs="Times New Roman"/>
                <w:sz w:val="20"/>
                <w:szCs w:val="20"/>
              </w:rPr>
            </w:pPr>
            <w:r w:rsidRPr="00DB1152">
              <w:rPr>
                <w:rFonts w:ascii="Times New Roman" w:hAnsi="Times New Roman" w:cs="Times New Roman"/>
                <w:sz w:val="20"/>
                <w:szCs w:val="20"/>
              </w:rPr>
              <w:t>Simple w/ 0-19 FTEs</w:t>
            </w:r>
          </w:p>
        </w:tc>
        <w:tc>
          <w:tcPr>
            <w:tcW w:w="1350" w:type="dxa"/>
            <w:tcBorders>
              <w:left w:val="single" w:sz="6" w:space="0" w:color="000000"/>
              <w:right w:val="single" w:sz="6" w:space="0" w:color="000000"/>
            </w:tcBorders>
            <w:vAlign w:val="center"/>
          </w:tcPr>
          <w:p w:rsidR="00D42821" w:rsidRPr="00DB1152" w:rsidP="00DB1152" w14:paraId="223E6532" w14:textId="77777777">
            <w:pPr>
              <w:keepNext/>
              <w:spacing w:after="0" w:line="240" w:lineRule="auto"/>
              <w:ind w:left="31"/>
              <w:jc w:val="center"/>
              <w:rPr>
                <w:rFonts w:ascii="Times New Roman" w:hAnsi="Times New Roman" w:cs="Times New Roman"/>
                <w:sz w:val="20"/>
                <w:szCs w:val="20"/>
              </w:rPr>
            </w:pPr>
            <w:r w:rsidRPr="00DB1152">
              <w:rPr>
                <w:rFonts w:ascii="Times New Roman" w:hAnsi="Times New Roman" w:cs="Times New Roman"/>
                <w:sz w:val="20"/>
                <w:szCs w:val="20"/>
              </w:rPr>
              <w:t>0.33</w:t>
            </w:r>
          </w:p>
        </w:tc>
        <w:tc>
          <w:tcPr>
            <w:tcW w:w="1350" w:type="dxa"/>
            <w:tcBorders>
              <w:left w:val="single" w:sz="6" w:space="0" w:color="000000"/>
            </w:tcBorders>
            <w:vAlign w:val="center"/>
          </w:tcPr>
          <w:p w:rsidR="00D42821" w:rsidRPr="00DB1152" w:rsidP="00DB1152" w14:paraId="4EBCE4E3" w14:textId="77777777">
            <w:pPr>
              <w:keepNext/>
              <w:spacing w:after="0" w:line="240" w:lineRule="auto"/>
              <w:ind w:left="92" w:right="30"/>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5F65D1">
              <w:rPr>
                <w:rFonts w:ascii="Times New Roman" w:hAnsi="Times New Roman" w:cs="Times New Roman"/>
                <w:color w:val="000000"/>
                <w:sz w:val="20"/>
                <w:szCs w:val="20"/>
              </w:rPr>
              <w:t>44</w:t>
            </w:r>
            <w:r w:rsidR="00CC295F">
              <w:rPr>
                <w:rFonts w:ascii="Times New Roman" w:hAnsi="Times New Roman" w:cs="Times New Roman"/>
                <w:color w:val="000000"/>
                <w:sz w:val="20"/>
                <w:szCs w:val="20"/>
              </w:rPr>
              <w:t>,758</w:t>
            </w:r>
          </w:p>
        </w:tc>
        <w:tc>
          <w:tcPr>
            <w:tcW w:w="1080" w:type="dxa"/>
            <w:tcBorders>
              <w:right w:val="single" w:sz="6" w:space="0" w:color="000000"/>
            </w:tcBorders>
            <w:vAlign w:val="center"/>
          </w:tcPr>
          <w:p w:rsidR="00D42821" w:rsidRPr="00DB1152" w:rsidP="00DB1152" w14:paraId="3FA5BB5F" w14:textId="77777777">
            <w:pPr>
              <w:keepNext/>
              <w:spacing w:after="0" w:line="240" w:lineRule="auto"/>
              <w:ind w:left="77" w:right="65"/>
              <w:jc w:val="center"/>
              <w:rPr>
                <w:rFonts w:ascii="Times New Roman" w:hAnsi="Times New Roman" w:cs="Times New Roman"/>
                <w:sz w:val="20"/>
                <w:szCs w:val="20"/>
              </w:rPr>
            </w:pPr>
            <w:r w:rsidRPr="00DB1152">
              <w:rPr>
                <w:rFonts w:ascii="Times New Roman" w:hAnsi="Times New Roman" w:cs="Times New Roman"/>
                <w:color w:val="000000"/>
                <w:sz w:val="20"/>
                <w:szCs w:val="20"/>
              </w:rPr>
              <w:t>1</w:t>
            </w:r>
            <w:r w:rsidR="00C133C3">
              <w:rPr>
                <w:rFonts w:ascii="Times New Roman" w:hAnsi="Times New Roman" w:cs="Times New Roman"/>
                <w:color w:val="000000"/>
                <w:sz w:val="20"/>
                <w:szCs w:val="20"/>
              </w:rPr>
              <w:t>,</w:t>
            </w:r>
            <w:r w:rsidRPr="00DB1152">
              <w:rPr>
                <w:rFonts w:ascii="Times New Roman" w:hAnsi="Times New Roman" w:cs="Times New Roman"/>
                <w:color w:val="000000"/>
                <w:sz w:val="20"/>
                <w:szCs w:val="20"/>
              </w:rPr>
              <w:t>383</w:t>
            </w:r>
          </w:p>
        </w:tc>
        <w:tc>
          <w:tcPr>
            <w:tcW w:w="1620" w:type="dxa"/>
            <w:tcBorders>
              <w:left w:val="single" w:sz="6" w:space="0" w:color="000000"/>
            </w:tcBorders>
            <w:vAlign w:val="center"/>
          </w:tcPr>
          <w:p w:rsidR="00D42821" w:rsidRPr="00DB1152" w:rsidP="00DB1152" w14:paraId="5411FC5C" w14:textId="77777777">
            <w:pPr>
              <w:keepNext/>
              <w:spacing w:after="0" w:line="240" w:lineRule="auto"/>
              <w:ind w:left="83" w:right="51"/>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F85348">
              <w:rPr>
                <w:rFonts w:ascii="Times New Roman" w:hAnsi="Times New Roman" w:cs="Times New Roman"/>
                <w:color w:val="000000"/>
                <w:sz w:val="20"/>
                <w:szCs w:val="20"/>
              </w:rPr>
              <w:t>20,633,615</w:t>
            </w:r>
          </w:p>
        </w:tc>
      </w:tr>
      <w:tr w14:paraId="36B85518" w14:textId="77777777" w:rsidTr="009A4B42">
        <w:tblPrEx>
          <w:tblW w:w="0" w:type="auto"/>
          <w:jc w:val="center"/>
          <w:tblLayout w:type="fixed"/>
          <w:tblCellMar>
            <w:left w:w="0" w:type="dxa"/>
            <w:right w:w="0" w:type="dxa"/>
          </w:tblCellMar>
          <w:tblLook w:val="01E0"/>
        </w:tblPrEx>
        <w:trPr>
          <w:trHeight w:val="282"/>
          <w:jc w:val="center"/>
        </w:trPr>
        <w:tc>
          <w:tcPr>
            <w:tcW w:w="2457" w:type="dxa"/>
            <w:tcBorders>
              <w:left w:val="single" w:sz="6" w:space="0" w:color="000000"/>
              <w:bottom w:val="single" w:sz="6" w:space="0" w:color="000000"/>
              <w:right w:val="single" w:sz="6" w:space="0" w:color="000000"/>
            </w:tcBorders>
            <w:vAlign w:val="center"/>
          </w:tcPr>
          <w:p w:rsidR="00D42821" w:rsidRPr="00DB1152" w:rsidP="00ED3152" w14:paraId="35128FA9" w14:textId="77777777">
            <w:pPr>
              <w:keepNext/>
              <w:spacing w:after="0" w:line="240" w:lineRule="auto"/>
              <w:ind w:left="127"/>
              <w:rPr>
                <w:rFonts w:ascii="Times New Roman" w:hAnsi="Times New Roman" w:cs="Times New Roman"/>
                <w:sz w:val="20"/>
                <w:szCs w:val="20"/>
              </w:rPr>
            </w:pPr>
            <w:r w:rsidRPr="00DB1152">
              <w:rPr>
                <w:rFonts w:ascii="Times New Roman" w:hAnsi="Times New Roman" w:cs="Times New Roman"/>
                <w:sz w:val="20"/>
                <w:szCs w:val="20"/>
              </w:rPr>
              <w:t>Simple w/ 20-99 FTEs</w:t>
            </w:r>
          </w:p>
        </w:tc>
        <w:tc>
          <w:tcPr>
            <w:tcW w:w="1350" w:type="dxa"/>
            <w:tcBorders>
              <w:left w:val="single" w:sz="6" w:space="0" w:color="000000"/>
              <w:bottom w:val="single" w:sz="6" w:space="0" w:color="000000"/>
              <w:right w:val="single" w:sz="6" w:space="0" w:color="000000"/>
            </w:tcBorders>
            <w:vAlign w:val="center"/>
          </w:tcPr>
          <w:p w:rsidR="00D42821" w:rsidRPr="00DB1152" w:rsidP="00DB1152" w14:paraId="241E0E07" w14:textId="77777777">
            <w:pPr>
              <w:keepNext/>
              <w:spacing w:after="0" w:line="240" w:lineRule="auto"/>
              <w:ind w:left="31"/>
              <w:jc w:val="center"/>
              <w:rPr>
                <w:rFonts w:ascii="Times New Roman" w:hAnsi="Times New Roman" w:cs="Times New Roman"/>
                <w:sz w:val="20"/>
                <w:szCs w:val="20"/>
              </w:rPr>
            </w:pPr>
            <w:r w:rsidRPr="00DB1152">
              <w:rPr>
                <w:rFonts w:ascii="Times New Roman" w:hAnsi="Times New Roman" w:cs="Times New Roman"/>
                <w:sz w:val="20"/>
                <w:szCs w:val="20"/>
              </w:rPr>
              <w:t>0.33</w:t>
            </w:r>
          </w:p>
        </w:tc>
        <w:tc>
          <w:tcPr>
            <w:tcW w:w="1350" w:type="dxa"/>
            <w:tcBorders>
              <w:left w:val="single" w:sz="6" w:space="0" w:color="000000"/>
              <w:bottom w:val="single" w:sz="6" w:space="0" w:color="000000"/>
            </w:tcBorders>
            <w:vAlign w:val="center"/>
          </w:tcPr>
          <w:p w:rsidR="00D42821" w:rsidRPr="00DB1152" w:rsidP="00DB1152" w14:paraId="300CEEE5" w14:textId="77777777">
            <w:pPr>
              <w:keepNext/>
              <w:spacing w:after="0" w:line="240" w:lineRule="auto"/>
              <w:ind w:left="92" w:right="30"/>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04202D">
              <w:rPr>
                <w:rFonts w:ascii="Times New Roman" w:hAnsi="Times New Roman" w:cs="Times New Roman"/>
                <w:color w:val="000000"/>
                <w:sz w:val="20"/>
                <w:szCs w:val="20"/>
              </w:rPr>
              <w:t>50,091</w:t>
            </w:r>
          </w:p>
        </w:tc>
        <w:tc>
          <w:tcPr>
            <w:tcW w:w="1080" w:type="dxa"/>
            <w:tcBorders>
              <w:bottom w:val="single" w:sz="6" w:space="0" w:color="000000"/>
              <w:right w:val="single" w:sz="6" w:space="0" w:color="000000"/>
            </w:tcBorders>
            <w:vAlign w:val="center"/>
          </w:tcPr>
          <w:p w:rsidR="00D42821" w:rsidRPr="00DB1152" w:rsidP="00DB1152" w14:paraId="7B35A48C" w14:textId="77777777">
            <w:pPr>
              <w:keepNext/>
              <w:spacing w:after="0" w:line="240" w:lineRule="auto"/>
              <w:ind w:left="77" w:right="65"/>
              <w:jc w:val="center"/>
              <w:rPr>
                <w:rFonts w:ascii="Times New Roman" w:hAnsi="Times New Roman" w:cs="Times New Roman"/>
                <w:sz w:val="20"/>
                <w:szCs w:val="20"/>
              </w:rPr>
            </w:pPr>
            <w:r w:rsidRPr="00DB1152">
              <w:rPr>
                <w:rFonts w:ascii="Times New Roman" w:hAnsi="Times New Roman" w:cs="Times New Roman"/>
                <w:color w:val="000000"/>
                <w:sz w:val="20"/>
                <w:szCs w:val="20"/>
              </w:rPr>
              <w:t>1</w:t>
            </w:r>
            <w:r w:rsidR="00C133C3">
              <w:rPr>
                <w:rFonts w:ascii="Times New Roman" w:hAnsi="Times New Roman" w:cs="Times New Roman"/>
                <w:color w:val="000000"/>
                <w:sz w:val="20"/>
                <w:szCs w:val="20"/>
              </w:rPr>
              <w:t>,</w:t>
            </w:r>
            <w:r w:rsidRPr="00DB1152">
              <w:rPr>
                <w:rFonts w:ascii="Times New Roman" w:hAnsi="Times New Roman" w:cs="Times New Roman"/>
                <w:color w:val="000000"/>
                <w:sz w:val="20"/>
                <w:szCs w:val="20"/>
              </w:rPr>
              <w:t>313</w:t>
            </w:r>
          </w:p>
        </w:tc>
        <w:tc>
          <w:tcPr>
            <w:tcW w:w="1620" w:type="dxa"/>
            <w:tcBorders>
              <w:left w:val="single" w:sz="6" w:space="0" w:color="000000"/>
              <w:bottom w:val="single" w:sz="6" w:space="0" w:color="000000"/>
            </w:tcBorders>
            <w:vAlign w:val="center"/>
          </w:tcPr>
          <w:p w:rsidR="00D42821" w:rsidRPr="00DB1152" w:rsidP="00DB1152" w14:paraId="53F69B80" w14:textId="77777777">
            <w:pPr>
              <w:keepNext/>
              <w:spacing w:after="0" w:line="240" w:lineRule="auto"/>
              <w:ind w:left="83" w:right="51"/>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1D0AC2">
              <w:rPr>
                <w:rFonts w:ascii="Times New Roman" w:hAnsi="Times New Roman" w:cs="Times New Roman"/>
                <w:color w:val="000000"/>
                <w:sz w:val="20"/>
                <w:szCs w:val="20"/>
              </w:rPr>
              <w:t>21,923,124</w:t>
            </w:r>
          </w:p>
        </w:tc>
      </w:tr>
      <w:tr w14:paraId="128EBB1C" w14:textId="77777777" w:rsidTr="009A4B42">
        <w:tblPrEx>
          <w:tblW w:w="0" w:type="auto"/>
          <w:jc w:val="center"/>
          <w:tblLayout w:type="fixed"/>
          <w:tblCellMar>
            <w:left w:w="0" w:type="dxa"/>
            <w:right w:w="0" w:type="dxa"/>
          </w:tblCellMar>
          <w:tblLook w:val="01E0"/>
        </w:tblPrEx>
        <w:trPr>
          <w:trHeight w:val="300"/>
          <w:jc w:val="center"/>
        </w:trPr>
        <w:tc>
          <w:tcPr>
            <w:tcW w:w="2457" w:type="dxa"/>
            <w:tcBorders>
              <w:top w:val="single" w:sz="6" w:space="0" w:color="000000"/>
              <w:left w:val="single" w:sz="6" w:space="0" w:color="000000"/>
              <w:bottom w:val="single" w:sz="6" w:space="0" w:color="000000"/>
              <w:right w:val="single" w:sz="6" w:space="0" w:color="000000"/>
            </w:tcBorders>
            <w:vAlign w:val="center"/>
          </w:tcPr>
          <w:p w:rsidR="00D42821" w:rsidRPr="00DB1152" w:rsidP="00ED3152" w14:paraId="58A53A28" w14:textId="77777777">
            <w:pPr>
              <w:keepNext/>
              <w:spacing w:after="0" w:line="240" w:lineRule="auto"/>
              <w:ind w:left="127"/>
              <w:rPr>
                <w:rFonts w:ascii="Times New Roman" w:hAnsi="Times New Roman" w:cs="Times New Roman"/>
                <w:sz w:val="20"/>
                <w:szCs w:val="20"/>
              </w:rPr>
            </w:pPr>
            <w:r w:rsidRPr="00DB1152">
              <w:rPr>
                <w:rFonts w:ascii="Times New Roman" w:hAnsi="Times New Roman" w:cs="Times New Roman"/>
                <w:sz w:val="20"/>
                <w:szCs w:val="20"/>
              </w:rPr>
              <w:t>Simple w/ 100+ FTEs</w:t>
            </w:r>
          </w:p>
        </w:tc>
        <w:tc>
          <w:tcPr>
            <w:tcW w:w="1350" w:type="dxa"/>
            <w:tcBorders>
              <w:top w:val="single" w:sz="6" w:space="0" w:color="000000"/>
              <w:left w:val="single" w:sz="6" w:space="0" w:color="000000"/>
              <w:bottom w:val="single" w:sz="6" w:space="0" w:color="000000"/>
              <w:right w:val="single" w:sz="6" w:space="0" w:color="000000"/>
            </w:tcBorders>
            <w:vAlign w:val="center"/>
          </w:tcPr>
          <w:p w:rsidR="00D42821" w:rsidRPr="00DB1152" w:rsidP="00DB1152" w14:paraId="55B4F276" w14:textId="77777777">
            <w:pPr>
              <w:keepNext/>
              <w:spacing w:after="0" w:line="240" w:lineRule="auto"/>
              <w:ind w:left="31"/>
              <w:jc w:val="center"/>
              <w:rPr>
                <w:rFonts w:ascii="Times New Roman" w:hAnsi="Times New Roman" w:cs="Times New Roman"/>
                <w:sz w:val="20"/>
                <w:szCs w:val="20"/>
              </w:rPr>
            </w:pPr>
            <w:r w:rsidRPr="00DB1152">
              <w:rPr>
                <w:rFonts w:ascii="Times New Roman" w:hAnsi="Times New Roman" w:cs="Times New Roman"/>
                <w:sz w:val="20"/>
                <w:szCs w:val="20"/>
              </w:rPr>
              <w:t>0.33</w:t>
            </w:r>
          </w:p>
        </w:tc>
        <w:tc>
          <w:tcPr>
            <w:tcW w:w="1350" w:type="dxa"/>
            <w:tcBorders>
              <w:top w:val="single" w:sz="6" w:space="0" w:color="000000"/>
              <w:left w:val="single" w:sz="6" w:space="0" w:color="000000"/>
              <w:bottom w:val="single" w:sz="6" w:space="0" w:color="000000"/>
            </w:tcBorders>
            <w:vAlign w:val="center"/>
          </w:tcPr>
          <w:p w:rsidR="00D42821" w:rsidRPr="00DB1152" w:rsidP="00DB1152" w14:paraId="19C68238" w14:textId="77777777">
            <w:pPr>
              <w:keepNext/>
              <w:spacing w:after="0" w:line="240" w:lineRule="auto"/>
              <w:ind w:left="92" w:right="30"/>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C23557">
              <w:rPr>
                <w:rFonts w:ascii="Times New Roman" w:hAnsi="Times New Roman" w:cs="Times New Roman"/>
                <w:color w:val="000000"/>
                <w:sz w:val="20"/>
                <w:szCs w:val="20"/>
              </w:rPr>
              <w:t>52,640</w:t>
            </w:r>
          </w:p>
        </w:tc>
        <w:tc>
          <w:tcPr>
            <w:tcW w:w="1080" w:type="dxa"/>
            <w:tcBorders>
              <w:top w:val="single" w:sz="6" w:space="0" w:color="000000"/>
              <w:bottom w:val="single" w:sz="6" w:space="0" w:color="000000"/>
              <w:right w:val="single" w:sz="6" w:space="0" w:color="000000"/>
            </w:tcBorders>
            <w:vAlign w:val="center"/>
          </w:tcPr>
          <w:p w:rsidR="00D42821" w:rsidRPr="00DB1152" w:rsidP="00DB1152" w14:paraId="6F7E60A7" w14:textId="77777777">
            <w:pPr>
              <w:keepNext/>
              <w:spacing w:after="0" w:line="240" w:lineRule="auto"/>
              <w:ind w:left="77" w:right="65"/>
              <w:jc w:val="center"/>
              <w:rPr>
                <w:rFonts w:ascii="Times New Roman" w:hAnsi="Times New Roman" w:cs="Times New Roman"/>
                <w:sz w:val="20"/>
                <w:szCs w:val="20"/>
              </w:rPr>
            </w:pPr>
            <w:r w:rsidRPr="00DB1152">
              <w:rPr>
                <w:rFonts w:ascii="Times New Roman" w:hAnsi="Times New Roman" w:cs="Times New Roman"/>
                <w:color w:val="000000"/>
                <w:sz w:val="20"/>
                <w:szCs w:val="20"/>
              </w:rPr>
              <w:t>2</w:t>
            </w:r>
            <w:r w:rsidR="00C133C3">
              <w:rPr>
                <w:rFonts w:ascii="Times New Roman" w:hAnsi="Times New Roman" w:cs="Times New Roman"/>
                <w:color w:val="000000"/>
                <w:sz w:val="20"/>
                <w:szCs w:val="20"/>
              </w:rPr>
              <w:t>,</w:t>
            </w:r>
            <w:r w:rsidRPr="00DB1152">
              <w:rPr>
                <w:rFonts w:ascii="Times New Roman" w:hAnsi="Times New Roman" w:cs="Times New Roman"/>
                <w:color w:val="000000"/>
                <w:sz w:val="20"/>
                <w:szCs w:val="20"/>
              </w:rPr>
              <w:t>230</w:t>
            </w:r>
          </w:p>
        </w:tc>
        <w:tc>
          <w:tcPr>
            <w:tcW w:w="1620" w:type="dxa"/>
            <w:tcBorders>
              <w:top w:val="single" w:sz="6" w:space="0" w:color="000000"/>
              <w:left w:val="single" w:sz="6" w:space="0" w:color="000000"/>
              <w:bottom w:val="single" w:sz="6" w:space="0" w:color="000000"/>
            </w:tcBorders>
            <w:vAlign w:val="center"/>
          </w:tcPr>
          <w:p w:rsidR="00D42821" w:rsidRPr="00DB1152" w:rsidP="00DB1152" w14:paraId="5E4EDD5A" w14:textId="77777777">
            <w:pPr>
              <w:keepNext/>
              <w:spacing w:after="0" w:line="240" w:lineRule="auto"/>
              <w:ind w:left="83" w:right="51"/>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3C1EC3">
              <w:rPr>
                <w:rFonts w:ascii="Times New Roman" w:hAnsi="Times New Roman" w:cs="Times New Roman"/>
                <w:color w:val="000000"/>
                <w:sz w:val="20"/>
                <w:szCs w:val="20"/>
              </w:rPr>
              <w:t>39,12</w:t>
            </w:r>
            <w:r w:rsidR="00A52ECF">
              <w:rPr>
                <w:rFonts w:ascii="Times New Roman" w:hAnsi="Times New Roman" w:cs="Times New Roman"/>
                <w:color w:val="000000"/>
                <w:sz w:val="20"/>
                <w:szCs w:val="20"/>
              </w:rPr>
              <w:t>9,</w:t>
            </w:r>
            <w:r w:rsidR="00F31F37">
              <w:rPr>
                <w:rFonts w:ascii="Times New Roman" w:hAnsi="Times New Roman" w:cs="Times New Roman"/>
                <w:color w:val="000000"/>
                <w:sz w:val="20"/>
                <w:szCs w:val="20"/>
              </w:rPr>
              <w:t>246</w:t>
            </w:r>
          </w:p>
        </w:tc>
      </w:tr>
      <w:tr w14:paraId="59612577" w14:textId="77777777" w:rsidTr="009A4B42">
        <w:tblPrEx>
          <w:tblW w:w="0" w:type="auto"/>
          <w:jc w:val="center"/>
          <w:tblLayout w:type="fixed"/>
          <w:tblCellMar>
            <w:left w:w="0" w:type="dxa"/>
            <w:right w:w="0" w:type="dxa"/>
          </w:tblCellMar>
          <w:tblLook w:val="01E0"/>
        </w:tblPrEx>
        <w:trPr>
          <w:trHeight w:val="285"/>
          <w:jc w:val="center"/>
        </w:trPr>
        <w:tc>
          <w:tcPr>
            <w:tcW w:w="2457" w:type="dxa"/>
            <w:tcBorders>
              <w:top w:val="single" w:sz="6" w:space="0" w:color="000000"/>
              <w:left w:val="single" w:sz="6" w:space="0" w:color="000000"/>
              <w:bottom w:val="single" w:sz="6" w:space="0" w:color="000000"/>
              <w:right w:val="single" w:sz="6" w:space="0" w:color="000000"/>
            </w:tcBorders>
            <w:vAlign w:val="center"/>
          </w:tcPr>
          <w:p w:rsidR="00D42821" w:rsidRPr="00DB1152" w:rsidP="00ED3152" w14:paraId="08ACECDA" w14:textId="77777777">
            <w:pPr>
              <w:keepNext/>
              <w:spacing w:after="0" w:line="240" w:lineRule="auto"/>
              <w:ind w:left="127"/>
              <w:rPr>
                <w:rFonts w:ascii="Times New Roman" w:hAnsi="Times New Roman" w:cs="Times New Roman"/>
                <w:sz w:val="20"/>
                <w:szCs w:val="20"/>
              </w:rPr>
            </w:pPr>
            <w:r w:rsidRPr="00DB1152">
              <w:rPr>
                <w:rFonts w:ascii="Times New Roman" w:hAnsi="Times New Roman" w:cs="Times New Roman"/>
                <w:sz w:val="20"/>
                <w:szCs w:val="20"/>
              </w:rPr>
              <w:t>Complex w/ 0-19 FTEs</w:t>
            </w:r>
          </w:p>
        </w:tc>
        <w:tc>
          <w:tcPr>
            <w:tcW w:w="1350" w:type="dxa"/>
            <w:tcBorders>
              <w:top w:val="single" w:sz="6" w:space="0" w:color="000000"/>
              <w:left w:val="single" w:sz="6" w:space="0" w:color="000000"/>
              <w:bottom w:val="single" w:sz="6" w:space="0" w:color="000000"/>
              <w:right w:val="single" w:sz="6" w:space="0" w:color="000000"/>
            </w:tcBorders>
            <w:vAlign w:val="center"/>
          </w:tcPr>
          <w:p w:rsidR="00D42821" w:rsidRPr="00DB1152" w:rsidP="00DB1152" w14:paraId="6D072C34" w14:textId="77777777">
            <w:pPr>
              <w:keepNext/>
              <w:spacing w:after="0" w:line="240" w:lineRule="auto"/>
              <w:ind w:left="31"/>
              <w:jc w:val="center"/>
              <w:rPr>
                <w:rFonts w:ascii="Times New Roman" w:hAnsi="Times New Roman" w:cs="Times New Roman"/>
                <w:sz w:val="20"/>
                <w:szCs w:val="20"/>
              </w:rPr>
            </w:pPr>
            <w:r w:rsidRPr="00DB1152">
              <w:rPr>
                <w:rFonts w:ascii="Times New Roman" w:hAnsi="Times New Roman" w:cs="Times New Roman"/>
                <w:sz w:val="20"/>
                <w:szCs w:val="20"/>
              </w:rPr>
              <w:t>0.33</w:t>
            </w:r>
          </w:p>
        </w:tc>
        <w:tc>
          <w:tcPr>
            <w:tcW w:w="1350" w:type="dxa"/>
            <w:tcBorders>
              <w:top w:val="single" w:sz="6" w:space="0" w:color="000000"/>
              <w:left w:val="single" w:sz="6" w:space="0" w:color="000000"/>
              <w:bottom w:val="single" w:sz="6" w:space="0" w:color="000000"/>
            </w:tcBorders>
            <w:vAlign w:val="center"/>
          </w:tcPr>
          <w:p w:rsidR="00D42821" w:rsidRPr="00DB1152" w:rsidP="00DB1152" w14:paraId="4737ABE5" w14:textId="77777777">
            <w:pPr>
              <w:keepNext/>
              <w:spacing w:after="0" w:line="240" w:lineRule="auto"/>
              <w:ind w:left="92" w:right="31"/>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280037">
              <w:rPr>
                <w:rFonts w:ascii="Times New Roman" w:hAnsi="Times New Roman" w:cs="Times New Roman"/>
                <w:color w:val="000000"/>
                <w:sz w:val="20"/>
                <w:szCs w:val="20"/>
              </w:rPr>
              <w:t>107,</w:t>
            </w:r>
            <w:r w:rsidR="00AF5F2F">
              <w:rPr>
                <w:rFonts w:ascii="Times New Roman" w:hAnsi="Times New Roman" w:cs="Times New Roman"/>
                <w:color w:val="000000"/>
                <w:sz w:val="20"/>
                <w:szCs w:val="20"/>
              </w:rPr>
              <w:t>694</w:t>
            </w:r>
          </w:p>
        </w:tc>
        <w:tc>
          <w:tcPr>
            <w:tcW w:w="1080" w:type="dxa"/>
            <w:tcBorders>
              <w:top w:val="single" w:sz="6" w:space="0" w:color="000000"/>
              <w:bottom w:val="single" w:sz="6" w:space="0" w:color="000000"/>
              <w:right w:val="single" w:sz="6" w:space="0" w:color="000000"/>
            </w:tcBorders>
            <w:vAlign w:val="center"/>
          </w:tcPr>
          <w:p w:rsidR="00D42821" w:rsidRPr="00DB1152" w:rsidP="00DB1152" w14:paraId="3DCA4456" w14:textId="77777777">
            <w:pPr>
              <w:keepNext/>
              <w:spacing w:after="0" w:line="240" w:lineRule="auto"/>
              <w:ind w:left="77" w:right="1"/>
              <w:jc w:val="center"/>
              <w:rPr>
                <w:rFonts w:ascii="Times New Roman" w:hAnsi="Times New Roman" w:cs="Times New Roman"/>
                <w:sz w:val="20"/>
                <w:szCs w:val="20"/>
              </w:rPr>
            </w:pPr>
            <w:r w:rsidRPr="00DB1152">
              <w:rPr>
                <w:rFonts w:ascii="Times New Roman" w:hAnsi="Times New Roman" w:cs="Times New Roman"/>
                <w:color w:val="000000"/>
                <w:sz w:val="20"/>
                <w:szCs w:val="20"/>
              </w:rPr>
              <w:t>271</w:t>
            </w:r>
          </w:p>
        </w:tc>
        <w:tc>
          <w:tcPr>
            <w:tcW w:w="1620" w:type="dxa"/>
            <w:tcBorders>
              <w:top w:val="single" w:sz="6" w:space="0" w:color="000000"/>
              <w:left w:val="single" w:sz="6" w:space="0" w:color="000000"/>
              <w:bottom w:val="single" w:sz="6" w:space="0" w:color="000000"/>
            </w:tcBorders>
            <w:vAlign w:val="center"/>
          </w:tcPr>
          <w:p w:rsidR="00D42821" w:rsidRPr="00DB1152" w:rsidP="00DB1152" w14:paraId="13AC7069" w14:textId="77777777">
            <w:pPr>
              <w:keepNext/>
              <w:spacing w:after="0" w:line="240" w:lineRule="auto"/>
              <w:ind w:left="83" w:right="51"/>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956DF0">
              <w:rPr>
                <w:rFonts w:ascii="Times New Roman" w:hAnsi="Times New Roman" w:cs="Times New Roman"/>
                <w:color w:val="000000"/>
                <w:sz w:val="20"/>
                <w:szCs w:val="20"/>
              </w:rPr>
              <w:t>9,</w:t>
            </w:r>
            <w:r w:rsidR="0042120E">
              <w:rPr>
                <w:rFonts w:ascii="Times New Roman" w:hAnsi="Times New Roman" w:cs="Times New Roman"/>
                <w:color w:val="000000"/>
                <w:sz w:val="20"/>
                <w:szCs w:val="20"/>
              </w:rPr>
              <w:t>728,</w:t>
            </w:r>
            <w:r w:rsidR="00AE0C84">
              <w:rPr>
                <w:rFonts w:ascii="Times New Roman" w:hAnsi="Times New Roman" w:cs="Times New Roman"/>
                <w:color w:val="000000"/>
                <w:sz w:val="20"/>
                <w:szCs w:val="20"/>
              </w:rPr>
              <w:t>398</w:t>
            </w:r>
          </w:p>
        </w:tc>
      </w:tr>
      <w:tr w14:paraId="753FEAC3" w14:textId="77777777" w:rsidTr="009A4B42">
        <w:tblPrEx>
          <w:tblW w:w="0" w:type="auto"/>
          <w:jc w:val="center"/>
          <w:tblLayout w:type="fixed"/>
          <w:tblCellMar>
            <w:left w:w="0" w:type="dxa"/>
            <w:right w:w="0" w:type="dxa"/>
          </w:tblCellMar>
          <w:tblLook w:val="01E0"/>
        </w:tblPrEx>
        <w:trPr>
          <w:trHeight w:val="315"/>
          <w:jc w:val="center"/>
        </w:trPr>
        <w:tc>
          <w:tcPr>
            <w:tcW w:w="2457" w:type="dxa"/>
            <w:tcBorders>
              <w:top w:val="single" w:sz="6" w:space="0" w:color="000000"/>
              <w:left w:val="single" w:sz="6" w:space="0" w:color="000000"/>
              <w:bottom w:val="single" w:sz="6" w:space="0" w:color="000000"/>
              <w:right w:val="single" w:sz="6" w:space="0" w:color="000000"/>
            </w:tcBorders>
            <w:vAlign w:val="center"/>
          </w:tcPr>
          <w:p w:rsidR="00D42821" w:rsidRPr="00DB1152" w:rsidP="00ED3152" w14:paraId="7EE71E58" w14:textId="77777777">
            <w:pPr>
              <w:keepNext/>
              <w:spacing w:after="0" w:line="240" w:lineRule="auto"/>
              <w:ind w:left="127"/>
              <w:rPr>
                <w:rFonts w:ascii="Times New Roman" w:hAnsi="Times New Roman" w:cs="Times New Roman"/>
                <w:sz w:val="20"/>
                <w:szCs w:val="20"/>
              </w:rPr>
            </w:pPr>
            <w:r w:rsidRPr="00DB1152">
              <w:rPr>
                <w:rFonts w:ascii="Times New Roman" w:hAnsi="Times New Roman" w:cs="Times New Roman"/>
                <w:sz w:val="20"/>
                <w:szCs w:val="20"/>
              </w:rPr>
              <w:t>Complex w/ 20-99 FTEs</w:t>
            </w:r>
          </w:p>
        </w:tc>
        <w:tc>
          <w:tcPr>
            <w:tcW w:w="1350" w:type="dxa"/>
            <w:tcBorders>
              <w:top w:val="single" w:sz="6" w:space="0" w:color="000000"/>
              <w:left w:val="single" w:sz="6" w:space="0" w:color="000000"/>
              <w:bottom w:val="single" w:sz="6" w:space="0" w:color="000000"/>
              <w:right w:val="single" w:sz="6" w:space="0" w:color="000000"/>
            </w:tcBorders>
            <w:vAlign w:val="center"/>
          </w:tcPr>
          <w:p w:rsidR="00D42821" w:rsidRPr="00DB1152" w:rsidP="00DB1152" w14:paraId="03840730" w14:textId="77777777">
            <w:pPr>
              <w:keepNext/>
              <w:spacing w:after="0" w:line="240" w:lineRule="auto"/>
              <w:ind w:left="31"/>
              <w:jc w:val="center"/>
              <w:rPr>
                <w:rFonts w:ascii="Times New Roman" w:hAnsi="Times New Roman" w:cs="Times New Roman"/>
                <w:sz w:val="20"/>
                <w:szCs w:val="20"/>
              </w:rPr>
            </w:pPr>
            <w:r w:rsidRPr="00DB1152">
              <w:rPr>
                <w:rFonts w:ascii="Times New Roman" w:hAnsi="Times New Roman" w:cs="Times New Roman"/>
                <w:sz w:val="20"/>
                <w:szCs w:val="20"/>
              </w:rPr>
              <w:t>0.33</w:t>
            </w:r>
          </w:p>
        </w:tc>
        <w:tc>
          <w:tcPr>
            <w:tcW w:w="1350" w:type="dxa"/>
            <w:tcBorders>
              <w:top w:val="single" w:sz="6" w:space="0" w:color="000000"/>
              <w:left w:val="single" w:sz="6" w:space="0" w:color="000000"/>
              <w:bottom w:val="single" w:sz="6" w:space="0" w:color="000000"/>
            </w:tcBorders>
            <w:vAlign w:val="center"/>
          </w:tcPr>
          <w:p w:rsidR="00D42821" w:rsidRPr="00DB1152" w:rsidP="00DB1152" w14:paraId="7B148198" w14:textId="77777777">
            <w:pPr>
              <w:keepNext/>
              <w:spacing w:after="0" w:line="240" w:lineRule="auto"/>
              <w:ind w:left="92" w:right="30"/>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7E3ABB">
              <w:rPr>
                <w:rFonts w:ascii="Times New Roman" w:hAnsi="Times New Roman" w:cs="Times New Roman"/>
                <w:color w:val="000000"/>
                <w:sz w:val="20"/>
                <w:szCs w:val="20"/>
              </w:rPr>
              <w:t>114,563</w:t>
            </w:r>
          </w:p>
        </w:tc>
        <w:tc>
          <w:tcPr>
            <w:tcW w:w="1080" w:type="dxa"/>
            <w:tcBorders>
              <w:top w:val="single" w:sz="6" w:space="0" w:color="000000"/>
              <w:bottom w:val="single" w:sz="6" w:space="0" w:color="000000"/>
              <w:right w:val="single" w:sz="6" w:space="0" w:color="000000"/>
            </w:tcBorders>
            <w:vAlign w:val="center"/>
          </w:tcPr>
          <w:p w:rsidR="00D42821" w:rsidRPr="00DB1152" w:rsidP="00DB1152" w14:paraId="5CBC9728" w14:textId="77777777">
            <w:pPr>
              <w:keepNext/>
              <w:spacing w:after="0" w:line="240" w:lineRule="auto"/>
              <w:ind w:left="77" w:right="65"/>
              <w:jc w:val="center"/>
              <w:rPr>
                <w:rFonts w:ascii="Times New Roman" w:hAnsi="Times New Roman" w:cs="Times New Roman"/>
                <w:sz w:val="20"/>
                <w:szCs w:val="20"/>
              </w:rPr>
            </w:pPr>
            <w:r w:rsidRPr="00DB1152">
              <w:rPr>
                <w:rFonts w:ascii="Times New Roman" w:hAnsi="Times New Roman" w:cs="Times New Roman"/>
                <w:color w:val="000000"/>
                <w:sz w:val="20"/>
                <w:szCs w:val="20"/>
              </w:rPr>
              <w:t>679</w:t>
            </w:r>
          </w:p>
        </w:tc>
        <w:tc>
          <w:tcPr>
            <w:tcW w:w="1620" w:type="dxa"/>
            <w:tcBorders>
              <w:top w:val="single" w:sz="6" w:space="0" w:color="000000"/>
              <w:left w:val="single" w:sz="6" w:space="0" w:color="000000"/>
              <w:bottom w:val="single" w:sz="6" w:space="0" w:color="000000"/>
            </w:tcBorders>
            <w:vAlign w:val="center"/>
          </w:tcPr>
          <w:p w:rsidR="00D42821" w:rsidRPr="00DB1152" w:rsidP="00DB1152" w14:paraId="49FFCBF2" w14:textId="77777777">
            <w:pPr>
              <w:keepNext/>
              <w:spacing w:after="0" w:line="240" w:lineRule="auto"/>
              <w:ind w:left="83" w:right="51"/>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1656EC">
              <w:rPr>
                <w:rFonts w:ascii="Times New Roman" w:hAnsi="Times New Roman" w:cs="Times New Roman"/>
                <w:color w:val="000000"/>
                <w:sz w:val="20"/>
                <w:szCs w:val="20"/>
              </w:rPr>
              <w:t>25,9</w:t>
            </w:r>
            <w:r w:rsidR="0042606B">
              <w:rPr>
                <w:rFonts w:ascii="Times New Roman" w:hAnsi="Times New Roman" w:cs="Times New Roman"/>
                <w:color w:val="000000"/>
                <w:sz w:val="20"/>
                <w:szCs w:val="20"/>
              </w:rPr>
              <w:t>29,</w:t>
            </w:r>
            <w:r w:rsidR="0082700A">
              <w:rPr>
                <w:rFonts w:ascii="Times New Roman" w:hAnsi="Times New Roman" w:cs="Times New Roman"/>
                <w:color w:val="000000"/>
                <w:sz w:val="20"/>
                <w:szCs w:val="20"/>
              </w:rPr>
              <w:t>465</w:t>
            </w:r>
          </w:p>
        </w:tc>
      </w:tr>
      <w:tr w14:paraId="6D7D7B37" w14:textId="77777777" w:rsidTr="009A4B42">
        <w:tblPrEx>
          <w:tblW w:w="0" w:type="auto"/>
          <w:jc w:val="center"/>
          <w:tblLayout w:type="fixed"/>
          <w:tblCellMar>
            <w:left w:w="0" w:type="dxa"/>
            <w:right w:w="0" w:type="dxa"/>
          </w:tblCellMar>
          <w:tblLook w:val="01E0"/>
        </w:tblPrEx>
        <w:trPr>
          <w:trHeight w:val="285"/>
          <w:jc w:val="center"/>
        </w:trPr>
        <w:tc>
          <w:tcPr>
            <w:tcW w:w="2457" w:type="dxa"/>
            <w:tcBorders>
              <w:top w:val="single" w:sz="6" w:space="0" w:color="000000"/>
              <w:left w:val="single" w:sz="6" w:space="0" w:color="000000"/>
              <w:bottom w:val="single" w:sz="6" w:space="0" w:color="000000"/>
              <w:right w:val="single" w:sz="6" w:space="0" w:color="000000"/>
            </w:tcBorders>
            <w:vAlign w:val="center"/>
          </w:tcPr>
          <w:p w:rsidR="00D42821" w:rsidRPr="00DB1152" w:rsidP="00ED3152" w14:paraId="301E319A" w14:textId="77777777">
            <w:pPr>
              <w:spacing w:after="0" w:line="240" w:lineRule="auto"/>
              <w:ind w:left="127"/>
              <w:rPr>
                <w:rFonts w:ascii="Times New Roman" w:hAnsi="Times New Roman" w:cs="Times New Roman"/>
                <w:sz w:val="20"/>
                <w:szCs w:val="20"/>
              </w:rPr>
            </w:pPr>
            <w:r w:rsidRPr="00DB1152">
              <w:rPr>
                <w:rFonts w:ascii="Times New Roman" w:hAnsi="Times New Roman" w:cs="Times New Roman"/>
                <w:sz w:val="20"/>
                <w:szCs w:val="20"/>
              </w:rPr>
              <w:t>Complex w/ 100+ FTEs</w:t>
            </w:r>
          </w:p>
        </w:tc>
        <w:tc>
          <w:tcPr>
            <w:tcW w:w="1350" w:type="dxa"/>
            <w:tcBorders>
              <w:top w:val="single" w:sz="6" w:space="0" w:color="000000"/>
              <w:left w:val="single" w:sz="6" w:space="0" w:color="000000"/>
              <w:bottom w:val="single" w:sz="6" w:space="0" w:color="000000"/>
              <w:right w:val="single" w:sz="6" w:space="0" w:color="000000"/>
            </w:tcBorders>
            <w:vAlign w:val="center"/>
          </w:tcPr>
          <w:p w:rsidR="00D42821" w:rsidRPr="00DB1152" w:rsidP="00DB1152" w14:paraId="1161B70B" w14:textId="77777777">
            <w:pPr>
              <w:spacing w:after="0" w:line="240" w:lineRule="auto"/>
              <w:ind w:left="31"/>
              <w:jc w:val="center"/>
              <w:rPr>
                <w:rFonts w:ascii="Times New Roman" w:hAnsi="Times New Roman" w:cs="Times New Roman"/>
                <w:sz w:val="20"/>
                <w:szCs w:val="20"/>
              </w:rPr>
            </w:pPr>
            <w:r w:rsidRPr="00DB1152">
              <w:rPr>
                <w:rFonts w:ascii="Times New Roman" w:hAnsi="Times New Roman" w:cs="Times New Roman"/>
                <w:sz w:val="20"/>
                <w:szCs w:val="20"/>
              </w:rPr>
              <w:t>0.33</w:t>
            </w:r>
          </w:p>
        </w:tc>
        <w:tc>
          <w:tcPr>
            <w:tcW w:w="1350" w:type="dxa"/>
            <w:tcBorders>
              <w:top w:val="single" w:sz="6" w:space="0" w:color="000000"/>
              <w:left w:val="single" w:sz="6" w:space="0" w:color="000000"/>
              <w:bottom w:val="single" w:sz="6" w:space="0" w:color="000000"/>
            </w:tcBorders>
            <w:vAlign w:val="center"/>
          </w:tcPr>
          <w:p w:rsidR="00D42821" w:rsidRPr="00DB1152" w:rsidP="00DB1152" w14:paraId="6CB7C928" w14:textId="77777777">
            <w:pPr>
              <w:spacing w:after="0" w:line="240" w:lineRule="auto"/>
              <w:ind w:left="92" w:right="30"/>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E428DB">
              <w:rPr>
                <w:rFonts w:ascii="Times New Roman" w:hAnsi="Times New Roman" w:cs="Times New Roman"/>
                <w:color w:val="000000"/>
                <w:sz w:val="20"/>
                <w:szCs w:val="20"/>
              </w:rPr>
              <w:t>118,</w:t>
            </w:r>
            <w:r w:rsidR="00084E74">
              <w:rPr>
                <w:rFonts w:ascii="Times New Roman" w:hAnsi="Times New Roman" w:cs="Times New Roman"/>
                <w:color w:val="000000"/>
                <w:sz w:val="20"/>
                <w:szCs w:val="20"/>
              </w:rPr>
              <w:t>246</w:t>
            </w:r>
          </w:p>
        </w:tc>
        <w:tc>
          <w:tcPr>
            <w:tcW w:w="1080" w:type="dxa"/>
            <w:tcBorders>
              <w:top w:val="single" w:sz="6" w:space="0" w:color="000000"/>
              <w:bottom w:val="single" w:sz="6" w:space="0" w:color="000000"/>
              <w:right w:val="single" w:sz="6" w:space="0" w:color="000000"/>
            </w:tcBorders>
            <w:vAlign w:val="center"/>
          </w:tcPr>
          <w:p w:rsidR="00D42821" w:rsidRPr="00DB1152" w:rsidP="00DB1152" w14:paraId="61ACEB28" w14:textId="77777777">
            <w:pPr>
              <w:spacing w:after="0" w:line="240" w:lineRule="auto"/>
              <w:ind w:left="77" w:right="65"/>
              <w:jc w:val="center"/>
              <w:rPr>
                <w:rFonts w:ascii="Times New Roman" w:hAnsi="Times New Roman" w:cs="Times New Roman"/>
                <w:sz w:val="20"/>
                <w:szCs w:val="20"/>
              </w:rPr>
            </w:pPr>
            <w:r w:rsidRPr="00DB1152">
              <w:rPr>
                <w:rFonts w:ascii="Times New Roman" w:hAnsi="Times New Roman" w:cs="Times New Roman"/>
                <w:color w:val="000000"/>
                <w:sz w:val="20"/>
                <w:szCs w:val="20"/>
              </w:rPr>
              <w:t>577</w:t>
            </w:r>
          </w:p>
        </w:tc>
        <w:tc>
          <w:tcPr>
            <w:tcW w:w="1620" w:type="dxa"/>
            <w:tcBorders>
              <w:top w:val="single" w:sz="6" w:space="0" w:color="000000"/>
              <w:left w:val="single" w:sz="6" w:space="0" w:color="000000"/>
              <w:bottom w:val="single" w:sz="6" w:space="0" w:color="000000"/>
            </w:tcBorders>
            <w:vAlign w:val="center"/>
          </w:tcPr>
          <w:p w:rsidR="00D42821" w:rsidRPr="00DB1152" w:rsidP="00DB1152" w14:paraId="41C63F76" w14:textId="77777777">
            <w:pPr>
              <w:spacing w:after="0" w:line="240" w:lineRule="auto"/>
              <w:ind w:left="68" w:right="51"/>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1D773B">
              <w:rPr>
                <w:rFonts w:ascii="Times New Roman" w:hAnsi="Times New Roman" w:cs="Times New Roman"/>
                <w:color w:val="000000"/>
                <w:sz w:val="20"/>
                <w:szCs w:val="20"/>
              </w:rPr>
              <w:t>22,742,</w:t>
            </w:r>
            <w:r w:rsidR="002E2BD4">
              <w:rPr>
                <w:rFonts w:ascii="Times New Roman" w:hAnsi="Times New Roman" w:cs="Times New Roman"/>
                <w:color w:val="000000"/>
                <w:sz w:val="20"/>
                <w:szCs w:val="20"/>
              </w:rPr>
              <w:t>553</w:t>
            </w:r>
          </w:p>
        </w:tc>
      </w:tr>
      <w:tr w14:paraId="2EBE3A97" w14:textId="77777777" w:rsidTr="009A4B42">
        <w:tblPrEx>
          <w:tblW w:w="0" w:type="auto"/>
          <w:jc w:val="center"/>
          <w:tblLayout w:type="fixed"/>
          <w:tblCellMar>
            <w:left w:w="0" w:type="dxa"/>
            <w:right w:w="0" w:type="dxa"/>
          </w:tblCellMar>
          <w:tblLook w:val="01E0"/>
        </w:tblPrEx>
        <w:trPr>
          <w:trHeight w:val="282"/>
          <w:jc w:val="center"/>
        </w:trPr>
        <w:tc>
          <w:tcPr>
            <w:tcW w:w="2457" w:type="dxa"/>
            <w:tcBorders>
              <w:top w:val="single" w:sz="6" w:space="0" w:color="000000"/>
              <w:left w:val="single" w:sz="6" w:space="0" w:color="000000"/>
              <w:right w:val="single" w:sz="6" w:space="0" w:color="000000"/>
            </w:tcBorders>
            <w:vAlign w:val="center"/>
          </w:tcPr>
          <w:p w:rsidR="00D42821" w:rsidRPr="00DB1152" w:rsidP="00ED3152" w14:paraId="01ECD5A9" w14:textId="77777777">
            <w:pPr>
              <w:spacing w:after="0" w:line="240" w:lineRule="auto"/>
              <w:ind w:left="127"/>
              <w:rPr>
                <w:rFonts w:ascii="Times New Roman" w:hAnsi="Times New Roman" w:cs="Times New Roman"/>
                <w:sz w:val="20"/>
                <w:szCs w:val="20"/>
              </w:rPr>
            </w:pPr>
            <w:r w:rsidRPr="00DB1152">
              <w:rPr>
                <w:rFonts w:ascii="Times New Roman" w:hAnsi="Times New Roman" w:cs="Times New Roman"/>
                <w:sz w:val="20"/>
                <w:szCs w:val="20"/>
              </w:rPr>
              <w:t>Small Government</w:t>
            </w:r>
          </w:p>
        </w:tc>
        <w:tc>
          <w:tcPr>
            <w:tcW w:w="1350" w:type="dxa"/>
            <w:tcBorders>
              <w:top w:val="single" w:sz="6" w:space="0" w:color="000000"/>
              <w:left w:val="single" w:sz="6" w:space="0" w:color="000000"/>
              <w:right w:val="single" w:sz="6" w:space="0" w:color="000000"/>
            </w:tcBorders>
            <w:vAlign w:val="center"/>
          </w:tcPr>
          <w:p w:rsidR="00D42821" w:rsidRPr="00DB1152" w:rsidP="00DB1152" w14:paraId="75CD5E6D" w14:textId="77777777">
            <w:pPr>
              <w:spacing w:after="0" w:line="240" w:lineRule="auto"/>
              <w:ind w:left="31"/>
              <w:jc w:val="center"/>
              <w:rPr>
                <w:rFonts w:ascii="Times New Roman" w:hAnsi="Times New Roman" w:cs="Times New Roman"/>
                <w:sz w:val="20"/>
                <w:szCs w:val="20"/>
              </w:rPr>
            </w:pPr>
            <w:r w:rsidRPr="00DB1152">
              <w:rPr>
                <w:rFonts w:ascii="Times New Roman" w:hAnsi="Times New Roman" w:cs="Times New Roman"/>
                <w:sz w:val="20"/>
                <w:szCs w:val="20"/>
              </w:rPr>
              <w:t>0.33</w:t>
            </w:r>
          </w:p>
        </w:tc>
        <w:tc>
          <w:tcPr>
            <w:tcW w:w="1350" w:type="dxa"/>
            <w:tcBorders>
              <w:top w:val="single" w:sz="6" w:space="0" w:color="000000"/>
              <w:left w:val="single" w:sz="6" w:space="0" w:color="000000"/>
            </w:tcBorders>
            <w:vAlign w:val="center"/>
          </w:tcPr>
          <w:p w:rsidR="00D42821" w:rsidRPr="00DB1152" w:rsidP="00DB1152" w14:paraId="62AC77FB" w14:textId="77777777">
            <w:pPr>
              <w:spacing w:after="0" w:line="240" w:lineRule="auto"/>
              <w:ind w:left="92" w:right="30"/>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8E279C">
              <w:rPr>
                <w:rFonts w:ascii="Times New Roman" w:hAnsi="Times New Roman" w:cs="Times New Roman"/>
                <w:color w:val="000000"/>
                <w:sz w:val="20"/>
                <w:szCs w:val="20"/>
              </w:rPr>
              <w:t>46,82</w:t>
            </w:r>
            <w:r w:rsidR="00DF7AD4">
              <w:rPr>
                <w:rFonts w:ascii="Times New Roman" w:hAnsi="Times New Roman" w:cs="Times New Roman"/>
                <w:color w:val="000000"/>
                <w:sz w:val="20"/>
                <w:szCs w:val="20"/>
              </w:rPr>
              <w:t>6</w:t>
            </w:r>
          </w:p>
        </w:tc>
        <w:tc>
          <w:tcPr>
            <w:tcW w:w="1080" w:type="dxa"/>
            <w:tcBorders>
              <w:top w:val="single" w:sz="6" w:space="0" w:color="000000"/>
              <w:right w:val="single" w:sz="6" w:space="0" w:color="000000"/>
            </w:tcBorders>
            <w:vAlign w:val="center"/>
          </w:tcPr>
          <w:p w:rsidR="00D42821" w:rsidRPr="00DB1152" w:rsidP="00DB1152" w14:paraId="0D83B6D2" w14:textId="77777777">
            <w:pPr>
              <w:spacing w:after="0" w:line="240" w:lineRule="auto"/>
              <w:ind w:left="77" w:right="1"/>
              <w:jc w:val="center"/>
              <w:rPr>
                <w:rFonts w:ascii="Times New Roman" w:hAnsi="Times New Roman" w:cs="Times New Roman"/>
                <w:sz w:val="20"/>
                <w:szCs w:val="20"/>
              </w:rPr>
            </w:pPr>
            <w:r w:rsidRPr="00DB1152">
              <w:rPr>
                <w:rFonts w:ascii="Times New Roman" w:hAnsi="Times New Roman" w:cs="Times New Roman"/>
                <w:color w:val="000000"/>
                <w:sz w:val="20"/>
                <w:szCs w:val="20"/>
              </w:rPr>
              <w:t>632</w:t>
            </w:r>
          </w:p>
        </w:tc>
        <w:tc>
          <w:tcPr>
            <w:tcW w:w="1620" w:type="dxa"/>
            <w:tcBorders>
              <w:top w:val="single" w:sz="6" w:space="0" w:color="000000"/>
              <w:left w:val="single" w:sz="6" w:space="0" w:color="000000"/>
            </w:tcBorders>
            <w:vAlign w:val="center"/>
          </w:tcPr>
          <w:p w:rsidR="00D42821" w:rsidRPr="00DB1152" w:rsidP="00DB1152" w14:paraId="11095994" w14:textId="77777777">
            <w:pPr>
              <w:spacing w:after="0" w:line="240" w:lineRule="auto"/>
              <w:ind w:left="68" w:right="51"/>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3677F3">
              <w:rPr>
                <w:rFonts w:ascii="Times New Roman" w:hAnsi="Times New Roman" w:cs="Times New Roman"/>
                <w:color w:val="000000"/>
                <w:sz w:val="20"/>
                <w:szCs w:val="20"/>
              </w:rPr>
              <w:t>9,864,600</w:t>
            </w:r>
          </w:p>
        </w:tc>
      </w:tr>
      <w:tr w14:paraId="41623D42" w14:textId="77777777" w:rsidTr="009A4B42">
        <w:tblPrEx>
          <w:tblW w:w="0" w:type="auto"/>
          <w:jc w:val="center"/>
          <w:tblLayout w:type="fixed"/>
          <w:tblCellMar>
            <w:left w:w="0" w:type="dxa"/>
            <w:right w:w="0" w:type="dxa"/>
          </w:tblCellMar>
          <w:tblLook w:val="01E0"/>
        </w:tblPrEx>
        <w:trPr>
          <w:trHeight w:val="295"/>
          <w:jc w:val="center"/>
        </w:trPr>
        <w:tc>
          <w:tcPr>
            <w:tcW w:w="2457" w:type="dxa"/>
            <w:tcBorders>
              <w:left w:val="single" w:sz="6" w:space="0" w:color="000000"/>
              <w:right w:val="single" w:sz="6" w:space="0" w:color="000000"/>
            </w:tcBorders>
            <w:vAlign w:val="center"/>
          </w:tcPr>
          <w:p w:rsidR="00D42821" w:rsidRPr="00DB1152" w:rsidP="00ED3152" w14:paraId="52DA72B2" w14:textId="77777777">
            <w:pPr>
              <w:spacing w:after="0" w:line="240" w:lineRule="auto"/>
              <w:ind w:left="127"/>
              <w:rPr>
                <w:rFonts w:ascii="Times New Roman" w:hAnsi="Times New Roman" w:cs="Times New Roman"/>
                <w:sz w:val="20"/>
                <w:szCs w:val="20"/>
              </w:rPr>
            </w:pPr>
            <w:r w:rsidRPr="00DB1152">
              <w:rPr>
                <w:rFonts w:ascii="Times New Roman" w:hAnsi="Times New Roman" w:cs="Times New Roman"/>
                <w:sz w:val="20"/>
                <w:szCs w:val="20"/>
              </w:rPr>
              <w:t>Large Government</w:t>
            </w:r>
          </w:p>
        </w:tc>
        <w:tc>
          <w:tcPr>
            <w:tcW w:w="1350" w:type="dxa"/>
            <w:tcBorders>
              <w:left w:val="single" w:sz="6" w:space="0" w:color="000000"/>
              <w:right w:val="single" w:sz="6" w:space="0" w:color="000000"/>
            </w:tcBorders>
            <w:vAlign w:val="center"/>
          </w:tcPr>
          <w:p w:rsidR="00D42821" w:rsidRPr="00DB1152" w:rsidP="00DB1152" w14:paraId="216EE737" w14:textId="77777777">
            <w:pPr>
              <w:spacing w:after="0" w:line="240" w:lineRule="auto"/>
              <w:ind w:left="31"/>
              <w:jc w:val="center"/>
              <w:rPr>
                <w:rFonts w:ascii="Times New Roman" w:hAnsi="Times New Roman" w:cs="Times New Roman"/>
                <w:sz w:val="20"/>
                <w:szCs w:val="20"/>
              </w:rPr>
            </w:pPr>
            <w:r w:rsidRPr="00DB1152">
              <w:rPr>
                <w:rFonts w:ascii="Times New Roman" w:hAnsi="Times New Roman" w:cs="Times New Roman"/>
                <w:sz w:val="20"/>
                <w:szCs w:val="20"/>
              </w:rPr>
              <w:t>0.33</w:t>
            </w:r>
          </w:p>
        </w:tc>
        <w:tc>
          <w:tcPr>
            <w:tcW w:w="1350" w:type="dxa"/>
            <w:tcBorders>
              <w:left w:val="single" w:sz="6" w:space="0" w:color="000000"/>
            </w:tcBorders>
            <w:vAlign w:val="center"/>
          </w:tcPr>
          <w:p w:rsidR="00D42821" w:rsidRPr="00DB1152" w:rsidP="00DB1152" w14:paraId="36A8E693" w14:textId="77777777">
            <w:pPr>
              <w:spacing w:after="0" w:line="240" w:lineRule="auto"/>
              <w:ind w:left="92" w:right="30"/>
              <w:jc w:val="center"/>
              <w:rPr>
                <w:rFonts w:ascii="Times New Roman" w:hAnsi="Times New Roman" w:cs="Times New Roman"/>
                <w:sz w:val="20"/>
                <w:szCs w:val="20"/>
              </w:rPr>
            </w:pPr>
            <w:r w:rsidRPr="00DB1152">
              <w:rPr>
                <w:rFonts w:ascii="Times New Roman" w:hAnsi="Times New Roman" w:cs="Times New Roman"/>
                <w:color w:val="000000"/>
                <w:sz w:val="20"/>
                <w:szCs w:val="20"/>
              </w:rPr>
              <w:t>$1</w:t>
            </w:r>
            <w:r w:rsidR="00DF7AD4">
              <w:rPr>
                <w:rFonts w:ascii="Times New Roman" w:hAnsi="Times New Roman" w:cs="Times New Roman"/>
                <w:color w:val="000000"/>
                <w:sz w:val="20"/>
                <w:szCs w:val="20"/>
              </w:rPr>
              <w:t>21</w:t>
            </w:r>
            <w:r w:rsidR="00C25006">
              <w:rPr>
                <w:rFonts w:ascii="Times New Roman" w:hAnsi="Times New Roman" w:cs="Times New Roman"/>
                <w:color w:val="000000"/>
                <w:sz w:val="20"/>
                <w:szCs w:val="20"/>
              </w:rPr>
              <w:t>,480</w:t>
            </w:r>
          </w:p>
        </w:tc>
        <w:tc>
          <w:tcPr>
            <w:tcW w:w="1080" w:type="dxa"/>
            <w:tcBorders>
              <w:right w:val="single" w:sz="6" w:space="0" w:color="000000"/>
            </w:tcBorders>
            <w:vAlign w:val="center"/>
          </w:tcPr>
          <w:p w:rsidR="00D42821" w:rsidRPr="00DB1152" w:rsidP="00DB1152" w14:paraId="08A254B8" w14:textId="77777777">
            <w:pPr>
              <w:spacing w:after="0" w:line="240" w:lineRule="auto"/>
              <w:ind w:left="77" w:right="1"/>
              <w:jc w:val="center"/>
              <w:rPr>
                <w:rFonts w:ascii="Times New Roman" w:hAnsi="Times New Roman" w:cs="Times New Roman"/>
                <w:sz w:val="20"/>
                <w:szCs w:val="20"/>
              </w:rPr>
            </w:pPr>
            <w:r w:rsidRPr="00DB1152">
              <w:rPr>
                <w:rFonts w:ascii="Times New Roman" w:hAnsi="Times New Roman" w:cs="Times New Roman"/>
                <w:color w:val="000000"/>
                <w:sz w:val="20"/>
                <w:szCs w:val="20"/>
              </w:rPr>
              <w:t>20</w:t>
            </w:r>
          </w:p>
        </w:tc>
        <w:tc>
          <w:tcPr>
            <w:tcW w:w="1620" w:type="dxa"/>
            <w:tcBorders>
              <w:left w:val="single" w:sz="6" w:space="0" w:color="000000"/>
            </w:tcBorders>
            <w:vAlign w:val="center"/>
          </w:tcPr>
          <w:p w:rsidR="00D42821" w:rsidRPr="00DB1152" w:rsidP="00DB1152" w14:paraId="5698DCFA" w14:textId="77777777">
            <w:pPr>
              <w:spacing w:after="0" w:line="240" w:lineRule="auto"/>
              <w:ind w:left="83" w:right="51"/>
              <w:jc w:val="center"/>
              <w:rPr>
                <w:rFonts w:ascii="Times New Roman" w:hAnsi="Times New Roman" w:cs="Times New Roman"/>
                <w:sz w:val="20"/>
                <w:szCs w:val="20"/>
              </w:rPr>
            </w:pPr>
            <w:r w:rsidRPr="00DB1152">
              <w:rPr>
                <w:rFonts w:ascii="Times New Roman" w:hAnsi="Times New Roman" w:cs="Times New Roman"/>
                <w:color w:val="000000"/>
                <w:sz w:val="20"/>
                <w:szCs w:val="20"/>
              </w:rPr>
              <w:t>$</w:t>
            </w:r>
            <w:r w:rsidR="005D32A0">
              <w:rPr>
                <w:rFonts w:ascii="Times New Roman" w:hAnsi="Times New Roman" w:cs="Times New Roman"/>
                <w:color w:val="000000"/>
                <w:sz w:val="20"/>
                <w:szCs w:val="20"/>
              </w:rPr>
              <w:t>809,</w:t>
            </w:r>
            <w:r w:rsidR="00D22BFE">
              <w:rPr>
                <w:rFonts w:ascii="Times New Roman" w:hAnsi="Times New Roman" w:cs="Times New Roman"/>
                <w:color w:val="000000"/>
                <w:sz w:val="20"/>
                <w:szCs w:val="20"/>
              </w:rPr>
              <w:t>867</w:t>
            </w:r>
          </w:p>
        </w:tc>
      </w:tr>
      <w:tr w14:paraId="6B739643" w14:textId="77777777" w:rsidTr="009A4B42">
        <w:tblPrEx>
          <w:tblW w:w="0" w:type="auto"/>
          <w:jc w:val="center"/>
          <w:tblLayout w:type="fixed"/>
          <w:tblCellMar>
            <w:left w:w="0" w:type="dxa"/>
            <w:right w:w="0" w:type="dxa"/>
          </w:tblCellMar>
          <w:tblLook w:val="01E0"/>
        </w:tblPrEx>
        <w:trPr>
          <w:trHeight w:val="337"/>
          <w:jc w:val="center"/>
        </w:trPr>
        <w:tc>
          <w:tcPr>
            <w:tcW w:w="2457" w:type="dxa"/>
            <w:tcBorders>
              <w:left w:val="single" w:sz="6" w:space="0" w:color="000000"/>
              <w:bottom w:val="single" w:sz="6" w:space="0" w:color="000000"/>
              <w:right w:val="single" w:sz="6" w:space="0" w:color="000000"/>
            </w:tcBorders>
            <w:vAlign w:val="center"/>
          </w:tcPr>
          <w:p w:rsidR="00D42821" w:rsidRPr="00DB1152" w:rsidP="00DB1152" w14:paraId="70D4F007" w14:textId="77777777">
            <w:pPr>
              <w:spacing w:after="0" w:line="240" w:lineRule="auto"/>
              <w:ind w:left="878" w:right="842"/>
              <w:jc w:val="center"/>
              <w:rPr>
                <w:rFonts w:ascii="Times New Roman" w:hAnsi="Times New Roman" w:cs="Times New Roman"/>
                <w:b/>
                <w:sz w:val="20"/>
                <w:szCs w:val="20"/>
              </w:rPr>
            </w:pPr>
            <w:r w:rsidRPr="00DB1152">
              <w:rPr>
                <w:rFonts w:ascii="Times New Roman" w:hAnsi="Times New Roman" w:cs="Times New Roman"/>
                <w:b/>
                <w:sz w:val="20"/>
                <w:szCs w:val="20"/>
              </w:rPr>
              <w:t>Total</w:t>
            </w:r>
          </w:p>
        </w:tc>
        <w:tc>
          <w:tcPr>
            <w:tcW w:w="1350" w:type="dxa"/>
            <w:tcBorders>
              <w:left w:val="single" w:sz="6" w:space="0" w:color="000000"/>
              <w:bottom w:val="single" w:sz="6" w:space="0" w:color="000000"/>
              <w:right w:val="single" w:sz="6" w:space="0" w:color="000000"/>
            </w:tcBorders>
            <w:vAlign w:val="center"/>
          </w:tcPr>
          <w:p w:rsidR="00D42821" w:rsidRPr="00DB1152" w:rsidP="00DB1152" w14:paraId="340941B1" w14:textId="77777777">
            <w:pPr>
              <w:spacing w:after="0" w:line="240" w:lineRule="auto"/>
              <w:jc w:val="center"/>
              <w:rPr>
                <w:rFonts w:ascii="Times New Roman" w:hAnsi="Times New Roman" w:cs="Times New Roman"/>
                <w:sz w:val="20"/>
                <w:szCs w:val="20"/>
              </w:rPr>
            </w:pPr>
          </w:p>
        </w:tc>
        <w:tc>
          <w:tcPr>
            <w:tcW w:w="1350" w:type="dxa"/>
            <w:tcBorders>
              <w:left w:val="single" w:sz="6" w:space="0" w:color="000000"/>
              <w:bottom w:val="single" w:sz="6" w:space="0" w:color="000000"/>
            </w:tcBorders>
            <w:vAlign w:val="center"/>
          </w:tcPr>
          <w:p w:rsidR="00D42821" w:rsidRPr="00DB1152" w:rsidP="00DB1152" w14:paraId="6229F499" w14:textId="77777777">
            <w:pPr>
              <w:spacing w:after="0" w:line="240" w:lineRule="auto"/>
              <w:jc w:val="center"/>
              <w:rPr>
                <w:rFonts w:ascii="Times New Roman" w:hAnsi="Times New Roman" w:cs="Times New Roman"/>
                <w:sz w:val="20"/>
                <w:szCs w:val="20"/>
              </w:rPr>
            </w:pPr>
          </w:p>
        </w:tc>
        <w:tc>
          <w:tcPr>
            <w:tcW w:w="1080" w:type="dxa"/>
            <w:tcBorders>
              <w:bottom w:val="single" w:sz="6" w:space="0" w:color="000000"/>
              <w:right w:val="single" w:sz="6" w:space="0" w:color="000000"/>
            </w:tcBorders>
            <w:vAlign w:val="center"/>
          </w:tcPr>
          <w:p w:rsidR="00D42821" w:rsidRPr="00DB1152" w:rsidP="00DB1152" w14:paraId="7E996E7D" w14:textId="77777777">
            <w:pPr>
              <w:spacing w:after="0" w:line="240" w:lineRule="auto"/>
              <w:ind w:left="67" w:right="67"/>
              <w:jc w:val="center"/>
              <w:rPr>
                <w:rFonts w:ascii="Times New Roman" w:hAnsi="Times New Roman" w:cs="Times New Roman"/>
                <w:b/>
                <w:sz w:val="20"/>
                <w:szCs w:val="20"/>
              </w:rPr>
            </w:pPr>
            <w:r w:rsidRPr="00DB1152">
              <w:rPr>
                <w:rFonts w:ascii="Times New Roman" w:hAnsi="Times New Roman" w:cs="Times New Roman"/>
                <w:b/>
                <w:sz w:val="20"/>
                <w:szCs w:val="20"/>
              </w:rPr>
              <w:t>7,105</w:t>
            </w:r>
          </w:p>
        </w:tc>
        <w:tc>
          <w:tcPr>
            <w:tcW w:w="1620" w:type="dxa"/>
            <w:tcBorders>
              <w:left w:val="single" w:sz="6" w:space="0" w:color="000000"/>
              <w:bottom w:val="single" w:sz="6" w:space="0" w:color="000000"/>
            </w:tcBorders>
            <w:vAlign w:val="center"/>
          </w:tcPr>
          <w:p w:rsidR="00D42821" w:rsidRPr="00DB1152" w:rsidP="00DB1152" w14:paraId="5F30BA9A" w14:textId="77777777">
            <w:pPr>
              <w:spacing w:after="0" w:line="240" w:lineRule="auto"/>
              <w:ind w:left="55"/>
              <w:jc w:val="center"/>
              <w:rPr>
                <w:rFonts w:ascii="Times New Roman" w:hAnsi="Times New Roman" w:cs="Times New Roman"/>
                <w:b/>
                <w:color w:val="000000"/>
                <w:sz w:val="20"/>
                <w:szCs w:val="20"/>
              </w:rPr>
            </w:pPr>
            <w:r w:rsidRPr="00DB1152">
              <w:rPr>
                <w:rFonts w:ascii="Times New Roman" w:hAnsi="Times New Roman" w:cs="Times New Roman"/>
                <w:b/>
                <w:color w:val="000000"/>
                <w:sz w:val="20"/>
                <w:szCs w:val="20"/>
              </w:rPr>
              <w:t>$1</w:t>
            </w:r>
            <w:r w:rsidR="005230BC">
              <w:rPr>
                <w:rFonts w:ascii="Times New Roman" w:hAnsi="Times New Roman" w:cs="Times New Roman"/>
                <w:b/>
                <w:color w:val="000000"/>
                <w:sz w:val="20"/>
                <w:szCs w:val="20"/>
              </w:rPr>
              <w:t>50,760,867</w:t>
            </w:r>
          </w:p>
        </w:tc>
      </w:tr>
    </w:tbl>
    <w:p w:rsidR="006B572E" w:rsidRPr="0007528D" w:rsidP="006B572E" w14:paraId="4C586CE5" w14:textId="77777777">
      <w:pPr>
        <w:spacing w:after="0" w:line="240" w:lineRule="auto"/>
        <w:rPr>
          <w:rFonts w:ascii="Times New Roman" w:hAnsi="Times New Roman" w:cs="Times New Roman"/>
          <w:i/>
        </w:rPr>
      </w:pPr>
    </w:p>
    <w:p w:rsidR="00A25EBF" w:rsidRPr="00DB1152" w:rsidP="004B312A" w14:paraId="77565E09" w14:textId="77777777">
      <w:pPr>
        <w:spacing w:after="0" w:line="240" w:lineRule="auto"/>
        <w:ind w:firstLine="360"/>
        <w:rPr>
          <w:rFonts w:ascii="Times New Roman" w:hAnsi="Times New Roman" w:cs="Times New Roman"/>
          <w:sz w:val="18"/>
          <w:szCs w:val="18"/>
        </w:rPr>
      </w:pPr>
      <w:r>
        <w:rPr>
          <w:rFonts w:ascii="Times New Roman" w:hAnsi="Times New Roman" w:cs="Times New Roman"/>
        </w:rPr>
        <w:tab/>
      </w:r>
    </w:p>
    <w:p w:rsidR="009C7B7A" w:rsidRPr="00693892" w:rsidP="00C07306" w14:paraId="47627F19" w14:textId="77777777">
      <w:pPr>
        <w:pStyle w:val="Heading2"/>
      </w:pPr>
      <w:bookmarkStart w:id="475" w:name="_Toc98856237"/>
      <w:bookmarkStart w:id="476" w:name="_Toc144303599"/>
      <w:r w:rsidRPr="00693892">
        <w:t>7.</w:t>
      </w:r>
      <w:r w:rsidR="007F6842">
        <w:t>3</w:t>
      </w:r>
      <w:r w:rsidRPr="00693892">
        <w:t xml:space="preserve"> Summary of Regulatory Alternatives</w:t>
      </w:r>
      <w:bookmarkEnd w:id="475"/>
      <w:bookmarkEnd w:id="476"/>
    </w:p>
    <w:p w:rsidR="00C8160F" w:rsidP="000E6E0F" w14:paraId="28B2B76D" w14:textId="77777777">
      <w:pPr>
        <w:spacing w:after="0" w:line="240" w:lineRule="auto"/>
        <w:ind w:firstLine="360"/>
        <w:rPr>
          <w:rFonts w:ascii="Times New Roman" w:hAnsi="Times New Roman" w:cs="Times New Roman"/>
          <w:spacing w:val="2"/>
        </w:rPr>
      </w:pPr>
      <w:r>
        <w:rPr>
          <w:rFonts w:ascii="Times New Roman" w:hAnsi="Times New Roman" w:cs="Times New Roman"/>
          <w:spacing w:val="2"/>
        </w:rPr>
        <w:tab/>
      </w:r>
      <w:r w:rsidRPr="00693892" w:rsidR="000B4CB8">
        <w:rPr>
          <w:rFonts w:ascii="Times New Roman" w:hAnsi="Times New Roman" w:cs="Times New Roman"/>
          <w:spacing w:val="2"/>
        </w:rPr>
        <w:t>EPA compare</w:t>
      </w:r>
      <w:r w:rsidRPr="00693892" w:rsidR="00A54AAF">
        <w:rPr>
          <w:rFonts w:ascii="Times New Roman" w:hAnsi="Times New Roman" w:cs="Times New Roman"/>
          <w:spacing w:val="2"/>
        </w:rPr>
        <w:t>d</w:t>
      </w:r>
      <w:r w:rsidRPr="00693892" w:rsidR="000B4CB8">
        <w:rPr>
          <w:rFonts w:ascii="Times New Roman" w:hAnsi="Times New Roman" w:cs="Times New Roman"/>
          <w:spacing w:val="2"/>
        </w:rPr>
        <w:t xml:space="preserve"> the total cost of the regulatory alternatives to the </w:t>
      </w:r>
      <w:r w:rsidR="002F32EC">
        <w:rPr>
          <w:rFonts w:ascii="Times New Roman" w:hAnsi="Times New Roman" w:cs="Times New Roman"/>
          <w:spacing w:val="2"/>
        </w:rPr>
        <w:t>final</w:t>
      </w:r>
      <w:r w:rsidRPr="00693892" w:rsidR="002F32EC">
        <w:rPr>
          <w:rFonts w:ascii="Times New Roman" w:hAnsi="Times New Roman" w:cs="Times New Roman"/>
          <w:spacing w:val="2"/>
        </w:rPr>
        <w:t xml:space="preserve"> </w:t>
      </w:r>
      <w:r w:rsidRPr="00693892" w:rsidR="000B4CB8">
        <w:rPr>
          <w:rFonts w:ascii="Times New Roman" w:hAnsi="Times New Roman" w:cs="Times New Roman"/>
          <w:spacing w:val="2"/>
        </w:rPr>
        <w:t xml:space="preserve">rule. Each regulatory alternative consists of the alternative provisions </w:t>
      </w:r>
      <w:r w:rsidRPr="00693892" w:rsidR="00A54AAF">
        <w:rPr>
          <w:rFonts w:ascii="Times New Roman" w:hAnsi="Times New Roman" w:cs="Times New Roman"/>
          <w:spacing w:val="2"/>
        </w:rPr>
        <w:t xml:space="preserve">presented above, </w:t>
      </w:r>
      <w:r w:rsidRPr="00693892" w:rsidR="000B4CB8">
        <w:rPr>
          <w:rFonts w:ascii="Times New Roman" w:hAnsi="Times New Roman" w:cs="Times New Roman"/>
          <w:spacing w:val="2"/>
        </w:rPr>
        <w:t xml:space="preserve">combined with </w:t>
      </w:r>
      <w:r w:rsidR="00C41618">
        <w:rPr>
          <w:rFonts w:ascii="Times New Roman" w:hAnsi="Times New Roman" w:cs="Times New Roman"/>
          <w:spacing w:val="2"/>
        </w:rPr>
        <w:t>all other</w:t>
      </w:r>
      <w:r w:rsidRPr="00693892" w:rsidR="000B4CB8">
        <w:rPr>
          <w:rFonts w:ascii="Times New Roman" w:hAnsi="Times New Roman" w:cs="Times New Roman"/>
          <w:spacing w:val="2"/>
        </w:rPr>
        <w:t xml:space="preserve"> </w:t>
      </w:r>
      <w:r w:rsidR="00F31BAC">
        <w:rPr>
          <w:rFonts w:ascii="Times New Roman" w:hAnsi="Times New Roman" w:cs="Times New Roman"/>
          <w:spacing w:val="2"/>
        </w:rPr>
        <w:t xml:space="preserve">final </w:t>
      </w:r>
      <w:r w:rsidR="00312224">
        <w:rPr>
          <w:rFonts w:ascii="Times New Roman" w:hAnsi="Times New Roman" w:cs="Times New Roman"/>
          <w:spacing w:val="2"/>
        </w:rPr>
        <w:t>rule</w:t>
      </w:r>
      <w:r w:rsidRPr="00693892" w:rsidR="00312224">
        <w:rPr>
          <w:rFonts w:ascii="Times New Roman" w:hAnsi="Times New Roman" w:cs="Times New Roman"/>
          <w:spacing w:val="2"/>
        </w:rPr>
        <w:t xml:space="preserve"> provisions</w:t>
      </w:r>
      <w:r w:rsidRPr="00693892" w:rsidR="000B4CB8">
        <w:rPr>
          <w:rFonts w:ascii="Times New Roman" w:hAnsi="Times New Roman" w:cs="Times New Roman"/>
          <w:spacing w:val="2"/>
        </w:rPr>
        <w:t xml:space="preserve">. </w:t>
      </w:r>
      <w:r w:rsidRPr="00693892" w:rsidR="0045400F">
        <w:rPr>
          <w:rFonts w:ascii="Times New Roman" w:hAnsi="Times New Roman" w:cs="Times New Roman"/>
        </w:rPr>
        <w:t xml:space="preserve">The analysis presents total costs as total undiscounted costs </w:t>
      </w:r>
      <w:r w:rsidRPr="00693892" w:rsidR="0045400F">
        <w:rPr>
          <w:rFonts w:ascii="Times New Roman" w:hAnsi="Times New Roman" w:cs="Times New Roman"/>
          <w:spacing w:val="3"/>
        </w:rPr>
        <w:t xml:space="preserve">over </w:t>
      </w:r>
      <w:r w:rsidRPr="00693892" w:rsidR="0045400F">
        <w:rPr>
          <w:rFonts w:ascii="Times New Roman" w:hAnsi="Times New Roman" w:cs="Times New Roman"/>
        </w:rPr>
        <w:t xml:space="preserve">the </w:t>
      </w:r>
      <w:r w:rsidRPr="00693892" w:rsidR="00312224">
        <w:rPr>
          <w:rFonts w:ascii="Times New Roman" w:hAnsi="Times New Roman" w:cs="Times New Roman"/>
          <w:spacing w:val="-5"/>
        </w:rPr>
        <w:t>10-year</w:t>
      </w:r>
      <w:r w:rsidRPr="00693892" w:rsidR="0045400F">
        <w:rPr>
          <w:rFonts w:ascii="Times New Roman" w:hAnsi="Times New Roman" w:cs="Times New Roman"/>
        </w:rPr>
        <w:t xml:space="preserve"> </w:t>
      </w:r>
      <w:r w:rsidRPr="00693892" w:rsidR="0045400F">
        <w:rPr>
          <w:rFonts w:ascii="Times New Roman" w:hAnsi="Times New Roman" w:cs="Times New Roman"/>
          <w:spacing w:val="2"/>
        </w:rPr>
        <w:t xml:space="preserve">period </w:t>
      </w:r>
      <w:r w:rsidRPr="00693892" w:rsidR="0045400F">
        <w:rPr>
          <w:rFonts w:ascii="Times New Roman" w:hAnsi="Times New Roman" w:cs="Times New Roman"/>
        </w:rPr>
        <w:t xml:space="preserve">of </w:t>
      </w:r>
      <w:r w:rsidRPr="00693892" w:rsidR="0045400F">
        <w:rPr>
          <w:rFonts w:ascii="Times New Roman" w:hAnsi="Times New Roman" w:cs="Times New Roman"/>
          <w:spacing w:val="2"/>
        </w:rPr>
        <w:t xml:space="preserve">analysis, </w:t>
      </w:r>
      <w:r w:rsidRPr="00693892" w:rsidR="0045400F">
        <w:rPr>
          <w:rFonts w:ascii="Times New Roman" w:hAnsi="Times New Roman" w:cs="Times New Roman"/>
        </w:rPr>
        <w:t xml:space="preserve">total discounted </w:t>
      </w:r>
      <w:r w:rsidRPr="00693892" w:rsidR="0045400F">
        <w:rPr>
          <w:rFonts w:ascii="Times New Roman" w:hAnsi="Times New Roman" w:cs="Times New Roman"/>
          <w:spacing w:val="3"/>
        </w:rPr>
        <w:t xml:space="preserve">(3 </w:t>
      </w:r>
      <w:r w:rsidRPr="00693892" w:rsidR="0045400F">
        <w:rPr>
          <w:rFonts w:ascii="Times New Roman" w:hAnsi="Times New Roman" w:cs="Times New Roman"/>
        </w:rPr>
        <w:t xml:space="preserve">percent and 7 percent), and annualized </w:t>
      </w:r>
      <w:r w:rsidRPr="00693892" w:rsidR="0045400F">
        <w:rPr>
          <w:rFonts w:ascii="Times New Roman" w:hAnsi="Times New Roman" w:cs="Times New Roman"/>
          <w:spacing w:val="3"/>
        </w:rPr>
        <w:t xml:space="preserve">(3 </w:t>
      </w:r>
      <w:r w:rsidRPr="00693892" w:rsidR="0045400F">
        <w:rPr>
          <w:rFonts w:ascii="Times New Roman" w:hAnsi="Times New Roman" w:cs="Times New Roman"/>
        </w:rPr>
        <w:t xml:space="preserve">percent and 7 percent). When annual costs </w:t>
      </w:r>
      <w:r w:rsidRPr="00693892" w:rsidR="0045400F">
        <w:rPr>
          <w:rFonts w:ascii="Times New Roman" w:hAnsi="Times New Roman" w:cs="Times New Roman"/>
          <w:spacing w:val="2"/>
        </w:rPr>
        <w:t xml:space="preserve">for different </w:t>
      </w:r>
      <w:r w:rsidRPr="00693892" w:rsidR="0045400F">
        <w:rPr>
          <w:rFonts w:ascii="Times New Roman" w:hAnsi="Times New Roman" w:cs="Times New Roman"/>
        </w:rPr>
        <w:t xml:space="preserve">years </w:t>
      </w:r>
      <w:r w:rsidRPr="00693892" w:rsidR="0045400F">
        <w:rPr>
          <w:rFonts w:ascii="Times New Roman" w:hAnsi="Times New Roman" w:cs="Times New Roman"/>
          <w:spacing w:val="-3"/>
        </w:rPr>
        <w:t xml:space="preserve">are </w:t>
      </w:r>
      <w:r w:rsidRPr="00693892" w:rsidR="0045400F">
        <w:rPr>
          <w:rFonts w:ascii="Times New Roman" w:hAnsi="Times New Roman" w:cs="Times New Roman"/>
        </w:rPr>
        <w:t xml:space="preserve">equal across the analysis period, the annualized costs calculated </w:t>
      </w:r>
      <w:r w:rsidRPr="00693892" w:rsidR="0045400F">
        <w:rPr>
          <w:rFonts w:ascii="Times New Roman" w:hAnsi="Times New Roman" w:cs="Times New Roman"/>
          <w:spacing w:val="2"/>
        </w:rPr>
        <w:t>using</w:t>
      </w:r>
      <w:r w:rsidRPr="00693892" w:rsidR="0045400F">
        <w:rPr>
          <w:rFonts w:ascii="Times New Roman" w:hAnsi="Times New Roman" w:cs="Times New Roman"/>
          <w:spacing w:val="-21"/>
        </w:rPr>
        <w:t xml:space="preserve"> </w:t>
      </w:r>
      <w:r w:rsidRPr="00693892" w:rsidR="0045400F">
        <w:rPr>
          <w:rFonts w:ascii="Times New Roman" w:hAnsi="Times New Roman" w:cs="Times New Roman"/>
        </w:rPr>
        <w:t>rates</w:t>
      </w:r>
      <w:r w:rsidRPr="00693892" w:rsidR="0045400F">
        <w:rPr>
          <w:rFonts w:ascii="Times New Roman" w:hAnsi="Times New Roman" w:cs="Times New Roman"/>
          <w:spacing w:val="-16"/>
        </w:rPr>
        <w:t xml:space="preserve"> </w:t>
      </w:r>
      <w:r w:rsidRPr="00693892" w:rsidR="0045400F">
        <w:rPr>
          <w:rFonts w:ascii="Times New Roman" w:hAnsi="Times New Roman" w:cs="Times New Roman"/>
        </w:rPr>
        <w:t>(e.g.,</w:t>
      </w:r>
      <w:r w:rsidRPr="00693892" w:rsidR="0045400F">
        <w:rPr>
          <w:rFonts w:ascii="Times New Roman" w:hAnsi="Times New Roman" w:cs="Times New Roman"/>
          <w:spacing w:val="-15"/>
        </w:rPr>
        <w:t xml:space="preserve"> </w:t>
      </w:r>
      <w:r w:rsidRPr="00693892" w:rsidR="0045400F">
        <w:rPr>
          <w:rFonts w:ascii="Times New Roman" w:hAnsi="Times New Roman" w:cs="Times New Roman"/>
        </w:rPr>
        <w:t>3</w:t>
      </w:r>
      <w:r w:rsidRPr="00693892" w:rsidR="0045400F">
        <w:rPr>
          <w:rFonts w:ascii="Times New Roman" w:hAnsi="Times New Roman" w:cs="Times New Roman"/>
          <w:spacing w:val="-29"/>
        </w:rPr>
        <w:t xml:space="preserve"> </w:t>
      </w:r>
      <w:r w:rsidRPr="00693892" w:rsidR="0045400F">
        <w:rPr>
          <w:rFonts w:ascii="Times New Roman" w:hAnsi="Times New Roman" w:cs="Times New Roman"/>
        </w:rPr>
        <w:t>and</w:t>
      </w:r>
      <w:r w:rsidRPr="00693892" w:rsidR="0045400F">
        <w:rPr>
          <w:rFonts w:ascii="Times New Roman" w:hAnsi="Times New Roman" w:cs="Times New Roman"/>
          <w:spacing w:val="-2"/>
        </w:rPr>
        <w:t xml:space="preserve"> </w:t>
      </w:r>
      <w:r w:rsidRPr="00693892" w:rsidR="0045400F">
        <w:rPr>
          <w:rFonts w:ascii="Times New Roman" w:hAnsi="Times New Roman" w:cs="Times New Roman"/>
        </w:rPr>
        <w:t>7</w:t>
      </w:r>
      <w:r w:rsidRPr="00693892" w:rsidR="0045400F">
        <w:rPr>
          <w:rFonts w:ascii="Times New Roman" w:hAnsi="Times New Roman" w:cs="Times New Roman"/>
          <w:spacing w:val="3"/>
        </w:rPr>
        <w:t xml:space="preserve"> </w:t>
      </w:r>
      <w:r w:rsidRPr="00693892" w:rsidR="0045400F">
        <w:rPr>
          <w:rFonts w:ascii="Times New Roman" w:hAnsi="Times New Roman" w:cs="Times New Roman"/>
        </w:rPr>
        <w:t>percent)</w:t>
      </w:r>
      <w:r w:rsidRPr="00693892" w:rsidR="0045400F">
        <w:rPr>
          <w:rFonts w:ascii="Times New Roman" w:hAnsi="Times New Roman" w:cs="Times New Roman"/>
          <w:spacing w:val="-13"/>
        </w:rPr>
        <w:t xml:space="preserve"> </w:t>
      </w:r>
      <w:r w:rsidRPr="00693892" w:rsidR="0045400F">
        <w:rPr>
          <w:rFonts w:ascii="Times New Roman" w:hAnsi="Times New Roman" w:cs="Times New Roman"/>
          <w:spacing w:val="-3"/>
        </w:rPr>
        <w:t>are</w:t>
      </w:r>
      <w:r w:rsidRPr="00693892" w:rsidR="0045400F">
        <w:rPr>
          <w:rFonts w:ascii="Times New Roman" w:hAnsi="Times New Roman" w:cs="Times New Roman"/>
          <w:spacing w:val="-11"/>
        </w:rPr>
        <w:t xml:space="preserve"> </w:t>
      </w:r>
      <w:r w:rsidRPr="00693892" w:rsidR="0045400F">
        <w:rPr>
          <w:rFonts w:ascii="Times New Roman" w:hAnsi="Times New Roman" w:cs="Times New Roman"/>
          <w:spacing w:val="2"/>
        </w:rPr>
        <w:t>equal.</w:t>
      </w:r>
      <w:r w:rsidRPr="00693892" w:rsidR="000B4CB8">
        <w:rPr>
          <w:rFonts w:ascii="Times New Roman" w:hAnsi="Times New Roman" w:cs="Times New Roman"/>
          <w:spacing w:val="2"/>
        </w:rPr>
        <w:t xml:space="preserve"> </w:t>
      </w:r>
      <w:r w:rsidRPr="00693892" w:rsidR="00D3478D">
        <w:rPr>
          <w:rFonts w:ascii="Times New Roman" w:hAnsi="Times New Roman" w:cs="Times New Roman"/>
          <w:spacing w:val="2"/>
        </w:rPr>
        <w:t>Exhibit 7-</w:t>
      </w:r>
      <w:r w:rsidR="00D70832">
        <w:rPr>
          <w:rFonts w:ascii="Times New Roman" w:hAnsi="Times New Roman" w:cs="Times New Roman"/>
          <w:spacing w:val="2"/>
        </w:rPr>
        <w:t>9</w:t>
      </w:r>
      <w:r w:rsidRPr="00693892" w:rsidR="000B4CB8">
        <w:rPr>
          <w:rFonts w:ascii="Times New Roman" w:hAnsi="Times New Roman" w:cs="Times New Roman"/>
          <w:spacing w:val="2"/>
        </w:rPr>
        <w:t xml:space="preserve"> summarizes </w:t>
      </w:r>
      <w:r w:rsidRPr="00693892" w:rsidR="00880915">
        <w:rPr>
          <w:rFonts w:ascii="Times New Roman" w:hAnsi="Times New Roman" w:cs="Times New Roman"/>
          <w:spacing w:val="2"/>
        </w:rPr>
        <w:t>the</w:t>
      </w:r>
      <w:r w:rsidRPr="00693892" w:rsidR="000B4CB8">
        <w:rPr>
          <w:rFonts w:ascii="Times New Roman" w:hAnsi="Times New Roman" w:cs="Times New Roman"/>
          <w:spacing w:val="2"/>
        </w:rPr>
        <w:t xml:space="preserve"> costs and highlights the provisions that are different from the </w:t>
      </w:r>
      <w:r w:rsidR="00F31BAC">
        <w:rPr>
          <w:rFonts w:ascii="Times New Roman" w:hAnsi="Times New Roman" w:cs="Times New Roman"/>
          <w:spacing w:val="2"/>
        </w:rPr>
        <w:t>final</w:t>
      </w:r>
      <w:r w:rsidRPr="00693892" w:rsidR="00F31BAC">
        <w:rPr>
          <w:rFonts w:ascii="Times New Roman" w:hAnsi="Times New Roman" w:cs="Times New Roman"/>
          <w:spacing w:val="2"/>
        </w:rPr>
        <w:t xml:space="preserve"> </w:t>
      </w:r>
      <w:r w:rsidRPr="00693892" w:rsidR="000B4CB8">
        <w:rPr>
          <w:rFonts w:ascii="Times New Roman" w:hAnsi="Times New Roman" w:cs="Times New Roman"/>
          <w:spacing w:val="2"/>
        </w:rPr>
        <w:t>rule under each regulatory alternative.</w:t>
      </w:r>
    </w:p>
    <w:p w:rsidR="00D726C0" w:rsidP="000E6E0F" w14:paraId="6B33A62A" w14:textId="77777777">
      <w:pPr>
        <w:spacing w:after="0" w:line="240" w:lineRule="auto"/>
        <w:ind w:firstLine="360"/>
        <w:rPr>
          <w:rFonts w:ascii="Times New Roman" w:hAnsi="Times New Roman" w:cs="Times New Roman"/>
          <w:spacing w:val="2"/>
        </w:rPr>
      </w:pPr>
    </w:p>
    <w:p w:rsidR="001910CA" w:rsidP="000E6E0F" w14:paraId="721C7B1E" w14:textId="3F32BE97">
      <w:pPr>
        <w:spacing w:after="0" w:line="240" w:lineRule="auto"/>
        <w:ind w:firstLine="360"/>
        <w:rPr>
          <w:rFonts w:ascii="Times New Roman" w:hAnsi="Times New Roman" w:cs="Times New Roman"/>
        </w:rPr>
      </w:pPr>
      <w:r>
        <w:rPr>
          <w:rFonts w:ascii="Times New Roman" w:hAnsi="Times New Roman" w:cs="Times New Roman"/>
        </w:rPr>
        <w:tab/>
      </w:r>
      <w:r w:rsidRPr="00693892" w:rsidR="0049791F">
        <w:rPr>
          <w:rFonts w:ascii="Times New Roman" w:hAnsi="Times New Roman" w:cs="Times New Roman"/>
        </w:rPr>
        <w:t>As described in Chapter 5</w:t>
      </w:r>
      <w:r w:rsidR="0049791F">
        <w:rPr>
          <w:rFonts w:ascii="Times New Roman" w:hAnsi="Times New Roman" w:cs="Times New Roman"/>
        </w:rPr>
        <w:t>, EPA estimates</w:t>
      </w:r>
      <w:r w:rsidRPr="00693892" w:rsidR="0049791F">
        <w:rPr>
          <w:rFonts w:ascii="Times New Roman" w:hAnsi="Times New Roman" w:cs="Times New Roman"/>
        </w:rPr>
        <w:t xml:space="preserve"> the </w:t>
      </w:r>
      <w:r w:rsidR="0049791F">
        <w:rPr>
          <w:rFonts w:ascii="Times New Roman" w:hAnsi="Times New Roman" w:cs="Times New Roman"/>
        </w:rPr>
        <w:t>final</w:t>
      </w:r>
      <w:r w:rsidRPr="00693892" w:rsidR="0049791F">
        <w:rPr>
          <w:rFonts w:ascii="Times New Roman" w:hAnsi="Times New Roman" w:cs="Times New Roman"/>
        </w:rPr>
        <w:t xml:space="preserve"> rule </w:t>
      </w:r>
      <w:r w:rsidR="0049791F">
        <w:rPr>
          <w:rFonts w:ascii="Times New Roman" w:hAnsi="Times New Roman" w:cs="Times New Roman"/>
        </w:rPr>
        <w:t>will</w:t>
      </w:r>
      <w:r w:rsidRPr="00693892" w:rsidR="0049791F">
        <w:rPr>
          <w:rFonts w:ascii="Times New Roman" w:hAnsi="Times New Roman" w:cs="Times New Roman"/>
        </w:rPr>
        <w:t xml:space="preserve"> cost $</w:t>
      </w:r>
      <w:r w:rsidR="0049791F">
        <w:rPr>
          <w:rFonts w:ascii="Times New Roman" w:hAnsi="Times New Roman" w:cs="Times New Roman"/>
        </w:rPr>
        <w:t>256.9</w:t>
      </w:r>
      <w:r w:rsidRPr="00693892" w:rsidR="0049791F">
        <w:rPr>
          <w:rFonts w:ascii="Times New Roman" w:hAnsi="Times New Roman" w:cs="Times New Roman"/>
        </w:rPr>
        <w:t xml:space="preserve"> million (annualized 3 percent) or $</w:t>
      </w:r>
      <w:r w:rsidR="0049791F">
        <w:rPr>
          <w:rFonts w:ascii="Times New Roman" w:hAnsi="Times New Roman" w:cs="Times New Roman"/>
        </w:rPr>
        <w:t xml:space="preserve">296.9 </w:t>
      </w:r>
      <w:r w:rsidRPr="00693892" w:rsidR="0049791F">
        <w:rPr>
          <w:rFonts w:ascii="Times New Roman" w:hAnsi="Times New Roman" w:cs="Times New Roman"/>
        </w:rPr>
        <w:t>(annualized 7 percent). The low</w:t>
      </w:r>
      <w:r w:rsidR="0049791F">
        <w:rPr>
          <w:rFonts w:ascii="Times New Roman" w:hAnsi="Times New Roman" w:cs="Times New Roman"/>
        </w:rPr>
        <w:t>er-</w:t>
      </w:r>
      <w:r w:rsidRPr="00693892" w:rsidR="0049791F">
        <w:rPr>
          <w:rFonts w:ascii="Times New Roman" w:hAnsi="Times New Roman" w:cs="Times New Roman"/>
        </w:rPr>
        <w:t xml:space="preserve">cost regulatory alternative </w:t>
      </w:r>
      <w:r w:rsidR="0049791F">
        <w:rPr>
          <w:rFonts w:ascii="Times New Roman" w:hAnsi="Times New Roman" w:cs="Times New Roman"/>
        </w:rPr>
        <w:t>would</w:t>
      </w:r>
      <w:r w:rsidRPr="00693892" w:rsidR="0049791F">
        <w:rPr>
          <w:rFonts w:ascii="Times New Roman" w:hAnsi="Times New Roman" w:cs="Times New Roman"/>
        </w:rPr>
        <w:t xml:space="preserve"> cost $</w:t>
      </w:r>
      <w:r w:rsidR="0049791F">
        <w:rPr>
          <w:rFonts w:ascii="Times New Roman" w:hAnsi="Times New Roman" w:cs="Times New Roman"/>
        </w:rPr>
        <w:t>48.4</w:t>
      </w:r>
      <w:r w:rsidRPr="00693892" w:rsidR="0049791F">
        <w:rPr>
          <w:rFonts w:ascii="Times New Roman" w:hAnsi="Times New Roman" w:cs="Times New Roman"/>
        </w:rPr>
        <w:t xml:space="preserve"> million (annualized 3 percent) or $</w:t>
      </w:r>
      <w:r w:rsidR="0049791F">
        <w:rPr>
          <w:rFonts w:ascii="Times New Roman" w:hAnsi="Times New Roman" w:cs="Times New Roman"/>
        </w:rPr>
        <w:t>50.5</w:t>
      </w:r>
      <w:r w:rsidRPr="00693892" w:rsidR="0049791F">
        <w:rPr>
          <w:rFonts w:ascii="Times New Roman" w:hAnsi="Times New Roman" w:cs="Times New Roman"/>
        </w:rPr>
        <w:t xml:space="preserve"> million (annualized 7 percent). The high</w:t>
      </w:r>
      <w:r w:rsidR="0049791F">
        <w:rPr>
          <w:rFonts w:ascii="Times New Roman" w:hAnsi="Times New Roman" w:cs="Times New Roman"/>
        </w:rPr>
        <w:t>er-</w:t>
      </w:r>
      <w:r w:rsidRPr="00693892" w:rsidR="0049791F">
        <w:rPr>
          <w:rFonts w:ascii="Times New Roman" w:hAnsi="Times New Roman" w:cs="Times New Roman"/>
        </w:rPr>
        <w:t xml:space="preserve">cost regulatory alternative </w:t>
      </w:r>
      <w:r w:rsidR="0049791F">
        <w:rPr>
          <w:rFonts w:ascii="Times New Roman" w:hAnsi="Times New Roman" w:cs="Times New Roman"/>
        </w:rPr>
        <w:t>would</w:t>
      </w:r>
      <w:r w:rsidRPr="00693892" w:rsidR="0049791F">
        <w:rPr>
          <w:rFonts w:ascii="Times New Roman" w:hAnsi="Times New Roman" w:cs="Times New Roman"/>
        </w:rPr>
        <w:t xml:space="preserve"> cost $</w:t>
      </w:r>
      <w:r w:rsidR="0049791F">
        <w:rPr>
          <w:rFonts w:ascii="Times New Roman" w:hAnsi="Times New Roman" w:cs="Times New Roman"/>
        </w:rPr>
        <w:t>567.2</w:t>
      </w:r>
      <w:r w:rsidRPr="00693892" w:rsidR="0049791F">
        <w:rPr>
          <w:rFonts w:ascii="Times New Roman" w:hAnsi="Times New Roman" w:cs="Times New Roman"/>
        </w:rPr>
        <w:t xml:space="preserve"> million (</w:t>
      </w:r>
      <w:r w:rsidRPr="00693892" w:rsidR="0049791F">
        <w:rPr>
          <w:rFonts w:ascii="Times New Roman" w:hAnsi="Times New Roman" w:cs="Times New Roman"/>
          <w:spacing w:val="2"/>
        </w:rPr>
        <w:t>different</w:t>
      </w:r>
      <w:r w:rsidRPr="00693892" w:rsidR="0049791F">
        <w:rPr>
          <w:rFonts w:ascii="Times New Roman" w:hAnsi="Times New Roman" w:cs="Times New Roman"/>
          <w:spacing w:val="-20"/>
        </w:rPr>
        <w:t xml:space="preserve"> </w:t>
      </w:r>
      <w:r w:rsidRPr="00693892" w:rsidR="0049791F">
        <w:rPr>
          <w:rFonts w:ascii="Times New Roman" w:hAnsi="Times New Roman" w:cs="Times New Roman"/>
        </w:rPr>
        <w:t>discount</w:t>
      </w:r>
      <w:r w:rsidRPr="00693892" w:rsidR="0049791F">
        <w:rPr>
          <w:rFonts w:ascii="Times New Roman" w:hAnsi="Times New Roman" w:cs="Times New Roman"/>
          <w:spacing w:val="-20"/>
        </w:rPr>
        <w:t xml:space="preserve"> </w:t>
      </w:r>
      <w:r w:rsidRPr="00693892" w:rsidR="0049791F">
        <w:rPr>
          <w:rFonts w:ascii="Times New Roman" w:hAnsi="Times New Roman" w:cs="Times New Roman"/>
        </w:rPr>
        <w:t>annualized at 3 percent) or $</w:t>
      </w:r>
      <w:r w:rsidR="0049791F">
        <w:rPr>
          <w:rFonts w:ascii="Times New Roman" w:hAnsi="Times New Roman" w:cs="Times New Roman"/>
        </w:rPr>
        <w:t>642.2</w:t>
      </w:r>
      <w:r w:rsidRPr="00693892" w:rsidR="0049791F">
        <w:rPr>
          <w:rFonts w:ascii="Times New Roman" w:hAnsi="Times New Roman" w:cs="Times New Roman"/>
        </w:rPr>
        <w:t xml:space="preserve"> million (annualized at 7 percent).</w:t>
      </w:r>
    </w:p>
    <w:p w:rsidR="0049791F" w:rsidP="000E6E0F" w14:paraId="5B88A6D9" w14:textId="77777777">
      <w:pPr>
        <w:spacing w:after="0" w:line="240" w:lineRule="auto"/>
        <w:ind w:firstLine="360"/>
        <w:rPr>
          <w:rFonts w:ascii="Times New Roman" w:hAnsi="Times New Roman" w:cs="Times New Roman"/>
        </w:rPr>
      </w:pPr>
    </w:p>
    <w:p w:rsidR="001910CA" w:rsidP="000E6E0F" w14:paraId="49AC141A" w14:textId="6B0DF7D5">
      <w:pPr>
        <w:spacing w:after="0" w:line="240" w:lineRule="auto"/>
        <w:ind w:firstLine="360"/>
        <w:rPr>
          <w:rFonts w:ascii="Times New Roman" w:hAnsi="Times New Roman" w:cs="Times New Roman"/>
        </w:rPr>
      </w:pPr>
      <w:r>
        <w:rPr>
          <w:rFonts w:ascii="Times New Roman" w:hAnsi="Times New Roman" w:cs="Times New Roman"/>
        </w:rPr>
        <w:tab/>
        <w:t>B</w:t>
      </w:r>
      <w:r w:rsidRPr="001910CA">
        <w:rPr>
          <w:rFonts w:ascii="Times New Roman" w:hAnsi="Times New Roman" w:cs="Times New Roman"/>
        </w:rPr>
        <w:t xml:space="preserve">ecause </w:t>
      </w:r>
      <w:r w:rsidR="00F44BED">
        <w:rPr>
          <w:rFonts w:ascii="Times New Roman" w:hAnsi="Times New Roman" w:cs="Times New Roman"/>
        </w:rPr>
        <w:t>EPA</w:t>
      </w:r>
      <w:r w:rsidRPr="001910CA">
        <w:rPr>
          <w:rFonts w:ascii="Times New Roman" w:hAnsi="Times New Roman" w:cs="Times New Roman"/>
        </w:rPr>
        <w:t xml:space="preserve"> do</w:t>
      </w:r>
      <w:r w:rsidR="00F44BED">
        <w:rPr>
          <w:rFonts w:ascii="Times New Roman" w:hAnsi="Times New Roman" w:cs="Times New Roman"/>
        </w:rPr>
        <w:t>es</w:t>
      </w:r>
      <w:r w:rsidRPr="001910CA">
        <w:rPr>
          <w:rFonts w:ascii="Times New Roman" w:hAnsi="Times New Roman" w:cs="Times New Roman"/>
        </w:rPr>
        <w:t xml:space="preserve"> not quantify the benefits</w:t>
      </w:r>
      <w:r>
        <w:rPr>
          <w:rFonts w:ascii="Times New Roman" w:hAnsi="Times New Roman" w:cs="Times New Roman"/>
        </w:rPr>
        <w:t xml:space="preserve"> of the regulatory alternatives</w:t>
      </w:r>
      <w:r w:rsidRPr="001910CA">
        <w:rPr>
          <w:rFonts w:ascii="Times New Roman" w:hAnsi="Times New Roman" w:cs="Times New Roman"/>
        </w:rPr>
        <w:t xml:space="preserve">, </w:t>
      </w:r>
      <w:r w:rsidR="00F44BED">
        <w:rPr>
          <w:rFonts w:ascii="Times New Roman" w:hAnsi="Times New Roman" w:cs="Times New Roman"/>
        </w:rPr>
        <w:t>EPA</w:t>
      </w:r>
      <w:r w:rsidRPr="001910CA">
        <w:rPr>
          <w:rFonts w:ascii="Times New Roman" w:hAnsi="Times New Roman" w:cs="Times New Roman"/>
        </w:rPr>
        <w:t xml:space="preserve"> assume</w:t>
      </w:r>
      <w:r w:rsidR="00F44BED">
        <w:rPr>
          <w:rFonts w:ascii="Times New Roman" w:hAnsi="Times New Roman" w:cs="Times New Roman"/>
        </w:rPr>
        <w:t>s</w:t>
      </w:r>
      <w:r w:rsidRPr="001910CA">
        <w:rPr>
          <w:rFonts w:ascii="Times New Roman" w:hAnsi="Times New Roman" w:cs="Times New Roman"/>
        </w:rPr>
        <w:t xml:space="preserve"> that the</w:t>
      </w:r>
      <w:r w:rsidR="00F44BED">
        <w:rPr>
          <w:rFonts w:ascii="Times New Roman" w:hAnsi="Times New Roman" w:cs="Times New Roman"/>
        </w:rPr>
        <w:t xml:space="preserve"> benefits</w:t>
      </w:r>
      <w:r w:rsidRPr="001910CA">
        <w:rPr>
          <w:rFonts w:ascii="Times New Roman" w:hAnsi="Times New Roman" w:cs="Times New Roman"/>
        </w:rPr>
        <w:t xml:space="preserve"> </w:t>
      </w:r>
      <w:r w:rsidR="009837FF">
        <w:rPr>
          <w:rFonts w:ascii="Times New Roman" w:hAnsi="Times New Roman" w:cs="Times New Roman"/>
        </w:rPr>
        <w:t>will</w:t>
      </w:r>
      <w:r w:rsidRPr="001910CA">
        <w:rPr>
          <w:rFonts w:ascii="Times New Roman" w:hAnsi="Times New Roman" w:cs="Times New Roman"/>
        </w:rPr>
        <w:t xml:space="preserve"> move higher or lower qualitatively with the stringency of the alternatives considered.</w:t>
      </w:r>
      <w:r>
        <w:rPr>
          <w:rFonts w:ascii="Times New Roman" w:hAnsi="Times New Roman" w:cs="Times New Roman"/>
        </w:rPr>
        <w:t xml:space="preserve"> Therefore, </w:t>
      </w:r>
      <w:r w:rsidR="00F44BED">
        <w:rPr>
          <w:rFonts w:ascii="Times New Roman" w:hAnsi="Times New Roman" w:cs="Times New Roman"/>
        </w:rPr>
        <w:t>EPA</w:t>
      </w:r>
      <w:r w:rsidRPr="001910CA">
        <w:rPr>
          <w:rFonts w:ascii="Times New Roman" w:hAnsi="Times New Roman" w:cs="Times New Roman"/>
        </w:rPr>
        <w:t xml:space="preserve"> believe</w:t>
      </w:r>
      <w:r w:rsidR="00F44BED">
        <w:rPr>
          <w:rFonts w:ascii="Times New Roman" w:hAnsi="Times New Roman" w:cs="Times New Roman"/>
        </w:rPr>
        <w:t>s</w:t>
      </w:r>
      <w:r w:rsidRPr="001910CA">
        <w:rPr>
          <w:rFonts w:ascii="Times New Roman" w:hAnsi="Times New Roman" w:cs="Times New Roman"/>
        </w:rPr>
        <w:t xml:space="preserve"> a reduction in regulatory measures </w:t>
      </w:r>
      <w:r w:rsidR="00CE3D9B">
        <w:rPr>
          <w:rFonts w:ascii="Times New Roman" w:hAnsi="Times New Roman" w:cs="Times New Roman"/>
        </w:rPr>
        <w:t xml:space="preserve">under the lower-cost alternative </w:t>
      </w:r>
      <w:r w:rsidR="009837FF">
        <w:rPr>
          <w:rFonts w:ascii="Times New Roman" w:hAnsi="Times New Roman" w:cs="Times New Roman"/>
        </w:rPr>
        <w:t>w</w:t>
      </w:r>
      <w:r w:rsidR="00CE3D9B">
        <w:rPr>
          <w:rFonts w:ascii="Times New Roman" w:hAnsi="Times New Roman" w:cs="Times New Roman"/>
        </w:rPr>
        <w:t>ould</w:t>
      </w:r>
      <w:r w:rsidRPr="001910CA">
        <w:rPr>
          <w:rFonts w:ascii="Times New Roman" w:hAnsi="Times New Roman" w:cs="Times New Roman"/>
        </w:rPr>
        <w:t xml:space="preserve"> be associated with reduced </w:t>
      </w:r>
      <w:r w:rsidR="003E61D8">
        <w:rPr>
          <w:rFonts w:ascii="Times New Roman" w:hAnsi="Times New Roman" w:cs="Times New Roman"/>
        </w:rPr>
        <w:t>lower</w:t>
      </w:r>
      <w:r w:rsidRPr="001910CA" w:rsidR="003E61D8">
        <w:rPr>
          <w:rFonts w:ascii="Times New Roman" w:hAnsi="Times New Roman" w:cs="Times New Roman"/>
        </w:rPr>
        <w:t xml:space="preserve"> </w:t>
      </w:r>
      <w:r w:rsidRPr="001910CA">
        <w:rPr>
          <w:rFonts w:ascii="Times New Roman" w:hAnsi="Times New Roman" w:cs="Times New Roman"/>
        </w:rPr>
        <w:t>benefits</w:t>
      </w:r>
      <w:r w:rsidR="00DF26BE">
        <w:rPr>
          <w:rFonts w:ascii="Times New Roman" w:hAnsi="Times New Roman" w:cs="Times New Roman"/>
        </w:rPr>
        <w:t xml:space="preserve"> and that</w:t>
      </w:r>
      <w:r w:rsidRPr="001910CA">
        <w:rPr>
          <w:rFonts w:ascii="Times New Roman" w:hAnsi="Times New Roman" w:cs="Times New Roman"/>
        </w:rPr>
        <w:t xml:space="preserve"> the high</w:t>
      </w:r>
      <w:r w:rsidR="00CE3D9B">
        <w:rPr>
          <w:rFonts w:ascii="Times New Roman" w:hAnsi="Times New Roman" w:cs="Times New Roman"/>
        </w:rPr>
        <w:t>er</w:t>
      </w:r>
      <w:r w:rsidR="007B4511">
        <w:rPr>
          <w:rFonts w:ascii="Times New Roman" w:hAnsi="Times New Roman" w:cs="Times New Roman"/>
        </w:rPr>
        <w:t>-</w:t>
      </w:r>
      <w:r w:rsidRPr="001910CA">
        <w:rPr>
          <w:rFonts w:ascii="Times New Roman" w:hAnsi="Times New Roman" w:cs="Times New Roman"/>
        </w:rPr>
        <w:t xml:space="preserve">cost alternatives </w:t>
      </w:r>
      <w:r w:rsidR="009837FF">
        <w:rPr>
          <w:rFonts w:ascii="Times New Roman" w:hAnsi="Times New Roman" w:cs="Times New Roman"/>
        </w:rPr>
        <w:t>w</w:t>
      </w:r>
      <w:r w:rsidR="00CE3D9B">
        <w:rPr>
          <w:rFonts w:ascii="Times New Roman" w:hAnsi="Times New Roman" w:cs="Times New Roman"/>
        </w:rPr>
        <w:t>ould</w:t>
      </w:r>
      <w:r w:rsidRPr="001910CA">
        <w:rPr>
          <w:rFonts w:ascii="Times New Roman" w:hAnsi="Times New Roman" w:cs="Times New Roman"/>
        </w:rPr>
        <w:t xml:space="preserve"> increase </w:t>
      </w:r>
      <w:r w:rsidR="0012545B">
        <w:rPr>
          <w:rFonts w:ascii="Times New Roman" w:hAnsi="Times New Roman" w:cs="Times New Roman"/>
        </w:rPr>
        <w:t>result in higher</w:t>
      </w:r>
      <w:r w:rsidRPr="001910CA" w:rsidR="0012545B">
        <w:rPr>
          <w:rFonts w:ascii="Times New Roman" w:hAnsi="Times New Roman" w:cs="Times New Roman"/>
        </w:rPr>
        <w:t xml:space="preserve"> </w:t>
      </w:r>
      <w:r w:rsidRPr="001910CA">
        <w:rPr>
          <w:rFonts w:ascii="Times New Roman" w:hAnsi="Times New Roman" w:cs="Times New Roman"/>
        </w:rPr>
        <w:t>benefits</w:t>
      </w:r>
      <w:r w:rsidR="0012545B">
        <w:rPr>
          <w:rFonts w:ascii="Times New Roman" w:hAnsi="Times New Roman" w:cs="Times New Roman"/>
        </w:rPr>
        <w:t xml:space="preserve"> than would the final rule</w:t>
      </w:r>
      <w:r>
        <w:rPr>
          <w:rFonts w:ascii="Times New Roman" w:hAnsi="Times New Roman" w:cs="Times New Roman"/>
        </w:rPr>
        <w:t xml:space="preserve">. In selecting between the alternatives, </w:t>
      </w:r>
      <w:r w:rsidRPr="001910CA">
        <w:rPr>
          <w:rFonts w:ascii="Times New Roman" w:hAnsi="Times New Roman" w:cs="Times New Roman"/>
        </w:rPr>
        <w:t xml:space="preserve">EPA has tried to balance </w:t>
      </w:r>
      <w:r w:rsidR="007E6BDE">
        <w:rPr>
          <w:rFonts w:ascii="Times New Roman" w:hAnsi="Times New Roman" w:cs="Times New Roman"/>
        </w:rPr>
        <w:t>new</w:t>
      </w:r>
      <w:r w:rsidRPr="001910CA" w:rsidR="007E6BDE">
        <w:rPr>
          <w:rFonts w:ascii="Times New Roman" w:hAnsi="Times New Roman" w:cs="Times New Roman"/>
        </w:rPr>
        <w:t xml:space="preserve"> </w:t>
      </w:r>
      <w:r w:rsidRPr="001910CA">
        <w:rPr>
          <w:rFonts w:ascii="Times New Roman" w:hAnsi="Times New Roman" w:cs="Times New Roman"/>
        </w:rPr>
        <w:t>prevention program requirements with costs incurred by the regulated community.</w:t>
      </w:r>
    </w:p>
    <w:p w:rsidR="000E6E0F" w:rsidRPr="000E6E0F" w:rsidP="000E6E0F" w14:paraId="698BF9FE" w14:textId="77777777">
      <w:pPr>
        <w:spacing w:after="0" w:line="240" w:lineRule="auto"/>
        <w:ind w:firstLine="360"/>
        <w:rPr>
          <w:rFonts w:ascii="Times New Roman" w:hAnsi="Times New Roman" w:cs="Times New Roman"/>
          <w:spacing w:val="2"/>
        </w:rPr>
      </w:pPr>
    </w:p>
    <w:p w:rsidR="00D726C0" w:rsidP="00DB1152" w14:paraId="3A02693A" w14:textId="77777777">
      <w:pPr>
        <w:keepNext/>
        <w:spacing w:after="0" w:line="240" w:lineRule="auto"/>
        <w:jc w:val="center"/>
        <w:rPr>
          <w:rFonts w:ascii="Times New Roman" w:hAnsi="Times New Roman" w:cs="Times New Roman"/>
          <w:b/>
        </w:rPr>
      </w:pPr>
      <w:r w:rsidRPr="00DB1152">
        <w:rPr>
          <w:rFonts w:ascii="Times New Roman" w:hAnsi="Times New Roman" w:cs="Times New Roman"/>
          <w:b/>
          <w:bCs/>
        </w:rPr>
        <w:t xml:space="preserve">Exhibit </w:t>
      </w:r>
      <w:r w:rsidRPr="00693892">
        <w:rPr>
          <w:rFonts w:ascii="Times New Roman" w:hAnsi="Times New Roman" w:cs="Times New Roman"/>
          <w:b/>
        </w:rPr>
        <w:t>7-</w:t>
      </w:r>
      <w:r w:rsidR="008C3CF3">
        <w:rPr>
          <w:rFonts w:ascii="Times New Roman" w:hAnsi="Times New Roman" w:cs="Times New Roman"/>
          <w:b/>
        </w:rPr>
        <w:t>9</w:t>
      </w:r>
      <w:r w:rsidRPr="00693892">
        <w:rPr>
          <w:rFonts w:ascii="Times New Roman" w:hAnsi="Times New Roman" w:cs="Times New Roman"/>
          <w:b/>
        </w:rPr>
        <w:t xml:space="preserve">: Annualized Estimated Costs of Regulatory Alternatives </w:t>
      </w:r>
    </w:p>
    <w:p w:rsidR="00DB1152" w:rsidP="00DB1152" w14:paraId="098BBBC0" w14:textId="77777777">
      <w:pPr>
        <w:keepNext/>
        <w:spacing w:after="0" w:line="240" w:lineRule="auto"/>
        <w:jc w:val="center"/>
        <w:rPr>
          <w:rFonts w:ascii="Times New Roman" w:hAnsi="Times New Roman" w:cs="Times New Roman"/>
          <w:b/>
        </w:rPr>
      </w:pPr>
      <w:r w:rsidRPr="00693892">
        <w:rPr>
          <w:rFonts w:ascii="Times New Roman" w:hAnsi="Times New Roman" w:cs="Times New Roman"/>
          <w:b/>
        </w:rPr>
        <w:t xml:space="preserve">Compared to </w:t>
      </w:r>
      <w:r w:rsidR="009F5F7A">
        <w:rPr>
          <w:rFonts w:ascii="Times New Roman" w:hAnsi="Times New Roman" w:cs="Times New Roman"/>
          <w:b/>
        </w:rPr>
        <w:t>Final</w:t>
      </w:r>
      <w:r w:rsidRPr="00693892">
        <w:rPr>
          <w:rFonts w:ascii="Times New Roman" w:hAnsi="Times New Roman" w:cs="Times New Roman"/>
          <w:b/>
        </w:rPr>
        <w:t xml:space="preserve"> Rule (millions, </w:t>
      </w:r>
      <w:r w:rsidRPr="00693892" w:rsidR="002F32EC">
        <w:rPr>
          <w:rFonts w:ascii="Times New Roman" w:hAnsi="Times New Roman" w:cs="Times New Roman"/>
          <w:b/>
        </w:rPr>
        <w:t>202</w:t>
      </w:r>
      <w:r w:rsidR="002F32EC">
        <w:rPr>
          <w:rFonts w:ascii="Times New Roman" w:hAnsi="Times New Roman" w:cs="Times New Roman"/>
          <w:b/>
        </w:rPr>
        <w:t>2</w:t>
      </w:r>
      <w:r w:rsidRPr="00693892" w:rsidR="002F32EC">
        <w:rPr>
          <w:rFonts w:ascii="Times New Roman" w:hAnsi="Times New Roman" w:cs="Times New Roman"/>
          <w:b/>
        </w:rPr>
        <w:t xml:space="preserve"> </w:t>
      </w:r>
      <w:r w:rsidRPr="00693892">
        <w:rPr>
          <w:rFonts w:ascii="Times New Roman" w:hAnsi="Times New Roman" w:cs="Times New Roman"/>
          <w:b/>
        </w:rPr>
        <w:t>Dollars)</w:t>
      </w:r>
      <w:r>
        <w:rPr>
          <w:rFonts w:ascii="Times New Roman" w:hAnsi="Times New Roman" w:cs="Times New Roman"/>
          <w:b/>
        </w:rPr>
        <w:t>.</w:t>
      </w:r>
    </w:p>
    <w:p w:rsidR="00DB1152" w:rsidRPr="00693892" w:rsidP="00DB1152" w14:paraId="50AE7AE2" w14:textId="77777777">
      <w:pPr>
        <w:keepNext/>
        <w:spacing w:after="0" w:line="240" w:lineRule="auto"/>
        <w:jc w:val="center"/>
        <w:rPr>
          <w:rFonts w:ascii="Times New Roman" w:hAnsi="Times New Roman" w:cs="Times New Roman"/>
          <w:b/>
        </w:rPr>
      </w:pPr>
    </w:p>
    <w:tbl>
      <w:tblPr>
        <w:tblW w:w="9238"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710"/>
        <w:gridCol w:w="1276"/>
        <w:gridCol w:w="1154"/>
        <w:gridCol w:w="1350"/>
        <w:gridCol w:w="1244"/>
        <w:gridCol w:w="1244"/>
        <w:gridCol w:w="1260"/>
      </w:tblGrid>
      <w:tr w14:paraId="20401E68" w14:textId="77777777" w:rsidTr="00FA04B8">
        <w:tblPrEx>
          <w:tblW w:w="9238"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489"/>
          <w:tblHeader/>
        </w:trPr>
        <w:tc>
          <w:tcPr>
            <w:tcW w:w="1710" w:type="dxa"/>
            <w:tcBorders>
              <w:top w:val="single" w:sz="4" w:space="0" w:color="auto"/>
              <w:right w:val="single" w:sz="8" w:space="0" w:color="000000"/>
            </w:tcBorders>
            <w:shd w:val="clear" w:color="auto" w:fill="DADADA"/>
            <w:vAlign w:val="center"/>
          </w:tcPr>
          <w:p w:rsidR="00BD172F" w:rsidRPr="00DB1152" w:rsidP="00FA04B8" w14:paraId="50AD0A8A" w14:textId="77777777">
            <w:pPr>
              <w:keepNext/>
              <w:spacing w:after="0" w:line="240" w:lineRule="auto"/>
              <w:ind w:left="85"/>
              <w:jc w:val="center"/>
              <w:rPr>
                <w:rFonts w:ascii="Times New Roman" w:hAnsi="Times New Roman" w:cs="Times New Roman"/>
                <w:b/>
                <w:sz w:val="20"/>
                <w:szCs w:val="20"/>
              </w:rPr>
            </w:pPr>
            <w:r w:rsidRPr="00DB1152">
              <w:rPr>
                <w:rFonts w:ascii="Times New Roman" w:hAnsi="Times New Roman" w:cs="Times New Roman"/>
                <w:b/>
                <w:sz w:val="20"/>
                <w:szCs w:val="20"/>
              </w:rPr>
              <w:t>Cost Elements</w:t>
            </w:r>
          </w:p>
        </w:tc>
        <w:tc>
          <w:tcPr>
            <w:tcW w:w="2430" w:type="dxa"/>
            <w:gridSpan w:val="2"/>
            <w:tcBorders>
              <w:top w:val="single" w:sz="8" w:space="0" w:color="000000"/>
              <w:left w:val="single" w:sz="8" w:space="0" w:color="000000"/>
            </w:tcBorders>
            <w:shd w:val="clear" w:color="auto" w:fill="DADADA"/>
            <w:vAlign w:val="center"/>
          </w:tcPr>
          <w:p w:rsidR="00BD172F" w:rsidRPr="00DB1152" w:rsidP="00DB1152" w14:paraId="197A3331" w14:textId="77777777">
            <w:pPr>
              <w:keepNext/>
              <w:spacing w:after="0" w:line="240" w:lineRule="auto"/>
              <w:ind w:left="86" w:right="83"/>
              <w:jc w:val="center"/>
              <w:rPr>
                <w:rFonts w:ascii="Times New Roman" w:hAnsi="Times New Roman" w:cs="Times New Roman"/>
                <w:b/>
                <w:sz w:val="20"/>
                <w:szCs w:val="20"/>
              </w:rPr>
            </w:pPr>
            <w:r w:rsidRPr="00DB1152">
              <w:rPr>
                <w:rFonts w:ascii="Times New Roman" w:hAnsi="Times New Roman" w:cs="Times New Roman"/>
                <w:b/>
                <w:sz w:val="20"/>
                <w:szCs w:val="20"/>
              </w:rPr>
              <w:t>Low</w:t>
            </w:r>
            <w:r w:rsidR="007B4511">
              <w:rPr>
                <w:rFonts w:ascii="Times New Roman" w:hAnsi="Times New Roman" w:cs="Times New Roman"/>
                <w:b/>
                <w:sz w:val="20"/>
                <w:szCs w:val="20"/>
              </w:rPr>
              <w:t>-</w:t>
            </w:r>
            <w:r w:rsidRPr="00DB1152">
              <w:rPr>
                <w:rFonts w:ascii="Times New Roman" w:hAnsi="Times New Roman" w:cs="Times New Roman"/>
                <w:b/>
                <w:sz w:val="20"/>
                <w:szCs w:val="20"/>
              </w:rPr>
              <w:t>Cost Regulatory Alternative</w:t>
            </w:r>
            <w:r w:rsidR="00DB1152">
              <w:rPr>
                <w:rFonts w:ascii="Times New Roman" w:hAnsi="Times New Roman" w:cs="Times New Roman"/>
                <w:b/>
                <w:sz w:val="20"/>
                <w:szCs w:val="20"/>
              </w:rPr>
              <w:t xml:space="preserve"> (Annualized)</w:t>
            </w:r>
          </w:p>
        </w:tc>
        <w:tc>
          <w:tcPr>
            <w:tcW w:w="2594" w:type="dxa"/>
            <w:gridSpan w:val="2"/>
            <w:tcBorders>
              <w:top w:val="single" w:sz="8" w:space="0" w:color="000000"/>
            </w:tcBorders>
            <w:shd w:val="clear" w:color="auto" w:fill="DADADA"/>
            <w:vAlign w:val="center"/>
          </w:tcPr>
          <w:p w:rsidR="00BD172F" w:rsidRPr="00DB1152" w:rsidP="00DB1152" w14:paraId="000A973A" w14:textId="77777777">
            <w:pPr>
              <w:keepNext/>
              <w:spacing w:after="0" w:line="240" w:lineRule="auto"/>
              <w:ind w:left="72" w:right="59"/>
              <w:jc w:val="center"/>
              <w:rPr>
                <w:rFonts w:ascii="Times New Roman" w:hAnsi="Times New Roman" w:cs="Times New Roman"/>
                <w:b/>
                <w:sz w:val="20"/>
                <w:szCs w:val="20"/>
              </w:rPr>
            </w:pPr>
            <w:r>
              <w:rPr>
                <w:rFonts w:ascii="Times New Roman" w:hAnsi="Times New Roman" w:cs="Times New Roman"/>
                <w:b/>
                <w:sz w:val="20"/>
                <w:szCs w:val="20"/>
              </w:rPr>
              <w:t>Final</w:t>
            </w:r>
            <w:r w:rsidRPr="00DB1152">
              <w:rPr>
                <w:rFonts w:ascii="Times New Roman" w:hAnsi="Times New Roman" w:cs="Times New Roman"/>
                <w:b/>
                <w:sz w:val="20"/>
                <w:szCs w:val="20"/>
              </w:rPr>
              <w:t xml:space="preserve"> Rule</w:t>
            </w:r>
            <w:r w:rsidR="00DB1152">
              <w:rPr>
                <w:rFonts w:ascii="Times New Roman" w:hAnsi="Times New Roman" w:cs="Times New Roman"/>
                <w:b/>
                <w:sz w:val="20"/>
                <w:szCs w:val="20"/>
              </w:rPr>
              <w:t xml:space="preserve"> (Annualized)</w:t>
            </w:r>
          </w:p>
        </w:tc>
        <w:tc>
          <w:tcPr>
            <w:tcW w:w="2504" w:type="dxa"/>
            <w:gridSpan w:val="2"/>
            <w:tcBorders>
              <w:top w:val="single" w:sz="8" w:space="0" w:color="000000"/>
            </w:tcBorders>
            <w:shd w:val="clear" w:color="auto" w:fill="DADADA"/>
            <w:vAlign w:val="center"/>
          </w:tcPr>
          <w:p w:rsidR="00BD172F" w:rsidRPr="00DB1152" w:rsidP="00DB1152" w14:paraId="315836EE" w14:textId="77777777">
            <w:pPr>
              <w:keepNext/>
              <w:spacing w:after="0" w:line="240" w:lineRule="auto"/>
              <w:ind w:left="75" w:right="223"/>
              <w:jc w:val="center"/>
              <w:rPr>
                <w:rFonts w:ascii="Times New Roman" w:hAnsi="Times New Roman" w:cs="Times New Roman"/>
                <w:b/>
                <w:sz w:val="20"/>
                <w:szCs w:val="20"/>
              </w:rPr>
            </w:pPr>
            <w:r w:rsidRPr="00DB1152">
              <w:rPr>
                <w:rFonts w:ascii="Times New Roman" w:hAnsi="Times New Roman" w:cs="Times New Roman"/>
                <w:b/>
                <w:sz w:val="20"/>
                <w:szCs w:val="20"/>
              </w:rPr>
              <w:t>High</w:t>
            </w:r>
            <w:r w:rsidR="00DB4351">
              <w:rPr>
                <w:rFonts w:ascii="Times New Roman" w:hAnsi="Times New Roman" w:cs="Times New Roman"/>
                <w:b/>
                <w:sz w:val="20"/>
                <w:szCs w:val="20"/>
              </w:rPr>
              <w:t>-</w:t>
            </w:r>
            <w:r w:rsidRPr="00DB1152">
              <w:rPr>
                <w:rFonts w:ascii="Times New Roman" w:hAnsi="Times New Roman" w:cs="Times New Roman"/>
                <w:b/>
                <w:sz w:val="20"/>
                <w:szCs w:val="20"/>
              </w:rPr>
              <w:t>Cost Regulatory Alternative</w:t>
            </w:r>
            <w:r w:rsidR="00DB1152">
              <w:rPr>
                <w:rFonts w:ascii="Times New Roman" w:hAnsi="Times New Roman" w:cs="Times New Roman"/>
                <w:b/>
                <w:sz w:val="20"/>
                <w:szCs w:val="20"/>
              </w:rPr>
              <w:t xml:space="preserve"> (Annualized)</w:t>
            </w:r>
          </w:p>
        </w:tc>
      </w:tr>
      <w:tr w14:paraId="7D5C915D" w14:textId="77777777" w:rsidTr="00DB1152">
        <w:tblPrEx>
          <w:tblW w:w="9238" w:type="dxa"/>
          <w:tblInd w:w="-98" w:type="dxa"/>
          <w:tblLayout w:type="fixed"/>
          <w:tblCellMar>
            <w:left w:w="0" w:type="dxa"/>
            <w:right w:w="0" w:type="dxa"/>
          </w:tblCellMar>
          <w:tblLook w:val="01E0"/>
        </w:tblPrEx>
        <w:trPr>
          <w:trHeight w:val="489"/>
          <w:tblHeader/>
        </w:trPr>
        <w:tc>
          <w:tcPr>
            <w:tcW w:w="1710" w:type="dxa"/>
            <w:tcBorders>
              <w:right w:val="single" w:sz="8" w:space="0" w:color="000000"/>
            </w:tcBorders>
            <w:shd w:val="clear" w:color="auto" w:fill="DADADA"/>
            <w:vAlign w:val="center"/>
          </w:tcPr>
          <w:p w:rsidR="00BD172F" w:rsidRPr="00DB1152" w:rsidP="00DB1152" w14:paraId="56DB4A01" w14:textId="77777777">
            <w:pPr>
              <w:keepNext/>
              <w:spacing w:after="0" w:line="240" w:lineRule="auto"/>
              <w:rPr>
                <w:rFonts w:ascii="Times New Roman" w:hAnsi="Times New Roman" w:cs="Times New Roman"/>
                <w:sz w:val="20"/>
                <w:szCs w:val="20"/>
              </w:rPr>
            </w:pPr>
          </w:p>
        </w:tc>
        <w:tc>
          <w:tcPr>
            <w:tcW w:w="1276" w:type="dxa"/>
            <w:tcBorders>
              <w:top w:val="single" w:sz="8" w:space="0" w:color="000000"/>
              <w:left w:val="single" w:sz="8" w:space="0" w:color="000000"/>
            </w:tcBorders>
            <w:shd w:val="clear" w:color="auto" w:fill="DADADA"/>
            <w:vAlign w:val="center"/>
          </w:tcPr>
          <w:p w:rsidR="00BD172F" w:rsidRPr="00DB1152" w:rsidP="00DB1152" w14:paraId="35B2FA7B" w14:textId="77777777">
            <w:pPr>
              <w:keepNext/>
              <w:spacing w:after="0" w:line="240" w:lineRule="auto"/>
              <w:ind w:right="55"/>
              <w:jc w:val="center"/>
              <w:rPr>
                <w:rFonts w:ascii="Times New Roman" w:hAnsi="Times New Roman" w:cs="Times New Roman"/>
                <w:b/>
                <w:sz w:val="20"/>
                <w:szCs w:val="20"/>
              </w:rPr>
            </w:pPr>
            <w:r w:rsidRPr="00DB1152">
              <w:rPr>
                <w:rFonts w:ascii="Times New Roman" w:hAnsi="Times New Roman" w:cs="Times New Roman"/>
                <w:b/>
                <w:sz w:val="20"/>
                <w:szCs w:val="20"/>
              </w:rPr>
              <w:t>3%</w:t>
            </w:r>
          </w:p>
        </w:tc>
        <w:tc>
          <w:tcPr>
            <w:tcW w:w="1154" w:type="dxa"/>
            <w:tcBorders>
              <w:top w:val="single" w:sz="8" w:space="0" w:color="000000"/>
            </w:tcBorders>
            <w:shd w:val="clear" w:color="auto" w:fill="DADADA"/>
            <w:vAlign w:val="center"/>
          </w:tcPr>
          <w:p w:rsidR="00BD172F" w:rsidRPr="00DB1152" w:rsidP="00DB1152" w14:paraId="2E400CAA" w14:textId="77777777">
            <w:pPr>
              <w:keepNext/>
              <w:spacing w:after="0" w:line="240" w:lineRule="auto"/>
              <w:ind w:right="83"/>
              <w:jc w:val="center"/>
              <w:rPr>
                <w:rFonts w:ascii="Times New Roman" w:hAnsi="Times New Roman" w:cs="Times New Roman"/>
                <w:b/>
                <w:sz w:val="20"/>
                <w:szCs w:val="20"/>
              </w:rPr>
            </w:pPr>
            <w:r w:rsidRPr="00DB1152">
              <w:rPr>
                <w:rFonts w:ascii="Times New Roman" w:hAnsi="Times New Roman" w:cs="Times New Roman"/>
                <w:b/>
                <w:sz w:val="20"/>
                <w:szCs w:val="20"/>
              </w:rPr>
              <w:t>7%</w:t>
            </w:r>
          </w:p>
        </w:tc>
        <w:tc>
          <w:tcPr>
            <w:tcW w:w="1350" w:type="dxa"/>
            <w:tcBorders>
              <w:top w:val="single" w:sz="8" w:space="0" w:color="000000"/>
            </w:tcBorders>
            <w:shd w:val="clear" w:color="auto" w:fill="DADADA"/>
            <w:vAlign w:val="center"/>
          </w:tcPr>
          <w:p w:rsidR="00BD172F" w:rsidRPr="00DB1152" w:rsidP="00DB1152" w14:paraId="6A329046" w14:textId="77777777">
            <w:pPr>
              <w:keepNext/>
              <w:spacing w:after="0" w:line="240" w:lineRule="auto"/>
              <w:ind w:right="67"/>
              <w:jc w:val="center"/>
              <w:rPr>
                <w:rFonts w:ascii="Times New Roman" w:hAnsi="Times New Roman" w:cs="Times New Roman"/>
                <w:b/>
                <w:sz w:val="20"/>
                <w:szCs w:val="20"/>
              </w:rPr>
            </w:pPr>
            <w:r w:rsidRPr="00DB1152">
              <w:rPr>
                <w:rFonts w:ascii="Times New Roman" w:hAnsi="Times New Roman" w:cs="Times New Roman"/>
                <w:b/>
                <w:sz w:val="20"/>
                <w:szCs w:val="20"/>
              </w:rPr>
              <w:t>3%</w:t>
            </w:r>
          </w:p>
        </w:tc>
        <w:tc>
          <w:tcPr>
            <w:tcW w:w="1244" w:type="dxa"/>
            <w:tcBorders>
              <w:top w:val="single" w:sz="8" w:space="0" w:color="000000"/>
            </w:tcBorders>
            <w:shd w:val="clear" w:color="auto" w:fill="DADADA"/>
            <w:vAlign w:val="center"/>
          </w:tcPr>
          <w:p w:rsidR="00BD172F" w:rsidRPr="00DB1152" w:rsidP="00DB1152" w14:paraId="30D5C850" w14:textId="77777777">
            <w:pPr>
              <w:keepNext/>
              <w:spacing w:after="0" w:line="240" w:lineRule="auto"/>
              <w:ind w:right="59"/>
              <w:jc w:val="center"/>
              <w:rPr>
                <w:rFonts w:ascii="Times New Roman" w:hAnsi="Times New Roman" w:cs="Times New Roman"/>
                <w:b/>
                <w:sz w:val="20"/>
                <w:szCs w:val="20"/>
              </w:rPr>
            </w:pPr>
            <w:r w:rsidRPr="00DB1152">
              <w:rPr>
                <w:rFonts w:ascii="Times New Roman" w:hAnsi="Times New Roman" w:cs="Times New Roman"/>
                <w:b/>
                <w:sz w:val="20"/>
                <w:szCs w:val="20"/>
              </w:rPr>
              <w:t>7%</w:t>
            </w:r>
          </w:p>
        </w:tc>
        <w:tc>
          <w:tcPr>
            <w:tcW w:w="1244" w:type="dxa"/>
            <w:tcBorders>
              <w:top w:val="single" w:sz="8" w:space="0" w:color="000000"/>
            </w:tcBorders>
            <w:shd w:val="clear" w:color="auto" w:fill="DADADA"/>
            <w:vAlign w:val="center"/>
          </w:tcPr>
          <w:p w:rsidR="00BD172F" w:rsidRPr="00DB1152" w:rsidP="00DB1152" w14:paraId="14727AB5" w14:textId="77777777">
            <w:pPr>
              <w:keepNext/>
              <w:spacing w:after="0" w:line="240" w:lineRule="auto"/>
              <w:ind w:right="67"/>
              <w:jc w:val="center"/>
              <w:rPr>
                <w:rFonts w:ascii="Times New Roman" w:hAnsi="Times New Roman" w:cs="Times New Roman"/>
                <w:b/>
                <w:sz w:val="20"/>
                <w:szCs w:val="20"/>
              </w:rPr>
            </w:pPr>
            <w:r w:rsidRPr="00DB1152">
              <w:rPr>
                <w:rFonts w:ascii="Times New Roman" w:hAnsi="Times New Roman" w:cs="Times New Roman"/>
                <w:b/>
                <w:sz w:val="20"/>
                <w:szCs w:val="20"/>
              </w:rPr>
              <w:t>3%</w:t>
            </w:r>
          </w:p>
        </w:tc>
        <w:tc>
          <w:tcPr>
            <w:tcW w:w="1260" w:type="dxa"/>
            <w:tcBorders>
              <w:top w:val="single" w:sz="8" w:space="0" w:color="000000"/>
            </w:tcBorders>
            <w:shd w:val="clear" w:color="auto" w:fill="DADADA"/>
            <w:vAlign w:val="center"/>
          </w:tcPr>
          <w:p w:rsidR="00BD172F" w:rsidRPr="00DB1152" w:rsidP="00DB1152" w14:paraId="06DA3CD6" w14:textId="77777777">
            <w:pPr>
              <w:keepNext/>
              <w:spacing w:after="0" w:line="240" w:lineRule="auto"/>
              <w:ind w:right="81"/>
              <w:jc w:val="center"/>
              <w:rPr>
                <w:rFonts w:ascii="Times New Roman" w:hAnsi="Times New Roman" w:cs="Times New Roman"/>
                <w:b/>
                <w:sz w:val="20"/>
                <w:szCs w:val="20"/>
              </w:rPr>
            </w:pPr>
            <w:r w:rsidRPr="00DB1152">
              <w:rPr>
                <w:rFonts w:ascii="Times New Roman" w:hAnsi="Times New Roman" w:cs="Times New Roman"/>
                <w:b/>
                <w:sz w:val="20"/>
                <w:szCs w:val="20"/>
              </w:rPr>
              <w:t>7%</w:t>
            </w:r>
          </w:p>
        </w:tc>
      </w:tr>
      <w:tr w14:paraId="484AED57" w14:textId="77777777" w:rsidTr="00DB1152">
        <w:tblPrEx>
          <w:tblW w:w="9238" w:type="dxa"/>
          <w:tblInd w:w="-98" w:type="dxa"/>
          <w:tblLayout w:type="fixed"/>
          <w:tblCellMar>
            <w:left w:w="0" w:type="dxa"/>
            <w:right w:w="0" w:type="dxa"/>
          </w:tblCellMar>
          <w:tblLook w:val="01E0"/>
        </w:tblPrEx>
        <w:trPr>
          <w:trHeight w:val="535"/>
        </w:trPr>
        <w:tc>
          <w:tcPr>
            <w:tcW w:w="1710" w:type="dxa"/>
            <w:tcBorders>
              <w:right w:val="single" w:sz="8" w:space="0" w:color="000000"/>
            </w:tcBorders>
            <w:vAlign w:val="center"/>
          </w:tcPr>
          <w:p w:rsidR="00D243A1" w:rsidRPr="00DB1152" w:rsidP="00D243A1" w14:paraId="6341A2C1" w14:textId="77777777">
            <w:pPr>
              <w:spacing w:after="0" w:line="240" w:lineRule="auto"/>
              <w:ind w:left="130"/>
              <w:rPr>
                <w:rFonts w:ascii="Times New Roman" w:hAnsi="Times New Roman" w:cs="Times New Roman"/>
                <w:sz w:val="20"/>
                <w:szCs w:val="20"/>
              </w:rPr>
            </w:pPr>
            <w:r w:rsidRPr="00DB1152">
              <w:rPr>
                <w:rFonts w:ascii="Times New Roman" w:hAnsi="Times New Roman" w:cs="Times New Roman"/>
                <w:sz w:val="20"/>
                <w:szCs w:val="20"/>
              </w:rPr>
              <w:t>Rule</w:t>
            </w:r>
          </w:p>
          <w:p w:rsidR="00D243A1" w:rsidRPr="00DB1152" w:rsidP="00D243A1" w14:paraId="680DBD9F" w14:textId="77777777">
            <w:pPr>
              <w:keepNext/>
              <w:spacing w:after="0" w:line="240" w:lineRule="auto"/>
              <w:ind w:left="130"/>
              <w:rPr>
                <w:rFonts w:ascii="Times New Roman" w:hAnsi="Times New Roman" w:cs="Times New Roman"/>
                <w:sz w:val="20"/>
                <w:szCs w:val="20"/>
              </w:rPr>
            </w:pPr>
            <w:r w:rsidRPr="00DB1152">
              <w:rPr>
                <w:rFonts w:ascii="Times New Roman" w:hAnsi="Times New Roman" w:cs="Times New Roman"/>
                <w:sz w:val="20"/>
                <w:szCs w:val="20"/>
              </w:rPr>
              <w:t>Familiarization</w:t>
            </w:r>
          </w:p>
        </w:tc>
        <w:tc>
          <w:tcPr>
            <w:tcW w:w="1276" w:type="dxa"/>
            <w:tcBorders>
              <w:left w:val="single" w:sz="8" w:space="0" w:color="000000"/>
            </w:tcBorders>
            <w:shd w:val="clear" w:color="auto" w:fill="auto"/>
            <w:vAlign w:val="center"/>
          </w:tcPr>
          <w:p w:rsidR="00D243A1" w:rsidRPr="00DB1152" w:rsidP="00D243A1" w14:paraId="72307219"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D94A76">
              <w:rPr>
                <w:rFonts w:ascii="Times New Roman" w:hAnsi="Times New Roman" w:cs="Times New Roman"/>
                <w:sz w:val="20"/>
                <w:szCs w:val="20"/>
              </w:rPr>
              <w:t>5</w:t>
            </w:r>
            <w:r w:rsidRPr="00DB1152">
              <w:rPr>
                <w:rFonts w:ascii="Times New Roman" w:hAnsi="Times New Roman" w:cs="Times New Roman"/>
                <w:sz w:val="20"/>
                <w:szCs w:val="20"/>
              </w:rPr>
              <w:t>.</w:t>
            </w:r>
            <w:r w:rsidR="001E029C">
              <w:rPr>
                <w:rFonts w:ascii="Times New Roman" w:hAnsi="Times New Roman" w:cs="Times New Roman"/>
                <w:sz w:val="20"/>
                <w:szCs w:val="20"/>
              </w:rPr>
              <w:t>8</w:t>
            </w:r>
          </w:p>
        </w:tc>
        <w:tc>
          <w:tcPr>
            <w:tcW w:w="1154" w:type="dxa"/>
            <w:shd w:val="clear" w:color="auto" w:fill="auto"/>
            <w:vAlign w:val="center"/>
          </w:tcPr>
          <w:p w:rsidR="00D243A1" w:rsidRPr="00DB1152" w:rsidP="00D243A1" w14:paraId="47961428"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$6.</w:t>
            </w:r>
            <w:r w:rsidR="001E029C">
              <w:rPr>
                <w:rFonts w:ascii="Times New Roman" w:hAnsi="Times New Roman" w:cs="Times New Roman"/>
                <w:sz w:val="20"/>
                <w:szCs w:val="20"/>
              </w:rPr>
              <w:t>8</w:t>
            </w:r>
          </w:p>
        </w:tc>
        <w:tc>
          <w:tcPr>
            <w:tcW w:w="1350" w:type="dxa"/>
            <w:shd w:val="clear" w:color="auto" w:fill="auto"/>
            <w:vAlign w:val="center"/>
          </w:tcPr>
          <w:p w:rsidR="00D243A1" w:rsidRPr="00DB1152" w:rsidP="00D243A1" w14:paraId="63900BBC"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w:t>
            </w:r>
            <w:r w:rsidR="00D94A76">
              <w:rPr>
                <w:rFonts w:ascii="Times New Roman" w:hAnsi="Times New Roman" w:cs="Times New Roman"/>
                <w:sz w:val="20"/>
                <w:szCs w:val="20"/>
              </w:rPr>
              <w:t>5</w:t>
            </w:r>
            <w:r w:rsidRPr="00DB1152">
              <w:rPr>
                <w:rFonts w:ascii="Times New Roman" w:hAnsi="Times New Roman" w:cs="Times New Roman"/>
                <w:sz w:val="20"/>
                <w:szCs w:val="20"/>
              </w:rPr>
              <w:t>.</w:t>
            </w:r>
            <w:r w:rsidR="001E029C">
              <w:rPr>
                <w:rFonts w:ascii="Times New Roman" w:hAnsi="Times New Roman" w:cs="Times New Roman"/>
                <w:sz w:val="20"/>
                <w:szCs w:val="20"/>
              </w:rPr>
              <w:t>8</w:t>
            </w:r>
          </w:p>
        </w:tc>
        <w:tc>
          <w:tcPr>
            <w:tcW w:w="1244" w:type="dxa"/>
            <w:shd w:val="clear" w:color="auto" w:fill="auto"/>
            <w:vAlign w:val="center"/>
          </w:tcPr>
          <w:p w:rsidR="00D243A1" w:rsidRPr="00DB1152" w:rsidP="00D243A1" w14:paraId="281F16E5"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$6.</w:t>
            </w:r>
            <w:r w:rsidR="001E029C">
              <w:rPr>
                <w:rFonts w:ascii="Times New Roman" w:hAnsi="Times New Roman" w:cs="Times New Roman"/>
                <w:sz w:val="20"/>
                <w:szCs w:val="20"/>
              </w:rPr>
              <w:t>8</w:t>
            </w:r>
          </w:p>
        </w:tc>
        <w:tc>
          <w:tcPr>
            <w:tcW w:w="1244" w:type="dxa"/>
            <w:shd w:val="clear" w:color="auto" w:fill="auto"/>
            <w:vAlign w:val="center"/>
          </w:tcPr>
          <w:p w:rsidR="00D243A1" w:rsidRPr="00DB1152" w:rsidP="00D243A1" w14:paraId="4BBE22BC"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3C73EC">
              <w:rPr>
                <w:rFonts w:ascii="Times New Roman" w:hAnsi="Times New Roman" w:cs="Times New Roman"/>
                <w:sz w:val="20"/>
                <w:szCs w:val="20"/>
              </w:rPr>
              <w:t>5</w:t>
            </w:r>
            <w:r w:rsidRPr="00DB1152">
              <w:rPr>
                <w:rFonts w:ascii="Times New Roman" w:hAnsi="Times New Roman" w:cs="Times New Roman"/>
                <w:sz w:val="20"/>
                <w:szCs w:val="20"/>
              </w:rPr>
              <w:t>.</w:t>
            </w:r>
            <w:r w:rsidR="001E029C">
              <w:rPr>
                <w:rFonts w:ascii="Times New Roman" w:hAnsi="Times New Roman" w:cs="Times New Roman"/>
                <w:sz w:val="20"/>
                <w:szCs w:val="20"/>
              </w:rPr>
              <w:t>8</w:t>
            </w:r>
          </w:p>
        </w:tc>
        <w:tc>
          <w:tcPr>
            <w:tcW w:w="1260" w:type="dxa"/>
            <w:shd w:val="clear" w:color="auto" w:fill="auto"/>
            <w:vAlign w:val="center"/>
          </w:tcPr>
          <w:p w:rsidR="00D243A1" w:rsidRPr="00DB1152" w:rsidP="00D243A1" w14:paraId="58477471" w14:textId="77777777">
            <w:pPr>
              <w:keepNext/>
              <w:spacing w:after="0" w:line="240" w:lineRule="auto"/>
              <w:ind w:right="217"/>
              <w:jc w:val="center"/>
              <w:rPr>
                <w:rFonts w:ascii="Times New Roman" w:hAnsi="Times New Roman" w:cs="Times New Roman"/>
                <w:sz w:val="20"/>
                <w:szCs w:val="20"/>
              </w:rPr>
            </w:pPr>
            <w:r w:rsidRPr="00DB1152">
              <w:rPr>
                <w:rFonts w:ascii="Times New Roman" w:hAnsi="Times New Roman" w:cs="Times New Roman"/>
                <w:sz w:val="20"/>
                <w:szCs w:val="20"/>
              </w:rPr>
              <w:t>$6.</w:t>
            </w:r>
            <w:r w:rsidR="001E029C">
              <w:rPr>
                <w:rFonts w:ascii="Times New Roman" w:hAnsi="Times New Roman" w:cs="Times New Roman"/>
                <w:sz w:val="20"/>
                <w:szCs w:val="20"/>
              </w:rPr>
              <w:t>8</w:t>
            </w:r>
          </w:p>
        </w:tc>
      </w:tr>
      <w:tr w14:paraId="314F5B3C" w14:textId="77777777">
        <w:tblPrEx>
          <w:tblW w:w="9238" w:type="dxa"/>
          <w:tblInd w:w="-98" w:type="dxa"/>
          <w:tblLayout w:type="fixed"/>
          <w:tblCellMar>
            <w:left w:w="0" w:type="dxa"/>
            <w:right w:w="0" w:type="dxa"/>
          </w:tblCellMar>
          <w:tblLook w:val="01E0"/>
        </w:tblPrEx>
        <w:trPr>
          <w:trHeight w:val="535"/>
        </w:trPr>
        <w:tc>
          <w:tcPr>
            <w:tcW w:w="9238" w:type="dxa"/>
            <w:gridSpan w:val="7"/>
            <w:vAlign w:val="center"/>
          </w:tcPr>
          <w:p w:rsidR="00AD5CCD" w:rsidRPr="00DB1152" w:rsidP="00AD5CCD" w14:paraId="7D7FF7B8" w14:textId="77777777">
            <w:pPr>
              <w:keepNext/>
              <w:spacing w:after="0" w:line="240" w:lineRule="auto"/>
              <w:ind w:right="217"/>
              <w:rPr>
                <w:rFonts w:ascii="Times New Roman" w:hAnsi="Times New Roman" w:cs="Times New Roman"/>
                <w:sz w:val="20"/>
                <w:szCs w:val="20"/>
              </w:rPr>
            </w:pPr>
            <w:r w:rsidRPr="00DB1152">
              <w:rPr>
                <w:rFonts w:ascii="Times New Roman" w:hAnsi="Times New Roman" w:cs="Times New Roman"/>
                <w:sz w:val="20"/>
                <w:szCs w:val="20"/>
              </w:rPr>
              <w:t>STAA</w:t>
            </w:r>
          </w:p>
        </w:tc>
      </w:tr>
      <w:tr w14:paraId="7BDEA362" w14:textId="77777777">
        <w:tblPrEx>
          <w:tblW w:w="9238" w:type="dxa"/>
          <w:tblInd w:w="-98" w:type="dxa"/>
          <w:tblLayout w:type="fixed"/>
          <w:tblCellMar>
            <w:left w:w="0" w:type="dxa"/>
            <w:right w:w="0" w:type="dxa"/>
          </w:tblCellMar>
          <w:tblLook w:val="01E0"/>
        </w:tblPrEx>
        <w:trPr>
          <w:trHeight w:val="535"/>
        </w:trPr>
        <w:tc>
          <w:tcPr>
            <w:tcW w:w="1710" w:type="dxa"/>
            <w:tcBorders>
              <w:right w:val="single" w:sz="8" w:space="0" w:color="000000"/>
            </w:tcBorders>
            <w:vAlign w:val="center"/>
          </w:tcPr>
          <w:p w:rsidR="004D4B77" w:rsidRPr="00AD5CCD" w:rsidP="004D4B77" w14:paraId="4C6BDD58" w14:textId="77777777">
            <w:pPr>
              <w:keepNext/>
              <w:spacing w:after="0" w:line="240" w:lineRule="auto"/>
              <w:ind w:left="130"/>
              <w:jc w:val="right"/>
              <w:rPr>
                <w:rFonts w:ascii="Times New Roman" w:hAnsi="Times New Roman" w:cs="Times New Roman"/>
                <w:i/>
                <w:iCs/>
                <w:sz w:val="20"/>
                <w:szCs w:val="20"/>
              </w:rPr>
            </w:pPr>
            <w:r w:rsidRPr="00AD5CCD">
              <w:rPr>
                <w:rFonts w:ascii="Times New Roman" w:hAnsi="Times New Roman" w:cs="Times New Roman"/>
                <w:i/>
                <w:iCs/>
                <w:sz w:val="20"/>
                <w:szCs w:val="20"/>
              </w:rPr>
              <w:t>Initial Evaluation</w:t>
            </w:r>
          </w:p>
        </w:tc>
        <w:tc>
          <w:tcPr>
            <w:tcW w:w="1276" w:type="dxa"/>
            <w:tcBorders>
              <w:left w:val="single" w:sz="8" w:space="0" w:color="000000"/>
            </w:tcBorders>
            <w:shd w:val="clear" w:color="auto" w:fill="auto"/>
            <w:vAlign w:val="center"/>
          </w:tcPr>
          <w:p w:rsidR="004D4B77" w:rsidRPr="00DB1152" w:rsidP="004D4B77" w14:paraId="61175CEC" w14:textId="18C67C5A">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Pr>
                <w:rFonts w:ascii="Times New Roman" w:hAnsi="Times New Roman" w:cs="Times New Roman"/>
                <w:sz w:val="20"/>
                <w:szCs w:val="20"/>
              </w:rPr>
              <w:t>18.5</w:t>
            </w:r>
          </w:p>
        </w:tc>
        <w:tc>
          <w:tcPr>
            <w:tcW w:w="1154" w:type="dxa"/>
            <w:shd w:val="clear" w:color="auto" w:fill="auto"/>
            <w:vAlign w:val="center"/>
          </w:tcPr>
          <w:p w:rsidR="004D4B77" w:rsidRPr="00DB1152" w:rsidP="004D4B77" w14:paraId="5854AF69" w14:textId="119D45D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w:t>
            </w:r>
            <w:r>
              <w:rPr>
                <w:rFonts w:ascii="Times New Roman" w:hAnsi="Times New Roman" w:cs="Times New Roman"/>
                <w:sz w:val="20"/>
                <w:szCs w:val="20"/>
              </w:rPr>
              <w:t>19.7</w:t>
            </w:r>
          </w:p>
        </w:tc>
        <w:tc>
          <w:tcPr>
            <w:tcW w:w="1350" w:type="dxa"/>
            <w:shd w:val="clear" w:color="auto" w:fill="auto"/>
            <w:vAlign w:val="center"/>
          </w:tcPr>
          <w:p w:rsidR="004D4B77" w:rsidRPr="00DB1152" w:rsidP="004D4B77" w14:paraId="43DA3BA4" w14:textId="598D04F9">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w:t>
            </w:r>
            <w:r>
              <w:rPr>
                <w:rFonts w:ascii="Times New Roman" w:hAnsi="Times New Roman" w:cs="Times New Roman"/>
                <w:sz w:val="20"/>
                <w:szCs w:val="20"/>
              </w:rPr>
              <w:t>18.5</w:t>
            </w:r>
          </w:p>
        </w:tc>
        <w:tc>
          <w:tcPr>
            <w:tcW w:w="1244" w:type="dxa"/>
            <w:shd w:val="clear" w:color="auto" w:fill="auto"/>
            <w:vAlign w:val="center"/>
          </w:tcPr>
          <w:p w:rsidR="004D4B77" w:rsidRPr="00DB1152" w:rsidP="004D4B77" w14:paraId="262EDD05" w14:textId="1204A352">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Pr>
                <w:rFonts w:ascii="Times New Roman" w:hAnsi="Times New Roman" w:cs="Times New Roman"/>
                <w:sz w:val="20"/>
                <w:szCs w:val="20"/>
              </w:rPr>
              <w:t>19.7</w:t>
            </w:r>
          </w:p>
        </w:tc>
        <w:tc>
          <w:tcPr>
            <w:tcW w:w="1244" w:type="dxa"/>
            <w:shd w:val="clear" w:color="auto" w:fill="auto"/>
            <w:vAlign w:val="center"/>
          </w:tcPr>
          <w:p w:rsidR="004D4B77" w:rsidRPr="00DB1152" w:rsidP="004D4B77" w14:paraId="6EE1C581" w14:textId="56FA329E">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Pr>
                <w:rFonts w:ascii="Times New Roman" w:hAnsi="Times New Roman" w:cs="Times New Roman"/>
                <w:sz w:val="20"/>
                <w:szCs w:val="20"/>
              </w:rPr>
              <w:t>18.5</w:t>
            </w:r>
          </w:p>
        </w:tc>
        <w:tc>
          <w:tcPr>
            <w:tcW w:w="1260" w:type="dxa"/>
            <w:shd w:val="clear" w:color="auto" w:fill="auto"/>
            <w:vAlign w:val="center"/>
          </w:tcPr>
          <w:p w:rsidR="004D4B77" w:rsidRPr="00DB1152" w:rsidP="004D4B77" w14:paraId="6662EB02" w14:textId="5774A938">
            <w:pPr>
              <w:keepNext/>
              <w:spacing w:after="0" w:line="240" w:lineRule="auto"/>
              <w:ind w:right="217"/>
              <w:jc w:val="center"/>
              <w:rPr>
                <w:rFonts w:ascii="Times New Roman" w:hAnsi="Times New Roman" w:cs="Times New Roman"/>
                <w:sz w:val="20"/>
                <w:szCs w:val="20"/>
              </w:rPr>
            </w:pPr>
            <w:r w:rsidRPr="00DB1152">
              <w:rPr>
                <w:rFonts w:ascii="Times New Roman" w:hAnsi="Times New Roman" w:cs="Times New Roman"/>
                <w:sz w:val="20"/>
                <w:szCs w:val="20"/>
              </w:rPr>
              <w:t>$</w:t>
            </w:r>
            <w:r>
              <w:rPr>
                <w:rFonts w:ascii="Times New Roman" w:hAnsi="Times New Roman" w:cs="Times New Roman"/>
                <w:sz w:val="20"/>
                <w:szCs w:val="20"/>
              </w:rPr>
              <w:t>19.7</w:t>
            </w:r>
          </w:p>
        </w:tc>
      </w:tr>
      <w:tr w14:paraId="74856026" w14:textId="77777777">
        <w:tblPrEx>
          <w:tblW w:w="9238" w:type="dxa"/>
          <w:tblInd w:w="-98" w:type="dxa"/>
          <w:tblLayout w:type="fixed"/>
          <w:tblCellMar>
            <w:left w:w="0" w:type="dxa"/>
            <w:right w:w="0" w:type="dxa"/>
          </w:tblCellMar>
          <w:tblLook w:val="01E0"/>
        </w:tblPrEx>
        <w:trPr>
          <w:trHeight w:val="535"/>
        </w:trPr>
        <w:tc>
          <w:tcPr>
            <w:tcW w:w="1710" w:type="dxa"/>
            <w:tcBorders>
              <w:right w:val="single" w:sz="8" w:space="0" w:color="000000"/>
            </w:tcBorders>
            <w:vAlign w:val="center"/>
          </w:tcPr>
          <w:p w:rsidR="00AD5CCD" w:rsidRPr="00AD5CCD" w:rsidP="00AD5CCD" w14:paraId="272EE9E1" w14:textId="77777777">
            <w:pPr>
              <w:keepNext/>
              <w:spacing w:after="0" w:line="240" w:lineRule="auto"/>
              <w:ind w:left="130"/>
              <w:jc w:val="right"/>
              <w:rPr>
                <w:rFonts w:ascii="Times New Roman" w:hAnsi="Times New Roman" w:cs="Times New Roman"/>
                <w:i/>
                <w:iCs/>
                <w:sz w:val="20"/>
                <w:szCs w:val="20"/>
              </w:rPr>
            </w:pPr>
            <w:r w:rsidRPr="00AD5CCD">
              <w:rPr>
                <w:rFonts w:ascii="Times New Roman" w:hAnsi="Times New Roman" w:cs="Times New Roman"/>
                <w:i/>
                <w:iCs/>
                <w:sz w:val="20"/>
                <w:szCs w:val="20"/>
              </w:rPr>
              <w:t>Practicability</w:t>
            </w:r>
          </w:p>
        </w:tc>
        <w:tc>
          <w:tcPr>
            <w:tcW w:w="1276" w:type="dxa"/>
            <w:tcBorders>
              <w:left w:val="single" w:sz="8" w:space="0" w:color="000000"/>
            </w:tcBorders>
            <w:shd w:val="clear" w:color="auto" w:fill="auto"/>
            <w:vAlign w:val="center"/>
          </w:tcPr>
          <w:p w:rsidR="00AD5CCD" w:rsidRPr="00DB1152" w14:paraId="4DCF1934" w14:textId="77777777">
            <w:pPr>
              <w:keepNext/>
              <w:spacing w:after="0" w:line="240" w:lineRule="auto"/>
              <w:jc w:val="center"/>
              <w:rPr>
                <w:rFonts w:ascii="Times New Roman" w:hAnsi="Times New Roman" w:cs="Times New Roman"/>
                <w:sz w:val="20"/>
                <w:szCs w:val="20"/>
              </w:rPr>
            </w:pPr>
            <w:r>
              <w:rPr>
                <w:rFonts w:ascii="Times New Roman" w:hAnsi="Times New Roman" w:cs="Times New Roman"/>
                <w:sz w:val="20"/>
                <w:szCs w:val="20"/>
              </w:rPr>
              <w:t>None</w:t>
            </w:r>
          </w:p>
        </w:tc>
        <w:tc>
          <w:tcPr>
            <w:tcW w:w="1154" w:type="dxa"/>
            <w:shd w:val="clear" w:color="auto" w:fill="auto"/>
            <w:vAlign w:val="center"/>
          </w:tcPr>
          <w:p w:rsidR="00AD5CCD" w:rsidRPr="00DB1152" w14:paraId="1D06D023" w14:textId="77777777">
            <w:pPr>
              <w:keepNext/>
              <w:spacing w:after="0" w:line="240" w:lineRule="auto"/>
              <w:ind w:right="67"/>
              <w:jc w:val="center"/>
              <w:rPr>
                <w:rFonts w:ascii="Times New Roman" w:hAnsi="Times New Roman" w:cs="Times New Roman"/>
                <w:sz w:val="20"/>
                <w:szCs w:val="20"/>
              </w:rPr>
            </w:pPr>
            <w:r>
              <w:rPr>
                <w:rFonts w:ascii="Times New Roman" w:hAnsi="Times New Roman" w:cs="Times New Roman"/>
                <w:sz w:val="20"/>
                <w:szCs w:val="20"/>
              </w:rPr>
              <w:t>None</w:t>
            </w:r>
          </w:p>
        </w:tc>
        <w:tc>
          <w:tcPr>
            <w:tcW w:w="1350" w:type="dxa"/>
            <w:shd w:val="clear" w:color="auto" w:fill="auto"/>
            <w:vAlign w:val="center"/>
          </w:tcPr>
          <w:p w:rsidR="00AD5CCD" w:rsidRPr="00DB1152" w14:paraId="296B85F0"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w:t>
            </w:r>
            <w:r w:rsidR="000309FE">
              <w:rPr>
                <w:rFonts w:ascii="Times New Roman" w:hAnsi="Times New Roman" w:cs="Times New Roman"/>
                <w:sz w:val="20"/>
                <w:szCs w:val="20"/>
              </w:rPr>
              <w:t>27.0</w:t>
            </w:r>
          </w:p>
        </w:tc>
        <w:tc>
          <w:tcPr>
            <w:tcW w:w="1244" w:type="dxa"/>
            <w:shd w:val="clear" w:color="auto" w:fill="auto"/>
            <w:vAlign w:val="center"/>
          </w:tcPr>
          <w:p w:rsidR="00AD5CCD" w:rsidRPr="00DB1152" w14:paraId="1CFE1D02"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0309FE">
              <w:rPr>
                <w:rFonts w:ascii="Times New Roman" w:hAnsi="Times New Roman" w:cs="Times New Roman"/>
                <w:sz w:val="20"/>
                <w:szCs w:val="20"/>
              </w:rPr>
              <w:t>28.6</w:t>
            </w:r>
          </w:p>
        </w:tc>
        <w:tc>
          <w:tcPr>
            <w:tcW w:w="1244" w:type="dxa"/>
            <w:shd w:val="clear" w:color="auto" w:fill="auto"/>
            <w:vAlign w:val="center"/>
          </w:tcPr>
          <w:p w:rsidR="00AD5CCD" w:rsidRPr="00DB1152" w14:paraId="5BABA0E1"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9A325C">
              <w:rPr>
                <w:rFonts w:ascii="Times New Roman" w:hAnsi="Times New Roman" w:cs="Times New Roman"/>
                <w:sz w:val="20"/>
                <w:szCs w:val="20"/>
              </w:rPr>
              <w:t>32.0</w:t>
            </w:r>
          </w:p>
        </w:tc>
        <w:tc>
          <w:tcPr>
            <w:tcW w:w="1260" w:type="dxa"/>
            <w:shd w:val="clear" w:color="auto" w:fill="auto"/>
            <w:vAlign w:val="center"/>
          </w:tcPr>
          <w:p w:rsidR="00AD5CCD" w:rsidRPr="00DB1152" w14:paraId="6247B8B2" w14:textId="77777777">
            <w:pPr>
              <w:keepNext/>
              <w:spacing w:after="0" w:line="240" w:lineRule="auto"/>
              <w:ind w:right="217"/>
              <w:jc w:val="center"/>
              <w:rPr>
                <w:rFonts w:ascii="Times New Roman" w:hAnsi="Times New Roman" w:cs="Times New Roman"/>
                <w:sz w:val="20"/>
                <w:szCs w:val="20"/>
              </w:rPr>
            </w:pPr>
            <w:r w:rsidRPr="00DB1152">
              <w:rPr>
                <w:rFonts w:ascii="Times New Roman" w:hAnsi="Times New Roman" w:cs="Times New Roman"/>
                <w:sz w:val="20"/>
                <w:szCs w:val="20"/>
              </w:rPr>
              <w:t>$</w:t>
            </w:r>
            <w:r w:rsidR="00CC7A7A">
              <w:rPr>
                <w:rFonts w:ascii="Times New Roman" w:hAnsi="Times New Roman" w:cs="Times New Roman"/>
                <w:sz w:val="20"/>
                <w:szCs w:val="20"/>
              </w:rPr>
              <w:t>34.0</w:t>
            </w:r>
          </w:p>
        </w:tc>
      </w:tr>
      <w:tr w14:paraId="4F7CCB1B" w14:textId="77777777" w:rsidTr="00DB1152">
        <w:tblPrEx>
          <w:tblW w:w="9238" w:type="dxa"/>
          <w:tblInd w:w="-98" w:type="dxa"/>
          <w:tblLayout w:type="fixed"/>
          <w:tblCellMar>
            <w:left w:w="0" w:type="dxa"/>
            <w:right w:w="0" w:type="dxa"/>
          </w:tblCellMar>
          <w:tblLook w:val="01E0"/>
        </w:tblPrEx>
        <w:trPr>
          <w:trHeight w:val="535"/>
        </w:trPr>
        <w:tc>
          <w:tcPr>
            <w:tcW w:w="1710" w:type="dxa"/>
            <w:tcBorders>
              <w:right w:val="single" w:sz="8" w:space="0" w:color="000000"/>
            </w:tcBorders>
            <w:vAlign w:val="center"/>
          </w:tcPr>
          <w:p w:rsidR="00D243A1" w:rsidRPr="00AD5CCD" w:rsidP="00AD5CCD" w14:paraId="3BC689B1" w14:textId="77777777">
            <w:pPr>
              <w:keepNext/>
              <w:spacing w:after="0" w:line="240" w:lineRule="auto"/>
              <w:ind w:left="130"/>
              <w:jc w:val="right"/>
              <w:rPr>
                <w:rFonts w:ascii="Times New Roman" w:hAnsi="Times New Roman" w:cs="Times New Roman"/>
                <w:i/>
                <w:sz w:val="20"/>
                <w:szCs w:val="20"/>
              </w:rPr>
            </w:pPr>
            <w:r w:rsidRPr="00AD5CCD">
              <w:rPr>
                <w:rFonts w:ascii="Times New Roman" w:hAnsi="Times New Roman" w:cs="Times New Roman"/>
                <w:i/>
                <w:iCs/>
                <w:sz w:val="20"/>
                <w:szCs w:val="20"/>
              </w:rPr>
              <w:t>Implementation</w:t>
            </w:r>
          </w:p>
        </w:tc>
        <w:tc>
          <w:tcPr>
            <w:tcW w:w="1276" w:type="dxa"/>
            <w:tcBorders>
              <w:left w:val="single" w:sz="8" w:space="0" w:color="000000"/>
            </w:tcBorders>
            <w:shd w:val="clear" w:color="auto" w:fill="auto"/>
            <w:vAlign w:val="center"/>
          </w:tcPr>
          <w:p w:rsidR="00D243A1" w:rsidRPr="00DB1152" w:rsidP="00D243A1" w14:paraId="4A9D16C1" w14:textId="77777777">
            <w:pPr>
              <w:keepNext/>
              <w:spacing w:after="0" w:line="240" w:lineRule="auto"/>
              <w:jc w:val="center"/>
              <w:rPr>
                <w:rFonts w:ascii="Times New Roman" w:hAnsi="Times New Roman" w:cs="Times New Roman"/>
                <w:sz w:val="20"/>
                <w:szCs w:val="20"/>
              </w:rPr>
            </w:pPr>
            <w:r>
              <w:rPr>
                <w:rFonts w:ascii="Times New Roman" w:hAnsi="Times New Roman" w:cs="Times New Roman"/>
                <w:sz w:val="20"/>
                <w:szCs w:val="20"/>
              </w:rPr>
              <w:t>None</w:t>
            </w:r>
          </w:p>
        </w:tc>
        <w:tc>
          <w:tcPr>
            <w:tcW w:w="1154" w:type="dxa"/>
            <w:shd w:val="clear" w:color="auto" w:fill="auto"/>
            <w:vAlign w:val="center"/>
          </w:tcPr>
          <w:p w:rsidR="00D243A1" w:rsidRPr="00DB1152" w:rsidP="00D243A1" w14:paraId="077EC096" w14:textId="77777777">
            <w:pPr>
              <w:keepNext/>
              <w:spacing w:after="0" w:line="240" w:lineRule="auto"/>
              <w:ind w:right="67"/>
              <w:jc w:val="center"/>
              <w:rPr>
                <w:rFonts w:ascii="Times New Roman" w:hAnsi="Times New Roman" w:cs="Times New Roman"/>
                <w:sz w:val="20"/>
                <w:szCs w:val="20"/>
              </w:rPr>
            </w:pPr>
            <w:r>
              <w:rPr>
                <w:rFonts w:ascii="Times New Roman" w:hAnsi="Times New Roman" w:cs="Times New Roman"/>
                <w:sz w:val="20"/>
                <w:szCs w:val="20"/>
              </w:rPr>
              <w:t>None</w:t>
            </w:r>
          </w:p>
        </w:tc>
        <w:tc>
          <w:tcPr>
            <w:tcW w:w="1350" w:type="dxa"/>
            <w:shd w:val="clear" w:color="auto" w:fill="auto"/>
            <w:vAlign w:val="center"/>
          </w:tcPr>
          <w:p w:rsidR="00D243A1" w:rsidRPr="00DB1152" w:rsidP="00D243A1" w14:paraId="24AEDF22"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w:t>
            </w:r>
            <w:r w:rsidR="000309FE">
              <w:rPr>
                <w:rFonts w:ascii="Times New Roman" w:hAnsi="Times New Roman" w:cs="Times New Roman"/>
                <w:sz w:val="20"/>
                <w:szCs w:val="20"/>
              </w:rPr>
              <w:t>168.7</w:t>
            </w:r>
          </w:p>
        </w:tc>
        <w:tc>
          <w:tcPr>
            <w:tcW w:w="1244" w:type="dxa"/>
            <w:shd w:val="clear" w:color="auto" w:fill="auto"/>
            <w:vAlign w:val="center"/>
          </w:tcPr>
          <w:p w:rsidR="00D243A1" w:rsidRPr="00DB1152" w:rsidP="00D243A1" w14:paraId="63B2EE5F"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0309FE">
              <w:rPr>
                <w:rFonts w:ascii="Times New Roman" w:hAnsi="Times New Roman" w:cs="Times New Roman"/>
                <w:sz w:val="20"/>
                <w:szCs w:val="20"/>
              </w:rPr>
              <w:t>204.9</w:t>
            </w:r>
          </w:p>
        </w:tc>
        <w:tc>
          <w:tcPr>
            <w:tcW w:w="1244" w:type="dxa"/>
            <w:shd w:val="clear" w:color="auto" w:fill="auto"/>
            <w:vAlign w:val="center"/>
          </w:tcPr>
          <w:p w:rsidR="00D243A1" w:rsidRPr="00DB1152" w:rsidP="00D243A1" w14:paraId="626F963D"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616758">
              <w:rPr>
                <w:rFonts w:ascii="Times New Roman" w:hAnsi="Times New Roman" w:cs="Times New Roman"/>
                <w:sz w:val="20"/>
                <w:szCs w:val="20"/>
              </w:rPr>
              <w:t>330.6</w:t>
            </w:r>
          </w:p>
        </w:tc>
        <w:tc>
          <w:tcPr>
            <w:tcW w:w="1260" w:type="dxa"/>
            <w:shd w:val="clear" w:color="auto" w:fill="auto"/>
            <w:vAlign w:val="center"/>
          </w:tcPr>
          <w:p w:rsidR="00D243A1" w:rsidRPr="00DB1152" w:rsidP="00D243A1" w14:paraId="6DE3994B" w14:textId="77777777">
            <w:pPr>
              <w:keepNext/>
              <w:spacing w:after="0" w:line="240" w:lineRule="auto"/>
              <w:ind w:right="217"/>
              <w:jc w:val="center"/>
              <w:rPr>
                <w:rFonts w:ascii="Times New Roman" w:hAnsi="Times New Roman" w:cs="Times New Roman"/>
                <w:sz w:val="20"/>
                <w:szCs w:val="20"/>
              </w:rPr>
            </w:pPr>
            <w:r w:rsidRPr="00DB1152">
              <w:rPr>
                <w:rFonts w:ascii="Times New Roman" w:hAnsi="Times New Roman" w:cs="Times New Roman"/>
                <w:sz w:val="20"/>
                <w:szCs w:val="20"/>
              </w:rPr>
              <w:t>$</w:t>
            </w:r>
            <w:r w:rsidR="00616758">
              <w:rPr>
                <w:rFonts w:ascii="Times New Roman" w:hAnsi="Times New Roman" w:cs="Times New Roman"/>
                <w:sz w:val="20"/>
                <w:szCs w:val="20"/>
              </w:rPr>
              <w:t>401</w:t>
            </w:r>
            <w:r w:rsidR="000600D3">
              <w:rPr>
                <w:rFonts w:ascii="Times New Roman" w:hAnsi="Times New Roman" w:cs="Times New Roman"/>
                <w:sz w:val="20"/>
                <w:szCs w:val="20"/>
              </w:rPr>
              <w:t>.6</w:t>
            </w:r>
          </w:p>
        </w:tc>
      </w:tr>
      <w:tr w14:paraId="51FA57E7" w14:textId="77777777" w:rsidTr="00DB1152">
        <w:tblPrEx>
          <w:tblW w:w="9238" w:type="dxa"/>
          <w:tblInd w:w="-98" w:type="dxa"/>
          <w:tblLayout w:type="fixed"/>
          <w:tblCellMar>
            <w:left w:w="0" w:type="dxa"/>
            <w:right w:w="0" w:type="dxa"/>
          </w:tblCellMar>
          <w:tblLook w:val="01E0"/>
        </w:tblPrEx>
        <w:trPr>
          <w:trHeight w:val="535"/>
        </w:trPr>
        <w:tc>
          <w:tcPr>
            <w:tcW w:w="1710" w:type="dxa"/>
            <w:tcBorders>
              <w:right w:val="single" w:sz="8" w:space="0" w:color="000000"/>
            </w:tcBorders>
            <w:vAlign w:val="center"/>
          </w:tcPr>
          <w:p w:rsidR="00D243A1" w:rsidRPr="00DB1152" w:rsidP="00D243A1" w14:paraId="0188A434" w14:textId="77777777">
            <w:pPr>
              <w:keepNext/>
              <w:spacing w:after="0" w:line="240" w:lineRule="auto"/>
              <w:ind w:left="130"/>
              <w:rPr>
                <w:rFonts w:ascii="Times New Roman" w:hAnsi="Times New Roman" w:cs="Times New Roman"/>
                <w:sz w:val="20"/>
                <w:szCs w:val="20"/>
              </w:rPr>
            </w:pPr>
            <w:r w:rsidRPr="00DB1152">
              <w:rPr>
                <w:rFonts w:ascii="Times New Roman" w:hAnsi="Times New Roman" w:cs="Times New Roman"/>
                <w:sz w:val="20"/>
                <w:szCs w:val="20"/>
              </w:rPr>
              <w:t>Root Cause</w:t>
            </w:r>
          </w:p>
          <w:p w:rsidR="00D243A1" w:rsidRPr="00DB1152" w:rsidP="00D243A1" w14:paraId="721006C0" w14:textId="77777777">
            <w:pPr>
              <w:keepNext/>
              <w:spacing w:after="0" w:line="240" w:lineRule="auto"/>
              <w:ind w:left="130"/>
              <w:rPr>
                <w:rFonts w:ascii="Times New Roman" w:hAnsi="Times New Roman" w:cs="Times New Roman"/>
                <w:sz w:val="20"/>
                <w:szCs w:val="20"/>
              </w:rPr>
            </w:pPr>
            <w:r w:rsidRPr="00DB1152">
              <w:rPr>
                <w:rFonts w:ascii="Times New Roman" w:hAnsi="Times New Roman" w:cs="Times New Roman"/>
                <w:sz w:val="20"/>
                <w:szCs w:val="20"/>
              </w:rPr>
              <w:t>Analysis</w:t>
            </w:r>
          </w:p>
        </w:tc>
        <w:tc>
          <w:tcPr>
            <w:tcW w:w="1276" w:type="dxa"/>
            <w:tcBorders>
              <w:left w:val="single" w:sz="8" w:space="0" w:color="000000"/>
            </w:tcBorders>
            <w:shd w:val="clear" w:color="auto" w:fill="auto"/>
            <w:vAlign w:val="center"/>
          </w:tcPr>
          <w:p w:rsidR="00D243A1" w:rsidRPr="00DB1152" w:rsidP="00D243A1" w14:paraId="6BDFE5DD"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$0.7</w:t>
            </w:r>
          </w:p>
        </w:tc>
        <w:tc>
          <w:tcPr>
            <w:tcW w:w="1154" w:type="dxa"/>
            <w:shd w:val="clear" w:color="auto" w:fill="auto"/>
            <w:vAlign w:val="center"/>
          </w:tcPr>
          <w:p w:rsidR="00D243A1" w:rsidRPr="00DB1152" w:rsidP="00D243A1" w14:paraId="07824D3E"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$0.7</w:t>
            </w:r>
          </w:p>
        </w:tc>
        <w:tc>
          <w:tcPr>
            <w:tcW w:w="1350" w:type="dxa"/>
            <w:shd w:val="clear" w:color="auto" w:fill="auto"/>
            <w:vAlign w:val="center"/>
          </w:tcPr>
          <w:p w:rsidR="00D243A1" w:rsidRPr="00DB1152" w:rsidP="00D243A1" w14:paraId="2CDA040A"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$0.</w:t>
            </w:r>
            <w:r w:rsidR="00425D42">
              <w:rPr>
                <w:rFonts w:ascii="Times New Roman" w:hAnsi="Times New Roman" w:cs="Times New Roman"/>
                <w:sz w:val="20"/>
                <w:szCs w:val="20"/>
              </w:rPr>
              <w:t>8</w:t>
            </w:r>
          </w:p>
        </w:tc>
        <w:tc>
          <w:tcPr>
            <w:tcW w:w="1244" w:type="dxa"/>
            <w:shd w:val="clear" w:color="auto" w:fill="auto"/>
            <w:vAlign w:val="center"/>
          </w:tcPr>
          <w:p w:rsidR="00D243A1" w:rsidRPr="00DB1152" w:rsidP="00D243A1" w14:paraId="42D9B62B"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sidR="00425D42">
              <w:rPr>
                <w:rFonts w:ascii="Times New Roman" w:hAnsi="Times New Roman" w:cs="Times New Roman"/>
                <w:sz w:val="20"/>
                <w:szCs w:val="20"/>
              </w:rPr>
              <w:t>8</w:t>
            </w:r>
          </w:p>
        </w:tc>
        <w:tc>
          <w:tcPr>
            <w:tcW w:w="1244" w:type="dxa"/>
            <w:shd w:val="clear" w:color="auto" w:fill="auto"/>
            <w:vAlign w:val="center"/>
          </w:tcPr>
          <w:p w:rsidR="00D243A1" w:rsidRPr="00DB1152" w:rsidP="00D243A1" w14:paraId="352E74DA"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sidR="00425D42">
              <w:rPr>
                <w:rFonts w:ascii="Times New Roman" w:hAnsi="Times New Roman" w:cs="Times New Roman"/>
                <w:sz w:val="20"/>
                <w:szCs w:val="20"/>
              </w:rPr>
              <w:t>8</w:t>
            </w:r>
          </w:p>
        </w:tc>
        <w:tc>
          <w:tcPr>
            <w:tcW w:w="1260" w:type="dxa"/>
            <w:shd w:val="clear" w:color="auto" w:fill="auto"/>
            <w:vAlign w:val="center"/>
          </w:tcPr>
          <w:p w:rsidR="00D243A1" w:rsidRPr="00DB1152" w:rsidP="00D243A1" w14:paraId="524591E1" w14:textId="77777777">
            <w:pPr>
              <w:keepNext/>
              <w:spacing w:after="0" w:line="240" w:lineRule="auto"/>
              <w:ind w:right="217"/>
              <w:jc w:val="center"/>
              <w:rPr>
                <w:rFonts w:ascii="Times New Roman" w:hAnsi="Times New Roman" w:cs="Times New Roman"/>
                <w:sz w:val="20"/>
                <w:szCs w:val="20"/>
              </w:rPr>
            </w:pPr>
            <w:r w:rsidRPr="00DB1152">
              <w:rPr>
                <w:rFonts w:ascii="Times New Roman" w:hAnsi="Times New Roman" w:cs="Times New Roman"/>
                <w:sz w:val="20"/>
                <w:szCs w:val="20"/>
              </w:rPr>
              <w:t>$0.</w:t>
            </w:r>
            <w:r w:rsidR="00425D42">
              <w:rPr>
                <w:rFonts w:ascii="Times New Roman" w:hAnsi="Times New Roman" w:cs="Times New Roman"/>
                <w:sz w:val="20"/>
                <w:szCs w:val="20"/>
              </w:rPr>
              <w:t>8</w:t>
            </w:r>
          </w:p>
        </w:tc>
      </w:tr>
      <w:tr w14:paraId="79546751" w14:textId="77777777" w:rsidTr="00DB1152">
        <w:tblPrEx>
          <w:tblW w:w="9238" w:type="dxa"/>
          <w:tblInd w:w="-98" w:type="dxa"/>
          <w:tblLayout w:type="fixed"/>
          <w:tblCellMar>
            <w:left w:w="0" w:type="dxa"/>
            <w:right w:w="0" w:type="dxa"/>
          </w:tblCellMar>
          <w:tblLook w:val="01E0"/>
        </w:tblPrEx>
        <w:trPr>
          <w:trHeight w:val="535"/>
        </w:trPr>
        <w:tc>
          <w:tcPr>
            <w:tcW w:w="1710" w:type="dxa"/>
            <w:tcBorders>
              <w:right w:val="single" w:sz="8" w:space="0" w:color="000000"/>
            </w:tcBorders>
            <w:vAlign w:val="center"/>
          </w:tcPr>
          <w:p w:rsidR="00D243A1" w:rsidRPr="00DB1152" w:rsidP="00D243A1" w14:paraId="0C0B19BB" w14:textId="77777777">
            <w:pPr>
              <w:keepNext/>
              <w:spacing w:after="0" w:line="240" w:lineRule="auto"/>
              <w:ind w:left="130"/>
              <w:rPr>
                <w:rFonts w:ascii="Times New Roman" w:hAnsi="Times New Roman" w:cs="Times New Roman"/>
                <w:sz w:val="20"/>
                <w:szCs w:val="20"/>
              </w:rPr>
            </w:pPr>
            <w:r w:rsidRPr="00DB1152">
              <w:rPr>
                <w:rFonts w:ascii="Times New Roman" w:hAnsi="Times New Roman" w:cs="Times New Roman"/>
                <w:sz w:val="20"/>
                <w:szCs w:val="20"/>
              </w:rPr>
              <w:t>Third-party Audits</w:t>
            </w:r>
          </w:p>
        </w:tc>
        <w:tc>
          <w:tcPr>
            <w:tcW w:w="1276" w:type="dxa"/>
            <w:tcBorders>
              <w:left w:val="single" w:sz="8" w:space="0" w:color="000000"/>
            </w:tcBorders>
            <w:shd w:val="clear" w:color="auto" w:fill="auto"/>
            <w:vAlign w:val="center"/>
          </w:tcPr>
          <w:p w:rsidR="00D243A1" w:rsidRPr="00DB1152" w:rsidP="00D243A1" w14:paraId="20E6C220"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$5.</w:t>
            </w:r>
            <w:r w:rsidR="000A1E9F">
              <w:rPr>
                <w:rFonts w:ascii="Times New Roman" w:hAnsi="Times New Roman" w:cs="Times New Roman"/>
                <w:sz w:val="20"/>
                <w:szCs w:val="20"/>
              </w:rPr>
              <w:t>7</w:t>
            </w:r>
          </w:p>
        </w:tc>
        <w:tc>
          <w:tcPr>
            <w:tcW w:w="1154" w:type="dxa"/>
            <w:shd w:val="clear" w:color="auto" w:fill="auto"/>
            <w:vAlign w:val="center"/>
          </w:tcPr>
          <w:p w:rsidR="00D243A1" w:rsidRPr="00DB1152" w:rsidP="00D243A1" w14:paraId="4FB1F906"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$5.</w:t>
            </w:r>
            <w:r w:rsidR="000A1E9F">
              <w:rPr>
                <w:rFonts w:ascii="Times New Roman" w:hAnsi="Times New Roman" w:cs="Times New Roman"/>
                <w:sz w:val="20"/>
                <w:szCs w:val="20"/>
              </w:rPr>
              <w:t>7</w:t>
            </w:r>
          </w:p>
        </w:tc>
        <w:tc>
          <w:tcPr>
            <w:tcW w:w="1350" w:type="dxa"/>
            <w:shd w:val="clear" w:color="auto" w:fill="auto"/>
            <w:vAlign w:val="center"/>
          </w:tcPr>
          <w:p w:rsidR="00D243A1" w:rsidRPr="00DB1152" w:rsidP="00D243A1" w14:paraId="79AB4C3E"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w:t>
            </w:r>
            <w:r w:rsidR="004C1D69">
              <w:rPr>
                <w:rFonts w:ascii="Times New Roman" w:hAnsi="Times New Roman" w:cs="Times New Roman"/>
                <w:sz w:val="20"/>
                <w:szCs w:val="20"/>
              </w:rPr>
              <w:t>7.5</w:t>
            </w:r>
          </w:p>
        </w:tc>
        <w:tc>
          <w:tcPr>
            <w:tcW w:w="1244" w:type="dxa"/>
            <w:shd w:val="clear" w:color="auto" w:fill="auto"/>
            <w:vAlign w:val="center"/>
          </w:tcPr>
          <w:p w:rsidR="00D243A1" w:rsidRPr="00DB1152" w:rsidP="00D243A1" w14:paraId="3B98EA66"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3908F1">
              <w:rPr>
                <w:rFonts w:ascii="Times New Roman" w:hAnsi="Times New Roman" w:cs="Times New Roman"/>
                <w:sz w:val="20"/>
                <w:szCs w:val="20"/>
              </w:rPr>
              <w:t>7.5</w:t>
            </w:r>
          </w:p>
        </w:tc>
        <w:tc>
          <w:tcPr>
            <w:tcW w:w="1244" w:type="dxa"/>
            <w:shd w:val="clear" w:color="auto" w:fill="auto"/>
            <w:vAlign w:val="center"/>
          </w:tcPr>
          <w:p w:rsidR="00D243A1" w:rsidRPr="00DB1152" w:rsidP="00D243A1" w14:paraId="746518E7"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$1</w:t>
            </w:r>
            <w:r w:rsidR="003908F1">
              <w:rPr>
                <w:rFonts w:ascii="Times New Roman" w:hAnsi="Times New Roman" w:cs="Times New Roman"/>
                <w:sz w:val="20"/>
                <w:szCs w:val="20"/>
              </w:rPr>
              <w:t>50.8</w:t>
            </w:r>
          </w:p>
        </w:tc>
        <w:tc>
          <w:tcPr>
            <w:tcW w:w="1260" w:type="dxa"/>
            <w:shd w:val="clear" w:color="auto" w:fill="auto"/>
            <w:vAlign w:val="center"/>
          </w:tcPr>
          <w:p w:rsidR="00D243A1" w:rsidRPr="00DB1152" w:rsidP="00D243A1" w14:paraId="65794B8E" w14:textId="77777777">
            <w:pPr>
              <w:keepNext/>
              <w:spacing w:after="0" w:line="240" w:lineRule="auto"/>
              <w:ind w:right="217"/>
              <w:jc w:val="center"/>
              <w:rPr>
                <w:rFonts w:ascii="Times New Roman" w:hAnsi="Times New Roman" w:cs="Times New Roman"/>
                <w:sz w:val="20"/>
                <w:szCs w:val="20"/>
              </w:rPr>
            </w:pPr>
            <w:r w:rsidRPr="00DB1152">
              <w:rPr>
                <w:rFonts w:ascii="Times New Roman" w:hAnsi="Times New Roman" w:cs="Times New Roman"/>
                <w:sz w:val="20"/>
                <w:szCs w:val="20"/>
              </w:rPr>
              <w:t>$1</w:t>
            </w:r>
            <w:r w:rsidR="003908F1">
              <w:rPr>
                <w:rFonts w:ascii="Times New Roman" w:hAnsi="Times New Roman" w:cs="Times New Roman"/>
                <w:sz w:val="20"/>
                <w:szCs w:val="20"/>
              </w:rPr>
              <w:t>50.8</w:t>
            </w:r>
          </w:p>
        </w:tc>
      </w:tr>
      <w:tr w14:paraId="2AAC16B5" w14:textId="77777777" w:rsidTr="00DB1152">
        <w:tblPrEx>
          <w:tblW w:w="9238" w:type="dxa"/>
          <w:tblInd w:w="-98" w:type="dxa"/>
          <w:tblLayout w:type="fixed"/>
          <w:tblCellMar>
            <w:left w:w="0" w:type="dxa"/>
            <w:right w:w="0" w:type="dxa"/>
          </w:tblCellMar>
          <w:tblLook w:val="01E0"/>
        </w:tblPrEx>
        <w:trPr>
          <w:trHeight w:val="535"/>
        </w:trPr>
        <w:tc>
          <w:tcPr>
            <w:tcW w:w="1710" w:type="dxa"/>
            <w:tcBorders>
              <w:bottom w:val="single" w:sz="8" w:space="0" w:color="000000"/>
              <w:right w:val="single" w:sz="8" w:space="0" w:color="000000"/>
            </w:tcBorders>
            <w:vAlign w:val="center"/>
          </w:tcPr>
          <w:p w:rsidR="00D243A1" w:rsidRPr="00DB1152" w:rsidP="00D243A1" w14:paraId="360C7B5F" w14:textId="77777777">
            <w:pPr>
              <w:keepNext/>
              <w:spacing w:after="0" w:line="240" w:lineRule="auto"/>
              <w:ind w:left="130"/>
              <w:rPr>
                <w:rFonts w:ascii="Times New Roman" w:hAnsi="Times New Roman" w:cs="Times New Roman"/>
                <w:sz w:val="20"/>
                <w:szCs w:val="20"/>
              </w:rPr>
            </w:pPr>
            <w:r w:rsidRPr="00DB1152">
              <w:rPr>
                <w:rFonts w:ascii="Times New Roman" w:hAnsi="Times New Roman" w:cs="Times New Roman"/>
                <w:sz w:val="20"/>
                <w:szCs w:val="20"/>
              </w:rPr>
              <w:t>Employee Participation Plan</w:t>
            </w:r>
          </w:p>
        </w:tc>
        <w:tc>
          <w:tcPr>
            <w:tcW w:w="1276" w:type="dxa"/>
            <w:tcBorders>
              <w:left w:val="single" w:sz="8" w:space="0" w:color="000000"/>
              <w:bottom w:val="single" w:sz="8" w:space="0" w:color="000000"/>
            </w:tcBorders>
            <w:shd w:val="clear" w:color="auto" w:fill="auto"/>
            <w:vAlign w:val="center"/>
          </w:tcPr>
          <w:p w:rsidR="00D243A1" w:rsidRPr="00DB1152" w:rsidP="00D243A1" w14:paraId="17E5C98D"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sidR="00895A50">
              <w:rPr>
                <w:rFonts w:ascii="Times New Roman" w:hAnsi="Times New Roman" w:cs="Times New Roman"/>
                <w:sz w:val="20"/>
                <w:szCs w:val="20"/>
              </w:rPr>
              <w:t>5</w:t>
            </w:r>
          </w:p>
        </w:tc>
        <w:tc>
          <w:tcPr>
            <w:tcW w:w="1154" w:type="dxa"/>
            <w:tcBorders>
              <w:bottom w:val="single" w:sz="8" w:space="0" w:color="000000"/>
            </w:tcBorders>
            <w:shd w:val="clear" w:color="auto" w:fill="auto"/>
            <w:vAlign w:val="center"/>
          </w:tcPr>
          <w:p w:rsidR="00D243A1" w:rsidRPr="00DB1152" w:rsidP="00D243A1" w14:paraId="6571D81F"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$0.</w:t>
            </w:r>
            <w:r w:rsidR="00895A50">
              <w:rPr>
                <w:rFonts w:ascii="Times New Roman" w:hAnsi="Times New Roman" w:cs="Times New Roman"/>
                <w:sz w:val="20"/>
                <w:szCs w:val="20"/>
              </w:rPr>
              <w:t>5</w:t>
            </w:r>
          </w:p>
        </w:tc>
        <w:tc>
          <w:tcPr>
            <w:tcW w:w="1350" w:type="dxa"/>
            <w:tcBorders>
              <w:bottom w:val="single" w:sz="8" w:space="0" w:color="000000"/>
            </w:tcBorders>
            <w:shd w:val="clear" w:color="auto" w:fill="auto"/>
            <w:vAlign w:val="center"/>
          </w:tcPr>
          <w:p w:rsidR="00C9241C" w:rsidP="00D243A1" w14:paraId="5B7D1C6A" w14:textId="77777777">
            <w:pPr>
              <w:spacing w:after="0" w:line="240" w:lineRule="auto"/>
              <w:ind w:right="58"/>
              <w:jc w:val="center"/>
              <w:rPr>
                <w:rFonts w:ascii="Times New Roman" w:hAnsi="Times New Roman" w:cs="Times New Roman"/>
                <w:sz w:val="20"/>
                <w:szCs w:val="20"/>
              </w:rPr>
            </w:pPr>
          </w:p>
          <w:p w:rsidR="00D243A1" w:rsidRPr="00DB1152" w:rsidP="00D243A1" w14:paraId="69B7F1B6" w14:textId="77777777">
            <w:pPr>
              <w:spacing w:after="0" w:line="240" w:lineRule="auto"/>
              <w:ind w:right="58"/>
              <w:jc w:val="center"/>
              <w:rPr>
                <w:rFonts w:ascii="Times New Roman" w:hAnsi="Times New Roman" w:cs="Times New Roman"/>
                <w:sz w:val="20"/>
                <w:szCs w:val="20"/>
              </w:rPr>
            </w:pPr>
            <w:r w:rsidRPr="00DB1152">
              <w:rPr>
                <w:rFonts w:ascii="Times New Roman" w:hAnsi="Times New Roman" w:cs="Times New Roman"/>
                <w:sz w:val="20"/>
                <w:szCs w:val="20"/>
              </w:rPr>
              <w:t>$</w:t>
            </w:r>
            <w:r w:rsidR="00557489">
              <w:rPr>
                <w:rFonts w:ascii="Times New Roman" w:hAnsi="Times New Roman" w:cs="Times New Roman"/>
                <w:sz w:val="20"/>
                <w:szCs w:val="20"/>
              </w:rPr>
              <w:t>11.5</w:t>
            </w:r>
          </w:p>
          <w:p w:rsidR="00D243A1" w:rsidRPr="00DB1152" w:rsidP="00D243A1" w14:paraId="50C0BFD6" w14:textId="77777777">
            <w:pPr>
              <w:keepNext/>
              <w:spacing w:after="0" w:line="240" w:lineRule="auto"/>
              <w:ind w:right="58"/>
              <w:jc w:val="center"/>
              <w:rPr>
                <w:rFonts w:ascii="Times New Roman" w:hAnsi="Times New Roman" w:cs="Times New Roman"/>
                <w:sz w:val="20"/>
                <w:szCs w:val="20"/>
              </w:rPr>
            </w:pPr>
          </w:p>
        </w:tc>
        <w:tc>
          <w:tcPr>
            <w:tcW w:w="1244" w:type="dxa"/>
            <w:tcBorders>
              <w:bottom w:val="single" w:sz="8" w:space="0" w:color="000000"/>
            </w:tcBorders>
            <w:shd w:val="clear" w:color="auto" w:fill="auto"/>
            <w:vAlign w:val="center"/>
          </w:tcPr>
          <w:p w:rsidR="00D243A1" w:rsidRPr="00DB1152" w:rsidP="00D243A1" w14:paraId="0D8C6417"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557489">
              <w:rPr>
                <w:rFonts w:ascii="Times New Roman" w:hAnsi="Times New Roman" w:cs="Times New Roman"/>
                <w:sz w:val="20"/>
                <w:szCs w:val="20"/>
              </w:rPr>
              <w:t>11.5</w:t>
            </w:r>
          </w:p>
        </w:tc>
        <w:tc>
          <w:tcPr>
            <w:tcW w:w="1244" w:type="dxa"/>
            <w:tcBorders>
              <w:bottom w:val="single" w:sz="8" w:space="0" w:color="000000"/>
            </w:tcBorders>
            <w:shd w:val="clear" w:color="auto" w:fill="auto"/>
            <w:vAlign w:val="center"/>
          </w:tcPr>
          <w:p w:rsidR="00D243A1" w:rsidRPr="00DB1152" w:rsidP="00D243A1" w14:paraId="5DE876AF"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557489">
              <w:rPr>
                <w:rFonts w:ascii="Times New Roman" w:hAnsi="Times New Roman" w:cs="Times New Roman"/>
                <w:sz w:val="20"/>
                <w:szCs w:val="20"/>
              </w:rPr>
              <w:t>11.5</w:t>
            </w:r>
          </w:p>
        </w:tc>
        <w:tc>
          <w:tcPr>
            <w:tcW w:w="1260" w:type="dxa"/>
            <w:tcBorders>
              <w:bottom w:val="single" w:sz="8" w:space="0" w:color="000000"/>
            </w:tcBorders>
            <w:shd w:val="clear" w:color="auto" w:fill="auto"/>
            <w:vAlign w:val="center"/>
          </w:tcPr>
          <w:p w:rsidR="00D243A1" w:rsidRPr="00DB1152" w:rsidP="00D243A1" w14:paraId="3A1DF77C" w14:textId="77777777">
            <w:pPr>
              <w:keepNext/>
              <w:spacing w:after="0" w:line="240" w:lineRule="auto"/>
              <w:ind w:right="202"/>
              <w:jc w:val="center"/>
              <w:rPr>
                <w:rFonts w:ascii="Times New Roman" w:hAnsi="Times New Roman" w:cs="Times New Roman"/>
                <w:sz w:val="20"/>
                <w:szCs w:val="20"/>
              </w:rPr>
            </w:pPr>
            <w:r w:rsidRPr="00DB1152">
              <w:rPr>
                <w:rFonts w:ascii="Times New Roman" w:hAnsi="Times New Roman" w:cs="Times New Roman"/>
                <w:sz w:val="20"/>
                <w:szCs w:val="20"/>
              </w:rPr>
              <w:t>$</w:t>
            </w:r>
            <w:r w:rsidR="00557489">
              <w:rPr>
                <w:rFonts w:ascii="Times New Roman" w:hAnsi="Times New Roman" w:cs="Times New Roman"/>
                <w:sz w:val="20"/>
                <w:szCs w:val="20"/>
              </w:rPr>
              <w:t>11.5</w:t>
            </w:r>
          </w:p>
        </w:tc>
      </w:tr>
      <w:tr w14:paraId="37ADEEF2" w14:textId="77777777" w:rsidTr="00DB1152">
        <w:tblPrEx>
          <w:tblW w:w="9238" w:type="dxa"/>
          <w:tblInd w:w="-98" w:type="dxa"/>
          <w:tblLayout w:type="fixed"/>
          <w:tblCellMar>
            <w:left w:w="0" w:type="dxa"/>
            <w:right w:w="0" w:type="dxa"/>
          </w:tblCellMar>
          <w:tblLook w:val="01E0"/>
        </w:tblPrEx>
        <w:trPr>
          <w:trHeight w:val="535"/>
        </w:trPr>
        <w:tc>
          <w:tcPr>
            <w:tcW w:w="1710" w:type="dxa"/>
            <w:tcBorders>
              <w:top w:val="single" w:sz="8" w:space="0" w:color="000000"/>
              <w:bottom w:val="single" w:sz="8" w:space="0" w:color="000000"/>
              <w:right w:val="single" w:sz="8" w:space="0" w:color="000000"/>
            </w:tcBorders>
            <w:vAlign w:val="center"/>
          </w:tcPr>
          <w:p w:rsidR="00616AA6" w:rsidRPr="00FA1399" w:rsidP="00D243A1" w14:paraId="26EFDC3F" w14:textId="77777777">
            <w:pPr>
              <w:keepNext/>
              <w:spacing w:after="0" w:line="240" w:lineRule="auto"/>
              <w:ind w:left="130"/>
              <w:rPr>
                <w:rFonts w:ascii="Times New Roman" w:hAnsi="Times New Roman" w:cs="Times New Roman"/>
                <w:sz w:val="20"/>
                <w:szCs w:val="20"/>
              </w:rPr>
            </w:pPr>
            <w:r>
              <w:rPr>
                <w:rFonts w:ascii="Times New Roman" w:hAnsi="Times New Roman" w:cs="Times New Roman"/>
                <w:sz w:val="20"/>
                <w:szCs w:val="20"/>
              </w:rPr>
              <w:t>Backup Power for Perimeter Monitor</w:t>
            </w:r>
          </w:p>
        </w:tc>
        <w:tc>
          <w:tcPr>
            <w:tcW w:w="1276" w:type="dxa"/>
            <w:tcBorders>
              <w:top w:val="single" w:sz="8" w:space="0" w:color="000000"/>
              <w:left w:val="single" w:sz="8" w:space="0" w:color="000000"/>
              <w:bottom w:val="single" w:sz="8" w:space="0" w:color="000000"/>
            </w:tcBorders>
            <w:shd w:val="clear" w:color="auto" w:fill="auto"/>
            <w:vAlign w:val="center"/>
          </w:tcPr>
          <w:p w:rsidR="00616AA6" w:rsidRPr="00DB1152" w:rsidP="00D243A1" w14:paraId="5AE12318" w14:textId="77777777">
            <w:pPr>
              <w:keepNext/>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154" w:type="dxa"/>
            <w:tcBorders>
              <w:top w:val="single" w:sz="8" w:space="0" w:color="000000"/>
              <w:bottom w:val="single" w:sz="8" w:space="0" w:color="000000"/>
            </w:tcBorders>
            <w:shd w:val="clear" w:color="auto" w:fill="auto"/>
            <w:vAlign w:val="center"/>
          </w:tcPr>
          <w:p w:rsidR="00616AA6" w:rsidRPr="00DB1152" w:rsidP="00D243A1" w14:paraId="0A0C3121" w14:textId="77777777">
            <w:pPr>
              <w:keepNext/>
              <w:spacing w:after="0" w:line="240" w:lineRule="auto"/>
              <w:ind w:right="82"/>
              <w:jc w:val="center"/>
              <w:rPr>
                <w:rFonts w:ascii="Times New Roman" w:hAnsi="Times New Roman" w:cs="Times New Roman"/>
                <w:sz w:val="20"/>
                <w:szCs w:val="20"/>
              </w:rPr>
            </w:pPr>
            <w:r>
              <w:rPr>
                <w:rFonts w:ascii="Times New Roman" w:hAnsi="Times New Roman" w:cs="Times New Roman"/>
                <w:sz w:val="20"/>
                <w:szCs w:val="20"/>
              </w:rPr>
              <w:t>$0.3</w:t>
            </w:r>
          </w:p>
        </w:tc>
        <w:tc>
          <w:tcPr>
            <w:tcW w:w="1350" w:type="dxa"/>
            <w:tcBorders>
              <w:top w:val="single" w:sz="8" w:space="0" w:color="000000"/>
              <w:bottom w:val="single" w:sz="8" w:space="0" w:color="000000"/>
            </w:tcBorders>
            <w:shd w:val="clear" w:color="auto" w:fill="auto"/>
            <w:vAlign w:val="center"/>
          </w:tcPr>
          <w:p w:rsidR="00616AA6" w:rsidRPr="00DB1152" w:rsidP="00D243A1" w14:paraId="10C57790" w14:textId="77777777">
            <w:pPr>
              <w:keepNext/>
              <w:spacing w:after="0" w:line="240" w:lineRule="auto"/>
              <w:ind w:right="67"/>
              <w:jc w:val="center"/>
              <w:rPr>
                <w:rFonts w:ascii="Times New Roman" w:hAnsi="Times New Roman" w:cs="Times New Roman"/>
                <w:sz w:val="20"/>
                <w:szCs w:val="20"/>
              </w:rPr>
            </w:pPr>
            <w:r>
              <w:rPr>
                <w:rFonts w:ascii="Times New Roman" w:hAnsi="Times New Roman" w:cs="Times New Roman"/>
                <w:sz w:val="20"/>
                <w:szCs w:val="20"/>
              </w:rPr>
              <w:t>$0.3</w:t>
            </w:r>
          </w:p>
        </w:tc>
        <w:tc>
          <w:tcPr>
            <w:tcW w:w="1244" w:type="dxa"/>
            <w:tcBorders>
              <w:top w:val="single" w:sz="8" w:space="0" w:color="000000"/>
              <w:bottom w:val="single" w:sz="8" w:space="0" w:color="000000"/>
            </w:tcBorders>
            <w:shd w:val="clear" w:color="auto" w:fill="auto"/>
            <w:vAlign w:val="center"/>
          </w:tcPr>
          <w:p w:rsidR="00616AA6" w:rsidRPr="00DB1152" w:rsidP="00D243A1" w14:paraId="0288881D" w14:textId="77777777">
            <w:pPr>
              <w:keepNext/>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244" w:type="dxa"/>
            <w:tcBorders>
              <w:top w:val="single" w:sz="8" w:space="0" w:color="000000"/>
              <w:bottom w:val="single" w:sz="8" w:space="0" w:color="000000"/>
            </w:tcBorders>
            <w:shd w:val="clear" w:color="auto" w:fill="auto"/>
            <w:vAlign w:val="center"/>
          </w:tcPr>
          <w:p w:rsidR="00616AA6" w:rsidRPr="00DB1152" w:rsidP="00D243A1" w14:paraId="4ADA67DF" w14:textId="77777777">
            <w:pPr>
              <w:keepNext/>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260" w:type="dxa"/>
            <w:tcBorders>
              <w:top w:val="single" w:sz="8" w:space="0" w:color="000000"/>
              <w:bottom w:val="single" w:sz="8" w:space="0" w:color="000000"/>
            </w:tcBorders>
            <w:shd w:val="clear" w:color="auto" w:fill="auto"/>
            <w:vAlign w:val="center"/>
          </w:tcPr>
          <w:p w:rsidR="00616AA6" w:rsidRPr="00DB1152" w:rsidP="00D243A1" w14:paraId="37CFBDB7" w14:textId="77777777">
            <w:pPr>
              <w:keepNext/>
              <w:spacing w:after="0" w:line="240" w:lineRule="auto"/>
              <w:ind w:right="217"/>
              <w:jc w:val="center"/>
              <w:rPr>
                <w:rFonts w:ascii="Times New Roman" w:hAnsi="Times New Roman" w:cs="Times New Roman"/>
                <w:sz w:val="20"/>
                <w:szCs w:val="20"/>
              </w:rPr>
            </w:pPr>
            <w:r>
              <w:rPr>
                <w:rFonts w:ascii="Times New Roman" w:hAnsi="Times New Roman" w:cs="Times New Roman"/>
                <w:sz w:val="20"/>
                <w:szCs w:val="20"/>
              </w:rPr>
              <w:t>$0.3</w:t>
            </w:r>
          </w:p>
        </w:tc>
      </w:tr>
      <w:tr w14:paraId="62ADD15F" w14:textId="77777777" w:rsidTr="00DB1152">
        <w:tblPrEx>
          <w:tblW w:w="9238" w:type="dxa"/>
          <w:tblInd w:w="-98" w:type="dxa"/>
          <w:tblLayout w:type="fixed"/>
          <w:tblCellMar>
            <w:left w:w="0" w:type="dxa"/>
            <w:right w:w="0" w:type="dxa"/>
          </w:tblCellMar>
          <w:tblLook w:val="01E0"/>
        </w:tblPrEx>
        <w:trPr>
          <w:trHeight w:val="535"/>
        </w:trPr>
        <w:tc>
          <w:tcPr>
            <w:tcW w:w="1710" w:type="dxa"/>
            <w:tcBorders>
              <w:top w:val="single" w:sz="8" w:space="0" w:color="000000"/>
              <w:bottom w:val="single" w:sz="8" w:space="0" w:color="000000"/>
              <w:right w:val="single" w:sz="8" w:space="0" w:color="000000"/>
            </w:tcBorders>
            <w:vAlign w:val="center"/>
          </w:tcPr>
          <w:p w:rsidR="00D243A1" w:rsidRPr="00DB1152" w:rsidP="00D243A1" w14:paraId="26B48F1C" w14:textId="77777777">
            <w:pPr>
              <w:keepNext/>
              <w:spacing w:after="0" w:line="240" w:lineRule="auto"/>
              <w:ind w:left="130"/>
              <w:rPr>
                <w:rFonts w:ascii="Times New Roman" w:hAnsi="Times New Roman" w:cs="Times New Roman"/>
                <w:sz w:val="20"/>
                <w:szCs w:val="20"/>
              </w:rPr>
            </w:pPr>
            <w:r>
              <w:rPr>
                <w:rFonts w:ascii="Times New Roman" w:hAnsi="Times New Roman" w:cs="Times New Roman"/>
                <w:sz w:val="20"/>
                <w:szCs w:val="20"/>
              </w:rPr>
              <w:t xml:space="preserve">No </w:t>
            </w:r>
            <w:r w:rsidRPr="00FA1399">
              <w:rPr>
                <w:rFonts w:ascii="Times New Roman" w:hAnsi="Times New Roman" w:cs="Times New Roman"/>
                <w:sz w:val="20"/>
                <w:szCs w:val="20"/>
              </w:rPr>
              <w:t>Backup Power</w:t>
            </w:r>
            <w:r w:rsidRPr="00FA1399" w:rsidR="00EC413D">
              <w:rPr>
                <w:rFonts w:ascii="Times New Roman" w:hAnsi="Times New Roman" w:cs="Times New Roman"/>
                <w:sz w:val="20"/>
                <w:szCs w:val="20"/>
              </w:rPr>
              <w:t>**</w:t>
            </w:r>
          </w:p>
        </w:tc>
        <w:tc>
          <w:tcPr>
            <w:tcW w:w="1276" w:type="dxa"/>
            <w:tcBorders>
              <w:top w:val="single" w:sz="8" w:space="0" w:color="000000"/>
              <w:left w:val="single" w:sz="8" w:space="0" w:color="000000"/>
              <w:bottom w:val="single" w:sz="8" w:space="0" w:color="000000"/>
            </w:tcBorders>
            <w:shd w:val="clear" w:color="auto" w:fill="auto"/>
            <w:vAlign w:val="center"/>
          </w:tcPr>
          <w:p w:rsidR="00D243A1" w:rsidRPr="00DB1152" w:rsidP="00D243A1" w14:paraId="77E2ECCD"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sidR="00353F02">
              <w:rPr>
                <w:rFonts w:ascii="Times New Roman" w:hAnsi="Times New Roman" w:cs="Times New Roman"/>
                <w:sz w:val="20"/>
                <w:szCs w:val="20"/>
              </w:rPr>
              <w:t>0</w:t>
            </w:r>
          </w:p>
        </w:tc>
        <w:tc>
          <w:tcPr>
            <w:tcW w:w="1154" w:type="dxa"/>
            <w:tcBorders>
              <w:top w:val="single" w:sz="8" w:space="0" w:color="000000"/>
              <w:bottom w:val="single" w:sz="8" w:space="0" w:color="000000"/>
            </w:tcBorders>
            <w:shd w:val="clear" w:color="auto" w:fill="auto"/>
            <w:vAlign w:val="center"/>
          </w:tcPr>
          <w:p w:rsidR="00D243A1" w:rsidRPr="00DB1152" w:rsidP="00D243A1" w14:paraId="57A36730" w14:textId="77777777">
            <w:pPr>
              <w:keepNext/>
              <w:spacing w:after="0" w:line="240" w:lineRule="auto"/>
              <w:ind w:right="82"/>
              <w:jc w:val="center"/>
              <w:rPr>
                <w:rFonts w:ascii="Times New Roman" w:hAnsi="Times New Roman" w:cs="Times New Roman"/>
                <w:sz w:val="20"/>
                <w:szCs w:val="20"/>
              </w:rPr>
            </w:pPr>
            <w:r w:rsidRPr="00DB1152">
              <w:rPr>
                <w:rFonts w:ascii="Times New Roman" w:hAnsi="Times New Roman" w:cs="Times New Roman"/>
                <w:sz w:val="20"/>
                <w:szCs w:val="20"/>
              </w:rPr>
              <w:t>$0.</w:t>
            </w:r>
            <w:r w:rsidR="00353F02">
              <w:rPr>
                <w:rFonts w:ascii="Times New Roman" w:hAnsi="Times New Roman" w:cs="Times New Roman"/>
                <w:sz w:val="20"/>
                <w:szCs w:val="20"/>
              </w:rPr>
              <w:t>0</w:t>
            </w:r>
          </w:p>
        </w:tc>
        <w:tc>
          <w:tcPr>
            <w:tcW w:w="1350" w:type="dxa"/>
            <w:tcBorders>
              <w:top w:val="single" w:sz="8" w:space="0" w:color="000000"/>
              <w:bottom w:val="single" w:sz="8" w:space="0" w:color="000000"/>
            </w:tcBorders>
            <w:shd w:val="clear" w:color="auto" w:fill="auto"/>
            <w:vAlign w:val="center"/>
          </w:tcPr>
          <w:p w:rsidR="00D243A1" w:rsidRPr="00DB1152" w:rsidP="00D243A1" w14:paraId="32BA79E0"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$0.</w:t>
            </w:r>
            <w:r w:rsidR="00353F02">
              <w:rPr>
                <w:rFonts w:ascii="Times New Roman" w:hAnsi="Times New Roman" w:cs="Times New Roman"/>
                <w:sz w:val="20"/>
                <w:szCs w:val="20"/>
              </w:rPr>
              <w:t>0</w:t>
            </w:r>
          </w:p>
        </w:tc>
        <w:tc>
          <w:tcPr>
            <w:tcW w:w="1244" w:type="dxa"/>
            <w:tcBorders>
              <w:top w:val="single" w:sz="8" w:space="0" w:color="000000"/>
              <w:bottom w:val="single" w:sz="8" w:space="0" w:color="000000"/>
            </w:tcBorders>
            <w:shd w:val="clear" w:color="auto" w:fill="auto"/>
            <w:vAlign w:val="center"/>
          </w:tcPr>
          <w:p w:rsidR="00D243A1" w:rsidRPr="00DB1152" w:rsidP="00D243A1" w14:paraId="36E24D42"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sidR="00353F02">
              <w:rPr>
                <w:rFonts w:ascii="Times New Roman" w:hAnsi="Times New Roman" w:cs="Times New Roman"/>
                <w:sz w:val="20"/>
                <w:szCs w:val="20"/>
              </w:rPr>
              <w:t>0</w:t>
            </w:r>
          </w:p>
        </w:tc>
        <w:tc>
          <w:tcPr>
            <w:tcW w:w="1244" w:type="dxa"/>
            <w:tcBorders>
              <w:top w:val="single" w:sz="8" w:space="0" w:color="000000"/>
              <w:bottom w:val="single" w:sz="8" w:space="0" w:color="000000"/>
            </w:tcBorders>
            <w:shd w:val="clear" w:color="auto" w:fill="auto"/>
            <w:vAlign w:val="center"/>
          </w:tcPr>
          <w:p w:rsidR="00D243A1" w:rsidRPr="00DB1152" w:rsidP="00D243A1" w14:paraId="22BAB060"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sidR="00353F02">
              <w:rPr>
                <w:rFonts w:ascii="Times New Roman" w:hAnsi="Times New Roman" w:cs="Times New Roman"/>
                <w:sz w:val="20"/>
                <w:szCs w:val="20"/>
              </w:rPr>
              <w:t>0</w:t>
            </w:r>
          </w:p>
        </w:tc>
        <w:tc>
          <w:tcPr>
            <w:tcW w:w="1260" w:type="dxa"/>
            <w:tcBorders>
              <w:top w:val="single" w:sz="8" w:space="0" w:color="000000"/>
              <w:bottom w:val="single" w:sz="8" w:space="0" w:color="000000"/>
            </w:tcBorders>
            <w:shd w:val="clear" w:color="auto" w:fill="auto"/>
            <w:vAlign w:val="center"/>
          </w:tcPr>
          <w:p w:rsidR="00D243A1" w:rsidRPr="00DB1152" w:rsidP="00D243A1" w14:paraId="6F0D0CB8" w14:textId="77777777">
            <w:pPr>
              <w:keepNext/>
              <w:spacing w:after="0" w:line="240" w:lineRule="auto"/>
              <w:ind w:right="217"/>
              <w:jc w:val="center"/>
              <w:rPr>
                <w:rFonts w:ascii="Times New Roman" w:hAnsi="Times New Roman" w:cs="Times New Roman"/>
                <w:sz w:val="20"/>
                <w:szCs w:val="20"/>
              </w:rPr>
            </w:pPr>
            <w:r w:rsidRPr="00DB1152">
              <w:rPr>
                <w:rFonts w:ascii="Times New Roman" w:hAnsi="Times New Roman" w:cs="Times New Roman"/>
                <w:sz w:val="20"/>
                <w:szCs w:val="20"/>
              </w:rPr>
              <w:t>$0.</w:t>
            </w:r>
            <w:r w:rsidR="00353F02">
              <w:rPr>
                <w:rFonts w:ascii="Times New Roman" w:hAnsi="Times New Roman" w:cs="Times New Roman"/>
                <w:sz w:val="20"/>
                <w:szCs w:val="20"/>
              </w:rPr>
              <w:t>0</w:t>
            </w:r>
          </w:p>
        </w:tc>
      </w:tr>
      <w:tr w14:paraId="57EEF0D9" w14:textId="77777777" w:rsidTr="00DB1152">
        <w:tblPrEx>
          <w:tblW w:w="9238" w:type="dxa"/>
          <w:tblInd w:w="-98" w:type="dxa"/>
          <w:tblLayout w:type="fixed"/>
          <w:tblCellMar>
            <w:left w:w="0" w:type="dxa"/>
            <w:right w:w="0" w:type="dxa"/>
          </w:tblCellMar>
          <w:tblLook w:val="01E0"/>
        </w:tblPrEx>
        <w:trPr>
          <w:trHeight w:val="535"/>
        </w:trPr>
        <w:tc>
          <w:tcPr>
            <w:tcW w:w="1710" w:type="dxa"/>
            <w:tcBorders>
              <w:top w:val="single" w:sz="8" w:space="0" w:color="000000"/>
              <w:bottom w:val="single" w:sz="8" w:space="0" w:color="000000"/>
              <w:right w:val="single" w:sz="8" w:space="0" w:color="000000"/>
            </w:tcBorders>
            <w:vAlign w:val="center"/>
          </w:tcPr>
          <w:p w:rsidR="00E76973" w:rsidRPr="00FA1399" w:rsidP="00E76973" w14:paraId="41462452" w14:textId="77777777">
            <w:pPr>
              <w:keepNext/>
              <w:spacing w:after="0" w:line="240" w:lineRule="auto"/>
              <w:ind w:left="130"/>
              <w:rPr>
                <w:rFonts w:ascii="Times New Roman" w:hAnsi="Times New Roman" w:cs="Times New Roman"/>
                <w:sz w:val="20"/>
                <w:szCs w:val="20"/>
              </w:rPr>
            </w:pPr>
            <w:r>
              <w:rPr>
                <w:rFonts w:ascii="Times New Roman" w:hAnsi="Times New Roman" w:cs="Times New Roman"/>
                <w:sz w:val="20"/>
                <w:szCs w:val="20"/>
              </w:rPr>
              <w:t>Natural Hazards</w:t>
            </w:r>
            <w:r w:rsidR="001E4984">
              <w:rPr>
                <w:rFonts w:ascii="Times New Roman" w:hAnsi="Times New Roman" w:cs="Times New Roman"/>
                <w:sz w:val="20"/>
                <w:szCs w:val="20"/>
              </w:rPr>
              <w:t>**</w:t>
            </w:r>
          </w:p>
        </w:tc>
        <w:tc>
          <w:tcPr>
            <w:tcW w:w="1276" w:type="dxa"/>
            <w:tcBorders>
              <w:top w:val="single" w:sz="8" w:space="0" w:color="000000"/>
              <w:left w:val="single" w:sz="8" w:space="0" w:color="000000"/>
              <w:bottom w:val="single" w:sz="8" w:space="0" w:color="000000"/>
            </w:tcBorders>
            <w:shd w:val="clear" w:color="auto" w:fill="auto"/>
            <w:vAlign w:val="center"/>
          </w:tcPr>
          <w:p w:rsidR="00E76973" w:rsidRPr="00DB1152" w:rsidP="00E76973" w14:paraId="3AEC2C77"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154" w:type="dxa"/>
            <w:tcBorders>
              <w:top w:val="single" w:sz="8" w:space="0" w:color="000000"/>
              <w:bottom w:val="single" w:sz="8" w:space="0" w:color="000000"/>
            </w:tcBorders>
            <w:shd w:val="clear" w:color="auto" w:fill="auto"/>
            <w:vAlign w:val="center"/>
          </w:tcPr>
          <w:p w:rsidR="00E76973" w:rsidRPr="00DB1152" w:rsidP="00E76973" w14:paraId="1172A06F" w14:textId="77777777">
            <w:pPr>
              <w:keepNext/>
              <w:spacing w:after="0" w:line="240" w:lineRule="auto"/>
              <w:ind w:right="82"/>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350" w:type="dxa"/>
            <w:tcBorders>
              <w:top w:val="single" w:sz="8" w:space="0" w:color="000000"/>
              <w:bottom w:val="single" w:sz="8" w:space="0" w:color="000000"/>
            </w:tcBorders>
            <w:shd w:val="clear" w:color="auto" w:fill="auto"/>
            <w:vAlign w:val="center"/>
          </w:tcPr>
          <w:p w:rsidR="00E76973" w:rsidRPr="00DB1152" w:rsidP="00E76973" w14:paraId="75817592"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244" w:type="dxa"/>
            <w:tcBorders>
              <w:top w:val="single" w:sz="8" w:space="0" w:color="000000"/>
              <w:bottom w:val="single" w:sz="8" w:space="0" w:color="000000"/>
            </w:tcBorders>
            <w:shd w:val="clear" w:color="auto" w:fill="auto"/>
            <w:vAlign w:val="center"/>
          </w:tcPr>
          <w:p w:rsidR="00E76973" w:rsidRPr="00DB1152" w:rsidP="00E76973" w14:paraId="02886B89"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244" w:type="dxa"/>
            <w:tcBorders>
              <w:top w:val="single" w:sz="8" w:space="0" w:color="000000"/>
              <w:bottom w:val="single" w:sz="8" w:space="0" w:color="000000"/>
            </w:tcBorders>
            <w:shd w:val="clear" w:color="auto" w:fill="auto"/>
            <w:vAlign w:val="center"/>
          </w:tcPr>
          <w:p w:rsidR="00E76973" w:rsidRPr="00DB1152" w:rsidP="00E76973" w14:paraId="4692263C"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260" w:type="dxa"/>
            <w:tcBorders>
              <w:top w:val="single" w:sz="8" w:space="0" w:color="000000"/>
              <w:bottom w:val="single" w:sz="8" w:space="0" w:color="000000"/>
            </w:tcBorders>
            <w:shd w:val="clear" w:color="auto" w:fill="auto"/>
            <w:vAlign w:val="center"/>
          </w:tcPr>
          <w:p w:rsidR="00E76973" w:rsidRPr="00DB1152" w:rsidP="00E76973" w14:paraId="6FD19FDE" w14:textId="77777777">
            <w:pPr>
              <w:keepNext/>
              <w:spacing w:after="0" w:line="240" w:lineRule="auto"/>
              <w:ind w:right="217"/>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r>
      <w:tr w14:paraId="41A77A7C" w14:textId="77777777" w:rsidTr="00DB1152">
        <w:tblPrEx>
          <w:tblW w:w="9238" w:type="dxa"/>
          <w:tblInd w:w="-98" w:type="dxa"/>
          <w:tblLayout w:type="fixed"/>
          <w:tblCellMar>
            <w:left w:w="0" w:type="dxa"/>
            <w:right w:w="0" w:type="dxa"/>
          </w:tblCellMar>
          <w:tblLook w:val="01E0"/>
        </w:tblPrEx>
        <w:trPr>
          <w:trHeight w:val="535"/>
        </w:trPr>
        <w:tc>
          <w:tcPr>
            <w:tcW w:w="1710" w:type="dxa"/>
            <w:tcBorders>
              <w:top w:val="single" w:sz="8" w:space="0" w:color="000000"/>
              <w:bottom w:val="single" w:sz="8" w:space="0" w:color="000000"/>
              <w:right w:val="single" w:sz="8" w:space="0" w:color="000000"/>
            </w:tcBorders>
            <w:vAlign w:val="center"/>
          </w:tcPr>
          <w:p w:rsidR="00E76973" w:rsidRPr="00FA1399" w:rsidP="00E76973" w14:paraId="049A8F93" w14:textId="77777777">
            <w:pPr>
              <w:keepNext/>
              <w:spacing w:after="0" w:line="240" w:lineRule="auto"/>
              <w:ind w:left="130"/>
              <w:rPr>
                <w:rFonts w:ascii="Times New Roman" w:hAnsi="Times New Roman" w:cs="Times New Roman"/>
                <w:sz w:val="20"/>
                <w:szCs w:val="20"/>
              </w:rPr>
            </w:pPr>
            <w:r>
              <w:rPr>
                <w:rFonts w:ascii="Times New Roman" w:hAnsi="Times New Roman" w:cs="Times New Roman"/>
                <w:sz w:val="20"/>
                <w:szCs w:val="20"/>
              </w:rPr>
              <w:t>Stationary Source Siting</w:t>
            </w:r>
            <w:r w:rsidR="001E4984">
              <w:rPr>
                <w:rFonts w:ascii="Times New Roman" w:hAnsi="Times New Roman" w:cs="Times New Roman"/>
                <w:sz w:val="20"/>
                <w:szCs w:val="20"/>
              </w:rPr>
              <w:t>**</w:t>
            </w:r>
          </w:p>
        </w:tc>
        <w:tc>
          <w:tcPr>
            <w:tcW w:w="1276" w:type="dxa"/>
            <w:tcBorders>
              <w:top w:val="single" w:sz="8" w:space="0" w:color="000000"/>
              <w:left w:val="single" w:sz="8" w:space="0" w:color="000000"/>
              <w:bottom w:val="single" w:sz="8" w:space="0" w:color="000000"/>
            </w:tcBorders>
            <w:shd w:val="clear" w:color="auto" w:fill="auto"/>
            <w:vAlign w:val="center"/>
          </w:tcPr>
          <w:p w:rsidR="00E76973" w:rsidRPr="00DB1152" w:rsidP="00E76973" w14:paraId="3882AC9B"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154" w:type="dxa"/>
            <w:tcBorders>
              <w:top w:val="single" w:sz="8" w:space="0" w:color="000000"/>
              <w:bottom w:val="single" w:sz="8" w:space="0" w:color="000000"/>
            </w:tcBorders>
            <w:shd w:val="clear" w:color="auto" w:fill="auto"/>
            <w:vAlign w:val="center"/>
          </w:tcPr>
          <w:p w:rsidR="00E76973" w:rsidRPr="00DB1152" w:rsidP="00E76973" w14:paraId="0824849D" w14:textId="77777777">
            <w:pPr>
              <w:keepNext/>
              <w:spacing w:after="0" w:line="240" w:lineRule="auto"/>
              <w:ind w:right="82"/>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350" w:type="dxa"/>
            <w:tcBorders>
              <w:top w:val="single" w:sz="8" w:space="0" w:color="000000"/>
              <w:bottom w:val="single" w:sz="8" w:space="0" w:color="000000"/>
            </w:tcBorders>
            <w:shd w:val="clear" w:color="auto" w:fill="auto"/>
            <w:vAlign w:val="center"/>
          </w:tcPr>
          <w:p w:rsidR="00E76973" w:rsidRPr="00DB1152" w:rsidP="00E76973" w14:paraId="7C002764"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244" w:type="dxa"/>
            <w:tcBorders>
              <w:top w:val="single" w:sz="8" w:space="0" w:color="000000"/>
              <w:bottom w:val="single" w:sz="8" w:space="0" w:color="000000"/>
            </w:tcBorders>
            <w:shd w:val="clear" w:color="auto" w:fill="auto"/>
            <w:vAlign w:val="center"/>
          </w:tcPr>
          <w:p w:rsidR="00E76973" w:rsidRPr="00DB1152" w:rsidP="00E76973" w14:paraId="2CF4158D"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244" w:type="dxa"/>
            <w:tcBorders>
              <w:top w:val="single" w:sz="8" w:space="0" w:color="000000"/>
              <w:bottom w:val="single" w:sz="8" w:space="0" w:color="000000"/>
            </w:tcBorders>
            <w:shd w:val="clear" w:color="auto" w:fill="auto"/>
            <w:vAlign w:val="center"/>
          </w:tcPr>
          <w:p w:rsidR="00E76973" w:rsidRPr="00DB1152" w:rsidP="00E76973" w14:paraId="2AEB7D31"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260" w:type="dxa"/>
            <w:tcBorders>
              <w:top w:val="single" w:sz="8" w:space="0" w:color="000000"/>
              <w:bottom w:val="single" w:sz="8" w:space="0" w:color="000000"/>
            </w:tcBorders>
            <w:shd w:val="clear" w:color="auto" w:fill="auto"/>
            <w:vAlign w:val="center"/>
          </w:tcPr>
          <w:p w:rsidR="00E76973" w:rsidRPr="00DB1152" w:rsidP="00E76973" w14:paraId="272E98C5" w14:textId="77777777">
            <w:pPr>
              <w:keepNext/>
              <w:spacing w:after="0" w:line="240" w:lineRule="auto"/>
              <w:ind w:right="217"/>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r>
      <w:tr w14:paraId="1F463EDF" w14:textId="77777777" w:rsidTr="00DB1152">
        <w:tblPrEx>
          <w:tblW w:w="9238" w:type="dxa"/>
          <w:tblInd w:w="-98" w:type="dxa"/>
          <w:tblLayout w:type="fixed"/>
          <w:tblCellMar>
            <w:left w:w="0" w:type="dxa"/>
            <w:right w:w="0" w:type="dxa"/>
          </w:tblCellMar>
          <w:tblLook w:val="01E0"/>
        </w:tblPrEx>
        <w:trPr>
          <w:trHeight w:val="535"/>
        </w:trPr>
        <w:tc>
          <w:tcPr>
            <w:tcW w:w="1710" w:type="dxa"/>
            <w:tcBorders>
              <w:top w:val="single" w:sz="8" w:space="0" w:color="000000"/>
              <w:bottom w:val="single" w:sz="8" w:space="0" w:color="000000"/>
              <w:right w:val="single" w:sz="8" w:space="0" w:color="000000"/>
            </w:tcBorders>
            <w:vAlign w:val="center"/>
          </w:tcPr>
          <w:p w:rsidR="00E76973" w:rsidRPr="00FA1399" w:rsidP="00E76973" w14:paraId="5112B45F" w14:textId="77777777">
            <w:pPr>
              <w:keepNext/>
              <w:spacing w:after="0" w:line="240" w:lineRule="auto"/>
              <w:ind w:left="130"/>
              <w:rPr>
                <w:rFonts w:ascii="Times New Roman" w:hAnsi="Times New Roman" w:cs="Times New Roman"/>
                <w:sz w:val="20"/>
                <w:szCs w:val="20"/>
              </w:rPr>
            </w:pPr>
            <w:r>
              <w:rPr>
                <w:rFonts w:ascii="Times New Roman" w:hAnsi="Times New Roman" w:cs="Times New Roman"/>
                <w:sz w:val="20"/>
                <w:szCs w:val="20"/>
              </w:rPr>
              <w:t>RAGAGEP</w:t>
            </w:r>
            <w:r w:rsidR="001E4984">
              <w:rPr>
                <w:rFonts w:ascii="Times New Roman" w:hAnsi="Times New Roman" w:cs="Times New Roman"/>
                <w:sz w:val="20"/>
                <w:szCs w:val="20"/>
              </w:rPr>
              <w:t>**</w:t>
            </w:r>
          </w:p>
        </w:tc>
        <w:tc>
          <w:tcPr>
            <w:tcW w:w="1276" w:type="dxa"/>
            <w:tcBorders>
              <w:top w:val="single" w:sz="8" w:space="0" w:color="000000"/>
              <w:left w:val="single" w:sz="8" w:space="0" w:color="000000"/>
              <w:bottom w:val="single" w:sz="8" w:space="0" w:color="000000"/>
            </w:tcBorders>
            <w:shd w:val="clear" w:color="auto" w:fill="auto"/>
            <w:vAlign w:val="center"/>
          </w:tcPr>
          <w:p w:rsidR="00E76973" w:rsidRPr="00DB1152" w:rsidP="00E76973" w14:paraId="559E8BBC"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154" w:type="dxa"/>
            <w:tcBorders>
              <w:top w:val="single" w:sz="8" w:space="0" w:color="000000"/>
              <w:bottom w:val="single" w:sz="8" w:space="0" w:color="000000"/>
            </w:tcBorders>
            <w:shd w:val="clear" w:color="auto" w:fill="auto"/>
            <w:vAlign w:val="center"/>
          </w:tcPr>
          <w:p w:rsidR="00E76973" w:rsidRPr="00DB1152" w:rsidP="00E76973" w14:paraId="3E63825D" w14:textId="77777777">
            <w:pPr>
              <w:keepNext/>
              <w:spacing w:after="0" w:line="240" w:lineRule="auto"/>
              <w:ind w:right="82"/>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350" w:type="dxa"/>
            <w:tcBorders>
              <w:top w:val="single" w:sz="8" w:space="0" w:color="000000"/>
              <w:bottom w:val="single" w:sz="8" w:space="0" w:color="000000"/>
            </w:tcBorders>
            <w:shd w:val="clear" w:color="auto" w:fill="auto"/>
            <w:vAlign w:val="center"/>
          </w:tcPr>
          <w:p w:rsidR="00E76973" w:rsidRPr="00DB1152" w:rsidP="00E76973" w14:paraId="0A8D062D" w14:textId="77777777">
            <w:pPr>
              <w:keepNext/>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244" w:type="dxa"/>
            <w:tcBorders>
              <w:top w:val="single" w:sz="8" w:space="0" w:color="000000"/>
              <w:bottom w:val="single" w:sz="8" w:space="0" w:color="000000"/>
            </w:tcBorders>
            <w:shd w:val="clear" w:color="auto" w:fill="auto"/>
            <w:vAlign w:val="center"/>
          </w:tcPr>
          <w:p w:rsidR="00E76973" w:rsidRPr="00DB1152" w:rsidP="00E76973" w14:paraId="5F329E66"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244" w:type="dxa"/>
            <w:tcBorders>
              <w:top w:val="single" w:sz="8" w:space="0" w:color="000000"/>
              <w:bottom w:val="single" w:sz="8" w:space="0" w:color="000000"/>
            </w:tcBorders>
            <w:shd w:val="clear" w:color="auto" w:fill="auto"/>
            <w:vAlign w:val="center"/>
          </w:tcPr>
          <w:p w:rsidR="00E76973" w:rsidRPr="00DB1152" w:rsidP="00E76973" w14:paraId="33F395C8" w14:textId="77777777">
            <w:pPr>
              <w:keepNext/>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c>
          <w:tcPr>
            <w:tcW w:w="1260" w:type="dxa"/>
            <w:tcBorders>
              <w:top w:val="single" w:sz="8" w:space="0" w:color="000000"/>
              <w:bottom w:val="single" w:sz="8" w:space="0" w:color="000000"/>
            </w:tcBorders>
            <w:shd w:val="clear" w:color="auto" w:fill="auto"/>
            <w:vAlign w:val="center"/>
          </w:tcPr>
          <w:p w:rsidR="00E76973" w:rsidRPr="00DB1152" w:rsidP="00E76973" w14:paraId="22C5F49F" w14:textId="77777777">
            <w:pPr>
              <w:keepNext/>
              <w:spacing w:after="0" w:line="240" w:lineRule="auto"/>
              <w:ind w:right="217"/>
              <w:jc w:val="center"/>
              <w:rPr>
                <w:rFonts w:ascii="Times New Roman" w:hAnsi="Times New Roman" w:cs="Times New Roman"/>
                <w:sz w:val="20"/>
                <w:szCs w:val="20"/>
              </w:rPr>
            </w:pPr>
            <w:r w:rsidRPr="00DB1152">
              <w:rPr>
                <w:rFonts w:ascii="Times New Roman" w:hAnsi="Times New Roman" w:cs="Times New Roman"/>
                <w:sz w:val="20"/>
                <w:szCs w:val="20"/>
              </w:rPr>
              <w:t>$0.</w:t>
            </w:r>
            <w:r>
              <w:rPr>
                <w:rFonts w:ascii="Times New Roman" w:hAnsi="Times New Roman" w:cs="Times New Roman"/>
                <w:sz w:val="20"/>
                <w:szCs w:val="20"/>
              </w:rPr>
              <w:t>0</w:t>
            </w:r>
          </w:p>
        </w:tc>
      </w:tr>
      <w:tr w14:paraId="2B0E7F00" w14:textId="77777777" w:rsidTr="00DB1152">
        <w:tblPrEx>
          <w:tblW w:w="9238" w:type="dxa"/>
          <w:tblInd w:w="-98" w:type="dxa"/>
          <w:tblLayout w:type="fixed"/>
          <w:tblCellMar>
            <w:left w:w="0" w:type="dxa"/>
            <w:right w:w="0" w:type="dxa"/>
          </w:tblCellMar>
          <w:tblLook w:val="01E0"/>
        </w:tblPrEx>
        <w:trPr>
          <w:trHeight w:val="535"/>
        </w:trPr>
        <w:tc>
          <w:tcPr>
            <w:tcW w:w="1710" w:type="dxa"/>
            <w:tcBorders>
              <w:top w:val="single" w:sz="8" w:space="0" w:color="000000"/>
              <w:right w:val="single" w:sz="8" w:space="0" w:color="000000"/>
            </w:tcBorders>
            <w:vAlign w:val="center"/>
          </w:tcPr>
          <w:p w:rsidR="00D243A1" w:rsidRPr="00DB1152" w:rsidP="00D243A1" w14:paraId="64E6B2F2" w14:textId="77777777">
            <w:pPr>
              <w:spacing w:after="0" w:line="240" w:lineRule="auto"/>
              <w:ind w:left="130"/>
              <w:rPr>
                <w:rFonts w:ascii="Times New Roman" w:hAnsi="Times New Roman" w:cs="Times New Roman"/>
                <w:sz w:val="20"/>
                <w:szCs w:val="20"/>
              </w:rPr>
            </w:pPr>
            <w:r w:rsidRPr="00DB1152">
              <w:rPr>
                <w:rFonts w:ascii="Times New Roman" w:hAnsi="Times New Roman" w:cs="Times New Roman"/>
                <w:sz w:val="20"/>
                <w:szCs w:val="20"/>
              </w:rPr>
              <w:t>Community Notification</w:t>
            </w:r>
          </w:p>
        </w:tc>
        <w:tc>
          <w:tcPr>
            <w:tcW w:w="1276" w:type="dxa"/>
            <w:tcBorders>
              <w:top w:val="single" w:sz="8" w:space="0" w:color="000000"/>
              <w:left w:val="single" w:sz="8" w:space="0" w:color="000000"/>
            </w:tcBorders>
            <w:shd w:val="clear" w:color="auto" w:fill="auto"/>
            <w:vAlign w:val="center"/>
          </w:tcPr>
          <w:p w:rsidR="00D243A1" w:rsidRPr="00DB1152" w:rsidP="00D243A1" w14:paraId="016BE820" w14:textId="77777777">
            <w:pPr>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373C69">
              <w:rPr>
                <w:rFonts w:ascii="Times New Roman" w:hAnsi="Times New Roman" w:cs="Times New Roman"/>
                <w:sz w:val="20"/>
                <w:szCs w:val="20"/>
              </w:rPr>
              <w:t>4.0</w:t>
            </w:r>
          </w:p>
        </w:tc>
        <w:tc>
          <w:tcPr>
            <w:tcW w:w="1154" w:type="dxa"/>
            <w:tcBorders>
              <w:top w:val="single" w:sz="8" w:space="0" w:color="000000"/>
            </w:tcBorders>
            <w:shd w:val="clear" w:color="auto" w:fill="auto"/>
            <w:vAlign w:val="center"/>
          </w:tcPr>
          <w:p w:rsidR="00D243A1" w:rsidRPr="00DB1152" w:rsidP="00D243A1" w14:paraId="23B4D0EB" w14:textId="77777777">
            <w:pPr>
              <w:spacing w:after="0" w:line="240" w:lineRule="auto"/>
              <w:ind w:right="82"/>
              <w:jc w:val="center"/>
              <w:rPr>
                <w:rFonts w:ascii="Times New Roman" w:hAnsi="Times New Roman" w:cs="Times New Roman"/>
                <w:sz w:val="20"/>
                <w:szCs w:val="20"/>
              </w:rPr>
            </w:pPr>
            <w:r w:rsidRPr="00DB1152">
              <w:rPr>
                <w:rFonts w:ascii="Times New Roman" w:hAnsi="Times New Roman" w:cs="Times New Roman"/>
                <w:sz w:val="20"/>
                <w:szCs w:val="20"/>
              </w:rPr>
              <w:t>$</w:t>
            </w:r>
            <w:r w:rsidR="00373C69">
              <w:rPr>
                <w:rFonts w:ascii="Times New Roman" w:hAnsi="Times New Roman" w:cs="Times New Roman"/>
                <w:sz w:val="20"/>
                <w:szCs w:val="20"/>
              </w:rPr>
              <w:t>4.0</w:t>
            </w:r>
          </w:p>
        </w:tc>
        <w:tc>
          <w:tcPr>
            <w:tcW w:w="1350" w:type="dxa"/>
            <w:tcBorders>
              <w:top w:val="single" w:sz="8" w:space="0" w:color="000000"/>
            </w:tcBorders>
            <w:shd w:val="clear" w:color="auto" w:fill="auto"/>
            <w:vAlign w:val="center"/>
          </w:tcPr>
          <w:p w:rsidR="00D243A1" w:rsidRPr="00DB1152" w:rsidP="00D243A1" w14:paraId="6ABF912D" w14:textId="77777777">
            <w:pPr>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w:t>
            </w:r>
            <w:r w:rsidR="00373C69">
              <w:rPr>
                <w:rFonts w:ascii="Times New Roman" w:hAnsi="Times New Roman" w:cs="Times New Roman"/>
                <w:sz w:val="20"/>
                <w:szCs w:val="20"/>
              </w:rPr>
              <w:t>4.0</w:t>
            </w:r>
          </w:p>
        </w:tc>
        <w:tc>
          <w:tcPr>
            <w:tcW w:w="1244" w:type="dxa"/>
            <w:tcBorders>
              <w:top w:val="single" w:sz="8" w:space="0" w:color="000000"/>
            </w:tcBorders>
            <w:shd w:val="clear" w:color="auto" w:fill="auto"/>
            <w:vAlign w:val="center"/>
          </w:tcPr>
          <w:p w:rsidR="00D243A1" w:rsidRPr="00DB1152" w:rsidP="00D243A1" w14:paraId="52314D77" w14:textId="77777777">
            <w:pPr>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B80D35">
              <w:rPr>
                <w:rFonts w:ascii="Times New Roman" w:hAnsi="Times New Roman" w:cs="Times New Roman"/>
                <w:sz w:val="20"/>
                <w:szCs w:val="20"/>
              </w:rPr>
              <w:t>4.0</w:t>
            </w:r>
          </w:p>
        </w:tc>
        <w:tc>
          <w:tcPr>
            <w:tcW w:w="1244" w:type="dxa"/>
            <w:tcBorders>
              <w:top w:val="single" w:sz="8" w:space="0" w:color="000000"/>
            </w:tcBorders>
            <w:shd w:val="clear" w:color="auto" w:fill="auto"/>
            <w:vAlign w:val="center"/>
          </w:tcPr>
          <w:p w:rsidR="00D243A1" w:rsidRPr="00DB1152" w:rsidP="00D243A1" w14:paraId="4875B5C8" w14:textId="77777777">
            <w:pPr>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B80D35">
              <w:rPr>
                <w:rFonts w:ascii="Times New Roman" w:hAnsi="Times New Roman" w:cs="Times New Roman"/>
                <w:sz w:val="20"/>
                <w:szCs w:val="20"/>
              </w:rPr>
              <w:t>4.0</w:t>
            </w:r>
          </w:p>
        </w:tc>
        <w:tc>
          <w:tcPr>
            <w:tcW w:w="1260" w:type="dxa"/>
            <w:tcBorders>
              <w:top w:val="single" w:sz="8" w:space="0" w:color="000000"/>
            </w:tcBorders>
            <w:shd w:val="clear" w:color="auto" w:fill="auto"/>
            <w:vAlign w:val="center"/>
          </w:tcPr>
          <w:p w:rsidR="00D243A1" w:rsidRPr="00DB1152" w:rsidP="00D243A1" w14:paraId="66CB948B" w14:textId="77777777">
            <w:pPr>
              <w:spacing w:after="0" w:line="240" w:lineRule="auto"/>
              <w:ind w:right="217"/>
              <w:jc w:val="center"/>
              <w:rPr>
                <w:rFonts w:ascii="Times New Roman" w:hAnsi="Times New Roman" w:cs="Times New Roman"/>
                <w:sz w:val="20"/>
                <w:szCs w:val="20"/>
              </w:rPr>
            </w:pPr>
            <w:r w:rsidRPr="00DB1152">
              <w:rPr>
                <w:rFonts w:ascii="Times New Roman" w:hAnsi="Times New Roman" w:cs="Times New Roman"/>
                <w:sz w:val="20"/>
                <w:szCs w:val="20"/>
              </w:rPr>
              <w:t>$</w:t>
            </w:r>
            <w:r w:rsidR="00B80D35">
              <w:rPr>
                <w:rFonts w:ascii="Times New Roman" w:hAnsi="Times New Roman" w:cs="Times New Roman"/>
                <w:sz w:val="20"/>
                <w:szCs w:val="20"/>
              </w:rPr>
              <w:t>4.0</w:t>
            </w:r>
          </w:p>
        </w:tc>
      </w:tr>
      <w:tr w14:paraId="60195A3B" w14:textId="77777777" w:rsidTr="00DB1152">
        <w:tblPrEx>
          <w:tblW w:w="9238" w:type="dxa"/>
          <w:tblInd w:w="-98" w:type="dxa"/>
          <w:tblLayout w:type="fixed"/>
          <w:tblCellMar>
            <w:left w:w="0" w:type="dxa"/>
            <w:right w:w="0" w:type="dxa"/>
          </w:tblCellMar>
          <w:tblLook w:val="01E0"/>
        </w:tblPrEx>
        <w:trPr>
          <w:trHeight w:val="535"/>
        </w:trPr>
        <w:tc>
          <w:tcPr>
            <w:tcW w:w="1710" w:type="dxa"/>
            <w:tcBorders>
              <w:right w:val="single" w:sz="8" w:space="0" w:color="000000"/>
            </w:tcBorders>
            <w:vAlign w:val="center"/>
          </w:tcPr>
          <w:p w:rsidR="00D243A1" w:rsidRPr="00DB1152" w:rsidP="00D243A1" w14:paraId="662AE90E" w14:textId="77777777">
            <w:pPr>
              <w:spacing w:after="0" w:line="240" w:lineRule="auto"/>
              <w:ind w:left="130"/>
              <w:rPr>
                <w:rFonts w:ascii="Times New Roman" w:hAnsi="Times New Roman" w:cs="Times New Roman"/>
                <w:sz w:val="20"/>
                <w:szCs w:val="20"/>
              </w:rPr>
            </w:pPr>
            <w:r w:rsidRPr="00DB1152">
              <w:rPr>
                <w:rFonts w:ascii="Times New Roman" w:hAnsi="Times New Roman" w:cs="Times New Roman"/>
                <w:sz w:val="20"/>
                <w:szCs w:val="20"/>
              </w:rPr>
              <w:t>Information Availability</w:t>
            </w:r>
          </w:p>
        </w:tc>
        <w:tc>
          <w:tcPr>
            <w:tcW w:w="1276" w:type="dxa"/>
            <w:tcBorders>
              <w:left w:val="single" w:sz="8" w:space="0" w:color="000000"/>
            </w:tcBorders>
            <w:shd w:val="clear" w:color="auto" w:fill="auto"/>
            <w:vAlign w:val="center"/>
          </w:tcPr>
          <w:p w:rsidR="00D243A1" w:rsidRPr="00DB1152" w:rsidP="00D243A1" w14:paraId="173BB7EC" w14:textId="77777777">
            <w:pPr>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5A34F4">
              <w:rPr>
                <w:rFonts w:ascii="Times New Roman" w:hAnsi="Times New Roman" w:cs="Times New Roman"/>
                <w:sz w:val="20"/>
                <w:szCs w:val="20"/>
              </w:rPr>
              <w:t>12.8</w:t>
            </w:r>
          </w:p>
        </w:tc>
        <w:tc>
          <w:tcPr>
            <w:tcW w:w="1154" w:type="dxa"/>
            <w:shd w:val="clear" w:color="auto" w:fill="auto"/>
            <w:vAlign w:val="center"/>
          </w:tcPr>
          <w:p w:rsidR="00D243A1" w:rsidRPr="00DB1152" w:rsidP="00D243A1" w14:paraId="690B998C" w14:textId="77777777">
            <w:pPr>
              <w:spacing w:after="0" w:line="240" w:lineRule="auto"/>
              <w:ind w:right="67"/>
              <w:jc w:val="center"/>
              <w:rPr>
                <w:rFonts w:ascii="Times New Roman" w:hAnsi="Times New Roman" w:cs="Times New Roman"/>
                <w:sz w:val="20"/>
                <w:szCs w:val="20"/>
              </w:rPr>
            </w:pPr>
            <w:r w:rsidRPr="00DB1152">
              <w:rPr>
                <w:rFonts w:ascii="Times New Roman" w:hAnsi="Times New Roman" w:cs="Times New Roman"/>
                <w:sz w:val="20"/>
                <w:szCs w:val="20"/>
              </w:rPr>
              <w:t>$</w:t>
            </w:r>
            <w:r w:rsidR="005A34F4">
              <w:rPr>
                <w:rFonts w:ascii="Times New Roman" w:hAnsi="Times New Roman" w:cs="Times New Roman"/>
                <w:sz w:val="20"/>
                <w:szCs w:val="20"/>
              </w:rPr>
              <w:t>12.8</w:t>
            </w:r>
          </w:p>
        </w:tc>
        <w:tc>
          <w:tcPr>
            <w:tcW w:w="1350" w:type="dxa"/>
            <w:shd w:val="clear" w:color="auto" w:fill="auto"/>
            <w:vAlign w:val="center"/>
          </w:tcPr>
          <w:p w:rsidR="00D243A1" w:rsidRPr="00DB1152" w:rsidP="00D243A1" w14:paraId="7D0E6E44" w14:textId="77777777">
            <w:pPr>
              <w:spacing w:after="0" w:line="240" w:lineRule="auto"/>
              <w:ind w:right="58"/>
              <w:jc w:val="center"/>
              <w:rPr>
                <w:rFonts w:ascii="Times New Roman" w:hAnsi="Times New Roman" w:cs="Times New Roman"/>
                <w:sz w:val="20"/>
                <w:szCs w:val="20"/>
              </w:rPr>
            </w:pPr>
            <w:r w:rsidRPr="00DB1152">
              <w:rPr>
                <w:rFonts w:ascii="Times New Roman" w:hAnsi="Times New Roman" w:cs="Times New Roman"/>
                <w:sz w:val="20"/>
                <w:szCs w:val="20"/>
              </w:rPr>
              <w:t>$</w:t>
            </w:r>
            <w:r w:rsidR="005A34F4">
              <w:rPr>
                <w:rFonts w:ascii="Times New Roman" w:hAnsi="Times New Roman" w:cs="Times New Roman"/>
                <w:sz w:val="20"/>
                <w:szCs w:val="20"/>
              </w:rPr>
              <w:t>12.8</w:t>
            </w:r>
          </w:p>
        </w:tc>
        <w:tc>
          <w:tcPr>
            <w:tcW w:w="1244" w:type="dxa"/>
            <w:shd w:val="clear" w:color="auto" w:fill="auto"/>
            <w:vAlign w:val="center"/>
          </w:tcPr>
          <w:p w:rsidR="00D243A1" w:rsidRPr="00DB1152" w:rsidP="00D243A1" w14:paraId="2DA921D0" w14:textId="77777777">
            <w:pPr>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5A34F4">
              <w:rPr>
                <w:rFonts w:ascii="Times New Roman" w:hAnsi="Times New Roman" w:cs="Times New Roman"/>
                <w:sz w:val="20"/>
                <w:szCs w:val="20"/>
              </w:rPr>
              <w:t>12.8</w:t>
            </w:r>
          </w:p>
        </w:tc>
        <w:tc>
          <w:tcPr>
            <w:tcW w:w="1244" w:type="dxa"/>
            <w:shd w:val="clear" w:color="auto" w:fill="auto"/>
            <w:vAlign w:val="center"/>
          </w:tcPr>
          <w:p w:rsidR="00D243A1" w:rsidRPr="00DB1152" w:rsidP="00D243A1" w14:paraId="4C82ECD2" w14:textId="77777777">
            <w:pPr>
              <w:spacing w:after="0" w:line="240" w:lineRule="auto"/>
              <w:jc w:val="center"/>
              <w:rPr>
                <w:rFonts w:ascii="Times New Roman" w:hAnsi="Times New Roman" w:cs="Times New Roman"/>
                <w:sz w:val="20"/>
                <w:szCs w:val="20"/>
              </w:rPr>
            </w:pPr>
            <w:r w:rsidRPr="00DB1152">
              <w:rPr>
                <w:rFonts w:ascii="Times New Roman" w:hAnsi="Times New Roman" w:cs="Times New Roman"/>
                <w:sz w:val="20"/>
                <w:szCs w:val="20"/>
              </w:rPr>
              <w:t>$</w:t>
            </w:r>
            <w:r w:rsidR="005A34F4">
              <w:rPr>
                <w:rFonts w:ascii="Times New Roman" w:hAnsi="Times New Roman" w:cs="Times New Roman"/>
                <w:sz w:val="20"/>
                <w:szCs w:val="20"/>
              </w:rPr>
              <w:t>12.8</w:t>
            </w:r>
          </w:p>
        </w:tc>
        <w:tc>
          <w:tcPr>
            <w:tcW w:w="1260" w:type="dxa"/>
            <w:shd w:val="clear" w:color="auto" w:fill="auto"/>
            <w:vAlign w:val="center"/>
          </w:tcPr>
          <w:p w:rsidR="00D243A1" w:rsidRPr="00DB1152" w:rsidP="00D243A1" w14:paraId="55C42056" w14:textId="77777777">
            <w:pPr>
              <w:spacing w:after="0" w:line="240" w:lineRule="auto"/>
              <w:ind w:right="202"/>
              <w:jc w:val="center"/>
              <w:rPr>
                <w:rFonts w:ascii="Times New Roman" w:hAnsi="Times New Roman" w:cs="Times New Roman"/>
                <w:sz w:val="20"/>
                <w:szCs w:val="20"/>
              </w:rPr>
            </w:pPr>
            <w:r w:rsidRPr="00DB1152">
              <w:rPr>
                <w:rFonts w:ascii="Times New Roman" w:hAnsi="Times New Roman" w:cs="Times New Roman"/>
                <w:sz w:val="20"/>
                <w:szCs w:val="20"/>
              </w:rPr>
              <w:t>$</w:t>
            </w:r>
            <w:r w:rsidR="005A34F4">
              <w:rPr>
                <w:rFonts w:ascii="Times New Roman" w:hAnsi="Times New Roman" w:cs="Times New Roman"/>
                <w:sz w:val="20"/>
                <w:szCs w:val="20"/>
              </w:rPr>
              <w:t>12.8</w:t>
            </w:r>
          </w:p>
        </w:tc>
      </w:tr>
      <w:tr w14:paraId="74ED433A" w14:textId="77777777" w:rsidTr="00DB1152">
        <w:tblPrEx>
          <w:tblW w:w="9238" w:type="dxa"/>
          <w:tblInd w:w="-98" w:type="dxa"/>
          <w:tblLayout w:type="fixed"/>
          <w:tblCellMar>
            <w:left w:w="0" w:type="dxa"/>
            <w:right w:w="0" w:type="dxa"/>
          </w:tblCellMar>
          <w:tblLook w:val="01E0"/>
        </w:tblPrEx>
        <w:trPr>
          <w:trHeight w:val="277"/>
        </w:trPr>
        <w:tc>
          <w:tcPr>
            <w:tcW w:w="1710" w:type="dxa"/>
            <w:tcBorders>
              <w:bottom w:val="single" w:sz="8" w:space="0" w:color="000000"/>
              <w:right w:val="single" w:sz="8" w:space="0" w:color="000000"/>
            </w:tcBorders>
            <w:vAlign w:val="center"/>
          </w:tcPr>
          <w:p w:rsidR="00366BA0" w:rsidRPr="00DB1152" w:rsidP="00366BA0" w14:paraId="47A78537" w14:textId="77777777">
            <w:pPr>
              <w:spacing w:after="0" w:line="240" w:lineRule="auto"/>
              <w:ind w:left="76"/>
              <w:jc w:val="center"/>
              <w:rPr>
                <w:rFonts w:ascii="Times New Roman" w:hAnsi="Times New Roman" w:cs="Times New Roman"/>
                <w:b/>
                <w:sz w:val="20"/>
                <w:szCs w:val="20"/>
              </w:rPr>
            </w:pPr>
            <w:r w:rsidRPr="00DB1152">
              <w:rPr>
                <w:rFonts w:ascii="Times New Roman" w:hAnsi="Times New Roman" w:cs="Times New Roman"/>
                <w:b/>
                <w:sz w:val="20"/>
                <w:szCs w:val="20"/>
              </w:rPr>
              <w:t>Total Cost</w:t>
            </w:r>
            <w:r w:rsidRPr="00DB1152">
              <w:rPr>
                <w:rFonts w:ascii="Times New Roman" w:hAnsi="Times New Roman" w:cs="Times New Roman"/>
                <w:b/>
                <w:position w:val="6"/>
                <w:sz w:val="20"/>
                <w:szCs w:val="20"/>
              </w:rPr>
              <w:t>*</w:t>
            </w:r>
          </w:p>
        </w:tc>
        <w:tc>
          <w:tcPr>
            <w:tcW w:w="1276" w:type="dxa"/>
            <w:tcBorders>
              <w:left w:val="single" w:sz="8" w:space="0" w:color="000000"/>
              <w:bottom w:val="single" w:sz="8" w:space="0" w:color="000000"/>
            </w:tcBorders>
            <w:vAlign w:val="center"/>
          </w:tcPr>
          <w:p w:rsidR="00366BA0" w:rsidRPr="00DB1152" w:rsidP="00366BA0" w14:paraId="00AE6B85" w14:textId="318CB0AC">
            <w:pPr>
              <w:spacing w:after="0" w:line="240" w:lineRule="auto"/>
              <w:jc w:val="center"/>
              <w:rPr>
                <w:rFonts w:ascii="Times New Roman" w:hAnsi="Times New Roman" w:cs="Times New Roman"/>
                <w:b/>
                <w:sz w:val="20"/>
                <w:szCs w:val="20"/>
              </w:rPr>
            </w:pPr>
            <w:r w:rsidRPr="00DB1152">
              <w:rPr>
                <w:rFonts w:ascii="Times New Roman" w:hAnsi="Times New Roman" w:cs="Times New Roman"/>
                <w:b/>
                <w:color w:val="000000"/>
                <w:sz w:val="20"/>
                <w:szCs w:val="20"/>
              </w:rPr>
              <w:t>$</w:t>
            </w:r>
            <w:r>
              <w:rPr>
                <w:rFonts w:ascii="Times New Roman" w:hAnsi="Times New Roman" w:cs="Times New Roman"/>
                <w:b/>
                <w:color w:val="000000"/>
                <w:sz w:val="20"/>
                <w:szCs w:val="20"/>
              </w:rPr>
              <w:t>48.4</w:t>
            </w:r>
          </w:p>
        </w:tc>
        <w:tc>
          <w:tcPr>
            <w:tcW w:w="1154" w:type="dxa"/>
            <w:tcBorders>
              <w:bottom w:val="single" w:sz="8" w:space="0" w:color="000000"/>
            </w:tcBorders>
            <w:vAlign w:val="center"/>
          </w:tcPr>
          <w:p w:rsidR="00366BA0" w:rsidRPr="00DB1152" w:rsidP="00366BA0" w14:paraId="3E5F8D4E" w14:textId="7D627C77">
            <w:pPr>
              <w:spacing w:after="0" w:line="240" w:lineRule="auto"/>
              <w:ind w:right="67"/>
              <w:jc w:val="center"/>
              <w:rPr>
                <w:rFonts w:ascii="Times New Roman" w:hAnsi="Times New Roman" w:cs="Times New Roman"/>
                <w:b/>
                <w:sz w:val="20"/>
                <w:szCs w:val="20"/>
              </w:rPr>
            </w:pPr>
            <w:r>
              <w:rPr>
                <w:rFonts w:ascii="Times New Roman" w:hAnsi="Times New Roman" w:cs="Times New Roman"/>
                <w:b/>
                <w:color w:val="000000"/>
                <w:sz w:val="20"/>
                <w:szCs w:val="20"/>
              </w:rPr>
              <w:t>$50.5</w:t>
            </w:r>
          </w:p>
        </w:tc>
        <w:tc>
          <w:tcPr>
            <w:tcW w:w="1350" w:type="dxa"/>
            <w:tcBorders>
              <w:bottom w:val="single" w:sz="8" w:space="0" w:color="000000"/>
            </w:tcBorders>
            <w:vAlign w:val="center"/>
          </w:tcPr>
          <w:p w:rsidR="00366BA0" w:rsidRPr="00DB1152" w:rsidP="00366BA0" w14:paraId="72BCC7D2" w14:textId="464DD418">
            <w:pPr>
              <w:spacing w:after="0" w:line="240" w:lineRule="auto"/>
              <w:ind w:right="58"/>
              <w:jc w:val="center"/>
              <w:rPr>
                <w:rFonts w:ascii="Times New Roman" w:hAnsi="Times New Roman" w:cs="Times New Roman"/>
                <w:b/>
                <w:sz w:val="20"/>
                <w:szCs w:val="20"/>
              </w:rPr>
            </w:pPr>
            <w:r w:rsidRPr="00DB1152">
              <w:rPr>
                <w:rFonts w:ascii="Times New Roman" w:hAnsi="Times New Roman" w:cs="Times New Roman"/>
                <w:b/>
                <w:color w:val="000000"/>
                <w:sz w:val="20"/>
                <w:szCs w:val="20"/>
              </w:rPr>
              <w:t>$</w:t>
            </w:r>
            <w:r>
              <w:rPr>
                <w:rFonts w:ascii="Times New Roman" w:hAnsi="Times New Roman" w:cs="Times New Roman"/>
                <w:b/>
                <w:color w:val="000000"/>
                <w:sz w:val="20"/>
                <w:szCs w:val="20"/>
              </w:rPr>
              <w:t>256.9</w:t>
            </w:r>
          </w:p>
        </w:tc>
        <w:tc>
          <w:tcPr>
            <w:tcW w:w="1244" w:type="dxa"/>
            <w:tcBorders>
              <w:bottom w:val="single" w:sz="8" w:space="0" w:color="000000"/>
            </w:tcBorders>
            <w:vAlign w:val="center"/>
          </w:tcPr>
          <w:p w:rsidR="00366BA0" w:rsidRPr="00DB1152" w:rsidP="00366BA0" w14:paraId="4F4AAA77" w14:textId="32CE8818">
            <w:pPr>
              <w:spacing w:after="0" w:line="240" w:lineRule="auto"/>
              <w:jc w:val="center"/>
              <w:rPr>
                <w:rFonts w:ascii="Times New Roman" w:hAnsi="Times New Roman" w:cs="Times New Roman"/>
                <w:b/>
                <w:sz w:val="20"/>
                <w:szCs w:val="20"/>
              </w:rPr>
            </w:pPr>
            <w:r w:rsidRPr="00DB1152">
              <w:rPr>
                <w:rFonts w:ascii="Times New Roman" w:hAnsi="Times New Roman" w:cs="Times New Roman"/>
                <w:b/>
                <w:color w:val="000000"/>
                <w:sz w:val="20"/>
                <w:szCs w:val="20"/>
              </w:rPr>
              <w:t>$</w:t>
            </w:r>
            <w:r>
              <w:rPr>
                <w:rFonts w:ascii="Times New Roman" w:hAnsi="Times New Roman" w:cs="Times New Roman"/>
                <w:b/>
                <w:color w:val="000000"/>
                <w:sz w:val="20"/>
                <w:szCs w:val="20"/>
              </w:rPr>
              <w:t>296.9</w:t>
            </w:r>
          </w:p>
        </w:tc>
        <w:tc>
          <w:tcPr>
            <w:tcW w:w="1244" w:type="dxa"/>
            <w:tcBorders>
              <w:bottom w:val="single" w:sz="8" w:space="0" w:color="000000"/>
            </w:tcBorders>
            <w:vAlign w:val="center"/>
          </w:tcPr>
          <w:p w:rsidR="00366BA0" w:rsidRPr="00DB1152" w:rsidP="00366BA0" w14:paraId="7E7A75B6" w14:textId="3847BF5C">
            <w:pPr>
              <w:spacing w:after="0" w:line="240" w:lineRule="auto"/>
              <w:jc w:val="center"/>
              <w:rPr>
                <w:rFonts w:ascii="Times New Roman" w:hAnsi="Times New Roman" w:cs="Times New Roman"/>
                <w:b/>
                <w:sz w:val="20"/>
                <w:szCs w:val="20"/>
              </w:rPr>
            </w:pPr>
            <w:r w:rsidRPr="00DB1152">
              <w:rPr>
                <w:rFonts w:ascii="Times New Roman" w:hAnsi="Times New Roman" w:cs="Times New Roman"/>
                <w:b/>
                <w:color w:val="000000"/>
                <w:sz w:val="20"/>
                <w:szCs w:val="20"/>
              </w:rPr>
              <w:t>$</w:t>
            </w:r>
            <w:r>
              <w:rPr>
                <w:rFonts w:ascii="Times New Roman" w:hAnsi="Times New Roman" w:cs="Times New Roman"/>
                <w:b/>
                <w:color w:val="000000"/>
                <w:sz w:val="20"/>
                <w:szCs w:val="20"/>
              </w:rPr>
              <w:t>567.2</w:t>
            </w:r>
          </w:p>
        </w:tc>
        <w:tc>
          <w:tcPr>
            <w:tcW w:w="1260" w:type="dxa"/>
            <w:tcBorders>
              <w:bottom w:val="single" w:sz="8" w:space="0" w:color="000000"/>
            </w:tcBorders>
            <w:vAlign w:val="center"/>
          </w:tcPr>
          <w:p w:rsidR="00366BA0" w:rsidRPr="00DB1152" w:rsidP="00366BA0" w14:paraId="3B02C931" w14:textId="33850091">
            <w:pPr>
              <w:spacing w:after="0" w:line="240" w:lineRule="auto"/>
              <w:ind w:right="201"/>
              <w:jc w:val="center"/>
              <w:rPr>
                <w:rFonts w:ascii="Times New Roman" w:hAnsi="Times New Roman" w:cs="Times New Roman"/>
                <w:b/>
                <w:sz w:val="20"/>
                <w:szCs w:val="20"/>
              </w:rPr>
            </w:pPr>
            <w:r w:rsidRPr="00DB1152">
              <w:rPr>
                <w:rFonts w:ascii="Times New Roman" w:hAnsi="Times New Roman" w:cs="Times New Roman"/>
                <w:b/>
                <w:color w:val="000000"/>
                <w:sz w:val="20"/>
                <w:szCs w:val="20"/>
              </w:rPr>
              <w:t>$</w:t>
            </w:r>
            <w:r>
              <w:rPr>
                <w:rFonts w:ascii="Times New Roman" w:hAnsi="Times New Roman" w:cs="Times New Roman"/>
                <w:b/>
                <w:color w:val="000000"/>
                <w:sz w:val="20"/>
                <w:szCs w:val="20"/>
              </w:rPr>
              <w:t>642.2</w:t>
            </w:r>
          </w:p>
        </w:tc>
      </w:tr>
    </w:tbl>
    <w:p w:rsidR="0045400F" w:rsidP="00693892" w14:paraId="4D38ED86" w14:textId="77777777">
      <w:pPr>
        <w:spacing w:after="0" w:line="240" w:lineRule="auto"/>
        <w:rPr>
          <w:rFonts w:ascii="Times New Roman" w:hAnsi="Times New Roman" w:cs="Times New Roman"/>
          <w:spacing w:val="4"/>
          <w:sz w:val="18"/>
          <w:szCs w:val="18"/>
        </w:rPr>
      </w:pPr>
      <w:r w:rsidRPr="001913D9">
        <w:rPr>
          <w:rFonts w:ascii="Times New Roman" w:hAnsi="Times New Roman" w:cs="Times New Roman"/>
          <w:sz w:val="18"/>
          <w:szCs w:val="18"/>
        </w:rPr>
        <w:t xml:space="preserve">     *Totals may not </w:t>
      </w:r>
      <w:r w:rsidRPr="001913D9">
        <w:rPr>
          <w:rFonts w:ascii="Times New Roman" w:hAnsi="Times New Roman" w:cs="Times New Roman"/>
          <w:spacing w:val="5"/>
          <w:sz w:val="18"/>
          <w:szCs w:val="18"/>
        </w:rPr>
        <w:t xml:space="preserve">sum </w:t>
      </w:r>
      <w:r w:rsidRPr="001913D9">
        <w:rPr>
          <w:rFonts w:ascii="Times New Roman" w:hAnsi="Times New Roman" w:cs="Times New Roman"/>
          <w:sz w:val="18"/>
          <w:szCs w:val="18"/>
        </w:rPr>
        <w:t xml:space="preserve">due </w:t>
      </w:r>
      <w:r w:rsidRPr="001913D9">
        <w:rPr>
          <w:rFonts w:ascii="Times New Roman" w:hAnsi="Times New Roman" w:cs="Times New Roman"/>
          <w:spacing w:val="-3"/>
          <w:sz w:val="18"/>
          <w:szCs w:val="18"/>
        </w:rPr>
        <w:t>to</w:t>
      </w:r>
      <w:r w:rsidRPr="001913D9">
        <w:rPr>
          <w:rFonts w:ascii="Times New Roman" w:hAnsi="Times New Roman" w:cs="Times New Roman"/>
          <w:spacing w:val="-14"/>
          <w:sz w:val="18"/>
          <w:szCs w:val="18"/>
        </w:rPr>
        <w:t xml:space="preserve"> </w:t>
      </w:r>
      <w:r w:rsidRPr="001913D9">
        <w:rPr>
          <w:rFonts w:ascii="Times New Roman" w:hAnsi="Times New Roman" w:cs="Times New Roman"/>
          <w:spacing w:val="4"/>
          <w:sz w:val="18"/>
          <w:szCs w:val="18"/>
        </w:rPr>
        <w:t>rounding.</w:t>
      </w:r>
    </w:p>
    <w:p w:rsidR="00DC4A54" w:rsidRPr="001913D9" w:rsidP="00693892" w14:paraId="1BFD056C" w14:textId="7777777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 </w:t>
      </w:r>
      <w:r w:rsidR="002E23BD">
        <w:rPr>
          <w:rFonts w:ascii="Times New Roman" w:hAnsi="Times New Roman" w:cs="Times New Roman"/>
          <w:sz w:val="18"/>
          <w:szCs w:val="18"/>
        </w:rPr>
        <w:t xml:space="preserve">Costs </w:t>
      </w:r>
      <w:r>
        <w:rPr>
          <w:rFonts w:ascii="Times New Roman" w:hAnsi="Times New Roman" w:cs="Times New Roman"/>
          <w:sz w:val="18"/>
          <w:szCs w:val="18"/>
        </w:rPr>
        <w:t xml:space="preserve">are zero due to rounding, Unrounded </w:t>
      </w:r>
      <w:r w:rsidR="002E23BD">
        <w:rPr>
          <w:rFonts w:ascii="Times New Roman" w:hAnsi="Times New Roman" w:cs="Times New Roman"/>
          <w:sz w:val="18"/>
          <w:szCs w:val="18"/>
        </w:rPr>
        <w:t xml:space="preserve">costs </w:t>
      </w:r>
      <w:r>
        <w:rPr>
          <w:rFonts w:ascii="Times New Roman" w:hAnsi="Times New Roman" w:cs="Times New Roman"/>
          <w:sz w:val="18"/>
          <w:szCs w:val="18"/>
        </w:rPr>
        <w:t>are $</w:t>
      </w:r>
      <w:r w:rsidR="007856FB">
        <w:rPr>
          <w:rFonts w:ascii="Times New Roman" w:hAnsi="Times New Roman" w:cs="Times New Roman"/>
          <w:sz w:val="18"/>
          <w:szCs w:val="18"/>
        </w:rPr>
        <w:t>15,</w:t>
      </w:r>
      <w:r w:rsidR="00D14618">
        <w:rPr>
          <w:rFonts w:ascii="Times New Roman" w:hAnsi="Times New Roman" w:cs="Times New Roman"/>
          <w:sz w:val="18"/>
          <w:szCs w:val="18"/>
        </w:rPr>
        <w:t>798</w:t>
      </w:r>
      <w:r>
        <w:rPr>
          <w:rFonts w:ascii="Times New Roman" w:hAnsi="Times New Roman" w:cs="Times New Roman"/>
          <w:sz w:val="18"/>
          <w:szCs w:val="18"/>
        </w:rPr>
        <w:t xml:space="preserve"> </w:t>
      </w:r>
      <w:r w:rsidR="00B06F7C">
        <w:rPr>
          <w:rFonts w:ascii="Times New Roman" w:hAnsi="Times New Roman" w:cs="Times New Roman"/>
          <w:sz w:val="18"/>
          <w:szCs w:val="18"/>
        </w:rPr>
        <w:t>for No Backup Power</w:t>
      </w:r>
      <w:r w:rsidR="002E23BD">
        <w:rPr>
          <w:rFonts w:ascii="Times New Roman" w:hAnsi="Times New Roman" w:cs="Times New Roman"/>
          <w:sz w:val="18"/>
          <w:szCs w:val="18"/>
        </w:rPr>
        <w:t>,</w:t>
      </w:r>
      <w:r w:rsidR="00B06F7C">
        <w:rPr>
          <w:rFonts w:ascii="Times New Roman" w:hAnsi="Times New Roman" w:cs="Times New Roman"/>
          <w:sz w:val="18"/>
          <w:szCs w:val="18"/>
        </w:rPr>
        <w:t xml:space="preserve"> $</w:t>
      </w:r>
      <w:r w:rsidR="003920E6">
        <w:rPr>
          <w:rFonts w:ascii="Times New Roman" w:hAnsi="Times New Roman" w:cs="Times New Roman"/>
          <w:sz w:val="18"/>
          <w:szCs w:val="18"/>
        </w:rPr>
        <w:t xml:space="preserve">42,307 </w:t>
      </w:r>
      <w:r w:rsidR="00823D3B">
        <w:rPr>
          <w:rFonts w:ascii="Times New Roman" w:hAnsi="Times New Roman" w:cs="Times New Roman"/>
          <w:sz w:val="18"/>
          <w:szCs w:val="18"/>
        </w:rPr>
        <w:t xml:space="preserve">each </w:t>
      </w:r>
      <w:r w:rsidR="00531495">
        <w:rPr>
          <w:rFonts w:ascii="Times New Roman" w:hAnsi="Times New Roman" w:cs="Times New Roman"/>
          <w:sz w:val="18"/>
          <w:szCs w:val="18"/>
        </w:rPr>
        <w:t xml:space="preserve">for </w:t>
      </w:r>
      <w:r w:rsidR="00CC0C86">
        <w:rPr>
          <w:rFonts w:ascii="Times New Roman" w:hAnsi="Times New Roman" w:cs="Times New Roman"/>
          <w:sz w:val="18"/>
          <w:szCs w:val="18"/>
        </w:rPr>
        <w:t>Natural Hazards</w:t>
      </w:r>
      <w:r w:rsidR="007F196F">
        <w:rPr>
          <w:rFonts w:ascii="Times New Roman" w:hAnsi="Times New Roman" w:cs="Times New Roman"/>
          <w:sz w:val="18"/>
          <w:szCs w:val="18"/>
        </w:rPr>
        <w:t xml:space="preserve"> and</w:t>
      </w:r>
      <w:r w:rsidR="00CC0C86">
        <w:rPr>
          <w:rFonts w:ascii="Times New Roman" w:hAnsi="Times New Roman" w:cs="Times New Roman"/>
          <w:sz w:val="18"/>
          <w:szCs w:val="18"/>
        </w:rPr>
        <w:t xml:space="preserve"> Stationary Source Siting, and </w:t>
      </w:r>
      <w:r w:rsidR="006C5560">
        <w:rPr>
          <w:rFonts w:ascii="Times New Roman" w:hAnsi="Times New Roman" w:cs="Times New Roman"/>
          <w:sz w:val="18"/>
          <w:szCs w:val="18"/>
        </w:rPr>
        <w:t xml:space="preserve">$27,582 for </w:t>
      </w:r>
      <w:r w:rsidR="00CC0C86">
        <w:rPr>
          <w:rFonts w:ascii="Times New Roman" w:hAnsi="Times New Roman" w:cs="Times New Roman"/>
          <w:sz w:val="18"/>
          <w:szCs w:val="18"/>
        </w:rPr>
        <w:t>RAGAGEP both</w:t>
      </w:r>
      <w:r>
        <w:rPr>
          <w:rFonts w:ascii="Times New Roman" w:hAnsi="Times New Roman" w:cs="Times New Roman"/>
          <w:sz w:val="18"/>
          <w:szCs w:val="18"/>
        </w:rPr>
        <w:t xml:space="preserve"> at 3% and 7% discount rates.</w:t>
      </w:r>
    </w:p>
    <w:p w:rsidR="003E4928" w:rsidRPr="00693892" w:rsidP="00693892" w14:paraId="54C5CE9C" w14:textId="77777777">
      <w:pPr>
        <w:spacing w:after="0" w:line="240" w:lineRule="auto"/>
        <w:ind w:firstLine="280"/>
        <w:rPr>
          <w:rFonts w:ascii="Times New Roman" w:eastAsia="Calibri" w:hAnsi="Times New Roman" w:cs="Times New Roman"/>
        </w:rPr>
      </w:pPr>
    </w:p>
    <w:p w:rsidR="00B41489" w:rsidRPr="00130523" w:rsidP="00130523" w14:paraId="4394105C" w14:textId="3CFB7ECA">
      <w:pPr>
        <w:spacing w:line="240" w:lineRule="auto"/>
        <w:rPr>
          <w:rFonts w:ascii="Times New Roman" w:hAnsi="Times New Roman" w:cs="Times New Roman"/>
          <w:spacing w:val="2"/>
        </w:rPr>
      </w:pPr>
      <w:r>
        <w:rPr>
          <w:rFonts w:ascii="Times New Roman" w:eastAsia="Calibri" w:hAnsi="Times New Roman" w:cs="Times New Roman"/>
        </w:rPr>
        <w:tab/>
      </w:r>
      <w:r w:rsidRPr="00130523">
        <w:rPr>
          <w:rFonts w:ascii="Times New Roman" w:hAnsi="Times New Roman" w:cs="Times New Roman"/>
          <w:spacing w:val="2"/>
        </w:rPr>
        <w:t>EPA also conducted breakeven analyses for the two reg</w:t>
      </w:r>
      <w:r w:rsidRPr="00130523" w:rsidR="004368CF">
        <w:rPr>
          <w:rFonts w:ascii="Times New Roman" w:hAnsi="Times New Roman" w:cs="Times New Roman"/>
          <w:spacing w:val="2"/>
        </w:rPr>
        <w:t>u</w:t>
      </w:r>
      <w:r w:rsidRPr="00130523">
        <w:rPr>
          <w:rFonts w:ascii="Times New Roman" w:hAnsi="Times New Roman" w:cs="Times New Roman"/>
          <w:spacing w:val="2"/>
        </w:rPr>
        <w:t>latory alternative</w:t>
      </w:r>
      <w:r w:rsidRPr="00130523" w:rsidR="00173F66">
        <w:rPr>
          <w:rFonts w:ascii="Times New Roman" w:hAnsi="Times New Roman" w:cs="Times New Roman"/>
          <w:spacing w:val="2"/>
        </w:rPr>
        <w:t xml:space="preserve">s to give a sense of the decline in damages from accidents that </w:t>
      </w:r>
      <w:r w:rsidRPr="00130523" w:rsidR="009837FF">
        <w:rPr>
          <w:rFonts w:ascii="Times New Roman" w:hAnsi="Times New Roman" w:cs="Times New Roman"/>
          <w:spacing w:val="2"/>
        </w:rPr>
        <w:t>will</w:t>
      </w:r>
      <w:r w:rsidRPr="00130523" w:rsidR="00173F66">
        <w:rPr>
          <w:rFonts w:ascii="Times New Roman" w:hAnsi="Times New Roman" w:cs="Times New Roman"/>
          <w:spacing w:val="2"/>
        </w:rPr>
        <w:t xml:space="preserve"> be needed to equal, or offset, the estimated costs of the</w:t>
      </w:r>
      <w:r w:rsidRPr="00130523" w:rsidR="00BA4403">
        <w:rPr>
          <w:rFonts w:ascii="Times New Roman" w:hAnsi="Times New Roman" w:cs="Times New Roman"/>
          <w:spacing w:val="2"/>
        </w:rPr>
        <w:t xml:space="preserve"> </w:t>
      </w:r>
      <w:r w:rsidRPr="00130523" w:rsidR="004B21A8">
        <w:rPr>
          <w:rFonts w:ascii="Times New Roman" w:hAnsi="Times New Roman" w:cs="Times New Roman"/>
          <w:spacing w:val="2"/>
        </w:rPr>
        <w:t xml:space="preserve">final </w:t>
      </w:r>
      <w:r w:rsidRPr="00130523" w:rsidR="00173F66">
        <w:rPr>
          <w:rFonts w:ascii="Times New Roman" w:hAnsi="Times New Roman" w:cs="Times New Roman"/>
          <w:spacing w:val="2"/>
        </w:rPr>
        <w:t>rule</w:t>
      </w:r>
      <w:r w:rsidRPr="00130523" w:rsidR="00805D01">
        <w:rPr>
          <w:rFonts w:ascii="Times New Roman" w:hAnsi="Times New Roman" w:cs="Times New Roman"/>
          <w:spacing w:val="2"/>
        </w:rPr>
        <w:t xml:space="preserve"> under </w:t>
      </w:r>
      <w:r w:rsidRPr="00130523" w:rsidR="006813FF">
        <w:rPr>
          <w:rFonts w:ascii="Times New Roman" w:hAnsi="Times New Roman" w:cs="Times New Roman"/>
          <w:spacing w:val="2"/>
        </w:rPr>
        <w:t xml:space="preserve">each </w:t>
      </w:r>
      <w:r w:rsidRPr="00130523" w:rsidR="00805D01">
        <w:rPr>
          <w:rFonts w:ascii="Times New Roman" w:hAnsi="Times New Roman" w:cs="Times New Roman"/>
          <w:spacing w:val="2"/>
        </w:rPr>
        <w:t>alternative</w:t>
      </w:r>
      <w:r w:rsidRPr="00130523" w:rsidR="00173F66">
        <w:rPr>
          <w:rFonts w:ascii="Times New Roman" w:hAnsi="Times New Roman" w:cs="Times New Roman"/>
          <w:spacing w:val="2"/>
        </w:rPr>
        <w:t>.</w:t>
      </w:r>
      <w:r w:rsidRPr="00130523" w:rsidR="00805D01">
        <w:rPr>
          <w:rFonts w:ascii="Times New Roman" w:hAnsi="Times New Roman" w:cs="Times New Roman"/>
          <w:spacing w:val="2"/>
        </w:rPr>
        <w:t xml:space="preserve"> Under the low</w:t>
      </w:r>
      <w:r w:rsidRPr="00130523" w:rsidR="005E1DDA">
        <w:rPr>
          <w:rFonts w:ascii="Times New Roman" w:hAnsi="Times New Roman" w:cs="Times New Roman"/>
          <w:spacing w:val="2"/>
        </w:rPr>
        <w:t>er</w:t>
      </w:r>
      <w:r w:rsidRPr="00130523" w:rsidR="007B4511">
        <w:rPr>
          <w:rFonts w:ascii="Times New Roman" w:hAnsi="Times New Roman" w:cs="Times New Roman"/>
          <w:spacing w:val="2"/>
        </w:rPr>
        <w:t>-</w:t>
      </w:r>
      <w:r w:rsidRPr="00130523" w:rsidR="00C95692">
        <w:rPr>
          <w:rFonts w:ascii="Times New Roman" w:hAnsi="Times New Roman" w:cs="Times New Roman"/>
          <w:spacing w:val="2"/>
        </w:rPr>
        <w:t>cost alternative</w:t>
      </w:r>
      <w:r w:rsidRPr="00130523" w:rsidR="00736EB6">
        <w:rPr>
          <w:rFonts w:ascii="Times New Roman" w:hAnsi="Times New Roman" w:cs="Times New Roman"/>
          <w:spacing w:val="2"/>
        </w:rPr>
        <w:t>, annualized costs are</w:t>
      </w:r>
      <w:r w:rsidRPr="00130523" w:rsidR="00173F66">
        <w:rPr>
          <w:rFonts w:ascii="Times New Roman" w:hAnsi="Times New Roman" w:cs="Times New Roman"/>
          <w:spacing w:val="2"/>
        </w:rPr>
        <w:t xml:space="preserve"> approximately </w:t>
      </w:r>
      <w:r w:rsidRPr="00130523" w:rsidR="006A37BD">
        <w:rPr>
          <w:rFonts w:ascii="Times New Roman" w:hAnsi="Times New Roman" w:cs="Times New Roman"/>
          <w:spacing w:val="2"/>
        </w:rPr>
        <w:t>$4</w:t>
      </w:r>
      <w:r w:rsidR="006A37BD">
        <w:rPr>
          <w:rFonts w:ascii="Times New Roman" w:hAnsi="Times New Roman" w:cs="Times New Roman"/>
          <w:spacing w:val="2"/>
        </w:rPr>
        <w:t>8</w:t>
      </w:r>
      <w:r w:rsidRPr="00130523" w:rsidR="00A935E4">
        <w:rPr>
          <w:rFonts w:ascii="Times New Roman" w:hAnsi="Times New Roman" w:cs="Times New Roman"/>
          <w:spacing w:val="2"/>
        </w:rPr>
        <w:t xml:space="preserve"> </w:t>
      </w:r>
      <w:r w:rsidRPr="00130523" w:rsidR="002B3DD4">
        <w:rPr>
          <w:rFonts w:ascii="Times New Roman" w:hAnsi="Times New Roman" w:cs="Times New Roman"/>
          <w:spacing w:val="2"/>
        </w:rPr>
        <w:t>or $</w:t>
      </w:r>
      <w:r w:rsidRPr="00130523" w:rsidR="00A935E4">
        <w:rPr>
          <w:rFonts w:ascii="Times New Roman" w:hAnsi="Times New Roman" w:cs="Times New Roman"/>
          <w:spacing w:val="2"/>
        </w:rPr>
        <w:t>51</w:t>
      </w:r>
      <w:r w:rsidRPr="00130523" w:rsidR="002B3DD4">
        <w:rPr>
          <w:rFonts w:ascii="Times New Roman" w:hAnsi="Times New Roman" w:cs="Times New Roman"/>
          <w:spacing w:val="2"/>
        </w:rPr>
        <w:t xml:space="preserve"> </w:t>
      </w:r>
      <w:r w:rsidRPr="00130523" w:rsidR="00173F66">
        <w:rPr>
          <w:rFonts w:ascii="Times New Roman" w:hAnsi="Times New Roman" w:cs="Times New Roman"/>
          <w:spacing w:val="2"/>
        </w:rPr>
        <w:t xml:space="preserve">million </w:t>
      </w:r>
      <w:r w:rsidRPr="00130523" w:rsidR="002B3DD4">
        <w:rPr>
          <w:rFonts w:ascii="Times New Roman" w:hAnsi="Times New Roman" w:cs="Times New Roman"/>
          <w:spacing w:val="2"/>
        </w:rPr>
        <w:t>at</w:t>
      </w:r>
      <w:r w:rsidRPr="00130523" w:rsidR="004A3899">
        <w:rPr>
          <w:rFonts w:ascii="Times New Roman" w:hAnsi="Times New Roman" w:cs="Times New Roman"/>
          <w:spacing w:val="2"/>
        </w:rPr>
        <w:t xml:space="preserve"> discount rates of</w:t>
      </w:r>
      <w:r w:rsidRPr="00130523" w:rsidR="002B3DD4">
        <w:rPr>
          <w:rFonts w:ascii="Times New Roman" w:hAnsi="Times New Roman" w:cs="Times New Roman"/>
          <w:spacing w:val="2"/>
        </w:rPr>
        <w:t xml:space="preserve"> 3% and 7% respectively, and</w:t>
      </w:r>
      <w:r w:rsidRPr="00130523" w:rsidR="00736EB6">
        <w:rPr>
          <w:rFonts w:ascii="Times New Roman" w:hAnsi="Times New Roman" w:cs="Times New Roman"/>
          <w:spacing w:val="2"/>
        </w:rPr>
        <w:t xml:space="preserve"> annualized costs are</w:t>
      </w:r>
      <w:r w:rsidRPr="00130523" w:rsidR="002B3DD4">
        <w:rPr>
          <w:rFonts w:ascii="Times New Roman" w:hAnsi="Times New Roman" w:cs="Times New Roman"/>
          <w:spacing w:val="2"/>
        </w:rPr>
        <w:t xml:space="preserve"> $</w:t>
      </w:r>
      <w:r w:rsidRPr="00130523" w:rsidR="0075322B">
        <w:rPr>
          <w:rFonts w:ascii="Times New Roman" w:hAnsi="Times New Roman" w:cs="Times New Roman"/>
          <w:spacing w:val="2"/>
        </w:rPr>
        <w:t>567</w:t>
      </w:r>
      <w:r w:rsidRPr="00130523" w:rsidR="00A935E4">
        <w:rPr>
          <w:rFonts w:ascii="Times New Roman" w:hAnsi="Times New Roman" w:cs="Times New Roman"/>
          <w:spacing w:val="2"/>
        </w:rPr>
        <w:t xml:space="preserve"> </w:t>
      </w:r>
      <w:r w:rsidRPr="00130523" w:rsidR="002B3DD4">
        <w:rPr>
          <w:rFonts w:ascii="Times New Roman" w:hAnsi="Times New Roman" w:cs="Times New Roman"/>
          <w:spacing w:val="2"/>
        </w:rPr>
        <w:t xml:space="preserve">or </w:t>
      </w:r>
      <w:r w:rsidRPr="00130523" w:rsidR="002B3DD4">
        <w:rPr>
          <w:rFonts w:ascii="Times New Roman" w:hAnsi="Times New Roman" w:cs="Times New Roman"/>
          <w:spacing w:val="2"/>
        </w:rPr>
        <w:t>$</w:t>
      </w:r>
      <w:r w:rsidRPr="00130523" w:rsidR="009D78E6">
        <w:rPr>
          <w:rFonts w:ascii="Times New Roman" w:hAnsi="Times New Roman" w:cs="Times New Roman"/>
          <w:spacing w:val="2"/>
        </w:rPr>
        <w:t xml:space="preserve">642 </w:t>
      </w:r>
      <w:r w:rsidRPr="00130523" w:rsidR="002B3DD4">
        <w:rPr>
          <w:rFonts w:ascii="Times New Roman" w:hAnsi="Times New Roman" w:cs="Times New Roman"/>
          <w:spacing w:val="2"/>
        </w:rPr>
        <w:t>million at 3% and 7% respectively for the high</w:t>
      </w:r>
      <w:r w:rsidRPr="00130523" w:rsidR="005E1DDA">
        <w:rPr>
          <w:rFonts w:ascii="Times New Roman" w:hAnsi="Times New Roman" w:cs="Times New Roman"/>
          <w:spacing w:val="2"/>
        </w:rPr>
        <w:t>er</w:t>
      </w:r>
      <w:r w:rsidRPr="00130523" w:rsidR="00DB4351">
        <w:rPr>
          <w:rFonts w:ascii="Times New Roman" w:hAnsi="Times New Roman" w:cs="Times New Roman"/>
          <w:spacing w:val="2"/>
        </w:rPr>
        <w:t>-</w:t>
      </w:r>
      <w:r w:rsidRPr="00130523" w:rsidR="002B3DD4">
        <w:rPr>
          <w:rFonts w:ascii="Times New Roman" w:hAnsi="Times New Roman" w:cs="Times New Roman"/>
          <w:spacing w:val="2"/>
        </w:rPr>
        <w:t>cost alternative</w:t>
      </w:r>
      <w:r w:rsidRPr="00130523" w:rsidR="00173F66">
        <w:rPr>
          <w:rFonts w:ascii="Times New Roman" w:hAnsi="Times New Roman" w:cs="Times New Roman"/>
          <w:spacing w:val="2"/>
        </w:rPr>
        <w:t>.</w:t>
      </w:r>
      <w:r w:rsidRPr="00130523" w:rsidR="00736EB6">
        <w:rPr>
          <w:rFonts w:ascii="Times New Roman" w:hAnsi="Times New Roman" w:cs="Times New Roman"/>
          <w:spacing w:val="2"/>
        </w:rPr>
        <w:t xml:space="preserve"> F</w:t>
      </w:r>
      <w:r w:rsidRPr="00130523" w:rsidR="00173F66">
        <w:rPr>
          <w:rFonts w:ascii="Times New Roman" w:hAnsi="Times New Roman" w:cs="Times New Roman"/>
          <w:spacing w:val="2"/>
        </w:rPr>
        <w:t xml:space="preserve">or the </w:t>
      </w:r>
      <w:r w:rsidRPr="00130523" w:rsidR="002B3DD4">
        <w:rPr>
          <w:rFonts w:ascii="Times New Roman" w:hAnsi="Times New Roman" w:cs="Times New Roman"/>
          <w:spacing w:val="2"/>
        </w:rPr>
        <w:t>low</w:t>
      </w:r>
      <w:r w:rsidRPr="00130523" w:rsidR="005E1DDA">
        <w:rPr>
          <w:rFonts w:ascii="Times New Roman" w:hAnsi="Times New Roman" w:cs="Times New Roman"/>
          <w:spacing w:val="2"/>
        </w:rPr>
        <w:t>er</w:t>
      </w:r>
      <w:r w:rsidRPr="00130523" w:rsidR="007B4511">
        <w:rPr>
          <w:rFonts w:ascii="Times New Roman" w:hAnsi="Times New Roman" w:cs="Times New Roman"/>
          <w:spacing w:val="2"/>
        </w:rPr>
        <w:t>-</w:t>
      </w:r>
      <w:r w:rsidRPr="00130523" w:rsidR="002B3DD4">
        <w:rPr>
          <w:rFonts w:ascii="Times New Roman" w:hAnsi="Times New Roman" w:cs="Times New Roman"/>
          <w:spacing w:val="2"/>
        </w:rPr>
        <w:t xml:space="preserve">cost regulatory alternative </w:t>
      </w:r>
      <w:r w:rsidRPr="00130523" w:rsidR="00173F66">
        <w:rPr>
          <w:rFonts w:ascii="Times New Roman" w:hAnsi="Times New Roman" w:cs="Times New Roman"/>
          <w:spacing w:val="2"/>
        </w:rPr>
        <w:t>to breakeven on an annual basis given estimated annualized costs of approximately $</w:t>
      </w:r>
      <w:r w:rsidRPr="00130523" w:rsidR="000573B1">
        <w:rPr>
          <w:rFonts w:ascii="Times New Roman" w:hAnsi="Times New Roman" w:cs="Times New Roman"/>
          <w:spacing w:val="2"/>
        </w:rPr>
        <w:t xml:space="preserve">50 </w:t>
      </w:r>
      <w:r w:rsidRPr="00130523" w:rsidR="00173F66">
        <w:rPr>
          <w:rFonts w:ascii="Times New Roman" w:hAnsi="Times New Roman" w:cs="Times New Roman"/>
          <w:spacing w:val="2"/>
        </w:rPr>
        <w:t xml:space="preserve">million and an estimated number of annual accidents of about 100, </w:t>
      </w:r>
      <w:r w:rsidRPr="00130523" w:rsidR="00512448">
        <w:rPr>
          <w:rFonts w:ascii="Times New Roman" w:hAnsi="Times New Roman" w:cs="Times New Roman"/>
          <w:spacing w:val="2"/>
        </w:rPr>
        <w:t xml:space="preserve">fewer than </w:t>
      </w:r>
      <w:r w:rsidRPr="00130523" w:rsidR="00173F66">
        <w:rPr>
          <w:rFonts w:ascii="Times New Roman" w:hAnsi="Times New Roman" w:cs="Times New Roman"/>
          <w:spacing w:val="2"/>
        </w:rPr>
        <w:t xml:space="preserve">approximately </w:t>
      </w:r>
      <w:r w:rsidRPr="00130523" w:rsidR="003B40E2">
        <w:rPr>
          <w:rFonts w:ascii="Times New Roman" w:hAnsi="Times New Roman" w:cs="Times New Roman"/>
          <w:spacing w:val="2"/>
        </w:rPr>
        <w:t xml:space="preserve">9 </w:t>
      </w:r>
      <w:r w:rsidRPr="00130523" w:rsidR="00173F66">
        <w:rPr>
          <w:rFonts w:ascii="Times New Roman" w:hAnsi="Times New Roman" w:cs="Times New Roman"/>
          <w:spacing w:val="2"/>
        </w:rPr>
        <w:t>accidents per year, each with average monetized damages of approximately $5</w:t>
      </w:r>
      <w:r w:rsidRPr="00130523" w:rsidR="003B40E2">
        <w:rPr>
          <w:rFonts w:ascii="Times New Roman" w:hAnsi="Times New Roman" w:cs="Times New Roman"/>
          <w:spacing w:val="2"/>
        </w:rPr>
        <w:t>.5</w:t>
      </w:r>
      <w:r w:rsidRPr="00130523" w:rsidR="00173F66">
        <w:rPr>
          <w:rFonts w:ascii="Times New Roman" w:hAnsi="Times New Roman" w:cs="Times New Roman"/>
          <w:spacing w:val="2"/>
        </w:rPr>
        <w:t xml:space="preserve"> million as estimated for the most recent five-year baseline period, </w:t>
      </w:r>
      <w:r w:rsidRPr="00130523" w:rsidR="009837FF">
        <w:rPr>
          <w:rFonts w:ascii="Times New Roman" w:hAnsi="Times New Roman" w:cs="Times New Roman"/>
          <w:spacing w:val="2"/>
        </w:rPr>
        <w:t>will</w:t>
      </w:r>
      <w:r w:rsidRPr="00130523" w:rsidR="00173F66">
        <w:rPr>
          <w:rFonts w:ascii="Times New Roman" w:hAnsi="Times New Roman" w:cs="Times New Roman"/>
          <w:spacing w:val="2"/>
        </w:rPr>
        <w:t xml:space="preserve"> need to be prevented. </w:t>
      </w:r>
      <w:r w:rsidRPr="00130523">
        <w:rPr>
          <w:rFonts w:ascii="Times New Roman" w:hAnsi="Times New Roman" w:cs="Times New Roman"/>
          <w:spacing w:val="2"/>
        </w:rPr>
        <w:t xml:space="preserve">For the </w:t>
      </w:r>
      <w:r w:rsidRPr="00130523" w:rsidR="004B21A8">
        <w:rPr>
          <w:rFonts w:ascii="Times New Roman" w:hAnsi="Times New Roman" w:cs="Times New Roman"/>
          <w:spacing w:val="2"/>
        </w:rPr>
        <w:t xml:space="preserve">final </w:t>
      </w:r>
      <w:r w:rsidRPr="00130523">
        <w:rPr>
          <w:rFonts w:ascii="Times New Roman" w:hAnsi="Times New Roman" w:cs="Times New Roman"/>
          <w:spacing w:val="2"/>
        </w:rPr>
        <w:t>rule under the high</w:t>
      </w:r>
      <w:r w:rsidRPr="00130523" w:rsidR="005E1DDA">
        <w:rPr>
          <w:rFonts w:ascii="Times New Roman" w:hAnsi="Times New Roman" w:cs="Times New Roman"/>
          <w:spacing w:val="2"/>
        </w:rPr>
        <w:t>er</w:t>
      </w:r>
      <w:r w:rsidRPr="00130523" w:rsidR="007B4511">
        <w:rPr>
          <w:rFonts w:ascii="Times New Roman" w:hAnsi="Times New Roman" w:cs="Times New Roman"/>
          <w:spacing w:val="2"/>
        </w:rPr>
        <w:t>-</w:t>
      </w:r>
      <w:r w:rsidRPr="00130523">
        <w:rPr>
          <w:rFonts w:ascii="Times New Roman" w:hAnsi="Times New Roman" w:cs="Times New Roman"/>
          <w:spacing w:val="2"/>
        </w:rPr>
        <w:t>cost regulatory alternative to breakeven on an annual basis given estimated annualized costs of approximately $</w:t>
      </w:r>
      <w:r w:rsidRPr="00130523" w:rsidR="00FA3B68">
        <w:rPr>
          <w:rFonts w:ascii="Times New Roman" w:hAnsi="Times New Roman" w:cs="Times New Roman"/>
          <w:spacing w:val="2"/>
        </w:rPr>
        <w:t>600</w:t>
      </w:r>
      <w:r w:rsidRPr="00130523" w:rsidR="003B40E2">
        <w:rPr>
          <w:rFonts w:ascii="Times New Roman" w:hAnsi="Times New Roman" w:cs="Times New Roman"/>
          <w:spacing w:val="2"/>
        </w:rPr>
        <w:t xml:space="preserve"> </w:t>
      </w:r>
      <w:r w:rsidRPr="00130523">
        <w:rPr>
          <w:rFonts w:ascii="Times New Roman" w:hAnsi="Times New Roman" w:cs="Times New Roman"/>
          <w:spacing w:val="2"/>
        </w:rPr>
        <w:t xml:space="preserve">million and an estimated number of annual accidents of about 100, approximately </w:t>
      </w:r>
      <w:r w:rsidRPr="00130523" w:rsidR="00440DF7">
        <w:rPr>
          <w:rFonts w:ascii="Times New Roman" w:hAnsi="Times New Roman" w:cs="Times New Roman"/>
          <w:spacing w:val="2"/>
        </w:rPr>
        <w:t>all</w:t>
      </w:r>
      <w:r w:rsidRPr="00130523" w:rsidR="008B0C3F">
        <w:rPr>
          <w:rFonts w:ascii="Times New Roman" w:hAnsi="Times New Roman" w:cs="Times New Roman"/>
          <w:spacing w:val="2"/>
        </w:rPr>
        <w:t xml:space="preserve"> accidents</w:t>
      </w:r>
      <w:r w:rsidRPr="00130523">
        <w:rPr>
          <w:rFonts w:ascii="Times New Roman" w:hAnsi="Times New Roman" w:cs="Times New Roman"/>
          <w:spacing w:val="2"/>
        </w:rPr>
        <w:t>, each with average monetized damages of approximately $5</w:t>
      </w:r>
      <w:r w:rsidRPr="00130523" w:rsidR="00FE259A">
        <w:rPr>
          <w:rFonts w:ascii="Times New Roman" w:hAnsi="Times New Roman" w:cs="Times New Roman"/>
          <w:spacing w:val="2"/>
        </w:rPr>
        <w:t>.5</w:t>
      </w:r>
      <w:r w:rsidRPr="00130523">
        <w:rPr>
          <w:rFonts w:ascii="Times New Roman" w:hAnsi="Times New Roman" w:cs="Times New Roman"/>
          <w:spacing w:val="2"/>
        </w:rPr>
        <w:t xml:space="preserve"> million as estimated for the most recent five-year baseline period, </w:t>
      </w:r>
      <w:r w:rsidRPr="00130523" w:rsidR="009837FF">
        <w:rPr>
          <w:rFonts w:ascii="Times New Roman" w:hAnsi="Times New Roman" w:cs="Times New Roman"/>
          <w:spacing w:val="2"/>
        </w:rPr>
        <w:t>will</w:t>
      </w:r>
      <w:r w:rsidRPr="00130523">
        <w:rPr>
          <w:rFonts w:ascii="Times New Roman" w:hAnsi="Times New Roman" w:cs="Times New Roman"/>
          <w:spacing w:val="2"/>
        </w:rPr>
        <w:t xml:space="preserve"> need to be prevented</w:t>
      </w:r>
      <w:r w:rsidRPr="00130523" w:rsidR="00D9112C">
        <w:rPr>
          <w:rFonts w:ascii="Times New Roman" w:hAnsi="Times New Roman" w:cs="Times New Roman"/>
          <w:spacing w:val="2"/>
        </w:rPr>
        <w:t>.</w:t>
      </w:r>
      <w:r w:rsidRPr="00130523" w:rsidR="00736EB6">
        <w:rPr>
          <w:rFonts w:ascii="Times New Roman" w:hAnsi="Times New Roman" w:cs="Times New Roman"/>
          <w:spacing w:val="2"/>
        </w:rPr>
        <w:t xml:space="preserve"> Keep in mind that EPA expects that</w:t>
      </w:r>
      <w:r w:rsidRPr="00130523" w:rsidR="00084B3A">
        <w:rPr>
          <w:rFonts w:ascii="Times New Roman" w:hAnsi="Times New Roman" w:cs="Times New Roman"/>
          <w:spacing w:val="2"/>
        </w:rPr>
        <w:t>, relative to the final rule,</w:t>
      </w:r>
      <w:r w:rsidRPr="00130523" w:rsidR="0085381F">
        <w:rPr>
          <w:rFonts w:ascii="Times New Roman" w:hAnsi="Times New Roman" w:cs="Times New Roman"/>
          <w:spacing w:val="2"/>
        </w:rPr>
        <w:t xml:space="preserve"> the number of accidents </w:t>
      </w:r>
      <w:r w:rsidRPr="00130523" w:rsidR="009837FF">
        <w:rPr>
          <w:rFonts w:ascii="Times New Roman" w:hAnsi="Times New Roman" w:cs="Times New Roman"/>
          <w:spacing w:val="2"/>
        </w:rPr>
        <w:t>will</w:t>
      </w:r>
      <w:r w:rsidRPr="00130523" w:rsidR="0085381F">
        <w:rPr>
          <w:rFonts w:ascii="Times New Roman" w:hAnsi="Times New Roman" w:cs="Times New Roman"/>
          <w:spacing w:val="2"/>
        </w:rPr>
        <w:t xml:space="preserve"> </w:t>
      </w:r>
      <w:r w:rsidRPr="00130523" w:rsidR="00763D20">
        <w:rPr>
          <w:rFonts w:ascii="Times New Roman" w:hAnsi="Times New Roman" w:cs="Times New Roman"/>
          <w:spacing w:val="2"/>
        </w:rPr>
        <w:t>be higher</w:t>
      </w:r>
      <w:r w:rsidRPr="00130523" w:rsidR="0085381F">
        <w:rPr>
          <w:rFonts w:ascii="Times New Roman" w:hAnsi="Times New Roman" w:cs="Times New Roman"/>
          <w:spacing w:val="2"/>
        </w:rPr>
        <w:t xml:space="preserve"> </w:t>
      </w:r>
      <w:r w:rsidRPr="00130523" w:rsidR="00312224">
        <w:rPr>
          <w:rFonts w:ascii="Times New Roman" w:hAnsi="Times New Roman" w:cs="Times New Roman"/>
          <w:spacing w:val="2"/>
        </w:rPr>
        <w:t>with provisions</w:t>
      </w:r>
      <w:r w:rsidRPr="00130523" w:rsidR="0085381F">
        <w:rPr>
          <w:rFonts w:ascii="Times New Roman" w:hAnsi="Times New Roman" w:cs="Times New Roman"/>
          <w:spacing w:val="2"/>
        </w:rPr>
        <w:t xml:space="preserve"> under the low</w:t>
      </w:r>
      <w:r w:rsidRPr="00130523" w:rsidR="005E1DDA">
        <w:rPr>
          <w:rFonts w:ascii="Times New Roman" w:hAnsi="Times New Roman" w:cs="Times New Roman"/>
          <w:spacing w:val="2"/>
        </w:rPr>
        <w:t>er</w:t>
      </w:r>
      <w:r w:rsidRPr="00130523" w:rsidR="007B4511">
        <w:rPr>
          <w:rFonts w:ascii="Times New Roman" w:hAnsi="Times New Roman" w:cs="Times New Roman"/>
          <w:spacing w:val="2"/>
        </w:rPr>
        <w:t>-</w:t>
      </w:r>
      <w:r w:rsidRPr="00130523" w:rsidR="0085381F">
        <w:rPr>
          <w:rFonts w:ascii="Times New Roman" w:hAnsi="Times New Roman" w:cs="Times New Roman"/>
          <w:spacing w:val="2"/>
        </w:rPr>
        <w:t>cost alternative</w:t>
      </w:r>
      <w:r w:rsidRPr="00130523" w:rsidR="00D0099F">
        <w:rPr>
          <w:rFonts w:ascii="Times New Roman" w:hAnsi="Times New Roman" w:cs="Times New Roman"/>
          <w:spacing w:val="2"/>
        </w:rPr>
        <w:t xml:space="preserve"> and </w:t>
      </w:r>
      <w:r w:rsidRPr="00130523" w:rsidR="009837FF">
        <w:rPr>
          <w:rFonts w:ascii="Times New Roman" w:hAnsi="Times New Roman" w:cs="Times New Roman"/>
          <w:spacing w:val="2"/>
        </w:rPr>
        <w:t>will</w:t>
      </w:r>
      <w:r w:rsidRPr="00130523" w:rsidR="00D0099F">
        <w:rPr>
          <w:rFonts w:ascii="Times New Roman" w:hAnsi="Times New Roman" w:cs="Times New Roman"/>
          <w:spacing w:val="2"/>
        </w:rPr>
        <w:t xml:space="preserve"> </w:t>
      </w:r>
      <w:r w:rsidRPr="00130523" w:rsidR="00763D20">
        <w:rPr>
          <w:rFonts w:ascii="Times New Roman" w:hAnsi="Times New Roman" w:cs="Times New Roman"/>
          <w:spacing w:val="2"/>
        </w:rPr>
        <w:t>be lower</w:t>
      </w:r>
      <w:r w:rsidRPr="00130523" w:rsidR="00D0099F">
        <w:rPr>
          <w:rFonts w:ascii="Times New Roman" w:hAnsi="Times New Roman" w:cs="Times New Roman"/>
          <w:spacing w:val="2"/>
        </w:rPr>
        <w:t xml:space="preserve"> with more stringent provisions under the high</w:t>
      </w:r>
      <w:r w:rsidRPr="00130523" w:rsidR="005E1DDA">
        <w:rPr>
          <w:rFonts w:ascii="Times New Roman" w:hAnsi="Times New Roman" w:cs="Times New Roman"/>
          <w:spacing w:val="2"/>
        </w:rPr>
        <w:t>er</w:t>
      </w:r>
      <w:r w:rsidRPr="00130523" w:rsidR="007B4511">
        <w:rPr>
          <w:rFonts w:ascii="Times New Roman" w:hAnsi="Times New Roman" w:cs="Times New Roman"/>
          <w:spacing w:val="2"/>
        </w:rPr>
        <w:t>-</w:t>
      </w:r>
      <w:r w:rsidRPr="00130523" w:rsidR="00D0099F">
        <w:rPr>
          <w:rFonts w:ascii="Times New Roman" w:hAnsi="Times New Roman" w:cs="Times New Roman"/>
          <w:spacing w:val="2"/>
        </w:rPr>
        <w:t>cost alternative</w:t>
      </w:r>
      <w:r w:rsidRPr="00130523" w:rsidR="0085381F">
        <w:rPr>
          <w:rFonts w:ascii="Times New Roman" w:hAnsi="Times New Roman" w:cs="Times New Roman"/>
          <w:spacing w:val="2"/>
        </w:rPr>
        <w:t xml:space="preserve">. </w:t>
      </w:r>
    </w:p>
    <w:p w:rsidR="00173F66" w:rsidRPr="00130523" w:rsidP="00130523" w14:paraId="22448386" w14:textId="173BE380">
      <w:pPr>
        <w:spacing w:line="240" w:lineRule="auto"/>
        <w:ind w:firstLine="720"/>
        <w:rPr>
          <w:rFonts w:ascii="Times New Roman" w:hAnsi="Times New Roman" w:cs="Times New Roman"/>
          <w:spacing w:val="2"/>
        </w:rPr>
      </w:pPr>
      <w:r w:rsidRPr="00130523">
        <w:rPr>
          <w:rFonts w:ascii="Times New Roman" w:hAnsi="Times New Roman" w:cs="Times New Roman"/>
          <w:spacing w:val="2"/>
        </w:rPr>
        <w:t>The number</w:t>
      </w:r>
      <w:r w:rsidRPr="00130523" w:rsidR="00D9112C">
        <w:rPr>
          <w:rFonts w:ascii="Times New Roman" w:hAnsi="Times New Roman" w:cs="Times New Roman"/>
          <w:spacing w:val="2"/>
        </w:rPr>
        <w:t xml:space="preserve">s of prevented accidents </w:t>
      </w:r>
      <w:r w:rsidRPr="00130523" w:rsidR="00214A50">
        <w:rPr>
          <w:rFonts w:ascii="Times New Roman" w:hAnsi="Times New Roman" w:cs="Times New Roman"/>
          <w:spacing w:val="2"/>
        </w:rPr>
        <w:t xml:space="preserve">needed to break even </w:t>
      </w:r>
      <w:r w:rsidRPr="00130523" w:rsidR="009837FF">
        <w:rPr>
          <w:rFonts w:ascii="Times New Roman" w:hAnsi="Times New Roman" w:cs="Times New Roman"/>
          <w:spacing w:val="2"/>
        </w:rPr>
        <w:t>will</w:t>
      </w:r>
      <w:r w:rsidRPr="00130523">
        <w:rPr>
          <w:rFonts w:ascii="Times New Roman" w:hAnsi="Times New Roman" w:cs="Times New Roman"/>
          <w:spacing w:val="2"/>
        </w:rPr>
        <w:t xml:space="preserve"> depend </w:t>
      </w:r>
      <w:r w:rsidRPr="00130523" w:rsidR="003125F1">
        <w:rPr>
          <w:rFonts w:ascii="Times New Roman" w:hAnsi="Times New Roman" w:cs="Times New Roman"/>
          <w:spacing w:val="2"/>
        </w:rPr>
        <w:t xml:space="preserve">again </w:t>
      </w:r>
      <w:r w:rsidRPr="00130523">
        <w:rPr>
          <w:rFonts w:ascii="Times New Roman" w:hAnsi="Times New Roman" w:cs="Times New Roman"/>
          <w:spacing w:val="2"/>
        </w:rPr>
        <w:t xml:space="preserve">on the value of the unquantified accident damages that </w:t>
      </w:r>
      <w:r w:rsidRPr="00130523" w:rsidR="009837FF">
        <w:rPr>
          <w:rFonts w:ascii="Times New Roman" w:hAnsi="Times New Roman" w:cs="Times New Roman"/>
          <w:spacing w:val="2"/>
        </w:rPr>
        <w:t>will</w:t>
      </w:r>
      <w:r w:rsidRPr="00130523">
        <w:rPr>
          <w:rFonts w:ascii="Times New Roman" w:hAnsi="Times New Roman" w:cs="Times New Roman"/>
          <w:spacing w:val="2"/>
        </w:rPr>
        <w:t xml:space="preserve"> be avoided, including the value of avoided </w:t>
      </w:r>
      <w:r w:rsidR="00D82136">
        <w:rPr>
          <w:rFonts w:ascii="Times New Roman" w:hAnsi="Times New Roman" w:cs="Times New Roman"/>
          <w:spacing w:val="2"/>
        </w:rPr>
        <w:t xml:space="preserve">health risks of </w:t>
      </w:r>
      <w:r w:rsidR="00CE5CAB">
        <w:rPr>
          <w:rFonts w:ascii="Times New Roman" w:hAnsi="Times New Roman" w:cs="Times New Roman"/>
          <w:spacing w:val="2"/>
        </w:rPr>
        <w:t xml:space="preserve">exposure to </w:t>
      </w:r>
      <w:r w:rsidR="00D82136">
        <w:rPr>
          <w:rFonts w:ascii="Times New Roman" w:hAnsi="Times New Roman" w:cs="Times New Roman"/>
          <w:spacing w:val="2"/>
        </w:rPr>
        <w:t xml:space="preserve">toxic chemicals, </w:t>
      </w:r>
      <w:r w:rsidRPr="00130523">
        <w:rPr>
          <w:rFonts w:ascii="Times New Roman" w:hAnsi="Times New Roman" w:cs="Times New Roman"/>
          <w:spacing w:val="2"/>
        </w:rPr>
        <w:t xml:space="preserve">lost productivity, responder costs, transaction costs, negative impacts on property values, environmental damages, </w:t>
      </w:r>
      <w:r w:rsidR="00D82136">
        <w:rPr>
          <w:rFonts w:ascii="Times New Roman" w:hAnsi="Times New Roman" w:cs="Times New Roman"/>
          <w:spacing w:val="2"/>
        </w:rPr>
        <w:t xml:space="preserve">unquantified evacuation and shelter-in-place costs, </w:t>
      </w:r>
      <w:r w:rsidRPr="00130523">
        <w:rPr>
          <w:rFonts w:ascii="Times New Roman" w:hAnsi="Times New Roman" w:cs="Times New Roman"/>
          <w:spacing w:val="2"/>
        </w:rPr>
        <w:t xml:space="preserve">and damages related to catastrophic releases. </w:t>
      </w:r>
    </w:p>
    <w:p w:rsidR="008C5B58" w:rsidRPr="00693892" w:rsidP="00693892" w14:paraId="397666F3" w14:textId="77777777">
      <w:pPr>
        <w:spacing w:after="0" w:line="240" w:lineRule="auto"/>
        <w:rPr>
          <w:rFonts w:ascii="Times New Roman" w:eastAsia="Calibri" w:hAnsi="Times New Roman" w:cs="Times New Roman"/>
        </w:rPr>
      </w:pPr>
      <w:r w:rsidRPr="00693892">
        <w:rPr>
          <w:rFonts w:ascii="Times New Roman" w:eastAsia="Calibri" w:hAnsi="Times New Roman" w:cs="Times New Roman"/>
        </w:rPr>
        <w:br w:type="page"/>
      </w:r>
    </w:p>
    <w:p w:rsidR="00673838" w:rsidP="00EF7D8A" w14:paraId="0E5845C2" w14:textId="77777777">
      <w:pPr>
        <w:pStyle w:val="Heading1"/>
      </w:pPr>
      <w:bookmarkStart w:id="477" w:name="_Toc144303600"/>
      <w:bookmarkStart w:id="478" w:name="_Toc98856238"/>
      <w:r w:rsidRPr="000617BC">
        <w:t>CHAPTER 8</w:t>
      </w:r>
      <w:r w:rsidR="00693892">
        <w:t>: Small Entity Analysis</w:t>
      </w:r>
      <w:bookmarkEnd w:id="477"/>
    </w:p>
    <w:bookmarkEnd w:id="478"/>
    <w:p w:rsidR="0075046B" w:rsidP="000E6E0F" w14:paraId="6B78CFE8"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The Regulatory Flexibility Act (RFA), as amended (5 U.S.C. 601-612), requires agencies to determine whether a rule will have a “significant economic impact on a substantial number of small entities.” The Small Business Administration (SBA) sets the standard for defining a small entity by 5 or 6-digit NAICS code, for businesses (13 CFR part 121); governments are considered small if they serve fewer than 50,000 residents.</w:t>
      </w:r>
      <w:r>
        <w:rPr>
          <w:rFonts w:ascii="Times New Roman" w:hAnsi="Times New Roman" w:cs="Times New Roman"/>
          <w:vertAlign w:val="superscript"/>
        </w:rPr>
        <w:footnoteReference w:id="166"/>
      </w:r>
      <w:r w:rsidRPr="00693892">
        <w:rPr>
          <w:rFonts w:ascii="Times New Roman" w:hAnsi="Times New Roman" w:cs="Times New Roman"/>
          <w:vertAlign w:val="superscript"/>
        </w:rPr>
        <w:t xml:space="preserve"> </w:t>
      </w:r>
      <w:r w:rsidRPr="00693892">
        <w:rPr>
          <w:rFonts w:ascii="Times New Roman" w:hAnsi="Times New Roman" w:cs="Times New Roman"/>
        </w:rPr>
        <w:t>Although “significant economic impact” is not defined by either the RFA or SBA, EPA guidance provides example thresholds of one percent and three percent of revenues.</w:t>
      </w:r>
      <w:r>
        <w:rPr>
          <w:rFonts w:ascii="Times New Roman" w:hAnsi="Times New Roman" w:cs="Times New Roman"/>
          <w:vertAlign w:val="superscript"/>
        </w:rPr>
        <w:footnoteReference w:id="167"/>
      </w:r>
      <w:r w:rsidRPr="00693892">
        <w:rPr>
          <w:rFonts w:ascii="Times New Roman" w:hAnsi="Times New Roman" w:cs="Times New Roman"/>
          <w:vertAlign w:val="superscript"/>
        </w:rPr>
        <w:t xml:space="preserve"> </w:t>
      </w:r>
      <w:r w:rsidRPr="00693892">
        <w:rPr>
          <w:rFonts w:ascii="Times New Roman" w:hAnsi="Times New Roman" w:cs="Times New Roman"/>
        </w:rPr>
        <w:t>This analysis, however, uses the more stringent one percent threshold because almost 30 percent of the small entities affected by the rule are agricultural chemical distributors; data from the Department of Agriculture indicates that net income in this sector is less than three percent of sales.</w:t>
      </w:r>
      <w:r>
        <w:rPr>
          <w:rFonts w:ascii="Times New Roman" w:hAnsi="Times New Roman" w:cs="Times New Roman"/>
          <w:vertAlign w:val="superscript"/>
        </w:rPr>
        <w:footnoteReference w:id="168"/>
      </w:r>
    </w:p>
    <w:p w:rsidR="00D726C0" w:rsidP="000E6E0F" w14:paraId="14CCEC79" w14:textId="77777777">
      <w:pPr>
        <w:spacing w:after="0" w:line="240" w:lineRule="auto"/>
        <w:ind w:firstLine="360"/>
        <w:rPr>
          <w:rFonts w:ascii="Times New Roman" w:hAnsi="Times New Roman" w:cs="Times New Roman"/>
        </w:rPr>
      </w:pPr>
    </w:p>
    <w:p w:rsidR="0075046B" w:rsidP="000E6E0F" w14:paraId="149894BC"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 xml:space="preserve">This chapter presents the analysis of impacts of the rule on small entities. The first section discusses the industrial sectors reported by RMP facilities. The second section describes the approach to determining how many facilities and firms subject to the rule are small based on SBA </w:t>
      </w:r>
      <w:r w:rsidR="0009150A">
        <w:rPr>
          <w:rFonts w:ascii="Times New Roman" w:hAnsi="Times New Roman" w:cs="Times New Roman"/>
        </w:rPr>
        <w:t xml:space="preserve">size </w:t>
      </w:r>
      <w:r w:rsidRPr="00693892">
        <w:rPr>
          <w:rFonts w:ascii="Times New Roman" w:hAnsi="Times New Roman" w:cs="Times New Roman"/>
        </w:rPr>
        <w:t xml:space="preserve">standards. The third section discusses the economic impacts of the rule on small entities. </w:t>
      </w:r>
    </w:p>
    <w:p w:rsidR="000E6E0F" w:rsidRPr="00693892" w:rsidP="000E6E0F" w14:paraId="3C8E9B4E" w14:textId="77777777">
      <w:pPr>
        <w:spacing w:after="0" w:line="240" w:lineRule="auto"/>
        <w:ind w:firstLine="360"/>
        <w:rPr>
          <w:rFonts w:ascii="Times New Roman" w:hAnsi="Times New Roman" w:cs="Times New Roman"/>
        </w:rPr>
      </w:pPr>
    </w:p>
    <w:p w:rsidR="0075046B" w:rsidRPr="00693892" w:rsidP="00C07306" w14:paraId="45E8E337" w14:textId="77777777">
      <w:pPr>
        <w:pStyle w:val="Heading2"/>
      </w:pPr>
      <w:bookmarkStart w:id="479" w:name="_Toc98856239"/>
      <w:bookmarkStart w:id="480" w:name="_Toc144303601"/>
      <w:r w:rsidRPr="00693892">
        <w:t>8.1 RMP Affected Sectors</w:t>
      </w:r>
      <w:bookmarkEnd w:id="479"/>
      <w:bookmarkEnd w:id="480"/>
      <w:r w:rsidRPr="00693892">
        <w:t xml:space="preserve"> </w:t>
      </w:r>
    </w:p>
    <w:p w:rsidR="0075046B" w:rsidP="000E6E0F" w14:paraId="126193B1"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The RMP rule affects a broad range of sectors (</w:t>
      </w:r>
      <w:r w:rsidR="00CA0425">
        <w:rPr>
          <w:rFonts w:ascii="Times New Roman" w:hAnsi="Times New Roman" w:cs="Times New Roman"/>
        </w:rPr>
        <w:t xml:space="preserve">facilities listed in RMP filings are classified into </w:t>
      </w:r>
      <w:r w:rsidR="003D2C01">
        <w:rPr>
          <w:rFonts w:ascii="Times New Roman" w:hAnsi="Times New Roman" w:cs="Times New Roman"/>
        </w:rPr>
        <w:t>198</w:t>
      </w:r>
      <w:r w:rsidRPr="00693892">
        <w:rPr>
          <w:rFonts w:ascii="Times New Roman" w:hAnsi="Times New Roman" w:cs="Times New Roman"/>
        </w:rPr>
        <w:t xml:space="preserve"> NAICS codes</w:t>
      </w:r>
      <w:r w:rsidR="003D2C01">
        <w:rPr>
          <w:rFonts w:ascii="Times New Roman" w:hAnsi="Times New Roman" w:cs="Times New Roman"/>
        </w:rPr>
        <w:t xml:space="preserve">). </w:t>
      </w:r>
      <w:r w:rsidR="002E3FAA">
        <w:rPr>
          <w:rFonts w:ascii="Times New Roman" w:hAnsi="Times New Roman" w:cs="Times New Roman"/>
        </w:rPr>
        <w:t xml:space="preserve">These facilities are owned by </w:t>
      </w:r>
      <w:r w:rsidR="004F3C30">
        <w:rPr>
          <w:rFonts w:ascii="Times New Roman" w:hAnsi="Times New Roman" w:cs="Times New Roman"/>
        </w:rPr>
        <w:t xml:space="preserve">small </w:t>
      </w:r>
      <w:r w:rsidR="002E3FAA">
        <w:rPr>
          <w:rFonts w:ascii="Times New Roman" w:hAnsi="Times New Roman" w:cs="Times New Roman"/>
        </w:rPr>
        <w:t xml:space="preserve">entities in </w:t>
      </w:r>
      <w:r w:rsidR="00DF73C7">
        <w:rPr>
          <w:rFonts w:ascii="Times New Roman" w:hAnsi="Times New Roman" w:cs="Times New Roman"/>
        </w:rPr>
        <w:t xml:space="preserve">303 NAICS codes. </w:t>
      </w:r>
      <w:r w:rsidRPr="00693892">
        <w:rPr>
          <w:rFonts w:ascii="Times New Roman" w:hAnsi="Times New Roman" w:cs="Times New Roman"/>
        </w:rPr>
        <w:t>The primary sectors subject to the rule and the SBA size standards for defining a small parent entity are shown in Exhibit 8-1.</w:t>
      </w:r>
      <w:r>
        <w:rPr>
          <w:rStyle w:val="FootnoteReference"/>
          <w:rFonts w:ascii="Times New Roman" w:hAnsi="Times New Roman" w:cs="Times New Roman"/>
        </w:rPr>
        <w:footnoteReference w:id="169"/>
      </w:r>
      <w:r w:rsidRPr="00693892">
        <w:rPr>
          <w:rFonts w:ascii="Times New Roman" w:hAnsi="Times New Roman" w:cs="Times New Roman"/>
        </w:rPr>
        <w:t xml:space="preserve"> A dollar value </w:t>
      </w:r>
      <w:r w:rsidR="0048729A">
        <w:rPr>
          <w:rFonts w:ascii="Times New Roman" w:hAnsi="Times New Roman" w:cs="Times New Roman"/>
        </w:rPr>
        <w:t xml:space="preserve">size </w:t>
      </w:r>
      <w:r w:rsidRPr="00693892">
        <w:rPr>
          <w:rFonts w:ascii="Times New Roman" w:hAnsi="Times New Roman" w:cs="Times New Roman"/>
        </w:rPr>
        <w:t xml:space="preserve">standard refers to firm revenues in millions; the full-time-equivalent employees applies to the firm’s total FTE, not the number at any one facility belonging to that entity. For governments, the </w:t>
      </w:r>
      <w:r w:rsidR="00F44EAB">
        <w:rPr>
          <w:rFonts w:ascii="Times New Roman" w:hAnsi="Times New Roman" w:cs="Times New Roman"/>
        </w:rPr>
        <w:t xml:space="preserve">size </w:t>
      </w:r>
      <w:r w:rsidRPr="00693892">
        <w:rPr>
          <w:rFonts w:ascii="Times New Roman" w:hAnsi="Times New Roman" w:cs="Times New Roman"/>
        </w:rPr>
        <w:t xml:space="preserve">standard is based on the population served by the government entity. The NAICS codes are presented at the 2- to 6-digit level based on whether the SBA </w:t>
      </w:r>
      <w:r w:rsidR="00F44EAB">
        <w:rPr>
          <w:rFonts w:ascii="Times New Roman" w:hAnsi="Times New Roman" w:cs="Times New Roman"/>
        </w:rPr>
        <w:t xml:space="preserve">size </w:t>
      </w:r>
      <w:r w:rsidRPr="00693892">
        <w:rPr>
          <w:rFonts w:ascii="Times New Roman" w:hAnsi="Times New Roman" w:cs="Times New Roman"/>
        </w:rPr>
        <w:t>standard varies for the 5- and 6-digit codes and whether there are a substantial number of RMP facilities in the sector.</w:t>
      </w:r>
      <w:r>
        <w:rPr>
          <w:rFonts w:ascii="Times New Roman" w:hAnsi="Times New Roman"/>
          <w:vertAlign w:val="superscript"/>
        </w:rPr>
        <w:footnoteReference w:id="170"/>
      </w:r>
      <w:r w:rsidRPr="00693892">
        <w:rPr>
          <w:rFonts w:ascii="Times New Roman" w:hAnsi="Times New Roman" w:cs="Times New Roman"/>
          <w:vertAlign w:val="superscript"/>
        </w:rPr>
        <w:t xml:space="preserve"> </w:t>
      </w:r>
      <w:r w:rsidRPr="00693892">
        <w:rPr>
          <w:rFonts w:ascii="Times New Roman" w:hAnsi="Times New Roman" w:cs="Times New Roman"/>
        </w:rPr>
        <w:t xml:space="preserve">For example, the SBA size standard for the wholesale trade sector, NAICS </w:t>
      </w:r>
      <w:r w:rsidR="000D0501">
        <w:rPr>
          <w:rFonts w:ascii="Times New Roman" w:hAnsi="Times New Roman" w:cs="Times New Roman"/>
        </w:rPr>
        <w:t>111</w:t>
      </w:r>
      <w:r w:rsidRPr="00693892">
        <w:rPr>
          <w:rFonts w:ascii="Times New Roman" w:hAnsi="Times New Roman" w:cs="Times New Roman"/>
        </w:rPr>
        <w:t>, is the same across all codes (</w:t>
      </w:r>
      <w:r w:rsidR="00840937">
        <w:rPr>
          <w:rFonts w:ascii="Times New Roman" w:hAnsi="Times New Roman" w:cs="Times New Roman"/>
        </w:rPr>
        <w:t>$1 million</w:t>
      </w:r>
      <w:r w:rsidRPr="00693892">
        <w:rPr>
          <w:rFonts w:ascii="Times New Roman" w:hAnsi="Times New Roman" w:cs="Times New Roman"/>
        </w:rPr>
        <w:t>).</w:t>
      </w:r>
    </w:p>
    <w:p w:rsidR="00693892" w:rsidRPr="00693892" w:rsidP="00693892" w14:paraId="446BB78E" w14:textId="77777777">
      <w:pPr>
        <w:spacing w:after="0" w:line="240" w:lineRule="auto"/>
        <w:ind w:firstLine="720"/>
        <w:rPr>
          <w:rFonts w:ascii="Times New Roman" w:hAnsi="Times New Roman" w:cs="Times New Roman"/>
        </w:rPr>
      </w:pPr>
    </w:p>
    <w:p w:rsidR="00E92045" w:rsidRPr="00E92045" w:rsidP="00E92045" w14:paraId="736D9CA6" w14:textId="77777777">
      <w:pPr>
        <w:pStyle w:val="Caption"/>
        <w:jc w:val="center"/>
        <w:rPr>
          <w:rFonts w:ascii="Times New Roman" w:hAnsi="Times New Roman" w:cs="Times New Roman"/>
          <w:b/>
          <w:bCs/>
          <w:i w:val="0"/>
          <w:iCs w:val="0"/>
          <w:color w:val="auto"/>
          <w:sz w:val="22"/>
          <w:szCs w:val="22"/>
        </w:rPr>
      </w:pPr>
      <w:r w:rsidRPr="00E92045">
        <w:rPr>
          <w:rFonts w:ascii="Times New Roman" w:hAnsi="Times New Roman" w:cs="Times New Roman"/>
          <w:b/>
          <w:bCs/>
          <w:i w:val="0"/>
          <w:iCs w:val="0"/>
          <w:color w:val="auto"/>
          <w:sz w:val="22"/>
          <w:szCs w:val="22"/>
        </w:rPr>
        <w:t xml:space="preserve">Exhibit 8-1: </w:t>
      </w:r>
      <w:r w:rsidR="00CD085F">
        <w:rPr>
          <w:rFonts w:ascii="Times New Roman" w:hAnsi="Times New Roman" w:cs="Times New Roman"/>
          <w:b/>
          <w:bCs/>
          <w:i w:val="0"/>
          <w:iCs w:val="0"/>
          <w:color w:val="auto"/>
          <w:sz w:val="22"/>
          <w:szCs w:val="22"/>
        </w:rPr>
        <w:t xml:space="preserve">SBA </w:t>
      </w:r>
      <w:r w:rsidRPr="00E92045">
        <w:rPr>
          <w:rFonts w:ascii="Times New Roman" w:hAnsi="Times New Roman" w:cs="Times New Roman"/>
          <w:b/>
          <w:bCs/>
          <w:i w:val="0"/>
          <w:iCs w:val="0"/>
          <w:color w:val="auto"/>
          <w:sz w:val="22"/>
          <w:szCs w:val="22"/>
        </w:rPr>
        <w:t>Industry Sector Small Entity Size Standard</w:t>
      </w:r>
      <w:r w:rsidR="0009150A">
        <w:rPr>
          <w:rFonts w:ascii="Times New Roman" w:hAnsi="Times New Roman" w:cs="Times New Roman"/>
          <w:b/>
          <w:bCs/>
          <w:i w:val="0"/>
          <w:iCs w:val="0"/>
          <w:color w:val="auto"/>
          <w:sz w:val="22"/>
          <w:szCs w:val="22"/>
        </w:rPr>
        <w:t>s</w:t>
      </w:r>
      <w:r>
        <w:rPr>
          <w:rFonts w:ascii="Times New Roman" w:hAnsi="Times New Roman" w:cs="Times New Roman"/>
          <w:b/>
          <w:bCs/>
          <w:i w:val="0"/>
          <w:iCs w:val="0"/>
          <w:color w:val="auto"/>
          <w:sz w:val="22"/>
          <w:szCs w:val="22"/>
        </w:rPr>
        <w:t>.</w:t>
      </w:r>
    </w:p>
    <w:tbl>
      <w:tblPr>
        <w:tblW w:w="4858" w:type="pct"/>
        <w:jc w:val="center"/>
        <w:tblLook w:val="04A0"/>
      </w:tblPr>
      <w:tblGrid>
        <w:gridCol w:w="1237"/>
        <w:gridCol w:w="5598"/>
        <w:gridCol w:w="2249"/>
      </w:tblGrid>
      <w:tr w14:paraId="144AEAD7" w14:textId="77777777" w:rsidTr="00D8562D">
        <w:tblPrEx>
          <w:tblW w:w="4858" w:type="pct"/>
          <w:jc w:val="center"/>
          <w:tblLook w:val="04A0"/>
        </w:tblPrEx>
        <w:trPr>
          <w:trHeight w:val="312"/>
          <w:tblHeader/>
          <w:jc w:val="center"/>
        </w:trPr>
        <w:tc>
          <w:tcPr>
            <w:tcW w:w="6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92045" w:rsidRPr="00E92045" w:rsidP="00E92045" w14:paraId="4F1F72E2"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b/>
                <w:bCs/>
                <w:color w:val="000000"/>
                <w:sz w:val="20"/>
                <w:szCs w:val="20"/>
              </w:rPr>
              <w:t>NAICS</w:t>
            </w:r>
          </w:p>
        </w:tc>
        <w:tc>
          <w:tcPr>
            <w:tcW w:w="30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92045" w:rsidRPr="00E92045" w:rsidP="00E92045" w14:paraId="04871535"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b/>
                <w:bCs/>
                <w:color w:val="000000"/>
                <w:sz w:val="20"/>
                <w:szCs w:val="20"/>
              </w:rPr>
              <w:t>Sector</w:t>
            </w:r>
          </w:p>
        </w:tc>
        <w:tc>
          <w:tcPr>
            <w:tcW w:w="123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92045" w:rsidRPr="00E92045" w:rsidP="00E92045" w14:paraId="4D454235"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b/>
                <w:bCs/>
                <w:color w:val="000000"/>
                <w:sz w:val="20"/>
                <w:szCs w:val="20"/>
              </w:rPr>
              <w:t>Size</w:t>
            </w:r>
          </w:p>
          <w:p w:rsidR="00E92045" w:rsidRPr="00E92045" w:rsidP="00E92045" w14:paraId="7509CEAE"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b/>
                <w:bCs/>
                <w:color w:val="000000"/>
                <w:sz w:val="20"/>
                <w:szCs w:val="20"/>
              </w:rPr>
              <w:t>Standard</w:t>
            </w:r>
          </w:p>
        </w:tc>
      </w:tr>
      <w:tr w14:paraId="2C2F20BB"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191FF6E0"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color w:val="000000"/>
                <w:sz w:val="20"/>
                <w:szCs w:val="20"/>
              </w:rPr>
              <w:t>111</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A4EAEC3"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color w:val="000000"/>
                <w:sz w:val="20"/>
                <w:szCs w:val="20"/>
              </w:rPr>
              <w:t>Crop Production</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3793624E"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color w:val="000000"/>
                <w:sz w:val="20"/>
                <w:szCs w:val="20"/>
              </w:rPr>
              <w:t>$</w:t>
            </w:r>
            <w:r w:rsidR="002108E3">
              <w:rPr>
                <w:rFonts w:ascii="Times New Roman" w:eastAsia="Times New Roman" w:hAnsi="Times New Roman" w:cs="Times New Roman"/>
                <w:color w:val="000000"/>
                <w:sz w:val="20"/>
                <w:szCs w:val="20"/>
              </w:rPr>
              <w:t>1.</w:t>
            </w:r>
            <w:r w:rsidRPr="00E92045">
              <w:rPr>
                <w:rFonts w:ascii="Times New Roman" w:eastAsia="Times New Roman" w:hAnsi="Times New Roman" w:cs="Times New Roman"/>
                <w:color w:val="000000"/>
                <w:sz w:val="20"/>
                <w:szCs w:val="20"/>
              </w:rPr>
              <w:t>0</w:t>
            </w:r>
            <w:r w:rsidR="0009150A">
              <w:rPr>
                <w:rFonts w:ascii="Times New Roman" w:eastAsia="Times New Roman" w:hAnsi="Times New Roman" w:cs="Times New Roman"/>
                <w:color w:val="000000"/>
                <w:sz w:val="20"/>
                <w:szCs w:val="20"/>
              </w:rPr>
              <w:t xml:space="preserve"> </w:t>
            </w:r>
            <w:r w:rsidRPr="00E92045">
              <w:rPr>
                <w:rFonts w:ascii="Times New Roman" w:eastAsia="Times New Roman" w:hAnsi="Times New Roman" w:cs="Times New Roman"/>
                <w:color w:val="000000"/>
                <w:sz w:val="20"/>
                <w:szCs w:val="20"/>
              </w:rPr>
              <w:t>m</w:t>
            </w:r>
            <w:r w:rsidR="0009150A">
              <w:rPr>
                <w:rFonts w:ascii="Times New Roman" w:eastAsia="Times New Roman" w:hAnsi="Times New Roman" w:cs="Times New Roman"/>
                <w:color w:val="000000"/>
                <w:sz w:val="20"/>
                <w:szCs w:val="20"/>
              </w:rPr>
              <w:t>illion</w:t>
            </w:r>
          </w:p>
        </w:tc>
      </w:tr>
      <w:tr w14:paraId="4D983F76"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270769F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112</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6279263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Animal Production and Aquaculture</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CBCAF2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w:t>
            </w:r>
            <w:r w:rsidR="002108E3">
              <w:rPr>
                <w:rFonts w:ascii="Times New Roman" w:eastAsia="Times New Roman" w:hAnsi="Times New Roman" w:cs="Times New Roman"/>
                <w:color w:val="000000"/>
                <w:sz w:val="20"/>
                <w:szCs w:val="20"/>
              </w:rPr>
              <w:t>1.</w:t>
            </w:r>
            <w:r w:rsidRPr="00E92045">
              <w:rPr>
                <w:rFonts w:ascii="Times New Roman" w:eastAsia="Times New Roman" w:hAnsi="Times New Roman" w:cs="Times New Roman"/>
                <w:color w:val="000000"/>
                <w:sz w:val="20"/>
                <w:szCs w:val="20"/>
              </w:rPr>
              <w:t>0 -$1</w:t>
            </w:r>
            <w:r w:rsidR="002108E3">
              <w:rPr>
                <w:rFonts w:ascii="Times New Roman" w:eastAsia="Times New Roman" w:hAnsi="Times New Roman" w:cs="Times New Roman"/>
                <w:color w:val="000000"/>
                <w:sz w:val="20"/>
                <w:szCs w:val="20"/>
              </w:rPr>
              <w:t>6.5</w:t>
            </w:r>
            <w:r w:rsidR="0009150A">
              <w:rPr>
                <w:rFonts w:ascii="Times New Roman" w:eastAsia="Times New Roman" w:hAnsi="Times New Roman" w:cs="Times New Roman"/>
                <w:color w:val="000000"/>
                <w:sz w:val="20"/>
                <w:szCs w:val="20"/>
              </w:rPr>
              <w:t xml:space="preserve"> </w:t>
            </w:r>
            <w:r w:rsidRPr="00E92045" w:rsidR="0009150A">
              <w:rPr>
                <w:rFonts w:ascii="Times New Roman" w:eastAsia="Times New Roman" w:hAnsi="Times New Roman" w:cs="Times New Roman"/>
                <w:color w:val="000000"/>
                <w:sz w:val="20"/>
                <w:szCs w:val="20"/>
              </w:rPr>
              <w:t>m</w:t>
            </w:r>
            <w:r w:rsidR="0009150A">
              <w:rPr>
                <w:rFonts w:ascii="Times New Roman" w:eastAsia="Times New Roman" w:hAnsi="Times New Roman" w:cs="Times New Roman"/>
                <w:color w:val="000000"/>
                <w:sz w:val="20"/>
                <w:szCs w:val="20"/>
              </w:rPr>
              <w:t>illion</w:t>
            </w:r>
          </w:p>
        </w:tc>
      </w:tr>
      <w:tr w14:paraId="242A3207"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64C778F7"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115</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378998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Support Activities for Agriculture and Forestry</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4A6F5A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w:t>
            </w:r>
            <w:r w:rsidR="003159A8">
              <w:rPr>
                <w:rFonts w:ascii="Times New Roman" w:eastAsia="Times New Roman" w:hAnsi="Times New Roman" w:cs="Times New Roman"/>
                <w:color w:val="000000"/>
                <w:sz w:val="20"/>
                <w:szCs w:val="20"/>
              </w:rPr>
              <w:t>8</w:t>
            </w:r>
            <w:r w:rsidRPr="00E92045">
              <w:rPr>
                <w:rFonts w:ascii="Times New Roman" w:eastAsia="Times New Roman" w:hAnsi="Times New Roman" w:cs="Times New Roman"/>
                <w:color w:val="000000"/>
                <w:sz w:val="20"/>
                <w:szCs w:val="20"/>
              </w:rPr>
              <w:t xml:space="preserve"> - $</w:t>
            </w:r>
            <w:r w:rsidR="003159A8">
              <w:rPr>
                <w:rFonts w:ascii="Times New Roman" w:eastAsia="Times New Roman" w:hAnsi="Times New Roman" w:cs="Times New Roman"/>
                <w:color w:val="000000"/>
                <w:sz w:val="20"/>
                <w:szCs w:val="20"/>
              </w:rPr>
              <w:t>30</w:t>
            </w:r>
            <w:r w:rsidR="0009150A">
              <w:rPr>
                <w:rFonts w:ascii="Times New Roman" w:eastAsia="Times New Roman" w:hAnsi="Times New Roman" w:cs="Times New Roman"/>
                <w:color w:val="000000"/>
                <w:sz w:val="20"/>
                <w:szCs w:val="20"/>
              </w:rPr>
              <w:t xml:space="preserve"> </w:t>
            </w:r>
            <w:r w:rsidRPr="00E92045" w:rsidR="0009150A">
              <w:rPr>
                <w:rFonts w:ascii="Times New Roman" w:eastAsia="Times New Roman" w:hAnsi="Times New Roman" w:cs="Times New Roman"/>
                <w:color w:val="000000"/>
                <w:sz w:val="20"/>
                <w:szCs w:val="20"/>
              </w:rPr>
              <w:t>m</w:t>
            </w:r>
            <w:r w:rsidR="0009150A">
              <w:rPr>
                <w:rFonts w:ascii="Times New Roman" w:eastAsia="Times New Roman" w:hAnsi="Times New Roman" w:cs="Times New Roman"/>
                <w:color w:val="000000"/>
                <w:sz w:val="20"/>
                <w:szCs w:val="20"/>
              </w:rPr>
              <w:t>illion</w:t>
            </w:r>
          </w:p>
        </w:tc>
      </w:tr>
      <w:tr w14:paraId="65DF84A5"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01CDF8C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211111</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5CDDA0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Crude Petroleum and Natural Gas Extraction</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531784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1,250 FTE</w:t>
            </w:r>
          </w:p>
        </w:tc>
      </w:tr>
      <w:tr w14:paraId="107E42F4"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4AF093C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221112</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0A61C0A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Fossil Fuel Electric Power Generation</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6327FF6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FTE</w:t>
            </w:r>
          </w:p>
        </w:tc>
      </w:tr>
      <w:tr w14:paraId="0F5E1C83"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56DB3C0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22131</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339A5A3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Water Supply and Irrigation Systems</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4382E37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w:t>
            </w:r>
            <w:r w:rsidR="00340FC8">
              <w:rPr>
                <w:rFonts w:ascii="Times New Roman" w:eastAsia="Times New Roman" w:hAnsi="Times New Roman" w:cs="Times New Roman"/>
                <w:color w:val="000000"/>
                <w:sz w:val="20"/>
                <w:szCs w:val="20"/>
              </w:rPr>
              <w:t>30</w:t>
            </w:r>
            <w:r w:rsidR="0009150A">
              <w:rPr>
                <w:rFonts w:ascii="Times New Roman" w:eastAsia="Times New Roman" w:hAnsi="Times New Roman" w:cs="Times New Roman"/>
                <w:color w:val="000000"/>
                <w:sz w:val="20"/>
                <w:szCs w:val="20"/>
              </w:rPr>
              <w:t xml:space="preserve"> </w:t>
            </w:r>
            <w:r w:rsidRPr="00E92045" w:rsidR="0009150A">
              <w:rPr>
                <w:rFonts w:ascii="Times New Roman" w:eastAsia="Times New Roman" w:hAnsi="Times New Roman" w:cs="Times New Roman"/>
                <w:color w:val="000000"/>
                <w:sz w:val="20"/>
                <w:szCs w:val="20"/>
              </w:rPr>
              <w:t>m</w:t>
            </w:r>
            <w:r w:rsidR="0009150A">
              <w:rPr>
                <w:rFonts w:ascii="Times New Roman" w:eastAsia="Times New Roman" w:hAnsi="Times New Roman" w:cs="Times New Roman"/>
                <w:color w:val="000000"/>
                <w:sz w:val="20"/>
                <w:szCs w:val="20"/>
              </w:rPr>
              <w:t>illion</w:t>
            </w:r>
          </w:p>
        </w:tc>
      </w:tr>
      <w:tr w14:paraId="49609E05"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287888D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22132</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33272D6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Sewage Treatment Facilities</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010574D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w:t>
            </w:r>
            <w:r w:rsidR="00340FC8">
              <w:rPr>
                <w:rFonts w:ascii="Times New Roman" w:eastAsia="Times New Roman" w:hAnsi="Times New Roman" w:cs="Times New Roman"/>
                <w:color w:val="000000"/>
                <w:sz w:val="20"/>
                <w:szCs w:val="20"/>
              </w:rPr>
              <w:t>22</w:t>
            </w:r>
            <w:r w:rsidR="0009150A">
              <w:rPr>
                <w:rFonts w:ascii="Times New Roman" w:eastAsia="Times New Roman" w:hAnsi="Times New Roman" w:cs="Times New Roman"/>
                <w:color w:val="000000"/>
                <w:sz w:val="20"/>
                <w:szCs w:val="20"/>
              </w:rPr>
              <w:t xml:space="preserve"> </w:t>
            </w:r>
            <w:r w:rsidRPr="00E92045" w:rsidR="0009150A">
              <w:rPr>
                <w:rFonts w:ascii="Times New Roman" w:eastAsia="Times New Roman" w:hAnsi="Times New Roman" w:cs="Times New Roman"/>
                <w:color w:val="000000"/>
                <w:sz w:val="20"/>
                <w:szCs w:val="20"/>
              </w:rPr>
              <w:t>m</w:t>
            </w:r>
            <w:r w:rsidR="0009150A">
              <w:rPr>
                <w:rFonts w:ascii="Times New Roman" w:eastAsia="Times New Roman" w:hAnsi="Times New Roman" w:cs="Times New Roman"/>
                <w:color w:val="000000"/>
                <w:sz w:val="20"/>
                <w:szCs w:val="20"/>
              </w:rPr>
              <w:t>illion</w:t>
            </w:r>
          </w:p>
        </w:tc>
      </w:tr>
      <w:tr w14:paraId="039A8C14"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1A9B02F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3111</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47CD277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Animal Food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4704F2F"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500 - 1,000 FTE</w:t>
            </w:r>
          </w:p>
        </w:tc>
      </w:tr>
      <w:tr w14:paraId="0FA48E70"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5AFC921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3112</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67E3AE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Grain and Oilseed Milling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3A5832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500 - 1,000 FTE</w:t>
            </w:r>
          </w:p>
        </w:tc>
      </w:tr>
      <w:tr w14:paraId="3F75EA88"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36F9256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3113</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0F1D65B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Sugar and Confectionery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5D31FBF"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66028A4A"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29B33EE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3114</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C80A8B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Fruit and Vegetable Preserving and Specialty Food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4ED53FEF"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3F6380F5"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0A802A4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3115</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1E1AC4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Dairy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99AB6C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54E00F02"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6757108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3116</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122280A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Animal Slaughtering and Processing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0AE96E7"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0A088370"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32AC999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3117</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28C215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Seafood Product Preparation and Packaging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4E82CB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FTE</w:t>
            </w:r>
          </w:p>
        </w:tc>
      </w:tr>
      <w:tr w14:paraId="46FC854D"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03A7051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3118</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397A9C3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Bakeries and Tortilla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FC8D768" w14:textId="7777777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r w:rsidRPr="00E92045">
              <w:rPr>
                <w:rFonts w:ascii="Times New Roman" w:eastAsia="Times New Roman" w:hAnsi="Times New Roman" w:cs="Times New Roman"/>
                <w:color w:val="000000"/>
                <w:sz w:val="20"/>
                <w:szCs w:val="20"/>
              </w:rPr>
              <w:t xml:space="preserve"> - 1,250 FTE</w:t>
            </w:r>
          </w:p>
        </w:tc>
      </w:tr>
      <w:tr w14:paraId="650BB861"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6092B09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3119</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68E687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Other Food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04AEA4F" w14:textId="7777777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r w:rsidRPr="00E92045">
              <w:rPr>
                <w:rFonts w:ascii="Times New Roman" w:eastAsia="Times New Roman" w:hAnsi="Times New Roman" w:cs="Times New Roman"/>
                <w:color w:val="000000"/>
                <w:sz w:val="20"/>
                <w:szCs w:val="20"/>
              </w:rPr>
              <w:t xml:space="preserve"> - 1,250 FTE</w:t>
            </w:r>
          </w:p>
        </w:tc>
      </w:tr>
      <w:tr w14:paraId="5EF83624"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0DAD5FB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3121</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4F3DE0B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Beverage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13E1F81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0D556151"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7341F97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322</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450C23C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Paper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DC518C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500 - 1,500 FTE</w:t>
            </w:r>
          </w:p>
        </w:tc>
      </w:tr>
      <w:tr w14:paraId="3F5710B3"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1F83292F"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32411</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05CFB1D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Petroleum Refineries</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0BE7313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1,500 FTE</w:t>
            </w:r>
          </w:p>
        </w:tc>
      </w:tr>
      <w:tr w14:paraId="1AB8EE85"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0A286C1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3254</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4BC73F4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Pharmaceutical and Medicine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35D3D5A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1,000 - 1,250 FTE</w:t>
            </w:r>
          </w:p>
        </w:tc>
      </w:tr>
      <w:tr w14:paraId="7D139ED7"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43A31F4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3255</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63F40B7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Paint, Coating, and Adhesive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469775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500 - 1,000 FTE</w:t>
            </w:r>
          </w:p>
        </w:tc>
      </w:tr>
      <w:tr w14:paraId="63919C21"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74C1895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3256</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3FBE32A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Soap, Cleaning Compound, and Toilet Preparation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EAA3A7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2D1B0BE3"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641F811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3259</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7A941A7"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Other Chemical Product and Preparation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34870C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500 - 1,500 FTE</w:t>
            </w:r>
          </w:p>
        </w:tc>
      </w:tr>
      <w:tr w14:paraId="00173BC4"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01A3C08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326</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021DFCA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Plastics and Rubber Products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3730F1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w:t>
            </w:r>
            <w:r w:rsidR="00267AA1">
              <w:rPr>
                <w:rFonts w:ascii="Times New Roman" w:eastAsia="Times New Roman" w:hAnsi="Times New Roman" w:cs="Times New Roman"/>
                <w:color w:val="000000"/>
                <w:sz w:val="20"/>
                <w:szCs w:val="20"/>
              </w:rPr>
              <w:t>50</w:t>
            </w:r>
            <w:r w:rsidRPr="00E92045">
              <w:rPr>
                <w:rFonts w:ascii="Times New Roman" w:eastAsia="Times New Roman" w:hAnsi="Times New Roman" w:cs="Times New Roman"/>
                <w:color w:val="000000"/>
                <w:sz w:val="20"/>
                <w:szCs w:val="20"/>
              </w:rPr>
              <w:t>0 FTE</w:t>
            </w:r>
          </w:p>
        </w:tc>
      </w:tr>
      <w:tr w14:paraId="63C801CF"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165C74D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327</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3FC37FF"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Nonmetallic Mineral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DFD26D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500 - 1,5</w:t>
            </w:r>
            <w:r w:rsidR="00DE53D6">
              <w:rPr>
                <w:rFonts w:ascii="Times New Roman" w:eastAsia="Times New Roman" w:hAnsi="Times New Roman" w:cs="Times New Roman"/>
                <w:color w:val="000000"/>
                <w:sz w:val="20"/>
                <w:szCs w:val="20"/>
              </w:rPr>
              <w:t>0</w:t>
            </w:r>
            <w:r w:rsidRPr="00E92045">
              <w:rPr>
                <w:rFonts w:ascii="Times New Roman" w:eastAsia="Times New Roman" w:hAnsi="Times New Roman" w:cs="Times New Roman"/>
                <w:color w:val="000000"/>
                <w:sz w:val="20"/>
                <w:szCs w:val="20"/>
              </w:rPr>
              <w:t>0 FTE</w:t>
            </w:r>
          </w:p>
        </w:tc>
      </w:tr>
      <w:tr w14:paraId="5CD8C40E"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0AFA5E2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331</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41FA027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Primary Metal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F3D46F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w:t>
            </w:r>
            <w:r w:rsidR="00D34B88">
              <w:rPr>
                <w:rFonts w:ascii="Times New Roman" w:eastAsia="Times New Roman" w:hAnsi="Times New Roman" w:cs="Times New Roman"/>
                <w:color w:val="000000"/>
                <w:sz w:val="20"/>
                <w:szCs w:val="20"/>
              </w:rPr>
              <w:t>50</w:t>
            </w:r>
            <w:r w:rsidRPr="00E92045">
              <w:rPr>
                <w:rFonts w:ascii="Times New Roman" w:eastAsia="Times New Roman" w:hAnsi="Times New Roman" w:cs="Times New Roman"/>
                <w:color w:val="000000"/>
                <w:sz w:val="20"/>
                <w:szCs w:val="20"/>
              </w:rPr>
              <w:t>0 FTE</w:t>
            </w:r>
          </w:p>
        </w:tc>
      </w:tr>
      <w:tr w14:paraId="00DA9F3F"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02E621C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332</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1A9CCB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Fabricated Metal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A1E8B80"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500 - 1,500 FTE</w:t>
            </w:r>
          </w:p>
        </w:tc>
      </w:tr>
      <w:tr w14:paraId="484D9934"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5E1BDD2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333</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6E00BE0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Machinery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D87A83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500 - 1,500 FTE</w:t>
            </w:r>
          </w:p>
        </w:tc>
      </w:tr>
      <w:tr w14:paraId="342BA8EB"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63FB3B7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334</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3824A9A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Computer and Electronic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18C732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500 - 1,250 FTE</w:t>
            </w:r>
          </w:p>
        </w:tc>
      </w:tr>
      <w:tr w14:paraId="2691782F"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09FC06E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335</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4A29DD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Electrical Equipment, Appliance, and Component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0D8E48F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500 - 1,500 FTE</w:t>
            </w:r>
          </w:p>
        </w:tc>
      </w:tr>
      <w:tr w14:paraId="2D75179A"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35BC57C0"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336</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157F2ED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Transportation Equipment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4B3438D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1,000 - 1,500 FTE</w:t>
            </w:r>
          </w:p>
        </w:tc>
      </w:tr>
      <w:tr w14:paraId="6D93A665"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001728B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337</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1381D00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Furniture and Related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76170E7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500 - 1,000 FTE</w:t>
            </w:r>
          </w:p>
        </w:tc>
      </w:tr>
      <w:tr w14:paraId="6B5B0AD9"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5463685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339</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04A721AF"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Miscellaneous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1AC3FA0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500 - 1,000 FTE</w:t>
            </w:r>
          </w:p>
        </w:tc>
      </w:tr>
      <w:tr w14:paraId="0015ADE6"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1EBC04C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42</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2E10B13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Wholesale Trade</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16A8FA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100 - </w:t>
            </w:r>
            <w:r w:rsidR="00154E9A">
              <w:rPr>
                <w:rFonts w:ascii="Times New Roman" w:eastAsia="Times New Roman" w:hAnsi="Times New Roman" w:cs="Times New Roman"/>
                <w:color w:val="000000"/>
                <w:sz w:val="20"/>
                <w:szCs w:val="20"/>
              </w:rPr>
              <w:t>2</w:t>
            </w:r>
            <w:r w:rsidRPr="00E92045">
              <w:rPr>
                <w:rFonts w:ascii="Times New Roman" w:eastAsia="Times New Roman" w:hAnsi="Times New Roman" w:cs="Times New Roman"/>
                <w:color w:val="000000"/>
                <w:sz w:val="20"/>
                <w:szCs w:val="20"/>
              </w:rPr>
              <w:t>50 FTE</w:t>
            </w:r>
          </w:p>
        </w:tc>
      </w:tr>
      <w:tr w14:paraId="5E241F0E"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5ABCF4D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44422</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1E08F2D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Nursery, Garden Center, and Farm Supply Stores</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858B4F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w:t>
            </w:r>
            <w:r w:rsidR="00AC06F0">
              <w:rPr>
                <w:rFonts w:ascii="Times New Roman" w:eastAsia="Times New Roman" w:hAnsi="Times New Roman" w:cs="Times New Roman"/>
                <w:color w:val="000000"/>
                <w:sz w:val="20"/>
                <w:szCs w:val="20"/>
              </w:rPr>
              <w:t xml:space="preserve">2 </w:t>
            </w:r>
            <w:r w:rsidRPr="00E92045">
              <w:rPr>
                <w:rFonts w:ascii="Times New Roman" w:eastAsia="Times New Roman" w:hAnsi="Times New Roman" w:cs="Times New Roman"/>
                <w:color w:val="000000"/>
                <w:sz w:val="20"/>
                <w:szCs w:val="20"/>
              </w:rPr>
              <w:t>m</w:t>
            </w:r>
            <w:r w:rsidR="00AC06F0">
              <w:rPr>
                <w:rFonts w:ascii="Times New Roman" w:eastAsia="Times New Roman" w:hAnsi="Times New Roman" w:cs="Times New Roman"/>
                <w:color w:val="000000"/>
                <w:sz w:val="20"/>
                <w:szCs w:val="20"/>
              </w:rPr>
              <w:t>illion</w:t>
            </w:r>
          </w:p>
        </w:tc>
      </w:tr>
      <w:tr w14:paraId="5EF56BA5"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2AC8516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45431</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61E8874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Fuel Dealers</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309BAAD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100 FTE</w:t>
            </w:r>
          </w:p>
        </w:tc>
      </w:tr>
      <w:tr w14:paraId="2BF9A3A1"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082F709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48691</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1EFFD81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Pipeline Transportation of Refined Product</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5811551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1,500 FTE</w:t>
            </w:r>
          </w:p>
        </w:tc>
      </w:tr>
      <w:tr w14:paraId="1579B90C" w14:textId="77777777" w:rsidTr="001B4BE1">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92045" w:rsidRPr="00E92045" w:rsidP="00E92045" w14:paraId="2307164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48821</w:t>
            </w:r>
          </w:p>
        </w:tc>
        <w:tc>
          <w:tcPr>
            <w:tcW w:w="3081"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61EE83DF"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Support Activities for Rail Transportation</w:t>
            </w:r>
          </w:p>
        </w:tc>
        <w:tc>
          <w:tcPr>
            <w:tcW w:w="1238" w:type="pct"/>
            <w:tcBorders>
              <w:top w:val="single" w:sz="4" w:space="0" w:color="auto"/>
              <w:left w:val="nil"/>
              <w:bottom w:val="single" w:sz="4" w:space="0" w:color="auto"/>
              <w:right w:val="single" w:sz="4" w:space="0" w:color="auto"/>
            </w:tcBorders>
            <w:shd w:val="clear" w:color="auto" w:fill="auto"/>
            <w:vAlign w:val="center"/>
          </w:tcPr>
          <w:p w:rsidR="00E92045" w:rsidRPr="00E92045" w:rsidP="00E92045" w14:paraId="1645F94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w:t>
            </w:r>
            <w:r w:rsidR="00AE0EC4">
              <w:rPr>
                <w:rFonts w:ascii="Times New Roman" w:eastAsia="Times New Roman" w:hAnsi="Times New Roman" w:cs="Times New Roman"/>
                <w:color w:val="000000"/>
                <w:sz w:val="20"/>
                <w:szCs w:val="20"/>
              </w:rPr>
              <w:t>6.5</w:t>
            </w:r>
            <w:r w:rsidR="00AC06F0">
              <w:rPr>
                <w:rFonts w:ascii="Times New Roman" w:eastAsia="Times New Roman" w:hAnsi="Times New Roman" w:cs="Times New Roman"/>
                <w:color w:val="000000"/>
                <w:sz w:val="20"/>
                <w:szCs w:val="20"/>
              </w:rPr>
              <w:t xml:space="preserve"> </w:t>
            </w:r>
            <w:r w:rsidRPr="00E92045">
              <w:rPr>
                <w:rFonts w:ascii="Times New Roman" w:eastAsia="Times New Roman" w:hAnsi="Times New Roman" w:cs="Times New Roman"/>
                <w:color w:val="000000"/>
                <w:sz w:val="20"/>
                <w:szCs w:val="20"/>
              </w:rPr>
              <w:t>m</w:t>
            </w:r>
            <w:r w:rsidR="00AC06F0">
              <w:rPr>
                <w:rFonts w:ascii="Times New Roman" w:eastAsia="Times New Roman" w:hAnsi="Times New Roman" w:cs="Times New Roman"/>
                <w:color w:val="000000"/>
                <w:sz w:val="20"/>
                <w:szCs w:val="20"/>
              </w:rPr>
              <w:t>illion</w:t>
            </w:r>
          </w:p>
        </w:tc>
      </w:tr>
    </w:tbl>
    <w:p w:rsidR="0075046B" w:rsidRPr="00C41D0C" w:rsidP="00E92045" w14:paraId="79BCAC11" w14:textId="77777777">
      <w:pPr>
        <w:keepNext/>
        <w:rPr>
          <w:rFonts w:ascii="Times New Roman" w:hAnsi="Times New Roman" w:cs="Times New Roman"/>
          <w:b/>
          <w:sz w:val="24"/>
          <w:szCs w:val="24"/>
        </w:rPr>
      </w:pPr>
    </w:p>
    <w:p w:rsidR="0075046B" w:rsidRPr="00693892" w:rsidP="00C07306" w14:paraId="5621F68B" w14:textId="77777777">
      <w:pPr>
        <w:pStyle w:val="Heading2"/>
      </w:pPr>
      <w:bookmarkStart w:id="481" w:name="_Toc98856240"/>
      <w:bookmarkStart w:id="482" w:name="_Toc144303602"/>
      <w:r w:rsidRPr="00693892">
        <w:t>8.2 Estimating the Number of Small Entities</w:t>
      </w:r>
      <w:bookmarkEnd w:id="481"/>
      <w:bookmarkEnd w:id="482"/>
      <w:r w:rsidRPr="00693892">
        <w:t xml:space="preserve"> </w:t>
      </w:r>
    </w:p>
    <w:p w:rsidR="0075046B" w:rsidP="000E6E0F" w14:paraId="6FFC21C3"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 xml:space="preserve">This analysis of small entities is based on a unique list of entities associated with the current universe of RMP regulated facilities. To create the unique list, EPA relied on (1) data from Data Axle, a business data provider, which indicated the company name or parent company name based on facility addresses, and (2) parent company names from the RMP </w:t>
      </w:r>
      <w:r w:rsidRPr="00693892" w:rsidR="005752DC">
        <w:rPr>
          <w:rFonts w:ascii="Times New Roman" w:hAnsi="Times New Roman" w:cs="Times New Roman"/>
        </w:rPr>
        <w:t>D</w:t>
      </w:r>
      <w:r w:rsidRPr="00693892">
        <w:rPr>
          <w:rFonts w:ascii="Times New Roman" w:hAnsi="Times New Roman" w:cs="Times New Roman"/>
        </w:rPr>
        <w:t xml:space="preserve">atabase. </w:t>
      </w:r>
      <w:r w:rsidR="00FB17EF">
        <w:rPr>
          <w:rFonts w:ascii="Times New Roman" w:hAnsi="Times New Roman" w:cs="Times New Roman"/>
        </w:rPr>
        <w:t xml:space="preserve">In response to </w:t>
      </w:r>
      <w:r w:rsidR="00FF523C">
        <w:rPr>
          <w:rFonts w:ascii="Times New Roman" w:hAnsi="Times New Roman" w:cs="Times New Roman"/>
        </w:rPr>
        <w:t xml:space="preserve">multiple commenters, </w:t>
      </w:r>
      <w:r w:rsidR="00FF523C">
        <w:rPr>
          <w:rFonts w:ascii="Times New Roman" w:hAnsi="Times New Roman" w:cs="Times New Roman"/>
        </w:rPr>
        <w:t xml:space="preserve">EPA </w:t>
      </w:r>
      <w:r w:rsidR="00887A10">
        <w:rPr>
          <w:rFonts w:ascii="Times New Roman" w:hAnsi="Times New Roman" w:cs="Times New Roman"/>
        </w:rPr>
        <w:t xml:space="preserve">completed a </w:t>
      </w:r>
      <w:r w:rsidR="003D6A2E">
        <w:rPr>
          <w:rFonts w:ascii="Times New Roman" w:hAnsi="Times New Roman" w:cs="Times New Roman"/>
        </w:rPr>
        <w:t>second</w:t>
      </w:r>
      <w:r w:rsidR="00FF523C">
        <w:rPr>
          <w:rFonts w:ascii="Times New Roman" w:hAnsi="Times New Roman" w:cs="Times New Roman"/>
        </w:rPr>
        <w:t xml:space="preserve"> analysis with data from D&amp;B </w:t>
      </w:r>
      <w:r w:rsidR="00BD246E">
        <w:rPr>
          <w:rFonts w:ascii="Times New Roman" w:hAnsi="Times New Roman" w:cs="Times New Roman"/>
        </w:rPr>
        <w:t>Hoovers</w:t>
      </w:r>
      <w:r w:rsidR="00C418B4">
        <w:rPr>
          <w:rFonts w:ascii="Times New Roman" w:hAnsi="Times New Roman" w:cs="Times New Roman"/>
        </w:rPr>
        <w:t xml:space="preserve">, which can be found in Appendix </w:t>
      </w:r>
      <w:r w:rsidR="006759FF">
        <w:rPr>
          <w:rFonts w:ascii="Times New Roman" w:hAnsi="Times New Roman" w:cs="Times New Roman"/>
        </w:rPr>
        <w:t>C</w:t>
      </w:r>
      <w:r w:rsidR="00BD246E">
        <w:rPr>
          <w:rFonts w:ascii="Times New Roman" w:hAnsi="Times New Roman" w:cs="Times New Roman"/>
        </w:rPr>
        <w:t xml:space="preserve">. </w:t>
      </w:r>
      <w:r w:rsidR="00603CEC">
        <w:rPr>
          <w:rFonts w:ascii="Times New Roman" w:hAnsi="Times New Roman" w:cs="Times New Roman"/>
        </w:rPr>
        <w:t xml:space="preserve">The objective is to compare the conclusions drawn from the two different data sources. </w:t>
      </w:r>
      <w:r w:rsidRPr="00693892">
        <w:rPr>
          <w:rFonts w:ascii="Times New Roman" w:hAnsi="Times New Roman" w:cs="Times New Roman"/>
        </w:rPr>
        <w:t xml:space="preserve">The RMP </w:t>
      </w:r>
      <w:r w:rsidRPr="00693892" w:rsidR="005752DC">
        <w:rPr>
          <w:rFonts w:ascii="Times New Roman" w:hAnsi="Times New Roman" w:cs="Times New Roman"/>
        </w:rPr>
        <w:t>D</w:t>
      </w:r>
      <w:r w:rsidRPr="00693892">
        <w:rPr>
          <w:rFonts w:ascii="Times New Roman" w:hAnsi="Times New Roman" w:cs="Times New Roman"/>
        </w:rPr>
        <w:t>atabase provides facility</w:t>
      </w:r>
      <w:r w:rsidRPr="00693892" w:rsidR="0071214C">
        <w:rPr>
          <w:rFonts w:ascii="Times New Roman" w:hAnsi="Times New Roman" w:cs="Times New Roman"/>
        </w:rPr>
        <w:t>-</w:t>
      </w:r>
      <w:r w:rsidRPr="00693892">
        <w:rPr>
          <w:rFonts w:ascii="Times New Roman" w:hAnsi="Times New Roman" w:cs="Times New Roman"/>
        </w:rPr>
        <w:t>level counts of employees and NAICS codes for processes within the facility; however</w:t>
      </w:r>
      <w:r w:rsidRPr="00693892" w:rsidR="00FD7604">
        <w:rPr>
          <w:rFonts w:ascii="Times New Roman" w:hAnsi="Times New Roman" w:cs="Times New Roman"/>
        </w:rPr>
        <w:t>,</w:t>
      </w:r>
      <w:r w:rsidRPr="00693892">
        <w:rPr>
          <w:rFonts w:ascii="Times New Roman" w:hAnsi="Times New Roman" w:cs="Times New Roman"/>
        </w:rPr>
        <w:t xml:space="preserve"> the small entity classification requires data on all employees, or revenue for sectors with a revenue </w:t>
      </w:r>
      <w:r w:rsidR="00F44EAB">
        <w:rPr>
          <w:rFonts w:ascii="Times New Roman" w:hAnsi="Times New Roman" w:cs="Times New Roman"/>
        </w:rPr>
        <w:t xml:space="preserve">size </w:t>
      </w:r>
      <w:r w:rsidRPr="00693892">
        <w:rPr>
          <w:rFonts w:ascii="Times New Roman" w:hAnsi="Times New Roman" w:cs="Times New Roman"/>
        </w:rPr>
        <w:t>standard, across all locations owned by the entity or entity’s parent company. In addition, the appropriate NAICS code for the small entity analysis is not necessarily the NAICS</w:t>
      </w:r>
      <w:r w:rsidR="0042402D">
        <w:rPr>
          <w:rFonts w:ascii="Times New Roman" w:hAnsi="Times New Roman" w:cs="Times New Roman"/>
        </w:rPr>
        <w:t xml:space="preserve"> code</w:t>
      </w:r>
      <w:r w:rsidRPr="00693892">
        <w:rPr>
          <w:rFonts w:ascii="Times New Roman" w:hAnsi="Times New Roman" w:cs="Times New Roman"/>
        </w:rPr>
        <w:t xml:space="preserve"> associated with the RMP process, but the one associated with the largest source of revenue for the entity or parent company. </w:t>
      </w:r>
      <w:r w:rsidR="008B1E36">
        <w:rPr>
          <w:rFonts w:ascii="Times New Roman" w:hAnsi="Times New Roman" w:cs="Times New Roman"/>
        </w:rPr>
        <w:t>For</w:t>
      </w:r>
      <w:r w:rsidR="00F13EB5">
        <w:rPr>
          <w:rFonts w:ascii="Times New Roman" w:hAnsi="Times New Roman" w:cs="Times New Roman"/>
        </w:rPr>
        <w:t xml:space="preserve"> example, </w:t>
      </w:r>
      <w:r w:rsidR="0057631E">
        <w:rPr>
          <w:rFonts w:ascii="Times New Roman" w:hAnsi="Times New Roman" w:cs="Times New Roman"/>
        </w:rPr>
        <w:t xml:space="preserve">an entity in the pipeline transportation sector, NAICS 486, owns </w:t>
      </w:r>
      <w:r w:rsidR="00296E3D">
        <w:rPr>
          <w:rFonts w:ascii="Times New Roman" w:hAnsi="Times New Roman" w:cs="Times New Roman"/>
        </w:rPr>
        <w:t>a</w:t>
      </w:r>
      <w:r w:rsidR="0057631E">
        <w:rPr>
          <w:rFonts w:ascii="Times New Roman" w:hAnsi="Times New Roman" w:cs="Times New Roman"/>
        </w:rPr>
        <w:t xml:space="preserve"> </w:t>
      </w:r>
      <w:r w:rsidR="009B70EB">
        <w:rPr>
          <w:rFonts w:ascii="Times New Roman" w:hAnsi="Times New Roman" w:cs="Times New Roman"/>
        </w:rPr>
        <w:t>facility in</w:t>
      </w:r>
      <w:r w:rsidR="00296E3D">
        <w:rPr>
          <w:rFonts w:ascii="Times New Roman" w:hAnsi="Times New Roman" w:cs="Times New Roman"/>
        </w:rPr>
        <w:t xml:space="preserve"> NAICS 324, and therefore</w:t>
      </w:r>
      <w:r w:rsidR="00A36A70">
        <w:rPr>
          <w:rFonts w:ascii="Times New Roman" w:hAnsi="Times New Roman" w:cs="Times New Roman"/>
        </w:rPr>
        <w:t xml:space="preserve"> will</w:t>
      </w:r>
      <w:r w:rsidR="00296E3D">
        <w:rPr>
          <w:rFonts w:ascii="Times New Roman" w:hAnsi="Times New Roman" w:cs="Times New Roman"/>
        </w:rPr>
        <w:t xml:space="preserve"> face STAA costs.</w:t>
      </w:r>
      <w:r w:rsidR="0057631E">
        <w:rPr>
          <w:rFonts w:ascii="Times New Roman" w:hAnsi="Times New Roman" w:cs="Times New Roman"/>
        </w:rPr>
        <w:t xml:space="preserve"> </w:t>
      </w:r>
      <w:r w:rsidRPr="00693892">
        <w:rPr>
          <w:rFonts w:ascii="Times New Roman" w:hAnsi="Times New Roman" w:cs="Times New Roman"/>
        </w:rPr>
        <w:t>Therefore, for each unique business</w:t>
      </w:r>
      <w:r w:rsidR="00F47E6B">
        <w:rPr>
          <w:rFonts w:ascii="Times New Roman" w:hAnsi="Times New Roman" w:cs="Times New Roman"/>
        </w:rPr>
        <w:t>,</w:t>
      </w:r>
      <w:r w:rsidRPr="00693892">
        <w:rPr>
          <w:rFonts w:ascii="Times New Roman" w:hAnsi="Times New Roman" w:cs="Times New Roman"/>
        </w:rPr>
        <w:t xml:space="preserve"> EPA retrieved data from Data Axle on the revenue, NAICS code, and employee count for each entity, parent company, or corporate entity as appropriate. A summary of the number of facilities, the number of unique entities, the breakdown of private sector and government entities, and their size classifications is provided in Exhibit 8-2. </w:t>
      </w:r>
      <w:r w:rsidR="004C1D5F">
        <w:rPr>
          <w:rFonts w:ascii="Times New Roman" w:hAnsi="Times New Roman" w:cs="Times New Roman"/>
        </w:rPr>
        <w:t>Th</w:t>
      </w:r>
      <w:r w:rsidR="009E0961">
        <w:rPr>
          <w:rFonts w:ascii="Times New Roman" w:hAnsi="Times New Roman" w:cs="Times New Roman"/>
        </w:rPr>
        <w:t xml:space="preserve">e breakdown of small and non-small private sector entities </w:t>
      </w:r>
      <w:r w:rsidR="004C1D5F">
        <w:rPr>
          <w:rFonts w:ascii="Times New Roman" w:hAnsi="Times New Roman" w:cs="Times New Roman"/>
        </w:rPr>
        <w:t>differs slightly from</w:t>
      </w:r>
      <w:r w:rsidR="00322E59">
        <w:rPr>
          <w:rFonts w:ascii="Times New Roman" w:hAnsi="Times New Roman" w:cs="Times New Roman"/>
        </w:rPr>
        <w:t xml:space="preserve"> the breakdown in the </w:t>
      </w:r>
      <w:r w:rsidRPr="004F04AE" w:rsidR="00D32ADF">
        <w:rPr>
          <w:rFonts w:ascii="Times New Roman" w:hAnsi="Times New Roman" w:cs="Times New Roman"/>
        </w:rPr>
        <w:t>propose</w:t>
      </w:r>
      <w:r w:rsidRPr="000D5205" w:rsidR="00322E59">
        <w:rPr>
          <w:rFonts w:ascii="Times New Roman" w:hAnsi="Times New Roman" w:cs="Times New Roman"/>
        </w:rPr>
        <w:t>d</w:t>
      </w:r>
      <w:r w:rsidR="00322E59">
        <w:rPr>
          <w:rFonts w:ascii="Times New Roman" w:hAnsi="Times New Roman" w:cs="Times New Roman"/>
        </w:rPr>
        <w:t xml:space="preserve"> rule</w:t>
      </w:r>
      <w:r w:rsidR="0042402D">
        <w:rPr>
          <w:rFonts w:ascii="Times New Roman" w:hAnsi="Times New Roman" w:cs="Times New Roman"/>
        </w:rPr>
        <w:t xml:space="preserve"> RIA</w:t>
      </w:r>
      <w:r w:rsidR="00322E59">
        <w:rPr>
          <w:rFonts w:ascii="Times New Roman" w:hAnsi="Times New Roman" w:cs="Times New Roman"/>
        </w:rPr>
        <w:t xml:space="preserve">, Exhibit </w:t>
      </w:r>
      <w:r w:rsidRPr="00531590" w:rsidR="00322E59">
        <w:rPr>
          <w:rFonts w:ascii="Times New Roman" w:hAnsi="Times New Roman" w:cs="Times New Roman"/>
        </w:rPr>
        <w:t>C-</w:t>
      </w:r>
      <w:r w:rsidR="00377E6C">
        <w:rPr>
          <w:rFonts w:ascii="Times New Roman" w:hAnsi="Times New Roman" w:cs="Times New Roman"/>
        </w:rPr>
        <w:t>1</w:t>
      </w:r>
      <w:r w:rsidR="00322E59">
        <w:rPr>
          <w:rFonts w:ascii="Times New Roman" w:hAnsi="Times New Roman" w:cs="Times New Roman"/>
        </w:rPr>
        <w:t>, due to the use of updated SBA size standards</w:t>
      </w:r>
      <w:r w:rsidR="00BE799B">
        <w:rPr>
          <w:rFonts w:ascii="Times New Roman" w:hAnsi="Times New Roman" w:cs="Times New Roman"/>
        </w:rPr>
        <w:t xml:space="preserve"> in the final rule analysis.</w:t>
      </w:r>
    </w:p>
    <w:p w:rsidR="0079245C" w:rsidRPr="00693892" w:rsidP="000E6E0F" w14:paraId="36A82BED" w14:textId="77777777">
      <w:pPr>
        <w:spacing w:after="0" w:line="240" w:lineRule="auto"/>
        <w:ind w:firstLine="360"/>
        <w:rPr>
          <w:rFonts w:ascii="Times New Roman" w:hAnsi="Times New Roman" w:cs="Times New Roman"/>
        </w:rPr>
      </w:pPr>
    </w:p>
    <w:p w:rsidR="00E92045" w:rsidRPr="00E92045" w:rsidP="00E92045" w14:paraId="6CAA0720" w14:textId="77777777">
      <w:pPr>
        <w:pStyle w:val="Caption"/>
        <w:jc w:val="center"/>
        <w:rPr>
          <w:rFonts w:ascii="Times New Roman" w:hAnsi="Times New Roman" w:cs="Times New Roman"/>
          <w:b/>
          <w:bCs/>
          <w:i w:val="0"/>
          <w:iCs w:val="0"/>
          <w:color w:val="auto"/>
          <w:sz w:val="22"/>
          <w:szCs w:val="22"/>
        </w:rPr>
      </w:pPr>
      <w:r w:rsidRPr="00E92045">
        <w:rPr>
          <w:rFonts w:ascii="Times New Roman" w:hAnsi="Times New Roman" w:cs="Times New Roman"/>
          <w:b/>
          <w:bCs/>
          <w:i w:val="0"/>
          <w:iCs w:val="0"/>
          <w:color w:val="auto"/>
          <w:sz w:val="22"/>
          <w:szCs w:val="22"/>
        </w:rPr>
        <w:t>Exhibit 8-2: RMP Facility and Entity Counts.</w:t>
      </w:r>
    </w:p>
    <w:tbl>
      <w:tblPr>
        <w:tblW w:w="6683" w:type="dxa"/>
        <w:jc w:val="center"/>
        <w:tblLook w:val="04A0"/>
      </w:tblPr>
      <w:tblGrid>
        <w:gridCol w:w="2245"/>
        <w:gridCol w:w="1080"/>
        <w:gridCol w:w="3358"/>
      </w:tblGrid>
      <w:tr w14:paraId="33DF9C9A" w14:textId="77777777" w:rsidTr="00E92045">
        <w:tblPrEx>
          <w:tblW w:w="6683" w:type="dxa"/>
          <w:jc w:val="center"/>
          <w:tblLook w:val="04A0"/>
        </w:tblPrEx>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5046B" w:rsidRPr="00E92045" w:rsidP="00E92045" w14:paraId="51E04345" w14:textId="77777777">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5046B" w:rsidRPr="00E92045" w:rsidP="008348D6" w14:paraId="23819698" w14:textId="77777777">
            <w:pPr>
              <w:spacing w:after="0" w:line="240" w:lineRule="auto"/>
              <w:jc w:val="center"/>
              <w:rPr>
                <w:rFonts w:ascii="Times New Roman" w:hAnsi="Times New Roman" w:cs="Times New Roman"/>
                <w:b/>
                <w:color w:val="000000"/>
                <w:sz w:val="20"/>
                <w:szCs w:val="20"/>
              </w:rPr>
            </w:pPr>
            <w:r w:rsidRPr="00E92045">
              <w:rPr>
                <w:rFonts w:ascii="Times New Roman" w:hAnsi="Times New Roman" w:cs="Times New Roman"/>
                <w:b/>
                <w:color w:val="000000"/>
                <w:sz w:val="20"/>
                <w:szCs w:val="20"/>
              </w:rPr>
              <w:t>Number</w:t>
            </w:r>
          </w:p>
        </w:tc>
        <w:tc>
          <w:tcPr>
            <w:tcW w:w="3358" w:type="dxa"/>
            <w:vMerge w:val="restart"/>
            <w:tcBorders>
              <w:top w:val="single" w:sz="4" w:space="0" w:color="auto"/>
              <w:left w:val="nil"/>
              <w:right w:val="single" w:sz="4" w:space="0" w:color="auto"/>
            </w:tcBorders>
            <w:shd w:val="clear" w:color="auto" w:fill="D9D9D9" w:themeFill="background1" w:themeFillShade="D9"/>
            <w:vAlign w:val="center"/>
          </w:tcPr>
          <w:p w:rsidR="0075046B" w:rsidRPr="00E92045" w:rsidP="008348D6" w14:paraId="3D7B079B" w14:textId="77777777">
            <w:pPr>
              <w:spacing w:after="0" w:line="240" w:lineRule="auto"/>
              <w:jc w:val="center"/>
              <w:rPr>
                <w:rFonts w:ascii="Times New Roman" w:hAnsi="Times New Roman" w:cs="Times New Roman"/>
                <w:b/>
                <w:color w:val="000000"/>
                <w:sz w:val="20"/>
                <w:szCs w:val="20"/>
              </w:rPr>
            </w:pPr>
            <w:r w:rsidRPr="00E92045">
              <w:rPr>
                <w:rFonts w:ascii="Times New Roman" w:hAnsi="Times New Roman" w:cs="Times New Roman"/>
                <w:b/>
                <w:color w:val="000000"/>
                <w:sz w:val="20"/>
                <w:szCs w:val="20"/>
              </w:rPr>
              <w:t>Percent of</w:t>
            </w:r>
          </w:p>
        </w:tc>
      </w:tr>
      <w:tr w14:paraId="1950EC54" w14:textId="77777777" w:rsidTr="00E92045">
        <w:tblPrEx>
          <w:tblW w:w="6683" w:type="dxa"/>
          <w:jc w:val="center"/>
          <w:tblLook w:val="04A0"/>
        </w:tblPrEx>
        <w:trPr>
          <w:trHeight w:val="312"/>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46B" w:rsidRPr="00E92045" w:rsidP="00B20325" w14:paraId="24878AE0"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Total Facilities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75046B" w:rsidRPr="00E92045" w:rsidP="00E92045" w14:paraId="7EE77F6C"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11,740</w:t>
            </w:r>
          </w:p>
        </w:tc>
        <w:tc>
          <w:tcPr>
            <w:tcW w:w="3358" w:type="dxa"/>
            <w:vMerge/>
            <w:tcBorders>
              <w:left w:val="nil"/>
              <w:right w:val="single" w:sz="4" w:space="0" w:color="auto"/>
            </w:tcBorders>
            <w:vAlign w:val="center"/>
          </w:tcPr>
          <w:p w:rsidR="0075046B" w:rsidRPr="00E92045" w:rsidP="00E92045" w14:paraId="12106074" w14:textId="77777777">
            <w:pPr>
              <w:spacing w:after="0" w:line="240" w:lineRule="auto"/>
              <w:jc w:val="center"/>
              <w:rPr>
                <w:rFonts w:ascii="Times New Roman" w:hAnsi="Times New Roman" w:cs="Times New Roman"/>
                <w:color w:val="000000"/>
                <w:sz w:val="20"/>
                <w:szCs w:val="20"/>
              </w:rPr>
            </w:pPr>
          </w:p>
        </w:tc>
      </w:tr>
      <w:tr w14:paraId="7B1714EE" w14:textId="77777777" w:rsidTr="00E92045">
        <w:tblPrEx>
          <w:tblW w:w="6683" w:type="dxa"/>
          <w:jc w:val="center"/>
          <w:tblLook w:val="04A0"/>
        </w:tblPrEx>
        <w:trPr>
          <w:trHeight w:val="288"/>
          <w:jc w:val="center"/>
        </w:trPr>
        <w:tc>
          <w:tcPr>
            <w:tcW w:w="2245" w:type="dxa"/>
            <w:tcBorders>
              <w:top w:val="nil"/>
              <w:left w:val="single" w:sz="4" w:space="0" w:color="auto"/>
              <w:bottom w:val="single" w:sz="4" w:space="0" w:color="auto"/>
              <w:right w:val="single" w:sz="4" w:space="0" w:color="auto"/>
            </w:tcBorders>
            <w:shd w:val="clear" w:color="auto" w:fill="auto"/>
            <w:noWrap/>
            <w:vAlign w:val="center"/>
          </w:tcPr>
          <w:p w:rsidR="0075046B" w:rsidRPr="00E92045" w:rsidP="00B20325" w14:paraId="5087101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Total Entities</w:t>
            </w:r>
          </w:p>
        </w:tc>
        <w:tc>
          <w:tcPr>
            <w:tcW w:w="1080" w:type="dxa"/>
            <w:tcBorders>
              <w:top w:val="nil"/>
              <w:left w:val="nil"/>
              <w:bottom w:val="single" w:sz="4" w:space="0" w:color="auto"/>
              <w:right w:val="single" w:sz="4" w:space="0" w:color="auto"/>
            </w:tcBorders>
            <w:shd w:val="clear" w:color="auto" w:fill="auto"/>
            <w:noWrap/>
            <w:vAlign w:val="center"/>
          </w:tcPr>
          <w:p w:rsidR="0075046B" w:rsidRPr="00E92045" w:rsidP="00E92045" w14:paraId="6881C17C"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5,649</w:t>
            </w:r>
          </w:p>
        </w:tc>
        <w:tc>
          <w:tcPr>
            <w:tcW w:w="3358" w:type="dxa"/>
            <w:vMerge/>
            <w:tcBorders>
              <w:left w:val="nil"/>
              <w:bottom w:val="single" w:sz="4" w:space="0" w:color="auto"/>
              <w:right w:val="single" w:sz="4" w:space="0" w:color="auto"/>
            </w:tcBorders>
            <w:vAlign w:val="center"/>
          </w:tcPr>
          <w:p w:rsidR="0075046B" w:rsidRPr="00E92045" w:rsidP="00E92045" w14:paraId="54E89E8B" w14:textId="77777777">
            <w:pPr>
              <w:spacing w:after="0" w:line="240" w:lineRule="auto"/>
              <w:jc w:val="center"/>
              <w:rPr>
                <w:rFonts w:ascii="Times New Roman" w:hAnsi="Times New Roman" w:cs="Times New Roman"/>
                <w:color w:val="000000"/>
                <w:sz w:val="20"/>
                <w:szCs w:val="20"/>
              </w:rPr>
            </w:pPr>
          </w:p>
        </w:tc>
      </w:tr>
      <w:tr w14:paraId="3EAE11A4" w14:textId="77777777" w:rsidTr="00E92045">
        <w:tblPrEx>
          <w:tblW w:w="6683" w:type="dxa"/>
          <w:jc w:val="center"/>
          <w:tblLook w:val="04A0"/>
        </w:tblPrEx>
        <w:trPr>
          <w:trHeight w:val="288"/>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B20325" w14:paraId="3F8AF7E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Private Sector Entities</w:t>
            </w:r>
          </w:p>
        </w:tc>
        <w:tc>
          <w:tcPr>
            <w:tcW w:w="1080" w:type="dxa"/>
            <w:tcBorders>
              <w:top w:val="nil"/>
              <w:left w:val="nil"/>
              <w:bottom w:val="single" w:sz="4" w:space="0" w:color="auto"/>
              <w:right w:val="single" w:sz="4" w:space="0" w:color="auto"/>
            </w:tcBorders>
            <w:shd w:val="clear" w:color="auto" w:fill="auto"/>
            <w:noWrap/>
            <w:vAlign w:val="center"/>
            <w:hideMark/>
          </w:tcPr>
          <w:p w:rsidR="0075046B" w:rsidRPr="00E92045" w:rsidP="00E92045" w14:paraId="515451AC"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4,538</w:t>
            </w:r>
          </w:p>
        </w:tc>
        <w:tc>
          <w:tcPr>
            <w:tcW w:w="3358" w:type="dxa"/>
            <w:tcBorders>
              <w:top w:val="nil"/>
              <w:left w:val="nil"/>
              <w:bottom w:val="single" w:sz="4" w:space="0" w:color="auto"/>
              <w:right w:val="single" w:sz="4" w:space="0" w:color="auto"/>
            </w:tcBorders>
            <w:vAlign w:val="center"/>
          </w:tcPr>
          <w:p w:rsidR="0075046B" w:rsidRPr="00E92045" w:rsidP="00E92045" w14:paraId="2ACE12A5" w14:textId="77777777">
            <w:pPr>
              <w:spacing w:after="0" w:line="240" w:lineRule="auto"/>
              <w:jc w:val="center"/>
              <w:rPr>
                <w:rFonts w:ascii="Times New Roman" w:hAnsi="Times New Roman" w:cs="Times New Roman"/>
                <w:color w:val="000000"/>
                <w:sz w:val="20"/>
                <w:szCs w:val="20"/>
              </w:rPr>
            </w:pPr>
            <w:r w:rsidRPr="00E92045">
              <w:rPr>
                <w:rFonts w:ascii="Times New Roman" w:hAnsi="Times New Roman" w:cs="Times New Roman"/>
                <w:color w:val="000000"/>
                <w:sz w:val="20"/>
                <w:szCs w:val="20"/>
              </w:rPr>
              <w:t>80% of total entities</w:t>
            </w:r>
          </w:p>
        </w:tc>
      </w:tr>
      <w:tr w14:paraId="05ADCD5B" w14:textId="77777777" w:rsidTr="00347BE9">
        <w:tblPrEx>
          <w:tblW w:w="6683" w:type="dxa"/>
          <w:jc w:val="center"/>
          <w:tblLook w:val="04A0"/>
        </w:tblPrEx>
        <w:trPr>
          <w:trHeight w:val="288"/>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B20325" w14:paraId="36E7A848" w14:textId="77777777">
            <w:pPr>
              <w:spacing w:after="0" w:line="240" w:lineRule="auto"/>
              <w:ind w:firstLine="400" w:firstLineChars="200"/>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Small</w:t>
            </w:r>
          </w:p>
        </w:tc>
        <w:tc>
          <w:tcPr>
            <w:tcW w:w="1080" w:type="dxa"/>
            <w:tcBorders>
              <w:top w:val="nil"/>
              <w:left w:val="nil"/>
              <w:bottom w:val="single" w:sz="4" w:space="0" w:color="auto"/>
              <w:right w:val="single" w:sz="4" w:space="0" w:color="auto"/>
            </w:tcBorders>
            <w:shd w:val="clear" w:color="auto" w:fill="auto"/>
            <w:noWrap/>
            <w:vAlign w:val="bottom"/>
            <w:hideMark/>
          </w:tcPr>
          <w:p w:rsidR="0075046B" w:rsidRPr="00E92045" w:rsidP="00E92045" w14:paraId="702F949D" w14:textId="77777777">
            <w:pPr>
              <w:spacing w:after="0" w:line="240" w:lineRule="auto"/>
              <w:jc w:val="center"/>
              <w:rPr>
                <w:rFonts w:ascii="Times New Roman" w:eastAsia="Times New Roman" w:hAnsi="Times New Roman" w:cs="Times New Roman"/>
                <w:color w:val="000000"/>
                <w:sz w:val="20"/>
                <w:szCs w:val="20"/>
              </w:rPr>
            </w:pPr>
            <w:r w:rsidRPr="00347BE9">
              <w:rPr>
                <w:rFonts w:ascii="Times New Roman" w:hAnsi="Times New Roman" w:cs="Times New Roman"/>
                <w:color w:val="000000"/>
                <w:sz w:val="20"/>
                <w:szCs w:val="20"/>
              </w:rPr>
              <w:t>2</w:t>
            </w:r>
            <w:r w:rsidRPr="00347BE9" w:rsidR="00B27E1B">
              <w:rPr>
                <w:rFonts w:ascii="Times New Roman" w:hAnsi="Times New Roman" w:cs="Times New Roman"/>
                <w:color w:val="000000"/>
                <w:sz w:val="20"/>
                <w:szCs w:val="20"/>
              </w:rPr>
              <w:t>,</w:t>
            </w:r>
            <w:r w:rsidRPr="00347BE9">
              <w:rPr>
                <w:rFonts w:ascii="Times New Roman" w:hAnsi="Times New Roman" w:cs="Times New Roman"/>
                <w:color w:val="000000"/>
                <w:sz w:val="20"/>
                <w:szCs w:val="20"/>
              </w:rPr>
              <w:t>636</w:t>
            </w:r>
          </w:p>
        </w:tc>
        <w:tc>
          <w:tcPr>
            <w:tcW w:w="3358" w:type="dxa"/>
            <w:tcBorders>
              <w:top w:val="nil"/>
              <w:left w:val="nil"/>
              <w:bottom w:val="single" w:sz="4" w:space="0" w:color="auto"/>
              <w:right w:val="single" w:sz="4" w:space="0" w:color="auto"/>
            </w:tcBorders>
            <w:vAlign w:val="center"/>
          </w:tcPr>
          <w:p w:rsidR="0075046B" w:rsidRPr="00E92045" w:rsidP="00E92045" w14:paraId="6C654FA8"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58</w:t>
            </w:r>
            <w:r w:rsidRPr="00E92045">
              <w:rPr>
                <w:rFonts w:ascii="Times New Roman" w:hAnsi="Times New Roman" w:cs="Times New Roman"/>
                <w:color w:val="000000"/>
                <w:sz w:val="20"/>
                <w:szCs w:val="20"/>
              </w:rPr>
              <w:t>% of private sector entities</w:t>
            </w:r>
          </w:p>
        </w:tc>
      </w:tr>
      <w:tr w14:paraId="7AFE92A3" w14:textId="77777777" w:rsidTr="00347BE9">
        <w:tblPrEx>
          <w:tblW w:w="6683" w:type="dxa"/>
          <w:jc w:val="center"/>
          <w:tblLook w:val="04A0"/>
        </w:tblPrEx>
        <w:trPr>
          <w:trHeight w:val="288"/>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B20325" w14:paraId="77ABD021" w14:textId="77777777">
            <w:pPr>
              <w:spacing w:after="0" w:line="240" w:lineRule="auto"/>
              <w:ind w:firstLine="400" w:firstLineChars="200"/>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Non-small</w:t>
            </w:r>
          </w:p>
        </w:tc>
        <w:tc>
          <w:tcPr>
            <w:tcW w:w="1080" w:type="dxa"/>
            <w:tcBorders>
              <w:top w:val="nil"/>
              <w:left w:val="nil"/>
              <w:bottom w:val="single" w:sz="4" w:space="0" w:color="auto"/>
              <w:right w:val="single" w:sz="4" w:space="0" w:color="auto"/>
            </w:tcBorders>
            <w:shd w:val="clear" w:color="auto" w:fill="auto"/>
            <w:noWrap/>
            <w:vAlign w:val="bottom"/>
            <w:hideMark/>
          </w:tcPr>
          <w:p w:rsidR="0075046B" w:rsidRPr="00E92045" w:rsidP="00E92045" w14:paraId="155C8B69" w14:textId="77777777">
            <w:pPr>
              <w:spacing w:after="0" w:line="240" w:lineRule="auto"/>
              <w:jc w:val="center"/>
              <w:rPr>
                <w:rFonts w:ascii="Times New Roman" w:eastAsia="Times New Roman" w:hAnsi="Times New Roman" w:cs="Times New Roman"/>
                <w:color w:val="000000"/>
                <w:sz w:val="20"/>
                <w:szCs w:val="20"/>
              </w:rPr>
            </w:pPr>
            <w:r w:rsidRPr="00347BE9">
              <w:rPr>
                <w:rFonts w:ascii="Times New Roman" w:hAnsi="Times New Roman" w:cs="Times New Roman"/>
                <w:color w:val="000000"/>
                <w:sz w:val="20"/>
                <w:szCs w:val="20"/>
              </w:rPr>
              <w:t>1</w:t>
            </w:r>
            <w:r w:rsidRPr="00347BE9" w:rsidR="00B27E1B">
              <w:rPr>
                <w:rFonts w:ascii="Times New Roman" w:hAnsi="Times New Roman" w:cs="Times New Roman"/>
                <w:color w:val="000000"/>
                <w:sz w:val="20"/>
                <w:szCs w:val="20"/>
              </w:rPr>
              <w:t>,</w:t>
            </w:r>
            <w:r w:rsidRPr="00347BE9">
              <w:rPr>
                <w:rFonts w:ascii="Times New Roman" w:hAnsi="Times New Roman" w:cs="Times New Roman"/>
                <w:color w:val="000000"/>
                <w:sz w:val="20"/>
                <w:szCs w:val="20"/>
              </w:rPr>
              <w:t>902</w:t>
            </w:r>
          </w:p>
        </w:tc>
        <w:tc>
          <w:tcPr>
            <w:tcW w:w="3358" w:type="dxa"/>
            <w:tcBorders>
              <w:top w:val="nil"/>
              <w:left w:val="nil"/>
              <w:bottom w:val="single" w:sz="4" w:space="0" w:color="auto"/>
              <w:right w:val="single" w:sz="4" w:space="0" w:color="auto"/>
            </w:tcBorders>
            <w:vAlign w:val="center"/>
          </w:tcPr>
          <w:p w:rsidR="0075046B" w:rsidRPr="00E92045" w:rsidP="00B36ABC" w14:paraId="1A5CF3B8" w14:textId="7777777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r w:rsidRPr="00E92045">
              <w:rPr>
                <w:rFonts w:ascii="Times New Roman" w:hAnsi="Times New Roman" w:cs="Times New Roman"/>
                <w:color w:val="000000"/>
                <w:sz w:val="20"/>
                <w:szCs w:val="20"/>
              </w:rPr>
              <w:t>% of private sector entities</w:t>
            </w:r>
          </w:p>
        </w:tc>
      </w:tr>
      <w:tr w14:paraId="3D23D1BC" w14:textId="77777777" w:rsidTr="00E92045">
        <w:tblPrEx>
          <w:tblW w:w="6683" w:type="dxa"/>
          <w:jc w:val="center"/>
          <w:tblLook w:val="04A0"/>
        </w:tblPrEx>
        <w:trPr>
          <w:trHeight w:val="288"/>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B20325" w14:paraId="134C6B4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Government Entities</w:t>
            </w:r>
          </w:p>
        </w:tc>
        <w:tc>
          <w:tcPr>
            <w:tcW w:w="1080" w:type="dxa"/>
            <w:tcBorders>
              <w:top w:val="nil"/>
              <w:left w:val="nil"/>
              <w:bottom w:val="single" w:sz="4" w:space="0" w:color="auto"/>
              <w:right w:val="single" w:sz="4" w:space="0" w:color="auto"/>
            </w:tcBorders>
            <w:shd w:val="clear" w:color="auto" w:fill="auto"/>
            <w:noWrap/>
            <w:vAlign w:val="center"/>
            <w:hideMark/>
          </w:tcPr>
          <w:p w:rsidR="0075046B" w:rsidRPr="00E92045" w:rsidP="00E92045" w14:paraId="75BC6A91"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1,111</w:t>
            </w:r>
          </w:p>
        </w:tc>
        <w:tc>
          <w:tcPr>
            <w:tcW w:w="3358" w:type="dxa"/>
            <w:tcBorders>
              <w:top w:val="nil"/>
              <w:left w:val="nil"/>
              <w:bottom w:val="single" w:sz="4" w:space="0" w:color="auto"/>
              <w:right w:val="single" w:sz="4" w:space="0" w:color="auto"/>
            </w:tcBorders>
            <w:vAlign w:val="center"/>
          </w:tcPr>
          <w:p w:rsidR="0075046B" w:rsidRPr="00E92045" w:rsidP="00E92045" w14:paraId="58512C78" w14:textId="77777777">
            <w:pPr>
              <w:spacing w:after="0" w:line="240" w:lineRule="auto"/>
              <w:jc w:val="center"/>
              <w:rPr>
                <w:rFonts w:ascii="Times New Roman" w:hAnsi="Times New Roman" w:cs="Times New Roman"/>
                <w:color w:val="000000"/>
                <w:sz w:val="20"/>
                <w:szCs w:val="20"/>
              </w:rPr>
            </w:pPr>
            <w:r w:rsidRPr="00E92045">
              <w:rPr>
                <w:rFonts w:ascii="Times New Roman" w:hAnsi="Times New Roman" w:cs="Times New Roman"/>
                <w:color w:val="000000"/>
                <w:sz w:val="20"/>
                <w:szCs w:val="20"/>
              </w:rPr>
              <w:t>20% of total entities</w:t>
            </w:r>
          </w:p>
        </w:tc>
      </w:tr>
      <w:tr w14:paraId="5BB950CB" w14:textId="77777777" w:rsidTr="00E92045">
        <w:tblPrEx>
          <w:tblW w:w="6683" w:type="dxa"/>
          <w:jc w:val="center"/>
          <w:tblLook w:val="04A0"/>
        </w:tblPrEx>
        <w:trPr>
          <w:trHeight w:val="288"/>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B20325" w14:paraId="2231E07B" w14:textId="77777777">
            <w:pPr>
              <w:spacing w:after="0" w:line="240" w:lineRule="auto"/>
              <w:ind w:firstLine="400" w:firstLineChars="200"/>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Small</w:t>
            </w:r>
          </w:p>
        </w:tc>
        <w:tc>
          <w:tcPr>
            <w:tcW w:w="1080" w:type="dxa"/>
            <w:tcBorders>
              <w:top w:val="nil"/>
              <w:left w:val="nil"/>
              <w:bottom w:val="single" w:sz="4" w:space="0" w:color="auto"/>
              <w:right w:val="single" w:sz="4" w:space="0" w:color="auto"/>
            </w:tcBorders>
            <w:shd w:val="clear" w:color="auto" w:fill="auto"/>
            <w:noWrap/>
            <w:vAlign w:val="center"/>
            <w:hideMark/>
          </w:tcPr>
          <w:p w:rsidR="0075046B" w:rsidRPr="00E92045" w:rsidP="00E92045" w14:paraId="6E7D9796"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630</w:t>
            </w:r>
          </w:p>
        </w:tc>
        <w:tc>
          <w:tcPr>
            <w:tcW w:w="3358" w:type="dxa"/>
            <w:tcBorders>
              <w:top w:val="nil"/>
              <w:left w:val="nil"/>
              <w:bottom w:val="single" w:sz="4" w:space="0" w:color="auto"/>
              <w:right w:val="single" w:sz="4" w:space="0" w:color="auto"/>
            </w:tcBorders>
            <w:vAlign w:val="center"/>
          </w:tcPr>
          <w:p w:rsidR="0075046B" w:rsidRPr="00E92045" w:rsidP="00E92045" w14:paraId="632D4B94" w14:textId="77777777">
            <w:pPr>
              <w:spacing w:after="0" w:line="240" w:lineRule="auto"/>
              <w:jc w:val="center"/>
              <w:rPr>
                <w:rFonts w:ascii="Times New Roman" w:hAnsi="Times New Roman" w:cs="Times New Roman"/>
                <w:color w:val="000000"/>
                <w:sz w:val="20"/>
                <w:szCs w:val="20"/>
              </w:rPr>
            </w:pPr>
            <w:r w:rsidRPr="00E92045">
              <w:rPr>
                <w:rFonts w:ascii="Times New Roman" w:hAnsi="Times New Roman" w:cs="Times New Roman"/>
                <w:color w:val="000000"/>
                <w:sz w:val="20"/>
                <w:szCs w:val="20"/>
              </w:rPr>
              <w:t>57% of government entities</w:t>
            </w:r>
          </w:p>
        </w:tc>
      </w:tr>
      <w:tr w14:paraId="3C549A5F" w14:textId="77777777" w:rsidTr="00E92045">
        <w:tblPrEx>
          <w:tblW w:w="6683" w:type="dxa"/>
          <w:jc w:val="center"/>
          <w:tblLook w:val="04A0"/>
        </w:tblPrEx>
        <w:trPr>
          <w:trHeight w:val="288"/>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B20325" w14:paraId="6F5D6864" w14:textId="77777777">
            <w:pPr>
              <w:spacing w:after="0" w:line="240" w:lineRule="auto"/>
              <w:ind w:firstLine="400" w:firstLineChars="200"/>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Non-small</w:t>
            </w:r>
          </w:p>
        </w:tc>
        <w:tc>
          <w:tcPr>
            <w:tcW w:w="1080" w:type="dxa"/>
            <w:tcBorders>
              <w:top w:val="nil"/>
              <w:left w:val="nil"/>
              <w:bottom w:val="single" w:sz="4" w:space="0" w:color="auto"/>
              <w:right w:val="single" w:sz="4" w:space="0" w:color="auto"/>
            </w:tcBorders>
            <w:shd w:val="clear" w:color="auto" w:fill="auto"/>
            <w:noWrap/>
            <w:vAlign w:val="center"/>
            <w:hideMark/>
          </w:tcPr>
          <w:p w:rsidR="0075046B" w:rsidRPr="00E92045" w:rsidP="00E92045" w14:paraId="6D7AACB3"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481</w:t>
            </w:r>
          </w:p>
        </w:tc>
        <w:tc>
          <w:tcPr>
            <w:tcW w:w="3358" w:type="dxa"/>
            <w:tcBorders>
              <w:top w:val="nil"/>
              <w:left w:val="nil"/>
              <w:bottom w:val="single" w:sz="4" w:space="0" w:color="auto"/>
              <w:right w:val="single" w:sz="4" w:space="0" w:color="auto"/>
            </w:tcBorders>
            <w:vAlign w:val="center"/>
          </w:tcPr>
          <w:p w:rsidR="0075046B" w:rsidRPr="00E92045" w:rsidP="00E92045" w14:paraId="16405048" w14:textId="77777777">
            <w:pPr>
              <w:spacing w:after="0" w:line="240" w:lineRule="auto"/>
              <w:jc w:val="center"/>
              <w:rPr>
                <w:rFonts w:ascii="Times New Roman" w:hAnsi="Times New Roman" w:cs="Times New Roman"/>
                <w:color w:val="000000"/>
                <w:sz w:val="20"/>
                <w:szCs w:val="20"/>
              </w:rPr>
            </w:pPr>
            <w:r w:rsidRPr="00E92045">
              <w:rPr>
                <w:rFonts w:ascii="Times New Roman" w:hAnsi="Times New Roman" w:cs="Times New Roman"/>
                <w:color w:val="000000"/>
                <w:sz w:val="20"/>
                <w:szCs w:val="20"/>
              </w:rPr>
              <w:t>43% of government entities</w:t>
            </w:r>
          </w:p>
        </w:tc>
      </w:tr>
    </w:tbl>
    <w:p w:rsidR="0075046B" w:rsidP="00E92045" w14:paraId="14B2FB8A" w14:textId="77777777">
      <w:pPr>
        <w:spacing w:after="0" w:line="240" w:lineRule="auto"/>
        <w:rPr>
          <w:rFonts w:ascii="Times New Roman" w:hAnsi="Times New Roman" w:cs="Times New Roman"/>
        </w:rPr>
      </w:pPr>
    </w:p>
    <w:p w:rsidR="0075046B" w:rsidP="00E92045" w14:paraId="3168AC7C"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EPA identified 5,649 unique entities owning RMP regulated facilities. Of those 5,649 unique entities, EPA was able to determine that 1,111 (20</w:t>
      </w:r>
      <w:r w:rsidRPr="00693892" w:rsidR="00115223">
        <w:rPr>
          <w:rFonts w:ascii="Times New Roman" w:hAnsi="Times New Roman" w:cs="Times New Roman"/>
        </w:rPr>
        <w:t xml:space="preserve"> percent</w:t>
      </w:r>
      <w:r w:rsidRPr="00693892">
        <w:rPr>
          <w:rFonts w:ascii="Times New Roman" w:hAnsi="Times New Roman" w:cs="Times New Roman"/>
        </w:rPr>
        <w:t>) are government entities and the remaining 4,538 (80</w:t>
      </w:r>
      <w:r w:rsidRPr="00693892" w:rsidR="00115223">
        <w:rPr>
          <w:rFonts w:ascii="Times New Roman" w:hAnsi="Times New Roman" w:cs="Times New Roman"/>
        </w:rPr>
        <w:t xml:space="preserve"> percent</w:t>
      </w:r>
      <w:r w:rsidRPr="00693892">
        <w:rPr>
          <w:rFonts w:ascii="Times New Roman" w:hAnsi="Times New Roman" w:cs="Times New Roman"/>
        </w:rPr>
        <w:t>) are private sector entities.</w:t>
      </w:r>
    </w:p>
    <w:p w:rsidR="000E6E0F" w:rsidRPr="00693892" w:rsidP="000E6E0F" w14:paraId="17ADD23D" w14:textId="77777777">
      <w:pPr>
        <w:spacing w:after="0" w:line="240" w:lineRule="auto"/>
        <w:ind w:firstLine="360"/>
        <w:rPr>
          <w:rFonts w:ascii="Times New Roman" w:hAnsi="Times New Roman" w:cs="Times New Roman"/>
        </w:rPr>
      </w:pPr>
    </w:p>
    <w:p w:rsidR="0075046B" w:rsidRPr="002E557F" w:rsidP="002E557F" w14:paraId="026722B0" w14:textId="77777777">
      <w:pPr>
        <w:pStyle w:val="Heading3"/>
        <w:rPr>
          <w:rFonts w:ascii="Times New Roman" w:hAnsi="Times New Roman" w:cs="Times New Roman"/>
          <w:b w:val="0"/>
          <w:sz w:val="22"/>
          <w:szCs w:val="22"/>
        </w:rPr>
      </w:pPr>
      <w:bookmarkStart w:id="483" w:name="_Toc141733207"/>
      <w:bookmarkStart w:id="484" w:name="_Toc142404111"/>
      <w:bookmarkStart w:id="485" w:name="_Toc144213920"/>
      <w:bookmarkStart w:id="486" w:name="_Toc144283665"/>
      <w:bookmarkStart w:id="487" w:name="_Toc144303603"/>
      <w:r w:rsidRPr="002E557F">
        <w:rPr>
          <w:rFonts w:ascii="Times New Roman" w:hAnsi="Times New Roman" w:cs="Times New Roman"/>
          <w:sz w:val="22"/>
          <w:szCs w:val="22"/>
        </w:rPr>
        <w:t>8.2.1 Private Sector Entities</w:t>
      </w:r>
      <w:bookmarkEnd w:id="483"/>
      <w:bookmarkEnd w:id="484"/>
      <w:bookmarkEnd w:id="485"/>
      <w:bookmarkEnd w:id="486"/>
      <w:bookmarkEnd w:id="487"/>
    </w:p>
    <w:p w:rsidR="00B20325" w:rsidP="000E6E0F" w14:paraId="49AA7A13"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sidR="0075046B">
        <w:rPr>
          <w:rFonts w:ascii="Times New Roman" w:hAnsi="Times New Roman" w:cs="Times New Roman"/>
        </w:rPr>
        <w:t xml:space="preserve">Of the 4,538 private sector entities, EPA was able to obtain data matches of revenue and/or employee data for 3,123. EPA then classified each private sector entity as small or non-small based on the SBA size standard for the entity’s NAICS code and the relevant employee- or revenue-based size standard. EPA determined that of the total 4,548 private sector entities, </w:t>
      </w:r>
      <w:r w:rsidR="00A823E1">
        <w:rPr>
          <w:rFonts w:ascii="Times New Roman" w:hAnsi="Times New Roman" w:cs="Times New Roman"/>
        </w:rPr>
        <w:t>2,636 private sector entities are small</w:t>
      </w:r>
      <w:r w:rsidR="00291ADE">
        <w:rPr>
          <w:rFonts w:ascii="Times New Roman" w:hAnsi="Times New Roman" w:cs="Times New Roman"/>
        </w:rPr>
        <w:t>, and of those,</w:t>
      </w:r>
      <w:r w:rsidRPr="00693892" w:rsidR="0075046B">
        <w:rPr>
          <w:rFonts w:ascii="Times New Roman" w:hAnsi="Times New Roman" w:cs="Times New Roman"/>
        </w:rPr>
        <w:t xml:space="preserve"> </w:t>
      </w:r>
      <w:r w:rsidR="00EE0A72">
        <w:rPr>
          <w:rFonts w:ascii="Times New Roman" w:hAnsi="Times New Roman" w:cs="Times New Roman"/>
        </w:rPr>
        <w:t>1,776</w:t>
      </w:r>
      <w:r w:rsidR="008C0789">
        <w:rPr>
          <w:rFonts w:ascii="Times New Roman" w:hAnsi="Times New Roman" w:cs="Times New Roman"/>
        </w:rPr>
        <w:t xml:space="preserve"> </w:t>
      </w:r>
      <w:r w:rsidRPr="00693892" w:rsidR="0075046B">
        <w:rPr>
          <w:rFonts w:ascii="Times New Roman" w:hAnsi="Times New Roman" w:cs="Times New Roman"/>
        </w:rPr>
        <w:t>are small based on their employee or revenue data</w:t>
      </w:r>
      <w:r w:rsidR="0006322D">
        <w:rPr>
          <w:rFonts w:ascii="Times New Roman" w:hAnsi="Times New Roman" w:cs="Times New Roman"/>
        </w:rPr>
        <w:t xml:space="preserve"> using Data Axel data</w:t>
      </w:r>
      <w:r w:rsidRPr="00693892" w:rsidR="0075046B">
        <w:rPr>
          <w:rFonts w:ascii="Times New Roman" w:hAnsi="Times New Roman" w:cs="Times New Roman"/>
        </w:rPr>
        <w:t xml:space="preserve">. These small private sector entities have an average of </w:t>
      </w:r>
      <w:r w:rsidRPr="00CA31C1" w:rsidR="0075046B">
        <w:rPr>
          <w:rFonts w:ascii="Times New Roman" w:hAnsi="Times New Roman" w:cs="Times New Roman"/>
        </w:rPr>
        <w:t>1</w:t>
      </w:r>
      <w:r w:rsidRPr="00CA31C1" w:rsidR="00CA31C1">
        <w:rPr>
          <w:rFonts w:ascii="Times New Roman" w:hAnsi="Times New Roman" w:cs="Times New Roman"/>
        </w:rPr>
        <w:t>29</w:t>
      </w:r>
      <w:r w:rsidRPr="00693892" w:rsidR="0075046B">
        <w:rPr>
          <w:rFonts w:ascii="Times New Roman" w:hAnsi="Times New Roman" w:cs="Times New Roman"/>
        </w:rPr>
        <w:t xml:space="preserve"> employees and average annual revenue of approximately $</w:t>
      </w:r>
      <w:r w:rsidR="00073855">
        <w:rPr>
          <w:rFonts w:ascii="Times New Roman" w:hAnsi="Times New Roman" w:cs="Times New Roman"/>
        </w:rPr>
        <w:t>68.1</w:t>
      </w:r>
      <w:r w:rsidRPr="00693892" w:rsidR="0075046B">
        <w:rPr>
          <w:rFonts w:ascii="Times New Roman" w:hAnsi="Times New Roman" w:cs="Times New Roman"/>
        </w:rPr>
        <w:t xml:space="preserve"> million. </w:t>
      </w:r>
      <w:r w:rsidR="00D077DE">
        <w:rPr>
          <w:rFonts w:ascii="Times New Roman" w:hAnsi="Times New Roman" w:cs="Times New Roman"/>
        </w:rPr>
        <w:t>The</w:t>
      </w:r>
      <w:r w:rsidR="00C87F39">
        <w:rPr>
          <w:rFonts w:ascii="Times New Roman" w:hAnsi="Times New Roman" w:cs="Times New Roman"/>
        </w:rPr>
        <w:t xml:space="preserve"> size classification of the</w:t>
      </w:r>
      <w:r w:rsidR="00D077DE">
        <w:rPr>
          <w:rFonts w:ascii="Times New Roman" w:hAnsi="Times New Roman" w:cs="Times New Roman"/>
        </w:rPr>
        <w:t xml:space="preserve"> remaining 860</w:t>
      </w:r>
      <w:r w:rsidR="00D87B25">
        <w:rPr>
          <w:rFonts w:ascii="Times New Roman" w:hAnsi="Times New Roman" w:cs="Times New Roman"/>
        </w:rPr>
        <w:t xml:space="preserve"> private sector</w:t>
      </w:r>
      <w:r w:rsidR="00D077DE">
        <w:rPr>
          <w:rFonts w:ascii="Times New Roman" w:hAnsi="Times New Roman" w:cs="Times New Roman"/>
        </w:rPr>
        <w:t xml:space="preserve"> small entities w</w:t>
      </w:r>
      <w:r w:rsidR="00C87F39">
        <w:rPr>
          <w:rFonts w:ascii="Times New Roman" w:hAnsi="Times New Roman" w:cs="Times New Roman"/>
        </w:rPr>
        <w:t>as</w:t>
      </w:r>
      <w:r w:rsidR="00D077DE">
        <w:rPr>
          <w:rFonts w:ascii="Times New Roman" w:hAnsi="Times New Roman" w:cs="Times New Roman"/>
        </w:rPr>
        <w:t xml:space="preserve"> determined through additional analysis described below.</w:t>
      </w:r>
      <w:r w:rsidR="00AA51AF">
        <w:rPr>
          <w:rFonts w:ascii="Times New Roman" w:hAnsi="Times New Roman" w:cs="Times New Roman"/>
        </w:rPr>
        <w:t xml:space="preserve"> </w:t>
      </w:r>
      <w:r w:rsidR="00317234">
        <w:rPr>
          <w:rFonts w:ascii="Times New Roman" w:hAnsi="Times New Roman" w:cs="Times New Roman"/>
        </w:rPr>
        <w:t xml:space="preserve">Further discussion of small entities </w:t>
      </w:r>
      <w:r w:rsidR="00121F09">
        <w:rPr>
          <w:rFonts w:ascii="Times New Roman" w:hAnsi="Times New Roman" w:cs="Times New Roman"/>
        </w:rPr>
        <w:t>refers to only small private sector small entities</w:t>
      </w:r>
      <w:r w:rsidR="0087216E">
        <w:rPr>
          <w:rFonts w:ascii="Times New Roman" w:hAnsi="Times New Roman" w:cs="Times New Roman"/>
        </w:rPr>
        <w:t>, there no nonprofits in</w:t>
      </w:r>
      <w:r w:rsidR="00A1290C">
        <w:rPr>
          <w:rFonts w:ascii="Times New Roman" w:hAnsi="Times New Roman" w:cs="Times New Roman"/>
        </w:rPr>
        <w:t xml:space="preserve"> the population.</w:t>
      </w:r>
      <w:r w:rsidR="00121F09">
        <w:rPr>
          <w:rFonts w:ascii="Times New Roman" w:hAnsi="Times New Roman" w:cs="Times New Roman"/>
        </w:rPr>
        <w:t xml:space="preserve"> </w:t>
      </w:r>
      <w:r w:rsidR="0046520A">
        <w:rPr>
          <w:rFonts w:ascii="Times New Roman" w:hAnsi="Times New Roman" w:cs="Times New Roman"/>
        </w:rPr>
        <w:t xml:space="preserve">Government </w:t>
      </w:r>
      <w:r w:rsidR="00491524">
        <w:rPr>
          <w:rFonts w:ascii="Times New Roman" w:hAnsi="Times New Roman" w:cs="Times New Roman"/>
        </w:rPr>
        <w:t>small entities are discussed in sections 8.2.2 and 8.3.2.</w:t>
      </w:r>
    </w:p>
    <w:p w:rsidR="00B20325" w:rsidP="000E6E0F" w14:paraId="2C1A1754" w14:textId="77777777">
      <w:pPr>
        <w:spacing w:after="0" w:line="240" w:lineRule="auto"/>
        <w:ind w:firstLine="360"/>
        <w:rPr>
          <w:rFonts w:ascii="Times New Roman" w:hAnsi="Times New Roman" w:cs="Times New Roman"/>
        </w:rPr>
      </w:pPr>
    </w:p>
    <w:p w:rsidR="0075046B" w:rsidP="000E6E0F" w14:paraId="7FFDB59F"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 xml:space="preserve">To assess the remaining unmatched entities (1,306), EPA extrapolated the results of the size classification. At the 3-digit NAICS level, EPA estimated the percent of small and non-small entities and assumed that unmatched entities within those NAICS codes </w:t>
      </w:r>
      <w:r w:rsidR="009837FF">
        <w:rPr>
          <w:rFonts w:ascii="Times New Roman" w:hAnsi="Times New Roman" w:cs="Times New Roman"/>
        </w:rPr>
        <w:t>will</w:t>
      </w:r>
      <w:r w:rsidRPr="00693892">
        <w:rPr>
          <w:rFonts w:ascii="Times New Roman" w:hAnsi="Times New Roman" w:cs="Times New Roman"/>
        </w:rPr>
        <w:t xml:space="preserve"> have the same distribution of small and non-small. </w:t>
      </w:r>
      <w:r w:rsidRPr="00693892" w:rsidR="00BE597D">
        <w:rPr>
          <w:rFonts w:ascii="Times New Roman" w:hAnsi="Times New Roman" w:cs="Times New Roman"/>
        </w:rPr>
        <w:t>For example, in NAICS sector 424 (</w:t>
      </w:r>
      <w:r w:rsidRPr="00693892" w:rsidR="000C77E1">
        <w:rPr>
          <w:rFonts w:ascii="Times New Roman" w:hAnsi="Times New Roman" w:cs="Times New Roman"/>
        </w:rPr>
        <w:t xml:space="preserve">Merchant Wholesalers, Nondurable Goods) there are 979 total parent entities. Of those, </w:t>
      </w:r>
      <w:r w:rsidR="00777370">
        <w:rPr>
          <w:rFonts w:ascii="Times New Roman" w:hAnsi="Times New Roman" w:cs="Times New Roman"/>
        </w:rPr>
        <w:t>3</w:t>
      </w:r>
      <w:r w:rsidR="00672EDA">
        <w:rPr>
          <w:rFonts w:ascii="Times New Roman" w:hAnsi="Times New Roman" w:cs="Times New Roman"/>
        </w:rPr>
        <w:t>09</w:t>
      </w:r>
      <w:r w:rsidRPr="00693892" w:rsidR="00777370">
        <w:rPr>
          <w:rFonts w:ascii="Times New Roman" w:hAnsi="Times New Roman" w:cs="Times New Roman"/>
        </w:rPr>
        <w:t xml:space="preserve"> </w:t>
      </w:r>
      <w:r w:rsidRPr="00693892" w:rsidR="000C77E1">
        <w:rPr>
          <w:rFonts w:ascii="Times New Roman" w:hAnsi="Times New Roman" w:cs="Times New Roman"/>
        </w:rPr>
        <w:t xml:space="preserve">were classified as small, </w:t>
      </w:r>
      <w:r w:rsidR="00777370">
        <w:rPr>
          <w:rFonts w:ascii="Times New Roman" w:hAnsi="Times New Roman" w:cs="Times New Roman"/>
        </w:rPr>
        <w:t>22</w:t>
      </w:r>
      <w:r w:rsidR="00210406">
        <w:rPr>
          <w:rFonts w:ascii="Times New Roman" w:hAnsi="Times New Roman" w:cs="Times New Roman"/>
        </w:rPr>
        <w:t>3</w:t>
      </w:r>
      <w:r w:rsidRPr="00693892" w:rsidR="00777370">
        <w:rPr>
          <w:rFonts w:ascii="Times New Roman" w:hAnsi="Times New Roman" w:cs="Times New Roman"/>
        </w:rPr>
        <w:t xml:space="preserve"> </w:t>
      </w:r>
      <w:r w:rsidRPr="00693892" w:rsidR="000C77E1">
        <w:rPr>
          <w:rFonts w:ascii="Times New Roman" w:hAnsi="Times New Roman" w:cs="Times New Roman"/>
        </w:rPr>
        <w:t xml:space="preserve">as non-small, and 447 did not have </w:t>
      </w:r>
      <w:r w:rsidRPr="00693892" w:rsidR="000C77E1">
        <w:rPr>
          <w:rFonts w:ascii="Times New Roman" w:hAnsi="Times New Roman" w:cs="Times New Roman"/>
        </w:rPr>
        <w:t xml:space="preserve">employee data to classify. </w:t>
      </w:r>
      <w:r w:rsidRPr="00693892" w:rsidR="00476F22">
        <w:rPr>
          <w:rFonts w:ascii="Times New Roman" w:hAnsi="Times New Roman" w:cs="Times New Roman"/>
        </w:rPr>
        <w:t>To classify the 447 entities as small or non-small the percent of small entities in the matched data (</w:t>
      </w:r>
      <w:r w:rsidR="00344D65">
        <w:rPr>
          <w:rFonts w:ascii="Times New Roman" w:hAnsi="Times New Roman" w:cs="Times New Roman"/>
        </w:rPr>
        <w:t>58</w:t>
      </w:r>
      <w:r w:rsidR="008A44C2">
        <w:rPr>
          <w:rFonts w:ascii="Times New Roman" w:hAnsi="Times New Roman" w:cs="Times New Roman"/>
        </w:rPr>
        <w:t>.</w:t>
      </w:r>
      <w:r w:rsidR="00DC3A4E">
        <w:rPr>
          <w:rFonts w:ascii="Times New Roman" w:hAnsi="Times New Roman" w:cs="Times New Roman"/>
        </w:rPr>
        <w:t>1</w:t>
      </w:r>
      <w:r w:rsidRPr="00693892" w:rsidR="00115223">
        <w:rPr>
          <w:rFonts w:ascii="Times New Roman" w:hAnsi="Times New Roman" w:cs="Times New Roman"/>
        </w:rPr>
        <w:t xml:space="preserve"> percent</w:t>
      </w:r>
      <w:r w:rsidRPr="00693892" w:rsidR="00476F22">
        <w:rPr>
          <w:rFonts w:ascii="Times New Roman" w:hAnsi="Times New Roman" w:cs="Times New Roman"/>
        </w:rPr>
        <w:t xml:space="preserve"> or </w:t>
      </w:r>
      <w:r w:rsidRPr="00693892" w:rsidR="008B60E3">
        <w:rPr>
          <w:rFonts w:ascii="Times New Roman" w:hAnsi="Times New Roman" w:cs="Times New Roman"/>
        </w:rPr>
        <w:t>3</w:t>
      </w:r>
      <w:r w:rsidR="005E010D">
        <w:rPr>
          <w:rFonts w:ascii="Times New Roman" w:hAnsi="Times New Roman" w:cs="Times New Roman"/>
        </w:rPr>
        <w:t>09</w:t>
      </w:r>
      <w:r w:rsidRPr="00693892" w:rsidR="008B60E3">
        <w:rPr>
          <w:rFonts w:ascii="Times New Roman" w:hAnsi="Times New Roman" w:cs="Times New Roman"/>
        </w:rPr>
        <w:t xml:space="preserve"> </w:t>
      </w:r>
      <w:r w:rsidRPr="00693892" w:rsidR="00476F22">
        <w:rPr>
          <w:rFonts w:ascii="Times New Roman" w:hAnsi="Times New Roman" w:cs="Times New Roman"/>
        </w:rPr>
        <w:t xml:space="preserve">out of 532) was used to classify </w:t>
      </w:r>
      <w:r w:rsidRPr="00693892" w:rsidR="00AC47B9">
        <w:rPr>
          <w:rFonts w:ascii="Times New Roman" w:hAnsi="Times New Roman" w:cs="Times New Roman"/>
        </w:rPr>
        <w:t>26</w:t>
      </w:r>
      <w:r w:rsidR="005E010D">
        <w:rPr>
          <w:rFonts w:ascii="Times New Roman" w:hAnsi="Times New Roman" w:cs="Times New Roman"/>
        </w:rPr>
        <w:t>0</w:t>
      </w:r>
      <w:r w:rsidRPr="00693892" w:rsidR="00AC47B9">
        <w:rPr>
          <w:rFonts w:ascii="Times New Roman" w:hAnsi="Times New Roman" w:cs="Times New Roman"/>
        </w:rPr>
        <w:t xml:space="preserve"> </w:t>
      </w:r>
      <w:r w:rsidRPr="00693892" w:rsidR="00476F22">
        <w:rPr>
          <w:rFonts w:ascii="Times New Roman" w:hAnsi="Times New Roman" w:cs="Times New Roman"/>
        </w:rPr>
        <w:t xml:space="preserve">of the 447 unmatched entities as small. </w:t>
      </w:r>
      <w:r w:rsidRPr="00693892" w:rsidR="00F6429E">
        <w:rPr>
          <w:rFonts w:ascii="Times New Roman" w:hAnsi="Times New Roman" w:cs="Times New Roman"/>
        </w:rPr>
        <w:t>Across all sectors</w:t>
      </w:r>
      <w:r w:rsidRPr="00693892" w:rsidR="00135EA4">
        <w:rPr>
          <w:rFonts w:ascii="Times New Roman" w:hAnsi="Times New Roman" w:cs="Times New Roman"/>
        </w:rPr>
        <w:t>,</w:t>
      </w:r>
      <w:r w:rsidRPr="00693892">
        <w:rPr>
          <w:rFonts w:ascii="Times New Roman" w:hAnsi="Times New Roman" w:cs="Times New Roman"/>
        </w:rPr>
        <w:t xml:space="preserve"> </w:t>
      </w:r>
      <w:r w:rsidR="00A80351">
        <w:rPr>
          <w:rFonts w:ascii="Times New Roman" w:hAnsi="Times New Roman" w:cs="Times New Roman"/>
        </w:rPr>
        <w:t>8</w:t>
      </w:r>
      <w:r w:rsidR="00A22D20">
        <w:rPr>
          <w:rFonts w:ascii="Times New Roman" w:hAnsi="Times New Roman" w:cs="Times New Roman"/>
        </w:rPr>
        <w:t>60</w:t>
      </w:r>
      <w:r w:rsidRPr="00693892" w:rsidR="00A80351">
        <w:rPr>
          <w:rFonts w:ascii="Times New Roman" w:hAnsi="Times New Roman" w:cs="Times New Roman"/>
        </w:rPr>
        <w:t xml:space="preserve"> </w:t>
      </w:r>
      <w:r w:rsidRPr="00693892">
        <w:rPr>
          <w:rFonts w:ascii="Times New Roman" w:hAnsi="Times New Roman" w:cs="Times New Roman"/>
        </w:rPr>
        <w:t xml:space="preserve">unmatched entities were classified as small and </w:t>
      </w:r>
      <w:r w:rsidR="00D306F6">
        <w:rPr>
          <w:rFonts w:ascii="Times New Roman" w:hAnsi="Times New Roman" w:cs="Times New Roman"/>
        </w:rPr>
        <w:t>555</w:t>
      </w:r>
      <w:r w:rsidRPr="00693892" w:rsidR="00A80351">
        <w:rPr>
          <w:rFonts w:ascii="Times New Roman" w:hAnsi="Times New Roman" w:cs="Times New Roman"/>
        </w:rPr>
        <w:t xml:space="preserve"> </w:t>
      </w:r>
      <w:r w:rsidRPr="00693892">
        <w:rPr>
          <w:rFonts w:ascii="Times New Roman" w:hAnsi="Times New Roman" w:cs="Times New Roman"/>
        </w:rPr>
        <w:t xml:space="preserve">unmatched entities were classified as non-small. The totals presented in Exhibit 8-2 above, therefore represent the </w:t>
      </w:r>
      <w:r w:rsidR="00032E82">
        <w:rPr>
          <w:rFonts w:ascii="Times New Roman" w:hAnsi="Times New Roman" w:cs="Times New Roman"/>
        </w:rPr>
        <w:t>1,</w:t>
      </w:r>
      <w:r w:rsidR="00B43B0F">
        <w:rPr>
          <w:rFonts w:ascii="Times New Roman" w:hAnsi="Times New Roman" w:cs="Times New Roman"/>
        </w:rPr>
        <w:t>776</w:t>
      </w:r>
      <w:r w:rsidRPr="00693892">
        <w:rPr>
          <w:rFonts w:ascii="Times New Roman" w:hAnsi="Times New Roman" w:cs="Times New Roman"/>
        </w:rPr>
        <w:t xml:space="preserve"> classified as small using Data Axle data and the estimated </w:t>
      </w:r>
      <w:r w:rsidR="001F2A9C">
        <w:rPr>
          <w:rFonts w:ascii="Times New Roman" w:hAnsi="Times New Roman" w:cs="Times New Roman"/>
        </w:rPr>
        <w:t>8</w:t>
      </w:r>
      <w:r w:rsidR="00641819">
        <w:rPr>
          <w:rFonts w:ascii="Times New Roman" w:hAnsi="Times New Roman" w:cs="Times New Roman"/>
        </w:rPr>
        <w:t>60</w:t>
      </w:r>
      <w:r w:rsidRPr="00693892" w:rsidR="001F2A9C">
        <w:rPr>
          <w:rFonts w:ascii="Times New Roman" w:hAnsi="Times New Roman" w:cs="Times New Roman"/>
        </w:rPr>
        <w:t xml:space="preserve"> </w:t>
      </w:r>
      <w:r w:rsidRPr="00693892">
        <w:rPr>
          <w:rFonts w:ascii="Times New Roman" w:hAnsi="Times New Roman" w:cs="Times New Roman"/>
        </w:rPr>
        <w:t>entities classified as small using the extrapolation analysis, resulting in 2,</w:t>
      </w:r>
      <w:r w:rsidR="00373CF6">
        <w:rPr>
          <w:rFonts w:ascii="Times New Roman" w:hAnsi="Times New Roman" w:cs="Times New Roman"/>
        </w:rPr>
        <w:t>636</w:t>
      </w:r>
      <w:r w:rsidRPr="00693892" w:rsidR="00487090">
        <w:rPr>
          <w:rFonts w:ascii="Times New Roman" w:hAnsi="Times New Roman" w:cs="Times New Roman"/>
        </w:rPr>
        <w:t xml:space="preserve"> </w:t>
      </w:r>
      <w:r w:rsidRPr="00693892">
        <w:rPr>
          <w:rFonts w:ascii="Times New Roman" w:hAnsi="Times New Roman" w:cs="Times New Roman"/>
        </w:rPr>
        <w:t>total small private sector entities (</w:t>
      </w:r>
      <w:r w:rsidR="00377A66">
        <w:rPr>
          <w:rFonts w:ascii="Times New Roman" w:hAnsi="Times New Roman" w:cs="Times New Roman"/>
        </w:rPr>
        <w:t>58</w:t>
      </w:r>
      <w:r w:rsidRPr="00693892" w:rsidR="00487090">
        <w:rPr>
          <w:rFonts w:ascii="Times New Roman" w:hAnsi="Times New Roman" w:cs="Times New Roman"/>
        </w:rPr>
        <w:t xml:space="preserve"> </w:t>
      </w:r>
      <w:r w:rsidRPr="00693892" w:rsidR="00115223">
        <w:rPr>
          <w:rFonts w:ascii="Times New Roman" w:hAnsi="Times New Roman" w:cs="Times New Roman"/>
        </w:rPr>
        <w:t>percent</w:t>
      </w:r>
      <w:r w:rsidRPr="00693892">
        <w:rPr>
          <w:rFonts w:ascii="Times New Roman" w:hAnsi="Times New Roman" w:cs="Times New Roman"/>
        </w:rPr>
        <w:t xml:space="preserve"> of private sector entities).</w:t>
      </w:r>
    </w:p>
    <w:p w:rsidR="00D726C0" w:rsidP="000E6E0F" w14:paraId="432D993C" w14:textId="77777777">
      <w:pPr>
        <w:spacing w:after="0" w:line="240" w:lineRule="auto"/>
        <w:ind w:firstLine="360"/>
        <w:rPr>
          <w:rFonts w:ascii="Times New Roman" w:hAnsi="Times New Roman" w:cs="Times New Roman"/>
        </w:rPr>
      </w:pPr>
    </w:p>
    <w:p w:rsidR="0075046B" w:rsidP="000E6E0F" w14:paraId="475C7208" w14:textId="6F93705A">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 xml:space="preserve">Exhibit 8-3 presents an analysis of facilities and the size of entity they are associated with to provide an understanding of the distribution of private sector owned facilities by </w:t>
      </w:r>
      <w:r w:rsidR="007C52B8">
        <w:rPr>
          <w:rFonts w:ascii="Times New Roman" w:hAnsi="Times New Roman" w:cs="Times New Roman"/>
        </w:rPr>
        <w:t>p</w:t>
      </w:r>
      <w:r w:rsidRPr="00693892">
        <w:rPr>
          <w:rFonts w:ascii="Times New Roman" w:hAnsi="Times New Roman" w:cs="Times New Roman"/>
        </w:rPr>
        <w:t xml:space="preserve">rogram </w:t>
      </w:r>
      <w:r w:rsidR="007C52B8">
        <w:rPr>
          <w:rFonts w:ascii="Times New Roman" w:hAnsi="Times New Roman" w:cs="Times New Roman"/>
        </w:rPr>
        <w:t>l</w:t>
      </w:r>
      <w:r w:rsidRPr="00693892">
        <w:rPr>
          <w:rFonts w:ascii="Times New Roman" w:hAnsi="Times New Roman" w:cs="Times New Roman"/>
        </w:rPr>
        <w:t xml:space="preserve">evel. The results show that Program 3 has a larger proportion of facilities owned by non-small private sector entities than Program </w:t>
      </w:r>
      <w:r w:rsidRPr="00693892" w:rsidR="00D405F7">
        <w:rPr>
          <w:rFonts w:ascii="Times New Roman" w:hAnsi="Times New Roman" w:cs="Times New Roman"/>
        </w:rPr>
        <w:t>2 and</w:t>
      </w:r>
      <w:r w:rsidRPr="00693892">
        <w:rPr>
          <w:rFonts w:ascii="Times New Roman" w:hAnsi="Times New Roman" w:cs="Times New Roman"/>
        </w:rPr>
        <w:t xml:space="preserve"> </w:t>
      </w:r>
      <w:r w:rsidRPr="00693892" w:rsidR="00D405F7">
        <w:rPr>
          <w:rFonts w:ascii="Times New Roman" w:hAnsi="Times New Roman" w:cs="Times New Roman"/>
        </w:rPr>
        <w:t>facilities</w:t>
      </w:r>
      <w:r w:rsidRPr="00693892">
        <w:rPr>
          <w:rFonts w:ascii="Times New Roman" w:hAnsi="Times New Roman" w:cs="Times New Roman"/>
        </w:rPr>
        <w:t xml:space="preserve">. That is, almost </w:t>
      </w:r>
      <w:r w:rsidR="00C315D9">
        <w:rPr>
          <w:rFonts w:ascii="Times New Roman" w:hAnsi="Times New Roman" w:cs="Times New Roman"/>
        </w:rPr>
        <w:t>65</w:t>
      </w:r>
      <w:r w:rsidRPr="00693892" w:rsidR="00115223">
        <w:rPr>
          <w:rFonts w:ascii="Times New Roman" w:hAnsi="Times New Roman" w:cs="Times New Roman"/>
        </w:rPr>
        <w:t xml:space="preserve"> percent</w:t>
      </w:r>
      <w:r w:rsidRPr="00693892">
        <w:rPr>
          <w:rFonts w:ascii="Times New Roman" w:hAnsi="Times New Roman" w:cs="Times New Roman"/>
        </w:rPr>
        <w:t xml:space="preserve"> of Program 3 facilities (</w:t>
      </w:r>
      <w:r w:rsidR="0019498A">
        <w:rPr>
          <w:rFonts w:ascii="Times New Roman" w:hAnsi="Times New Roman" w:cs="Times New Roman"/>
        </w:rPr>
        <w:t>4</w:t>
      </w:r>
      <w:r w:rsidR="002F7E2F">
        <w:rPr>
          <w:rFonts w:ascii="Times New Roman" w:hAnsi="Times New Roman" w:cs="Times New Roman"/>
        </w:rPr>
        <w:t>,</w:t>
      </w:r>
      <w:r w:rsidR="007575D4">
        <w:rPr>
          <w:rFonts w:ascii="Times New Roman" w:hAnsi="Times New Roman" w:cs="Times New Roman"/>
        </w:rPr>
        <w:t>148</w:t>
      </w:r>
      <w:r w:rsidRPr="00693892" w:rsidR="00D422F9">
        <w:rPr>
          <w:rFonts w:ascii="Times New Roman" w:hAnsi="Times New Roman" w:cs="Times New Roman"/>
        </w:rPr>
        <w:t xml:space="preserve"> </w:t>
      </w:r>
      <w:r w:rsidRPr="00693892">
        <w:rPr>
          <w:rFonts w:ascii="Times New Roman" w:hAnsi="Times New Roman" w:cs="Times New Roman"/>
        </w:rPr>
        <w:t xml:space="preserve">of 6,422) are owned by a non-small private sector entity compared to </w:t>
      </w:r>
      <w:r w:rsidR="00061EC8">
        <w:rPr>
          <w:rFonts w:ascii="Times New Roman" w:hAnsi="Times New Roman" w:cs="Times New Roman"/>
        </w:rPr>
        <w:t>51</w:t>
      </w:r>
      <w:r w:rsidRPr="00693892" w:rsidR="00115223">
        <w:rPr>
          <w:rFonts w:ascii="Times New Roman" w:hAnsi="Times New Roman" w:cs="Times New Roman"/>
        </w:rPr>
        <w:t xml:space="preserve"> percent</w:t>
      </w:r>
      <w:r w:rsidRPr="00693892">
        <w:rPr>
          <w:rFonts w:ascii="Times New Roman" w:hAnsi="Times New Roman" w:cs="Times New Roman"/>
        </w:rPr>
        <w:t xml:space="preserve"> of Program 2 facilities (1,</w:t>
      </w:r>
      <w:r w:rsidR="00061EC8">
        <w:rPr>
          <w:rFonts w:ascii="Times New Roman" w:hAnsi="Times New Roman" w:cs="Times New Roman"/>
        </w:rPr>
        <w:t>612</w:t>
      </w:r>
      <w:r w:rsidRPr="00693892" w:rsidR="00F20893">
        <w:rPr>
          <w:rFonts w:ascii="Times New Roman" w:hAnsi="Times New Roman" w:cs="Times New Roman"/>
        </w:rPr>
        <w:t xml:space="preserve"> </w:t>
      </w:r>
      <w:r w:rsidRPr="00693892">
        <w:rPr>
          <w:rFonts w:ascii="Times New Roman" w:hAnsi="Times New Roman" w:cs="Times New Roman"/>
        </w:rPr>
        <w:t>of 3</w:t>
      </w:r>
      <w:r w:rsidRPr="00BE7DE1">
        <w:rPr>
          <w:rFonts w:ascii="Times New Roman" w:hAnsi="Times New Roman" w:cs="Times New Roman"/>
        </w:rPr>
        <w:t>,16</w:t>
      </w:r>
      <w:r w:rsidRPr="00BE7DE1" w:rsidR="00CA5C6B">
        <w:rPr>
          <w:rFonts w:ascii="Times New Roman" w:hAnsi="Times New Roman" w:cs="Times New Roman"/>
        </w:rPr>
        <w:t>2</w:t>
      </w:r>
      <w:r w:rsidRPr="00693892">
        <w:rPr>
          <w:rFonts w:ascii="Times New Roman" w:hAnsi="Times New Roman" w:cs="Times New Roman"/>
        </w:rPr>
        <w:t xml:space="preserve">) and </w:t>
      </w:r>
      <w:r w:rsidR="00082F4A">
        <w:rPr>
          <w:rFonts w:ascii="Times New Roman" w:hAnsi="Times New Roman" w:cs="Times New Roman"/>
        </w:rPr>
        <w:t>48</w:t>
      </w:r>
      <w:r w:rsidRPr="00693892" w:rsidR="00C44467">
        <w:rPr>
          <w:rFonts w:ascii="Times New Roman" w:hAnsi="Times New Roman" w:cs="Times New Roman"/>
        </w:rPr>
        <w:t xml:space="preserve"> </w:t>
      </w:r>
      <w:r w:rsidRPr="00693892" w:rsidR="00115223">
        <w:rPr>
          <w:rFonts w:ascii="Times New Roman" w:hAnsi="Times New Roman" w:cs="Times New Roman"/>
        </w:rPr>
        <w:t>percent</w:t>
      </w:r>
      <w:r w:rsidRPr="00693892">
        <w:rPr>
          <w:rFonts w:ascii="Times New Roman" w:hAnsi="Times New Roman" w:cs="Times New Roman"/>
        </w:rPr>
        <w:t xml:space="preserve"> of Program 1 facilities (</w:t>
      </w:r>
      <w:r w:rsidR="00082F4A">
        <w:rPr>
          <w:rFonts w:ascii="Times New Roman" w:hAnsi="Times New Roman" w:cs="Times New Roman"/>
        </w:rPr>
        <w:t>310</w:t>
      </w:r>
      <w:r w:rsidRPr="00693892" w:rsidR="002F652A">
        <w:rPr>
          <w:rFonts w:ascii="Times New Roman" w:hAnsi="Times New Roman" w:cs="Times New Roman"/>
        </w:rPr>
        <w:t xml:space="preserve"> </w:t>
      </w:r>
      <w:r w:rsidRPr="00693892">
        <w:rPr>
          <w:rFonts w:ascii="Times New Roman" w:hAnsi="Times New Roman" w:cs="Times New Roman"/>
        </w:rPr>
        <w:t>out of 651).</w:t>
      </w:r>
    </w:p>
    <w:p w:rsidR="000E6E0F" w:rsidRPr="00693892" w:rsidP="000E6E0F" w14:paraId="408F7193" w14:textId="77777777">
      <w:pPr>
        <w:spacing w:after="0" w:line="240" w:lineRule="auto"/>
        <w:ind w:firstLine="360"/>
        <w:rPr>
          <w:rFonts w:ascii="Times New Roman" w:hAnsi="Times New Roman" w:cs="Times New Roman"/>
        </w:rPr>
      </w:pPr>
    </w:p>
    <w:p w:rsidR="00E92045" w:rsidRPr="00E92045" w:rsidP="00E92045" w14:paraId="5A04F7FB" w14:textId="77777777">
      <w:pPr>
        <w:pStyle w:val="Caption"/>
        <w:jc w:val="center"/>
        <w:rPr>
          <w:rFonts w:ascii="Times New Roman" w:hAnsi="Times New Roman" w:cs="Times New Roman"/>
          <w:b/>
          <w:bCs/>
          <w:i w:val="0"/>
          <w:iCs w:val="0"/>
          <w:color w:val="auto"/>
          <w:sz w:val="22"/>
          <w:szCs w:val="22"/>
        </w:rPr>
      </w:pPr>
      <w:r w:rsidRPr="00E92045">
        <w:rPr>
          <w:rFonts w:ascii="Times New Roman" w:hAnsi="Times New Roman" w:cs="Times New Roman"/>
          <w:b/>
          <w:bCs/>
          <w:i w:val="0"/>
          <w:iCs w:val="0"/>
          <w:color w:val="auto"/>
          <w:sz w:val="22"/>
          <w:szCs w:val="22"/>
        </w:rPr>
        <w:t>Exhibit</w:t>
      </w:r>
      <w:r w:rsidRPr="00E92045">
        <w:rPr>
          <w:rFonts w:ascii="Times New Roman" w:hAnsi="Times New Roman" w:cs="Times New Roman"/>
          <w:i w:val="0"/>
          <w:iCs w:val="0"/>
          <w:color w:val="auto"/>
          <w:sz w:val="22"/>
          <w:szCs w:val="22"/>
        </w:rPr>
        <w:t xml:space="preserve"> </w:t>
      </w:r>
      <w:r w:rsidRPr="00E92045">
        <w:rPr>
          <w:rFonts w:ascii="Times New Roman" w:hAnsi="Times New Roman" w:cs="Times New Roman"/>
          <w:b/>
          <w:bCs/>
          <w:i w:val="0"/>
          <w:iCs w:val="0"/>
          <w:color w:val="auto"/>
          <w:sz w:val="22"/>
          <w:szCs w:val="22"/>
        </w:rPr>
        <w:t>8-3: Analysis of Private Sector Facility Ownership by Program Level.</w:t>
      </w: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200"/>
        <w:gridCol w:w="1190"/>
        <w:gridCol w:w="1386"/>
      </w:tblGrid>
      <w:tr w14:paraId="26A04062" w14:textId="77777777" w:rsidTr="00E92045">
        <w:tblPrEx>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jc w:val="center"/>
        </w:trPr>
        <w:tc>
          <w:tcPr>
            <w:tcW w:w="2789" w:type="dxa"/>
            <w:shd w:val="clear" w:color="auto" w:fill="D9D9D9" w:themeFill="background1" w:themeFillShade="D9"/>
            <w:noWrap/>
            <w:vAlign w:val="center"/>
            <w:hideMark/>
          </w:tcPr>
          <w:p w:rsidR="0075046B" w:rsidRPr="00E92045" w:rsidP="008348D6" w14:paraId="0BAA4163" w14:textId="77777777">
            <w:pPr>
              <w:spacing w:after="0" w:line="240" w:lineRule="auto"/>
              <w:rPr>
                <w:rFonts w:ascii="Times New Roman" w:eastAsia="Times New Roman" w:hAnsi="Times New Roman" w:cs="Times New Roman"/>
                <w:b/>
                <w:sz w:val="20"/>
                <w:szCs w:val="20"/>
              </w:rPr>
            </w:pPr>
          </w:p>
        </w:tc>
        <w:tc>
          <w:tcPr>
            <w:tcW w:w="1200" w:type="dxa"/>
            <w:shd w:val="clear" w:color="auto" w:fill="D9D9D9" w:themeFill="background1" w:themeFillShade="D9"/>
            <w:noWrap/>
            <w:vAlign w:val="center"/>
            <w:hideMark/>
          </w:tcPr>
          <w:p w:rsidR="0075046B" w:rsidRPr="00E92045" w:rsidP="008348D6" w14:paraId="1D9B2758"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P1 Facilities</w:t>
            </w:r>
          </w:p>
        </w:tc>
        <w:tc>
          <w:tcPr>
            <w:tcW w:w="1190" w:type="dxa"/>
            <w:shd w:val="clear" w:color="auto" w:fill="D9D9D9" w:themeFill="background1" w:themeFillShade="D9"/>
            <w:noWrap/>
            <w:vAlign w:val="center"/>
            <w:hideMark/>
          </w:tcPr>
          <w:p w:rsidR="0075046B" w:rsidRPr="00E92045" w:rsidP="008348D6" w14:paraId="64410D2B"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P2 Facilities</w:t>
            </w:r>
          </w:p>
        </w:tc>
        <w:tc>
          <w:tcPr>
            <w:tcW w:w="1386" w:type="dxa"/>
            <w:shd w:val="clear" w:color="auto" w:fill="D9D9D9" w:themeFill="background1" w:themeFillShade="D9"/>
            <w:noWrap/>
            <w:vAlign w:val="center"/>
            <w:hideMark/>
          </w:tcPr>
          <w:p w:rsidR="00DE6426" w:rsidP="008348D6" w14:paraId="2EA31F49"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 xml:space="preserve">Number </w:t>
            </w:r>
            <w:r w:rsidRPr="00E92045" w:rsidR="0075046B">
              <w:rPr>
                <w:rFonts w:ascii="Times New Roman" w:eastAsia="Times New Roman" w:hAnsi="Times New Roman" w:cs="Times New Roman"/>
                <w:b/>
                <w:color w:val="000000"/>
                <w:sz w:val="20"/>
                <w:szCs w:val="20"/>
              </w:rPr>
              <w:t xml:space="preserve">of P3 </w:t>
            </w:r>
          </w:p>
          <w:p w:rsidR="0075046B" w:rsidRPr="00E92045" w:rsidP="008348D6" w14:paraId="42F4063E"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Facilities</w:t>
            </w:r>
          </w:p>
        </w:tc>
      </w:tr>
      <w:tr w14:paraId="02E23174" w14:textId="77777777" w:rsidTr="00E92045">
        <w:tblPrEx>
          <w:tblW w:w="6565" w:type="dxa"/>
          <w:jc w:val="center"/>
          <w:tblLook w:val="04A0"/>
        </w:tblPrEx>
        <w:trPr>
          <w:trHeight w:val="290"/>
          <w:jc w:val="center"/>
        </w:trPr>
        <w:tc>
          <w:tcPr>
            <w:tcW w:w="2789" w:type="dxa"/>
            <w:shd w:val="clear" w:color="auto" w:fill="auto"/>
            <w:noWrap/>
            <w:vAlign w:val="center"/>
            <w:hideMark/>
          </w:tcPr>
          <w:p w:rsidR="0075046B" w:rsidRPr="00E92045" w:rsidP="008348D6" w14:paraId="6CD2AA7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Total Facilities</w:t>
            </w:r>
          </w:p>
        </w:tc>
        <w:tc>
          <w:tcPr>
            <w:tcW w:w="1200" w:type="dxa"/>
            <w:shd w:val="clear" w:color="auto" w:fill="auto"/>
            <w:noWrap/>
            <w:vAlign w:val="center"/>
            <w:hideMark/>
          </w:tcPr>
          <w:p w:rsidR="0075046B" w:rsidRPr="00E92045" w:rsidP="00E92045" w14:paraId="68E39B22"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660</w:t>
            </w:r>
          </w:p>
        </w:tc>
        <w:tc>
          <w:tcPr>
            <w:tcW w:w="1190" w:type="dxa"/>
            <w:shd w:val="clear" w:color="auto" w:fill="auto"/>
            <w:noWrap/>
            <w:vAlign w:val="center"/>
            <w:hideMark/>
          </w:tcPr>
          <w:p w:rsidR="0075046B" w:rsidRPr="00E92045" w:rsidP="00E92045" w14:paraId="7EC34ED3"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3,975</w:t>
            </w:r>
          </w:p>
        </w:tc>
        <w:tc>
          <w:tcPr>
            <w:tcW w:w="1386" w:type="dxa"/>
            <w:shd w:val="clear" w:color="auto" w:fill="auto"/>
            <w:noWrap/>
            <w:vAlign w:val="center"/>
            <w:hideMark/>
          </w:tcPr>
          <w:p w:rsidR="0075046B" w:rsidRPr="00E92045" w:rsidP="00E92045" w14:paraId="25B3EEF0"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7,105</w:t>
            </w:r>
          </w:p>
        </w:tc>
      </w:tr>
      <w:tr w14:paraId="0E2891DE" w14:textId="77777777" w:rsidTr="00E92045">
        <w:tblPrEx>
          <w:tblW w:w="6565" w:type="dxa"/>
          <w:jc w:val="center"/>
          <w:tblLook w:val="04A0"/>
        </w:tblPrEx>
        <w:trPr>
          <w:trHeight w:val="268"/>
          <w:jc w:val="center"/>
        </w:trPr>
        <w:tc>
          <w:tcPr>
            <w:tcW w:w="2789" w:type="dxa"/>
            <w:shd w:val="clear" w:color="auto" w:fill="auto"/>
            <w:noWrap/>
            <w:vAlign w:val="center"/>
            <w:hideMark/>
          </w:tcPr>
          <w:p w:rsidR="0075046B" w:rsidRPr="00E92045" w:rsidP="008348D6" w14:paraId="3A8FCE76" w14:textId="77777777">
            <w:pPr>
              <w:spacing w:after="0" w:line="240" w:lineRule="auto"/>
              <w:ind w:firstLine="200" w:firstLineChars="100"/>
              <w:jc w:val="center"/>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of facilities owned by: Private Sector Entities</w:t>
            </w:r>
          </w:p>
        </w:tc>
        <w:tc>
          <w:tcPr>
            <w:tcW w:w="1200" w:type="dxa"/>
            <w:shd w:val="clear" w:color="auto" w:fill="auto"/>
            <w:noWrap/>
            <w:vAlign w:val="center"/>
            <w:hideMark/>
          </w:tcPr>
          <w:p w:rsidR="0075046B" w:rsidRPr="00E92045" w:rsidP="00E92045" w14:paraId="39F05BDD"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651</w:t>
            </w:r>
          </w:p>
        </w:tc>
        <w:tc>
          <w:tcPr>
            <w:tcW w:w="1190" w:type="dxa"/>
            <w:shd w:val="clear" w:color="auto" w:fill="auto"/>
            <w:noWrap/>
            <w:vAlign w:val="center"/>
            <w:hideMark/>
          </w:tcPr>
          <w:p w:rsidR="0075046B" w:rsidRPr="00E92045" w:rsidP="00E92045" w14:paraId="5500F358"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3,162</w:t>
            </w:r>
          </w:p>
        </w:tc>
        <w:tc>
          <w:tcPr>
            <w:tcW w:w="1386" w:type="dxa"/>
            <w:shd w:val="clear" w:color="auto" w:fill="auto"/>
            <w:noWrap/>
            <w:vAlign w:val="center"/>
            <w:hideMark/>
          </w:tcPr>
          <w:p w:rsidR="0075046B" w:rsidRPr="00E92045" w:rsidP="00E92045" w14:paraId="20844A71"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6,422</w:t>
            </w:r>
          </w:p>
        </w:tc>
      </w:tr>
      <w:tr w14:paraId="6C0E4F54" w14:textId="77777777" w:rsidTr="00347BE9">
        <w:tblPrEx>
          <w:tblW w:w="6565" w:type="dxa"/>
          <w:jc w:val="center"/>
          <w:tblLook w:val="04A0"/>
        </w:tblPrEx>
        <w:trPr>
          <w:trHeight w:val="268"/>
          <w:jc w:val="center"/>
        </w:trPr>
        <w:tc>
          <w:tcPr>
            <w:tcW w:w="2789" w:type="dxa"/>
            <w:shd w:val="clear" w:color="auto" w:fill="auto"/>
            <w:noWrap/>
            <w:vAlign w:val="center"/>
            <w:hideMark/>
          </w:tcPr>
          <w:p w:rsidR="008E6CC1" w:rsidRPr="00E92045" w:rsidP="008E6CC1" w14:paraId="4570A9B2"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Small </w:t>
            </w:r>
          </w:p>
        </w:tc>
        <w:tc>
          <w:tcPr>
            <w:tcW w:w="1200" w:type="dxa"/>
            <w:shd w:val="clear" w:color="auto" w:fill="auto"/>
            <w:noWrap/>
            <w:hideMark/>
          </w:tcPr>
          <w:p w:rsidR="008E6CC1" w:rsidRPr="00AD60B6" w:rsidP="008E6CC1" w14:paraId="0E2AE669" w14:textId="77777777">
            <w:pPr>
              <w:spacing w:after="0" w:line="240" w:lineRule="auto"/>
              <w:jc w:val="center"/>
              <w:rPr>
                <w:rFonts w:ascii="Times New Roman" w:eastAsia="Times New Roman" w:hAnsi="Times New Roman" w:cs="Times New Roman"/>
                <w:color w:val="000000"/>
                <w:sz w:val="20"/>
                <w:szCs w:val="20"/>
              </w:rPr>
            </w:pPr>
            <w:r w:rsidRPr="00347BE9">
              <w:rPr>
                <w:rFonts w:ascii="Times New Roman" w:hAnsi="Times New Roman" w:cs="Times New Roman"/>
                <w:sz w:val="20"/>
                <w:szCs w:val="20"/>
              </w:rPr>
              <w:t xml:space="preserve"> </w:t>
            </w:r>
            <w:r w:rsidRPr="00347BE9" w:rsidR="00446AEE">
              <w:rPr>
                <w:rFonts w:ascii="Times New Roman" w:hAnsi="Times New Roman" w:cs="Times New Roman"/>
                <w:sz w:val="20"/>
                <w:szCs w:val="20"/>
              </w:rPr>
              <w:t>341</w:t>
            </w:r>
            <w:r w:rsidRPr="00347BE9">
              <w:rPr>
                <w:rFonts w:ascii="Times New Roman" w:hAnsi="Times New Roman" w:cs="Times New Roman"/>
                <w:sz w:val="20"/>
                <w:szCs w:val="20"/>
              </w:rPr>
              <w:t xml:space="preserve"> </w:t>
            </w:r>
          </w:p>
        </w:tc>
        <w:tc>
          <w:tcPr>
            <w:tcW w:w="1190" w:type="dxa"/>
            <w:shd w:val="clear" w:color="auto" w:fill="auto"/>
            <w:noWrap/>
            <w:hideMark/>
          </w:tcPr>
          <w:p w:rsidR="008E6CC1" w:rsidRPr="00AD60B6" w:rsidP="008E6CC1" w14:paraId="1ED60E55" w14:textId="77777777">
            <w:pPr>
              <w:spacing w:after="0" w:line="240" w:lineRule="auto"/>
              <w:jc w:val="center"/>
              <w:rPr>
                <w:rFonts w:ascii="Times New Roman" w:eastAsia="Times New Roman" w:hAnsi="Times New Roman" w:cs="Times New Roman"/>
                <w:color w:val="000000"/>
                <w:sz w:val="20"/>
                <w:szCs w:val="20"/>
              </w:rPr>
            </w:pPr>
            <w:r w:rsidRPr="00347BE9">
              <w:rPr>
                <w:rFonts w:ascii="Times New Roman" w:hAnsi="Times New Roman" w:cs="Times New Roman"/>
                <w:sz w:val="20"/>
                <w:szCs w:val="20"/>
              </w:rPr>
              <w:t xml:space="preserve"> 1,</w:t>
            </w:r>
            <w:r w:rsidRPr="00347BE9" w:rsidR="00446AEE">
              <w:rPr>
                <w:rFonts w:ascii="Times New Roman" w:hAnsi="Times New Roman" w:cs="Times New Roman"/>
                <w:sz w:val="20"/>
                <w:szCs w:val="20"/>
              </w:rPr>
              <w:t>550</w:t>
            </w:r>
            <w:r w:rsidRPr="00347BE9">
              <w:rPr>
                <w:rFonts w:ascii="Times New Roman" w:hAnsi="Times New Roman" w:cs="Times New Roman"/>
                <w:sz w:val="20"/>
                <w:szCs w:val="20"/>
              </w:rPr>
              <w:t xml:space="preserve"> </w:t>
            </w:r>
          </w:p>
        </w:tc>
        <w:tc>
          <w:tcPr>
            <w:tcW w:w="1386" w:type="dxa"/>
            <w:shd w:val="clear" w:color="auto" w:fill="auto"/>
            <w:noWrap/>
            <w:hideMark/>
          </w:tcPr>
          <w:p w:rsidR="008E6CC1" w:rsidRPr="00AD60B6" w:rsidP="008E6CC1" w14:paraId="14F09199" w14:textId="77777777">
            <w:pPr>
              <w:spacing w:after="0" w:line="240" w:lineRule="auto"/>
              <w:jc w:val="center"/>
              <w:rPr>
                <w:rFonts w:ascii="Times New Roman" w:eastAsia="Times New Roman" w:hAnsi="Times New Roman" w:cs="Times New Roman"/>
                <w:color w:val="000000"/>
                <w:sz w:val="20"/>
                <w:szCs w:val="20"/>
              </w:rPr>
            </w:pPr>
            <w:r w:rsidRPr="00347BE9">
              <w:rPr>
                <w:rFonts w:ascii="Times New Roman" w:hAnsi="Times New Roman" w:cs="Times New Roman"/>
                <w:sz w:val="20"/>
                <w:szCs w:val="20"/>
              </w:rPr>
              <w:t xml:space="preserve"> 2,</w:t>
            </w:r>
            <w:r w:rsidRPr="00347BE9" w:rsidR="00446AEE">
              <w:rPr>
                <w:rFonts w:ascii="Times New Roman" w:hAnsi="Times New Roman" w:cs="Times New Roman"/>
                <w:sz w:val="20"/>
                <w:szCs w:val="20"/>
              </w:rPr>
              <w:t>274</w:t>
            </w:r>
            <w:r w:rsidRPr="00347BE9">
              <w:rPr>
                <w:rFonts w:ascii="Times New Roman" w:hAnsi="Times New Roman" w:cs="Times New Roman"/>
                <w:sz w:val="20"/>
                <w:szCs w:val="20"/>
              </w:rPr>
              <w:t xml:space="preserve"> </w:t>
            </w:r>
          </w:p>
        </w:tc>
      </w:tr>
      <w:tr w14:paraId="057C6866" w14:textId="77777777" w:rsidTr="00347BE9">
        <w:tblPrEx>
          <w:tblW w:w="6565" w:type="dxa"/>
          <w:jc w:val="center"/>
          <w:tblLook w:val="04A0"/>
        </w:tblPrEx>
        <w:trPr>
          <w:trHeight w:val="268"/>
          <w:jc w:val="center"/>
        </w:trPr>
        <w:tc>
          <w:tcPr>
            <w:tcW w:w="2789" w:type="dxa"/>
            <w:shd w:val="clear" w:color="auto" w:fill="auto"/>
            <w:noWrap/>
            <w:vAlign w:val="center"/>
            <w:hideMark/>
          </w:tcPr>
          <w:p w:rsidR="008E6CC1" w:rsidRPr="00E92045" w:rsidP="008E6CC1" w14:paraId="7C0644EB"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Non-small </w:t>
            </w:r>
          </w:p>
        </w:tc>
        <w:tc>
          <w:tcPr>
            <w:tcW w:w="1200" w:type="dxa"/>
            <w:shd w:val="clear" w:color="auto" w:fill="auto"/>
            <w:noWrap/>
            <w:hideMark/>
          </w:tcPr>
          <w:p w:rsidR="008E6CC1" w:rsidRPr="00AD60B6" w:rsidP="008E6CC1" w14:paraId="178EF1DF" w14:textId="77777777">
            <w:pPr>
              <w:spacing w:after="0" w:line="240" w:lineRule="auto"/>
              <w:jc w:val="center"/>
              <w:rPr>
                <w:rFonts w:ascii="Times New Roman" w:eastAsia="Times New Roman" w:hAnsi="Times New Roman" w:cs="Times New Roman"/>
                <w:color w:val="000000"/>
                <w:sz w:val="20"/>
                <w:szCs w:val="20"/>
              </w:rPr>
            </w:pPr>
            <w:r w:rsidRPr="00347BE9">
              <w:rPr>
                <w:rFonts w:ascii="Times New Roman" w:hAnsi="Times New Roman" w:cs="Times New Roman"/>
                <w:sz w:val="20"/>
                <w:szCs w:val="20"/>
              </w:rPr>
              <w:t xml:space="preserve"> </w:t>
            </w:r>
            <w:r w:rsidRPr="00347BE9" w:rsidR="00446AEE">
              <w:rPr>
                <w:rFonts w:ascii="Times New Roman" w:hAnsi="Times New Roman" w:cs="Times New Roman"/>
                <w:sz w:val="20"/>
                <w:szCs w:val="20"/>
              </w:rPr>
              <w:t>310</w:t>
            </w:r>
            <w:r w:rsidRPr="00347BE9">
              <w:rPr>
                <w:rFonts w:ascii="Times New Roman" w:hAnsi="Times New Roman" w:cs="Times New Roman"/>
                <w:sz w:val="20"/>
                <w:szCs w:val="20"/>
              </w:rPr>
              <w:t xml:space="preserve"> </w:t>
            </w:r>
          </w:p>
        </w:tc>
        <w:tc>
          <w:tcPr>
            <w:tcW w:w="1190" w:type="dxa"/>
            <w:shd w:val="clear" w:color="auto" w:fill="auto"/>
            <w:noWrap/>
            <w:hideMark/>
          </w:tcPr>
          <w:p w:rsidR="008E6CC1" w:rsidRPr="00AD60B6" w:rsidP="008E6CC1" w14:paraId="61E1AD49" w14:textId="77777777">
            <w:pPr>
              <w:spacing w:after="0" w:line="240" w:lineRule="auto"/>
              <w:jc w:val="center"/>
              <w:rPr>
                <w:rFonts w:ascii="Times New Roman" w:eastAsia="Times New Roman" w:hAnsi="Times New Roman" w:cs="Times New Roman"/>
                <w:color w:val="000000"/>
                <w:sz w:val="20"/>
                <w:szCs w:val="20"/>
              </w:rPr>
            </w:pPr>
            <w:r w:rsidRPr="00347BE9">
              <w:rPr>
                <w:rFonts w:ascii="Times New Roman" w:hAnsi="Times New Roman" w:cs="Times New Roman"/>
                <w:sz w:val="20"/>
                <w:szCs w:val="20"/>
              </w:rPr>
              <w:t xml:space="preserve"> 1,</w:t>
            </w:r>
            <w:r w:rsidRPr="00347BE9" w:rsidR="00446AEE">
              <w:rPr>
                <w:rFonts w:ascii="Times New Roman" w:hAnsi="Times New Roman" w:cs="Times New Roman"/>
                <w:sz w:val="20"/>
                <w:szCs w:val="20"/>
              </w:rPr>
              <w:t>612</w:t>
            </w:r>
            <w:r w:rsidRPr="00347BE9">
              <w:rPr>
                <w:rFonts w:ascii="Times New Roman" w:hAnsi="Times New Roman" w:cs="Times New Roman"/>
                <w:sz w:val="20"/>
                <w:szCs w:val="20"/>
              </w:rPr>
              <w:t xml:space="preserve"> </w:t>
            </w:r>
          </w:p>
        </w:tc>
        <w:tc>
          <w:tcPr>
            <w:tcW w:w="1386" w:type="dxa"/>
            <w:shd w:val="clear" w:color="auto" w:fill="auto"/>
            <w:noWrap/>
            <w:hideMark/>
          </w:tcPr>
          <w:p w:rsidR="008E6CC1" w:rsidRPr="00AD60B6" w:rsidP="008E6CC1" w14:paraId="29C1A8FB" w14:textId="77777777">
            <w:pPr>
              <w:spacing w:after="0" w:line="240" w:lineRule="auto"/>
              <w:jc w:val="center"/>
              <w:rPr>
                <w:rFonts w:ascii="Times New Roman" w:eastAsia="Times New Roman" w:hAnsi="Times New Roman" w:cs="Times New Roman"/>
                <w:color w:val="000000"/>
                <w:sz w:val="20"/>
                <w:szCs w:val="20"/>
              </w:rPr>
            </w:pPr>
            <w:r w:rsidRPr="00347BE9">
              <w:rPr>
                <w:rFonts w:ascii="Times New Roman" w:hAnsi="Times New Roman" w:cs="Times New Roman"/>
                <w:sz w:val="20"/>
                <w:szCs w:val="20"/>
              </w:rPr>
              <w:t xml:space="preserve"> </w:t>
            </w:r>
            <w:r w:rsidRPr="00347BE9" w:rsidR="00446AEE">
              <w:rPr>
                <w:rFonts w:ascii="Times New Roman" w:hAnsi="Times New Roman" w:cs="Times New Roman"/>
                <w:sz w:val="20"/>
                <w:szCs w:val="20"/>
              </w:rPr>
              <w:t>4,148</w:t>
            </w:r>
            <w:r w:rsidRPr="00347BE9">
              <w:rPr>
                <w:rFonts w:ascii="Times New Roman" w:hAnsi="Times New Roman" w:cs="Times New Roman"/>
                <w:sz w:val="20"/>
                <w:szCs w:val="20"/>
              </w:rPr>
              <w:t xml:space="preserve"> </w:t>
            </w:r>
          </w:p>
        </w:tc>
      </w:tr>
    </w:tbl>
    <w:p w:rsidR="00B36ABC" w:rsidP="0075046B" w14:paraId="10BDC1E9" w14:textId="77777777">
      <w:pPr>
        <w:rPr>
          <w:rFonts w:ascii="Times New Roman" w:hAnsi="Times New Roman" w:cs="Times New Roman"/>
        </w:rPr>
      </w:pPr>
    </w:p>
    <w:p w:rsidR="00111618" w:rsidP="00347BE9" w14:paraId="5AC4CB9A" w14:textId="77777777">
      <w:pPr>
        <w:ind w:firstLine="720"/>
        <w:rPr>
          <w:rFonts w:ascii="Times New Roman" w:hAnsi="Times New Roman" w:cs="Times New Roman"/>
        </w:rPr>
      </w:pPr>
      <w:r>
        <w:rPr>
          <w:rFonts w:ascii="Times New Roman" w:hAnsi="Times New Roman" w:cs="Times New Roman"/>
        </w:rPr>
        <w:t>Exhibit 8-4 presents the</w:t>
      </w:r>
      <w:r w:rsidR="00FD0939">
        <w:rPr>
          <w:rFonts w:ascii="Times New Roman" w:hAnsi="Times New Roman" w:cs="Times New Roman"/>
        </w:rPr>
        <w:t xml:space="preserve"> top ten </w:t>
      </w:r>
      <w:r w:rsidR="00E727E1">
        <w:rPr>
          <w:rFonts w:ascii="Times New Roman" w:hAnsi="Times New Roman" w:cs="Times New Roman"/>
        </w:rPr>
        <w:t xml:space="preserve">six-digit NAICS </w:t>
      </w:r>
      <w:r w:rsidR="008C68D4">
        <w:rPr>
          <w:rFonts w:ascii="Times New Roman" w:hAnsi="Times New Roman" w:cs="Times New Roman"/>
        </w:rPr>
        <w:t>sectors</w:t>
      </w:r>
      <w:r w:rsidR="00E727E1">
        <w:rPr>
          <w:rFonts w:ascii="Times New Roman" w:hAnsi="Times New Roman" w:cs="Times New Roman"/>
        </w:rPr>
        <w:t xml:space="preserve"> with </w:t>
      </w:r>
      <w:r w:rsidR="002861AC">
        <w:rPr>
          <w:rFonts w:ascii="Times New Roman" w:hAnsi="Times New Roman" w:cs="Times New Roman"/>
        </w:rPr>
        <w:t xml:space="preserve">the </w:t>
      </w:r>
      <w:r w:rsidR="00455BF7">
        <w:rPr>
          <w:rFonts w:ascii="Times New Roman" w:hAnsi="Times New Roman" w:cs="Times New Roman"/>
        </w:rPr>
        <w:t>largest share</w:t>
      </w:r>
      <w:r w:rsidR="002861AC">
        <w:rPr>
          <w:rFonts w:ascii="Times New Roman" w:hAnsi="Times New Roman" w:cs="Times New Roman"/>
        </w:rPr>
        <w:t xml:space="preserve"> of </w:t>
      </w:r>
      <w:r w:rsidR="003871B9">
        <w:rPr>
          <w:rFonts w:ascii="Times New Roman" w:hAnsi="Times New Roman" w:cs="Times New Roman"/>
        </w:rPr>
        <w:t xml:space="preserve">small entities </w:t>
      </w:r>
      <w:r w:rsidR="00455BF7">
        <w:rPr>
          <w:rFonts w:ascii="Times New Roman" w:hAnsi="Times New Roman" w:cs="Times New Roman"/>
        </w:rPr>
        <w:t>relative to other</w:t>
      </w:r>
      <w:r w:rsidR="00E46EB6">
        <w:rPr>
          <w:rFonts w:ascii="Times New Roman" w:hAnsi="Times New Roman" w:cs="Times New Roman"/>
        </w:rPr>
        <w:t xml:space="preserve"> </w:t>
      </w:r>
      <w:r w:rsidR="008C68D4">
        <w:rPr>
          <w:rFonts w:ascii="Times New Roman" w:hAnsi="Times New Roman" w:cs="Times New Roman"/>
        </w:rPr>
        <w:t>sectors</w:t>
      </w:r>
      <w:r w:rsidR="00455BF7">
        <w:rPr>
          <w:rFonts w:ascii="Times New Roman" w:hAnsi="Times New Roman" w:cs="Times New Roman"/>
        </w:rPr>
        <w:t xml:space="preserve">. </w:t>
      </w:r>
      <w:r w:rsidR="00021C4C">
        <w:rPr>
          <w:rFonts w:ascii="Times New Roman" w:hAnsi="Times New Roman" w:cs="Times New Roman"/>
        </w:rPr>
        <w:t xml:space="preserve">Percentages were derived from the number of matched entities from each NAICS, </w:t>
      </w:r>
      <w:r w:rsidR="00DF6788">
        <w:rPr>
          <w:rFonts w:ascii="Times New Roman" w:hAnsi="Times New Roman" w:cs="Times New Roman"/>
        </w:rPr>
        <w:t xml:space="preserve">as described above. </w:t>
      </w:r>
      <w:r w:rsidR="00455BF7">
        <w:rPr>
          <w:rFonts w:ascii="Times New Roman" w:hAnsi="Times New Roman" w:cs="Times New Roman"/>
        </w:rPr>
        <w:t xml:space="preserve">Most small employers fall within the Farm Supplies Merchant Wholesalers industry, comprising 8 percent of all small entities, followed by the Farm Product Warehousing and Storage industry, comprising 5 percent of all small entities. No one industry makes up </w:t>
      </w:r>
      <w:r w:rsidR="00A742A9">
        <w:rPr>
          <w:rFonts w:ascii="Times New Roman" w:hAnsi="Times New Roman" w:cs="Times New Roman"/>
        </w:rPr>
        <w:t xml:space="preserve">a significant share of the small </w:t>
      </w:r>
      <w:r w:rsidR="00552B39">
        <w:rPr>
          <w:rFonts w:ascii="Times New Roman" w:hAnsi="Times New Roman" w:cs="Times New Roman"/>
        </w:rPr>
        <w:t>entities</w:t>
      </w:r>
      <w:r w:rsidR="00A742A9">
        <w:rPr>
          <w:rFonts w:ascii="Times New Roman" w:hAnsi="Times New Roman" w:cs="Times New Roman"/>
        </w:rPr>
        <w:t xml:space="preserve"> impacted by this rule.</w:t>
      </w:r>
    </w:p>
    <w:p w:rsidR="005E6BEF" w:rsidP="00BC0408" w14:paraId="4AC3C97B" w14:textId="77777777">
      <w:pPr>
        <w:jc w:val="center"/>
        <w:rPr>
          <w:rFonts w:ascii="Times New Roman" w:hAnsi="Times New Roman" w:cs="Times New Roman"/>
        </w:rPr>
      </w:pPr>
      <w:r>
        <w:rPr>
          <w:rFonts w:ascii="Times New Roman" w:hAnsi="Times New Roman" w:cs="Times New Roman"/>
          <w:b/>
          <w:bCs/>
        </w:rPr>
        <w:t xml:space="preserve">Exhibit </w:t>
      </w:r>
      <w:r w:rsidRPr="00E92045">
        <w:rPr>
          <w:rFonts w:ascii="Times New Roman" w:hAnsi="Times New Roman" w:cs="Times New Roman"/>
          <w:b/>
          <w:bCs/>
        </w:rPr>
        <w:t>8-</w:t>
      </w:r>
      <w:r>
        <w:rPr>
          <w:rFonts w:ascii="Times New Roman" w:hAnsi="Times New Roman" w:cs="Times New Roman"/>
          <w:b/>
          <w:bCs/>
        </w:rPr>
        <w:t>4</w:t>
      </w:r>
      <w:r w:rsidRPr="00E92045">
        <w:rPr>
          <w:rFonts w:ascii="Times New Roman" w:hAnsi="Times New Roman" w:cs="Times New Roman"/>
          <w:b/>
          <w:bCs/>
        </w:rPr>
        <w:t xml:space="preserve">: </w:t>
      </w:r>
      <w:r w:rsidR="00FD32DA">
        <w:rPr>
          <w:rFonts w:ascii="Times New Roman" w:hAnsi="Times New Roman" w:cs="Times New Roman"/>
          <w:b/>
          <w:bCs/>
        </w:rPr>
        <w:t>Distribution</w:t>
      </w:r>
      <w:r w:rsidR="00D057B0">
        <w:rPr>
          <w:rFonts w:ascii="Times New Roman" w:hAnsi="Times New Roman" w:cs="Times New Roman"/>
          <w:b/>
          <w:bCs/>
        </w:rPr>
        <w:t xml:space="preserve"> of</w:t>
      </w:r>
      <w:r w:rsidRPr="00613855" w:rsidR="00613855">
        <w:rPr>
          <w:rFonts w:ascii="Times New Roman" w:hAnsi="Times New Roman" w:cs="Times New Roman"/>
          <w:b/>
          <w:bCs/>
        </w:rPr>
        <w:t xml:space="preserve"> Small Employers by</w:t>
      </w:r>
      <w:r w:rsidR="00D057B0">
        <w:rPr>
          <w:rFonts w:ascii="Times New Roman" w:hAnsi="Times New Roman" w:cs="Times New Roman"/>
          <w:b/>
          <w:bCs/>
        </w:rPr>
        <w:t xml:space="preserve"> </w:t>
      </w:r>
      <w:r w:rsidR="000D4A01">
        <w:rPr>
          <w:rFonts w:ascii="Times New Roman" w:hAnsi="Times New Roman" w:cs="Times New Roman"/>
          <w:b/>
          <w:bCs/>
        </w:rPr>
        <w:t xml:space="preserve">Top 10 </w:t>
      </w:r>
      <w:r w:rsidR="00D057B0">
        <w:rPr>
          <w:rFonts w:ascii="Times New Roman" w:hAnsi="Times New Roman" w:cs="Times New Roman"/>
          <w:b/>
          <w:bCs/>
        </w:rPr>
        <w:t>6-Digit</w:t>
      </w:r>
      <w:r w:rsidRPr="00613855" w:rsidR="00613855">
        <w:rPr>
          <w:rFonts w:ascii="Times New Roman" w:hAnsi="Times New Roman" w:cs="Times New Roman"/>
          <w:b/>
          <w:bCs/>
        </w:rPr>
        <w:t xml:space="preserve"> NAICS Code</w:t>
      </w:r>
      <w:r w:rsidR="00613855">
        <w:rPr>
          <w:rFonts w:ascii="Times New Roman" w:hAnsi="Times New Roman" w:cs="Times New Roman"/>
          <w:b/>
          <w:bCs/>
        </w:rPr>
        <w:t>.</w:t>
      </w:r>
    </w:p>
    <w:tbl>
      <w:tblPr>
        <w:tblW w:w="9350" w:type="dxa"/>
        <w:jc w:val="center"/>
        <w:tblCellMar>
          <w:top w:w="15" w:type="dxa"/>
          <w:bottom w:w="15" w:type="dxa"/>
        </w:tblCellMar>
        <w:tblLook w:val="04A0"/>
      </w:tblPr>
      <w:tblGrid>
        <w:gridCol w:w="1525"/>
        <w:gridCol w:w="4410"/>
        <w:gridCol w:w="1707"/>
        <w:gridCol w:w="1708"/>
      </w:tblGrid>
      <w:tr w14:paraId="1202A068" w14:textId="77777777" w:rsidTr="00B41797">
        <w:tblPrEx>
          <w:tblW w:w="9350" w:type="dxa"/>
          <w:jc w:val="center"/>
          <w:tblCellMar>
            <w:top w:w="15" w:type="dxa"/>
            <w:bottom w:w="15" w:type="dxa"/>
          </w:tblCellMar>
          <w:tblLook w:val="04A0"/>
        </w:tblPrEx>
        <w:trPr>
          <w:trHeight w:val="285"/>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1ED7" w:rsidRPr="00EC1ED7" w:rsidP="00FA04B8" w14:paraId="54155B29" w14:textId="77777777">
            <w:pPr>
              <w:spacing w:after="0" w:line="240" w:lineRule="auto"/>
              <w:jc w:val="center"/>
              <w:rPr>
                <w:rFonts w:ascii="Times New Roman" w:eastAsia="Times New Roman" w:hAnsi="Times New Roman" w:cs="Times New Roman"/>
                <w:b/>
                <w:bCs/>
                <w:color w:val="000000"/>
                <w:sz w:val="20"/>
                <w:szCs w:val="20"/>
              </w:rPr>
            </w:pPr>
            <w:r w:rsidRPr="00EC1ED7">
              <w:rPr>
                <w:rFonts w:ascii="Times New Roman" w:eastAsia="Times New Roman" w:hAnsi="Times New Roman" w:cs="Times New Roman"/>
                <w:b/>
                <w:bCs/>
                <w:color w:val="000000"/>
                <w:sz w:val="20"/>
                <w:szCs w:val="20"/>
              </w:rPr>
              <w:t>NAICS Code</w:t>
            </w:r>
          </w:p>
        </w:tc>
        <w:tc>
          <w:tcPr>
            <w:tcW w:w="4410" w:type="dxa"/>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rsidR="00EC1ED7" w:rsidRPr="00EC1ED7" w:rsidP="00FA04B8" w14:paraId="525707D0" w14:textId="77777777">
            <w:pPr>
              <w:spacing w:after="0" w:line="240" w:lineRule="auto"/>
              <w:jc w:val="center"/>
              <w:rPr>
                <w:rFonts w:ascii="Times New Roman" w:eastAsia="Times New Roman" w:hAnsi="Times New Roman" w:cs="Times New Roman"/>
                <w:b/>
                <w:bCs/>
                <w:sz w:val="20"/>
                <w:szCs w:val="20"/>
              </w:rPr>
            </w:pPr>
            <w:r w:rsidRPr="00EC1ED7">
              <w:rPr>
                <w:rFonts w:ascii="Times New Roman" w:eastAsia="Times New Roman" w:hAnsi="Times New Roman" w:cs="Times New Roman"/>
                <w:b/>
                <w:bCs/>
                <w:sz w:val="20"/>
                <w:szCs w:val="20"/>
              </w:rPr>
              <w:t>Description</w:t>
            </w:r>
          </w:p>
        </w:tc>
        <w:tc>
          <w:tcPr>
            <w:tcW w:w="1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6788" w:rsidP="00FA04B8" w14:paraId="6FD3A12F" w14:textId="77777777">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Number of Matched Entities</w:t>
            </w:r>
          </w:p>
        </w:tc>
        <w:tc>
          <w:tcPr>
            <w:tcW w:w="1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1ED7" w:rsidRPr="00EC1ED7" w:rsidP="00FA04B8" w14:paraId="24DB741F" w14:textId="77777777">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Share</w:t>
            </w:r>
            <w:r w:rsidRPr="00EC1ED7">
              <w:rPr>
                <w:rFonts w:ascii="Times New Roman" w:eastAsia="Times New Roman" w:hAnsi="Times New Roman" w:cs="Times New Roman"/>
                <w:b/>
                <w:bCs/>
                <w:sz w:val="20"/>
                <w:szCs w:val="20"/>
              </w:rPr>
              <w:t xml:space="preserve"> of </w:t>
            </w:r>
            <w:r>
              <w:rPr>
                <w:rFonts w:ascii="Times New Roman" w:eastAsia="Times New Roman" w:hAnsi="Times New Roman" w:cs="Times New Roman"/>
                <w:b/>
                <w:bCs/>
                <w:sz w:val="20"/>
                <w:szCs w:val="20"/>
              </w:rPr>
              <w:t xml:space="preserve">Small </w:t>
            </w:r>
            <w:r w:rsidRPr="00EC1ED7">
              <w:rPr>
                <w:rFonts w:ascii="Times New Roman" w:eastAsia="Times New Roman" w:hAnsi="Times New Roman" w:cs="Times New Roman"/>
                <w:b/>
                <w:bCs/>
                <w:sz w:val="20"/>
                <w:szCs w:val="20"/>
              </w:rPr>
              <w:t>Employers</w:t>
            </w:r>
            <w:r w:rsidR="00F13331">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by NAICS</w:t>
            </w:r>
          </w:p>
        </w:tc>
      </w:tr>
      <w:tr w14:paraId="40DEA385" w14:textId="77777777" w:rsidTr="001E254F">
        <w:tblPrEx>
          <w:tblW w:w="9350" w:type="dxa"/>
          <w:jc w:val="center"/>
          <w:tblCellMar>
            <w:top w:w="15" w:type="dxa"/>
            <w:bottom w:w="15" w:type="dxa"/>
          </w:tblCellMar>
          <w:tblLook w:val="04A0"/>
        </w:tblPrEx>
        <w:trPr>
          <w:trHeight w:val="315"/>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09D072C7" w14:textId="77777777">
            <w:pPr>
              <w:spacing w:after="0" w:line="240" w:lineRule="auto"/>
              <w:rPr>
                <w:rFonts w:ascii="Times New Roman" w:eastAsia="Times New Roman" w:hAnsi="Times New Roman" w:cs="Times New Roman"/>
                <w:color w:val="000000"/>
                <w:sz w:val="20"/>
                <w:szCs w:val="20"/>
              </w:rPr>
            </w:pPr>
            <w:r w:rsidRPr="00EC1ED7">
              <w:rPr>
                <w:rFonts w:ascii="Times New Roman" w:eastAsia="Times New Roman" w:hAnsi="Times New Roman" w:cs="Times New Roman"/>
                <w:color w:val="000000"/>
                <w:sz w:val="20"/>
                <w:szCs w:val="20"/>
              </w:rPr>
              <w:t>424910</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1CCFEA3A" w14:textId="77777777">
            <w:pPr>
              <w:spacing w:after="0" w:line="240" w:lineRule="auto"/>
              <w:rPr>
                <w:rFonts w:ascii="Times New Roman" w:eastAsia="Times New Roman" w:hAnsi="Times New Roman" w:cs="Times New Roman"/>
                <w:color w:val="000000"/>
                <w:sz w:val="20"/>
                <w:szCs w:val="20"/>
              </w:rPr>
            </w:pPr>
            <w:r w:rsidRPr="00EC1ED7">
              <w:rPr>
                <w:rFonts w:ascii="Times New Roman" w:eastAsia="Times New Roman" w:hAnsi="Times New Roman" w:cs="Times New Roman"/>
                <w:color w:val="000000"/>
                <w:sz w:val="20"/>
                <w:szCs w:val="20"/>
              </w:rPr>
              <w:t>Farm Supplies Merchant Wholesalers</w:t>
            </w:r>
          </w:p>
        </w:tc>
        <w:tc>
          <w:tcPr>
            <w:tcW w:w="1707" w:type="dxa"/>
            <w:tcBorders>
              <w:top w:val="single" w:sz="4" w:space="0" w:color="auto"/>
              <w:left w:val="single" w:sz="4" w:space="0" w:color="auto"/>
              <w:bottom w:val="single" w:sz="4" w:space="0" w:color="auto"/>
              <w:right w:val="single" w:sz="4" w:space="0" w:color="auto"/>
            </w:tcBorders>
            <w:vAlign w:val="bottom"/>
          </w:tcPr>
          <w:p w:rsidR="00E91C1F" w:rsidRPr="00BF7F68" w:rsidP="001E254F" w14:paraId="6F5973CE" w14:textId="77777777">
            <w:pPr>
              <w:spacing w:after="0" w:line="240" w:lineRule="auto"/>
              <w:jc w:val="right"/>
              <w:rPr>
                <w:rFonts w:ascii="Times New Roman" w:hAnsi="Times New Roman" w:cs="Times New Roman"/>
                <w:color w:val="000000"/>
                <w:sz w:val="20"/>
                <w:szCs w:val="20"/>
              </w:rPr>
            </w:pPr>
            <w:r w:rsidRPr="00BF7F68">
              <w:rPr>
                <w:rFonts w:ascii="Times New Roman" w:hAnsi="Times New Roman" w:cs="Times New Roman"/>
                <w:color w:val="000000"/>
                <w:sz w:val="20"/>
                <w:szCs w:val="20"/>
              </w:rPr>
              <w:t>146</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55BCA3A4" w14:textId="77777777">
            <w:pPr>
              <w:spacing w:after="0" w:line="240" w:lineRule="auto"/>
              <w:jc w:val="right"/>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8</w:t>
            </w:r>
            <w:r w:rsidR="0022405F">
              <w:rPr>
                <w:rFonts w:ascii="Times New Roman" w:hAnsi="Times New Roman" w:cs="Times New Roman"/>
                <w:color w:val="000000"/>
                <w:sz w:val="20"/>
                <w:szCs w:val="20"/>
              </w:rPr>
              <w:t>.</w:t>
            </w:r>
            <w:r w:rsidRPr="00542AF3" w:rsidR="0022405F">
              <w:rPr>
                <w:rFonts w:ascii="Times New Roman" w:hAnsi="Times New Roman" w:cs="Times New Roman"/>
                <w:color w:val="000000"/>
                <w:sz w:val="20"/>
                <w:szCs w:val="20"/>
              </w:rPr>
              <w:t>2</w:t>
            </w:r>
            <w:r w:rsidRPr="00455BF7">
              <w:rPr>
                <w:rFonts w:ascii="Times New Roman" w:hAnsi="Times New Roman" w:cs="Times New Roman"/>
                <w:color w:val="000000"/>
                <w:sz w:val="20"/>
                <w:szCs w:val="20"/>
              </w:rPr>
              <w:t>%</w:t>
            </w:r>
          </w:p>
        </w:tc>
      </w:tr>
      <w:tr w14:paraId="73279D42" w14:textId="77777777" w:rsidTr="001E254F">
        <w:tblPrEx>
          <w:tblW w:w="9350" w:type="dxa"/>
          <w:jc w:val="center"/>
          <w:tblCellMar>
            <w:top w:w="15" w:type="dxa"/>
            <w:bottom w:w="15" w:type="dxa"/>
          </w:tblCellMar>
          <w:tblLook w:val="04A0"/>
        </w:tblPrEx>
        <w:trPr>
          <w:trHeight w:val="300"/>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3833F018"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493130</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3B8EAD33"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Farm Product Warehousing and Storage</w:t>
            </w:r>
          </w:p>
        </w:tc>
        <w:tc>
          <w:tcPr>
            <w:tcW w:w="1707" w:type="dxa"/>
            <w:tcBorders>
              <w:top w:val="single" w:sz="4" w:space="0" w:color="auto"/>
              <w:left w:val="single" w:sz="4" w:space="0" w:color="auto"/>
              <w:bottom w:val="single" w:sz="4" w:space="0" w:color="auto"/>
              <w:right w:val="single" w:sz="4" w:space="0" w:color="auto"/>
            </w:tcBorders>
            <w:vAlign w:val="bottom"/>
          </w:tcPr>
          <w:p w:rsidR="00E91C1F" w:rsidRPr="00BF7F68" w:rsidP="001E254F" w14:paraId="6B974741" w14:textId="77777777">
            <w:pPr>
              <w:spacing w:after="0" w:line="240" w:lineRule="auto"/>
              <w:jc w:val="right"/>
              <w:rPr>
                <w:rFonts w:ascii="Times New Roman" w:hAnsi="Times New Roman" w:cs="Times New Roman"/>
                <w:color w:val="000000"/>
                <w:sz w:val="20"/>
                <w:szCs w:val="20"/>
              </w:rPr>
            </w:pPr>
            <w:r w:rsidRPr="00BF7F68">
              <w:rPr>
                <w:rFonts w:ascii="Times New Roman" w:hAnsi="Times New Roman" w:cs="Times New Roman"/>
                <w:color w:val="000000"/>
                <w:sz w:val="20"/>
                <w:szCs w:val="20"/>
              </w:rPr>
              <w:t>96</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25957EA1" w14:textId="77777777">
            <w:pPr>
              <w:spacing w:after="0" w:line="240" w:lineRule="auto"/>
              <w:jc w:val="right"/>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5</w:t>
            </w:r>
            <w:r w:rsidR="0022405F">
              <w:rPr>
                <w:rFonts w:ascii="Times New Roman" w:hAnsi="Times New Roman" w:cs="Times New Roman"/>
                <w:color w:val="000000"/>
                <w:sz w:val="20"/>
                <w:szCs w:val="20"/>
              </w:rPr>
              <w:t>.</w:t>
            </w:r>
            <w:r w:rsidRPr="00542AF3" w:rsidR="0022405F">
              <w:rPr>
                <w:rFonts w:ascii="Times New Roman" w:hAnsi="Times New Roman" w:cs="Times New Roman"/>
                <w:color w:val="000000"/>
                <w:sz w:val="20"/>
                <w:szCs w:val="20"/>
              </w:rPr>
              <w:t>4</w:t>
            </w:r>
            <w:r w:rsidRPr="00455BF7">
              <w:rPr>
                <w:rFonts w:ascii="Times New Roman" w:hAnsi="Times New Roman" w:cs="Times New Roman"/>
                <w:color w:val="000000"/>
                <w:sz w:val="20"/>
                <w:szCs w:val="20"/>
              </w:rPr>
              <w:t>%</w:t>
            </w:r>
          </w:p>
        </w:tc>
      </w:tr>
      <w:tr w14:paraId="632502F6" w14:textId="77777777" w:rsidTr="001E254F">
        <w:tblPrEx>
          <w:tblW w:w="9350" w:type="dxa"/>
          <w:jc w:val="center"/>
          <w:tblCellMar>
            <w:top w:w="15" w:type="dxa"/>
            <w:bottom w:w="15" w:type="dxa"/>
          </w:tblCellMar>
          <w:tblLook w:val="04A0"/>
        </w:tblPrEx>
        <w:trPr>
          <w:trHeight w:val="300"/>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51C8E4B6"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444220</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22FAFE26"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Nursery and Garden Centers</w:t>
            </w:r>
          </w:p>
        </w:tc>
        <w:tc>
          <w:tcPr>
            <w:tcW w:w="1707" w:type="dxa"/>
            <w:tcBorders>
              <w:top w:val="single" w:sz="4" w:space="0" w:color="auto"/>
              <w:left w:val="single" w:sz="4" w:space="0" w:color="auto"/>
              <w:bottom w:val="single" w:sz="4" w:space="0" w:color="auto"/>
              <w:right w:val="single" w:sz="4" w:space="0" w:color="auto"/>
            </w:tcBorders>
            <w:vAlign w:val="bottom"/>
          </w:tcPr>
          <w:p w:rsidR="00E91C1F" w:rsidRPr="00BF7F68" w:rsidP="001E254F" w14:paraId="11F4BE17" w14:textId="77777777">
            <w:pPr>
              <w:spacing w:after="0" w:line="240" w:lineRule="auto"/>
              <w:jc w:val="right"/>
              <w:rPr>
                <w:rFonts w:ascii="Times New Roman" w:hAnsi="Times New Roman" w:cs="Times New Roman"/>
                <w:color w:val="000000"/>
                <w:sz w:val="20"/>
                <w:szCs w:val="20"/>
              </w:rPr>
            </w:pPr>
            <w:r w:rsidRPr="00BF7F68">
              <w:rPr>
                <w:rFonts w:ascii="Times New Roman" w:hAnsi="Times New Roman" w:cs="Times New Roman"/>
                <w:color w:val="000000"/>
                <w:sz w:val="20"/>
                <w:szCs w:val="20"/>
              </w:rPr>
              <w:t>60</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752D3A5D" w14:textId="77777777">
            <w:pPr>
              <w:spacing w:after="0" w:line="240" w:lineRule="auto"/>
              <w:jc w:val="right"/>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3</w:t>
            </w:r>
            <w:r w:rsidR="0022405F">
              <w:rPr>
                <w:rFonts w:ascii="Times New Roman" w:hAnsi="Times New Roman" w:cs="Times New Roman"/>
                <w:color w:val="000000"/>
                <w:sz w:val="20"/>
                <w:szCs w:val="20"/>
              </w:rPr>
              <w:t>.</w:t>
            </w:r>
            <w:r w:rsidRPr="00542AF3" w:rsidR="0022405F">
              <w:rPr>
                <w:rFonts w:ascii="Times New Roman" w:hAnsi="Times New Roman" w:cs="Times New Roman"/>
                <w:color w:val="000000"/>
                <w:sz w:val="20"/>
                <w:szCs w:val="20"/>
              </w:rPr>
              <w:t>4</w:t>
            </w:r>
            <w:r w:rsidRPr="00455BF7">
              <w:rPr>
                <w:rFonts w:ascii="Times New Roman" w:hAnsi="Times New Roman" w:cs="Times New Roman"/>
                <w:color w:val="000000"/>
                <w:sz w:val="20"/>
                <w:szCs w:val="20"/>
              </w:rPr>
              <w:t>%</w:t>
            </w:r>
          </w:p>
        </w:tc>
      </w:tr>
      <w:tr w14:paraId="183BFE04" w14:textId="77777777" w:rsidTr="001E254F">
        <w:tblPrEx>
          <w:tblW w:w="9350" w:type="dxa"/>
          <w:jc w:val="center"/>
          <w:tblCellMar>
            <w:top w:w="15" w:type="dxa"/>
            <w:bottom w:w="15" w:type="dxa"/>
          </w:tblCellMar>
          <w:tblLook w:val="04A0"/>
        </w:tblPrEx>
        <w:trPr>
          <w:trHeight w:val="300"/>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1DEF76E7"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493120</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06B1461A"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Refrigerated Warehousing and Storage</w:t>
            </w:r>
          </w:p>
        </w:tc>
        <w:tc>
          <w:tcPr>
            <w:tcW w:w="1707" w:type="dxa"/>
            <w:tcBorders>
              <w:top w:val="single" w:sz="4" w:space="0" w:color="auto"/>
              <w:left w:val="single" w:sz="4" w:space="0" w:color="auto"/>
              <w:bottom w:val="single" w:sz="4" w:space="0" w:color="auto"/>
              <w:right w:val="single" w:sz="4" w:space="0" w:color="auto"/>
            </w:tcBorders>
            <w:vAlign w:val="bottom"/>
          </w:tcPr>
          <w:p w:rsidR="00E91C1F" w:rsidRPr="00BF7F68" w:rsidP="001E254F" w14:paraId="59DB002D" w14:textId="77777777">
            <w:pPr>
              <w:spacing w:after="0" w:line="240" w:lineRule="auto"/>
              <w:jc w:val="right"/>
              <w:rPr>
                <w:rFonts w:ascii="Times New Roman" w:hAnsi="Times New Roman" w:cs="Times New Roman"/>
                <w:color w:val="000000"/>
                <w:sz w:val="20"/>
                <w:szCs w:val="20"/>
              </w:rPr>
            </w:pPr>
            <w:r w:rsidRPr="00BF7F68">
              <w:rPr>
                <w:rFonts w:ascii="Times New Roman" w:hAnsi="Times New Roman" w:cs="Times New Roman"/>
                <w:color w:val="000000"/>
                <w:sz w:val="20"/>
                <w:szCs w:val="20"/>
              </w:rPr>
              <w:t>57</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41A2A90C" w14:textId="77777777">
            <w:pPr>
              <w:spacing w:after="0" w:line="240" w:lineRule="auto"/>
              <w:jc w:val="right"/>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3</w:t>
            </w:r>
            <w:r w:rsidR="0022405F">
              <w:rPr>
                <w:rFonts w:ascii="Times New Roman" w:hAnsi="Times New Roman" w:cs="Times New Roman"/>
                <w:color w:val="000000"/>
                <w:sz w:val="20"/>
                <w:szCs w:val="20"/>
              </w:rPr>
              <w:t>.</w:t>
            </w:r>
            <w:r w:rsidRPr="00542AF3" w:rsidR="0022405F">
              <w:rPr>
                <w:rFonts w:ascii="Times New Roman" w:hAnsi="Times New Roman" w:cs="Times New Roman"/>
                <w:color w:val="000000"/>
                <w:sz w:val="20"/>
                <w:szCs w:val="20"/>
              </w:rPr>
              <w:t>2</w:t>
            </w:r>
            <w:r w:rsidRPr="00455BF7">
              <w:rPr>
                <w:rFonts w:ascii="Times New Roman" w:hAnsi="Times New Roman" w:cs="Times New Roman"/>
                <w:color w:val="000000"/>
                <w:sz w:val="20"/>
                <w:szCs w:val="20"/>
              </w:rPr>
              <w:t>%</w:t>
            </w:r>
          </w:p>
        </w:tc>
      </w:tr>
      <w:tr w14:paraId="2E87C7B0" w14:textId="77777777" w:rsidTr="001E254F">
        <w:tblPrEx>
          <w:tblW w:w="9350" w:type="dxa"/>
          <w:jc w:val="center"/>
          <w:tblCellMar>
            <w:top w:w="15" w:type="dxa"/>
            <w:bottom w:w="15" w:type="dxa"/>
          </w:tblCellMar>
          <w:tblLook w:val="04A0"/>
        </w:tblPrEx>
        <w:trPr>
          <w:trHeight w:val="300"/>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508C8BF6"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424690</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3AE23229"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Other Chemical and Allied Products Merchant Wholesalers</w:t>
            </w:r>
          </w:p>
        </w:tc>
        <w:tc>
          <w:tcPr>
            <w:tcW w:w="1707" w:type="dxa"/>
            <w:tcBorders>
              <w:top w:val="single" w:sz="4" w:space="0" w:color="auto"/>
              <w:left w:val="single" w:sz="4" w:space="0" w:color="auto"/>
              <w:bottom w:val="single" w:sz="4" w:space="0" w:color="auto"/>
              <w:right w:val="single" w:sz="4" w:space="0" w:color="auto"/>
            </w:tcBorders>
            <w:vAlign w:val="bottom"/>
          </w:tcPr>
          <w:p w:rsidR="00E91C1F" w:rsidRPr="00BF7F68" w:rsidP="001E254F" w14:paraId="12AB27EA" w14:textId="77777777">
            <w:pPr>
              <w:spacing w:after="0" w:line="240" w:lineRule="auto"/>
              <w:jc w:val="right"/>
              <w:rPr>
                <w:rFonts w:ascii="Times New Roman" w:hAnsi="Times New Roman" w:cs="Times New Roman"/>
                <w:color w:val="000000"/>
                <w:sz w:val="20"/>
                <w:szCs w:val="20"/>
              </w:rPr>
            </w:pPr>
            <w:r w:rsidRPr="00BF7F68">
              <w:rPr>
                <w:rFonts w:ascii="Times New Roman" w:hAnsi="Times New Roman" w:cs="Times New Roman"/>
                <w:color w:val="000000"/>
                <w:sz w:val="20"/>
                <w:szCs w:val="20"/>
              </w:rPr>
              <w:t>53</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4B26E764" w14:textId="77777777">
            <w:pPr>
              <w:spacing w:after="0" w:line="240" w:lineRule="auto"/>
              <w:jc w:val="right"/>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3</w:t>
            </w:r>
            <w:r w:rsidR="0022405F">
              <w:rPr>
                <w:rFonts w:ascii="Times New Roman" w:hAnsi="Times New Roman" w:cs="Times New Roman"/>
                <w:color w:val="000000"/>
                <w:sz w:val="20"/>
                <w:szCs w:val="20"/>
              </w:rPr>
              <w:t>.</w:t>
            </w:r>
            <w:r w:rsidRPr="00542AF3" w:rsidR="0022405F">
              <w:rPr>
                <w:rFonts w:ascii="Times New Roman" w:hAnsi="Times New Roman" w:cs="Times New Roman"/>
                <w:color w:val="000000"/>
                <w:sz w:val="20"/>
                <w:szCs w:val="20"/>
              </w:rPr>
              <w:t>0</w:t>
            </w:r>
            <w:r w:rsidRPr="00455BF7">
              <w:rPr>
                <w:rFonts w:ascii="Times New Roman" w:hAnsi="Times New Roman" w:cs="Times New Roman"/>
                <w:color w:val="000000"/>
                <w:sz w:val="20"/>
                <w:szCs w:val="20"/>
              </w:rPr>
              <w:t>%</w:t>
            </w:r>
          </w:p>
        </w:tc>
      </w:tr>
      <w:tr w14:paraId="73E01AAC" w14:textId="77777777" w:rsidTr="001E254F">
        <w:tblPrEx>
          <w:tblW w:w="9350" w:type="dxa"/>
          <w:jc w:val="center"/>
          <w:tblCellMar>
            <w:top w:w="15" w:type="dxa"/>
            <w:bottom w:w="15" w:type="dxa"/>
          </w:tblCellMar>
          <w:tblLook w:val="04A0"/>
        </w:tblPrEx>
        <w:trPr>
          <w:trHeight w:val="300"/>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2A04750B"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325998</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080AF321"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All Other Miscellaneous Chemical Product and Preparation Manufacturing</w:t>
            </w:r>
          </w:p>
        </w:tc>
        <w:tc>
          <w:tcPr>
            <w:tcW w:w="1707" w:type="dxa"/>
            <w:tcBorders>
              <w:top w:val="single" w:sz="4" w:space="0" w:color="auto"/>
              <w:left w:val="single" w:sz="4" w:space="0" w:color="auto"/>
              <w:bottom w:val="single" w:sz="4" w:space="0" w:color="auto"/>
              <w:right w:val="single" w:sz="4" w:space="0" w:color="auto"/>
            </w:tcBorders>
            <w:vAlign w:val="bottom"/>
          </w:tcPr>
          <w:p w:rsidR="00E91C1F" w:rsidRPr="00BF7F68" w:rsidP="001E254F" w14:paraId="271DDB15" w14:textId="77777777">
            <w:pPr>
              <w:spacing w:after="0" w:line="240" w:lineRule="auto"/>
              <w:jc w:val="right"/>
              <w:rPr>
                <w:rFonts w:ascii="Times New Roman" w:hAnsi="Times New Roman" w:cs="Times New Roman"/>
                <w:color w:val="000000"/>
                <w:sz w:val="20"/>
                <w:szCs w:val="20"/>
              </w:rPr>
            </w:pPr>
            <w:r w:rsidRPr="00BF7F68">
              <w:rPr>
                <w:rFonts w:ascii="Times New Roman" w:hAnsi="Times New Roman" w:cs="Times New Roman"/>
                <w:color w:val="000000"/>
                <w:sz w:val="20"/>
                <w:szCs w:val="20"/>
              </w:rPr>
              <w:t>48</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3F6A80E8" w14:textId="77777777">
            <w:pPr>
              <w:spacing w:after="0" w:line="240" w:lineRule="auto"/>
              <w:jc w:val="right"/>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2.7</w:t>
            </w:r>
            <w:r w:rsidRPr="00455BF7" w:rsidR="00455BF7">
              <w:rPr>
                <w:rFonts w:ascii="Times New Roman" w:hAnsi="Times New Roman" w:cs="Times New Roman"/>
                <w:color w:val="000000"/>
                <w:sz w:val="20"/>
                <w:szCs w:val="20"/>
              </w:rPr>
              <w:t>%</w:t>
            </w:r>
          </w:p>
        </w:tc>
      </w:tr>
      <w:tr w14:paraId="7DEEFFE5" w14:textId="77777777" w:rsidTr="001E254F">
        <w:tblPrEx>
          <w:tblW w:w="9350" w:type="dxa"/>
          <w:jc w:val="center"/>
          <w:tblCellMar>
            <w:top w:w="15" w:type="dxa"/>
            <w:bottom w:w="15" w:type="dxa"/>
          </w:tblCellMar>
          <w:tblLook w:val="04A0"/>
        </w:tblPrEx>
        <w:trPr>
          <w:trHeight w:val="300"/>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776C22E1"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424720</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0A830F3F"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Petroleum and Petroleum Products Merchant Wholesalers (except Bulk Stations and Terminals)</w:t>
            </w:r>
          </w:p>
        </w:tc>
        <w:tc>
          <w:tcPr>
            <w:tcW w:w="1707" w:type="dxa"/>
            <w:tcBorders>
              <w:top w:val="single" w:sz="4" w:space="0" w:color="auto"/>
              <w:left w:val="single" w:sz="4" w:space="0" w:color="auto"/>
              <w:bottom w:val="single" w:sz="4" w:space="0" w:color="auto"/>
              <w:right w:val="single" w:sz="4" w:space="0" w:color="auto"/>
            </w:tcBorders>
            <w:vAlign w:val="bottom"/>
          </w:tcPr>
          <w:p w:rsidR="00E91C1F" w:rsidRPr="00BF7F68" w:rsidP="001E254F" w14:paraId="60ECA0F4" w14:textId="77777777">
            <w:pPr>
              <w:spacing w:after="0" w:line="240" w:lineRule="auto"/>
              <w:jc w:val="right"/>
              <w:rPr>
                <w:rFonts w:ascii="Times New Roman" w:hAnsi="Times New Roman" w:cs="Times New Roman"/>
                <w:color w:val="000000"/>
                <w:sz w:val="20"/>
                <w:szCs w:val="20"/>
              </w:rPr>
            </w:pPr>
            <w:r w:rsidRPr="00BF7F68">
              <w:rPr>
                <w:rFonts w:ascii="Times New Roman" w:hAnsi="Times New Roman" w:cs="Times New Roman"/>
                <w:color w:val="000000"/>
                <w:sz w:val="20"/>
                <w:szCs w:val="20"/>
              </w:rPr>
              <w:t>44</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70E78BE7" w14:textId="77777777">
            <w:pPr>
              <w:spacing w:after="0" w:line="240" w:lineRule="auto"/>
              <w:jc w:val="right"/>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2</w:t>
            </w:r>
            <w:r w:rsidR="0022405F">
              <w:rPr>
                <w:rFonts w:ascii="Times New Roman" w:hAnsi="Times New Roman" w:cs="Times New Roman"/>
                <w:color w:val="000000"/>
                <w:sz w:val="20"/>
                <w:szCs w:val="20"/>
              </w:rPr>
              <w:t>.5</w:t>
            </w:r>
            <w:r w:rsidRPr="00455BF7">
              <w:rPr>
                <w:rFonts w:ascii="Times New Roman" w:hAnsi="Times New Roman" w:cs="Times New Roman"/>
                <w:color w:val="000000"/>
                <w:sz w:val="20"/>
                <w:szCs w:val="20"/>
              </w:rPr>
              <w:t>%</w:t>
            </w:r>
          </w:p>
        </w:tc>
      </w:tr>
      <w:tr w14:paraId="7551E8D6" w14:textId="77777777" w:rsidTr="001E254F">
        <w:tblPrEx>
          <w:tblW w:w="9350" w:type="dxa"/>
          <w:jc w:val="center"/>
          <w:tblCellMar>
            <w:top w:w="15" w:type="dxa"/>
            <w:bottom w:w="15" w:type="dxa"/>
          </w:tblCellMar>
          <w:tblLook w:val="04A0"/>
        </w:tblPrEx>
        <w:trPr>
          <w:trHeight w:val="300"/>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54DBF272"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211120</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14F0DBCE"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Crude Petroleum Extraction</w:t>
            </w:r>
          </w:p>
        </w:tc>
        <w:tc>
          <w:tcPr>
            <w:tcW w:w="1707" w:type="dxa"/>
            <w:tcBorders>
              <w:top w:val="single" w:sz="4" w:space="0" w:color="auto"/>
              <w:left w:val="single" w:sz="4" w:space="0" w:color="auto"/>
              <w:bottom w:val="single" w:sz="4" w:space="0" w:color="auto"/>
              <w:right w:val="single" w:sz="4" w:space="0" w:color="auto"/>
            </w:tcBorders>
            <w:vAlign w:val="bottom"/>
          </w:tcPr>
          <w:p w:rsidR="00E91C1F" w:rsidRPr="00BF7F68" w:rsidP="001E254F" w14:paraId="772D1FE3" w14:textId="77777777">
            <w:pPr>
              <w:spacing w:after="0" w:line="240" w:lineRule="auto"/>
              <w:jc w:val="right"/>
              <w:rPr>
                <w:rFonts w:ascii="Times New Roman" w:hAnsi="Times New Roman" w:cs="Times New Roman"/>
                <w:color w:val="000000"/>
                <w:sz w:val="20"/>
                <w:szCs w:val="20"/>
              </w:rPr>
            </w:pPr>
            <w:r w:rsidRPr="00BF7F68">
              <w:rPr>
                <w:rFonts w:ascii="Times New Roman" w:hAnsi="Times New Roman" w:cs="Times New Roman"/>
                <w:color w:val="000000"/>
                <w:sz w:val="20"/>
                <w:szCs w:val="20"/>
              </w:rPr>
              <w:t>41</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192D2E32" w14:textId="77777777">
            <w:pPr>
              <w:spacing w:after="0" w:line="240" w:lineRule="auto"/>
              <w:jc w:val="right"/>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2</w:t>
            </w:r>
            <w:r w:rsidR="0022405F">
              <w:rPr>
                <w:rFonts w:ascii="Times New Roman" w:hAnsi="Times New Roman" w:cs="Times New Roman"/>
                <w:color w:val="000000"/>
                <w:sz w:val="20"/>
                <w:szCs w:val="20"/>
              </w:rPr>
              <w:t>.3</w:t>
            </w:r>
            <w:r w:rsidRPr="00455BF7">
              <w:rPr>
                <w:rFonts w:ascii="Times New Roman" w:hAnsi="Times New Roman" w:cs="Times New Roman"/>
                <w:color w:val="000000"/>
                <w:sz w:val="20"/>
                <w:szCs w:val="20"/>
              </w:rPr>
              <w:t>%</w:t>
            </w:r>
          </w:p>
        </w:tc>
      </w:tr>
      <w:tr w14:paraId="42C0A6D1" w14:textId="77777777" w:rsidTr="001E254F">
        <w:tblPrEx>
          <w:tblW w:w="9350" w:type="dxa"/>
          <w:jc w:val="center"/>
          <w:tblCellMar>
            <w:top w:w="15" w:type="dxa"/>
            <w:bottom w:w="15" w:type="dxa"/>
          </w:tblCellMar>
          <w:tblLook w:val="04A0"/>
        </w:tblPrEx>
        <w:trPr>
          <w:trHeight w:val="300"/>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625E4E2E"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221118</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56EA1F0A"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Other Electric Power Generation</w:t>
            </w:r>
          </w:p>
        </w:tc>
        <w:tc>
          <w:tcPr>
            <w:tcW w:w="1707" w:type="dxa"/>
            <w:tcBorders>
              <w:top w:val="single" w:sz="4" w:space="0" w:color="auto"/>
              <w:left w:val="single" w:sz="4" w:space="0" w:color="auto"/>
              <w:bottom w:val="single" w:sz="4" w:space="0" w:color="auto"/>
              <w:right w:val="single" w:sz="4" w:space="0" w:color="auto"/>
            </w:tcBorders>
            <w:vAlign w:val="bottom"/>
          </w:tcPr>
          <w:p w:rsidR="00E91C1F" w:rsidRPr="00BF7F68" w:rsidP="001E254F" w14:paraId="6EB5A4C9" w14:textId="77777777">
            <w:pPr>
              <w:spacing w:after="0" w:line="240" w:lineRule="auto"/>
              <w:jc w:val="right"/>
              <w:rPr>
                <w:rFonts w:ascii="Times New Roman" w:hAnsi="Times New Roman" w:cs="Times New Roman"/>
                <w:color w:val="000000"/>
                <w:sz w:val="20"/>
                <w:szCs w:val="20"/>
              </w:rPr>
            </w:pPr>
            <w:r w:rsidRPr="00BF7F68">
              <w:rPr>
                <w:rFonts w:ascii="Times New Roman" w:hAnsi="Times New Roman" w:cs="Times New Roman"/>
                <w:color w:val="000000"/>
                <w:sz w:val="20"/>
                <w:szCs w:val="20"/>
              </w:rPr>
              <w:t>38</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497FB146" w14:textId="77777777">
            <w:pPr>
              <w:spacing w:after="0" w:line="240" w:lineRule="auto"/>
              <w:jc w:val="right"/>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2</w:t>
            </w:r>
            <w:r w:rsidR="0022405F">
              <w:rPr>
                <w:rFonts w:ascii="Times New Roman" w:hAnsi="Times New Roman" w:cs="Times New Roman"/>
                <w:color w:val="000000"/>
                <w:sz w:val="20"/>
                <w:szCs w:val="20"/>
              </w:rPr>
              <w:t>.1</w:t>
            </w:r>
            <w:r w:rsidRPr="00455BF7">
              <w:rPr>
                <w:rFonts w:ascii="Times New Roman" w:hAnsi="Times New Roman" w:cs="Times New Roman"/>
                <w:color w:val="000000"/>
                <w:sz w:val="20"/>
                <w:szCs w:val="20"/>
              </w:rPr>
              <w:t>%</w:t>
            </w:r>
          </w:p>
        </w:tc>
      </w:tr>
      <w:tr w14:paraId="5A180198" w14:textId="77777777" w:rsidTr="001E254F">
        <w:tblPrEx>
          <w:tblW w:w="9350" w:type="dxa"/>
          <w:jc w:val="center"/>
          <w:tblCellMar>
            <w:top w:w="15" w:type="dxa"/>
            <w:bottom w:w="15" w:type="dxa"/>
          </w:tblCellMar>
          <w:tblLook w:val="04A0"/>
        </w:tblPrEx>
        <w:trPr>
          <w:trHeight w:val="300"/>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73CC7857"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325311</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06318856" w14:textId="77777777">
            <w:pPr>
              <w:spacing w:after="0" w:line="240" w:lineRule="auto"/>
              <w:rPr>
                <w:rFonts w:ascii="Times New Roman" w:eastAsia="Times New Roman" w:hAnsi="Times New Roman" w:cs="Times New Roman"/>
                <w:color w:val="000000"/>
                <w:sz w:val="20"/>
                <w:szCs w:val="20"/>
              </w:rPr>
            </w:pPr>
            <w:r w:rsidRPr="00455BF7">
              <w:rPr>
                <w:rFonts w:ascii="Times New Roman" w:hAnsi="Times New Roman" w:cs="Times New Roman"/>
                <w:color w:val="000000"/>
                <w:sz w:val="20"/>
                <w:szCs w:val="20"/>
              </w:rPr>
              <w:t>Nitrogenous Fertilizer Manufacturing</w:t>
            </w:r>
          </w:p>
        </w:tc>
        <w:tc>
          <w:tcPr>
            <w:tcW w:w="1707" w:type="dxa"/>
            <w:tcBorders>
              <w:top w:val="single" w:sz="4" w:space="0" w:color="auto"/>
              <w:left w:val="single" w:sz="4" w:space="0" w:color="auto"/>
              <w:bottom w:val="single" w:sz="4" w:space="0" w:color="auto"/>
              <w:right w:val="single" w:sz="4" w:space="0" w:color="auto"/>
            </w:tcBorders>
            <w:vAlign w:val="bottom"/>
          </w:tcPr>
          <w:p w:rsidR="00E91C1F" w:rsidRPr="00BF7F68" w:rsidP="001E254F" w14:paraId="3547FFEB" w14:textId="77777777">
            <w:pPr>
              <w:spacing w:after="0" w:line="240" w:lineRule="auto"/>
              <w:jc w:val="right"/>
              <w:rPr>
                <w:rFonts w:ascii="Times New Roman" w:hAnsi="Times New Roman" w:cs="Times New Roman"/>
                <w:color w:val="000000"/>
                <w:sz w:val="20"/>
                <w:szCs w:val="20"/>
              </w:rPr>
            </w:pPr>
            <w:r w:rsidRPr="00BF7F68">
              <w:rPr>
                <w:rFonts w:ascii="Times New Roman" w:hAnsi="Times New Roman" w:cs="Times New Roman"/>
                <w:color w:val="000000"/>
                <w:sz w:val="20"/>
                <w:szCs w:val="20"/>
              </w:rPr>
              <w:t>31</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2631A873" w14:textId="77777777">
            <w:pPr>
              <w:spacing w:after="0" w:line="240" w:lineRule="auto"/>
              <w:jc w:val="right"/>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1.7</w:t>
            </w:r>
            <w:r w:rsidRPr="00455BF7" w:rsidR="00455BF7">
              <w:rPr>
                <w:rFonts w:ascii="Times New Roman" w:hAnsi="Times New Roman" w:cs="Times New Roman"/>
                <w:color w:val="000000"/>
                <w:sz w:val="20"/>
                <w:szCs w:val="20"/>
              </w:rPr>
              <w:t>%</w:t>
            </w:r>
          </w:p>
        </w:tc>
      </w:tr>
      <w:tr w14:paraId="05B46AD7" w14:textId="77777777" w:rsidTr="001E254F">
        <w:tblPrEx>
          <w:tblW w:w="9350" w:type="dxa"/>
          <w:jc w:val="center"/>
          <w:tblCellMar>
            <w:top w:w="15" w:type="dxa"/>
            <w:bottom w:w="15" w:type="dxa"/>
          </w:tblCellMar>
          <w:tblLook w:val="04A0"/>
        </w:tblPrEx>
        <w:trPr>
          <w:trHeight w:val="300"/>
          <w:jc w:val="center"/>
        </w:trPr>
        <w:tc>
          <w:tcPr>
            <w:tcW w:w="5935" w:type="dxa"/>
            <w:gridSpan w:val="2"/>
            <w:tcBorders>
              <w:top w:val="single" w:sz="4" w:space="0" w:color="auto"/>
              <w:left w:val="single" w:sz="4" w:space="0" w:color="auto"/>
              <w:bottom w:val="single" w:sz="4" w:space="0" w:color="auto"/>
              <w:right w:val="nil"/>
            </w:tcBorders>
            <w:shd w:val="clear" w:color="auto" w:fill="auto"/>
            <w:noWrap/>
            <w:vAlign w:val="bottom"/>
            <w:hideMark/>
          </w:tcPr>
          <w:p w:rsidR="00EC1ED7" w:rsidRPr="00EC1ED7" w:rsidP="00EC1ED7" w14:paraId="6601F870" w14:textId="77777777">
            <w:pPr>
              <w:spacing w:after="0" w:line="240" w:lineRule="auto"/>
              <w:jc w:val="center"/>
              <w:rPr>
                <w:rFonts w:ascii="Times New Roman" w:eastAsia="Times New Roman" w:hAnsi="Times New Roman" w:cs="Times New Roman"/>
                <w:color w:val="000000"/>
                <w:sz w:val="20"/>
                <w:szCs w:val="20"/>
              </w:rPr>
            </w:pPr>
            <w:r w:rsidRPr="00EC1ED7">
              <w:rPr>
                <w:rFonts w:ascii="Times New Roman" w:eastAsia="Times New Roman" w:hAnsi="Times New Roman" w:cs="Times New Roman"/>
                <w:color w:val="000000"/>
                <w:sz w:val="20"/>
                <w:szCs w:val="20"/>
              </w:rPr>
              <w:t>All other</w:t>
            </w:r>
            <w:r w:rsidR="000D4A01">
              <w:rPr>
                <w:rFonts w:ascii="Times New Roman" w:eastAsia="Times New Roman" w:hAnsi="Times New Roman" w:cs="Times New Roman"/>
                <w:color w:val="000000"/>
                <w:sz w:val="20"/>
                <w:szCs w:val="20"/>
              </w:rPr>
              <w:t xml:space="preserve"> NAICS codes</w:t>
            </w:r>
          </w:p>
        </w:tc>
        <w:tc>
          <w:tcPr>
            <w:tcW w:w="1707" w:type="dxa"/>
            <w:tcBorders>
              <w:top w:val="single" w:sz="4" w:space="0" w:color="auto"/>
              <w:left w:val="single" w:sz="4" w:space="0" w:color="auto"/>
              <w:bottom w:val="single" w:sz="4" w:space="0" w:color="auto"/>
              <w:right w:val="single" w:sz="4" w:space="0" w:color="auto"/>
            </w:tcBorders>
            <w:vAlign w:val="bottom"/>
          </w:tcPr>
          <w:p w:rsidR="00E91C1F" w:rsidRPr="00BF7F68" w:rsidP="001E254F" w14:paraId="74A4C0D1" w14:textId="77777777">
            <w:pPr>
              <w:spacing w:after="0" w:line="240" w:lineRule="auto"/>
              <w:jc w:val="right"/>
              <w:rPr>
                <w:rFonts w:ascii="Times New Roman" w:eastAsia="Times New Roman" w:hAnsi="Times New Roman" w:cs="Times New Roman"/>
                <w:color w:val="000000"/>
                <w:sz w:val="20"/>
                <w:szCs w:val="20"/>
              </w:rPr>
            </w:pPr>
            <w:r w:rsidRPr="00BF7F68">
              <w:rPr>
                <w:rFonts w:ascii="Times New Roman" w:eastAsia="Times New Roman" w:hAnsi="Times New Roman" w:cs="Times New Roman"/>
                <w:color w:val="000000"/>
                <w:sz w:val="20"/>
                <w:szCs w:val="20"/>
              </w:rPr>
              <w:t>1,162</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ED7" w:rsidRPr="00EC1ED7" w:rsidP="00EC1ED7" w14:paraId="6F8613D9" w14:textId="77777777">
            <w:pPr>
              <w:spacing w:after="0" w:line="240" w:lineRule="auto"/>
              <w:jc w:val="right"/>
              <w:rPr>
                <w:rFonts w:ascii="Times New Roman" w:eastAsia="Times New Roman" w:hAnsi="Times New Roman" w:cs="Times New Roman"/>
                <w:color w:val="000000"/>
                <w:sz w:val="20"/>
                <w:szCs w:val="20"/>
              </w:rPr>
            </w:pPr>
            <w:r w:rsidRPr="00BF7F68">
              <w:rPr>
                <w:rFonts w:ascii="Times New Roman" w:hAnsi="Times New Roman" w:cs="Times New Roman"/>
                <w:color w:val="000000"/>
                <w:sz w:val="20"/>
                <w:szCs w:val="20"/>
              </w:rPr>
              <w:t>65</w:t>
            </w:r>
            <w:r w:rsidR="0022405F">
              <w:rPr>
                <w:rFonts w:ascii="Times New Roman" w:hAnsi="Times New Roman" w:cs="Times New Roman"/>
                <w:color w:val="000000"/>
                <w:sz w:val="20"/>
                <w:szCs w:val="20"/>
              </w:rPr>
              <w:t>.4</w:t>
            </w:r>
            <w:r w:rsidRPr="00BF7F68">
              <w:rPr>
                <w:rFonts w:ascii="Times New Roman" w:hAnsi="Times New Roman" w:cs="Times New Roman"/>
                <w:color w:val="000000"/>
                <w:sz w:val="20"/>
                <w:szCs w:val="20"/>
              </w:rPr>
              <w:t>%</w:t>
            </w:r>
          </w:p>
        </w:tc>
      </w:tr>
    </w:tbl>
    <w:p w:rsidR="007B698F" w:rsidP="00574F85" w14:paraId="75736915" w14:textId="77777777">
      <w:pPr>
        <w:pStyle w:val="BodyText"/>
      </w:pPr>
      <w:bookmarkStart w:id="488" w:name="_Toc141733208"/>
      <w:bookmarkStart w:id="489" w:name="_Toc142404112"/>
    </w:p>
    <w:p w:rsidR="0075046B" w:rsidRPr="00693892" w:rsidP="001D183E" w14:paraId="6793468F" w14:textId="77777777">
      <w:pPr>
        <w:pStyle w:val="Heading3"/>
        <w:rPr>
          <w:rFonts w:ascii="Times New Roman" w:hAnsi="Times New Roman" w:cs="Times New Roman"/>
          <w:b w:val="0"/>
        </w:rPr>
      </w:pPr>
      <w:bookmarkStart w:id="490" w:name="_Toc144213921"/>
      <w:bookmarkStart w:id="491" w:name="_Toc144283666"/>
      <w:bookmarkStart w:id="492" w:name="_Toc144303604"/>
      <w:r w:rsidRPr="001D183E">
        <w:rPr>
          <w:rFonts w:ascii="Times New Roman" w:hAnsi="Times New Roman" w:cs="Times New Roman"/>
          <w:sz w:val="22"/>
          <w:szCs w:val="22"/>
        </w:rPr>
        <w:t>8.2.2 Government Entities</w:t>
      </w:r>
      <w:bookmarkEnd w:id="488"/>
      <w:bookmarkEnd w:id="489"/>
      <w:bookmarkEnd w:id="490"/>
      <w:bookmarkEnd w:id="491"/>
      <w:bookmarkEnd w:id="492"/>
    </w:p>
    <w:p w:rsidR="0075046B" w:rsidP="000E6E0F" w14:paraId="1806C693"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 xml:space="preserve">The </w:t>
      </w:r>
      <w:r w:rsidRPr="00693892" w:rsidR="008D75C0">
        <w:rPr>
          <w:rFonts w:ascii="Times New Roman" w:hAnsi="Times New Roman" w:cs="Times New Roman"/>
        </w:rPr>
        <w:t>RFA</w:t>
      </w:r>
      <w:r w:rsidRPr="00693892">
        <w:rPr>
          <w:rFonts w:ascii="Times New Roman" w:hAnsi="Times New Roman" w:cs="Times New Roman"/>
        </w:rPr>
        <w:t xml:space="preserve"> defines small governments as governments of cities, counties, towns, townships, villages, school districts, or special districts, with a population of </w:t>
      </w:r>
      <w:r w:rsidR="00550115">
        <w:rPr>
          <w:rFonts w:ascii="Times New Roman" w:hAnsi="Times New Roman" w:cs="Times New Roman"/>
        </w:rPr>
        <w:t>fewer</w:t>
      </w:r>
      <w:r w:rsidRPr="00693892">
        <w:rPr>
          <w:rFonts w:ascii="Times New Roman" w:hAnsi="Times New Roman" w:cs="Times New Roman"/>
        </w:rPr>
        <w:t xml:space="preserve"> than 50,000.</w:t>
      </w:r>
      <w:r>
        <w:rPr>
          <w:rFonts w:ascii="Times New Roman" w:hAnsi="Times New Roman"/>
          <w:vertAlign w:val="superscript"/>
        </w:rPr>
        <w:footnoteReference w:id="171"/>
      </w:r>
      <w:r w:rsidRPr="00693892">
        <w:rPr>
          <w:rFonts w:ascii="Times New Roman" w:hAnsi="Times New Roman" w:cs="Times New Roman"/>
          <w:vertAlign w:val="superscript"/>
        </w:rPr>
        <w:t xml:space="preserve"> </w:t>
      </w:r>
      <w:r w:rsidRPr="00693892">
        <w:rPr>
          <w:rFonts w:ascii="Times New Roman" w:hAnsi="Times New Roman" w:cs="Times New Roman"/>
        </w:rPr>
        <w:t>Most governmental RMP facilities are water and wastewater treatment systems and listed a city or county as the owner entity. A check of budgets that were available for some of the smallest cities indicated that the systems (1) are sub</w:t>
      </w:r>
      <w:r w:rsidRPr="00693892" w:rsidR="00E77DD9">
        <w:rPr>
          <w:rFonts w:ascii="Times New Roman" w:hAnsi="Times New Roman" w:cs="Times New Roman"/>
        </w:rPr>
        <w:t xml:space="preserve"> </w:t>
      </w:r>
      <w:r w:rsidRPr="00693892">
        <w:rPr>
          <w:rFonts w:ascii="Times New Roman" w:hAnsi="Times New Roman" w:cs="Times New Roman"/>
        </w:rPr>
        <w:t xml:space="preserve">agencies of the city/county and (2) obtain some revenues from the general fund, although most of their revenues are derived from user fees. </w:t>
      </w:r>
      <w:r w:rsidRPr="00693892" w:rsidR="00A106FD">
        <w:rPr>
          <w:rFonts w:ascii="Times New Roman" w:hAnsi="Times New Roman" w:cs="Times New Roman"/>
        </w:rPr>
        <w:t>EPA checked the 2019</w:t>
      </w:r>
      <w:r w:rsidRPr="00693892" w:rsidR="004A1C13">
        <w:rPr>
          <w:rFonts w:ascii="Times New Roman" w:hAnsi="Times New Roman" w:cs="Times New Roman"/>
        </w:rPr>
        <w:t xml:space="preserve"> population</w:t>
      </w:r>
      <w:r w:rsidRPr="00693892" w:rsidR="00A106FD">
        <w:rPr>
          <w:rFonts w:ascii="Times New Roman" w:hAnsi="Times New Roman" w:cs="Times New Roman"/>
        </w:rPr>
        <w:t xml:space="preserve"> estimates from the Census</w:t>
      </w:r>
      <w:r w:rsidRPr="00693892" w:rsidR="004A1C13">
        <w:rPr>
          <w:rFonts w:ascii="Times New Roman" w:hAnsi="Times New Roman" w:cs="Times New Roman"/>
        </w:rPr>
        <w:t xml:space="preserve"> for the associated city or county </w:t>
      </w:r>
      <w:r w:rsidRPr="00693892" w:rsidR="00A106FD">
        <w:rPr>
          <w:rFonts w:ascii="Times New Roman" w:hAnsi="Times New Roman" w:cs="Times New Roman"/>
        </w:rPr>
        <w:t>t</w:t>
      </w:r>
      <w:r w:rsidRPr="00693892">
        <w:rPr>
          <w:rFonts w:ascii="Times New Roman" w:hAnsi="Times New Roman" w:cs="Times New Roman"/>
        </w:rPr>
        <w:t xml:space="preserve">o </w:t>
      </w:r>
      <w:r w:rsidRPr="00693892" w:rsidR="00E97812">
        <w:rPr>
          <w:rFonts w:ascii="Times New Roman" w:hAnsi="Times New Roman" w:cs="Times New Roman"/>
        </w:rPr>
        <w:t>identify which</w:t>
      </w:r>
      <w:r w:rsidRPr="00693892">
        <w:rPr>
          <w:rFonts w:ascii="Times New Roman" w:hAnsi="Times New Roman" w:cs="Times New Roman"/>
        </w:rPr>
        <w:t xml:space="preserve"> facil</w:t>
      </w:r>
      <w:r w:rsidRPr="00693892" w:rsidR="00E77DD9">
        <w:rPr>
          <w:rFonts w:ascii="Times New Roman" w:hAnsi="Times New Roman" w:cs="Times New Roman"/>
        </w:rPr>
        <w:t>ities</w:t>
      </w:r>
      <w:r w:rsidRPr="00693892">
        <w:rPr>
          <w:rFonts w:ascii="Times New Roman" w:hAnsi="Times New Roman" w:cs="Times New Roman"/>
        </w:rPr>
        <w:t xml:space="preserve"> belong to small governments</w:t>
      </w:r>
      <w:r w:rsidRPr="00693892" w:rsidR="004A1C13">
        <w:rPr>
          <w:rFonts w:ascii="Times New Roman" w:hAnsi="Times New Roman" w:cs="Times New Roman"/>
        </w:rPr>
        <w:t>.</w:t>
      </w:r>
      <w:r w:rsidRPr="00693892">
        <w:rPr>
          <w:rFonts w:ascii="Times New Roman" w:hAnsi="Times New Roman" w:cs="Times New Roman"/>
        </w:rPr>
        <w:t xml:space="preserve"> For government entities that owned multiple facilities, the combined population of the facility cities or towns was used for classification. Government entities were classified as small if the population was </w:t>
      </w:r>
      <w:r w:rsidR="00550115">
        <w:rPr>
          <w:rFonts w:ascii="Times New Roman" w:hAnsi="Times New Roman" w:cs="Times New Roman"/>
        </w:rPr>
        <w:t>fewer</w:t>
      </w:r>
      <w:r w:rsidRPr="00693892">
        <w:rPr>
          <w:rFonts w:ascii="Times New Roman" w:hAnsi="Times New Roman" w:cs="Times New Roman"/>
        </w:rPr>
        <w:t xml:space="preserve"> than 50,000. Based on the Census data, 630 of the total 1,111 government entities are small (57</w:t>
      </w:r>
      <w:r w:rsidRPr="00693892" w:rsidR="00115223">
        <w:rPr>
          <w:rFonts w:ascii="Times New Roman" w:hAnsi="Times New Roman" w:cs="Times New Roman"/>
        </w:rPr>
        <w:t xml:space="preserve"> percent</w:t>
      </w:r>
      <w:r w:rsidRPr="00693892">
        <w:rPr>
          <w:rFonts w:ascii="Times New Roman" w:hAnsi="Times New Roman" w:cs="Times New Roman"/>
        </w:rPr>
        <w:t xml:space="preserve">). </w:t>
      </w:r>
    </w:p>
    <w:p w:rsidR="00D726C0" w:rsidP="000E6E0F" w14:paraId="56FCBB16" w14:textId="77777777">
      <w:pPr>
        <w:spacing w:after="0" w:line="240" w:lineRule="auto"/>
        <w:ind w:firstLine="360"/>
        <w:rPr>
          <w:rFonts w:ascii="Times New Roman" w:hAnsi="Times New Roman" w:cs="Times New Roman"/>
        </w:rPr>
      </w:pPr>
      <w:r>
        <w:rPr>
          <w:rFonts w:ascii="Times New Roman" w:hAnsi="Times New Roman" w:cs="Times New Roman"/>
        </w:rPr>
        <w:tab/>
      </w:r>
    </w:p>
    <w:p w:rsidR="0075046B" w:rsidP="000E6E0F" w14:paraId="38A211FC"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Exhibit 8-</w:t>
      </w:r>
      <w:r w:rsidR="00DC042F">
        <w:rPr>
          <w:rFonts w:ascii="Times New Roman" w:hAnsi="Times New Roman" w:cs="Times New Roman"/>
        </w:rPr>
        <w:t>5</w:t>
      </w:r>
      <w:r w:rsidRPr="00693892">
        <w:rPr>
          <w:rFonts w:ascii="Times New Roman" w:hAnsi="Times New Roman" w:cs="Times New Roman"/>
        </w:rPr>
        <w:t xml:space="preserve"> presents an analysis of facilities and the size of entity they are associated with to provide an understanding of the distribution of government owned facilities by </w:t>
      </w:r>
      <w:r w:rsidR="00DD389C">
        <w:rPr>
          <w:rFonts w:ascii="Times New Roman" w:hAnsi="Times New Roman" w:cs="Times New Roman"/>
        </w:rPr>
        <w:t>p</w:t>
      </w:r>
      <w:r w:rsidRPr="00693892">
        <w:rPr>
          <w:rFonts w:ascii="Times New Roman" w:hAnsi="Times New Roman" w:cs="Times New Roman"/>
        </w:rPr>
        <w:t xml:space="preserve">rogram </w:t>
      </w:r>
      <w:r w:rsidR="00DD389C">
        <w:rPr>
          <w:rFonts w:ascii="Times New Roman" w:hAnsi="Times New Roman" w:cs="Times New Roman"/>
        </w:rPr>
        <w:t>l</w:t>
      </w:r>
      <w:r w:rsidRPr="00693892">
        <w:rPr>
          <w:rFonts w:ascii="Times New Roman" w:hAnsi="Times New Roman" w:cs="Times New Roman"/>
        </w:rPr>
        <w:t>evel. Just over 48</w:t>
      </w:r>
      <w:r w:rsidRPr="00693892" w:rsidR="00115223">
        <w:rPr>
          <w:rFonts w:ascii="Times New Roman" w:hAnsi="Times New Roman" w:cs="Times New Roman"/>
        </w:rPr>
        <w:t xml:space="preserve"> percent</w:t>
      </w:r>
      <w:r w:rsidRPr="00693892">
        <w:rPr>
          <w:rFonts w:ascii="Times New Roman" w:hAnsi="Times New Roman" w:cs="Times New Roman"/>
        </w:rPr>
        <w:t xml:space="preserve"> of Program 3 facilities (331 facilities out of 683) are owned by non-small government sector entities compared to 45</w:t>
      </w:r>
      <w:r w:rsidRPr="00693892" w:rsidR="00115223">
        <w:rPr>
          <w:rFonts w:ascii="Times New Roman" w:hAnsi="Times New Roman" w:cs="Times New Roman"/>
        </w:rPr>
        <w:t xml:space="preserve"> percent</w:t>
      </w:r>
      <w:r w:rsidRPr="00693892">
        <w:rPr>
          <w:rFonts w:ascii="Times New Roman" w:hAnsi="Times New Roman" w:cs="Times New Roman"/>
        </w:rPr>
        <w:t xml:space="preserve"> of Program 2 facilities (369 facilities out of 813). There are few Program 1 government</w:t>
      </w:r>
      <w:r w:rsidRPr="00693892" w:rsidR="00D405F7">
        <w:rPr>
          <w:rFonts w:ascii="Times New Roman" w:hAnsi="Times New Roman" w:cs="Times New Roman"/>
        </w:rPr>
        <w:t>-</w:t>
      </w:r>
      <w:r w:rsidRPr="00693892">
        <w:rPr>
          <w:rFonts w:ascii="Times New Roman" w:hAnsi="Times New Roman" w:cs="Times New Roman"/>
        </w:rPr>
        <w:t>owned facilities.</w:t>
      </w:r>
    </w:p>
    <w:p w:rsidR="00B20325" w:rsidRPr="00693892" w:rsidP="000E6E0F" w14:paraId="3C98C5F7" w14:textId="77777777">
      <w:pPr>
        <w:spacing w:after="0" w:line="240" w:lineRule="auto"/>
        <w:ind w:firstLine="360"/>
        <w:rPr>
          <w:rFonts w:ascii="Times New Roman" w:hAnsi="Times New Roman" w:cs="Times New Roman"/>
        </w:rPr>
      </w:pPr>
    </w:p>
    <w:p w:rsidR="00E92045" w:rsidRPr="00E92045" w:rsidP="00E92045" w14:paraId="4BEF7144" w14:textId="77777777">
      <w:pPr>
        <w:pStyle w:val="Caption"/>
        <w:jc w:val="center"/>
        <w:rPr>
          <w:rFonts w:ascii="Times New Roman" w:hAnsi="Times New Roman" w:cs="Times New Roman"/>
          <w:b/>
          <w:bCs/>
          <w:i w:val="0"/>
          <w:iCs w:val="0"/>
          <w:color w:val="auto"/>
          <w:sz w:val="22"/>
          <w:szCs w:val="22"/>
        </w:rPr>
      </w:pPr>
      <w:r w:rsidRPr="00E92045">
        <w:rPr>
          <w:rFonts w:ascii="Times New Roman" w:hAnsi="Times New Roman" w:cs="Times New Roman"/>
          <w:b/>
          <w:bCs/>
          <w:i w:val="0"/>
          <w:iCs w:val="0"/>
          <w:color w:val="auto"/>
          <w:sz w:val="22"/>
          <w:szCs w:val="22"/>
        </w:rPr>
        <w:t>Exhibit 8-</w:t>
      </w:r>
      <w:r w:rsidR="00DC042F">
        <w:rPr>
          <w:rFonts w:ascii="Times New Roman" w:hAnsi="Times New Roman" w:cs="Times New Roman"/>
          <w:b/>
          <w:bCs/>
          <w:i w:val="0"/>
          <w:iCs w:val="0"/>
          <w:color w:val="auto"/>
          <w:sz w:val="22"/>
          <w:szCs w:val="22"/>
        </w:rPr>
        <w:t>5</w:t>
      </w:r>
      <w:r w:rsidRPr="00E92045">
        <w:rPr>
          <w:rFonts w:ascii="Times New Roman" w:hAnsi="Times New Roman" w:cs="Times New Roman"/>
          <w:b/>
          <w:bCs/>
          <w:i w:val="0"/>
          <w:iCs w:val="0"/>
          <w:color w:val="auto"/>
          <w:sz w:val="22"/>
          <w:szCs w:val="22"/>
        </w:rPr>
        <w:t>: Analysis of Government Sector Facility Ownership by Program Level.</w:t>
      </w: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200"/>
        <w:gridCol w:w="1190"/>
        <w:gridCol w:w="1386"/>
      </w:tblGrid>
      <w:tr w14:paraId="66D5F2CC" w14:textId="77777777" w:rsidTr="00D8562D">
        <w:tblPrEx>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jc w:val="center"/>
        </w:trPr>
        <w:tc>
          <w:tcPr>
            <w:tcW w:w="2789" w:type="dxa"/>
            <w:shd w:val="clear" w:color="auto" w:fill="D9D9D9" w:themeFill="background1" w:themeFillShade="D9"/>
            <w:noWrap/>
            <w:vAlign w:val="bottom"/>
            <w:hideMark/>
          </w:tcPr>
          <w:p w:rsidR="0075046B" w:rsidRPr="00E92045" w:rsidP="00666033" w14:paraId="3BD9240E" w14:textId="77777777">
            <w:pPr>
              <w:keepNext/>
              <w:spacing w:after="0" w:line="240" w:lineRule="auto"/>
              <w:rPr>
                <w:rFonts w:ascii="Times New Roman" w:eastAsia="Times New Roman" w:hAnsi="Times New Roman" w:cs="Times New Roman"/>
                <w:b/>
                <w:sz w:val="20"/>
                <w:szCs w:val="20"/>
              </w:rPr>
            </w:pPr>
          </w:p>
        </w:tc>
        <w:tc>
          <w:tcPr>
            <w:tcW w:w="1200" w:type="dxa"/>
            <w:shd w:val="clear" w:color="auto" w:fill="D9D9D9" w:themeFill="background1" w:themeFillShade="D9"/>
            <w:noWrap/>
            <w:vAlign w:val="center"/>
            <w:hideMark/>
          </w:tcPr>
          <w:p w:rsidR="0075046B" w:rsidRPr="00E92045" w:rsidP="00666033" w14:paraId="14490B93" w14:textId="77777777">
            <w:pPr>
              <w:keepNext/>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bCs/>
                <w:color w:val="000000"/>
                <w:sz w:val="20"/>
                <w:szCs w:val="20"/>
              </w:rPr>
              <w:t>Number</w:t>
            </w:r>
            <w:r>
              <w:rPr>
                <w:rFonts w:ascii="Times New Roman" w:eastAsia="Times New Roman" w:hAnsi="Times New Roman" w:cs="Times New Roman"/>
                <w:b/>
                <w:color w:val="000000"/>
                <w:sz w:val="20"/>
                <w:szCs w:val="20"/>
              </w:rPr>
              <w:t xml:space="preserve"> of</w:t>
            </w:r>
            <w:r w:rsidRPr="00E92045">
              <w:rPr>
                <w:rFonts w:ascii="Times New Roman" w:eastAsia="Times New Roman" w:hAnsi="Times New Roman" w:cs="Times New Roman"/>
                <w:b/>
                <w:color w:val="000000"/>
                <w:sz w:val="20"/>
                <w:szCs w:val="20"/>
              </w:rPr>
              <w:t xml:space="preserve"> P1 Facilities</w:t>
            </w:r>
          </w:p>
        </w:tc>
        <w:tc>
          <w:tcPr>
            <w:tcW w:w="1190" w:type="dxa"/>
            <w:shd w:val="clear" w:color="auto" w:fill="D9D9D9" w:themeFill="background1" w:themeFillShade="D9"/>
            <w:noWrap/>
            <w:vAlign w:val="center"/>
            <w:hideMark/>
          </w:tcPr>
          <w:p w:rsidR="0075046B" w:rsidRPr="00E92045" w:rsidP="00666033" w14:paraId="514DBBC0" w14:textId="77777777">
            <w:pPr>
              <w:keepNext/>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P2 Facilities</w:t>
            </w:r>
          </w:p>
        </w:tc>
        <w:tc>
          <w:tcPr>
            <w:tcW w:w="1386" w:type="dxa"/>
            <w:shd w:val="clear" w:color="auto" w:fill="D9D9D9" w:themeFill="background1" w:themeFillShade="D9"/>
            <w:noWrap/>
            <w:vAlign w:val="center"/>
            <w:hideMark/>
          </w:tcPr>
          <w:p w:rsidR="0075046B" w:rsidRPr="00E92045" w:rsidP="00666033" w14:paraId="2E289B2E" w14:textId="77777777">
            <w:pPr>
              <w:keepNext/>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P3 Facilities</w:t>
            </w:r>
          </w:p>
        </w:tc>
      </w:tr>
      <w:tr w14:paraId="4FB4BEF1" w14:textId="77777777" w:rsidTr="00E92045">
        <w:tblPrEx>
          <w:tblW w:w="6565" w:type="dxa"/>
          <w:jc w:val="center"/>
          <w:tblLook w:val="04A0"/>
        </w:tblPrEx>
        <w:trPr>
          <w:trHeight w:val="290"/>
          <w:jc w:val="center"/>
        </w:trPr>
        <w:tc>
          <w:tcPr>
            <w:tcW w:w="2789" w:type="dxa"/>
            <w:shd w:val="clear" w:color="auto" w:fill="auto"/>
            <w:noWrap/>
            <w:vAlign w:val="bottom"/>
            <w:hideMark/>
          </w:tcPr>
          <w:p w:rsidR="0075046B" w:rsidRPr="00E92045" w:rsidP="008348D6" w14:paraId="38D07A1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Total Facilities</w:t>
            </w:r>
          </w:p>
        </w:tc>
        <w:tc>
          <w:tcPr>
            <w:tcW w:w="1200" w:type="dxa"/>
            <w:shd w:val="clear" w:color="auto" w:fill="auto"/>
            <w:noWrap/>
            <w:vAlign w:val="center"/>
            <w:hideMark/>
          </w:tcPr>
          <w:p w:rsidR="0075046B" w:rsidRPr="00E92045" w:rsidP="00E92045" w14:paraId="30E79E9E"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660</w:t>
            </w:r>
          </w:p>
        </w:tc>
        <w:tc>
          <w:tcPr>
            <w:tcW w:w="1190" w:type="dxa"/>
            <w:shd w:val="clear" w:color="auto" w:fill="auto"/>
            <w:noWrap/>
            <w:vAlign w:val="center"/>
            <w:hideMark/>
          </w:tcPr>
          <w:p w:rsidR="0075046B" w:rsidRPr="00E92045" w:rsidP="00E92045" w14:paraId="40BCCEF7"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3,975</w:t>
            </w:r>
          </w:p>
        </w:tc>
        <w:tc>
          <w:tcPr>
            <w:tcW w:w="1386" w:type="dxa"/>
            <w:shd w:val="clear" w:color="auto" w:fill="auto"/>
            <w:noWrap/>
            <w:vAlign w:val="center"/>
            <w:hideMark/>
          </w:tcPr>
          <w:p w:rsidR="0075046B" w:rsidRPr="00E92045" w:rsidP="00E92045" w14:paraId="265CC315"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7,105</w:t>
            </w:r>
          </w:p>
        </w:tc>
      </w:tr>
      <w:tr w14:paraId="65689179" w14:textId="77777777" w:rsidTr="008348D6">
        <w:tblPrEx>
          <w:tblW w:w="6565" w:type="dxa"/>
          <w:jc w:val="center"/>
          <w:tblLook w:val="04A0"/>
        </w:tblPrEx>
        <w:trPr>
          <w:trHeight w:val="268"/>
          <w:jc w:val="center"/>
        </w:trPr>
        <w:tc>
          <w:tcPr>
            <w:tcW w:w="2789" w:type="dxa"/>
            <w:shd w:val="clear" w:color="auto" w:fill="auto"/>
            <w:noWrap/>
            <w:vAlign w:val="bottom"/>
            <w:hideMark/>
          </w:tcPr>
          <w:p w:rsidR="0075046B" w:rsidRPr="00E92045" w:rsidP="008348D6" w14:paraId="640DF3DF" w14:textId="77777777">
            <w:pPr>
              <w:spacing w:after="0" w:line="240" w:lineRule="auto"/>
              <w:ind w:firstLine="200" w:firstLineChars="100"/>
              <w:jc w:val="center"/>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of facilities owned by: Government Entities</w:t>
            </w:r>
          </w:p>
        </w:tc>
        <w:tc>
          <w:tcPr>
            <w:tcW w:w="1200" w:type="dxa"/>
            <w:shd w:val="clear" w:color="auto" w:fill="auto"/>
            <w:noWrap/>
            <w:vAlign w:val="center"/>
            <w:hideMark/>
          </w:tcPr>
          <w:p w:rsidR="0075046B" w:rsidRPr="00E92045" w:rsidP="00E92045" w14:paraId="0651A76E"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sz w:val="20"/>
                <w:szCs w:val="20"/>
              </w:rPr>
              <w:t>9</w:t>
            </w:r>
          </w:p>
        </w:tc>
        <w:tc>
          <w:tcPr>
            <w:tcW w:w="1190" w:type="dxa"/>
            <w:shd w:val="clear" w:color="auto" w:fill="auto"/>
            <w:noWrap/>
            <w:vAlign w:val="center"/>
            <w:hideMark/>
          </w:tcPr>
          <w:p w:rsidR="0075046B" w:rsidRPr="00E92045" w:rsidP="00E92045" w14:paraId="0590CC47"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sz w:val="20"/>
                <w:szCs w:val="20"/>
              </w:rPr>
              <w:t>813</w:t>
            </w:r>
          </w:p>
        </w:tc>
        <w:tc>
          <w:tcPr>
            <w:tcW w:w="1386" w:type="dxa"/>
            <w:shd w:val="clear" w:color="auto" w:fill="auto"/>
            <w:noWrap/>
            <w:vAlign w:val="center"/>
            <w:hideMark/>
          </w:tcPr>
          <w:p w:rsidR="0075046B" w:rsidRPr="00E92045" w:rsidP="00E92045" w14:paraId="1EF984CE"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sz w:val="20"/>
                <w:szCs w:val="20"/>
              </w:rPr>
              <w:t>683</w:t>
            </w:r>
          </w:p>
        </w:tc>
      </w:tr>
      <w:tr w14:paraId="1C34D1E9" w14:textId="77777777" w:rsidTr="008348D6">
        <w:tblPrEx>
          <w:tblW w:w="6565" w:type="dxa"/>
          <w:jc w:val="center"/>
          <w:tblLook w:val="04A0"/>
        </w:tblPrEx>
        <w:trPr>
          <w:trHeight w:val="268"/>
          <w:jc w:val="center"/>
        </w:trPr>
        <w:tc>
          <w:tcPr>
            <w:tcW w:w="2789" w:type="dxa"/>
            <w:shd w:val="clear" w:color="auto" w:fill="auto"/>
            <w:noWrap/>
            <w:vAlign w:val="bottom"/>
            <w:hideMark/>
          </w:tcPr>
          <w:p w:rsidR="0075046B" w:rsidRPr="00E92045" w:rsidP="008348D6" w14:paraId="77A1C976"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Small </w:t>
            </w:r>
          </w:p>
        </w:tc>
        <w:tc>
          <w:tcPr>
            <w:tcW w:w="1200" w:type="dxa"/>
            <w:shd w:val="clear" w:color="auto" w:fill="auto"/>
            <w:noWrap/>
            <w:vAlign w:val="center"/>
            <w:hideMark/>
          </w:tcPr>
          <w:p w:rsidR="0075046B" w:rsidRPr="00E92045" w:rsidP="00E92045" w14:paraId="14BAB366"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sz w:val="20"/>
                <w:szCs w:val="20"/>
              </w:rPr>
              <w:t>2</w:t>
            </w:r>
          </w:p>
        </w:tc>
        <w:tc>
          <w:tcPr>
            <w:tcW w:w="1190" w:type="dxa"/>
            <w:shd w:val="clear" w:color="auto" w:fill="auto"/>
            <w:noWrap/>
            <w:vAlign w:val="center"/>
            <w:hideMark/>
          </w:tcPr>
          <w:p w:rsidR="0075046B" w:rsidRPr="00E92045" w:rsidP="00E92045" w14:paraId="59810986"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sz w:val="20"/>
                <w:szCs w:val="20"/>
              </w:rPr>
              <w:t>444</w:t>
            </w:r>
          </w:p>
        </w:tc>
        <w:tc>
          <w:tcPr>
            <w:tcW w:w="1386" w:type="dxa"/>
            <w:shd w:val="clear" w:color="auto" w:fill="auto"/>
            <w:noWrap/>
            <w:vAlign w:val="center"/>
            <w:hideMark/>
          </w:tcPr>
          <w:p w:rsidR="0075046B" w:rsidRPr="00E92045" w:rsidP="00E92045" w14:paraId="46573FBB"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sz w:val="20"/>
                <w:szCs w:val="20"/>
              </w:rPr>
              <w:t>352</w:t>
            </w:r>
          </w:p>
        </w:tc>
      </w:tr>
      <w:tr w14:paraId="0282796A" w14:textId="77777777" w:rsidTr="008348D6">
        <w:tblPrEx>
          <w:tblW w:w="6565" w:type="dxa"/>
          <w:jc w:val="center"/>
          <w:tblLook w:val="04A0"/>
        </w:tblPrEx>
        <w:trPr>
          <w:trHeight w:val="268"/>
          <w:jc w:val="center"/>
        </w:trPr>
        <w:tc>
          <w:tcPr>
            <w:tcW w:w="2789" w:type="dxa"/>
            <w:shd w:val="clear" w:color="auto" w:fill="auto"/>
            <w:noWrap/>
            <w:vAlign w:val="bottom"/>
            <w:hideMark/>
          </w:tcPr>
          <w:p w:rsidR="0075046B" w:rsidRPr="00E92045" w:rsidP="008348D6" w14:paraId="31659D7B"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Non-small </w:t>
            </w:r>
          </w:p>
        </w:tc>
        <w:tc>
          <w:tcPr>
            <w:tcW w:w="1200" w:type="dxa"/>
            <w:shd w:val="clear" w:color="auto" w:fill="auto"/>
            <w:noWrap/>
            <w:vAlign w:val="center"/>
            <w:hideMark/>
          </w:tcPr>
          <w:p w:rsidR="0075046B" w:rsidRPr="00E92045" w:rsidP="00E92045" w14:paraId="22573640"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sz w:val="20"/>
                <w:szCs w:val="20"/>
              </w:rPr>
              <w:t>7</w:t>
            </w:r>
          </w:p>
        </w:tc>
        <w:tc>
          <w:tcPr>
            <w:tcW w:w="1190" w:type="dxa"/>
            <w:shd w:val="clear" w:color="auto" w:fill="auto"/>
            <w:noWrap/>
            <w:vAlign w:val="center"/>
            <w:hideMark/>
          </w:tcPr>
          <w:p w:rsidR="0075046B" w:rsidRPr="00E92045" w:rsidP="00E92045" w14:paraId="06C9026E"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sz w:val="20"/>
                <w:szCs w:val="20"/>
              </w:rPr>
              <w:t>369</w:t>
            </w:r>
          </w:p>
        </w:tc>
        <w:tc>
          <w:tcPr>
            <w:tcW w:w="1386" w:type="dxa"/>
            <w:shd w:val="clear" w:color="auto" w:fill="auto"/>
            <w:noWrap/>
            <w:vAlign w:val="center"/>
            <w:hideMark/>
          </w:tcPr>
          <w:p w:rsidR="0075046B" w:rsidRPr="00E92045" w:rsidP="00E92045" w14:paraId="686EECE2"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sz w:val="20"/>
                <w:szCs w:val="20"/>
              </w:rPr>
              <w:t>331</w:t>
            </w:r>
          </w:p>
        </w:tc>
      </w:tr>
    </w:tbl>
    <w:p w:rsidR="0075046B" w:rsidRPr="0034122C" w:rsidP="0075046B" w14:paraId="62788CC8" w14:textId="77777777">
      <w:pPr>
        <w:rPr>
          <w:rFonts w:ascii="Times New Roman" w:eastAsia="Calibri" w:hAnsi="Times New Roman" w:cs="Times New Roman"/>
          <w:b/>
          <w:bCs/>
          <w:sz w:val="24"/>
          <w:szCs w:val="24"/>
        </w:rPr>
      </w:pPr>
    </w:p>
    <w:p w:rsidR="0075046B" w:rsidRPr="00693892" w:rsidP="00C07306" w14:paraId="45BDB41E" w14:textId="77777777">
      <w:pPr>
        <w:pStyle w:val="Heading2"/>
      </w:pPr>
      <w:bookmarkStart w:id="493" w:name="_Toc98856241"/>
      <w:bookmarkStart w:id="494" w:name="_Toc144303605"/>
      <w:r w:rsidRPr="00693892">
        <w:t>8.3 Economic Impact on Small Entities</w:t>
      </w:r>
      <w:bookmarkEnd w:id="493"/>
      <w:bookmarkEnd w:id="494"/>
    </w:p>
    <w:p w:rsidR="0075046B" w:rsidP="000E6E0F" w14:paraId="19B3BD1D" w14:textId="77777777">
      <w:pPr>
        <w:keepNext/>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 xml:space="preserve">To understand the distribution of impacts </w:t>
      </w:r>
      <w:r w:rsidR="00B20325">
        <w:rPr>
          <w:rFonts w:ascii="Times New Roman" w:hAnsi="Times New Roman" w:cs="Times New Roman"/>
        </w:rPr>
        <w:t>on</w:t>
      </w:r>
      <w:r w:rsidRPr="00693892">
        <w:rPr>
          <w:rFonts w:ascii="Times New Roman" w:hAnsi="Times New Roman" w:cs="Times New Roman"/>
        </w:rPr>
        <w:t xml:space="preserve"> small entities, EPA estimated the cost for each facility to comply with the </w:t>
      </w:r>
      <w:r w:rsidR="00B52115">
        <w:rPr>
          <w:rFonts w:ascii="Times New Roman" w:hAnsi="Times New Roman" w:cs="Times New Roman"/>
        </w:rPr>
        <w:t>final</w:t>
      </w:r>
      <w:r w:rsidRPr="00693892" w:rsidR="00B52115">
        <w:rPr>
          <w:rFonts w:ascii="Times New Roman" w:hAnsi="Times New Roman" w:cs="Times New Roman"/>
        </w:rPr>
        <w:t xml:space="preserve"> </w:t>
      </w:r>
      <w:r w:rsidRPr="00693892">
        <w:rPr>
          <w:rFonts w:ascii="Times New Roman" w:hAnsi="Times New Roman" w:cs="Times New Roman"/>
        </w:rPr>
        <w:t xml:space="preserve">rule. This was done by applying cost estimates for the following cost categories to facilities in the affected </w:t>
      </w:r>
      <w:r w:rsidRPr="00693892">
        <w:rPr>
          <w:rFonts w:ascii="Times New Roman" w:hAnsi="Times New Roman"/>
        </w:rPr>
        <w:t>universe</w:t>
      </w:r>
      <w:r w:rsidRPr="00693892">
        <w:rPr>
          <w:rFonts w:ascii="Times New Roman" w:hAnsi="Times New Roman" w:cs="Times New Roman"/>
        </w:rPr>
        <w:t>, per facility or per process:</w:t>
      </w:r>
    </w:p>
    <w:p w:rsidR="000E6E0F" w:rsidRPr="00693892" w:rsidP="000E6E0F" w14:paraId="1F6ACFB0" w14:textId="77777777">
      <w:pPr>
        <w:keepNext/>
        <w:spacing w:after="0" w:line="240" w:lineRule="auto"/>
        <w:ind w:firstLine="360"/>
        <w:rPr>
          <w:rFonts w:ascii="Times New Roman" w:hAnsi="Times New Roman" w:cs="Times New Roman"/>
        </w:rPr>
      </w:pPr>
    </w:p>
    <w:p w:rsidR="00F767B2" w:rsidRPr="00693892" w:rsidP="00082826" w14:paraId="5FAE57B8"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Rule Familiarization</w:t>
      </w:r>
    </w:p>
    <w:p w:rsidR="0075046B" w:rsidRPr="00693892" w:rsidP="00082826" w14:paraId="3E68244E"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STAA</w:t>
      </w:r>
    </w:p>
    <w:p w:rsidR="0075046B" w:rsidRPr="00693892" w:rsidP="00082826" w14:paraId="3C45A4D8"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Root Cause Analysis</w:t>
      </w:r>
    </w:p>
    <w:p w:rsidR="004925F4" w:rsidRPr="00693892" w:rsidP="00082826" w14:paraId="56D1CA82"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Third-Party Audits</w:t>
      </w:r>
    </w:p>
    <w:p w:rsidR="00715A76" w:rsidP="00082826" w14:paraId="4952C77A"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Employee Participation Plan</w:t>
      </w:r>
    </w:p>
    <w:p w:rsidR="007D6A7F" w:rsidP="00082826" w14:paraId="07BB5C87" w14:textId="77777777">
      <w:pPr>
        <w:pStyle w:val="Default"/>
        <w:keepNext/>
        <w:numPr>
          <w:ilvl w:val="0"/>
          <w:numId w:val="8"/>
        </w:numPr>
        <w:rPr>
          <w:rFonts w:ascii="Times New Roman" w:hAnsi="Times New Roman" w:cs="Times New Roman"/>
          <w:sz w:val="22"/>
          <w:szCs w:val="22"/>
        </w:rPr>
      </w:pPr>
      <w:r>
        <w:rPr>
          <w:rFonts w:ascii="Times New Roman" w:hAnsi="Times New Roman" w:cs="Times New Roman"/>
          <w:sz w:val="22"/>
          <w:szCs w:val="22"/>
        </w:rPr>
        <w:t>Employee Participation Plan Training</w:t>
      </w:r>
    </w:p>
    <w:p w:rsidR="00D903EB" w:rsidP="00082826" w14:paraId="39D96C47" w14:textId="77777777">
      <w:pPr>
        <w:pStyle w:val="Default"/>
        <w:numPr>
          <w:ilvl w:val="0"/>
          <w:numId w:val="8"/>
        </w:numPr>
        <w:rPr>
          <w:rFonts w:ascii="Times New Roman" w:hAnsi="Times New Roman" w:cs="Times New Roman"/>
          <w:sz w:val="22"/>
          <w:szCs w:val="22"/>
        </w:rPr>
      </w:pPr>
      <w:r>
        <w:rPr>
          <w:rFonts w:ascii="Times New Roman" w:hAnsi="Times New Roman" w:cs="Times New Roman"/>
          <w:sz w:val="22"/>
          <w:szCs w:val="22"/>
        </w:rPr>
        <w:t>Translation</w:t>
      </w:r>
    </w:p>
    <w:p w:rsidR="00A016B0" w:rsidRPr="00693892" w:rsidP="00082826" w14:paraId="651BB356"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Emergency Backup Power</w:t>
      </w:r>
    </w:p>
    <w:p w:rsidR="00C20078" w:rsidP="00082826" w14:paraId="72BBD862" w14:textId="77777777">
      <w:pPr>
        <w:pStyle w:val="Default"/>
        <w:keepNext/>
        <w:numPr>
          <w:ilvl w:val="0"/>
          <w:numId w:val="8"/>
        </w:numPr>
        <w:rPr>
          <w:rFonts w:ascii="Times New Roman" w:hAnsi="Times New Roman" w:cs="Times New Roman"/>
          <w:sz w:val="22"/>
          <w:szCs w:val="22"/>
        </w:rPr>
      </w:pPr>
      <w:r>
        <w:rPr>
          <w:rFonts w:ascii="Times New Roman" w:hAnsi="Times New Roman" w:cs="Times New Roman"/>
          <w:sz w:val="22"/>
          <w:szCs w:val="22"/>
        </w:rPr>
        <w:t>Justification</w:t>
      </w:r>
      <w:r w:rsidR="005011BB">
        <w:rPr>
          <w:rFonts w:ascii="Times New Roman" w:hAnsi="Times New Roman" w:cs="Times New Roman"/>
          <w:sz w:val="22"/>
          <w:szCs w:val="22"/>
        </w:rPr>
        <w:t>s</w:t>
      </w:r>
    </w:p>
    <w:p w:rsidR="00D14EEC" w:rsidRPr="00693892" w:rsidP="00082826" w14:paraId="2B692841"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Community Notification Plan</w:t>
      </w:r>
    </w:p>
    <w:p w:rsidR="0026468B" w:rsidRPr="0026468B" w:rsidP="00082826" w14:paraId="7C3A1ACE"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Information Availability</w:t>
      </w:r>
    </w:p>
    <w:p w:rsidR="000E6E0F" w:rsidRPr="00693892" w:rsidP="000E6E0F" w14:paraId="5C233ED4" w14:textId="77777777">
      <w:pPr>
        <w:pStyle w:val="Default"/>
        <w:ind w:left="720"/>
        <w:rPr>
          <w:rFonts w:ascii="Times New Roman" w:hAnsi="Times New Roman" w:cs="Times New Roman"/>
          <w:sz w:val="22"/>
          <w:szCs w:val="22"/>
        </w:rPr>
      </w:pPr>
    </w:p>
    <w:p w:rsidR="0075046B" w:rsidP="007168A9" w14:paraId="4F2E3DBB"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 xml:space="preserve">The costs used for each cost category are consistent with the costs described in Chapter 4: Unit Costs of </w:t>
      </w:r>
      <w:r w:rsidR="00F20BF1">
        <w:rPr>
          <w:rFonts w:ascii="Times New Roman" w:hAnsi="Times New Roman" w:cs="Times New Roman"/>
        </w:rPr>
        <w:t>Final</w:t>
      </w:r>
      <w:r w:rsidRPr="00693892" w:rsidR="00F20BF1">
        <w:rPr>
          <w:rFonts w:ascii="Times New Roman" w:hAnsi="Times New Roman" w:cs="Times New Roman"/>
        </w:rPr>
        <w:t xml:space="preserve"> </w:t>
      </w:r>
      <w:r w:rsidRPr="00693892">
        <w:rPr>
          <w:rFonts w:ascii="Times New Roman" w:hAnsi="Times New Roman" w:cs="Times New Roman"/>
        </w:rPr>
        <w:t xml:space="preserve">Rule Provisions. </w:t>
      </w:r>
      <w:r w:rsidRPr="005B7435" w:rsidR="005B7435">
        <w:rPr>
          <w:rFonts w:ascii="Times New Roman" w:hAnsi="Times New Roman" w:cs="Times New Roman"/>
        </w:rPr>
        <w:t>EPA provides a summary of relevant NAICS codes for provisions with a smaller number of impacted sectors in Exhibit 8-</w:t>
      </w:r>
      <w:r w:rsidR="00BC0408">
        <w:rPr>
          <w:rFonts w:ascii="Times New Roman" w:hAnsi="Times New Roman" w:cs="Times New Roman"/>
        </w:rPr>
        <w:t>6</w:t>
      </w:r>
      <w:r w:rsidRPr="005B7435" w:rsidR="005B7435">
        <w:rPr>
          <w:rFonts w:ascii="Times New Roman" w:hAnsi="Times New Roman" w:cs="Times New Roman"/>
        </w:rPr>
        <w:t>.</w:t>
      </w:r>
      <w:r>
        <w:rPr>
          <w:rStyle w:val="FootnoteReference"/>
          <w:rFonts w:ascii="Times New Roman" w:hAnsi="Times New Roman" w:cs="Times New Roman"/>
        </w:rPr>
        <w:footnoteReference w:id="172"/>
      </w:r>
      <w:r w:rsidRPr="005B7435" w:rsidR="005B7435">
        <w:rPr>
          <w:rFonts w:ascii="Times New Roman" w:hAnsi="Times New Roman" w:cs="Times New Roman"/>
        </w:rPr>
        <w:t xml:space="preserve"> </w:t>
      </w:r>
      <w:r w:rsidRPr="00693892">
        <w:rPr>
          <w:rFonts w:ascii="Times New Roman" w:hAnsi="Times New Roman" w:cs="Times New Roman"/>
        </w:rPr>
        <w:t xml:space="preserve">After calculating the cost for each facility to comply with the </w:t>
      </w:r>
      <w:r w:rsidR="00C87999">
        <w:rPr>
          <w:rFonts w:ascii="Times New Roman" w:hAnsi="Times New Roman" w:cs="Times New Roman"/>
        </w:rPr>
        <w:t>final</w:t>
      </w:r>
      <w:r w:rsidRPr="00693892" w:rsidR="00C87999">
        <w:rPr>
          <w:rFonts w:ascii="Times New Roman" w:hAnsi="Times New Roman" w:cs="Times New Roman"/>
        </w:rPr>
        <w:t xml:space="preserve"> </w:t>
      </w:r>
      <w:r w:rsidRPr="00693892">
        <w:rPr>
          <w:rFonts w:ascii="Times New Roman" w:hAnsi="Times New Roman" w:cs="Times New Roman"/>
        </w:rPr>
        <w:t xml:space="preserve">rule, the costs for all facilities owned by each unique small entity were summed to estimate the total impact to each small parent entity. These costs were then compared to revenue data for each small entity to develop an estimate of the percent of revenue impacted. </w:t>
      </w:r>
      <w:r w:rsidRPr="00693892" w:rsidR="008E5DB1">
        <w:rPr>
          <w:rFonts w:ascii="Times New Roman" w:hAnsi="Times New Roman" w:cs="Times New Roman"/>
        </w:rPr>
        <w:t xml:space="preserve">EPA takes a conservative approach to estimating costs for small entities by assuming that facilities will face </w:t>
      </w:r>
      <w:r w:rsidRPr="00693892" w:rsidR="00A170D2">
        <w:rPr>
          <w:rFonts w:ascii="Times New Roman" w:hAnsi="Times New Roman" w:cs="Times New Roman"/>
        </w:rPr>
        <w:t xml:space="preserve">all costs in the same year (the first year). That is, if a facility </w:t>
      </w:r>
      <w:r w:rsidRPr="00693892" w:rsidR="00B44D02">
        <w:rPr>
          <w:rFonts w:ascii="Times New Roman" w:hAnsi="Times New Roman" w:cs="Times New Roman"/>
        </w:rPr>
        <w:t>incurs</w:t>
      </w:r>
      <w:r w:rsidRPr="00693892" w:rsidR="00A170D2">
        <w:rPr>
          <w:rFonts w:ascii="Times New Roman" w:hAnsi="Times New Roman" w:cs="Times New Roman"/>
        </w:rPr>
        <w:t xml:space="preserve"> costs from a provision that does not necessarily occur in the first year (such as third-party audits</w:t>
      </w:r>
      <w:r w:rsidRPr="00693892" w:rsidR="002B5F03">
        <w:rPr>
          <w:rFonts w:ascii="Times New Roman" w:hAnsi="Times New Roman" w:cs="Times New Roman"/>
        </w:rPr>
        <w:t>,</w:t>
      </w:r>
      <w:r w:rsidRPr="00693892" w:rsidR="00710310">
        <w:rPr>
          <w:rFonts w:ascii="Times New Roman" w:hAnsi="Times New Roman" w:cs="Times New Roman"/>
        </w:rPr>
        <w:t xml:space="preserve"> </w:t>
      </w:r>
      <w:r w:rsidRPr="00693892" w:rsidR="00A170D2">
        <w:rPr>
          <w:rFonts w:ascii="Times New Roman" w:hAnsi="Times New Roman" w:cs="Times New Roman"/>
        </w:rPr>
        <w:t xml:space="preserve">which </w:t>
      </w:r>
      <w:r w:rsidR="00544DA6">
        <w:rPr>
          <w:rFonts w:ascii="Times New Roman" w:hAnsi="Times New Roman" w:cs="Times New Roman"/>
        </w:rPr>
        <w:t>will</w:t>
      </w:r>
      <w:r w:rsidRPr="00693892" w:rsidR="00A170D2">
        <w:rPr>
          <w:rFonts w:ascii="Times New Roman" w:hAnsi="Times New Roman" w:cs="Times New Roman"/>
        </w:rPr>
        <w:t xml:space="preserve"> occur when the next compliance audit is due, </w:t>
      </w:r>
      <w:r w:rsidRPr="00693892" w:rsidR="00710310">
        <w:rPr>
          <w:rFonts w:ascii="Times New Roman" w:hAnsi="Times New Roman" w:cs="Times New Roman"/>
        </w:rPr>
        <w:t>or STAA</w:t>
      </w:r>
      <w:r w:rsidRPr="00693892" w:rsidR="0037745A">
        <w:rPr>
          <w:rFonts w:ascii="Times New Roman" w:hAnsi="Times New Roman" w:cs="Times New Roman"/>
        </w:rPr>
        <w:t>,</w:t>
      </w:r>
      <w:r w:rsidRPr="00693892" w:rsidR="00710310">
        <w:rPr>
          <w:rFonts w:ascii="Times New Roman" w:hAnsi="Times New Roman" w:cs="Times New Roman"/>
        </w:rPr>
        <w:t xml:space="preserve"> which </w:t>
      </w:r>
      <w:r w:rsidR="00544DA6">
        <w:rPr>
          <w:rFonts w:ascii="Times New Roman" w:hAnsi="Times New Roman" w:cs="Times New Roman"/>
        </w:rPr>
        <w:t>will</w:t>
      </w:r>
      <w:r w:rsidRPr="00693892" w:rsidR="00710310">
        <w:rPr>
          <w:rFonts w:ascii="Times New Roman" w:hAnsi="Times New Roman" w:cs="Times New Roman"/>
        </w:rPr>
        <w:t xml:space="preserve"> occur in a year prior to the PHA</w:t>
      </w:r>
      <w:r w:rsidRPr="00693892" w:rsidR="00A170D2">
        <w:rPr>
          <w:rFonts w:ascii="Times New Roman" w:hAnsi="Times New Roman" w:cs="Times New Roman"/>
        </w:rPr>
        <w:t xml:space="preserve">), </w:t>
      </w:r>
      <w:r w:rsidRPr="00693892" w:rsidR="00B44D02">
        <w:rPr>
          <w:rFonts w:ascii="Times New Roman" w:hAnsi="Times New Roman" w:cs="Times New Roman"/>
        </w:rPr>
        <w:t>the analysis</w:t>
      </w:r>
      <w:r w:rsidRPr="00693892" w:rsidR="009D02EA">
        <w:rPr>
          <w:rFonts w:ascii="Times New Roman" w:hAnsi="Times New Roman" w:cs="Times New Roman"/>
        </w:rPr>
        <w:t xml:space="preserve"> </w:t>
      </w:r>
      <w:r w:rsidRPr="00693892" w:rsidR="00ED1C05">
        <w:rPr>
          <w:rFonts w:ascii="Times New Roman" w:hAnsi="Times New Roman" w:cs="Times New Roman"/>
        </w:rPr>
        <w:t xml:space="preserve">assumed </w:t>
      </w:r>
      <w:r w:rsidRPr="00693892" w:rsidR="00710310">
        <w:rPr>
          <w:rFonts w:ascii="Times New Roman" w:hAnsi="Times New Roman" w:cs="Times New Roman"/>
        </w:rPr>
        <w:t xml:space="preserve">that an </w:t>
      </w:r>
      <w:r w:rsidR="0076650B">
        <w:rPr>
          <w:rFonts w:ascii="Times New Roman" w:hAnsi="Times New Roman" w:cs="Times New Roman"/>
        </w:rPr>
        <w:t>annual</w:t>
      </w:r>
      <w:r w:rsidRPr="00693892" w:rsidR="00710310">
        <w:rPr>
          <w:rFonts w:ascii="Times New Roman" w:hAnsi="Times New Roman" w:cs="Times New Roman"/>
        </w:rPr>
        <w:t xml:space="preserve"> cost of those provisions</w:t>
      </w:r>
      <w:r w:rsidRPr="00693892" w:rsidR="00ED1C05">
        <w:rPr>
          <w:rFonts w:ascii="Times New Roman" w:hAnsi="Times New Roman" w:cs="Times New Roman"/>
        </w:rPr>
        <w:t xml:space="preserve"> occurs in the first year when other costs </w:t>
      </w:r>
      <w:r w:rsidRPr="00693892" w:rsidR="00E77DD9">
        <w:rPr>
          <w:rFonts w:ascii="Times New Roman" w:hAnsi="Times New Roman" w:cs="Times New Roman"/>
        </w:rPr>
        <w:t>such as</w:t>
      </w:r>
      <w:r w:rsidRPr="00693892" w:rsidR="00ED1C05">
        <w:rPr>
          <w:rFonts w:ascii="Times New Roman" w:hAnsi="Times New Roman" w:cs="Times New Roman"/>
        </w:rPr>
        <w:t xml:space="preserve"> rule familiarization occur. </w:t>
      </w:r>
      <w:r w:rsidRPr="00693892" w:rsidR="00281BCD">
        <w:rPr>
          <w:rFonts w:ascii="Times New Roman" w:hAnsi="Times New Roman" w:cs="Times New Roman"/>
        </w:rPr>
        <w:t xml:space="preserve">In </w:t>
      </w:r>
      <w:r w:rsidRPr="00693892" w:rsidR="00710310">
        <w:rPr>
          <w:rFonts w:ascii="Times New Roman" w:hAnsi="Times New Roman" w:cs="Times New Roman"/>
        </w:rPr>
        <w:t>practice</w:t>
      </w:r>
      <w:r w:rsidRPr="00693892" w:rsidR="00281BCD">
        <w:rPr>
          <w:rFonts w:ascii="Times New Roman" w:hAnsi="Times New Roman" w:cs="Times New Roman"/>
        </w:rPr>
        <w:t xml:space="preserve">, facilities are not likely to face costs of </w:t>
      </w:r>
      <w:r w:rsidR="00F71BE4">
        <w:rPr>
          <w:rFonts w:ascii="Times New Roman" w:hAnsi="Times New Roman" w:cs="Times New Roman"/>
        </w:rPr>
        <w:t>every</w:t>
      </w:r>
      <w:r w:rsidRPr="00693892" w:rsidR="00281BCD">
        <w:rPr>
          <w:rFonts w:ascii="Times New Roman" w:hAnsi="Times New Roman" w:cs="Times New Roman"/>
        </w:rPr>
        <w:t xml:space="preserve"> provision in the </w:t>
      </w:r>
      <w:r w:rsidRPr="00693892" w:rsidR="00710310">
        <w:rPr>
          <w:rFonts w:ascii="Times New Roman" w:hAnsi="Times New Roman" w:cs="Times New Roman"/>
        </w:rPr>
        <w:t xml:space="preserve">first </w:t>
      </w:r>
      <w:r w:rsidRPr="00693892" w:rsidR="00281BCD">
        <w:rPr>
          <w:rFonts w:ascii="Times New Roman" w:hAnsi="Times New Roman" w:cs="Times New Roman"/>
        </w:rPr>
        <w:t>year.</w:t>
      </w:r>
      <w:r w:rsidR="00FD2529">
        <w:rPr>
          <w:rFonts w:ascii="Times New Roman" w:hAnsi="Times New Roman" w:cs="Times New Roman"/>
        </w:rPr>
        <w:t xml:space="preserve"> An additional conservative assumption, discussed in more detail in Section 5.1.3, is that capital costs are not amortized for facilities.</w:t>
      </w:r>
    </w:p>
    <w:p w:rsidR="003255F8" w:rsidP="000E6E0F" w14:paraId="3C030C4B" w14:textId="77777777">
      <w:pPr>
        <w:spacing w:after="0" w:line="240" w:lineRule="auto"/>
        <w:ind w:firstLine="360"/>
        <w:rPr>
          <w:rFonts w:ascii="Times New Roman" w:hAnsi="Times New Roman" w:cs="Times New Roman"/>
        </w:rPr>
      </w:pPr>
    </w:p>
    <w:p w:rsidR="003255F8" w:rsidP="006D08B7" w14:paraId="5BFB7F86" w14:textId="77777777">
      <w:pPr>
        <w:spacing w:after="0" w:line="240" w:lineRule="auto"/>
        <w:ind w:firstLine="360"/>
        <w:rPr>
          <w:rFonts w:ascii="Times New Roman" w:hAnsi="Times New Roman" w:cs="Times New Roman"/>
        </w:rPr>
      </w:pPr>
      <w:r>
        <w:rPr>
          <w:rFonts w:ascii="Times New Roman" w:hAnsi="Times New Roman" w:cs="Times New Roman"/>
        </w:rPr>
        <w:tab/>
      </w:r>
      <w:r w:rsidRPr="003255F8">
        <w:rPr>
          <w:rFonts w:ascii="Times New Roman" w:hAnsi="Times New Roman" w:cs="Times New Roman"/>
        </w:rPr>
        <w:t xml:space="preserve">To estimate the number of impacted small businesses with </w:t>
      </w:r>
      <w:r w:rsidR="00F25A6C">
        <w:rPr>
          <w:rFonts w:ascii="Times New Roman" w:hAnsi="Times New Roman" w:cs="Times New Roman"/>
        </w:rPr>
        <w:t>RMP-</w:t>
      </w:r>
      <w:r w:rsidRPr="003255F8">
        <w:rPr>
          <w:rFonts w:ascii="Times New Roman" w:hAnsi="Times New Roman" w:cs="Times New Roman"/>
        </w:rPr>
        <w:t>reportable accidents between 2016 and 2020 (n=488 accidents, 382 among unique facilities), EPA used the percent (%) of affected facilities that are small businesses for each NAICS code (small entities divided by total RMP regulated facilities in that NAICS code for 2020</w:t>
      </w:r>
      <w:r w:rsidRPr="003255F8" w:rsidR="00152BAF">
        <w:rPr>
          <w:rFonts w:ascii="Times New Roman" w:hAnsi="Times New Roman" w:cs="Times New Roman"/>
        </w:rPr>
        <w:t>) and</w:t>
      </w:r>
      <w:r w:rsidRPr="003255F8">
        <w:rPr>
          <w:rFonts w:ascii="Times New Roman" w:hAnsi="Times New Roman" w:cs="Times New Roman"/>
        </w:rPr>
        <w:t xml:space="preserve"> applied this percentage to the number of facilities with accidents in that sector between 2016 and 2020. Using this method, EPA estimates that 2% (n=8) of the facilities with accidents subject to this regulation may be small businesses. Of these, 50% (n=4) are in NAICS 324 and 325.</w:t>
      </w:r>
    </w:p>
    <w:p w:rsidR="006B0034" w:rsidP="0090354F" w14:paraId="5A580F32" w14:textId="77777777">
      <w:pPr>
        <w:spacing w:after="0"/>
        <w:jc w:val="center"/>
        <w:rPr>
          <w:rFonts w:ascii="Times New Roman" w:hAnsi="Times New Roman" w:cs="Times New Roman"/>
          <w:b/>
          <w:bCs/>
        </w:rPr>
      </w:pPr>
      <w:bookmarkStart w:id="495" w:name="_Hlk104193278"/>
    </w:p>
    <w:p w:rsidR="00C703C3" w:rsidRPr="00B30092" w:rsidP="00C703C3" w14:paraId="7F4BD0FE" w14:textId="77777777">
      <w:pPr>
        <w:jc w:val="center"/>
        <w:rPr>
          <w:rFonts w:ascii="Times New Roman" w:hAnsi="Times New Roman" w:cs="Times New Roman"/>
          <w:b/>
          <w:bCs/>
        </w:rPr>
      </w:pPr>
      <w:r w:rsidRPr="00B30092">
        <w:rPr>
          <w:rFonts w:ascii="Times New Roman" w:hAnsi="Times New Roman" w:cs="Times New Roman"/>
          <w:b/>
          <w:bCs/>
        </w:rPr>
        <w:t>Exhibit 8-</w:t>
      </w:r>
      <w:r w:rsidR="00BC0408">
        <w:rPr>
          <w:rFonts w:ascii="Times New Roman" w:hAnsi="Times New Roman" w:cs="Times New Roman"/>
          <w:b/>
          <w:bCs/>
        </w:rPr>
        <w:t>6</w:t>
      </w:r>
      <w:r w:rsidRPr="00B30092">
        <w:rPr>
          <w:rFonts w:ascii="Times New Roman" w:hAnsi="Times New Roman" w:cs="Times New Roman"/>
          <w:b/>
          <w:bCs/>
        </w:rPr>
        <w:t>: Impact on Small Private Sector Entities by Provision and NAICS</w:t>
      </w:r>
      <w:r>
        <w:rPr>
          <w:rFonts w:ascii="Times New Roman" w:hAnsi="Times New Roman" w:cs="Times New Roman"/>
          <w:b/>
          <w:bCs/>
        </w:rPr>
        <w:t>.</w:t>
      </w:r>
    </w:p>
    <w:tbl>
      <w:tblPr>
        <w:tblW w:w="9350" w:type="dxa"/>
        <w:tblLook w:val="04A0"/>
      </w:tblPr>
      <w:tblGrid>
        <w:gridCol w:w="1641"/>
        <w:gridCol w:w="1258"/>
        <w:gridCol w:w="2391"/>
        <w:gridCol w:w="2827"/>
        <w:gridCol w:w="1233"/>
      </w:tblGrid>
      <w:tr w14:paraId="76704661" w14:textId="77777777" w:rsidTr="00D8562D">
        <w:tblPrEx>
          <w:tblW w:w="9350" w:type="dxa"/>
          <w:tblLook w:val="04A0"/>
        </w:tblPrEx>
        <w:trPr>
          <w:trHeight w:val="290"/>
          <w:tblHeader/>
        </w:trPr>
        <w:tc>
          <w:tcPr>
            <w:tcW w:w="1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316A9" w:rsidRPr="00B316A9" w:rsidP="00B316A9" w14:paraId="1A9DACB1"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Provision</w:t>
            </w:r>
          </w:p>
        </w:tc>
        <w:tc>
          <w:tcPr>
            <w:tcW w:w="11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316A9" w:rsidRPr="00B316A9" w:rsidP="00B316A9" w14:paraId="2DF6C510"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Impacted Entity NAICS Code*</w:t>
            </w:r>
          </w:p>
        </w:tc>
        <w:tc>
          <w:tcPr>
            <w:tcW w:w="243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316A9" w:rsidRPr="00B316A9" w:rsidP="00B316A9" w14:paraId="6EF2CA94"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Impacted Entity Sector Description</w:t>
            </w:r>
          </w:p>
        </w:tc>
        <w:tc>
          <w:tcPr>
            <w:tcW w:w="28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316A9" w:rsidRPr="00B316A9" w:rsidP="00B316A9" w14:paraId="735292D0"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Average Cost Per Impacted Entity</w:t>
            </w:r>
          </w:p>
        </w:tc>
        <w:tc>
          <w:tcPr>
            <w:tcW w:w="125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316A9" w:rsidRPr="00B316A9" w:rsidP="00B316A9" w14:paraId="41D729ED"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 xml:space="preserve">Number of </w:t>
            </w:r>
            <w:r w:rsidR="00F70208">
              <w:rPr>
                <w:rFonts w:ascii="Times New Roman" w:eastAsia="Times New Roman" w:hAnsi="Times New Roman" w:cs="Times New Roman"/>
                <w:b/>
                <w:bCs/>
                <w:color w:val="000000"/>
              </w:rPr>
              <w:t xml:space="preserve">Small </w:t>
            </w:r>
            <w:r w:rsidRPr="00B316A9">
              <w:rPr>
                <w:rFonts w:ascii="Times New Roman" w:eastAsia="Times New Roman" w:hAnsi="Times New Roman" w:cs="Times New Roman"/>
                <w:b/>
                <w:bCs/>
                <w:color w:val="000000"/>
              </w:rPr>
              <w:t>Entities</w:t>
            </w:r>
          </w:p>
        </w:tc>
      </w:tr>
      <w:tr w14:paraId="179718CA" w14:textId="77777777" w:rsidTr="00403420">
        <w:tblPrEx>
          <w:tblW w:w="9350" w:type="dxa"/>
          <w:tblLook w:val="04A0"/>
        </w:tblPrEx>
        <w:trPr>
          <w:trHeight w:val="300"/>
        </w:trPr>
        <w:tc>
          <w:tcPr>
            <w:tcW w:w="1670" w:type="dxa"/>
            <w:vMerge w:val="restart"/>
            <w:tcBorders>
              <w:top w:val="nil"/>
              <w:left w:val="single" w:sz="4" w:space="0" w:color="auto"/>
              <w:bottom w:val="single" w:sz="4" w:space="0" w:color="auto"/>
              <w:right w:val="single" w:sz="4" w:space="0" w:color="auto"/>
            </w:tcBorders>
            <w:shd w:val="clear" w:color="000000" w:fill="FFFFFF"/>
            <w:vAlign w:val="center"/>
            <w:hideMark/>
          </w:tcPr>
          <w:p w:rsidR="00B316A9" w:rsidRPr="00B316A9" w:rsidP="00B316A9" w14:paraId="4C48FCE9"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Root Cause Analysis</w:t>
            </w: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71B5249"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311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E30739D"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Food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3D0379D"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$2,350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5F232E3"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6EAD59D7"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1A9ECD8F"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940A810"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325</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07C41BC"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Chemical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9F28D8E"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$30,993</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92D6CA2"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w:t>
            </w:r>
          </w:p>
        </w:tc>
      </w:tr>
      <w:tr w14:paraId="217E3372"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0B5C88E4"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7FC4900"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327</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4896B5B"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Nonmetallic Mineral Product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6E83A54"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$2,350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612922A"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262FC3EB"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01885C42"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747FA29"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331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F54DAD9"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Primary Metal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55CA7FA"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$2,350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EA4DFEF"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1FFA0BB9"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117BDE06"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80142E0"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424</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36F7C24"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Merchant Wholesalers, Nondurable Goods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6FA5915"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$2,350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D383299"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2EBF57E5"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56A080A9"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674C608"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523</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8DE1DAA"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Securities, Commodity Contracts, and Other Financial Investments and Related Activities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C24C6CA"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$2,350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9EB30E3"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105371D7" w14:textId="77777777" w:rsidTr="00403420">
        <w:tblPrEx>
          <w:tblW w:w="9350" w:type="dxa"/>
          <w:tblLook w:val="04A0"/>
        </w:tblPrEx>
        <w:trPr>
          <w:trHeight w:val="1400"/>
        </w:trPr>
        <w:tc>
          <w:tcPr>
            <w:tcW w:w="1670" w:type="dxa"/>
            <w:tcBorders>
              <w:top w:val="nil"/>
              <w:left w:val="single" w:sz="4" w:space="0" w:color="auto"/>
              <w:bottom w:val="single" w:sz="4" w:space="0" w:color="auto"/>
              <w:right w:val="single" w:sz="4" w:space="0" w:color="auto"/>
            </w:tcBorders>
            <w:shd w:val="clear" w:color="000000" w:fill="FFFFFF"/>
            <w:vAlign w:val="center"/>
            <w:hideMark/>
          </w:tcPr>
          <w:p w:rsidR="00B316A9" w:rsidRPr="00B316A9" w:rsidP="00B316A9" w14:paraId="7D9BC773"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Community Notification System</w:t>
            </w: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C3F901F"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Many**</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D88CD28"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 </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4332D7B"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$221 - $2,500</w:t>
            </w:r>
            <w:r w:rsidRPr="00403420" w:rsidR="00403420">
              <w:rPr>
                <w:rFonts w:ascii="Times New Roman" w:hAnsi="Times New Roman" w:cs="Times New Roman"/>
              </w:rPr>
              <w:t>***</w:t>
            </w:r>
            <w:r w:rsidR="00692FC7">
              <w:rPr>
                <w:rFonts w:ascii="Times New Roman" w:hAnsi="Times New Roman" w:cs="Times New Roman"/>
              </w:rPr>
              <w:t>*</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A649921"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r w:rsidR="00F70208">
              <w:rPr>
                <w:rFonts w:ascii="Times New Roman" w:eastAsia="Times New Roman" w:hAnsi="Times New Roman" w:cs="Times New Roman"/>
                <w:color w:val="000000"/>
              </w:rPr>
              <w:t>,</w:t>
            </w:r>
            <w:r w:rsidRPr="00B316A9">
              <w:rPr>
                <w:rFonts w:ascii="Times New Roman" w:eastAsia="Times New Roman" w:hAnsi="Times New Roman" w:cs="Times New Roman"/>
                <w:color w:val="000000"/>
              </w:rPr>
              <w:t>682</w:t>
            </w:r>
          </w:p>
        </w:tc>
      </w:tr>
      <w:tr w14:paraId="6433DFC0" w14:textId="77777777" w:rsidTr="00403420">
        <w:tblPrEx>
          <w:tblW w:w="9350" w:type="dxa"/>
          <w:tblLook w:val="04A0"/>
        </w:tblPrEx>
        <w:trPr>
          <w:trHeight w:val="290"/>
        </w:trPr>
        <w:tc>
          <w:tcPr>
            <w:tcW w:w="1670" w:type="dxa"/>
            <w:tcBorders>
              <w:top w:val="nil"/>
              <w:left w:val="single" w:sz="4" w:space="0" w:color="auto"/>
              <w:bottom w:val="single" w:sz="4" w:space="0" w:color="auto"/>
              <w:right w:val="single" w:sz="4" w:space="0" w:color="auto"/>
            </w:tcBorders>
            <w:shd w:val="clear" w:color="000000" w:fill="FFFFFF"/>
            <w:noWrap/>
            <w:vAlign w:val="center"/>
            <w:hideMark/>
          </w:tcPr>
          <w:p w:rsidR="00B316A9" w:rsidRPr="00B316A9" w:rsidP="00B316A9" w14:paraId="6C42F954"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Employee Participation Plan</w:t>
            </w: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063FC81"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Many**</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6DADDC4"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 </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57AA08A"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$59 - $495</w:t>
            </w:r>
            <w:r w:rsidRPr="00403420" w:rsidR="00403420">
              <w:rPr>
                <w:rFonts w:ascii="Times New Roman" w:hAnsi="Times New Roman" w:cs="Times New Roman"/>
              </w:rPr>
              <w:t>***</w:t>
            </w:r>
            <w:r w:rsidR="00692FC7">
              <w:rPr>
                <w:rFonts w:ascii="Times New Roman" w:hAnsi="Times New Roman" w:cs="Times New Roman"/>
              </w:rPr>
              <w:t>*</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C6D9D30"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r w:rsidR="00F70208">
              <w:rPr>
                <w:rFonts w:ascii="Times New Roman" w:eastAsia="Times New Roman" w:hAnsi="Times New Roman" w:cs="Times New Roman"/>
                <w:color w:val="000000"/>
              </w:rPr>
              <w:t>,</w:t>
            </w:r>
            <w:r w:rsidRPr="00B316A9">
              <w:rPr>
                <w:rFonts w:ascii="Times New Roman" w:eastAsia="Times New Roman" w:hAnsi="Times New Roman" w:cs="Times New Roman"/>
                <w:color w:val="000000"/>
              </w:rPr>
              <w:t>682</w:t>
            </w:r>
          </w:p>
        </w:tc>
      </w:tr>
      <w:tr w14:paraId="5DE8DF12" w14:textId="77777777" w:rsidTr="00403420">
        <w:tblPrEx>
          <w:tblW w:w="9350" w:type="dxa"/>
          <w:tblLook w:val="04A0"/>
        </w:tblPrEx>
        <w:trPr>
          <w:trHeight w:val="300"/>
        </w:trPr>
        <w:tc>
          <w:tcPr>
            <w:tcW w:w="1670" w:type="dxa"/>
            <w:vMerge w:val="restart"/>
            <w:tcBorders>
              <w:top w:val="nil"/>
              <w:left w:val="single" w:sz="4" w:space="0" w:color="auto"/>
              <w:bottom w:val="single" w:sz="4" w:space="0" w:color="auto"/>
              <w:right w:val="single" w:sz="4" w:space="0" w:color="auto"/>
            </w:tcBorders>
            <w:shd w:val="clear" w:color="auto" w:fill="auto"/>
            <w:vAlign w:val="center"/>
            <w:hideMark/>
          </w:tcPr>
          <w:p w:rsidR="00B316A9" w:rsidRPr="00B316A9" w:rsidP="00B316A9" w14:paraId="351BB420"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Third-Party Audit</w:t>
            </w: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2D9EE4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221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D967AD8"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Utilities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0F3B001"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$50,091</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FB3C06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67C1F8CE"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49C2A375"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B05AB40"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311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38797BC"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Food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3D4C6D5"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$52,640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4DCDAC8"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7AC2908D"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1772E1FC"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D5450A6"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324</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6A6AA74"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Petroleum and Coal Products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2E5D5D2"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$118,246</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6489D2D"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w:t>
            </w:r>
          </w:p>
        </w:tc>
      </w:tr>
      <w:tr w14:paraId="6A49F76C"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15305CD3"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B65B7D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325</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84A5487"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Chemical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699731F"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$111,460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7E228F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13</w:t>
            </w:r>
          </w:p>
        </w:tc>
      </w:tr>
      <w:tr w14:paraId="5B503073"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32A5E1D2"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0D50B3C"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327</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81CBD63"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Nonmetallic Mineral Product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19A4878"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$52,640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6DB04B3"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2D8CBE0E"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2E5F9B6C"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4DA4A70"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332</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5667A1C"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Fabricated Metal Product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76772B1"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$118,246</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6A7C711"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3D950C75"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0B63E1A0"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1D375FE"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493</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86253F5"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Warehousing and Storage</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F3BD12B"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$50,091</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4D43F80"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489B7804"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1A0BC11E"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FFC62DB"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523</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06945ED"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Securities, Commodity Contracts, and Other Financial Investments and Related Activities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1AC4AD3"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$116,404</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9BF3D32"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w:t>
            </w:r>
          </w:p>
        </w:tc>
      </w:tr>
      <w:tr w14:paraId="0E409B17" w14:textId="77777777" w:rsidTr="00403420">
        <w:tblPrEx>
          <w:tblW w:w="9350" w:type="dxa"/>
          <w:tblLook w:val="04A0"/>
        </w:tblPrEx>
        <w:trPr>
          <w:trHeight w:val="290"/>
        </w:trPr>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316A9" w:rsidRPr="00B316A9" w:rsidP="00B316A9" w14:paraId="0F57FB8F"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Information Availability</w:t>
            </w: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D5A691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Many***</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07DECB8"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 </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9EF417D"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$185 - $14,879****</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AB00871"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r w:rsidR="00F70208">
              <w:rPr>
                <w:rFonts w:ascii="Times New Roman" w:eastAsia="Times New Roman" w:hAnsi="Times New Roman" w:cs="Times New Roman"/>
                <w:color w:val="000000"/>
              </w:rPr>
              <w:t>,</w:t>
            </w:r>
            <w:r w:rsidRPr="00B316A9">
              <w:rPr>
                <w:rFonts w:ascii="Times New Roman" w:eastAsia="Times New Roman" w:hAnsi="Times New Roman" w:cs="Times New Roman"/>
                <w:color w:val="000000"/>
              </w:rPr>
              <w:t>740</w:t>
            </w:r>
          </w:p>
        </w:tc>
      </w:tr>
      <w:tr w14:paraId="4DBB2190" w14:textId="77777777" w:rsidTr="00403420">
        <w:tblPrEx>
          <w:tblW w:w="9350" w:type="dxa"/>
          <w:tblLook w:val="04A0"/>
        </w:tblPrEx>
        <w:trPr>
          <w:trHeight w:val="290"/>
        </w:trPr>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316A9" w:rsidRPr="00B316A9" w:rsidP="00B316A9" w14:paraId="5F8A7222"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Rule Familiarization</w:t>
            </w: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D4965B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Many***</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3CFA50C"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 </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FFBA476"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$553 - $79,973****</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3E11A4E"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r w:rsidR="00F70208">
              <w:rPr>
                <w:rFonts w:ascii="Times New Roman" w:eastAsia="Times New Roman" w:hAnsi="Times New Roman" w:cs="Times New Roman"/>
                <w:color w:val="000000"/>
              </w:rPr>
              <w:t>,</w:t>
            </w:r>
            <w:r w:rsidRPr="00B316A9">
              <w:rPr>
                <w:rFonts w:ascii="Times New Roman" w:eastAsia="Times New Roman" w:hAnsi="Times New Roman" w:cs="Times New Roman"/>
                <w:color w:val="000000"/>
              </w:rPr>
              <w:t>740</w:t>
            </w:r>
          </w:p>
        </w:tc>
      </w:tr>
      <w:tr w14:paraId="78CDC5B6" w14:textId="77777777" w:rsidTr="00403420">
        <w:tblPrEx>
          <w:tblW w:w="9350" w:type="dxa"/>
          <w:tblLook w:val="04A0"/>
        </w:tblPrEx>
        <w:trPr>
          <w:trHeight w:val="290"/>
        </w:trPr>
        <w:tc>
          <w:tcPr>
            <w:tcW w:w="1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16A9" w:rsidRPr="00B316A9" w:rsidP="00B316A9" w14:paraId="1F037B7D"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STAA</w:t>
            </w: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3A52CA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211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2AEA5A9"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Oil and Gas Extraction</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1161791"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$2,267,877</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792E0FB"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w:t>
            </w:r>
          </w:p>
        </w:tc>
      </w:tr>
      <w:tr w14:paraId="2BA75B86"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0926D0BB"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12241EB"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213</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A479FC1"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Support Activities for Mining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8C8583F"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$626,406</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8EE5E60"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64AB4D70"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4E6EE491"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F43740F"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236</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9C80DB6"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Construction of Buildings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AC2C3AC"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$626,406</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CD9A568"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w:t>
            </w:r>
          </w:p>
        </w:tc>
      </w:tr>
      <w:tr w14:paraId="10EE602E"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1AC6A68B"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1EFE8B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238</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BBF22CB"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Specialty Trade Contractors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EA6CB0A"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$626,406</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FC8443C"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7</w:t>
            </w:r>
          </w:p>
        </w:tc>
      </w:tr>
      <w:tr w14:paraId="393EC1BB"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23EC88E6"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44C9E4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314</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A60982E"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Textile Product Mills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6BAF1C0"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$639,690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CD9592B"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4B021B54"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379AE732"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CA42ED9"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1A611D3"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Wood Product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B06A111"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$319,845</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85E0C13"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w:t>
            </w:r>
          </w:p>
        </w:tc>
      </w:tr>
      <w:tr w14:paraId="49BB35A8"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2ADF4B0C"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34EC38E"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324</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FB10145"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Petroleum and Coal Products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48A7003"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$3,549,005</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DF7E28E"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9</w:t>
            </w:r>
          </w:p>
        </w:tc>
      </w:tr>
      <w:tr w14:paraId="35C799FF"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2E06403B"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0DAD4E0"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325</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6256D1E"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Chemical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4D7E647"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$835,948</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9A9E51E"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105</w:t>
            </w:r>
          </w:p>
        </w:tc>
      </w:tr>
      <w:tr w14:paraId="0C00ED39"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456BAD45"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EE2FD8B"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326</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525904A"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Plastics and Rubber Products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D1D5C12"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$630,834</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A61FBAD"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w:t>
            </w:r>
          </w:p>
        </w:tc>
      </w:tr>
      <w:tr w14:paraId="2FD1350E"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1A99613A"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933A66C"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332</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D842121"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Fabricated Metal Product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0F7A2B0"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$652,975</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7292083"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w:t>
            </w:r>
          </w:p>
        </w:tc>
      </w:tr>
      <w:tr w14:paraId="1366CAD1"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07ED3068"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166C2D9"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335</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E4DDA18"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Electrical Equipment, Appliance, and Component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BB4ADB4"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$13,284</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D7883D7"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w:t>
            </w:r>
          </w:p>
        </w:tc>
      </w:tr>
      <w:tr w14:paraId="30E1B09A"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697F6334"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70DB35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423</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3A59DDE"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Merchant Wholesalers, Durable Goods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3A62D42"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$2,282,843</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9230E1F"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w:t>
            </w:r>
          </w:p>
        </w:tc>
      </w:tr>
      <w:tr w14:paraId="5C41308B"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5D40C8A7"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95E9E2A"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424</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DE66F86"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Merchant Wholesalers, Nondurable Goods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C513F58"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$658,262</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3F800BE"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46</w:t>
            </w:r>
          </w:p>
        </w:tc>
      </w:tr>
      <w:tr w14:paraId="373BC8F5"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4BF03530"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9355378"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441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DD0050C"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Motor Vehicle and Parts Dealers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05E911F"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$626,406</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6F24487"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14600679"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0B9937A6"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FF88A37"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446</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CDB0837"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Health and Personal Care Stores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9D71494"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$626,406</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B3D292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40A17D7E"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42E512DE"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911B05A"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486</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6A76780"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Pipeline Transportation</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F3A8E8A"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$7,471,600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47B135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31178EC1"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0E582DE8"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7E5DCAB"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523</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84F7F95"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Securities, Commodity Contracts, and Other Financial Investments and Related Activities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CDE73D0"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$631,388</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D0DAFA2"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8</w:t>
            </w:r>
          </w:p>
        </w:tc>
      </w:tr>
      <w:tr w14:paraId="19225863"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6FCC3EBA"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98F63C1"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524</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CF29218"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Insurance Carriers and Related Activities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0DB7849"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$2,565,404</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EA272FE"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w:t>
            </w:r>
          </w:p>
        </w:tc>
      </w:tr>
      <w:tr w14:paraId="3B3497E2"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55A586D6"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A329469"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541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17463BA"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Professional, Scientific, and Technical Services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9229968"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$1,288,981</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F64058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10</w:t>
            </w:r>
          </w:p>
        </w:tc>
      </w:tr>
      <w:tr w14:paraId="0D32E0BF"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6BB3878D"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1640CE1"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561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64EF9DD"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Administrative and Support Services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ED4833B"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$626,406</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9BB3026"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0781940F" w14:textId="77777777" w:rsidTr="00403420">
        <w:tblPrEx>
          <w:tblW w:w="9350" w:type="dxa"/>
          <w:tblLook w:val="04A0"/>
        </w:tblPrEx>
        <w:trPr>
          <w:trHeight w:val="290"/>
        </w:trPr>
        <w:tc>
          <w:tcPr>
            <w:tcW w:w="1670" w:type="dxa"/>
            <w:vMerge w:val="restart"/>
            <w:tcBorders>
              <w:top w:val="nil"/>
              <w:left w:val="single" w:sz="4" w:space="0" w:color="auto"/>
              <w:bottom w:val="single" w:sz="4" w:space="0" w:color="auto"/>
              <w:right w:val="single" w:sz="4" w:space="0" w:color="auto"/>
            </w:tcBorders>
            <w:shd w:val="clear" w:color="auto" w:fill="auto"/>
            <w:vAlign w:val="center"/>
            <w:hideMark/>
          </w:tcPr>
          <w:p w:rsidR="00B316A9" w:rsidRPr="00B316A9" w:rsidP="00B316A9" w14:paraId="73E4C90A"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Backup Power for Perimeter Monitors</w:t>
            </w: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B0173AE"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211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1BF952D"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Oil and Gas Extraction</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DCADDAD"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AA71947"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w:t>
            </w:r>
          </w:p>
        </w:tc>
      </w:tr>
      <w:tr w14:paraId="17523D01"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1119C012"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3EA23FE"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213</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8739C9D"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Support Activities for Mining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64C2EF8"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3B2A43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25B84B50"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48FB083C"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177BA77"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221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9394ACF"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Utilities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5F7D066"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F02B3CA"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w:t>
            </w:r>
          </w:p>
        </w:tc>
      </w:tr>
      <w:tr w14:paraId="4F662615"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2A2E0A84"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356243F"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238</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AB96ADD"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Specialty Trade Contractors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645824B"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3A4413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437B2A41"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1CCFC454"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9AB960B"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311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6A8016E"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Food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64BC635"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3FFB2CD"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10</w:t>
            </w:r>
          </w:p>
        </w:tc>
      </w:tr>
      <w:tr w14:paraId="1AE406D6"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6710D9E6"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C84480A"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9CC684C"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Wood Product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1C9FC15"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CD88E9D"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2F500505"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38E70580"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1CADD77"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322</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E9EC92A"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Paper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C982D2C"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509AD7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w:t>
            </w:r>
          </w:p>
        </w:tc>
      </w:tr>
      <w:tr w14:paraId="5DD423DB"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2BDD6E67"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8E13A3C"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325</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3840151"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Chemical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A333B06"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$3,960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A6C0A4E"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10</w:t>
            </w:r>
          </w:p>
        </w:tc>
      </w:tr>
      <w:tr w14:paraId="2AD1977F"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2E707A60"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C138B58"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326</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4D579FA"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Plastics and Rubber Products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CB5187B"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$4,950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A78E40D"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w:t>
            </w:r>
          </w:p>
        </w:tc>
      </w:tr>
      <w:tr w14:paraId="2AC7A35D"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45ADB5A2"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41DE12B"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327</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953F5E0"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Nonmetallic Mineral Product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50C889D"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CE1BAC9"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w:t>
            </w:r>
          </w:p>
        </w:tc>
      </w:tr>
      <w:tr w14:paraId="38E43738"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47D2E174"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020019A"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332</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6EA17FB"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Fabricated Metal Product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DA6EA60"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77A463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6CF157BA"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262742A0"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B33C173"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333</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B914401"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Machinery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EEA8B11"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6E5E78F"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w:t>
            </w:r>
          </w:p>
        </w:tc>
      </w:tr>
      <w:tr w14:paraId="6F9EFDFF"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01BF614D"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6047BA6"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334</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5085D63"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Computer and Electronic Product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CF34D6B"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CEDF36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w:t>
            </w:r>
          </w:p>
        </w:tc>
      </w:tr>
      <w:tr w14:paraId="50F03FEE"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41830218"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9F4204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339</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586D0D6"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Miscellaneous Manufacturing</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0064616"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BBB712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1918497C"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2BD15CBD"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9DF78E2"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424</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D2D2EC0"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Merchant Wholesalers, Nondurable Goods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9673B84"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$7,920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8630088"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w:t>
            </w:r>
          </w:p>
        </w:tc>
      </w:tr>
      <w:tr w14:paraId="24787E9E"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53C7D8FC"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4DC2B91"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443</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D80225A"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Electronics and Appliance Stores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7B2DE3E"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404BAA0"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77B4E9F1"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3D9E3BDB"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A6B0CD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445</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7D84422"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Food and Beverage Stores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EBAB6D3"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C049AD7"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2</w:t>
            </w:r>
          </w:p>
        </w:tc>
      </w:tr>
      <w:tr w14:paraId="093BBCDB"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727FB976"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8FAC7E6"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484</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7D388EA"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Truck Transportation</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93841FD"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E485D9B"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2B28FE63"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53C8E437"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CE7F6D5"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486</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9F535F3"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Pipeline Transportation</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F238CAF"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$6,050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1D8F481"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6</w:t>
            </w:r>
          </w:p>
        </w:tc>
      </w:tr>
      <w:tr w14:paraId="5293FBC2"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5EB3E9D0"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71DC633"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488</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C49731D"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Support Activities for Transportation</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8D1D82E"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55F42D7"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3934B184"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122E3086"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1083F80"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493</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478DB88"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Warehousing and Storage</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B8AB591"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3644842"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17B86950"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358AEEDE"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DFA934A"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517</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0F15328"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Telecommunications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50FCDC5"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A55C6CD"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34C620B7"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18ACD671"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9AB5F41"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523</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E720EE9"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Securities, Commodity Contracts, and Other Financial Investments and Related Activities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8B2F9BA"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52342CB"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p>
        </w:tc>
      </w:tr>
      <w:tr w14:paraId="6261DE42"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2FE1E473"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0805CCB3"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531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18A95FD"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Real Estate</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CA8F623"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8F74D6C"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w:t>
            </w:r>
          </w:p>
        </w:tc>
      </w:tr>
      <w:tr w14:paraId="2CC1B60E" w14:textId="77777777" w:rsidTr="00403420">
        <w:tblPrEx>
          <w:tblW w:w="9350" w:type="dxa"/>
          <w:tblLook w:val="04A0"/>
        </w:tblPrEx>
        <w:trPr>
          <w:trHeight w:val="290"/>
        </w:trPr>
        <w:tc>
          <w:tcPr>
            <w:tcW w:w="1670" w:type="dxa"/>
            <w:vMerge/>
            <w:tcBorders>
              <w:top w:val="nil"/>
              <w:left w:val="single" w:sz="4" w:space="0" w:color="auto"/>
              <w:bottom w:val="single" w:sz="4" w:space="0" w:color="auto"/>
              <w:right w:val="single" w:sz="4" w:space="0" w:color="auto"/>
            </w:tcBorders>
            <w:vAlign w:val="center"/>
            <w:hideMark/>
          </w:tcPr>
          <w:p w:rsidR="00B316A9" w:rsidRPr="00B316A9" w:rsidP="00B316A9" w14:paraId="5F986264" w14:textId="77777777">
            <w:pPr>
              <w:spacing w:after="0" w:line="240" w:lineRule="auto"/>
              <w:rPr>
                <w:rFonts w:ascii="Times New Roman" w:eastAsia="Times New Roman" w:hAnsi="Times New Roman" w:cs="Times New Roman"/>
                <w:b/>
                <w:bCs/>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4037D0D"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541</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44E15D0D"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Professional, Scientific, and Technical Services</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4BB82FC"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$3,300</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89CA70E"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3</w:t>
            </w:r>
          </w:p>
        </w:tc>
      </w:tr>
      <w:tr w14:paraId="5BACF908" w14:textId="77777777" w:rsidTr="00403420">
        <w:tblPrEx>
          <w:tblW w:w="9350" w:type="dxa"/>
          <w:tblLook w:val="04A0"/>
        </w:tblPrEx>
        <w:trPr>
          <w:trHeight w:val="300"/>
        </w:trPr>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316A9" w:rsidRPr="00B316A9" w:rsidP="00B316A9" w14:paraId="1E71F534"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Justification</w:t>
            </w: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4D8959F"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Many</w:t>
            </w:r>
            <w:r w:rsidRPr="00B316A9" w:rsidR="00403420">
              <w:rPr>
                <w:rFonts w:ascii="Times New Roman" w:eastAsia="Times New Roman" w:hAnsi="Times New Roman" w:cs="Times New Roman"/>
                <w:color w:val="000000"/>
              </w:rPr>
              <w:t>*</w:t>
            </w:r>
            <w:r w:rsidR="00692FC7">
              <w:rPr>
                <w:rFonts w:ascii="Times New Roman" w:eastAsia="Times New Roman" w:hAnsi="Times New Roman" w:cs="Times New Roman"/>
                <w:color w:val="000000"/>
              </w:rPr>
              <w:t>*</w:t>
            </w:r>
            <w:r w:rsidR="0078029F">
              <w:rPr>
                <w:rFonts w:ascii="Times New Roman" w:eastAsia="Times New Roman" w:hAnsi="Times New Roman" w:cs="Times New Roman"/>
                <w:color w:val="000000"/>
              </w:rPr>
              <w:t>**</w:t>
            </w:r>
            <w:r w:rsidR="007D47D6">
              <w:rPr>
                <w:rFonts w:ascii="Times New Roman" w:eastAsia="Times New Roman" w:hAnsi="Times New Roman" w:cs="Times New Roman"/>
                <w:color w:val="000000"/>
              </w:rPr>
              <w:t>*</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3F0C469"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 </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6ABCD34"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$46 - $366</w:t>
            </w:r>
            <w:r w:rsidRPr="00403420" w:rsidR="00403420">
              <w:rPr>
                <w:rFonts w:ascii="Times New Roman" w:hAnsi="Times New Roman" w:cs="Times New Roman"/>
              </w:rPr>
              <w:t>***</w:t>
            </w:r>
            <w:r w:rsidR="000C6F76">
              <w:rPr>
                <w:rFonts w:ascii="Times New Roman" w:hAnsi="Times New Roman" w:cs="Times New Roman"/>
              </w:rPr>
              <w:t>*</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17EC34A9" w14:textId="7777777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544EAF">
              <w:rPr>
                <w:rFonts w:ascii="Times New Roman" w:eastAsia="Times New Roman" w:hAnsi="Times New Roman" w:cs="Times New Roman"/>
                <w:color w:val="000000"/>
              </w:rPr>
              <w:t>,</w:t>
            </w:r>
            <w:r>
              <w:rPr>
                <w:rFonts w:ascii="Times New Roman" w:eastAsia="Times New Roman" w:hAnsi="Times New Roman" w:cs="Times New Roman"/>
                <w:color w:val="000000"/>
              </w:rPr>
              <w:t>045</w:t>
            </w:r>
          </w:p>
        </w:tc>
      </w:tr>
      <w:tr w14:paraId="24FE6F1C" w14:textId="77777777" w:rsidTr="00403420">
        <w:tblPrEx>
          <w:tblW w:w="9350" w:type="dxa"/>
          <w:tblLook w:val="04A0"/>
        </w:tblPrEx>
        <w:trPr>
          <w:trHeight w:val="300"/>
        </w:trPr>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316A9" w:rsidRPr="00B316A9" w:rsidP="00B316A9" w14:paraId="15DA863E"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Translation</w:t>
            </w: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7B5CC64C"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Many</w:t>
            </w:r>
            <w:r w:rsidRPr="00B316A9" w:rsidR="00403420">
              <w:rPr>
                <w:rFonts w:ascii="Times New Roman" w:eastAsia="Times New Roman" w:hAnsi="Times New Roman" w:cs="Times New Roman"/>
                <w:color w:val="000000"/>
              </w:rPr>
              <w:t>**</w:t>
            </w:r>
            <w:r w:rsidR="000C6F76">
              <w:rPr>
                <w:rFonts w:ascii="Times New Roman" w:eastAsia="Times New Roman" w:hAnsi="Times New Roman" w:cs="Times New Roman"/>
                <w:color w:val="000000"/>
              </w:rPr>
              <w:t>*</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1304048"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 </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31EC893"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$1,400 - $15,000</w:t>
            </w:r>
            <w:r w:rsidRPr="00403420" w:rsidR="00403420">
              <w:rPr>
                <w:rFonts w:ascii="Times New Roman" w:hAnsi="Times New Roman" w:cs="Times New Roman"/>
              </w:rPr>
              <w:t>***</w:t>
            </w:r>
            <w:r w:rsidR="000C6F76">
              <w:rPr>
                <w:rFonts w:ascii="Times New Roman" w:hAnsi="Times New Roman" w:cs="Times New Roman"/>
              </w:rPr>
              <w:t>*</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F016EA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1</w:t>
            </w:r>
            <w:r w:rsidR="00544EAF">
              <w:rPr>
                <w:rFonts w:ascii="Times New Roman" w:eastAsia="Times New Roman" w:hAnsi="Times New Roman" w:cs="Times New Roman"/>
                <w:color w:val="000000"/>
              </w:rPr>
              <w:t>,</w:t>
            </w:r>
            <w:r w:rsidRPr="00B316A9">
              <w:rPr>
                <w:rFonts w:ascii="Times New Roman" w:eastAsia="Times New Roman" w:hAnsi="Times New Roman" w:cs="Times New Roman"/>
                <w:color w:val="000000"/>
              </w:rPr>
              <w:t>740</w:t>
            </w:r>
          </w:p>
        </w:tc>
      </w:tr>
      <w:tr w14:paraId="2D1408B3" w14:textId="77777777" w:rsidTr="00403420">
        <w:tblPrEx>
          <w:tblW w:w="9350" w:type="dxa"/>
          <w:tblLook w:val="04A0"/>
        </w:tblPrEx>
        <w:trPr>
          <w:trHeight w:val="300"/>
        </w:trPr>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316A9" w:rsidRPr="00B316A9" w:rsidP="00B316A9" w14:paraId="4FF93D71" w14:textId="77777777">
            <w:pPr>
              <w:spacing w:after="0" w:line="240" w:lineRule="auto"/>
              <w:jc w:val="center"/>
              <w:rPr>
                <w:rFonts w:ascii="Times New Roman" w:eastAsia="Times New Roman" w:hAnsi="Times New Roman" w:cs="Times New Roman"/>
                <w:b/>
                <w:bCs/>
                <w:color w:val="000000"/>
              </w:rPr>
            </w:pPr>
            <w:r w:rsidRPr="00B316A9">
              <w:rPr>
                <w:rFonts w:ascii="Times New Roman" w:eastAsia="Times New Roman" w:hAnsi="Times New Roman" w:cs="Times New Roman"/>
                <w:b/>
                <w:bCs/>
                <w:color w:val="000000"/>
              </w:rPr>
              <w:t>E</w:t>
            </w:r>
            <w:r>
              <w:rPr>
                <w:rFonts w:ascii="Times New Roman" w:eastAsia="Times New Roman" w:hAnsi="Times New Roman" w:cs="Times New Roman"/>
                <w:b/>
                <w:bCs/>
                <w:color w:val="000000"/>
              </w:rPr>
              <w:t>mployee Participation Plan</w:t>
            </w:r>
            <w:r w:rsidRPr="00B316A9">
              <w:rPr>
                <w:rFonts w:ascii="Times New Roman" w:eastAsia="Times New Roman" w:hAnsi="Times New Roman" w:cs="Times New Roman"/>
                <w:b/>
                <w:bCs/>
                <w:color w:val="000000"/>
              </w:rPr>
              <w:t xml:space="preserve"> Training</w:t>
            </w:r>
          </w:p>
        </w:tc>
        <w:tc>
          <w:tcPr>
            <w:tcW w:w="1109"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27B701B4" w14:textId="77777777">
            <w:pPr>
              <w:spacing w:after="0" w:line="240" w:lineRule="auto"/>
              <w:jc w:val="center"/>
              <w:rPr>
                <w:rFonts w:ascii="Times New Roman" w:eastAsia="Times New Roman" w:hAnsi="Times New Roman" w:cs="Times New Roman"/>
                <w:color w:val="000000"/>
              </w:rPr>
            </w:pPr>
            <w:r w:rsidRPr="00B316A9">
              <w:rPr>
                <w:rFonts w:ascii="Times New Roman" w:eastAsia="Times New Roman" w:hAnsi="Times New Roman" w:cs="Times New Roman"/>
                <w:color w:val="000000"/>
              </w:rPr>
              <w:t>Many</w:t>
            </w:r>
            <w:r w:rsidRPr="00B316A9" w:rsidR="00403420">
              <w:rPr>
                <w:rFonts w:ascii="Times New Roman" w:eastAsia="Times New Roman" w:hAnsi="Times New Roman" w:cs="Times New Roman"/>
                <w:color w:val="000000"/>
              </w:rPr>
              <w:t>**</w:t>
            </w:r>
          </w:p>
        </w:tc>
        <w:tc>
          <w:tcPr>
            <w:tcW w:w="2436"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32C90E37" w14:textId="77777777">
            <w:pPr>
              <w:spacing w:after="0" w:line="240" w:lineRule="auto"/>
              <w:rPr>
                <w:rFonts w:ascii="Times New Roman" w:eastAsia="Times New Roman" w:hAnsi="Times New Roman" w:cs="Times New Roman"/>
                <w:color w:val="000000"/>
              </w:rPr>
            </w:pPr>
            <w:r w:rsidRPr="00B316A9">
              <w:rPr>
                <w:rFonts w:ascii="Times New Roman" w:eastAsia="Times New Roman" w:hAnsi="Times New Roman" w:cs="Times New Roman"/>
                <w:color w:val="000000"/>
              </w:rPr>
              <w:t> </w:t>
            </w:r>
          </w:p>
        </w:tc>
        <w:tc>
          <w:tcPr>
            <w:tcW w:w="2881"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663313D1" w14:textId="77777777">
            <w:pPr>
              <w:spacing w:after="0" w:line="240" w:lineRule="auto"/>
              <w:jc w:val="center"/>
              <w:rPr>
                <w:rFonts w:ascii="Times New Roman" w:eastAsia="Times New Roman" w:hAnsi="Times New Roman" w:cs="Times New Roman"/>
                <w:color w:val="000000"/>
              </w:rPr>
            </w:pPr>
            <w:r w:rsidRPr="00403420">
              <w:rPr>
                <w:rFonts w:ascii="Times New Roman" w:hAnsi="Times New Roman" w:cs="Times New Roman"/>
              </w:rPr>
              <w:t>$171 - $</w:t>
            </w:r>
            <w:r w:rsidR="002D2F41">
              <w:rPr>
                <w:rFonts w:ascii="Times New Roman" w:hAnsi="Times New Roman" w:cs="Times New Roman"/>
              </w:rPr>
              <w:t>76</w:t>
            </w:r>
            <w:r w:rsidR="00CA77D9">
              <w:rPr>
                <w:rFonts w:ascii="Times New Roman" w:hAnsi="Times New Roman" w:cs="Times New Roman"/>
              </w:rPr>
              <w:t>,539</w:t>
            </w:r>
            <w:r w:rsidRPr="00403420" w:rsidR="00403420">
              <w:rPr>
                <w:rFonts w:ascii="Times New Roman" w:hAnsi="Times New Roman" w:cs="Times New Roman"/>
              </w:rPr>
              <w:t>***</w:t>
            </w:r>
            <w:r w:rsidR="000C6F76">
              <w:rPr>
                <w:rFonts w:ascii="Times New Roman" w:hAnsi="Times New Roman" w:cs="Times New Roman"/>
              </w:rPr>
              <w:t>*</w:t>
            </w:r>
          </w:p>
        </w:tc>
        <w:tc>
          <w:tcPr>
            <w:tcW w:w="1254" w:type="dxa"/>
            <w:tcBorders>
              <w:top w:val="nil"/>
              <w:left w:val="nil"/>
              <w:bottom w:val="single" w:sz="4" w:space="0" w:color="auto"/>
              <w:right w:val="single" w:sz="4" w:space="0" w:color="auto"/>
            </w:tcBorders>
            <w:shd w:val="clear" w:color="auto" w:fill="auto"/>
            <w:noWrap/>
            <w:vAlign w:val="center"/>
            <w:hideMark/>
          </w:tcPr>
          <w:p w:rsidR="00B316A9" w:rsidRPr="00B316A9" w:rsidP="00B316A9" w14:paraId="508C2FD6" w14:textId="7777777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544EAF">
              <w:rPr>
                <w:rFonts w:ascii="Times New Roman" w:eastAsia="Times New Roman" w:hAnsi="Times New Roman" w:cs="Times New Roman"/>
                <w:color w:val="000000"/>
              </w:rPr>
              <w:t>,</w:t>
            </w:r>
            <w:r>
              <w:rPr>
                <w:rFonts w:ascii="Times New Roman" w:eastAsia="Times New Roman" w:hAnsi="Times New Roman" w:cs="Times New Roman"/>
                <w:color w:val="000000"/>
              </w:rPr>
              <w:t>628</w:t>
            </w:r>
          </w:p>
        </w:tc>
      </w:tr>
    </w:tbl>
    <w:bookmarkEnd w:id="495"/>
    <w:p w:rsidR="00A45F80" w:rsidRPr="00604206" w:rsidP="00A45F80" w14:paraId="749E7A57" w14:textId="7777777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766006">
        <w:rPr>
          <w:rFonts w:ascii="Times New Roman" w:hAnsi="Times New Roman" w:cs="Times New Roman"/>
          <w:sz w:val="18"/>
          <w:szCs w:val="18"/>
        </w:rPr>
        <w:t xml:space="preserve">3-digit </w:t>
      </w:r>
      <w:r>
        <w:rPr>
          <w:rFonts w:ascii="Times New Roman" w:hAnsi="Times New Roman" w:cs="Times New Roman"/>
          <w:sz w:val="18"/>
          <w:szCs w:val="18"/>
        </w:rPr>
        <w:t>NAICS codes are</w:t>
      </w:r>
      <w:r w:rsidR="00766006">
        <w:rPr>
          <w:rFonts w:ascii="Times New Roman" w:hAnsi="Times New Roman" w:cs="Times New Roman"/>
          <w:sz w:val="18"/>
          <w:szCs w:val="18"/>
        </w:rPr>
        <w:t xml:space="preserve"> based on the entity owning RMP facilities, which may be different from the RMP facility 3-digit NAICS</w:t>
      </w:r>
      <w:r w:rsidR="007565A0">
        <w:rPr>
          <w:rFonts w:ascii="Times New Roman" w:hAnsi="Times New Roman" w:cs="Times New Roman"/>
          <w:sz w:val="18"/>
          <w:szCs w:val="18"/>
        </w:rPr>
        <w:t>.</w:t>
      </w:r>
    </w:p>
    <w:p w:rsidR="009A6892" w:rsidRPr="001913D9" w:rsidP="009A6892" w14:paraId="7EC84819" w14:textId="77777777">
      <w:pPr>
        <w:spacing w:after="0" w:line="240" w:lineRule="auto"/>
        <w:rPr>
          <w:rFonts w:ascii="Times New Roman" w:hAnsi="Times New Roman" w:cs="Times New Roman"/>
          <w:sz w:val="18"/>
          <w:szCs w:val="18"/>
        </w:rPr>
      </w:pPr>
      <w:r w:rsidRPr="001913D9">
        <w:rPr>
          <w:rFonts w:ascii="Times New Roman" w:hAnsi="Times New Roman" w:cs="Times New Roman"/>
          <w:sz w:val="18"/>
          <w:szCs w:val="18"/>
        </w:rPr>
        <w:t>*</w:t>
      </w:r>
      <w:r w:rsidR="00A45F80">
        <w:rPr>
          <w:rFonts w:ascii="Times New Roman" w:hAnsi="Times New Roman" w:cs="Times New Roman"/>
          <w:sz w:val="18"/>
          <w:szCs w:val="18"/>
        </w:rPr>
        <w:t>*</w:t>
      </w:r>
      <w:r w:rsidRPr="001913D9">
        <w:rPr>
          <w:rFonts w:ascii="Times New Roman" w:hAnsi="Times New Roman" w:cs="Times New Roman"/>
          <w:sz w:val="18"/>
          <w:szCs w:val="18"/>
        </w:rPr>
        <w:t xml:space="preserve"> The provision impacts all small entities owning P2 and P3 facilities, encompassing </w:t>
      </w:r>
      <w:r w:rsidRPr="001913D9" w:rsidR="005B0B22">
        <w:rPr>
          <w:rFonts w:ascii="Times New Roman" w:hAnsi="Times New Roman" w:cs="Times New Roman"/>
          <w:sz w:val="18"/>
          <w:szCs w:val="18"/>
        </w:rPr>
        <w:t>7</w:t>
      </w:r>
      <w:r w:rsidR="005B0B22">
        <w:rPr>
          <w:rFonts w:ascii="Times New Roman" w:hAnsi="Times New Roman" w:cs="Times New Roman"/>
          <w:sz w:val="18"/>
          <w:szCs w:val="18"/>
        </w:rPr>
        <w:t>2</w:t>
      </w:r>
      <w:r w:rsidRPr="001913D9" w:rsidR="005B0B22">
        <w:rPr>
          <w:rFonts w:ascii="Times New Roman" w:hAnsi="Times New Roman" w:cs="Times New Roman"/>
          <w:sz w:val="18"/>
          <w:szCs w:val="18"/>
        </w:rPr>
        <w:t xml:space="preserve"> </w:t>
      </w:r>
      <w:r w:rsidRPr="001913D9">
        <w:rPr>
          <w:rFonts w:ascii="Times New Roman" w:hAnsi="Times New Roman" w:cs="Times New Roman"/>
          <w:sz w:val="18"/>
          <w:szCs w:val="18"/>
        </w:rPr>
        <w:t xml:space="preserve">NAICS </w:t>
      </w:r>
      <w:r w:rsidR="008C12D8">
        <w:rPr>
          <w:rFonts w:ascii="Times New Roman" w:hAnsi="Times New Roman" w:cs="Times New Roman"/>
          <w:sz w:val="18"/>
          <w:szCs w:val="18"/>
        </w:rPr>
        <w:t>s</w:t>
      </w:r>
      <w:r w:rsidRPr="001913D9">
        <w:rPr>
          <w:rFonts w:ascii="Times New Roman" w:hAnsi="Times New Roman" w:cs="Times New Roman"/>
          <w:sz w:val="18"/>
          <w:szCs w:val="18"/>
        </w:rPr>
        <w:t>ectors.</w:t>
      </w:r>
    </w:p>
    <w:p w:rsidR="009A6892" w:rsidRPr="001913D9" w:rsidP="009A6892" w14:paraId="6482E7E2" w14:textId="77777777">
      <w:pPr>
        <w:spacing w:after="0" w:line="240" w:lineRule="auto"/>
        <w:rPr>
          <w:rFonts w:ascii="Times New Roman" w:hAnsi="Times New Roman" w:cs="Times New Roman"/>
          <w:sz w:val="18"/>
          <w:szCs w:val="18"/>
        </w:rPr>
      </w:pPr>
      <w:r w:rsidRPr="001913D9">
        <w:rPr>
          <w:rFonts w:ascii="Times New Roman" w:hAnsi="Times New Roman" w:cs="Times New Roman"/>
          <w:sz w:val="18"/>
          <w:szCs w:val="18"/>
        </w:rPr>
        <w:t>**</w:t>
      </w:r>
      <w:r w:rsidR="00A45F80">
        <w:rPr>
          <w:rFonts w:ascii="Times New Roman" w:hAnsi="Times New Roman" w:cs="Times New Roman"/>
          <w:sz w:val="18"/>
          <w:szCs w:val="18"/>
        </w:rPr>
        <w:t>*</w:t>
      </w:r>
      <w:r w:rsidRPr="001913D9">
        <w:rPr>
          <w:rFonts w:ascii="Times New Roman" w:hAnsi="Times New Roman" w:cs="Times New Roman"/>
          <w:sz w:val="18"/>
          <w:szCs w:val="18"/>
        </w:rPr>
        <w:t xml:space="preserve"> The provision impacts all small entities, encompassing </w:t>
      </w:r>
      <w:r w:rsidRPr="001913D9" w:rsidR="005B0B22">
        <w:rPr>
          <w:rFonts w:ascii="Times New Roman" w:hAnsi="Times New Roman" w:cs="Times New Roman"/>
          <w:sz w:val="18"/>
          <w:szCs w:val="18"/>
        </w:rPr>
        <w:t>7</w:t>
      </w:r>
      <w:r w:rsidR="00795A50">
        <w:rPr>
          <w:rFonts w:ascii="Times New Roman" w:hAnsi="Times New Roman" w:cs="Times New Roman"/>
          <w:sz w:val="18"/>
          <w:szCs w:val="18"/>
        </w:rPr>
        <w:t>3</w:t>
      </w:r>
      <w:r w:rsidRPr="001913D9" w:rsidR="005B0B22">
        <w:rPr>
          <w:rFonts w:ascii="Times New Roman" w:hAnsi="Times New Roman" w:cs="Times New Roman"/>
          <w:sz w:val="18"/>
          <w:szCs w:val="18"/>
        </w:rPr>
        <w:t xml:space="preserve"> </w:t>
      </w:r>
      <w:r w:rsidRPr="001913D9">
        <w:rPr>
          <w:rFonts w:ascii="Times New Roman" w:hAnsi="Times New Roman" w:cs="Times New Roman"/>
          <w:sz w:val="18"/>
          <w:szCs w:val="18"/>
        </w:rPr>
        <w:t xml:space="preserve">NAICS </w:t>
      </w:r>
      <w:r w:rsidR="00D81309">
        <w:rPr>
          <w:rFonts w:ascii="Times New Roman" w:hAnsi="Times New Roman" w:cs="Times New Roman"/>
          <w:sz w:val="18"/>
          <w:szCs w:val="18"/>
        </w:rPr>
        <w:t>s</w:t>
      </w:r>
      <w:r w:rsidRPr="001913D9">
        <w:rPr>
          <w:rFonts w:ascii="Times New Roman" w:hAnsi="Times New Roman" w:cs="Times New Roman"/>
          <w:sz w:val="18"/>
          <w:szCs w:val="18"/>
        </w:rPr>
        <w:t>ectors.</w:t>
      </w:r>
    </w:p>
    <w:p w:rsidR="002B079F" w:rsidP="00B20325" w14:paraId="0D06AC3C" w14:textId="77777777">
      <w:pPr>
        <w:spacing w:after="0"/>
        <w:rPr>
          <w:rFonts w:ascii="Times New Roman" w:hAnsi="Times New Roman" w:cs="Times New Roman"/>
          <w:sz w:val="18"/>
          <w:szCs w:val="18"/>
        </w:rPr>
      </w:pPr>
      <w:r w:rsidRPr="001913D9">
        <w:rPr>
          <w:rFonts w:ascii="Times New Roman" w:hAnsi="Times New Roman" w:cs="Times New Roman"/>
          <w:sz w:val="18"/>
          <w:szCs w:val="18"/>
        </w:rPr>
        <w:t>***</w:t>
      </w:r>
      <w:r w:rsidR="00A45F80">
        <w:rPr>
          <w:rFonts w:ascii="Times New Roman" w:hAnsi="Times New Roman" w:cs="Times New Roman"/>
          <w:sz w:val="18"/>
          <w:szCs w:val="18"/>
        </w:rPr>
        <w:t>*</w:t>
      </w:r>
      <w:r w:rsidRPr="001913D9">
        <w:rPr>
          <w:rFonts w:ascii="Times New Roman" w:hAnsi="Times New Roman" w:cs="Times New Roman"/>
          <w:sz w:val="18"/>
          <w:szCs w:val="18"/>
        </w:rPr>
        <w:t xml:space="preserve"> Range is an average small entity provision cost across NAICS</w:t>
      </w:r>
      <w:r w:rsidR="007565A0">
        <w:rPr>
          <w:rFonts w:ascii="Times New Roman" w:hAnsi="Times New Roman" w:cs="Times New Roman"/>
          <w:sz w:val="18"/>
          <w:szCs w:val="18"/>
        </w:rPr>
        <w:t xml:space="preserve"> codes</w:t>
      </w:r>
      <w:r w:rsidRPr="001913D9">
        <w:rPr>
          <w:rFonts w:ascii="Times New Roman" w:hAnsi="Times New Roman" w:cs="Times New Roman"/>
          <w:sz w:val="18"/>
          <w:szCs w:val="18"/>
        </w:rPr>
        <w:t>.</w:t>
      </w:r>
    </w:p>
    <w:p w:rsidR="00A96D4B" w:rsidP="00B20325" w14:paraId="540A392F" w14:textId="77777777">
      <w:pPr>
        <w:spacing w:after="0"/>
        <w:rPr>
          <w:rFonts w:ascii="Times New Roman" w:hAnsi="Times New Roman" w:cs="Times New Roman"/>
          <w:sz w:val="18"/>
          <w:szCs w:val="18"/>
        </w:rPr>
      </w:pPr>
      <w:r>
        <w:rPr>
          <w:rFonts w:ascii="Times New Roman" w:hAnsi="Times New Roman" w:cs="Times New Roman"/>
          <w:sz w:val="18"/>
          <w:szCs w:val="18"/>
        </w:rPr>
        <w:t xml:space="preserve">***** The provision impacts all small entities owning P3 facilities, encompassing 65 NAICS </w:t>
      </w:r>
      <w:r w:rsidR="008C12D8">
        <w:rPr>
          <w:rFonts w:ascii="Times New Roman" w:hAnsi="Times New Roman" w:cs="Times New Roman"/>
          <w:sz w:val="18"/>
          <w:szCs w:val="18"/>
        </w:rPr>
        <w:t>s</w:t>
      </w:r>
      <w:r>
        <w:rPr>
          <w:rFonts w:ascii="Times New Roman" w:hAnsi="Times New Roman" w:cs="Times New Roman"/>
          <w:sz w:val="18"/>
          <w:szCs w:val="18"/>
        </w:rPr>
        <w:t>ectors.</w:t>
      </w:r>
    </w:p>
    <w:p w:rsidR="00AB6BE3" w:rsidP="00B20325" w14:paraId="2740B38A" w14:textId="77777777">
      <w:pPr>
        <w:spacing w:after="0"/>
        <w:rPr>
          <w:rFonts w:ascii="Times New Roman" w:eastAsia="Calibri" w:hAnsi="Times New Roman" w:cs="Times New Roman"/>
          <w:b/>
          <w:bCs/>
        </w:rPr>
      </w:pPr>
    </w:p>
    <w:p w:rsidR="00B20325" w:rsidRPr="002E1A91" w:rsidP="002E1A91" w14:paraId="78348B72" w14:textId="77777777">
      <w:pPr>
        <w:pStyle w:val="Heading3"/>
        <w:rPr>
          <w:rFonts w:ascii="Times New Roman" w:hAnsi="Times New Roman" w:cs="Times New Roman"/>
          <w:b w:val="0"/>
          <w:sz w:val="22"/>
          <w:szCs w:val="22"/>
        </w:rPr>
      </w:pPr>
      <w:bookmarkStart w:id="496" w:name="_Toc141733210"/>
      <w:bookmarkStart w:id="497" w:name="_Toc142404114"/>
      <w:bookmarkStart w:id="498" w:name="_Toc144213923"/>
      <w:bookmarkStart w:id="499" w:name="_Toc144283668"/>
      <w:bookmarkStart w:id="500" w:name="_Toc144303606"/>
      <w:r w:rsidRPr="002E1A91">
        <w:rPr>
          <w:rFonts w:ascii="Times New Roman" w:hAnsi="Times New Roman" w:cs="Times New Roman"/>
          <w:sz w:val="22"/>
          <w:szCs w:val="22"/>
        </w:rPr>
        <w:t>8.3.1 Cost Impacts on Private Sector Small Entities</w:t>
      </w:r>
      <w:bookmarkEnd w:id="496"/>
      <w:bookmarkEnd w:id="497"/>
      <w:bookmarkEnd w:id="498"/>
      <w:bookmarkEnd w:id="499"/>
      <w:bookmarkEnd w:id="500"/>
    </w:p>
    <w:p w:rsidR="0075046B" w:rsidP="00B20325" w14:paraId="12D69E36" w14:textId="77777777">
      <w:pPr>
        <w:spacing w:after="0"/>
        <w:rPr>
          <w:rFonts w:ascii="Times New Roman" w:hAnsi="Times New Roman" w:cs="Times New Roman"/>
        </w:rPr>
      </w:pPr>
      <w:r>
        <w:rPr>
          <w:rFonts w:ascii="Times New Roman" w:eastAsia="Calibri" w:hAnsi="Times New Roman" w:cs="Times New Roman"/>
          <w:b/>
          <w:bCs/>
          <w:sz w:val="24"/>
          <w:szCs w:val="24"/>
        </w:rPr>
        <w:tab/>
      </w:r>
      <w:r w:rsidRPr="00D726C0">
        <w:rPr>
          <w:rFonts w:ascii="Times New Roman" w:hAnsi="Times New Roman" w:cs="Times New Roman"/>
        </w:rPr>
        <w:t>The result</w:t>
      </w:r>
      <w:r w:rsidR="00511316">
        <w:rPr>
          <w:rFonts w:ascii="Times New Roman" w:hAnsi="Times New Roman" w:cs="Times New Roman"/>
        </w:rPr>
        <w:t>s</w:t>
      </w:r>
      <w:r w:rsidRPr="00D726C0">
        <w:rPr>
          <w:rFonts w:ascii="Times New Roman" w:hAnsi="Times New Roman" w:cs="Times New Roman"/>
        </w:rPr>
        <w:t xml:space="preserve"> of the analysis for private sector small entities </w:t>
      </w:r>
      <w:r w:rsidR="00511316">
        <w:rPr>
          <w:rFonts w:ascii="Times New Roman" w:hAnsi="Times New Roman" w:cs="Times New Roman"/>
        </w:rPr>
        <w:t>are</w:t>
      </w:r>
      <w:r w:rsidRPr="00D726C0">
        <w:rPr>
          <w:rFonts w:ascii="Times New Roman" w:hAnsi="Times New Roman" w:cs="Times New Roman"/>
        </w:rPr>
        <w:t xml:space="preserve"> presented in Exhibit 8-</w:t>
      </w:r>
      <w:r w:rsidR="00BC0408">
        <w:rPr>
          <w:rFonts w:ascii="Times New Roman" w:hAnsi="Times New Roman" w:cs="Times New Roman"/>
        </w:rPr>
        <w:t>7</w:t>
      </w:r>
      <w:r w:rsidRPr="00D726C0">
        <w:rPr>
          <w:rFonts w:ascii="Times New Roman" w:hAnsi="Times New Roman" w:cs="Times New Roman"/>
        </w:rPr>
        <w:t xml:space="preserve">, below. </w:t>
      </w:r>
      <w:r w:rsidR="00511316">
        <w:rPr>
          <w:rFonts w:ascii="Times New Roman" w:hAnsi="Times New Roman" w:cs="Times New Roman"/>
        </w:rPr>
        <w:t xml:space="preserve">The analysis found that </w:t>
      </w:r>
      <w:r w:rsidRPr="005342E8" w:rsidR="00135DF5">
        <w:rPr>
          <w:rFonts w:ascii="Times New Roman" w:hAnsi="Times New Roman" w:cs="Times New Roman"/>
        </w:rPr>
        <w:t>9</w:t>
      </w:r>
      <w:r w:rsidRPr="005342E8" w:rsidR="00DD54D7">
        <w:rPr>
          <w:rFonts w:ascii="Times New Roman" w:hAnsi="Times New Roman" w:cs="Times New Roman"/>
        </w:rPr>
        <w:t>0</w:t>
      </w:r>
      <w:r w:rsidRPr="005342E8" w:rsidR="00135DF5">
        <w:rPr>
          <w:rFonts w:ascii="Times New Roman" w:hAnsi="Times New Roman" w:cs="Times New Roman"/>
        </w:rPr>
        <w:t>.</w:t>
      </w:r>
      <w:r w:rsidR="00A139AF">
        <w:rPr>
          <w:rFonts w:ascii="Times New Roman" w:hAnsi="Times New Roman" w:cs="Times New Roman"/>
        </w:rPr>
        <w:t>8</w:t>
      </w:r>
      <w:r w:rsidRPr="00D726C0" w:rsidR="00A139AF">
        <w:rPr>
          <w:rFonts w:ascii="Times New Roman" w:hAnsi="Times New Roman" w:cs="Times New Roman"/>
        </w:rPr>
        <w:t xml:space="preserve"> </w:t>
      </w:r>
      <w:r w:rsidRPr="00D726C0" w:rsidR="00115223">
        <w:rPr>
          <w:rFonts w:ascii="Times New Roman" w:hAnsi="Times New Roman" w:cs="Times New Roman"/>
        </w:rPr>
        <w:t>percent</w:t>
      </w:r>
      <w:r w:rsidRPr="00D726C0">
        <w:rPr>
          <w:rFonts w:ascii="Times New Roman" w:hAnsi="Times New Roman" w:cs="Times New Roman"/>
        </w:rPr>
        <w:t xml:space="preserve"> of small entities will incur estimated cost impacts that are less than 1</w:t>
      </w:r>
      <w:r w:rsidRPr="00D726C0" w:rsidR="00115223">
        <w:rPr>
          <w:rFonts w:ascii="Times New Roman" w:hAnsi="Times New Roman" w:cs="Times New Roman"/>
        </w:rPr>
        <w:t xml:space="preserve"> percent</w:t>
      </w:r>
      <w:r w:rsidRPr="00D726C0">
        <w:rPr>
          <w:rFonts w:ascii="Times New Roman" w:hAnsi="Times New Roman" w:cs="Times New Roman"/>
        </w:rPr>
        <w:t xml:space="preserve"> of their revenue and an estimated </w:t>
      </w:r>
      <w:r w:rsidRPr="005342E8" w:rsidR="00EE427D">
        <w:rPr>
          <w:rFonts w:ascii="Times New Roman" w:hAnsi="Times New Roman" w:cs="Times New Roman"/>
        </w:rPr>
        <w:t>2</w:t>
      </w:r>
      <w:r w:rsidRPr="005342E8" w:rsidR="00DD54D7">
        <w:rPr>
          <w:rFonts w:ascii="Times New Roman" w:hAnsi="Times New Roman" w:cs="Times New Roman"/>
        </w:rPr>
        <w:t>.8</w:t>
      </w:r>
      <w:r w:rsidRPr="00D726C0" w:rsidR="00115223">
        <w:rPr>
          <w:rFonts w:ascii="Times New Roman" w:hAnsi="Times New Roman" w:cs="Times New Roman"/>
        </w:rPr>
        <w:t xml:space="preserve"> percent</w:t>
      </w:r>
      <w:r w:rsidRPr="00D726C0">
        <w:rPr>
          <w:rFonts w:ascii="Times New Roman" w:hAnsi="Times New Roman" w:cs="Times New Roman"/>
        </w:rPr>
        <w:t xml:space="preserve"> of small entities are assumed to be impacted at the greater than 3</w:t>
      </w:r>
      <w:r w:rsidRPr="00D726C0" w:rsidR="00115223">
        <w:rPr>
          <w:rFonts w:ascii="Times New Roman" w:hAnsi="Times New Roman" w:cs="Times New Roman"/>
        </w:rPr>
        <w:t xml:space="preserve"> percent</w:t>
      </w:r>
      <w:r w:rsidRPr="00D726C0">
        <w:rPr>
          <w:rFonts w:ascii="Times New Roman" w:hAnsi="Times New Roman" w:cs="Times New Roman"/>
        </w:rPr>
        <w:t xml:space="preserve"> level. Combined, only </w:t>
      </w:r>
      <w:r w:rsidRPr="005342E8" w:rsidR="00DD54D7">
        <w:rPr>
          <w:rFonts w:ascii="Times New Roman" w:hAnsi="Times New Roman" w:cs="Times New Roman"/>
        </w:rPr>
        <w:t>9.</w:t>
      </w:r>
      <w:r w:rsidR="00013C95">
        <w:rPr>
          <w:rFonts w:ascii="Times New Roman" w:hAnsi="Times New Roman" w:cs="Times New Roman"/>
        </w:rPr>
        <w:t>2</w:t>
      </w:r>
      <w:r w:rsidRPr="00D726C0" w:rsidR="00013C95">
        <w:rPr>
          <w:rFonts w:ascii="Times New Roman" w:hAnsi="Times New Roman" w:cs="Times New Roman"/>
        </w:rPr>
        <w:t xml:space="preserve"> </w:t>
      </w:r>
      <w:r w:rsidRPr="00D726C0" w:rsidR="00115223">
        <w:rPr>
          <w:rFonts w:ascii="Times New Roman" w:hAnsi="Times New Roman" w:cs="Times New Roman"/>
        </w:rPr>
        <w:t>percent</w:t>
      </w:r>
      <w:r w:rsidRPr="00D726C0">
        <w:rPr>
          <w:rFonts w:ascii="Times New Roman" w:hAnsi="Times New Roman" w:cs="Times New Roman"/>
        </w:rPr>
        <w:t xml:space="preserve"> of small private sector entities are assumed to be impacted at the greater than 1</w:t>
      </w:r>
      <w:r w:rsidRPr="00D726C0" w:rsidR="00115223">
        <w:rPr>
          <w:rFonts w:ascii="Times New Roman" w:hAnsi="Times New Roman" w:cs="Times New Roman"/>
        </w:rPr>
        <w:t xml:space="preserve"> percent</w:t>
      </w:r>
      <w:r w:rsidRPr="00D726C0">
        <w:rPr>
          <w:rFonts w:ascii="Times New Roman" w:hAnsi="Times New Roman" w:cs="Times New Roman"/>
        </w:rPr>
        <w:t xml:space="preserve"> level. Another way to express this is that of the </w:t>
      </w:r>
      <w:r w:rsidRPr="007565A0">
        <w:rPr>
          <w:rFonts w:ascii="Times New Roman" w:hAnsi="Times New Roman" w:cs="Times New Roman"/>
        </w:rPr>
        <w:t>total estimated 2,</w:t>
      </w:r>
      <w:r w:rsidRPr="007565A0" w:rsidR="005342E8">
        <w:rPr>
          <w:rFonts w:ascii="Times New Roman" w:hAnsi="Times New Roman" w:cs="Times New Roman"/>
        </w:rPr>
        <w:t>636</w:t>
      </w:r>
      <w:r w:rsidRPr="00D726C0" w:rsidR="002B5CA0">
        <w:rPr>
          <w:rFonts w:ascii="Times New Roman" w:hAnsi="Times New Roman" w:cs="Times New Roman"/>
        </w:rPr>
        <w:t xml:space="preserve"> </w:t>
      </w:r>
      <w:r w:rsidRPr="00D726C0">
        <w:rPr>
          <w:rFonts w:ascii="Times New Roman" w:hAnsi="Times New Roman" w:cs="Times New Roman"/>
        </w:rPr>
        <w:t xml:space="preserve">small private sector entities, an estimated </w:t>
      </w:r>
      <w:r w:rsidRPr="005342E8" w:rsidR="00A310A2">
        <w:rPr>
          <w:rFonts w:ascii="Times New Roman" w:hAnsi="Times New Roman" w:cs="Times New Roman"/>
        </w:rPr>
        <w:t>2,</w:t>
      </w:r>
      <w:r w:rsidRPr="005342E8" w:rsidR="00CB7E5B">
        <w:rPr>
          <w:rFonts w:ascii="Times New Roman" w:hAnsi="Times New Roman" w:cs="Times New Roman"/>
        </w:rPr>
        <w:t>39</w:t>
      </w:r>
      <w:r w:rsidR="00CB7E5B">
        <w:rPr>
          <w:rFonts w:ascii="Times New Roman" w:hAnsi="Times New Roman" w:cs="Times New Roman"/>
        </w:rPr>
        <w:t>3</w:t>
      </w:r>
      <w:r w:rsidRPr="00D726C0" w:rsidR="00CB7E5B">
        <w:rPr>
          <w:rFonts w:ascii="Times New Roman" w:hAnsi="Times New Roman" w:cs="Times New Roman"/>
        </w:rPr>
        <w:t xml:space="preserve"> </w:t>
      </w:r>
      <w:r w:rsidRPr="00D726C0">
        <w:rPr>
          <w:rFonts w:ascii="Times New Roman" w:hAnsi="Times New Roman" w:cs="Times New Roman"/>
        </w:rPr>
        <w:t>entities will be impacted at less than 1</w:t>
      </w:r>
      <w:r w:rsidRPr="00D726C0" w:rsidR="00115223">
        <w:rPr>
          <w:rFonts w:ascii="Times New Roman" w:hAnsi="Times New Roman" w:cs="Times New Roman"/>
        </w:rPr>
        <w:t xml:space="preserve"> percent</w:t>
      </w:r>
      <w:r w:rsidRPr="00D726C0">
        <w:rPr>
          <w:rFonts w:ascii="Times New Roman" w:hAnsi="Times New Roman" w:cs="Times New Roman"/>
        </w:rPr>
        <w:t xml:space="preserve"> of revenue, </w:t>
      </w:r>
      <w:r w:rsidRPr="005342E8" w:rsidR="00CB7E5B">
        <w:rPr>
          <w:rFonts w:ascii="Times New Roman" w:hAnsi="Times New Roman" w:cs="Times New Roman"/>
        </w:rPr>
        <w:t>1</w:t>
      </w:r>
      <w:r w:rsidR="00CB7E5B">
        <w:rPr>
          <w:rFonts w:ascii="Times New Roman" w:hAnsi="Times New Roman" w:cs="Times New Roman"/>
        </w:rPr>
        <w:t>67</w:t>
      </w:r>
      <w:r w:rsidRPr="00D726C0" w:rsidR="00CB7E5B">
        <w:rPr>
          <w:rFonts w:ascii="Times New Roman" w:hAnsi="Times New Roman" w:cs="Times New Roman"/>
        </w:rPr>
        <w:t xml:space="preserve"> </w:t>
      </w:r>
      <w:r w:rsidRPr="00D726C0">
        <w:rPr>
          <w:rFonts w:ascii="Times New Roman" w:hAnsi="Times New Roman" w:cs="Times New Roman"/>
        </w:rPr>
        <w:t>entities will be impacted at between 1</w:t>
      </w:r>
      <w:r w:rsidRPr="00D726C0" w:rsidR="00115223">
        <w:rPr>
          <w:rFonts w:ascii="Times New Roman" w:hAnsi="Times New Roman" w:cs="Times New Roman"/>
        </w:rPr>
        <w:t xml:space="preserve"> percent</w:t>
      </w:r>
      <w:r w:rsidRPr="00D726C0">
        <w:rPr>
          <w:rFonts w:ascii="Times New Roman" w:hAnsi="Times New Roman" w:cs="Times New Roman"/>
        </w:rPr>
        <w:t xml:space="preserve"> and 3</w:t>
      </w:r>
      <w:r w:rsidRPr="00D726C0" w:rsidR="00115223">
        <w:rPr>
          <w:rFonts w:ascii="Times New Roman" w:hAnsi="Times New Roman" w:cs="Times New Roman"/>
        </w:rPr>
        <w:t xml:space="preserve"> percent</w:t>
      </w:r>
      <w:r w:rsidRPr="00D726C0">
        <w:rPr>
          <w:rFonts w:ascii="Times New Roman" w:hAnsi="Times New Roman" w:cs="Times New Roman"/>
        </w:rPr>
        <w:t xml:space="preserve"> of revenue, and </w:t>
      </w:r>
      <w:r w:rsidRPr="005342E8" w:rsidR="005342E8">
        <w:rPr>
          <w:rFonts w:ascii="Times New Roman" w:hAnsi="Times New Roman" w:cs="Times New Roman"/>
        </w:rPr>
        <w:t>75</w:t>
      </w:r>
      <w:r w:rsidRPr="00D726C0">
        <w:rPr>
          <w:rFonts w:ascii="Times New Roman" w:hAnsi="Times New Roman" w:cs="Times New Roman"/>
        </w:rPr>
        <w:t xml:space="preserve"> will be impacted at greater than 3</w:t>
      </w:r>
      <w:r w:rsidRPr="00D726C0" w:rsidR="00115223">
        <w:rPr>
          <w:rFonts w:ascii="Times New Roman" w:hAnsi="Times New Roman" w:cs="Times New Roman"/>
        </w:rPr>
        <w:t xml:space="preserve"> percent</w:t>
      </w:r>
      <w:r w:rsidRPr="00D726C0">
        <w:rPr>
          <w:rFonts w:ascii="Times New Roman" w:hAnsi="Times New Roman" w:cs="Times New Roman"/>
        </w:rPr>
        <w:t xml:space="preserve"> of revenue.  </w:t>
      </w:r>
    </w:p>
    <w:p w:rsidR="00520131" w:rsidRPr="00D726C0" w:rsidP="00520131" w14:paraId="4E803297" w14:textId="77777777">
      <w:pPr>
        <w:spacing w:after="0"/>
        <w:ind w:firstLine="720"/>
        <w:rPr>
          <w:rFonts w:ascii="Times New Roman" w:hAnsi="Times New Roman" w:cs="Times New Roman"/>
        </w:rPr>
      </w:pPr>
    </w:p>
    <w:p w:rsidR="001F2C81" w:rsidRPr="00E92045" w:rsidP="0001540D" w14:paraId="2721B4CE" w14:textId="77777777">
      <w:pPr>
        <w:keepNext/>
        <w:spacing w:after="0"/>
        <w:jc w:val="center"/>
        <w:rPr>
          <w:rFonts w:ascii="Times New Roman" w:hAnsi="Times New Roman" w:cs="Times New Roman"/>
          <w:b/>
        </w:rPr>
      </w:pPr>
      <w:r w:rsidRPr="00E92045">
        <w:rPr>
          <w:rFonts w:ascii="Times New Roman" w:hAnsi="Times New Roman" w:cs="Times New Roman"/>
          <w:b/>
        </w:rPr>
        <w:t>Exhibit 8-</w:t>
      </w:r>
      <w:r w:rsidR="00BC0408">
        <w:rPr>
          <w:rFonts w:ascii="Times New Roman" w:hAnsi="Times New Roman" w:cs="Times New Roman"/>
          <w:b/>
        </w:rPr>
        <w:t>7</w:t>
      </w:r>
      <w:r w:rsidRPr="00E92045">
        <w:rPr>
          <w:rFonts w:ascii="Times New Roman" w:hAnsi="Times New Roman" w:cs="Times New Roman"/>
          <w:b/>
        </w:rPr>
        <w:t xml:space="preserve">: Cost Impacts as a Proportion of Total Revenue for </w:t>
      </w:r>
    </w:p>
    <w:p w:rsidR="00E92045" w:rsidP="0001540D" w14:paraId="53221688" w14:textId="77777777">
      <w:pPr>
        <w:keepNext/>
        <w:spacing w:after="0"/>
        <w:jc w:val="center"/>
        <w:rPr>
          <w:rFonts w:ascii="Times New Roman" w:hAnsi="Times New Roman" w:cs="Times New Roman"/>
          <w:b/>
          <w:bCs/>
        </w:rPr>
      </w:pPr>
      <w:r w:rsidRPr="00E92045">
        <w:rPr>
          <w:rFonts w:ascii="Times New Roman" w:hAnsi="Times New Roman" w:cs="Times New Roman"/>
          <w:b/>
          <w:bCs/>
        </w:rPr>
        <w:t>Small Private Sector Entities</w:t>
      </w:r>
      <w:r>
        <w:rPr>
          <w:rFonts w:ascii="Times New Roman" w:hAnsi="Times New Roman" w:cs="Times New Roman"/>
          <w:b/>
          <w:bCs/>
        </w:rPr>
        <w:t>.</w:t>
      </w:r>
    </w:p>
    <w:p w:rsidR="00E92045" w:rsidRPr="00E92045" w:rsidP="0001540D" w14:paraId="5DC7351F" w14:textId="77777777">
      <w:pPr>
        <w:keepNext/>
        <w:spacing w:after="0"/>
        <w:jc w:val="center"/>
        <w:rPr>
          <w:rFonts w:ascii="Times New Roman" w:hAnsi="Times New Roman" w:cs="Times New Roman"/>
          <w:b/>
          <w:bCs/>
        </w:rPr>
      </w:pPr>
    </w:p>
    <w:tbl>
      <w:tblPr>
        <w:tblW w:w="9297" w:type="dxa"/>
        <w:jc w:val="center"/>
        <w:tblLook w:val="04A0"/>
      </w:tblPr>
      <w:tblGrid>
        <w:gridCol w:w="2335"/>
        <w:gridCol w:w="1710"/>
        <w:gridCol w:w="1620"/>
        <w:gridCol w:w="1516"/>
        <w:gridCol w:w="2116"/>
      </w:tblGrid>
      <w:tr w14:paraId="331086E7" w14:textId="77777777" w:rsidTr="00DD2C6E">
        <w:tblPrEx>
          <w:tblW w:w="9297" w:type="dxa"/>
          <w:jc w:val="center"/>
          <w:tblLook w:val="04A0"/>
        </w:tblPrEx>
        <w:trPr>
          <w:trHeight w:val="12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5046B" w:rsidRPr="00E92045" w:rsidP="0001540D" w14:paraId="3E4DDEAC" w14:textId="77777777">
            <w:pPr>
              <w:keepNext/>
              <w:spacing w:after="0" w:line="240" w:lineRule="auto"/>
              <w:jc w:val="center"/>
              <w:rPr>
                <w:rFonts w:ascii="Times New Roman" w:eastAsia="Times New Roman" w:hAnsi="Times New Roman" w:cs="Times New Roman"/>
                <w:b/>
                <w:sz w:val="20"/>
                <w:szCs w:val="20"/>
              </w:rPr>
            </w:pPr>
            <w:r w:rsidRPr="00E92045">
              <w:rPr>
                <w:rFonts w:ascii="Times New Roman" w:eastAsia="Times New Roman" w:hAnsi="Times New Roman" w:cs="Times New Roman"/>
                <w:b/>
                <w:sz w:val="20"/>
                <w:szCs w:val="20"/>
              </w:rPr>
              <w:t>Proportion of Revenue Impacted</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E92045" w:rsidP="0001540D" w14:paraId="4C64425A" w14:textId="77777777">
            <w:pPr>
              <w:keepNext/>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Number of Small Entities</w:t>
            </w:r>
            <w:r w:rsidR="005342E8">
              <w:rPr>
                <w:rFonts w:ascii="Times New Roman" w:eastAsia="Times New Roman" w:hAnsi="Times New Roman" w:cs="Times New Roman"/>
                <w:b/>
                <w:color w:val="000000"/>
                <w:sz w:val="20"/>
                <w:szCs w:val="20"/>
              </w:rPr>
              <w:t>*</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E92045" w:rsidP="0001540D" w14:paraId="3D5256AE" w14:textId="77777777">
            <w:pPr>
              <w:keepNext/>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 of Small Entities</w:t>
            </w:r>
          </w:p>
        </w:tc>
        <w:tc>
          <w:tcPr>
            <w:tcW w:w="151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0A4F83" w:rsidRPr="0004623F" w:rsidP="0001540D" w14:paraId="1AD41ED7" w14:textId="77777777">
            <w:pPr>
              <w:keepNext/>
              <w:spacing w:after="0" w:line="240" w:lineRule="auto"/>
              <w:jc w:val="center"/>
              <w:rPr>
                <w:rFonts w:ascii="Times New Roman" w:eastAsia="Times New Roman" w:hAnsi="Times New Roman" w:cs="Times New Roman"/>
                <w:b/>
                <w:bCs/>
                <w:color w:val="000000" w:themeColor="text1"/>
              </w:rPr>
            </w:pPr>
            <w:r w:rsidRPr="0004623F">
              <w:rPr>
                <w:rFonts w:ascii="Times New Roman" w:eastAsia="Times New Roman" w:hAnsi="Times New Roman" w:cs="Times New Roman"/>
                <w:b/>
                <w:bCs/>
                <w:color w:val="000000" w:themeColor="text1"/>
              </w:rPr>
              <w:t>Average Small Entity Cost</w:t>
            </w:r>
            <w:r w:rsidR="003351B2">
              <w:rPr>
                <w:rFonts w:ascii="Times New Roman" w:eastAsia="Times New Roman" w:hAnsi="Times New Roman" w:cs="Times New Roman"/>
                <w:b/>
                <w:bCs/>
                <w:color w:val="000000" w:themeColor="text1"/>
              </w:rPr>
              <w:t>**</w:t>
            </w:r>
          </w:p>
        </w:tc>
        <w:tc>
          <w:tcPr>
            <w:tcW w:w="211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5473" w:rsidRPr="0004623F" w:rsidP="0001540D" w14:paraId="56AFD879" w14:textId="77777777">
            <w:pPr>
              <w:keepNext/>
              <w:spacing w:after="0" w:line="240" w:lineRule="auto"/>
              <w:jc w:val="center"/>
              <w:rPr>
                <w:rFonts w:ascii="Times New Roman" w:eastAsia="Times New Roman" w:hAnsi="Times New Roman" w:cs="Times New Roman"/>
                <w:b/>
                <w:bCs/>
                <w:color w:val="000000" w:themeColor="text1"/>
              </w:rPr>
            </w:pPr>
            <w:r w:rsidRPr="0004623F">
              <w:rPr>
                <w:rFonts w:ascii="Times New Roman" w:eastAsia="Times New Roman" w:hAnsi="Times New Roman" w:cs="Times New Roman"/>
                <w:b/>
                <w:bCs/>
                <w:color w:val="000000" w:themeColor="text1"/>
              </w:rPr>
              <w:t>Average Small Entity Revenue</w:t>
            </w:r>
            <w:r w:rsidR="00B97F47">
              <w:rPr>
                <w:rFonts w:ascii="Times New Roman" w:eastAsia="Times New Roman" w:hAnsi="Times New Roman" w:cs="Times New Roman"/>
                <w:b/>
                <w:bCs/>
                <w:color w:val="000000" w:themeColor="text1"/>
              </w:rPr>
              <w:t>**</w:t>
            </w:r>
          </w:p>
        </w:tc>
      </w:tr>
      <w:tr w14:paraId="59313E4B" w14:textId="77777777" w:rsidTr="00DD2C6E">
        <w:tblPrEx>
          <w:tblW w:w="9297" w:type="dxa"/>
          <w:jc w:val="center"/>
          <w:tblLook w:val="04A0"/>
        </w:tblPrEx>
        <w:trPr>
          <w:trHeight w:val="279"/>
          <w:jc w:val="center"/>
        </w:trPr>
        <w:tc>
          <w:tcPr>
            <w:tcW w:w="2335" w:type="dxa"/>
            <w:tcBorders>
              <w:top w:val="nil"/>
              <w:left w:val="single" w:sz="4" w:space="0" w:color="auto"/>
              <w:bottom w:val="single" w:sz="4" w:space="0" w:color="auto"/>
              <w:right w:val="single" w:sz="4" w:space="0" w:color="auto"/>
            </w:tcBorders>
            <w:shd w:val="clear" w:color="000000" w:fill="FFFFFF"/>
            <w:noWrap/>
            <w:vAlign w:val="center"/>
            <w:hideMark/>
          </w:tcPr>
          <w:p w:rsidR="0075046B" w:rsidRPr="00E92045" w:rsidP="00E92045" w14:paraId="1C1429CE" w14:textId="77777777">
            <w:pPr>
              <w:spacing w:after="0" w:line="240" w:lineRule="auto"/>
              <w:jc w:val="center"/>
              <w:rPr>
                <w:rFonts w:ascii="Times New Roman" w:eastAsia="Times New Roman" w:hAnsi="Times New Roman" w:cs="Times New Roman"/>
                <w:sz w:val="20"/>
                <w:szCs w:val="20"/>
              </w:rPr>
            </w:pPr>
            <w:r w:rsidRPr="00E92045">
              <w:rPr>
                <w:rFonts w:ascii="Times New Roman" w:hAnsi="Times New Roman" w:cs="Times New Roman"/>
                <w:sz w:val="20"/>
                <w:szCs w:val="20"/>
              </w:rPr>
              <w:t>&lt; 1%</w:t>
            </w:r>
          </w:p>
        </w:tc>
        <w:tc>
          <w:tcPr>
            <w:tcW w:w="1710" w:type="dxa"/>
            <w:tcBorders>
              <w:top w:val="nil"/>
              <w:left w:val="nil"/>
              <w:bottom w:val="single" w:sz="4" w:space="0" w:color="auto"/>
              <w:right w:val="single" w:sz="4" w:space="0" w:color="auto"/>
            </w:tcBorders>
            <w:shd w:val="clear" w:color="auto" w:fill="auto"/>
            <w:noWrap/>
            <w:hideMark/>
          </w:tcPr>
          <w:p w:rsidR="0075046B" w:rsidRPr="00E92045" w:rsidP="00E92045" w14:paraId="4C948E2A" w14:textId="77777777">
            <w:pPr>
              <w:spacing w:after="0" w:line="240" w:lineRule="auto"/>
              <w:jc w:val="center"/>
              <w:rPr>
                <w:rFonts w:ascii="Times New Roman" w:eastAsia="Times New Roman" w:hAnsi="Times New Roman" w:cs="Times New Roman"/>
                <w:sz w:val="20"/>
                <w:szCs w:val="20"/>
              </w:rPr>
            </w:pPr>
            <w:r w:rsidRPr="00DD2C6E">
              <w:rPr>
                <w:rFonts w:ascii="Times New Roman" w:hAnsi="Times New Roman" w:cs="Times New Roman"/>
                <w:sz w:val="20"/>
                <w:szCs w:val="20"/>
              </w:rPr>
              <w:t>2,</w:t>
            </w:r>
            <w:r w:rsidRPr="00DD2C6E" w:rsidR="00EF7BE8">
              <w:rPr>
                <w:rFonts w:ascii="Times New Roman" w:hAnsi="Times New Roman" w:cs="Times New Roman"/>
                <w:sz w:val="20"/>
                <w:szCs w:val="20"/>
              </w:rPr>
              <w:t>39</w:t>
            </w:r>
            <w:r w:rsidR="00EF7BE8">
              <w:rPr>
                <w:rFonts w:ascii="Times New Roman" w:hAnsi="Times New Roman" w:cs="Times New Roman"/>
                <w:sz w:val="20"/>
                <w:szCs w:val="20"/>
              </w:rPr>
              <w:t>3</w:t>
            </w:r>
          </w:p>
        </w:tc>
        <w:tc>
          <w:tcPr>
            <w:tcW w:w="1620" w:type="dxa"/>
            <w:tcBorders>
              <w:top w:val="nil"/>
              <w:left w:val="nil"/>
              <w:bottom w:val="single" w:sz="4" w:space="0" w:color="auto"/>
              <w:right w:val="single" w:sz="4" w:space="0" w:color="auto"/>
            </w:tcBorders>
            <w:shd w:val="clear" w:color="auto" w:fill="auto"/>
            <w:noWrap/>
            <w:hideMark/>
          </w:tcPr>
          <w:p w:rsidR="0075046B" w:rsidRPr="00E92045" w:rsidP="00E92045" w14:paraId="7A1EC249" w14:textId="77777777">
            <w:pPr>
              <w:spacing w:after="0" w:line="240" w:lineRule="auto"/>
              <w:jc w:val="center"/>
              <w:rPr>
                <w:rFonts w:ascii="Times New Roman" w:eastAsia="Times New Roman" w:hAnsi="Times New Roman" w:cs="Times New Roman"/>
                <w:sz w:val="20"/>
                <w:szCs w:val="20"/>
              </w:rPr>
            </w:pPr>
            <w:r w:rsidRPr="00DD2C6E">
              <w:rPr>
                <w:rFonts w:ascii="Times New Roman" w:hAnsi="Times New Roman" w:cs="Times New Roman"/>
                <w:sz w:val="20"/>
                <w:szCs w:val="20"/>
              </w:rPr>
              <w:t>90.</w:t>
            </w:r>
            <w:r w:rsidR="00EF7BE8">
              <w:rPr>
                <w:rFonts w:ascii="Times New Roman" w:hAnsi="Times New Roman" w:cs="Times New Roman"/>
                <w:sz w:val="20"/>
                <w:szCs w:val="20"/>
              </w:rPr>
              <w:t>8</w:t>
            </w:r>
            <w:r w:rsidRPr="00DD2C6E">
              <w:rPr>
                <w:rFonts w:ascii="Times New Roman" w:hAnsi="Times New Roman" w:cs="Times New Roman"/>
                <w:sz w:val="20"/>
                <w:szCs w:val="20"/>
              </w:rPr>
              <w:t>%</w:t>
            </w:r>
          </w:p>
        </w:tc>
        <w:tc>
          <w:tcPr>
            <w:tcW w:w="1516" w:type="dxa"/>
            <w:tcBorders>
              <w:top w:val="nil"/>
              <w:left w:val="nil"/>
              <w:bottom w:val="single" w:sz="4" w:space="0" w:color="auto"/>
              <w:right w:val="single" w:sz="4" w:space="0" w:color="auto"/>
            </w:tcBorders>
          </w:tcPr>
          <w:p w:rsidR="00C265A9" w:rsidRPr="004005BB" w:rsidP="00C265A9" w14:paraId="09107358" w14:textId="77777777">
            <w:pPr>
              <w:spacing w:after="0" w:line="240" w:lineRule="auto"/>
              <w:jc w:val="center"/>
              <w:rPr>
                <w:rFonts w:ascii="Times New Roman" w:eastAsia="Calibri" w:hAnsi="Times New Roman" w:cs="Times New Roman"/>
                <w:color w:val="000000" w:themeColor="text1"/>
                <w:sz w:val="20"/>
                <w:szCs w:val="20"/>
              </w:rPr>
            </w:pPr>
            <w:r w:rsidRPr="00DD2C6E">
              <w:rPr>
                <w:rFonts w:ascii="Times New Roman" w:hAnsi="Times New Roman" w:cs="Times New Roman"/>
                <w:sz w:val="20"/>
                <w:szCs w:val="20"/>
              </w:rPr>
              <w:t>$72,</w:t>
            </w:r>
            <w:r w:rsidR="003200D8">
              <w:rPr>
                <w:rFonts w:ascii="Times New Roman" w:hAnsi="Times New Roman" w:cs="Times New Roman"/>
                <w:sz w:val="20"/>
                <w:szCs w:val="20"/>
              </w:rPr>
              <w:t>525</w:t>
            </w:r>
          </w:p>
        </w:tc>
        <w:tc>
          <w:tcPr>
            <w:tcW w:w="2116" w:type="dxa"/>
            <w:tcBorders>
              <w:top w:val="single" w:sz="4" w:space="0" w:color="auto"/>
              <w:left w:val="single" w:sz="4" w:space="0" w:color="auto"/>
              <w:bottom w:val="single" w:sz="4" w:space="0" w:color="auto"/>
              <w:right w:val="single" w:sz="4" w:space="0" w:color="auto"/>
            </w:tcBorders>
          </w:tcPr>
          <w:p w:rsidR="00C265A9" w:rsidRPr="004005BB" w:rsidP="00C265A9" w14:paraId="57259E28" w14:textId="77777777">
            <w:pPr>
              <w:spacing w:after="0" w:line="240" w:lineRule="auto"/>
              <w:jc w:val="center"/>
              <w:rPr>
                <w:rFonts w:ascii="Times New Roman" w:eastAsia="Calibri" w:hAnsi="Times New Roman" w:cs="Times New Roman"/>
                <w:color w:val="000000" w:themeColor="text1"/>
                <w:sz w:val="20"/>
                <w:szCs w:val="20"/>
              </w:rPr>
            </w:pPr>
            <w:r w:rsidRPr="00DD2C6E">
              <w:rPr>
                <w:rFonts w:ascii="Times New Roman" w:hAnsi="Times New Roman" w:cs="Times New Roman"/>
                <w:sz w:val="20"/>
                <w:szCs w:val="20"/>
              </w:rPr>
              <w:t>$72,</w:t>
            </w:r>
            <w:r w:rsidR="003200D8">
              <w:rPr>
                <w:rFonts w:ascii="Times New Roman" w:hAnsi="Times New Roman" w:cs="Times New Roman"/>
                <w:sz w:val="20"/>
                <w:szCs w:val="20"/>
              </w:rPr>
              <w:t>3</w:t>
            </w:r>
            <w:r w:rsidR="00F169B7">
              <w:rPr>
                <w:rFonts w:ascii="Times New Roman" w:hAnsi="Times New Roman" w:cs="Times New Roman"/>
                <w:sz w:val="20"/>
                <w:szCs w:val="20"/>
              </w:rPr>
              <w:t>92,517</w:t>
            </w:r>
          </w:p>
        </w:tc>
      </w:tr>
      <w:tr w14:paraId="04958F5F" w14:textId="77777777" w:rsidTr="00DD2C6E">
        <w:tblPrEx>
          <w:tblW w:w="9297" w:type="dxa"/>
          <w:jc w:val="center"/>
          <w:tblLook w:val="04A0"/>
        </w:tblPrEx>
        <w:trPr>
          <w:trHeight w:val="279"/>
          <w:jc w:val="center"/>
        </w:trPr>
        <w:tc>
          <w:tcPr>
            <w:tcW w:w="2335" w:type="dxa"/>
            <w:tcBorders>
              <w:top w:val="nil"/>
              <w:left w:val="single" w:sz="4" w:space="0" w:color="auto"/>
              <w:bottom w:val="single" w:sz="4" w:space="0" w:color="auto"/>
              <w:right w:val="single" w:sz="4" w:space="0" w:color="auto"/>
            </w:tcBorders>
            <w:shd w:val="clear" w:color="000000" w:fill="FFFFFF"/>
            <w:noWrap/>
            <w:vAlign w:val="center"/>
            <w:hideMark/>
          </w:tcPr>
          <w:p w:rsidR="0075046B" w:rsidRPr="00E92045" w:rsidP="00E92045" w14:paraId="512FB450" w14:textId="77777777">
            <w:pPr>
              <w:spacing w:after="0" w:line="240" w:lineRule="auto"/>
              <w:jc w:val="center"/>
              <w:rPr>
                <w:rFonts w:ascii="Times New Roman" w:eastAsia="Times New Roman" w:hAnsi="Times New Roman" w:cs="Times New Roman"/>
                <w:sz w:val="20"/>
                <w:szCs w:val="20"/>
              </w:rPr>
            </w:pPr>
            <w:r w:rsidRPr="00E92045">
              <w:rPr>
                <w:rFonts w:ascii="Times New Roman" w:hAnsi="Times New Roman" w:cs="Times New Roman"/>
                <w:sz w:val="20"/>
                <w:szCs w:val="20"/>
              </w:rPr>
              <w:t>1% - 3%</w:t>
            </w:r>
          </w:p>
        </w:tc>
        <w:tc>
          <w:tcPr>
            <w:tcW w:w="1710" w:type="dxa"/>
            <w:tcBorders>
              <w:top w:val="nil"/>
              <w:left w:val="single" w:sz="4" w:space="0" w:color="auto"/>
              <w:bottom w:val="single" w:sz="4" w:space="0" w:color="auto"/>
              <w:right w:val="single" w:sz="4" w:space="0" w:color="auto"/>
            </w:tcBorders>
            <w:shd w:val="clear" w:color="auto" w:fill="auto"/>
            <w:noWrap/>
            <w:hideMark/>
          </w:tcPr>
          <w:p w:rsidR="0075046B" w:rsidRPr="00E92045" w:rsidP="00E92045" w14:paraId="2E253E93" w14:textId="77777777">
            <w:pPr>
              <w:spacing w:after="0" w:line="240" w:lineRule="auto"/>
              <w:jc w:val="center"/>
              <w:rPr>
                <w:rFonts w:ascii="Times New Roman" w:eastAsia="Times New Roman" w:hAnsi="Times New Roman" w:cs="Times New Roman"/>
                <w:sz w:val="20"/>
                <w:szCs w:val="20"/>
              </w:rPr>
            </w:pPr>
            <w:r w:rsidRPr="00DD2C6E">
              <w:rPr>
                <w:rFonts w:ascii="Times New Roman" w:hAnsi="Times New Roman" w:cs="Times New Roman"/>
                <w:sz w:val="20"/>
                <w:szCs w:val="20"/>
              </w:rPr>
              <w:t>1</w:t>
            </w:r>
            <w:r w:rsidR="00EF7BE8">
              <w:rPr>
                <w:rFonts w:ascii="Times New Roman" w:hAnsi="Times New Roman" w:cs="Times New Roman"/>
                <w:sz w:val="20"/>
                <w:szCs w:val="20"/>
              </w:rPr>
              <w:t>67</w:t>
            </w:r>
          </w:p>
        </w:tc>
        <w:tc>
          <w:tcPr>
            <w:tcW w:w="1620" w:type="dxa"/>
            <w:tcBorders>
              <w:top w:val="nil"/>
              <w:left w:val="nil"/>
              <w:bottom w:val="single" w:sz="4" w:space="0" w:color="auto"/>
              <w:right w:val="single" w:sz="4" w:space="0" w:color="auto"/>
            </w:tcBorders>
            <w:shd w:val="clear" w:color="auto" w:fill="auto"/>
            <w:noWrap/>
            <w:hideMark/>
          </w:tcPr>
          <w:p w:rsidR="0075046B" w:rsidRPr="00E92045" w:rsidP="00E92045" w14:paraId="65DE5B40" w14:textId="77777777">
            <w:pPr>
              <w:spacing w:after="0" w:line="240" w:lineRule="auto"/>
              <w:jc w:val="center"/>
              <w:rPr>
                <w:rFonts w:ascii="Times New Roman" w:eastAsia="Times New Roman" w:hAnsi="Times New Roman" w:cs="Times New Roman"/>
                <w:sz w:val="20"/>
                <w:szCs w:val="20"/>
              </w:rPr>
            </w:pPr>
            <w:r w:rsidRPr="00DD2C6E">
              <w:rPr>
                <w:rFonts w:ascii="Times New Roman" w:hAnsi="Times New Roman" w:cs="Times New Roman"/>
                <w:sz w:val="20"/>
                <w:szCs w:val="20"/>
              </w:rPr>
              <w:t>6.</w:t>
            </w:r>
            <w:r w:rsidR="00EF7BE8">
              <w:rPr>
                <w:rFonts w:ascii="Times New Roman" w:hAnsi="Times New Roman" w:cs="Times New Roman"/>
                <w:sz w:val="20"/>
                <w:szCs w:val="20"/>
              </w:rPr>
              <w:t>3</w:t>
            </w:r>
            <w:r w:rsidRPr="00DD2C6E">
              <w:rPr>
                <w:rFonts w:ascii="Times New Roman" w:hAnsi="Times New Roman" w:cs="Times New Roman"/>
                <w:sz w:val="20"/>
                <w:szCs w:val="20"/>
              </w:rPr>
              <w:t>%</w:t>
            </w:r>
          </w:p>
        </w:tc>
        <w:tc>
          <w:tcPr>
            <w:tcW w:w="1516" w:type="dxa"/>
            <w:tcBorders>
              <w:top w:val="nil"/>
              <w:left w:val="nil"/>
              <w:bottom w:val="single" w:sz="4" w:space="0" w:color="auto"/>
              <w:right w:val="single" w:sz="4" w:space="0" w:color="auto"/>
            </w:tcBorders>
          </w:tcPr>
          <w:p w:rsidR="00F56B01" w:rsidRPr="004005BB" w:rsidP="00C265A9" w14:paraId="1E5F9BE4" w14:textId="77777777">
            <w:pPr>
              <w:spacing w:after="0" w:line="240" w:lineRule="auto"/>
              <w:jc w:val="center"/>
              <w:rPr>
                <w:rFonts w:ascii="Times New Roman" w:eastAsia="Calibri" w:hAnsi="Times New Roman" w:cs="Times New Roman"/>
                <w:color w:val="000000" w:themeColor="text1"/>
                <w:sz w:val="20"/>
                <w:szCs w:val="20"/>
              </w:rPr>
            </w:pPr>
            <w:r w:rsidRPr="00DD2C6E">
              <w:rPr>
                <w:rFonts w:ascii="Times New Roman" w:hAnsi="Times New Roman" w:cs="Times New Roman"/>
                <w:sz w:val="20"/>
                <w:szCs w:val="20"/>
              </w:rPr>
              <w:t>$6</w:t>
            </w:r>
            <w:r w:rsidR="00B61E56">
              <w:rPr>
                <w:rFonts w:ascii="Times New Roman" w:hAnsi="Times New Roman" w:cs="Times New Roman"/>
                <w:sz w:val="20"/>
                <w:szCs w:val="20"/>
              </w:rPr>
              <w:t>29</w:t>
            </w:r>
            <w:r w:rsidR="00781812">
              <w:rPr>
                <w:rFonts w:ascii="Times New Roman" w:hAnsi="Times New Roman" w:cs="Times New Roman"/>
                <w:sz w:val="20"/>
                <w:szCs w:val="20"/>
              </w:rPr>
              <w:t>,271</w:t>
            </w:r>
          </w:p>
        </w:tc>
        <w:tc>
          <w:tcPr>
            <w:tcW w:w="2116" w:type="dxa"/>
            <w:tcBorders>
              <w:top w:val="nil"/>
              <w:left w:val="nil"/>
              <w:bottom w:val="single" w:sz="4" w:space="0" w:color="auto"/>
              <w:right w:val="single" w:sz="4" w:space="0" w:color="auto"/>
            </w:tcBorders>
          </w:tcPr>
          <w:p w:rsidR="00632621" w:rsidRPr="004005BB" w:rsidP="00C265A9" w14:paraId="54EC340C" w14:textId="77777777">
            <w:pPr>
              <w:spacing w:after="0" w:line="240" w:lineRule="auto"/>
              <w:jc w:val="center"/>
              <w:rPr>
                <w:rFonts w:ascii="Times New Roman" w:eastAsia="Calibri" w:hAnsi="Times New Roman" w:cs="Times New Roman"/>
                <w:color w:val="000000" w:themeColor="text1"/>
                <w:sz w:val="20"/>
                <w:szCs w:val="20"/>
              </w:rPr>
            </w:pPr>
            <w:r w:rsidRPr="00DD2C6E">
              <w:rPr>
                <w:rFonts w:ascii="Times New Roman" w:hAnsi="Times New Roman" w:cs="Times New Roman"/>
                <w:sz w:val="20"/>
                <w:szCs w:val="20"/>
              </w:rPr>
              <w:t>$</w:t>
            </w:r>
            <w:r w:rsidR="001632C4">
              <w:rPr>
                <w:rFonts w:ascii="Times New Roman" w:hAnsi="Times New Roman" w:cs="Times New Roman"/>
                <w:sz w:val="20"/>
                <w:szCs w:val="20"/>
              </w:rPr>
              <w:t>4</w:t>
            </w:r>
            <w:r w:rsidR="00781812">
              <w:rPr>
                <w:rFonts w:ascii="Times New Roman" w:hAnsi="Times New Roman" w:cs="Times New Roman"/>
                <w:sz w:val="20"/>
                <w:szCs w:val="20"/>
              </w:rPr>
              <w:t>1,</w:t>
            </w:r>
            <w:r w:rsidR="00590B18">
              <w:rPr>
                <w:rFonts w:ascii="Times New Roman" w:hAnsi="Times New Roman" w:cs="Times New Roman"/>
                <w:sz w:val="20"/>
                <w:szCs w:val="20"/>
              </w:rPr>
              <w:t>222,630</w:t>
            </w:r>
          </w:p>
        </w:tc>
      </w:tr>
      <w:tr w14:paraId="426C221B" w14:textId="77777777" w:rsidTr="00DD2C6E">
        <w:tblPrEx>
          <w:tblW w:w="9297" w:type="dxa"/>
          <w:jc w:val="center"/>
          <w:tblLook w:val="04A0"/>
        </w:tblPrEx>
        <w:trPr>
          <w:trHeight w:val="279"/>
          <w:jc w:val="center"/>
        </w:trPr>
        <w:tc>
          <w:tcPr>
            <w:tcW w:w="2335" w:type="dxa"/>
            <w:tcBorders>
              <w:top w:val="nil"/>
              <w:left w:val="single" w:sz="4" w:space="0" w:color="auto"/>
              <w:bottom w:val="single" w:sz="4" w:space="0" w:color="auto"/>
              <w:right w:val="single" w:sz="4" w:space="0" w:color="auto"/>
            </w:tcBorders>
            <w:shd w:val="clear" w:color="000000" w:fill="FFFFFF"/>
            <w:noWrap/>
            <w:vAlign w:val="center"/>
            <w:hideMark/>
          </w:tcPr>
          <w:p w:rsidR="0075046B" w:rsidRPr="00E92045" w:rsidP="00E92045" w14:paraId="78A9EF46" w14:textId="77777777">
            <w:pPr>
              <w:spacing w:after="0" w:line="240" w:lineRule="auto"/>
              <w:jc w:val="center"/>
              <w:rPr>
                <w:rFonts w:ascii="Times New Roman" w:eastAsia="Times New Roman" w:hAnsi="Times New Roman" w:cs="Times New Roman"/>
                <w:sz w:val="20"/>
                <w:szCs w:val="20"/>
              </w:rPr>
            </w:pPr>
            <w:r w:rsidRPr="00E92045">
              <w:rPr>
                <w:rFonts w:ascii="Times New Roman" w:hAnsi="Times New Roman" w:cs="Times New Roman"/>
                <w:sz w:val="20"/>
                <w:szCs w:val="20"/>
              </w:rPr>
              <w:t>&gt;3%</w:t>
            </w:r>
          </w:p>
        </w:tc>
        <w:tc>
          <w:tcPr>
            <w:tcW w:w="1710" w:type="dxa"/>
            <w:tcBorders>
              <w:top w:val="nil"/>
              <w:left w:val="single" w:sz="4" w:space="0" w:color="auto"/>
              <w:bottom w:val="single" w:sz="4" w:space="0" w:color="auto"/>
              <w:right w:val="single" w:sz="4" w:space="0" w:color="auto"/>
            </w:tcBorders>
            <w:shd w:val="clear" w:color="auto" w:fill="auto"/>
            <w:noWrap/>
            <w:hideMark/>
          </w:tcPr>
          <w:p w:rsidR="0075046B" w:rsidRPr="00E92045" w:rsidP="00E92045" w14:paraId="2A4D4060" w14:textId="77777777">
            <w:pPr>
              <w:spacing w:after="0" w:line="240" w:lineRule="auto"/>
              <w:jc w:val="center"/>
              <w:rPr>
                <w:rFonts w:ascii="Times New Roman" w:eastAsia="Times New Roman" w:hAnsi="Times New Roman" w:cs="Times New Roman"/>
                <w:sz w:val="20"/>
                <w:szCs w:val="20"/>
              </w:rPr>
            </w:pPr>
            <w:r w:rsidRPr="00DD2C6E">
              <w:rPr>
                <w:rFonts w:ascii="Times New Roman" w:hAnsi="Times New Roman" w:cs="Times New Roman"/>
                <w:sz w:val="20"/>
                <w:szCs w:val="20"/>
              </w:rPr>
              <w:t>75</w:t>
            </w:r>
          </w:p>
        </w:tc>
        <w:tc>
          <w:tcPr>
            <w:tcW w:w="1620" w:type="dxa"/>
            <w:tcBorders>
              <w:top w:val="nil"/>
              <w:left w:val="nil"/>
              <w:bottom w:val="single" w:sz="4" w:space="0" w:color="auto"/>
              <w:right w:val="single" w:sz="4" w:space="0" w:color="auto"/>
            </w:tcBorders>
            <w:shd w:val="clear" w:color="auto" w:fill="auto"/>
            <w:noWrap/>
            <w:hideMark/>
          </w:tcPr>
          <w:p w:rsidR="0075046B" w:rsidRPr="00E92045" w:rsidP="00E92045" w14:paraId="70AB64BC" w14:textId="77777777">
            <w:pPr>
              <w:spacing w:after="0" w:line="240" w:lineRule="auto"/>
              <w:jc w:val="center"/>
              <w:rPr>
                <w:rFonts w:ascii="Times New Roman" w:eastAsia="Times New Roman" w:hAnsi="Times New Roman" w:cs="Times New Roman"/>
                <w:sz w:val="20"/>
                <w:szCs w:val="20"/>
              </w:rPr>
            </w:pPr>
            <w:r w:rsidRPr="00DD2C6E">
              <w:rPr>
                <w:rFonts w:ascii="Times New Roman" w:hAnsi="Times New Roman" w:cs="Times New Roman"/>
                <w:sz w:val="20"/>
                <w:szCs w:val="20"/>
              </w:rPr>
              <w:t>2.8%</w:t>
            </w:r>
          </w:p>
        </w:tc>
        <w:tc>
          <w:tcPr>
            <w:tcW w:w="1516" w:type="dxa"/>
            <w:tcBorders>
              <w:top w:val="nil"/>
              <w:left w:val="nil"/>
              <w:bottom w:val="single" w:sz="4" w:space="0" w:color="auto"/>
              <w:right w:val="single" w:sz="4" w:space="0" w:color="auto"/>
            </w:tcBorders>
          </w:tcPr>
          <w:p w:rsidR="00D848AA" w:rsidRPr="004005BB" w:rsidP="00C265A9" w14:paraId="7A447389" w14:textId="77777777">
            <w:pPr>
              <w:spacing w:after="0" w:line="240" w:lineRule="auto"/>
              <w:jc w:val="center"/>
              <w:rPr>
                <w:rFonts w:ascii="Times New Roman" w:eastAsia="Calibri" w:hAnsi="Times New Roman" w:cs="Times New Roman"/>
                <w:color w:val="000000" w:themeColor="text1"/>
                <w:sz w:val="20"/>
                <w:szCs w:val="20"/>
              </w:rPr>
            </w:pPr>
            <w:r w:rsidRPr="00DD2C6E">
              <w:rPr>
                <w:rFonts w:ascii="Times New Roman" w:hAnsi="Times New Roman" w:cs="Times New Roman"/>
                <w:sz w:val="20"/>
                <w:szCs w:val="20"/>
              </w:rPr>
              <w:t>$1,083,82</w:t>
            </w:r>
            <w:r w:rsidR="00942405">
              <w:rPr>
                <w:rFonts w:ascii="Times New Roman" w:hAnsi="Times New Roman" w:cs="Times New Roman"/>
                <w:sz w:val="20"/>
                <w:szCs w:val="20"/>
              </w:rPr>
              <w:t>3</w:t>
            </w:r>
          </w:p>
        </w:tc>
        <w:tc>
          <w:tcPr>
            <w:tcW w:w="2116" w:type="dxa"/>
            <w:tcBorders>
              <w:top w:val="nil"/>
              <w:left w:val="nil"/>
              <w:bottom w:val="single" w:sz="4" w:space="0" w:color="auto"/>
              <w:right w:val="single" w:sz="4" w:space="0" w:color="auto"/>
            </w:tcBorders>
          </w:tcPr>
          <w:p w:rsidR="008F052F" w:rsidRPr="004005BB" w:rsidP="00C265A9" w14:paraId="2F1136B2" w14:textId="77777777">
            <w:pPr>
              <w:spacing w:after="0" w:line="240" w:lineRule="auto"/>
              <w:jc w:val="center"/>
              <w:rPr>
                <w:rFonts w:ascii="Times New Roman" w:eastAsia="Calibri" w:hAnsi="Times New Roman" w:cs="Times New Roman"/>
                <w:color w:val="000000" w:themeColor="text1"/>
                <w:sz w:val="20"/>
                <w:szCs w:val="20"/>
              </w:rPr>
            </w:pPr>
            <w:r w:rsidRPr="00DD2C6E">
              <w:rPr>
                <w:rFonts w:ascii="Times New Roman" w:hAnsi="Times New Roman" w:cs="Times New Roman"/>
                <w:sz w:val="20"/>
                <w:szCs w:val="20"/>
              </w:rPr>
              <w:t>$19,034,833</w:t>
            </w:r>
          </w:p>
        </w:tc>
      </w:tr>
    </w:tbl>
    <w:p w:rsidR="0075046B" w:rsidRPr="006A2DE6" w:rsidP="00693892" w14:paraId="49653EAC" w14:textId="77777777">
      <w:pPr>
        <w:spacing w:after="0" w:line="240" w:lineRule="auto"/>
        <w:rPr>
          <w:rFonts w:ascii="Times New Roman" w:eastAsia="Calibri" w:hAnsi="Times New Roman" w:cs="Times New Roman"/>
          <w:sz w:val="18"/>
          <w:szCs w:val="18"/>
        </w:rPr>
      </w:pPr>
      <w:r w:rsidRPr="006A2DE6">
        <w:rPr>
          <w:rFonts w:ascii="Times New Roman" w:eastAsia="Calibri" w:hAnsi="Times New Roman" w:cs="Times New Roman"/>
          <w:sz w:val="18"/>
          <w:szCs w:val="18"/>
        </w:rPr>
        <w:t>*</w:t>
      </w:r>
      <w:r w:rsidRPr="006A2DE6" w:rsidR="00AD3852">
        <w:rPr>
          <w:rFonts w:ascii="Times New Roman" w:eastAsia="Calibri" w:hAnsi="Times New Roman" w:cs="Times New Roman"/>
          <w:sz w:val="18"/>
          <w:szCs w:val="18"/>
        </w:rPr>
        <w:t>Small entity count differs slightly from Exhibit 8-2 due to rounding</w:t>
      </w:r>
      <w:r w:rsidR="00235B35">
        <w:rPr>
          <w:rFonts w:ascii="Times New Roman" w:eastAsia="Calibri" w:hAnsi="Times New Roman" w:cs="Times New Roman"/>
          <w:bCs/>
          <w:sz w:val="18"/>
          <w:szCs w:val="18"/>
        </w:rPr>
        <w:t>.</w:t>
      </w:r>
    </w:p>
    <w:p w:rsidR="00B97F47" w:rsidRPr="006A2DE6" w:rsidP="005342E8" w14:paraId="4C2236A8" w14:textId="77777777">
      <w:pPr>
        <w:spacing w:after="0" w:line="240" w:lineRule="auto"/>
        <w:rPr>
          <w:rFonts w:ascii="Times New Roman" w:eastAsia="Calibri" w:hAnsi="Times New Roman" w:cs="Times New Roman"/>
          <w:sz w:val="20"/>
          <w:szCs w:val="20"/>
        </w:rPr>
      </w:pPr>
      <w:r w:rsidRPr="006A2DE6">
        <w:rPr>
          <w:rFonts w:ascii="Times New Roman" w:eastAsia="Calibri" w:hAnsi="Times New Roman" w:cs="Times New Roman"/>
          <w:sz w:val="18"/>
          <w:szCs w:val="18"/>
        </w:rPr>
        <w:t>**</w:t>
      </w:r>
      <w:r w:rsidRPr="006A2DE6" w:rsidR="007548B6">
        <w:rPr>
          <w:rFonts w:ascii="Times New Roman" w:eastAsia="Calibri" w:hAnsi="Times New Roman" w:cs="Times New Roman"/>
          <w:sz w:val="18"/>
          <w:szCs w:val="18"/>
        </w:rPr>
        <w:t xml:space="preserve"> For enti</w:t>
      </w:r>
      <w:r w:rsidRPr="006A2DE6" w:rsidR="00A43D27">
        <w:rPr>
          <w:rFonts w:ascii="Times New Roman" w:eastAsia="Calibri" w:hAnsi="Times New Roman" w:cs="Times New Roman"/>
          <w:sz w:val="18"/>
          <w:szCs w:val="18"/>
        </w:rPr>
        <w:t>t</w:t>
      </w:r>
      <w:r w:rsidRPr="006A2DE6" w:rsidR="007548B6">
        <w:rPr>
          <w:rFonts w:ascii="Times New Roman" w:eastAsia="Calibri" w:hAnsi="Times New Roman" w:cs="Times New Roman"/>
          <w:sz w:val="18"/>
          <w:szCs w:val="18"/>
        </w:rPr>
        <w:t>i</w:t>
      </w:r>
      <w:r w:rsidRPr="006A2DE6" w:rsidR="007C654E">
        <w:rPr>
          <w:rFonts w:ascii="Times New Roman" w:eastAsia="Calibri" w:hAnsi="Times New Roman" w:cs="Times New Roman"/>
          <w:sz w:val="18"/>
          <w:szCs w:val="18"/>
        </w:rPr>
        <w:t>e</w:t>
      </w:r>
      <w:r w:rsidRPr="006A2DE6" w:rsidR="007548B6">
        <w:rPr>
          <w:rFonts w:ascii="Times New Roman" w:eastAsia="Calibri" w:hAnsi="Times New Roman" w:cs="Times New Roman"/>
          <w:sz w:val="18"/>
          <w:szCs w:val="18"/>
        </w:rPr>
        <w:t xml:space="preserve">s </w:t>
      </w:r>
      <w:r w:rsidRPr="006A2DE6" w:rsidR="00816F6F">
        <w:rPr>
          <w:rFonts w:ascii="Times New Roman" w:eastAsia="Calibri" w:hAnsi="Times New Roman" w:cs="Times New Roman"/>
          <w:sz w:val="18"/>
          <w:szCs w:val="18"/>
        </w:rPr>
        <w:t xml:space="preserve">in NAICS codes with </w:t>
      </w:r>
      <w:r w:rsidRPr="006A2DE6" w:rsidR="000C28A5">
        <w:rPr>
          <w:rFonts w:ascii="Times New Roman" w:eastAsia="Calibri" w:hAnsi="Times New Roman" w:cs="Times New Roman"/>
          <w:sz w:val="18"/>
          <w:szCs w:val="18"/>
        </w:rPr>
        <w:t>revenue-based</w:t>
      </w:r>
      <w:r w:rsidRPr="006A2DE6" w:rsidR="00816F6F">
        <w:rPr>
          <w:rFonts w:ascii="Times New Roman" w:eastAsia="Calibri" w:hAnsi="Times New Roman" w:cs="Times New Roman"/>
          <w:sz w:val="18"/>
          <w:szCs w:val="18"/>
        </w:rPr>
        <w:t xml:space="preserve"> size-standards</w:t>
      </w:r>
      <w:r w:rsidRPr="006A2DE6" w:rsidR="00B45A3A">
        <w:rPr>
          <w:rFonts w:ascii="Times New Roman" w:eastAsia="Calibri" w:hAnsi="Times New Roman" w:cs="Times New Roman"/>
          <w:sz w:val="18"/>
          <w:szCs w:val="18"/>
        </w:rPr>
        <w:t>, the a</w:t>
      </w:r>
      <w:r w:rsidRPr="006A2DE6" w:rsidR="007548B6">
        <w:rPr>
          <w:rFonts w:ascii="Times New Roman" w:eastAsia="Calibri" w:hAnsi="Times New Roman" w:cs="Times New Roman"/>
          <w:sz w:val="18"/>
          <w:szCs w:val="18"/>
        </w:rPr>
        <w:t xml:space="preserve">verage small entity </w:t>
      </w:r>
      <w:r w:rsidRPr="006A2DE6" w:rsidR="003351B2">
        <w:rPr>
          <w:rFonts w:ascii="Times New Roman" w:eastAsia="Calibri" w:hAnsi="Times New Roman" w:cs="Times New Roman"/>
          <w:sz w:val="18"/>
          <w:szCs w:val="18"/>
        </w:rPr>
        <w:t xml:space="preserve">cost and </w:t>
      </w:r>
      <w:r w:rsidRPr="006A2DE6" w:rsidR="007548B6">
        <w:rPr>
          <w:rFonts w:ascii="Times New Roman" w:eastAsia="Calibri" w:hAnsi="Times New Roman" w:cs="Times New Roman"/>
          <w:sz w:val="18"/>
          <w:szCs w:val="18"/>
        </w:rPr>
        <w:t xml:space="preserve">revenue </w:t>
      </w:r>
      <w:r w:rsidRPr="006A2DE6" w:rsidR="003351B2">
        <w:rPr>
          <w:rFonts w:ascii="Times New Roman" w:eastAsia="Calibri" w:hAnsi="Times New Roman" w:cs="Times New Roman"/>
          <w:sz w:val="18"/>
          <w:szCs w:val="18"/>
        </w:rPr>
        <w:t>are</w:t>
      </w:r>
      <w:r w:rsidRPr="006A2DE6" w:rsidR="00B45A3A">
        <w:rPr>
          <w:rFonts w:ascii="Times New Roman" w:eastAsia="Calibri" w:hAnsi="Times New Roman" w:cs="Times New Roman"/>
          <w:sz w:val="18"/>
          <w:szCs w:val="18"/>
        </w:rPr>
        <w:t xml:space="preserve"> considerably lower </w:t>
      </w:r>
      <w:r w:rsidRPr="006A2DE6" w:rsidR="000B1C9B">
        <w:rPr>
          <w:rFonts w:ascii="Times New Roman" w:eastAsia="Calibri" w:hAnsi="Times New Roman" w:cs="Times New Roman"/>
          <w:sz w:val="18"/>
          <w:szCs w:val="18"/>
        </w:rPr>
        <w:t>($</w:t>
      </w:r>
      <w:r w:rsidRPr="006A2DE6" w:rsidR="003351B2">
        <w:rPr>
          <w:rFonts w:ascii="Times New Roman" w:eastAsia="Calibri" w:hAnsi="Times New Roman" w:cs="Times New Roman"/>
          <w:sz w:val="18"/>
          <w:szCs w:val="18"/>
        </w:rPr>
        <w:t>31</w:t>
      </w:r>
      <w:r w:rsidR="00235B35">
        <w:rPr>
          <w:rFonts w:ascii="Times New Roman" w:eastAsia="Calibri" w:hAnsi="Times New Roman" w:cs="Times New Roman"/>
          <w:bCs/>
          <w:sz w:val="18"/>
          <w:szCs w:val="18"/>
        </w:rPr>
        <w:t>,500</w:t>
      </w:r>
      <w:r w:rsidRPr="006A2DE6" w:rsidR="003351B2">
        <w:rPr>
          <w:rFonts w:ascii="Times New Roman" w:eastAsia="Calibri" w:hAnsi="Times New Roman" w:cs="Times New Roman"/>
          <w:sz w:val="18"/>
          <w:szCs w:val="18"/>
        </w:rPr>
        <w:t xml:space="preserve"> and </w:t>
      </w:r>
      <w:r w:rsidRPr="006A2DE6" w:rsidR="000B1C9B">
        <w:rPr>
          <w:rFonts w:ascii="Times New Roman" w:eastAsia="Calibri" w:hAnsi="Times New Roman" w:cs="Times New Roman"/>
          <w:sz w:val="18"/>
          <w:szCs w:val="18"/>
        </w:rPr>
        <w:t>$6.0 million</w:t>
      </w:r>
      <w:r w:rsidRPr="006A2DE6" w:rsidR="003351B2">
        <w:rPr>
          <w:rFonts w:ascii="Times New Roman" w:eastAsia="Calibri" w:hAnsi="Times New Roman" w:cs="Times New Roman"/>
          <w:sz w:val="18"/>
          <w:szCs w:val="18"/>
        </w:rPr>
        <w:t>, respectively</w:t>
      </w:r>
      <w:r w:rsidRPr="006A2DE6" w:rsidR="000B1C9B">
        <w:rPr>
          <w:rFonts w:ascii="Times New Roman" w:eastAsia="Calibri" w:hAnsi="Times New Roman" w:cs="Times New Roman"/>
          <w:sz w:val="18"/>
          <w:szCs w:val="18"/>
        </w:rPr>
        <w:t>)</w:t>
      </w:r>
    </w:p>
    <w:p w:rsidR="00520131" w:rsidP="00693892" w14:paraId="5797B3A1" w14:textId="77777777">
      <w:pPr>
        <w:spacing w:after="0" w:line="240" w:lineRule="auto"/>
        <w:rPr>
          <w:rFonts w:ascii="Times New Roman" w:eastAsia="Calibri" w:hAnsi="Times New Roman" w:cs="Times New Roman"/>
          <w:b/>
        </w:rPr>
      </w:pPr>
    </w:p>
    <w:p w:rsidR="00BC0408" w:rsidP="00604206" w14:paraId="71D31734" w14:textId="77777777">
      <w:pPr>
        <w:spacing w:after="0" w:line="240" w:lineRule="auto"/>
        <w:ind w:firstLine="720"/>
        <w:rPr>
          <w:rFonts w:ascii="Times New Roman" w:hAnsi="Times New Roman" w:cs="Times New Roman"/>
        </w:rPr>
      </w:pPr>
      <w:r>
        <w:rPr>
          <w:rFonts w:ascii="Times New Roman" w:hAnsi="Times New Roman" w:cs="Times New Roman"/>
        </w:rPr>
        <w:t xml:space="preserve">Exhibit 8-8 presents the distribution of small </w:t>
      </w:r>
      <w:r w:rsidR="00F459FA">
        <w:rPr>
          <w:rFonts w:ascii="Times New Roman" w:hAnsi="Times New Roman" w:cs="Times New Roman"/>
        </w:rPr>
        <w:t xml:space="preserve">entity </w:t>
      </w:r>
      <w:r w:rsidR="00CA721E">
        <w:rPr>
          <w:rFonts w:ascii="Times New Roman" w:hAnsi="Times New Roman" w:cs="Times New Roman"/>
        </w:rPr>
        <w:t>revenue impact</w:t>
      </w:r>
      <w:r w:rsidR="00FF665C">
        <w:rPr>
          <w:rFonts w:ascii="Times New Roman" w:hAnsi="Times New Roman" w:cs="Times New Roman"/>
        </w:rPr>
        <w:t>s</w:t>
      </w:r>
      <w:r>
        <w:rPr>
          <w:rFonts w:ascii="Times New Roman" w:hAnsi="Times New Roman" w:cs="Times New Roman"/>
        </w:rPr>
        <w:t xml:space="preserve"> acr</w:t>
      </w:r>
      <w:r w:rsidR="00EA1A74">
        <w:rPr>
          <w:rFonts w:ascii="Times New Roman" w:hAnsi="Times New Roman" w:cs="Times New Roman"/>
        </w:rPr>
        <w:t>oss</w:t>
      </w:r>
      <w:r>
        <w:rPr>
          <w:rFonts w:ascii="Times New Roman" w:hAnsi="Times New Roman" w:cs="Times New Roman"/>
        </w:rPr>
        <w:t xml:space="preserve"> six-digit NAICS</w:t>
      </w:r>
      <w:r w:rsidR="009B61B2">
        <w:rPr>
          <w:rFonts w:ascii="Times New Roman" w:hAnsi="Times New Roman" w:cs="Times New Roman"/>
        </w:rPr>
        <w:t xml:space="preserve"> sectors</w:t>
      </w:r>
      <w:r w:rsidR="00EA1A74">
        <w:rPr>
          <w:rFonts w:ascii="Times New Roman" w:hAnsi="Times New Roman" w:cs="Times New Roman"/>
        </w:rPr>
        <w:t>,</w:t>
      </w:r>
      <w:r>
        <w:rPr>
          <w:rFonts w:ascii="Times New Roman" w:hAnsi="Times New Roman" w:cs="Times New Roman"/>
        </w:rPr>
        <w:t xml:space="preserve"> with the </w:t>
      </w:r>
      <w:r w:rsidR="00415DBF">
        <w:rPr>
          <w:rFonts w:ascii="Times New Roman" w:hAnsi="Times New Roman" w:cs="Times New Roman"/>
        </w:rPr>
        <w:t>top ten</w:t>
      </w:r>
      <w:r w:rsidR="00E5187C">
        <w:rPr>
          <w:rFonts w:ascii="Times New Roman" w:hAnsi="Times New Roman" w:cs="Times New Roman"/>
        </w:rPr>
        <w:t xml:space="preserve"> </w:t>
      </w:r>
      <w:r w:rsidR="00CA2B2F">
        <w:rPr>
          <w:rFonts w:ascii="Times New Roman" w:hAnsi="Times New Roman" w:cs="Times New Roman"/>
        </w:rPr>
        <w:t xml:space="preserve">highlighted from the remaining NAICS </w:t>
      </w:r>
      <w:r w:rsidR="009B61B2">
        <w:rPr>
          <w:rFonts w:ascii="Times New Roman" w:hAnsi="Times New Roman" w:cs="Times New Roman"/>
        </w:rPr>
        <w:t>sectors</w:t>
      </w:r>
      <w:r w:rsidR="00D52C07">
        <w:rPr>
          <w:rFonts w:ascii="Times New Roman" w:hAnsi="Times New Roman" w:cs="Times New Roman"/>
        </w:rPr>
        <w:t xml:space="preserve">. </w:t>
      </w:r>
      <w:r w:rsidR="00902B24">
        <w:rPr>
          <w:rFonts w:ascii="Times New Roman" w:hAnsi="Times New Roman" w:cs="Times New Roman"/>
        </w:rPr>
        <w:t xml:space="preserve">The proportion of revenue impacted was calculated </w:t>
      </w:r>
      <w:r w:rsidR="00530B14">
        <w:rPr>
          <w:rFonts w:ascii="Times New Roman" w:hAnsi="Times New Roman" w:cs="Times New Roman"/>
        </w:rPr>
        <w:t>for</w:t>
      </w:r>
      <w:r w:rsidR="00902B24">
        <w:rPr>
          <w:rFonts w:ascii="Times New Roman" w:hAnsi="Times New Roman" w:cs="Times New Roman"/>
        </w:rPr>
        <w:t xml:space="preserve"> </w:t>
      </w:r>
      <w:r w:rsidR="00502EEE">
        <w:rPr>
          <w:rFonts w:ascii="Times New Roman" w:hAnsi="Times New Roman" w:cs="Times New Roman"/>
        </w:rPr>
        <w:t xml:space="preserve">small </w:t>
      </w:r>
      <w:r w:rsidR="00902B24">
        <w:rPr>
          <w:rFonts w:ascii="Times New Roman" w:hAnsi="Times New Roman" w:cs="Times New Roman"/>
        </w:rPr>
        <w:t xml:space="preserve">entities </w:t>
      </w:r>
      <w:r w:rsidR="00530B14">
        <w:rPr>
          <w:rFonts w:ascii="Times New Roman" w:hAnsi="Times New Roman" w:cs="Times New Roman"/>
        </w:rPr>
        <w:t>with</w:t>
      </w:r>
      <w:r w:rsidR="00502EEE">
        <w:rPr>
          <w:rFonts w:ascii="Times New Roman" w:hAnsi="Times New Roman" w:cs="Times New Roman"/>
        </w:rPr>
        <w:t xml:space="preserve"> revenue </w:t>
      </w:r>
      <w:r w:rsidRPr="000444C2" w:rsidR="00502EEE">
        <w:rPr>
          <w:rFonts w:ascii="Times New Roman" w:hAnsi="Times New Roman" w:cs="Times New Roman"/>
        </w:rPr>
        <w:t>data</w:t>
      </w:r>
      <w:r w:rsidRPr="000444C2" w:rsidR="00530B14">
        <w:rPr>
          <w:rFonts w:ascii="Times New Roman" w:hAnsi="Times New Roman" w:cs="Times New Roman"/>
        </w:rPr>
        <w:t xml:space="preserve"> </w:t>
      </w:r>
      <w:r w:rsidRPr="000444C2" w:rsidR="00850C49">
        <w:rPr>
          <w:rFonts w:ascii="Times New Roman" w:hAnsi="Times New Roman" w:cs="Times New Roman"/>
        </w:rPr>
        <w:t>(1,776)</w:t>
      </w:r>
      <w:r w:rsidRPr="000444C2" w:rsidR="00502EEE">
        <w:rPr>
          <w:rFonts w:ascii="Times New Roman" w:hAnsi="Times New Roman" w:cs="Times New Roman"/>
        </w:rPr>
        <w:t>.</w:t>
      </w:r>
      <w:r w:rsidR="00502EEE">
        <w:rPr>
          <w:rFonts w:ascii="Times New Roman" w:hAnsi="Times New Roman" w:cs="Times New Roman"/>
        </w:rPr>
        <w:t xml:space="preserve"> This is fewer than the </w:t>
      </w:r>
      <w:r w:rsidR="00850C49">
        <w:rPr>
          <w:rFonts w:ascii="Times New Roman" w:hAnsi="Times New Roman" w:cs="Times New Roman"/>
        </w:rPr>
        <w:t>total number of small entities</w:t>
      </w:r>
      <w:r w:rsidR="00BB489E">
        <w:rPr>
          <w:rFonts w:ascii="Times New Roman" w:hAnsi="Times New Roman" w:cs="Times New Roman"/>
        </w:rPr>
        <w:t xml:space="preserve"> affected by the rule (2,63</w:t>
      </w:r>
      <w:r w:rsidR="00A718AF">
        <w:rPr>
          <w:rFonts w:ascii="Times New Roman" w:hAnsi="Times New Roman" w:cs="Times New Roman"/>
        </w:rPr>
        <w:t>6</w:t>
      </w:r>
      <w:r w:rsidR="00BB489E">
        <w:rPr>
          <w:rFonts w:ascii="Times New Roman" w:hAnsi="Times New Roman" w:cs="Times New Roman"/>
        </w:rPr>
        <w:t>)</w:t>
      </w:r>
      <w:r w:rsidR="00502EEE">
        <w:rPr>
          <w:rFonts w:ascii="Times New Roman" w:hAnsi="Times New Roman" w:cs="Times New Roman"/>
        </w:rPr>
        <w:t xml:space="preserve"> and analyzed above because the extrapolation exercise described in Section 8.2.1 was done at the 3-digit NAICS level. </w:t>
      </w:r>
      <w:r w:rsidR="00A718AF">
        <w:rPr>
          <w:rFonts w:ascii="Times New Roman" w:hAnsi="Times New Roman" w:cs="Times New Roman"/>
        </w:rPr>
        <w:t>M</w:t>
      </w:r>
      <w:r w:rsidR="00502EEE">
        <w:rPr>
          <w:rFonts w:ascii="Times New Roman" w:hAnsi="Times New Roman" w:cs="Times New Roman"/>
        </w:rPr>
        <w:t>ost 6-digit NAICS codes</w:t>
      </w:r>
      <w:r w:rsidR="00A718AF">
        <w:rPr>
          <w:rFonts w:ascii="Times New Roman" w:hAnsi="Times New Roman" w:cs="Times New Roman"/>
        </w:rPr>
        <w:t xml:space="preserve"> have</w:t>
      </w:r>
      <w:r w:rsidR="00502EEE">
        <w:rPr>
          <w:rFonts w:ascii="Times New Roman" w:hAnsi="Times New Roman" w:cs="Times New Roman"/>
        </w:rPr>
        <w:t xml:space="preserve"> too few entities</w:t>
      </w:r>
      <w:r w:rsidR="00A718AF">
        <w:rPr>
          <w:rFonts w:ascii="Times New Roman" w:hAnsi="Times New Roman" w:cs="Times New Roman"/>
        </w:rPr>
        <w:t xml:space="preserve"> from whic</w:t>
      </w:r>
      <w:r w:rsidR="00805112">
        <w:rPr>
          <w:rFonts w:ascii="Times New Roman" w:hAnsi="Times New Roman" w:cs="Times New Roman"/>
        </w:rPr>
        <w:t>h</w:t>
      </w:r>
      <w:r w:rsidR="00502EEE">
        <w:rPr>
          <w:rFonts w:ascii="Times New Roman" w:hAnsi="Times New Roman" w:cs="Times New Roman"/>
        </w:rPr>
        <w:t xml:space="preserve"> to reasonably extrapolate</w:t>
      </w:r>
      <w:r w:rsidR="00A718AF">
        <w:rPr>
          <w:rFonts w:ascii="Times New Roman" w:hAnsi="Times New Roman" w:cs="Times New Roman"/>
        </w:rPr>
        <w:t>.</w:t>
      </w:r>
      <w:r w:rsidR="00502EEE">
        <w:rPr>
          <w:rFonts w:ascii="Times New Roman" w:hAnsi="Times New Roman" w:cs="Times New Roman"/>
        </w:rPr>
        <w:t xml:space="preserve"> </w:t>
      </w:r>
      <w:r w:rsidR="0087147B">
        <w:rPr>
          <w:rFonts w:ascii="Times New Roman" w:hAnsi="Times New Roman" w:cs="Times New Roman"/>
        </w:rPr>
        <w:t xml:space="preserve">Thus, EPA focused the analysis of revenue impacts </w:t>
      </w:r>
      <w:r w:rsidR="00472EA3">
        <w:rPr>
          <w:rFonts w:ascii="Times New Roman" w:hAnsi="Times New Roman" w:cs="Times New Roman"/>
        </w:rPr>
        <w:t>by</w:t>
      </w:r>
      <w:r w:rsidR="0087147B">
        <w:rPr>
          <w:rFonts w:ascii="Times New Roman" w:hAnsi="Times New Roman" w:cs="Times New Roman"/>
        </w:rPr>
        <w:t xml:space="preserve"> </w:t>
      </w:r>
      <w:r w:rsidR="0079083D">
        <w:rPr>
          <w:rFonts w:ascii="Times New Roman" w:hAnsi="Times New Roman" w:cs="Times New Roman"/>
        </w:rPr>
        <w:t xml:space="preserve">6-digit </w:t>
      </w:r>
      <w:r w:rsidR="0087147B">
        <w:rPr>
          <w:rFonts w:ascii="Times New Roman" w:hAnsi="Times New Roman" w:cs="Times New Roman"/>
        </w:rPr>
        <w:t>NAICS</w:t>
      </w:r>
      <w:r w:rsidR="00431D1C">
        <w:rPr>
          <w:rFonts w:ascii="Times New Roman" w:hAnsi="Times New Roman" w:cs="Times New Roman"/>
        </w:rPr>
        <w:t xml:space="preserve"> </w:t>
      </w:r>
      <w:r w:rsidR="00A718AF">
        <w:rPr>
          <w:rFonts w:ascii="Times New Roman" w:hAnsi="Times New Roman" w:cs="Times New Roman"/>
        </w:rPr>
        <w:t>sectors</w:t>
      </w:r>
      <w:r w:rsidR="0046608E">
        <w:rPr>
          <w:rFonts w:ascii="Times New Roman" w:hAnsi="Times New Roman" w:cs="Times New Roman"/>
        </w:rPr>
        <w:t xml:space="preserve"> </w:t>
      </w:r>
      <w:r w:rsidR="00616FBB">
        <w:rPr>
          <w:rFonts w:ascii="Times New Roman" w:hAnsi="Times New Roman" w:cs="Times New Roman"/>
        </w:rPr>
        <w:t>on</w:t>
      </w:r>
      <w:r w:rsidR="00431D1C">
        <w:rPr>
          <w:rFonts w:ascii="Times New Roman" w:hAnsi="Times New Roman" w:cs="Times New Roman"/>
        </w:rPr>
        <w:t xml:space="preserve"> </w:t>
      </w:r>
      <w:r w:rsidR="009B629C">
        <w:rPr>
          <w:rFonts w:ascii="Times New Roman" w:hAnsi="Times New Roman" w:cs="Times New Roman"/>
        </w:rPr>
        <w:t xml:space="preserve">only </w:t>
      </w:r>
      <w:r w:rsidR="00431D1C">
        <w:rPr>
          <w:rFonts w:ascii="Times New Roman" w:hAnsi="Times New Roman" w:cs="Times New Roman"/>
        </w:rPr>
        <w:t xml:space="preserve">those entities with </w:t>
      </w:r>
      <w:r w:rsidR="0079083D">
        <w:rPr>
          <w:rFonts w:ascii="Times New Roman" w:hAnsi="Times New Roman" w:cs="Times New Roman"/>
        </w:rPr>
        <w:t xml:space="preserve">matched revenue </w:t>
      </w:r>
      <w:r w:rsidR="00431D1C">
        <w:rPr>
          <w:rFonts w:ascii="Times New Roman" w:hAnsi="Times New Roman" w:cs="Times New Roman"/>
        </w:rPr>
        <w:t>data</w:t>
      </w:r>
      <w:r w:rsidR="001F58D0">
        <w:rPr>
          <w:rFonts w:ascii="Times New Roman" w:hAnsi="Times New Roman" w:cs="Times New Roman"/>
        </w:rPr>
        <w:t>. Exhibit 8-8 shows the number of matched entities</w:t>
      </w:r>
      <w:r w:rsidR="0046608E">
        <w:rPr>
          <w:rFonts w:ascii="Times New Roman" w:hAnsi="Times New Roman" w:cs="Times New Roman"/>
        </w:rPr>
        <w:t xml:space="preserve"> for each of the top ten </w:t>
      </w:r>
      <w:r w:rsidR="00A718AF">
        <w:rPr>
          <w:rFonts w:ascii="Times New Roman" w:hAnsi="Times New Roman" w:cs="Times New Roman"/>
        </w:rPr>
        <w:t>sectors</w:t>
      </w:r>
      <w:r w:rsidR="001B7D96">
        <w:rPr>
          <w:rFonts w:ascii="Times New Roman" w:hAnsi="Times New Roman" w:cs="Times New Roman"/>
        </w:rPr>
        <w:t xml:space="preserve"> designated as small</w:t>
      </w:r>
      <w:r w:rsidR="00A718AF">
        <w:rPr>
          <w:rFonts w:ascii="Times New Roman" w:hAnsi="Times New Roman" w:cs="Times New Roman"/>
        </w:rPr>
        <w:t>,</w:t>
      </w:r>
      <w:r w:rsidR="001B7D96">
        <w:rPr>
          <w:rFonts w:ascii="Times New Roman" w:hAnsi="Times New Roman" w:cs="Times New Roman"/>
        </w:rPr>
        <w:t xml:space="preserve"> as well as the remaining </w:t>
      </w:r>
      <w:r w:rsidR="00DD7B34">
        <w:rPr>
          <w:rFonts w:ascii="Times New Roman" w:hAnsi="Times New Roman" w:cs="Times New Roman"/>
        </w:rPr>
        <w:t>sectors</w:t>
      </w:r>
      <w:r w:rsidR="001F58D0">
        <w:rPr>
          <w:rFonts w:ascii="Times New Roman" w:hAnsi="Times New Roman" w:cs="Times New Roman"/>
        </w:rPr>
        <w:t xml:space="preserve"> for which </w:t>
      </w:r>
      <w:r w:rsidR="00250E45">
        <w:rPr>
          <w:rFonts w:ascii="Times New Roman" w:hAnsi="Times New Roman" w:cs="Times New Roman"/>
        </w:rPr>
        <w:t>these small entities had</w:t>
      </w:r>
      <w:r w:rsidR="001F58D0">
        <w:rPr>
          <w:rFonts w:ascii="Times New Roman" w:hAnsi="Times New Roman" w:cs="Times New Roman"/>
        </w:rPr>
        <w:t xml:space="preserve"> </w:t>
      </w:r>
      <w:r w:rsidR="0046608E">
        <w:rPr>
          <w:rFonts w:ascii="Times New Roman" w:hAnsi="Times New Roman" w:cs="Times New Roman"/>
        </w:rPr>
        <w:t>corresponding six-digit NACIS information</w:t>
      </w:r>
      <w:r w:rsidR="00250E45">
        <w:rPr>
          <w:rFonts w:ascii="Times New Roman" w:hAnsi="Times New Roman" w:cs="Times New Roman"/>
        </w:rPr>
        <w:t>.</w:t>
      </w:r>
      <w:r w:rsidR="0027713A">
        <w:rPr>
          <w:rFonts w:ascii="Times New Roman" w:hAnsi="Times New Roman" w:cs="Times New Roman"/>
        </w:rPr>
        <w:t xml:space="preserve"> The NAICS subsector 325998 has a larger percentage of entities with revenue impact greater than 3 percent. This </w:t>
      </w:r>
      <w:r w:rsidRPr="0027713A" w:rsidR="0027713A">
        <w:rPr>
          <w:rFonts w:ascii="Times New Roman" w:hAnsi="Times New Roman" w:cs="Times New Roman"/>
        </w:rPr>
        <w:t xml:space="preserve">can be explained by the SBA size standards and entity revenue. This </w:t>
      </w:r>
      <w:r w:rsidR="00D558A6">
        <w:rPr>
          <w:rFonts w:ascii="Times New Roman" w:hAnsi="Times New Roman" w:cs="Times New Roman"/>
        </w:rPr>
        <w:t>sub</w:t>
      </w:r>
      <w:r w:rsidRPr="0027713A" w:rsidR="0027713A">
        <w:rPr>
          <w:rFonts w:ascii="Times New Roman" w:hAnsi="Times New Roman" w:cs="Times New Roman"/>
        </w:rPr>
        <w:t xml:space="preserve">sector has a lower size standard than the other </w:t>
      </w:r>
      <w:r w:rsidR="008250D4">
        <w:rPr>
          <w:rFonts w:ascii="Times New Roman" w:hAnsi="Times New Roman" w:cs="Times New Roman"/>
        </w:rPr>
        <w:t>NAICS</w:t>
      </w:r>
      <w:r w:rsidRPr="0027713A" w:rsidR="0027713A">
        <w:rPr>
          <w:rFonts w:ascii="Times New Roman" w:hAnsi="Times New Roman" w:cs="Times New Roman"/>
        </w:rPr>
        <w:t xml:space="preserve"> 325 sectors</w:t>
      </w:r>
      <w:r w:rsidR="00D558A6">
        <w:rPr>
          <w:rFonts w:ascii="Times New Roman" w:hAnsi="Times New Roman" w:cs="Times New Roman"/>
        </w:rPr>
        <w:t xml:space="preserve">, with a limit of </w:t>
      </w:r>
      <w:r w:rsidRPr="0027713A" w:rsidR="0027713A">
        <w:rPr>
          <w:rFonts w:ascii="Times New Roman" w:hAnsi="Times New Roman" w:cs="Times New Roman"/>
        </w:rPr>
        <w:t>500 employees versus 1,000+ employees</w:t>
      </w:r>
      <w:r w:rsidR="00D558A6">
        <w:rPr>
          <w:rFonts w:ascii="Times New Roman" w:hAnsi="Times New Roman" w:cs="Times New Roman"/>
        </w:rPr>
        <w:t xml:space="preserve"> for other subsectors</w:t>
      </w:r>
      <w:r w:rsidRPr="0027713A" w:rsidR="0027713A">
        <w:rPr>
          <w:rFonts w:ascii="Times New Roman" w:hAnsi="Times New Roman" w:cs="Times New Roman"/>
        </w:rPr>
        <w:t xml:space="preserve">, meaning more entities were qualified as small. </w:t>
      </w:r>
      <w:r w:rsidR="005A536F">
        <w:rPr>
          <w:rFonts w:ascii="Times New Roman" w:hAnsi="Times New Roman" w:cs="Times New Roman"/>
        </w:rPr>
        <w:t>As a result</w:t>
      </w:r>
      <w:r w:rsidRPr="0027713A" w:rsidR="0027713A">
        <w:rPr>
          <w:rFonts w:ascii="Times New Roman" w:hAnsi="Times New Roman" w:cs="Times New Roman"/>
        </w:rPr>
        <w:t xml:space="preserve">, the </w:t>
      </w:r>
      <w:r w:rsidR="00D429D3">
        <w:rPr>
          <w:rFonts w:ascii="Times New Roman" w:hAnsi="Times New Roman" w:cs="Times New Roman"/>
        </w:rPr>
        <w:t>sub</w:t>
      </w:r>
      <w:r w:rsidRPr="0027713A" w:rsidR="0027713A">
        <w:rPr>
          <w:rFonts w:ascii="Times New Roman" w:hAnsi="Times New Roman" w:cs="Times New Roman"/>
        </w:rPr>
        <w:t xml:space="preserve">sector's </w:t>
      </w:r>
      <w:r w:rsidR="005A536F">
        <w:rPr>
          <w:rFonts w:ascii="Times New Roman" w:hAnsi="Times New Roman" w:cs="Times New Roman"/>
        </w:rPr>
        <w:t xml:space="preserve">average </w:t>
      </w:r>
      <w:r w:rsidRPr="0027713A" w:rsidR="0027713A">
        <w:rPr>
          <w:rFonts w:ascii="Times New Roman" w:hAnsi="Times New Roman" w:cs="Times New Roman"/>
        </w:rPr>
        <w:t xml:space="preserve">revenue is </w:t>
      </w:r>
      <w:r w:rsidR="005A536F">
        <w:rPr>
          <w:rFonts w:ascii="Times New Roman" w:hAnsi="Times New Roman" w:cs="Times New Roman"/>
        </w:rPr>
        <w:t>lower</w:t>
      </w:r>
      <w:r w:rsidRPr="0027713A" w:rsidR="0027713A">
        <w:rPr>
          <w:rFonts w:ascii="Times New Roman" w:hAnsi="Times New Roman" w:cs="Times New Roman"/>
        </w:rPr>
        <w:t xml:space="preserve"> than the other </w:t>
      </w:r>
      <w:r w:rsidR="00085D2F">
        <w:rPr>
          <w:rFonts w:ascii="Times New Roman" w:hAnsi="Times New Roman" w:cs="Times New Roman"/>
        </w:rPr>
        <w:t xml:space="preserve">NAICS </w:t>
      </w:r>
      <w:r w:rsidRPr="0027713A" w:rsidR="0027713A">
        <w:rPr>
          <w:rFonts w:ascii="Times New Roman" w:hAnsi="Times New Roman" w:cs="Times New Roman"/>
        </w:rPr>
        <w:t>325 sectors entities</w:t>
      </w:r>
      <w:r w:rsidR="00B97830">
        <w:rPr>
          <w:rFonts w:ascii="Times New Roman" w:hAnsi="Times New Roman" w:cs="Times New Roman"/>
        </w:rPr>
        <w:t>, which increases the proportion of revenue impacted for this particu</w:t>
      </w:r>
      <w:r w:rsidR="00D429D3">
        <w:rPr>
          <w:rFonts w:ascii="Times New Roman" w:hAnsi="Times New Roman" w:cs="Times New Roman"/>
        </w:rPr>
        <w:t>lar subsector</w:t>
      </w:r>
      <w:r w:rsidRPr="0027713A" w:rsidR="0027713A">
        <w:rPr>
          <w:rFonts w:ascii="Times New Roman" w:hAnsi="Times New Roman" w:cs="Times New Roman"/>
        </w:rPr>
        <w:t>.</w:t>
      </w:r>
    </w:p>
    <w:p w:rsidR="00415DBF" w:rsidP="00693892" w14:paraId="4A2E1F6D" w14:textId="77777777">
      <w:pPr>
        <w:spacing w:after="0" w:line="240" w:lineRule="auto"/>
        <w:rPr>
          <w:rFonts w:ascii="Times New Roman" w:eastAsia="Calibri" w:hAnsi="Times New Roman" w:cs="Times New Roman"/>
          <w:b/>
        </w:rPr>
      </w:pPr>
    </w:p>
    <w:p w:rsidR="00BC0408" w:rsidP="00BC0408" w14:paraId="6678640C" w14:textId="77777777">
      <w:pPr>
        <w:jc w:val="center"/>
        <w:rPr>
          <w:rFonts w:ascii="Times New Roman" w:hAnsi="Times New Roman" w:cs="Times New Roman"/>
        </w:rPr>
      </w:pPr>
      <w:r>
        <w:rPr>
          <w:rFonts w:ascii="Times New Roman" w:hAnsi="Times New Roman" w:cs="Times New Roman"/>
          <w:b/>
          <w:bCs/>
        </w:rPr>
        <w:t xml:space="preserve">Exhibit </w:t>
      </w:r>
      <w:r w:rsidRPr="00E92045">
        <w:rPr>
          <w:rFonts w:ascii="Times New Roman" w:hAnsi="Times New Roman" w:cs="Times New Roman"/>
          <w:b/>
          <w:bCs/>
        </w:rPr>
        <w:t>8-</w:t>
      </w:r>
      <w:r w:rsidR="00086678">
        <w:rPr>
          <w:rFonts w:ascii="Times New Roman" w:hAnsi="Times New Roman" w:cs="Times New Roman"/>
          <w:b/>
          <w:bCs/>
        </w:rPr>
        <w:t>8</w:t>
      </w:r>
      <w:r w:rsidRPr="00E92045">
        <w:rPr>
          <w:rFonts w:ascii="Times New Roman" w:hAnsi="Times New Roman" w:cs="Times New Roman"/>
          <w:b/>
          <w:bCs/>
        </w:rPr>
        <w:t xml:space="preserve">: </w:t>
      </w:r>
      <w:r w:rsidR="00A43A5D">
        <w:rPr>
          <w:rFonts w:ascii="Times New Roman" w:hAnsi="Times New Roman" w:cs="Times New Roman"/>
          <w:b/>
          <w:bCs/>
        </w:rPr>
        <w:t>Revenue Impacts</w:t>
      </w:r>
      <w:r w:rsidRPr="00613855">
        <w:rPr>
          <w:rFonts w:ascii="Times New Roman" w:hAnsi="Times New Roman" w:cs="Times New Roman"/>
          <w:b/>
          <w:bCs/>
        </w:rPr>
        <w:t xml:space="preserve"> by </w:t>
      </w:r>
      <w:r w:rsidR="00BC4125">
        <w:rPr>
          <w:rFonts w:ascii="Times New Roman" w:hAnsi="Times New Roman" w:cs="Times New Roman"/>
          <w:b/>
          <w:bCs/>
        </w:rPr>
        <w:t xml:space="preserve">6-digit </w:t>
      </w:r>
      <w:r w:rsidRPr="00613855">
        <w:rPr>
          <w:rFonts w:ascii="Times New Roman" w:hAnsi="Times New Roman" w:cs="Times New Roman"/>
          <w:b/>
          <w:bCs/>
        </w:rPr>
        <w:t>NAICS Code</w:t>
      </w:r>
      <w:r w:rsidR="00BC4125">
        <w:rPr>
          <w:rFonts w:ascii="Times New Roman" w:hAnsi="Times New Roman" w:cs="Times New Roman"/>
          <w:b/>
          <w:bCs/>
        </w:rPr>
        <w:t xml:space="preserve"> for </w:t>
      </w:r>
      <w:r w:rsidR="00DD2507">
        <w:rPr>
          <w:rFonts w:ascii="Times New Roman" w:hAnsi="Times New Roman" w:cs="Times New Roman"/>
          <w:b/>
          <w:bCs/>
        </w:rPr>
        <w:t xml:space="preserve">Small </w:t>
      </w:r>
      <w:r w:rsidR="00BC4125">
        <w:rPr>
          <w:rFonts w:ascii="Times New Roman" w:hAnsi="Times New Roman" w:cs="Times New Roman"/>
          <w:b/>
          <w:bCs/>
        </w:rPr>
        <w:t>Entities with Matched Data</w:t>
      </w:r>
      <w:r>
        <w:rPr>
          <w:rFonts w:ascii="Times New Roman" w:hAnsi="Times New Roman" w:cs="Times New Roman"/>
          <w:b/>
          <w:bCs/>
        </w:rPr>
        <w:t>.</w:t>
      </w:r>
    </w:p>
    <w:tbl>
      <w:tblPr>
        <w:tblW w:w="10255" w:type="dxa"/>
        <w:tblLayout w:type="fixed"/>
        <w:tblLook w:val="04A0"/>
      </w:tblPr>
      <w:tblGrid>
        <w:gridCol w:w="1345"/>
        <w:gridCol w:w="4320"/>
        <w:gridCol w:w="1710"/>
        <w:gridCol w:w="960"/>
        <w:gridCol w:w="1020"/>
        <w:gridCol w:w="900"/>
      </w:tblGrid>
      <w:tr w14:paraId="49606F5B" w14:textId="77777777" w:rsidTr="00B41797">
        <w:tblPrEx>
          <w:tblW w:w="10255" w:type="dxa"/>
          <w:tblLayout w:type="fixed"/>
          <w:tblLook w:val="04A0"/>
        </w:tblPrEx>
        <w:trPr>
          <w:trHeight w:val="300"/>
          <w:tblHeader/>
        </w:trPr>
        <w:tc>
          <w:tcPr>
            <w:tcW w:w="134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rsidR="00B9720C" w:rsidRPr="00A742A9" w:rsidP="00FA04B8" w14:paraId="33A31D31" w14:textId="77777777">
            <w:pPr>
              <w:spacing w:after="0" w:line="240" w:lineRule="auto"/>
              <w:jc w:val="center"/>
              <w:rPr>
                <w:rFonts w:ascii="Times New Roman" w:eastAsia="Times New Roman" w:hAnsi="Times New Roman" w:cs="Times New Roman"/>
                <w:b/>
                <w:bCs/>
                <w:color w:val="000000"/>
                <w:sz w:val="20"/>
                <w:szCs w:val="20"/>
              </w:rPr>
            </w:pPr>
            <w:r w:rsidRPr="00A742A9">
              <w:rPr>
                <w:rFonts w:ascii="Times New Roman" w:eastAsia="Times New Roman" w:hAnsi="Times New Roman" w:cs="Times New Roman"/>
                <w:b/>
                <w:bCs/>
                <w:color w:val="000000"/>
                <w:sz w:val="20"/>
                <w:szCs w:val="20"/>
              </w:rPr>
              <w:t>NAICS Code</w:t>
            </w:r>
          </w:p>
          <w:p w:rsidR="00A742A9" w:rsidRPr="00A742A9" w:rsidP="00FA04B8" w14:paraId="13A3ABCF" w14:textId="77777777">
            <w:pPr>
              <w:spacing w:after="0" w:line="240" w:lineRule="auto"/>
              <w:jc w:val="center"/>
              <w:rPr>
                <w:rFonts w:ascii="Times New Roman" w:eastAsia="Times New Roman" w:hAnsi="Times New Roman" w:cs="Times New Roman"/>
                <w:b/>
                <w:bCs/>
                <w:color w:val="000000"/>
                <w:sz w:val="20"/>
                <w:szCs w:val="20"/>
              </w:rPr>
            </w:pPr>
          </w:p>
        </w:tc>
        <w:tc>
          <w:tcPr>
            <w:tcW w:w="4320"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B9720C" w:rsidRPr="00A742A9" w:rsidP="00FA04B8" w14:paraId="0902D0DC" w14:textId="77777777">
            <w:pPr>
              <w:spacing w:after="0" w:line="240" w:lineRule="auto"/>
              <w:jc w:val="center"/>
              <w:rPr>
                <w:rFonts w:ascii="Times New Roman" w:eastAsia="Times New Roman" w:hAnsi="Times New Roman" w:cs="Times New Roman"/>
                <w:b/>
                <w:bCs/>
                <w:color w:val="000000"/>
                <w:sz w:val="20"/>
                <w:szCs w:val="20"/>
              </w:rPr>
            </w:pPr>
            <w:r w:rsidRPr="00A742A9">
              <w:rPr>
                <w:rFonts w:ascii="Times New Roman" w:eastAsia="Times New Roman" w:hAnsi="Times New Roman" w:cs="Times New Roman"/>
                <w:b/>
                <w:bCs/>
                <w:color w:val="000000"/>
                <w:sz w:val="20"/>
                <w:szCs w:val="20"/>
              </w:rPr>
              <w:t>NAICS Description</w:t>
            </w:r>
          </w:p>
          <w:p w:rsidR="00A742A9" w:rsidRPr="00A742A9" w:rsidP="00FA04B8" w14:paraId="4C13454A" w14:textId="77777777">
            <w:pPr>
              <w:spacing w:after="0" w:line="240" w:lineRule="auto"/>
              <w:jc w:val="center"/>
              <w:rPr>
                <w:rFonts w:ascii="Times New Roman" w:eastAsia="Times New Roman" w:hAnsi="Times New Roman" w:cs="Times New Roman"/>
                <w:b/>
                <w:bCs/>
                <w:color w:val="000000"/>
                <w:sz w:val="20"/>
                <w:szCs w:val="20"/>
              </w:rPr>
            </w:pPr>
          </w:p>
        </w:tc>
        <w:tc>
          <w:tcPr>
            <w:tcW w:w="1710" w:type="dxa"/>
            <w:vMerge w:val="restart"/>
            <w:tcBorders>
              <w:top w:val="single" w:sz="4" w:space="0" w:color="auto"/>
              <w:left w:val="nil"/>
              <w:right w:val="single" w:sz="4" w:space="0" w:color="auto"/>
            </w:tcBorders>
            <w:shd w:val="clear" w:color="auto" w:fill="D9D9D9" w:themeFill="background1" w:themeFillShade="D9"/>
            <w:vAlign w:val="center"/>
          </w:tcPr>
          <w:p w:rsidR="00622DAB" w:rsidRPr="00A742A9" w:rsidP="00A742A9" w14:paraId="1A55F8A8" w14:textId="77777777">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Number of Matched Entities</w:t>
            </w:r>
          </w:p>
        </w:tc>
        <w:tc>
          <w:tcPr>
            <w:tcW w:w="28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742A9" w:rsidRPr="00A742A9" w:rsidP="00A742A9" w14:paraId="6F311786" w14:textId="77777777">
            <w:pPr>
              <w:spacing w:after="0" w:line="240" w:lineRule="auto"/>
              <w:jc w:val="center"/>
              <w:rPr>
                <w:rFonts w:ascii="Times New Roman" w:eastAsia="Times New Roman" w:hAnsi="Times New Roman" w:cs="Times New Roman"/>
                <w:b/>
                <w:bCs/>
                <w:sz w:val="20"/>
                <w:szCs w:val="20"/>
              </w:rPr>
            </w:pPr>
            <w:r w:rsidRPr="00A742A9">
              <w:rPr>
                <w:rFonts w:ascii="Times New Roman" w:eastAsia="Times New Roman" w:hAnsi="Times New Roman" w:cs="Times New Roman"/>
                <w:b/>
                <w:bCs/>
                <w:sz w:val="20"/>
                <w:szCs w:val="20"/>
              </w:rPr>
              <w:t>Proportion of Revenue Impacted</w:t>
            </w:r>
          </w:p>
        </w:tc>
      </w:tr>
      <w:tr w14:paraId="36F25E7C" w14:textId="77777777" w:rsidTr="00532C66">
        <w:tblPrEx>
          <w:tblW w:w="10255" w:type="dxa"/>
          <w:tblLayout w:type="fixed"/>
          <w:tblLook w:val="04A0"/>
        </w:tblPrEx>
        <w:trPr>
          <w:trHeight w:val="320"/>
        </w:trPr>
        <w:tc>
          <w:tcPr>
            <w:tcW w:w="1345" w:type="dxa"/>
            <w:vMerge/>
            <w:tcBorders>
              <w:left w:val="single" w:sz="4" w:space="0" w:color="auto"/>
              <w:bottom w:val="single" w:sz="4" w:space="0" w:color="auto"/>
              <w:right w:val="single" w:sz="4" w:space="0" w:color="auto"/>
            </w:tcBorders>
            <w:shd w:val="clear" w:color="auto" w:fill="auto"/>
            <w:noWrap/>
            <w:vAlign w:val="center"/>
            <w:hideMark/>
          </w:tcPr>
          <w:p w:rsidR="00A742A9" w:rsidRPr="00A742A9" w:rsidP="00FA04B8" w14:paraId="139CE3AF" w14:textId="77777777">
            <w:pPr>
              <w:spacing w:after="0" w:line="240" w:lineRule="auto"/>
              <w:jc w:val="center"/>
              <w:rPr>
                <w:rFonts w:ascii="Times New Roman" w:eastAsia="Times New Roman" w:hAnsi="Times New Roman" w:cs="Times New Roman"/>
                <w:color w:val="000000"/>
                <w:sz w:val="20"/>
                <w:szCs w:val="20"/>
              </w:rPr>
            </w:pPr>
          </w:p>
        </w:tc>
        <w:tc>
          <w:tcPr>
            <w:tcW w:w="4320" w:type="dxa"/>
            <w:vMerge/>
            <w:tcBorders>
              <w:left w:val="nil"/>
              <w:bottom w:val="single" w:sz="4" w:space="0" w:color="auto"/>
              <w:right w:val="single" w:sz="4" w:space="0" w:color="auto"/>
            </w:tcBorders>
            <w:shd w:val="clear" w:color="auto" w:fill="auto"/>
            <w:noWrap/>
            <w:vAlign w:val="center"/>
            <w:hideMark/>
          </w:tcPr>
          <w:p w:rsidR="00A742A9" w:rsidRPr="00A742A9" w:rsidP="00FA04B8" w14:paraId="04D75A17" w14:textId="77777777">
            <w:pPr>
              <w:spacing w:after="0" w:line="240" w:lineRule="auto"/>
              <w:jc w:val="center"/>
              <w:rPr>
                <w:rFonts w:ascii="Times New Roman" w:eastAsia="Times New Roman" w:hAnsi="Times New Roman" w:cs="Times New Roman"/>
                <w:color w:val="000000"/>
                <w:sz w:val="20"/>
                <w:szCs w:val="20"/>
              </w:rPr>
            </w:pPr>
          </w:p>
        </w:tc>
        <w:tc>
          <w:tcPr>
            <w:tcW w:w="1710" w:type="dxa"/>
            <w:vMerge/>
            <w:tcBorders>
              <w:left w:val="nil"/>
              <w:bottom w:val="single" w:sz="4" w:space="0" w:color="auto"/>
              <w:right w:val="single" w:sz="4" w:space="0" w:color="auto"/>
            </w:tcBorders>
            <w:vAlign w:val="center"/>
          </w:tcPr>
          <w:p w:rsidR="00622DAB" w:rsidRPr="00A742A9" w:rsidP="00FA04B8" w14:paraId="54A7C998" w14:textId="77777777">
            <w:pPr>
              <w:spacing w:after="0" w:line="240" w:lineRule="auto"/>
              <w:jc w:val="center"/>
              <w:rPr>
                <w:rFonts w:ascii="Times New Roman" w:eastAsia="Times New Roman" w:hAnsi="Times New Roman" w:cs="Times New Roman"/>
                <w:b/>
                <w:bCs/>
                <w:sz w:val="20"/>
                <w:szCs w:val="20"/>
              </w:rPr>
            </w:pPr>
          </w:p>
        </w:tc>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742A9" w:rsidRPr="00A742A9" w:rsidP="00FA04B8" w14:paraId="43EDB09F" w14:textId="77777777">
            <w:pPr>
              <w:spacing w:after="0" w:line="240" w:lineRule="auto"/>
              <w:jc w:val="center"/>
              <w:rPr>
                <w:rFonts w:ascii="Times New Roman" w:eastAsia="Times New Roman" w:hAnsi="Times New Roman" w:cs="Times New Roman"/>
                <w:b/>
                <w:sz w:val="20"/>
                <w:szCs w:val="20"/>
              </w:rPr>
            </w:pPr>
            <w:r w:rsidRPr="00A742A9">
              <w:rPr>
                <w:rFonts w:ascii="Times New Roman" w:eastAsia="Times New Roman" w:hAnsi="Times New Roman" w:cs="Times New Roman"/>
                <w:b/>
                <w:sz w:val="20"/>
                <w:szCs w:val="20"/>
              </w:rPr>
              <w:t>&lt; 1%</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hideMark/>
          </w:tcPr>
          <w:p w:rsidR="00A742A9" w:rsidRPr="00A742A9" w:rsidP="00FA04B8" w14:paraId="109DACE4" w14:textId="77777777">
            <w:pPr>
              <w:spacing w:after="0" w:line="240" w:lineRule="auto"/>
              <w:jc w:val="center"/>
              <w:rPr>
                <w:rFonts w:ascii="Times New Roman" w:eastAsia="Times New Roman" w:hAnsi="Times New Roman" w:cs="Times New Roman"/>
                <w:b/>
                <w:sz w:val="20"/>
                <w:szCs w:val="20"/>
              </w:rPr>
            </w:pPr>
            <w:r w:rsidRPr="00A742A9">
              <w:rPr>
                <w:rFonts w:ascii="Times New Roman" w:eastAsia="Times New Roman" w:hAnsi="Times New Roman" w:cs="Times New Roman"/>
                <w:b/>
                <w:sz w:val="20"/>
                <w:szCs w:val="20"/>
              </w:rPr>
              <w:t>1% - 3%</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rsidR="00A742A9" w:rsidRPr="00A742A9" w:rsidP="00FA04B8" w14:paraId="0BFE543D" w14:textId="77777777">
            <w:pPr>
              <w:spacing w:after="0" w:line="240" w:lineRule="auto"/>
              <w:jc w:val="center"/>
              <w:rPr>
                <w:rFonts w:ascii="Times New Roman" w:eastAsia="Times New Roman" w:hAnsi="Times New Roman" w:cs="Times New Roman"/>
                <w:b/>
                <w:sz w:val="20"/>
                <w:szCs w:val="20"/>
              </w:rPr>
            </w:pPr>
            <w:r w:rsidRPr="00A742A9">
              <w:rPr>
                <w:rFonts w:ascii="Times New Roman" w:eastAsia="Times New Roman" w:hAnsi="Times New Roman" w:cs="Times New Roman"/>
                <w:b/>
                <w:sz w:val="20"/>
                <w:szCs w:val="20"/>
              </w:rPr>
              <w:t>&gt;3%</w:t>
            </w:r>
          </w:p>
        </w:tc>
      </w:tr>
      <w:tr w14:paraId="36ECA9DB" w14:textId="77777777" w:rsidTr="00902B24">
        <w:tblPrEx>
          <w:tblW w:w="10255" w:type="dxa"/>
          <w:tblLayout w:type="fixed"/>
          <w:tblLook w:val="04A0"/>
        </w:tblPrEx>
        <w:trPr>
          <w:trHeight w:val="32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0B1F88FA"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424910</w:t>
            </w:r>
          </w:p>
        </w:tc>
        <w:tc>
          <w:tcPr>
            <w:tcW w:w="43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53D68EB3" w14:textId="77777777">
            <w:pPr>
              <w:spacing w:after="0" w:line="240" w:lineRule="auto"/>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Farm Supplies Merchant Wholesalers</w:t>
            </w:r>
          </w:p>
        </w:tc>
        <w:tc>
          <w:tcPr>
            <w:tcW w:w="1710" w:type="dxa"/>
            <w:tcBorders>
              <w:top w:val="single" w:sz="4" w:space="0" w:color="auto"/>
              <w:left w:val="nil"/>
              <w:bottom w:val="single" w:sz="4" w:space="0" w:color="auto"/>
              <w:right w:val="single" w:sz="4" w:space="0" w:color="auto"/>
            </w:tcBorders>
            <w:vAlign w:val="bottom"/>
          </w:tcPr>
          <w:p w:rsidR="00622DAB" w:rsidRPr="00A742A9" w:rsidP="00A742A9" w14:paraId="692D457D" w14:textId="77777777">
            <w:pPr>
              <w:spacing w:after="0" w:line="240" w:lineRule="auto"/>
              <w:jc w:val="right"/>
              <w:rPr>
                <w:rFonts w:ascii="Times New Roman" w:eastAsia="Times New Roman" w:hAnsi="Times New Roman" w:cs="Times New Roman"/>
                <w:color w:val="000000"/>
                <w:sz w:val="20"/>
                <w:szCs w:val="20"/>
              </w:rPr>
            </w:pPr>
            <w:r w:rsidRPr="00902B24">
              <w:rPr>
                <w:rFonts w:ascii="Times New Roman" w:hAnsi="Times New Roman" w:cs="Times New Roman"/>
                <w:color w:val="000000"/>
                <w:sz w:val="20"/>
                <w:szCs w:val="20"/>
              </w:rPr>
              <w:t>146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08CFABCC"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93%</w:t>
            </w:r>
          </w:p>
        </w:tc>
        <w:tc>
          <w:tcPr>
            <w:tcW w:w="10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21FE6D5B"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6%</w:t>
            </w:r>
          </w:p>
        </w:tc>
        <w:tc>
          <w:tcPr>
            <w:tcW w:w="90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38B5F109"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1%</w:t>
            </w:r>
          </w:p>
        </w:tc>
      </w:tr>
      <w:tr w14:paraId="5F74F58A" w14:textId="77777777" w:rsidTr="00902B24">
        <w:tblPrEx>
          <w:tblW w:w="10255" w:type="dxa"/>
          <w:tblLayout w:type="fixed"/>
          <w:tblLook w:val="04A0"/>
        </w:tblPrEx>
        <w:trPr>
          <w:trHeight w:val="32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303D0A41"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493130</w:t>
            </w:r>
          </w:p>
        </w:tc>
        <w:tc>
          <w:tcPr>
            <w:tcW w:w="43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30BF3555" w14:textId="77777777">
            <w:pPr>
              <w:spacing w:after="0" w:line="240" w:lineRule="auto"/>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Farm Product Warehousing and Storage</w:t>
            </w:r>
          </w:p>
        </w:tc>
        <w:tc>
          <w:tcPr>
            <w:tcW w:w="1710" w:type="dxa"/>
            <w:tcBorders>
              <w:top w:val="single" w:sz="4" w:space="0" w:color="auto"/>
              <w:left w:val="nil"/>
              <w:bottom w:val="single" w:sz="4" w:space="0" w:color="auto"/>
              <w:right w:val="single" w:sz="4" w:space="0" w:color="auto"/>
            </w:tcBorders>
            <w:vAlign w:val="bottom"/>
          </w:tcPr>
          <w:p w:rsidR="00622DAB" w:rsidRPr="00A742A9" w:rsidP="00A742A9" w14:paraId="326DCFED" w14:textId="77777777">
            <w:pPr>
              <w:spacing w:after="0" w:line="240" w:lineRule="auto"/>
              <w:jc w:val="right"/>
              <w:rPr>
                <w:rFonts w:ascii="Times New Roman" w:eastAsia="Times New Roman" w:hAnsi="Times New Roman" w:cs="Times New Roman"/>
                <w:color w:val="000000"/>
                <w:sz w:val="20"/>
                <w:szCs w:val="20"/>
              </w:rPr>
            </w:pPr>
            <w:r w:rsidRPr="00902B24">
              <w:rPr>
                <w:rFonts w:ascii="Times New Roman" w:hAnsi="Times New Roman" w:cs="Times New Roman"/>
                <w:color w:val="000000"/>
                <w:sz w:val="20"/>
                <w:szCs w:val="20"/>
              </w:rPr>
              <w:t>96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39CE8CF7"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9</w:t>
            </w:r>
            <w:r w:rsidR="006304CF">
              <w:rPr>
                <w:rFonts w:ascii="Times New Roman" w:eastAsia="Times New Roman" w:hAnsi="Times New Roman" w:cs="Times New Roman"/>
                <w:color w:val="000000"/>
                <w:sz w:val="20"/>
                <w:szCs w:val="20"/>
              </w:rPr>
              <w:t>5</w:t>
            </w:r>
            <w:r w:rsidRPr="00A742A9">
              <w:rPr>
                <w:rFonts w:ascii="Times New Roman" w:eastAsia="Times New Roman" w:hAnsi="Times New Roman" w:cs="Times New Roman"/>
                <w:color w:val="000000"/>
                <w:sz w:val="20"/>
                <w:szCs w:val="20"/>
              </w:rPr>
              <w:t>%</w:t>
            </w:r>
          </w:p>
        </w:tc>
        <w:tc>
          <w:tcPr>
            <w:tcW w:w="10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4402BFB7" w14:textId="7777777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A742A9">
              <w:rPr>
                <w:rFonts w:ascii="Times New Roman" w:eastAsia="Times New Roman" w:hAnsi="Times New Roman"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38819D1B"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0%</w:t>
            </w:r>
          </w:p>
        </w:tc>
      </w:tr>
      <w:tr w14:paraId="26CF2006" w14:textId="77777777" w:rsidTr="00902B24">
        <w:tblPrEx>
          <w:tblW w:w="10255" w:type="dxa"/>
          <w:tblLayout w:type="fixed"/>
          <w:tblLook w:val="04A0"/>
        </w:tblPrEx>
        <w:trPr>
          <w:trHeight w:val="32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24FC9C15"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444220</w:t>
            </w:r>
          </w:p>
        </w:tc>
        <w:tc>
          <w:tcPr>
            <w:tcW w:w="43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09FC8928" w14:textId="77777777">
            <w:pPr>
              <w:spacing w:after="0" w:line="240" w:lineRule="auto"/>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Nursery and Garden Centers</w:t>
            </w:r>
          </w:p>
        </w:tc>
        <w:tc>
          <w:tcPr>
            <w:tcW w:w="1710" w:type="dxa"/>
            <w:tcBorders>
              <w:top w:val="single" w:sz="4" w:space="0" w:color="auto"/>
              <w:left w:val="nil"/>
              <w:bottom w:val="single" w:sz="4" w:space="0" w:color="auto"/>
              <w:right w:val="single" w:sz="4" w:space="0" w:color="auto"/>
            </w:tcBorders>
            <w:vAlign w:val="bottom"/>
          </w:tcPr>
          <w:p w:rsidR="00622DAB" w:rsidRPr="00A742A9" w:rsidP="00A742A9" w14:paraId="3826677F" w14:textId="77777777">
            <w:pPr>
              <w:spacing w:after="0" w:line="240" w:lineRule="auto"/>
              <w:jc w:val="right"/>
              <w:rPr>
                <w:rFonts w:ascii="Times New Roman" w:eastAsia="Times New Roman" w:hAnsi="Times New Roman" w:cs="Times New Roman"/>
                <w:color w:val="000000"/>
                <w:sz w:val="20"/>
                <w:szCs w:val="20"/>
              </w:rPr>
            </w:pPr>
            <w:r w:rsidRPr="00902B24">
              <w:rPr>
                <w:rFonts w:ascii="Times New Roman" w:hAnsi="Times New Roman" w:cs="Times New Roman"/>
                <w:color w:val="000000"/>
                <w:sz w:val="20"/>
                <w:szCs w:val="20"/>
              </w:rPr>
              <w:t>60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345D542B"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93%</w:t>
            </w:r>
          </w:p>
        </w:tc>
        <w:tc>
          <w:tcPr>
            <w:tcW w:w="10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7B72D813"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7FD844AA"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2%</w:t>
            </w:r>
          </w:p>
        </w:tc>
      </w:tr>
      <w:tr w14:paraId="4ACEF90B" w14:textId="77777777" w:rsidTr="00902B24">
        <w:tblPrEx>
          <w:tblW w:w="10255" w:type="dxa"/>
          <w:tblLayout w:type="fixed"/>
          <w:tblLook w:val="04A0"/>
        </w:tblPrEx>
        <w:trPr>
          <w:trHeight w:val="31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730C602A"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493120</w:t>
            </w:r>
          </w:p>
        </w:tc>
        <w:tc>
          <w:tcPr>
            <w:tcW w:w="43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3CD2313B" w14:textId="77777777">
            <w:pPr>
              <w:spacing w:after="0" w:line="240" w:lineRule="auto"/>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Refrigerated Warehousing and Storage</w:t>
            </w:r>
          </w:p>
        </w:tc>
        <w:tc>
          <w:tcPr>
            <w:tcW w:w="1710" w:type="dxa"/>
            <w:tcBorders>
              <w:top w:val="single" w:sz="4" w:space="0" w:color="auto"/>
              <w:left w:val="nil"/>
              <w:bottom w:val="single" w:sz="4" w:space="0" w:color="auto"/>
              <w:right w:val="single" w:sz="4" w:space="0" w:color="auto"/>
            </w:tcBorders>
            <w:vAlign w:val="bottom"/>
          </w:tcPr>
          <w:p w:rsidR="00622DAB" w:rsidRPr="00A742A9" w:rsidP="00A742A9" w14:paraId="66B77594" w14:textId="77777777">
            <w:pPr>
              <w:spacing w:after="0" w:line="240" w:lineRule="auto"/>
              <w:jc w:val="right"/>
              <w:rPr>
                <w:rFonts w:ascii="Times New Roman" w:eastAsia="Times New Roman" w:hAnsi="Times New Roman" w:cs="Times New Roman"/>
                <w:color w:val="000000"/>
                <w:sz w:val="20"/>
                <w:szCs w:val="20"/>
              </w:rPr>
            </w:pPr>
            <w:r w:rsidRPr="00902B24">
              <w:rPr>
                <w:rFonts w:ascii="Times New Roman" w:hAnsi="Times New Roman" w:cs="Times New Roman"/>
                <w:color w:val="000000"/>
                <w:sz w:val="20"/>
                <w:szCs w:val="20"/>
              </w:rPr>
              <w:t>57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2726A41B"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96%</w:t>
            </w:r>
          </w:p>
        </w:tc>
        <w:tc>
          <w:tcPr>
            <w:tcW w:w="10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10726485"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0F870B73"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2%</w:t>
            </w:r>
          </w:p>
        </w:tc>
      </w:tr>
      <w:tr w14:paraId="135CFBB1" w14:textId="77777777" w:rsidTr="00902B24">
        <w:tblPrEx>
          <w:tblW w:w="10255" w:type="dxa"/>
          <w:tblLayout w:type="fixed"/>
          <w:tblLook w:val="04A0"/>
        </w:tblPrEx>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0134F2AB"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424690</w:t>
            </w:r>
          </w:p>
        </w:tc>
        <w:tc>
          <w:tcPr>
            <w:tcW w:w="43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674E2B2A" w14:textId="77777777">
            <w:pPr>
              <w:spacing w:after="0" w:line="240" w:lineRule="auto"/>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Other Chemical and Allied Products Merchant Wholesalers</w:t>
            </w:r>
          </w:p>
        </w:tc>
        <w:tc>
          <w:tcPr>
            <w:tcW w:w="1710" w:type="dxa"/>
            <w:tcBorders>
              <w:top w:val="single" w:sz="4" w:space="0" w:color="auto"/>
              <w:left w:val="nil"/>
              <w:bottom w:val="single" w:sz="4" w:space="0" w:color="auto"/>
              <w:right w:val="single" w:sz="4" w:space="0" w:color="auto"/>
            </w:tcBorders>
            <w:vAlign w:val="bottom"/>
          </w:tcPr>
          <w:p w:rsidR="00622DAB" w:rsidRPr="00A742A9" w:rsidP="00A742A9" w14:paraId="3CDAC812" w14:textId="77777777">
            <w:pPr>
              <w:spacing w:after="0" w:line="240" w:lineRule="auto"/>
              <w:jc w:val="right"/>
              <w:rPr>
                <w:rFonts w:ascii="Times New Roman" w:eastAsia="Times New Roman" w:hAnsi="Times New Roman" w:cs="Times New Roman"/>
                <w:color w:val="000000"/>
                <w:sz w:val="20"/>
                <w:szCs w:val="20"/>
              </w:rPr>
            </w:pPr>
            <w:r w:rsidRPr="00902B24">
              <w:rPr>
                <w:rFonts w:ascii="Times New Roman" w:hAnsi="Times New Roman" w:cs="Times New Roman"/>
                <w:color w:val="000000"/>
                <w:sz w:val="20"/>
                <w:szCs w:val="20"/>
              </w:rPr>
              <w:t>53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303A295D"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86%</w:t>
            </w:r>
          </w:p>
        </w:tc>
        <w:tc>
          <w:tcPr>
            <w:tcW w:w="10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4251B1EC"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14%</w:t>
            </w:r>
          </w:p>
        </w:tc>
        <w:tc>
          <w:tcPr>
            <w:tcW w:w="90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53237C1B"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0%</w:t>
            </w:r>
          </w:p>
        </w:tc>
      </w:tr>
      <w:tr w14:paraId="5AAF614D" w14:textId="77777777" w:rsidTr="00902B24">
        <w:tblPrEx>
          <w:tblW w:w="10255" w:type="dxa"/>
          <w:tblLayout w:type="fixed"/>
          <w:tblLook w:val="04A0"/>
        </w:tblPrEx>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71306DA5"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325998</w:t>
            </w:r>
          </w:p>
        </w:tc>
        <w:tc>
          <w:tcPr>
            <w:tcW w:w="43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69EB438E" w14:textId="77777777">
            <w:pPr>
              <w:spacing w:after="0" w:line="240" w:lineRule="auto"/>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All Other Miscellaneous Chemical Product and Preparation Manufacturing</w:t>
            </w:r>
          </w:p>
        </w:tc>
        <w:tc>
          <w:tcPr>
            <w:tcW w:w="1710" w:type="dxa"/>
            <w:tcBorders>
              <w:top w:val="single" w:sz="4" w:space="0" w:color="auto"/>
              <w:left w:val="nil"/>
              <w:bottom w:val="single" w:sz="4" w:space="0" w:color="auto"/>
              <w:right w:val="single" w:sz="4" w:space="0" w:color="auto"/>
            </w:tcBorders>
            <w:vAlign w:val="bottom"/>
          </w:tcPr>
          <w:p w:rsidR="00622DAB" w:rsidRPr="00A742A9" w:rsidP="00A742A9" w14:paraId="018B9F18" w14:textId="77777777">
            <w:pPr>
              <w:spacing w:after="0" w:line="240" w:lineRule="auto"/>
              <w:jc w:val="right"/>
              <w:rPr>
                <w:rFonts w:ascii="Times New Roman" w:eastAsia="Times New Roman" w:hAnsi="Times New Roman" w:cs="Times New Roman"/>
                <w:color w:val="000000"/>
                <w:sz w:val="20"/>
                <w:szCs w:val="20"/>
              </w:rPr>
            </w:pPr>
            <w:r w:rsidRPr="00902B24">
              <w:rPr>
                <w:rFonts w:ascii="Times New Roman" w:hAnsi="Times New Roman" w:cs="Times New Roman"/>
                <w:color w:val="000000"/>
                <w:sz w:val="20"/>
                <w:szCs w:val="20"/>
              </w:rPr>
              <w:t>48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6462FC89"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67%</w:t>
            </w:r>
          </w:p>
        </w:tc>
        <w:tc>
          <w:tcPr>
            <w:tcW w:w="10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447F030A"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24%</w:t>
            </w:r>
          </w:p>
        </w:tc>
        <w:tc>
          <w:tcPr>
            <w:tcW w:w="90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57A471D2"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9%</w:t>
            </w:r>
          </w:p>
        </w:tc>
      </w:tr>
      <w:tr w14:paraId="42F4C0E2" w14:textId="77777777" w:rsidTr="00902B24">
        <w:tblPrEx>
          <w:tblW w:w="10255" w:type="dxa"/>
          <w:tblLayout w:type="fixed"/>
          <w:tblLook w:val="04A0"/>
        </w:tblPrEx>
        <w:trPr>
          <w:trHeight w:val="31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1534A2EA"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424720</w:t>
            </w:r>
          </w:p>
        </w:tc>
        <w:tc>
          <w:tcPr>
            <w:tcW w:w="43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1F5A999E" w14:textId="77777777">
            <w:pPr>
              <w:spacing w:after="0" w:line="240" w:lineRule="auto"/>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Petroleum and Petroleum Products Merchant Wholesalers (except Bulk Stations and Terminals)</w:t>
            </w:r>
          </w:p>
        </w:tc>
        <w:tc>
          <w:tcPr>
            <w:tcW w:w="1710" w:type="dxa"/>
            <w:tcBorders>
              <w:top w:val="single" w:sz="4" w:space="0" w:color="auto"/>
              <w:left w:val="nil"/>
              <w:bottom w:val="single" w:sz="4" w:space="0" w:color="auto"/>
              <w:right w:val="single" w:sz="4" w:space="0" w:color="auto"/>
            </w:tcBorders>
            <w:vAlign w:val="bottom"/>
          </w:tcPr>
          <w:p w:rsidR="00622DAB" w:rsidRPr="00A742A9" w:rsidP="00A742A9" w14:paraId="71C3F51F" w14:textId="77777777">
            <w:pPr>
              <w:spacing w:after="0" w:line="240" w:lineRule="auto"/>
              <w:jc w:val="right"/>
              <w:rPr>
                <w:rFonts w:ascii="Times New Roman" w:eastAsia="Times New Roman" w:hAnsi="Times New Roman" w:cs="Times New Roman"/>
                <w:color w:val="000000"/>
                <w:sz w:val="20"/>
                <w:szCs w:val="20"/>
              </w:rPr>
            </w:pPr>
            <w:r w:rsidRPr="00902B24">
              <w:rPr>
                <w:rFonts w:ascii="Times New Roman" w:hAnsi="Times New Roman" w:cs="Times New Roman"/>
                <w:color w:val="000000"/>
                <w:sz w:val="20"/>
                <w:szCs w:val="20"/>
              </w:rPr>
              <w:t>44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059FA558"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100%</w:t>
            </w:r>
          </w:p>
        </w:tc>
        <w:tc>
          <w:tcPr>
            <w:tcW w:w="10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5896D6D7"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2DBCE6F3"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0%</w:t>
            </w:r>
          </w:p>
        </w:tc>
      </w:tr>
      <w:tr w14:paraId="5865AFB3" w14:textId="77777777" w:rsidTr="00902B24">
        <w:tblPrEx>
          <w:tblW w:w="10255" w:type="dxa"/>
          <w:tblLayout w:type="fixed"/>
          <w:tblLook w:val="04A0"/>
        </w:tblPrEx>
        <w:trPr>
          <w:trHeight w:val="32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42987851"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211120</w:t>
            </w:r>
          </w:p>
        </w:tc>
        <w:tc>
          <w:tcPr>
            <w:tcW w:w="43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6E4C8993" w14:textId="77777777">
            <w:pPr>
              <w:spacing w:after="0" w:line="240" w:lineRule="auto"/>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Crude Petroleum Extraction</w:t>
            </w:r>
          </w:p>
        </w:tc>
        <w:tc>
          <w:tcPr>
            <w:tcW w:w="1710" w:type="dxa"/>
            <w:tcBorders>
              <w:top w:val="single" w:sz="4" w:space="0" w:color="auto"/>
              <w:left w:val="nil"/>
              <w:bottom w:val="single" w:sz="4" w:space="0" w:color="auto"/>
              <w:right w:val="single" w:sz="4" w:space="0" w:color="auto"/>
            </w:tcBorders>
            <w:vAlign w:val="bottom"/>
          </w:tcPr>
          <w:p w:rsidR="00622DAB" w:rsidRPr="00A742A9" w:rsidP="00A742A9" w14:paraId="0946B78E" w14:textId="77777777">
            <w:pPr>
              <w:spacing w:after="0" w:line="240" w:lineRule="auto"/>
              <w:jc w:val="right"/>
              <w:rPr>
                <w:rFonts w:ascii="Times New Roman" w:eastAsia="Times New Roman" w:hAnsi="Times New Roman" w:cs="Times New Roman"/>
                <w:color w:val="000000"/>
                <w:sz w:val="20"/>
                <w:szCs w:val="20"/>
              </w:rPr>
            </w:pPr>
            <w:r w:rsidRPr="00902B24">
              <w:rPr>
                <w:rFonts w:ascii="Times New Roman" w:hAnsi="Times New Roman" w:cs="Times New Roman"/>
                <w:color w:val="000000"/>
                <w:sz w:val="20"/>
                <w:szCs w:val="20"/>
              </w:rPr>
              <w:t>41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78FC6C78"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94%</w:t>
            </w:r>
          </w:p>
        </w:tc>
        <w:tc>
          <w:tcPr>
            <w:tcW w:w="10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06DA260B"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79F21D94"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3%</w:t>
            </w:r>
          </w:p>
        </w:tc>
      </w:tr>
      <w:tr w14:paraId="36F7B285" w14:textId="77777777" w:rsidTr="00902B24">
        <w:tblPrEx>
          <w:tblW w:w="10255" w:type="dxa"/>
          <w:tblLayout w:type="fixed"/>
          <w:tblLook w:val="04A0"/>
        </w:tblPrEx>
        <w:trPr>
          <w:trHeight w:val="32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50124676"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221118</w:t>
            </w:r>
          </w:p>
        </w:tc>
        <w:tc>
          <w:tcPr>
            <w:tcW w:w="43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6825EDF0" w14:textId="77777777">
            <w:pPr>
              <w:spacing w:after="0" w:line="240" w:lineRule="auto"/>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Other Electric Power Generation</w:t>
            </w:r>
          </w:p>
        </w:tc>
        <w:tc>
          <w:tcPr>
            <w:tcW w:w="1710" w:type="dxa"/>
            <w:tcBorders>
              <w:top w:val="single" w:sz="4" w:space="0" w:color="auto"/>
              <w:left w:val="nil"/>
              <w:bottom w:val="single" w:sz="4" w:space="0" w:color="auto"/>
              <w:right w:val="single" w:sz="4" w:space="0" w:color="auto"/>
            </w:tcBorders>
            <w:vAlign w:val="bottom"/>
          </w:tcPr>
          <w:p w:rsidR="00622DAB" w:rsidRPr="00A742A9" w:rsidP="00A742A9" w14:paraId="1225FE8F" w14:textId="77777777">
            <w:pPr>
              <w:spacing w:after="0" w:line="240" w:lineRule="auto"/>
              <w:jc w:val="right"/>
              <w:rPr>
                <w:rFonts w:ascii="Times New Roman" w:eastAsia="Times New Roman" w:hAnsi="Times New Roman" w:cs="Times New Roman"/>
                <w:color w:val="000000"/>
                <w:sz w:val="20"/>
                <w:szCs w:val="20"/>
              </w:rPr>
            </w:pPr>
            <w:r w:rsidRPr="00902B24">
              <w:rPr>
                <w:rFonts w:ascii="Times New Roman" w:hAnsi="Times New Roman" w:cs="Times New Roman"/>
                <w:color w:val="000000"/>
                <w:sz w:val="20"/>
                <w:szCs w:val="20"/>
              </w:rPr>
              <w:t>38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56A37CC7"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100%</w:t>
            </w:r>
          </w:p>
        </w:tc>
        <w:tc>
          <w:tcPr>
            <w:tcW w:w="10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58F6CD69"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0F331D4C"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0%</w:t>
            </w:r>
          </w:p>
        </w:tc>
      </w:tr>
      <w:tr w14:paraId="78B7444A" w14:textId="77777777" w:rsidTr="00902B24">
        <w:tblPrEx>
          <w:tblW w:w="10255" w:type="dxa"/>
          <w:tblLayout w:type="fixed"/>
          <w:tblLook w:val="04A0"/>
        </w:tblPrEx>
        <w:trPr>
          <w:trHeight w:val="32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57885DD9"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325311</w:t>
            </w:r>
          </w:p>
        </w:tc>
        <w:tc>
          <w:tcPr>
            <w:tcW w:w="43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25853D41" w14:textId="77777777">
            <w:pPr>
              <w:spacing w:after="0" w:line="240" w:lineRule="auto"/>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Nitrogenous Fertilizer Manufacturing</w:t>
            </w:r>
          </w:p>
        </w:tc>
        <w:tc>
          <w:tcPr>
            <w:tcW w:w="1710" w:type="dxa"/>
            <w:tcBorders>
              <w:top w:val="single" w:sz="4" w:space="0" w:color="auto"/>
              <w:left w:val="nil"/>
              <w:bottom w:val="single" w:sz="4" w:space="0" w:color="auto"/>
              <w:right w:val="single" w:sz="4" w:space="0" w:color="auto"/>
            </w:tcBorders>
            <w:vAlign w:val="bottom"/>
          </w:tcPr>
          <w:p w:rsidR="00622DAB" w:rsidRPr="00A742A9" w:rsidP="00A742A9" w14:paraId="038B9DEA" w14:textId="77777777">
            <w:pPr>
              <w:spacing w:after="0" w:line="240" w:lineRule="auto"/>
              <w:jc w:val="right"/>
              <w:rPr>
                <w:rFonts w:ascii="Times New Roman" w:eastAsia="Times New Roman" w:hAnsi="Times New Roman" w:cs="Times New Roman"/>
                <w:color w:val="000000"/>
                <w:sz w:val="20"/>
                <w:szCs w:val="20"/>
              </w:rPr>
            </w:pPr>
            <w:r w:rsidRPr="00902B24">
              <w:rPr>
                <w:rFonts w:ascii="Times New Roman" w:hAnsi="Times New Roman" w:cs="Times New Roman"/>
                <w:color w:val="000000"/>
                <w:sz w:val="20"/>
                <w:szCs w:val="20"/>
              </w:rPr>
              <w:t>31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1E35CF6F"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74%</w:t>
            </w:r>
          </w:p>
        </w:tc>
        <w:tc>
          <w:tcPr>
            <w:tcW w:w="10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11639C5C"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19%</w:t>
            </w:r>
          </w:p>
        </w:tc>
        <w:tc>
          <w:tcPr>
            <w:tcW w:w="90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35723064"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6%</w:t>
            </w:r>
          </w:p>
        </w:tc>
      </w:tr>
      <w:tr w14:paraId="18ACE5F4" w14:textId="77777777" w:rsidTr="00902B24">
        <w:tblPrEx>
          <w:tblW w:w="10255" w:type="dxa"/>
          <w:tblLayout w:type="fixed"/>
          <w:tblLook w:val="04A0"/>
        </w:tblPrEx>
        <w:trPr>
          <w:trHeight w:val="300"/>
        </w:trPr>
        <w:tc>
          <w:tcPr>
            <w:tcW w:w="5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2A9" w:rsidRPr="00A742A9" w:rsidP="00A742A9" w14:paraId="29C3D487" w14:textId="77777777">
            <w:pPr>
              <w:spacing w:after="0" w:line="240" w:lineRule="auto"/>
              <w:jc w:val="center"/>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All Other</w:t>
            </w:r>
          </w:p>
        </w:tc>
        <w:tc>
          <w:tcPr>
            <w:tcW w:w="1710" w:type="dxa"/>
            <w:tcBorders>
              <w:top w:val="single" w:sz="4" w:space="0" w:color="auto"/>
              <w:left w:val="nil"/>
              <w:bottom w:val="single" w:sz="4" w:space="0" w:color="auto"/>
              <w:right w:val="single" w:sz="4" w:space="0" w:color="auto"/>
            </w:tcBorders>
          </w:tcPr>
          <w:p w:rsidR="00622DAB" w:rsidRPr="00A742A9" w:rsidP="00A742A9" w14:paraId="58BD0C71" w14:textId="7777777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2A9" w:rsidRPr="00A742A9" w:rsidP="00A742A9" w14:paraId="67933D3D"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90%</w:t>
            </w:r>
          </w:p>
        </w:tc>
        <w:tc>
          <w:tcPr>
            <w:tcW w:w="102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16A14679"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6%</w:t>
            </w:r>
          </w:p>
        </w:tc>
        <w:tc>
          <w:tcPr>
            <w:tcW w:w="900" w:type="dxa"/>
            <w:tcBorders>
              <w:top w:val="nil"/>
              <w:left w:val="nil"/>
              <w:bottom w:val="single" w:sz="4" w:space="0" w:color="auto"/>
              <w:right w:val="single" w:sz="4" w:space="0" w:color="auto"/>
            </w:tcBorders>
            <w:shd w:val="clear" w:color="auto" w:fill="auto"/>
            <w:noWrap/>
            <w:vAlign w:val="bottom"/>
            <w:hideMark/>
          </w:tcPr>
          <w:p w:rsidR="00A742A9" w:rsidRPr="00A742A9" w:rsidP="00A742A9" w14:paraId="4419465B" w14:textId="77777777">
            <w:pPr>
              <w:spacing w:after="0" w:line="240" w:lineRule="auto"/>
              <w:jc w:val="right"/>
              <w:rPr>
                <w:rFonts w:ascii="Times New Roman" w:eastAsia="Times New Roman" w:hAnsi="Times New Roman" w:cs="Times New Roman"/>
                <w:color w:val="000000"/>
                <w:sz w:val="20"/>
                <w:szCs w:val="20"/>
              </w:rPr>
            </w:pPr>
            <w:r w:rsidRPr="00A742A9">
              <w:rPr>
                <w:rFonts w:ascii="Times New Roman" w:eastAsia="Times New Roman" w:hAnsi="Times New Roman" w:cs="Times New Roman"/>
                <w:color w:val="000000"/>
                <w:sz w:val="20"/>
                <w:szCs w:val="20"/>
              </w:rPr>
              <w:t>4%</w:t>
            </w:r>
          </w:p>
        </w:tc>
      </w:tr>
    </w:tbl>
    <w:p w:rsidR="00BC0408" w:rsidP="00693892" w14:paraId="3BFE93C3" w14:textId="77777777">
      <w:pPr>
        <w:spacing w:after="0" w:line="240" w:lineRule="auto"/>
        <w:rPr>
          <w:rFonts w:ascii="Times New Roman" w:eastAsia="Calibri" w:hAnsi="Times New Roman" w:cs="Times New Roman"/>
          <w:b/>
        </w:rPr>
      </w:pPr>
    </w:p>
    <w:p w:rsidR="00BC0408" w:rsidP="00693892" w14:paraId="30777CAD" w14:textId="77777777">
      <w:pPr>
        <w:spacing w:after="0" w:line="240" w:lineRule="auto"/>
        <w:rPr>
          <w:rFonts w:ascii="Times New Roman" w:eastAsia="Calibri" w:hAnsi="Times New Roman" w:cs="Times New Roman"/>
          <w:b/>
        </w:rPr>
      </w:pPr>
    </w:p>
    <w:p w:rsidR="0075046B" w:rsidRPr="00693892" w:rsidP="00C030BF" w14:paraId="72F6D4B5" w14:textId="77777777">
      <w:pPr>
        <w:pStyle w:val="Heading3"/>
        <w:rPr>
          <w:rFonts w:ascii="Times New Roman" w:hAnsi="Times New Roman" w:cs="Times New Roman"/>
          <w:b w:val="0"/>
        </w:rPr>
      </w:pPr>
      <w:bookmarkStart w:id="501" w:name="_Toc141733211"/>
      <w:bookmarkStart w:id="502" w:name="_Toc142404115"/>
      <w:bookmarkStart w:id="503" w:name="_Toc144213924"/>
      <w:bookmarkStart w:id="504" w:name="_Toc144283669"/>
      <w:bookmarkStart w:id="505" w:name="_Toc144303607"/>
      <w:r w:rsidRPr="00C030BF">
        <w:rPr>
          <w:rFonts w:ascii="Times New Roman" w:hAnsi="Times New Roman" w:cs="Times New Roman"/>
          <w:sz w:val="22"/>
          <w:szCs w:val="22"/>
        </w:rPr>
        <w:t xml:space="preserve">8.3.2 Cost Impacts </w:t>
      </w:r>
      <w:r w:rsidR="00B20325">
        <w:rPr>
          <w:rFonts w:ascii="Times New Roman" w:hAnsi="Times New Roman" w:cs="Times New Roman"/>
        </w:rPr>
        <w:t>on</w:t>
      </w:r>
      <w:r w:rsidRPr="00693892">
        <w:rPr>
          <w:rFonts w:ascii="Times New Roman" w:hAnsi="Times New Roman" w:cs="Times New Roman"/>
        </w:rPr>
        <w:t xml:space="preserve"> Government Small Entities</w:t>
      </w:r>
      <w:bookmarkEnd w:id="501"/>
      <w:bookmarkEnd w:id="502"/>
      <w:bookmarkEnd w:id="503"/>
      <w:bookmarkEnd w:id="504"/>
      <w:bookmarkEnd w:id="505"/>
    </w:p>
    <w:p w:rsidR="0075046B" w:rsidP="000E6E0F" w14:paraId="024B181F"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 xml:space="preserve">A combined total of 798 facilities are owned and operated by small governments (i.e., the government serves </w:t>
      </w:r>
      <w:r w:rsidR="00510566">
        <w:rPr>
          <w:rFonts w:ascii="Times New Roman" w:hAnsi="Times New Roman" w:cs="Times New Roman"/>
        </w:rPr>
        <w:t>fewer</w:t>
      </w:r>
      <w:r w:rsidRPr="00693892">
        <w:rPr>
          <w:rFonts w:ascii="Times New Roman" w:hAnsi="Times New Roman" w:cs="Times New Roman"/>
        </w:rPr>
        <w:t xml:space="preserve"> than 50,000 residents). EPA has not been able to obtain data on government revenue. The Census Bureau has not published recent data on revenues for cities (the most recent data are from 2002) and does not cover cities of </w:t>
      </w:r>
      <w:r w:rsidR="005D78AC">
        <w:rPr>
          <w:rFonts w:ascii="Times New Roman" w:hAnsi="Times New Roman" w:cs="Times New Roman"/>
        </w:rPr>
        <w:t>fewer</w:t>
      </w:r>
      <w:r w:rsidRPr="00693892">
        <w:rPr>
          <w:rFonts w:ascii="Times New Roman" w:hAnsi="Times New Roman" w:cs="Times New Roman"/>
        </w:rPr>
        <w:t xml:space="preserve"> than 25,000 population. The Census Bureau provides revenue data for total local government revenues by county (covering all government entities including special districts within the county) and a per capita revenue estimate. The Census data indicated that the lowest per capita revenue for a covered county was around $1,024 in 2002 dollars (DeKalb County, MO, with 3 facilities) ($1,</w:t>
      </w:r>
      <w:r w:rsidR="00496AF3">
        <w:rPr>
          <w:rFonts w:ascii="Times New Roman" w:hAnsi="Times New Roman" w:cs="Times New Roman"/>
        </w:rPr>
        <w:t>666</w:t>
      </w:r>
      <w:r w:rsidRPr="00693892">
        <w:rPr>
          <w:rFonts w:ascii="Times New Roman" w:hAnsi="Times New Roman" w:cs="Times New Roman"/>
        </w:rPr>
        <w:t xml:space="preserve"> in 202</w:t>
      </w:r>
      <w:r w:rsidR="00496AF3">
        <w:rPr>
          <w:rFonts w:ascii="Times New Roman" w:hAnsi="Times New Roman" w:cs="Times New Roman"/>
        </w:rPr>
        <w:t>2</w:t>
      </w:r>
      <w:r w:rsidRPr="00693892">
        <w:rPr>
          <w:rFonts w:ascii="Times New Roman" w:hAnsi="Times New Roman" w:cs="Times New Roman"/>
        </w:rPr>
        <w:t xml:space="preserve"> dollars).</w:t>
      </w:r>
      <w:r>
        <w:rPr>
          <w:rFonts w:ascii="Times New Roman" w:hAnsi="Times New Roman" w:cs="Times New Roman"/>
          <w:vertAlign w:val="superscript"/>
        </w:rPr>
        <w:footnoteReference w:id="173"/>
      </w:r>
      <w:r w:rsidRPr="00693892">
        <w:rPr>
          <w:rFonts w:ascii="Times New Roman" w:hAnsi="Times New Roman" w:cs="Times New Roman"/>
        </w:rPr>
        <w:t xml:space="preserve"> The smallest town covered by the </w:t>
      </w:r>
      <w:r w:rsidR="00FF335E">
        <w:rPr>
          <w:rFonts w:ascii="Times New Roman" w:hAnsi="Times New Roman" w:cs="Times New Roman"/>
        </w:rPr>
        <w:t>final</w:t>
      </w:r>
      <w:r w:rsidRPr="00693892" w:rsidR="00FF335E">
        <w:rPr>
          <w:rFonts w:ascii="Times New Roman" w:hAnsi="Times New Roman" w:cs="Times New Roman"/>
        </w:rPr>
        <w:t xml:space="preserve"> </w:t>
      </w:r>
      <w:r w:rsidRPr="00693892">
        <w:rPr>
          <w:rFonts w:ascii="Times New Roman" w:hAnsi="Times New Roman" w:cs="Times New Roman"/>
        </w:rPr>
        <w:t xml:space="preserve">rule has approximately 440 residents and </w:t>
      </w:r>
      <w:r w:rsidR="000550E5">
        <w:rPr>
          <w:rFonts w:ascii="Times New Roman" w:hAnsi="Times New Roman" w:cs="Times New Roman"/>
        </w:rPr>
        <w:t>several</w:t>
      </w:r>
      <w:r w:rsidR="00E327A0">
        <w:rPr>
          <w:rFonts w:ascii="Times New Roman" w:hAnsi="Times New Roman" w:cs="Times New Roman"/>
        </w:rPr>
        <w:t xml:space="preserve"> </w:t>
      </w:r>
      <w:r w:rsidRPr="00693892">
        <w:rPr>
          <w:rFonts w:ascii="Times New Roman" w:hAnsi="Times New Roman" w:cs="Times New Roman"/>
        </w:rPr>
        <w:t xml:space="preserve">others have fewer than 1,000. However, in many of these cases it is not clear whether the town owns and operates the facility or whether it is operated by a district that serves multiple communities. In a </w:t>
      </w:r>
      <w:r w:rsidRPr="008C5515">
        <w:rPr>
          <w:rFonts w:ascii="Times New Roman" w:hAnsi="Times New Roman" w:cs="Times New Roman"/>
        </w:rPr>
        <w:t>few cases, EPA was able to locate budget data from special districts</w:t>
      </w:r>
      <w:r w:rsidRPr="008C5515" w:rsidR="00397894">
        <w:rPr>
          <w:rFonts w:ascii="Times New Roman" w:hAnsi="Times New Roman" w:cs="Times New Roman"/>
        </w:rPr>
        <w:t xml:space="preserve"> and smaller towns</w:t>
      </w:r>
      <w:r w:rsidRPr="008C5515">
        <w:rPr>
          <w:rFonts w:ascii="Times New Roman" w:hAnsi="Times New Roman" w:cs="Times New Roman"/>
        </w:rPr>
        <w:t>. Revenues per resident ranged from $196</w:t>
      </w:r>
      <w:r>
        <w:rPr>
          <w:rFonts w:ascii="Times New Roman" w:hAnsi="Times New Roman" w:cs="Times New Roman"/>
          <w:vertAlign w:val="superscript"/>
        </w:rPr>
        <w:footnoteReference w:id="174"/>
      </w:r>
      <w:r w:rsidRPr="008C5515">
        <w:rPr>
          <w:rFonts w:ascii="Times New Roman" w:hAnsi="Times New Roman" w:cs="Times New Roman"/>
          <w:vertAlign w:val="superscript"/>
        </w:rPr>
        <w:t xml:space="preserve"> </w:t>
      </w:r>
      <w:r w:rsidRPr="008C5515">
        <w:rPr>
          <w:rFonts w:ascii="Times New Roman" w:hAnsi="Times New Roman" w:cs="Times New Roman"/>
        </w:rPr>
        <w:t xml:space="preserve">for a special district that serves 9,200 people to $1,955 for a </w:t>
      </w:r>
      <w:r w:rsidRPr="008C5515" w:rsidR="005041A3">
        <w:rPr>
          <w:rFonts w:ascii="Times New Roman" w:hAnsi="Times New Roman" w:cs="Times New Roman"/>
        </w:rPr>
        <w:t>town</w:t>
      </w:r>
      <w:r w:rsidRPr="008C5515">
        <w:rPr>
          <w:rFonts w:ascii="Times New Roman" w:hAnsi="Times New Roman" w:cs="Times New Roman"/>
        </w:rPr>
        <w:t xml:space="preserve"> </w:t>
      </w:r>
      <w:r w:rsidRPr="00527427">
        <w:rPr>
          <w:rFonts w:ascii="Times New Roman" w:hAnsi="Times New Roman" w:cs="Times New Roman"/>
        </w:rPr>
        <w:t xml:space="preserve">that </w:t>
      </w:r>
      <w:r w:rsidRPr="001C0FC6">
        <w:rPr>
          <w:rFonts w:ascii="Times New Roman" w:hAnsi="Times New Roman" w:cs="Times New Roman"/>
        </w:rPr>
        <w:t>serves 15,421</w:t>
      </w:r>
      <w:r>
        <w:rPr>
          <w:rFonts w:ascii="Times New Roman" w:hAnsi="Times New Roman" w:cs="Times New Roman"/>
          <w:vertAlign w:val="superscript"/>
        </w:rPr>
        <w:footnoteReference w:id="175"/>
      </w:r>
      <w:r w:rsidRPr="001C0FC6">
        <w:rPr>
          <w:rFonts w:ascii="Times New Roman" w:hAnsi="Times New Roman" w:cs="Times New Roman"/>
          <w:vertAlign w:val="superscript"/>
        </w:rPr>
        <w:t xml:space="preserve"> </w:t>
      </w:r>
      <w:r w:rsidRPr="001C0FC6">
        <w:rPr>
          <w:rFonts w:ascii="Times New Roman" w:hAnsi="Times New Roman" w:cs="Times New Roman"/>
        </w:rPr>
        <w:t>people.</w:t>
      </w:r>
      <w:r>
        <w:rPr>
          <w:rFonts w:ascii="Times New Roman" w:hAnsi="Times New Roman" w:cs="Times New Roman"/>
          <w:vertAlign w:val="superscript"/>
        </w:rPr>
        <w:footnoteReference w:id="176"/>
      </w:r>
      <w:r w:rsidRPr="001C0FC6">
        <w:rPr>
          <w:rFonts w:ascii="Times New Roman" w:hAnsi="Times New Roman" w:cs="Times New Roman"/>
        </w:rPr>
        <w:t xml:space="preserve"> The sample</w:t>
      </w:r>
      <w:r w:rsidRPr="00693892">
        <w:rPr>
          <w:rFonts w:ascii="Times New Roman" w:hAnsi="Times New Roman" w:cs="Times New Roman"/>
        </w:rPr>
        <w:t xml:space="preserve">, however, is so small that it </w:t>
      </w:r>
      <w:r w:rsidR="00527427">
        <w:rPr>
          <w:rFonts w:ascii="Times New Roman" w:hAnsi="Times New Roman" w:cs="Times New Roman"/>
        </w:rPr>
        <w:t>is not</w:t>
      </w:r>
      <w:r w:rsidRPr="00693892">
        <w:rPr>
          <w:rFonts w:ascii="Times New Roman" w:hAnsi="Times New Roman" w:cs="Times New Roman"/>
        </w:rPr>
        <w:t xml:space="preserve"> appropriate to generalize from it</w:t>
      </w:r>
      <w:r w:rsidR="001242B7">
        <w:rPr>
          <w:rFonts w:ascii="Times New Roman" w:hAnsi="Times New Roman" w:cs="Times New Roman"/>
        </w:rPr>
        <w:t xml:space="preserve"> and special district</w:t>
      </w:r>
      <w:r w:rsidR="004208FF">
        <w:rPr>
          <w:rFonts w:ascii="Times New Roman" w:hAnsi="Times New Roman" w:cs="Times New Roman"/>
        </w:rPr>
        <w:t xml:space="preserve"> revenue may not be </w:t>
      </w:r>
      <w:r w:rsidR="00F247DF">
        <w:rPr>
          <w:rFonts w:ascii="Times New Roman" w:hAnsi="Times New Roman" w:cs="Times New Roman"/>
        </w:rPr>
        <w:t xml:space="preserve">appropriate to compare with government entities that are owned by </w:t>
      </w:r>
      <w:r w:rsidR="00034F5F">
        <w:rPr>
          <w:rFonts w:ascii="Times New Roman" w:hAnsi="Times New Roman" w:cs="Times New Roman"/>
        </w:rPr>
        <w:t>municipalities</w:t>
      </w:r>
      <w:r w:rsidR="00397F30">
        <w:rPr>
          <w:rFonts w:ascii="Times New Roman" w:hAnsi="Times New Roman" w:cs="Times New Roman"/>
        </w:rPr>
        <w:t xml:space="preserve">, which </w:t>
      </w:r>
      <w:r w:rsidR="00FD1CFB">
        <w:rPr>
          <w:rFonts w:ascii="Times New Roman" w:hAnsi="Times New Roman" w:cs="Times New Roman"/>
        </w:rPr>
        <w:t>could have larger revenues</w:t>
      </w:r>
      <w:r w:rsidRPr="00693892">
        <w:rPr>
          <w:rFonts w:ascii="Times New Roman" w:hAnsi="Times New Roman" w:cs="Times New Roman"/>
        </w:rPr>
        <w:t xml:space="preserve">. There are some exceptions on the high end as well. One </w:t>
      </w:r>
      <w:r w:rsidR="008C5515">
        <w:rPr>
          <w:rFonts w:ascii="Times New Roman" w:hAnsi="Times New Roman" w:cs="Times New Roman"/>
        </w:rPr>
        <w:t>town</w:t>
      </w:r>
      <w:r w:rsidRPr="00693892">
        <w:rPr>
          <w:rFonts w:ascii="Times New Roman" w:hAnsi="Times New Roman" w:cs="Times New Roman"/>
        </w:rPr>
        <w:t xml:space="preserve"> with a population of </w:t>
      </w:r>
      <w:r w:rsidR="00230515">
        <w:rPr>
          <w:rFonts w:ascii="Times New Roman" w:hAnsi="Times New Roman" w:cs="Times New Roman"/>
        </w:rPr>
        <w:t>fewer</w:t>
      </w:r>
      <w:r w:rsidRPr="00693892">
        <w:rPr>
          <w:rFonts w:ascii="Times New Roman" w:hAnsi="Times New Roman" w:cs="Times New Roman"/>
        </w:rPr>
        <w:t xml:space="preserve"> than 8,000 has revenues of close to $200 million (based on tourist business); another small city operates a combined water system, power system, and cable system; although the water system produces revenues of $2.5 million, the combined system reported revenues of $190 million.</w:t>
      </w:r>
    </w:p>
    <w:p w:rsidR="00520131" w:rsidP="000E6E0F" w14:paraId="15E91430" w14:textId="77777777">
      <w:pPr>
        <w:spacing w:after="0" w:line="240" w:lineRule="auto"/>
        <w:ind w:firstLine="360"/>
        <w:rPr>
          <w:rFonts w:ascii="Times New Roman" w:hAnsi="Times New Roman" w:cs="Times New Roman"/>
        </w:rPr>
      </w:pPr>
    </w:p>
    <w:p w:rsidR="00520131" w:rsidP="000E6E0F" w14:paraId="29B82E63"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sidR="0075046B">
        <w:rPr>
          <w:rFonts w:ascii="Times New Roman" w:hAnsi="Times New Roman" w:cs="Times New Roman"/>
        </w:rPr>
        <w:t>Exhibit 8-</w:t>
      </w:r>
      <w:r w:rsidR="004D7051">
        <w:rPr>
          <w:rFonts w:ascii="Times New Roman" w:hAnsi="Times New Roman" w:cs="Times New Roman"/>
        </w:rPr>
        <w:t>9</w:t>
      </w:r>
      <w:r w:rsidRPr="00693892" w:rsidR="0075046B">
        <w:rPr>
          <w:rFonts w:ascii="Times New Roman" w:hAnsi="Times New Roman" w:cs="Times New Roman"/>
        </w:rPr>
        <w:t xml:space="preserve"> and Exhibit 8-</w:t>
      </w:r>
      <w:r w:rsidR="004D7051">
        <w:rPr>
          <w:rFonts w:ascii="Times New Roman" w:hAnsi="Times New Roman" w:cs="Times New Roman"/>
        </w:rPr>
        <w:t>10</w:t>
      </w:r>
      <w:r w:rsidRPr="00693892" w:rsidR="0075046B">
        <w:rPr>
          <w:rFonts w:ascii="Times New Roman" w:hAnsi="Times New Roman" w:cs="Times New Roman"/>
        </w:rPr>
        <w:t xml:space="preserve"> summarize the impacts of the </w:t>
      </w:r>
      <w:r w:rsidR="00D3043D">
        <w:rPr>
          <w:rFonts w:ascii="Times New Roman" w:hAnsi="Times New Roman" w:cs="Times New Roman"/>
        </w:rPr>
        <w:t>final</w:t>
      </w:r>
      <w:r w:rsidRPr="00693892" w:rsidR="00D3043D">
        <w:rPr>
          <w:rFonts w:ascii="Times New Roman" w:hAnsi="Times New Roman" w:cs="Times New Roman"/>
        </w:rPr>
        <w:t xml:space="preserve"> </w:t>
      </w:r>
      <w:r w:rsidRPr="00693892" w:rsidR="0075046B">
        <w:rPr>
          <w:rFonts w:ascii="Times New Roman" w:hAnsi="Times New Roman" w:cs="Times New Roman"/>
        </w:rPr>
        <w:t>rule on small governments. To understand the impacts, Exhibit 8-</w:t>
      </w:r>
      <w:r w:rsidR="004D7051">
        <w:rPr>
          <w:rFonts w:ascii="Times New Roman" w:hAnsi="Times New Roman" w:cs="Times New Roman"/>
        </w:rPr>
        <w:t>9</w:t>
      </w:r>
      <w:r w:rsidRPr="00693892" w:rsidR="0075046B">
        <w:rPr>
          <w:rFonts w:ascii="Times New Roman" w:hAnsi="Times New Roman" w:cs="Times New Roman"/>
        </w:rPr>
        <w:t xml:space="preserve"> presents the number of small government entities with costs that fall into certain ranges. Exhibit 8-</w:t>
      </w:r>
      <w:r w:rsidR="004D7051">
        <w:rPr>
          <w:rFonts w:ascii="Times New Roman" w:hAnsi="Times New Roman" w:cs="Times New Roman"/>
        </w:rPr>
        <w:t>10</w:t>
      </w:r>
      <w:r w:rsidRPr="00693892" w:rsidR="0075046B">
        <w:rPr>
          <w:rFonts w:ascii="Times New Roman" w:hAnsi="Times New Roman" w:cs="Times New Roman"/>
        </w:rPr>
        <w:t xml:space="preserve"> presents the same data in percentage terms. From the results, the majority of small governments, </w:t>
      </w:r>
      <w:r w:rsidR="00AE67EC">
        <w:rPr>
          <w:rFonts w:ascii="Times New Roman" w:hAnsi="Times New Roman" w:cs="Times New Roman"/>
        </w:rPr>
        <w:t xml:space="preserve">except </w:t>
      </w:r>
      <w:r w:rsidR="002541AD">
        <w:rPr>
          <w:rFonts w:ascii="Times New Roman" w:hAnsi="Times New Roman" w:cs="Times New Roman"/>
        </w:rPr>
        <w:t xml:space="preserve">those </w:t>
      </w:r>
      <w:r w:rsidR="00230515">
        <w:rPr>
          <w:rFonts w:ascii="Times New Roman" w:hAnsi="Times New Roman" w:cs="Times New Roman"/>
        </w:rPr>
        <w:t xml:space="preserve">with </w:t>
      </w:r>
      <w:r w:rsidR="002541AD">
        <w:rPr>
          <w:rFonts w:ascii="Times New Roman" w:hAnsi="Times New Roman" w:cs="Times New Roman"/>
        </w:rPr>
        <w:t xml:space="preserve">between </w:t>
      </w:r>
      <w:r w:rsidR="00421FA6">
        <w:rPr>
          <w:rFonts w:ascii="Times New Roman" w:hAnsi="Times New Roman" w:cs="Times New Roman"/>
        </w:rPr>
        <w:t>15</w:t>
      </w:r>
      <w:r w:rsidR="00F85A1C">
        <w:rPr>
          <w:rFonts w:ascii="Times New Roman" w:hAnsi="Times New Roman" w:cs="Times New Roman"/>
        </w:rPr>
        <w:t>,000 and 50,000</w:t>
      </w:r>
      <w:r w:rsidRPr="00693892" w:rsidR="0075046B">
        <w:rPr>
          <w:rFonts w:ascii="Times New Roman" w:hAnsi="Times New Roman" w:cs="Times New Roman"/>
        </w:rPr>
        <w:t xml:space="preserve"> residents, </w:t>
      </w:r>
      <w:r w:rsidR="009958D2">
        <w:rPr>
          <w:rFonts w:ascii="Times New Roman" w:hAnsi="Times New Roman" w:cs="Times New Roman"/>
        </w:rPr>
        <w:t>will</w:t>
      </w:r>
      <w:r w:rsidRPr="00693892" w:rsidR="0075046B">
        <w:rPr>
          <w:rFonts w:ascii="Times New Roman" w:hAnsi="Times New Roman" w:cs="Times New Roman"/>
        </w:rPr>
        <w:t xml:space="preserve"> experience total impacts from the </w:t>
      </w:r>
      <w:r w:rsidR="000E7956">
        <w:rPr>
          <w:rFonts w:ascii="Times New Roman" w:hAnsi="Times New Roman" w:cs="Times New Roman"/>
        </w:rPr>
        <w:t>final</w:t>
      </w:r>
      <w:r w:rsidRPr="00693892" w:rsidR="000E7956">
        <w:rPr>
          <w:rFonts w:ascii="Times New Roman" w:hAnsi="Times New Roman" w:cs="Times New Roman"/>
        </w:rPr>
        <w:t xml:space="preserve"> </w:t>
      </w:r>
      <w:r w:rsidRPr="00693892" w:rsidR="0075046B">
        <w:rPr>
          <w:rFonts w:ascii="Times New Roman" w:hAnsi="Times New Roman" w:cs="Times New Roman"/>
        </w:rPr>
        <w:t xml:space="preserve">rule estimated </w:t>
      </w:r>
      <w:r w:rsidR="00777783">
        <w:rPr>
          <w:rFonts w:ascii="Times New Roman" w:hAnsi="Times New Roman" w:cs="Times New Roman"/>
        </w:rPr>
        <w:t>between</w:t>
      </w:r>
      <w:r w:rsidRPr="00693892" w:rsidR="0075046B">
        <w:rPr>
          <w:rFonts w:ascii="Times New Roman" w:hAnsi="Times New Roman" w:cs="Times New Roman"/>
        </w:rPr>
        <w:t xml:space="preserve"> $</w:t>
      </w:r>
      <w:r w:rsidR="00891D0D">
        <w:rPr>
          <w:rFonts w:ascii="Times New Roman" w:hAnsi="Times New Roman" w:cs="Times New Roman"/>
        </w:rPr>
        <w:t>2</w:t>
      </w:r>
      <w:r w:rsidRPr="00693892" w:rsidR="0075046B">
        <w:rPr>
          <w:rFonts w:ascii="Times New Roman" w:hAnsi="Times New Roman" w:cs="Times New Roman"/>
        </w:rPr>
        <w:t>,000</w:t>
      </w:r>
      <w:r w:rsidR="00777783">
        <w:rPr>
          <w:rFonts w:ascii="Times New Roman" w:hAnsi="Times New Roman" w:cs="Times New Roman"/>
        </w:rPr>
        <w:t xml:space="preserve"> and $</w:t>
      </w:r>
      <w:r w:rsidR="00891D0D">
        <w:rPr>
          <w:rFonts w:ascii="Times New Roman" w:hAnsi="Times New Roman" w:cs="Times New Roman"/>
        </w:rPr>
        <w:t>3</w:t>
      </w:r>
      <w:r w:rsidR="00363204">
        <w:rPr>
          <w:rFonts w:ascii="Times New Roman" w:hAnsi="Times New Roman" w:cs="Times New Roman"/>
        </w:rPr>
        <w:t>,000</w:t>
      </w:r>
      <w:r w:rsidRPr="00693892" w:rsidR="0075046B">
        <w:rPr>
          <w:rFonts w:ascii="Times New Roman" w:hAnsi="Times New Roman" w:cs="Times New Roman"/>
        </w:rPr>
        <w:t xml:space="preserve">. </w:t>
      </w:r>
    </w:p>
    <w:p w:rsidR="00520131" w:rsidP="000E6E0F" w14:paraId="19D8583F" w14:textId="77777777">
      <w:pPr>
        <w:spacing w:after="0" w:line="240" w:lineRule="auto"/>
        <w:ind w:firstLine="360"/>
        <w:rPr>
          <w:rFonts w:ascii="Times New Roman" w:hAnsi="Times New Roman" w:cs="Times New Roman"/>
        </w:rPr>
      </w:pPr>
    </w:p>
    <w:p w:rsidR="0075046B" w:rsidP="000E6E0F" w14:paraId="1BBE18EB" w14:textId="77777777">
      <w:pPr>
        <w:spacing w:after="0" w:line="240" w:lineRule="auto"/>
        <w:ind w:firstLine="360"/>
        <w:rPr>
          <w:rFonts w:ascii="Times New Roman" w:hAnsi="Times New Roman" w:cs="Times New Roman"/>
        </w:rPr>
      </w:pPr>
      <w:r>
        <w:rPr>
          <w:rFonts w:ascii="Times New Roman" w:hAnsi="Times New Roman" w:cs="Times New Roman"/>
        </w:rPr>
        <w:tab/>
      </w:r>
      <w:r w:rsidRPr="00693892">
        <w:rPr>
          <w:rFonts w:ascii="Times New Roman" w:hAnsi="Times New Roman" w:cs="Times New Roman"/>
        </w:rPr>
        <w:t xml:space="preserve">For all small governments, </w:t>
      </w:r>
      <w:r w:rsidR="0066072A">
        <w:rPr>
          <w:rFonts w:ascii="Times New Roman" w:hAnsi="Times New Roman" w:cs="Times New Roman"/>
        </w:rPr>
        <w:t>97</w:t>
      </w:r>
      <w:r w:rsidRPr="00693892" w:rsidR="00115223">
        <w:rPr>
          <w:rFonts w:ascii="Times New Roman" w:hAnsi="Times New Roman" w:cs="Times New Roman"/>
        </w:rPr>
        <w:t xml:space="preserve"> percent</w:t>
      </w:r>
      <w:r w:rsidRPr="00693892">
        <w:rPr>
          <w:rFonts w:ascii="Times New Roman" w:hAnsi="Times New Roman" w:cs="Times New Roman"/>
        </w:rPr>
        <w:t xml:space="preserve"> have cost impacts less than </w:t>
      </w:r>
      <w:r w:rsidR="00B653CC">
        <w:rPr>
          <w:rFonts w:ascii="Times New Roman" w:hAnsi="Times New Roman" w:cs="Times New Roman"/>
        </w:rPr>
        <w:t xml:space="preserve">or equal to </w:t>
      </w:r>
      <w:r w:rsidRPr="00693892">
        <w:rPr>
          <w:rFonts w:ascii="Times New Roman" w:hAnsi="Times New Roman" w:cs="Times New Roman"/>
        </w:rPr>
        <w:t>$</w:t>
      </w:r>
      <w:r w:rsidR="0066072A">
        <w:rPr>
          <w:rFonts w:ascii="Times New Roman" w:hAnsi="Times New Roman" w:cs="Times New Roman"/>
        </w:rPr>
        <w:t>10</w:t>
      </w:r>
      <w:r w:rsidRPr="00693892">
        <w:rPr>
          <w:rFonts w:ascii="Times New Roman" w:hAnsi="Times New Roman" w:cs="Times New Roman"/>
        </w:rPr>
        <w:t>,000</w:t>
      </w:r>
      <w:r w:rsidR="00E22F87">
        <w:rPr>
          <w:rFonts w:ascii="Times New Roman" w:hAnsi="Times New Roman" w:cs="Times New Roman"/>
        </w:rPr>
        <w:t>,</w:t>
      </w:r>
      <w:r w:rsidRPr="00693892">
        <w:rPr>
          <w:rFonts w:ascii="Times New Roman" w:hAnsi="Times New Roman" w:cs="Times New Roman"/>
        </w:rPr>
        <w:t xml:space="preserve"> and only </w:t>
      </w:r>
      <w:r w:rsidRPr="000E2C24" w:rsidR="00FB0BA4">
        <w:rPr>
          <w:rFonts w:ascii="Times New Roman" w:hAnsi="Times New Roman" w:cs="Times New Roman"/>
        </w:rPr>
        <w:t>17</w:t>
      </w:r>
      <w:r w:rsidRPr="00693892">
        <w:rPr>
          <w:rFonts w:ascii="Times New Roman" w:hAnsi="Times New Roman" w:cs="Times New Roman"/>
        </w:rPr>
        <w:t xml:space="preserve"> small government</w:t>
      </w:r>
      <w:r w:rsidR="00B653CC">
        <w:rPr>
          <w:rFonts w:ascii="Times New Roman" w:hAnsi="Times New Roman" w:cs="Times New Roman"/>
        </w:rPr>
        <w:t>s</w:t>
      </w:r>
      <w:r w:rsidR="00230515">
        <w:rPr>
          <w:rFonts w:ascii="Times New Roman" w:hAnsi="Times New Roman" w:cs="Times New Roman"/>
        </w:rPr>
        <w:t xml:space="preserve"> are estimated to experience</w:t>
      </w:r>
      <w:r w:rsidRPr="00693892">
        <w:rPr>
          <w:rFonts w:ascii="Times New Roman" w:hAnsi="Times New Roman" w:cs="Times New Roman"/>
        </w:rPr>
        <w:t xml:space="preserve"> an impact </w:t>
      </w:r>
      <w:r w:rsidRPr="00B261DB">
        <w:rPr>
          <w:rFonts w:ascii="Times New Roman" w:hAnsi="Times New Roman"/>
        </w:rPr>
        <w:t xml:space="preserve">greater </w:t>
      </w:r>
      <w:r w:rsidRPr="00B261DB">
        <w:rPr>
          <w:rFonts w:ascii="Times New Roman" w:hAnsi="Times New Roman" w:cs="Times New Roman"/>
        </w:rPr>
        <w:t>than $10,000. The largest impact to a small government is $</w:t>
      </w:r>
      <w:r w:rsidRPr="00B261DB" w:rsidR="009723AF">
        <w:rPr>
          <w:rFonts w:ascii="Times New Roman" w:hAnsi="Times New Roman" w:cs="Times New Roman"/>
        </w:rPr>
        <w:t>55,819</w:t>
      </w:r>
      <w:r w:rsidRPr="00B261DB">
        <w:rPr>
          <w:rFonts w:ascii="Times New Roman" w:hAnsi="Times New Roman" w:cs="Times New Roman"/>
        </w:rPr>
        <w:t xml:space="preserve"> for a facility that serves an estimated population of</w:t>
      </w:r>
      <w:r w:rsidRPr="00B261DB" w:rsidR="009958D2">
        <w:rPr>
          <w:rFonts w:ascii="Times New Roman" w:hAnsi="Times New Roman" w:cs="Times New Roman"/>
        </w:rPr>
        <w:t xml:space="preserve"> </w:t>
      </w:r>
      <w:r w:rsidRPr="00B261DB" w:rsidR="78DDF3FA">
        <w:rPr>
          <w:rFonts w:ascii="Times New Roman" w:hAnsi="Times New Roman" w:cs="Times New Roman"/>
        </w:rPr>
        <w:t>46,500</w:t>
      </w:r>
      <w:r w:rsidRPr="00B261DB">
        <w:rPr>
          <w:rFonts w:ascii="Times New Roman" w:hAnsi="Times New Roman" w:cs="Times New Roman"/>
        </w:rPr>
        <w:t>. For the rule to have a larger than 1</w:t>
      </w:r>
      <w:r w:rsidRPr="00B261DB" w:rsidR="00115223">
        <w:rPr>
          <w:rFonts w:ascii="Times New Roman" w:hAnsi="Times New Roman" w:cs="Times New Roman"/>
        </w:rPr>
        <w:t xml:space="preserve"> percent</w:t>
      </w:r>
      <w:r w:rsidRPr="00B261DB">
        <w:rPr>
          <w:rFonts w:ascii="Times New Roman" w:hAnsi="Times New Roman" w:cs="Times New Roman"/>
        </w:rPr>
        <w:t xml:space="preserve"> impact, this entity </w:t>
      </w:r>
      <w:r w:rsidRPr="00B261DB" w:rsidR="009958D2">
        <w:rPr>
          <w:rFonts w:ascii="Times New Roman" w:hAnsi="Times New Roman" w:cs="Times New Roman"/>
        </w:rPr>
        <w:t>will</w:t>
      </w:r>
      <w:r w:rsidRPr="00B261DB">
        <w:rPr>
          <w:rFonts w:ascii="Times New Roman" w:hAnsi="Times New Roman" w:cs="Times New Roman"/>
        </w:rPr>
        <w:t xml:space="preserve"> need to have</w:t>
      </w:r>
      <w:r w:rsidRPr="00693892">
        <w:rPr>
          <w:rFonts w:ascii="Times New Roman" w:hAnsi="Times New Roman" w:cs="Times New Roman"/>
        </w:rPr>
        <w:t xml:space="preserve"> revenue of less than $</w:t>
      </w:r>
      <w:r w:rsidR="00CB52A9">
        <w:rPr>
          <w:rFonts w:ascii="Times New Roman" w:hAnsi="Times New Roman" w:cs="Times New Roman"/>
        </w:rPr>
        <w:t>5.6</w:t>
      </w:r>
      <w:r w:rsidRPr="00693892">
        <w:rPr>
          <w:rFonts w:ascii="Times New Roman" w:hAnsi="Times New Roman" w:cs="Times New Roman"/>
        </w:rPr>
        <w:t xml:space="preserve"> million, or less than $</w:t>
      </w:r>
      <w:r w:rsidR="0FF975AF">
        <w:rPr>
          <w:rFonts w:ascii="Times New Roman" w:hAnsi="Times New Roman" w:cs="Times New Roman"/>
        </w:rPr>
        <w:t>120</w:t>
      </w:r>
      <w:r w:rsidRPr="00693892" w:rsidR="003933AD">
        <w:rPr>
          <w:rFonts w:ascii="Times New Roman" w:hAnsi="Times New Roman" w:cs="Times New Roman"/>
        </w:rPr>
        <w:t xml:space="preserve"> </w:t>
      </w:r>
      <w:r w:rsidRPr="00693892">
        <w:rPr>
          <w:rFonts w:ascii="Times New Roman" w:hAnsi="Times New Roman" w:cs="Times New Roman"/>
        </w:rPr>
        <w:t>per resident. For small governments with populations</w:t>
      </w:r>
      <w:r w:rsidR="00A601BD">
        <w:rPr>
          <w:rFonts w:ascii="Times New Roman" w:hAnsi="Times New Roman" w:cs="Times New Roman"/>
        </w:rPr>
        <w:t xml:space="preserve"> of fewer</w:t>
      </w:r>
      <w:r w:rsidRPr="00693892">
        <w:rPr>
          <w:rFonts w:ascii="Times New Roman" w:hAnsi="Times New Roman" w:cs="Times New Roman"/>
        </w:rPr>
        <w:t xml:space="preserve"> than 5,000, the cost impacts are smaller: </w:t>
      </w:r>
      <w:r w:rsidRPr="000E2C24" w:rsidR="009928C4">
        <w:rPr>
          <w:rFonts w:ascii="Times New Roman" w:hAnsi="Times New Roman" w:cs="Times New Roman"/>
        </w:rPr>
        <w:t>5</w:t>
      </w:r>
      <w:r w:rsidRPr="000E2C24" w:rsidR="003D3908">
        <w:rPr>
          <w:rFonts w:ascii="Times New Roman" w:hAnsi="Times New Roman" w:cs="Times New Roman"/>
        </w:rPr>
        <w:t>3</w:t>
      </w:r>
      <w:r w:rsidRPr="00693892">
        <w:rPr>
          <w:rFonts w:ascii="Times New Roman" w:hAnsi="Times New Roman" w:cs="Times New Roman"/>
        </w:rPr>
        <w:t xml:space="preserve"> have impacts less than</w:t>
      </w:r>
      <w:r w:rsidR="009928C4">
        <w:rPr>
          <w:rFonts w:ascii="Times New Roman" w:hAnsi="Times New Roman" w:cs="Times New Roman"/>
        </w:rPr>
        <w:t xml:space="preserve"> or </w:t>
      </w:r>
      <w:r w:rsidR="000E24E7">
        <w:rPr>
          <w:rFonts w:ascii="Times New Roman" w:hAnsi="Times New Roman" w:cs="Times New Roman"/>
        </w:rPr>
        <w:t>equal to</w:t>
      </w:r>
      <w:r w:rsidRPr="00693892">
        <w:rPr>
          <w:rFonts w:ascii="Times New Roman" w:hAnsi="Times New Roman" w:cs="Times New Roman"/>
        </w:rPr>
        <w:t xml:space="preserve"> $</w:t>
      </w:r>
      <w:r w:rsidR="003D3908">
        <w:rPr>
          <w:rFonts w:ascii="Times New Roman" w:hAnsi="Times New Roman" w:cs="Times New Roman"/>
        </w:rPr>
        <w:t>3</w:t>
      </w:r>
      <w:r w:rsidRPr="00693892">
        <w:rPr>
          <w:rFonts w:ascii="Times New Roman" w:hAnsi="Times New Roman" w:cs="Times New Roman"/>
        </w:rPr>
        <w:t>,000 (</w:t>
      </w:r>
      <w:r w:rsidRPr="000E2C24" w:rsidR="000E24E7">
        <w:rPr>
          <w:rFonts w:ascii="Times New Roman" w:hAnsi="Times New Roman" w:cs="Times New Roman"/>
        </w:rPr>
        <w:t>7</w:t>
      </w:r>
      <w:r w:rsidRPr="000E2C24" w:rsidR="000E2C24">
        <w:rPr>
          <w:rFonts w:ascii="Times New Roman" w:hAnsi="Times New Roman" w:cs="Times New Roman"/>
        </w:rPr>
        <w:t>8</w:t>
      </w:r>
      <w:r w:rsidRPr="00693892" w:rsidR="00115223">
        <w:rPr>
          <w:rFonts w:ascii="Times New Roman" w:hAnsi="Times New Roman" w:cs="Times New Roman"/>
        </w:rPr>
        <w:t xml:space="preserve"> percent</w:t>
      </w:r>
      <w:r w:rsidRPr="00693892">
        <w:rPr>
          <w:rFonts w:ascii="Times New Roman" w:hAnsi="Times New Roman" w:cs="Times New Roman"/>
        </w:rPr>
        <w:t xml:space="preserve">) and </w:t>
      </w:r>
      <w:r w:rsidRPr="000E2C24">
        <w:rPr>
          <w:rFonts w:ascii="Times New Roman" w:hAnsi="Times New Roman" w:cs="Times New Roman"/>
        </w:rPr>
        <w:t xml:space="preserve">no small governments with populations </w:t>
      </w:r>
      <w:r w:rsidR="00A601BD">
        <w:rPr>
          <w:rFonts w:ascii="Times New Roman" w:hAnsi="Times New Roman" w:cs="Times New Roman"/>
        </w:rPr>
        <w:t xml:space="preserve">fewer </w:t>
      </w:r>
      <w:r w:rsidRPr="000E2C24">
        <w:rPr>
          <w:rFonts w:ascii="Times New Roman" w:hAnsi="Times New Roman" w:cs="Times New Roman"/>
        </w:rPr>
        <w:t xml:space="preserve">than 5,000 </w:t>
      </w:r>
      <w:r w:rsidR="00A601BD">
        <w:rPr>
          <w:rFonts w:ascii="Times New Roman" w:hAnsi="Times New Roman" w:cs="Times New Roman"/>
        </w:rPr>
        <w:t>have</w:t>
      </w:r>
      <w:r w:rsidRPr="000E2C24">
        <w:rPr>
          <w:rFonts w:ascii="Times New Roman" w:hAnsi="Times New Roman" w:cs="Times New Roman"/>
        </w:rPr>
        <w:t xml:space="preserve"> cost impacts greater than $</w:t>
      </w:r>
      <w:r w:rsidRPr="000E2C24" w:rsidR="000E24E7">
        <w:rPr>
          <w:rFonts w:ascii="Times New Roman" w:hAnsi="Times New Roman" w:cs="Times New Roman"/>
        </w:rPr>
        <w:t>10</w:t>
      </w:r>
      <w:r w:rsidRPr="000E2C24">
        <w:rPr>
          <w:rFonts w:ascii="Times New Roman" w:hAnsi="Times New Roman" w:cs="Times New Roman"/>
        </w:rPr>
        <w:t>,000</w:t>
      </w:r>
      <w:r w:rsidRPr="00693892">
        <w:rPr>
          <w:rFonts w:ascii="Times New Roman" w:hAnsi="Times New Roman" w:cs="Times New Roman"/>
        </w:rPr>
        <w:t>. The smallest government</w:t>
      </w:r>
      <w:r w:rsidR="001129D5">
        <w:rPr>
          <w:rFonts w:ascii="Times New Roman" w:hAnsi="Times New Roman" w:cs="Times New Roman"/>
        </w:rPr>
        <w:t xml:space="preserve"> entity</w:t>
      </w:r>
      <w:r w:rsidRPr="00693892">
        <w:rPr>
          <w:rFonts w:ascii="Times New Roman" w:hAnsi="Times New Roman" w:cs="Times New Roman"/>
        </w:rPr>
        <w:t xml:space="preserve"> in the data is for a facility located in Avinger, </w:t>
      </w:r>
      <w:r w:rsidRPr="004F678A">
        <w:rPr>
          <w:rFonts w:ascii="Times New Roman" w:hAnsi="Times New Roman" w:cs="Times New Roman"/>
        </w:rPr>
        <w:t>TX; population</w:t>
      </w:r>
      <w:r w:rsidRPr="004F678A" w:rsidR="00226673">
        <w:rPr>
          <w:rFonts w:ascii="Times New Roman" w:hAnsi="Times New Roman" w:cs="Times New Roman"/>
        </w:rPr>
        <w:t xml:space="preserve"> </w:t>
      </w:r>
      <w:r w:rsidRPr="004F678A">
        <w:rPr>
          <w:rFonts w:ascii="Times New Roman" w:hAnsi="Times New Roman" w:cs="Times New Roman"/>
        </w:rPr>
        <w:t>440 with a cost of $</w:t>
      </w:r>
      <w:r w:rsidRPr="004F678A" w:rsidR="009413B5">
        <w:rPr>
          <w:rFonts w:ascii="Times New Roman" w:hAnsi="Times New Roman" w:cs="Times New Roman"/>
        </w:rPr>
        <w:t>2,</w:t>
      </w:r>
      <w:r w:rsidR="00052DDC">
        <w:rPr>
          <w:rFonts w:ascii="Times New Roman" w:hAnsi="Times New Roman" w:cs="Times New Roman"/>
        </w:rPr>
        <w:t>860</w:t>
      </w:r>
      <w:r w:rsidRPr="004F678A" w:rsidR="00052DDC">
        <w:rPr>
          <w:rFonts w:ascii="Times New Roman" w:hAnsi="Times New Roman" w:cs="Times New Roman"/>
        </w:rPr>
        <w:t xml:space="preserve"> </w:t>
      </w:r>
      <w:r w:rsidRPr="004F678A">
        <w:rPr>
          <w:rFonts w:ascii="Times New Roman" w:hAnsi="Times New Roman" w:cs="Times New Roman"/>
        </w:rPr>
        <w:t xml:space="preserve">from the </w:t>
      </w:r>
      <w:r w:rsidRPr="004F678A" w:rsidR="001F1536">
        <w:rPr>
          <w:rFonts w:ascii="Times New Roman" w:hAnsi="Times New Roman" w:cs="Times New Roman"/>
        </w:rPr>
        <w:t xml:space="preserve">final </w:t>
      </w:r>
      <w:r w:rsidRPr="004F678A">
        <w:rPr>
          <w:rFonts w:ascii="Times New Roman" w:hAnsi="Times New Roman" w:cs="Times New Roman"/>
        </w:rPr>
        <w:t>rule. To experience an impact larger than 1</w:t>
      </w:r>
      <w:r w:rsidRPr="004F678A" w:rsidR="00115223">
        <w:rPr>
          <w:rFonts w:ascii="Times New Roman" w:hAnsi="Times New Roman" w:cs="Times New Roman"/>
        </w:rPr>
        <w:t xml:space="preserve"> percent</w:t>
      </w:r>
      <w:r w:rsidR="00A601BD">
        <w:rPr>
          <w:rFonts w:ascii="Times New Roman" w:hAnsi="Times New Roman" w:cs="Times New Roman"/>
        </w:rPr>
        <w:t>,</w:t>
      </w:r>
      <w:r w:rsidRPr="004F678A">
        <w:rPr>
          <w:rFonts w:ascii="Times New Roman" w:hAnsi="Times New Roman" w:cs="Times New Roman"/>
        </w:rPr>
        <w:t xml:space="preserve"> this </w:t>
      </w:r>
      <w:r w:rsidR="005935B9">
        <w:rPr>
          <w:rFonts w:ascii="Times New Roman" w:hAnsi="Times New Roman" w:cs="Times New Roman"/>
        </w:rPr>
        <w:t>municipality</w:t>
      </w:r>
      <w:r w:rsidRPr="004F678A">
        <w:rPr>
          <w:rFonts w:ascii="Times New Roman" w:hAnsi="Times New Roman" w:cs="Times New Roman"/>
        </w:rPr>
        <w:t xml:space="preserve"> </w:t>
      </w:r>
      <w:r w:rsidRPr="004F678A" w:rsidR="009958D2">
        <w:rPr>
          <w:rFonts w:ascii="Times New Roman" w:hAnsi="Times New Roman" w:cs="Times New Roman"/>
        </w:rPr>
        <w:t>will</w:t>
      </w:r>
      <w:r w:rsidRPr="004F678A">
        <w:rPr>
          <w:rFonts w:ascii="Times New Roman" w:hAnsi="Times New Roman" w:cs="Times New Roman"/>
        </w:rPr>
        <w:t xml:space="preserve"> need to have revenue of less than $</w:t>
      </w:r>
      <w:r w:rsidRPr="004F678A" w:rsidR="008D00F9">
        <w:rPr>
          <w:rFonts w:ascii="Times New Roman" w:hAnsi="Times New Roman" w:cs="Times New Roman"/>
        </w:rPr>
        <w:t>2</w:t>
      </w:r>
      <w:r w:rsidR="008D00F9">
        <w:rPr>
          <w:rFonts w:ascii="Times New Roman" w:hAnsi="Times New Roman" w:cs="Times New Roman"/>
        </w:rPr>
        <w:t>86</w:t>
      </w:r>
      <w:r w:rsidRPr="004F678A" w:rsidR="001C0C49">
        <w:rPr>
          <w:rFonts w:ascii="Times New Roman" w:hAnsi="Times New Roman" w:cs="Times New Roman"/>
        </w:rPr>
        <w:t>,</w:t>
      </w:r>
      <w:r w:rsidR="00126A7D">
        <w:rPr>
          <w:rFonts w:ascii="Times New Roman" w:hAnsi="Times New Roman" w:cs="Times New Roman"/>
        </w:rPr>
        <w:t>022</w:t>
      </w:r>
      <w:r w:rsidRPr="004F678A">
        <w:rPr>
          <w:rFonts w:ascii="Times New Roman" w:hAnsi="Times New Roman" w:cs="Times New Roman"/>
        </w:rPr>
        <w:t>, or less than $</w:t>
      </w:r>
      <w:r w:rsidRPr="004F678A" w:rsidR="00505AC4">
        <w:rPr>
          <w:rFonts w:ascii="Times New Roman" w:hAnsi="Times New Roman" w:cs="Times New Roman"/>
        </w:rPr>
        <w:t>6</w:t>
      </w:r>
      <w:r w:rsidR="00505AC4">
        <w:rPr>
          <w:rFonts w:ascii="Times New Roman" w:hAnsi="Times New Roman" w:cs="Times New Roman"/>
        </w:rPr>
        <w:t>50</w:t>
      </w:r>
      <w:r w:rsidRPr="004F678A" w:rsidR="00505AC4">
        <w:rPr>
          <w:rFonts w:ascii="Times New Roman" w:hAnsi="Times New Roman" w:cs="Times New Roman"/>
        </w:rPr>
        <w:t xml:space="preserve"> </w:t>
      </w:r>
      <w:r w:rsidRPr="004F678A">
        <w:rPr>
          <w:rFonts w:ascii="Times New Roman" w:hAnsi="Times New Roman" w:cs="Times New Roman"/>
        </w:rPr>
        <w:t>per residen</w:t>
      </w:r>
      <w:r w:rsidR="001242B7">
        <w:rPr>
          <w:rFonts w:ascii="Times New Roman" w:hAnsi="Times New Roman" w:cs="Times New Roman"/>
        </w:rPr>
        <w:t>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4080B" w:rsidRPr="00693892" w:rsidP="000E6E0F" w14:paraId="66CEB367" w14:textId="77777777">
      <w:pPr>
        <w:spacing w:after="0" w:line="240" w:lineRule="auto"/>
        <w:ind w:firstLine="360"/>
        <w:rPr>
          <w:rFonts w:ascii="Times New Roman" w:hAnsi="Times New Roman" w:cs="Times New Roman"/>
        </w:rPr>
      </w:pPr>
    </w:p>
    <w:p w:rsidR="0075046B" w:rsidRPr="00E92045" w:rsidP="0075046B" w14:paraId="22C573ED" w14:textId="77777777">
      <w:pPr>
        <w:spacing w:after="0" w:line="240" w:lineRule="auto"/>
        <w:jc w:val="center"/>
        <w:rPr>
          <w:rFonts w:ascii="Times New Roman" w:hAnsi="Times New Roman" w:cs="Times New Roman"/>
          <w:b/>
        </w:rPr>
      </w:pPr>
      <w:r w:rsidRPr="00E92045">
        <w:rPr>
          <w:rFonts w:ascii="Times New Roman" w:hAnsi="Times New Roman" w:cs="Times New Roman"/>
          <w:b/>
        </w:rPr>
        <w:t>Exhibit 8-</w:t>
      </w:r>
      <w:r w:rsidR="00593BC4">
        <w:rPr>
          <w:rFonts w:ascii="Times New Roman" w:hAnsi="Times New Roman" w:cs="Times New Roman"/>
          <w:b/>
        </w:rPr>
        <w:t>9</w:t>
      </w:r>
      <w:r w:rsidRPr="00E92045">
        <w:rPr>
          <w:rFonts w:ascii="Times New Roman" w:hAnsi="Times New Roman" w:cs="Times New Roman"/>
          <w:b/>
        </w:rPr>
        <w:t>: Co</w:t>
      </w:r>
      <w:r w:rsidR="00ED3152">
        <w:rPr>
          <w:rFonts w:ascii="Times New Roman" w:hAnsi="Times New Roman" w:cs="Times New Roman"/>
          <w:b/>
        </w:rPr>
        <w:t>s</w:t>
      </w:r>
      <w:r w:rsidRPr="00E92045">
        <w:rPr>
          <w:rFonts w:ascii="Times New Roman" w:hAnsi="Times New Roman" w:cs="Times New Roman"/>
          <w:b/>
        </w:rPr>
        <w:t xml:space="preserve">t Impacts to Small Governments </w:t>
      </w:r>
    </w:p>
    <w:p w:rsidR="0075046B" w:rsidRPr="00E92045" w:rsidP="00122820" w14:paraId="0BFD0818" w14:textId="77777777">
      <w:pPr>
        <w:spacing w:after="120" w:line="240" w:lineRule="auto"/>
        <w:jc w:val="center"/>
        <w:rPr>
          <w:rFonts w:ascii="Times New Roman" w:hAnsi="Times New Roman" w:cs="Times New Roman"/>
          <w:b/>
        </w:rPr>
      </w:pPr>
      <w:r w:rsidRPr="00E92045">
        <w:rPr>
          <w:rFonts w:ascii="Times New Roman" w:hAnsi="Times New Roman" w:cs="Times New Roman"/>
          <w:b/>
        </w:rPr>
        <w:t>(Number of Small Governments with Costs in the Given Range</w:t>
      </w:r>
      <w:r w:rsidRPr="00E92045" w:rsidR="00E92045">
        <w:rPr>
          <w:rFonts w:ascii="Times New Roman" w:hAnsi="Times New Roman" w:cs="Times New Roman"/>
          <w:b/>
          <w:bCs/>
        </w:rPr>
        <w:t>).</w:t>
      </w:r>
    </w:p>
    <w:tbl>
      <w:tblPr>
        <w:tblW w:w="5338" w:type="pct"/>
        <w:tblLayout w:type="fixed"/>
        <w:tblLook w:val="04A0"/>
      </w:tblPr>
      <w:tblGrid>
        <w:gridCol w:w="2967"/>
        <w:gridCol w:w="1439"/>
        <w:gridCol w:w="1080"/>
        <w:gridCol w:w="1080"/>
        <w:gridCol w:w="1078"/>
        <w:gridCol w:w="1172"/>
        <w:gridCol w:w="1166"/>
      </w:tblGrid>
      <w:tr w14:paraId="5323E732" w14:textId="77777777" w:rsidTr="00156F55">
        <w:tblPrEx>
          <w:tblW w:w="5338" w:type="pct"/>
          <w:tblLayout w:type="fixed"/>
          <w:tblLook w:val="04A0"/>
        </w:tblPrEx>
        <w:trPr>
          <w:trHeight w:val="449"/>
          <w:tblHeader/>
        </w:trPr>
        <w:tc>
          <w:tcPr>
            <w:tcW w:w="148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5046B" w:rsidRPr="00E92045" w:rsidP="00156F55" w14:paraId="052C2EA7" w14:textId="77777777">
            <w:pPr>
              <w:spacing w:after="12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Category</w:t>
            </w:r>
          </w:p>
        </w:tc>
        <w:tc>
          <w:tcPr>
            <w:tcW w:w="72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E92045" w:rsidP="00156F55" w14:paraId="0B067D69" w14:textId="77777777">
            <w:pPr>
              <w:spacing w:after="12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Number of Governments</w:t>
            </w:r>
          </w:p>
        </w:tc>
        <w:tc>
          <w:tcPr>
            <w:tcW w:w="54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E92045" w:rsidP="00156F55" w14:paraId="1305D63A" w14:textId="77777777">
            <w:pPr>
              <w:spacing w:after="12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&lt;$1,000</w:t>
            </w:r>
          </w:p>
        </w:tc>
        <w:tc>
          <w:tcPr>
            <w:tcW w:w="54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E92045" w:rsidP="00156F55" w14:paraId="61F82192" w14:textId="77777777">
            <w:pPr>
              <w:spacing w:after="12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$1,000-$2,000</w:t>
            </w:r>
          </w:p>
        </w:tc>
        <w:tc>
          <w:tcPr>
            <w:tcW w:w="54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E92045" w:rsidP="00156F55" w14:paraId="072CC837" w14:textId="77777777">
            <w:pPr>
              <w:spacing w:after="12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$2,000-$3,000</w:t>
            </w:r>
          </w:p>
        </w:tc>
        <w:tc>
          <w:tcPr>
            <w:tcW w:w="58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E92045" w:rsidP="00156F55" w14:paraId="5C09A837" w14:textId="77777777">
            <w:pPr>
              <w:spacing w:after="12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$3,000-$10,000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E92045" w:rsidP="00156F55" w14:paraId="798735B2" w14:textId="77777777">
            <w:pPr>
              <w:spacing w:after="12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&gt;$10,000</w:t>
            </w:r>
          </w:p>
        </w:tc>
      </w:tr>
      <w:tr w14:paraId="3A5822E2" w14:textId="77777777" w:rsidTr="00156F55">
        <w:tblPrEx>
          <w:tblW w:w="5338" w:type="pct"/>
          <w:tblLayout w:type="fixed"/>
          <w:tblLook w:val="04A0"/>
        </w:tblPrEx>
        <w:trPr>
          <w:trHeight w:val="290"/>
        </w:trPr>
        <w:tc>
          <w:tcPr>
            <w:tcW w:w="1486" w:type="pct"/>
            <w:tcBorders>
              <w:top w:val="nil"/>
              <w:left w:val="single" w:sz="4" w:space="0" w:color="auto"/>
              <w:bottom w:val="nil"/>
              <w:right w:val="single" w:sz="4" w:space="0" w:color="auto"/>
            </w:tcBorders>
            <w:shd w:val="clear" w:color="auto" w:fill="auto"/>
            <w:noWrap/>
            <w:vAlign w:val="center"/>
            <w:hideMark/>
          </w:tcPr>
          <w:p w:rsidR="0075046B" w:rsidRPr="00E92045" w:rsidP="008348D6" w14:paraId="23695AF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Small</w:t>
            </w:r>
          </w:p>
        </w:tc>
        <w:tc>
          <w:tcPr>
            <w:tcW w:w="721" w:type="pct"/>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156F55" w14:paraId="1BD425A7"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630</w:t>
            </w:r>
          </w:p>
        </w:tc>
        <w:tc>
          <w:tcPr>
            <w:tcW w:w="54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34B542AC" w14:textId="77777777">
            <w:pPr>
              <w:spacing w:after="0" w:line="240" w:lineRule="auto"/>
              <w:jc w:val="center"/>
              <w:rPr>
                <w:rFonts w:ascii="Times New Roman" w:eastAsia="Times New Roman" w:hAnsi="Times New Roman" w:cs="Times New Roman"/>
                <w:color w:val="000000"/>
                <w:sz w:val="20"/>
                <w:szCs w:val="20"/>
              </w:rPr>
            </w:pPr>
            <w:r w:rsidRPr="00EC54C7">
              <w:rPr>
                <w:rFonts w:ascii="Times New Roman" w:hAnsi="Times New Roman" w:cs="Times New Roman"/>
                <w:color w:val="000000"/>
                <w:sz w:val="20"/>
                <w:szCs w:val="20"/>
              </w:rPr>
              <w:t>0</w:t>
            </w:r>
          </w:p>
        </w:tc>
        <w:tc>
          <w:tcPr>
            <w:tcW w:w="54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28CB9382"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0</w:t>
            </w:r>
          </w:p>
        </w:tc>
        <w:tc>
          <w:tcPr>
            <w:tcW w:w="540"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24E69F98" w14:textId="77777777">
            <w:pPr>
              <w:spacing w:after="0" w:line="240" w:lineRule="auto"/>
              <w:jc w:val="center"/>
              <w:rPr>
                <w:rFonts w:ascii="Times New Roman" w:eastAsia="Times New Roman" w:hAnsi="Times New Roman" w:cs="Times New Roman"/>
                <w:color w:val="000000"/>
                <w:sz w:val="20"/>
                <w:szCs w:val="20"/>
              </w:rPr>
            </w:pPr>
            <w:r w:rsidRPr="002D2D41">
              <w:rPr>
                <w:rFonts w:ascii="Times New Roman" w:hAnsi="Times New Roman" w:cs="Times New Roman"/>
                <w:sz w:val="20"/>
                <w:szCs w:val="20"/>
              </w:rPr>
              <w:t>365</w:t>
            </w:r>
          </w:p>
        </w:tc>
        <w:tc>
          <w:tcPr>
            <w:tcW w:w="587"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3E855AFE" w14:textId="77777777">
            <w:pPr>
              <w:spacing w:after="0" w:line="240" w:lineRule="auto"/>
              <w:jc w:val="center"/>
              <w:rPr>
                <w:rFonts w:ascii="Times New Roman" w:eastAsia="Times New Roman" w:hAnsi="Times New Roman" w:cs="Times New Roman"/>
                <w:color w:val="000000"/>
                <w:sz w:val="20"/>
                <w:szCs w:val="20"/>
              </w:rPr>
            </w:pPr>
            <w:r w:rsidRPr="002D2D41">
              <w:rPr>
                <w:rFonts w:ascii="Times New Roman" w:hAnsi="Times New Roman" w:cs="Times New Roman"/>
                <w:sz w:val="20"/>
                <w:szCs w:val="20"/>
              </w:rPr>
              <w:t>248</w:t>
            </w:r>
          </w:p>
        </w:tc>
        <w:tc>
          <w:tcPr>
            <w:tcW w:w="584"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1D0094C6"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17</w:t>
            </w:r>
          </w:p>
        </w:tc>
      </w:tr>
      <w:tr w14:paraId="283CEA23" w14:textId="77777777" w:rsidTr="00156F55">
        <w:tblPrEx>
          <w:tblW w:w="5338" w:type="pct"/>
          <w:tblLayout w:type="fixed"/>
          <w:tblLook w:val="04A0"/>
        </w:tblPrEx>
        <w:trPr>
          <w:trHeight w:val="290"/>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46B" w:rsidRPr="00E92045" w:rsidP="008348D6" w14:paraId="623EFF5B" w14:textId="7777777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E92045">
              <w:rPr>
                <w:rFonts w:ascii="Times New Roman" w:eastAsia="Times New Roman" w:hAnsi="Times New Roman" w:cs="Times New Roman"/>
                <w:color w:val="000000"/>
                <w:sz w:val="20"/>
                <w:szCs w:val="20"/>
              </w:rPr>
              <w:t xml:space="preserve">,000 </w:t>
            </w:r>
            <w:r w:rsidR="00C44AEC">
              <w:rPr>
                <w:rFonts w:ascii="Times New Roman" w:eastAsia="Times New Roman" w:hAnsi="Times New Roman" w:cs="Times New Roman"/>
                <w:color w:val="000000"/>
                <w:sz w:val="20"/>
                <w:szCs w:val="20"/>
              </w:rPr>
              <w:t>–</w:t>
            </w:r>
            <w:r w:rsidRPr="00E92045">
              <w:rPr>
                <w:rFonts w:ascii="Times New Roman" w:eastAsia="Times New Roman" w:hAnsi="Times New Roman" w:cs="Times New Roman"/>
                <w:color w:val="000000"/>
                <w:sz w:val="20"/>
                <w:szCs w:val="20"/>
              </w:rPr>
              <w:t xml:space="preserve"> 5</w:t>
            </w:r>
            <w:r w:rsidR="00CD4ED4">
              <w:rPr>
                <w:rFonts w:ascii="Times New Roman" w:eastAsia="Times New Roman" w:hAnsi="Times New Roman" w:cs="Times New Roman"/>
                <w:color w:val="000000"/>
                <w:sz w:val="20"/>
                <w:szCs w:val="20"/>
              </w:rPr>
              <w:t>0</w:t>
            </w:r>
            <w:r w:rsidRPr="00E92045">
              <w:rPr>
                <w:rFonts w:ascii="Times New Roman" w:eastAsia="Times New Roman" w:hAnsi="Times New Roman" w:cs="Times New Roman"/>
                <w:color w:val="000000"/>
                <w:sz w:val="20"/>
                <w:szCs w:val="20"/>
              </w:rPr>
              <w:t>,000 Residents</w:t>
            </w:r>
          </w:p>
        </w:tc>
        <w:tc>
          <w:tcPr>
            <w:tcW w:w="72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25D73C4C"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w:t>
            </w:r>
            <w:r w:rsidR="00CB5420">
              <w:rPr>
                <w:rFonts w:ascii="Times New Roman" w:eastAsia="Times New Roman" w:hAnsi="Times New Roman" w:cs="Times New Roman"/>
                <w:color w:val="000000"/>
                <w:sz w:val="20"/>
                <w:szCs w:val="20"/>
              </w:rPr>
              <w:t>30</w:t>
            </w:r>
          </w:p>
        </w:tc>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156F55" w14:paraId="4D30FB36"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0</w:t>
            </w:r>
          </w:p>
        </w:tc>
        <w:tc>
          <w:tcPr>
            <w:tcW w:w="54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6B222B05"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0</w:t>
            </w:r>
          </w:p>
        </w:tc>
        <w:tc>
          <w:tcPr>
            <w:tcW w:w="540"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18D947F2" w14:textId="77777777">
            <w:pPr>
              <w:spacing w:after="0" w:line="240" w:lineRule="auto"/>
              <w:jc w:val="center"/>
              <w:rPr>
                <w:rFonts w:ascii="Times New Roman" w:eastAsia="Times New Roman" w:hAnsi="Times New Roman" w:cs="Times New Roman"/>
                <w:color w:val="000000"/>
                <w:sz w:val="20"/>
                <w:szCs w:val="20"/>
              </w:rPr>
            </w:pPr>
            <w:r w:rsidRPr="002D2D41">
              <w:rPr>
                <w:rFonts w:ascii="Times New Roman" w:hAnsi="Times New Roman" w:cs="Times New Roman"/>
                <w:sz w:val="20"/>
                <w:szCs w:val="20"/>
              </w:rPr>
              <w:t>15</w:t>
            </w:r>
            <w:r w:rsidR="00CB5420">
              <w:rPr>
                <w:rFonts w:ascii="Times New Roman" w:hAnsi="Times New Roman" w:cs="Times New Roman"/>
                <w:sz w:val="20"/>
                <w:szCs w:val="20"/>
              </w:rPr>
              <w:t>6</w:t>
            </w:r>
          </w:p>
        </w:tc>
        <w:tc>
          <w:tcPr>
            <w:tcW w:w="587"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62A9BC65" w14:textId="77777777">
            <w:pPr>
              <w:spacing w:after="0" w:line="240" w:lineRule="auto"/>
              <w:jc w:val="center"/>
              <w:rPr>
                <w:rFonts w:ascii="Times New Roman" w:eastAsia="Times New Roman" w:hAnsi="Times New Roman" w:cs="Times New Roman"/>
                <w:color w:val="000000"/>
                <w:sz w:val="20"/>
                <w:szCs w:val="20"/>
              </w:rPr>
            </w:pPr>
            <w:r w:rsidRPr="002D2D41">
              <w:rPr>
                <w:rFonts w:ascii="Times New Roman" w:hAnsi="Times New Roman" w:cs="Times New Roman"/>
                <w:sz w:val="20"/>
                <w:szCs w:val="20"/>
              </w:rPr>
              <w:t>16</w:t>
            </w:r>
            <w:r w:rsidR="00CB5420">
              <w:rPr>
                <w:rFonts w:ascii="Times New Roman" w:hAnsi="Times New Roman" w:cs="Times New Roman"/>
                <w:sz w:val="20"/>
                <w:szCs w:val="20"/>
              </w:rPr>
              <w:t>5</w:t>
            </w:r>
          </w:p>
        </w:tc>
        <w:tc>
          <w:tcPr>
            <w:tcW w:w="584"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24AD5259"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9</w:t>
            </w:r>
          </w:p>
        </w:tc>
      </w:tr>
      <w:tr w14:paraId="1F1D215D" w14:textId="77777777" w:rsidTr="00156F55">
        <w:tblPrEx>
          <w:tblW w:w="5338" w:type="pct"/>
          <w:tblLayout w:type="fixed"/>
          <w:tblLook w:val="04A0"/>
        </w:tblPrEx>
        <w:trPr>
          <w:trHeight w:val="290"/>
        </w:trPr>
        <w:tc>
          <w:tcPr>
            <w:tcW w:w="1486" w:type="pct"/>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8348D6" w14:paraId="43EF175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&lt;15,000 Residents</w:t>
            </w:r>
          </w:p>
        </w:tc>
        <w:tc>
          <w:tcPr>
            <w:tcW w:w="721" w:type="pct"/>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156F55" w14:paraId="465EF0D2"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300</w:t>
            </w:r>
          </w:p>
        </w:tc>
        <w:tc>
          <w:tcPr>
            <w:tcW w:w="54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43497311"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0</w:t>
            </w:r>
          </w:p>
        </w:tc>
        <w:tc>
          <w:tcPr>
            <w:tcW w:w="54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73D037A7"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0</w:t>
            </w:r>
          </w:p>
        </w:tc>
        <w:tc>
          <w:tcPr>
            <w:tcW w:w="540"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15F3F1C3"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209</w:t>
            </w:r>
          </w:p>
        </w:tc>
        <w:tc>
          <w:tcPr>
            <w:tcW w:w="587"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4A8E957D"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83</w:t>
            </w:r>
          </w:p>
        </w:tc>
        <w:tc>
          <w:tcPr>
            <w:tcW w:w="584"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5B09B978"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8</w:t>
            </w:r>
          </w:p>
        </w:tc>
      </w:tr>
      <w:tr w14:paraId="3DFF591B" w14:textId="77777777" w:rsidTr="00156F55">
        <w:tblPrEx>
          <w:tblW w:w="5338" w:type="pct"/>
          <w:tblLayout w:type="fixed"/>
          <w:tblLook w:val="04A0"/>
        </w:tblPrEx>
        <w:trPr>
          <w:trHeight w:val="290"/>
        </w:trPr>
        <w:tc>
          <w:tcPr>
            <w:tcW w:w="1486" w:type="pct"/>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8348D6" w14:paraId="3B95AE6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&lt;10,000 Residents</w:t>
            </w:r>
          </w:p>
        </w:tc>
        <w:tc>
          <w:tcPr>
            <w:tcW w:w="72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78514391"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187</w:t>
            </w:r>
          </w:p>
        </w:tc>
        <w:tc>
          <w:tcPr>
            <w:tcW w:w="54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609A05D0"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0</w:t>
            </w:r>
          </w:p>
        </w:tc>
        <w:tc>
          <w:tcPr>
            <w:tcW w:w="54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0FDDEB62"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0</w:t>
            </w:r>
          </w:p>
        </w:tc>
        <w:tc>
          <w:tcPr>
            <w:tcW w:w="540"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4F9BDAE1"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140</w:t>
            </w:r>
          </w:p>
        </w:tc>
        <w:tc>
          <w:tcPr>
            <w:tcW w:w="587"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2928C022"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44</w:t>
            </w:r>
          </w:p>
        </w:tc>
        <w:tc>
          <w:tcPr>
            <w:tcW w:w="584"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1B5F9C64"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3</w:t>
            </w:r>
          </w:p>
        </w:tc>
      </w:tr>
      <w:tr w14:paraId="50A70042" w14:textId="77777777" w:rsidTr="00156F55">
        <w:tblPrEx>
          <w:tblW w:w="5338" w:type="pct"/>
          <w:tblLayout w:type="fixed"/>
          <w:tblLook w:val="04A0"/>
        </w:tblPrEx>
        <w:trPr>
          <w:trHeight w:val="290"/>
        </w:trPr>
        <w:tc>
          <w:tcPr>
            <w:tcW w:w="1486" w:type="pct"/>
            <w:tcBorders>
              <w:top w:val="nil"/>
              <w:left w:val="single" w:sz="4" w:space="0" w:color="auto"/>
              <w:bottom w:val="single" w:sz="4" w:space="0" w:color="auto"/>
              <w:right w:val="single" w:sz="4" w:space="0" w:color="auto"/>
            </w:tcBorders>
            <w:shd w:val="clear" w:color="auto" w:fill="auto"/>
            <w:noWrap/>
            <w:vAlign w:val="center"/>
            <w:hideMark/>
          </w:tcPr>
          <w:p w:rsidR="0075046B" w:rsidRPr="00E92045" w:rsidP="008348D6" w14:paraId="080A442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&lt;5,000 Residents</w:t>
            </w:r>
          </w:p>
        </w:tc>
        <w:tc>
          <w:tcPr>
            <w:tcW w:w="72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0CE5D38E"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68</w:t>
            </w:r>
          </w:p>
        </w:tc>
        <w:tc>
          <w:tcPr>
            <w:tcW w:w="54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67F1AF52"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0</w:t>
            </w:r>
          </w:p>
        </w:tc>
        <w:tc>
          <w:tcPr>
            <w:tcW w:w="541"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3DDFDA98"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0</w:t>
            </w:r>
          </w:p>
        </w:tc>
        <w:tc>
          <w:tcPr>
            <w:tcW w:w="540"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4FD1D215"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53</w:t>
            </w:r>
          </w:p>
        </w:tc>
        <w:tc>
          <w:tcPr>
            <w:tcW w:w="587"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3F7559CD"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15</w:t>
            </w:r>
          </w:p>
        </w:tc>
        <w:tc>
          <w:tcPr>
            <w:tcW w:w="584" w:type="pct"/>
            <w:tcBorders>
              <w:top w:val="nil"/>
              <w:left w:val="nil"/>
              <w:bottom w:val="single" w:sz="4" w:space="0" w:color="auto"/>
              <w:right w:val="single" w:sz="4" w:space="0" w:color="auto"/>
            </w:tcBorders>
            <w:shd w:val="clear" w:color="auto" w:fill="auto"/>
            <w:noWrap/>
            <w:vAlign w:val="center"/>
            <w:hideMark/>
          </w:tcPr>
          <w:p w:rsidR="0075046B" w:rsidRPr="00E92045" w:rsidP="00156F55" w14:paraId="1402F613" w14:textId="77777777">
            <w:pPr>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color w:val="000000"/>
                <w:sz w:val="20"/>
                <w:szCs w:val="20"/>
              </w:rPr>
              <w:t>0</w:t>
            </w:r>
          </w:p>
        </w:tc>
      </w:tr>
    </w:tbl>
    <w:p w:rsidR="0075046B" w:rsidRPr="00C41D0C" w:rsidP="0075046B" w14:paraId="31C1B726" w14:textId="77777777">
      <w:pPr>
        <w:spacing w:after="240"/>
        <w:rPr>
          <w:rFonts w:ascii="Times New Roman" w:hAnsi="Times New Roman" w:cs="Times New Roman"/>
          <w:sz w:val="24"/>
          <w:szCs w:val="24"/>
        </w:rPr>
      </w:pPr>
    </w:p>
    <w:p w:rsidR="0075046B" w:rsidRPr="00693892" w:rsidP="003165DF" w14:paraId="6F9BF81B" w14:textId="77777777">
      <w:pPr>
        <w:keepNext/>
        <w:spacing w:after="0" w:line="240" w:lineRule="auto"/>
        <w:jc w:val="center"/>
        <w:rPr>
          <w:rFonts w:ascii="Times New Roman" w:hAnsi="Times New Roman" w:cs="Times New Roman"/>
          <w:b/>
        </w:rPr>
      </w:pPr>
      <w:r w:rsidRPr="003165DF">
        <w:rPr>
          <w:rFonts w:ascii="Times New Roman" w:hAnsi="Times New Roman" w:cs="Times New Roman"/>
          <w:b/>
        </w:rPr>
        <w:t xml:space="preserve">Exhibit </w:t>
      </w:r>
      <w:r w:rsidRPr="00693892">
        <w:rPr>
          <w:rFonts w:ascii="Times New Roman" w:hAnsi="Times New Roman" w:cs="Times New Roman"/>
          <w:b/>
        </w:rPr>
        <w:t>8-</w:t>
      </w:r>
      <w:r w:rsidR="00593BC4">
        <w:rPr>
          <w:rFonts w:ascii="Times New Roman" w:hAnsi="Times New Roman" w:cs="Times New Roman"/>
          <w:b/>
        </w:rPr>
        <w:t>10</w:t>
      </w:r>
      <w:r w:rsidRPr="00693892">
        <w:rPr>
          <w:rFonts w:ascii="Times New Roman" w:hAnsi="Times New Roman" w:cs="Times New Roman"/>
          <w:b/>
        </w:rPr>
        <w:t xml:space="preserve">: Distribution of Cost Impacts to Small Governments </w:t>
      </w:r>
    </w:p>
    <w:p w:rsidR="0075046B" w:rsidP="003165DF" w14:paraId="4D8A12B4" w14:textId="77777777">
      <w:pPr>
        <w:keepNext/>
        <w:spacing w:after="0" w:line="240" w:lineRule="auto"/>
        <w:jc w:val="center"/>
        <w:rPr>
          <w:rFonts w:ascii="Times New Roman" w:hAnsi="Times New Roman" w:cs="Times New Roman"/>
          <w:b/>
        </w:rPr>
      </w:pPr>
      <w:r w:rsidRPr="00693892">
        <w:rPr>
          <w:rFonts w:ascii="Times New Roman" w:hAnsi="Times New Roman" w:cs="Times New Roman"/>
          <w:b/>
        </w:rPr>
        <w:t>(Percent of Small Governments with Costs in the Given Range</w:t>
      </w:r>
      <w:r w:rsidRPr="00693892" w:rsidR="003165DF">
        <w:rPr>
          <w:rFonts w:ascii="Times New Roman" w:hAnsi="Times New Roman" w:cs="Times New Roman"/>
          <w:b/>
          <w:bCs/>
        </w:rPr>
        <w:t>)</w:t>
      </w:r>
      <w:r w:rsidR="003165DF">
        <w:rPr>
          <w:rFonts w:ascii="Times New Roman" w:hAnsi="Times New Roman" w:cs="Times New Roman"/>
          <w:b/>
          <w:bCs/>
        </w:rPr>
        <w:t>.</w:t>
      </w:r>
    </w:p>
    <w:p w:rsidR="003165DF" w:rsidRPr="00693892" w:rsidP="003165DF" w14:paraId="44FC56A3" w14:textId="77777777">
      <w:pPr>
        <w:keepNext/>
        <w:spacing w:after="0" w:line="240" w:lineRule="auto"/>
        <w:jc w:val="center"/>
        <w:rPr>
          <w:rFonts w:ascii="Times New Roman" w:hAnsi="Times New Roman" w:cs="Times New Roman"/>
          <w:b/>
          <w:bCs/>
        </w:rPr>
      </w:pPr>
    </w:p>
    <w:tbl>
      <w:tblPr>
        <w:tblW w:w="0" w:type="auto"/>
        <w:tblLook w:val="04A0"/>
      </w:tblPr>
      <w:tblGrid>
        <w:gridCol w:w="2207"/>
        <w:gridCol w:w="1638"/>
        <w:gridCol w:w="1093"/>
        <w:gridCol w:w="1175"/>
        <w:gridCol w:w="1108"/>
        <w:gridCol w:w="996"/>
        <w:gridCol w:w="1133"/>
      </w:tblGrid>
      <w:tr w14:paraId="6FB83E7B" w14:textId="77777777" w:rsidTr="003165DF">
        <w:tblPrEx>
          <w:tblW w:w="0" w:type="auto"/>
          <w:tblLook w:val="04A0"/>
        </w:tblPrEx>
        <w:trPr>
          <w:trHeight w:val="288"/>
        </w:trPr>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5046B" w:rsidRPr="003165DF" w:rsidP="003165DF" w14:paraId="1F947D7D" w14:textId="77777777">
            <w:pPr>
              <w:keepNext/>
              <w:spacing w:after="0" w:line="240" w:lineRule="auto"/>
              <w:rPr>
                <w:rFonts w:ascii="Times New Roman" w:eastAsia="Times New Roman" w:hAnsi="Times New Roman" w:cs="Times New Roman"/>
                <w:b/>
                <w:color w:val="000000"/>
                <w:sz w:val="20"/>
                <w:szCs w:val="20"/>
              </w:rPr>
            </w:pPr>
            <w:r w:rsidRPr="003165DF">
              <w:rPr>
                <w:rFonts w:ascii="Times New Roman" w:eastAsia="Times New Roman" w:hAnsi="Times New Roman" w:cs="Times New Roman"/>
                <w:b/>
                <w:color w:val="000000"/>
                <w:sz w:val="20"/>
                <w:szCs w:val="20"/>
              </w:rPr>
              <w:t>Category</w:t>
            </w:r>
          </w:p>
        </w:tc>
        <w:tc>
          <w:tcPr>
            <w:tcW w:w="163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3165DF" w:rsidP="003165DF" w14:paraId="1E9EE8D2" w14:textId="77777777">
            <w:pPr>
              <w:keepNext/>
              <w:spacing w:after="0" w:line="240" w:lineRule="auto"/>
              <w:jc w:val="center"/>
              <w:rPr>
                <w:rFonts w:ascii="Times New Roman" w:eastAsia="Times New Roman" w:hAnsi="Times New Roman" w:cs="Times New Roman"/>
                <w:b/>
                <w:color w:val="000000"/>
                <w:sz w:val="20"/>
                <w:szCs w:val="20"/>
              </w:rPr>
            </w:pPr>
            <w:r w:rsidRPr="003165DF">
              <w:rPr>
                <w:rFonts w:ascii="Times New Roman" w:eastAsia="Times New Roman" w:hAnsi="Times New Roman" w:cs="Times New Roman"/>
                <w:b/>
                <w:color w:val="000000"/>
                <w:sz w:val="20"/>
                <w:szCs w:val="20"/>
              </w:rPr>
              <w:t>Number of Governments</w:t>
            </w:r>
          </w:p>
        </w:tc>
        <w:tc>
          <w:tcPr>
            <w:tcW w:w="10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3165DF" w:rsidP="003165DF" w14:paraId="515693E9" w14:textId="77777777">
            <w:pPr>
              <w:keepNext/>
              <w:spacing w:after="0" w:line="240" w:lineRule="auto"/>
              <w:jc w:val="center"/>
              <w:rPr>
                <w:rFonts w:ascii="Times New Roman" w:eastAsia="Times New Roman" w:hAnsi="Times New Roman" w:cs="Times New Roman"/>
                <w:b/>
                <w:color w:val="000000"/>
                <w:sz w:val="20"/>
                <w:szCs w:val="20"/>
              </w:rPr>
            </w:pPr>
            <w:r w:rsidRPr="003165DF">
              <w:rPr>
                <w:rFonts w:ascii="Times New Roman" w:eastAsia="Times New Roman" w:hAnsi="Times New Roman" w:cs="Times New Roman"/>
                <w:b/>
                <w:color w:val="000000"/>
                <w:sz w:val="20"/>
                <w:szCs w:val="20"/>
              </w:rPr>
              <w:t>&lt;$1,000</w:t>
            </w:r>
          </w:p>
        </w:tc>
        <w:tc>
          <w:tcPr>
            <w:tcW w:w="11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3165DF" w:rsidP="003165DF" w14:paraId="01752066" w14:textId="77777777">
            <w:pPr>
              <w:keepNext/>
              <w:spacing w:after="0" w:line="240" w:lineRule="auto"/>
              <w:jc w:val="center"/>
              <w:rPr>
                <w:rFonts w:ascii="Times New Roman" w:eastAsia="Times New Roman" w:hAnsi="Times New Roman" w:cs="Times New Roman"/>
                <w:b/>
                <w:color w:val="000000"/>
                <w:sz w:val="20"/>
                <w:szCs w:val="20"/>
              </w:rPr>
            </w:pPr>
            <w:r w:rsidRPr="003165DF">
              <w:rPr>
                <w:rFonts w:ascii="Times New Roman" w:eastAsia="Times New Roman" w:hAnsi="Times New Roman" w:cs="Times New Roman"/>
                <w:b/>
                <w:color w:val="000000"/>
                <w:sz w:val="20"/>
                <w:szCs w:val="20"/>
              </w:rPr>
              <w:t>$1,000-$2,000</w:t>
            </w: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3165DF" w:rsidP="003165DF" w14:paraId="056898DD" w14:textId="77777777">
            <w:pPr>
              <w:keepNext/>
              <w:spacing w:after="0" w:line="240" w:lineRule="auto"/>
              <w:jc w:val="center"/>
              <w:rPr>
                <w:rFonts w:ascii="Times New Roman" w:eastAsia="Times New Roman" w:hAnsi="Times New Roman" w:cs="Times New Roman"/>
                <w:b/>
                <w:color w:val="000000"/>
                <w:sz w:val="20"/>
                <w:szCs w:val="20"/>
              </w:rPr>
            </w:pPr>
            <w:r w:rsidRPr="003165DF">
              <w:rPr>
                <w:rFonts w:ascii="Times New Roman" w:eastAsia="Times New Roman" w:hAnsi="Times New Roman" w:cs="Times New Roman"/>
                <w:b/>
                <w:color w:val="000000"/>
                <w:sz w:val="20"/>
                <w:szCs w:val="20"/>
              </w:rPr>
              <w:t>$2,000-$3,000</w:t>
            </w:r>
          </w:p>
        </w:tc>
        <w:tc>
          <w:tcPr>
            <w:tcW w:w="99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3165DF" w:rsidP="003165DF" w14:paraId="18BD056B" w14:textId="77777777">
            <w:pPr>
              <w:keepNext/>
              <w:spacing w:after="0" w:line="240" w:lineRule="auto"/>
              <w:jc w:val="center"/>
              <w:rPr>
                <w:rFonts w:ascii="Times New Roman" w:eastAsia="Times New Roman" w:hAnsi="Times New Roman" w:cs="Times New Roman"/>
                <w:b/>
                <w:color w:val="000000"/>
                <w:sz w:val="20"/>
                <w:szCs w:val="20"/>
              </w:rPr>
            </w:pPr>
            <w:r w:rsidRPr="003165DF">
              <w:rPr>
                <w:rFonts w:ascii="Times New Roman" w:eastAsia="Times New Roman" w:hAnsi="Times New Roman" w:cs="Times New Roman"/>
                <w:b/>
                <w:color w:val="000000"/>
                <w:sz w:val="20"/>
                <w:szCs w:val="20"/>
              </w:rPr>
              <w:t>3,000-$10,000</w:t>
            </w:r>
          </w:p>
        </w:tc>
        <w:tc>
          <w:tcPr>
            <w:tcW w:w="11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5046B" w:rsidRPr="003165DF" w:rsidP="003165DF" w14:paraId="2685A283" w14:textId="77777777">
            <w:pPr>
              <w:keepNext/>
              <w:spacing w:after="0" w:line="240" w:lineRule="auto"/>
              <w:jc w:val="center"/>
              <w:rPr>
                <w:rFonts w:ascii="Times New Roman" w:eastAsia="Times New Roman" w:hAnsi="Times New Roman" w:cs="Times New Roman"/>
                <w:b/>
                <w:color w:val="000000"/>
                <w:sz w:val="20"/>
                <w:szCs w:val="20"/>
              </w:rPr>
            </w:pPr>
            <w:r w:rsidRPr="003165DF">
              <w:rPr>
                <w:rFonts w:ascii="Times New Roman" w:eastAsia="Times New Roman" w:hAnsi="Times New Roman" w:cs="Times New Roman"/>
                <w:b/>
                <w:color w:val="000000"/>
                <w:sz w:val="20"/>
                <w:szCs w:val="20"/>
              </w:rPr>
              <w:t>&gt;$10,000</w:t>
            </w:r>
          </w:p>
        </w:tc>
      </w:tr>
      <w:tr w14:paraId="47021267" w14:textId="77777777" w:rsidTr="00156F55">
        <w:tblPrEx>
          <w:tblW w:w="0" w:type="auto"/>
          <w:tblLook w:val="04A0"/>
        </w:tblPrEx>
        <w:trPr>
          <w:trHeight w:val="288"/>
        </w:trPr>
        <w:tc>
          <w:tcPr>
            <w:tcW w:w="2207" w:type="dxa"/>
            <w:tcBorders>
              <w:top w:val="nil"/>
              <w:left w:val="single" w:sz="4" w:space="0" w:color="auto"/>
              <w:bottom w:val="nil"/>
              <w:right w:val="single" w:sz="4" w:space="0" w:color="auto"/>
            </w:tcBorders>
            <w:shd w:val="clear" w:color="auto" w:fill="auto"/>
            <w:noWrap/>
            <w:vAlign w:val="center"/>
            <w:hideMark/>
          </w:tcPr>
          <w:p w:rsidR="0075046B" w:rsidRPr="003165DF" w:rsidP="008348D6" w14:paraId="0A41DE43" w14:textId="77777777">
            <w:pPr>
              <w:keepNext/>
              <w:spacing w:after="0" w:line="240" w:lineRule="auto"/>
              <w:rPr>
                <w:rFonts w:ascii="Times New Roman" w:eastAsia="Times New Roman" w:hAnsi="Times New Roman" w:cs="Times New Roman"/>
                <w:color w:val="000000"/>
                <w:sz w:val="20"/>
                <w:szCs w:val="20"/>
              </w:rPr>
            </w:pPr>
            <w:r w:rsidRPr="003165DF">
              <w:rPr>
                <w:rFonts w:ascii="Times New Roman" w:eastAsia="Times New Roman" w:hAnsi="Times New Roman" w:cs="Times New Roman"/>
                <w:color w:val="000000"/>
                <w:sz w:val="20"/>
                <w:szCs w:val="20"/>
              </w:rPr>
              <w:t>Small</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75046B" w:rsidRPr="003165DF" w:rsidP="00156F55" w14:paraId="1BF86145" w14:textId="77777777">
            <w:pPr>
              <w:keepNext/>
              <w:spacing w:after="0" w:line="240" w:lineRule="auto"/>
              <w:jc w:val="center"/>
              <w:rPr>
                <w:rFonts w:ascii="Times New Roman" w:eastAsia="Times New Roman" w:hAnsi="Times New Roman" w:cs="Times New Roman"/>
                <w:color w:val="000000"/>
                <w:sz w:val="20"/>
                <w:szCs w:val="20"/>
              </w:rPr>
            </w:pPr>
            <w:r w:rsidRPr="003165DF">
              <w:rPr>
                <w:rFonts w:ascii="Times New Roman" w:eastAsia="Times New Roman" w:hAnsi="Times New Roman" w:cs="Times New Roman"/>
                <w:color w:val="000000"/>
                <w:sz w:val="20"/>
                <w:szCs w:val="20"/>
              </w:rPr>
              <w:t>630</w:t>
            </w:r>
          </w:p>
        </w:tc>
        <w:tc>
          <w:tcPr>
            <w:tcW w:w="1093"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22B85EFF" w14:textId="77777777">
            <w:pPr>
              <w:keepNext/>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3165DF">
              <w:rPr>
                <w:rFonts w:ascii="Times New Roman" w:eastAsia="Times New Roman" w:hAnsi="Times New Roman" w:cs="Times New Roman"/>
                <w:color w:val="000000"/>
                <w:sz w:val="20"/>
                <w:szCs w:val="20"/>
              </w:rPr>
              <w:t>%</w:t>
            </w:r>
          </w:p>
        </w:tc>
        <w:tc>
          <w:tcPr>
            <w:tcW w:w="1175"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162128B1"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0%</w:t>
            </w:r>
          </w:p>
        </w:tc>
        <w:tc>
          <w:tcPr>
            <w:tcW w:w="1108"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1122CFCB" w14:textId="77777777">
            <w:pPr>
              <w:keepNext/>
              <w:spacing w:after="0" w:line="240" w:lineRule="auto"/>
              <w:jc w:val="center"/>
              <w:rPr>
                <w:rFonts w:ascii="Times New Roman" w:eastAsia="Times New Roman" w:hAnsi="Times New Roman" w:cs="Times New Roman"/>
                <w:color w:val="000000"/>
                <w:sz w:val="20"/>
                <w:szCs w:val="20"/>
              </w:rPr>
            </w:pPr>
            <w:r w:rsidRPr="002D2D41">
              <w:rPr>
                <w:rFonts w:ascii="Times New Roman" w:hAnsi="Times New Roman" w:cs="Times New Roman"/>
                <w:sz w:val="20"/>
                <w:szCs w:val="20"/>
              </w:rPr>
              <w:t>58%</w:t>
            </w:r>
          </w:p>
        </w:tc>
        <w:tc>
          <w:tcPr>
            <w:tcW w:w="996"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7F8A48C7" w14:textId="77777777">
            <w:pPr>
              <w:keepNext/>
              <w:spacing w:after="0" w:line="240" w:lineRule="auto"/>
              <w:jc w:val="center"/>
              <w:rPr>
                <w:rFonts w:ascii="Times New Roman" w:eastAsia="Times New Roman" w:hAnsi="Times New Roman" w:cs="Times New Roman"/>
                <w:color w:val="000000"/>
                <w:sz w:val="20"/>
                <w:szCs w:val="20"/>
              </w:rPr>
            </w:pPr>
            <w:r w:rsidRPr="002D2D41">
              <w:rPr>
                <w:rFonts w:ascii="Times New Roman" w:hAnsi="Times New Roman" w:cs="Times New Roman"/>
                <w:sz w:val="20"/>
                <w:szCs w:val="20"/>
              </w:rPr>
              <w:t>39%</w:t>
            </w:r>
          </w:p>
        </w:tc>
        <w:tc>
          <w:tcPr>
            <w:tcW w:w="1133"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7716F6AC"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3%</w:t>
            </w:r>
          </w:p>
        </w:tc>
      </w:tr>
      <w:tr w14:paraId="090CFD5E" w14:textId="77777777" w:rsidTr="00156F55">
        <w:tblPrEx>
          <w:tblW w:w="0" w:type="auto"/>
          <w:tblLook w:val="04A0"/>
        </w:tblPrEx>
        <w:trPr>
          <w:trHeight w:val="288"/>
        </w:trPr>
        <w:tc>
          <w:tcPr>
            <w:tcW w:w="2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46B" w:rsidRPr="003165DF" w:rsidP="008348D6" w14:paraId="3588E53E" w14:textId="77777777">
            <w:pPr>
              <w:keepNext/>
              <w:spacing w:after="0" w:line="240" w:lineRule="auto"/>
              <w:rPr>
                <w:rFonts w:ascii="Times New Roman" w:eastAsia="Times New Roman" w:hAnsi="Times New Roman" w:cs="Times New Roman"/>
                <w:color w:val="000000"/>
                <w:sz w:val="20"/>
                <w:szCs w:val="20"/>
              </w:rPr>
            </w:pPr>
            <w:r w:rsidRPr="003165DF">
              <w:rPr>
                <w:rFonts w:ascii="Times New Roman" w:eastAsia="Times New Roman" w:hAnsi="Times New Roman" w:cs="Times New Roman"/>
                <w:color w:val="000000"/>
                <w:sz w:val="20"/>
                <w:szCs w:val="20"/>
              </w:rPr>
              <w:t xml:space="preserve">15,000 </w:t>
            </w:r>
            <w:r w:rsidR="00C44AEC">
              <w:rPr>
                <w:rFonts w:ascii="Times New Roman" w:eastAsia="Times New Roman" w:hAnsi="Times New Roman" w:cs="Times New Roman"/>
                <w:color w:val="000000"/>
                <w:sz w:val="20"/>
                <w:szCs w:val="20"/>
              </w:rPr>
              <w:t>–</w:t>
            </w:r>
            <w:r w:rsidRPr="003165DF">
              <w:rPr>
                <w:rFonts w:ascii="Times New Roman" w:eastAsia="Times New Roman" w:hAnsi="Times New Roman" w:cs="Times New Roman"/>
                <w:color w:val="000000"/>
                <w:sz w:val="20"/>
                <w:szCs w:val="20"/>
              </w:rPr>
              <w:t xml:space="preserve"> 50,000 Residents</w:t>
            </w:r>
          </w:p>
        </w:tc>
        <w:tc>
          <w:tcPr>
            <w:tcW w:w="1638"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5FCF3D9C" w14:textId="77777777">
            <w:pPr>
              <w:keepNext/>
              <w:spacing w:after="0" w:line="240" w:lineRule="auto"/>
              <w:jc w:val="center"/>
              <w:rPr>
                <w:rFonts w:ascii="Times New Roman" w:eastAsia="Times New Roman" w:hAnsi="Times New Roman" w:cs="Times New Roman"/>
                <w:color w:val="000000"/>
                <w:sz w:val="20"/>
                <w:szCs w:val="20"/>
              </w:rPr>
            </w:pPr>
            <w:r w:rsidRPr="003165DF">
              <w:rPr>
                <w:rFonts w:ascii="Times New Roman" w:eastAsia="Times New Roman" w:hAnsi="Times New Roman" w:cs="Times New Roman"/>
                <w:color w:val="000000"/>
                <w:sz w:val="20"/>
                <w:szCs w:val="20"/>
              </w:rPr>
              <w:t>3</w:t>
            </w:r>
            <w:r w:rsidR="00CB5420">
              <w:rPr>
                <w:rFonts w:ascii="Times New Roman" w:eastAsia="Times New Roman" w:hAnsi="Times New Roman" w:cs="Times New Roman"/>
                <w:color w:val="000000"/>
                <w:sz w:val="20"/>
                <w:szCs w:val="20"/>
              </w:rPr>
              <w:t>30</w:t>
            </w:r>
          </w:p>
        </w:tc>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75046B" w:rsidRPr="003165DF" w:rsidP="00156F55" w14:paraId="2C7B6B74" w14:textId="77777777">
            <w:pPr>
              <w:keepNext/>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3165DF">
              <w:rPr>
                <w:rFonts w:ascii="Times New Roman" w:eastAsia="Times New Roman" w:hAnsi="Times New Roman" w:cs="Times New Roman"/>
                <w:color w:val="000000"/>
                <w:sz w:val="20"/>
                <w:szCs w:val="20"/>
              </w:rPr>
              <w:t>%</w:t>
            </w:r>
          </w:p>
        </w:tc>
        <w:tc>
          <w:tcPr>
            <w:tcW w:w="1175"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15D61C8E"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0%</w:t>
            </w:r>
          </w:p>
        </w:tc>
        <w:tc>
          <w:tcPr>
            <w:tcW w:w="1108"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52123E24" w14:textId="77777777">
            <w:pPr>
              <w:keepNext/>
              <w:spacing w:after="0" w:line="240" w:lineRule="auto"/>
              <w:jc w:val="center"/>
              <w:rPr>
                <w:rFonts w:ascii="Times New Roman" w:eastAsia="Times New Roman" w:hAnsi="Times New Roman" w:cs="Times New Roman"/>
                <w:color w:val="000000"/>
                <w:sz w:val="20"/>
                <w:szCs w:val="20"/>
              </w:rPr>
            </w:pPr>
            <w:r w:rsidRPr="002D2D41">
              <w:rPr>
                <w:rFonts w:ascii="Times New Roman" w:hAnsi="Times New Roman" w:cs="Times New Roman"/>
                <w:sz w:val="20"/>
                <w:szCs w:val="20"/>
              </w:rPr>
              <w:t>47%</w:t>
            </w:r>
          </w:p>
        </w:tc>
        <w:tc>
          <w:tcPr>
            <w:tcW w:w="996"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20E6BAA7" w14:textId="77777777">
            <w:pPr>
              <w:keepNext/>
              <w:spacing w:after="0" w:line="240" w:lineRule="auto"/>
              <w:jc w:val="center"/>
              <w:rPr>
                <w:rFonts w:ascii="Times New Roman" w:eastAsia="Times New Roman" w:hAnsi="Times New Roman" w:cs="Times New Roman"/>
                <w:color w:val="000000"/>
                <w:sz w:val="20"/>
                <w:szCs w:val="20"/>
              </w:rPr>
            </w:pPr>
            <w:r w:rsidRPr="002D2D41">
              <w:rPr>
                <w:rFonts w:ascii="Times New Roman" w:hAnsi="Times New Roman" w:cs="Times New Roman"/>
                <w:sz w:val="20"/>
                <w:szCs w:val="20"/>
              </w:rPr>
              <w:t>50%</w:t>
            </w:r>
          </w:p>
        </w:tc>
        <w:tc>
          <w:tcPr>
            <w:tcW w:w="1133"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4E936EC3"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3%</w:t>
            </w:r>
          </w:p>
        </w:tc>
      </w:tr>
      <w:tr w14:paraId="56427E61" w14:textId="77777777" w:rsidTr="00156F55">
        <w:tblPrEx>
          <w:tblW w:w="0" w:type="auto"/>
          <w:tblLook w:val="04A0"/>
        </w:tblPrEx>
        <w:trPr>
          <w:trHeight w:val="288"/>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75046B" w:rsidRPr="003165DF" w:rsidP="008348D6" w14:paraId="5260C069" w14:textId="77777777">
            <w:pPr>
              <w:keepNext/>
              <w:spacing w:after="0" w:line="240" w:lineRule="auto"/>
              <w:rPr>
                <w:rFonts w:ascii="Times New Roman" w:eastAsia="Times New Roman" w:hAnsi="Times New Roman" w:cs="Times New Roman"/>
                <w:color w:val="000000"/>
                <w:sz w:val="20"/>
                <w:szCs w:val="20"/>
              </w:rPr>
            </w:pPr>
            <w:r w:rsidRPr="003165DF">
              <w:rPr>
                <w:rFonts w:ascii="Times New Roman" w:eastAsia="Times New Roman" w:hAnsi="Times New Roman" w:cs="Times New Roman"/>
                <w:color w:val="000000"/>
                <w:sz w:val="20"/>
                <w:szCs w:val="20"/>
              </w:rPr>
              <w:t>&lt;15,000 Residents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75046B" w:rsidRPr="003165DF" w:rsidP="00156F55" w14:paraId="64C25E00" w14:textId="77777777">
            <w:pPr>
              <w:keepNext/>
              <w:spacing w:after="0" w:line="240" w:lineRule="auto"/>
              <w:jc w:val="center"/>
              <w:rPr>
                <w:rFonts w:ascii="Times New Roman" w:eastAsia="Times New Roman" w:hAnsi="Times New Roman" w:cs="Times New Roman"/>
                <w:color w:val="000000"/>
                <w:sz w:val="20"/>
                <w:szCs w:val="20"/>
              </w:rPr>
            </w:pPr>
            <w:r w:rsidRPr="003165DF">
              <w:rPr>
                <w:rFonts w:ascii="Times New Roman" w:eastAsia="Times New Roman" w:hAnsi="Times New Roman" w:cs="Times New Roman"/>
                <w:color w:val="000000"/>
                <w:sz w:val="20"/>
                <w:szCs w:val="20"/>
              </w:rPr>
              <w:t>300</w:t>
            </w:r>
          </w:p>
        </w:tc>
        <w:tc>
          <w:tcPr>
            <w:tcW w:w="1093"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0F9D0862" w14:textId="77777777">
            <w:pPr>
              <w:keepNext/>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3165DF">
              <w:rPr>
                <w:rFonts w:ascii="Times New Roman" w:eastAsia="Times New Roman" w:hAnsi="Times New Roman" w:cs="Times New Roman"/>
                <w:color w:val="000000"/>
                <w:sz w:val="20"/>
                <w:szCs w:val="20"/>
              </w:rPr>
              <w:t>%</w:t>
            </w:r>
          </w:p>
        </w:tc>
        <w:tc>
          <w:tcPr>
            <w:tcW w:w="1175"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16575E09"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0%</w:t>
            </w:r>
          </w:p>
        </w:tc>
        <w:tc>
          <w:tcPr>
            <w:tcW w:w="1108"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30BF4F38"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70%</w:t>
            </w:r>
          </w:p>
        </w:tc>
        <w:tc>
          <w:tcPr>
            <w:tcW w:w="996"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364EE9EA"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28%</w:t>
            </w:r>
          </w:p>
        </w:tc>
        <w:tc>
          <w:tcPr>
            <w:tcW w:w="1133"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0C70964B"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3%</w:t>
            </w:r>
          </w:p>
        </w:tc>
      </w:tr>
      <w:tr w14:paraId="04671A86" w14:textId="77777777" w:rsidTr="00156F55">
        <w:tblPrEx>
          <w:tblW w:w="0" w:type="auto"/>
          <w:tblLook w:val="04A0"/>
        </w:tblPrEx>
        <w:trPr>
          <w:trHeight w:val="288"/>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75046B" w:rsidRPr="003165DF" w:rsidP="008348D6" w14:paraId="4FF745D9" w14:textId="77777777">
            <w:pPr>
              <w:keepNext/>
              <w:spacing w:after="0" w:line="240" w:lineRule="auto"/>
              <w:rPr>
                <w:rFonts w:ascii="Times New Roman" w:eastAsia="Times New Roman" w:hAnsi="Times New Roman" w:cs="Times New Roman"/>
                <w:color w:val="000000"/>
                <w:sz w:val="20"/>
                <w:szCs w:val="20"/>
              </w:rPr>
            </w:pPr>
            <w:r w:rsidRPr="003165DF">
              <w:rPr>
                <w:rFonts w:ascii="Times New Roman" w:eastAsia="Times New Roman" w:hAnsi="Times New Roman" w:cs="Times New Roman"/>
                <w:color w:val="000000"/>
                <w:sz w:val="20"/>
                <w:szCs w:val="20"/>
              </w:rPr>
              <w:t>&lt;10,000 Residents</w:t>
            </w:r>
          </w:p>
        </w:tc>
        <w:tc>
          <w:tcPr>
            <w:tcW w:w="1638"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5C3F8446" w14:textId="77777777">
            <w:pPr>
              <w:keepNext/>
              <w:spacing w:after="0" w:line="240" w:lineRule="auto"/>
              <w:jc w:val="center"/>
              <w:rPr>
                <w:rFonts w:ascii="Times New Roman" w:eastAsia="Times New Roman" w:hAnsi="Times New Roman" w:cs="Times New Roman"/>
                <w:color w:val="000000"/>
                <w:sz w:val="20"/>
                <w:szCs w:val="20"/>
              </w:rPr>
            </w:pPr>
            <w:r w:rsidRPr="003165DF">
              <w:rPr>
                <w:rFonts w:ascii="Times New Roman" w:eastAsia="Times New Roman" w:hAnsi="Times New Roman" w:cs="Times New Roman"/>
                <w:color w:val="000000"/>
                <w:sz w:val="20"/>
                <w:szCs w:val="20"/>
              </w:rPr>
              <w:t>187</w:t>
            </w:r>
          </w:p>
        </w:tc>
        <w:tc>
          <w:tcPr>
            <w:tcW w:w="1093"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0BC26798" w14:textId="77777777">
            <w:pPr>
              <w:keepNext/>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3165DF">
              <w:rPr>
                <w:rFonts w:ascii="Times New Roman" w:eastAsia="Times New Roman" w:hAnsi="Times New Roman" w:cs="Times New Roman"/>
                <w:color w:val="000000"/>
                <w:sz w:val="20"/>
                <w:szCs w:val="20"/>
              </w:rPr>
              <w:t>%</w:t>
            </w:r>
          </w:p>
        </w:tc>
        <w:tc>
          <w:tcPr>
            <w:tcW w:w="1175"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3C0CF6DB"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0%</w:t>
            </w:r>
          </w:p>
        </w:tc>
        <w:tc>
          <w:tcPr>
            <w:tcW w:w="1108"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5866F1B8"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75%</w:t>
            </w:r>
          </w:p>
        </w:tc>
        <w:tc>
          <w:tcPr>
            <w:tcW w:w="996"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00540899"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24%</w:t>
            </w:r>
          </w:p>
        </w:tc>
        <w:tc>
          <w:tcPr>
            <w:tcW w:w="1133"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32DA8683"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2%</w:t>
            </w:r>
          </w:p>
        </w:tc>
      </w:tr>
      <w:tr w14:paraId="48DE085F" w14:textId="77777777" w:rsidTr="00156F55">
        <w:tblPrEx>
          <w:tblW w:w="0" w:type="auto"/>
          <w:tblLook w:val="04A0"/>
        </w:tblPrEx>
        <w:trPr>
          <w:trHeight w:val="288"/>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75046B" w:rsidRPr="003165DF" w:rsidP="008348D6" w14:paraId="02713AC2" w14:textId="77777777">
            <w:pPr>
              <w:keepNext/>
              <w:spacing w:after="0" w:line="240" w:lineRule="auto"/>
              <w:rPr>
                <w:rFonts w:ascii="Times New Roman" w:eastAsia="Times New Roman" w:hAnsi="Times New Roman" w:cs="Times New Roman"/>
                <w:color w:val="000000"/>
                <w:sz w:val="20"/>
                <w:szCs w:val="20"/>
              </w:rPr>
            </w:pPr>
            <w:r w:rsidRPr="003165DF">
              <w:rPr>
                <w:rFonts w:ascii="Times New Roman" w:eastAsia="Times New Roman" w:hAnsi="Times New Roman" w:cs="Times New Roman"/>
                <w:color w:val="000000"/>
                <w:sz w:val="20"/>
                <w:szCs w:val="20"/>
              </w:rPr>
              <w:t>&lt;5,000 Residents</w:t>
            </w:r>
          </w:p>
        </w:tc>
        <w:tc>
          <w:tcPr>
            <w:tcW w:w="1638"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4CE7E12B" w14:textId="77777777">
            <w:pPr>
              <w:keepNext/>
              <w:spacing w:after="0" w:line="240" w:lineRule="auto"/>
              <w:jc w:val="center"/>
              <w:rPr>
                <w:rFonts w:ascii="Times New Roman" w:eastAsia="Times New Roman" w:hAnsi="Times New Roman" w:cs="Times New Roman"/>
                <w:color w:val="000000"/>
                <w:sz w:val="20"/>
                <w:szCs w:val="20"/>
              </w:rPr>
            </w:pPr>
            <w:r w:rsidRPr="003165DF">
              <w:rPr>
                <w:rFonts w:ascii="Times New Roman" w:eastAsia="Times New Roman" w:hAnsi="Times New Roman" w:cs="Times New Roman"/>
                <w:color w:val="000000"/>
                <w:sz w:val="20"/>
                <w:szCs w:val="20"/>
              </w:rPr>
              <w:t>68</w:t>
            </w:r>
          </w:p>
        </w:tc>
        <w:tc>
          <w:tcPr>
            <w:tcW w:w="1093"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76B60D68" w14:textId="77777777">
            <w:pPr>
              <w:keepNext/>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3165DF">
              <w:rPr>
                <w:rFonts w:ascii="Times New Roman" w:eastAsia="Times New Roman" w:hAnsi="Times New Roman" w:cs="Times New Roman"/>
                <w:color w:val="000000"/>
                <w:sz w:val="20"/>
                <w:szCs w:val="20"/>
              </w:rPr>
              <w:t>%</w:t>
            </w:r>
          </w:p>
        </w:tc>
        <w:tc>
          <w:tcPr>
            <w:tcW w:w="1175"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412D3702" w14:textId="77777777">
            <w:pPr>
              <w:keepNext/>
              <w:spacing w:after="0" w:line="240" w:lineRule="auto"/>
              <w:jc w:val="center"/>
              <w:rPr>
                <w:rFonts w:ascii="Times New Roman" w:eastAsia="Times New Roman" w:hAnsi="Times New Roman" w:cs="Times New Roman"/>
                <w:color w:val="000000"/>
                <w:sz w:val="20"/>
                <w:szCs w:val="20"/>
              </w:rPr>
            </w:pPr>
            <w:r w:rsidRPr="0004249E">
              <w:rPr>
                <w:rFonts w:ascii="Times New Roman" w:hAnsi="Times New Roman" w:cs="Times New Roman"/>
                <w:sz w:val="20"/>
                <w:szCs w:val="20"/>
              </w:rPr>
              <w:t>0%</w:t>
            </w:r>
          </w:p>
        </w:tc>
        <w:tc>
          <w:tcPr>
            <w:tcW w:w="1108"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7EA414AD" w14:textId="77777777">
            <w:pPr>
              <w:keepNext/>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sz w:val="20"/>
                <w:szCs w:val="20"/>
              </w:rPr>
              <w:t>78%</w:t>
            </w:r>
          </w:p>
        </w:tc>
        <w:tc>
          <w:tcPr>
            <w:tcW w:w="996"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77BA1F97" w14:textId="77777777">
            <w:pPr>
              <w:keepNext/>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sz w:val="20"/>
                <w:szCs w:val="20"/>
              </w:rPr>
              <w:t>22%</w:t>
            </w:r>
          </w:p>
        </w:tc>
        <w:tc>
          <w:tcPr>
            <w:tcW w:w="1133" w:type="dxa"/>
            <w:tcBorders>
              <w:top w:val="nil"/>
              <w:left w:val="nil"/>
              <w:bottom w:val="single" w:sz="4" w:space="0" w:color="auto"/>
              <w:right w:val="single" w:sz="4" w:space="0" w:color="auto"/>
            </w:tcBorders>
            <w:shd w:val="clear" w:color="auto" w:fill="auto"/>
            <w:noWrap/>
            <w:vAlign w:val="center"/>
            <w:hideMark/>
          </w:tcPr>
          <w:p w:rsidR="0075046B" w:rsidRPr="003165DF" w:rsidP="00156F55" w14:paraId="3A5ACFAE" w14:textId="77777777">
            <w:pPr>
              <w:keepNext/>
              <w:spacing w:after="0" w:line="240" w:lineRule="auto"/>
              <w:jc w:val="center"/>
              <w:rPr>
                <w:rFonts w:ascii="Times New Roman" w:eastAsia="Times New Roman" w:hAnsi="Times New Roman" w:cs="Times New Roman"/>
                <w:color w:val="000000"/>
                <w:sz w:val="20"/>
                <w:szCs w:val="20"/>
              </w:rPr>
            </w:pPr>
            <w:r w:rsidRPr="00D66563">
              <w:rPr>
                <w:rFonts w:ascii="Times New Roman" w:hAnsi="Times New Roman" w:cs="Times New Roman"/>
                <w:sz w:val="20"/>
                <w:szCs w:val="20"/>
              </w:rPr>
              <w:t>0%</w:t>
            </w:r>
          </w:p>
        </w:tc>
      </w:tr>
    </w:tbl>
    <w:p w:rsidR="0075046B" w:rsidRPr="00693892" w:rsidP="00693892" w14:paraId="08F40D44" w14:textId="77777777">
      <w:pPr>
        <w:spacing w:after="0" w:line="240" w:lineRule="auto"/>
        <w:rPr>
          <w:rFonts w:ascii="Times New Roman" w:hAnsi="Times New Roman" w:cs="Times New Roman"/>
        </w:rPr>
      </w:pPr>
    </w:p>
    <w:p w:rsidR="0075046B" w:rsidRPr="00693892" w:rsidP="00C07306" w14:paraId="15AD9AA2" w14:textId="77777777">
      <w:pPr>
        <w:pStyle w:val="Heading2"/>
      </w:pPr>
      <w:bookmarkStart w:id="506" w:name="_Toc98856242"/>
      <w:bookmarkStart w:id="507" w:name="_Toc144303608"/>
      <w:r w:rsidRPr="00693892">
        <w:t>8.4 Conclusion</w:t>
      </w:r>
      <w:bookmarkEnd w:id="506"/>
      <w:bookmarkEnd w:id="507"/>
    </w:p>
    <w:p w:rsidR="00106487" w:rsidRPr="00693892" w:rsidP="000E6E0F" w14:paraId="401203C8" w14:textId="77777777">
      <w:pPr>
        <w:spacing w:after="0" w:line="240" w:lineRule="auto"/>
        <w:ind w:firstLine="360"/>
        <w:rPr>
          <w:rFonts w:ascii="Times New Roman" w:hAnsi="Times New Roman" w:cs="Times New Roman"/>
        </w:rPr>
      </w:pPr>
      <w:r>
        <w:rPr>
          <w:rFonts w:ascii="Times New Roman" w:hAnsi="Times New Roman" w:cs="Times New Roman"/>
        </w:rPr>
        <w:tab/>
      </w:r>
      <w:bookmarkStart w:id="508" w:name="_Hlk137202959"/>
      <w:r w:rsidRPr="00693892" w:rsidR="0075046B">
        <w:rPr>
          <w:rFonts w:ascii="Times New Roman" w:hAnsi="Times New Roman" w:cs="Times New Roman"/>
        </w:rPr>
        <w:t xml:space="preserve">The small entity analysis indicates that the </w:t>
      </w:r>
      <w:r w:rsidR="00FA3DAA">
        <w:rPr>
          <w:rFonts w:ascii="Times New Roman" w:hAnsi="Times New Roman" w:cs="Times New Roman"/>
        </w:rPr>
        <w:t>final</w:t>
      </w:r>
      <w:r w:rsidRPr="00693892" w:rsidR="0075046B">
        <w:rPr>
          <w:rFonts w:ascii="Times New Roman" w:hAnsi="Times New Roman" w:cs="Times New Roman"/>
        </w:rPr>
        <w:t xml:space="preserve"> rule </w:t>
      </w:r>
      <w:r w:rsidR="009958D2">
        <w:rPr>
          <w:rFonts w:ascii="Times New Roman" w:hAnsi="Times New Roman" w:cs="Times New Roman"/>
        </w:rPr>
        <w:t>will</w:t>
      </w:r>
      <w:r w:rsidRPr="00693892" w:rsidR="0075046B">
        <w:rPr>
          <w:rFonts w:ascii="Times New Roman" w:hAnsi="Times New Roman" w:cs="Times New Roman"/>
        </w:rPr>
        <w:t xml:space="preserve"> not impose a significant economic burden to a substantial number of </w:t>
      </w:r>
      <w:r w:rsidR="004C5964">
        <w:rPr>
          <w:rFonts w:ascii="Times New Roman" w:hAnsi="Times New Roman" w:cs="Times New Roman"/>
        </w:rPr>
        <w:t xml:space="preserve">small </w:t>
      </w:r>
      <w:r w:rsidRPr="00693892" w:rsidR="0075046B">
        <w:rPr>
          <w:rFonts w:ascii="Times New Roman" w:hAnsi="Times New Roman" w:cs="Times New Roman"/>
        </w:rPr>
        <w:t>entities exceeding the threshold amount of 1</w:t>
      </w:r>
      <w:r w:rsidRPr="00693892" w:rsidR="00115223">
        <w:rPr>
          <w:rFonts w:ascii="Times New Roman" w:hAnsi="Times New Roman" w:cs="Times New Roman"/>
        </w:rPr>
        <w:t xml:space="preserve"> percent</w:t>
      </w:r>
      <w:r w:rsidRPr="00693892" w:rsidR="0075046B">
        <w:rPr>
          <w:rFonts w:ascii="Times New Roman" w:hAnsi="Times New Roman" w:cs="Times New Roman"/>
        </w:rPr>
        <w:t xml:space="preserve"> of small entity revenues. For private sector entities,</w:t>
      </w:r>
      <w:r w:rsidRPr="00693892" w:rsidR="00B06765">
        <w:rPr>
          <w:rFonts w:ascii="Times New Roman" w:hAnsi="Times New Roman" w:cs="Times New Roman"/>
        </w:rPr>
        <w:t xml:space="preserve"> </w:t>
      </w:r>
      <w:r w:rsidRPr="00693892" w:rsidR="0075046B">
        <w:rPr>
          <w:rFonts w:ascii="Times New Roman" w:hAnsi="Times New Roman" w:cs="Times New Roman"/>
        </w:rPr>
        <w:t>EPA estimate</w:t>
      </w:r>
      <w:r w:rsidR="004C5964">
        <w:rPr>
          <w:rFonts w:ascii="Times New Roman" w:hAnsi="Times New Roman" w:cs="Times New Roman"/>
        </w:rPr>
        <w:t>d</w:t>
      </w:r>
      <w:r w:rsidRPr="00693892" w:rsidR="0075046B">
        <w:rPr>
          <w:rFonts w:ascii="Times New Roman" w:hAnsi="Times New Roman" w:cs="Times New Roman"/>
        </w:rPr>
        <w:t xml:space="preserve"> that</w:t>
      </w:r>
      <w:r w:rsidR="00CC6A1A">
        <w:rPr>
          <w:rFonts w:ascii="Times New Roman" w:hAnsi="Times New Roman" w:cs="Times New Roman"/>
        </w:rPr>
        <w:t xml:space="preserve"> </w:t>
      </w:r>
      <w:r w:rsidR="002C7818">
        <w:rPr>
          <w:rFonts w:ascii="Times New Roman" w:hAnsi="Times New Roman" w:cs="Times New Roman"/>
        </w:rPr>
        <w:t>9.</w:t>
      </w:r>
      <w:r w:rsidR="002D2D41">
        <w:rPr>
          <w:rFonts w:ascii="Times New Roman" w:hAnsi="Times New Roman" w:cs="Times New Roman"/>
        </w:rPr>
        <w:t>2</w:t>
      </w:r>
      <w:r w:rsidRPr="00693892" w:rsidR="00115223">
        <w:rPr>
          <w:rFonts w:ascii="Times New Roman" w:hAnsi="Times New Roman" w:cs="Times New Roman"/>
        </w:rPr>
        <w:t xml:space="preserve"> percent</w:t>
      </w:r>
      <w:r w:rsidRPr="00693892" w:rsidR="0075046B">
        <w:rPr>
          <w:rFonts w:ascii="Times New Roman" w:hAnsi="Times New Roman" w:cs="Times New Roman"/>
        </w:rPr>
        <w:t xml:space="preserve"> of small entities </w:t>
      </w:r>
      <w:r w:rsidR="009958D2">
        <w:rPr>
          <w:rFonts w:ascii="Times New Roman" w:hAnsi="Times New Roman" w:cs="Times New Roman"/>
        </w:rPr>
        <w:t>will</w:t>
      </w:r>
      <w:r w:rsidRPr="00693892" w:rsidR="0075046B">
        <w:rPr>
          <w:rFonts w:ascii="Times New Roman" w:hAnsi="Times New Roman" w:cs="Times New Roman"/>
        </w:rPr>
        <w:t xml:space="preserve"> experience costs exceeding 1</w:t>
      </w:r>
      <w:r w:rsidRPr="00693892" w:rsidR="00115223">
        <w:rPr>
          <w:rFonts w:ascii="Times New Roman" w:hAnsi="Times New Roman" w:cs="Times New Roman"/>
        </w:rPr>
        <w:t xml:space="preserve"> percent</w:t>
      </w:r>
      <w:r w:rsidRPr="00693892" w:rsidR="0075046B">
        <w:rPr>
          <w:rFonts w:ascii="Times New Roman" w:hAnsi="Times New Roman" w:cs="Times New Roman"/>
        </w:rPr>
        <w:t xml:space="preserve"> of revenue and only </w:t>
      </w:r>
      <w:r w:rsidRPr="00D66563" w:rsidR="002C7818">
        <w:rPr>
          <w:rFonts w:ascii="Times New Roman" w:hAnsi="Times New Roman" w:cs="Times New Roman"/>
        </w:rPr>
        <w:t>2.8</w:t>
      </w:r>
      <w:r w:rsidR="009958D2">
        <w:rPr>
          <w:rFonts w:ascii="Times New Roman" w:hAnsi="Times New Roman" w:cs="Times New Roman"/>
        </w:rPr>
        <w:t xml:space="preserve"> </w:t>
      </w:r>
      <w:r w:rsidRPr="00693892" w:rsidR="00115223">
        <w:rPr>
          <w:rFonts w:ascii="Times New Roman" w:hAnsi="Times New Roman" w:cs="Times New Roman"/>
        </w:rPr>
        <w:t>percent</w:t>
      </w:r>
      <w:r w:rsidRPr="00693892" w:rsidR="0075046B">
        <w:rPr>
          <w:rFonts w:ascii="Times New Roman" w:hAnsi="Times New Roman" w:cs="Times New Roman"/>
        </w:rPr>
        <w:t xml:space="preserve"> of entities </w:t>
      </w:r>
      <w:r w:rsidR="009837FF">
        <w:rPr>
          <w:rFonts w:ascii="Times New Roman" w:hAnsi="Times New Roman" w:cs="Times New Roman"/>
        </w:rPr>
        <w:t>will</w:t>
      </w:r>
      <w:r w:rsidRPr="00693892" w:rsidR="0075046B">
        <w:rPr>
          <w:rFonts w:ascii="Times New Roman" w:hAnsi="Times New Roman" w:cs="Times New Roman"/>
        </w:rPr>
        <w:t xml:space="preserve"> have costs greater than 3</w:t>
      </w:r>
      <w:r w:rsidRPr="00693892" w:rsidR="00115223">
        <w:rPr>
          <w:rFonts w:ascii="Times New Roman" w:hAnsi="Times New Roman" w:cs="Times New Roman"/>
        </w:rPr>
        <w:t xml:space="preserve"> percent</w:t>
      </w:r>
      <w:r w:rsidRPr="00693892" w:rsidR="0075046B">
        <w:rPr>
          <w:rFonts w:ascii="Times New Roman" w:hAnsi="Times New Roman" w:cs="Times New Roman"/>
        </w:rPr>
        <w:t xml:space="preserve"> of revenue. For small governments, EPA does not have data to estimate the percent of entities with different percent of revenue impacts. However, based on costs to small governments and </w:t>
      </w:r>
      <w:r w:rsidRPr="00693892" w:rsidR="0075046B">
        <w:rPr>
          <w:rFonts w:ascii="Times New Roman" w:hAnsi="Times New Roman" w:cs="Times New Roman"/>
        </w:rPr>
        <w:t xml:space="preserve">their respective populations, EPA concludes that it is unlikely that a small government </w:t>
      </w:r>
      <w:r w:rsidR="009958D2">
        <w:rPr>
          <w:rFonts w:ascii="Times New Roman" w:hAnsi="Times New Roman" w:cs="Times New Roman"/>
        </w:rPr>
        <w:t>will</w:t>
      </w:r>
      <w:r w:rsidRPr="00693892" w:rsidR="0075046B">
        <w:rPr>
          <w:rFonts w:ascii="Times New Roman" w:hAnsi="Times New Roman" w:cs="Times New Roman"/>
        </w:rPr>
        <w:t xml:space="preserve"> experience a cost impact larger than 1</w:t>
      </w:r>
      <w:r w:rsidRPr="00693892" w:rsidR="00115223">
        <w:rPr>
          <w:rFonts w:ascii="Times New Roman" w:hAnsi="Times New Roman" w:cs="Times New Roman"/>
        </w:rPr>
        <w:t xml:space="preserve"> percent</w:t>
      </w:r>
      <w:r w:rsidRPr="00693892" w:rsidR="0075046B">
        <w:rPr>
          <w:rFonts w:ascii="Times New Roman" w:hAnsi="Times New Roman" w:cs="Times New Roman"/>
        </w:rPr>
        <w:t xml:space="preserve"> of revenue.</w:t>
      </w:r>
      <w:bookmarkEnd w:id="508"/>
      <w:r w:rsidRPr="00693892" w:rsidR="0075046B">
        <w:rPr>
          <w:rFonts w:ascii="Times New Roman" w:hAnsi="Times New Roman" w:cs="Times New Roman"/>
        </w:rPr>
        <w:t xml:space="preserve"> </w:t>
      </w:r>
      <w:r w:rsidR="00C50760">
        <w:rPr>
          <w:rFonts w:ascii="Times New Roman" w:hAnsi="Times New Roman" w:cs="Times New Roman"/>
        </w:rPr>
        <w:t>The</w:t>
      </w:r>
      <w:r w:rsidR="00AB7C76">
        <w:rPr>
          <w:rFonts w:ascii="Times New Roman" w:hAnsi="Times New Roman" w:cs="Times New Roman"/>
        </w:rPr>
        <w:t xml:space="preserve"> second analysis</w:t>
      </w:r>
      <w:r w:rsidR="00397CC9">
        <w:rPr>
          <w:rFonts w:ascii="Times New Roman" w:hAnsi="Times New Roman" w:cs="Times New Roman"/>
        </w:rPr>
        <w:t xml:space="preserve"> </w:t>
      </w:r>
      <w:r w:rsidR="00C50760">
        <w:rPr>
          <w:rFonts w:ascii="Times New Roman" w:hAnsi="Times New Roman" w:cs="Times New Roman"/>
        </w:rPr>
        <w:t xml:space="preserve">that </w:t>
      </w:r>
      <w:r w:rsidR="00AB7C76">
        <w:rPr>
          <w:rFonts w:ascii="Times New Roman" w:hAnsi="Times New Roman" w:cs="Times New Roman"/>
        </w:rPr>
        <w:t xml:space="preserve">EPA </w:t>
      </w:r>
      <w:r w:rsidR="004226D8">
        <w:rPr>
          <w:rFonts w:ascii="Times New Roman" w:hAnsi="Times New Roman" w:cs="Times New Roman"/>
        </w:rPr>
        <w:t xml:space="preserve">conducted </w:t>
      </w:r>
      <w:r w:rsidR="00C50760">
        <w:rPr>
          <w:rFonts w:ascii="Times New Roman" w:hAnsi="Times New Roman" w:cs="Times New Roman"/>
        </w:rPr>
        <w:t>wit</w:t>
      </w:r>
      <w:r w:rsidR="00397CC9">
        <w:rPr>
          <w:rFonts w:ascii="Times New Roman" w:hAnsi="Times New Roman" w:cs="Times New Roman"/>
        </w:rPr>
        <w:t>h data from D&amp;B Hoovers</w:t>
      </w:r>
      <w:r w:rsidR="004226D8">
        <w:rPr>
          <w:rFonts w:ascii="Times New Roman" w:hAnsi="Times New Roman" w:cs="Times New Roman"/>
        </w:rPr>
        <w:t xml:space="preserve"> in Appendix C further </w:t>
      </w:r>
      <w:r w:rsidR="001063BE">
        <w:rPr>
          <w:rFonts w:ascii="Times New Roman" w:hAnsi="Times New Roman" w:cs="Times New Roman"/>
        </w:rPr>
        <w:t>confirms that the final rule will not impose a significant economic burden to small entities</w:t>
      </w:r>
      <w:r w:rsidR="00CC6FB1">
        <w:rPr>
          <w:rFonts w:ascii="Times New Roman" w:hAnsi="Times New Roman" w:cs="Times New Roman"/>
        </w:rPr>
        <w:t xml:space="preserve"> </w:t>
      </w:r>
      <w:r w:rsidR="0050254B">
        <w:rPr>
          <w:rFonts w:ascii="Times New Roman" w:hAnsi="Times New Roman" w:cs="Times New Roman"/>
        </w:rPr>
        <w:t>and suggests that the final rule has a smaller impact on small private sector entities</w:t>
      </w:r>
      <w:r w:rsidR="00C97DD6">
        <w:rPr>
          <w:rFonts w:ascii="Times New Roman" w:hAnsi="Times New Roman" w:cs="Times New Roman"/>
        </w:rPr>
        <w:t>. Using D&amp;B Hoovers data,</w:t>
      </w:r>
      <w:r w:rsidR="0030605F">
        <w:rPr>
          <w:rFonts w:ascii="Times New Roman" w:hAnsi="Times New Roman" w:cs="Times New Roman"/>
        </w:rPr>
        <w:t xml:space="preserve"> </w:t>
      </w:r>
      <w:r w:rsidR="004B16CC">
        <w:rPr>
          <w:rFonts w:ascii="Times New Roman" w:hAnsi="Times New Roman" w:cs="Times New Roman"/>
        </w:rPr>
        <w:t>EPA</w:t>
      </w:r>
      <w:r w:rsidR="00ED27BB">
        <w:rPr>
          <w:rFonts w:ascii="Times New Roman" w:hAnsi="Times New Roman" w:cs="Times New Roman"/>
        </w:rPr>
        <w:t xml:space="preserve"> estimated </w:t>
      </w:r>
      <w:r w:rsidR="004B16CC">
        <w:rPr>
          <w:rFonts w:ascii="Times New Roman" w:hAnsi="Times New Roman" w:cs="Times New Roman"/>
        </w:rPr>
        <w:t xml:space="preserve">that </w:t>
      </w:r>
      <w:r w:rsidR="00553E1D">
        <w:rPr>
          <w:rFonts w:ascii="Times New Roman" w:hAnsi="Times New Roman" w:cs="Times New Roman"/>
        </w:rPr>
        <w:t>6.0</w:t>
      </w:r>
      <w:r w:rsidR="0030605F">
        <w:rPr>
          <w:rFonts w:ascii="Times New Roman" w:hAnsi="Times New Roman" w:cs="Times New Roman"/>
        </w:rPr>
        <w:t xml:space="preserve"> percent of small entities will </w:t>
      </w:r>
      <w:r w:rsidR="004B16CC">
        <w:rPr>
          <w:rFonts w:ascii="Times New Roman" w:hAnsi="Times New Roman" w:cs="Times New Roman"/>
        </w:rPr>
        <w:t xml:space="preserve">experience costs exceeding 1 percent of revenue and only </w:t>
      </w:r>
      <w:r w:rsidR="00553E1D">
        <w:rPr>
          <w:rFonts w:ascii="Times New Roman" w:hAnsi="Times New Roman" w:cs="Times New Roman"/>
        </w:rPr>
        <w:t xml:space="preserve">1.9 </w:t>
      </w:r>
      <w:r w:rsidR="004B16CC">
        <w:rPr>
          <w:rFonts w:ascii="Times New Roman" w:hAnsi="Times New Roman" w:cs="Times New Roman"/>
        </w:rPr>
        <w:t>percent of entities will have costs greater than 3 percent of revenue.</w:t>
      </w:r>
      <w:r w:rsidR="0050254B">
        <w:rPr>
          <w:rFonts w:ascii="Times New Roman" w:hAnsi="Times New Roman" w:cs="Times New Roman"/>
        </w:rPr>
        <w:t xml:space="preserve"> </w:t>
      </w:r>
      <w:r w:rsidRPr="00693892" w:rsidR="0075046B">
        <w:rPr>
          <w:rFonts w:ascii="Times New Roman" w:hAnsi="Times New Roman" w:cs="Times New Roman"/>
        </w:rPr>
        <w:t xml:space="preserve">Accordingly, the Administrator of EPA hereby certifies that that this </w:t>
      </w:r>
      <w:r w:rsidR="00074F13">
        <w:rPr>
          <w:rFonts w:ascii="Times New Roman" w:hAnsi="Times New Roman" w:cs="Times New Roman"/>
        </w:rPr>
        <w:t>final</w:t>
      </w:r>
      <w:r w:rsidRPr="00693892" w:rsidR="00074F13">
        <w:rPr>
          <w:rFonts w:ascii="Times New Roman" w:hAnsi="Times New Roman" w:cs="Times New Roman"/>
        </w:rPr>
        <w:t xml:space="preserve"> </w:t>
      </w:r>
      <w:r w:rsidRPr="00693892" w:rsidR="0075046B">
        <w:rPr>
          <w:rFonts w:ascii="Times New Roman" w:hAnsi="Times New Roman" w:cs="Times New Roman"/>
        </w:rPr>
        <w:t xml:space="preserve">rule </w:t>
      </w:r>
      <w:r w:rsidR="009958D2">
        <w:rPr>
          <w:rFonts w:ascii="Times New Roman" w:hAnsi="Times New Roman" w:cs="Times New Roman"/>
        </w:rPr>
        <w:t>will</w:t>
      </w:r>
      <w:r w:rsidRPr="00693892" w:rsidR="0075046B">
        <w:rPr>
          <w:rFonts w:ascii="Times New Roman" w:hAnsi="Times New Roman" w:cs="Times New Roman"/>
        </w:rPr>
        <w:t xml:space="preserve"> not have a significant economic impact on a substantial number of small entities. </w:t>
      </w:r>
    </w:p>
    <w:p w:rsidR="00DE1DB8" w14:paraId="0E27DBB6" w14:textId="77777777">
      <w:pPr>
        <w:rPr>
          <w:rFonts w:ascii="Times New Roman" w:hAnsi="Times New Roman" w:cs="Times New Roman"/>
          <w:b/>
          <w:bCs/>
          <w:sz w:val="36"/>
          <w:szCs w:val="36"/>
        </w:rPr>
      </w:pPr>
      <w:r>
        <w:rPr>
          <w:rFonts w:ascii="Times New Roman" w:hAnsi="Times New Roman" w:cs="Times New Roman"/>
          <w:b/>
          <w:bCs/>
          <w:sz w:val="36"/>
          <w:szCs w:val="36"/>
        </w:rPr>
        <w:br w:type="page"/>
      </w:r>
    </w:p>
    <w:p w:rsidR="008527CB" w:rsidP="00887025" w14:paraId="2A24969B" w14:textId="77777777">
      <w:pPr>
        <w:pStyle w:val="Heading1"/>
        <w:spacing w:after="0"/>
      </w:pPr>
      <w:bookmarkStart w:id="509" w:name="_Toc110502773"/>
      <w:bookmarkStart w:id="510" w:name="_Toc144303609"/>
      <w:bookmarkStart w:id="511" w:name="_Toc98856243"/>
      <w:r w:rsidRPr="00FC0A08">
        <w:t xml:space="preserve">CHAPTER </w:t>
      </w:r>
      <w:r w:rsidRPr="00C1188B">
        <w:t>9</w:t>
      </w:r>
      <w:r>
        <w:t>: Communities with Environmental Justice Concerns</w:t>
      </w:r>
      <w:bookmarkEnd w:id="509"/>
      <w:bookmarkEnd w:id="510"/>
    </w:p>
    <w:bookmarkEnd w:id="511"/>
    <w:p w:rsidR="00887025" w:rsidRPr="004F4289" w:rsidP="00887025" w14:paraId="58B288B5" w14:textId="77777777"/>
    <w:p w:rsidR="00887025" w:rsidP="00887025" w14:paraId="54335DC5" w14:textId="77777777">
      <w:pPr>
        <w:pStyle w:val="BodyText"/>
        <w:ind w:firstLine="720"/>
        <w:rPr>
          <w:rFonts w:ascii="Times New Roman" w:hAnsi="Times New Roman" w:cs="Times New Roman"/>
        </w:rPr>
      </w:pPr>
      <w:r w:rsidRPr="000E6E0F">
        <w:rPr>
          <w:rFonts w:ascii="Times New Roman" w:hAnsi="Times New Roman" w:cs="Times New Roman"/>
        </w:rPr>
        <w:t xml:space="preserve">This </w:t>
      </w:r>
      <w:r>
        <w:rPr>
          <w:rFonts w:ascii="Times New Roman" w:hAnsi="Times New Roman" w:cs="Times New Roman"/>
        </w:rPr>
        <w:t>chapter summarizes EPA’s analysis to identify communities with environmental justice concerns that could be affected by the rulemaking and discuss the cumulative effects of climate change and the provisions on the identified communities.</w:t>
      </w:r>
      <w:r w:rsidRPr="000E6E0F">
        <w:rPr>
          <w:rFonts w:ascii="Times New Roman" w:hAnsi="Times New Roman" w:cs="Times New Roman"/>
        </w:rPr>
        <w:t xml:space="preserve"> </w:t>
      </w:r>
    </w:p>
    <w:p w:rsidR="00887025" w:rsidRPr="000849BE" w:rsidP="00887025" w14:paraId="51A13C7C" w14:textId="77777777">
      <w:pPr>
        <w:pStyle w:val="BodyText"/>
        <w:rPr>
          <w:rFonts w:ascii="Times New Roman" w:hAnsi="Times New Roman" w:cs="Times New Roman"/>
        </w:rPr>
      </w:pPr>
    </w:p>
    <w:p w:rsidR="00887025" w:rsidP="00C07306" w14:paraId="319A4CCC" w14:textId="77777777">
      <w:pPr>
        <w:pStyle w:val="Heading2"/>
      </w:pPr>
      <w:bookmarkStart w:id="512" w:name="_Toc98856244"/>
      <w:bookmarkStart w:id="513" w:name="_Toc110502774"/>
      <w:bookmarkStart w:id="514" w:name="_Toc144303610"/>
      <w:r w:rsidRPr="000E6E0F">
        <w:t>9.1 Background</w:t>
      </w:r>
      <w:bookmarkEnd w:id="512"/>
      <w:bookmarkEnd w:id="513"/>
      <w:bookmarkEnd w:id="514"/>
    </w:p>
    <w:p w:rsidR="00887025" w:rsidP="00887025" w14:paraId="0780E93B" w14:textId="77777777">
      <w:pPr>
        <w:pStyle w:val="BodyText"/>
        <w:rPr>
          <w:rFonts w:ascii="Times New Roman" w:hAnsi="Times New Roman" w:cs="Times New Roman"/>
        </w:rPr>
      </w:pPr>
      <w:r w:rsidRPr="00832E76">
        <w:rPr>
          <w:rFonts w:ascii="Times New Roman" w:hAnsi="Times New Roman" w:cs="Times New Roman"/>
        </w:rPr>
        <w:tab/>
      </w:r>
    </w:p>
    <w:p w:rsidR="00887025" w:rsidRPr="000E6E0F" w:rsidP="00887025" w14:paraId="77803BF8" w14:textId="77777777">
      <w:pPr>
        <w:pStyle w:val="BodyText"/>
        <w:ind w:firstLine="720"/>
        <w:rPr>
          <w:rFonts w:ascii="Times New Roman" w:hAnsi="Times New Roman" w:cs="Times New Roman"/>
          <w:i/>
        </w:rPr>
      </w:pPr>
      <w:r w:rsidRPr="00832E76">
        <w:rPr>
          <w:rFonts w:ascii="Times New Roman" w:hAnsi="Times New Roman" w:cs="Times New Roman"/>
        </w:rPr>
        <w:t xml:space="preserve">This chapter helps to address </w:t>
      </w:r>
      <w:r>
        <w:rPr>
          <w:rFonts w:ascii="Times New Roman" w:hAnsi="Times New Roman" w:cs="Times New Roman"/>
        </w:rPr>
        <w:t xml:space="preserve">the following Executive Orders (EOs): </w:t>
      </w:r>
      <w:r w:rsidRPr="000E6E0F">
        <w:rPr>
          <w:rFonts w:ascii="Times New Roman" w:hAnsi="Times New Roman" w:cs="Times New Roman"/>
          <w:i/>
        </w:rPr>
        <w:t>Executive Order 12898: Federal Actions to Address Environmental Justice in Minority Populations and Low-Income Populations</w:t>
      </w:r>
      <w:r>
        <w:rPr>
          <w:rFonts w:ascii="Times New Roman" w:hAnsi="Times New Roman" w:cs="Times New Roman"/>
          <w:i/>
        </w:rPr>
        <w:t>;</w:t>
      </w:r>
      <w:r w:rsidRPr="000E6E0F">
        <w:rPr>
          <w:rFonts w:ascii="Times New Roman" w:hAnsi="Times New Roman" w:cs="Times New Roman"/>
          <w:i/>
        </w:rPr>
        <w:t xml:space="preserve"> Executive Order 14008: Tackling the Climate Crisis at Home and Abroad</w:t>
      </w:r>
      <w:r>
        <w:rPr>
          <w:rFonts w:ascii="Times New Roman" w:hAnsi="Times New Roman" w:cs="Times New Roman"/>
          <w:i/>
        </w:rPr>
        <w:t xml:space="preserve">; and Executive Order 14096: </w:t>
      </w:r>
      <w:r w:rsidRPr="00F07316">
        <w:rPr>
          <w:rFonts w:ascii="Times New Roman" w:hAnsi="Times New Roman" w:cs="Times New Roman"/>
          <w:i/>
        </w:rPr>
        <w:t>Revitalizing Our Nation’s Commitment to Environmental Justice for All</w:t>
      </w:r>
    </w:p>
    <w:p w:rsidR="008527CB" w:rsidRPr="003A07F8" w:rsidP="00887025" w14:paraId="0D899A80" w14:textId="77777777">
      <w:pPr>
        <w:spacing w:after="0" w:line="240" w:lineRule="auto"/>
      </w:pPr>
      <w:bookmarkStart w:id="515" w:name="_Hlk69379973"/>
    </w:p>
    <w:p w:rsidR="008527CB" w:rsidRPr="00A16BC3" w:rsidP="00887025" w14:paraId="72F8C849" w14:textId="77777777">
      <w:pPr>
        <w:pStyle w:val="BodyText"/>
        <w:ind w:firstLine="360"/>
        <w:rPr>
          <w:rFonts w:ascii="Times New Roman" w:hAnsi="Times New Roman" w:cs="Times New Roman"/>
        </w:rPr>
      </w:pPr>
      <w:r>
        <w:rPr>
          <w:rFonts w:ascii="Times New Roman" w:hAnsi="Times New Roman" w:cs="Times New Roman"/>
        </w:rPr>
        <w:tab/>
      </w:r>
      <w:r w:rsidRPr="00A16BC3">
        <w:rPr>
          <w:rFonts w:ascii="Times New Roman" w:hAnsi="Times New Roman" w:cs="Times New Roman"/>
        </w:rPr>
        <w:t xml:space="preserve">Each Federal agency must make the achievement of environmental justice part of its mission “by identifying and addressing, as appropriate, disproportionately high and adverse human health or environmental effects of its programs, policies, and activities on minority populations and low-income populations.” Section 2-2 of E.O. 12898 provides that each Federal agency must conduct its programs, policies, and activities that substantially affect human health or the environment in a manner that ensures such programs, policies, and activities do not have the effect of (1) excluding persons (including populations) from participation in; or (2) denying persons (including populations) the benefits of; or (3) subjecting persons (including populations) to discrimination under, such programs, policies, and activities because of their race, color, or national origin. </w:t>
      </w:r>
    </w:p>
    <w:p w:rsidR="008527CB" w:rsidP="00887025" w14:paraId="4D2883AB" w14:textId="77777777">
      <w:pPr>
        <w:pStyle w:val="BodyText"/>
        <w:ind w:firstLine="360"/>
        <w:rPr>
          <w:rFonts w:ascii="Times New Roman" w:hAnsi="Times New Roman" w:cs="Times New Roman"/>
        </w:rPr>
      </w:pPr>
    </w:p>
    <w:p w:rsidR="008527CB" w:rsidRPr="00A16BC3" w:rsidP="00887025" w14:paraId="2650075F" w14:textId="77777777">
      <w:pPr>
        <w:pStyle w:val="BodyText"/>
        <w:ind w:firstLine="360"/>
        <w:rPr>
          <w:rFonts w:ascii="Times New Roman" w:hAnsi="Times New Roman" w:cs="Times New Roman"/>
        </w:rPr>
      </w:pPr>
      <w:r>
        <w:rPr>
          <w:rFonts w:ascii="Times New Roman" w:hAnsi="Times New Roman" w:cs="Times New Roman"/>
        </w:rPr>
        <w:tab/>
        <w:t>E.O.</w:t>
      </w:r>
      <w:r w:rsidRPr="00A16BC3">
        <w:rPr>
          <w:rFonts w:ascii="Times New Roman" w:hAnsi="Times New Roman" w:cs="Times New Roman"/>
        </w:rPr>
        <w:t xml:space="preserve"> 14008 calls on Federal agencies to make achieving environmental justice part of their missions “by developing programs, policies, and activities to address the disproportionately high and adverse human health, environmental, climate-related and other cumulative impacts on disadvantaged communities, as well as the accompanying economic challenges of such impacts.” It also declares a policy “to secure environmental justice and spur economic opportunity for disadvantaged communities that have been historically marginalized and overburdened by pollution and under-investment in housing, transportation, water and wastewater infrastructure and health care.” Under E.O. 13563 (76 FR 3821, January 21, 2011), Federal agencies may consider equity, human dignity, fairness, and distributional considerations, where appropriate and permitted by law. E.O. 14008 directs Federal agencies to develop programs, polices and activities to address the disproportionate health, environmental, economic, and climate impacts on disadvantaged, historically marginalized and overburdened communities.</w:t>
      </w:r>
      <w:bookmarkEnd w:id="515"/>
      <w:r w:rsidRPr="00A16BC3">
        <w:rPr>
          <w:rFonts w:ascii="Times New Roman" w:hAnsi="Times New Roman" w:cs="Times New Roman"/>
        </w:rPr>
        <w:t xml:space="preserve"> Similarly, E.O. 14096 re-emphasizes the commitment of the Executive branch to include the achievement of environmental justice in the mission of each agency and to evaluate the impacts of regulations and other Federal activities on communities with environmental justice concerns. E.O. 14096 places a responsibility on Federal agencies to “identify, analyze, and address disproportionate and adverse human health and environmental effects (including risks) and hazards of Federal activities, including those related to climate change and cumulative impacts of environmental and other burdens with environmental justice concerns[.]” Additionally, E.O. 14096 suggests improved environmental justice analyses through “disaggregating environmental risk, exposure, and health data by race, national origin, income, socioeconomic status, age, sex, disability, and other readily accessible and appropriate categories.” The Agency has reflected this suggestion by disaggregating the following proximity analysis by race and ethnicity.  </w:t>
      </w:r>
    </w:p>
    <w:p w:rsidR="008527CB" w:rsidP="00887025" w14:paraId="67378F97" w14:textId="77777777">
      <w:pPr>
        <w:pStyle w:val="BodyText"/>
        <w:ind w:firstLine="360"/>
        <w:rPr>
          <w:rFonts w:ascii="Times New Roman" w:hAnsi="Times New Roman" w:cs="Times New Roman"/>
        </w:rPr>
      </w:pPr>
    </w:p>
    <w:p w:rsidR="008527CB" w:rsidRPr="00A16BC3" w:rsidP="00887025" w14:paraId="598C8A04" w14:textId="77777777">
      <w:pPr>
        <w:pStyle w:val="BodyText"/>
        <w:ind w:firstLine="360"/>
        <w:rPr>
          <w:rFonts w:ascii="Times New Roman" w:hAnsi="Times New Roman" w:cs="Times New Roman"/>
        </w:rPr>
      </w:pPr>
      <w:r>
        <w:rPr>
          <w:rFonts w:ascii="Times New Roman" w:hAnsi="Times New Roman" w:cs="Times New Roman"/>
        </w:rPr>
        <w:tab/>
      </w:r>
      <w:r w:rsidRPr="00A16BC3">
        <w:rPr>
          <w:rFonts w:ascii="Times New Roman" w:hAnsi="Times New Roman" w:cs="Times New Roman"/>
        </w:rPr>
        <w:t>The Agency defines “environmental justice” as the fair treatment and meaningful involvement of all people regardless of race, color, national origin, or income with respect to the development, implementation, and enforcement of environmental laws, regulations, and policies.</w:t>
      </w:r>
      <w:r>
        <w:rPr>
          <w:rStyle w:val="FootnoteReference"/>
          <w:rFonts w:ascii="Times New Roman" w:hAnsi="Times New Roman" w:cs="Times New Roman"/>
        </w:rPr>
        <w:footnoteReference w:id="177"/>
      </w:r>
      <w:r w:rsidRPr="00A16BC3">
        <w:rPr>
          <w:rFonts w:ascii="Times New Roman" w:hAnsi="Times New Roman" w:cs="Times New Roman"/>
        </w:rPr>
        <w:t xml:space="preserve"> The Agency defines the term “fair treatment” to mean both that no people should bear disproportionate burdens of environmental harms and risks, and that the distribution of reduction in risk from EPA actions does not exclude particular communities. The incorporation of environmental justice into EPA rulemaking is guided by two EPA documents: (1) </w:t>
      </w:r>
      <w:r w:rsidRPr="00A16BC3">
        <w:rPr>
          <w:rFonts w:ascii="Times New Roman" w:hAnsi="Times New Roman" w:cs="Times New Roman"/>
          <w:i/>
        </w:rPr>
        <w:t>Technical Guidance for Assessing Environmental Justice in Regulatory Analysis</w:t>
      </w:r>
      <w:r>
        <w:rPr>
          <w:rStyle w:val="FootnoteReference"/>
          <w:rFonts w:ascii="Times New Roman" w:hAnsi="Times New Roman" w:cs="Times New Roman"/>
        </w:rPr>
        <w:footnoteReference w:id="178"/>
      </w:r>
      <w:r w:rsidRPr="00A16BC3">
        <w:rPr>
          <w:rFonts w:ascii="Times New Roman" w:hAnsi="Times New Roman" w:cs="Times New Roman"/>
          <w:i/>
        </w:rPr>
        <w:t xml:space="preserve"> </w:t>
      </w:r>
      <w:r w:rsidRPr="00A16BC3">
        <w:rPr>
          <w:rFonts w:ascii="Times New Roman" w:hAnsi="Times New Roman" w:cs="Times New Roman"/>
        </w:rPr>
        <w:t xml:space="preserve">and (2) </w:t>
      </w:r>
      <w:r w:rsidRPr="00A16BC3">
        <w:rPr>
          <w:rFonts w:ascii="Times New Roman" w:hAnsi="Times New Roman" w:cs="Times New Roman"/>
          <w:i/>
        </w:rPr>
        <w:t>Guidance on Considering Environmental Justice During the Development of Regulatory Action.</w:t>
      </w:r>
      <w:r>
        <w:rPr>
          <w:rStyle w:val="FootnoteReference"/>
          <w:rFonts w:ascii="Times New Roman" w:hAnsi="Times New Roman" w:cs="Times New Roman"/>
          <w:i/>
        </w:rPr>
        <w:footnoteReference w:id="179"/>
      </w:r>
      <w:r w:rsidRPr="00A16BC3">
        <w:rPr>
          <w:rFonts w:ascii="Times New Roman" w:hAnsi="Times New Roman" w:cs="Times New Roman"/>
        </w:rPr>
        <w:t xml:space="preserve"> The </w:t>
      </w:r>
      <w:r w:rsidRPr="00A16BC3">
        <w:rPr>
          <w:rFonts w:ascii="Times New Roman" w:hAnsi="Times New Roman" w:cs="Times New Roman"/>
          <w:i/>
        </w:rPr>
        <w:t>Technical Guidance for Assessing Environmental Justice in Regulatory Analysis</w:t>
      </w:r>
      <w:r>
        <w:rPr>
          <w:rStyle w:val="FootnoteReference"/>
          <w:rFonts w:ascii="Times New Roman" w:hAnsi="Times New Roman" w:cs="Times New Roman"/>
        </w:rPr>
        <w:footnoteReference w:id="180"/>
      </w:r>
      <w:r w:rsidRPr="00A16BC3">
        <w:rPr>
          <w:rFonts w:ascii="Times New Roman" w:hAnsi="Times New Roman" w:cs="Times New Roman"/>
        </w:rPr>
        <w:t xml:space="preserve"> establishes the expectation that analysts conduct the highest quality environmental justice analysis feasible in support of rulemakings, recognizing that what is possible will be context-specific.</w:t>
      </w:r>
    </w:p>
    <w:p w:rsidR="008527CB" w:rsidP="00887025" w14:paraId="7F97A672" w14:textId="77777777">
      <w:pPr>
        <w:pStyle w:val="BodyText"/>
        <w:ind w:firstLine="360"/>
        <w:rPr>
          <w:rFonts w:ascii="Times New Roman" w:hAnsi="Times New Roman" w:cs="Times New Roman"/>
        </w:rPr>
      </w:pPr>
    </w:p>
    <w:p w:rsidR="008527CB" w:rsidRPr="00A16BC3" w:rsidP="00887025" w14:paraId="77D9724D" w14:textId="77777777">
      <w:pPr>
        <w:pStyle w:val="BodyText"/>
        <w:ind w:firstLine="360"/>
        <w:rPr>
          <w:rFonts w:ascii="Times New Roman" w:hAnsi="Times New Roman" w:cs="Times New Roman"/>
        </w:rPr>
      </w:pPr>
      <w:r>
        <w:rPr>
          <w:rFonts w:ascii="Times New Roman" w:hAnsi="Times New Roman" w:cs="Times New Roman"/>
        </w:rPr>
        <w:tab/>
      </w:r>
      <w:r w:rsidRPr="00A16BC3">
        <w:rPr>
          <w:rFonts w:ascii="Times New Roman" w:hAnsi="Times New Roman" w:cs="Times New Roman"/>
        </w:rPr>
        <w:t xml:space="preserve">When assessing the potential for disproportionately high and adverse health or environmental impacts of regulatory actions on historically underserved and overburdened communities, EPA strives to answer three broad questions: </w:t>
      </w:r>
    </w:p>
    <w:p w:rsidR="008527CB" w:rsidRPr="00A16BC3" w:rsidP="00082826" w14:paraId="6C02DCCC" w14:textId="77777777">
      <w:pPr>
        <w:pStyle w:val="BodyText"/>
        <w:numPr>
          <w:ilvl w:val="0"/>
          <w:numId w:val="23"/>
        </w:numPr>
        <w:rPr>
          <w:rFonts w:ascii="Times New Roman" w:hAnsi="Times New Roman" w:cs="Times New Roman"/>
        </w:rPr>
      </w:pPr>
      <w:r w:rsidRPr="000E6E0F">
        <w:rPr>
          <w:rFonts w:ascii="Times New Roman" w:hAnsi="Times New Roman" w:cs="Times New Roman"/>
        </w:rPr>
        <w:t>Is there evidence of pot</w:t>
      </w:r>
      <w:r w:rsidRPr="00A16BC3">
        <w:rPr>
          <w:rFonts w:ascii="Times New Roman" w:hAnsi="Times New Roman" w:cs="Times New Roman"/>
        </w:rPr>
        <w:t xml:space="preserve">ential environmental justice concerns in the baseline (the state of the world absent the regulatory action)? Assessing the baseline will allow EPA to determine whether pre-existing disparities are associated with the pollutant(s) under consideration (e.g., are the effects of the pollutant(s) more concentrated in some population groups?). </w:t>
      </w:r>
    </w:p>
    <w:p w:rsidR="008527CB" w:rsidRPr="00A16BC3" w:rsidP="00082826" w14:paraId="44DD5C72" w14:textId="77777777">
      <w:pPr>
        <w:pStyle w:val="BodyText"/>
        <w:numPr>
          <w:ilvl w:val="0"/>
          <w:numId w:val="23"/>
        </w:numPr>
        <w:rPr>
          <w:rFonts w:ascii="Times New Roman" w:hAnsi="Times New Roman" w:cs="Times New Roman"/>
        </w:rPr>
      </w:pPr>
      <w:r w:rsidRPr="000E6E0F">
        <w:rPr>
          <w:rFonts w:ascii="Times New Roman" w:hAnsi="Times New Roman" w:cs="Times New Roman"/>
        </w:rPr>
        <w:t>Is there evidence of potential environmental justice concerns for the regulatory option(s) under consideration? Specific</w:t>
      </w:r>
      <w:r w:rsidRPr="00A16BC3">
        <w:rPr>
          <w:rFonts w:ascii="Times New Roman" w:hAnsi="Times New Roman" w:cs="Times New Roman"/>
        </w:rPr>
        <w:t>ally, how are the pollutant(s) and its (their) effects distributed for the regulatory options under consideration? And,</w:t>
      </w:r>
    </w:p>
    <w:p w:rsidR="008527CB" w:rsidRPr="00A16BC3" w:rsidP="00082826" w14:paraId="7B304F43" w14:textId="77777777">
      <w:pPr>
        <w:pStyle w:val="BodyText"/>
        <w:numPr>
          <w:ilvl w:val="0"/>
          <w:numId w:val="23"/>
        </w:numPr>
        <w:rPr>
          <w:rFonts w:ascii="Times New Roman" w:hAnsi="Times New Roman" w:cs="Times New Roman"/>
        </w:rPr>
      </w:pPr>
      <w:r>
        <w:rPr>
          <w:rFonts w:ascii="Times New Roman" w:hAnsi="Times New Roman" w:cs="Times New Roman"/>
        </w:rPr>
        <w:t>D</w:t>
      </w:r>
      <w:r w:rsidRPr="00A16BC3">
        <w:rPr>
          <w:rFonts w:ascii="Times New Roman" w:hAnsi="Times New Roman" w:cs="Times New Roman"/>
        </w:rPr>
        <w:t>o the regulatory option(s) under consideration exacerbate or mitigate environmental justice concerns relative to the baseline?</w:t>
      </w:r>
      <w:r>
        <w:rPr>
          <w:rFonts w:ascii="Times New Roman" w:hAnsi="Times New Roman" w:cs="Times New Roman"/>
          <w:vertAlign w:val="superscript"/>
        </w:rPr>
        <w:footnoteReference w:id="181"/>
      </w:r>
      <w:r w:rsidRPr="00A16BC3">
        <w:rPr>
          <w:rFonts w:ascii="Times New Roman" w:hAnsi="Times New Roman" w:cs="Times New Roman"/>
        </w:rPr>
        <w:t xml:space="preserve"> </w:t>
      </w:r>
    </w:p>
    <w:p w:rsidR="00887025" w:rsidP="00887025" w14:paraId="075DB2FB" w14:textId="77777777">
      <w:pPr>
        <w:pStyle w:val="BodyText"/>
        <w:rPr>
          <w:rFonts w:ascii="Times New Roman" w:hAnsi="Times New Roman" w:cs="Times New Roman"/>
        </w:rPr>
      </w:pPr>
    </w:p>
    <w:p w:rsidR="008527CB" w:rsidRPr="00A16BC3" w:rsidP="00887025" w14:paraId="30A8018E" w14:textId="77777777">
      <w:pPr>
        <w:pStyle w:val="BodyText"/>
        <w:ind w:firstLine="720"/>
        <w:rPr>
          <w:rFonts w:ascii="Times New Roman" w:hAnsi="Times New Roman" w:cs="Times New Roman"/>
        </w:rPr>
      </w:pPr>
      <w:r w:rsidRPr="000E6E0F">
        <w:rPr>
          <w:rFonts w:ascii="Times New Roman" w:hAnsi="Times New Roman" w:cs="Times New Roman"/>
        </w:rPr>
        <w:t xml:space="preserve">It is </w:t>
      </w:r>
      <w:r w:rsidRPr="00A16BC3">
        <w:rPr>
          <w:rFonts w:ascii="Times New Roman" w:hAnsi="Times New Roman" w:cs="Times New Roman"/>
        </w:rPr>
        <w:t>not always possible to quantitatively assess all three questions. For instance, in some regulatory contexts it may only be possible to quantitatively characterize the baseline due to data and modeling limitations.</w:t>
      </w:r>
    </w:p>
    <w:p w:rsidR="008527CB" w:rsidRPr="000E6E0F" w:rsidP="00887025" w14:paraId="38506B2B" w14:textId="77777777">
      <w:pPr>
        <w:pStyle w:val="ListParagraph"/>
        <w:spacing w:after="0" w:line="240" w:lineRule="auto"/>
        <w:rPr>
          <w:rFonts w:ascii="Times New Roman" w:hAnsi="Times New Roman" w:cs="Times New Roman"/>
        </w:rPr>
      </w:pPr>
    </w:p>
    <w:p w:rsidR="00887025" w:rsidP="00C07306" w14:paraId="002C2E83" w14:textId="77777777">
      <w:pPr>
        <w:pStyle w:val="Heading2"/>
      </w:pPr>
      <w:bookmarkStart w:id="516" w:name="_Toc98856245"/>
      <w:bookmarkStart w:id="517" w:name="_Toc110502775"/>
      <w:bookmarkStart w:id="518" w:name="_Toc144303611"/>
      <w:bookmarkStart w:id="519" w:name="_Ref86909502"/>
      <w:r w:rsidRPr="006E4273">
        <w:t>9.2 Methods</w:t>
      </w:r>
      <w:bookmarkEnd w:id="516"/>
      <w:bookmarkEnd w:id="517"/>
      <w:bookmarkEnd w:id="518"/>
      <w:r>
        <w:tab/>
      </w:r>
    </w:p>
    <w:p w:rsidR="00887025" w:rsidP="00887025" w14:paraId="3A00FB8E" w14:textId="77777777">
      <w:pPr>
        <w:pStyle w:val="BodyText"/>
        <w:ind w:firstLine="720"/>
        <w:rPr>
          <w:rFonts w:ascii="Times New Roman" w:hAnsi="Times New Roman" w:cs="Times New Roman"/>
        </w:rPr>
      </w:pPr>
    </w:p>
    <w:p w:rsidR="008527CB" w:rsidRPr="00A16BC3" w:rsidP="00887025" w14:paraId="52BF579E" w14:textId="77777777">
      <w:pPr>
        <w:pStyle w:val="BodyText"/>
        <w:ind w:firstLine="720"/>
        <w:rPr>
          <w:rFonts w:ascii="Times New Roman" w:hAnsi="Times New Roman" w:cs="Times New Roman"/>
        </w:rPr>
      </w:pPr>
      <w:r w:rsidRPr="000E6E0F">
        <w:rPr>
          <w:rFonts w:ascii="Times New Roman" w:hAnsi="Times New Roman" w:cs="Times New Roman"/>
        </w:rPr>
        <w:t>EPA seeks to characterize p</w:t>
      </w:r>
      <w:r w:rsidRPr="00A16BC3">
        <w:rPr>
          <w:rFonts w:ascii="Times New Roman" w:hAnsi="Times New Roman" w:cs="Times New Roman"/>
        </w:rPr>
        <w:t xml:space="preserve">otential environmental justice concerns associated with baseline risks from RMP facilities. EPA conducted a proximity-based analysis using variables from EJSCREEN and the U.S. Census Bureau’s American Community Survey (ACS) to combine environmental and sociodemographic information on areas surrounding RMP facilities. To assess the environmental justice implications of this final action, EPA quantified community sociodemographic variables surrounding current, actively regulated facilities as of December 31, 2020, for which there were valid coordinates </w:t>
      </w:r>
      <w:r w:rsidRPr="00A16BC3">
        <w:rPr>
          <w:rFonts w:ascii="Times New Roman" w:hAnsi="Times New Roman" w:cs="Times New Roman"/>
        </w:rPr>
        <w:t>(n=11,714).</w:t>
      </w:r>
      <w:r>
        <w:rPr>
          <w:rStyle w:val="FootnoteReference"/>
          <w:rFonts w:ascii="Times New Roman" w:hAnsi="Times New Roman" w:cs="Times New Roman"/>
        </w:rPr>
        <w:footnoteReference w:id="182"/>
      </w:r>
      <w:r w:rsidRPr="00A16BC3">
        <w:rPr>
          <w:rFonts w:ascii="Times New Roman" w:hAnsi="Times New Roman" w:cs="Times New Roman"/>
        </w:rPr>
        <w:t xml:space="preserve"> </w:t>
      </w:r>
    </w:p>
    <w:p w:rsidR="008527CB" w:rsidP="00887025" w14:paraId="1191393E" w14:textId="77777777">
      <w:pPr>
        <w:pStyle w:val="BodyText"/>
        <w:ind w:firstLine="720"/>
        <w:rPr>
          <w:rFonts w:ascii="Times New Roman" w:hAnsi="Times New Roman" w:cs="Times New Roman"/>
        </w:rPr>
      </w:pPr>
    </w:p>
    <w:p w:rsidR="00887025" w:rsidP="00887025" w14:paraId="0B4DC822" w14:textId="77777777">
      <w:pPr>
        <w:pStyle w:val="BodyText"/>
        <w:ind w:firstLine="720"/>
        <w:rPr>
          <w:rFonts w:ascii="Times New Roman" w:hAnsi="Times New Roman" w:cs="Times New Roman"/>
        </w:rPr>
      </w:pPr>
      <w:r>
        <w:rPr>
          <w:rFonts w:ascii="Times New Roman" w:hAnsi="Times New Roman" w:cs="Times New Roman"/>
        </w:rPr>
        <w:t>The distribution of RMP facilities across the U.S. is shown below in Exhibit 9-1. Every state in the continental U.S. has multiple RMP facilities and at least one facility that has had one or more accidents. However, certain areas appear to have a higher concentration of facilities than others. While the Agency did not perform a hot spot analysis, the map shows that there appears to be a large concentration of RMP facilities in the Midwest, with other apparent clusters located in fairly industrial areas, such as the Mid-Atlantic coast, the Central Valley in California, and along the Gulf of Mexico throughout Texas and Louisiana. RMP facilities with one or more accidents tend to be located more heavily where there are clusters of RMP facilities. With the exception of North Dakota, largely rural states, such as Maine, New Hampshire, and Vermont, as well as much of the Mountain West have far fewer RMP facilities than the rest of the U.S.</w:t>
      </w:r>
    </w:p>
    <w:p w:rsidR="00887025" w:rsidP="00887025" w14:paraId="42037434" w14:textId="77777777">
      <w:pPr>
        <w:pStyle w:val="BodyText"/>
        <w:rPr>
          <w:rFonts w:ascii="Times New Roman" w:hAnsi="Times New Roman" w:cs="Times New Roman"/>
        </w:rPr>
      </w:pPr>
    </w:p>
    <w:p w:rsidR="00887025" w:rsidP="00887025" w14:paraId="198DBD0B" w14:textId="77777777">
      <w:pPr>
        <w:pStyle w:val="BodyText"/>
        <w:rPr>
          <w:rFonts w:ascii="Times New Roman" w:hAnsi="Times New Roman" w:cs="Times New Roman"/>
        </w:rPr>
      </w:pPr>
    </w:p>
    <w:p w:rsidR="00887025" w:rsidRPr="009371C3" w:rsidP="00887025" w14:paraId="6D9A13C7" w14:textId="77777777">
      <w:pPr>
        <w:pStyle w:val="BodyText"/>
        <w:jc w:val="center"/>
        <w:rPr>
          <w:rFonts w:ascii="Times New Roman" w:hAnsi="Times New Roman" w:cs="Times New Roman"/>
          <w:b/>
          <w:bCs/>
        </w:rPr>
      </w:pPr>
      <w:r w:rsidRPr="009371C3">
        <w:rPr>
          <w:rFonts w:ascii="Times New Roman" w:hAnsi="Times New Roman" w:cs="Times New Roman"/>
          <w:b/>
          <w:bCs/>
        </w:rPr>
        <w:t>Exhibit 9-1. Distribution of RMP Facilities in the United States</w:t>
      </w:r>
    </w:p>
    <w:p w:rsidR="00887025" w:rsidP="00887025" w14:paraId="4AF5AFC1" w14:textId="77777777">
      <w:pPr>
        <w:pStyle w:val="BodyText"/>
        <w:rPr>
          <w:rFonts w:ascii="Times New Roman" w:hAnsi="Times New Roman" w:cs="Times New Roman"/>
        </w:rPr>
      </w:pPr>
      <w:r>
        <w:rPr>
          <w:rFonts w:ascii="Times New Roman" w:hAnsi="Times New Roman" w:cs="Times New Roman"/>
          <w:noProof/>
          <w14:ligatures w14:val="standardContextual"/>
        </w:rPr>
        <w:drawing>
          <wp:inline distT="0" distB="0" distL="0" distR="0">
            <wp:extent cx="5943600" cy="4203065"/>
            <wp:effectExtent l="0" t="0" r="0" b="6985"/>
            <wp:docPr id="54813323" name="Picture 54813323" descr="A map of RMP facilities across the U.S. with red dots depicting RMP facilities with one or more accidents and grey dots marking all RMP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3323" name="Picture 1" descr="A map of RMP facilities across the U.S. with red dots depicting RMP facilities with one or more accidents and grey dots marking all RMP facilities."/>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r>
        <w:rPr>
          <w:rFonts w:ascii="Times New Roman" w:hAnsi="Times New Roman" w:cs="Times New Roman"/>
        </w:rPr>
        <w:t xml:space="preserve"> </w:t>
      </w:r>
    </w:p>
    <w:p w:rsidR="00887025" w:rsidP="00887025" w14:paraId="4E645FB2" w14:textId="77777777">
      <w:pPr>
        <w:pStyle w:val="BodyText"/>
        <w:ind w:firstLine="360"/>
        <w:rPr>
          <w:rFonts w:ascii="Times New Roman" w:hAnsi="Times New Roman" w:cs="Times New Roman"/>
        </w:rPr>
      </w:pPr>
    </w:p>
    <w:p w:rsidR="00887025" w:rsidRPr="004C7D25" w:rsidP="00887025" w14:paraId="7BB80EAB" w14:textId="77777777">
      <w:pPr>
        <w:pStyle w:val="BodyText"/>
        <w:ind w:firstLine="720"/>
        <w:rPr>
          <w:rFonts w:ascii="Times New Roman" w:hAnsi="Times New Roman" w:cs="Times New Roman"/>
        </w:rPr>
      </w:pPr>
      <w:r>
        <w:rPr>
          <w:rFonts w:ascii="Times New Roman" w:hAnsi="Times New Roman" w:cs="Times New Roman"/>
        </w:rPr>
        <w:t>Due to data limitations, EPA was not able to determine a direct measure of risk or exposure from each facility. As a result, EPA used proximity to facility location as a surrogate, which assumes that any risks from the facility are limited to the designated boundary (</w:t>
      </w:r>
      <w:r>
        <w:rPr>
          <w:rFonts w:ascii="Times New Roman" w:hAnsi="Times New Roman" w:cs="Times New Roman"/>
          <w:i/>
          <w:iCs/>
        </w:rPr>
        <w:t xml:space="preserve">i.e., </w:t>
      </w:r>
      <w:r>
        <w:rPr>
          <w:rFonts w:ascii="Times New Roman" w:hAnsi="Times New Roman" w:cs="Times New Roman"/>
        </w:rPr>
        <w:t xml:space="preserve">people located outside of the designated boundary are not exposed to any risks from the facility) and that all individuals within the </w:t>
      </w:r>
      <w:r>
        <w:rPr>
          <w:rFonts w:ascii="Times New Roman" w:hAnsi="Times New Roman" w:cs="Times New Roman"/>
        </w:rPr>
        <w:t>designated boundary are equally exposed.</w:t>
      </w:r>
    </w:p>
    <w:p w:rsidR="00887025" w:rsidP="00887025" w14:paraId="5F17C29C" w14:textId="77777777">
      <w:pPr>
        <w:pStyle w:val="BodyText"/>
        <w:rPr>
          <w:rFonts w:ascii="Times New Roman" w:hAnsi="Times New Roman" w:cs="Times New Roman"/>
        </w:rPr>
      </w:pPr>
    </w:p>
    <w:p w:rsidR="008527CB" w:rsidRPr="00A16BC3" w:rsidP="00887025" w14:paraId="2D91CAB1" w14:textId="77777777">
      <w:pPr>
        <w:pStyle w:val="BodyText"/>
        <w:rPr>
          <w:rFonts w:ascii="Times New Roman" w:hAnsi="Times New Roman" w:cs="Times New Roman"/>
          <w:i/>
          <w:iCs/>
        </w:rPr>
      </w:pPr>
      <w:r w:rsidRPr="00660FED">
        <w:rPr>
          <w:rFonts w:ascii="Times New Roman" w:hAnsi="Times New Roman" w:cs="Times New Roman"/>
          <w:i/>
        </w:rPr>
        <w:t>9.2.1 Data</w:t>
      </w:r>
    </w:p>
    <w:p w:rsidR="00887025" w:rsidP="00887025" w14:paraId="4D19B0FB" w14:textId="77777777">
      <w:pPr>
        <w:pStyle w:val="BodyText"/>
        <w:ind w:firstLine="360"/>
        <w:rPr>
          <w:rFonts w:ascii="Times New Roman" w:hAnsi="Times New Roman" w:cs="Times New Roman"/>
        </w:rPr>
      </w:pPr>
    </w:p>
    <w:p w:rsidR="008527CB" w:rsidRPr="00A16BC3" w:rsidP="00887025" w14:paraId="6DA76E5D" w14:textId="77777777">
      <w:pPr>
        <w:pStyle w:val="BodyText"/>
        <w:ind w:firstLine="720"/>
        <w:rPr>
          <w:rFonts w:ascii="Times New Roman" w:hAnsi="Times New Roman" w:cs="Times New Roman"/>
        </w:rPr>
      </w:pPr>
      <w:r>
        <w:rPr>
          <w:rFonts w:ascii="Times New Roman" w:hAnsi="Times New Roman" w:cs="Times New Roman"/>
        </w:rPr>
        <w:t>The Agency downloaded the number of low-income individuals from EJSCREEN and used that data to calculate the population that is low-income.</w:t>
      </w:r>
      <w:r>
        <w:rPr>
          <w:rStyle w:val="FootnoteReference"/>
          <w:rFonts w:ascii="Times New Roman" w:hAnsi="Times New Roman" w:cs="Times New Roman"/>
        </w:rPr>
        <w:footnoteReference w:id="183"/>
      </w:r>
      <w:r>
        <w:rPr>
          <w:rFonts w:ascii="Times New Roman" w:hAnsi="Times New Roman" w:cs="Times New Roman"/>
        </w:rPr>
        <w:t xml:space="preserve"> </w:t>
      </w:r>
      <w:r w:rsidRPr="00A16BC3">
        <w:rPr>
          <w:rFonts w:ascii="Times New Roman" w:hAnsi="Times New Roman" w:cs="Times New Roman"/>
        </w:rPr>
        <w:t xml:space="preserve">The Agency obtained race and ethnicity population data from the 2017-2021 ACS 5-year estimates in order to calculate the percent of the total population that identifies with each racial/ethnic group. All data was reported at the Census Block Group (CBG) level. </w:t>
      </w:r>
    </w:p>
    <w:p w:rsidR="008527CB" w:rsidP="00887025" w14:paraId="4B41D62D" w14:textId="77777777">
      <w:pPr>
        <w:pStyle w:val="BodyText"/>
        <w:ind w:firstLine="720"/>
        <w:rPr>
          <w:rFonts w:ascii="Times New Roman" w:hAnsi="Times New Roman" w:cs="Times New Roman"/>
        </w:rPr>
      </w:pPr>
    </w:p>
    <w:p w:rsidR="00887025" w:rsidP="00887025" w14:paraId="37C267DF" w14:textId="77777777">
      <w:pPr>
        <w:pStyle w:val="BodyText"/>
        <w:rPr>
          <w:rFonts w:ascii="Times New Roman" w:hAnsi="Times New Roman" w:cs="Times New Roman"/>
          <w:i/>
          <w:iCs/>
        </w:rPr>
      </w:pPr>
      <w:r w:rsidRPr="00660FED">
        <w:rPr>
          <w:rFonts w:ascii="Times New Roman" w:hAnsi="Times New Roman" w:cs="Times New Roman"/>
          <w:i/>
          <w:iCs/>
        </w:rPr>
        <w:t xml:space="preserve">9.2.2 </w:t>
      </w:r>
      <w:r>
        <w:rPr>
          <w:rFonts w:ascii="Times New Roman" w:hAnsi="Times New Roman" w:cs="Times New Roman"/>
          <w:i/>
          <w:iCs/>
        </w:rPr>
        <w:t xml:space="preserve">Main </w:t>
      </w:r>
      <w:r w:rsidRPr="00660FED">
        <w:rPr>
          <w:rFonts w:ascii="Times New Roman" w:hAnsi="Times New Roman" w:cs="Times New Roman"/>
          <w:i/>
          <w:iCs/>
        </w:rPr>
        <w:t>Proximity</w:t>
      </w:r>
      <w:r>
        <w:rPr>
          <w:rFonts w:ascii="Times New Roman" w:hAnsi="Times New Roman" w:cs="Times New Roman"/>
          <w:i/>
          <w:iCs/>
        </w:rPr>
        <w:t>-Based</w:t>
      </w:r>
      <w:r w:rsidRPr="00660FED">
        <w:rPr>
          <w:rFonts w:ascii="Times New Roman" w:hAnsi="Times New Roman" w:cs="Times New Roman"/>
          <w:i/>
          <w:iCs/>
        </w:rPr>
        <w:t xml:space="preserve"> Analysis</w:t>
      </w:r>
    </w:p>
    <w:p w:rsidR="00887025" w:rsidRPr="00660FED" w:rsidP="00887025" w14:paraId="3817A297" w14:textId="77777777">
      <w:pPr>
        <w:pStyle w:val="BodyText"/>
        <w:rPr>
          <w:rFonts w:ascii="Times New Roman" w:hAnsi="Times New Roman" w:cs="Times New Roman"/>
          <w:i/>
          <w:iCs/>
        </w:rPr>
      </w:pPr>
    </w:p>
    <w:p w:rsidR="00887025" w:rsidP="00887025" w14:paraId="7DC546C1" w14:textId="77777777">
      <w:pPr>
        <w:pStyle w:val="BodyText"/>
        <w:ind w:firstLine="720"/>
        <w:rPr>
          <w:rFonts w:ascii="Times New Roman" w:hAnsi="Times New Roman" w:cs="Times New Roman"/>
        </w:rPr>
      </w:pPr>
      <w:r>
        <w:rPr>
          <w:rFonts w:ascii="Times New Roman" w:hAnsi="Times New Roman" w:cs="Times New Roman"/>
        </w:rPr>
        <w:t xml:space="preserve">For the main proximity analysis, </w:t>
      </w:r>
      <w:r w:rsidRPr="000E6E0F">
        <w:rPr>
          <w:rFonts w:ascii="Times New Roman" w:hAnsi="Times New Roman" w:cs="Times New Roman"/>
        </w:rPr>
        <w:t>EPA</w:t>
      </w:r>
      <w:r>
        <w:rPr>
          <w:rFonts w:ascii="Times New Roman" w:hAnsi="Times New Roman" w:cs="Times New Roman"/>
        </w:rPr>
        <w:t xml:space="preserve"> analyzed the sociodemographic characteristics of the communities living within one and three miles from the universe of RMP facilities</w:t>
      </w:r>
      <w:r w:rsidRPr="000E6E0F">
        <w:rPr>
          <w:rFonts w:ascii="Times New Roman" w:hAnsi="Times New Roman" w:cs="Times New Roman"/>
        </w:rPr>
        <w:t>.</w:t>
      </w:r>
      <w:r>
        <w:rPr>
          <w:rFonts w:ascii="Times New Roman" w:hAnsi="Times New Roman" w:cs="Times New Roman"/>
        </w:rPr>
        <w:t xml:space="preserve"> The one-mile buffer was used for the evaluation of proximal environmental justice communities in the 2019 Reconsideration Rule and represents communities likely to experience localized stressors from the associated facility. However, </w:t>
      </w:r>
      <w:r w:rsidRPr="00466FA3">
        <w:rPr>
          <w:rFonts w:ascii="Times New Roman" w:hAnsi="Times New Roman" w:cs="Times New Roman"/>
        </w:rPr>
        <w:t>when modeling the worst-case release scenario</w:t>
      </w:r>
      <w:r>
        <w:rPr>
          <w:rFonts w:ascii="Times New Roman" w:hAnsi="Times New Roman" w:cs="Times New Roman"/>
        </w:rPr>
        <w:t>, chemicals released from the industrial processes at the facilities can vary in exposure trajectory and distance. To capture the potential for further communities to be affected by any chemical release, the Agency also considered populations living within three miles of the facilities.</w:t>
      </w:r>
      <w:r>
        <w:rPr>
          <w:rStyle w:val="FootnoteReference"/>
          <w:rFonts w:ascii="Times New Roman" w:hAnsi="Times New Roman" w:cs="Times New Roman"/>
        </w:rPr>
        <w:footnoteReference w:id="184"/>
      </w:r>
      <w:r>
        <w:rPr>
          <w:rFonts w:ascii="Times New Roman" w:hAnsi="Times New Roman" w:cs="Times New Roman"/>
        </w:rPr>
        <w:t xml:space="preserve"> </w:t>
      </w:r>
    </w:p>
    <w:p w:rsidR="00887025" w:rsidP="00887025" w14:paraId="14385A65" w14:textId="77777777">
      <w:pPr>
        <w:pStyle w:val="BodyText"/>
        <w:ind w:firstLine="720"/>
        <w:rPr>
          <w:rFonts w:ascii="Times New Roman" w:hAnsi="Times New Roman" w:cs="Times New Roman"/>
        </w:rPr>
      </w:pPr>
    </w:p>
    <w:p w:rsidR="00887025" w:rsidP="00887025" w14:paraId="50F086F8" w14:textId="77777777">
      <w:pPr>
        <w:pStyle w:val="BodyText"/>
        <w:ind w:firstLine="720"/>
        <w:rPr>
          <w:rFonts w:ascii="Times New Roman" w:hAnsi="Times New Roman" w:cs="Times New Roman"/>
        </w:rPr>
      </w:pPr>
      <w:r>
        <w:rPr>
          <w:rFonts w:ascii="Times New Roman" w:hAnsi="Times New Roman" w:cs="Times New Roman"/>
        </w:rPr>
        <w:t>For cases when multiple RMP facilities were closely located, and the circular buffers drawn around each facility overlapped, the Agency combined the overlapping buffers into one larger buffer. The combination of overlapping buffers enabled the Agency to avoid double counting populations that resided in the overlapping area of multiple buffers. The Agency then intersected the buffers with CBGs to identify which communities were within the buffer areas. For cases when only a fraction of a CBG intersected with a buffer, the Agency used an areal apportionment method to identify the relevant affected households and individuals. In other words, EPA used the fraction of the overlap area between CBG and buffer area to estimate the number of residents in that CBG living within the buffer area. For example, if 40 percent of the CBG area intersects with a buffer, then the Agency assumed that 40 percent of the CBG’s population live within the buffer.</w:t>
      </w:r>
    </w:p>
    <w:p w:rsidR="00887025" w:rsidP="00887025" w14:paraId="3676AD5D" w14:textId="77777777">
      <w:pPr>
        <w:pStyle w:val="BodyText"/>
        <w:ind w:firstLine="360"/>
        <w:rPr>
          <w:rFonts w:ascii="Times New Roman" w:hAnsi="Times New Roman" w:cs="Times New Roman"/>
        </w:rPr>
      </w:pPr>
    </w:p>
    <w:p w:rsidR="00887025" w:rsidP="00887025" w14:paraId="01E59764" w14:textId="77777777">
      <w:pPr>
        <w:pStyle w:val="BodyText"/>
        <w:ind w:firstLine="720"/>
        <w:rPr>
          <w:rFonts w:ascii="Times New Roman" w:hAnsi="Times New Roman" w:cs="Times New Roman"/>
        </w:rPr>
      </w:pPr>
      <w:r>
        <w:rPr>
          <w:rFonts w:ascii="Times New Roman" w:hAnsi="Times New Roman" w:cs="Times New Roman"/>
        </w:rPr>
        <w:t>The Agency then compared t</w:t>
      </w:r>
      <w:r w:rsidRPr="007F15B2">
        <w:rPr>
          <w:rFonts w:ascii="Times New Roman" w:hAnsi="Times New Roman" w:cs="Times New Roman"/>
        </w:rPr>
        <w:t>he</w:t>
      </w:r>
      <w:r>
        <w:rPr>
          <w:rFonts w:ascii="Times New Roman" w:hAnsi="Times New Roman" w:cs="Times New Roman"/>
        </w:rPr>
        <w:t xml:space="preserve"> sociodemographic characteristics of potentially affected communities (defined as those living within one and three miles from RMP facilities) to</w:t>
      </w:r>
      <w:r w:rsidRPr="007F15B2">
        <w:rPr>
          <w:rFonts w:ascii="Times New Roman" w:hAnsi="Times New Roman" w:cs="Times New Roman"/>
        </w:rPr>
        <w:t xml:space="preserve"> </w:t>
      </w:r>
      <w:r>
        <w:rPr>
          <w:rFonts w:ascii="Times New Roman" w:hAnsi="Times New Roman" w:cs="Times New Roman"/>
        </w:rPr>
        <w:t>characteristics of unaffected communities (defined as those who live outside of the one-mile buffer around RMP facilities nationwide).</w:t>
      </w:r>
      <w:r>
        <w:rPr>
          <w:rStyle w:val="FootnoteReference"/>
          <w:rFonts w:ascii="Times New Roman" w:hAnsi="Times New Roman" w:cs="Times New Roman"/>
        </w:rPr>
        <w:footnoteReference w:id="185"/>
      </w:r>
      <w:r>
        <w:rPr>
          <w:rFonts w:ascii="Times New Roman" w:hAnsi="Times New Roman" w:cs="Times New Roman"/>
        </w:rPr>
        <w:t xml:space="preserve"> </w:t>
      </w:r>
      <w:r w:rsidRPr="007F15B2">
        <w:rPr>
          <w:rFonts w:ascii="Times New Roman" w:hAnsi="Times New Roman" w:cs="Times New Roman"/>
        </w:rPr>
        <w:t>The</w:t>
      </w:r>
      <w:r>
        <w:rPr>
          <w:rFonts w:ascii="Times New Roman" w:hAnsi="Times New Roman" w:cs="Times New Roman"/>
        </w:rPr>
        <w:t xml:space="preserve"> comparison group population was identified</w:t>
      </w:r>
      <w:r w:rsidRPr="007F15B2">
        <w:rPr>
          <w:rFonts w:ascii="Times New Roman" w:hAnsi="Times New Roman" w:cs="Times New Roman"/>
        </w:rPr>
        <w:t xml:space="preserve"> by </w:t>
      </w:r>
      <w:r>
        <w:rPr>
          <w:rFonts w:ascii="Times New Roman" w:hAnsi="Times New Roman" w:cs="Times New Roman"/>
        </w:rPr>
        <w:t xml:space="preserve">first </w:t>
      </w:r>
      <w:r w:rsidRPr="007F15B2">
        <w:rPr>
          <w:rFonts w:ascii="Times New Roman" w:hAnsi="Times New Roman" w:cs="Times New Roman"/>
        </w:rPr>
        <w:t xml:space="preserve">finding </w:t>
      </w:r>
      <w:r>
        <w:rPr>
          <w:rFonts w:ascii="Times New Roman" w:hAnsi="Times New Roman" w:cs="Times New Roman"/>
        </w:rPr>
        <w:t>CBGs</w:t>
      </w:r>
      <w:r w:rsidRPr="007F15B2">
        <w:rPr>
          <w:rFonts w:ascii="Times New Roman" w:hAnsi="Times New Roman" w:cs="Times New Roman"/>
        </w:rPr>
        <w:t xml:space="preserve"> that </w:t>
      </w:r>
      <w:r>
        <w:rPr>
          <w:rFonts w:ascii="Times New Roman" w:hAnsi="Times New Roman" w:cs="Times New Roman"/>
        </w:rPr>
        <w:t>fall</w:t>
      </w:r>
      <w:r w:rsidRPr="007F15B2">
        <w:rPr>
          <w:rFonts w:ascii="Times New Roman" w:hAnsi="Times New Roman" w:cs="Times New Roman"/>
        </w:rPr>
        <w:t xml:space="preserve"> completely </w:t>
      </w:r>
      <w:r>
        <w:rPr>
          <w:rFonts w:ascii="Times New Roman" w:hAnsi="Times New Roman" w:cs="Times New Roman"/>
        </w:rPr>
        <w:t>outside of</w:t>
      </w:r>
      <w:r w:rsidRPr="007F15B2">
        <w:rPr>
          <w:rFonts w:ascii="Times New Roman" w:hAnsi="Times New Roman" w:cs="Times New Roman"/>
        </w:rPr>
        <w:t xml:space="preserve"> the one-mile buffer</w:t>
      </w:r>
      <w:r>
        <w:rPr>
          <w:rFonts w:ascii="Times New Roman" w:hAnsi="Times New Roman" w:cs="Times New Roman"/>
        </w:rPr>
        <w:t>s</w:t>
      </w:r>
      <w:r w:rsidRPr="007F15B2">
        <w:rPr>
          <w:rFonts w:ascii="Times New Roman" w:hAnsi="Times New Roman" w:cs="Times New Roman"/>
        </w:rPr>
        <w:t xml:space="preserve"> around RMP facilities</w:t>
      </w:r>
      <w:r>
        <w:rPr>
          <w:rFonts w:ascii="Times New Roman" w:hAnsi="Times New Roman" w:cs="Times New Roman"/>
        </w:rPr>
        <w:t xml:space="preserve"> and summing the associated population</w:t>
      </w:r>
      <w:r w:rsidRPr="007F15B2">
        <w:rPr>
          <w:rFonts w:ascii="Times New Roman" w:hAnsi="Times New Roman" w:cs="Times New Roman"/>
        </w:rPr>
        <w:t xml:space="preserve">. For </w:t>
      </w:r>
      <w:r>
        <w:rPr>
          <w:rFonts w:ascii="Times New Roman" w:hAnsi="Times New Roman" w:cs="Times New Roman"/>
        </w:rPr>
        <w:t>CBGs</w:t>
      </w:r>
      <w:r w:rsidRPr="007F15B2">
        <w:rPr>
          <w:rFonts w:ascii="Times New Roman" w:hAnsi="Times New Roman" w:cs="Times New Roman"/>
        </w:rPr>
        <w:t xml:space="preserve"> that partially overlap with the buffer </w:t>
      </w:r>
      <w:r>
        <w:rPr>
          <w:rFonts w:ascii="Times New Roman" w:hAnsi="Times New Roman" w:cs="Times New Roman"/>
        </w:rPr>
        <w:t>areas</w:t>
      </w:r>
      <w:r w:rsidRPr="007F15B2">
        <w:rPr>
          <w:rFonts w:ascii="Times New Roman" w:hAnsi="Times New Roman" w:cs="Times New Roman"/>
        </w:rPr>
        <w:t xml:space="preserve">, </w:t>
      </w:r>
      <w:r>
        <w:rPr>
          <w:rFonts w:ascii="Times New Roman" w:hAnsi="Times New Roman" w:cs="Times New Roman"/>
        </w:rPr>
        <w:t>EPA used the areal apportionment method described above to estimate the number of CBG residents that live outside of the buffer area, before summing the associated population</w:t>
      </w:r>
      <w:r w:rsidRPr="007F15B2">
        <w:rPr>
          <w:rFonts w:ascii="Times New Roman" w:hAnsi="Times New Roman" w:cs="Times New Roman"/>
        </w:rPr>
        <w:t xml:space="preserve">. </w:t>
      </w:r>
    </w:p>
    <w:p w:rsidR="00887025" w:rsidP="00887025" w14:paraId="5FED7932" w14:textId="77777777">
      <w:pPr>
        <w:pStyle w:val="BodyText"/>
        <w:ind w:firstLine="360"/>
        <w:rPr>
          <w:rFonts w:ascii="Times New Roman" w:hAnsi="Times New Roman" w:cs="Times New Roman"/>
        </w:rPr>
      </w:pPr>
    </w:p>
    <w:p w:rsidR="00887025" w:rsidP="00887025" w14:paraId="344F50E7" w14:textId="77777777">
      <w:pPr>
        <w:pStyle w:val="BodyText"/>
        <w:ind w:firstLine="360"/>
        <w:rPr>
          <w:rFonts w:ascii="Times New Roman" w:hAnsi="Times New Roman" w:cs="Times New Roman"/>
          <w:i/>
          <w:iCs/>
        </w:rPr>
      </w:pPr>
      <w:r w:rsidRPr="00791C72">
        <w:rPr>
          <w:rFonts w:ascii="Times New Roman" w:hAnsi="Times New Roman" w:cs="Times New Roman"/>
          <w:i/>
          <w:iCs/>
        </w:rPr>
        <w:t xml:space="preserve">9.2.3 </w:t>
      </w:r>
      <w:r>
        <w:rPr>
          <w:rFonts w:ascii="Times New Roman" w:hAnsi="Times New Roman" w:cs="Times New Roman"/>
          <w:i/>
          <w:iCs/>
        </w:rPr>
        <w:t>Proximity</w:t>
      </w:r>
      <w:r w:rsidRPr="00791C72">
        <w:rPr>
          <w:rFonts w:ascii="Times New Roman" w:hAnsi="Times New Roman" w:cs="Times New Roman"/>
          <w:i/>
          <w:iCs/>
        </w:rPr>
        <w:t xml:space="preserve"> Analyses</w:t>
      </w:r>
      <w:r>
        <w:rPr>
          <w:rFonts w:ascii="Times New Roman" w:hAnsi="Times New Roman" w:cs="Times New Roman"/>
          <w:i/>
          <w:iCs/>
        </w:rPr>
        <w:t xml:space="preserve"> Focused on Specific Subsets of RMP Facilities</w:t>
      </w:r>
    </w:p>
    <w:p w:rsidR="00887025" w:rsidRPr="00791C72" w:rsidP="00887025" w14:paraId="61DF8150" w14:textId="77777777">
      <w:pPr>
        <w:pStyle w:val="BodyText"/>
        <w:ind w:firstLine="360"/>
        <w:rPr>
          <w:rFonts w:ascii="Times New Roman" w:hAnsi="Times New Roman" w:cs="Times New Roman"/>
          <w:i/>
          <w:iCs/>
        </w:rPr>
      </w:pPr>
    </w:p>
    <w:p w:rsidR="00887025" w:rsidP="00887025" w14:paraId="5670BA45" w14:textId="77777777">
      <w:pPr>
        <w:pStyle w:val="BodyText"/>
        <w:ind w:firstLine="720"/>
        <w:rPr>
          <w:rFonts w:ascii="Times New Roman" w:hAnsi="Times New Roman" w:cs="Times New Roman"/>
        </w:rPr>
      </w:pPr>
      <w:r w:rsidRPr="00377B8D">
        <w:rPr>
          <w:rFonts w:ascii="Times New Roman" w:hAnsi="Times New Roman" w:cs="Times New Roman"/>
        </w:rPr>
        <w:t xml:space="preserve">In addition to the </w:t>
      </w:r>
      <w:r>
        <w:rPr>
          <w:rFonts w:ascii="Times New Roman" w:hAnsi="Times New Roman" w:cs="Times New Roman"/>
        </w:rPr>
        <w:t xml:space="preserve">main </w:t>
      </w:r>
      <w:r w:rsidRPr="00377B8D">
        <w:rPr>
          <w:rFonts w:ascii="Times New Roman" w:hAnsi="Times New Roman" w:cs="Times New Roman"/>
        </w:rPr>
        <w:t xml:space="preserve">proximity-based analysis, EPA conducted </w:t>
      </w:r>
      <w:r>
        <w:rPr>
          <w:rFonts w:ascii="Times New Roman" w:hAnsi="Times New Roman" w:cs="Times New Roman"/>
        </w:rPr>
        <w:t>additional proximity</w:t>
      </w:r>
      <w:r w:rsidRPr="00377B8D">
        <w:rPr>
          <w:rFonts w:ascii="Times New Roman" w:hAnsi="Times New Roman" w:cs="Times New Roman"/>
        </w:rPr>
        <w:t xml:space="preserve"> analys</w:t>
      </w:r>
      <w:r>
        <w:rPr>
          <w:rFonts w:ascii="Times New Roman" w:hAnsi="Times New Roman" w:cs="Times New Roman"/>
        </w:rPr>
        <w:t>e</w:t>
      </w:r>
      <w:r w:rsidRPr="00377B8D">
        <w:rPr>
          <w:rFonts w:ascii="Times New Roman" w:hAnsi="Times New Roman" w:cs="Times New Roman"/>
        </w:rPr>
        <w:t>s</w:t>
      </w:r>
      <w:r>
        <w:rPr>
          <w:rFonts w:ascii="Times New Roman" w:hAnsi="Times New Roman" w:cs="Times New Roman"/>
        </w:rPr>
        <w:t xml:space="preserve"> evaluating populations living near specific subsets of RMP facilities.</w:t>
      </w:r>
      <w:r w:rsidRPr="00377B8D">
        <w:rPr>
          <w:rFonts w:ascii="Times New Roman" w:hAnsi="Times New Roman" w:cs="Times New Roman"/>
        </w:rPr>
        <w:t xml:space="preserve"> </w:t>
      </w:r>
      <w:r>
        <w:rPr>
          <w:rFonts w:ascii="Times New Roman" w:hAnsi="Times New Roman" w:cs="Times New Roman"/>
        </w:rPr>
        <w:t>This enabled EPA</w:t>
      </w:r>
      <w:r w:rsidRPr="00377B8D">
        <w:rPr>
          <w:rFonts w:ascii="Times New Roman" w:hAnsi="Times New Roman" w:cs="Times New Roman"/>
        </w:rPr>
        <w:t xml:space="preserve"> to </w:t>
      </w:r>
      <w:r>
        <w:rPr>
          <w:rFonts w:ascii="Times New Roman" w:hAnsi="Times New Roman" w:cs="Times New Roman"/>
        </w:rPr>
        <w:t xml:space="preserve">better characterize how the effects of the final rule may vary across communities given that facilities vary in the ultimate risk they pose to proximal populations. EPA evaluated how community characteristics differ based on process types, the number of RMP-related accidents reported between 2004 and 2020, program level, and chemical storage. </w:t>
      </w:r>
    </w:p>
    <w:p w:rsidR="00887025" w:rsidP="00887025" w14:paraId="3DA6CB99" w14:textId="77777777">
      <w:pPr>
        <w:pStyle w:val="BodyText"/>
        <w:ind w:firstLine="720"/>
        <w:rPr>
          <w:rFonts w:ascii="Times New Roman" w:hAnsi="Times New Roman" w:cs="Times New Roman"/>
        </w:rPr>
      </w:pPr>
    </w:p>
    <w:p w:rsidR="00887025" w:rsidRPr="00377B8D" w:rsidP="00887025" w14:paraId="42DD80F4" w14:textId="77777777">
      <w:pPr>
        <w:pStyle w:val="BodyText"/>
        <w:ind w:firstLine="720"/>
        <w:rPr>
          <w:rFonts w:ascii="Times New Roman" w:hAnsi="Times New Roman" w:cs="Times New Roman"/>
        </w:rPr>
      </w:pPr>
      <w:r>
        <w:rPr>
          <w:rFonts w:ascii="Times New Roman" w:hAnsi="Times New Roman" w:cs="Times New Roman"/>
        </w:rPr>
        <w:t xml:space="preserve">EPA evaluated three specific measures of potential risk: (1) RMP facilities categorized by the number of RMP-related accidents reported from 2004 to 2020, (2) RMP facilities categorized by the program level they belong in, and (3) RMP facilities categorized by the ratio of the quantity of chemical used in a process relative to the chemical’s regulatory threshold quantity. Facilities with a higher number of historical accidents from 2004 to 2020 were considered to be potential locations of higher cumulative burden from additional accidents. </w:t>
      </w:r>
      <w:r>
        <w:rPr>
          <w:rFonts w:ascii="Times New Roman" w:hAnsi="Times New Roman" w:cs="Times New Roman"/>
          <w:bCs/>
        </w:rPr>
        <w:t xml:space="preserve">Program levels are assigned to regulated processes within RMP facilities, </w:t>
      </w:r>
      <w:r w:rsidRPr="008B363D">
        <w:rPr>
          <w:rFonts w:ascii="Times New Roman" w:hAnsi="Times New Roman" w:cs="Times New Roman"/>
          <w:bCs/>
        </w:rPr>
        <w:t>based on the relative potential for public impacts and the level of effort needed to prevent accidents.</w:t>
      </w:r>
      <w:r>
        <w:rPr>
          <w:rFonts w:ascii="Times New Roman" w:hAnsi="Times New Roman" w:cs="Times New Roman"/>
          <w:bCs/>
        </w:rPr>
        <w:t xml:space="preserve"> Facilities with processes classified as Program 3 were considered to be of higher potential risk than facilities with processes classified as Program 1 or 2. </w:t>
      </w:r>
      <w:r w:rsidRPr="00E4318D">
        <w:rPr>
          <w:rFonts w:ascii="Times New Roman" w:hAnsi="Times New Roman" w:cs="Times New Roman"/>
        </w:rPr>
        <w:t xml:space="preserve">For this analysis, each RMP facility was assigned the maximum program level of any of the facility’s processes </w:t>
      </w:r>
      <w:r w:rsidRPr="00683951">
        <w:rPr>
          <w:rFonts w:ascii="Times New Roman" w:hAnsi="Times New Roman" w:cs="Times New Roman"/>
        </w:rPr>
        <w:t>(</w:t>
      </w:r>
      <w:r w:rsidRPr="00D84ED2">
        <w:rPr>
          <w:rFonts w:ascii="Times New Roman" w:hAnsi="Times New Roman" w:cs="Times New Roman"/>
          <w:i/>
          <w:iCs/>
        </w:rPr>
        <w:t>e.g.,</w:t>
      </w:r>
      <w:r w:rsidRPr="00E4318D">
        <w:rPr>
          <w:rFonts w:ascii="Times New Roman" w:hAnsi="Times New Roman" w:cs="Times New Roman"/>
          <w:i/>
          <w:iCs/>
        </w:rPr>
        <w:t xml:space="preserve"> </w:t>
      </w:r>
      <w:r>
        <w:rPr>
          <w:rFonts w:ascii="Times New Roman" w:hAnsi="Times New Roman" w:cs="Times New Roman"/>
        </w:rPr>
        <w:t xml:space="preserve">a </w:t>
      </w:r>
      <w:r w:rsidRPr="00E4318D">
        <w:rPr>
          <w:rFonts w:ascii="Times New Roman" w:hAnsi="Times New Roman" w:cs="Times New Roman"/>
        </w:rPr>
        <w:t xml:space="preserve">facility with level 2 and 3 processes was assigned </w:t>
      </w:r>
      <w:r>
        <w:rPr>
          <w:rFonts w:ascii="Times New Roman" w:hAnsi="Times New Roman" w:cs="Times New Roman"/>
        </w:rPr>
        <w:t>P</w:t>
      </w:r>
      <w:r w:rsidRPr="00E4318D">
        <w:rPr>
          <w:rFonts w:ascii="Times New Roman" w:hAnsi="Times New Roman" w:cs="Times New Roman"/>
        </w:rPr>
        <w:t>rogram 3).</w:t>
      </w:r>
      <w:r>
        <w:rPr>
          <w:rFonts w:ascii="Times New Roman" w:hAnsi="Times New Roman" w:cs="Times New Roman"/>
        </w:rPr>
        <w:t xml:space="preserve"> </w:t>
      </w:r>
      <w:r>
        <w:rPr>
          <w:rFonts w:ascii="Times New Roman" w:hAnsi="Times New Roman" w:cs="Times New Roman"/>
          <w:bCs/>
        </w:rPr>
        <w:t>Similarly, facilities that have large quantities of chemicals in a process can pose a higher risk to the surrounding communities than those that have smaller amounts. This analysis focused on each facility’s maximum ratio between the quantity of a chemical in a process and the chemical’s regulatory threshold.</w:t>
      </w:r>
      <w:r>
        <w:rPr>
          <w:rStyle w:val="FootnoteReference"/>
          <w:rFonts w:ascii="Times New Roman" w:hAnsi="Times New Roman" w:cs="Times New Roman"/>
        </w:rPr>
        <w:footnoteReference w:id="186"/>
      </w:r>
      <w:r>
        <w:rPr>
          <w:rFonts w:ascii="Times New Roman" w:hAnsi="Times New Roman" w:cs="Times New Roman"/>
          <w:bCs/>
        </w:rPr>
        <w:t xml:space="preserve"> </w:t>
      </w:r>
    </w:p>
    <w:p w:rsidR="00887025" w:rsidRPr="000E6E0F" w:rsidP="00887025" w14:paraId="46A8D859" w14:textId="77777777">
      <w:pPr>
        <w:pStyle w:val="BodyText"/>
        <w:rPr>
          <w:rFonts w:ascii="Times New Roman" w:hAnsi="Times New Roman" w:cs="Times New Roman"/>
        </w:rPr>
      </w:pPr>
    </w:p>
    <w:p w:rsidR="00887025" w:rsidRPr="000E6E0F" w:rsidP="00C07306" w14:paraId="5680A1A7" w14:textId="77777777">
      <w:pPr>
        <w:pStyle w:val="Heading2"/>
      </w:pPr>
      <w:bookmarkStart w:id="520" w:name="_Toc98856246"/>
      <w:bookmarkStart w:id="521" w:name="_Toc110502776"/>
      <w:bookmarkStart w:id="522" w:name="_Ref138880511"/>
      <w:bookmarkStart w:id="523" w:name="_Toc144303612"/>
      <w:bookmarkStart w:id="524" w:name="_Ref92286962"/>
      <w:bookmarkStart w:id="525" w:name="_Toc92286721"/>
      <w:r w:rsidRPr="000E6E0F">
        <w:t>9.3 Results</w:t>
      </w:r>
      <w:r>
        <w:t xml:space="preserve"> C</w:t>
      </w:r>
      <w:r w:rsidRPr="004F5191">
        <w:t xml:space="preserve">haracterizing </w:t>
      </w:r>
      <w:r>
        <w:t>B</w:t>
      </w:r>
      <w:r w:rsidRPr="004F5191">
        <w:t xml:space="preserve">aseline </w:t>
      </w:r>
      <w:r>
        <w:t>C</w:t>
      </w:r>
      <w:r w:rsidRPr="004F5191">
        <w:t>onditions</w:t>
      </w:r>
      <w:bookmarkEnd w:id="520"/>
      <w:bookmarkEnd w:id="521"/>
      <w:bookmarkEnd w:id="522"/>
      <w:bookmarkEnd w:id="523"/>
    </w:p>
    <w:bookmarkEnd w:id="524"/>
    <w:bookmarkEnd w:id="525"/>
    <w:p w:rsidR="00887025" w:rsidP="00887025" w14:paraId="1FC65CE9" w14:textId="77777777">
      <w:pPr>
        <w:spacing w:after="0" w:line="240" w:lineRule="auto"/>
        <w:ind w:firstLine="360"/>
        <w:rPr>
          <w:rFonts w:ascii="Times New Roman" w:hAnsi="Times New Roman" w:cs="Times New Roman"/>
        </w:rPr>
      </w:pPr>
      <w:r>
        <w:rPr>
          <w:rFonts w:ascii="Times New Roman" w:hAnsi="Times New Roman" w:cs="Times New Roman"/>
        </w:rPr>
        <w:tab/>
      </w:r>
    </w:p>
    <w:p w:rsidR="00887025" w:rsidP="00887025" w14:paraId="17E716F0" w14:textId="77777777">
      <w:pPr>
        <w:spacing w:after="0" w:line="240" w:lineRule="auto"/>
        <w:ind w:firstLine="720"/>
        <w:rPr>
          <w:rFonts w:ascii="Times New Roman" w:hAnsi="Times New Roman" w:cs="Times New Roman"/>
        </w:rPr>
      </w:pPr>
      <w:r w:rsidRPr="000E6E0F">
        <w:rPr>
          <w:rFonts w:ascii="Times New Roman" w:hAnsi="Times New Roman" w:cs="Times New Roman"/>
        </w:rPr>
        <w:t xml:space="preserve">The </w:t>
      </w:r>
      <w:r>
        <w:rPr>
          <w:rFonts w:ascii="Times New Roman" w:hAnsi="Times New Roman" w:cs="Times New Roman"/>
        </w:rPr>
        <w:t>main proximity-based</w:t>
      </w:r>
      <w:r w:rsidRPr="000E6E0F">
        <w:rPr>
          <w:rFonts w:ascii="Times New Roman" w:hAnsi="Times New Roman" w:cs="Times New Roman"/>
        </w:rPr>
        <w:t xml:space="preserve"> analysis shows that </w:t>
      </w:r>
      <w:r>
        <w:rPr>
          <w:rFonts w:ascii="Times New Roman" w:hAnsi="Times New Roman" w:cs="Times New Roman"/>
        </w:rPr>
        <w:t>a higher proportion of individuals who identify as Black alone (non-Hispanic) or Hispanic or are low-income</w:t>
      </w:r>
      <w:r w:rsidRPr="000E6E0F">
        <w:rPr>
          <w:rFonts w:ascii="Times New Roman" w:hAnsi="Times New Roman" w:cs="Times New Roman"/>
        </w:rPr>
        <w:t xml:space="preserve"> live within </w:t>
      </w:r>
      <w:r>
        <w:rPr>
          <w:rFonts w:ascii="Times New Roman" w:hAnsi="Times New Roman" w:cs="Times New Roman"/>
        </w:rPr>
        <w:t>one and three miles of</w:t>
      </w:r>
      <w:r w:rsidRPr="000E6E0F">
        <w:rPr>
          <w:rFonts w:ascii="Times New Roman" w:hAnsi="Times New Roman" w:cs="Times New Roman"/>
        </w:rPr>
        <w:t xml:space="preserve"> RMP facilities (and thus </w:t>
      </w:r>
      <w:r>
        <w:rPr>
          <w:rFonts w:ascii="Times New Roman" w:hAnsi="Times New Roman" w:cs="Times New Roman"/>
        </w:rPr>
        <w:t xml:space="preserve">are </w:t>
      </w:r>
      <w:r w:rsidRPr="000E6E0F">
        <w:rPr>
          <w:rFonts w:ascii="Times New Roman" w:hAnsi="Times New Roman" w:cs="Times New Roman"/>
        </w:rPr>
        <w:t xml:space="preserve">at </w:t>
      </w:r>
      <w:r>
        <w:rPr>
          <w:rFonts w:ascii="Times New Roman" w:hAnsi="Times New Roman" w:cs="Times New Roman"/>
        </w:rPr>
        <w:t xml:space="preserve">potentially </w:t>
      </w:r>
      <w:r w:rsidRPr="000E6E0F">
        <w:rPr>
          <w:rFonts w:ascii="Times New Roman" w:hAnsi="Times New Roman" w:cs="Times New Roman"/>
        </w:rPr>
        <w:t xml:space="preserve">greater risk) </w:t>
      </w:r>
      <w:r>
        <w:rPr>
          <w:rFonts w:ascii="Times New Roman" w:hAnsi="Times New Roman" w:cs="Times New Roman"/>
        </w:rPr>
        <w:t>compared to the comparison group (Exhibit 9-2)</w:t>
      </w:r>
      <w:r w:rsidRPr="000E6E0F">
        <w:rPr>
          <w:rFonts w:ascii="Times New Roman" w:hAnsi="Times New Roman" w:cs="Times New Roman"/>
        </w:rPr>
        <w:t>.</w:t>
      </w:r>
      <w:r w:rsidRPr="00EC7E85">
        <w:rPr>
          <w:rFonts w:ascii="Times New Roman" w:hAnsi="Times New Roman" w:cs="Times New Roman"/>
        </w:rPr>
        <w:t xml:space="preserve"> </w:t>
      </w:r>
      <w:r>
        <w:rPr>
          <w:rFonts w:ascii="Times New Roman" w:hAnsi="Times New Roman" w:cs="Times New Roman"/>
        </w:rPr>
        <w:t>For example, the percentages of the population within one mile of RMP facilities that identifies as Black alone (non-Hispanic) or Hispanic are 15.6 percent and 27.6 percent, respectively, compared to 11.8 percent and 17.7 percent of the U.S. population comparison group.</w:t>
      </w:r>
      <w:r>
        <w:rPr>
          <w:rStyle w:val="FootnoteReference"/>
          <w:rFonts w:ascii="Times New Roman" w:hAnsi="Times New Roman" w:cs="Times New Roman"/>
        </w:rPr>
        <w:footnoteReference w:id="187"/>
      </w:r>
      <w:r w:rsidRPr="000E6E0F">
        <w:rPr>
          <w:rFonts w:ascii="Times New Roman" w:hAnsi="Times New Roman" w:cs="Times New Roman"/>
        </w:rPr>
        <w:t xml:space="preserve"> </w:t>
      </w:r>
      <w:r>
        <w:rPr>
          <w:rFonts w:ascii="Times New Roman" w:hAnsi="Times New Roman" w:cs="Times New Roman"/>
        </w:rPr>
        <w:t xml:space="preserve">Likewise, 38.0 percent of individuals living within one-mile of an RMP facility are low-income compared to 28.5 percent of the U.S. population comparison group. </w:t>
      </w:r>
    </w:p>
    <w:p w:rsidR="00887025" w:rsidP="00887025" w14:paraId="1767A2D2" w14:textId="77777777">
      <w:pPr>
        <w:spacing w:after="0" w:line="240" w:lineRule="auto"/>
        <w:ind w:firstLine="360"/>
        <w:rPr>
          <w:rFonts w:ascii="Times New Roman" w:hAnsi="Times New Roman" w:cs="Times New Roman"/>
        </w:rPr>
      </w:pPr>
    </w:p>
    <w:p w:rsidR="00887025" w:rsidRPr="000E6E0F" w:rsidP="00887025" w14:paraId="7DDE1D83" w14:textId="77777777">
      <w:pPr>
        <w:spacing w:after="0" w:line="240" w:lineRule="auto"/>
        <w:ind w:firstLine="360"/>
        <w:rPr>
          <w:rFonts w:ascii="Times New Roman" w:hAnsi="Times New Roman" w:cs="Times New Roman"/>
        </w:rPr>
      </w:pPr>
      <w:r>
        <w:rPr>
          <w:rFonts w:ascii="Times New Roman" w:hAnsi="Times New Roman" w:cs="Times New Roman"/>
        </w:rPr>
        <w:t xml:space="preserve">Similar patterns emerge when examining race, ethnicity, and poverty status of communities living near the subset of </w:t>
      </w:r>
      <w:r w:rsidRPr="000E6E0F">
        <w:rPr>
          <w:rFonts w:ascii="Times New Roman" w:hAnsi="Times New Roman" w:cs="Times New Roman"/>
        </w:rPr>
        <w:t>facilities that experienced a</w:t>
      </w:r>
      <w:r>
        <w:rPr>
          <w:rFonts w:ascii="Times New Roman" w:hAnsi="Times New Roman" w:cs="Times New Roman"/>
        </w:rPr>
        <w:t>t least one</w:t>
      </w:r>
      <w:r w:rsidRPr="000E6E0F">
        <w:rPr>
          <w:rFonts w:ascii="Times New Roman" w:hAnsi="Times New Roman" w:cs="Times New Roman"/>
        </w:rPr>
        <w:t xml:space="preserve"> accident between 2004 and 2020</w:t>
      </w:r>
      <w:r>
        <w:rPr>
          <w:rFonts w:ascii="Times New Roman" w:hAnsi="Times New Roman" w:cs="Times New Roman"/>
        </w:rPr>
        <w:t xml:space="preserve"> (Exhibit 9-2). In each case the percentages are higher than the analysis of the full universe of active facilities (</w:t>
      </w:r>
      <w:r w:rsidRPr="005C1D44">
        <w:rPr>
          <w:rFonts w:ascii="Times New Roman" w:hAnsi="Times New Roman" w:cs="Times New Roman"/>
          <w:i/>
          <w:iCs/>
        </w:rPr>
        <w:t>i.e.,</w:t>
      </w:r>
      <w:r>
        <w:rPr>
          <w:rFonts w:ascii="Times New Roman" w:hAnsi="Times New Roman" w:cs="Times New Roman"/>
        </w:rPr>
        <w:t xml:space="preserve"> 18.3 percent Black, non-Hispanic individuals, 31.9 percent Hispanic individuals, and 40.8 percent low-income individuals)</w:t>
      </w:r>
      <w:r w:rsidRPr="000E6E0F">
        <w:rPr>
          <w:rFonts w:ascii="Times New Roman" w:hAnsi="Times New Roman" w:cs="Times New Roman"/>
        </w:rPr>
        <w:t>.</w:t>
      </w:r>
      <w:r>
        <w:rPr>
          <w:rFonts w:ascii="Times New Roman" w:hAnsi="Times New Roman" w:cs="Times New Roman"/>
        </w:rPr>
        <w:t xml:space="preserve"> This pattern also persists when evaluating communities in proximity to RMP facilities with processes categorized under NAICS codes 324 and 325 and RMP facilities, including RMP facilities within that subset that have had at least one RMP-reportable accident (Exhibit 9-3). </w:t>
      </w:r>
    </w:p>
    <w:p w:rsidR="00887025" w:rsidP="00887025" w14:paraId="4D1F38E1" w14:textId="77777777">
      <w:pPr>
        <w:pStyle w:val="BodyText"/>
        <w:rPr>
          <w:rFonts w:ascii="Times New Roman" w:hAnsi="Times New Roman" w:cs="Times New Roman"/>
        </w:rPr>
        <w:sectPr w:rsidSect="005379A2">
          <w:footerReference w:type="default" r:id="rId27"/>
          <w:pgSz w:w="12240" w:h="15840"/>
          <w:pgMar w:top="1440" w:right="1440" w:bottom="1440" w:left="1440" w:header="720" w:footer="720" w:gutter="0"/>
          <w:cols w:space="720"/>
          <w:docGrid w:linePitch="360"/>
        </w:sectPr>
      </w:pPr>
    </w:p>
    <w:p w:rsidR="00887025" w:rsidRPr="00732D07" w:rsidP="00887025" w14:paraId="41D5E72E" w14:textId="77777777">
      <w:pPr>
        <w:pStyle w:val="BodyText"/>
        <w:jc w:val="center"/>
        <w:rPr>
          <w:rFonts w:ascii="Times New Roman" w:hAnsi="Times New Roman" w:cs="Times New Roman"/>
        </w:rPr>
      </w:pPr>
      <w:bookmarkStart w:id="526" w:name="_Toc98856247"/>
      <w:bookmarkStart w:id="527" w:name="_Toc110502777"/>
      <w:bookmarkEnd w:id="519"/>
      <w:r w:rsidRPr="00921681">
        <w:rPr>
          <w:rFonts w:ascii="Times New Roman" w:hAnsi="Times New Roman" w:cs="Times New Roman"/>
          <w:b/>
        </w:rPr>
        <w:t>Exhibit 9-</w:t>
      </w:r>
      <w:r>
        <w:rPr>
          <w:rFonts w:ascii="Times New Roman" w:hAnsi="Times New Roman" w:cs="Times New Roman"/>
          <w:b/>
        </w:rPr>
        <w:t>2</w:t>
      </w:r>
      <w:r w:rsidRPr="00921681">
        <w:rPr>
          <w:rFonts w:ascii="Times New Roman" w:hAnsi="Times New Roman" w:cs="Times New Roman"/>
          <w:b/>
        </w:rPr>
        <w:t>. Demographic</w:t>
      </w:r>
      <w:r>
        <w:rPr>
          <w:rFonts w:ascii="Times New Roman" w:hAnsi="Times New Roman" w:cs="Times New Roman"/>
          <w:b/>
        </w:rPr>
        <w:t xml:space="preserve"> and Socioeconomic</w:t>
      </w:r>
      <w:r w:rsidRPr="00921681">
        <w:rPr>
          <w:rFonts w:ascii="Times New Roman" w:hAnsi="Times New Roman" w:cs="Times New Roman"/>
          <w:b/>
        </w:rPr>
        <w:t xml:space="preserve"> Composition for RMP Fenceline Communities</w:t>
      </w:r>
    </w:p>
    <w:p w:rsidR="00887025" w:rsidP="00887025" w14:paraId="4612A893" w14:textId="77777777">
      <w:pPr>
        <w:pStyle w:val="BodyText"/>
        <w:jc w:val="both"/>
        <w:rPr>
          <w:rFonts w:ascii="Times New Roman" w:hAnsi="Times New Roman" w:cs="Times New Roman"/>
        </w:rPr>
      </w:pPr>
    </w:p>
    <w:tbl>
      <w:tblPr>
        <w:tblStyle w:val="TableGrid"/>
        <w:tblW w:w="14596" w:type="dxa"/>
        <w:jc w:val="center"/>
        <w:tblLook w:val="04A0"/>
      </w:tblPr>
      <w:tblGrid>
        <w:gridCol w:w="961"/>
        <w:gridCol w:w="983"/>
        <w:gridCol w:w="950"/>
        <w:gridCol w:w="1216"/>
        <w:gridCol w:w="1184"/>
        <w:gridCol w:w="1184"/>
        <w:gridCol w:w="1184"/>
        <w:gridCol w:w="1322"/>
        <w:gridCol w:w="1192"/>
        <w:gridCol w:w="1184"/>
        <w:gridCol w:w="1796"/>
        <w:gridCol w:w="1440"/>
      </w:tblGrid>
      <w:tr w14:paraId="4248A369" w14:textId="77777777">
        <w:tblPrEx>
          <w:tblW w:w="14596" w:type="dxa"/>
          <w:jc w:val="center"/>
          <w:tblLook w:val="04A0"/>
        </w:tblPrEx>
        <w:trPr>
          <w:trHeight w:val="300"/>
          <w:jc w:val="center"/>
        </w:trPr>
        <w:tc>
          <w:tcPr>
            <w:tcW w:w="961" w:type="dxa"/>
            <w:tcBorders>
              <w:bottom w:val="single" w:sz="4" w:space="0" w:color="auto"/>
            </w:tcBorders>
            <w:shd w:val="clear" w:color="auto" w:fill="BFBFBF" w:themeFill="background1" w:themeFillShade="BF"/>
            <w:vAlign w:val="center"/>
          </w:tcPr>
          <w:p w:rsidR="00887025" w:rsidRPr="00460CCC" w14:paraId="54D9F993" w14:textId="77777777">
            <w:pPr>
              <w:spacing w:line="240" w:lineRule="auto"/>
              <w:jc w:val="center"/>
              <w:rPr>
                <w:b/>
                <w:color w:val="000000"/>
              </w:rPr>
            </w:pPr>
          </w:p>
        </w:tc>
        <w:tc>
          <w:tcPr>
            <w:tcW w:w="983" w:type="dxa"/>
            <w:tcBorders>
              <w:bottom w:val="single" w:sz="4" w:space="0" w:color="auto"/>
            </w:tcBorders>
            <w:shd w:val="clear" w:color="auto" w:fill="BFBFBF" w:themeFill="background1" w:themeFillShade="BF"/>
            <w:vAlign w:val="center"/>
          </w:tcPr>
          <w:p w:rsidR="00887025" w:rsidRPr="00460CCC" w14:paraId="49486501" w14:textId="77777777">
            <w:pPr>
              <w:spacing w:line="240" w:lineRule="auto"/>
              <w:jc w:val="center"/>
              <w:rPr>
                <w:rFonts w:eastAsia="Calibri"/>
                <w:b/>
              </w:rPr>
            </w:pPr>
            <w:r>
              <w:rPr>
                <w:rFonts w:eastAsia="Calibri"/>
                <w:b/>
              </w:rPr>
              <w:t>Number of Facilities</w:t>
            </w:r>
          </w:p>
        </w:tc>
        <w:tc>
          <w:tcPr>
            <w:tcW w:w="950" w:type="dxa"/>
            <w:tcBorders>
              <w:bottom w:val="single" w:sz="4" w:space="0" w:color="auto"/>
            </w:tcBorders>
            <w:shd w:val="clear" w:color="auto" w:fill="BFBFBF" w:themeFill="background1" w:themeFillShade="BF"/>
            <w:vAlign w:val="center"/>
          </w:tcPr>
          <w:p w:rsidR="00887025" w:rsidRPr="00460CCC" w14:paraId="7957A0B7" w14:textId="77777777">
            <w:pPr>
              <w:spacing w:line="240" w:lineRule="auto"/>
              <w:jc w:val="center"/>
              <w:rPr>
                <w:b/>
                <w:color w:val="000000"/>
              </w:rPr>
            </w:pPr>
            <w:r w:rsidRPr="00460CCC">
              <w:rPr>
                <w:rFonts w:eastAsia="Calibri"/>
                <w:b/>
              </w:rPr>
              <w:t xml:space="preserve">Buffer </w:t>
            </w:r>
            <w:r>
              <w:rPr>
                <w:rFonts w:eastAsia="Calibri"/>
                <w:b/>
              </w:rPr>
              <w:t>D</w:t>
            </w:r>
            <w:r w:rsidRPr="00460CCC">
              <w:rPr>
                <w:rFonts w:eastAsia="Calibri"/>
                <w:b/>
              </w:rPr>
              <w:t>istance (</w:t>
            </w:r>
            <w:r>
              <w:rPr>
                <w:rFonts w:eastAsia="Calibri"/>
                <w:b/>
              </w:rPr>
              <w:t>M</w:t>
            </w:r>
            <w:r w:rsidRPr="00460CCC">
              <w:rPr>
                <w:rFonts w:eastAsia="Calibri"/>
                <w:b/>
              </w:rPr>
              <w:t>iles)</w:t>
            </w:r>
          </w:p>
        </w:tc>
        <w:tc>
          <w:tcPr>
            <w:tcW w:w="1216" w:type="dxa"/>
            <w:tcBorders>
              <w:bottom w:val="single" w:sz="4" w:space="0" w:color="auto"/>
            </w:tcBorders>
            <w:shd w:val="clear" w:color="auto" w:fill="BFBFBF" w:themeFill="background1" w:themeFillShade="BF"/>
            <w:vAlign w:val="center"/>
          </w:tcPr>
          <w:p w:rsidR="00887025" w:rsidRPr="00460CCC" w14:paraId="31BD8604" w14:textId="77777777">
            <w:pPr>
              <w:spacing w:line="240" w:lineRule="auto"/>
              <w:jc w:val="center"/>
              <w:rPr>
                <w:b/>
                <w:color w:val="000000"/>
              </w:rPr>
            </w:pPr>
            <w:r w:rsidRPr="00460CCC">
              <w:rPr>
                <w:rFonts w:eastAsia="Calibri"/>
                <w:b/>
              </w:rPr>
              <w:t>Total Population</w:t>
            </w:r>
          </w:p>
        </w:tc>
        <w:tc>
          <w:tcPr>
            <w:tcW w:w="1184" w:type="dxa"/>
            <w:tcBorders>
              <w:bottom w:val="single" w:sz="4" w:space="0" w:color="auto"/>
            </w:tcBorders>
            <w:shd w:val="clear" w:color="auto" w:fill="BFBFBF" w:themeFill="background1" w:themeFillShade="BF"/>
            <w:noWrap/>
            <w:vAlign w:val="center"/>
          </w:tcPr>
          <w:p w:rsidR="00887025" w:rsidRPr="00460CCC" w14:paraId="4ECB12E8" w14:textId="77777777">
            <w:pPr>
              <w:spacing w:line="240" w:lineRule="auto"/>
              <w:jc w:val="center"/>
              <w:rPr>
                <w:b/>
                <w:color w:val="000000"/>
              </w:rPr>
            </w:pPr>
            <w:r w:rsidRPr="00460CCC">
              <w:rPr>
                <w:b/>
                <w:lang w:bidi="en-US"/>
              </w:rPr>
              <w:t>Percentage of Individuals that Identify as Black or African American Alone (non</w:t>
            </w:r>
            <w:r w:rsidRPr="00460CCC">
              <w:rPr>
                <w:b/>
              </w:rPr>
              <w:t>-</w:t>
            </w:r>
            <w:r w:rsidRPr="00460CCC">
              <w:rPr>
                <w:b/>
                <w:lang w:bidi="en-US"/>
              </w:rPr>
              <w:t>Hispanic)</w:t>
            </w:r>
          </w:p>
        </w:tc>
        <w:tc>
          <w:tcPr>
            <w:tcW w:w="1184" w:type="dxa"/>
            <w:tcBorders>
              <w:bottom w:val="single" w:sz="4" w:space="0" w:color="auto"/>
            </w:tcBorders>
            <w:shd w:val="clear" w:color="auto" w:fill="BFBFBF" w:themeFill="background1" w:themeFillShade="BF"/>
            <w:noWrap/>
            <w:vAlign w:val="center"/>
          </w:tcPr>
          <w:p w:rsidR="00887025" w:rsidRPr="00460CCC" w14:paraId="5FA124BF" w14:textId="77777777">
            <w:pPr>
              <w:spacing w:line="240" w:lineRule="auto"/>
              <w:jc w:val="center"/>
              <w:rPr>
                <w:b/>
                <w:color w:val="000000"/>
              </w:rPr>
            </w:pPr>
            <w:r w:rsidRPr="00460CCC">
              <w:rPr>
                <w:b/>
                <w:lang w:bidi="en-US"/>
              </w:rPr>
              <w:t>Percentage of Individuals that Identify as American Indian and Alaska Native Alone (non</w:t>
            </w:r>
            <w:r w:rsidRPr="00460CCC">
              <w:rPr>
                <w:b/>
              </w:rPr>
              <w:t>-</w:t>
            </w:r>
            <w:r w:rsidRPr="00460CCC">
              <w:rPr>
                <w:b/>
                <w:lang w:bidi="en-US"/>
              </w:rPr>
              <w:t>Hispanic)</w:t>
            </w:r>
          </w:p>
        </w:tc>
        <w:tc>
          <w:tcPr>
            <w:tcW w:w="1184" w:type="dxa"/>
            <w:tcBorders>
              <w:bottom w:val="single" w:sz="4" w:space="0" w:color="auto"/>
            </w:tcBorders>
            <w:shd w:val="clear" w:color="auto" w:fill="BFBFBF" w:themeFill="background1" w:themeFillShade="BF"/>
            <w:noWrap/>
            <w:vAlign w:val="center"/>
          </w:tcPr>
          <w:p w:rsidR="00887025" w:rsidRPr="00460CCC" w14:paraId="440BA4C1" w14:textId="77777777">
            <w:pPr>
              <w:spacing w:line="240" w:lineRule="auto"/>
              <w:jc w:val="center"/>
              <w:rPr>
                <w:b/>
                <w:color w:val="000000"/>
              </w:rPr>
            </w:pPr>
            <w:r w:rsidRPr="00460CCC">
              <w:rPr>
                <w:b/>
                <w:lang w:bidi="en-US"/>
              </w:rPr>
              <w:t>Percentage of Individuals that Identify as Asian Alone (non</w:t>
            </w:r>
            <w:r w:rsidRPr="00460CCC">
              <w:rPr>
                <w:b/>
              </w:rPr>
              <w:t>-</w:t>
            </w:r>
            <w:r w:rsidRPr="00460CCC">
              <w:rPr>
                <w:b/>
                <w:lang w:bidi="en-US"/>
              </w:rPr>
              <w:t>Hispanic)</w:t>
            </w:r>
          </w:p>
        </w:tc>
        <w:tc>
          <w:tcPr>
            <w:tcW w:w="1322" w:type="dxa"/>
            <w:tcBorders>
              <w:bottom w:val="single" w:sz="4" w:space="0" w:color="auto"/>
            </w:tcBorders>
            <w:shd w:val="clear" w:color="auto" w:fill="BFBFBF" w:themeFill="background1" w:themeFillShade="BF"/>
            <w:noWrap/>
            <w:vAlign w:val="center"/>
          </w:tcPr>
          <w:p w:rsidR="00887025" w:rsidRPr="00460CCC" w14:paraId="0DBC5323" w14:textId="77777777">
            <w:pPr>
              <w:spacing w:line="240" w:lineRule="auto"/>
              <w:jc w:val="center"/>
              <w:rPr>
                <w:b/>
                <w:color w:val="000000"/>
              </w:rPr>
            </w:pPr>
            <w:r w:rsidRPr="00460CCC">
              <w:rPr>
                <w:b/>
                <w:lang w:bidi="en-US"/>
              </w:rPr>
              <w:t>Percentage of Individuals that Identify as Native Hawaiian and Other Pacific Islander Alone (non</w:t>
            </w:r>
            <w:r w:rsidRPr="00460CCC">
              <w:rPr>
                <w:b/>
              </w:rPr>
              <w:t>-</w:t>
            </w:r>
            <w:r w:rsidRPr="00460CCC">
              <w:rPr>
                <w:b/>
                <w:lang w:bidi="en-US"/>
              </w:rPr>
              <w:t>Hispanic)</w:t>
            </w:r>
          </w:p>
        </w:tc>
        <w:tc>
          <w:tcPr>
            <w:tcW w:w="1192" w:type="dxa"/>
            <w:tcBorders>
              <w:bottom w:val="single" w:sz="4" w:space="0" w:color="auto"/>
            </w:tcBorders>
            <w:shd w:val="clear" w:color="auto" w:fill="BFBFBF" w:themeFill="background1" w:themeFillShade="BF"/>
            <w:noWrap/>
            <w:vAlign w:val="center"/>
          </w:tcPr>
          <w:p w:rsidR="00887025" w:rsidRPr="00460CCC" w14:paraId="0CCE2316" w14:textId="77777777">
            <w:pPr>
              <w:spacing w:line="240" w:lineRule="auto"/>
              <w:jc w:val="center"/>
              <w:rPr>
                <w:b/>
                <w:color w:val="000000"/>
              </w:rPr>
            </w:pPr>
            <w:r w:rsidRPr="00460CCC">
              <w:rPr>
                <w:b/>
                <w:lang w:bidi="en-US"/>
              </w:rPr>
              <w:t>Percentage of Individuals that Identify as Some Other Race Alone (non</w:t>
            </w:r>
            <w:r w:rsidRPr="00460CCC">
              <w:rPr>
                <w:b/>
              </w:rPr>
              <w:t>-</w:t>
            </w:r>
            <w:r w:rsidRPr="00460CCC">
              <w:rPr>
                <w:b/>
                <w:lang w:bidi="en-US"/>
              </w:rPr>
              <w:t>Hispanic)</w:t>
            </w:r>
          </w:p>
        </w:tc>
        <w:tc>
          <w:tcPr>
            <w:tcW w:w="1184" w:type="dxa"/>
            <w:tcBorders>
              <w:bottom w:val="single" w:sz="4" w:space="0" w:color="auto"/>
            </w:tcBorders>
            <w:shd w:val="clear" w:color="auto" w:fill="BFBFBF" w:themeFill="background1" w:themeFillShade="BF"/>
            <w:noWrap/>
            <w:vAlign w:val="center"/>
          </w:tcPr>
          <w:p w:rsidR="00887025" w:rsidRPr="00460CCC" w14:paraId="5B24AD66" w14:textId="77777777">
            <w:pPr>
              <w:spacing w:line="240" w:lineRule="auto"/>
              <w:jc w:val="center"/>
              <w:rPr>
                <w:b/>
                <w:color w:val="000000"/>
              </w:rPr>
            </w:pPr>
            <w:r w:rsidRPr="00460CCC">
              <w:rPr>
                <w:b/>
                <w:lang w:bidi="en-US"/>
              </w:rPr>
              <w:t>Percentage of Individuals that Identify as Two or More Races</w:t>
            </w:r>
          </w:p>
        </w:tc>
        <w:tc>
          <w:tcPr>
            <w:tcW w:w="1796" w:type="dxa"/>
            <w:tcBorders>
              <w:bottom w:val="single" w:sz="4" w:space="0" w:color="auto"/>
            </w:tcBorders>
            <w:shd w:val="clear" w:color="auto" w:fill="BFBFBF" w:themeFill="background1" w:themeFillShade="BF"/>
            <w:noWrap/>
            <w:vAlign w:val="center"/>
          </w:tcPr>
          <w:p w:rsidR="00887025" w:rsidRPr="00460CCC" w14:paraId="291D1AEA" w14:textId="77777777">
            <w:pPr>
              <w:spacing w:line="240" w:lineRule="auto"/>
              <w:jc w:val="center"/>
              <w:rPr>
                <w:b/>
                <w:color w:val="000000"/>
              </w:rPr>
            </w:pPr>
            <w:r w:rsidRPr="00460CCC">
              <w:rPr>
                <w:b/>
                <w:color w:val="000000"/>
              </w:rPr>
              <w:t xml:space="preserve">Percentage of Individuals that Identify as Hispanic or Latino </w:t>
            </w:r>
          </w:p>
        </w:tc>
        <w:tc>
          <w:tcPr>
            <w:tcW w:w="1440" w:type="dxa"/>
            <w:tcBorders>
              <w:bottom w:val="single" w:sz="4" w:space="0" w:color="auto"/>
            </w:tcBorders>
            <w:shd w:val="clear" w:color="auto" w:fill="BFBFBF" w:themeFill="background1" w:themeFillShade="BF"/>
            <w:vAlign w:val="center"/>
          </w:tcPr>
          <w:p w:rsidR="00887025" w:rsidRPr="00460CCC" w14:paraId="5C9E5C52" w14:textId="77777777">
            <w:pPr>
              <w:spacing w:line="240" w:lineRule="auto"/>
              <w:jc w:val="center"/>
              <w:rPr>
                <w:b/>
                <w:color w:val="000000"/>
              </w:rPr>
            </w:pPr>
            <w:r>
              <w:rPr>
                <w:b/>
                <w:color w:val="000000"/>
              </w:rPr>
              <w:t>Percentage of Individuals</w:t>
            </w:r>
            <w:r w:rsidRPr="00205242">
              <w:rPr>
                <w:b/>
                <w:color w:val="000000"/>
              </w:rPr>
              <w:t xml:space="preserve"> </w:t>
            </w:r>
            <w:r>
              <w:rPr>
                <w:b/>
                <w:color w:val="000000"/>
              </w:rPr>
              <w:t>E</w:t>
            </w:r>
            <w:r w:rsidRPr="003C56CB">
              <w:rPr>
                <w:b/>
                <w:color w:val="000000"/>
              </w:rPr>
              <w:t xml:space="preserve">arning </w:t>
            </w:r>
            <w:r>
              <w:rPr>
                <w:b/>
                <w:color w:val="000000"/>
              </w:rPr>
              <w:t>L</w:t>
            </w:r>
            <w:r w:rsidRPr="003C56CB">
              <w:rPr>
                <w:b/>
                <w:color w:val="000000"/>
              </w:rPr>
              <w:t xml:space="preserve">ess </w:t>
            </w:r>
            <w:r>
              <w:rPr>
                <w:b/>
                <w:color w:val="000000"/>
              </w:rPr>
              <w:t>T</w:t>
            </w:r>
            <w:r w:rsidRPr="003C56CB">
              <w:rPr>
                <w:b/>
                <w:color w:val="000000"/>
              </w:rPr>
              <w:t xml:space="preserve">han or </w:t>
            </w:r>
            <w:r>
              <w:rPr>
                <w:b/>
                <w:color w:val="000000"/>
              </w:rPr>
              <w:t>E</w:t>
            </w:r>
            <w:r w:rsidRPr="003C56CB">
              <w:rPr>
                <w:b/>
                <w:color w:val="000000"/>
              </w:rPr>
              <w:t xml:space="preserve">qual to </w:t>
            </w:r>
            <w:r>
              <w:rPr>
                <w:b/>
                <w:color w:val="000000"/>
              </w:rPr>
              <w:t>T</w:t>
            </w:r>
            <w:r w:rsidRPr="003C56CB">
              <w:rPr>
                <w:b/>
                <w:color w:val="000000"/>
              </w:rPr>
              <w:t xml:space="preserve">wice the </w:t>
            </w:r>
            <w:r>
              <w:rPr>
                <w:b/>
                <w:color w:val="000000"/>
              </w:rPr>
              <w:t>F</w:t>
            </w:r>
            <w:r w:rsidRPr="003C56CB">
              <w:rPr>
                <w:b/>
                <w:color w:val="000000"/>
              </w:rPr>
              <w:t xml:space="preserve">ederal </w:t>
            </w:r>
            <w:r>
              <w:rPr>
                <w:b/>
                <w:color w:val="000000"/>
              </w:rPr>
              <w:t>P</w:t>
            </w:r>
            <w:r w:rsidRPr="003C56CB">
              <w:rPr>
                <w:b/>
                <w:color w:val="000000"/>
              </w:rPr>
              <w:t xml:space="preserve">overty </w:t>
            </w:r>
            <w:r>
              <w:rPr>
                <w:b/>
                <w:color w:val="000000"/>
              </w:rPr>
              <w:t>L</w:t>
            </w:r>
            <w:r w:rsidRPr="003C56CB">
              <w:rPr>
                <w:b/>
                <w:color w:val="000000"/>
              </w:rPr>
              <w:t>eve</w:t>
            </w:r>
            <w:r>
              <w:rPr>
                <w:b/>
                <w:color w:val="000000"/>
              </w:rPr>
              <w:t>l</w:t>
            </w:r>
          </w:p>
        </w:tc>
      </w:tr>
      <w:tr w14:paraId="6F8F1E92" w14:textId="77777777">
        <w:tblPrEx>
          <w:tblW w:w="14596" w:type="dxa"/>
          <w:jc w:val="center"/>
          <w:tblLook w:val="04A0"/>
        </w:tblPrEx>
        <w:trPr>
          <w:trHeight w:val="300"/>
          <w:jc w:val="center"/>
        </w:trPr>
        <w:tc>
          <w:tcPr>
            <w:tcW w:w="961" w:type="dxa"/>
            <w:vMerge w:val="restart"/>
            <w:tcBorders>
              <w:top w:val="single" w:sz="12" w:space="0" w:color="auto"/>
            </w:tcBorders>
            <w:shd w:val="clear" w:color="auto" w:fill="auto"/>
            <w:vAlign w:val="center"/>
          </w:tcPr>
          <w:p w:rsidR="00887025" w:rsidRPr="00460CCC" w14:paraId="77B1C304" w14:textId="77777777">
            <w:pPr>
              <w:spacing w:line="240" w:lineRule="auto"/>
              <w:rPr>
                <w:b/>
                <w:color w:val="000000"/>
              </w:rPr>
            </w:pPr>
            <w:r w:rsidRPr="00460CCC">
              <w:rPr>
                <w:color w:val="000000"/>
              </w:rPr>
              <w:t>Facilities with accidents 2004-2020</w:t>
            </w:r>
          </w:p>
        </w:tc>
        <w:tc>
          <w:tcPr>
            <w:tcW w:w="983" w:type="dxa"/>
            <w:vMerge w:val="restart"/>
            <w:tcBorders>
              <w:top w:val="single" w:sz="12" w:space="0" w:color="auto"/>
            </w:tcBorders>
            <w:vAlign w:val="center"/>
          </w:tcPr>
          <w:p w:rsidR="00887025" w:rsidRPr="00064E00" w14:paraId="7993626A" w14:textId="77777777">
            <w:pPr>
              <w:spacing w:line="240" w:lineRule="auto"/>
              <w:jc w:val="center"/>
              <w:rPr>
                <w:rFonts w:eastAsia="Calibri"/>
                <w:bCs/>
              </w:rPr>
            </w:pPr>
            <w:r>
              <w:rPr>
                <w:rFonts w:eastAsia="Calibri"/>
                <w:bCs/>
              </w:rPr>
              <w:t>1,487</w:t>
            </w:r>
          </w:p>
        </w:tc>
        <w:tc>
          <w:tcPr>
            <w:tcW w:w="950" w:type="dxa"/>
            <w:tcBorders>
              <w:top w:val="single" w:sz="12" w:space="0" w:color="auto"/>
            </w:tcBorders>
            <w:shd w:val="clear" w:color="auto" w:fill="auto"/>
            <w:vAlign w:val="center"/>
          </w:tcPr>
          <w:p w:rsidR="00887025" w:rsidRPr="00064E00" w14:paraId="2633875A" w14:textId="77777777">
            <w:pPr>
              <w:spacing w:line="240" w:lineRule="auto"/>
              <w:jc w:val="center"/>
              <w:rPr>
                <w:rFonts w:eastAsia="Calibri"/>
                <w:bCs/>
              </w:rPr>
            </w:pPr>
            <w:r w:rsidRPr="00064E00">
              <w:rPr>
                <w:rFonts w:eastAsia="Calibri"/>
                <w:bCs/>
              </w:rPr>
              <w:t>1</w:t>
            </w:r>
          </w:p>
        </w:tc>
        <w:tc>
          <w:tcPr>
            <w:tcW w:w="1216" w:type="dxa"/>
            <w:tcBorders>
              <w:top w:val="single" w:sz="12" w:space="0" w:color="auto"/>
            </w:tcBorders>
            <w:shd w:val="clear" w:color="auto" w:fill="auto"/>
            <w:vAlign w:val="center"/>
          </w:tcPr>
          <w:p w:rsidR="00887025" w14:paraId="21DC5180" w14:textId="77777777">
            <w:pPr>
              <w:spacing w:line="240" w:lineRule="auto"/>
              <w:jc w:val="center"/>
              <w:rPr>
                <w:rFonts w:eastAsia="Calibri"/>
                <w:b/>
              </w:rPr>
            </w:pPr>
            <w:r w:rsidRPr="00460CCC">
              <w:rPr>
                <w:color w:val="000000"/>
              </w:rPr>
              <w:t>7,453,862</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D36ABA" w14:paraId="1C2F721F" w14:textId="77777777">
            <w:pPr>
              <w:spacing w:line="240" w:lineRule="auto"/>
              <w:jc w:val="center"/>
              <w:rPr>
                <w:b/>
                <w:bCs/>
                <w:lang w:bidi="en-US"/>
              </w:rPr>
            </w:pPr>
            <w:r w:rsidRPr="00D36ABA">
              <w:rPr>
                <w:b/>
                <w:bCs/>
                <w:color w:val="000000"/>
              </w:rPr>
              <w:t xml:space="preserve"> 18.3%</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CD157D" w14:paraId="6339C1D6" w14:textId="77777777">
            <w:pPr>
              <w:spacing w:line="240" w:lineRule="auto"/>
              <w:jc w:val="center"/>
              <w:rPr>
                <w:color w:val="000000"/>
              </w:rPr>
            </w:pPr>
            <w:r w:rsidRPr="00460CCC">
              <w:rPr>
                <w:color w:val="000000"/>
              </w:rPr>
              <w:t>0.4%</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14:paraId="39CE1FE2" w14:textId="77777777">
            <w:pPr>
              <w:spacing w:line="240" w:lineRule="auto"/>
              <w:jc w:val="center"/>
              <w:rPr>
                <w:b/>
                <w:lang w:bidi="en-US"/>
              </w:rPr>
            </w:pPr>
            <w:r w:rsidRPr="00460CCC">
              <w:rPr>
                <w:color w:val="000000"/>
              </w:rPr>
              <w:t>4.6%</w:t>
            </w:r>
          </w:p>
        </w:tc>
        <w:tc>
          <w:tcPr>
            <w:tcW w:w="132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CD157D" w14:paraId="33AA0595" w14:textId="77777777">
            <w:pPr>
              <w:spacing w:line="240" w:lineRule="auto"/>
              <w:jc w:val="center"/>
              <w:rPr>
                <w:color w:val="000000"/>
              </w:rPr>
            </w:pPr>
            <w:r w:rsidRPr="00460CCC">
              <w:rPr>
                <w:color w:val="000000"/>
              </w:rPr>
              <w:t>0.2%</w:t>
            </w:r>
          </w:p>
        </w:tc>
        <w:tc>
          <w:tcPr>
            <w:tcW w:w="119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14:paraId="1CA4EEDC" w14:textId="77777777">
            <w:pPr>
              <w:spacing w:line="240" w:lineRule="auto"/>
              <w:jc w:val="center"/>
              <w:rPr>
                <w:b/>
                <w:lang w:bidi="en-US"/>
              </w:rPr>
            </w:pPr>
            <w:r w:rsidRPr="00460CCC">
              <w:rPr>
                <w:color w:val="000000"/>
              </w:rPr>
              <w:t>0.3%</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14:paraId="7E6C3D91" w14:textId="77777777">
            <w:pPr>
              <w:spacing w:line="240" w:lineRule="auto"/>
              <w:jc w:val="center"/>
              <w:rPr>
                <w:b/>
                <w:lang w:bidi="en-US"/>
              </w:rPr>
            </w:pPr>
            <w:r w:rsidRPr="00460CCC">
              <w:rPr>
                <w:color w:val="000000"/>
              </w:rPr>
              <w:t>2.8%</w:t>
            </w:r>
          </w:p>
        </w:tc>
        <w:tc>
          <w:tcPr>
            <w:tcW w:w="1796"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CD157D" w14:paraId="1982E71A" w14:textId="77777777">
            <w:pPr>
              <w:spacing w:line="240" w:lineRule="auto"/>
              <w:jc w:val="center"/>
              <w:rPr>
                <w:b/>
                <w:bCs/>
                <w:lang w:bidi="en-US"/>
              </w:rPr>
            </w:pPr>
            <w:r w:rsidRPr="00CD157D">
              <w:rPr>
                <w:b/>
                <w:bCs/>
                <w:color w:val="000000"/>
              </w:rPr>
              <w:t>31.9%</w:t>
            </w:r>
          </w:p>
        </w:tc>
        <w:tc>
          <w:tcPr>
            <w:tcW w:w="1440" w:type="dxa"/>
            <w:tcBorders>
              <w:top w:val="single" w:sz="12" w:space="0" w:color="auto"/>
              <w:left w:val="single" w:sz="4" w:space="0" w:color="auto"/>
              <w:bottom w:val="single" w:sz="4" w:space="0" w:color="auto"/>
              <w:right w:val="single" w:sz="4" w:space="0" w:color="auto"/>
            </w:tcBorders>
            <w:shd w:val="clear" w:color="auto" w:fill="auto"/>
            <w:vAlign w:val="center"/>
          </w:tcPr>
          <w:p w:rsidR="00887025" w:rsidRPr="00CD157D" w14:paraId="4DE89B00" w14:textId="77777777">
            <w:pPr>
              <w:spacing w:line="240" w:lineRule="auto"/>
              <w:jc w:val="center"/>
              <w:rPr>
                <w:b/>
                <w:bCs/>
                <w:color w:val="000000"/>
              </w:rPr>
            </w:pPr>
            <w:r w:rsidRPr="00CD157D">
              <w:rPr>
                <w:b/>
                <w:bCs/>
                <w:color w:val="000000"/>
              </w:rPr>
              <w:t>40.8%</w:t>
            </w:r>
          </w:p>
        </w:tc>
      </w:tr>
      <w:tr w14:paraId="4B3FD031" w14:textId="77777777">
        <w:tblPrEx>
          <w:tblW w:w="14596" w:type="dxa"/>
          <w:jc w:val="center"/>
          <w:tblLook w:val="04A0"/>
        </w:tblPrEx>
        <w:trPr>
          <w:trHeight w:val="300"/>
          <w:jc w:val="center"/>
        </w:trPr>
        <w:tc>
          <w:tcPr>
            <w:tcW w:w="961" w:type="dxa"/>
            <w:vMerge/>
            <w:shd w:val="clear" w:color="auto" w:fill="auto"/>
            <w:vAlign w:val="center"/>
          </w:tcPr>
          <w:p w:rsidR="00887025" w:rsidRPr="00460CCC" w14:paraId="6094C37E" w14:textId="77777777">
            <w:pPr>
              <w:spacing w:line="240" w:lineRule="auto"/>
              <w:jc w:val="center"/>
              <w:rPr>
                <w:color w:val="000000"/>
              </w:rPr>
            </w:pPr>
          </w:p>
        </w:tc>
        <w:tc>
          <w:tcPr>
            <w:tcW w:w="983" w:type="dxa"/>
            <w:vMerge/>
            <w:vAlign w:val="center"/>
          </w:tcPr>
          <w:p w:rsidR="00887025" w:rsidRPr="00064E00" w14:paraId="461CADBD" w14:textId="77777777">
            <w:pPr>
              <w:spacing w:line="240" w:lineRule="auto"/>
              <w:jc w:val="center"/>
              <w:rPr>
                <w:rFonts w:eastAsia="Calibri"/>
                <w:bCs/>
              </w:rPr>
            </w:pPr>
          </w:p>
        </w:tc>
        <w:tc>
          <w:tcPr>
            <w:tcW w:w="950" w:type="dxa"/>
            <w:shd w:val="clear" w:color="auto" w:fill="auto"/>
            <w:vAlign w:val="center"/>
          </w:tcPr>
          <w:p w:rsidR="00887025" w:rsidRPr="00064E00" w14:paraId="5541F3E4" w14:textId="77777777">
            <w:pPr>
              <w:spacing w:line="240" w:lineRule="auto"/>
              <w:jc w:val="center"/>
              <w:rPr>
                <w:rFonts w:eastAsia="Calibri"/>
                <w:bCs/>
              </w:rPr>
            </w:pPr>
            <w:r w:rsidRPr="00064E00">
              <w:rPr>
                <w:rFonts w:eastAsia="Calibri"/>
                <w:bCs/>
              </w:rPr>
              <w:t>3</w:t>
            </w:r>
          </w:p>
        </w:tc>
        <w:tc>
          <w:tcPr>
            <w:tcW w:w="1216" w:type="dxa"/>
            <w:shd w:val="clear" w:color="auto" w:fill="auto"/>
            <w:vAlign w:val="center"/>
          </w:tcPr>
          <w:p w:rsidR="00887025" w14:paraId="5E364F90" w14:textId="77777777">
            <w:pPr>
              <w:spacing w:line="240" w:lineRule="auto"/>
              <w:jc w:val="center"/>
              <w:rPr>
                <w:rFonts w:eastAsia="Calibri"/>
                <w:b/>
              </w:rPr>
            </w:pPr>
            <w:r w:rsidRPr="00460CCC">
              <w:rPr>
                <w:color w:val="000000"/>
              </w:rPr>
              <w:t>87,442,724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36ABA" w14:paraId="64972A11" w14:textId="77777777">
            <w:pPr>
              <w:spacing w:line="240" w:lineRule="auto"/>
              <w:jc w:val="center"/>
              <w:rPr>
                <w:b/>
                <w:bCs/>
                <w:lang w:bidi="en-US"/>
              </w:rPr>
            </w:pPr>
            <w:r w:rsidRPr="00D36ABA">
              <w:rPr>
                <w:b/>
                <w:bCs/>
                <w:color w:val="000000"/>
              </w:rPr>
              <w:t xml:space="preserve"> 17.4%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14:paraId="1635B774" w14:textId="77777777">
            <w:pPr>
              <w:spacing w:line="240" w:lineRule="auto"/>
              <w:jc w:val="center"/>
              <w:rPr>
                <w:b/>
                <w:lang w:bidi="en-US"/>
              </w:rPr>
            </w:pPr>
            <w:r w:rsidRPr="00460CCC">
              <w:rPr>
                <w:color w:val="000000"/>
              </w:rPr>
              <w:t xml:space="preserve"> 0.3%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D157D" w14:paraId="25CB987C" w14:textId="77777777">
            <w:pPr>
              <w:spacing w:line="240" w:lineRule="auto"/>
              <w:jc w:val="center"/>
              <w:rPr>
                <w:b/>
                <w:bCs/>
                <w:lang w:bidi="en-US"/>
              </w:rPr>
            </w:pPr>
            <w:r w:rsidRPr="00CD157D">
              <w:rPr>
                <w:b/>
                <w:bCs/>
                <w:color w:val="000000"/>
              </w:rPr>
              <w:t xml:space="preserve"> 6.5%</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14:paraId="0EA5A17F" w14:textId="77777777">
            <w:pPr>
              <w:spacing w:line="240" w:lineRule="auto"/>
              <w:jc w:val="center"/>
              <w:rPr>
                <w:b/>
                <w:lang w:bidi="en-US"/>
              </w:rPr>
            </w:pPr>
            <w:r w:rsidRPr="00460CCC">
              <w:rPr>
                <w:color w:val="000000"/>
              </w:rPr>
              <w:t>0.2%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14:paraId="03312D74" w14:textId="77777777">
            <w:pPr>
              <w:spacing w:line="240" w:lineRule="auto"/>
              <w:jc w:val="center"/>
              <w:rPr>
                <w:b/>
                <w:lang w:bidi="en-US"/>
              </w:rPr>
            </w:pPr>
            <w:r w:rsidRPr="00460CCC">
              <w:rPr>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14:paraId="10A963FB" w14:textId="77777777">
            <w:pPr>
              <w:spacing w:line="240" w:lineRule="auto"/>
              <w:jc w:val="center"/>
              <w:rPr>
                <w:b/>
                <w:lang w:bidi="en-US"/>
              </w:rPr>
            </w:pPr>
            <w:r w:rsidRPr="00460CCC">
              <w:rPr>
                <w:color w:val="000000"/>
              </w:rPr>
              <w:t>3.1%</w:t>
            </w:r>
          </w:p>
        </w:tc>
        <w:tc>
          <w:tcPr>
            <w:tcW w:w="1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D157D" w14:paraId="4D6D4770" w14:textId="77777777">
            <w:pPr>
              <w:spacing w:line="240" w:lineRule="auto"/>
              <w:jc w:val="center"/>
              <w:rPr>
                <w:b/>
                <w:bCs/>
                <w:lang w:bidi="en-US"/>
              </w:rPr>
            </w:pPr>
            <w:r w:rsidRPr="00CD157D">
              <w:rPr>
                <w:b/>
                <w:bCs/>
                <w:color w:val="000000"/>
              </w:rPr>
              <w:t>26.9%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CD157D" w14:paraId="745A6774" w14:textId="77777777">
            <w:pPr>
              <w:spacing w:line="240" w:lineRule="auto"/>
              <w:jc w:val="center"/>
              <w:rPr>
                <w:b/>
                <w:bCs/>
                <w:color w:val="000000"/>
              </w:rPr>
            </w:pPr>
            <w:r w:rsidRPr="00CD157D">
              <w:rPr>
                <w:b/>
                <w:bCs/>
                <w:color w:val="000000"/>
              </w:rPr>
              <w:t>34.2%</w:t>
            </w:r>
          </w:p>
        </w:tc>
      </w:tr>
      <w:tr w14:paraId="68A624C9" w14:textId="77777777">
        <w:tblPrEx>
          <w:tblW w:w="14596" w:type="dxa"/>
          <w:jc w:val="center"/>
          <w:tblLook w:val="04A0"/>
        </w:tblPrEx>
        <w:trPr>
          <w:trHeight w:val="300"/>
          <w:jc w:val="center"/>
        </w:trPr>
        <w:tc>
          <w:tcPr>
            <w:tcW w:w="961" w:type="dxa"/>
            <w:vMerge w:val="restart"/>
            <w:shd w:val="clear" w:color="auto" w:fill="auto"/>
            <w:vAlign w:val="center"/>
          </w:tcPr>
          <w:p w:rsidR="00887025" w:rsidRPr="00460CCC" w14:paraId="6A22B5CD" w14:textId="77777777">
            <w:pPr>
              <w:spacing w:line="240" w:lineRule="auto"/>
              <w:rPr>
                <w:color w:val="000000"/>
              </w:rPr>
            </w:pPr>
            <w:r w:rsidRPr="00460CCC">
              <w:rPr>
                <w:color w:val="000000"/>
              </w:rPr>
              <w:t>All active facilities</w:t>
            </w:r>
          </w:p>
        </w:tc>
        <w:tc>
          <w:tcPr>
            <w:tcW w:w="983" w:type="dxa"/>
            <w:vMerge w:val="restart"/>
            <w:vAlign w:val="center"/>
          </w:tcPr>
          <w:p w:rsidR="00887025" w14:paraId="50A556AF" w14:textId="77777777">
            <w:pPr>
              <w:spacing w:line="240" w:lineRule="auto"/>
              <w:jc w:val="center"/>
              <w:rPr>
                <w:rFonts w:eastAsia="Calibri"/>
                <w:bCs/>
              </w:rPr>
            </w:pPr>
            <w:r>
              <w:rPr>
                <w:rFonts w:eastAsia="Calibri"/>
                <w:bCs/>
              </w:rPr>
              <w:t>11,714</w:t>
            </w:r>
          </w:p>
        </w:tc>
        <w:tc>
          <w:tcPr>
            <w:tcW w:w="950" w:type="dxa"/>
            <w:shd w:val="clear" w:color="auto" w:fill="auto"/>
            <w:vAlign w:val="center"/>
          </w:tcPr>
          <w:p w:rsidR="00887025" w:rsidRPr="00064E00" w14:paraId="71FB4FE9" w14:textId="77777777">
            <w:pPr>
              <w:spacing w:line="240" w:lineRule="auto"/>
              <w:jc w:val="center"/>
              <w:rPr>
                <w:rFonts w:eastAsia="Calibri"/>
                <w:bCs/>
              </w:rPr>
            </w:pPr>
            <w:r>
              <w:rPr>
                <w:rFonts w:eastAsia="Calibri"/>
                <w:bCs/>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460CCC" w14:paraId="5135A3C4" w14:textId="77777777">
            <w:pPr>
              <w:spacing w:line="240" w:lineRule="auto"/>
              <w:jc w:val="center"/>
              <w:rPr>
                <w:color w:val="000000"/>
              </w:rPr>
            </w:pPr>
            <w:r w:rsidRPr="00460CCC">
              <w:rPr>
                <w:color w:val="000000"/>
              </w:rPr>
              <w:t>24,755,209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36ABA" w14:paraId="11D87571" w14:textId="77777777">
            <w:pPr>
              <w:spacing w:line="240" w:lineRule="auto"/>
              <w:jc w:val="center"/>
              <w:rPr>
                <w:b/>
                <w:bCs/>
                <w:color w:val="000000"/>
              </w:rPr>
            </w:pPr>
            <w:r w:rsidRPr="00D36ABA">
              <w:rPr>
                <w:b/>
                <w:bCs/>
                <w:color w:val="000000"/>
              </w:rPr>
              <w:t xml:space="preserve"> 15.6%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460CCC" w14:paraId="381E1E5B" w14:textId="77777777">
            <w:pPr>
              <w:spacing w:line="240" w:lineRule="auto"/>
              <w:jc w:val="center"/>
              <w:rPr>
                <w:color w:val="000000"/>
              </w:rPr>
            </w:pPr>
            <w:r w:rsidRPr="00460CCC">
              <w:rPr>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460CCC" w14:paraId="767F6CA3" w14:textId="77777777">
            <w:pPr>
              <w:spacing w:line="240" w:lineRule="auto"/>
              <w:jc w:val="center"/>
              <w:rPr>
                <w:color w:val="000000"/>
              </w:rPr>
            </w:pPr>
            <w:r w:rsidRPr="00460CCC">
              <w:rPr>
                <w:color w:val="000000"/>
              </w:rPr>
              <w:t xml:space="preserve"> 4.8%</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460CCC" w14:paraId="1177926B" w14:textId="77777777">
            <w:pPr>
              <w:spacing w:line="240" w:lineRule="auto"/>
              <w:jc w:val="center"/>
              <w:rPr>
                <w:color w:val="000000"/>
              </w:rPr>
            </w:pPr>
            <w:r w:rsidRPr="00460CCC">
              <w:rPr>
                <w:color w:val="000000"/>
              </w:rPr>
              <w:t>0.2%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460CCC" w14:paraId="3338C73F" w14:textId="77777777">
            <w:pPr>
              <w:spacing w:line="240" w:lineRule="auto"/>
              <w:jc w:val="center"/>
              <w:rPr>
                <w:color w:val="000000"/>
              </w:rPr>
            </w:pPr>
            <w:r w:rsidRPr="00460CCC">
              <w:rPr>
                <w:color w:val="000000"/>
              </w:rPr>
              <w:t>0.3%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460CCC" w14:paraId="24409474" w14:textId="77777777">
            <w:pPr>
              <w:spacing w:line="240" w:lineRule="auto"/>
              <w:jc w:val="center"/>
              <w:rPr>
                <w:color w:val="000000"/>
              </w:rPr>
            </w:pPr>
            <w:r w:rsidRPr="00460CCC">
              <w:rPr>
                <w:color w:val="000000"/>
              </w:rPr>
              <w:t>3.0%</w:t>
            </w:r>
          </w:p>
        </w:tc>
        <w:tc>
          <w:tcPr>
            <w:tcW w:w="1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D157D" w14:paraId="5C8BF470" w14:textId="77777777">
            <w:pPr>
              <w:spacing w:line="240" w:lineRule="auto"/>
              <w:jc w:val="center"/>
              <w:rPr>
                <w:b/>
                <w:bCs/>
                <w:color w:val="000000"/>
              </w:rPr>
            </w:pPr>
            <w:r w:rsidRPr="00CD157D">
              <w:rPr>
                <w:b/>
                <w:bCs/>
                <w:color w:val="000000"/>
              </w:rPr>
              <w:t>27.6%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CD157D" w14:paraId="002D65C7" w14:textId="77777777">
            <w:pPr>
              <w:spacing w:line="240" w:lineRule="auto"/>
              <w:jc w:val="center"/>
              <w:rPr>
                <w:b/>
                <w:bCs/>
                <w:color w:val="000000"/>
              </w:rPr>
            </w:pPr>
            <w:r w:rsidRPr="00CD157D">
              <w:rPr>
                <w:b/>
                <w:bCs/>
                <w:color w:val="000000"/>
              </w:rPr>
              <w:t>38.0%</w:t>
            </w:r>
          </w:p>
        </w:tc>
      </w:tr>
      <w:tr w14:paraId="38010114" w14:textId="77777777">
        <w:tblPrEx>
          <w:tblW w:w="14596" w:type="dxa"/>
          <w:jc w:val="center"/>
          <w:tblLook w:val="04A0"/>
        </w:tblPrEx>
        <w:trPr>
          <w:trHeight w:val="300"/>
          <w:jc w:val="center"/>
        </w:trPr>
        <w:tc>
          <w:tcPr>
            <w:tcW w:w="961" w:type="dxa"/>
            <w:vMerge/>
            <w:shd w:val="clear" w:color="auto" w:fill="auto"/>
            <w:vAlign w:val="center"/>
          </w:tcPr>
          <w:p w:rsidR="00887025" w:rsidRPr="00460CCC" w14:paraId="48DE1447" w14:textId="77777777">
            <w:pPr>
              <w:spacing w:line="240" w:lineRule="auto"/>
              <w:jc w:val="center"/>
              <w:rPr>
                <w:color w:val="000000"/>
              </w:rPr>
            </w:pPr>
          </w:p>
        </w:tc>
        <w:tc>
          <w:tcPr>
            <w:tcW w:w="983" w:type="dxa"/>
            <w:vMerge/>
          </w:tcPr>
          <w:p w:rsidR="00887025" w14:paraId="0ABCC72E" w14:textId="77777777">
            <w:pPr>
              <w:spacing w:line="240" w:lineRule="auto"/>
              <w:jc w:val="center"/>
              <w:rPr>
                <w:rFonts w:eastAsia="Calibri"/>
                <w:bCs/>
              </w:rPr>
            </w:pPr>
          </w:p>
        </w:tc>
        <w:tc>
          <w:tcPr>
            <w:tcW w:w="950" w:type="dxa"/>
            <w:shd w:val="clear" w:color="auto" w:fill="auto"/>
            <w:vAlign w:val="center"/>
          </w:tcPr>
          <w:p w:rsidR="00887025" w:rsidRPr="00064E00" w14:paraId="0731EBF5" w14:textId="77777777">
            <w:pPr>
              <w:spacing w:line="240" w:lineRule="auto"/>
              <w:jc w:val="center"/>
              <w:rPr>
                <w:rFonts w:eastAsia="Calibri"/>
                <w:bCs/>
              </w:rPr>
            </w:pPr>
            <w:r>
              <w:rPr>
                <w:rFonts w:eastAsia="Calibri"/>
                <w:bCs/>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460CCC" w14:paraId="2135CAFB" w14:textId="77777777">
            <w:pPr>
              <w:spacing w:line="240" w:lineRule="auto"/>
              <w:jc w:val="center"/>
              <w:rPr>
                <w:color w:val="000000"/>
              </w:rPr>
            </w:pPr>
            <w:r w:rsidRPr="00460CCC">
              <w:rPr>
                <w:color w:val="000000"/>
              </w:rPr>
              <w:t>130,875,693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36ABA" w14:paraId="27B8C2C5" w14:textId="77777777">
            <w:pPr>
              <w:spacing w:line="240" w:lineRule="auto"/>
              <w:jc w:val="center"/>
              <w:rPr>
                <w:b/>
                <w:bCs/>
                <w:color w:val="000000"/>
              </w:rPr>
            </w:pPr>
            <w:r w:rsidRPr="00D36ABA">
              <w:rPr>
                <w:b/>
                <w:bCs/>
                <w:color w:val="000000"/>
              </w:rPr>
              <w:t xml:space="preserve"> 15.1%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460CCC" w14:paraId="7614D342" w14:textId="77777777">
            <w:pPr>
              <w:spacing w:line="240" w:lineRule="auto"/>
              <w:jc w:val="center"/>
              <w:rPr>
                <w:color w:val="000000"/>
              </w:rPr>
            </w:pPr>
            <w:r w:rsidRPr="00460CCC">
              <w:rPr>
                <w:color w:val="000000"/>
              </w:rPr>
              <w:t xml:space="preserve"> 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D157D" w14:paraId="17F98710" w14:textId="77777777">
            <w:pPr>
              <w:spacing w:line="240" w:lineRule="auto"/>
              <w:jc w:val="center"/>
              <w:rPr>
                <w:b/>
                <w:bCs/>
                <w:color w:val="000000"/>
              </w:rPr>
            </w:pPr>
            <w:r w:rsidRPr="00CD157D">
              <w:rPr>
                <w:b/>
                <w:bCs/>
                <w:color w:val="000000"/>
              </w:rPr>
              <w:t xml:space="preserve"> 5.9%</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460CCC" w14:paraId="5ABF1C7F" w14:textId="77777777">
            <w:pPr>
              <w:spacing w:line="240" w:lineRule="auto"/>
              <w:jc w:val="center"/>
              <w:rPr>
                <w:color w:val="000000"/>
              </w:rPr>
            </w:pPr>
            <w:r w:rsidRPr="00460CCC">
              <w:rPr>
                <w:color w:val="000000"/>
              </w:rPr>
              <w:t>0.2%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460CCC" w14:paraId="70B50A00" w14:textId="77777777">
            <w:pPr>
              <w:spacing w:line="240" w:lineRule="auto"/>
              <w:jc w:val="center"/>
              <w:rPr>
                <w:color w:val="000000"/>
              </w:rPr>
            </w:pPr>
            <w:r w:rsidRPr="00460CCC">
              <w:rPr>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460CCC" w14:paraId="6C4DA858" w14:textId="77777777">
            <w:pPr>
              <w:spacing w:line="240" w:lineRule="auto"/>
              <w:jc w:val="center"/>
              <w:rPr>
                <w:color w:val="000000"/>
              </w:rPr>
            </w:pPr>
            <w:r w:rsidRPr="00460CCC">
              <w:rPr>
                <w:color w:val="000000"/>
              </w:rPr>
              <w:t>3.1%</w:t>
            </w:r>
          </w:p>
        </w:tc>
        <w:tc>
          <w:tcPr>
            <w:tcW w:w="1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D157D" w14:paraId="7A402C08" w14:textId="77777777">
            <w:pPr>
              <w:spacing w:line="240" w:lineRule="auto"/>
              <w:jc w:val="center"/>
              <w:rPr>
                <w:b/>
                <w:bCs/>
                <w:color w:val="000000"/>
              </w:rPr>
            </w:pPr>
            <w:r w:rsidRPr="00CD157D">
              <w:rPr>
                <w:b/>
                <w:bCs/>
                <w:color w:val="000000"/>
              </w:rPr>
              <w:t>24.1%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CD157D" w14:paraId="0AE616AF" w14:textId="77777777">
            <w:pPr>
              <w:spacing w:line="240" w:lineRule="auto"/>
              <w:jc w:val="center"/>
              <w:rPr>
                <w:b/>
                <w:bCs/>
                <w:color w:val="000000"/>
              </w:rPr>
            </w:pPr>
            <w:r w:rsidRPr="00CD157D">
              <w:rPr>
                <w:b/>
                <w:bCs/>
                <w:color w:val="000000"/>
              </w:rPr>
              <w:t>33.3%</w:t>
            </w:r>
          </w:p>
        </w:tc>
      </w:tr>
      <w:tr w14:paraId="5DDCD681" w14:textId="77777777">
        <w:tblPrEx>
          <w:tblW w:w="14596" w:type="dxa"/>
          <w:jc w:val="center"/>
          <w:tblLook w:val="04A0"/>
        </w:tblPrEx>
        <w:trPr>
          <w:trHeight w:val="300"/>
          <w:jc w:val="center"/>
        </w:trPr>
        <w:tc>
          <w:tcPr>
            <w:tcW w:w="2894" w:type="dxa"/>
            <w:gridSpan w:val="3"/>
            <w:shd w:val="clear" w:color="auto" w:fill="E7E6E6" w:themeFill="background2"/>
          </w:tcPr>
          <w:p w:rsidR="00887025" w:rsidRPr="00D1223F" w14:paraId="19933D60" w14:textId="77777777">
            <w:pPr>
              <w:spacing w:line="240" w:lineRule="auto"/>
              <w:jc w:val="center"/>
              <w:rPr>
                <w:rFonts w:eastAsia="Calibri"/>
                <w:bCs/>
                <w:i/>
                <w:iCs/>
              </w:rPr>
            </w:pPr>
            <w:r>
              <w:rPr>
                <w:i/>
                <w:iCs/>
                <w:color w:val="000000"/>
              </w:rPr>
              <w:t>National Comparison Group</w:t>
            </w:r>
          </w:p>
        </w:tc>
        <w:tc>
          <w:tcPr>
            <w:tcW w:w="1216" w:type="dxa"/>
            <w:shd w:val="clear" w:color="auto" w:fill="E7E6E6" w:themeFill="background2"/>
            <w:vAlign w:val="center"/>
          </w:tcPr>
          <w:p w:rsidR="00887025" w:rsidRPr="00D1223F" w14:paraId="40A64EF0" w14:textId="77777777">
            <w:pPr>
              <w:spacing w:line="240" w:lineRule="auto"/>
              <w:jc w:val="center"/>
              <w:rPr>
                <w:i/>
                <w:iCs/>
                <w:color w:val="000000"/>
              </w:rPr>
            </w:pPr>
            <w:r w:rsidRPr="00D1223F">
              <w:rPr>
                <w:i/>
                <w:iCs/>
                <w:color w:val="000000"/>
              </w:rPr>
              <w:t>309,242,323</w:t>
            </w:r>
          </w:p>
        </w:tc>
        <w:tc>
          <w:tcPr>
            <w:tcW w:w="1184" w:type="dxa"/>
            <w:tcBorders>
              <w:top w:val="single" w:sz="4" w:space="0" w:color="auto"/>
              <w:left w:val="nil"/>
              <w:bottom w:val="single" w:sz="4" w:space="0" w:color="auto"/>
              <w:right w:val="single" w:sz="4" w:space="0" w:color="auto"/>
            </w:tcBorders>
            <w:shd w:val="clear" w:color="auto" w:fill="E7E6E6" w:themeFill="background2"/>
            <w:noWrap/>
            <w:vAlign w:val="center"/>
          </w:tcPr>
          <w:p w:rsidR="00887025" w:rsidRPr="00D1223F" w14:paraId="472F1678" w14:textId="77777777">
            <w:pPr>
              <w:spacing w:line="240" w:lineRule="auto"/>
              <w:jc w:val="center"/>
              <w:rPr>
                <w:i/>
                <w:iCs/>
                <w:color w:val="000000"/>
              </w:rPr>
            </w:pPr>
            <w:r w:rsidRPr="00D1223F">
              <w:rPr>
                <w:i/>
                <w:iCs/>
                <w:color w:val="000000"/>
              </w:rPr>
              <w:t>11.8%</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747DC5CB" w14:textId="77777777">
            <w:pPr>
              <w:spacing w:line="240" w:lineRule="auto"/>
              <w:jc w:val="center"/>
              <w:rPr>
                <w:i/>
                <w:iCs/>
                <w:color w:val="000000"/>
              </w:rPr>
            </w:pPr>
            <w:r w:rsidRPr="00D1223F">
              <w:rPr>
                <w:i/>
                <w:iCs/>
                <w:color w:val="000000"/>
              </w:rPr>
              <w:t>0.6%</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1819F289" w14:textId="77777777">
            <w:pPr>
              <w:spacing w:line="240" w:lineRule="auto"/>
              <w:jc w:val="center"/>
              <w:rPr>
                <w:i/>
                <w:iCs/>
                <w:color w:val="000000"/>
              </w:rPr>
            </w:pPr>
            <w:r w:rsidRPr="00D1223F">
              <w:rPr>
                <w:i/>
                <w:iCs/>
                <w:color w:val="000000"/>
              </w:rPr>
              <w:t>5.6%</w:t>
            </w:r>
          </w:p>
        </w:tc>
        <w:tc>
          <w:tcPr>
            <w:tcW w:w="132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367A39ED" w14:textId="77777777">
            <w:pPr>
              <w:spacing w:line="240" w:lineRule="auto"/>
              <w:jc w:val="center"/>
              <w:rPr>
                <w:i/>
                <w:iCs/>
                <w:color w:val="000000"/>
              </w:rPr>
            </w:pPr>
            <w:r w:rsidRPr="00D1223F">
              <w:rPr>
                <w:i/>
                <w:iCs/>
                <w:color w:val="000000"/>
              </w:rPr>
              <w:t>0.2%</w:t>
            </w:r>
          </w:p>
        </w:tc>
        <w:tc>
          <w:tcPr>
            <w:tcW w:w="119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0A0D0FDE" w14:textId="77777777">
            <w:pPr>
              <w:spacing w:line="240" w:lineRule="auto"/>
              <w:jc w:val="center"/>
              <w:rPr>
                <w:i/>
                <w:iCs/>
                <w:color w:val="000000"/>
              </w:rPr>
            </w:pPr>
            <w:r w:rsidRPr="00D1223F">
              <w:rPr>
                <w:i/>
                <w:iCs/>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3226782A" w14:textId="77777777">
            <w:pPr>
              <w:spacing w:line="240" w:lineRule="auto"/>
              <w:jc w:val="center"/>
              <w:rPr>
                <w:i/>
                <w:iCs/>
                <w:color w:val="000000"/>
              </w:rPr>
            </w:pPr>
            <w:r w:rsidRPr="00D1223F">
              <w:rPr>
                <w:i/>
                <w:iCs/>
                <w:color w:val="000000"/>
              </w:rPr>
              <w:t>3.2%</w:t>
            </w:r>
          </w:p>
        </w:tc>
        <w:tc>
          <w:tcPr>
            <w:tcW w:w="179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08DCA5CC" w14:textId="77777777">
            <w:pPr>
              <w:spacing w:line="240" w:lineRule="auto"/>
              <w:jc w:val="center"/>
              <w:rPr>
                <w:i/>
                <w:iCs/>
                <w:color w:val="000000"/>
              </w:rPr>
            </w:pPr>
            <w:r w:rsidRPr="00D1223F">
              <w:rPr>
                <w:i/>
                <w:iCs/>
                <w:color w:val="000000"/>
              </w:rPr>
              <w:t>17.7%</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87025" w:rsidRPr="00D1223F" w14:paraId="13D141FA" w14:textId="77777777">
            <w:pPr>
              <w:spacing w:line="240" w:lineRule="auto"/>
              <w:jc w:val="center"/>
              <w:rPr>
                <w:i/>
                <w:iCs/>
                <w:color w:val="000000"/>
              </w:rPr>
            </w:pPr>
            <w:r w:rsidRPr="00D1223F">
              <w:rPr>
                <w:i/>
                <w:iCs/>
                <w:color w:val="000000"/>
              </w:rPr>
              <w:t>28.5%</w:t>
            </w:r>
          </w:p>
        </w:tc>
      </w:tr>
    </w:tbl>
    <w:p w:rsidR="00887025" w:rsidP="00887025" w14:paraId="7C1E0606" w14:textId="77777777">
      <w:pPr>
        <w:pStyle w:val="BodyText"/>
        <w:rPr>
          <w:rFonts w:ascii="Times New Roman" w:hAnsi="Times New Roman" w:cs="Times New Roman"/>
        </w:rPr>
      </w:pPr>
    </w:p>
    <w:p w:rsidR="00887025" w:rsidP="00887025" w14:paraId="26DA1B5A" w14:textId="77777777">
      <w:pPr>
        <w:pStyle w:val="BodyText"/>
        <w:rPr>
          <w:rFonts w:ascii="Times New Roman" w:hAnsi="Times New Roman" w:cs="Times New Roman"/>
        </w:rPr>
      </w:pPr>
    </w:p>
    <w:p w:rsidR="00887025" w:rsidP="00887025" w14:paraId="18581940" w14:textId="77777777">
      <w:pPr>
        <w:pStyle w:val="BodyText"/>
        <w:rPr>
          <w:rFonts w:ascii="Times New Roman" w:hAnsi="Times New Roman" w:cs="Times New Roman"/>
        </w:rPr>
        <w:sectPr w:rsidSect="005379A2">
          <w:pgSz w:w="15840" w:h="12240" w:orient="landscape"/>
          <w:pgMar w:top="1440" w:right="1440" w:bottom="1440" w:left="1440" w:header="720" w:footer="720" w:gutter="0"/>
          <w:cols w:space="720"/>
          <w:docGrid w:linePitch="360"/>
        </w:sectPr>
      </w:pPr>
    </w:p>
    <w:p w:rsidR="008527CB" w:rsidRPr="00A16BC3" w:rsidP="00887025" w14:paraId="06CD5FA8" w14:textId="77777777">
      <w:pPr>
        <w:pStyle w:val="BodyText"/>
        <w:jc w:val="center"/>
        <w:rPr>
          <w:rFonts w:ascii="Times New Roman" w:hAnsi="Times New Roman" w:cs="Times New Roman"/>
          <w:b/>
          <w:color w:val="000000"/>
        </w:rPr>
      </w:pPr>
      <w:r w:rsidRPr="00921681">
        <w:rPr>
          <w:rFonts w:ascii="Times New Roman" w:hAnsi="Times New Roman" w:cs="Times New Roman"/>
          <w:b/>
          <w:color w:val="000000"/>
        </w:rPr>
        <w:t>Exhibit 9-</w:t>
      </w:r>
      <w:r>
        <w:rPr>
          <w:rFonts w:ascii="Times New Roman" w:hAnsi="Times New Roman" w:cs="Times New Roman"/>
          <w:b/>
          <w:color w:val="000000"/>
        </w:rPr>
        <w:t>3</w:t>
      </w:r>
      <w:r w:rsidRPr="00921681">
        <w:rPr>
          <w:rFonts w:ascii="Times New Roman" w:hAnsi="Times New Roman" w:cs="Times New Roman"/>
          <w:b/>
          <w:color w:val="000000"/>
        </w:rPr>
        <w:t xml:space="preserve">. </w:t>
      </w:r>
      <w:r w:rsidRPr="007445C8">
        <w:rPr>
          <w:rFonts w:ascii="Times New Roman" w:hAnsi="Times New Roman" w:cs="Times New Roman"/>
          <w:b/>
        </w:rPr>
        <w:t xml:space="preserve">Demographic </w:t>
      </w:r>
      <w:r>
        <w:rPr>
          <w:rFonts w:ascii="Times New Roman" w:hAnsi="Times New Roman" w:cs="Times New Roman"/>
          <w:b/>
        </w:rPr>
        <w:t xml:space="preserve">and Socioeconomic </w:t>
      </w:r>
      <w:r w:rsidRPr="007445C8">
        <w:rPr>
          <w:rFonts w:ascii="Times New Roman" w:hAnsi="Times New Roman" w:cs="Times New Roman"/>
          <w:b/>
        </w:rPr>
        <w:t>Composition for</w:t>
      </w:r>
      <w:r w:rsidRPr="00670736">
        <w:rPr>
          <w:rFonts w:ascii="Times New Roman" w:hAnsi="Times New Roman" w:cs="Times New Roman"/>
          <w:b/>
          <w:color w:val="000000"/>
        </w:rPr>
        <w:t xml:space="preserve"> </w:t>
      </w:r>
      <w:r>
        <w:rPr>
          <w:rFonts w:ascii="Times New Roman" w:hAnsi="Times New Roman" w:cs="Times New Roman"/>
          <w:b/>
          <w:color w:val="000000"/>
        </w:rPr>
        <w:t>F</w:t>
      </w:r>
      <w:r w:rsidRPr="00A16BC3">
        <w:rPr>
          <w:rFonts w:ascii="Times New Roman" w:hAnsi="Times New Roman" w:cs="Times New Roman"/>
          <w:b/>
          <w:color w:val="000000"/>
        </w:rPr>
        <w:t xml:space="preserve">enceline Communities of </w:t>
      </w:r>
    </w:p>
    <w:p w:rsidR="008527CB" w:rsidRPr="00A16BC3" w:rsidP="00887025" w14:paraId="0FDB5460" w14:textId="77777777">
      <w:pPr>
        <w:pStyle w:val="BodyText"/>
        <w:jc w:val="center"/>
        <w:rPr>
          <w:rFonts w:ascii="Times New Roman" w:hAnsi="Times New Roman" w:cs="Times New Roman"/>
          <w:b/>
          <w:color w:val="000000"/>
        </w:rPr>
      </w:pPr>
      <w:r w:rsidRPr="00921681">
        <w:rPr>
          <w:rFonts w:ascii="Times New Roman" w:hAnsi="Times New Roman" w:cs="Times New Roman"/>
          <w:b/>
          <w:color w:val="000000"/>
        </w:rPr>
        <w:t xml:space="preserve">NAICS 324 &amp; 325 RMP </w:t>
      </w:r>
      <w:r w:rsidRPr="00A16BC3">
        <w:rPr>
          <w:rFonts w:ascii="Times New Roman" w:hAnsi="Times New Roman" w:cs="Times New Roman"/>
          <w:b/>
          <w:color w:val="000000"/>
        </w:rPr>
        <w:t>Facilities</w:t>
      </w:r>
    </w:p>
    <w:p w:rsidR="008527CB" w:rsidRPr="00670736" w:rsidP="00887025" w14:paraId="6C409E05" w14:textId="77777777">
      <w:pPr>
        <w:pStyle w:val="BodyText"/>
        <w:jc w:val="center"/>
        <w:rPr>
          <w:rFonts w:ascii="Times New Roman" w:hAnsi="Times New Roman" w:cs="Times New Roman"/>
        </w:rPr>
      </w:pPr>
    </w:p>
    <w:tbl>
      <w:tblPr>
        <w:tblStyle w:val="TableGrid"/>
        <w:tblW w:w="15210" w:type="dxa"/>
        <w:jc w:val="center"/>
        <w:tblLayout w:type="fixed"/>
        <w:tblLook w:val="04A0"/>
      </w:tblPr>
      <w:tblGrid>
        <w:gridCol w:w="990"/>
        <w:gridCol w:w="900"/>
        <w:gridCol w:w="990"/>
        <w:gridCol w:w="990"/>
        <w:gridCol w:w="1260"/>
        <w:gridCol w:w="1260"/>
        <w:gridCol w:w="1260"/>
        <w:gridCol w:w="1260"/>
        <w:gridCol w:w="1350"/>
        <w:gridCol w:w="1260"/>
        <w:gridCol w:w="1170"/>
        <w:gridCol w:w="1260"/>
        <w:gridCol w:w="1260"/>
      </w:tblGrid>
      <w:tr w14:paraId="2A523E6A" w14:textId="77777777">
        <w:tblPrEx>
          <w:tblW w:w="15210" w:type="dxa"/>
          <w:jc w:val="center"/>
          <w:tblLayout w:type="fixed"/>
          <w:tblLook w:val="04A0"/>
        </w:tblPrEx>
        <w:trPr>
          <w:trHeight w:val="300"/>
          <w:jc w:val="center"/>
        </w:trPr>
        <w:tc>
          <w:tcPr>
            <w:tcW w:w="990" w:type="dxa"/>
            <w:tcBorders>
              <w:bottom w:val="single" w:sz="4" w:space="0" w:color="auto"/>
            </w:tcBorders>
            <w:shd w:val="clear" w:color="auto" w:fill="BFBFBF" w:themeFill="background1" w:themeFillShade="BF"/>
          </w:tcPr>
          <w:p w:rsidR="00887025" w:rsidRPr="001945BB" w14:paraId="05FB1A09" w14:textId="77777777">
            <w:pPr>
              <w:spacing w:line="240" w:lineRule="auto"/>
              <w:jc w:val="center"/>
              <w:rPr>
                <w:b/>
                <w:color w:val="000000"/>
              </w:rPr>
            </w:pPr>
          </w:p>
        </w:tc>
        <w:tc>
          <w:tcPr>
            <w:tcW w:w="900" w:type="dxa"/>
            <w:tcBorders>
              <w:bottom w:val="single" w:sz="4" w:space="0" w:color="auto"/>
            </w:tcBorders>
            <w:shd w:val="clear" w:color="auto" w:fill="BFBFBF" w:themeFill="background1" w:themeFillShade="BF"/>
            <w:vAlign w:val="center"/>
          </w:tcPr>
          <w:p w:rsidR="00887025" w:rsidRPr="001945BB" w14:paraId="0D227442" w14:textId="77777777">
            <w:pPr>
              <w:spacing w:line="240" w:lineRule="auto"/>
              <w:jc w:val="center"/>
              <w:rPr>
                <w:b/>
                <w:color w:val="000000"/>
              </w:rPr>
            </w:pPr>
            <w:r w:rsidRPr="001945BB">
              <w:rPr>
                <w:b/>
                <w:color w:val="000000"/>
              </w:rPr>
              <w:t>NAICS Codes</w:t>
            </w:r>
          </w:p>
        </w:tc>
        <w:tc>
          <w:tcPr>
            <w:tcW w:w="990" w:type="dxa"/>
            <w:tcBorders>
              <w:bottom w:val="single" w:sz="4" w:space="0" w:color="auto"/>
            </w:tcBorders>
            <w:shd w:val="clear" w:color="auto" w:fill="BFBFBF" w:themeFill="background1" w:themeFillShade="BF"/>
            <w:vAlign w:val="center"/>
          </w:tcPr>
          <w:p w:rsidR="00887025" w:rsidRPr="001945BB" w14:paraId="7DD2C929" w14:textId="77777777">
            <w:pPr>
              <w:spacing w:line="240" w:lineRule="auto"/>
              <w:jc w:val="center"/>
              <w:rPr>
                <w:b/>
                <w:color w:val="000000"/>
              </w:rPr>
            </w:pPr>
            <w:r>
              <w:rPr>
                <w:b/>
                <w:color w:val="000000"/>
              </w:rPr>
              <w:t>Number of Facilities</w:t>
            </w:r>
          </w:p>
        </w:tc>
        <w:tc>
          <w:tcPr>
            <w:tcW w:w="990" w:type="dxa"/>
            <w:tcBorders>
              <w:bottom w:val="single" w:sz="4" w:space="0" w:color="auto"/>
            </w:tcBorders>
            <w:shd w:val="clear" w:color="auto" w:fill="BFBFBF" w:themeFill="background1" w:themeFillShade="BF"/>
            <w:vAlign w:val="center"/>
          </w:tcPr>
          <w:p w:rsidR="00887025" w:rsidRPr="001945BB" w14:paraId="1A7C2B26" w14:textId="77777777">
            <w:pPr>
              <w:spacing w:line="240" w:lineRule="auto"/>
              <w:jc w:val="center"/>
              <w:rPr>
                <w:b/>
                <w:color w:val="000000"/>
              </w:rPr>
            </w:pPr>
            <w:r w:rsidRPr="001945BB">
              <w:rPr>
                <w:b/>
                <w:color w:val="000000"/>
              </w:rPr>
              <w:t xml:space="preserve">Buffer </w:t>
            </w:r>
            <w:r>
              <w:rPr>
                <w:b/>
                <w:color w:val="000000"/>
              </w:rPr>
              <w:t>D</w:t>
            </w:r>
            <w:r w:rsidRPr="001945BB">
              <w:rPr>
                <w:b/>
                <w:color w:val="000000"/>
              </w:rPr>
              <w:t>istance (</w:t>
            </w:r>
            <w:r>
              <w:rPr>
                <w:b/>
                <w:color w:val="000000"/>
              </w:rPr>
              <w:t>M</w:t>
            </w:r>
            <w:r w:rsidRPr="001945BB">
              <w:rPr>
                <w:b/>
                <w:color w:val="000000"/>
              </w:rPr>
              <w:t>iles)</w:t>
            </w:r>
          </w:p>
        </w:tc>
        <w:tc>
          <w:tcPr>
            <w:tcW w:w="1260" w:type="dxa"/>
            <w:tcBorders>
              <w:bottom w:val="single" w:sz="4" w:space="0" w:color="auto"/>
            </w:tcBorders>
            <w:shd w:val="clear" w:color="auto" w:fill="BFBFBF" w:themeFill="background1" w:themeFillShade="BF"/>
            <w:vAlign w:val="center"/>
          </w:tcPr>
          <w:p w:rsidR="00887025" w:rsidRPr="001945BB" w14:paraId="28901105" w14:textId="77777777">
            <w:pPr>
              <w:spacing w:line="240" w:lineRule="auto"/>
              <w:jc w:val="center"/>
              <w:rPr>
                <w:b/>
                <w:color w:val="000000"/>
              </w:rPr>
            </w:pPr>
            <w:r w:rsidRPr="001945BB">
              <w:rPr>
                <w:b/>
                <w:color w:val="000000"/>
              </w:rPr>
              <w:t>Total Population</w:t>
            </w:r>
          </w:p>
        </w:tc>
        <w:tc>
          <w:tcPr>
            <w:tcW w:w="1260" w:type="dxa"/>
            <w:tcBorders>
              <w:bottom w:val="single" w:sz="4" w:space="0" w:color="auto"/>
            </w:tcBorders>
            <w:shd w:val="clear" w:color="auto" w:fill="BFBFBF" w:themeFill="background1" w:themeFillShade="BF"/>
            <w:noWrap/>
            <w:vAlign w:val="center"/>
          </w:tcPr>
          <w:p w:rsidR="00887025" w:rsidRPr="001945BB" w14:paraId="39E9B9D8" w14:textId="77777777">
            <w:pPr>
              <w:spacing w:line="240" w:lineRule="auto"/>
              <w:jc w:val="center"/>
              <w:rPr>
                <w:b/>
                <w:color w:val="000000"/>
              </w:rPr>
            </w:pPr>
            <w:r w:rsidRPr="001945BB">
              <w:rPr>
                <w:b/>
                <w:lang w:bidi="en-US"/>
              </w:rPr>
              <w:t>Percentage of Individuals that Identify as Black or African American Alone (non</w:t>
            </w:r>
            <w:r w:rsidRPr="001945BB">
              <w:rPr>
                <w:b/>
              </w:rPr>
              <w:t>-</w:t>
            </w:r>
            <w:r w:rsidRPr="001945BB">
              <w:rPr>
                <w:b/>
                <w:lang w:bidi="en-US"/>
              </w:rPr>
              <w:t>Hispanic)</w:t>
            </w:r>
          </w:p>
        </w:tc>
        <w:tc>
          <w:tcPr>
            <w:tcW w:w="1260" w:type="dxa"/>
            <w:tcBorders>
              <w:bottom w:val="single" w:sz="4" w:space="0" w:color="auto"/>
            </w:tcBorders>
            <w:shd w:val="clear" w:color="auto" w:fill="BFBFBF" w:themeFill="background1" w:themeFillShade="BF"/>
            <w:noWrap/>
            <w:vAlign w:val="center"/>
          </w:tcPr>
          <w:p w:rsidR="00887025" w:rsidRPr="001945BB" w14:paraId="568B62D1" w14:textId="77777777">
            <w:pPr>
              <w:spacing w:line="240" w:lineRule="auto"/>
              <w:jc w:val="center"/>
              <w:rPr>
                <w:b/>
                <w:color w:val="000000"/>
              </w:rPr>
            </w:pPr>
            <w:r w:rsidRPr="001945BB">
              <w:rPr>
                <w:b/>
                <w:lang w:bidi="en-US"/>
              </w:rPr>
              <w:t>Percentage of Individuals that Identify as American Indian and Alaska Native Alone (non</w:t>
            </w:r>
            <w:r w:rsidRPr="001945BB">
              <w:rPr>
                <w:b/>
              </w:rPr>
              <w:t>-</w:t>
            </w:r>
            <w:r w:rsidRPr="001945BB">
              <w:rPr>
                <w:b/>
                <w:lang w:bidi="en-US"/>
              </w:rPr>
              <w:t>Hispanic)</w:t>
            </w:r>
          </w:p>
        </w:tc>
        <w:tc>
          <w:tcPr>
            <w:tcW w:w="1260" w:type="dxa"/>
            <w:tcBorders>
              <w:bottom w:val="single" w:sz="4" w:space="0" w:color="auto"/>
            </w:tcBorders>
            <w:shd w:val="clear" w:color="auto" w:fill="BFBFBF" w:themeFill="background1" w:themeFillShade="BF"/>
            <w:noWrap/>
            <w:vAlign w:val="center"/>
          </w:tcPr>
          <w:p w:rsidR="00887025" w:rsidRPr="001945BB" w14:paraId="3C5AD37A" w14:textId="77777777">
            <w:pPr>
              <w:spacing w:line="240" w:lineRule="auto"/>
              <w:jc w:val="center"/>
              <w:rPr>
                <w:b/>
                <w:color w:val="000000"/>
              </w:rPr>
            </w:pPr>
            <w:r w:rsidRPr="001945BB">
              <w:rPr>
                <w:b/>
                <w:lang w:bidi="en-US"/>
              </w:rPr>
              <w:t>Percentage of Individuals that Identify as Asian Alone (non</w:t>
            </w:r>
            <w:r w:rsidRPr="001945BB">
              <w:rPr>
                <w:b/>
              </w:rPr>
              <w:t>-</w:t>
            </w:r>
            <w:r w:rsidRPr="001945BB">
              <w:rPr>
                <w:b/>
                <w:lang w:bidi="en-US"/>
              </w:rPr>
              <w:t>Hispanic)</w:t>
            </w:r>
          </w:p>
        </w:tc>
        <w:tc>
          <w:tcPr>
            <w:tcW w:w="1350" w:type="dxa"/>
            <w:tcBorders>
              <w:bottom w:val="single" w:sz="4" w:space="0" w:color="auto"/>
            </w:tcBorders>
            <w:shd w:val="clear" w:color="auto" w:fill="BFBFBF" w:themeFill="background1" w:themeFillShade="BF"/>
            <w:noWrap/>
            <w:vAlign w:val="center"/>
          </w:tcPr>
          <w:p w:rsidR="00887025" w:rsidRPr="001945BB" w14:paraId="036FCA36" w14:textId="77777777">
            <w:pPr>
              <w:spacing w:line="240" w:lineRule="auto"/>
              <w:jc w:val="center"/>
              <w:rPr>
                <w:b/>
                <w:color w:val="000000"/>
              </w:rPr>
            </w:pPr>
            <w:r w:rsidRPr="001945BB">
              <w:rPr>
                <w:b/>
                <w:lang w:bidi="en-US"/>
              </w:rPr>
              <w:t>Percentage of Individuals that Identify as Native Hawaiian and Other Pacific Islander Alone (non</w:t>
            </w:r>
            <w:r w:rsidRPr="001945BB">
              <w:rPr>
                <w:b/>
              </w:rPr>
              <w:t>-</w:t>
            </w:r>
            <w:r w:rsidRPr="001945BB">
              <w:rPr>
                <w:b/>
                <w:lang w:bidi="en-US"/>
              </w:rPr>
              <w:t>Hispanic)</w:t>
            </w:r>
          </w:p>
        </w:tc>
        <w:tc>
          <w:tcPr>
            <w:tcW w:w="1260" w:type="dxa"/>
            <w:tcBorders>
              <w:bottom w:val="single" w:sz="4" w:space="0" w:color="auto"/>
            </w:tcBorders>
            <w:shd w:val="clear" w:color="auto" w:fill="BFBFBF" w:themeFill="background1" w:themeFillShade="BF"/>
            <w:noWrap/>
            <w:vAlign w:val="center"/>
          </w:tcPr>
          <w:p w:rsidR="00887025" w:rsidRPr="001945BB" w14:paraId="72AD39C1" w14:textId="77777777">
            <w:pPr>
              <w:spacing w:line="240" w:lineRule="auto"/>
              <w:jc w:val="center"/>
              <w:rPr>
                <w:b/>
                <w:color w:val="000000"/>
              </w:rPr>
            </w:pPr>
            <w:r w:rsidRPr="001945BB">
              <w:rPr>
                <w:b/>
                <w:lang w:bidi="en-US"/>
              </w:rPr>
              <w:t>Percentage of Individuals that Identify as Some Other Race Alone (non</w:t>
            </w:r>
            <w:r w:rsidRPr="001945BB">
              <w:rPr>
                <w:b/>
              </w:rPr>
              <w:t>-</w:t>
            </w:r>
            <w:r w:rsidRPr="001945BB">
              <w:rPr>
                <w:b/>
                <w:lang w:bidi="en-US"/>
              </w:rPr>
              <w:t>Hispanic)</w:t>
            </w:r>
          </w:p>
        </w:tc>
        <w:tc>
          <w:tcPr>
            <w:tcW w:w="1170" w:type="dxa"/>
            <w:tcBorders>
              <w:bottom w:val="single" w:sz="4" w:space="0" w:color="auto"/>
            </w:tcBorders>
            <w:shd w:val="clear" w:color="auto" w:fill="BFBFBF" w:themeFill="background1" w:themeFillShade="BF"/>
            <w:noWrap/>
            <w:vAlign w:val="center"/>
          </w:tcPr>
          <w:p w:rsidR="00887025" w:rsidRPr="001945BB" w14:paraId="7A8D8D88" w14:textId="77777777">
            <w:pPr>
              <w:spacing w:line="240" w:lineRule="auto"/>
              <w:jc w:val="center"/>
              <w:rPr>
                <w:b/>
                <w:color w:val="000000"/>
              </w:rPr>
            </w:pPr>
            <w:r w:rsidRPr="001945BB">
              <w:rPr>
                <w:b/>
                <w:lang w:bidi="en-US"/>
              </w:rPr>
              <w:t>Percentage of Individuals that Identify as Two or More Races</w:t>
            </w:r>
          </w:p>
        </w:tc>
        <w:tc>
          <w:tcPr>
            <w:tcW w:w="1260" w:type="dxa"/>
            <w:tcBorders>
              <w:bottom w:val="single" w:sz="4" w:space="0" w:color="auto"/>
            </w:tcBorders>
            <w:shd w:val="clear" w:color="auto" w:fill="BFBFBF" w:themeFill="background1" w:themeFillShade="BF"/>
            <w:noWrap/>
            <w:vAlign w:val="center"/>
          </w:tcPr>
          <w:p w:rsidR="00887025" w:rsidRPr="001945BB" w14:paraId="237B9451" w14:textId="77777777">
            <w:pPr>
              <w:spacing w:line="240" w:lineRule="auto"/>
              <w:jc w:val="center"/>
              <w:rPr>
                <w:b/>
                <w:color w:val="000000"/>
              </w:rPr>
            </w:pPr>
            <w:r w:rsidRPr="001945BB">
              <w:rPr>
                <w:b/>
                <w:color w:val="000000"/>
              </w:rPr>
              <w:t>Percentage of Individuals that Identify as Hispanic or Latino Alone</w:t>
            </w:r>
          </w:p>
        </w:tc>
        <w:tc>
          <w:tcPr>
            <w:tcW w:w="1260" w:type="dxa"/>
            <w:tcBorders>
              <w:bottom w:val="single" w:sz="4" w:space="0" w:color="auto"/>
            </w:tcBorders>
            <w:shd w:val="clear" w:color="auto" w:fill="BFBFBF" w:themeFill="background1" w:themeFillShade="BF"/>
            <w:vAlign w:val="center"/>
          </w:tcPr>
          <w:p w:rsidR="00887025" w:rsidRPr="001945BB" w14:paraId="56F5AF48" w14:textId="77777777">
            <w:pPr>
              <w:spacing w:line="240" w:lineRule="auto"/>
              <w:jc w:val="center"/>
              <w:rPr>
                <w:b/>
                <w:color w:val="000000"/>
              </w:rPr>
            </w:pPr>
            <w:r>
              <w:rPr>
                <w:b/>
                <w:color w:val="000000"/>
              </w:rPr>
              <w:t>Percentage of Individuals</w:t>
            </w:r>
            <w:r w:rsidRPr="00205242">
              <w:rPr>
                <w:b/>
                <w:color w:val="000000"/>
              </w:rPr>
              <w:t xml:space="preserve"> </w:t>
            </w:r>
            <w:r>
              <w:rPr>
                <w:b/>
                <w:color w:val="000000"/>
              </w:rPr>
              <w:t>E</w:t>
            </w:r>
            <w:r w:rsidRPr="003C56CB">
              <w:rPr>
                <w:b/>
                <w:color w:val="000000"/>
              </w:rPr>
              <w:t xml:space="preserve">arning </w:t>
            </w:r>
            <w:r>
              <w:rPr>
                <w:b/>
                <w:color w:val="000000"/>
              </w:rPr>
              <w:t>L</w:t>
            </w:r>
            <w:r w:rsidRPr="003C56CB">
              <w:rPr>
                <w:b/>
                <w:color w:val="000000"/>
              </w:rPr>
              <w:t xml:space="preserve">ess </w:t>
            </w:r>
            <w:r>
              <w:rPr>
                <w:b/>
                <w:color w:val="000000"/>
              </w:rPr>
              <w:t>T</w:t>
            </w:r>
            <w:r w:rsidRPr="003C56CB">
              <w:rPr>
                <w:b/>
                <w:color w:val="000000"/>
              </w:rPr>
              <w:t xml:space="preserve">han or </w:t>
            </w:r>
            <w:r>
              <w:rPr>
                <w:b/>
                <w:color w:val="000000"/>
              </w:rPr>
              <w:t>E</w:t>
            </w:r>
            <w:r w:rsidRPr="003C56CB">
              <w:rPr>
                <w:b/>
                <w:color w:val="000000"/>
              </w:rPr>
              <w:t xml:space="preserve">qual to </w:t>
            </w:r>
            <w:r>
              <w:rPr>
                <w:b/>
                <w:color w:val="000000"/>
              </w:rPr>
              <w:t>T</w:t>
            </w:r>
            <w:r w:rsidRPr="003C56CB">
              <w:rPr>
                <w:b/>
                <w:color w:val="000000"/>
              </w:rPr>
              <w:t xml:space="preserve">wice the </w:t>
            </w:r>
            <w:r>
              <w:rPr>
                <w:b/>
                <w:color w:val="000000"/>
              </w:rPr>
              <w:t>F</w:t>
            </w:r>
            <w:r w:rsidRPr="003C56CB">
              <w:rPr>
                <w:b/>
                <w:color w:val="000000"/>
              </w:rPr>
              <w:t xml:space="preserve">ederal </w:t>
            </w:r>
            <w:r>
              <w:rPr>
                <w:b/>
                <w:color w:val="000000"/>
              </w:rPr>
              <w:t>P</w:t>
            </w:r>
            <w:r w:rsidRPr="003C56CB">
              <w:rPr>
                <w:b/>
                <w:color w:val="000000"/>
              </w:rPr>
              <w:t xml:space="preserve">overty </w:t>
            </w:r>
            <w:r>
              <w:rPr>
                <w:b/>
                <w:color w:val="000000"/>
              </w:rPr>
              <w:t>L</w:t>
            </w:r>
            <w:r w:rsidRPr="003C56CB">
              <w:rPr>
                <w:b/>
                <w:color w:val="000000"/>
              </w:rPr>
              <w:t>eve</w:t>
            </w:r>
            <w:r>
              <w:rPr>
                <w:b/>
                <w:color w:val="000000"/>
              </w:rPr>
              <w:t>l</w:t>
            </w:r>
          </w:p>
        </w:tc>
      </w:tr>
      <w:tr w14:paraId="1A5A95D0" w14:textId="77777777">
        <w:tblPrEx>
          <w:tblW w:w="15210" w:type="dxa"/>
          <w:jc w:val="center"/>
          <w:tblLayout w:type="fixed"/>
          <w:tblLook w:val="04A0"/>
        </w:tblPrEx>
        <w:trPr>
          <w:trHeight w:val="300"/>
          <w:jc w:val="center"/>
        </w:trPr>
        <w:tc>
          <w:tcPr>
            <w:tcW w:w="990" w:type="dxa"/>
            <w:vMerge w:val="restart"/>
            <w:tcBorders>
              <w:top w:val="single" w:sz="12" w:space="0" w:color="auto"/>
            </w:tcBorders>
            <w:vAlign w:val="center"/>
          </w:tcPr>
          <w:p w:rsidR="00887025" w:rsidRPr="001945BB" w14:paraId="30313982" w14:textId="77777777">
            <w:pPr>
              <w:spacing w:line="240" w:lineRule="auto"/>
              <w:rPr>
                <w:color w:val="000000"/>
              </w:rPr>
            </w:pPr>
            <w:r w:rsidRPr="001945BB">
              <w:rPr>
                <w:color w:val="000000"/>
              </w:rPr>
              <w:t>Facilities with accidents 2004-2020</w:t>
            </w:r>
          </w:p>
        </w:tc>
        <w:tc>
          <w:tcPr>
            <w:tcW w:w="900" w:type="dxa"/>
            <w:vMerge w:val="restart"/>
            <w:tcBorders>
              <w:top w:val="single" w:sz="12" w:space="0" w:color="auto"/>
            </w:tcBorders>
            <w:vAlign w:val="center"/>
          </w:tcPr>
          <w:p w:rsidR="00887025" w:rsidRPr="001945BB" w14:paraId="6B77F143" w14:textId="77777777">
            <w:pPr>
              <w:spacing w:line="240" w:lineRule="auto"/>
              <w:jc w:val="center"/>
              <w:rPr>
                <w:color w:val="000000"/>
              </w:rPr>
            </w:pPr>
            <w:r w:rsidRPr="001945BB">
              <w:rPr>
                <w:color w:val="000000"/>
              </w:rPr>
              <w:t>324</w:t>
            </w:r>
          </w:p>
        </w:tc>
        <w:tc>
          <w:tcPr>
            <w:tcW w:w="990" w:type="dxa"/>
            <w:vMerge w:val="restart"/>
            <w:tcBorders>
              <w:top w:val="single" w:sz="12" w:space="0" w:color="auto"/>
            </w:tcBorders>
            <w:vAlign w:val="center"/>
          </w:tcPr>
          <w:p w:rsidR="00887025" w:rsidRPr="001945BB" w14:paraId="736F8AA7" w14:textId="77777777">
            <w:pPr>
              <w:spacing w:line="240" w:lineRule="auto"/>
              <w:jc w:val="center"/>
              <w:rPr>
                <w:color w:val="000000"/>
              </w:rPr>
            </w:pPr>
            <w:r>
              <w:rPr>
                <w:color w:val="000000"/>
              </w:rPr>
              <w:t>94</w:t>
            </w:r>
          </w:p>
        </w:tc>
        <w:tc>
          <w:tcPr>
            <w:tcW w:w="990" w:type="dxa"/>
            <w:tcBorders>
              <w:top w:val="single" w:sz="12" w:space="0" w:color="auto"/>
            </w:tcBorders>
            <w:vAlign w:val="center"/>
          </w:tcPr>
          <w:p w:rsidR="00887025" w:rsidRPr="001945BB" w14:paraId="1927177D" w14:textId="77777777">
            <w:pPr>
              <w:spacing w:line="240" w:lineRule="auto"/>
              <w:jc w:val="center"/>
              <w:rPr>
                <w:color w:val="000000"/>
              </w:rPr>
            </w:pPr>
            <w:r w:rsidRPr="001945BB">
              <w:rPr>
                <w:color w:val="000000"/>
              </w:rPr>
              <w:t>1</w:t>
            </w:r>
          </w:p>
        </w:tc>
        <w:tc>
          <w:tcPr>
            <w:tcW w:w="1260" w:type="dxa"/>
            <w:tcBorders>
              <w:top w:val="single" w:sz="12" w:space="0" w:color="auto"/>
              <w:left w:val="nil"/>
              <w:bottom w:val="single" w:sz="4" w:space="0" w:color="auto"/>
              <w:right w:val="single" w:sz="4" w:space="0" w:color="auto"/>
            </w:tcBorders>
            <w:shd w:val="clear" w:color="auto" w:fill="auto"/>
            <w:vAlign w:val="center"/>
          </w:tcPr>
          <w:p w:rsidR="00887025" w:rsidRPr="001945BB" w14:paraId="0BBCE2C4" w14:textId="77777777">
            <w:pPr>
              <w:spacing w:line="240" w:lineRule="auto"/>
              <w:jc w:val="right"/>
              <w:rPr>
                <w:color w:val="000000"/>
              </w:rPr>
            </w:pPr>
            <w:r w:rsidRPr="001945BB">
              <w:rPr>
                <w:color w:val="000000"/>
              </w:rPr>
              <w:t>362,108</w:t>
            </w:r>
          </w:p>
        </w:tc>
        <w:tc>
          <w:tcPr>
            <w:tcW w:w="126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6F273C" w14:paraId="68543033" w14:textId="77777777">
            <w:pPr>
              <w:spacing w:line="240" w:lineRule="auto"/>
              <w:jc w:val="center"/>
              <w:rPr>
                <w:b/>
                <w:bCs/>
                <w:color w:val="000000"/>
              </w:rPr>
            </w:pPr>
            <w:r w:rsidRPr="006F273C">
              <w:rPr>
                <w:b/>
                <w:bCs/>
                <w:color w:val="000000"/>
              </w:rPr>
              <w:t xml:space="preserve"> 16.7%</w:t>
            </w:r>
          </w:p>
        </w:tc>
        <w:tc>
          <w:tcPr>
            <w:tcW w:w="126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1945BB" w14:paraId="00C9FACF" w14:textId="77777777">
            <w:pPr>
              <w:spacing w:line="240" w:lineRule="auto"/>
              <w:jc w:val="center"/>
              <w:rPr>
                <w:color w:val="000000"/>
              </w:rPr>
            </w:pPr>
            <w:r w:rsidRPr="001945BB">
              <w:rPr>
                <w:color w:val="000000"/>
              </w:rPr>
              <w:t>0.6%</w:t>
            </w:r>
          </w:p>
        </w:tc>
        <w:tc>
          <w:tcPr>
            <w:tcW w:w="126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1945BB" w14:paraId="5FA7885A" w14:textId="77777777">
            <w:pPr>
              <w:spacing w:line="240" w:lineRule="auto"/>
              <w:jc w:val="center"/>
              <w:rPr>
                <w:color w:val="000000"/>
              </w:rPr>
            </w:pPr>
            <w:r w:rsidRPr="001945BB">
              <w:rPr>
                <w:color w:val="000000"/>
              </w:rPr>
              <w:t>5.3%</w:t>
            </w:r>
          </w:p>
        </w:tc>
        <w:tc>
          <w:tcPr>
            <w:tcW w:w="135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6F273C" w14:paraId="3926C488" w14:textId="77777777">
            <w:pPr>
              <w:spacing w:line="240" w:lineRule="auto"/>
              <w:jc w:val="center"/>
              <w:rPr>
                <w:b/>
                <w:bCs/>
                <w:color w:val="000000"/>
              </w:rPr>
            </w:pPr>
            <w:r w:rsidRPr="006F273C">
              <w:rPr>
                <w:b/>
                <w:bCs/>
                <w:color w:val="000000"/>
              </w:rPr>
              <w:t>0.4%</w:t>
            </w:r>
          </w:p>
        </w:tc>
        <w:tc>
          <w:tcPr>
            <w:tcW w:w="126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1945BB" w14:paraId="1F4E6090" w14:textId="77777777">
            <w:pPr>
              <w:spacing w:line="240" w:lineRule="auto"/>
              <w:jc w:val="center"/>
              <w:rPr>
                <w:color w:val="000000"/>
              </w:rPr>
            </w:pPr>
            <w:r w:rsidRPr="001945BB">
              <w:rPr>
                <w:color w:val="000000"/>
              </w:rPr>
              <w:t>0.3%</w:t>
            </w:r>
          </w:p>
        </w:tc>
        <w:tc>
          <w:tcPr>
            <w:tcW w:w="117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6F273C" w14:paraId="1CDB2EE9" w14:textId="77777777">
            <w:pPr>
              <w:spacing w:line="240" w:lineRule="auto"/>
              <w:jc w:val="center"/>
              <w:rPr>
                <w:b/>
                <w:bCs/>
                <w:color w:val="000000"/>
              </w:rPr>
            </w:pPr>
            <w:r w:rsidRPr="006F273C">
              <w:rPr>
                <w:b/>
                <w:bCs/>
                <w:color w:val="000000"/>
              </w:rPr>
              <w:t>3.4%</w:t>
            </w:r>
          </w:p>
        </w:tc>
        <w:tc>
          <w:tcPr>
            <w:tcW w:w="126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6F273C" w14:paraId="1FA355C5" w14:textId="77777777">
            <w:pPr>
              <w:spacing w:line="240" w:lineRule="auto"/>
              <w:jc w:val="center"/>
              <w:rPr>
                <w:b/>
                <w:bCs/>
                <w:color w:val="000000"/>
              </w:rPr>
            </w:pPr>
            <w:r w:rsidRPr="006F273C">
              <w:rPr>
                <w:b/>
                <w:bCs/>
                <w:color w:val="000000"/>
              </w:rPr>
              <w:t>35.8%</w:t>
            </w:r>
          </w:p>
        </w:tc>
        <w:tc>
          <w:tcPr>
            <w:tcW w:w="1260" w:type="dxa"/>
            <w:tcBorders>
              <w:top w:val="single" w:sz="12" w:space="0" w:color="auto"/>
              <w:left w:val="single" w:sz="4" w:space="0" w:color="auto"/>
              <w:bottom w:val="single" w:sz="4" w:space="0" w:color="auto"/>
              <w:right w:val="single" w:sz="4" w:space="0" w:color="auto"/>
            </w:tcBorders>
            <w:vAlign w:val="center"/>
          </w:tcPr>
          <w:p w:rsidR="00887025" w:rsidRPr="006F273C" w14:paraId="581E3816" w14:textId="77777777">
            <w:pPr>
              <w:spacing w:line="240" w:lineRule="auto"/>
              <w:jc w:val="center"/>
              <w:rPr>
                <w:b/>
                <w:bCs/>
                <w:color w:val="000000"/>
              </w:rPr>
            </w:pPr>
            <w:r w:rsidRPr="006F273C">
              <w:rPr>
                <w:b/>
                <w:bCs/>
                <w:color w:val="000000"/>
              </w:rPr>
              <w:t xml:space="preserve"> 41.9%</w:t>
            </w:r>
          </w:p>
        </w:tc>
      </w:tr>
      <w:tr w14:paraId="61BE4D46" w14:textId="77777777">
        <w:tblPrEx>
          <w:tblW w:w="15210" w:type="dxa"/>
          <w:jc w:val="center"/>
          <w:tblLayout w:type="fixed"/>
          <w:tblLook w:val="04A0"/>
        </w:tblPrEx>
        <w:trPr>
          <w:trHeight w:val="300"/>
          <w:jc w:val="center"/>
        </w:trPr>
        <w:tc>
          <w:tcPr>
            <w:tcW w:w="990" w:type="dxa"/>
            <w:vMerge/>
            <w:vAlign w:val="center"/>
          </w:tcPr>
          <w:p w:rsidR="00887025" w:rsidRPr="001945BB" w14:paraId="2031FCAB" w14:textId="77777777">
            <w:pPr>
              <w:spacing w:line="240" w:lineRule="auto"/>
              <w:jc w:val="center"/>
              <w:rPr>
                <w:color w:val="000000"/>
              </w:rPr>
            </w:pPr>
          </w:p>
        </w:tc>
        <w:tc>
          <w:tcPr>
            <w:tcW w:w="900" w:type="dxa"/>
            <w:vMerge/>
            <w:vAlign w:val="center"/>
          </w:tcPr>
          <w:p w:rsidR="00887025" w:rsidRPr="001945BB" w14:paraId="38B6F720" w14:textId="77777777">
            <w:pPr>
              <w:spacing w:line="240" w:lineRule="auto"/>
              <w:jc w:val="center"/>
              <w:rPr>
                <w:color w:val="000000"/>
              </w:rPr>
            </w:pPr>
          </w:p>
        </w:tc>
        <w:tc>
          <w:tcPr>
            <w:tcW w:w="990" w:type="dxa"/>
            <w:vMerge/>
            <w:vAlign w:val="center"/>
          </w:tcPr>
          <w:p w:rsidR="00887025" w:rsidRPr="001945BB" w14:paraId="5E3359A5" w14:textId="77777777">
            <w:pPr>
              <w:spacing w:line="240" w:lineRule="auto"/>
              <w:jc w:val="center"/>
              <w:rPr>
                <w:color w:val="000000"/>
              </w:rPr>
            </w:pPr>
          </w:p>
        </w:tc>
        <w:tc>
          <w:tcPr>
            <w:tcW w:w="990" w:type="dxa"/>
            <w:vAlign w:val="center"/>
          </w:tcPr>
          <w:p w:rsidR="00887025" w:rsidRPr="001945BB" w14:paraId="7302F2AB" w14:textId="77777777">
            <w:pPr>
              <w:spacing w:line="240" w:lineRule="auto"/>
              <w:jc w:val="center"/>
              <w:rPr>
                <w:color w:val="000000"/>
              </w:rPr>
            </w:pPr>
            <w:r w:rsidRPr="001945BB">
              <w:rPr>
                <w:color w:val="000000"/>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887025" w:rsidRPr="001945BB" w14:paraId="53248142" w14:textId="77777777">
            <w:pPr>
              <w:spacing w:line="240" w:lineRule="auto"/>
              <w:jc w:val="right"/>
              <w:rPr>
                <w:color w:val="000000"/>
              </w:rPr>
            </w:pPr>
            <w:r w:rsidRPr="001945BB">
              <w:rPr>
                <w:color w:val="000000"/>
              </w:rPr>
              <w:t>1,031,086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3A7F93A0" w14:textId="77777777">
            <w:pPr>
              <w:spacing w:line="240" w:lineRule="auto"/>
              <w:jc w:val="center"/>
              <w:rPr>
                <w:b/>
                <w:bCs/>
                <w:color w:val="000000"/>
              </w:rPr>
            </w:pPr>
            <w:r w:rsidRPr="006F273C">
              <w:rPr>
                <w:b/>
                <w:bCs/>
                <w:color w:val="000000"/>
              </w:rPr>
              <w:t>19.2%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4B4F2203" w14:textId="77777777">
            <w:pPr>
              <w:spacing w:line="240" w:lineRule="auto"/>
              <w:jc w:val="center"/>
              <w:rPr>
                <w:color w:val="000000"/>
              </w:rPr>
            </w:pPr>
            <w:r w:rsidRPr="001945BB">
              <w:rPr>
                <w:color w:val="000000"/>
              </w:rPr>
              <w:t>0.3%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35D8B278" w14:textId="77777777">
            <w:pPr>
              <w:spacing w:line="240" w:lineRule="auto"/>
              <w:jc w:val="center"/>
              <w:rPr>
                <w:color w:val="000000"/>
              </w:rPr>
            </w:pPr>
            <w:r w:rsidRPr="001945BB">
              <w:rPr>
                <w:color w:val="000000"/>
              </w:rPr>
              <w:t>5.3%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55437637" w14:textId="77777777">
            <w:pPr>
              <w:spacing w:line="240" w:lineRule="auto"/>
              <w:jc w:val="center"/>
              <w:rPr>
                <w:color w:val="000000"/>
              </w:rPr>
            </w:pPr>
            <w:r w:rsidRPr="001945BB">
              <w:rPr>
                <w:color w:val="000000"/>
              </w:rPr>
              <w:t>0.2%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181B06E8" w14:textId="77777777">
            <w:pPr>
              <w:spacing w:line="240" w:lineRule="auto"/>
              <w:jc w:val="center"/>
              <w:rPr>
                <w:color w:val="000000"/>
              </w:rPr>
            </w:pPr>
            <w:r w:rsidRPr="001945BB">
              <w:rPr>
                <w:color w:val="000000"/>
              </w:rPr>
              <w:t>0.2%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5FE4AD79" w14:textId="77777777">
            <w:pPr>
              <w:spacing w:line="240" w:lineRule="auto"/>
              <w:jc w:val="center"/>
              <w:rPr>
                <w:b/>
                <w:bCs/>
                <w:color w:val="000000"/>
              </w:rPr>
            </w:pPr>
            <w:r w:rsidRPr="006F273C">
              <w:rPr>
                <w:b/>
                <w:bCs/>
                <w:color w:val="000000"/>
              </w:rPr>
              <w:t>3.3%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62DFE7D3" w14:textId="77777777">
            <w:pPr>
              <w:spacing w:line="240" w:lineRule="auto"/>
              <w:jc w:val="center"/>
              <w:rPr>
                <w:b/>
                <w:bCs/>
                <w:color w:val="000000"/>
              </w:rPr>
            </w:pPr>
            <w:r w:rsidRPr="006F273C">
              <w:rPr>
                <w:b/>
                <w:bCs/>
                <w:color w:val="000000"/>
              </w:rPr>
              <w:t>27.9%</w:t>
            </w:r>
          </w:p>
        </w:tc>
        <w:tc>
          <w:tcPr>
            <w:tcW w:w="1260" w:type="dxa"/>
            <w:tcBorders>
              <w:top w:val="single" w:sz="4" w:space="0" w:color="auto"/>
              <w:left w:val="single" w:sz="4" w:space="0" w:color="auto"/>
              <w:bottom w:val="single" w:sz="4" w:space="0" w:color="auto"/>
              <w:right w:val="single" w:sz="4" w:space="0" w:color="auto"/>
            </w:tcBorders>
            <w:vAlign w:val="center"/>
          </w:tcPr>
          <w:p w:rsidR="00887025" w:rsidRPr="006F273C" w14:paraId="42CD86EF" w14:textId="77777777">
            <w:pPr>
              <w:spacing w:line="240" w:lineRule="auto"/>
              <w:jc w:val="center"/>
              <w:rPr>
                <w:b/>
                <w:bCs/>
                <w:color w:val="000000"/>
              </w:rPr>
            </w:pPr>
            <w:r w:rsidRPr="006F273C">
              <w:rPr>
                <w:b/>
                <w:bCs/>
                <w:color w:val="000000"/>
              </w:rPr>
              <w:t xml:space="preserve"> 36.1%</w:t>
            </w:r>
          </w:p>
        </w:tc>
      </w:tr>
      <w:tr w14:paraId="26F5E913" w14:textId="77777777">
        <w:tblPrEx>
          <w:tblW w:w="15210" w:type="dxa"/>
          <w:jc w:val="center"/>
          <w:tblLayout w:type="fixed"/>
          <w:tblLook w:val="04A0"/>
        </w:tblPrEx>
        <w:trPr>
          <w:trHeight w:val="300"/>
          <w:jc w:val="center"/>
        </w:trPr>
        <w:tc>
          <w:tcPr>
            <w:tcW w:w="990" w:type="dxa"/>
            <w:vMerge/>
            <w:vAlign w:val="center"/>
          </w:tcPr>
          <w:p w:rsidR="00887025" w:rsidRPr="001945BB" w14:paraId="5CA75716" w14:textId="77777777">
            <w:pPr>
              <w:spacing w:line="240" w:lineRule="auto"/>
              <w:jc w:val="center"/>
              <w:rPr>
                <w:color w:val="000000"/>
              </w:rPr>
            </w:pPr>
          </w:p>
        </w:tc>
        <w:tc>
          <w:tcPr>
            <w:tcW w:w="900" w:type="dxa"/>
            <w:vMerge w:val="restart"/>
            <w:vAlign w:val="center"/>
          </w:tcPr>
          <w:p w:rsidR="00887025" w:rsidRPr="001945BB" w14:paraId="1AC4CCF9" w14:textId="77777777">
            <w:pPr>
              <w:spacing w:line="240" w:lineRule="auto"/>
              <w:jc w:val="center"/>
              <w:rPr>
                <w:color w:val="000000"/>
              </w:rPr>
            </w:pPr>
            <w:r w:rsidRPr="001945BB">
              <w:rPr>
                <w:color w:val="000000"/>
              </w:rPr>
              <w:t>325</w:t>
            </w:r>
          </w:p>
        </w:tc>
        <w:tc>
          <w:tcPr>
            <w:tcW w:w="990" w:type="dxa"/>
            <w:vMerge w:val="restart"/>
            <w:vAlign w:val="center"/>
          </w:tcPr>
          <w:p w:rsidR="00887025" w:rsidRPr="001945BB" w14:paraId="0AF8281B" w14:textId="77777777">
            <w:pPr>
              <w:spacing w:line="240" w:lineRule="auto"/>
              <w:jc w:val="center"/>
              <w:rPr>
                <w:color w:val="000000"/>
              </w:rPr>
            </w:pPr>
            <w:r>
              <w:rPr>
                <w:color w:val="000000"/>
              </w:rPr>
              <w:t>355</w:t>
            </w:r>
          </w:p>
        </w:tc>
        <w:tc>
          <w:tcPr>
            <w:tcW w:w="990" w:type="dxa"/>
            <w:vAlign w:val="center"/>
          </w:tcPr>
          <w:p w:rsidR="00887025" w:rsidRPr="001945BB" w14:paraId="6D273766" w14:textId="77777777">
            <w:pPr>
              <w:spacing w:line="240" w:lineRule="auto"/>
              <w:jc w:val="center"/>
              <w:rPr>
                <w:color w:val="000000"/>
              </w:rPr>
            </w:pPr>
            <w:r w:rsidRPr="001945BB">
              <w:rPr>
                <w:color w:val="000000"/>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887025" w:rsidRPr="001945BB" w14:paraId="1485289D" w14:textId="77777777">
            <w:pPr>
              <w:spacing w:line="240" w:lineRule="auto"/>
              <w:jc w:val="right"/>
              <w:rPr>
                <w:color w:val="000000"/>
              </w:rPr>
            </w:pPr>
            <w:r w:rsidRPr="001945BB">
              <w:rPr>
                <w:color w:val="000000"/>
              </w:rPr>
              <w:t>4,474,800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5373B985" w14:textId="77777777">
            <w:pPr>
              <w:spacing w:line="240" w:lineRule="auto"/>
              <w:jc w:val="center"/>
              <w:rPr>
                <w:b/>
                <w:bCs/>
                <w:color w:val="000000"/>
              </w:rPr>
            </w:pPr>
            <w:r w:rsidRPr="006F273C">
              <w:rPr>
                <w:b/>
                <w:bCs/>
                <w:color w:val="000000"/>
              </w:rPr>
              <w:t>16.2%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19A0FCC9" w14:textId="77777777">
            <w:pPr>
              <w:spacing w:line="240" w:lineRule="auto"/>
              <w:jc w:val="center"/>
              <w:rPr>
                <w:color w:val="000000"/>
              </w:rPr>
            </w:pPr>
            <w:r w:rsidRPr="001945BB">
              <w:rPr>
                <w:color w:val="000000"/>
              </w:rPr>
              <w:t>0.5%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500E59D9" w14:textId="77777777">
            <w:pPr>
              <w:spacing w:line="240" w:lineRule="auto"/>
              <w:jc w:val="center"/>
              <w:rPr>
                <w:b/>
                <w:bCs/>
                <w:color w:val="000000"/>
              </w:rPr>
            </w:pPr>
            <w:r w:rsidRPr="006F273C">
              <w:rPr>
                <w:b/>
                <w:bCs/>
                <w:color w:val="000000"/>
              </w:rPr>
              <w:t>7.2%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5199C7D3" w14:textId="77777777">
            <w:pPr>
              <w:spacing w:line="240" w:lineRule="auto"/>
              <w:jc w:val="center"/>
              <w:rPr>
                <w:b/>
                <w:bCs/>
                <w:color w:val="000000"/>
              </w:rPr>
            </w:pPr>
            <w:r w:rsidRPr="006F273C">
              <w:rPr>
                <w:b/>
                <w:bCs/>
                <w:color w:val="000000"/>
              </w:rPr>
              <w:t>0.5%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1393DC5F" w14:textId="77777777">
            <w:pPr>
              <w:spacing w:line="240" w:lineRule="auto"/>
              <w:jc w:val="center"/>
              <w:rPr>
                <w:color w:val="000000"/>
              </w:rPr>
            </w:pPr>
            <w:r w:rsidRPr="001945BB">
              <w:rPr>
                <w:color w:val="000000"/>
              </w:rPr>
              <w:t>0.3%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2A79DF83" w14:textId="77777777">
            <w:pPr>
              <w:spacing w:line="240" w:lineRule="auto"/>
              <w:jc w:val="center"/>
              <w:rPr>
                <w:color w:val="000000"/>
              </w:rPr>
            </w:pPr>
            <w:r w:rsidRPr="001945BB">
              <w:rPr>
                <w:color w:val="000000"/>
              </w:rPr>
              <w:t>3.2%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20806482" w14:textId="77777777">
            <w:pPr>
              <w:spacing w:line="240" w:lineRule="auto"/>
              <w:jc w:val="center"/>
              <w:rPr>
                <w:b/>
                <w:bCs/>
                <w:color w:val="000000"/>
              </w:rPr>
            </w:pPr>
            <w:r w:rsidRPr="006F273C">
              <w:rPr>
                <w:b/>
                <w:bCs/>
                <w:color w:val="000000"/>
              </w:rPr>
              <w:t>35.2%</w:t>
            </w:r>
          </w:p>
        </w:tc>
        <w:tc>
          <w:tcPr>
            <w:tcW w:w="1260" w:type="dxa"/>
            <w:tcBorders>
              <w:top w:val="single" w:sz="4" w:space="0" w:color="auto"/>
              <w:left w:val="single" w:sz="4" w:space="0" w:color="auto"/>
              <w:bottom w:val="single" w:sz="4" w:space="0" w:color="auto"/>
              <w:right w:val="single" w:sz="4" w:space="0" w:color="auto"/>
            </w:tcBorders>
            <w:vAlign w:val="center"/>
          </w:tcPr>
          <w:p w:rsidR="00887025" w:rsidRPr="006F273C" w14:paraId="789C8060" w14:textId="77777777">
            <w:pPr>
              <w:spacing w:line="240" w:lineRule="auto"/>
              <w:jc w:val="center"/>
              <w:rPr>
                <w:b/>
                <w:bCs/>
                <w:color w:val="000000"/>
              </w:rPr>
            </w:pPr>
            <w:r w:rsidRPr="006F273C">
              <w:rPr>
                <w:b/>
                <w:bCs/>
                <w:color w:val="000000"/>
              </w:rPr>
              <w:t xml:space="preserve"> 38.8%</w:t>
            </w:r>
          </w:p>
        </w:tc>
      </w:tr>
      <w:tr w14:paraId="0918B5B9" w14:textId="77777777">
        <w:tblPrEx>
          <w:tblW w:w="15210" w:type="dxa"/>
          <w:jc w:val="center"/>
          <w:tblLayout w:type="fixed"/>
          <w:tblLook w:val="04A0"/>
        </w:tblPrEx>
        <w:trPr>
          <w:trHeight w:val="300"/>
          <w:jc w:val="center"/>
        </w:trPr>
        <w:tc>
          <w:tcPr>
            <w:tcW w:w="990" w:type="dxa"/>
            <w:vMerge/>
            <w:vAlign w:val="center"/>
          </w:tcPr>
          <w:p w:rsidR="00887025" w:rsidRPr="001945BB" w14:paraId="42FB3DAB" w14:textId="77777777">
            <w:pPr>
              <w:spacing w:line="240" w:lineRule="auto"/>
              <w:jc w:val="center"/>
              <w:rPr>
                <w:color w:val="000000"/>
              </w:rPr>
            </w:pPr>
          </w:p>
        </w:tc>
        <w:tc>
          <w:tcPr>
            <w:tcW w:w="900" w:type="dxa"/>
            <w:vMerge/>
            <w:vAlign w:val="center"/>
          </w:tcPr>
          <w:p w:rsidR="00887025" w:rsidRPr="001945BB" w14:paraId="3B7992B4" w14:textId="77777777">
            <w:pPr>
              <w:spacing w:line="240" w:lineRule="auto"/>
              <w:jc w:val="center"/>
              <w:rPr>
                <w:color w:val="000000"/>
              </w:rPr>
            </w:pPr>
          </w:p>
        </w:tc>
        <w:tc>
          <w:tcPr>
            <w:tcW w:w="990" w:type="dxa"/>
            <w:vMerge/>
            <w:vAlign w:val="center"/>
          </w:tcPr>
          <w:p w:rsidR="00887025" w:rsidRPr="001945BB" w14:paraId="41FDC51A" w14:textId="77777777">
            <w:pPr>
              <w:spacing w:line="240" w:lineRule="auto"/>
              <w:jc w:val="center"/>
              <w:rPr>
                <w:color w:val="000000"/>
              </w:rPr>
            </w:pPr>
          </w:p>
        </w:tc>
        <w:tc>
          <w:tcPr>
            <w:tcW w:w="990" w:type="dxa"/>
            <w:vAlign w:val="center"/>
          </w:tcPr>
          <w:p w:rsidR="00887025" w:rsidRPr="001945BB" w14:paraId="3F7F5BC0" w14:textId="77777777">
            <w:pPr>
              <w:spacing w:line="240" w:lineRule="auto"/>
              <w:jc w:val="center"/>
              <w:rPr>
                <w:color w:val="000000"/>
              </w:rPr>
            </w:pPr>
            <w:r w:rsidRPr="001945BB">
              <w:rPr>
                <w:color w:val="000000"/>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887025" w:rsidRPr="001945BB" w14:paraId="13EF9E68" w14:textId="77777777">
            <w:pPr>
              <w:spacing w:line="240" w:lineRule="auto"/>
              <w:jc w:val="right"/>
              <w:rPr>
                <w:color w:val="000000"/>
              </w:rPr>
            </w:pPr>
            <w:r w:rsidRPr="001945BB">
              <w:rPr>
                <w:color w:val="000000"/>
              </w:rPr>
              <w:t>13,212,135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6A9CC476" w14:textId="77777777">
            <w:pPr>
              <w:spacing w:line="240" w:lineRule="auto"/>
              <w:jc w:val="center"/>
              <w:rPr>
                <w:b/>
                <w:bCs/>
                <w:color w:val="000000"/>
              </w:rPr>
            </w:pPr>
            <w:r w:rsidRPr="006F273C">
              <w:rPr>
                <w:b/>
                <w:bCs/>
                <w:color w:val="000000"/>
              </w:rPr>
              <w:t>19.5%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1B29C40D" w14:textId="77777777">
            <w:pPr>
              <w:spacing w:line="240" w:lineRule="auto"/>
              <w:jc w:val="center"/>
              <w:rPr>
                <w:color w:val="000000"/>
              </w:rPr>
            </w:pPr>
            <w:r w:rsidRPr="001945BB">
              <w:rPr>
                <w:color w:val="000000"/>
              </w:rPr>
              <w:t>0.3%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2C52F0C1" w14:textId="77777777">
            <w:pPr>
              <w:spacing w:line="240" w:lineRule="auto"/>
              <w:jc w:val="center"/>
              <w:rPr>
                <w:b/>
                <w:bCs/>
                <w:color w:val="000000"/>
              </w:rPr>
            </w:pPr>
            <w:r w:rsidRPr="006F273C">
              <w:rPr>
                <w:b/>
                <w:bCs/>
                <w:color w:val="000000"/>
              </w:rPr>
              <w:t>6.5%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04EAE147" w14:textId="77777777">
            <w:pPr>
              <w:spacing w:line="240" w:lineRule="auto"/>
              <w:jc w:val="center"/>
              <w:rPr>
                <w:color w:val="000000"/>
              </w:rPr>
            </w:pPr>
            <w:r w:rsidRPr="001945BB">
              <w:rPr>
                <w:color w:val="000000"/>
              </w:rPr>
              <w:t>0.2%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41D10702" w14:textId="77777777">
            <w:pPr>
              <w:spacing w:line="240" w:lineRule="auto"/>
              <w:jc w:val="center"/>
              <w:rPr>
                <w:color w:val="000000"/>
              </w:rPr>
            </w:pPr>
            <w:r w:rsidRPr="001945BB">
              <w:rPr>
                <w:color w:val="000000"/>
              </w:rPr>
              <w:t>0.4%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0B06A3A2" w14:textId="77777777">
            <w:pPr>
              <w:spacing w:line="240" w:lineRule="auto"/>
              <w:jc w:val="center"/>
              <w:rPr>
                <w:color w:val="000000"/>
              </w:rPr>
            </w:pPr>
            <w:r w:rsidRPr="001945BB">
              <w:rPr>
                <w:color w:val="000000"/>
              </w:rPr>
              <w:t>3.0%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18C03168" w14:textId="77777777">
            <w:pPr>
              <w:spacing w:line="240" w:lineRule="auto"/>
              <w:jc w:val="center"/>
              <w:rPr>
                <w:b/>
                <w:bCs/>
                <w:color w:val="000000"/>
              </w:rPr>
            </w:pPr>
            <w:r w:rsidRPr="006F273C">
              <w:rPr>
                <w:b/>
                <w:bCs/>
                <w:color w:val="000000"/>
              </w:rPr>
              <w:t>28.7%</w:t>
            </w:r>
          </w:p>
        </w:tc>
        <w:tc>
          <w:tcPr>
            <w:tcW w:w="1260" w:type="dxa"/>
            <w:tcBorders>
              <w:top w:val="single" w:sz="4" w:space="0" w:color="auto"/>
              <w:left w:val="single" w:sz="4" w:space="0" w:color="auto"/>
              <w:bottom w:val="single" w:sz="4" w:space="0" w:color="auto"/>
              <w:right w:val="single" w:sz="4" w:space="0" w:color="auto"/>
            </w:tcBorders>
            <w:vAlign w:val="center"/>
          </w:tcPr>
          <w:p w:rsidR="00887025" w:rsidRPr="006F273C" w14:paraId="2034150F" w14:textId="77777777">
            <w:pPr>
              <w:spacing w:line="240" w:lineRule="auto"/>
              <w:jc w:val="center"/>
              <w:rPr>
                <w:b/>
                <w:bCs/>
                <w:color w:val="000000"/>
              </w:rPr>
            </w:pPr>
            <w:r w:rsidRPr="006F273C">
              <w:rPr>
                <w:b/>
                <w:bCs/>
                <w:color w:val="000000"/>
              </w:rPr>
              <w:t xml:space="preserve"> 36.4%</w:t>
            </w:r>
          </w:p>
        </w:tc>
      </w:tr>
      <w:tr w14:paraId="0D5F7A54" w14:textId="77777777">
        <w:tblPrEx>
          <w:tblW w:w="15210" w:type="dxa"/>
          <w:jc w:val="center"/>
          <w:tblLayout w:type="fixed"/>
          <w:tblLook w:val="04A0"/>
        </w:tblPrEx>
        <w:trPr>
          <w:trHeight w:val="300"/>
          <w:jc w:val="center"/>
        </w:trPr>
        <w:tc>
          <w:tcPr>
            <w:tcW w:w="990" w:type="dxa"/>
            <w:vMerge w:val="restart"/>
            <w:vAlign w:val="center"/>
          </w:tcPr>
          <w:p w:rsidR="00887025" w:rsidRPr="001945BB" w14:paraId="14002272" w14:textId="77777777">
            <w:pPr>
              <w:spacing w:line="240" w:lineRule="auto"/>
              <w:rPr>
                <w:color w:val="000000"/>
              </w:rPr>
            </w:pPr>
            <w:r w:rsidRPr="001945BB">
              <w:rPr>
                <w:color w:val="000000"/>
              </w:rPr>
              <w:t>All active facilities</w:t>
            </w:r>
          </w:p>
        </w:tc>
        <w:tc>
          <w:tcPr>
            <w:tcW w:w="900" w:type="dxa"/>
            <w:vMerge w:val="restart"/>
            <w:vAlign w:val="center"/>
          </w:tcPr>
          <w:p w:rsidR="00887025" w:rsidRPr="001945BB" w14:paraId="643637A5" w14:textId="77777777">
            <w:pPr>
              <w:spacing w:line="240" w:lineRule="auto"/>
              <w:jc w:val="center"/>
              <w:rPr>
                <w:color w:val="000000"/>
              </w:rPr>
            </w:pPr>
            <w:r w:rsidRPr="001945BB">
              <w:rPr>
                <w:color w:val="000000"/>
              </w:rPr>
              <w:t>324</w:t>
            </w:r>
          </w:p>
        </w:tc>
        <w:tc>
          <w:tcPr>
            <w:tcW w:w="990" w:type="dxa"/>
            <w:vMerge w:val="restart"/>
            <w:vAlign w:val="center"/>
          </w:tcPr>
          <w:p w:rsidR="00887025" w:rsidRPr="001945BB" w14:paraId="0F0192AE" w14:textId="77777777">
            <w:pPr>
              <w:spacing w:line="240" w:lineRule="auto"/>
              <w:jc w:val="center"/>
              <w:rPr>
                <w:color w:val="000000"/>
              </w:rPr>
            </w:pPr>
            <w:r>
              <w:rPr>
                <w:color w:val="000000"/>
              </w:rPr>
              <w:t>161</w:t>
            </w:r>
          </w:p>
        </w:tc>
        <w:tc>
          <w:tcPr>
            <w:tcW w:w="990" w:type="dxa"/>
            <w:vAlign w:val="center"/>
          </w:tcPr>
          <w:p w:rsidR="00887025" w:rsidRPr="001945BB" w14:paraId="4A64D99A" w14:textId="77777777">
            <w:pPr>
              <w:spacing w:line="240" w:lineRule="auto"/>
              <w:jc w:val="center"/>
              <w:rPr>
                <w:color w:val="000000"/>
              </w:rPr>
            </w:pPr>
            <w:r w:rsidRPr="001945BB">
              <w:rPr>
                <w:color w:val="000000"/>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887025" w:rsidRPr="001945BB" w14:paraId="19FCD239" w14:textId="77777777">
            <w:pPr>
              <w:spacing w:line="240" w:lineRule="auto"/>
              <w:jc w:val="right"/>
              <w:rPr>
                <w:color w:val="000000"/>
              </w:rPr>
            </w:pPr>
            <w:r w:rsidRPr="001945BB">
              <w:rPr>
                <w:color w:val="000000"/>
              </w:rPr>
              <w:t>502,258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1319900E" w14:textId="77777777">
            <w:pPr>
              <w:spacing w:line="240" w:lineRule="auto"/>
              <w:jc w:val="center"/>
              <w:rPr>
                <w:b/>
                <w:bCs/>
                <w:color w:val="000000"/>
              </w:rPr>
            </w:pPr>
            <w:r w:rsidRPr="006F273C">
              <w:rPr>
                <w:b/>
                <w:bCs/>
                <w:color w:val="000000"/>
              </w:rPr>
              <w:t>14.1%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56B8172A" w14:textId="77777777">
            <w:pPr>
              <w:spacing w:line="240" w:lineRule="auto"/>
              <w:jc w:val="center"/>
              <w:rPr>
                <w:color w:val="000000"/>
              </w:rPr>
            </w:pPr>
            <w:r w:rsidRPr="001945BB">
              <w:rPr>
                <w:color w:val="000000"/>
              </w:rPr>
              <w:t>0.5%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6F5D9B4B" w14:textId="77777777">
            <w:pPr>
              <w:spacing w:line="240" w:lineRule="auto"/>
              <w:jc w:val="center"/>
              <w:rPr>
                <w:color w:val="000000"/>
              </w:rPr>
            </w:pPr>
            <w:r w:rsidRPr="001945BB">
              <w:rPr>
                <w:color w:val="000000"/>
              </w:rPr>
              <w:t>4.4%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751B81CE" w14:textId="77777777">
            <w:pPr>
              <w:spacing w:line="240" w:lineRule="auto"/>
              <w:jc w:val="center"/>
              <w:rPr>
                <w:b/>
                <w:bCs/>
                <w:color w:val="000000"/>
              </w:rPr>
            </w:pPr>
            <w:r w:rsidRPr="006F273C">
              <w:rPr>
                <w:b/>
                <w:bCs/>
                <w:color w:val="000000"/>
              </w:rPr>
              <w:t>0.4%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3B4FBBE4" w14:textId="77777777">
            <w:pPr>
              <w:spacing w:line="240" w:lineRule="auto"/>
              <w:jc w:val="center"/>
              <w:rPr>
                <w:color w:val="000000"/>
              </w:rPr>
            </w:pPr>
            <w:r w:rsidRPr="001945BB">
              <w:rPr>
                <w:color w:val="000000"/>
              </w:rPr>
              <w:t>0.3%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7CE7DDA3" w14:textId="77777777">
            <w:pPr>
              <w:spacing w:line="240" w:lineRule="auto"/>
              <w:jc w:val="center"/>
              <w:rPr>
                <w:color w:val="000000"/>
              </w:rPr>
            </w:pPr>
            <w:r w:rsidRPr="001945BB">
              <w:rPr>
                <w:color w:val="000000"/>
              </w:rPr>
              <w:t>3.1%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662E9ED0" w14:textId="77777777">
            <w:pPr>
              <w:spacing w:line="240" w:lineRule="auto"/>
              <w:jc w:val="center"/>
              <w:rPr>
                <w:b/>
                <w:bCs/>
                <w:color w:val="000000"/>
              </w:rPr>
            </w:pPr>
            <w:r w:rsidRPr="006F273C">
              <w:rPr>
                <w:b/>
                <w:bCs/>
                <w:color w:val="000000"/>
              </w:rPr>
              <w:t>37.9%</w:t>
            </w:r>
          </w:p>
        </w:tc>
        <w:tc>
          <w:tcPr>
            <w:tcW w:w="1260" w:type="dxa"/>
            <w:tcBorders>
              <w:top w:val="single" w:sz="4" w:space="0" w:color="auto"/>
              <w:left w:val="single" w:sz="4" w:space="0" w:color="auto"/>
              <w:bottom w:val="single" w:sz="4" w:space="0" w:color="auto"/>
              <w:right w:val="single" w:sz="4" w:space="0" w:color="auto"/>
            </w:tcBorders>
            <w:vAlign w:val="center"/>
          </w:tcPr>
          <w:p w:rsidR="00887025" w:rsidRPr="006F273C" w14:paraId="258F8148" w14:textId="77777777">
            <w:pPr>
              <w:spacing w:line="240" w:lineRule="auto"/>
              <w:jc w:val="center"/>
              <w:rPr>
                <w:b/>
                <w:bCs/>
                <w:color w:val="000000"/>
              </w:rPr>
            </w:pPr>
            <w:r w:rsidRPr="006F273C">
              <w:rPr>
                <w:b/>
                <w:bCs/>
                <w:color w:val="000000"/>
              </w:rPr>
              <w:t xml:space="preserve"> 41.0%</w:t>
            </w:r>
          </w:p>
        </w:tc>
      </w:tr>
      <w:tr w14:paraId="7F45CB5B" w14:textId="77777777">
        <w:tblPrEx>
          <w:tblW w:w="15210" w:type="dxa"/>
          <w:jc w:val="center"/>
          <w:tblLayout w:type="fixed"/>
          <w:tblLook w:val="04A0"/>
        </w:tblPrEx>
        <w:trPr>
          <w:trHeight w:val="300"/>
          <w:jc w:val="center"/>
        </w:trPr>
        <w:tc>
          <w:tcPr>
            <w:tcW w:w="990" w:type="dxa"/>
            <w:vMerge/>
            <w:vAlign w:val="center"/>
          </w:tcPr>
          <w:p w:rsidR="00887025" w:rsidRPr="001945BB" w14:paraId="22E4B3D2" w14:textId="77777777">
            <w:pPr>
              <w:spacing w:line="240" w:lineRule="auto"/>
              <w:jc w:val="center"/>
              <w:rPr>
                <w:color w:val="000000"/>
              </w:rPr>
            </w:pPr>
          </w:p>
        </w:tc>
        <w:tc>
          <w:tcPr>
            <w:tcW w:w="900" w:type="dxa"/>
            <w:vMerge/>
            <w:vAlign w:val="center"/>
          </w:tcPr>
          <w:p w:rsidR="00887025" w:rsidRPr="001945BB" w14:paraId="3AD347D2" w14:textId="77777777">
            <w:pPr>
              <w:spacing w:line="240" w:lineRule="auto"/>
              <w:jc w:val="center"/>
              <w:rPr>
                <w:color w:val="000000"/>
              </w:rPr>
            </w:pPr>
          </w:p>
        </w:tc>
        <w:tc>
          <w:tcPr>
            <w:tcW w:w="990" w:type="dxa"/>
            <w:vMerge/>
            <w:vAlign w:val="center"/>
          </w:tcPr>
          <w:p w:rsidR="00887025" w:rsidRPr="001945BB" w14:paraId="56771689" w14:textId="77777777">
            <w:pPr>
              <w:spacing w:line="240" w:lineRule="auto"/>
              <w:jc w:val="center"/>
              <w:rPr>
                <w:color w:val="000000"/>
              </w:rPr>
            </w:pPr>
          </w:p>
        </w:tc>
        <w:tc>
          <w:tcPr>
            <w:tcW w:w="990" w:type="dxa"/>
            <w:vAlign w:val="center"/>
          </w:tcPr>
          <w:p w:rsidR="00887025" w:rsidRPr="001945BB" w14:paraId="31A8580B" w14:textId="77777777">
            <w:pPr>
              <w:spacing w:line="240" w:lineRule="auto"/>
              <w:jc w:val="center"/>
              <w:rPr>
                <w:color w:val="000000"/>
              </w:rPr>
            </w:pPr>
            <w:r w:rsidRPr="001945BB">
              <w:rPr>
                <w:color w:val="000000"/>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887025" w:rsidRPr="001945BB" w14:paraId="22466268" w14:textId="77777777">
            <w:pPr>
              <w:spacing w:line="240" w:lineRule="auto"/>
              <w:jc w:val="right"/>
              <w:rPr>
                <w:color w:val="000000"/>
              </w:rPr>
            </w:pPr>
            <w:r w:rsidRPr="001945BB">
              <w:rPr>
                <w:color w:val="000000"/>
              </w:rPr>
              <w:t>3,621,220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013A0368" w14:textId="77777777">
            <w:pPr>
              <w:spacing w:line="240" w:lineRule="auto"/>
              <w:jc w:val="center"/>
              <w:rPr>
                <w:b/>
                <w:bCs/>
                <w:color w:val="000000"/>
              </w:rPr>
            </w:pPr>
            <w:r w:rsidRPr="006F273C">
              <w:rPr>
                <w:b/>
                <w:bCs/>
                <w:color w:val="000000"/>
              </w:rPr>
              <w:t>18.3%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29A1552B" w14:textId="77777777">
            <w:pPr>
              <w:spacing w:line="240" w:lineRule="auto"/>
              <w:jc w:val="center"/>
              <w:rPr>
                <w:color w:val="000000"/>
              </w:rPr>
            </w:pPr>
            <w:r w:rsidRPr="001945BB">
              <w:rPr>
                <w:color w:val="000000"/>
              </w:rPr>
              <w:t>0.3%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2D4D28CB" w14:textId="77777777">
            <w:pPr>
              <w:spacing w:line="240" w:lineRule="auto"/>
              <w:jc w:val="center"/>
              <w:rPr>
                <w:color w:val="000000"/>
              </w:rPr>
            </w:pPr>
            <w:r w:rsidRPr="001945BB">
              <w:rPr>
                <w:color w:val="000000"/>
              </w:rPr>
              <w:t>4.9%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0422AE62" w14:textId="77777777">
            <w:pPr>
              <w:spacing w:line="240" w:lineRule="auto"/>
              <w:jc w:val="center"/>
              <w:rPr>
                <w:color w:val="000000"/>
              </w:rPr>
            </w:pPr>
            <w:r w:rsidRPr="001945BB">
              <w:rPr>
                <w:color w:val="000000"/>
              </w:rPr>
              <w:t>0.2%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41888B07" w14:textId="77777777">
            <w:pPr>
              <w:spacing w:line="240" w:lineRule="auto"/>
              <w:jc w:val="center"/>
              <w:rPr>
                <w:color w:val="000000"/>
              </w:rPr>
            </w:pPr>
            <w:r w:rsidRPr="001945BB">
              <w:rPr>
                <w:color w:val="000000"/>
              </w:rPr>
              <w:t>0.3%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2E4A6E30" w14:textId="77777777">
            <w:pPr>
              <w:spacing w:line="240" w:lineRule="auto"/>
              <w:jc w:val="center"/>
              <w:rPr>
                <w:color w:val="000000"/>
              </w:rPr>
            </w:pPr>
            <w:r w:rsidRPr="001945BB">
              <w:rPr>
                <w:color w:val="000000"/>
              </w:rPr>
              <w:t>3.2%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7871F31D" w14:textId="77777777">
            <w:pPr>
              <w:spacing w:line="240" w:lineRule="auto"/>
              <w:jc w:val="center"/>
              <w:rPr>
                <w:b/>
                <w:bCs/>
                <w:color w:val="000000"/>
              </w:rPr>
            </w:pPr>
            <w:r w:rsidRPr="006F273C">
              <w:rPr>
                <w:b/>
                <w:bCs/>
                <w:color w:val="000000"/>
              </w:rPr>
              <w:t>26.8%</w:t>
            </w:r>
          </w:p>
        </w:tc>
        <w:tc>
          <w:tcPr>
            <w:tcW w:w="1260" w:type="dxa"/>
            <w:tcBorders>
              <w:top w:val="single" w:sz="4" w:space="0" w:color="auto"/>
              <w:left w:val="single" w:sz="4" w:space="0" w:color="auto"/>
              <w:bottom w:val="single" w:sz="4" w:space="0" w:color="auto"/>
              <w:right w:val="single" w:sz="4" w:space="0" w:color="auto"/>
            </w:tcBorders>
            <w:vAlign w:val="center"/>
          </w:tcPr>
          <w:p w:rsidR="00887025" w:rsidRPr="006F273C" w14:paraId="46888AE8" w14:textId="77777777">
            <w:pPr>
              <w:spacing w:line="240" w:lineRule="auto"/>
              <w:jc w:val="center"/>
              <w:rPr>
                <w:b/>
                <w:bCs/>
                <w:color w:val="000000"/>
              </w:rPr>
            </w:pPr>
            <w:r w:rsidRPr="006F273C">
              <w:rPr>
                <w:b/>
                <w:bCs/>
                <w:color w:val="000000"/>
              </w:rPr>
              <w:t xml:space="preserve"> 36.7%</w:t>
            </w:r>
          </w:p>
        </w:tc>
      </w:tr>
      <w:tr w14:paraId="064B4AAB" w14:textId="77777777">
        <w:tblPrEx>
          <w:tblW w:w="15210" w:type="dxa"/>
          <w:jc w:val="center"/>
          <w:tblLayout w:type="fixed"/>
          <w:tblLook w:val="04A0"/>
        </w:tblPrEx>
        <w:trPr>
          <w:trHeight w:val="300"/>
          <w:jc w:val="center"/>
        </w:trPr>
        <w:tc>
          <w:tcPr>
            <w:tcW w:w="990" w:type="dxa"/>
            <w:vMerge/>
            <w:vAlign w:val="center"/>
          </w:tcPr>
          <w:p w:rsidR="00887025" w:rsidRPr="001945BB" w14:paraId="33976389" w14:textId="77777777">
            <w:pPr>
              <w:spacing w:line="240" w:lineRule="auto"/>
              <w:jc w:val="center"/>
              <w:rPr>
                <w:color w:val="000000"/>
              </w:rPr>
            </w:pPr>
          </w:p>
        </w:tc>
        <w:tc>
          <w:tcPr>
            <w:tcW w:w="900" w:type="dxa"/>
            <w:vMerge w:val="restart"/>
            <w:vAlign w:val="center"/>
          </w:tcPr>
          <w:p w:rsidR="00887025" w:rsidRPr="001945BB" w14:paraId="51D253D0" w14:textId="77777777">
            <w:pPr>
              <w:spacing w:line="240" w:lineRule="auto"/>
              <w:jc w:val="center"/>
              <w:rPr>
                <w:color w:val="000000"/>
              </w:rPr>
            </w:pPr>
            <w:r w:rsidRPr="001945BB">
              <w:rPr>
                <w:color w:val="000000"/>
              </w:rPr>
              <w:t>325</w:t>
            </w:r>
          </w:p>
        </w:tc>
        <w:tc>
          <w:tcPr>
            <w:tcW w:w="990" w:type="dxa"/>
            <w:vMerge w:val="restart"/>
            <w:vAlign w:val="center"/>
          </w:tcPr>
          <w:p w:rsidR="00887025" w:rsidRPr="001945BB" w14:paraId="0CE632A0" w14:textId="77777777">
            <w:pPr>
              <w:spacing w:line="240" w:lineRule="auto"/>
              <w:jc w:val="center"/>
              <w:rPr>
                <w:color w:val="000000"/>
              </w:rPr>
            </w:pPr>
            <w:r>
              <w:rPr>
                <w:color w:val="000000"/>
              </w:rPr>
              <w:t>1,524</w:t>
            </w:r>
          </w:p>
        </w:tc>
        <w:tc>
          <w:tcPr>
            <w:tcW w:w="990" w:type="dxa"/>
            <w:vAlign w:val="center"/>
          </w:tcPr>
          <w:p w:rsidR="00887025" w:rsidRPr="001945BB" w14:paraId="7630D25A" w14:textId="77777777">
            <w:pPr>
              <w:spacing w:line="240" w:lineRule="auto"/>
              <w:jc w:val="center"/>
              <w:rPr>
                <w:color w:val="000000"/>
              </w:rPr>
            </w:pPr>
            <w:r w:rsidRPr="001945BB">
              <w:rPr>
                <w:color w:val="000000"/>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887025" w:rsidRPr="001945BB" w14:paraId="4A02C9AB" w14:textId="77777777">
            <w:pPr>
              <w:spacing w:line="240" w:lineRule="auto"/>
              <w:jc w:val="right"/>
              <w:rPr>
                <w:color w:val="000000"/>
              </w:rPr>
            </w:pPr>
            <w:r w:rsidRPr="001945BB">
              <w:rPr>
                <w:color w:val="000000"/>
              </w:rPr>
              <w:t>5,351,558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67FF9270" w14:textId="77777777">
            <w:pPr>
              <w:spacing w:line="240" w:lineRule="auto"/>
              <w:jc w:val="center"/>
              <w:rPr>
                <w:b/>
                <w:bCs/>
                <w:color w:val="000000"/>
              </w:rPr>
            </w:pPr>
            <w:r w:rsidRPr="006F273C">
              <w:rPr>
                <w:b/>
                <w:bCs/>
                <w:color w:val="000000"/>
              </w:rPr>
              <w:t>17.3%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52A1D36A" w14:textId="77777777">
            <w:pPr>
              <w:spacing w:line="240" w:lineRule="auto"/>
              <w:jc w:val="center"/>
              <w:rPr>
                <w:color w:val="000000"/>
              </w:rPr>
            </w:pPr>
            <w:r w:rsidRPr="001945BB">
              <w:rPr>
                <w:color w:val="000000"/>
              </w:rPr>
              <w:t>0.5%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25386599" w14:textId="77777777">
            <w:pPr>
              <w:spacing w:line="240" w:lineRule="auto"/>
              <w:jc w:val="center"/>
              <w:rPr>
                <w:b/>
                <w:bCs/>
                <w:color w:val="000000"/>
              </w:rPr>
            </w:pPr>
            <w:r w:rsidRPr="006F273C">
              <w:rPr>
                <w:b/>
                <w:bCs/>
                <w:color w:val="000000"/>
              </w:rPr>
              <w:t>6.5%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7F9E5B1F" w14:textId="77777777">
            <w:pPr>
              <w:spacing w:line="240" w:lineRule="auto"/>
              <w:jc w:val="center"/>
              <w:rPr>
                <w:b/>
                <w:bCs/>
                <w:color w:val="000000"/>
              </w:rPr>
            </w:pPr>
            <w:r w:rsidRPr="006F273C">
              <w:rPr>
                <w:b/>
                <w:bCs/>
                <w:color w:val="000000"/>
              </w:rPr>
              <w:t>0.4%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791AAB78" w14:textId="77777777">
            <w:pPr>
              <w:spacing w:line="240" w:lineRule="auto"/>
              <w:jc w:val="center"/>
              <w:rPr>
                <w:color w:val="000000"/>
              </w:rPr>
            </w:pPr>
            <w:r w:rsidRPr="001945BB">
              <w:rPr>
                <w:color w:val="000000"/>
              </w:rPr>
              <w:t>0.3%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0F311A80" w14:textId="77777777">
            <w:pPr>
              <w:spacing w:line="240" w:lineRule="auto"/>
              <w:jc w:val="center"/>
              <w:rPr>
                <w:color w:val="000000"/>
              </w:rPr>
            </w:pPr>
            <w:r w:rsidRPr="001945BB">
              <w:rPr>
                <w:color w:val="000000"/>
              </w:rPr>
              <w:t>3.2%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69D2565F" w14:textId="77777777">
            <w:pPr>
              <w:spacing w:line="240" w:lineRule="auto"/>
              <w:jc w:val="center"/>
              <w:rPr>
                <w:b/>
                <w:bCs/>
                <w:color w:val="000000"/>
              </w:rPr>
            </w:pPr>
            <w:r w:rsidRPr="006F273C">
              <w:rPr>
                <w:b/>
                <w:bCs/>
                <w:color w:val="000000"/>
              </w:rPr>
              <w:t>34.4%</w:t>
            </w:r>
          </w:p>
        </w:tc>
        <w:tc>
          <w:tcPr>
            <w:tcW w:w="1260" w:type="dxa"/>
            <w:tcBorders>
              <w:top w:val="single" w:sz="4" w:space="0" w:color="auto"/>
              <w:left w:val="single" w:sz="4" w:space="0" w:color="auto"/>
              <w:bottom w:val="single" w:sz="4" w:space="0" w:color="auto"/>
              <w:right w:val="single" w:sz="4" w:space="0" w:color="auto"/>
            </w:tcBorders>
            <w:vAlign w:val="center"/>
          </w:tcPr>
          <w:p w:rsidR="00887025" w:rsidRPr="006F273C" w14:paraId="45486B5B" w14:textId="77777777">
            <w:pPr>
              <w:spacing w:line="240" w:lineRule="auto"/>
              <w:jc w:val="center"/>
              <w:rPr>
                <w:b/>
                <w:bCs/>
                <w:color w:val="000000"/>
              </w:rPr>
            </w:pPr>
            <w:r w:rsidRPr="006F273C">
              <w:rPr>
                <w:b/>
                <w:bCs/>
                <w:color w:val="000000"/>
              </w:rPr>
              <w:t xml:space="preserve"> 39.0%</w:t>
            </w:r>
          </w:p>
        </w:tc>
      </w:tr>
      <w:tr w14:paraId="4ADF0159" w14:textId="77777777">
        <w:tblPrEx>
          <w:tblW w:w="15210" w:type="dxa"/>
          <w:jc w:val="center"/>
          <w:tblLayout w:type="fixed"/>
          <w:tblLook w:val="04A0"/>
        </w:tblPrEx>
        <w:trPr>
          <w:trHeight w:val="300"/>
          <w:jc w:val="center"/>
        </w:trPr>
        <w:tc>
          <w:tcPr>
            <w:tcW w:w="990" w:type="dxa"/>
            <w:vMerge/>
            <w:vAlign w:val="center"/>
          </w:tcPr>
          <w:p w:rsidR="00887025" w:rsidRPr="001945BB" w14:paraId="117C35FA" w14:textId="77777777">
            <w:pPr>
              <w:spacing w:line="240" w:lineRule="auto"/>
              <w:jc w:val="center"/>
              <w:rPr>
                <w:color w:val="000000"/>
              </w:rPr>
            </w:pPr>
          </w:p>
        </w:tc>
        <w:tc>
          <w:tcPr>
            <w:tcW w:w="900" w:type="dxa"/>
            <w:vMerge/>
            <w:vAlign w:val="center"/>
          </w:tcPr>
          <w:p w:rsidR="00887025" w:rsidRPr="001945BB" w14:paraId="652F5F9B" w14:textId="77777777">
            <w:pPr>
              <w:spacing w:line="240" w:lineRule="auto"/>
              <w:jc w:val="center"/>
              <w:rPr>
                <w:color w:val="000000"/>
              </w:rPr>
            </w:pPr>
          </w:p>
        </w:tc>
        <w:tc>
          <w:tcPr>
            <w:tcW w:w="990" w:type="dxa"/>
            <w:vMerge/>
            <w:vAlign w:val="center"/>
          </w:tcPr>
          <w:p w:rsidR="00887025" w:rsidRPr="001945BB" w14:paraId="6573A874" w14:textId="77777777">
            <w:pPr>
              <w:spacing w:line="240" w:lineRule="auto"/>
              <w:jc w:val="center"/>
              <w:rPr>
                <w:color w:val="000000"/>
              </w:rPr>
            </w:pPr>
          </w:p>
        </w:tc>
        <w:tc>
          <w:tcPr>
            <w:tcW w:w="990" w:type="dxa"/>
            <w:vAlign w:val="center"/>
          </w:tcPr>
          <w:p w:rsidR="00887025" w:rsidRPr="001945BB" w14:paraId="2112609B" w14:textId="77777777">
            <w:pPr>
              <w:spacing w:line="240" w:lineRule="auto"/>
              <w:jc w:val="center"/>
              <w:rPr>
                <w:color w:val="000000"/>
              </w:rPr>
            </w:pPr>
            <w:r w:rsidRPr="001945BB">
              <w:rPr>
                <w:color w:val="000000"/>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887025" w:rsidRPr="001945BB" w14:paraId="5910D474" w14:textId="77777777">
            <w:pPr>
              <w:spacing w:line="240" w:lineRule="auto"/>
              <w:jc w:val="right"/>
              <w:rPr>
                <w:color w:val="000000"/>
              </w:rPr>
            </w:pPr>
            <w:r w:rsidRPr="001945BB">
              <w:rPr>
                <w:color w:val="000000"/>
              </w:rPr>
              <w:t>30,165,954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75B33E2E" w14:textId="77777777">
            <w:pPr>
              <w:spacing w:line="240" w:lineRule="auto"/>
              <w:jc w:val="center"/>
              <w:rPr>
                <w:b/>
                <w:bCs/>
                <w:color w:val="000000"/>
              </w:rPr>
            </w:pPr>
            <w:r w:rsidRPr="006F273C">
              <w:rPr>
                <w:b/>
                <w:bCs/>
                <w:color w:val="000000"/>
              </w:rPr>
              <w:t>18.3%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786554F5" w14:textId="77777777">
            <w:pPr>
              <w:spacing w:line="240" w:lineRule="auto"/>
              <w:jc w:val="center"/>
              <w:rPr>
                <w:color w:val="000000"/>
              </w:rPr>
            </w:pPr>
            <w:r w:rsidRPr="001945BB">
              <w:rPr>
                <w:color w:val="000000"/>
              </w:rPr>
              <w:t>0.3%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62792AB8" w14:textId="77777777">
            <w:pPr>
              <w:spacing w:line="240" w:lineRule="auto"/>
              <w:jc w:val="center"/>
              <w:rPr>
                <w:b/>
                <w:bCs/>
                <w:color w:val="000000"/>
              </w:rPr>
            </w:pPr>
            <w:r w:rsidRPr="006F273C">
              <w:rPr>
                <w:b/>
                <w:bCs/>
                <w:color w:val="000000"/>
              </w:rPr>
              <w:t>6.4%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5D68CE73" w14:textId="77777777">
            <w:pPr>
              <w:spacing w:line="240" w:lineRule="auto"/>
              <w:jc w:val="center"/>
              <w:rPr>
                <w:color w:val="000000"/>
              </w:rPr>
            </w:pPr>
            <w:r w:rsidRPr="001945BB">
              <w:rPr>
                <w:color w:val="000000"/>
              </w:rPr>
              <w:t>0.2%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18C50A6A" w14:textId="77777777">
            <w:pPr>
              <w:spacing w:line="240" w:lineRule="auto"/>
              <w:jc w:val="center"/>
              <w:rPr>
                <w:color w:val="000000"/>
              </w:rPr>
            </w:pPr>
            <w:r w:rsidRPr="001945BB">
              <w:rPr>
                <w:color w:val="000000"/>
              </w:rPr>
              <w:t>0.4%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945BB" w14:paraId="5A2D48EB" w14:textId="77777777">
            <w:pPr>
              <w:spacing w:line="240" w:lineRule="auto"/>
              <w:jc w:val="center"/>
              <w:rPr>
                <w:color w:val="000000"/>
              </w:rPr>
            </w:pPr>
            <w:r w:rsidRPr="001945BB">
              <w:rPr>
                <w:color w:val="000000"/>
              </w:rPr>
              <w:t>3.1%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6F273C" w14:paraId="165332FE" w14:textId="77777777">
            <w:pPr>
              <w:spacing w:line="240" w:lineRule="auto"/>
              <w:jc w:val="center"/>
              <w:rPr>
                <w:b/>
                <w:bCs/>
                <w:color w:val="000000"/>
              </w:rPr>
            </w:pPr>
            <w:r w:rsidRPr="006F273C">
              <w:rPr>
                <w:b/>
                <w:bCs/>
                <w:color w:val="000000"/>
              </w:rPr>
              <w:t>25.7%</w:t>
            </w:r>
          </w:p>
        </w:tc>
        <w:tc>
          <w:tcPr>
            <w:tcW w:w="1260" w:type="dxa"/>
            <w:tcBorders>
              <w:top w:val="single" w:sz="4" w:space="0" w:color="auto"/>
              <w:left w:val="single" w:sz="4" w:space="0" w:color="auto"/>
              <w:bottom w:val="single" w:sz="4" w:space="0" w:color="auto"/>
              <w:right w:val="single" w:sz="4" w:space="0" w:color="auto"/>
            </w:tcBorders>
            <w:vAlign w:val="center"/>
          </w:tcPr>
          <w:p w:rsidR="00887025" w:rsidRPr="006F273C" w14:paraId="10D80907" w14:textId="77777777">
            <w:pPr>
              <w:spacing w:line="240" w:lineRule="auto"/>
              <w:jc w:val="center"/>
              <w:rPr>
                <w:b/>
                <w:bCs/>
                <w:color w:val="000000"/>
              </w:rPr>
            </w:pPr>
            <w:r w:rsidRPr="006F273C">
              <w:rPr>
                <w:b/>
                <w:bCs/>
                <w:color w:val="000000"/>
              </w:rPr>
              <w:t xml:space="preserve"> 35.4%</w:t>
            </w:r>
          </w:p>
        </w:tc>
      </w:tr>
      <w:tr w14:paraId="3F710729" w14:textId="77777777">
        <w:tblPrEx>
          <w:tblW w:w="15210" w:type="dxa"/>
          <w:jc w:val="center"/>
          <w:tblLayout w:type="fixed"/>
          <w:tblLook w:val="04A0"/>
        </w:tblPrEx>
        <w:trPr>
          <w:trHeight w:val="300"/>
          <w:jc w:val="center"/>
        </w:trPr>
        <w:tc>
          <w:tcPr>
            <w:tcW w:w="3870" w:type="dxa"/>
            <w:gridSpan w:val="4"/>
            <w:shd w:val="clear" w:color="auto" w:fill="E7E6E6" w:themeFill="background2"/>
          </w:tcPr>
          <w:p w:rsidR="00887025" w:rsidRPr="00D1223F" w14:paraId="684388D3" w14:textId="77777777">
            <w:pPr>
              <w:spacing w:line="240" w:lineRule="auto"/>
              <w:jc w:val="center"/>
              <w:rPr>
                <w:i/>
                <w:iCs/>
                <w:color w:val="000000"/>
              </w:rPr>
            </w:pPr>
            <w:r>
              <w:rPr>
                <w:i/>
                <w:iCs/>
                <w:color w:val="000000"/>
              </w:rPr>
              <w:t>National Comparison Group</w:t>
            </w:r>
          </w:p>
        </w:tc>
        <w:tc>
          <w:tcPr>
            <w:tcW w:w="1260" w:type="dxa"/>
            <w:shd w:val="clear" w:color="auto" w:fill="E7E6E6" w:themeFill="background2"/>
            <w:vAlign w:val="center"/>
          </w:tcPr>
          <w:p w:rsidR="00887025" w:rsidRPr="00D1223F" w14:paraId="01E4EA29" w14:textId="77777777">
            <w:pPr>
              <w:spacing w:line="240" w:lineRule="auto"/>
              <w:jc w:val="right"/>
              <w:rPr>
                <w:i/>
                <w:iCs/>
                <w:color w:val="000000"/>
              </w:rPr>
            </w:pPr>
            <w:r w:rsidRPr="00D1223F">
              <w:rPr>
                <w:i/>
                <w:iCs/>
                <w:color w:val="000000"/>
              </w:rPr>
              <w:t>309,242,323</w:t>
            </w:r>
          </w:p>
        </w:tc>
        <w:tc>
          <w:tcPr>
            <w:tcW w:w="1260" w:type="dxa"/>
            <w:tcBorders>
              <w:top w:val="single" w:sz="4" w:space="0" w:color="auto"/>
              <w:left w:val="nil"/>
              <w:bottom w:val="single" w:sz="4" w:space="0" w:color="auto"/>
              <w:right w:val="single" w:sz="4" w:space="0" w:color="auto"/>
            </w:tcBorders>
            <w:shd w:val="clear" w:color="auto" w:fill="E7E6E6" w:themeFill="background2"/>
            <w:noWrap/>
            <w:vAlign w:val="center"/>
          </w:tcPr>
          <w:p w:rsidR="00887025" w:rsidRPr="00D1223F" w14:paraId="45F7E2C3" w14:textId="77777777">
            <w:pPr>
              <w:spacing w:line="240" w:lineRule="auto"/>
              <w:jc w:val="center"/>
              <w:rPr>
                <w:i/>
                <w:iCs/>
                <w:color w:val="000000"/>
              </w:rPr>
            </w:pPr>
            <w:r w:rsidRPr="00D1223F">
              <w:rPr>
                <w:i/>
                <w:iCs/>
                <w:color w:val="000000"/>
              </w:rPr>
              <w:t>11.8%</w:t>
            </w:r>
          </w:p>
        </w:tc>
        <w:tc>
          <w:tcPr>
            <w:tcW w:w="12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51C331B3" w14:textId="77777777">
            <w:pPr>
              <w:spacing w:line="240" w:lineRule="auto"/>
              <w:jc w:val="center"/>
              <w:rPr>
                <w:i/>
                <w:iCs/>
                <w:color w:val="000000"/>
              </w:rPr>
            </w:pPr>
            <w:r w:rsidRPr="00D1223F">
              <w:rPr>
                <w:i/>
                <w:iCs/>
                <w:color w:val="000000"/>
              </w:rPr>
              <w:t>0.6%</w:t>
            </w:r>
          </w:p>
        </w:tc>
        <w:tc>
          <w:tcPr>
            <w:tcW w:w="12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48568F39" w14:textId="77777777">
            <w:pPr>
              <w:spacing w:line="240" w:lineRule="auto"/>
              <w:jc w:val="center"/>
              <w:rPr>
                <w:i/>
                <w:iCs/>
                <w:color w:val="000000"/>
              </w:rPr>
            </w:pPr>
            <w:r w:rsidRPr="00D1223F">
              <w:rPr>
                <w:i/>
                <w:iCs/>
                <w:color w:val="000000"/>
              </w:rPr>
              <w:t>5.6%</w:t>
            </w:r>
          </w:p>
        </w:tc>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3BC14677" w14:textId="77777777">
            <w:pPr>
              <w:spacing w:line="240" w:lineRule="auto"/>
              <w:jc w:val="center"/>
              <w:rPr>
                <w:i/>
                <w:iCs/>
                <w:color w:val="000000"/>
              </w:rPr>
            </w:pPr>
            <w:r w:rsidRPr="00D1223F">
              <w:rPr>
                <w:i/>
                <w:iCs/>
                <w:color w:val="000000"/>
              </w:rPr>
              <w:t>0.2%</w:t>
            </w:r>
          </w:p>
        </w:tc>
        <w:tc>
          <w:tcPr>
            <w:tcW w:w="12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00B90506" w14:textId="77777777">
            <w:pPr>
              <w:spacing w:line="240" w:lineRule="auto"/>
              <w:jc w:val="center"/>
              <w:rPr>
                <w:i/>
                <w:iCs/>
                <w:color w:val="000000"/>
              </w:rPr>
            </w:pPr>
            <w:r w:rsidRPr="00D1223F">
              <w:rPr>
                <w:i/>
                <w:iCs/>
                <w:color w:val="000000"/>
              </w:rPr>
              <w:t>0.4%</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550256B9" w14:textId="77777777">
            <w:pPr>
              <w:spacing w:line="240" w:lineRule="auto"/>
              <w:jc w:val="center"/>
              <w:rPr>
                <w:i/>
                <w:iCs/>
                <w:color w:val="000000"/>
              </w:rPr>
            </w:pPr>
            <w:r w:rsidRPr="00D1223F">
              <w:rPr>
                <w:i/>
                <w:iCs/>
                <w:color w:val="000000"/>
              </w:rPr>
              <w:t>3.2%</w:t>
            </w:r>
          </w:p>
        </w:tc>
        <w:tc>
          <w:tcPr>
            <w:tcW w:w="12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55C5E31B" w14:textId="77777777">
            <w:pPr>
              <w:spacing w:line="240" w:lineRule="auto"/>
              <w:jc w:val="center"/>
              <w:rPr>
                <w:i/>
                <w:iCs/>
                <w:color w:val="000000"/>
              </w:rPr>
            </w:pPr>
            <w:r w:rsidRPr="00D1223F">
              <w:rPr>
                <w:i/>
                <w:iCs/>
                <w:color w:val="000000"/>
              </w:rPr>
              <w:t>17.7%</w:t>
            </w:r>
          </w:p>
        </w:tc>
        <w:tc>
          <w:tcPr>
            <w:tcW w:w="1260" w:type="dxa"/>
            <w:tcBorders>
              <w:top w:val="single" w:sz="4" w:space="0" w:color="auto"/>
              <w:left w:val="single" w:sz="4" w:space="0" w:color="auto"/>
              <w:bottom w:val="single" w:sz="4" w:space="0" w:color="auto"/>
              <w:right w:val="single" w:sz="4" w:space="0" w:color="auto"/>
            </w:tcBorders>
            <w:shd w:val="clear" w:color="auto" w:fill="E7E6E6" w:themeFill="background2"/>
          </w:tcPr>
          <w:p w:rsidR="00887025" w:rsidRPr="00D1223F" w14:paraId="23A65754" w14:textId="77777777">
            <w:pPr>
              <w:spacing w:line="240" w:lineRule="auto"/>
              <w:jc w:val="center"/>
              <w:rPr>
                <w:i/>
                <w:iCs/>
                <w:color w:val="000000"/>
              </w:rPr>
            </w:pPr>
            <w:r w:rsidRPr="00D1223F">
              <w:rPr>
                <w:i/>
                <w:iCs/>
                <w:color w:val="000000"/>
              </w:rPr>
              <w:t>28.5%</w:t>
            </w:r>
          </w:p>
        </w:tc>
      </w:tr>
    </w:tbl>
    <w:p w:rsidR="008527CB" w:rsidP="00887025" w14:paraId="6E2C7AF8" w14:textId="77777777">
      <w:pPr>
        <w:pStyle w:val="BodyText"/>
        <w:rPr>
          <w:rFonts w:ascii="Times New Roman" w:hAnsi="Times New Roman" w:cs="Times New Roman"/>
        </w:rPr>
      </w:pPr>
    </w:p>
    <w:p w:rsidR="008527CB" w:rsidP="00887025" w14:paraId="3B767C72" w14:textId="77777777">
      <w:pPr>
        <w:pStyle w:val="BodyText"/>
        <w:rPr>
          <w:rFonts w:ascii="Times New Roman" w:hAnsi="Times New Roman" w:cs="Times New Roman"/>
        </w:rPr>
        <w:sectPr w:rsidSect="005379A2">
          <w:pgSz w:w="15840" w:h="12240" w:orient="landscape"/>
          <w:pgMar w:top="1440" w:right="1440" w:bottom="1440" w:left="1440" w:header="720" w:footer="720" w:gutter="0"/>
          <w:cols w:space="720"/>
          <w:docGrid w:linePitch="360"/>
        </w:sectPr>
      </w:pPr>
    </w:p>
    <w:p w:rsidR="00887025" w:rsidP="00887025" w14:paraId="4B910119" w14:textId="77777777">
      <w:pPr>
        <w:pStyle w:val="BodyText"/>
        <w:ind w:firstLine="720"/>
        <w:rPr>
          <w:rFonts w:ascii="Times New Roman" w:hAnsi="Times New Roman" w:cs="Times New Roman"/>
        </w:rPr>
      </w:pPr>
      <w:r>
        <w:rPr>
          <w:rFonts w:ascii="Times New Roman" w:hAnsi="Times New Roman" w:cs="Times New Roman"/>
        </w:rPr>
        <w:t>Next, EPA evaluated how the race, ethnicity, and poverty characteristics of communities living within one and three miles of an RMP facility differ by the number of accidents between 2004 and 2020 (Exhibit 9-4). The greater the number of historical accidents, the more cumulative burden an additional accident from the same facility could have on proximal communities. While the percentage of Black (non-Hispanic), Hispanic, and low-income individuals living within one and three miles of facilities who have experienced at least two or more accidents are broadly similar to the characteristics of communities living in proximity to the full universe of active RMP facilities, this is not the case in the tail of the distribution (</w:t>
      </w:r>
      <w:r>
        <w:rPr>
          <w:rFonts w:ascii="Times New Roman" w:hAnsi="Times New Roman" w:cs="Times New Roman"/>
          <w:i/>
          <w:iCs/>
        </w:rPr>
        <w:t xml:space="preserve">i.e., </w:t>
      </w:r>
      <w:r>
        <w:rPr>
          <w:rFonts w:ascii="Times New Roman" w:hAnsi="Times New Roman" w:cs="Times New Roman"/>
        </w:rPr>
        <w:t>communities in proximity to facilities who have experienced 16 or more accidents between 2004 and 2020).</w:t>
      </w:r>
      <w:r>
        <w:rPr>
          <w:rStyle w:val="FootnoteReference"/>
          <w:rFonts w:ascii="Times New Roman" w:hAnsi="Times New Roman" w:cs="Times New Roman"/>
        </w:rPr>
        <w:footnoteReference w:id="188"/>
      </w:r>
      <w:r>
        <w:rPr>
          <w:rFonts w:ascii="Times New Roman" w:hAnsi="Times New Roman" w:cs="Times New Roman"/>
        </w:rPr>
        <w:t xml:space="preserve"> For these communities, they have a higher percentage of Black (non-Hispanic) (24.9 percent and 42.7 percent for one and three mile distances), Hispanic (50.1 percent and 14.5 percent for one and three mile distances), and low-income (48.9 percent and 44.5 percent for one and three mile distances) individuals than both the national comparison group and the full universe of active facilities. </w:t>
      </w:r>
    </w:p>
    <w:p w:rsidR="00887025" w:rsidP="00887025" w14:paraId="14E3F433" w14:textId="77777777">
      <w:pPr>
        <w:pStyle w:val="BodyText"/>
        <w:rPr>
          <w:rFonts w:ascii="Times New Roman" w:hAnsi="Times New Roman" w:cs="Times New Roman"/>
        </w:rPr>
      </w:pPr>
    </w:p>
    <w:p w:rsidR="00887025" w:rsidP="00887025" w14:paraId="081C1362" w14:textId="77777777">
      <w:pPr>
        <w:pStyle w:val="BodyText"/>
        <w:rPr>
          <w:rFonts w:ascii="Times New Roman" w:hAnsi="Times New Roman" w:cs="Times New Roman"/>
        </w:rPr>
      </w:pPr>
    </w:p>
    <w:p w:rsidR="00887025" w:rsidP="00887025" w14:paraId="38205BB0" w14:textId="77777777">
      <w:pPr>
        <w:pStyle w:val="BodyText"/>
        <w:rPr>
          <w:rFonts w:ascii="Times New Roman" w:hAnsi="Times New Roman" w:cs="Times New Roman"/>
        </w:rPr>
      </w:pPr>
    </w:p>
    <w:p w:rsidR="00887025" w:rsidP="00887025" w14:paraId="4C6A348C" w14:textId="77777777">
      <w:pPr>
        <w:pStyle w:val="BodyText"/>
        <w:rPr>
          <w:rFonts w:ascii="Times New Roman" w:hAnsi="Times New Roman" w:cs="Times New Roman"/>
        </w:rPr>
      </w:pPr>
    </w:p>
    <w:p w:rsidR="00887025" w:rsidP="00887025" w14:paraId="216EAEE3" w14:textId="77777777">
      <w:pPr>
        <w:pStyle w:val="BodyText"/>
        <w:rPr>
          <w:rFonts w:ascii="Times New Roman" w:hAnsi="Times New Roman" w:cs="Times New Roman"/>
        </w:rPr>
      </w:pPr>
    </w:p>
    <w:p w:rsidR="00887025" w:rsidP="00887025" w14:paraId="2E37EDA4" w14:textId="77777777">
      <w:pPr>
        <w:pStyle w:val="BodyText"/>
        <w:rPr>
          <w:rFonts w:ascii="Times New Roman" w:hAnsi="Times New Roman" w:cs="Times New Roman"/>
        </w:rPr>
        <w:sectPr w:rsidSect="005379A2">
          <w:pgSz w:w="12240" w:h="15840"/>
          <w:pgMar w:top="1440" w:right="1440" w:bottom="1440" w:left="1440" w:header="720" w:footer="720" w:gutter="0"/>
          <w:cols w:space="720"/>
          <w:docGrid w:linePitch="360"/>
        </w:sectPr>
      </w:pPr>
    </w:p>
    <w:p w:rsidR="00887025" w:rsidRPr="00921681" w:rsidP="00887025" w14:paraId="32A488BE" w14:textId="77777777">
      <w:pPr>
        <w:jc w:val="center"/>
        <w:rPr>
          <w:rFonts w:ascii="Times New Roman" w:hAnsi="Times New Roman" w:cs="Times New Roman"/>
          <w:b/>
          <w:bCs/>
        </w:rPr>
      </w:pPr>
      <w:r w:rsidRPr="00921681">
        <w:rPr>
          <w:rFonts w:ascii="Times New Roman" w:hAnsi="Times New Roman" w:cs="Times New Roman"/>
          <w:b/>
          <w:bCs/>
        </w:rPr>
        <w:t>Exhibit 9-</w:t>
      </w:r>
      <w:r>
        <w:rPr>
          <w:rFonts w:ascii="Times New Roman" w:hAnsi="Times New Roman" w:cs="Times New Roman"/>
          <w:b/>
          <w:bCs/>
        </w:rPr>
        <w:t>4</w:t>
      </w:r>
      <w:r w:rsidRPr="00921681">
        <w:rPr>
          <w:rFonts w:ascii="Times New Roman" w:hAnsi="Times New Roman" w:cs="Times New Roman"/>
          <w:b/>
          <w:bCs/>
        </w:rPr>
        <w:t xml:space="preserve">. </w:t>
      </w:r>
      <w:r w:rsidRPr="00E61675">
        <w:rPr>
          <w:rFonts w:ascii="Times New Roman" w:hAnsi="Times New Roman" w:cs="Times New Roman"/>
          <w:b/>
        </w:rPr>
        <w:t xml:space="preserve">Demographic </w:t>
      </w:r>
      <w:r>
        <w:rPr>
          <w:rFonts w:ascii="Times New Roman" w:hAnsi="Times New Roman" w:cs="Times New Roman"/>
          <w:b/>
        </w:rPr>
        <w:t xml:space="preserve">and Socioeconomic </w:t>
      </w:r>
      <w:r w:rsidRPr="00E61675">
        <w:rPr>
          <w:rFonts w:ascii="Times New Roman" w:hAnsi="Times New Roman" w:cs="Times New Roman"/>
          <w:b/>
        </w:rPr>
        <w:t>Compositio</w:t>
      </w:r>
      <w:r>
        <w:rPr>
          <w:rFonts w:ascii="Times New Roman" w:hAnsi="Times New Roman" w:cs="Times New Roman"/>
          <w:b/>
        </w:rPr>
        <w:t>n</w:t>
      </w:r>
      <w:r w:rsidRPr="00E61675">
        <w:rPr>
          <w:rFonts w:ascii="Times New Roman" w:hAnsi="Times New Roman" w:cs="Times New Roman"/>
          <w:b/>
        </w:rPr>
        <w:t xml:space="preserve"> </w:t>
      </w:r>
      <w:r w:rsidRPr="006E3FFF">
        <w:rPr>
          <w:rFonts w:ascii="Times New Roman" w:hAnsi="Times New Roman" w:cs="Times New Roman"/>
          <w:b/>
        </w:rPr>
        <w:t>of</w:t>
      </w:r>
      <w:r w:rsidRPr="00921681">
        <w:rPr>
          <w:rFonts w:ascii="Times New Roman" w:hAnsi="Times New Roman" w:cs="Times New Roman"/>
          <w:b/>
          <w:bCs/>
        </w:rPr>
        <w:t xml:space="preserve"> Fenceline Communities to RMP Facilities Based on Number of Historical </w:t>
      </w:r>
      <w:r>
        <w:rPr>
          <w:rFonts w:ascii="Times New Roman" w:hAnsi="Times New Roman" w:cs="Times New Roman"/>
          <w:b/>
          <w:bCs/>
        </w:rPr>
        <w:t xml:space="preserve">RMP-reportable </w:t>
      </w:r>
      <w:r w:rsidRPr="00921681">
        <w:rPr>
          <w:rFonts w:ascii="Times New Roman" w:hAnsi="Times New Roman" w:cs="Times New Roman"/>
          <w:b/>
          <w:bCs/>
        </w:rPr>
        <w:t>Accidents (2004-2020)</w:t>
      </w:r>
    </w:p>
    <w:tbl>
      <w:tblPr>
        <w:tblStyle w:val="TableGrid"/>
        <w:tblW w:w="13976" w:type="dxa"/>
        <w:jc w:val="center"/>
        <w:tblLook w:val="04A0"/>
      </w:tblPr>
      <w:tblGrid>
        <w:gridCol w:w="1050"/>
        <w:gridCol w:w="983"/>
        <w:gridCol w:w="950"/>
        <w:gridCol w:w="1216"/>
        <w:gridCol w:w="1194"/>
        <w:gridCol w:w="1184"/>
        <w:gridCol w:w="1184"/>
        <w:gridCol w:w="1232"/>
        <w:gridCol w:w="1184"/>
        <w:gridCol w:w="1184"/>
        <w:gridCol w:w="1232"/>
        <w:gridCol w:w="1383"/>
      </w:tblGrid>
      <w:tr w14:paraId="4AA53FCB" w14:textId="77777777">
        <w:tblPrEx>
          <w:tblW w:w="13976" w:type="dxa"/>
          <w:jc w:val="center"/>
          <w:tblLook w:val="04A0"/>
        </w:tblPrEx>
        <w:trPr>
          <w:trHeight w:val="300"/>
          <w:jc w:val="center"/>
        </w:trPr>
        <w:tc>
          <w:tcPr>
            <w:tcW w:w="1050" w:type="dxa"/>
            <w:tcBorders>
              <w:bottom w:val="single" w:sz="4" w:space="0" w:color="auto"/>
            </w:tcBorders>
            <w:shd w:val="clear" w:color="auto" w:fill="BFBFBF" w:themeFill="background1" w:themeFillShade="BF"/>
            <w:vAlign w:val="center"/>
          </w:tcPr>
          <w:p w:rsidR="00887025" w:rsidRPr="00FB0D88" w14:paraId="6D1EA488" w14:textId="77777777">
            <w:pPr>
              <w:spacing w:line="240" w:lineRule="auto"/>
              <w:jc w:val="center"/>
              <w:rPr>
                <w:b/>
                <w:color w:val="000000"/>
              </w:rPr>
            </w:pPr>
            <w:r w:rsidRPr="00FB0D88">
              <w:rPr>
                <w:b/>
                <w:color w:val="000000"/>
              </w:rPr>
              <w:t>Number of Accidents</w:t>
            </w:r>
          </w:p>
        </w:tc>
        <w:tc>
          <w:tcPr>
            <w:tcW w:w="983" w:type="dxa"/>
            <w:tcBorders>
              <w:bottom w:val="single" w:sz="4" w:space="0" w:color="auto"/>
            </w:tcBorders>
            <w:shd w:val="clear" w:color="auto" w:fill="BFBFBF" w:themeFill="background1" w:themeFillShade="BF"/>
            <w:vAlign w:val="center"/>
          </w:tcPr>
          <w:p w:rsidR="00887025" w:rsidRPr="00FB0D88" w14:paraId="4B9AE87F" w14:textId="77777777">
            <w:pPr>
              <w:spacing w:line="240" w:lineRule="auto"/>
              <w:jc w:val="center"/>
              <w:rPr>
                <w:b/>
                <w:color w:val="000000"/>
              </w:rPr>
            </w:pPr>
            <w:r>
              <w:rPr>
                <w:b/>
                <w:color w:val="000000"/>
              </w:rPr>
              <w:t>Number of Facilities</w:t>
            </w:r>
          </w:p>
        </w:tc>
        <w:tc>
          <w:tcPr>
            <w:tcW w:w="950" w:type="dxa"/>
            <w:tcBorders>
              <w:bottom w:val="single" w:sz="4" w:space="0" w:color="auto"/>
            </w:tcBorders>
            <w:shd w:val="clear" w:color="auto" w:fill="BFBFBF" w:themeFill="background1" w:themeFillShade="BF"/>
            <w:vAlign w:val="center"/>
          </w:tcPr>
          <w:p w:rsidR="00887025" w:rsidRPr="00FB0D88" w14:paraId="10D629FB" w14:textId="77777777">
            <w:pPr>
              <w:spacing w:line="240" w:lineRule="auto"/>
              <w:jc w:val="center"/>
              <w:rPr>
                <w:b/>
                <w:color w:val="000000"/>
              </w:rPr>
            </w:pPr>
            <w:r w:rsidRPr="00FB0D88">
              <w:rPr>
                <w:b/>
                <w:color w:val="000000"/>
              </w:rPr>
              <w:t xml:space="preserve">Buffer </w:t>
            </w:r>
            <w:r>
              <w:rPr>
                <w:b/>
                <w:color w:val="000000"/>
              </w:rPr>
              <w:t>D</w:t>
            </w:r>
            <w:r w:rsidRPr="00FB0D88">
              <w:rPr>
                <w:b/>
                <w:color w:val="000000"/>
              </w:rPr>
              <w:t>istance (</w:t>
            </w:r>
            <w:r>
              <w:rPr>
                <w:b/>
                <w:color w:val="000000"/>
              </w:rPr>
              <w:t>M</w:t>
            </w:r>
            <w:r w:rsidRPr="00FB0D88">
              <w:rPr>
                <w:b/>
                <w:color w:val="000000"/>
              </w:rPr>
              <w:t>iles)</w:t>
            </w:r>
          </w:p>
        </w:tc>
        <w:tc>
          <w:tcPr>
            <w:tcW w:w="1216" w:type="dxa"/>
            <w:tcBorders>
              <w:bottom w:val="single" w:sz="4" w:space="0" w:color="auto"/>
            </w:tcBorders>
            <w:shd w:val="clear" w:color="auto" w:fill="BFBFBF" w:themeFill="background1" w:themeFillShade="BF"/>
            <w:vAlign w:val="center"/>
          </w:tcPr>
          <w:p w:rsidR="00887025" w:rsidRPr="00FB0D88" w14:paraId="03152D7F" w14:textId="77777777">
            <w:pPr>
              <w:spacing w:line="240" w:lineRule="auto"/>
              <w:jc w:val="center"/>
              <w:rPr>
                <w:b/>
                <w:color w:val="000000"/>
              </w:rPr>
            </w:pPr>
            <w:r w:rsidRPr="00FB0D88">
              <w:rPr>
                <w:b/>
                <w:color w:val="000000"/>
              </w:rPr>
              <w:t>Total Population</w:t>
            </w:r>
          </w:p>
        </w:tc>
        <w:tc>
          <w:tcPr>
            <w:tcW w:w="1194" w:type="dxa"/>
            <w:tcBorders>
              <w:bottom w:val="single" w:sz="4" w:space="0" w:color="auto"/>
            </w:tcBorders>
            <w:shd w:val="clear" w:color="auto" w:fill="BFBFBF" w:themeFill="background1" w:themeFillShade="BF"/>
            <w:noWrap/>
            <w:vAlign w:val="center"/>
          </w:tcPr>
          <w:p w:rsidR="00887025" w:rsidRPr="00FB0D88" w14:paraId="5E7F1429" w14:textId="77777777">
            <w:pPr>
              <w:spacing w:line="240" w:lineRule="auto"/>
              <w:jc w:val="center"/>
              <w:rPr>
                <w:b/>
                <w:color w:val="000000"/>
              </w:rPr>
            </w:pPr>
            <w:r w:rsidRPr="00FB0D88">
              <w:rPr>
                <w:b/>
                <w:lang w:bidi="en-US"/>
              </w:rPr>
              <w:t>Percentage of Individuals that Identify as Black or African American Alone (non</w:t>
            </w:r>
            <w:r w:rsidRPr="00FB0D88">
              <w:rPr>
                <w:b/>
              </w:rPr>
              <w:t>-</w:t>
            </w:r>
            <w:r w:rsidRPr="00FB0D88">
              <w:rPr>
                <w:b/>
                <w:lang w:bidi="en-US"/>
              </w:rPr>
              <w:t>Hispanic)</w:t>
            </w:r>
          </w:p>
        </w:tc>
        <w:tc>
          <w:tcPr>
            <w:tcW w:w="1184" w:type="dxa"/>
            <w:tcBorders>
              <w:bottom w:val="single" w:sz="4" w:space="0" w:color="auto"/>
            </w:tcBorders>
            <w:shd w:val="clear" w:color="auto" w:fill="BFBFBF" w:themeFill="background1" w:themeFillShade="BF"/>
            <w:noWrap/>
            <w:vAlign w:val="center"/>
          </w:tcPr>
          <w:p w:rsidR="00887025" w:rsidRPr="00FB0D88" w14:paraId="4C355D7C" w14:textId="77777777">
            <w:pPr>
              <w:spacing w:line="240" w:lineRule="auto"/>
              <w:jc w:val="center"/>
              <w:rPr>
                <w:b/>
                <w:color w:val="000000"/>
              </w:rPr>
            </w:pPr>
            <w:r w:rsidRPr="00FB0D88">
              <w:rPr>
                <w:b/>
                <w:lang w:bidi="en-US"/>
              </w:rPr>
              <w:t>Percentage of Individuals that Identify as American Indian and Alaska Native Alone (non</w:t>
            </w:r>
            <w:r w:rsidRPr="00FB0D88">
              <w:rPr>
                <w:b/>
              </w:rPr>
              <w:t>-</w:t>
            </w:r>
            <w:r w:rsidRPr="00FB0D88">
              <w:rPr>
                <w:b/>
                <w:lang w:bidi="en-US"/>
              </w:rPr>
              <w:t>Hispanic)</w:t>
            </w:r>
          </w:p>
        </w:tc>
        <w:tc>
          <w:tcPr>
            <w:tcW w:w="1184" w:type="dxa"/>
            <w:tcBorders>
              <w:bottom w:val="single" w:sz="4" w:space="0" w:color="auto"/>
            </w:tcBorders>
            <w:shd w:val="clear" w:color="auto" w:fill="BFBFBF" w:themeFill="background1" w:themeFillShade="BF"/>
            <w:noWrap/>
            <w:vAlign w:val="center"/>
          </w:tcPr>
          <w:p w:rsidR="00887025" w:rsidRPr="00FB0D88" w14:paraId="365040CE" w14:textId="77777777">
            <w:pPr>
              <w:spacing w:line="240" w:lineRule="auto"/>
              <w:jc w:val="center"/>
              <w:rPr>
                <w:b/>
                <w:color w:val="000000"/>
              </w:rPr>
            </w:pPr>
            <w:r w:rsidRPr="00FB0D88">
              <w:rPr>
                <w:b/>
                <w:lang w:bidi="en-US"/>
              </w:rPr>
              <w:t>Percentage of Individuals that Identify as Asian Alone (non</w:t>
            </w:r>
            <w:r w:rsidRPr="00FB0D88">
              <w:rPr>
                <w:b/>
              </w:rPr>
              <w:t>-</w:t>
            </w:r>
            <w:r w:rsidRPr="00FB0D88">
              <w:rPr>
                <w:b/>
                <w:lang w:bidi="en-US"/>
              </w:rPr>
              <w:t>Hispanic)</w:t>
            </w:r>
          </w:p>
        </w:tc>
        <w:tc>
          <w:tcPr>
            <w:tcW w:w="1232" w:type="dxa"/>
            <w:tcBorders>
              <w:bottom w:val="single" w:sz="4" w:space="0" w:color="auto"/>
            </w:tcBorders>
            <w:shd w:val="clear" w:color="auto" w:fill="BFBFBF" w:themeFill="background1" w:themeFillShade="BF"/>
            <w:noWrap/>
            <w:vAlign w:val="center"/>
          </w:tcPr>
          <w:p w:rsidR="00887025" w:rsidRPr="00FB0D88" w14:paraId="3FD2E1BF" w14:textId="77777777">
            <w:pPr>
              <w:spacing w:line="240" w:lineRule="auto"/>
              <w:jc w:val="center"/>
              <w:rPr>
                <w:b/>
                <w:color w:val="000000"/>
              </w:rPr>
            </w:pPr>
            <w:r w:rsidRPr="00FB0D88">
              <w:rPr>
                <w:b/>
                <w:lang w:bidi="en-US"/>
              </w:rPr>
              <w:t>Percentage of Individuals that Identify as Native Hawaiian and Other Pacific Islander Alone (non</w:t>
            </w:r>
            <w:r w:rsidRPr="00FB0D88">
              <w:rPr>
                <w:b/>
              </w:rPr>
              <w:t>-</w:t>
            </w:r>
            <w:r w:rsidRPr="00FB0D88">
              <w:rPr>
                <w:b/>
                <w:lang w:bidi="en-US"/>
              </w:rPr>
              <w:t>Hispanic)</w:t>
            </w:r>
          </w:p>
        </w:tc>
        <w:tc>
          <w:tcPr>
            <w:tcW w:w="1184" w:type="dxa"/>
            <w:tcBorders>
              <w:bottom w:val="single" w:sz="4" w:space="0" w:color="auto"/>
            </w:tcBorders>
            <w:shd w:val="clear" w:color="auto" w:fill="BFBFBF" w:themeFill="background1" w:themeFillShade="BF"/>
            <w:noWrap/>
            <w:vAlign w:val="center"/>
          </w:tcPr>
          <w:p w:rsidR="00887025" w:rsidRPr="00FB0D88" w14:paraId="182B3E19" w14:textId="77777777">
            <w:pPr>
              <w:spacing w:line="240" w:lineRule="auto"/>
              <w:jc w:val="center"/>
              <w:rPr>
                <w:b/>
                <w:color w:val="000000"/>
              </w:rPr>
            </w:pPr>
            <w:r w:rsidRPr="00FB0D88">
              <w:rPr>
                <w:b/>
                <w:lang w:bidi="en-US"/>
              </w:rPr>
              <w:t>Percentage of Individuals that Identify as Some Other Race Alone (non</w:t>
            </w:r>
            <w:r w:rsidRPr="00FB0D88">
              <w:rPr>
                <w:b/>
              </w:rPr>
              <w:t>-</w:t>
            </w:r>
            <w:r w:rsidRPr="00FB0D88">
              <w:rPr>
                <w:b/>
                <w:lang w:bidi="en-US"/>
              </w:rPr>
              <w:t>Hispanic)</w:t>
            </w:r>
          </w:p>
        </w:tc>
        <w:tc>
          <w:tcPr>
            <w:tcW w:w="1184" w:type="dxa"/>
            <w:tcBorders>
              <w:bottom w:val="single" w:sz="4" w:space="0" w:color="auto"/>
            </w:tcBorders>
            <w:shd w:val="clear" w:color="auto" w:fill="BFBFBF" w:themeFill="background1" w:themeFillShade="BF"/>
            <w:noWrap/>
            <w:vAlign w:val="center"/>
          </w:tcPr>
          <w:p w:rsidR="00887025" w:rsidRPr="00FB0D88" w14:paraId="4DF9F32A" w14:textId="77777777">
            <w:pPr>
              <w:spacing w:line="240" w:lineRule="auto"/>
              <w:jc w:val="center"/>
              <w:rPr>
                <w:b/>
                <w:color w:val="000000"/>
              </w:rPr>
            </w:pPr>
            <w:r w:rsidRPr="00FB0D88">
              <w:rPr>
                <w:b/>
                <w:lang w:bidi="en-US"/>
              </w:rPr>
              <w:t>Percentage of Individuals that Identify as Two or More Races</w:t>
            </w:r>
          </w:p>
        </w:tc>
        <w:tc>
          <w:tcPr>
            <w:tcW w:w="1232" w:type="dxa"/>
            <w:tcBorders>
              <w:bottom w:val="single" w:sz="4" w:space="0" w:color="auto"/>
            </w:tcBorders>
            <w:shd w:val="clear" w:color="auto" w:fill="BFBFBF" w:themeFill="background1" w:themeFillShade="BF"/>
            <w:noWrap/>
            <w:vAlign w:val="center"/>
          </w:tcPr>
          <w:p w:rsidR="00887025" w:rsidRPr="00FB0D88" w14:paraId="08F260F0" w14:textId="77777777">
            <w:pPr>
              <w:spacing w:line="240" w:lineRule="auto"/>
              <w:jc w:val="center"/>
              <w:rPr>
                <w:b/>
                <w:color w:val="000000"/>
              </w:rPr>
            </w:pPr>
            <w:r w:rsidRPr="00FB0D88">
              <w:rPr>
                <w:b/>
                <w:color w:val="000000"/>
              </w:rPr>
              <w:t>Percentage of Individuals that Identify as Hispanic or Latino Alone</w:t>
            </w:r>
          </w:p>
        </w:tc>
        <w:tc>
          <w:tcPr>
            <w:tcW w:w="1383" w:type="dxa"/>
            <w:tcBorders>
              <w:bottom w:val="single" w:sz="4" w:space="0" w:color="auto"/>
            </w:tcBorders>
            <w:shd w:val="clear" w:color="auto" w:fill="BFBFBF" w:themeFill="background1" w:themeFillShade="BF"/>
            <w:vAlign w:val="center"/>
          </w:tcPr>
          <w:p w:rsidR="00887025" w:rsidRPr="00FB0D88" w14:paraId="557D8006" w14:textId="77777777">
            <w:pPr>
              <w:spacing w:line="240" w:lineRule="auto"/>
              <w:jc w:val="center"/>
              <w:rPr>
                <w:b/>
                <w:color w:val="000000"/>
              </w:rPr>
            </w:pPr>
            <w:r>
              <w:rPr>
                <w:b/>
                <w:color w:val="000000"/>
              </w:rPr>
              <w:t>Percentage of Individuals</w:t>
            </w:r>
            <w:r w:rsidRPr="00205242">
              <w:rPr>
                <w:b/>
                <w:color w:val="000000"/>
              </w:rPr>
              <w:t xml:space="preserve"> </w:t>
            </w:r>
            <w:r>
              <w:rPr>
                <w:b/>
                <w:color w:val="000000"/>
              </w:rPr>
              <w:t>E</w:t>
            </w:r>
            <w:r w:rsidRPr="003C56CB">
              <w:rPr>
                <w:b/>
                <w:color w:val="000000"/>
              </w:rPr>
              <w:t xml:space="preserve">arning </w:t>
            </w:r>
            <w:r>
              <w:rPr>
                <w:b/>
                <w:color w:val="000000"/>
              </w:rPr>
              <w:t>L</w:t>
            </w:r>
            <w:r w:rsidRPr="003C56CB">
              <w:rPr>
                <w:b/>
                <w:color w:val="000000"/>
              </w:rPr>
              <w:t xml:space="preserve">ess </w:t>
            </w:r>
            <w:r>
              <w:rPr>
                <w:b/>
                <w:color w:val="000000"/>
              </w:rPr>
              <w:t>T</w:t>
            </w:r>
            <w:r w:rsidRPr="003C56CB">
              <w:rPr>
                <w:b/>
                <w:color w:val="000000"/>
              </w:rPr>
              <w:t xml:space="preserve">han or </w:t>
            </w:r>
            <w:r>
              <w:rPr>
                <w:b/>
                <w:color w:val="000000"/>
              </w:rPr>
              <w:t>E</w:t>
            </w:r>
            <w:r w:rsidRPr="003C56CB">
              <w:rPr>
                <w:b/>
                <w:color w:val="000000"/>
              </w:rPr>
              <w:t xml:space="preserve">qual to </w:t>
            </w:r>
            <w:r>
              <w:rPr>
                <w:b/>
                <w:color w:val="000000"/>
              </w:rPr>
              <w:t>T</w:t>
            </w:r>
            <w:r w:rsidRPr="003C56CB">
              <w:rPr>
                <w:b/>
                <w:color w:val="000000"/>
              </w:rPr>
              <w:t xml:space="preserve">wice the </w:t>
            </w:r>
            <w:r>
              <w:rPr>
                <w:b/>
                <w:color w:val="000000"/>
              </w:rPr>
              <w:t>F</w:t>
            </w:r>
            <w:r w:rsidRPr="003C56CB">
              <w:rPr>
                <w:b/>
                <w:color w:val="000000"/>
              </w:rPr>
              <w:t xml:space="preserve">ederal </w:t>
            </w:r>
            <w:r>
              <w:rPr>
                <w:b/>
                <w:color w:val="000000"/>
              </w:rPr>
              <w:t>P</w:t>
            </w:r>
            <w:r w:rsidRPr="003C56CB">
              <w:rPr>
                <w:b/>
                <w:color w:val="000000"/>
              </w:rPr>
              <w:t xml:space="preserve">overty </w:t>
            </w:r>
            <w:r>
              <w:rPr>
                <w:b/>
                <w:color w:val="000000"/>
              </w:rPr>
              <w:t>L</w:t>
            </w:r>
            <w:r w:rsidRPr="003C56CB">
              <w:rPr>
                <w:b/>
                <w:color w:val="000000"/>
              </w:rPr>
              <w:t>eve</w:t>
            </w:r>
            <w:r>
              <w:rPr>
                <w:b/>
                <w:color w:val="000000"/>
              </w:rPr>
              <w:t>l</w:t>
            </w:r>
          </w:p>
        </w:tc>
      </w:tr>
      <w:tr w14:paraId="40B7467C" w14:textId="77777777">
        <w:tblPrEx>
          <w:tblW w:w="13976" w:type="dxa"/>
          <w:jc w:val="center"/>
          <w:tblLook w:val="04A0"/>
        </w:tblPrEx>
        <w:trPr>
          <w:trHeight w:val="300"/>
          <w:jc w:val="center"/>
        </w:trPr>
        <w:tc>
          <w:tcPr>
            <w:tcW w:w="1050" w:type="dxa"/>
            <w:vMerge w:val="restart"/>
            <w:tcBorders>
              <w:top w:val="single" w:sz="12" w:space="0" w:color="auto"/>
            </w:tcBorders>
            <w:shd w:val="clear" w:color="auto" w:fill="auto"/>
            <w:vAlign w:val="center"/>
          </w:tcPr>
          <w:p w:rsidR="00887025" w:rsidRPr="00753F1E" w14:paraId="408D31E0" w14:textId="77777777">
            <w:pPr>
              <w:spacing w:line="240" w:lineRule="auto"/>
              <w:jc w:val="center"/>
              <w:rPr>
                <w:color w:val="000000"/>
              </w:rPr>
            </w:pPr>
            <w:r w:rsidRPr="00753F1E">
              <w:rPr>
                <w:bCs/>
                <w:color w:val="000000"/>
              </w:rPr>
              <w:t>2 – 3</w:t>
            </w:r>
          </w:p>
        </w:tc>
        <w:tc>
          <w:tcPr>
            <w:tcW w:w="983" w:type="dxa"/>
            <w:vMerge w:val="restart"/>
            <w:tcBorders>
              <w:top w:val="single" w:sz="12" w:space="0" w:color="auto"/>
            </w:tcBorders>
            <w:vAlign w:val="center"/>
          </w:tcPr>
          <w:p w:rsidR="00887025" w:rsidRPr="00FB0D88" w14:paraId="03BF4422" w14:textId="77777777">
            <w:pPr>
              <w:spacing w:line="240" w:lineRule="auto"/>
              <w:jc w:val="center"/>
              <w:rPr>
                <w:color w:val="000000"/>
              </w:rPr>
            </w:pPr>
            <w:r>
              <w:rPr>
                <w:color w:val="000000"/>
              </w:rPr>
              <w:t>296</w:t>
            </w:r>
          </w:p>
        </w:tc>
        <w:tc>
          <w:tcPr>
            <w:tcW w:w="950" w:type="dxa"/>
            <w:tcBorders>
              <w:top w:val="single" w:sz="12" w:space="0" w:color="auto"/>
            </w:tcBorders>
            <w:shd w:val="clear" w:color="auto" w:fill="auto"/>
            <w:vAlign w:val="center"/>
          </w:tcPr>
          <w:p w:rsidR="00887025" w:rsidRPr="00753F1E" w14:paraId="5BA57317" w14:textId="77777777">
            <w:pPr>
              <w:spacing w:line="240" w:lineRule="auto"/>
              <w:jc w:val="center"/>
              <w:rPr>
                <w:color w:val="000000"/>
              </w:rPr>
            </w:pPr>
            <w:r w:rsidRPr="00FB0D88">
              <w:rPr>
                <w:color w:val="000000"/>
              </w:rPr>
              <w:t>1</w:t>
            </w:r>
          </w:p>
        </w:tc>
        <w:tc>
          <w:tcPr>
            <w:tcW w:w="1216" w:type="dxa"/>
            <w:tcBorders>
              <w:top w:val="single" w:sz="12" w:space="0" w:color="auto"/>
              <w:left w:val="nil"/>
              <w:bottom w:val="single" w:sz="4" w:space="0" w:color="auto"/>
              <w:right w:val="single" w:sz="4" w:space="0" w:color="auto"/>
            </w:tcBorders>
            <w:shd w:val="clear" w:color="auto" w:fill="auto"/>
            <w:vAlign w:val="center"/>
          </w:tcPr>
          <w:p w:rsidR="00887025" w:rsidRPr="00753F1E" w14:paraId="753D0FAC" w14:textId="77777777">
            <w:pPr>
              <w:spacing w:line="240" w:lineRule="auto"/>
              <w:jc w:val="right"/>
              <w:rPr>
                <w:color w:val="000000"/>
              </w:rPr>
            </w:pPr>
            <w:r w:rsidRPr="00FB0D88">
              <w:rPr>
                <w:color w:val="000000"/>
              </w:rPr>
              <w:t>1,</w:t>
            </w:r>
            <w:r>
              <w:rPr>
                <w:color w:val="000000"/>
              </w:rPr>
              <w:t>106,582</w:t>
            </w:r>
          </w:p>
        </w:tc>
        <w:tc>
          <w:tcPr>
            <w:tcW w:w="1194" w:type="dxa"/>
            <w:tcBorders>
              <w:top w:val="single" w:sz="12" w:space="0" w:color="auto"/>
              <w:left w:val="nil"/>
              <w:bottom w:val="single" w:sz="4" w:space="0" w:color="auto"/>
              <w:right w:val="single" w:sz="4" w:space="0" w:color="auto"/>
            </w:tcBorders>
            <w:shd w:val="clear" w:color="auto" w:fill="auto"/>
            <w:noWrap/>
            <w:vAlign w:val="center"/>
          </w:tcPr>
          <w:p w:rsidR="00887025" w:rsidRPr="009E4A00" w14:paraId="428F1CEA" w14:textId="77777777">
            <w:pPr>
              <w:spacing w:line="240" w:lineRule="auto"/>
              <w:jc w:val="center"/>
              <w:rPr>
                <w:b/>
                <w:bCs/>
                <w:lang w:bidi="en-US"/>
              </w:rPr>
            </w:pPr>
            <w:r>
              <w:rPr>
                <w:b/>
                <w:bCs/>
                <w:color w:val="000000"/>
              </w:rPr>
              <w:t>16.1</w:t>
            </w:r>
            <w:r w:rsidRPr="009E4A00">
              <w:rPr>
                <w:b/>
                <w:bCs/>
                <w:color w:val="000000"/>
              </w:rPr>
              <w:t>%</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753F1E" w14:paraId="07551859" w14:textId="77777777">
            <w:pPr>
              <w:spacing w:line="240" w:lineRule="auto"/>
              <w:jc w:val="center"/>
              <w:rPr>
                <w:lang w:bidi="en-US"/>
              </w:rPr>
            </w:pPr>
            <w:r w:rsidRPr="00FB0D88">
              <w:rPr>
                <w:color w:val="000000"/>
              </w:rPr>
              <w:t>0.4%</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753F1E" w14:paraId="6693D1EA" w14:textId="77777777">
            <w:pPr>
              <w:spacing w:line="240" w:lineRule="auto"/>
              <w:jc w:val="center"/>
              <w:rPr>
                <w:lang w:bidi="en-US"/>
              </w:rPr>
            </w:pPr>
            <w:r w:rsidRPr="00FB0D88">
              <w:rPr>
                <w:color w:val="000000"/>
              </w:rPr>
              <w:t>4.4%</w:t>
            </w:r>
          </w:p>
        </w:tc>
        <w:tc>
          <w:tcPr>
            <w:tcW w:w="123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9E4A00" w14:paraId="4FE8F811" w14:textId="77777777">
            <w:pPr>
              <w:spacing w:line="240" w:lineRule="auto"/>
              <w:jc w:val="center"/>
              <w:rPr>
                <w:b/>
                <w:bCs/>
                <w:lang w:bidi="en-US"/>
              </w:rPr>
            </w:pPr>
            <w:r w:rsidRPr="009E4A00">
              <w:rPr>
                <w:b/>
                <w:bCs/>
                <w:color w:val="000000"/>
              </w:rPr>
              <w:t>0.3%</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753F1E" w14:paraId="378179E5" w14:textId="77777777">
            <w:pPr>
              <w:spacing w:line="240" w:lineRule="auto"/>
              <w:jc w:val="center"/>
              <w:rPr>
                <w:lang w:bidi="en-US"/>
              </w:rPr>
            </w:pPr>
            <w:r w:rsidRPr="00FB0D88">
              <w:rPr>
                <w:color w:val="000000"/>
              </w:rPr>
              <w:t>0.3%</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753F1E" w14:paraId="7D2E183C" w14:textId="77777777">
            <w:pPr>
              <w:spacing w:line="240" w:lineRule="auto"/>
              <w:jc w:val="center"/>
              <w:rPr>
                <w:lang w:bidi="en-US"/>
              </w:rPr>
            </w:pPr>
            <w:r w:rsidRPr="00FB0D88">
              <w:rPr>
                <w:color w:val="000000"/>
              </w:rPr>
              <w:t>3.0%</w:t>
            </w:r>
          </w:p>
        </w:tc>
        <w:tc>
          <w:tcPr>
            <w:tcW w:w="123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9E4A00" w14:paraId="6C64B207" w14:textId="77777777">
            <w:pPr>
              <w:spacing w:line="240" w:lineRule="auto"/>
              <w:jc w:val="center"/>
              <w:rPr>
                <w:b/>
                <w:bCs/>
                <w:color w:val="000000"/>
              </w:rPr>
            </w:pPr>
            <w:r w:rsidRPr="009E4A00">
              <w:rPr>
                <w:b/>
                <w:bCs/>
                <w:color w:val="000000"/>
              </w:rPr>
              <w:t>35.</w:t>
            </w:r>
            <w:r>
              <w:rPr>
                <w:b/>
                <w:bCs/>
                <w:color w:val="000000"/>
              </w:rPr>
              <w:t>4</w:t>
            </w:r>
            <w:r w:rsidRPr="009E4A00">
              <w:rPr>
                <w:b/>
                <w:bCs/>
                <w:color w:val="000000"/>
              </w:rPr>
              <w:t>%</w:t>
            </w:r>
          </w:p>
        </w:tc>
        <w:tc>
          <w:tcPr>
            <w:tcW w:w="1383" w:type="dxa"/>
            <w:tcBorders>
              <w:top w:val="single" w:sz="12" w:space="0" w:color="auto"/>
              <w:left w:val="single" w:sz="4" w:space="0" w:color="auto"/>
              <w:bottom w:val="single" w:sz="4" w:space="0" w:color="auto"/>
              <w:right w:val="single" w:sz="4" w:space="0" w:color="auto"/>
            </w:tcBorders>
            <w:shd w:val="clear" w:color="auto" w:fill="auto"/>
            <w:vAlign w:val="center"/>
          </w:tcPr>
          <w:p w:rsidR="00887025" w:rsidRPr="009E4A00" w14:paraId="6E0E96AC" w14:textId="77777777">
            <w:pPr>
              <w:spacing w:line="240" w:lineRule="auto"/>
              <w:jc w:val="center"/>
              <w:rPr>
                <w:b/>
                <w:bCs/>
                <w:color w:val="000000"/>
              </w:rPr>
            </w:pPr>
            <w:r w:rsidRPr="009E4A00">
              <w:rPr>
                <w:b/>
                <w:bCs/>
              </w:rPr>
              <w:t>41.7%</w:t>
            </w:r>
          </w:p>
        </w:tc>
      </w:tr>
      <w:tr w14:paraId="3A57B541" w14:textId="77777777">
        <w:tblPrEx>
          <w:tblW w:w="13976" w:type="dxa"/>
          <w:jc w:val="center"/>
          <w:tblLook w:val="04A0"/>
        </w:tblPrEx>
        <w:trPr>
          <w:trHeight w:val="300"/>
          <w:jc w:val="center"/>
        </w:trPr>
        <w:tc>
          <w:tcPr>
            <w:tcW w:w="1050" w:type="dxa"/>
            <w:vMerge/>
            <w:shd w:val="clear" w:color="auto" w:fill="auto"/>
            <w:vAlign w:val="center"/>
          </w:tcPr>
          <w:p w:rsidR="00887025" w:rsidRPr="00753F1E" w14:paraId="5217E294" w14:textId="77777777">
            <w:pPr>
              <w:spacing w:line="240" w:lineRule="auto"/>
              <w:jc w:val="center"/>
              <w:rPr>
                <w:color w:val="000000"/>
              </w:rPr>
            </w:pPr>
          </w:p>
        </w:tc>
        <w:tc>
          <w:tcPr>
            <w:tcW w:w="983" w:type="dxa"/>
            <w:vMerge/>
            <w:vAlign w:val="center"/>
          </w:tcPr>
          <w:p w:rsidR="00887025" w:rsidRPr="00FB0D88" w14:paraId="795C384E" w14:textId="77777777">
            <w:pPr>
              <w:spacing w:line="240" w:lineRule="auto"/>
              <w:jc w:val="center"/>
              <w:rPr>
                <w:color w:val="000000"/>
              </w:rPr>
            </w:pPr>
          </w:p>
        </w:tc>
        <w:tc>
          <w:tcPr>
            <w:tcW w:w="950" w:type="dxa"/>
            <w:shd w:val="clear" w:color="auto" w:fill="auto"/>
            <w:vAlign w:val="center"/>
          </w:tcPr>
          <w:p w:rsidR="00887025" w:rsidRPr="00753F1E" w14:paraId="61E901CB" w14:textId="77777777">
            <w:pPr>
              <w:spacing w:line="240" w:lineRule="auto"/>
              <w:jc w:val="center"/>
              <w:rPr>
                <w:color w:val="000000"/>
              </w:rPr>
            </w:pPr>
            <w:r w:rsidRPr="00FB0D88">
              <w:rPr>
                <w:color w:val="000000"/>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753F1E" w14:paraId="42F6B385" w14:textId="77777777">
            <w:pPr>
              <w:spacing w:line="240" w:lineRule="auto"/>
              <w:jc w:val="right"/>
              <w:rPr>
                <w:color w:val="000000"/>
              </w:rPr>
            </w:pPr>
            <w:r>
              <w:rPr>
                <w:color w:val="000000"/>
              </w:rPr>
              <w:t>16,364,676</w:t>
            </w:r>
          </w:p>
        </w:tc>
        <w:tc>
          <w:tcPr>
            <w:tcW w:w="1194" w:type="dxa"/>
            <w:tcBorders>
              <w:top w:val="single" w:sz="4" w:space="0" w:color="auto"/>
              <w:left w:val="nil"/>
              <w:bottom w:val="single" w:sz="4" w:space="0" w:color="auto"/>
              <w:right w:val="single" w:sz="4" w:space="0" w:color="auto"/>
            </w:tcBorders>
            <w:shd w:val="clear" w:color="auto" w:fill="auto"/>
            <w:noWrap/>
            <w:vAlign w:val="center"/>
          </w:tcPr>
          <w:p w:rsidR="00887025" w:rsidRPr="009E4A00" w14:paraId="0D51C8F1" w14:textId="77777777">
            <w:pPr>
              <w:spacing w:line="240" w:lineRule="auto"/>
              <w:jc w:val="center"/>
              <w:rPr>
                <w:b/>
                <w:bCs/>
                <w:lang w:bidi="en-US"/>
              </w:rPr>
            </w:pPr>
            <w:r w:rsidRPr="009E4A00">
              <w:rPr>
                <w:b/>
                <w:bCs/>
                <w:color w:val="000000"/>
              </w:rPr>
              <w:t>14.</w:t>
            </w:r>
            <w:r>
              <w:rPr>
                <w:b/>
                <w:bCs/>
                <w:color w:val="000000"/>
              </w:rPr>
              <w:t>6</w:t>
            </w:r>
            <w:r w:rsidRPr="009E4A00">
              <w:rPr>
                <w:b/>
                <w:bCs/>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15966DF1" w14:textId="77777777">
            <w:pPr>
              <w:spacing w:line="240" w:lineRule="auto"/>
              <w:jc w:val="center"/>
              <w:rPr>
                <w:lang w:bidi="en-US"/>
              </w:rPr>
            </w:pPr>
            <w:r w:rsidRPr="00FB0D88">
              <w:rPr>
                <w:color w:val="000000"/>
              </w:rPr>
              <w:t>0.3%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4704665B" w14:textId="77777777">
            <w:pPr>
              <w:spacing w:line="240" w:lineRule="auto"/>
              <w:jc w:val="center"/>
              <w:rPr>
                <w:lang w:bidi="en-US"/>
              </w:rPr>
            </w:pPr>
            <w:r w:rsidRPr="00FB0D88">
              <w:rPr>
                <w:color w:val="000000"/>
              </w:rPr>
              <w:t>5.</w:t>
            </w:r>
            <w:r>
              <w:rPr>
                <w:color w:val="000000"/>
              </w:rPr>
              <w:t>6</w:t>
            </w:r>
            <w:r w:rsidRPr="00FB0D88">
              <w:rPr>
                <w:color w:val="000000"/>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0ED7868E" w14:textId="77777777">
            <w:pPr>
              <w:spacing w:line="240" w:lineRule="auto"/>
              <w:jc w:val="center"/>
              <w:rPr>
                <w:lang w:bidi="en-US"/>
              </w:rPr>
            </w:pPr>
            <w:r w:rsidRPr="00FB0D88">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7D51B2B9" w14:textId="77777777">
            <w:pPr>
              <w:spacing w:line="240" w:lineRule="auto"/>
              <w:jc w:val="center"/>
              <w:rPr>
                <w:lang w:bidi="en-US"/>
              </w:rPr>
            </w:pPr>
            <w:r w:rsidRPr="00FB0D88">
              <w:rPr>
                <w:color w:val="000000"/>
              </w:rPr>
              <w:t>0.3%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42426BCD" w14:textId="77777777">
            <w:pPr>
              <w:spacing w:line="240" w:lineRule="auto"/>
              <w:jc w:val="center"/>
              <w:rPr>
                <w:lang w:bidi="en-US"/>
              </w:rPr>
            </w:pPr>
            <w:r w:rsidRPr="00FB0D88">
              <w:rPr>
                <w:color w:val="000000"/>
              </w:rPr>
              <w:t>2.</w:t>
            </w:r>
            <w:r>
              <w:rPr>
                <w:color w:val="000000"/>
              </w:rPr>
              <w:t>5</w:t>
            </w:r>
            <w:r w:rsidRPr="00FB0D88">
              <w:rPr>
                <w:color w:val="000000"/>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14:paraId="092E7669" w14:textId="77777777">
            <w:pPr>
              <w:spacing w:line="240" w:lineRule="auto"/>
              <w:jc w:val="center"/>
              <w:rPr>
                <w:b/>
                <w:bCs/>
                <w:color w:val="000000"/>
              </w:rPr>
            </w:pPr>
            <w:r>
              <w:rPr>
                <w:b/>
                <w:bCs/>
                <w:color w:val="000000"/>
              </w:rPr>
              <w:t>43.2</w:t>
            </w:r>
            <w:r w:rsidRPr="009E4A00">
              <w:rPr>
                <w:b/>
                <w:bCs/>
                <w:color w:val="000000"/>
              </w:rPr>
              <w:t>%</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9E4A00" w14:paraId="568152F0" w14:textId="77777777">
            <w:pPr>
              <w:spacing w:line="240" w:lineRule="auto"/>
              <w:jc w:val="center"/>
              <w:rPr>
                <w:b/>
                <w:bCs/>
                <w:color w:val="000000"/>
              </w:rPr>
            </w:pPr>
            <w:r>
              <w:rPr>
                <w:b/>
                <w:bCs/>
              </w:rPr>
              <w:t>37.8</w:t>
            </w:r>
            <w:r w:rsidRPr="009E4A00">
              <w:rPr>
                <w:b/>
                <w:bCs/>
              </w:rPr>
              <w:t>%</w:t>
            </w:r>
          </w:p>
        </w:tc>
      </w:tr>
      <w:tr w14:paraId="5C069944" w14:textId="77777777">
        <w:tblPrEx>
          <w:tblW w:w="13976" w:type="dxa"/>
          <w:jc w:val="center"/>
          <w:tblLook w:val="04A0"/>
        </w:tblPrEx>
        <w:trPr>
          <w:trHeight w:val="300"/>
          <w:jc w:val="center"/>
        </w:trPr>
        <w:tc>
          <w:tcPr>
            <w:tcW w:w="1050" w:type="dxa"/>
            <w:vMerge w:val="restart"/>
            <w:shd w:val="clear" w:color="auto" w:fill="auto"/>
            <w:vAlign w:val="center"/>
          </w:tcPr>
          <w:p w:rsidR="00887025" w:rsidRPr="00753F1E" w14:paraId="51D13FF3" w14:textId="77777777">
            <w:pPr>
              <w:spacing w:line="240" w:lineRule="auto"/>
              <w:jc w:val="center"/>
              <w:rPr>
                <w:color w:val="000000"/>
              </w:rPr>
            </w:pPr>
            <w:r>
              <w:rPr>
                <w:bCs/>
                <w:color w:val="000000"/>
              </w:rPr>
              <w:t>4 – 9</w:t>
            </w:r>
          </w:p>
        </w:tc>
        <w:tc>
          <w:tcPr>
            <w:tcW w:w="983" w:type="dxa"/>
            <w:vMerge w:val="restart"/>
            <w:vAlign w:val="center"/>
          </w:tcPr>
          <w:p w:rsidR="00887025" w:rsidRPr="00FB0D88" w14:paraId="638F361A" w14:textId="77777777">
            <w:pPr>
              <w:spacing w:line="240" w:lineRule="auto"/>
              <w:jc w:val="center"/>
              <w:rPr>
                <w:color w:val="000000"/>
              </w:rPr>
            </w:pPr>
            <w:r>
              <w:rPr>
                <w:color w:val="000000"/>
              </w:rPr>
              <w:t>85</w:t>
            </w:r>
          </w:p>
        </w:tc>
        <w:tc>
          <w:tcPr>
            <w:tcW w:w="950" w:type="dxa"/>
            <w:shd w:val="clear" w:color="auto" w:fill="auto"/>
            <w:vAlign w:val="center"/>
          </w:tcPr>
          <w:p w:rsidR="00887025" w:rsidRPr="00753F1E" w14:paraId="081B61B5" w14:textId="77777777">
            <w:pPr>
              <w:spacing w:line="240" w:lineRule="auto"/>
              <w:jc w:val="center"/>
              <w:rPr>
                <w:color w:val="000000"/>
              </w:rPr>
            </w:pPr>
            <w:r w:rsidRPr="00FB0D88">
              <w:rPr>
                <w:color w:val="000000"/>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753F1E" w14:paraId="1D802390" w14:textId="77777777">
            <w:pPr>
              <w:spacing w:line="240" w:lineRule="auto"/>
              <w:jc w:val="right"/>
              <w:rPr>
                <w:color w:val="000000"/>
              </w:rPr>
            </w:pPr>
            <w:r>
              <w:rPr>
                <w:color w:val="000000"/>
              </w:rPr>
              <w:t>162,274</w:t>
            </w:r>
          </w:p>
        </w:tc>
        <w:tc>
          <w:tcPr>
            <w:tcW w:w="1194" w:type="dxa"/>
            <w:tcBorders>
              <w:top w:val="single" w:sz="4" w:space="0" w:color="auto"/>
              <w:left w:val="nil"/>
              <w:bottom w:val="single" w:sz="4" w:space="0" w:color="auto"/>
              <w:right w:val="single" w:sz="4" w:space="0" w:color="auto"/>
            </w:tcBorders>
            <w:shd w:val="clear" w:color="auto" w:fill="auto"/>
            <w:noWrap/>
            <w:vAlign w:val="center"/>
          </w:tcPr>
          <w:p w:rsidR="00887025" w:rsidRPr="009E4A00" w14:paraId="57E117BD" w14:textId="77777777">
            <w:pPr>
              <w:spacing w:line="240" w:lineRule="auto"/>
              <w:jc w:val="center"/>
              <w:rPr>
                <w:b/>
                <w:bCs/>
                <w:lang w:bidi="en-US"/>
              </w:rPr>
            </w:pPr>
            <w:r w:rsidRPr="009E4A00">
              <w:rPr>
                <w:b/>
                <w:bCs/>
                <w:color w:val="000000"/>
              </w:rPr>
              <w:t>2</w:t>
            </w:r>
            <w:r>
              <w:rPr>
                <w:b/>
                <w:bCs/>
                <w:color w:val="000000"/>
              </w:rPr>
              <w:t>7.9</w:t>
            </w:r>
            <w:r w:rsidRPr="009E4A00">
              <w:rPr>
                <w:b/>
                <w:bCs/>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715891FD" w14:textId="77777777">
            <w:pPr>
              <w:spacing w:line="240" w:lineRule="auto"/>
              <w:jc w:val="center"/>
              <w:rPr>
                <w:lang w:bidi="en-US"/>
              </w:rPr>
            </w:pPr>
            <w:r w:rsidRPr="00FB0D88">
              <w:rPr>
                <w:color w:val="000000"/>
              </w:rPr>
              <w:t>0.</w:t>
            </w:r>
            <w:r>
              <w:rPr>
                <w:color w:val="000000"/>
              </w:rPr>
              <w:t>3</w:t>
            </w:r>
            <w:r w:rsidRPr="00FB0D8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6DE57910" w14:textId="77777777">
            <w:pPr>
              <w:spacing w:line="240" w:lineRule="auto"/>
              <w:jc w:val="center"/>
              <w:rPr>
                <w:lang w:bidi="en-US"/>
              </w:rPr>
            </w:pPr>
            <w:r>
              <w:rPr>
                <w:color w:val="000000"/>
              </w:rPr>
              <w:t>3.9</w:t>
            </w:r>
            <w:r w:rsidRPr="00FB0D88">
              <w:rPr>
                <w:color w:val="000000"/>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17625938" w14:textId="77777777">
            <w:pPr>
              <w:spacing w:line="240" w:lineRule="auto"/>
              <w:jc w:val="center"/>
              <w:rPr>
                <w:lang w:bidi="en-US"/>
              </w:rPr>
            </w:pPr>
            <w:r w:rsidRPr="00FB0D88">
              <w:rPr>
                <w:color w:val="000000"/>
              </w:rPr>
              <w:t>0.0%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33057D4E" w14:textId="77777777">
            <w:pPr>
              <w:spacing w:line="240" w:lineRule="auto"/>
              <w:jc w:val="center"/>
              <w:rPr>
                <w:lang w:bidi="en-US"/>
              </w:rPr>
            </w:pPr>
            <w:r w:rsidRPr="00FB0D88">
              <w:rPr>
                <w:color w:val="000000"/>
              </w:rPr>
              <w:t>0.</w:t>
            </w:r>
            <w:r>
              <w:rPr>
                <w:color w:val="000000"/>
              </w:rPr>
              <w:t>4</w:t>
            </w:r>
            <w:r w:rsidRPr="00FB0D8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74A4E982" w14:textId="77777777">
            <w:pPr>
              <w:spacing w:line="240" w:lineRule="auto"/>
              <w:jc w:val="center"/>
              <w:rPr>
                <w:lang w:bidi="en-US"/>
              </w:rPr>
            </w:pPr>
            <w:r w:rsidRPr="00FB0D88">
              <w:rPr>
                <w:color w:val="000000"/>
              </w:rPr>
              <w:t>2.4%</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14:paraId="759F07B3" w14:textId="77777777">
            <w:pPr>
              <w:spacing w:line="240" w:lineRule="auto"/>
              <w:jc w:val="center"/>
              <w:rPr>
                <w:b/>
                <w:bCs/>
                <w:color w:val="000000"/>
              </w:rPr>
            </w:pPr>
            <w:r>
              <w:rPr>
                <w:b/>
                <w:bCs/>
                <w:color w:val="000000"/>
              </w:rPr>
              <w:t>18.9</w:t>
            </w:r>
            <w:r w:rsidRPr="009E4A00">
              <w:rPr>
                <w:b/>
                <w:bCs/>
                <w:color w:val="000000"/>
              </w:rPr>
              <w:t>%</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9E4A00" w14:paraId="70F75862" w14:textId="77777777">
            <w:pPr>
              <w:spacing w:line="240" w:lineRule="auto"/>
              <w:jc w:val="center"/>
              <w:rPr>
                <w:b/>
                <w:bCs/>
                <w:color w:val="000000"/>
              </w:rPr>
            </w:pPr>
            <w:r w:rsidRPr="009E4A00">
              <w:rPr>
                <w:b/>
                <w:bCs/>
              </w:rPr>
              <w:t>41.8%</w:t>
            </w:r>
          </w:p>
        </w:tc>
      </w:tr>
      <w:tr w14:paraId="7E12C573" w14:textId="77777777">
        <w:tblPrEx>
          <w:tblW w:w="13976" w:type="dxa"/>
          <w:jc w:val="center"/>
          <w:tblLook w:val="04A0"/>
        </w:tblPrEx>
        <w:trPr>
          <w:trHeight w:val="300"/>
          <w:jc w:val="center"/>
        </w:trPr>
        <w:tc>
          <w:tcPr>
            <w:tcW w:w="1050" w:type="dxa"/>
            <w:vMerge/>
            <w:shd w:val="clear" w:color="auto" w:fill="auto"/>
            <w:vAlign w:val="center"/>
          </w:tcPr>
          <w:p w:rsidR="00887025" w:rsidRPr="00753F1E" w14:paraId="0432B4AD" w14:textId="77777777">
            <w:pPr>
              <w:spacing w:line="240" w:lineRule="auto"/>
              <w:jc w:val="center"/>
              <w:rPr>
                <w:color w:val="000000"/>
              </w:rPr>
            </w:pPr>
          </w:p>
        </w:tc>
        <w:tc>
          <w:tcPr>
            <w:tcW w:w="983" w:type="dxa"/>
            <w:vMerge/>
            <w:vAlign w:val="center"/>
          </w:tcPr>
          <w:p w:rsidR="00887025" w:rsidRPr="00FB0D88" w14:paraId="284A04B3" w14:textId="77777777">
            <w:pPr>
              <w:spacing w:line="240" w:lineRule="auto"/>
              <w:jc w:val="center"/>
              <w:rPr>
                <w:color w:val="000000"/>
              </w:rPr>
            </w:pPr>
          </w:p>
        </w:tc>
        <w:tc>
          <w:tcPr>
            <w:tcW w:w="950" w:type="dxa"/>
            <w:shd w:val="clear" w:color="auto" w:fill="auto"/>
            <w:vAlign w:val="center"/>
          </w:tcPr>
          <w:p w:rsidR="00887025" w:rsidRPr="00753F1E" w14:paraId="3AA3152E" w14:textId="77777777">
            <w:pPr>
              <w:spacing w:line="240" w:lineRule="auto"/>
              <w:jc w:val="center"/>
              <w:rPr>
                <w:color w:val="000000"/>
              </w:rPr>
            </w:pPr>
            <w:r w:rsidRPr="00FB0D88">
              <w:rPr>
                <w:color w:val="000000"/>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753F1E" w14:paraId="1D704A7F" w14:textId="77777777">
            <w:pPr>
              <w:spacing w:line="240" w:lineRule="auto"/>
              <w:jc w:val="right"/>
              <w:rPr>
                <w:color w:val="000000"/>
              </w:rPr>
            </w:pPr>
            <w:r>
              <w:rPr>
                <w:color w:val="000000"/>
              </w:rPr>
              <w:t>2,727,926</w:t>
            </w:r>
          </w:p>
        </w:tc>
        <w:tc>
          <w:tcPr>
            <w:tcW w:w="1194" w:type="dxa"/>
            <w:tcBorders>
              <w:top w:val="single" w:sz="4" w:space="0" w:color="auto"/>
              <w:left w:val="nil"/>
              <w:bottom w:val="single" w:sz="4" w:space="0" w:color="auto"/>
              <w:right w:val="single" w:sz="4" w:space="0" w:color="auto"/>
            </w:tcBorders>
            <w:shd w:val="clear" w:color="auto" w:fill="auto"/>
            <w:noWrap/>
            <w:vAlign w:val="center"/>
          </w:tcPr>
          <w:p w:rsidR="00887025" w:rsidRPr="009E4A00" w14:paraId="77E6BA3B" w14:textId="77777777">
            <w:pPr>
              <w:spacing w:line="240" w:lineRule="auto"/>
              <w:jc w:val="center"/>
              <w:rPr>
                <w:b/>
                <w:bCs/>
                <w:lang w:bidi="en-US"/>
              </w:rPr>
            </w:pPr>
            <w:r>
              <w:rPr>
                <w:b/>
                <w:bCs/>
                <w:color w:val="000000"/>
              </w:rPr>
              <w:t>21.0</w:t>
            </w:r>
            <w:r w:rsidRPr="009E4A00">
              <w:rPr>
                <w:b/>
                <w:bCs/>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6983704D" w14:textId="77777777">
            <w:pPr>
              <w:spacing w:line="240" w:lineRule="auto"/>
              <w:jc w:val="center"/>
              <w:rPr>
                <w:lang w:bidi="en-US"/>
              </w:rPr>
            </w:pPr>
            <w:r w:rsidRPr="00FB0D88">
              <w:rPr>
                <w:color w:val="000000"/>
              </w:rPr>
              <w:t>0.</w:t>
            </w:r>
            <w:r>
              <w:rPr>
                <w:color w:val="000000"/>
              </w:rPr>
              <w:t>2</w:t>
            </w:r>
            <w:r w:rsidRPr="00FB0D8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72783860" w14:textId="77777777">
            <w:pPr>
              <w:spacing w:line="240" w:lineRule="auto"/>
              <w:jc w:val="center"/>
              <w:rPr>
                <w:lang w:bidi="en-US"/>
              </w:rPr>
            </w:pPr>
            <w:r>
              <w:rPr>
                <w:color w:val="000000"/>
              </w:rPr>
              <w:t>3.4</w:t>
            </w:r>
            <w:r w:rsidRPr="00FB0D88">
              <w:rPr>
                <w:color w:val="000000"/>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0917A521" w14:textId="77777777">
            <w:pPr>
              <w:spacing w:line="240" w:lineRule="auto"/>
              <w:jc w:val="center"/>
              <w:rPr>
                <w:lang w:bidi="en-US"/>
              </w:rPr>
            </w:pPr>
            <w:r w:rsidRPr="00FB0D88">
              <w:rPr>
                <w:color w:val="000000"/>
              </w:rPr>
              <w:t>0.</w:t>
            </w:r>
            <w:r>
              <w:rPr>
                <w:color w:val="000000"/>
              </w:rPr>
              <w:t>0</w:t>
            </w:r>
            <w:r w:rsidRPr="00FB0D8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6B2685FA" w14:textId="77777777">
            <w:pPr>
              <w:spacing w:line="240" w:lineRule="auto"/>
              <w:jc w:val="center"/>
              <w:rPr>
                <w:lang w:bidi="en-US"/>
              </w:rPr>
            </w:pPr>
            <w:r w:rsidRPr="00FB0D88">
              <w:rPr>
                <w:color w:val="000000"/>
              </w:rPr>
              <w:t>0.</w:t>
            </w:r>
            <w:r>
              <w:rPr>
                <w:color w:val="000000"/>
              </w:rPr>
              <w:t>3</w:t>
            </w:r>
            <w:r w:rsidRPr="00FB0D8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3FEEC15B" w14:textId="77777777">
            <w:pPr>
              <w:spacing w:line="240" w:lineRule="auto"/>
              <w:jc w:val="center"/>
              <w:rPr>
                <w:lang w:bidi="en-US"/>
              </w:rPr>
            </w:pPr>
            <w:r>
              <w:rPr>
                <w:color w:val="000000"/>
              </w:rPr>
              <w:t>2.4</w:t>
            </w:r>
            <w:r w:rsidRPr="00FB0D88">
              <w:rPr>
                <w:color w:val="000000"/>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14:paraId="457C8B83" w14:textId="77777777">
            <w:pPr>
              <w:spacing w:line="240" w:lineRule="auto"/>
              <w:jc w:val="center"/>
              <w:rPr>
                <w:b/>
                <w:bCs/>
                <w:color w:val="000000"/>
              </w:rPr>
            </w:pPr>
            <w:r>
              <w:rPr>
                <w:b/>
                <w:bCs/>
                <w:color w:val="000000"/>
              </w:rPr>
              <w:t>33.8</w:t>
            </w:r>
            <w:r w:rsidRPr="009E4A00">
              <w:rPr>
                <w:b/>
                <w:bCs/>
                <w:color w:val="000000"/>
              </w:rPr>
              <w:t>%</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9E4A00" w14:paraId="5600F70E" w14:textId="77777777">
            <w:pPr>
              <w:spacing w:line="240" w:lineRule="auto"/>
              <w:jc w:val="center"/>
              <w:rPr>
                <w:b/>
                <w:bCs/>
                <w:color w:val="000000"/>
              </w:rPr>
            </w:pPr>
            <w:r>
              <w:rPr>
                <w:b/>
                <w:bCs/>
              </w:rPr>
              <w:t>39.1</w:t>
            </w:r>
            <w:r w:rsidRPr="009E4A00">
              <w:rPr>
                <w:b/>
                <w:bCs/>
              </w:rPr>
              <w:t>%</w:t>
            </w:r>
          </w:p>
        </w:tc>
      </w:tr>
      <w:tr w14:paraId="68906F13" w14:textId="77777777">
        <w:tblPrEx>
          <w:tblW w:w="13976" w:type="dxa"/>
          <w:jc w:val="center"/>
          <w:tblLook w:val="04A0"/>
        </w:tblPrEx>
        <w:trPr>
          <w:trHeight w:val="300"/>
          <w:jc w:val="center"/>
        </w:trPr>
        <w:tc>
          <w:tcPr>
            <w:tcW w:w="1050" w:type="dxa"/>
            <w:vMerge w:val="restart"/>
            <w:shd w:val="clear" w:color="auto" w:fill="auto"/>
            <w:vAlign w:val="center"/>
          </w:tcPr>
          <w:p w:rsidR="00887025" w:rsidRPr="00753F1E" w14:paraId="312DC62A" w14:textId="77777777">
            <w:pPr>
              <w:spacing w:line="240" w:lineRule="auto"/>
              <w:jc w:val="center"/>
              <w:rPr>
                <w:color w:val="000000"/>
              </w:rPr>
            </w:pPr>
            <w:r>
              <w:rPr>
                <w:bCs/>
                <w:color w:val="000000"/>
              </w:rPr>
              <w:t>10 – 15</w:t>
            </w:r>
          </w:p>
        </w:tc>
        <w:tc>
          <w:tcPr>
            <w:tcW w:w="983" w:type="dxa"/>
            <w:vMerge w:val="restart"/>
            <w:vAlign w:val="center"/>
          </w:tcPr>
          <w:p w:rsidR="00887025" w:rsidRPr="00FB0D88" w14:paraId="4417F6A0" w14:textId="77777777">
            <w:pPr>
              <w:spacing w:line="240" w:lineRule="auto"/>
              <w:jc w:val="center"/>
              <w:rPr>
                <w:color w:val="000000"/>
              </w:rPr>
            </w:pPr>
            <w:r>
              <w:rPr>
                <w:color w:val="000000"/>
              </w:rPr>
              <w:t>12</w:t>
            </w:r>
          </w:p>
        </w:tc>
        <w:tc>
          <w:tcPr>
            <w:tcW w:w="950" w:type="dxa"/>
            <w:shd w:val="clear" w:color="auto" w:fill="auto"/>
            <w:vAlign w:val="center"/>
          </w:tcPr>
          <w:p w:rsidR="00887025" w:rsidRPr="00753F1E" w14:paraId="665D28E5" w14:textId="77777777">
            <w:pPr>
              <w:spacing w:line="240" w:lineRule="auto"/>
              <w:jc w:val="center"/>
              <w:rPr>
                <w:color w:val="000000"/>
              </w:rPr>
            </w:pPr>
            <w:r w:rsidRPr="00FB0D88">
              <w:rPr>
                <w:color w:val="000000"/>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753F1E" w14:paraId="1EF6D20E" w14:textId="77777777">
            <w:pPr>
              <w:spacing w:line="240" w:lineRule="auto"/>
              <w:jc w:val="right"/>
              <w:rPr>
                <w:color w:val="000000"/>
              </w:rPr>
            </w:pPr>
            <w:r>
              <w:rPr>
                <w:color w:val="000000"/>
              </w:rPr>
              <w:t>25,910</w:t>
            </w:r>
          </w:p>
        </w:tc>
        <w:tc>
          <w:tcPr>
            <w:tcW w:w="1194" w:type="dxa"/>
            <w:tcBorders>
              <w:top w:val="single" w:sz="4" w:space="0" w:color="auto"/>
              <w:left w:val="nil"/>
              <w:bottom w:val="single" w:sz="4" w:space="0" w:color="auto"/>
              <w:right w:val="single" w:sz="4" w:space="0" w:color="auto"/>
            </w:tcBorders>
            <w:shd w:val="clear" w:color="auto" w:fill="auto"/>
            <w:noWrap/>
            <w:vAlign w:val="center"/>
          </w:tcPr>
          <w:p w:rsidR="00887025" w:rsidRPr="009E4A00" w14:paraId="7DE51609" w14:textId="77777777">
            <w:pPr>
              <w:spacing w:line="240" w:lineRule="auto"/>
              <w:jc w:val="center"/>
              <w:rPr>
                <w:b/>
                <w:bCs/>
                <w:lang w:bidi="en-US"/>
              </w:rPr>
            </w:pPr>
            <w:r>
              <w:rPr>
                <w:b/>
                <w:bCs/>
                <w:color w:val="000000"/>
              </w:rPr>
              <w:t>17.0</w:t>
            </w:r>
            <w:r w:rsidRPr="009E4A00">
              <w:rPr>
                <w:b/>
                <w:bCs/>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588B44E3" w14:textId="77777777">
            <w:pPr>
              <w:spacing w:line="240" w:lineRule="auto"/>
              <w:jc w:val="center"/>
              <w:rPr>
                <w:lang w:bidi="en-US"/>
              </w:rPr>
            </w:pPr>
            <w:r w:rsidRPr="00FB0D88">
              <w:rPr>
                <w:color w:val="000000"/>
              </w:rPr>
              <w:t>0.</w:t>
            </w:r>
            <w:r>
              <w:rPr>
                <w:color w:val="000000"/>
              </w:rPr>
              <w:t>3</w:t>
            </w:r>
            <w:r w:rsidRPr="00FB0D8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71DEAEC6" w14:textId="77777777">
            <w:pPr>
              <w:spacing w:line="240" w:lineRule="auto"/>
              <w:jc w:val="center"/>
              <w:rPr>
                <w:lang w:bidi="en-US"/>
              </w:rPr>
            </w:pPr>
            <w:r>
              <w:rPr>
                <w:color w:val="000000"/>
              </w:rPr>
              <w:t>2.8</w:t>
            </w:r>
            <w:r w:rsidRPr="00FB0D88">
              <w:rPr>
                <w:color w:val="000000"/>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14:paraId="06E3DADE" w14:textId="77777777">
            <w:pPr>
              <w:spacing w:line="240" w:lineRule="auto"/>
              <w:jc w:val="center"/>
              <w:rPr>
                <w:b/>
                <w:bCs/>
                <w:lang w:bidi="en-US"/>
              </w:rPr>
            </w:pPr>
            <w:r>
              <w:rPr>
                <w:b/>
                <w:bCs/>
                <w:color w:val="000000"/>
              </w:rPr>
              <w:t>0.5</w:t>
            </w:r>
            <w:r w:rsidRPr="009E4A00">
              <w:rPr>
                <w:b/>
                <w:bCs/>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6E5030B7" w14:textId="77777777">
            <w:pPr>
              <w:spacing w:line="240" w:lineRule="auto"/>
              <w:jc w:val="center"/>
              <w:rPr>
                <w:lang w:bidi="en-US"/>
              </w:rPr>
            </w:pPr>
            <w:r w:rsidRPr="00FB0D88">
              <w:rPr>
                <w:color w:val="000000"/>
              </w:rPr>
              <w:t>0.0%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14:paraId="1569D3EB" w14:textId="77777777">
            <w:pPr>
              <w:spacing w:line="240" w:lineRule="auto"/>
              <w:jc w:val="center"/>
              <w:rPr>
                <w:b/>
                <w:bCs/>
                <w:lang w:bidi="en-US"/>
              </w:rPr>
            </w:pPr>
            <w:r>
              <w:rPr>
                <w:b/>
                <w:bCs/>
                <w:color w:val="000000"/>
              </w:rPr>
              <w:t>6</w:t>
            </w:r>
            <w:r w:rsidRPr="009E4A00">
              <w:rPr>
                <w:b/>
                <w:bCs/>
                <w:color w:val="000000"/>
              </w:rPr>
              <w:t>.2%</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14:paraId="17F3A688" w14:textId="77777777">
            <w:pPr>
              <w:spacing w:line="240" w:lineRule="auto"/>
              <w:jc w:val="center"/>
              <w:rPr>
                <w:b/>
                <w:bCs/>
                <w:color w:val="000000"/>
              </w:rPr>
            </w:pPr>
            <w:r>
              <w:rPr>
                <w:b/>
                <w:bCs/>
                <w:color w:val="000000"/>
              </w:rPr>
              <w:t>20.6</w:t>
            </w:r>
            <w:r w:rsidRPr="009E4A00">
              <w:rPr>
                <w:b/>
                <w:bCs/>
                <w:color w:val="000000"/>
              </w:rPr>
              <w:t>%</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9E4A00" w14:paraId="79485FCF" w14:textId="77777777">
            <w:pPr>
              <w:spacing w:line="240" w:lineRule="auto"/>
              <w:jc w:val="center"/>
              <w:rPr>
                <w:b/>
                <w:bCs/>
                <w:color w:val="000000"/>
              </w:rPr>
            </w:pPr>
            <w:r>
              <w:rPr>
                <w:b/>
                <w:bCs/>
              </w:rPr>
              <w:t>38.5</w:t>
            </w:r>
            <w:r w:rsidRPr="009E4A00">
              <w:rPr>
                <w:b/>
                <w:bCs/>
              </w:rPr>
              <w:t>%</w:t>
            </w:r>
          </w:p>
        </w:tc>
      </w:tr>
      <w:tr w14:paraId="5051BDE7" w14:textId="77777777">
        <w:tblPrEx>
          <w:tblW w:w="13976" w:type="dxa"/>
          <w:jc w:val="center"/>
          <w:tblLook w:val="04A0"/>
        </w:tblPrEx>
        <w:trPr>
          <w:trHeight w:val="300"/>
          <w:jc w:val="center"/>
        </w:trPr>
        <w:tc>
          <w:tcPr>
            <w:tcW w:w="1050" w:type="dxa"/>
            <w:vMerge/>
            <w:shd w:val="clear" w:color="auto" w:fill="auto"/>
            <w:vAlign w:val="center"/>
          </w:tcPr>
          <w:p w:rsidR="00887025" w:rsidRPr="00753F1E" w14:paraId="080214E1" w14:textId="77777777">
            <w:pPr>
              <w:spacing w:line="240" w:lineRule="auto"/>
              <w:jc w:val="center"/>
              <w:rPr>
                <w:bCs/>
                <w:color w:val="000000"/>
              </w:rPr>
            </w:pPr>
          </w:p>
        </w:tc>
        <w:tc>
          <w:tcPr>
            <w:tcW w:w="983" w:type="dxa"/>
            <w:vMerge/>
            <w:vAlign w:val="center"/>
          </w:tcPr>
          <w:p w:rsidR="00887025" w:rsidRPr="00FB0D88" w14:paraId="52E7C192" w14:textId="77777777">
            <w:pPr>
              <w:spacing w:line="240" w:lineRule="auto"/>
              <w:jc w:val="center"/>
              <w:rPr>
                <w:color w:val="000000"/>
              </w:rPr>
            </w:pPr>
          </w:p>
        </w:tc>
        <w:tc>
          <w:tcPr>
            <w:tcW w:w="950" w:type="dxa"/>
            <w:shd w:val="clear" w:color="auto" w:fill="auto"/>
            <w:vAlign w:val="center"/>
          </w:tcPr>
          <w:p w:rsidR="00887025" w:rsidRPr="00753F1E" w14:paraId="1FF9E2F8" w14:textId="77777777">
            <w:pPr>
              <w:spacing w:line="240" w:lineRule="auto"/>
              <w:jc w:val="center"/>
              <w:rPr>
                <w:bCs/>
                <w:color w:val="000000"/>
              </w:rPr>
            </w:pPr>
            <w:r w:rsidRPr="00FB0D88">
              <w:rPr>
                <w:color w:val="000000"/>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753F1E" w14:paraId="50851145" w14:textId="77777777">
            <w:pPr>
              <w:spacing w:line="240" w:lineRule="auto"/>
              <w:jc w:val="right"/>
              <w:rPr>
                <w:bCs/>
                <w:color w:val="000000"/>
              </w:rPr>
            </w:pPr>
            <w:r>
              <w:rPr>
                <w:color w:val="000000"/>
              </w:rPr>
              <w:t>222,318</w:t>
            </w:r>
          </w:p>
        </w:tc>
        <w:tc>
          <w:tcPr>
            <w:tcW w:w="1194" w:type="dxa"/>
            <w:tcBorders>
              <w:top w:val="single" w:sz="4" w:space="0" w:color="auto"/>
              <w:left w:val="nil"/>
              <w:bottom w:val="single" w:sz="4" w:space="0" w:color="auto"/>
              <w:right w:val="single" w:sz="4" w:space="0" w:color="auto"/>
            </w:tcBorders>
            <w:shd w:val="clear" w:color="auto" w:fill="auto"/>
            <w:noWrap/>
            <w:vAlign w:val="center"/>
          </w:tcPr>
          <w:p w:rsidR="00887025" w:rsidRPr="009E4A00" w14:paraId="1BF4615B" w14:textId="77777777">
            <w:pPr>
              <w:spacing w:line="240" w:lineRule="auto"/>
              <w:jc w:val="center"/>
              <w:rPr>
                <w:b/>
                <w:bCs/>
                <w:lang w:bidi="en-US"/>
              </w:rPr>
            </w:pPr>
            <w:r>
              <w:rPr>
                <w:b/>
                <w:bCs/>
                <w:color w:val="000000"/>
              </w:rPr>
              <w:t>23.6</w:t>
            </w:r>
            <w:r w:rsidRPr="009E4A00">
              <w:rPr>
                <w:b/>
                <w:bCs/>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09479902" w14:textId="77777777">
            <w:pPr>
              <w:spacing w:line="240" w:lineRule="auto"/>
              <w:jc w:val="center"/>
              <w:rPr>
                <w:bCs/>
                <w:lang w:bidi="en-US"/>
              </w:rPr>
            </w:pPr>
            <w:r w:rsidRPr="00FB0D88">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1AC59701" w14:textId="77777777">
            <w:pPr>
              <w:spacing w:line="240" w:lineRule="auto"/>
              <w:jc w:val="center"/>
              <w:rPr>
                <w:bCs/>
                <w:lang w:bidi="en-US"/>
              </w:rPr>
            </w:pPr>
            <w:r>
              <w:rPr>
                <w:color w:val="000000"/>
              </w:rPr>
              <w:t>2.0</w:t>
            </w:r>
            <w:r w:rsidRPr="00FB0D88">
              <w:rPr>
                <w:color w:val="000000"/>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06F54" w14:paraId="293EBA76" w14:textId="77777777">
            <w:pPr>
              <w:spacing w:line="240" w:lineRule="auto"/>
              <w:jc w:val="center"/>
              <w:rPr>
                <w:lang w:bidi="en-US"/>
              </w:rPr>
            </w:pPr>
            <w:r w:rsidRPr="00906F54">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66840413" w14:textId="77777777">
            <w:pPr>
              <w:spacing w:line="240" w:lineRule="auto"/>
              <w:jc w:val="center"/>
              <w:rPr>
                <w:bCs/>
                <w:lang w:bidi="en-US"/>
              </w:rPr>
            </w:pPr>
            <w:r w:rsidRPr="00FB0D88">
              <w:rPr>
                <w:color w:val="000000"/>
              </w:rPr>
              <w:t>0.</w:t>
            </w:r>
            <w:r>
              <w:rPr>
                <w:color w:val="000000"/>
              </w:rPr>
              <w:t>2</w:t>
            </w:r>
            <w:r w:rsidRPr="00FB0D8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14:paraId="719D4A7B" w14:textId="77777777">
            <w:pPr>
              <w:spacing w:line="240" w:lineRule="auto"/>
              <w:jc w:val="center"/>
              <w:rPr>
                <w:b/>
                <w:bCs/>
                <w:lang w:bidi="en-US"/>
              </w:rPr>
            </w:pPr>
            <w:r w:rsidRPr="009E4A00">
              <w:rPr>
                <w:b/>
                <w:bCs/>
                <w:color w:val="000000"/>
              </w:rPr>
              <w:t>3.</w:t>
            </w:r>
            <w:r>
              <w:rPr>
                <w:b/>
                <w:bCs/>
                <w:color w:val="000000"/>
              </w:rPr>
              <w:t>5</w:t>
            </w:r>
            <w:r w:rsidRPr="009E4A00">
              <w:rPr>
                <w:b/>
                <w:bCs/>
                <w:color w:val="000000"/>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51E02" w14:paraId="3A3F3B02" w14:textId="77777777">
            <w:pPr>
              <w:spacing w:line="240" w:lineRule="auto"/>
              <w:jc w:val="center"/>
              <w:rPr>
                <w:color w:val="000000"/>
              </w:rPr>
            </w:pPr>
            <w:r w:rsidRPr="00151E02">
              <w:rPr>
                <w:color w:val="000000"/>
              </w:rPr>
              <w:t>16.5%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9E4A00" w14:paraId="26C78BFA" w14:textId="77777777">
            <w:pPr>
              <w:spacing w:line="240" w:lineRule="auto"/>
              <w:jc w:val="center"/>
              <w:rPr>
                <w:b/>
                <w:bCs/>
                <w:color w:val="000000"/>
              </w:rPr>
            </w:pPr>
            <w:r>
              <w:rPr>
                <w:b/>
                <w:bCs/>
              </w:rPr>
              <w:t>34.4</w:t>
            </w:r>
            <w:r w:rsidRPr="009E4A00">
              <w:rPr>
                <w:b/>
                <w:bCs/>
              </w:rPr>
              <w:t>%</w:t>
            </w:r>
          </w:p>
        </w:tc>
      </w:tr>
      <w:tr w14:paraId="17A77356" w14:textId="77777777">
        <w:tblPrEx>
          <w:tblW w:w="13976" w:type="dxa"/>
          <w:jc w:val="center"/>
          <w:tblLook w:val="04A0"/>
        </w:tblPrEx>
        <w:trPr>
          <w:trHeight w:val="300"/>
          <w:jc w:val="center"/>
        </w:trPr>
        <w:tc>
          <w:tcPr>
            <w:tcW w:w="1050" w:type="dxa"/>
            <w:vMerge w:val="restart"/>
            <w:shd w:val="clear" w:color="auto" w:fill="auto"/>
            <w:vAlign w:val="center"/>
          </w:tcPr>
          <w:p w:rsidR="00887025" w:rsidRPr="00753F1E" w14:paraId="6AEF16B7" w14:textId="77777777">
            <w:pPr>
              <w:spacing w:line="240" w:lineRule="auto"/>
              <w:jc w:val="center"/>
              <w:rPr>
                <w:bCs/>
                <w:color w:val="000000"/>
              </w:rPr>
            </w:pPr>
            <w:r w:rsidRPr="004616CA">
              <w:rPr>
                <w:bCs/>
                <w:color w:val="000000"/>
              </w:rPr>
              <w:t>16 +</w:t>
            </w:r>
          </w:p>
        </w:tc>
        <w:tc>
          <w:tcPr>
            <w:tcW w:w="983" w:type="dxa"/>
            <w:vMerge w:val="restart"/>
            <w:vAlign w:val="center"/>
          </w:tcPr>
          <w:p w:rsidR="00887025" w:rsidRPr="00FB0D88" w14:paraId="7147557A" w14:textId="77777777">
            <w:pPr>
              <w:spacing w:line="240" w:lineRule="auto"/>
              <w:jc w:val="center"/>
              <w:rPr>
                <w:color w:val="000000"/>
              </w:rPr>
            </w:pPr>
            <w:r>
              <w:rPr>
                <w:color w:val="000000"/>
              </w:rPr>
              <w:t>6</w:t>
            </w:r>
          </w:p>
        </w:tc>
        <w:tc>
          <w:tcPr>
            <w:tcW w:w="950" w:type="dxa"/>
            <w:shd w:val="clear" w:color="auto" w:fill="auto"/>
            <w:vAlign w:val="center"/>
          </w:tcPr>
          <w:p w:rsidR="00887025" w:rsidRPr="00753F1E" w14:paraId="58A711D8" w14:textId="77777777">
            <w:pPr>
              <w:spacing w:line="240" w:lineRule="auto"/>
              <w:jc w:val="center"/>
              <w:rPr>
                <w:bCs/>
                <w:color w:val="000000"/>
              </w:rPr>
            </w:pPr>
            <w:r w:rsidRPr="00FB0D88">
              <w:rPr>
                <w:color w:val="000000"/>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753F1E" w14:paraId="1C64744C" w14:textId="77777777">
            <w:pPr>
              <w:spacing w:line="240" w:lineRule="auto"/>
              <w:jc w:val="right"/>
              <w:rPr>
                <w:bCs/>
                <w:color w:val="000000"/>
              </w:rPr>
            </w:pPr>
            <w:r>
              <w:rPr>
                <w:color w:val="000000"/>
              </w:rPr>
              <w:t>4,813</w:t>
            </w:r>
          </w:p>
        </w:tc>
        <w:tc>
          <w:tcPr>
            <w:tcW w:w="1194" w:type="dxa"/>
            <w:tcBorders>
              <w:top w:val="single" w:sz="4" w:space="0" w:color="auto"/>
              <w:left w:val="nil"/>
              <w:bottom w:val="single" w:sz="4" w:space="0" w:color="auto"/>
              <w:right w:val="single" w:sz="4" w:space="0" w:color="auto"/>
            </w:tcBorders>
            <w:shd w:val="clear" w:color="auto" w:fill="auto"/>
            <w:noWrap/>
            <w:vAlign w:val="center"/>
          </w:tcPr>
          <w:p w:rsidR="00887025" w:rsidRPr="009E4A00" w14:paraId="54CE3F81" w14:textId="77777777">
            <w:pPr>
              <w:spacing w:line="240" w:lineRule="auto"/>
              <w:jc w:val="center"/>
              <w:rPr>
                <w:b/>
                <w:bCs/>
                <w:lang w:bidi="en-US"/>
              </w:rPr>
            </w:pPr>
            <w:r>
              <w:rPr>
                <w:b/>
                <w:bCs/>
                <w:color w:val="000000"/>
              </w:rPr>
              <w:t>24.9</w:t>
            </w:r>
            <w:r w:rsidRPr="009E4A00">
              <w:rPr>
                <w:b/>
                <w:bCs/>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0767250A" w14:textId="77777777">
            <w:pPr>
              <w:spacing w:line="240" w:lineRule="auto"/>
              <w:jc w:val="center"/>
              <w:rPr>
                <w:bCs/>
                <w:lang w:bidi="en-US"/>
              </w:rPr>
            </w:pPr>
            <w:r w:rsidRPr="00FB0D88">
              <w:rPr>
                <w:color w:val="000000"/>
              </w:rPr>
              <w:t>0.</w:t>
            </w:r>
            <w:r>
              <w:rPr>
                <w:color w:val="000000"/>
              </w:rPr>
              <w:t>1</w:t>
            </w:r>
            <w:r w:rsidRPr="00FB0D8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1B0496B3" w14:textId="77777777">
            <w:pPr>
              <w:spacing w:line="240" w:lineRule="auto"/>
              <w:jc w:val="center"/>
              <w:rPr>
                <w:bCs/>
                <w:lang w:bidi="en-US"/>
              </w:rPr>
            </w:pPr>
            <w:r w:rsidRPr="00FB0D88">
              <w:rPr>
                <w:color w:val="000000"/>
              </w:rPr>
              <w:t>0.1%</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1A160EFF" w14:textId="77777777">
            <w:pPr>
              <w:spacing w:line="240" w:lineRule="auto"/>
              <w:jc w:val="center"/>
              <w:rPr>
                <w:bCs/>
                <w:lang w:bidi="en-US"/>
              </w:rPr>
            </w:pPr>
            <w:r w:rsidRPr="00FB0D88">
              <w:rPr>
                <w:color w:val="000000"/>
              </w:rPr>
              <w:t>0.0%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5B4A086E" w14:textId="77777777">
            <w:pPr>
              <w:spacing w:line="240" w:lineRule="auto"/>
              <w:jc w:val="center"/>
              <w:rPr>
                <w:bCs/>
                <w:lang w:bidi="en-US"/>
              </w:rPr>
            </w:pPr>
            <w:r w:rsidRPr="00FB0D88">
              <w:rPr>
                <w:color w:val="000000"/>
              </w:rPr>
              <w:t>0.</w:t>
            </w:r>
            <w:r>
              <w:rPr>
                <w:color w:val="000000"/>
              </w:rPr>
              <w:t>0</w:t>
            </w:r>
            <w:r w:rsidRPr="00FB0D8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42323BDA" w14:textId="77777777">
            <w:pPr>
              <w:spacing w:line="240" w:lineRule="auto"/>
              <w:jc w:val="center"/>
              <w:rPr>
                <w:bCs/>
                <w:lang w:bidi="en-US"/>
              </w:rPr>
            </w:pPr>
            <w:r w:rsidRPr="00FB0D88">
              <w:rPr>
                <w:color w:val="000000"/>
              </w:rPr>
              <w:t>1.</w:t>
            </w:r>
            <w:r>
              <w:rPr>
                <w:color w:val="000000"/>
              </w:rPr>
              <w:t>3</w:t>
            </w:r>
            <w:r w:rsidRPr="00FB0D88">
              <w:rPr>
                <w:color w:val="000000"/>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14:paraId="1C2EF682" w14:textId="77777777">
            <w:pPr>
              <w:spacing w:line="240" w:lineRule="auto"/>
              <w:jc w:val="center"/>
              <w:rPr>
                <w:b/>
                <w:bCs/>
                <w:color w:val="000000"/>
              </w:rPr>
            </w:pPr>
            <w:r>
              <w:rPr>
                <w:b/>
                <w:bCs/>
                <w:color w:val="000000"/>
              </w:rPr>
              <w:t>50.1</w:t>
            </w:r>
            <w:r w:rsidRPr="009E4A00">
              <w:rPr>
                <w:b/>
                <w:bCs/>
                <w:color w:val="000000"/>
              </w:rPr>
              <w:t>%</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9E4A00" w14:paraId="50B3AAAC" w14:textId="77777777">
            <w:pPr>
              <w:spacing w:line="240" w:lineRule="auto"/>
              <w:jc w:val="center"/>
              <w:rPr>
                <w:b/>
                <w:bCs/>
                <w:color w:val="000000"/>
              </w:rPr>
            </w:pPr>
            <w:r>
              <w:rPr>
                <w:b/>
                <w:bCs/>
              </w:rPr>
              <w:t>48.9</w:t>
            </w:r>
            <w:r w:rsidRPr="009E4A00">
              <w:rPr>
                <w:b/>
                <w:bCs/>
              </w:rPr>
              <w:t>%</w:t>
            </w:r>
          </w:p>
        </w:tc>
      </w:tr>
      <w:tr w14:paraId="5B4DE774" w14:textId="77777777">
        <w:tblPrEx>
          <w:tblW w:w="13976" w:type="dxa"/>
          <w:jc w:val="center"/>
          <w:tblLook w:val="04A0"/>
        </w:tblPrEx>
        <w:trPr>
          <w:trHeight w:val="300"/>
          <w:jc w:val="center"/>
        </w:trPr>
        <w:tc>
          <w:tcPr>
            <w:tcW w:w="1050" w:type="dxa"/>
            <w:vMerge/>
            <w:shd w:val="clear" w:color="auto" w:fill="auto"/>
            <w:vAlign w:val="center"/>
          </w:tcPr>
          <w:p w:rsidR="00887025" w:rsidRPr="00753F1E" w14:paraId="0E005E78" w14:textId="77777777">
            <w:pPr>
              <w:spacing w:line="240" w:lineRule="auto"/>
              <w:jc w:val="center"/>
              <w:rPr>
                <w:bCs/>
                <w:color w:val="000000"/>
              </w:rPr>
            </w:pPr>
          </w:p>
        </w:tc>
        <w:tc>
          <w:tcPr>
            <w:tcW w:w="983" w:type="dxa"/>
            <w:vMerge/>
            <w:vAlign w:val="center"/>
          </w:tcPr>
          <w:p w:rsidR="00887025" w:rsidRPr="00FB0D88" w14:paraId="3F34EC39" w14:textId="77777777">
            <w:pPr>
              <w:spacing w:line="240" w:lineRule="auto"/>
              <w:jc w:val="center"/>
              <w:rPr>
                <w:color w:val="000000"/>
              </w:rPr>
            </w:pPr>
          </w:p>
        </w:tc>
        <w:tc>
          <w:tcPr>
            <w:tcW w:w="950" w:type="dxa"/>
            <w:shd w:val="clear" w:color="auto" w:fill="auto"/>
            <w:vAlign w:val="center"/>
          </w:tcPr>
          <w:p w:rsidR="00887025" w:rsidRPr="00753F1E" w14:paraId="6C571D3F" w14:textId="77777777">
            <w:pPr>
              <w:spacing w:line="240" w:lineRule="auto"/>
              <w:jc w:val="center"/>
              <w:rPr>
                <w:bCs/>
                <w:color w:val="000000"/>
              </w:rPr>
            </w:pPr>
            <w:r w:rsidRPr="00FB0D88">
              <w:rPr>
                <w:color w:val="000000"/>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753F1E" w14:paraId="6509F238" w14:textId="77777777">
            <w:pPr>
              <w:spacing w:line="240" w:lineRule="auto"/>
              <w:jc w:val="right"/>
              <w:rPr>
                <w:bCs/>
                <w:color w:val="000000"/>
              </w:rPr>
            </w:pPr>
            <w:r>
              <w:rPr>
                <w:color w:val="000000"/>
              </w:rPr>
              <w:t>55,231</w:t>
            </w:r>
          </w:p>
        </w:tc>
        <w:tc>
          <w:tcPr>
            <w:tcW w:w="1194" w:type="dxa"/>
            <w:tcBorders>
              <w:top w:val="single" w:sz="4" w:space="0" w:color="auto"/>
              <w:left w:val="nil"/>
              <w:bottom w:val="single" w:sz="4" w:space="0" w:color="auto"/>
              <w:right w:val="single" w:sz="4" w:space="0" w:color="auto"/>
            </w:tcBorders>
            <w:shd w:val="clear" w:color="auto" w:fill="auto"/>
            <w:noWrap/>
            <w:vAlign w:val="center"/>
          </w:tcPr>
          <w:p w:rsidR="00887025" w:rsidRPr="009E4A00" w14:paraId="499E43C2" w14:textId="77777777">
            <w:pPr>
              <w:spacing w:line="240" w:lineRule="auto"/>
              <w:jc w:val="center"/>
              <w:rPr>
                <w:b/>
                <w:bCs/>
                <w:lang w:bidi="en-US"/>
              </w:rPr>
            </w:pPr>
            <w:r>
              <w:rPr>
                <w:b/>
                <w:bCs/>
                <w:color w:val="000000"/>
              </w:rPr>
              <w:t>42.7</w:t>
            </w:r>
            <w:r w:rsidRPr="009E4A00">
              <w:rPr>
                <w:b/>
                <w:bCs/>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579A3527" w14:textId="77777777">
            <w:pPr>
              <w:spacing w:line="240" w:lineRule="auto"/>
              <w:jc w:val="center"/>
              <w:rPr>
                <w:bCs/>
                <w:lang w:bidi="en-US"/>
              </w:rPr>
            </w:pPr>
            <w:r w:rsidRPr="00FB0D88">
              <w:rPr>
                <w:color w:val="000000"/>
              </w:rPr>
              <w:t>0.1%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51F6048A" w14:textId="77777777">
            <w:pPr>
              <w:spacing w:line="240" w:lineRule="auto"/>
              <w:jc w:val="center"/>
              <w:rPr>
                <w:bCs/>
                <w:lang w:bidi="en-US"/>
              </w:rPr>
            </w:pPr>
            <w:r w:rsidRPr="00FB0D88">
              <w:rPr>
                <w:color w:val="000000"/>
              </w:rPr>
              <w:t>0.</w:t>
            </w:r>
            <w:r>
              <w:rPr>
                <w:color w:val="000000"/>
              </w:rPr>
              <w:t>9</w:t>
            </w:r>
            <w:r w:rsidRPr="00FB0D88">
              <w:rPr>
                <w:color w:val="000000"/>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66190722" w14:textId="77777777">
            <w:pPr>
              <w:spacing w:line="240" w:lineRule="auto"/>
              <w:jc w:val="center"/>
              <w:rPr>
                <w:bCs/>
                <w:lang w:bidi="en-US"/>
              </w:rPr>
            </w:pPr>
            <w:r w:rsidRPr="00FB0D88">
              <w:rPr>
                <w:color w:val="000000"/>
              </w:rPr>
              <w:t>0.</w:t>
            </w:r>
            <w:r>
              <w:rPr>
                <w:color w:val="000000"/>
              </w:rPr>
              <w:t>2</w:t>
            </w:r>
            <w:r w:rsidRPr="00FB0D8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69339DDB" w14:textId="77777777">
            <w:pPr>
              <w:spacing w:line="240" w:lineRule="auto"/>
              <w:jc w:val="center"/>
              <w:rPr>
                <w:bCs/>
                <w:lang w:bidi="en-US"/>
              </w:rPr>
            </w:pPr>
            <w:r w:rsidRPr="00FB0D88">
              <w:rPr>
                <w:color w:val="000000"/>
              </w:rPr>
              <w:t>0.</w:t>
            </w:r>
            <w:r>
              <w:rPr>
                <w:color w:val="000000"/>
              </w:rPr>
              <w:t>2</w:t>
            </w:r>
            <w:r w:rsidRPr="00FB0D8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753F1E" w14:paraId="7C3BDA15" w14:textId="77777777">
            <w:pPr>
              <w:spacing w:line="240" w:lineRule="auto"/>
              <w:jc w:val="center"/>
              <w:rPr>
                <w:bCs/>
                <w:lang w:bidi="en-US"/>
              </w:rPr>
            </w:pPr>
            <w:r w:rsidRPr="00FB0D88">
              <w:rPr>
                <w:color w:val="000000"/>
              </w:rPr>
              <w:t>1.</w:t>
            </w:r>
            <w:r>
              <w:rPr>
                <w:color w:val="000000"/>
              </w:rPr>
              <w:t>7</w:t>
            </w:r>
            <w:r w:rsidRPr="00FB0D88">
              <w:rPr>
                <w:color w:val="000000"/>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151E02" w14:paraId="1F2A5DAE" w14:textId="77777777">
            <w:pPr>
              <w:spacing w:line="240" w:lineRule="auto"/>
              <w:jc w:val="center"/>
              <w:rPr>
                <w:color w:val="000000"/>
              </w:rPr>
            </w:pPr>
            <w:r w:rsidRPr="00151E02">
              <w:rPr>
                <w:color w:val="000000"/>
              </w:rPr>
              <w:t>14.5%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9E4A00" w14:paraId="37588E0A" w14:textId="77777777">
            <w:pPr>
              <w:spacing w:line="240" w:lineRule="auto"/>
              <w:jc w:val="center"/>
              <w:rPr>
                <w:b/>
                <w:bCs/>
                <w:color w:val="000000"/>
              </w:rPr>
            </w:pPr>
            <w:r>
              <w:rPr>
                <w:b/>
                <w:bCs/>
              </w:rPr>
              <w:t>44.5</w:t>
            </w:r>
            <w:r w:rsidRPr="009E4A00">
              <w:rPr>
                <w:b/>
                <w:bCs/>
              </w:rPr>
              <w:t>%</w:t>
            </w:r>
          </w:p>
        </w:tc>
      </w:tr>
      <w:tr w14:paraId="216237D3" w14:textId="77777777">
        <w:tblPrEx>
          <w:tblW w:w="13976" w:type="dxa"/>
          <w:jc w:val="center"/>
          <w:tblLook w:val="04A0"/>
        </w:tblPrEx>
        <w:trPr>
          <w:trHeight w:val="300"/>
          <w:jc w:val="center"/>
        </w:trPr>
        <w:tc>
          <w:tcPr>
            <w:tcW w:w="1050" w:type="dxa"/>
            <w:vMerge w:val="restart"/>
            <w:shd w:val="clear" w:color="auto" w:fill="auto"/>
            <w:vAlign w:val="center"/>
          </w:tcPr>
          <w:p w:rsidR="00887025" w:rsidRPr="00753F1E" w14:paraId="56B53477" w14:textId="77777777">
            <w:pPr>
              <w:spacing w:line="240" w:lineRule="auto"/>
              <w:jc w:val="center"/>
              <w:rPr>
                <w:bCs/>
                <w:color w:val="000000"/>
              </w:rPr>
            </w:pPr>
            <w:r w:rsidRPr="00460CCC">
              <w:rPr>
                <w:color w:val="000000"/>
              </w:rPr>
              <w:t>All active facilities</w:t>
            </w:r>
          </w:p>
        </w:tc>
        <w:tc>
          <w:tcPr>
            <w:tcW w:w="983" w:type="dxa"/>
            <w:vMerge w:val="restart"/>
            <w:vAlign w:val="center"/>
          </w:tcPr>
          <w:p w:rsidR="00887025" w14:paraId="00AAA595" w14:textId="77777777">
            <w:pPr>
              <w:spacing w:line="240" w:lineRule="auto"/>
              <w:jc w:val="center"/>
              <w:rPr>
                <w:rFonts w:eastAsia="Calibri"/>
                <w:bCs/>
              </w:rPr>
            </w:pPr>
            <w:r>
              <w:rPr>
                <w:rFonts w:eastAsia="Calibri"/>
                <w:bCs/>
              </w:rPr>
              <w:t>11,714</w:t>
            </w:r>
          </w:p>
        </w:tc>
        <w:tc>
          <w:tcPr>
            <w:tcW w:w="950" w:type="dxa"/>
            <w:shd w:val="clear" w:color="auto" w:fill="auto"/>
            <w:vAlign w:val="center"/>
          </w:tcPr>
          <w:p w:rsidR="00887025" w:rsidRPr="00FB0D88" w14:paraId="2D9EEB45" w14:textId="77777777">
            <w:pPr>
              <w:spacing w:line="240" w:lineRule="auto"/>
              <w:jc w:val="center"/>
              <w:rPr>
                <w:color w:val="000000"/>
              </w:rPr>
            </w:pPr>
            <w:r>
              <w:rPr>
                <w:rFonts w:eastAsia="Calibri"/>
                <w:bCs/>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FB0D88" w14:paraId="44B47B00" w14:textId="77777777">
            <w:pPr>
              <w:spacing w:line="240" w:lineRule="auto"/>
              <w:jc w:val="right"/>
              <w:rPr>
                <w:color w:val="000000"/>
              </w:rPr>
            </w:pPr>
            <w:r w:rsidRPr="00460CCC">
              <w:rPr>
                <w:color w:val="000000"/>
              </w:rPr>
              <w:t>24,755,209</w:t>
            </w:r>
          </w:p>
        </w:tc>
        <w:tc>
          <w:tcPr>
            <w:tcW w:w="1194" w:type="dxa"/>
            <w:tcBorders>
              <w:top w:val="single" w:sz="4" w:space="0" w:color="auto"/>
              <w:left w:val="nil"/>
              <w:bottom w:val="single" w:sz="4" w:space="0" w:color="auto"/>
              <w:right w:val="single" w:sz="4" w:space="0" w:color="auto"/>
            </w:tcBorders>
            <w:shd w:val="clear" w:color="auto" w:fill="auto"/>
            <w:noWrap/>
            <w:vAlign w:val="center"/>
          </w:tcPr>
          <w:p w:rsidR="00887025" w:rsidRPr="009E4A00" w14:paraId="5ADF9889" w14:textId="77777777">
            <w:pPr>
              <w:spacing w:line="240" w:lineRule="auto"/>
              <w:jc w:val="center"/>
              <w:rPr>
                <w:b/>
                <w:bCs/>
                <w:color w:val="000000"/>
              </w:rPr>
            </w:pPr>
            <w:r w:rsidRPr="00D36ABA">
              <w:rPr>
                <w:b/>
                <w:bCs/>
                <w:color w:val="000000"/>
              </w:rPr>
              <w:t xml:space="preserve"> 15.6%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FB0D88" w14:paraId="4EEBA6B8" w14:textId="77777777">
            <w:pPr>
              <w:spacing w:line="240" w:lineRule="auto"/>
              <w:jc w:val="center"/>
              <w:rPr>
                <w:color w:val="000000"/>
              </w:rPr>
            </w:pPr>
            <w:r w:rsidRPr="00460CCC">
              <w:rPr>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FB0D88" w14:paraId="4167D0B6" w14:textId="77777777">
            <w:pPr>
              <w:spacing w:line="240" w:lineRule="auto"/>
              <w:jc w:val="center"/>
              <w:rPr>
                <w:color w:val="000000"/>
              </w:rPr>
            </w:pPr>
            <w:r w:rsidRPr="00460CCC">
              <w:rPr>
                <w:color w:val="000000"/>
              </w:rPr>
              <w:t xml:space="preserve"> 4.8%</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FB0D88" w14:paraId="46BEB739" w14:textId="77777777">
            <w:pPr>
              <w:spacing w:line="240" w:lineRule="auto"/>
              <w:jc w:val="center"/>
              <w:rPr>
                <w:color w:val="000000"/>
              </w:rPr>
            </w:pPr>
            <w:r w:rsidRPr="00460CCC">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FB0D88" w14:paraId="1D87EF22" w14:textId="77777777">
            <w:pPr>
              <w:spacing w:line="240" w:lineRule="auto"/>
              <w:jc w:val="center"/>
              <w:rPr>
                <w:color w:val="000000"/>
              </w:rPr>
            </w:pPr>
            <w:r w:rsidRPr="00460CCC">
              <w:rPr>
                <w:color w:val="000000"/>
              </w:rPr>
              <w:t>0.3%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FB0D88" w14:paraId="02EDB4A3" w14:textId="77777777">
            <w:pPr>
              <w:spacing w:line="240" w:lineRule="auto"/>
              <w:jc w:val="center"/>
              <w:rPr>
                <w:color w:val="000000"/>
              </w:rPr>
            </w:pPr>
            <w:r w:rsidRPr="00460CCC">
              <w:rPr>
                <w:color w:val="000000"/>
              </w:rPr>
              <w:t>3.0%</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14:paraId="7437770D" w14:textId="77777777">
            <w:pPr>
              <w:spacing w:line="240" w:lineRule="auto"/>
              <w:jc w:val="center"/>
              <w:rPr>
                <w:b/>
                <w:bCs/>
                <w:color w:val="000000"/>
              </w:rPr>
            </w:pPr>
            <w:r w:rsidRPr="00CD157D">
              <w:rPr>
                <w:b/>
                <w:bCs/>
                <w:color w:val="000000"/>
              </w:rPr>
              <w:t>27.6%</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9E4A00" w14:paraId="0EDF2384" w14:textId="77777777">
            <w:pPr>
              <w:spacing w:line="240" w:lineRule="auto"/>
              <w:jc w:val="center"/>
              <w:rPr>
                <w:b/>
                <w:bCs/>
              </w:rPr>
            </w:pPr>
            <w:r w:rsidRPr="00CD157D">
              <w:rPr>
                <w:b/>
                <w:bCs/>
                <w:color w:val="000000"/>
              </w:rPr>
              <w:t>38.0%</w:t>
            </w:r>
          </w:p>
        </w:tc>
      </w:tr>
      <w:tr w14:paraId="03EF463B" w14:textId="77777777">
        <w:tblPrEx>
          <w:tblW w:w="13976" w:type="dxa"/>
          <w:jc w:val="center"/>
          <w:tblLook w:val="04A0"/>
        </w:tblPrEx>
        <w:trPr>
          <w:trHeight w:val="300"/>
          <w:jc w:val="center"/>
        </w:trPr>
        <w:tc>
          <w:tcPr>
            <w:tcW w:w="1050" w:type="dxa"/>
            <w:vMerge/>
            <w:shd w:val="clear" w:color="auto" w:fill="auto"/>
            <w:vAlign w:val="center"/>
          </w:tcPr>
          <w:p w:rsidR="00887025" w:rsidRPr="00753F1E" w14:paraId="50046E52" w14:textId="77777777">
            <w:pPr>
              <w:spacing w:line="240" w:lineRule="auto"/>
              <w:jc w:val="center"/>
              <w:rPr>
                <w:bCs/>
                <w:color w:val="000000"/>
              </w:rPr>
            </w:pPr>
          </w:p>
        </w:tc>
        <w:tc>
          <w:tcPr>
            <w:tcW w:w="983" w:type="dxa"/>
            <w:vMerge/>
            <w:vAlign w:val="center"/>
          </w:tcPr>
          <w:p w:rsidR="00887025" w14:paraId="5509235E" w14:textId="77777777">
            <w:pPr>
              <w:spacing w:line="240" w:lineRule="auto"/>
              <w:jc w:val="center"/>
              <w:rPr>
                <w:rFonts w:eastAsia="Calibri"/>
                <w:bCs/>
              </w:rPr>
            </w:pPr>
          </w:p>
        </w:tc>
        <w:tc>
          <w:tcPr>
            <w:tcW w:w="950" w:type="dxa"/>
            <w:shd w:val="clear" w:color="auto" w:fill="auto"/>
            <w:vAlign w:val="center"/>
          </w:tcPr>
          <w:p w:rsidR="00887025" w:rsidRPr="00FB0D88" w14:paraId="5A9EB659" w14:textId="77777777">
            <w:pPr>
              <w:spacing w:line="240" w:lineRule="auto"/>
              <w:jc w:val="center"/>
              <w:rPr>
                <w:color w:val="000000"/>
              </w:rPr>
            </w:pPr>
            <w:r>
              <w:rPr>
                <w:rFonts w:eastAsia="Calibri"/>
                <w:bCs/>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FB0D88" w14:paraId="15C64F13" w14:textId="77777777">
            <w:pPr>
              <w:spacing w:line="240" w:lineRule="auto"/>
              <w:jc w:val="right"/>
              <w:rPr>
                <w:color w:val="000000"/>
              </w:rPr>
            </w:pPr>
            <w:r w:rsidRPr="00460CCC">
              <w:rPr>
                <w:color w:val="000000"/>
              </w:rPr>
              <w:t>130,875,693</w:t>
            </w:r>
          </w:p>
        </w:tc>
        <w:tc>
          <w:tcPr>
            <w:tcW w:w="1194" w:type="dxa"/>
            <w:tcBorders>
              <w:top w:val="single" w:sz="4" w:space="0" w:color="auto"/>
              <w:left w:val="nil"/>
              <w:bottom w:val="single" w:sz="4" w:space="0" w:color="auto"/>
              <w:right w:val="single" w:sz="4" w:space="0" w:color="auto"/>
            </w:tcBorders>
            <w:shd w:val="clear" w:color="auto" w:fill="auto"/>
            <w:noWrap/>
            <w:vAlign w:val="center"/>
          </w:tcPr>
          <w:p w:rsidR="00887025" w:rsidRPr="009E4A00" w14:paraId="73D43E1A" w14:textId="77777777">
            <w:pPr>
              <w:spacing w:line="240" w:lineRule="auto"/>
              <w:jc w:val="center"/>
              <w:rPr>
                <w:b/>
                <w:bCs/>
                <w:color w:val="000000"/>
              </w:rPr>
            </w:pPr>
            <w:r w:rsidRPr="00D36ABA">
              <w:rPr>
                <w:b/>
                <w:bCs/>
                <w:color w:val="000000"/>
              </w:rPr>
              <w:t xml:space="preserve"> 15.1%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FB0D88" w14:paraId="305F601C" w14:textId="77777777">
            <w:pPr>
              <w:spacing w:line="240" w:lineRule="auto"/>
              <w:jc w:val="center"/>
              <w:rPr>
                <w:color w:val="000000"/>
              </w:rPr>
            </w:pPr>
            <w:r w:rsidRPr="00460CCC">
              <w:rPr>
                <w:color w:val="000000"/>
              </w:rPr>
              <w:t xml:space="preserve"> 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FB0D88" w14:paraId="55F6E4F7" w14:textId="77777777">
            <w:pPr>
              <w:spacing w:line="240" w:lineRule="auto"/>
              <w:jc w:val="center"/>
              <w:rPr>
                <w:color w:val="000000"/>
              </w:rPr>
            </w:pPr>
            <w:r w:rsidRPr="00CD157D">
              <w:rPr>
                <w:b/>
                <w:bCs/>
                <w:color w:val="000000"/>
              </w:rPr>
              <w:t xml:space="preserve"> 5.9%</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FB0D88" w14:paraId="7BBACCEA" w14:textId="77777777">
            <w:pPr>
              <w:spacing w:line="240" w:lineRule="auto"/>
              <w:jc w:val="center"/>
              <w:rPr>
                <w:color w:val="000000"/>
              </w:rPr>
            </w:pPr>
            <w:r w:rsidRPr="00460CCC">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FB0D88" w14:paraId="48543082" w14:textId="77777777">
            <w:pPr>
              <w:spacing w:line="240" w:lineRule="auto"/>
              <w:jc w:val="center"/>
              <w:rPr>
                <w:color w:val="000000"/>
              </w:rPr>
            </w:pPr>
            <w:r w:rsidRPr="00460CCC">
              <w:rPr>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FB0D88" w14:paraId="60D5BCAC" w14:textId="77777777">
            <w:pPr>
              <w:spacing w:line="240" w:lineRule="auto"/>
              <w:jc w:val="center"/>
              <w:rPr>
                <w:color w:val="000000"/>
              </w:rPr>
            </w:pPr>
            <w:r w:rsidRPr="00460CCC">
              <w:rPr>
                <w:color w:val="000000"/>
              </w:rPr>
              <w:t>3.1%</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14:paraId="02B3FD56" w14:textId="77777777">
            <w:pPr>
              <w:spacing w:line="240" w:lineRule="auto"/>
              <w:jc w:val="center"/>
              <w:rPr>
                <w:b/>
                <w:bCs/>
                <w:color w:val="000000"/>
              </w:rPr>
            </w:pPr>
            <w:r w:rsidRPr="00CD157D">
              <w:rPr>
                <w:b/>
                <w:bCs/>
                <w:color w:val="000000"/>
              </w:rPr>
              <w:t>24.1%</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9E4A00" w14:paraId="4E0A8077" w14:textId="77777777">
            <w:pPr>
              <w:spacing w:line="240" w:lineRule="auto"/>
              <w:jc w:val="center"/>
              <w:rPr>
                <w:b/>
                <w:bCs/>
              </w:rPr>
            </w:pPr>
            <w:r w:rsidRPr="00CD157D">
              <w:rPr>
                <w:b/>
                <w:bCs/>
                <w:color w:val="000000"/>
              </w:rPr>
              <w:t>33.3%</w:t>
            </w:r>
          </w:p>
        </w:tc>
      </w:tr>
      <w:tr w14:paraId="5F21FAF2" w14:textId="77777777">
        <w:tblPrEx>
          <w:tblW w:w="13976" w:type="dxa"/>
          <w:jc w:val="center"/>
          <w:tblLook w:val="04A0"/>
        </w:tblPrEx>
        <w:trPr>
          <w:trHeight w:val="300"/>
          <w:jc w:val="center"/>
        </w:trPr>
        <w:tc>
          <w:tcPr>
            <w:tcW w:w="2983" w:type="dxa"/>
            <w:gridSpan w:val="3"/>
            <w:shd w:val="clear" w:color="auto" w:fill="E7E6E6" w:themeFill="background2"/>
            <w:vAlign w:val="center"/>
          </w:tcPr>
          <w:p w:rsidR="00887025" w:rsidRPr="00D1223F" w14:paraId="0D65E641" w14:textId="77777777">
            <w:pPr>
              <w:spacing w:line="240" w:lineRule="auto"/>
              <w:jc w:val="center"/>
              <w:rPr>
                <w:bCs/>
                <w:i/>
                <w:iCs/>
                <w:color w:val="000000"/>
              </w:rPr>
            </w:pPr>
            <w:r>
              <w:rPr>
                <w:bCs/>
                <w:i/>
                <w:iCs/>
                <w:color w:val="000000"/>
              </w:rPr>
              <w:t>National Comparison Group</w:t>
            </w:r>
          </w:p>
        </w:tc>
        <w:tc>
          <w:tcPr>
            <w:tcW w:w="1216" w:type="dxa"/>
            <w:shd w:val="clear" w:color="auto" w:fill="E7E6E6" w:themeFill="background2"/>
            <w:vAlign w:val="center"/>
          </w:tcPr>
          <w:p w:rsidR="00887025" w:rsidRPr="00D1223F" w14:paraId="193F1485" w14:textId="77777777">
            <w:pPr>
              <w:spacing w:line="240" w:lineRule="auto"/>
              <w:jc w:val="right"/>
              <w:rPr>
                <w:bCs/>
                <w:i/>
                <w:iCs/>
                <w:color w:val="000000"/>
              </w:rPr>
            </w:pPr>
            <w:r w:rsidRPr="00D1223F">
              <w:rPr>
                <w:i/>
                <w:iCs/>
                <w:color w:val="000000"/>
              </w:rPr>
              <w:t>309,242,323</w:t>
            </w:r>
          </w:p>
        </w:tc>
        <w:tc>
          <w:tcPr>
            <w:tcW w:w="1194" w:type="dxa"/>
            <w:tcBorders>
              <w:top w:val="single" w:sz="4" w:space="0" w:color="auto"/>
              <w:left w:val="nil"/>
              <w:bottom w:val="single" w:sz="4" w:space="0" w:color="auto"/>
              <w:right w:val="single" w:sz="4" w:space="0" w:color="auto"/>
            </w:tcBorders>
            <w:shd w:val="clear" w:color="auto" w:fill="E7E6E6" w:themeFill="background2"/>
            <w:noWrap/>
            <w:vAlign w:val="center"/>
          </w:tcPr>
          <w:p w:rsidR="00887025" w:rsidRPr="00D1223F" w14:paraId="2403020B" w14:textId="77777777">
            <w:pPr>
              <w:spacing w:line="240" w:lineRule="auto"/>
              <w:jc w:val="center"/>
              <w:rPr>
                <w:bCs/>
                <w:i/>
                <w:iCs/>
                <w:lang w:bidi="en-US"/>
              </w:rPr>
            </w:pPr>
            <w:r w:rsidRPr="00D1223F">
              <w:rPr>
                <w:i/>
                <w:iCs/>
                <w:color w:val="000000"/>
              </w:rPr>
              <w:t>11.8%</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22721DAA" w14:textId="77777777">
            <w:pPr>
              <w:spacing w:line="240" w:lineRule="auto"/>
              <w:jc w:val="center"/>
              <w:rPr>
                <w:bCs/>
                <w:i/>
                <w:iCs/>
                <w:lang w:bidi="en-US"/>
              </w:rPr>
            </w:pPr>
            <w:r w:rsidRPr="00D1223F">
              <w:rPr>
                <w:i/>
                <w:iCs/>
                <w:color w:val="000000"/>
              </w:rPr>
              <w:t>0.6%</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0EE8C90B" w14:textId="77777777">
            <w:pPr>
              <w:spacing w:line="240" w:lineRule="auto"/>
              <w:jc w:val="center"/>
              <w:rPr>
                <w:bCs/>
                <w:i/>
                <w:iCs/>
                <w:lang w:bidi="en-US"/>
              </w:rPr>
            </w:pPr>
            <w:r w:rsidRPr="00D1223F">
              <w:rPr>
                <w:i/>
                <w:iCs/>
                <w:color w:val="000000"/>
              </w:rPr>
              <w:t>5.6%</w:t>
            </w:r>
          </w:p>
        </w:tc>
        <w:tc>
          <w:tcPr>
            <w:tcW w:w="123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13756D03" w14:textId="77777777">
            <w:pPr>
              <w:spacing w:line="240" w:lineRule="auto"/>
              <w:jc w:val="center"/>
              <w:rPr>
                <w:bCs/>
                <w:i/>
                <w:iCs/>
                <w:lang w:bidi="en-US"/>
              </w:rPr>
            </w:pPr>
            <w:r w:rsidRPr="00D1223F">
              <w:rPr>
                <w:i/>
                <w:iCs/>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1AE3C08B" w14:textId="77777777">
            <w:pPr>
              <w:spacing w:line="240" w:lineRule="auto"/>
              <w:jc w:val="center"/>
              <w:rPr>
                <w:bCs/>
                <w:i/>
                <w:iCs/>
                <w:lang w:bidi="en-US"/>
              </w:rPr>
            </w:pPr>
            <w:r w:rsidRPr="00D1223F">
              <w:rPr>
                <w:i/>
                <w:iCs/>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2E5E4DAB" w14:textId="77777777">
            <w:pPr>
              <w:spacing w:line="240" w:lineRule="auto"/>
              <w:jc w:val="center"/>
              <w:rPr>
                <w:bCs/>
                <w:i/>
                <w:iCs/>
                <w:lang w:bidi="en-US"/>
              </w:rPr>
            </w:pPr>
            <w:r w:rsidRPr="00D1223F">
              <w:rPr>
                <w:i/>
                <w:iCs/>
                <w:color w:val="000000"/>
              </w:rPr>
              <w:t>3.2%</w:t>
            </w:r>
          </w:p>
        </w:tc>
        <w:tc>
          <w:tcPr>
            <w:tcW w:w="123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72D6634C" w14:textId="77777777">
            <w:pPr>
              <w:spacing w:line="240" w:lineRule="auto"/>
              <w:jc w:val="center"/>
              <w:rPr>
                <w:bCs/>
                <w:i/>
                <w:iCs/>
                <w:color w:val="000000"/>
              </w:rPr>
            </w:pPr>
            <w:r w:rsidRPr="00D1223F">
              <w:rPr>
                <w:i/>
                <w:iCs/>
                <w:color w:val="000000"/>
              </w:rPr>
              <w:t>17.7%</w:t>
            </w:r>
          </w:p>
        </w:tc>
        <w:tc>
          <w:tcPr>
            <w:tcW w:w="1383" w:type="dxa"/>
            <w:tcBorders>
              <w:top w:val="single" w:sz="4" w:space="0" w:color="auto"/>
              <w:left w:val="single" w:sz="4" w:space="0" w:color="auto"/>
              <w:bottom w:val="single" w:sz="4" w:space="0" w:color="auto"/>
              <w:right w:val="single" w:sz="4" w:space="0" w:color="auto"/>
            </w:tcBorders>
            <w:shd w:val="clear" w:color="auto" w:fill="E7E6E6" w:themeFill="background2"/>
          </w:tcPr>
          <w:p w:rsidR="00887025" w:rsidRPr="00D1223F" w14:paraId="25AC5412" w14:textId="77777777">
            <w:pPr>
              <w:spacing w:line="240" w:lineRule="auto"/>
              <w:jc w:val="center"/>
              <w:rPr>
                <w:i/>
                <w:iCs/>
                <w:color w:val="000000"/>
              </w:rPr>
            </w:pPr>
            <w:r w:rsidRPr="00D1223F">
              <w:rPr>
                <w:i/>
                <w:iCs/>
              </w:rPr>
              <w:t>28.5%</w:t>
            </w:r>
          </w:p>
        </w:tc>
      </w:tr>
    </w:tbl>
    <w:p w:rsidR="008527CB" w:rsidRPr="00A16BC3" w:rsidP="00887025" w14:paraId="35A50FE6" w14:textId="77777777">
      <w:pPr>
        <w:pStyle w:val="BodyText"/>
        <w:tabs>
          <w:tab w:val="left" w:pos="225"/>
        </w:tabs>
        <w:rPr>
          <w:rFonts w:ascii="Times New Roman" w:hAnsi="Times New Roman" w:cs="Times New Roman"/>
        </w:rPr>
      </w:pPr>
      <w:r>
        <w:rPr>
          <w:rFonts w:ascii="Times New Roman" w:hAnsi="Times New Roman" w:cs="Times New Roman"/>
        </w:rPr>
        <w:tab/>
      </w:r>
    </w:p>
    <w:p w:rsidR="008527CB" w:rsidP="00887025" w14:paraId="185FB94F" w14:textId="77777777">
      <w:pPr>
        <w:pStyle w:val="BodyText"/>
        <w:tabs>
          <w:tab w:val="left" w:pos="225"/>
        </w:tabs>
        <w:rPr>
          <w:rFonts w:ascii="Times New Roman" w:hAnsi="Times New Roman" w:cs="Times New Roman"/>
        </w:rPr>
      </w:pPr>
    </w:p>
    <w:p w:rsidR="008527CB" w:rsidP="00887025" w14:paraId="2B54BB81" w14:textId="77777777">
      <w:pPr>
        <w:pStyle w:val="BodyText"/>
        <w:tabs>
          <w:tab w:val="left" w:pos="225"/>
        </w:tabs>
        <w:rPr>
          <w:rFonts w:ascii="Times New Roman" w:hAnsi="Times New Roman" w:cs="Times New Roman"/>
        </w:rPr>
        <w:sectPr w:rsidSect="005379A2">
          <w:pgSz w:w="15840" w:h="12240" w:orient="landscape"/>
          <w:pgMar w:top="1440" w:right="1440" w:bottom="1440" w:left="1440" w:header="720" w:footer="720" w:gutter="0"/>
          <w:cols w:space="720"/>
          <w:docGrid w:linePitch="360"/>
        </w:sectPr>
      </w:pPr>
    </w:p>
    <w:p w:rsidR="00887025" w:rsidP="00887025" w14:paraId="6CAA195B" w14:textId="77777777">
      <w:pPr>
        <w:rPr>
          <w:rFonts w:ascii="Times New Roman" w:hAnsi="Times New Roman" w:cs="Times New Roman"/>
          <w:bCs/>
        </w:rPr>
      </w:pPr>
      <w:r>
        <w:rPr>
          <w:rFonts w:ascii="Times New Roman" w:hAnsi="Times New Roman" w:cs="Times New Roman"/>
          <w:bCs/>
        </w:rPr>
        <w:tab/>
        <w:t xml:space="preserve">EPA next evaluated how the socioeconomic characteristics of communities surrounding RMP facilities differ by the highest process program level for the facility. For the subset of RMP facilities with a history of accidents, communities within one mile of a Program 3 facility have a somewhat higher percentage of low-income individuals (41 percent) and Hispanic individuals (27.4 percent) compared to communities within one mile of Program 1 (34.5 percent and 17.4 percent, respectively) and Program 2 (38.7 percent and 22.0 percent, respectively) facilities (Exhibit 9-5). In contrast, a lower percentage of Black (non-Hispanic) individuals (18.4 percent) live within one mile of a Program 3 facility with a history of accidents compared to comparable Program 1 (36.6 percent) or Program 2 (20.8 percent) facilities. </w:t>
      </w:r>
    </w:p>
    <w:p w:rsidR="00887025" w:rsidRPr="00D86844" w:rsidP="00887025" w14:paraId="549B9B90" w14:textId="77777777">
      <w:pPr>
        <w:rPr>
          <w:rFonts w:ascii="Times New Roman" w:hAnsi="Times New Roman" w:cs="Times New Roman"/>
          <w:bCs/>
        </w:rPr>
      </w:pPr>
      <w:r>
        <w:rPr>
          <w:rFonts w:ascii="Times New Roman" w:hAnsi="Times New Roman" w:cs="Times New Roman"/>
          <w:bCs/>
        </w:rPr>
        <w:tab/>
      </w:r>
    </w:p>
    <w:p w:rsidR="00887025" w:rsidP="00887025" w14:paraId="70ABC58A" w14:textId="77777777">
      <w:pPr>
        <w:rPr>
          <w:rFonts w:ascii="Times New Roman" w:hAnsi="Times New Roman" w:cs="Times New Roman"/>
          <w:b/>
        </w:rPr>
      </w:pPr>
    </w:p>
    <w:p w:rsidR="00887025" w:rsidP="00887025" w14:paraId="08C6445C" w14:textId="77777777">
      <w:pPr>
        <w:pStyle w:val="BodyText"/>
        <w:tabs>
          <w:tab w:val="left" w:pos="225"/>
        </w:tabs>
        <w:rPr>
          <w:rFonts w:ascii="Times New Roman" w:hAnsi="Times New Roman" w:cs="Times New Roman"/>
          <w:bCs/>
        </w:rPr>
      </w:pPr>
    </w:p>
    <w:p w:rsidR="00887025" w:rsidP="00887025" w14:paraId="39392F66" w14:textId="77777777">
      <w:pPr>
        <w:pStyle w:val="BodyText"/>
        <w:tabs>
          <w:tab w:val="left" w:pos="225"/>
        </w:tabs>
        <w:rPr>
          <w:rFonts w:ascii="Times New Roman" w:hAnsi="Times New Roman" w:cs="Times New Roman"/>
          <w:bCs/>
        </w:rPr>
      </w:pPr>
    </w:p>
    <w:p w:rsidR="00887025" w:rsidP="00887025" w14:paraId="61DC3BD0" w14:textId="77777777">
      <w:pPr>
        <w:pStyle w:val="BodyText"/>
        <w:tabs>
          <w:tab w:val="left" w:pos="225"/>
        </w:tabs>
        <w:rPr>
          <w:rFonts w:ascii="Times New Roman" w:hAnsi="Times New Roman" w:cs="Times New Roman"/>
          <w:bCs/>
        </w:rPr>
        <w:sectPr w:rsidSect="005379A2">
          <w:pgSz w:w="12240" w:h="15840"/>
          <w:pgMar w:top="1440" w:right="1440" w:bottom="1440" w:left="1440" w:header="720" w:footer="720" w:gutter="0"/>
          <w:cols w:space="720"/>
          <w:docGrid w:linePitch="360"/>
        </w:sectPr>
      </w:pPr>
    </w:p>
    <w:tbl>
      <w:tblPr>
        <w:tblStyle w:val="TableGrid"/>
        <w:tblpPr w:leftFromText="180" w:rightFromText="180" w:vertAnchor="page" w:horzAnchor="margin" w:tblpXSpec="center" w:tblpY="2434"/>
        <w:tblW w:w="14861" w:type="dxa"/>
        <w:tblLook w:val="04A0"/>
      </w:tblPr>
      <w:tblGrid>
        <w:gridCol w:w="1027"/>
        <w:gridCol w:w="983"/>
        <w:gridCol w:w="983"/>
        <w:gridCol w:w="950"/>
        <w:gridCol w:w="1216"/>
        <w:gridCol w:w="1184"/>
        <w:gridCol w:w="1184"/>
        <w:gridCol w:w="1184"/>
        <w:gridCol w:w="1184"/>
        <w:gridCol w:w="1184"/>
        <w:gridCol w:w="1215"/>
        <w:gridCol w:w="1184"/>
        <w:gridCol w:w="1383"/>
      </w:tblGrid>
      <w:tr w14:paraId="4FD7C806" w14:textId="77777777" w:rsidTr="00D60F08">
        <w:tblPrEx>
          <w:tblW w:w="14861" w:type="dxa"/>
          <w:tblLook w:val="04A0"/>
        </w:tblPrEx>
        <w:trPr>
          <w:trHeight w:val="300"/>
        </w:trPr>
        <w:tc>
          <w:tcPr>
            <w:tcW w:w="1027" w:type="dxa"/>
            <w:tcBorders>
              <w:bottom w:val="single" w:sz="4" w:space="0" w:color="auto"/>
            </w:tcBorders>
            <w:shd w:val="clear" w:color="auto" w:fill="BFBFBF" w:themeFill="background1" w:themeFillShade="BF"/>
            <w:vAlign w:val="center"/>
          </w:tcPr>
          <w:p w:rsidR="00887025" w:rsidRPr="003165DF" w:rsidP="00D60F08" w14:paraId="58EF79A5" w14:textId="77777777">
            <w:pPr>
              <w:spacing w:line="240" w:lineRule="auto"/>
              <w:jc w:val="center"/>
              <w:rPr>
                <w:b/>
                <w:color w:val="000000"/>
              </w:rPr>
            </w:pPr>
          </w:p>
        </w:tc>
        <w:tc>
          <w:tcPr>
            <w:tcW w:w="983" w:type="dxa"/>
            <w:tcBorders>
              <w:bottom w:val="single" w:sz="4" w:space="0" w:color="auto"/>
            </w:tcBorders>
            <w:shd w:val="clear" w:color="auto" w:fill="BFBFBF" w:themeFill="background1" w:themeFillShade="BF"/>
            <w:vAlign w:val="center"/>
          </w:tcPr>
          <w:p w:rsidR="00887025" w:rsidRPr="003165DF" w:rsidP="00D60F08" w14:paraId="761A9C09" w14:textId="77777777">
            <w:pPr>
              <w:spacing w:line="240" w:lineRule="auto"/>
              <w:jc w:val="center"/>
              <w:rPr>
                <w:b/>
                <w:color w:val="000000"/>
              </w:rPr>
            </w:pPr>
            <w:r>
              <w:rPr>
                <w:b/>
                <w:color w:val="000000"/>
              </w:rPr>
              <w:t>Program Level</w:t>
            </w:r>
          </w:p>
        </w:tc>
        <w:tc>
          <w:tcPr>
            <w:tcW w:w="983" w:type="dxa"/>
            <w:tcBorders>
              <w:bottom w:val="single" w:sz="4" w:space="0" w:color="auto"/>
            </w:tcBorders>
            <w:shd w:val="clear" w:color="auto" w:fill="BFBFBF" w:themeFill="background1" w:themeFillShade="BF"/>
            <w:vAlign w:val="center"/>
          </w:tcPr>
          <w:p w:rsidR="00887025" w:rsidRPr="003165DF" w:rsidP="00D60F08" w14:paraId="75E0F117" w14:textId="77777777">
            <w:pPr>
              <w:spacing w:line="240" w:lineRule="auto"/>
              <w:jc w:val="center"/>
              <w:rPr>
                <w:b/>
                <w:color w:val="000000"/>
              </w:rPr>
            </w:pPr>
            <w:r>
              <w:rPr>
                <w:b/>
                <w:color w:val="000000"/>
              </w:rPr>
              <w:t>Number of Facilities</w:t>
            </w:r>
          </w:p>
        </w:tc>
        <w:tc>
          <w:tcPr>
            <w:tcW w:w="950" w:type="dxa"/>
            <w:tcBorders>
              <w:bottom w:val="single" w:sz="4" w:space="0" w:color="auto"/>
            </w:tcBorders>
            <w:shd w:val="clear" w:color="auto" w:fill="BFBFBF" w:themeFill="background1" w:themeFillShade="BF"/>
            <w:vAlign w:val="center"/>
          </w:tcPr>
          <w:p w:rsidR="00887025" w:rsidRPr="006D4DAA" w:rsidP="00D60F08" w14:paraId="518DE7E1" w14:textId="77777777">
            <w:pPr>
              <w:spacing w:line="240" w:lineRule="auto"/>
              <w:jc w:val="center"/>
              <w:rPr>
                <w:b/>
                <w:color w:val="000000"/>
              </w:rPr>
            </w:pPr>
            <w:r w:rsidRPr="003165DF">
              <w:rPr>
                <w:b/>
                <w:color w:val="000000"/>
              </w:rPr>
              <w:t xml:space="preserve">Buffer </w:t>
            </w:r>
            <w:r>
              <w:rPr>
                <w:b/>
                <w:color w:val="000000"/>
              </w:rPr>
              <w:t>D</w:t>
            </w:r>
            <w:r w:rsidRPr="003165DF">
              <w:rPr>
                <w:b/>
                <w:color w:val="000000"/>
              </w:rPr>
              <w:t>istance (</w:t>
            </w:r>
            <w:r>
              <w:rPr>
                <w:b/>
                <w:color w:val="000000"/>
              </w:rPr>
              <w:t>M</w:t>
            </w:r>
            <w:r w:rsidRPr="003165DF">
              <w:rPr>
                <w:b/>
                <w:color w:val="000000"/>
              </w:rPr>
              <w:t>iles)</w:t>
            </w:r>
          </w:p>
        </w:tc>
        <w:tc>
          <w:tcPr>
            <w:tcW w:w="1216" w:type="dxa"/>
            <w:tcBorders>
              <w:bottom w:val="single" w:sz="4" w:space="0" w:color="auto"/>
            </w:tcBorders>
            <w:shd w:val="clear" w:color="auto" w:fill="BFBFBF" w:themeFill="background1" w:themeFillShade="BF"/>
            <w:vAlign w:val="center"/>
          </w:tcPr>
          <w:p w:rsidR="00887025" w:rsidP="00D60F08" w14:paraId="4C058B90" w14:textId="77777777">
            <w:pPr>
              <w:spacing w:line="240" w:lineRule="auto"/>
              <w:jc w:val="center"/>
              <w:rPr>
                <w:b/>
                <w:color w:val="000000"/>
              </w:rPr>
            </w:pPr>
            <w:r>
              <w:rPr>
                <w:b/>
                <w:color w:val="000000"/>
              </w:rPr>
              <w:t>Total Population</w:t>
            </w:r>
          </w:p>
        </w:tc>
        <w:tc>
          <w:tcPr>
            <w:tcW w:w="1184" w:type="dxa"/>
            <w:tcBorders>
              <w:bottom w:val="single" w:sz="4" w:space="0" w:color="auto"/>
            </w:tcBorders>
            <w:shd w:val="clear" w:color="auto" w:fill="BFBFBF" w:themeFill="background1" w:themeFillShade="BF"/>
            <w:noWrap/>
            <w:vAlign w:val="center"/>
          </w:tcPr>
          <w:p w:rsidR="00887025" w:rsidRPr="003165DF" w:rsidP="00D60F08" w14:paraId="0BC7F193" w14:textId="77777777">
            <w:pPr>
              <w:spacing w:line="240" w:lineRule="auto"/>
              <w:jc w:val="center"/>
              <w:rPr>
                <w:b/>
                <w:color w:val="000000"/>
              </w:rPr>
            </w:pPr>
            <w:r w:rsidRPr="005B7B93">
              <w:rPr>
                <w:b/>
                <w:lang w:bidi="en-US"/>
              </w:rPr>
              <w:t>Percentage of Individuals that Identify as Black or African American Alone (non</w:t>
            </w:r>
            <w:r>
              <w:rPr>
                <w:b/>
              </w:rPr>
              <w:t>-</w:t>
            </w:r>
            <w:r w:rsidRPr="005B7B93">
              <w:rPr>
                <w:b/>
                <w:lang w:bidi="en-US"/>
              </w:rPr>
              <w:t>Hispanic)</w:t>
            </w:r>
          </w:p>
        </w:tc>
        <w:tc>
          <w:tcPr>
            <w:tcW w:w="1184" w:type="dxa"/>
            <w:tcBorders>
              <w:bottom w:val="single" w:sz="4" w:space="0" w:color="auto"/>
            </w:tcBorders>
            <w:shd w:val="clear" w:color="auto" w:fill="BFBFBF" w:themeFill="background1" w:themeFillShade="BF"/>
            <w:noWrap/>
            <w:vAlign w:val="center"/>
          </w:tcPr>
          <w:p w:rsidR="00887025" w:rsidRPr="003165DF" w:rsidP="00D60F08" w14:paraId="108B5B36" w14:textId="77777777">
            <w:pPr>
              <w:spacing w:line="240" w:lineRule="auto"/>
              <w:jc w:val="center"/>
              <w:rPr>
                <w:b/>
                <w:color w:val="000000"/>
              </w:rPr>
            </w:pPr>
            <w:r w:rsidRPr="00406DE5">
              <w:rPr>
                <w:b/>
                <w:lang w:bidi="en-US"/>
              </w:rPr>
              <w:t>Percentage of Individuals that Identify as American Indian and Alaska Native Alone (non</w:t>
            </w:r>
            <w:r>
              <w:rPr>
                <w:b/>
              </w:rPr>
              <w:t>-</w:t>
            </w:r>
            <w:r w:rsidRPr="00406DE5">
              <w:rPr>
                <w:b/>
                <w:lang w:bidi="en-US"/>
              </w:rPr>
              <w:t>Hispanic)</w:t>
            </w:r>
          </w:p>
        </w:tc>
        <w:tc>
          <w:tcPr>
            <w:tcW w:w="1184" w:type="dxa"/>
            <w:tcBorders>
              <w:bottom w:val="single" w:sz="4" w:space="0" w:color="auto"/>
            </w:tcBorders>
            <w:shd w:val="clear" w:color="auto" w:fill="BFBFBF" w:themeFill="background1" w:themeFillShade="BF"/>
            <w:noWrap/>
            <w:vAlign w:val="center"/>
          </w:tcPr>
          <w:p w:rsidR="00887025" w:rsidRPr="003165DF" w:rsidP="00D60F08" w14:paraId="4D36F30B" w14:textId="77777777">
            <w:pPr>
              <w:spacing w:line="240" w:lineRule="auto"/>
              <w:jc w:val="center"/>
              <w:rPr>
                <w:b/>
                <w:color w:val="000000"/>
              </w:rPr>
            </w:pPr>
            <w:r w:rsidRPr="00FE4987">
              <w:rPr>
                <w:b/>
                <w:lang w:bidi="en-US"/>
              </w:rPr>
              <w:t>Percentage of Individuals that Identify as Asian Alone (non</w:t>
            </w:r>
            <w:r>
              <w:rPr>
                <w:b/>
              </w:rPr>
              <w:t>-</w:t>
            </w:r>
            <w:r w:rsidRPr="00FE4987">
              <w:rPr>
                <w:b/>
                <w:lang w:bidi="en-US"/>
              </w:rPr>
              <w:t>Hispanic)</w:t>
            </w:r>
          </w:p>
        </w:tc>
        <w:tc>
          <w:tcPr>
            <w:tcW w:w="1184" w:type="dxa"/>
            <w:tcBorders>
              <w:bottom w:val="single" w:sz="4" w:space="0" w:color="auto"/>
            </w:tcBorders>
            <w:shd w:val="clear" w:color="auto" w:fill="BFBFBF" w:themeFill="background1" w:themeFillShade="BF"/>
            <w:noWrap/>
            <w:vAlign w:val="center"/>
          </w:tcPr>
          <w:p w:rsidR="00887025" w:rsidRPr="003165DF" w:rsidP="00D60F08" w14:paraId="5016D153" w14:textId="77777777">
            <w:pPr>
              <w:spacing w:line="240" w:lineRule="auto"/>
              <w:jc w:val="center"/>
              <w:rPr>
                <w:b/>
                <w:color w:val="000000"/>
              </w:rPr>
            </w:pPr>
            <w:r w:rsidRPr="00FE4987">
              <w:rPr>
                <w:b/>
                <w:lang w:bidi="en-US"/>
              </w:rPr>
              <w:t>Percentage of Individuals that Identify as Native Hawaiian and Other Pacific Islander Alone (non</w:t>
            </w:r>
            <w:r>
              <w:rPr>
                <w:b/>
              </w:rPr>
              <w:t>-</w:t>
            </w:r>
            <w:r w:rsidRPr="00FE4987">
              <w:rPr>
                <w:b/>
                <w:lang w:bidi="en-US"/>
              </w:rPr>
              <w:t>Hispanic)</w:t>
            </w:r>
          </w:p>
        </w:tc>
        <w:tc>
          <w:tcPr>
            <w:tcW w:w="1184" w:type="dxa"/>
            <w:tcBorders>
              <w:bottom w:val="single" w:sz="4" w:space="0" w:color="auto"/>
            </w:tcBorders>
            <w:shd w:val="clear" w:color="auto" w:fill="BFBFBF" w:themeFill="background1" w:themeFillShade="BF"/>
            <w:noWrap/>
            <w:vAlign w:val="center"/>
          </w:tcPr>
          <w:p w:rsidR="00887025" w:rsidRPr="003165DF" w:rsidP="00D60F08" w14:paraId="16693F50" w14:textId="77777777">
            <w:pPr>
              <w:spacing w:line="240" w:lineRule="auto"/>
              <w:jc w:val="center"/>
              <w:rPr>
                <w:b/>
                <w:color w:val="000000"/>
              </w:rPr>
            </w:pPr>
            <w:r w:rsidRPr="00EC2BFD">
              <w:rPr>
                <w:b/>
                <w:lang w:bidi="en-US"/>
              </w:rPr>
              <w:t>Percentage of Individuals that Identify as Some Other Race Alone (non</w:t>
            </w:r>
            <w:r>
              <w:rPr>
                <w:b/>
              </w:rPr>
              <w:t>-</w:t>
            </w:r>
            <w:r w:rsidRPr="00EC2BFD">
              <w:rPr>
                <w:b/>
                <w:lang w:bidi="en-US"/>
              </w:rPr>
              <w:t>Hispanic)</w:t>
            </w:r>
          </w:p>
        </w:tc>
        <w:tc>
          <w:tcPr>
            <w:tcW w:w="1215" w:type="dxa"/>
            <w:tcBorders>
              <w:bottom w:val="single" w:sz="4" w:space="0" w:color="auto"/>
            </w:tcBorders>
            <w:shd w:val="clear" w:color="auto" w:fill="BFBFBF" w:themeFill="background1" w:themeFillShade="BF"/>
            <w:noWrap/>
            <w:vAlign w:val="center"/>
          </w:tcPr>
          <w:p w:rsidR="00887025" w:rsidRPr="003165DF" w:rsidP="00D60F08" w14:paraId="5EAE9197" w14:textId="77777777">
            <w:pPr>
              <w:spacing w:line="240" w:lineRule="auto"/>
              <w:jc w:val="center"/>
              <w:rPr>
                <w:b/>
                <w:color w:val="000000"/>
              </w:rPr>
            </w:pPr>
            <w:r w:rsidRPr="00EC2BFD">
              <w:rPr>
                <w:b/>
                <w:lang w:bidi="en-US"/>
              </w:rPr>
              <w:t>Percentage of Individuals that Identify as Two or More Races</w:t>
            </w:r>
          </w:p>
        </w:tc>
        <w:tc>
          <w:tcPr>
            <w:tcW w:w="1184" w:type="dxa"/>
            <w:tcBorders>
              <w:bottom w:val="single" w:sz="4" w:space="0" w:color="auto"/>
            </w:tcBorders>
            <w:shd w:val="clear" w:color="auto" w:fill="BFBFBF" w:themeFill="background1" w:themeFillShade="BF"/>
            <w:noWrap/>
            <w:vAlign w:val="center"/>
          </w:tcPr>
          <w:p w:rsidR="00887025" w:rsidRPr="003165DF" w:rsidP="00D60F08" w14:paraId="6A142A2A" w14:textId="77777777">
            <w:pPr>
              <w:spacing w:line="240" w:lineRule="auto"/>
              <w:jc w:val="center"/>
              <w:rPr>
                <w:b/>
                <w:color w:val="000000"/>
              </w:rPr>
            </w:pPr>
            <w:r w:rsidRPr="00AB652E">
              <w:rPr>
                <w:b/>
                <w:color w:val="000000"/>
              </w:rPr>
              <w:t xml:space="preserve">Percentage of Individuals that Identify as Hispanic or Latino </w:t>
            </w:r>
          </w:p>
        </w:tc>
        <w:tc>
          <w:tcPr>
            <w:tcW w:w="1383" w:type="dxa"/>
            <w:tcBorders>
              <w:bottom w:val="single" w:sz="4" w:space="0" w:color="auto"/>
            </w:tcBorders>
            <w:shd w:val="clear" w:color="auto" w:fill="BFBFBF" w:themeFill="background1" w:themeFillShade="BF"/>
            <w:vAlign w:val="center"/>
          </w:tcPr>
          <w:p w:rsidR="00887025" w:rsidRPr="00AB652E" w:rsidP="00D60F08" w14:paraId="22A28512" w14:textId="77777777">
            <w:pPr>
              <w:spacing w:line="240" w:lineRule="auto"/>
              <w:jc w:val="center"/>
              <w:rPr>
                <w:b/>
                <w:color w:val="000000"/>
              </w:rPr>
            </w:pPr>
            <w:r>
              <w:rPr>
                <w:b/>
                <w:color w:val="000000"/>
              </w:rPr>
              <w:t>Percentage of Individuals</w:t>
            </w:r>
            <w:r w:rsidRPr="00205242">
              <w:rPr>
                <w:b/>
                <w:color w:val="000000"/>
              </w:rPr>
              <w:t xml:space="preserve"> </w:t>
            </w:r>
            <w:r>
              <w:rPr>
                <w:b/>
                <w:color w:val="000000"/>
              </w:rPr>
              <w:t>E</w:t>
            </w:r>
            <w:r w:rsidRPr="003C56CB">
              <w:rPr>
                <w:b/>
                <w:color w:val="000000"/>
              </w:rPr>
              <w:t xml:space="preserve">arning </w:t>
            </w:r>
            <w:r>
              <w:rPr>
                <w:b/>
                <w:color w:val="000000"/>
              </w:rPr>
              <w:t>L</w:t>
            </w:r>
            <w:r w:rsidRPr="003C56CB">
              <w:rPr>
                <w:b/>
                <w:color w:val="000000"/>
              </w:rPr>
              <w:t xml:space="preserve">ess </w:t>
            </w:r>
            <w:r>
              <w:rPr>
                <w:b/>
                <w:color w:val="000000"/>
              </w:rPr>
              <w:t>T</w:t>
            </w:r>
            <w:r w:rsidRPr="003C56CB">
              <w:rPr>
                <w:b/>
                <w:color w:val="000000"/>
              </w:rPr>
              <w:t xml:space="preserve">han or </w:t>
            </w:r>
            <w:r>
              <w:rPr>
                <w:b/>
                <w:color w:val="000000"/>
              </w:rPr>
              <w:t>E</w:t>
            </w:r>
            <w:r w:rsidRPr="003C56CB">
              <w:rPr>
                <w:b/>
                <w:color w:val="000000"/>
              </w:rPr>
              <w:t xml:space="preserve">qual to </w:t>
            </w:r>
            <w:r>
              <w:rPr>
                <w:b/>
                <w:color w:val="000000"/>
              </w:rPr>
              <w:t>T</w:t>
            </w:r>
            <w:r w:rsidRPr="003C56CB">
              <w:rPr>
                <w:b/>
                <w:color w:val="000000"/>
              </w:rPr>
              <w:t xml:space="preserve">wice the </w:t>
            </w:r>
            <w:r>
              <w:rPr>
                <w:b/>
                <w:color w:val="000000"/>
              </w:rPr>
              <w:t>F</w:t>
            </w:r>
            <w:r w:rsidRPr="003C56CB">
              <w:rPr>
                <w:b/>
                <w:color w:val="000000"/>
              </w:rPr>
              <w:t xml:space="preserve">ederal </w:t>
            </w:r>
            <w:r>
              <w:rPr>
                <w:b/>
                <w:color w:val="000000"/>
              </w:rPr>
              <w:t>P</w:t>
            </w:r>
            <w:r w:rsidRPr="003C56CB">
              <w:rPr>
                <w:b/>
                <w:color w:val="000000"/>
              </w:rPr>
              <w:t xml:space="preserve">overty </w:t>
            </w:r>
            <w:r>
              <w:rPr>
                <w:b/>
                <w:color w:val="000000"/>
              </w:rPr>
              <w:t>L</w:t>
            </w:r>
            <w:r w:rsidRPr="003C56CB">
              <w:rPr>
                <w:b/>
                <w:color w:val="000000"/>
              </w:rPr>
              <w:t>eve</w:t>
            </w:r>
            <w:r>
              <w:rPr>
                <w:b/>
                <w:color w:val="000000"/>
              </w:rPr>
              <w:t>l</w:t>
            </w:r>
          </w:p>
        </w:tc>
      </w:tr>
      <w:tr w14:paraId="23B82C8A" w14:textId="77777777" w:rsidTr="00D60F08">
        <w:tblPrEx>
          <w:tblW w:w="14861" w:type="dxa"/>
          <w:tblLook w:val="04A0"/>
        </w:tblPrEx>
        <w:trPr>
          <w:trHeight w:val="300"/>
        </w:trPr>
        <w:tc>
          <w:tcPr>
            <w:tcW w:w="1027" w:type="dxa"/>
            <w:vMerge w:val="restart"/>
            <w:tcBorders>
              <w:top w:val="single" w:sz="12" w:space="0" w:color="auto"/>
            </w:tcBorders>
            <w:vAlign w:val="center"/>
          </w:tcPr>
          <w:p w:rsidR="00887025" w:rsidP="00D60F08" w14:paraId="242168C5" w14:textId="77777777">
            <w:pPr>
              <w:spacing w:line="240" w:lineRule="auto"/>
              <w:rPr>
                <w:color w:val="000000"/>
              </w:rPr>
            </w:pPr>
            <w:r w:rsidRPr="003165DF">
              <w:rPr>
                <w:color w:val="000000"/>
              </w:rPr>
              <w:t>Facilities with accidents 2004-2020</w:t>
            </w:r>
          </w:p>
        </w:tc>
        <w:tc>
          <w:tcPr>
            <w:tcW w:w="983" w:type="dxa"/>
            <w:vMerge w:val="restart"/>
            <w:tcBorders>
              <w:top w:val="single" w:sz="12" w:space="0" w:color="auto"/>
            </w:tcBorders>
            <w:vAlign w:val="center"/>
          </w:tcPr>
          <w:p w:rsidR="00887025" w:rsidRPr="003165DF" w:rsidP="00D60F08" w14:paraId="30BD1832" w14:textId="77777777">
            <w:pPr>
              <w:spacing w:line="240" w:lineRule="auto"/>
              <w:jc w:val="center"/>
              <w:rPr>
                <w:color w:val="000000"/>
              </w:rPr>
            </w:pPr>
            <w:r>
              <w:rPr>
                <w:color w:val="000000"/>
              </w:rPr>
              <w:t>1</w:t>
            </w:r>
          </w:p>
        </w:tc>
        <w:tc>
          <w:tcPr>
            <w:tcW w:w="983" w:type="dxa"/>
            <w:vMerge w:val="restart"/>
            <w:tcBorders>
              <w:top w:val="single" w:sz="12" w:space="0" w:color="auto"/>
            </w:tcBorders>
            <w:vAlign w:val="center"/>
          </w:tcPr>
          <w:p w:rsidR="00887025" w:rsidRPr="003165DF" w:rsidP="00D60F08" w14:paraId="61560CB4" w14:textId="77777777">
            <w:pPr>
              <w:spacing w:line="240" w:lineRule="auto"/>
              <w:jc w:val="center"/>
              <w:rPr>
                <w:color w:val="000000"/>
              </w:rPr>
            </w:pPr>
            <w:r>
              <w:rPr>
                <w:color w:val="000000"/>
              </w:rPr>
              <w:t>15</w:t>
            </w:r>
          </w:p>
        </w:tc>
        <w:tc>
          <w:tcPr>
            <w:tcW w:w="950" w:type="dxa"/>
            <w:tcBorders>
              <w:top w:val="single" w:sz="12" w:space="0" w:color="auto"/>
            </w:tcBorders>
            <w:vAlign w:val="center"/>
          </w:tcPr>
          <w:p w:rsidR="00887025" w:rsidRPr="005E4F9C" w:rsidP="00D60F08" w14:paraId="3D324DBA" w14:textId="77777777">
            <w:pPr>
              <w:spacing w:line="240" w:lineRule="auto"/>
              <w:jc w:val="center"/>
              <w:rPr>
                <w:color w:val="000000"/>
              </w:rPr>
            </w:pPr>
            <w:r w:rsidRPr="003165DF">
              <w:rPr>
                <w:color w:val="000000"/>
              </w:rPr>
              <w:t>1</w:t>
            </w:r>
          </w:p>
        </w:tc>
        <w:tc>
          <w:tcPr>
            <w:tcW w:w="1216" w:type="dxa"/>
            <w:tcBorders>
              <w:top w:val="single" w:sz="12" w:space="0" w:color="auto"/>
              <w:left w:val="nil"/>
              <w:bottom w:val="single" w:sz="4" w:space="0" w:color="auto"/>
              <w:right w:val="single" w:sz="4" w:space="0" w:color="auto"/>
            </w:tcBorders>
            <w:shd w:val="clear" w:color="auto" w:fill="auto"/>
            <w:vAlign w:val="center"/>
          </w:tcPr>
          <w:p w:rsidR="00887025" w:rsidRPr="00C265FC" w:rsidP="00D60F08" w14:paraId="4DDCA778" w14:textId="77777777">
            <w:pPr>
              <w:spacing w:line="240" w:lineRule="auto"/>
              <w:jc w:val="right"/>
              <w:rPr>
                <w:color w:val="000000"/>
              </w:rPr>
            </w:pPr>
            <w:r w:rsidRPr="00B954BC">
              <w:rPr>
                <w:color w:val="000000"/>
              </w:rPr>
              <w:t>75,276</w:t>
            </w:r>
          </w:p>
        </w:tc>
        <w:tc>
          <w:tcPr>
            <w:tcW w:w="1184" w:type="dxa"/>
            <w:tcBorders>
              <w:top w:val="single" w:sz="12" w:space="0" w:color="auto"/>
              <w:left w:val="nil"/>
              <w:bottom w:val="single" w:sz="4" w:space="0" w:color="auto"/>
              <w:right w:val="single" w:sz="4" w:space="0" w:color="auto"/>
            </w:tcBorders>
            <w:shd w:val="clear" w:color="auto" w:fill="auto"/>
            <w:noWrap/>
            <w:vAlign w:val="center"/>
          </w:tcPr>
          <w:p w:rsidR="00887025" w:rsidRPr="009E4A00" w:rsidP="00D60F08" w14:paraId="25118AB3" w14:textId="77777777">
            <w:pPr>
              <w:spacing w:line="240" w:lineRule="auto"/>
              <w:jc w:val="center"/>
              <w:rPr>
                <w:b/>
                <w:bCs/>
                <w:color w:val="000000"/>
              </w:rPr>
            </w:pPr>
            <w:r w:rsidRPr="009E4A00">
              <w:rPr>
                <w:b/>
                <w:bCs/>
                <w:color w:val="000000"/>
              </w:rPr>
              <w:t>36.6%</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2D02C248" w14:textId="77777777">
            <w:pPr>
              <w:spacing w:line="240" w:lineRule="auto"/>
              <w:jc w:val="center"/>
              <w:rPr>
                <w:color w:val="000000"/>
              </w:rPr>
            </w:pPr>
            <w:r w:rsidRPr="00C55918">
              <w:rPr>
                <w:color w:val="000000"/>
              </w:rPr>
              <w:t>0.2%</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5DE4020C" w14:textId="77777777">
            <w:pPr>
              <w:spacing w:line="240" w:lineRule="auto"/>
              <w:jc w:val="center"/>
              <w:rPr>
                <w:color w:val="000000"/>
              </w:rPr>
            </w:pPr>
            <w:r w:rsidRPr="00C55918">
              <w:rPr>
                <w:color w:val="000000"/>
              </w:rPr>
              <w:t>3.4%</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0F2F618D" w14:textId="77777777">
            <w:pPr>
              <w:spacing w:line="240" w:lineRule="auto"/>
              <w:jc w:val="center"/>
              <w:rPr>
                <w:color w:val="000000"/>
              </w:rPr>
            </w:pPr>
            <w:r w:rsidRPr="00C55918">
              <w:rPr>
                <w:color w:val="000000"/>
              </w:rPr>
              <w:t>0</w:t>
            </w:r>
            <w:r>
              <w:rPr>
                <w:color w:val="000000"/>
              </w:rPr>
              <w:t>.0</w:t>
            </w:r>
            <w:r w:rsidRPr="00C55918">
              <w:rPr>
                <w:color w:val="000000"/>
              </w:rPr>
              <w:t>%</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27BE13E0" w14:textId="77777777">
            <w:pPr>
              <w:spacing w:line="240" w:lineRule="auto"/>
              <w:jc w:val="center"/>
              <w:rPr>
                <w:color w:val="000000"/>
              </w:rPr>
            </w:pPr>
            <w:r w:rsidRPr="00C55918">
              <w:rPr>
                <w:color w:val="000000"/>
              </w:rPr>
              <w:t>0.1%</w:t>
            </w:r>
          </w:p>
        </w:tc>
        <w:tc>
          <w:tcPr>
            <w:tcW w:w="121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420D2DF3" w14:textId="77777777">
            <w:pPr>
              <w:spacing w:line="240" w:lineRule="auto"/>
              <w:jc w:val="center"/>
              <w:rPr>
                <w:b/>
                <w:bCs/>
                <w:color w:val="000000"/>
              </w:rPr>
            </w:pPr>
            <w:r w:rsidRPr="009E4A00">
              <w:rPr>
                <w:b/>
                <w:bCs/>
                <w:color w:val="000000"/>
              </w:rPr>
              <w:t>3.4%</w:t>
            </w:r>
          </w:p>
        </w:tc>
        <w:tc>
          <w:tcPr>
            <w:tcW w:w="118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0EA89840" w14:textId="77777777">
            <w:pPr>
              <w:spacing w:line="240" w:lineRule="auto"/>
              <w:jc w:val="center"/>
              <w:rPr>
                <w:color w:val="000000"/>
              </w:rPr>
            </w:pPr>
            <w:r w:rsidRPr="00C55918">
              <w:rPr>
                <w:color w:val="000000"/>
              </w:rPr>
              <w:t>17.4%</w:t>
            </w:r>
          </w:p>
        </w:tc>
        <w:tc>
          <w:tcPr>
            <w:tcW w:w="1383" w:type="dxa"/>
            <w:tcBorders>
              <w:top w:val="single" w:sz="12" w:space="0" w:color="auto"/>
              <w:left w:val="single" w:sz="4" w:space="0" w:color="auto"/>
              <w:bottom w:val="single" w:sz="4" w:space="0" w:color="auto"/>
              <w:right w:val="single" w:sz="4" w:space="0" w:color="auto"/>
            </w:tcBorders>
            <w:vAlign w:val="center"/>
          </w:tcPr>
          <w:p w:rsidR="00887025" w:rsidRPr="009E4A00" w:rsidP="00D60F08" w14:paraId="74E581F9" w14:textId="77777777">
            <w:pPr>
              <w:spacing w:line="240" w:lineRule="auto"/>
              <w:jc w:val="center"/>
              <w:rPr>
                <w:b/>
                <w:bCs/>
                <w:color w:val="000000"/>
              </w:rPr>
            </w:pPr>
            <w:r w:rsidRPr="009E4A00">
              <w:rPr>
                <w:b/>
                <w:bCs/>
                <w:color w:val="000000"/>
              </w:rPr>
              <w:t>34.5%</w:t>
            </w:r>
          </w:p>
        </w:tc>
      </w:tr>
      <w:tr w14:paraId="4DF14CC2" w14:textId="77777777" w:rsidTr="00D60F08">
        <w:tblPrEx>
          <w:tblW w:w="14861" w:type="dxa"/>
          <w:tblLook w:val="04A0"/>
        </w:tblPrEx>
        <w:trPr>
          <w:trHeight w:val="300"/>
        </w:trPr>
        <w:tc>
          <w:tcPr>
            <w:tcW w:w="1027" w:type="dxa"/>
            <w:vMerge/>
            <w:vAlign w:val="center"/>
          </w:tcPr>
          <w:p w:rsidR="00887025" w:rsidRPr="003165DF" w:rsidP="00D60F08" w14:paraId="6B916001" w14:textId="77777777">
            <w:pPr>
              <w:spacing w:line="240" w:lineRule="auto"/>
              <w:rPr>
                <w:color w:val="000000"/>
              </w:rPr>
            </w:pPr>
          </w:p>
        </w:tc>
        <w:tc>
          <w:tcPr>
            <w:tcW w:w="983" w:type="dxa"/>
            <w:vMerge/>
            <w:vAlign w:val="center"/>
          </w:tcPr>
          <w:p w:rsidR="00887025" w:rsidRPr="003165DF" w:rsidP="00D60F08" w14:paraId="431CF735" w14:textId="77777777">
            <w:pPr>
              <w:spacing w:line="240" w:lineRule="auto"/>
              <w:jc w:val="center"/>
              <w:rPr>
                <w:color w:val="000000"/>
              </w:rPr>
            </w:pPr>
          </w:p>
        </w:tc>
        <w:tc>
          <w:tcPr>
            <w:tcW w:w="983" w:type="dxa"/>
            <w:vMerge/>
            <w:vAlign w:val="center"/>
          </w:tcPr>
          <w:p w:rsidR="00887025" w:rsidRPr="003165DF" w:rsidP="00D60F08" w14:paraId="49447502" w14:textId="77777777">
            <w:pPr>
              <w:spacing w:line="240" w:lineRule="auto"/>
              <w:jc w:val="center"/>
              <w:rPr>
                <w:color w:val="000000"/>
              </w:rPr>
            </w:pPr>
          </w:p>
        </w:tc>
        <w:tc>
          <w:tcPr>
            <w:tcW w:w="950" w:type="dxa"/>
            <w:vAlign w:val="center"/>
          </w:tcPr>
          <w:p w:rsidR="00887025" w:rsidRPr="005E4F9C" w:rsidP="00D60F08" w14:paraId="6249B5E0" w14:textId="77777777">
            <w:pPr>
              <w:spacing w:line="240" w:lineRule="auto"/>
              <w:jc w:val="center"/>
              <w:rPr>
                <w:color w:val="000000"/>
              </w:rPr>
            </w:pPr>
            <w:r w:rsidRPr="003165DF">
              <w:rPr>
                <w:color w:val="000000"/>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C265FC" w:rsidP="00D60F08" w14:paraId="40D33EA6" w14:textId="77777777">
            <w:pPr>
              <w:spacing w:line="240" w:lineRule="auto"/>
              <w:jc w:val="right"/>
              <w:rPr>
                <w:color w:val="000000"/>
              </w:rPr>
            </w:pPr>
            <w:r w:rsidRPr="00B954BC">
              <w:rPr>
                <w:color w:val="000000"/>
              </w:rPr>
              <w:t>313,138</w:t>
            </w:r>
          </w:p>
        </w:tc>
        <w:tc>
          <w:tcPr>
            <w:tcW w:w="1184" w:type="dxa"/>
            <w:tcBorders>
              <w:top w:val="single" w:sz="4" w:space="0" w:color="auto"/>
              <w:left w:val="nil"/>
              <w:bottom w:val="single" w:sz="4" w:space="0" w:color="auto"/>
              <w:right w:val="single" w:sz="4" w:space="0" w:color="auto"/>
            </w:tcBorders>
            <w:shd w:val="clear" w:color="auto" w:fill="auto"/>
            <w:noWrap/>
            <w:vAlign w:val="center"/>
          </w:tcPr>
          <w:p w:rsidR="00887025" w:rsidRPr="009E4A00" w:rsidP="00D60F08" w14:paraId="03172BD8" w14:textId="77777777">
            <w:pPr>
              <w:spacing w:line="240" w:lineRule="auto"/>
              <w:jc w:val="center"/>
              <w:rPr>
                <w:b/>
                <w:bCs/>
                <w:color w:val="000000"/>
              </w:rPr>
            </w:pPr>
            <w:r w:rsidRPr="009E4A00">
              <w:rPr>
                <w:b/>
                <w:bCs/>
                <w:color w:val="000000"/>
              </w:rPr>
              <w:t>30.9%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2AF9A02A" w14:textId="77777777">
            <w:pPr>
              <w:spacing w:line="240" w:lineRule="auto"/>
              <w:jc w:val="center"/>
              <w:rPr>
                <w:color w:val="000000"/>
              </w:rPr>
            </w:pPr>
            <w:r w:rsidRPr="00C55918">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4582228F" w14:textId="77777777">
            <w:pPr>
              <w:spacing w:line="240" w:lineRule="auto"/>
              <w:jc w:val="center"/>
              <w:rPr>
                <w:b/>
                <w:bCs/>
                <w:color w:val="000000"/>
              </w:rPr>
            </w:pPr>
            <w:r w:rsidRPr="009E4A00">
              <w:rPr>
                <w:b/>
                <w:bCs/>
                <w:color w:val="000000"/>
              </w:rPr>
              <w:t>6.6%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2C749461" w14:textId="77777777">
            <w:pPr>
              <w:spacing w:line="240" w:lineRule="auto"/>
              <w:jc w:val="center"/>
              <w:rPr>
                <w:color w:val="000000"/>
              </w:rPr>
            </w:pPr>
            <w:r w:rsidRPr="00C55918">
              <w:rPr>
                <w:color w:val="000000"/>
              </w:rPr>
              <w:t>0.1%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0F6D0B35" w14:textId="77777777">
            <w:pPr>
              <w:spacing w:line="240" w:lineRule="auto"/>
              <w:jc w:val="center"/>
              <w:rPr>
                <w:color w:val="000000"/>
              </w:rPr>
            </w:pPr>
            <w:r w:rsidRPr="00C55918">
              <w:rPr>
                <w:color w:val="000000"/>
              </w:rPr>
              <w:t>0.4%</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6553AC0B" w14:textId="77777777">
            <w:pPr>
              <w:spacing w:line="240" w:lineRule="auto"/>
              <w:jc w:val="center"/>
              <w:rPr>
                <w:b/>
                <w:bCs/>
                <w:color w:val="000000"/>
              </w:rPr>
            </w:pPr>
            <w:r w:rsidRPr="009E4A00">
              <w:rPr>
                <w:b/>
                <w:bCs/>
                <w:color w:val="000000"/>
              </w:rPr>
              <w:t>3.6%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55FC2040" w14:textId="77777777">
            <w:pPr>
              <w:spacing w:line="240" w:lineRule="auto"/>
              <w:jc w:val="center"/>
              <w:rPr>
                <w:color w:val="000000"/>
              </w:rPr>
            </w:pPr>
            <w:r w:rsidRPr="00C55918">
              <w:rPr>
                <w:color w:val="000000"/>
              </w:rPr>
              <w:t>12.5%</w:t>
            </w:r>
          </w:p>
        </w:tc>
        <w:tc>
          <w:tcPr>
            <w:tcW w:w="1383" w:type="dxa"/>
            <w:tcBorders>
              <w:top w:val="single" w:sz="4" w:space="0" w:color="auto"/>
              <w:left w:val="single" w:sz="4" w:space="0" w:color="auto"/>
              <w:bottom w:val="single" w:sz="4" w:space="0" w:color="auto"/>
              <w:right w:val="single" w:sz="4" w:space="0" w:color="auto"/>
            </w:tcBorders>
            <w:vAlign w:val="center"/>
          </w:tcPr>
          <w:p w:rsidR="00887025" w:rsidRPr="009E4A00" w:rsidP="00D60F08" w14:paraId="446E1390" w14:textId="77777777">
            <w:pPr>
              <w:spacing w:line="240" w:lineRule="auto"/>
              <w:jc w:val="center"/>
              <w:rPr>
                <w:b/>
                <w:bCs/>
                <w:color w:val="000000"/>
              </w:rPr>
            </w:pPr>
            <w:r w:rsidRPr="009E4A00">
              <w:rPr>
                <w:b/>
                <w:bCs/>
                <w:color w:val="000000"/>
              </w:rPr>
              <w:t>30.8%</w:t>
            </w:r>
          </w:p>
        </w:tc>
      </w:tr>
      <w:tr w14:paraId="12FECE41" w14:textId="77777777" w:rsidTr="00D60F08">
        <w:tblPrEx>
          <w:tblW w:w="14861" w:type="dxa"/>
          <w:tblLook w:val="04A0"/>
        </w:tblPrEx>
        <w:trPr>
          <w:trHeight w:val="300"/>
        </w:trPr>
        <w:tc>
          <w:tcPr>
            <w:tcW w:w="1027" w:type="dxa"/>
            <w:vMerge/>
            <w:vAlign w:val="center"/>
          </w:tcPr>
          <w:p w:rsidR="00887025" w:rsidP="00D60F08" w14:paraId="3D1A9953" w14:textId="77777777">
            <w:pPr>
              <w:spacing w:line="240" w:lineRule="auto"/>
              <w:rPr>
                <w:color w:val="000000"/>
              </w:rPr>
            </w:pPr>
          </w:p>
        </w:tc>
        <w:tc>
          <w:tcPr>
            <w:tcW w:w="983" w:type="dxa"/>
            <w:vMerge w:val="restart"/>
            <w:vAlign w:val="center"/>
          </w:tcPr>
          <w:p w:rsidR="00887025" w:rsidRPr="003165DF" w:rsidP="00D60F08" w14:paraId="4078DFBE" w14:textId="77777777">
            <w:pPr>
              <w:spacing w:line="240" w:lineRule="auto"/>
              <w:jc w:val="center"/>
              <w:rPr>
                <w:color w:val="000000"/>
              </w:rPr>
            </w:pPr>
            <w:r>
              <w:rPr>
                <w:color w:val="000000"/>
              </w:rPr>
              <w:t>2</w:t>
            </w:r>
          </w:p>
        </w:tc>
        <w:tc>
          <w:tcPr>
            <w:tcW w:w="983" w:type="dxa"/>
            <w:vMerge w:val="restart"/>
            <w:vAlign w:val="center"/>
          </w:tcPr>
          <w:p w:rsidR="00887025" w:rsidRPr="003165DF" w:rsidP="00D60F08" w14:paraId="782C46A6" w14:textId="77777777">
            <w:pPr>
              <w:spacing w:line="240" w:lineRule="auto"/>
              <w:jc w:val="center"/>
              <w:rPr>
                <w:color w:val="000000"/>
              </w:rPr>
            </w:pPr>
            <w:r>
              <w:rPr>
                <w:color w:val="000000"/>
              </w:rPr>
              <w:t>285</w:t>
            </w:r>
          </w:p>
        </w:tc>
        <w:tc>
          <w:tcPr>
            <w:tcW w:w="950" w:type="dxa"/>
            <w:vAlign w:val="center"/>
          </w:tcPr>
          <w:p w:rsidR="00887025" w:rsidRPr="003165DF" w:rsidP="00D60F08" w14:paraId="559F4B36" w14:textId="77777777">
            <w:pPr>
              <w:spacing w:line="240" w:lineRule="auto"/>
              <w:jc w:val="center"/>
              <w:rPr>
                <w:color w:val="000000"/>
              </w:rPr>
            </w:pPr>
            <w:r w:rsidRPr="003165DF">
              <w:rPr>
                <w:color w:val="000000"/>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C265FC" w:rsidP="00D60F08" w14:paraId="5B1528AA" w14:textId="77777777">
            <w:pPr>
              <w:spacing w:line="240" w:lineRule="auto"/>
              <w:jc w:val="right"/>
              <w:rPr>
                <w:color w:val="000000"/>
              </w:rPr>
            </w:pPr>
            <w:r w:rsidRPr="00B954BC">
              <w:rPr>
                <w:color w:val="000000"/>
              </w:rPr>
              <w:t>387,373</w:t>
            </w:r>
          </w:p>
        </w:tc>
        <w:tc>
          <w:tcPr>
            <w:tcW w:w="1184" w:type="dxa"/>
            <w:tcBorders>
              <w:top w:val="single" w:sz="4" w:space="0" w:color="auto"/>
              <w:left w:val="nil"/>
              <w:bottom w:val="single" w:sz="4" w:space="0" w:color="auto"/>
              <w:right w:val="single" w:sz="4" w:space="0" w:color="auto"/>
            </w:tcBorders>
            <w:shd w:val="clear" w:color="auto" w:fill="auto"/>
            <w:noWrap/>
            <w:vAlign w:val="center"/>
          </w:tcPr>
          <w:p w:rsidR="00887025" w:rsidRPr="009E4A00" w:rsidP="00D60F08" w14:paraId="55C5D7A0" w14:textId="77777777">
            <w:pPr>
              <w:spacing w:line="240" w:lineRule="auto"/>
              <w:jc w:val="center"/>
              <w:rPr>
                <w:b/>
                <w:bCs/>
                <w:color w:val="000000"/>
              </w:rPr>
            </w:pPr>
            <w:r w:rsidRPr="009E4A00">
              <w:rPr>
                <w:b/>
                <w:bCs/>
                <w:color w:val="000000"/>
              </w:rPr>
              <w:t>20.8%</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21EDF51C" w14:textId="77777777">
            <w:pPr>
              <w:spacing w:line="240" w:lineRule="auto"/>
              <w:jc w:val="center"/>
              <w:rPr>
                <w:color w:val="000000"/>
              </w:rPr>
            </w:pPr>
            <w:r w:rsidRPr="00C55918">
              <w:rPr>
                <w:color w:val="000000"/>
              </w:rPr>
              <w:t>0.3%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40E100CC" w14:textId="77777777">
            <w:pPr>
              <w:spacing w:line="240" w:lineRule="auto"/>
              <w:jc w:val="center"/>
              <w:rPr>
                <w:color w:val="000000"/>
              </w:rPr>
            </w:pPr>
            <w:r w:rsidRPr="00C55918">
              <w:rPr>
                <w:color w:val="000000"/>
              </w:rPr>
              <w:t>3.6%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12E872D8" w14:textId="77777777">
            <w:pPr>
              <w:spacing w:line="240" w:lineRule="auto"/>
              <w:jc w:val="center"/>
              <w:rPr>
                <w:color w:val="000000"/>
              </w:rPr>
            </w:pPr>
            <w:r w:rsidRPr="00C55918">
              <w:rPr>
                <w:color w:val="000000"/>
              </w:rPr>
              <w:t>0</w:t>
            </w:r>
            <w:r>
              <w:rPr>
                <w:color w:val="000000"/>
              </w:rPr>
              <w:t>.0</w:t>
            </w:r>
            <w:r w:rsidRPr="00C5591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7A8A8F0C" w14:textId="77777777">
            <w:pPr>
              <w:spacing w:line="240" w:lineRule="auto"/>
              <w:jc w:val="center"/>
              <w:rPr>
                <w:b/>
                <w:bCs/>
                <w:color w:val="000000"/>
              </w:rPr>
            </w:pPr>
            <w:r w:rsidRPr="009E4A00">
              <w:rPr>
                <w:b/>
                <w:bCs/>
                <w:color w:val="000000"/>
              </w:rPr>
              <w:t>0.5%</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309EC39C" w14:textId="77777777">
            <w:pPr>
              <w:spacing w:line="240" w:lineRule="auto"/>
              <w:jc w:val="center"/>
              <w:rPr>
                <w:color w:val="000000"/>
              </w:rPr>
            </w:pPr>
            <w:r w:rsidRPr="00C55918">
              <w:rPr>
                <w:color w:val="000000"/>
              </w:rPr>
              <w:t>2.9%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55C30213" w14:textId="77777777">
            <w:pPr>
              <w:spacing w:line="240" w:lineRule="auto"/>
              <w:jc w:val="center"/>
              <w:rPr>
                <w:b/>
                <w:bCs/>
                <w:color w:val="000000"/>
              </w:rPr>
            </w:pPr>
            <w:r w:rsidRPr="009E4A00">
              <w:rPr>
                <w:b/>
                <w:bCs/>
                <w:color w:val="000000"/>
              </w:rPr>
              <w:t>22.0%</w:t>
            </w:r>
          </w:p>
        </w:tc>
        <w:tc>
          <w:tcPr>
            <w:tcW w:w="1383" w:type="dxa"/>
            <w:tcBorders>
              <w:top w:val="single" w:sz="4" w:space="0" w:color="auto"/>
              <w:left w:val="single" w:sz="4" w:space="0" w:color="auto"/>
              <w:bottom w:val="single" w:sz="4" w:space="0" w:color="auto"/>
              <w:right w:val="single" w:sz="4" w:space="0" w:color="auto"/>
            </w:tcBorders>
            <w:vAlign w:val="center"/>
          </w:tcPr>
          <w:p w:rsidR="00887025" w:rsidRPr="009E4A00" w:rsidP="00D60F08" w14:paraId="35337AE7" w14:textId="77777777">
            <w:pPr>
              <w:spacing w:line="240" w:lineRule="auto"/>
              <w:jc w:val="center"/>
              <w:rPr>
                <w:b/>
                <w:bCs/>
                <w:color w:val="000000"/>
              </w:rPr>
            </w:pPr>
            <w:r w:rsidRPr="009E4A00">
              <w:rPr>
                <w:b/>
                <w:bCs/>
                <w:color w:val="000000"/>
              </w:rPr>
              <w:t>38.7%</w:t>
            </w:r>
          </w:p>
        </w:tc>
      </w:tr>
      <w:tr w14:paraId="14F9D933" w14:textId="77777777" w:rsidTr="00D60F08">
        <w:tblPrEx>
          <w:tblW w:w="14861" w:type="dxa"/>
          <w:tblLook w:val="04A0"/>
        </w:tblPrEx>
        <w:trPr>
          <w:trHeight w:val="300"/>
        </w:trPr>
        <w:tc>
          <w:tcPr>
            <w:tcW w:w="1027" w:type="dxa"/>
            <w:vMerge/>
            <w:vAlign w:val="center"/>
          </w:tcPr>
          <w:p w:rsidR="00887025" w:rsidRPr="003165DF" w:rsidP="00D60F08" w14:paraId="543B6163" w14:textId="77777777">
            <w:pPr>
              <w:spacing w:line="240" w:lineRule="auto"/>
              <w:jc w:val="center"/>
              <w:rPr>
                <w:color w:val="000000"/>
              </w:rPr>
            </w:pPr>
          </w:p>
        </w:tc>
        <w:tc>
          <w:tcPr>
            <w:tcW w:w="983" w:type="dxa"/>
            <w:vMerge/>
            <w:vAlign w:val="center"/>
          </w:tcPr>
          <w:p w:rsidR="00887025" w:rsidRPr="003165DF" w:rsidP="00D60F08" w14:paraId="051401A3" w14:textId="77777777">
            <w:pPr>
              <w:spacing w:line="240" w:lineRule="auto"/>
              <w:jc w:val="center"/>
              <w:rPr>
                <w:color w:val="000000"/>
              </w:rPr>
            </w:pPr>
          </w:p>
        </w:tc>
        <w:tc>
          <w:tcPr>
            <w:tcW w:w="983" w:type="dxa"/>
            <w:vMerge/>
            <w:vAlign w:val="center"/>
          </w:tcPr>
          <w:p w:rsidR="00887025" w:rsidRPr="003165DF" w:rsidP="00D60F08" w14:paraId="6B8F888E" w14:textId="77777777">
            <w:pPr>
              <w:spacing w:line="240" w:lineRule="auto"/>
              <w:jc w:val="center"/>
              <w:rPr>
                <w:color w:val="000000"/>
              </w:rPr>
            </w:pPr>
          </w:p>
        </w:tc>
        <w:tc>
          <w:tcPr>
            <w:tcW w:w="950" w:type="dxa"/>
            <w:vAlign w:val="center"/>
          </w:tcPr>
          <w:p w:rsidR="00887025" w:rsidRPr="003165DF" w:rsidP="00D60F08" w14:paraId="7C768E38" w14:textId="77777777">
            <w:pPr>
              <w:spacing w:line="240" w:lineRule="auto"/>
              <w:jc w:val="center"/>
              <w:rPr>
                <w:color w:val="000000"/>
              </w:rPr>
            </w:pPr>
            <w:r w:rsidRPr="003165DF">
              <w:rPr>
                <w:color w:val="000000"/>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C265FC" w:rsidP="00D60F08" w14:paraId="6B3AE411" w14:textId="77777777">
            <w:pPr>
              <w:spacing w:line="240" w:lineRule="auto"/>
              <w:jc w:val="right"/>
              <w:rPr>
                <w:color w:val="000000"/>
              </w:rPr>
            </w:pPr>
            <w:r w:rsidRPr="00B954BC">
              <w:rPr>
                <w:color w:val="000000"/>
              </w:rPr>
              <w:t>5,565,629</w:t>
            </w:r>
          </w:p>
        </w:tc>
        <w:tc>
          <w:tcPr>
            <w:tcW w:w="1184" w:type="dxa"/>
            <w:tcBorders>
              <w:top w:val="single" w:sz="4" w:space="0" w:color="auto"/>
              <w:left w:val="nil"/>
              <w:bottom w:val="single" w:sz="4" w:space="0" w:color="auto"/>
              <w:right w:val="single" w:sz="4" w:space="0" w:color="auto"/>
            </w:tcBorders>
            <w:shd w:val="clear" w:color="auto" w:fill="auto"/>
            <w:noWrap/>
            <w:vAlign w:val="center"/>
          </w:tcPr>
          <w:p w:rsidR="00887025" w:rsidRPr="009E4A00" w:rsidP="00D60F08" w14:paraId="4D4C4567" w14:textId="77777777">
            <w:pPr>
              <w:spacing w:line="240" w:lineRule="auto"/>
              <w:jc w:val="center"/>
              <w:rPr>
                <w:b/>
                <w:bCs/>
                <w:color w:val="000000"/>
              </w:rPr>
            </w:pPr>
            <w:r w:rsidRPr="009E4A00">
              <w:rPr>
                <w:b/>
                <w:bCs/>
                <w:color w:val="000000"/>
              </w:rPr>
              <w:t>16.5%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020F698C" w14:textId="77777777">
            <w:pPr>
              <w:spacing w:line="240" w:lineRule="auto"/>
              <w:jc w:val="center"/>
              <w:rPr>
                <w:color w:val="000000"/>
              </w:rPr>
            </w:pPr>
            <w:r w:rsidRPr="00C55918">
              <w:rPr>
                <w:color w:val="000000"/>
              </w:rPr>
              <w:t>0.6%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2450CD45" w14:textId="77777777">
            <w:pPr>
              <w:spacing w:line="240" w:lineRule="auto"/>
              <w:jc w:val="center"/>
              <w:rPr>
                <w:color w:val="000000"/>
              </w:rPr>
            </w:pPr>
            <w:r w:rsidRPr="00C55918">
              <w:rPr>
                <w:color w:val="000000"/>
              </w:rPr>
              <w:t>3.8%</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4ADF8664" w14:textId="77777777">
            <w:pPr>
              <w:spacing w:line="240" w:lineRule="auto"/>
              <w:jc w:val="center"/>
              <w:rPr>
                <w:color w:val="000000"/>
              </w:rPr>
            </w:pPr>
            <w:r w:rsidRPr="00C55918">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7C338F41" w14:textId="77777777">
            <w:pPr>
              <w:spacing w:line="240" w:lineRule="auto"/>
              <w:jc w:val="center"/>
              <w:rPr>
                <w:color w:val="000000"/>
              </w:rPr>
            </w:pPr>
            <w:r w:rsidRPr="00C55918">
              <w:rPr>
                <w:color w:val="000000"/>
              </w:rPr>
              <w:t>0.3%</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610BA427" w14:textId="77777777">
            <w:pPr>
              <w:spacing w:line="240" w:lineRule="auto"/>
              <w:jc w:val="center"/>
              <w:rPr>
                <w:color w:val="000000"/>
              </w:rPr>
            </w:pPr>
            <w:r w:rsidRPr="00C55918">
              <w:rPr>
                <w:color w:val="000000"/>
              </w:rPr>
              <w:t>3.1%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16A5499B" w14:textId="77777777">
            <w:pPr>
              <w:spacing w:line="240" w:lineRule="auto"/>
              <w:jc w:val="center"/>
              <w:rPr>
                <w:b/>
                <w:bCs/>
                <w:color w:val="000000"/>
              </w:rPr>
            </w:pPr>
            <w:r w:rsidRPr="009E4A00">
              <w:rPr>
                <w:b/>
                <w:bCs/>
                <w:color w:val="000000"/>
              </w:rPr>
              <w:t>21.4%</w:t>
            </w:r>
          </w:p>
        </w:tc>
        <w:tc>
          <w:tcPr>
            <w:tcW w:w="1383" w:type="dxa"/>
            <w:tcBorders>
              <w:top w:val="single" w:sz="4" w:space="0" w:color="auto"/>
              <w:left w:val="single" w:sz="4" w:space="0" w:color="auto"/>
              <w:bottom w:val="single" w:sz="4" w:space="0" w:color="auto"/>
              <w:right w:val="single" w:sz="4" w:space="0" w:color="auto"/>
            </w:tcBorders>
            <w:vAlign w:val="center"/>
          </w:tcPr>
          <w:p w:rsidR="00887025" w:rsidRPr="009E4A00" w:rsidP="00D60F08" w14:paraId="5E058630" w14:textId="77777777">
            <w:pPr>
              <w:spacing w:line="240" w:lineRule="auto"/>
              <w:jc w:val="center"/>
              <w:rPr>
                <w:b/>
                <w:bCs/>
                <w:color w:val="000000"/>
              </w:rPr>
            </w:pPr>
            <w:r w:rsidRPr="009E4A00">
              <w:rPr>
                <w:b/>
                <w:bCs/>
                <w:color w:val="000000"/>
              </w:rPr>
              <w:t>33.7%</w:t>
            </w:r>
          </w:p>
        </w:tc>
      </w:tr>
      <w:tr w14:paraId="79C3E13A" w14:textId="77777777" w:rsidTr="00D60F08">
        <w:tblPrEx>
          <w:tblW w:w="14861" w:type="dxa"/>
          <w:tblLook w:val="04A0"/>
        </w:tblPrEx>
        <w:trPr>
          <w:trHeight w:val="300"/>
        </w:trPr>
        <w:tc>
          <w:tcPr>
            <w:tcW w:w="1027" w:type="dxa"/>
            <w:vMerge/>
            <w:vAlign w:val="center"/>
          </w:tcPr>
          <w:p w:rsidR="00887025" w:rsidRPr="003165DF" w:rsidP="00D60F08" w14:paraId="500E335F" w14:textId="77777777">
            <w:pPr>
              <w:spacing w:line="240" w:lineRule="auto"/>
              <w:jc w:val="center"/>
              <w:rPr>
                <w:color w:val="000000"/>
              </w:rPr>
            </w:pPr>
          </w:p>
        </w:tc>
        <w:tc>
          <w:tcPr>
            <w:tcW w:w="983" w:type="dxa"/>
            <w:vMerge w:val="restart"/>
            <w:vAlign w:val="center"/>
          </w:tcPr>
          <w:p w:rsidR="00887025" w:rsidRPr="003165DF" w:rsidP="00D60F08" w14:paraId="4BD5A60B" w14:textId="77777777">
            <w:pPr>
              <w:spacing w:line="240" w:lineRule="auto"/>
              <w:jc w:val="center"/>
              <w:rPr>
                <w:color w:val="000000"/>
              </w:rPr>
            </w:pPr>
            <w:r>
              <w:rPr>
                <w:color w:val="000000"/>
              </w:rPr>
              <w:t>3</w:t>
            </w:r>
          </w:p>
        </w:tc>
        <w:tc>
          <w:tcPr>
            <w:tcW w:w="983" w:type="dxa"/>
            <w:vMerge w:val="restart"/>
            <w:vAlign w:val="center"/>
          </w:tcPr>
          <w:p w:rsidR="00887025" w:rsidRPr="003165DF" w:rsidP="00D60F08" w14:paraId="5E4FC85D" w14:textId="77777777">
            <w:pPr>
              <w:spacing w:line="240" w:lineRule="auto"/>
              <w:jc w:val="center"/>
              <w:rPr>
                <w:color w:val="000000"/>
              </w:rPr>
            </w:pPr>
            <w:r>
              <w:rPr>
                <w:color w:val="000000"/>
              </w:rPr>
              <w:t>1,178</w:t>
            </w:r>
          </w:p>
        </w:tc>
        <w:tc>
          <w:tcPr>
            <w:tcW w:w="950" w:type="dxa"/>
            <w:vAlign w:val="center"/>
          </w:tcPr>
          <w:p w:rsidR="00887025" w:rsidRPr="003165DF" w:rsidP="00D60F08" w14:paraId="35C685DB" w14:textId="77777777">
            <w:pPr>
              <w:spacing w:line="240" w:lineRule="auto"/>
              <w:jc w:val="center"/>
              <w:rPr>
                <w:color w:val="000000"/>
              </w:rPr>
            </w:pPr>
            <w:r w:rsidRPr="003165DF">
              <w:rPr>
                <w:color w:val="000000"/>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C265FC" w:rsidP="00D60F08" w14:paraId="1C09F5E2" w14:textId="77777777">
            <w:pPr>
              <w:spacing w:line="240" w:lineRule="auto"/>
              <w:jc w:val="right"/>
              <w:rPr>
                <w:color w:val="000000"/>
              </w:rPr>
            </w:pPr>
            <w:r w:rsidRPr="00B954BC">
              <w:rPr>
                <w:color w:val="000000"/>
              </w:rPr>
              <w:t>2,375,329</w:t>
            </w:r>
          </w:p>
        </w:tc>
        <w:tc>
          <w:tcPr>
            <w:tcW w:w="1184" w:type="dxa"/>
            <w:tcBorders>
              <w:top w:val="single" w:sz="4" w:space="0" w:color="auto"/>
              <w:left w:val="nil"/>
              <w:bottom w:val="single" w:sz="4" w:space="0" w:color="auto"/>
              <w:right w:val="single" w:sz="4" w:space="0" w:color="auto"/>
            </w:tcBorders>
            <w:shd w:val="clear" w:color="auto" w:fill="auto"/>
            <w:noWrap/>
            <w:vAlign w:val="center"/>
          </w:tcPr>
          <w:p w:rsidR="00887025" w:rsidRPr="009E4A00" w:rsidP="00D60F08" w14:paraId="452A91FA" w14:textId="77777777">
            <w:pPr>
              <w:spacing w:line="240" w:lineRule="auto"/>
              <w:jc w:val="center"/>
              <w:rPr>
                <w:b/>
                <w:bCs/>
                <w:color w:val="000000"/>
              </w:rPr>
            </w:pPr>
            <w:r w:rsidRPr="009E4A00">
              <w:rPr>
                <w:b/>
                <w:bCs/>
                <w:color w:val="000000"/>
              </w:rPr>
              <w:t>18.4%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0D2F0A7A" w14:textId="77777777">
            <w:pPr>
              <w:spacing w:line="240" w:lineRule="auto"/>
              <w:jc w:val="center"/>
              <w:rPr>
                <w:color w:val="000000"/>
              </w:rPr>
            </w:pPr>
            <w:r w:rsidRPr="00C55918">
              <w:rPr>
                <w:color w:val="000000"/>
              </w:rPr>
              <w:t>0.5%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60B197F3" w14:textId="77777777">
            <w:pPr>
              <w:spacing w:line="240" w:lineRule="auto"/>
              <w:jc w:val="center"/>
              <w:rPr>
                <w:color w:val="000000"/>
              </w:rPr>
            </w:pPr>
            <w:r w:rsidRPr="00C55918">
              <w:rPr>
                <w:color w:val="000000"/>
              </w:rPr>
              <w:t>4</w:t>
            </w:r>
            <w:r>
              <w:rPr>
                <w:color w:val="000000"/>
              </w:rPr>
              <w:t>.0</w:t>
            </w:r>
            <w:r w:rsidRPr="00C5591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181F36DF" w14:textId="77777777">
            <w:pPr>
              <w:spacing w:line="240" w:lineRule="auto"/>
              <w:jc w:val="center"/>
              <w:rPr>
                <w:color w:val="000000"/>
              </w:rPr>
            </w:pPr>
            <w:r w:rsidRPr="00C55918">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0088CA94" w14:textId="77777777">
            <w:pPr>
              <w:spacing w:line="240" w:lineRule="auto"/>
              <w:jc w:val="center"/>
              <w:rPr>
                <w:color w:val="000000"/>
              </w:rPr>
            </w:pPr>
            <w:r w:rsidRPr="00C55918">
              <w:rPr>
                <w:color w:val="000000"/>
              </w:rPr>
              <w:t>0.4%</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1AD040C5" w14:textId="77777777">
            <w:pPr>
              <w:spacing w:line="240" w:lineRule="auto"/>
              <w:jc w:val="center"/>
              <w:rPr>
                <w:color w:val="000000"/>
              </w:rPr>
            </w:pPr>
            <w:r w:rsidRPr="00C55918">
              <w:rPr>
                <w:color w:val="000000"/>
              </w:rPr>
              <w:t>3.2%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42519777" w14:textId="77777777">
            <w:pPr>
              <w:spacing w:line="240" w:lineRule="auto"/>
              <w:jc w:val="center"/>
              <w:rPr>
                <w:b/>
                <w:bCs/>
                <w:color w:val="000000"/>
              </w:rPr>
            </w:pPr>
            <w:r w:rsidRPr="009E4A00">
              <w:rPr>
                <w:b/>
                <w:bCs/>
                <w:color w:val="000000"/>
              </w:rPr>
              <w:t>27.4%</w:t>
            </w:r>
          </w:p>
        </w:tc>
        <w:tc>
          <w:tcPr>
            <w:tcW w:w="1383" w:type="dxa"/>
            <w:tcBorders>
              <w:top w:val="single" w:sz="4" w:space="0" w:color="auto"/>
              <w:left w:val="single" w:sz="4" w:space="0" w:color="auto"/>
              <w:bottom w:val="single" w:sz="4" w:space="0" w:color="auto"/>
              <w:right w:val="single" w:sz="4" w:space="0" w:color="auto"/>
            </w:tcBorders>
            <w:vAlign w:val="center"/>
          </w:tcPr>
          <w:p w:rsidR="00887025" w:rsidRPr="009E4A00" w:rsidP="00D60F08" w14:paraId="4F2C83AA" w14:textId="77777777">
            <w:pPr>
              <w:spacing w:line="240" w:lineRule="auto"/>
              <w:jc w:val="center"/>
              <w:rPr>
                <w:b/>
                <w:bCs/>
                <w:color w:val="000000"/>
              </w:rPr>
            </w:pPr>
            <w:r w:rsidRPr="009E4A00">
              <w:rPr>
                <w:b/>
                <w:bCs/>
                <w:color w:val="000000"/>
              </w:rPr>
              <w:t>40.8%</w:t>
            </w:r>
          </w:p>
        </w:tc>
      </w:tr>
      <w:tr w14:paraId="2EE4AC4A" w14:textId="77777777" w:rsidTr="00D60F08">
        <w:tblPrEx>
          <w:tblW w:w="14861" w:type="dxa"/>
          <w:tblLook w:val="04A0"/>
        </w:tblPrEx>
        <w:trPr>
          <w:trHeight w:val="300"/>
        </w:trPr>
        <w:tc>
          <w:tcPr>
            <w:tcW w:w="1027" w:type="dxa"/>
            <w:vMerge/>
            <w:vAlign w:val="center"/>
          </w:tcPr>
          <w:p w:rsidR="00887025" w:rsidRPr="003165DF" w:rsidP="00D60F08" w14:paraId="6AA4716B" w14:textId="77777777">
            <w:pPr>
              <w:spacing w:line="240" w:lineRule="auto"/>
              <w:jc w:val="center"/>
              <w:rPr>
                <w:color w:val="000000"/>
              </w:rPr>
            </w:pPr>
          </w:p>
        </w:tc>
        <w:tc>
          <w:tcPr>
            <w:tcW w:w="983" w:type="dxa"/>
            <w:vMerge/>
            <w:vAlign w:val="center"/>
          </w:tcPr>
          <w:p w:rsidR="00887025" w:rsidRPr="003165DF" w:rsidP="00D60F08" w14:paraId="419FFFBF" w14:textId="77777777">
            <w:pPr>
              <w:spacing w:line="240" w:lineRule="auto"/>
              <w:jc w:val="center"/>
              <w:rPr>
                <w:color w:val="000000"/>
              </w:rPr>
            </w:pPr>
          </w:p>
        </w:tc>
        <w:tc>
          <w:tcPr>
            <w:tcW w:w="983" w:type="dxa"/>
            <w:vMerge/>
            <w:vAlign w:val="center"/>
          </w:tcPr>
          <w:p w:rsidR="00887025" w:rsidRPr="003165DF" w:rsidP="00D60F08" w14:paraId="32230F1D" w14:textId="77777777">
            <w:pPr>
              <w:spacing w:line="240" w:lineRule="auto"/>
              <w:jc w:val="center"/>
              <w:rPr>
                <w:color w:val="000000"/>
              </w:rPr>
            </w:pPr>
          </w:p>
        </w:tc>
        <w:tc>
          <w:tcPr>
            <w:tcW w:w="950" w:type="dxa"/>
            <w:vAlign w:val="center"/>
          </w:tcPr>
          <w:p w:rsidR="00887025" w:rsidRPr="003165DF" w:rsidP="00D60F08" w14:paraId="0607A561" w14:textId="77777777">
            <w:pPr>
              <w:spacing w:line="240" w:lineRule="auto"/>
              <w:jc w:val="center"/>
              <w:rPr>
                <w:color w:val="000000"/>
              </w:rPr>
            </w:pPr>
            <w:r w:rsidRPr="003165DF">
              <w:rPr>
                <w:color w:val="000000"/>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C265FC" w:rsidP="00D60F08" w14:paraId="6E60258B" w14:textId="77777777">
            <w:pPr>
              <w:spacing w:line="240" w:lineRule="auto"/>
              <w:jc w:val="right"/>
              <w:rPr>
                <w:color w:val="000000"/>
              </w:rPr>
            </w:pPr>
            <w:r w:rsidRPr="00B954BC">
              <w:rPr>
                <w:color w:val="000000"/>
              </w:rPr>
              <w:t>14,672,843</w:t>
            </w:r>
          </w:p>
        </w:tc>
        <w:tc>
          <w:tcPr>
            <w:tcW w:w="1184" w:type="dxa"/>
            <w:tcBorders>
              <w:top w:val="single" w:sz="4" w:space="0" w:color="auto"/>
              <w:left w:val="nil"/>
              <w:bottom w:val="single" w:sz="4" w:space="0" w:color="auto"/>
              <w:right w:val="single" w:sz="4" w:space="0" w:color="auto"/>
            </w:tcBorders>
            <w:shd w:val="clear" w:color="auto" w:fill="auto"/>
            <w:noWrap/>
            <w:vAlign w:val="center"/>
          </w:tcPr>
          <w:p w:rsidR="00887025" w:rsidRPr="009E4A00" w:rsidP="00D60F08" w14:paraId="798D453F" w14:textId="77777777">
            <w:pPr>
              <w:spacing w:line="240" w:lineRule="auto"/>
              <w:jc w:val="center"/>
              <w:rPr>
                <w:b/>
                <w:bCs/>
                <w:color w:val="000000"/>
              </w:rPr>
            </w:pPr>
            <w:r w:rsidRPr="009E4A00">
              <w:rPr>
                <w:b/>
                <w:bCs/>
                <w:color w:val="000000"/>
              </w:rPr>
              <w:t>12.8%</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3BA6768D" w14:textId="77777777">
            <w:pPr>
              <w:spacing w:line="240" w:lineRule="auto"/>
              <w:jc w:val="center"/>
              <w:rPr>
                <w:color w:val="000000"/>
              </w:rPr>
            </w:pPr>
            <w:r w:rsidRPr="00C55918">
              <w:rPr>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7C1ED204" w14:textId="77777777">
            <w:pPr>
              <w:spacing w:line="240" w:lineRule="auto"/>
              <w:jc w:val="center"/>
              <w:rPr>
                <w:color w:val="000000"/>
              </w:rPr>
            </w:pPr>
            <w:r w:rsidRPr="00C55918">
              <w:rPr>
                <w:color w:val="000000"/>
              </w:rPr>
              <w:t>5.5%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456BD8A4" w14:textId="77777777">
            <w:pPr>
              <w:spacing w:line="240" w:lineRule="auto"/>
              <w:jc w:val="center"/>
              <w:rPr>
                <w:b/>
                <w:bCs/>
                <w:color w:val="000000"/>
              </w:rPr>
            </w:pPr>
            <w:r w:rsidRPr="009E4A00">
              <w:rPr>
                <w:b/>
                <w:bCs/>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5562E8B7" w14:textId="77777777">
            <w:pPr>
              <w:spacing w:line="240" w:lineRule="auto"/>
              <w:jc w:val="center"/>
              <w:rPr>
                <w:color w:val="000000"/>
              </w:rPr>
            </w:pPr>
            <w:r w:rsidRPr="00C55918">
              <w:rPr>
                <w:color w:val="000000"/>
              </w:rPr>
              <w:t>0.3%</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4E8685DA" w14:textId="77777777">
            <w:pPr>
              <w:spacing w:line="240" w:lineRule="auto"/>
              <w:jc w:val="center"/>
              <w:rPr>
                <w:b/>
                <w:bCs/>
                <w:color w:val="000000"/>
              </w:rPr>
            </w:pPr>
            <w:r w:rsidRPr="009E4A00">
              <w:rPr>
                <w:b/>
                <w:bCs/>
                <w:color w:val="000000"/>
              </w:rPr>
              <w:t>3.5%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19C9E014" w14:textId="77777777">
            <w:pPr>
              <w:spacing w:line="240" w:lineRule="auto"/>
              <w:jc w:val="center"/>
              <w:rPr>
                <w:b/>
                <w:bCs/>
                <w:color w:val="000000"/>
              </w:rPr>
            </w:pPr>
            <w:r w:rsidRPr="009E4A00">
              <w:rPr>
                <w:b/>
                <w:bCs/>
                <w:color w:val="000000"/>
              </w:rPr>
              <w:t>22.9%</w:t>
            </w:r>
          </w:p>
        </w:tc>
        <w:tc>
          <w:tcPr>
            <w:tcW w:w="1383" w:type="dxa"/>
            <w:tcBorders>
              <w:top w:val="single" w:sz="4" w:space="0" w:color="auto"/>
              <w:left w:val="single" w:sz="4" w:space="0" w:color="auto"/>
              <w:bottom w:val="single" w:sz="4" w:space="0" w:color="auto"/>
              <w:right w:val="single" w:sz="4" w:space="0" w:color="auto"/>
            </w:tcBorders>
            <w:vAlign w:val="center"/>
          </w:tcPr>
          <w:p w:rsidR="00887025" w:rsidRPr="009E4A00" w:rsidP="00D60F08" w14:paraId="70A6179C" w14:textId="77777777">
            <w:pPr>
              <w:spacing w:line="240" w:lineRule="auto"/>
              <w:jc w:val="center"/>
              <w:rPr>
                <w:b/>
                <w:bCs/>
                <w:color w:val="000000"/>
              </w:rPr>
            </w:pPr>
            <w:r w:rsidRPr="009E4A00">
              <w:rPr>
                <w:b/>
                <w:bCs/>
                <w:color w:val="000000"/>
              </w:rPr>
              <w:t>32.6%</w:t>
            </w:r>
          </w:p>
        </w:tc>
      </w:tr>
      <w:tr w14:paraId="7C041CFB" w14:textId="77777777" w:rsidTr="00D60F08">
        <w:tblPrEx>
          <w:tblW w:w="14861" w:type="dxa"/>
          <w:tblLook w:val="04A0"/>
        </w:tblPrEx>
        <w:trPr>
          <w:trHeight w:val="300"/>
        </w:trPr>
        <w:tc>
          <w:tcPr>
            <w:tcW w:w="1027" w:type="dxa"/>
            <w:vMerge w:val="restart"/>
            <w:vAlign w:val="center"/>
          </w:tcPr>
          <w:p w:rsidR="00887025" w:rsidRPr="003165DF" w:rsidP="00D60F08" w14:paraId="15B26D06" w14:textId="77777777">
            <w:pPr>
              <w:spacing w:line="240" w:lineRule="auto"/>
              <w:rPr>
                <w:color w:val="000000"/>
              </w:rPr>
            </w:pPr>
            <w:r w:rsidRPr="003165DF">
              <w:rPr>
                <w:color w:val="000000"/>
              </w:rPr>
              <w:t>All active facilities</w:t>
            </w:r>
          </w:p>
        </w:tc>
        <w:tc>
          <w:tcPr>
            <w:tcW w:w="983" w:type="dxa"/>
            <w:vMerge w:val="restart"/>
            <w:vAlign w:val="center"/>
          </w:tcPr>
          <w:p w:rsidR="00887025" w:rsidRPr="003165DF" w:rsidP="00D60F08" w14:paraId="790D465C" w14:textId="77777777">
            <w:pPr>
              <w:spacing w:line="240" w:lineRule="auto"/>
              <w:jc w:val="center"/>
              <w:rPr>
                <w:color w:val="000000"/>
              </w:rPr>
            </w:pPr>
            <w:r>
              <w:rPr>
                <w:color w:val="000000"/>
              </w:rPr>
              <w:t>1</w:t>
            </w:r>
          </w:p>
        </w:tc>
        <w:tc>
          <w:tcPr>
            <w:tcW w:w="983" w:type="dxa"/>
            <w:vMerge w:val="restart"/>
            <w:vAlign w:val="center"/>
          </w:tcPr>
          <w:p w:rsidR="00887025" w:rsidRPr="003165DF" w:rsidP="00D60F08" w14:paraId="0D5126B2" w14:textId="77777777">
            <w:pPr>
              <w:spacing w:line="240" w:lineRule="auto"/>
              <w:jc w:val="center"/>
              <w:rPr>
                <w:color w:val="000000"/>
              </w:rPr>
            </w:pPr>
            <w:r>
              <w:rPr>
                <w:color w:val="000000"/>
              </w:rPr>
              <w:t>161</w:t>
            </w:r>
          </w:p>
        </w:tc>
        <w:tc>
          <w:tcPr>
            <w:tcW w:w="950" w:type="dxa"/>
            <w:vAlign w:val="center"/>
          </w:tcPr>
          <w:p w:rsidR="00887025" w:rsidRPr="003165DF" w:rsidP="00D60F08" w14:paraId="7D462419" w14:textId="77777777">
            <w:pPr>
              <w:spacing w:line="240" w:lineRule="auto"/>
              <w:jc w:val="center"/>
              <w:rPr>
                <w:color w:val="000000"/>
              </w:rPr>
            </w:pPr>
            <w:r w:rsidRPr="003165DF">
              <w:rPr>
                <w:color w:val="000000"/>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C265FC" w:rsidP="00D60F08" w14:paraId="06E3BE15" w14:textId="77777777">
            <w:pPr>
              <w:spacing w:line="240" w:lineRule="auto"/>
              <w:jc w:val="right"/>
              <w:rPr>
                <w:color w:val="000000"/>
              </w:rPr>
            </w:pPr>
            <w:r w:rsidRPr="00B954BC">
              <w:rPr>
                <w:color w:val="000000"/>
              </w:rPr>
              <w:t>1,947,659</w:t>
            </w:r>
          </w:p>
        </w:tc>
        <w:tc>
          <w:tcPr>
            <w:tcW w:w="1184" w:type="dxa"/>
            <w:tcBorders>
              <w:top w:val="single" w:sz="4" w:space="0" w:color="auto"/>
              <w:left w:val="nil"/>
              <w:bottom w:val="single" w:sz="4" w:space="0" w:color="auto"/>
              <w:right w:val="single" w:sz="4" w:space="0" w:color="auto"/>
            </w:tcBorders>
            <w:shd w:val="clear" w:color="auto" w:fill="auto"/>
            <w:noWrap/>
            <w:vAlign w:val="center"/>
          </w:tcPr>
          <w:p w:rsidR="00887025" w:rsidRPr="009E4A00" w:rsidP="00D60F08" w14:paraId="69FFEDCA" w14:textId="77777777">
            <w:pPr>
              <w:spacing w:line="240" w:lineRule="auto"/>
              <w:jc w:val="center"/>
              <w:rPr>
                <w:b/>
                <w:bCs/>
                <w:color w:val="000000"/>
              </w:rPr>
            </w:pPr>
            <w:r w:rsidRPr="009E4A00">
              <w:rPr>
                <w:b/>
                <w:bCs/>
                <w:color w:val="000000"/>
              </w:rPr>
              <w:t>18.1%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1A524723" w14:textId="77777777">
            <w:pPr>
              <w:spacing w:line="240" w:lineRule="auto"/>
              <w:jc w:val="center"/>
              <w:rPr>
                <w:color w:val="000000"/>
              </w:rPr>
            </w:pPr>
            <w:r w:rsidRPr="00C55918">
              <w:rPr>
                <w:color w:val="000000"/>
              </w:rPr>
              <w:t>0.3%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617FBAA4" w14:textId="77777777">
            <w:pPr>
              <w:spacing w:line="240" w:lineRule="auto"/>
              <w:jc w:val="center"/>
              <w:rPr>
                <w:color w:val="000000"/>
              </w:rPr>
            </w:pPr>
            <w:r w:rsidRPr="00C55918">
              <w:rPr>
                <w:color w:val="000000"/>
              </w:rPr>
              <w:t>4.2%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7C2816DE" w14:textId="77777777">
            <w:pPr>
              <w:spacing w:line="240" w:lineRule="auto"/>
              <w:jc w:val="center"/>
              <w:rPr>
                <w:color w:val="000000"/>
              </w:rPr>
            </w:pPr>
            <w:r w:rsidRPr="00C55918">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29023511" w14:textId="77777777">
            <w:pPr>
              <w:spacing w:line="240" w:lineRule="auto"/>
              <w:jc w:val="center"/>
              <w:rPr>
                <w:color w:val="000000"/>
              </w:rPr>
            </w:pPr>
            <w:r w:rsidRPr="00C55918">
              <w:rPr>
                <w:color w:val="000000"/>
              </w:rPr>
              <w:t>0.3%</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54BA8EBD" w14:textId="77777777">
            <w:pPr>
              <w:spacing w:line="240" w:lineRule="auto"/>
              <w:jc w:val="center"/>
              <w:rPr>
                <w:color w:val="000000"/>
              </w:rPr>
            </w:pPr>
            <w:r w:rsidRPr="00C55918">
              <w:rPr>
                <w:color w:val="000000"/>
              </w:rPr>
              <w:t>2.6%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1402C008" w14:textId="77777777">
            <w:pPr>
              <w:spacing w:line="240" w:lineRule="auto"/>
              <w:jc w:val="center"/>
              <w:rPr>
                <w:b/>
                <w:bCs/>
                <w:color w:val="000000"/>
              </w:rPr>
            </w:pPr>
            <w:r w:rsidRPr="009E4A00">
              <w:rPr>
                <w:b/>
                <w:bCs/>
                <w:color w:val="000000"/>
              </w:rPr>
              <w:t>33.3%</w:t>
            </w:r>
          </w:p>
        </w:tc>
        <w:tc>
          <w:tcPr>
            <w:tcW w:w="1383" w:type="dxa"/>
            <w:tcBorders>
              <w:top w:val="single" w:sz="4" w:space="0" w:color="auto"/>
              <w:left w:val="single" w:sz="4" w:space="0" w:color="auto"/>
              <w:bottom w:val="single" w:sz="4" w:space="0" w:color="auto"/>
              <w:right w:val="single" w:sz="4" w:space="0" w:color="auto"/>
            </w:tcBorders>
            <w:vAlign w:val="center"/>
          </w:tcPr>
          <w:p w:rsidR="00887025" w:rsidRPr="009E4A00" w:rsidP="00D60F08" w14:paraId="488D9E70" w14:textId="77777777">
            <w:pPr>
              <w:spacing w:line="240" w:lineRule="auto"/>
              <w:jc w:val="center"/>
              <w:rPr>
                <w:b/>
                <w:bCs/>
                <w:color w:val="000000"/>
              </w:rPr>
            </w:pPr>
            <w:r w:rsidRPr="009E4A00">
              <w:rPr>
                <w:b/>
                <w:bCs/>
                <w:color w:val="000000"/>
              </w:rPr>
              <w:t>37.9%</w:t>
            </w:r>
          </w:p>
        </w:tc>
      </w:tr>
      <w:tr w14:paraId="083B1747" w14:textId="77777777" w:rsidTr="00D60F08">
        <w:tblPrEx>
          <w:tblW w:w="14861" w:type="dxa"/>
          <w:tblLook w:val="04A0"/>
        </w:tblPrEx>
        <w:trPr>
          <w:trHeight w:val="300"/>
        </w:trPr>
        <w:tc>
          <w:tcPr>
            <w:tcW w:w="1027" w:type="dxa"/>
            <w:vMerge/>
          </w:tcPr>
          <w:p w:rsidR="00887025" w:rsidRPr="003165DF" w:rsidP="00D60F08" w14:paraId="44D8B169" w14:textId="77777777">
            <w:pPr>
              <w:spacing w:line="240" w:lineRule="auto"/>
              <w:jc w:val="center"/>
              <w:rPr>
                <w:color w:val="000000"/>
              </w:rPr>
            </w:pPr>
          </w:p>
        </w:tc>
        <w:tc>
          <w:tcPr>
            <w:tcW w:w="983" w:type="dxa"/>
            <w:vMerge/>
            <w:vAlign w:val="center"/>
          </w:tcPr>
          <w:p w:rsidR="00887025" w:rsidRPr="003165DF" w:rsidP="00D60F08" w14:paraId="481AD619" w14:textId="77777777">
            <w:pPr>
              <w:spacing w:line="240" w:lineRule="auto"/>
              <w:jc w:val="center"/>
              <w:rPr>
                <w:color w:val="000000"/>
              </w:rPr>
            </w:pPr>
          </w:p>
        </w:tc>
        <w:tc>
          <w:tcPr>
            <w:tcW w:w="983" w:type="dxa"/>
            <w:vMerge/>
            <w:vAlign w:val="center"/>
          </w:tcPr>
          <w:p w:rsidR="00887025" w:rsidRPr="003165DF" w:rsidP="00D60F08" w14:paraId="48944576" w14:textId="77777777">
            <w:pPr>
              <w:spacing w:line="240" w:lineRule="auto"/>
              <w:jc w:val="center"/>
              <w:rPr>
                <w:color w:val="000000"/>
              </w:rPr>
            </w:pPr>
          </w:p>
        </w:tc>
        <w:tc>
          <w:tcPr>
            <w:tcW w:w="950" w:type="dxa"/>
            <w:vAlign w:val="center"/>
          </w:tcPr>
          <w:p w:rsidR="00887025" w:rsidRPr="003165DF" w:rsidP="00D60F08" w14:paraId="7B39AB89" w14:textId="77777777">
            <w:pPr>
              <w:spacing w:line="240" w:lineRule="auto"/>
              <w:jc w:val="center"/>
              <w:rPr>
                <w:color w:val="000000"/>
              </w:rPr>
            </w:pPr>
            <w:r w:rsidRPr="003165DF">
              <w:rPr>
                <w:color w:val="000000"/>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C265FC" w:rsidP="00D60F08" w14:paraId="6E76A7A5" w14:textId="77777777">
            <w:pPr>
              <w:spacing w:line="240" w:lineRule="auto"/>
              <w:jc w:val="right"/>
              <w:rPr>
                <w:color w:val="000000"/>
              </w:rPr>
            </w:pPr>
            <w:r w:rsidRPr="00B954BC">
              <w:rPr>
                <w:color w:val="000000"/>
              </w:rPr>
              <w:t>49,999,348</w:t>
            </w:r>
          </w:p>
        </w:tc>
        <w:tc>
          <w:tcPr>
            <w:tcW w:w="1184" w:type="dxa"/>
            <w:tcBorders>
              <w:top w:val="single" w:sz="4" w:space="0" w:color="auto"/>
              <w:left w:val="nil"/>
              <w:bottom w:val="single" w:sz="4" w:space="0" w:color="auto"/>
              <w:right w:val="single" w:sz="4" w:space="0" w:color="auto"/>
            </w:tcBorders>
            <w:shd w:val="clear" w:color="auto" w:fill="auto"/>
            <w:noWrap/>
            <w:vAlign w:val="center"/>
          </w:tcPr>
          <w:p w:rsidR="00887025" w:rsidRPr="009E4A00" w:rsidP="00D60F08" w14:paraId="590A4EF7" w14:textId="77777777">
            <w:pPr>
              <w:spacing w:line="240" w:lineRule="auto"/>
              <w:jc w:val="center"/>
              <w:rPr>
                <w:b/>
                <w:bCs/>
                <w:color w:val="000000"/>
              </w:rPr>
            </w:pPr>
            <w:r w:rsidRPr="009E4A00">
              <w:rPr>
                <w:b/>
                <w:bCs/>
                <w:color w:val="000000"/>
              </w:rPr>
              <w:t>18.1%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7B843477" w14:textId="77777777">
            <w:pPr>
              <w:spacing w:line="240" w:lineRule="auto"/>
              <w:jc w:val="center"/>
              <w:rPr>
                <w:color w:val="000000"/>
              </w:rPr>
            </w:pPr>
            <w:r w:rsidRPr="00C55918">
              <w:rPr>
                <w:color w:val="000000"/>
              </w:rPr>
              <w:t>0.3%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19DDB829" w14:textId="77777777">
            <w:pPr>
              <w:spacing w:line="240" w:lineRule="auto"/>
              <w:jc w:val="center"/>
              <w:rPr>
                <w:b/>
                <w:bCs/>
                <w:color w:val="000000"/>
              </w:rPr>
            </w:pPr>
            <w:r w:rsidRPr="009E4A00">
              <w:rPr>
                <w:b/>
                <w:bCs/>
                <w:color w:val="000000"/>
              </w:rPr>
              <w:t>7.8%</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69EECB58" w14:textId="77777777">
            <w:pPr>
              <w:spacing w:line="240" w:lineRule="auto"/>
              <w:jc w:val="center"/>
              <w:rPr>
                <w:color w:val="000000"/>
              </w:rPr>
            </w:pPr>
            <w:r w:rsidRPr="00C55918">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08FBCFA1" w14:textId="77777777">
            <w:pPr>
              <w:spacing w:line="240" w:lineRule="auto"/>
              <w:jc w:val="center"/>
              <w:rPr>
                <w:color w:val="000000"/>
              </w:rPr>
            </w:pPr>
            <w:r w:rsidRPr="00C55918">
              <w:rPr>
                <w:color w:val="000000"/>
              </w:rPr>
              <w:t>0.3%</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3F59131A" w14:textId="77777777">
            <w:pPr>
              <w:spacing w:line="240" w:lineRule="auto"/>
              <w:jc w:val="center"/>
              <w:rPr>
                <w:color w:val="000000"/>
              </w:rPr>
            </w:pPr>
            <w:r w:rsidRPr="00C55918">
              <w:rPr>
                <w:color w:val="000000"/>
              </w:rPr>
              <w:t>3</w:t>
            </w:r>
            <w:r>
              <w:rPr>
                <w:color w:val="000000"/>
              </w:rPr>
              <w:t>.0</w:t>
            </w:r>
            <w:r w:rsidRPr="00C55918">
              <w:rPr>
                <w:color w:val="00000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573EAE73" w14:textId="77777777">
            <w:pPr>
              <w:spacing w:line="240" w:lineRule="auto"/>
              <w:jc w:val="center"/>
              <w:rPr>
                <w:b/>
                <w:bCs/>
                <w:color w:val="000000"/>
              </w:rPr>
            </w:pPr>
            <w:r w:rsidRPr="009E4A00">
              <w:rPr>
                <w:b/>
                <w:bCs/>
                <w:color w:val="000000"/>
              </w:rPr>
              <w:t>29.3%</w:t>
            </w:r>
          </w:p>
        </w:tc>
        <w:tc>
          <w:tcPr>
            <w:tcW w:w="1383" w:type="dxa"/>
            <w:tcBorders>
              <w:top w:val="single" w:sz="4" w:space="0" w:color="auto"/>
              <w:left w:val="single" w:sz="4" w:space="0" w:color="auto"/>
              <w:bottom w:val="single" w:sz="4" w:space="0" w:color="auto"/>
              <w:right w:val="single" w:sz="4" w:space="0" w:color="auto"/>
            </w:tcBorders>
            <w:vAlign w:val="center"/>
          </w:tcPr>
          <w:p w:rsidR="00887025" w:rsidRPr="009E4A00" w:rsidP="00D60F08" w14:paraId="1AB76219" w14:textId="77777777">
            <w:pPr>
              <w:spacing w:line="240" w:lineRule="auto"/>
              <w:jc w:val="center"/>
              <w:rPr>
                <w:b/>
                <w:bCs/>
                <w:color w:val="000000"/>
              </w:rPr>
            </w:pPr>
            <w:r w:rsidRPr="009E4A00">
              <w:rPr>
                <w:b/>
                <w:bCs/>
                <w:color w:val="000000"/>
              </w:rPr>
              <w:t>33.5%</w:t>
            </w:r>
          </w:p>
        </w:tc>
      </w:tr>
      <w:tr w14:paraId="398E97A9" w14:textId="77777777" w:rsidTr="00D60F08">
        <w:tblPrEx>
          <w:tblW w:w="14861" w:type="dxa"/>
          <w:tblLook w:val="04A0"/>
        </w:tblPrEx>
        <w:trPr>
          <w:trHeight w:val="300"/>
        </w:trPr>
        <w:tc>
          <w:tcPr>
            <w:tcW w:w="1027" w:type="dxa"/>
            <w:vMerge/>
          </w:tcPr>
          <w:p w:rsidR="00887025" w:rsidP="00D60F08" w14:paraId="5DF8A920" w14:textId="77777777">
            <w:pPr>
              <w:spacing w:line="240" w:lineRule="auto"/>
              <w:jc w:val="center"/>
              <w:rPr>
                <w:color w:val="000000"/>
              </w:rPr>
            </w:pPr>
          </w:p>
        </w:tc>
        <w:tc>
          <w:tcPr>
            <w:tcW w:w="983" w:type="dxa"/>
            <w:vMerge w:val="restart"/>
            <w:vAlign w:val="center"/>
          </w:tcPr>
          <w:p w:rsidR="00887025" w:rsidRPr="003165DF" w:rsidP="00D60F08" w14:paraId="277D2285" w14:textId="77777777">
            <w:pPr>
              <w:spacing w:line="240" w:lineRule="auto"/>
              <w:jc w:val="center"/>
              <w:rPr>
                <w:color w:val="000000"/>
              </w:rPr>
            </w:pPr>
            <w:r>
              <w:rPr>
                <w:color w:val="000000"/>
              </w:rPr>
              <w:t>2</w:t>
            </w:r>
          </w:p>
        </w:tc>
        <w:tc>
          <w:tcPr>
            <w:tcW w:w="983" w:type="dxa"/>
            <w:vMerge w:val="restart"/>
            <w:vAlign w:val="center"/>
          </w:tcPr>
          <w:p w:rsidR="00887025" w:rsidRPr="003165DF" w:rsidP="00D60F08" w14:paraId="06A1FF64" w14:textId="77777777">
            <w:pPr>
              <w:spacing w:line="240" w:lineRule="auto"/>
              <w:jc w:val="center"/>
              <w:rPr>
                <w:color w:val="000000"/>
              </w:rPr>
            </w:pPr>
            <w:r>
              <w:rPr>
                <w:color w:val="000000"/>
              </w:rPr>
              <w:t>3,073</w:t>
            </w:r>
          </w:p>
        </w:tc>
        <w:tc>
          <w:tcPr>
            <w:tcW w:w="950" w:type="dxa"/>
            <w:vAlign w:val="center"/>
          </w:tcPr>
          <w:p w:rsidR="00887025" w:rsidRPr="005E4F9C" w:rsidP="00D60F08" w14:paraId="0FCF6637" w14:textId="77777777">
            <w:pPr>
              <w:spacing w:line="240" w:lineRule="auto"/>
              <w:jc w:val="center"/>
              <w:rPr>
                <w:color w:val="000000"/>
              </w:rPr>
            </w:pPr>
            <w:r w:rsidRPr="003165DF">
              <w:rPr>
                <w:color w:val="000000"/>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C265FC" w:rsidP="00D60F08" w14:paraId="2290F904" w14:textId="77777777">
            <w:pPr>
              <w:spacing w:line="240" w:lineRule="auto"/>
              <w:jc w:val="right"/>
              <w:rPr>
                <w:color w:val="000000"/>
              </w:rPr>
            </w:pPr>
            <w:r w:rsidRPr="00B954BC">
              <w:rPr>
                <w:color w:val="000000"/>
              </w:rPr>
              <w:t>7,025,577</w:t>
            </w:r>
          </w:p>
        </w:tc>
        <w:tc>
          <w:tcPr>
            <w:tcW w:w="1184" w:type="dxa"/>
            <w:tcBorders>
              <w:top w:val="single" w:sz="4" w:space="0" w:color="auto"/>
              <w:left w:val="nil"/>
              <w:bottom w:val="single" w:sz="4" w:space="0" w:color="auto"/>
              <w:right w:val="single" w:sz="4" w:space="0" w:color="auto"/>
            </w:tcBorders>
            <w:shd w:val="clear" w:color="auto" w:fill="auto"/>
            <w:noWrap/>
            <w:vAlign w:val="center"/>
          </w:tcPr>
          <w:p w:rsidR="00887025" w:rsidRPr="009E4A00" w:rsidP="00D60F08" w14:paraId="2EADC84D" w14:textId="77777777">
            <w:pPr>
              <w:spacing w:line="240" w:lineRule="auto"/>
              <w:jc w:val="center"/>
              <w:rPr>
                <w:b/>
                <w:bCs/>
                <w:color w:val="000000"/>
              </w:rPr>
            </w:pPr>
            <w:r w:rsidRPr="009E4A00">
              <w:rPr>
                <w:b/>
                <w:bCs/>
                <w:color w:val="000000"/>
              </w:rPr>
              <w:t>14.6%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5BE9EE24" w14:textId="77777777">
            <w:pPr>
              <w:spacing w:line="240" w:lineRule="auto"/>
              <w:jc w:val="center"/>
              <w:rPr>
                <w:color w:val="000000"/>
              </w:rPr>
            </w:pPr>
            <w:r w:rsidRPr="00C55918">
              <w:rPr>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3861AF73" w14:textId="77777777">
            <w:pPr>
              <w:spacing w:line="240" w:lineRule="auto"/>
              <w:jc w:val="center"/>
              <w:rPr>
                <w:color w:val="000000"/>
              </w:rPr>
            </w:pPr>
            <w:r w:rsidRPr="00C55918">
              <w:rPr>
                <w:color w:val="000000"/>
              </w:rPr>
              <w:t>4.1%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1694967D" w14:textId="77777777">
            <w:pPr>
              <w:spacing w:line="240" w:lineRule="auto"/>
              <w:jc w:val="center"/>
              <w:rPr>
                <w:color w:val="000000"/>
              </w:rPr>
            </w:pPr>
            <w:r w:rsidRPr="00C55918">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5D5DE65E" w14:textId="77777777">
            <w:pPr>
              <w:spacing w:line="240" w:lineRule="auto"/>
              <w:jc w:val="center"/>
              <w:rPr>
                <w:color w:val="000000"/>
              </w:rPr>
            </w:pPr>
            <w:r w:rsidRPr="00C55918">
              <w:rPr>
                <w:color w:val="000000"/>
              </w:rPr>
              <w:t>0.3%</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765B7D63" w14:textId="77777777">
            <w:pPr>
              <w:spacing w:line="240" w:lineRule="auto"/>
              <w:jc w:val="center"/>
              <w:rPr>
                <w:color w:val="000000"/>
              </w:rPr>
            </w:pPr>
            <w:r w:rsidRPr="00C55918">
              <w:rPr>
                <w:color w:val="000000"/>
              </w:rPr>
              <w:t>2.7%</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2EE6259E" w14:textId="77777777">
            <w:pPr>
              <w:spacing w:line="240" w:lineRule="auto"/>
              <w:jc w:val="center"/>
              <w:rPr>
                <w:b/>
                <w:bCs/>
                <w:color w:val="000000"/>
              </w:rPr>
            </w:pPr>
            <w:r w:rsidRPr="009E4A00">
              <w:rPr>
                <w:b/>
                <w:bCs/>
                <w:color w:val="000000"/>
              </w:rPr>
              <w:t>31.1%</w:t>
            </w:r>
          </w:p>
        </w:tc>
        <w:tc>
          <w:tcPr>
            <w:tcW w:w="1383" w:type="dxa"/>
            <w:tcBorders>
              <w:top w:val="single" w:sz="4" w:space="0" w:color="auto"/>
              <w:left w:val="single" w:sz="4" w:space="0" w:color="auto"/>
              <w:bottom w:val="single" w:sz="4" w:space="0" w:color="auto"/>
              <w:right w:val="single" w:sz="4" w:space="0" w:color="auto"/>
            </w:tcBorders>
            <w:vAlign w:val="center"/>
          </w:tcPr>
          <w:p w:rsidR="00887025" w:rsidRPr="009E4A00" w:rsidP="00D60F08" w14:paraId="4E3DF28B" w14:textId="77777777">
            <w:pPr>
              <w:spacing w:line="240" w:lineRule="auto"/>
              <w:jc w:val="center"/>
              <w:rPr>
                <w:b/>
                <w:bCs/>
                <w:color w:val="000000"/>
              </w:rPr>
            </w:pPr>
            <w:r w:rsidRPr="009E4A00">
              <w:rPr>
                <w:b/>
                <w:bCs/>
                <w:color w:val="000000"/>
              </w:rPr>
              <w:t>39.0%</w:t>
            </w:r>
          </w:p>
        </w:tc>
      </w:tr>
      <w:tr w14:paraId="6DA767FD" w14:textId="77777777" w:rsidTr="00D60F08">
        <w:tblPrEx>
          <w:tblW w:w="14861" w:type="dxa"/>
          <w:tblLook w:val="04A0"/>
        </w:tblPrEx>
        <w:trPr>
          <w:trHeight w:val="300"/>
        </w:trPr>
        <w:tc>
          <w:tcPr>
            <w:tcW w:w="1027" w:type="dxa"/>
            <w:vMerge/>
          </w:tcPr>
          <w:p w:rsidR="00887025" w:rsidRPr="003165DF" w:rsidP="00D60F08" w14:paraId="2E5D0E14" w14:textId="77777777">
            <w:pPr>
              <w:spacing w:line="240" w:lineRule="auto"/>
              <w:jc w:val="center"/>
              <w:rPr>
                <w:color w:val="000000"/>
              </w:rPr>
            </w:pPr>
          </w:p>
        </w:tc>
        <w:tc>
          <w:tcPr>
            <w:tcW w:w="983" w:type="dxa"/>
            <w:vMerge/>
            <w:vAlign w:val="center"/>
          </w:tcPr>
          <w:p w:rsidR="00887025" w:rsidRPr="003165DF" w:rsidP="00D60F08" w14:paraId="42F1ED62" w14:textId="77777777">
            <w:pPr>
              <w:spacing w:line="240" w:lineRule="auto"/>
              <w:jc w:val="center"/>
              <w:rPr>
                <w:color w:val="000000"/>
              </w:rPr>
            </w:pPr>
          </w:p>
        </w:tc>
        <w:tc>
          <w:tcPr>
            <w:tcW w:w="983" w:type="dxa"/>
            <w:vMerge/>
            <w:vAlign w:val="center"/>
          </w:tcPr>
          <w:p w:rsidR="00887025" w:rsidRPr="003165DF" w:rsidP="00D60F08" w14:paraId="562C9374" w14:textId="77777777">
            <w:pPr>
              <w:spacing w:line="240" w:lineRule="auto"/>
              <w:jc w:val="center"/>
              <w:rPr>
                <w:color w:val="000000"/>
              </w:rPr>
            </w:pPr>
          </w:p>
        </w:tc>
        <w:tc>
          <w:tcPr>
            <w:tcW w:w="950" w:type="dxa"/>
            <w:vAlign w:val="center"/>
          </w:tcPr>
          <w:p w:rsidR="00887025" w:rsidRPr="00734E8C" w:rsidP="00D60F08" w14:paraId="0721B497" w14:textId="77777777">
            <w:pPr>
              <w:spacing w:line="240" w:lineRule="auto"/>
              <w:jc w:val="center"/>
              <w:rPr>
                <w:color w:val="000000"/>
              </w:rPr>
            </w:pPr>
            <w:r w:rsidRPr="003165DF">
              <w:rPr>
                <w:color w:val="000000"/>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C265FC" w:rsidP="00D60F08" w14:paraId="3319CA77" w14:textId="77777777">
            <w:pPr>
              <w:spacing w:line="240" w:lineRule="auto"/>
              <w:jc w:val="right"/>
              <w:rPr>
                <w:color w:val="000000"/>
              </w:rPr>
            </w:pPr>
            <w:r w:rsidRPr="00B954BC">
              <w:rPr>
                <w:color w:val="000000"/>
              </w:rPr>
              <w:t>78,200,397</w:t>
            </w:r>
          </w:p>
        </w:tc>
        <w:tc>
          <w:tcPr>
            <w:tcW w:w="1184" w:type="dxa"/>
            <w:tcBorders>
              <w:top w:val="single" w:sz="4" w:space="0" w:color="auto"/>
              <w:left w:val="nil"/>
              <w:bottom w:val="single" w:sz="4" w:space="0" w:color="auto"/>
              <w:right w:val="single" w:sz="4" w:space="0" w:color="auto"/>
            </w:tcBorders>
            <w:shd w:val="clear" w:color="auto" w:fill="auto"/>
            <w:noWrap/>
            <w:vAlign w:val="center"/>
          </w:tcPr>
          <w:p w:rsidR="00887025" w:rsidRPr="009E4A00" w:rsidP="00D60F08" w14:paraId="7F790740" w14:textId="77777777">
            <w:pPr>
              <w:spacing w:line="240" w:lineRule="auto"/>
              <w:jc w:val="center"/>
              <w:rPr>
                <w:b/>
                <w:bCs/>
                <w:color w:val="000000"/>
              </w:rPr>
            </w:pPr>
            <w:r w:rsidRPr="009E4A00">
              <w:rPr>
                <w:b/>
                <w:bCs/>
                <w:color w:val="000000"/>
              </w:rPr>
              <w:t>15.6%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61182227" w14:textId="77777777">
            <w:pPr>
              <w:spacing w:line="240" w:lineRule="auto"/>
              <w:jc w:val="center"/>
              <w:rPr>
                <w:color w:val="000000"/>
              </w:rPr>
            </w:pPr>
            <w:r w:rsidRPr="00C55918">
              <w:rPr>
                <w:color w:val="000000"/>
              </w:rPr>
              <w:t>0.3%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75E30E67" w14:textId="77777777">
            <w:pPr>
              <w:spacing w:line="240" w:lineRule="auto"/>
              <w:jc w:val="center"/>
              <w:rPr>
                <w:b/>
                <w:bCs/>
                <w:color w:val="000000"/>
              </w:rPr>
            </w:pPr>
            <w:r w:rsidRPr="009E4A00">
              <w:rPr>
                <w:b/>
                <w:bCs/>
                <w:color w:val="000000"/>
              </w:rPr>
              <w:t>6.2%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22AC7643" w14:textId="77777777">
            <w:pPr>
              <w:spacing w:line="240" w:lineRule="auto"/>
              <w:jc w:val="center"/>
              <w:rPr>
                <w:color w:val="000000"/>
              </w:rPr>
            </w:pPr>
            <w:r w:rsidRPr="00C55918">
              <w:rPr>
                <w:color w:val="000000"/>
              </w:rPr>
              <w:t>0.1%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4D41B118" w14:textId="77777777">
            <w:pPr>
              <w:spacing w:line="240" w:lineRule="auto"/>
              <w:jc w:val="center"/>
              <w:rPr>
                <w:color w:val="000000"/>
              </w:rPr>
            </w:pPr>
            <w:r w:rsidRPr="00C55918">
              <w:rPr>
                <w:color w:val="000000"/>
              </w:rPr>
              <w:t>0.3%</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6C33CDDE" w14:textId="77777777">
            <w:pPr>
              <w:spacing w:line="240" w:lineRule="auto"/>
              <w:jc w:val="center"/>
              <w:rPr>
                <w:color w:val="000000"/>
              </w:rPr>
            </w:pPr>
            <w:r w:rsidRPr="00C55918">
              <w:rPr>
                <w:color w:val="000000"/>
              </w:rPr>
              <w:t>2.9%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1A6DA9EC" w14:textId="77777777">
            <w:pPr>
              <w:spacing w:line="240" w:lineRule="auto"/>
              <w:jc w:val="center"/>
              <w:rPr>
                <w:b/>
                <w:bCs/>
                <w:color w:val="000000"/>
              </w:rPr>
            </w:pPr>
            <w:r w:rsidRPr="009E4A00">
              <w:rPr>
                <w:b/>
                <w:bCs/>
                <w:color w:val="000000"/>
              </w:rPr>
              <w:t>27.8%</w:t>
            </w:r>
          </w:p>
        </w:tc>
        <w:tc>
          <w:tcPr>
            <w:tcW w:w="1383" w:type="dxa"/>
            <w:tcBorders>
              <w:top w:val="single" w:sz="4" w:space="0" w:color="auto"/>
              <w:left w:val="single" w:sz="4" w:space="0" w:color="auto"/>
              <w:bottom w:val="single" w:sz="4" w:space="0" w:color="auto"/>
              <w:right w:val="single" w:sz="4" w:space="0" w:color="auto"/>
            </w:tcBorders>
            <w:vAlign w:val="center"/>
          </w:tcPr>
          <w:p w:rsidR="00887025" w:rsidRPr="009E4A00" w:rsidP="00D60F08" w14:paraId="7C1C8857" w14:textId="77777777">
            <w:pPr>
              <w:spacing w:line="240" w:lineRule="auto"/>
              <w:jc w:val="center"/>
              <w:rPr>
                <w:b/>
                <w:bCs/>
                <w:color w:val="000000"/>
              </w:rPr>
            </w:pPr>
            <w:r w:rsidRPr="009E4A00">
              <w:rPr>
                <w:b/>
                <w:bCs/>
                <w:color w:val="000000"/>
              </w:rPr>
              <w:t>34.3%</w:t>
            </w:r>
          </w:p>
        </w:tc>
      </w:tr>
      <w:tr w14:paraId="4FDAE885" w14:textId="77777777" w:rsidTr="00D60F08">
        <w:tblPrEx>
          <w:tblW w:w="14861" w:type="dxa"/>
          <w:tblLook w:val="04A0"/>
        </w:tblPrEx>
        <w:trPr>
          <w:trHeight w:val="300"/>
        </w:trPr>
        <w:tc>
          <w:tcPr>
            <w:tcW w:w="1027" w:type="dxa"/>
            <w:vMerge/>
          </w:tcPr>
          <w:p w:rsidR="00887025" w:rsidP="00D60F08" w14:paraId="4A4D54D0" w14:textId="77777777">
            <w:pPr>
              <w:spacing w:line="240" w:lineRule="auto"/>
              <w:jc w:val="center"/>
              <w:rPr>
                <w:color w:val="000000"/>
              </w:rPr>
            </w:pPr>
          </w:p>
        </w:tc>
        <w:tc>
          <w:tcPr>
            <w:tcW w:w="983" w:type="dxa"/>
            <w:vMerge w:val="restart"/>
            <w:vAlign w:val="center"/>
          </w:tcPr>
          <w:p w:rsidR="00887025" w:rsidRPr="003165DF" w:rsidP="00D60F08" w14:paraId="13BB8BCD" w14:textId="77777777">
            <w:pPr>
              <w:spacing w:line="240" w:lineRule="auto"/>
              <w:jc w:val="center"/>
              <w:rPr>
                <w:color w:val="000000"/>
              </w:rPr>
            </w:pPr>
            <w:r>
              <w:rPr>
                <w:color w:val="000000"/>
              </w:rPr>
              <w:t>3</w:t>
            </w:r>
          </w:p>
        </w:tc>
        <w:tc>
          <w:tcPr>
            <w:tcW w:w="983" w:type="dxa"/>
            <w:vMerge w:val="restart"/>
            <w:vAlign w:val="center"/>
          </w:tcPr>
          <w:p w:rsidR="00887025" w:rsidRPr="003165DF" w:rsidP="00D60F08" w14:paraId="1CEF01F4" w14:textId="77777777">
            <w:pPr>
              <w:spacing w:line="240" w:lineRule="auto"/>
              <w:jc w:val="center"/>
              <w:rPr>
                <w:color w:val="000000"/>
              </w:rPr>
            </w:pPr>
            <w:r>
              <w:rPr>
                <w:color w:val="000000"/>
              </w:rPr>
              <w:t>4,737</w:t>
            </w:r>
          </w:p>
        </w:tc>
        <w:tc>
          <w:tcPr>
            <w:tcW w:w="950" w:type="dxa"/>
            <w:vAlign w:val="center"/>
          </w:tcPr>
          <w:p w:rsidR="00887025" w:rsidRPr="003165DF" w:rsidP="00D60F08" w14:paraId="182AB640" w14:textId="77777777">
            <w:pPr>
              <w:spacing w:line="240" w:lineRule="auto"/>
              <w:jc w:val="center"/>
              <w:rPr>
                <w:color w:val="000000"/>
              </w:rPr>
            </w:pPr>
            <w:r w:rsidRPr="003165DF">
              <w:rPr>
                <w:color w:val="000000"/>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C265FC" w:rsidP="00D60F08" w14:paraId="399E691A" w14:textId="77777777">
            <w:pPr>
              <w:spacing w:line="240" w:lineRule="auto"/>
              <w:jc w:val="right"/>
              <w:rPr>
                <w:color w:val="000000"/>
              </w:rPr>
            </w:pPr>
            <w:r w:rsidRPr="00B954BC">
              <w:rPr>
                <w:color w:val="000000"/>
              </w:rPr>
              <w:t>19,527,152</w:t>
            </w:r>
          </w:p>
        </w:tc>
        <w:tc>
          <w:tcPr>
            <w:tcW w:w="1184" w:type="dxa"/>
            <w:tcBorders>
              <w:top w:val="single" w:sz="4" w:space="0" w:color="auto"/>
              <w:left w:val="nil"/>
              <w:bottom w:val="single" w:sz="4" w:space="0" w:color="auto"/>
              <w:right w:val="single" w:sz="4" w:space="0" w:color="auto"/>
            </w:tcBorders>
            <w:shd w:val="clear" w:color="auto" w:fill="auto"/>
            <w:noWrap/>
            <w:vAlign w:val="center"/>
          </w:tcPr>
          <w:p w:rsidR="00887025" w:rsidRPr="009E4A00" w:rsidP="00D60F08" w14:paraId="0D32D899" w14:textId="77777777">
            <w:pPr>
              <w:spacing w:line="240" w:lineRule="auto"/>
              <w:jc w:val="center"/>
              <w:rPr>
                <w:b/>
                <w:bCs/>
                <w:color w:val="000000"/>
              </w:rPr>
            </w:pPr>
            <w:r w:rsidRPr="009E4A00">
              <w:rPr>
                <w:b/>
                <w:bCs/>
                <w:color w:val="000000"/>
              </w:rPr>
              <w:t>15.7%</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72AC2A5D" w14:textId="77777777">
            <w:pPr>
              <w:spacing w:line="240" w:lineRule="auto"/>
              <w:jc w:val="center"/>
              <w:rPr>
                <w:color w:val="000000"/>
              </w:rPr>
            </w:pPr>
            <w:r w:rsidRPr="00C55918">
              <w:rPr>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51E2283F" w14:textId="77777777">
            <w:pPr>
              <w:spacing w:line="240" w:lineRule="auto"/>
              <w:jc w:val="center"/>
              <w:rPr>
                <w:color w:val="000000"/>
              </w:rPr>
            </w:pPr>
            <w:r w:rsidRPr="00C55918">
              <w:rPr>
                <w:color w:val="000000"/>
              </w:rPr>
              <w:t>5.2%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6C2ED978" w14:textId="77777777">
            <w:pPr>
              <w:spacing w:line="240" w:lineRule="auto"/>
              <w:jc w:val="center"/>
              <w:rPr>
                <w:color w:val="000000"/>
              </w:rPr>
            </w:pPr>
            <w:r w:rsidRPr="00C55918">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5C59AF9A" w14:textId="77777777">
            <w:pPr>
              <w:spacing w:line="240" w:lineRule="auto"/>
              <w:jc w:val="center"/>
              <w:rPr>
                <w:color w:val="000000"/>
              </w:rPr>
            </w:pPr>
            <w:r w:rsidRPr="00C55918">
              <w:rPr>
                <w:color w:val="000000"/>
              </w:rPr>
              <w:t>0.4%</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77B28D12" w14:textId="77777777">
            <w:pPr>
              <w:spacing w:line="240" w:lineRule="auto"/>
              <w:jc w:val="center"/>
              <w:rPr>
                <w:color w:val="000000"/>
              </w:rPr>
            </w:pPr>
            <w:r w:rsidRPr="00C55918">
              <w:rPr>
                <w:color w:val="000000"/>
              </w:rPr>
              <w:t>3.1%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17DADB7C" w14:textId="77777777">
            <w:pPr>
              <w:spacing w:line="240" w:lineRule="auto"/>
              <w:jc w:val="center"/>
              <w:rPr>
                <w:b/>
                <w:bCs/>
                <w:color w:val="000000"/>
              </w:rPr>
            </w:pPr>
            <w:r w:rsidRPr="009E4A00">
              <w:rPr>
                <w:b/>
                <w:bCs/>
                <w:color w:val="000000"/>
              </w:rPr>
              <w:t>28.3%</w:t>
            </w:r>
          </w:p>
        </w:tc>
        <w:tc>
          <w:tcPr>
            <w:tcW w:w="1383" w:type="dxa"/>
            <w:tcBorders>
              <w:top w:val="single" w:sz="4" w:space="0" w:color="auto"/>
              <w:left w:val="single" w:sz="4" w:space="0" w:color="auto"/>
              <w:bottom w:val="single" w:sz="4" w:space="0" w:color="auto"/>
              <w:right w:val="single" w:sz="4" w:space="0" w:color="auto"/>
            </w:tcBorders>
            <w:vAlign w:val="center"/>
          </w:tcPr>
          <w:p w:rsidR="00887025" w:rsidRPr="009E4A00" w:rsidP="00D60F08" w14:paraId="4222E5E9" w14:textId="77777777">
            <w:pPr>
              <w:spacing w:line="240" w:lineRule="auto"/>
              <w:jc w:val="center"/>
              <w:rPr>
                <w:b/>
                <w:bCs/>
                <w:color w:val="000000"/>
              </w:rPr>
            </w:pPr>
            <w:r w:rsidRPr="009E4A00">
              <w:rPr>
                <w:b/>
                <w:bCs/>
                <w:color w:val="000000"/>
              </w:rPr>
              <w:t>38.0%</w:t>
            </w:r>
          </w:p>
        </w:tc>
      </w:tr>
      <w:tr w14:paraId="1DE9B5BA" w14:textId="77777777" w:rsidTr="00D60F08">
        <w:tblPrEx>
          <w:tblW w:w="14861" w:type="dxa"/>
          <w:tblLook w:val="04A0"/>
        </w:tblPrEx>
        <w:trPr>
          <w:trHeight w:val="300"/>
        </w:trPr>
        <w:tc>
          <w:tcPr>
            <w:tcW w:w="1027" w:type="dxa"/>
            <w:vMerge/>
          </w:tcPr>
          <w:p w:rsidR="00887025" w:rsidRPr="003165DF" w:rsidP="00D60F08" w14:paraId="1C171E18" w14:textId="77777777">
            <w:pPr>
              <w:spacing w:line="240" w:lineRule="auto"/>
              <w:jc w:val="center"/>
              <w:rPr>
                <w:color w:val="000000"/>
              </w:rPr>
            </w:pPr>
          </w:p>
        </w:tc>
        <w:tc>
          <w:tcPr>
            <w:tcW w:w="983" w:type="dxa"/>
            <w:vMerge/>
          </w:tcPr>
          <w:p w:rsidR="00887025" w:rsidRPr="003165DF" w:rsidP="00D60F08" w14:paraId="3DEA4826" w14:textId="77777777">
            <w:pPr>
              <w:spacing w:line="240" w:lineRule="auto"/>
              <w:jc w:val="center"/>
              <w:rPr>
                <w:color w:val="000000"/>
              </w:rPr>
            </w:pPr>
          </w:p>
        </w:tc>
        <w:tc>
          <w:tcPr>
            <w:tcW w:w="983" w:type="dxa"/>
            <w:vMerge/>
            <w:vAlign w:val="center"/>
          </w:tcPr>
          <w:p w:rsidR="00887025" w:rsidRPr="003165DF" w:rsidP="00D60F08" w14:paraId="5FDEB3F1" w14:textId="77777777">
            <w:pPr>
              <w:spacing w:line="240" w:lineRule="auto"/>
              <w:jc w:val="center"/>
              <w:rPr>
                <w:color w:val="000000"/>
              </w:rPr>
            </w:pPr>
          </w:p>
        </w:tc>
        <w:tc>
          <w:tcPr>
            <w:tcW w:w="950" w:type="dxa"/>
            <w:vAlign w:val="center"/>
          </w:tcPr>
          <w:p w:rsidR="00887025" w:rsidRPr="003165DF" w:rsidP="00D60F08" w14:paraId="7DAA1218" w14:textId="77777777">
            <w:pPr>
              <w:spacing w:line="240" w:lineRule="auto"/>
              <w:jc w:val="center"/>
              <w:rPr>
                <w:color w:val="000000"/>
              </w:rPr>
            </w:pPr>
            <w:r w:rsidRPr="003165DF">
              <w:rPr>
                <w:color w:val="000000"/>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C265FC" w:rsidP="00D60F08" w14:paraId="008511FE" w14:textId="77777777">
            <w:pPr>
              <w:spacing w:line="240" w:lineRule="auto"/>
              <w:jc w:val="right"/>
              <w:rPr>
                <w:color w:val="000000"/>
              </w:rPr>
            </w:pPr>
            <w:r w:rsidRPr="00B954BC">
              <w:rPr>
                <w:color w:val="000000"/>
              </w:rPr>
              <w:t>110,348,761</w:t>
            </w:r>
          </w:p>
        </w:tc>
        <w:tc>
          <w:tcPr>
            <w:tcW w:w="1184" w:type="dxa"/>
            <w:tcBorders>
              <w:top w:val="single" w:sz="4" w:space="0" w:color="auto"/>
              <w:left w:val="nil"/>
              <w:bottom w:val="single" w:sz="4" w:space="0" w:color="auto"/>
              <w:right w:val="single" w:sz="4" w:space="0" w:color="auto"/>
            </w:tcBorders>
            <w:shd w:val="clear" w:color="auto" w:fill="auto"/>
            <w:noWrap/>
            <w:vAlign w:val="center"/>
          </w:tcPr>
          <w:p w:rsidR="00887025" w:rsidRPr="009E4A00" w:rsidP="00D60F08" w14:paraId="0C0FE6B6" w14:textId="77777777">
            <w:pPr>
              <w:spacing w:line="240" w:lineRule="auto"/>
              <w:jc w:val="center"/>
              <w:rPr>
                <w:b/>
                <w:bCs/>
                <w:color w:val="000000"/>
              </w:rPr>
            </w:pPr>
            <w:r w:rsidRPr="009E4A00">
              <w:rPr>
                <w:b/>
                <w:bCs/>
                <w:color w:val="000000"/>
              </w:rPr>
              <w:t>15.8%</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591298C0" w14:textId="77777777">
            <w:pPr>
              <w:spacing w:line="240" w:lineRule="auto"/>
              <w:jc w:val="center"/>
              <w:rPr>
                <w:color w:val="000000"/>
              </w:rPr>
            </w:pPr>
            <w:r w:rsidRPr="00C55918">
              <w:rPr>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397AF1C7" w14:textId="77777777">
            <w:pPr>
              <w:spacing w:line="240" w:lineRule="auto"/>
              <w:jc w:val="center"/>
              <w:rPr>
                <w:b/>
                <w:bCs/>
                <w:color w:val="000000"/>
              </w:rPr>
            </w:pPr>
            <w:r w:rsidRPr="009E4A00">
              <w:rPr>
                <w:b/>
                <w:bCs/>
                <w:color w:val="000000"/>
              </w:rPr>
              <w:t>6.0%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3C9A305E" w14:textId="77777777">
            <w:pPr>
              <w:spacing w:line="240" w:lineRule="auto"/>
              <w:jc w:val="center"/>
              <w:rPr>
                <w:color w:val="000000"/>
              </w:rPr>
            </w:pPr>
            <w:r w:rsidRPr="00C55918">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023E4E29" w14:textId="77777777">
            <w:pPr>
              <w:spacing w:line="240" w:lineRule="auto"/>
              <w:jc w:val="center"/>
              <w:rPr>
                <w:color w:val="000000"/>
              </w:rPr>
            </w:pPr>
            <w:r w:rsidRPr="00C55918">
              <w:rPr>
                <w:color w:val="000000"/>
              </w:rPr>
              <w:t>0.4%</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265FC" w:rsidP="00D60F08" w14:paraId="2B491D5D" w14:textId="77777777">
            <w:pPr>
              <w:spacing w:line="240" w:lineRule="auto"/>
              <w:jc w:val="center"/>
              <w:rPr>
                <w:color w:val="000000"/>
              </w:rPr>
            </w:pPr>
            <w:r w:rsidRPr="00C55918">
              <w:rPr>
                <w:color w:val="000000"/>
              </w:rPr>
              <w:t>3.1%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2EF8418B" w14:textId="77777777">
            <w:pPr>
              <w:spacing w:line="240" w:lineRule="auto"/>
              <w:jc w:val="center"/>
              <w:rPr>
                <w:b/>
                <w:bCs/>
                <w:color w:val="000000"/>
              </w:rPr>
            </w:pPr>
            <w:r w:rsidRPr="009E4A00">
              <w:rPr>
                <w:b/>
                <w:bCs/>
                <w:color w:val="000000"/>
              </w:rPr>
              <w:t>24.8%</w:t>
            </w:r>
          </w:p>
        </w:tc>
        <w:tc>
          <w:tcPr>
            <w:tcW w:w="1383" w:type="dxa"/>
            <w:tcBorders>
              <w:top w:val="single" w:sz="4" w:space="0" w:color="auto"/>
              <w:left w:val="single" w:sz="4" w:space="0" w:color="auto"/>
              <w:bottom w:val="single" w:sz="4" w:space="0" w:color="auto"/>
              <w:right w:val="single" w:sz="4" w:space="0" w:color="auto"/>
            </w:tcBorders>
            <w:vAlign w:val="center"/>
          </w:tcPr>
          <w:p w:rsidR="00887025" w:rsidRPr="009E4A00" w:rsidP="00D60F08" w14:paraId="04F74A4A" w14:textId="77777777">
            <w:pPr>
              <w:spacing w:line="240" w:lineRule="auto"/>
              <w:jc w:val="center"/>
              <w:rPr>
                <w:b/>
                <w:bCs/>
                <w:color w:val="000000"/>
              </w:rPr>
            </w:pPr>
            <w:r w:rsidRPr="009E4A00">
              <w:rPr>
                <w:b/>
                <w:bCs/>
                <w:color w:val="000000"/>
              </w:rPr>
              <w:t>33.6%</w:t>
            </w:r>
          </w:p>
        </w:tc>
      </w:tr>
      <w:tr w14:paraId="542E2718" w14:textId="77777777" w:rsidTr="00D60F08">
        <w:tblPrEx>
          <w:tblW w:w="14861" w:type="dxa"/>
          <w:tblLook w:val="04A0"/>
        </w:tblPrEx>
        <w:trPr>
          <w:trHeight w:val="300"/>
        </w:trPr>
        <w:tc>
          <w:tcPr>
            <w:tcW w:w="2010" w:type="dxa"/>
            <w:gridSpan w:val="2"/>
            <w:vMerge w:val="restart"/>
            <w:vAlign w:val="center"/>
          </w:tcPr>
          <w:p w:rsidR="00887025" w:rsidRPr="003165DF" w:rsidP="00D60F08" w14:paraId="29ED66EE" w14:textId="77777777">
            <w:pPr>
              <w:spacing w:line="240" w:lineRule="auto"/>
              <w:rPr>
                <w:color w:val="000000"/>
              </w:rPr>
            </w:pPr>
            <w:r w:rsidRPr="00460CCC">
              <w:rPr>
                <w:color w:val="000000"/>
              </w:rPr>
              <w:t>All active facilities</w:t>
            </w:r>
            <w:r>
              <w:rPr>
                <w:color w:val="000000"/>
              </w:rPr>
              <w:t>, regardless of program level</w:t>
            </w:r>
          </w:p>
        </w:tc>
        <w:tc>
          <w:tcPr>
            <w:tcW w:w="983" w:type="dxa"/>
            <w:vMerge w:val="restart"/>
            <w:vAlign w:val="center"/>
          </w:tcPr>
          <w:p w:rsidR="00887025" w:rsidP="00D60F08" w14:paraId="13928172" w14:textId="77777777">
            <w:pPr>
              <w:spacing w:line="240" w:lineRule="auto"/>
              <w:jc w:val="center"/>
              <w:rPr>
                <w:rFonts w:eastAsia="Calibri"/>
                <w:bCs/>
              </w:rPr>
            </w:pPr>
            <w:r>
              <w:rPr>
                <w:rFonts w:eastAsia="Calibri"/>
                <w:bCs/>
              </w:rPr>
              <w:t>11,714</w:t>
            </w:r>
          </w:p>
        </w:tc>
        <w:tc>
          <w:tcPr>
            <w:tcW w:w="950" w:type="dxa"/>
            <w:shd w:val="clear" w:color="auto" w:fill="auto"/>
            <w:vAlign w:val="center"/>
          </w:tcPr>
          <w:p w:rsidR="00887025" w:rsidRPr="003165DF" w:rsidP="00D60F08" w14:paraId="767CA2BD" w14:textId="77777777">
            <w:pPr>
              <w:spacing w:line="240" w:lineRule="auto"/>
              <w:jc w:val="center"/>
              <w:rPr>
                <w:color w:val="000000"/>
              </w:rPr>
            </w:pPr>
            <w:r>
              <w:rPr>
                <w:rFonts w:eastAsia="Calibri"/>
                <w:bCs/>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B954BC" w:rsidP="00D60F08" w14:paraId="267C32EF" w14:textId="77777777">
            <w:pPr>
              <w:spacing w:line="240" w:lineRule="auto"/>
              <w:jc w:val="right"/>
              <w:rPr>
                <w:color w:val="000000"/>
              </w:rPr>
            </w:pPr>
            <w:r w:rsidRPr="00460CCC">
              <w:rPr>
                <w:color w:val="000000"/>
              </w:rPr>
              <w:t>24,755,209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05BAC17C" w14:textId="77777777">
            <w:pPr>
              <w:spacing w:line="240" w:lineRule="auto"/>
              <w:jc w:val="center"/>
              <w:rPr>
                <w:b/>
                <w:bCs/>
                <w:color w:val="000000"/>
              </w:rPr>
            </w:pPr>
            <w:r w:rsidRPr="00D36ABA">
              <w:rPr>
                <w:b/>
                <w:bCs/>
                <w:color w:val="000000"/>
              </w:rPr>
              <w:t xml:space="preserve"> 15.6%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55918" w:rsidP="00D60F08" w14:paraId="689D7089" w14:textId="77777777">
            <w:pPr>
              <w:spacing w:line="240" w:lineRule="auto"/>
              <w:jc w:val="center"/>
              <w:rPr>
                <w:color w:val="000000"/>
              </w:rPr>
            </w:pPr>
            <w:r w:rsidRPr="00460CCC">
              <w:rPr>
                <w:color w:val="000000"/>
              </w:rPr>
              <w:t>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7AF32456" w14:textId="77777777">
            <w:pPr>
              <w:spacing w:line="240" w:lineRule="auto"/>
              <w:jc w:val="center"/>
              <w:rPr>
                <w:b/>
                <w:bCs/>
                <w:color w:val="000000"/>
              </w:rPr>
            </w:pPr>
            <w:r w:rsidRPr="00460CCC">
              <w:rPr>
                <w:color w:val="000000"/>
              </w:rPr>
              <w:t xml:space="preserve"> 4.8%</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55918" w:rsidP="00D60F08" w14:paraId="5CC5FF03" w14:textId="77777777">
            <w:pPr>
              <w:spacing w:line="240" w:lineRule="auto"/>
              <w:jc w:val="center"/>
              <w:rPr>
                <w:color w:val="000000"/>
              </w:rPr>
            </w:pPr>
            <w:r w:rsidRPr="00460CCC">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55918" w:rsidP="00D60F08" w14:paraId="32D4F506" w14:textId="77777777">
            <w:pPr>
              <w:spacing w:line="240" w:lineRule="auto"/>
              <w:jc w:val="center"/>
              <w:rPr>
                <w:color w:val="000000"/>
              </w:rPr>
            </w:pPr>
            <w:r w:rsidRPr="00460CCC">
              <w:rPr>
                <w:color w:val="000000"/>
              </w:rPr>
              <w:t>0.3%</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55918" w:rsidP="00D60F08" w14:paraId="2EC8C657" w14:textId="77777777">
            <w:pPr>
              <w:spacing w:line="240" w:lineRule="auto"/>
              <w:jc w:val="center"/>
              <w:rPr>
                <w:color w:val="000000"/>
              </w:rPr>
            </w:pPr>
            <w:r w:rsidRPr="00460CCC">
              <w:rPr>
                <w:color w:val="000000"/>
              </w:rPr>
              <w:t>3.0%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676DC54E" w14:textId="77777777">
            <w:pPr>
              <w:spacing w:line="240" w:lineRule="auto"/>
              <w:jc w:val="center"/>
              <w:rPr>
                <w:b/>
                <w:bCs/>
                <w:color w:val="000000"/>
              </w:rPr>
            </w:pPr>
            <w:r w:rsidRPr="00CD157D">
              <w:rPr>
                <w:b/>
                <w:bCs/>
                <w:color w:val="000000"/>
              </w:rPr>
              <w:t>27.6%</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9E4A00" w:rsidP="00D60F08" w14:paraId="79372909" w14:textId="77777777">
            <w:pPr>
              <w:spacing w:line="240" w:lineRule="auto"/>
              <w:jc w:val="center"/>
              <w:rPr>
                <w:b/>
                <w:bCs/>
                <w:color w:val="000000"/>
              </w:rPr>
            </w:pPr>
            <w:r w:rsidRPr="00CD157D">
              <w:rPr>
                <w:b/>
                <w:bCs/>
                <w:color w:val="000000"/>
              </w:rPr>
              <w:t>38.0%</w:t>
            </w:r>
          </w:p>
        </w:tc>
      </w:tr>
      <w:tr w14:paraId="2A77D487" w14:textId="77777777" w:rsidTr="00D60F08">
        <w:tblPrEx>
          <w:tblW w:w="14861" w:type="dxa"/>
          <w:tblLook w:val="04A0"/>
        </w:tblPrEx>
        <w:trPr>
          <w:trHeight w:val="300"/>
        </w:trPr>
        <w:tc>
          <w:tcPr>
            <w:tcW w:w="2010" w:type="dxa"/>
            <w:gridSpan w:val="2"/>
            <w:vMerge/>
          </w:tcPr>
          <w:p w:rsidR="00887025" w:rsidRPr="003165DF" w:rsidP="00D60F08" w14:paraId="099EA20F" w14:textId="77777777">
            <w:pPr>
              <w:spacing w:line="240" w:lineRule="auto"/>
              <w:jc w:val="center"/>
              <w:rPr>
                <w:color w:val="000000"/>
              </w:rPr>
            </w:pPr>
          </w:p>
        </w:tc>
        <w:tc>
          <w:tcPr>
            <w:tcW w:w="983" w:type="dxa"/>
            <w:vMerge/>
            <w:vAlign w:val="center"/>
          </w:tcPr>
          <w:p w:rsidR="00887025" w:rsidP="00D60F08" w14:paraId="25BBC0DD" w14:textId="77777777">
            <w:pPr>
              <w:spacing w:line="240" w:lineRule="auto"/>
              <w:jc w:val="center"/>
              <w:rPr>
                <w:rFonts w:eastAsia="Calibri"/>
                <w:bCs/>
              </w:rPr>
            </w:pPr>
          </w:p>
        </w:tc>
        <w:tc>
          <w:tcPr>
            <w:tcW w:w="950" w:type="dxa"/>
            <w:shd w:val="clear" w:color="auto" w:fill="auto"/>
            <w:vAlign w:val="center"/>
          </w:tcPr>
          <w:p w:rsidR="00887025" w:rsidRPr="003165DF" w:rsidP="00D60F08" w14:paraId="2EE2A698" w14:textId="77777777">
            <w:pPr>
              <w:spacing w:line="240" w:lineRule="auto"/>
              <w:jc w:val="center"/>
              <w:rPr>
                <w:color w:val="000000"/>
              </w:rPr>
            </w:pPr>
            <w:r>
              <w:rPr>
                <w:rFonts w:eastAsia="Calibri"/>
                <w:bCs/>
              </w:rPr>
              <w:t>3</w:t>
            </w:r>
          </w:p>
        </w:tc>
        <w:tc>
          <w:tcPr>
            <w:tcW w:w="1216" w:type="dxa"/>
            <w:tcBorders>
              <w:top w:val="single" w:sz="4" w:space="0" w:color="auto"/>
              <w:left w:val="nil"/>
              <w:bottom w:val="single" w:sz="4" w:space="0" w:color="auto"/>
              <w:right w:val="single" w:sz="4" w:space="0" w:color="auto"/>
            </w:tcBorders>
            <w:shd w:val="clear" w:color="auto" w:fill="auto"/>
            <w:vAlign w:val="center"/>
          </w:tcPr>
          <w:p w:rsidR="00887025" w:rsidRPr="00B954BC" w:rsidP="00D60F08" w14:paraId="481DD38F" w14:textId="77777777">
            <w:pPr>
              <w:spacing w:line="240" w:lineRule="auto"/>
              <w:jc w:val="right"/>
              <w:rPr>
                <w:color w:val="000000"/>
              </w:rPr>
            </w:pPr>
            <w:r w:rsidRPr="00460CCC">
              <w:rPr>
                <w:color w:val="000000"/>
              </w:rPr>
              <w:t>130,875,693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3B49F396" w14:textId="77777777">
            <w:pPr>
              <w:spacing w:line="240" w:lineRule="auto"/>
              <w:jc w:val="center"/>
              <w:rPr>
                <w:b/>
                <w:bCs/>
                <w:color w:val="000000"/>
              </w:rPr>
            </w:pPr>
            <w:r w:rsidRPr="00D36ABA">
              <w:rPr>
                <w:b/>
                <w:bCs/>
                <w:color w:val="000000"/>
              </w:rPr>
              <w:t xml:space="preserve"> 15.1%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55918" w:rsidP="00D60F08" w14:paraId="1F1284C8" w14:textId="77777777">
            <w:pPr>
              <w:spacing w:line="240" w:lineRule="auto"/>
              <w:jc w:val="center"/>
              <w:rPr>
                <w:color w:val="000000"/>
              </w:rPr>
            </w:pPr>
            <w:r w:rsidRPr="00460CCC">
              <w:rPr>
                <w:color w:val="000000"/>
              </w:rPr>
              <w:t xml:space="preserve"> 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247CA47B" w14:textId="77777777">
            <w:pPr>
              <w:spacing w:line="240" w:lineRule="auto"/>
              <w:jc w:val="center"/>
              <w:rPr>
                <w:b/>
                <w:bCs/>
                <w:color w:val="000000"/>
              </w:rPr>
            </w:pPr>
            <w:r w:rsidRPr="00CD157D">
              <w:rPr>
                <w:b/>
                <w:bCs/>
                <w:color w:val="000000"/>
              </w:rPr>
              <w:t xml:space="preserve"> 5.9%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55918" w:rsidP="00D60F08" w14:paraId="5CBEC285" w14:textId="77777777">
            <w:pPr>
              <w:spacing w:line="240" w:lineRule="auto"/>
              <w:jc w:val="center"/>
              <w:rPr>
                <w:color w:val="000000"/>
              </w:rPr>
            </w:pPr>
            <w:r w:rsidRPr="00460CCC">
              <w:rPr>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55918" w:rsidP="00D60F08" w14:paraId="1D395F3B" w14:textId="77777777">
            <w:pPr>
              <w:spacing w:line="240" w:lineRule="auto"/>
              <w:jc w:val="center"/>
              <w:rPr>
                <w:color w:val="000000"/>
              </w:rPr>
            </w:pPr>
            <w:r w:rsidRPr="00460CCC">
              <w:rPr>
                <w:color w:val="000000"/>
              </w:rPr>
              <w:t>0.4%</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C55918" w:rsidP="00D60F08" w14:paraId="3D071806" w14:textId="77777777">
            <w:pPr>
              <w:spacing w:line="240" w:lineRule="auto"/>
              <w:jc w:val="center"/>
              <w:rPr>
                <w:color w:val="000000"/>
              </w:rPr>
            </w:pPr>
            <w:r w:rsidRPr="00460CCC">
              <w:rPr>
                <w:color w:val="000000"/>
              </w:rPr>
              <w:t>3.1%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9E4A00" w:rsidP="00D60F08" w14:paraId="543183DB" w14:textId="77777777">
            <w:pPr>
              <w:spacing w:line="240" w:lineRule="auto"/>
              <w:jc w:val="center"/>
              <w:rPr>
                <w:b/>
                <w:bCs/>
                <w:color w:val="000000"/>
              </w:rPr>
            </w:pPr>
            <w:r w:rsidRPr="00CD157D">
              <w:rPr>
                <w:b/>
                <w:bCs/>
                <w:color w:val="000000"/>
              </w:rPr>
              <w:t>24.1%</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9E4A00" w:rsidP="00D60F08" w14:paraId="0A9C550F" w14:textId="77777777">
            <w:pPr>
              <w:spacing w:line="240" w:lineRule="auto"/>
              <w:jc w:val="center"/>
              <w:rPr>
                <w:b/>
                <w:bCs/>
                <w:color w:val="000000"/>
              </w:rPr>
            </w:pPr>
            <w:r w:rsidRPr="00CD157D">
              <w:rPr>
                <w:b/>
                <w:bCs/>
                <w:color w:val="000000"/>
              </w:rPr>
              <w:t>33.3%</w:t>
            </w:r>
          </w:p>
        </w:tc>
      </w:tr>
      <w:tr w14:paraId="39FEC625" w14:textId="77777777" w:rsidTr="00D60F08">
        <w:tblPrEx>
          <w:tblW w:w="14861" w:type="dxa"/>
          <w:tblLook w:val="04A0"/>
        </w:tblPrEx>
        <w:trPr>
          <w:trHeight w:val="300"/>
        </w:trPr>
        <w:tc>
          <w:tcPr>
            <w:tcW w:w="3943" w:type="dxa"/>
            <w:gridSpan w:val="4"/>
            <w:shd w:val="clear" w:color="auto" w:fill="E7E6E6" w:themeFill="background2"/>
            <w:vAlign w:val="center"/>
          </w:tcPr>
          <w:p w:rsidR="00887025" w:rsidRPr="00D1223F" w:rsidP="00D60F08" w14:paraId="5220FBBC" w14:textId="77777777">
            <w:pPr>
              <w:spacing w:line="240" w:lineRule="auto"/>
              <w:jc w:val="center"/>
              <w:rPr>
                <w:i/>
                <w:iCs/>
                <w:color w:val="000000"/>
              </w:rPr>
            </w:pPr>
            <w:r>
              <w:rPr>
                <w:i/>
                <w:iCs/>
                <w:color w:val="000000"/>
              </w:rPr>
              <w:t>National Comparison Group</w:t>
            </w:r>
          </w:p>
        </w:tc>
        <w:tc>
          <w:tcPr>
            <w:tcW w:w="1216" w:type="dxa"/>
            <w:shd w:val="clear" w:color="auto" w:fill="E7E6E6" w:themeFill="background2"/>
            <w:vAlign w:val="center"/>
          </w:tcPr>
          <w:p w:rsidR="00887025" w:rsidRPr="00D1223F" w:rsidP="00D60F08" w14:paraId="56663A15" w14:textId="77777777">
            <w:pPr>
              <w:spacing w:line="240" w:lineRule="auto"/>
              <w:jc w:val="right"/>
              <w:rPr>
                <w:i/>
                <w:iCs/>
                <w:color w:val="000000"/>
              </w:rPr>
            </w:pPr>
            <w:r w:rsidRPr="00D1223F">
              <w:rPr>
                <w:i/>
                <w:iCs/>
                <w:color w:val="000000"/>
              </w:rPr>
              <w:t>309,242,323</w:t>
            </w:r>
          </w:p>
        </w:tc>
        <w:tc>
          <w:tcPr>
            <w:tcW w:w="1184" w:type="dxa"/>
            <w:tcBorders>
              <w:top w:val="single" w:sz="4" w:space="0" w:color="auto"/>
              <w:left w:val="nil"/>
              <w:bottom w:val="single" w:sz="4" w:space="0" w:color="auto"/>
              <w:right w:val="single" w:sz="4" w:space="0" w:color="auto"/>
            </w:tcBorders>
            <w:shd w:val="clear" w:color="auto" w:fill="E7E6E6" w:themeFill="background2"/>
            <w:noWrap/>
            <w:vAlign w:val="center"/>
          </w:tcPr>
          <w:p w:rsidR="00887025" w:rsidRPr="00D1223F" w:rsidP="00D60F08" w14:paraId="2ACF08DA" w14:textId="77777777">
            <w:pPr>
              <w:spacing w:line="240" w:lineRule="auto"/>
              <w:jc w:val="center"/>
              <w:rPr>
                <w:i/>
                <w:iCs/>
                <w:color w:val="000000"/>
              </w:rPr>
            </w:pPr>
            <w:r w:rsidRPr="00D1223F">
              <w:rPr>
                <w:i/>
                <w:iCs/>
                <w:color w:val="000000"/>
              </w:rPr>
              <w:t>11.8%</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rsidP="00D60F08" w14:paraId="63936923" w14:textId="77777777">
            <w:pPr>
              <w:spacing w:line="240" w:lineRule="auto"/>
              <w:jc w:val="center"/>
              <w:rPr>
                <w:i/>
                <w:iCs/>
                <w:color w:val="000000"/>
              </w:rPr>
            </w:pPr>
            <w:r w:rsidRPr="00D1223F">
              <w:rPr>
                <w:i/>
                <w:iCs/>
                <w:color w:val="000000"/>
              </w:rPr>
              <w:t>0.6%</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rsidP="00D60F08" w14:paraId="29354AAB" w14:textId="77777777">
            <w:pPr>
              <w:spacing w:line="240" w:lineRule="auto"/>
              <w:jc w:val="center"/>
              <w:rPr>
                <w:i/>
                <w:iCs/>
                <w:color w:val="000000"/>
              </w:rPr>
            </w:pPr>
            <w:r w:rsidRPr="00D1223F">
              <w:rPr>
                <w:i/>
                <w:iCs/>
                <w:color w:val="000000"/>
              </w:rPr>
              <w:t>5.6%</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rsidP="00D60F08" w14:paraId="7C7E4B9F" w14:textId="77777777">
            <w:pPr>
              <w:spacing w:line="240" w:lineRule="auto"/>
              <w:jc w:val="center"/>
              <w:rPr>
                <w:i/>
                <w:iCs/>
                <w:color w:val="000000"/>
              </w:rPr>
            </w:pPr>
            <w:r w:rsidRPr="00D1223F">
              <w:rPr>
                <w:i/>
                <w:iCs/>
                <w:color w:val="000000"/>
              </w:rPr>
              <w:t>0.2%</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rsidP="00D60F08" w14:paraId="14281A3C" w14:textId="77777777">
            <w:pPr>
              <w:spacing w:line="240" w:lineRule="auto"/>
              <w:jc w:val="center"/>
              <w:rPr>
                <w:i/>
                <w:iCs/>
                <w:color w:val="000000"/>
              </w:rPr>
            </w:pPr>
            <w:r w:rsidRPr="00D1223F">
              <w:rPr>
                <w:i/>
                <w:iCs/>
                <w:color w:val="000000"/>
              </w:rPr>
              <w:t>0.4%</w:t>
            </w:r>
          </w:p>
        </w:tc>
        <w:tc>
          <w:tcPr>
            <w:tcW w:w="121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rsidP="00D60F08" w14:paraId="618332DB" w14:textId="77777777">
            <w:pPr>
              <w:spacing w:line="240" w:lineRule="auto"/>
              <w:jc w:val="center"/>
              <w:rPr>
                <w:i/>
                <w:iCs/>
                <w:color w:val="000000"/>
              </w:rPr>
            </w:pPr>
            <w:r w:rsidRPr="00D1223F">
              <w:rPr>
                <w:i/>
                <w:iCs/>
                <w:color w:val="000000"/>
              </w:rPr>
              <w:t>3.2%</w:t>
            </w:r>
          </w:p>
        </w:tc>
        <w:tc>
          <w:tcPr>
            <w:tcW w:w="11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rsidP="00D60F08" w14:paraId="0142EB35" w14:textId="77777777">
            <w:pPr>
              <w:spacing w:line="240" w:lineRule="auto"/>
              <w:jc w:val="center"/>
              <w:rPr>
                <w:i/>
                <w:iCs/>
                <w:color w:val="000000"/>
              </w:rPr>
            </w:pPr>
            <w:r w:rsidRPr="00D1223F">
              <w:rPr>
                <w:i/>
                <w:iCs/>
                <w:color w:val="000000"/>
              </w:rPr>
              <w:t>17.7%</w:t>
            </w:r>
          </w:p>
        </w:tc>
        <w:tc>
          <w:tcPr>
            <w:tcW w:w="1383" w:type="dxa"/>
            <w:shd w:val="clear" w:color="auto" w:fill="E7E6E6" w:themeFill="background2"/>
            <w:vAlign w:val="center"/>
          </w:tcPr>
          <w:p w:rsidR="00887025" w:rsidRPr="00D1223F" w:rsidP="00D60F08" w14:paraId="7F45F617" w14:textId="77777777">
            <w:pPr>
              <w:jc w:val="center"/>
              <w:rPr>
                <w:i/>
                <w:iCs/>
              </w:rPr>
            </w:pPr>
            <w:r w:rsidRPr="00D1223F">
              <w:rPr>
                <w:i/>
                <w:iCs/>
                <w:color w:val="000000"/>
              </w:rPr>
              <w:t>28.5%</w:t>
            </w:r>
          </w:p>
        </w:tc>
      </w:tr>
    </w:tbl>
    <w:p w:rsidR="00887025" w:rsidRPr="00B755D8" w:rsidP="00887025" w14:paraId="7E044D22" w14:textId="77777777">
      <w:pPr>
        <w:pStyle w:val="BodyText"/>
        <w:tabs>
          <w:tab w:val="left" w:pos="225"/>
        </w:tabs>
        <w:jc w:val="center"/>
        <w:rPr>
          <w:rFonts w:ascii="Times New Roman" w:hAnsi="Times New Roman" w:cs="Times New Roman"/>
          <w:b/>
        </w:rPr>
        <w:sectPr w:rsidSect="005379A2">
          <w:pgSz w:w="15840" w:h="12240" w:orient="landscape"/>
          <w:pgMar w:top="1440" w:right="1440" w:bottom="1440" w:left="1440" w:header="720" w:footer="720" w:gutter="0"/>
          <w:cols w:space="720"/>
          <w:docGrid w:linePitch="360"/>
        </w:sectPr>
      </w:pPr>
      <w:r w:rsidRPr="00B755D8">
        <w:rPr>
          <w:rFonts w:ascii="Times New Roman" w:hAnsi="Times New Roman" w:cs="Times New Roman"/>
          <w:b/>
        </w:rPr>
        <w:t>Exhibit 9-</w:t>
      </w:r>
      <w:r>
        <w:rPr>
          <w:rFonts w:ascii="Times New Roman" w:hAnsi="Times New Roman" w:cs="Times New Roman"/>
          <w:b/>
        </w:rPr>
        <w:t>5</w:t>
      </w:r>
      <w:r w:rsidRPr="00B755D8">
        <w:rPr>
          <w:rFonts w:ascii="Times New Roman" w:hAnsi="Times New Roman" w:cs="Times New Roman"/>
          <w:b/>
        </w:rPr>
        <w:t xml:space="preserve">. Demographic </w:t>
      </w:r>
      <w:r>
        <w:rPr>
          <w:rFonts w:ascii="Times New Roman" w:hAnsi="Times New Roman" w:cs="Times New Roman"/>
          <w:b/>
        </w:rPr>
        <w:t xml:space="preserve">and Socioeconomic </w:t>
      </w:r>
      <w:r w:rsidRPr="00B755D8">
        <w:rPr>
          <w:rFonts w:ascii="Times New Roman" w:hAnsi="Times New Roman" w:cs="Times New Roman"/>
          <w:b/>
        </w:rPr>
        <w:t>Composition of Fenceline Communities t</w:t>
      </w:r>
      <w:r>
        <w:rPr>
          <w:rFonts w:ascii="Times New Roman" w:hAnsi="Times New Roman" w:cs="Times New Roman"/>
          <w:b/>
        </w:rPr>
        <w:t xml:space="preserve">o </w:t>
      </w:r>
      <w:r w:rsidRPr="00B755D8">
        <w:rPr>
          <w:rFonts w:ascii="Times New Roman" w:hAnsi="Times New Roman" w:cs="Times New Roman"/>
          <w:b/>
        </w:rPr>
        <w:t>RMP Facilities Based on Program Level</w:t>
      </w:r>
    </w:p>
    <w:p w:rsidR="00887025" w:rsidP="00887025" w14:paraId="06100D70" w14:textId="77777777">
      <w:pPr>
        <w:spacing w:after="0"/>
        <w:rPr>
          <w:rFonts w:ascii="Times New Roman" w:hAnsi="Times New Roman" w:cs="Times New Roman"/>
          <w:bCs/>
        </w:rPr>
      </w:pPr>
      <w:r>
        <w:rPr>
          <w:rFonts w:ascii="Times New Roman" w:hAnsi="Times New Roman" w:cs="Times New Roman"/>
          <w:bCs/>
        </w:rPr>
        <w:tab/>
        <w:t>EPA then looked at how the socioeconomic characteristics of communities near facilities differ based on the ratio of the quantity of chemical in a process to its regulatory threshold (described in this chapter as chemical process quantity multiplier) (Exhibit 9-6)</w:t>
      </w:r>
      <w:r>
        <w:rPr>
          <w:rStyle w:val="FootnoteReference"/>
          <w:rFonts w:ascii="Times New Roman" w:hAnsi="Times New Roman" w:cs="Times New Roman"/>
          <w:bCs/>
        </w:rPr>
        <w:footnoteReference w:id="189"/>
      </w:r>
      <w:r>
        <w:rPr>
          <w:rFonts w:ascii="Times New Roman" w:hAnsi="Times New Roman" w:cs="Times New Roman"/>
          <w:bCs/>
        </w:rPr>
        <w:t>. For all active facilities, as the chemical process quantity multiplier increases, the percentage of individuals that are Black (non-Hispanic), Asian (non-Hispanic), Hispanic, and low income tend to trend towards the percentages for the full universe of active RMP facilities. For low income, the one exception is that the percentage of individuals that are low income is markedly lower (22.8 percent and 30.1 percent for communities within one mile of facilities with at least one accident from 2004 to 2020 and for communities within one mile of all active facilities in the RMP universe, respectively) in communities with the lowest chemical process quantity multiplier compared to all other quantity categories. The percentage of individuals that are low income for communities within one mile of facilities with at least one accident from 2004 to 2020 and with the lowest chemical process quantity multiplier (22.8 percent) is even lower than the percentage of individuals that are low income for the national comparison group (28.5 percent). However, overall, the vulnerability of communities does not appear to trend with the potential risk associated with larger exceedances of chemical regulatory thresholds.</w:t>
      </w:r>
    </w:p>
    <w:p w:rsidR="00887025" w:rsidP="00887025" w14:paraId="30E02D5F" w14:textId="77777777">
      <w:pPr>
        <w:keepNext/>
        <w:keepLines/>
        <w:spacing w:after="0"/>
        <w:rPr>
          <w:rFonts w:ascii="Times New Roman" w:hAnsi="Times New Roman" w:cs="Times New Roman"/>
          <w:b/>
        </w:rPr>
      </w:pPr>
    </w:p>
    <w:p w:rsidR="00887025" w:rsidP="00887025" w14:paraId="23396B62" w14:textId="77777777">
      <w:pPr>
        <w:pStyle w:val="BodyText"/>
        <w:tabs>
          <w:tab w:val="left" w:pos="225"/>
        </w:tabs>
        <w:rPr>
          <w:rFonts w:ascii="Times New Roman" w:hAnsi="Times New Roman" w:cs="Times New Roman"/>
          <w:bCs/>
        </w:rPr>
        <w:sectPr w:rsidSect="005379A2">
          <w:pgSz w:w="12240" w:h="15840"/>
          <w:pgMar w:top="1440" w:right="1440" w:bottom="1440" w:left="1440" w:header="720" w:footer="720" w:gutter="0"/>
          <w:cols w:space="720"/>
          <w:docGrid w:linePitch="360"/>
        </w:sectPr>
      </w:pPr>
    </w:p>
    <w:p w:rsidR="00887025" w:rsidRPr="00921681" w:rsidP="00887025" w14:paraId="6CD94838" w14:textId="77777777">
      <w:pPr>
        <w:jc w:val="center"/>
        <w:rPr>
          <w:rFonts w:ascii="Times New Roman" w:hAnsi="Times New Roman" w:cs="Times New Roman"/>
          <w:b/>
        </w:rPr>
      </w:pPr>
      <w:r w:rsidRPr="00DD2C1A">
        <w:rPr>
          <w:rFonts w:ascii="Times New Roman" w:hAnsi="Times New Roman" w:cs="Times New Roman"/>
          <w:b/>
        </w:rPr>
        <w:t>Exhibit 9-</w:t>
      </w:r>
      <w:r>
        <w:rPr>
          <w:rFonts w:ascii="Times New Roman" w:hAnsi="Times New Roman" w:cs="Times New Roman"/>
          <w:b/>
        </w:rPr>
        <w:t>6</w:t>
      </w:r>
      <w:r w:rsidRPr="00DD2C1A">
        <w:rPr>
          <w:rFonts w:ascii="Times New Roman" w:hAnsi="Times New Roman" w:cs="Times New Roman"/>
          <w:b/>
        </w:rPr>
        <w:t xml:space="preserve">. </w:t>
      </w:r>
      <w:r w:rsidRPr="00E61675">
        <w:rPr>
          <w:rFonts w:ascii="Times New Roman" w:hAnsi="Times New Roman" w:cs="Times New Roman"/>
          <w:b/>
        </w:rPr>
        <w:t>Demographic</w:t>
      </w:r>
      <w:r>
        <w:rPr>
          <w:rFonts w:ascii="Times New Roman" w:hAnsi="Times New Roman" w:cs="Times New Roman"/>
          <w:b/>
        </w:rPr>
        <w:t xml:space="preserve"> and Socioeconomic</w:t>
      </w:r>
      <w:r w:rsidRPr="00E61675">
        <w:rPr>
          <w:rFonts w:ascii="Times New Roman" w:hAnsi="Times New Roman" w:cs="Times New Roman"/>
          <w:b/>
        </w:rPr>
        <w:t xml:space="preserve"> Composition </w:t>
      </w:r>
      <w:r w:rsidRPr="006E3FFF">
        <w:rPr>
          <w:rFonts w:ascii="Times New Roman" w:hAnsi="Times New Roman" w:cs="Times New Roman"/>
          <w:b/>
        </w:rPr>
        <w:t>of</w:t>
      </w:r>
      <w:r w:rsidRPr="00DD2C1A">
        <w:rPr>
          <w:rFonts w:ascii="Times New Roman" w:hAnsi="Times New Roman" w:cs="Times New Roman"/>
          <w:b/>
        </w:rPr>
        <w:t xml:space="preserve"> Fenceline Communities to RMP Facilities Based on </w:t>
      </w:r>
      <w:r>
        <w:rPr>
          <w:rFonts w:ascii="Times New Roman" w:hAnsi="Times New Roman" w:cs="Times New Roman"/>
          <w:b/>
        </w:rPr>
        <w:t>Chemical Process Quantity</w:t>
      </w:r>
    </w:p>
    <w:tbl>
      <w:tblPr>
        <w:tblStyle w:val="TableGrid"/>
        <w:tblW w:w="15297" w:type="dxa"/>
        <w:jc w:val="center"/>
        <w:tblLook w:val="04A0"/>
      </w:tblPr>
      <w:tblGrid>
        <w:gridCol w:w="1030"/>
        <w:gridCol w:w="1098"/>
        <w:gridCol w:w="986"/>
        <w:gridCol w:w="954"/>
        <w:gridCol w:w="1220"/>
        <w:gridCol w:w="1264"/>
        <w:gridCol w:w="1264"/>
        <w:gridCol w:w="1188"/>
        <w:gridCol w:w="1341"/>
        <w:gridCol w:w="1188"/>
        <w:gridCol w:w="1188"/>
        <w:gridCol w:w="1188"/>
        <w:gridCol w:w="1388"/>
      </w:tblGrid>
      <w:tr w14:paraId="2F863E0F" w14:textId="77777777" w:rsidTr="0012392B">
        <w:tblPrEx>
          <w:tblW w:w="15297" w:type="dxa"/>
          <w:jc w:val="center"/>
          <w:tblLook w:val="04A0"/>
        </w:tblPrEx>
        <w:trPr>
          <w:trHeight w:val="247"/>
          <w:jc w:val="center"/>
        </w:trPr>
        <w:tc>
          <w:tcPr>
            <w:tcW w:w="1030" w:type="dxa"/>
            <w:tcBorders>
              <w:bottom w:val="single" w:sz="4" w:space="0" w:color="auto"/>
            </w:tcBorders>
            <w:shd w:val="clear" w:color="auto" w:fill="BFBFBF" w:themeFill="background1" w:themeFillShade="BF"/>
            <w:vAlign w:val="center"/>
          </w:tcPr>
          <w:p w:rsidR="00887025" w:rsidRPr="000A261E" w14:paraId="66B48055" w14:textId="77777777">
            <w:pPr>
              <w:spacing w:line="240" w:lineRule="auto"/>
              <w:jc w:val="center"/>
              <w:rPr>
                <w:b/>
                <w:color w:val="000000"/>
              </w:rPr>
            </w:pPr>
          </w:p>
        </w:tc>
        <w:tc>
          <w:tcPr>
            <w:tcW w:w="1098" w:type="dxa"/>
            <w:tcBorders>
              <w:bottom w:val="single" w:sz="4" w:space="0" w:color="auto"/>
            </w:tcBorders>
            <w:shd w:val="clear" w:color="auto" w:fill="BFBFBF" w:themeFill="background1" w:themeFillShade="BF"/>
            <w:vAlign w:val="center"/>
          </w:tcPr>
          <w:p w:rsidR="00887025" w:rsidRPr="000A261E" w14:paraId="35AC1D9D" w14:textId="77777777">
            <w:pPr>
              <w:spacing w:line="240" w:lineRule="auto"/>
              <w:jc w:val="center"/>
              <w:rPr>
                <w:b/>
                <w:color w:val="000000"/>
              </w:rPr>
            </w:pPr>
            <w:r w:rsidRPr="000A261E">
              <w:rPr>
                <w:b/>
                <w:color w:val="000000"/>
              </w:rPr>
              <w:t xml:space="preserve">Chemical </w:t>
            </w:r>
            <w:r>
              <w:rPr>
                <w:b/>
                <w:color w:val="000000"/>
              </w:rPr>
              <w:t>Process Quantity</w:t>
            </w:r>
            <w:r w:rsidRPr="000A261E">
              <w:rPr>
                <w:b/>
                <w:color w:val="000000"/>
              </w:rPr>
              <w:t xml:space="preserve"> Multiplier</w:t>
            </w:r>
          </w:p>
        </w:tc>
        <w:tc>
          <w:tcPr>
            <w:tcW w:w="986" w:type="dxa"/>
            <w:tcBorders>
              <w:bottom w:val="single" w:sz="4" w:space="0" w:color="auto"/>
            </w:tcBorders>
            <w:shd w:val="clear" w:color="auto" w:fill="BFBFBF" w:themeFill="background1" w:themeFillShade="BF"/>
            <w:vAlign w:val="center"/>
          </w:tcPr>
          <w:p w:rsidR="00887025" w:rsidRPr="000A261E" w14:paraId="26F8D69F" w14:textId="77777777">
            <w:pPr>
              <w:spacing w:line="240" w:lineRule="auto"/>
              <w:jc w:val="center"/>
              <w:rPr>
                <w:b/>
                <w:color w:val="000000"/>
              </w:rPr>
            </w:pPr>
            <w:r>
              <w:rPr>
                <w:b/>
                <w:color w:val="000000"/>
              </w:rPr>
              <w:t>Number of Facilities</w:t>
            </w:r>
          </w:p>
        </w:tc>
        <w:tc>
          <w:tcPr>
            <w:tcW w:w="953" w:type="dxa"/>
            <w:tcBorders>
              <w:bottom w:val="single" w:sz="4" w:space="0" w:color="auto"/>
            </w:tcBorders>
            <w:shd w:val="clear" w:color="auto" w:fill="BFBFBF" w:themeFill="background1" w:themeFillShade="BF"/>
            <w:vAlign w:val="center"/>
          </w:tcPr>
          <w:p w:rsidR="00887025" w:rsidRPr="000A261E" w14:paraId="334E4949" w14:textId="77777777">
            <w:pPr>
              <w:spacing w:line="240" w:lineRule="auto"/>
              <w:jc w:val="center"/>
              <w:rPr>
                <w:b/>
                <w:color w:val="000000"/>
              </w:rPr>
            </w:pPr>
            <w:r w:rsidRPr="000A261E">
              <w:rPr>
                <w:b/>
                <w:color w:val="000000"/>
              </w:rPr>
              <w:t>Buffer Distance (Miles)</w:t>
            </w:r>
          </w:p>
        </w:tc>
        <w:tc>
          <w:tcPr>
            <w:tcW w:w="1220" w:type="dxa"/>
            <w:tcBorders>
              <w:bottom w:val="single" w:sz="4" w:space="0" w:color="auto"/>
            </w:tcBorders>
            <w:shd w:val="clear" w:color="auto" w:fill="BFBFBF" w:themeFill="background1" w:themeFillShade="BF"/>
            <w:vAlign w:val="center"/>
          </w:tcPr>
          <w:p w:rsidR="00887025" w:rsidRPr="000A261E" w14:paraId="5D5E3FD9" w14:textId="77777777">
            <w:pPr>
              <w:spacing w:line="240" w:lineRule="auto"/>
              <w:jc w:val="center"/>
              <w:rPr>
                <w:b/>
                <w:color w:val="000000"/>
              </w:rPr>
            </w:pPr>
            <w:r w:rsidRPr="000A261E">
              <w:rPr>
                <w:b/>
                <w:color w:val="000000"/>
              </w:rPr>
              <w:t>Total Population</w:t>
            </w:r>
          </w:p>
        </w:tc>
        <w:tc>
          <w:tcPr>
            <w:tcW w:w="1264" w:type="dxa"/>
            <w:tcBorders>
              <w:bottom w:val="single" w:sz="4" w:space="0" w:color="auto"/>
            </w:tcBorders>
            <w:shd w:val="clear" w:color="auto" w:fill="BFBFBF" w:themeFill="background1" w:themeFillShade="BF"/>
            <w:noWrap/>
            <w:vAlign w:val="center"/>
          </w:tcPr>
          <w:p w:rsidR="00887025" w:rsidRPr="000A261E" w14:paraId="03C448DE" w14:textId="77777777">
            <w:pPr>
              <w:spacing w:line="240" w:lineRule="auto"/>
              <w:jc w:val="center"/>
              <w:rPr>
                <w:b/>
                <w:color w:val="000000"/>
              </w:rPr>
            </w:pPr>
            <w:r w:rsidRPr="000A261E">
              <w:rPr>
                <w:b/>
                <w:lang w:bidi="en-US"/>
              </w:rPr>
              <w:t>Percentage of Individuals that Identify as Black or African American Alone (non</w:t>
            </w:r>
            <w:r w:rsidRPr="000A261E">
              <w:rPr>
                <w:b/>
              </w:rPr>
              <w:t>-</w:t>
            </w:r>
            <w:r w:rsidRPr="000A261E">
              <w:rPr>
                <w:b/>
                <w:lang w:bidi="en-US"/>
              </w:rPr>
              <w:t>Hispanic)</w:t>
            </w:r>
          </w:p>
        </w:tc>
        <w:tc>
          <w:tcPr>
            <w:tcW w:w="1264" w:type="dxa"/>
            <w:tcBorders>
              <w:bottom w:val="single" w:sz="4" w:space="0" w:color="auto"/>
            </w:tcBorders>
            <w:shd w:val="clear" w:color="auto" w:fill="BFBFBF" w:themeFill="background1" w:themeFillShade="BF"/>
            <w:noWrap/>
            <w:vAlign w:val="center"/>
          </w:tcPr>
          <w:p w:rsidR="00887025" w:rsidRPr="000A261E" w14:paraId="1C2C28BE" w14:textId="77777777">
            <w:pPr>
              <w:spacing w:line="240" w:lineRule="auto"/>
              <w:jc w:val="center"/>
              <w:rPr>
                <w:b/>
                <w:color w:val="000000"/>
              </w:rPr>
            </w:pPr>
            <w:r w:rsidRPr="000A261E">
              <w:rPr>
                <w:b/>
                <w:lang w:bidi="en-US"/>
              </w:rPr>
              <w:t>Percentage of Individuals that Identify as American Indian and Alaska Native Alone (non</w:t>
            </w:r>
            <w:r w:rsidRPr="000A261E">
              <w:rPr>
                <w:b/>
              </w:rPr>
              <w:t>-</w:t>
            </w:r>
            <w:r w:rsidRPr="000A261E">
              <w:rPr>
                <w:b/>
                <w:lang w:bidi="en-US"/>
              </w:rPr>
              <w:t>Hispanic)</w:t>
            </w:r>
          </w:p>
        </w:tc>
        <w:tc>
          <w:tcPr>
            <w:tcW w:w="1188" w:type="dxa"/>
            <w:tcBorders>
              <w:bottom w:val="single" w:sz="4" w:space="0" w:color="auto"/>
            </w:tcBorders>
            <w:shd w:val="clear" w:color="auto" w:fill="BFBFBF" w:themeFill="background1" w:themeFillShade="BF"/>
            <w:noWrap/>
            <w:vAlign w:val="center"/>
          </w:tcPr>
          <w:p w:rsidR="00887025" w:rsidRPr="000A261E" w14:paraId="6523CE6C" w14:textId="77777777">
            <w:pPr>
              <w:spacing w:line="240" w:lineRule="auto"/>
              <w:jc w:val="center"/>
              <w:rPr>
                <w:b/>
                <w:color w:val="000000"/>
              </w:rPr>
            </w:pPr>
            <w:r w:rsidRPr="000A261E">
              <w:rPr>
                <w:b/>
                <w:lang w:bidi="en-US"/>
              </w:rPr>
              <w:t>Percentage of Individuals that Identify as Asian Alone (non</w:t>
            </w:r>
            <w:r w:rsidRPr="000A261E">
              <w:rPr>
                <w:b/>
              </w:rPr>
              <w:t>-</w:t>
            </w:r>
            <w:r w:rsidRPr="000A261E">
              <w:rPr>
                <w:b/>
                <w:lang w:bidi="en-US"/>
              </w:rPr>
              <w:t>Hispanic)</w:t>
            </w:r>
          </w:p>
        </w:tc>
        <w:tc>
          <w:tcPr>
            <w:tcW w:w="1341" w:type="dxa"/>
            <w:tcBorders>
              <w:bottom w:val="single" w:sz="4" w:space="0" w:color="auto"/>
            </w:tcBorders>
            <w:shd w:val="clear" w:color="auto" w:fill="BFBFBF" w:themeFill="background1" w:themeFillShade="BF"/>
            <w:noWrap/>
            <w:vAlign w:val="center"/>
          </w:tcPr>
          <w:p w:rsidR="00887025" w:rsidRPr="000A261E" w14:paraId="29B2F76D" w14:textId="77777777">
            <w:pPr>
              <w:spacing w:line="240" w:lineRule="auto"/>
              <w:jc w:val="center"/>
              <w:rPr>
                <w:b/>
                <w:color w:val="000000"/>
              </w:rPr>
            </w:pPr>
            <w:r w:rsidRPr="000A261E">
              <w:rPr>
                <w:b/>
                <w:lang w:bidi="en-US"/>
              </w:rPr>
              <w:t>Percentage of Individuals that Identify as Native Hawaiian and Other Pacific Islander Alone (non</w:t>
            </w:r>
            <w:r w:rsidRPr="000A261E">
              <w:rPr>
                <w:b/>
              </w:rPr>
              <w:t>-</w:t>
            </w:r>
            <w:r w:rsidRPr="000A261E">
              <w:rPr>
                <w:b/>
                <w:lang w:bidi="en-US"/>
              </w:rPr>
              <w:t>Hispanic)</w:t>
            </w:r>
          </w:p>
        </w:tc>
        <w:tc>
          <w:tcPr>
            <w:tcW w:w="1188" w:type="dxa"/>
            <w:tcBorders>
              <w:bottom w:val="single" w:sz="4" w:space="0" w:color="auto"/>
            </w:tcBorders>
            <w:shd w:val="clear" w:color="auto" w:fill="BFBFBF" w:themeFill="background1" w:themeFillShade="BF"/>
            <w:noWrap/>
            <w:vAlign w:val="center"/>
          </w:tcPr>
          <w:p w:rsidR="00887025" w:rsidRPr="000A261E" w14:paraId="51CAE38B" w14:textId="77777777">
            <w:pPr>
              <w:spacing w:line="240" w:lineRule="auto"/>
              <w:jc w:val="center"/>
              <w:rPr>
                <w:b/>
                <w:color w:val="000000"/>
              </w:rPr>
            </w:pPr>
            <w:r w:rsidRPr="000A261E">
              <w:rPr>
                <w:b/>
                <w:lang w:bidi="en-US"/>
              </w:rPr>
              <w:t>Percentage of Individuals that Identify as Some Other Race Alone (non</w:t>
            </w:r>
            <w:r w:rsidRPr="000A261E">
              <w:rPr>
                <w:b/>
              </w:rPr>
              <w:t>-</w:t>
            </w:r>
            <w:r w:rsidRPr="000A261E">
              <w:rPr>
                <w:b/>
                <w:lang w:bidi="en-US"/>
              </w:rPr>
              <w:t>Hispanic)</w:t>
            </w:r>
          </w:p>
        </w:tc>
        <w:tc>
          <w:tcPr>
            <w:tcW w:w="1188" w:type="dxa"/>
            <w:tcBorders>
              <w:bottom w:val="single" w:sz="4" w:space="0" w:color="auto"/>
            </w:tcBorders>
            <w:shd w:val="clear" w:color="auto" w:fill="BFBFBF" w:themeFill="background1" w:themeFillShade="BF"/>
            <w:noWrap/>
            <w:vAlign w:val="center"/>
          </w:tcPr>
          <w:p w:rsidR="00887025" w:rsidRPr="000A261E" w14:paraId="6F882841" w14:textId="77777777">
            <w:pPr>
              <w:spacing w:line="240" w:lineRule="auto"/>
              <w:jc w:val="center"/>
              <w:rPr>
                <w:b/>
                <w:color w:val="000000"/>
              </w:rPr>
            </w:pPr>
            <w:r w:rsidRPr="000A261E">
              <w:rPr>
                <w:b/>
                <w:lang w:bidi="en-US"/>
              </w:rPr>
              <w:t>Percentage of Individuals that Identify as Two or More Races</w:t>
            </w:r>
          </w:p>
        </w:tc>
        <w:tc>
          <w:tcPr>
            <w:tcW w:w="1188" w:type="dxa"/>
            <w:tcBorders>
              <w:bottom w:val="single" w:sz="4" w:space="0" w:color="auto"/>
            </w:tcBorders>
            <w:shd w:val="clear" w:color="auto" w:fill="BFBFBF" w:themeFill="background1" w:themeFillShade="BF"/>
            <w:noWrap/>
            <w:vAlign w:val="center"/>
          </w:tcPr>
          <w:p w:rsidR="00887025" w:rsidRPr="000A261E" w14:paraId="557D40DF" w14:textId="77777777">
            <w:pPr>
              <w:spacing w:line="240" w:lineRule="auto"/>
              <w:jc w:val="center"/>
              <w:rPr>
                <w:b/>
                <w:color w:val="000000"/>
              </w:rPr>
            </w:pPr>
            <w:r w:rsidRPr="000A261E">
              <w:rPr>
                <w:b/>
                <w:color w:val="000000"/>
              </w:rPr>
              <w:t>Percentage of Individuals that Identify as Hispanic or Latino Alone</w:t>
            </w:r>
          </w:p>
        </w:tc>
        <w:tc>
          <w:tcPr>
            <w:tcW w:w="1388" w:type="dxa"/>
            <w:tcBorders>
              <w:bottom w:val="single" w:sz="4" w:space="0" w:color="auto"/>
            </w:tcBorders>
            <w:shd w:val="clear" w:color="auto" w:fill="BFBFBF" w:themeFill="background1" w:themeFillShade="BF"/>
            <w:vAlign w:val="center"/>
          </w:tcPr>
          <w:p w:rsidR="00887025" w:rsidRPr="000A261E" w14:paraId="412E7D35" w14:textId="77777777">
            <w:pPr>
              <w:spacing w:line="240" w:lineRule="auto"/>
              <w:jc w:val="center"/>
              <w:rPr>
                <w:b/>
                <w:color w:val="000000"/>
              </w:rPr>
            </w:pPr>
            <w:r>
              <w:rPr>
                <w:b/>
                <w:color w:val="000000"/>
              </w:rPr>
              <w:t>Percentage of Individuals</w:t>
            </w:r>
            <w:r w:rsidRPr="00205242">
              <w:rPr>
                <w:b/>
                <w:color w:val="000000"/>
              </w:rPr>
              <w:t xml:space="preserve"> </w:t>
            </w:r>
            <w:r>
              <w:rPr>
                <w:b/>
                <w:color w:val="000000"/>
              </w:rPr>
              <w:t>E</w:t>
            </w:r>
            <w:r w:rsidRPr="003C56CB">
              <w:rPr>
                <w:b/>
                <w:color w:val="000000"/>
              </w:rPr>
              <w:t xml:space="preserve">arning </w:t>
            </w:r>
            <w:r>
              <w:rPr>
                <w:b/>
                <w:color w:val="000000"/>
              </w:rPr>
              <w:t>L</w:t>
            </w:r>
            <w:r w:rsidRPr="003C56CB">
              <w:rPr>
                <w:b/>
                <w:color w:val="000000"/>
              </w:rPr>
              <w:t xml:space="preserve">ess </w:t>
            </w:r>
            <w:r>
              <w:rPr>
                <w:b/>
                <w:color w:val="000000"/>
              </w:rPr>
              <w:t>T</w:t>
            </w:r>
            <w:r w:rsidRPr="003C56CB">
              <w:rPr>
                <w:b/>
                <w:color w:val="000000"/>
              </w:rPr>
              <w:t xml:space="preserve">han or </w:t>
            </w:r>
            <w:r>
              <w:rPr>
                <w:b/>
                <w:color w:val="000000"/>
              </w:rPr>
              <w:t>E</w:t>
            </w:r>
            <w:r w:rsidRPr="003C56CB">
              <w:rPr>
                <w:b/>
                <w:color w:val="000000"/>
              </w:rPr>
              <w:t xml:space="preserve">qual to </w:t>
            </w:r>
            <w:r>
              <w:rPr>
                <w:b/>
                <w:color w:val="000000"/>
              </w:rPr>
              <w:t>T</w:t>
            </w:r>
            <w:r w:rsidRPr="003C56CB">
              <w:rPr>
                <w:b/>
                <w:color w:val="000000"/>
              </w:rPr>
              <w:t xml:space="preserve">wice the </w:t>
            </w:r>
            <w:r>
              <w:rPr>
                <w:b/>
                <w:color w:val="000000"/>
              </w:rPr>
              <w:t>F</w:t>
            </w:r>
            <w:r w:rsidRPr="003C56CB">
              <w:rPr>
                <w:b/>
                <w:color w:val="000000"/>
              </w:rPr>
              <w:t xml:space="preserve">ederal </w:t>
            </w:r>
            <w:r>
              <w:rPr>
                <w:b/>
                <w:color w:val="000000"/>
              </w:rPr>
              <w:t>P</w:t>
            </w:r>
            <w:r w:rsidRPr="003C56CB">
              <w:rPr>
                <w:b/>
                <w:color w:val="000000"/>
              </w:rPr>
              <w:t xml:space="preserve">overty </w:t>
            </w:r>
            <w:r>
              <w:rPr>
                <w:b/>
                <w:color w:val="000000"/>
              </w:rPr>
              <w:t>L</w:t>
            </w:r>
            <w:r w:rsidRPr="003C56CB">
              <w:rPr>
                <w:b/>
                <w:color w:val="000000"/>
              </w:rPr>
              <w:t>eve</w:t>
            </w:r>
            <w:r>
              <w:rPr>
                <w:b/>
                <w:color w:val="000000"/>
              </w:rPr>
              <w:t>l</w:t>
            </w:r>
          </w:p>
        </w:tc>
      </w:tr>
      <w:tr w14:paraId="7A6D9EAD" w14:textId="77777777" w:rsidTr="0012392B">
        <w:tblPrEx>
          <w:tblW w:w="15297" w:type="dxa"/>
          <w:jc w:val="center"/>
          <w:tblLook w:val="04A0"/>
        </w:tblPrEx>
        <w:trPr>
          <w:trHeight w:val="247"/>
          <w:jc w:val="center"/>
        </w:trPr>
        <w:tc>
          <w:tcPr>
            <w:tcW w:w="1030" w:type="dxa"/>
            <w:vMerge w:val="restart"/>
            <w:tcBorders>
              <w:top w:val="single" w:sz="12" w:space="0" w:color="auto"/>
            </w:tcBorders>
            <w:vAlign w:val="center"/>
          </w:tcPr>
          <w:p w:rsidR="00887025" w:rsidRPr="005E5698" w14:paraId="4C079D31" w14:textId="77777777">
            <w:pPr>
              <w:spacing w:line="240" w:lineRule="auto"/>
              <w:rPr>
                <w:color w:val="000000"/>
              </w:rPr>
            </w:pPr>
            <w:r w:rsidRPr="005E5698">
              <w:rPr>
                <w:color w:val="000000"/>
              </w:rPr>
              <w:t>Facilities with accidents 2004-2020</w:t>
            </w:r>
          </w:p>
        </w:tc>
        <w:tc>
          <w:tcPr>
            <w:tcW w:w="1098" w:type="dxa"/>
            <w:vMerge w:val="restart"/>
            <w:tcBorders>
              <w:top w:val="single" w:sz="12" w:space="0" w:color="auto"/>
            </w:tcBorders>
            <w:vAlign w:val="center"/>
          </w:tcPr>
          <w:p w:rsidR="00887025" w:rsidRPr="005E5698" w14:paraId="5B262F2D" w14:textId="77777777">
            <w:pPr>
              <w:spacing w:line="240" w:lineRule="auto"/>
              <w:jc w:val="center"/>
              <w:rPr>
                <w:color w:val="000000"/>
              </w:rPr>
            </w:pPr>
            <w:r>
              <w:rPr>
                <w:color w:val="000000"/>
              </w:rPr>
              <w:t>≤1</w:t>
            </w:r>
          </w:p>
        </w:tc>
        <w:tc>
          <w:tcPr>
            <w:tcW w:w="986" w:type="dxa"/>
            <w:vMerge w:val="restart"/>
            <w:tcBorders>
              <w:top w:val="single" w:sz="12" w:space="0" w:color="auto"/>
            </w:tcBorders>
            <w:vAlign w:val="center"/>
          </w:tcPr>
          <w:p w:rsidR="00887025" w:rsidRPr="005E5698" w14:paraId="62ECAB09" w14:textId="77777777">
            <w:pPr>
              <w:spacing w:line="240" w:lineRule="auto"/>
              <w:jc w:val="center"/>
              <w:rPr>
                <w:color w:val="000000"/>
              </w:rPr>
            </w:pPr>
            <w:r>
              <w:rPr>
                <w:color w:val="000000"/>
              </w:rPr>
              <w:t>3</w:t>
            </w:r>
          </w:p>
        </w:tc>
        <w:tc>
          <w:tcPr>
            <w:tcW w:w="953" w:type="dxa"/>
            <w:tcBorders>
              <w:top w:val="single" w:sz="12" w:space="0" w:color="auto"/>
            </w:tcBorders>
            <w:vAlign w:val="center"/>
          </w:tcPr>
          <w:p w:rsidR="00887025" w:rsidRPr="005E5698" w14:paraId="2C6A625F" w14:textId="77777777">
            <w:pPr>
              <w:spacing w:line="240" w:lineRule="auto"/>
              <w:jc w:val="center"/>
              <w:rPr>
                <w:color w:val="000000"/>
              </w:rPr>
            </w:pPr>
            <w:r w:rsidRPr="005E5698">
              <w:rPr>
                <w:color w:val="000000"/>
              </w:rPr>
              <w:t>1</w:t>
            </w:r>
          </w:p>
        </w:tc>
        <w:tc>
          <w:tcPr>
            <w:tcW w:w="1220" w:type="dxa"/>
            <w:tcBorders>
              <w:top w:val="single" w:sz="12" w:space="0" w:color="auto"/>
              <w:left w:val="nil"/>
              <w:bottom w:val="single" w:sz="4" w:space="0" w:color="auto"/>
              <w:right w:val="single" w:sz="4" w:space="0" w:color="auto"/>
            </w:tcBorders>
            <w:shd w:val="clear" w:color="auto" w:fill="auto"/>
            <w:vAlign w:val="center"/>
          </w:tcPr>
          <w:p w:rsidR="00887025" w:rsidRPr="005E5698" w14:paraId="084C91C9" w14:textId="77777777">
            <w:pPr>
              <w:spacing w:line="240" w:lineRule="auto"/>
              <w:jc w:val="right"/>
              <w:rPr>
                <w:color w:val="000000"/>
              </w:rPr>
            </w:pPr>
            <w:r w:rsidRPr="005E5698">
              <w:rPr>
                <w:color w:val="000000"/>
              </w:rPr>
              <w:t>3,484</w:t>
            </w:r>
          </w:p>
        </w:tc>
        <w:tc>
          <w:tcPr>
            <w:tcW w:w="1264" w:type="dxa"/>
            <w:tcBorders>
              <w:top w:val="single" w:sz="12" w:space="0" w:color="auto"/>
              <w:left w:val="nil"/>
              <w:bottom w:val="single" w:sz="4" w:space="0" w:color="auto"/>
              <w:right w:val="single" w:sz="4" w:space="0" w:color="auto"/>
            </w:tcBorders>
            <w:shd w:val="clear" w:color="auto" w:fill="auto"/>
            <w:noWrap/>
            <w:vAlign w:val="center"/>
          </w:tcPr>
          <w:p w:rsidR="00887025" w:rsidRPr="005E5698" w14:paraId="7C817321" w14:textId="77777777">
            <w:pPr>
              <w:spacing w:line="240" w:lineRule="auto"/>
              <w:jc w:val="center"/>
              <w:rPr>
                <w:color w:val="000000"/>
              </w:rPr>
            </w:pPr>
            <w:r w:rsidRPr="005E5698">
              <w:rPr>
                <w:color w:val="000000"/>
              </w:rPr>
              <w:t>4.5%</w:t>
            </w:r>
          </w:p>
        </w:tc>
        <w:tc>
          <w:tcPr>
            <w:tcW w:w="1264"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5E5698" w14:paraId="0D2AB227" w14:textId="77777777">
            <w:pPr>
              <w:spacing w:line="240" w:lineRule="auto"/>
              <w:jc w:val="center"/>
              <w:rPr>
                <w:color w:val="000000"/>
              </w:rPr>
            </w:pPr>
            <w:r w:rsidRPr="005E5698">
              <w:rPr>
                <w:color w:val="000000"/>
              </w:rPr>
              <w:t>0.1%</w:t>
            </w:r>
          </w:p>
        </w:tc>
        <w:tc>
          <w:tcPr>
            <w:tcW w:w="118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DD1DCF" w14:paraId="3A012AB4" w14:textId="77777777">
            <w:pPr>
              <w:spacing w:line="240" w:lineRule="auto"/>
              <w:jc w:val="center"/>
              <w:rPr>
                <w:b/>
                <w:bCs/>
                <w:color w:val="000000"/>
              </w:rPr>
            </w:pPr>
            <w:r w:rsidRPr="00DD1DCF">
              <w:rPr>
                <w:b/>
                <w:bCs/>
                <w:color w:val="000000"/>
              </w:rPr>
              <w:t>29.5%</w:t>
            </w:r>
          </w:p>
        </w:tc>
        <w:tc>
          <w:tcPr>
            <w:tcW w:w="1341"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DD1DCF" w14:paraId="59D01F7E" w14:textId="77777777">
            <w:pPr>
              <w:spacing w:line="240" w:lineRule="auto"/>
              <w:jc w:val="center"/>
              <w:rPr>
                <w:b/>
                <w:bCs/>
                <w:color w:val="000000"/>
              </w:rPr>
            </w:pPr>
            <w:r w:rsidRPr="00DD1DCF">
              <w:rPr>
                <w:b/>
                <w:bCs/>
                <w:color w:val="000000"/>
              </w:rPr>
              <w:t>5.9%</w:t>
            </w:r>
          </w:p>
        </w:tc>
        <w:tc>
          <w:tcPr>
            <w:tcW w:w="118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5E5698" w14:paraId="20551864" w14:textId="77777777">
            <w:pPr>
              <w:spacing w:line="240" w:lineRule="auto"/>
              <w:jc w:val="center"/>
              <w:rPr>
                <w:color w:val="000000"/>
              </w:rPr>
            </w:pPr>
            <w:r w:rsidRPr="005E5698">
              <w:rPr>
                <w:color w:val="000000"/>
              </w:rPr>
              <w:t>0.1%</w:t>
            </w:r>
          </w:p>
        </w:tc>
        <w:tc>
          <w:tcPr>
            <w:tcW w:w="118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5E5698" w14:paraId="7B957237" w14:textId="77777777">
            <w:pPr>
              <w:spacing w:line="240" w:lineRule="auto"/>
              <w:jc w:val="center"/>
              <w:rPr>
                <w:color w:val="000000"/>
              </w:rPr>
            </w:pPr>
            <w:r w:rsidRPr="005E5698">
              <w:rPr>
                <w:color w:val="000000"/>
              </w:rPr>
              <w:t>1.4%</w:t>
            </w:r>
          </w:p>
        </w:tc>
        <w:tc>
          <w:tcPr>
            <w:tcW w:w="118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87025" w:rsidRPr="00DD1DCF" w14:paraId="2F4BA988" w14:textId="77777777">
            <w:pPr>
              <w:spacing w:line="240" w:lineRule="auto"/>
              <w:jc w:val="center"/>
              <w:rPr>
                <w:b/>
                <w:bCs/>
                <w:color w:val="000000"/>
              </w:rPr>
            </w:pPr>
            <w:r w:rsidRPr="00DD1DCF">
              <w:rPr>
                <w:b/>
                <w:bCs/>
                <w:color w:val="000000"/>
              </w:rPr>
              <w:t>41.9%</w:t>
            </w:r>
          </w:p>
        </w:tc>
        <w:tc>
          <w:tcPr>
            <w:tcW w:w="1388" w:type="dxa"/>
            <w:tcBorders>
              <w:top w:val="single" w:sz="12" w:space="0" w:color="auto"/>
              <w:left w:val="single" w:sz="4" w:space="0" w:color="auto"/>
              <w:bottom w:val="single" w:sz="4" w:space="0" w:color="auto"/>
              <w:right w:val="single" w:sz="4" w:space="0" w:color="auto"/>
            </w:tcBorders>
            <w:vAlign w:val="center"/>
          </w:tcPr>
          <w:p w:rsidR="00887025" w:rsidRPr="005E5698" w14:paraId="04B3A27F" w14:textId="77777777">
            <w:pPr>
              <w:spacing w:line="240" w:lineRule="auto"/>
              <w:jc w:val="center"/>
              <w:rPr>
                <w:color w:val="000000"/>
              </w:rPr>
            </w:pPr>
            <w:r w:rsidRPr="00C1118F">
              <w:rPr>
                <w:color w:val="000000"/>
              </w:rPr>
              <w:t>22.8%</w:t>
            </w:r>
          </w:p>
        </w:tc>
      </w:tr>
      <w:tr w14:paraId="7BCD83AB" w14:textId="77777777" w:rsidTr="0012392B">
        <w:tblPrEx>
          <w:tblW w:w="15297" w:type="dxa"/>
          <w:jc w:val="center"/>
          <w:tblLook w:val="04A0"/>
        </w:tblPrEx>
        <w:trPr>
          <w:trHeight w:val="247"/>
          <w:jc w:val="center"/>
        </w:trPr>
        <w:tc>
          <w:tcPr>
            <w:tcW w:w="1030" w:type="dxa"/>
            <w:vMerge/>
            <w:vAlign w:val="center"/>
          </w:tcPr>
          <w:p w:rsidR="00887025" w:rsidRPr="005E5698" w14:paraId="5A6D4A0F" w14:textId="77777777">
            <w:pPr>
              <w:spacing w:line="240" w:lineRule="auto"/>
              <w:jc w:val="center"/>
              <w:rPr>
                <w:color w:val="000000"/>
              </w:rPr>
            </w:pPr>
          </w:p>
        </w:tc>
        <w:tc>
          <w:tcPr>
            <w:tcW w:w="1098" w:type="dxa"/>
            <w:vMerge/>
            <w:vAlign w:val="center"/>
          </w:tcPr>
          <w:p w:rsidR="00887025" w:rsidRPr="005E5698" w14:paraId="2DBEFAFD" w14:textId="77777777">
            <w:pPr>
              <w:spacing w:line="240" w:lineRule="auto"/>
              <w:jc w:val="center"/>
              <w:rPr>
                <w:color w:val="000000"/>
              </w:rPr>
            </w:pPr>
          </w:p>
        </w:tc>
        <w:tc>
          <w:tcPr>
            <w:tcW w:w="986" w:type="dxa"/>
            <w:vMerge/>
            <w:vAlign w:val="center"/>
          </w:tcPr>
          <w:p w:rsidR="00887025" w:rsidRPr="005E5698" w14:paraId="12AF9813" w14:textId="77777777">
            <w:pPr>
              <w:spacing w:line="240" w:lineRule="auto"/>
              <w:jc w:val="center"/>
              <w:rPr>
                <w:color w:val="000000"/>
              </w:rPr>
            </w:pPr>
          </w:p>
        </w:tc>
        <w:tc>
          <w:tcPr>
            <w:tcW w:w="953" w:type="dxa"/>
            <w:vAlign w:val="center"/>
          </w:tcPr>
          <w:p w:rsidR="00887025" w:rsidRPr="005E5698" w14:paraId="7569D469" w14:textId="77777777">
            <w:pPr>
              <w:spacing w:line="240" w:lineRule="auto"/>
              <w:jc w:val="center"/>
              <w:rPr>
                <w:color w:val="000000"/>
              </w:rPr>
            </w:pPr>
            <w:r w:rsidRPr="005E5698">
              <w:rPr>
                <w:color w:val="000000"/>
              </w:rPr>
              <w:t>3</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7806B33B" w14:textId="77777777">
            <w:pPr>
              <w:spacing w:line="240" w:lineRule="auto"/>
              <w:jc w:val="right"/>
              <w:rPr>
                <w:color w:val="000000"/>
              </w:rPr>
            </w:pPr>
            <w:r w:rsidRPr="005E5698">
              <w:rPr>
                <w:color w:val="000000"/>
              </w:rPr>
              <w:t>1,092,307</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5E5698" w14:paraId="3416DEA3" w14:textId="77777777">
            <w:pPr>
              <w:spacing w:line="240" w:lineRule="auto"/>
              <w:jc w:val="center"/>
              <w:rPr>
                <w:color w:val="000000"/>
              </w:rPr>
            </w:pPr>
            <w:r w:rsidRPr="005E5698">
              <w:rPr>
                <w:color w:val="000000"/>
              </w:rPr>
              <w:t>6.9%</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6C67E4F6" w14:textId="77777777">
            <w:pPr>
              <w:spacing w:line="240" w:lineRule="auto"/>
              <w:jc w:val="center"/>
              <w:rPr>
                <w:b/>
                <w:bCs/>
                <w:color w:val="000000"/>
              </w:rPr>
            </w:pPr>
            <w:r w:rsidRPr="00DD1DCF">
              <w:rPr>
                <w:b/>
                <w:bCs/>
                <w:color w:val="000000"/>
              </w:rPr>
              <w:t>1.8%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68C791B9" w14:textId="77777777">
            <w:pPr>
              <w:spacing w:line="240" w:lineRule="auto"/>
              <w:jc w:val="center"/>
              <w:rPr>
                <w:color w:val="000000"/>
              </w:rPr>
            </w:pPr>
            <w:r w:rsidRPr="005E5698">
              <w:rPr>
                <w:color w:val="000000"/>
              </w:rPr>
              <w:t>4.6%</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4B2E56D3" w14:textId="77777777">
            <w:pPr>
              <w:spacing w:line="240" w:lineRule="auto"/>
              <w:jc w:val="center"/>
              <w:rPr>
                <w:b/>
                <w:bCs/>
                <w:color w:val="000000"/>
              </w:rPr>
            </w:pPr>
            <w:r w:rsidRPr="00DD1DCF">
              <w:rPr>
                <w:b/>
                <w:bCs/>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4BC5B6B7" w14:textId="77777777">
            <w:pPr>
              <w:spacing w:line="240" w:lineRule="auto"/>
              <w:jc w:val="center"/>
              <w:rPr>
                <w:color w:val="000000"/>
              </w:rPr>
            </w:pPr>
            <w:r w:rsidRPr="005E5698">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7AFF710E" w14:textId="77777777">
            <w:pPr>
              <w:spacing w:line="240" w:lineRule="auto"/>
              <w:jc w:val="center"/>
              <w:rPr>
                <w:color w:val="000000"/>
              </w:rPr>
            </w:pPr>
            <w:r w:rsidRPr="005E5698">
              <w:rPr>
                <w:color w:val="000000"/>
              </w:rPr>
              <w:t>2.9%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34A1197A" w14:textId="77777777">
            <w:pPr>
              <w:spacing w:line="240" w:lineRule="auto"/>
              <w:jc w:val="center"/>
              <w:rPr>
                <w:b/>
                <w:bCs/>
                <w:color w:val="000000"/>
              </w:rPr>
            </w:pPr>
            <w:r w:rsidRPr="00DD1DCF">
              <w:rPr>
                <w:b/>
                <w:bCs/>
                <w:color w:val="000000"/>
              </w:rPr>
              <w:t>48.8%</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235B2CAC" w14:textId="77777777">
            <w:pPr>
              <w:spacing w:line="240" w:lineRule="auto"/>
              <w:jc w:val="center"/>
              <w:rPr>
                <w:b/>
                <w:bCs/>
                <w:color w:val="000000"/>
              </w:rPr>
            </w:pPr>
            <w:r w:rsidRPr="00DD1DCF">
              <w:rPr>
                <w:b/>
                <w:bCs/>
                <w:color w:val="000000"/>
              </w:rPr>
              <w:t>40%</w:t>
            </w:r>
          </w:p>
        </w:tc>
      </w:tr>
      <w:tr w14:paraId="4FE6A653" w14:textId="77777777" w:rsidTr="0012392B">
        <w:tblPrEx>
          <w:tblW w:w="15297" w:type="dxa"/>
          <w:jc w:val="center"/>
          <w:tblLook w:val="04A0"/>
        </w:tblPrEx>
        <w:trPr>
          <w:trHeight w:val="247"/>
          <w:jc w:val="center"/>
        </w:trPr>
        <w:tc>
          <w:tcPr>
            <w:tcW w:w="1030" w:type="dxa"/>
            <w:vMerge/>
            <w:vAlign w:val="center"/>
          </w:tcPr>
          <w:p w:rsidR="00887025" w:rsidRPr="005E5698" w14:paraId="16413860" w14:textId="77777777">
            <w:pPr>
              <w:spacing w:line="240" w:lineRule="auto"/>
              <w:jc w:val="center"/>
              <w:rPr>
                <w:color w:val="000000"/>
              </w:rPr>
            </w:pPr>
          </w:p>
        </w:tc>
        <w:tc>
          <w:tcPr>
            <w:tcW w:w="1098" w:type="dxa"/>
            <w:vMerge w:val="restart"/>
            <w:vAlign w:val="center"/>
          </w:tcPr>
          <w:p w:rsidR="00887025" w:rsidRPr="005E5698" w14:paraId="5F1C7B16" w14:textId="77777777">
            <w:pPr>
              <w:spacing w:line="240" w:lineRule="auto"/>
              <w:jc w:val="center"/>
              <w:rPr>
                <w:color w:val="000000"/>
              </w:rPr>
            </w:pPr>
            <w:r>
              <w:rPr>
                <w:color w:val="000000"/>
              </w:rPr>
              <w:t xml:space="preserve">1 - </w:t>
            </w:r>
            <w:r w:rsidRPr="00CA1AA9">
              <w:rPr>
                <w:color w:val="000000"/>
              </w:rPr>
              <w:t>10</w:t>
            </w:r>
          </w:p>
        </w:tc>
        <w:tc>
          <w:tcPr>
            <w:tcW w:w="986" w:type="dxa"/>
            <w:vMerge w:val="restart"/>
            <w:vAlign w:val="center"/>
          </w:tcPr>
          <w:p w:rsidR="00887025" w:rsidRPr="005E5698" w14:paraId="62AAEE61" w14:textId="77777777">
            <w:pPr>
              <w:spacing w:line="240" w:lineRule="auto"/>
              <w:jc w:val="center"/>
              <w:rPr>
                <w:color w:val="000000"/>
              </w:rPr>
            </w:pPr>
            <w:r>
              <w:rPr>
                <w:color w:val="000000"/>
              </w:rPr>
              <w:t>440</w:t>
            </w:r>
          </w:p>
        </w:tc>
        <w:tc>
          <w:tcPr>
            <w:tcW w:w="953" w:type="dxa"/>
            <w:vAlign w:val="center"/>
          </w:tcPr>
          <w:p w:rsidR="00887025" w:rsidRPr="005E5698" w14:paraId="5287F4F3" w14:textId="77777777">
            <w:pPr>
              <w:spacing w:line="240" w:lineRule="auto"/>
              <w:jc w:val="center"/>
              <w:rPr>
                <w:color w:val="000000"/>
              </w:rPr>
            </w:pPr>
            <w:r w:rsidRPr="005E5698">
              <w:rPr>
                <w:color w:val="000000"/>
              </w:rPr>
              <w:t>1</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44CCF5D4" w14:textId="77777777">
            <w:pPr>
              <w:spacing w:line="240" w:lineRule="auto"/>
              <w:jc w:val="right"/>
              <w:rPr>
                <w:color w:val="000000"/>
              </w:rPr>
            </w:pPr>
            <w:r w:rsidRPr="005E5698">
              <w:rPr>
                <w:color w:val="000000"/>
              </w:rPr>
              <w:t>1,343,521</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05FFA0E8" w14:textId="77777777">
            <w:pPr>
              <w:spacing w:line="240" w:lineRule="auto"/>
              <w:jc w:val="center"/>
              <w:rPr>
                <w:b/>
                <w:bCs/>
                <w:color w:val="000000"/>
              </w:rPr>
            </w:pPr>
            <w:r w:rsidRPr="00DD1DCF">
              <w:rPr>
                <w:b/>
                <w:bCs/>
                <w:color w:val="000000"/>
              </w:rPr>
              <w:t>16.8%</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3ACCA46C"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7CC894B" w14:textId="77777777">
            <w:pPr>
              <w:spacing w:line="240" w:lineRule="auto"/>
              <w:jc w:val="center"/>
              <w:rPr>
                <w:color w:val="000000"/>
              </w:rPr>
            </w:pPr>
            <w:r w:rsidRPr="005E5698">
              <w:rPr>
                <w:color w:val="000000"/>
              </w:rPr>
              <w:t>4.5%</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CBBD5B7" w14:textId="77777777">
            <w:pPr>
              <w:spacing w:line="240" w:lineRule="auto"/>
              <w:jc w:val="center"/>
              <w:rPr>
                <w:color w:val="000000"/>
              </w:rPr>
            </w:pPr>
            <w:r w:rsidRPr="005E5698">
              <w:rPr>
                <w:color w:val="000000"/>
              </w:rPr>
              <w:t>0.1%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D02B4A9"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BD96F71" w14:textId="77777777">
            <w:pPr>
              <w:spacing w:line="240" w:lineRule="auto"/>
              <w:jc w:val="center"/>
              <w:rPr>
                <w:color w:val="000000"/>
              </w:rPr>
            </w:pPr>
            <w:r w:rsidRPr="005E5698">
              <w:rPr>
                <w:color w:val="000000"/>
              </w:rPr>
              <w:t>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3F9516CC" w14:textId="77777777">
            <w:pPr>
              <w:spacing w:line="240" w:lineRule="auto"/>
              <w:jc w:val="center"/>
              <w:rPr>
                <w:b/>
                <w:bCs/>
                <w:color w:val="000000"/>
              </w:rPr>
            </w:pPr>
            <w:r w:rsidRPr="00DD1DCF">
              <w:rPr>
                <w:b/>
                <w:bCs/>
                <w:color w:val="000000"/>
              </w:rPr>
              <w:t>31.9%</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5598544B" w14:textId="77777777">
            <w:pPr>
              <w:spacing w:line="240" w:lineRule="auto"/>
              <w:jc w:val="center"/>
              <w:rPr>
                <w:b/>
                <w:bCs/>
                <w:color w:val="000000"/>
              </w:rPr>
            </w:pPr>
            <w:r w:rsidRPr="00DD1DCF">
              <w:rPr>
                <w:b/>
                <w:bCs/>
                <w:color w:val="000000"/>
              </w:rPr>
              <w:t>40.2%</w:t>
            </w:r>
          </w:p>
        </w:tc>
      </w:tr>
      <w:tr w14:paraId="107B6757" w14:textId="77777777" w:rsidTr="0012392B">
        <w:tblPrEx>
          <w:tblW w:w="15297" w:type="dxa"/>
          <w:jc w:val="center"/>
          <w:tblLook w:val="04A0"/>
        </w:tblPrEx>
        <w:trPr>
          <w:trHeight w:val="247"/>
          <w:jc w:val="center"/>
        </w:trPr>
        <w:tc>
          <w:tcPr>
            <w:tcW w:w="1030" w:type="dxa"/>
            <w:vMerge/>
            <w:vAlign w:val="center"/>
          </w:tcPr>
          <w:p w:rsidR="00887025" w:rsidRPr="005E5698" w14:paraId="5E879943" w14:textId="77777777">
            <w:pPr>
              <w:spacing w:line="240" w:lineRule="auto"/>
              <w:jc w:val="center"/>
              <w:rPr>
                <w:color w:val="000000"/>
              </w:rPr>
            </w:pPr>
          </w:p>
        </w:tc>
        <w:tc>
          <w:tcPr>
            <w:tcW w:w="1098" w:type="dxa"/>
            <w:vMerge/>
            <w:vAlign w:val="center"/>
          </w:tcPr>
          <w:p w:rsidR="00887025" w:rsidRPr="005E5698" w14:paraId="130F9AC0" w14:textId="77777777">
            <w:pPr>
              <w:spacing w:line="240" w:lineRule="auto"/>
              <w:jc w:val="center"/>
              <w:rPr>
                <w:color w:val="000000"/>
              </w:rPr>
            </w:pPr>
          </w:p>
        </w:tc>
        <w:tc>
          <w:tcPr>
            <w:tcW w:w="986" w:type="dxa"/>
            <w:vMerge/>
            <w:vAlign w:val="center"/>
          </w:tcPr>
          <w:p w:rsidR="00887025" w:rsidRPr="005E5698" w14:paraId="58B07172" w14:textId="77777777">
            <w:pPr>
              <w:spacing w:line="240" w:lineRule="auto"/>
              <w:jc w:val="center"/>
              <w:rPr>
                <w:color w:val="000000"/>
              </w:rPr>
            </w:pPr>
          </w:p>
        </w:tc>
        <w:tc>
          <w:tcPr>
            <w:tcW w:w="953" w:type="dxa"/>
            <w:vAlign w:val="center"/>
          </w:tcPr>
          <w:p w:rsidR="00887025" w:rsidRPr="005E5698" w14:paraId="03FCF703" w14:textId="77777777">
            <w:pPr>
              <w:spacing w:line="240" w:lineRule="auto"/>
              <w:jc w:val="center"/>
              <w:rPr>
                <w:color w:val="000000"/>
              </w:rPr>
            </w:pPr>
            <w:r w:rsidRPr="005E5698">
              <w:rPr>
                <w:color w:val="000000"/>
              </w:rPr>
              <w:t>3</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1A9CE457" w14:textId="77777777">
            <w:pPr>
              <w:spacing w:line="240" w:lineRule="auto"/>
              <w:jc w:val="right"/>
              <w:rPr>
                <w:color w:val="000000"/>
              </w:rPr>
            </w:pPr>
            <w:r w:rsidRPr="005E5698">
              <w:rPr>
                <w:color w:val="000000"/>
              </w:rPr>
              <w:t>9,140,989</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0FF0A491" w14:textId="77777777">
            <w:pPr>
              <w:spacing w:line="240" w:lineRule="auto"/>
              <w:jc w:val="center"/>
              <w:rPr>
                <w:b/>
                <w:bCs/>
                <w:color w:val="000000"/>
              </w:rPr>
            </w:pPr>
            <w:r w:rsidRPr="00DD1DCF">
              <w:rPr>
                <w:b/>
                <w:bCs/>
                <w:color w:val="000000"/>
              </w:rPr>
              <w:t>14.2%</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DE602AE" w14:textId="77777777">
            <w:pPr>
              <w:spacing w:line="240" w:lineRule="auto"/>
              <w:jc w:val="center"/>
              <w:rPr>
                <w:color w:val="000000"/>
              </w:rPr>
            </w:pPr>
            <w:r w:rsidRPr="005E5698">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1C0182F0" w14:textId="77777777">
            <w:pPr>
              <w:spacing w:line="240" w:lineRule="auto"/>
              <w:jc w:val="center"/>
              <w:rPr>
                <w:b/>
                <w:bCs/>
                <w:color w:val="000000"/>
              </w:rPr>
            </w:pPr>
            <w:r w:rsidRPr="00DD1DCF">
              <w:rPr>
                <w:b/>
                <w:bCs/>
                <w:color w:val="000000"/>
              </w:rPr>
              <w:t>6.3%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0108EDBC" w14:textId="77777777">
            <w:pPr>
              <w:spacing w:line="240" w:lineRule="auto"/>
              <w:jc w:val="center"/>
              <w:rPr>
                <w:b/>
                <w:bCs/>
                <w:color w:val="000000"/>
              </w:rPr>
            </w:pPr>
            <w:r w:rsidRPr="00DD1DCF">
              <w:rPr>
                <w:b/>
                <w:bCs/>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4E94EFC8"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42BFA51F" w14:textId="77777777">
            <w:pPr>
              <w:spacing w:line="240" w:lineRule="auto"/>
              <w:jc w:val="center"/>
              <w:rPr>
                <w:b/>
                <w:bCs/>
                <w:color w:val="000000"/>
              </w:rPr>
            </w:pPr>
            <w:r w:rsidRPr="00DD1DCF">
              <w:rPr>
                <w:b/>
                <w:bCs/>
                <w:color w:val="000000"/>
              </w:rPr>
              <w:t>3.4%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4D2E76EB" w14:textId="77777777">
            <w:pPr>
              <w:spacing w:line="240" w:lineRule="auto"/>
              <w:jc w:val="center"/>
              <w:rPr>
                <w:b/>
                <w:bCs/>
                <w:color w:val="000000"/>
              </w:rPr>
            </w:pPr>
            <w:r w:rsidRPr="00DD1DCF">
              <w:rPr>
                <w:b/>
                <w:bCs/>
                <w:color w:val="000000"/>
              </w:rPr>
              <w:t>21.3%</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0A94FB5A" w14:textId="77777777">
            <w:pPr>
              <w:spacing w:line="240" w:lineRule="auto"/>
              <w:jc w:val="center"/>
              <w:rPr>
                <w:b/>
                <w:bCs/>
                <w:color w:val="000000"/>
              </w:rPr>
            </w:pPr>
            <w:r w:rsidRPr="00DD1DCF">
              <w:rPr>
                <w:b/>
                <w:bCs/>
                <w:color w:val="000000"/>
              </w:rPr>
              <w:t>31.6%</w:t>
            </w:r>
          </w:p>
        </w:tc>
      </w:tr>
      <w:tr w14:paraId="2AE686D1" w14:textId="77777777" w:rsidTr="0012392B">
        <w:tblPrEx>
          <w:tblW w:w="15297" w:type="dxa"/>
          <w:jc w:val="center"/>
          <w:tblLook w:val="04A0"/>
        </w:tblPrEx>
        <w:trPr>
          <w:trHeight w:val="247"/>
          <w:jc w:val="center"/>
        </w:trPr>
        <w:tc>
          <w:tcPr>
            <w:tcW w:w="1030" w:type="dxa"/>
            <w:vMerge/>
            <w:vAlign w:val="center"/>
          </w:tcPr>
          <w:p w:rsidR="00887025" w:rsidRPr="005E5698" w14:paraId="69383E8F" w14:textId="77777777">
            <w:pPr>
              <w:spacing w:line="240" w:lineRule="auto"/>
              <w:jc w:val="center"/>
              <w:rPr>
                <w:color w:val="000000"/>
              </w:rPr>
            </w:pPr>
          </w:p>
        </w:tc>
        <w:tc>
          <w:tcPr>
            <w:tcW w:w="1098" w:type="dxa"/>
            <w:vMerge w:val="restart"/>
            <w:vAlign w:val="center"/>
          </w:tcPr>
          <w:p w:rsidR="00887025" w:rsidRPr="005E5698" w14:paraId="2DC4D881" w14:textId="77777777">
            <w:pPr>
              <w:spacing w:line="240" w:lineRule="auto"/>
              <w:jc w:val="center"/>
              <w:rPr>
                <w:color w:val="000000"/>
              </w:rPr>
            </w:pPr>
            <w:r>
              <w:rPr>
                <w:color w:val="000000"/>
              </w:rPr>
              <w:t xml:space="preserve">10 - </w:t>
            </w:r>
            <w:r w:rsidRPr="00CA1AA9">
              <w:rPr>
                <w:color w:val="000000"/>
              </w:rPr>
              <w:t>100</w:t>
            </w:r>
          </w:p>
        </w:tc>
        <w:tc>
          <w:tcPr>
            <w:tcW w:w="986" w:type="dxa"/>
            <w:vMerge w:val="restart"/>
            <w:vAlign w:val="center"/>
          </w:tcPr>
          <w:p w:rsidR="00887025" w:rsidRPr="005E5698" w14:paraId="73B29D8F" w14:textId="77777777">
            <w:pPr>
              <w:spacing w:line="240" w:lineRule="auto"/>
              <w:jc w:val="center"/>
              <w:rPr>
                <w:color w:val="000000"/>
              </w:rPr>
            </w:pPr>
            <w:r>
              <w:rPr>
                <w:color w:val="000000"/>
              </w:rPr>
              <w:t>559</w:t>
            </w:r>
          </w:p>
        </w:tc>
        <w:tc>
          <w:tcPr>
            <w:tcW w:w="953" w:type="dxa"/>
            <w:vAlign w:val="center"/>
          </w:tcPr>
          <w:p w:rsidR="00887025" w:rsidRPr="005E5698" w14:paraId="265368D8" w14:textId="77777777">
            <w:pPr>
              <w:spacing w:line="240" w:lineRule="auto"/>
              <w:jc w:val="center"/>
              <w:rPr>
                <w:color w:val="000000"/>
              </w:rPr>
            </w:pPr>
            <w:r w:rsidRPr="005E5698">
              <w:rPr>
                <w:color w:val="000000"/>
              </w:rPr>
              <w:t>1</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68E9DD8A" w14:textId="77777777">
            <w:pPr>
              <w:spacing w:line="240" w:lineRule="auto"/>
              <w:jc w:val="right"/>
              <w:rPr>
                <w:color w:val="000000"/>
              </w:rPr>
            </w:pPr>
            <w:r w:rsidRPr="005E5698">
              <w:rPr>
                <w:color w:val="000000"/>
              </w:rPr>
              <w:t>1,202,206</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6EE4E460" w14:textId="77777777">
            <w:pPr>
              <w:spacing w:line="240" w:lineRule="auto"/>
              <w:jc w:val="center"/>
              <w:rPr>
                <w:b/>
                <w:bCs/>
                <w:color w:val="000000"/>
              </w:rPr>
            </w:pPr>
            <w:r w:rsidRPr="00DD1DCF">
              <w:rPr>
                <w:b/>
                <w:bCs/>
                <w:color w:val="000000"/>
              </w:rPr>
              <w:t>22.2%</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E1A30A2" w14:textId="77777777">
            <w:pPr>
              <w:spacing w:line="240" w:lineRule="auto"/>
              <w:jc w:val="center"/>
              <w:rPr>
                <w:color w:val="000000"/>
              </w:rPr>
            </w:pPr>
            <w:r w:rsidRPr="005E5698">
              <w:rPr>
                <w:color w:val="000000"/>
              </w:rPr>
              <w:t>0.5%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DC89723" w14:textId="77777777">
            <w:pPr>
              <w:spacing w:line="240" w:lineRule="auto"/>
              <w:jc w:val="center"/>
              <w:rPr>
                <w:color w:val="000000"/>
              </w:rPr>
            </w:pPr>
            <w:r w:rsidRPr="005E5698">
              <w:rPr>
                <w:color w:val="000000"/>
              </w:rPr>
              <w:t>4.4%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035ADCDB" w14:textId="77777777">
            <w:pPr>
              <w:spacing w:line="240" w:lineRule="auto"/>
              <w:jc w:val="center"/>
              <w:rPr>
                <w:b/>
                <w:bCs/>
                <w:color w:val="000000"/>
              </w:rPr>
            </w:pPr>
            <w:r w:rsidRPr="00DD1DCF">
              <w:rPr>
                <w:b/>
                <w:bCs/>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4FD76771"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15A8487F" w14:textId="77777777">
            <w:pPr>
              <w:spacing w:line="240" w:lineRule="auto"/>
              <w:jc w:val="center"/>
              <w:rPr>
                <w:b/>
                <w:bCs/>
                <w:color w:val="000000"/>
              </w:rPr>
            </w:pPr>
            <w:r w:rsidRPr="00DD1DCF">
              <w:rPr>
                <w:b/>
                <w:bCs/>
                <w:color w:val="000000"/>
              </w:rPr>
              <w:t>3.3%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73F1FFEF" w14:textId="77777777">
            <w:pPr>
              <w:spacing w:line="240" w:lineRule="auto"/>
              <w:jc w:val="center"/>
              <w:rPr>
                <w:b/>
                <w:bCs/>
                <w:color w:val="000000"/>
              </w:rPr>
            </w:pPr>
            <w:r w:rsidRPr="00DD1DCF">
              <w:rPr>
                <w:b/>
                <w:bCs/>
                <w:color w:val="000000"/>
              </w:rPr>
              <w:t>25.3%</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25F45ED3" w14:textId="77777777">
            <w:pPr>
              <w:spacing w:line="240" w:lineRule="auto"/>
              <w:jc w:val="center"/>
              <w:rPr>
                <w:b/>
                <w:bCs/>
                <w:color w:val="000000"/>
              </w:rPr>
            </w:pPr>
            <w:r w:rsidRPr="00DD1DCF">
              <w:rPr>
                <w:b/>
                <w:bCs/>
                <w:color w:val="000000"/>
              </w:rPr>
              <w:t>40.8%</w:t>
            </w:r>
          </w:p>
        </w:tc>
      </w:tr>
      <w:tr w14:paraId="24650A75" w14:textId="77777777" w:rsidTr="0012392B">
        <w:tblPrEx>
          <w:tblW w:w="15297" w:type="dxa"/>
          <w:jc w:val="center"/>
          <w:tblLook w:val="04A0"/>
        </w:tblPrEx>
        <w:trPr>
          <w:trHeight w:val="247"/>
          <w:jc w:val="center"/>
        </w:trPr>
        <w:tc>
          <w:tcPr>
            <w:tcW w:w="1030" w:type="dxa"/>
            <w:vMerge/>
            <w:vAlign w:val="center"/>
          </w:tcPr>
          <w:p w:rsidR="00887025" w:rsidRPr="005E5698" w14:paraId="68CEC24F" w14:textId="77777777">
            <w:pPr>
              <w:spacing w:line="240" w:lineRule="auto"/>
              <w:jc w:val="center"/>
              <w:rPr>
                <w:color w:val="000000"/>
              </w:rPr>
            </w:pPr>
          </w:p>
        </w:tc>
        <w:tc>
          <w:tcPr>
            <w:tcW w:w="1098" w:type="dxa"/>
            <w:vMerge/>
            <w:vAlign w:val="center"/>
          </w:tcPr>
          <w:p w:rsidR="00887025" w:rsidRPr="005E5698" w14:paraId="5F014E5A" w14:textId="77777777">
            <w:pPr>
              <w:spacing w:line="240" w:lineRule="auto"/>
              <w:jc w:val="center"/>
              <w:rPr>
                <w:color w:val="000000"/>
              </w:rPr>
            </w:pPr>
          </w:p>
        </w:tc>
        <w:tc>
          <w:tcPr>
            <w:tcW w:w="986" w:type="dxa"/>
            <w:vMerge/>
            <w:vAlign w:val="center"/>
          </w:tcPr>
          <w:p w:rsidR="00887025" w:rsidRPr="005E5698" w14:paraId="5027C3FC" w14:textId="77777777">
            <w:pPr>
              <w:spacing w:line="240" w:lineRule="auto"/>
              <w:jc w:val="center"/>
              <w:rPr>
                <w:color w:val="000000"/>
              </w:rPr>
            </w:pPr>
          </w:p>
        </w:tc>
        <w:tc>
          <w:tcPr>
            <w:tcW w:w="953" w:type="dxa"/>
            <w:vAlign w:val="center"/>
          </w:tcPr>
          <w:p w:rsidR="00887025" w:rsidRPr="005E5698" w14:paraId="20968CF7" w14:textId="77777777">
            <w:pPr>
              <w:spacing w:line="240" w:lineRule="auto"/>
              <w:jc w:val="center"/>
              <w:rPr>
                <w:color w:val="000000"/>
              </w:rPr>
            </w:pPr>
            <w:r w:rsidRPr="005E5698">
              <w:rPr>
                <w:color w:val="000000"/>
              </w:rPr>
              <w:t>3</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4AAAA138" w14:textId="77777777">
            <w:pPr>
              <w:spacing w:line="240" w:lineRule="auto"/>
              <w:jc w:val="right"/>
              <w:rPr>
                <w:color w:val="000000"/>
              </w:rPr>
            </w:pPr>
            <w:r w:rsidRPr="005E5698">
              <w:rPr>
                <w:color w:val="000000"/>
              </w:rPr>
              <w:t>9,966,411</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0EF7B1BF" w14:textId="77777777">
            <w:pPr>
              <w:spacing w:line="240" w:lineRule="auto"/>
              <w:jc w:val="center"/>
              <w:rPr>
                <w:b/>
                <w:bCs/>
                <w:color w:val="000000"/>
              </w:rPr>
            </w:pPr>
            <w:r w:rsidRPr="00DD1DCF">
              <w:rPr>
                <w:b/>
                <w:bCs/>
                <w:color w:val="000000"/>
              </w:rPr>
              <w:t>17.0%</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4F6A9C0A" w14:textId="77777777">
            <w:pPr>
              <w:spacing w:line="240" w:lineRule="auto"/>
              <w:jc w:val="center"/>
              <w:rPr>
                <w:color w:val="000000"/>
              </w:rPr>
            </w:pPr>
            <w:r w:rsidRPr="005E5698">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47F1198D" w14:textId="77777777">
            <w:pPr>
              <w:spacing w:line="240" w:lineRule="auto"/>
              <w:jc w:val="center"/>
              <w:rPr>
                <w:b/>
                <w:bCs/>
                <w:color w:val="000000"/>
              </w:rPr>
            </w:pPr>
            <w:r w:rsidRPr="00DD1DCF">
              <w:rPr>
                <w:b/>
                <w:bCs/>
                <w:color w:val="000000"/>
              </w:rPr>
              <w:t>5.9%</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076E21F9" w14:textId="77777777">
            <w:pPr>
              <w:spacing w:line="240" w:lineRule="auto"/>
              <w:jc w:val="center"/>
              <w:rPr>
                <w:color w:val="000000"/>
              </w:rPr>
            </w:pPr>
            <w:r w:rsidRPr="005E5698">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71A0894"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CC7D54E" w14:textId="77777777">
            <w:pPr>
              <w:spacing w:line="240" w:lineRule="auto"/>
              <w:jc w:val="center"/>
              <w:rPr>
                <w:color w:val="000000"/>
              </w:rPr>
            </w:pPr>
            <w:r w:rsidRPr="005E5698">
              <w:rPr>
                <w:color w:val="000000"/>
              </w:rPr>
              <w:t>2.9%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094EEC61" w14:textId="77777777">
            <w:pPr>
              <w:spacing w:line="240" w:lineRule="auto"/>
              <w:jc w:val="center"/>
              <w:rPr>
                <w:b/>
                <w:bCs/>
                <w:color w:val="000000"/>
              </w:rPr>
            </w:pPr>
            <w:r w:rsidRPr="00DD1DCF">
              <w:rPr>
                <w:b/>
                <w:bCs/>
                <w:color w:val="000000"/>
              </w:rPr>
              <w:t>23.8%</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33CEECF4" w14:textId="77777777">
            <w:pPr>
              <w:spacing w:line="240" w:lineRule="auto"/>
              <w:jc w:val="center"/>
              <w:rPr>
                <w:b/>
                <w:bCs/>
                <w:color w:val="000000"/>
              </w:rPr>
            </w:pPr>
            <w:r w:rsidRPr="00DD1DCF">
              <w:rPr>
                <w:b/>
                <w:bCs/>
                <w:color w:val="000000"/>
              </w:rPr>
              <w:t>32%</w:t>
            </w:r>
          </w:p>
        </w:tc>
      </w:tr>
      <w:tr w14:paraId="4A4D330C" w14:textId="77777777" w:rsidTr="0012392B">
        <w:tblPrEx>
          <w:tblW w:w="15297" w:type="dxa"/>
          <w:jc w:val="center"/>
          <w:tblLook w:val="04A0"/>
        </w:tblPrEx>
        <w:trPr>
          <w:trHeight w:val="247"/>
          <w:jc w:val="center"/>
        </w:trPr>
        <w:tc>
          <w:tcPr>
            <w:tcW w:w="1030" w:type="dxa"/>
            <w:vMerge/>
            <w:vAlign w:val="center"/>
          </w:tcPr>
          <w:p w:rsidR="00887025" w:rsidRPr="005E5698" w14:paraId="534EFEB9" w14:textId="77777777">
            <w:pPr>
              <w:spacing w:line="240" w:lineRule="auto"/>
              <w:jc w:val="center"/>
              <w:rPr>
                <w:color w:val="000000"/>
              </w:rPr>
            </w:pPr>
          </w:p>
        </w:tc>
        <w:tc>
          <w:tcPr>
            <w:tcW w:w="1098" w:type="dxa"/>
            <w:vMerge w:val="restart"/>
            <w:vAlign w:val="center"/>
          </w:tcPr>
          <w:p w:rsidR="00887025" w:rsidRPr="005E5698" w14:paraId="188EDF58" w14:textId="77777777">
            <w:pPr>
              <w:spacing w:line="240" w:lineRule="auto"/>
              <w:jc w:val="center"/>
              <w:rPr>
                <w:color w:val="000000"/>
              </w:rPr>
            </w:pPr>
            <w:r>
              <w:rPr>
                <w:color w:val="000000"/>
              </w:rPr>
              <w:t>100 +</w:t>
            </w:r>
          </w:p>
        </w:tc>
        <w:tc>
          <w:tcPr>
            <w:tcW w:w="986" w:type="dxa"/>
            <w:vMerge w:val="restart"/>
            <w:vAlign w:val="center"/>
          </w:tcPr>
          <w:p w:rsidR="00887025" w:rsidRPr="005E5698" w14:paraId="3C1AE82B" w14:textId="77777777">
            <w:pPr>
              <w:spacing w:line="240" w:lineRule="auto"/>
              <w:jc w:val="center"/>
              <w:rPr>
                <w:color w:val="000000"/>
              </w:rPr>
            </w:pPr>
            <w:r>
              <w:rPr>
                <w:color w:val="000000"/>
              </w:rPr>
              <w:t>475</w:t>
            </w:r>
          </w:p>
        </w:tc>
        <w:tc>
          <w:tcPr>
            <w:tcW w:w="953" w:type="dxa"/>
            <w:vAlign w:val="center"/>
          </w:tcPr>
          <w:p w:rsidR="00887025" w:rsidRPr="005E5698" w14:paraId="6F49921C" w14:textId="77777777">
            <w:pPr>
              <w:spacing w:line="240" w:lineRule="auto"/>
              <w:jc w:val="center"/>
              <w:rPr>
                <w:color w:val="000000"/>
              </w:rPr>
            </w:pPr>
            <w:r w:rsidRPr="005E5698">
              <w:rPr>
                <w:color w:val="000000"/>
              </w:rPr>
              <w:t>1</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747729DD" w14:textId="77777777">
            <w:pPr>
              <w:spacing w:line="240" w:lineRule="auto"/>
              <w:jc w:val="right"/>
              <w:rPr>
                <w:color w:val="000000"/>
              </w:rPr>
            </w:pPr>
            <w:r w:rsidRPr="005E5698">
              <w:rPr>
                <w:color w:val="000000"/>
              </w:rPr>
              <w:t>1,110,338</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1A8E007E" w14:textId="77777777">
            <w:pPr>
              <w:spacing w:line="240" w:lineRule="auto"/>
              <w:jc w:val="center"/>
              <w:rPr>
                <w:b/>
                <w:bCs/>
                <w:color w:val="000000"/>
              </w:rPr>
            </w:pPr>
            <w:r w:rsidRPr="00DD1DCF">
              <w:rPr>
                <w:b/>
                <w:bCs/>
                <w:color w:val="000000"/>
              </w:rPr>
              <w:t>21.2%</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4B5A954"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82DE743" w14:textId="77777777">
            <w:pPr>
              <w:spacing w:line="240" w:lineRule="auto"/>
              <w:jc w:val="center"/>
              <w:rPr>
                <w:color w:val="000000"/>
              </w:rPr>
            </w:pPr>
            <w:r w:rsidRPr="005E5698">
              <w:rPr>
                <w:color w:val="000000"/>
              </w:rPr>
              <w:t>4.2%</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740DD6D2" w14:textId="77777777">
            <w:pPr>
              <w:spacing w:line="240" w:lineRule="auto"/>
              <w:jc w:val="center"/>
              <w:rPr>
                <w:color w:val="000000"/>
              </w:rPr>
            </w:pPr>
            <w:r w:rsidRPr="005E5698">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1F71C31" w14:textId="77777777">
            <w:pPr>
              <w:spacing w:line="240" w:lineRule="auto"/>
              <w:jc w:val="center"/>
              <w:rPr>
                <w:color w:val="000000"/>
              </w:rPr>
            </w:pPr>
            <w:r w:rsidRPr="005E5698">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0015ED8" w14:textId="77777777">
            <w:pPr>
              <w:spacing w:line="240" w:lineRule="auto"/>
              <w:jc w:val="center"/>
              <w:rPr>
                <w:color w:val="000000"/>
              </w:rPr>
            </w:pPr>
            <w:r w:rsidRPr="005E5698">
              <w:rPr>
                <w:color w:val="000000"/>
              </w:rPr>
              <w:t>3.0%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1FA02C2F" w14:textId="77777777">
            <w:pPr>
              <w:spacing w:line="240" w:lineRule="auto"/>
              <w:jc w:val="center"/>
              <w:rPr>
                <w:b/>
                <w:bCs/>
                <w:color w:val="000000"/>
              </w:rPr>
            </w:pPr>
            <w:r w:rsidRPr="00DD1DCF">
              <w:rPr>
                <w:b/>
                <w:bCs/>
                <w:color w:val="000000"/>
              </w:rPr>
              <w:t>27.6%</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5ECBC4E3" w14:textId="77777777">
            <w:pPr>
              <w:spacing w:line="240" w:lineRule="auto"/>
              <w:jc w:val="center"/>
              <w:rPr>
                <w:b/>
                <w:bCs/>
                <w:color w:val="000000"/>
              </w:rPr>
            </w:pPr>
            <w:r w:rsidRPr="00DD1DCF">
              <w:rPr>
                <w:b/>
                <w:bCs/>
                <w:color w:val="000000"/>
              </w:rPr>
              <w:t>39.5%</w:t>
            </w:r>
          </w:p>
        </w:tc>
      </w:tr>
      <w:tr w14:paraId="0C098BAF" w14:textId="77777777" w:rsidTr="0012392B">
        <w:tblPrEx>
          <w:tblW w:w="15297" w:type="dxa"/>
          <w:jc w:val="center"/>
          <w:tblLook w:val="04A0"/>
        </w:tblPrEx>
        <w:trPr>
          <w:trHeight w:val="247"/>
          <w:jc w:val="center"/>
        </w:trPr>
        <w:tc>
          <w:tcPr>
            <w:tcW w:w="1030" w:type="dxa"/>
            <w:vMerge/>
            <w:vAlign w:val="center"/>
          </w:tcPr>
          <w:p w:rsidR="00887025" w:rsidRPr="005E5698" w14:paraId="0EAC337F" w14:textId="77777777">
            <w:pPr>
              <w:spacing w:line="240" w:lineRule="auto"/>
              <w:jc w:val="center"/>
              <w:rPr>
                <w:color w:val="000000"/>
              </w:rPr>
            </w:pPr>
          </w:p>
        </w:tc>
        <w:tc>
          <w:tcPr>
            <w:tcW w:w="1098" w:type="dxa"/>
            <w:vMerge/>
            <w:vAlign w:val="center"/>
          </w:tcPr>
          <w:p w:rsidR="00887025" w:rsidRPr="005E5698" w14:paraId="7F404455" w14:textId="77777777">
            <w:pPr>
              <w:spacing w:line="240" w:lineRule="auto"/>
              <w:jc w:val="center"/>
              <w:rPr>
                <w:color w:val="000000"/>
              </w:rPr>
            </w:pPr>
          </w:p>
        </w:tc>
        <w:tc>
          <w:tcPr>
            <w:tcW w:w="986" w:type="dxa"/>
            <w:vMerge/>
            <w:vAlign w:val="center"/>
          </w:tcPr>
          <w:p w:rsidR="00887025" w:rsidRPr="005E5698" w14:paraId="5F8A6FBB" w14:textId="77777777">
            <w:pPr>
              <w:spacing w:line="240" w:lineRule="auto"/>
              <w:jc w:val="center"/>
              <w:rPr>
                <w:color w:val="000000"/>
              </w:rPr>
            </w:pPr>
          </w:p>
        </w:tc>
        <w:tc>
          <w:tcPr>
            <w:tcW w:w="953" w:type="dxa"/>
            <w:vAlign w:val="center"/>
          </w:tcPr>
          <w:p w:rsidR="00887025" w:rsidRPr="005E5698" w14:paraId="5CED46B4" w14:textId="77777777">
            <w:pPr>
              <w:spacing w:line="240" w:lineRule="auto"/>
              <w:jc w:val="center"/>
              <w:rPr>
                <w:color w:val="000000"/>
              </w:rPr>
            </w:pPr>
            <w:r w:rsidRPr="005E5698">
              <w:rPr>
                <w:color w:val="000000"/>
              </w:rPr>
              <w:t>3</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15BE4534" w14:textId="77777777">
            <w:pPr>
              <w:spacing w:line="240" w:lineRule="auto"/>
              <w:jc w:val="right"/>
              <w:rPr>
                <w:color w:val="000000"/>
              </w:rPr>
            </w:pPr>
            <w:r w:rsidRPr="005E5698">
              <w:rPr>
                <w:color w:val="000000"/>
              </w:rPr>
              <w:t>14,634,978</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3F719F40" w14:textId="77777777">
            <w:pPr>
              <w:spacing w:line="240" w:lineRule="auto"/>
              <w:jc w:val="center"/>
              <w:rPr>
                <w:b/>
                <w:bCs/>
                <w:color w:val="000000"/>
              </w:rPr>
            </w:pPr>
            <w:r w:rsidRPr="00DD1DCF">
              <w:rPr>
                <w:b/>
                <w:bCs/>
                <w:color w:val="000000"/>
              </w:rPr>
              <w:t>20.8%</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04F73F68"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C483480" w14:textId="77777777">
            <w:pPr>
              <w:spacing w:line="240" w:lineRule="auto"/>
              <w:jc w:val="center"/>
              <w:rPr>
                <w:color w:val="000000"/>
              </w:rPr>
            </w:pPr>
            <w:r w:rsidRPr="005E5698">
              <w:rPr>
                <w:color w:val="000000"/>
              </w:rPr>
              <w:t>5.0%</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1912E36D" w14:textId="77777777">
            <w:pPr>
              <w:spacing w:line="240" w:lineRule="auto"/>
              <w:jc w:val="center"/>
              <w:rPr>
                <w:b/>
                <w:bCs/>
                <w:color w:val="000000"/>
              </w:rPr>
            </w:pPr>
            <w:r w:rsidRPr="00DD1DCF">
              <w:rPr>
                <w:b/>
                <w:bCs/>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04AB86AC"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435A1F32" w14:textId="77777777">
            <w:pPr>
              <w:spacing w:line="240" w:lineRule="auto"/>
              <w:jc w:val="center"/>
              <w:rPr>
                <w:b/>
                <w:bCs/>
                <w:color w:val="000000"/>
              </w:rPr>
            </w:pPr>
            <w:r w:rsidRPr="00DD1DCF">
              <w:rPr>
                <w:b/>
                <w:bCs/>
                <w:color w:val="000000"/>
              </w:rPr>
              <w:t>3.7%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736B892B" w14:textId="77777777">
            <w:pPr>
              <w:spacing w:line="240" w:lineRule="auto"/>
              <w:jc w:val="center"/>
              <w:rPr>
                <w:b/>
                <w:bCs/>
                <w:color w:val="000000"/>
              </w:rPr>
            </w:pPr>
            <w:r w:rsidRPr="00DD1DCF">
              <w:rPr>
                <w:b/>
                <w:bCs/>
                <w:color w:val="000000"/>
              </w:rPr>
              <w:t>19%</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7F7A25D0" w14:textId="77777777">
            <w:pPr>
              <w:spacing w:line="240" w:lineRule="auto"/>
              <w:jc w:val="center"/>
              <w:rPr>
                <w:b/>
                <w:bCs/>
                <w:color w:val="000000"/>
              </w:rPr>
            </w:pPr>
            <w:r w:rsidRPr="00DD1DCF">
              <w:rPr>
                <w:b/>
                <w:bCs/>
                <w:color w:val="000000"/>
              </w:rPr>
              <w:t>34.4%</w:t>
            </w:r>
          </w:p>
        </w:tc>
      </w:tr>
      <w:tr w14:paraId="56F1BCD9" w14:textId="77777777" w:rsidTr="0012392B">
        <w:tblPrEx>
          <w:tblW w:w="15297" w:type="dxa"/>
          <w:jc w:val="center"/>
          <w:tblLook w:val="04A0"/>
        </w:tblPrEx>
        <w:trPr>
          <w:trHeight w:val="247"/>
          <w:jc w:val="center"/>
        </w:trPr>
        <w:tc>
          <w:tcPr>
            <w:tcW w:w="1030" w:type="dxa"/>
            <w:vMerge w:val="restart"/>
            <w:vAlign w:val="center"/>
          </w:tcPr>
          <w:p w:rsidR="00887025" w:rsidRPr="005E5698" w14:paraId="65407A6F" w14:textId="77777777">
            <w:pPr>
              <w:spacing w:line="240" w:lineRule="auto"/>
              <w:rPr>
                <w:color w:val="000000"/>
              </w:rPr>
            </w:pPr>
            <w:r w:rsidRPr="005E5698">
              <w:rPr>
                <w:color w:val="000000"/>
              </w:rPr>
              <w:t>All active facilities</w:t>
            </w:r>
          </w:p>
        </w:tc>
        <w:tc>
          <w:tcPr>
            <w:tcW w:w="1098" w:type="dxa"/>
            <w:vMerge w:val="restart"/>
            <w:vAlign w:val="center"/>
          </w:tcPr>
          <w:p w:rsidR="00887025" w:rsidRPr="005E5698" w14:paraId="75A5E790" w14:textId="77777777">
            <w:pPr>
              <w:spacing w:line="240" w:lineRule="auto"/>
              <w:jc w:val="center"/>
              <w:rPr>
                <w:color w:val="000000"/>
              </w:rPr>
            </w:pPr>
            <w:r>
              <w:rPr>
                <w:color w:val="000000"/>
              </w:rPr>
              <w:t>≤1</w:t>
            </w:r>
          </w:p>
        </w:tc>
        <w:tc>
          <w:tcPr>
            <w:tcW w:w="986" w:type="dxa"/>
            <w:vMerge w:val="restart"/>
            <w:vAlign w:val="center"/>
          </w:tcPr>
          <w:p w:rsidR="00887025" w:rsidRPr="005E5698" w14:paraId="78B16716" w14:textId="77777777">
            <w:pPr>
              <w:spacing w:line="240" w:lineRule="auto"/>
              <w:jc w:val="center"/>
              <w:rPr>
                <w:color w:val="000000"/>
              </w:rPr>
            </w:pPr>
            <w:r>
              <w:rPr>
                <w:color w:val="000000"/>
              </w:rPr>
              <w:t>21</w:t>
            </w:r>
          </w:p>
        </w:tc>
        <w:tc>
          <w:tcPr>
            <w:tcW w:w="953" w:type="dxa"/>
            <w:vAlign w:val="center"/>
          </w:tcPr>
          <w:p w:rsidR="00887025" w:rsidRPr="005E5698" w14:paraId="48CCA6DC" w14:textId="77777777">
            <w:pPr>
              <w:spacing w:line="240" w:lineRule="auto"/>
              <w:jc w:val="center"/>
              <w:rPr>
                <w:color w:val="000000"/>
              </w:rPr>
            </w:pPr>
            <w:r w:rsidRPr="005E5698">
              <w:rPr>
                <w:color w:val="000000"/>
              </w:rPr>
              <w:t>1</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6E2A271A" w14:textId="77777777">
            <w:pPr>
              <w:spacing w:line="240" w:lineRule="auto"/>
              <w:jc w:val="right"/>
              <w:rPr>
                <w:color w:val="000000"/>
              </w:rPr>
            </w:pPr>
            <w:r w:rsidRPr="005E5698">
              <w:rPr>
                <w:color w:val="000000"/>
              </w:rPr>
              <w:t>125,727</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622B00D6" w14:textId="77777777">
            <w:pPr>
              <w:spacing w:line="240" w:lineRule="auto"/>
              <w:jc w:val="center"/>
              <w:rPr>
                <w:b/>
                <w:bCs/>
                <w:color w:val="000000"/>
              </w:rPr>
            </w:pPr>
            <w:r w:rsidRPr="00DD1DCF">
              <w:rPr>
                <w:b/>
                <w:bCs/>
                <w:color w:val="000000"/>
              </w:rPr>
              <w:t>20.9%</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6CBFD44" w14:textId="77777777">
            <w:pPr>
              <w:spacing w:line="240" w:lineRule="auto"/>
              <w:jc w:val="center"/>
              <w:rPr>
                <w:color w:val="000000"/>
              </w:rPr>
            </w:pPr>
            <w:r w:rsidRPr="005E5698">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7ABFE647" w14:textId="77777777">
            <w:pPr>
              <w:spacing w:line="240" w:lineRule="auto"/>
              <w:jc w:val="center"/>
              <w:rPr>
                <w:b/>
                <w:bCs/>
                <w:color w:val="000000"/>
              </w:rPr>
            </w:pPr>
            <w:r w:rsidRPr="00DD1DCF">
              <w:rPr>
                <w:b/>
                <w:bCs/>
                <w:color w:val="000000"/>
              </w:rPr>
              <w:t>12.3%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EF2240F" w14:textId="77777777">
            <w:pPr>
              <w:spacing w:line="240" w:lineRule="auto"/>
              <w:jc w:val="center"/>
              <w:rPr>
                <w:color w:val="000000"/>
              </w:rPr>
            </w:pPr>
            <w:r w:rsidRPr="005E5698">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A5E2D71" w14:textId="77777777">
            <w:pPr>
              <w:spacing w:line="240" w:lineRule="auto"/>
              <w:jc w:val="center"/>
              <w:rPr>
                <w:color w:val="000000"/>
              </w:rPr>
            </w:pPr>
            <w:r w:rsidRPr="005E5698">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A02014C" w14:textId="77777777">
            <w:pPr>
              <w:spacing w:line="240" w:lineRule="auto"/>
              <w:jc w:val="center"/>
              <w:rPr>
                <w:color w:val="000000"/>
              </w:rPr>
            </w:pPr>
            <w:r w:rsidRPr="005E5698">
              <w:rPr>
                <w:color w:val="000000"/>
              </w:rPr>
              <w:t>2.4%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29F891C2" w14:textId="77777777">
            <w:pPr>
              <w:spacing w:line="240" w:lineRule="auto"/>
              <w:jc w:val="center"/>
              <w:rPr>
                <w:b/>
                <w:bCs/>
                <w:color w:val="000000"/>
              </w:rPr>
            </w:pPr>
            <w:r w:rsidRPr="00DD1DCF">
              <w:rPr>
                <w:b/>
                <w:bCs/>
                <w:color w:val="000000"/>
              </w:rPr>
              <w:t>33.9%</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3FFC8E74" w14:textId="77777777">
            <w:pPr>
              <w:spacing w:line="240" w:lineRule="auto"/>
              <w:jc w:val="center"/>
              <w:rPr>
                <w:b/>
                <w:bCs/>
                <w:color w:val="000000"/>
              </w:rPr>
            </w:pPr>
            <w:r w:rsidRPr="00DD1DCF">
              <w:rPr>
                <w:b/>
                <w:bCs/>
                <w:color w:val="000000"/>
              </w:rPr>
              <w:t>30.1%</w:t>
            </w:r>
          </w:p>
        </w:tc>
      </w:tr>
      <w:tr w14:paraId="42B1EE70" w14:textId="77777777" w:rsidTr="0012392B">
        <w:tblPrEx>
          <w:tblW w:w="15297" w:type="dxa"/>
          <w:jc w:val="center"/>
          <w:tblLook w:val="04A0"/>
        </w:tblPrEx>
        <w:trPr>
          <w:trHeight w:val="247"/>
          <w:jc w:val="center"/>
        </w:trPr>
        <w:tc>
          <w:tcPr>
            <w:tcW w:w="1030" w:type="dxa"/>
            <w:vMerge/>
            <w:vAlign w:val="center"/>
          </w:tcPr>
          <w:p w:rsidR="00887025" w:rsidRPr="005E5698" w14:paraId="12E6C054" w14:textId="77777777">
            <w:pPr>
              <w:spacing w:line="240" w:lineRule="auto"/>
              <w:jc w:val="center"/>
              <w:rPr>
                <w:color w:val="000000"/>
              </w:rPr>
            </w:pPr>
          </w:p>
        </w:tc>
        <w:tc>
          <w:tcPr>
            <w:tcW w:w="1098" w:type="dxa"/>
            <w:vMerge/>
            <w:vAlign w:val="center"/>
          </w:tcPr>
          <w:p w:rsidR="00887025" w:rsidRPr="005E5698" w14:paraId="396D14C8" w14:textId="77777777">
            <w:pPr>
              <w:spacing w:line="240" w:lineRule="auto"/>
              <w:jc w:val="center"/>
              <w:rPr>
                <w:color w:val="000000"/>
              </w:rPr>
            </w:pPr>
          </w:p>
        </w:tc>
        <w:tc>
          <w:tcPr>
            <w:tcW w:w="986" w:type="dxa"/>
            <w:vMerge/>
            <w:vAlign w:val="center"/>
          </w:tcPr>
          <w:p w:rsidR="00887025" w:rsidRPr="005E5698" w14:paraId="28C31453" w14:textId="77777777">
            <w:pPr>
              <w:spacing w:line="240" w:lineRule="auto"/>
              <w:jc w:val="center"/>
              <w:rPr>
                <w:color w:val="000000"/>
              </w:rPr>
            </w:pPr>
          </w:p>
        </w:tc>
        <w:tc>
          <w:tcPr>
            <w:tcW w:w="953" w:type="dxa"/>
            <w:vAlign w:val="center"/>
          </w:tcPr>
          <w:p w:rsidR="00887025" w:rsidRPr="005E5698" w14:paraId="5EEF7B8F" w14:textId="77777777">
            <w:pPr>
              <w:spacing w:line="240" w:lineRule="auto"/>
              <w:jc w:val="center"/>
              <w:rPr>
                <w:color w:val="000000"/>
              </w:rPr>
            </w:pPr>
            <w:r w:rsidRPr="005E5698">
              <w:rPr>
                <w:color w:val="000000"/>
              </w:rPr>
              <w:t>3</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2463FAC3" w14:textId="77777777">
            <w:pPr>
              <w:spacing w:line="240" w:lineRule="auto"/>
              <w:jc w:val="right"/>
              <w:rPr>
                <w:color w:val="000000"/>
              </w:rPr>
            </w:pPr>
            <w:r w:rsidRPr="005E5698">
              <w:rPr>
                <w:color w:val="000000"/>
              </w:rPr>
              <w:t>6,411,279</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2A97CE34" w14:textId="77777777">
            <w:pPr>
              <w:spacing w:line="240" w:lineRule="auto"/>
              <w:jc w:val="center"/>
              <w:rPr>
                <w:b/>
                <w:bCs/>
                <w:color w:val="000000"/>
              </w:rPr>
            </w:pPr>
            <w:r w:rsidRPr="00DD1DCF">
              <w:rPr>
                <w:b/>
                <w:bCs/>
                <w:color w:val="000000"/>
              </w:rPr>
              <w:t>20.0%</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CCE5FAF" w14:textId="77777777">
            <w:pPr>
              <w:spacing w:line="240" w:lineRule="auto"/>
              <w:jc w:val="center"/>
              <w:rPr>
                <w:color w:val="000000"/>
              </w:rPr>
            </w:pPr>
            <w:r w:rsidRPr="005E5698">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3439784B" w14:textId="77777777">
            <w:pPr>
              <w:spacing w:line="240" w:lineRule="auto"/>
              <w:jc w:val="center"/>
              <w:rPr>
                <w:b/>
                <w:bCs/>
                <w:color w:val="000000"/>
              </w:rPr>
            </w:pPr>
            <w:r w:rsidRPr="00DD1DCF">
              <w:rPr>
                <w:b/>
                <w:bCs/>
                <w:color w:val="000000"/>
              </w:rPr>
              <w:t>9.6%</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BC8A62C" w14:textId="77777777">
            <w:pPr>
              <w:spacing w:line="240" w:lineRule="auto"/>
              <w:jc w:val="center"/>
              <w:rPr>
                <w:color w:val="000000"/>
              </w:rPr>
            </w:pPr>
            <w:r w:rsidRPr="005E5698">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7B9BA00D"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C580A29" w14:textId="77777777">
            <w:pPr>
              <w:spacing w:line="240" w:lineRule="auto"/>
              <w:jc w:val="center"/>
              <w:rPr>
                <w:color w:val="000000"/>
              </w:rPr>
            </w:pPr>
            <w:r w:rsidRPr="005E5698">
              <w:rPr>
                <w:color w:val="000000"/>
              </w:rPr>
              <w:t>2.9%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788A8F0C" w14:textId="77777777">
            <w:pPr>
              <w:spacing w:line="240" w:lineRule="auto"/>
              <w:jc w:val="center"/>
              <w:rPr>
                <w:b/>
                <w:bCs/>
                <w:color w:val="000000"/>
              </w:rPr>
            </w:pPr>
            <w:r w:rsidRPr="00DD1DCF">
              <w:rPr>
                <w:b/>
                <w:bCs/>
                <w:color w:val="000000"/>
              </w:rPr>
              <w:t>29.9%</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769EBC7D" w14:textId="77777777">
            <w:pPr>
              <w:spacing w:line="240" w:lineRule="auto"/>
              <w:jc w:val="center"/>
              <w:rPr>
                <w:b/>
                <w:bCs/>
                <w:color w:val="000000"/>
              </w:rPr>
            </w:pPr>
            <w:r w:rsidRPr="00DD1DCF">
              <w:rPr>
                <w:b/>
                <w:bCs/>
                <w:color w:val="000000"/>
              </w:rPr>
              <w:t>34.8%</w:t>
            </w:r>
          </w:p>
        </w:tc>
      </w:tr>
      <w:tr w14:paraId="41A7A34E" w14:textId="77777777" w:rsidTr="0012392B">
        <w:tblPrEx>
          <w:tblW w:w="15297" w:type="dxa"/>
          <w:jc w:val="center"/>
          <w:tblLook w:val="04A0"/>
        </w:tblPrEx>
        <w:trPr>
          <w:trHeight w:val="247"/>
          <w:jc w:val="center"/>
        </w:trPr>
        <w:tc>
          <w:tcPr>
            <w:tcW w:w="1030" w:type="dxa"/>
            <w:vMerge/>
            <w:vAlign w:val="center"/>
          </w:tcPr>
          <w:p w:rsidR="00887025" w:rsidRPr="005E5698" w14:paraId="3F150F3C" w14:textId="77777777">
            <w:pPr>
              <w:spacing w:line="240" w:lineRule="auto"/>
              <w:jc w:val="center"/>
              <w:rPr>
                <w:color w:val="000000"/>
              </w:rPr>
            </w:pPr>
          </w:p>
        </w:tc>
        <w:tc>
          <w:tcPr>
            <w:tcW w:w="1098" w:type="dxa"/>
            <w:vMerge w:val="restart"/>
            <w:vAlign w:val="center"/>
          </w:tcPr>
          <w:p w:rsidR="00887025" w:rsidRPr="005E5698" w14:paraId="25F654C1" w14:textId="77777777">
            <w:pPr>
              <w:spacing w:line="240" w:lineRule="auto"/>
              <w:jc w:val="center"/>
              <w:rPr>
                <w:color w:val="000000"/>
              </w:rPr>
            </w:pPr>
            <w:r>
              <w:rPr>
                <w:color w:val="000000"/>
              </w:rPr>
              <w:t xml:space="preserve">1 - </w:t>
            </w:r>
            <w:r w:rsidRPr="00CA1AA9">
              <w:rPr>
                <w:color w:val="000000"/>
              </w:rPr>
              <w:t>10</w:t>
            </w:r>
          </w:p>
        </w:tc>
        <w:tc>
          <w:tcPr>
            <w:tcW w:w="986" w:type="dxa"/>
            <w:vMerge w:val="restart"/>
            <w:vAlign w:val="center"/>
          </w:tcPr>
          <w:p w:rsidR="00887025" w:rsidRPr="005E5698" w14:paraId="761E2F6D" w14:textId="77777777">
            <w:pPr>
              <w:spacing w:line="240" w:lineRule="auto"/>
              <w:jc w:val="center"/>
              <w:rPr>
                <w:color w:val="000000"/>
              </w:rPr>
            </w:pPr>
            <w:r>
              <w:rPr>
                <w:color w:val="000000"/>
              </w:rPr>
              <w:t>4,919</w:t>
            </w:r>
          </w:p>
        </w:tc>
        <w:tc>
          <w:tcPr>
            <w:tcW w:w="953" w:type="dxa"/>
            <w:vAlign w:val="center"/>
          </w:tcPr>
          <w:p w:rsidR="00887025" w:rsidRPr="005E5698" w14:paraId="7F0E5517" w14:textId="77777777">
            <w:pPr>
              <w:spacing w:line="240" w:lineRule="auto"/>
              <w:jc w:val="center"/>
              <w:rPr>
                <w:color w:val="000000"/>
              </w:rPr>
            </w:pPr>
            <w:r w:rsidRPr="005E5698">
              <w:rPr>
                <w:color w:val="000000"/>
              </w:rPr>
              <w:t>1</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63E35428" w14:textId="77777777">
            <w:pPr>
              <w:spacing w:line="240" w:lineRule="auto"/>
              <w:jc w:val="right"/>
              <w:rPr>
                <w:color w:val="000000"/>
              </w:rPr>
            </w:pPr>
            <w:r w:rsidRPr="005E5698">
              <w:rPr>
                <w:color w:val="000000"/>
              </w:rPr>
              <w:t>18,074,265</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232065AA" w14:textId="77777777">
            <w:pPr>
              <w:spacing w:line="240" w:lineRule="auto"/>
              <w:jc w:val="center"/>
              <w:rPr>
                <w:b/>
                <w:bCs/>
                <w:color w:val="000000"/>
              </w:rPr>
            </w:pPr>
            <w:r w:rsidRPr="00DD1DCF">
              <w:rPr>
                <w:b/>
                <w:bCs/>
                <w:color w:val="000000"/>
              </w:rPr>
              <w:t>16.2%</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CE8EA26"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7E6B80E7" w14:textId="77777777">
            <w:pPr>
              <w:spacing w:line="240" w:lineRule="auto"/>
              <w:jc w:val="center"/>
              <w:rPr>
                <w:color w:val="000000"/>
              </w:rPr>
            </w:pPr>
            <w:r w:rsidRPr="005E5698">
              <w:rPr>
                <w:color w:val="000000"/>
              </w:rPr>
              <w:t>5.1%</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7D3D1A98" w14:textId="77777777">
            <w:pPr>
              <w:spacing w:line="240" w:lineRule="auto"/>
              <w:jc w:val="center"/>
              <w:rPr>
                <w:color w:val="000000"/>
              </w:rPr>
            </w:pPr>
            <w:r w:rsidRPr="005E5698">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C324303" w14:textId="77777777">
            <w:pPr>
              <w:spacing w:line="240" w:lineRule="auto"/>
              <w:jc w:val="center"/>
              <w:rPr>
                <w:color w:val="000000"/>
              </w:rPr>
            </w:pPr>
            <w:r w:rsidRPr="005E5698">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F41A56E" w14:textId="77777777">
            <w:pPr>
              <w:spacing w:line="240" w:lineRule="auto"/>
              <w:jc w:val="center"/>
              <w:rPr>
                <w:color w:val="000000"/>
              </w:rPr>
            </w:pPr>
            <w:r w:rsidRPr="005E5698">
              <w:rPr>
                <w:color w:val="000000"/>
              </w:rPr>
              <w:t>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3474308C" w14:textId="77777777">
            <w:pPr>
              <w:spacing w:line="240" w:lineRule="auto"/>
              <w:jc w:val="center"/>
              <w:rPr>
                <w:b/>
                <w:bCs/>
                <w:color w:val="000000"/>
              </w:rPr>
            </w:pPr>
            <w:r w:rsidRPr="00DD1DCF">
              <w:rPr>
                <w:b/>
                <w:bCs/>
                <w:color w:val="000000"/>
              </w:rPr>
              <w:t>29.4%</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68773E8D" w14:textId="77777777">
            <w:pPr>
              <w:spacing w:line="240" w:lineRule="auto"/>
              <w:jc w:val="center"/>
              <w:rPr>
                <w:b/>
                <w:bCs/>
                <w:color w:val="000000"/>
              </w:rPr>
            </w:pPr>
            <w:r w:rsidRPr="00DD1DCF">
              <w:rPr>
                <w:b/>
                <w:bCs/>
                <w:color w:val="000000"/>
              </w:rPr>
              <w:t>38.8%</w:t>
            </w:r>
          </w:p>
        </w:tc>
      </w:tr>
      <w:tr w14:paraId="5D5BEBAC" w14:textId="77777777" w:rsidTr="0012392B">
        <w:tblPrEx>
          <w:tblW w:w="15297" w:type="dxa"/>
          <w:jc w:val="center"/>
          <w:tblLook w:val="04A0"/>
        </w:tblPrEx>
        <w:trPr>
          <w:trHeight w:val="247"/>
          <w:jc w:val="center"/>
        </w:trPr>
        <w:tc>
          <w:tcPr>
            <w:tcW w:w="1030" w:type="dxa"/>
            <w:vMerge/>
            <w:vAlign w:val="center"/>
          </w:tcPr>
          <w:p w:rsidR="00887025" w:rsidRPr="005E5698" w14:paraId="5730B962" w14:textId="77777777">
            <w:pPr>
              <w:spacing w:line="240" w:lineRule="auto"/>
              <w:jc w:val="center"/>
              <w:rPr>
                <w:color w:val="000000"/>
              </w:rPr>
            </w:pPr>
          </w:p>
        </w:tc>
        <w:tc>
          <w:tcPr>
            <w:tcW w:w="1098" w:type="dxa"/>
            <w:vMerge/>
            <w:vAlign w:val="center"/>
          </w:tcPr>
          <w:p w:rsidR="00887025" w:rsidRPr="005E5698" w14:paraId="0344BA79" w14:textId="77777777">
            <w:pPr>
              <w:spacing w:line="240" w:lineRule="auto"/>
              <w:jc w:val="center"/>
              <w:rPr>
                <w:color w:val="000000"/>
              </w:rPr>
            </w:pPr>
          </w:p>
        </w:tc>
        <w:tc>
          <w:tcPr>
            <w:tcW w:w="986" w:type="dxa"/>
            <w:vMerge/>
            <w:vAlign w:val="center"/>
          </w:tcPr>
          <w:p w:rsidR="00887025" w:rsidRPr="005E5698" w14:paraId="7EB26D93" w14:textId="77777777">
            <w:pPr>
              <w:spacing w:line="240" w:lineRule="auto"/>
              <w:jc w:val="center"/>
              <w:rPr>
                <w:color w:val="000000"/>
              </w:rPr>
            </w:pPr>
          </w:p>
        </w:tc>
        <w:tc>
          <w:tcPr>
            <w:tcW w:w="953" w:type="dxa"/>
            <w:vAlign w:val="center"/>
          </w:tcPr>
          <w:p w:rsidR="00887025" w:rsidRPr="005E5698" w14:paraId="1E229465" w14:textId="77777777">
            <w:pPr>
              <w:spacing w:line="240" w:lineRule="auto"/>
              <w:jc w:val="center"/>
              <w:rPr>
                <w:color w:val="000000"/>
              </w:rPr>
            </w:pPr>
            <w:r w:rsidRPr="005E5698">
              <w:rPr>
                <w:color w:val="000000"/>
              </w:rPr>
              <w:t>3</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2FA3B824" w14:textId="77777777">
            <w:pPr>
              <w:spacing w:line="240" w:lineRule="auto"/>
              <w:jc w:val="right"/>
              <w:rPr>
                <w:color w:val="000000"/>
              </w:rPr>
            </w:pPr>
            <w:r w:rsidRPr="005E5698">
              <w:rPr>
                <w:color w:val="000000"/>
              </w:rPr>
              <w:t>110,713,053</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36DC0190" w14:textId="77777777">
            <w:pPr>
              <w:spacing w:line="240" w:lineRule="auto"/>
              <w:jc w:val="center"/>
              <w:rPr>
                <w:b/>
                <w:bCs/>
                <w:color w:val="000000"/>
              </w:rPr>
            </w:pPr>
            <w:r w:rsidRPr="00DD1DCF">
              <w:rPr>
                <w:b/>
                <w:bCs/>
                <w:color w:val="000000"/>
              </w:rPr>
              <w:t>15.9%</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3134CBE7"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517F278C" w14:textId="77777777">
            <w:pPr>
              <w:spacing w:line="240" w:lineRule="auto"/>
              <w:jc w:val="center"/>
              <w:rPr>
                <w:b/>
                <w:bCs/>
                <w:color w:val="000000"/>
              </w:rPr>
            </w:pPr>
            <w:r w:rsidRPr="00DD1DCF">
              <w:rPr>
                <w:b/>
                <w:bCs/>
                <w:color w:val="000000"/>
              </w:rPr>
              <w:t>6.1%</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61CFC68" w14:textId="77777777">
            <w:pPr>
              <w:spacing w:line="240" w:lineRule="auto"/>
              <w:jc w:val="center"/>
              <w:rPr>
                <w:color w:val="000000"/>
              </w:rPr>
            </w:pPr>
            <w:r w:rsidRPr="005E5698">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710BCD63"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6CD3443A" w14:textId="77777777">
            <w:pPr>
              <w:spacing w:line="240" w:lineRule="auto"/>
              <w:jc w:val="center"/>
              <w:rPr>
                <w:color w:val="000000"/>
              </w:rPr>
            </w:pPr>
            <w:r w:rsidRPr="005E5698">
              <w:rPr>
                <w:color w:val="000000"/>
              </w:rPr>
              <w:t>3.1%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7FED493F" w14:textId="77777777">
            <w:pPr>
              <w:spacing w:line="240" w:lineRule="auto"/>
              <w:jc w:val="center"/>
              <w:rPr>
                <w:b/>
                <w:bCs/>
                <w:color w:val="000000"/>
              </w:rPr>
            </w:pPr>
            <w:r w:rsidRPr="00DD1DCF">
              <w:rPr>
                <w:b/>
                <w:bCs/>
                <w:color w:val="000000"/>
              </w:rPr>
              <w:t>25.4%</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4D1FF08B" w14:textId="77777777">
            <w:pPr>
              <w:spacing w:line="240" w:lineRule="auto"/>
              <w:jc w:val="center"/>
              <w:rPr>
                <w:b/>
                <w:bCs/>
                <w:color w:val="000000"/>
              </w:rPr>
            </w:pPr>
            <w:r w:rsidRPr="00DD1DCF">
              <w:rPr>
                <w:b/>
                <w:bCs/>
                <w:color w:val="000000"/>
              </w:rPr>
              <w:t>33.9%</w:t>
            </w:r>
          </w:p>
        </w:tc>
      </w:tr>
      <w:tr w14:paraId="285C963B" w14:textId="77777777" w:rsidTr="0012392B">
        <w:tblPrEx>
          <w:tblW w:w="15297" w:type="dxa"/>
          <w:jc w:val="center"/>
          <w:tblLook w:val="04A0"/>
        </w:tblPrEx>
        <w:trPr>
          <w:trHeight w:val="247"/>
          <w:jc w:val="center"/>
        </w:trPr>
        <w:tc>
          <w:tcPr>
            <w:tcW w:w="1030" w:type="dxa"/>
            <w:vMerge/>
            <w:vAlign w:val="center"/>
          </w:tcPr>
          <w:p w:rsidR="00887025" w:rsidRPr="005E5698" w14:paraId="2A6D03E5" w14:textId="77777777">
            <w:pPr>
              <w:spacing w:line="240" w:lineRule="auto"/>
              <w:jc w:val="center"/>
              <w:rPr>
                <w:color w:val="000000"/>
              </w:rPr>
            </w:pPr>
          </w:p>
        </w:tc>
        <w:tc>
          <w:tcPr>
            <w:tcW w:w="1098" w:type="dxa"/>
            <w:vMerge w:val="restart"/>
            <w:vAlign w:val="center"/>
          </w:tcPr>
          <w:p w:rsidR="00887025" w:rsidRPr="005E5698" w14:paraId="333B3CF0" w14:textId="77777777">
            <w:pPr>
              <w:spacing w:line="240" w:lineRule="auto"/>
              <w:jc w:val="center"/>
              <w:rPr>
                <w:color w:val="000000"/>
              </w:rPr>
            </w:pPr>
            <w:r>
              <w:rPr>
                <w:color w:val="000000"/>
              </w:rPr>
              <w:t xml:space="preserve">10 - </w:t>
            </w:r>
            <w:r w:rsidRPr="00CA1AA9">
              <w:rPr>
                <w:color w:val="000000"/>
              </w:rPr>
              <w:t>100</w:t>
            </w:r>
          </w:p>
        </w:tc>
        <w:tc>
          <w:tcPr>
            <w:tcW w:w="986" w:type="dxa"/>
            <w:vMerge w:val="restart"/>
            <w:vAlign w:val="center"/>
          </w:tcPr>
          <w:p w:rsidR="00887025" w:rsidRPr="005E5698" w14:paraId="029D8760" w14:textId="77777777">
            <w:pPr>
              <w:spacing w:line="240" w:lineRule="auto"/>
              <w:jc w:val="center"/>
              <w:rPr>
                <w:color w:val="000000"/>
              </w:rPr>
            </w:pPr>
            <w:r>
              <w:rPr>
                <w:color w:val="000000"/>
              </w:rPr>
              <w:t>5,247</w:t>
            </w:r>
          </w:p>
        </w:tc>
        <w:tc>
          <w:tcPr>
            <w:tcW w:w="953" w:type="dxa"/>
            <w:vAlign w:val="center"/>
          </w:tcPr>
          <w:p w:rsidR="00887025" w:rsidRPr="005E5698" w14:paraId="705F2C96" w14:textId="77777777">
            <w:pPr>
              <w:spacing w:line="240" w:lineRule="auto"/>
              <w:jc w:val="center"/>
              <w:rPr>
                <w:color w:val="000000"/>
              </w:rPr>
            </w:pPr>
            <w:r w:rsidRPr="005E5698">
              <w:rPr>
                <w:color w:val="000000"/>
              </w:rPr>
              <w:t>1</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0E3E77F9" w14:textId="77777777">
            <w:pPr>
              <w:spacing w:line="240" w:lineRule="auto"/>
              <w:jc w:val="right"/>
              <w:rPr>
                <w:color w:val="000000"/>
              </w:rPr>
            </w:pPr>
            <w:r w:rsidRPr="005E5698">
              <w:rPr>
                <w:color w:val="000000"/>
              </w:rPr>
              <w:t>10,875,005</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0D8D5138" w14:textId="77777777">
            <w:pPr>
              <w:spacing w:line="240" w:lineRule="auto"/>
              <w:jc w:val="center"/>
              <w:rPr>
                <w:b/>
                <w:bCs/>
                <w:color w:val="000000"/>
              </w:rPr>
            </w:pPr>
            <w:r w:rsidRPr="00DD1DCF">
              <w:rPr>
                <w:b/>
                <w:bCs/>
                <w:color w:val="000000"/>
              </w:rPr>
              <w:t>16.4%</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017188F2"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7B9F56D8" w14:textId="77777777">
            <w:pPr>
              <w:spacing w:line="240" w:lineRule="auto"/>
              <w:jc w:val="center"/>
              <w:rPr>
                <w:color w:val="000000"/>
              </w:rPr>
            </w:pPr>
            <w:r w:rsidRPr="005E5698">
              <w:rPr>
                <w:color w:val="000000"/>
              </w:rPr>
              <w:t>3.9%</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AD39FBF" w14:textId="77777777">
            <w:pPr>
              <w:spacing w:line="240" w:lineRule="auto"/>
              <w:jc w:val="center"/>
              <w:rPr>
                <w:color w:val="000000"/>
              </w:rPr>
            </w:pPr>
            <w:r w:rsidRPr="005E5698">
              <w:rPr>
                <w:color w:val="000000"/>
              </w:rPr>
              <w:t>0.1%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3A42A65" w14:textId="77777777">
            <w:pPr>
              <w:spacing w:line="240" w:lineRule="auto"/>
              <w:jc w:val="center"/>
              <w:rPr>
                <w:color w:val="000000"/>
              </w:rPr>
            </w:pPr>
            <w:r w:rsidRPr="005E5698">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BFB2D86" w14:textId="77777777">
            <w:pPr>
              <w:spacing w:line="240" w:lineRule="auto"/>
              <w:jc w:val="center"/>
              <w:rPr>
                <w:color w:val="000000"/>
              </w:rPr>
            </w:pPr>
            <w:r w:rsidRPr="005E5698">
              <w:rPr>
                <w:color w:val="000000"/>
              </w:rPr>
              <w:t>2.9%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0E0E3670" w14:textId="77777777">
            <w:pPr>
              <w:spacing w:line="240" w:lineRule="auto"/>
              <w:jc w:val="center"/>
              <w:rPr>
                <w:b/>
                <w:bCs/>
                <w:color w:val="000000"/>
              </w:rPr>
            </w:pPr>
            <w:r w:rsidRPr="00DD1DCF">
              <w:rPr>
                <w:b/>
                <w:bCs/>
                <w:color w:val="000000"/>
              </w:rPr>
              <w:t>28.7%</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524B2879" w14:textId="77777777">
            <w:pPr>
              <w:spacing w:line="240" w:lineRule="auto"/>
              <w:jc w:val="center"/>
              <w:rPr>
                <w:b/>
                <w:bCs/>
                <w:color w:val="000000"/>
              </w:rPr>
            </w:pPr>
            <w:r w:rsidRPr="00DD1DCF">
              <w:rPr>
                <w:b/>
                <w:bCs/>
                <w:color w:val="000000"/>
              </w:rPr>
              <w:t>39.3%</w:t>
            </w:r>
          </w:p>
        </w:tc>
      </w:tr>
      <w:tr w14:paraId="6E473643" w14:textId="77777777" w:rsidTr="0012392B">
        <w:tblPrEx>
          <w:tblW w:w="15297" w:type="dxa"/>
          <w:jc w:val="center"/>
          <w:tblLook w:val="04A0"/>
        </w:tblPrEx>
        <w:trPr>
          <w:trHeight w:val="247"/>
          <w:jc w:val="center"/>
        </w:trPr>
        <w:tc>
          <w:tcPr>
            <w:tcW w:w="1030" w:type="dxa"/>
            <w:vMerge/>
            <w:vAlign w:val="center"/>
          </w:tcPr>
          <w:p w:rsidR="00887025" w:rsidRPr="005E5698" w14:paraId="02FC1AF9" w14:textId="77777777">
            <w:pPr>
              <w:spacing w:line="240" w:lineRule="auto"/>
              <w:jc w:val="center"/>
              <w:rPr>
                <w:color w:val="000000"/>
              </w:rPr>
            </w:pPr>
          </w:p>
        </w:tc>
        <w:tc>
          <w:tcPr>
            <w:tcW w:w="1098" w:type="dxa"/>
            <w:vMerge/>
            <w:vAlign w:val="center"/>
          </w:tcPr>
          <w:p w:rsidR="00887025" w:rsidRPr="005E5698" w14:paraId="1CA36527" w14:textId="77777777">
            <w:pPr>
              <w:spacing w:line="240" w:lineRule="auto"/>
              <w:jc w:val="center"/>
              <w:rPr>
                <w:color w:val="000000"/>
              </w:rPr>
            </w:pPr>
          </w:p>
        </w:tc>
        <w:tc>
          <w:tcPr>
            <w:tcW w:w="986" w:type="dxa"/>
            <w:vMerge/>
            <w:vAlign w:val="center"/>
          </w:tcPr>
          <w:p w:rsidR="00887025" w:rsidRPr="005E5698" w14:paraId="436C4078" w14:textId="77777777">
            <w:pPr>
              <w:spacing w:line="240" w:lineRule="auto"/>
              <w:jc w:val="center"/>
              <w:rPr>
                <w:color w:val="000000"/>
              </w:rPr>
            </w:pPr>
          </w:p>
        </w:tc>
        <w:tc>
          <w:tcPr>
            <w:tcW w:w="953" w:type="dxa"/>
            <w:vAlign w:val="center"/>
          </w:tcPr>
          <w:p w:rsidR="00887025" w:rsidRPr="005E5698" w14:paraId="2AF20806" w14:textId="77777777">
            <w:pPr>
              <w:spacing w:line="240" w:lineRule="auto"/>
              <w:jc w:val="center"/>
              <w:rPr>
                <w:color w:val="000000"/>
              </w:rPr>
            </w:pPr>
            <w:r w:rsidRPr="005E5698">
              <w:rPr>
                <w:color w:val="000000"/>
              </w:rPr>
              <w:t>3</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222A8C26" w14:textId="77777777">
            <w:pPr>
              <w:spacing w:line="240" w:lineRule="auto"/>
              <w:jc w:val="right"/>
              <w:rPr>
                <w:color w:val="000000"/>
              </w:rPr>
            </w:pPr>
            <w:r w:rsidRPr="005E5698">
              <w:rPr>
                <w:color w:val="000000"/>
              </w:rPr>
              <w:t>97,306,641</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554F4999" w14:textId="77777777">
            <w:pPr>
              <w:spacing w:line="240" w:lineRule="auto"/>
              <w:jc w:val="center"/>
              <w:rPr>
                <w:b/>
                <w:bCs/>
                <w:color w:val="000000"/>
              </w:rPr>
            </w:pPr>
            <w:r w:rsidRPr="00DD1DCF">
              <w:rPr>
                <w:b/>
                <w:bCs/>
                <w:color w:val="000000"/>
              </w:rPr>
              <w:t>15.9%</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DC74A79" w14:textId="77777777">
            <w:pPr>
              <w:spacing w:line="240" w:lineRule="auto"/>
              <w:jc w:val="center"/>
              <w:rPr>
                <w:color w:val="000000"/>
              </w:rPr>
            </w:pPr>
            <w:r w:rsidRPr="005E5698">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4180E045" w14:textId="77777777">
            <w:pPr>
              <w:spacing w:line="240" w:lineRule="auto"/>
              <w:jc w:val="center"/>
              <w:rPr>
                <w:b/>
                <w:bCs/>
                <w:color w:val="000000"/>
              </w:rPr>
            </w:pPr>
            <w:r w:rsidRPr="00DD1DCF">
              <w:rPr>
                <w:b/>
                <w:bCs/>
                <w:color w:val="000000"/>
              </w:rPr>
              <w:t>6.0%</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08288884" w14:textId="77777777">
            <w:pPr>
              <w:spacing w:line="240" w:lineRule="auto"/>
              <w:jc w:val="center"/>
              <w:rPr>
                <w:color w:val="000000"/>
              </w:rPr>
            </w:pPr>
            <w:r w:rsidRPr="005E5698">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609F471" w14:textId="77777777">
            <w:pPr>
              <w:spacing w:line="240" w:lineRule="auto"/>
              <w:jc w:val="center"/>
              <w:rPr>
                <w:color w:val="000000"/>
              </w:rPr>
            </w:pPr>
            <w:r w:rsidRPr="005E5698">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6F34747" w14:textId="77777777">
            <w:pPr>
              <w:spacing w:line="240" w:lineRule="auto"/>
              <w:jc w:val="center"/>
              <w:rPr>
                <w:color w:val="000000"/>
              </w:rPr>
            </w:pPr>
            <w:r w:rsidRPr="005E5698">
              <w:rPr>
                <w:color w:val="000000"/>
              </w:rPr>
              <w:t>3.1%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0E02396D" w14:textId="77777777">
            <w:pPr>
              <w:spacing w:line="240" w:lineRule="auto"/>
              <w:jc w:val="center"/>
              <w:rPr>
                <w:b/>
                <w:bCs/>
                <w:color w:val="000000"/>
              </w:rPr>
            </w:pPr>
            <w:r w:rsidRPr="00DD1DCF">
              <w:rPr>
                <w:b/>
                <w:bCs/>
                <w:color w:val="000000"/>
              </w:rPr>
              <w:t>25.6%</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0661BAC8" w14:textId="77777777">
            <w:pPr>
              <w:spacing w:line="240" w:lineRule="auto"/>
              <w:jc w:val="center"/>
              <w:rPr>
                <w:b/>
                <w:bCs/>
                <w:color w:val="000000"/>
              </w:rPr>
            </w:pPr>
            <w:r w:rsidRPr="00DD1DCF">
              <w:rPr>
                <w:b/>
                <w:bCs/>
                <w:color w:val="000000"/>
              </w:rPr>
              <w:t>34</w:t>
            </w:r>
            <w:r>
              <w:rPr>
                <w:b/>
                <w:bCs/>
                <w:color w:val="000000"/>
              </w:rPr>
              <w:t>.0</w:t>
            </w:r>
            <w:r w:rsidRPr="00DD1DCF">
              <w:rPr>
                <w:b/>
                <w:bCs/>
                <w:color w:val="000000"/>
              </w:rPr>
              <w:t>%</w:t>
            </w:r>
          </w:p>
        </w:tc>
      </w:tr>
      <w:tr w14:paraId="68E51791" w14:textId="77777777" w:rsidTr="0012392B">
        <w:tblPrEx>
          <w:tblW w:w="15297" w:type="dxa"/>
          <w:jc w:val="center"/>
          <w:tblLook w:val="04A0"/>
        </w:tblPrEx>
        <w:trPr>
          <w:trHeight w:val="247"/>
          <w:jc w:val="center"/>
        </w:trPr>
        <w:tc>
          <w:tcPr>
            <w:tcW w:w="1030" w:type="dxa"/>
            <w:vMerge/>
            <w:vAlign w:val="center"/>
          </w:tcPr>
          <w:p w:rsidR="00887025" w:rsidRPr="005E5698" w14:paraId="3CF99D9A" w14:textId="77777777">
            <w:pPr>
              <w:spacing w:line="240" w:lineRule="auto"/>
              <w:jc w:val="center"/>
              <w:rPr>
                <w:color w:val="000000"/>
              </w:rPr>
            </w:pPr>
          </w:p>
        </w:tc>
        <w:tc>
          <w:tcPr>
            <w:tcW w:w="1098" w:type="dxa"/>
            <w:vMerge w:val="restart"/>
            <w:vAlign w:val="center"/>
          </w:tcPr>
          <w:p w:rsidR="00887025" w:rsidRPr="005E5698" w14:paraId="4F200120" w14:textId="77777777">
            <w:pPr>
              <w:spacing w:line="240" w:lineRule="auto"/>
              <w:jc w:val="center"/>
              <w:rPr>
                <w:color w:val="000000"/>
              </w:rPr>
            </w:pPr>
            <w:r>
              <w:rPr>
                <w:color w:val="000000"/>
              </w:rPr>
              <w:t>100 +</w:t>
            </w:r>
          </w:p>
        </w:tc>
        <w:tc>
          <w:tcPr>
            <w:tcW w:w="986" w:type="dxa"/>
            <w:vMerge w:val="restart"/>
            <w:vAlign w:val="center"/>
          </w:tcPr>
          <w:p w:rsidR="00887025" w:rsidRPr="005E5698" w14:paraId="19D7FCD9" w14:textId="77777777">
            <w:pPr>
              <w:spacing w:line="240" w:lineRule="auto"/>
              <w:jc w:val="center"/>
              <w:rPr>
                <w:color w:val="000000"/>
              </w:rPr>
            </w:pPr>
            <w:r>
              <w:rPr>
                <w:color w:val="000000"/>
              </w:rPr>
              <w:t>1,732</w:t>
            </w:r>
          </w:p>
        </w:tc>
        <w:tc>
          <w:tcPr>
            <w:tcW w:w="953" w:type="dxa"/>
            <w:vAlign w:val="center"/>
          </w:tcPr>
          <w:p w:rsidR="00887025" w:rsidRPr="005E5698" w14:paraId="0E0BCA9B" w14:textId="77777777">
            <w:pPr>
              <w:spacing w:line="240" w:lineRule="auto"/>
              <w:jc w:val="center"/>
              <w:rPr>
                <w:color w:val="000000"/>
              </w:rPr>
            </w:pPr>
            <w:r w:rsidRPr="005E5698">
              <w:rPr>
                <w:color w:val="000000"/>
              </w:rPr>
              <w:t>1</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75685181" w14:textId="77777777">
            <w:pPr>
              <w:spacing w:line="240" w:lineRule="auto"/>
              <w:jc w:val="right"/>
              <w:rPr>
                <w:color w:val="000000"/>
              </w:rPr>
            </w:pPr>
            <w:r w:rsidRPr="005E5698">
              <w:rPr>
                <w:color w:val="000000"/>
              </w:rPr>
              <w:t>3,924,887</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3E0BC0B8" w14:textId="77777777">
            <w:pPr>
              <w:spacing w:line="240" w:lineRule="auto"/>
              <w:jc w:val="center"/>
              <w:rPr>
                <w:b/>
                <w:bCs/>
                <w:color w:val="000000"/>
              </w:rPr>
            </w:pPr>
            <w:r w:rsidRPr="00DD1DCF">
              <w:rPr>
                <w:b/>
                <w:bCs/>
                <w:color w:val="000000"/>
              </w:rPr>
              <w:t>14.6%</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63ED1A40"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A14E710" w14:textId="77777777">
            <w:pPr>
              <w:spacing w:line="240" w:lineRule="auto"/>
              <w:jc w:val="center"/>
              <w:rPr>
                <w:color w:val="000000"/>
              </w:rPr>
            </w:pPr>
            <w:r w:rsidRPr="005E5698">
              <w:rPr>
                <w:color w:val="000000"/>
              </w:rPr>
              <w:t>4.3%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EF1142D" w14:textId="77777777">
            <w:pPr>
              <w:spacing w:line="240" w:lineRule="auto"/>
              <w:jc w:val="center"/>
              <w:rPr>
                <w:color w:val="000000"/>
              </w:rPr>
            </w:pPr>
            <w:r w:rsidRPr="005E5698">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719FC123" w14:textId="77777777">
            <w:pPr>
              <w:spacing w:line="240" w:lineRule="auto"/>
              <w:jc w:val="center"/>
              <w:rPr>
                <w:color w:val="000000"/>
              </w:rPr>
            </w:pPr>
            <w:r w:rsidRPr="005E5698">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18C13DCC" w14:textId="77777777">
            <w:pPr>
              <w:spacing w:line="240" w:lineRule="auto"/>
              <w:jc w:val="center"/>
              <w:rPr>
                <w:color w:val="000000"/>
              </w:rPr>
            </w:pPr>
            <w:r w:rsidRPr="005E5698">
              <w:rPr>
                <w:color w:val="000000"/>
              </w:rPr>
              <w:t>3.1%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486C8C1B" w14:textId="77777777">
            <w:pPr>
              <w:spacing w:line="240" w:lineRule="auto"/>
              <w:jc w:val="center"/>
              <w:rPr>
                <w:b/>
                <w:bCs/>
                <w:color w:val="000000"/>
              </w:rPr>
            </w:pPr>
            <w:r w:rsidRPr="00DD1DCF">
              <w:rPr>
                <w:b/>
                <w:bCs/>
                <w:color w:val="000000"/>
              </w:rPr>
              <w:t>28.4%</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0747CF37" w14:textId="77777777">
            <w:pPr>
              <w:spacing w:line="240" w:lineRule="auto"/>
              <w:jc w:val="center"/>
              <w:rPr>
                <w:b/>
                <w:bCs/>
                <w:color w:val="000000"/>
              </w:rPr>
            </w:pPr>
            <w:r w:rsidRPr="00DD1DCF">
              <w:rPr>
                <w:b/>
                <w:bCs/>
                <w:color w:val="000000"/>
              </w:rPr>
              <w:t>37.6%</w:t>
            </w:r>
          </w:p>
        </w:tc>
      </w:tr>
      <w:tr w14:paraId="545C0BA3" w14:textId="77777777" w:rsidTr="0012392B">
        <w:tblPrEx>
          <w:tblW w:w="15297" w:type="dxa"/>
          <w:jc w:val="center"/>
          <w:tblLook w:val="04A0"/>
        </w:tblPrEx>
        <w:trPr>
          <w:trHeight w:val="247"/>
          <w:jc w:val="center"/>
        </w:trPr>
        <w:tc>
          <w:tcPr>
            <w:tcW w:w="1030" w:type="dxa"/>
            <w:vMerge/>
            <w:vAlign w:val="center"/>
          </w:tcPr>
          <w:p w:rsidR="00887025" w:rsidRPr="005E5698" w14:paraId="37C6046C" w14:textId="77777777">
            <w:pPr>
              <w:spacing w:line="240" w:lineRule="auto"/>
              <w:jc w:val="center"/>
              <w:rPr>
                <w:color w:val="000000"/>
              </w:rPr>
            </w:pPr>
          </w:p>
        </w:tc>
        <w:tc>
          <w:tcPr>
            <w:tcW w:w="1098" w:type="dxa"/>
            <w:vMerge/>
            <w:vAlign w:val="center"/>
          </w:tcPr>
          <w:p w:rsidR="00887025" w:rsidRPr="005E5698" w14:paraId="42A4688B" w14:textId="77777777">
            <w:pPr>
              <w:spacing w:line="240" w:lineRule="auto"/>
              <w:jc w:val="center"/>
              <w:rPr>
                <w:color w:val="000000"/>
              </w:rPr>
            </w:pPr>
          </w:p>
        </w:tc>
        <w:tc>
          <w:tcPr>
            <w:tcW w:w="986" w:type="dxa"/>
            <w:vMerge/>
            <w:vAlign w:val="center"/>
          </w:tcPr>
          <w:p w:rsidR="00887025" w:rsidRPr="005E5698" w14:paraId="384B7703" w14:textId="77777777">
            <w:pPr>
              <w:spacing w:line="240" w:lineRule="auto"/>
              <w:jc w:val="center"/>
              <w:rPr>
                <w:color w:val="000000"/>
              </w:rPr>
            </w:pPr>
          </w:p>
        </w:tc>
        <w:tc>
          <w:tcPr>
            <w:tcW w:w="953" w:type="dxa"/>
            <w:vAlign w:val="center"/>
          </w:tcPr>
          <w:p w:rsidR="00887025" w:rsidRPr="005E5698" w14:paraId="422171C0" w14:textId="77777777">
            <w:pPr>
              <w:spacing w:line="240" w:lineRule="auto"/>
              <w:jc w:val="center"/>
              <w:rPr>
                <w:color w:val="000000"/>
              </w:rPr>
            </w:pPr>
            <w:r w:rsidRPr="005E5698">
              <w:rPr>
                <w:color w:val="000000"/>
              </w:rPr>
              <w:t>3</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1815AD6A" w14:textId="77777777">
            <w:pPr>
              <w:spacing w:line="240" w:lineRule="auto"/>
              <w:jc w:val="right"/>
              <w:rPr>
                <w:color w:val="000000"/>
              </w:rPr>
            </w:pPr>
            <w:r w:rsidRPr="005E5698">
              <w:rPr>
                <w:color w:val="000000"/>
              </w:rPr>
              <w:t>62,392,042</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887025" w:rsidRPr="00DD1DCF" w14:paraId="12AA8D1C" w14:textId="77777777">
            <w:pPr>
              <w:spacing w:line="240" w:lineRule="auto"/>
              <w:jc w:val="center"/>
              <w:rPr>
                <w:b/>
                <w:bCs/>
                <w:color w:val="000000"/>
              </w:rPr>
            </w:pPr>
            <w:r w:rsidRPr="00DD1DCF">
              <w:rPr>
                <w:b/>
                <w:bCs/>
                <w:color w:val="000000"/>
              </w:rPr>
              <w:t>16.9%</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33F4173B" w14:textId="77777777">
            <w:pPr>
              <w:spacing w:line="240" w:lineRule="auto"/>
              <w:jc w:val="center"/>
              <w:rPr>
                <w:color w:val="000000"/>
              </w:rPr>
            </w:pPr>
            <w:r w:rsidRPr="005E5698">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362C04C8" w14:textId="77777777">
            <w:pPr>
              <w:spacing w:line="240" w:lineRule="auto"/>
              <w:jc w:val="center"/>
              <w:rPr>
                <w:b/>
                <w:bCs/>
                <w:color w:val="000000"/>
              </w:rPr>
            </w:pPr>
            <w:r w:rsidRPr="00DD1DCF">
              <w:rPr>
                <w:b/>
                <w:bCs/>
                <w:color w:val="000000"/>
              </w:rPr>
              <w:t>6.4%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1C03809" w14:textId="77777777">
            <w:pPr>
              <w:spacing w:line="240" w:lineRule="auto"/>
              <w:jc w:val="center"/>
              <w:rPr>
                <w:color w:val="000000"/>
              </w:rPr>
            </w:pPr>
            <w:r w:rsidRPr="005E5698">
              <w:rPr>
                <w:color w:val="000000"/>
              </w:rPr>
              <w:t>0.1%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63280C4" w14:textId="77777777">
            <w:pPr>
              <w:spacing w:line="240" w:lineRule="auto"/>
              <w:jc w:val="center"/>
              <w:rPr>
                <w:color w:val="000000"/>
              </w:rPr>
            </w:pPr>
            <w:r w:rsidRPr="005E5698">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6A82D4B0" w14:textId="77777777">
            <w:pPr>
              <w:spacing w:line="240" w:lineRule="auto"/>
              <w:jc w:val="center"/>
              <w:rPr>
                <w:color w:val="000000"/>
              </w:rPr>
            </w:pPr>
            <w:r w:rsidRPr="005E5698">
              <w:rPr>
                <w:color w:val="000000"/>
              </w:rPr>
              <w:t>3.0%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38265CF3" w14:textId="77777777">
            <w:pPr>
              <w:spacing w:line="240" w:lineRule="auto"/>
              <w:jc w:val="center"/>
              <w:rPr>
                <w:b/>
                <w:bCs/>
                <w:color w:val="000000"/>
              </w:rPr>
            </w:pPr>
            <w:r w:rsidRPr="00DD1DCF">
              <w:rPr>
                <w:b/>
                <w:bCs/>
                <w:color w:val="000000"/>
              </w:rPr>
              <w:t>27.5%</w:t>
            </w:r>
          </w:p>
        </w:tc>
        <w:tc>
          <w:tcPr>
            <w:tcW w:w="1388" w:type="dxa"/>
            <w:tcBorders>
              <w:top w:val="single" w:sz="4" w:space="0" w:color="auto"/>
              <w:left w:val="single" w:sz="4" w:space="0" w:color="auto"/>
              <w:bottom w:val="single" w:sz="4" w:space="0" w:color="auto"/>
              <w:right w:val="single" w:sz="4" w:space="0" w:color="auto"/>
            </w:tcBorders>
            <w:vAlign w:val="center"/>
          </w:tcPr>
          <w:p w:rsidR="00887025" w:rsidRPr="00DD1DCF" w14:paraId="32C8972B" w14:textId="77777777">
            <w:pPr>
              <w:spacing w:line="240" w:lineRule="auto"/>
              <w:jc w:val="center"/>
              <w:rPr>
                <w:b/>
                <w:bCs/>
                <w:color w:val="000000"/>
              </w:rPr>
            </w:pPr>
            <w:r w:rsidRPr="00DD1DCF">
              <w:rPr>
                <w:b/>
                <w:bCs/>
                <w:color w:val="000000"/>
              </w:rPr>
              <w:t>34</w:t>
            </w:r>
            <w:r>
              <w:rPr>
                <w:b/>
                <w:bCs/>
                <w:color w:val="000000"/>
              </w:rPr>
              <w:t>.0</w:t>
            </w:r>
            <w:r w:rsidRPr="00DD1DCF">
              <w:rPr>
                <w:b/>
                <w:bCs/>
                <w:color w:val="000000"/>
              </w:rPr>
              <w:t>%</w:t>
            </w:r>
          </w:p>
        </w:tc>
      </w:tr>
      <w:tr w14:paraId="1E194761" w14:textId="77777777" w:rsidTr="0012392B">
        <w:tblPrEx>
          <w:tblW w:w="15297" w:type="dxa"/>
          <w:jc w:val="center"/>
          <w:tblLook w:val="04A0"/>
        </w:tblPrEx>
        <w:trPr>
          <w:trHeight w:val="247"/>
          <w:jc w:val="center"/>
        </w:trPr>
        <w:tc>
          <w:tcPr>
            <w:tcW w:w="2128" w:type="dxa"/>
            <w:gridSpan w:val="2"/>
            <w:vMerge w:val="restart"/>
            <w:vAlign w:val="center"/>
          </w:tcPr>
          <w:p w:rsidR="00887025" w:rsidRPr="005E5698" w14:paraId="6A373CD6" w14:textId="77777777">
            <w:pPr>
              <w:spacing w:line="240" w:lineRule="auto"/>
              <w:jc w:val="center"/>
              <w:rPr>
                <w:color w:val="000000"/>
              </w:rPr>
            </w:pPr>
            <w:r w:rsidRPr="00460CCC">
              <w:rPr>
                <w:color w:val="000000"/>
              </w:rPr>
              <w:t>All active facilities</w:t>
            </w:r>
            <w:r>
              <w:rPr>
                <w:color w:val="000000"/>
              </w:rPr>
              <w:t>, regardless of chemical storage</w:t>
            </w:r>
          </w:p>
        </w:tc>
        <w:tc>
          <w:tcPr>
            <w:tcW w:w="986" w:type="dxa"/>
            <w:vMerge w:val="restart"/>
            <w:vAlign w:val="center"/>
          </w:tcPr>
          <w:p w:rsidR="00887025" w14:paraId="6425C8AA" w14:textId="77777777">
            <w:pPr>
              <w:spacing w:line="240" w:lineRule="auto"/>
              <w:jc w:val="center"/>
              <w:rPr>
                <w:rFonts w:eastAsia="Calibri"/>
                <w:bCs/>
              </w:rPr>
            </w:pPr>
            <w:r>
              <w:rPr>
                <w:rFonts w:eastAsia="Calibri"/>
                <w:bCs/>
              </w:rPr>
              <w:t>11,714</w:t>
            </w:r>
          </w:p>
        </w:tc>
        <w:tc>
          <w:tcPr>
            <w:tcW w:w="953" w:type="dxa"/>
            <w:shd w:val="clear" w:color="auto" w:fill="auto"/>
            <w:vAlign w:val="center"/>
          </w:tcPr>
          <w:p w:rsidR="00887025" w:rsidRPr="005E5698" w14:paraId="18900351" w14:textId="77777777">
            <w:pPr>
              <w:spacing w:line="240" w:lineRule="auto"/>
              <w:jc w:val="center"/>
              <w:rPr>
                <w:color w:val="000000"/>
              </w:rPr>
            </w:pPr>
            <w:r>
              <w:rPr>
                <w:rFonts w:eastAsia="Calibri"/>
                <w:bCs/>
              </w:rPr>
              <w:t>1</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67DC00EE" w14:textId="77777777">
            <w:pPr>
              <w:spacing w:line="240" w:lineRule="auto"/>
              <w:jc w:val="right"/>
              <w:rPr>
                <w:color w:val="000000"/>
              </w:rPr>
            </w:pPr>
            <w:r w:rsidRPr="00460CCC">
              <w:rPr>
                <w:color w:val="000000"/>
              </w:rPr>
              <w:t>24,755,209</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7E1CA7BD" w14:textId="77777777">
            <w:pPr>
              <w:spacing w:line="240" w:lineRule="auto"/>
              <w:jc w:val="center"/>
              <w:rPr>
                <w:b/>
                <w:bCs/>
                <w:color w:val="000000"/>
              </w:rPr>
            </w:pPr>
            <w:r w:rsidRPr="00D36ABA">
              <w:rPr>
                <w:b/>
                <w:bCs/>
                <w:color w:val="000000"/>
              </w:rPr>
              <w:t xml:space="preserve"> 15.6%</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C5BF27A" w14:textId="77777777">
            <w:pPr>
              <w:spacing w:line="240" w:lineRule="auto"/>
              <w:jc w:val="center"/>
              <w:rPr>
                <w:color w:val="000000"/>
              </w:rPr>
            </w:pPr>
            <w:r w:rsidRPr="00460CCC">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5E71ECB0" w14:textId="77777777">
            <w:pPr>
              <w:spacing w:line="240" w:lineRule="auto"/>
              <w:jc w:val="center"/>
              <w:rPr>
                <w:b/>
                <w:bCs/>
                <w:color w:val="000000"/>
              </w:rPr>
            </w:pPr>
            <w:r w:rsidRPr="00460CCC">
              <w:rPr>
                <w:color w:val="000000"/>
              </w:rPr>
              <w:t xml:space="preserve"> 4.8%</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39208E2" w14:textId="77777777">
            <w:pPr>
              <w:spacing w:line="240" w:lineRule="auto"/>
              <w:jc w:val="center"/>
              <w:rPr>
                <w:color w:val="000000"/>
              </w:rPr>
            </w:pPr>
            <w:r w:rsidRPr="00460CCC">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46BA3FD" w14:textId="77777777">
            <w:pPr>
              <w:spacing w:line="240" w:lineRule="auto"/>
              <w:jc w:val="center"/>
              <w:rPr>
                <w:color w:val="000000"/>
              </w:rPr>
            </w:pPr>
            <w:r w:rsidRPr="00460CCC">
              <w:rPr>
                <w:color w:val="000000"/>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507EEB3D" w14:textId="77777777">
            <w:pPr>
              <w:spacing w:line="240" w:lineRule="auto"/>
              <w:jc w:val="center"/>
              <w:rPr>
                <w:color w:val="000000"/>
              </w:rPr>
            </w:pPr>
            <w:r w:rsidRPr="00460CCC">
              <w:rPr>
                <w:color w:val="000000"/>
              </w:rPr>
              <w:t>3.0%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30136432" w14:textId="77777777">
            <w:pPr>
              <w:spacing w:line="240" w:lineRule="auto"/>
              <w:jc w:val="center"/>
              <w:rPr>
                <w:b/>
                <w:bCs/>
                <w:color w:val="000000"/>
              </w:rPr>
            </w:pPr>
            <w:r w:rsidRPr="00CD157D">
              <w:rPr>
                <w:b/>
                <w:bCs/>
                <w:color w:val="000000"/>
              </w:rPr>
              <w:t>27.6%</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DD1DCF" w14:paraId="72F78E41" w14:textId="77777777">
            <w:pPr>
              <w:spacing w:line="240" w:lineRule="auto"/>
              <w:jc w:val="center"/>
              <w:rPr>
                <w:b/>
                <w:bCs/>
                <w:color w:val="000000"/>
              </w:rPr>
            </w:pPr>
            <w:r w:rsidRPr="00CD157D">
              <w:rPr>
                <w:b/>
                <w:bCs/>
                <w:color w:val="000000"/>
              </w:rPr>
              <w:t>38.0%</w:t>
            </w:r>
          </w:p>
        </w:tc>
      </w:tr>
      <w:tr w14:paraId="62005DA2" w14:textId="77777777" w:rsidTr="0012392B">
        <w:tblPrEx>
          <w:tblW w:w="15297" w:type="dxa"/>
          <w:jc w:val="center"/>
          <w:tblLook w:val="04A0"/>
        </w:tblPrEx>
        <w:trPr>
          <w:trHeight w:val="247"/>
          <w:jc w:val="center"/>
        </w:trPr>
        <w:tc>
          <w:tcPr>
            <w:tcW w:w="2128" w:type="dxa"/>
            <w:gridSpan w:val="2"/>
            <w:vMerge/>
            <w:vAlign w:val="center"/>
          </w:tcPr>
          <w:p w:rsidR="00887025" w:rsidRPr="005E5698" w14:paraId="4AD42024" w14:textId="77777777">
            <w:pPr>
              <w:spacing w:line="240" w:lineRule="auto"/>
              <w:jc w:val="center"/>
              <w:rPr>
                <w:color w:val="000000"/>
              </w:rPr>
            </w:pPr>
          </w:p>
        </w:tc>
        <w:tc>
          <w:tcPr>
            <w:tcW w:w="986" w:type="dxa"/>
            <w:vMerge/>
          </w:tcPr>
          <w:p w:rsidR="00887025" w14:paraId="46E1DEFE" w14:textId="77777777">
            <w:pPr>
              <w:spacing w:line="240" w:lineRule="auto"/>
              <w:jc w:val="center"/>
              <w:rPr>
                <w:rFonts w:eastAsia="Calibri"/>
                <w:bCs/>
              </w:rPr>
            </w:pPr>
          </w:p>
        </w:tc>
        <w:tc>
          <w:tcPr>
            <w:tcW w:w="953" w:type="dxa"/>
            <w:shd w:val="clear" w:color="auto" w:fill="auto"/>
            <w:vAlign w:val="center"/>
          </w:tcPr>
          <w:p w:rsidR="00887025" w:rsidRPr="005E5698" w14:paraId="62348EE9" w14:textId="77777777">
            <w:pPr>
              <w:spacing w:line="240" w:lineRule="auto"/>
              <w:jc w:val="center"/>
              <w:rPr>
                <w:color w:val="000000"/>
              </w:rPr>
            </w:pPr>
            <w:r>
              <w:rPr>
                <w:rFonts w:eastAsia="Calibri"/>
                <w:bCs/>
              </w:rPr>
              <w:t>3</w:t>
            </w:r>
          </w:p>
        </w:tc>
        <w:tc>
          <w:tcPr>
            <w:tcW w:w="1220" w:type="dxa"/>
            <w:tcBorders>
              <w:top w:val="single" w:sz="4" w:space="0" w:color="auto"/>
              <w:left w:val="nil"/>
              <w:bottom w:val="single" w:sz="4" w:space="0" w:color="auto"/>
              <w:right w:val="single" w:sz="4" w:space="0" w:color="auto"/>
            </w:tcBorders>
            <w:shd w:val="clear" w:color="auto" w:fill="auto"/>
            <w:vAlign w:val="center"/>
          </w:tcPr>
          <w:p w:rsidR="00887025" w:rsidRPr="005E5698" w14:paraId="155B7C47" w14:textId="77777777">
            <w:pPr>
              <w:spacing w:line="240" w:lineRule="auto"/>
              <w:jc w:val="right"/>
              <w:rPr>
                <w:color w:val="000000"/>
              </w:rPr>
            </w:pPr>
            <w:r w:rsidRPr="00460CCC">
              <w:rPr>
                <w:color w:val="000000"/>
              </w:rPr>
              <w:t>130,875,693</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71BB7E64" w14:textId="77777777">
            <w:pPr>
              <w:spacing w:line="240" w:lineRule="auto"/>
              <w:jc w:val="center"/>
              <w:rPr>
                <w:b/>
                <w:bCs/>
                <w:color w:val="000000"/>
              </w:rPr>
            </w:pPr>
            <w:r w:rsidRPr="00D36ABA">
              <w:rPr>
                <w:b/>
                <w:bCs/>
                <w:color w:val="000000"/>
              </w:rPr>
              <w:t xml:space="preserve"> 15.1%</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40ECB0EC" w14:textId="77777777">
            <w:pPr>
              <w:spacing w:line="240" w:lineRule="auto"/>
              <w:jc w:val="center"/>
              <w:rPr>
                <w:color w:val="000000"/>
              </w:rPr>
            </w:pPr>
            <w:r w:rsidRPr="00460CCC">
              <w:rPr>
                <w:color w:val="000000"/>
              </w:rPr>
              <w:t xml:space="preserve"> 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534C2B78" w14:textId="77777777">
            <w:pPr>
              <w:spacing w:line="240" w:lineRule="auto"/>
              <w:jc w:val="center"/>
              <w:rPr>
                <w:b/>
                <w:bCs/>
                <w:color w:val="000000"/>
              </w:rPr>
            </w:pPr>
            <w:r w:rsidRPr="00CD157D">
              <w:rPr>
                <w:b/>
                <w:bCs/>
                <w:color w:val="000000"/>
              </w:rPr>
              <w:t xml:space="preserve"> 5.9%</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C2C7D5A" w14:textId="77777777">
            <w:pPr>
              <w:spacing w:line="240" w:lineRule="auto"/>
              <w:jc w:val="center"/>
              <w:rPr>
                <w:color w:val="000000"/>
              </w:rPr>
            </w:pPr>
            <w:r w:rsidRPr="00460CCC">
              <w:rPr>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41D1A89B" w14:textId="77777777">
            <w:pPr>
              <w:spacing w:line="240" w:lineRule="auto"/>
              <w:jc w:val="center"/>
              <w:rPr>
                <w:color w:val="000000"/>
              </w:rPr>
            </w:pPr>
            <w:r w:rsidRPr="00460CCC">
              <w:rPr>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5E5698" w14:paraId="233E2404" w14:textId="77777777">
            <w:pPr>
              <w:spacing w:line="240" w:lineRule="auto"/>
              <w:jc w:val="center"/>
              <w:rPr>
                <w:color w:val="000000"/>
              </w:rPr>
            </w:pPr>
            <w:r w:rsidRPr="00460CCC">
              <w:rPr>
                <w:color w:val="000000"/>
              </w:rPr>
              <w:t>3.1%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25" w:rsidRPr="00DD1DCF" w14:paraId="21F881E6" w14:textId="77777777">
            <w:pPr>
              <w:spacing w:line="240" w:lineRule="auto"/>
              <w:jc w:val="center"/>
              <w:rPr>
                <w:b/>
                <w:bCs/>
                <w:color w:val="000000"/>
              </w:rPr>
            </w:pPr>
            <w:r w:rsidRPr="00CD157D">
              <w:rPr>
                <w:b/>
                <w:bCs/>
                <w:color w:val="000000"/>
              </w:rPr>
              <w:t>24.1%</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887025" w:rsidRPr="00DD1DCF" w14:paraId="559C233A" w14:textId="77777777">
            <w:pPr>
              <w:spacing w:line="240" w:lineRule="auto"/>
              <w:jc w:val="center"/>
              <w:rPr>
                <w:b/>
                <w:bCs/>
                <w:color w:val="000000"/>
              </w:rPr>
            </w:pPr>
            <w:r w:rsidRPr="00CD157D">
              <w:rPr>
                <w:b/>
                <w:bCs/>
                <w:color w:val="000000"/>
              </w:rPr>
              <w:t>33.3%</w:t>
            </w:r>
          </w:p>
        </w:tc>
      </w:tr>
      <w:tr w14:paraId="079CDC93" w14:textId="77777777" w:rsidTr="0012392B">
        <w:tblPrEx>
          <w:tblW w:w="15297" w:type="dxa"/>
          <w:jc w:val="center"/>
          <w:tblLook w:val="04A0"/>
        </w:tblPrEx>
        <w:trPr>
          <w:trHeight w:val="247"/>
          <w:jc w:val="center"/>
        </w:trPr>
        <w:tc>
          <w:tcPr>
            <w:tcW w:w="4068" w:type="dxa"/>
            <w:gridSpan w:val="4"/>
            <w:shd w:val="clear" w:color="auto" w:fill="E7E6E6" w:themeFill="background2"/>
          </w:tcPr>
          <w:p w:rsidR="00887025" w:rsidRPr="00D1223F" w14:paraId="4314E977" w14:textId="77777777">
            <w:pPr>
              <w:spacing w:line="240" w:lineRule="auto"/>
              <w:jc w:val="center"/>
              <w:rPr>
                <w:i/>
                <w:iCs/>
                <w:color w:val="000000"/>
              </w:rPr>
            </w:pPr>
            <w:r>
              <w:rPr>
                <w:i/>
                <w:iCs/>
                <w:color w:val="000000"/>
              </w:rPr>
              <w:t>National Comparison Group</w:t>
            </w:r>
          </w:p>
        </w:tc>
        <w:tc>
          <w:tcPr>
            <w:tcW w:w="1220" w:type="dxa"/>
            <w:shd w:val="clear" w:color="auto" w:fill="E7E6E6" w:themeFill="background2"/>
            <w:vAlign w:val="center"/>
          </w:tcPr>
          <w:p w:rsidR="00887025" w:rsidRPr="00D1223F" w14:paraId="144D5D5D" w14:textId="77777777">
            <w:pPr>
              <w:spacing w:line="240" w:lineRule="auto"/>
              <w:jc w:val="right"/>
              <w:rPr>
                <w:i/>
                <w:iCs/>
                <w:color w:val="000000"/>
              </w:rPr>
            </w:pPr>
            <w:r w:rsidRPr="00D1223F">
              <w:rPr>
                <w:i/>
                <w:iCs/>
                <w:color w:val="000000"/>
              </w:rPr>
              <w:t>309,242,323</w:t>
            </w:r>
          </w:p>
        </w:tc>
        <w:tc>
          <w:tcPr>
            <w:tcW w:w="1264" w:type="dxa"/>
            <w:tcBorders>
              <w:top w:val="single" w:sz="4" w:space="0" w:color="auto"/>
              <w:left w:val="nil"/>
              <w:bottom w:val="single" w:sz="4" w:space="0" w:color="auto"/>
              <w:right w:val="single" w:sz="4" w:space="0" w:color="auto"/>
            </w:tcBorders>
            <w:shd w:val="clear" w:color="auto" w:fill="E7E6E6" w:themeFill="background2"/>
            <w:noWrap/>
            <w:vAlign w:val="center"/>
          </w:tcPr>
          <w:p w:rsidR="00887025" w:rsidRPr="00D1223F" w14:paraId="7703782C" w14:textId="77777777">
            <w:pPr>
              <w:spacing w:line="240" w:lineRule="auto"/>
              <w:jc w:val="center"/>
              <w:rPr>
                <w:i/>
                <w:iCs/>
                <w:color w:val="000000"/>
              </w:rPr>
            </w:pPr>
            <w:r w:rsidRPr="00D1223F">
              <w:rPr>
                <w:i/>
                <w:iCs/>
                <w:color w:val="000000"/>
              </w:rPr>
              <w:t>11.8%</w:t>
            </w:r>
          </w:p>
        </w:tc>
        <w:tc>
          <w:tcPr>
            <w:tcW w:w="126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5B262373" w14:textId="77777777">
            <w:pPr>
              <w:spacing w:line="240" w:lineRule="auto"/>
              <w:jc w:val="center"/>
              <w:rPr>
                <w:i/>
                <w:iCs/>
                <w:color w:val="000000"/>
              </w:rPr>
            </w:pPr>
            <w:r w:rsidRPr="00D1223F">
              <w:rPr>
                <w:i/>
                <w:iCs/>
                <w:color w:val="000000"/>
              </w:rPr>
              <w:t>0.6%</w:t>
            </w:r>
          </w:p>
        </w:tc>
        <w:tc>
          <w:tcPr>
            <w:tcW w:w="118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612AC92B" w14:textId="77777777">
            <w:pPr>
              <w:spacing w:line="240" w:lineRule="auto"/>
              <w:jc w:val="center"/>
              <w:rPr>
                <w:i/>
                <w:iCs/>
                <w:color w:val="000000"/>
              </w:rPr>
            </w:pPr>
            <w:r w:rsidRPr="00D1223F">
              <w:rPr>
                <w:i/>
                <w:iCs/>
                <w:color w:val="000000"/>
              </w:rPr>
              <w:t>5.6%</w:t>
            </w:r>
          </w:p>
        </w:tc>
        <w:tc>
          <w:tcPr>
            <w:tcW w:w="134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41746105" w14:textId="77777777">
            <w:pPr>
              <w:spacing w:line="240" w:lineRule="auto"/>
              <w:jc w:val="center"/>
              <w:rPr>
                <w:i/>
                <w:iCs/>
                <w:color w:val="000000"/>
              </w:rPr>
            </w:pPr>
            <w:r w:rsidRPr="00D1223F">
              <w:rPr>
                <w:i/>
                <w:iCs/>
                <w:color w:val="000000"/>
              </w:rPr>
              <w:t>0.2%</w:t>
            </w:r>
          </w:p>
        </w:tc>
        <w:tc>
          <w:tcPr>
            <w:tcW w:w="118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28BAD3F6" w14:textId="77777777">
            <w:pPr>
              <w:spacing w:line="240" w:lineRule="auto"/>
              <w:jc w:val="center"/>
              <w:rPr>
                <w:i/>
                <w:iCs/>
                <w:color w:val="000000"/>
              </w:rPr>
            </w:pPr>
            <w:r w:rsidRPr="00D1223F">
              <w:rPr>
                <w:i/>
                <w:iCs/>
                <w:color w:val="000000"/>
              </w:rPr>
              <w:t>0.4%</w:t>
            </w:r>
          </w:p>
        </w:tc>
        <w:tc>
          <w:tcPr>
            <w:tcW w:w="118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2262415C" w14:textId="77777777">
            <w:pPr>
              <w:spacing w:line="240" w:lineRule="auto"/>
              <w:jc w:val="center"/>
              <w:rPr>
                <w:i/>
                <w:iCs/>
                <w:color w:val="000000"/>
              </w:rPr>
            </w:pPr>
            <w:r w:rsidRPr="00D1223F">
              <w:rPr>
                <w:i/>
                <w:iCs/>
                <w:color w:val="000000"/>
              </w:rPr>
              <w:t>3.2%</w:t>
            </w:r>
          </w:p>
        </w:tc>
        <w:tc>
          <w:tcPr>
            <w:tcW w:w="118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87025" w:rsidRPr="00D1223F" w14:paraId="2E723AB8" w14:textId="77777777">
            <w:pPr>
              <w:spacing w:line="240" w:lineRule="auto"/>
              <w:jc w:val="center"/>
              <w:rPr>
                <w:i/>
                <w:iCs/>
                <w:color w:val="000000"/>
              </w:rPr>
            </w:pPr>
            <w:r w:rsidRPr="00D1223F">
              <w:rPr>
                <w:i/>
                <w:iCs/>
                <w:color w:val="000000"/>
              </w:rPr>
              <w:t>17.7%</w:t>
            </w:r>
          </w:p>
        </w:tc>
        <w:tc>
          <w:tcPr>
            <w:tcW w:w="13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87025" w:rsidRPr="00D1223F" w14:paraId="6F436594" w14:textId="77777777">
            <w:pPr>
              <w:spacing w:line="240" w:lineRule="auto"/>
              <w:jc w:val="center"/>
              <w:rPr>
                <w:i/>
                <w:iCs/>
                <w:color w:val="000000"/>
              </w:rPr>
            </w:pPr>
            <w:r w:rsidRPr="00D1223F">
              <w:rPr>
                <w:i/>
                <w:iCs/>
                <w:color w:val="000000"/>
              </w:rPr>
              <w:t>28.5%</w:t>
            </w:r>
          </w:p>
        </w:tc>
      </w:tr>
    </w:tbl>
    <w:p w:rsidR="008527CB" w:rsidRPr="00DD2D6D" w:rsidP="00887025" w14:paraId="27C6A5FB" w14:textId="77777777">
      <w:pPr>
        <w:pStyle w:val="BodyText"/>
        <w:tabs>
          <w:tab w:val="left" w:pos="225"/>
        </w:tabs>
        <w:rPr>
          <w:rFonts w:ascii="Times New Roman" w:hAnsi="Times New Roman" w:cs="Times New Roman"/>
        </w:rPr>
      </w:pPr>
    </w:p>
    <w:p w:rsidR="008527CB" w:rsidRPr="00A16BC3" w:rsidP="008527CB" w14:paraId="0ADA58F7" w14:textId="77777777"/>
    <w:p w:rsidR="008527CB" w:rsidRPr="00A16BC3" w:rsidP="008527CB" w14:paraId="7593B9D8" w14:textId="77777777">
      <w:pPr>
        <w:rPr>
          <w:i/>
        </w:rPr>
        <w:sectPr w:rsidSect="005379A2">
          <w:pgSz w:w="15840" w:h="12240" w:orient="landscape"/>
          <w:pgMar w:top="1440" w:right="1440" w:bottom="1440" w:left="1440" w:header="720" w:footer="720" w:gutter="0"/>
          <w:cols w:space="720"/>
          <w:docGrid w:linePitch="360"/>
        </w:sectPr>
      </w:pPr>
    </w:p>
    <w:p w:rsidR="008527CB" w:rsidRPr="000E6E0F" w:rsidP="00C07306" w14:paraId="3F4D8390" w14:textId="77777777">
      <w:pPr>
        <w:pStyle w:val="Heading2"/>
      </w:pPr>
      <w:bookmarkStart w:id="528" w:name="_Toc144303613"/>
      <w:r w:rsidRPr="000E6E0F">
        <w:t>9.4 Conclusions</w:t>
      </w:r>
      <w:bookmarkEnd w:id="526"/>
      <w:bookmarkEnd w:id="527"/>
      <w:bookmarkEnd w:id="528"/>
    </w:p>
    <w:p w:rsidR="00887025" w:rsidP="00887025" w14:paraId="1BBCFAF7" w14:textId="77777777">
      <w:pPr>
        <w:pStyle w:val="BodyText"/>
        <w:ind w:firstLine="360"/>
        <w:rPr>
          <w:rFonts w:ascii="Times New Roman" w:hAnsi="Times New Roman" w:cs="Times New Roman"/>
        </w:rPr>
      </w:pPr>
      <w:r>
        <w:rPr>
          <w:rFonts w:ascii="Times New Roman" w:hAnsi="Times New Roman" w:cs="Times New Roman"/>
        </w:rPr>
        <w:tab/>
      </w:r>
    </w:p>
    <w:p w:rsidR="00887025" w:rsidP="00887025" w14:paraId="3BF48C6E" w14:textId="77777777">
      <w:pPr>
        <w:pStyle w:val="BodyText"/>
        <w:ind w:firstLine="720"/>
        <w:rPr>
          <w:rFonts w:ascii="Times New Roman" w:hAnsi="Times New Roman" w:cs="Times New Roman"/>
        </w:rPr>
      </w:pPr>
      <w:r w:rsidRPr="000E6E0F">
        <w:rPr>
          <w:rFonts w:ascii="Times New Roman" w:hAnsi="Times New Roman" w:cs="Times New Roman"/>
        </w:rPr>
        <w:t xml:space="preserve">In the </w:t>
      </w:r>
      <w:r>
        <w:rPr>
          <w:rFonts w:ascii="Times New Roman" w:hAnsi="Times New Roman" w:cs="Times New Roman"/>
        </w:rPr>
        <w:t>main proximity analysis</w:t>
      </w:r>
      <w:r w:rsidRPr="000E6E0F">
        <w:rPr>
          <w:rFonts w:ascii="Times New Roman" w:hAnsi="Times New Roman" w:cs="Times New Roman"/>
        </w:rPr>
        <w:t xml:space="preserve">, communities near RMP facilities and </w:t>
      </w:r>
      <w:r>
        <w:rPr>
          <w:rFonts w:ascii="Times New Roman" w:hAnsi="Times New Roman" w:cs="Times New Roman"/>
        </w:rPr>
        <w:t xml:space="preserve">facilities with RMP-reportable </w:t>
      </w:r>
      <w:r w:rsidRPr="000E6E0F">
        <w:rPr>
          <w:rFonts w:ascii="Times New Roman" w:hAnsi="Times New Roman" w:cs="Times New Roman"/>
        </w:rPr>
        <w:t xml:space="preserve">accidents have higher percentages of </w:t>
      </w:r>
      <w:r>
        <w:rPr>
          <w:rFonts w:ascii="Times New Roman" w:hAnsi="Times New Roman" w:cs="Times New Roman"/>
        </w:rPr>
        <w:t xml:space="preserve">low income individuals </w:t>
      </w:r>
      <w:r w:rsidRPr="000E6E0F">
        <w:rPr>
          <w:rFonts w:ascii="Times New Roman" w:hAnsi="Times New Roman" w:cs="Times New Roman"/>
        </w:rPr>
        <w:t xml:space="preserve">and </w:t>
      </w:r>
      <w:r>
        <w:rPr>
          <w:rFonts w:ascii="Times New Roman" w:hAnsi="Times New Roman" w:cs="Times New Roman"/>
        </w:rPr>
        <w:t>Black (non-Hispanic) and Hispanic residents</w:t>
      </w:r>
      <w:r w:rsidRPr="000E6E0F">
        <w:rPr>
          <w:rFonts w:ascii="Times New Roman" w:hAnsi="Times New Roman" w:cs="Times New Roman"/>
        </w:rPr>
        <w:t xml:space="preserve"> </w:t>
      </w:r>
      <w:r>
        <w:rPr>
          <w:rFonts w:ascii="Times New Roman" w:hAnsi="Times New Roman" w:cs="Times New Roman"/>
        </w:rPr>
        <w:t>compared to the national comparison group</w:t>
      </w:r>
      <w:r w:rsidRPr="000E6E0F">
        <w:rPr>
          <w:rFonts w:ascii="Times New Roman" w:hAnsi="Times New Roman" w:cs="Times New Roman"/>
        </w:rPr>
        <w:t>. To the extent that populations living closer to RMP facilities are more likely to be exposed</w:t>
      </w:r>
      <w:r>
        <w:rPr>
          <w:rFonts w:ascii="Times New Roman" w:hAnsi="Times New Roman" w:cs="Times New Roman"/>
        </w:rPr>
        <w:t xml:space="preserve"> to a chemical</w:t>
      </w:r>
      <w:r w:rsidRPr="000E6E0F">
        <w:rPr>
          <w:rFonts w:ascii="Times New Roman" w:hAnsi="Times New Roman" w:cs="Times New Roman"/>
        </w:rPr>
        <w:t xml:space="preserve"> if an accidental release at an RMP facility occurs, these releases pose a greater risk to these demographic groups of interest. </w:t>
      </w:r>
      <w:r>
        <w:rPr>
          <w:rFonts w:ascii="Times New Roman" w:hAnsi="Times New Roman" w:cs="Times New Roman"/>
        </w:rPr>
        <w:t xml:space="preserve">In terms of risk associated with potential cumulative burden, the additional proximity analyses found that communities near the few RMP facilities with many historical accidents from 2004 to 2020 had even greater percentages of low income, Black (non-Hispanic), and Hispanic individuals compared to the full universe of active facilities as well as facilities with fewer accidents. In terms of exposure to potential risk associated with the severity of accidents, EPA found that communities in proximity to facilities with Program Level 3 processes had higher percentages of low income and Hispanic individuals compared to the full universe of active facilities as well as facilities with lower program levels. By contrast, EPA also found that the percentage of Black (non-Hispanic), Hispanic, Asian, and low-income individuals tended to decrease as the chemical process quantity multiplier increased. </w:t>
      </w:r>
    </w:p>
    <w:p w:rsidR="00887025" w:rsidP="00887025" w14:paraId="2FBC225E" w14:textId="77777777">
      <w:pPr>
        <w:pStyle w:val="BodyText"/>
        <w:ind w:firstLine="360"/>
        <w:rPr>
          <w:rFonts w:ascii="Times New Roman" w:hAnsi="Times New Roman" w:cs="Times New Roman"/>
        </w:rPr>
      </w:pPr>
    </w:p>
    <w:p w:rsidR="00887025" w:rsidRPr="000E6E0F" w:rsidP="00887025" w14:paraId="5F7F31C9" w14:textId="77777777">
      <w:pPr>
        <w:pStyle w:val="BodyText"/>
        <w:ind w:firstLine="720"/>
        <w:rPr>
          <w:rFonts w:ascii="Times New Roman" w:hAnsi="Times New Roman" w:cs="Times New Roman"/>
        </w:rPr>
      </w:pPr>
      <w:r w:rsidRPr="000E6E0F">
        <w:rPr>
          <w:rFonts w:ascii="Times New Roman" w:hAnsi="Times New Roman" w:cs="Times New Roman"/>
        </w:rPr>
        <w:t xml:space="preserve">While EPA is unable to estimate the incremental changes in accident risks from the provisions </w:t>
      </w:r>
      <w:r>
        <w:rPr>
          <w:rFonts w:ascii="Times New Roman" w:hAnsi="Times New Roman" w:cs="Times New Roman"/>
        </w:rPr>
        <w:t>finalized</w:t>
      </w:r>
      <w:r w:rsidRPr="000E6E0F">
        <w:rPr>
          <w:rFonts w:ascii="Times New Roman" w:hAnsi="Times New Roman" w:cs="Times New Roman"/>
        </w:rPr>
        <w:t xml:space="preserve"> by this rule, the baseline distribution of population </w:t>
      </w:r>
      <w:r>
        <w:rPr>
          <w:rFonts w:ascii="Times New Roman" w:hAnsi="Times New Roman" w:cs="Times New Roman"/>
        </w:rPr>
        <w:t xml:space="preserve">as well as the findings from subsequent analyses that look at the socioeconomic characteristics of communities near facilities with a large number of accidents or classified as Program 3 facilities </w:t>
      </w:r>
      <w:r w:rsidRPr="000E6E0F">
        <w:rPr>
          <w:rFonts w:ascii="Times New Roman" w:hAnsi="Times New Roman" w:cs="Times New Roman"/>
        </w:rPr>
        <w:t xml:space="preserve">suggests that </w:t>
      </w:r>
      <w:r w:rsidRPr="3A92BD6B">
        <w:rPr>
          <w:rFonts w:ascii="Times New Roman" w:hAnsi="Times New Roman" w:cs="Times New Roman"/>
          <w:color w:val="000000" w:themeColor="text1"/>
        </w:rPr>
        <w:t xml:space="preserve">the benefits of the provisions may reduce potential exposure for </w:t>
      </w:r>
      <w:r>
        <w:rPr>
          <w:rFonts w:ascii="Times New Roman" w:hAnsi="Times New Roman" w:cs="Times New Roman"/>
          <w:color w:val="000000" w:themeColor="text1"/>
        </w:rPr>
        <w:t>communities with higher percentages of Black (non-Hispanic), Hispanic and low income</w:t>
      </w:r>
      <w:r w:rsidRPr="3A92BD6B">
        <w:rPr>
          <w:rFonts w:ascii="Times New Roman" w:hAnsi="Times New Roman" w:cs="Times New Roman"/>
          <w:color w:val="000000" w:themeColor="text1"/>
        </w:rPr>
        <w:t xml:space="preserve"> populations. </w:t>
      </w:r>
      <w:r>
        <w:rPr>
          <w:rFonts w:ascii="Times New Roman" w:hAnsi="Times New Roman" w:cs="Times New Roman"/>
          <w:color w:val="000000" w:themeColor="text1"/>
        </w:rPr>
        <w:t>In addition</w:t>
      </w:r>
      <w:r w:rsidRPr="3A92BD6B">
        <w:rPr>
          <w:rFonts w:ascii="Times New Roman" w:hAnsi="Times New Roman" w:cs="Times New Roman"/>
          <w:color w:val="000000" w:themeColor="text1"/>
        </w:rPr>
        <w:t>, EPA believes that several of the provisions</w:t>
      </w:r>
      <w:r>
        <w:rPr>
          <w:rFonts w:ascii="Times New Roman" w:hAnsi="Times New Roman" w:cs="Times New Roman"/>
          <w:color w:val="000000" w:themeColor="text1"/>
        </w:rPr>
        <w:t xml:space="preserve"> in this final action</w:t>
      </w:r>
      <w:r w:rsidRPr="3A92BD6B">
        <w:rPr>
          <w:rFonts w:ascii="Times New Roman" w:hAnsi="Times New Roman" w:cs="Times New Roman"/>
          <w:color w:val="000000" w:themeColor="text1"/>
        </w:rPr>
        <w:t xml:space="preserve"> will benefit underserved populations,</w:t>
      </w:r>
      <w:r>
        <w:rPr>
          <w:rFonts w:ascii="Times New Roman" w:hAnsi="Times New Roman" w:cs="Times New Roman"/>
          <w:color w:val="000000" w:themeColor="text1"/>
        </w:rPr>
        <w:t xml:space="preserve"> such as requiring facilities in NAICS codes 324 and 325 to conduct a Safer Technology Alternatives Analysis, </w:t>
      </w:r>
      <w:r w:rsidRPr="3A92BD6B">
        <w:rPr>
          <w:rFonts w:ascii="Times New Roman" w:hAnsi="Times New Roman" w:cs="Times New Roman"/>
          <w:color w:val="000000" w:themeColor="text1"/>
        </w:rPr>
        <w:t xml:space="preserve">increase information availability for fenceline communities, </w:t>
      </w:r>
      <w:r>
        <w:rPr>
          <w:rFonts w:ascii="Times New Roman" w:hAnsi="Times New Roman" w:cs="Times New Roman"/>
          <w:color w:val="000000" w:themeColor="text1"/>
        </w:rPr>
        <w:t xml:space="preserve">include </w:t>
      </w:r>
      <w:r w:rsidRPr="3A92BD6B">
        <w:rPr>
          <w:rFonts w:ascii="Times New Roman" w:hAnsi="Times New Roman" w:cs="Times New Roman"/>
          <w:color w:val="000000" w:themeColor="text1"/>
        </w:rPr>
        <w:t>backup power for perimeter monitoring,</w:t>
      </w:r>
      <w:r>
        <w:rPr>
          <w:rFonts w:ascii="Times New Roman" w:hAnsi="Times New Roman" w:cs="Times New Roman"/>
          <w:color w:val="000000" w:themeColor="text1"/>
        </w:rPr>
        <w:t xml:space="preserve"> conduct</w:t>
      </w:r>
      <w:r w:rsidRPr="3A92BD6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root cause analyses for facilities that have reported accidents, </w:t>
      </w:r>
      <w:r w:rsidRPr="3A92BD6B">
        <w:rPr>
          <w:rFonts w:ascii="Times New Roman" w:hAnsi="Times New Roman" w:cs="Times New Roman"/>
          <w:color w:val="000000" w:themeColor="text1"/>
        </w:rPr>
        <w:t xml:space="preserve">and </w:t>
      </w:r>
      <w:r>
        <w:rPr>
          <w:rFonts w:ascii="Times New Roman" w:hAnsi="Times New Roman" w:cs="Times New Roman"/>
          <w:color w:val="000000" w:themeColor="text1"/>
        </w:rPr>
        <w:t xml:space="preserve">improve </w:t>
      </w:r>
      <w:r w:rsidRPr="3A92BD6B">
        <w:rPr>
          <w:rFonts w:ascii="Times New Roman" w:hAnsi="Times New Roman" w:cs="Times New Roman"/>
          <w:color w:val="000000" w:themeColor="text1"/>
        </w:rPr>
        <w:t xml:space="preserve">community notification and related response planning. </w:t>
      </w:r>
    </w:p>
    <w:p w:rsidR="008527CB" w:rsidRPr="000E6E0F" w:rsidP="00887025" w14:paraId="2DA5CA5B" w14:textId="77777777">
      <w:pPr>
        <w:pStyle w:val="BodyText"/>
        <w:ind w:firstLine="720"/>
        <w:rPr>
          <w:rFonts w:ascii="Times New Roman" w:hAnsi="Times New Roman" w:cs="Times New Roman"/>
        </w:rPr>
      </w:pPr>
    </w:p>
    <w:p w:rsidR="008527CB" w:rsidRPr="000E6E0F" w:rsidP="00C07306" w14:paraId="4C50D2D5" w14:textId="77777777">
      <w:pPr>
        <w:pStyle w:val="Heading2"/>
      </w:pPr>
      <w:bookmarkStart w:id="529" w:name="_Toc110502778"/>
      <w:bookmarkStart w:id="530" w:name="_Toc144303614"/>
      <w:r w:rsidRPr="000E6E0F">
        <w:t xml:space="preserve">9.5 </w:t>
      </w:r>
      <w:r>
        <w:t>Climate Change I</w:t>
      </w:r>
      <w:r w:rsidRPr="000E6E0F">
        <w:t>mpacts</w:t>
      </w:r>
      <w:bookmarkEnd w:id="529"/>
      <w:bookmarkEnd w:id="530"/>
    </w:p>
    <w:p w:rsidR="00887025" w:rsidP="00887025" w14:paraId="53B5240C" w14:textId="77777777">
      <w:pPr>
        <w:spacing w:line="240" w:lineRule="auto"/>
        <w:rPr>
          <w:rFonts w:ascii="Times New Roman" w:hAnsi="Times New Roman" w:cs="Times New Roman"/>
        </w:rPr>
      </w:pPr>
      <w:r>
        <w:rPr>
          <w:rFonts w:ascii="Times New Roman" w:hAnsi="Times New Roman" w:cs="Times New Roman"/>
        </w:rPr>
        <w:tab/>
      </w:r>
    </w:p>
    <w:p w:rsidR="008527CB" w:rsidRPr="00A16BC3" w:rsidP="00887025" w14:paraId="6734C510" w14:textId="77777777">
      <w:pPr>
        <w:spacing w:line="240" w:lineRule="auto"/>
        <w:ind w:firstLine="720"/>
        <w:rPr>
          <w:rFonts w:ascii="Times New Roman" w:hAnsi="Times New Roman" w:cs="Times New Roman"/>
        </w:rPr>
      </w:pPr>
      <w:r w:rsidRPr="00A16BC3">
        <w:rPr>
          <w:rFonts w:ascii="Times New Roman" w:hAnsi="Times New Roman" w:cs="Times New Roman"/>
        </w:rPr>
        <w:t>EPA also considered the potential impacts of climate change and the provisions on communities with environmental justice concerns. Scientific assessment and Agency reports produced over the past decade by the U.S. Global Change Research Program (USGCRP),</w:t>
      </w:r>
      <w:r>
        <w:rPr>
          <w:rStyle w:val="FootnoteReference"/>
          <w:rFonts w:ascii="Times New Roman" w:hAnsi="Times New Roman" w:cs="Times New Roman"/>
        </w:rPr>
        <w:footnoteReference w:id="190"/>
      </w:r>
      <w:r w:rsidRPr="00A16BC3">
        <w:rPr>
          <w:rFonts w:ascii="Times New Roman" w:hAnsi="Times New Roman" w:cs="Times New Roman"/>
          <w:vertAlign w:val="superscript"/>
        </w:rPr>
        <w:t xml:space="preserve">, </w:t>
      </w:r>
      <w:r>
        <w:rPr>
          <w:rStyle w:val="FootnoteReference"/>
          <w:rFonts w:ascii="Times New Roman" w:hAnsi="Times New Roman" w:cs="Times New Roman"/>
        </w:rPr>
        <w:footnoteReference w:id="191"/>
      </w:r>
      <w:r w:rsidRPr="00A16BC3">
        <w:rPr>
          <w:rFonts w:ascii="Times New Roman" w:hAnsi="Times New Roman" w:cs="Times New Roman"/>
        </w:rPr>
        <w:t xml:space="preserve"> the Intergovernmental Panel on </w:t>
      </w:r>
      <w:r w:rsidR="008F690C">
        <w:rPr>
          <w:rFonts w:ascii="Times New Roman" w:hAnsi="Times New Roman" w:cs="Times New Roman"/>
        </w:rPr>
        <w:t>C</w:t>
      </w:r>
      <w:r w:rsidRPr="00A16BC3">
        <w:rPr>
          <w:rFonts w:ascii="Times New Roman" w:hAnsi="Times New Roman" w:cs="Times New Roman"/>
        </w:rPr>
        <w:t>limate Change (IPCC),</w:t>
      </w:r>
      <w:r>
        <w:rPr>
          <w:rStyle w:val="FootnoteReference"/>
          <w:rFonts w:ascii="Times New Roman" w:hAnsi="Times New Roman" w:cs="Times New Roman"/>
        </w:rPr>
        <w:footnoteReference w:id="192"/>
      </w:r>
      <w:r w:rsidRPr="00A16BC3">
        <w:rPr>
          <w:rFonts w:ascii="Times New Roman" w:hAnsi="Times New Roman" w:cs="Times New Roman"/>
          <w:vertAlign w:val="superscript"/>
        </w:rPr>
        <w:t xml:space="preserve">, </w:t>
      </w:r>
      <w:r>
        <w:rPr>
          <w:rStyle w:val="FootnoteReference"/>
          <w:rFonts w:ascii="Times New Roman" w:hAnsi="Times New Roman" w:cs="Times New Roman"/>
        </w:rPr>
        <w:footnoteReference w:id="193"/>
      </w:r>
      <w:r w:rsidRPr="00A16BC3">
        <w:rPr>
          <w:rFonts w:ascii="Times New Roman" w:hAnsi="Times New Roman" w:cs="Times New Roman"/>
          <w:vertAlign w:val="superscript"/>
        </w:rPr>
        <w:t xml:space="preserve">, </w:t>
      </w:r>
      <w:r>
        <w:rPr>
          <w:rStyle w:val="FootnoteReference"/>
          <w:rFonts w:ascii="Times New Roman" w:hAnsi="Times New Roman" w:cs="Times New Roman"/>
        </w:rPr>
        <w:footnoteReference w:id="194"/>
      </w:r>
      <w:r w:rsidRPr="00A16BC3">
        <w:rPr>
          <w:rFonts w:ascii="Times New Roman" w:hAnsi="Times New Roman" w:cs="Times New Roman"/>
          <w:vertAlign w:val="superscript"/>
        </w:rPr>
        <w:t xml:space="preserve">, </w:t>
      </w:r>
      <w:r>
        <w:rPr>
          <w:rStyle w:val="FootnoteReference"/>
          <w:rFonts w:ascii="Times New Roman" w:hAnsi="Times New Roman" w:cs="Times New Roman"/>
        </w:rPr>
        <w:footnoteReference w:id="195"/>
      </w:r>
      <w:r w:rsidRPr="00A16BC3">
        <w:rPr>
          <w:rFonts w:ascii="Times New Roman" w:hAnsi="Times New Roman" w:cs="Times New Roman"/>
        </w:rPr>
        <w:t xml:space="preserve"> and the National Academies of Science, Engineering, and Medicine,</w:t>
      </w:r>
      <w:r>
        <w:rPr>
          <w:rStyle w:val="FootnoteReference"/>
          <w:rFonts w:ascii="Times New Roman" w:hAnsi="Times New Roman" w:cs="Times New Roman"/>
        </w:rPr>
        <w:footnoteReference w:id="196"/>
      </w:r>
      <w:r w:rsidRPr="00A16BC3">
        <w:rPr>
          <w:rFonts w:ascii="Times New Roman" w:hAnsi="Times New Roman" w:cs="Times New Roman"/>
          <w:vertAlign w:val="superscript"/>
        </w:rPr>
        <w:t>,</w:t>
      </w:r>
      <w:r>
        <w:rPr>
          <w:rStyle w:val="FootnoteReference"/>
          <w:rFonts w:ascii="Times New Roman" w:hAnsi="Times New Roman" w:cs="Times New Roman"/>
        </w:rPr>
        <w:footnoteReference w:id="197"/>
      </w:r>
      <w:r w:rsidRPr="00A16BC3">
        <w:rPr>
          <w:rFonts w:ascii="Times New Roman" w:hAnsi="Times New Roman" w:cs="Times New Roman"/>
        </w:rPr>
        <w:t xml:space="preserve"> provide evidence that the impacts of climate change raise potential environmental justice concerns. These reports conclude that poorer or predominantly non-White communities can be especially vulnerable to climate change impacts because they tend to have limited adaptive capacities and are more dependent on climate-sensitive resources such as local water and food supplies or have less access to social and information resources. Individuals living in socially and economically disadvantaged communities, such as those living at or below the poverty line or who are experiencing homelessness or social isolation, are also at greater risk of health effects from climate change. While difficult to isolate from related socioeconomic factors, race appears to be an important factor in vulnerability to climate-related stress, with elevated risks for mortality from high temperatures reported for Black individuals compared to White individuals after controlling for factors such as air conditioning use. Some research has found that race or ethnicity alone, more than other individual demographic and socioeconomic characteristics, may play a significant role in determining one’s risk of experiencing harm from climate change. This includes estimates that Black individuals are 40 percent more likely than non-Black individuals to live in areas of the United States experiencing the highest projected increases in mortality rates due to changes in extreme temperatures (under a scenario of 2°C of global warming). </w:t>
      </w:r>
      <w:r w:rsidRPr="00EA59A8" w:rsidR="00887025">
        <w:rPr>
          <w:rFonts w:ascii="Times New Roman" w:hAnsi="Times New Roman" w:cs="Times New Roman"/>
        </w:rPr>
        <w:t>Additionally, Hispanic and Latino individuals in weather-exposed industries</w:t>
      </w:r>
      <w:r w:rsidRPr="00A16BC3">
        <w:rPr>
          <w:rFonts w:ascii="Times New Roman" w:hAnsi="Times New Roman" w:cs="Times New Roman"/>
        </w:rPr>
        <w:t xml:space="preserve"> were found to be 43 percent more likely to currently live in areas with the highest projected labor hour losses due to extreme temperatures.</w:t>
      </w:r>
      <w:r>
        <w:rPr>
          <w:rStyle w:val="FootnoteReference"/>
          <w:rFonts w:ascii="Times New Roman" w:hAnsi="Times New Roman" w:cs="Times New Roman"/>
        </w:rPr>
        <w:footnoteReference w:id="198"/>
      </w:r>
      <w:r w:rsidRPr="00A16BC3">
        <w:rPr>
          <w:rFonts w:ascii="Times New Roman" w:hAnsi="Times New Roman" w:cs="Times New Roman"/>
        </w:rPr>
        <w:t xml:space="preserve"> </w:t>
      </w:r>
    </w:p>
    <w:p w:rsidR="008527CB" w:rsidRPr="00A16BC3" w:rsidP="008527CB" w14:paraId="6E78D572" w14:textId="77777777">
      <w:pPr>
        <w:spacing w:line="240" w:lineRule="auto"/>
        <w:ind w:firstLine="720"/>
        <w:rPr>
          <w:rFonts w:ascii="Times New Roman" w:hAnsi="Times New Roman" w:cs="Times New Roman"/>
        </w:rPr>
      </w:pPr>
      <w:r w:rsidRPr="00A16BC3">
        <w:rPr>
          <w:rFonts w:ascii="Times New Roman" w:hAnsi="Times New Roman" w:cs="Times New Roman"/>
        </w:rPr>
        <w:t xml:space="preserve">Climate change is associated with extreme weather events that can trigger accidental releases. </w:t>
      </w:r>
      <w:r w:rsidR="00887025">
        <w:rPr>
          <w:rFonts w:ascii="Times New Roman" w:hAnsi="Times New Roman" w:cs="Times New Roman"/>
        </w:rPr>
        <w:t xml:space="preserve">As shown in Chapter </w:t>
      </w:r>
      <w:r w:rsidRPr="00A16BC3">
        <w:rPr>
          <w:rFonts w:ascii="Times New Roman" w:hAnsi="Times New Roman" w:cs="Times New Roman"/>
        </w:rPr>
        <w:fldChar w:fldCharType="begin"/>
      </w:r>
      <w:r w:rsidRPr="00A16BC3">
        <w:rPr>
          <w:rFonts w:ascii="Times New Roman" w:hAnsi="Times New Roman" w:cs="Times New Roman"/>
        </w:rPr>
        <w:instrText xml:space="preserve"> REF _Ref138880511 \h  \* MERGEFORMAT </w:instrText>
      </w:r>
      <w:r w:rsidRPr="00A16BC3">
        <w:rPr>
          <w:rFonts w:ascii="Times New Roman" w:hAnsi="Times New Roman" w:cs="Times New Roman"/>
        </w:rPr>
        <w:fldChar w:fldCharType="separate"/>
      </w:r>
      <w:r w:rsidRPr="00A16BC3">
        <w:rPr>
          <w:rFonts w:ascii="Times New Roman" w:hAnsi="Times New Roman" w:cs="Times New Roman"/>
        </w:rPr>
        <w:t>9.3</w:t>
      </w:r>
      <w:r w:rsidRPr="00A16BC3">
        <w:rPr>
          <w:rFonts w:ascii="Times New Roman" w:hAnsi="Times New Roman" w:cs="Times New Roman"/>
        </w:rPr>
        <w:fldChar w:fldCharType="end"/>
      </w:r>
      <w:r w:rsidR="00887025">
        <w:rPr>
          <w:rFonts w:ascii="Times New Roman" w:hAnsi="Times New Roman" w:cs="Times New Roman"/>
        </w:rPr>
        <w:t xml:space="preserve">, communities near RMP facilities, and therefore most affected by accidental releases, </w:t>
      </w:r>
      <w:r w:rsidRPr="000E6E0F" w:rsidR="00887025">
        <w:rPr>
          <w:rFonts w:ascii="Times New Roman" w:hAnsi="Times New Roman" w:cs="Times New Roman"/>
        </w:rPr>
        <w:t xml:space="preserve">have higher percentages of </w:t>
      </w:r>
      <w:r w:rsidR="00887025">
        <w:rPr>
          <w:rFonts w:ascii="Times New Roman" w:hAnsi="Times New Roman" w:cs="Times New Roman"/>
        </w:rPr>
        <w:t xml:space="preserve">both </w:t>
      </w:r>
      <w:r w:rsidRPr="000E6E0F" w:rsidR="00887025">
        <w:rPr>
          <w:rFonts w:ascii="Times New Roman" w:hAnsi="Times New Roman" w:cs="Times New Roman"/>
        </w:rPr>
        <w:t>low</w:t>
      </w:r>
      <w:r w:rsidR="00887025">
        <w:rPr>
          <w:rFonts w:ascii="Times New Roman" w:hAnsi="Times New Roman" w:cs="Times New Roman"/>
        </w:rPr>
        <w:t>-</w:t>
      </w:r>
      <w:r w:rsidRPr="000E6E0F" w:rsidR="00887025">
        <w:rPr>
          <w:rFonts w:ascii="Times New Roman" w:hAnsi="Times New Roman" w:cs="Times New Roman"/>
        </w:rPr>
        <w:t xml:space="preserve">income </w:t>
      </w:r>
      <w:r w:rsidR="00887025">
        <w:rPr>
          <w:rFonts w:ascii="Times New Roman" w:hAnsi="Times New Roman" w:cs="Times New Roman"/>
        </w:rPr>
        <w:t>residents</w:t>
      </w:r>
      <w:r w:rsidRPr="000E6E0F" w:rsidR="00887025">
        <w:rPr>
          <w:rFonts w:ascii="Times New Roman" w:hAnsi="Times New Roman" w:cs="Times New Roman"/>
        </w:rPr>
        <w:t xml:space="preserve"> and </w:t>
      </w:r>
      <w:r w:rsidR="00887025">
        <w:rPr>
          <w:rFonts w:ascii="Times New Roman" w:hAnsi="Times New Roman" w:cs="Times New Roman"/>
        </w:rPr>
        <w:t>residents</w:t>
      </w:r>
      <w:r w:rsidRPr="000E6E0F" w:rsidR="00887025">
        <w:rPr>
          <w:rFonts w:ascii="Times New Roman" w:hAnsi="Times New Roman" w:cs="Times New Roman"/>
        </w:rPr>
        <w:t xml:space="preserve"> belonging to historically underserved and overburdened rac</w:t>
      </w:r>
      <w:r w:rsidR="00887025">
        <w:rPr>
          <w:rFonts w:ascii="Times New Roman" w:hAnsi="Times New Roman" w:cs="Times New Roman"/>
        </w:rPr>
        <w:t>ial</w:t>
      </w:r>
      <w:r w:rsidRPr="000E6E0F" w:rsidR="00887025">
        <w:rPr>
          <w:rFonts w:ascii="Times New Roman" w:hAnsi="Times New Roman" w:cs="Times New Roman"/>
        </w:rPr>
        <w:t xml:space="preserve"> and ethnic groups</w:t>
      </w:r>
      <w:r w:rsidR="00887025">
        <w:rPr>
          <w:rFonts w:ascii="Times New Roman" w:hAnsi="Times New Roman" w:cs="Times New Roman"/>
        </w:rPr>
        <w:t xml:space="preserve">. </w:t>
      </w:r>
      <w:r w:rsidRPr="000E6E0F" w:rsidR="00887025">
        <w:rPr>
          <w:rFonts w:ascii="Times New Roman" w:hAnsi="Times New Roman" w:cs="Times New Roman"/>
        </w:rPr>
        <w:t xml:space="preserve">EPA is </w:t>
      </w:r>
      <w:r w:rsidR="00887025">
        <w:rPr>
          <w:rFonts w:ascii="Times New Roman" w:hAnsi="Times New Roman" w:cs="Times New Roman"/>
        </w:rPr>
        <w:t xml:space="preserve">addressing climate change </w:t>
      </w:r>
      <w:r w:rsidRPr="00A16BC3">
        <w:rPr>
          <w:rFonts w:ascii="Times New Roman" w:hAnsi="Times New Roman" w:cs="Times New Roman"/>
        </w:rPr>
        <w:t xml:space="preserve">impacts in the final regulation by emphasizing language in the process hazard analysis requiring owners and operators to consider the impacts of natural hazards including climate change-related weather events. To the extent that the final provisions mitigate the potential consequences of accidents at regulated facilities as the result of natural hazards, EPA expects these provisions to benefit nearby communities with environmental justice concerns. </w:t>
      </w:r>
    </w:p>
    <w:p w:rsidR="00887025" w:rsidRPr="00004243" w:rsidP="00887025" w14:paraId="2CA16011" w14:textId="77777777">
      <w:pPr>
        <w:rPr>
          <w:rFonts w:ascii="Times New Roman" w:hAnsi="Times New Roman" w:cs="Times New Roman"/>
        </w:rPr>
      </w:pPr>
    </w:p>
    <w:p w:rsidR="008527CB" w14:paraId="45EF2426" w14:textId="77777777">
      <w:pPr>
        <w:rPr>
          <w:rFonts w:ascii="Times New Roman" w:hAnsi="Times New Roman" w:cs="Times New Roman"/>
          <w:b/>
          <w:sz w:val="36"/>
          <w:szCs w:val="36"/>
        </w:rPr>
      </w:pPr>
      <w:r>
        <w:br w:type="page"/>
      </w:r>
    </w:p>
    <w:p w:rsidR="00673838" w:rsidP="004C4652" w14:paraId="024A9396" w14:textId="77777777">
      <w:pPr>
        <w:pStyle w:val="Heading1"/>
      </w:pPr>
      <w:bookmarkStart w:id="531" w:name="_Toc144303615"/>
      <w:bookmarkStart w:id="532" w:name="_Toc98856248"/>
      <w:r w:rsidRPr="00FC0A08">
        <w:t>CHAPTER 10</w:t>
      </w:r>
      <w:r w:rsidR="000E6E0F">
        <w:t>: Limitations and Conclusions</w:t>
      </w:r>
      <w:bookmarkEnd w:id="531"/>
    </w:p>
    <w:p w:rsidR="00106487" w:rsidRPr="000E6E0F" w:rsidP="00C07306" w14:paraId="020C8370" w14:textId="77777777">
      <w:pPr>
        <w:pStyle w:val="Heading2"/>
      </w:pPr>
      <w:bookmarkStart w:id="533" w:name="_Toc98856249"/>
      <w:bookmarkStart w:id="534" w:name="_Toc144303616"/>
      <w:bookmarkEnd w:id="532"/>
      <w:r w:rsidRPr="000E6E0F">
        <w:t>10.1 Limitations and Conclusions</w:t>
      </w:r>
      <w:bookmarkEnd w:id="533"/>
      <w:bookmarkEnd w:id="534"/>
    </w:p>
    <w:p w:rsidR="00CA4C6C" w:rsidP="000E6E0F" w14:paraId="351B1E08" w14:textId="77777777">
      <w:pPr>
        <w:spacing w:after="0" w:line="240" w:lineRule="auto"/>
        <w:ind w:firstLine="360"/>
        <w:rPr>
          <w:rFonts w:ascii="Times New Roman" w:hAnsi="Times New Roman" w:cs="Times New Roman"/>
        </w:rPr>
      </w:pPr>
      <w:r>
        <w:rPr>
          <w:rFonts w:ascii="Times New Roman" w:hAnsi="Times New Roman" w:cs="Times New Roman"/>
        </w:rPr>
        <w:tab/>
      </w:r>
      <w:r w:rsidRPr="000E6E0F" w:rsidR="00CB536B">
        <w:rPr>
          <w:rFonts w:ascii="Times New Roman" w:hAnsi="Times New Roman" w:cs="Times New Roman"/>
        </w:rPr>
        <w:t xml:space="preserve">The analyses of costs, benefits, and other impacts contained in this RIA faced many limitations. The primary </w:t>
      </w:r>
      <w:r w:rsidR="00396C68">
        <w:rPr>
          <w:rFonts w:ascii="Times New Roman" w:hAnsi="Times New Roman" w:cs="Times New Roman"/>
        </w:rPr>
        <w:t>limitations</w:t>
      </w:r>
      <w:r w:rsidRPr="000E6E0F" w:rsidR="00CB536B">
        <w:rPr>
          <w:rFonts w:ascii="Times New Roman" w:hAnsi="Times New Roman" w:cs="Times New Roman"/>
        </w:rPr>
        <w:t xml:space="preserve"> are discussed below.</w:t>
      </w:r>
      <w:r w:rsidR="000E6E0F">
        <w:rPr>
          <w:rFonts w:ascii="Times New Roman" w:hAnsi="Times New Roman" w:cs="Times New Roman"/>
        </w:rPr>
        <w:t xml:space="preserve"> </w:t>
      </w:r>
    </w:p>
    <w:p w:rsidR="00CA4C6C" w:rsidP="000E6E0F" w14:paraId="6C5BE82C" w14:textId="77777777">
      <w:pPr>
        <w:spacing w:after="0" w:line="240" w:lineRule="auto"/>
        <w:ind w:firstLine="360"/>
        <w:rPr>
          <w:rFonts w:ascii="Times New Roman" w:hAnsi="Times New Roman" w:cs="Times New Roman"/>
        </w:rPr>
      </w:pPr>
    </w:p>
    <w:p w:rsidR="00192CAB" w:rsidP="00FB4F78" w14:paraId="1EA9662C" w14:textId="064A1825">
      <w:pPr>
        <w:spacing w:after="0" w:line="240" w:lineRule="auto"/>
        <w:rPr>
          <w:rFonts w:ascii="Times New Roman" w:hAnsi="Times New Roman" w:cs="Times New Roman"/>
        </w:rPr>
      </w:pPr>
      <w:r>
        <w:rPr>
          <w:rFonts w:ascii="Times New Roman" w:hAnsi="Times New Roman" w:cs="Times New Roman"/>
        </w:rPr>
        <w:t>Facility 5-year RMP Reports</w:t>
      </w:r>
      <w:r w:rsidR="00827144">
        <w:rPr>
          <w:rFonts w:ascii="Times New Roman" w:hAnsi="Times New Roman" w:cs="Times New Roman"/>
        </w:rPr>
        <w:t xml:space="preserve"> </w:t>
      </w:r>
    </w:p>
    <w:p w:rsidR="00192CAB" w:rsidP="000E6E0F" w14:paraId="648A1DC3" w14:textId="77777777">
      <w:pPr>
        <w:spacing w:after="0" w:line="240" w:lineRule="auto"/>
        <w:ind w:firstLine="360"/>
        <w:rPr>
          <w:rFonts w:ascii="Times New Roman" w:hAnsi="Times New Roman" w:cs="Times New Roman"/>
        </w:rPr>
      </w:pPr>
    </w:p>
    <w:p w:rsidR="00106487" w:rsidP="000E6E0F" w14:paraId="1CE6DF4A" w14:textId="77777777">
      <w:pPr>
        <w:spacing w:after="0" w:line="240" w:lineRule="auto"/>
        <w:ind w:firstLine="360"/>
        <w:rPr>
          <w:rFonts w:ascii="Times New Roman" w:hAnsi="Times New Roman" w:cs="Times New Roman"/>
        </w:rPr>
      </w:pPr>
      <w:r>
        <w:rPr>
          <w:rFonts w:ascii="Times New Roman" w:hAnsi="Times New Roman" w:cs="Times New Roman"/>
          <w:i/>
          <w:iCs/>
        </w:rPr>
        <w:tab/>
      </w:r>
      <w:r w:rsidRPr="00FB4F78" w:rsidR="008033A8">
        <w:rPr>
          <w:rFonts w:ascii="Times New Roman" w:hAnsi="Times New Roman" w:cs="Times New Roman"/>
          <w:i/>
          <w:iCs/>
        </w:rPr>
        <w:t>Corrections made.</w:t>
      </w:r>
      <w:r w:rsidR="00827144">
        <w:rPr>
          <w:rFonts w:ascii="Times New Roman" w:hAnsi="Times New Roman" w:cs="Times New Roman"/>
        </w:rPr>
        <w:t xml:space="preserve"> </w:t>
      </w:r>
      <w:r w:rsidRPr="000E6E0F" w:rsidR="00827144">
        <w:rPr>
          <w:rFonts w:ascii="Times New Roman" w:hAnsi="Times New Roman" w:cs="Times New Roman"/>
        </w:rPr>
        <w:t xml:space="preserve">As discussed in detail in </w:t>
      </w:r>
      <w:r w:rsidRPr="000E6E0F" w:rsidR="00DE20B8">
        <w:rPr>
          <w:rFonts w:ascii="Times New Roman" w:hAnsi="Times New Roman" w:cs="Times New Roman"/>
        </w:rPr>
        <w:t>prior chapters</w:t>
      </w:r>
      <w:r w:rsidRPr="000E6E0F" w:rsidR="00827144">
        <w:rPr>
          <w:rFonts w:ascii="Times New Roman" w:hAnsi="Times New Roman" w:cs="Times New Roman"/>
        </w:rPr>
        <w:t xml:space="preserve">, the data </w:t>
      </w:r>
      <w:r w:rsidR="000B5257">
        <w:rPr>
          <w:rFonts w:ascii="Times New Roman" w:hAnsi="Times New Roman" w:cs="Times New Roman"/>
        </w:rPr>
        <w:t>used</w:t>
      </w:r>
      <w:r w:rsidRPr="000E6E0F" w:rsidR="00CB536B">
        <w:rPr>
          <w:rFonts w:ascii="Times New Roman" w:hAnsi="Times New Roman" w:cs="Times New Roman"/>
        </w:rPr>
        <w:t xml:space="preserve"> </w:t>
      </w:r>
      <w:r w:rsidR="000B5257">
        <w:rPr>
          <w:rFonts w:ascii="Times New Roman" w:hAnsi="Times New Roman" w:cs="Times New Roman"/>
        </w:rPr>
        <w:t>for</w:t>
      </w:r>
      <w:r w:rsidRPr="000E6E0F" w:rsidR="00CB536B">
        <w:rPr>
          <w:rFonts w:ascii="Times New Roman" w:hAnsi="Times New Roman" w:cs="Times New Roman"/>
        </w:rPr>
        <w:t xml:space="preserve"> the cost and baseline damage analyses include information </w:t>
      </w:r>
      <w:r w:rsidR="00EA27ED">
        <w:rPr>
          <w:rFonts w:ascii="Times New Roman" w:hAnsi="Times New Roman" w:cs="Times New Roman"/>
        </w:rPr>
        <w:t>from</w:t>
      </w:r>
      <w:r w:rsidRPr="000E6E0F" w:rsidR="00CB536B">
        <w:rPr>
          <w:rFonts w:ascii="Times New Roman" w:hAnsi="Times New Roman" w:cs="Times New Roman"/>
        </w:rPr>
        <w:t xml:space="preserve"> facilit</w:t>
      </w:r>
      <w:r w:rsidR="00EA27ED">
        <w:rPr>
          <w:rFonts w:ascii="Times New Roman" w:hAnsi="Times New Roman" w:cs="Times New Roman"/>
        </w:rPr>
        <w:t>y</w:t>
      </w:r>
      <w:r w:rsidRPr="000E6E0F" w:rsidR="00CB536B">
        <w:rPr>
          <w:rFonts w:ascii="Times New Roman" w:hAnsi="Times New Roman" w:cs="Times New Roman"/>
        </w:rPr>
        <w:t xml:space="preserve"> 5</w:t>
      </w:r>
      <w:r w:rsidR="0059016A">
        <w:rPr>
          <w:rFonts w:ascii="Times New Roman" w:hAnsi="Times New Roman" w:cs="Times New Roman"/>
        </w:rPr>
        <w:t>-</w:t>
      </w:r>
      <w:r w:rsidRPr="000E6E0F" w:rsidR="00CB536B">
        <w:rPr>
          <w:rFonts w:ascii="Times New Roman" w:hAnsi="Times New Roman" w:cs="Times New Roman"/>
        </w:rPr>
        <w:t xml:space="preserve">year </w:t>
      </w:r>
      <w:r w:rsidR="00486134">
        <w:rPr>
          <w:rFonts w:ascii="Times New Roman" w:hAnsi="Times New Roman" w:cs="Times New Roman"/>
        </w:rPr>
        <w:t xml:space="preserve">RMP </w:t>
      </w:r>
      <w:r w:rsidRPr="000E6E0F" w:rsidR="00CB536B">
        <w:rPr>
          <w:rFonts w:ascii="Times New Roman" w:hAnsi="Times New Roman" w:cs="Times New Roman"/>
        </w:rPr>
        <w:t xml:space="preserve">reports. </w:t>
      </w:r>
      <w:r w:rsidRPr="000E6E0F" w:rsidR="00827144">
        <w:rPr>
          <w:rFonts w:ascii="Times New Roman" w:hAnsi="Times New Roman" w:cs="Times New Roman"/>
        </w:rPr>
        <w:t>EPA has attempted to correct obvious errors</w:t>
      </w:r>
      <w:r w:rsidR="00053BB5">
        <w:rPr>
          <w:rFonts w:ascii="Times New Roman" w:hAnsi="Times New Roman" w:cs="Times New Roman"/>
        </w:rPr>
        <w:t xml:space="preserve"> in the reports</w:t>
      </w:r>
      <w:r w:rsidRPr="000E6E0F" w:rsidR="00827144">
        <w:rPr>
          <w:rFonts w:ascii="Times New Roman" w:hAnsi="Times New Roman" w:cs="Times New Roman"/>
        </w:rPr>
        <w:t xml:space="preserve">, such as removing </w:t>
      </w:r>
      <w:r w:rsidR="003206F0">
        <w:rPr>
          <w:rFonts w:ascii="Times New Roman" w:hAnsi="Times New Roman" w:cs="Times New Roman"/>
        </w:rPr>
        <w:t xml:space="preserve">duplicate </w:t>
      </w:r>
      <w:r w:rsidRPr="000E6E0F" w:rsidR="00827144">
        <w:rPr>
          <w:rFonts w:ascii="Times New Roman" w:hAnsi="Times New Roman" w:cs="Times New Roman"/>
        </w:rPr>
        <w:t>accident report</w:t>
      </w:r>
      <w:r w:rsidR="003206F0">
        <w:rPr>
          <w:rFonts w:ascii="Times New Roman" w:hAnsi="Times New Roman" w:cs="Times New Roman"/>
        </w:rPr>
        <w:t>s</w:t>
      </w:r>
      <w:r w:rsidRPr="000E6E0F" w:rsidR="00827144">
        <w:rPr>
          <w:rFonts w:ascii="Times New Roman" w:hAnsi="Times New Roman" w:cs="Times New Roman"/>
        </w:rPr>
        <w:t xml:space="preserve"> and reclassifying some facilities to more appropriate NAICS codes</w:t>
      </w:r>
      <w:r w:rsidRPr="000E6E0F" w:rsidR="003B31C7">
        <w:rPr>
          <w:rFonts w:ascii="Times New Roman" w:hAnsi="Times New Roman" w:cs="Times New Roman"/>
        </w:rPr>
        <w:t xml:space="preserve"> (</w:t>
      </w:r>
      <w:r w:rsidR="00C845DA">
        <w:rPr>
          <w:rFonts w:ascii="Times New Roman" w:hAnsi="Times New Roman" w:cs="Times New Roman"/>
        </w:rPr>
        <w:t xml:space="preserve">for example, </w:t>
      </w:r>
      <w:r w:rsidRPr="000E6E0F" w:rsidR="003B31C7">
        <w:rPr>
          <w:rFonts w:ascii="Times New Roman" w:hAnsi="Times New Roman" w:cs="Times New Roman"/>
        </w:rPr>
        <w:t>government</w:t>
      </w:r>
      <w:r w:rsidR="0059016A">
        <w:rPr>
          <w:rFonts w:ascii="Times New Roman" w:hAnsi="Times New Roman" w:cs="Times New Roman"/>
        </w:rPr>
        <w:t>-</w:t>
      </w:r>
      <w:r w:rsidRPr="000E6E0F" w:rsidR="003B31C7">
        <w:rPr>
          <w:rFonts w:ascii="Times New Roman" w:hAnsi="Times New Roman" w:cs="Times New Roman"/>
        </w:rPr>
        <w:t>owned wastewater treatment)</w:t>
      </w:r>
      <w:r w:rsidR="004F4F0A">
        <w:rPr>
          <w:rFonts w:ascii="Times New Roman" w:hAnsi="Times New Roman" w:cs="Times New Roman"/>
        </w:rPr>
        <w:t xml:space="preserve">. EPA has also </w:t>
      </w:r>
      <w:r w:rsidRPr="000E6E0F" w:rsidR="003B31C7">
        <w:rPr>
          <w:rFonts w:ascii="Times New Roman" w:hAnsi="Times New Roman" w:cs="Times New Roman"/>
        </w:rPr>
        <w:t>identif</w:t>
      </w:r>
      <w:r w:rsidR="004F4F0A">
        <w:rPr>
          <w:rFonts w:ascii="Times New Roman" w:hAnsi="Times New Roman" w:cs="Times New Roman"/>
        </w:rPr>
        <w:t>ied</w:t>
      </w:r>
      <w:r w:rsidRPr="000E6E0F" w:rsidR="003B31C7">
        <w:rPr>
          <w:rFonts w:ascii="Times New Roman" w:hAnsi="Times New Roman" w:cs="Times New Roman"/>
        </w:rPr>
        <w:t xml:space="preserve"> owners of facilities </w:t>
      </w:r>
      <w:r w:rsidR="002024B6">
        <w:rPr>
          <w:rFonts w:ascii="Times New Roman" w:hAnsi="Times New Roman" w:cs="Times New Roman"/>
        </w:rPr>
        <w:t xml:space="preserve">and </w:t>
      </w:r>
      <w:r w:rsidRPr="000E6E0F" w:rsidR="003B31C7">
        <w:rPr>
          <w:rFonts w:ascii="Times New Roman" w:hAnsi="Times New Roman" w:cs="Times New Roman"/>
        </w:rPr>
        <w:t>acquir</w:t>
      </w:r>
      <w:r w:rsidR="004F4F0A">
        <w:rPr>
          <w:rFonts w:ascii="Times New Roman" w:hAnsi="Times New Roman" w:cs="Times New Roman"/>
        </w:rPr>
        <w:t>ed</w:t>
      </w:r>
      <w:r w:rsidRPr="000E6E0F" w:rsidR="003B31C7">
        <w:rPr>
          <w:rFonts w:ascii="Times New Roman" w:hAnsi="Times New Roman" w:cs="Times New Roman"/>
        </w:rPr>
        <w:t xml:space="preserve"> revenue and employee data for the small entity analysis. </w:t>
      </w:r>
      <w:r w:rsidR="00715B5D">
        <w:rPr>
          <w:rFonts w:ascii="Times New Roman" w:hAnsi="Times New Roman" w:cs="Times New Roman"/>
        </w:rPr>
        <w:t>In case</w:t>
      </w:r>
      <w:r w:rsidR="003206F0">
        <w:rPr>
          <w:rFonts w:ascii="Times New Roman" w:hAnsi="Times New Roman" w:cs="Times New Roman"/>
        </w:rPr>
        <w:t>s</w:t>
      </w:r>
      <w:r w:rsidR="00715B5D">
        <w:rPr>
          <w:rFonts w:ascii="Times New Roman" w:hAnsi="Times New Roman" w:cs="Times New Roman"/>
        </w:rPr>
        <w:t xml:space="preserve"> </w:t>
      </w:r>
      <w:r w:rsidR="003206F0">
        <w:rPr>
          <w:rFonts w:ascii="Times New Roman" w:hAnsi="Times New Roman" w:cs="Times New Roman"/>
        </w:rPr>
        <w:t>where</w:t>
      </w:r>
      <w:r w:rsidR="00715B5D">
        <w:rPr>
          <w:rFonts w:ascii="Times New Roman" w:hAnsi="Times New Roman" w:cs="Times New Roman"/>
        </w:rPr>
        <w:t xml:space="preserve"> </w:t>
      </w:r>
      <w:r w:rsidRPr="000E6E0F" w:rsidR="00827144">
        <w:rPr>
          <w:rFonts w:ascii="Times New Roman" w:hAnsi="Times New Roman" w:cs="Times New Roman"/>
        </w:rPr>
        <w:t xml:space="preserve">accidents </w:t>
      </w:r>
      <w:r w:rsidR="00715B5D">
        <w:rPr>
          <w:rFonts w:ascii="Times New Roman" w:hAnsi="Times New Roman" w:cs="Times New Roman"/>
        </w:rPr>
        <w:t>were</w:t>
      </w:r>
      <w:r w:rsidRPr="000E6E0F" w:rsidR="00827144">
        <w:rPr>
          <w:rFonts w:ascii="Times New Roman" w:hAnsi="Times New Roman" w:cs="Times New Roman"/>
        </w:rPr>
        <w:t xml:space="preserve"> not reported or accident impact data </w:t>
      </w:r>
      <w:r w:rsidR="00715B5D">
        <w:rPr>
          <w:rFonts w:ascii="Times New Roman" w:hAnsi="Times New Roman" w:cs="Times New Roman"/>
        </w:rPr>
        <w:t xml:space="preserve">were inaccurate, EPA was unable to </w:t>
      </w:r>
      <w:r w:rsidR="0083777A">
        <w:rPr>
          <w:rFonts w:ascii="Times New Roman" w:hAnsi="Times New Roman" w:cs="Times New Roman"/>
        </w:rPr>
        <w:t>make corrections</w:t>
      </w:r>
      <w:r w:rsidR="003206F0">
        <w:rPr>
          <w:rFonts w:ascii="Times New Roman" w:hAnsi="Times New Roman" w:cs="Times New Roman"/>
        </w:rPr>
        <w:t xml:space="preserve"> but</w:t>
      </w:r>
      <w:r w:rsidR="00715B5D">
        <w:rPr>
          <w:rFonts w:ascii="Times New Roman" w:hAnsi="Times New Roman" w:cs="Times New Roman"/>
        </w:rPr>
        <w:t xml:space="preserve"> does not expect such errors to be large</w:t>
      </w:r>
      <w:r w:rsidR="0083777A">
        <w:rPr>
          <w:rFonts w:ascii="Times New Roman" w:hAnsi="Times New Roman" w:cs="Times New Roman"/>
        </w:rPr>
        <w:t xml:space="preserve">. </w:t>
      </w:r>
      <w:r w:rsidRPr="000E6E0F" w:rsidR="00CB536B">
        <w:rPr>
          <w:rFonts w:ascii="Times New Roman" w:hAnsi="Times New Roman" w:cs="Times New Roman"/>
        </w:rPr>
        <w:t>T</w:t>
      </w:r>
      <w:r w:rsidRPr="000E6E0F" w:rsidR="00827144">
        <w:rPr>
          <w:rFonts w:ascii="Times New Roman" w:hAnsi="Times New Roman" w:cs="Times New Roman"/>
        </w:rPr>
        <w:t xml:space="preserve">he estimated </w:t>
      </w:r>
      <w:r w:rsidRPr="000E6E0F" w:rsidR="00CB536B">
        <w:rPr>
          <w:rFonts w:ascii="Times New Roman" w:hAnsi="Times New Roman" w:cs="Times New Roman"/>
        </w:rPr>
        <w:t xml:space="preserve">baseline damages, as well as the estimates of </w:t>
      </w:r>
      <w:r w:rsidRPr="000E6E0F" w:rsidR="00827144">
        <w:rPr>
          <w:rFonts w:ascii="Times New Roman" w:hAnsi="Times New Roman" w:cs="Times New Roman"/>
        </w:rPr>
        <w:t>costs for third-party audits</w:t>
      </w:r>
      <w:r w:rsidRPr="000E6E0F" w:rsidR="003B31C7">
        <w:rPr>
          <w:rFonts w:ascii="Times New Roman" w:hAnsi="Times New Roman" w:cs="Times New Roman"/>
        </w:rPr>
        <w:t xml:space="preserve"> and</w:t>
      </w:r>
      <w:r w:rsidRPr="000E6E0F" w:rsidR="00827144">
        <w:rPr>
          <w:rFonts w:ascii="Times New Roman" w:hAnsi="Times New Roman" w:cs="Times New Roman"/>
        </w:rPr>
        <w:t xml:space="preserve"> root cause analysis</w:t>
      </w:r>
      <w:r w:rsidR="007026CF">
        <w:rPr>
          <w:rFonts w:ascii="Times New Roman" w:hAnsi="Times New Roman" w:cs="Times New Roman"/>
        </w:rPr>
        <w:t>,</w:t>
      </w:r>
      <w:r w:rsidRPr="000E6E0F" w:rsidR="00CB536B">
        <w:rPr>
          <w:rFonts w:ascii="Times New Roman" w:hAnsi="Times New Roman" w:cs="Times New Roman"/>
        </w:rPr>
        <w:t xml:space="preserve"> reflect these limitations plus the latter also</w:t>
      </w:r>
      <w:r w:rsidRPr="000E6E0F" w:rsidR="00827144">
        <w:rPr>
          <w:rFonts w:ascii="Times New Roman" w:hAnsi="Times New Roman" w:cs="Times New Roman"/>
        </w:rPr>
        <w:t xml:space="preserve"> project past accident rates into the future. </w:t>
      </w:r>
    </w:p>
    <w:p w:rsidR="00192CAB" w:rsidRPr="00BE7DE1" w:rsidP="000E6E0F" w14:paraId="1087EDD6" w14:textId="77777777">
      <w:pPr>
        <w:spacing w:after="0" w:line="240" w:lineRule="auto"/>
        <w:ind w:firstLine="360"/>
        <w:rPr>
          <w:rFonts w:ascii="Times New Roman" w:hAnsi="Times New Roman"/>
          <w:i/>
        </w:rPr>
      </w:pPr>
    </w:p>
    <w:p w:rsidR="00BC6D68" w:rsidP="00192CAB" w14:paraId="53174116" w14:textId="2823C4EC">
      <w:pPr>
        <w:spacing w:after="0" w:line="240" w:lineRule="auto"/>
        <w:ind w:firstLine="360"/>
        <w:rPr>
          <w:rFonts w:ascii="Times New Roman" w:hAnsi="Times New Roman" w:cs="Times New Roman"/>
        </w:rPr>
      </w:pPr>
      <w:r>
        <w:rPr>
          <w:rFonts w:ascii="Times New Roman" w:hAnsi="Times New Roman" w:cs="Times New Roman"/>
          <w:i/>
          <w:iCs/>
        </w:rPr>
        <w:tab/>
      </w:r>
      <w:r w:rsidRPr="00BE7DE1" w:rsidR="00192CAB">
        <w:rPr>
          <w:rFonts w:ascii="Times New Roman" w:hAnsi="Times New Roman"/>
          <w:i/>
        </w:rPr>
        <w:t xml:space="preserve"> </w:t>
      </w:r>
      <w:r w:rsidR="00C8037A">
        <w:rPr>
          <w:rFonts w:ascii="Times New Roman" w:hAnsi="Times New Roman"/>
          <w:i/>
        </w:rPr>
        <w:t xml:space="preserve">Limited </w:t>
      </w:r>
      <w:r w:rsidRPr="00BE7DE1" w:rsidR="00192CAB">
        <w:rPr>
          <w:rFonts w:ascii="Times New Roman" w:hAnsi="Times New Roman"/>
          <w:i/>
        </w:rPr>
        <w:t>benefits information.</w:t>
      </w:r>
      <w:r w:rsidR="00192CAB">
        <w:rPr>
          <w:rFonts w:ascii="Times New Roman" w:hAnsi="Times New Roman" w:cs="Times New Roman"/>
        </w:rPr>
        <w:t xml:space="preserve"> EPA’s </w:t>
      </w:r>
      <w:r w:rsidRPr="000E6E0F" w:rsidR="00192CAB">
        <w:rPr>
          <w:rFonts w:ascii="Times New Roman" w:hAnsi="Times New Roman" w:cs="Times New Roman"/>
        </w:rPr>
        <w:t>benefits analysis is qualitative</w:t>
      </w:r>
      <w:r w:rsidRPr="00AD0C84" w:rsidR="00192CAB">
        <w:rPr>
          <w:rFonts w:ascii="Times New Roman" w:hAnsi="Times New Roman" w:cs="Times New Roman"/>
        </w:rPr>
        <w:t>.</w:t>
      </w:r>
      <w:r w:rsidR="00154CD6">
        <w:rPr>
          <w:rFonts w:ascii="Times New Roman" w:hAnsi="Times New Roman" w:cs="Times New Roman"/>
        </w:rPr>
        <w:t xml:space="preserve"> </w:t>
      </w:r>
      <w:r w:rsidR="00192CAB">
        <w:rPr>
          <w:rFonts w:ascii="Times New Roman" w:hAnsi="Times New Roman" w:cs="Times New Roman"/>
        </w:rPr>
        <w:t>EPA did not have</w:t>
      </w:r>
      <w:r w:rsidRPr="000E6E0F" w:rsidR="00192CAB">
        <w:rPr>
          <w:rFonts w:ascii="Times New Roman" w:hAnsi="Times New Roman" w:cs="Times New Roman"/>
        </w:rPr>
        <w:t xml:space="preserve"> data to co</w:t>
      </w:r>
      <w:r w:rsidR="00192CAB">
        <w:rPr>
          <w:rFonts w:ascii="Times New Roman" w:hAnsi="Times New Roman" w:cs="Times New Roman"/>
        </w:rPr>
        <w:t>rrelate</w:t>
      </w:r>
      <w:r w:rsidRPr="000E6E0F" w:rsidR="00192CAB">
        <w:rPr>
          <w:rFonts w:ascii="Times New Roman" w:hAnsi="Times New Roman" w:cs="Times New Roman"/>
        </w:rPr>
        <w:t xml:space="preserve"> the </w:t>
      </w:r>
      <w:r w:rsidR="00192CAB">
        <w:rPr>
          <w:rFonts w:ascii="Times New Roman" w:hAnsi="Times New Roman" w:cs="Times New Roman"/>
        </w:rPr>
        <w:t>final</w:t>
      </w:r>
      <w:r w:rsidRPr="000E6E0F" w:rsidR="00192CAB">
        <w:rPr>
          <w:rFonts w:ascii="Times New Roman" w:hAnsi="Times New Roman" w:cs="Times New Roman"/>
        </w:rPr>
        <w:t xml:space="preserve"> rule provisions with specific reductions in expected probabilities or magnitudes of RMP chemical accidents. </w:t>
      </w:r>
      <w:r w:rsidRPr="009E7F12" w:rsidR="009E7F12">
        <w:rPr>
          <w:rFonts w:ascii="Times New Roman" w:hAnsi="Times New Roman" w:cs="Times New Roman"/>
        </w:rPr>
        <w:t xml:space="preserve">However, EPA does provide detailed estimates of the baseline damages reported by RMP facilities, which for numerous reasons, the Agency believes </w:t>
      </w:r>
      <w:r w:rsidR="009E7F12">
        <w:rPr>
          <w:rFonts w:ascii="Times New Roman" w:hAnsi="Times New Roman" w:cs="Times New Roman"/>
        </w:rPr>
        <w:t xml:space="preserve">are an </w:t>
      </w:r>
      <w:r w:rsidRPr="00BC6D68">
        <w:rPr>
          <w:rFonts w:ascii="Times New Roman" w:hAnsi="Times New Roman" w:cs="Times New Roman"/>
        </w:rPr>
        <w:t>underestimate of total accident costs.</w:t>
      </w:r>
      <w:r w:rsidRPr="000E6E0F" w:rsidR="00192CAB">
        <w:rPr>
          <w:rFonts w:ascii="Times New Roman" w:hAnsi="Times New Roman" w:cs="Times New Roman"/>
        </w:rPr>
        <w:t xml:space="preserve"> </w:t>
      </w:r>
      <w:r w:rsidRPr="00BC6D68">
        <w:rPr>
          <w:rFonts w:ascii="Times New Roman" w:hAnsi="Times New Roman" w:cs="Times New Roman"/>
        </w:rPr>
        <w:t>While these estimated baseline damages are not equivalent to an estimate of the benefits of this rule, EPA did identify reasons, described elsewhere in this RIA (e.g., section 6.1.1 above) why EPA expects the provisions of this rule to decrease and/or mitigate baseline accident damages, thereby providing some insights that generally gauge quantitative, monetized benefits.</w:t>
      </w:r>
    </w:p>
    <w:p w:rsidR="00BC6D68" w:rsidP="00192CAB" w14:paraId="56D5C051" w14:textId="77777777">
      <w:pPr>
        <w:spacing w:after="0" w:line="240" w:lineRule="auto"/>
        <w:ind w:firstLine="360"/>
        <w:rPr>
          <w:rFonts w:ascii="Times New Roman" w:hAnsi="Times New Roman" w:cs="Times New Roman"/>
        </w:rPr>
      </w:pPr>
    </w:p>
    <w:p w:rsidR="00192CAB" w:rsidRPr="000E6E0F" w:rsidP="00192CAB" w14:paraId="50891F7B" w14:textId="4966516C">
      <w:pPr>
        <w:spacing w:after="0" w:line="240" w:lineRule="auto"/>
        <w:ind w:firstLine="360"/>
        <w:rPr>
          <w:rFonts w:ascii="Times New Roman" w:hAnsi="Times New Roman" w:cs="Times New Roman"/>
        </w:rPr>
      </w:pPr>
      <w:r w:rsidRPr="00BC6D68">
        <w:rPr>
          <w:rFonts w:ascii="Times New Roman" w:hAnsi="Times New Roman" w:cs="Times New Roman"/>
        </w:rPr>
        <w:tab/>
      </w:r>
      <w:r w:rsidRPr="00C21450" w:rsidR="00C21450">
        <w:rPr>
          <w:rFonts w:ascii="Times New Roman" w:hAnsi="Times New Roman" w:cs="Times New Roman"/>
        </w:rPr>
        <w:t xml:space="preserve">One reason that the estimated baseline accident damages are underestimates is that </w:t>
      </w:r>
      <w:r>
        <w:rPr>
          <w:rFonts w:ascii="Times New Roman" w:hAnsi="Times New Roman" w:cs="Times New Roman"/>
        </w:rPr>
        <w:t xml:space="preserve">EPA was able to monetize </w:t>
      </w:r>
      <w:r w:rsidR="008E5F28">
        <w:rPr>
          <w:rFonts w:ascii="Times New Roman" w:hAnsi="Times New Roman" w:cs="Times New Roman"/>
        </w:rPr>
        <w:t xml:space="preserve">only </w:t>
      </w:r>
      <w:r>
        <w:rPr>
          <w:rFonts w:ascii="Times New Roman" w:hAnsi="Times New Roman" w:cs="Times New Roman"/>
        </w:rPr>
        <w:t>the baseline accident impacts required to be reported by facilities</w:t>
      </w:r>
      <w:r w:rsidR="008E5F28">
        <w:rPr>
          <w:rFonts w:ascii="Times New Roman" w:hAnsi="Times New Roman" w:cs="Times New Roman"/>
        </w:rPr>
        <w:t>,</w:t>
      </w:r>
      <w:r>
        <w:rPr>
          <w:rFonts w:ascii="Times New Roman" w:hAnsi="Times New Roman" w:cs="Times New Roman"/>
        </w:rPr>
        <w:t xml:space="preserve"> including fatalities, injuries, property damage, and certain costs associated with evacuations and sheltering</w:t>
      </w:r>
      <w:r w:rsidR="008E5F28">
        <w:rPr>
          <w:rFonts w:ascii="Times New Roman" w:hAnsi="Times New Roman" w:cs="Times New Roman"/>
        </w:rPr>
        <w:t>-</w:t>
      </w:r>
      <w:r>
        <w:rPr>
          <w:rFonts w:ascii="Times New Roman" w:hAnsi="Times New Roman" w:cs="Times New Roman"/>
        </w:rPr>
        <w:t>in</w:t>
      </w:r>
      <w:r w:rsidR="008E5F28">
        <w:rPr>
          <w:rFonts w:ascii="Times New Roman" w:hAnsi="Times New Roman" w:cs="Times New Roman"/>
        </w:rPr>
        <w:t>-</w:t>
      </w:r>
      <w:r>
        <w:rPr>
          <w:rFonts w:ascii="Times New Roman" w:hAnsi="Times New Roman" w:cs="Times New Roman"/>
        </w:rPr>
        <w:t>place events. EPA expects the final rule to reduce many additional</w:t>
      </w:r>
      <w:r w:rsidRPr="000E6E0F">
        <w:rPr>
          <w:rFonts w:ascii="Times New Roman" w:hAnsi="Times New Roman" w:cs="Times New Roman"/>
        </w:rPr>
        <w:t xml:space="preserve"> accident impacts </w:t>
      </w:r>
      <w:r>
        <w:rPr>
          <w:rFonts w:ascii="Times New Roman" w:hAnsi="Times New Roman" w:cs="Times New Roman"/>
        </w:rPr>
        <w:t xml:space="preserve">including responder costs, transaction costs, property value reductions, unmonetized costs of evacuations and sheltering-in-place, the costs of potential health </w:t>
      </w:r>
      <w:r w:rsidR="00CE5CAB">
        <w:rPr>
          <w:rFonts w:ascii="Times New Roman" w:hAnsi="Times New Roman" w:cs="Times New Roman"/>
        </w:rPr>
        <w:t>risks from exposure to toxic chemicals</w:t>
      </w:r>
      <w:r>
        <w:rPr>
          <w:rFonts w:ascii="Times New Roman" w:hAnsi="Times New Roman" w:cs="Times New Roman"/>
        </w:rPr>
        <w:t>, and productivity losses</w:t>
      </w:r>
      <w:r w:rsidR="008E5F28">
        <w:rPr>
          <w:rFonts w:ascii="Times New Roman" w:hAnsi="Times New Roman" w:cs="Times New Roman"/>
        </w:rPr>
        <w:t>,</w:t>
      </w:r>
      <w:r>
        <w:rPr>
          <w:rFonts w:ascii="Times New Roman" w:hAnsi="Times New Roman" w:cs="Times New Roman"/>
        </w:rPr>
        <w:t xml:space="preserve"> but due to a lack of data, could not estimate their magnitudes or values.</w:t>
      </w:r>
      <w:r w:rsidRPr="000E6E0F">
        <w:rPr>
          <w:rFonts w:ascii="Times New Roman" w:hAnsi="Times New Roman" w:cs="Times New Roman"/>
        </w:rPr>
        <w:t xml:space="preserve"> </w:t>
      </w:r>
      <w:r w:rsidR="00C21450">
        <w:rPr>
          <w:rFonts w:ascii="Times New Roman" w:hAnsi="Times New Roman" w:cs="Times New Roman"/>
        </w:rPr>
        <w:t>A second reason is that</w:t>
      </w:r>
      <w:r>
        <w:rPr>
          <w:rFonts w:ascii="Times New Roman" w:hAnsi="Times New Roman" w:cs="Times New Roman"/>
        </w:rPr>
        <w:t xml:space="preserve"> s</w:t>
      </w:r>
      <w:r w:rsidRPr="000E6E0F">
        <w:rPr>
          <w:rFonts w:ascii="Times New Roman" w:hAnsi="Times New Roman" w:cs="Times New Roman"/>
        </w:rPr>
        <w:t>ome accidents may not be reported because the facility goes out of business</w:t>
      </w:r>
      <w:r w:rsidR="00FA21FB">
        <w:rPr>
          <w:rFonts w:ascii="Times New Roman" w:hAnsi="Times New Roman" w:cs="Times New Roman"/>
        </w:rPr>
        <w:t xml:space="preserve"> before filing the RMP report</w:t>
      </w:r>
      <w:r>
        <w:rPr>
          <w:rFonts w:ascii="Times New Roman" w:hAnsi="Times New Roman" w:cs="Times New Roman"/>
        </w:rPr>
        <w:t>,</w:t>
      </w:r>
      <w:r w:rsidRPr="000E6E0F">
        <w:rPr>
          <w:rFonts w:ascii="Times New Roman" w:hAnsi="Times New Roman" w:cs="Times New Roman"/>
        </w:rPr>
        <w:t xml:space="preserve"> resulting in an underestimate of historical damages. Lack of data also meant that other benefits of the rule</w:t>
      </w:r>
      <w:r w:rsidR="00FA21FB">
        <w:rPr>
          <w:rFonts w:ascii="Times New Roman" w:hAnsi="Times New Roman" w:cs="Times New Roman"/>
        </w:rPr>
        <w:t>,</w:t>
      </w:r>
      <w:r w:rsidRPr="000E6E0F">
        <w:rPr>
          <w:rFonts w:ascii="Times New Roman" w:hAnsi="Times New Roman" w:cs="Times New Roman"/>
        </w:rPr>
        <w:t xml:space="preserve"> such as improved information</w:t>
      </w:r>
      <w:r w:rsidR="00FA21FB">
        <w:rPr>
          <w:rFonts w:ascii="Times New Roman" w:hAnsi="Times New Roman" w:cs="Times New Roman"/>
        </w:rPr>
        <w:t>,</w:t>
      </w:r>
      <w:r w:rsidRPr="000E6E0F">
        <w:rPr>
          <w:rFonts w:ascii="Times New Roman" w:hAnsi="Times New Roman" w:cs="Times New Roman"/>
        </w:rPr>
        <w:t xml:space="preserve"> could not be quantified.</w:t>
      </w:r>
      <w:r>
        <w:rPr>
          <w:rFonts w:ascii="Times New Roman" w:hAnsi="Times New Roman" w:cs="Times New Roman"/>
        </w:rPr>
        <w:t xml:space="preserve"> Finally, when EPA examined updated facility estimates of the magnitudes of impacts reported, facilities that reported corrected estimates have tended to increase the magnitudes. </w:t>
      </w:r>
    </w:p>
    <w:p w:rsidR="00192CAB" w:rsidRPr="000E6E0F" w:rsidP="00192CAB" w14:paraId="378988FA" w14:textId="77777777">
      <w:pPr>
        <w:spacing w:after="0" w:line="240" w:lineRule="auto"/>
        <w:ind w:firstLine="720"/>
        <w:rPr>
          <w:rFonts w:ascii="Times New Roman" w:hAnsi="Times New Roman" w:cs="Times New Roman"/>
        </w:rPr>
      </w:pPr>
      <w:r w:rsidRPr="000E6E0F">
        <w:rPr>
          <w:rFonts w:ascii="Times New Roman" w:hAnsi="Times New Roman" w:cs="Times New Roman"/>
        </w:rPr>
        <w:br w:type="page"/>
      </w:r>
    </w:p>
    <w:p w:rsidR="00192CAB" w:rsidP="000E6E0F" w14:paraId="534A0A95" w14:textId="77777777">
      <w:pPr>
        <w:spacing w:after="0" w:line="240" w:lineRule="auto"/>
        <w:ind w:firstLine="360"/>
        <w:rPr>
          <w:rFonts w:ascii="Times New Roman" w:hAnsi="Times New Roman" w:cs="Times New Roman"/>
        </w:rPr>
      </w:pPr>
    </w:p>
    <w:p w:rsidR="003A3DD5" w:rsidP="000E6E0F" w14:paraId="6010E4BC" w14:textId="77777777">
      <w:pPr>
        <w:spacing w:after="0" w:line="240" w:lineRule="auto"/>
        <w:ind w:firstLine="360"/>
        <w:rPr>
          <w:rFonts w:ascii="Times New Roman" w:hAnsi="Times New Roman" w:cs="Times New Roman"/>
        </w:rPr>
      </w:pPr>
    </w:p>
    <w:p w:rsidR="00192CAB" w:rsidP="00FB4F78" w14:paraId="0AA9D7EA" w14:textId="754E77DE">
      <w:pPr>
        <w:spacing w:after="0" w:line="240" w:lineRule="auto"/>
        <w:rPr>
          <w:rFonts w:ascii="Times New Roman" w:hAnsi="Times New Roman" w:cs="Times New Roman"/>
        </w:rPr>
      </w:pPr>
      <w:r>
        <w:rPr>
          <w:rFonts w:ascii="Times New Roman" w:hAnsi="Times New Roman" w:cs="Times New Roman"/>
        </w:rPr>
        <w:t xml:space="preserve">STAA Information </w:t>
      </w:r>
    </w:p>
    <w:p w:rsidR="00192CAB" w:rsidP="000E6E0F" w14:paraId="47445B61" w14:textId="77777777">
      <w:pPr>
        <w:spacing w:after="0" w:line="240" w:lineRule="auto"/>
        <w:ind w:firstLine="360"/>
        <w:rPr>
          <w:rFonts w:ascii="Times New Roman" w:hAnsi="Times New Roman" w:cs="Times New Roman"/>
        </w:rPr>
      </w:pPr>
    </w:p>
    <w:p w:rsidR="00192CAB" w:rsidP="000E6E0F" w14:paraId="14BD4424" w14:textId="79AAC24C">
      <w:pPr>
        <w:spacing w:after="0" w:line="240" w:lineRule="auto"/>
        <w:ind w:firstLine="360"/>
        <w:rPr>
          <w:rFonts w:ascii="Times New Roman" w:hAnsi="Times New Roman" w:eastAsiaTheme="majorEastAsia" w:cs="Times New Roman"/>
        </w:rPr>
      </w:pPr>
      <w:r>
        <w:rPr>
          <w:rFonts w:ascii="Times New Roman" w:hAnsi="Times New Roman" w:eastAsiaTheme="majorEastAsia" w:cs="Times New Roman"/>
          <w:i/>
          <w:iCs/>
        </w:rPr>
        <w:tab/>
      </w:r>
      <w:r w:rsidRPr="00FB4F78" w:rsidR="00A176E8">
        <w:rPr>
          <w:rFonts w:ascii="Times New Roman" w:hAnsi="Times New Roman" w:eastAsiaTheme="majorEastAsia" w:cs="Times New Roman"/>
          <w:i/>
          <w:iCs/>
        </w:rPr>
        <w:t>Potential cost savings not estimated</w:t>
      </w:r>
      <w:r w:rsidR="00A176E8">
        <w:rPr>
          <w:rFonts w:ascii="Times New Roman" w:hAnsi="Times New Roman" w:eastAsiaTheme="majorEastAsia" w:cs="Times New Roman"/>
        </w:rPr>
        <w:t xml:space="preserve">. </w:t>
      </w:r>
      <w:r w:rsidRPr="004C5426">
        <w:rPr>
          <w:rFonts w:ascii="Times New Roman" w:hAnsi="Times New Roman" w:eastAsiaTheme="majorEastAsia" w:cs="Times New Roman"/>
        </w:rPr>
        <w:t xml:space="preserve">It is important to note that while EPA has estimated </w:t>
      </w:r>
      <w:r>
        <w:rPr>
          <w:rFonts w:ascii="Times New Roman" w:hAnsi="Times New Roman" w:eastAsiaTheme="majorEastAsia" w:cs="Times New Roman"/>
        </w:rPr>
        <w:t>the cost of</w:t>
      </w:r>
      <w:r w:rsidRPr="004C5426">
        <w:rPr>
          <w:rFonts w:ascii="Times New Roman" w:hAnsi="Times New Roman" w:eastAsiaTheme="majorEastAsia" w:cs="Times New Roman"/>
        </w:rPr>
        <w:t xml:space="preserve"> STAA implementation</w:t>
      </w:r>
      <w:r>
        <w:rPr>
          <w:rFonts w:ascii="Times New Roman" w:hAnsi="Times New Roman" w:eastAsiaTheme="majorEastAsia" w:cs="Times New Roman"/>
        </w:rPr>
        <w:t>, EPA has not estimated</w:t>
      </w:r>
      <w:r w:rsidRPr="004C5426">
        <w:rPr>
          <w:rFonts w:ascii="Times New Roman" w:hAnsi="Times New Roman" w:eastAsiaTheme="majorEastAsia" w:cs="Times New Roman"/>
        </w:rPr>
        <w:t xml:space="preserve"> the cost savings facilities may gain from implementing these STAA measures. To the extent that facilities do reap cost savings from these new technologies, EPA’s estimates of gross costs can be offset partially by those cost savings</w:t>
      </w:r>
      <w:r>
        <w:rPr>
          <w:rFonts w:ascii="Times New Roman" w:hAnsi="Times New Roman" w:eastAsiaTheme="majorEastAsia" w:cs="Times New Roman"/>
        </w:rPr>
        <w:t>.</w:t>
      </w:r>
    </w:p>
    <w:p w:rsidR="00192CAB" w:rsidP="000E6E0F" w14:paraId="532FCD98" w14:textId="77777777">
      <w:pPr>
        <w:spacing w:after="0" w:line="240" w:lineRule="auto"/>
        <w:ind w:firstLine="360"/>
        <w:rPr>
          <w:rFonts w:ascii="Times New Roman" w:hAnsi="Times New Roman" w:cs="Times New Roman"/>
        </w:rPr>
      </w:pPr>
    </w:p>
    <w:p w:rsidR="00106487" w:rsidP="000E6E0F" w14:paraId="0323EBC0" w14:textId="0B5CDB95">
      <w:pPr>
        <w:spacing w:after="0" w:line="240" w:lineRule="auto"/>
        <w:ind w:firstLine="360"/>
        <w:rPr>
          <w:rFonts w:ascii="Times New Roman" w:hAnsi="Times New Roman" w:cs="Times New Roman"/>
        </w:rPr>
      </w:pPr>
      <w:r>
        <w:rPr>
          <w:rFonts w:ascii="Times New Roman" w:hAnsi="Times New Roman" w:cs="Times New Roman"/>
          <w:i/>
          <w:iCs/>
        </w:rPr>
        <w:tab/>
      </w:r>
      <w:r w:rsidRPr="00FB4F78" w:rsidR="007F56C1">
        <w:rPr>
          <w:rFonts w:ascii="Times New Roman" w:hAnsi="Times New Roman" w:cs="Times New Roman"/>
          <w:i/>
          <w:iCs/>
        </w:rPr>
        <w:t xml:space="preserve">Example technologies and </w:t>
      </w:r>
      <w:r w:rsidRPr="00FB4F78" w:rsidR="008B0621">
        <w:rPr>
          <w:rFonts w:ascii="Times New Roman" w:hAnsi="Times New Roman" w:cs="Times New Roman"/>
          <w:i/>
          <w:iCs/>
        </w:rPr>
        <w:t>approach to practicability study cost estimate</w:t>
      </w:r>
      <w:r w:rsidR="008B0621">
        <w:rPr>
          <w:rFonts w:ascii="Times New Roman" w:hAnsi="Times New Roman" w:cs="Times New Roman"/>
        </w:rPr>
        <w:t>.</w:t>
      </w:r>
      <w:r w:rsidR="00CA4C6C">
        <w:rPr>
          <w:rFonts w:ascii="Times New Roman" w:hAnsi="Times New Roman" w:cs="Times New Roman"/>
        </w:rPr>
        <w:t xml:space="preserve"> </w:t>
      </w:r>
      <w:r w:rsidR="00C46A63">
        <w:rPr>
          <w:rFonts w:ascii="Times New Roman" w:hAnsi="Times New Roman" w:cs="Times New Roman"/>
        </w:rPr>
        <w:t>While w</w:t>
      </w:r>
      <w:r w:rsidRPr="000E6E0F" w:rsidR="00827144">
        <w:rPr>
          <w:rFonts w:ascii="Times New Roman" w:hAnsi="Times New Roman" w:cs="Times New Roman"/>
        </w:rPr>
        <w:t>hat constitutes safer technolog</w:t>
      </w:r>
      <w:r w:rsidR="004D2CAC">
        <w:rPr>
          <w:rFonts w:ascii="Times New Roman" w:hAnsi="Times New Roman" w:cs="Times New Roman"/>
        </w:rPr>
        <w:t>ies</w:t>
      </w:r>
      <w:r w:rsidRPr="000E6E0F" w:rsidR="00827144">
        <w:rPr>
          <w:rFonts w:ascii="Times New Roman" w:hAnsi="Times New Roman" w:cs="Times New Roman"/>
        </w:rPr>
        <w:t xml:space="preserve"> </w:t>
      </w:r>
      <w:r w:rsidR="004D2CAC">
        <w:rPr>
          <w:rFonts w:ascii="Times New Roman" w:hAnsi="Times New Roman" w:cs="Times New Roman"/>
        </w:rPr>
        <w:t xml:space="preserve">will vary for each specific </w:t>
      </w:r>
      <w:r w:rsidR="00CA4C6C">
        <w:rPr>
          <w:rFonts w:ascii="Times New Roman" w:hAnsi="Times New Roman" w:cs="Times New Roman"/>
        </w:rPr>
        <w:t>RMP</w:t>
      </w:r>
      <w:r w:rsidR="004D2CAC">
        <w:rPr>
          <w:rFonts w:ascii="Times New Roman" w:hAnsi="Times New Roman" w:cs="Times New Roman"/>
        </w:rPr>
        <w:t xml:space="preserve"> process, </w:t>
      </w:r>
      <w:r w:rsidR="00275F3D">
        <w:rPr>
          <w:rFonts w:ascii="Times New Roman" w:hAnsi="Times New Roman" w:cs="Times New Roman"/>
        </w:rPr>
        <w:t xml:space="preserve">identification of safer technologies </w:t>
      </w:r>
      <w:r w:rsidR="00C46A63">
        <w:rPr>
          <w:rFonts w:ascii="Times New Roman" w:hAnsi="Times New Roman" w:cs="Times New Roman"/>
        </w:rPr>
        <w:t xml:space="preserve">should be based on recognized </w:t>
      </w:r>
      <w:r w:rsidR="004D2CAC">
        <w:rPr>
          <w:rFonts w:ascii="Times New Roman" w:hAnsi="Times New Roman" w:cs="Times New Roman"/>
        </w:rPr>
        <w:t xml:space="preserve">approaches by chemical process designers. </w:t>
      </w:r>
      <w:r w:rsidR="00C46A63">
        <w:rPr>
          <w:rFonts w:ascii="Times New Roman" w:hAnsi="Times New Roman" w:cs="Times New Roman"/>
        </w:rPr>
        <w:t xml:space="preserve">EPA realizes </w:t>
      </w:r>
      <w:r w:rsidR="00B73213">
        <w:rPr>
          <w:rFonts w:ascii="Times New Roman" w:hAnsi="Times New Roman" w:cs="Times New Roman"/>
        </w:rPr>
        <w:t>that safer</w:t>
      </w:r>
      <w:r w:rsidR="00303217">
        <w:rPr>
          <w:rFonts w:ascii="Times New Roman" w:hAnsi="Times New Roman" w:cs="Times New Roman"/>
        </w:rPr>
        <w:t xml:space="preserve"> </w:t>
      </w:r>
      <w:r w:rsidR="00D72C3E">
        <w:rPr>
          <w:rFonts w:ascii="Times New Roman" w:hAnsi="Times New Roman" w:cs="Times New Roman"/>
        </w:rPr>
        <w:t>technology determinations</w:t>
      </w:r>
      <w:r w:rsidR="00A348DD">
        <w:rPr>
          <w:rFonts w:ascii="Times New Roman" w:hAnsi="Times New Roman" w:cs="Times New Roman"/>
        </w:rPr>
        <w:t xml:space="preserve"> w</w:t>
      </w:r>
      <w:r w:rsidR="00D72C3E">
        <w:rPr>
          <w:rFonts w:ascii="Times New Roman" w:hAnsi="Times New Roman" w:cs="Times New Roman"/>
        </w:rPr>
        <w:t xml:space="preserve">ill vary among industry sectors, </w:t>
      </w:r>
      <w:r w:rsidRPr="000E6E0F" w:rsidR="00D72C3E">
        <w:rPr>
          <w:rFonts w:ascii="Times New Roman" w:hAnsi="Times New Roman" w:cs="Times New Roman"/>
        </w:rPr>
        <w:t xml:space="preserve">as </w:t>
      </w:r>
      <w:r w:rsidR="00D72C3E">
        <w:rPr>
          <w:rFonts w:ascii="Times New Roman" w:hAnsi="Times New Roman" w:cs="Times New Roman"/>
        </w:rPr>
        <w:t xml:space="preserve">will </w:t>
      </w:r>
      <w:r w:rsidRPr="000E6E0F" w:rsidR="00D72C3E">
        <w:rPr>
          <w:rFonts w:ascii="Times New Roman" w:hAnsi="Times New Roman" w:cs="Times New Roman"/>
        </w:rPr>
        <w:t xml:space="preserve">what is considered practicable and </w:t>
      </w:r>
      <w:r w:rsidR="00D72C3E">
        <w:rPr>
          <w:rFonts w:ascii="Times New Roman" w:hAnsi="Times New Roman" w:cs="Times New Roman"/>
        </w:rPr>
        <w:t>included</w:t>
      </w:r>
      <w:r w:rsidRPr="000E6E0F" w:rsidR="00D72C3E">
        <w:rPr>
          <w:rFonts w:ascii="Times New Roman" w:hAnsi="Times New Roman" w:cs="Times New Roman"/>
        </w:rPr>
        <w:t xml:space="preserve"> in a practicability analysis</w:t>
      </w:r>
      <w:r w:rsidR="00A348DD">
        <w:rPr>
          <w:rFonts w:ascii="Times New Roman" w:hAnsi="Times New Roman" w:cs="Times New Roman"/>
        </w:rPr>
        <w:t>.</w:t>
      </w:r>
      <w:r w:rsidRPr="000E6E0F" w:rsidR="00827144">
        <w:rPr>
          <w:rFonts w:ascii="Times New Roman" w:hAnsi="Times New Roman" w:cs="Times New Roman"/>
        </w:rPr>
        <w:t xml:space="preserve"> To estimate the costs of the </w:t>
      </w:r>
      <w:r w:rsidR="00E25B3A">
        <w:rPr>
          <w:rFonts w:ascii="Times New Roman" w:hAnsi="Times New Roman" w:cs="Times New Roman"/>
        </w:rPr>
        <w:t>practicability assessment</w:t>
      </w:r>
      <w:r w:rsidRPr="000E6E0F" w:rsidR="00827144">
        <w:rPr>
          <w:rFonts w:ascii="Times New Roman" w:hAnsi="Times New Roman" w:cs="Times New Roman"/>
        </w:rPr>
        <w:t xml:space="preserve"> of safer technologies, EPA relied on estimates of costs of example technologies</w:t>
      </w:r>
      <w:r w:rsidR="00C4141D">
        <w:rPr>
          <w:rFonts w:ascii="Times New Roman" w:hAnsi="Times New Roman" w:cs="Times New Roman"/>
        </w:rPr>
        <w:t>, which may</w:t>
      </w:r>
      <w:r w:rsidR="007026CF">
        <w:rPr>
          <w:rFonts w:ascii="Times New Roman" w:hAnsi="Times New Roman" w:cs="Times New Roman"/>
        </w:rPr>
        <w:t>,</w:t>
      </w:r>
      <w:r w:rsidR="00A348DD">
        <w:rPr>
          <w:rFonts w:ascii="Times New Roman" w:hAnsi="Times New Roman" w:cs="Times New Roman"/>
        </w:rPr>
        <w:t xml:space="preserve"> of course</w:t>
      </w:r>
      <w:r w:rsidR="007026CF">
        <w:rPr>
          <w:rFonts w:ascii="Times New Roman" w:hAnsi="Times New Roman" w:cs="Times New Roman"/>
        </w:rPr>
        <w:t>,</w:t>
      </w:r>
      <w:r w:rsidR="00C4141D">
        <w:rPr>
          <w:rFonts w:ascii="Times New Roman" w:hAnsi="Times New Roman" w:cs="Times New Roman"/>
        </w:rPr>
        <w:t xml:space="preserve"> differ from the a</w:t>
      </w:r>
      <w:r w:rsidRPr="000E6E0F" w:rsidR="00827144">
        <w:rPr>
          <w:rFonts w:ascii="Times New Roman" w:hAnsi="Times New Roman" w:cs="Times New Roman"/>
        </w:rPr>
        <w:t>ctual technologies studied</w:t>
      </w:r>
      <w:r w:rsidR="00C4141D">
        <w:rPr>
          <w:rFonts w:ascii="Times New Roman" w:hAnsi="Times New Roman" w:cs="Times New Roman"/>
        </w:rPr>
        <w:t xml:space="preserve"> by firms</w:t>
      </w:r>
      <w:r w:rsidR="006C53A0">
        <w:rPr>
          <w:rFonts w:ascii="Times New Roman" w:hAnsi="Times New Roman" w:cs="Times New Roman"/>
        </w:rPr>
        <w:t xml:space="preserve"> complying with the requirement</w:t>
      </w:r>
      <w:r w:rsidR="008A04ED">
        <w:rPr>
          <w:rFonts w:ascii="Times New Roman" w:hAnsi="Times New Roman" w:cs="Times New Roman"/>
        </w:rPr>
        <w:t>.</w:t>
      </w:r>
      <w:r w:rsidRPr="000E6E0F" w:rsidR="00827144">
        <w:rPr>
          <w:rFonts w:ascii="Times New Roman" w:hAnsi="Times New Roman" w:cs="Times New Roman"/>
        </w:rPr>
        <w:t xml:space="preserve"> </w:t>
      </w:r>
      <w:r w:rsidRPr="000E6E0F" w:rsidR="00CB536B">
        <w:rPr>
          <w:rFonts w:ascii="Times New Roman" w:hAnsi="Times New Roman" w:cs="Times New Roman"/>
        </w:rPr>
        <w:t xml:space="preserve">In addition, the assumption that a </w:t>
      </w:r>
      <w:r w:rsidR="00E25B3A">
        <w:rPr>
          <w:rFonts w:ascii="Times New Roman" w:hAnsi="Times New Roman" w:cs="Times New Roman"/>
        </w:rPr>
        <w:t>practicability assessment</w:t>
      </w:r>
      <w:r w:rsidRPr="000E6E0F" w:rsidR="00CB536B">
        <w:rPr>
          <w:rFonts w:ascii="Times New Roman" w:hAnsi="Times New Roman" w:cs="Times New Roman"/>
        </w:rPr>
        <w:t xml:space="preserve"> costs approximately 1.2% of reference project costs is </w:t>
      </w:r>
      <w:r w:rsidR="00643F58">
        <w:rPr>
          <w:rFonts w:ascii="Times New Roman" w:hAnsi="Times New Roman" w:cs="Times New Roman"/>
        </w:rPr>
        <w:t>highly</w:t>
      </w:r>
      <w:r w:rsidRPr="000E6E0F" w:rsidR="00CB536B">
        <w:rPr>
          <w:rFonts w:ascii="Times New Roman" w:hAnsi="Times New Roman" w:cs="Times New Roman"/>
        </w:rPr>
        <w:t xml:space="preserve"> simplistic. </w:t>
      </w:r>
      <w:r w:rsidRPr="000E6E0F" w:rsidR="00827144">
        <w:rPr>
          <w:rFonts w:ascii="Times New Roman" w:hAnsi="Times New Roman" w:cs="Times New Roman"/>
        </w:rPr>
        <w:t xml:space="preserve">The result for </w:t>
      </w:r>
      <w:r w:rsidRPr="000E6E0F" w:rsidR="00CB536B">
        <w:rPr>
          <w:rFonts w:ascii="Times New Roman" w:hAnsi="Times New Roman" w:cs="Times New Roman"/>
        </w:rPr>
        <w:t xml:space="preserve">EPA’s analysis of </w:t>
      </w:r>
      <w:r w:rsidRPr="000E6E0F" w:rsidR="00827144">
        <w:rPr>
          <w:rFonts w:ascii="Times New Roman" w:hAnsi="Times New Roman" w:cs="Times New Roman"/>
        </w:rPr>
        <w:t xml:space="preserve">the STAA requirement is that </w:t>
      </w:r>
      <w:r w:rsidRPr="000E6E0F" w:rsidR="00CB536B">
        <w:rPr>
          <w:rFonts w:ascii="Times New Roman" w:hAnsi="Times New Roman" w:cs="Times New Roman"/>
        </w:rPr>
        <w:t xml:space="preserve">costs for </w:t>
      </w:r>
      <w:r w:rsidRPr="000E6E0F" w:rsidR="00827144">
        <w:rPr>
          <w:rFonts w:ascii="Times New Roman" w:hAnsi="Times New Roman" w:cs="Times New Roman"/>
        </w:rPr>
        <w:t xml:space="preserve">some facilities may </w:t>
      </w:r>
      <w:r w:rsidRPr="000E6E0F" w:rsidR="00CB536B">
        <w:rPr>
          <w:rFonts w:ascii="Times New Roman" w:hAnsi="Times New Roman" w:cs="Times New Roman"/>
        </w:rPr>
        <w:t>be over</w:t>
      </w:r>
      <w:r w:rsidRPr="000E6E0F" w:rsidR="00827144">
        <w:rPr>
          <w:rFonts w:ascii="Times New Roman" w:hAnsi="Times New Roman" w:cs="Times New Roman"/>
        </w:rPr>
        <w:t>estimated, while</w:t>
      </w:r>
      <w:r w:rsidRPr="000E6E0F" w:rsidR="00CB536B">
        <w:rPr>
          <w:rFonts w:ascii="Times New Roman" w:hAnsi="Times New Roman" w:cs="Times New Roman"/>
        </w:rPr>
        <w:t xml:space="preserve"> costs for</w:t>
      </w:r>
      <w:r w:rsidRPr="000E6E0F" w:rsidR="00827144">
        <w:rPr>
          <w:rFonts w:ascii="Times New Roman" w:hAnsi="Times New Roman" w:cs="Times New Roman"/>
        </w:rPr>
        <w:t xml:space="preserve"> others may </w:t>
      </w:r>
      <w:r w:rsidRPr="000E6E0F" w:rsidR="00CB536B">
        <w:rPr>
          <w:rFonts w:ascii="Times New Roman" w:hAnsi="Times New Roman" w:cs="Times New Roman"/>
        </w:rPr>
        <w:t>be underestimated</w:t>
      </w:r>
      <w:r w:rsidRPr="000E6E0F" w:rsidR="00827144">
        <w:rPr>
          <w:rFonts w:ascii="Times New Roman" w:hAnsi="Times New Roman" w:cs="Times New Roman"/>
        </w:rPr>
        <w:t>.</w:t>
      </w:r>
      <w:r w:rsidR="00A032EF">
        <w:rPr>
          <w:rFonts w:ascii="Times New Roman" w:hAnsi="Times New Roman" w:cs="Times New Roman"/>
        </w:rPr>
        <w:t xml:space="preserve"> </w:t>
      </w:r>
      <w:r w:rsidR="00203ED3">
        <w:rPr>
          <w:rFonts w:ascii="Times New Roman" w:hAnsi="Times New Roman" w:cs="Times New Roman"/>
        </w:rPr>
        <w:t xml:space="preserve">See </w:t>
      </w:r>
      <w:r w:rsidR="00D57468">
        <w:rPr>
          <w:rFonts w:ascii="Times New Roman" w:hAnsi="Times New Roman" w:cs="Times New Roman"/>
        </w:rPr>
        <w:t>Section</w:t>
      </w:r>
      <w:r w:rsidR="00D96D18">
        <w:rPr>
          <w:rFonts w:ascii="Times New Roman" w:hAnsi="Times New Roman" w:cs="Times New Roman"/>
        </w:rPr>
        <w:t>s</w:t>
      </w:r>
      <w:r w:rsidR="00D57468">
        <w:rPr>
          <w:rFonts w:ascii="Times New Roman" w:hAnsi="Times New Roman" w:cs="Times New Roman"/>
        </w:rPr>
        <w:t xml:space="preserve"> </w:t>
      </w:r>
      <w:r w:rsidR="00D96D18">
        <w:rPr>
          <w:rFonts w:ascii="Times New Roman" w:hAnsi="Times New Roman" w:cs="Times New Roman"/>
        </w:rPr>
        <w:t>4.4.2 and</w:t>
      </w:r>
      <w:r w:rsidR="00D57468">
        <w:rPr>
          <w:rFonts w:ascii="Times New Roman" w:hAnsi="Times New Roman" w:cs="Times New Roman"/>
        </w:rPr>
        <w:t xml:space="preserve"> 5.1.3 for a more detailed discussion. </w:t>
      </w:r>
      <w:r w:rsidR="00A032EF">
        <w:rPr>
          <w:rFonts w:ascii="Times New Roman" w:hAnsi="Times New Roman" w:cs="Times New Roman"/>
        </w:rPr>
        <w:t xml:space="preserve"> </w:t>
      </w:r>
    </w:p>
    <w:p w:rsidR="00D72C3E" w:rsidP="000E6E0F" w14:paraId="1417C400" w14:textId="77777777">
      <w:pPr>
        <w:spacing w:after="0" w:line="240" w:lineRule="auto"/>
        <w:ind w:firstLine="360"/>
        <w:rPr>
          <w:rFonts w:ascii="Times New Roman" w:hAnsi="Times New Roman" w:cs="Times New Roman"/>
        </w:rPr>
      </w:pPr>
    </w:p>
    <w:p w:rsidR="008B0621" w:rsidP="00FB4F78" w14:paraId="258E4814" w14:textId="5E598578">
      <w:pPr>
        <w:spacing w:after="0" w:line="240" w:lineRule="auto"/>
        <w:rPr>
          <w:rFonts w:ascii="Times New Roman" w:hAnsi="Times New Roman" w:cs="Times New Roman"/>
        </w:rPr>
      </w:pPr>
      <w:r>
        <w:rPr>
          <w:rFonts w:ascii="Times New Roman" w:hAnsi="Times New Roman" w:cs="Times New Roman"/>
        </w:rPr>
        <w:t xml:space="preserve">Dated information from prior proposed rule. </w:t>
      </w:r>
    </w:p>
    <w:p w:rsidR="008B0621" w:rsidP="000E6E0F" w14:paraId="6CD7C07C" w14:textId="77777777">
      <w:pPr>
        <w:spacing w:after="0" w:line="240" w:lineRule="auto"/>
        <w:ind w:firstLine="360"/>
        <w:rPr>
          <w:rFonts w:ascii="Times New Roman" w:hAnsi="Times New Roman" w:cs="Times New Roman"/>
        </w:rPr>
      </w:pPr>
    </w:p>
    <w:p w:rsidR="00106487" w:rsidP="000E6E0F" w14:paraId="6EC6DDA9" w14:textId="71CAA694">
      <w:pPr>
        <w:spacing w:after="0" w:line="240" w:lineRule="auto"/>
        <w:ind w:firstLine="360"/>
        <w:rPr>
          <w:rFonts w:ascii="Times New Roman" w:hAnsi="Times New Roman" w:cs="Times New Roman"/>
        </w:rPr>
      </w:pPr>
      <w:r>
        <w:rPr>
          <w:rFonts w:ascii="Times New Roman" w:hAnsi="Times New Roman" w:cs="Times New Roman"/>
        </w:rPr>
        <w:tab/>
      </w:r>
      <w:r w:rsidRPr="000E6E0F" w:rsidR="00827144">
        <w:rPr>
          <w:rFonts w:ascii="Times New Roman" w:hAnsi="Times New Roman" w:cs="Times New Roman"/>
        </w:rPr>
        <w:t>The cost estimates for rule familiarization</w:t>
      </w:r>
      <w:r w:rsidRPr="000E6E0F" w:rsidR="00CB536B">
        <w:rPr>
          <w:rFonts w:ascii="Times New Roman" w:hAnsi="Times New Roman" w:cs="Times New Roman"/>
        </w:rPr>
        <w:t>,</w:t>
      </w:r>
      <w:r w:rsidRPr="000E6E0F" w:rsidR="00827144">
        <w:rPr>
          <w:rFonts w:ascii="Times New Roman" w:hAnsi="Times New Roman" w:cs="Times New Roman"/>
        </w:rPr>
        <w:t xml:space="preserve"> STAA,</w:t>
      </w:r>
      <w:r w:rsidRPr="000E6E0F" w:rsidR="00CB536B">
        <w:rPr>
          <w:rFonts w:ascii="Times New Roman" w:hAnsi="Times New Roman" w:cs="Times New Roman"/>
        </w:rPr>
        <w:t xml:space="preserve"> and</w:t>
      </w:r>
      <w:r w:rsidRPr="000E6E0F" w:rsidR="00827144">
        <w:rPr>
          <w:rFonts w:ascii="Times New Roman" w:hAnsi="Times New Roman" w:cs="Times New Roman"/>
        </w:rPr>
        <w:t xml:space="preserve"> emergency response coordination </w:t>
      </w:r>
      <w:r w:rsidRPr="000E6E0F" w:rsidR="00CB536B">
        <w:rPr>
          <w:rFonts w:ascii="Times New Roman" w:hAnsi="Times New Roman" w:cs="Times New Roman"/>
        </w:rPr>
        <w:t>are based in part on</w:t>
      </w:r>
      <w:r w:rsidRPr="000E6E0F" w:rsidR="00827144">
        <w:rPr>
          <w:rFonts w:ascii="Times New Roman" w:hAnsi="Times New Roman" w:cs="Times New Roman"/>
        </w:rPr>
        <w:t xml:space="preserve"> public comment</w:t>
      </w:r>
      <w:r w:rsidR="00470DCE">
        <w:rPr>
          <w:rFonts w:ascii="Times New Roman" w:hAnsi="Times New Roman" w:cs="Times New Roman"/>
        </w:rPr>
        <w:t>s</w:t>
      </w:r>
      <w:r w:rsidRPr="000E6E0F" w:rsidR="00CB536B">
        <w:rPr>
          <w:rFonts w:ascii="Times New Roman" w:hAnsi="Times New Roman" w:cs="Times New Roman"/>
        </w:rPr>
        <w:t xml:space="preserve"> made</w:t>
      </w:r>
      <w:r w:rsidRPr="000E6E0F" w:rsidR="00827144">
        <w:rPr>
          <w:rFonts w:ascii="Times New Roman" w:hAnsi="Times New Roman" w:cs="Times New Roman"/>
        </w:rPr>
        <w:t xml:space="preserve"> in response to EPA </w:t>
      </w:r>
      <w:r w:rsidRPr="000E6E0F" w:rsidR="00CB536B">
        <w:rPr>
          <w:rFonts w:ascii="Times New Roman" w:hAnsi="Times New Roman" w:cs="Times New Roman"/>
        </w:rPr>
        <w:t>requests for information</w:t>
      </w:r>
      <w:r w:rsidRPr="000E6E0F" w:rsidR="00D77AE6">
        <w:rPr>
          <w:rFonts w:ascii="Times New Roman" w:hAnsi="Times New Roman" w:cs="Times New Roman"/>
        </w:rPr>
        <w:t xml:space="preserve"> </w:t>
      </w:r>
      <w:r w:rsidRPr="000E6E0F" w:rsidR="00C67E0E">
        <w:rPr>
          <w:rFonts w:ascii="Times New Roman" w:hAnsi="Times New Roman" w:cs="Times New Roman"/>
        </w:rPr>
        <w:t>during</w:t>
      </w:r>
      <w:r w:rsidRPr="000E6E0F" w:rsidR="00827144">
        <w:rPr>
          <w:rFonts w:ascii="Times New Roman" w:hAnsi="Times New Roman" w:cs="Times New Roman"/>
        </w:rPr>
        <w:t xml:space="preserve"> the </w:t>
      </w:r>
      <w:r w:rsidRPr="00D66563" w:rsidR="00D32ADF">
        <w:rPr>
          <w:rFonts w:ascii="Times New Roman" w:hAnsi="Times New Roman" w:cs="Times New Roman"/>
        </w:rPr>
        <w:t>propose</w:t>
      </w:r>
      <w:r w:rsidRPr="003D411E" w:rsidR="00827144">
        <w:rPr>
          <w:rFonts w:ascii="Times New Roman" w:hAnsi="Times New Roman" w:cs="Times New Roman"/>
        </w:rPr>
        <w:t>d</w:t>
      </w:r>
      <w:r w:rsidRPr="000E6E0F" w:rsidR="00827144">
        <w:rPr>
          <w:rFonts w:ascii="Times New Roman" w:hAnsi="Times New Roman" w:cs="Times New Roman"/>
        </w:rPr>
        <w:t xml:space="preserve"> rule</w:t>
      </w:r>
      <w:r w:rsidRPr="000E6E0F" w:rsidR="00C67E0E">
        <w:rPr>
          <w:rFonts w:ascii="Times New Roman" w:hAnsi="Times New Roman" w:cs="Times New Roman"/>
        </w:rPr>
        <w:t xml:space="preserve"> stage of the 2017 </w:t>
      </w:r>
      <w:r w:rsidR="00C54840">
        <w:rPr>
          <w:rFonts w:ascii="Times New Roman" w:hAnsi="Times New Roman" w:cs="Times New Roman"/>
        </w:rPr>
        <w:t>a</w:t>
      </w:r>
      <w:r w:rsidRPr="000E6E0F" w:rsidR="00C67E0E">
        <w:rPr>
          <w:rFonts w:ascii="Times New Roman" w:hAnsi="Times New Roman" w:cs="Times New Roman"/>
        </w:rPr>
        <w:t>mendments rule.</w:t>
      </w:r>
      <w:r w:rsidRPr="000E6E0F" w:rsidR="00827144">
        <w:rPr>
          <w:rFonts w:ascii="Times New Roman" w:hAnsi="Times New Roman" w:cs="Times New Roman"/>
        </w:rPr>
        <w:t xml:space="preserve"> For </w:t>
      </w:r>
      <w:r w:rsidRPr="000E6E0F" w:rsidR="00C67E0E">
        <w:rPr>
          <w:rFonts w:ascii="Times New Roman" w:hAnsi="Times New Roman" w:cs="Times New Roman"/>
        </w:rPr>
        <w:t xml:space="preserve">this </w:t>
      </w:r>
      <w:r w:rsidR="00A85D0E">
        <w:rPr>
          <w:rFonts w:ascii="Times New Roman" w:hAnsi="Times New Roman" w:cs="Times New Roman"/>
        </w:rPr>
        <w:t>final</w:t>
      </w:r>
      <w:r w:rsidRPr="000E6E0F" w:rsidR="00A85D0E">
        <w:rPr>
          <w:rFonts w:ascii="Times New Roman" w:hAnsi="Times New Roman" w:cs="Times New Roman"/>
        </w:rPr>
        <w:t xml:space="preserve"> </w:t>
      </w:r>
      <w:r w:rsidRPr="000E6E0F" w:rsidR="00827144">
        <w:rPr>
          <w:rFonts w:ascii="Times New Roman" w:hAnsi="Times New Roman" w:cs="Times New Roman"/>
        </w:rPr>
        <w:t>rule</w:t>
      </w:r>
      <w:r w:rsidR="00470DCE">
        <w:rPr>
          <w:rFonts w:ascii="Times New Roman" w:hAnsi="Times New Roman" w:cs="Times New Roman"/>
        </w:rPr>
        <w:t>,</w:t>
      </w:r>
      <w:r w:rsidRPr="000E6E0F" w:rsidR="00C67E0E">
        <w:rPr>
          <w:rFonts w:ascii="Times New Roman" w:hAnsi="Times New Roman" w:cs="Times New Roman"/>
        </w:rPr>
        <w:t xml:space="preserve"> which restored aspects of those provisions</w:t>
      </w:r>
      <w:r w:rsidRPr="000E6E0F" w:rsidR="00827144">
        <w:rPr>
          <w:rFonts w:ascii="Times New Roman" w:hAnsi="Times New Roman" w:cs="Times New Roman"/>
        </w:rPr>
        <w:t xml:space="preserve">, cost estimates </w:t>
      </w:r>
      <w:r w:rsidRPr="000E6E0F" w:rsidR="00C67E0E">
        <w:rPr>
          <w:rFonts w:ascii="Times New Roman" w:hAnsi="Times New Roman" w:cs="Times New Roman"/>
        </w:rPr>
        <w:t xml:space="preserve">were </w:t>
      </w:r>
      <w:r w:rsidRPr="000E6E0F" w:rsidR="00CB536B">
        <w:rPr>
          <w:rFonts w:ascii="Times New Roman" w:hAnsi="Times New Roman" w:cs="Times New Roman"/>
        </w:rPr>
        <w:t xml:space="preserve">based on some of those same public comments </w:t>
      </w:r>
      <w:r w:rsidR="002B51B2">
        <w:rPr>
          <w:rFonts w:ascii="Times New Roman" w:hAnsi="Times New Roman" w:cs="Times New Roman"/>
        </w:rPr>
        <w:t xml:space="preserve">EPA received </w:t>
      </w:r>
      <w:r w:rsidRPr="000E6E0F" w:rsidR="00CB536B">
        <w:rPr>
          <w:rFonts w:ascii="Times New Roman" w:hAnsi="Times New Roman" w:cs="Times New Roman"/>
        </w:rPr>
        <w:t xml:space="preserve">on </w:t>
      </w:r>
      <w:r w:rsidRPr="000E6E0F" w:rsidR="00C67E0E">
        <w:rPr>
          <w:rFonts w:ascii="Times New Roman" w:hAnsi="Times New Roman" w:cs="Times New Roman"/>
        </w:rPr>
        <w:t xml:space="preserve">the </w:t>
      </w:r>
      <w:r w:rsidR="00C54840">
        <w:rPr>
          <w:rFonts w:ascii="Times New Roman" w:hAnsi="Times New Roman" w:cs="Times New Roman"/>
        </w:rPr>
        <w:t>2017 a</w:t>
      </w:r>
      <w:r w:rsidRPr="000E6E0F" w:rsidR="00C67E0E">
        <w:rPr>
          <w:rFonts w:ascii="Times New Roman" w:hAnsi="Times New Roman" w:cs="Times New Roman"/>
        </w:rPr>
        <w:t>mendments rule</w:t>
      </w:r>
      <w:r w:rsidRPr="000E6E0F" w:rsidR="00827144">
        <w:rPr>
          <w:rFonts w:ascii="Times New Roman" w:hAnsi="Times New Roman" w:cs="Times New Roman"/>
        </w:rPr>
        <w:t>. However,</w:t>
      </w:r>
      <w:r w:rsidRPr="000E6E0F" w:rsidR="00C67E0E">
        <w:rPr>
          <w:rFonts w:ascii="Times New Roman" w:hAnsi="Times New Roman" w:cs="Times New Roman"/>
        </w:rPr>
        <w:t xml:space="preserve"> there may have been </w:t>
      </w:r>
      <w:r w:rsidRPr="000E6E0F" w:rsidR="00CB536B">
        <w:rPr>
          <w:rFonts w:ascii="Times New Roman" w:hAnsi="Times New Roman" w:cs="Times New Roman"/>
        </w:rPr>
        <w:t xml:space="preserve">subsequent </w:t>
      </w:r>
      <w:r w:rsidRPr="000E6E0F" w:rsidR="00C67E0E">
        <w:rPr>
          <w:rFonts w:ascii="Times New Roman" w:hAnsi="Times New Roman" w:cs="Times New Roman"/>
        </w:rPr>
        <w:t xml:space="preserve">changes to </w:t>
      </w:r>
      <w:r w:rsidRPr="000E6E0F" w:rsidR="00CB536B">
        <w:rPr>
          <w:rFonts w:ascii="Times New Roman" w:hAnsi="Times New Roman" w:cs="Times New Roman"/>
        </w:rPr>
        <w:t xml:space="preserve">these </w:t>
      </w:r>
      <w:r w:rsidRPr="000E6E0F" w:rsidR="00C67E0E">
        <w:rPr>
          <w:rFonts w:ascii="Times New Roman" w:hAnsi="Times New Roman" w:cs="Times New Roman"/>
        </w:rPr>
        <w:t>costs</w:t>
      </w:r>
      <w:r w:rsidR="002B51B2">
        <w:rPr>
          <w:rFonts w:ascii="Times New Roman" w:hAnsi="Times New Roman" w:cs="Times New Roman"/>
        </w:rPr>
        <w:t>. A more accurate</w:t>
      </w:r>
      <w:r w:rsidRPr="000E6E0F" w:rsidR="00827144">
        <w:rPr>
          <w:rFonts w:ascii="Times New Roman" w:hAnsi="Times New Roman" w:cs="Times New Roman"/>
        </w:rPr>
        <w:t xml:space="preserve"> cost analysis </w:t>
      </w:r>
      <w:r w:rsidR="009837FF">
        <w:rPr>
          <w:rFonts w:ascii="Times New Roman" w:hAnsi="Times New Roman" w:cs="Times New Roman"/>
        </w:rPr>
        <w:t>w</w:t>
      </w:r>
      <w:r w:rsidR="00A366E4">
        <w:rPr>
          <w:rFonts w:ascii="Times New Roman" w:hAnsi="Times New Roman" w:cs="Times New Roman"/>
        </w:rPr>
        <w:t>ould</w:t>
      </w:r>
      <w:r w:rsidRPr="000E6E0F" w:rsidR="00827144">
        <w:rPr>
          <w:rFonts w:ascii="Times New Roman" w:hAnsi="Times New Roman" w:cs="Times New Roman"/>
        </w:rPr>
        <w:t xml:space="preserve"> </w:t>
      </w:r>
      <w:r w:rsidR="00A366E4">
        <w:rPr>
          <w:rFonts w:ascii="Times New Roman" w:hAnsi="Times New Roman" w:cs="Times New Roman"/>
        </w:rPr>
        <w:t>rely</w:t>
      </w:r>
      <w:r w:rsidRPr="000E6E0F" w:rsidR="00827144">
        <w:rPr>
          <w:rFonts w:ascii="Times New Roman" w:hAnsi="Times New Roman" w:cs="Times New Roman"/>
        </w:rPr>
        <w:t xml:space="preserve"> on data compiled by independent researchers or on an EPA survey of regulated facilities. </w:t>
      </w:r>
      <w:r w:rsidR="002B51B2">
        <w:rPr>
          <w:rFonts w:ascii="Times New Roman" w:hAnsi="Times New Roman" w:cs="Times New Roman"/>
        </w:rPr>
        <w:t>However, t</w:t>
      </w:r>
      <w:r w:rsidRPr="000E6E0F" w:rsidR="00827144">
        <w:rPr>
          <w:rFonts w:ascii="Times New Roman" w:hAnsi="Times New Roman" w:cs="Times New Roman"/>
        </w:rPr>
        <w:t>ime and resource constraints prevented EPA from compiling such data.</w:t>
      </w:r>
    </w:p>
    <w:p w:rsidR="003A3DD5" w:rsidP="000E6E0F" w14:paraId="5E328CEF" w14:textId="77777777">
      <w:pPr>
        <w:spacing w:after="0" w:line="240" w:lineRule="auto"/>
        <w:ind w:firstLine="360"/>
        <w:rPr>
          <w:rFonts w:ascii="Times New Roman" w:hAnsi="Times New Roman" w:cs="Times New Roman"/>
        </w:rPr>
      </w:pPr>
    </w:p>
    <w:p w:rsidR="002B1210" w:rsidP="002B1210" w14:paraId="59E8A593" w14:textId="06655DDA">
      <w:pPr>
        <w:spacing w:after="0" w:line="240" w:lineRule="auto"/>
        <w:rPr>
          <w:rFonts w:ascii="Times New Roman" w:hAnsi="Times New Roman" w:cs="Times New Roman"/>
        </w:rPr>
      </w:pPr>
      <w:r>
        <w:rPr>
          <w:rFonts w:ascii="Times New Roman" w:hAnsi="Times New Roman" w:cs="Times New Roman"/>
        </w:rPr>
        <w:t xml:space="preserve">Model facility approach. </w:t>
      </w:r>
    </w:p>
    <w:p w:rsidR="002B1210" w:rsidP="002B1210" w14:paraId="0125985A" w14:textId="77777777">
      <w:pPr>
        <w:spacing w:after="0" w:line="240" w:lineRule="auto"/>
        <w:rPr>
          <w:rFonts w:ascii="Times New Roman" w:hAnsi="Times New Roman" w:cs="Times New Roman"/>
        </w:rPr>
      </w:pPr>
    </w:p>
    <w:p w:rsidR="00106487" w:rsidP="000E6E0F" w14:paraId="5455A66F" w14:textId="77777777">
      <w:pPr>
        <w:spacing w:after="0" w:line="240" w:lineRule="auto"/>
        <w:ind w:firstLine="360"/>
        <w:rPr>
          <w:rFonts w:ascii="Times New Roman" w:hAnsi="Times New Roman" w:cs="Times New Roman"/>
        </w:rPr>
      </w:pPr>
      <w:r>
        <w:rPr>
          <w:rFonts w:ascii="Times New Roman" w:hAnsi="Times New Roman" w:cs="Times New Roman"/>
        </w:rPr>
        <w:tab/>
      </w:r>
      <w:r w:rsidRPr="000E6E0F" w:rsidR="00827144">
        <w:rPr>
          <w:rFonts w:ascii="Times New Roman" w:hAnsi="Times New Roman" w:cs="Times New Roman"/>
        </w:rPr>
        <w:t>The analysis used a model facility approach so that each estimate represents the average for a group of facilities, not a point estimate for any one facility. This analysis has attempted to develop reasonable central estimates</w:t>
      </w:r>
      <w:r w:rsidR="00F2204F">
        <w:rPr>
          <w:rFonts w:ascii="Times New Roman" w:hAnsi="Times New Roman" w:cs="Times New Roman"/>
        </w:rPr>
        <w:t>,</w:t>
      </w:r>
      <w:r w:rsidRPr="000E6E0F" w:rsidR="00827144">
        <w:rPr>
          <w:rFonts w:ascii="Times New Roman" w:hAnsi="Times New Roman" w:cs="Times New Roman"/>
        </w:rPr>
        <w:t xml:space="preserve"> recognizing that the range of costs incurred by individual facilities could be wide. For example, </w:t>
      </w:r>
      <w:r w:rsidR="001C4AD7">
        <w:rPr>
          <w:rFonts w:ascii="Times New Roman" w:hAnsi="Times New Roman" w:cs="Times New Roman"/>
        </w:rPr>
        <w:t>in the analysis</w:t>
      </w:r>
      <w:r w:rsidR="007026CF">
        <w:rPr>
          <w:rFonts w:ascii="Times New Roman" w:hAnsi="Times New Roman" w:cs="Times New Roman"/>
        </w:rPr>
        <w:t>,</w:t>
      </w:r>
      <w:r w:rsidRPr="000E6E0F" w:rsidR="00827144">
        <w:rPr>
          <w:rFonts w:ascii="Times New Roman" w:hAnsi="Times New Roman" w:cs="Times New Roman"/>
        </w:rPr>
        <w:t xml:space="preserve"> the estimated third-party audit cost for a complex facility is the same for all complex facilities, but it is unlikely that an auditor </w:t>
      </w:r>
      <w:r w:rsidR="009837FF">
        <w:rPr>
          <w:rFonts w:ascii="Times New Roman" w:hAnsi="Times New Roman" w:cs="Times New Roman"/>
        </w:rPr>
        <w:t>will</w:t>
      </w:r>
      <w:r w:rsidRPr="000E6E0F" w:rsidR="00827144">
        <w:rPr>
          <w:rFonts w:ascii="Times New Roman" w:hAnsi="Times New Roman" w:cs="Times New Roman"/>
        </w:rPr>
        <w:t xml:space="preserve"> charge the largest facility, which has more than 30 covered processes, the same</w:t>
      </w:r>
      <w:r w:rsidR="00F2204F">
        <w:rPr>
          <w:rFonts w:ascii="Times New Roman" w:hAnsi="Times New Roman" w:cs="Times New Roman"/>
        </w:rPr>
        <w:t xml:space="preserve"> fee as</w:t>
      </w:r>
      <w:r w:rsidRPr="000E6E0F" w:rsidR="00827144">
        <w:rPr>
          <w:rFonts w:ascii="Times New Roman" w:hAnsi="Times New Roman" w:cs="Times New Roman"/>
        </w:rPr>
        <w:t xml:space="preserve"> a facility with only one or two covered processes. </w:t>
      </w:r>
    </w:p>
    <w:p w:rsidR="003A3DD5" w:rsidP="000E6E0F" w14:paraId="74DEC298" w14:textId="77777777">
      <w:pPr>
        <w:spacing w:after="0" w:line="240" w:lineRule="auto"/>
        <w:ind w:firstLine="360"/>
        <w:rPr>
          <w:rFonts w:ascii="Times New Roman" w:hAnsi="Times New Roman" w:cs="Times New Roman"/>
        </w:rPr>
      </w:pPr>
    </w:p>
    <w:p w:rsidR="0069731F" w:rsidRPr="000E6E0F" w:rsidP="000571BC" w14:paraId="399082F8" w14:textId="6296C12A">
      <w:pPr>
        <w:spacing w:after="0" w:line="240" w:lineRule="auto"/>
        <w:ind w:firstLine="360"/>
        <w:rPr>
          <w:rFonts w:ascii="Times New Roman" w:hAnsi="Times New Roman" w:cs="Times New Roman"/>
        </w:rPr>
      </w:pPr>
      <w:r>
        <w:rPr>
          <w:rFonts w:ascii="Times New Roman" w:hAnsi="Times New Roman" w:cs="Times New Roman"/>
        </w:rPr>
        <w:tab/>
      </w:r>
    </w:p>
    <w:p w:rsidR="003D54D4" w:rsidRPr="003D54D4" w:rsidP="000E6E0F" w14:paraId="77FD39CF" w14:textId="77777777">
      <w:pPr>
        <w:pStyle w:val="Heading1"/>
      </w:pPr>
      <w:bookmarkStart w:id="535" w:name="_Toc98856250"/>
      <w:bookmarkStart w:id="536" w:name="_Toc144303617"/>
      <w:r w:rsidRPr="00197F1A">
        <w:t>CHAPTER 11</w:t>
      </w:r>
      <w:r w:rsidR="000E6E0F">
        <w:t>: Analys</w:t>
      </w:r>
      <w:r w:rsidR="00843659">
        <w:t>e</w:t>
      </w:r>
      <w:r w:rsidR="000E6E0F">
        <w:t>s</w:t>
      </w:r>
      <w:r w:rsidRPr="00197F1A">
        <w:t xml:space="preserve"> Required Under Applicable Statutes and Executive Orders</w:t>
      </w:r>
      <w:bookmarkEnd w:id="535"/>
      <w:bookmarkEnd w:id="536"/>
    </w:p>
    <w:p w:rsidR="00461D85" w:rsidRPr="000E6E0F" w:rsidP="00C07306" w14:paraId="489FB29C" w14:textId="77777777">
      <w:pPr>
        <w:pStyle w:val="Heading2"/>
      </w:pPr>
      <w:bookmarkStart w:id="537" w:name="_Toc98856251"/>
      <w:bookmarkStart w:id="538" w:name="_Toc144303618"/>
      <w:r w:rsidRPr="000E6E0F">
        <w:t>11.1 Executive Order 12866: Regulatory Planning and Review</w:t>
      </w:r>
      <w:bookmarkEnd w:id="537"/>
      <w:r w:rsidR="00C47033">
        <w:t xml:space="preserve"> and Executive Order 14094 Modernizing Regulatory Review</w:t>
      </w:r>
      <w:bookmarkEnd w:id="538"/>
    </w:p>
    <w:p w:rsidR="000E6E0F" w:rsidP="000E6E0F" w14:paraId="3193E09E" w14:textId="77777777">
      <w:pPr>
        <w:pStyle w:val="Default"/>
        <w:ind w:firstLine="360"/>
        <w:rPr>
          <w:rFonts w:ascii="Times New Roman" w:hAnsi="Times New Roman" w:cs="Times New Roman"/>
          <w:sz w:val="22"/>
          <w:szCs w:val="22"/>
        </w:rPr>
      </w:pPr>
      <w:bookmarkStart w:id="539" w:name="_Hlk132193531"/>
      <w:r>
        <w:rPr>
          <w:rFonts w:ascii="Times New Roman" w:hAnsi="Times New Roman" w:cs="Times New Roman"/>
          <w:sz w:val="22"/>
          <w:szCs w:val="22"/>
        </w:rPr>
        <w:tab/>
      </w:r>
      <w:r w:rsidRPr="005D0879" w:rsidR="00B35333">
        <w:rPr>
          <w:rFonts w:ascii="Times New Roman" w:hAnsi="Times New Roman" w:cs="Times New Roman"/>
          <w:sz w:val="22"/>
          <w:szCs w:val="22"/>
        </w:rPr>
        <w:t>This action is a “significant regulatory action”, as defined under section 3(f)(1) of Executive Order 12866, as amended by Executive Order 14094</w:t>
      </w:r>
      <w:bookmarkEnd w:id="539"/>
      <w:r w:rsidRPr="005D0879" w:rsidR="00B35333">
        <w:rPr>
          <w:rFonts w:ascii="Times New Roman" w:hAnsi="Times New Roman" w:cs="Times New Roman"/>
          <w:sz w:val="22"/>
          <w:szCs w:val="22"/>
        </w:rPr>
        <w:t>. Accordingly, EPA</w:t>
      </w:r>
      <w:r w:rsidR="002B791D">
        <w:rPr>
          <w:rFonts w:ascii="Times New Roman" w:hAnsi="Times New Roman" w:cs="Times New Roman"/>
          <w:sz w:val="22"/>
          <w:szCs w:val="22"/>
        </w:rPr>
        <w:t xml:space="preserve"> </w:t>
      </w:r>
      <w:r w:rsidRPr="005D0879" w:rsidR="00B35333">
        <w:rPr>
          <w:rFonts w:ascii="Times New Roman" w:hAnsi="Times New Roman" w:cs="Times New Roman"/>
          <w:sz w:val="22"/>
          <w:szCs w:val="22"/>
        </w:rPr>
        <w:t xml:space="preserve">submitted this action to OMB for Executive Order 12866 review. Documentation of any changes made in response to the Executive Order 12866 review is available in the docket. </w:t>
      </w:r>
    </w:p>
    <w:p w:rsidR="00B004F3" w:rsidRPr="000E6E0F" w:rsidP="000E6E0F" w14:paraId="111CCDFD" w14:textId="77777777">
      <w:pPr>
        <w:pStyle w:val="Default"/>
        <w:ind w:firstLine="360"/>
        <w:rPr>
          <w:rFonts w:ascii="Times New Roman" w:hAnsi="Times New Roman" w:cs="Times New Roman"/>
          <w:sz w:val="22"/>
          <w:szCs w:val="22"/>
        </w:rPr>
      </w:pPr>
    </w:p>
    <w:p w:rsidR="00461D85" w:rsidRPr="000E6E0F" w:rsidP="00C07306" w14:paraId="19172C6B" w14:textId="77777777">
      <w:pPr>
        <w:pStyle w:val="Heading2"/>
      </w:pPr>
      <w:bookmarkStart w:id="540" w:name="_Toc98856252"/>
      <w:bookmarkStart w:id="541" w:name="_Toc144303619"/>
      <w:r w:rsidRPr="000E6E0F">
        <w:t>11.2 Unfunded Mandates Reform Act</w:t>
      </w:r>
      <w:bookmarkEnd w:id="540"/>
      <w:bookmarkEnd w:id="541"/>
    </w:p>
    <w:p w:rsidR="00461D85" w:rsidRPr="00F03CB7" w:rsidP="00F03CB7" w14:paraId="290FBF9E" w14:textId="2AF0B944">
      <w:pPr>
        <w:spacing w:after="0" w:line="240" w:lineRule="auto"/>
        <w:ind w:firstLine="360"/>
        <w:rPr>
          <w:rFonts w:ascii="Times New Roman" w:hAnsi="Times New Roman"/>
        </w:rPr>
      </w:pPr>
      <w:r>
        <w:rPr>
          <w:rFonts w:ascii="Times New Roman" w:hAnsi="Times New Roman" w:cs="Times New Roman"/>
        </w:rPr>
        <w:tab/>
      </w:r>
      <w:r w:rsidRPr="004E55B2" w:rsidR="004E55B2">
        <w:rPr>
          <w:rFonts w:ascii="Times New Roman" w:hAnsi="Times New Roman" w:cs="Times New Roman"/>
        </w:rPr>
        <w:t>This action include</w:t>
      </w:r>
      <w:r w:rsidR="00C319BB">
        <w:rPr>
          <w:rFonts w:ascii="Times New Roman" w:hAnsi="Times New Roman" w:cs="Times New Roman"/>
        </w:rPr>
        <w:t>s</w:t>
      </w:r>
      <w:r w:rsidRPr="004E55B2" w:rsidR="004E55B2">
        <w:rPr>
          <w:rFonts w:ascii="Times New Roman" w:hAnsi="Times New Roman" w:cs="Times New Roman"/>
        </w:rPr>
        <w:t xml:space="preserve"> a Federal mandate </w:t>
      </w:r>
      <w:r w:rsidR="00EE148F">
        <w:rPr>
          <w:rFonts w:ascii="Times New Roman" w:hAnsi="Times New Roman" w:cs="Times New Roman"/>
        </w:rPr>
        <w:t>which</w:t>
      </w:r>
      <w:r w:rsidRPr="004E55B2" w:rsidR="004E55B2">
        <w:rPr>
          <w:rFonts w:ascii="Times New Roman" w:hAnsi="Times New Roman" w:cs="Times New Roman"/>
        </w:rPr>
        <w:t xml:space="preserve"> may result in the expenditure by State, local</w:t>
      </w:r>
      <w:r w:rsidR="004E55B2">
        <w:rPr>
          <w:rFonts w:ascii="Times New Roman" w:hAnsi="Times New Roman" w:cs="Times New Roman"/>
        </w:rPr>
        <w:t>, and Tribal</w:t>
      </w:r>
      <w:r w:rsidRPr="004E55B2" w:rsidR="004E55B2">
        <w:rPr>
          <w:rFonts w:ascii="Times New Roman" w:hAnsi="Times New Roman" w:cs="Times New Roman"/>
        </w:rPr>
        <w:t xml:space="preserve"> governments, in the aggregate, or by the private sector, of $100 million or more (adjusted for inflation) in any one year</w:t>
      </w:r>
      <w:r w:rsidR="00F33A4A">
        <w:rPr>
          <w:rFonts w:ascii="Times New Roman" w:hAnsi="Times New Roman" w:cs="Times New Roman"/>
        </w:rPr>
        <w:t xml:space="preserve">. </w:t>
      </w:r>
      <w:r w:rsidRPr="00D35107" w:rsidR="00D35107">
        <w:rPr>
          <w:rFonts w:ascii="Times New Roman" w:hAnsi="Times New Roman" w:cs="Times New Roman"/>
        </w:rPr>
        <w:t xml:space="preserve">EPA estimates annualized </w:t>
      </w:r>
      <w:r w:rsidRPr="00BE7DE1" w:rsidR="00360926">
        <w:rPr>
          <w:rFonts w:ascii="Times New Roman" w:hAnsi="Times New Roman" w:cs="Times New Roman"/>
        </w:rPr>
        <w:t xml:space="preserve">total </w:t>
      </w:r>
      <w:r w:rsidRPr="00BE7DE1" w:rsidR="00D35107">
        <w:rPr>
          <w:rFonts w:ascii="Times New Roman" w:hAnsi="Times New Roman" w:cs="Times New Roman"/>
        </w:rPr>
        <w:t>costs of $</w:t>
      </w:r>
      <w:r w:rsidRPr="00BE7DE1" w:rsidR="00B94C26">
        <w:rPr>
          <w:rFonts w:ascii="Times New Roman" w:hAnsi="Times New Roman" w:cs="Times New Roman"/>
        </w:rPr>
        <w:t>25</w:t>
      </w:r>
      <w:r w:rsidRPr="005A6F08" w:rsidR="00B959B2">
        <w:rPr>
          <w:rFonts w:ascii="Times New Roman" w:hAnsi="Times New Roman" w:cs="Times New Roman"/>
        </w:rPr>
        <w:t>6.9</w:t>
      </w:r>
      <w:r w:rsidRPr="00BE7DE1" w:rsidR="00D35107">
        <w:rPr>
          <w:rFonts w:ascii="Times New Roman" w:hAnsi="Times New Roman" w:cs="Times New Roman"/>
        </w:rPr>
        <w:t xml:space="preserve"> million at a 3% discount rate and $</w:t>
      </w:r>
      <w:r w:rsidRPr="00BE7DE1" w:rsidR="009A7F02">
        <w:rPr>
          <w:rFonts w:ascii="Times New Roman" w:hAnsi="Times New Roman" w:cs="Times New Roman"/>
        </w:rPr>
        <w:t>29</w:t>
      </w:r>
      <w:r w:rsidRPr="005A6F08" w:rsidR="00B959B2">
        <w:rPr>
          <w:rFonts w:ascii="Times New Roman" w:hAnsi="Times New Roman" w:cs="Times New Roman"/>
        </w:rPr>
        <w:t>6.9</w:t>
      </w:r>
      <w:r w:rsidRPr="00BE7DE1" w:rsidR="00D35107">
        <w:rPr>
          <w:rFonts w:ascii="Times New Roman" w:hAnsi="Times New Roman" w:cs="Times New Roman"/>
        </w:rPr>
        <w:t xml:space="preserve"> million at a 7% discount rate. Of this amount, average annualized costs to State/local governments total $</w:t>
      </w:r>
      <w:r w:rsidRPr="00BE7DE1" w:rsidR="009210F1">
        <w:rPr>
          <w:rFonts w:ascii="Times New Roman" w:hAnsi="Times New Roman" w:cs="Times New Roman"/>
        </w:rPr>
        <w:t>5.0</w:t>
      </w:r>
      <w:r w:rsidRPr="00BE7DE1" w:rsidR="00D35107">
        <w:rPr>
          <w:rFonts w:ascii="Times New Roman" w:hAnsi="Times New Roman" w:cs="Times New Roman"/>
        </w:rPr>
        <w:t xml:space="preserve"> million at a 3% discount rate and $</w:t>
      </w:r>
      <w:r w:rsidRPr="00BE7DE1" w:rsidR="009210F1">
        <w:rPr>
          <w:rFonts w:ascii="Times New Roman" w:hAnsi="Times New Roman" w:cs="Times New Roman"/>
        </w:rPr>
        <w:t>5.</w:t>
      </w:r>
      <w:r w:rsidR="009210F1">
        <w:rPr>
          <w:rFonts w:ascii="Times New Roman" w:hAnsi="Times New Roman" w:cs="Times New Roman"/>
        </w:rPr>
        <w:t>1</w:t>
      </w:r>
      <w:r w:rsidRPr="00D35107" w:rsidR="00D35107">
        <w:rPr>
          <w:rFonts w:ascii="Times New Roman" w:hAnsi="Times New Roman" w:cs="Times New Roman"/>
        </w:rPr>
        <w:t xml:space="preserve"> million at 7% discount rate consisting of estimated regulatory compliance costs for State/local governments that currently own or operate RMP-regulated sources plus costs to local governments (i.e., LEPCs, emergency response officials and </w:t>
      </w:r>
      <w:r w:rsidR="00516940">
        <w:rPr>
          <w:rFonts w:ascii="Times New Roman" w:hAnsi="Times New Roman" w:cs="Times New Roman"/>
        </w:rPr>
        <w:t>S</w:t>
      </w:r>
      <w:r w:rsidRPr="00D35107" w:rsidR="00D35107">
        <w:rPr>
          <w:rFonts w:ascii="Times New Roman" w:hAnsi="Times New Roman" w:cs="Times New Roman"/>
        </w:rPr>
        <w:t>tate implementing agencies) for rule familiarization and voluntary participation in coordination activities, exercises and review of information submitted to LEPCs. The estimated average annualized cost to the private sector totals approximately $</w:t>
      </w:r>
      <w:r w:rsidR="002A4CAF">
        <w:rPr>
          <w:rFonts w:ascii="Times New Roman" w:hAnsi="Times New Roman" w:cs="Times New Roman"/>
        </w:rPr>
        <w:t>2</w:t>
      </w:r>
      <w:r w:rsidR="009210F1">
        <w:rPr>
          <w:rFonts w:ascii="Times New Roman" w:hAnsi="Times New Roman" w:cs="Times New Roman"/>
        </w:rPr>
        <w:t>52.2</w:t>
      </w:r>
      <w:r w:rsidRPr="00D35107" w:rsidR="00D35107">
        <w:rPr>
          <w:rFonts w:ascii="Times New Roman" w:hAnsi="Times New Roman" w:cs="Times New Roman"/>
        </w:rPr>
        <w:t xml:space="preserve"> million at a 3% discount rate and $</w:t>
      </w:r>
      <w:r w:rsidR="002A4CAF">
        <w:rPr>
          <w:rFonts w:ascii="Times New Roman" w:hAnsi="Times New Roman" w:cs="Times New Roman"/>
        </w:rPr>
        <w:t>2</w:t>
      </w:r>
      <w:r w:rsidR="009210F1">
        <w:rPr>
          <w:rFonts w:ascii="Times New Roman" w:hAnsi="Times New Roman" w:cs="Times New Roman"/>
        </w:rPr>
        <w:t>92.1</w:t>
      </w:r>
      <w:r w:rsidRPr="00D35107" w:rsidR="00D35107">
        <w:rPr>
          <w:rFonts w:ascii="Times New Roman" w:hAnsi="Times New Roman" w:cs="Times New Roman"/>
        </w:rPr>
        <w:t xml:space="preserve"> million at a 7% discount rate.</w:t>
      </w:r>
      <w:r w:rsidR="00305FE8">
        <w:rPr>
          <w:rFonts w:ascii="Times New Roman" w:hAnsi="Times New Roman" w:cs="Times New Roman"/>
        </w:rPr>
        <w:t xml:space="preserve"> </w:t>
      </w:r>
      <w:r w:rsidR="00800925">
        <w:rPr>
          <w:rFonts w:ascii="Times New Roman" w:hAnsi="Times New Roman" w:cs="Times New Roman"/>
        </w:rPr>
        <w:t>See Appendix E of this document for more information that addresses requirements under Section 202 of UMRA.</w:t>
      </w:r>
      <w:r w:rsidRPr="00A97F51" w:rsidR="00A97F51">
        <w:t xml:space="preserve"> </w:t>
      </w:r>
      <w:bookmarkStart w:id="542" w:name="_Hlk145402049"/>
      <w:r w:rsidRPr="00480AB0" w:rsidR="00480AB0">
        <w:rPr>
          <w:rFonts w:ascii="Times New Roman" w:hAnsi="Times New Roman" w:cs="Times New Roman"/>
        </w:rPr>
        <w:t>This action is not subject to the requirements of section 203 of UMRA because it contains no regulatory requirements that might significantly or uniquely affect small governments.</w:t>
      </w:r>
      <w:r w:rsidRPr="00480AB0" w:rsidR="00480AB0">
        <w:rPr>
          <w:rFonts w:ascii="Times New Roman" w:hAnsi="Times New Roman" w:cs="Times New Roman"/>
          <w:color w:val="0000FF"/>
        </w:rPr>
        <w:t xml:space="preserve"> </w:t>
      </w:r>
    </w:p>
    <w:bookmarkEnd w:id="542"/>
    <w:p w:rsidR="00A97F51" w:rsidP="000E6E0F" w14:paraId="5C36D375" w14:textId="77777777">
      <w:pPr>
        <w:spacing w:after="0" w:line="240" w:lineRule="auto"/>
        <w:ind w:firstLine="360"/>
      </w:pPr>
    </w:p>
    <w:p w:rsidR="00461D85" w:rsidP="00A97F51" w14:paraId="3E5B1F26" w14:textId="77777777">
      <w:pPr>
        <w:spacing w:after="0" w:line="240" w:lineRule="auto"/>
        <w:ind w:firstLine="720"/>
        <w:rPr>
          <w:rFonts w:ascii="Times New Roman" w:hAnsi="Times New Roman" w:cs="Times New Roman"/>
        </w:rPr>
      </w:pPr>
      <w:bookmarkStart w:id="543" w:name="_Hlk144902549"/>
      <w:r>
        <w:rPr>
          <w:rFonts w:ascii="Times New Roman" w:hAnsi="Times New Roman" w:cs="Times New Roman"/>
        </w:rPr>
        <w:t>With regard to Section 205 of UMRA, t</w:t>
      </w:r>
      <w:r w:rsidRPr="00A97F51">
        <w:rPr>
          <w:rFonts w:ascii="Times New Roman" w:hAnsi="Times New Roman" w:cs="Times New Roman"/>
        </w:rPr>
        <w:t>he Agency considered finalizing the regulatory requirements as proposed as well as the regulatory alternatives considered in Chapter 7 of this RIA. However, none of the alternative options successfully fulfilled the objectives of the rule, which seek to seek to prevent or reduce the impacts of RMP accidents on communities near facilities. These objectives are accomplished by promoting prevention generally and through targeted enhanced measures at the most accident-prone facilities, which historically have had a disproportionate share of accidents and the costliest accidents. Some of these same facilities have widely known safer alternatives available. The objectives are also accomplished by enhancing emergency response training and planning through better information access and exchange among the facility, emergency responders, and the community potentially exposed to accidents. A market failure results when RMP accidents impose burdens on nearby communities. Firms do not have an appropriate level of incentive to prevent and/or mitigate these external costs. The Agency believes that the rule objectives to prevent or reduce the impacts of accidents on communities near facilities are best achieved by the selected provisions for this final rule, particularly, implementation of process safeguards or IST/ISD to prevent accidents and allowing a wider segment of the public potentially affected by accidents to access emergency preparedness information.</w:t>
      </w:r>
    </w:p>
    <w:bookmarkEnd w:id="543"/>
    <w:p w:rsidR="000E6E0F" w:rsidRPr="000E6E0F" w:rsidP="000E6E0F" w14:paraId="48C6C102" w14:textId="77777777">
      <w:pPr>
        <w:spacing w:after="0" w:line="240" w:lineRule="auto"/>
        <w:ind w:firstLine="360"/>
        <w:rPr>
          <w:rFonts w:ascii="Times New Roman" w:hAnsi="Times New Roman" w:cs="Times New Roman"/>
        </w:rPr>
      </w:pPr>
    </w:p>
    <w:p w:rsidR="00461D85" w:rsidRPr="000E6E0F" w:rsidP="00C07306" w14:paraId="0BE73927" w14:textId="77777777">
      <w:pPr>
        <w:pStyle w:val="Heading2"/>
      </w:pPr>
      <w:bookmarkStart w:id="544" w:name="_Toc98856253"/>
      <w:bookmarkStart w:id="545" w:name="_Toc144303620"/>
      <w:r w:rsidRPr="000E6E0F">
        <w:t>11.3 Federalism</w:t>
      </w:r>
      <w:bookmarkEnd w:id="544"/>
      <w:bookmarkEnd w:id="545"/>
    </w:p>
    <w:p w:rsidR="00461D85" w:rsidP="000E6E0F" w14:paraId="40885553" w14:textId="77777777">
      <w:pPr>
        <w:pStyle w:val="paragraph"/>
        <w:spacing w:before="0" w:beforeAutospacing="0" w:after="0" w:afterAutospacing="0"/>
        <w:ind w:firstLine="360"/>
        <w:textAlignment w:val="baseline"/>
        <w:rPr>
          <w:rStyle w:val="eop"/>
          <w:sz w:val="22"/>
          <w:szCs w:val="22"/>
        </w:rPr>
      </w:pPr>
      <w:r>
        <w:rPr>
          <w:rStyle w:val="normaltextrun"/>
          <w:rFonts w:eastAsiaTheme="majorEastAsia"/>
          <w:sz w:val="22"/>
          <w:szCs w:val="22"/>
        </w:rPr>
        <w:tab/>
      </w:r>
      <w:r w:rsidR="00843659">
        <w:rPr>
          <w:rStyle w:val="normaltextrun"/>
          <w:rFonts w:eastAsiaTheme="majorEastAsia"/>
          <w:sz w:val="22"/>
          <w:szCs w:val="22"/>
        </w:rPr>
        <w:t>E.O.</w:t>
      </w:r>
      <w:r w:rsidRPr="000E6E0F">
        <w:rPr>
          <w:rStyle w:val="normaltextrun"/>
          <w:rFonts w:eastAsiaTheme="majorEastAsia"/>
          <w:sz w:val="22"/>
          <w:szCs w:val="22"/>
        </w:rPr>
        <w:t xml:space="preserve"> 13132 (64 FR 43255, August 10, 1999) requires Agencies to develop an accountable process to ensure “meaningful and timely input by State and local officials in the development of regulatory policies that have federalism implications.” Policies that have federalism implications are defined in the </w:t>
      </w:r>
      <w:r w:rsidR="00843659">
        <w:rPr>
          <w:rStyle w:val="normaltextrun"/>
          <w:rFonts w:eastAsiaTheme="majorEastAsia"/>
          <w:sz w:val="22"/>
          <w:szCs w:val="22"/>
        </w:rPr>
        <w:t>E.O.</w:t>
      </w:r>
      <w:r w:rsidRPr="000E6E0F">
        <w:rPr>
          <w:rStyle w:val="normaltextrun"/>
          <w:rFonts w:eastAsiaTheme="majorEastAsia"/>
          <w:sz w:val="22"/>
          <w:szCs w:val="22"/>
        </w:rPr>
        <w:t xml:space="preserve"> to include regulations that have “substantial direct effects on the States, on the relationship between the national government and the States, or on the distribution of power and responsibilities among the various levels of government.” </w:t>
      </w:r>
      <w:r w:rsidRPr="000E6E0F">
        <w:rPr>
          <w:rStyle w:val="eop"/>
          <w:sz w:val="22"/>
          <w:szCs w:val="22"/>
        </w:rPr>
        <w:t> </w:t>
      </w:r>
    </w:p>
    <w:p w:rsidR="007D782A" w:rsidP="000E6E0F" w14:paraId="493E27EB" w14:textId="77777777">
      <w:pPr>
        <w:pStyle w:val="paragraph"/>
        <w:spacing w:before="0" w:beforeAutospacing="0" w:after="0" w:afterAutospacing="0"/>
        <w:ind w:firstLine="360"/>
        <w:textAlignment w:val="baseline"/>
        <w:rPr>
          <w:i/>
          <w:sz w:val="22"/>
          <w:szCs w:val="22"/>
        </w:rPr>
      </w:pPr>
    </w:p>
    <w:p w:rsidR="000E6E0F" w:rsidP="000E6E0F" w14:paraId="708E493F" w14:textId="77777777">
      <w:pPr>
        <w:pStyle w:val="paragraph"/>
        <w:spacing w:before="0" w:beforeAutospacing="0" w:after="0" w:afterAutospacing="0"/>
        <w:ind w:firstLine="360"/>
        <w:textAlignment w:val="baseline"/>
        <w:rPr>
          <w:rStyle w:val="eop"/>
          <w:sz w:val="22"/>
          <w:szCs w:val="22"/>
        </w:rPr>
      </w:pPr>
      <w:r>
        <w:rPr>
          <w:rStyle w:val="normaltextrun"/>
          <w:rFonts w:eastAsiaTheme="majorEastAsia"/>
          <w:sz w:val="22"/>
          <w:szCs w:val="22"/>
        </w:rPr>
        <w:tab/>
      </w:r>
      <w:r w:rsidRPr="000E6E0F" w:rsidR="00461D85">
        <w:rPr>
          <w:rStyle w:val="normaltextrun"/>
          <w:rFonts w:eastAsiaTheme="majorEastAsia"/>
          <w:sz w:val="22"/>
          <w:szCs w:val="22"/>
        </w:rPr>
        <w:t xml:space="preserve">Under section 6 of </w:t>
      </w:r>
      <w:r w:rsidR="00843659">
        <w:rPr>
          <w:rStyle w:val="normaltextrun"/>
          <w:rFonts w:eastAsiaTheme="majorEastAsia"/>
          <w:sz w:val="22"/>
          <w:szCs w:val="22"/>
        </w:rPr>
        <w:t>E.O.</w:t>
      </w:r>
      <w:r w:rsidRPr="000E6E0F" w:rsidR="00461D85">
        <w:rPr>
          <w:rStyle w:val="normaltextrun"/>
          <w:rFonts w:eastAsiaTheme="majorEastAsia"/>
          <w:sz w:val="22"/>
          <w:szCs w:val="22"/>
        </w:rPr>
        <w:t xml:space="preserve"> 13132, Agencies may not issue a regulation that has federalism implications, that imposes substantial direct compliance costs, and that is not required by statute unless the </w:t>
      </w:r>
      <w:r w:rsidRPr="000E6E0F" w:rsidR="0084636B">
        <w:rPr>
          <w:rStyle w:val="normaltextrun"/>
          <w:rFonts w:eastAsiaTheme="majorEastAsia"/>
          <w:sz w:val="22"/>
          <w:szCs w:val="22"/>
        </w:rPr>
        <w:t>F</w:t>
      </w:r>
      <w:r w:rsidRPr="000E6E0F" w:rsidR="00461D85">
        <w:rPr>
          <w:rStyle w:val="normaltextrun"/>
          <w:rFonts w:eastAsiaTheme="majorEastAsia"/>
          <w:sz w:val="22"/>
          <w:szCs w:val="22"/>
        </w:rPr>
        <w:t>ederal government provides the funds necessary to pay the direct compliance costs incurred by State and local governments or the agency consults with State and local officials early in the process of developing the regulation. The Agency also may not issue a regulation that has federalism implications and that preempts State law unless the Agency consults with State and local officials early in the process of developing the regulation.</w:t>
      </w:r>
      <w:r w:rsidRPr="000E6E0F" w:rsidR="00461D85">
        <w:rPr>
          <w:rStyle w:val="eop"/>
          <w:sz w:val="22"/>
          <w:szCs w:val="22"/>
        </w:rPr>
        <w:t> </w:t>
      </w:r>
    </w:p>
    <w:p w:rsidR="00ED3152" w:rsidP="000E6E0F" w14:paraId="1D9CDECA" w14:textId="77777777">
      <w:pPr>
        <w:pStyle w:val="paragraph"/>
        <w:spacing w:before="0" w:beforeAutospacing="0" w:after="0" w:afterAutospacing="0"/>
        <w:ind w:firstLine="360"/>
        <w:textAlignment w:val="baseline"/>
        <w:rPr>
          <w:rStyle w:val="eop"/>
          <w:sz w:val="22"/>
          <w:szCs w:val="22"/>
        </w:rPr>
      </w:pPr>
    </w:p>
    <w:p w:rsidR="000E6E0F" w:rsidP="000E6E0F" w14:paraId="261BAA40" w14:textId="77777777">
      <w:pPr>
        <w:pStyle w:val="paragraph"/>
        <w:spacing w:before="0" w:beforeAutospacing="0" w:after="0" w:afterAutospacing="0"/>
        <w:ind w:firstLine="360"/>
        <w:textAlignment w:val="baseline"/>
        <w:rPr>
          <w:rStyle w:val="normaltextrun"/>
          <w:rFonts w:eastAsiaTheme="majorEastAsia"/>
          <w:sz w:val="22"/>
          <w:szCs w:val="22"/>
        </w:rPr>
      </w:pPr>
      <w:r>
        <w:rPr>
          <w:rStyle w:val="normaltextrun"/>
          <w:rFonts w:eastAsiaTheme="majorEastAsia"/>
          <w:sz w:val="22"/>
          <w:szCs w:val="22"/>
        </w:rPr>
        <w:tab/>
      </w:r>
      <w:r w:rsidRPr="000E6E0F" w:rsidR="00461D85">
        <w:rPr>
          <w:rStyle w:val="normaltextrun"/>
          <w:rFonts w:eastAsiaTheme="majorEastAsia"/>
          <w:sz w:val="22"/>
          <w:szCs w:val="22"/>
        </w:rPr>
        <w:t xml:space="preserve">The </w:t>
      </w:r>
      <w:r w:rsidR="002F6296">
        <w:rPr>
          <w:rStyle w:val="normaltextrun"/>
          <w:rFonts w:eastAsiaTheme="majorEastAsia"/>
          <w:sz w:val="22"/>
          <w:szCs w:val="22"/>
        </w:rPr>
        <w:t>final</w:t>
      </w:r>
      <w:r w:rsidRPr="000E6E0F" w:rsidR="00461D85">
        <w:rPr>
          <w:rStyle w:val="normaltextrun"/>
          <w:rFonts w:eastAsiaTheme="majorEastAsia"/>
          <w:sz w:val="22"/>
          <w:szCs w:val="22"/>
        </w:rPr>
        <w:t xml:space="preserve"> rule </w:t>
      </w:r>
      <w:r w:rsidR="009837FF">
        <w:rPr>
          <w:rStyle w:val="normaltextrun"/>
          <w:rFonts w:eastAsiaTheme="majorEastAsia"/>
          <w:sz w:val="22"/>
          <w:szCs w:val="22"/>
        </w:rPr>
        <w:t>will</w:t>
      </w:r>
      <w:r w:rsidRPr="000E6E0F" w:rsidR="00461D85">
        <w:rPr>
          <w:rStyle w:val="normaltextrun"/>
          <w:rFonts w:eastAsiaTheme="majorEastAsia"/>
          <w:sz w:val="22"/>
          <w:szCs w:val="22"/>
        </w:rPr>
        <w:t xml:space="preserve"> affect State and local government entities</w:t>
      </w:r>
      <w:r w:rsidR="009B00BA">
        <w:rPr>
          <w:rStyle w:val="normaltextrun"/>
          <w:rFonts w:eastAsiaTheme="majorEastAsia"/>
          <w:sz w:val="22"/>
          <w:szCs w:val="22"/>
        </w:rPr>
        <w:t>,</w:t>
      </w:r>
      <w:r w:rsidRPr="000E6E0F" w:rsidR="00461D85">
        <w:rPr>
          <w:rStyle w:val="normaltextrun"/>
          <w:rFonts w:eastAsiaTheme="majorEastAsia"/>
          <w:sz w:val="22"/>
          <w:szCs w:val="22"/>
        </w:rPr>
        <w:t xml:space="preserve"> including entities that own RMP-regulated facilities, LEPCs, and 13 State</w:t>
      </w:r>
      <w:r w:rsidR="000A2841">
        <w:rPr>
          <w:rStyle w:val="normaltextrun"/>
          <w:rFonts w:eastAsiaTheme="majorEastAsia"/>
          <w:sz w:val="22"/>
          <w:szCs w:val="22"/>
        </w:rPr>
        <w:t>-</w:t>
      </w:r>
      <w:r w:rsidR="00DB66F4">
        <w:rPr>
          <w:rStyle w:val="normaltextrun"/>
          <w:rFonts w:eastAsiaTheme="majorEastAsia"/>
          <w:sz w:val="22"/>
          <w:szCs w:val="22"/>
        </w:rPr>
        <w:t>and</w:t>
      </w:r>
      <w:r w:rsidR="00901C72">
        <w:rPr>
          <w:rStyle w:val="normaltextrun"/>
          <w:rFonts w:eastAsiaTheme="majorEastAsia"/>
          <w:sz w:val="22"/>
          <w:szCs w:val="22"/>
        </w:rPr>
        <w:t xml:space="preserve"> count</w:t>
      </w:r>
      <w:r w:rsidR="009B00BA">
        <w:rPr>
          <w:rStyle w:val="normaltextrun"/>
          <w:rFonts w:eastAsiaTheme="majorEastAsia"/>
          <w:sz w:val="22"/>
          <w:szCs w:val="22"/>
        </w:rPr>
        <w:t>y-</w:t>
      </w:r>
      <w:r w:rsidR="00901C72">
        <w:rPr>
          <w:rStyle w:val="normaltextrun"/>
          <w:rFonts w:eastAsiaTheme="majorEastAsia"/>
          <w:sz w:val="22"/>
          <w:szCs w:val="22"/>
        </w:rPr>
        <w:t xml:space="preserve"> </w:t>
      </w:r>
      <w:r w:rsidRPr="000E6E0F" w:rsidR="00461D85">
        <w:rPr>
          <w:rStyle w:val="normaltextrun"/>
          <w:rFonts w:eastAsiaTheme="majorEastAsia"/>
          <w:sz w:val="22"/>
          <w:szCs w:val="22"/>
        </w:rPr>
        <w:t xml:space="preserve">delegated implementing agencies. The </w:t>
      </w:r>
      <w:r w:rsidR="00565EAC">
        <w:rPr>
          <w:rStyle w:val="normaltextrun"/>
          <w:rFonts w:eastAsiaTheme="majorEastAsia"/>
          <w:sz w:val="22"/>
          <w:szCs w:val="22"/>
        </w:rPr>
        <w:t>final</w:t>
      </w:r>
      <w:r w:rsidRPr="000E6E0F" w:rsidR="00461D85">
        <w:rPr>
          <w:rStyle w:val="normaltextrun"/>
          <w:rFonts w:eastAsiaTheme="majorEastAsia"/>
          <w:sz w:val="22"/>
          <w:szCs w:val="22"/>
        </w:rPr>
        <w:t xml:space="preserve"> rule imposes both direct and indirect costs. Direct costs are associated with activities required by regulated facilities owned by government entities. Indirect costs are associated with 1) regulated facilities owned by government entities, LEPCs, and State implementing agencies reviewing the </w:t>
      </w:r>
      <w:r w:rsidR="00565EAC">
        <w:rPr>
          <w:rStyle w:val="normaltextrun"/>
          <w:rFonts w:eastAsiaTheme="majorEastAsia"/>
          <w:sz w:val="22"/>
          <w:szCs w:val="22"/>
        </w:rPr>
        <w:t>final</w:t>
      </w:r>
      <w:r w:rsidRPr="000E6E0F" w:rsidR="00565EAC">
        <w:rPr>
          <w:rStyle w:val="normaltextrun"/>
          <w:rFonts w:eastAsiaTheme="majorEastAsia"/>
          <w:sz w:val="22"/>
          <w:szCs w:val="22"/>
        </w:rPr>
        <w:t xml:space="preserve"> </w:t>
      </w:r>
      <w:r w:rsidRPr="000E6E0F" w:rsidR="00461D85">
        <w:rPr>
          <w:rStyle w:val="normaltextrun"/>
          <w:rFonts w:eastAsiaTheme="majorEastAsia"/>
          <w:sz w:val="22"/>
          <w:szCs w:val="22"/>
        </w:rPr>
        <w:t>rule</w:t>
      </w:r>
      <w:r w:rsidR="000A2841">
        <w:rPr>
          <w:rStyle w:val="normaltextrun"/>
          <w:rFonts w:eastAsiaTheme="majorEastAsia"/>
          <w:sz w:val="22"/>
          <w:szCs w:val="22"/>
        </w:rPr>
        <w:t>,</w:t>
      </w:r>
      <w:r w:rsidRPr="000E6E0F" w:rsidR="00461D85">
        <w:rPr>
          <w:rStyle w:val="normaltextrun"/>
          <w:rFonts w:eastAsiaTheme="majorEastAsia"/>
          <w:sz w:val="22"/>
          <w:szCs w:val="22"/>
        </w:rPr>
        <w:t xml:space="preserve"> and</w:t>
      </w:r>
      <w:r w:rsidR="00BE2594">
        <w:rPr>
          <w:rStyle w:val="normaltextrun"/>
          <w:rFonts w:eastAsiaTheme="majorEastAsia"/>
          <w:sz w:val="22"/>
          <w:szCs w:val="22"/>
        </w:rPr>
        <w:t xml:space="preserve"> </w:t>
      </w:r>
      <w:r w:rsidRPr="000E6E0F" w:rsidR="00461D85">
        <w:rPr>
          <w:rStyle w:val="normaltextrun"/>
          <w:rFonts w:eastAsiaTheme="majorEastAsia"/>
          <w:sz w:val="22"/>
          <w:szCs w:val="22"/>
        </w:rPr>
        <w:t xml:space="preserve">2) LEPCs coordinating with facilities. </w:t>
      </w:r>
    </w:p>
    <w:p w:rsidR="007D782A" w:rsidP="000E6E0F" w14:paraId="0E5F1BF1" w14:textId="77777777">
      <w:pPr>
        <w:pStyle w:val="paragraph"/>
        <w:spacing w:before="0" w:beforeAutospacing="0" w:after="0" w:afterAutospacing="0"/>
        <w:ind w:firstLine="360"/>
        <w:textAlignment w:val="baseline"/>
        <w:rPr>
          <w:i/>
          <w:sz w:val="22"/>
          <w:szCs w:val="22"/>
        </w:rPr>
      </w:pPr>
    </w:p>
    <w:p w:rsidR="000E6E0F" w:rsidP="000E6E0F" w14:paraId="71BF92FC" w14:textId="77777777">
      <w:pPr>
        <w:pStyle w:val="paragraph"/>
        <w:spacing w:before="0" w:beforeAutospacing="0" w:after="0" w:afterAutospacing="0"/>
        <w:ind w:firstLine="360"/>
        <w:textAlignment w:val="baseline"/>
        <w:rPr>
          <w:rStyle w:val="eop"/>
          <w:sz w:val="22"/>
          <w:szCs w:val="22"/>
        </w:rPr>
      </w:pPr>
      <w:r>
        <w:rPr>
          <w:rStyle w:val="normaltextrun"/>
          <w:rFonts w:eastAsiaTheme="majorEastAsia"/>
          <w:sz w:val="22"/>
          <w:szCs w:val="22"/>
        </w:rPr>
        <w:tab/>
      </w:r>
      <w:r w:rsidRPr="000E6E0F" w:rsidR="00461D85">
        <w:rPr>
          <w:rStyle w:val="normaltextrun"/>
          <w:rFonts w:eastAsiaTheme="majorEastAsia"/>
          <w:sz w:val="22"/>
          <w:szCs w:val="22"/>
        </w:rPr>
        <w:t>Most of the government</w:t>
      </w:r>
      <w:r w:rsidR="00346001">
        <w:rPr>
          <w:rStyle w:val="normaltextrun"/>
          <w:rFonts w:eastAsiaTheme="majorEastAsia"/>
          <w:sz w:val="22"/>
          <w:szCs w:val="22"/>
        </w:rPr>
        <w:t>-o</w:t>
      </w:r>
      <w:r w:rsidRPr="000E6E0F" w:rsidR="00461D85">
        <w:rPr>
          <w:rStyle w:val="normaltextrun"/>
          <w:rFonts w:eastAsiaTheme="majorEastAsia"/>
          <w:sz w:val="22"/>
          <w:szCs w:val="22"/>
        </w:rPr>
        <w:t>wned facilities are water or wastewater treatment facilities, but some large swimming pools are covered as well. Most of the government entities are cities, but the universe includes larger special districts (e.g., the Metropolitan Water District of Southern California). In addition, 13 State</w:t>
      </w:r>
      <w:r w:rsidR="002A0263">
        <w:rPr>
          <w:rStyle w:val="normaltextrun"/>
          <w:rFonts w:eastAsiaTheme="majorEastAsia"/>
          <w:sz w:val="22"/>
          <w:szCs w:val="22"/>
        </w:rPr>
        <w:t>-</w:t>
      </w:r>
      <w:r w:rsidR="00DB66F4">
        <w:rPr>
          <w:rStyle w:val="normaltextrun"/>
          <w:rFonts w:eastAsiaTheme="majorEastAsia"/>
          <w:sz w:val="22"/>
          <w:szCs w:val="22"/>
        </w:rPr>
        <w:t>and</w:t>
      </w:r>
      <w:r w:rsidR="00457AA5">
        <w:rPr>
          <w:rStyle w:val="normaltextrun"/>
          <w:rFonts w:eastAsiaTheme="majorEastAsia"/>
          <w:sz w:val="22"/>
          <w:szCs w:val="22"/>
        </w:rPr>
        <w:t xml:space="preserve"> county</w:t>
      </w:r>
      <w:r w:rsidR="002A0263">
        <w:rPr>
          <w:rStyle w:val="normaltextrun"/>
          <w:rFonts w:eastAsiaTheme="majorEastAsia"/>
          <w:sz w:val="22"/>
          <w:szCs w:val="22"/>
        </w:rPr>
        <w:t>-</w:t>
      </w:r>
      <w:r w:rsidRPr="000E6E0F" w:rsidR="00461D85">
        <w:rPr>
          <w:rStyle w:val="normaltextrun"/>
          <w:rFonts w:eastAsiaTheme="majorEastAsia"/>
          <w:sz w:val="22"/>
          <w:szCs w:val="22"/>
        </w:rPr>
        <w:t xml:space="preserve">delegated implementing agencies </w:t>
      </w:r>
      <w:r w:rsidR="009837FF">
        <w:rPr>
          <w:rStyle w:val="normaltextrun"/>
          <w:rFonts w:eastAsiaTheme="majorEastAsia"/>
          <w:sz w:val="22"/>
          <w:szCs w:val="22"/>
        </w:rPr>
        <w:t>will</w:t>
      </w:r>
      <w:r w:rsidRPr="000E6E0F" w:rsidR="00461D85">
        <w:rPr>
          <w:rStyle w:val="normaltextrun"/>
          <w:rFonts w:eastAsiaTheme="majorEastAsia"/>
          <w:sz w:val="22"/>
          <w:szCs w:val="22"/>
        </w:rPr>
        <w:t xml:space="preserve"> face small costs from the </w:t>
      </w:r>
      <w:r w:rsidR="00CA0A74">
        <w:rPr>
          <w:rStyle w:val="normaltextrun"/>
          <w:rFonts w:eastAsiaTheme="majorEastAsia"/>
          <w:sz w:val="22"/>
          <w:szCs w:val="22"/>
        </w:rPr>
        <w:t>final</w:t>
      </w:r>
      <w:r w:rsidRPr="000E6E0F" w:rsidR="00CA0A74">
        <w:rPr>
          <w:rStyle w:val="normaltextrun"/>
          <w:rFonts w:eastAsiaTheme="majorEastAsia"/>
          <w:sz w:val="22"/>
          <w:szCs w:val="22"/>
        </w:rPr>
        <w:t xml:space="preserve"> </w:t>
      </w:r>
      <w:r w:rsidRPr="000E6E0F" w:rsidR="00461D85">
        <w:rPr>
          <w:rStyle w:val="normaltextrun"/>
          <w:rFonts w:eastAsiaTheme="majorEastAsia"/>
          <w:sz w:val="22"/>
          <w:szCs w:val="22"/>
        </w:rPr>
        <w:t>rule. </w:t>
      </w:r>
      <w:r w:rsidRPr="000E6E0F" w:rsidR="00461D85">
        <w:rPr>
          <w:rStyle w:val="eop"/>
          <w:sz w:val="22"/>
          <w:szCs w:val="22"/>
        </w:rPr>
        <w:t> </w:t>
      </w:r>
    </w:p>
    <w:p w:rsidR="007D782A" w:rsidP="000E6E0F" w14:paraId="5D76D4B7" w14:textId="77777777">
      <w:pPr>
        <w:pStyle w:val="paragraph"/>
        <w:spacing w:before="0" w:beforeAutospacing="0" w:after="0" w:afterAutospacing="0"/>
        <w:ind w:firstLine="360"/>
        <w:textAlignment w:val="baseline"/>
        <w:rPr>
          <w:i/>
          <w:sz w:val="22"/>
          <w:szCs w:val="22"/>
        </w:rPr>
      </w:pPr>
    </w:p>
    <w:p w:rsidR="00461D85" w:rsidP="000E6E0F" w14:paraId="32CB6465" w14:textId="77777777">
      <w:pPr>
        <w:pStyle w:val="paragraph"/>
        <w:spacing w:before="0" w:beforeAutospacing="0" w:after="0" w:afterAutospacing="0"/>
        <w:ind w:firstLine="360"/>
        <w:textAlignment w:val="baseline"/>
        <w:rPr>
          <w:rStyle w:val="eop"/>
          <w:sz w:val="22"/>
          <w:szCs w:val="22"/>
        </w:rPr>
      </w:pPr>
      <w:r>
        <w:rPr>
          <w:sz w:val="22"/>
          <w:szCs w:val="22"/>
        </w:rPr>
        <w:tab/>
      </w:r>
      <w:r w:rsidRPr="000E6E0F">
        <w:rPr>
          <w:sz w:val="22"/>
          <w:szCs w:val="22"/>
        </w:rPr>
        <w:t xml:space="preserve">The EPA has concluded that this action </w:t>
      </w:r>
      <w:r w:rsidR="009837FF">
        <w:rPr>
          <w:sz w:val="22"/>
          <w:szCs w:val="22"/>
        </w:rPr>
        <w:t>will</w:t>
      </w:r>
      <w:r w:rsidRPr="000E6E0F">
        <w:rPr>
          <w:sz w:val="22"/>
          <w:szCs w:val="22"/>
        </w:rPr>
        <w:t xml:space="preserve"> not have </w:t>
      </w:r>
      <w:r w:rsidR="002A0263">
        <w:rPr>
          <w:sz w:val="22"/>
          <w:szCs w:val="22"/>
        </w:rPr>
        <w:t>f</w:t>
      </w:r>
      <w:r w:rsidRPr="000E6E0F">
        <w:rPr>
          <w:sz w:val="22"/>
          <w:szCs w:val="22"/>
        </w:rPr>
        <w:t xml:space="preserve">ederalism implications. The </w:t>
      </w:r>
      <w:r w:rsidRPr="000E6E0F">
        <w:rPr>
          <w:rStyle w:val="normaltextrun"/>
          <w:rFonts w:eastAsiaTheme="majorEastAsia"/>
          <w:sz w:val="22"/>
          <w:szCs w:val="22"/>
        </w:rPr>
        <w:t xml:space="preserve">maximum annual cost to State and local government entities, including LEPCs and the 13 delegated </w:t>
      </w:r>
      <w:r w:rsidRPr="000E6E0F" w:rsidR="00482CF7">
        <w:rPr>
          <w:rStyle w:val="normaltextrun"/>
          <w:rFonts w:eastAsiaTheme="majorEastAsia"/>
          <w:sz w:val="22"/>
          <w:szCs w:val="22"/>
        </w:rPr>
        <w:t>implementi</w:t>
      </w:r>
      <w:r w:rsidR="00482CF7">
        <w:rPr>
          <w:rStyle w:val="normaltextrun"/>
          <w:rFonts w:eastAsiaTheme="majorEastAsia"/>
          <w:sz w:val="22"/>
          <w:szCs w:val="22"/>
        </w:rPr>
        <w:t xml:space="preserve">ng </w:t>
      </w:r>
      <w:r w:rsidRPr="000E6E0F" w:rsidR="00482CF7">
        <w:rPr>
          <w:rStyle w:val="normaltextrun"/>
          <w:rFonts w:eastAsiaTheme="majorEastAsia"/>
          <w:sz w:val="22"/>
          <w:szCs w:val="22"/>
        </w:rPr>
        <w:t>agencies</w:t>
      </w:r>
      <w:r w:rsidRPr="000E6E0F">
        <w:rPr>
          <w:rStyle w:val="normaltextrun"/>
          <w:rFonts w:eastAsiaTheme="majorEastAsia"/>
          <w:sz w:val="22"/>
          <w:szCs w:val="22"/>
        </w:rPr>
        <w:t>, is estimated to be $</w:t>
      </w:r>
      <w:r w:rsidR="00E9795C">
        <w:rPr>
          <w:rStyle w:val="normaltextrun"/>
          <w:rFonts w:eastAsiaTheme="majorEastAsia"/>
          <w:sz w:val="22"/>
          <w:szCs w:val="22"/>
        </w:rPr>
        <w:t>1</w:t>
      </w:r>
      <w:r w:rsidR="00880F20">
        <w:rPr>
          <w:rStyle w:val="normaltextrun"/>
          <w:rFonts w:eastAsiaTheme="majorEastAsia"/>
          <w:sz w:val="22"/>
          <w:szCs w:val="22"/>
        </w:rPr>
        <w:t>8.</w:t>
      </w:r>
      <w:r w:rsidR="00312065">
        <w:rPr>
          <w:rStyle w:val="normaltextrun"/>
          <w:rFonts w:eastAsiaTheme="majorEastAsia"/>
          <w:sz w:val="22"/>
          <w:szCs w:val="22"/>
        </w:rPr>
        <w:t>9</w:t>
      </w:r>
      <w:r w:rsidRPr="000E6E0F">
        <w:rPr>
          <w:rStyle w:val="normaltextrun"/>
          <w:rFonts w:eastAsiaTheme="majorEastAsia"/>
          <w:sz w:val="22"/>
          <w:szCs w:val="22"/>
        </w:rPr>
        <w:t xml:space="preserve"> million in </w:t>
      </w:r>
      <w:r w:rsidRPr="000E6E0F" w:rsidR="00D81EA4">
        <w:rPr>
          <w:rStyle w:val="normaltextrun"/>
          <w:rFonts w:eastAsiaTheme="majorEastAsia"/>
          <w:sz w:val="22"/>
          <w:szCs w:val="22"/>
        </w:rPr>
        <w:t>202</w:t>
      </w:r>
      <w:r w:rsidR="00D81EA4">
        <w:rPr>
          <w:rStyle w:val="normaltextrun"/>
          <w:rFonts w:eastAsiaTheme="majorEastAsia"/>
          <w:sz w:val="22"/>
          <w:szCs w:val="22"/>
        </w:rPr>
        <w:t>2</w:t>
      </w:r>
      <w:r w:rsidRPr="000E6E0F" w:rsidR="00D81EA4">
        <w:rPr>
          <w:rStyle w:val="normaltextrun"/>
          <w:rFonts w:eastAsiaTheme="majorEastAsia"/>
          <w:sz w:val="22"/>
          <w:szCs w:val="22"/>
        </w:rPr>
        <w:t xml:space="preserve"> </w:t>
      </w:r>
      <w:r w:rsidRPr="000E6E0F">
        <w:rPr>
          <w:rStyle w:val="normaltextrun"/>
          <w:rFonts w:eastAsiaTheme="majorEastAsia"/>
          <w:sz w:val="22"/>
          <w:szCs w:val="22"/>
        </w:rPr>
        <w:t>dollars.</w:t>
      </w:r>
      <w:r>
        <w:rPr>
          <w:rStyle w:val="FootnoteReference"/>
          <w:rFonts w:eastAsiaTheme="majorEastAsia"/>
          <w:sz w:val="22"/>
          <w:szCs w:val="22"/>
        </w:rPr>
        <w:footnoteReference w:id="199"/>
      </w:r>
      <w:r w:rsidRPr="000E6E0F">
        <w:rPr>
          <w:rStyle w:val="normaltextrun"/>
          <w:rFonts w:eastAsiaTheme="majorEastAsia"/>
          <w:sz w:val="22"/>
          <w:szCs w:val="22"/>
        </w:rPr>
        <w:t xml:space="preserve"> Therefore, the </w:t>
      </w:r>
      <w:r w:rsidR="00FC0A09">
        <w:rPr>
          <w:rStyle w:val="normaltextrun"/>
          <w:rFonts w:eastAsiaTheme="majorEastAsia"/>
          <w:sz w:val="22"/>
          <w:szCs w:val="22"/>
        </w:rPr>
        <w:t>final</w:t>
      </w:r>
      <w:r w:rsidRPr="000E6E0F" w:rsidR="00FC0A09">
        <w:rPr>
          <w:rStyle w:val="normaltextrun"/>
          <w:rFonts w:eastAsiaTheme="majorEastAsia"/>
          <w:sz w:val="22"/>
          <w:szCs w:val="22"/>
        </w:rPr>
        <w:t xml:space="preserve"> </w:t>
      </w:r>
      <w:r w:rsidRPr="000E6E0F">
        <w:rPr>
          <w:rStyle w:val="normaltextrun"/>
          <w:rFonts w:eastAsiaTheme="majorEastAsia"/>
          <w:sz w:val="22"/>
          <w:szCs w:val="22"/>
        </w:rPr>
        <w:t xml:space="preserve">rule </w:t>
      </w:r>
      <w:r w:rsidR="009837FF">
        <w:rPr>
          <w:rStyle w:val="normaltextrun"/>
          <w:rFonts w:eastAsiaTheme="majorEastAsia"/>
          <w:sz w:val="22"/>
          <w:szCs w:val="22"/>
        </w:rPr>
        <w:t>will</w:t>
      </w:r>
      <w:r w:rsidRPr="000E6E0F">
        <w:rPr>
          <w:rStyle w:val="normaltextrun"/>
          <w:rFonts w:eastAsiaTheme="majorEastAsia"/>
          <w:sz w:val="22"/>
          <w:szCs w:val="22"/>
        </w:rPr>
        <w:t xml:space="preserve"> not have </w:t>
      </w:r>
      <w:r w:rsidR="00CA0A74">
        <w:rPr>
          <w:rStyle w:val="normaltextrun"/>
          <w:rFonts w:eastAsiaTheme="majorEastAsia"/>
          <w:sz w:val="22"/>
          <w:szCs w:val="22"/>
        </w:rPr>
        <w:t xml:space="preserve">a </w:t>
      </w:r>
      <w:r w:rsidRPr="000E6E0F">
        <w:rPr>
          <w:rStyle w:val="normaltextrun"/>
          <w:rFonts w:eastAsiaTheme="majorEastAsia"/>
          <w:sz w:val="22"/>
          <w:szCs w:val="22"/>
        </w:rPr>
        <w:t xml:space="preserve">substantial and direct effect on State and local governments when compared to the $25 million threshold which triggers </w:t>
      </w:r>
      <w:r w:rsidR="002A0263">
        <w:rPr>
          <w:rStyle w:val="normaltextrun"/>
          <w:rFonts w:eastAsiaTheme="majorEastAsia"/>
          <w:sz w:val="22"/>
          <w:szCs w:val="22"/>
        </w:rPr>
        <w:t>f</w:t>
      </w:r>
      <w:r w:rsidRPr="000E6E0F">
        <w:rPr>
          <w:rStyle w:val="normaltextrun"/>
          <w:rFonts w:eastAsiaTheme="majorEastAsia"/>
          <w:sz w:val="22"/>
          <w:szCs w:val="22"/>
        </w:rPr>
        <w:t xml:space="preserve">ederalism implications. In addition, the </w:t>
      </w:r>
      <w:r w:rsidR="00FC0A09">
        <w:rPr>
          <w:rStyle w:val="normaltextrun"/>
          <w:rFonts w:eastAsiaTheme="majorEastAsia"/>
          <w:sz w:val="22"/>
          <w:szCs w:val="22"/>
        </w:rPr>
        <w:t>final</w:t>
      </w:r>
      <w:r w:rsidRPr="000E6E0F" w:rsidR="00FC0A09">
        <w:rPr>
          <w:rStyle w:val="normaltextrun"/>
          <w:rFonts w:eastAsiaTheme="majorEastAsia"/>
          <w:sz w:val="22"/>
          <w:szCs w:val="22"/>
        </w:rPr>
        <w:t xml:space="preserve"> </w:t>
      </w:r>
      <w:r w:rsidRPr="000E6E0F">
        <w:rPr>
          <w:rStyle w:val="normaltextrun"/>
          <w:rFonts w:eastAsiaTheme="majorEastAsia"/>
          <w:sz w:val="22"/>
          <w:szCs w:val="22"/>
        </w:rPr>
        <w:t xml:space="preserve">rule does not change the relationship between State and local governments and the Federal government </w:t>
      </w:r>
      <w:r w:rsidR="002A0263">
        <w:rPr>
          <w:rStyle w:val="normaltextrun"/>
          <w:rFonts w:eastAsiaTheme="majorEastAsia"/>
          <w:sz w:val="22"/>
          <w:szCs w:val="22"/>
        </w:rPr>
        <w:t>n</w:t>
      </w:r>
      <w:r w:rsidRPr="000E6E0F">
        <w:rPr>
          <w:rStyle w:val="normaltextrun"/>
          <w:rFonts w:eastAsiaTheme="majorEastAsia"/>
          <w:sz w:val="22"/>
          <w:szCs w:val="22"/>
        </w:rPr>
        <w:t>or delegate new responsibilities from the Federal government to State and local governments. </w:t>
      </w:r>
      <w:r w:rsidRPr="000E6E0F">
        <w:rPr>
          <w:rStyle w:val="eop"/>
          <w:sz w:val="22"/>
          <w:szCs w:val="22"/>
        </w:rPr>
        <w:t> </w:t>
      </w:r>
    </w:p>
    <w:p w:rsidR="000E6E0F" w:rsidRPr="000E6E0F" w:rsidP="000E6E0F" w14:paraId="3FD75075" w14:textId="77777777">
      <w:pPr>
        <w:pStyle w:val="paragraph"/>
        <w:spacing w:before="0" w:beforeAutospacing="0" w:after="0" w:afterAutospacing="0"/>
        <w:ind w:firstLine="360"/>
        <w:textAlignment w:val="baseline"/>
        <w:rPr>
          <w:i/>
          <w:sz w:val="22"/>
          <w:szCs w:val="22"/>
        </w:rPr>
      </w:pPr>
    </w:p>
    <w:p w:rsidR="00461D85" w:rsidRPr="000E6E0F" w:rsidP="00C07306" w14:paraId="42366335" w14:textId="77777777">
      <w:pPr>
        <w:pStyle w:val="Heading2"/>
      </w:pPr>
      <w:bookmarkStart w:id="546" w:name="_Toc98856254"/>
      <w:bookmarkStart w:id="547" w:name="_Toc144303621"/>
      <w:r w:rsidRPr="000E6E0F">
        <w:t>11.4 Employment Impacts</w:t>
      </w:r>
      <w:bookmarkEnd w:id="546"/>
      <w:bookmarkEnd w:id="547"/>
    </w:p>
    <w:p w:rsidR="001A7596" w:rsidP="000E6E0F" w14:paraId="3B88C5C4" w14:textId="77777777">
      <w:pPr>
        <w:spacing w:after="0" w:line="240" w:lineRule="auto"/>
        <w:ind w:firstLine="360"/>
        <w:rPr>
          <w:rFonts w:ascii="Times New Roman" w:hAnsi="Times New Roman" w:cs="Times New Roman"/>
        </w:rPr>
      </w:pPr>
      <w:r>
        <w:rPr>
          <w:rFonts w:ascii="Times New Roman" w:hAnsi="Times New Roman" w:cs="Times New Roman"/>
        </w:rPr>
        <w:tab/>
      </w:r>
      <w:r w:rsidR="00DC4131">
        <w:rPr>
          <w:rFonts w:ascii="Times New Roman" w:hAnsi="Times New Roman" w:cs="Times New Roman"/>
        </w:rPr>
        <w:t xml:space="preserve">The effects </w:t>
      </w:r>
      <w:r w:rsidRPr="000E6E0F" w:rsidR="0020471C">
        <w:rPr>
          <w:rFonts w:ascii="Times New Roman" w:hAnsi="Times New Roman" w:cs="Times New Roman"/>
        </w:rPr>
        <w:t>of environmental regulation</w:t>
      </w:r>
      <w:r w:rsidR="00DC4131">
        <w:rPr>
          <w:rFonts w:ascii="Times New Roman" w:hAnsi="Times New Roman" w:cs="Times New Roman"/>
        </w:rPr>
        <w:t xml:space="preserve"> on employment</w:t>
      </w:r>
      <w:r w:rsidRPr="000E6E0F" w:rsidR="0020471C">
        <w:rPr>
          <w:rFonts w:ascii="Times New Roman" w:hAnsi="Times New Roman" w:cs="Times New Roman"/>
        </w:rPr>
        <w:t xml:space="preserve"> are generally a mix</w:t>
      </w:r>
      <w:r w:rsidR="00DC4131">
        <w:rPr>
          <w:rFonts w:ascii="Times New Roman" w:hAnsi="Times New Roman" w:cs="Times New Roman"/>
        </w:rPr>
        <w:t>ture</w:t>
      </w:r>
      <w:r w:rsidRPr="000E6E0F" w:rsidR="0020471C">
        <w:rPr>
          <w:rFonts w:ascii="Times New Roman" w:hAnsi="Times New Roman" w:cs="Times New Roman"/>
        </w:rPr>
        <w:t xml:space="preserve"> of potential declines and gains in different areas of the economy over time</w:t>
      </w:r>
      <w:r w:rsidR="00CC18C5">
        <w:rPr>
          <w:rFonts w:ascii="Times New Roman" w:hAnsi="Times New Roman" w:cs="Times New Roman"/>
        </w:rPr>
        <w:t xml:space="preserve"> with a general expectation that some workers will shift to activities that are more environmentally protective than before the regulation</w:t>
      </w:r>
      <w:r w:rsidRPr="000E6E0F" w:rsidR="0020471C">
        <w:rPr>
          <w:rFonts w:ascii="Times New Roman" w:hAnsi="Times New Roman" w:cs="Times New Roman"/>
        </w:rPr>
        <w:t xml:space="preserve">. Regulatory employment impacts can vary across occupations, regions, and </w:t>
      </w:r>
      <w:r w:rsidR="00071594">
        <w:rPr>
          <w:rFonts w:ascii="Times New Roman" w:hAnsi="Times New Roman" w:cs="Times New Roman"/>
        </w:rPr>
        <w:t xml:space="preserve">industrial </w:t>
      </w:r>
      <w:r w:rsidR="008C68D4">
        <w:rPr>
          <w:rFonts w:ascii="Times New Roman" w:hAnsi="Times New Roman" w:cs="Times New Roman"/>
        </w:rPr>
        <w:t>sectors</w:t>
      </w:r>
      <w:r w:rsidRPr="000E6E0F" w:rsidR="0020471C">
        <w:rPr>
          <w:rFonts w:ascii="Times New Roman" w:hAnsi="Times New Roman" w:cs="Times New Roman"/>
        </w:rPr>
        <w:t xml:space="preserve">; by labor and product demand and supply elasticities; and in response to other labor market conditions. There are significant challenges when trying to isolate the employment effects due to an environmental regulation from employment effects due to a wide variety of other </w:t>
      </w:r>
      <w:r w:rsidR="00071594">
        <w:rPr>
          <w:rFonts w:ascii="Times New Roman" w:hAnsi="Times New Roman" w:cs="Times New Roman"/>
        </w:rPr>
        <w:t xml:space="preserve">possibly concurrent </w:t>
      </w:r>
      <w:r w:rsidRPr="000E6E0F" w:rsidR="0020471C">
        <w:rPr>
          <w:rFonts w:ascii="Times New Roman" w:hAnsi="Times New Roman" w:cs="Times New Roman"/>
        </w:rPr>
        <w:t>economic changes, including the state of the macroeconomy generally. Considering these challenges, the economics literature provide</w:t>
      </w:r>
      <w:r w:rsidRPr="000E6E0F" w:rsidR="00C462F3">
        <w:rPr>
          <w:rFonts w:ascii="Times New Roman" w:hAnsi="Times New Roman" w:cs="Times New Roman"/>
        </w:rPr>
        <w:t>s</w:t>
      </w:r>
      <w:r w:rsidRPr="000E6E0F" w:rsidR="0020471C">
        <w:rPr>
          <w:rFonts w:ascii="Times New Roman" w:hAnsi="Times New Roman" w:cs="Times New Roman"/>
        </w:rPr>
        <w:t xml:space="preserve"> a constructive framework and empirical evidence. T</w:t>
      </w:r>
      <w:r w:rsidR="00116D2A">
        <w:rPr>
          <w:rFonts w:ascii="Times New Roman" w:hAnsi="Times New Roman" w:cs="Times New Roman"/>
        </w:rPr>
        <w:t>he current employment impacts</w:t>
      </w:r>
      <w:r w:rsidRPr="000E6E0F" w:rsidR="00C462F3">
        <w:rPr>
          <w:rFonts w:ascii="Times New Roman" w:hAnsi="Times New Roman" w:cs="Times New Roman"/>
        </w:rPr>
        <w:t xml:space="preserve"> analysis</w:t>
      </w:r>
      <w:r w:rsidRPr="000E6E0F" w:rsidR="0020471C">
        <w:rPr>
          <w:rFonts w:ascii="Times New Roman" w:hAnsi="Times New Roman" w:cs="Times New Roman"/>
        </w:rPr>
        <w:t xml:space="preserve"> focus</w:t>
      </w:r>
      <w:r w:rsidRPr="000E6E0F" w:rsidR="00C462F3">
        <w:rPr>
          <w:rFonts w:ascii="Times New Roman" w:hAnsi="Times New Roman" w:cs="Times New Roman"/>
        </w:rPr>
        <w:t>es</w:t>
      </w:r>
      <w:r w:rsidRPr="000E6E0F" w:rsidR="0020471C">
        <w:rPr>
          <w:rFonts w:ascii="Times New Roman" w:hAnsi="Times New Roman" w:cs="Times New Roman"/>
        </w:rPr>
        <w:t xml:space="preserve"> on impacts on labor demand. </w:t>
      </w:r>
      <w:r w:rsidR="00116D2A">
        <w:rPr>
          <w:rFonts w:ascii="Times New Roman" w:hAnsi="Times New Roman" w:cs="Times New Roman"/>
        </w:rPr>
        <w:t>(</w:t>
      </w:r>
      <w:r w:rsidRPr="000E6E0F" w:rsidR="0020471C">
        <w:rPr>
          <w:rFonts w:ascii="Times New Roman" w:hAnsi="Times New Roman" w:cs="Times New Roman"/>
        </w:rPr>
        <w:t>Environmental regulation may also affect labor supply through changes in worker health and productivity</w:t>
      </w:r>
      <w:r w:rsidR="00A95A8A">
        <w:rPr>
          <w:rFonts w:ascii="Times New Roman" w:hAnsi="Times New Roman" w:cs="Times New Roman"/>
        </w:rPr>
        <w:t>.</w:t>
      </w:r>
      <w:r>
        <w:rPr>
          <w:rStyle w:val="FootnoteReference"/>
          <w:rFonts w:ascii="Times New Roman" w:hAnsi="Times New Roman" w:cs="Times New Roman"/>
        </w:rPr>
        <w:footnoteReference w:id="200"/>
      </w:r>
      <w:r w:rsidR="00116D2A">
        <w:rPr>
          <w:rFonts w:ascii="Times New Roman" w:hAnsi="Times New Roman" w:cs="Times New Roman"/>
        </w:rPr>
        <w:t>)</w:t>
      </w:r>
    </w:p>
    <w:p w:rsidR="007D782A" w:rsidP="000E6E0F" w14:paraId="0917BE0F" w14:textId="77777777">
      <w:pPr>
        <w:spacing w:after="0" w:line="240" w:lineRule="auto"/>
        <w:ind w:firstLine="360"/>
        <w:rPr>
          <w:rFonts w:ascii="Times New Roman" w:hAnsi="Times New Roman" w:cs="Times New Roman"/>
        </w:rPr>
      </w:pPr>
    </w:p>
    <w:p w:rsidR="005355AD" w:rsidP="000E6E0F" w14:paraId="6EE2EE5C" w14:textId="77777777">
      <w:pPr>
        <w:spacing w:after="0" w:line="240" w:lineRule="auto"/>
        <w:ind w:firstLine="360"/>
        <w:rPr>
          <w:rFonts w:ascii="Times New Roman" w:hAnsi="Times New Roman" w:cs="Times New Roman"/>
        </w:rPr>
      </w:pPr>
      <w:r>
        <w:rPr>
          <w:rFonts w:ascii="Times New Roman" w:hAnsi="Times New Roman" w:cs="Times New Roman"/>
        </w:rPr>
        <w:tab/>
      </w:r>
      <w:r w:rsidRPr="000E6E0F" w:rsidR="00461D85">
        <w:rPr>
          <w:rFonts w:ascii="Times New Roman" w:hAnsi="Times New Roman" w:cs="Times New Roman"/>
        </w:rPr>
        <w:t xml:space="preserve">Economic research evaluating the employment impacts of environmental regulation has shown that the net effect </w:t>
      </w:r>
      <w:r w:rsidR="006B782C">
        <w:rPr>
          <w:rFonts w:ascii="Times New Roman" w:hAnsi="Times New Roman" w:cs="Times New Roman"/>
        </w:rPr>
        <w:t>on employment</w:t>
      </w:r>
      <w:r w:rsidRPr="000E6E0F" w:rsidR="00461D85">
        <w:rPr>
          <w:rFonts w:ascii="Times New Roman" w:hAnsi="Times New Roman" w:cs="Times New Roman"/>
        </w:rPr>
        <w:t xml:space="preserve"> is ambiguous</w:t>
      </w:r>
      <w:r w:rsidRPr="000E6E0F" w:rsidR="00D77AE6">
        <w:rPr>
          <w:rFonts w:ascii="Times New Roman" w:hAnsi="Times New Roman" w:cs="Times New Roman"/>
        </w:rPr>
        <w:t xml:space="preserve">. </w:t>
      </w:r>
      <w:r w:rsidRPr="000E6E0F" w:rsidR="00461D85">
        <w:rPr>
          <w:rFonts w:ascii="Times New Roman" w:hAnsi="Times New Roman" w:cs="Times New Roman"/>
        </w:rPr>
        <w:t xml:space="preserve">Employment impacts may occur in the directly regulated sector, the environmental protection sector, and in upstream and other related sectors. </w:t>
      </w:r>
      <w:r w:rsidR="00B24056">
        <w:rPr>
          <w:rFonts w:ascii="Times New Roman" w:hAnsi="Times New Roman" w:cs="Times New Roman"/>
        </w:rPr>
        <w:t xml:space="preserve">Even within </w:t>
      </w:r>
      <w:r w:rsidR="00F240E3">
        <w:rPr>
          <w:rFonts w:ascii="Times New Roman" w:hAnsi="Times New Roman" w:cs="Times New Roman"/>
        </w:rPr>
        <w:t xml:space="preserve">the </w:t>
      </w:r>
      <w:r w:rsidR="00F240E3">
        <w:rPr>
          <w:rFonts w:ascii="Times New Roman" w:hAnsi="Times New Roman" w:cs="Times New Roman"/>
        </w:rPr>
        <w:t xml:space="preserve">directly </w:t>
      </w:r>
      <w:r w:rsidR="00B24056">
        <w:rPr>
          <w:rFonts w:ascii="Times New Roman" w:hAnsi="Times New Roman" w:cs="Times New Roman"/>
        </w:rPr>
        <w:t>regulated sector, m</w:t>
      </w:r>
      <w:r w:rsidRPr="000E6E0F" w:rsidR="00461D85">
        <w:rPr>
          <w:rFonts w:ascii="Times New Roman" w:hAnsi="Times New Roman" w:cs="Times New Roman"/>
        </w:rPr>
        <w:t xml:space="preserve">ultiple impacts </w:t>
      </w:r>
      <w:r w:rsidR="00C7686B">
        <w:rPr>
          <w:rFonts w:ascii="Times New Roman" w:hAnsi="Times New Roman" w:cs="Times New Roman"/>
        </w:rPr>
        <w:t>may be</w:t>
      </w:r>
      <w:r w:rsidRPr="000E6E0F" w:rsidR="00461D85">
        <w:rPr>
          <w:rFonts w:ascii="Times New Roman" w:hAnsi="Times New Roman" w:cs="Times New Roman"/>
        </w:rPr>
        <w:t xml:space="preserve"> experienced. New costs that are incurred to protect the environment may include labor, energy, capital, materials, and other costs</w:t>
      </w:r>
      <w:r w:rsidR="00E63451">
        <w:rPr>
          <w:rFonts w:ascii="Times New Roman" w:hAnsi="Times New Roman" w:cs="Times New Roman"/>
        </w:rPr>
        <w:t xml:space="preserve"> </w:t>
      </w:r>
      <w:r w:rsidR="002811E2">
        <w:rPr>
          <w:rFonts w:ascii="Times New Roman" w:hAnsi="Times New Roman" w:cs="Times New Roman"/>
        </w:rPr>
        <w:t>F</w:t>
      </w:r>
      <w:r w:rsidRPr="000E6E0F" w:rsidR="00461D85">
        <w:rPr>
          <w:rFonts w:ascii="Times New Roman" w:hAnsi="Times New Roman" w:cs="Times New Roman"/>
        </w:rPr>
        <w:t xml:space="preserve">irms </w:t>
      </w:r>
      <w:r w:rsidRPr="000E6E0F" w:rsidR="00CD0A35">
        <w:rPr>
          <w:rFonts w:ascii="Times New Roman" w:hAnsi="Times New Roman" w:cs="Times New Roman"/>
        </w:rPr>
        <w:t xml:space="preserve">may </w:t>
      </w:r>
      <w:r w:rsidRPr="000E6E0F" w:rsidR="00461D85">
        <w:rPr>
          <w:rFonts w:ascii="Times New Roman" w:hAnsi="Times New Roman" w:cs="Times New Roman"/>
        </w:rPr>
        <w:t xml:space="preserve">pass along to consumers increased costs from environmental protection, </w:t>
      </w:r>
      <w:r w:rsidR="002811E2">
        <w:rPr>
          <w:rFonts w:ascii="Times New Roman" w:hAnsi="Times New Roman" w:cs="Times New Roman"/>
        </w:rPr>
        <w:t>leading</w:t>
      </w:r>
      <w:r w:rsidRPr="000E6E0F" w:rsidR="00461D85">
        <w:rPr>
          <w:rFonts w:ascii="Times New Roman" w:hAnsi="Times New Roman" w:cs="Times New Roman"/>
        </w:rPr>
        <w:t xml:space="preserve"> </w:t>
      </w:r>
      <w:r w:rsidRPr="000E6E0F" w:rsidR="00CD0A35">
        <w:rPr>
          <w:rFonts w:ascii="Times New Roman" w:hAnsi="Times New Roman" w:cs="Times New Roman"/>
        </w:rPr>
        <w:t xml:space="preserve">demand for </w:t>
      </w:r>
      <w:r w:rsidRPr="000E6E0F" w:rsidR="00461D85">
        <w:rPr>
          <w:rFonts w:ascii="Times New Roman" w:hAnsi="Times New Roman" w:cs="Times New Roman"/>
        </w:rPr>
        <w:t xml:space="preserve">output </w:t>
      </w:r>
      <w:r w:rsidR="002811E2">
        <w:rPr>
          <w:rFonts w:ascii="Times New Roman" w:hAnsi="Times New Roman" w:cs="Times New Roman"/>
        </w:rPr>
        <w:t>to</w:t>
      </w:r>
      <w:r w:rsidRPr="000E6E0F" w:rsidR="00461D85">
        <w:rPr>
          <w:rFonts w:ascii="Times New Roman" w:hAnsi="Times New Roman" w:cs="Times New Roman"/>
        </w:rPr>
        <w:t xml:space="preserve"> decrease, which could cause a decrease in labor demand. There may also be operational impacts experienced by regulated firms as they modify operations to comply with new regulatory requirements; the direction of that impact on labor demand is a function of the interaction between the regulatory requirements and the firm’s labor intensity of production. In general, the net effect of an environmental regulation on employment in regulated sectors, the sectors providing environmental protection, and the overall economy is indeterminate. Berman and Bui (2001</w:t>
      </w:r>
      <w:r w:rsidRPr="000E6E0F" w:rsidR="006A7A36">
        <w:rPr>
          <w:rFonts w:ascii="Times New Roman" w:hAnsi="Times New Roman" w:cs="Times New Roman"/>
        </w:rPr>
        <w:t>)</w:t>
      </w:r>
      <w:r>
        <w:rPr>
          <w:rStyle w:val="FootnoteReference"/>
          <w:rFonts w:ascii="Times New Roman" w:hAnsi="Times New Roman" w:cs="Times New Roman"/>
        </w:rPr>
        <w:footnoteReference w:id="201"/>
      </w:r>
      <w:r w:rsidRPr="000E6E0F" w:rsidR="006A7A36">
        <w:rPr>
          <w:rFonts w:ascii="Times New Roman" w:hAnsi="Times New Roman" w:cs="Times New Roman"/>
        </w:rPr>
        <w:t xml:space="preserve"> </w:t>
      </w:r>
      <w:r w:rsidRPr="000E6E0F" w:rsidR="00592C4E">
        <w:rPr>
          <w:rFonts w:ascii="Times New Roman" w:hAnsi="Times New Roman" w:cs="Times New Roman"/>
        </w:rPr>
        <w:t xml:space="preserve">provide a </w:t>
      </w:r>
      <w:r w:rsidRPr="000E6E0F" w:rsidR="00461D85">
        <w:rPr>
          <w:rFonts w:ascii="Times New Roman" w:hAnsi="Times New Roman" w:cs="Times New Roman"/>
        </w:rPr>
        <w:t>theoretical model of employment effects of environmental regulation.</w:t>
      </w:r>
    </w:p>
    <w:p w:rsidR="009910F1" w:rsidP="000E6E0F" w14:paraId="12DF2002" w14:textId="77777777">
      <w:pPr>
        <w:spacing w:after="0" w:line="240" w:lineRule="auto"/>
        <w:ind w:firstLine="360"/>
        <w:rPr>
          <w:rFonts w:ascii="Times New Roman" w:hAnsi="Times New Roman" w:cs="Times New Roman"/>
        </w:rPr>
      </w:pPr>
    </w:p>
    <w:p w:rsidR="00555E6B" w:rsidP="000E6E0F" w14:paraId="14DBA573" w14:textId="700034E6">
      <w:pPr>
        <w:spacing w:after="0" w:line="240" w:lineRule="auto"/>
        <w:ind w:firstLine="360"/>
        <w:rPr>
          <w:rFonts w:ascii="Times New Roman" w:hAnsi="Times New Roman" w:cs="Times New Roman"/>
        </w:rPr>
      </w:pPr>
      <w:r>
        <w:rPr>
          <w:rFonts w:ascii="Times New Roman" w:hAnsi="Times New Roman" w:cs="Times New Roman"/>
        </w:rPr>
        <w:tab/>
        <w:t xml:space="preserve">To put the costs of this </w:t>
      </w:r>
      <w:r w:rsidR="0073229D">
        <w:rPr>
          <w:rFonts w:ascii="Times New Roman" w:hAnsi="Times New Roman" w:cs="Times New Roman"/>
        </w:rPr>
        <w:t xml:space="preserve">final </w:t>
      </w:r>
      <w:r>
        <w:rPr>
          <w:rFonts w:ascii="Times New Roman" w:hAnsi="Times New Roman" w:cs="Times New Roman"/>
        </w:rPr>
        <w:t xml:space="preserve">rule and their potential employment impacts into perspective, </w:t>
      </w:r>
      <w:r w:rsidR="00CA66FF">
        <w:rPr>
          <w:rFonts w:ascii="Times New Roman" w:hAnsi="Times New Roman" w:cs="Times New Roman"/>
        </w:rPr>
        <w:t>EPA</w:t>
      </w:r>
      <w:r>
        <w:rPr>
          <w:rFonts w:ascii="Times New Roman" w:hAnsi="Times New Roman" w:cs="Times New Roman"/>
        </w:rPr>
        <w:t xml:space="preserve"> collected data on employment, revenue, and average wages </w:t>
      </w:r>
      <w:r w:rsidR="00886177">
        <w:rPr>
          <w:rFonts w:ascii="Times New Roman" w:hAnsi="Times New Roman" w:cs="Times New Roman"/>
        </w:rPr>
        <w:t xml:space="preserve">from 2016 </w:t>
      </w:r>
      <w:r w:rsidR="00301016">
        <w:rPr>
          <w:rFonts w:ascii="Times New Roman" w:hAnsi="Times New Roman" w:cs="Times New Roman"/>
        </w:rPr>
        <w:t xml:space="preserve">to </w:t>
      </w:r>
      <w:r w:rsidR="00886177">
        <w:rPr>
          <w:rFonts w:ascii="Times New Roman" w:hAnsi="Times New Roman" w:cs="Times New Roman"/>
        </w:rPr>
        <w:t>2020</w:t>
      </w:r>
      <w:r>
        <w:rPr>
          <w:rFonts w:ascii="Times New Roman" w:hAnsi="Times New Roman" w:cs="Times New Roman"/>
        </w:rPr>
        <w:t xml:space="preserve"> for </w:t>
      </w:r>
      <w:r w:rsidR="006505FB">
        <w:rPr>
          <w:rFonts w:ascii="Times New Roman" w:hAnsi="Times New Roman" w:cs="Times New Roman"/>
        </w:rPr>
        <w:t>the 324 and 325 NA</w:t>
      </w:r>
      <w:r w:rsidR="00195C2D">
        <w:rPr>
          <w:rFonts w:ascii="Times New Roman" w:hAnsi="Times New Roman" w:cs="Times New Roman"/>
        </w:rPr>
        <w:t>IC</w:t>
      </w:r>
      <w:r w:rsidR="006505FB">
        <w:rPr>
          <w:rFonts w:ascii="Times New Roman" w:hAnsi="Times New Roman" w:cs="Times New Roman"/>
        </w:rPr>
        <w:t xml:space="preserve">S </w:t>
      </w:r>
      <w:r w:rsidR="008C68D4">
        <w:rPr>
          <w:rFonts w:ascii="Times New Roman" w:hAnsi="Times New Roman" w:cs="Times New Roman"/>
        </w:rPr>
        <w:t>sectors</w:t>
      </w:r>
      <w:r w:rsidR="003C12CF">
        <w:rPr>
          <w:rFonts w:ascii="Times New Roman" w:hAnsi="Times New Roman" w:cs="Times New Roman"/>
        </w:rPr>
        <w:t xml:space="preserve">, </w:t>
      </w:r>
      <w:r w:rsidR="00861009">
        <w:rPr>
          <w:rFonts w:ascii="Times New Roman" w:hAnsi="Times New Roman" w:cs="Times New Roman"/>
        </w:rPr>
        <w:t>the sectors</w:t>
      </w:r>
      <w:r w:rsidR="003C12CF">
        <w:rPr>
          <w:rFonts w:ascii="Times New Roman" w:hAnsi="Times New Roman" w:cs="Times New Roman"/>
        </w:rPr>
        <w:t xml:space="preserve"> </w:t>
      </w:r>
      <w:r w:rsidR="00301016">
        <w:rPr>
          <w:rFonts w:ascii="Times New Roman" w:hAnsi="Times New Roman" w:cs="Times New Roman"/>
        </w:rPr>
        <w:t>expected to be most affected by the rule</w:t>
      </w:r>
      <w:r w:rsidR="006505FB">
        <w:rPr>
          <w:rFonts w:ascii="Times New Roman" w:hAnsi="Times New Roman" w:cs="Times New Roman"/>
        </w:rPr>
        <w:t xml:space="preserve">. </w:t>
      </w:r>
      <w:r w:rsidR="00010E7C">
        <w:rPr>
          <w:rFonts w:ascii="Times New Roman" w:hAnsi="Times New Roman" w:cs="Times New Roman"/>
        </w:rPr>
        <w:t xml:space="preserve">All </w:t>
      </w:r>
      <w:r w:rsidR="0050227F">
        <w:rPr>
          <w:rFonts w:ascii="Times New Roman" w:hAnsi="Times New Roman" w:cs="Times New Roman"/>
        </w:rPr>
        <w:t>nominal</w:t>
      </w:r>
      <w:r w:rsidR="00010E7C">
        <w:rPr>
          <w:rFonts w:ascii="Times New Roman" w:hAnsi="Times New Roman" w:cs="Times New Roman"/>
        </w:rPr>
        <w:t xml:space="preserve"> </w:t>
      </w:r>
      <w:r w:rsidR="00BC428A">
        <w:rPr>
          <w:rFonts w:ascii="Times New Roman" w:hAnsi="Times New Roman" w:cs="Times New Roman"/>
        </w:rPr>
        <w:t>dollar amounts have been adjusted for inflation to 2022 dollars</w:t>
      </w:r>
      <w:r w:rsidR="006505FB">
        <w:rPr>
          <w:rFonts w:ascii="Times New Roman" w:hAnsi="Times New Roman" w:cs="Times New Roman"/>
        </w:rPr>
        <w:t xml:space="preserve"> </w:t>
      </w:r>
      <w:r w:rsidR="0050227F">
        <w:rPr>
          <w:rFonts w:ascii="Times New Roman" w:hAnsi="Times New Roman" w:cs="Times New Roman"/>
        </w:rPr>
        <w:t>using BEA’s GDP price deflator.</w:t>
      </w:r>
      <w:r w:rsidR="006505FB">
        <w:rPr>
          <w:rFonts w:ascii="Times New Roman" w:hAnsi="Times New Roman" w:cs="Times New Roman"/>
        </w:rPr>
        <w:t xml:space="preserve"> </w:t>
      </w:r>
      <w:r w:rsidR="006E1EDF">
        <w:rPr>
          <w:rFonts w:ascii="Times New Roman" w:hAnsi="Times New Roman" w:cs="Times New Roman"/>
        </w:rPr>
        <w:t xml:space="preserve">Data on the number of employees for each </w:t>
      </w:r>
      <w:r w:rsidR="008C68D4">
        <w:rPr>
          <w:rFonts w:ascii="Times New Roman" w:hAnsi="Times New Roman" w:cs="Times New Roman"/>
        </w:rPr>
        <w:t>sector</w:t>
      </w:r>
      <w:r w:rsidR="006E1EDF">
        <w:rPr>
          <w:rFonts w:ascii="Times New Roman" w:hAnsi="Times New Roman" w:cs="Times New Roman"/>
        </w:rPr>
        <w:t xml:space="preserve"> </w:t>
      </w:r>
      <w:r w:rsidR="00183F0C">
        <w:rPr>
          <w:rFonts w:ascii="Times New Roman" w:hAnsi="Times New Roman" w:cs="Times New Roman"/>
        </w:rPr>
        <w:t>came</w:t>
      </w:r>
      <w:r w:rsidR="006E1EDF">
        <w:rPr>
          <w:rFonts w:ascii="Times New Roman" w:hAnsi="Times New Roman" w:cs="Times New Roman"/>
        </w:rPr>
        <w:t xml:space="preserve"> from the C</w:t>
      </w:r>
      <w:r w:rsidR="00B0736B">
        <w:rPr>
          <w:rFonts w:ascii="Times New Roman" w:hAnsi="Times New Roman" w:cs="Times New Roman"/>
        </w:rPr>
        <w:t xml:space="preserve">ounty Business Patterns (CBP) for the years 2016 through 2020. </w:t>
      </w:r>
      <w:r w:rsidR="00AB1208">
        <w:rPr>
          <w:rFonts w:ascii="Times New Roman" w:hAnsi="Times New Roman" w:cs="Times New Roman"/>
        </w:rPr>
        <w:t>The</w:t>
      </w:r>
      <w:r w:rsidR="0043084E">
        <w:rPr>
          <w:rFonts w:ascii="Times New Roman" w:hAnsi="Times New Roman" w:cs="Times New Roman"/>
        </w:rPr>
        <w:t xml:space="preserve"> 324 </w:t>
      </w:r>
      <w:r w:rsidR="0029304B">
        <w:rPr>
          <w:rFonts w:ascii="Times New Roman" w:hAnsi="Times New Roman" w:cs="Times New Roman"/>
        </w:rPr>
        <w:t>NAICS</w:t>
      </w:r>
      <w:r w:rsidR="0043084E">
        <w:rPr>
          <w:rFonts w:ascii="Times New Roman" w:hAnsi="Times New Roman" w:cs="Times New Roman"/>
        </w:rPr>
        <w:t xml:space="preserve"> </w:t>
      </w:r>
      <w:r w:rsidR="008C68D4">
        <w:rPr>
          <w:rFonts w:ascii="Times New Roman" w:hAnsi="Times New Roman" w:cs="Times New Roman"/>
        </w:rPr>
        <w:t>sector</w:t>
      </w:r>
      <w:r w:rsidR="0043084E">
        <w:rPr>
          <w:rFonts w:ascii="Times New Roman" w:hAnsi="Times New Roman" w:cs="Times New Roman"/>
        </w:rPr>
        <w:t xml:space="preserve"> </w:t>
      </w:r>
      <w:r w:rsidR="003F5366">
        <w:rPr>
          <w:rFonts w:ascii="Times New Roman" w:hAnsi="Times New Roman" w:cs="Times New Roman"/>
        </w:rPr>
        <w:t>employed</w:t>
      </w:r>
      <w:r w:rsidR="0043084E">
        <w:rPr>
          <w:rFonts w:ascii="Times New Roman" w:hAnsi="Times New Roman" w:cs="Times New Roman"/>
        </w:rPr>
        <w:t xml:space="preserve"> </w:t>
      </w:r>
      <w:r w:rsidR="00D65560">
        <w:rPr>
          <w:rFonts w:ascii="Times New Roman" w:hAnsi="Times New Roman" w:cs="Times New Roman"/>
        </w:rPr>
        <w:t>an average of</w:t>
      </w:r>
      <w:r w:rsidR="00063479">
        <w:rPr>
          <w:rFonts w:ascii="Times New Roman" w:hAnsi="Times New Roman" w:cs="Times New Roman"/>
        </w:rPr>
        <w:t xml:space="preserve"> approximately</w:t>
      </w:r>
      <w:r w:rsidR="0043084E">
        <w:rPr>
          <w:rFonts w:ascii="Times New Roman" w:hAnsi="Times New Roman" w:cs="Times New Roman"/>
        </w:rPr>
        <w:t xml:space="preserve"> 107,000</w:t>
      </w:r>
      <w:r w:rsidR="00F84CA2">
        <w:rPr>
          <w:rFonts w:ascii="Times New Roman" w:hAnsi="Times New Roman" w:cs="Times New Roman"/>
        </w:rPr>
        <w:t xml:space="preserve"> workers</w:t>
      </w:r>
      <w:r w:rsidR="001A0B9A">
        <w:rPr>
          <w:rFonts w:ascii="Times New Roman" w:hAnsi="Times New Roman" w:cs="Times New Roman"/>
        </w:rPr>
        <w:t xml:space="preserve"> over this time period</w:t>
      </w:r>
      <w:r w:rsidR="00F84CA2">
        <w:rPr>
          <w:rFonts w:ascii="Times New Roman" w:hAnsi="Times New Roman" w:cs="Times New Roman"/>
        </w:rPr>
        <w:t xml:space="preserve">, while </w:t>
      </w:r>
      <w:r w:rsidR="003F5366">
        <w:rPr>
          <w:rFonts w:ascii="Times New Roman" w:hAnsi="Times New Roman" w:cs="Times New Roman"/>
        </w:rPr>
        <w:t>the</w:t>
      </w:r>
      <w:r w:rsidR="00F84CA2">
        <w:rPr>
          <w:rFonts w:ascii="Times New Roman" w:hAnsi="Times New Roman" w:cs="Times New Roman"/>
        </w:rPr>
        <w:t xml:space="preserve"> 325</w:t>
      </w:r>
      <w:r w:rsidR="003F5366">
        <w:rPr>
          <w:rFonts w:ascii="Times New Roman" w:hAnsi="Times New Roman" w:cs="Times New Roman"/>
        </w:rPr>
        <w:t xml:space="preserve"> </w:t>
      </w:r>
      <w:r w:rsidR="0029304B">
        <w:rPr>
          <w:rFonts w:ascii="Times New Roman" w:hAnsi="Times New Roman" w:cs="Times New Roman"/>
        </w:rPr>
        <w:t>NAICS</w:t>
      </w:r>
      <w:r w:rsidR="00F84CA2">
        <w:rPr>
          <w:rFonts w:ascii="Times New Roman" w:hAnsi="Times New Roman" w:cs="Times New Roman"/>
        </w:rPr>
        <w:t xml:space="preserve"> </w:t>
      </w:r>
      <w:r w:rsidR="008C68D4">
        <w:rPr>
          <w:rFonts w:ascii="Times New Roman" w:hAnsi="Times New Roman" w:cs="Times New Roman"/>
        </w:rPr>
        <w:t>sector</w:t>
      </w:r>
      <w:r w:rsidR="00F84CA2">
        <w:rPr>
          <w:rFonts w:ascii="Times New Roman" w:hAnsi="Times New Roman" w:cs="Times New Roman"/>
        </w:rPr>
        <w:t xml:space="preserve"> </w:t>
      </w:r>
      <w:r w:rsidR="003F5366">
        <w:rPr>
          <w:rFonts w:ascii="Times New Roman" w:hAnsi="Times New Roman" w:cs="Times New Roman"/>
        </w:rPr>
        <w:t>employed an</w:t>
      </w:r>
      <w:r w:rsidR="00F84CA2">
        <w:rPr>
          <w:rFonts w:ascii="Times New Roman" w:hAnsi="Times New Roman" w:cs="Times New Roman"/>
        </w:rPr>
        <w:t xml:space="preserve"> </w:t>
      </w:r>
      <w:r w:rsidR="0029304B">
        <w:rPr>
          <w:rFonts w:ascii="Times New Roman" w:hAnsi="Times New Roman" w:cs="Times New Roman"/>
        </w:rPr>
        <w:t xml:space="preserve">average </w:t>
      </w:r>
      <w:r w:rsidR="003F5366">
        <w:rPr>
          <w:rFonts w:ascii="Times New Roman" w:hAnsi="Times New Roman" w:cs="Times New Roman"/>
        </w:rPr>
        <w:t xml:space="preserve">of </w:t>
      </w:r>
      <w:r w:rsidR="00FD3447">
        <w:rPr>
          <w:rFonts w:ascii="Times New Roman" w:hAnsi="Times New Roman" w:cs="Times New Roman"/>
        </w:rPr>
        <w:t>approximately</w:t>
      </w:r>
      <w:r w:rsidR="00F84CA2">
        <w:rPr>
          <w:rFonts w:ascii="Times New Roman" w:hAnsi="Times New Roman" w:cs="Times New Roman"/>
        </w:rPr>
        <w:t xml:space="preserve"> 800,000. Over the</w:t>
      </w:r>
      <w:r w:rsidR="00377982">
        <w:rPr>
          <w:rFonts w:ascii="Times New Roman" w:hAnsi="Times New Roman" w:cs="Times New Roman"/>
        </w:rPr>
        <w:t>se</w:t>
      </w:r>
      <w:r w:rsidR="00F84CA2">
        <w:rPr>
          <w:rFonts w:ascii="Times New Roman" w:hAnsi="Times New Roman" w:cs="Times New Roman"/>
        </w:rPr>
        <w:t xml:space="preserve"> five years, </w:t>
      </w:r>
      <w:r w:rsidR="003F5366">
        <w:rPr>
          <w:rFonts w:ascii="Times New Roman" w:hAnsi="Times New Roman" w:cs="Times New Roman"/>
        </w:rPr>
        <w:t>the</w:t>
      </w:r>
      <w:r w:rsidR="004D01ED">
        <w:rPr>
          <w:rFonts w:ascii="Times New Roman" w:hAnsi="Times New Roman" w:cs="Times New Roman"/>
        </w:rPr>
        <w:t xml:space="preserve"> </w:t>
      </w:r>
      <w:r w:rsidR="00F84CA2">
        <w:rPr>
          <w:rFonts w:ascii="Times New Roman" w:hAnsi="Times New Roman" w:cs="Times New Roman"/>
        </w:rPr>
        <w:t xml:space="preserve">324 </w:t>
      </w:r>
      <w:r w:rsidR="004D01ED">
        <w:rPr>
          <w:rFonts w:ascii="Times New Roman" w:hAnsi="Times New Roman" w:cs="Times New Roman"/>
        </w:rPr>
        <w:t xml:space="preserve">NAICS </w:t>
      </w:r>
      <w:r w:rsidR="008C68D4">
        <w:rPr>
          <w:rFonts w:ascii="Times New Roman" w:hAnsi="Times New Roman" w:cs="Times New Roman"/>
        </w:rPr>
        <w:t>sector</w:t>
      </w:r>
      <w:r w:rsidR="00F84CA2">
        <w:rPr>
          <w:rFonts w:ascii="Times New Roman" w:hAnsi="Times New Roman" w:cs="Times New Roman"/>
        </w:rPr>
        <w:t xml:space="preserve"> </w:t>
      </w:r>
      <w:r w:rsidR="00160C29">
        <w:rPr>
          <w:rFonts w:ascii="Times New Roman" w:hAnsi="Times New Roman" w:cs="Times New Roman"/>
        </w:rPr>
        <w:t>employment increased</w:t>
      </w:r>
      <w:r w:rsidR="0029062C">
        <w:rPr>
          <w:rFonts w:ascii="Times New Roman" w:hAnsi="Times New Roman" w:cs="Times New Roman"/>
        </w:rPr>
        <w:t xml:space="preserve"> 6.7 </w:t>
      </w:r>
      <w:r w:rsidR="00FB20D6">
        <w:rPr>
          <w:rFonts w:ascii="Times New Roman" w:hAnsi="Times New Roman" w:cs="Times New Roman"/>
        </w:rPr>
        <w:t>percent</w:t>
      </w:r>
      <w:r w:rsidR="0029062C">
        <w:rPr>
          <w:rFonts w:ascii="Times New Roman" w:hAnsi="Times New Roman" w:cs="Times New Roman"/>
        </w:rPr>
        <w:t xml:space="preserve">, while </w:t>
      </w:r>
      <w:r w:rsidR="003F5366">
        <w:rPr>
          <w:rFonts w:ascii="Times New Roman" w:hAnsi="Times New Roman" w:cs="Times New Roman"/>
        </w:rPr>
        <w:t>the</w:t>
      </w:r>
      <w:r w:rsidR="0029062C">
        <w:rPr>
          <w:rFonts w:ascii="Times New Roman" w:hAnsi="Times New Roman" w:cs="Times New Roman"/>
        </w:rPr>
        <w:t xml:space="preserve"> 325 </w:t>
      </w:r>
      <w:r w:rsidR="00160C29">
        <w:rPr>
          <w:rFonts w:ascii="Times New Roman" w:hAnsi="Times New Roman" w:cs="Times New Roman"/>
        </w:rPr>
        <w:t>NAICS</w:t>
      </w:r>
      <w:r w:rsidR="0029062C">
        <w:rPr>
          <w:rFonts w:ascii="Times New Roman" w:hAnsi="Times New Roman" w:cs="Times New Roman"/>
        </w:rPr>
        <w:t xml:space="preserve"> </w:t>
      </w:r>
      <w:r w:rsidR="008C68D4">
        <w:rPr>
          <w:rFonts w:ascii="Times New Roman" w:hAnsi="Times New Roman" w:cs="Times New Roman"/>
        </w:rPr>
        <w:t>sector</w:t>
      </w:r>
      <w:r w:rsidR="0029062C">
        <w:rPr>
          <w:rFonts w:ascii="Times New Roman" w:hAnsi="Times New Roman" w:cs="Times New Roman"/>
        </w:rPr>
        <w:t xml:space="preserve"> </w:t>
      </w:r>
      <w:r w:rsidR="00160C29">
        <w:rPr>
          <w:rFonts w:ascii="Times New Roman" w:hAnsi="Times New Roman" w:cs="Times New Roman"/>
        </w:rPr>
        <w:t xml:space="preserve">employment </w:t>
      </w:r>
      <w:r w:rsidR="00815A54">
        <w:rPr>
          <w:rFonts w:ascii="Times New Roman" w:hAnsi="Times New Roman" w:cs="Times New Roman"/>
        </w:rPr>
        <w:t>increased</w:t>
      </w:r>
      <w:r w:rsidR="0029062C">
        <w:rPr>
          <w:rFonts w:ascii="Times New Roman" w:hAnsi="Times New Roman" w:cs="Times New Roman"/>
        </w:rPr>
        <w:t xml:space="preserve"> </w:t>
      </w:r>
      <w:r w:rsidR="00FB20D6">
        <w:rPr>
          <w:rFonts w:ascii="Times New Roman" w:hAnsi="Times New Roman" w:cs="Times New Roman"/>
        </w:rPr>
        <w:t xml:space="preserve">8.8 percent. </w:t>
      </w:r>
      <w:r w:rsidR="00901BB9">
        <w:rPr>
          <w:rFonts w:ascii="Times New Roman" w:hAnsi="Times New Roman" w:cs="Times New Roman"/>
        </w:rPr>
        <w:t>Data</w:t>
      </w:r>
      <w:r w:rsidR="001B449B">
        <w:rPr>
          <w:rFonts w:ascii="Times New Roman" w:hAnsi="Times New Roman" w:cs="Times New Roman"/>
        </w:rPr>
        <w:t xml:space="preserve"> collected</w:t>
      </w:r>
      <w:r w:rsidR="00FD39B3">
        <w:rPr>
          <w:rFonts w:ascii="Times New Roman" w:hAnsi="Times New Roman" w:cs="Times New Roman"/>
        </w:rPr>
        <w:t xml:space="preserve"> </w:t>
      </w:r>
      <w:r w:rsidR="006D482C">
        <w:rPr>
          <w:rFonts w:ascii="Times New Roman" w:hAnsi="Times New Roman" w:cs="Times New Roman"/>
        </w:rPr>
        <w:t xml:space="preserve">from </w:t>
      </w:r>
      <w:r w:rsidR="001B449B">
        <w:rPr>
          <w:rFonts w:ascii="Times New Roman" w:hAnsi="Times New Roman" w:cs="Times New Roman"/>
        </w:rPr>
        <w:t xml:space="preserve">the </w:t>
      </w:r>
      <w:r w:rsidR="0023717C">
        <w:rPr>
          <w:rFonts w:ascii="Times New Roman" w:hAnsi="Times New Roman" w:cs="Times New Roman"/>
        </w:rPr>
        <w:t>BLS</w:t>
      </w:r>
      <w:r w:rsidR="006D482C">
        <w:rPr>
          <w:rFonts w:ascii="Times New Roman" w:hAnsi="Times New Roman" w:cs="Times New Roman"/>
        </w:rPr>
        <w:t xml:space="preserve"> </w:t>
      </w:r>
      <w:r w:rsidR="00536A07">
        <w:rPr>
          <w:rFonts w:ascii="Times New Roman" w:hAnsi="Times New Roman" w:cs="Times New Roman"/>
        </w:rPr>
        <w:t>OEWS</w:t>
      </w:r>
      <w:r w:rsidR="006D482C">
        <w:rPr>
          <w:rFonts w:ascii="Times New Roman" w:hAnsi="Times New Roman" w:cs="Times New Roman"/>
        </w:rPr>
        <w:t xml:space="preserve"> </w:t>
      </w:r>
      <w:r w:rsidR="001B449B">
        <w:rPr>
          <w:rFonts w:ascii="Times New Roman" w:hAnsi="Times New Roman" w:cs="Times New Roman"/>
        </w:rPr>
        <w:t xml:space="preserve">for the 324 and 325 </w:t>
      </w:r>
      <w:r w:rsidR="003F5366">
        <w:rPr>
          <w:rFonts w:ascii="Times New Roman" w:hAnsi="Times New Roman" w:cs="Times New Roman"/>
        </w:rPr>
        <w:t>NAICS</w:t>
      </w:r>
      <w:r w:rsidR="001B449B">
        <w:rPr>
          <w:rFonts w:ascii="Times New Roman" w:hAnsi="Times New Roman" w:cs="Times New Roman"/>
        </w:rPr>
        <w:t xml:space="preserve"> </w:t>
      </w:r>
      <w:r w:rsidR="008C68D4">
        <w:rPr>
          <w:rFonts w:ascii="Times New Roman" w:hAnsi="Times New Roman" w:cs="Times New Roman"/>
        </w:rPr>
        <w:t>sectors</w:t>
      </w:r>
      <w:r w:rsidR="00FD39B3">
        <w:rPr>
          <w:rFonts w:ascii="Times New Roman" w:hAnsi="Times New Roman" w:cs="Times New Roman"/>
        </w:rPr>
        <w:t xml:space="preserve"> </w:t>
      </w:r>
      <w:r w:rsidR="00843420">
        <w:rPr>
          <w:rFonts w:ascii="Times New Roman" w:hAnsi="Times New Roman" w:cs="Times New Roman"/>
        </w:rPr>
        <w:t xml:space="preserve">shows that average wages for each </w:t>
      </w:r>
      <w:r w:rsidR="008C68D4">
        <w:rPr>
          <w:rFonts w:ascii="Times New Roman" w:hAnsi="Times New Roman" w:cs="Times New Roman"/>
        </w:rPr>
        <w:t>sector</w:t>
      </w:r>
      <w:r w:rsidR="00843420">
        <w:rPr>
          <w:rFonts w:ascii="Times New Roman" w:hAnsi="Times New Roman" w:cs="Times New Roman"/>
        </w:rPr>
        <w:t xml:space="preserve"> </w:t>
      </w:r>
      <w:r w:rsidR="00C0798F">
        <w:rPr>
          <w:rFonts w:ascii="Times New Roman" w:hAnsi="Times New Roman" w:cs="Times New Roman"/>
        </w:rPr>
        <w:t>were</w:t>
      </w:r>
      <w:r w:rsidR="00EF3770">
        <w:rPr>
          <w:rFonts w:ascii="Times New Roman" w:hAnsi="Times New Roman" w:cs="Times New Roman"/>
        </w:rPr>
        <w:t xml:space="preserve"> </w:t>
      </w:r>
      <w:r w:rsidR="00FD39B3">
        <w:rPr>
          <w:rFonts w:ascii="Times New Roman" w:hAnsi="Times New Roman" w:cs="Times New Roman"/>
        </w:rPr>
        <w:t>$</w:t>
      </w:r>
      <w:r w:rsidR="0050227F">
        <w:rPr>
          <w:rFonts w:ascii="Times New Roman" w:hAnsi="Times New Roman" w:cs="Times New Roman"/>
        </w:rPr>
        <w:t>89,830</w:t>
      </w:r>
      <w:r w:rsidR="00FD39B3">
        <w:rPr>
          <w:rFonts w:ascii="Times New Roman" w:hAnsi="Times New Roman" w:cs="Times New Roman"/>
        </w:rPr>
        <w:t xml:space="preserve"> and $</w:t>
      </w:r>
      <w:r w:rsidR="0050227F">
        <w:rPr>
          <w:rFonts w:ascii="Times New Roman" w:hAnsi="Times New Roman" w:cs="Times New Roman"/>
        </w:rPr>
        <w:t>78,070</w:t>
      </w:r>
      <w:r w:rsidR="00F246C7">
        <w:rPr>
          <w:rFonts w:ascii="Times New Roman" w:hAnsi="Times New Roman" w:cs="Times New Roman"/>
        </w:rPr>
        <w:t xml:space="preserve"> in 2020</w:t>
      </w:r>
      <w:r w:rsidR="0050227F">
        <w:rPr>
          <w:rFonts w:ascii="Times New Roman" w:hAnsi="Times New Roman" w:cs="Times New Roman"/>
        </w:rPr>
        <w:t xml:space="preserve"> compared to</w:t>
      </w:r>
      <w:r w:rsidR="008C68D4">
        <w:rPr>
          <w:rFonts w:ascii="Times New Roman" w:hAnsi="Times New Roman" w:cs="Times New Roman"/>
        </w:rPr>
        <w:t xml:space="preserve"> </w:t>
      </w:r>
      <w:r w:rsidR="00C0798F">
        <w:rPr>
          <w:rFonts w:ascii="Times New Roman" w:hAnsi="Times New Roman" w:cs="Times New Roman"/>
        </w:rPr>
        <w:t>$</w:t>
      </w:r>
      <w:r w:rsidR="0050227F">
        <w:rPr>
          <w:rFonts w:ascii="Times New Roman" w:hAnsi="Times New Roman" w:cs="Times New Roman"/>
        </w:rPr>
        <w:t>86,</w:t>
      </w:r>
      <w:r w:rsidRPr="00736E54" w:rsidR="0050227F">
        <w:rPr>
          <w:rFonts w:ascii="Times New Roman" w:hAnsi="Times New Roman" w:cs="Times New Roman"/>
        </w:rPr>
        <w:t>291</w:t>
      </w:r>
      <w:r w:rsidRPr="00736E54" w:rsidR="00013173">
        <w:rPr>
          <w:rFonts w:ascii="Times New Roman" w:hAnsi="Times New Roman" w:cs="Times New Roman"/>
        </w:rPr>
        <w:t xml:space="preserve"> </w:t>
      </w:r>
      <w:r w:rsidRPr="00736E54" w:rsidR="00C0798F">
        <w:rPr>
          <w:rFonts w:ascii="Times New Roman" w:hAnsi="Times New Roman" w:cs="Times New Roman"/>
        </w:rPr>
        <w:t>and</w:t>
      </w:r>
      <w:r w:rsidR="00C0798F">
        <w:rPr>
          <w:rFonts w:ascii="Times New Roman" w:hAnsi="Times New Roman" w:cs="Times New Roman"/>
        </w:rPr>
        <w:t xml:space="preserve"> $</w:t>
      </w:r>
      <w:r w:rsidR="0050227F">
        <w:rPr>
          <w:rFonts w:ascii="Times New Roman" w:hAnsi="Times New Roman" w:cs="Times New Roman"/>
        </w:rPr>
        <w:t>77,178</w:t>
      </w:r>
      <w:r w:rsidR="00F246C7">
        <w:rPr>
          <w:rFonts w:ascii="Times New Roman" w:hAnsi="Times New Roman" w:cs="Times New Roman"/>
        </w:rPr>
        <w:t xml:space="preserve"> in 2016</w:t>
      </w:r>
      <w:r w:rsidR="00C0798F">
        <w:rPr>
          <w:rFonts w:ascii="Times New Roman" w:hAnsi="Times New Roman" w:cs="Times New Roman"/>
        </w:rPr>
        <w:t>, respectively</w:t>
      </w:r>
      <w:r w:rsidR="00FD39B3">
        <w:rPr>
          <w:rFonts w:ascii="Times New Roman" w:hAnsi="Times New Roman" w:cs="Times New Roman"/>
        </w:rPr>
        <w:t xml:space="preserve">. </w:t>
      </w:r>
      <w:r w:rsidR="00EF3770">
        <w:rPr>
          <w:rFonts w:ascii="Times New Roman" w:hAnsi="Times New Roman" w:cs="Times New Roman"/>
        </w:rPr>
        <w:t>On the other hand</w:t>
      </w:r>
      <w:r w:rsidR="00230E00">
        <w:rPr>
          <w:rFonts w:ascii="Times New Roman" w:hAnsi="Times New Roman" w:cs="Times New Roman"/>
        </w:rPr>
        <w:t>,</w:t>
      </w:r>
      <w:r w:rsidR="003115C6">
        <w:rPr>
          <w:rFonts w:ascii="Times New Roman" w:hAnsi="Times New Roman" w:cs="Times New Roman"/>
        </w:rPr>
        <w:t xml:space="preserve"> likely </w:t>
      </w:r>
      <w:r w:rsidR="00FD7BC5">
        <w:rPr>
          <w:rFonts w:ascii="Times New Roman" w:hAnsi="Times New Roman" w:cs="Times New Roman"/>
        </w:rPr>
        <w:t>heavily</w:t>
      </w:r>
      <w:r w:rsidR="003115C6">
        <w:rPr>
          <w:rFonts w:ascii="Times New Roman" w:hAnsi="Times New Roman" w:cs="Times New Roman"/>
        </w:rPr>
        <w:t xml:space="preserve"> influenced by the Covid 19 pandemic, </w:t>
      </w:r>
      <w:r w:rsidR="00FA2244">
        <w:rPr>
          <w:rFonts w:ascii="Times New Roman" w:hAnsi="Times New Roman" w:cs="Times New Roman"/>
        </w:rPr>
        <w:t xml:space="preserve">the Annual Survey of Manufacturers </w:t>
      </w:r>
      <w:r w:rsidR="00D54610">
        <w:rPr>
          <w:rFonts w:ascii="Times New Roman" w:hAnsi="Times New Roman" w:cs="Times New Roman"/>
        </w:rPr>
        <w:t>(ASM)</w:t>
      </w:r>
      <w:r w:rsidR="00FA2244">
        <w:rPr>
          <w:rFonts w:ascii="Times New Roman" w:hAnsi="Times New Roman" w:cs="Times New Roman"/>
        </w:rPr>
        <w:t xml:space="preserve"> reported</w:t>
      </w:r>
      <w:r w:rsidR="00A155A2">
        <w:rPr>
          <w:rFonts w:ascii="Times New Roman" w:hAnsi="Times New Roman" w:cs="Times New Roman"/>
        </w:rPr>
        <w:t xml:space="preserve"> revenue </w:t>
      </w:r>
      <w:r w:rsidR="00E174E5">
        <w:rPr>
          <w:rFonts w:ascii="Times New Roman" w:hAnsi="Times New Roman" w:cs="Times New Roman"/>
        </w:rPr>
        <w:t>declined</w:t>
      </w:r>
      <w:r w:rsidR="00F81099">
        <w:rPr>
          <w:rFonts w:ascii="Times New Roman" w:hAnsi="Times New Roman" w:cs="Times New Roman"/>
        </w:rPr>
        <w:t xml:space="preserve"> from 2018 through 2020 to</w:t>
      </w:r>
      <w:r w:rsidR="00FA2244">
        <w:rPr>
          <w:rFonts w:ascii="Times New Roman" w:hAnsi="Times New Roman" w:cs="Times New Roman"/>
        </w:rPr>
        <w:t xml:space="preserve"> $</w:t>
      </w:r>
      <w:r w:rsidR="00E17098">
        <w:rPr>
          <w:rFonts w:ascii="Times New Roman" w:hAnsi="Times New Roman" w:cs="Times New Roman"/>
        </w:rPr>
        <w:t>4</w:t>
      </w:r>
      <w:r w:rsidR="00307FB9">
        <w:rPr>
          <w:rFonts w:ascii="Times New Roman" w:hAnsi="Times New Roman" w:cs="Times New Roman"/>
        </w:rPr>
        <w:t>07.3</w:t>
      </w:r>
      <w:r w:rsidR="00FA2244">
        <w:rPr>
          <w:rFonts w:ascii="Times New Roman" w:hAnsi="Times New Roman" w:cs="Times New Roman"/>
        </w:rPr>
        <w:t xml:space="preserve"> billion </w:t>
      </w:r>
      <w:r w:rsidR="00AD04EE">
        <w:rPr>
          <w:rFonts w:ascii="Times New Roman" w:hAnsi="Times New Roman" w:cs="Times New Roman"/>
        </w:rPr>
        <w:t xml:space="preserve">for NAICS </w:t>
      </w:r>
      <w:r w:rsidR="00BF2372">
        <w:rPr>
          <w:rFonts w:ascii="Times New Roman" w:hAnsi="Times New Roman" w:cs="Times New Roman"/>
        </w:rPr>
        <w:t>324</w:t>
      </w:r>
      <w:r w:rsidR="00FA2244">
        <w:rPr>
          <w:rFonts w:ascii="Times New Roman" w:hAnsi="Times New Roman" w:cs="Times New Roman"/>
        </w:rPr>
        <w:t xml:space="preserve"> and $</w:t>
      </w:r>
      <w:r w:rsidR="00307FB9">
        <w:rPr>
          <w:rFonts w:ascii="Times New Roman" w:hAnsi="Times New Roman" w:cs="Times New Roman"/>
        </w:rPr>
        <w:t>788.0</w:t>
      </w:r>
      <w:r w:rsidR="00FA2244">
        <w:rPr>
          <w:rFonts w:ascii="Times New Roman" w:hAnsi="Times New Roman" w:cs="Times New Roman"/>
        </w:rPr>
        <w:t xml:space="preserve"> billion </w:t>
      </w:r>
      <w:r w:rsidR="00147D98">
        <w:rPr>
          <w:rFonts w:ascii="Times New Roman" w:hAnsi="Times New Roman" w:cs="Times New Roman"/>
        </w:rPr>
        <w:t xml:space="preserve">for </w:t>
      </w:r>
      <w:r w:rsidR="007D18A4">
        <w:rPr>
          <w:rFonts w:ascii="Times New Roman" w:hAnsi="Times New Roman" w:cs="Times New Roman"/>
        </w:rPr>
        <w:t>NAICS 325</w:t>
      </w:r>
      <w:r w:rsidR="00FA2244">
        <w:rPr>
          <w:rFonts w:ascii="Times New Roman" w:hAnsi="Times New Roman" w:cs="Times New Roman"/>
        </w:rPr>
        <w:t>.</w:t>
      </w:r>
      <w:r>
        <w:rPr>
          <w:rStyle w:val="FootnoteReference"/>
          <w:rFonts w:ascii="Times New Roman" w:hAnsi="Times New Roman" w:cs="Times New Roman"/>
        </w:rPr>
        <w:footnoteReference w:id="202"/>
      </w:r>
      <w:r w:rsidR="001130C4">
        <w:rPr>
          <w:rFonts w:ascii="Times New Roman" w:hAnsi="Times New Roman" w:cs="Times New Roman"/>
        </w:rPr>
        <w:t xml:space="preserve"> Revenue figures typically </w:t>
      </w:r>
      <w:r w:rsidR="00F0466B">
        <w:rPr>
          <w:rFonts w:ascii="Times New Roman" w:hAnsi="Times New Roman" w:cs="Times New Roman"/>
        </w:rPr>
        <w:t>exceed</w:t>
      </w:r>
      <w:r w:rsidR="001130C4">
        <w:rPr>
          <w:rFonts w:ascii="Times New Roman" w:hAnsi="Times New Roman" w:cs="Times New Roman"/>
        </w:rPr>
        <w:t xml:space="preserve"> $</w:t>
      </w:r>
      <w:r w:rsidR="009A045F">
        <w:rPr>
          <w:rFonts w:ascii="Times New Roman" w:hAnsi="Times New Roman" w:cs="Times New Roman"/>
        </w:rPr>
        <w:t>700</w:t>
      </w:r>
      <w:r w:rsidR="001130C4">
        <w:rPr>
          <w:rFonts w:ascii="Times New Roman" w:hAnsi="Times New Roman" w:cs="Times New Roman"/>
        </w:rPr>
        <w:t xml:space="preserve"> billion and $</w:t>
      </w:r>
      <w:r w:rsidR="009A045F">
        <w:rPr>
          <w:rFonts w:ascii="Times New Roman" w:hAnsi="Times New Roman" w:cs="Times New Roman"/>
        </w:rPr>
        <w:t>8</w:t>
      </w:r>
      <w:r w:rsidR="009303D1">
        <w:rPr>
          <w:rFonts w:ascii="Times New Roman" w:hAnsi="Times New Roman" w:cs="Times New Roman"/>
        </w:rPr>
        <w:t>0</w:t>
      </w:r>
      <w:r w:rsidR="009A045F">
        <w:rPr>
          <w:rFonts w:ascii="Times New Roman" w:hAnsi="Times New Roman" w:cs="Times New Roman"/>
        </w:rPr>
        <w:t>0</w:t>
      </w:r>
      <w:r w:rsidR="001130C4">
        <w:rPr>
          <w:rFonts w:ascii="Times New Roman" w:hAnsi="Times New Roman" w:cs="Times New Roman"/>
        </w:rPr>
        <w:t xml:space="preserve"> billion for each </w:t>
      </w:r>
      <w:r w:rsidR="008C68D4">
        <w:rPr>
          <w:rFonts w:ascii="Times New Roman" w:hAnsi="Times New Roman" w:cs="Times New Roman"/>
        </w:rPr>
        <w:t>sector</w:t>
      </w:r>
      <w:r w:rsidR="00F27DB8">
        <w:rPr>
          <w:rFonts w:ascii="Times New Roman" w:hAnsi="Times New Roman" w:cs="Times New Roman"/>
        </w:rPr>
        <w:t>,</w:t>
      </w:r>
      <w:r w:rsidR="001130C4">
        <w:rPr>
          <w:rFonts w:ascii="Times New Roman" w:hAnsi="Times New Roman" w:cs="Times New Roman"/>
        </w:rPr>
        <w:t xml:space="preserve"> respectively.</w:t>
      </w:r>
      <w:r w:rsidR="00FA2244">
        <w:rPr>
          <w:rFonts w:ascii="Times New Roman" w:hAnsi="Times New Roman" w:cs="Times New Roman"/>
        </w:rPr>
        <w:t xml:space="preserve"> Labor productivity, calculated as revenue per employee</w:t>
      </w:r>
      <w:r w:rsidR="001130C4">
        <w:rPr>
          <w:rFonts w:ascii="Times New Roman" w:hAnsi="Times New Roman" w:cs="Times New Roman"/>
        </w:rPr>
        <w:t xml:space="preserve">, </w:t>
      </w:r>
      <w:r w:rsidR="00C259CE">
        <w:rPr>
          <w:rFonts w:ascii="Times New Roman" w:hAnsi="Times New Roman" w:cs="Times New Roman"/>
        </w:rPr>
        <w:t>was $</w:t>
      </w:r>
      <w:r w:rsidR="002D27EF">
        <w:rPr>
          <w:rFonts w:ascii="Times New Roman" w:hAnsi="Times New Roman" w:cs="Times New Roman"/>
        </w:rPr>
        <w:t>3.</w:t>
      </w:r>
      <w:r w:rsidR="00AC1721">
        <w:rPr>
          <w:rFonts w:ascii="Times New Roman" w:hAnsi="Times New Roman" w:cs="Times New Roman"/>
        </w:rPr>
        <w:t>6</w:t>
      </w:r>
      <w:r w:rsidR="00C259CE">
        <w:rPr>
          <w:rFonts w:ascii="Times New Roman" w:hAnsi="Times New Roman" w:cs="Times New Roman"/>
        </w:rPr>
        <w:t xml:space="preserve"> million for </w:t>
      </w:r>
      <w:r w:rsidR="00ED3FF3">
        <w:rPr>
          <w:rFonts w:ascii="Times New Roman" w:hAnsi="Times New Roman" w:cs="Times New Roman"/>
        </w:rPr>
        <w:t>the</w:t>
      </w:r>
      <w:r w:rsidR="00B51EBF">
        <w:rPr>
          <w:rFonts w:ascii="Times New Roman" w:hAnsi="Times New Roman" w:cs="Times New Roman"/>
        </w:rPr>
        <w:t xml:space="preserve"> </w:t>
      </w:r>
      <w:r w:rsidR="00C259CE">
        <w:rPr>
          <w:rFonts w:ascii="Times New Roman" w:hAnsi="Times New Roman" w:cs="Times New Roman"/>
        </w:rPr>
        <w:t xml:space="preserve">324 </w:t>
      </w:r>
      <w:r w:rsidR="008C68D4">
        <w:rPr>
          <w:rFonts w:ascii="Times New Roman" w:hAnsi="Times New Roman" w:cs="Times New Roman"/>
        </w:rPr>
        <w:t>sector</w:t>
      </w:r>
      <w:r w:rsidR="00C259CE">
        <w:rPr>
          <w:rFonts w:ascii="Times New Roman" w:hAnsi="Times New Roman" w:cs="Times New Roman"/>
        </w:rPr>
        <w:t xml:space="preserve"> and $0.</w:t>
      </w:r>
      <w:r w:rsidR="002D27EF">
        <w:rPr>
          <w:rFonts w:ascii="Times New Roman" w:hAnsi="Times New Roman" w:cs="Times New Roman"/>
        </w:rPr>
        <w:t>9</w:t>
      </w:r>
      <w:r w:rsidR="00C259CE">
        <w:rPr>
          <w:rFonts w:ascii="Times New Roman" w:hAnsi="Times New Roman" w:cs="Times New Roman"/>
        </w:rPr>
        <w:t xml:space="preserve"> million for </w:t>
      </w:r>
      <w:r w:rsidR="00ED3FF3">
        <w:rPr>
          <w:rFonts w:ascii="Times New Roman" w:hAnsi="Times New Roman" w:cs="Times New Roman"/>
        </w:rPr>
        <w:t>the</w:t>
      </w:r>
      <w:r w:rsidR="00B51EBF">
        <w:rPr>
          <w:rFonts w:ascii="Times New Roman" w:hAnsi="Times New Roman" w:cs="Times New Roman"/>
        </w:rPr>
        <w:t xml:space="preserve"> </w:t>
      </w:r>
      <w:r w:rsidR="00C259CE">
        <w:rPr>
          <w:rFonts w:ascii="Times New Roman" w:hAnsi="Times New Roman" w:cs="Times New Roman"/>
        </w:rPr>
        <w:t>325</w:t>
      </w:r>
      <w:r w:rsidR="00252A02">
        <w:rPr>
          <w:rFonts w:ascii="Times New Roman" w:hAnsi="Times New Roman" w:cs="Times New Roman"/>
        </w:rPr>
        <w:t xml:space="preserve"> </w:t>
      </w:r>
      <w:r w:rsidR="008C68D4">
        <w:rPr>
          <w:rFonts w:ascii="Times New Roman" w:hAnsi="Times New Roman" w:cs="Times New Roman"/>
        </w:rPr>
        <w:t>sector</w:t>
      </w:r>
      <w:r w:rsidR="00252A02">
        <w:rPr>
          <w:rFonts w:ascii="Times New Roman" w:hAnsi="Times New Roman" w:cs="Times New Roman"/>
        </w:rPr>
        <w:t xml:space="preserve"> </w:t>
      </w:r>
      <w:r w:rsidR="00B51EBF">
        <w:rPr>
          <w:rFonts w:ascii="Times New Roman" w:hAnsi="Times New Roman" w:cs="Times New Roman"/>
        </w:rPr>
        <w:t>in</w:t>
      </w:r>
      <w:r w:rsidR="00252A02">
        <w:rPr>
          <w:rFonts w:ascii="Times New Roman" w:hAnsi="Times New Roman" w:cs="Times New Roman"/>
        </w:rPr>
        <w:t xml:space="preserve"> 2020</w:t>
      </w:r>
      <w:r w:rsidR="00C259CE">
        <w:rPr>
          <w:rFonts w:ascii="Times New Roman" w:hAnsi="Times New Roman" w:cs="Times New Roman"/>
        </w:rPr>
        <w:t xml:space="preserve">. These figures are well above the $0.3 million labor productivity </w:t>
      </w:r>
      <w:r w:rsidR="00711D60">
        <w:rPr>
          <w:rFonts w:ascii="Times New Roman" w:hAnsi="Times New Roman" w:cs="Times New Roman"/>
        </w:rPr>
        <w:t xml:space="preserve">average </w:t>
      </w:r>
      <w:r w:rsidR="00C259CE">
        <w:rPr>
          <w:rFonts w:ascii="Times New Roman" w:hAnsi="Times New Roman" w:cs="Times New Roman"/>
        </w:rPr>
        <w:t>across all sectors of the economy</w:t>
      </w:r>
      <w:r w:rsidR="002B5FE8">
        <w:rPr>
          <w:rFonts w:ascii="Times New Roman" w:hAnsi="Times New Roman" w:cs="Times New Roman"/>
        </w:rPr>
        <w:t>.</w:t>
      </w:r>
      <w:r>
        <w:rPr>
          <w:rStyle w:val="FootnoteReference"/>
          <w:rFonts w:ascii="Times New Roman" w:hAnsi="Times New Roman" w:cs="Times New Roman"/>
        </w:rPr>
        <w:footnoteReference w:id="203"/>
      </w:r>
      <w:r w:rsidR="001130C4">
        <w:rPr>
          <w:rFonts w:ascii="Times New Roman" w:hAnsi="Times New Roman" w:cs="Times New Roman"/>
        </w:rPr>
        <w:t xml:space="preserve"> </w:t>
      </w:r>
      <w:r w:rsidR="00B97AF6">
        <w:rPr>
          <w:rFonts w:ascii="Times New Roman" w:hAnsi="Times New Roman" w:cs="Times New Roman"/>
        </w:rPr>
        <w:t>The</w:t>
      </w:r>
      <w:r w:rsidR="00E605C6">
        <w:rPr>
          <w:rFonts w:ascii="Times New Roman" w:hAnsi="Times New Roman" w:cs="Times New Roman"/>
        </w:rPr>
        <w:t xml:space="preserve"> annualized 7 percent discounted</w:t>
      </w:r>
      <w:r w:rsidR="004F2D73">
        <w:rPr>
          <w:rFonts w:ascii="Times New Roman" w:hAnsi="Times New Roman" w:cs="Times New Roman"/>
        </w:rPr>
        <w:t xml:space="preserve"> </w:t>
      </w:r>
      <w:r w:rsidR="006365C8">
        <w:rPr>
          <w:rFonts w:ascii="Times New Roman" w:hAnsi="Times New Roman" w:cs="Times New Roman"/>
        </w:rPr>
        <w:t>cost</w:t>
      </w:r>
      <w:r w:rsidR="00E605C6">
        <w:rPr>
          <w:rFonts w:ascii="Times New Roman" w:hAnsi="Times New Roman" w:cs="Times New Roman"/>
        </w:rPr>
        <w:t>s</w:t>
      </w:r>
      <w:r w:rsidR="006365C8">
        <w:rPr>
          <w:rFonts w:ascii="Times New Roman" w:hAnsi="Times New Roman" w:cs="Times New Roman"/>
        </w:rPr>
        <w:t xml:space="preserve"> of the final rule</w:t>
      </w:r>
      <w:r w:rsidR="003F5E10">
        <w:rPr>
          <w:rFonts w:ascii="Times New Roman" w:hAnsi="Times New Roman" w:cs="Times New Roman"/>
        </w:rPr>
        <w:t xml:space="preserve"> in </w:t>
      </w:r>
      <w:r w:rsidR="00F17228">
        <w:rPr>
          <w:rFonts w:ascii="Times New Roman" w:hAnsi="Times New Roman" w:cs="Times New Roman"/>
        </w:rPr>
        <w:t>2022</w:t>
      </w:r>
      <w:r w:rsidR="006365C8">
        <w:rPr>
          <w:rFonts w:ascii="Times New Roman" w:hAnsi="Times New Roman" w:cs="Times New Roman"/>
        </w:rPr>
        <w:t xml:space="preserve">, </w:t>
      </w:r>
      <w:r w:rsidR="00662C92">
        <w:rPr>
          <w:rFonts w:ascii="Times New Roman" w:hAnsi="Times New Roman" w:cs="Times New Roman"/>
        </w:rPr>
        <w:t>totaling</w:t>
      </w:r>
      <w:r w:rsidR="006365C8">
        <w:rPr>
          <w:rFonts w:ascii="Times New Roman" w:hAnsi="Times New Roman" w:cs="Times New Roman"/>
        </w:rPr>
        <w:t xml:space="preserve"> </w:t>
      </w:r>
      <w:r w:rsidRPr="006365C8" w:rsidR="006365C8">
        <w:rPr>
          <w:rFonts w:ascii="Times New Roman" w:hAnsi="Times New Roman" w:cs="Times New Roman"/>
        </w:rPr>
        <w:t>$</w:t>
      </w:r>
      <w:r w:rsidRPr="000870B8" w:rsidR="006365C8">
        <w:rPr>
          <w:rFonts w:ascii="Times New Roman" w:hAnsi="Times New Roman" w:cs="Times New Roman"/>
        </w:rPr>
        <w:t>297 million</w:t>
      </w:r>
      <w:r w:rsidR="006365C8">
        <w:rPr>
          <w:rFonts w:ascii="Times New Roman" w:hAnsi="Times New Roman" w:cs="Times New Roman"/>
        </w:rPr>
        <w:t xml:space="preserve">, </w:t>
      </w:r>
      <w:r w:rsidR="00662C92">
        <w:rPr>
          <w:rFonts w:ascii="Times New Roman" w:hAnsi="Times New Roman" w:cs="Times New Roman"/>
        </w:rPr>
        <w:t>make u</w:t>
      </w:r>
      <w:r w:rsidR="00E605C6">
        <w:rPr>
          <w:rFonts w:ascii="Times New Roman" w:hAnsi="Times New Roman" w:cs="Times New Roman"/>
        </w:rPr>
        <w:t xml:space="preserve">p </w:t>
      </w:r>
      <w:r w:rsidR="000B20A1">
        <w:rPr>
          <w:rFonts w:ascii="Times New Roman" w:hAnsi="Times New Roman" w:cs="Times New Roman"/>
        </w:rPr>
        <w:t>roughly 0.0</w:t>
      </w:r>
      <w:r w:rsidR="003F5E10">
        <w:rPr>
          <w:rFonts w:ascii="Times New Roman" w:hAnsi="Times New Roman" w:cs="Times New Roman"/>
        </w:rPr>
        <w:t>7</w:t>
      </w:r>
      <w:r w:rsidR="000B20A1">
        <w:rPr>
          <w:rFonts w:ascii="Times New Roman" w:hAnsi="Times New Roman" w:cs="Times New Roman"/>
        </w:rPr>
        <w:t xml:space="preserve"> percent and 0.04 percent of </w:t>
      </w:r>
      <w:r w:rsidR="006365C8">
        <w:rPr>
          <w:rFonts w:ascii="Times New Roman" w:hAnsi="Times New Roman" w:cs="Times New Roman"/>
        </w:rPr>
        <w:t xml:space="preserve">revenues </w:t>
      </w:r>
      <w:r w:rsidR="004C3DA7">
        <w:rPr>
          <w:rFonts w:ascii="Times New Roman" w:hAnsi="Times New Roman" w:cs="Times New Roman"/>
        </w:rPr>
        <w:t>for</w:t>
      </w:r>
      <w:r w:rsidR="006365C8">
        <w:rPr>
          <w:rFonts w:ascii="Times New Roman" w:hAnsi="Times New Roman" w:cs="Times New Roman"/>
        </w:rPr>
        <w:t xml:space="preserve"> the 324 and 325</w:t>
      </w:r>
      <w:r w:rsidR="000B20A1">
        <w:rPr>
          <w:rFonts w:ascii="Times New Roman" w:hAnsi="Times New Roman" w:cs="Times New Roman"/>
        </w:rPr>
        <w:t xml:space="preserve"> </w:t>
      </w:r>
      <w:r w:rsidR="006365C8">
        <w:rPr>
          <w:rFonts w:ascii="Times New Roman" w:hAnsi="Times New Roman" w:cs="Times New Roman"/>
        </w:rPr>
        <w:t xml:space="preserve">NAICS </w:t>
      </w:r>
      <w:r w:rsidR="008C68D4">
        <w:rPr>
          <w:rFonts w:ascii="Times New Roman" w:hAnsi="Times New Roman" w:cs="Times New Roman"/>
        </w:rPr>
        <w:t>sectors</w:t>
      </w:r>
      <w:r w:rsidR="006365C8">
        <w:rPr>
          <w:rFonts w:ascii="Times New Roman" w:hAnsi="Times New Roman" w:cs="Times New Roman"/>
        </w:rPr>
        <w:t>, respectively</w:t>
      </w:r>
      <w:r w:rsidR="000B20A1">
        <w:rPr>
          <w:rFonts w:ascii="Times New Roman" w:hAnsi="Times New Roman" w:cs="Times New Roman"/>
        </w:rPr>
        <w:t>.</w:t>
      </w:r>
      <w:r w:rsidR="006365C8">
        <w:rPr>
          <w:rFonts w:ascii="Times New Roman" w:hAnsi="Times New Roman" w:cs="Times New Roman"/>
        </w:rPr>
        <w:t xml:space="preserve"> </w:t>
      </w:r>
      <w:r w:rsidR="009669C3">
        <w:rPr>
          <w:rFonts w:ascii="Times New Roman" w:hAnsi="Times New Roman" w:cs="Times New Roman"/>
        </w:rPr>
        <w:t>While not all the costs of the final rule will be borne by</w:t>
      </w:r>
      <w:r w:rsidR="00640F91">
        <w:rPr>
          <w:rFonts w:ascii="Times New Roman" w:hAnsi="Times New Roman" w:cs="Times New Roman"/>
        </w:rPr>
        <w:t xml:space="preserve"> the 324 and 325 </w:t>
      </w:r>
      <w:r w:rsidR="006B6B01">
        <w:rPr>
          <w:rFonts w:ascii="Times New Roman" w:hAnsi="Times New Roman" w:cs="Times New Roman"/>
        </w:rPr>
        <w:t>NAICS</w:t>
      </w:r>
      <w:r w:rsidR="00640F91">
        <w:rPr>
          <w:rFonts w:ascii="Times New Roman" w:hAnsi="Times New Roman" w:cs="Times New Roman"/>
        </w:rPr>
        <w:t xml:space="preserve"> </w:t>
      </w:r>
      <w:r w:rsidR="008C68D4">
        <w:rPr>
          <w:rFonts w:ascii="Times New Roman" w:hAnsi="Times New Roman" w:cs="Times New Roman"/>
        </w:rPr>
        <w:t>sectors</w:t>
      </w:r>
      <w:r w:rsidR="009669C3">
        <w:rPr>
          <w:rFonts w:ascii="Times New Roman" w:hAnsi="Times New Roman" w:cs="Times New Roman"/>
        </w:rPr>
        <w:t>, th</w:t>
      </w:r>
      <w:r w:rsidR="0083796F">
        <w:rPr>
          <w:rFonts w:ascii="Times New Roman" w:hAnsi="Times New Roman" w:cs="Times New Roman"/>
        </w:rPr>
        <w:t>e</w:t>
      </w:r>
      <w:r w:rsidR="009669C3">
        <w:rPr>
          <w:rFonts w:ascii="Times New Roman" w:hAnsi="Times New Roman" w:cs="Times New Roman"/>
        </w:rPr>
        <w:t xml:space="preserve">se </w:t>
      </w:r>
      <w:r w:rsidR="008C68D4">
        <w:rPr>
          <w:rFonts w:ascii="Times New Roman" w:hAnsi="Times New Roman" w:cs="Times New Roman"/>
        </w:rPr>
        <w:t>sectors</w:t>
      </w:r>
      <w:r w:rsidR="009669C3">
        <w:rPr>
          <w:rFonts w:ascii="Times New Roman" w:hAnsi="Times New Roman" w:cs="Times New Roman"/>
        </w:rPr>
        <w:t xml:space="preserve"> largely make up the Program 3 facilities </w:t>
      </w:r>
      <w:r w:rsidR="0083796F">
        <w:rPr>
          <w:rFonts w:ascii="Times New Roman" w:hAnsi="Times New Roman" w:cs="Times New Roman"/>
        </w:rPr>
        <w:t xml:space="preserve">affected by this rule and </w:t>
      </w:r>
      <w:r w:rsidR="005F7033">
        <w:rPr>
          <w:rFonts w:ascii="Times New Roman" w:hAnsi="Times New Roman" w:cs="Times New Roman"/>
        </w:rPr>
        <w:t xml:space="preserve">will bear a large share of the costs estimated for the final rule. </w:t>
      </w:r>
      <w:r w:rsidR="006505FB">
        <w:rPr>
          <w:rFonts w:ascii="Times New Roman" w:hAnsi="Times New Roman" w:cs="Times New Roman"/>
        </w:rPr>
        <w:t>Exhibit</w:t>
      </w:r>
      <w:r w:rsidR="0077515A">
        <w:rPr>
          <w:rFonts w:ascii="Times New Roman" w:hAnsi="Times New Roman" w:cs="Times New Roman"/>
        </w:rPr>
        <w:t>s</w:t>
      </w:r>
      <w:r w:rsidR="006505FB">
        <w:rPr>
          <w:rFonts w:ascii="Times New Roman" w:hAnsi="Times New Roman" w:cs="Times New Roman"/>
        </w:rPr>
        <w:t xml:space="preserve"> </w:t>
      </w:r>
      <w:r w:rsidR="00B278B9">
        <w:rPr>
          <w:rFonts w:ascii="Times New Roman" w:hAnsi="Times New Roman" w:cs="Times New Roman"/>
        </w:rPr>
        <w:t>11-1</w:t>
      </w:r>
      <w:r w:rsidR="006505FB">
        <w:rPr>
          <w:rFonts w:ascii="Times New Roman" w:hAnsi="Times New Roman" w:cs="Times New Roman"/>
        </w:rPr>
        <w:t xml:space="preserve"> and </w:t>
      </w:r>
      <w:r w:rsidR="00847037">
        <w:rPr>
          <w:rFonts w:ascii="Times New Roman" w:hAnsi="Times New Roman" w:cs="Times New Roman"/>
        </w:rPr>
        <w:t xml:space="preserve">11-2 </w:t>
      </w:r>
      <w:r w:rsidR="006505FB">
        <w:rPr>
          <w:rFonts w:ascii="Times New Roman" w:hAnsi="Times New Roman" w:cs="Times New Roman"/>
        </w:rPr>
        <w:t xml:space="preserve">present this data for </w:t>
      </w:r>
      <w:r w:rsidR="002F3871">
        <w:rPr>
          <w:rFonts w:ascii="Times New Roman" w:hAnsi="Times New Roman" w:cs="Times New Roman"/>
        </w:rPr>
        <w:t>both</w:t>
      </w:r>
      <w:r w:rsidR="00E37356">
        <w:rPr>
          <w:rFonts w:ascii="Times New Roman" w:hAnsi="Times New Roman" w:cs="Times New Roman"/>
        </w:rPr>
        <w:t xml:space="preserve"> </w:t>
      </w:r>
      <w:r w:rsidR="008C68D4">
        <w:rPr>
          <w:rFonts w:ascii="Times New Roman" w:hAnsi="Times New Roman" w:cs="Times New Roman"/>
        </w:rPr>
        <w:t>sector</w:t>
      </w:r>
      <w:r w:rsidR="002F3871">
        <w:rPr>
          <w:rFonts w:ascii="Times New Roman" w:hAnsi="Times New Roman" w:cs="Times New Roman"/>
        </w:rPr>
        <w:t>s</w:t>
      </w:r>
      <w:r w:rsidR="006505FB">
        <w:rPr>
          <w:rFonts w:ascii="Times New Roman" w:hAnsi="Times New Roman" w:cs="Times New Roman"/>
        </w:rPr>
        <w:t xml:space="preserve">, respectively. </w:t>
      </w:r>
    </w:p>
    <w:p w:rsidR="006505FB" w:rsidP="00362E4B" w14:paraId="4966F382" w14:textId="77777777">
      <w:pPr>
        <w:spacing w:after="0" w:line="240" w:lineRule="auto"/>
        <w:rPr>
          <w:rFonts w:ascii="Times New Roman" w:hAnsi="Times New Roman" w:cs="Times New Roman"/>
        </w:rPr>
      </w:pPr>
    </w:p>
    <w:p w:rsidR="00A96BA5" w:rsidP="00A96BA5" w14:paraId="0D98AE0D" w14:textId="77777777">
      <w:pPr>
        <w:spacing w:after="0" w:line="240" w:lineRule="auto"/>
        <w:jc w:val="center"/>
        <w:rPr>
          <w:rFonts w:ascii="Times New Roman" w:hAnsi="Times New Roman" w:cs="Times New Roman"/>
          <w:b/>
          <w:bCs/>
        </w:rPr>
      </w:pPr>
      <w:r w:rsidRPr="00A96BA5">
        <w:rPr>
          <w:rFonts w:ascii="Times New Roman" w:hAnsi="Times New Roman" w:cs="Times New Roman"/>
          <w:b/>
          <w:bCs/>
        </w:rPr>
        <w:t>Exhibit</w:t>
      </w:r>
      <w:r w:rsidRPr="00A96BA5" w:rsidR="00331C99">
        <w:rPr>
          <w:rFonts w:ascii="Times New Roman" w:hAnsi="Times New Roman" w:cs="Times New Roman"/>
          <w:b/>
          <w:bCs/>
        </w:rPr>
        <w:t xml:space="preserve"> </w:t>
      </w:r>
      <w:r w:rsidRPr="00A96BA5" w:rsidR="00847037">
        <w:rPr>
          <w:rFonts w:ascii="Times New Roman" w:hAnsi="Times New Roman" w:cs="Times New Roman"/>
          <w:b/>
          <w:bCs/>
        </w:rPr>
        <w:t xml:space="preserve">11-1: </w:t>
      </w:r>
      <w:r w:rsidRPr="00A96BA5">
        <w:rPr>
          <w:rFonts w:ascii="Times New Roman" w:hAnsi="Times New Roman" w:cs="Times New Roman"/>
          <w:b/>
          <w:bCs/>
        </w:rPr>
        <w:t xml:space="preserve">Employment, Average Wages, Revenue </w:t>
      </w:r>
    </w:p>
    <w:p w:rsidR="00362E4B" w:rsidP="00A96BA5" w14:paraId="3559EACF" w14:textId="77777777">
      <w:pPr>
        <w:spacing w:after="0" w:line="240" w:lineRule="auto"/>
        <w:jc w:val="center"/>
        <w:rPr>
          <w:rFonts w:ascii="Times New Roman" w:hAnsi="Times New Roman" w:cs="Times New Roman"/>
        </w:rPr>
      </w:pPr>
      <w:r w:rsidRPr="00A96BA5">
        <w:rPr>
          <w:rFonts w:ascii="Times New Roman" w:hAnsi="Times New Roman" w:cs="Times New Roman"/>
          <w:b/>
          <w:bCs/>
        </w:rPr>
        <w:t>and Labor Productivity for NA</w:t>
      </w:r>
      <w:r w:rsidR="001E44FA">
        <w:rPr>
          <w:rFonts w:ascii="Times New Roman" w:hAnsi="Times New Roman" w:cs="Times New Roman"/>
          <w:b/>
          <w:bCs/>
        </w:rPr>
        <w:t>IC</w:t>
      </w:r>
      <w:r w:rsidRPr="00A96BA5">
        <w:rPr>
          <w:rFonts w:ascii="Times New Roman" w:hAnsi="Times New Roman" w:cs="Times New Roman"/>
          <w:b/>
          <w:bCs/>
        </w:rPr>
        <w:t xml:space="preserve">S </w:t>
      </w:r>
      <w:r w:rsidR="008C68D4">
        <w:rPr>
          <w:rFonts w:ascii="Times New Roman" w:hAnsi="Times New Roman" w:cs="Times New Roman"/>
          <w:b/>
          <w:bCs/>
        </w:rPr>
        <w:t>Sector</w:t>
      </w:r>
      <w:r w:rsidRPr="00A96BA5">
        <w:rPr>
          <w:rFonts w:ascii="Times New Roman" w:hAnsi="Times New Roman" w:cs="Times New Roman"/>
          <w:b/>
          <w:bCs/>
        </w:rPr>
        <w:t xml:space="preserve"> 324</w:t>
      </w:r>
    </w:p>
    <w:tbl>
      <w:tblPr>
        <w:tblW w:w="7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5"/>
        <w:gridCol w:w="1629"/>
        <w:gridCol w:w="1629"/>
        <w:gridCol w:w="1629"/>
        <w:gridCol w:w="1629"/>
      </w:tblGrid>
      <w:tr w14:paraId="2FD61716" w14:textId="77777777" w:rsidTr="002E3357">
        <w:tblPrEx>
          <w:tblW w:w="7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90"/>
          <w:tblHeader/>
          <w:jc w:val="center"/>
        </w:trPr>
        <w:tc>
          <w:tcPr>
            <w:tcW w:w="1435" w:type="dxa"/>
            <w:shd w:val="clear" w:color="auto" w:fill="D0CECE" w:themeFill="background2" w:themeFillShade="E6"/>
            <w:noWrap/>
            <w:hideMark/>
          </w:tcPr>
          <w:p w:rsidR="007C00CF" w:rsidRPr="007C00CF" w:rsidP="007C00CF" w14:paraId="5591E8FB" w14:textId="77777777">
            <w:pPr>
              <w:keepNext/>
              <w:spacing w:after="0" w:line="240" w:lineRule="auto"/>
              <w:rPr>
                <w:rFonts w:ascii="Times New Roman" w:eastAsia="Times New Roman" w:hAnsi="Times New Roman" w:cs="Times New Roman"/>
                <w:b/>
                <w:bCs/>
                <w:sz w:val="20"/>
                <w:szCs w:val="20"/>
              </w:rPr>
            </w:pPr>
            <w:r w:rsidRPr="002E3357">
              <w:rPr>
                <w:rFonts w:ascii="Times New Roman" w:hAnsi="Times New Roman" w:cs="Times New Roman"/>
                <w:b/>
              </w:rPr>
              <w:t>Year</w:t>
            </w:r>
          </w:p>
        </w:tc>
        <w:tc>
          <w:tcPr>
            <w:tcW w:w="1629" w:type="dxa"/>
            <w:shd w:val="clear" w:color="auto" w:fill="D0CECE" w:themeFill="background2" w:themeFillShade="E6"/>
            <w:noWrap/>
            <w:hideMark/>
          </w:tcPr>
          <w:p w:rsidR="007C00CF" w:rsidRPr="007C00CF" w:rsidP="007C00CF" w14:paraId="59A3C098" w14:textId="77777777">
            <w:pPr>
              <w:keepNext/>
              <w:spacing w:after="0" w:line="240" w:lineRule="auto"/>
              <w:jc w:val="center"/>
              <w:rPr>
                <w:rFonts w:ascii="Times New Roman" w:eastAsia="Times New Roman" w:hAnsi="Times New Roman" w:cs="Times New Roman"/>
                <w:b/>
                <w:bCs/>
                <w:color w:val="000000"/>
                <w:sz w:val="20"/>
                <w:szCs w:val="20"/>
              </w:rPr>
            </w:pPr>
            <w:r w:rsidRPr="002E3357">
              <w:rPr>
                <w:rFonts w:ascii="Times New Roman" w:hAnsi="Times New Roman" w:cs="Times New Roman"/>
                <w:b/>
              </w:rPr>
              <w:t>Employment</w:t>
            </w:r>
          </w:p>
        </w:tc>
        <w:tc>
          <w:tcPr>
            <w:tcW w:w="1629" w:type="dxa"/>
            <w:shd w:val="clear" w:color="auto" w:fill="D0CECE" w:themeFill="background2" w:themeFillShade="E6"/>
            <w:noWrap/>
            <w:hideMark/>
          </w:tcPr>
          <w:p w:rsidR="007C00CF" w:rsidRPr="007C00CF" w:rsidP="007C00CF" w14:paraId="7A207822" w14:textId="77777777">
            <w:pPr>
              <w:keepNext/>
              <w:spacing w:after="0" w:line="240" w:lineRule="auto"/>
              <w:jc w:val="center"/>
              <w:rPr>
                <w:rFonts w:ascii="Times New Roman" w:eastAsia="Times New Roman" w:hAnsi="Times New Roman" w:cs="Times New Roman"/>
                <w:b/>
                <w:bCs/>
                <w:color w:val="000000"/>
                <w:sz w:val="20"/>
                <w:szCs w:val="20"/>
              </w:rPr>
            </w:pPr>
            <w:r w:rsidRPr="002E3357">
              <w:rPr>
                <w:rFonts w:ascii="Times New Roman" w:hAnsi="Times New Roman" w:cs="Times New Roman"/>
                <w:b/>
              </w:rPr>
              <w:t>Average Wages</w:t>
            </w:r>
          </w:p>
        </w:tc>
        <w:tc>
          <w:tcPr>
            <w:tcW w:w="1629" w:type="dxa"/>
            <w:shd w:val="clear" w:color="auto" w:fill="D0CECE" w:themeFill="background2" w:themeFillShade="E6"/>
            <w:noWrap/>
            <w:hideMark/>
          </w:tcPr>
          <w:p w:rsidR="007C00CF" w:rsidRPr="007C00CF" w:rsidP="007C00CF" w14:paraId="4AADA64A" w14:textId="77777777">
            <w:pPr>
              <w:keepNext/>
              <w:spacing w:after="0" w:line="240" w:lineRule="auto"/>
              <w:jc w:val="center"/>
              <w:rPr>
                <w:rFonts w:ascii="Times New Roman" w:eastAsia="Times New Roman" w:hAnsi="Times New Roman" w:cs="Times New Roman"/>
                <w:b/>
                <w:bCs/>
                <w:color w:val="000000"/>
                <w:sz w:val="20"/>
                <w:szCs w:val="20"/>
              </w:rPr>
            </w:pPr>
            <w:r w:rsidRPr="002E3357">
              <w:rPr>
                <w:rFonts w:ascii="Times New Roman" w:hAnsi="Times New Roman" w:cs="Times New Roman"/>
                <w:b/>
              </w:rPr>
              <w:t xml:space="preserve">Revenue </w:t>
            </w:r>
            <w:r w:rsidR="00027B92">
              <w:rPr>
                <w:rFonts w:ascii="Times New Roman" w:hAnsi="Times New Roman" w:cs="Times New Roman"/>
                <w:b/>
                <w:bCs/>
              </w:rPr>
              <w:t>($1,000)</w:t>
            </w:r>
          </w:p>
        </w:tc>
        <w:tc>
          <w:tcPr>
            <w:tcW w:w="1629" w:type="dxa"/>
            <w:shd w:val="clear" w:color="auto" w:fill="D0CECE" w:themeFill="background2" w:themeFillShade="E6"/>
          </w:tcPr>
          <w:p w:rsidR="007C00CF" w:rsidRPr="007C00CF" w:rsidP="007C00CF" w14:paraId="02D13B21" w14:textId="77777777">
            <w:pPr>
              <w:keepNext/>
              <w:spacing w:after="0" w:line="240" w:lineRule="auto"/>
              <w:jc w:val="center"/>
              <w:rPr>
                <w:rFonts w:ascii="Times New Roman" w:eastAsia="Times New Roman" w:hAnsi="Times New Roman" w:cs="Times New Roman"/>
                <w:b/>
                <w:bCs/>
                <w:color w:val="000000"/>
                <w:sz w:val="20"/>
                <w:szCs w:val="20"/>
              </w:rPr>
            </w:pPr>
            <w:r>
              <w:rPr>
                <w:rFonts w:ascii="Times New Roman" w:hAnsi="Times New Roman" w:cs="Times New Roman"/>
                <w:b/>
                <w:bCs/>
              </w:rPr>
              <w:t xml:space="preserve">Labor </w:t>
            </w:r>
            <w:r w:rsidR="00900A83">
              <w:rPr>
                <w:rFonts w:ascii="Times New Roman" w:hAnsi="Times New Roman" w:cs="Times New Roman"/>
                <w:b/>
                <w:bCs/>
              </w:rPr>
              <w:t>Productivity</w:t>
            </w:r>
            <w:r w:rsidR="003120FB">
              <w:rPr>
                <w:rFonts w:ascii="Times New Roman" w:hAnsi="Times New Roman" w:cs="Times New Roman"/>
                <w:b/>
                <w:bCs/>
              </w:rPr>
              <w:t xml:space="preserve"> (Revenue / Employment)</w:t>
            </w:r>
          </w:p>
        </w:tc>
      </w:tr>
      <w:tr w14:paraId="04EA236E" w14:textId="77777777" w:rsidTr="00BC395D">
        <w:tblPrEx>
          <w:tblW w:w="7951" w:type="dxa"/>
          <w:jc w:val="center"/>
          <w:tblLayout w:type="fixed"/>
          <w:tblLook w:val="04A0"/>
        </w:tblPrEx>
        <w:trPr>
          <w:trHeight w:val="290"/>
          <w:jc w:val="center"/>
        </w:trPr>
        <w:tc>
          <w:tcPr>
            <w:tcW w:w="1435" w:type="dxa"/>
            <w:shd w:val="clear" w:color="auto" w:fill="auto"/>
            <w:noWrap/>
            <w:vAlign w:val="center"/>
            <w:hideMark/>
          </w:tcPr>
          <w:p w:rsidR="007C00CF" w:rsidRPr="007C00CF" w:rsidP="007C00CF" w14:paraId="43408661" w14:textId="77777777">
            <w:pPr>
              <w:spacing w:after="0" w:line="240" w:lineRule="auto"/>
              <w:rPr>
                <w:rFonts w:ascii="Times New Roman" w:eastAsia="Times New Roman" w:hAnsi="Times New Roman" w:cs="Times New Roman"/>
                <w:color w:val="000000"/>
                <w:sz w:val="20"/>
                <w:szCs w:val="20"/>
              </w:rPr>
            </w:pPr>
            <w:r w:rsidRPr="002E3357">
              <w:rPr>
                <w:rFonts w:ascii="Times New Roman" w:hAnsi="Times New Roman" w:cs="Times New Roman"/>
                <w:color w:val="000000"/>
              </w:rPr>
              <w:t>2016</w:t>
            </w:r>
          </w:p>
        </w:tc>
        <w:tc>
          <w:tcPr>
            <w:tcW w:w="1629" w:type="dxa"/>
            <w:shd w:val="clear" w:color="auto" w:fill="auto"/>
            <w:noWrap/>
            <w:vAlign w:val="bottom"/>
            <w:hideMark/>
          </w:tcPr>
          <w:p w:rsidR="007C00CF" w:rsidRPr="007C00CF" w:rsidP="007C00CF" w14:paraId="1D700A7C" w14:textId="77777777">
            <w:pPr>
              <w:spacing w:after="0" w:line="240" w:lineRule="auto"/>
              <w:jc w:val="center"/>
              <w:rPr>
                <w:rFonts w:ascii="Times New Roman" w:eastAsia="Times New Roman" w:hAnsi="Times New Roman" w:cs="Times New Roman"/>
                <w:color w:val="000000"/>
                <w:sz w:val="20"/>
                <w:szCs w:val="20"/>
              </w:rPr>
            </w:pPr>
            <w:r w:rsidRPr="002E3357">
              <w:rPr>
                <w:rFonts w:ascii="Times New Roman" w:hAnsi="Times New Roman" w:cs="Times New Roman"/>
                <w:color w:val="000000"/>
              </w:rPr>
              <w:t xml:space="preserve">104,748 </w:t>
            </w:r>
          </w:p>
        </w:tc>
        <w:tc>
          <w:tcPr>
            <w:tcW w:w="1629" w:type="dxa"/>
            <w:shd w:val="clear" w:color="auto" w:fill="auto"/>
            <w:noWrap/>
            <w:hideMark/>
          </w:tcPr>
          <w:p w:rsidR="007C00CF" w:rsidRPr="007C00CF" w:rsidP="007C00CF" w14:paraId="6E4F0951" w14:textId="77777777">
            <w:pPr>
              <w:spacing w:after="0" w:line="240" w:lineRule="auto"/>
              <w:jc w:val="center"/>
              <w:rPr>
                <w:rFonts w:ascii="Times New Roman" w:eastAsia="Times New Roman" w:hAnsi="Times New Roman" w:cs="Times New Roman"/>
                <w:color w:val="000000"/>
                <w:sz w:val="20"/>
                <w:szCs w:val="20"/>
              </w:rPr>
            </w:pPr>
            <w:r w:rsidRPr="00BC395D">
              <w:rPr>
                <w:rFonts w:ascii="Times New Roman" w:hAnsi="Times New Roman" w:cs="Times New Roman"/>
              </w:rPr>
              <w:t xml:space="preserve"> $</w:t>
            </w:r>
            <w:r w:rsidRPr="00BC395D" w:rsidR="00BC395D">
              <w:rPr>
                <w:rFonts w:ascii="Times New Roman" w:hAnsi="Times New Roman" w:cs="Times New Roman"/>
              </w:rPr>
              <w:t>86,291</w:t>
            </w:r>
            <w:r w:rsidRPr="00BC395D">
              <w:rPr>
                <w:rFonts w:ascii="Times New Roman" w:hAnsi="Times New Roman" w:cs="Times New Roman"/>
              </w:rPr>
              <w:t xml:space="preserve"> </w:t>
            </w:r>
          </w:p>
        </w:tc>
        <w:tc>
          <w:tcPr>
            <w:tcW w:w="1629" w:type="dxa"/>
            <w:shd w:val="clear" w:color="auto" w:fill="auto"/>
            <w:noWrap/>
            <w:hideMark/>
          </w:tcPr>
          <w:p w:rsidR="007C00CF" w:rsidRPr="007C00CF" w:rsidP="007C00CF" w14:paraId="69255332" w14:textId="77777777">
            <w:pPr>
              <w:spacing w:after="0" w:line="240" w:lineRule="auto"/>
              <w:jc w:val="center"/>
              <w:rPr>
                <w:rFonts w:ascii="Times New Roman" w:eastAsia="Times New Roman" w:hAnsi="Times New Roman" w:cs="Times New Roman"/>
                <w:color w:val="000000"/>
                <w:sz w:val="20"/>
                <w:szCs w:val="20"/>
              </w:rPr>
            </w:pPr>
            <w:r w:rsidRPr="00BC395D">
              <w:rPr>
                <w:rFonts w:ascii="Times New Roman" w:hAnsi="Times New Roman" w:cs="Times New Roman"/>
              </w:rPr>
              <w:t xml:space="preserve"> -   </w:t>
            </w:r>
          </w:p>
        </w:tc>
        <w:tc>
          <w:tcPr>
            <w:tcW w:w="1629" w:type="dxa"/>
          </w:tcPr>
          <w:p w:rsidR="007C00CF" w:rsidRPr="007C00CF" w:rsidP="007C00CF" w14:paraId="57F59F39" w14:textId="77777777">
            <w:pPr>
              <w:spacing w:after="0" w:line="240" w:lineRule="auto"/>
              <w:jc w:val="center"/>
              <w:rPr>
                <w:rFonts w:ascii="Times New Roman" w:hAnsi="Times New Roman" w:cs="Times New Roman"/>
                <w:color w:val="000000"/>
                <w:sz w:val="20"/>
                <w:szCs w:val="20"/>
              </w:rPr>
            </w:pPr>
            <w:r w:rsidRPr="00BC395D">
              <w:rPr>
                <w:rFonts w:ascii="Times New Roman" w:hAnsi="Times New Roman" w:cs="Times New Roman"/>
              </w:rPr>
              <w:t xml:space="preserve"> -   </w:t>
            </w:r>
          </w:p>
        </w:tc>
      </w:tr>
      <w:tr w14:paraId="11195C6D" w14:textId="77777777" w:rsidTr="00BC395D">
        <w:tblPrEx>
          <w:tblW w:w="7951" w:type="dxa"/>
          <w:jc w:val="center"/>
          <w:tblLayout w:type="fixed"/>
          <w:tblLook w:val="04A0"/>
        </w:tblPrEx>
        <w:trPr>
          <w:trHeight w:val="268"/>
          <w:jc w:val="center"/>
        </w:trPr>
        <w:tc>
          <w:tcPr>
            <w:tcW w:w="1435" w:type="dxa"/>
            <w:shd w:val="clear" w:color="auto" w:fill="auto"/>
            <w:noWrap/>
            <w:vAlign w:val="center"/>
            <w:hideMark/>
          </w:tcPr>
          <w:p w:rsidR="007C00CF" w:rsidRPr="007C00CF" w:rsidP="002E3357" w14:paraId="255DDEA5" w14:textId="77777777">
            <w:pPr>
              <w:spacing w:after="0" w:line="240" w:lineRule="auto"/>
              <w:rPr>
                <w:rFonts w:ascii="Times New Roman" w:eastAsia="Times New Roman" w:hAnsi="Times New Roman" w:cs="Times New Roman"/>
                <w:color w:val="000000"/>
                <w:sz w:val="20"/>
                <w:szCs w:val="20"/>
              </w:rPr>
            </w:pPr>
            <w:r w:rsidRPr="002E3357">
              <w:rPr>
                <w:rFonts w:ascii="Times New Roman" w:hAnsi="Times New Roman" w:cs="Times New Roman"/>
                <w:color w:val="000000"/>
              </w:rPr>
              <w:t>2017</w:t>
            </w:r>
          </w:p>
        </w:tc>
        <w:tc>
          <w:tcPr>
            <w:tcW w:w="1629" w:type="dxa"/>
            <w:shd w:val="clear" w:color="auto" w:fill="auto"/>
            <w:noWrap/>
            <w:vAlign w:val="bottom"/>
            <w:hideMark/>
          </w:tcPr>
          <w:p w:rsidR="007C00CF" w:rsidRPr="007C00CF" w:rsidP="007C00CF" w14:paraId="1D3335D0" w14:textId="77777777">
            <w:pPr>
              <w:spacing w:after="0" w:line="240" w:lineRule="auto"/>
              <w:jc w:val="center"/>
              <w:rPr>
                <w:rFonts w:ascii="Times New Roman" w:eastAsia="Times New Roman" w:hAnsi="Times New Roman" w:cs="Times New Roman"/>
                <w:color w:val="000000"/>
                <w:sz w:val="20"/>
                <w:szCs w:val="20"/>
              </w:rPr>
            </w:pPr>
            <w:r w:rsidRPr="002E3357">
              <w:rPr>
                <w:rFonts w:ascii="Times New Roman" w:hAnsi="Times New Roman" w:cs="Times New Roman"/>
                <w:color w:val="000000"/>
              </w:rPr>
              <w:t xml:space="preserve">105,730 </w:t>
            </w:r>
          </w:p>
        </w:tc>
        <w:tc>
          <w:tcPr>
            <w:tcW w:w="1629" w:type="dxa"/>
            <w:shd w:val="clear" w:color="auto" w:fill="auto"/>
            <w:noWrap/>
            <w:hideMark/>
          </w:tcPr>
          <w:p w:rsidR="007C00CF" w:rsidRPr="007C00CF" w:rsidP="007C00CF" w14:paraId="50A4262F" w14:textId="77777777">
            <w:pPr>
              <w:spacing w:after="0" w:line="240" w:lineRule="auto"/>
              <w:jc w:val="center"/>
              <w:rPr>
                <w:rFonts w:ascii="Times New Roman" w:eastAsia="Times New Roman" w:hAnsi="Times New Roman" w:cs="Times New Roman"/>
                <w:color w:val="000000"/>
                <w:sz w:val="20"/>
                <w:szCs w:val="20"/>
              </w:rPr>
            </w:pPr>
            <w:r w:rsidRPr="00BC395D">
              <w:rPr>
                <w:rFonts w:ascii="Times New Roman" w:hAnsi="Times New Roman" w:cs="Times New Roman"/>
              </w:rPr>
              <w:t xml:space="preserve"> $</w:t>
            </w:r>
            <w:r w:rsidRPr="00BC395D" w:rsidR="00BC395D">
              <w:rPr>
                <w:rFonts w:ascii="Times New Roman" w:hAnsi="Times New Roman" w:cs="Times New Roman"/>
              </w:rPr>
              <w:t>85,706</w:t>
            </w:r>
            <w:r w:rsidRPr="00BC395D">
              <w:rPr>
                <w:rFonts w:ascii="Times New Roman" w:hAnsi="Times New Roman" w:cs="Times New Roman"/>
              </w:rPr>
              <w:t xml:space="preserve"> </w:t>
            </w:r>
          </w:p>
        </w:tc>
        <w:tc>
          <w:tcPr>
            <w:tcW w:w="1629" w:type="dxa"/>
            <w:shd w:val="clear" w:color="auto" w:fill="auto"/>
            <w:noWrap/>
            <w:hideMark/>
          </w:tcPr>
          <w:p w:rsidR="007C00CF" w:rsidRPr="007C00CF" w:rsidP="007C00CF" w14:paraId="4459A6B3" w14:textId="77777777">
            <w:pPr>
              <w:spacing w:after="0" w:line="240" w:lineRule="auto"/>
              <w:jc w:val="center"/>
              <w:rPr>
                <w:rFonts w:ascii="Times New Roman" w:eastAsia="Times New Roman" w:hAnsi="Times New Roman" w:cs="Times New Roman"/>
                <w:color w:val="000000"/>
                <w:sz w:val="20"/>
                <w:szCs w:val="20"/>
              </w:rPr>
            </w:pPr>
            <w:r w:rsidRPr="00BC395D">
              <w:rPr>
                <w:rFonts w:ascii="Times New Roman" w:hAnsi="Times New Roman" w:cs="Times New Roman"/>
              </w:rPr>
              <w:t xml:space="preserve"> -   </w:t>
            </w:r>
          </w:p>
        </w:tc>
        <w:tc>
          <w:tcPr>
            <w:tcW w:w="1629" w:type="dxa"/>
          </w:tcPr>
          <w:p w:rsidR="007C00CF" w:rsidRPr="007C00CF" w:rsidP="007C00CF" w14:paraId="3E5D01C3" w14:textId="77777777">
            <w:pPr>
              <w:spacing w:after="0" w:line="240" w:lineRule="auto"/>
              <w:jc w:val="center"/>
              <w:rPr>
                <w:rFonts w:ascii="Times New Roman" w:hAnsi="Times New Roman" w:cs="Times New Roman"/>
                <w:sz w:val="20"/>
                <w:szCs w:val="20"/>
              </w:rPr>
            </w:pPr>
            <w:r w:rsidRPr="00BC395D">
              <w:rPr>
                <w:rFonts w:ascii="Times New Roman" w:hAnsi="Times New Roman" w:cs="Times New Roman"/>
              </w:rPr>
              <w:t xml:space="preserve"> -   </w:t>
            </w:r>
          </w:p>
        </w:tc>
      </w:tr>
      <w:tr w14:paraId="1FA32849" w14:textId="77777777" w:rsidTr="00BC395D">
        <w:tblPrEx>
          <w:tblW w:w="7951" w:type="dxa"/>
          <w:jc w:val="center"/>
          <w:tblLayout w:type="fixed"/>
          <w:tblLook w:val="04A0"/>
        </w:tblPrEx>
        <w:trPr>
          <w:trHeight w:val="268"/>
          <w:jc w:val="center"/>
        </w:trPr>
        <w:tc>
          <w:tcPr>
            <w:tcW w:w="1435" w:type="dxa"/>
            <w:shd w:val="clear" w:color="auto" w:fill="auto"/>
            <w:noWrap/>
            <w:vAlign w:val="center"/>
            <w:hideMark/>
          </w:tcPr>
          <w:p w:rsidR="007C00CF" w:rsidRPr="007C00CF" w:rsidP="002E3357" w14:paraId="14FB791F" w14:textId="77777777">
            <w:pPr>
              <w:spacing w:after="0" w:line="240" w:lineRule="auto"/>
              <w:rPr>
                <w:rFonts w:ascii="Times New Roman" w:eastAsia="Times New Roman" w:hAnsi="Times New Roman" w:cs="Times New Roman"/>
                <w:color w:val="000000"/>
                <w:sz w:val="20"/>
                <w:szCs w:val="20"/>
              </w:rPr>
            </w:pPr>
            <w:r w:rsidRPr="002E3357">
              <w:rPr>
                <w:rFonts w:ascii="Times New Roman" w:hAnsi="Times New Roman" w:cs="Times New Roman"/>
                <w:color w:val="000000"/>
              </w:rPr>
              <w:t>2018</w:t>
            </w:r>
          </w:p>
        </w:tc>
        <w:tc>
          <w:tcPr>
            <w:tcW w:w="1629" w:type="dxa"/>
            <w:shd w:val="clear" w:color="auto" w:fill="auto"/>
            <w:noWrap/>
            <w:vAlign w:val="bottom"/>
            <w:hideMark/>
          </w:tcPr>
          <w:p w:rsidR="007C00CF" w:rsidRPr="007C00CF" w:rsidP="007C00CF" w14:paraId="0E626498" w14:textId="77777777">
            <w:pPr>
              <w:spacing w:after="0" w:line="240" w:lineRule="auto"/>
              <w:jc w:val="center"/>
              <w:rPr>
                <w:rFonts w:ascii="Times New Roman" w:eastAsia="Times New Roman" w:hAnsi="Times New Roman" w:cs="Times New Roman"/>
                <w:color w:val="000000"/>
                <w:sz w:val="20"/>
                <w:szCs w:val="20"/>
              </w:rPr>
            </w:pPr>
            <w:r w:rsidRPr="002E3357">
              <w:rPr>
                <w:rFonts w:ascii="Times New Roman" w:hAnsi="Times New Roman" w:cs="Times New Roman"/>
                <w:color w:val="000000"/>
              </w:rPr>
              <w:t xml:space="preserve">107,040 </w:t>
            </w:r>
          </w:p>
        </w:tc>
        <w:tc>
          <w:tcPr>
            <w:tcW w:w="1629" w:type="dxa"/>
            <w:shd w:val="clear" w:color="auto" w:fill="auto"/>
            <w:noWrap/>
            <w:hideMark/>
          </w:tcPr>
          <w:p w:rsidR="007C00CF" w:rsidRPr="007C00CF" w:rsidP="007C00CF" w14:paraId="6FB9D5E3" w14:textId="77777777">
            <w:pPr>
              <w:spacing w:after="0" w:line="240" w:lineRule="auto"/>
              <w:jc w:val="center"/>
              <w:rPr>
                <w:rFonts w:ascii="Times New Roman" w:eastAsia="Times New Roman" w:hAnsi="Times New Roman" w:cs="Times New Roman"/>
                <w:color w:val="000000"/>
                <w:sz w:val="20"/>
                <w:szCs w:val="20"/>
              </w:rPr>
            </w:pPr>
            <w:r w:rsidRPr="00BC395D">
              <w:rPr>
                <w:rFonts w:ascii="Times New Roman" w:hAnsi="Times New Roman" w:cs="Times New Roman"/>
              </w:rPr>
              <w:t xml:space="preserve"> $</w:t>
            </w:r>
            <w:r w:rsidRPr="00BC395D" w:rsidR="00BC395D">
              <w:rPr>
                <w:rFonts w:ascii="Times New Roman" w:hAnsi="Times New Roman" w:cs="Times New Roman"/>
              </w:rPr>
              <w:t>87,238</w:t>
            </w:r>
            <w:r w:rsidRPr="00BC395D">
              <w:rPr>
                <w:rFonts w:ascii="Times New Roman" w:hAnsi="Times New Roman" w:cs="Times New Roman"/>
              </w:rPr>
              <w:t xml:space="preserve"> </w:t>
            </w:r>
          </w:p>
        </w:tc>
        <w:tc>
          <w:tcPr>
            <w:tcW w:w="1629" w:type="dxa"/>
            <w:shd w:val="clear" w:color="auto" w:fill="auto"/>
            <w:noWrap/>
            <w:hideMark/>
          </w:tcPr>
          <w:p w:rsidR="007C00CF" w:rsidRPr="007C00CF" w:rsidP="007C00CF" w14:paraId="474F47EC" w14:textId="77777777">
            <w:pPr>
              <w:spacing w:after="0" w:line="240" w:lineRule="auto"/>
              <w:jc w:val="center"/>
              <w:rPr>
                <w:rFonts w:ascii="Times New Roman" w:eastAsia="Times New Roman" w:hAnsi="Times New Roman" w:cs="Times New Roman"/>
                <w:color w:val="000000"/>
                <w:sz w:val="20"/>
                <w:szCs w:val="20"/>
              </w:rPr>
            </w:pPr>
            <w:r w:rsidRPr="00F31092">
              <w:rPr>
                <w:rFonts w:ascii="Times New Roman" w:hAnsi="Times New Roman" w:cs="Times New Roman"/>
              </w:rPr>
              <w:t xml:space="preserve"> $789,540,346 </w:t>
            </w:r>
          </w:p>
        </w:tc>
        <w:tc>
          <w:tcPr>
            <w:tcW w:w="1629" w:type="dxa"/>
          </w:tcPr>
          <w:p w:rsidR="007C00CF" w:rsidRPr="007C00CF" w:rsidP="007C00CF" w14:paraId="4786F649" w14:textId="77777777">
            <w:pPr>
              <w:spacing w:after="0" w:line="240" w:lineRule="auto"/>
              <w:jc w:val="center"/>
              <w:rPr>
                <w:rFonts w:ascii="Times New Roman" w:hAnsi="Times New Roman" w:cs="Times New Roman"/>
                <w:sz w:val="20"/>
                <w:szCs w:val="20"/>
              </w:rPr>
            </w:pPr>
            <w:r w:rsidRPr="00F31092">
              <w:rPr>
                <w:rFonts w:ascii="Times New Roman" w:hAnsi="Times New Roman" w:cs="Times New Roman"/>
              </w:rPr>
              <w:t xml:space="preserve"> $7,376,124 </w:t>
            </w:r>
          </w:p>
        </w:tc>
      </w:tr>
      <w:tr w14:paraId="2049B8E5" w14:textId="77777777" w:rsidTr="00BC395D">
        <w:tblPrEx>
          <w:tblW w:w="7951" w:type="dxa"/>
          <w:jc w:val="center"/>
          <w:tblLayout w:type="fixed"/>
          <w:tblLook w:val="04A0"/>
        </w:tblPrEx>
        <w:trPr>
          <w:trHeight w:val="268"/>
          <w:jc w:val="center"/>
        </w:trPr>
        <w:tc>
          <w:tcPr>
            <w:tcW w:w="1435" w:type="dxa"/>
            <w:shd w:val="clear" w:color="auto" w:fill="auto"/>
            <w:noWrap/>
            <w:vAlign w:val="center"/>
            <w:hideMark/>
          </w:tcPr>
          <w:p w:rsidR="007C00CF" w:rsidRPr="007C00CF" w:rsidP="002E3357" w14:paraId="514D4339" w14:textId="77777777">
            <w:pPr>
              <w:spacing w:after="0" w:line="240" w:lineRule="auto"/>
              <w:rPr>
                <w:rFonts w:ascii="Times New Roman" w:eastAsia="Times New Roman" w:hAnsi="Times New Roman" w:cs="Times New Roman"/>
                <w:color w:val="000000"/>
                <w:sz w:val="20"/>
                <w:szCs w:val="20"/>
              </w:rPr>
            </w:pPr>
            <w:r w:rsidRPr="002E3357">
              <w:rPr>
                <w:rFonts w:ascii="Times New Roman" w:hAnsi="Times New Roman" w:cs="Times New Roman"/>
                <w:color w:val="000000"/>
              </w:rPr>
              <w:t>2019</w:t>
            </w:r>
          </w:p>
        </w:tc>
        <w:tc>
          <w:tcPr>
            <w:tcW w:w="1629" w:type="dxa"/>
            <w:shd w:val="clear" w:color="auto" w:fill="auto"/>
            <w:noWrap/>
            <w:vAlign w:val="bottom"/>
            <w:hideMark/>
          </w:tcPr>
          <w:p w:rsidR="007C00CF" w:rsidRPr="007C00CF" w:rsidP="007C00CF" w14:paraId="1C18BF38" w14:textId="77777777">
            <w:pPr>
              <w:spacing w:after="0" w:line="240" w:lineRule="auto"/>
              <w:jc w:val="center"/>
              <w:rPr>
                <w:rFonts w:ascii="Times New Roman" w:eastAsia="Times New Roman" w:hAnsi="Times New Roman" w:cs="Times New Roman"/>
                <w:color w:val="000000"/>
                <w:sz w:val="20"/>
                <w:szCs w:val="20"/>
              </w:rPr>
            </w:pPr>
            <w:r w:rsidRPr="002E3357">
              <w:rPr>
                <w:rFonts w:ascii="Times New Roman" w:hAnsi="Times New Roman" w:cs="Times New Roman"/>
                <w:color w:val="000000"/>
              </w:rPr>
              <w:t xml:space="preserve">107,509 </w:t>
            </w:r>
          </w:p>
        </w:tc>
        <w:tc>
          <w:tcPr>
            <w:tcW w:w="1629" w:type="dxa"/>
            <w:shd w:val="clear" w:color="auto" w:fill="auto"/>
            <w:noWrap/>
            <w:hideMark/>
          </w:tcPr>
          <w:p w:rsidR="007C00CF" w:rsidRPr="007C00CF" w:rsidP="007C00CF" w14:paraId="7C6C9531" w14:textId="77777777">
            <w:pPr>
              <w:spacing w:after="0" w:line="240" w:lineRule="auto"/>
              <w:jc w:val="center"/>
              <w:rPr>
                <w:rFonts w:ascii="Times New Roman" w:eastAsia="Times New Roman" w:hAnsi="Times New Roman" w:cs="Times New Roman"/>
                <w:color w:val="000000"/>
                <w:sz w:val="20"/>
                <w:szCs w:val="20"/>
              </w:rPr>
            </w:pPr>
            <w:r w:rsidRPr="00BC395D">
              <w:rPr>
                <w:rFonts w:ascii="Times New Roman" w:hAnsi="Times New Roman" w:cs="Times New Roman"/>
              </w:rPr>
              <w:t xml:space="preserve"> $</w:t>
            </w:r>
            <w:r w:rsidRPr="00BC395D" w:rsidR="00BC395D">
              <w:rPr>
                <w:rFonts w:ascii="Times New Roman" w:hAnsi="Times New Roman" w:cs="Times New Roman"/>
              </w:rPr>
              <w:t>88,166</w:t>
            </w:r>
            <w:r w:rsidRPr="00BC395D">
              <w:rPr>
                <w:rFonts w:ascii="Times New Roman" w:hAnsi="Times New Roman" w:cs="Times New Roman"/>
              </w:rPr>
              <w:t xml:space="preserve"> </w:t>
            </w:r>
          </w:p>
        </w:tc>
        <w:tc>
          <w:tcPr>
            <w:tcW w:w="1629" w:type="dxa"/>
            <w:shd w:val="clear" w:color="auto" w:fill="auto"/>
            <w:noWrap/>
            <w:hideMark/>
          </w:tcPr>
          <w:p w:rsidR="007C00CF" w:rsidRPr="007C00CF" w:rsidP="007C00CF" w14:paraId="6CA46E70" w14:textId="77777777">
            <w:pPr>
              <w:spacing w:after="0" w:line="240" w:lineRule="auto"/>
              <w:jc w:val="center"/>
              <w:rPr>
                <w:rFonts w:ascii="Times New Roman" w:eastAsia="Times New Roman" w:hAnsi="Times New Roman" w:cs="Times New Roman"/>
                <w:color w:val="000000"/>
                <w:sz w:val="20"/>
                <w:szCs w:val="20"/>
              </w:rPr>
            </w:pPr>
            <w:r w:rsidRPr="00FA04B8">
              <w:rPr>
                <w:rFonts w:ascii="Times New Roman" w:hAnsi="Times New Roman" w:cs="Times New Roman"/>
              </w:rPr>
              <w:t xml:space="preserve"> $691,528,576 </w:t>
            </w:r>
          </w:p>
        </w:tc>
        <w:tc>
          <w:tcPr>
            <w:tcW w:w="1629" w:type="dxa"/>
          </w:tcPr>
          <w:p w:rsidR="007C00CF" w:rsidRPr="007C00CF" w:rsidP="007C00CF" w14:paraId="7B2D9F6B" w14:textId="77777777">
            <w:pPr>
              <w:spacing w:after="0" w:line="240" w:lineRule="auto"/>
              <w:jc w:val="center"/>
              <w:rPr>
                <w:rFonts w:ascii="Times New Roman" w:hAnsi="Times New Roman" w:cs="Times New Roman"/>
                <w:sz w:val="20"/>
                <w:szCs w:val="20"/>
              </w:rPr>
            </w:pPr>
            <w:r w:rsidRPr="00F31092">
              <w:rPr>
                <w:rFonts w:ascii="Times New Roman" w:hAnsi="Times New Roman" w:cs="Times New Roman"/>
              </w:rPr>
              <w:t xml:space="preserve"> $6,</w:t>
            </w:r>
            <w:r w:rsidRPr="00FA04B8" w:rsidR="00E9740A">
              <w:rPr>
                <w:rFonts w:ascii="Times New Roman" w:hAnsi="Times New Roman" w:cs="Times New Roman"/>
              </w:rPr>
              <w:t>432,285</w:t>
            </w:r>
            <w:r w:rsidRPr="00F31092">
              <w:rPr>
                <w:rFonts w:ascii="Times New Roman" w:hAnsi="Times New Roman" w:cs="Times New Roman"/>
              </w:rPr>
              <w:t xml:space="preserve"> </w:t>
            </w:r>
          </w:p>
        </w:tc>
      </w:tr>
      <w:tr w14:paraId="265C8178" w14:textId="77777777" w:rsidTr="00BC395D">
        <w:tblPrEx>
          <w:tblW w:w="7951" w:type="dxa"/>
          <w:jc w:val="center"/>
          <w:tblLayout w:type="fixed"/>
          <w:tblLook w:val="04A0"/>
        </w:tblPrEx>
        <w:trPr>
          <w:trHeight w:val="268"/>
          <w:jc w:val="center"/>
        </w:trPr>
        <w:tc>
          <w:tcPr>
            <w:tcW w:w="1435" w:type="dxa"/>
            <w:shd w:val="clear" w:color="auto" w:fill="auto"/>
            <w:noWrap/>
            <w:vAlign w:val="center"/>
          </w:tcPr>
          <w:p w:rsidR="007C00CF" w:rsidRPr="007C00CF" w:rsidP="002E3357" w14:paraId="4746E7C2" w14:textId="77777777">
            <w:pPr>
              <w:spacing w:after="0" w:line="240" w:lineRule="auto"/>
              <w:rPr>
                <w:rFonts w:ascii="Times New Roman" w:eastAsia="Times New Roman" w:hAnsi="Times New Roman" w:cs="Times New Roman"/>
                <w:color w:val="000000"/>
                <w:sz w:val="20"/>
                <w:szCs w:val="20"/>
              </w:rPr>
            </w:pPr>
            <w:r w:rsidRPr="002E3357">
              <w:rPr>
                <w:rFonts w:ascii="Times New Roman" w:hAnsi="Times New Roman" w:cs="Times New Roman"/>
                <w:color w:val="000000"/>
              </w:rPr>
              <w:t>2020</w:t>
            </w:r>
          </w:p>
        </w:tc>
        <w:tc>
          <w:tcPr>
            <w:tcW w:w="1629" w:type="dxa"/>
            <w:shd w:val="clear" w:color="auto" w:fill="auto"/>
            <w:noWrap/>
            <w:vAlign w:val="bottom"/>
          </w:tcPr>
          <w:p w:rsidR="007C00CF" w:rsidRPr="007C00CF" w:rsidP="007C00CF" w14:paraId="0635CAA8" w14:textId="77777777">
            <w:pPr>
              <w:spacing w:after="0" w:line="240" w:lineRule="auto"/>
              <w:jc w:val="center"/>
              <w:rPr>
                <w:rFonts w:ascii="Times New Roman" w:hAnsi="Times New Roman" w:cs="Times New Roman"/>
                <w:sz w:val="20"/>
                <w:szCs w:val="20"/>
              </w:rPr>
            </w:pPr>
            <w:r w:rsidRPr="002E3357">
              <w:rPr>
                <w:rFonts w:ascii="Times New Roman" w:hAnsi="Times New Roman" w:cs="Times New Roman"/>
                <w:color w:val="000000"/>
              </w:rPr>
              <w:t xml:space="preserve">111,764 </w:t>
            </w:r>
          </w:p>
        </w:tc>
        <w:tc>
          <w:tcPr>
            <w:tcW w:w="1629" w:type="dxa"/>
            <w:shd w:val="clear" w:color="auto" w:fill="auto"/>
            <w:noWrap/>
          </w:tcPr>
          <w:p w:rsidR="007C00CF" w:rsidRPr="007C00CF" w:rsidP="007C00CF" w14:paraId="58AC45F4" w14:textId="77777777">
            <w:pPr>
              <w:spacing w:after="0" w:line="240" w:lineRule="auto"/>
              <w:jc w:val="center"/>
              <w:rPr>
                <w:rFonts w:ascii="Times New Roman" w:hAnsi="Times New Roman" w:cs="Times New Roman"/>
                <w:sz w:val="20"/>
                <w:szCs w:val="20"/>
              </w:rPr>
            </w:pPr>
            <w:r w:rsidRPr="00BC395D">
              <w:rPr>
                <w:rFonts w:ascii="Times New Roman" w:hAnsi="Times New Roman" w:cs="Times New Roman"/>
              </w:rPr>
              <w:t xml:space="preserve"> $</w:t>
            </w:r>
            <w:r w:rsidRPr="00BC395D" w:rsidR="00BC395D">
              <w:rPr>
                <w:rFonts w:ascii="Times New Roman" w:hAnsi="Times New Roman" w:cs="Times New Roman"/>
              </w:rPr>
              <w:t>89,830</w:t>
            </w:r>
            <w:r w:rsidRPr="00BC395D">
              <w:rPr>
                <w:rFonts w:ascii="Times New Roman" w:hAnsi="Times New Roman" w:cs="Times New Roman"/>
              </w:rPr>
              <w:t xml:space="preserve"> </w:t>
            </w:r>
          </w:p>
        </w:tc>
        <w:tc>
          <w:tcPr>
            <w:tcW w:w="1629" w:type="dxa"/>
            <w:shd w:val="clear" w:color="auto" w:fill="auto"/>
            <w:noWrap/>
          </w:tcPr>
          <w:p w:rsidR="007C00CF" w:rsidRPr="007C00CF" w:rsidP="007C00CF" w14:paraId="640480F3" w14:textId="77777777">
            <w:pPr>
              <w:spacing w:after="0" w:line="240" w:lineRule="auto"/>
              <w:jc w:val="center"/>
              <w:rPr>
                <w:rFonts w:ascii="Times New Roman" w:hAnsi="Times New Roman" w:cs="Times New Roman"/>
                <w:sz w:val="20"/>
                <w:szCs w:val="20"/>
              </w:rPr>
            </w:pPr>
            <w:r w:rsidRPr="00FA04B8">
              <w:rPr>
                <w:rFonts w:ascii="Times New Roman" w:hAnsi="Times New Roman" w:cs="Times New Roman"/>
              </w:rPr>
              <w:t xml:space="preserve"> $407,274,260 </w:t>
            </w:r>
          </w:p>
        </w:tc>
        <w:tc>
          <w:tcPr>
            <w:tcW w:w="1629" w:type="dxa"/>
          </w:tcPr>
          <w:p w:rsidR="007C00CF" w:rsidRPr="007C00CF" w:rsidP="007C00CF" w14:paraId="1BD3C5EB" w14:textId="77777777">
            <w:pPr>
              <w:spacing w:after="0" w:line="240" w:lineRule="auto"/>
              <w:jc w:val="center"/>
              <w:rPr>
                <w:rFonts w:ascii="Times New Roman" w:hAnsi="Times New Roman" w:cs="Times New Roman"/>
                <w:sz w:val="20"/>
                <w:szCs w:val="20"/>
              </w:rPr>
            </w:pPr>
            <w:r w:rsidRPr="00F31092">
              <w:rPr>
                <w:rFonts w:ascii="Times New Roman" w:hAnsi="Times New Roman" w:cs="Times New Roman"/>
              </w:rPr>
              <w:t xml:space="preserve"> $3,</w:t>
            </w:r>
            <w:r w:rsidRPr="00FA04B8" w:rsidR="00E9740A">
              <w:rPr>
                <w:rFonts w:ascii="Times New Roman" w:hAnsi="Times New Roman" w:cs="Times New Roman"/>
              </w:rPr>
              <w:t>644,056</w:t>
            </w:r>
            <w:r w:rsidRPr="00F31092">
              <w:rPr>
                <w:rFonts w:ascii="Times New Roman" w:hAnsi="Times New Roman" w:cs="Times New Roman"/>
              </w:rPr>
              <w:t xml:space="preserve"> </w:t>
            </w:r>
          </w:p>
        </w:tc>
      </w:tr>
    </w:tbl>
    <w:p w:rsidR="006505FB" w:rsidP="00347BE9" w14:paraId="45DF9BCE" w14:textId="77777777">
      <w:pPr>
        <w:spacing w:after="0" w:line="240" w:lineRule="auto"/>
        <w:rPr>
          <w:rFonts w:ascii="Times New Roman" w:hAnsi="Times New Roman" w:cs="Times New Roman"/>
        </w:rPr>
      </w:pPr>
    </w:p>
    <w:p w:rsidR="002A660D" w:rsidP="002A660D" w14:paraId="2E69050E" w14:textId="77777777">
      <w:pPr>
        <w:spacing w:after="0" w:line="240" w:lineRule="auto"/>
        <w:jc w:val="center"/>
        <w:rPr>
          <w:rFonts w:ascii="Times New Roman" w:hAnsi="Times New Roman" w:cs="Times New Roman"/>
          <w:b/>
          <w:bCs/>
        </w:rPr>
      </w:pPr>
      <w:r w:rsidRPr="00A96BA5">
        <w:rPr>
          <w:rFonts w:ascii="Times New Roman" w:hAnsi="Times New Roman" w:cs="Times New Roman"/>
          <w:b/>
          <w:bCs/>
        </w:rPr>
        <w:t>Exhibit 11-</w:t>
      </w:r>
      <w:r>
        <w:rPr>
          <w:rFonts w:ascii="Times New Roman" w:hAnsi="Times New Roman" w:cs="Times New Roman"/>
          <w:b/>
          <w:bCs/>
        </w:rPr>
        <w:t>2</w:t>
      </w:r>
      <w:r w:rsidRPr="00A96BA5">
        <w:rPr>
          <w:rFonts w:ascii="Times New Roman" w:hAnsi="Times New Roman" w:cs="Times New Roman"/>
          <w:b/>
          <w:bCs/>
        </w:rPr>
        <w:t xml:space="preserve">: Employment, Average Wages, Revenue </w:t>
      </w:r>
    </w:p>
    <w:p w:rsidR="002A660D" w:rsidP="002A660D" w14:paraId="0DF3AE0D" w14:textId="77777777">
      <w:pPr>
        <w:spacing w:after="0" w:line="240" w:lineRule="auto"/>
        <w:jc w:val="center"/>
        <w:rPr>
          <w:rFonts w:ascii="Times New Roman" w:hAnsi="Times New Roman" w:cs="Times New Roman"/>
        </w:rPr>
      </w:pPr>
      <w:r w:rsidRPr="00A96BA5">
        <w:rPr>
          <w:rFonts w:ascii="Times New Roman" w:hAnsi="Times New Roman" w:cs="Times New Roman"/>
          <w:b/>
          <w:bCs/>
        </w:rPr>
        <w:t>and Labor Productivity for NA</w:t>
      </w:r>
      <w:r w:rsidR="001E44FA">
        <w:rPr>
          <w:rFonts w:ascii="Times New Roman" w:hAnsi="Times New Roman" w:cs="Times New Roman"/>
          <w:b/>
          <w:bCs/>
        </w:rPr>
        <w:t>IC</w:t>
      </w:r>
      <w:r w:rsidRPr="00A96BA5">
        <w:rPr>
          <w:rFonts w:ascii="Times New Roman" w:hAnsi="Times New Roman" w:cs="Times New Roman"/>
          <w:b/>
          <w:bCs/>
        </w:rPr>
        <w:t xml:space="preserve">S </w:t>
      </w:r>
      <w:r w:rsidR="008C68D4">
        <w:rPr>
          <w:rFonts w:ascii="Times New Roman" w:hAnsi="Times New Roman" w:cs="Times New Roman"/>
          <w:b/>
          <w:bCs/>
        </w:rPr>
        <w:t>Sector</w:t>
      </w:r>
      <w:r w:rsidRPr="00A96BA5">
        <w:rPr>
          <w:rFonts w:ascii="Times New Roman" w:hAnsi="Times New Roman" w:cs="Times New Roman"/>
          <w:b/>
          <w:bCs/>
        </w:rPr>
        <w:t xml:space="preserve"> 32</w:t>
      </w:r>
      <w:r>
        <w:rPr>
          <w:rFonts w:ascii="Times New Roman" w:hAnsi="Times New Roman" w:cs="Times New Roman"/>
          <w:b/>
          <w:bCs/>
        </w:rPr>
        <w:t>5</w:t>
      </w:r>
    </w:p>
    <w:tbl>
      <w:tblPr>
        <w:tblW w:w="7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5"/>
        <w:gridCol w:w="1629"/>
        <w:gridCol w:w="1629"/>
        <w:gridCol w:w="1629"/>
        <w:gridCol w:w="1629"/>
      </w:tblGrid>
      <w:tr w14:paraId="5A478D4A" w14:textId="77777777">
        <w:tblPrEx>
          <w:tblW w:w="7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90"/>
          <w:tblHeader/>
          <w:jc w:val="center"/>
        </w:trPr>
        <w:tc>
          <w:tcPr>
            <w:tcW w:w="1435" w:type="dxa"/>
            <w:shd w:val="clear" w:color="auto" w:fill="D0CECE" w:themeFill="background2" w:themeFillShade="E6"/>
            <w:noWrap/>
            <w:hideMark/>
          </w:tcPr>
          <w:p w:rsidR="007E6C4B" w:rsidRPr="007C00CF" w14:paraId="5868D288" w14:textId="77777777">
            <w:pPr>
              <w:keepNext/>
              <w:spacing w:after="0" w:line="240" w:lineRule="auto"/>
              <w:rPr>
                <w:rFonts w:ascii="Times New Roman" w:eastAsia="Times New Roman" w:hAnsi="Times New Roman" w:cs="Times New Roman"/>
                <w:b/>
                <w:bCs/>
                <w:sz w:val="20"/>
                <w:szCs w:val="20"/>
              </w:rPr>
            </w:pPr>
            <w:r w:rsidRPr="002E3357">
              <w:rPr>
                <w:rFonts w:ascii="Times New Roman" w:hAnsi="Times New Roman" w:cs="Times New Roman"/>
                <w:b/>
                <w:bCs/>
              </w:rPr>
              <w:t>Year</w:t>
            </w:r>
          </w:p>
        </w:tc>
        <w:tc>
          <w:tcPr>
            <w:tcW w:w="1629" w:type="dxa"/>
            <w:shd w:val="clear" w:color="auto" w:fill="D0CECE" w:themeFill="background2" w:themeFillShade="E6"/>
            <w:noWrap/>
            <w:hideMark/>
          </w:tcPr>
          <w:p w:rsidR="007E6C4B" w:rsidRPr="007C00CF" w14:paraId="486192E2" w14:textId="77777777">
            <w:pPr>
              <w:keepNext/>
              <w:spacing w:after="0" w:line="240" w:lineRule="auto"/>
              <w:jc w:val="center"/>
              <w:rPr>
                <w:rFonts w:ascii="Times New Roman" w:eastAsia="Times New Roman" w:hAnsi="Times New Roman" w:cs="Times New Roman"/>
                <w:b/>
                <w:bCs/>
                <w:color w:val="000000"/>
                <w:sz w:val="20"/>
                <w:szCs w:val="20"/>
              </w:rPr>
            </w:pPr>
            <w:r w:rsidRPr="002E3357">
              <w:rPr>
                <w:rFonts w:ascii="Times New Roman" w:hAnsi="Times New Roman" w:cs="Times New Roman"/>
                <w:b/>
                <w:bCs/>
              </w:rPr>
              <w:t>Employment</w:t>
            </w:r>
          </w:p>
        </w:tc>
        <w:tc>
          <w:tcPr>
            <w:tcW w:w="1629" w:type="dxa"/>
            <w:shd w:val="clear" w:color="auto" w:fill="D0CECE" w:themeFill="background2" w:themeFillShade="E6"/>
            <w:noWrap/>
            <w:hideMark/>
          </w:tcPr>
          <w:p w:rsidR="007E6C4B" w:rsidRPr="007C00CF" w14:paraId="624CBC05" w14:textId="77777777">
            <w:pPr>
              <w:keepNext/>
              <w:spacing w:after="0" w:line="240" w:lineRule="auto"/>
              <w:jc w:val="center"/>
              <w:rPr>
                <w:rFonts w:ascii="Times New Roman" w:eastAsia="Times New Roman" w:hAnsi="Times New Roman" w:cs="Times New Roman"/>
                <w:b/>
                <w:bCs/>
                <w:color w:val="000000"/>
                <w:sz w:val="20"/>
                <w:szCs w:val="20"/>
              </w:rPr>
            </w:pPr>
            <w:r w:rsidRPr="002E3357">
              <w:rPr>
                <w:rFonts w:ascii="Times New Roman" w:hAnsi="Times New Roman" w:cs="Times New Roman"/>
                <w:b/>
                <w:bCs/>
              </w:rPr>
              <w:t>Average Wages</w:t>
            </w:r>
          </w:p>
        </w:tc>
        <w:tc>
          <w:tcPr>
            <w:tcW w:w="1629" w:type="dxa"/>
            <w:shd w:val="clear" w:color="auto" w:fill="D0CECE" w:themeFill="background2" w:themeFillShade="E6"/>
            <w:noWrap/>
            <w:hideMark/>
          </w:tcPr>
          <w:p w:rsidR="007E6C4B" w:rsidRPr="007C00CF" w14:paraId="34D5F671" w14:textId="77777777">
            <w:pPr>
              <w:keepNext/>
              <w:spacing w:after="0" w:line="240" w:lineRule="auto"/>
              <w:jc w:val="center"/>
              <w:rPr>
                <w:rFonts w:ascii="Times New Roman" w:eastAsia="Times New Roman" w:hAnsi="Times New Roman" w:cs="Times New Roman"/>
                <w:b/>
                <w:bCs/>
                <w:color w:val="000000"/>
                <w:sz w:val="20"/>
                <w:szCs w:val="20"/>
              </w:rPr>
            </w:pPr>
            <w:r w:rsidRPr="002E3357">
              <w:rPr>
                <w:rFonts w:ascii="Times New Roman" w:hAnsi="Times New Roman" w:cs="Times New Roman"/>
                <w:b/>
                <w:bCs/>
              </w:rPr>
              <w:t xml:space="preserve">Revenue </w:t>
            </w:r>
            <w:r>
              <w:rPr>
                <w:rFonts w:ascii="Times New Roman" w:hAnsi="Times New Roman" w:cs="Times New Roman"/>
                <w:b/>
                <w:bCs/>
              </w:rPr>
              <w:t>($1,000)</w:t>
            </w:r>
          </w:p>
        </w:tc>
        <w:tc>
          <w:tcPr>
            <w:tcW w:w="1629" w:type="dxa"/>
            <w:shd w:val="clear" w:color="auto" w:fill="D0CECE" w:themeFill="background2" w:themeFillShade="E6"/>
          </w:tcPr>
          <w:p w:rsidR="007E6C4B" w:rsidRPr="007C00CF" w14:paraId="0F5C12BD" w14:textId="77777777">
            <w:pPr>
              <w:keepNext/>
              <w:spacing w:after="0" w:line="240" w:lineRule="auto"/>
              <w:jc w:val="center"/>
              <w:rPr>
                <w:rFonts w:ascii="Times New Roman" w:eastAsia="Times New Roman" w:hAnsi="Times New Roman" w:cs="Times New Roman"/>
                <w:b/>
                <w:bCs/>
                <w:color w:val="000000"/>
                <w:sz w:val="20"/>
                <w:szCs w:val="20"/>
              </w:rPr>
            </w:pPr>
            <w:r>
              <w:rPr>
                <w:rFonts w:ascii="Times New Roman" w:hAnsi="Times New Roman" w:cs="Times New Roman"/>
                <w:b/>
                <w:bCs/>
              </w:rPr>
              <w:t>Labor Productivity (Revenue / Employment)</w:t>
            </w:r>
          </w:p>
        </w:tc>
      </w:tr>
      <w:tr w14:paraId="2309E5AB" w14:textId="77777777" w:rsidTr="00FA04B8">
        <w:tblPrEx>
          <w:tblW w:w="7951" w:type="dxa"/>
          <w:jc w:val="center"/>
          <w:tblLayout w:type="fixed"/>
          <w:tblLook w:val="04A0"/>
        </w:tblPrEx>
        <w:trPr>
          <w:trHeight w:val="290"/>
          <w:jc w:val="center"/>
        </w:trPr>
        <w:tc>
          <w:tcPr>
            <w:tcW w:w="1435" w:type="dxa"/>
            <w:shd w:val="clear" w:color="auto" w:fill="auto"/>
            <w:noWrap/>
            <w:vAlign w:val="center"/>
            <w:hideMark/>
          </w:tcPr>
          <w:p w:rsidR="007E6C4B" w:rsidRPr="007C00CF" w14:paraId="0604254E" w14:textId="77777777">
            <w:pPr>
              <w:spacing w:after="0" w:line="240" w:lineRule="auto"/>
              <w:rPr>
                <w:rFonts w:ascii="Times New Roman" w:eastAsia="Times New Roman" w:hAnsi="Times New Roman" w:cs="Times New Roman"/>
                <w:color w:val="000000"/>
                <w:sz w:val="20"/>
                <w:szCs w:val="20"/>
              </w:rPr>
            </w:pPr>
            <w:r w:rsidRPr="002E3357">
              <w:rPr>
                <w:rFonts w:ascii="Times New Roman" w:hAnsi="Times New Roman" w:cs="Times New Roman"/>
                <w:color w:val="000000"/>
              </w:rPr>
              <w:t>2016</w:t>
            </w:r>
          </w:p>
        </w:tc>
        <w:tc>
          <w:tcPr>
            <w:tcW w:w="1629" w:type="dxa"/>
            <w:shd w:val="clear" w:color="auto" w:fill="auto"/>
            <w:noWrap/>
            <w:vAlign w:val="bottom"/>
            <w:hideMark/>
          </w:tcPr>
          <w:p w:rsidR="007E6C4B" w:rsidRPr="007C00CF" w14:paraId="6817D782" w14:textId="77777777">
            <w:pPr>
              <w:spacing w:after="0" w:line="240" w:lineRule="auto"/>
              <w:jc w:val="center"/>
              <w:rPr>
                <w:rFonts w:ascii="Times New Roman" w:eastAsia="Times New Roman" w:hAnsi="Times New Roman" w:cs="Times New Roman"/>
                <w:color w:val="000000"/>
                <w:sz w:val="20"/>
                <w:szCs w:val="20"/>
              </w:rPr>
            </w:pPr>
            <w:r w:rsidRPr="00201A58">
              <w:rPr>
                <w:rFonts w:ascii="Times New Roman" w:hAnsi="Times New Roman" w:cs="Times New Roman"/>
                <w:color w:val="000000"/>
              </w:rPr>
              <w:t xml:space="preserve">766,771 </w:t>
            </w:r>
          </w:p>
        </w:tc>
        <w:tc>
          <w:tcPr>
            <w:tcW w:w="1629" w:type="dxa"/>
            <w:shd w:val="clear" w:color="auto" w:fill="auto"/>
            <w:noWrap/>
            <w:hideMark/>
          </w:tcPr>
          <w:p w:rsidR="007E6C4B" w:rsidRPr="007C00CF" w14:paraId="75B37C93" w14:textId="77777777">
            <w:pPr>
              <w:spacing w:after="0" w:line="240" w:lineRule="auto"/>
              <w:jc w:val="center"/>
              <w:rPr>
                <w:rFonts w:ascii="Times New Roman" w:eastAsia="Times New Roman" w:hAnsi="Times New Roman" w:cs="Times New Roman"/>
                <w:color w:val="000000"/>
                <w:sz w:val="20"/>
                <w:szCs w:val="20"/>
              </w:rPr>
            </w:pPr>
            <w:r w:rsidRPr="00FA04B8">
              <w:rPr>
                <w:rFonts w:ascii="Times New Roman" w:hAnsi="Times New Roman" w:cs="Times New Roman"/>
              </w:rPr>
              <w:t xml:space="preserve"> $77,178 </w:t>
            </w:r>
          </w:p>
        </w:tc>
        <w:tc>
          <w:tcPr>
            <w:tcW w:w="1629" w:type="dxa"/>
            <w:shd w:val="clear" w:color="auto" w:fill="auto"/>
            <w:noWrap/>
            <w:hideMark/>
          </w:tcPr>
          <w:p w:rsidR="007E6C4B" w:rsidRPr="007C00CF" w14:paraId="01BF1841" w14:textId="77777777">
            <w:pPr>
              <w:spacing w:after="0" w:line="240" w:lineRule="auto"/>
              <w:jc w:val="center"/>
              <w:rPr>
                <w:rFonts w:ascii="Times New Roman" w:eastAsia="Times New Roman" w:hAnsi="Times New Roman" w:cs="Times New Roman"/>
                <w:color w:val="000000"/>
                <w:sz w:val="20"/>
                <w:szCs w:val="20"/>
              </w:rPr>
            </w:pPr>
            <w:r w:rsidRPr="00FA04B8">
              <w:rPr>
                <w:rFonts w:ascii="Times New Roman" w:hAnsi="Times New Roman" w:cs="Times New Roman"/>
              </w:rPr>
              <w:t xml:space="preserve"> -   </w:t>
            </w:r>
          </w:p>
        </w:tc>
        <w:tc>
          <w:tcPr>
            <w:tcW w:w="1629" w:type="dxa"/>
          </w:tcPr>
          <w:p w:rsidR="007E6C4B" w:rsidRPr="007C00CF" w14:paraId="1B122B0A" w14:textId="77777777">
            <w:pPr>
              <w:spacing w:after="0" w:line="240" w:lineRule="auto"/>
              <w:jc w:val="center"/>
              <w:rPr>
                <w:rFonts w:ascii="Times New Roman" w:hAnsi="Times New Roman" w:cs="Times New Roman"/>
                <w:color w:val="000000"/>
                <w:sz w:val="20"/>
                <w:szCs w:val="20"/>
              </w:rPr>
            </w:pPr>
            <w:r w:rsidRPr="00FA04B8">
              <w:rPr>
                <w:rFonts w:ascii="Times New Roman" w:hAnsi="Times New Roman" w:cs="Times New Roman"/>
              </w:rPr>
              <w:t xml:space="preserve"> -   </w:t>
            </w:r>
          </w:p>
        </w:tc>
      </w:tr>
      <w:tr w14:paraId="59D57192" w14:textId="77777777" w:rsidTr="00FA04B8">
        <w:tblPrEx>
          <w:tblW w:w="7951" w:type="dxa"/>
          <w:jc w:val="center"/>
          <w:tblLayout w:type="fixed"/>
          <w:tblLook w:val="04A0"/>
        </w:tblPrEx>
        <w:trPr>
          <w:trHeight w:val="268"/>
          <w:jc w:val="center"/>
        </w:trPr>
        <w:tc>
          <w:tcPr>
            <w:tcW w:w="1435" w:type="dxa"/>
            <w:shd w:val="clear" w:color="auto" w:fill="auto"/>
            <w:noWrap/>
            <w:vAlign w:val="center"/>
            <w:hideMark/>
          </w:tcPr>
          <w:p w:rsidR="007E6C4B" w:rsidRPr="007C00CF" w14:paraId="4DBCA318" w14:textId="77777777">
            <w:pPr>
              <w:spacing w:after="0" w:line="240" w:lineRule="auto"/>
              <w:rPr>
                <w:rFonts w:ascii="Times New Roman" w:eastAsia="Times New Roman" w:hAnsi="Times New Roman" w:cs="Times New Roman"/>
                <w:color w:val="000000"/>
                <w:sz w:val="20"/>
                <w:szCs w:val="20"/>
              </w:rPr>
            </w:pPr>
            <w:r w:rsidRPr="002E3357">
              <w:rPr>
                <w:rFonts w:ascii="Times New Roman" w:hAnsi="Times New Roman" w:cs="Times New Roman"/>
                <w:color w:val="000000"/>
              </w:rPr>
              <w:t>2017</w:t>
            </w:r>
          </w:p>
        </w:tc>
        <w:tc>
          <w:tcPr>
            <w:tcW w:w="1629" w:type="dxa"/>
            <w:shd w:val="clear" w:color="auto" w:fill="auto"/>
            <w:noWrap/>
            <w:vAlign w:val="bottom"/>
            <w:hideMark/>
          </w:tcPr>
          <w:p w:rsidR="007E6C4B" w:rsidRPr="007C00CF" w14:paraId="58C99E9E" w14:textId="77777777">
            <w:pPr>
              <w:spacing w:after="0" w:line="240" w:lineRule="auto"/>
              <w:jc w:val="center"/>
              <w:rPr>
                <w:rFonts w:ascii="Times New Roman" w:eastAsia="Times New Roman" w:hAnsi="Times New Roman" w:cs="Times New Roman"/>
                <w:color w:val="000000"/>
                <w:sz w:val="20"/>
                <w:szCs w:val="20"/>
              </w:rPr>
            </w:pPr>
            <w:r w:rsidRPr="00201A58">
              <w:rPr>
                <w:rFonts w:ascii="Times New Roman" w:hAnsi="Times New Roman" w:cs="Times New Roman"/>
                <w:color w:val="000000"/>
              </w:rPr>
              <w:t xml:space="preserve">784,725 </w:t>
            </w:r>
          </w:p>
        </w:tc>
        <w:tc>
          <w:tcPr>
            <w:tcW w:w="1629" w:type="dxa"/>
            <w:shd w:val="clear" w:color="auto" w:fill="auto"/>
            <w:noWrap/>
            <w:hideMark/>
          </w:tcPr>
          <w:p w:rsidR="007E6C4B" w:rsidRPr="007C00CF" w14:paraId="49D6F781" w14:textId="77777777">
            <w:pPr>
              <w:spacing w:after="0" w:line="240" w:lineRule="auto"/>
              <w:jc w:val="center"/>
              <w:rPr>
                <w:rFonts w:ascii="Times New Roman" w:eastAsia="Times New Roman" w:hAnsi="Times New Roman" w:cs="Times New Roman"/>
                <w:color w:val="000000"/>
                <w:sz w:val="20"/>
                <w:szCs w:val="20"/>
              </w:rPr>
            </w:pPr>
            <w:r w:rsidRPr="00FA04B8">
              <w:rPr>
                <w:rFonts w:ascii="Times New Roman" w:hAnsi="Times New Roman" w:cs="Times New Roman"/>
              </w:rPr>
              <w:t xml:space="preserve"> $78,229 </w:t>
            </w:r>
          </w:p>
        </w:tc>
        <w:tc>
          <w:tcPr>
            <w:tcW w:w="1629" w:type="dxa"/>
            <w:shd w:val="clear" w:color="auto" w:fill="auto"/>
            <w:noWrap/>
            <w:hideMark/>
          </w:tcPr>
          <w:p w:rsidR="007E6C4B" w:rsidRPr="007C00CF" w14:paraId="56E1DD1D" w14:textId="77777777">
            <w:pPr>
              <w:spacing w:after="0" w:line="240" w:lineRule="auto"/>
              <w:jc w:val="center"/>
              <w:rPr>
                <w:rFonts w:ascii="Times New Roman" w:eastAsia="Times New Roman" w:hAnsi="Times New Roman" w:cs="Times New Roman"/>
                <w:color w:val="000000"/>
                <w:sz w:val="20"/>
                <w:szCs w:val="20"/>
              </w:rPr>
            </w:pPr>
            <w:r w:rsidRPr="00FA04B8">
              <w:rPr>
                <w:rFonts w:ascii="Times New Roman" w:hAnsi="Times New Roman" w:cs="Times New Roman"/>
              </w:rPr>
              <w:t xml:space="preserve"> -   </w:t>
            </w:r>
          </w:p>
        </w:tc>
        <w:tc>
          <w:tcPr>
            <w:tcW w:w="1629" w:type="dxa"/>
          </w:tcPr>
          <w:p w:rsidR="007E6C4B" w:rsidRPr="007C00CF" w14:paraId="31EC85CA" w14:textId="77777777">
            <w:pPr>
              <w:spacing w:after="0" w:line="240" w:lineRule="auto"/>
              <w:jc w:val="center"/>
              <w:rPr>
                <w:rFonts w:ascii="Times New Roman" w:hAnsi="Times New Roman" w:cs="Times New Roman"/>
                <w:sz w:val="20"/>
                <w:szCs w:val="20"/>
              </w:rPr>
            </w:pPr>
            <w:r w:rsidRPr="00FA04B8">
              <w:rPr>
                <w:rFonts w:ascii="Times New Roman" w:hAnsi="Times New Roman" w:cs="Times New Roman"/>
              </w:rPr>
              <w:t xml:space="preserve"> -   </w:t>
            </w:r>
          </w:p>
        </w:tc>
      </w:tr>
      <w:tr w14:paraId="413820CC" w14:textId="77777777" w:rsidTr="00FA04B8">
        <w:tblPrEx>
          <w:tblW w:w="7951" w:type="dxa"/>
          <w:jc w:val="center"/>
          <w:tblLayout w:type="fixed"/>
          <w:tblLook w:val="04A0"/>
        </w:tblPrEx>
        <w:trPr>
          <w:trHeight w:val="268"/>
          <w:jc w:val="center"/>
        </w:trPr>
        <w:tc>
          <w:tcPr>
            <w:tcW w:w="1435" w:type="dxa"/>
            <w:shd w:val="clear" w:color="auto" w:fill="auto"/>
            <w:noWrap/>
            <w:vAlign w:val="center"/>
            <w:hideMark/>
          </w:tcPr>
          <w:p w:rsidR="007E6C4B" w:rsidRPr="007C00CF" w14:paraId="6C72CA0C" w14:textId="77777777">
            <w:pPr>
              <w:spacing w:after="0" w:line="240" w:lineRule="auto"/>
              <w:rPr>
                <w:rFonts w:ascii="Times New Roman" w:eastAsia="Times New Roman" w:hAnsi="Times New Roman" w:cs="Times New Roman"/>
                <w:color w:val="000000"/>
                <w:sz w:val="20"/>
                <w:szCs w:val="20"/>
              </w:rPr>
            </w:pPr>
            <w:r w:rsidRPr="002E3357">
              <w:rPr>
                <w:rFonts w:ascii="Times New Roman" w:hAnsi="Times New Roman" w:cs="Times New Roman"/>
                <w:color w:val="000000"/>
              </w:rPr>
              <w:t>2018</w:t>
            </w:r>
          </w:p>
        </w:tc>
        <w:tc>
          <w:tcPr>
            <w:tcW w:w="1629" w:type="dxa"/>
            <w:shd w:val="clear" w:color="auto" w:fill="auto"/>
            <w:noWrap/>
            <w:vAlign w:val="bottom"/>
            <w:hideMark/>
          </w:tcPr>
          <w:p w:rsidR="007E6C4B" w:rsidRPr="007C00CF" w14:paraId="0ABE30AA" w14:textId="77777777">
            <w:pPr>
              <w:spacing w:after="0" w:line="240" w:lineRule="auto"/>
              <w:jc w:val="center"/>
              <w:rPr>
                <w:rFonts w:ascii="Times New Roman" w:eastAsia="Times New Roman" w:hAnsi="Times New Roman" w:cs="Times New Roman"/>
                <w:color w:val="000000"/>
                <w:sz w:val="20"/>
                <w:szCs w:val="20"/>
              </w:rPr>
            </w:pPr>
            <w:r w:rsidRPr="00201A58">
              <w:rPr>
                <w:rFonts w:ascii="Times New Roman" w:hAnsi="Times New Roman" w:cs="Times New Roman"/>
                <w:color w:val="000000"/>
              </w:rPr>
              <w:t xml:space="preserve">798,028 </w:t>
            </w:r>
          </w:p>
        </w:tc>
        <w:tc>
          <w:tcPr>
            <w:tcW w:w="1629" w:type="dxa"/>
            <w:shd w:val="clear" w:color="auto" w:fill="auto"/>
            <w:noWrap/>
            <w:hideMark/>
          </w:tcPr>
          <w:p w:rsidR="007E6C4B" w:rsidRPr="007C00CF" w14:paraId="3D5D9870" w14:textId="77777777">
            <w:pPr>
              <w:spacing w:after="0" w:line="240" w:lineRule="auto"/>
              <w:jc w:val="center"/>
              <w:rPr>
                <w:rFonts w:ascii="Times New Roman" w:eastAsia="Times New Roman" w:hAnsi="Times New Roman" w:cs="Times New Roman"/>
                <w:color w:val="000000"/>
                <w:sz w:val="20"/>
                <w:szCs w:val="20"/>
              </w:rPr>
            </w:pPr>
            <w:r w:rsidRPr="0040253B">
              <w:rPr>
                <w:rFonts w:ascii="Times New Roman" w:hAnsi="Times New Roman" w:cs="Times New Roman"/>
              </w:rPr>
              <w:t xml:space="preserve"> $78,822 </w:t>
            </w:r>
          </w:p>
        </w:tc>
        <w:tc>
          <w:tcPr>
            <w:tcW w:w="1629" w:type="dxa"/>
            <w:shd w:val="clear" w:color="auto" w:fill="auto"/>
            <w:noWrap/>
            <w:hideMark/>
          </w:tcPr>
          <w:p w:rsidR="007E6C4B" w:rsidRPr="007C00CF" w14:paraId="4AADE0BF" w14:textId="77777777">
            <w:pPr>
              <w:spacing w:after="0" w:line="240" w:lineRule="auto"/>
              <w:jc w:val="center"/>
              <w:rPr>
                <w:rFonts w:ascii="Times New Roman" w:eastAsia="Times New Roman" w:hAnsi="Times New Roman" w:cs="Times New Roman"/>
                <w:color w:val="000000"/>
                <w:sz w:val="20"/>
                <w:szCs w:val="20"/>
              </w:rPr>
            </w:pPr>
            <w:r w:rsidRPr="0040253B">
              <w:rPr>
                <w:rFonts w:ascii="Times New Roman" w:hAnsi="Times New Roman" w:cs="Times New Roman"/>
              </w:rPr>
              <w:t xml:space="preserve"> $889,826,800 </w:t>
            </w:r>
          </w:p>
        </w:tc>
        <w:tc>
          <w:tcPr>
            <w:tcW w:w="1629" w:type="dxa"/>
          </w:tcPr>
          <w:p w:rsidR="007E6C4B" w:rsidRPr="007C00CF" w14:paraId="0B93D3FC" w14:textId="77777777">
            <w:pPr>
              <w:spacing w:after="0" w:line="240" w:lineRule="auto"/>
              <w:jc w:val="center"/>
              <w:rPr>
                <w:rFonts w:ascii="Times New Roman" w:hAnsi="Times New Roman" w:cs="Times New Roman"/>
                <w:sz w:val="20"/>
                <w:szCs w:val="20"/>
              </w:rPr>
            </w:pPr>
            <w:r w:rsidRPr="0040253B">
              <w:rPr>
                <w:rFonts w:ascii="Times New Roman" w:hAnsi="Times New Roman" w:cs="Times New Roman"/>
              </w:rPr>
              <w:t xml:space="preserve"> $1,115,032 </w:t>
            </w:r>
          </w:p>
        </w:tc>
      </w:tr>
      <w:tr w14:paraId="3C19E64F" w14:textId="77777777" w:rsidTr="00FA04B8">
        <w:tblPrEx>
          <w:tblW w:w="7951" w:type="dxa"/>
          <w:jc w:val="center"/>
          <w:tblLayout w:type="fixed"/>
          <w:tblLook w:val="04A0"/>
        </w:tblPrEx>
        <w:trPr>
          <w:trHeight w:val="268"/>
          <w:jc w:val="center"/>
        </w:trPr>
        <w:tc>
          <w:tcPr>
            <w:tcW w:w="1435" w:type="dxa"/>
            <w:shd w:val="clear" w:color="auto" w:fill="auto"/>
            <w:noWrap/>
            <w:vAlign w:val="center"/>
            <w:hideMark/>
          </w:tcPr>
          <w:p w:rsidR="007E6C4B" w:rsidRPr="007C00CF" w14:paraId="214EF912" w14:textId="77777777">
            <w:pPr>
              <w:spacing w:after="0" w:line="240" w:lineRule="auto"/>
              <w:rPr>
                <w:rFonts w:ascii="Times New Roman" w:eastAsia="Times New Roman" w:hAnsi="Times New Roman" w:cs="Times New Roman"/>
                <w:color w:val="000000"/>
                <w:sz w:val="20"/>
                <w:szCs w:val="20"/>
              </w:rPr>
            </w:pPr>
            <w:r w:rsidRPr="002E3357">
              <w:rPr>
                <w:rFonts w:ascii="Times New Roman" w:hAnsi="Times New Roman" w:cs="Times New Roman"/>
                <w:color w:val="000000"/>
              </w:rPr>
              <w:t>2019</w:t>
            </w:r>
          </w:p>
        </w:tc>
        <w:tc>
          <w:tcPr>
            <w:tcW w:w="1629" w:type="dxa"/>
            <w:shd w:val="clear" w:color="auto" w:fill="auto"/>
            <w:noWrap/>
            <w:vAlign w:val="bottom"/>
            <w:hideMark/>
          </w:tcPr>
          <w:p w:rsidR="007E6C4B" w:rsidRPr="007C00CF" w14:paraId="6DB5DB89" w14:textId="77777777">
            <w:pPr>
              <w:spacing w:after="0" w:line="240" w:lineRule="auto"/>
              <w:jc w:val="center"/>
              <w:rPr>
                <w:rFonts w:ascii="Times New Roman" w:eastAsia="Times New Roman" w:hAnsi="Times New Roman" w:cs="Times New Roman"/>
                <w:color w:val="000000"/>
                <w:sz w:val="20"/>
                <w:szCs w:val="20"/>
              </w:rPr>
            </w:pPr>
            <w:r w:rsidRPr="00201A58">
              <w:rPr>
                <w:rFonts w:ascii="Times New Roman" w:hAnsi="Times New Roman" w:cs="Times New Roman"/>
                <w:color w:val="000000"/>
              </w:rPr>
              <w:t xml:space="preserve">817,229 </w:t>
            </w:r>
          </w:p>
        </w:tc>
        <w:tc>
          <w:tcPr>
            <w:tcW w:w="1629" w:type="dxa"/>
            <w:shd w:val="clear" w:color="auto" w:fill="auto"/>
            <w:noWrap/>
            <w:hideMark/>
          </w:tcPr>
          <w:p w:rsidR="007E6C4B" w:rsidRPr="007C00CF" w14:paraId="74B41938" w14:textId="77777777">
            <w:pPr>
              <w:spacing w:after="0" w:line="240" w:lineRule="auto"/>
              <w:jc w:val="center"/>
              <w:rPr>
                <w:rFonts w:ascii="Times New Roman" w:eastAsia="Times New Roman" w:hAnsi="Times New Roman" w:cs="Times New Roman"/>
                <w:color w:val="000000"/>
                <w:sz w:val="20"/>
                <w:szCs w:val="20"/>
              </w:rPr>
            </w:pPr>
            <w:r w:rsidRPr="0040253B">
              <w:rPr>
                <w:rFonts w:ascii="Times New Roman" w:hAnsi="Times New Roman" w:cs="Times New Roman"/>
              </w:rPr>
              <w:t xml:space="preserve"> $78,469 </w:t>
            </w:r>
          </w:p>
        </w:tc>
        <w:tc>
          <w:tcPr>
            <w:tcW w:w="1629" w:type="dxa"/>
            <w:shd w:val="clear" w:color="auto" w:fill="auto"/>
            <w:noWrap/>
            <w:hideMark/>
          </w:tcPr>
          <w:p w:rsidR="007E6C4B" w:rsidRPr="007C00CF" w14:paraId="3C385C53" w14:textId="77777777">
            <w:pPr>
              <w:spacing w:after="0" w:line="240" w:lineRule="auto"/>
              <w:jc w:val="center"/>
              <w:rPr>
                <w:rFonts w:ascii="Times New Roman" w:eastAsia="Times New Roman" w:hAnsi="Times New Roman" w:cs="Times New Roman"/>
                <w:color w:val="000000"/>
                <w:sz w:val="20"/>
                <w:szCs w:val="20"/>
              </w:rPr>
            </w:pPr>
            <w:r w:rsidRPr="0040253B">
              <w:rPr>
                <w:rFonts w:ascii="Times New Roman" w:hAnsi="Times New Roman" w:cs="Times New Roman"/>
              </w:rPr>
              <w:t xml:space="preserve"> $843,620,095 </w:t>
            </w:r>
          </w:p>
        </w:tc>
        <w:tc>
          <w:tcPr>
            <w:tcW w:w="1629" w:type="dxa"/>
          </w:tcPr>
          <w:p w:rsidR="007E6C4B" w:rsidRPr="007C00CF" w14:paraId="593AB40B" w14:textId="77777777">
            <w:pPr>
              <w:spacing w:after="0" w:line="240" w:lineRule="auto"/>
              <w:jc w:val="center"/>
              <w:rPr>
                <w:rFonts w:ascii="Times New Roman" w:hAnsi="Times New Roman" w:cs="Times New Roman"/>
                <w:sz w:val="20"/>
                <w:szCs w:val="20"/>
              </w:rPr>
            </w:pPr>
            <w:r w:rsidRPr="0040253B">
              <w:rPr>
                <w:rFonts w:ascii="Times New Roman" w:hAnsi="Times New Roman" w:cs="Times New Roman"/>
              </w:rPr>
              <w:t xml:space="preserve"> $1,</w:t>
            </w:r>
            <w:r w:rsidRPr="0040253B" w:rsidR="0040253B">
              <w:rPr>
                <w:rFonts w:ascii="Times New Roman" w:hAnsi="Times New Roman" w:cs="Times New Roman"/>
              </w:rPr>
              <w:t>032,293</w:t>
            </w:r>
            <w:r w:rsidRPr="0040253B">
              <w:rPr>
                <w:rFonts w:ascii="Times New Roman" w:hAnsi="Times New Roman" w:cs="Times New Roman"/>
              </w:rPr>
              <w:t xml:space="preserve"> </w:t>
            </w:r>
          </w:p>
        </w:tc>
      </w:tr>
      <w:tr w14:paraId="5752ED51" w14:textId="77777777" w:rsidTr="00FA04B8">
        <w:tblPrEx>
          <w:tblW w:w="7951" w:type="dxa"/>
          <w:jc w:val="center"/>
          <w:tblLayout w:type="fixed"/>
          <w:tblLook w:val="04A0"/>
        </w:tblPrEx>
        <w:trPr>
          <w:trHeight w:val="268"/>
          <w:jc w:val="center"/>
        </w:trPr>
        <w:tc>
          <w:tcPr>
            <w:tcW w:w="1435" w:type="dxa"/>
            <w:shd w:val="clear" w:color="auto" w:fill="auto"/>
            <w:noWrap/>
            <w:vAlign w:val="center"/>
          </w:tcPr>
          <w:p w:rsidR="007E6C4B" w:rsidRPr="007C00CF" w14:paraId="48A53625" w14:textId="77777777">
            <w:pPr>
              <w:spacing w:after="0" w:line="240" w:lineRule="auto"/>
              <w:rPr>
                <w:rFonts w:ascii="Times New Roman" w:eastAsia="Times New Roman" w:hAnsi="Times New Roman" w:cs="Times New Roman"/>
                <w:color w:val="000000"/>
                <w:sz w:val="20"/>
                <w:szCs w:val="20"/>
              </w:rPr>
            </w:pPr>
            <w:r w:rsidRPr="002E3357">
              <w:rPr>
                <w:rFonts w:ascii="Times New Roman" w:hAnsi="Times New Roman" w:cs="Times New Roman"/>
                <w:color w:val="000000"/>
              </w:rPr>
              <w:t>2020</w:t>
            </w:r>
          </w:p>
        </w:tc>
        <w:tc>
          <w:tcPr>
            <w:tcW w:w="1629" w:type="dxa"/>
            <w:shd w:val="clear" w:color="auto" w:fill="auto"/>
            <w:noWrap/>
            <w:vAlign w:val="bottom"/>
          </w:tcPr>
          <w:p w:rsidR="007E6C4B" w:rsidRPr="007C00CF" w14:paraId="051B144B" w14:textId="77777777">
            <w:pPr>
              <w:spacing w:after="0" w:line="240" w:lineRule="auto"/>
              <w:jc w:val="center"/>
              <w:rPr>
                <w:rFonts w:ascii="Times New Roman" w:hAnsi="Times New Roman" w:cs="Times New Roman"/>
                <w:sz w:val="20"/>
                <w:szCs w:val="20"/>
              </w:rPr>
            </w:pPr>
            <w:r w:rsidRPr="00201A58">
              <w:rPr>
                <w:rFonts w:ascii="Times New Roman" w:hAnsi="Times New Roman" w:cs="Times New Roman"/>
                <w:color w:val="000000"/>
              </w:rPr>
              <w:t xml:space="preserve">834,524 </w:t>
            </w:r>
          </w:p>
        </w:tc>
        <w:tc>
          <w:tcPr>
            <w:tcW w:w="1629" w:type="dxa"/>
            <w:shd w:val="clear" w:color="auto" w:fill="auto"/>
            <w:noWrap/>
          </w:tcPr>
          <w:p w:rsidR="007E6C4B" w:rsidRPr="007C00CF" w14:paraId="7AE63578" w14:textId="77777777">
            <w:pPr>
              <w:spacing w:after="0" w:line="240" w:lineRule="auto"/>
              <w:jc w:val="center"/>
              <w:rPr>
                <w:rFonts w:ascii="Times New Roman" w:hAnsi="Times New Roman" w:cs="Times New Roman"/>
                <w:sz w:val="20"/>
                <w:szCs w:val="20"/>
              </w:rPr>
            </w:pPr>
            <w:r w:rsidRPr="0040253B">
              <w:rPr>
                <w:rFonts w:ascii="Times New Roman" w:hAnsi="Times New Roman" w:cs="Times New Roman"/>
              </w:rPr>
              <w:t xml:space="preserve"> $78,070 </w:t>
            </w:r>
          </w:p>
        </w:tc>
        <w:tc>
          <w:tcPr>
            <w:tcW w:w="1629" w:type="dxa"/>
            <w:shd w:val="clear" w:color="auto" w:fill="auto"/>
            <w:noWrap/>
          </w:tcPr>
          <w:p w:rsidR="007E6C4B" w:rsidRPr="007C00CF" w14:paraId="6C9E2D95" w14:textId="77777777">
            <w:pPr>
              <w:spacing w:after="0" w:line="240" w:lineRule="auto"/>
              <w:jc w:val="center"/>
              <w:rPr>
                <w:rFonts w:ascii="Times New Roman" w:hAnsi="Times New Roman" w:cs="Times New Roman"/>
                <w:sz w:val="20"/>
                <w:szCs w:val="20"/>
              </w:rPr>
            </w:pPr>
            <w:r w:rsidRPr="0040253B">
              <w:rPr>
                <w:rFonts w:ascii="Times New Roman" w:hAnsi="Times New Roman" w:cs="Times New Roman"/>
              </w:rPr>
              <w:t xml:space="preserve"> $788,044,252 </w:t>
            </w:r>
          </w:p>
        </w:tc>
        <w:tc>
          <w:tcPr>
            <w:tcW w:w="1629" w:type="dxa"/>
          </w:tcPr>
          <w:p w:rsidR="007E6C4B" w:rsidRPr="007C00CF" w14:paraId="0B47AA0A" w14:textId="77777777">
            <w:pPr>
              <w:spacing w:after="0" w:line="240" w:lineRule="auto"/>
              <w:jc w:val="center"/>
              <w:rPr>
                <w:rFonts w:ascii="Times New Roman" w:hAnsi="Times New Roman" w:cs="Times New Roman"/>
                <w:sz w:val="20"/>
                <w:szCs w:val="20"/>
              </w:rPr>
            </w:pPr>
            <w:r w:rsidRPr="0040253B">
              <w:rPr>
                <w:rFonts w:ascii="Times New Roman" w:hAnsi="Times New Roman" w:cs="Times New Roman"/>
              </w:rPr>
              <w:t xml:space="preserve"> $944,304 </w:t>
            </w:r>
          </w:p>
        </w:tc>
      </w:tr>
    </w:tbl>
    <w:p w:rsidR="005355AD" w:rsidP="002E3357" w14:paraId="2367124C" w14:textId="77777777">
      <w:pPr>
        <w:spacing w:after="0" w:line="240" w:lineRule="auto"/>
        <w:rPr>
          <w:rFonts w:ascii="Times New Roman" w:hAnsi="Times New Roman" w:cs="Times New Roman"/>
        </w:rPr>
      </w:pPr>
    </w:p>
    <w:p w:rsidR="007D782A" w:rsidP="00353FB4" w14:paraId="4435A73B" w14:textId="77777777">
      <w:pPr>
        <w:spacing w:after="0" w:line="240" w:lineRule="auto"/>
        <w:rPr>
          <w:rFonts w:ascii="Times New Roman" w:hAnsi="Times New Roman" w:cs="Times New Roman"/>
        </w:rPr>
      </w:pPr>
      <w:r>
        <w:rPr>
          <w:rFonts w:ascii="Times New Roman" w:hAnsi="Times New Roman" w:cs="Times New Roman"/>
        </w:rPr>
        <w:tab/>
      </w:r>
      <w:r w:rsidR="001279C6">
        <w:rPr>
          <w:rFonts w:ascii="Times New Roman" w:hAnsi="Times New Roman" w:cs="Times New Roman"/>
        </w:rPr>
        <w:t>EPA</w:t>
      </w:r>
      <w:r>
        <w:rPr>
          <w:rFonts w:ascii="Times New Roman" w:hAnsi="Times New Roman" w:cs="Times New Roman"/>
        </w:rPr>
        <w:t xml:space="preserve"> also analyzed data on the demographic breakdown of </w:t>
      </w:r>
      <w:r w:rsidR="001279C6">
        <w:rPr>
          <w:rFonts w:ascii="Times New Roman" w:hAnsi="Times New Roman" w:cs="Times New Roman"/>
        </w:rPr>
        <w:t>th</w:t>
      </w:r>
      <w:r w:rsidR="00114E2F">
        <w:rPr>
          <w:rFonts w:ascii="Times New Roman" w:hAnsi="Times New Roman" w:cs="Times New Roman"/>
        </w:rPr>
        <w:t>e</w:t>
      </w:r>
      <w:r w:rsidR="001279C6">
        <w:rPr>
          <w:rFonts w:ascii="Times New Roman" w:hAnsi="Times New Roman" w:cs="Times New Roman"/>
        </w:rPr>
        <w:t>se two</w:t>
      </w:r>
      <w:r>
        <w:rPr>
          <w:rFonts w:ascii="Times New Roman" w:hAnsi="Times New Roman" w:cs="Times New Roman"/>
        </w:rPr>
        <w:t xml:space="preserve"> </w:t>
      </w:r>
      <w:r w:rsidR="008C68D4">
        <w:rPr>
          <w:rFonts w:ascii="Times New Roman" w:hAnsi="Times New Roman" w:cs="Times New Roman"/>
        </w:rPr>
        <w:t>sector</w:t>
      </w:r>
      <w:r w:rsidR="001279C6">
        <w:rPr>
          <w:rFonts w:ascii="Times New Roman" w:hAnsi="Times New Roman" w:cs="Times New Roman"/>
        </w:rPr>
        <w:t>s</w:t>
      </w:r>
      <w:r>
        <w:rPr>
          <w:rFonts w:ascii="Times New Roman" w:hAnsi="Times New Roman" w:cs="Times New Roman"/>
        </w:rPr>
        <w:t>, presented in Exhibit 11-3</w:t>
      </w:r>
      <w:r w:rsidR="00D54D79">
        <w:rPr>
          <w:rFonts w:ascii="Times New Roman" w:hAnsi="Times New Roman" w:cs="Times New Roman"/>
        </w:rPr>
        <w:t>,</w:t>
      </w:r>
      <w:r w:rsidR="00544BF7">
        <w:rPr>
          <w:rFonts w:ascii="Times New Roman" w:hAnsi="Times New Roman" w:cs="Times New Roman"/>
        </w:rPr>
        <w:t xml:space="preserve"> </w:t>
      </w:r>
      <w:r w:rsidR="00D10CDA">
        <w:rPr>
          <w:rFonts w:ascii="Times New Roman" w:hAnsi="Times New Roman" w:cs="Times New Roman"/>
        </w:rPr>
        <w:t>from the Current Population Survey</w:t>
      </w:r>
      <w:r w:rsidR="00582B47">
        <w:rPr>
          <w:rFonts w:ascii="Times New Roman" w:hAnsi="Times New Roman" w:cs="Times New Roman"/>
        </w:rPr>
        <w:t xml:space="preserve"> (CPS)</w:t>
      </w:r>
      <w:r w:rsidR="00D10CDA">
        <w:rPr>
          <w:rFonts w:ascii="Times New Roman" w:hAnsi="Times New Roman" w:cs="Times New Roman"/>
        </w:rPr>
        <w:t xml:space="preserve"> </w:t>
      </w:r>
      <w:bookmarkStart w:id="548" w:name="_Hlk142031288"/>
      <w:r w:rsidR="00D10CDA">
        <w:rPr>
          <w:rFonts w:ascii="Times New Roman" w:hAnsi="Times New Roman" w:cs="Times New Roman"/>
        </w:rPr>
        <w:t xml:space="preserve">Annual Social and Economic Supplement </w:t>
      </w:r>
      <w:bookmarkEnd w:id="548"/>
      <w:r w:rsidR="00582B47">
        <w:rPr>
          <w:rFonts w:ascii="Times New Roman" w:hAnsi="Times New Roman" w:cs="Times New Roman"/>
        </w:rPr>
        <w:t xml:space="preserve">(ASEC) </w:t>
      </w:r>
      <w:r w:rsidR="002E6EC3">
        <w:rPr>
          <w:rFonts w:ascii="Times New Roman" w:hAnsi="Times New Roman" w:cs="Times New Roman"/>
        </w:rPr>
        <w:t xml:space="preserve">for the year 2020. </w:t>
      </w:r>
      <w:r w:rsidR="00252A02">
        <w:rPr>
          <w:rFonts w:ascii="Times New Roman" w:hAnsi="Times New Roman" w:cs="Times New Roman"/>
        </w:rPr>
        <w:t xml:space="preserve">Both </w:t>
      </w:r>
      <w:r w:rsidR="008C68D4">
        <w:rPr>
          <w:rFonts w:ascii="Times New Roman" w:hAnsi="Times New Roman" w:cs="Times New Roman"/>
        </w:rPr>
        <w:t>sectors</w:t>
      </w:r>
      <w:r w:rsidR="00252A02">
        <w:rPr>
          <w:rFonts w:ascii="Times New Roman" w:hAnsi="Times New Roman" w:cs="Times New Roman"/>
        </w:rPr>
        <w:t xml:space="preserve"> predominantly </w:t>
      </w:r>
      <w:r w:rsidR="00D10CDA">
        <w:rPr>
          <w:rFonts w:ascii="Times New Roman" w:hAnsi="Times New Roman" w:cs="Times New Roman"/>
        </w:rPr>
        <w:t>employ male and white workers. Of all employees within</w:t>
      </w:r>
      <w:r w:rsidR="002E6EC3">
        <w:rPr>
          <w:rFonts w:ascii="Times New Roman" w:hAnsi="Times New Roman" w:cs="Times New Roman"/>
        </w:rPr>
        <w:t xml:space="preserve"> </w:t>
      </w:r>
      <w:r w:rsidR="00F83F87">
        <w:rPr>
          <w:rFonts w:ascii="Times New Roman" w:hAnsi="Times New Roman" w:cs="Times New Roman"/>
        </w:rPr>
        <w:t xml:space="preserve">the </w:t>
      </w:r>
      <w:r w:rsidR="002E6EC3">
        <w:rPr>
          <w:rFonts w:ascii="Times New Roman" w:hAnsi="Times New Roman" w:cs="Times New Roman"/>
        </w:rPr>
        <w:t xml:space="preserve">324 and 325 </w:t>
      </w:r>
      <w:r w:rsidR="00F83F87">
        <w:rPr>
          <w:rFonts w:ascii="Times New Roman" w:hAnsi="Times New Roman" w:cs="Times New Roman"/>
        </w:rPr>
        <w:t xml:space="preserve">NAICS </w:t>
      </w:r>
      <w:r w:rsidR="008C68D4">
        <w:rPr>
          <w:rFonts w:ascii="Times New Roman" w:hAnsi="Times New Roman" w:cs="Times New Roman"/>
        </w:rPr>
        <w:t>sectors</w:t>
      </w:r>
      <w:r w:rsidR="002E6EC3">
        <w:rPr>
          <w:rFonts w:ascii="Times New Roman" w:hAnsi="Times New Roman" w:cs="Times New Roman"/>
        </w:rPr>
        <w:t xml:space="preserve">, 3.2 percent and 9.4 percent of employees </w:t>
      </w:r>
      <w:r w:rsidR="00BA0A00">
        <w:rPr>
          <w:rFonts w:ascii="Times New Roman" w:hAnsi="Times New Roman" w:cs="Times New Roman"/>
        </w:rPr>
        <w:t xml:space="preserve">were identified as </w:t>
      </w:r>
      <w:r w:rsidR="00D81EB5">
        <w:rPr>
          <w:rFonts w:ascii="Times New Roman" w:hAnsi="Times New Roman" w:cs="Times New Roman"/>
        </w:rPr>
        <w:t>belonging to</w:t>
      </w:r>
      <w:r w:rsidR="003E0A50">
        <w:rPr>
          <w:rFonts w:ascii="Times New Roman" w:hAnsi="Times New Roman" w:cs="Times New Roman"/>
        </w:rPr>
        <w:t xml:space="preserve"> a racial and/or ethnic minority. </w:t>
      </w:r>
    </w:p>
    <w:p w:rsidR="00A205C9" w:rsidP="00353FB4" w14:paraId="595D500F" w14:textId="77777777">
      <w:pPr>
        <w:spacing w:after="0" w:line="240" w:lineRule="auto"/>
        <w:rPr>
          <w:rFonts w:ascii="Times New Roman" w:hAnsi="Times New Roman" w:cs="Times New Roman"/>
        </w:rPr>
      </w:pPr>
    </w:p>
    <w:p w:rsidR="00353FB4" w:rsidP="00144C20" w14:paraId="6BD5302E" w14:textId="77777777">
      <w:pPr>
        <w:keepNext/>
        <w:spacing w:after="0" w:line="240" w:lineRule="auto"/>
        <w:jc w:val="center"/>
        <w:rPr>
          <w:rFonts w:ascii="Times New Roman" w:hAnsi="Times New Roman" w:cs="Times New Roman"/>
        </w:rPr>
      </w:pPr>
      <w:r w:rsidRPr="00A96BA5">
        <w:rPr>
          <w:rFonts w:ascii="Times New Roman" w:hAnsi="Times New Roman" w:cs="Times New Roman"/>
          <w:b/>
          <w:bCs/>
        </w:rPr>
        <w:t>Exhibit 11-</w:t>
      </w:r>
      <w:r>
        <w:rPr>
          <w:rFonts w:ascii="Times New Roman" w:hAnsi="Times New Roman" w:cs="Times New Roman"/>
          <w:b/>
          <w:bCs/>
        </w:rPr>
        <w:t>3</w:t>
      </w:r>
      <w:r w:rsidRPr="00A96BA5">
        <w:rPr>
          <w:rFonts w:ascii="Times New Roman" w:hAnsi="Times New Roman" w:cs="Times New Roman"/>
          <w:b/>
          <w:bCs/>
        </w:rPr>
        <w:t xml:space="preserve">: </w:t>
      </w:r>
      <w:r w:rsidR="008C68D4">
        <w:rPr>
          <w:rFonts w:ascii="Times New Roman" w:hAnsi="Times New Roman" w:cs="Times New Roman"/>
          <w:b/>
          <w:bCs/>
        </w:rPr>
        <w:t xml:space="preserve">NAICS </w:t>
      </w:r>
      <w:r w:rsidR="000E561F">
        <w:rPr>
          <w:rFonts w:ascii="Times New Roman" w:hAnsi="Times New Roman" w:cs="Times New Roman"/>
          <w:b/>
          <w:bCs/>
        </w:rPr>
        <w:t xml:space="preserve">Sectors </w:t>
      </w:r>
      <w:r w:rsidR="008C68D4">
        <w:rPr>
          <w:rFonts w:ascii="Times New Roman" w:hAnsi="Times New Roman" w:cs="Times New Roman"/>
          <w:b/>
          <w:bCs/>
        </w:rPr>
        <w:t xml:space="preserve">324 and 325 </w:t>
      </w:r>
      <w:r>
        <w:rPr>
          <w:rFonts w:ascii="Times New Roman" w:hAnsi="Times New Roman" w:cs="Times New Roman"/>
          <w:b/>
          <w:bCs/>
        </w:rPr>
        <w:t>Demographic Characteristics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0"/>
        <w:gridCol w:w="1800"/>
        <w:gridCol w:w="1800"/>
      </w:tblGrid>
      <w:tr w14:paraId="6994E3B6" w14:textId="77777777" w:rsidTr="00737515">
        <w:tblPrEx>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90"/>
          <w:tblHeader/>
          <w:jc w:val="center"/>
        </w:trPr>
        <w:tc>
          <w:tcPr>
            <w:tcW w:w="4320" w:type="dxa"/>
            <w:shd w:val="clear" w:color="auto" w:fill="D0CECE" w:themeFill="background2" w:themeFillShade="E6"/>
            <w:noWrap/>
            <w:hideMark/>
          </w:tcPr>
          <w:p w:rsidR="00353FB4" w:rsidRPr="00737515" w14:paraId="6CA641A7" w14:textId="77777777">
            <w:pPr>
              <w:keepNext/>
              <w:spacing w:after="0" w:line="240" w:lineRule="auto"/>
              <w:rPr>
                <w:rFonts w:ascii="Times New Roman" w:eastAsia="Times New Roman" w:hAnsi="Times New Roman" w:cs="Times New Roman"/>
                <w:b/>
              </w:rPr>
            </w:pPr>
            <w:r>
              <w:rPr>
                <w:rFonts w:ascii="Times New Roman" w:hAnsi="Times New Roman" w:cs="Times New Roman"/>
                <w:b/>
                <w:bCs/>
              </w:rPr>
              <w:t>Demographic Characteristic</w:t>
            </w:r>
          </w:p>
        </w:tc>
        <w:tc>
          <w:tcPr>
            <w:tcW w:w="1800" w:type="dxa"/>
            <w:shd w:val="clear" w:color="auto" w:fill="D0CECE" w:themeFill="background2" w:themeFillShade="E6"/>
            <w:noWrap/>
            <w:hideMark/>
          </w:tcPr>
          <w:p w:rsidR="00353FB4" w:rsidRPr="00737515" w14:paraId="4131A811" w14:textId="77777777">
            <w:pPr>
              <w:keepNext/>
              <w:spacing w:after="0" w:line="240" w:lineRule="auto"/>
              <w:jc w:val="center"/>
              <w:rPr>
                <w:rFonts w:ascii="Times New Roman" w:eastAsia="Times New Roman" w:hAnsi="Times New Roman" w:cs="Times New Roman"/>
                <w:b/>
                <w:color w:val="000000"/>
              </w:rPr>
            </w:pPr>
            <w:r>
              <w:rPr>
                <w:rFonts w:ascii="Times New Roman" w:hAnsi="Times New Roman" w:cs="Times New Roman"/>
                <w:b/>
                <w:bCs/>
              </w:rPr>
              <w:t xml:space="preserve">NAICS </w:t>
            </w:r>
            <w:r w:rsidR="00B62F7F">
              <w:rPr>
                <w:rFonts w:ascii="Times New Roman" w:hAnsi="Times New Roman" w:cs="Times New Roman"/>
                <w:b/>
                <w:bCs/>
              </w:rPr>
              <w:t>324</w:t>
            </w:r>
          </w:p>
        </w:tc>
        <w:tc>
          <w:tcPr>
            <w:tcW w:w="1800" w:type="dxa"/>
            <w:shd w:val="clear" w:color="auto" w:fill="D0CECE" w:themeFill="background2" w:themeFillShade="E6"/>
            <w:noWrap/>
            <w:hideMark/>
          </w:tcPr>
          <w:p w:rsidR="00353FB4" w:rsidRPr="00737515" w14:paraId="29096C85" w14:textId="77777777">
            <w:pPr>
              <w:keepNext/>
              <w:spacing w:after="0" w:line="240" w:lineRule="auto"/>
              <w:jc w:val="center"/>
              <w:rPr>
                <w:rFonts w:ascii="Times New Roman" w:eastAsia="Times New Roman" w:hAnsi="Times New Roman" w:cs="Times New Roman"/>
                <w:b/>
                <w:color w:val="000000"/>
              </w:rPr>
            </w:pPr>
            <w:r>
              <w:rPr>
                <w:rFonts w:ascii="Times New Roman" w:hAnsi="Times New Roman" w:cs="Times New Roman"/>
                <w:b/>
                <w:bCs/>
              </w:rPr>
              <w:t xml:space="preserve">NAICS </w:t>
            </w:r>
            <w:r w:rsidR="00B62F7F">
              <w:rPr>
                <w:rFonts w:ascii="Times New Roman" w:hAnsi="Times New Roman" w:cs="Times New Roman"/>
                <w:b/>
                <w:bCs/>
              </w:rPr>
              <w:t>325</w:t>
            </w:r>
          </w:p>
        </w:tc>
      </w:tr>
      <w:tr w14:paraId="1CA53DA0" w14:textId="77777777" w:rsidTr="00737515">
        <w:tblPrEx>
          <w:tblW w:w="7920" w:type="dxa"/>
          <w:jc w:val="center"/>
          <w:tblLayout w:type="fixed"/>
          <w:tblLook w:val="04A0"/>
        </w:tblPrEx>
        <w:trPr>
          <w:trHeight w:val="290"/>
          <w:jc w:val="center"/>
        </w:trPr>
        <w:tc>
          <w:tcPr>
            <w:tcW w:w="7920" w:type="dxa"/>
            <w:gridSpan w:val="3"/>
            <w:shd w:val="clear" w:color="auto" w:fill="F2F2F2" w:themeFill="background1" w:themeFillShade="F2"/>
            <w:noWrap/>
            <w:vAlign w:val="center"/>
            <w:hideMark/>
          </w:tcPr>
          <w:p w:rsidR="00353FB4" w:rsidRPr="00737515" w:rsidP="00144C20" w14:paraId="0FF09C34" w14:textId="77777777">
            <w:pPr>
              <w:keepNext/>
              <w:spacing w:after="0" w:line="240" w:lineRule="auto"/>
              <w:rPr>
                <w:rFonts w:ascii="Times New Roman" w:eastAsia="Times New Roman" w:hAnsi="Times New Roman" w:cs="Times New Roman"/>
                <w:color w:val="000000"/>
              </w:rPr>
            </w:pPr>
            <w:r w:rsidRPr="00737515">
              <w:rPr>
                <w:rFonts w:ascii="Times New Roman" w:hAnsi="Times New Roman" w:cs="Times New Roman"/>
                <w:color w:val="000000"/>
              </w:rPr>
              <w:t xml:space="preserve">Gender </w:t>
            </w:r>
          </w:p>
        </w:tc>
      </w:tr>
      <w:tr w14:paraId="696FED45" w14:textId="77777777" w:rsidTr="00737515">
        <w:tblPrEx>
          <w:tblW w:w="7920" w:type="dxa"/>
          <w:jc w:val="center"/>
          <w:tblLayout w:type="fixed"/>
          <w:tblLook w:val="04A0"/>
        </w:tblPrEx>
        <w:trPr>
          <w:trHeight w:val="268"/>
          <w:jc w:val="center"/>
        </w:trPr>
        <w:tc>
          <w:tcPr>
            <w:tcW w:w="4320" w:type="dxa"/>
            <w:shd w:val="clear" w:color="auto" w:fill="auto"/>
            <w:noWrap/>
            <w:vAlign w:val="center"/>
            <w:hideMark/>
          </w:tcPr>
          <w:p w:rsidR="00353FB4" w:rsidRPr="00737515" w:rsidP="00144C20" w14:paraId="0A39E896" w14:textId="77777777">
            <w:pPr>
              <w:keepNext/>
              <w:spacing w:after="0" w:line="240" w:lineRule="auto"/>
              <w:rPr>
                <w:rFonts w:ascii="Times New Roman" w:eastAsia="Times New Roman" w:hAnsi="Times New Roman" w:cs="Times New Roman"/>
                <w:color w:val="000000"/>
              </w:rPr>
            </w:pPr>
            <w:r w:rsidRPr="00737515">
              <w:rPr>
                <w:rFonts w:ascii="Times New Roman" w:hAnsi="Times New Roman" w:cs="Times New Roman"/>
                <w:color w:val="000000"/>
              </w:rPr>
              <w:t>Male</w:t>
            </w:r>
          </w:p>
        </w:tc>
        <w:tc>
          <w:tcPr>
            <w:tcW w:w="1800" w:type="dxa"/>
            <w:shd w:val="clear" w:color="auto" w:fill="auto"/>
            <w:noWrap/>
            <w:vAlign w:val="bottom"/>
            <w:hideMark/>
          </w:tcPr>
          <w:p w:rsidR="00353FB4" w:rsidRPr="00737515" w:rsidP="00144C20" w14:paraId="6A9C8494" w14:textId="77777777">
            <w:pPr>
              <w:keepNext/>
              <w:spacing w:after="0" w:line="240" w:lineRule="auto"/>
              <w:jc w:val="center"/>
              <w:rPr>
                <w:rFonts w:ascii="Times New Roman" w:eastAsia="Times New Roman" w:hAnsi="Times New Roman" w:cs="Times New Roman"/>
                <w:color w:val="000000"/>
              </w:rPr>
            </w:pPr>
            <w:r w:rsidRPr="00737515">
              <w:rPr>
                <w:rFonts w:ascii="Times New Roman" w:eastAsia="Times New Roman" w:hAnsi="Times New Roman" w:cs="Times New Roman"/>
                <w:color w:val="000000"/>
              </w:rPr>
              <w:t>91.5%</w:t>
            </w:r>
          </w:p>
        </w:tc>
        <w:tc>
          <w:tcPr>
            <w:tcW w:w="1800" w:type="dxa"/>
            <w:shd w:val="clear" w:color="auto" w:fill="auto"/>
            <w:noWrap/>
            <w:vAlign w:val="bottom"/>
            <w:hideMark/>
          </w:tcPr>
          <w:p w:rsidR="00353FB4" w:rsidRPr="00737515" w:rsidP="00144C20" w14:paraId="1197038D" w14:textId="77777777">
            <w:pPr>
              <w:keepNext/>
              <w:spacing w:after="0" w:line="240" w:lineRule="auto"/>
              <w:jc w:val="center"/>
              <w:rPr>
                <w:rFonts w:ascii="Times New Roman" w:eastAsia="Times New Roman" w:hAnsi="Times New Roman" w:cs="Times New Roman"/>
                <w:color w:val="000000"/>
              </w:rPr>
            </w:pPr>
            <w:r w:rsidRPr="00737515">
              <w:rPr>
                <w:rFonts w:ascii="Times New Roman" w:hAnsi="Times New Roman" w:cs="Times New Roman"/>
                <w:color w:val="000000"/>
              </w:rPr>
              <w:t>89.4%</w:t>
            </w:r>
            <w:r w:rsidRPr="00737515" w:rsidR="00B62F7F">
              <w:rPr>
                <w:rFonts w:ascii="Times New Roman" w:hAnsi="Times New Roman" w:cs="Times New Roman"/>
                <w:color w:val="000000"/>
              </w:rPr>
              <w:t xml:space="preserve"> </w:t>
            </w:r>
          </w:p>
        </w:tc>
      </w:tr>
      <w:tr w14:paraId="5F9A6B95" w14:textId="77777777" w:rsidTr="00737515">
        <w:tblPrEx>
          <w:tblW w:w="7920" w:type="dxa"/>
          <w:jc w:val="center"/>
          <w:tblLayout w:type="fixed"/>
          <w:tblLook w:val="04A0"/>
        </w:tblPrEx>
        <w:trPr>
          <w:trHeight w:val="268"/>
          <w:jc w:val="center"/>
        </w:trPr>
        <w:tc>
          <w:tcPr>
            <w:tcW w:w="4320" w:type="dxa"/>
            <w:shd w:val="clear" w:color="auto" w:fill="auto"/>
            <w:noWrap/>
            <w:vAlign w:val="center"/>
            <w:hideMark/>
          </w:tcPr>
          <w:p w:rsidR="00353FB4" w:rsidRPr="00737515" w14:paraId="05EE60FD" w14:textId="77777777">
            <w:pPr>
              <w:spacing w:after="0" w:line="240" w:lineRule="auto"/>
              <w:rPr>
                <w:rFonts w:ascii="Times New Roman" w:eastAsia="Times New Roman" w:hAnsi="Times New Roman" w:cs="Times New Roman"/>
                <w:color w:val="000000"/>
              </w:rPr>
            </w:pPr>
            <w:r w:rsidRPr="00737515">
              <w:rPr>
                <w:rFonts w:ascii="Times New Roman" w:hAnsi="Times New Roman" w:cs="Times New Roman"/>
                <w:color w:val="000000"/>
              </w:rPr>
              <w:t>Female</w:t>
            </w:r>
          </w:p>
        </w:tc>
        <w:tc>
          <w:tcPr>
            <w:tcW w:w="1800" w:type="dxa"/>
            <w:shd w:val="clear" w:color="auto" w:fill="auto"/>
            <w:noWrap/>
            <w:vAlign w:val="bottom"/>
            <w:hideMark/>
          </w:tcPr>
          <w:p w:rsidR="00353FB4" w:rsidRPr="00737515" w14:paraId="250B731F" w14:textId="77777777">
            <w:pPr>
              <w:spacing w:after="0" w:line="240" w:lineRule="auto"/>
              <w:jc w:val="center"/>
              <w:rPr>
                <w:rFonts w:ascii="Times New Roman" w:eastAsia="Times New Roman" w:hAnsi="Times New Roman" w:cs="Times New Roman"/>
                <w:color w:val="000000"/>
              </w:rPr>
            </w:pPr>
            <w:r w:rsidRPr="00737515">
              <w:rPr>
                <w:rFonts w:ascii="Times New Roman" w:eastAsia="Times New Roman" w:hAnsi="Times New Roman" w:cs="Times New Roman"/>
                <w:color w:val="000000"/>
              </w:rPr>
              <w:t>8.5%</w:t>
            </w:r>
          </w:p>
        </w:tc>
        <w:tc>
          <w:tcPr>
            <w:tcW w:w="1800" w:type="dxa"/>
            <w:shd w:val="clear" w:color="auto" w:fill="auto"/>
            <w:noWrap/>
            <w:vAlign w:val="bottom"/>
            <w:hideMark/>
          </w:tcPr>
          <w:p w:rsidR="00353FB4" w:rsidRPr="00737515" w14:paraId="434C425B" w14:textId="77777777">
            <w:pPr>
              <w:spacing w:after="0" w:line="240" w:lineRule="auto"/>
              <w:jc w:val="center"/>
              <w:rPr>
                <w:rFonts w:ascii="Times New Roman" w:eastAsia="Times New Roman" w:hAnsi="Times New Roman" w:cs="Times New Roman"/>
                <w:color w:val="000000"/>
              </w:rPr>
            </w:pPr>
            <w:r w:rsidRPr="00737515">
              <w:rPr>
                <w:rFonts w:ascii="Times New Roman" w:hAnsi="Times New Roman" w:cs="Times New Roman"/>
                <w:color w:val="000000"/>
              </w:rPr>
              <w:t xml:space="preserve"> </w:t>
            </w:r>
            <w:r w:rsidRPr="00737515" w:rsidR="00737515">
              <w:rPr>
                <w:rFonts w:ascii="Times New Roman" w:hAnsi="Times New Roman" w:cs="Times New Roman"/>
                <w:color w:val="000000"/>
              </w:rPr>
              <w:t>10.6%</w:t>
            </w:r>
          </w:p>
        </w:tc>
      </w:tr>
      <w:tr w14:paraId="17F53FF9" w14:textId="77777777" w:rsidTr="00737515">
        <w:tblPrEx>
          <w:tblW w:w="7920" w:type="dxa"/>
          <w:jc w:val="center"/>
          <w:tblLayout w:type="fixed"/>
          <w:tblLook w:val="04A0"/>
        </w:tblPrEx>
        <w:trPr>
          <w:trHeight w:val="268"/>
          <w:jc w:val="center"/>
        </w:trPr>
        <w:tc>
          <w:tcPr>
            <w:tcW w:w="7920" w:type="dxa"/>
            <w:gridSpan w:val="3"/>
            <w:shd w:val="clear" w:color="auto" w:fill="F2F2F2" w:themeFill="background1" w:themeFillShade="F2"/>
            <w:noWrap/>
            <w:vAlign w:val="center"/>
            <w:hideMark/>
          </w:tcPr>
          <w:p w:rsidR="00353FB4" w:rsidRPr="00737515" w:rsidP="00737515" w14:paraId="421E1AC1" w14:textId="77777777">
            <w:pPr>
              <w:spacing w:after="0" w:line="240" w:lineRule="auto"/>
              <w:rPr>
                <w:rFonts w:ascii="Times New Roman" w:eastAsia="Times New Roman" w:hAnsi="Times New Roman" w:cs="Times New Roman"/>
                <w:color w:val="000000"/>
              </w:rPr>
            </w:pPr>
            <w:r w:rsidRPr="00737515">
              <w:rPr>
                <w:rFonts w:ascii="Times New Roman" w:hAnsi="Times New Roman" w:cs="Times New Roman"/>
                <w:color w:val="000000"/>
              </w:rPr>
              <w:t>Race (Non-Hispanic)</w:t>
            </w:r>
          </w:p>
        </w:tc>
      </w:tr>
      <w:tr w14:paraId="76C42D61" w14:textId="77777777" w:rsidTr="00737515">
        <w:tblPrEx>
          <w:tblW w:w="7920" w:type="dxa"/>
          <w:jc w:val="center"/>
          <w:tblLayout w:type="fixed"/>
          <w:tblLook w:val="04A0"/>
        </w:tblPrEx>
        <w:trPr>
          <w:trHeight w:val="268"/>
          <w:jc w:val="center"/>
        </w:trPr>
        <w:tc>
          <w:tcPr>
            <w:tcW w:w="4320" w:type="dxa"/>
            <w:shd w:val="clear" w:color="auto" w:fill="auto"/>
            <w:noWrap/>
            <w:vAlign w:val="center"/>
          </w:tcPr>
          <w:p w:rsidR="00353FB4" w:rsidRPr="00737515" w14:paraId="36A3EF7A" w14:textId="77777777">
            <w:pPr>
              <w:spacing w:after="0" w:line="240" w:lineRule="auto"/>
              <w:rPr>
                <w:rFonts w:ascii="Times New Roman" w:eastAsia="Times New Roman" w:hAnsi="Times New Roman" w:cs="Times New Roman"/>
                <w:color w:val="000000"/>
              </w:rPr>
            </w:pPr>
            <w:r w:rsidRPr="00737515">
              <w:rPr>
                <w:rFonts w:ascii="Times New Roman" w:hAnsi="Times New Roman" w:cs="Times New Roman"/>
                <w:color w:val="000000"/>
              </w:rPr>
              <w:t>Asian</w:t>
            </w:r>
          </w:p>
        </w:tc>
        <w:tc>
          <w:tcPr>
            <w:tcW w:w="1800" w:type="dxa"/>
            <w:shd w:val="clear" w:color="auto" w:fill="auto"/>
            <w:noWrap/>
            <w:vAlign w:val="bottom"/>
          </w:tcPr>
          <w:p w:rsidR="00353FB4" w:rsidRPr="00737515" w14:paraId="4A26E1C1" w14:textId="77777777">
            <w:pPr>
              <w:spacing w:after="0" w:line="240" w:lineRule="auto"/>
              <w:jc w:val="center"/>
              <w:rPr>
                <w:rFonts w:ascii="Times New Roman" w:hAnsi="Times New Roman" w:cs="Times New Roman"/>
              </w:rPr>
            </w:pPr>
            <w:r>
              <w:rPr>
                <w:rFonts w:ascii="Times New Roman" w:hAnsi="Times New Roman" w:cs="Times New Roman"/>
              </w:rPr>
              <w:t>2.2%</w:t>
            </w:r>
          </w:p>
        </w:tc>
        <w:tc>
          <w:tcPr>
            <w:tcW w:w="1800" w:type="dxa"/>
            <w:shd w:val="clear" w:color="auto" w:fill="auto"/>
            <w:noWrap/>
            <w:vAlign w:val="bottom"/>
          </w:tcPr>
          <w:p w:rsidR="00353FB4" w:rsidRPr="00737515" w14:paraId="50AF7910" w14:textId="77777777">
            <w:pPr>
              <w:spacing w:after="0" w:line="240" w:lineRule="auto"/>
              <w:jc w:val="center"/>
              <w:rPr>
                <w:rFonts w:ascii="Times New Roman" w:hAnsi="Times New Roman" w:cs="Times New Roman"/>
              </w:rPr>
            </w:pPr>
            <w:r w:rsidRPr="00737515">
              <w:rPr>
                <w:rFonts w:ascii="Times New Roman" w:hAnsi="Times New Roman" w:cs="Times New Roman"/>
                <w:color w:val="000000"/>
              </w:rPr>
              <w:t xml:space="preserve"> </w:t>
            </w:r>
            <w:r w:rsidR="004B0A06">
              <w:rPr>
                <w:rFonts w:ascii="Times New Roman" w:hAnsi="Times New Roman" w:cs="Times New Roman"/>
                <w:color w:val="000000"/>
              </w:rPr>
              <w:t>6.6%</w:t>
            </w:r>
          </w:p>
        </w:tc>
      </w:tr>
      <w:tr w14:paraId="03674B24" w14:textId="77777777" w:rsidTr="00737515">
        <w:tblPrEx>
          <w:tblW w:w="7920" w:type="dxa"/>
          <w:jc w:val="center"/>
          <w:tblLayout w:type="fixed"/>
          <w:tblLook w:val="04A0"/>
        </w:tblPrEx>
        <w:trPr>
          <w:trHeight w:val="268"/>
          <w:jc w:val="center"/>
        </w:trPr>
        <w:tc>
          <w:tcPr>
            <w:tcW w:w="4320" w:type="dxa"/>
            <w:shd w:val="clear" w:color="auto" w:fill="auto"/>
            <w:noWrap/>
            <w:vAlign w:val="center"/>
          </w:tcPr>
          <w:p w:rsidR="00231ED0" w:rsidRPr="00737515" w14:paraId="5F0DE8E2" w14:textId="77777777">
            <w:pPr>
              <w:spacing w:after="0" w:line="240" w:lineRule="auto"/>
              <w:rPr>
                <w:rFonts w:ascii="Times New Roman" w:hAnsi="Times New Roman" w:cs="Times New Roman"/>
                <w:color w:val="000000"/>
              </w:rPr>
            </w:pPr>
            <w:r w:rsidRPr="00737515">
              <w:rPr>
                <w:rFonts w:ascii="Times New Roman" w:hAnsi="Times New Roman" w:cs="Times New Roman"/>
                <w:color w:val="000000"/>
              </w:rPr>
              <w:t>Black</w:t>
            </w:r>
          </w:p>
        </w:tc>
        <w:tc>
          <w:tcPr>
            <w:tcW w:w="1800" w:type="dxa"/>
            <w:shd w:val="clear" w:color="auto" w:fill="auto"/>
            <w:noWrap/>
            <w:vAlign w:val="bottom"/>
          </w:tcPr>
          <w:p w:rsidR="00231ED0" w:rsidRPr="00737515" w14:paraId="33AC0FAD" w14:textId="77777777">
            <w:pPr>
              <w:spacing w:after="0" w:line="240" w:lineRule="auto"/>
              <w:jc w:val="center"/>
              <w:rPr>
                <w:rFonts w:ascii="Times New Roman" w:hAnsi="Times New Roman" w:cs="Times New Roman"/>
                <w:color w:val="000000"/>
              </w:rPr>
            </w:pPr>
            <w:r>
              <w:rPr>
                <w:rFonts w:ascii="Times New Roman" w:hAnsi="Times New Roman" w:cs="Times New Roman"/>
                <w:color w:val="000000"/>
              </w:rPr>
              <w:t>0.1%</w:t>
            </w:r>
          </w:p>
        </w:tc>
        <w:tc>
          <w:tcPr>
            <w:tcW w:w="1800" w:type="dxa"/>
            <w:shd w:val="clear" w:color="auto" w:fill="auto"/>
            <w:noWrap/>
            <w:vAlign w:val="bottom"/>
          </w:tcPr>
          <w:p w:rsidR="00231ED0" w:rsidRPr="00737515" w14:paraId="6AE23710" w14:textId="77777777">
            <w:pPr>
              <w:spacing w:after="0" w:line="240" w:lineRule="auto"/>
              <w:jc w:val="center"/>
              <w:rPr>
                <w:rFonts w:ascii="Times New Roman" w:hAnsi="Times New Roman" w:cs="Times New Roman"/>
                <w:color w:val="000000"/>
              </w:rPr>
            </w:pPr>
            <w:r>
              <w:rPr>
                <w:rFonts w:ascii="Times New Roman" w:hAnsi="Times New Roman" w:cs="Times New Roman"/>
                <w:color w:val="000000"/>
              </w:rPr>
              <w:t>0.9%</w:t>
            </w:r>
          </w:p>
        </w:tc>
      </w:tr>
      <w:tr w14:paraId="7619C76B" w14:textId="77777777" w:rsidTr="00737515">
        <w:tblPrEx>
          <w:tblW w:w="7920" w:type="dxa"/>
          <w:jc w:val="center"/>
          <w:tblLayout w:type="fixed"/>
          <w:tblLook w:val="04A0"/>
        </w:tblPrEx>
        <w:trPr>
          <w:trHeight w:val="268"/>
          <w:jc w:val="center"/>
        </w:trPr>
        <w:tc>
          <w:tcPr>
            <w:tcW w:w="4320" w:type="dxa"/>
            <w:shd w:val="clear" w:color="auto" w:fill="auto"/>
            <w:noWrap/>
            <w:vAlign w:val="center"/>
          </w:tcPr>
          <w:p w:rsidR="00231ED0" w:rsidRPr="00737515" w14:paraId="2CBA4DF7" w14:textId="77777777">
            <w:pPr>
              <w:spacing w:after="0" w:line="240" w:lineRule="auto"/>
              <w:rPr>
                <w:rFonts w:ascii="Times New Roman" w:hAnsi="Times New Roman" w:cs="Times New Roman"/>
                <w:color w:val="000000"/>
              </w:rPr>
            </w:pPr>
            <w:r w:rsidRPr="00737515">
              <w:rPr>
                <w:rFonts w:ascii="Times New Roman" w:hAnsi="Times New Roman" w:cs="Times New Roman"/>
                <w:color w:val="000000"/>
              </w:rPr>
              <w:t>White</w:t>
            </w:r>
          </w:p>
        </w:tc>
        <w:tc>
          <w:tcPr>
            <w:tcW w:w="1800" w:type="dxa"/>
            <w:shd w:val="clear" w:color="auto" w:fill="auto"/>
            <w:noWrap/>
            <w:vAlign w:val="bottom"/>
          </w:tcPr>
          <w:p w:rsidR="00231ED0" w:rsidRPr="00737515" w14:paraId="024DC4D1" w14:textId="77777777">
            <w:pPr>
              <w:spacing w:after="0" w:line="240" w:lineRule="auto"/>
              <w:jc w:val="center"/>
              <w:rPr>
                <w:rFonts w:ascii="Times New Roman" w:hAnsi="Times New Roman" w:cs="Times New Roman"/>
                <w:color w:val="000000"/>
              </w:rPr>
            </w:pPr>
            <w:r>
              <w:rPr>
                <w:rFonts w:ascii="Times New Roman" w:hAnsi="Times New Roman" w:cs="Times New Roman"/>
                <w:color w:val="000000"/>
              </w:rPr>
              <w:t>97.6%</w:t>
            </w:r>
          </w:p>
        </w:tc>
        <w:tc>
          <w:tcPr>
            <w:tcW w:w="1800" w:type="dxa"/>
            <w:shd w:val="clear" w:color="auto" w:fill="auto"/>
            <w:noWrap/>
            <w:vAlign w:val="bottom"/>
          </w:tcPr>
          <w:p w:rsidR="00231ED0" w:rsidRPr="00737515" w14:paraId="7C842F5C" w14:textId="77777777">
            <w:pPr>
              <w:spacing w:after="0" w:line="240" w:lineRule="auto"/>
              <w:jc w:val="center"/>
              <w:rPr>
                <w:rFonts w:ascii="Times New Roman" w:hAnsi="Times New Roman" w:cs="Times New Roman"/>
                <w:color w:val="000000"/>
              </w:rPr>
            </w:pPr>
            <w:r>
              <w:rPr>
                <w:rFonts w:ascii="Times New Roman" w:hAnsi="Times New Roman" w:cs="Times New Roman"/>
                <w:color w:val="000000"/>
              </w:rPr>
              <w:t>92.4%</w:t>
            </w:r>
          </w:p>
        </w:tc>
      </w:tr>
      <w:tr w14:paraId="697EA063" w14:textId="77777777" w:rsidTr="00737515">
        <w:tblPrEx>
          <w:tblW w:w="7920" w:type="dxa"/>
          <w:jc w:val="center"/>
          <w:tblLayout w:type="fixed"/>
          <w:tblLook w:val="04A0"/>
        </w:tblPrEx>
        <w:trPr>
          <w:trHeight w:val="268"/>
          <w:jc w:val="center"/>
        </w:trPr>
        <w:tc>
          <w:tcPr>
            <w:tcW w:w="4320" w:type="dxa"/>
            <w:shd w:val="clear" w:color="auto" w:fill="auto"/>
            <w:noWrap/>
            <w:vAlign w:val="center"/>
          </w:tcPr>
          <w:p w:rsidR="00231ED0" w:rsidRPr="00737515" w14:paraId="56045379" w14:textId="77777777">
            <w:pPr>
              <w:spacing w:after="0" w:line="240" w:lineRule="auto"/>
              <w:rPr>
                <w:rFonts w:ascii="Times New Roman" w:hAnsi="Times New Roman" w:cs="Times New Roman"/>
                <w:color w:val="000000"/>
              </w:rPr>
            </w:pPr>
            <w:r w:rsidRPr="00737515">
              <w:rPr>
                <w:rFonts w:ascii="Times New Roman" w:hAnsi="Times New Roman" w:cs="Times New Roman"/>
                <w:color w:val="000000"/>
              </w:rPr>
              <w:t xml:space="preserve">Native American or </w:t>
            </w:r>
            <w:r w:rsidRPr="00737515" w:rsidR="005D79B4">
              <w:rPr>
                <w:rFonts w:ascii="Times New Roman" w:hAnsi="Times New Roman" w:cs="Times New Roman"/>
                <w:color w:val="000000"/>
              </w:rPr>
              <w:t>Hawaiian Pacific Islander</w:t>
            </w:r>
          </w:p>
        </w:tc>
        <w:tc>
          <w:tcPr>
            <w:tcW w:w="1800" w:type="dxa"/>
            <w:shd w:val="clear" w:color="auto" w:fill="auto"/>
            <w:noWrap/>
            <w:vAlign w:val="bottom"/>
          </w:tcPr>
          <w:p w:rsidR="00231ED0" w:rsidRPr="00737515" w14:paraId="7F032FAE" w14:textId="77777777">
            <w:pPr>
              <w:spacing w:after="0" w:line="240" w:lineRule="auto"/>
              <w:jc w:val="center"/>
              <w:rPr>
                <w:rFonts w:ascii="Times New Roman" w:hAnsi="Times New Roman" w:cs="Times New Roman"/>
                <w:color w:val="000000"/>
              </w:rPr>
            </w:pPr>
            <w:r>
              <w:rPr>
                <w:rFonts w:ascii="Times New Roman" w:hAnsi="Times New Roman" w:cs="Times New Roman"/>
                <w:color w:val="000000"/>
              </w:rPr>
              <w:t>0.1%</w:t>
            </w:r>
          </w:p>
        </w:tc>
        <w:tc>
          <w:tcPr>
            <w:tcW w:w="1800" w:type="dxa"/>
            <w:shd w:val="clear" w:color="auto" w:fill="auto"/>
            <w:noWrap/>
            <w:vAlign w:val="bottom"/>
          </w:tcPr>
          <w:p w:rsidR="00231ED0" w:rsidRPr="00737515" w14:paraId="3849278A" w14:textId="77777777">
            <w:pPr>
              <w:spacing w:after="0" w:line="240" w:lineRule="auto"/>
              <w:jc w:val="center"/>
              <w:rPr>
                <w:rFonts w:ascii="Times New Roman" w:hAnsi="Times New Roman" w:cs="Times New Roman"/>
                <w:color w:val="000000"/>
              </w:rPr>
            </w:pPr>
            <w:r>
              <w:rPr>
                <w:rFonts w:ascii="Times New Roman" w:hAnsi="Times New Roman" w:cs="Times New Roman"/>
                <w:color w:val="000000"/>
              </w:rPr>
              <w:t>0.1%</w:t>
            </w:r>
          </w:p>
        </w:tc>
      </w:tr>
      <w:tr w14:paraId="4501527E" w14:textId="77777777" w:rsidTr="00737515">
        <w:tblPrEx>
          <w:tblW w:w="7920" w:type="dxa"/>
          <w:jc w:val="center"/>
          <w:tblLayout w:type="fixed"/>
          <w:tblLook w:val="04A0"/>
        </w:tblPrEx>
        <w:trPr>
          <w:trHeight w:val="268"/>
          <w:jc w:val="center"/>
        </w:trPr>
        <w:tc>
          <w:tcPr>
            <w:tcW w:w="7920" w:type="dxa"/>
            <w:gridSpan w:val="3"/>
            <w:shd w:val="clear" w:color="auto" w:fill="F2F2F2" w:themeFill="background1" w:themeFillShade="F2"/>
            <w:noWrap/>
            <w:vAlign w:val="center"/>
          </w:tcPr>
          <w:p w:rsidR="00737515" w:rsidRPr="00737515" w:rsidP="00737515" w14:paraId="39DBEC34" w14:textId="77777777">
            <w:pPr>
              <w:spacing w:after="0" w:line="240" w:lineRule="auto"/>
              <w:rPr>
                <w:rFonts w:ascii="Times New Roman" w:hAnsi="Times New Roman" w:cs="Times New Roman"/>
                <w:color w:val="000000"/>
              </w:rPr>
            </w:pPr>
            <w:r w:rsidRPr="00737515">
              <w:rPr>
                <w:rFonts w:ascii="Times New Roman" w:hAnsi="Times New Roman" w:cs="Times New Roman"/>
                <w:color w:val="000000"/>
              </w:rPr>
              <w:t>Ethnicity (All races)</w:t>
            </w:r>
          </w:p>
        </w:tc>
      </w:tr>
      <w:tr w14:paraId="15DFAC43" w14:textId="77777777" w:rsidTr="00737515">
        <w:tblPrEx>
          <w:tblW w:w="7920" w:type="dxa"/>
          <w:jc w:val="center"/>
          <w:tblLayout w:type="fixed"/>
          <w:tblLook w:val="04A0"/>
        </w:tblPrEx>
        <w:trPr>
          <w:trHeight w:val="268"/>
          <w:jc w:val="center"/>
        </w:trPr>
        <w:tc>
          <w:tcPr>
            <w:tcW w:w="4320" w:type="dxa"/>
            <w:shd w:val="clear" w:color="auto" w:fill="auto"/>
            <w:noWrap/>
            <w:vAlign w:val="center"/>
          </w:tcPr>
          <w:p w:rsidR="00231ED0" w:rsidRPr="00737515" w14:paraId="5EC6902D" w14:textId="77777777">
            <w:pPr>
              <w:spacing w:after="0" w:line="240" w:lineRule="auto"/>
              <w:rPr>
                <w:rFonts w:ascii="Times New Roman" w:hAnsi="Times New Roman" w:cs="Times New Roman"/>
                <w:color w:val="000000"/>
              </w:rPr>
            </w:pPr>
            <w:r w:rsidRPr="00737515">
              <w:rPr>
                <w:rFonts w:ascii="Times New Roman" w:hAnsi="Times New Roman" w:cs="Times New Roman"/>
                <w:color w:val="000000"/>
              </w:rPr>
              <w:t>Hispanic</w:t>
            </w:r>
          </w:p>
        </w:tc>
        <w:tc>
          <w:tcPr>
            <w:tcW w:w="1800" w:type="dxa"/>
            <w:shd w:val="clear" w:color="auto" w:fill="auto"/>
            <w:noWrap/>
            <w:vAlign w:val="bottom"/>
          </w:tcPr>
          <w:p w:rsidR="00231ED0" w:rsidRPr="00737515" w14:paraId="0295F77A" w14:textId="77777777">
            <w:pPr>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1800" w:type="dxa"/>
            <w:shd w:val="clear" w:color="auto" w:fill="auto"/>
            <w:noWrap/>
            <w:vAlign w:val="bottom"/>
          </w:tcPr>
          <w:p w:rsidR="00231ED0" w:rsidRPr="00737515" w14:paraId="4E43B0BA" w14:textId="77777777">
            <w:pPr>
              <w:spacing w:after="0" w:line="240" w:lineRule="auto"/>
              <w:jc w:val="center"/>
              <w:rPr>
                <w:rFonts w:ascii="Times New Roman" w:hAnsi="Times New Roman" w:cs="Times New Roman"/>
                <w:color w:val="000000"/>
              </w:rPr>
            </w:pPr>
            <w:r>
              <w:rPr>
                <w:rFonts w:ascii="Times New Roman" w:hAnsi="Times New Roman" w:cs="Times New Roman"/>
                <w:color w:val="000000"/>
              </w:rPr>
              <w:t>1.8%</w:t>
            </w:r>
          </w:p>
        </w:tc>
      </w:tr>
      <w:tr w14:paraId="76C04574" w14:textId="77777777" w:rsidTr="00737515">
        <w:tblPrEx>
          <w:tblW w:w="7920" w:type="dxa"/>
          <w:jc w:val="center"/>
          <w:tblLayout w:type="fixed"/>
          <w:tblLook w:val="04A0"/>
        </w:tblPrEx>
        <w:trPr>
          <w:trHeight w:val="268"/>
          <w:jc w:val="center"/>
        </w:trPr>
        <w:tc>
          <w:tcPr>
            <w:tcW w:w="7920" w:type="dxa"/>
            <w:gridSpan w:val="3"/>
            <w:shd w:val="clear" w:color="auto" w:fill="F2F2F2" w:themeFill="background1" w:themeFillShade="F2"/>
            <w:noWrap/>
            <w:vAlign w:val="center"/>
          </w:tcPr>
          <w:p w:rsidR="00737515" w:rsidRPr="00737515" w:rsidP="00737515" w14:paraId="40E044E8" w14:textId="77777777">
            <w:pPr>
              <w:spacing w:after="0" w:line="240" w:lineRule="auto"/>
              <w:rPr>
                <w:rFonts w:ascii="Times New Roman" w:hAnsi="Times New Roman" w:cs="Times New Roman"/>
                <w:color w:val="000000"/>
              </w:rPr>
            </w:pPr>
            <w:r w:rsidRPr="00737515">
              <w:rPr>
                <w:rFonts w:ascii="Times New Roman" w:hAnsi="Times New Roman" w:cs="Times New Roman"/>
                <w:color w:val="000000"/>
              </w:rPr>
              <w:t>Minority Status</w:t>
            </w:r>
          </w:p>
        </w:tc>
      </w:tr>
      <w:tr w14:paraId="3DDA0F8A" w14:textId="77777777" w:rsidTr="00737515">
        <w:tblPrEx>
          <w:tblW w:w="7920" w:type="dxa"/>
          <w:jc w:val="center"/>
          <w:tblLayout w:type="fixed"/>
          <w:tblLook w:val="04A0"/>
        </w:tblPrEx>
        <w:trPr>
          <w:trHeight w:val="268"/>
          <w:jc w:val="center"/>
        </w:trPr>
        <w:tc>
          <w:tcPr>
            <w:tcW w:w="4320" w:type="dxa"/>
            <w:shd w:val="clear" w:color="auto" w:fill="auto"/>
            <w:noWrap/>
            <w:vAlign w:val="center"/>
          </w:tcPr>
          <w:p w:rsidR="00231ED0" w:rsidRPr="00737515" w14:paraId="493576CA" w14:textId="77777777">
            <w:pPr>
              <w:spacing w:after="0" w:line="240" w:lineRule="auto"/>
              <w:rPr>
                <w:rFonts w:ascii="Times New Roman" w:hAnsi="Times New Roman" w:cs="Times New Roman"/>
                <w:color w:val="000000"/>
              </w:rPr>
            </w:pPr>
            <w:r w:rsidRPr="00737515">
              <w:rPr>
                <w:rFonts w:ascii="Times New Roman" w:hAnsi="Times New Roman" w:cs="Times New Roman"/>
                <w:color w:val="000000"/>
              </w:rPr>
              <w:t>Minority</w:t>
            </w:r>
          </w:p>
        </w:tc>
        <w:tc>
          <w:tcPr>
            <w:tcW w:w="1800" w:type="dxa"/>
            <w:shd w:val="clear" w:color="auto" w:fill="auto"/>
            <w:noWrap/>
            <w:vAlign w:val="bottom"/>
          </w:tcPr>
          <w:p w:rsidR="00231ED0" w:rsidRPr="00737515" w14:paraId="231B02C5" w14:textId="77777777">
            <w:pPr>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1800" w:type="dxa"/>
            <w:shd w:val="clear" w:color="auto" w:fill="auto"/>
            <w:noWrap/>
            <w:vAlign w:val="bottom"/>
          </w:tcPr>
          <w:p w:rsidR="00231ED0" w:rsidRPr="00737515" w14:paraId="5E45FBCF" w14:textId="77777777">
            <w:pPr>
              <w:spacing w:after="0" w:line="240" w:lineRule="auto"/>
              <w:jc w:val="center"/>
              <w:rPr>
                <w:rFonts w:ascii="Times New Roman" w:hAnsi="Times New Roman" w:cs="Times New Roman"/>
                <w:color w:val="000000"/>
              </w:rPr>
            </w:pPr>
            <w:r>
              <w:rPr>
                <w:rFonts w:ascii="Times New Roman" w:hAnsi="Times New Roman" w:cs="Times New Roman"/>
                <w:color w:val="000000"/>
              </w:rPr>
              <w:t>9.4%</w:t>
            </w:r>
          </w:p>
        </w:tc>
      </w:tr>
    </w:tbl>
    <w:p w:rsidR="00353FB4" w:rsidP="00353FB4" w14:paraId="7192E4B7" w14:textId="77777777">
      <w:pPr>
        <w:spacing w:after="0" w:line="240" w:lineRule="auto"/>
        <w:rPr>
          <w:rFonts w:ascii="Times New Roman" w:hAnsi="Times New Roman" w:cs="Times New Roman"/>
        </w:rPr>
      </w:pPr>
    </w:p>
    <w:p w:rsidR="00461D85" w:rsidP="000E6E0F" w14:paraId="2B5D3A8A" w14:textId="77777777">
      <w:pPr>
        <w:spacing w:after="0" w:line="240" w:lineRule="auto"/>
        <w:ind w:firstLine="360"/>
        <w:rPr>
          <w:rFonts w:ascii="Times New Roman" w:hAnsi="Times New Roman" w:cs="Times New Roman"/>
        </w:rPr>
      </w:pPr>
      <w:r>
        <w:rPr>
          <w:rFonts w:ascii="Times New Roman" w:hAnsi="Times New Roman" w:cs="Times New Roman"/>
        </w:rPr>
        <w:tab/>
      </w:r>
      <w:r w:rsidRPr="000E6E0F">
        <w:rPr>
          <w:rFonts w:ascii="Times New Roman" w:hAnsi="Times New Roman" w:cs="Times New Roman"/>
        </w:rPr>
        <w:t xml:space="preserve">This RIA does not include a complete analysis of labor market effects of the </w:t>
      </w:r>
      <w:r w:rsidR="00BB1029">
        <w:rPr>
          <w:rFonts w:ascii="Times New Roman" w:hAnsi="Times New Roman" w:cs="Times New Roman"/>
        </w:rPr>
        <w:t>final</w:t>
      </w:r>
      <w:r w:rsidRPr="000E6E0F" w:rsidR="00BB1029">
        <w:rPr>
          <w:rFonts w:ascii="Times New Roman" w:hAnsi="Times New Roman" w:cs="Times New Roman"/>
        </w:rPr>
        <w:t xml:space="preserve"> </w:t>
      </w:r>
      <w:r w:rsidRPr="000E6E0F">
        <w:rPr>
          <w:rFonts w:ascii="Times New Roman" w:hAnsi="Times New Roman" w:cs="Times New Roman"/>
        </w:rPr>
        <w:t xml:space="preserve">rule. </w:t>
      </w:r>
      <w:r w:rsidRPr="000E6E0F" w:rsidR="00DC453F">
        <w:rPr>
          <w:rFonts w:ascii="Times New Roman" w:hAnsi="Times New Roman" w:cs="Times New Roman"/>
        </w:rPr>
        <w:t xml:space="preserve">However, </w:t>
      </w:r>
      <w:r w:rsidRPr="000E6E0F" w:rsidR="00154AA3">
        <w:rPr>
          <w:rFonts w:ascii="Times New Roman" w:hAnsi="Times New Roman" w:cs="Times New Roman"/>
        </w:rPr>
        <w:t>in a year whe</w:t>
      </w:r>
      <w:r w:rsidR="008C68D4">
        <w:rPr>
          <w:rFonts w:ascii="Times New Roman" w:hAnsi="Times New Roman" w:cs="Times New Roman"/>
        </w:rPr>
        <w:t>n</w:t>
      </w:r>
      <w:r w:rsidRPr="000E6E0F" w:rsidR="00154AA3">
        <w:rPr>
          <w:rFonts w:ascii="Times New Roman" w:hAnsi="Times New Roman" w:cs="Times New Roman"/>
        </w:rPr>
        <w:t xml:space="preserve"> a large complex facility </w:t>
      </w:r>
      <w:r w:rsidR="009837FF">
        <w:rPr>
          <w:rFonts w:ascii="Times New Roman" w:hAnsi="Times New Roman" w:cs="Times New Roman"/>
        </w:rPr>
        <w:t>will</w:t>
      </w:r>
      <w:r w:rsidRPr="000E6E0F" w:rsidR="00154AA3">
        <w:rPr>
          <w:rFonts w:ascii="Times New Roman" w:hAnsi="Times New Roman" w:cs="Times New Roman"/>
        </w:rPr>
        <w:t xml:space="preserve"> have to conduct a third-party audit, a root cause analysis and an </w:t>
      </w:r>
      <w:r w:rsidR="00E25B3A">
        <w:rPr>
          <w:rFonts w:ascii="Times New Roman" w:hAnsi="Times New Roman" w:cs="Times New Roman"/>
        </w:rPr>
        <w:t>initial evaluation</w:t>
      </w:r>
      <w:r w:rsidRPr="000E6E0F" w:rsidR="00154AA3">
        <w:rPr>
          <w:rFonts w:ascii="Times New Roman" w:hAnsi="Times New Roman" w:cs="Times New Roman"/>
        </w:rPr>
        <w:t xml:space="preserve"> of safer technologies, the total labor hours </w:t>
      </w:r>
      <w:r w:rsidR="00DC2656">
        <w:rPr>
          <w:rFonts w:ascii="Times New Roman" w:hAnsi="Times New Roman" w:cs="Times New Roman"/>
        </w:rPr>
        <w:t xml:space="preserve">required </w:t>
      </w:r>
      <w:r w:rsidR="009837FF">
        <w:rPr>
          <w:rFonts w:ascii="Times New Roman" w:hAnsi="Times New Roman" w:cs="Times New Roman"/>
        </w:rPr>
        <w:t>will</w:t>
      </w:r>
      <w:r w:rsidRPr="000E6E0F" w:rsidR="00154AA3">
        <w:rPr>
          <w:rFonts w:ascii="Times New Roman" w:hAnsi="Times New Roman" w:cs="Times New Roman"/>
        </w:rPr>
        <w:t xml:space="preserve"> average significantly </w:t>
      </w:r>
      <w:r w:rsidR="0054055E">
        <w:rPr>
          <w:rFonts w:ascii="Times New Roman" w:hAnsi="Times New Roman" w:cs="Times New Roman"/>
        </w:rPr>
        <w:t>fewer</w:t>
      </w:r>
      <w:r w:rsidRPr="000E6E0F" w:rsidR="0054055E">
        <w:rPr>
          <w:rFonts w:ascii="Times New Roman" w:hAnsi="Times New Roman" w:cs="Times New Roman"/>
        </w:rPr>
        <w:t xml:space="preserve"> </w:t>
      </w:r>
      <w:r w:rsidRPr="000E6E0F" w:rsidR="00154AA3">
        <w:rPr>
          <w:rFonts w:ascii="Times New Roman" w:hAnsi="Times New Roman" w:cs="Times New Roman"/>
        </w:rPr>
        <w:t>than a single</w:t>
      </w:r>
      <w:r w:rsidRPr="000E6E0F" w:rsidR="00DC453F">
        <w:rPr>
          <w:rFonts w:ascii="Times New Roman" w:hAnsi="Times New Roman" w:cs="Times New Roman"/>
        </w:rPr>
        <w:t xml:space="preserve"> FTE</w:t>
      </w:r>
      <w:r w:rsidRPr="000E6E0F" w:rsidR="00154AA3">
        <w:rPr>
          <w:rFonts w:ascii="Times New Roman" w:hAnsi="Times New Roman" w:cs="Times New Roman"/>
        </w:rPr>
        <w:t>.</w:t>
      </w:r>
      <w:r w:rsidRPr="000E6E0F">
        <w:rPr>
          <w:rFonts w:ascii="Times New Roman" w:hAnsi="Times New Roman" w:cs="Times New Roman"/>
        </w:rPr>
        <w:t xml:space="preserve"> </w:t>
      </w:r>
      <w:r w:rsidRPr="000E6E0F" w:rsidR="00CD0A35">
        <w:rPr>
          <w:rFonts w:ascii="Times New Roman" w:hAnsi="Times New Roman" w:cs="Times New Roman"/>
        </w:rPr>
        <w:t xml:space="preserve">The STAA </w:t>
      </w:r>
      <w:r w:rsidR="00E25B3A">
        <w:rPr>
          <w:rFonts w:ascii="Times New Roman" w:hAnsi="Times New Roman" w:cs="Times New Roman"/>
        </w:rPr>
        <w:t>practicability assessment</w:t>
      </w:r>
      <w:r w:rsidRPr="000E6E0F" w:rsidR="00CD0A35">
        <w:rPr>
          <w:rFonts w:ascii="Times New Roman" w:hAnsi="Times New Roman" w:cs="Times New Roman"/>
        </w:rPr>
        <w:t xml:space="preserve"> </w:t>
      </w:r>
      <w:r w:rsidR="005522C0">
        <w:rPr>
          <w:rFonts w:ascii="Times New Roman" w:hAnsi="Times New Roman" w:cs="Times New Roman"/>
        </w:rPr>
        <w:t xml:space="preserve">and STAA implementation </w:t>
      </w:r>
      <w:r w:rsidR="00236D92">
        <w:rPr>
          <w:rFonts w:ascii="Times New Roman" w:hAnsi="Times New Roman" w:cs="Times New Roman"/>
        </w:rPr>
        <w:t xml:space="preserve">will require additional </w:t>
      </w:r>
      <w:r w:rsidRPr="000E6E0F" w:rsidR="00CD0A35">
        <w:rPr>
          <w:rFonts w:ascii="Times New Roman" w:hAnsi="Times New Roman" w:cs="Times New Roman"/>
        </w:rPr>
        <w:t xml:space="preserve">labor, </w:t>
      </w:r>
      <w:r w:rsidR="00236D92">
        <w:rPr>
          <w:rFonts w:ascii="Times New Roman" w:hAnsi="Times New Roman" w:cs="Times New Roman"/>
        </w:rPr>
        <w:t>but</w:t>
      </w:r>
      <w:r w:rsidRPr="000E6E0F" w:rsidR="00CD0A35">
        <w:rPr>
          <w:rFonts w:ascii="Times New Roman" w:hAnsi="Times New Roman" w:cs="Times New Roman"/>
        </w:rPr>
        <w:t xml:space="preserve"> EPA does not estimate labor hours</w:t>
      </w:r>
      <w:r w:rsidR="00CC3A1D">
        <w:rPr>
          <w:rFonts w:ascii="Times New Roman" w:hAnsi="Times New Roman" w:cs="Times New Roman"/>
        </w:rPr>
        <w:t xml:space="preserve"> for th</w:t>
      </w:r>
      <w:r w:rsidR="000D6F7F">
        <w:rPr>
          <w:rFonts w:ascii="Times New Roman" w:hAnsi="Times New Roman" w:cs="Times New Roman"/>
        </w:rPr>
        <w:t>ose</w:t>
      </w:r>
      <w:r w:rsidR="00CC3A1D">
        <w:rPr>
          <w:rFonts w:ascii="Times New Roman" w:hAnsi="Times New Roman" w:cs="Times New Roman"/>
        </w:rPr>
        <w:t xml:space="preserve"> requirement</w:t>
      </w:r>
      <w:r w:rsidR="000D6F7F">
        <w:rPr>
          <w:rFonts w:ascii="Times New Roman" w:hAnsi="Times New Roman" w:cs="Times New Roman"/>
        </w:rPr>
        <w:t>s</w:t>
      </w:r>
      <w:r w:rsidRPr="000E6E0F" w:rsidR="00CD0A35">
        <w:rPr>
          <w:rFonts w:ascii="Times New Roman" w:hAnsi="Times New Roman" w:cs="Times New Roman"/>
        </w:rPr>
        <w:t xml:space="preserve">. </w:t>
      </w:r>
      <w:r w:rsidR="009E4439">
        <w:rPr>
          <w:rFonts w:ascii="Times New Roman" w:hAnsi="Times New Roman" w:cs="Times New Roman"/>
        </w:rPr>
        <w:t>STAA practicability assessment</w:t>
      </w:r>
      <w:r w:rsidR="00BC45A8">
        <w:rPr>
          <w:rFonts w:ascii="Times New Roman" w:hAnsi="Times New Roman" w:cs="Times New Roman"/>
        </w:rPr>
        <w:t>s will likely</w:t>
      </w:r>
      <w:r w:rsidR="001572E2">
        <w:rPr>
          <w:rFonts w:ascii="Times New Roman" w:hAnsi="Times New Roman" w:cs="Times New Roman"/>
        </w:rPr>
        <w:t xml:space="preserve"> </w:t>
      </w:r>
      <w:r w:rsidR="00171CD3">
        <w:rPr>
          <w:rFonts w:ascii="Times New Roman" w:hAnsi="Times New Roman" w:cs="Times New Roman"/>
        </w:rPr>
        <w:t xml:space="preserve">involve </w:t>
      </w:r>
      <w:r w:rsidR="00D27A85">
        <w:rPr>
          <w:rFonts w:ascii="Times New Roman" w:hAnsi="Times New Roman" w:cs="Times New Roman"/>
        </w:rPr>
        <w:t xml:space="preserve">labor for engineers to assess the technical practicability </w:t>
      </w:r>
      <w:r w:rsidR="0091735B">
        <w:rPr>
          <w:rFonts w:ascii="Times New Roman" w:hAnsi="Times New Roman" w:cs="Times New Roman"/>
        </w:rPr>
        <w:t xml:space="preserve">and for corporate managers to assess the financial practicability of different projects. </w:t>
      </w:r>
      <w:r w:rsidR="00C1124A">
        <w:rPr>
          <w:rFonts w:ascii="Times New Roman" w:hAnsi="Times New Roman" w:cs="Times New Roman"/>
        </w:rPr>
        <w:t>STAA implementation</w:t>
      </w:r>
      <w:r w:rsidR="00811B2C">
        <w:rPr>
          <w:rFonts w:ascii="Times New Roman" w:hAnsi="Times New Roman" w:cs="Times New Roman"/>
        </w:rPr>
        <w:t xml:space="preserve"> </w:t>
      </w:r>
      <w:r w:rsidR="00907E93">
        <w:rPr>
          <w:rFonts w:ascii="Times New Roman" w:hAnsi="Times New Roman" w:cs="Times New Roman"/>
        </w:rPr>
        <w:t>that</w:t>
      </w:r>
      <w:r w:rsidR="00D2158A">
        <w:rPr>
          <w:rFonts w:ascii="Times New Roman" w:hAnsi="Times New Roman" w:cs="Times New Roman"/>
        </w:rPr>
        <w:t xml:space="preserve"> </w:t>
      </w:r>
      <w:r w:rsidR="00811B2C">
        <w:rPr>
          <w:rFonts w:ascii="Times New Roman" w:hAnsi="Times New Roman" w:cs="Times New Roman"/>
        </w:rPr>
        <w:t>involve</w:t>
      </w:r>
      <w:r w:rsidR="00D2158A">
        <w:rPr>
          <w:rFonts w:ascii="Times New Roman" w:hAnsi="Times New Roman" w:cs="Times New Roman"/>
        </w:rPr>
        <w:t xml:space="preserve">s </w:t>
      </w:r>
      <w:r w:rsidR="00496457">
        <w:rPr>
          <w:rFonts w:ascii="Times New Roman" w:hAnsi="Times New Roman" w:cs="Times New Roman"/>
        </w:rPr>
        <w:t>repl</w:t>
      </w:r>
      <w:r w:rsidR="00AF4A35">
        <w:rPr>
          <w:rFonts w:ascii="Times New Roman" w:hAnsi="Times New Roman" w:cs="Times New Roman"/>
        </w:rPr>
        <w:t>ac</w:t>
      </w:r>
      <w:r w:rsidR="00D2158A">
        <w:rPr>
          <w:rFonts w:ascii="Times New Roman" w:hAnsi="Times New Roman" w:cs="Times New Roman"/>
        </w:rPr>
        <w:t>ing</w:t>
      </w:r>
      <w:r w:rsidR="00AF4A35">
        <w:rPr>
          <w:rFonts w:ascii="Times New Roman" w:hAnsi="Times New Roman" w:cs="Times New Roman"/>
        </w:rPr>
        <w:t>, construct</w:t>
      </w:r>
      <w:r w:rsidR="00D2158A">
        <w:rPr>
          <w:rFonts w:ascii="Times New Roman" w:hAnsi="Times New Roman" w:cs="Times New Roman"/>
        </w:rPr>
        <w:t>ing</w:t>
      </w:r>
      <w:r w:rsidR="00AF4A35">
        <w:rPr>
          <w:rFonts w:ascii="Times New Roman" w:hAnsi="Times New Roman" w:cs="Times New Roman"/>
        </w:rPr>
        <w:t xml:space="preserve">, </w:t>
      </w:r>
      <w:r w:rsidR="00FC4604">
        <w:rPr>
          <w:rFonts w:ascii="Times New Roman" w:hAnsi="Times New Roman" w:cs="Times New Roman"/>
        </w:rPr>
        <w:t>or</w:t>
      </w:r>
      <w:r w:rsidR="00AF4A35">
        <w:rPr>
          <w:rFonts w:ascii="Times New Roman" w:hAnsi="Times New Roman" w:cs="Times New Roman"/>
        </w:rPr>
        <w:t xml:space="preserve"> install</w:t>
      </w:r>
      <w:r w:rsidR="00D2158A">
        <w:rPr>
          <w:rFonts w:ascii="Times New Roman" w:hAnsi="Times New Roman" w:cs="Times New Roman"/>
        </w:rPr>
        <w:t>ing</w:t>
      </w:r>
      <w:r w:rsidR="00AF4A35">
        <w:rPr>
          <w:rFonts w:ascii="Times New Roman" w:hAnsi="Times New Roman" w:cs="Times New Roman"/>
        </w:rPr>
        <w:t xml:space="preserve"> equipment and structures</w:t>
      </w:r>
      <w:r w:rsidR="00D2158A">
        <w:rPr>
          <w:rFonts w:ascii="Times New Roman" w:hAnsi="Times New Roman" w:cs="Times New Roman"/>
        </w:rPr>
        <w:t xml:space="preserve"> w</w:t>
      </w:r>
      <w:r w:rsidR="00907E93">
        <w:rPr>
          <w:rFonts w:ascii="Times New Roman" w:hAnsi="Times New Roman" w:cs="Times New Roman"/>
        </w:rPr>
        <w:t>ill require labor</w:t>
      </w:r>
      <w:r w:rsidR="00FC4604">
        <w:rPr>
          <w:rFonts w:ascii="Times New Roman" w:hAnsi="Times New Roman" w:cs="Times New Roman"/>
        </w:rPr>
        <w:t xml:space="preserve"> as part of initial costs</w:t>
      </w:r>
      <w:r w:rsidR="00907E93">
        <w:rPr>
          <w:rFonts w:ascii="Times New Roman" w:hAnsi="Times New Roman" w:cs="Times New Roman"/>
        </w:rPr>
        <w:t>,</w:t>
      </w:r>
      <w:r w:rsidR="00370B39">
        <w:rPr>
          <w:rFonts w:ascii="Times New Roman" w:hAnsi="Times New Roman" w:cs="Times New Roman"/>
        </w:rPr>
        <w:t xml:space="preserve"> </w:t>
      </w:r>
      <w:r w:rsidR="00907E93">
        <w:rPr>
          <w:rFonts w:ascii="Times New Roman" w:hAnsi="Times New Roman" w:cs="Times New Roman"/>
        </w:rPr>
        <w:t>as will</w:t>
      </w:r>
      <w:r w:rsidR="00370B39">
        <w:rPr>
          <w:rFonts w:ascii="Times New Roman" w:hAnsi="Times New Roman" w:cs="Times New Roman"/>
        </w:rPr>
        <w:t xml:space="preserve"> </w:t>
      </w:r>
      <w:r w:rsidR="000C5407">
        <w:rPr>
          <w:rFonts w:ascii="Times New Roman" w:hAnsi="Times New Roman" w:cs="Times New Roman"/>
        </w:rPr>
        <w:t xml:space="preserve">developing </w:t>
      </w:r>
      <w:r w:rsidR="000728C9">
        <w:rPr>
          <w:rFonts w:ascii="Times New Roman" w:hAnsi="Times New Roman" w:cs="Times New Roman"/>
        </w:rPr>
        <w:t xml:space="preserve">new programs </w:t>
      </w:r>
      <w:r w:rsidR="00464248">
        <w:rPr>
          <w:rFonts w:ascii="Times New Roman" w:hAnsi="Times New Roman" w:cs="Times New Roman"/>
        </w:rPr>
        <w:t>and procedures</w:t>
      </w:r>
      <w:r w:rsidR="006C3240">
        <w:rPr>
          <w:rFonts w:ascii="Times New Roman" w:hAnsi="Times New Roman" w:cs="Times New Roman"/>
        </w:rPr>
        <w:t xml:space="preserve"> </w:t>
      </w:r>
      <w:r w:rsidR="00907E93">
        <w:rPr>
          <w:rFonts w:ascii="Times New Roman" w:hAnsi="Times New Roman" w:cs="Times New Roman"/>
        </w:rPr>
        <w:t>and train</w:t>
      </w:r>
      <w:r w:rsidR="000C5407">
        <w:rPr>
          <w:rFonts w:ascii="Times New Roman" w:hAnsi="Times New Roman" w:cs="Times New Roman"/>
        </w:rPr>
        <w:t>ing</w:t>
      </w:r>
      <w:r w:rsidR="00907E93">
        <w:rPr>
          <w:rFonts w:ascii="Times New Roman" w:hAnsi="Times New Roman" w:cs="Times New Roman"/>
        </w:rPr>
        <w:t xml:space="preserve"> staff</w:t>
      </w:r>
      <w:r w:rsidR="005E7E0C">
        <w:rPr>
          <w:rFonts w:ascii="Times New Roman" w:hAnsi="Times New Roman" w:cs="Times New Roman"/>
        </w:rPr>
        <w:t xml:space="preserve">. </w:t>
      </w:r>
      <w:r w:rsidR="009B0021">
        <w:rPr>
          <w:rFonts w:ascii="Times New Roman" w:hAnsi="Times New Roman" w:cs="Times New Roman"/>
        </w:rPr>
        <w:t xml:space="preserve">Implemented measures may </w:t>
      </w:r>
      <w:r w:rsidR="00C17034">
        <w:rPr>
          <w:rFonts w:ascii="Times New Roman" w:hAnsi="Times New Roman" w:cs="Times New Roman"/>
        </w:rPr>
        <w:t xml:space="preserve">have </w:t>
      </w:r>
      <w:r w:rsidR="00F22F5A">
        <w:rPr>
          <w:rFonts w:ascii="Times New Roman" w:hAnsi="Times New Roman" w:cs="Times New Roman"/>
        </w:rPr>
        <w:t xml:space="preserve">recurring labor needs to operate and maintain </w:t>
      </w:r>
      <w:r w:rsidR="004B12C1">
        <w:rPr>
          <w:rFonts w:ascii="Times New Roman" w:hAnsi="Times New Roman" w:cs="Times New Roman"/>
        </w:rPr>
        <w:t>equipment</w:t>
      </w:r>
      <w:r w:rsidR="008A0CC8">
        <w:rPr>
          <w:rFonts w:ascii="Times New Roman" w:hAnsi="Times New Roman" w:cs="Times New Roman"/>
        </w:rPr>
        <w:t>, programs, and procedures</w:t>
      </w:r>
      <w:r w:rsidR="002C66A8">
        <w:rPr>
          <w:rFonts w:ascii="Times New Roman" w:hAnsi="Times New Roman" w:cs="Times New Roman"/>
        </w:rPr>
        <w:t>.</w:t>
      </w:r>
      <w:r w:rsidR="0029305D">
        <w:rPr>
          <w:rFonts w:ascii="Times New Roman" w:hAnsi="Times New Roman" w:cs="Times New Roman"/>
        </w:rPr>
        <w:t xml:space="preserve"> </w:t>
      </w:r>
      <w:r w:rsidRPr="000E6E0F" w:rsidR="00CD0A35">
        <w:rPr>
          <w:rFonts w:ascii="Times New Roman" w:hAnsi="Times New Roman" w:cs="Times New Roman"/>
        </w:rPr>
        <w:t xml:space="preserve">Finally, </w:t>
      </w:r>
      <w:r w:rsidRPr="000E6E0F">
        <w:rPr>
          <w:rFonts w:ascii="Times New Roman" w:hAnsi="Times New Roman" w:cs="Times New Roman"/>
        </w:rPr>
        <w:t>third-party audit and root cause analysis provisions may generate work for consultants</w:t>
      </w:r>
      <w:r w:rsidR="005E7B89">
        <w:rPr>
          <w:rFonts w:ascii="Times New Roman" w:hAnsi="Times New Roman" w:cs="Times New Roman"/>
        </w:rPr>
        <w:t xml:space="preserve">. </w:t>
      </w:r>
      <w:r w:rsidR="003E782A">
        <w:rPr>
          <w:rFonts w:ascii="Times New Roman" w:hAnsi="Times New Roman" w:cs="Times New Roman"/>
        </w:rPr>
        <w:t xml:space="preserve">In general, EPA does not expect any facility </w:t>
      </w:r>
      <w:r w:rsidR="008C19C9">
        <w:rPr>
          <w:rFonts w:ascii="Times New Roman" w:hAnsi="Times New Roman" w:cs="Times New Roman"/>
        </w:rPr>
        <w:t>will</w:t>
      </w:r>
      <w:r w:rsidR="003E782A">
        <w:rPr>
          <w:rFonts w:ascii="Times New Roman" w:hAnsi="Times New Roman" w:cs="Times New Roman"/>
        </w:rPr>
        <w:t xml:space="preserve"> need to hire new employees as a result of the requirements of the final rule.</w:t>
      </w:r>
    </w:p>
    <w:p w:rsidR="000E6E0F" w:rsidRPr="000E6E0F" w:rsidP="000E6E0F" w14:paraId="329B95ED" w14:textId="77777777">
      <w:pPr>
        <w:spacing w:after="0" w:line="240" w:lineRule="auto"/>
        <w:ind w:firstLine="360"/>
        <w:rPr>
          <w:rFonts w:ascii="Times New Roman" w:hAnsi="Times New Roman" w:cs="Times New Roman"/>
        </w:rPr>
      </w:pPr>
    </w:p>
    <w:p w:rsidR="00461D85" w:rsidRPr="000E6E0F" w:rsidP="00C07306" w14:paraId="15D37E1E" w14:textId="77777777">
      <w:pPr>
        <w:pStyle w:val="Heading2"/>
      </w:pPr>
      <w:bookmarkStart w:id="549" w:name="_Toc98856255"/>
      <w:bookmarkStart w:id="550" w:name="_Toc144303622"/>
      <w:r w:rsidRPr="000E6E0F">
        <w:t>11.5 Paperwork Reduction Act of 1995</w:t>
      </w:r>
      <w:bookmarkEnd w:id="549"/>
      <w:bookmarkEnd w:id="550"/>
    </w:p>
    <w:p w:rsidR="009A1B74" w:rsidRPr="00312298" w:rsidP="009A1B74" w14:paraId="6D99F048" w14:textId="467387BD">
      <w:pPr>
        <w:pStyle w:val="Default"/>
        <w:ind w:firstLine="720"/>
        <w:rPr>
          <w:rFonts w:ascii="Times New Roman" w:hAnsi="Times New Roman" w:cs="Times New Roman"/>
          <w:sz w:val="22"/>
          <w:szCs w:val="22"/>
        </w:rPr>
      </w:pPr>
      <w:r w:rsidRPr="009A1B74">
        <w:rPr>
          <w:rFonts w:ascii="Times New Roman" w:hAnsi="Times New Roman" w:cs="Times New Roman"/>
          <w:sz w:val="22"/>
          <w:szCs w:val="22"/>
        </w:rPr>
        <w:t xml:space="preserve">The information collection activities in this rule will be submitted for approval to OMB under the </w:t>
      </w:r>
      <w:r w:rsidR="002164FC">
        <w:rPr>
          <w:rFonts w:ascii="Times New Roman" w:hAnsi="Times New Roman" w:cs="Times New Roman"/>
          <w:sz w:val="22"/>
          <w:szCs w:val="22"/>
        </w:rPr>
        <w:t>Paperwork Reduction Act</w:t>
      </w:r>
      <w:r w:rsidR="00136BB2">
        <w:rPr>
          <w:rFonts w:ascii="Times New Roman" w:hAnsi="Times New Roman" w:cs="Times New Roman"/>
          <w:sz w:val="22"/>
          <w:szCs w:val="22"/>
        </w:rPr>
        <w:t xml:space="preserve"> of 1995</w:t>
      </w:r>
      <w:r w:rsidRPr="009A1B74">
        <w:rPr>
          <w:rFonts w:ascii="Times New Roman" w:hAnsi="Times New Roman" w:cs="Times New Roman"/>
          <w:sz w:val="22"/>
          <w:szCs w:val="22"/>
        </w:rPr>
        <w:t>. The Information Collection Request (ICR) document that the EPA prepared has been assigned EPA ICR number 2725.0</w:t>
      </w:r>
      <w:r w:rsidR="00ED5D9E">
        <w:rPr>
          <w:rFonts w:ascii="Times New Roman" w:hAnsi="Times New Roman" w:cs="Times New Roman"/>
          <w:sz w:val="22"/>
          <w:szCs w:val="22"/>
        </w:rPr>
        <w:t xml:space="preserve">2. </w:t>
      </w:r>
      <w:r w:rsidRPr="009A1B74">
        <w:rPr>
          <w:rFonts w:ascii="Times New Roman" w:hAnsi="Times New Roman" w:cs="Times New Roman"/>
          <w:sz w:val="22"/>
          <w:szCs w:val="22"/>
        </w:rPr>
        <w:t>You can find a copy of the ICR in the docket for this rule, and it is briefly summarized here. The information collection requirements are not enforceable until OMB approves them.</w:t>
      </w:r>
    </w:p>
    <w:p w:rsidR="009A1B74" w:rsidRPr="009A1B74" w:rsidP="009A1B74" w14:paraId="45A3DA84" w14:textId="77777777">
      <w:pPr>
        <w:pStyle w:val="Default"/>
        <w:ind w:firstLine="720"/>
        <w:rPr>
          <w:rFonts w:ascii="Times New Roman" w:hAnsi="Times New Roman" w:cs="Times New Roman"/>
          <w:sz w:val="22"/>
          <w:szCs w:val="22"/>
        </w:rPr>
      </w:pPr>
    </w:p>
    <w:p w:rsidR="009A1B74" w:rsidRPr="00312298" w:rsidP="006344AD" w14:paraId="3A02C435" w14:textId="77777777">
      <w:pPr>
        <w:pStyle w:val="Default"/>
        <w:ind w:firstLine="720"/>
        <w:rPr>
          <w:rFonts w:ascii="Times New Roman" w:hAnsi="Times New Roman" w:cs="Times New Roman"/>
          <w:sz w:val="22"/>
          <w:szCs w:val="22"/>
        </w:rPr>
      </w:pPr>
      <w:r w:rsidRPr="009A1B74">
        <w:rPr>
          <w:rFonts w:ascii="Times New Roman" w:hAnsi="Times New Roman" w:cs="Times New Roman"/>
          <w:sz w:val="22"/>
          <w:szCs w:val="22"/>
        </w:rPr>
        <w:t xml:space="preserve">EPA believes that the Risk Management Program regulations, originally promulgated on June 20, 1996, codified as 40 CFR part 68, and later amended, have been effective in preventing and mitigating chemical accidents in the United States. However, EPA also believes that revisions could further protect human health and the environment from chemical hazards through advancement of PSM based on lessons learned. The revisions in this final rule are a result of reviewing the existing Risk Management Program and information gathered from the 2021 listening sessions. State and local authorities will use the information in RMPs to modify and enhance their community response plans. The agencies implementing the RMP rule use RMPs to evaluate compliance with 40 CFR part 68 and to identify sources for inspection because they may pose significant risks to the community. Citizens may use the information to assess and address chemical hazards in their communities and to respond appropriately in the event of a release of a regulated substance. These revisions are made under the statutory authority provided by section 112(r) of the CAA as amended (42 U.S.C. 7412(r)). </w:t>
      </w:r>
    </w:p>
    <w:p w:rsidR="009A1B74" w:rsidRPr="009A1B74" w:rsidP="009A1B74" w14:paraId="172DFF52" w14:textId="77777777">
      <w:pPr>
        <w:pStyle w:val="Default"/>
        <w:ind w:firstLine="360"/>
        <w:rPr>
          <w:rFonts w:ascii="Times New Roman" w:hAnsi="Times New Roman" w:cs="Times New Roman"/>
          <w:sz w:val="22"/>
          <w:szCs w:val="22"/>
        </w:rPr>
      </w:pPr>
    </w:p>
    <w:p w:rsidR="009A1B74" w:rsidRPr="00312298" w:rsidP="00F43F9D" w14:paraId="5AA8AD00" w14:textId="77777777">
      <w:pPr>
        <w:pStyle w:val="Default"/>
        <w:ind w:left="720"/>
        <w:rPr>
          <w:rFonts w:ascii="Times New Roman" w:hAnsi="Times New Roman" w:cs="Times New Roman"/>
          <w:sz w:val="22"/>
          <w:szCs w:val="22"/>
        </w:rPr>
      </w:pPr>
      <w:r w:rsidRPr="009A1B74">
        <w:rPr>
          <w:rFonts w:ascii="Times New Roman" w:hAnsi="Times New Roman" w:cs="Times New Roman"/>
          <w:i/>
          <w:sz w:val="22"/>
          <w:szCs w:val="22"/>
        </w:rPr>
        <w:t>Respondents/affected entities</w:t>
      </w:r>
      <w:r w:rsidRPr="009A1B74">
        <w:rPr>
          <w:rFonts w:ascii="Times New Roman" w:hAnsi="Times New Roman" w:cs="Times New Roman"/>
          <w:sz w:val="22"/>
          <w:szCs w:val="22"/>
        </w:rPr>
        <w:t xml:space="preserve">: The industries that are likely to be affected by the requirements in the regulation fall into numerous NAICS codes. The types of stationary sources affected by the rule range from petroleum refineries and large chemical manufacturers to water and wastewater treatment systems; chemical and petroleum wholesalers and terminals; food manufacturers, packing plants, and other cold storage facilities with ammonia refrigeration systems; agricultural chemical distributors; midstream gas plants; and a limited number of other sources that use RMP-regulated substances. Among the stationary sources potentially affected, the Agency has determined that 2,636 are regulated private sector small entities and 630 are small government entities. </w:t>
      </w:r>
    </w:p>
    <w:p w:rsidR="00312298" w:rsidP="00312298" w14:paraId="1401CC64" w14:textId="77777777">
      <w:pPr>
        <w:pStyle w:val="Default"/>
        <w:ind w:left="720"/>
        <w:rPr>
          <w:rFonts w:ascii="Times New Roman" w:hAnsi="Times New Roman" w:cs="Times New Roman"/>
          <w:sz w:val="22"/>
          <w:szCs w:val="22"/>
        </w:rPr>
      </w:pPr>
    </w:p>
    <w:p w:rsidR="009A1B74" w:rsidRPr="00312298" w:rsidP="00312298" w14:paraId="240AE7AE" w14:textId="77777777">
      <w:pPr>
        <w:pStyle w:val="Default"/>
        <w:ind w:left="720"/>
        <w:rPr>
          <w:rFonts w:ascii="Times New Roman" w:hAnsi="Times New Roman" w:cs="Times New Roman"/>
          <w:sz w:val="22"/>
          <w:szCs w:val="22"/>
        </w:rPr>
      </w:pPr>
      <w:r w:rsidRPr="009A1B74">
        <w:rPr>
          <w:rFonts w:ascii="Times New Roman" w:hAnsi="Times New Roman" w:cs="Times New Roman"/>
          <w:i/>
          <w:sz w:val="22"/>
          <w:szCs w:val="22"/>
        </w:rPr>
        <w:t>Respondent’s obligation to respond</w:t>
      </w:r>
      <w:r w:rsidRPr="009A1B74">
        <w:rPr>
          <w:rFonts w:ascii="Times New Roman" w:hAnsi="Times New Roman" w:cs="Times New Roman"/>
          <w:sz w:val="22"/>
          <w:szCs w:val="22"/>
        </w:rPr>
        <w:t>: Mandatory (CAA sections 112(r)(7)(B)(i) and (ii), CAA sections 112(r)(7)(B)(iii), 114(c), CAA 114(a)(1))).</w:t>
      </w:r>
    </w:p>
    <w:p w:rsidR="00312298" w:rsidP="00312298" w14:paraId="5166BF66" w14:textId="77777777">
      <w:pPr>
        <w:pStyle w:val="Default"/>
        <w:ind w:left="720"/>
        <w:rPr>
          <w:rFonts w:ascii="Times New Roman" w:hAnsi="Times New Roman" w:cs="Times New Roman"/>
          <w:i/>
          <w:iCs/>
          <w:sz w:val="22"/>
          <w:szCs w:val="22"/>
        </w:rPr>
      </w:pPr>
    </w:p>
    <w:p w:rsidR="009A1B74" w:rsidRPr="00312298" w:rsidP="00312298" w14:paraId="6DC986F1" w14:textId="77777777">
      <w:pPr>
        <w:pStyle w:val="Default"/>
        <w:ind w:left="720"/>
        <w:rPr>
          <w:rFonts w:ascii="Times New Roman" w:hAnsi="Times New Roman" w:cs="Times New Roman"/>
          <w:sz w:val="22"/>
          <w:szCs w:val="22"/>
        </w:rPr>
      </w:pPr>
      <w:r w:rsidRPr="009A1B74">
        <w:rPr>
          <w:rFonts w:ascii="Times New Roman" w:hAnsi="Times New Roman" w:cs="Times New Roman"/>
          <w:i/>
          <w:sz w:val="22"/>
          <w:szCs w:val="22"/>
        </w:rPr>
        <w:t>Estimated number of respondents</w:t>
      </w:r>
      <w:r w:rsidRPr="009A1B74">
        <w:rPr>
          <w:rFonts w:ascii="Times New Roman" w:hAnsi="Times New Roman" w:cs="Times New Roman"/>
          <w:sz w:val="22"/>
          <w:szCs w:val="22"/>
        </w:rPr>
        <w:t xml:space="preserve">: 14,226. </w:t>
      </w:r>
    </w:p>
    <w:p w:rsidR="00312298" w:rsidP="00312298" w14:paraId="674AB20D" w14:textId="77777777">
      <w:pPr>
        <w:pStyle w:val="Default"/>
        <w:ind w:left="720"/>
        <w:rPr>
          <w:rFonts w:ascii="Times New Roman" w:hAnsi="Times New Roman" w:cs="Times New Roman"/>
          <w:sz w:val="22"/>
          <w:szCs w:val="22"/>
        </w:rPr>
      </w:pPr>
    </w:p>
    <w:p w:rsidR="00312298" w:rsidP="00312298" w14:paraId="379D8925" w14:textId="77777777">
      <w:pPr>
        <w:pStyle w:val="Default"/>
        <w:ind w:left="720"/>
        <w:rPr>
          <w:rFonts w:ascii="Times New Roman" w:hAnsi="Times New Roman" w:cs="Times New Roman"/>
          <w:sz w:val="22"/>
          <w:szCs w:val="22"/>
        </w:rPr>
      </w:pPr>
      <w:r w:rsidRPr="009A1B74">
        <w:rPr>
          <w:rFonts w:ascii="Times New Roman" w:hAnsi="Times New Roman" w:cs="Times New Roman"/>
          <w:i/>
          <w:iCs/>
          <w:sz w:val="22"/>
          <w:szCs w:val="22"/>
        </w:rPr>
        <w:t>Frequency of response</w:t>
      </w:r>
      <w:r w:rsidRPr="009A1B74">
        <w:rPr>
          <w:rFonts w:ascii="Times New Roman" w:hAnsi="Times New Roman" w:cs="Times New Roman"/>
          <w:sz w:val="22"/>
          <w:szCs w:val="22"/>
        </w:rPr>
        <w:t>: Occasional.</w:t>
      </w:r>
    </w:p>
    <w:p w:rsidR="00312298" w:rsidP="00312298" w14:paraId="31A323EA" w14:textId="77777777">
      <w:pPr>
        <w:pStyle w:val="Default"/>
        <w:ind w:left="720"/>
        <w:rPr>
          <w:rFonts w:ascii="Times New Roman" w:hAnsi="Times New Roman" w:cs="Times New Roman"/>
          <w:sz w:val="22"/>
          <w:szCs w:val="22"/>
        </w:rPr>
      </w:pPr>
    </w:p>
    <w:p w:rsidR="00312298" w:rsidP="00312298" w14:paraId="5AA588D2" w14:textId="52FA5B88">
      <w:pPr>
        <w:pStyle w:val="Default"/>
        <w:ind w:left="720"/>
        <w:rPr>
          <w:rFonts w:ascii="Times New Roman" w:hAnsi="Times New Roman" w:cs="Times New Roman"/>
          <w:sz w:val="22"/>
          <w:szCs w:val="22"/>
        </w:rPr>
      </w:pPr>
      <w:r w:rsidRPr="009A1B74">
        <w:rPr>
          <w:rFonts w:ascii="Times New Roman" w:hAnsi="Times New Roman" w:cs="Times New Roman"/>
          <w:i/>
          <w:iCs/>
          <w:sz w:val="22"/>
          <w:szCs w:val="22"/>
        </w:rPr>
        <w:t>Total estimated burden</w:t>
      </w:r>
      <w:r w:rsidRPr="009A1B74">
        <w:rPr>
          <w:rFonts w:ascii="Times New Roman" w:hAnsi="Times New Roman" w:cs="Times New Roman"/>
          <w:sz w:val="22"/>
          <w:szCs w:val="22"/>
        </w:rPr>
        <w:t xml:space="preserve">: </w:t>
      </w:r>
      <w:r w:rsidRPr="004E5174" w:rsidR="008F77B1">
        <w:rPr>
          <w:rFonts w:ascii="Times New Roman" w:hAnsi="Times New Roman" w:cs="Times New Roman"/>
          <w:bCs/>
          <w:sz w:val="22"/>
          <w:szCs w:val="22"/>
        </w:rPr>
        <w:t>1,190,991</w:t>
      </w:r>
      <w:r w:rsidRPr="009A1B74">
        <w:rPr>
          <w:rFonts w:ascii="Times New Roman" w:hAnsi="Times New Roman" w:cs="Times New Roman"/>
          <w:sz w:val="22"/>
          <w:szCs w:val="22"/>
        </w:rPr>
        <w:t xml:space="preserve"> hours (per year). Burden is defined at 5 CFR 1320.3(b). </w:t>
      </w:r>
    </w:p>
    <w:p w:rsidR="00312298" w:rsidP="00312298" w14:paraId="1B7EBEB4" w14:textId="77777777">
      <w:pPr>
        <w:pStyle w:val="Default"/>
        <w:ind w:left="720"/>
        <w:rPr>
          <w:rFonts w:ascii="Times New Roman" w:hAnsi="Times New Roman" w:cs="Times New Roman"/>
          <w:sz w:val="22"/>
          <w:szCs w:val="22"/>
        </w:rPr>
      </w:pPr>
    </w:p>
    <w:p w:rsidR="009A1B74" w:rsidRPr="00312298" w:rsidP="00312298" w14:paraId="6866ADC5" w14:textId="69965389">
      <w:pPr>
        <w:pStyle w:val="Default"/>
        <w:ind w:left="720"/>
        <w:rPr>
          <w:rFonts w:ascii="Times New Roman" w:hAnsi="Times New Roman" w:cs="Times New Roman"/>
          <w:sz w:val="22"/>
          <w:szCs w:val="22"/>
        </w:rPr>
      </w:pPr>
      <w:r w:rsidRPr="009A1B74">
        <w:rPr>
          <w:rFonts w:ascii="Times New Roman" w:hAnsi="Times New Roman" w:cs="Times New Roman"/>
          <w:i/>
          <w:sz w:val="22"/>
          <w:szCs w:val="22"/>
        </w:rPr>
        <w:t>Total estimated cost</w:t>
      </w:r>
      <w:r w:rsidRPr="009A1B74">
        <w:rPr>
          <w:rFonts w:ascii="Times New Roman" w:hAnsi="Times New Roman" w:cs="Times New Roman"/>
          <w:sz w:val="22"/>
          <w:szCs w:val="22"/>
        </w:rPr>
        <w:t xml:space="preserve">: </w:t>
      </w:r>
      <w:r w:rsidRPr="00581543" w:rsidR="008F77B1">
        <w:rPr>
          <w:rFonts w:ascii="Times New Roman" w:hAnsi="Times New Roman" w:cs="Times New Roman"/>
          <w:sz w:val="22"/>
          <w:szCs w:val="22"/>
        </w:rPr>
        <w:t>$126,796,471</w:t>
      </w:r>
      <w:r w:rsidRPr="009A1B74">
        <w:rPr>
          <w:rFonts w:ascii="Times New Roman" w:hAnsi="Times New Roman" w:cs="Times New Roman"/>
          <w:sz w:val="22"/>
          <w:szCs w:val="22"/>
        </w:rPr>
        <w:t xml:space="preserve"> (per year); includes $12,413,710 annual operations and maintenance costs and $78,400 annual capital costs. </w:t>
      </w:r>
    </w:p>
    <w:p w:rsidR="009A1B74" w:rsidRPr="009A1B74" w:rsidP="009A1B74" w14:paraId="4625491D" w14:textId="77777777">
      <w:pPr>
        <w:pStyle w:val="Default"/>
        <w:ind w:firstLine="360"/>
        <w:rPr>
          <w:rFonts w:ascii="Times New Roman" w:hAnsi="Times New Roman" w:cs="Times New Roman"/>
          <w:sz w:val="22"/>
          <w:szCs w:val="22"/>
        </w:rPr>
      </w:pPr>
    </w:p>
    <w:p w:rsidR="000E6E0F" w:rsidP="00D43DD0" w14:paraId="1F72C29E" w14:textId="77777777">
      <w:pPr>
        <w:pStyle w:val="Default"/>
        <w:ind w:firstLine="720"/>
        <w:rPr>
          <w:rFonts w:ascii="Times New Roman" w:hAnsi="Times New Roman" w:cs="Times New Roman"/>
          <w:sz w:val="22"/>
          <w:szCs w:val="22"/>
        </w:rPr>
      </w:pPr>
      <w:r w:rsidRPr="009A1B74">
        <w:rPr>
          <w:rFonts w:ascii="Times New Roman" w:hAnsi="Times New Roman" w:cs="Times New Roman"/>
          <w:sz w:val="22"/>
          <w:szCs w:val="22"/>
        </w:rPr>
        <w:t xml:space="preserve">An agency may not conduct or sponsor, and a person is not required to respond to, a collection of information unless it displays a currently valid OMB control number. The OMB control numbers for the EPA’s regulations in 40 CFR are listed in 40 CFR part 9. When OMB approves this ICR, the Agency will announce that approval in the </w:t>
      </w:r>
      <w:r w:rsidRPr="009A1B74">
        <w:rPr>
          <w:rFonts w:ascii="Times New Roman" w:hAnsi="Times New Roman" w:cs="Times New Roman"/>
          <w:i/>
          <w:sz w:val="22"/>
          <w:szCs w:val="22"/>
        </w:rPr>
        <w:t>Federal Register</w:t>
      </w:r>
      <w:r w:rsidRPr="009A1B74">
        <w:rPr>
          <w:rFonts w:ascii="Times New Roman" w:hAnsi="Times New Roman" w:cs="Times New Roman"/>
          <w:sz w:val="22"/>
          <w:szCs w:val="22"/>
        </w:rPr>
        <w:t xml:space="preserve"> and publish a technical amendment to 40 CFR part 9 to display the OMB control number for the approved information collection activities contained in this final rule.</w:t>
      </w:r>
    </w:p>
    <w:p w:rsidR="00D43DD0" w:rsidRPr="00D43DD0" w:rsidP="00D43DD0" w14:paraId="10A0DC27" w14:textId="77777777">
      <w:pPr>
        <w:pStyle w:val="Default"/>
        <w:ind w:firstLine="720"/>
        <w:rPr>
          <w:rFonts w:ascii="Times New Roman" w:hAnsi="Times New Roman" w:cs="Times New Roman"/>
          <w:sz w:val="22"/>
          <w:szCs w:val="22"/>
        </w:rPr>
      </w:pPr>
    </w:p>
    <w:p w:rsidR="00461D85" w:rsidRPr="000E6E0F" w:rsidP="00C07306" w14:paraId="062A72DA" w14:textId="77777777">
      <w:pPr>
        <w:pStyle w:val="Heading2"/>
      </w:pPr>
      <w:bookmarkStart w:id="551" w:name="_Toc98856256"/>
      <w:bookmarkStart w:id="552" w:name="_Toc144303623"/>
      <w:r w:rsidRPr="000E6E0F">
        <w:t>11.6 National Technology Transfer and Advancement Act</w:t>
      </w:r>
      <w:bookmarkEnd w:id="551"/>
      <w:bookmarkEnd w:id="552"/>
    </w:p>
    <w:p w:rsidR="000E6E0F" w:rsidP="000E6E0F" w14:paraId="2584CEE4" w14:textId="77777777">
      <w:pPr>
        <w:pStyle w:val="Default"/>
        <w:ind w:firstLine="360"/>
        <w:rPr>
          <w:rFonts w:ascii="Times New Roman" w:hAnsi="Times New Roman" w:cs="Times New Roman"/>
          <w:sz w:val="22"/>
          <w:szCs w:val="22"/>
        </w:rPr>
      </w:pPr>
      <w:r>
        <w:rPr>
          <w:rFonts w:ascii="Times New Roman" w:hAnsi="Times New Roman" w:cs="Times New Roman"/>
          <w:sz w:val="22"/>
          <w:szCs w:val="22"/>
        </w:rPr>
        <w:tab/>
      </w:r>
      <w:r w:rsidRPr="000E6E0F" w:rsidR="00461D85">
        <w:rPr>
          <w:rFonts w:ascii="Times New Roman" w:hAnsi="Times New Roman" w:cs="Times New Roman"/>
          <w:sz w:val="22"/>
          <w:szCs w:val="22"/>
        </w:rPr>
        <w:t xml:space="preserve">Section 12(d) of the National Technology Transfer and Advancement Act (NTTAA) of 1995, Pub L. No. 104-113, Sec. 12(d) directs EPA to use voluntary consensus standards in its regulatory activities unless doing so </w:t>
      </w:r>
      <w:r w:rsidR="009837FF">
        <w:rPr>
          <w:rFonts w:ascii="Times New Roman" w:hAnsi="Times New Roman" w:cs="Times New Roman"/>
          <w:sz w:val="22"/>
          <w:szCs w:val="22"/>
        </w:rPr>
        <w:t>will</w:t>
      </w:r>
      <w:r w:rsidRPr="000E6E0F" w:rsidR="00461D85">
        <w:rPr>
          <w:rFonts w:ascii="Times New Roman" w:hAnsi="Times New Roman" w:cs="Times New Roman"/>
          <w:sz w:val="22"/>
          <w:szCs w:val="22"/>
        </w:rPr>
        <w:t xml:space="preserve"> be inconsistent with applicable law or otherwise impractical. Voluntary consensus standards are technical standards (</w:t>
      </w:r>
      <w:r w:rsidRPr="000E6E0F" w:rsidR="00461D85">
        <w:rPr>
          <w:rFonts w:ascii="Times New Roman" w:hAnsi="Times New Roman" w:cs="Times New Roman"/>
          <w:i/>
          <w:sz w:val="22"/>
          <w:szCs w:val="22"/>
        </w:rPr>
        <w:t>e.g.</w:t>
      </w:r>
      <w:r w:rsidRPr="000E6E0F" w:rsidR="00461D85">
        <w:rPr>
          <w:rFonts w:ascii="Times New Roman" w:hAnsi="Times New Roman" w:cs="Times New Roman"/>
          <w:sz w:val="22"/>
          <w:szCs w:val="22"/>
        </w:rPr>
        <w:t xml:space="preserve">, materials specifications, test methods, sampling procedures, and business practices) that are developed or adopted by voluntary consensus standard bodies. The NTTAA directs the EPA to provide Congress, through the OMB, explanations when the Agency decides not to use available and applicable voluntary consensus standards. </w:t>
      </w:r>
    </w:p>
    <w:p w:rsidR="007D782A" w:rsidP="000E6E0F" w14:paraId="7301D56B" w14:textId="77777777">
      <w:pPr>
        <w:pStyle w:val="Default"/>
        <w:ind w:firstLine="360"/>
        <w:rPr>
          <w:rFonts w:ascii="Times New Roman" w:hAnsi="Times New Roman" w:cs="Times New Roman"/>
          <w:sz w:val="22"/>
          <w:szCs w:val="22"/>
        </w:rPr>
      </w:pPr>
    </w:p>
    <w:p w:rsidR="00461D85" w:rsidRPr="00197F1A" w:rsidP="000E6E0F" w14:paraId="28656CD9" w14:textId="77777777">
      <w:pPr>
        <w:pStyle w:val="Default"/>
        <w:ind w:firstLine="360"/>
        <w:rPr>
          <w:rFonts w:ascii="Times New Roman" w:hAnsi="Times New Roman" w:cs="Times New Roman"/>
        </w:rPr>
      </w:pPr>
      <w:r>
        <w:rPr>
          <w:rFonts w:ascii="Times New Roman" w:hAnsi="Times New Roman" w:cs="Times New Roman"/>
          <w:sz w:val="22"/>
          <w:szCs w:val="22"/>
        </w:rPr>
        <w:tab/>
      </w:r>
      <w:r w:rsidRPr="000E6E0F">
        <w:rPr>
          <w:rFonts w:ascii="Times New Roman" w:hAnsi="Times New Roman" w:cs="Times New Roman"/>
          <w:sz w:val="22"/>
          <w:szCs w:val="22"/>
        </w:rPr>
        <w:t>The regulatory options do not involve technical standards</w:t>
      </w:r>
      <w:r w:rsidRPr="00A93677">
        <w:rPr>
          <w:rFonts w:ascii="Times New Roman" w:hAnsi="Times New Roman" w:cs="Times New Roman"/>
          <w:sz w:val="22"/>
          <w:szCs w:val="22"/>
        </w:rPr>
        <w:t xml:space="preserve">. Nothing in the regulatory options </w:t>
      </w:r>
      <w:r w:rsidR="009837FF">
        <w:rPr>
          <w:rFonts w:ascii="Times New Roman" w:hAnsi="Times New Roman" w:cs="Times New Roman"/>
          <w:sz w:val="22"/>
          <w:szCs w:val="22"/>
        </w:rPr>
        <w:t>will</w:t>
      </w:r>
      <w:r w:rsidRPr="00A93677">
        <w:rPr>
          <w:rFonts w:ascii="Times New Roman" w:hAnsi="Times New Roman" w:cs="Times New Roman"/>
          <w:sz w:val="22"/>
          <w:szCs w:val="22"/>
        </w:rPr>
        <w:t xml:space="preserve"> prevent the use of voluntary consensus standards for </w:t>
      </w:r>
      <w:r w:rsidR="008C68D4">
        <w:rPr>
          <w:rFonts w:ascii="Times New Roman" w:hAnsi="Times New Roman" w:cs="Times New Roman"/>
          <w:sz w:val="22"/>
          <w:szCs w:val="22"/>
        </w:rPr>
        <w:t>any</w:t>
      </w:r>
      <w:r w:rsidRPr="00A93677">
        <w:rPr>
          <w:rFonts w:ascii="Times New Roman" w:hAnsi="Times New Roman" w:cs="Times New Roman"/>
          <w:sz w:val="22"/>
          <w:szCs w:val="22"/>
        </w:rPr>
        <w:t xml:space="preserve"> measurement</w:t>
      </w:r>
      <w:r w:rsidR="008C68D4">
        <w:rPr>
          <w:rFonts w:ascii="Times New Roman" w:hAnsi="Times New Roman" w:cs="Times New Roman"/>
          <w:sz w:val="22"/>
          <w:szCs w:val="22"/>
        </w:rPr>
        <w:t>s,</w:t>
      </w:r>
      <w:r w:rsidRPr="00A93677">
        <w:rPr>
          <w:rFonts w:ascii="Times New Roman" w:hAnsi="Times New Roman" w:cs="Times New Roman"/>
          <w:sz w:val="22"/>
          <w:szCs w:val="22"/>
        </w:rPr>
        <w:t xml:space="preserve"> where available, and the EPA encourages permitting authorities and regulated entities to do so. Therefore, the EPA is not considering the use of any voluntary consensus standards.</w:t>
      </w:r>
    </w:p>
    <w:p w:rsidR="000E6E0F" w:rsidRPr="000E6E0F" w:rsidP="000E6E0F" w14:paraId="560D87CA" w14:textId="77777777">
      <w:pPr>
        <w:pStyle w:val="Default"/>
        <w:ind w:firstLine="360"/>
        <w:rPr>
          <w:rFonts w:ascii="Times New Roman" w:hAnsi="Times New Roman" w:cs="Times New Roman"/>
          <w:sz w:val="22"/>
          <w:szCs w:val="22"/>
        </w:rPr>
      </w:pPr>
    </w:p>
    <w:p w:rsidR="00461D85" w:rsidRPr="000E6E0F" w:rsidP="00C07306" w14:paraId="601F2ABF" w14:textId="77777777">
      <w:pPr>
        <w:pStyle w:val="Heading2"/>
      </w:pPr>
      <w:bookmarkStart w:id="553" w:name="_Toc98856257"/>
      <w:bookmarkStart w:id="554" w:name="_Toc144303624"/>
      <w:r w:rsidRPr="000E6E0F">
        <w:t>11.7 Consultation and Coordination with Indian Tribal Governments</w:t>
      </w:r>
      <w:bookmarkEnd w:id="553"/>
      <w:bookmarkEnd w:id="554"/>
    </w:p>
    <w:p w:rsidR="000E6E0F" w:rsidP="000E6E0F" w14:paraId="26B7BD7A" w14:textId="77777777">
      <w:pPr>
        <w:pStyle w:val="Default"/>
        <w:ind w:firstLine="360"/>
        <w:rPr>
          <w:rFonts w:ascii="Times New Roman" w:hAnsi="Times New Roman" w:cs="Times New Roman"/>
          <w:sz w:val="22"/>
          <w:szCs w:val="22"/>
        </w:rPr>
      </w:pPr>
      <w:r>
        <w:rPr>
          <w:rFonts w:ascii="Times New Roman" w:hAnsi="Times New Roman" w:cs="Times New Roman"/>
          <w:sz w:val="22"/>
          <w:szCs w:val="22"/>
        </w:rPr>
        <w:tab/>
      </w:r>
      <w:r w:rsidR="00843659">
        <w:rPr>
          <w:rFonts w:ascii="Times New Roman" w:hAnsi="Times New Roman" w:cs="Times New Roman"/>
          <w:sz w:val="22"/>
          <w:szCs w:val="22"/>
        </w:rPr>
        <w:t>E.O.</w:t>
      </w:r>
      <w:r w:rsidRPr="000E6E0F" w:rsidR="00461D85">
        <w:rPr>
          <w:rFonts w:ascii="Times New Roman" w:hAnsi="Times New Roman" w:cs="Times New Roman"/>
          <w:sz w:val="22"/>
          <w:szCs w:val="22"/>
        </w:rPr>
        <w:t xml:space="preserve"> 13175 (65 FR 67249, November 6, 2000) requires EPA to develop an accountable process to ensure “meaningful and timely input by tribal officials in the development of regulatory policies that have tribal implications.” “Policies that have tribal implications” is defined in the </w:t>
      </w:r>
      <w:r w:rsidR="00843659">
        <w:rPr>
          <w:rFonts w:ascii="Times New Roman" w:hAnsi="Times New Roman" w:cs="Times New Roman"/>
          <w:sz w:val="22"/>
          <w:szCs w:val="22"/>
        </w:rPr>
        <w:t>E.O.</w:t>
      </w:r>
      <w:r w:rsidRPr="000E6E0F" w:rsidR="00461D85">
        <w:rPr>
          <w:rFonts w:ascii="Times New Roman" w:hAnsi="Times New Roman" w:cs="Times New Roman"/>
          <w:sz w:val="22"/>
          <w:szCs w:val="22"/>
        </w:rPr>
        <w:t xml:space="preserve"> to include regulations that have “substantial direct effects on one or more Indian Tribes, on the relationship between the Federal government and the Indian Tribes, or on the distribution of power and responsibilities between the federal government and Indian Tribes.” </w:t>
      </w:r>
    </w:p>
    <w:p w:rsidR="007D782A" w:rsidP="000E6E0F" w14:paraId="71ECADDC" w14:textId="77777777">
      <w:pPr>
        <w:pStyle w:val="Default"/>
        <w:ind w:firstLine="360"/>
        <w:rPr>
          <w:rFonts w:ascii="Times New Roman" w:hAnsi="Times New Roman" w:cs="Times New Roman"/>
          <w:sz w:val="22"/>
          <w:szCs w:val="22"/>
        </w:rPr>
      </w:pPr>
    </w:p>
    <w:p w:rsidR="00461D85" w:rsidP="000E6E0F" w14:paraId="1FD6C823" w14:textId="77777777">
      <w:pPr>
        <w:pStyle w:val="Default"/>
        <w:ind w:firstLine="360"/>
        <w:rPr>
          <w:rFonts w:ascii="Times New Roman" w:hAnsi="Times New Roman" w:cs="Times New Roman"/>
          <w:sz w:val="22"/>
          <w:szCs w:val="22"/>
        </w:rPr>
      </w:pPr>
      <w:r>
        <w:rPr>
          <w:rFonts w:ascii="Times New Roman" w:hAnsi="Times New Roman" w:cs="Times New Roman"/>
          <w:sz w:val="22"/>
          <w:szCs w:val="22"/>
        </w:rPr>
        <w:tab/>
      </w:r>
      <w:r w:rsidRPr="00361ACD" w:rsidR="00361ACD">
        <w:rPr>
          <w:rFonts w:ascii="Times New Roman" w:hAnsi="Times New Roman" w:cs="Times New Roman"/>
          <w:sz w:val="22"/>
          <w:szCs w:val="22"/>
        </w:rPr>
        <w:t xml:space="preserve">This action has </w:t>
      </w:r>
      <w:r w:rsidR="00DF7713">
        <w:rPr>
          <w:rFonts w:ascii="Times New Roman" w:hAnsi="Times New Roman" w:cs="Times New Roman"/>
          <w:sz w:val="22"/>
          <w:szCs w:val="22"/>
        </w:rPr>
        <w:t>T</w:t>
      </w:r>
      <w:r w:rsidRPr="00361ACD" w:rsidR="00361ACD">
        <w:rPr>
          <w:rFonts w:ascii="Times New Roman" w:hAnsi="Times New Roman" w:cs="Times New Roman"/>
          <w:sz w:val="22"/>
          <w:szCs w:val="22"/>
        </w:rPr>
        <w:t xml:space="preserve">ribal implications. However, it will neither impose substantial direct compliance costs on federally recognized </w:t>
      </w:r>
      <w:r w:rsidR="00DF7713">
        <w:rPr>
          <w:rFonts w:ascii="Times New Roman" w:hAnsi="Times New Roman" w:cs="Times New Roman"/>
          <w:sz w:val="22"/>
          <w:szCs w:val="22"/>
        </w:rPr>
        <w:t>T</w:t>
      </w:r>
      <w:r w:rsidRPr="00361ACD" w:rsidR="00361ACD">
        <w:rPr>
          <w:rFonts w:ascii="Times New Roman" w:hAnsi="Times New Roman" w:cs="Times New Roman"/>
          <w:sz w:val="22"/>
          <w:szCs w:val="22"/>
        </w:rPr>
        <w:t xml:space="preserve">ribal governments, nor preempt </w:t>
      </w:r>
      <w:r w:rsidR="00DF7713">
        <w:rPr>
          <w:rFonts w:ascii="Times New Roman" w:hAnsi="Times New Roman" w:cs="Times New Roman"/>
          <w:sz w:val="22"/>
          <w:szCs w:val="22"/>
        </w:rPr>
        <w:t>T</w:t>
      </w:r>
      <w:r w:rsidRPr="00361ACD" w:rsidR="00361ACD">
        <w:rPr>
          <w:rFonts w:ascii="Times New Roman" w:hAnsi="Times New Roman" w:cs="Times New Roman"/>
          <w:sz w:val="22"/>
          <w:szCs w:val="22"/>
        </w:rPr>
        <w:t xml:space="preserve">ribal law. </w:t>
      </w:r>
      <w:r w:rsidR="00B51E8E">
        <w:rPr>
          <w:rFonts w:ascii="Times New Roman" w:hAnsi="Times New Roman" w:cs="Times New Roman"/>
          <w:sz w:val="22"/>
          <w:szCs w:val="22"/>
        </w:rPr>
        <w:t>A</w:t>
      </w:r>
      <w:r w:rsidRPr="00361ACD" w:rsidR="00361ACD">
        <w:rPr>
          <w:rFonts w:ascii="Times New Roman" w:hAnsi="Times New Roman" w:cs="Times New Roman"/>
          <w:sz w:val="22"/>
          <w:szCs w:val="22"/>
        </w:rPr>
        <w:t xml:space="preserve">pproximately 260 RMP facilities </w:t>
      </w:r>
      <w:r w:rsidR="00B51E8E">
        <w:rPr>
          <w:rFonts w:ascii="Times New Roman" w:hAnsi="Times New Roman" w:cs="Times New Roman"/>
          <w:sz w:val="22"/>
          <w:szCs w:val="22"/>
        </w:rPr>
        <w:t>are</w:t>
      </w:r>
      <w:r w:rsidRPr="00361ACD" w:rsidR="00361ACD">
        <w:rPr>
          <w:rFonts w:ascii="Times New Roman" w:hAnsi="Times New Roman" w:cs="Times New Roman"/>
          <w:sz w:val="22"/>
          <w:szCs w:val="22"/>
        </w:rPr>
        <w:t xml:space="preserve"> located on </w:t>
      </w:r>
      <w:r w:rsidR="00DF7713">
        <w:rPr>
          <w:rFonts w:ascii="Times New Roman" w:hAnsi="Times New Roman" w:cs="Times New Roman"/>
          <w:sz w:val="22"/>
          <w:szCs w:val="22"/>
        </w:rPr>
        <w:t>T</w:t>
      </w:r>
      <w:r w:rsidRPr="00361ACD" w:rsidR="00361ACD">
        <w:rPr>
          <w:rFonts w:ascii="Times New Roman" w:hAnsi="Times New Roman" w:cs="Times New Roman"/>
          <w:sz w:val="22"/>
          <w:szCs w:val="22"/>
        </w:rPr>
        <w:t xml:space="preserve">ribal lands. Tribes could be impacted by the final rule either as an owner or operator of an RMP-regulated facility or as a </w:t>
      </w:r>
      <w:r w:rsidR="00DF7713">
        <w:rPr>
          <w:rFonts w:ascii="Times New Roman" w:hAnsi="Times New Roman" w:cs="Times New Roman"/>
          <w:sz w:val="22"/>
          <w:szCs w:val="22"/>
        </w:rPr>
        <w:t>T</w:t>
      </w:r>
      <w:r w:rsidRPr="00361ACD" w:rsidR="00361ACD">
        <w:rPr>
          <w:rFonts w:ascii="Times New Roman" w:hAnsi="Times New Roman" w:cs="Times New Roman"/>
          <w:sz w:val="22"/>
          <w:szCs w:val="22"/>
        </w:rPr>
        <w:t xml:space="preserve">ribal government when the tribal government conducts emergency response or emergency preparedness activities under EPCRA. </w:t>
      </w:r>
      <w:r w:rsidRPr="000E6E0F">
        <w:rPr>
          <w:rFonts w:ascii="Times New Roman" w:hAnsi="Times New Roman" w:cs="Times New Roman"/>
          <w:sz w:val="22"/>
          <w:szCs w:val="22"/>
        </w:rPr>
        <w:t xml:space="preserve">One </w:t>
      </w:r>
      <w:r w:rsidR="00DF7713">
        <w:rPr>
          <w:rFonts w:ascii="Times New Roman" w:hAnsi="Times New Roman" w:cs="Times New Roman"/>
          <w:sz w:val="22"/>
          <w:szCs w:val="22"/>
        </w:rPr>
        <w:t>T</w:t>
      </w:r>
      <w:r w:rsidRPr="000E6E0F">
        <w:rPr>
          <w:rFonts w:ascii="Times New Roman" w:hAnsi="Times New Roman" w:cs="Times New Roman"/>
          <w:sz w:val="22"/>
          <w:szCs w:val="22"/>
        </w:rPr>
        <w:t xml:space="preserve">ribal government owns three facilities that combined </w:t>
      </w:r>
      <w:r w:rsidR="009837FF">
        <w:rPr>
          <w:rFonts w:ascii="Times New Roman" w:hAnsi="Times New Roman" w:cs="Times New Roman"/>
          <w:sz w:val="22"/>
          <w:szCs w:val="22"/>
        </w:rPr>
        <w:t>will</w:t>
      </w:r>
      <w:r w:rsidRPr="000E6E0F">
        <w:rPr>
          <w:rFonts w:ascii="Times New Roman" w:hAnsi="Times New Roman" w:cs="Times New Roman"/>
          <w:sz w:val="22"/>
          <w:szCs w:val="22"/>
        </w:rPr>
        <w:t xml:space="preserve"> incur less than $2,100 in costs and another </w:t>
      </w:r>
      <w:r w:rsidR="00DF7713">
        <w:rPr>
          <w:rFonts w:ascii="Times New Roman" w:hAnsi="Times New Roman" w:cs="Times New Roman"/>
          <w:sz w:val="22"/>
          <w:szCs w:val="22"/>
        </w:rPr>
        <w:t>T</w:t>
      </w:r>
      <w:r w:rsidRPr="000E6E0F">
        <w:rPr>
          <w:rFonts w:ascii="Times New Roman" w:hAnsi="Times New Roman" w:cs="Times New Roman"/>
          <w:sz w:val="22"/>
          <w:szCs w:val="22"/>
        </w:rPr>
        <w:t xml:space="preserve">ribal government owns one facility that </w:t>
      </w:r>
      <w:r w:rsidR="009837FF">
        <w:rPr>
          <w:rFonts w:ascii="Times New Roman" w:hAnsi="Times New Roman" w:cs="Times New Roman"/>
          <w:sz w:val="22"/>
          <w:szCs w:val="22"/>
        </w:rPr>
        <w:t>will</w:t>
      </w:r>
      <w:r w:rsidRPr="000E6E0F">
        <w:rPr>
          <w:rFonts w:ascii="Times New Roman" w:hAnsi="Times New Roman" w:cs="Times New Roman"/>
          <w:sz w:val="22"/>
          <w:szCs w:val="22"/>
        </w:rPr>
        <w:t xml:space="preserve"> incur less than $900 in costs. </w:t>
      </w:r>
    </w:p>
    <w:p w:rsidR="000E6E0F" w:rsidRPr="000E6E0F" w:rsidP="000E6E0F" w14:paraId="0DC899E5" w14:textId="77777777">
      <w:pPr>
        <w:pStyle w:val="Default"/>
        <w:ind w:firstLine="360"/>
        <w:rPr>
          <w:rFonts w:ascii="Times New Roman" w:hAnsi="Times New Roman" w:cs="Times New Roman"/>
          <w:sz w:val="22"/>
          <w:szCs w:val="22"/>
        </w:rPr>
      </w:pPr>
    </w:p>
    <w:p w:rsidR="00B24A7D" w:rsidP="00C07306" w14:paraId="63C49BFD" w14:textId="77777777">
      <w:pPr>
        <w:pStyle w:val="Heading2"/>
      </w:pPr>
      <w:bookmarkStart w:id="555" w:name="_Toc144303625"/>
      <w:r w:rsidRPr="000E6E0F">
        <w:t xml:space="preserve">11.8 Executive Order </w:t>
      </w:r>
      <w:r w:rsidR="000D0952">
        <w:t>13045</w:t>
      </w:r>
      <w:r w:rsidRPr="000E6E0F">
        <w:t xml:space="preserve">: </w:t>
      </w:r>
      <w:r w:rsidRPr="007A173E" w:rsidR="007A173E">
        <w:t>Protection of Children from Environmental Health Risks and Safety Risks</w:t>
      </w:r>
      <w:bookmarkEnd w:id="555"/>
    </w:p>
    <w:p w:rsidR="002F056D" w:rsidP="00AA4C26" w14:paraId="08A122CA" w14:textId="77777777">
      <w:pPr>
        <w:pStyle w:val="BodyText"/>
        <w:ind w:firstLine="360"/>
        <w:rPr>
          <w:rFonts w:ascii="Times New Roman" w:hAnsi="Times New Roman" w:cs="Times New Roman"/>
        </w:rPr>
      </w:pPr>
      <w:r>
        <w:rPr>
          <w:rFonts w:ascii="Times New Roman" w:hAnsi="Times New Roman" w:cs="Times New Roman"/>
        </w:rPr>
        <w:tab/>
      </w:r>
      <w:r w:rsidR="002404AB">
        <w:rPr>
          <w:rFonts w:ascii="Times New Roman" w:hAnsi="Times New Roman" w:cs="Times New Roman"/>
        </w:rPr>
        <w:t>E.O.</w:t>
      </w:r>
      <w:r w:rsidRPr="00FD188A">
        <w:rPr>
          <w:rFonts w:ascii="Times New Roman" w:hAnsi="Times New Roman" w:cs="Times New Roman"/>
        </w:rPr>
        <w:t xml:space="preserve"> 13045 directs Federal agencies to include an evaluation of the health and safety effects of the planned regulation on children in Federal health and safety standards and </w:t>
      </w:r>
      <w:r w:rsidRPr="00FD188A">
        <w:rPr>
          <w:rFonts w:ascii="Times New Roman" w:hAnsi="Times New Roman" w:cs="Times New Roman"/>
          <w:color w:val="1B1B1B"/>
          <w:shd w:val="clear" w:color="auto" w:fill="FFFFFF"/>
        </w:rPr>
        <w:t>explain why the regulation is preferable to potentially effective and reasonably feasible alternatives</w:t>
      </w:r>
      <w:r w:rsidRPr="00FD188A">
        <w:rPr>
          <w:rFonts w:ascii="Times New Roman" w:hAnsi="Times New Roman" w:cs="Times New Roman"/>
        </w:rPr>
        <w:t xml:space="preserve">. This action is not subject to </w:t>
      </w:r>
      <w:r>
        <w:rPr>
          <w:rFonts w:ascii="Times New Roman" w:hAnsi="Times New Roman" w:cs="Times New Roman"/>
        </w:rPr>
        <w:t xml:space="preserve">E.O. </w:t>
      </w:r>
      <w:r w:rsidRPr="00FD188A">
        <w:rPr>
          <w:rFonts w:ascii="Times New Roman" w:hAnsi="Times New Roman" w:cs="Times New Roman"/>
        </w:rPr>
        <w:t>13045 because the EPA does not believe the environmental health risks or safety risks addressed by this action present a disproportionate risk to children. EPA believes that the revisions to the Risk Management Program regulations made by this final rule will further protect human health, including the health of children, through advancement of process safety.</w:t>
      </w:r>
    </w:p>
    <w:p w:rsidR="002F056D" w:rsidRPr="000E6E0F" w:rsidP="000E6E0F" w14:paraId="28C045BF" w14:textId="77777777">
      <w:pPr>
        <w:pStyle w:val="Default"/>
        <w:ind w:firstLine="360"/>
        <w:rPr>
          <w:rFonts w:ascii="Times New Roman" w:hAnsi="Times New Roman" w:cs="Times New Roman"/>
          <w:sz w:val="22"/>
          <w:szCs w:val="22"/>
        </w:rPr>
      </w:pPr>
    </w:p>
    <w:p w:rsidR="00461D85" w:rsidRPr="000E6E0F" w:rsidP="00C07306" w14:paraId="73408A39" w14:textId="77777777">
      <w:pPr>
        <w:pStyle w:val="Heading2"/>
      </w:pPr>
      <w:bookmarkStart w:id="556" w:name="_Toc98856258"/>
      <w:bookmarkStart w:id="557" w:name="_Toc144303626"/>
      <w:r w:rsidRPr="000E6E0F">
        <w:t>11.</w:t>
      </w:r>
      <w:r w:rsidR="008C5626">
        <w:t>9</w:t>
      </w:r>
      <w:r w:rsidRPr="000E6E0F">
        <w:t xml:space="preserve"> Executive Order 13211: Actions Concerning Regulations That Significantly Affect Energy Supply, Distribution, or Use</w:t>
      </w:r>
      <w:bookmarkEnd w:id="556"/>
      <w:bookmarkEnd w:id="557"/>
    </w:p>
    <w:p w:rsidR="00461D85" w:rsidP="000E6E0F" w14:paraId="0E03A4BF" w14:textId="77777777">
      <w:pPr>
        <w:spacing w:after="0" w:line="240" w:lineRule="auto"/>
        <w:ind w:firstLine="450"/>
        <w:rPr>
          <w:rFonts w:ascii="Times New Roman" w:hAnsi="Times New Roman" w:cs="Times New Roman"/>
        </w:rPr>
      </w:pPr>
      <w:r>
        <w:rPr>
          <w:rFonts w:ascii="Times New Roman" w:hAnsi="Times New Roman" w:cs="Times New Roman"/>
        </w:rPr>
        <w:tab/>
      </w:r>
      <w:r w:rsidR="00843659">
        <w:rPr>
          <w:rFonts w:ascii="Times New Roman" w:hAnsi="Times New Roman" w:cs="Times New Roman"/>
        </w:rPr>
        <w:t>E.O.</w:t>
      </w:r>
      <w:r w:rsidRPr="000E6E0F">
        <w:rPr>
          <w:rFonts w:ascii="Times New Roman" w:hAnsi="Times New Roman" w:cs="Times New Roman"/>
        </w:rPr>
        <w:t xml:space="preserve"> 13211 requires Agencies to prepare a Statement of Energy Effects when undertaking certain agency actions. Such Statements of Energy Effects shall describe the effects of certain regulatory actions on energy supply, distribution, or use, notably: (i) any adverse effects on energy supply, distribution, or use (including a shortfall in supply, price increases, and increased use of foreign supplies) should the proposal be implemented, and (ii) reasonable alternatives to the action with adverse energy effects and the expected effects of such alternatives on energy supply, distribution, and use. The OMB implementation memorandum for </w:t>
      </w:r>
      <w:r w:rsidR="00843659">
        <w:rPr>
          <w:rFonts w:ascii="Times New Roman" w:hAnsi="Times New Roman" w:cs="Times New Roman"/>
        </w:rPr>
        <w:t>E.O.</w:t>
      </w:r>
      <w:r w:rsidRPr="000E6E0F">
        <w:rPr>
          <w:rFonts w:ascii="Times New Roman" w:hAnsi="Times New Roman" w:cs="Times New Roman"/>
        </w:rPr>
        <w:t xml:space="preserve"> 13211 outlines specific criteria for assessing whether a regulation constitutes a “significant energy action” and </w:t>
      </w:r>
      <w:r w:rsidR="009837FF">
        <w:rPr>
          <w:rFonts w:ascii="Times New Roman" w:hAnsi="Times New Roman" w:cs="Times New Roman"/>
        </w:rPr>
        <w:t>will</w:t>
      </w:r>
      <w:r w:rsidRPr="000E6E0F">
        <w:rPr>
          <w:rFonts w:ascii="Times New Roman" w:hAnsi="Times New Roman" w:cs="Times New Roman"/>
        </w:rPr>
        <w:t xml:space="preserve"> have a “significant adverse effect on the supply, distribution or use of energy.”</w:t>
      </w:r>
      <w:r>
        <w:rPr>
          <w:rStyle w:val="FootnoteReference"/>
          <w:rFonts w:ascii="Times New Roman" w:hAnsi="Times New Roman" w:cs="Times New Roman"/>
        </w:rPr>
        <w:footnoteReference w:id="204"/>
      </w:r>
      <w:r w:rsidRPr="000E6E0F">
        <w:rPr>
          <w:rFonts w:ascii="Times New Roman" w:hAnsi="Times New Roman" w:cs="Times New Roman"/>
        </w:rPr>
        <w:t xml:space="preserve"> Those criteria include: </w:t>
      </w:r>
    </w:p>
    <w:p w:rsidR="003165DF" w:rsidRPr="000E6E0F" w:rsidP="000E6E0F" w14:paraId="3CD3E690" w14:textId="77777777">
      <w:pPr>
        <w:spacing w:after="0" w:line="240" w:lineRule="auto"/>
        <w:ind w:firstLine="450"/>
        <w:rPr>
          <w:rFonts w:ascii="Times New Roman" w:hAnsi="Times New Roman" w:cs="Times New Roman"/>
        </w:rPr>
      </w:pPr>
    </w:p>
    <w:p w:rsidR="00461D85" w:rsidRPr="000E6E0F" w:rsidP="00082826" w14:paraId="2840FE7A" w14:textId="77777777">
      <w:pPr>
        <w:pStyle w:val="Default"/>
        <w:keepNext/>
        <w:numPr>
          <w:ilvl w:val="0"/>
          <w:numId w:val="9"/>
        </w:numPr>
        <w:rPr>
          <w:rFonts w:ascii="Times New Roman" w:hAnsi="Times New Roman" w:cs="Times New Roman"/>
          <w:i/>
          <w:sz w:val="22"/>
          <w:szCs w:val="22"/>
        </w:rPr>
      </w:pPr>
      <w:r w:rsidRPr="000E6E0F">
        <w:rPr>
          <w:rFonts w:ascii="Times New Roman" w:hAnsi="Times New Roman" w:cs="Times New Roman"/>
          <w:sz w:val="22"/>
          <w:szCs w:val="22"/>
        </w:rPr>
        <w:t>Reductions in crude oil supply in excess of 10,000 barrels per day</w:t>
      </w:r>
      <w:r w:rsidR="00935008">
        <w:rPr>
          <w:rFonts w:ascii="Times New Roman" w:hAnsi="Times New Roman" w:cs="Times New Roman"/>
          <w:sz w:val="22"/>
          <w:szCs w:val="22"/>
        </w:rPr>
        <w:t>.</w:t>
      </w:r>
    </w:p>
    <w:p w:rsidR="00461D85" w:rsidRPr="000E6E0F" w:rsidP="00082826" w14:paraId="606F51D4" w14:textId="77777777">
      <w:pPr>
        <w:pStyle w:val="Default"/>
        <w:keepNext/>
        <w:numPr>
          <w:ilvl w:val="0"/>
          <w:numId w:val="9"/>
        </w:numPr>
        <w:rPr>
          <w:rFonts w:ascii="Times New Roman" w:hAnsi="Times New Roman" w:cs="Times New Roman"/>
          <w:i/>
          <w:sz w:val="22"/>
          <w:szCs w:val="22"/>
        </w:rPr>
      </w:pPr>
      <w:r w:rsidRPr="000E6E0F">
        <w:rPr>
          <w:rFonts w:ascii="Times New Roman" w:hAnsi="Times New Roman" w:cs="Times New Roman"/>
          <w:sz w:val="22"/>
          <w:szCs w:val="22"/>
        </w:rPr>
        <w:t xml:space="preserve">Reductions in fuel production in excess of 4,000 barrels per day. </w:t>
      </w:r>
    </w:p>
    <w:p w:rsidR="00461D85" w:rsidRPr="000E6E0F" w:rsidP="00082826" w14:paraId="29A3251B" w14:textId="77777777">
      <w:pPr>
        <w:pStyle w:val="Default"/>
        <w:numPr>
          <w:ilvl w:val="0"/>
          <w:numId w:val="9"/>
        </w:numPr>
        <w:rPr>
          <w:rFonts w:ascii="Times New Roman" w:hAnsi="Times New Roman" w:cs="Times New Roman"/>
          <w:i/>
          <w:sz w:val="22"/>
          <w:szCs w:val="22"/>
        </w:rPr>
      </w:pPr>
      <w:r w:rsidRPr="000E6E0F">
        <w:rPr>
          <w:rFonts w:ascii="Times New Roman" w:hAnsi="Times New Roman" w:cs="Times New Roman"/>
          <w:sz w:val="22"/>
          <w:szCs w:val="22"/>
        </w:rPr>
        <w:t xml:space="preserve">Reductions in coal production in excess of 5 million tons per year. </w:t>
      </w:r>
    </w:p>
    <w:p w:rsidR="00461D85" w:rsidRPr="000E6E0F" w:rsidP="00082826" w14:paraId="72D356A5" w14:textId="77777777">
      <w:pPr>
        <w:pStyle w:val="Default"/>
        <w:numPr>
          <w:ilvl w:val="0"/>
          <w:numId w:val="9"/>
        </w:numPr>
        <w:rPr>
          <w:rFonts w:ascii="Times New Roman" w:hAnsi="Times New Roman" w:cs="Times New Roman"/>
          <w:i/>
          <w:sz w:val="22"/>
          <w:szCs w:val="22"/>
        </w:rPr>
      </w:pPr>
      <w:r w:rsidRPr="000E6E0F">
        <w:rPr>
          <w:rFonts w:ascii="Times New Roman" w:hAnsi="Times New Roman" w:cs="Times New Roman"/>
          <w:sz w:val="22"/>
          <w:szCs w:val="22"/>
        </w:rPr>
        <w:t xml:space="preserve">Reductions in natural gas production in excess of 25 million mcf per year. </w:t>
      </w:r>
    </w:p>
    <w:p w:rsidR="00461D85" w:rsidRPr="000E6E0F" w:rsidP="00082826" w14:paraId="30AFEFFA" w14:textId="77777777">
      <w:pPr>
        <w:pStyle w:val="Default"/>
        <w:numPr>
          <w:ilvl w:val="0"/>
          <w:numId w:val="9"/>
        </w:numPr>
        <w:rPr>
          <w:rFonts w:ascii="Times New Roman" w:hAnsi="Times New Roman" w:cs="Times New Roman"/>
          <w:i/>
          <w:sz w:val="22"/>
          <w:szCs w:val="22"/>
        </w:rPr>
      </w:pPr>
      <w:r w:rsidRPr="000E6E0F">
        <w:rPr>
          <w:rFonts w:ascii="Times New Roman" w:hAnsi="Times New Roman" w:cs="Times New Roman"/>
          <w:sz w:val="22"/>
          <w:szCs w:val="22"/>
        </w:rPr>
        <w:t xml:space="preserve">Reductions in electricity production in excess of 1 billion kilowatt-hours per year, or in excess of 500 megawatts of installed capacity. </w:t>
      </w:r>
    </w:p>
    <w:p w:rsidR="00461D85" w:rsidRPr="000E6E0F" w:rsidP="00082826" w14:paraId="6896235C" w14:textId="77777777">
      <w:pPr>
        <w:pStyle w:val="Default"/>
        <w:numPr>
          <w:ilvl w:val="0"/>
          <w:numId w:val="9"/>
        </w:numPr>
        <w:rPr>
          <w:rFonts w:ascii="Times New Roman" w:hAnsi="Times New Roman" w:cs="Times New Roman"/>
          <w:i/>
          <w:sz w:val="22"/>
          <w:szCs w:val="22"/>
        </w:rPr>
      </w:pPr>
      <w:r w:rsidRPr="000E6E0F">
        <w:rPr>
          <w:rFonts w:ascii="Times New Roman" w:hAnsi="Times New Roman" w:cs="Times New Roman"/>
          <w:sz w:val="22"/>
          <w:szCs w:val="22"/>
        </w:rPr>
        <w:t xml:space="preserve">Increases in the cost of energy production in excess of 1 percent. </w:t>
      </w:r>
    </w:p>
    <w:p w:rsidR="00461D85" w:rsidRPr="000E6E0F" w:rsidP="00082826" w14:paraId="62D75C95" w14:textId="77777777">
      <w:pPr>
        <w:pStyle w:val="Default"/>
        <w:numPr>
          <w:ilvl w:val="0"/>
          <w:numId w:val="9"/>
        </w:numPr>
        <w:rPr>
          <w:rFonts w:ascii="Times New Roman" w:hAnsi="Times New Roman" w:cs="Times New Roman"/>
          <w:i/>
          <w:sz w:val="22"/>
          <w:szCs w:val="22"/>
        </w:rPr>
      </w:pPr>
      <w:r w:rsidRPr="000E6E0F">
        <w:rPr>
          <w:rFonts w:ascii="Times New Roman" w:hAnsi="Times New Roman" w:cs="Times New Roman"/>
          <w:sz w:val="22"/>
          <w:szCs w:val="22"/>
        </w:rPr>
        <w:t xml:space="preserve">Increases in the cost of energy distribution in excess of 1 percent. </w:t>
      </w:r>
    </w:p>
    <w:p w:rsidR="00461D85" w:rsidRPr="000E6E0F" w:rsidP="00082826" w14:paraId="7B07AA00" w14:textId="77777777">
      <w:pPr>
        <w:pStyle w:val="Default"/>
        <w:numPr>
          <w:ilvl w:val="0"/>
          <w:numId w:val="9"/>
        </w:numPr>
        <w:rPr>
          <w:rFonts w:ascii="Times New Roman" w:hAnsi="Times New Roman" w:cs="Times New Roman"/>
          <w:i/>
          <w:sz w:val="22"/>
          <w:szCs w:val="22"/>
        </w:rPr>
      </w:pPr>
      <w:r w:rsidRPr="000E6E0F">
        <w:rPr>
          <w:rFonts w:ascii="Times New Roman" w:hAnsi="Times New Roman" w:cs="Times New Roman"/>
          <w:sz w:val="22"/>
          <w:szCs w:val="22"/>
        </w:rPr>
        <w:t>Significant increases in dependence on foreign supplies of energy. Having other similar adverse outcomes, particularly, unintended ones.</w:t>
      </w:r>
    </w:p>
    <w:p w:rsidR="000E6E0F" w:rsidP="000E6E0F" w14:paraId="7011B516" w14:textId="77777777">
      <w:pPr>
        <w:spacing w:after="0" w:line="240" w:lineRule="auto"/>
        <w:rPr>
          <w:rFonts w:ascii="Times New Roman" w:hAnsi="Times New Roman" w:cs="Times New Roman"/>
        </w:rPr>
      </w:pPr>
    </w:p>
    <w:p w:rsidR="00461D85" w:rsidRPr="000E6E0F" w:rsidP="000E6E0F" w14:paraId="725D0D31" w14:textId="77777777">
      <w:pPr>
        <w:spacing w:after="0" w:line="240" w:lineRule="auto"/>
        <w:ind w:firstLine="360"/>
        <w:rPr>
          <w:rFonts w:ascii="Times New Roman" w:hAnsi="Times New Roman" w:cs="Times New Roman"/>
        </w:rPr>
      </w:pPr>
      <w:r>
        <w:rPr>
          <w:rFonts w:ascii="Times New Roman" w:hAnsi="Times New Roman" w:cs="Times New Roman"/>
        </w:rPr>
        <w:tab/>
      </w:r>
      <w:r w:rsidRPr="000E6E0F">
        <w:rPr>
          <w:rFonts w:ascii="Times New Roman" w:hAnsi="Times New Roman" w:cs="Times New Roman"/>
        </w:rPr>
        <w:t xml:space="preserve">The </w:t>
      </w:r>
      <w:r w:rsidR="00E02E3E">
        <w:rPr>
          <w:rFonts w:ascii="Times New Roman" w:hAnsi="Times New Roman" w:cs="Times New Roman"/>
        </w:rPr>
        <w:t>final</w:t>
      </w:r>
      <w:r w:rsidRPr="000E6E0F" w:rsidR="00E02E3E">
        <w:rPr>
          <w:rFonts w:ascii="Times New Roman" w:hAnsi="Times New Roman" w:cs="Times New Roman"/>
        </w:rPr>
        <w:t xml:space="preserve"> </w:t>
      </w:r>
      <w:r w:rsidRPr="000E6E0F">
        <w:rPr>
          <w:rFonts w:ascii="Times New Roman" w:hAnsi="Times New Roman" w:cs="Times New Roman"/>
        </w:rPr>
        <w:t xml:space="preserve">rule </w:t>
      </w:r>
      <w:r w:rsidR="009837FF">
        <w:rPr>
          <w:rFonts w:ascii="Times New Roman" w:hAnsi="Times New Roman" w:cs="Times New Roman"/>
        </w:rPr>
        <w:t>will</w:t>
      </w:r>
      <w:r w:rsidRPr="000E6E0F">
        <w:rPr>
          <w:rFonts w:ascii="Times New Roman" w:hAnsi="Times New Roman" w:cs="Times New Roman"/>
        </w:rPr>
        <w:t xml:space="preserve"> not impose adverse effects on the supply, distribution, or use of energy. Some refineries may face costs from the </w:t>
      </w:r>
      <w:r w:rsidR="00E02E3E">
        <w:rPr>
          <w:rFonts w:ascii="Times New Roman" w:hAnsi="Times New Roman" w:cs="Times New Roman"/>
        </w:rPr>
        <w:t>final</w:t>
      </w:r>
      <w:r w:rsidRPr="000E6E0F" w:rsidR="00E02E3E">
        <w:rPr>
          <w:rFonts w:ascii="Times New Roman" w:hAnsi="Times New Roman" w:cs="Times New Roman"/>
        </w:rPr>
        <w:t xml:space="preserve"> </w:t>
      </w:r>
      <w:r w:rsidRPr="000E6E0F">
        <w:rPr>
          <w:rFonts w:ascii="Times New Roman" w:hAnsi="Times New Roman" w:cs="Times New Roman"/>
        </w:rPr>
        <w:t>rule, for example from</w:t>
      </w:r>
      <w:r w:rsidRPr="000E6E0F" w:rsidR="009C6151">
        <w:rPr>
          <w:rFonts w:ascii="Times New Roman" w:hAnsi="Times New Roman" w:cs="Times New Roman"/>
        </w:rPr>
        <w:t xml:space="preserve"> </w:t>
      </w:r>
      <w:r w:rsidRPr="000E6E0F">
        <w:rPr>
          <w:rFonts w:ascii="Times New Roman" w:hAnsi="Times New Roman" w:cs="Times New Roman"/>
        </w:rPr>
        <w:t xml:space="preserve">STAA; however, the combined costs </w:t>
      </w:r>
      <w:r w:rsidR="009837FF">
        <w:rPr>
          <w:rFonts w:ascii="Times New Roman" w:hAnsi="Times New Roman" w:cs="Times New Roman"/>
        </w:rPr>
        <w:t>will</w:t>
      </w:r>
      <w:r w:rsidRPr="000E6E0F">
        <w:rPr>
          <w:rFonts w:ascii="Times New Roman" w:hAnsi="Times New Roman" w:cs="Times New Roman"/>
        </w:rPr>
        <w:t xml:space="preserve"> result in a</w:t>
      </w:r>
      <w:r w:rsidRPr="000E6E0F">
        <w:rPr>
          <w:rFonts w:ascii="Times New Roman" w:hAnsi="Times New Roman" w:cs="Times New Roman"/>
          <w:i/>
        </w:rPr>
        <w:t xml:space="preserve"> de minimis</w:t>
      </w:r>
      <w:r w:rsidRPr="000E6E0F">
        <w:rPr>
          <w:rFonts w:ascii="Times New Roman" w:hAnsi="Times New Roman" w:cs="Times New Roman"/>
        </w:rPr>
        <w:t xml:space="preserve"> increase in </w:t>
      </w:r>
      <w:r w:rsidR="00E02E3E">
        <w:rPr>
          <w:rFonts w:ascii="Times New Roman" w:hAnsi="Times New Roman" w:cs="Times New Roman"/>
        </w:rPr>
        <w:t xml:space="preserve">the </w:t>
      </w:r>
      <w:r w:rsidRPr="000E6E0F">
        <w:rPr>
          <w:rFonts w:ascii="Times New Roman" w:hAnsi="Times New Roman" w:cs="Times New Roman"/>
        </w:rPr>
        <w:t xml:space="preserve">cost of energy production. As such, the </w:t>
      </w:r>
      <w:r w:rsidR="0027675D">
        <w:rPr>
          <w:rFonts w:ascii="Times New Roman" w:hAnsi="Times New Roman" w:cs="Times New Roman"/>
        </w:rPr>
        <w:t>final</w:t>
      </w:r>
      <w:r w:rsidRPr="000E6E0F">
        <w:rPr>
          <w:rFonts w:ascii="Times New Roman" w:hAnsi="Times New Roman" w:cs="Times New Roman"/>
        </w:rPr>
        <w:t xml:space="preserve"> rule does not constitute a significant regulatory action under </w:t>
      </w:r>
      <w:r w:rsidR="00843659">
        <w:rPr>
          <w:rFonts w:ascii="Times New Roman" w:hAnsi="Times New Roman" w:cs="Times New Roman"/>
        </w:rPr>
        <w:t>E.O.</w:t>
      </w:r>
      <w:r w:rsidRPr="000E6E0F">
        <w:rPr>
          <w:rFonts w:ascii="Times New Roman" w:hAnsi="Times New Roman" w:cs="Times New Roman"/>
        </w:rPr>
        <w:t xml:space="preserve"> 13211 and the EPA did not prepare a Statement of Energy Effects.</w:t>
      </w:r>
    </w:p>
    <w:p w:rsidR="00D47B80" w:rsidRPr="000E6E0F" w:rsidP="000E6E0F" w14:paraId="76D008E8" w14:textId="77777777">
      <w:pPr>
        <w:spacing w:after="0" w:line="240" w:lineRule="auto"/>
        <w:rPr>
          <w:rFonts w:ascii="Times New Roman" w:hAnsi="Times New Roman" w:cs="Times New Roman"/>
        </w:rPr>
      </w:pPr>
      <w:r w:rsidRPr="000E6E0F">
        <w:rPr>
          <w:rFonts w:ascii="Times New Roman" w:hAnsi="Times New Roman" w:cs="Times New Roman"/>
        </w:rPr>
        <w:br w:type="page"/>
      </w:r>
    </w:p>
    <w:p w:rsidR="00D47B80" w:rsidP="00D47B80" w14:paraId="25F2B314" w14:textId="77777777">
      <w:pPr>
        <w:pStyle w:val="Heading1"/>
      </w:pPr>
      <w:bookmarkStart w:id="558" w:name="_Toc144303627"/>
      <w:r>
        <w:t>APPENDIX A</w:t>
      </w:r>
      <w:r w:rsidR="00896FB8">
        <w:t xml:space="preserve">: Cost Estimates of </w:t>
      </w:r>
      <w:r w:rsidR="007536B7">
        <w:t>HF</w:t>
      </w:r>
      <w:r w:rsidR="00896FB8">
        <w:t xml:space="preserve"> Alkylation Conversion</w:t>
      </w:r>
      <w:bookmarkEnd w:id="558"/>
    </w:p>
    <w:tbl>
      <w:tblPr>
        <w:tblStyle w:val="TableGrid1"/>
        <w:tblW w:w="10075" w:type="dxa"/>
        <w:tblLayout w:type="fixed"/>
        <w:tblLook w:val="04A0"/>
      </w:tblPr>
      <w:tblGrid>
        <w:gridCol w:w="1165"/>
        <w:gridCol w:w="1890"/>
        <w:gridCol w:w="1080"/>
        <w:gridCol w:w="1080"/>
        <w:gridCol w:w="4860"/>
      </w:tblGrid>
      <w:tr w14:paraId="325F793F" w14:textId="77777777" w:rsidTr="00486C54">
        <w:tblPrEx>
          <w:tblW w:w="10075" w:type="dxa"/>
          <w:tblLayout w:type="fixed"/>
          <w:tblLook w:val="04A0"/>
        </w:tblPrEx>
        <w:trPr>
          <w:tblHeader/>
        </w:trPr>
        <w:tc>
          <w:tcPr>
            <w:tcW w:w="1165" w:type="dxa"/>
            <w:shd w:val="clear" w:color="auto" w:fill="D9D9D9" w:themeFill="background1" w:themeFillShade="D9"/>
            <w:vAlign w:val="center"/>
          </w:tcPr>
          <w:p w:rsidR="00D47B80" w:rsidRPr="003165DF" w:rsidP="00896FB8" w14:paraId="6ACCD769" w14:textId="77777777">
            <w:pPr>
              <w:jc w:val="center"/>
              <w:rPr>
                <w:rFonts w:ascii="Times New Roman" w:hAnsi="Times New Roman" w:cs="Times New Roman"/>
                <w:b/>
                <w:sz w:val="20"/>
                <w:szCs w:val="20"/>
              </w:rPr>
            </w:pPr>
            <w:r w:rsidRPr="003165DF">
              <w:rPr>
                <w:rFonts w:ascii="Times New Roman" w:hAnsi="Times New Roman" w:cs="Times New Roman"/>
                <w:b/>
                <w:sz w:val="20"/>
                <w:szCs w:val="20"/>
              </w:rPr>
              <w:t>Cost estimate</w:t>
            </w:r>
          </w:p>
          <w:p w:rsidR="00D47B80" w:rsidRPr="003165DF" w:rsidP="00896FB8" w14:paraId="4F70CC7B" w14:textId="77777777">
            <w:pPr>
              <w:jc w:val="center"/>
              <w:rPr>
                <w:rFonts w:ascii="Times New Roman" w:hAnsi="Times New Roman" w:cs="Times New Roman"/>
                <w:b/>
                <w:sz w:val="20"/>
                <w:szCs w:val="20"/>
              </w:rPr>
            </w:pPr>
            <w:r w:rsidRPr="003165DF">
              <w:rPr>
                <w:rFonts w:ascii="Times New Roman" w:hAnsi="Times New Roman" w:cs="Times New Roman"/>
                <w:b/>
                <w:sz w:val="20"/>
                <w:szCs w:val="20"/>
              </w:rPr>
              <w:t>(</w:t>
            </w:r>
            <w:r w:rsidR="008C68D4">
              <w:rPr>
                <w:rFonts w:ascii="Times New Roman" w:hAnsi="Times New Roman" w:cs="Times New Roman"/>
                <w:b/>
                <w:sz w:val="20"/>
                <w:szCs w:val="20"/>
              </w:rPr>
              <w:t>$</w:t>
            </w:r>
            <w:r w:rsidRPr="003165DF">
              <w:rPr>
                <w:rFonts w:ascii="Times New Roman" w:hAnsi="Times New Roman" w:cs="Times New Roman"/>
                <w:b/>
                <w:sz w:val="20"/>
                <w:szCs w:val="20"/>
              </w:rPr>
              <w:t>millions)</w:t>
            </w:r>
          </w:p>
        </w:tc>
        <w:tc>
          <w:tcPr>
            <w:tcW w:w="1890" w:type="dxa"/>
            <w:shd w:val="clear" w:color="auto" w:fill="D9D9D9" w:themeFill="background1" w:themeFillShade="D9"/>
            <w:vAlign w:val="center"/>
          </w:tcPr>
          <w:p w:rsidR="00D47B80" w:rsidRPr="003165DF" w:rsidP="00896FB8" w14:paraId="356175E8" w14:textId="77777777">
            <w:pPr>
              <w:jc w:val="center"/>
              <w:rPr>
                <w:rFonts w:ascii="Times New Roman" w:hAnsi="Times New Roman" w:cs="Times New Roman"/>
                <w:b/>
                <w:sz w:val="20"/>
                <w:szCs w:val="20"/>
              </w:rPr>
            </w:pPr>
            <w:r w:rsidRPr="003165DF">
              <w:rPr>
                <w:rFonts w:ascii="Times New Roman" w:hAnsi="Times New Roman" w:cs="Times New Roman"/>
                <w:b/>
                <w:sz w:val="20"/>
                <w:szCs w:val="20"/>
              </w:rPr>
              <w:t>Technology or Location</w:t>
            </w:r>
          </w:p>
        </w:tc>
        <w:tc>
          <w:tcPr>
            <w:tcW w:w="1080" w:type="dxa"/>
            <w:shd w:val="clear" w:color="auto" w:fill="D9D9D9" w:themeFill="background1" w:themeFillShade="D9"/>
            <w:vAlign w:val="center"/>
          </w:tcPr>
          <w:p w:rsidR="00D47B80" w:rsidRPr="003165DF" w:rsidP="00896FB8" w14:paraId="76F51C58" w14:textId="77777777">
            <w:pPr>
              <w:jc w:val="center"/>
              <w:rPr>
                <w:rFonts w:ascii="Times New Roman" w:hAnsi="Times New Roman" w:cs="Times New Roman"/>
                <w:b/>
                <w:sz w:val="20"/>
                <w:szCs w:val="20"/>
              </w:rPr>
            </w:pPr>
            <w:r w:rsidRPr="003165DF">
              <w:rPr>
                <w:rFonts w:ascii="Times New Roman" w:hAnsi="Times New Roman" w:cs="Times New Roman"/>
                <w:b/>
                <w:sz w:val="20"/>
                <w:szCs w:val="20"/>
              </w:rPr>
              <w:t xml:space="preserve">Year of </w:t>
            </w:r>
            <w:r w:rsidRPr="003165DF" w:rsidR="00CA671D">
              <w:rPr>
                <w:rFonts w:ascii="Times New Roman" w:hAnsi="Times New Roman" w:cs="Times New Roman"/>
                <w:b/>
                <w:bCs/>
                <w:sz w:val="20"/>
                <w:szCs w:val="20"/>
              </w:rPr>
              <w:t>Estimate</w:t>
            </w:r>
          </w:p>
        </w:tc>
        <w:tc>
          <w:tcPr>
            <w:tcW w:w="1080" w:type="dxa"/>
            <w:shd w:val="clear" w:color="auto" w:fill="D9D9D9" w:themeFill="background1" w:themeFillShade="D9"/>
            <w:vAlign w:val="center"/>
          </w:tcPr>
          <w:p w:rsidR="00D47B80" w:rsidRPr="003165DF" w:rsidP="00896FB8" w14:paraId="344D5EB8" w14:textId="77777777">
            <w:pPr>
              <w:jc w:val="center"/>
              <w:rPr>
                <w:rFonts w:ascii="Times New Roman" w:hAnsi="Times New Roman" w:cs="Times New Roman"/>
                <w:b/>
                <w:sz w:val="20"/>
                <w:szCs w:val="20"/>
              </w:rPr>
            </w:pPr>
            <w:r w:rsidRPr="003165DF">
              <w:rPr>
                <w:rFonts w:ascii="Times New Roman" w:hAnsi="Times New Roman" w:cs="Times New Roman"/>
                <w:b/>
                <w:sz w:val="20"/>
                <w:szCs w:val="20"/>
              </w:rPr>
              <w:t>Barrels</w:t>
            </w:r>
          </w:p>
          <w:p w:rsidR="00D47B80" w:rsidRPr="003165DF" w:rsidP="00896FB8" w14:paraId="17379156" w14:textId="77777777">
            <w:pPr>
              <w:jc w:val="center"/>
              <w:rPr>
                <w:rFonts w:ascii="Times New Roman" w:hAnsi="Times New Roman" w:cs="Times New Roman"/>
                <w:b/>
                <w:sz w:val="20"/>
                <w:szCs w:val="20"/>
              </w:rPr>
            </w:pPr>
            <w:r w:rsidRPr="003165DF">
              <w:rPr>
                <w:rFonts w:ascii="Times New Roman" w:hAnsi="Times New Roman" w:cs="Times New Roman"/>
                <w:b/>
                <w:sz w:val="20"/>
                <w:szCs w:val="20"/>
              </w:rPr>
              <w:t>per day (BPD)</w:t>
            </w:r>
          </w:p>
        </w:tc>
        <w:tc>
          <w:tcPr>
            <w:tcW w:w="4860" w:type="dxa"/>
            <w:shd w:val="clear" w:color="auto" w:fill="D9D9D9" w:themeFill="background1" w:themeFillShade="D9"/>
            <w:vAlign w:val="center"/>
          </w:tcPr>
          <w:p w:rsidR="00D47B80" w:rsidRPr="003165DF" w:rsidP="000B224F" w14:paraId="49CF5793" w14:textId="77777777">
            <w:pPr>
              <w:jc w:val="center"/>
              <w:rPr>
                <w:rFonts w:ascii="Times New Roman" w:hAnsi="Times New Roman" w:cs="Times New Roman"/>
                <w:b/>
                <w:sz w:val="20"/>
                <w:szCs w:val="20"/>
              </w:rPr>
            </w:pPr>
            <w:r w:rsidRPr="003165DF">
              <w:rPr>
                <w:rFonts w:ascii="Times New Roman" w:hAnsi="Times New Roman" w:cs="Times New Roman"/>
                <w:b/>
                <w:sz w:val="20"/>
                <w:szCs w:val="20"/>
              </w:rPr>
              <w:t>Description</w:t>
            </w:r>
          </w:p>
        </w:tc>
      </w:tr>
      <w:tr w14:paraId="6510841F" w14:textId="77777777" w:rsidTr="00486C54">
        <w:tblPrEx>
          <w:tblW w:w="10075" w:type="dxa"/>
          <w:tblLayout w:type="fixed"/>
          <w:tblLook w:val="04A0"/>
        </w:tblPrEx>
        <w:tc>
          <w:tcPr>
            <w:tcW w:w="1165" w:type="dxa"/>
          </w:tcPr>
          <w:p w:rsidR="00D47B80" w:rsidRPr="003165DF" w:rsidP="000B224F" w14:paraId="13BB2D5F" w14:textId="77777777">
            <w:pPr>
              <w:jc w:val="center"/>
              <w:rPr>
                <w:rFonts w:ascii="Times New Roman" w:hAnsi="Times New Roman" w:cs="Times New Roman"/>
                <w:sz w:val="20"/>
                <w:szCs w:val="20"/>
              </w:rPr>
            </w:pPr>
            <w:r w:rsidRPr="003165DF">
              <w:rPr>
                <w:rFonts w:ascii="Times New Roman" w:hAnsi="Times New Roman" w:cs="Times New Roman"/>
                <w:sz w:val="20"/>
                <w:szCs w:val="20"/>
              </w:rPr>
              <w:t>$50</w:t>
            </w:r>
          </w:p>
        </w:tc>
        <w:tc>
          <w:tcPr>
            <w:tcW w:w="1890" w:type="dxa"/>
          </w:tcPr>
          <w:p w:rsidR="00D47B80" w:rsidRPr="003165DF" w:rsidP="000B224F" w14:paraId="0EC853EE" w14:textId="77777777">
            <w:pPr>
              <w:rPr>
                <w:rFonts w:ascii="Times New Roman" w:hAnsi="Times New Roman" w:cs="Times New Roman"/>
                <w:sz w:val="20"/>
                <w:szCs w:val="20"/>
              </w:rPr>
            </w:pPr>
            <w:r w:rsidRPr="003165DF">
              <w:rPr>
                <w:rFonts w:ascii="Times New Roman" w:hAnsi="Times New Roman" w:cs="Times New Roman"/>
                <w:sz w:val="20"/>
                <w:szCs w:val="20"/>
              </w:rPr>
              <w:t>Exelus, a chemical technology company</w:t>
            </w:r>
          </w:p>
        </w:tc>
        <w:tc>
          <w:tcPr>
            <w:tcW w:w="1080" w:type="dxa"/>
          </w:tcPr>
          <w:p w:rsidR="00D47B80" w:rsidRPr="003165DF" w:rsidP="000B224F" w14:paraId="364890B4" w14:textId="77777777">
            <w:pPr>
              <w:rPr>
                <w:rFonts w:ascii="Times New Roman" w:hAnsi="Times New Roman" w:cs="Times New Roman"/>
                <w:sz w:val="20"/>
                <w:szCs w:val="20"/>
              </w:rPr>
            </w:pPr>
            <w:r w:rsidRPr="003165DF">
              <w:rPr>
                <w:rFonts w:ascii="Times New Roman" w:hAnsi="Times New Roman" w:cs="Times New Roman"/>
                <w:sz w:val="20"/>
                <w:szCs w:val="20"/>
              </w:rPr>
              <w:t>2011</w:t>
            </w:r>
          </w:p>
        </w:tc>
        <w:tc>
          <w:tcPr>
            <w:tcW w:w="1080" w:type="dxa"/>
          </w:tcPr>
          <w:p w:rsidR="00D47B80" w:rsidRPr="003165DF" w:rsidP="000B224F" w14:paraId="18E4088F" w14:textId="77777777">
            <w:pPr>
              <w:rPr>
                <w:rFonts w:ascii="Times New Roman" w:hAnsi="Times New Roman" w:cs="Times New Roman"/>
                <w:sz w:val="20"/>
                <w:szCs w:val="20"/>
              </w:rPr>
            </w:pPr>
            <w:r w:rsidRPr="003165DF">
              <w:rPr>
                <w:rFonts w:ascii="Times New Roman" w:hAnsi="Times New Roman" w:cs="Times New Roman"/>
                <w:sz w:val="20"/>
                <w:szCs w:val="20"/>
              </w:rPr>
              <w:t>Not Available</w:t>
            </w:r>
          </w:p>
        </w:tc>
        <w:tc>
          <w:tcPr>
            <w:tcW w:w="4860" w:type="dxa"/>
          </w:tcPr>
          <w:p w:rsidR="00D47B80" w:rsidRPr="003165DF" w:rsidP="000B224F" w14:paraId="7F290E24" w14:textId="77777777">
            <w:pPr>
              <w:rPr>
                <w:rFonts w:ascii="Times New Roman" w:hAnsi="Times New Roman" w:cs="Times New Roman"/>
                <w:sz w:val="20"/>
                <w:szCs w:val="20"/>
              </w:rPr>
            </w:pPr>
            <w:r w:rsidRPr="003165DF">
              <w:rPr>
                <w:rFonts w:ascii="Times New Roman" w:hAnsi="Times New Roman" w:cs="Times New Roman"/>
                <w:sz w:val="20"/>
                <w:szCs w:val="20"/>
              </w:rPr>
              <w:t xml:space="preserve">Conversion to </w:t>
            </w:r>
            <w:r w:rsidR="00960365">
              <w:rPr>
                <w:rFonts w:ascii="Times New Roman" w:hAnsi="Times New Roman" w:cs="Times New Roman"/>
                <w:sz w:val="20"/>
                <w:szCs w:val="20"/>
              </w:rPr>
              <w:t>s</w:t>
            </w:r>
            <w:r w:rsidRPr="003165DF" w:rsidR="00960365">
              <w:rPr>
                <w:rFonts w:ascii="Times New Roman" w:hAnsi="Times New Roman" w:cs="Times New Roman"/>
                <w:sz w:val="20"/>
                <w:szCs w:val="20"/>
              </w:rPr>
              <w:t xml:space="preserve">olid </w:t>
            </w:r>
            <w:r w:rsidRPr="003165DF">
              <w:rPr>
                <w:rFonts w:ascii="Times New Roman" w:hAnsi="Times New Roman" w:cs="Times New Roman"/>
                <w:sz w:val="20"/>
                <w:szCs w:val="20"/>
              </w:rPr>
              <w:t>acid catalyst</w:t>
            </w:r>
            <w:r>
              <w:rPr>
                <w:rFonts w:ascii="Times New Roman" w:hAnsi="Times New Roman" w:cs="Times New Roman"/>
                <w:sz w:val="20"/>
                <w:szCs w:val="20"/>
                <w:vertAlign w:val="superscript"/>
              </w:rPr>
              <w:footnoteReference w:id="205"/>
            </w:r>
            <w:r w:rsidRPr="003165DF">
              <w:rPr>
                <w:rFonts w:ascii="Times New Roman" w:hAnsi="Times New Roman" w:cs="Times New Roman"/>
                <w:sz w:val="20"/>
                <w:szCs w:val="20"/>
              </w:rPr>
              <w:t xml:space="preserve"> to replace traditional liquid acids (no bpd provided</w:t>
            </w:r>
            <w:r w:rsidRPr="003165DF" w:rsidR="00CA671D">
              <w:rPr>
                <w:rFonts w:ascii="Times New Roman" w:hAnsi="Times New Roman" w:cs="Times New Roman"/>
                <w:sz w:val="20"/>
                <w:szCs w:val="20"/>
              </w:rPr>
              <w:t>)</w:t>
            </w:r>
            <w:r w:rsidR="00CA671D">
              <w:rPr>
                <w:rFonts w:ascii="Times New Roman" w:hAnsi="Times New Roman" w:cs="Times New Roman"/>
                <w:sz w:val="20"/>
                <w:szCs w:val="20"/>
              </w:rPr>
              <w:t>.</w:t>
            </w:r>
            <w:r>
              <w:rPr>
                <w:rStyle w:val="FootnoteReference"/>
                <w:rFonts w:ascii="Times New Roman" w:hAnsi="Times New Roman" w:cs="Times New Roman"/>
                <w:sz w:val="20"/>
                <w:szCs w:val="20"/>
              </w:rPr>
              <w:footnoteReference w:id="206"/>
            </w:r>
          </w:p>
        </w:tc>
      </w:tr>
      <w:tr w14:paraId="5EF86768" w14:textId="77777777" w:rsidTr="00486C54">
        <w:tblPrEx>
          <w:tblW w:w="10075" w:type="dxa"/>
          <w:tblLayout w:type="fixed"/>
          <w:tblLook w:val="04A0"/>
        </w:tblPrEx>
        <w:tc>
          <w:tcPr>
            <w:tcW w:w="1165" w:type="dxa"/>
          </w:tcPr>
          <w:p w:rsidR="00D47B80" w:rsidRPr="003165DF" w:rsidP="000B224F" w14:paraId="45A97BA4" w14:textId="77777777">
            <w:pPr>
              <w:jc w:val="center"/>
              <w:rPr>
                <w:rFonts w:ascii="Times New Roman" w:hAnsi="Times New Roman" w:cs="Times New Roman"/>
                <w:sz w:val="20"/>
                <w:szCs w:val="20"/>
              </w:rPr>
            </w:pPr>
            <w:r w:rsidRPr="003165DF">
              <w:rPr>
                <w:rFonts w:ascii="Times New Roman" w:hAnsi="Times New Roman" w:cs="Times New Roman"/>
                <w:sz w:val="20"/>
                <w:szCs w:val="20"/>
              </w:rPr>
              <w:t>$87</w:t>
            </w:r>
          </w:p>
        </w:tc>
        <w:tc>
          <w:tcPr>
            <w:tcW w:w="1890" w:type="dxa"/>
          </w:tcPr>
          <w:p w:rsidR="00D47B80" w:rsidRPr="003165DF" w:rsidP="000B224F" w14:paraId="11F92F61" w14:textId="77777777">
            <w:pPr>
              <w:rPr>
                <w:rFonts w:ascii="Times New Roman" w:hAnsi="Times New Roman" w:cs="Times New Roman"/>
                <w:sz w:val="20"/>
                <w:szCs w:val="20"/>
              </w:rPr>
            </w:pPr>
            <w:r w:rsidRPr="003165DF">
              <w:rPr>
                <w:rFonts w:ascii="Times New Roman" w:hAnsi="Times New Roman" w:cs="Times New Roman"/>
                <w:sz w:val="20"/>
                <w:szCs w:val="20"/>
              </w:rPr>
              <w:t>Chevron Salt Lake City</w:t>
            </w:r>
          </w:p>
        </w:tc>
        <w:tc>
          <w:tcPr>
            <w:tcW w:w="1080" w:type="dxa"/>
          </w:tcPr>
          <w:p w:rsidR="00D47B80" w:rsidRPr="003165DF" w:rsidP="000B224F" w14:paraId="1F9B45D3" w14:textId="77777777">
            <w:pPr>
              <w:rPr>
                <w:rFonts w:ascii="Times New Roman" w:hAnsi="Times New Roman" w:cs="Times New Roman"/>
                <w:sz w:val="20"/>
                <w:szCs w:val="20"/>
              </w:rPr>
            </w:pPr>
            <w:r w:rsidRPr="003165DF">
              <w:rPr>
                <w:rFonts w:ascii="Times New Roman" w:hAnsi="Times New Roman" w:cs="Times New Roman"/>
                <w:sz w:val="20"/>
                <w:szCs w:val="20"/>
              </w:rPr>
              <w:t>2016</w:t>
            </w:r>
          </w:p>
        </w:tc>
        <w:tc>
          <w:tcPr>
            <w:tcW w:w="1080" w:type="dxa"/>
          </w:tcPr>
          <w:p w:rsidR="00D47B80" w:rsidRPr="003165DF" w:rsidP="000B224F" w14:paraId="22D2823A" w14:textId="77777777">
            <w:pPr>
              <w:rPr>
                <w:rFonts w:ascii="Times New Roman" w:hAnsi="Times New Roman" w:cs="Times New Roman"/>
                <w:sz w:val="20"/>
                <w:szCs w:val="20"/>
              </w:rPr>
            </w:pPr>
            <w:r w:rsidRPr="003165DF">
              <w:rPr>
                <w:rFonts w:ascii="Times New Roman" w:hAnsi="Times New Roman" w:cs="Times New Roman"/>
                <w:sz w:val="20"/>
                <w:szCs w:val="20"/>
              </w:rPr>
              <w:t>4,500</w:t>
            </w:r>
          </w:p>
        </w:tc>
        <w:tc>
          <w:tcPr>
            <w:tcW w:w="4860" w:type="dxa"/>
          </w:tcPr>
          <w:p w:rsidR="00D47B80" w:rsidRPr="003165DF" w:rsidP="000B224F" w14:paraId="00DAA4FE" w14:textId="77777777">
            <w:pPr>
              <w:rPr>
                <w:rFonts w:ascii="Times New Roman" w:hAnsi="Times New Roman" w:cs="Times New Roman"/>
                <w:sz w:val="20"/>
                <w:szCs w:val="20"/>
              </w:rPr>
            </w:pPr>
            <w:r w:rsidRPr="003165DF">
              <w:rPr>
                <w:rFonts w:ascii="Times New Roman" w:hAnsi="Times New Roman" w:cs="Times New Roman"/>
                <w:sz w:val="20"/>
                <w:szCs w:val="20"/>
              </w:rPr>
              <w:t xml:space="preserve">Converting existing HF unit to ionic liquids (Honeywell process) 4,500 bpd. “Chevron will convert the existing 4,500-b/d HF alkylation unit at Salt Lake City to ISOALKY, a proprietary alkylation technology developed by Chevron USA Inc. and now licensed by Honeywell International Inc.’s UOP LLC, that uses ionic liquids instead of HF or sulfuric acids as a liquid alkylation catalyst for production of high-octane fuels, UOP said” </w:t>
            </w:r>
            <w:r w:rsidR="00C172A5">
              <w:rPr>
                <w:rFonts w:ascii="Times New Roman" w:hAnsi="Times New Roman" w:cs="Times New Roman"/>
                <w:sz w:val="20"/>
                <w:szCs w:val="20"/>
              </w:rPr>
              <w:t>(</w:t>
            </w:r>
            <w:r w:rsidRPr="003165DF" w:rsidR="00343AD8">
              <w:rPr>
                <w:rFonts w:ascii="Times New Roman" w:hAnsi="Times New Roman" w:cs="Times New Roman"/>
                <w:i/>
                <w:sz w:val="20"/>
                <w:szCs w:val="20"/>
              </w:rPr>
              <w:t>Oil &amp;</w:t>
            </w:r>
            <w:r w:rsidR="00E02C59">
              <w:rPr>
                <w:rFonts w:ascii="Times New Roman" w:hAnsi="Times New Roman" w:cs="Times New Roman"/>
                <w:i/>
                <w:sz w:val="20"/>
                <w:szCs w:val="20"/>
              </w:rPr>
              <w:t xml:space="preserve"> </w:t>
            </w:r>
            <w:r w:rsidRPr="003165DF" w:rsidR="00343AD8">
              <w:rPr>
                <w:rFonts w:ascii="Times New Roman" w:hAnsi="Times New Roman" w:cs="Times New Roman"/>
                <w:i/>
                <w:sz w:val="20"/>
                <w:szCs w:val="20"/>
              </w:rPr>
              <w:t>Gas Journal,</w:t>
            </w:r>
            <w:r w:rsidRPr="003165DF" w:rsidR="00343AD8">
              <w:rPr>
                <w:rFonts w:ascii="Times New Roman" w:hAnsi="Times New Roman" w:cs="Times New Roman"/>
                <w:sz w:val="20"/>
                <w:szCs w:val="20"/>
              </w:rPr>
              <w:t xml:space="preserve"> 10/4/2016</w:t>
            </w:r>
            <w:r w:rsidR="00C172A5">
              <w:rPr>
                <w:rFonts w:ascii="Times New Roman" w:hAnsi="Times New Roman" w:cs="Times New Roman"/>
                <w:sz w:val="20"/>
                <w:szCs w:val="20"/>
              </w:rPr>
              <w:t>).</w:t>
            </w:r>
            <w:r w:rsidRPr="003165DF" w:rsidR="00343AD8">
              <w:rPr>
                <w:rFonts w:ascii="Times New Roman" w:hAnsi="Times New Roman" w:cs="Times New Roman"/>
                <w:sz w:val="20"/>
                <w:szCs w:val="20"/>
              </w:rPr>
              <w:t xml:space="preserve"> </w:t>
            </w:r>
            <w:r w:rsidR="00C172A5">
              <w:rPr>
                <w:rFonts w:ascii="Times New Roman" w:hAnsi="Times New Roman" w:cs="Times New Roman"/>
                <w:sz w:val="20"/>
                <w:szCs w:val="20"/>
              </w:rPr>
              <w:t>C</w:t>
            </w:r>
            <w:r w:rsidRPr="003165DF" w:rsidR="00343AD8">
              <w:rPr>
                <w:rFonts w:ascii="Times New Roman" w:hAnsi="Times New Roman" w:cs="Times New Roman"/>
                <w:sz w:val="20"/>
                <w:szCs w:val="20"/>
              </w:rPr>
              <w:t>ost estimates for two contracts appear in</w:t>
            </w:r>
            <w:r w:rsidRPr="003165DF" w:rsidR="00343AD8">
              <w:rPr>
                <w:rFonts w:ascii="Times New Roman" w:hAnsi="Times New Roman" w:cs="Times New Roman"/>
                <w:i/>
                <w:sz w:val="20"/>
                <w:szCs w:val="20"/>
              </w:rPr>
              <w:t xml:space="preserve"> Oil </w:t>
            </w:r>
            <w:r w:rsidRPr="003165DF">
              <w:rPr>
                <w:rFonts w:ascii="Times New Roman" w:hAnsi="Times New Roman" w:cs="Times New Roman"/>
                <w:i/>
                <w:sz w:val="20"/>
                <w:szCs w:val="20"/>
              </w:rPr>
              <w:t>&amp;</w:t>
            </w:r>
            <w:r w:rsidRPr="003165DF" w:rsidR="00343AD8">
              <w:rPr>
                <w:rFonts w:ascii="Times New Roman" w:hAnsi="Times New Roman" w:cs="Times New Roman"/>
                <w:i/>
                <w:sz w:val="20"/>
                <w:szCs w:val="20"/>
              </w:rPr>
              <w:t xml:space="preserve"> </w:t>
            </w:r>
            <w:r w:rsidRPr="003165DF">
              <w:rPr>
                <w:rFonts w:ascii="Times New Roman" w:hAnsi="Times New Roman" w:cs="Times New Roman"/>
                <w:i/>
                <w:sz w:val="20"/>
                <w:szCs w:val="20"/>
              </w:rPr>
              <w:t>G</w:t>
            </w:r>
            <w:r w:rsidRPr="003165DF" w:rsidR="00343AD8">
              <w:rPr>
                <w:rFonts w:ascii="Times New Roman" w:hAnsi="Times New Roman" w:cs="Times New Roman"/>
                <w:i/>
                <w:sz w:val="20"/>
                <w:szCs w:val="20"/>
              </w:rPr>
              <w:t>as</w:t>
            </w:r>
            <w:r w:rsidRPr="003165DF">
              <w:rPr>
                <w:rFonts w:ascii="Times New Roman" w:hAnsi="Times New Roman" w:cs="Times New Roman"/>
                <w:i/>
                <w:sz w:val="20"/>
                <w:szCs w:val="20"/>
              </w:rPr>
              <w:t xml:space="preserve"> Journal</w:t>
            </w:r>
            <w:r w:rsidRPr="003165DF">
              <w:rPr>
                <w:rFonts w:ascii="Times New Roman" w:hAnsi="Times New Roman" w:cs="Times New Roman"/>
                <w:sz w:val="20"/>
                <w:szCs w:val="20"/>
              </w:rPr>
              <w:t xml:space="preserve"> 2/1/17</w:t>
            </w:r>
            <w:r w:rsidRPr="003165DF" w:rsidR="00343AD8">
              <w:rPr>
                <w:rFonts w:ascii="Times New Roman" w:hAnsi="Times New Roman" w:cs="Times New Roman"/>
                <w:sz w:val="20"/>
                <w:szCs w:val="20"/>
              </w:rPr>
              <w:t xml:space="preserve">:  </w:t>
            </w:r>
            <w:r w:rsidRPr="003165DF" w:rsidR="00CA671D">
              <w:rPr>
                <w:rFonts w:ascii="Times New Roman" w:hAnsi="Times New Roman" w:cs="Times New Roman"/>
                <w:sz w:val="20"/>
                <w:szCs w:val="20"/>
              </w:rPr>
              <w:t>$</w:t>
            </w:r>
            <w:r w:rsidRPr="003165DF">
              <w:rPr>
                <w:rFonts w:ascii="Times New Roman" w:hAnsi="Times New Roman" w:cs="Times New Roman"/>
                <w:sz w:val="20"/>
                <w:szCs w:val="20"/>
              </w:rPr>
              <w:t>67</w:t>
            </w:r>
            <w:r w:rsidRPr="003165DF" w:rsidR="00343AD8">
              <w:rPr>
                <w:rFonts w:ascii="Times New Roman" w:hAnsi="Times New Roman" w:cs="Times New Roman"/>
                <w:sz w:val="20"/>
                <w:szCs w:val="20"/>
              </w:rPr>
              <w:t xml:space="preserve"> million</w:t>
            </w:r>
            <w:r w:rsidRPr="003165DF">
              <w:rPr>
                <w:rFonts w:ascii="Times New Roman" w:hAnsi="Times New Roman" w:cs="Times New Roman"/>
                <w:sz w:val="20"/>
                <w:szCs w:val="20"/>
              </w:rPr>
              <w:t xml:space="preserve"> + $20 million</w:t>
            </w:r>
            <w:r w:rsidR="00CA671D">
              <w:rPr>
                <w:rFonts w:ascii="Times New Roman" w:hAnsi="Times New Roman" w:cs="Times New Roman"/>
                <w:sz w:val="20"/>
                <w:szCs w:val="20"/>
              </w:rPr>
              <w:t>.</w:t>
            </w:r>
            <w:r>
              <w:rPr>
                <w:rStyle w:val="FootnoteReference"/>
                <w:rFonts w:ascii="Times New Roman" w:hAnsi="Times New Roman" w:cs="Times New Roman"/>
                <w:sz w:val="20"/>
                <w:szCs w:val="20"/>
              </w:rPr>
              <w:footnoteReference w:id="207"/>
            </w:r>
          </w:p>
        </w:tc>
      </w:tr>
      <w:tr w14:paraId="3D067928" w14:textId="77777777" w:rsidTr="00486C54">
        <w:tblPrEx>
          <w:tblW w:w="10075" w:type="dxa"/>
          <w:tblLayout w:type="fixed"/>
          <w:tblLook w:val="04A0"/>
        </w:tblPrEx>
        <w:tc>
          <w:tcPr>
            <w:tcW w:w="1165" w:type="dxa"/>
          </w:tcPr>
          <w:p w:rsidR="00D47B80" w:rsidRPr="003165DF" w:rsidP="000B224F" w14:paraId="7AA3F764" w14:textId="77777777">
            <w:pPr>
              <w:jc w:val="center"/>
              <w:rPr>
                <w:rFonts w:ascii="Times New Roman" w:hAnsi="Times New Roman" w:cs="Times New Roman"/>
                <w:sz w:val="20"/>
                <w:szCs w:val="20"/>
              </w:rPr>
            </w:pPr>
            <w:r w:rsidRPr="003165DF">
              <w:rPr>
                <w:rFonts w:ascii="Times New Roman" w:hAnsi="Times New Roman" w:cs="Times New Roman"/>
                <w:sz w:val="20"/>
                <w:szCs w:val="20"/>
              </w:rPr>
              <w:t>$900</w:t>
            </w:r>
          </w:p>
          <w:p w:rsidR="00D47B80" w:rsidRPr="003165DF" w:rsidP="000B224F" w14:paraId="7F56B13C" w14:textId="77777777">
            <w:pPr>
              <w:jc w:val="center"/>
              <w:rPr>
                <w:rFonts w:ascii="Times New Roman" w:hAnsi="Times New Roman" w:cs="Times New Roman"/>
                <w:sz w:val="20"/>
                <w:szCs w:val="20"/>
              </w:rPr>
            </w:pPr>
          </w:p>
          <w:p w:rsidR="00D47B80" w:rsidRPr="003165DF" w:rsidP="000B224F" w14:paraId="3BDA3904" w14:textId="77777777">
            <w:pPr>
              <w:jc w:val="center"/>
              <w:rPr>
                <w:rFonts w:ascii="Times New Roman" w:hAnsi="Times New Roman" w:cs="Times New Roman"/>
                <w:sz w:val="20"/>
                <w:szCs w:val="20"/>
              </w:rPr>
            </w:pPr>
          </w:p>
        </w:tc>
        <w:tc>
          <w:tcPr>
            <w:tcW w:w="1890" w:type="dxa"/>
          </w:tcPr>
          <w:p w:rsidR="00D47B80" w:rsidRPr="003165DF" w:rsidP="000B224F" w14:paraId="3DCA2FC9" w14:textId="77777777">
            <w:pPr>
              <w:rPr>
                <w:rFonts w:ascii="Times New Roman" w:hAnsi="Times New Roman" w:cs="Times New Roman"/>
                <w:sz w:val="20"/>
                <w:szCs w:val="20"/>
              </w:rPr>
            </w:pPr>
            <w:r w:rsidRPr="003165DF">
              <w:rPr>
                <w:rFonts w:ascii="Times New Roman" w:hAnsi="Times New Roman" w:cs="Times New Roman"/>
                <w:sz w:val="20"/>
                <w:szCs w:val="20"/>
              </w:rPr>
              <w:t>Torrance Refinery in Torrance CA</w:t>
            </w:r>
          </w:p>
        </w:tc>
        <w:tc>
          <w:tcPr>
            <w:tcW w:w="1080" w:type="dxa"/>
          </w:tcPr>
          <w:p w:rsidR="00D47B80" w:rsidRPr="003165DF" w:rsidP="000B224F" w14:paraId="109809FD" w14:textId="77777777">
            <w:pPr>
              <w:rPr>
                <w:rFonts w:ascii="Times New Roman" w:hAnsi="Times New Roman" w:cs="Times New Roman"/>
                <w:sz w:val="20"/>
                <w:szCs w:val="20"/>
              </w:rPr>
            </w:pPr>
            <w:r w:rsidRPr="003165DF">
              <w:rPr>
                <w:rFonts w:ascii="Times New Roman" w:hAnsi="Times New Roman" w:cs="Times New Roman"/>
                <w:sz w:val="20"/>
                <w:szCs w:val="20"/>
              </w:rPr>
              <w:t>2017</w:t>
            </w:r>
          </w:p>
        </w:tc>
        <w:tc>
          <w:tcPr>
            <w:tcW w:w="1080" w:type="dxa"/>
          </w:tcPr>
          <w:p w:rsidR="00D47B80" w:rsidRPr="003165DF" w:rsidP="000B224F" w14:paraId="33C3EBD4" w14:textId="77777777">
            <w:pPr>
              <w:rPr>
                <w:rFonts w:ascii="Times New Roman" w:hAnsi="Times New Roman" w:cs="Times New Roman"/>
                <w:sz w:val="20"/>
                <w:szCs w:val="20"/>
              </w:rPr>
            </w:pPr>
            <w:r w:rsidRPr="003165DF">
              <w:rPr>
                <w:rFonts w:ascii="Times New Roman" w:hAnsi="Times New Roman" w:cs="Times New Roman"/>
                <w:sz w:val="20"/>
                <w:szCs w:val="20"/>
              </w:rPr>
              <w:t>30,000</w:t>
            </w:r>
          </w:p>
        </w:tc>
        <w:tc>
          <w:tcPr>
            <w:tcW w:w="4860" w:type="dxa"/>
          </w:tcPr>
          <w:p w:rsidR="00D47B80" w:rsidRPr="003165DF" w:rsidP="000B224F" w14:paraId="7E3AF157" w14:textId="77777777">
            <w:pPr>
              <w:rPr>
                <w:rFonts w:ascii="Times New Roman" w:hAnsi="Times New Roman" w:cs="Times New Roman"/>
                <w:sz w:val="20"/>
                <w:szCs w:val="20"/>
              </w:rPr>
            </w:pPr>
            <w:r w:rsidRPr="003165DF">
              <w:rPr>
                <w:rFonts w:ascii="Times New Roman" w:hAnsi="Times New Roman" w:cs="Times New Roman"/>
                <w:sz w:val="20"/>
                <w:szCs w:val="20"/>
              </w:rPr>
              <w:t>Conversion to new sulfuric acid unit using Sulfuric Acid Alkylation Technology to produce 30,000 BPD of alkylate product</w:t>
            </w:r>
            <w:r w:rsidRPr="003165DF" w:rsidR="00CA671D">
              <w:rPr>
                <w:rFonts w:ascii="Times New Roman" w:hAnsi="Times New Roman" w:cs="Times New Roman"/>
                <w:sz w:val="20"/>
                <w:szCs w:val="20"/>
              </w:rPr>
              <w:t>:</w:t>
            </w:r>
            <w:r w:rsidRPr="003165DF">
              <w:rPr>
                <w:rFonts w:ascii="Times New Roman" w:hAnsi="Times New Roman" w:cs="Times New Roman"/>
                <w:sz w:val="20"/>
                <w:szCs w:val="20"/>
              </w:rPr>
              <w:t xml:space="preserve"> $600m for alkylation unit</w:t>
            </w:r>
            <w:r w:rsidRPr="003165DF" w:rsidR="00343AD8">
              <w:rPr>
                <w:rFonts w:ascii="Times New Roman" w:hAnsi="Times New Roman" w:cs="Times New Roman"/>
                <w:sz w:val="20"/>
                <w:szCs w:val="20"/>
              </w:rPr>
              <w:t>;</w:t>
            </w:r>
          </w:p>
          <w:p w:rsidR="00D47B80" w:rsidRPr="003165DF" w:rsidP="000B224F" w14:paraId="364981D4" w14:textId="77777777">
            <w:pPr>
              <w:rPr>
                <w:rFonts w:ascii="Times New Roman" w:hAnsi="Times New Roman" w:cs="Times New Roman"/>
                <w:sz w:val="20"/>
                <w:szCs w:val="20"/>
              </w:rPr>
            </w:pPr>
            <w:r w:rsidRPr="003165DF">
              <w:rPr>
                <w:rFonts w:ascii="Times New Roman" w:hAnsi="Times New Roman" w:cs="Times New Roman"/>
                <w:sz w:val="20"/>
                <w:szCs w:val="20"/>
              </w:rPr>
              <w:t>$300m for acid regeneration plant</w:t>
            </w:r>
            <w:r w:rsidRPr="003165DF" w:rsidR="00343AD8">
              <w:rPr>
                <w:rFonts w:ascii="Times New Roman" w:hAnsi="Times New Roman" w:cs="Times New Roman"/>
                <w:sz w:val="20"/>
                <w:szCs w:val="20"/>
              </w:rPr>
              <w:t>.</w:t>
            </w:r>
            <w:r>
              <w:rPr>
                <w:rStyle w:val="FootnoteReference"/>
                <w:rFonts w:ascii="Times New Roman" w:hAnsi="Times New Roman" w:cs="Times New Roman"/>
                <w:sz w:val="20"/>
                <w:szCs w:val="20"/>
              </w:rPr>
              <w:footnoteReference w:id="208"/>
            </w:r>
          </w:p>
        </w:tc>
      </w:tr>
      <w:tr w14:paraId="3C430408" w14:textId="77777777" w:rsidTr="00486C54">
        <w:tblPrEx>
          <w:tblW w:w="10075" w:type="dxa"/>
          <w:tblLayout w:type="fixed"/>
          <w:tblLook w:val="04A0"/>
        </w:tblPrEx>
        <w:tc>
          <w:tcPr>
            <w:tcW w:w="1165" w:type="dxa"/>
          </w:tcPr>
          <w:p w:rsidR="00D47B80" w:rsidRPr="003165DF" w:rsidP="000B224F" w14:paraId="3C62D6E3" w14:textId="77777777">
            <w:pPr>
              <w:jc w:val="center"/>
              <w:rPr>
                <w:rFonts w:ascii="Times New Roman" w:hAnsi="Times New Roman" w:cs="Times New Roman"/>
                <w:sz w:val="20"/>
                <w:szCs w:val="20"/>
              </w:rPr>
            </w:pPr>
            <w:r w:rsidRPr="003165DF">
              <w:rPr>
                <w:rFonts w:ascii="Times New Roman" w:hAnsi="Times New Roman" w:cs="Times New Roman"/>
                <w:sz w:val="20"/>
                <w:szCs w:val="20"/>
              </w:rPr>
              <w:t>$300</w:t>
            </w:r>
          </w:p>
          <w:p w:rsidR="00D47B80" w:rsidRPr="003165DF" w:rsidP="000B224F" w14:paraId="36DA96C3" w14:textId="77777777">
            <w:pPr>
              <w:jc w:val="center"/>
              <w:rPr>
                <w:rFonts w:ascii="Times New Roman" w:hAnsi="Times New Roman" w:cs="Times New Roman"/>
                <w:sz w:val="20"/>
                <w:szCs w:val="20"/>
              </w:rPr>
            </w:pPr>
            <w:r w:rsidRPr="003165DF">
              <w:rPr>
                <w:rFonts w:ascii="Times New Roman" w:hAnsi="Times New Roman" w:cs="Times New Roman"/>
                <w:sz w:val="20"/>
                <w:szCs w:val="20"/>
              </w:rPr>
              <w:t>(from a range of $100 to $500)</w:t>
            </w:r>
          </w:p>
        </w:tc>
        <w:tc>
          <w:tcPr>
            <w:tcW w:w="1890" w:type="dxa"/>
          </w:tcPr>
          <w:p w:rsidR="00D47B80" w:rsidRPr="003165DF" w:rsidP="000B224F" w14:paraId="7AD67793" w14:textId="77777777">
            <w:pPr>
              <w:rPr>
                <w:rFonts w:ascii="Times New Roman" w:hAnsi="Times New Roman" w:cs="Times New Roman"/>
                <w:sz w:val="20"/>
                <w:szCs w:val="20"/>
              </w:rPr>
            </w:pPr>
            <w:r w:rsidRPr="003165DF">
              <w:rPr>
                <w:rFonts w:ascii="Times New Roman" w:hAnsi="Times New Roman" w:cs="Times New Roman"/>
                <w:sz w:val="20"/>
                <w:szCs w:val="20"/>
              </w:rPr>
              <w:t xml:space="preserve">American Fuel and Petrochemicals Manufacturers (AFPM) an association representing larger petroleum facilities.  </w:t>
            </w:r>
          </w:p>
        </w:tc>
        <w:tc>
          <w:tcPr>
            <w:tcW w:w="1080" w:type="dxa"/>
          </w:tcPr>
          <w:p w:rsidR="00D47B80" w:rsidRPr="003165DF" w:rsidP="000B224F" w14:paraId="10B64036" w14:textId="77777777">
            <w:pPr>
              <w:rPr>
                <w:rFonts w:ascii="Times New Roman" w:hAnsi="Times New Roman" w:cs="Times New Roman"/>
                <w:sz w:val="20"/>
                <w:szCs w:val="20"/>
              </w:rPr>
            </w:pPr>
            <w:r w:rsidRPr="003165DF">
              <w:rPr>
                <w:rFonts w:ascii="Times New Roman" w:hAnsi="Times New Roman" w:cs="Times New Roman"/>
                <w:sz w:val="20"/>
                <w:szCs w:val="20"/>
              </w:rPr>
              <w:t>2015</w:t>
            </w:r>
          </w:p>
        </w:tc>
        <w:tc>
          <w:tcPr>
            <w:tcW w:w="1080" w:type="dxa"/>
          </w:tcPr>
          <w:p w:rsidR="00D47B80" w:rsidRPr="003165DF" w:rsidP="000B224F" w14:paraId="3ACA0A32" w14:textId="77777777">
            <w:pPr>
              <w:rPr>
                <w:rFonts w:ascii="Times New Roman" w:hAnsi="Times New Roman" w:cs="Times New Roman"/>
                <w:sz w:val="20"/>
                <w:szCs w:val="20"/>
              </w:rPr>
            </w:pPr>
            <w:r w:rsidRPr="003165DF">
              <w:rPr>
                <w:rFonts w:ascii="Times New Roman" w:hAnsi="Times New Roman" w:cs="Times New Roman"/>
                <w:sz w:val="20"/>
                <w:szCs w:val="20"/>
              </w:rPr>
              <w:t>Not Available</w:t>
            </w:r>
          </w:p>
        </w:tc>
        <w:tc>
          <w:tcPr>
            <w:tcW w:w="4860" w:type="dxa"/>
          </w:tcPr>
          <w:p w:rsidR="00D47B80" w:rsidRPr="003165DF" w:rsidP="000B224F" w14:paraId="73F5EAF1" w14:textId="77777777">
            <w:pPr>
              <w:autoSpaceDE w:val="0"/>
              <w:autoSpaceDN w:val="0"/>
              <w:adjustRightInd w:val="0"/>
              <w:rPr>
                <w:rFonts w:ascii="Times New Roman" w:hAnsi="Times New Roman" w:cs="Times New Roman"/>
                <w:sz w:val="20"/>
                <w:szCs w:val="20"/>
              </w:rPr>
            </w:pPr>
            <w:r w:rsidRPr="003165DF">
              <w:rPr>
                <w:rFonts w:ascii="Times New Roman" w:hAnsi="Times New Roman" w:cs="Times New Roman"/>
                <w:sz w:val="20"/>
                <w:szCs w:val="20"/>
              </w:rPr>
              <w:t>AFPM members estimate costs to</w:t>
            </w:r>
            <w:r w:rsidR="00954015">
              <w:rPr>
                <w:rFonts w:ascii="Times New Roman" w:hAnsi="Times New Roman" w:cs="Times New Roman"/>
                <w:sz w:val="20"/>
                <w:szCs w:val="20"/>
              </w:rPr>
              <w:t xml:space="preserve"> </w:t>
            </w:r>
            <w:r w:rsidRPr="003165DF">
              <w:rPr>
                <w:rFonts w:ascii="Times New Roman" w:hAnsi="Times New Roman" w:cs="Times New Roman"/>
                <w:sz w:val="20"/>
                <w:szCs w:val="20"/>
              </w:rPr>
              <w:t xml:space="preserve">modify or replace an HF alkylation unit </w:t>
            </w:r>
            <w:r w:rsidR="009837FF">
              <w:rPr>
                <w:rFonts w:ascii="Times New Roman" w:hAnsi="Times New Roman" w:cs="Times New Roman"/>
                <w:sz w:val="20"/>
                <w:szCs w:val="20"/>
              </w:rPr>
              <w:t>will</w:t>
            </w:r>
            <w:r w:rsidRPr="003165DF">
              <w:rPr>
                <w:rFonts w:ascii="Times New Roman" w:hAnsi="Times New Roman" w:cs="Times New Roman"/>
                <w:sz w:val="20"/>
                <w:szCs w:val="20"/>
              </w:rPr>
              <w:t xml:space="preserve"> more realistically range from $100 million to $500 million in capital, depending on facility-specific considerations.</w:t>
            </w:r>
            <w:r>
              <w:rPr>
                <w:rStyle w:val="FootnoteReference"/>
                <w:rFonts w:ascii="Times New Roman" w:hAnsi="Times New Roman" w:cs="Times New Roman"/>
                <w:sz w:val="20"/>
                <w:szCs w:val="20"/>
              </w:rPr>
              <w:footnoteReference w:id="209"/>
            </w:r>
          </w:p>
        </w:tc>
      </w:tr>
      <w:tr w14:paraId="4A2B29D8" w14:textId="77777777" w:rsidTr="00486C54">
        <w:tblPrEx>
          <w:tblW w:w="10075" w:type="dxa"/>
          <w:tblLayout w:type="fixed"/>
          <w:tblLook w:val="04A0"/>
        </w:tblPrEx>
        <w:tc>
          <w:tcPr>
            <w:tcW w:w="1165" w:type="dxa"/>
          </w:tcPr>
          <w:p w:rsidR="00D47B80" w:rsidRPr="003165DF" w:rsidP="000B224F" w14:paraId="71FE70B5" w14:textId="77777777">
            <w:pPr>
              <w:jc w:val="center"/>
              <w:rPr>
                <w:rFonts w:ascii="Times New Roman" w:hAnsi="Times New Roman" w:cs="Times New Roman"/>
                <w:sz w:val="20"/>
                <w:szCs w:val="20"/>
              </w:rPr>
            </w:pPr>
            <w:r w:rsidRPr="003165DF">
              <w:rPr>
                <w:rFonts w:ascii="Times New Roman" w:hAnsi="Times New Roman" w:cs="Times New Roman"/>
                <w:sz w:val="20"/>
                <w:szCs w:val="20"/>
              </w:rPr>
              <w:t>$100</w:t>
            </w:r>
          </w:p>
        </w:tc>
        <w:tc>
          <w:tcPr>
            <w:tcW w:w="1890" w:type="dxa"/>
          </w:tcPr>
          <w:p w:rsidR="00D47B80" w:rsidRPr="003165DF" w:rsidP="000B224F" w14:paraId="4936CCBC" w14:textId="77777777">
            <w:pPr>
              <w:rPr>
                <w:rFonts w:ascii="Times New Roman" w:hAnsi="Times New Roman" w:cs="Times New Roman"/>
                <w:sz w:val="20"/>
                <w:szCs w:val="20"/>
              </w:rPr>
            </w:pPr>
            <w:r w:rsidRPr="003165DF">
              <w:rPr>
                <w:rFonts w:ascii="Times New Roman" w:hAnsi="Times New Roman" w:cs="Times New Roman"/>
                <w:sz w:val="20"/>
                <w:szCs w:val="20"/>
              </w:rPr>
              <w:t>Delek Louisiana</w:t>
            </w:r>
          </w:p>
        </w:tc>
        <w:tc>
          <w:tcPr>
            <w:tcW w:w="1080" w:type="dxa"/>
          </w:tcPr>
          <w:p w:rsidR="00D47B80" w:rsidRPr="003165DF" w:rsidP="000B224F" w14:paraId="5659213C" w14:textId="77777777">
            <w:pPr>
              <w:rPr>
                <w:rFonts w:ascii="Times New Roman" w:hAnsi="Times New Roman" w:cs="Times New Roman"/>
                <w:sz w:val="20"/>
                <w:szCs w:val="20"/>
              </w:rPr>
            </w:pPr>
            <w:r w:rsidRPr="003165DF">
              <w:rPr>
                <w:rFonts w:ascii="Times New Roman" w:hAnsi="Times New Roman" w:cs="Times New Roman"/>
                <w:sz w:val="20"/>
                <w:szCs w:val="20"/>
              </w:rPr>
              <w:t>2018</w:t>
            </w:r>
          </w:p>
        </w:tc>
        <w:tc>
          <w:tcPr>
            <w:tcW w:w="1080" w:type="dxa"/>
          </w:tcPr>
          <w:p w:rsidR="00D47B80" w:rsidRPr="003165DF" w:rsidP="000B224F" w14:paraId="345CEBF1" w14:textId="77777777">
            <w:pPr>
              <w:rPr>
                <w:rFonts w:ascii="Times New Roman" w:hAnsi="Times New Roman" w:cs="Times New Roman"/>
                <w:sz w:val="20"/>
                <w:szCs w:val="20"/>
              </w:rPr>
            </w:pPr>
            <w:r w:rsidRPr="003165DF">
              <w:rPr>
                <w:rFonts w:ascii="Times New Roman" w:hAnsi="Times New Roman" w:cs="Times New Roman"/>
                <w:sz w:val="20"/>
                <w:szCs w:val="20"/>
              </w:rPr>
              <w:t>6,000</w:t>
            </w:r>
          </w:p>
        </w:tc>
        <w:tc>
          <w:tcPr>
            <w:tcW w:w="4860" w:type="dxa"/>
          </w:tcPr>
          <w:p w:rsidR="00D47B80" w:rsidRPr="003165DF" w:rsidP="000B224F" w14:paraId="6BD43AAA" w14:textId="77777777">
            <w:pPr>
              <w:rPr>
                <w:rFonts w:ascii="Times New Roman" w:hAnsi="Times New Roman" w:cs="Times New Roman"/>
                <w:sz w:val="20"/>
                <w:szCs w:val="20"/>
              </w:rPr>
            </w:pPr>
            <w:r w:rsidRPr="003165DF">
              <w:rPr>
                <w:rFonts w:ascii="Times New Roman" w:hAnsi="Times New Roman" w:cs="Times New Roman"/>
                <w:sz w:val="20"/>
                <w:szCs w:val="20"/>
              </w:rPr>
              <w:t>New conventional sulfuric acid alkylation unit</w:t>
            </w:r>
          </w:p>
          <w:p w:rsidR="00D47B80" w:rsidRPr="003165DF" w:rsidP="000B224F" w14:paraId="47DB7BDA" w14:textId="77777777">
            <w:pPr>
              <w:rPr>
                <w:rFonts w:ascii="Times New Roman" w:hAnsi="Times New Roman" w:cs="Times New Roman"/>
                <w:b/>
                <w:sz w:val="20"/>
                <w:szCs w:val="20"/>
              </w:rPr>
            </w:pPr>
            <w:r w:rsidRPr="005E4AF5">
              <w:rPr>
                <w:rFonts w:ascii="Times New Roman" w:hAnsi="Times New Roman" w:cs="Times New Roman"/>
                <w:bCs/>
                <w:sz w:val="20"/>
                <w:szCs w:val="20"/>
              </w:rPr>
              <w:t>6,000 bpd.</w:t>
            </w:r>
            <w:r w:rsidRPr="003165DF">
              <w:rPr>
                <w:rFonts w:ascii="Times New Roman" w:hAnsi="Times New Roman" w:cs="Times New Roman"/>
                <w:b/>
                <w:sz w:val="20"/>
                <w:szCs w:val="20"/>
              </w:rPr>
              <w:t xml:space="preserve"> </w:t>
            </w:r>
            <w:r w:rsidRPr="003165DF">
              <w:rPr>
                <w:rFonts w:ascii="Times New Roman" w:hAnsi="Times New Roman" w:cs="Times New Roman"/>
                <w:sz w:val="20"/>
                <w:szCs w:val="20"/>
              </w:rPr>
              <w:t>“HOUSTON (IC</w:t>
            </w:r>
            <w:r w:rsidR="00C44AEC">
              <w:rPr>
                <w:rFonts w:ascii="Times New Roman" w:hAnsi="Times New Roman" w:cs="Times New Roman"/>
                <w:sz w:val="20"/>
                <w:szCs w:val="20"/>
              </w:rPr>
              <w:t>–</w:t>
            </w:r>
            <w:r w:rsidRPr="003165DF">
              <w:rPr>
                <w:rFonts w:ascii="Times New Roman" w:hAnsi="Times New Roman" w:cs="Times New Roman"/>
                <w:sz w:val="20"/>
                <w:szCs w:val="20"/>
              </w:rPr>
              <w:t>)--US refiner Delek US Holdings will install a 6,000 bbl/day alkylation unit at its Krotz Springs, Louisiana, refinery, according to information made available on Tuesday. . . Total cost is estimated at $103m, according to the filing.”</w:t>
            </w:r>
            <w:r>
              <w:rPr>
                <w:rStyle w:val="FootnoteReference"/>
                <w:rFonts w:ascii="Times New Roman" w:hAnsi="Times New Roman" w:cs="Times New Roman"/>
                <w:sz w:val="20"/>
                <w:szCs w:val="20"/>
              </w:rPr>
              <w:footnoteReference w:id="210"/>
            </w:r>
          </w:p>
        </w:tc>
      </w:tr>
      <w:tr w14:paraId="5945A852" w14:textId="77777777" w:rsidTr="00486C54">
        <w:tblPrEx>
          <w:tblW w:w="10075" w:type="dxa"/>
          <w:tblLayout w:type="fixed"/>
          <w:tblLook w:val="04A0"/>
        </w:tblPrEx>
        <w:tc>
          <w:tcPr>
            <w:tcW w:w="1165" w:type="dxa"/>
          </w:tcPr>
          <w:p w:rsidR="00D47B80" w:rsidRPr="003165DF" w:rsidP="000B224F" w14:paraId="74F12087" w14:textId="77777777">
            <w:pPr>
              <w:jc w:val="center"/>
              <w:rPr>
                <w:rFonts w:ascii="Times New Roman" w:hAnsi="Times New Roman" w:cs="Times New Roman"/>
                <w:sz w:val="20"/>
                <w:szCs w:val="20"/>
              </w:rPr>
            </w:pPr>
            <w:r w:rsidRPr="003165DF">
              <w:rPr>
                <w:rFonts w:ascii="Times New Roman" w:hAnsi="Times New Roman" w:cs="Times New Roman"/>
                <w:sz w:val="20"/>
                <w:szCs w:val="20"/>
              </w:rPr>
              <w:t>$300</w:t>
            </w:r>
          </w:p>
        </w:tc>
        <w:tc>
          <w:tcPr>
            <w:tcW w:w="1890" w:type="dxa"/>
          </w:tcPr>
          <w:p w:rsidR="00D47B80" w:rsidRPr="003165DF" w:rsidP="000B224F" w14:paraId="6179CBCF" w14:textId="77777777">
            <w:pPr>
              <w:rPr>
                <w:rFonts w:ascii="Times New Roman" w:hAnsi="Times New Roman" w:cs="Times New Roman"/>
                <w:sz w:val="20"/>
                <w:szCs w:val="20"/>
              </w:rPr>
            </w:pPr>
            <w:r w:rsidRPr="003165DF">
              <w:rPr>
                <w:rFonts w:ascii="Times New Roman" w:hAnsi="Times New Roman" w:cs="Times New Roman"/>
                <w:sz w:val="20"/>
                <w:szCs w:val="20"/>
              </w:rPr>
              <w:t>Valero Houston</w:t>
            </w:r>
          </w:p>
        </w:tc>
        <w:tc>
          <w:tcPr>
            <w:tcW w:w="1080" w:type="dxa"/>
          </w:tcPr>
          <w:p w:rsidR="00D47B80" w:rsidRPr="003165DF" w:rsidP="000B224F" w14:paraId="188CAC47" w14:textId="77777777">
            <w:pPr>
              <w:rPr>
                <w:rFonts w:ascii="Times New Roman" w:hAnsi="Times New Roman" w:cs="Times New Roman"/>
                <w:sz w:val="20"/>
                <w:szCs w:val="20"/>
              </w:rPr>
            </w:pPr>
            <w:r w:rsidRPr="003165DF">
              <w:rPr>
                <w:rFonts w:ascii="Times New Roman" w:hAnsi="Times New Roman" w:cs="Times New Roman"/>
                <w:sz w:val="20"/>
                <w:szCs w:val="20"/>
              </w:rPr>
              <w:t>2016</w:t>
            </w:r>
          </w:p>
        </w:tc>
        <w:tc>
          <w:tcPr>
            <w:tcW w:w="1080" w:type="dxa"/>
          </w:tcPr>
          <w:p w:rsidR="00D47B80" w:rsidRPr="003165DF" w:rsidP="000B224F" w14:paraId="67B9DEBB" w14:textId="77777777">
            <w:pPr>
              <w:rPr>
                <w:rFonts w:ascii="Times New Roman" w:hAnsi="Times New Roman" w:cs="Times New Roman"/>
                <w:color w:val="FF0000"/>
                <w:sz w:val="20"/>
                <w:szCs w:val="20"/>
              </w:rPr>
            </w:pPr>
            <w:r w:rsidRPr="003165DF">
              <w:rPr>
                <w:rFonts w:ascii="Times New Roman" w:hAnsi="Times New Roman" w:cs="Times New Roman"/>
                <w:sz w:val="20"/>
                <w:szCs w:val="20"/>
              </w:rPr>
              <w:t>13,000</w:t>
            </w:r>
          </w:p>
        </w:tc>
        <w:tc>
          <w:tcPr>
            <w:tcW w:w="4860" w:type="dxa"/>
          </w:tcPr>
          <w:p w:rsidR="00D47B80" w:rsidRPr="00343887" w:rsidP="000B224F" w14:paraId="60A29BF3" w14:textId="77777777">
            <w:pPr>
              <w:rPr>
                <w:rFonts w:ascii="Times New Roman" w:hAnsi="Times New Roman" w:cs="Times New Roman"/>
                <w:sz w:val="20"/>
                <w:szCs w:val="20"/>
              </w:rPr>
            </w:pPr>
            <w:r w:rsidRPr="003165DF">
              <w:rPr>
                <w:rFonts w:ascii="Times New Roman" w:hAnsi="Times New Roman" w:cs="Times New Roman"/>
                <w:sz w:val="20"/>
                <w:szCs w:val="20"/>
              </w:rPr>
              <w:t xml:space="preserve">New </w:t>
            </w:r>
            <w:r w:rsidRPr="003165DF" w:rsidR="00CA671D">
              <w:rPr>
                <w:rFonts w:ascii="Times New Roman" w:hAnsi="Times New Roman" w:cs="Times New Roman"/>
                <w:sz w:val="20"/>
                <w:szCs w:val="20"/>
              </w:rPr>
              <w:t>conventional</w:t>
            </w:r>
            <w:r w:rsidRPr="003165DF">
              <w:rPr>
                <w:rFonts w:ascii="Times New Roman" w:hAnsi="Times New Roman" w:cs="Times New Roman"/>
                <w:sz w:val="20"/>
                <w:szCs w:val="20"/>
              </w:rPr>
              <w:t xml:space="preserve"> sulfuric acid alkylation unit</w:t>
            </w:r>
            <w:r w:rsidR="00343887">
              <w:rPr>
                <w:rFonts w:ascii="Times New Roman" w:hAnsi="Times New Roman" w:cs="Times New Roman"/>
                <w:sz w:val="20"/>
                <w:szCs w:val="20"/>
              </w:rPr>
              <w:t xml:space="preserve"> </w:t>
            </w:r>
            <w:r w:rsidRPr="003165DF">
              <w:rPr>
                <w:rFonts w:ascii="Times New Roman" w:hAnsi="Times New Roman" w:cs="Times New Roman"/>
                <w:sz w:val="20"/>
                <w:szCs w:val="20"/>
              </w:rPr>
              <w:t>13,000</w:t>
            </w:r>
            <w:r w:rsidR="00F20C1D">
              <w:rPr>
                <w:rFonts w:ascii="Times New Roman" w:hAnsi="Times New Roman" w:cs="Times New Roman"/>
                <w:sz w:val="20"/>
                <w:szCs w:val="20"/>
              </w:rPr>
              <w:t xml:space="preserve"> </w:t>
            </w:r>
            <w:r w:rsidR="00413790">
              <w:rPr>
                <w:rFonts w:ascii="Times New Roman" w:hAnsi="Times New Roman" w:cs="Times New Roman"/>
                <w:sz w:val="20"/>
                <w:szCs w:val="20"/>
              </w:rPr>
              <w:t>bpd</w:t>
            </w:r>
            <w:r w:rsidRPr="003165DF">
              <w:rPr>
                <w:rFonts w:ascii="Times New Roman" w:hAnsi="Times New Roman" w:cs="Times New Roman"/>
                <w:sz w:val="20"/>
                <w:szCs w:val="20"/>
              </w:rPr>
              <w:t>. “The $300 million Houston alkylation project announced in January entered the detailed engineering, procurement, and construction phase of the development process during the quarter. This 13,000 BPD unit, which upgrades low-cost natural gas liquids into premium-value alkylate, is expected to be completed in the first half of 2019.”</w:t>
            </w:r>
            <w:r>
              <w:rPr>
                <w:rStyle w:val="FootnoteReference"/>
                <w:rFonts w:ascii="Times New Roman" w:hAnsi="Times New Roman" w:cs="Times New Roman"/>
                <w:sz w:val="20"/>
                <w:szCs w:val="20"/>
              </w:rPr>
              <w:footnoteReference w:id="211"/>
            </w:r>
          </w:p>
        </w:tc>
      </w:tr>
      <w:tr w14:paraId="51AD31E3" w14:textId="77777777" w:rsidTr="00486C54">
        <w:tblPrEx>
          <w:tblW w:w="10075" w:type="dxa"/>
          <w:tblLayout w:type="fixed"/>
          <w:tblLook w:val="04A0"/>
        </w:tblPrEx>
        <w:tc>
          <w:tcPr>
            <w:tcW w:w="1165" w:type="dxa"/>
          </w:tcPr>
          <w:p w:rsidR="00D47B80" w:rsidRPr="003165DF" w:rsidP="000B224F" w14:paraId="605732F8" w14:textId="77777777">
            <w:pPr>
              <w:jc w:val="center"/>
              <w:rPr>
                <w:rFonts w:ascii="Times New Roman" w:hAnsi="Times New Roman" w:cs="Times New Roman"/>
                <w:sz w:val="20"/>
                <w:szCs w:val="20"/>
              </w:rPr>
            </w:pPr>
            <w:r w:rsidRPr="003165DF">
              <w:rPr>
                <w:rFonts w:ascii="Times New Roman" w:hAnsi="Times New Roman" w:cs="Times New Roman"/>
                <w:sz w:val="20"/>
                <w:szCs w:val="20"/>
              </w:rPr>
              <w:t>$400</w:t>
            </w:r>
          </w:p>
        </w:tc>
        <w:tc>
          <w:tcPr>
            <w:tcW w:w="1890" w:type="dxa"/>
          </w:tcPr>
          <w:p w:rsidR="00D47B80" w:rsidRPr="003165DF" w:rsidP="000B224F" w14:paraId="0C4B447D" w14:textId="77777777">
            <w:pPr>
              <w:rPr>
                <w:rFonts w:ascii="Times New Roman" w:hAnsi="Times New Roman" w:cs="Times New Roman"/>
                <w:sz w:val="20"/>
                <w:szCs w:val="20"/>
              </w:rPr>
            </w:pPr>
            <w:r w:rsidRPr="003165DF">
              <w:rPr>
                <w:rFonts w:ascii="Times New Roman" w:hAnsi="Times New Roman" w:cs="Times New Roman"/>
                <w:sz w:val="20"/>
                <w:szCs w:val="20"/>
              </w:rPr>
              <w:t>Valero, St. Charles, Louisiana</w:t>
            </w:r>
          </w:p>
        </w:tc>
        <w:tc>
          <w:tcPr>
            <w:tcW w:w="1080" w:type="dxa"/>
          </w:tcPr>
          <w:p w:rsidR="00D47B80" w:rsidRPr="003165DF" w:rsidP="000B224F" w14:paraId="3E8F3492" w14:textId="77777777">
            <w:pPr>
              <w:rPr>
                <w:rFonts w:ascii="Times New Roman" w:hAnsi="Times New Roman" w:cs="Times New Roman"/>
                <w:sz w:val="20"/>
                <w:szCs w:val="20"/>
              </w:rPr>
            </w:pPr>
            <w:r w:rsidRPr="003165DF">
              <w:rPr>
                <w:rFonts w:ascii="Times New Roman" w:hAnsi="Times New Roman" w:cs="Times New Roman"/>
                <w:sz w:val="20"/>
                <w:szCs w:val="20"/>
              </w:rPr>
              <w:t>2017</w:t>
            </w:r>
          </w:p>
        </w:tc>
        <w:tc>
          <w:tcPr>
            <w:tcW w:w="1080" w:type="dxa"/>
          </w:tcPr>
          <w:p w:rsidR="00D47B80" w:rsidRPr="003165DF" w:rsidP="000B224F" w14:paraId="16E0919E" w14:textId="77777777">
            <w:pPr>
              <w:rPr>
                <w:rFonts w:ascii="Times New Roman" w:hAnsi="Times New Roman" w:cs="Times New Roman"/>
                <w:color w:val="FF0000"/>
                <w:sz w:val="20"/>
                <w:szCs w:val="20"/>
              </w:rPr>
            </w:pPr>
            <w:r w:rsidRPr="003165DF">
              <w:rPr>
                <w:rFonts w:ascii="Times New Roman" w:hAnsi="Times New Roman" w:cs="Times New Roman"/>
                <w:sz w:val="20"/>
                <w:szCs w:val="20"/>
              </w:rPr>
              <w:t>25,000</w:t>
            </w:r>
          </w:p>
        </w:tc>
        <w:tc>
          <w:tcPr>
            <w:tcW w:w="4860" w:type="dxa"/>
          </w:tcPr>
          <w:p w:rsidR="00D47B80" w:rsidRPr="003165DF" w:rsidP="000B224F" w14:paraId="403F264D" w14:textId="77777777">
            <w:pPr>
              <w:rPr>
                <w:rFonts w:ascii="Times New Roman" w:hAnsi="Times New Roman" w:cs="Times New Roman"/>
                <w:sz w:val="20"/>
                <w:szCs w:val="20"/>
              </w:rPr>
            </w:pPr>
            <w:r w:rsidRPr="003165DF">
              <w:rPr>
                <w:rFonts w:ascii="Times New Roman" w:hAnsi="Times New Roman" w:cs="Times New Roman"/>
                <w:sz w:val="20"/>
                <w:szCs w:val="20"/>
              </w:rPr>
              <w:t xml:space="preserve">New </w:t>
            </w:r>
            <w:r w:rsidRPr="003165DF" w:rsidR="00CA671D">
              <w:rPr>
                <w:rFonts w:ascii="Times New Roman" w:hAnsi="Times New Roman" w:cs="Times New Roman"/>
                <w:sz w:val="20"/>
                <w:szCs w:val="20"/>
              </w:rPr>
              <w:t>advanced</w:t>
            </w:r>
            <w:r w:rsidRPr="003165DF">
              <w:rPr>
                <w:rFonts w:ascii="Times New Roman" w:hAnsi="Times New Roman" w:cs="Times New Roman"/>
                <w:sz w:val="20"/>
                <w:szCs w:val="20"/>
              </w:rPr>
              <w:t xml:space="preserve"> sulfuric acid (requires less acid, and size equals the Torrance refinery in LA)</w:t>
            </w:r>
            <w:r w:rsidR="00EF15B8">
              <w:rPr>
                <w:rFonts w:ascii="Times New Roman" w:hAnsi="Times New Roman" w:cs="Times New Roman"/>
                <w:sz w:val="20"/>
                <w:szCs w:val="20"/>
              </w:rPr>
              <w:t xml:space="preserve"> </w:t>
            </w:r>
            <w:r w:rsidRPr="003165DF">
              <w:rPr>
                <w:rFonts w:ascii="Times New Roman" w:hAnsi="Times New Roman" w:cs="Times New Roman"/>
                <w:sz w:val="20"/>
                <w:szCs w:val="20"/>
              </w:rPr>
              <w:t xml:space="preserve">25,000 </w:t>
            </w:r>
            <w:r w:rsidR="00EF15B8">
              <w:rPr>
                <w:rFonts w:ascii="Times New Roman" w:hAnsi="Times New Roman" w:cs="Times New Roman"/>
                <w:sz w:val="20"/>
                <w:szCs w:val="20"/>
              </w:rPr>
              <w:t>bpd</w:t>
            </w:r>
            <w:r w:rsidRPr="003165DF">
              <w:rPr>
                <w:rFonts w:ascii="Times New Roman" w:hAnsi="Times New Roman" w:cs="Times New Roman"/>
                <w:sz w:val="20"/>
                <w:szCs w:val="20"/>
              </w:rPr>
              <w:t>.</w:t>
            </w:r>
            <w:r w:rsidR="00D846F3">
              <w:rPr>
                <w:rFonts w:ascii="Times New Roman" w:hAnsi="Times New Roman" w:cs="Times New Roman"/>
                <w:sz w:val="20"/>
                <w:szCs w:val="20"/>
              </w:rPr>
              <w:t xml:space="preserve"> </w:t>
            </w:r>
            <w:r w:rsidRPr="003165DF">
              <w:rPr>
                <w:rFonts w:ascii="Times New Roman" w:hAnsi="Times New Roman" w:cs="Times New Roman"/>
                <w:sz w:val="20"/>
                <w:szCs w:val="20"/>
              </w:rPr>
              <w:t>“Included in the growth investments is the construction of a new 25,000 barrels per day alkylation unit at the St. Charles refinery, which received final approval from the company’s Board of Directors last week. Total cost for the alkylation unit is estimated at $400 million, and completion is expected in the second half of 2020.”</w:t>
            </w:r>
            <w:r>
              <w:rPr>
                <w:rStyle w:val="FootnoteReference"/>
                <w:rFonts w:ascii="Times New Roman" w:hAnsi="Times New Roman" w:cs="Times New Roman"/>
                <w:sz w:val="20"/>
                <w:szCs w:val="20"/>
              </w:rPr>
              <w:footnoteReference w:id="212"/>
            </w:r>
          </w:p>
        </w:tc>
      </w:tr>
      <w:tr w14:paraId="6F39B002" w14:textId="77777777" w:rsidTr="00486C54">
        <w:tblPrEx>
          <w:tblW w:w="10075" w:type="dxa"/>
          <w:tblLayout w:type="fixed"/>
          <w:tblLook w:val="04A0"/>
        </w:tblPrEx>
        <w:tc>
          <w:tcPr>
            <w:tcW w:w="1165" w:type="dxa"/>
          </w:tcPr>
          <w:p w:rsidR="00D47B80" w:rsidRPr="003165DF" w:rsidP="000B224F" w14:paraId="7C5FAA1A" w14:textId="77777777">
            <w:pPr>
              <w:jc w:val="center"/>
              <w:rPr>
                <w:rFonts w:ascii="Times New Roman" w:hAnsi="Times New Roman" w:cs="Times New Roman"/>
                <w:sz w:val="20"/>
                <w:szCs w:val="20"/>
              </w:rPr>
            </w:pPr>
            <w:r w:rsidRPr="003165DF">
              <w:rPr>
                <w:rFonts w:ascii="Times New Roman" w:hAnsi="Times New Roman" w:cs="Times New Roman"/>
                <w:sz w:val="20"/>
                <w:szCs w:val="20"/>
              </w:rPr>
              <w:t>$155</w:t>
            </w:r>
          </w:p>
        </w:tc>
        <w:tc>
          <w:tcPr>
            <w:tcW w:w="1890" w:type="dxa"/>
          </w:tcPr>
          <w:p w:rsidR="00D47B80" w:rsidRPr="003165DF" w:rsidP="000B224F" w14:paraId="7D0DA313" w14:textId="77777777">
            <w:pPr>
              <w:rPr>
                <w:rFonts w:ascii="Times New Roman" w:hAnsi="Times New Roman" w:cs="Times New Roman"/>
                <w:sz w:val="20"/>
                <w:szCs w:val="20"/>
              </w:rPr>
            </w:pPr>
            <w:r w:rsidRPr="003165DF">
              <w:rPr>
                <w:rFonts w:ascii="Times New Roman" w:hAnsi="Times New Roman" w:cs="Times New Roman"/>
                <w:sz w:val="20"/>
                <w:szCs w:val="20"/>
              </w:rPr>
              <w:t>DuPont Stratco</w:t>
            </w:r>
          </w:p>
        </w:tc>
        <w:tc>
          <w:tcPr>
            <w:tcW w:w="1080" w:type="dxa"/>
          </w:tcPr>
          <w:p w:rsidR="00D47B80" w:rsidRPr="003165DF" w:rsidP="000B224F" w14:paraId="0F360505" w14:textId="77777777">
            <w:pPr>
              <w:rPr>
                <w:rFonts w:ascii="Times New Roman" w:hAnsi="Times New Roman" w:cs="Times New Roman"/>
                <w:sz w:val="20"/>
                <w:szCs w:val="20"/>
              </w:rPr>
            </w:pPr>
            <w:r w:rsidRPr="003165DF">
              <w:rPr>
                <w:rFonts w:ascii="Times New Roman" w:hAnsi="Times New Roman" w:cs="Times New Roman"/>
                <w:sz w:val="20"/>
                <w:szCs w:val="20"/>
              </w:rPr>
              <w:t>2016 with 2010 labor rates</w:t>
            </w:r>
          </w:p>
        </w:tc>
        <w:tc>
          <w:tcPr>
            <w:tcW w:w="1080" w:type="dxa"/>
          </w:tcPr>
          <w:p w:rsidR="00D47B80" w:rsidRPr="003165DF" w:rsidP="000B224F" w14:paraId="266B40B3" w14:textId="77777777">
            <w:pPr>
              <w:rPr>
                <w:rFonts w:ascii="Times New Roman" w:hAnsi="Times New Roman" w:cs="Times New Roman"/>
                <w:sz w:val="20"/>
                <w:szCs w:val="20"/>
              </w:rPr>
            </w:pPr>
            <w:r w:rsidRPr="003165DF">
              <w:rPr>
                <w:rFonts w:ascii="Times New Roman" w:hAnsi="Times New Roman" w:cs="Times New Roman"/>
                <w:sz w:val="20"/>
                <w:szCs w:val="20"/>
              </w:rPr>
              <w:t>25,000</w:t>
            </w:r>
          </w:p>
        </w:tc>
        <w:tc>
          <w:tcPr>
            <w:tcW w:w="4860" w:type="dxa"/>
          </w:tcPr>
          <w:p w:rsidR="00D47B80" w:rsidRPr="003165DF" w:rsidP="000B224F" w14:paraId="7B9DC91F" w14:textId="77777777">
            <w:pPr>
              <w:rPr>
                <w:rFonts w:ascii="Times New Roman" w:hAnsi="Times New Roman" w:cs="Times New Roman"/>
                <w:sz w:val="20"/>
                <w:szCs w:val="20"/>
              </w:rPr>
            </w:pPr>
            <w:r w:rsidRPr="003165DF">
              <w:rPr>
                <w:rFonts w:ascii="Times New Roman" w:hAnsi="Times New Roman" w:cs="Times New Roman"/>
                <w:sz w:val="20"/>
                <w:szCs w:val="20"/>
              </w:rPr>
              <w:t xml:space="preserve">Stratco Sulfuric Acid Alkylation unit to produce 25,000 </w:t>
            </w:r>
            <w:r w:rsidR="008A0AFA">
              <w:rPr>
                <w:rFonts w:ascii="Times New Roman" w:hAnsi="Times New Roman" w:cs="Times New Roman"/>
                <w:sz w:val="20"/>
                <w:szCs w:val="20"/>
              </w:rPr>
              <w:t>bpd</w:t>
            </w:r>
            <w:r w:rsidRPr="003165DF">
              <w:rPr>
                <w:rFonts w:ascii="Times New Roman" w:hAnsi="Times New Roman" w:cs="Times New Roman"/>
                <w:sz w:val="20"/>
                <w:szCs w:val="20"/>
              </w:rPr>
              <w:t xml:space="preserve"> alkylate plus an Order of Magnitude cost estimate for a 250 STPD Sulfuric Acid Regeneration Plant (required capacity for a 25,000 </w:t>
            </w:r>
            <w:r w:rsidR="002F7D1F">
              <w:rPr>
                <w:rFonts w:ascii="Times New Roman" w:hAnsi="Times New Roman" w:cs="Times New Roman"/>
                <w:sz w:val="20"/>
                <w:szCs w:val="20"/>
              </w:rPr>
              <w:t>bpd</w:t>
            </w:r>
            <w:r w:rsidRPr="003165DF">
              <w:rPr>
                <w:rFonts w:ascii="Times New Roman" w:hAnsi="Times New Roman" w:cs="Times New Roman"/>
                <w:sz w:val="20"/>
                <w:szCs w:val="20"/>
              </w:rPr>
              <w:t xml:space="preserve"> Alky Unit) is $45 million USD</w:t>
            </w:r>
            <w:r w:rsidR="00CA671D">
              <w:rPr>
                <w:rFonts w:ascii="Times New Roman" w:hAnsi="Times New Roman" w:cs="Times New Roman"/>
                <w:sz w:val="20"/>
                <w:szCs w:val="20"/>
              </w:rPr>
              <w:t>.</w:t>
            </w:r>
            <w:r>
              <w:rPr>
                <w:rStyle w:val="FootnoteReference"/>
                <w:rFonts w:ascii="Times New Roman" w:hAnsi="Times New Roman" w:cs="Times New Roman"/>
                <w:sz w:val="20"/>
                <w:szCs w:val="20"/>
              </w:rPr>
              <w:footnoteReference w:id="213"/>
            </w:r>
          </w:p>
        </w:tc>
      </w:tr>
      <w:tr w14:paraId="29CF0393" w14:textId="77777777" w:rsidTr="00486C54">
        <w:tblPrEx>
          <w:tblW w:w="10075" w:type="dxa"/>
          <w:tblLayout w:type="fixed"/>
          <w:tblLook w:val="04A0"/>
        </w:tblPrEx>
        <w:tc>
          <w:tcPr>
            <w:tcW w:w="1165" w:type="dxa"/>
          </w:tcPr>
          <w:p w:rsidR="00D47B80" w:rsidRPr="003165DF" w:rsidP="000B224F" w14:paraId="13221F69" w14:textId="77777777">
            <w:pPr>
              <w:jc w:val="center"/>
              <w:rPr>
                <w:rFonts w:ascii="Times New Roman" w:hAnsi="Times New Roman" w:cs="Times New Roman"/>
                <w:sz w:val="20"/>
                <w:szCs w:val="20"/>
              </w:rPr>
            </w:pPr>
            <w:r w:rsidRPr="003165DF">
              <w:rPr>
                <w:rFonts w:ascii="Times New Roman" w:hAnsi="Times New Roman" w:cs="Times New Roman"/>
                <w:sz w:val="20"/>
                <w:szCs w:val="20"/>
              </w:rPr>
              <w:t>$145</w:t>
            </w:r>
          </w:p>
        </w:tc>
        <w:tc>
          <w:tcPr>
            <w:tcW w:w="1890" w:type="dxa"/>
          </w:tcPr>
          <w:p w:rsidR="00D47B80" w:rsidRPr="003165DF" w:rsidP="000B224F" w14:paraId="1F1BBB2A" w14:textId="77777777">
            <w:pPr>
              <w:rPr>
                <w:rFonts w:ascii="Times New Roman" w:hAnsi="Times New Roman" w:cs="Times New Roman"/>
                <w:sz w:val="20"/>
                <w:szCs w:val="20"/>
              </w:rPr>
            </w:pPr>
            <w:r w:rsidRPr="003165DF">
              <w:rPr>
                <w:rFonts w:ascii="Times New Roman" w:hAnsi="Times New Roman" w:cs="Times New Roman"/>
                <w:sz w:val="20"/>
                <w:szCs w:val="20"/>
              </w:rPr>
              <w:t>ExxonMobil</w:t>
            </w:r>
          </w:p>
        </w:tc>
        <w:tc>
          <w:tcPr>
            <w:tcW w:w="1080" w:type="dxa"/>
          </w:tcPr>
          <w:p w:rsidR="00D47B80" w:rsidRPr="003165DF" w:rsidP="000B224F" w14:paraId="05E800B2" w14:textId="77777777">
            <w:pPr>
              <w:rPr>
                <w:rFonts w:ascii="Times New Roman" w:hAnsi="Times New Roman" w:cs="Times New Roman"/>
                <w:sz w:val="20"/>
                <w:szCs w:val="20"/>
              </w:rPr>
            </w:pPr>
            <w:r w:rsidRPr="003165DF">
              <w:rPr>
                <w:rFonts w:ascii="Times New Roman" w:hAnsi="Times New Roman" w:cs="Times New Roman"/>
                <w:sz w:val="20"/>
                <w:szCs w:val="20"/>
              </w:rPr>
              <w:t>2016 with 2010 labor rates</w:t>
            </w:r>
          </w:p>
        </w:tc>
        <w:tc>
          <w:tcPr>
            <w:tcW w:w="1080" w:type="dxa"/>
          </w:tcPr>
          <w:p w:rsidR="00D47B80" w:rsidRPr="003165DF" w:rsidP="000B224F" w14:paraId="306F5640" w14:textId="77777777">
            <w:pPr>
              <w:rPr>
                <w:rFonts w:ascii="Times New Roman" w:hAnsi="Times New Roman" w:cs="Times New Roman"/>
                <w:sz w:val="20"/>
                <w:szCs w:val="20"/>
              </w:rPr>
            </w:pPr>
            <w:r w:rsidRPr="003165DF">
              <w:rPr>
                <w:rFonts w:ascii="Times New Roman" w:hAnsi="Times New Roman" w:cs="Times New Roman"/>
                <w:sz w:val="20"/>
                <w:szCs w:val="20"/>
              </w:rPr>
              <w:t>25,000</w:t>
            </w:r>
          </w:p>
        </w:tc>
        <w:tc>
          <w:tcPr>
            <w:tcW w:w="4860" w:type="dxa"/>
          </w:tcPr>
          <w:p w:rsidR="00D47B80" w:rsidRPr="003165DF" w:rsidP="000B224F" w14:paraId="3A4CA7D2" w14:textId="77777777">
            <w:pPr>
              <w:rPr>
                <w:rFonts w:ascii="Times New Roman" w:hAnsi="Times New Roman" w:cs="Times New Roman"/>
                <w:sz w:val="20"/>
                <w:szCs w:val="20"/>
              </w:rPr>
            </w:pPr>
            <w:r w:rsidRPr="003165DF">
              <w:rPr>
                <w:rFonts w:ascii="Times New Roman" w:hAnsi="Times New Roman" w:cs="Times New Roman"/>
                <w:sz w:val="20"/>
                <w:szCs w:val="20"/>
              </w:rPr>
              <w:t>ExxonMobil</w:t>
            </w:r>
            <w:r w:rsidRPr="003165DF" w:rsidR="00592C4E">
              <w:rPr>
                <w:rFonts w:ascii="Times New Roman" w:hAnsi="Times New Roman" w:cs="Times New Roman"/>
                <w:sz w:val="20"/>
                <w:szCs w:val="20"/>
              </w:rPr>
              <w:t xml:space="preserve"> </w:t>
            </w:r>
            <w:r w:rsidRPr="003165DF">
              <w:rPr>
                <w:rFonts w:ascii="Times New Roman" w:hAnsi="Times New Roman" w:cs="Times New Roman"/>
                <w:sz w:val="20"/>
                <w:szCs w:val="20"/>
              </w:rPr>
              <w:t xml:space="preserve">sulfuric acid for 25,000bpd plus an Order of Magnitude cost estimate for a 250 STPD Sulfuric Acid Regeneration Plant (required capacity for a 25,000 </w:t>
            </w:r>
            <w:r w:rsidR="00980C3C">
              <w:rPr>
                <w:rFonts w:ascii="Times New Roman" w:hAnsi="Times New Roman" w:cs="Times New Roman"/>
                <w:sz w:val="20"/>
                <w:szCs w:val="20"/>
              </w:rPr>
              <w:t>bpd</w:t>
            </w:r>
            <w:r w:rsidRPr="003165DF">
              <w:rPr>
                <w:rFonts w:ascii="Times New Roman" w:hAnsi="Times New Roman" w:cs="Times New Roman"/>
                <w:sz w:val="20"/>
                <w:szCs w:val="20"/>
              </w:rPr>
              <w:t xml:space="preserve"> Alky Unit) is $45 million USD.</w:t>
            </w:r>
            <w:r>
              <w:rPr>
                <w:rStyle w:val="FootnoteReference"/>
                <w:rFonts w:ascii="Times New Roman" w:hAnsi="Times New Roman" w:cs="Times New Roman"/>
                <w:sz w:val="20"/>
                <w:szCs w:val="20"/>
              </w:rPr>
              <w:footnoteReference w:id="214"/>
            </w:r>
          </w:p>
        </w:tc>
      </w:tr>
    </w:tbl>
    <w:p w:rsidR="00093C0A" w:rsidRPr="00896FB8" w:rsidP="00093C0A" w14:paraId="05C8E18B" w14:textId="77777777">
      <w:pPr>
        <w:rPr>
          <w:rFonts w:ascii="Times New Roman" w:hAnsi="Times New Roman" w:cs="Times New Roman"/>
          <w:b/>
          <w:sz w:val="20"/>
          <w:szCs w:val="20"/>
        </w:rPr>
      </w:pPr>
      <w:r w:rsidRPr="003165DF">
        <w:rPr>
          <w:rFonts w:ascii="Times New Roman" w:hAnsi="Times New Roman" w:cs="Times New Roman"/>
          <w:sz w:val="20"/>
          <w:szCs w:val="20"/>
        </w:rPr>
        <w:br w:type="page"/>
      </w:r>
    </w:p>
    <w:p w:rsidR="003D6E36" w:rsidRPr="003165DF" w:rsidP="003165DF" w14:paraId="06813B63" w14:textId="77777777">
      <w:pPr>
        <w:pStyle w:val="Heading1"/>
      </w:pPr>
      <w:bookmarkStart w:id="560" w:name="_Toc98856259"/>
      <w:bookmarkStart w:id="561" w:name="_Toc144303628"/>
      <w:bookmarkStart w:id="562" w:name="_Hlk101257235"/>
      <w:r>
        <w:t xml:space="preserve">APPENDIX </w:t>
      </w:r>
      <w:r w:rsidR="00D47B80">
        <w:t>B</w:t>
      </w:r>
      <w:bookmarkEnd w:id="560"/>
      <w:r w:rsidR="003165DF">
        <w:t xml:space="preserve">: </w:t>
      </w:r>
      <w:r>
        <w:t xml:space="preserve">Property and Business Losses in the Petrochemical </w:t>
      </w:r>
      <w:r w:rsidR="008C68D4">
        <w:t>Sector</w:t>
      </w:r>
      <w:bookmarkEnd w:id="561"/>
    </w:p>
    <w:tbl>
      <w:tblPr>
        <w:tblStyle w:val="TableGrid"/>
        <w:tblW w:w="0" w:type="auto"/>
        <w:tblLook w:val="04A0"/>
      </w:tblPr>
      <w:tblGrid>
        <w:gridCol w:w="1602"/>
        <w:gridCol w:w="1572"/>
        <w:gridCol w:w="1555"/>
        <w:gridCol w:w="1526"/>
        <w:gridCol w:w="1529"/>
        <w:gridCol w:w="1566"/>
      </w:tblGrid>
      <w:tr w14:paraId="1C7D36AD" w14:textId="77777777" w:rsidTr="00FA7DFB">
        <w:tblPrEx>
          <w:tblW w:w="0" w:type="auto"/>
          <w:tblLook w:val="04A0"/>
        </w:tblPrEx>
        <w:trPr>
          <w:tblHeader/>
        </w:trPr>
        <w:tc>
          <w:tcPr>
            <w:tcW w:w="1661" w:type="dxa"/>
            <w:shd w:val="clear" w:color="auto" w:fill="D9D9D9" w:themeFill="background1" w:themeFillShade="D9"/>
          </w:tcPr>
          <w:p w:rsidR="00673CF5" w:rsidRPr="003165DF" w:rsidP="00673CF5" w14:paraId="26CFE6AF" w14:textId="77777777">
            <w:pPr>
              <w:jc w:val="center"/>
              <w:rPr>
                <w:b/>
              </w:rPr>
            </w:pPr>
            <w:bookmarkStart w:id="563" w:name="_Hlk101257179"/>
            <w:bookmarkStart w:id="564" w:name="_Hlk101257207"/>
            <w:bookmarkEnd w:id="562"/>
            <w:r w:rsidRPr="003165DF">
              <w:rPr>
                <w:b/>
              </w:rPr>
              <w:t>Type of Facility</w:t>
            </w:r>
          </w:p>
        </w:tc>
        <w:tc>
          <w:tcPr>
            <w:tcW w:w="1661" w:type="dxa"/>
            <w:shd w:val="clear" w:color="auto" w:fill="D9D9D9" w:themeFill="background1" w:themeFillShade="D9"/>
          </w:tcPr>
          <w:p w:rsidR="00673CF5" w:rsidRPr="003165DF" w:rsidP="00673CF5" w14:paraId="10D19760" w14:textId="77777777">
            <w:pPr>
              <w:jc w:val="center"/>
              <w:rPr>
                <w:b/>
              </w:rPr>
            </w:pPr>
            <w:r w:rsidRPr="003165DF">
              <w:rPr>
                <w:b/>
              </w:rPr>
              <w:t>Location</w:t>
            </w:r>
          </w:p>
        </w:tc>
        <w:tc>
          <w:tcPr>
            <w:tcW w:w="1662" w:type="dxa"/>
            <w:shd w:val="clear" w:color="auto" w:fill="D9D9D9" w:themeFill="background1" w:themeFillShade="D9"/>
          </w:tcPr>
          <w:p w:rsidR="00673CF5" w:rsidRPr="003165DF" w:rsidP="00673CF5" w14:paraId="53A90282" w14:textId="77777777">
            <w:pPr>
              <w:jc w:val="center"/>
              <w:rPr>
                <w:b/>
              </w:rPr>
            </w:pPr>
            <w:r w:rsidRPr="003165DF">
              <w:rPr>
                <w:b/>
              </w:rPr>
              <w:t>Date</w:t>
            </w:r>
          </w:p>
        </w:tc>
        <w:tc>
          <w:tcPr>
            <w:tcW w:w="1662" w:type="dxa"/>
            <w:shd w:val="clear" w:color="auto" w:fill="D9D9D9" w:themeFill="background1" w:themeFillShade="D9"/>
          </w:tcPr>
          <w:p w:rsidR="00673CF5" w:rsidRPr="003165DF" w:rsidP="00673CF5" w14:paraId="15D21DC1" w14:textId="77777777">
            <w:pPr>
              <w:jc w:val="center"/>
              <w:rPr>
                <w:b/>
              </w:rPr>
            </w:pPr>
            <w:r w:rsidRPr="003165DF">
              <w:rPr>
                <w:b/>
              </w:rPr>
              <w:t>Property Damage $M (</w:t>
            </w:r>
            <w:r w:rsidRPr="003165DF" w:rsidR="00631740">
              <w:rPr>
                <w:b/>
              </w:rPr>
              <w:t>20</w:t>
            </w:r>
            <w:r w:rsidR="00631740">
              <w:rPr>
                <w:b/>
              </w:rPr>
              <w:t>21</w:t>
            </w:r>
            <w:r w:rsidRPr="003165DF">
              <w:rPr>
                <w:b/>
              </w:rPr>
              <w:t xml:space="preserve"> Dollars)</w:t>
            </w:r>
          </w:p>
        </w:tc>
        <w:tc>
          <w:tcPr>
            <w:tcW w:w="1662" w:type="dxa"/>
            <w:shd w:val="clear" w:color="auto" w:fill="D9D9D9" w:themeFill="background1" w:themeFillShade="D9"/>
          </w:tcPr>
          <w:p w:rsidR="00673CF5" w:rsidRPr="003165DF" w:rsidP="00673CF5" w14:paraId="38CC3780" w14:textId="77777777">
            <w:pPr>
              <w:jc w:val="center"/>
              <w:rPr>
                <w:b/>
              </w:rPr>
            </w:pPr>
            <w:r w:rsidRPr="003165DF">
              <w:rPr>
                <w:b/>
              </w:rPr>
              <w:t>Business Loss $M</w:t>
            </w:r>
            <w:r w:rsidR="001F275F">
              <w:rPr>
                <w:b/>
              </w:rPr>
              <w:t xml:space="preserve"> (</w:t>
            </w:r>
            <w:r w:rsidR="00371478">
              <w:rPr>
                <w:b/>
              </w:rPr>
              <w:t>accident year $</w:t>
            </w:r>
            <w:r w:rsidR="001F275F">
              <w:rPr>
                <w:b/>
              </w:rPr>
              <w:t>)</w:t>
            </w:r>
          </w:p>
        </w:tc>
        <w:tc>
          <w:tcPr>
            <w:tcW w:w="1662" w:type="dxa"/>
            <w:shd w:val="clear" w:color="auto" w:fill="D9D9D9" w:themeFill="background1" w:themeFillShade="D9"/>
          </w:tcPr>
          <w:p w:rsidR="00673CF5" w:rsidRPr="003165DF" w:rsidP="00673CF5" w14:paraId="0D7A00CB" w14:textId="77777777">
            <w:pPr>
              <w:jc w:val="center"/>
              <w:rPr>
                <w:b/>
              </w:rPr>
            </w:pPr>
            <w:r w:rsidRPr="003165DF">
              <w:rPr>
                <w:b/>
              </w:rPr>
              <w:t>Notes</w:t>
            </w:r>
          </w:p>
        </w:tc>
      </w:tr>
      <w:tr w14:paraId="5080C103" w14:textId="77777777" w:rsidTr="00673CF5">
        <w:tblPrEx>
          <w:tblW w:w="0" w:type="auto"/>
          <w:tblLook w:val="04A0"/>
        </w:tblPrEx>
        <w:tc>
          <w:tcPr>
            <w:tcW w:w="1661" w:type="dxa"/>
          </w:tcPr>
          <w:p w:rsidR="00673CF5" w:rsidRPr="003165DF" w:rsidP="00673CF5" w14:paraId="0AA756E7" w14:textId="77777777">
            <w:pPr>
              <w:jc w:val="center"/>
              <w:rPr>
                <w:b/>
              </w:rPr>
            </w:pPr>
            <w:r w:rsidRPr="003165DF">
              <w:t>Refinery</w:t>
            </w:r>
          </w:p>
        </w:tc>
        <w:tc>
          <w:tcPr>
            <w:tcW w:w="1661" w:type="dxa"/>
          </w:tcPr>
          <w:p w:rsidR="00673CF5" w:rsidRPr="003165DF" w:rsidP="00673CF5" w14:paraId="50BD9D68" w14:textId="77777777">
            <w:pPr>
              <w:jc w:val="center"/>
              <w:rPr>
                <w:b/>
              </w:rPr>
            </w:pPr>
            <w:r w:rsidRPr="003165DF">
              <w:t>Texas City</w:t>
            </w:r>
            <w:r w:rsidR="00DF6E29">
              <w:t xml:space="preserve"> TX</w:t>
            </w:r>
          </w:p>
        </w:tc>
        <w:tc>
          <w:tcPr>
            <w:tcW w:w="1662" w:type="dxa"/>
          </w:tcPr>
          <w:p w:rsidR="00673CF5" w:rsidRPr="003165DF" w:rsidP="00673CF5" w14:paraId="154C6F2F" w14:textId="77777777">
            <w:pPr>
              <w:jc w:val="center"/>
              <w:rPr>
                <w:b/>
              </w:rPr>
            </w:pPr>
            <w:r w:rsidRPr="003165DF">
              <w:t>5/30/1978</w:t>
            </w:r>
          </w:p>
        </w:tc>
        <w:tc>
          <w:tcPr>
            <w:tcW w:w="1662" w:type="dxa"/>
          </w:tcPr>
          <w:p w:rsidR="00673CF5" w:rsidRPr="003165DF" w:rsidP="00673CF5" w14:paraId="30520DBB" w14:textId="77777777">
            <w:pPr>
              <w:jc w:val="center"/>
              <w:rPr>
                <w:b/>
              </w:rPr>
            </w:pPr>
            <w:r w:rsidRPr="003165DF">
              <w:t>$2</w:t>
            </w:r>
            <w:r w:rsidR="000C7DD6">
              <w:t>56</w:t>
            </w:r>
          </w:p>
        </w:tc>
        <w:tc>
          <w:tcPr>
            <w:tcW w:w="1662" w:type="dxa"/>
          </w:tcPr>
          <w:p w:rsidR="00673CF5" w:rsidRPr="008864EC" w:rsidP="00673CF5" w14:paraId="56E5867D" w14:textId="77777777">
            <w:pPr>
              <w:jc w:val="center"/>
            </w:pPr>
          </w:p>
        </w:tc>
        <w:tc>
          <w:tcPr>
            <w:tcW w:w="1662" w:type="dxa"/>
          </w:tcPr>
          <w:p w:rsidR="00673CF5" w:rsidRPr="003165DF" w:rsidP="00673CF5" w14:paraId="3E655528" w14:textId="77777777">
            <w:pPr>
              <w:jc w:val="center"/>
              <w:rPr>
                <w:b/>
              </w:rPr>
            </w:pPr>
          </w:p>
        </w:tc>
      </w:tr>
      <w:bookmarkEnd w:id="563"/>
      <w:tr w14:paraId="031370BA" w14:textId="77777777" w:rsidTr="00673CF5">
        <w:tblPrEx>
          <w:tblW w:w="0" w:type="auto"/>
          <w:tblLook w:val="04A0"/>
        </w:tblPrEx>
        <w:tc>
          <w:tcPr>
            <w:tcW w:w="1661" w:type="dxa"/>
          </w:tcPr>
          <w:p w:rsidR="00673CF5" w:rsidRPr="003165DF" w:rsidP="00673CF5" w14:paraId="767975FD" w14:textId="77777777">
            <w:pPr>
              <w:jc w:val="center"/>
              <w:rPr>
                <w:b/>
              </w:rPr>
            </w:pPr>
            <w:r w:rsidRPr="003165DF">
              <w:t>Refinery</w:t>
            </w:r>
          </w:p>
        </w:tc>
        <w:tc>
          <w:tcPr>
            <w:tcW w:w="1661" w:type="dxa"/>
          </w:tcPr>
          <w:p w:rsidR="00673CF5" w:rsidRPr="003165DF" w:rsidP="00673CF5" w14:paraId="2CB06C50" w14:textId="77777777">
            <w:pPr>
              <w:jc w:val="center"/>
              <w:rPr>
                <w:b/>
              </w:rPr>
            </w:pPr>
            <w:r w:rsidRPr="003165DF">
              <w:t>Romeoville</w:t>
            </w:r>
            <w:r w:rsidR="002D63DC">
              <w:t xml:space="preserve"> IL</w:t>
            </w:r>
          </w:p>
        </w:tc>
        <w:tc>
          <w:tcPr>
            <w:tcW w:w="1662" w:type="dxa"/>
          </w:tcPr>
          <w:p w:rsidR="00673CF5" w:rsidRPr="003165DF" w:rsidP="00673CF5" w14:paraId="07380737" w14:textId="77777777">
            <w:pPr>
              <w:jc w:val="center"/>
              <w:rPr>
                <w:b/>
              </w:rPr>
            </w:pPr>
            <w:r w:rsidRPr="003165DF">
              <w:t>7/23/1984</w:t>
            </w:r>
          </w:p>
        </w:tc>
        <w:tc>
          <w:tcPr>
            <w:tcW w:w="1662" w:type="dxa"/>
          </w:tcPr>
          <w:p w:rsidR="00673CF5" w:rsidRPr="003165DF" w:rsidP="00673CF5" w14:paraId="0B798DC5" w14:textId="77777777">
            <w:pPr>
              <w:jc w:val="center"/>
              <w:rPr>
                <w:b/>
              </w:rPr>
            </w:pPr>
            <w:r w:rsidRPr="003165DF">
              <w:t>$</w:t>
            </w:r>
            <w:r w:rsidR="00CC726A">
              <w:t>603</w:t>
            </w:r>
          </w:p>
        </w:tc>
        <w:tc>
          <w:tcPr>
            <w:tcW w:w="1662" w:type="dxa"/>
          </w:tcPr>
          <w:p w:rsidR="00673CF5" w:rsidRPr="008864EC" w:rsidP="00673CF5" w14:paraId="5140684D" w14:textId="77777777">
            <w:pPr>
              <w:jc w:val="center"/>
            </w:pPr>
          </w:p>
        </w:tc>
        <w:tc>
          <w:tcPr>
            <w:tcW w:w="1662" w:type="dxa"/>
          </w:tcPr>
          <w:p w:rsidR="00673CF5" w:rsidRPr="003165DF" w:rsidP="00673CF5" w14:paraId="2EEE327B" w14:textId="77777777">
            <w:pPr>
              <w:jc w:val="center"/>
              <w:rPr>
                <w:b/>
              </w:rPr>
            </w:pPr>
          </w:p>
        </w:tc>
      </w:tr>
      <w:tr w14:paraId="19D9B02E" w14:textId="77777777" w:rsidTr="00673CF5">
        <w:tblPrEx>
          <w:tblW w:w="0" w:type="auto"/>
          <w:tblLook w:val="04A0"/>
        </w:tblPrEx>
        <w:tc>
          <w:tcPr>
            <w:tcW w:w="1661" w:type="dxa"/>
          </w:tcPr>
          <w:p w:rsidR="00673CF5" w:rsidRPr="003165DF" w:rsidP="00673CF5" w14:paraId="1BD85375" w14:textId="77777777">
            <w:pPr>
              <w:jc w:val="center"/>
              <w:rPr>
                <w:b/>
              </w:rPr>
            </w:pPr>
            <w:r w:rsidRPr="003165DF">
              <w:t>Petrochemical</w:t>
            </w:r>
          </w:p>
        </w:tc>
        <w:tc>
          <w:tcPr>
            <w:tcW w:w="1661" w:type="dxa"/>
          </w:tcPr>
          <w:p w:rsidR="00673CF5" w:rsidRPr="003165DF" w:rsidP="00673CF5" w14:paraId="550678B6" w14:textId="77777777">
            <w:pPr>
              <w:jc w:val="center"/>
              <w:rPr>
                <w:b/>
              </w:rPr>
            </w:pPr>
            <w:r w:rsidRPr="003165DF">
              <w:t>Port Neal</w:t>
            </w:r>
            <w:r w:rsidR="0048564F">
              <w:t xml:space="preserve"> IA</w:t>
            </w:r>
          </w:p>
        </w:tc>
        <w:tc>
          <w:tcPr>
            <w:tcW w:w="1662" w:type="dxa"/>
          </w:tcPr>
          <w:p w:rsidR="00673CF5" w:rsidRPr="003165DF" w:rsidP="00673CF5" w14:paraId="7451BA5A" w14:textId="77777777">
            <w:pPr>
              <w:jc w:val="center"/>
              <w:rPr>
                <w:b/>
              </w:rPr>
            </w:pPr>
            <w:r w:rsidRPr="003165DF">
              <w:t>12/13/1994</w:t>
            </w:r>
          </w:p>
        </w:tc>
        <w:tc>
          <w:tcPr>
            <w:tcW w:w="1662" w:type="dxa"/>
          </w:tcPr>
          <w:p w:rsidR="00673CF5" w:rsidRPr="003165DF" w:rsidP="00673CF5" w14:paraId="7E66FF89" w14:textId="77777777">
            <w:pPr>
              <w:jc w:val="center"/>
              <w:rPr>
                <w:b/>
              </w:rPr>
            </w:pPr>
            <w:r w:rsidRPr="003165DF">
              <w:t>$4</w:t>
            </w:r>
            <w:r w:rsidR="00756DDF">
              <w:t>91</w:t>
            </w:r>
          </w:p>
        </w:tc>
        <w:tc>
          <w:tcPr>
            <w:tcW w:w="1662" w:type="dxa"/>
          </w:tcPr>
          <w:p w:rsidR="00673CF5" w:rsidRPr="008864EC" w:rsidP="00673CF5" w14:paraId="506619E3" w14:textId="77777777">
            <w:pPr>
              <w:jc w:val="center"/>
            </w:pPr>
            <w:r>
              <w:rPr>
                <w:bCs/>
              </w:rPr>
              <w:t>$60</w:t>
            </w:r>
          </w:p>
        </w:tc>
        <w:tc>
          <w:tcPr>
            <w:tcW w:w="1662" w:type="dxa"/>
          </w:tcPr>
          <w:p w:rsidR="00673CF5" w:rsidRPr="003165DF" w:rsidP="00673CF5" w14:paraId="77FC01B0" w14:textId="77777777">
            <w:pPr>
              <w:jc w:val="center"/>
              <w:rPr>
                <w:b/>
              </w:rPr>
            </w:pPr>
          </w:p>
        </w:tc>
      </w:tr>
      <w:tr w14:paraId="3CBF51D8" w14:textId="77777777" w:rsidTr="00673CF5">
        <w:tblPrEx>
          <w:tblW w:w="0" w:type="auto"/>
          <w:tblLook w:val="04A0"/>
        </w:tblPrEx>
        <w:tc>
          <w:tcPr>
            <w:tcW w:w="1661" w:type="dxa"/>
          </w:tcPr>
          <w:p w:rsidR="00673CF5" w:rsidRPr="003165DF" w:rsidP="00673CF5" w14:paraId="4F489646" w14:textId="77777777">
            <w:pPr>
              <w:jc w:val="center"/>
              <w:rPr>
                <w:b/>
              </w:rPr>
            </w:pPr>
            <w:r w:rsidRPr="003165DF">
              <w:t>Petrochemical</w:t>
            </w:r>
          </w:p>
        </w:tc>
        <w:tc>
          <w:tcPr>
            <w:tcW w:w="1661" w:type="dxa"/>
          </w:tcPr>
          <w:p w:rsidR="00673CF5" w:rsidRPr="003165DF" w:rsidP="00673CF5" w14:paraId="2EB9D2CC" w14:textId="77777777">
            <w:pPr>
              <w:jc w:val="center"/>
              <w:rPr>
                <w:b/>
              </w:rPr>
            </w:pPr>
            <w:r w:rsidRPr="003165DF">
              <w:t>Pampa</w:t>
            </w:r>
            <w:r w:rsidR="00EF7BF1">
              <w:t xml:space="preserve"> TX</w:t>
            </w:r>
          </w:p>
        </w:tc>
        <w:tc>
          <w:tcPr>
            <w:tcW w:w="1662" w:type="dxa"/>
          </w:tcPr>
          <w:p w:rsidR="00673CF5" w:rsidRPr="003165DF" w:rsidP="00673CF5" w14:paraId="29D8AE02" w14:textId="77777777">
            <w:pPr>
              <w:jc w:val="center"/>
              <w:rPr>
                <w:b/>
              </w:rPr>
            </w:pPr>
            <w:r w:rsidRPr="003165DF">
              <w:t>11/14/1987</w:t>
            </w:r>
          </w:p>
        </w:tc>
        <w:tc>
          <w:tcPr>
            <w:tcW w:w="1662" w:type="dxa"/>
          </w:tcPr>
          <w:p w:rsidR="00673CF5" w:rsidRPr="003165DF" w:rsidP="00673CF5" w14:paraId="78984AA8" w14:textId="77777777">
            <w:pPr>
              <w:jc w:val="center"/>
              <w:rPr>
                <w:b/>
              </w:rPr>
            </w:pPr>
            <w:r w:rsidRPr="003165DF">
              <w:t>$</w:t>
            </w:r>
            <w:r w:rsidR="006E2F6B">
              <w:t>627</w:t>
            </w:r>
          </w:p>
        </w:tc>
        <w:tc>
          <w:tcPr>
            <w:tcW w:w="1662" w:type="dxa"/>
          </w:tcPr>
          <w:p w:rsidR="00673CF5" w:rsidRPr="008864EC" w:rsidP="00673CF5" w14:paraId="0574F743" w14:textId="77777777">
            <w:pPr>
              <w:jc w:val="center"/>
            </w:pPr>
            <w:r w:rsidRPr="003165DF">
              <w:t>$</w:t>
            </w:r>
            <w:r w:rsidRPr="008864EC" w:rsidR="00606789">
              <w:rPr>
                <w:bCs/>
              </w:rPr>
              <w:t>300</w:t>
            </w:r>
          </w:p>
        </w:tc>
        <w:tc>
          <w:tcPr>
            <w:tcW w:w="1662" w:type="dxa"/>
          </w:tcPr>
          <w:p w:rsidR="00673CF5" w:rsidRPr="003165DF" w:rsidP="00673CF5" w14:paraId="733E6BED" w14:textId="77777777">
            <w:pPr>
              <w:jc w:val="center"/>
              <w:rPr>
                <w:b/>
              </w:rPr>
            </w:pPr>
          </w:p>
        </w:tc>
      </w:tr>
      <w:bookmarkEnd w:id="564"/>
      <w:tr w14:paraId="05B012D3" w14:textId="77777777" w:rsidTr="00673CF5">
        <w:tblPrEx>
          <w:tblW w:w="0" w:type="auto"/>
          <w:tblLook w:val="04A0"/>
        </w:tblPrEx>
        <w:tc>
          <w:tcPr>
            <w:tcW w:w="1661" w:type="dxa"/>
          </w:tcPr>
          <w:p w:rsidR="00673CF5" w:rsidRPr="003165DF" w:rsidP="00673CF5" w14:paraId="12B390EE" w14:textId="77777777">
            <w:pPr>
              <w:jc w:val="center"/>
              <w:rPr>
                <w:b/>
              </w:rPr>
            </w:pPr>
            <w:r w:rsidRPr="003165DF">
              <w:t>Petrochemical</w:t>
            </w:r>
          </w:p>
        </w:tc>
        <w:tc>
          <w:tcPr>
            <w:tcW w:w="1661" w:type="dxa"/>
          </w:tcPr>
          <w:p w:rsidR="00673CF5" w:rsidRPr="003165DF" w:rsidP="00673CF5" w14:paraId="0DCBBC8D" w14:textId="77777777">
            <w:pPr>
              <w:jc w:val="center"/>
              <w:rPr>
                <w:b/>
              </w:rPr>
            </w:pPr>
            <w:r w:rsidRPr="003165DF">
              <w:t>Henderson</w:t>
            </w:r>
            <w:r w:rsidR="00EF7BF1">
              <w:t xml:space="preserve"> NV</w:t>
            </w:r>
          </w:p>
        </w:tc>
        <w:tc>
          <w:tcPr>
            <w:tcW w:w="1662" w:type="dxa"/>
          </w:tcPr>
          <w:p w:rsidR="00673CF5" w:rsidRPr="003165DF" w:rsidP="00673CF5" w14:paraId="5C0D28A4" w14:textId="77777777">
            <w:pPr>
              <w:jc w:val="center"/>
              <w:rPr>
                <w:b/>
              </w:rPr>
            </w:pPr>
            <w:r w:rsidRPr="003165DF">
              <w:t>5/4/1988</w:t>
            </w:r>
          </w:p>
        </w:tc>
        <w:tc>
          <w:tcPr>
            <w:tcW w:w="1662" w:type="dxa"/>
          </w:tcPr>
          <w:p w:rsidR="00673CF5" w:rsidRPr="003165DF" w:rsidP="00673CF5" w14:paraId="7FDCF6FD" w14:textId="77777777">
            <w:pPr>
              <w:jc w:val="center"/>
              <w:rPr>
                <w:b/>
              </w:rPr>
            </w:pPr>
            <w:r w:rsidRPr="003165DF">
              <w:t>$</w:t>
            </w:r>
            <w:r w:rsidR="002E4F1B">
              <w:t>841</w:t>
            </w:r>
          </w:p>
        </w:tc>
        <w:tc>
          <w:tcPr>
            <w:tcW w:w="1662" w:type="dxa"/>
          </w:tcPr>
          <w:p w:rsidR="00673CF5" w:rsidRPr="008864EC" w:rsidP="00673CF5" w14:paraId="5AFC38D3" w14:textId="77777777">
            <w:pPr>
              <w:jc w:val="center"/>
            </w:pPr>
          </w:p>
        </w:tc>
        <w:tc>
          <w:tcPr>
            <w:tcW w:w="1662" w:type="dxa"/>
          </w:tcPr>
          <w:p w:rsidR="00673CF5" w:rsidRPr="003165DF" w:rsidP="00B51E8E" w14:paraId="191CECAB" w14:textId="77777777">
            <w:pPr>
              <w:rPr>
                <w:b/>
              </w:rPr>
            </w:pPr>
            <w:r>
              <w:t>P</w:t>
            </w:r>
            <w:r w:rsidRPr="003165DF">
              <w:t>lant destroyed</w:t>
            </w:r>
          </w:p>
        </w:tc>
      </w:tr>
      <w:tr w14:paraId="12A007DB" w14:textId="77777777" w:rsidTr="00673CF5">
        <w:tblPrEx>
          <w:tblW w:w="0" w:type="auto"/>
          <w:tblLook w:val="04A0"/>
        </w:tblPrEx>
        <w:tc>
          <w:tcPr>
            <w:tcW w:w="1661" w:type="dxa"/>
          </w:tcPr>
          <w:p w:rsidR="00673CF5" w:rsidRPr="003165DF" w:rsidP="00673CF5" w14:paraId="4ECECCB1" w14:textId="77777777">
            <w:pPr>
              <w:jc w:val="center"/>
              <w:rPr>
                <w:b/>
              </w:rPr>
            </w:pPr>
            <w:r w:rsidRPr="003165DF">
              <w:t>Refinery</w:t>
            </w:r>
          </w:p>
        </w:tc>
        <w:tc>
          <w:tcPr>
            <w:tcW w:w="1661" w:type="dxa"/>
          </w:tcPr>
          <w:p w:rsidR="00673CF5" w:rsidRPr="003165DF" w:rsidP="00673CF5" w14:paraId="6E8F8A4C" w14:textId="77777777">
            <w:pPr>
              <w:jc w:val="center"/>
              <w:rPr>
                <w:b/>
              </w:rPr>
            </w:pPr>
            <w:r w:rsidRPr="003165DF">
              <w:t>Norco</w:t>
            </w:r>
            <w:r w:rsidR="002D63DC">
              <w:t xml:space="preserve"> LA</w:t>
            </w:r>
          </w:p>
        </w:tc>
        <w:tc>
          <w:tcPr>
            <w:tcW w:w="1662" w:type="dxa"/>
          </w:tcPr>
          <w:p w:rsidR="00673CF5" w:rsidRPr="003165DF" w:rsidP="00673CF5" w14:paraId="13B98A4F" w14:textId="77777777">
            <w:pPr>
              <w:jc w:val="center"/>
              <w:rPr>
                <w:b/>
              </w:rPr>
            </w:pPr>
            <w:r w:rsidRPr="003165DF">
              <w:t>5/5/1988</w:t>
            </w:r>
          </w:p>
        </w:tc>
        <w:tc>
          <w:tcPr>
            <w:tcW w:w="1662" w:type="dxa"/>
          </w:tcPr>
          <w:p w:rsidR="00673CF5" w:rsidRPr="003165DF" w:rsidP="00673CF5" w14:paraId="4FFBC68D" w14:textId="77777777">
            <w:pPr>
              <w:jc w:val="center"/>
              <w:rPr>
                <w:b/>
              </w:rPr>
            </w:pPr>
            <w:r w:rsidRPr="003165DF">
              <w:t>$</w:t>
            </w:r>
            <w:r w:rsidR="00CC31B2">
              <w:t>8</w:t>
            </w:r>
            <w:r w:rsidRPr="003165DF" w:rsidR="00CC31B2">
              <w:t>08</w:t>
            </w:r>
          </w:p>
        </w:tc>
        <w:tc>
          <w:tcPr>
            <w:tcW w:w="1662" w:type="dxa"/>
          </w:tcPr>
          <w:p w:rsidR="00673CF5" w:rsidRPr="008864EC" w:rsidP="00673CF5" w14:paraId="08FCDE80" w14:textId="77777777">
            <w:pPr>
              <w:jc w:val="center"/>
            </w:pPr>
          </w:p>
        </w:tc>
        <w:tc>
          <w:tcPr>
            <w:tcW w:w="1662" w:type="dxa"/>
          </w:tcPr>
          <w:p w:rsidR="00673CF5" w:rsidRPr="003165DF" w:rsidP="00B51E8E" w14:paraId="67F08EB8" w14:textId="77777777">
            <w:pPr>
              <w:rPr>
                <w:b/>
              </w:rPr>
            </w:pPr>
            <w:r>
              <w:t>D</w:t>
            </w:r>
            <w:r w:rsidR="2DD7A18E">
              <w:t>emolished</w:t>
            </w:r>
            <w:r w:rsidRPr="003165DF">
              <w:t xml:space="preserve"> and rebuilt</w:t>
            </w:r>
            <w:r w:rsidR="30F55E48">
              <w:t xml:space="preserve"> unit</w:t>
            </w:r>
          </w:p>
        </w:tc>
      </w:tr>
      <w:tr w14:paraId="5F107AC0" w14:textId="77777777" w:rsidTr="00673CF5">
        <w:tblPrEx>
          <w:tblW w:w="0" w:type="auto"/>
          <w:tblLook w:val="04A0"/>
        </w:tblPrEx>
        <w:tc>
          <w:tcPr>
            <w:tcW w:w="1661" w:type="dxa"/>
          </w:tcPr>
          <w:p w:rsidR="00673CF5" w:rsidRPr="003165DF" w:rsidP="00673CF5" w14:paraId="205A1C53" w14:textId="77777777">
            <w:pPr>
              <w:jc w:val="center"/>
              <w:rPr>
                <w:b/>
              </w:rPr>
            </w:pPr>
            <w:r w:rsidRPr="003165DF">
              <w:t>Refinery</w:t>
            </w:r>
          </w:p>
        </w:tc>
        <w:tc>
          <w:tcPr>
            <w:tcW w:w="1661" w:type="dxa"/>
          </w:tcPr>
          <w:p w:rsidR="00673CF5" w:rsidRPr="003165DF" w:rsidP="00673CF5" w14:paraId="3BFD65BC" w14:textId="77777777">
            <w:pPr>
              <w:jc w:val="center"/>
              <w:rPr>
                <w:b/>
              </w:rPr>
            </w:pPr>
            <w:r w:rsidRPr="003165DF">
              <w:t>Richmond</w:t>
            </w:r>
            <w:r w:rsidR="00FD1390">
              <w:t xml:space="preserve"> CA</w:t>
            </w:r>
          </w:p>
        </w:tc>
        <w:tc>
          <w:tcPr>
            <w:tcW w:w="1662" w:type="dxa"/>
          </w:tcPr>
          <w:p w:rsidR="00673CF5" w:rsidRPr="003165DF" w:rsidP="00673CF5" w14:paraId="03349F03" w14:textId="77777777">
            <w:pPr>
              <w:jc w:val="center"/>
              <w:rPr>
                <w:b/>
              </w:rPr>
            </w:pPr>
            <w:r w:rsidRPr="003165DF">
              <w:t>4/10/1989</w:t>
            </w:r>
          </w:p>
        </w:tc>
        <w:tc>
          <w:tcPr>
            <w:tcW w:w="1662" w:type="dxa"/>
          </w:tcPr>
          <w:p w:rsidR="00673CF5" w:rsidRPr="003165DF" w:rsidP="00673CF5" w14:paraId="14C4F508" w14:textId="77777777">
            <w:pPr>
              <w:jc w:val="center"/>
              <w:rPr>
                <w:b/>
              </w:rPr>
            </w:pPr>
            <w:r w:rsidRPr="003165DF">
              <w:t>$2</w:t>
            </w:r>
            <w:r w:rsidR="008355D1">
              <w:t>46</w:t>
            </w:r>
          </w:p>
        </w:tc>
        <w:tc>
          <w:tcPr>
            <w:tcW w:w="1662" w:type="dxa"/>
          </w:tcPr>
          <w:p w:rsidR="00673CF5" w:rsidRPr="008864EC" w:rsidP="00673CF5" w14:paraId="62F8FD90" w14:textId="77777777">
            <w:pPr>
              <w:jc w:val="center"/>
            </w:pPr>
          </w:p>
        </w:tc>
        <w:tc>
          <w:tcPr>
            <w:tcW w:w="1662" w:type="dxa"/>
          </w:tcPr>
          <w:p w:rsidR="00673CF5" w:rsidRPr="003165DF" w:rsidP="00B51E8E" w14:paraId="05245D00" w14:textId="77777777">
            <w:pPr>
              <w:rPr>
                <w:b/>
              </w:rPr>
            </w:pPr>
            <w:r w:rsidRPr="003165DF">
              <w:t>25% of capacity lost for 5 months</w:t>
            </w:r>
            <w:r w:rsidR="0096410A">
              <w:t xml:space="preserve">, </w:t>
            </w:r>
            <w:r w:rsidR="00756AFB">
              <w:t>uni</w:t>
            </w:r>
            <w:r w:rsidR="009D073E">
              <w:t>t restor</w:t>
            </w:r>
            <w:r w:rsidR="00294345">
              <w:t>ed after</w:t>
            </w:r>
            <w:r w:rsidR="009D073E">
              <w:t xml:space="preserve"> 2 years</w:t>
            </w:r>
          </w:p>
        </w:tc>
      </w:tr>
      <w:tr w14:paraId="4897E763" w14:textId="77777777" w:rsidTr="00673CF5">
        <w:tblPrEx>
          <w:tblW w:w="0" w:type="auto"/>
          <w:tblLook w:val="04A0"/>
        </w:tblPrEx>
        <w:tc>
          <w:tcPr>
            <w:tcW w:w="1661" w:type="dxa"/>
          </w:tcPr>
          <w:p w:rsidR="00673CF5" w:rsidRPr="003165DF" w:rsidP="00673CF5" w14:paraId="164208F8" w14:textId="77777777">
            <w:pPr>
              <w:jc w:val="center"/>
              <w:rPr>
                <w:b/>
              </w:rPr>
            </w:pPr>
            <w:r w:rsidRPr="003165DF">
              <w:t>Petrochemical</w:t>
            </w:r>
          </w:p>
        </w:tc>
        <w:tc>
          <w:tcPr>
            <w:tcW w:w="1661" w:type="dxa"/>
          </w:tcPr>
          <w:p w:rsidR="00673CF5" w:rsidRPr="003165DF" w:rsidP="00673CF5" w14:paraId="7E5ED72D" w14:textId="77777777">
            <w:pPr>
              <w:jc w:val="center"/>
              <w:rPr>
                <w:b/>
              </w:rPr>
            </w:pPr>
            <w:r w:rsidRPr="003165DF">
              <w:t>Pasadena</w:t>
            </w:r>
            <w:r w:rsidR="00AB6D94">
              <w:t xml:space="preserve"> TX</w:t>
            </w:r>
          </w:p>
        </w:tc>
        <w:tc>
          <w:tcPr>
            <w:tcW w:w="1662" w:type="dxa"/>
          </w:tcPr>
          <w:p w:rsidR="00673CF5" w:rsidRPr="003165DF" w:rsidP="00673CF5" w14:paraId="1771C552" w14:textId="77777777">
            <w:pPr>
              <w:jc w:val="center"/>
              <w:rPr>
                <w:b/>
              </w:rPr>
            </w:pPr>
            <w:r w:rsidRPr="003165DF">
              <w:t>10/23/1989</w:t>
            </w:r>
          </w:p>
        </w:tc>
        <w:tc>
          <w:tcPr>
            <w:tcW w:w="1662" w:type="dxa"/>
          </w:tcPr>
          <w:p w:rsidR="00673CF5" w:rsidRPr="003165DF" w:rsidP="00673CF5" w14:paraId="02ABAAE4" w14:textId="77777777">
            <w:pPr>
              <w:jc w:val="center"/>
              <w:rPr>
                <w:b/>
              </w:rPr>
            </w:pPr>
            <w:r w:rsidRPr="003165DF">
              <w:t>$1,</w:t>
            </w:r>
            <w:r w:rsidR="001D0B62">
              <w:t>843</w:t>
            </w:r>
          </w:p>
        </w:tc>
        <w:tc>
          <w:tcPr>
            <w:tcW w:w="1662" w:type="dxa"/>
          </w:tcPr>
          <w:p w:rsidR="00673CF5" w:rsidRPr="008864EC" w:rsidP="00673CF5" w14:paraId="0EC7A6FA" w14:textId="77777777">
            <w:pPr>
              <w:jc w:val="center"/>
            </w:pPr>
            <w:r w:rsidRPr="008864EC">
              <w:rPr>
                <w:bCs/>
              </w:rPr>
              <w:t>$680</w:t>
            </w:r>
          </w:p>
        </w:tc>
        <w:tc>
          <w:tcPr>
            <w:tcW w:w="1662" w:type="dxa"/>
          </w:tcPr>
          <w:p w:rsidR="00673CF5" w:rsidRPr="003165DF" w:rsidP="00B51E8E" w14:paraId="1C5D7681" w14:textId="77777777">
            <w:pPr>
              <w:rPr>
                <w:b/>
              </w:rPr>
            </w:pPr>
            <w:r>
              <w:t>F</w:t>
            </w:r>
            <w:r w:rsidRPr="003165DF">
              <w:t>ull production not restored for 2 years</w:t>
            </w:r>
          </w:p>
        </w:tc>
      </w:tr>
      <w:tr w14:paraId="63D66077" w14:textId="77777777" w:rsidTr="00673CF5">
        <w:tblPrEx>
          <w:tblW w:w="0" w:type="auto"/>
          <w:tblLook w:val="04A0"/>
        </w:tblPrEx>
        <w:tc>
          <w:tcPr>
            <w:tcW w:w="1661" w:type="dxa"/>
          </w:tcPr>
          <w:p w:rsidR="00673CF5" w:rsidRPr="003165DF" w:rsidP="00673CF5" w14:paraId="0694A778" w14:textId="77777777">
            <w:pPr>
              <w:jc w:val="center"/>
              <w:rPr>
                <w:b/>
              </w:rPr>
            </w:pPr>
            <w:r w:rsidRPr="003165DF">
              <w:t>Petrochemical</w:t>
            </w:r>
          </w:p>
        </w:tc>
        <w:tc>
          <w:tcPr>
            <w:tcW w:w="1661" w:type="dxa"/>
          </w:tcPr>
          <w:p w:rsidR="00673CF5" w:rsidRPr="003165DF" w:rsidP="00673CF5" w14:paraId="0FE96CA8" w14:textId="77777777">
            <w:pPr>
              <w:jc w:val="center"/>
              <w:rPr>
                <w:b/>
              </w:rPr>
            </w:pPr>
            <w:r w:rsidRPr="003165DF">
              <w:t>Sea</w:t>
            </w:r>
            <w:r w:rsidR="00C964AF">
              <w:t>d</w:t>
            </w:r>
            <w:r w:rsidRPr="003165DF">
              <w:t>rift</w:t>
            </w:r>
            <w:r w:rsidR="00C964AF">
              <w:t xml:space="preserve"> TX</w:t>
            </w:r>
          </w:p>
        </w:tc>
        <w:tc>
          <w:tcPr>
            <w:tcW w:w="1662" w:type="dxa"/>
          </w:tcPr>
          <w:p w:rsidR="00673CF5" w:rsidRPr="003165DF" w:rsidP="00673CF5" w14:paraId="08FA1624" w14:textId="77777777">
            <w:pPr>
              <w:jc w:val="center"/>
              <w:rPr>
                <w:b/>
              </w:rPr>
            </w:pPr>
            <w:r w:rsidRPr="003165DF">
              <w:t>3/12/1991</w:t>
            </w:r>
          </w:p>
        </w:tc>
        <w:tc>
          <w:tcPr>
            <w:tcW w:w="1662" w:type="dxa"/>
          </w:tcPr>
          <w:p w:rsidR="00673CF5" w:rsidRPr="003165DF" w:rsidP="00673CF5" w14:paraId="7D3023E3" w14:textId="77777777">
            <w:pPr>
              <w:jc w:val="center"/>
              <w:rPr>
                <w:b/>
              </w:rPr>
            </w:pPr>
            <w:r w:rsidRPr="003165DF">
              <w:t>$2</w:t>
            </w:r>
            <w:r w:rsidR="00523669">
              <w:t>35</w:t>
            </w:r>
          </w:p>
        </w:tc>
        <w:tc>
          <w:tcPr>
            <w:tcW w:w="1662" w:type="dxa"/>
          </w:tcPr>
          <w:p w:rsidR="00673CF5" w:rsidRPr="008864EC" w:rsidP="00673CF5" w14:paraId="3ADDC03D" w14:textId="77777777">
            <w:pPr>
              <w:jc w:val="center"/>
            </w:pPr>
            <w:r w:rsidRPr="003165DF">
              <w:t>$165</w:t>
            </w:r>
          </w:p>
        </w:tc>
        <w:tc>
          <w:tcPr>
            <w:tcW w:w="1662" w:type="dxa"/>
          </w:tcPr>
          <w:p w:rsidR="00673CF5" w:rsidRPr="003165DF" w:rsidP="00B51E8E" w14:paraId="6824B8E7" w14:textId="77777777">
            <w:r>
              <w:t>P</w:t>
            </w:r>
            <w:r w:rsidR="2DD7A18E">
              <w:t xml:space="preserve">roduction </w:t>
            </w:r>
            <w:r w:rsidR="77EFBB6E">
              <w:t>reduced</w:t>
            </w:r>
            <w:r w:rsidR="0668A23B">
              <w:t xml:space="preserve"> for one year</w:t>
            </w:r>
          </w:p>
        </w:tc>
      </w:tr>
      <w:tr w14:paraId="5F560BF4" w14:textId="77777777" w:rsidTr="00673CF5">
        <w:tblPrEx>
          <w:tblW w:w="0" w:type="auto"/>
          <w:tblLook w:val="04A0"/>
        </w:tblPrEx>
        <w:tc>
          <w:tcPr>
            <w:tcW w:w="1661" w:type="dxa"/>
          </w:tcPr>
          <w:p w:rsidR="00673CF5" w:rsidRPr="003165DF" w:rsidP="00673CF5" w14:paraId="323F9A4F" w14:textId="77777777">
            <w:pPr>
              <w:jc w:val="center"/>
              <w:rPr>
                <w:b/>
              </w:rPr>
            </w:pPr>
            <w:r w:rsidRPr="003165DF">
              <w:t>Petrochemical</w:t>
            </w:r>
          </w:p>
        </w:tc>
        <w:tc>
          <w:tcPr>
            <w:tcW w:w="1661" w:type="dxa"/>
          </w:tcPr>
          <w:p w:rsidR="00673CF5" w:rsidRPr="003165DF" w:rsidP="00673CF5" w14:paraId="4D0FA3D0" w14:textId="77777777">
            <w:pPr>
              <w:jc w:val="center"/>
              <w:rPr>
                <w:b/>
              </w:rPr>
            </w:pPr>
            <w:r w:rsidRPr="003165DF">
              <w:t>Sterlington</w:t>
            </w:r>
            <w:r w:rsidR="00F6436C">
              <w:t xml:space="preserve"> LA</w:t>
            </w:r>
          </w:p>
        </w:tc>
        <w:tc>
          <w:tcPr>
            <w:tcW w:w="1662" w:type="dxa"/>
          </w:tcPr>
          <w:p w:rsidR="00673CF5" w:rsidRPr="003165DF" w:rsidP="00673CF5" w14:paraId="6C0C379B" w14:textId="77777777">
            <w:pPr>
              <w:jc w:val="center"/>
              <w:rPr>
                <w:b/>
              </w:rPr>
            </w:pPr>
            <w:r w:rsidRPr="003165DF">
              <w:t>5/1/1991</w:t>
            </w:r>
          </w:p>
        </w:tc>
        <w:tc>
          <w:tcPr>
            <w:tcW w:w="1662" w:type="dxa"/>
          </w:tcPr>
          <w:p w:rsidR="00673CF5" w:rsidRPr="003165DF" w:rsidP="00673CF5" w14:paraId="2BBE155E" w14:textId="77777777">
            <w:pPr>
              <w:jc w:val="center"/>
              <w:rPr>
                <w:b/>
              </w:rPr>
            </w:pPr>
            <w:r w:rsidRPr="003165DF">
              <w:t>$</w:t>
            </w:r>
            <w:r w:rsidR="005269AE">
              <w:t>313</w:t>
            </w:r>
          </w:p>
        </w:tc>
        <w:tc>
          <w:tcPr>
            <w:tcW w:w="1662" w:type="dxa"/>
          </w:tcPr>
          <w:p w:rsidR="00673CF5" w:rsidRPr="008864EC" w:rsidP="00673CF5" w14:paraId="36468BE5" w14:textId="77777777">
            <w:pPr>
              <w:jc w:val="center"/>
            </w:pPr>
            <w:r w:rsidRPr="003165DF">
              <w:t>$270</w:t>
            </w:r>
          </w:p>
        </w:tc>
        <w:tc>
          <w:tcPr>
            <w:tcW w:w="1662" w:type="dxa"/>
          </w:tcPr>
          <w:p w:rsidR="00673CF5" w:rsidRPr="003165DF" w:rsidP="00B51E8E" w14:paraId="4B719460" w14:textId="77777777">
            <w:pPr>
              <w:rPr>
                <w:b/>
              </w:rPr>
            </w:pPr>
            <w:r>
              <w:t>O</w:t>
            </w:r>
            <w:r w:rsidRPr="003165DF">
              <w:t>ne unit destroyed</w:t>
            </w:r>
          </w:p>
        </w:tc>
      </w:tr>
      <w:tr w14:paraId="506A3622" w14:textId="77777777" w:rsidTr="00673CF5">
        <w:tblPrEx>
          <w:tblW w:w="0" w:type="auto"/>
          <w:tblLook w:val="04A0"/>
        </w:tblPrEx>
        <w:tc>
          <w:tcPr>
            <w:tcW w:w="1661" w:type="dxa"/>
          </w:tcPr>
          <w:p w:rsidR="00673CF5" w:rsidRPr="003165DF" w:rsidP="00673CF5" w14:paraId="03156AC2" w14:textId="77777777">
            <w:pPr>
              <w:jc w:val="center"/>
              <w:rPr>
                <w:b/>
              </w:rPr>
            </w:pPr>
            <w:r w:rsidRPr="003165DF">
              <w:t>Refinery</w:t>
            </w:r>
          </w:p>
        </w:tc>
        <w:tc>
          <w:tcPr>
            <w:tcW w:w="1661" w:type="dxa"/>
          </w:tcPr>
          <w:p w:rsidR="00673CF5" w:rsidRPr="003165DF" w:rsidP="00673CF5" w14:paraId="67AD4328" w14:textId="77777777">
            <w:pPr>
              <w:jc w:val="center"/>
              <w:rPr>
                <w:b/>
              </w:rPr>
            </w:pPr>
            <w:r w:rsidRPr="003165DF">
              <w:t>Wilmington</w:t>
            </w:r>
            <w:r w:rsidR="000654A4">
              <w:t xml:space="preserve"> CA</w:t>
            </w:r>
          </w:p>
        </w:tc>
        <w:tc>
          <w:tcPr>
            <w:tcW w:w="1662" w:type="dxa"/>
          </w:tcPr>
          <w:p w:rsidR="00673CF5" w:rsidRPr="003165DF" w:rsidP="00673CF5" w14:paraId="7CF63597" w14:textId="77777777">
            <w:pPr>
              <w:jc w:val="center"/>
              <w:rPr>
                <w:b/>
              </w:rPr>
            </w:pPr>
            <w:r w:rsidRPr="003165DF">
              <w:t>10/8/1992</w:t>
            </w:r>
          </w:p>
        </w:tc>
        <w:tc>
          <w:tcPr>
            <w:tcW w:w="1662" w:type="dxa"/>
          </w:tcPr>
          <w:p w:rsidR="00673CF5" w:rsidRPr="003165DF" w:rsidP="00673CF5" w14:paraId="0C72CD75" w14:textId="77777777">
            <w:pPr>
              <w:jc w:val="center"/>
              <w:rPr>
                <w:b/>
              </w:rPr>
            </w:pPr>
            <w:r w:rsidRPr="003165DF">
              <w:t>$</w:t>
            </w:r>
            <w:r w:rsidR="00FC7C06">
              <w:t>200</w:t>
            </w:r>
          </w:p>
        </w:tc>
        <w:tc>
          <w:tcPr>
            <w:tcW w:w="1662" w:type="dxa"/>
          </w:tcPr>
          <w:p w:rsidR="00673CF5" w:rsidRPr="008864EC" w:rsidP="00673CF5" w14:paraId="2B40AEB0" w14:textId="77777777">
            <w:pPr>
              <w:jc w:val="center"/>
            </w:pPr>
          </w:p>
        </w:tc>
        <w:tc>
          <w:tcPr>
            <w:tcW w:w="1662" w:type="dxa"/>
          </w:tcPr>
          <w:p w:rsidR="00673CF5" w:rsidRPr="003165DF" w:rsidP="00B51E8E" w14:paraId="6B7A5DB7" w14:textId="77777777">
            <w:pPr>
              <w:rPr>
                <w:b/>
              </w:rPr>
            </w:pPr>
            <w:r>
              <w:t>P</w:t>
            </w:r>
            <w:r w:rsidRPr="003165DF">
              <w:t xml:space="preserve">roduction reduced by </w:t>
            </w:r>
            <w:r w:rsidR="00895D32">
              <w:t>53%</w:t>
            </w:r>
            <w:r w:rsidR="00E35CCA">
              <w:t xml:space="preserve"> </w:t>
            </w:r>
            <w:r w:rsidR="009D0063">
              <w:t>max capacity</w:t>
            </w:r>
            <w:r w:rsidRPr="003165DF">
              <w:t xml:space="preserve"> for 7 months</w:t>
            </w:r>
          </w:p>
        </w:tc>
      </w:tr>
      <w:tr w14:paraId="5876B3BB" w14:textId="77777777" w:rsidTr="00673CF5">
        <w:tblPrEx>
          <w:tblW w:w="0" w:type="auto"/>
          <w:tblLook w:val="04A0"/>
        </w:tblPrEx>
        <w:tc>
          <w:tcPr>
            <w:tcW w:w="1661" w:type="dxa"/>
          </w:tcPr>
          <w:p w:rsidR="00673CF5" w:rsidRPr="003165DF" w:rsidP="00673CF5" w14:paraId="15AB8B8C" w14:textId="77777777">
            <w:pPr>
              <w:jc w:val="center"/>
              <w:rPr>
                <w:b/>
              </w:rPr>
            </w:pPr>
            <w:r w:rsidRPr="003165DF">
              <w:t>Petrochemical</w:t>
            </w:r>
          </w:p>
        </w:tc>
        <w:tc>
          <w:tcPr>
            <w:tcW w:w="1661" w:type="dxa"/>
          </w:tcPr>
          <w:p w:rsidR="00673CF5" w:rsidRPr="003165DF" w:rsidP="00673CF5" w14:paraId="7115417D" w14:textId="77777777">
            <w:pPr>
              <w:jc w:val="center"/>
              <w:rPr>
                <w:b/>
              </w:rPr>
            </w:pPr>
            <w:r w:rsidRPr="003165DF">
              <w:t>Belpre</w:t>
            </w:r>
            <w:r w:rsidR="00EF6340">
              <w:t xml:space="preserve"> OH</w:t>
            </w:r>
          </w:p>
        </w:tc>
        <w:tc>
          <w:tcPr>
            <w:tcW w:w="1662" w:type="dxa"/>
          </w:tcPr>
          <w:p w:rsidR="00673CF5" w:rsidRPr="003165DF" w:rsidP="00673CF5" w14:paraId="577E4B20" w14:textId="77777777">
            <w:pPr>
              <w:jc w:val="center"/>
              <w:rPr>
                <w:b/>
              </w:rPr>
            </w:pPr>
            <w:r w:rsidRPr="003165DF">
              <w:t>5/27/1994</w:t>
            </w:r>
          </w:p>
        </w:tc>
        <w:tc>
          <w:tcPr>
            <w:tcW w:w="1662" w:type="dxa"/>
          </w:tcPr>
          <w:p w:rsidR="00673CF5" w:rsidRPr="003165DF" w:rsidP="00673CF5" w14:paraId="2314E810" w14:textId="77777777">
            <w:pPr>
              <w:jc w:val="center"/>
              <w:rPr>
                <w:b/>
              </w:rPr>
            </w:pPr>
            <w:r w:rsidRPr="003165DF">
              <w:t>$</w:t>
            </w:r>
            <w:r w:rsidR="00996846">
              <w:t>440</w:t>
            </w:r>
          </w:p>
        </w:tc>
        <w:tc>
          <w:tcPr>
            <w:tcW w:w="1662" w:type="dxa"/>
          </w:tcPr>
          <w:p w:rsidR="00673CF5" w:rsidRPr="008864EC" w:rsidP="00673CF5" w14:paraId="741774B1" w14:textId="77777777">
            <w:pPr>
              <w:jc w:val="center"/>
            </w:pPr>
          </w:p>
        </w:tc>
        <w:tc>
          <w:tcPr>
            <w:tcW w:w="1662" w:type="dxa"/>
          </w:tcPr>
          <w:p w:rsidR="00673CF5" w:rsidRPr="003165DF" w:rsidP="00B51E8E" w14:paraId="42E4A40F" w14:textId="77777777">
            <w:pPr>
              <w:rPr>
                <w:b/>
              </w:rPr>
            </w:pPr>
            <w:r>
              <w:t>P</w:t>
            </w:r>
            <w:r w:rsidRPr="003165DF">
              <w:t>roduction unit destroyed</w:t>
            </w:r>
          </w:p>
        </w:tc>
      </w:tr>
      <w:tr w14:paraId="716A51DC" w14:textId="77777777" w:rsidTr="00673CF5">
        <w:tblPrEx>
          <w:tblW w:w="0" w:type="auto"/>
          <w:tblLook w:val="04A0"/>
        </w:tblPrEx>
        <w:tc>
          <w:tcPr>
            <w:tcW w:w="1661" w:type="dxa"/>
          </w:tcPr>
          <w:p w:rsidR="00673CF5" w:rsidRPr="003165DF" w:rsidP="00673CF5" w14:paraId="5CD9F66E" w14:textId="77777777">
            <w:pPr>
              <w:jc w:val="center"/>
              <w:rPr>
                <w:b/>
              </w:rPr>
            </w:pPr>
            <w:r w:rsidRPr="003165DF">
              <w:t>Petrochemical</w:t>
            </w:r>
          </w:p>
        </w:tc>
        <w:tc>
          <w:tcPr>
            <w:tcW w:w="1661" w:type="dxa"/>
          </w:tcPr>
          <w:p w:rsidR="00673CF5" w:rsidRPr="003165DF" w:rsidP="00673CF5" w14:paraId="30CFD093" w14:textId="77777777">
            <w:pPr>
              <w:jc w:val="center"/>
              <w:rPr>
                <w:b/>
              </w:rPr>
            </w:pPr>
            <w:r w:rsidRPr="003165DF">
              <w:t>Cedar Bayou</w:t>
            </w:r>
            <w:r w:rsidR="007E60FF">
              <w:t xml:space="preserve"> TX</w:t>
            </w:r>
          </w:p>
        </w:tc>
        <w:tc>
          <w:tcPr>
            <w:tcW w:w="1662" w:type="dxa"/>
          </w:tcPr>
          <w:p w:rsidR="00673CF5" w:rsidRPr="003165DF" w:rsidP="00673CF5" w14:paraId="2F815F7C" w14:textId="77777777">
            <w:pPr>
              <w:jc w:val="center"/>
              <w:rPr>
                <w:b/>
              </w:rPr>
            </w:pPr>
            <w:r w:rsidRPr="003165DF">
              <w:t>10/20/1994</w:t>
            </w:r>
          </w:p>
        </w:tc>
        <w:tc>
          <w:tcPr>
            <w:tcW w:w="1662" w:type="dxa"/>
          </w:tcPr>
          <w:p w:rsidR="00673CF5" w:rsidRPr="003165DF" w:rsidP="00673CF5" w14:paraId="1138E7D9" w14:textId="77777777">
            <w:pPr>
              <w:jc w:val="center"/>
              <w:rPr>
                <w:b/>
              </w:rPr>
            </w:pPr>
            <w:r w:rsidRPr="003165DF">
              <w:t>$</w:t>
            </w:r>
            <w:r w:rsidR="000B3379">
              <w:t>315</w:t>
            </w:r>
          </w:p>
        </w:tc>
        <w:tc>
          <w:tcPr>
            <w:tcW w:w="1662" w:type="dxa"/>
          </w:tcPr>
          <w:p w:rsidR="00673CF5" w:rsidRPr="008864EC" w:rsidP="00673CF5" w14:paraId="4F233477" w14:textId="77777777">
            <w:pPr>
              <w:jc w:val="center"/>
            </w:pPr>
          </w:p>
        </w:tc>
        <w:tc>
          <w:tcPr>
            <w:tcW w:w="1662" w:type="dxa"/>
          </w:tcPr>
          <w:p w:rsidR="00673CF5" w:rsidRPr="003165DF" w:rsidP="00B51E8E" w14:paraId="14A0A1C2" w14:textId="77777777">
            <w:pPr>
              <w:rPr>
                <w:b/>
              </w:rPr>
            </w:pPr>
            <w:r>
              <w:t>I</w:t>
            </w:r>
            <w:r w:rsidRPr="003165DF">
              <w:t>ncludes business loss</w:t>
            </w:r>
          </w:p>
        </w:tc>
      </w:tr>
      <w:tr w14:paraId="21E6A607" w14:textId="77777777" w:rsidTr="00673CF5">
        <w:tblPrEx>
          <w:tblW w:w="0" w:type="auto"/>
          <w:tblLook w:val="04A0"/>
        </w:tblPrEx>
        <w:tc>
          <w:tcPr>
            <w:tcW w:w="1661" w:type="dxa"/>
          </w:tcPr>
          <w:p w:rsidR="00673CF5" w:rsidRPr="003165DF" w:rsidP="00673CF5" w14:paraId="16D36294" w14:textId="77777777">
            <w:pPr>
              <w:jc w:val="center"/>
              <w:rPr>
                <w:b/>
              </w:rPr>
            </w:pPr>
            <w:r>
              <w:t>Refinery</w:t>
            </w:r>
          </w:p>
        </w:tc>
        <w:tc>
          <w:tcPr>
            <w:tcW w:w="1661" w:type="dxa"/>
          </w:tcPr>
          <w:p w:rsidR="00673CF5" w:rsidRPr="003165DF" w:rsidP="00673CF5" w14:paraId="467992C5" w14:textId="77777777">
            <w:pPr>
              <w:jc w:val="center"/>
              <w:rPr>
                <w:b/>
              </w:rPr>
            </w:pPr>
            <w:r>
              <w:t>Pascagoula MS</w:t>
            </w:r>
          </w:p>
        </w:tc>
        <w:tc>
          <w:tcPr>
            <w:tcW w:w="1662" w:type="dxa"/>
          </w:tcPr>
          <w:p w:rsidR="00673CF5" w:rsidRPr="003165DF" w:rsidP="00673CF5" w14:paraId="41006296" w14:textId="77777777">
            <w:pPr>
              <w:jc w:val="center"/>
              <w:rPr>
                <w:b/>
              </w:rPr>
            </w:pPr>
            <w:r>
              <w:t>8/16/2007</w:t>
            </w:r>
          </w:p>
        </w:tc>
        <w:tc>
          <w:tcPr>
            <w:tcW w:w="1662" w:type="dxa"/>
          </w:tcPr>
          <w:p w:rsidR="00673CF5" w:rsidRPr="003165DF" w:rsidP="00673CF5" w14:paraId="46D2F839" w14:textId="77777777">
            <w:pPr>
              <w:jc w:val="center"/>
              <w:rPr>
                <w:b/>
              </w:rPr>
            </w:pPr>
            <w:r w:rsidRPr="003165DF">
              <w:t>$3</w:t>
            </w:r>
            <w:r w:rsidR="004854FB">
              <w:t>1</w:t>
            </w:r>
            <w:r w:rsidRPr="003165DF">
              <w:t>0</w:t>
            </w:r>
          </w:p>
        </w:tc>
        <w:tc>
          <w:tcPr>
            <w:tcW w:w="1662" w:type="dxa"/>
          </w:tcPr>
          <w:p w:rsidR="00673CF5" w:rsidRPr="008864EC" w:rsidP="00673CF5" w14:paraId="2689737B" w14:textId="77777777">
            <w:pPr>
              <w:jc w:val="center"/>
            </w:pPr>
          </w:p>
        </w:tc>
        <w:tc>
          <w:tcPr>
            <w:tcW w:w="1662" w:type="dxa"/>
          </w:tcPr>
          <w:p w:rsidR="00673CF5" w:rsidRPr="00C54A44" w:rsidP="00B51E8E" w14:paraId="0220082F" w14:textId="77777777">
            <w:r>
              <w:rPr>
                <w:bCs/>
              </w:rPr>
              <w:t>Major portion continued to operate</w:t>
            </w:r>
          </w:p>
        </w:tc>
      </w:tr>
      <w:tr w14:paraId="721DC2F4" w14:textId="77777777" w:rsidTr="00673CF5">
        <w:tblPrEx>
          <w:tblW w:w="0" w:type="auto"/>
          <w:tblLook w:val="04A0"/>
        </w:tblPrEx>
        <w:tc>
          <w:tcPr>
            <w:tcW w:w="1661" w:type="dxa"/>
          </w:tcPr>
          <w:p w:rsidR="00673CF5" w:rsidRPr="003165DF" w:rsidP="00673CF5" w14:paraId="287C21CE" w14:textId="77777777">
            <w:pPr>
              <w:jc w:val="center"/>
              <w:rPr>
                <w:b/>
              </w:rPr>
            </w:pPr>
            <w:r w:rsidRPr="003165DF">
              <w:t>Petrochemical</w:t>
            </w:r>
          </w:p>
        </w:tc>
        <w:tc>
          <w:tcPr>
            <w:tcW w:w="1661" w:type="dxa"/>
          </w:tcPr>
          <w:p w:rsidR="00673CF5" w:rsidRPr="003165DF" w:rsidP="00673CF5" w14:paraId="3D299C5A" w14:textId="77777777">
            <w:pPr>
              <w:jc w:val="center"/>
              <w:rPr>
                <w:b/>
              </w:rPr>
            </w:pPr>
            <w:r w:rsidRPr="003165DF">
              <w:t>Deer Park</w:t>
            </w:r>
            <w:r w:rsidR="00BF7953">
              <w:t xml:space="preserve"> TX</w:t>
            </w:r>
          </w:p>
        </w:tc>
        <w:tc>
          <w:tcPr>
            <w:tcW w:w="1662" w:type="dxa"/>
          </w:tcPr>
          <w:p w:rsidR="00673CF5" w:rsidRPr="003165DF" w:rsidP="00673CF5" w14:paraId="005FEB3C" w14:textId="77777777">
            <w:pPr>
              <w:jc w:val="center"/>
              <w:rPr>
                <w:b/>
              </w:rPr>
            </w:pPr>
            <w:r w:rsidRPr="003165DF">
              <w:t>6/22/1997</w:t>
            </w:r>
          </w:p>
        </w:tc>
        <w:tc>
          <w:tcPr>
            <w:tcW w:w="1662" w:type="dxa"/>
          </w:tcPr>
          <w:p w:rsidR="00673CF5" w:rsidRPr="003165DF" w:rsidP="00673CF5" w14:paraId="7AD01BA9" w14:textId="77777777">
            <w:pPr>
              <w:jc w:val="center"/>
              <w:rPr>
                <w:b/>
              </w:rPr>
            </w:pPr>
            <w:r w:rsidRPr="003165DF">
              <w:t>$</w:t>
            </w:r>
            <w:r w:rsidR="00BF7953">
              <w:t>304</w:t>
            </w:r>
          </w:p>
        </w:tc>
        <w:tc>
          <w:tcPr>
            <w:tcW w:w="1662" w:type="dxa"/>
          </w:tcPr>
          <w:p w:rsidR="00673CF5" w:rsidRPr="008864EC" w:rsidP="00673CF5" w14:paraId="1CC20B73" w14:textId="77777777">
            <w:pPr>
              <w:jc w:val="center"/>
            </w:pPr>
          </w:p>
        </w:tc>
        <w:tc>
          <w:tcPr>
            <w:tcW w:w="1662" w:type="dxa"/>
          </w:tcPr>
          <w:p w:rsidR="00673CF5" w:rsidRPr="00472FB4" w:rsidP="00B51E8E" w14:paraId="5B3DEF9A" w14:textId="77777777">
            <w:r>
              <w:rPr>
                <w:bCs/>
              </w:rPr>
              <w:t>Unit shut down for 10 months</w:t>
            </w:r>
          </w:p>
        </w:tc>
      </w:tr>
      <w:tr w14:paraId="4BE48227" w14:textId="77777777" w:rsidTr="00673CF5">
        <w:tblPrEx>
          <w:tblW w:w="0" w:type="auto"/>
          <w:tblLook w:val="04A0"/>
        </w:tblPrEx>
        <w:tc>
          <w:tcPr>
            <w:tcW w:w="1661" w:type="dxa"/>
          </w:tcPr>
          <w:p w:rsidR="00673CF5" w:rsidRPr="003165DF" w:rsidP="00673CF5" w14:paraId="7ACD0CF0" w14:textId="77777777">
            <w:pPr>
              <w:jc w:val="center"/>
              <w:rPr>
                <w:b/>
              </w:rPr>
            </w:pPr>
            <w:r w:rsidRPr="003165DF">
              <w:t>Refinery</w:t>
            </w:r>
          </w:p>
        </w:tc>
        <w:tc>
          <w:tcPr>
            <w:tcW w:w="1661" w:type="dxa"/>
          </w:tcPr>
          <w:p w:rsidR="00673CF5" w:rsidRPr="003165DF" w:rsidP="00673CF5" w14:paraId="27764E99" w14:textId="77777777">
            <w:pPr>
              <w:jc w:val="center"/>
              <w:rPr>
                <w:b/>
              </w:rPr>
            </w:pPr>
            <w:r w:rsidRPr="003165DF">
              <w:t>Richmond</w:t>
            </w:r>
            <w:r w:rsidR="00A57722">
              <w:t xml:space="preserve"> CA</w:t>
            </w:r>
          </w:p>
        </w:tc>
        <w:tc>
          <w:tcPr>
            <w:tcW w:w="1662" w:type="dxa"/>
          </w:tcPr>
          <w:p w:rsidR="00673CF5" w:rsidRPr="003165DF" w:rsidP="00673CF5" w14:paraId="00B1FD5B" w14:textId="77777777">
            <w:pPr>
              <w:jc w:val="center"/>
              <w:rPr>
                <w:b/>
              </w:rPr>
            </w:pPr>
            <w:r w:rsidRPr="003165DF">
              <w:t>3/25/1999</w:t>
            </w:r>
          </w:p>
        </w:tc>
        <w:tc>
          <w:tcPr>
            <w:tcW w:w="1662" w:type="dxa"/>
          </w:tcPr>
          <w:p w:rsidR="00673CF5" w:rsidRPr="003165DF" w:rsidP="00673CF5" w14:paraId="47514142" w14:textId="77777777">
            <w:pPr>
              <w:jc w:val="center"/>
              <w:rPr>
                <w:b/>
              </w:rPr>
            </w:pPr>
            <w:r w:rsidRPr="003165DF">
              <w:t>$2</w:t>
            </w:r>
            <w:r w:rsidR="00A9589E">
              <w:t>4</w:t>
            </w:r>
            <w:r w:rsidRPr="003165DF">
              <w:t>8</w:t>
            </w:r>
          </w:p>
        </w:tc>
        <w:tc>
          <w:tcPr>
            <w:tcW w:w="1662" w:type="dxa"/>
          </w:tcPr>
          <w:p w:rsidR="00673CF5" w:rsidRPr="008864EC" w:rsidP="00673CF5" w14:paraId="13415979" w14:textId="77777777">
            <w:pPr>
              <w:jc w:val="center"/>
            </w:pPr>
            <w:r>
              <w:rPr>
                <w:bCs/>
              </w:rPr>
              <w:t>$240</w:t>
            </w:r>
          </w:p>
        </w:tc>
        <w:tc>
          <w:tcPr>
            <w:tcW w:w="1662" w:type="dxa"/>
          </w:tcPr>
          <w:p w:rsidR="00673CF5" w:rsidRPr="003165DF" w:rsidP="00B51E8E" w14:paraId="4D122364" w14:textId="77777777">
            <w:pPr>
              <w:rPr>
                <w:b/>
              </w:rPr>
            </w:pPr>
            <w:r>
              <w:t>U</w:t>
            </w:r>
            <w:r w:rsidRPr="003165DF">
              <w:t xml:space="preserve">nit shut down for </w:t>
            </w:r>
            <w:r w:rsidR="00B51E8E">
              <w:t>one</w:t>
            </w:r>
            <w:r w:rsidR="190B226C">
              <w:t xml:space="preserve"> </w:t>
            </w:r>
            <w:r w:rsidR="2DD7A18E">
              <w:t>year</w:t>
            </w:r>
          </w:p>
        </w:tc>
      </w:tr>
      <w:tr w14:paraId="2E92061E" w14:textId="77777777" w:rsidTr="00673CF5">
        <w:tblPrEx>
          <w:tblW w:w="0" w:type="auto"/>
          <w:tblLook w:val="04A0"/>
        </w:tblPrEx>
        <w:tc>
          <w:tcPr>
            <w:tcW w:w="1661" w:type="dxa"/>
          </w:tcPr>
          <w:p w:rsidR="00673CF5" w:rsidRPr="003165DF" w:rsidP="00673CF5" w14:paraId="1861EF4E" w14:textId="77777777">
            <w:pPr>
              <w:jc w:val="center"/>
              <w:rPr>
                <w:b/>
              </w:rPr>
            </w:pPr>
            <w:r w:rsidRPr="003165DF">
              <w:t>Refinery</w:t>
            </w:r>
          </w:p>
        </w:tc>
        <w:tc>
          <w:tcPr>
            <w:tcW w:w="1661" w:type="dxa"/>
          </w:tcPr>
          <w:p w:rsidR="00673CF5" w:rsidRPr="003165DF" w:rsidP="00673CF5" w14:paraId="002654B6" w14:textId="77777777">
            <w:pPr>
              <w:jc w:val="center"/>
              <w:rPr>
                <w:b/>
              </w:rPr>
            </w:pPr>
            <w:r w:rsidRPr="003165DF">
              <w:t>Carson City</w:t>
            </w:r>
            <w:r w:rsidR="00FD1390">
              <w:t xml:space="preserve"> CA</w:t>
            </w:r>
          </w:p>
        </w:tc>
        <w:tc>
          <w:tcPr>
            <w:tcW w:w="1662" w:type="dxa"/>
          </w:tcPr>
          <w:p w:rsidR="00673CF5" w:rsidRPr="003165DF" w:rsidP="00673CF5" w14:paraId="598C87A2" w14:textId="77777777">
            <w:pPr>
              <w:jc w:val="center"/>
              <w:rPr>
                <w:b/>
              </w:rPr>
            </w:pPr>
            <w:r w:rsidRPr="003165DF">
              <w:t>4/23/2001</w:t>
            </w:r>
          </w:p>
        </w:tc>
        <w:tc>
          <w:tcPr>
            <w:tcW w:w="1662" w:type="dxa"/>
          </w:tcPr>
          <w:p w:rsidR="00673CF5" w:rsidRPr="003165DF" w:rsidP="00673CF5" w14:paraId="7F3C308F" w14:textId="77777777">
            <w:pPr>
              <w:jc w:val="center"/>
              <w:rPr>
                <w:b/>
              </w:rPr>
            </w:pPr>
            <w:r w:rsidRPr="003165DF">
              <w:t>$2</w:t>
            </w:r>
            <w:r w:rsidR="00844139">
              <w:t>48</w:t>
            </w:r>
          </w:p>
        </w:tc>
        <w:tc>
          <w:tcPr>
            <w:tcW w:w="1662" w:type="dxa"/>
          </w:tcPr>
          <w:p w:rsidR="00673CF5" w:rsidRPr="008864EC" w:rsidP="00673CF5" w14:paraId="431FDCF4" w14:textId="77777777">
            <w:pPr>
              <w:jc w:val="center"/>
            </w:pPr>
          </w:p>
        </w:tc>
        <w:tc>
          <w:tcPr>
            <w:tcW w:w="1662" w:type="dxa"/>
          </w:tcPr>
          <w:p w:rsidR="00673CF5" w:rsidRPr="003165DF" w:rsidP="00B51E8E" w14:paraId="386C51FC" w14:textId="77777777">
            <w:pPr>
              <w:rPr>
                <w:b/>
              </w:rPr>
            </w:pPr>
            <w:r>
              <w:t>U</w:t>
            </w:r>
            <w:r w:rsidRPr="003165DF">
              <w:t>nit shut down for 2 months</w:t>
            </w:r>
          </w:p>
        </w:tc>
      </w:tr>
      <w:tr w14:paraId="132213EA" w14:textId="77777777" w:rsidTr="00673CF5">
        <w:tblPrEx>
          <w:tblW w:w="0" w:type="auto"/>
          <w:tblLook w:val="04A0"/>
        </w:tblPrEx>
        <w:tc>
          <w:tcPr>
            <w:tcW w:w="1661" w:type="dxa"/>
          </w:tcPr>
          <w:p w:rsidR="00673CF5" w:rsidRPr="003165DF" w:rsidP="00673CF5" w14:paraId="33017102" w14:textId="77777777">
            <w:pPr>
              <w:jc w:val="center"/>
              <w:rPr>
                <w:b/>
              </w:rPr>
            </w:pPr>
            <w:r w:rsidRPr="003165DF">
              <w:t>Refinery</w:t>
            </w:r>
          </w:p>
        </w:tc>
        <w:tc>
          <w:tcPr>
            <w:tcW w:w="1661" w:type="dxa"/>
          </w:tcPr>
          <w:p w:rsidR="00673CF5" w:rsidRPr="003165DF" w:rsidP="00673CF5" w14:paraId="595937D6" w14:textId="77777777">
            <w:pPr>
              <w:jc w:val="center"/>
              <w:rPr>
                <w:b/>
              </w:rPr>
            </w:pPr>
            <w:r w:rsidRPr="003165DF">
              <w:t>Lemont IL</w:t>
            </w:r>
          </w:p>
        </w:tc>
        <w:tc>
          <w:tcPr>
            <w:tcW w:w="1662" w:type="dxa"/>
          </w:tcPr>
          <w:p w:rsidR="00673CF5" w:rsidRPr="003165DF" w:rsidP="00673CF5" w14:paraId="4EBFEBFA" w14:textId="77777777">
            <w:pPr>
              <w:jc w:val="center"/>
              <w:rPr>
                <w:b/>
              </w:rPr>
            </w:pPr>
            <w:r w:rsidRPr="003165DF">
              <w:t>8/14/2001</w:t>
            </w:r>
          </w:p>
        </w:tc>
        <w:tc>
          <w:tcPr>
            <w:tcW w:w="1662" w:type="dxa"/>
          </w:tcPr>
          <w:p w:rsidR="00673CF5" w:rsidRPr="003165DF" w:rsidP="00673CF5" w14:paraId="33CCAA7E" w14:textId="77777777">
            <w:pPr>
              <w:jc w:val="center"/>
              <w:rPr>
                <w:b/>
              </w:rPr>
            </w:pPr>
            <w:r w:rsidRPr="003165DF">
              <w:t>$</w:t>
            </w:r>
            <w:r w:rsidR="00A103DC">
              <w:t>589</w:t>
            </w:r>
          </w:p>
        </w:tc>
        <w:tc>
          <w:tcPr>
            <w:tcW w:w="1662" w:type="dxa"/>
          </w:tcPr>
          <w:p w:rsidR="00673CF5" w:rsidRPr="008864EC" w:rsidP="00673CF5" w14:paraId="4DB560FD" w14:textId="77777777">
            <w:pPr>
              <w:jc w:val="center"/>
            </w:pPr>
            <w:r w:rsidRPr="008864EC">
              <w:rPr>
                <w:bCs/>
              </w:rPr>
              <w:t>$330</w:t>
            </w:r>
          </w:p>
        </w:tc>
        <w:tc>
          <w:tcPr>
            <w:tcW w:w="1662" w:type="dxa"/>
          </w:tcPr>
          <w:p w:rsidR="00673CF5" w:rsidRPr="003165DF" w:rsidP="00B51E8E" w14:paraId="4256B31C" w14:textId="77777777">
            <w:pPr>
              <w:rPr>
                <w:b/>
              </w:rPr>
            </w:pPr>
            <w:r>
              <w:t>U</w:t>
            </w:r>
            <w:r w:rsidRPr="003165DF">
              <w:t xml:space="preserve">nit shut down for </w:t>
            </w:r>
            <w:r w:rsidR="00B51E8E">
              <w:t xml:space="preserve">one </w:t>
            </w:r>
            <w:r w:rsidRPr="003165DF">
              <w:t>year</w:t>
            </w:r>
          </w:p>
        </w:tc>
      </w:tr>
      <w:tr w14:paraId="70DB8478" w14:textId="77777777" w:rsidTr="00673CF5">
        <w:tblPrEx>
          <w:tblW w:w="0" w:type="auto"/>
          <w:tblLook w:val="04A0"/>
        </w:tblPrEx>
        <w:tc>
          <w:tcPr>
            <w:tcW w:w="1661" w:type="dxa"/>
          </w:tcPr>
          <w:p w:rsidR="00673CF5" w:rsidRPr="003165DF" w:rsidP="00673CF5" w14:paraId="1D62AA36" w14:textId="77777777">
            <w:pPr>
              <w:jc w:val="center"/>
              <w:rPr>
                <w:b/>
              </w:rPr>
            </w:pPr>
            <w:r w:rsidRPr="003165DF">
              <w:t>Petrochemical</w:t>
            </w:r>
          </w:p>
        </w:tc>
        <w:tc>
          <w:tcPr>
            <w:tcW w:w="1661" w:type="dxa"/>
          </w:tcPr>
          <w:p w:rsidR="00673CF5" w:rsidRPr="003165DF" w:rsidP="00673CF5" w14:paraId="6D28A7EA" w14:textId="77777777">
            <w:pPr>
              <w:jc w:val="center"/>
              <w:rPr>
                <w:b/>
              </w:rPr>
            </w:pPr>
            <w:r w:rsidRPr="003165DF">
              <w:t>Illiopolis</w:t>
            </w:r>
            <w:r w:rsidR="0014284C">
              <w:t xml:space="preserve"> IL</w:t>
            </w:r>
          </w:p>
        </w:tc>
        <w:tc>
          <w:tcPr>
            <w:tcW w:w="1662" w:type="dxa"/>
          </w:tcPr>
          <w:p w:rsidR="00673CF5" w:rsidRPr="003165DF" w:rsidP="00673CF5" w14:paraId="4BBEB517" w14:textId="77777777">
            <w:pPr>
              <w:jc w:val="center"/>
              <w:rPr>
                <w:b/>
              </w:rPr>
            </w:pPr>
            <w:r w:rsidRPr="003165DF">
              <w:t>4/23/2004</w:t>
            </w:r>
          </w:p>
        </w:tc>
        <w:tc>
          <w:tcPr>
            <w:tcW w:w="1662" w:type="dxa"/>
          </w:tcPr>
          <w:p w:rsidR="00673CF5" w:rsidRPr="003165DF" w:rsidP="00673CF5" w14:paraId="6E362193" w14:textId="77777777">
            <w:pPr>
              <w:jc w:val="center"/>
              <w:rPr>
                <w:b/>
              </w:rPr>
            </w:pPr>
            <w:r w:rsidRPr="003165DF">
              <w:t>$2</w:t>
            </w:r>
            <w:r w:rsidR="00F36F1C">
              <w:t>68</w:t>
            </w:r>
          </w:p>
        </w:tc>
        <w:tc>
          <w:tcPr>
            <w:tcW w:w="1662" w:type="dxa"/>
          </w:tcPr>
          <w:p w:rsidR="00673CF5" w:rsidRPr="008864EC" w:rsidP="00673CF5" w14:paraId="2DB2E5A9" w14:textId="77777777">
            <w:pPr>
              <w:jc w:val="center"/>
            </w:pPr>
          </w:p>
        </w:tc>
        <w:tc>
          <w:tcPr>
            <w:tcW w:w="1662" w:type="dxa"/>
          </w:tcPr>
          <w:p w:rsidR="00673CF5" w:rsidRPr="003165DF" w:rsidP="00B51E8E" w14:paraId="4321558B" w14:textId="77777777">
            <w:pPr>
              <w:rPr>
                <w:b/>
              </w:rPr>
            </w:pPr>
            <w:r>
              <w:t>Up to 75%</w:t>
            </w:r>
            <w:r w:rsidRPr="003165DF">
              <w:t xml:space="preserve"> of plant destroyed</w:t>
            </w:r>
          </w:p>
        </w:tc>
      </w:tr>
      <w:tr w14:paraId="12B98A43" w14:textId="77777777" w:rsidTr="00673CF5">
        <w:tblPrEx>
          <w:tblW w:w="0" w:type="auto"/>
          <w:tblLook w:val="04A0"/>
        </w:tblPrEx>
        <w:tc>
          <w:tcPr>
            <w:tcW w:w="1661" w:type="dxa"/>
          </w:tcPr>
          <w:p w:rsidR="00673CF5" w:rsidRPr="003165DF" w:rsidP="00673CF5" w14:paraId="3075DAAB" w14:textId="77777777">
            <w:pPr>
              <w:jc w:val="center"/>
              <w:rPr>
                <w:b/>
              </w:rPr>
            </w:pPr>
            <w:r w:rsidRPr="003165DF">
              <w:t>Refinery</w:t>
            </w:r>
          </w:p>
        </w:tc>
        <w:tc>
          <w:tcPr>
            <w:tcW w:w="1661" w:type="dxa"/>
          </w:tcPr>
          <w:p w:rsidR="00673CF5" w:rsidRPr="003165DF" w:rsidP="00673CF5" w14:paraId="34529B54" w14:textId="77777777">
            <w:pPr>
              <w:jc w:val="center"/>
              <w:rPr>
                <w:b/>
              </w:rPr>
            </w:pPr>
            <w:r>
              <w:t xml:space="preserve">Texas City </w:t>
            </w:r>
            <w:r w:rsidRPr="003165DF">
              <w:t>TX</w:t>
            </w:r>
          </w:p>
        </w:tc>
        <w:tc>
          <w:tcPr>
            <w:tcW w:w="1662" w:type="dxa"/>
          </w:tcPr>
          <w:p w:rsidR="00673CF5" w:rsidRPr="003165DF" w:rsidP="00673CF5" w14:paraId="601DAABF" w14:textId="77777777">
            <w:pPr>
              <w:jc w:val="center"/>
              <w:rPr>
                <w:b/>
              </w:rPr>
            </w:pPr>
            <w:r w:rsidRPr="003165DF">
              <w:t>3/23/2005</w:t>
            </w:r>
          </w:p>
        </w:tc>
        <w:tc>
          <w:tcPr>
            <w:tcW w:w="1662" w:type="dxa"/>
          </w:tcPr>
          <w:p w:rsidR="00673CF5" w:rsidRPr="003165DF" w:rsidP="00673CF5" w14:paraId="6D2C5B4B" w14:textId="77777777">
            <w:pPr>
              <w:jc w:val="center"/>
              <w:rPr>
                <w:b/>
              </w:rPr>
            </w:pPr>
            <w:r w:rsidRPr="003165DF">
              <w:t>$</w:t>
            </w:r>
            <w:r w:rsidR="00B868CB">
              <w:t>340</w:t>
            </w:r>
          </w:p>
        </w:tc>
        <w:tc>
          <w:tcPr>
            <w:tcW w:w="1662" w:type="dxa"/>
          </w:tcPr>
          <w:p w:rsidR="00673CF5" w:rsidRPr="008864EC" w:rsidP="00673CF5" w14:paraId="59B73A64" w14:textId="77777777">
            <w:pPr>
              <w:jc w:val="center"/>
            </w:pPr>
          </w:p>
        </w:tc>
        <w:tc>
          <w:tcPr>
            <w:tcW w:w="1662" w:type="dxa"/>
          </w:tcPr>
          <w:p w:rsidR="00673CF5" w:rsidRPr="00C54A44" w:rsidP="00673CF5" w14:paraId="6547E8C4" w14:textId="77777777">
            <w:pPr>
              <w:jc w:val="center"/>
            </w:pPr>
          </w:p>
        </w:tc>
      </w:tr>
      <w:tr w14:paraId="7E544DCA" w14:textId="77777777" w:rsidTr="00673CF5">
        <w:tblPrEx>
          <w:tblW w:w="0" w:type="auto"/>
          <w:tblLook w:val="04A0"/>
        </w:tblPrEx>
        <w:tc>
          <w:tcPr>
            <w:tcW w:w="1661" w:type="dxa"/>
          </w:tcPr>
          <w:p w:rsidR="00673CF5" w:rsidRPr="003165DF" w:rsidP="00673CF5" w14:paraId="72F9E4C2" w14:textId="77777777">
            <w:pPr>
              <w:jc w:val="center"/>
              <w:rPr>
                <w:b/>
              </w:rPr>
            </w:pPr>
            <w:r w:rsidRPr="003165DF">
              <w:t>Petrochemical</w:t>
            </w:r>
          </w:p>
        </w:tc>
        <w:tc>
          <w:tcPr>
            <w:tcW w:w="1661" w:type="dxa"/>
          </w:tcPr>
          <w:p w:rsidR="00673CF5" w:rsidRPr="003165DF" w:rsidP="00673CF5" w14:paraId="77C9DE0F" w14:textId="77777777">
            <w:pPr>
              <w:jc w:val="center"/>
              <w:rPr>
                <w:b/>
              </w:rPr>
            </w:pPr>
            <w:r>
              <w:t xml:space="preserve">Port Arthur </w:t>
            </w:r>
            <w:r w:rsidRPr="003165DF">
              <w:t>TX</w:t>
            </w:r>
          </w:p>
        </w:tc>
        <w:tc>
          <w:tcPr>
            <w:tcW w:w="1662" w:type="dxa"/>
          </w:tcPr>
          <w:p w:rsidR="00673CF5" w:rsidRPr="003165DF" w:rsidP="00673CF5" w14:paraId="1658E1C2" w14:textId="77777777">
            <w:pPr>
              <w:jc w:val="center"/>
              <w:rPr>
                <w:b/>
              </w:rPr>
            </w:pPr>
            <w:r w:rsidRPr="003165DF">
              <w:t>4/29/2006</w:t>
            </w:r>
          </w:p>
        </w:tc>
        <w:tc>
          <w:tcPr>
            <w:tcW w:w="1662" w:type="dxa"/>
          </w:tcPr>
          <w:p w:rsidR="00673CF5" w:rsidRPr="003165DF" w:rsidP="00673CF5" w14:paraId="6AD99023" w14:textId="77777777">
            <w:pPr>
              <w:jc w:val="center"/>
              <w:rPr>
                <w:b/>
              </w:rPr>
            </w:pPr>
            <w:r w:rsidRPr="003165DF">
              <w:t>$</w:t>
            </w:r>
            <w:r w:rsidR="00C75C42">
              <w:t>325</w:t>
            </w:r>
          </w:p>
        </w:tc>
        <w:tc>
          <w:tcPr>
            <w:tcW w:w="1662" w:type="dxa"/>
          </w:tcPr>
          <w:p w:rsidR="00673CF5" w:rsidRPr="008864EC" w:rsidP="00673CF5" w14:paraId="377B858D" w14:textId="77777777">
            <w:pPr>
              <w:jc w:val="center"/>
            </w:pPr>
          </w:p>
        </w:tc>
        <w:tc>
          <w:tcPr>
            <w:tcW w:w="1662" w:type="dxa"/>
          </w:tcPr>
          <w:p w:rsidR="00673CF5" w:rsidRPr="003165DF" w:rsidP="00B51E8E" w14:paraId="18BF4F5C" w14:textId="77777777">
            <w:pPr>
              <w:rPr>
                <w:b/>
              </w:rPr>
            </w:pPr>
            <w:r>
              <w:t>P</w:t>
            </w:r>
            <w:r w:rsidRPr="003165DF">
              <w:t>lant closed for 6 months</w:t>
            </w:r>
          </w:p>
        </w:tc>
      </w:tr>
      <w:tr w14:paraId="1185DEAE" w14:textId="77777777" w:rsidTr="00673CF5">
        <w:tblPrEx>
          <w:tblW w:w="0" w:type="auto"/>
          <w:tblLook w:val="04A0"/>
        </w:tblPrEx>
        <w:tc>
          <w:tcPr>
            <w:tcW w:w="1661" w:type="dxa"/>
          </w:tcPr>
          <w:p w:rsidR="00673CF5" w:rsidRPr="003165DF" w:rsidP="00673CF5" w14:paraId="033948A1" w14:textId="77777777">
            <w:pPr>
              <w:jc w:val="center"/>
              <w:rPr>
                <w:b/>
              </w:rPr>
            </w:pPr>
            <w:r w:rsidRPr="003165DF">
              <w:t>Refinery</w:t>
            </w:r>
          </w:p>
        </w:tc>
        <w:tc>
          <w:tcPr>
            <w:tcW w:w="1661" w:type="dxa"/>
          </w:tcPr>
          <w:p w:rsidR="00673CF5" w:rsidRPr="003165DF" w:rsidP="00673CF5" w14:paraId="47A400E9" w14:textId="77777777">
            <w:pPr>
              <w:jc w:val="center"/>
              <w:rPr>
                <w:b/>
              </w:rPr>
            </w:pPr>
            <w:r>
              <w:t xml:space="preserve">Big Spring, </w:t>
            </w:r>
            <w:r w:rsidRPr="003165DF">
              <w:t>TX</w:t>
            </w:r>
          </w:p>
        </w:tc>
        <w:tc>
          <w:tcPr>
            <w:tcW w:w="1662" w:type="dxa"/>
          </w:tcPr>
          <w:p w:rsidR="00673CF5" w:rsidRPr="003165DF" w:rsidP="00673CF5" w14:paraId="79C3BBDE" w14:textId="77777777">
            <w:pPr>
              <w:jc w:val="center"/>
              <w:rPr>
                <w:b/>
              </w:rPr>
            </w:pPr>
            <w:r w:rsidRPr="003165DF">
              <w:t>2/18/2008</w:t>
            </w:r>
          </w:p>
        </w:tc>
        <w:tc>
          <w:tcPr>
            <w:tcW w:w="1662" w:type="dxa"/>
          </w:tcPr>
          <w:p w:rsidR="00673CF5" w:rsidRPr="003165DF" w:rsidP="00673CF5" w14:paraId="650B2098" w14:textId="77777777">
            <w:pPr>
              <w:jc w:val="center"/>
              <w:rPr>
                <w:b/>
              </w:rPr>
            </w:pPr>
            <w:r w:rsidRPr="003165DF">
              <w:t>$</w:t>
            </w:r>
            <w:r w:rsidR="009A6BBF">
              <w:t>551</w:t>
            </w:r>
          </w:p>
        </w:tc>
        <w:tc>
          <w:tcPr>
            <w:tcW w:w="1662" w:type="dxa"/>
          </w:tcPr>
          <w:p w:rsidR="00673CF5" w:rsidRPr="008864EC" w:rsidP="00673CF5" w14:paraId="76EE4540" w14:textId="77777777">
            <w:pPr>
              <w:jc w:val="center"/>
            </w:pPr>
          </w:p>
        </w:tc>
        <w:tc>
          <w:tcPr>
            <w:tcW w:w="1662" w:type="dxa"/>
          </w:tcPr>
          <w:p w:rsidR="00673CF5" w:rsidRPr="003165DF" w:rsidP="00B51E8E" w14:paraId="2DE3A6E1" w14:textId="77777777">
            <w:pPr>
              <w:rPr>
                <w:b/>
              </w:rPr>
            </w:pPr>
            <w:r>
              <w:t>Resumed s</w:t>
            </w:r>
            <w:r w:rsidR="0098503F">
              <w:t xml:space="preserve">ome processing </w:t>
            </w:r>
            <w:r w:rsidR="00AE6172">
              <w:t>afte</w:t>
            </w:r>
            <w:r w:rsidR="00DB26A3">
              <w:t>r 2 months</w:t>
            </w:r>
            <w:r w:rsidR="00381AAE">
              <w:t>, all after 8</w:t>
            </w:r>
            <w:r w:rsidR="00DB26A3">
              <w:t xml:space="preserve"> </w:t>
            </w:r>
            <w:r w:rsidR="00B51E8E">
              <w:t>months</w:t>
            </w:r>
          </w:p>
        </w:tc>
      </w:tr>
      <w:tr w14:paraId="132E1579" w14:textId="77777777" w:rsidTr="00673CF5">
        <w:tblPrEx>
          <w:tblW w:w="0" w:type="auto"/>
          <w:tblLook w:val="04A0"/>
        </w:tblPrEx>
        <w:tc>
          <w:tcPr>
            <w:tcW w:w="1661" w:type="dxa"/>
          </w:tcPr>
          <w:p w:rsidR="00673CF5" w:rsidRPr="003165DF" w:rsidP="00673CF5" w14:paraId="57BC83FD" w14:textId="77777777">
            <w:pPr>
              <w:jc w:val="center"/>
              <w:rPr>
                <w:b/>
              </w:rPr>
            </w:pPr>
            <w:r w:rsidRPr="003165DF">
              <w:t>Refinery</w:t>
            </w:r>
          </w:p>
        </w:tc>
        <w:tc>
          <w:tcPr>
            <w:tcW w:w="1661" w:type="dxa"/>
          </w:tcPr>
          <w:p w:rsidR="00673CF5" w:rsidRPr="003165DF" w:rsidP="00673CF5" w14:paraId="76206563" w14:textId="77777777">
            <w:pPr>
              <w:jc w:val="center"/>
              <w:rPr>
                <w:b/>
              </w:rPr>
            </w:pPr>
            <w:r w:rsidRPr="003165DF">
              <w:t>Wisconsin</w:t>
            </w:r>
          </w:p>
        </w:tc>
        <w:tc>
          <w:tcPr>
            <w:tcW w:w="1662" w:type="dxa"/>
          </w:tcPr>
          <w:p w:rsidR="00673CF5" w:rsidRPr="003165DF" w:rsidP="00673CF5" w14:paraId="53DE770F" w14:textId="77777777">
            <w:pPr>
              <w:jc w:val="center"/>
              <w:rPr>
                <w:b/>
              </w:rPr>
            </w:pPr>
            <w:r w:rsidRPr="003165DF">
              <w:t>4/26/2018</w:t>
            </w:r>
          </w:p>
        </w:tc>
        <w:tc>
          <w:tcPr>
            <w:tcW w:w="1662" w:type="dxa"/>
          </w:tcPr>
          <w:p w:rsidR="00673CF5" w:rsidRPr="003165DF" w:rsidP="00673CF5" w14:paraId="188A4A1A" w14:textId="77777777">
            <w:pPr>
              <w:jc w:val="center"/>
              <w:rPr>
                <w:b/>
              </w:rPr>
            </w:pPr>
            <w:r w:rsidRPr="003165DF">
              <w:t>$</w:t>
            </w:r>
            <w:r w:rsidR="00AA3921">
              <w:t>457</w:t>
            </w:r>
          </w:p>
        </w:tc>
        <w:tc>
          <w:tcPr>
            <w:tcW w:w="1662" w:type="dxa"/>
          </w:tcPr>
          <w:p w:rsidR="00673CF5" w:rsidRPr="008864EC" w:rsidP="00673CF5" w14:paraId="0C497E25" w14:textId="77777777">
            <w:pPr>
              <w:jc w:val="center"/>
            </w:pPr>
          </w:p>
        </w:tc>
        <w:tc>
          <w:tcPr>
            <w:tcW w:w="1662" w:type="dxa"/>
          </w:tcPr>
          <w:p w:rsidR="00673CF5" w:rsidRPr="003165DF" w:rsidP="00B51E8E" w14:paraId="7A791BD8" w14:textId="77777777">
            <w:pPr>
              <w:rPr>
                <w:b/>
              </w:rPr>
            </w:pPr>
          </w:p>
        </w:tc>
      </w:tr>
      <w:tr w14:paraId="5A0AD25A" w14:textId="77777777" w:rsidTr="00673CF5">
        <w:tblPrEx>
          <w:tblW w:w="0" w:type="auto"/>
          <w:tblLook w:val="04A0"/>
        </w:tblPrEx>
        <w:tc>
          <w:tcPr>
            <w:tcW w:w="1661" w:type="dxa"/>
          </w:tcPr>
          <w:p w:rsidR="00673CF5" w:rsidRPr="003165DF" w:rsidP="00673CF5" w14:paraId="69FA7AED" w14:textId="77777777">
            <w:pPr>
              <w:jc w:val="center"/>
              <w:rPr>
                <w:b/>
              </w:rPr>
            </w:pPr>
            <w:r w:rsidRPr="003165DF">
              <w:t>Refinery</w:t>
            </w:r>
          </w:p>
        </w:tc>
        <w:tc>
          <w:tcPr>
            <w:tcW w:w="1661" w:type="dxa"/>
          </w:tcPr>
          <w:p w:rsidR="00673CF5" w:rsidRPr="003165DF" w:rsidP="00673CF5" w14:paraId="494ACA3C" w14:textId="77777777">
            <w:pPr>
              <w:jc w:val="center"/>
              <w:rPr>
                <w:b/>
              </w:rPr>
            </w:pPr>
            <w:r w:rsidRPr="003165DF">
              <w:t>Philadelphia</w:t>
            </w:r>
          </w:p>
        </w:tc>
        <w:tc>
          <w:tcPr>
            <w:tcW w:w="1662" w:type="dxa"/>
          </w:tcPr>
          <w:p w:rsidR="00673CF5" w:rsidRPr="003165DF" w:rsidP="00673CF5" w14:paraId="553D4E77" w14:textId="77777777">
            <w:pPr>
              <w:jc w:val="center"/>
              <w:rPr>
                <w:b/>
              </w:rPr>
            </w:pPr>
            <w:r w:rsidRPr="003165DF">
              <w:t>6/21/2019</w:t>
            </w:r>
          </w:p>
        </w:tc>
        <w:tc>
          <w:tcPr>
            <w:tcW w:w="1662" w:type="dxa"/>
          </w:tcPr>
          <w:p w:rsidR="00673CF5" w:rsidRPr="003165DF" w:rsidP="00673CF5" w14:paraId="2BF80FF0" w14:textId="77777777">
            <w:pPr>
              <w:jc w:val="center"/>
              <w:rPr>
                <w:b/>
              </w:rPr>
            </w:pPr>
            <w:r w:rsidRPr="003165DF">
              <w:t>$</w:t>
            </w:r>
            <w:r w:rsidR="001243E9">
              <w:t>342</w:t>
            </w:r>
          </w:p>
        </w:tc>
        <w:tc>
          <w:tcPr>
            <w:tcW w:w="1662" w:type="dxa"/>
          </w:tcPr>
          <w:p w:rsidR="00673CF5" w:rsidRPr="008864EC" w:rsidP="00673CF5" w14:paraId="66882275" w14:textId="77777777">
            <w:pPr>
              <w:jc w:val="center"/>
            </w:pPr>
          </w:p>
        </w:tc>
        <w:tc>
          <w:tcPr>
            <w:tcW w:w="1662" w:type="dxa"/>
          </w:tcPr>
          <w:p w:rsidR="00673CF5" w:rsidRPr="003165DF" w:rsidP="00B51E8E" w14:paraId="0F9ECC28" w14:textId="77777777">
            <w:pPr>
              <w:rPr>
                <w:b/>
              </w:rPr>
            </w:pPr>
            <w:r>
              <w:t>R</w:t>
            </w:r>
            <w:r w:rsidRPr="003165DF">
              <w:t>efinery closed</w:t>
            </w:r>
          </w:p>
        </w:tc>
      </w:tr>
      <w:tr w14:paraId="6D969659" w14:textId="77777777" w:rsidTr="00673CF5">
        <w:tblPrEx>
          <w:tblW w:w="0" w:type="auto"/>
          <w:tblLook w:val="04A0"/>
        </w:tblPrEx>
        <w:tc>
          <w:tcPr>
            <w:tcW w:w="1661" w:type="dxa"/>
          </w:tcPr>
          <w:p w:rsidR="00673CF5" w:rsidRPr="003165DF" w:rsidP="00673CF5" w14:paraId="6C34ACE5" w14:textId="77777777">
            <w:pPr>
              <w:jc w:val="center"/>
              <w:rPr>
                <w:b/>
              </w:rPr>
            </w:pPr>
            <w:r w:rsidRPr="003165DF">
              <w:t>Petrochemical</w:t>
            </w:r>
          </w:p>
        </w:tc>
        <w:tc>
          <w:tcPr>
            <w:tcW w:w="1661" w:type="dxa"/>
          </w:tcPr>
          <w:p w:rsidR="00673CF5" w:rsidRPr="003165DF" w:rsidP="00673CF5" w14:paraId="3BD9C41A" w14:textId="77777777">
            <w:pPr>
              <w:jc w:val="center"/>
              <w:rPr>
                <w:b/>
              </w:rPr>
            </w:pPr>
            <w:r>
              <w:t xml:space="preserve">Port Neches </w:t>
            </w:r>
            <w:r w:rsidR="00A02A29">
              <w:t>TX</w:t>
            </w:r>
          </w:p>
        </w:tc>
        <w:tc>
          <w:tcPr>
            <w:tcW w:w="1662" w:type="dxa"/>
          </w:tcPr>
          <w:p w:rsidR="00673CF5" w:rsidRPr="003165DF" w:rsidP="00673CF5" w14:paraId="2C44FD7A" w14:textId="77777777">
            <w:pPr>
              <w:jc w:val="center"/>
              <w:rPr>
                <w:b/>
              </w:rPr>
            </w:pPr>
            <w:r w:rsidRPr="003165DF">
              <w:t>11/27/2019</w:t>
            </w:r>
          </w:p>
        </w:tc>
        <w:tc>
          <w:tcPr>
            <w:tcW w:w="1662" w:type="dxa"/>
          </w:tcPr>
          <w:p w:rsidR="00673CF5" w:rsidRPr="003165DF" w:rsidP="00673CF5" w14:paraId="6DBCF79A" w14:textId="77777777">
            <w:pPr>
              <w:jc w:val="center"/>
              <w:rPr>
                <w:b/>
              </w:rPr>
            </w:pPr>
            <w:r w:rsidRPr="003165DF">
              <w:t>$</w:t>
            </w:r>
            <w:r w:rsidR="00240AF3">
              <w:t>434</w:t>
            </w:r>
          </w:p>
        </w:tc>
        <w:tc>
          <w:tcPr>
            <w:tcW w:w="1662" w:type="dxa"/>
          </w:tcPr>
          <w:p w:rsidR="00673CF5" w:rsidRPr="008864EC" w:rsidP="00673CF5" w14:paraId="0573B753" w14:textId="77777777">
            <w:pPr>
              <w:jc w:val="center"/>
            </w:pPr>
          </w:p>
        </w:tc>
        <w:tc>
          <w:tcPr>
            <w:tcW w:w="1662" w:type="dxa"/>
          </w:tcPr>
          <w:p w:rsidR="00673CF5" w:rsidRPr="003165DF" w:rsidP="00673CF5" w14:paraId="434C9FAD" w14:textId="77777777">
            <w:pPr>
              <w:jc w:val="center"/>
              <w:rPr>
                <w:b/>
              </w:rPr>
            </w:pPr>
          </w:p>
        </w:tc>
      </w:tr>
    </w:tbl>
    <w:p w:rsidR="003D6E36" w:rsidRPr="007C6323" w:rsidP="00843847" w14:paraId="4512C0C1" w14:textId="77777777">
      <w:pPr>
        <w:spacing w:after="0"/>
        <w:ind w:right="617"/>
        <w:rPr>
          <w:rFonts w:ascii="Times New Roman" w:hAnsi="Times New Roman" w:cs="Times New Roman"/>
          <w:sz w:val="18"/>
          <w:szCs w:val="18"/>
        </w:rPr>
      </w:pPr>
      <w:r w:rsidRPr="00D776E4">
        <w:rPr>
          <w:rFonts w:ascii="Times New Roman" w:hAnsi="Times New Roman" w:cs="Times New Roman"/>
          <w:bCs/>
          <w:sz w:val="18"/>
          <w:szCs w:val="18"/>
        </w:rPr>
        <w:t>Source</w:t>
      </w:r>
      <w:r w:rsidRPr="00D776E4" w:rsidR="00A442F5">
        <w:rPr>
          <w:rFonts w:ascii="Times New Roman" w:hAnsi="Times New Roman" w:cs="Times New Roman"/>
          <w:bCs/>
          <w:sz w:val="18"/>
          <w:szCs w:val="18"/>
        </w:rPr>
        <w:t>s</w:t>
      </w:r>
      <w:r w:rsidRPr="007C6323">
        <w:rPr>
          <w:rFonts w:ascii="Times New Roman" w:hAnsi="Times New Roman" w:cs="Times New Roman"/>
          <w:sz w:val="18"/>
          <w:szCs w:val="18"/>
        </w:rPr>
        <w:t xml:space="preserve">: </w:t>
      </w:r>
      <w:r w:rsidRPr="00A442F5" w:rsidR="00A442F5">
        <w:rPr>
          <w:rFonts w:ascii="Times New Roman" w:hAnsi="Times New Roman" w:cs="Times New Roman"/>
          <w:sz w:val="18"/>
          <w:szCs w:val="18"/>
        </w:rPr>
        <w:t xml:space="preserve">Marsh JLT Specialty, "100 Largest Losses in the Hydrocarbon Industry," 27th ed., March 2022.  </w:t>
      </w:r>
      <w:hyperlink r:id="rId28" w:history="1">
        <w:r w:rsidRPr="00D26AF6" w:rsidR="00FC3A70">
          <w:rPr>
            <w:rStyle w:val="Hyperlink"/>
            <w:rFonts w:ascii="Times New Roman" w:hAnsi="Times New Roman" w:cs="Times New Roman"/>
            <w:sz w:val="18"/>
            <w:szCs w:val="18"/>
          </w:rPr>
          <w:t>https://www.marsh.com/us/industries/energy-and-power/insights/100-largest-losses/100-largest-losses-report-download.html</w:t>
        </w:r>
      </w:hyperlink>
      <w:r w:rsidR="00FC3A70">
        <w:rPr>
          <w:rFonts w:ascii="Times New Roman" w:hAnsi="Times New Roman" w:cs="Times New Roman"/>
          <w:sz w:val="18"/>
          <w:szCs w:val="18"/>
        </w:rPr>
        <w:t xml:space="preserve">. </w:t>
      </w:r>
      <w:r w:rsidRPr="00D40D53">
        <w:rPr>
          <w:rFonts w:ascii="Times New Roman" w:hAnsi="Times New Roman" w:cs="Times New Roman"/>
          <w:sz w:val="18"/>
          <w:szCs w:val="18"/>
        </w:rPr>
        <w:t xml:space="preserve">Marsh, </w:t>
      </w:r>
      <w:r w:rsidRPr="00D40D53" w:rsidR="00D22B0F">
        <w:rPr>
          <w:rFonts w:ascii="Times New Roman" w:hAnsi="Times New Roman" w:cs="Times New Roman"/>
          <w:sz w:val="18"/>
          <w:szCs w:val="18"/>
        </w:rPr>
        <w:t>“</w:t>
      </w:r>
      <w:r w:rsidRPr="00D40D53">
        <w:rPr>
          <w:rFonts w:ascii="Times New Roman" w:hAnsi="Times New Roman" w:cs="Times New Roman"/>
          <w:sz w:val="18"/>
          <w:szCs w:val="18"/>
        </w:rPr>
        <w:t>The 100 Largest Losses, 1974-2019, Large Pro</w:t>
      </w:r>
      <w:r w:rsidRPr="007C6323">
        <w:rPr>
          <w:rFonts w:ascii="Times New Roman" w:hAnsi="Times New Roman" w:cs="Times New Roman"/>
          <w:sz w:val="18"/>
          <w:szCs w:val="18"/>
        </w:rPr>
        <w:t>perty Damage Losses in the Hydrocarbon Industry,</w:t>
      </w:r>
      <w:r w:rsidR="000D0585">
        <w:rPr>
          <w:rFonts w:ascii="Times New Roman" w:hAnsi="Times New Roman" w:cs="Times New Roman"/>
          <w:sz w:val="18"/>
          <w:szCs w:val="18"/>
        </w:rPr>
        <w:t>”</w:t>
      </w:r>
      <w:r w:rsidRPr="00FC3451">
        <w:rPr>
          <w:rFonts w:ascii="Times New Roman" w:hAnsi="Times New Roman" w:cs="Times New Roman"/>
          <w:sz w:val="18"/>
          <w:szCs w:val="18"/>
          <w:vertAlign w:val="superscript"/>
        </w:rPr>
        <w:t xml:space="preserve"> </w:t>
      </w:r>
      <w:r w:rsidR="0037553A">
        <w:rPr>
          <w:rFonts w:ascii="Times New Roman" w:hAnsi="Times New Roman" w:cs="Times New Roman"/>
          <w:sz w:val="18"/>
          <w:szCs w:val="18"/>
        </w:rPr>
        <w:t>26</w:t>
      </w:r>
      <w:r w:rsidRPr="001F60B1" w:rsidR="0037553A">
        <w:rPr>
          <w:rFonts w:ascii="Times New Roman" w:hAnsi="Times New Roman" w:cs="Times New Roman"/>
          <w:sz w:val="18"/>
          <w:szCs w:val="18"/>
          <w:vertAlign w:val="superscript"/>
        </w:rPr>
        <w:t>th</w:t>
      </w:r>
      <w:r w:rsidR="0037553A">
        <w:rPr>
          <w:rFonts w:ascii="Times New Roman" w:hAnsi="Times New Roman" w:cs="Times New Roman"/>
          <w:sz w:val="18"/>
          <w:szCs w:val="18"/>
        </w:rPr>
        <w:t xml:space="preserve"> </w:t>
      </w:r>
      <w:r w:rsidRPr="007C6323">
        <w:rPr>
          <w:rFonts w:ascii="Times New Roman" w:hAnsi="Times New Roman" w:cs="Times New Roman"/>
          <w:sz w:val="18"/>
          <w:szCs w:val="18"/>
        </w:rPr>
        <w:t>Edition</w:t>
      </w:r>
      <w:r w:rsidR="000D7574">
        <w:rPr>
          <w:rFonts w:ascii="Times New Roman" w:hAnsi="Times New Roman" w:cs="Times New Roman"/>
          <w:sz w:val="18"/>
          <w:szCs w:val="18"/>
        </w:rPr>
        <w:t xml:space="preserve">, </w:t>
      </w:r>
      <w:r w:rsidR="00B50CCD">
        <w:rPr>
          <w:rFonts w:ascii="Times New Roman" w:hAnsi="Times New Roman" w:cs="Times New Roman"/>
          <w:sz w:val="18"/>
          <w:szCs w:val="18"/>
        </w:rPr>
        <w:t>March 2020</w:t>
      </w:r>
      <w:r w:rsidRPr="007C6323">
        <w:rPr>
          <w:rFonts w:ascii="Times New Roman" w:hAnsi="Times New Roman" w:cs="Times New Roman"/>
          <w:sz w:val="18"/>
          <w:szCs w:val="18"/>
        </w:rPr>
        <w:t xml:space="preserve">. </w:t>
      </w:r>
      <w:hyperlink r:id="rId29" w:history="1">
        <w:r w:rsidRPr="007C6323" w:rsidR="005264C5">
          <w:rPr>
            <w:rStyle w:val="Hyperlink"/>
            <w:rFonts w:ascii="Times New Roman" w:hAnsi="Times New Roman" w:cs="Times New Roman"/>
            <w:sz w:val="18"/>
            <w:szCs w:val="18"/>
          </w:rPr>
          <w:t>https://www.marsh.com/us/industries/energy-and-power/insights/100-largest-losses-in-the-hydrocarbon-industry.html</w:t>
        </w:r>
      </w:hyperlink>
      <w:r w:rsidRPr="007C6323" w:rsidR="00FA7DFB">
        <w:rPr>
          <w:rStyle w:val="Hyperlink"/>
          <w:rFonts w:ascii="Times New Roman" w:hAnsi="Times New Roman" w:cs="Times New Roman"/>
          <w:sz w:val="18"/>
          <w:szCs w:val="18"/>
        </w:rPr>
        <w:t>.</w:t>
      </w:r>
      <w:r w:rsidRPr="007C6323">
        <w:rPr>
          <w:rFonts w:ascii="Times New Roman" w:hAnsi="Times New Roman" w:cs="Times New Roman"/>
          <w:sz w:val="18"/>
          <w:szCs w:val="18"/>
        </w:rPr>
        <w:t xml:space="preserve"> </w:t>
      </w:r>
      <w:r w:rsidR="001C2ACA">
        <w:rPr>
          <w:rFonts w:ascii="Times New Roman" w:hAnsi="Times New Roman" w:cs="Times New Roman"/>
          <w:sz w:val="18"/>
          <w:szCs w:val="18"/>
        </w:rPr>
        <w:t>Marsh</w:t>
      </w:r>
      <w:r w:rsidR="00377BBF">
        <w:rPr>
          <w:rFonts w:ascii="Times New Roman" w:hAnsi="Times New Roman" w:cs="Times New Roman"/>
          <w:sz w:val="18"/>
          <w:szCs w:val="18"/>
        </w:rPr>
        <w:t>, “The 100 Largest Losses 1974-2013</w:t>
      </w:r>
      <w:r w:rsidR="00604B57">
        <w:rPr>
          <w:rFonts w:ascii="Times New Roman" w:hAnsi="Times New Roman" w:cs="Times New Roman"/>
          <w:sz w:val="18"/>
          <w:szCs w:val="18"/>
        </w:rPr>
        <w:t xml:space="preserve"> </w:t>
      </w:r>
      <w:r w:rsidR="00046113">
        <w:rPr>
          <w:rFonts w:ascii="Times New Roman" w:hAnsi="Times New Roman" w:cs="Times New Roman"/>
          <w:sz w:val="18"/>
          <w:szCs w:val="18"/>
        </w:rPr>
        <w:t>Large Property Damage Losses in the Hydrocarbon Industry,</w:t>
      </w:r>
      <w:r w:rsidR="00F2038A">
        <w:rPr>
          <w:rFonts w:ascii="Times New Roman" w:hAnsi="Times New Roman" w:cs="Times New Roman"/>
          <w:sz w:val="18"/>
          <w:szCs w:val="18"/>
        </w:rPr>
        <w:t xml:space="preserve">” </w:t>
      </w:r>
      <w:r w:rsidR="00063D2E">
        <w:rPr>
          <w:rFonts w:ascii="Times New Roman" w:hAnsi="Times New Roman" w:cs="Times New Roman"/>
          <w:sz w:val="18"/>
          <w:szCs w:val="18"/>
        </w:rPr>
        <w:t>23</w:t>
      </w:r>
      <w:r w:rsidRPr="001F60B1" w:rsidR="00063D2E">
        <w:rPr>
          <w:rFonts w:ascii="Times New Roman" w:hAnsi="Times New Roman" w:cs="Times New Roman"/>
          <w:sz w:val="18"/>
          <w:szCs w:val="18"/>
          <w:vertAlign w:val="superscript"/>
        </w:rPr>
        <w:t>rd</w:t>
      </w:r>
      <w:r w:rsidR="00063D2E">
        <w:rPr>
          <w:rFonts w:ascii="Times New Roman" w:hAnsi="Times New Roman" w:cs="Times New Roman"/>
          <w:sz w:val="18"/>
          <w:szCs w:val="18"/>
        </w:rPr>
        <w:t xml:space="preserve"> </w:t>
      </w:r>
      <w:r w:rsidR="005D1CC4">
        <w:rPr>
          <w:rFonts w:ascii="Times New Roman" w:hAnsi="Times New Roman" w:cs="Times New Roman"/>
          <w:sz w:val="18"/>
          <w:szCs w:val="18"/>
        </w:rPr>
        <w:t>Edition</w:t>
      </w:r>
      <w:r w:rsidR="00B50CCD">
        <w:rPr>
          <w:rFonts w:ascii="Times New Roman" w:hAnsi="Times New Roman" w:cs="Times New Roman"/>
          <w:sz w:val="18"/>
          <w:szCs w:val="18"/>
        </w:rPr>
        <w:t xml:space="preserve">, </w:t>
      </w:r>
      <w:r w:rsidR="006A2803">
        <w:rPr>
          <w:rFonts w:ascii="Times New Roman" w:hAnsi="Times New Roman" w:cs="Times New Roman"/>
          <w:sz w:val="18"/>
          <w:szCs w:val="18"/>
        </w:rPr>
        <w:t xml:space="preserve">March </w:t>
      </w:r>
      <w:r w:rsidR="00B50CCD">
        <w:rPr>
          <w:rFonts w:ascii="Times New Roman" w:hAnsi="Times New Roman" w:cs="Times New Roman"/>
          <w:sz w:val="18"/>
          <w:szCs w:val="18"/>
        </w:rPr>
        <w:t>201</w:t>
      </w:r>
      <w:r w:rsidR="0044335C">
        <w:rPr>
          <w:rFonts w:ascii="Times New Roman" w:hAnsi="Times New Roman" w:cs="Times New Roman"/>
          <w:sz w:val="18"/>
          <w:szCs w:val="18"/>
        </w:rPr>
        <w:t>4</w:t>
      </w:r>
      <w:r w:rsidR="00FA14C0">
        <w:rPr>
          <w:rFonts w:ascii="Times New Roman" w:hAnsi="Times New Roman" w:cs="Times New Roman"/>
          <w:sz w:val="18"/>
          <w:szCs w:val="18"/>
        </w:rPr>
        <w:t>.</w:t>
      </w:r>
      <w:r w:rsidRPr="00151EE8" w:rsidR="00151EE8">
        <w:t xml:space="preserve"> </w:t>
      </w:r>
      <w:hyperlink r:id="rId30" w:history="1">
        <w:r w:rsidRPr="00D26AF6" w:rsidR="00FB44F8">
          <w:rPr>
            <w:rStyle w:val="Hyperlink"/>
            <w:rFonts w:ascii="Times New Roman" w:hAnsi="Times New Roman" w:cs="Times New Roman"/>
            <w:sz w:val="18"/>
            <w:szCs w:val="18"/>
          </w:rPr>
          <w:t>https://enatech.jrc.ec.europa.eu/download/attachment/244</w:t>
        </w:r>
      </w:hyperlink>
      <w:r w:rsidR="00151EE8">
        <w:rPr>
          <w:rFonts w:ascii="Times New Roman" w:hAnsi="Times New Roman" w:cs="Times New Roman"/>
          <w:sz w:val="18"/>
          <w:szCs w:val="18"/>
        </w:rPr>
        <w:t>.</w:t>
      </w:r>
      <w:r w:rsidR="00FB44F8">
        <w:rPr>
          <w:rFonts w:ascii="Times New Roman" w:hAnsi="Times New Roman" w:cs="Times New Roman"/>
          <w:sz w:val="18"/>
          <w:szCs w:val="18"/>
        </w:rPr>
        <w:t xml:space="preserve"> </w:t>
      </w:r>
      <w:r w:rsidRPr="007C6323">
        <w:rPr>
          <w:rFonts w:ascii="Times New Roman" w:hAnsi="Times New Roman" w:cs="Times New Roman"/>
          <w:sz w:val="18"/>
          <w:szCs w:val="18"/>
        </w:rPr>
        <w:t>The table includes 2</w:t>
      </w:r>
      <w:r w:rsidRPr="007C6323" w:rsidR="005264C5">
        <w:rPr>
          <w:rFonts w:ascii="Times New Roman" w:hAnsi="Times New Roman" w:cs="Times New Roman"/>
          <w:sz w:val="18"/>
          <w:szCs w:val="18"/>
        </w:rPr>
        <w:t>5</w:t>
      </w:r>
      <w:r w:rsidRPr="007C6323">
        <w:rPr>
          <w:rFonts w:ascii="Times New Roman" w:hAnsi="Times New Roman" w:cs="Times New Roman"/>
          <w:sz w:val="18"/>
          <w:szCs w:val="18"/>
        </w:rPr>
        <w:t xml:space="preserve"> accidents that reflect only U.S. </w:t>
      </w:r>
      <w:r w:rsidRPr="007C6323" w:rsidR="00FF0789">
        <w:rPr>
          <w:rFonts w:ascii="Times New Roman" w:hAnsi="Times New Roman" w:cs="Times New Roman"/>
          <w:sz w:val="18"/>
          <w:szCs w:val="18"/>
        </w:rPr>
        <w:t>accidents</w:t>
      </w:r>
      <w:r w:rsidRPr="007C6323">
        <w:rPr>
          <w:rFonts w:ascii="Times New Roman" w:hAnsi="Times New Roman" w:cs="Times New Roman"/>
          <w:sz w:val="18"/>
          <w:szCs w:val="18"/>
        </w:rPr>
        <w:t xml:space="preserve"> in the refinery and petrochemical sectors from 1978 forward, only </w:t>
      </w:r>
      <w:r w:rsidRPr="007C6323" w:rsidR="00FF0789">
        <w:rPr>
          <w:rFonts w:ascii="Times New Roman" w:hAnsi="Times New Roman" w:cs="Times New Roman"/>
          <w:sz w:val="18"/>
          <w:szCs w:val="18"/>
        </w:rPr>
        <w:t>accidents</w:t>
      </w:r>
      <w:r w:rsidRPr="007C6323">
        <w:rPr>
          <w:rFonts w:ascii="Times New Roman" w:hAnsi="Times New Roman" w:cs="Times New Roman"/>
          <w:sz w:val="18"/>
          <w:szCs w:val="18"/>
        </w:rPr>
        <w:t xml:space="preserve"> that may have been related to a release of a regulated substance, and only damage unrelated to natural disasters</w:t>
      </w:r>
      <w:r w:rsidR="00360660">
        <w:rPr>
          <w:rFonts w:ascii="Times New Roman" w:hAnsi="Times New Roman" w:cs="Times New Roman"/>
          <w:sz w:val="18"/>
          <w:szCs w:val="18"/>
        </w:rPr>
        <w:t xml:space="preserve"> </w:t>
      </w:r>
      <w:r w:rsidR="00056661">
        <w:rPr>
          <w:rFonts w:ascii="Times New Roman" w:hAnsi="Times New Roman" w:cs="Times New Roman"/>
          <w:sz w:val="18"/>
          <w:szCs w:val="18"/>
        </w:rPr>
        <w:t>except for</w:t>
      </w:r>
      <w:r w:rsidR="00360660">
        <w:rPr>
          <w:rFonts w:ascii="Times New Roman" w:hAnsi="Times New Roman" w:cs="Times New Roman"/>
          <w:sz w:val="18"/>
          <w:szCs w:val="18"/>
        </w:rPr>
        <w:t xml:space="preserve"> </w:t>
      </w:r>
      <w:r w:rsidR="0099353F">
        <w:rPr>
          <w:rFonts w:ascii="Times New Roman" w:hAnsi="Times New Roman" w:cs="Times New Roman"/>
          <w:sz w:val="18"/>
          <w:szCs w:val="18"/>
        </w:rPr>
        <w:t xml:space="preserve">the </w:t>
      </w:r>
      <w:r w:rsidR="003A1E9C">
        <w:rPr>
          <w:rFonts w:ascii="Times New Roman" w:hAnsi="Times New Roman" w:cs="Times New Roman"/>
          <w:sz w:val="18"/>
          <w:szCs w:val="18"/>
        </w:rPr>
        <w:t xml:space="preserve">1994 Cedar Bayou flooding and </w:t>
      </w:r>
      <w:r w:rsidR="00D24E84">
        <w:rPr>
          <w:rFonts w:ascii="Times New Roman" w:hAnsi="Times New Roman" w:cs="Times New Roman"/>
          <w:sz w:val="18"/>
          <w:szCs w:val="18"/>
        </w:rPr>
        <w:t xml:space="preserve">2007 Pascagoula </w:t>
      </w:r>
      <w:r w:rsidR="00EA1AF3">
        <w:rPr>
          <w:rFonts w:ascii="Times New Roman" w:hAnsi="Times New Roman" w:cs="Times New Roman"/>
          <w:sz w:val="18"/>
          <w:szCs w:val="18"/>
        </w:rPr>
        <w:t>oil fire</w:t>
      </w:r>
      <w:r w:rsidRPr="007C6323">
        <w:rPr>
          <w:rFonts w:ascii="Times New Roman" w:hAnsi="Times New Roman" w:cs="Times New Roman"/>
          <w:sz w:val="18"/>
          <w:szCs w:val="18"/>
        </w:rPr>
        <w:t>.</w:t>
      </w:r>
    </w:p>
    <w:p w:rsidR="00B31DB9" w:rsidP="00843847" w14:paraId="7B797FA8" w14:textId="77777777">
      <w:pPr>
        <w:spacing w:after="0"/>
        <w:ind w:right="617"/>
        <w:rPr>
          <w:rFonts w:ascii="Times New Roman" w:hAnsi="Times New Roman"/>
          <w:sz w:val="20"/>
          <w:szCs w:val="20"/>
        </w:rPr>
      </w:pPr>
    </w:p>
    <w:p w:rsidR="0052180D" w:rsidP="00347BE9" w14:paraId="7F233E2C" w14:textId="77777777"/>
    <w:p w:rsidR="0052180D" w14:paraId="06151ECA" w14:textId="77777777">
      <w:pPr>
        <w:rPr>
          <w:rFonts w:ascii="Times New Roman" w:hAnsi="Times New Roman" w:cs="Times New Roman"/>
          <w:b/>
          <w:bCs/>
          <w:sz w:val="36"/>
          <w:szCs w:val="36"/>
        </w:rPr>
      </w:pPr>
      <w:r>
        <w:br w:type="page"/>
      </w:r>
    </w:p>
    <w:p w:rsidR="00B31DB9" w:rsidRPr="003165DF" w:rsidP="00B31DB9" w14:paraId="734AE826" w14:textId="77777777">
      <w:pPr>
        <w:pStyle w:val="Heading1"/>
      </w:pPr>
      <w:bookmarkStart w:id="565" w:name="_Toc144303629"/>
      <w:r>
        <w:t>APPENDIX C: Small Entity Analysis Data Comparison</w:t>
      </w:r>
      <w:bookmarkEnd w:id="565"/>
      <w:r>
        <w:t xml:space="preserve"> </w:t>
      </w:r>
    </w:p>
    <w:p w:rsidR="005C4A8D" w:rsidP="0067547A" w14:paraId="1BB8DF8F" w14:textId="77777777">
      <w:pPr>
        <w:spacing w:after="0" w:line="240" w:lineRule="auto"/>
        <w:ind w:firstLine="720"/>
        <w:rPr>
          <w:rFonts w:ascii="Times New Roman" w:hAnsi="Times New Roman" w:cs="Times New Roman"/>
        </w:rPr>
      </w:pPr>
      <w:r w:rsidRPr="003A3D57">
        <w:rPr>
          <w:rFonts w:ascii="Times New Roman" w:hAnsi="Times New Roman" w:cs="Times New Roman"/>
        </w:rPr>
        <w:t xml:space="preserve">EPA </w:t>
      </w:r>
      <w:r w:rsidR="00F23FAE">
        <w:rPr>
          <w:rFonts w:ascii="Times New Roman" w:hAnsi="Times New Roman" w:cs="Times New Roman"/>
        </w:rPr>
        <w:t>received</w:t>
      </w:r>
      <w:r>
        <w:rPr>
          <w:rFonts w:ascii="Times New Roman" w:hAnsi="Times New Roman" w:cs="Times New Roman"/>
        </w:rPr>
        <w:t xml:space="preserve"> </w:t>
      </w:r>
      <w:r w:rsidR="00D6568E">
        <w:rPr>
          <w:rFonts w:ascii="Times New Roman" w:hAnsi="Times New Roman" w:cs="Times New Roman"/>
        </w:rPr>
        <w:t xml:space="preserve">public </w:t>
      </w:r>
      <w:r w:rsidRPr="003A3D57">
        <w:rPr>
          <w:rFonts w:ascii="Times New Roman" w:hAnsi="Times New Roman" w:cs="Times New Roman"/>
        </w:rPr>
        <w:t xml:space="preserve">comments questioning the </w:t>
      </w:r>
      <w:r w:rsidR="00D6568E">
        <w:rPr>
          <w:rFonts w:ascii="Times New Roman" w:hAnsi="Times New Roman" w:cs="Times New Roman"/>
        </w:rPr>
        <w:t>Agency’s</w:t>
      </w:r>
      <w:r w:rsidRPr="003A3D57">
        <w:rPr>
          <w:rFonts w:ascii="Times New Roman" w:hAnsi="Times New Roman" w:cs="Times New Roman"/>
        </w:rPr>
        <w:t xml:space="preserve"> use of Data Axle data in the small entity analysis</w:t>
      </w:r>
      <w:r w:rsidR="00F23FAE">
        <w:rPr>
          <w:rFonts w:ascii="Times New Roman" w:hAnsi="Times New Roman" w:cs="Times New Roman"/>
        </w:rPr>
        <w:t xml:space="preserve"> </w:t>
      </w:r>
      <w:r w:rsidRPr="231004A8" w:rsidR="5C1567A8">
        <w:rPr>
          <w:rFonts w:ascii="Times New Roman" w:hAnsi="Times New Roman" w:cs="Times New Roman"/>
        </w:rPr>
        <w:t>because</w:t>
      </w:r>
      <w:r w:rsidR="00EB3215">
        <w:rPr>
          <w:rFonts w:ascii="Times New Roman" w:hAnsi="Times New Roman" w:cs="Times New Roman"/>
        </w:rPr>
        <w:t xml:space="preserve"> </w:t>
      </w:r>
      <w:r w:rsidR="000D22D9">
        <w:rPr>
          <w:rFonts w:ascii="Times New Roman" w:hAnsi="Times New Roman" w:cs="Times New Roman"/>
        </w:rPr>
        <w:t>the data are</w:t>
      </w:r>
      <w:r w:rsidR="007B5134">
        <w:rPr>
          <w:rFonts w:ascii="Times New Roman" w:hAnsi="Times New Roman" w:cs="Times New Roman"/>
        </w:rPr>
        <w:t xml:space="preserve"> not </w:t>
      </w:r>
      <w:r w:rsidR="00F23FAE">
        <w:rPr>
          <w:rFonts w:ascii="Times New Roman" w:hAnsi="Times New Roman" w:cs="Times New Roman"/>
        </w:rPr>
        <w:t>public</w:t>
      </w:r>
      <w:r w:rsidR="007B5134">
        <w:rPr>
          <w:rFonts w:ascii="Times New Roman" w:hAnsi="Times New Roman" w:cs="Times New Roman"/>
        </w:rPr>
        <w:t>ly</w:t>
      </w:r>
      <w:r w:rsidR="00F23FAE">
        <w:rPr>
          <w:rFonts w:ascii="Times New Roman" w:hAnsi="Times New Roman" w:cs="Times New Roman"/>
        </w:rPr>
        <w:t xml:space="preserve"> </w:t>
      </w:r>
      <w:r w:rsidRPr="231004A8" w:rsidR="00F23FAE">
        <w:rPr>
          <w:rFonts w:ascii="Times New Roman" w:hAnsi="Times New Roman" w:cs="Times New Roman"/>
        </w:rPr>
        <w:t>availab</w:t>
      </w:r>
      <w:r w:rsidRPr="231004A8" w:rsidR="49B9B7F7">
        <w:rPr>
          <w:rFonts w:ascii="Times New Roman" w:hAnsi="Times New Roman" w:cs="Times New Roman"/>
        </w:rPr>
        <w:t>le</w:t>
      </w:r>
      <w:r w:rsidR="00EB3215">
        <w:rPr>
          <w:rFonts w:ascii="Times New Roman" w:hAnsi="Times New Roman" w:cs="Times New Roman"/>
        </w:rPr>
        <w:t xml:space="preserve"> </w:t>
      </w:r>
      <w:r w:rsidR="007B5134">
        <w:rPr>
          <w:rFonts w:ascii="Times New Roman" w:hAnsi="Times New Roman" w:cs="Times New Roman"/>
        </w:rPr>
        <w:t>d</w:t>
      </w:r>
      <w:r w:rsidR="008D1177">
        <w:rPr>
          <w:rFonts w:ascii="Times New Roman" w:hAnsi="Times New Roman" w:cs="Times New Roman"/>
        </w:rPr>
        <w:t xml:space="preserve">ue to </w:t>
      </w:r>
      <w:r w:rsidR="00EB3215">
        <w:rPr>
          <w:rFonts w:ascii="Times New Roman" w:hAnsi="Times New Roman" w:cs="Times New Roman"/>
        </w:rPr>
        <w:t>Data Axle’s</w:t>
      </w:r>
      <w:r w:rsidR="008D1177">
        <w:rPr>
          <w:rFonts w:ascii="Times New Roman" w:hAnsi="Times New Roman" w:cs="Times New Roman"/>
        </w:rPr>
        <w:t xml:space="preserve"> </w:t>
      </w:r>
      <w:r w:rsidR="00E569F4">
        <w:rPr>
          <w:rFonts w:ascii="Times New Roman" w:hAnsi="Times New Roman" w:cs="Times New Roman"/>
        </w:rPr>
        <w:t>data privacy</w:t>
      </w:r>
      <w:r w:rsidR="008C68D4">
        <w:rPr>
          <w:rFonts w:ascii="Times New Roman" w:hAnsi="Times New Roman" w:cs="Times New Roman"/>
        </w:rPr>
        <w:t xml:space="preserve"> restrictions</w:t>
      </w:r>
      <w:r w:rsidR="001543B7">
        <w:rPr>
          <w:rFonts w:ascii="Times New Roman" w:hAnsi="Times New Roman" w:cs="Times New Roman"/>
        </w:rPr>
        <w:t xml:space="preserve">. To address </w:t>
      </w:r>
      <w:r w:rsidR="000D22D9">
        <w:rPr>
          <w:rFonts w:ascii="Times New Roman" w:hAnsi="Times New Roman" w:cs="Times New Roman"/>
        </w:rPr>
        <w:t xml:space="preserve">these </w:t>
      </w:r>
      <w:r w:rsidR="001543B7">
        <w:rPr>
          <w:rFonts w:ascii="Times New Roman" w:hAnsi="Times New Roman" w:cs="Times New Roman"/>
        </w:rPr>
        <w:t>concern</w:t>
      </w:r>
      <w:r w:rsidR="008C68D4">
        <w:rPr>
          <w:rFonts w:ascii="Times New Roman" w:hAnsi="Times New Roman" w:cs="Times New Roman"/>
        </w:rPr>
        <w:t>s,</w:t>
      </w:r>
      <w:r w:rsidR="001543B7">
        <w:rPr>
          <w:rFonts w:ascii="Times New Roman" w:hAnsi="Times New Roman" w:cs="Times New Roman"/>
        </w:rPr>
        <w:t xml:space="preserve"> EPA </w:t>
      </w:r>
      <w:r w:rsidR="008C68D4">
        <w:rPr>
          <w:rFonts w:ascii="Times New Roman" w:hAnsi="Times New Roman" w:cs="Times New Roman"/>
        </w:rPr>
        <w:t xml:space="preserve">used </w:t>
      </w:r>
      <w:r w:rsidRPr="39CCDA09" w:rsidR="3A9A97D4">
        <w:rPr>
          <w:rFonts w:ascii="Times New Roman" w:hAnsi="Times New Roman" w:cs="Times New Roman"/>
        </w:rPr>
        <w:t>Dun &amp; Bradstreet (</w:t>
      </w:r>
      <w:r w:rsidR="008C68D4">
        <w:rPr>
          <w:rFonts w:ascii="Times New Roman" w:hAnsi="Times New Roman" w:cs="Times New Roman"/>
        </w:rPr>
        <w:t>D&amp;B</w:t>
      </w:r>
      <w:r w:rsidRPr="39CCDA09" w:rsidR="2F9CA94B">
        <w:rPr>
          <w:rFonts w:ascii="Times New Roman" w:hAnsi="Times New Roman" w:cs="Times New Roman"/>
        </w:rPr>
        <w:t>)</w:t>
      </w:r>
      <w:r w:rsidR="008C68D4">
        <w:rPr>
          <w:rFonts w:ascii="Times New Roman" w:hAnsi="Times New Roman" w:cs="Times New Roman"/>
        </w:rPr>
        <w:t xml:space="preserve"> Hoovers data on private firms impacted by the rule to </w:t>
      </w:r>
      <w:r w:rsidR="001543B7">
        <w:rPr>
          <w:rFonts w:ascii="Times New Roman" w:hAnsi="Times New Roman" w:cs="Times New Roman"/>
        </w:rPr>
        <w:t xml:space="preserve">develop a </w:t>
      </w:r>
      <w:r w:rsidR="00657278">
        <w:rPr>
          <w:rFonts w:ascii="Times New Roman" w:hAnsi="Times New Roman" w:cs="Times New Roman"/>
        </w:rPr>
        <w:t>second</w:t>
      </w:r>
      <w:r w:rsidR="00D6568E">
        <w:rPr>
          <w:rFonts w:ascii="Times New Roman" w:hAnsi="Times New Roman" w:cs="Times New Roman"/>
        </w:rPr>
        <w:t>,</w:t>
      </w:r>
      <w:r w:rsidR="00657278">
        <w:rPr>
          <w:rFonts w:ascii="Times New Roman" w:hAnsi="Times New Roman" w:cs="Times New Roman"/>
        </w:rPr>
        <w:t xml:space="preserve"> </w:t>
      </w:r>
      <w:r w:rsidR="001543B7">
        <w:rPr>
          <w:rFonts w:ascii="Times New Roman" w:hAnsi="Times New Roman" w:cs="Times New Roman"/>
        </w:rPr>
        <w:t>small entity analysis</w:t>
      </w:r>
      <w:r w:rsidR="001B6F96">
        <w:rPr>
          <w:rFonts w:ascii="Times New Roman" w:hAnsi="Times New Roman" w:cs="Times New Roman"/>
        </w:rPr>
        <w:t>, which EPA is making publicly available</w:t>
      </w:r>
      <w:r w:rsidR="005B6E12">
        <w:rPr>
          <w:rFonts w:ascii="Times New Roman" w:hAnsi="Times New Roman" w:cs="Times New Roman"/>
        </w:rPr>
        <w:t xml:space="preserve"> in the docket for this rulemaking</w:t>
      </w:r>
      <w:r w:rsidR="001D2ED8">
        <w:rPr>
          <w:rFonts w:ascii="Times New Roman" w:hAnsi="Times New Roman" w:cs="Times New Roman"/>
        </w:rPr>
        <w:t xml:space="preserve">. This analysis also serves as a robustness check on the </w:t>
      </w:r>
      <w:r w:rsidRPr="7C740993" w:rsidR="61EA49C5">
        <w:rPr>
          <w:rFonts w:ascii="Times New Roman" w:hAnsi="Times New Roman" w:cs="Times New Roman"/>
        </w:rPr>
        <w:t xml:space="preserve">Data Axle </w:t>
      </w:r>
      <w:r w:rsidR="001D2ED8">
        <w:rPr>
          <w:rFonts w:ascii="Times New Roman" w:hAnsi="Times New Roman" w:cs="Times New Roman"/>
        </w:rPr>
        <w:t>small entity analysis results.</w:t>
      </w:r>
      <w:r>
        <w:rPr>
          <w:rFonts w:ascii="Times New Roman" w:hAnsi="Times New Roman" w:cs="Times New Roman"/>
        </w:rPr>
        <w:t xml:space="preserve"> </w:t>
      </w:r>
      <w:r w:rsidR="00EF1B8A">
        <w:rPr>
          <w:rFonts w:ascii="Times New Roman" w:hAnsi="Times New Roman" w:cs="Times New Roman"/>
        </w:rPr>
        <w:t>EPA develop</w:t>
      </w:r>
      <w:r w:rsidR="008C68D4">
        <w:rPr>
          <w:rFonts w:ascii="Times New Roman" w:hAnsi="Times New Roman" w:cs="Times New Roman"/>
        </w:rPr>
        <w:t>ed</w:t>
      </w:r>
      <w:r w:rsidR="00EF1B8A">
        <w:rPr>
          <w:rFonts w:ascii="Times New Roman" w:hAnsi="Times New Roman" w:cs="Times New Roman"/>
        </w:rPr>
        <w:t xml:space="preserve"> this comparison of small entity analysis results for both the </w:t>
      </w:r>
      <w:r w:rsidRPr="00347BE9" w:rsidR="00D32ADF">
        <w:rPr>
          <w:rFonts w:ascii="Times New Roman" w:hAnsi="Times New Roman" w:cs="Times New Roman"/>
        </w:rPr>
        <w:t>propose</w:t>
      </w:r>
      <w:r w:rsidRPr="008A3CE4" w:rsidR="00EF1B8A">
        <w:rPr>
          <w:rFonts w:ascii="Times New Roman" w:hAnsi="Times New Roman" w:cs="Times New Roman"/>
        </w:rPr>
        <w:t>d and final rule cost estimates.</w:t>
      </w:r>
    </w:p>
    <w:p w:rsidR="00FF49C0" w:rsidRPr="008A3CE4" w:rsidP="0067547A" w14:paraId="1E653E34" w14:textId="77777777">
      <w:pPr>
        <w:spacing w:after="0" w:line="240" w:lineRule="auto"/>
        <w:ind w:firstLine="720"/>
      </w:pPr>
    </w:p>
    <w:p w:rsidR="00270A07" w:rsidRPr="008A3CE4" w:rsidP="00C07306" w14:paraId="2D100EC8" w14:textId="77777777">
      <w:pPr>
        <w:pStyle w:val="Heading2"/>
      </w:pPr>
      <w:bookmarkStart w:id="566" w:name="_Toc144303630"/>
      <w:r w:rsidRPr="008A3CE4">
        <w:t>C.1</w:t>
      </w:r>
      <w:r w:rsidRPr="008A3CE4" w:rsidR="000A18E2">
        <w:t xml:space="preserve"> </w:t>
      </w:r>
      <w:r w:rsidRPr="00347BE9" w:rsidR="00D32ADF">
        <w:t>Propose</w:t>
      </w:r>
      <w:r w:rsidRPr="008A3CE4" w:rsidR="00C4286C">
        <w:t xml:space="preserve">d Rule </w:t>
      </w:r>
      <w:r w:rsidRPr="008A3CE4" w:rsidR="00596352">
        <w:t>Data Comparison</w:t>
      </w:r>
      <w:bookmarkEnd w:id="566"/>
    </w:p>
    <w:p w:rsidR="00855566" w:rsidRPr="008A3CE4" w:rsidP="0067547A" w14:paraId="5C13E9D8" w14:textId="77777777">
      <w:pPr>
        <w:spacing w:after="0" w:line="240" w:lineRule="auto"/>
        <w:ind w:right="617" w:firstLine="720"/>
        <w:rPr>
          <w:rFonts w:ascii="Times New Roman" w:hAnsi="Times New Roman"/>
        </w:rPr>
      </w:pPr>
      <w:r w:rsidRPr="008A3CE4">
        <w:rPr>
          <w:rFonts w:ascii="Times New Roman" w:hAnsi="Times New Roman"/>
        </w:rPr>
        <w:t>This section</w:t>
      </w:r>
      <w:r w:rsidRPr="008A3CE4" w:rsidR="000B6A8F">
        <w:rPr>
          <w:rFonts w:ascii="Times New Roman" w:hAnsi="Times New Roman"/>
        </w:rPr>
        <w:t xml:space="preserve"> compares</w:t>
      </w:r>
      <w:r w:rsidRPr="008A3CE4" w:rsidR="00D950F2">
        <w:rPr>
          <w:rFonts w:ascii="Times New Roman" w:hAnsi="Times New Roman"/>
        </w:rPr>
        <w:t xml:space="preserve"> the</w:t>
      </w:r>
      <w:r w:rsidRPr="008A3CE4" w:rsidR="000B6A8F">
        <w:rPr>
          <w:rFonts w:ascii="Times New Roman" w:hAnsi="Times New Roman"/>
        </w:rPr>
        <w:t xml:space="preserve"> </w:t>
      </w:r>
      <w:r w:rsidRPr="00347BE9" w:rsidR="00D32ADF">
        <w:rPr>
          <w:rFonts w:ascii="Times New Roman" w:hAnsi="Times New Roman"/>
        </w:rPr>
        <w:t>propose</w:t>
      </w:r>
      <w:r w:rsidRPr="008A3CE4" w:rsidR="000E6516">
        <w:rPr>
          <w:rFonts w:ascii="Times New Roman" w:hAnsi="Times New Roman"/>
        </w:rPr>
        <w:t xml:space="preserve">d rule </w:t>
      </w:r>
      <w:r w:rsidRPr="008A3CE4" w:rsidR="00D950F2">
        <w:rPr>
          <w:rFonts w:ascii="Times New Roman" w:hAnsi="Times New Roman"/>
        </w:rPr>
        <w:t>small entity analysis</w:t>
      </w:r>
      <w:r w:rsidRPr="008A3CE4" w:rsidR="000B6A8F">
        <w:rPr>
          <w:rFonts w:ascii="Times New Roman" w:hAnsi="Times New Roman"/>
        </w:rPr>
        <w:t xml:space="preserve"> using Data </w:t>
      </w:r>
      <w:r w:rsidRPr="008A3CE4" w:rsidR="008F629C">
        <w:rPr>
          <w:rFonts w:ascii="Times New Roman" w:hAnsi="Times New Roman"/>
        </w:rPr>
        <w:t xml:space="preserve">Axle </w:t>
      </w:r>
      <w:r w:rsidRPr="008A3CE4" w:rsidR="00BC2DDD">
        <w:rPr>
          <w:rFonts w:ascii="Times New Roman" w:hAnsi="Times New Roman"/>
        </w:rPr>
        <w:t xml:space="preserve">data </w:t>
      </w:r>
      <w:r w:rsidR="0058445A">
        <w:rPr>
          <w:rFonts w:ascii="Times New Roman" w:hAnsi="Times New Roman"/>
        </w:rPr>
        <w:t>(referred to as the original analysis)</w:t>
      </w:r>
      <w:r w:rsidRPr="008A3CE4" w:rsidR="00BC2DDD">
        <w:rPr>
          <w:rFonts w:ascii="Times New Roman" w:hAnsi="Times New Roman"/>
        </w:rPr>
        <w:t xml:space="preserve"> with a </w:t>
      </w:r>
      <w:r w:rsidR="00EB3215">
        <w:rPr>
          <w:rFonts w:ascii="Times New Roman" w:hAnsi="Times New Roman"/>
        </w:rPr>
        <w:t>duplicate</w:t>
      </w:r>
      <w:r w:rsidRPr="008A3CE4" w:rsidR="00BC2DDD">
        <w:rPr>
          <w:rFonts w:ascii="Times New Roman" w:hAnsi="Times New Roman"/>
        </w:rPr>
        <w:t xml:space="preserve"> </w:t>
      </w:r>
      <w:r w:rsidRPr="008A3CE4" w:rsidR="00963E63">
        <w:rPr>
          <w:rFonts w:ascii="Times New Roman" w:hAnsi="Times New Roman"/>
        </w:rPr>
        <w:t>analysis using D</w:t>
      </w:r>
      <w:r w:rsidRPr="008A3CE4" w:rsidR="00322FCE">
        <w:rPr>
          <w:rFonts w:ascii="Times New Roman" w:hAnsi="Times New Roman"/>
        </w:rPr>
        <w:t xml:space="preserve">&amp;B </w:t>
      </w:r>
      <w:r w:rsidRPr="008A3CE4" w:rsidR="00633A6D">
        <w:rPr>
          <w:rFonts w:ascii="Times New Roman" w:hAnsi="Times New Roman"/>
        </w:rPr>
        <w:t xml:space="preserve">Hoovers </w:t>
      </w:r>
      <w:r w:rsidRPr="008A3CE4" w:rsidR="00BD0992">
        <w:rPr>
          <w:rFonts w:ascii="Times New Roman" w:hAnsi="Times New Roman"/>
        </w:rPr>
        <w:t>data and</w:t>
      </w:r>
      <w:r w:rsidRPr="008A3CE4" w:rsidR="00633A6D">
        <w:rPr>
          <w:rFonts w:ascii="Times New Roman" w:hAnsi="Times New Roman"/>
        </w:rPr>
        <w:t xml:space="preserve"> found th</w:t>
      </w:r>
      <w:r w:rsidRPr="008A3CE4" w:rsidR="004319CB">
        <w:rPr>
          <w:rFonts w:ascii="Times New Roman" w:hAnsi="Times New Roman"/>
        </w:rPr>
        <w:t>e results t</w:t>
      </w:r>
      <w:r w:rsidRPr="008A3CE4" w:rsidR="007524D0">
        <w:rPr>
          <w:rFonts w:ascii="Times New Roman" w:hAnsi="Times New Roman"/>
        </w:rPr>
        <w:t>o be largely the same</w:t>
      </w:r>
      <w:r w:rsidR="0006514B">
        <w:rPr>
          <w:rFonts w:ascii="Times New Roman" w:hAnsi="Times New Roman"/>
        </w:rPr>
        <w:t xml:space="preserve">; i.e., </w:t>
      </w:r>
      <w:r w:rsidRPr="008A3CE4" w:rsidR="00874BAB">
        <w:rPr>
          <w:rFonts w:ascii="Times New Roman" w:hAnsi="Times New Roman"/>
        </w:rPr>
        <w:t xml:space="preserve">the </w:t>
      </w:r>
      <w:r w:rsidRPr="00347BE9" w:rsidR="00D32ADF">
        <w:rPr>
          <w:rFonts w:ascii="Times New Roman" w:hAnsi="Times New Roman"/>
        </w:rPr>
        <w:t>propose</w:t>
      </w:r>
      <w:r w:rsidRPr="008A3CE4" w:rsidR="00874BAB">
        <w:rPr>
          <w:rFonts w:ascii="Times New Roman" w:hAnsi="Times New Roman"/>
        </w:rPr>
        <w:t xml:space="preserve">d rule </w:t>
      </w:r>
      <w:r w:rsidR="009837FF">
        <w:rPr>
          <w:rFonts w:ascii="Times New Roman" w:hAnsi="Times New Roman"/>
        </w:rPr>
        <w:t>w</w:t>
      </w:r>
      <w:r w:rsidR="00EB3215">
        <w:rPr>
          <w:rFonts w:ascii="Times New Roman" w:hAnsi="Times New Roman"/>
        </w:rPr>
        <w:t>ould</w:t>
      </w:r>
      <w:r w:rsidRPr="008A3CE4" w:rsidR="00874BAB">
        <w:rPr>
          <w:rFonts w:ascii="Times New Roman" w:hAnsi="Times New Roman"/>
        </w:rPr>
        <w:t xml:space="preserve"> not </w:t>
      </w:r>
      <w:r w:rsidR="00BA7C76">
        <w:rPr>
          <w:rFonts w:ascii="Times New Roman" w:hAnsi="Times New Roman"/>
        </w:rPr>
        <w:t xml:space="preserve">have </w:t>
      </w:r>
      <w:r w:rsidRPr="008A3CE4" w:rsidR="00874BAB">
        <w:rPr>
          <w:rFonts w:ascii="Times New Roman" w:hAnsi="Times New Roman"/>
        </w:rPr>
        <w:t>impose</w:t>
      </w:r>
      <w:r w:rsidR="00BA7C76">
        <w:rPr>
          <w:rFonts w:ascii="Times New Roman" w:hAnsi="Times New Roman"/>
        </w:rPr>
        <w:t>d</w:t>
      </w:r>
      <w:r w:rsidRPr="008A3CE4" w:rsidR="00874BAB">
        <w:rPr>
          <w:rFonts w:ascii="Times New Roman" w:hAnsi="Times New Roman"/>
        </w:rPr>
        <w:t xml:space="preserve"> a significant economic </w:t>
      </w:r>
      <w:r w:rsidRPr="008A3CE4" w:rsidR="00916C5F">
        <w:rPr>
          <w:rFonts w:ascii="Times New Roman" w:hAnsi="Times New Roman"/>
        </w:rPr>
        <w:t>impact</w:t>
      </w:r>
      <w:r w:rsidRPr="008A3CE4" w:rsidR="00874BAB">
        <w:rPr>
          <w:rFonts w:ascii="Times New Roman" w:hAnsi="Times New Roman"/>
        </w:rPr>
        <w:t xml:space="preserve"> on </w:t>
      </w:r>
      <w:r w:rsidRPr="008A3CE4" w:rsidR="00916C5F">
        <w:rPr>
          <w:rFonts w:ascii="Times New Roman" w:hAnsi="Times New Roman"/>
        </w:rPr>
        <w:t>a substantial number of</w:t>
      </w:r>
      <w:r w:rsidRPr="008A3CE4" w:rsidR="00874BAB">
        <w:rPr>
          <w:rFonts w:ascii="Times New Roman" w:hAnsi="Times New Roman"/>
        </w:rPr>
        <w:t xml:space="preserve"> small entities</w:t>
      </w:r>
      <w:r w:rsidRPr="008A3CE4" w:rsidR="00916C5F">
        <w:rPr>
          <w:rFonts w:ascii="Times New Roman" w:hAnsi="Times New Roman"/>
        </w:rPr>
        <w:t>.</w:t>
      </w:r>
      <w:r w:rsidRPr="008A3CE4" w:rsidR="00874BAB">
        <w:rPr>
          <w:rFonts w:ascii="Times New Roman" w:hAnsi="Times New Roman"/>
        </w:rPr>
        <w:t xml:space="preserve"> For private sector entities, EPA estimates that</w:t>
      </w:r>
      <w:r w:rsidR="008C68D4">
        <w:rPr>
          <w:rFonts w:ascii="Times New Roman" w:hAnsi="Times New Roman"/>
        </w:rPr>
        <w:t xml:space="preserve"> </w:t>
      </w:r>
      <w:r w:rsidRPr="008A3CE4" w:rsidR="008C68D4">
        <w:rPr>
          <w:rFonts w:ascii="Times New Roman" w:hAnsi="Times New Roman"/>
        </w:rPr>
        <w:t>based on Data Axle and D&amp;B Hoovers data, respectively</w:t>
      </w:r>
      <w:r w:rsidR="008C68D4">
        <w:rPr>
          <w:rFonts w:ascii="Times New Roman" w:hAnsi="Times New Roman"/>
        </w:rPr>
        <w:t xml:space="preserve">, </w:t>
      </w:r>
      <w:r w:rsidRPr="008A3CE4" w:rsidR="00874BAB">
        <w:rPr>
          <w:rFonts w:ascii="Times New Roman" w:hAnsi="Times New Roman"/>
        </w:rPr>
        <w:t xml:space="preserve">3.1 </w:t>
      </w:r>
      <w:r w:rsidRPr="008A3CE4" w:rsidR="0032338A">
        <w:rPr>
          <w:rFonts w:ascii="Times New Roman" w:hAnsi="Times New Roman"/>
        </w:rPr>
        <w:t xml:space="preserve">and </w:t>
      </w:r>
      <w:r w:rsidRPr="008A3CE4" w:rsidR="0009268E">
        <w:rPr>
          <w:rFonts w:ascii="Times New Roman" w:hAnsi="Times New Roman"/>
        </w:rPr>
        <w:t>1.8</w:t>
      </w:r>
      <w:r w:rsidRPr="008A3CE4" w:rsidR="0032338A">
        <w:rPr>
          <w:rFonts w:ascii="Times New Roman" w:hAnsi="Times New Roman"/>
        </w:rPr>
        <w:t xml:space="preserve"> </w:t>
      </w:r>
      <w:r w:rsidRPr="008A3CE4" w:rsidR="00874BAB">
        <w:rPr>
          <w:rFonts w:ascii="Times New Roman" w:hAnsi="Times New Roman"/>
        </w:rPr>
        <w:t xml:space="preserve">percent </w:t>
      </w:r>
      <w:r w:rsidR="00EF1B91">
        <w:rPr>
          <w:rFonts w:ascii="Times New Roman" w:hAnsi="Times New Roman"/>
        </w:rPr>
        <w:t xml:space="preserve">of </w:t>
      </w:r>
      <w:r w:rsidR="008C68D4">
        <w:rPr>
          <w:rFonts w:ascii="Times New Roman" w:hAnsi="Times New Roman"/>
        </w:rPr>
        <w:t>(</w:t>
      </w:r>
      <w:r w:rsidR="00194E7E">
        <w:rPr>
          <w:rFonts w:ascii="Times New Roman" w:hAnsi="Times New Roman"/>
        </w:rPr>
        <w:t>89</w:t>
      </w:r>
      <w:r w:rsidR="008C68D4">
        <w:rPr>
          <w:rFonts w:ascii="Times New Roman" w:hAnsi="Times New Roman"/>
        </w:rPr>
        <w:t xml:space="preserve"> and </w:t>
      </w:r>
      <w:r w:rsidR="00AF36A3">
        <w:rPr>
          <w:rFonts w:ascii="Times New Roman" w:hAnsi="Times New Roman"/>
        </w:rPr>
        <w:t>22</w:t>
      </w:r>
      <w:r w:rsidR="008C68D4">
        <w:rPr>
          <w:rFonts w:ascii="Times New Roman" w:hAnsi="Times New Roman"/>
        </w:rPr>
        <w:t xml:space="preserve">) </w:t>
      </w:r>
      <w:r w:rsidRPr="008A3CE4" w:rsidR="00874BAB">
        <w:rPr>
          <w:rFonts w:ascii="Times New Roman" w:hAnsi="Times New Roman"/>
        </w:rPr>
        <w:t xml:space="preserve">small entities </w:t>
      </w:r>
      <w:r w:rsidR="009837FF">
        <w:rPr>
          <w:rFonts w:ascii="Times New Roman" w:hAnsi="Times New Roman"/>
        </w:rPr>
        <w:t>w</w:t>
      </w:r>
      <w:r w:rsidR="00EB3215">
        <w:rPr>
          <w:rFonts w:ascii="Times New Roman" w:hAnsi="Times New Roman"/>
        </w:rPr>
        <w:t>ould</w:t>
      </w:r>
      <w:r w:rsidRPr="008A3CE4" w:rsidR="00874BAB">
        <w:rPr>
          <w:rFonts w:ascii="Times New Roman" w:hAnsi="Times New Roman"/>
        </w:rPr>
        <w:t xml:space="preserve"> </w:t>
      </w:r>
      <w:r w:rsidR="00BA7C76">
        <w:rPr>
          <w:rFonts w:ascii="Times New Roman" w:hAnsi="Times New Roman"/>
        </w:rPr>
        <w:t xml:space="preserve">have </w:t>
      </w:r>
      <w:r w:rsidRPr="008A3CE4" w:rsidR="00874BAB">
        <w:rPr>
          <w:rFonts w:ascii="Times New Roman" w:hAnsi="Times New Roman"/>
        </w:rPr>
        <w:t>experience</w:t>
      </w:r>
      <w:r w:rsidR="00BA7C76">
        <w:rPr>
          <w:rFonts w:ascii="Times New Roman" w:hAnsi="Times New Roman"/>
        </w:rPr>
        <w:t>d</w:t>
      </w:r>
      <w:r w:rsidRPr="008A3CE4" w:rsidR="00874BAB">
        <w:rPr>
          <w:rFonts w:ascii="Times New Roman" w:hAnsi="Times New Roman"/>
        </w:rPr>
        <w:t xml:space="preserve"> costs exceeding 1 percent of revenue</w:t>
      </w:r>
      <w:r w:rsidR="008C68D4">
        <w:rPr>
          <w:rFonts w:ascii="Times New Roman" w:hAnsi="Times New Roman"/>
        </w:rPr>
        <w:t>,</w:t>
      </w:r>
      <w:r w:rsidRPr="008A3CE4" w:rsidR="00874BAB">
        <w:rPr>
          <w:rFonts w:ascii="Times New Roman" w:hAnsi="Times New Roman"/>
        </w:rPr>
        <w:t xml:space="preserve"> and only 0.2 </w:t>
      </w:r>
      <w:r w:rsidRPr="008A3CE4" w:rsidR="0032338A">
        <w:rPr>
          <w:rFonts w:ascii="Times New Roman" w:hAnsi="Times New Roman"/>
        </w:rPr>
        <w:t xml:space="preserve">and </w:t>
      </w:r>
      <w:r w:rsidRPr="008A3CE4" w:rsidR="0009268E">
        <w:rPr>
          <w:rFonts w:ascii="Times New Roman" w:hAnsi="Times New Roman"/>
        </w:rPr>
        <w:t>0.</w:t>
      </w:r>
      <w:r w:rsidR="00AF36A3">
        <w:rPr>
          <w:rFonts w:ascii="Times New Roman" w:hAnsi="Times New Roman"/>
        </w:rPr>
        <w:t>2</w:t>
      </w:r>
      <w:r w:rsidRPr="008A3CE4" w:rsidR="0032338A">
        <w:rPr>
          <w:rFonts w:ascii="Times New Roman" w:hAnsi="Times New Roman"/>
        </w:rPr>
        <w:t xml:space="preserve"> </w:t>
      </w:r>
      <w:r w:rsidRPr="008A3CE4" w:rsidR="00874BAB">
        <w:rPr>
          <w:rFonts w:ascii="Times New Roman" w:hAnsi="Times New Roman"/>
        </w:rPr>
        <w:t xml:space="preserve">percent of entities </w:t>
      </w:r>
      <w:r w:rsidR="008C68D4">
        <w:rPr>
          <w:rFonts w:ascii="Times New Roman" w:hAnsi="Times New Roman"/>
        </w:rPr>
        <w:t>(</w:t>
      </w:r>
      <w:r w:rsidR="00AF36A3">
        <w:rPr>
          <w:rFonts w:ascii="Times New Roman" w:hAnsi="Times New Roman"/>
        </w:rPr>
        <w:t>5</w:t>
      </w:r>
      <w:r w:rsidR="008C68D4">
        <w:rPr>
          <w:rFonts w:ascii="Times New Roman" w:hAnsi="Times New Roman"/>
        </w:rPr>
        <w:t xml:space="preserve"> and </w:t>
      </w:r>
      <w:r w:rsidR="00AF36A3">
        <w:rPr>
          <w:rFonts w:ascii="Times New Roman" w:hAnsi="Times New Roman"/>
        </w:rPr>
        <w:t>5</w:t>
      </w:r>
      <w:r w:rsidR="008C68D4">
        <w:rPr>
          <w:rFonts w:ascii="Times New Roman" w:hAnsi="Times New Roman"/>
        </w:rPr>
        <w:t xml:space="preserve">) </w:t>
      </w:r>
      <w:r w:rsidR="009837FF">
        <w:rPr>
          <w:rFonts w:ascii="Times New Roman" w:hAnsi="Times New Roman"/>
        </w:rPr>
        <w:t>w</w:t>
      </w:r>
      <w:r w:rsidR="00EB3215">
        <w:rPr>
          <w:rFonts w:ascii="Times New Roman" w:hAnsi="Times New Roman"/>
        </w:rPr>
        <w:t xml:space="preserve">ould </w:t>
      </w:r>
      <w:r w:rsidR="00BA7C76">
        <w:rPr>
          <w:rFonts w:ascii="Times New Roman" w:hAnsi="Times New Roman"/>
        </w:rPr>
        <w:t xml:space="preserve">have </w:t>
      </w:r>
      <w:r w:rsidR="00EB3215">
        <w:rPr>
          <w:rFonts w:ascii="Times New Roman" w:hAnsi="Times New Roman"/>
        </w:rPr>
        <w:t>incur</w:t>
      </w:r>
      <w:r w:rsidR="00BA7C76">
        <w:rPr>
          <w:rFonts w:ascii="Times New Roman" w:hAnsi="Times New Roman"/>
        </w:rPr>
        <w:t>red</w:t>
      </w:r>
      <w:r w:rsidRPr="008A3CE4" w:rsidR="00874BAB">
        <w:rPr>
          <w:rFonts w:ascii="Times New Roman" w:hAnsi="Times New Roman"/>
        </w:rPr>
        <w:t xml:space="preserve"> costs greater than 3 percent of revenue</w:t>
      </w:r>
      <w:r w:rsidR="007D4C63">
        <w:rPr>
          <w:rFonts w:ascii="Times New Roman" w:hAnsi="Times New Roman"/>
        </w:rPr>
        <w:t>.</w:t>
      </w:r>
      <w:r w:rsidRPr="008A3CE4" w:rsidR="009515CE">
        <w:rPr>
          <w:rFonts w:ascii="Times New Roman" w:hAnsi="Times New Roman"/>
        </w:rPr>
        <w:t xml:space="preserve"> </w:t>
      </w:r>
    </w:p>
    <w:p w:rsidR="00F82789" w:rsidRPr="008A3CE4" w:rsidP="0067547A" w14:paraId="02FEDF7C" w14:textId="77777777">
      <w:pPr>
        <w:spacing w:after="0" w:line="240" w:lineRule="auto"/>
        <w:ind w:right="617" w:firstLine="720"/>
        <w:rPr>
          <w:rFonts w:ascii="Times New Roman" w:hAnsi="Times New Roman"/>
        </w:rPr>
      </w:pPr>
    </w:p>
    <w:p w:rsidR="00C34955" w:rsidP="0067547A" w14:paraId="06D04DA0" w14:textId="77777777">
      <w:pPr>
        <w:spacing w:after="0" w:line="240" w:lineRule="auto"/>
        <w:ind w:firstLine="720"/>
        <w:rPr>
          <w:rFonts w:ascii="Times New Roman" w:hAnsi="Times New Roman" w:cs="Times New Roman"/>
        </w:rPr>
      </w:pPr>
      <w:r w:rsidRPr="008A3CE4">
        <w:rPr>
          <w:rFonts w:ascii="Times New Roman" w:hAnsi="Times New Roman" w:cs="Times New Roman"/>
        </w:rPr>
        <w:t xml:space="preserve">EPA retrieved data from Data Axle </w:t>
      </w:r>
      <w:r w:rsidRPr="008A3CE4" w:rsidR="0049335F">
        <w:rPr>
          <w:rFonts w:ascii="Times New Roman" w:hAnsi="Times New Roman" w:cs="Times New Roman"/>
        </w:rPr>
        <w:t xml:space="preserve">and D&amp;B Hoovers </w:t>
      </w:r>
      <w:r w:rsidRPr="008A3CE4">
        <w:rPr>
          <w:rFonts w:ascii="Times New Roman" w:hAnsi="Times New Roman" w:cs="Times New Roman"/>
        </w:rPr>
        <w:t>on the revenue, NAICS code, and employee count for each entity, parent company, or corporate entity</w:t>
      </w:r>
      <w:r w:rsidR="008C68D4">
        <w:rPr>
          <w:rFonts w:ascii="Times New Roman" w:hAnsi="Times New Roman" w:cs="Times New Roman"/>
        </w:rPr>
        <w:t>,</w:t>
      </w:r>
      <w:r w:rsidRPr="008A3CE4">
        <w:rPr>
          <w:rFonts w:ascii="Times New Roman" w:hAnsi="Times New Roman" w:cs="Times New Roman"/>
        </w:rPr>
        <w:t xml:space="preserve"> as appropriate. A summary of the number of facilities, the number of unique entities, the breakdown of private sector and government entities, and their size classifications is provided in Exhibit </w:t>
      </w:r>
      <w:r w:rsidRPr="008A3CE4" w:rsidR="008259BA">
        <w:rPr>
          <w:rFonts w:ascii="Times New Roman" w:hAnsi="Times New Roman" w:cs="Times New Roman"/>
        </w:rPr>
        <w:t>C</w:t>
      </w:r>
      <w:r w:rsidRPr="008A3CE4">
        <w:rPr>
          <w:rFonts w:ascii="Times New Roman" w:hAnsi="Times New Roman" w:cs="Times New Roman"/>
        </w:rPr>
        <w:t>-</w:t>
      </w:r>
      <w:r w:rsidRPr="008A3CE4" w:rsidR="00AC1D9F">
        <w:rPr>
          <w:rFonts w:ascii="Times New Roman" w:hAnsi="Times New Roman" w:cs="Times New Roman"/>
        </w:rPr>
        <w:t>1</w:t>
      </w:r>
      <w:r w:rsidRPr="008A3CE4">
        <w:rPr>
          <w:rFonts w:ascii="Times New Roman" w:hAnsi="Times New Roman" w:cs="Times New Roman"/>
        </w:rPr>
        <w:t>.</w:t>
      </w:r>
      <w:r w:rsidRPr="008A3CE4" w:rsidR="00992317">
        <w:rPr>
          <w:rFonts w:ascii="Times New Roman" w:hAnsi="Times New Roman" w:cs="Times New Roman"/>
        </w:rPr>
        <w:t xml:space="preserve"> </w:t>
      </w:r>
      <w:r w:rsidR="008C68D4">
        <w:rPr>
          <w:rFonts w:ascii="Times New Roman" w:hAnsi="Times New Roman" w:cs="Times New Roman"/>
        </w:rPr>
        <w:t>T</w:t>
      </w:r>
      <w:r w:rsidRPr="008A3CE4" w:rsidR="006519B8">
        <w:rPr>
          <w:rFonts w:ascii="Times New Roman" w:hAnsi="Times New Roman" w:cs="Times New Roman"/>
        </w:rPr>
        <w:t>o</w:t>
      </w:r>
      <w:r w:rsidRPr="008A3CE4" w:rsidR="00710F05">
        <w:rPr>
          <w:rFonts w:ascii="Times New Roman" w:hAnsi="Times New Roman" w:cs="Times New Roman"/>
        </w:rPr>
        <w:t xml:space="preserve"> provide a direct comparison of the </w:t>
      </w:r>
      <w:r w:rsidRPr="00347BE9" w:rsidR="00D32ADF">
        <w:rPr>
          <w:rFonts w:ascii="Times New Roman" w:hAnsi="Times New Roman" w:cs="Times New Roman"/>
        </w:rPr>
        <w:t>propose</w:t>
      </w:r>
      <w:r w:rsidRPr="008A3CE4" w:rsidR="00710F05">
        <w:rPr>
          <w:rFonts w:ascii="Times New Roman" w:hAnsi="Times New Roman" w:cs="Times New Roman"/>
        </w:rPr>
        <w:t>d</w:t>
      </w:r>
      <w:r w:rsidR="00710F05">
        <w:rPr>
          <w:rFonts w:ascii="Times New Roman" w:hAnsi="Times New Roman" w:cs="Times New Roman"/>
        </w:rPr>
        <w:t xml:space="preserve"> rule results using the two data sources</w:t>
      </w:r>
      <w:r w:rsidR="00680E9F">
        <w:rPr>
          <w:rFonts w:ascii="Times New Roman" w:hAnsi="Times New Roman" w:cs="Times New Roman"/>
        </w:rPr>
        <w:t>,</w:t>
      </w:r>
      <w:r w:rsidR="00710F05">
        <w:rPr>
          <w:rFonts w:ascii="Times New Roman" w:hAnsi="Times New Roman" w:cs="Times New Roman"/>
        </w:rPr>
        <w:t xml:space="preserve"> the s</w:t>
      </w:r>
      <w:r w:rsidR="00992317">
        <w:rPr>
          <w:rFonts w:ascii="Times New Roman" w:hAnsi="Times New Roman" w:cs="Times New Roman"/>
        </w:rPr>
        <w:t>mall</w:t>
      </w:r>
      <w:r w:rsidR="00A15940">
        <w:rPr>
          <w:rFonts w:ascii="Times New Roman" w:hAnsi="Times New Roman" w:cs="Times New Roman"/>
        </w:rPr>
        <w:t xml:space="preserve"> parent entities are classified</w:t>
      </w:r>
      <w:r w:rsidR="007B11DD">
        <w:rPr>
          <w:rFonts w:ascii="Times New Roman" w:hAnsi="Times New Roman" w:cs="Times New Roman"/>
        </w:rPr>
        <w:t xml:space="preserve"> </w:t>
      </w:r>
      <w:r w:rsidR="00E05A08">
        <w:rPr>
          <w:rFonts w:ascii="Times New Roman" w:hAnsi="Times New Roman" w:cs="Times New Roman"/>
        </w:rPr>
        <w:t>using 2019 SBA size standards, which differ from the si</w:t>
      </w:r>
      <w:r w:rsidR="003B389A">
        <w:rPr>
          <w:rFonts w:ascii="Times New Roman" w:hAnsi="Times New Roman" w:cs="Times New Roman"/>
        </w:rPr>
        <w:t xml:space="preserve">ze standard classifications that </w:t>
      </w:r>
      <w:r w:rsidR="00922359">
        <w:rPr>
          <w:rFonts w:ascii="Times New Roman" w:hAnsi="Times New Roman" w:cs="Times New Roman"/>
        </w:rPr>
        <w:t xml:space="preserve">the </w:t>
      </w:r>
      <w:r w:rsidR="003B389A">
        <w:rPr>
          <w:rFonts w:ascii="Times New Roman" w:hAnsi="Times New Roman" w:cs="Times New Roman"/>
        </w:rPr>
        <w:t>Chapter 8</w:t>
      </w:r>
      <w:r w:rsidR="00922359">
        <w:rPr>
          <w:rFonts w:ascii="Times New Roman" w:hAnsi="Times New Roman" w:cs="Times New Roman"/>
        </w:rPr>
        <w:t xml:space="preserve"> final rule RFA</w:t>
      </w:r>
      <w:r w:rsidR="003B389A">
        <w:rPr>
          <w:rFonts w:ascii="Times New Roman" w:hAnsi="Times New Roman" w:cs="Times New Roman"/>
        </w:rPr>
        <w:t xml:space="preserve"> analysis </w:t>
      </w:r>
      <w:r w:rsidR="003D545F">
        <w:rPr>
          <w:rFonts w:ascii="Times New Roman" w:hAnsi="Times New Roman" w:cs="Times New Roman"/>
        </w:rPr>
        <w:t>uses</w:t>
      </w:r>
      <w:r w:rsidR="003B389A">
        <w:rPr>
          <w:rFonts w:ascii="Times New Roman" w:hAnsi="Times New Roman" w:cs="Times New Roman"/>
        </w:rPr>
        <w:t>.</w:t>
      </w:r>
      <w:r w:rsidR="00E05A08">
        <w:rPr>
          <w:rFonts w:ascii="Times New Roman" w:hAnsi="Times New Roman" w:cs="Times New Roman"/>
        </w:rPr>
        <w:t xml:space="preserve"> </w:t>
      </w:r>
      <w:r w:rsidRPr="00693892">
        <w:rPr>
          <w:rFonts w:ascii="Times New Roman" w:hAnsi="Times New Roman" w:cs="Times New Roman"/>
        </w:rPr>
        <w:t xml:space="preserve"> </w:t>
      </w:r>
    </w:p>
    <w:p w:rsidR="00C34955" w:rsidRPr="00693892" w:rsidP="00C34955" w14:paraId="003EA1BD" w14:textId="77777777">
      <w:pPr>
        <w:spacing w:after="0" w:line="240" w:lineRule="auto"/>
        <w:ind w:firstLine="360"/>
        <w:rPr>
          <w:rFonts w:ascii="Times New Roman" w:hAnsi="Times New Roman" w:cs="Times New Roman"/>
        </w:rPr>
      </w:pPr>
    </w:p>
    <w:p w:rsidR="00C34955" w:rsidRPr="00E92045" w:rsidP="00C34955" w14:paraId="7DCF7303" w14:textId="77777777">
      <w:pPr>
        <w:pStyle w:val="Caption"/>
        <w:jc w:val="center"/>
        <w:rPr>
          <w:rFonts w:ascii="Times New Roman" w:hAnsi="Times New Roman" w:cs="Times New Roman"/>
          <w:b/>
          <w:bCs/>
          <w:i w:val="0"/>
          <w:iCs w:val="0"/>
          <w:color w:val="auto"/>
          <w:sz w:val="22"/>
          <w:szCs w:val="22"/>
        </w:rPr>
      </w:pPr>
      <w:r w:rsidRPr="00E92045">
        <w:rPr>
          <w:rFonts w:ascii="Times New Roman" w:hAnsi="Times New Roman" w:cs="Times New Roman"/>
          <w:b/>
          <w:bCs/>
          <w:i w:val="0"/>
          <w:iCs w:val="0"/>
          <w:color w:val="auto"/>
          <w:sz w:val="22"/>
          <w:szCs w:val="22"/>
        </w:rPr>
        <w:t xml:space="preserve">Exhibit </w:t>
      </w:r>
      <w:r w:rsidR="00AC1D9F">
        <w:rPr>
          <w:rFonts w:ascii="Times New Roman" w:hAnsi="Times New Roman" w:cs="Times New Roman"/>
          <w:b/>
          <w:bCs/>
          <w:i w:val="0"/>
          <w:iCs w:val="0"/>
          <w:color w:val="auto"/>
          <w:sz w:val="22"/>
          <w:szCs w:val="22"/>
        </w:rPr>
        <w:t>C</w:t>
      </w:r>
      <w:r w:rsidRPr="00E92045">
        <w:rPr>
          <w:rFonts w:ascii="Times New Roman" w:hAnsi="Times New Roman" w:cs="Times New Roman"/>
          <w:b/>
          <w:bCs/>
          <w:i w:val="0"/>
          <w:iCs w:val="0"/>
          <w:color w:val="auto"/>
          <w:sz w:val="22"/>
          <w:szCs w:val="22"/>
        </w:rPr>
        <w:t>-</w:t>
      </w:r>
      <w:r w:rsidR="00AC1D9F">
        <w:rPr>
          <w:rFonts w:ascii="Times New Roman" w:hAnsi="Times New Roman" w:cs="Times New Roman"/>
          <w:b/>
          <w:bCs/>
          <w:i w:val="0"/>
          <w:iCs w:val="0"/>
          <w:color w:val="auto"/>
          <w:sz w:val="22"/>
          <w:szCs w:val="22"/>
        </w:rPr>
        <w:t>1</w:t>
      </w:r>
      <w:r w:rsidRPr="00E92045">
        <w:rPr>
          <w:rFonts w:ascii="Times New Roman" w:hAnsi="Times New Roman" w:cs="Times New Roman"/>
          <w:b/>
          <w:bCs/>
          <w:i w:val="0"/>
          <w:iCs w:val="0"/>
          <w:color w:val="auto"/>
          <w:sz w:val="22"/>
          <w:szCs w:val="22"/>
        </w:rPr>
        <w:t>: RMP Facility and Entity 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5"/>
        <w:gridCol w:w="1850"/>
        <w:gridCol w:w="2560"/>
        <w:gridCol w:w="1181"/>
        <w:gridCol w:w="1554"/>
      </w:tblGrid>
      <w:tr w14:paraId="6310B042" w14:textId="77777777" w:rsidTr="00D8562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55"/>
        </w:trPr>
        <w:tc>
          <w:tcPr>
            <w:tcW w:w="0" w:type="auto"/>
            <w:vMerge w:val="restart"/>
            <w:shd w:val="clear" w:color="auto" w:fill="D9D9D9" w:themeFill="background1" w:themeFillShade="D9"/>
            <w:noWrap/>
            <w:vAlign w:val="bottom"/>
          </w:tcPr>
          <w:p w:rsidR="00D8562D" w:rsidRPr="00743163" w14:paraId="1A7C4736" w14:textId="77777777">
            <w:pPr>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 </w:t>
            </w:r>
          </w:p>
        </w:tc>
        <w:tc>
          <w:tcPr>
            <w:tcW w:w="0" w:type="auto"/>
            <w:gridSpan w:val="2"/>
            <w:shd w:val="clear" w:color="auto" w:fill="D9D9D9" w:themeFill="background1" w:themeFillShade="D9"/>
            <w:noWrap/>
            <w:vAlign w:val="bottom"/>
          </w:tcPr>
          <w:p w:rsidR="00D8562D" w:rsidRPr="00743163" w14:paraId="2CC4AD06" w14:textId="77777777">
            <w:pPr>
              <w:jc w:val="center"/>
              <w:rPr>
                <w:rFonts w:ascii="Times New Roman" w:eastAsia="Times New Roman" w:hAnsi="Times New Roman" w:cs="Times New Roman"/>
                <w:b/>
                <w:color w:val="000000"/>
                <w:sz w:val="20"/>
                <w:szCs w:val="20"/>
              </w:rPr>
            </w:pPr>
            <w:r w:rsidRPr="00743163">
              <w:rPr>
                <w:rFonts w:ascii="Times New Roman" w:eastAsia="Times New Roman" w:hAnsi="Times New Roman" w:cs="Times New Roman"/>
                <w:b/>
                <w:color w:val="000000"/>
                <w:sz w:val="20"/>
                <w:szCs w:val="20"/>
              </w:rPr>
              <w:t>D&amp;B Hoovers</w:t>
            </w:r>
          </w:p>
        </w:tc>
        <w:tc>
          <w:tcPr>
            <w:tcW w:w="0" w:type="auto"/>
            <w:gridSpan w:val="2"/>
            <w:shd w:val="clear" w:color="auto" w:fill="D9D9D9" w:themeFill="background1" w:themeFillShade="D9"/>
            <w:vAlign w:val="bottom"/>
          </w:tcPr>
          <w:p w:rsidR="00D8562D" w:rsidRPr="00743163" w14:paraId="102E80D2" w14:textId="77777777">
            <w:pPr>
              <w:jc w:val="center"/>
              <w:rPr>
                <w:rFonts w:ascii="Times New Roman" w:eastAsia="Times New Roman" w:hAnsi="Times New Roman" w:cs="Times New Roman"/>
                <w:b/>
                <w:color w:val="000000"/>
                <w:sz w:val="20"/>
                <w:szCs w:val="20"/>
              </w:rPr>
            </w:pPr>
            <w:r w:rsidRPr="00743163">
              <w:rPr>
                <w:rFonts w:ascii="Times New Roman" w:eastAsia="Times New Roman" w:hAnsi="Times New Roman" w:cs="Times New Roman"/>
                <w:b/>
                <w:color w:val="000000"/>
                <w:sz w:val="20"/>
                <w:szCs w:val="20"/>
              </w:rPr>
              <w:t>Data Axle</w:t>
            </w:r>
          </w:p>
        </w:tc>
      </w:tr>
      <w:tr w14:paraId="29B417CE" w14:textId="77777777" w:rsidTr="00D8562D">
        <w:tblPrEx>
          <w:tblW w:w="0" w:type="auto"/>
          <w:tblLook w:val="04A0"/>
        </w:tblPrEx>
        <w:trPr>
          <w:trHeight w:val="255"/>
        </w:trPr>
        <w:tc>
          <w:tcPr>
            <w:tcW w:w="0" w:type="auto"/>
            <w:vMerge/>
            <w:shd w:val="clear" w:color="auto" w:fill="D9D9D9" w:themeFill="background1" w:themeFillShade="D9"/>
            <w:noWrap/>
            <w:vAlign w:val="bottom"/>
            <w:hideMark/>
          </w:tcPr>
          <w:p w:rsidR="00D8562D" w:rsidRPr="00743163" w14:paraId="1246C81E" w14:textId="77777777">
            <w:pPr>
              <w:rPr>
                <w:rFonts w:ascii="Times New Roman" w:eastAsia="Times New Roman" w:hAnsi="Times New Roman" w:cs="Times New Roman"/>
                <w:color w:val="000000"/>
                <w:sz w:val="20"/>
                <w:szCs w:val="20"/>
              </w:rPr>
            </w:pPr>
          </w:p>
        </w:tc>
        <w:tc>
          <w:tcPr>
            <w:tcW w:w="0" w:type="auto"/>
            <w:shd w:val="clear" w:color="auto" w:fill="D9D9D9" w:themeFill="background1" w:themeFillShade="D9"/>
            <w:noWrap/>
            <w:vAlign w:val="bottom"/>
            <w:hideMark/>
          </w:tcPr>
          <w:p w:rsidR="00D8562D" w:rsidRPr="00743163" w14:paraId="4077EF34" w14:textId="77777777">
            <w:pPr>
              <w:rPr>
                <w:rFonts w:ascii="Times New Roman" w:eastAsia="Times New Roman" w:hAnsi="Times New Roman" w:cs="Times New Roman"/>
                <w:b/>
                <w:color w:val="000000"/>
                <w:sz w:val="20"/>
                <w:szCs w:val="20"/>
              </w:rPr>
            </w:pPr>
            <w:r w:rsidRPr="00743163">
              <w:rPr>
                <w:rFonts w:ascii="Times New Roman" w:eastAsia="Times New Roman" w:hAnsi="Times New Roman" w:cs="Times New Roman"/>
                <w:b/>
                <w:color w:val="000000"/>
                <w:sz w:val="20"/>
                <w:szCs w:val="20"/>
              </w:rPr>
              <w:t>Number of Entities</w:t>
            </w:r>
          </w:p>
        </w:tc>
        <w:tc>
          <w:tcPr>
            <w:tcW w:w="0" w:type="auto"/>
            <w:vMerge w:val="restart"/>
            <w:shd w:val="clear" w:color="auto" w:fill="D9D9D9" w:themeFill="background1" w:themeFillShade="D9"/>
            <w:noWrap/>
            <w:vAlign w:val="bottom"/>
            <w:hideMark/>
          </w:tcPr>
          <w:p w:rsidR="00D8562D" w:rsidRPr="00743163" w:rsidP="007D4C63" w14:paraId="54208298" w14:textId="77777777">
            <w:pPr>
              <w:jc w:val="center"/>
              <w:rPr>
                <w:rFonts w:ascii="Times New Roman" w:eastAsia="Times New Roman" w:hAnsi="Times New Roman" w:cs="Times New Roman"/>
                <w:b/>
                <w:color w:val="000000"/>
                <w:sz w:val="20"/>
                <w:szCs w:val="20"/>
              </w:rPr>
            </w:pPr>
            <w:r w:rsidRPr="00743163">
              <w:rPr>
                <w:rFonts w:ascii="Times New Roman" w:eastAsia="Times New Roman" w:hAnsi="Times New Roman" w:cs="Times New Roman"/>
                <w:b/>
                <w:color w:val="000000"/>
                <w:sz w:val="20"/>
                <w:szCs w:val="20"/>
              </w:rPr>
              <w:t xml:space="preserve">Percent </w:t>
            </w:r>
          </w:p>
        </w:tc>
        <w:tc>
          <w:tcPr>
            <w:tcW w:w="0" w:type="auto"/>
            <w:shd w:val="clear" w:color="auto" w:fill="D9D9D9" w:themeFill="background1" w:themeFillShade="D9"/>
            <w:vAlign w:val="bottom"/>
          </w:tcPr>
          <w:p w:rsidR="00D8562D" w:rsidRPr="00743163" w14:paraId="7E3EDFDA" w14:textId="77777777">
            <w:pPr>
              <w:rPr>
                <w:rFonts w:ascii="Times New Roman" w:eastAsia="Times New Roman" w:hAnsi="Times New Roman" w:cs="Times New Roman"/>
                <w:b/>
                <w:color w:val="000000"/>
                <w:sz w:val="20"/>
                <w:szCs w:val="20"/>
              </w:rPr>
            </w:pPr>
            <w:r w:rsidRPr="00743163">
              <w:rPr>
                <w:rFonts w:ascii="Times New Roman" w:eastAsia="Times New Roman" w:hAnsi="Times New Roman" w:cs="Times New Roman"/>
                <w:b/>
                <w:color w:val="000000"/>
                <w:sz w:val="20"/>
                <w:szCs w:val="20"/>
              </w:rPr>
              <w:t>Number of Entities</w:t>
            </w:r>
          </w:p>
        </w:tc>
        <w:tc>
          <w:tcPr>
            <w:tcW w:w="0" w:type="auto"/>
            <w:vMerge w:val="restart"/>
            <w:shd w:val="clear" w:color="auto" w:fill="D9D9D9" w:themeFill="background1" w:themeFillShade="D9"/>
            <w:vAlign w:val="bottom"/>
          </w:tcPr>
          <w:p w:rsidR="00D8562D" w:rsidRPr="00743163" w:rsidP="007D4C63" w14:paraId="4D1E97D8" w14:textId="77777777">
            <w:pPr>
              <w:jc w:val="center"/>
              <w:rPr>
                <w:rFonts w:ascii="Times New Roman" w:eastAsia="Times New Roman" w:hAnsi="Times New Roman" w:cs="Times New Roman"/>
                <w:b/>
                <w:color w:val="000000"/>
                <w:sz w:val="20"/>
                <w:szCs w:val="20"/>
              </w:rPr>
            </w:pPr>
            <w:r w:rsidRPr="00743163">
              <w:rPr>
                <w:rFonts w:ascii="Times New Roman" w:eastAsia="Times New Roman" w:hAnsi="Times New Roman" w:cs="Times New Roman"/>
                <w:b/>
                <w:color w:val="000000"/>
                <w:sz w:val="20"/>
                <w:szCs w:val="20"/>
              </w:rPr>
              <w:t xml:space="preserve">Percent </w:t>
            </w:r>
          </w:p>
        </w:tc>
      </w:tr>
      <w:tr w14:paraId="664D746E" w14:textId="77777777" w:rsidTr="008C4F4B">
        <w:tblPrEx>
          <w:tblW w:w="0" w:type="auto"/>
          <w:tblLook w:val="04A0"/>
        </w:tblPrEx>
        <w:trPr>
          <w:trHeight w:val="368"/>
        </w:trPr>
        <w:tc>
          <w:tcPr>
            <w:tcW w:w="0" w:type="auto"/>
            <w:shd w:val="clear" w:color="auto" w:fill="auto"/>
            <w:noWrap/>
            <w:vAlign w:val="bottom"/>
            <w:hideMark/>
          </w:tcPr>
          <w:p w:rsidR="00731169" w:rsidRPr="00743163" w14:paraId="7D02079C" w14:textId="77777777">
            <w:pPr>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Total Facilities</w:t>
            </w:r>
          </w:p>
        </w:tc>
        <w:tc>
          <w:tcPr>
            <w:tcW w:w="0" w:type="auto"/>
            <w:shd w:val="clear" w:color="auto" w:fill="auto"/>
            <w:noWrap/>
            <w:vAlign w:val="bottom"/>
            <w:hideMark/>
          </w:tcPr>
          <w:p w:rsidR="00731169" w:rsidRPr="00743163" w14:paraId="51EADA57"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11,740</w:t>
            </w:r>
          </w:p>
        </w:tc>
        <w:tc>
          <w:tcPr>
            <w:tcW w:w="0" w:type="auto"/>
            <w:vMerge/>
            <w:shd w:val="clear" w:color="auto" w:fill="BFBFBF" w:themeFill="background1" w:themeFillShade="BF"/>
            <w:noWrap/>
            <w:vAlign w:val="bottom"/>
            <w:hideMark/>
          </w:tcPr>
          <w:p w:rsidR="00731169" w:rsidRPr="00743163" w14:paraId="39C72062" w14:textId="77777777">
            <w:pPr>
              <w:jc w:val="right"/>
              <w:rPr>
                <w:rFonts w:ascii="Times New Roman" w:eastAsia="Times New Roman" w:hAnsi="Times New Roman" w:cs="Times New Roman"/>
                <w:color w:val="000000"/>
                <w:sz w:val="20"/>
                <w:szCs w:val="20"/>
              </w:rPr>
            </w:pPr>
          </w:p>
        </w:tc>
        <w:tc>
          <w:tcPr>
            <w:tcW w:w="0" w:type="auto"/>
            <w:vAlign w:val="bottom"/>
          </w:tcPr>
          <w:p w:rsidR="00731169" w:rsidRPr="00743163" w14:paraId="27323535"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11,740</w:t>
            </w:r>
          </w:p>
        </w:tc>
        <w:tc>
          <w:tcPr>
            <w:tcW w:w="0" w:type="auto"/>
            <w:vMerge/>
            <w:shd w:val="clear" w:color="auto" w:fill="BFBFBF" w:themeFill="background1" w:themeFillShade="BF"/>
            <w:vAlign w:val="bottom"/>
          </w:tcPr>
          <w:p w:rsidR="00731169" w:rsidRPr="00743163" w14:paraId="4C2FF16B" w14:textId="77777777">
            <w:pPr>
              <w:jc w:val="right"/>
              <w:rPr>
                <w:rFonts w:ascii="Times New Roman" w:eastAsia="Times New Roman" w:hAnsi="Times New Roman" w:cs="Times New Roman"/>
                <w:color w:val="000000"/>
                <w:sz w:val="20"/>
                <w:szCs w:val="20"/>
              </w:rPr>
            </w:pPr>
          </w:p>
        </w:tc>
      </w:tr>
      <w:tr w14:paraId="6FD01ABF" w14:textId="77777777" w:rsidTr="008C4F4B">
        <w:tblPrEx>
          <w:tblW w:w="0" w:type="auto"/>
          <w:tblLook w:val="04A0"/>
        </w:tblPrEx>
        <w:trPr>
          <w:trHeight w:val="255"/>
        </w:trPr>
        <w:tc>
          <w:tcPr>
            <w:tcW w:w="0" w:type="auto"/>
            <w:shd w:val="clear" w:color="auto" w:fill="auto"/>
            <w:noWrap/>
            <w:vAlign w:val="bottom"/>
          </w:tcPr>
          <w:p w:rsidR="00731169" w:rsidRPr="00743163" w14:paraId="447882A4" w14:textId="77777777">
            <w:pPr>
              <w:ind w:firstLine="200" w:firstLineChars="1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Total Entities</w:t>
            </w:r>
          </w:p>
        </w:tc>
        <w:tc>
          <w:tcPr>
            <w:tcW w:w="0" w:type="auto"/>
            <w:shd w:val="clear" w:color="auto" w:fill="auto"/>
            <w:noWrap/>
            <w:vAlign w:val="bottom"/>
          </w:tcPr>
          <w:p w:rsidR="00731169" w:rsidRPr="00743163" w14:paraId="5E38AFE2"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5</w:t>
            </w:r>
            <w:r w:rsidRPr="00743163" w:rsidR="00F67A41">
              <w:rPr>
                <w:rFonts w:ascii="Times New Roman" w:eastAsia="Times New Roman" w:hAnsi="Times New Roman" w:cs="Times New Roman"/>
                <w:color w:val="000000"/>
                <w:sz w:val="20"/>
                <w:szCs w:val="20"/>
              </w:rPr>
              <w:t>,</w:t>
            </w:r>
            <w:r w:rsidRPr="00743163">
              <w:rPr>
                <w:rFonts w:ascii="Times New Roman" w:eastAsia="Times New Roman" w:hAnsi="Times New Roman" w:cs="Times New Roman"/>
                <w:color w:val="000000"/>
                <w:sz w:val="20"/>
                <w:szCs w:val="20"/>
              </w:rPr>
              <w:t>508</w:t>
            </w:r>
          </w:p>
        </w:tc>
        <w:tc>
          <w:tcPr>
            <w:tcW w:w="0" w:type="auto"/>
            <w:vMerge/>
            <w:shd w:val="clear" w:color="auto" w:fill="BFBFBF" w:themeFill="background1" w:themeFillShade="BF"/>
            <w:noWrap/>
            <w:vAlign w:val="bottom"/>
          </w:tcPr>
          <w:p w:rsidR="00731169" w:rsidRPr="00743163" w14:paraId="3FC056EE" w14:textId="77777777">
            <w:pPr>
              <w:jc w:val="right"/>
              <w:rPr>
                <w:rFonts w:ascii="Times New Roman" w:eastAsia="Times New Roman" w:hAnsi="Times New Roman" w:cs="Times New Roman"/>
                <w:color w:val="000000"/>
                <w:sz w:val="20"/>
                <w:szCs w:val="20"/>
              </w:rPr>
            </w:pPr>
          </w:p>
        </w:tc>
        <w:tc>
          <w:tcPr>
            <w:tcW w:w="0" w:type="auto"/>
            <w:vAlign w:val="bottom"/>
          </w:tcPr>
          <w:p w:rsidR="00731169" w:rsidRPr="00743163" w14:paraId="50D3BC88"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5,649</w:t>
            </w:r>
          </w:p>
        </w:tc>
        <w:tc>
          <w:tcPr>
            <w:tcW w:w="0" w:type="auto"/>
            <w:vMerge/>
            <w:shd w:val="clear" w:color="auto" w:fill="BFBFBF" w:themeFill="background1" w:themeFillShade="BF"/>
            <w:vAlign w:val="bottom"/>
          </w:tcPr>
          <w:p w:rsidR="00731169" w:rsidRPr="00743163" w14:paraId="65F47F9A" w14:textId="77777777">
            <w:pPr>
              <w:jc w:val="right"/>
              <w:rPr>
                <w:rFonts w:ascii="Times New Roman" w:eastAsia="Times New Roman" w:hAnsi="Times New Roman" w:cs="Times New Roman"/>
                <w:color w:val="000000"/>
                <w:sz w:val="20"/>
                <w:szCs w:val="20"/>
              </w:rPr>
            </w:pPr>
          </w:p>
        </w:tc>
      </w:tr>
      <w:tr w14:paraId="5E2A7B91" w14:textId="77777777" w:rsidTr="00743163">
        <w:tblPrEx>
          <w:tblW w:w="0" w:type="auto"/>
          <w:tblLook w:val="04A0"/>
        </w:tblPrEx>
        <w:trPr>
          <w:trHeight w:val="255"/>
        </w:trPr>
        <w:tc>
          <w:tcPr>
            <w:tcW w:w="0" w:type="auto"/>
            <w:shd w:val="clear" w:color="auto" w:fill="auto"/>
            <w:noWrap/>
            <w:vAlign w:val="bottom"/>
            <w:hideMark/>
          </w:tcPr>
          <w:p w:rsidR="00731169" w:rsidRPr="00743163" w14:paraId="1D9F0F7E" w14:textId="77777777">
            <w:pPr>
              <w:ind w:firstLine="200" w:firstLineChars="1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Private Sector Entities</w:t>
            </w:r>
          </w:p>
        </w:tc>
        <w:tc>
          <w:tcPr>
            <w:tcW w:w="0" w:type="auto"/>
            <w:shd w:val="clear" w:color="auto" w:fill="auto"/>
            <w:noWrap/>
            <w:vAlign w:val="bottom"/>
            <w:hideMark/>
          </w:tcPr>
          <w:p w:rsidR="00731169" w:rsidRPr="00743163" w14:paraId="7A222338"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4,4</w:t>
            </w:r>
            <w:r w:rsidRPr="00743163" w:rsidR="00EA4FC9">
              <w:rPr>
                <w:rFonts w:ascii="Times New Roman" w:eastAsia="Times New Roman" w:hAnsi="Times New Roman" w:cs="Times New Roman"/>
                <w:color w:val="000000"/>
                <w:sz w:val="20"/>
                <w:szCs w:val="20"/>
              </w:rPr>
              <w:t>80</w:t>
            </w:r>
          </w:p>
        </w:tc>
        <w:tc>
          <w:tcPr>
            <w:tcW w:w="0" w:type="auto"/>
            <w:shd w:val="clear" w:color="auto" w:fill="auto"/>
            <w:noWrap/>
            <w:vAlign w:val="bottom"/>
            <w:hideMark/>
          </w:tcPr>
          <w:p w:rsidR="00731169" w:rsidRPr="00743163" w14:paraId="0AAE225E"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81% of total entities</w:t>
            </w:r>
          </w:p>
        </w:tc>
        <w:tc>
          <w:tcPr>
            <w:tcW w:w="0" w:type="auto"/>
            <w:vAlign w:val="bottom"/>
          </w:tcPr>
          <w:p w:rsidR="00731169" w:rsidRPr="00743163" w14:paraId="55692FE9"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4,538</w:t>
            </w:r>
          </w:p>
        </w:tc>
        <w:tc>
          <w:tcPr>
            <w:tcW w:w="0" w:type="auto"/>
            <w:vAlign w:val="bottom"/>
          </w:tcPr>
          <w:p w:rsidR="00731169" w:rsidRPr="00743163" w14:paraId="3F5FED96"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80% of total entities</w:t>
            </w:r>
          </w:p>
        </w:tc>
      </w:tr>
      <w:tr w14:paraId="395C62E5" w14:textId="77777777" w:rsidTr="00743163">
        <w:tblPrEx>
          <w:tblW w:w="0" w:type="auto"/>
          <w:tblLook w:val="04A0"/>
        </w:tblPrEx>
        <w:trPr>
          <w:trHeight w:val="255"/>
        </w:trPr>
        <w:tc>
          <w:tcPr>
            <w:tcW w:w="0" w:type="auto"/>
            <w:shd w:val="clear" w:color="auto" w:fill="auto"/>
            <w:noWrap/>
            <w:vAlign w:val="bottom"/>
            <w:hideMark/>
          </w:tcPr>
          <w:p w:rsidR="00731169" w:rsidRPr="00743163" w14:paraId="1ED34EFB" w14:textId="77777777">
            <w:pPr>
              <w:ind w:firstLine="400" w:firstLineChars="2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Small</w:t>
            </w:r>
          </w:p>
        </w:tc>
        <w:tc>
          <w:tcPr>
            <w:tcW w:w="0" w:type="auto"/>
            <w:shd w:val="clear" w:color="auto" w:fill="auto"/>
            <w:noWrap/>
            <w:vAlign w:val="bottom"/>
            <w:hideMark/>
          </w:tcPr>
          <w:p w:rsidR="00731169" w:rsidRPr="00743163" w14:paraId="2B89BCD7"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2,</w:t>
            </w:r>
            <w:r w:rsidRPr="00743163" w:rsidR="00145D33">
              <w:rPr>
                <w:rFonts w:ascii="Times New Roman" w:eastAsia="Times New Roman" w:hAnsi="Times New Roman" w:cs="Times New Roman"/>
                <w:color w:val="000000"/>
                <w:sz w:val="20"/>
                <w:szCs w:val="20"/>
              </w:rPr>
              <w:t>189</w:t>
            </w:r>
          </w:p>
        </w:tc>
        <w:tc>
          <w:tcPr>
            <w:tcW w:w="0" w:type="auto"/>
            <w:shd w:val="clear" w:color="auto" w:fill="auto"/>
            <w:noWrap/>
            <w:vAlign w:val="bottom"/>
            <w:hideMark/>
          </w:tcPr>
          <w:p w:rsidR="00731169" w:rsidRPr="00743163" w14:paraId="5E1E4CC9"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49% of private sector entities</w:t>
            </w:r>
          </w:p>
        </w:tc>
        <w:tc>
          <w:tcPr>
            <w:tcW w:w="0" w:type="auto"/>
            <w:vAlign w:val="bottom"/>
          </w:tcPr>
          <w:p w:rsidR="00731169" w:rsidRPr="00743163" w14:paraId="4B749C33"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2,911</w:t>
            </w:r>
          </w:p>
        </w:tc>
        <w:tc>
          <w:tcPr>
            <w:tcW w:w="0" w:type="auto"/>
            <w:vAlign w:val="bottom"/>
          </w:tcPr>
          <w:p w:rsidR="00731169" w:rsidRPr="00743163" w14:paraId="539940EB"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64% of private sector entities</w:t>
            </w:r>
          </w:p>
        </w:tc>
      </w:tr>
      <w:tr w14:paraId="7801FAF8" w14:textId="77777777" w:rsidTr="00743163">
        <w:tblPrEx>
          <w:tblW w:w="0" w:type="auto"/>
          <w:tblLook w:val="04A0"/>
        </w:tblPrEx>
        <w:trPr>
          <w:trHeight w:val="255"/>
        </w:trPr>
        <w:tc>
          <w:tcPr>
            <w:tcW w:w="0" w:type="auto"/>
            <w:shd w:val="clear" w:color="auto" w:fill="auto"/>
            <w:noWrap/>
            <w:vAlign w:val="bottom"/>
            <w:hideMark/>
          </w:tcPr>
          <w:p w:rsidR="00731169" w:rsidRPr="00743163" w14:paraId="284AB7C5" w14:textId="77777777">
            <w:pPr>
              <w:ind w:firstLine="400" w:firstLineChars="2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Non-small</w:t>
            </w:r>
          </w:p>
        </w:tc>
        <w:tc>
          <w:tcPr>
            <w:tcW w:w="0" w:type="auto"/>
            <w:shd w:val="clear" w:color="auto" w:fill="auto"/>
            <w:noWrap/>
            <w:vAlign w:val="bottom"/>
            <w:hideMark/>
          </w:tcPr>
          <w:p w:rsidR="00731169" w:rsidRPr="00743163" w14:paraId="5578CC78"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2,</w:t>
            </w:r>
            <w:r w:rsidRPr="00743163" w:rsidR="00E406F3">
              <w:rPr>
                <w:rFonts w:ascii="Times New Roman" w:eastAsia="Times New Roman" w:hAnsi="Times New Roman" w:cs="Times New Roman"/>
                <w:color w:val="000000"/>
                <w:sz w:val="20"/>
                <w:szCs w:val="20"/>
              </w:rPr>
              <w:t>242</w:t>
            </w:r>
          </w:p>
        </w:tc>
        <w:tc>
          <w:tcPr>
            <w:tcW w:w="0" w:type="auto"/>
            <w:shd w:val="clear" w:color="auto" w:fill="auto"/>
            <w:noWrap/>
            <w:vAlign w:val="bottom"/>
            <w:hideMark/>
          </w:tcPr>
          <w:p w:rsidR="00731169" w:rsidRPr="00743163" w14:paraId="1648F183"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51% of private sector entities</w:t>
            </w:r>
          </w:p>
        </w:tc>
        <w:tc>
          <w:tcPr>
            <w:tcW w:w="0" w:type="auto"/>
            <w:vAlign w:val="bottom"/>
          </w:tcPr>
          <w:p w:rsidR="00731169" w:rsidRPr="00743163" w14:paraId="0765E0DF"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1,627</w:t>
            </w:r>
          </w:p>
        </w:tc>
        <w:tc>
          <w:tcPr>
            <w:tcW w:w="0" w:type="auto"/>
            <w:vAlign w:val="bottom"/>
          </w:tcPr>
          <w:p w:rsidR="00731169" w:rsidRPr="00743163" w14:paraId="6A7079EA"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36% of private sector entities</w:t>
            </w:r>
          </w:p>
        </w:tc>
      </w:tr>
      <w:tr w14:paraId="3048FC5F" w14:textId="77777777" w:rsidTr="00743163">
        <w:tblPrEx>
          <w:tblW w:w="0" w:type="auto"/>
          <w:tblLook w:val="04A0"/>
        </w:tblPrEx>
        <w:trPr>
          <w:trHeight w:val="255"/>
        </w:trPr>
        <w:tc>
          <w:tcPr>
            <w:tcW w:w="0" w:type="auto"/>
            <w:shd w:val="clear" w:color="auto" w:fill="auto"/>
            <w:noWrap/>
            <w:vAlign w:val="bottom"/>
            <w:hideMark/>
          </w:tcPr>
          <w:p w:rsidR="00731169" w:rsidRPr="00743163" w14:paraId="7F05EAAF" w14:textId="77777777">
            <w:pPr>
              <w:ind w:firstLine="200" w:firstLineChars="1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Government Entities</w:t>
            </w:r>
          </w:p>
        </w:tc>
        <w:tc>
          <w:tcPr>
            <w:tcW w:w="0" w:type="auto"/>
            <w:shd w:val="clear" w:color="auto" w:fill="auto"/>
            <w:noWrap/>
            <w:vAlign w:val="bottom"/>
            <w:hideMark/>
          </w:tcPr>
          <w:p w:rsidR="00731169" w:rsidRPr="00743163" w14:paraId="21093FAD"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1,02</w:t>
            </w:r>
            <w:r w:rsidRPr="00743163" w:rsidR="00E406F3">
              <w:rPr>
                <w:rFonts w:ascii="Times New Roman" w:eastAsia="Times New Roman" w:hAnsi="Times New Roman" w:cs="Times New Roman"/>
                <w:color w:val="000000"/>
                <w:sz w:val="20"/>
                <w:szCs w:val="20"/>
              </w:rPr>
              <w:t>8</w:t>
            </w:r>
          </w:p>
        </w:tc>
        <w:tc>
          <w:tcPr>
            <w:tcW w:w="0" w:type="auto"/>
            <w:shd w:val="clear" w:color="auto" w:fill="auto"/>
            <w:noWrap/>
            <w:vAlign w:val="bottom"/>
            <w:hideMark/>
          </w:tcPr>
          <w:p w:rsidR="00731169" w:rsidRPr="00743163" w14:paraId="7ADC8C50"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19% of total entities</w:t>
            </w:r>
          </w:p>
        </w:tc>
        <w:tc>
          <w:tcPr>
            <w:tcW w:w="0" w:type="auto"/>
            <w:vAlign w:val="bottom"/>
          </w:tcPr>
          <w:p w:rsidR="00731169" w:rsidRPr="00743163" w14:paraId="79FFC94D"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1,111</w:t>
            </w:r>
          </w:p>
        </w:tc>
        <w:tc>
          <w:tcPr>
            <w:tcW w:w="0" w:type="auto"/>
            <w:vAlign w:val="bottom"/>
          </w:tcPr>
          <w:p w:rsidR="00731169" w:rsidRPr="00743163" w14:paraId="64DA9312"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20% of total entities</w:t>
            </w:r>
          </w:p>
        </w:tc>
      </w:tr>
      <w:tr w14:paraId="1B1CFF75" w14:textId="77777777" w:rsidTr="00743163">
        <w:tblPrEx>
          <w:tblW w:w="0" w:type="auto"/>
          <w:tblLook w:val="04A0"/>
        </w:tblPrEx>
        <w:trPr>
          <w:trHeight w:val="255"/>
        </w:trPr>
        <w:tc>
          <w:tcPr>
            <w:tcW w:w="0" w:type="auto"/>
            <w:shd w:val="clear" w:color="auto" w:fill="auto"/>
            <w:noWrap/>
            <w:vAlign w:val="bottom"/>
            <w:hideMark/>
          </w:tcPr>
          <w:p w:rsidR="00731169" w:rsidRPr="00743163" w14:paraId="7B069263" w14:textId="77777777">
            <w:pPr>
              <w:ind w:firstLine="400" w:firstLineChars="2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Small</w:t>
            </w:r>
          </w:p>
        </w:tc>
        <w:tc>
          <w:tcPr>
            <w:tcW w:w="0" w:type="auto"/>
            <w:shd w:val="clear" w:color="auto" w:fill="auto"/>
            <w:noWrap/>
            <w:vAlign w:val="bottom"/>
            <w:hideMark/>
          </w:tcPr>
          <w:p w:rsidR="00731169" w:rsidRPr="00743163" w14:paraId="462AE3EA"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5</w:t>
            </w:r>
            <w:r w:rsidRPr="00743163" w:rsidR="00E406F3">
              <w:rPr>
                <w:rFonts w:ascii="Times New Roman" w:eastAsia="Times New Roman" w:hAnsi="Times New Roman" w:cs="Times New Roman"/>
                <w:color w:val="000000"/>
                <w:sz w:val="20"/>
                <w:szCs w:val="20"/>
              </w:rPr>
              <w:t>90</w:t>
            </w:r>
          </w:p>
        </w:tc>
        <w:tc>
          <w:tcPr>
            <w:tcW w:w="0" w:type="auto"/>
            <w:shd w:val="clear" w:color="auto" w:fill="auto"/>
            <w:noWrap/>
            <w:vAlign w:val="bottom"/>
            <w:hideMark/>
          </w:tcPr>
          <w:p w:rsidR="00731169" w:rsidRPr="00743163" w14:paraId="76765CE6"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57% of government entities</w:t>
            </w:r>
          </w:p>
        </w:tc>
        <w:tc>
          <w:tcPr>
            <w:tcW w:w="0" w:type="auto"/>
            <w:vAlign w:val="bottom"/>
          </w:tcPr>
          <w:p w:rsidR="00731169" w:rsidRPr="00743163" w14:paraId="35D6DC0A"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630</w:t>
            </w:r>
          </w:p>
        </w:tc>
        <w:tc>
          <w:tcPr>
            <w:tcW w:w="0" w:type="auto"/>
            <w:vAlign w:val="bottom"/>
          </w:tcPr>
          <w:p w:rsidR="00731169" w:rsidRPr="00743163" w14:paraId="0EC44879"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57% of government entities</w:t>
            </w:r>
          </w:p>
        </w:tc>
      </w:tr>
      <w:tr w14:paraId="7972FC12" w14:textId="77777777" w:rsidTr="00743163">
        <w:tblPrEx>
          <w:tblW w:w="0" w:type="auto"/>
          <w:tblLook w:val="04A0"/>
        </w:tblPrEx>
        <w:trPr>
          <w:trHeight w:val="255"/>
        </w:trPr>
        <w:tc>
          <w:tcPr>
            <w:tcW w:w="0" w:type="auto"/>
            <w:shd w:val="clear" w:color="auto" w:fill="auto"/>
            <w:noWrap/>
            <w:vAlign w:val="bottom"/>
            <w:hideMark/>
          </w:tcPr>
          <w:p w:rsidR="00731169" w:rsidRPr="00743163" w14:paraId="4280F981" w14:textId="77777777">
            <w:pPr>
              <w:ind w:firstLine="400" w:firstLineChars="2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Non-small</w:t>
            </w:r>
          </w:p>
        </w:tc>
        <w:tc>
          <w:tcPr>
            <w:tcW w:w="0" w:type="auto"/>
            <w:shd w:val="clear" w:color="auto" w:fill="auto"/>
            <w:noWrap/>
            <w:vAlign w:val="bottom"/>
            <w:hideMark/>
          </w:tcPr>
          <w:p w:rsidR="00731169" w:rsidRPr="00743163" w14:paraId="68F0A712"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43</w:t>
            </w:r>
            <w:r w:rsidRPr="00743163" w:rsidR="00E406F3">
              <w:rPr>
                <w:rFonts w:ascii="Times New Roman" w:eastAsia="Times New Roman" w:hAnsi="Times New Roman" w:cs="Times New Roman"/>
                <w:color w:val="000000"/>
                <w:sz w:val="20"/>
                <w:szCs w:val="20"/>
              </w:rPr>
              <w:t>8</w:t>
            </w:r>
          </w:p>
        </w:tc>
        <w:tc>
          <w:tcPr>
            <w:tcW w:w="0" w:type="auto"/>
            <w:shd w:val="clear" w:color="auto" w:fill="auto"/>
            <w:noWrap/>
            <w:vAlign w:val="bottom"/>
            <w:hideMark/>
          </w:tcPr>
          <w:p w:rsidR="00731169" w:rsidRPr="00743163" w14:paraId="73465C3D"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43% of government entities</w:t>
            </w:r>
          </w:p>
        </w:tc>
        <w:tc>
          <w:tcPr>
            <w:tcW w:w="0" w:type="auto"/>
            <w:vAlign w:val="bottom"/>
          </w:tcPr>
          <w:p w:rsidR="00731169" w:rsidRPr="00743163" w14:paraId="6D4D9648"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481</w:t>
            </w:r>
          </w:p>
        </w:tc>
        <w:tc>
          <w:tcPr>
            <w:tcW w:w="0" w:type="auto"/>
            <w:vAlign w:val="bottom"/>
          </w:tcPr>
          <w:p w:rsidR="00731169" w:rsidRPr="00743163" w14:paraId="548B2764" w14:textId="77777777">
            <w:pPr>
              <w:jc w:val="right"/>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43% of government entities</w:t>
            </w:r>
          </w:p>
        </w:tc>
      </w:tr>
    </w:tbl>
    <w:p w:rsidR="00C34955" w:rsidP="00DE6BD4" w14:paraId="4B3D2916" w14:textId="77777777">
      <w:pPr>
        <w:spacing w:after="0" w:line="240" w:lineRule="auto"/>
        <w:rPr>
          <w:rFonts w:ascii="Times New Roman" w:hAnsi="Times New Roman" w:cs="Times New Roman"/>
        </w:rPr>
      </w:pPr>
    </w:p>
    <w:p w:rsidR="00032AC3" w:rsidP="00421479" w14:paraId="045E1639" w14:textId="77777777">
      <w:pPr>
        <w:spacing w:after="0" w:line="240" w:lineRule="auto"/>
        <w:ind w:firstLine="720"/>
        <w:rPr>
          <w:rFonts w:ascii="Times New Roman" w:hAnsi="Times New Roman" w:cs="Times New Roman"/>
        </w:rPr>
      </w:pPr>
      <w:r w:rsidRPr="35D89459">
        <w:rPr>
          <w:rFonts w:ascii="Times New Roman" w:hAnsi="Times New Roman" w:cs="Times New Roman"/>
        </w:rPr>
        <w:t xml:space="preserve">As Exhibit C-1 shows, </w:t>
      </w:r>
      <w:r w:rsidRPr="35D89459" w:rsidR="0C337452">
        <w:rPr>
          <w:rFonts w:ascii="Times New Roman" w:hAnsi="Times New Roman" w:cs="Times New Roman"/>
        </w:rPr>
        <w:t>i</w:t>
      </w:r>
      <w:r w:rsidRPr="35D89459" w:rsidR="00E132CA">
        <w:rPr>
          <w:rFonts w:ascii="Times New Roman" w:hAnsi="Times New Roman" w:cs="Times New Roman"/>
        </w:rPr>
        <w:t>n</w:t>
      </w:r>
      <w:r w:rsidR="00E132CA">
        <w:rPr>
          <w:rFonts w:ascii="Times New Roman" w:hAnsi="Times New Roman" w:cs="Times New Roman"/>
        </w:rPr>
        <w:t xml:space="preserve"> the </w:t>
      </w:r>
      <w:r w:rsidRPr="00347BE9" w:rsidR="00D32ADF">
        <w:rPr>
          <w:rFonts w:ascii="Times New Roman" w:hAnsi="Times New Roman" w:cs="Times New Roman"/>
        </w:rPr>
        <w:t>propose</w:t>
      </w:r>
      <w:r w:rsidRPr="00F41090" w:rsidR="00E132CA">
        <w:rPr>
          <w:rFonts w:ascii="Times New Roman" w:hAnsi="Times New Roman" w:cs="Times New Roman"/>
        </w:rPr>
        <w:t>d</w:t>
      </w:r>
      <w:r w:rsidR="00E132CA">
        <w:rPr>
          <w:rFonts w:ascii="Times New Roman" w:hAnsi="Times New Roman" w:cs="Times New Roman"/>
        </w:rPr>
        <w:t xml:space="preserve"> rule small entity analysis</w:t>
      </w:r>
      <w:r w:rsidR="00FA60A6">
        <w:rPr>
          <w:rFonts w:ascii="Times New Roman" w:hAnsi="Times New Roman" w:cs="Times New Roman"/>
        </w:rPr>
        <w:t xml:space="preserve"> using Data Ax</w:t>
      </w:r>
      <w:r w:rsidR="00F76278">
        <w:rPr>
          <w:rFonts w:ascii="Times New Roman" w:hAnsi="Times New Roman" w:cs="Times New Roman"/>
        </w:rPr>
        <w:t>l</w:t>
      </w:r>
      <w:r w:rsidR="00FA60A6">
        <w:rPr>
          <w:rFonts w:ascii="Times New Roman" w:hAnsi="Times New Roman" w:cs="Times New Roman"/>
        </w:rPr>
        <w:t>e</w:t>
      </w:r>
      <w:r w:rsidR="00E132CA">
        <w:rPr>
          <w:rFonts w:ascii="Times New Roman" w:hAnsi="Times New Roman" w:cs="Times New Roman"/>
        </w:rPr>
        <w:t xml:space="preserve">, </w:t>
      </w:r>
      <w:r w:rsidRPr="00693892" w:rsidR="00C34955">
        <w:rPr>
          <w:rFonts w:ascii="Times New Roman" w:hAnsi="Times New Roman" w:cs="Times New Roman"/>
        </w:rPr>
        <w:t>EPA identified 5,649 unique entities owning RMP</w:t>
      </w:r>
      <w:r w:rsidR="008C68D4">
        <w:rPr>
          <w:rFonts w:ascii="Times New Roman" w:hAnsi="Times New Roman" w:cs="Times New Roman"/>
        </w:rPr>
        <w:t>-</w:t>
      </w:r>
      <w:r w:rsidRPr="00693892" w:rsidR="00C34955">
        <w:rPr>
          <w:rFonts w:ascii="Times New Roman" w:hAnsi="Times New Roman" w:cs="Times New Roman"/>
        </w:rPr>
        <w:t>regulated facilities. Of those 5,649 unique entities, EPA was able to determine that 1,111 (20 percent) are government entities</w:t>
      </w:r>
      <w:r w:rsidRPr="0E374EEB" w:rsidR="00C34955">
        <w:rPr>
          <w:rFonts w:ascii="Times New Roman" w:hAnsi="Times New Roman" w:cs="Times New Roman"/>
        </w:rPr>
        <w:t xml:space="preserve"> </w:t>
      </w:r>
      <w:r w:rsidRPr="0E374EEB" w:rsidR="58703EE8">
        <w:rPr>
          <w:rFonts w:ascii="Times New Roman" w:hAnsi="Times New Roman" w:cs="Times New Roman"/>
        </w:rPr>
        <w:t>(e.g., State and local governments, LEPCS, special water districts, etc.)</w:t>
      </w:r>
      <w:r w:rsidRPr="1B169C3C" w:rsidR="457A92DD">
        <w:rPr>
          <w:rFonts w:ascii="Times New Roman" w:hAnsi="Times New Roman" w:cs="Times New Roman"/>
        </w:rPr>
        <w:t xml:space="preserve"> </w:t>
      </w:r>
      <w:r w:rsidRPr="00693892" w:rsidR="00C34955">
        <w:rPr>
          <w:rFonts w:ascii="Times New Roman" w:hAnsi="Times New Roman" w:cs="Times New Roman"/>
        </w:rPr>
        <w:t xml:space="preserve">and the remaining 4,538 (80 percent) are </w:t>
      </w:r>
      <w:r w:rsidR="007F33C2">
        <w:rPr>
          <w:rFonts w:ascii="Times New Roman" w:hAnsi="Times New Roman" w:cs="Times New Roman"/>
        </w:rPr>
        <w:t>private</w:t>
      </w:r>
      <w:r w:rsidRPr="00693892" w:rsidR="00C34955">
        <w:rPr>
          <w:rFonts w:ascii="Times New Roman" w:hAnsi="Times New Roman" w:cs="Times New Roman"/>
        </w:rPr>
        <w:t xml:space="preserve"> entities.</w:t>
      </w:r>
      <w:r w:rsidR="00FA60A6">
        <w:rPr>
          <w:rFonts w:ascii="Times New Roman" w:hAnsi="Times New Roman" w:cs="Times New Roman"/>
        </w:rPr>
        <w:t xml:space="preserve"> In the revised analysis using D&amp;B Hoovers, EPA identified 5,</w:t>
      </w:r>
      <w:r w:rsidR="00E52C4B">
        <w:rPr>
          <w:rFonts w:ascii="Times New Roman" w:hAnsi="Times New Roman" w:cs="Times New Roman"/>
        </w:rPr>
        <w:t>508</w:t>
      </w:r>
      <w:r w:rsidR="00FA60A6">
        <w:rPr>
          <w:rFonts w:ascii="Times New Roman" w:hAnsi="Times New Roman" w:cs="Times New Roman"/>
        </w:rPr>
        <w:t xml:space="preserve"> unique entities owning RMP regulated facilit</w:t>
      </w:r>
      <w:r w:rsidR="009352FE">
        <w:rPr>
          <w:rFonts w:ascii="Times New Roman" w:hAnsi="Times New Roman" w:cs="Times New Roman"/>
        </w:rPr>
        <w:t>ies. Of those 5,</w:t>
      </w:r>
      <w:r w:rsidR="00E52C4B">
        <w:rPr>
          <w:rFonts w:ascii="Times New Roman" w:hAnsi="Times New Roman" w:cs="Times New Roman"/>
        </w:rPr>
        <w:t>508</w:t>
      </w:r>
      <w:r w:rsidR="009352FE">
        <w:rPr>
          <w:rFonts w:ascii="Times New Roman" w:hAnsi="Times New Roman" w:cs="Times New Roman"/>
        </w:rPr>
        <w:t xml:space="preserve"> unique enti</w:t>
      </w:r>
      <w:r w:rsidR="0002003B">
        <w:rPr>
          <w:rFonts w:ascii="Times New Roman" w:hAnsi="Times New Roman" w:cs="Times New Roman"/>
        </w:rPr>
        <w:t xml:space="preserve">ties, </w:t>
      </w:r>
      <w:r w:rsidR="002D4538">
        <w:rPr>
          <w:rFonts w:ascii="Times New Roman" w:hAnsi="Times New Roman" w:cs="Times New Roman"/>
        </w:rPr>
        <w:t xml:space="preserve">EPA was able to determine that </w:t>
      </w:r>
      <w:r w:rsidR="000A40F0">
        <w:rPr>
          <w:rFonts w:ascii="Times New Roman" w:hAnsi="Times New Roman" w:cs="Times New Roman"/>
        </w:rPr>
        <w:t>1,02</w:t>
      </w:r>
      <w:r w:rsidR="00E52C4B">
        <w:rPr>
          <w:rFonts w:ascii="Times New Roman" w:hAnsi="Times New Roman" w:cs="Times New Roman"/>
        </w:rPr>
        <w:t>8</w:t>
      </w:r>
      <w:r w:rsidR="00BF32FE">
        <w:rPr>
          <w:rFonts w:ascii="Times New Roman" w:hAnsi="Times New Roman" w:cs="Times New Roman"/>
        </w:rPr>
        <w:t xml:space="preserve"> (19 percent) are government entities and the remaining 4,474 </w:t>
      </w:r>
      <w:r w:rsidR="002256AC">
        <w:rPr>
          <w:rFonts w:ascii="Times New Roman" w:hAnsi="Times New Roman" w:cs="Times New Roman"/>
        </w:rPr>
        <w:t>(</w:t>
      </w:r>
      <w:r w:rsidR="00C0665D">
        <w:rPr>
          <w:rFonts w:ascii="Times New Roman" w:hAnsi="Times New Roman" w:cs="Times New Roman"/>
        </w:rPr>
        <w:t xml:space="preserve">81 percent) are private sector </w:t>
      </w:r>
      <w:r w:rsidR="00A5459A">
        <w:rPr>
          <w:rFonts w:ascii="Times New Roman" w:hAnsi="Times New Roman" w:cs="Times New Roman"/>
        </w:rPr>
        <w:t>entities</w:t>
      </w:r>
      <w:r w:rsidR="00C0665D">
        <w:rPr>
          <w:rFonts w:ascii="Times New Roman" w:hAnsi="Times New Roman" w:cs="Times New Roman"/>
        </w:rPr>
        <w:t>.</w:t>
      </w:r>
      <w:r w:rsidR="00A5459A">
        <w:rPr>
          <w:rFonts w:ascii="Times New Roman" w:hAnsi="Times New Roman" w:cs="Times New Roman"/>
        </w:rPr>
        <w:t xml:space="preserve"> </w:t>
      </w:r>
    </w:p>
    <w:p w:rsidR="00032AC3" w:rsidP="00421479" w14:paraId="28874B65" w14:textId="77777777">
      <w:pPr>
        <w:spacing w:after="0" w:line="240" w:lineRule="auto"/>
        <w:rPr>
          <w:rFonts w:ascii="Times New Roman" w:hAnsi="Times New Roman" w:cs="Times New Roman"/>
        </w:rPr>
      </w:pPr>
    </w:p>
    <w:p w:rsidR="00465F38" w:rsidRPr="003A3D57" w:rsidP="00421479" w14:paraId="69642E7E" w14:textId="77777777">
      <w:pPr>
        <w:spacing w:after="0" w:line="240" w:lineRule="auto"/>
        <w:ind w:firstLine="720"/>
        <w:rPr>
          <w:rFonts w:ascii="Times New Roman" w:hAnsi="Times New Roman" w:cs="Times New Roman"/>
        </w:rPr>
      </w:pPr>
      <w:r>
        <w:rPr>
          <w:rFonts w:ascii="Times New Roman" w:hAnsi="Times New Roman" w:cs="Times New Roman"/>
        </w:rPr>
        <w:t xml:space="preserve">Each facility is “assigned” </w:t>
      </w:r>
      <w:r w:rsidRPr="35D89459">
        <w:rPr>
          <w:rFonts w:ascii="Times New Roman" w:hAnsi="Times New Roman" w:cs="Times New Roman"/>
        </w:rPr>
        <w:t>a</w:t>
      </w:r>
      <w:r w:rsidRPr="35D89459" w:rsidR="5528CD49">
        <w:rPr>
          <w:rFonts w:ascii="Times New Roman" w:hAnsi="Times New Roman" w:cs="Times New Roman"/>
        </w:rPr>
        <w:t>n associ</w:t>
      </w:r>
      <w:r w:rsidR="0058445A">
        <w:rPr>
          <w:rFonts w:ascii="Times New Roman" w:hAnsi="Times New Roman" w:cs="Times New Roman"/>
        </w:rPr>
        <w:t>ated</w:t>
      </w:r>
      <w:r>
        <w:rPr>
          <w:rFonts w:ascii="Times New Roman" w:hAnsi="Times New Roman" w:cs="Times New Roman"/>
        </w:rPr>
        <w:t xml:space="preserve"> business entity, or if applicable, an ultimate parent</w:t>
      </w:r>
      <w:r w:rsidR="008C68D4">
        <w:rPr>
          <w:rFonts w:ascii="Times New Roman" w:hAnsi="Times New Roman" w:cs="Times New Roman"/>
        </w:rPr>
        <w:t xml:space="preserve"> entity</w:t>
      </w:r>
      <w:r>
        <w:rPr>
          <w:rFonts w:ascii="Times New Roman" w:hAnsi="Times New Roman" w:cs="Times New Roman"/>
        </w:rPr>
        <w:t xml:space="preserve">. This means that some </w:t>
      </w:r>
      <w:r w:rsidR="00F2227E">
        <w:rPr>
          <w:rFonts w:ascii="Times New Roman" w:hAnsi="Times New Roman" w:cs="Times New Roman"/>
        </w:rPr>
        <w:t>facilities</w:t>
      </w:r>
      <w:r>
        <w:rPr>
          <w:rFonts w:ascii="Times New Roman" w:hAnsi="Times New Roman" w:cs="Times New Roman"/>
        </w:rPr>
        <w:t xml:space="preserve"> not associated with </w:t>
      </w:r>
      <w:r w:rsidR="008C68D4">
        <w:rPr>
          <w:rFonts w:ascii="Times New Roman" w:hAnsi="Times New Roman" w:cs="Times New Roman"/>
        </w:rPr>
        <w:t xml:space="preserve">an ultimate parent entity in the </w:t>
      </w:r>
      <w:r>
        <w:rPr>
          <w:rFonts w:ascii="Times New Roman" w:hAnsi="Times New Roman" w:cs="Times New Roman"/>
        </w:rPr>
        <w:t>Data Ax</w:t>
      </w:r>
      <w:r w:rsidR="003D3ABD">
        <w:rPr>
          <w:rFonts w:ascii="Times New Roman" w:hAnsi="Times New Roman" w:cs="Times New Roman"/>
        </w:rPr>
        <w:t>le</w:t>
      </w:r>
      <w:r>
        <w:rPr>
          <w:rFonts w:ascii="Times New Roman" w:hAnsi="Times New Roman" w:cs="Times New Roman"/>
        </w:rPr>
        <w:t xml:space="preserve"> data may be associated with </w:t>
      </w:r>
      <w:r w:rsidR="008C68D4">
        <w:rPr>
          <w:rFonts w:ascii="Times New Roman" w:hAnsi="Times New Roman" w:cs="Times New Roman"/>
        </w:rPr>
        <w:t xml:space="preserve">an ultimate parent entity in the </w:t>
      </w:r>
      <w:r>
        <w:rPr>
          <w:rFonts w:ascii="Times New Roman" w:hAnsi="Times New Roman" w:cs="Times New Roman"/>
        </w:rPr>
        <w:t xml:space="preserve">D&amp;B Hoovers data, and </w:t>
      </w:r>
      <w:r w:rsidR="0058445A">
        <w:rPr>
          <w:rFonts w:ascii="Times New Roman" w:hAnsi="Times New Roman" w:cs="Times New Roman"/>
        </w:rPr>
        <w:t xml:space="preserve">vice versa, </w:t>
      </w:r>
      <w:r>
        <w:rPr>
          <w:rFonts w:ascii="Times New Roman" w:hAnsi="Times New Roman" w:cs="Times New Roman"/>
        </w:rPr>
        <w:t>and</w:t>
      </w:r>
      <w:r w:rsidR="00922359">
        <w:rPr>
          <w:rFonts w:ascii="Times New Roman" w:hAnsi="Times New Roman" w:cs="Times New Roman"/>
        </w:rPr>
        <w:t xml:space="preserve"> which explains the differences in </w:t>
      </w:r>
      <w:r w:rsidR="00EA3F69">
        <w:rPr>
          <w:rFonts w:ascii="Times New Roman" w:hAnsi="Times New Roman" w:cs="Times New Roman"/>
        </w:rPr>
        <w:t>entity counts and size classification</w:t>
      </w:r>
      <w:r>
        <w:rPr>
          <w:rFonts w:ascii="Times New Roman" w:hAnsi="Times New Roman" w:cs="Times New Roman"/>
        </w:rPr>
        <w:t>.</w:t>
      </w:r>
      <w:r w:rsidR="001A332F">
        <w:rPr>
          <w:rFonts w:ascii="Times New Roman" w:hAnsi="Times New Roman" w:cs="Times New Roman"/>
        </w:rPr>
        <w:t xml:space="preserve"> Data Axle has an algorithm matching facility addresses with</w:t>
      </w:r>
      <w:r w:rsidR="00044915">
        <w:rPr>
          <w:rFonts w:ascii="Times New Roman" w:hAnsi="Times New Roman" w:cs="Times New Roman"/>
        </w:rPr>
        <w:t xml:space="preserve"> </w:t>
      </w:r>
      <w:r w:rsidR="001A332F">
        <w:rPr>
          <w:rFonts w:ascii="Times New Roman" w:hAnsi="Times New Roman" w:cs="Times New Roman"/>
        </w:rPr>
        <w:t>known business</w:t>
      </w:r>
      <w:r w:rsidR="002E7327">
        <w:rPr>
          <w:rFonts w:ascii="Times New Roman" w:hAnsi="Times New Roman" w:cs="Times New Roman"/>
        </w:rPr>
        <w:t>es</w:t>
      </w:r>
      <w:r w:rsidR="001A332F">
        <w:rPr>
          <w:rFonts w:ascii="Times New Roman" w:hAnsi="Times New Roman" w:cs="Times New Roman"/>
        </w:rPr>
        <w:t xml:space="preserve"> and uses their database to connect those businesses to any parent companies</w:t>
      </w:r>
      <w:r w:rsidR="0048534E">
        <w:rPr>
          <w:rFonts w:ascii="Times New Roman" w:hAnsi="Times New Roman" w:cs="Times New Roman"/>
        </w:rPr>
        <w:t xml:space="preserve">. EPA’s </w:t>
      </w:r>
      <w:r w:rsidR="0058445A">
        <w:rPr>
          <w:rFonts w:ascii="Times New Roman" w:hAnsi="Times New Roman" w:cs="Times New Roman"/>
        </w:rPr>
        <w:t>original</w:t>
      </w:r>
      <w:r w:rsidR="0048534E">
        <w:rPr>
          <w:rFonts w:ascii="Times New Roman" w:hAnsi="Times New Roman" w:cs="Times New Roman"/>
        </w:rPr>
        <w:t xml:space="preserve"> analysis </w:t>
      </w:r>
      <w:r w:rsidR="00A24F79">
        <w:rPr>
          <w:rFonts w:ascii="Times New Roman" w:hAnsi="Times New Roman" w:cs="Times New Roman"/>
        </w:rPr>
        <w:t>assigned facilities to entities using company name. D&amp;B Hoovers</w:t>
      </w:r>
      <w:r w:rsidR="00CA59D8">
        <w:rPr>
          <w:rFonts w:ascii="Times New Roman" w:hAnsi="Times New Roman" w:cs="Times New Roman"/>
        </w:rPr>
        <w:t xml:space="preserve"> uses the DUNS number </w:t>
      </w:r>
      <w:r w:rsidR="00071022">
        <w:rPr>
          <w:rFonts w:ascii="Times New Roman" w:hAnsi="Times New Roman" w:cs="Times New Roman"/>
        </w:rPr>
        <w:t>reported in the RMP or FRS Databases</w:t>
      </w:r>
      <w:r w:rsidR="0045223D">
        <w:rPr>
          <w:rFonts w:ascii="Times New Roman" w:hAnsi="Times New Roman" w:cs="Times New Roman"/>
        </w:rPr>
        <w:t>. DUNS numbers then connect to businesses in the D&amp;B Hoovers database and can be connected to any parent companies. In the analysis, DUNS numbers are used to assign facilities to entities.</w:t>
      </w:r>
      <w:r w:rsidR="00EA3F69">
        <w:rPr>
          <w:rFonts w:ascii="Times New Roman" w:hAnsi="Times New Roman" w:cs="Times New Roman"/>
        </w:rPr>
        <w:t xml:space="preserve"> Government counts differ slightly </w:t>
      </w:r>
      <w:r w:rsidR="00A6602C">
        <w:rPr>
          <w:rFonts w:ascii="Times New Roman" w:hAnsi="Times New Roman" w:cs="Times New Roman"/>
        </w:rPr>
        <w:t>between datasets</w:t>
      </w:r>
      <w:r w:rsidR="00EA3F69">
        <w:rPr>
          <w:rFonts w:ascii="Times New Roman" w:hAnsi="Times New Roman" w:cs="Times New Roman"/>
        </w:rPr>
        <w:t xml:space="preserve"> due to a different method of assigning facilities to entities.</w:t>
      </w:r>
    </w:p>
    <w:p w:rsidR="00C100C5" w:rsidRPr="00DE6BD4" w:rsidP="00421479" w14:paraId="43587895" w14:textId="77777777">
      <w:pPr>
        <w:spacing w:after="0" w:line="240" w:lineRule="auto"/>
        <w:ind w:right="617"/>
        <w:rPr>
          <w:rFonts w:ascii="Times New Roman" w:hAnsi="Times New Roman"/>
        </w:rPr>
      </w:pPr>
    </w:p>
    <w:p w:rsidR="0090532C" w:rsidP="00421479" w14:paraId="3416B9AE" w14:textId="77777777">
      <w:pPr>
        <w:spacing w:after="0" w:line="240" w:lineRule="auto"/>
        <w:ind w:firstLine="720"/>
        <w:rPr>
          <w:rFonts w:ascii="Times New Roman" w:hAnsi="Times New Roman" w:cs="Times New Roman"/>
        </w:rPr>
      </w:pPr>
      <w:r w:rsidRPr="00693892">
        <w:rPr>
          <w:rFonts w:ascii="Times New Roman" w:hAnsi="Times New Roman" w:cs="Times New Roman"/>
        </w:rPr>
        <w:t>Exhibit</w:t>
      </w:r>
      <w:r w:rsidR="00C95579">
        <w:rPr>
          <w:rFonts w:ascii="Times New Roman" w:hAnsi="Times New Roman" w:cs="Times New Roman"/>
        </w:rPr>
        <w:t>s</w:t>
      </w:r>
      <w:r w:rsidRPr="00693892">
        <w:rPr>
          <w:rFonts w:ascii="Times New Roman" w:hAnsi="Times New Roman" w:cs="Times New Roman"/>
        </w:rPr>
        <w:t xml:space="preserve"> </w:t>
      </w:r>
      <w:r w:rsidR="00C95579">
        <w:rPr>
          <w:rFonts w:ascii="Times New Roman" w:hAnsi="Times New Roman" w:cs="Times New Roman"/>
        </w:rPr>
        <w:t>C</w:t>
      </w:r>
      <w:r w:rsidRPr="00693892">
        <w:rPr>
          <w:rFonts w:ascii="Times New Roman" w:hAnsi="Times New Roman" w:cs="Times New Roman"/>
        </w:rPr>
        <w:t>-</w:t>
      </w:r>
      <w:r w:rsidR="00C95579">
        <w:rPr>
          <w:rFonts w:ascii="Times New Roman" w:hAnsi="Times New Roman" w:cs="Times New Roman"/>
        </w:rPr>
        <w:t>2 and C-3</w:t>
      </w:r>
      <w:r w:rsidRPr="00693892">
        <w:rPr>
          <w:rFonts w:ascii="Times New Roman" w:hAnsi="Times New Roman" w:cs="Times New Roman"/>
        </w:rPr>
        <w:t xml:space="preserve"> present an analysis of facilities and the size of </w:t>
      </w:r>
      <w:r w:rsidR="00CC6DF0">
        <w:rPr>
          <w:rFonts w:ascii="Times New Roman" w:hAnsi="Times New Roman" w:cs="Times New Roman"/>
        </w:rPr>
        <w:t xml:space="preserve">ownership </w:t>
      </w:r>
      <w:r w:rsidRPr="00693892">
        <w:rPr>
          <w:rFonts w:ascii="Times New Roman" w:hAnsi="Times New Roman" w:cs="Times New Roman"/>
        </w:rPr>
        <w:t xml:space="preserve">entity </w:t>
      </w:r>
      <w:r w:rsidR="004224C5">
        <w:rPr>
          <w:rFonts w:ascii="Times New Roman" w:hAnsi="Times New Roman" w:cs="Times New Roman"/>
        </w:rPr>
        <w:t>associated with them</w:t>
      </w:r>
      <w:r w:rsidRPr="00693892">
        <w:rPr>
          <w:rFonts w:ascii="Times New Roman" w:hAnsi="Times New Roman" w:cs="Times New Roman"/>
        </w:rPr>
        <w:t xml:space="preserve"> to provide an understanding of the distribution of private sector owned facilities by Program Level. The results show that Program 3 has a larger proportion of facilities owned by non-small private sector entities than Program</w:t>
      </w:r>
      <w:r w:rsidR="00E176D3">
        <w:rPr>
          <w:rFonts w:ascii="Times New Roman" w:hAnsi="Times New Roman" w:cs="Times New Roman"/>
        </w:rPr>
        <w:t>s</w:t>
      </w:r>
      <w:r w:rsidRPr="00693892">
        <w:rPr>
          <w:rFonts w:ascii="Times New Roman" w:hAnsi="Times New Roman" w:cs="Times New Roman"/>
        </w:rPr>
        <w:t xml:space="preserve"> 2 and </w:t>
      </w:r>
      <w:r w:rsidR="00683A4B">
        <w:rPr>
          <w:rFonts w:ascii="Times New Roman" w:hAnsi="Times New Roman" w:cs="Times New Roman"/>
        </w:rPr>
        <w:t xml:space="preserve">1 </w:t>
      </w:r>
      <w:r w:rsidRPr="00693892">
        <w:rPr>
          <w:rFonts w:ascii="Times New Roman" w:hAnsi="Times New Roman" w:cs="Times New Roman"/>
        </w:rPr>
        <w:t xml:space="preserve">facilities. That is, </w:t>
      </w:r>
      <w:r w:rsidR="00291175">
        <w:rPr>
          <w:rFonts w:ascii="Times New Roman" w:hAnsi="Times New Roman" w:cs="Times New Roman"/>
        </w:rPr>
        <w:t>based on Data Axle and D&amp;B Hoovers data, respectively</w:t>
      </w:r>
      <w:r w:rsidRPr="00693892">
        <w:rPr>
          <w:rFonts w:ascii="Times New Roman" w:hAnsi="Times New Roman" w:cs="Times New Roman"/>
        </w:rPr>
        <w:t xml:space="preserve">, </w:t>
      </w:r>
      <w:r w:rsidR="00323066">
        <w:rPr>
          <w:rFonts w:ascii="Times New Roman" w:hAnsi="Times New Roman" w:cs="Times New Roman"/>
        </w:rPr>
        <w:t xml:space="preserve">non-small private sector entities own </w:t>
      </w:r>
      <w:r w:rsidR="003A6B0E">
        <w:rPr>
          <w:rFonts w:ascii="Times New Roman" w:hAnsi="Times New Roman" w:cs="Times New Roman"/>
        </w:rPr>
        <w:t xml:space="preserve">59 </w:t>
      </w:r>
      <w:r w:rsidR="00AD51DB">
        <w:rPr>
          <w:rFonts w:ascii="Times New Roman" w:hAnsi="Times New Roman" w:cs="Times New Roman"/>
        </w:rPr>
        <w:t>and</w:t>
      </w:r>
      <w:r w:rsidR="003A6B0E">
        <w:rPr>
          <w:rFonts w:ascii="Times New Roman" w:hAnsi="Times New Roman" w:cs="Times New Roman"/>
        </w:rPr>
        <w:t xml:space="preserve"> </w:t>
      </w:r>
      <w:r w:rsidR="003F3B0E">
        <w:rPr>
          <w:rFonts w:ascii="Times New Roman" w:hAnsi="Times New Roman" w:cs="Times New Roman"/>
        </w:rPr>
        <w:t>82</w:t>
      </w:r>
      <w:r w:rsidRPr="00693892">
        <w:rPr>
          <w:rFonts w:ascii="Times New Roman" w:hAnsi="Times New Roman" w:cs="Times New Roman"/>
        </w:rPr>
        <w:t xml:space="preserve"> percent of Program 3 facilities (3,781 of 6,422</w:t>
      </w:r>
      <w:r w:rsidR="0079308C">
        <w:rPr>
          <w:rFonts w:ascii="Times New Roman" w:hAnsi="Times New Roman" w:cs="Times New Roman"/>
        </w:rPr>
        <w:t xml:space="preserve"> and </w:t>
      </w:r>
      <w:r w:rsidR="00B25A2A">
        <w:rPr>
          <w:rFonts w:ascii="Times New Roman" w:hAnsi="Times New Roman" w:cs="Times New Roman"/>
        </w:rPr>
        <w:t>5,239 of 6,387</w:t>
      </w:r>
      <w:r w:rsidRPr="00693892">
        <w:rPr>
          <w:rFonts w:ascii="Times New Roman" w:hAnsi="Times New Roman" w:cs="Times New Roman"/>
        </w:rPr>
        <w:t xml:space="preserve">) compared to 48 </w:t>
      </w:r>
      <w:r w:rsidR="00AD51DB">
        <w:rPr>
          <w:rFonts w:ascii="Times New Roman" w:hAnsi="Times New Roman" w:cs="Times New Roman"/>
        </w:rPr>
        <w:t>and</w:t>
      </w:r>
      <w:r w:rsidR="00E75166">
        <w:rPr>
          <w:rFonts w:ascii="Times New Roman" w:hAnsi="Times New Roman" w:cs="Times New Roman"/>
        </w:rPr>
        <w:t xml:space="preserve"> 55</w:t>
      </w:r>
      <w:r w:rsidRPr="00693892">
        <w:rPr>
          <w:rFonts w:ascii="Times New Roman" w:hAnsi="Times New Roman" w:cs="Times New Roman"/>
        </w:rPr>
        <w:t xml:space="preserve"> percent of Program 2 facilities (1,526 of 3,163</w:t>
      </w:r>
      <w:r w:rsidR="009C6C8C">
        <w:rPr>
          <w:rFonts w:ascii="Times New Roman" w:hAnsi="Times New Roman" w:cs="Times New Roman"/>
        </w:rPr>
        <w:t xml:space="preserve"> and </w:t>
      </w:r>
      <w:r w:rsidR="00F07EE8">
        <w:rPr>
          <w:rFonts w:ascii="Times New Roman" w:hAnsi="Times New Roman" w:cs="Times New Roman"/>
        </w:rPr>
        <w:t>1,</w:t>
      </w:r>
      <w:r w:rsidR="00D8279A">
        <w:rPr>
          <w:rFonts w:ascii="Times New Roman" w:hAnsi="Times New Roman" w:cs="Times New Roman"/>
        </w:rPr>
        <w:t>719</w:t>
      </w:r>
      <w:r w:rsidR="00F07EE8">
        <w:rPr>
          <w:rFonts w:ascii="Times New Roman" w:hAnsi="Times New Roman" w:cs="Times New Roman"/>
        </w:rPr>
        <w:t xml:space="preserve"> of </w:t>
      </w:r>
      <w:r w:rsidR="00641585">
        <w:rPr>
          <w:rFonts w:ascii="Times New Roman" w:hAnsi="Times New Roman" w:cs="Times New Roman"/>
        </w:rPr>
        <w:t>3,137</w:t>
      </w:r>
      <w:r w:rsidRPr="00693892">
        <w:rPr>
          <w:rFonts w:ascii="Times New Roman" w:hAnsi="Times New Roman" w:cs="Times New Roman"/>
        </w:rPr>
        <w:t xml:space="preserve">) and 43 </w:t>
      </w:r>
      <w:r w:rsidR="007A3AB4">
        <w:rPr>
          <w:rFonts w:ascii="Times New Roman" w:hAnsi="Times New Roman" w:cs="Times New Roman"/>
        </w:rPr>
        <w:t xml:space="preserve">and 79 </w:t>
      </w:r>
      <w:r w:rsidRPr="00693892">
        <w:rPr>
          <w:rFonts w:ascii="Times New Roman" w:hAnsi="Times New Roman" w:cs="Times New Roman"/>
        </w:rPr>
        <w:t>percent of Program 1 facilities (282 of 651</w:t>
      </w:r>
      <w:r w:rsidR="00641585">
        <w:rPr>
          <w:rFonts w:ascii="Times New Roman" w:hAnsi="Times New Roman" w:cs="Times New Roman"/>
        </w:rPr>
        <w:t xml:space="preserve"> and </w:t>
      </w:r>
      <w:r w:rsidR="0048719D">
        <w:rPr>
          <w:rFonts w:ascii="Times New Roman" w:hAnsi="Times New Roman" w:cs="Times New Roman"/>
        </w:rPr>
        <w:t>502</w:t>
      </w:r>
      <w:r w:rsidR="00641AD7">
        <w:rPr>
          <w:rFonts w:ascii="Times New Roman" w:hAnsi="Times New Roman" w:cs="Times New Roman"/>
        </w:rPr>
        <w:t xml:space="preserve"> of 634</w:t>
      </w:r>
      <w:r w:rsidRPr="00693892">
        <w:rPr>
          <w:rFonts w:ascii="Times New Roman" w:hAnsi="Times New Roman" w:cs="Times New Roman"/>
        </w:rPr>
        <w:t>).</w:t>
      </w:r>
    </w:p>
    <w:p w:rsidR="0090532C" w:rsidRPr="00693892" w:rsidP="00421479" w14:paraId="66DE21F9" w14:textId="77777777">
      <w:pPr>
        <w:spacing w:after="0" w:line="240" w:lineRule="auto"/>
        <w:ind w:firstLine="360"/>
        <w:rPr>
          <w:rFonts w:ascii="Times New Roman" w:hAnsi="Times New Roman" w:cs="Times New Roman"/>
        </w:rPr>
      </w:pPr>
    </w:p>
    <w:p w:rsidR="0090532C" w:rsidRPr="00E92045" w:rsidP="0090532C" w14:paraId="72CA3E85" w14:textId="77777777">
      <w:pPr>
        <w:pStyle w:val="Caption"/>
        <w:jc w:val="center"/>
        <w:rPr>
          <w:rFonts w:ascii="Times New Roman" w:hAnsi="Times New Roman" w:cs="Times New Roman"/>
          <w:b/>
          <w:bCs/>
          <w:i w:val="0"/>
          <w:iCs w:val="0"/>
          <w:color w:val="auto"/>
          <w:sz w:val="22"/>
          <w:szCs w:val="22"/>
        </w:rPr>
      </w:pPr>
      <w:r w:rsidRPr="00E92045">
        <w:rPr>
          <w:rFonts w:ascii="Times New Roman" w:hAnsi="Times New Roman" w:cs="Times New Roman"/>
          <w:b/>
          <w:bCs/>
          <w:i w:val="0"/>
          <w:iCs w:val="0"/>
          <w:color w:val="auto"/>
          <w:sz w:val="22"/>
          <w:szCs w:val="22"/>
        </w:rPr>
        <w:t>Exhibit</w:t>
      </w:r>
      <w:r w:rsidRPr="00E92045">
        <w:rPr>
          <w:rFonts w:ascii="Times New Roman" w:hAnsi="Times New Roman" w:cs="Times New Roman"/>
          <w:i w:val="0"/>
          <w:iCs w:val="0"/>
          <w:color w:val="auto"/>
          <w:sz w:val="22"/>
          <w:szCs w:val="22"/>
        </w:rPr>
        <w:t xml:space="preserve"> </w:t>
      </w:r>
      <w:r w:rsidR="00C95579">
        <w:rPr>
          <w:rFonts w:ascii="Times New Roman" w:hAnsi="Times New Roman" w:cs="Times New Roman"/>
          <w:b/>
          <w:bCs/>
          <w:i w:val="0"/>
          <w:iCs w:val="0"/>
          <w:color w:val="auto"/>
          <w:sz w:val="22"/>
          <w:szCs w:val="22"/>
        </w:rPr>
        <w:t>C</w:t>
      </w:r>
      <w:r w:rsidRPr="00E92045">
        <w:rPr>
          <w:rFonts w:ascii="Times New Roman" w:hAnsi="Times New Roman" w:cs="Times New Roman"/>
          <w:b/>
          <w:bCs/>
          <w:i w:val="0"/>
          <w:iCs w:val="0"/>
          <w:color w:val="auto"/>
          <w:sz w:val="22"/>
          <w:szCs w:val="22"/>
        </w:rPr>
        <w:t>-</w:t>
      </w:r>
      <w:r w:rsidR="00C95579">
        <w:rPr>
          <w:rFonts w:ascii="Times New Roman" w:hAnsi="Times New Roman" w:cs="Times New Roman"/>
          <w:b/>
          <w:bCs/>
          <w:i w:val="0"/>
          <w:iCs w:val="0"/>
          <w:color w:val="auto"/>
          <w:sz w:val="22"/>
          <w:szCs w:val="22"/>
        </w:rPr>
        <w:t>2</w:t>
      </w:r>
      <w:r w:rsidRPr="00E92045">
        <w:rPr>
          <w:rFonts w:ascii="Times New Roman" w:hAnsi="Times New Roman" w:cs="Times New Roman"/>
          <w:b/>
          <w:bCs/>
          <w:i w:val="0"/>
          <w:iCs w:val="0"/>
          <w:color w:val="auto"/>
          <w:sz w:val="22"/>
          <w:szCs w:val="22"/>
        </w:rPr>
        <w:t>: Analysis of Private Sector Facility Ownership by Program Level</w:t>
      </w:r>
      <w:r w:rsidR="004D6754">
        <w:rPr>
          <w:rFonts w:ascii="Times New Roman" w:hAnsi="Times New Roman" w:cs="Times New Roman"/>
          <w:b/>
          <w:bCs/>
          <w:i w:val="0"/>
          <w:iCs w:val="0"/>
          <w:color w:val="auto"/>
          <w:sz w:val="22"/>
          <w:szCs w:val="22"/>
        </w:rPr>
        <w:t>, Data Axle</w:t>
      </w:r>
      <w:r w:rsidRPr="00E92045">
        <w:rPr>
          <w:rFonts w:ascii="Times New Roman" w:hAnsi="Times New Roman" w:cs="Times New Roman"/>
          <w:b/>
          <w:bCs/>
          <w:i w:val="0"/>
          <w:iCs w:val="0"/>
          <w:color w:val="auto"/>
          <w:sz w:val="22"/>
          <w:szCs w:val="22"/>
        </w:rPr>
        <w:t>.</w:t>
      </w: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200"/>
        <w:gridCol w:w="1190"/>
        <w:gridCol w:w="1386"/>
      </w:tblGrid>
      <w:tr w14:paraId="271E2E6C" w14:textId="77777777">
        <w:tblPrEx>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jc w:val="center"/>
        </w:trPr>
        <w:tc>
          <w:tcPr>
            <w:tcW w:w="2789" w:type="dxa"/>
            <w:shd w:val="clear" w:color="auto" w:fill="D9D9D9" w:themeFill="background1" w:themeFillShade="D9"/>
            <w:noWrap/>
            <w:vAlign w:val="center"/>
            <w:hideMark/>
          </w:tcPr>
          <w:p w:rsidR="0090532C" w:rsidRPr="00E92045" w14:paraId="53CD7830" w14:textId="77777777">
            <w:pPr>
              <w:spacing w:after="0" w:line="240" w:lineRule="auto"/>
              <w:rPr>
                <w:rFonts w:ascii="Times New Roman" w:eastAsia="Times New Roman" w:hAnsi="Times New Roman" w:cs="Times New Roman"/>
                <w:b/>
                <w:sz w:val="20"/>
                <w:szCs w:val="20"/>
              </w:rPr>
            </w:pPr>
          </w:p>
        </w:tc>
        <w:tc>
          <w:tcPr>
            <w:tcW w:w="1200" w:type="dxa"/>
            <w:shd w:val="clear" w:color="auto" w:fill="D9D9D9" w:themeFill="background1" w:themeFillShade="D9"/>
            <w:noWrap/>
            <w:vAlign w:val="center"/>
            <w:hideMark/>
          </w:tcPr>
          <w:p w:rsidR="0090532C" w:rsidRPr="00E92045" w14:paraId="0C88BDA8"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P1 Facilities</w:t>
            </w:r>
          </w:p>
        </w:tc>
        <w:tc>
          <w:tcPr>
            <w:tcW w:w="1190" w:type="dxa"/>
            <w:shd w:val="clear" w:color="auto" w:fill="D9D9D9" w:themeFill="background1" w:themeFillShade="D9"/>
            <w:noWrap/>
            <w:vAlign w:val="center"/>
            <w:hideMark/>
          </w:tcPr>
          <w:p w:rsidR="0090532C" w:rsidRPr="00E92045" w14:paraId="74E07EF0"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P2 Facilities</w:t>
            </w:r>
          </w:p>
        </w:tc>
        <w:tc>
          <w:tcPr>
            <w:tcW w:w="1386" w:type="dxa"/>
            <w:shd w:val="clear" w:color="auto" w:fill="D9D9D9" w:themeFill="background1" w:themeFillShade="D9"/>
            <w:noWrap/>
            <w:vAlign w:val="center"/>
            <w:hideMark/>
          </w:tcPr>
          <w:p w:rsidR="0090532C" w14:paraId="6372C422"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 xml:space="preserve">Number </w:t>
            </w:r>
            <w:r w:rsidRPr="00E92045">
              <w:rPr>
                <w:rFonts w:ascii="Times New Roman" w:eastAsia="Times New Roman" w:hAnsi="Times New Roman" w:cs="Times New Roman"/>
                <w:b/>
                <w:color w:val="000000"/>
                <w:sz w:val="20"/>
                <w:szCs w:val="20"/>
              </w:rPr>
              <w:t xml:space="preserve">of P3 </w:t>
            </w:r>
          </w:p>
          <w:p w:rsidR="0090532C" w:rsidRPr="00E92045" w14:paraId="44DB2B70"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Facilities</w:t>
            </w:r>
          </w:p>
        </w:tc>
      </w:tr>
      <w:tr w14:paraId="7F631DD7" w14:textId="77777777">
        <w:tblPrEx>
          <w:tblW w:w="6565" w:type="dxa"/>
          <w:jc w:val="center"/>
          <w:tblLook w:val="04A0"/>
        </w:tblPrEx>
        <w:trPr>
          <w:trHeight w:val="290"/>
          <w:jc w:val="center"/>
        </w:trPr>
        <w:tc>
          <w:tcPr>
            <w:tcW w:w="2789" w:type="dxa"/>
            <w:shd w:val="clear" w:color="auto" w:fill="auto"/>
            <w:noWrap/>
            <w:vAlign w:val="center"/>
            <w:hideMark/>
          </w:tcPr>
          <w:p w:rsidR="0090532C" w:rsidRPr="00E92045" w14:paraId="4BE7AAB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Total Facilities</w:t>
            </w:r>
          </w:p>
        </w:tc>
        <w:tc>
          <w:tcPr>
            <w:tcW w:w="1200" w:type="dxa"/>
            <w:shd w:val="clear" w:color="auto" w:fill="auto"/>
            <w:noWrap/>
            <w:vAlign w:val="center"/>
            <w:hideMark/>
          </w:tcPr>
          <w:p w:rsidR="0090532C" w:rsidRPr="00E92045" w14:paraId="118C30C1"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660</w:t>
            </w:r>
          </w:p>
        </w:tc>
        <w:tc>
          <w:tcPr>
            <w:tcW w:w="1190" w:type="dxa"/>
            <w:shd w:val="clear" w:color="auto" w:fill="auto"/>
            <w:noWrap/>
            <w:vAlign w:val="center"/>
            <w:hideMark/>
          </w:tcPr>
          <w:p w:rsidR="0090532C" w:rsidRPr="00E92045" w14:paraId="4A371788"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3,975</w:t>
            </w:r>
          </w:p>
        </w:tc>
        <w:tc>
          <w:tcPr>
            <w:tcW w:w="1386" w:type="dxa"/>
            <w:shd w:val="clear" w:color="auto" w:fill="auto"/>
            <w:noWrap/>
            <w:vAlign w:val="center"/>
            <w:hideMark/>
          </w:tcPr>
          <w:p w:rsidR="0090532C" w:rsidRPr="00E92045" w14:paraId="3E8E97D2"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7,105</w:t>
            </w:r>
          </w:p>
        </w:tc>
      </w:tr>
      <w:tr w14:paraId="03DA4820" w14:textId="77777777">
        <w:tblPrEx>
          <w:tblW w:w="6565" w:type="dxa"/>
          <w:jc w:val="center"/>
          <w:tblLook w:val="04A0"/>
        </w:tblPrEx>
        <w:trPr>
          <w:trHeight w:val="268"/>
          <w:jc w:val="center"/>
        </w:trPr>
        <w:tc>
          <w:tcPr>
            <w:tcW w:w="2789" w:type="dxa"/>
            <w:shd w:val="clear" w:color="auto" w:fill="auto"/>
            <w:noWrap/>
            <w:vAlign w:val="center"/>
            <w:hideMark/>
          </w:tcPr>
          <w:p w:rsidR="0090532C" w:rsidRPr="00E92045" w14:paraId="187CB70C" w14:textId="77777777">
            <w:pPr>
              <w:spacing w:after="0" w:line="240" w:lineRule="auto"/>
              <w:ind w:firstLine="200" w:firstLineChars="100"/>
              <w:jc w:val="center"/>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of facilities owned by: Private Sector Entities</w:t>
            </w:r>
          </w:p>
        </w:tc>
        <w:tc>
          <w:tcPr>
            <w:tcW w:w="1200" w:type="dxa"/>
            <w:shd w:val="clear" w:color="auto" w:fill="auto"/>
            <w:noWrap/>
            <w:vAlign w:val="center"/>
            <w:hideMark/>
          </w:tcPr>
          <w:p w:rsidR="0090532C" w:rsidRPr="00E92045" w14:paraId="0386F73E"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651</w:t>
            </w:r>
          </w:p>
        </w:tc>
        <w:tc>
          <w:tcPr>
            <w:tcW w:w="1190" w:type="dxa"/>
            <w:shd w:val="clear" w:color="auto" w:fill="auto"/>
            <w:noWrap/>
            <w:vAlign w:val="center"/>
            <w:hideMark/>
          </w:tcPr>
          <w:p w:rsidR="0090532C" w:rsidRPr="00E92045" w14:paraId="6BC7BB9F"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3,162</w:t>
            </w:r>
          </w:p>
        </w:tc>
        <w:tc>
          <w:tcPr>
            <w:tcW w:w="1386" w:type="dxa"/>
            <w:shd w:val="clear" w:color="auto" w:fill="auto"/>
            <w:noWrap/>
            <w:vAlign w:val="center"/>
            <w:hideMark/>
          </w:tcPr>
          <w:p w:rsidR="0090532C" w:rsidRPr="00E92045" w14:paraId="6875A225"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6,422</w:t>
            </w:r>
          </w:p>
        </w:tc>
      </w:tr>
      <w:tr w14:paraId="5EFA0170" w14:textId="77777777">
        <w:tblPrEx>
          <w:tblW w:w="6565" w:type="dxa"/>
          <w:jc w:val="center"/>
          <w:tblLook w:val="04A0"/>
        </w:tblPrEx>
        <w:trPr>
          <w:trHeight w:val="268"/>
          <w:jc w:val="center"/>
        </w:trPr>
        <w:tc>
          <w:tcPr>
            <w:tcW w:w="2789" w:type="dxa"/>
            <w:shd w:val="clear" w:color="auto" w:fill="auto"/>
            <w:noWrap/>
            <w:vAlign w:val="center"/>
            <w:hideMark/>
          </w:tcPr>
          <w:p w:rsidR="0090532C" w:rsidRPr="00E92045" w14:paraId="680DAF91"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Small </w:t>
            </w:r>
          </w:p>
        </w:tc>
        <w:tc>
          <w:tcPr>
            <w:tcW w:w="1200" w:type="dxa"/>
            <w:shd w:val="clear" w:color="auto" w:fill="auto"/>
            <w:noWrap/>
            <w:vAlign w:val="center"/>
            <w:hideMark/>
          </w:tcPr>
          <w:p w:rsidR="0090532C" w:rsidRPr="00E92045" w14:paraId="70153380"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369</w:t>
            </w:r>
          </w:p>
        </w:tc>
        <w:tc>
          <w:tcPr>
            <w:tcW w:w="1190" w:type="dxa"/>
            <w:shd w:val="clear" w:color="auto" w:fill="auto"/>
            <w:noWrap/>
            <w:vAlign w:val="center"/>
            <w:hideMark/>
          </w:tcPr>
          <w:p w:rsidR="0090532C" w:rsidRPr="00E92045" w14:paraId="7865AFEE"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1,636</w:t>
            </w:r>
          </w:p>
        </w:tc>
        <w:tc>
          <w:tcPr>
            <w:tcW w:w="1386" w:type="dxa"/>
            <w:shd w:val="clear" w:color="auto" w:fill="auto"/>
            <w:noWrap/>
            <w:vAlign w:val="center"/>
            <w:hideMark/>
          </w:tcPr>
          <w:p w:rsidR="0090532C" w:rsidRPr="00E92045" w14:paraId="701B362B"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2,641</w:t>
            </w:r>
          </w:p>
        </w:tc>
      </w:tr>
      <w:tr w14:paraId="7CD438AC" w14:textId="77777777">
        <w:tblPrEx>
          <w:tblW w:w="6565" w:type="dxa"/>
          <w:jc w:val="center"/>
          <w:tblLook w:val="04A0"/>
        </w:tblPrEx>
        <w:trPr>
          <w:trHeight w:val="268"/>
          <w:jc w:val="center"/>
        </w:trPr>
        <w:tc>
          <w:tcPr>
            <w:tcW w:w="2789" w:type="dxa"/>
            <w:shd w:val="clear" w:color="auto" w:fill="auto"/>
            <w:noWrap/>
            <w:vAlign w:val="center"/>
            <w:hideMark/>
          </w:tcPr>
          <w:p w:rsidR="0090532C" w:rsidRPr="00E92045" w14:paraId="3815FC3B"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Non-small </w:t>
            </w:r>
          </w:p>
        </w:tc>
        <w:tc>
          <w:tcPr>
            <w:tcW w:w="1200" w:type="dxa"/>
            <w:shd w:val="clear" w:color="auto" w:fill="auto"/>
            <w:noWrap/>
            <w:vAlign w:val="center"/>
            <w:hideMark/>
          </w:tcPr>
          <w:p w:rsidR="0090532C" w:rsidRPr="00E92045" w14:paraId="3E7A3568"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282</w:t>
            </w:r>
          </w:p>
        </w:tc>
        <w:tc>
          <w:tcPr>
            <w:tcW w:w="1190" w:type="dxa"/>
            <w:shd w:val="clear" w:color="auto" w:fill="auto"/>
            <w:noWrap/>
            <w:vAlign w:val="center"/>
            <w:hideMark/>
          </w:tcPr>
          <w:p w:rsidR="0090532C" w:rsidRPr="00E92045" w14:paraId="715FA5AE"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1,526</w:t>
            </w:r>
          </w:p>
        </w:tc>
        <w:tc>
          <w:tcPr>
            <w:tcW w:w="1386" w:type="dxa"/>
            <w:shd w:val="clear" w:color="auto" w:fill="auto"/>
            <w:noWrap/>
            <w:vAlign w:val="center"/>
            <w:hideMark/>
          </w:tcPr>
          <w:p w:rsidR="0090532C" w:rsidRPr="00E92045" w14:paraId="7D63E850"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3,781</w:t>
            </w:r>
          </w:p>
        </w:tc>
      </w:tr>
    </w:tbl>
    <w:p w:rsidR="0090532C" w:rsidP="00843847" w14:paraId="748F292C" w14:textId="77777777">
      <w:pPr>
        <w:spacing w:after="0"/>
        <w:ind w:right="617"/>
        <w:rPr>
          <w:rFonts w:ascii="Times New Roman" w:hAnsi="Times New Roman"/>
          <w:sz w:val="20"/>
          <w:szCs w:val="20"/>
        </w:rPr>
      </w:pPr>
    </w:p>
    <w:p w:rsidR="002C637E" w:rsidRPr="00E92045" w:rsidP="00B0246F" w14:paraId="332B8594" w14:textId="77777777">
      <w:pPr>
        <w:pStyle w:val="Caption"/>
        <w:keepNext/>
        <w:jc w:val="center"/>
        <w:rPr>
          <w:rFonts w:ascii="Times New Roman" w:hAnsi="Times New Roman" w:cs="Times New Roman"/>
          <w:b/>
          <w:bCs/>
          <w:i w:val="0"/>
          <w:iCs w:val="0"/>
          <w:color w:val="auto"/>
          <w:sz w:val="22"/>
          <w:szCs w:val="22"/>
        </w:rPr>
      </w:pPr>
      <w:r w:rsidRPr="00E92045">
        <w:rPr>
          <w:rFonts w:ascii="Times New Roman" w:hAnsi="Times New Roman" w:cs="Times New Roman"/>
          <w:b/>
          <w:bCs/>
          <w:i w:val="0"/>
          <w:iCs w:val="0"/>
          <w:color w:val="auto"/>
          <w:sz w:val="22"/>
          <w:szCs w:val="22"/>
        </w:rPr>
        <w:t>Exhibit</w:t>
      </w:r>
      <w:r w:rsidRPr="00E92045">
        <w:rPr>
          <w:rFonts w:ascii="Times New Roman" w:hAnsi="Times New Roman" w:cs="Times New Roman"/>
          <w:i w:val="0"/>
          <w:iCs w:val="0"/>
          <w:color w:val="auto"/>
          <w:sz w:val="22"/>
          <w:szCs w:val="22"/>
        </w:rPr>
        <w:t xml:space="preserve"> </w:t>
      </w:r>
      <w:r>
        <w:rPr>
          <w:rFonts w:ascii="Times New Roman" w:hAnsi="Times New Roman" w:cs="Times New Roman"/>
          <w:b/>
          <w:bCs/>
          <w:i w:val="0"/>
          <w:iCs w:val="0"/>
          <w:color w:val="auto"/>
          <w:sz w:val="22"/>
          <w:szCs w:val="22"/>
        </w:rPr>
        <w:t>C</w:t>
      </w:r>
      <w:r w:rsidRPr="00E92045">
        <w:rPr>
          <w:rFonts w:ascii="Times New Roman" w:hAnsi="Times New Roman" w:cs="Times New Roman"/>
          <w:b/>
          <w:bCs/>
          <w:i w:val="0"/>
          <w:iCs w:val="0"/>
          <w:color w:val="auto"/>
          <w:sz w:val="22"/>
          <w:szCs w:val="22"/>
        </w:rPr>
        <w:t>-</w:t>
      </w:r>
      <w:r w:rsidR="00F46B79">
        <w:rPr>
          <w:rFonts w:ascii="Times New Roman" w:hAnsi="Times New Roman" w:cs="Times New Roman"/>
          <w:b/>
          <w:bCs/>
          <w:i w:val="0"/>
          <w:iCs w:val="0"/>
          <w:color w:val="auto"/>
          <w:sz w:val="22"/>
          <w:szCs w:val="22"/>
        </w:rPr>
        <w:t>3</w:t>
      </w:r>
      <w:r w:rsidRPr="00E92045">
        <w:rPr>
          <w:rFonts w:ascii="Times New Roman" w:hAnsi="Times New Roman" w:cs="Times New Roman"/>
          <w:b/>
          <w:bCs/>
          <w:i w:val="0"/>
          <w:iCs w:val="0"/>
          <w:color w:val="auto"/>
          <w:sz w:val="22"/>
          <w:szCs w:val="22"/>
        </w:rPr>
        <w:t>: Analysis of Private Sector Facility Ownership by Program Level</w:t>
      </w:r>
      <w:r>
        <w:rPr>
          <w:rFonts w:ascii="Times New Roman" w:hAnsi="Times New Roman" w:cs="Times New Roman"/>
          <w:b/>
          <w:bCs/>
          <w:i w:val="0"/>
          <w:iCs w:val="0"/>
          <w:color w:val="auto"/>
          <w:sz w:val="22"/>
          <w:szCs w:val="22"/>
        </w:rPr>
        <w:t xml:space="preserve">, </w:t>
      </w:r>
      <w:r w:rsidR="007257C5">
        <w:rPr>
          <w:rFonts w:ascii="Times New Roman" w:hAnsi="Times New Roman" w:cs="Times New Roman"/>
          <w:b/>
          <w:bCs/>
          <w:i w:val="0"/>
          <w:iCs w:val="0"/>
          <w:color w:val="auto"/>
          <w:sz w:val="22"/>
          <w:szCs w:val="22"/>
        </w:rPr>
        <w:t>D&amp;B Hoovers</w:t>
      </w:r>
      <w:r w:rsidRPr="00E92045">
        <w:rPr>
          <w:rFonts w:ascii="Times New Roman" w:hAnsi="Times New Roman" w:cs="Times New Roman"/>
          <w:b/>
          <w:bCs/>
          <w:i w:val="0"/>
          <w:iCs w:val="0"/>
          <w:color w:val="auto"/>
          <w:sz w:val="22"/>
          <w:szCs w:val="22"/>
        </w:rPr>
        <w:t>.</w:t>
      </w: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200"/>
        <w:gridCol w:w="1190"/>
        <w:gridCol w:w="1386"/>
      </w:tblGrid>
      <w:tr w14:paraId="6C339623" w14:textId="77777777" w:rsidTr="00D8562D">
        <w:tblPrEx>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jc w:val="center"/>
        </w:trPr>
        <w:tc>
          <w:tcPr>
            <w:tcW w:w="2789" w:type="dxa"/>
            <w:shd w:val="clear" w:color="auto" w:fill="D9D9D9" w:themeFill="background1" w:themeFillShade="D9"/>
            <w:noWrap/>
            <w:vAlign w:val="center"/>
            <w:hideMark/>
          </w:tcPr>
          <w:p w:rsidR="002C637E" w:rsidRPr="00E92045" w:rsidP="00B0246F" w14:paraId="27B05DB4" w14:textId="77777777">
            <w:pPr>
              <w:keepNext/>
              <w:spacing w:after="0" w:line="240" w:lineRule="auto"/>
              <w:rPr>
                <w:rFonts w:ascii="Times New Roman" w:eastAsia="Times New Roman" w:hAnsi="Times New Roman" w:cs="Times New Roman"/>
                <w:b/>
                <w:sz w:val="20"/>
                <w:szCs w:val="20"/>
              </w:rPr>
            </w:pPr>
          </w:p>
        </w:tc>
        <w:tc>
          <w:tcPr>
            <w:tcW w:w="1200" w:type="dxa"/>
            <w:shd w:val="clear" w:color="auto" w:fill="D9D9D9" w:themeFill="background1" w:themeFillShade="D9"/>
            <w:noWrap/>
            <w:vAlign w:val="center"/>
            <w:hideMark/>
          </w:tcPr>
          <w:p w:rsidR="002C637E" w:rsidRPr="00E92045" w:rsidP="00B0246F" w14:paraId="34077B30" w14:textId="77777777">
            <w:pPr>
              <w:keepNext/>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P1 Facilities</w:t>
            </w:r>
          </w:p>
        </w:tc>
        <w:tc>
          <w:tcPr>
            <w:tcW w:w="1190" w:type="dxa"/>
            <w:shd w:val="clear" w:color="auto" w:fill="D9D9D9" w:themeFill="background1" w:themeFillShade="D9"/>
            <w:noWrap/>
            <w:vAlign w:val="center"/>
            <w:hideMark/>
          </w:tcPr>
          <w:p w:rsidR="002C637E" w:rsidRPr="00E92045" w:rsidP="00B0246F" w14:paraId="1E0DAE24" w14:textId="77777777">
            <w:pPr>
              <w:keepNext/>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P2 Facilities</w:t>
            </w:r>
          </w:p>
        </w:tc>
        <w:tc>
          <w:tcPr>
            <w:tcW w:w="1386" w:type="dxa"/>
            <w:shd w:val="clear" w:color="auto" w:fill="D9D9D9" w:themeFill="background1" w:themeFillShade="D9"/>
            <w:noWrap/>
            <w:vAlign w:val="center"/>
            <w:hideMark/>
          </w:tcPr>
          <w:p w:rsidR="002C637E" w:rsidP="00B0246F" w14:paraId="0DDE5C6B" w14:textId="77777777">
            <w:pPr>
              <w:keepNext/>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 xml:space="preserve">Number </w:t>
            </w:r>
            <w:r w:rsidRPr="00E92045">
              <w:rPr>
                <w:rFonts w:ascii="Times New Roman" w:eastAsia="Times New Roman" w:hAnsi="Times New Roman" w:cs="Times New Roman"/>
                <w:b/>
                <w:color w:val="000000"/>
                <w:sz w:val="20"/>
                <w:szCs w:val="20"/>
              </w:rPr>
              <w:t xml:space="preserve">of P3 </w:t>
            </w:r>
          </w:p>
          <w:p w:rsidR="002C637E" w:rsidRPr="00E92045" w:rsidP="00B0246F" w14:paraId="268C3756" w14:textId="77777777">
            <w:pPr>
              <w:keepNext/>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Facilities</w:t>
            </w:r>
          </w:p>
        </w:tc>
      </w:tr>
      <w:tr w14:paraId="5E0AB808" w14:textId="77777777" w:rsidTr="00347BE9">
        <w:tblPrEx>
          <w:tblW w:w="6565" w:type="dxa"/>
          <w:jc w:val="center"/>
          <w:tblLook w:val="04A0"/>
        </w:tblPrEx>
        <w:trPr>
          <w:trHeight w:val="290"/>
          <w:jc w:val="center"/>
        </w:trPr>
        <w:tc>
          <w:tcPr>
            <w:tcW w:w="2789" w:type="dxa"/>
            <w:shd w:val="clear" w:color="auto" w:fill="auto"/>
            <w:noWrap/>
            <w:vAlign w:val="center"/>
            <w:hideMark/>
          </w:tcPr>
          <w:p w:rsidR="007257C5" w:rsidRPr="00E92045" w:rsidP="007257C5" w14:paraId="1213A9E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Total Facilities</w:t>
            </w:r>
          </w:p>
        </w:tc>
        <w:tc>
          <w:tcPr>
            <w:tcW w:w="1200" w:type="dxa"/>
            <w:shd w:val="clear" w:color="auto" w:fill="auto"/>
            <w:noWrap/>
            <w:hideMark/>
          </w:tcPr>
          <w:p w:rsidR="007257C5" w:rsidRPr="007257C5" w:rsidP="007257C5" w14:paraId="176935F8" w14:textId="77777777">
            <w:pPr>
              <w:spacing w:after="0" w:line="240" w:lineRule="auto"/>
              <w:jc w:val="center"/>
              <w:rPr>
                <w:rFonts w:ascii="Times New Roman" w:eastAsia="Times New Roman" w:hAnsi="Times New Roman" w:cs="Times New Roman"/>
                <w:color w:val="000000"/>
                <w:sz w:val="20"/>
                <w:szCs w:val="20"/>
              </w:rPr>
            </w:pPr>
            <w:r w:rsidRPr="00743163">
              <w:rPr>
                <w:rFonts w:ascii="Times New Roman" w:hAnsi="Times New Roman" w:cs="Times New Roman"/>
                <w:sz w:val="20"/>
                <w:szCs w:val="20"/>
              </w:rPr>
              <w:t xml:space="preserve"> 648 </w:t>
            </w:r>
          </w:p>
        </w:tc>
        <w:tc>
          <w:tcPr>
            <w:tcW w:w="1190" w:type="dxa"/>
            <w:shd w:val="clear" w:color="auto" w:fill="auto"/>
            <w:noWrap/>
            <w:hideMark/>
          </w:tcPr>
          <w:p w:rsidR="007257C5" w:rsidRPr="007257C5" w:rsidP="007257C5" w14:paraId="3A483007" w14:textId="77777777">
            <w:pPr>
              <w:spacing w:after="0" w:line="240" w:lineRule="auto"/>
              <w:jc w:val="center"/>
              <w:rPr>
                <w:rFonts w:ascii="Times New Roman" w:eastAsia="Times New Roman" w:hAnsi="Times New Roman" w:cs="Times New Roman"/>
                <w:color w:val="000000"/>
                <w:sz w:val="20"/>
                <w:szCs w:val="20"/>
              </w:rPr>
            </w:pPr>
            <w:r w:rsidRPr="00743163">
              <w:rPr>
                <w:rFonts w:ascii="Times New Roman" w:hAnsi="Times New Roman" w:cs="Times New Roman"/>
                <w:sz w:val="20"/>
                <w:szCs w:val="20"/>
              </w:rPr>
              <w:t xml:space="preserve"> 3,942 </w:t>
            </w:r>
          </w:p>
        </w:tc>
        <w:tc>
          <w:tcPr>
            <w:tcW w:w="1386" w:type="dxa"/>
            <w:shd w:val="clear" w:color="auto" w:fill="auto"/>
            <w:noWrap/>
            <w:hideMark/>
          </w:tcPr>
          <w:p w:rsidR="007257C5" w:rsidRPr="007257C5" w:rsidP="007257C5" w14:paraId="7E675A93" w14:textId="77777777">
            <w:pPr>
              <w:spacing w:after="0" w:line="240" w:lineRule="auto"/>
              <w:jc w:val="center"/>
              <w:rPr>
                <w:rFonts w:ascii="Times New Roman" w:eastAsia="Times New Roman" w:hAnsi="Times New Roman" w:cs="Times New Roman"/>
                <w:color w:val="000000"/>
                <w:sz w:val="20"/>
                <w:szCs w:val="20"/>
              </w:rPr>
            </w:pPr>
            <w:r w:rsidRPr="00743163">
              <w:rPr>
                <w:rFonts w:ascii="Times New Roman" w:hAnsi="Times New Roman" w:cs="Times New Roman"/>
                <w:sz w:val="20"/>
                <w:szCs w:val="20"/>
              </w:rPr>
              <w:t xml:space="preserve"> 7,058 </w:t>
            </w:r>
          </w:p>
        </w:tc>
      </w:tr>
      <w:tr w14:paraId="6CCFCF33" w14:textId="77777777" w:rsidTr="00347BE9">
        <w:tblPrEx>
          <w:tblW w:w="6565" w:type="dxa"/>
          <w:jc w:val="center"/>
          <w:tblLook w:val="04A0"/>
        </w:tblPrEx>
        <w:trPr>
          <w:trHeight w:val="268"/>
          <w:jc w:val="center"/>
        </w:trPr>
        <w:tc>
          <w:tcPr>
            <w:tcW w:w="2789" w:type="dxa"/>
            <w:shd w:val="clear" w:color="auto" w:fill="auto"/>
            <w:noWrap/>
            <w:vAlign w:val="center"/>
            <w:hideMark/>
          </w:tcPr>
          <w:p w:rsidR="007257C5" w:rsidRPr="00E92045" w:rsidP="007257C5" w14:paraId="5C42E3D8" w14:textId="77777777">
            <w:pPr>
              <w:spacing w:after="0" w:line="240" w:lineRule="auto"/>
              <w:ind w:firstLine="200" w:firstLineChars="100"/>
              <w:jc w:val="center"/>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of facilities owned by: Private Sector Entities</w:t>
            </w:r>
          </w:p>
        </w:tc>
        <w:tc>
          <w:tcPr>
            <w:tcW w:w="1200" w:type="dxa"/>
            <w:shd w:val="clear" w:color="auto" w:fill="auto"/>
            <w:noWrap/>
            <w:hideMark/>
          </w:tcPr>
          <w:p w:rsidR="007257C5" w:rsidRPr="007257C5" w:rsidP="007257C5" w14:paraId="0D2BC69D" w14:textId="77777777">
            <w:pPr>
              <w:spacing w:after="0" w:line="240" w:lineRule="auto"/>
              <w:jc w:val="center"/>
              <w:rPr>
                <w:rFonts w:ascii="Times New Roman" w:eastAsia="Times New Roman" w:hAnsi="Times New Roman" w:cs="Times New Roman"/>
                <w:color w:val="000000"/>
                <w:sz w:val="20"/>
                <w:szCs w:val="20"/>
              </w:rPr>
            </w:pPr>
            <w:r w:rsidRPr="00743163">
              <w:rPr>
                <w:rFonts w:ascii="Times New Roman" w:hAnsi="Times New Roman" w:cs="Times New Roman"/>
                <w:sz w:val="20"/>
                <w:szCs w:val="20"/>
              </w:rPr>
              <w:t xml:space="preserve"> 634 </w:t>
            </w:r>
          </w:p>
        </w:tc>
        <w:tc>
          <w:tcPr>
            <w:tcW w:w="1190" w:type="dxa"/>
            <w:shd w:val="clear" w:color="auto" w:fill="auto"/>
            <w:noWrap/>
            <w:hideMark/>
          </w:tcPr>
          <w:p w:rsidR="007257C5" w:rsidRPr="007257C5" w:rsidP="007257C5" w14:paraId="636F3326" w14:textId="77777777">
            <w:pPr>
              <w:spacing w:after="0" w:line="240" w:lineRule="auto"/>
              <w:jc w:val="center"/>
              <w:rPr>
                <w:rFonts w:ascii="Times New Roman" w:eastAsia="Times New Roman" w:hAnsi="Times New Roman" w:cs="Times New Roman"/>
                <w:color w:val="000000"/>
                <w:sz w:val="20"/>
                <w:szCs w:val="20"/>
              </w:rPr>
            </w:pPr>
            <w:r w:rsidRPr="00743163">
              <w:rPr>
                <w:rFonts w:ascii="Times New Roman" w:hAnsi="Times New Roman" w:cs="Times New Roman"/>
                <w:sz w:val="20"/>
                <w:szCs w:val="20"/>
              </w:rPr>
              <w:t xml:space="preserve"> 3,137 </w:t>
            </w:r>
          </w:p>
        </w:tc>
        <w:tc>
          <w:tcPr>
            <w:tcW w:w="1386" w:type="dxa"/>
            <w:shd w:val="clear" w:color="auto" w:fill="auto"/>
            <w:noWrap/>
            <w:hideMark/>
          </w:tcPr>
          <w:p w:rsidR="007257C5" w:rsidRPr="007257C5" w:rsidP="007257C5" w14:paraId="3C0A28E6" w14:textId="77777777">
            <w:pPr>
              <w:spacing w:after="0" w:line="240" w:lineRule="auto"/>
              <w:jc w:val="center"/>
              <w:rPr>
                <w:rFonts w:ascii="Times New Roman" w:eastAsia="Times New Roman" w:hAnsi="Times New Roman" w:cs="Times New Roman"/>
                <w:color w:val="000000"/>
                <w:sz w:val="20"/>
                <w:szCs w:val="20"/>
              </w:rPr>
            </w:pPr>
            <w:r w:rsidRPr="00743163">
              <w:rPr>
                <w:rFonts w:ascii="Times New Roman" w:hAnsi="Times New Roman" w:cs="Times New Roman"/>
                <w:sz w:val="20"/>
                <w:szCs w:val="20"/>
              </w:rPr>
              <w:t xml:space="preserve"> 6,387 </w:t>
            </w:r>
          </w:p>
        </w:tc>
      </w:tr>
      <w:tr w14:paraId="239FE288" w14:textId="77777777" w:rsidTr="00347BE9">
        <w:tblPrEx>
          <w:tblW w:w="6565" w:type="dxa"/>
          <w:jc w:val="center"/>
          <w:tblLook w:val="04A0"/>
        </w:tblPrEx>
        <w:trPr>
          <w:trHeight w:val="268"/>
          <w:jc w:val="center"/>
        </w:trPr>
        <w:tc>
          <w:tcPr>
            <w:tcW w:w="2789" w:type="dxa"/>
            <w:shd w:val="clear" w:color="auto" w:fill="auto"/>
            <w:noWrap/>
            <w:vAlign w:val="center"/>
            <w:hideMark/>
          </w:tcPr>
          <w:p w:rsidR="00047187" w:rsidRPr="00E92045" w:rsidP="00047187" w14:paraId="7B4CDAF3"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Small </w:t>
            </w:r>
          </w:p>
        </w:tc>
        <w:tc>
          <w:tcPr>
            <w:tcW w:w="1200" w:type="dxa"/>
            <w:shd w:val="clear" w:color="auto" w:fill="auto"/>
            <w:noWrap/>
            <w:hideMark/>
          </w:tcPr>
          <w:p w:rsidR="00047187" w:rsidRPr="00743163" w:rsidP="00047187" w14:paraId="4E788D32" w14:textId="77777777">
            <w:pPr>
              <w:spacing w:after="0" w:line="240" w:lineRule="auto"/>
              <w:jc w:val="center"/>
              <w:rPr>
                <w:rFonts w:ascii="Times New Roman" w:eastAsia="Times New Roman" w:hAnsi="Times New Roman" w:cs="Times New Roman"/>
                <w:color w:val="000000"/>
                <w:sz w:val="20"/>
                <w:szCs w:val="20"/>
                <w:highlight w:val="yellow"/>
              </w:rPr>
            </w:pPr>
            <w:r w:rsidRPr="00743163">
              <w:rPr>
                <w:rFonts w:ascii="Times New Roman" w:hAnsi="Times New Roman" w:cs="Times New Roman"/>
                <w:sz w:val="20"/>
                <w:szCs w:val="20"/>
              </w:rPr>
              <w:t xml:space="preserve"> 132 </w:t>
            </w:r>
          </w:p>
        </w:tc>
        <w:tc>
          <w:tcPr>
            <w:tcW w:w="1190" w:type="dxa"/>
            <w:shd w:val="clear" w:color="auto" w:fill="auto"/>
            <w:noWrap/>
            <w:hideMark/>
          </w:tcPr>
          <w:p w:rsidR="00047187" w:rsidRPr="00743163" w:rsidP="00047187" w14:paraId="01CD86D1" w14:textId="77777777">
            <w:pPr>
              <w:spacing w:after="0" w:line="240" w:lineRule="auto"/>
              <w:jc w:val="center"/>
              <w:rPr>
                <w:rFonts w:ascii="Times New Roman" w:eastAsia="Times New Roman" w:hAnsi="Times New Roman" w:cs="Times New Roman"/>
                <w:color w:val="000000"/>
                <w:sz w:val="20"/>
                <w:szCs w:val="20"/>
                <w:highlight w:val="yellow"/>
              </w:rPr>
            </w:pPr>
            <w:r w:rsidRPr="00743163">
              <w:rPr>
                <w:rFonts w:ascii="Times New Roman" w:hAnsi="Times New Roman" w:cs="Times New Roman"/>
                <w:sz w:val="20"/>
                <w:szCs w:val="20"/>
              </w:rPr>
              <w:t xml:space="preserve"> 1,418 </w:t>
            </w:r>
          </w:p>
        </w:tc>
        <w:tc>
          <w:tcPr>
            <w:tcW w:w="1386" w:type="dxa"/>
            <w:shd w:val="clear" w:color="auto" w:fill="auto"/>
            <w:noWrap/>
            <w:hideMark/>
          </w:tcPr>
          <w:p w:rsidR="00047187" w:rsidRPr="00743163" w:rsidP="00047187" w14:paraId="44B9B6A0" w14:textId="77777777">
            <w:pPr>
              <w:spacing w:after="0" w:line="240" w:lineRule="auto"/>
              <w:jc w:val="center"/>
              <w:rPr>
                <w:rFonts w:ascii="Times New Roman" w:eastAsia="Times New Roman" w:hAnsi="Times New Roman" w:cs="Times New Roman"/>
                <w:color w:val="000000"/>
                <w:sz w:val="20"/>
                <w:szCs w:val="20"/>
                <w:highlight w:val="yellow"/>
              </w:rPr>
            </w:pPr>
            <w:r w:rsidRPr="00743163">
              <w:rPr>
                <w:rFonts w:ascii="Times New Roman" w:hAnsi="Times New Roman" w:cs="Times New Roman"/>
                <w:sz w:val="20"/>
                <w:szCs w:val="20"/>
              </w:rPr>
              <w:t xml:space="preserve"> 1,148 </w:t>
            </w:r>
          </w:p>
        </w:tc>
      </w:tr>
      <w:tr w14:paraId="2B9ACA3B" w14:textId="77777777" w:rsidTr="00347BE9">
        <w:tblPrEx>
          <w:tblW w:w="6565" w:type="dxa"/>
          <w:jc w:val="center"/>
          <w:tblLook w:val="04A0"/>
        </w:tblPrEx>
        <w:trPr>
          <w:trHeight w:val="268"/>
          <w:jc w:val="center"/>
        </w:trPr>
        <w:tc>
          <w:tcPr>
            <w:tcW w:w="2789" w:type="dxa"/>
            <w:shd w:val="clear" w:color="auto" w:fill="auto"/>
            <w:noWrap/>
            <w:vAlign w:val="center"/>
            <w:hideMark/>
          </w:tcPr>
          <w:p w:rsidR="00047187" w:rsidRPr="00E92045" w:rsidP="00047187" w14:paraId="47C2540C"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Non-small </w:t>
            </w:r>
          </w:p>
        </w:tc>
        <w:tc>
          <w:tcPr>
            <w:tcW w:w="1200" w:type="dxa"/>
            <w:shd w:val="clear" w:color="auto" w:fill="auto"/>
            <w:noWrap/>
            <w:hideMark/>
          </w:tcPr>
          <w:p w:rsidR="00047187" w:rsidRPr="00743163" w:rsidP="00047187" w14:paraId="051F25A2" w14:textId="77777777">
            <w:pPr>
              <w:spacing w:after="0" w:line="240" w:lineRule="auto"/>
              <w:jc w:val="center"/>
              <w:rPr>
                <w:rFonts w:ascii="Times New Roman" w:eastAsia="Times New Roman" w:hAnsi="Times New Roman" w:cs="Times New Roman"/>
                <w:color w:val="000000"/>
                <w:sz w:val="20"/>
                <w:szCs w:val="20"/>
                <w:highlight w:val="yellow"/>
              </w:rPr>
            </w:pPr>
            <w:r w:rsidRPr="00743163">
              <w:rPr>
                <w:rFonts w:ascii="Times New Roman" w:hAnsi="Times New Roman" w:cs="Times New Roman"/>
                <w:sz w:val="20"/>
                <w:szCs w:val="20"/>
              </w:rPr>
              <w:t xml:space="preserve"> 502 </w:t>
            </w:r>
          </w:p>
        </w:tc>
        <w:tc>
          <w:tcPr>
            <w:tcW w:w="1190" w:type="dxa"/>
            <w:shd w:val="clear" w:color="auto" w:fill="auto"/>
            <w:noWrap/>
            <w:hideMark/>
          </w:tcPr>
          <w:p w:rsidR="00047187" w:rsidRPr="00743163" w:rsidP="00047187" w14:paraId="16F36017" w14:textId="77777777">
            <w:pPr>
              <w:spacing w:after="0" w:line="240" w:lineRule="auto"/>
              <w:jc w:val="center"/>
              <w:rPr>
                <w:rFonts w:ascii="Times New Roman" w:eastAsia="Times New Roman" w:hAnsi="Times New Roman" w:cs="Times New Roman"/>
                <w:color w:val="000000"/>
                <w:sz w:val="20"/>
                <w:szCs w:val="20"/>
                <w:highlight w:val="yellow"/>
              </w:rPr>
            </w:pPr>
            <w:r w:rsidRPr="00743163">
              <w:rPr>
                <w:rFonts w:ascii="Times New Roman" w:hAnsi="Times New Roman" w:cs="Times New Roman"/>
                <w:sz w:val="20"/>
                <w:szCs w:val="20"/>
              </w:rPr>
              <w:t xml:space="preserve"> 1,719 </w:t>
            </w:r>
          </w:p>
        </w:tc>
        <w:tc>
          <w:tcPr>
            <w:tcW w:w="1386" w:type="dxa"/>
            <w:shd w:val="clear" w:color="auto" w:fill="auto"/>
            <w:noWrap/>
            <w:hideMark/>
          </w:tcPr>
          <w:p w:rsidR="00047187" w:rsidRPr="00743163" w:rsidP="00047187" w14:paraId="11BA1A97" w14:textId="77777777">
            <w:pPr>
              <w:spacing w:after="0" w:line="240" w:lineRule="auto"/>
              <w:jc w:val="center"/>
              <w:rPr>
                <w:rFonts w:ascii="Times New Roman" w:eastAsia="Times New Roman" w:hAnsi="Times New Roman" w:cs="Times New Roman"/>
                <w:color w:val="000000"/>
                <w:sz w:val="20"/>
                <w:szCs w:val="20"/>
                <w:highlight w:val="yellow"/>
              </w:rPr>
            </w:pPr>
            <w:r w:rsidRPr="00743163">
              <w:rPr>
                <w:rFonts w:ascii="Times New Roman" w:hAnsi="Times New Roman" w:cs="Times New Roman"/>
                <w:sz w:val="20"/>
                <w:szCs w:val="20"/>
              </w:rPr>
              <w:t xml:space="preserve"> 5,239 </w:t>
            </w:r>
          </w:p>
        </w:tc>
      </w:tr>
    </w:tbl>
    <w:p w:rsidR="002C637E" w:rsidP="00843847" w14:paraId="6C4CF5D3" w14:textId="77777777">
      <w:pPr>
        <w:spacing w:after="0"/>
        <w:ind w:right="617"/>
        <w:rPr>
          <w:rFonts w:ascii="Times New Roman" w:hAnsi="Times New Roman"/>
          <w:sz w:val="20"/>
          <w:szCs w:val="20"/>
        </w:rPr>
      </w:pPr>
    </w:p>
    <w:p w:rsidR="0078576C" w:rsidP="00843847" w14:paraId="5F7F88ED" w14:textId="77777777">
      <w:pPr>
        <w:spacing w:after="0"/>
        <w:ind w:right="617"/>
        <w:rPr>
          <w:rFonts w:ascii="Times New Roman" w:hAnsi="Times New Roman"/>
          <w:sz w:val="20"/>
          <w:szCs w:val="20"/>
        </w:rPr>
      </w:pPr>
    </w:p>
    <w:p w:rsidR="00C100C5" w:rsidRPr="003C24D0" w:rsidP="00232C46" w14:paraId="3AB4CDE1" w14:textId="77777777">
      <w:pPr>
        <w:spacing w:after="0" w:line="240" w:lineRule="auto"/>
        <w:ind w:firstLine="720"/>
        <w:rPr>
          <w:rFonts w:ascii="Times New Roman" w:hAnsi="Times New Roman" w:cs="Times New Roman"/>
          <w:highlight w:val="yellow"/>
        </w:rPr>
      </w:pPr>
      <w:r w:rsidRPr="003C24D0">
        <w:rPr>
          <w:rFonts w:ascii="Times New Roman" w:hAnsi="Times New Roman" w:cs="Times New Roman"/>
        </w:rPr>
        <w:t>E</w:t>
      </w:r>
      <w:r w:rsidRPr="0067564C">
        <w:rPr>
          <w:rFonts w:ascii="Times New Roman" w:hAnsi="Times New Roman" w:cs="Times New Roman"/>
        </w:rPr>
        <w:t>xhibit</w:t>
      </w:r>
      <w:r w:rsidR="007044B9">
        <w:rPr>
          <w:rFonts w:ascii="Times New Roman" w:hAnsi="Times New Roman" w:cs="Times New Roman"/>
        </w:rPr>
        <w:t>s</w:t>
      </w:r>
      <w:r w:rsidRPr="0067564C">
        <w:rPr>
          <w:rFonts w:ascii="Times New Roman" w:hAnsi="Times New Roman" w:cs="Times New Roman"/>
        </w:rPr>
        <w:t xml:space="preserve"> </w:t>
      </w:r>
      <w:r w:rsidRPr="003C24D0" w:rsidR="009D60ED">
        <w:rPr>
          <w:rFonts w:ascii="Times New Roman" w:hAnsi="Times New Roman" w:cs="Times New Roman"/>
        </w:rPr>
        <w:t>C-</w:t>
      </w:r>
      <w:r w:rsidR="00066107">
        <w:rPr>
          <w:rFonts w:ascii="Times New Roman" w:hAnsi="Times New Roman" w:cs="Times New Roman"/>
        </w:rPr>
        <w:t>4</w:t>
      </w:r>
      <w:r w:rsidRPr="003C24D0" w:rsidR="009D60ED">
        <w:rPr>
          <w:rFonts w:ascii="Times New Roman" w:hAnsi="Times New Roman" w:cs="Times New Roman"/>
        </w:rPr>
        <w:t xml:space="preserve"> </w:t>
      </w:r>
      <w:r w:rsidRPr="003C24D0" w:rsidR="00282B39">
        <w:rPr>
          <w:rFonts w:ascii="Times New Roman" w:hAnsi="Times New Roman" w:cs="Times New Roman"/>
        </w:rPr>
        <w:t>and C-</w:t>
      </w:r>
      <w:r w:rsidR="00066107">
        <w:rPr>
          <w:rFonts w:ascii="Times New Roman" w:hAnsi="Times New Roman" w:cs="Times New Roman"/>
        </w:rPr>
        <w:t>5</w:t>
      </w:r>
      <w:r w:rsidRPr="003C24D0" w:rsidR="00282B39">
        <w:rPr>
          <w:rFonts w:ascii="Times New Roman" w:hAnsi="Times New Roman" w:cs="Times New Roman"/>
        </w:rPr>
        <w:t xml:space="preserve"> </w:t>
      </w:r>
      <w:r w:rsidRPr="0067564C">
        <w:rPr>
          <w:rFonts w:ascii="Times New Roman" w:hAnsi="Times New Roman" w:cs="Times New Roman"/>
        </w:rPr>
        <w:t xml:space="preserve">present an analysis of facilities and the size of entity associated with </w:t>
      </w:r>
      <w:r w:rsidR="007A3AB4">
        <w:rPr>
          <w:rFonts w:ascii="Times New Roman" w:hAnsi="Times New Roman" w:cs="Times New Roman"/>
        </w:rPr>
        <w:t>them</w:t>
      </w:r>
      <w:r w:rsidRPr="0067564C">
        <w:rPr>
          <w:rFonts w:ascii="Times New Roman" w:hAnsi="Times New Roman" w:cs="Times New Roman"/>
        </w:rPr>
        <w:t xml:space="preserve"> to provide an understanding of the distribution of government</w:t>
      </w:r>
      <w:r w:rsidR="0043566D">
        <w:rPr>
          <w:rFonts w:ascii="Times New Roman" w:hAnsi="Times New Roman" w:cs="Times New Roman"/>
        </w:rPr>
        <w:t>-</w:t>
      </w:r>
      <w:r w:rsidRPr="0067564C">
        <w:rPr>
          <w:rFonts w:ascii="Times New Roman" w:hAnsi="Times New Roman" w:cs="Times New Roman"/>
        </w:rPr>
        <w:t xml:space="preserve">owned facilities by </w:t>
      </w:r>
      <w:r w:rsidRPr="00F41090" w:rsidR="00785D26">
        <w:rPr>
          <w:rFonts w:ascii="Times New Roman" w:hAnsi="Times New Roman" w:cs="Times New Roman"/>
        </w:rPr>
        <w:t>p</w:t>
      </w:r>
      <w:r w:rsidRPr="00F41090">
        <w:rPr>
          <w:rFonts w:ascii="Times New Roman" w:hAnsi="Times New Roman" w:cs="Times New Roman"/>
        </w:rPr>
        <w:t xml:space="preserve">rogram </w:t>
      </w:r>
      <w:r w:rsidRPr="00F41090" w:rsidR="00785D26">
        <w:rPr>
          <w:rFonts w:ascii="Times New Roman" w:hAnsi="Times New Roman" w:cs="Times New Roman"/>
        </w:rPr>
        <w:t>l</w:t>
      </w:r>
      <w:r w:rsidRPr="00F41090">
        <w:rPr>
          <w:rFonts w:ascii="Times New Roman" w:hAnsi="Times New Roman" w:cs="Times New Roman"/>
        </w:rPr>
        <w:t xml:space="preserve">evel. </w:t>
      </w:r>
      <w:r w:rsidRPr="00F41090" w:rsidR="00730495">
        <w:rPr>
          <w:rFonts w:ascii="Times New Roman" w:hAnsi="Times New Roman" w:cs="Times New Roman"/>
        </w:rPr>
        <w:t>Both analys</w:t>
      </w:r>
      <w:r w:rsidRPr="00F41090" w:rsidR="0083243F">
        <w:rPr>
          <w:rFonts w:ascii="Times New Roman" w:hAnsi="Times New Roman" w:cs="Times New Roman"/>
        </w:rPr>
        <w:t>e</w:t>
      </w:r>
      <w:r w:rsidRPr="00F41090" w:rsidR="00730495">
        <w:rPr>
          <w:rFonts w:ascii="Times New Roman" w:hAnsi="Times New Roman" w:cs="Times New Roman"/>
        </w:rPr>
        <w:t>s show a similar distribution</w:t>
      </w:r>
      <w:r w:rsidR="00FE6BE1">
        <w:rPr>
          <w:rFonts w:ascii="Times New Roman" w:hAnsi="Times New Roman" w:cs="Times New Roman"/>
        </w:rPr>
        <w:t>. Based on Data Axle and D&amp;B Hoovers data, respectively,</w:t>
      </w:r>
      <w:r w:rsidRPr="00F41090" w:rsidR="006936FD">
        <w:rPr>
          <w:rFonts w:ascii="Times New Roman" w:hAnsi="Times New Roman" w:cs="Times New Roman"/>
        </w:rPr>
        <w:t xml:space="preserve"> </w:t>
      </w:r>
      <w:r w:rsidRPr="00F41090" w:rsidR="00F02A9B">
        <w:rPr>
          <w:rFonts w:ascii="Times New Roman" w:hAnsi="Times New Roman" w:cs="Times New Roman"/>
        </w:rPr>
        <w:t xml:space="preserve">non-small government sector entities </w:t>
      </w:r>
      <w:r w:rsidRPr="00F41090" w:rsidR="00DE3594">
        <w:rPr>
          <w:rFonts w:ascii="Times New Roman" w:hAnsi="Times New Roman" w:cs="Times New Roman"/>
        </w:rPr>
        <w:t xml:space="preserve">own </w:t>
      </w:r>
      <w:r w:rsidRPr="00347BE9">
        <w:rPr>
          <w:rFonts w:ascii="Times New Roman" w:hAnsi="Times New Roman" w:cs="Times New Roman"/>
        </w:rPr>
        <w:t xml:space="preserve">48 </w:t>
      </w:r>
      <w:r w:rsidRPr="00347BE9" w:rsidR="00D80C6A">
        <w:rPr>
          <w:rFonts w:ascii="Times New Roman" w:hAnsi="Times New Roman" w:cs="Times New Roman"/>
        </w:rPr>
        <w:t xml:space="preserve">and 46 </w:t>
      </w:r>
      <w:r w:rsidRPr="00347BE9">
        <w:rPr>
          <w:rFonts w:ascii="Times New Roman" w:hAnsi="Times New Roman" w:cs="Times New Roman"/>
        </w:rPr>
        <w:t>percent of Program 3 facilities (331 facilities out of 683</w:t>
      </w:r>
      <w:r w:rsidRPr="00347BE9" w:rsidR="00EC4553">
        <w:rPr>
          <w:rFonts w:ascii="Times New Roman" w:hAnsi="Times New Roman" w:cs="Times New Roman"/>
        </w:rPr>
        <w:t xml:space="preserve"> and </w:t>
      </w:r>
      <w:r w:rsidRPr="00347BE9" w:rsidR="00262EF7">
        <w:rPr>
          <w:rFonts w:ascii="Times New Roman" w:hAnsi="Times New Roman" w:cs="Times New Roman"/>
        </w:rPr>
        <w:t>330 of 671</w:t>
      </w:r>
      <w:r w:rsidRPr="00347BE9">
        <w:rPr>
          <w:rFonts w:ascii="Times New Roman" w:hAnsi="Times New Roman" w:cs="Times New Roman"/>
        </w:rPr>
        <w:t xml:space="preserve">) compared to 45 </w:t>
      </w:r>
      <w:r w:rsidRPr="00347BE9" w:rsidR="00546DF1">
        <w:rPr>
          <w:rFonts w:ascii="Times New Roman" w:hAnsi="Times New Roman" w:cs="Times New Roman"/>
        </w:rPr>
        <w:t xml:space="preserve">and 49 </w:t>
      </w:r>
      <w:r w:rsidRPr="00347BE9">
        <w:rPr>
          <w:rFonts w:ascii="Times New Roman" w:hAnsi="Times New Roman" w:cs="Times New Roman"/>
        </w:rPr>
        <w:t>percent of Program 2 facilities (369 facilities out of 813</w:t>
      </w:r>
      <w:r w:rsidRPr="00347BE9" w:rsidR="003A355C">
        <w:rPr>
          <w:rFonts w:ascii="Times New Roman" w:hAnsi="Times New Roman" w:cs="Times New Roman"/>
        </w:rPr>
        <w:t xml:space="preserve"> and 367 of 805</w:t>
      </w:r>
      <w:r w:rsidRPr="00347BE9">
        <w:rPr>
          <w:rFonts w:ascii="Times New Roman" w:hAnsi="Times New Roman" w:cs="Times New Roman"/>
        </w:rPr>
        <w:t>). There are few Program 1 government-owned facilities.</w:t>
      </w:r>
    </w:p>
    <w:p w:rsidR="00C100C5" w:rsidRPr="003C24D0" w:rsidP="003C24D0" w14:paraId="454B0C27" w14:textId="77777777">
      <w:pPr>
        <w:spacing w:after="0" w:line="240" w:lineRule="auto"/>
        <w:rPr>
          <w:rFonts w:ascii="Times New Roman" w:hAnsi="Times New Roman" w:cs="Times New Roman"/>
          <w:highlight w:val="yellow"/>
        </w:rPr>
      </w:pPr>
    </w:p>
    <w:p w:rsidR="00C100C5" w:rsidRPr="00A35D18" w:rsidP="00C100C5" w14:paraId="6B1DFEB8" w14:textId="77777777">
      <w:pPr>
        <w:pStyle w:val="Caption"/>
        <w:jc w:val="center"/>
        <w:rPr>
          <w:rFonts w:ascii="Times New Roman" w:hAnsi="Times New Roman" w:cs="Times New Roman"/>
          <w:b/>
          <w:bCs/>
          <w:i w:val="0"/>
          <w:iCs w:val="0"/>
          <w:color w:val="auto"/>
          <w:sz w:val="22"/>
          <w:szCs w:val="22"/>
        </w:rPr>
      </w:pPr>
      <w:r w:rsidRPr="00A35D18">
        <w:rPr>
          <w:rFonts w:ascii="Times New Roman" w:hAnsi="Times New Roman" w:cs="Times New Roman"/>
          <w:b/>
          <w:bCs/>
          <w:i w:val="0"/>
          <w:iCs w:val="0"/>
          <w:color w:val="auto"/>
          <w:sz w:val="22"/>
          <w:szCs w:val="22"/>
        </w:rPr>
        <w:t xml:space="preserve">Exhibit </w:t>
      </w:r>
      <w:r w:rsidRPr="003C24D0" w:rsidR="00856889">
        <w:rPr>
          <w:rFonts w:ascii="Times New Roman" w:hAnsi="Times New Roman" w:cs="Times New Roman"/>
          <w:b/>
          <w:i w:val="0"/>
          <w:color w:val="auto"/>
          <w:sz w:val="22"/>
          <w:szCs w:val="22"/>
        </w:rPr>
        <w:t>C</w:t>
      </w:r>
      <w:r w:rsidRPr="00A35D18">
        <w:rPr>
          <w:rFonts w:ascii="Times New Roman" w:hAnsi="Times New Roman" w:cs="Times New Roman"/>
          <w:b/>
          <w:bCs/>
          <w:i w:val="0"/>
          <w:iCs w:val="0"/>
          <w:color w:val="auto"/>
          <w:sz w:val="22"/>
          <w:szCs w:val="22"/>
        </w:rPr>
        <w:t>-</w:t>
      </w:r>
      <w:r w:rsidR="00066107">
        <w:rPr>
          <w:rFonts w:ascii="Times New Roman" w:hAnsi="Times New Roman" w:cs="Times New Roman"/>
          <w:b/>
          <w:bCs/>
          <w:i w:val="0"/>
          <w:iCs w:val="0"/>
          <w:color w:val="auto"/>
          <w:sz w:val="22"/>
          <w:szCs w:val="22"/>
        </w:rPr>
        <w:t>4</w:t>
      </w:r>
      <w:r w:rsidRPr="00A35D18">
        <w:rPr>
          <w:rFonts w:ascii="Times New Roman" w:hAnsi="Times New Roman" w:cs="Times New Roman"/>
          <w:b/>
          <w:bCs/>
          <w:i w:val="0"/>
          <w:iCs w:val="0"/>
          <w:color w:val="auto"/>
          <w:sz w:val="22"/>
          <w:szCs w:val="22"/>
        </w:rPr>
        <w:t>: Analysis of Government Sector Facility Ownership by Program Level</w:t>
      </w:r>
      <w:r w:rsidRPr="003C24D0" w:rsidR="00856889">
        <w:rPr>
          <w:rFonts w:ascii="Times New Roman" w:hAnsi="Times New Roman" w:cs="Times New Roman"/>
          <w:b/>
          <w:i w:val="0"/>
          <w:color w:val="auto"/>
          <w:sz w:val="22"/>
          <w:szCs w:val="22"/>
        </w:rPr>
        <w:t xml:space="preserve">, Data </w:t>
      </w:r>
      <w:r w:rsidRPr="003C24D0" w:rsidR="00856889">
        <w:rPr>
          <w:rFonts w:ascii="Times New Roman" w:hAnsi="Times New Roman" w:cs="Times New Roman"/>
          <w:b/>
          <w:bCs/>
          <w:i w:val="0"/>
          <w:iCs w:val="0"/>
          <w:color w:val="auto"/>
          <w:sz w:val="22"/>
          <w:szCs w:val="22"/>
        </w:rPr>
        <w:t>Ax</w:t>
      </w:r>
      <w:r w:rsidR="003D5A26">
        <w:rPr>
          <w:rFonts w:ascii="Times New Roman" w:hAnsi="Times New Roman" w:cs="Times New Roman"/>
          <w:b/>
          <w:bCs/>
          <w:i w:val="0"/>
          <w:iCs w:val="0"/>
          <w:color w:val="auto"/>
          <w:sz w:val="22"/>
          <w:szCs w:val="22"/>
        </w:rPr>
        <w:t>le</w:t>
      </w:r>
      <w:r w:rsidRPr="00A35D18">
        <w:rPr>
          <w:rFonts w:ascii="Times New Roman" w:hAnsi="Times New Roman" w:cs="Times New Roman"/>
          <w:b/>
          <w:bCs/>
          <w:i w:val="0"/>
          <w:iCs w:val="0"/>
          <w:color w:val="auto"/>
          <w:sz w:val="22"/>
          <w:szCs w:val="22"/>
        </w:rPr>
        <w:t>.</w:t>
      </w: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200"/>
        <w:gridCol w:w="1190"/>
        <w:gridCol w:w="1386"/>
      </w:tblGrid>
      <w:tr w14:paraId="65361E63" w14:textId="77777777" w:rsidTr="00D8562D">
        <w:tblPrEx>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jc w:val="center"/>
        </w:trPr>
        <w:tc>
          <w:tcPr>
            <w:tcW w:w="2789" w:type="dxa"/>
            <w:shd w:val="clear" w:color="auto" w:fill="D9D9D9" w:themeFill="background1" w:themeFillShade="D9"/>
            <w:noWrap/>
            <w:vAlign w:val="bottom"/>
            <w:hideMark/>
          </w:tcPr>
          <w:p w:rsidR="00C100C5" w:rsidRPr="00A35D18" w14:paraId="78C1CEC7" w14:textId="77777777">
            <w:pPr>
              <w:keepNext/>
              <w:spacing w:after="0" w:line="240" w:lineRule="auto"/>
              <w:rPr>
                <w:rFonts w:ascii="Times New Roman" w:eastAsia="Times New Roman" w:hAnsi="Times New Roman" w:cs="Times New Roman"/>
                <w:b/>
                <w:sz w:val="20"/>
                <w:szCs w:val="20"/>
              </w:rPr>
            </w:pPr>
          </w:p>
        </w:tc>
        <w:tc>
          <w:tcPr>
            <w:tcW w:w="1200" w:type="dxa"/>
            <w:shd w:val="clear" w:color="auto" w:fill="D9D9D9" w:themeFill="background1" w:themeFillShade="D9"/>
            <w:noWrap/>
            <w:vAlign w:val="center"/>
            <w:hideMark/>
          </w:tcPr>
          <w:p w:rsidR="00C100C5" w:rsidRPr="00A35D18" w14:paraId="3E26A4E6" w14:textId="77777777">
            <w:pPr>
              <w:keepNext/>
              <w:spacing w:after="0" w:line="240" w:lineRule="auto"/>
              <w:jc w:val="center"/>
              <w:rPr>
                <w:rFonts w:ascii="Times New Roman" w:eastAsia="Times New Roman" w:hAnsi="Times New Roman" w:cs="Times New Roman"/>
                <w:b/>
                <w:color w:val="000000"/>
                <w:sz w:val="20"/>
                <w:szCs w:val="20"/>
              </w:rPr>
            </w:pPr>
            <w:r w:rsidRPr="00A35D18">
              <w:rPr>
                <w:rFonts w:ascii="Times New Roman" w:eastAsia="Times New Roman" w:hAnsi="Times New Roman" w:cs="Times New Roman"/>
                <w:b/>
                <w:bCs/>
                <w:color w:val="000000"/>
                <w:sz w:val="20"/>
                <w:szCs w:val="20"/>
              </w:rPr>
              <w:t>Number</w:t>
            </w:r>
            <w:r w:rsidRPr="00A35D18">
              <w:rPr>
                <w:rFonts w:ascii="Times New Roman" w:eastAsia="Times New Roman" w:hAnsi="Times New Roman" w:cs="Times New Roman"/>
                <w:b/>
                <w:color w:val="000000"/>
                <w:sz w:val="20"/>
                <w:szCs w:val="20"/>
              </w:rPr>
              <w:t xml:space="preserve"> of P1 Facilities</w:t>
            </w:r>
          </w:p>
        </w:tc>
        <w:tc>
          <w:tcPr>
            <w:tcW w:w="1190" w:type="dxa"/>
            <w:shd w:val="clear" w:color="auto" w:fill="D9D9D9" w:themeFill="background1" w:themeFillShade="D9"/>
            <w:noWrap/>
            <w:vAlign w:val="center"/>
            <w:hideMark/>
          </w:tcPr>
          <w:p w:rsidR="00C100C5" w:rsidRPr="00A35D18" w14:paraId="6B90E817" w14:textId="77777777">
            <w:pPr>
              <w:keepNext/>
              <w:spacing w:after="0" w:line="240" w:lineRule="auto"/>
              <w:jc w:val="center"/>
              <w:rPr>
                <w:rFonts w:ascii="Times New Roman" w:eastAsia="Times New Roman" w:hAnsi="Times New Roman" w:cs="Times New Roman"/>
                <w:b/>
                <w:color w:val="000000"/>
                <w:sz w:val="20"/>
                <w:szCs w:val="20"/>
              </w:rPr>
            </w:pPr>
            <w:r w:rsidRPr="00A35D18">
              <w:rPr>
                <w:rFonts w:ascii="Times New Roman" w:eastAsia="Times New Roman" w:hAnsi="Times New Roman" w:cs="Times New Roman"/>
                <w:b/>
                <w:bCs/>
                <w:color w:val="000000"/>
                <w:sz w:val="20"/>
                <w:szCs w:val="20"/>
              </w:rPr>
              <w:t>Number</w:t>
            </w:r>
            <w:r w:rsidRPr="00A35D18">
              <w:rPr>
                <w:rFonts w:ascii="Times New Roman" w:eastAsia="Times New Roman" w:hAnsi="Times New Roman" w:cs="Times New Roman"/>
                <w:b/>
                <w:color w:val="000000"/>
                <w:sz w:val="20"/>
                <w:szCs w:val="20"/>
              </w:rPr>
              <w:t xml:space="preserve"> of P2 Facilities</w:t>
            </w:r>
          </w:p>
        </w:tc>
        <w:tc>
          <w:tcPr>
            <w:tcW w:w="1386" w:type="dxa"/>
            <w:shd w:val="clear" w:color="auto" w:fill="D9D9D9" w:themeFill="background1" w:themeFillShade="D9"/>
            <w:noWrap/>
            <w:vAlign w:val="center"/>
            <w:hideMark/>
          </w:tcPr>
          <w:p w:rsidR="00C100C5" w:rsidRPr="00A35D18" w14:paraId="3124A0B5" w14:textId="77777777">
            <w:pPr>
              <w:keepNext/>
              <w:spacing w:after="0" w:line="240" w:lineRule="auto"/>
              <w:jc w:val="center"/>
              <w:rPr>
                <w:rFonts w:ascii="Times New Roman" w:eastAsia="Times New Roman" w:hAnsi="Times New Roman" w:cs="Times New Roman"/>
                <w:b/>
                <w:color w:val="000000"/>
                <w:sz w:val="20"/>
                <w:szCs w:val="20"/>
              </w:rPr>
            </w:pPr>
            <w:r w:rsidRPr="00A35D18">
              <w:rPr>
                <w:rFonts w:ascii="Times New Roman" w:eastAsia="Times New Roman" w:hAnsi="Times New Roman" w:cs="Times New Roman"/>
                <w:b/>
                <w:bCs/>
                <w:color w:val="000000"/>
                <w:sz w:val="20"/>
                <w:szCs w:val="20"/>
              </w:rPr>
              <w:t>Number</w:t>
            </w:r>
            <w:r w:rsidRPr="00A35D18">
              <w:rPr>
                <w:rFonts w:ascii="Times New Roman" w:eastAsia="Times New Roman" w:hAnsi="Times New Roman" w:cs="Times New Roman"/>
                <w:b/>
                <w:color w:val="000000"/>
                <w:sz w:val="20"/>
                <w:szCs w:val="20"/>
              </w:rPr>
              <w:t xml:space="preserve"> of P3 Facilities</w:t>
            </w:r>
          </w:p>
        </w:tc>
      </w:tr>
      <w:tr w14:paraId="621E00BC" w14:textId="77777777">
        <w:tblPrEx>
          <w:tblW w:w="6565" w:type="dxa"/>
          <w:jc w:val="center"/>
          <w:tblLook w:val="04A0"/>
        </w:tblPrEx>
        <w:trPr>
          <w:trHeight w:val="290"/>
          <w:jc w:val="center"/>
        </w:trPr>
        <w:tc>
          <w:tcPr>
            <w:tcW w:w="2789" w:type="dxa"/>
            <w:shd w:val="clear" w:color="auto" w:fill="auto"/>
            <w:noWrap/>
            <w:vAlign w:val="bottom"/>
            <w:hideMark/>
          </w:tcPr>
          <w:p w:rsidR="00C100C5" w:rsidRPr="00A35D18" w14:paraId="6838A59D" w14:textId="77777777">
            <w:pPr>
              <w:spacing w:after="0" w:line="240" w:lineRule="auto"/>
              <w:rPr>
                <w:rFonts w:ascii="Times New Roman" w:eastAsia="Times New Roman" w:hAnsi="Times New Roman" w:cs="Times New Roman"/>
                <w:color w:val="000000"/>
                <w:sz w:val="20"/>
                <w:szCs w:val="20"/>
              </w:rPr>
            </w:pPr>
            <w:r w:rsidRPr="00A35D18">
              <w:rPr>
                <w:rFonts w:ascii="Times New Roman" w:eastAsia="Times New Roman" w:hAnsi="Times New Roman" w:cs="Times New Roman"/>
                <w:color w:val="000000"/>
                <w:sz w:val="20"/>
                <w:szCs w:val="20"/>
              </w:rPr>
              <w:t>Total Facilities</w:t>
            </w:r>
          </w:p>
        </w:tc>
        <w:tc>
          <w:tcPr>
            <w:tcW w:w="1200" w:type="dxa"/>
            <w:shd w:val="clear" w:color="auto" w:fill="auto"/>
            <w:noWrap/>
            <w:vAlign w:val="center"/>
            <w:hideMark/>
          </w:tcPr>
          <w:p w:rsidR="00C100C5" w:rsidRPr="00A35D18" w14:paraId="60365638"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color w:val="000000"/>
                <w:sz w:val="20"/>
                <w:szCs w:val="20"/>
              </w:rPr>
              <w:t>660</w:t>
            </w:r>
          </w:p>
        </w:tc>
        <w:tc>
          <w:tcPr>
            <w:tcW w:w="1190" w:type="dxa"/>
            <w:shd w:val="clear" w:color="auto" w:fill="auto"/>
            <w:noWrap/>
            <w:vAlign w:val="center"/>
            <w:hideMark/>
          </w:tcPr>
          <w:p w:rsidR="00C100C5" w:rsidRPr="00A35D18" w14:paraId="1F96888C"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color w:val="000000"/>
                <w:sz w:val="20"/>
                <w:szCs w:val="20"/>
              </w:rPr>
              <w:t>3,975</w:t>
            </w:r>
          </w:p>
        </w:tc>
        <w:tc>
          <w:tcPr>
            <w:tcW w:w="1386" w:type="dxa"/>
            <w:shd w:val="clear" w:color="auto" w:fill="auto"/>
            <w:noWrap/>
            <w:vAlign w:val="center"/>
            <w:hideMark/>
          </w:tcPr>
          <w:p w:rsidR="00C100C5" w:rsidRPr="00A35D18" w14:paraId="6D013368"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color w:val="000000"/>
                <w:sz w:val="20"/>
                <w:szCs w:val="20"/>
              </w:rPr>
              <w:t>7,105</w:t>
            </w:r>
          </w:p>
        </w:tc>
      </w:tr>
      <w:tr w14:paraId="6E77014F" w14:textId="77777777">
        <w:tblPrEx>
          <w:tblW w:w="6565" w:type="dxa"/>
          <w:jc w:val="center"/>
          <w:tblLook w:val="04A0"/>
        </w:tblPrEx>
        <w:trPr>
          <w:trHeight w:val="268"/>
          <w:jc w:val="center"/>
        </w:trPr>
        <w:tc>
          <w:tcPr>
            <w:tcW w:w="2789" w:type="dxa"/>
            <w:shd w:val="clear" w:color="auto" w:fill="auto"/>
            <w:noWrap/>
            <w:vAlign w:val="bottom"/>
            <w:hideMark/>
          </w:tcPr>
          <w:p w:rsidR="00C100C5" w:rsidRPr="00A35D18" w14:paraId="340F1220" w14:textId="77777777">
            <w:pPr>
              <w:spacing w:after="0" w:line="240" w:lineRule="auto"/>
              <w:ind w:firstLine="200" w:firstLineChars="100"/>
              <w:jc w:val="center"/>
              <w:rPr>
                <w:rFonts w:ascii="Times New Roman" w:eastAsia="Times New Roman" w:hAnsi="Times New Roman" w:cs="Times New Roman"/>
                <w:color w:val="000000"/>
                <w:sz w:val="20"/>
                <w:szCs w:val="20"/>
              </w:rPr>
            </w:pPr>
            <w:r w:rsidRPr="00A35D18">
              <w:rPr>
                <w:rFonts w:ascii="Times New Roman" w:eastAsia="Times New Roman" w:hAnsi="Times New Roman" w:cs="Times New Roman"/>
                <w:color w:val="000000"/>
                <w:sz w:val="20"/>
                <w:szCs w:val="20"/>
              </w:rPr>
              <w:t># of facilities owned by Government Entities</w:t>
            </w:r>
          </w:p>
        </w:tc>
        <w:tc>
          <w:tcPr>
            <w:tcW w:w="1200" w:type="dxa"/>
            <w:shd w:val="clear" w:color="auto" w:fill="auto"/>
            <w:noWrap/>
            <w:vAlign w:val="center"/>
            <w:hideMark/>
          </w:tcPr>
          <w:p w:rsidR="00C100C5" w:rsidRPr="00A35D18" w14:paraId="413729B2"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9</w:t>
            </w:r>
          </w:p>
        </w:tc>
        <w:tc>
          <w:tcPr>
            <w:tcW w:w="1190" w:type="dxa"/>
            <w:shd w:val="clear" w:color="auto" w:fill="auto"/>
            <w:noWrap/>
            <w:vAlign w:val="center"/>
            <w:hideMark/>
          </w:tcPr>
          <w:p w:rsidR="00C100C5" w:rsidRPr="00A35D18" w14:paraId="7C4763DB"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813</w:t>
            </w:r>
          </w:p>
        </w:tc>
        <w:tc>
          <w:tcPr>
            <w:tcW w:w="1386" w:type="dxa"/>
            <w:shd w:val="clear" w:color="auto" w:fill="auto"/>
            <w:noWrap/>
            <w:vAlign w:val="center"/>
            <w:hideMark/>
          </w:tcPr>
          <w:p w:rsidR="00C100C5" w:rsidRPr="00A35D18" w14:paraId="59CED2BA"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683</w:t>
            </w:r>
          </w:p>
        </w:tc>
      </w:tr>
      <w:tr w14:paraId="1DD847FB" w14:textId="77777777">
        <w:tblPrEx>
          <w:tblW w:w="6565" w:type="dxa"/>
          <w:jc w:val="center"/>
          <w:tblLook w:val="04A0"/>
        </w:tblPrEx>
        <w:trPr>
          <w:trHeight w:val="268"/>
          <w:jc w:val="center"/>
        </w:trPr>
        <w:tc>
          <w:tcPr>
            <w:tcW w:w="2789" w:type="dxa"/>
            <w:shd w:val="clear" w:color="auto" w:fill="auto"/>
            <w:noWrap/>
            <w:vAlign w:val="bottom"/>
            <w:hideMark/>
          </w:tcPr>
          <w:p w:rsidR="00C100C5" w:rsidRPr="00A35D18" w14:paraId="667A286F"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A35D18">
              <w:rPr>
                <w:rFonts w:ascii="Times New Roman" w:eastAsia="Times New Roman" w:hAnsi="Times New Roman" w:cs="Times New Roman"/>
                <w:color w:val="000000"/>
                <w:sz w:val="20"/>
                <w:szCs w:val="20"/>
              </w:rPr>
              <w:t xml:space="preserve">Small </w:t>
            </w:r>
          </w:p>
        </w:tc>
        <w:tc>
          <w:tcPr>
            <w:tcW w:w="1200" w:type="dxa"/>
            <w:shd w:val="clear" w:color="auto" w:fill="auto"/>
            <w:noWrap/>
            <w:vAlign w:val="center"/>
            <w:hideMark/>
          </w:tcPr>
          <w:p w:rsidR="00C100C5" w:rsidRPr="00A35D18" w14:paraId="776E2A86"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2</w:t>
            </w:r>
          </w:p>
        </w:tc>
        <w:tc>
          <w:tcPr>
            <w:tcW w:w="1190" w:type="dxa"/>
            <w:shd w:val="clear" w:color="auto" w:fill="auto"/>
            <w:noWrap/>
            <w:vAlign w:val="center"/>
            <w:hideMark/>
          </w:tcPr>
          <w:p w:rsidR="00C100C5" w:rsidRPr="00A35D18" w14:paraId="58624EB7"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444</w:t>
            </w:r>
          </w:p>
        </w:tc>
        <w:tc>
          <w:tcPr>
            <w:tcW w:w="1386" w:type="dxa"/>
            <w:shd w:val="clear" w:color="auto" w:fill="auto"/>
            <w:noWrap/>
            <w:vAlign w:val="center"/>
            <w:hideMark/>
          </w:tcPr>
          <w:p w:rsidR="00C100C5" w:rsidRPr="00A35D18" w14:paraId="4E729C05"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352</w:t>
            </w:r>
          </w:p>
        </w:tc>
      </w:tr>
      <w:tr w14:paraId="164DEBA3" w14:textId="77777777">
        <w:tblPrEx>
          <w:tblW w:w="6565" w:type="dxa"/>
          <w:jc w:val="center"/>
          <w:tblLook w:val="04A0"/>
        </w:tblPrEx>
        <w:trPr>
          <w:trHeight w:val="268"/>
          <w:jc w:val="center"/>
        </w:trPr>
        <w:tc>
          <w:tcPr>
            <w:tcW w:w="2789" w:type="dxa"/>
            <w:shd w:val="clear" w:color="auto" w:fill="auto"/>
            <w:noWrap/>
            <w:vAlign w:val="bottom"/>
            <w:hideMark/>
          </w:tcPr>
          <w:p w:rsidR="00C100C5" w:rsidRPr="00A35D18" w14:paraId="0D4E2BB3"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A35D18">
              <w:rPr>
                <w:rFonts w:ascii="Times New Roman" w:eastAsia="Times New Roman" w:hAnsi="Times New Roman" w:cs="Times New Roman"/>
                <w:color w:val="000000"/>
                <w:sz w:val="20"/>
                <w:szCs w:val="20"/>
              </w:rPr>
              <w:t xml:space="preserve">Non-small </w:t>
            </w:r>
          </w:p>
        </w:tc>
        <w:tc>
          <w:tcPr>
            <w:tcW w:w="1200" w:type="dxa"/>
            <w:shd w:val="clear" w:color="auto" w:fill="auto"/>
            <w:noWrap/>
            <w:vAlign w:val="center"/>
            <w:hideMark/>
          </w:tcPr>
          <w:p w:rsidR="00C100C5" w:rsidRPr="00A35D18" w14:paraId="0AEF1865"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7</w:t>
            </w:r>
          </w:p>
        </w:tc>
        <w:tc>
          <w:tcPr>
            <w:tcW w:w="1190" w:type="dxa"/>
            <w:shd w:val="clear" w:color="auto" w:fill="auto"/>
            <w:noWrap/>
            <w:vAlign w:val="center"/>
            <w:hideMark/>
          </w:tcPr>
          <w:p w:rsidR="00C100C5" w:rsidRPr="00A35D18" w14:paraId="11878E2C"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369</w:t>
            </w:r>
          </w:p>
        </w:tc>
        <w:tc>
          <w:tcPr>
            <w:tcW w:w="1386" w:type="dxa"/>
            <w:shd w:val="clear" w:color="auto" w:fill="auto"/>
            <w:noWrap/>
            <w:vAlign w:val="center"/>
            <w:hideMark/>
          </w:tcPr>
          <w:p w:rsidR="00C100C5" w:rsidRPr="00E92045" w14:paraId="1865D94C"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331</w:t>
            </w:r>
          </w:p>
        </w:tc>
      </w:tr>
    </w:tbl>
    <w:p w:rsidR="00E66119" w:rsidP="00E66119" w14:paraId="46559A71" w14:textId="77777777">
      <w:pPr>
        <w:pStyle w:val="Caption"/>
        <w:jc w:val="center"/>
        <w:rPr>
          <w:rFonts w:ascii="Times New Roman" w:hAnsi="Times New Roman" w:cs="Times New Roman"/>
          <w:b/>
          <w:bCs/>
          <w:i w:val="0"/>
          <w:iCs w:val="0"/>
          <w:color w:val="auto"/>
          <w:sz w:val="22"/>
          <w:szCs w:val="22"/>
          <w:highlight w:val="yellow"/>
        </w:rPr>
      </w:pPr>
    </w:p>
    <w:p w:rsidR="00E66119" w:rsidRPr="003C24D0" w:rsidP="00E66119" w14:paraId="5D12ACCD" w14:textId="77777777">
      <w:pPr>
        <w:pStyle w:val="Caption"/>
        <w:jc w:val="center"/>
        <w:rPr>
          <w:rFonts w:ascii="Times New Roman" w:hAnsi="Times New Roman" w:cs="Times New Roman"/>
          <w:b/>
          <w:i w:val="0"/>
          <w:color w:val="auto"/>
          <w:sz w:val="22"/>
          <w:szCs w:val="22"/>
        </w:rPr>
      </w:pPr>
      <w:r w:rsidRPr="003C24D0">
        <w:rPr>
          <w:rFonts w:ascii="Times New Roman" w:hAnsi="Times New Roman" w:cs="Times New Roman"/>
          <w:b/>
          <w:i w:val="0"/>
          <w:color w:val="auto"/>
          <w:sz w:val="22"/>
          <w:szCs w:val="22"/>
        </w:rPr>
        <w:t>Exhibit C-</w:t>
      </w:r>
      <w:r w:rsidR="00066107">
        <w:rPr>
          <w:rFonts w:ascii="Times New Roman" w:hAnsi="Times New Roman" w:cs="Times New Roman"/>
          <w:b/>
          <w:bCs/>
          <w:i w:val="0"/>
          <w:iCs w:val="0"/>
          <w:color w:val="auto"/>
          <w:sz w:val="22"/>
          <w:szCs w:val="22"/>
        </w:rPr>
        <w:t>5</w:t>
      </w:r>
      <w:r w:rsidRPr="003C24D0">
        <w:rPr>
          <w:rFonts w:ascii="Times New Roman" w:hAnsi="Times New Roman" w:cs="Times New Roman"/>
          <w:b/>
          <w:i w:val="0"/>
          <w:color w:val="auto"/>
          <w:sz w:val="22"/>
          <w:szCs w:val="22"/>
        </w:rPr>
        <w:t xml:space="preserve">: Analysis of Government Sector Facility Ownership by Program Level, </w:t>
      </w:r>
      <w:r w:rsidRPr="003C24D0" w:rsidR="001F642E">
        <w:rPr>
          <w:rFonts w:ascii="Times New Roman" w:hAnsi="Times New Roman" w:cs="Times New Roman"/>
          <w:b/>
          <w:i w:val="0"/>
          <w:color w:val="auto"/>
          <w:sz w:val="22"/>
          <w:szCs w:val="22"/>
        </w:rPr>
        <w:t>D&amp;B Hoovers</w:t>
      </w:r>
      <w:r w:rsidRPr="003C24D0">
        <w:rPr>
          <w:rFonts w:ascii="Times New Roman" w:hAnsi="Times New Roman" w:cs="Times New Roman"/>
          <w:b/>
          <w:i w:val="0"/>
          <w:color w:val="auto"/>
          <w:sz w:val="22"/>
          <w:szCs w:val="22"/>
        </w:rPr>
        <w:t>.</w:t>
      </w: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200"/>
        <w:gridCol w:w="1190"/>
        <w:gridCol w:w="1386"/>
      </w:tblGrid>
      <w:tr w14:paraId="08D147AD" w14:textId="77777777" w:rsidTr="00D8562D">
        <w:tblPrEx>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jc w:val="center"/>
        </w:trPr>
        <w:tc>
          <w:tcPr>
            <w:tcW w:w="2789" w:type="dxa"/>
            <w:shd w:val="clear" w:color="auto" w:fill="D9D9D9" w:themeFill="background1" w:themeFillShade="D9"/>
            <w:noWrap/>
            <w:vAlign w:val="bottom"/>
            <w:hideMark/>
          </w:tcPr>
          <w:p w:rsidR="00E66119" w:rsidRPr="003C24D0" w14:paraId="307C26D1" w14:textId="77777777">
            <w:pPr>
              <w:keepNext/>
              <w:spacing w:after="0" w:line="240" w:lineRule="auto"/>
              <w:rPr>
                <w:rFonts w:ascii="Times New Roman" w:eastAsia="Times New Roman" w:hAnsi="Times New Roman" w:cs="Times New Roman"/>
                <w:b/>
                <w:sz w:val="20"/>
                <w:szCs w:val="20"/>
              </w:rPr>
            </w:pPr>
          </w:p>
        </w:tc>
        <w:tc>
          <w:tcPr>
            <w:tcW w:w="1200" w:type="dxa"/>
            <w:shd w:val="clear" w:color="auto" w:fill="D9D9D9" w:themeFill="background1" w:themeFillShade="D9"/>
            <w:noWrap/>
            <w:vAlign w:val="center"/>
            <w:hideMark/>
          </w:tcPr>
          <w:p w:rsidR="00E66119" w:rsidRPr="003C24D0" w14:paraId="25E9DA72" w14:textId="77777777">
            <w:pPr>
              <w:keepNext/>
              <w:spacing w:after="0" w:line="240" w:lineRule="auto"/>
              <w:jc w:val="center"/>
              <w:rPr>
                <w:rFonts w:ascii="Times New Roman" w:eastAsia="Times New Roman" w:hAnsi="Times New Roman" w:cs="Times New Roman"/>
                <w:b/>
                <w:color w:val="000000"/>
                <w:sz w:val="20"/>
                <w:szCs w:val="20"/>
              </w:rPr>
            </w:pPr>
            <w:r w:rsidRPr="003C24D0">
              <w:rPr>
                <w:rFonts w:ascii="Times New Roman" w:eastAsia="Times New Roman" w:hAnsi="Times New Roman" w:cs="Times New Roman"/>
                <w:b/>
                <w:color w:val="000000"/>
                <w:sz w:val="20"/>
                <w:szCs w:val="20"/>
              </w:rPr>
              <w:t>Number of P1 Facilities</w:t>
            </w:r>
          </w:p>
        </w:tc>
        <w:tc>
          <w:tcPr>
            <w:tcW w:w="1190" w:type="dxa"/>
            <w:shd w:val="clear" w:color="auto" w:fill="D9D9D9" w:themeFill="background1" w:themeFillShade="D9"/>
            <w:noWrap/>
            <w:vAlign w:val="center"/>
            <w:hideMark/>
          </w:tcPr>
          <w:p w:rsidR="00E66119" w:rsidRPr="003C24D0" w14:paraId="176E1BF0" w14:textId="77777777">
            <w:pPr>
              <w:keepNext/>
              <w:spacing w:after="0" w:line="240" w:lineRule="auto"/>
              <w:jc w:val="center"/>
              <w:rPr>
                <w:rFonts w:ascii="Times New Roman" w:eastAsia="Times New Roman" w:hAnsi="Times New Roman" w:cs="Times New Roman"/>
                <w:b/>
                <w:color w:val="000000"/>
                <w:sz w:val="20"/>
                <w:szCs w:val="20"/>
              </w:rPr>
            </w:pPr>
            <w:r w:rsidRPr="003C24D0">
              <w:rPr>
                <w:rFonts w:ascii="Times New Roman" w:eastAsia="Times New Roman" w:hAnsi="Times New Roman" w:cs="Times New Roman"/>
                <w:b/>
                <w:color w:val="000000"/>
                <w:sz w:val="20"/>
                <w:szCs w:val="20"/>
              </w:rPr>
              <w:t>Number of P2 Facilities</w:t>
            </w:r>
          </w:p>
        </w:tc>
        <w:tc>
          <w:tcPr>
            <w:tcW w:w="1386" w:type="dxa"/>
            <w:shd w:val="clear" w:color="auto" w:fill="D9D9D9" w:themeFill="background1" w:themeFillShade="D9"/>
            <w:noWrap/>
            <w:vAlign w:val="center"/>
            <w:hideMark/>
          </w:tcPr>
          <w:p w:rsidR="00E66119" w:rsidRPr="003C24D0" w14:paraId="76327577" w14:textId="77777777">
            <w:pPr>
              <w:keepNext/>
              <w:spacing w:after="0" w:line="240" w:lineRule="auto"/>
              <w:jc w:val="center"/>
              <w:rPr>
                <w:rFonts w:ascii="Times New Roman" w:eastAsia="Times New Roman" w:hAnsi="Times New Roman" w:cs="Times New Roman"/>
                <w:b/>
                <w:color w:val="000000"/>
                <w:sz w:val="20"/>
                <w:szCs w:val="20"/>
              </w:rPr>
            </w:pPr>
            <w:r w:rsidRPr="003C24D0">
              <w:rPr>
                <w:rFonts w:ascii="Times New Roman" w:eastAsia="Times New Roman" w:hAnsi="Times New Roman" w:cs="Times New Roman"/>
                <w:b/>
                <w:color w:val="000000"/>
                <w:sz w:val="20"/>
                <w:szCs w:val="20"/>
              </w:rPr>
              <w:t>Number of P3 Facilities</w:t>
            </w:r>
          </w:p>
        </w:tc>
      </w:tr>
      <w:tr w14:paraId="07A4AFF0" w14:textId="77777777" w:rsidTr="003C24D0">
        <w:tblPrEx>
          <w:tblW w:w="6565" w:type="dxa"/>
          <w:jc w:val="center"/>
          <w:tblLook w:val="04A0"/>
        </w:tblPrEx>
        <w:trPr>
          <w:trHeight w:val="290"/>
          <w:jc w:val="center"/>
        </w:trPr>
        <w:tc>
          <w:tcPr>
            <w:tcW w:w="2789" w:type="dxa"/>
            <w:shd w:val="clear" w:color="auto" w:fill="auto"/>
            <w:noWrap/>
            <w:vAlign w:val="bottom"/>
            <w:hideMark/>
          </w:tcPr>
          <w:p w:rsidR="00527E84" w:rsidRPr="003C24D0" w:rsidP="00527E84" w14:paraId="5FB76B9F" w14:textId="77777777">
            <w:pPr>
              <w:spacing w:after="0" w:line="240" w:lineRule="auto"/>
              <w:rPr>
                <w:rFonts w:ascii="Times New Roman" w:eastAsia="Times New Roman" w:hAnsi="Times New Roman" w:cs="Times New Roman"/>
                <w:color w:val="000000"/>
                <w:sz w:val="20"/>
                <w:szCs w:val="20"/>
              </w:rPr>
            </w:pPr>
            <w:r w:rsidRPr="003C24D0">
              <w:rPr>
                <w:rFonts w:ascii="Times New Roman" w:eastAsia="Times New Roman" w:hAnsi="Times New Roman" w:cs="Times New Roman"/>
                <w:color w:val="000000"/>
                <w:sz w:val="20"/>
                <w:szCs w:val="20"/>
              </w:rPr>
              <w:t>Total Facilities</w:t>
            </w:r>
          </w:p>
        </w:tc>
        <w:tc>
          <w:tcPr>
            <w:tcW w:w="1200" w:type="dxa"/>
            <w:shd w:val="clear" w:color="auto" w:fill="auto"/>
            <w:noWrap/>
            <w:vAlign w:val="bottom"/>
            <w:hideMark/>
          </w:tcPr>
          <w:p w:rsidR="00527E84" w:rsidRPr="003C24D0" w:rsidP="00527E84" w14:paraId="1AA8A04F"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color w:val="000000"/>
                <w:sz w:val="20"/>
                <w:szCs w:val="20"/>
              </w:rPr>
              <w:t xml:space="preserve">               648 </w:t>
            </w:r>
          </w:p>
        </w:tc>
        <w:tc>
          <w:tcPr>
            <w:tcW w:w="1190" w:type="dxa"/>
            <w:shd w:val="clear" w:color="auto" w:fill="auto"/>
            <w:noWrap/>
            <w:vAlign w:val="bottom"/>
            <w:hideMark/>
          </w:tcPr>
          <w:p w:rsidR="00527E84" w:rsidRPr="003C24D0" w:rsidP="00527E84" w14:paraId="521ABF9B"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color w:val="000000"/>
                <w:sz w:val="20"/>
                <w:szCs w:val="20"/>
              </w:rPr>
              <w:t xml:space="preserve">                    3,942 </w:t>
            </w:r>
          </w:p>
        </w:tc>
        <w:tc>
          <w:tcPr>
            <w:tcW w:w="1386" w:type="dxa"/>
            <w:shd w:val="clear" w:color="auto" w:fill="auto"/>
            <w:noWrap/>
            <w:vAlign w:val="bottom"/>
            <w:hideMark/>
          </w:tcPr>
          <w:p w:rsidR="00527E84" w:rsidRPr="003C24D0" w:rsidP="00527E84" w14:paraId="67356D08"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color w:val="000000"/>
                <w:sz w:val="20"/>
                <w:szCs w:val="20"/>
              </w:rPr>
              <w:t xml:space="preserve">                                    7,058 </w:t>
            </w:r>
          </w:p>
        </w:tc>
      </w:tr>
      <w:tr w14:paraId="77A7362D" w14:textId="77777777" w:rsidTr="003C24D0">
        <w:tblPrEx>
          <w:tblW w:w="6565" w:type="dxa"/>
          <w:jc w:val="center"/>
          <w:tblLook w:val="04A0"/>
        </w:tblPrEx>
        <w:trPr>
          <w:trHeight w:val="268"/>
          <w:jc w:val="center"/>
        </w:trPr>
        <w:tc>
          <w:tcPr>
            <w:tcW w:w="2789" w:type="dxa"/>
            <w:shd w:val="clear" w:color="auto" w:fill="auto"/>
            <w:noWrap/>
            <w:vAlign w:val="bottom"/>
            <w:hideMark/>
          </w:tcPr>
          <w:p w:rsidR="009D3CA9" w:rsidRPr="003C24D0" w:rsidP="009D3CA9" w14:paraId="53FE5078" w14:textId="77777777">
            <w:pPr>
              <w:spacing w:after="0" w:line="240" w:lineRule="auto"/>
              <w:ind w:firstLine="200" w:firstLineChars="100"/>
              <w:jc w:val="center"/>
              <w:rPr>
                <w:rFonts w:ascii="Times New Roman" w:eastAsia="Times New Roman" w:hAnsi="Times New Roman" w:cs="Times New Roman"/>
                <w:color w:val="000000"/>
                <w:sz w:val="20"/>
                <w:szCs w:val="20"/>
              </w:rPr>
            </w:pPr>
            <w:r w:rsidRPr="003C24D0">
              <w:rPr>
                <w:rFonts w:ascii="Times New Roman" w:eastAsia="Times New Roman" w:hAnsi="Times New Roman" w:cs="Times New Roman"/>
                <w:color w:val="000000"/>
                <w:sz w:val="20"/>
                <w:szCs w:val="20"/>
              </w:rPr>
              <w:t># of facilities owned by: Government Entities</w:t>
            </w:r>
          </w:p>
        </w:tc>
        <w:tc>
          <w:tcPr>
            <w:tcW w:w="1200" w:type="dxa"/>
            <w:shd w:val="clear" w:color="auto" w:fill="auto"/>
            <w:noWrap/>
            <w:hideMark/>
          </w:tcPr>
          <w:p w:rsidR="009D3CA9" w:rsidRPr="003C24D0" w:rsidP="009D3CA9" w14:paraId="5E61F3F8" w14:textId="77777777">
            <w:pPr>
              <w:spacing w:after="0" w:line="240" w:lineRule="auto"/>
              <w:jc w:val="center"/>
              <w:rPr>
                <w:rFonts w:ascii="Times New Roman" w:eastAsia="Times New Roman" w:hAnsi="Times New Roman" w:cs="Times New Roman"/>
                <w:color w:val="000000"/>
                <w:sz w:val="20"/>
                <w:szCs w:val="20"/>
              </w:rPr>
            </w:pPr>
            <w:r w:rsidRPr="007459E3">
              <w:rPr>
                <w:rFonts w:ascii="Times New Roman" w:hAnsi="Times New Roman" w:cs="Times New Roman"/>
                <w:sz w:val="20"/>
                <w:szCs w:val="20"/>
              </w:rPr>
              <w:t xml:space="preserve"> 14 </w:t>
            </w:r>
          </w:p>
        </w:tc>
        <w:tc>
          <w:tcPr>
            <w:tcW w:w="1190" w:type="dxa"/>
            <w:shd w:val="clear" w:color="auto" w:fill="auto"/>
            <w:noWrap/>
            <w:hideMark/>
          </w:tcPr>
          <w:p w:rsidR="009D3CA9" w:rsidRPr="003C24D0" w:rsidP="009D3CA9" w14:paraId="6ED94BE8" w14:textId="77777777">
            <w:pPr>
              <w:spacing w:after="0" w:line="240" w:lineRule="auto"/>
              <w:jc w:val="center"/>
              <w:rPr>
                <w:rFonts w:ascii="Times New Roman" w:eastAsia="Times New Roman" w:hAnsi="Times New Roman" w:cs="Times New Roman"/>
                <w:color w:val="000000"/>
                <w:sz w:val="20"/>
                <w:szCs w:val="20"/>
              </w:rPr>
            </w:pPr>
            <w:r w:rsidRPr="007459E3">
              <w:rPr>
                <w:rFonts w:ascii="Times New Roman" w:hAnsi="Times New Roman" w:cs="Times New Roman"/>
                <w:sz w:val="20"/>
                <w:szCs w:val="20"/>
              </w:rPr>
              <w:t xml:space="preserve"> 805 </w:t>
            </w:r>
          </w:p>
        </w:tc>
        <w:tc>
          <w:tcPr>
            <w:tcW w:w="1386" w:type="dxa"/>
            <w:shd w:val="clear" w:color="auto" w:fill="auto"/>
            <w:noWrap/>
            <w:hideMark/>
          </w:tcPr>
          <w:p w:rsidR="009D3CA9" w:rsidRPr="003C24D0" w:rsidP="009D3CA9" w14:paraId="2141E2D1" w14:textId="77777777">
            <w:pPr>
              <w:spacing w:after="0" w:line="240" w:lineRule="auto"/>
              <w:jc w:val="center"/>
              <w:rPr>
                <w:rFonts w:ascii="Times New Roman" w:eastAsia="Times New Roman" w:hAnsi="Times New Roman" w:cs="Times New Roman"/>
                <w:color w:val="000000"/>
                <w:sz w:val="20"/>
                <w:szCs w:val="20"/>
              </w:rPr>
            </w:pPr>
            <w:r w:rsidRPr="007459E3">
              <w:rPr>
                <w:rFonts w:ascii="Times New Roman" w:hAnsi="Times New Roman" w:cs="Times New Roman"/>
                <w:sz w:val="20"/>
                <w:szCs w:val="20"/>
              </w:rPr>
              <w:t xml:space="preserve"> 671 </w:t>
            </w:r>
          </w:p>
        </w:tc>
      </w:tr>
      <w:tr w14:paraId="5D2DBF52" w14:textId="77777777" w:rsidTr="003C24D0">
        <w:tblPrEx>
          <w:tblW w:w="6565" w:type="dxa"/>
          <w:jc w:val="center"/>
          <w:tblLook w:val="04A0"/>
        </w:tblPrEx>
        <w:trPr>
          <w:trHeight w:val="268"/>
          <w:jc w:val="center"/>
        </w:trPr>
        <w:tc>
          <w:tcPr>
            <w:tcW w:w="2789" w:type="dxa"/>
            <w:shd w:val="clear" w:color="auto" w:fill="auto"/>
            <w:noWrap/>
            <w:vAlign w:val="bottom"/>
            <w:hideMark/>
          </w:tcPr>
          <w:p w:rsidR="009D3CA9" w:rsidRPr="003C24D0" w:rsidP="009D3CA9" w14:paraId="64D65CC6"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3C24D0">
              <w:rPr>
                <w:rFonts w:ascii="Times New Roman" w:eastAsia="Times New Roman" w:hAnsi="Times New Roman" w:cs="Times New Roman"/>
                <w:color w:val="000000"/>
                <w:sz w:val="20"/>
                <w:szCs w:val="20"/>
              </w:rPr>
              <w:t xml:space="preserve">Small </w:t>
            </w:r>
          </w:p>
        </w:tc>
        <w:tc>
          <w:tcPr>
            <w:tcW w:w="1200" w:type="dxa"/>
            <w:shd w:val="clear" w:color="auto" w:fill="auto"/>
            <w:noWrap/>
            <w:hideMark/>
          </w:tcPr>
          <w:p w:rsidR="009D3CA9" w:rsidRPr="003C24D0" w:rsidP="009D3CA9" w14:paraId="0EB1FEA9" w14:textId="77777777">
            <w:pPr>
              <w:spacing w:after="0" w:line="240" w:lineRule="auto"/>
              <w:jc w:val="center"/>
              <w:rPr>
                <w:rFonts w:ascii="Times New Roman" w:eastAsia="Times New Roman" w:hAnsi="Times New Roman" w:cs="Times New Roman"/>
                <w:color w:val="000000"/>
                <w:sz w:val="20"/>
                <w:szCs w:val="20"/>
              </w:rPr>
            </w:pPr>
            <w:r w:rsidRPr="007459E3">
              <w:rPr>
                <w:rFonts w:ascii="Times New Roman" w:hAnsi="Times New Roman" w:cs="Times New Roman"/>
                <w:sz w:val="20"/>
                <w:szCs w:val="20"/>
              </w:rPr>
              <w:t xml:space="preserve"> 3 </w:t>
            </w:r>
          </w:p>
        </w:tc>
        <w:tc>
          <w:tcPr>
            <w:tcW w:w="1190" w:type="dxa"/>
            <w:shd w:val="clear" w:color="auto" w:fill="auto"/>
            <w:noWrap/>
            <w:hideMark/>
          </w:tcPr>
          <w:p w:rsidR="009D3CA9" w:rsidRPr="003C24D0" w:rsidP="009D3CA9" w14:paraId="5D834DFE" w14:textId="77777777">
            <w:pPr>
              <w:spacing w:after="0" w:line="240" w:lineRule="auto"/>
              <w:jc w:val="center"/>
              <w:rPr>
                <w:rFonts w:ascii="Times New Roman" w:eastAsia="Times New Roman" w:hAnsi="Times New Roman" w:cs="Times New Roman"/>
                <w:color w:val="000000"/>
                <w:sz w:val="20"/>
                <w:szCs w:val="20"/>
              </w:rPr>
            </w:pPr>
            <w:r w:rsidRPr="007459E3">
              <w:rPr>
                <w:rFonts w:ascii="Times New Roman" w:hAnsi="Times New Roman" w:cs="Times New Roman"/>
                <w:sz w:val="20"/>
                <w:szCs w:val="20"/>
              </w:rPr>
              <w:t xml:space="preserve"> 438 </w:t>
            </w:r>
          </w:p>
        </w:tc>
        <w:tc>
          <w:tcPr>
            <w:tcW w:w="1386" w:type="dxa"/>
            <w:shd w:val="clear" w:color="auto" w:fill="auto"/>
            <w:noWrap/>
            <w:hideMark/>
          </w:tcPr>
          <w:p w:rsidR="009D3CA9" w:rsidRPr="003C24D0" w:rsidP="009D3CA9" w14:paraId="1153F6BF" w14:textId="77777777">
            <w:pPr>
              <w:spacing w:after="0" w:line="240" w:lineRule="auto"/>
              <w:jc w:val="center"/>
              <w:rPr>
                <w:rFonts w:ascii="Times New Roman" w:eastAsia="Times New Roman" w:hAnsi="Times New Roman" w:cs="Times New Roman"/>
                <w:color w:val="000000"/>
                <w:sz w:val="20"/>
                <w:szCs w:val="20"/>
              </w:rPr>
            </w:pPr>
            <w:r w:rsidRPr="007459E3">
              <w:rPr>
                <w:rFonts w:ascii="Times New Roman" w:hAnsi="Times New Roman" w:cs="Times New Roman"/>
                <w:sz w:val="20"/>
                <w:szCs w:val="20"/>
              </w:rPr>
              <w:t xml:space="preserve"> 341 </w:t>
            </w:r>
          </w:p>
        </w:tc>
      </w:tr>
      <w:tr w14:paraId="16D96E8C" w14:textId="77777777" w:rsidTr="003C24D0">
        <w:tblPrEx>
          <w:tblW w:w="6565" w:type="dxa"/>
          <w:jc w:val="center"/>
          <w:tblLook w:val="04A0"/>
        </w:tblPrEx>
        <w:trPr>
          <w:trHeight w:val="268"/>
          <w:jc w:val="center"/>
        </w:trPr>
        <w:tc>
          <w:tcPr>
            <w:tcW w:w="2789" w:type="dxa"/>
            <w:shd w:val="clear" w:color="auto" w:fill="auto"/>
            <w:noWrap/>
            <w:vAlign w:val="bottom"/>
            <w:hideMark/>
          </w:tcPr>
          <w:p w:rsidR="009D3CA9" w:rsidRPr="003C24D0" w:rsidP="009D3CA9" w14:paraId="3F11A6FF"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3C24D0">
              <w:rPr>
                <w:rFonts w:ascii="Times New Roman" w:eastAsia="Times New Roman" w:hAnsi="Times New Roman" w:cs="Times New Roman"/>
                <w:color w:val="000000"/>
                <w:sz w:val="20"/>
                <w:szCs w:val="20"/>
              </w:rPr>
              <w:t xml:space="preserve">Non-small </w:t>
            </w:r>
          </w:p>
        </w:tc>
        <w:tc>
          <w:tcPr>
            <w:tcW w:w="1200" w:type="dxa"/>
            <w:shd w:val="clear" w:color="auto" w:fill="auto"/>
            <w:noWrap/>
            <w:hideMark/>
          </w:tcPr>
          <w:p w:rsidR="009D3CA9" w:rsidRPr="003C24D0" w:rsidP="009D3CA9" w14:paraId="2340684B" w14:textId="77777777">
            <w:pPr>
              <w:spacing w:after="0" w:line="240" w:lineRule="auto"/>
              <w:jc w:val="center"/>
              <w:rPr>
                <w:rFonts w:ascii="Times New Roman" w:eastAsia="Times New Roman" w:hAnsi="Times New Roman" w:cs="Times New Roman"/>
                <w:color w:val="000000"/>
                <w:sz w:val="20"/>
                <w:szCs w:val="20"/>
              </w:rPr>
            </w:pPr>
            <w:r w:rsidRPr="007459E3">
              <w:rPr>
                <w:rFonts w:ascii="Times New Roman" w:hAnsi="Times New Roman" w:cs="Times New Roman"/>
                <w:sz w:val="20"/>
                <w:szCs w:val="20"/>
              </w:rPr>
              <w:t xml:space="preserve"> 11 </w:t>
            </w:r>
          </w:p>
        </w:tc>
        <w:tc>
          <w:tcPr>
            <w:tcW w:w="1190" w:type="dxa"/>
            <w:shd w:val="clear" w:color="auto" w:fill="auto"/>
            <w:noWrap/>
            <w:hideMark/>
          </w:tcPr>
          <w:p w:rsidR="009D3CA9" w:rsidRPr="003C24D0" w:rsidP="009D3CA9" w14:paraId="78EDCF0C" w14:textId="77777777">
            <w:pPr>
              <w:spacing w:after="0" w:line="240" w:lineRule="auto"/>
              <w:jc w:val="center"/>
              <w:rPr>
                <w:rFonts w:ascii="Times New Roman" w:eastAsia="Times New Roman" w:hAnsi="Times New Roman" w:cs="Times New Roman"/>
                <w:color w:val="000000"/>
                <w:sz w:val="20"/>
                <w:szCs w:val="20"/>
              </w:rPr>
            </w:pPr>
            <w:r w:rsidRPr="007459E3">
              <w:rPr>
                <w:rFonts w:ascii="Times New Roman" w:hAnsi="Times New Roman" w:cs="Times New Roman"/>
                <w:sz w:val="20"/>
                <w:szCs w:val="20"/>
              </w:rPr>
              <w:t xml:space="preserve"> 367 </w:t>
            </w:r>
          </w:p>
        </w:tc>
        <w:tc>
          <w:tcPr>
            <w:tcW w:w="1386" w:type="dxa"/>
            <w:shd w:val="clear" w:color="auto" w:fill="auto"/>
            <w:noWrap/>
            <w:hideMark/>
          </w:tcPr>
          <w:p w:rsidR="009D3CA9" w:rsidRPr="008C7752" w:rsidP="009D3CA9" w14:paraId="562CFC57" w14:textId="77777777">
            <w:pPr>
              <w:spacing w:after="0" w:line="240" w:lineRule="auto"/>
              <w:jc w:val="center"/>
              <w:rPr>
                <w:rFonts w:ascii="Times New Roman" w:eastAsia="Times New Roman" w:hAnsi="Times New Roman" w:cs="Times New Roman"/>
                <w:color w:val="000000"/>
                <w:sz w:val="20"/>
                <w:szCs w:val="20"/>
              </w:rPr>
            </w:pPr>
            <w:r w:rsidRPr="007459E3">
              <w:rPr>
                <w:rFonts w:ascii="Times New Roman" w:hAnsi="Times New Roman" w:cs="Times New Roman"/>
                <w:sz w:val="20"/>
                <w:szCs w:val="20"/>
              </w:rPr>
              <w:t xml:space="preserve"> 330 </w:t>
            </w:r>
          </w:p>
        </w:tc>
      </w:tr>
    </w:tbl>
    <w:p w:rsidR="00BD214E" w:rsidP="00BD214E" w14:paraId="2E72BBA4" w14:textId="77777777">
      <w:pPr>
        <w:spacing w:after="0"/>
        <w:ind w:right="617"/>
        <w:rPr>
          <w:rFonts w:ascii="Times New Roman" w:hAnsi="Times New Roman"/>
        </w:rPr>
      </w:pPr>
    </w:p>
    <w:p w:rsidR="00A65BDD" w:rsidP="00232C46" w14:paraId="029540B3" w14:textId="77777777">
      <w:pPr>
        <w:spacing w:after="0" w:line="240" w:lineRule="auto"/>
        <w:ind w:firstLine="720"/>
        <w:rPr>
          <w:rFonts w:ascii="Times New Roman" w:hAnsi="Times New Roman" w:cs="Times New Roman"/>
        </w:rPr>
      </w:pPr>
      <w:r w:rsidRPr="00693892">
        <w:rPr>
          <w:rFonts w:ascii="Times New Roman" w:hAnsi="Times New Roman" w:cs="Times New Roman"/>
        </w:rPr>
        <w:t xml:space="preserve">EPA estimated the cost for each facility to comply with the </w:t>
      </w:r>
      <w:r>
        <w:rPr>
          <w:rFonts w:ascii="Times New Roman" w:hAnsi="Times New Roman" w:cs="Times New Roman"/>
        </w:rPr>
        <w:t>final</w:t>
      </w:r>
      <w:r w:rsidRPr="00693892">
        <w:rPr>
          <w:rFonts w:ascii="Times New Roman" w:hAnsi="Times New Roman" w:cs="Times New Roman"/>
        </w:rPr>
        <w:t xml:space="preserve"> rule. </w:t>
      </w:r>
      <w:r>
        <w:rPr>
          <w:rFonts w:ascii="Times New Roman" w:hAnsi="Times New Roman" w:cs="Times New Roman"/>
        </w:rPr>
        <w:t xml:space="preserve">These estimates are applied to the same facilities across data sources. </w:t>
      </w:r>
      <w:r w:rsidRPr="00693892">
        <w:rPr>
          <w:rFonts w:ascii="Times New Roman" w:hAnsi="Times New Roman" w:cs="Times New Roman"/>
        </w:rPr>
        <w:t xml:space="preserve">This was done by applying cost estimates for the following cost categories to facilities in the affected </w:t>
      </w:r>
      <w:r w:rsidRPr="00693892">
        <w:rPr>
          <w:rFonts w:ascii="Times New Roman" w:hAnsi="Times New Roman"/>
        </w:rPr>
        <w:t>universe</w:t>
      </w:r>
      <w:r w:rsidRPr="00693892">
        <w:rPr>
          <w:rFonts w:ascii="Times New Roman" w:hAnsi="Times New Roman" w:cs="Times New Roman"/>
        </w:rPr>
        <w:t>, per facility or per process:</w:t>
      </w:r>
    </w:p>
    <w:p w:rsidR="00A65BDD" w:rsidRPr="00693892" w:rsidP="00A65BDD" w14:paraId="32DFB665" w14:textId="77777777">
      <w:pPr>
        <w:keepNext/>
        <w:spacing w:after="0" w:line="240" w:lineRule="auto"/>
        <w:ind w:firstLine="360"/>
        <w:rPr>
          <w:rFonts w:ascii="Times New Roman" w:hAnsi="Times New Roman" w:cs="Times New Roman"/>
        </w:rPr>
      </w:pPr>
    </w:p>
    <w:p w:rsidR="005D6984" w:rsidRPr="00693892" w:rsidP="00082826" w14:paraId="4B651058"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Rule Familiarization</w:t>
      </w:r>
    </w:p>
    <w:p w:rsidR="00A65BDD" w:rsidRPr="00693892" w:rsidP="00082826" w14:paraId="7F30CDAA"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STAA</w:t>
      </w:r>
    </w:p>
    <w:p w:rsidR="00A65BDD" w:rsidRPr="00693892" w:rsidP="00082826" w14:paraId="0E4F00D3"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Root Cause Analysis</w:t>
      </w:r>
    </w:p>
    <w:p w:rsidR="005D6984" w:rsidRPr="00693892" w:rsidP="00082826" w14:paraId="07DF611E"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Third-Party Audits</w:t>
      </w:r>
    </w:p>
    <w:p w:rsidR="005D6984" w:rsidP="00082826" w14:paraId="1F9D73CC"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Employee Participation Plan</w:t>
      </w:r>
    </w:p>
    <w:p w:rsidR="005D6984" w:rsidRPr="00693892" w:rsidP="00082826" w14:paraId="76701FEA"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Emergency Backup Power</w:t>
      </w:r>
    </w:p>
    <w:p w:rsidR="00A65BDD" w:rsidRPr="00693892" w:rsidP="00082826" w14:paraId="468546CC"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Community Notification Plan</w:t>
      </w:r>
    </w:p>
    <w:p w:rsidR="005D6984" w:rsidRPr="0026468B" w:rsidP="00082826" w14:paraId="01F9E471"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Information Availability</w:t>
      </w:r>
    </w:p>
    <w:p w:rsidR="00A65BDD" w:rsidP="00BD214E" w14:paraId="6ABD7ED7" w14:textId="77777777">
      <w:pPr>
        <w:spacing w:after="0"/>
        <w:ind w:right="617"/>
        <w:rPr>
          <w:rFonts w:ascii="Times New Roman" w:hAnsi="Times New Roman"/>
        </w:rPr>
      </w:pPr>
    </w:p>
    <w:p w:rsidR="00FC3238" w:rsidP="00232C46" w14:paraId="02B7FC5E" w14:textId="77777777">
      <w:pPr>
        <w:spacing w:after="0"/>
        <w:ind w:right="617" w:firstLine="720"/>
        <w:rPr>
          <w:rFonts w:ascii="Times New Roman" w:hAnsi="Times New Roman"/>
        </w:rPr>
      </w:pPr>
      <w:r>
        <w:rPr>
          <w:rFonts w:ascii="Times New Roman" w:hAnsi="Times New Roman"/>
        </w:rPr>
        <w:t xml:space="preserve">The costs used for </w:t>
      </w:r>
      <w:r w:rsidRPr="00F41090">
        <w:rPr>
          <w:rFonts w:ascii="Times New Roman" w:hAnsi="Times New Roman"/>
        </w:rPr>
        <w:t>each cost category are consistent with the costs described in</w:t>
      </w:r>
      <w:r w:rsidR="006D3647">
        <w:rPr>
          <w:rFonts w:ascii="Times New Roman" w:hAnsi="Times New Roman"/>
        </w:rPr>
        <w:t xml:space="preserve"> the proposed rule RIA,</w:t>
      </w:r>
      <w:r w:rsidRPr="00F41090">
        <w:rPr>
          <w:rFonts w:ascii="Times New Roman" w:hAnsi="Times New Roman"/>
        </w:rPr>
        <w:t xml:space="preserve"> Chapter 4: Unit Costs of </w:t>
      </w:r>
      <w:r w:rsidRPr="00347BE9" w:rsidR="00D32ADF">
        <w:rPr>
          <w:rFonts w:ascii="Times New Roman" w:hAnsi="Times New Roman"/>
        </w:rPr>
        <w:t>Propose</w:t>
      </w:r>
      <w:r w:rsidRPr="00F41090">
        <w:rPr>
          <w:rFonts w:ascii="Times New Roman" w:hAnsi="Times New Roman"/>
        </w:rPr>
        <w:t>d Rule Provisions</w:t>
      </w:r>
      <w:r w:rsidR="006D3647">
        <w:rPr>
          <w:rFonts w:ascii="Times New Roman" w:hAnsi="Times New Roman"/>
        </w:rPr>
        <w:t xml:space="preserve">, </w:t>
      </w:r>
      <w:r w:rsidRPr="00F41090">
        <w:rPr>
          <w:rFonts w:ascii="Times New Roman" w:hAnsi="Times New Roman"/>
        </w:rPr>
        <w:t>and are applied to the same facilities across data sources. The differences</w:t>
      </w:r>
      <w:r>
        <w:rPr>
          <w:rFonts w:ascii="Times New Roman" w:hAnsi="Times New Roman"/>
        </w:rPr>
        <w:t xml:space="preserve"> in facility matching between the two data sources drive the differences in average small entity cost in Exhibit C-</w:t>
      </w:r>
      <w:r w:rsidR="000E75E1">
        <w:rPr>
          <w:rFonts w:ascii="Times New Roman" w:hAnsi="Times New Roman"/>
        </w:rPr>
        <w:t>6</w:t>
      </w:r>
      <w:r>
        <w:rPr>
          <w:rFonts w:ascii="Times New Roman" w:hAnsi="Times New Roman"/>
        </w:rPr>
        <w:t xml:space="preserve"> and </w:t>
      </w:r>
      <w:r w:rsidR="00FD3E51">
        <w:rPr>
          <w:rFonts w:ascii="Times New Roman" w:hAnsi="Times New Roman"/>
        </w:rPr>
        <w:t xml:space="preserve">Exhibit </w:t>
      </w:r>
      <w:r>
        <w:rPr>
          <w:rFonts w:ascii="Times New Roman" w:hAnsi="Times New Roman"/>
        </w:rPr>
        <w:t>C-</w:t>
      </w:r>
      <w:r w:rsidR="000E75E1">
        <w:rPr>
          <w:rFonts w:ascii="Times New Roman" w:hAnsi="Times New Roman"/>
        </w:rPr>
        <w:t>7</w:t>
      </w:r>
      <w:r>
        <w:rPr>
          <w:rFonts w:ascii="Times New Roman" w:hAnsi="Times New Roman"/>
        </w:rPr>
        <w:t>.</w:t>
      </w:r>
    </w:p>
    <w:p w:rsidR="00FC3238" w:rsidP="00BD214E" w14:paraId="675948BC" w14:textId="77777777">
      <w:pPr>
        <w:spacing w:after="0"/>
        <w:ind w:right="617"/>
        <w:rPr>
          <w:rFonts w:ascii="Times New Roman" w:hAnsi="Times New Roman"/>
        </w:rPr>
      </w:pPr>
    </w:p>
    <w:p w:rsidR="00ED4787" w:rsidRPr="00ED4787" w:rsidP="00ED4787" w14:paraId="6748430B" w14:textId="77777777">
      <w:pPr>
        <w:spacing w:after="0"/>
        <w:ind w:right="617" w:firstLine="720"/>
        <w:rPr>
          <w:rFonts w:ascii="Times New Roman" w:hAnsi="Times New Roman" w:cs="Times New Roman"/>
        </w:rPr>
      </w:pPr>
      <w:r w:rsidRPr="001C2225">
        <w:rPr>
          <w:rFonts w:ascii="Times New Roman" w:hAnsi="Times New Roman"/>
        </w:rPr>
        <w:t>The comparis</w:t>
      </w:r>
      <w:r w:rsidRPr="0047243E">
        <w:rPr>
          <w:rFonts w:ascii="Times New Roman" w:hAnsi="Times New Roman"/>
        </w:rPr>
        <w:t xml:space="preserve">on </w:t>
      </w:r>
      <w:r w:rsidRPr="0047243E" w:rsidR="00A02B02">
        <w:rPr>
          <w:rFonts w:ascii="Times New Roman" w:hAnsi="Times New Roman"/>
        </w:rPr>
        <w:t xml:space="preserve">results of the analysis </w:t>
      </w:r>
      <w:r w:rsidRPr="003C24D0">
        <w:rPr>
          <w:rFonts w:ascii="Times New Roman" w:hAnsi="Times New Roman" w:cs="Times New Roman"/>
        </w:rPr>
        <w:t xml:space="preserve">for private sector small entities </w:t>
      </w:r>
      <w:r w:rsidRPr="0047243E" w:rsidR="00B62E1D">
        <w:rPr>
          <w:rFonts w:ascii="Times New Roman" w:hAnsi="Times New Roman" w:cs="Times New Roman"/>
        </w:rPr>
        <w:t>are</w:t>
      </w:r>
      <w:r w:rsidRPr="003C24D0">
        <w:rPr>
          <w:rFonts w:ascii="Times New Roman" w:hAnsi="Times New Roman" w:cs="Times New Roman"/>
        </w:rPr>
        <w:t xml:space="preserve"> presented in Exhibit</w:t>
      </w:r>
      <w:r w:rsidR="00233698">
        <w:rPr>
          <w:rFonts w:ascii="Times New Roman" w:hAnsi="Times New Roman" w:cs="Times New Roman"/>
        </w:rPr>
        <w:t>s</w:t>
      </w:r>
      <w:r w:rsidRPr="003C24D0" w:rsidR="00A02B02">
        <w:rPr>
          <w:rFonts w:ascii="Times New Roman" w:hAnsi="Times New Roman" w:cs="Times New Roman"/>
        </w:rPr>
        <w:t xml:space="preserve"> C-</w:t>
      </w:r>
      <w:r w:rsidR="008A41F6">
        <w:rPr>
          <w:rFonts w:ascii="Times New Roman" w:hAnsi="Times New Roman" w:cs="Times New Roman"/>
        </w:rPr>
        <w:t>6</w:t>
      </w:r>
      <w:r w:rsidRPr="003C24D0" w:rsidR="00A02B02">
        <w:rPr>
          <w:rFonts w:ascii="Times New Roman" w:hAnsi="Times New Roman" w:cs="Times New Roman"/>
        </w:rPr>
        <w:t xml:space="preserve"> and</w:t>
      </w:r>
      <w:r w:rsidR="00B36FF3">
        <w:rPr>
          <w:rFonts w:ascii="Times New Roman" w:hAnsi="Times New Roman" w:cs="Times New Roman"/>
        </w:rPr>
        <w:t xml:space="preserve"> </w:t>
      </w:r>
      <w:r w:rsidRPr="003C24D0" w:rsidR="00A02B02">
        <w:rPr>
          <w:rFonts w:ascii="Times New Roman" w:hAnsi="Times New Roman" w:cs="Times New Roman"/>
        </w:rPr>
        <w:t>C-</w:t>
      </w:r>
      <w:r w:rsidR="008A41F6">
        <w:rPr>
          <w:rFonts w:ascii="Times New Roman" w:hAnsi="Times New Roman" w:cs="Times New Roman"/>
        </w:rPr>
        <w:t>7</w:t>
      </w:r>
      <w:r w:rsidRPr="003C24D0">
        <w:rPr>
          <w:rFonts w:ascii="Times New Roman" w:hAnsi="Times New Roman" w:cs="Times New Roman"/>
        </w:rPr>
        <w:t xml:space="preserve">, below. The </w:t>
      </w:r>
      <w:r w:rsidRPr="003C24D0" w:rsidR="001E17EC">
        <w:rPr>
          <w:rFonts w:ascii="Times New Roman" w:hAnsi="Times New Roman" w:cs="Times New Roman"/>
        </w:rPr>
        <w:t>analys</w:t>
      </w:r>
      <w:r w:rsidR="00A41E9B">
        <w:rPr>
          <w:rFonts w:ascii="Times New Roman" w:hAnsi="Times New Roman" w:cs="Times New Roman"/>
        </w:rPr>
        <w:t>e</w:t>
      </w:r>
      <w:r w:rsidRPr="003C24D0" w:rsidR="001E17EC">
        <w:rPr>
          <w:rFonts w:ascii="Times New Roman" w:hAnsi="Times New Roman" w:cs="Times New Roman"/>
        </w:rPr>
        <w:t xml:space="preserve">s using </w:t>
      </w:r>
      <w:r w:rsidRPr="003C24D0" w:rsidR="007F408B">
        <w:rPr>
          <w:rFonts w:ascii="Times New Roman" w:hAnsi="Times New Roman" w:cs="Times New Roman"/>
        </w:rPr>
        <w:t>Data Ax</w:t>
      </w:r>
      <w:r w:rsidR="004F5494">
        <w:rPr>
          <w:rFonts w:ascii="Times New Roman" w:hAnsi="Times New Roman" w:cs="Times New Roman"/>
        </w:rPr>
        <w:t>le</w:t>
      </w:r>
      <w:r w:rsidRPr="003C24D0" w:rsidR="007F408B">
        <w:rPr>
          <w:rFonts w:ascii="Times New Roman" w:hAnsi="Times New Roman" w:cs="Times New Roman"/>
        </w:rPr>
        <w:t xml:space="preserve"> and D&amp;B Hoovers</w:t>
      </w:r>
      <w:r w:rsidRPr="003C24D0">
        <w:rPr>
          <w:rFonts w:ascii="Times New Roman" w:hAnsi="Times New Roman" w:cs="Times New Roman"/>
        </w:rPr>
        <w:t xml:space="preserve"> </w:t>
      </w:r>
      <w:r w:rsidR="00A41E9B">
        <w:rPr>
          <w:rFonts w:ascii="Times New Roman" w:hAnsi="Times New Roman" w:cs="Times New Roman"/>
        </w:rPr>
        <w:t>show</w:t>
      </w:r>
      <w:r w:rsidRPr="003C24D0" w:rsidR="00313F8A">
        <w:rPr>
          <w:rFonts w:ascii="Times New Roman" w:hAnsi="Times New Roman" w:cs="Times New Roman"/>
        </w:rPr>
        <w:t xml:space="preserve"> similar </w:t>
      </w:r>
      <w:r w:rsidR="00A41E9B">
        <w:rPr>
          <w:rFonts w:ascii="Times New Roman" w:hAnsi="Times New Roman" w:cs="Times New Roman"/>
        </w:rPr>
        <w:t xml:space="preserve">cost-to-revenue </w:t>
      </w:r>
      <w:r w:rsidRPr="003C24D0" w:rsidR="00313F8A">
        <w:rPr>
          <w:rFonts w:ascii="Times New Roman" w:hAnsi="Times New Roman" w:cs="Times New Roman"/>
        </w:rPr>
        <w:t>impact</w:t>
      </w:r>
      <w:r w:rsidR="00A41E9B">
        <w:rPr>
          <w:rFonts w:ascii="Times New Roman" w:hAnsi="Times New Roman" w:cs="Times New Roman"/>
        </w:rPr>
        <w:t>s</w:t>
      </w:r>
      <w:r w:rsidRPr="003C24D0" w:rsidR="00313F8A">
        <w:rPr>
          <w:rFonts w:ascii="Times New Roman" w:hAnsi="Times New Roman" w:cs="Times New Roman"/>
        </w:rPr>
        <w:t>, w</w:t>
      </w:r>
      <w:r w:rsidRPr="003C24D0" w:rsidR="00CB22E1">
        <w:rPr>
          <w:rFonts w:ascii="Times New Roman" w:hAnsi="Times New Roman" w:cs="Times New Roman"/>
        </w:rPr>
        <w:t>ith</w:t>
      </w:r>
      <w:r w:rsidRPr="003C24D0">
        <w:rPr>
          <w:rFonts w:ascii="Times New Roman" w:hAnsi="Times New Roman" w:cs="Times New Roman"/>
        </w:rPr>
        <w:t xml:space="preserve"> </w:t>
      </w:r>
      <w:r w:rsidR="007C4672">
        <w:rPr>
          <w:rFonts w:ascii="Times New Roman" w:hAnsi="Times New Roman" w:cs="Times New Roman"/>
        </w:rPr>
        <w:t xml:space="preserve">estimates that </w:t>
      </w:r>
      <w:r w:rsidRPr="003C24D0">
        <w:rPr>
          <w:rFonts w:ascii="Times New Roman" w:hAnsi="Times New Roman" w:cs="Times New Roman"/>
        </w:rPr>
        <w:t xml:space="preserve">96.9 </w:t>
      </w:r>
      <w:r w:rsidRPr="003C24D0" w:rsidR="00A82353">
        <w:rPr>
          <w:rFonts w:ascii="Times New Roman" w:hAnsi="Times New Roman" w:cs="Times New Roman"/>
        </w:rPr>
        <w:t>and 9</w:t>
      </w:r>
      <w:r w:rsidR="0028682B">
        <w:rPr>
          <w:rFonts w:ascii="Times New Roman" w:hAnsi="Times New Roman" w:cs="Times New Roman"/>
        </w:rPr>
        <w:t>9.0</w:t>
      </w:r>
      <w:r w:rsidRPr="003C24D0" w:rsidR="002C476A">
        <w:rPr>
          <w:rFonts w:ascii="Times New Roman" w:hAnsi="Times New Roman" w:cs="Times New Roman"/>
        </w:rPr>
        <w:t xml:space="preserve"> </w:t>
      </w:r>
      <w:r w:rsidRPr="003C24D0">
        <w:rPr>
          <w:rFonts w:ascii="Times New Roman" w:hAnsi="Times New Roman" w:cs="Times New Roman"/>
        </w:rPr>
        <w:t xml:space="preserve">percent of small entities </w:t>
      </w:r>
      <w:r w:rsidR="009837FF">
        <w:rPr>
          <w:rFonts w:ascii="Times New Roman" w:hAnsi="Times New Roman" w:cs="Times New Roman"/>
        </w:rPr>
        <w:t>will</w:t>
      </w:r>
      <w:r w:rsidRPr="003C24D0">
        <w:rPr>
          <w:rFonts w:ascii="Times New Roman" w:hAnsi="Times New Roman" w:cs="Times New Roman"/>
        </w:rPr>
        <w:t xml:space="preserve"> incur cost impacts </w:t>
      </w:r>
      <w:r w:rsidR="00A41E9B">
        <w:rPr>
          <w:rFonts w:ascii="Times New Roman" w:hAnsi="Times New Roman" w:cs="Times New Roman"/>
        </w:rPr>
        <w:t xml:space="preserve">of </w:t>
      </w:r>
      <w:r w:rsidRPr="003C24D0">
        <w:rPr>
          <w:rFonts w:ascii="Times New Roman" w:hAnsi="Times New Roman" w:cs="Times New Roman"/>
        </w:rPr>
        <w:t xml:space="preserve">less than 1 percent of their revenue and </w:t>
      </w:r>
      <w:r w:rsidR="0028682B">
        <w:rPr>
          <w:rFonts w:ascii="Times New Roman" w:hAnsi="Times New Roman" w:cs="Times New Roman"/>
        </w:rPr>
        <w:t>the same</w:t>
      </w:r>
      <w:r w:rsidRPr="003C24D0">
        <w:rPr>
          <w:rFonts w:ascii="Times New Roman" w:hAnsi="Times New Roman" w:cs="Times New Roman"/>
        </w:rPr>
        <w:t xml:space="preserve"> estimate</w:t>
      </w:r>
      <w:r w:rsidR="00EB54A8">
        <w:rPr>
          <w:rFonts w:ascii="Times New Roman" w:hAnsi="Times New Roman" w:cs="Times New Roman"/>
        </w:rPr>
        <w:t xml:space="preserve"> of</w:t>
      </w:r>
      <w:r w:rsidRPr="003C24D0">
        <w:rPr>
          <w:rFonts w:ascii="Times New Roman" w:hAnsi="Times New Roman" w:cs="Times New Roman"/>
        </w:rPr>
        <w:t xml:space="preserve"> 0.2 percent of small entities </w:t>
      </w:r>
      <w:r w:rsidR="00A90B68">
        <w:rPr>
          <w:rFonts w:ascii="Times New Roman" w:hAnsi="Times New Roman" w:cs="Times New Roman"/>
        </w:rPr>
        <w:t>with impacts</w:t>
      </w:r>
      <w:r w:rsidRPr="003C24D0">
        <w:rPr>
          <w:rFonts w:ascii="Times New Roman" w:hAnsi="Times New Roman" w:cs="Times New Roman"/>
        </w:rPr>
        <w:t xml:space="preserve"> greater than 3 percent</w:t>
      </w:r>
      <w:r w:rsidRPr="003C24D0" w:rsidR="00BC2A9E">
        <w:rPr>
          <w:rFonts w:ascii="Times New Roman" w:hAnsi="Times New Roman" w:cs="Times New Roman"/>
        </w:rPr>
        <w:t>, respectively</w:t>
      </w:r>
      <w:r w:rsidRPr="003C24D0">
        <w:rPr>
          <w:rFonts w:ascii="Times New Roman" w:hAnsi="Times New Roman" w:cs="Times New Roman"/>
        </w:rPr>
        <w:t xml:space="preserve">. </w:t>
      </w:r>
      <w:r w:rsidR="007F6144">
        <w:rPr>
          <w:rFonts w:ascii="Times New Roman" w:hAnsi="Times New Roman" w:cs="Times New Roman"/>
        </w:rPr>
        <w:t>O</w:t>
      </w:r>
      <w:r w:rsidRPr="003C24D0">
        <w:rPr>
          <w:rFonts w:ascii="Times New Roman" w:hAnsi="Times New Roman" w:cs="Times New Roman"/>
        </w:rPr>
        <w:t>nly 3.1</w:t>
      </w:r>
      <w:r w:rsidR="0046765D">
        <w:rPr>
          <w:rFonts w:ascii="Times New Roman" w:hAnsi="Times New Roman" w:cs="Times New Roman"/>
        </w:rPr>
        <w:t xml:space="preserve"> percent </w:t>
      </w:r>
      <w:r w:rsidRPr="003C24D0" w:rsidR="00247467">
        <w:rPr>
          <w:rFonts w:ascii="Times New Roman" w:hAnsi="Times New Roman" w:cs="Times New Roman"/>
        </w:rPr>
        <w:t xml:space="preserve">of small private sector entities </w:t>
      </w:r>
      <w:r w:rsidR="0046765D">
        <w:rPr>
          <w:rFonts w:ascii="Times New Roman" w:hAnsi="Times New Roman" w:cs="Times New Roman"/>
        </w:rPr>
        <w:t>using Data Axle,</w:t>
      </w:r>
      <w:r w:rsidRPr="003C24D0">
        <w:rPr>
          <w:rFonts w:ascii="Times New Roman" w:hAnsi="Times New Roman" w:cs="Times New Roman"/>
        </w:rPr>
        <w:t xml:space="preserve"> </w:t>
      </w:r>
      <w:r w:rsidRPr="003C24D0" w:rsidR="00AE2F40">
        <w:rPr>
          <w:rFonts w:ascii="Times New Roman" w:hAnsi="Times New Roman" w:cs="Times New Roman"/>
        </w:rPr>
        <w:t>and 1.</w:t>
      </w:r>
      <w:r w:rsidR="00DA763F">
        <w:rPr>
          <w:rFonts w:ascii="Times New Roman" w:hAnsi="Times New Roman" w:cs="Times New Roman"/>
        </w:rPr>
        <w:t>0</w:t>
      </w:r>
      <w:r w:rsidRPr="003C24D0" w:rsidR="00AE2F40">
        <w:rPr>
          <w:rFonts w:ascii="Times New Roman" w:hAnsi="Times New Roman" w:cs="Times New Roman"/>
        </w:rPr>
        <w:t xml:space="preserve"> </w:t>
      </w:r>
      <w:r w:rsidRPr="003C24D0">
        <w:rPr>
          <w:rFonts w:ascii="Times New Roman" w:hAnsi="Times New Roman" w:cs="Times New Roman"/>
        </w:rPr>
        <w:t>percent</w:t>
      </w:r>
      <w:r>
        <w:rPr>
          <w:rFonts w:ascii="Times New Roman" w:hAnsi="Times New Roman" w:cs="Times New Roman"/>
        </w:rPr>
        <w:t xml:space="preserve"> </w:t>
      </w:r>
      <w:r w:rsidR="0046765D">
        <w:rPr>
          <w:rFonts w:ascii="Times New Roman" w:hAnsi="Times New Roman" w:cs="Times New Roman"/>
        </w:rPr>
        <w:t>using D&amp;B Hoovers</w:t>
      </w:r>
      <w:r w:rsidRPr="003C24D0">
        <w:rPr>
          <w:rFonts w:ascii="Times New Roman" w:hAnsi="Times New Roman" w:cs="Times New Roman"/>
        </w:rPr>
        <w:t xml:space="preserve"> are </w:t>
      </w:r>
      <w:r w:rsidR="00A41E9B">
        <w:rPr>
          <w:rFonts w:ascii="Times New Roman" w:hAnsi="Times New Roman" w:cs="Times New Roman"/>
        </w:rPr>
        <w:t>estimated</w:t>
      </w:r>
      <w:r w:rsidRPr="003C24D0">
        <w:rPr>
          <w:rFonts w:ascii="Times New Roman" w:hAnsi="Times New Roman" w:cs="Times New Roman"/>
        </w:rPr>
        <w:t xml:space="preserve"> to </w:t>
      </w:r>
      <w:r w:rsidR="00F42A5E">
        <w:rPr>
          <w:rFonts w:ascii="Times New Roman" w:hAnsi="Times New Roman" w:cs="Times New Roman"/>
        </w:rPr>
        <w:t>face impacts</w:t>
      </w:r>
      <w:r w:rsidRPr="003C24D0">
        <w:rPr>
          <w:rFonts w:ascii="Times New Roman" w:hAnsi="Times New Roman" w:cs="Times New Roman"/>
        </w:rPr>
        <w:t xml:space="preserve"> greater than 1 percent. </w:t>
      </w:r>
      <w:r w:rsidRPr="00ED4787">
        <w:rPr>
          <w:rFonts w:ascii="Times New Roman" w:hAnsi="Times New Roman" w:cs="Times New Roman"/>
        </w:rPr>
        <w:t xml:space="preserve">In both analyses, of the entities with impacts greater than 3 percent, one small entity associated with a facility with a HF Alkylation faces STAA costs, which creates a large increase in the average small entity cost. Removing the entity facing </w:t>
      </w:r>
      <w:r>
        <w:rPr>
          <w:rFonts w:ascii="Times New Roman" w:hAnsi="Times New Roman" w:cs="Times New Roman"/>
        </w:rPr>
        <w:t xml:space="preserve">this </w:t>
      </w:r>
      <w:r w:rsidRPr="00ED4787">
        <w:rPr>
          <w:rFonts w:ascii="Times New Roman" w:hAnsi="Times New Roman" w:cs="Times New Roman"/>
        </w:rPr>
        <w:t xml:space="preserve">STAA </w:t>
      </w:r>
      <w:r>
        <w:rPr>
          <w:rFonts w:ascii="Times New Roman" w:hAnsi="Times New Roman" w:cs="Times New Roman"/>
        </w:rPr>
        <w:t>cost</w:t>
      </w:r>
      <w:r w:rsidRPr="00ED4787">
        <w:rPr>
          <w:rFonts w:ascii="Times New Roman" w:hAnsi="Times New Roman" w:cs="Times New Roman"/>
        </w:rPr>
        <w:t xml:space="preserve"> results in a much smaller average small entity cost to the entities with impacts greater than 3 percent, </w:t>
      </w:r>
      <w:r>
        <w:rPr>
          <w:rFonts w:ascii="Times New Roman" w:hAnsi="Times New Roman" w:cs="Times New Roman"/>
        </w:rPr>
        <w:t xml:space="preserve">with average cost </w:t>
      </w:r>
      <w:r w:rsidRPr="00ED4787">
        <w:rPr>
          <w:rFonts w:ascii="Times New Roman" w:hAnsi="Times New Roman" w:cs="Times New Roman"/>
        </w:rPr>
        <w:t>decreasing from $63</w:t>
      </w:r>
      <w:r w:rsidR="00DA763F">
        <w:rPr>
          <w:rFonts w:ascii="Times New Roman" w:hAnsi="Times New Roman" w:cs="Times New Roman"/>
        </w:rPr>
        <w:t>6</w:t>
      </w:r>
      <w:r w:rsidRPr="00ED4787">
        <w:rPr>
          <w:rFonts w:ascii="Times New Roman" w:hAnsi="Times New Roman" w:cs="Times New Roman"/>
        </w:rPr>
        <w:t>,278 to $49,519 using Data Axle and from $1.0 million to $41,</w:t>
      </w:r>
      <w:r w:rsidR="00DA763F">
        <w:rPr>
          <w:rFonts w:ascii="Times New Roman" w:hAnsi="Times New Roman" w:cs="Times New Roman"/>
        </w:rPr>
        <w:t>4</w:t>
      </w:r>
      <w:r w:rsidRPr="00ED4787">
        <w:rPr>
          <w:rFonts w:ascii="Times New Roman" w:hAnsi="Times New Roman" w:cs="Times New Roman"/>
        </w:rPr>
        <w:t>13 using D&amp;B Hoovers.</w:t>
      </w:r>
    </w:p>
    <w:p w:rsidR="00BD214E" w:rsidRPr="003C24D0" w:rsidP="00232C46" w14:paraId="5A40D94E" w14:textId="77777777">
      <w:pPr>
        <w:spacing w:after="0"/>
        <w:ind w:right="617" w:firstLine="720"/>
        <w:rPr>
          <w:rFonts w:ascii="Times New Roman" w:hAnsi="Times New Roman"/>
        </w:rPr>
      </w:pPr>
    </w:p>
    <w:p w:rsidR="00BD214E" w:rsidP="00BD214E" w14:paraId="04DD7D26" w14:textId="77777777">
      <w:pPr>
        <w:spacing w:after="0"/>
        <w:ind w:right="617"/>
        <w:rPr>
          <w:rFonts w:ascii="Times New Roman" w:hAnsi="Times New Roman"/>
          <w:sz w:val="20"/>
          <w:szCs w:val="20"/>
        </w:rPr>
      </w:pPr>
    </w:p>
    <w:p w:rsidR="00BD214E" w:rsidRPr="00E92045" w:rsidP="00BD214E" w14:paraId="4016DF4A" w14:textId="77777777">
      <w:pPr>
        <w:spacing w:after="0"/>
        <w:jc w:val="center"/>
        <w:rPr>
          <w:rFonts w:ascii="Times New Roman" w:hAnsi="Times New Roman" w:cs="Times New Roman"/>
          <w:b/>
        </w:rPr>
      </w:pPr>
      <w:r w:rsidRPr="003D3560">
        <w:rPr>
          <w:rFonts w:ascii="Times New Roman" w:hAnsi="Times New Roman"/>
          <w:b/>
          <w:bCs/>
        </w:rPr>
        <w:t>Exhibit C</w:t>
      </w:r>
      <w:r w:rsidR="00133F68">
        <w:rPr>
          <w:rFonts w:ascii="Times New Roman" w:hAnsi="Times New Roman"/>
          <w:b/>
          <w:bCs/>
        </w:rPr>
        <w:t>-</w:t>
      </w:r>
      <w:r w:rsidR="00066107">
        <w:rPr>
          <w:rFonts w:ascii="Times New Roman" w:hAnsi="Times New Roman"/>
          <w:b/>
          <w:bCs/>
        </w:rPr>
        <w:t>6</w:t>
      </w:r>
      <w:r>
        <w:rPr>
          <w:rFonts w:ascii="Times New Roman" w:hAnsi="Times New Roman"/>
          <w:b/>
          <w:bCs/>
        </w:rPr>
        <w:t>:</w:t>
      </w:r>
      <w:r w:rsidRPr="00732D6C">
        <w:rPr>
          <w:rFonts w:ascii="Times New Roman" w:hAnsi="Times New Roman" w:cs="Times New Roman"/>
          <w:b/>
          <w:bCs/>
        </w:rPr>
        <w:t xml:space="preserve"> </w:t>
      </w:r>
      <w:r w:rsidRPr="00732D6C">
        <w:rPr>
          <w:rFonts w:ascii="Times New Roman" w:hAnsi="Times New Roman" w:cs="Times New Roman"/>
          <w:b/>
        </w:rPr>
        <w:t>Cost</w:t>
      </w:r>
      <w:r w:rsidRPr="00E92045">
        <w:rPr>
          <w:rFonts w:ascii="Times New Roman" w:hAnsi="Times New Roman" w:cs="Times New Roman"/>
          <w:b/>
        </w:rPr>
        <w:t xml:space="preserve"> Impacts as a Proportion of Total Revenue for </w:t>
      </w:r>
    </w:p>
    <w:p w:rsidR="00BD214E" w:rsidP="00BD214E" w14:paraId="4880F479" w14:textId="77777777">
      <w:pPr>
        <w:spacing w:after="0"/>
        <w:jc w:val="center"/>
        <w:rPr>
          <w:rFonts w:ascii="Times New Roman" w:hAnsi="Times New Roman" w:cs="Times New Roman"/>
          <w:b/>
          <w:bCs/>
        </w:rPr>
      </w:pPr>
      <w:r w:rsidRPr="00E92045">
        <w:rPr>
          <w:rFonts w:ascii="Times New Roman" w:hAnsi="Times New Roman" w:cs="Times New Roman"/>
          <w:b/>
          <w:bCs/>
        </w:rPr>
        <w:t>Small Private Sector Entities</w:t>
      </w:r>
      <w:r>
        <w:rPr>
          <w:rFonts w:ascii="Times New Roman" w:hAnsi="Times New Roman" w:cs="Times New Roman"/>
          <w:b/>
          <w:bCs/>
        </w:rPr>
        <w:t>, Data Axl</w:t>
      </w:r>
      <w:r w:rsidR="005D3667">
        <w:rPr>
          <w:rFonts w:ascii="Times New Roman" w:hAnsi="Times New Roman" w:cs="Times New Roman"/>
          <w:b/>
          <w:bCs/>
        </w:rPr>
        <w:t>e</w:t>
      </w:r>
      <w:r>
        <w:rPr>
          <w:rFonts w:ascii="Times New Roman" w:hAnsi="Times New Roman" w:cs="Times New Roman"/>
          <w:b/>
          <w:bCs/>
        </w:rPr>
        <w:t>.</w:t>
      </w:r>
    </w:p>
    <w:p w:rsidR="00BD214E" w:rsidP="00BD214E" w14:paraId="162F9097" w14:textId="77777777">
      <w:pPr>
        <w:spacing w:after="0"/>
        <w:jc w:val="center"/>
        <w:rPr>
          <w:rFonts w:ascii="Times New Roman" w:hAnsi="Times New Roman" w:cs="Times New Roman"/>
          <w:b/>
          <w:bCs/>
        </w:rPr>
      </w:pPr>
    </w:p>
    <w:tbl>
      <w:tblPr>
        <w:tblW w:w="4163" w:type="pct"/>
        <w:jc w:val="center"/>
        <w:tblLayout w:type="fixed"/>
        <w:tblCellMar>
          <w:left w:w="0" w:type="dxa"/>
          <w:right w:w="0" w:type="dxa"/>
        </w:tblCellMar>
        <w:tblLook w:val="04A0"/>
      </w:tblPr>
      <w:tblGrid>
        <w:gridCol w:w="1521"/>
        <w:gridCol w:w="1709"/>
        <w:gridCol w:w="1418"/>
        <w:gridCol w:w="1565"/>
        <w:gridCol w:w="1563"/>
      </w:tblGrid>
      <w:tr w14:paraId="03D703D1" w14:textId="77777777" w:rsidTr="00D8562D">
        <w:tblPrEx>
          <w:tblW w:w="4163" w:type="pct"/>
          <w:jc w:val="center"/>
          <w:tblLayout w:type="fixed"/>
          <w:tblCellMar>
            <w:left w:w="0" w:type="dxa"/>
            <w:right w:w="0" w:type="dxa"/>
          </w:tblCellMar>
          <w:tblLook w:val="04A0"/>
        </w:tblPrEx>
        <w:trPr>
          <w:trHeight w:val="560"/>
          <w:jc w:val="center"/>
        </w:trPr>
        <w:tc>
          <w:tcPr>
            <w:tcW w:w="978"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BD214E" w:rsidRPr="009A0557" w14:paraId="39CAA109" w14:textId="77777777">
            <w:pPr>
              <w:spacing w:after="0" w:line="240" w:lineRule="auto"/>
              <w:jc w:val="center"/>
              <w:rPr>
                <w:rFonts w:ascii="Times New Roman" w:hAnsi="Times New Roman" w:cs="Times New Roman"/>
                <w:b/>
                <w:bCs/>
              </w:rPr>
            </w:pPr>
            <w:r w:rsidRPr="009A0557">
              <w:rPr>
                <w:rFonts w:ascii="Times New Roman" w:hAnsi="Times New Roman" w:cs="Times New Roman"/>
                <w:b/>
                <w:bCs/>
                <w:color w:val="000000"/>
              </w:rPr>
              <w:t>Proportion of Revenue Impacted</w:t>
            </w:r>
          </w:p>
        </w:tc>
        <w:tc>
          <w:tcPr>
            <w:tcW w:w="1099"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BD214E" w:rsidRPr="009A0557" w14:paraId="2D90A83E" w14:textId="77777777">
            <w:pPr>
              <w:spacing w:after="0" w:line="240" w:lineRule="auto"/>
              <w:jc w:val="center"/>
              <w:rPr>
                <w:rFonts w:ascii="Times New Roman" w:hAnsi="Times New Roman" w:cs="Times New Roman"/>
                <w:b/>
                <w:bCs/>
                <w:color w:val="000000"/>
              </w:rPr>
            </w:pPr>
            <w:r w:rsidRPr="009A0557">
              <w:rPr>
                <w:rFonts w:ascii="Times New Roman" w:hAnsi="Times New Roman" w:cs="Times New Roman"/>
                <w:b/>
                <w:bCs/>
                <w:color w:val="000000"/>
              </w:rPr>
              <w:t>Number of Small Entities</w:t>
            </w:r>
          </w:p>
        </w:tc>
        <w:tc>
          <w:tcPr>
            <w:tcW w:w="912"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BD214E" w:rsidRPr="009A0557" w14:paraId="2193216D" w14:textId="77777777">
            <w:pPr>
              <w:spacing w:after="0" w:line="240" w:lineRule="auto"/>
              <w:jc w:val="center"/>
              <w:rPr>
                <w:rFonts w:ascii="Times New Roman" w:hAnsi="Times New Roman" w:cs="Times New Roman"/>
                <w:b/>
                <w:bCs/>
                <w:color w:val="000000"/>
              </w:rPr>
            </w:pPr>
            <w:r w:rsidRPr="009A0557">
              <w:rPr>
                <w:rFonts w:ascii="Times New Roman" w:hAnsi="Times New Roman" w:cs="Times New Roman"/>
                <w:b/>
                <w:bCs/>
                <w:color w:val="000000"/>
              </w:rPr>
              <w:t>% of Small Entities</w:t>
            </w:r>
          </w:p>
        </w:tc>
        <w:tc>
          <w:tcPr>
            <w:tcW w:w="1006"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BD214E" w:rsidRPr="009A0557" w14:paraId="24761057" w14:textId="77777777">
            <w:pPr>
              <w:spacing w:after="0" w:line="240" w:lineRule="auto"/>
              <w:jc w:val="center"/>
              <w:rPr>
                <w:rFonts w:ascii="Times New Roman" w:hAnsi="Times New Roman" w:cs="Times New Roman"/>
                <w:b/>
                <w:bCs/>
                <w:color w:val="000000"/>
              </w:rPr>
            </w:pPr>
            <w:r w:rsidRPr="009A0557">
              <w:rPr>
                <w:rFonts w:ascii="Times New Roman" w:hAnsi="Times New Roman" w:cs="Times New Roman"/>
                <w:b/>
                <w:bCs/>
                <w:color w:val="000000"/>
              </w:rPr>
              <w:t>Average Small Entity Cost ($)</w:t>
            </w:r>
          </w:p>
        </w:tc>
        <w:tc>
          <w:tcPr>
            <w:tcW w:w="1006"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BD214E" w:rsidRPr="009A0557" w14:paraId="605DA6DB" w14:textId="77777777">
            <w:pPr>
              <w:spacing w:after="0" w:line="240" w:lineRule="auto"/>
              <w:jc w:val="center"/>
              <w:rPr>
                <w:rFonts w:ascii="Times New Roman" w:hAnsi="Times New Roman" w:cs="Times New Roman"/>
                <w:b/>
                <w:bCs/>
                <w:color w:val="000000"/>
              </w:rPr>
            </w:pPr>
            <w:r w:rsidRPr="009A0557">
              <w:rPr>
                <w:rFonts w:ascii="Times New Roman" w:hAnsi="Times New Roman" w:cs="Times New Roman"/>
                <w:b/>
                <w:bCs/>
                <w:color w:val="000000"/>
              </w:rPr>
              <w:t>Average Small Entity Revenue</w:t>
            </w:r>
          </w:p>
        </w:tc>
      </w:tr>
      <w:tr w14:paraId="667144C2" w14:textId="77777777">
        <w:tblPrEx>
          <w:tblW w:w="4163" w:type="pct"/>
          <w:jc w:val="center"/>
          <w:tblLayout w:type="fixed"/>
          <w:tblCellMar>
            <w:left w:w="0" w:type="dxa"/>
            <w:right w:w="0" w:type="dxa"/>
          </w:tblCellMar>
          <w:tblLook w:val="04A0"/>
        </w:tblPrEx>
        <w:trPr>
          <w:trHeight w:val="310"/>
          <w:jc w:val="center"/>
        </w:trPr>
        <w:tc>
          <w:tcPr>
            <w:tcW w:w="97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214E" w:rsidRPr="009A0557" w14:paraId="6ABA1DBF"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color w:val="000000"/>
                <w:sz w:val="20"/>
                <w:szCs w:val="20"/>
              </w:rPr>
              <w:t>&lt; 1%</w:t>
            </w:r>
          </w:p>
        </w:tc>
        <w:tc>
          <w:tcPr>
            <w:tcW w:w="1099"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01142AC4"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2,822</w:t>
            </w:r>
          </w:p>
        </w:tc>
        <w:tc>
          <w:tcPr>
            <w:tcW w:w="912"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7DB956C6"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96.9%</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4A42E543"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$10,618</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03621FF9"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$51,340,929</w:t>
            </w:r>
          </w:p>
        </w:tc>
      </w:tr>
      <w:tr w14:paraId="019CCB00" w14:textId="77777777">
        <w:tblPrEx>
          <w:tblW w:w="4163" w:type="pct"/>
          <w:jc w:val="center"/>
          <w:tblLayout w:type="fixed"/>
          <w:tblCellMar>
            <w:left w:w="0" w:type="dxa"/>
            <w:right w:w="0" w:type="dxa"/>
          </w:tblCellMar>
          <w:tblLook w:val="04A0"/>
        </w:tblPrEx>
        <w:trPr>
          <w:trHeight w:val="320"/>
          <w:jc w:val="center"/>
        </w:trPr>
        <w:tc>
          <w:tcPr>
            <w:tcW w:w="97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214E" w:rsidRPr="009A0557" w14:paraId="2267B440"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color w:val="000000"/>
                <w:sz w:val="20"/>
                <w:szCs w:val="20"/>
              </w:rPr>
              <w:t>1% - 3%</w:t>
            </w:r>
          </w:p>
        </w:tc>
        <w:tc>
          <w:tcPr>
            <w:tcW w:w="1099"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7F7AB2B2"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84</w:t>
            </w:r>
          </w:p>
        </w:tc>
        <w:tc>
          <w:tcPr>
            <w:tcW w:w="912"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21264064"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2.9%</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5380FB31"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$108,921</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16316FDA"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$6,638,322</w:t>
            </w:r>
          </w:p>
        </w:tc>
      </w:tr>
      <w:tr w14:paraId="037265AF" w14:textId="77777777">
        <w:tblPrEx>
          <w:tblW w:w="4163" w:type="pct"/>
          <w:jc w:val="center"/>
          <w:tblLayout w:type="fixed"/>
          <w:tblCellMar>
            <w:left w:w="0" w:type="dxa"/>
            <w:right w:w="0" w:type="dxa"/>
          </w:tblCellMar>
          <w:tblLook w:val="04A0"/>
        </w:tblPrEx>
        <w:trPr>
          <w:trHeight w:val="320"/>
          <w:jc w:val="center"/>
        </w:trPr>
        <w:tc>
          <w:tcPr>
            <w:tcW w:w="97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214E" w:rsidRPr="009A0557" w14:paraId="77247971"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color w:val="000000"/>
                <w:sz w:val="20"/>
                <w:szCs w:val="20"/>
              </w:rPr>
              <w:t>Total &gt;3%</w:t>
            </w:r>
          </w:p>
        </w:tc>
        <w:tc>
          <w:tcPr>
            <w:tcW w:w="1099"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4D53D7F7"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5</w:t>
            </w:r>
          </w:p>
        </w:tc>
        <w:tc>
          <w:tcPr>
            <w:tcW w:w="912"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2491041C"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0.2%</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6A5776CB"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$636,278</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387534AB"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$4,955,000</w:t>
            </w:r>
          </w:p>
        </w:tc>
      </w:tr>
      <w:tr w14:paraId="4C7D652D" w14:textId="77777777">
        <w:tblPrEx>
          <w:tblW w:w="4163" w:type="pct"/>
          <w:jc w:val="center"/>
          <w:tblLayout w:type="fixed"/>
          <w:tblCellMar>
            <w:left w:w="0" w:type="dxa"/>
            <w:right w:w="0" w:type="dxa"/>
          </w:tblCellMar>
          <w:tblLook w:val="04A0"/>
        </w:tblPrEx>
        <w:trPr>
          <w:trHeight w:val="320"/>
          <w:jc w:val="center"/>
        </w:trPr>
        <w:tc>
          <w:tcPr>
            <w:tcW w:w="97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214E" w:rsidRPr="009A0557" w14:paraId="56B38AB8" w14:textId="77777777">
            <w:pPr>
              <w:spacing w:after="0" w:line="240" w:lineRule="auto"/>
              <w:jc w:val="right"/>
              <w:rPr>
                <w:rFonts w:ascii="Times New Roman" w:hAnsi="Times New Roman" w:cs="Times New Roman"/>
                <w:color w:val="000000"/>
                <w:sz w:val="20"/>
                <w:szCs w:val="20"/>
              </w:rPr>
            </w:pPr>
            <w:r w:rsidRPr="009A0557">
              <w:rPr>
                <w:rFonts w:ascii="Times New Roman" w:hAnsi="Times New Roman" w:cs="Times New Roman"/>
                <w:color w:val="000000"/>
                <w:sz w:val="20"/>
                <w:szCs w:val="20"/>
              </w:rPr>
              <w:t xml:space="preserve">Total &gt;3% without </w:t>
            </w:r>
            <w:r w:rsidR="00272B23">
              <w:rPr>
                <w:rFonts w:ascii="Times New Roman" w:hAnsi="Times New Roman" w:cs="Times New Roman"/>
                <w:color w:val="000000"/>
                <w:sz w:val="20"/>
                <w:szCs w:val="20"/>
              </w:rPr>
              <w:t>HF Alkylation</w:t>
            </w:r>
          </w:p>
        </w:tc>
        <w:tc>
          <w:tcPr>
            <w:tcW w:w="1099"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40DD8BC3"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4</w:t>
            </w:r>
          </w:p>
        </w:tc>
        <w:tc>
          <w:tcPr>
            <w:tcW w:w="912"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0E47864B"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0.1%</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68F7A58A"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$49,519</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7F96851B"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$1,218,750</w:t>
            </w:r>
          </w:p>
        </w:tc>
      </w:tr>
      <w:tr w14:paraId="06208785" w14:textId="77777777">
        <w:tblPrEx>
          <w:tblW w:w="4163" w:type="pct"/>
          <w:jc w:val="center"/>
          <w:tblLayout w:type="fixed"/>
          <w:tblCellMar>
            <w:left w:w="0" w:type="dxa"/>
            <w:right w:w="0" w:type="dxa"/>
          </w:tblCellMar>
          <w:tblLook w:val="04A0"/>
        </w:tblPrEx>
        <w:trPr>
          <w:trHeight w:val="320"/>
          <w:jc w:val="center"/>
        </w:trPr>
        <w:tc>
          <w:tcPr>
            <w:tcW w:w="97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214E" w:rsidRPr="009A0557" w14:paraId="019F5FAB" w14:textId="77777777">
            <w:pPr>
              <w:spacing w:after="0" w:line="240" w:lineRule="auto"/>
              <w:jc w:val="right"/>
              <w:rPr>
                <w:rFonts w:ascii="Times New Roman" w:hAnsi="Times New Roman" w:cs="Times New Roman"/>
                <w:color w:val="000000"/>
                <w:sz w:val="20"/>
                <w:szCs w:val="20"/>
              </w:rPr>
            </w:pPr>
            <w:r w:rsidRPr="009A0557">
              <w:rPr>
                <w:rFonts w:ascii="Times New Roman" w:hAnsi="Times New Roman" w:cs="Times New Roman"/>
                <w:color w:val="000000"/>
                <w:sz w:val="20"/>
                <w:szCs w:val="20"/>
              </w:rPr>
              <w:t>Small entity with HF Alkylation</w:t>
            </w:r>
          </w:p>
        </w:tc>
        <w:tc>
          <w:tcPr>
            <w:tcW w:w="1099"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5A25E14F"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1</w:t>
            </w:r>
          </w:p>
        </w:tc>
        <w:tc>
          <w:tcPr>
            <w:tcW w:w="912"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7A418AC2"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0.03%</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3F7531D5"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$2,983,317</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BD214E" w:rsidRPr="009A0557" w14:paraId="0E058DE0"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sz w:val="20"/>
                <w:szCs w:val="20"/>
              </w:rPr>
              <w:t>$19,900,000</w:t>
            </w:r>
          </w:p>
        </w:tc>
      </w:tr>
    </w:tbl>
    <w:p w:rsidR="00C100C5" w:rsidP="00843847" w14:paraId="28FBB530" w14:textId="77777777">
      <w:pPr>
        <w:spacing w:after="0"/>
        <w:ind w:right="617"/>
        <w:rPr>
          <w:rFonts w:ascii="Times New Roman" w:hAnsi="Times New Roman"/>
          <w:sz w:val="20"/>
          <w:szCs w:val="20"/>
        </w:rPr>
      </w:pPr>
    </w:p>
    <w:p w:rsidR="002F2699" w:rsidP="00DE35D2" w14:paraId="5B62AAEF" w14:textId="77777777">
      <w:pPr>
        <w:spacing w:after="0"/>
        <w:jc w:val="center"/>
        <w:rPr>
          <w:rFonts w:ascii="Times New Roman" w:hAnsi="Times New Roman"/>
          <w:b/>
          <w:bCs/>
        </w:rPr>
      </w:pPr>
    </w:p>
    <w:p w:rsidR="002F2699" w:rsidP="00DE35D2" w14:paraId="73446B03" w14:textId="77777777">
      <w:pPr>
        <w:spacing w:after="0"/>
        <w:jc w:val="center"/>
        <w:rPr>
          <w:rFonts w:ascii="Times New Roman" w:hAnsi="Times New Roman"/>
          <w:b/>
          <w:bCs/>
        </w:rPr>
      </w:pPr>
    </w:p>
    <w:p w:rsidR="002F2699" w:rsidP="00DE35D2" w14:paraId="22CA4A47" w14:textId="77777777">
      <w:pPr>
        <w:spacing w:after="0"/>
        <w:jc w:val="center"/>
        <w:rPr>
          <w:rFonts w:ascii="Times New Roman" w:hAnsi="Times New Roman"/>
          <w:b/>
          <w:bCs/>
        </w:rPr>
      </w:pPr>
    </w:p>
    <w:p w:rsidR="002F2699" w:rsidP="00DE35D2" w14:paraId="459046C1" w14:textId="77777777">
      <w:pPr>
        <w:spacing w:after="0"/>
        <w:jc w:val="center"/>
        <w:rPr>
          <w:rFonts w:ascii="Times New Roman" w:hAnsi="Times New Roman"/>
          <w:b/>
          <w:bCs/>
        </w:rPr>
      </w:pPr>
    </w:p>
    <w:p w:rsidR="002F2699" w:rsidP="00DE35D2" w14:paraId="4AF74676" w14:textId="77777777">
      <w:pPr>
        <w:spacing w:after="0"/>
        <w:jc w:val="center"/>
        <w:rPr>
          <w:rFonts w:ascii="Times New Roman" w:hAnsi="Times New Roman"/>
          <w:b/>
          <w:bCs/>
        </w:rPr>
      </w:pPr>
    </w:p>
    <w:p w:rsidR="00DE35D2" w:rsidRPr="00E92045" w:rsidP="00DE35D2" w14:paraId="0B56E95F" w14:textId="77777777">
      <w:pPr>
        <w:spacing w:after="0"/>
        <w:jc w:val="center"/>
        <w:rPr>
          <w:rFonts w:ascii="Times New Roman" w:hAnsi="Times New Roman" w:cs="Times New Roman"/>
          <w:b/>
        </w:rPr>
      </w:pPr>
      <w:r w:rsidRPr="003D3560">
        <w:rPr>
          <w:rFonts w:ascii="Times New Roman" w:hAnsi="Times New Roman"/>
          <w:b/>
          <w:bCs/>
        </w:rPr>
        <w:t>Exhibit C-</w:t>
      </w:r>
      <w:r w:rsidR="00066107">
        <w:rPr>
          <w:rFonts w:ascii="Times New Roman" w:hAnsi="Times New Roman"/>
          <w:b/>
          <w:bCs/>
        </w:rPr>
        <w:t>7</w:t>
      </w:r>
      <w:r>
        <w:rPr>
          <w:rFonts w:ascii="Times New Roman" w:hAnsi="Times New Roman"/>
          <w:b/>
          <w:bCs/>
        </w:rPr>
        <w:t>:</w:t>
      </w:r>
      <w:r w:rsidRPr="00732D6C">
        <w:rPr>
          <w:rFonts w:ascii="Times New Roman" w:hAnsi="Times New Roman" w:cs="Times New Roman"/>
          <w:b/>
          <w:bCs/>
        </w:rPr>
        <w:t xml:space="preserve"> </w:t>
      </w:r>
      <w:r w:rsidRPr="00732D6C">
        <w:rPr>
          <w:rFonts w:ascii="Times New Roman" w:hAnsi="Times New Roman" w:cs="Times New Roman"/>
          <w:b/>
        </w:rPr>
        <w:t>Cost</w:t>
      </w:r>
      <w:r w:rsidRPr="00E92045">
        <w:rPr>
          <w:rFonts w:ascii="Times New Roman" w:hAnsi="Times New Roman" w:cs="Times New Roman"/>
          <w:b/>
        </w:rPr>
        <w:t xml:space="preserve"> Impacts as a Proportion of Total Revenue for </w:t>
      </w:r>
    </w:p>
    <w:p w:rsidR="00DE35D2" w:rsidP="00DE35D2" w14:paraId="2043A673" w14:textId="77777777">
      <w:pPr>
        <w:spacing w:after="0"/>
        <w:jc w:val="center"/>
        <w:rPr>
          <w:rFonts w:ascii="Times New Roman" w:hAnsi="Times New Roman" w:cs="Times New Roman"/>
          <w:b/>
          <w:bCs/>
        </w:rPr>
      </w:pPr>
      <w:r w:rsidRPr="00E92045">
        <w:rPr>
          <w:rFonts w:ascii="Times New Roman" w:hAnsi="Times New Roman" w:cs="Times New Roman"/>
          <w:b/>
          <w:bCs/>
        </w:rPr>
        <w:t>Small Private Sector Entities</w:t>
      </w:r>
      <w:r>
        <w:rPr>
          <w:rFonts w:ascii="Times New Roman" w:hAnsi="Times New Roman" w:cs="Times New Roman"/>
          <w:b/>
          <w:bCs/>
        </w:rPr>
        <w:t>, D&amp;B Hoovers.</w:t>
      </w:r>
    </w:p>
    <w:p w:rsidR="00DE35D2" w:rsidP="00DE35D2" w14:paraId="5E554173" w14:textId="77777777">
      <w:pPr>
        <w:spacing w:after="0"/>
        <w:ind w:right="617"/>
        <w:rPr>
          <w:rFonts w:ascii="Times New Roman" w:hAnsi="Times New Roman"/>
          <w:sz w:val="20"/>
          <w:szCs w:val="20"/>
        </w:rPr>
      </w:pPr>
    </w:p>
    <w:tbl>
      <w:tblPr>
        <w:tblW w:w="4163" w:type="pct"/>
        <w:jc w:val="center"/>
        <w:tblLayout w:type="fixed"/>
        <w:tblCellMar>
          <w:left w:w="0" w:type="dxa"/>
          <w:right w:w="0" w:type="dxa"/>
        </w:tblCellMar>
        <w:tblLook w:val="04A0"/>
      </w:tblPr>
      <w:tblGrid>
        <w:gridCol w:w="1518"/>
        <w:gridCol w:w="1565"/>
        <w:gridCol w:w="1565"/>
        <w:gridCol w:w="1565"/>
        <w:gridCol w:w="1563"/>
      </w:tblGrid>
      <w:tr w14:paraId="2F39DC3F" w14:textId="77777777" w:rsidTr="00D8562D">
        <w:tblPrEx>
          <w:tblW w:w="4163" w:type="pct"/>
          <w:jc w:val="center"/>
          <w:tblLayout w:type="fixed"/>
          <w:tblCellMar>
            <w:left w:w="0" w:type="dxa"/>
            <w:right w:w="0" w:type="dxa"/>
          </w:tblCellMar>
          <w:tblLook w:val="04A0"/>
        </w:tblPrEx>
        <w:trPr>
          <w:trHeight w:val="560"/>
          <w:jc w:val="center"/>
        </w:trPr>
        <w:tc>
          <w:tcPr>
            <w:tcW w:w="97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DE35D2" w:rsidRPr="00882B99" w14:paraId="07BCB10C" w14:textId="77777777">
            <w:pPr>
              <w:spacing w:after="0" w:line="240" w:lineRule="auto"/>
              <w:jc w:val="center"/>
              <w:rPr>
                <w:rFonts w:ascii="Times New Roman" w:hAnsi="Times New Roman" w:cs="Times New Roman"/>
                <w:b/>
                <w:bCs/>
              </w:rPr>
            </w:pPr>
            <w:r w:rsidRPr="00882B99">
              <w:rPr>
                <w:rFonts w:ascii="Times New Roman" w:hAnsi="Times New Roman" w:cs="Times New Roman"/>
                <w:b/>
                <w:bCs/>
                <w:color w:val="000000"/>
              </w:rPr>
              <w:t>Proportion of Revenue Impacted</w:t>
            </w:r>
          </w:p>
        </w:tc>
        <w:tc>
          <w:tcPr>
            <w:tcW w:w="1006"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DE35D2" w:rsidRPr="00882B99" w14:paraId="6CE0CBC9" w14:textId="77777777">
            <w:pPr>
              <w:spacing w:after="0" w:line="240" w:lineRule="auto"/>
              <w:jc w:val="center"/>
              <w:rPr>
                <w:rFonts w:ascii="Times New Roman" w:hAnsi="Times New Roman" w:cs="Times New Roman"/>
                <w:b/>
                <w:bCs/>
                <w:color w:val="000000"/>
              </w:rPr>
            </w:pPr>
            <w:r w:rsidRPr="00882B99">
              <w:rPr>
                <w:rFonts w:ascii="Times New Roman" w:hAnsi="Times New Roman" w:cs="Times New Roman"/>
                <w:b/>
                <w:bCs/>
                <w:color w:val="000000"/>
              </w:rPr>
              <w:t>Number of Small Entities</w:t>
            </w:r>
          </w:p>
        </w:tc>
        <w:tc>
          <w:tcPr>
            <w:tcW w:w="1006"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DE35D2" w:rsidRPr="00882B99" w14:paraId="06F6C13A" w14:textId="77777777">
            <w:pPr>
              <w:spacing w:after="0" w:line="240" w:lineRule="auto"/>
              <w:jc w:val="center"/>
              <w:rPr>
                <w:rFonts w:ascii="Times New Roman" w:hAnsi="Times New Roman" w:cs="Times New Roman"/>
                <w:b/>
                <w:bCs/>
                <w:color w:val="000000"/>
              </w:rPr>
            </w:pPr>
            <w:r w:rsidRPr="00882B99">
              <w:rPr>
                <w:rFonts w:ascii="Times New Roman" w:hAnsi="Times New Roman" w:cs="Times New Roman"/>
                <w:b/>
                <w:bCs/>
                <w:color w:val="000000"/>
              </w:rPr>
              <w:t>% of Small Entities</w:t>
            </w:r>
          </w:p>
        </w:tc>
        <w:tc>
          <w:tcPr>
            <w:tcW w:w="1006"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DE35D2" w:rsidRPr="00882B99" w14:paraId="435F946E" w14:textId="77777777">
            <w:pPr>
              <w:spacing w:after="0" w:line="240" w:lineRule="auto"/>
              <w:jc w:val="center"/>
              <w:rPr>
                <w:rFonts w:ascii="Times New Roman" w:hAnsi="Times New Roman" w:cs="Times New Roman"/>
                <w:b/>
                <w:bCs/>
                <w:color w:val="000000"/>
              </w:rPr>
            </w:pPr>
            <w:r w:rsidRPr="00882B99">
              <w:rPr>
                <w:rFonts w:ascii="Times New Roman" w:hAnsi="Times New Roman" w:cs="Times New Roman"/>
                <w:b/>
                <w:bCs/>
                <w:color w:val="000000"/>
              </w:rPr>
              <w:t>Average Small Entity Cost ($)</w:t>
            </w:r>
          </w:p>
        </w:tc>
        <w:tc>
          <w:tcPr>
            <w:tcW w:w="1005"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DE35D2" w:rsidRPr="00882B99" w14:paraId="44CE08F1" w14:textId="77777777">
            <w:pPr>
              <w:spacing w:after="0" w:line="240" w:lineRule="auto"/>
              <w:jc w:val="center"/>
              <w:rPr>
                <w:rFonts w:ascii="Times New Roman" w:hAnsi="Times New Roman" w:cs="Times New Roman"/>
                <w:b/>
                <w:bCs/>
                <w:color w:val="000000"/>
              </w:rPr>
            </w:pPr>
            <w:r w:rsidRPr="00882B99">
              <w:rPr>
                <w:rFonts w:ascii="Times New Roman" w:hAnsi="Times New Roman" w:cs="Times New Roman"/>
                <w:b/>
                <w:bCs/>
                <w:color w:val="000000"/>
              </w:rPr>
              <w:t>Average Small Entity Revenue</w:t>
            </w:r>
          </w:p>
        </w:tc>
      </w:tr>
      <w:tr w14:paraId="5B879286" w14:textId="77777777" w:rsidTr="005E761F">
        <w:tblPrEx>
          <w:tblW w:w="4163" w:type="pct"/>
          <w:jc w:val="center"/>
          <w:tblLayout w:type="fixed"/>
          <w:tblCellMar>
            <w:left w:w="0" w:type="dxa"/>
            <w:right w:w="0" w:type="dxa"/>
          </w:tblCellMar>
          <w:tblLook w:val="04A0"/>
        </w:tblPrEx>
        <w:trPr>
          <w:trHeight w:val="310"/>
          <w:jc w:val="center"/>
        </w:trPr>
        <w:tc>
          <w:tcPr>
            <w:tcW w:w="97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E35D2" w:rsidRPr="00882B99" w14:paraId="59C3166E" w14:textId="77777777">
            <w:pPr>
              <w:spacing w:after="0" w:line="240" w:lineRule="auto"/>
              <w:jc w:val="right"/>
              <w:rPr>
                <w:rFonts w:ascii="Times New Roman" w:hAnsi="Times New Roman" w:cs="Times New Roman"/>
                <w:sz w:val="20"/>
                <w:szCs w:val="20"/>
              </w:rPr>
            </w:pPr>
            <w:r w:rsidRPr="00882B99">
              <w:rPr>
                <w:rFonts w:ascii="Times New Roman" w:hAnsi="Times New Roman" w:cs="Times New Roman"/>
                <w:color w:val="000000"/>
                <w:sz w:val="20"/>
                <w:szCs w:val="20"/>
              </w:rPr>
              <w:t>&lt; 1%</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hideMark/>
          </w:tcPr>
          <w:p w:rsidR="00DE35D2" w:rsidRPr="009B375F" w14:paraId="2C4066FC"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2,167</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hideMark/>
          </w:tcPr>
          <w:p w:rsidR="00DE35D2" w:rsidRPr="009B375F" w14:paraId="3DBB900A"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99.0</w:t>
            </w:r>
            <w:r w:rsidRPr="009B375F" w:rsidR="005E761F">
              <w:rPr>
                <w:rFonts w:ascii="Times New Roman" w:hAnsi="Times New Roman" w:cs="Times New Roman"/>
                <w:sz w:val="20"/>
                <w:szCs w:val="20"/>
              </w:rPr>
              <w:t>%</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hideMark/>
          </w:tcPr>
          <w:p w:rsidR="00DE35D2" w:rsidRPr="009B375F" w14:paraId="5F9195D7"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 xml:space="preserve"> $34,352 </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hideMark/>
          </w:tcPr>
          <w:p w:rsidR="00DE35D2" w:rsidRPr="009B375F" w14:paraId="6F2E3A82"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 xml:space="preserve"> $162,876,973 </w:t>
            </w:r>
          </w:p>
        </w:tc>
      </w:tr>
      <w:tr w14:paraId="61A125CD" w14:textId="77777777" w:rsidTr="005E761F">
        <w:tblPrEx>
          <w:tblW w:w="4163" w:type="pct"/>
          <w:jc w:val="center"/>
          <w:tblLayout w:type="fixed"/>
          <w:tblCellMar>
            <w:left w:w="0" w:type="dxa"/>
            <w:right w:w="0" w:type="dxa"/>
          </w:tblCellMar>
          <w:tblLook w:val="04A0"/>
        </w:tblPrEx>
        <w:trPr>
          <w:trHeight w:val="320"/>
          <w:jc w:val="center"/>
        </w:trPr>
        <w:tc>
          <w:tcPr>
            <w:tcW w:w="97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E35D2" w:rsidRPr="00882B99" w14:paraId="7B0CFDE9" w14:textId="77777777">
            <w:pPr>
              <w:spacing w:after="0" w:line="240" w:lineRule="auto"/>
              <w:jc w:val="right"/>
              <w:rPr>
                <w:rFonts w:ascii="Times New Roman" w:hAnsi="Times New Roman" w:cs="Times New Roman"/>
                <w:sz w:val="20"/>
                <w:szCs w:val="20"/>
              </w:rPr>
            </w:pPr>
            <w:r w:rsidRPr="00882B99">
              <w:rPr>
                <w:rFonts w:ascii="Times New Roman" w:hAnsi="Times New Roman" w:cs="Times New Roman"/>
                <w:color w:val="000000"/>
                <w:sz w:val="20"/>
                <w:szCs w:val="20"/>
              </w:rPr>
              <w:t>1% - 3%</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hideMark/>
          </w:tcPr>
          <w:p w:rsidR="00DE35D2" w:rsidRPr="009B375F" w14:paraId="3C75CEAD"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17</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hideMark/>
          </w:tcPr>
          <w:p w:rsidR="00DE35D2" w:rsidRPr="009B375F" w14:paraId="0E86A695"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0.8%</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hideMark/>
          </w:tcPr>
          <w:p w:rsidR="00DE35D2" w:rsidRPr="009B375F" w14:paraId="5EB14C89"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 xml:space="preserve"> $44,391 </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hideMark/>
          </w:tcPr>
          <w:p w:rsidR="00DE35D2" w:rsidRPr="009B375F" w14:paraId="52D21CA1"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 xml:space="preserve"> $3,708,068 </w:t>
            </w:r>
          </w:p>
        </w:tc>
      </w:tr>
      <w:tr w14:paraId="265F65C6" w14:textId="77777777" w:rsidTr="005E761F">
        <w:tblPrEx>
          <w:tblW w:w="4163" w:type="pct"/>
          <w:jc w:val="center"/>
          <w:tblLayout w:type="fixed"/>
          <w:tblCellMar>
            <w:left w:w="0" w:type="dxa"/>
            <w:right w:w="0" w:type="dxa"/>
          </w:tblCellMar>
          <w:tblLook w:val="04A0"/>
        </w:tblPrEx>
        <w:trPr>
          <w:trHeight w:val="320"/>
          <w:jc w:val="center"/>
        </w:trPr>
        <w:tc>
          <w:tcPr>
            <w:tcW w:w="97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rsidR="00DE35D2" w:rsidRPr="00882B99" w14:paraId="7E341717" w14:textId="77777777">
            <w:pPr>
              <w:spacing w:after="0" w:line="240" w:lineRule="auto"/>
              <w:jc w:val="right"/>
              <w:rPr>
                <w:rFonts w:ascii="Times New Roman" w:hAnsi="Times New Roman" w:cs="Times New Roman"/>
                <w:color w:val="000000"/>
                <w:sz w:val="20"/>
                <w:szCs w:val="20"/>
              </w:rPr>
            </w:pPr>
            <w:r w:rsidRPr="00882B99">
              <w:rPr>
                <w:rFonts w:ascii="Times New Roman" w:hAnsi="Times New Roman" w:cs="Times New Roman"/>
                <w:color w:val="000000"/>
                <w:sz w:val="20"/>
                <w:szCs w:val="20"/>
              </w:rPr>
              <w:t>Total &gt;3%</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tcPr>
          <w:p w:rsidR="00DE35D2" w:rsidRPr="009B375F" w14:paraId="2F66C398"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5</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tcPr>
          <w:p w:rsidR="00DE35D2" w:rsidRPr="009B375F" w14:paraId="146A69F9"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0.2%</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tcPr>
          <w:p w:rsidR="00DE35D2" w:rsidRPr="009B375F" w14:paraId="5170416F"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 xml:space="preserve"> $1,022,048 </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tcPr>
          <w:p w:rsidR="00DE35D2" w:rsidRPr="009B375F" w14:paraId="5A8B2035" w14:textId="77777777">
            <w:pPr>
              <w:spacing w:after="0" w:line="240" w:lineRule="auto"/>
              <w:jc w:val="right"/>
              <w:rPr>
                <w:rFonts w:ascii="Times New Roman" w:hAnsi="Times New Roman" w:cs="Times New Roman"/>
                <w:sz w:val="20"/>
                <w:szCs w:val="20"/>
                <w:highlight w:val="magenta"/>
              </w:rPr>
            </w:pPr>
            <w:r w:rsidRPr="009B375F">
              <w:rPr>
                <w:rFonts w:ascii="Times New Roman" w:hAnsi="Times New Roman" w:cs="Times New Roman"/>
                <w:sz w:val="20"/>
                <w:szCs w:val="20"/>
              </w:rPr>
              <w:t xml:space="preserve"> $7,326,442 </w:t>
            </w:r>
          </w:p>
        </w:tc>
      </w:tr>
      <w:tr w14:paraId="12DEB2A0" w14:textId="77777777" w:rsidTr="005E761F">
        <w:tblPrEx>
          <w:tblW w:w="4163" w:type="pct"/>
          <w:jc w:val="center"/>
          <w:tblLayout w:type="fixed"/>
          <w:tblCellMar>
            <w:left w:w="0" w:type="dxa"/>
            <w:right w:w="0" w:type="dxa"/>
          </w:tblCellMar>
          <w:tblLook w:val="04A0"/>
        </w:tblPrEx>
        <w:trPr>
          <w:trHeight w:val="320"/>
          <w:jc w:val="center"/>
        </w:trPr>
        <w:tc>
          <w:tcPr>
            <w:tcW w:w="97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rsidR="00DE35D2" w:rsidRPr="00882B99" w14:paraId="34D03293" w14:textId="77777777">
            <w:pPr>
              <w:spacing w:after="0" w:line="240" w:lineRule="auto"/>
              <w:jc w:val="right"/>
              <w:rPr>
                <w:rFonts w:ascii="Times New Roman" w:hAnsi="Times New Roman" w:cs="Times New Roman"/>
                <w:color w:val="000000"/>
                <w:sz w:val="20"/>
                <w:szCs w:val="20"/>
              </w:rPr>
            </w:pPr>
            <w:r w:rsidRPr="00882B99">
              <w:rPr>
                <w:rFonts w:ascii="Times New Roman" w:hAnsi="Times New Roman" w:cs="Times New Roman"/>
                <w:color w:val="000000"/>
                <w:sz w:val="20"/>
                <w:szCs w:val="20"/>
              </w:rPr>
              <w:t xml:space="preserve">Total &gt;3% without </w:t>
            </w:r>
            <w:r w:rsidR="00D30C55">
              <w:rPr>
                <w:rFonts w:ascii="Times New Roman" w:hAnsi="Times New Roman" w:cs="Times New Roman"/>
                <w:color w:val="000000"/>
                <w:sz w:val="20"/>
                <w:szCs w:val="20"/>
              </w:rPr>
              <w:t>HF Alkylation</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E35D2" w:rsidRPr="00403D7E" w14:paraId="3230FC7B" w14:textId="77777777">
            <w:pPr>
              <w:spacing w:after="0" w:line="240" w:lineRule="auto"/>
              <w:jc w:val="right"/>
              <w:rPr>
                <w:rFonts w:ascii="Times New Roman" w:hAnsi="Times New Roman" w:cs="Times New Roman"/>
                <w:sz w:val="20"/>
                <w:szCs w:val="20"/>
              </w:rPr>
            </w:pPr>
            <w:r w:rsidRPr="00403D7E">
              <w:rPr>
                <w:rFonts w:ascii="Times New Roman" w:hAnsi="Times New Roman" w:cs="Times New Roman"/>
                <w:sz w:val="20"/>
                <w:szCs w:val="20"/>
              </w:rPr>
              <w:t>4</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E35D2" w:rsidRPr="00403D7E" w14:paraId="1C52D4AD" w14:textId="77777777">
            <w:pPr>
              <w:spacing w:after="0" w:line="240" w:lineRule="auto"/>
              <w:jc w:val="right"/>
              <w:rPr>
                <w:rFonts w:ascii="Times New Roman" w:hAnsi="Times New Roman" w:cs="Times New Roman"/>
                <w:sz w:val="20"/>
                <w:szCs w:val="20"/>
              </w:rPr>
            </w:pPr>
            <w:r w:rsidRPr="00403D7E">
              <w:rPr>
                <w:rFonts w:ascii="Times New Roman" w:hAnsi="Times New Roman" w:cs="Times New Roman"/>
                <w:sz w:val="20"/>
                <w:szCs w:val="20"/>
              </w:rPr>
              <w:t>0.</w:t>
            </w:r>
            <w:r w:rsidRPr="00403D7E" w:rsidR="003A7B7D">
              <w:rPr>
                <w:rFonts w:ascii="Times New Roman" w:hAnsi="Times New Roman" w:cs="Times New Roman"/>
                <w:sz w:val="20"/>
                <w:szCs w:val="20"/>
              </w:rPr>
              <w:t>18</w:t>
            </w:r>
            <w:r w:rsidRPr="00403D7E">
              <w:rPr>
                <w:rFonts w:ascii="Times New Roman" w:hAnsi="Times New Roman" w:cs="Times New Roman"/>
                <w:sz w:val="20"/>
                <w:szCs w:val="20"/>
              </w:rPr>
              <w:t>%</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tcPr>
          <w:p w:rsidR="00DE35D2" w:rsidRPr="00403D7E" w14:paraId="30B5AA18" w14:textId="77777777">
            <w:pPr>
              <w:spacing w:after="0" w:line="240" w:lineRule="auto"/>
              <w:jc w:val="right"/>
              <w:rPr>
                <w:rFonts w:ascii="Times New Roman" w:hAnsi="Times New Roman" w:cs="Times New Roman"/>
                <w:sz w:val="20"/>
                <w:szCs w:val="20"/>
              </w:rPr>
            </w:pPr>
            <w:r w:rsidRPr="009B375F">
              <w:rPr>
                <w:rFonts w:ascii="Times New Roman" w:hAnsi="Times New Roman" w:cs="Times New Roman"/>
                <w:sz w:val="20"/>
                <w:szCs w:val="20"/>
              </w:rPr>
              <w:t xml:space="preserve"> $41,413 </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tcPr>
          <w:p w:rsidR="00DE35D2" w:rsidRPr="00403D7E" w14:paraId="444B2BDE" w14:textId="77777777">
            <w:pPr>
              <w:spacing w:after="0" w:line="240" w:lineRule="auto"/>
              <w:jc w:val="right"/>
              <w:rPr>
                <w:rFonts w:ascii="Times New Roman" w:hAnsi="Times New Roman" w:cs="Times New Roman"/>
                <w:sz w:val="20"/>
                <w:szCs w:val="20"/>
              </w:rPr>
            </w:pPr>
            <w:r w:rsidRPr="009B375F">
              <w:rPr>
                <w:rFonts w:ascii="Times New Roman" w:hAnsi="Times New Roman" w:cs="Times New Roman"/>
                <w:sz w:val="20"/>
                <w:szCs w:val="20"/>
              </w:rPr>
              <w:t xml:space="preserve"> $1,039,664 </w:t>
            </w:r>
          </w:p>
        </w:tc>
      </w:tr>
      <w:tr w14:paraId="42FFACF2" w14:textId="77777777" w:rsidTr="005E761F">
        <w:tblPrEx>
          <w:tblW w:w="4163" w:type="pct"/>
          <w:jc w:val="center"/>
          <w:tblLayout w:type="fixed"/>
          <w:tblCellMar>
            <w:left w:w="0" w:type="dxa"/>
            <w:right w:w="0" w:type="dxa"/>
          </w:tblCellMar>
          <w:tblLook w:val="04A0"/>
        </w:tblPrEx>
        <w:trPr>
          <w:trHeight w:val="320"/>
          <w:jc w:val="center"/>
        </w:trPr>
        <w:tc>
          <w:tcPr>
            <w:tcW w:w="97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rsidR="00DE35D2" w:rsidRPr="00882B99" w14:paraId="047768D7" w14:textId="77777777">
            <w:pPr>
              <w:spacing w:after="0" w:line="240" w:lineRule="auto"/>
              <w:jc w:val="right"/>
              <w:rPr>
                <w:rFonts w:ascii="Times New Roman" w:hAnsi="Times New Roman" w:cs="Times New Roman"/>
                <w:sz w:val="20"/>
                <w:szCs w:val="20"/>
              </w:rPr>
            </w:pPr>
            <w:r w:rsidRPr="00882B99">
              <w:rPr>
                <w:rFonts w:ascii="Times New Roman" w:hAnsi="Times New Roman" w:cs="Times New Roman"/>
                <w:color w:val="000000"/>
                <w:sz w:val="20"/>
                <w:szCs w:val="20"/>
              </w:rPr>
              <w:t>Small entity with HF Alkylation</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E35D2" w:rsidRPr="00403D7E" w14:paraId="73FDA2DF" w14:textId="77777777">
            <w:pPr>
              <w:spacing w:after="0" w:line="240" w:lineRule="auto"/>
              <w:jc w:val="right"/>
              <w:rPr>
                <w:rFonts w:ascii="Times New Roman" w:hAnsi="Times New Roman" w:cs="Times New Roman"/>
                <w:sz w:val="20"/>
                <w:szCs w:val="20"/>
              </w:rPr>
            </w:pPr>
            <w:r w:rsidRPr="00403D7E">
              <w:rPr>
                <w:rFonts w:ascii="Times New Roman" w:hAnsi="Times New Roman" w:cs="Times New Roman"/>
                <w:sz w:val="20"/>
                <w:szCs w:val="20"/>
              </w:rPr>
              <w:t>1</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E35D2" w:rsidRPr="00403D7E" w14:paraId="645E29A3" w14:textId="77777777">
            <w:pPr>
              <w:spacing w:after="0" w:line="240" w:lineRule="auto"/>
              <w:jc w:val="right"/>
              <w:rPr>
                <w:rFonts w:ascii="Times New Roman" w:hAnsi="Times New Roman" w:cs="Times New Roman"/>
                <w:sz w:val="20"/>
                <w:szCs w:val="20"/>
              </w:rPr>
            </w:pPr>
            <w:r w:rsidRPr="00403D7E">
              <w:rPr>
                <w:rFonts w:ascii="Times New Roman" w:hAnsi="Times New Roman" w:cs="Times New Roman"/>
                <w:sz w:val="20"/>
                <w:szCs w:val="20"/>
              </w:rPr>
              <w:t>0.</w:t>
            </w:r>
            <w:r w:rsidRPr="00403D7E" w:rsidR="00240BD6">
              <w:rPr>
                <w:rFonts w:ascii="Times New Roman" w:hAnsi="Times New Roman" w:cs="Times New Roman"/>
                <w:sz w:val="20"/>
                <w:szCs w:val="20"/>
              </w:rPr>
              <w:t>0</w:t>
            </w:r>
            <w:r w:rsidRPr="00403D7E" w:rsidR="003A7B7D">
              <w:rPr>
                <w:rFonts w:ascii="Times New Roman" w:hAnsi="Times New Roman" w:cs="Times New Roman"/>
                <w:sz w:val="20"/>
                <w:szCs w:val="20"/>
              </w:rPr>
              <w:t>5</w:t>
            </w:r>
            <w:r w:rsidRPr="00403D7E">
              <w:rPr>
                <w:rFonts w:ascii="Times New Roman" w:hAnsi="Times New Roman" w:cs="Times New Roman"/>
                <w:sz w:val="20"/>
                <w:szCs w:val="20"/>
              </w:rPr>
              <w:t>%</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tcPr>
          <w:p w:rsidR="00DE35D2" w:rsidRPr="00403D7E" w14:paraId="0B705053" w14:textId="77777777">
            <w:pPr>
              <w:spacing w:after="0" w:line="240" w:lineRule="auto"/>
              <w:jc w:val="right"/>
              <w:rPr>
                <w:rFonts w:ascii="Times New Roman" w:hAnsi="Times New Roman" w:cs="Times New Roman"/>
                <w:sz w:val="20"/>
                <w:szCs w:val="20"/>
              </w:rPr>
            </w:pPr>
            <w:r w:rsidRPr="009B375F">
              <w:rPr>
                <w:rFonts w:ascii="Times New Roman" w:hAnsi="Times New Roman" w:cs="Times New Roman"/>
                <w:sz w:val="20"/>
                <w:szCs w:val="20"/>
              </w:rPr>
              <w:t xml:space="preserve"> $2,983,317 </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tcPr>
          <w:p w:rsidR="00DE35D2" w:rsidRPr="00403D7E" w14:paraId="6EC62829" w14:textId="77777777">
            <w:pPr>
              <w:spacing w:after="0" w:line="240" w:lineRule="auto"/>
              <w:jc w:val="right"/>
              <w:rPr>
                <w:rFonts w:ascii="Times New Roman" w:hAnsi="Times New Roman" w:cs="Times New Roman"/>
                <w:sz w:val="20"/>
                <w:szCs w:val="20"/>
              </w:rPr>
            </w:pPr>
            <w:r w:rsidRPr="009B375F">
              <w:rPr>
                <w:rFonts w:ascii="Times New Roman" w:hAnsi="Times New Roman" w:cs="Times New Roman"/>
                <w:sz w:val="20"/>
                <w:szCs w:val="20"/>
              </w:rPr>
              <w:t xml:space="preserve"> $19,900,000 </w:t>
            </w:r>
          </w:p>
        </w:tc>
      </w:tr>
    </w:tbl>
    <w:p w:rsidR="00DE35D2" w:rsidP="00DE35D2" w14:paraId="659AAA16" w14:textId="77777777">
      <w:pPr>
        <w:spacing w:after="0"/>
        <w:ind w:right="617"/>
        <w:rPr>
          <w:rFonts w:ascii="Times New Roman" w:hAnsi="Times New Roman"/>
          <w:sz w:val="20"/>
          <w:szCs w:val="20"/>
        </w:rPr>
      </w:pPr>
    </w:p>
    <w:p w:rsidR="00281E68" w:rsidRPr="00281E68" w:rsidP="002A7964" w14:paraId="797BF697" w14:textId="77777777">
      <w:pPr>
        <w:spacing w:after="0"/>
        <w:ind w:right="617"/>
        <w:rPr>
          <w:rFonts w:ascii="Times New Roman" w:hAnsi="Times New Roman"/>
        </w:rPr>
      </w:pPr>
      <w:r>
        <w:rPr>
          <w:rFonts w:ascii="Times New Roman" w:hAnsi="Times New Roman"/>
        </w:rPr>
        <w:tab/>
      </w:r>
      <w:r w:rsidRPr="00E46D3C" w:rsidR="00E46D3C">
        <w:rPr>
          <w:rFonts w:ascii="Times New Roman" w:hAnsi="Times New Roman"/>
        </w:rPr>
        <w:t>The primary sectors subject to the rule and the SBA size standards</w:t>
      </w:r>
      <w:r w:rsidR="00934395">
        <w:rPr>
          <w:rFonts w:ascii="Times New Roman" w:hAnsi="Times New Roman"/>
        </w:rPr>
        <w:t xml:space="preserve"> </w:t>
      </w:r>
      <w:r w:rsidR="00DA763F">
        <w:rPr>
          <w:rFonts w:ascii="Times New Roman" w:hAnsi="Times New Roman"/>
        </w:rPr>
        <w:t xml:space="preserve">for small parent entities </w:t>
      </w:r>
      <w:r w:rsidR="00934395">
        <w:rPr>
          <w:rFonts w:ascii="Times New Roman" w:hAnsi="Times New Roman"/>
        </w:rPr>
        <w:t xml:space="preserve">that were in </w:t>
      </w:r>
      <w:r w:rsidR="0045118E">
        <w:rPr>
          <w:rFonts w:ascii="Times New Roman" w:hAnsi="Times New Roman"/>
        </w:rPr>
        <w:t>effect</w:t>
      </w:r>
      <w:r w:rsidR="00934395">
        <w:rPr>
          <w:rFonts w:ascii="Times New Roman" w:hAnsi="Times New Roman"/>
        </w:rPr>
        <w:t xml:space="preserve"> when the proposed rule was published</w:t>
      </w:r>
      <w:r w:rsidRPr="00E46D3C" w:rsidR="00E46D3C">
        <w:rPr>
          <w:rFonts w:ascii="Times New Roman" w:hAnsi="Times New Roman"/>
        </w:rPr>
        <w:t xml:space="preserve"> are shown in Exhibit </w:t>
      </w:r>
      <w:r w:rsidR="00E46D3C">
        <w:rPr>
          <w:rFonts w:ascii="Times New Roman" w:hAnsi="Times New Roman"/>
        </w:rPr>
        <w:t>C-8</w:t>
      </w:r>
      <w:r w:rsidRPr="00E46D3C" w:rsidR="00E46D3C">
        <w:rPr>
          <w:rFonts w:ascii="Times New Roman" w:hAnsi="Times New Roman"/>
        </w:rPr>
        <w:t>.</w:t>
      </w:r>
      <w:r>
        <w:rPr>
          <w:rFonts w:ascii="Times New Roman" w:hAnsi="Times New Roman"/>
          <w:vertAlign w:val="superscript"/>
        </w:rPr>
        <w:footnoteReference w:id="215"/>
      </w:r>
    </w:p>
    <w:p w:rsidR="00E46D3C" w:rsidRPr="00281E68" w:rsidP="002A7964" w14:paraId="23AFEE93" w14:textId="77777777">
      <w:pPr>
        <w:spacing w:after="0"/>
        <w:ind w:right="617"/>
        <w:rPr>
          <w:rFonts w:ascii="Times New Roman" w:hAnsi="Times New Roman"/>
        </w:rPr>
      </w:pPr>
    </w:p>
    <w:p w:rsidR="00502B04" w:rsidP="002A7964" w14:paraId="2F6050A6" w14:textId="77777777">
      <w:pPr>
        <w:pStyle w:val="Caption"/>
        <w:spacing w:after="0"/>
        <w:jc w:val="center"/>
        <w:rPr>
          <w:rFonts w:ascii="Times New Roman" w:hAnsi="Times New Roman" w:cs="Times New Roman"/>
          <w:b/>
          <w:bCs/>
          <w:i w:val="0"/>
          <w:iCs w:val="0"/>
          <w:color w:val="auto"/>
          <w:sz w:val="22"/>
          <w:szCs w:val="22"/>
        </w:rPr>
      </w:pPr>
      <w:r w:rsidRPr="00E92045">
        <w:rPr>
          <w:rFonts w:ascii="Times New Roman" w:hAnsi="Times New Roman" w:cs="Times New Roman"/>
          <w:b/>
          <w:bCs/>
          <w:i w:val="0"/>
          <w:iCs w:val="0"/>
          <w:color w:val="auto"/>
          <w:sz w:val="22"/>
          <w:szCs w:val="22"/>
        </w:rPr>
        <w:t xml:space="preserve">Exhibit </w:t>
      </w:r>
      <w:r>
        <w:rPr>
          <w:rFonts w:ascii="Times New Roman" w:hAnsi="Times New Roman" w:cs="Times New Roman"/>
          <w:b/>
          <w:bCs/>
          <w:i w:val="0"/>
          <w:iCs w:val="0"/>
          <w:color w:val="auto"/>
          <w:sz w:val="22"/>
          <w:szCs w:val="22"/>
        </w:rPr>
        <w:t>C</w:t>
      </w:r>
      <w:r w:rsidRPr="00E92045">
        <w:rPr>
          <w:rFonts w:ascii="Times New Roman" w:hAnsi="Times New Roman" w:cs="Times New Roman"/>
          <w:b/>
          <w:bCs/>
          <w:i w:val="0"/>
          <w:iCs w:val="0"/>
          <w:color w:val="auto"/>
          <w:sz w:val="22"/>
          <w:szCs w:val="22"/>
        </w:rPr>
        <w:t>-</w:t>
      </w:r>
      <w:r w:rsidR="00281E68">
        <w:rPr>
          <w:rFonts w:ascii="Times New Roman" w:hAnsi="Times New Roman" w:cs="Times New Roman"/>
          <w:b/>
          <w:bCs/>
          <w:i w:val="0"/>
          <w:iCs w:val="0"/>
          <w:color w:val="auto"/>
          <w:sz w:val="22"/>
          <w:szCs w:val="22"/>
        </w:rPr>
        <w:t>8</w:t>
      </w:r>
      <w:r w:rsidRPr="00E92045">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 xml:space="preserve">SBA </w:t>
      </w:r>
      <w:r w:rsidRPr="00E92045">
        <w:rPr>
          <w:rFonts w:ascii="Times New Roman" w:hAnsi="Times New Roman" w:cs="Times New Roman"/>
          <w:b/>
          <w:bCs/>
          <w:i w:val="0"/>
          <w:iCs w:val="0"/>
          <w:color w:val="auto"/>
          <w:sz w:val="22"/>
          <w:szCs w:val="22"/>
        </w:rPr>
        <w:t>Industry Sector Small Entity Size Standard</w:t>
      </w:r>
      <w:r>
        <w:rPr>
          <w:rFonts w:ascii="Times New Roman" w:hAnsi="Times New Roman" w:cs="Times New Roman"/>
          <w:b/>
          <w:bCs/>
          <w:i w:val="0"/>
          <w:iCs w:val="0"/>
          <w:color w:val="auto"/>
          <w:sz w:val="22"/>
          <w:szCs w:val="22"/>
        </w:rPr>
        <w:t>s</w:t>
      </w:r>
      <w:r w:rsidR="002F55C2">
        <w:rPr>
          <w:rFonts w:ascii="Times New Roman" w:hAnsi="Times New Roman" w:cs="Times New Roman"/>
          <w:b/>
          <w:bCs/>
          <w:i w:val="0"/>
          <w:iCs w:val="0"/>
          <w:color w:val="auto"/>
          <w:sz w:val="22"/>
          <w:szCs w:val="22"/>
        </w:rPr>
        <w:t>, 2019</w:t>
      </w:r>
      <w:r>
        <w:rPr>
          <w:rFonts w:ascii="Times New Roman" w:hAnsi="Times New Roman" w:cs="Times New Roman"/>
          <w:b/>
          <w:bCs/>
          <w:i w:val="0"/>
          <w:iCs w:val="0"/>
          <w:color w:val="auto"/>
          <w:sz w:val="22"/>
          <w:szCs w:val="22"/>
        </w:rPr>
        <w:t>.</w:t>
      </w:r>
    </w:p>
    <w:p w:rsidR="00254A0A" w:rsidRPr="00254A0A" w:rsidP="00254A0A" w14:paraId="1D02C294" w14:textId="77777777">
      <w:pPr>
        <w:spacing w:after="0"/>
        <w:rPr>
          <w:sz w:val="20"/>
          <w:szCs w:val="20"/>
        </w:rPr>
      </w:pPr>
    </w:p>
    <w:tbl>
      <w:tblPr>
        <w:tblW w:w="4858" w:type="pct"/>
        <w:jc w:val="center"/>
        <w:tblLook w:val="04A0"/>
      </w:tblPr>
      <w:tblGrid>
        <w:gridCol w:w="1237"/>
        <w:gridCol w:w="5598"/>
        <w:gridCol w:w="2249"/>
      </w:tblGrid>
      <w:tr w14:paraId="7F31DFB4" w14:textId="77777777" w:rsidTr="00D8562D">
        <w:tblPrEx>
          <w:tblW w:w="4858" w:type="pct"/>
          <w:jc w:val="center"/>
          <w:tblLook w:val="04A0"/>
        </w:tblPrEx>
        <w:trPr>
          <w:trHeight w:val="312"/>
          <w:tblHeader/>
          <w:jc w:val="center"/>
        </w:trPr>
        <w:tc>
          <w:tcPr>
            <w:tcW w:w="6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2B04" w:rsidRPr="00E92045" w14:paraId="0DEF6C2E"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b/>
                <w:bCs/>
                <w:color w:val="000000"/>
                <w:sz w:val="20"/>
                <w:szCs w:val="20"/>
              </w:rPr>
              <w:t>NAICS</w:t>
            </w:r>
          </w:p>
        </w:tc>
        <w:tc>
          <w:tcPr>
            <w:tcW w:w="30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02B04" w:rsidRPr="00E92045" w14:paraId="3515CDF8"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b/>
                <w:bCs/>
                <w:color w:val="000000"/>
                <w:sz w:val="20"/>
                <w:szCs w:val="20"/>
              </w:rPr>
              <w:t>Sector</w:t>
            </w:r>
          </w:p>
        </w:tc>
        <w:tc>
          <w:tcPr>
            <w:tcW w:w="123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02B04" w:rsidRPr="00E92045" w14:paraId="208B71D8"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b/>
                <w:bCs/>
                <w:color w:val="000000"/>
                <w:sz w:val="20"/>
                <w:szCs w:val="20"/>
              </w:rPr>
              <w:t>Size</w:t>
            </w:r>
          </w:p>
          <w:p w:rsidR="00502B04" w:rsidRPr="00E92045" w14:paraId="209B41A3"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b/>
                <w:bCs/>
                <w:color w:val="000000"/>
                <w:sz w:val="20"/>
                <w:szCs w:val="20"/>
              </w:rPr>
              <w:t>Standard</w:t>
            </w:r>
          </w:p>
        </w:tc>
      </w:tr>
      <w:tr w14:paraId="632054E0"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37600642"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color w:val="000000"/>
                <w:sz w:val="20"/>
                <w:szCs w:val="20"/>
              </w:rPr>
              <w:t>111</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79DCF434"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color w:val="000000"/>
                <w:sz w:val="20"/>
                <w:szCs w:val="20"/>
              </w:rPr>
              <w:t>Crop Production</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2C91741D" w14:textId="77777777">
            <w:pPr>
              <w:spacing w:after="0" w:line="240" w:lineRule="auto"/>
              <w:rPr>
                <w:rFonts w:ascii="Times New Roman" w:eastAsia="Times New Roman" w:hAnsi="Times New Roman" w:cs="Times New Roman"/>
                <w:b/>
                <w:bCs/>
                <w:color w:val="000000"/>
                <w:sz w:val="20"/>
                <w:szCs w:val="20"/>
              </w:rPr>
            </w:pPr>
            <w:r w:rsidRPr="00E92045">
              <w:rPr>
                <w:rFonts w:ascii="Times New Roman" w:eastAsia="Times New Roman" w:hAnsi="Times New Roman" w:cs="Times New Roman"/>
                <w:color w:val="000000"/>
                <w:sz w:val="20"/>
                <w:szCs w:val="20"/>
              </w:rPr>
              <w:t>$0.75</w:t>
            </w:r>
            <w:r>
              <w:rPr>
                <w:rFonts w:ascii="Times New Roman" w:eastAsia="Times New Roman" w:hAnsi="Times New Roman" w:cs="Times New Roman"/>
                <w:color w:val="000000"/>
                <w:sz w:val="20"/>
                <w:szCs w:val="20"/>
              </w:rPr>
              <w:t xml:space="preserve"> </w:t>
            </w:r>
            <w:r w:rsidRPr="00E92045">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z w:val="20"/>
                <w:szCs w:val="20"/>
              </w:rPr>
              <w:t>illion</w:t>
            </w:r>
          </w:p>
        </w:tc>
      </w:tr>
      <w:tr w14:paraId="07EA9FB2"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6A64F52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112</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3E1CF870"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Animal Production and Aquaculture</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7873A76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$0.75 -$15</w:t>
            </w:r>
            <w:r>
              <w:rPr>
                <w:rFonts w:ascii="Times New Roman" w:eastAsia="Times New Roman" w:hAnsi="Times New Roman" w:cs="Times New Roman"/>
                <w:color w:val="000000"/>
                <w:sz w:val="20"/>
                <w:szCs w:val="20"/>
              </w:rPr>
              <w:t xml:space="preserve"> </w:t>
            </w:r>
            <w:r w:rsidRPr="00E92045">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z w:val="20"/>
                <w:szCs w:val="20"/>
              </w:rPr>
              <w:t>illion</w:t>
            </w:r>
          </w:p>
        </w:tc>
      </w:tr>
      <w:tr w14:paraId="51AC730B"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4EFD31D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115</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626D546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Support Activities for Agriculture and Forestry</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174BCAB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$7.5 - $27.5</w:t>
            </w:r>
            <w:r>
              <w:rPr>
                <w:rFonts w:ascii="Times New Roman" w:eastAsia="Times New Roman" w:hAnsi="Times New Roman" w:cs="Times New Roman"/>
                <w:color w:val="000000"/>
                <w:sz w:val="20"/>
                <w:szCs w:val="20"/>
              </w:rPr>
              <w:t xml:space="preserve"> </w:t>
            </w:r>
            <w:r w:rsidRPr="00E92045">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z w:val="20"/>
                <w:szCs w:val="20"/>
              </w:rPr>
              <w:t>illion</w:t>
            </w:r>
          </w:p>
        </w:tc>
      </w:tr>
      <w:tr w14:paraId="408C904A"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5FC65F6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211111</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584726F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Crude Petroleum and Natural Gas Extraction</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3CAFD50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1,250 FTE</w:t>
            </w:r>
          </w:p>
        </w:tc>
      </w:tr>
      <w:tr w14:paraId="422B557B"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6B882E70"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221112</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626A6A6F"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Fossil Fuel Electric Power Generation</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278205F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FTE</w:t>
            </w:r>
          </w:p>
        </w:tc>
      </w:tr>
      <w:tr w14:paraId="3B72483C"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137B227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22131</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75E6978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Water Supply and Irrigation Systems</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2A4F335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$27.5</w:t>
            </w:r>
            <w:r>
              <w:rPr>
                <w:rFonts w:ascii="Times New Roman" w:eastAsia="Times New Roman" w:hAnsi="Times New Roman" w:cs="Times New Roman"/>
                <w:color w:val="000000"/>
                <w:sz w:val="20"/>
                <w:szCs w:val="20"/>
              </w:rPr>
              <w:t xml:space="preserve"> </w:t>
            </w:r>
            <w:r w:rsidRPr="00E92045">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z w:val="20"/>
                <w:szCs w:val="20"/>
              </w:rPr>
              <w:t>illion</w:t>
            </w:r>
          </w:p>
        </w:tc>
      </w:tr>
      <w:tr w14:paraId="24BA47FF"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2A49EA4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22132</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70ADA6B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Sewage Treatment Facilities</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50E2B80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$20.5</w:t>
            </w:r>
            <w:r>
              <w:rPr>
                <w:rFonts w:ascii="Times New Roman" w:eastAsia="Times New Roman" w:hAnsi="Times New Roman" w:cs="Times New Roman"/>
                <w:color w:val="000000"/>
                <w:sz w:val="20"/>
                <w:szCs w:val="20"/>
              </w:rPr>
              <w:t xml:space="preserve"> </w:t>
            </w:r>
            <w:r w:rsidRPr="00E92045">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z w:val="20"/>
                <w:szCs w:val="20"/>
              </w:rPr>
              <w:t>illion</w:t>
            </w:r>
          </w:p>
        </w:tc>
      </w:tr>
      <w:tr w14:paraId="03F1EFB2"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1968D39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3111</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658AD69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Animal Food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1A56832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500 - 1,000 FTE</w:t>
            </w:r>
          </w:p>
        </w:tc>
      </w:tr>
      <w:tr w14:paraId="48D9C75C"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73853D8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3112</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59974BC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Grain and Oilseed Milling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1C42C70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500 - 1,000 FTE</w:t>
            </w:r>
          </w:p>
        </w:tc>
      </w:tr>
      <w:tr w14:paraId="4E8EA294"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65C1E54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3113</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5A85618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Sugar and Confectionery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49FB739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38865722"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50FFD41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3114</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0179604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Fruit and Vegetable Preserving and Specialty Food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286EAA4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406C3A08"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14C9785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3115</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1019D68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Dairy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4A47D2B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0787A26C"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12FB268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3116</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4802499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Animal Slaughtering and Processing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1ACEB87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5BEAA3D1"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796EC00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3117</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28C8DE1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Seafood Product Preparation and Packaging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3CFD491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FTE</w:t>
            </w:r>
          </w:p>
        </w:tc>
      </w:tr>
      <w:tr w14:paraId="74C010C3"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539B714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3118</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0D5671C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Bakeries and Tortilla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48580B8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3F513875"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0750024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3119</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2375086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Other Food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5BCF6B3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065D4563"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29EFB6A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3121</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6C3FB9F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Beverage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63CE8F5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2B1B8565"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433B9F7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322</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61614A0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Paper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6C62F34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500 - 1,500 FTE</w:t>
            </w:r>
          </w:p>
        </w:tc>
      </w:tr>
      <w:tr w14:paraId="3C6349CD"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59D939C0"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32411</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7D894E37"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Petroleum Refineries</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178AA18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1,500 FTE</w:t>
            </w:r>
          </w:p>
        </w:tc>
      </w:tr>
      <w:tr w14:paraId="7227053B"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4813192F"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3254</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1FBA068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Pharmaceutical and Medicine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3E9841F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1,000 - 1,250 FTE</w:t>
            </w:r>
          </w:p>
        </w:tc>
      </w:tr>
      <w:tr w14:paraId="743AAA0B"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5E008F3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3255</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5683D2B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Paint, Coating, and Adhesive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1A3812E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500 - 1,000 FTE</w:t>
            </w:r>
          </w:p>
        </w:tc>
      </w:tr>
      <w:tr w14:paraId="4AC652D9"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099A5EB0"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3256</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022F2EA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Soap, Cleaning Compound, and Toilet Preparation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671C7BC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750 - 1,250 FTE</w:t>
            </w:r>
          </w:p>
        </w:tc>
      </w:tr>
      <w:tr w14:paraId="45FFDB9B"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3565247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3259</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04352767"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Other Chemical Product and Preparation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06354E0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500 - 1,500 FTE</w:t>
            </w:r>
          </w:p>
        </w:tc>
      </w:tr>
      <w:tr w14:paraId="695BC3D2"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03989A7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326</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106A497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Plastics and Rubber Products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5891B86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500 - 1,250 FTE</w:t>
            </w:r>
          </w:p>
        </w:tc>
      </w:tr>
      <w:tr w14:paraId="65B3F9F0"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007433E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327</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04F8960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Nonmetallic Mineral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4FA0C50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500 - 1,250 FTE</w:t>
            </w:r>
          </w:p>
        </w:tc>
      </w:tr>
      <w:tr w14:paraId="2088EFC9"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44885CF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331</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3E62E4A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Primary Metal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72EA45E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500 - 1,250 FTE</w:t>
            </w:r>
          </w:p>
        </w:tc>
      </w:tr>
      <w:tr w14:paraId="688F67DA"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4063BA7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332</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4CF5A69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Fabricated Metal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070511F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500 - 1,500 FTE</w:t>
            </w:r>
          </w:p>
        </w:tc>
      </w:tr>
      <w:tr w14:paraId="11D4144C"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609013B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333</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12509D63"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Machinery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39B28CE6"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500 - 1,500 FTE</w:t>
            </w:r>
          </w:p>
        </w:tc>
      </w:tr>
      <w:tr w14:paraId="37772C8B"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101B58B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334</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042630CE"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Computer and Electronic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482B12A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500 - 1,250 FTE</w:t>
            </w:r>
          </w:p>
        </w:tc>
      </w:tr>
      <w:tr w14:paraId="4C5A926A"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71F499D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335</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4FBF135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Electrical Equipment, Appliance, and Component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7056C89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500 - 1,500 FTE</w:t>
            </w:r>
          </w:p>
        </w:tc>
      </w:tr>
      <w:tr w14:paraId="3A7F3BAC"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49AFB7A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336</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7525AF5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Transportation Equipment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41C4EB2F"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1,000 - 1,500 FTE</w:t>
            </w:r>
          </w:p>
        </w:tc>
      </w:tr>
      <w:tr w14:paraId="1FB15C26"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3E2107E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337</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143921A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Furniture and Related Product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6ECBE8D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500 - 1,000 FTE</w:t>
            </w:r>
          </w:p>
        </w:tc>
      </w:tr>
      <w:tr w14:paraId="171D7D08"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7228ED00"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339</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271918F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Miscellaneous Manufacturing</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08E011F4"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500 - 1,000 FTE</w:t>
            </w:r>
          </w:p>
        </w:tc>
      </w:tr>
      <w:tr w14:paraId="78867DDB"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6152690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42</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3193480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Wholesale Trade</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7A3FB16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100 - 150 FTE</w:t>
            </w:r>
          </w:p>
        </w:tc>
      </w:tr>
      <w:tr w14:paraId="5AFFFC97"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5A97440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44422</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781A8C8C"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Nursery, Garden Center, and Farm Supply Stores</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2D8ED14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$11m</w:t>
            </w:r>
          </w:p>
        </w:tc>
      </w:tr>
      <w:tr w14:paraId="73E85DC2"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298A1E9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45431</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32C4A31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Fuel Dealers</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3CB12BC1"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100 FTE</w:t>
            </w:r>
          </w:p>
        </w:tc>
      </w:tr>
      <w:tr w14:paraId="1A68F643"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3461C2BB"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48691</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25783F1A"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Pipeline Transportation of Refined Product</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111980A5"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1,500 FTE</w:t>
            </w:r>
          </w:p>
        </w:tc>
      </w:tr>
      <w:tr w14:paraId="60877598" w14:textId="77777777">
        <w:tblPrEx>
          <w:tblW w:w="4858" w:type="pct"/>
          <w:jc w:val="center"/>
          <w:tblLook w:val="04A0"/>
        </w:tblPrEx>
        <w:trPr>
          <w:trHeight w:val="312"/>
          <w:jc w:val="cent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502B04" w:rsidRPr="00E92045" w14:paraId="47BC2448"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48821</w:t>
            </w:r>
          </w:p>
        </w:tc>
        <w:tc>
          <w:tcPr>
            <w:tcW w:w="3081" w:type="pct"/>
            <w:tcBorders>
              <w:top w:val="single" w:sz="4" w:space="0" w:color="auto"/>
              <w:left w:val="nil"/>
              <w:bottom w:val="single" w:sz="4" w:space="0" w:color="auto"/>
              <w:right w:val="single" w:sz="4" w:space="0" w:color="auto"/>
            </w:tcBorders>
            <w:shd w:val="clear" w:color="auto" w:fill="auto"/>
            <w:vAlign w:val="center"/>
          </w:tcPr>
          <w:p w:rsidR="00502B04" w:rsidRPr="00E92045" w14:paraId="17C8C3FD"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Support Activities for Rail Transportation</w:t>
            </w:r>
          </w:p>
        </w:tc>
        <w:tc>
          <w:tcPr>
            <w:tcW w:w="1238" w:type="pct"/>
            <w:tcBorders>
              <w:top w:val="single" w:sz="4" w:space="0" w:color="auto"/>
              <w:left w:val="nil"/>
              <w:bottom w:val="single" w:sz="4" w:space="0" w:color="auto"/>
              <w:right w:val="single" w:sz="4" w:space="0" w:color="auto"/>
            </w:tcBorders>
            <w:shd w:val="clear" w:color="auto" w:fill="auto"/>
            <w:vAlign w:val="center"/>
          </w:tcPr>
          <w:p w:rsidR="00502B04" w:rsidRPr="00E92045" w14:paraId="0C136E9F"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$15m</w:t>
            </w:r>
          </w:p>
        </w:tc>
      </w:tr>
    </w:tbl>
    <w:p w:rsidR="00502B04" w:rsidP="00DE35D2" w14:paraId="47B72C06" w14:textId="77777777">
      <w:pPr>
        <w:spacing w:after="0"/>
        <w:ind w:right="617"/>
        <w:rPr>
          <w:rFonts w:ascii="Times New Roman" w:hAnsi="Times New Roman"/>
          <w:sz w:val="20"/>
          <w:szCs w:val="20"/>
        </w:rPr>
      </w:pPr>
    </w:p>
    <w:p w:rsidR="00502B04" w:rsidP="00DE35D2" w14:paraId="5920B9EB" w14:textId="77777777">
      <w:pPr>
        <w:spacing w:after="0"/>
        <w:ind w:right="617"/>
        <w:rPr>
          <w:rFonts w:ascii="Times New Roman" w:hAnsi="Times New Roman"/>
          <w:sz w:val="20"/>
          <w:szCs w:val="20"/>
        </w:rPr>
      </w:pPr>
    </w:p>
    <w:p w:rsidR="00716E81" w:rsidRPr="002D6027" w:rsidP="00C07306" w14:paraId="5789611C" w14:textId="77777777">
      <w:pPr>
        <w:pStyle w:val="Heading2"/>
      </w:pPr>
      <w:bookmarkStart w:id="567" w:name="_Toc144303631"/>
      <w:r>
        <w:t>C.2</w:t>
      </w:r>
      <w:r w:rsidRPr="00693892">
        <w:t xml:space="preserve"> </w:t>
      </w:r>
      <w:r>
        <w:t xml:space="preserve">Final Rule Data </w:t>
      </w:r>
      <w:r w:rsidRPr="002D6027">
        <w:t>Comparison</w:t>
      </w:r>
      <w:bookmarkEnd w:id="567"/>
    </w:p>
    <w:p w:rsidR="002319D8" w:rsidRPr="003C24D0" w:rsidP="00254A0A" w14:paraId="4C5F48DC" w14:textId="77777777">
      <w:pPr>
        <w:spacing w:after="0" w:line="240" w:lineRule="auto"/>
        <w:ind w:right="617" w:firstLine="720"/>
        <w:rPr>
          <w:rFonts w:ascii="Times New Roman" w:hAnsi="Times New Roman"/>
        </w:rPr>
      </w:pPr>
      <w:r>
        <w:rPr>
          <w:rFonts w:ascii="Times New Roman" w:hAnsi="Times New Roman"/>
        </w:rPr>
        <w:t xml:space="preserve"> EPA conducted the final rule </w:t>
      </w:r>
      <w:r w:rsidRPr="003C24D0">
        <w:rPr>
          <w:rFonts w:ascii="Times New Roman" w:hAnsi="Times New Roman"/>
        </w:rPr>
        <w:t xml:space="preserve">small entity analysis using both </w:t>
      </w:r>
      <w:r w:rsidR="007E0C1C">
        <w:rPr>
          <w:rFonts w:ascii="Times New Roman" w:hAnsi="Times New Roman"/>
        </w:rPr>
        <w:t>Dat</w:t>
      </w:r>
      <w:r w:rsidR="00046D55">
        <w:rPr>
          <w:rFonts w:ascii="Times New Roman" w:hAnsi="Times New Roman"/>
        </w:rPr>
        <w:t>a</w:t>
      </w:r>
      <w:r w:rsidR="009B375F">
        <w:rPr>
          <w:rFonts w:ascii="Times New Roman" w:hAnsi="Times New Roman"/>
        </w:rPr>
        <w:t xml:space="preserve"> </w:t>
      </w:r>
      <w:r w:rsidR="001776F7">
        <w:rPr>
          <w:rFonts w:ascii="Times New Roman" w:hAnsi="Times New Roman"/>
        </w:rPr>
        <w:t xml:space="preserve">Axle </w:t>
      </w:r>
      <w:r w:rsidR="00046D55">
        <w:rPr>
          <w:rFonts w:ascii="Times New Roman" w:hAnsi="Times New Roman"/>
        </w:rPr>
        <w:t>and D&amp;B Hoovers</w:t>
      </w:r>
      <w:r>
        <w:rPr>
          <w:rFonts w:ascii="Times New Roman" w:hAnsi="Times New Roman"/>
        </w:rPr>
        <w:t>. The analysis</w:t>
      </w:r>
      <w:r w:rsidRPr="003C24D0">
        <w:rPr>
          <w:rFonts w:ascii="Times New Roman" w:hAnsi="Times New Roman"/>
        </w:rPr>
        <w:t xml:space="preserve"> indicate</w:t>
      </w:r>
      <w:r>
        <w:rPr>
          <w:rFonts w:ascii="Times New Roman" w:hAnsi="Times New Roman"/>
        </w:rPr>
        <w:t>s</w:t>
      </w:r>
      <w:r w:rsidRPr="003C24D0">
        <w:rPr>
          <w:rFonts w:ascii="Times New Roman" w:hAnsi="Times New Roman"/>
        </w:rPr>
        <w:t xml:space="preserve"> that the </w:t>
      </w:r>
      <w:r w:rsidR="00046D55">
        <w:rPr>
          <w:rFonts w:ascii="Times New Roman" w:hAnsi="Times New Roman"/>
        </w:rPr>
        <w:t>final</w:t>
      </w:r>
      <w:r w:rsidRPr="003C24D0">
        <w:rPr>
          <w:rFonts w:ascii="Times New Roman" w:hAnsi="Times New Roman"/>
        </w:rPr>
        <w:t xml:space="preserve"> rule </w:t>
      </w:r>
      <w:r w:rsidR="00C5406B">
        <w:rPr>
          <w:rFonts w:ascii="Times New Roman" w:hAnsi="Times New Roman"/>
        </w:rPr>
        <w:t>will</w:t>
      </w:r>
      <w:r w:rsidRPr="003C24D0">
        <w:rPr>
          <w:rFonts w:ascii="Times New Roman" w:hAnsi="Times New Roman"/>
        </w:rPr>
        <w:t xml:space="preserve"> not impose a significant economic </w:t>
      </w:r>
      <w:r>
        <w:rPr>
          <w:rFonts w:ascii="Times New Roman" w:hAnsi="Times New Roman"/>
        </w:rPr>
        <w:t>impact on a substantial number of</w:t>
      </w:r>
      <w:r w:rsidRPr="003C24D0">
        <w:rPr>
          <w:rFonts w:ascii="Times New Roman" w:hAnsi="Times New Roman"/>
        </w:rPr>
        <w:t xml:space="preserve"> small entities</w:t>
      </w:r>
      <w:r w:rsidR="002265A4">
        <w:rPr>
          <w:rFonts w:ascii="Times New Roman" w:hAnsi="Times New Roman"/>
        </w:rPr>
        <w:t xml:space="preserve"> using either data source</w:t>
      </w:r>
      <w:r>
        <w:rPr>
          <w:rFonts w:ascii="Times New Roman" w:hAnsi="Times New Roman"/>
        </w:rPr>
        <w:t>.</w:t>
      </w:r>
      <w:r w:rsidRPr="00180E7E">
        <w:rPr>
          <w:rFonts w:ascii="Times New Roman" w:hAnsi="Times New Roman"/>
        </w:rPr>
        <w:t xml:space="preserve"> </w:t>
      </w:r>
      <w:r w:rsidRPr="003C24D0">
        <w:rPr>
          <w:rFonts w:ascii="Times New Roman" w:hAnsi="Times New Roman"/>
        </w:rPr>
        <w:t xml:space="preserve">For private sector entities, EPA estimates that </w:t>
      </w:r>
      <w:r w:rsidRPr="002435CE" w:rsidR="002435CE">
        <w:rPr>
          <w:rFonts w:ascii="Times New Roman" w:hAnsi="Times New Roman"/>
        </w:rPr>
        <w:t xml:space="preserve">9.3 </w:t>
      </w:r>
      <w:r w:rsidRPr="003C24D0">
        <w:rPr>
          <w:rFonts w:ascii="Times New Roman" w:hAnsi="Times New Roman"/>
        </w:rPr>
        <w:t xml:space="preserve">and </w:t>
      </w:r>
      <w:r w:rsidRPr="002435CE" w:rsidR="002435CE">
        <w:rPr>
          <w:rFonts w:ascii="Times New Roman" w:hAnsi="Times New Roman"/>
        </w:rPr>
        <w:t>7.8</w:t>
      </w:r>
      <w:r w:rsidRPr="003C24D0">
        <w:rPr>
          <w:rFonts w:ascii="Times New Roman" w:hAnsi="Times New Roman"/>
        </w:rPr>
        <w:t xml:space="preserve"> percent of small entities </w:t>
      </w:r>
      <w:r w:rsidR="00C5406B">
        <w:rPr>
          <w:rFonts w:ascii="Times New Roman" w:hAnsi="Times New Roman"/>
        </w:rPr>
        <w:t>will</w:t>
      </w:r>
      <w:r w:rsidRPr="003C24D0">
        <w:rPr>
          <w:rFonts w:ascii="Times New Roman" w:hAnsi="Times New Roman"/>
        </w:rPr>
        <w:t xml:space="preserve"> experience costs exceeding 1 percent of revenue</w:t>
      </w:r>
      <w:r w:rsidR="00261EC0">
        <w:rPr>
          <w:rFonts w:ascii="Times New Roman" w:hAnsi="Times New Roman"/>
        </w:rPr>
        <w:t>,</w:t>
      </w:r>
      <w:r w:rsidRPr="003C24D0">
        <w:rPr>
          <w:rFonts w:ascii="Times New Roman" w:hAnsi="Times New Roman"/>
        </w:rPr>
        <w:t xml:space="preserve"> and only </w:t>
      </w:r>
      <w:r w:rsidRPr="002435CE" w:rsidR="002435CE">
        <w:rPr>
          <w:rFonts w:ascii="Times New Roman" w:hAnsi="Times New Roman"/>
        </w:rPr>
        <w:t>2.8</w:t>
      </w:r>
      <w:r w:rsidRPr="002435CE">
        <w:rPr>
          <w:rFonts w:ascii="Times New Roman" w:hAnsi="Times New Roman"/>
        </w:rPr>
        <w:t xml:space="preserve"> and </w:t>
      </w:r>
      <w:r w:rsidRPr="002435CE" w:rsidR="00CA0138">
        <w:rPr>
          <w:rFonts w:ascii="Times New Roman" w:hAnsi="Times New Roman"/>
        </w:rPr>
        <w:t>1.</w:t>
      </w:r>
      <w:r w:rsidRPr="002435CE" w:rsidR="002435CE">
        <w:rPr>
          <w:rFonts w:ascii="Times New Roman" w:hAnsi="Times New Roman"/>
        </w:rPr>
        <w:t>9</w:t>
      </w:r>
      <w:r w:rsidRPr="003C24D0">
        <w:rPr>
          <w:rFonts w:ascii="Times New Roman" w:hAnsi="Times New Roman"/>
        </w:rPr>
        <w:t xml:space="preserve"> percent of entities </w:t>
      </w:r>
      <w:r w:rsidR="00C5406B">
        <w:rPr>
          <w:rFonts w:ascii="Times New Roman" w:hAnsi="Times New Roman"/>
        </w:rPr>
        <w:t>will</w:t>
      </w:r>
      <w:r w:rsidRPr="003C24D0">
        <w:rPr>
          <w:rFonts w:ascii="Times New Roman" w:hAnsi="Times New Roman"/>
        </w:rPr>
        <w:t xml:space="preserve"> have costs greater than 3 percent of revenue based on Data </w:t>
      </w:r>
      <w:r w:rsidRPr="003C24D0" w:rsidR="001776F7">
        <w:rPr>
          <w:rFonts w:ascii="Times New Roman" w:hAnsi="Times New Roman"/>
        </w:rPr>
        <w:t>Ax</w:t>
      </w:r>
      <w:r w:rsidR="001776F7">
        <w:rPr>
          <w:rFonts w:ascii="Times New Roman" w:hAnsi="Times New Roman"/>
        </w:rPr>
        <w:t>le</w:t>
      </w:r>
      <w:r w:rsidRPr="003C24D0" w:rsidR="001776F7">
        <w:rPr>
          <w:rFonts w:ascii="Times New Roman" w:hAnsi="Times New Roman"/>
        </w:rPr>
        <w:t xml:space="preserve"> </w:t>
      </w:r>
      <w:r w:rsidRPr="003C24D0">
        <w:rPr>
          <w:rFonts w:ascii="Times New Roman" w:hAnsi="Times New Roman"/>
        </w:rPr>
        <w:t xml:space="preserve">and D&amp;B Hoovers data, respectively. </w:t>
      </w:r>
    </w:p>
    <w:p w:rsidR="002319D8" w:rsidRPr="003C24D0" w:rsidP="00254A0A" w14:paraId="7E7B0A04" w14:textId="77777777">
      <w:pPr>
        <w:spacing w:after="0" w:line="240" w:lineRule="auto"/>
        <w:ind w:right="617"/>
        <w:rPr>
          <w:rFonts w:ascii="Times New Roman" w:hAnsi="Times New Roman"/>
        </w:rPr>
      </w:pPr>
    </w:p>
    <w:p w:rsidR="002319D8" w:rsidP="00254A0A" w14:paraId="513C4372" w14:textId="77777777">
      <w:pPr>
        <w:spacing w:after="0" w:line="240" w:lineRule="auto"/>
        <w:ind w:firstLine="720"/>
        <w:rPr>
          <w:rFonts w:ascii="Times New Roman" w:hAnsi="Times New Roman" w:cs="Times New Roman"/>
        </w:rPr>
      </w:pPr>
      <w:r w:rsidRPr="007B32F1">
        <w:rPr>
          <w:rFonts w:ascii="Times New Roman" w:hAnsi="Times New Roman" w:cs="Times New Roman"/>
        </w:rPr>
        <w:t>EPA retrieved data</w:t>
      </w:r>
      <w:r w:rsidRPr="00693892">
        <w:rPr>
          <w:rFonts w:ascii="Times New Roman" w:hAnsi="Times New Roman" w:cs="Times New Roman"/>
        </w:rPr>
        <w:t xml:space="preserve"> from Data Axle </w:t>
      </w:r>
      <w:r>
        <w:rPr>
          <w:rFonts w:ascii="Times New Roman" w:hAnsi="Times New Roman" w:cs="Times New Roman"/>
        </w:rPr>
        <w:t xml:space="preserve">and D&amp;B Hoovers </w:t>
      </w:r>
      <w:r w:rsidRPr="00693892">
        <w:rPr>
          <w:rFonts w:ascii="Times New Roman" w:hAnsi="Times New Roman" w:cs="Times New Roman"/>
        </w:rPr>
        <w:t xml:space="preserve">on the revenue, NAICS code, and employee count for each entity, parent company, or corporate entity as appropriate. A summary of the number of facilities, the number of unique entities, the breakdown of private sector and government entities, and their size classifications is provided in Exhibit </w:t>
      </w:r>
      <w:r>
        <w:rPr>
          <w:rFonts w:ascii="Times New Roman" w:hAnsi="Times New Roman" w:cs="Times New Roman"/>
        </w:rPr>
        <w:t>C</w:t>
      </w:r>
      <w:r w:rsidRPr="00693892">
        <w:rPr>
          <w:rFonts w:ascii="Times New Roman" w:hAnsi="Times New Roman" w:cs="Times New Roman"/>
        </w:rPr>
        <w:t>-</w:t>
      </w:r>
      <w:r w:rsidR="00E46D3C">
        <w:rPr>
          <w:rFonts w:ascii="Times New Roman" w:hAnsi="Times New Roman" w:cs="Times New Roman"/>
        </w:rPr>
        <w:t>9</w:t>
      </w:r>
      <w:r w:rsidRPr="00693892">
        <w:rPr>
          <w:rFonts w:ascii="Times New Roman" w:hAnsi="Times New Roman" w:cs="Times New Roman"/>
        </w:rPr>
        <w:t>.</w:t>
      </w:r>
      <w:r>
        <w:rPr>
          <w:rFonts w:ascii="Times New Roman" w:hAnsi="Times New Roman" w:cs="Times New Roman"/>
        </w:rPr>
        <w:t xml:space="preserve"> </w:t>
      </w:r>
      <w:r w:rsidR="006A569A">
        <w:rPr>
          <w:rFonts w:ascii="Times New Roman" w:hAnsi="Times New Roman" w:cs="Times New Roman"/>
        </w:rPr>
        <w:t>T</w:t>
      </w:r>
      <w:r>
        <w:rPr>
          <w:rFonts w:ascii="Times New Roman" w:hAnsi="Times New Roman" w:cs="Times New Roman"/>
        </w:rPr>
        <w:t xml:space="preserve">o provide a direct comparison of the </w:t>
      </w:r>
      <w:r w:rsidR="00046D55">
        <w:rPr>
          <w:rFonts w:ascii="Times New Roman" w:hAnsi="Times New Roman" w:cs="Times New Roman"/>
        </w:rPr>
        <w:t>final</w:t>
      </w:r>
      <w:r>
        <w:rPr>
          <w:rFonts w:ascii="Times New Roman" w:hAnsi="Times New Roman" w:cs="Times New Roman"/>
        </w:rPr>
        <w:t xml:space="preserve"> rule results using the two data sources</w:t>
      </w:r>
      <w:r w:rsidR="006A569A">
        <w:rPr>
          <w:rFonts w:ascii="Times New Roman" w:hAnsi="Times New Roman" w:cs="Times New Roman"/>
        </w:rPr>
        <w:t>,</w:t>
      </w:r>
      <w:r>
        <w:rPr>
          <w:rFonts w:ascii="Times New Roman" w:hAnsi="Times New Roman" w:cs="Times New Roman"/>
        </w:rPr>
        <w:t xml:space="preserve"> the small parent entities are classified using </w:t>
      </w:r>
      <w:r w:rsidR="000F6E15">
        <w:rPr>
          <w:rFonts w:ascii="Times New Roman" w:hAnsi="Times New Roman" w:cs="Times New Roman"/>
        </w:rPr>
        <w:t xml:space="preserve">March 17, </w:t>
      </w:r>
      <w:r w:rsidR="00E94453">
        <w:rPr>
          <w:rFonts w:ascii="Times New Roman" w:hAnsi="Times New Roman" w:cs="Times New Roman"/>
        </w:rPr>
        <w:t>202</w:t>
      </w:r>
      <w:r w:rsidR="00526983">
        <w:rPr>
          <w:rFonts w:ascii="Times New Roman" w:hAnsi="Times New Roman" w:cs="Times New Roman"/>
        </w:rPr>
        <w:t>3</w:t>
      </w:r>
      <w:r w:rsidR="00E94453">
        <w:rPr>
          <w:rFonts w:ascii="Times New Roman" w:hAnsi="Times New Roman" w:cs="Times New Roman"/>
        </w:rPr>
        <w:t xml:space="preserve"> </w:t>
      </w:r>
      <w:r>
        <w:rPr>
          <w:rFonts w:ascii="Times New Roman" w:hAnsi="Times New Roman" w:cs="Times New Roman"/>
        </w:rPr>
        <w:t xml:space="preserve">SBA size standards. </w:t>
      </w:r>
      <w:r w:rsidRPr="00693892">
        <w:rPr>
          <w:rFonts w:ascii="Times New Roman" w:hAnsi="Times New Roman" w:cs="Times New Roman"/>
        </w:rPr>
        <w:t xml:space="preserve"> </w:t>
      </w:r>
    </w:p>
    <w:p w:rsidR="002319D8" w:rsidRPr="00693892" w:rsidP="00CF133F" w14:paraId="0FF46055" w14:textId="77777777">
      <w:pPr>
        <w:spacing w:after="0" w:line="240" w:lineRule="auto"/>
        <w:rPr>
          <w:rFonts w:ascii="Times New Roman" w:hAnsi="Times New Roman" w:cs="Times New Roman"/>
        </w:rPr>
      </w:pPr>
    </w:p>
    <w:p w:rsidR="00305F7B" w:rsidP="00CF133F" w14:paraId="2D205048" w14:textId="77777777">
      <w:pPr>
        <w:spacing w:after="0" w:line="240" w:lineRule="auto"/>
        <w:rPr>
          <w:rFonts w:ascii="Times New Roman" w:hAnsi="Times New Roman" w:cs="Times New Roman"/>
        </w:rPr>
      </w:pPr>
    </w:p>
    <w:p w:rsidR="00305F7B" w:rsidP="00CF133F" w14:paraId="4BB4A4DC" w14:textId="77777777">
      <w:pPr>
        <w:spacing w:after="0" w:line="240" w:lineRule="auto"/>
        <w:rPr>
          <w:rFonts w:ascii="Times New Roman" w:hAnsi="Times New Roman" w:cs="Times New Roman"/>
        </w:rPr>
      </w:pPr>
    </w:p>
    <w:p w:rsidR="00305F7B" w:rsidP="00CF133F" w14:paraId="6C25696E" w14:textId="77777777">
      <w:pPr>
        <w:spacing w:after="0" w:line="240" w:lineRule="auto"/>
        <w:rPr>
          <w:rFonts w:ascii="Times New Roman" w:hAnsi="Times New Roman" w:cs="Times New Roman"/>
        </w:rPr>
      </w:pPr>
    </w:p>
    <w:p w:rsidR="00305F7B" w:rsidP="00CF133F" w14:paraId="724A952C" w14:textId="77777777">
      <w:pPr>
        <w:spacing w:after="0" w:line="240" w:lineRule="auto"/>
        <w:rPr>
          <w:rFonts w:ascii="Times New Roman" w:hAnsi="Times New Roman" w:cs="Times New Roman"/>
        </w:rPr>
      </w:pPr>
    </w:p>
    <w:p w:rsidR="00305F7B" w:rsidRPr="00693892" w:rsidP="00CF133F" w14:paraId="3249AEB3" w14:textId="77777777">
      <w:pPr>
        <w:spacing w:after="0" w:line="240" w:lineRule="auto"/>
        <w:rPr>
          <w:rFonts w:ascii="Times New Roman" w:hAnsi="Times New Roman" w:cs="Times New Roman"/>
        </w:rPr>
      </w:pPr>
    </w:p>
    <w:p w:rsidR="002319D8" w:rsidRPr="00E92045" w:rsidP="002319D8" w14:paraId="4FBFCA4A" w14:textId="77777777">
      <w:pPr>
        <w:pStyle w:val="Caption"/>
        <w:jc w:val="center"/>
        <w:rPr>
          <w:rFonts w:ascii="Times New Roman" w:hAnsi="Times New Roman" w:cs="Times New Roman"/>
          <w:b/>
          <w:bCs/>
          <w:i w:val="0"/>
          <w:iCs w:val="0"/>
          <w:color w:val="auto"/>
          <w:sz w:val="22"/>
          <w:szCs w:val="22"/>
        </w:rPr>
      </w:pPr>
      <w:r w:rsidRPr="00E92045">
        <w:rPr>
          <w:rFonts w:ascii="Times New Roman" w:hAnsi="Times New Roman" w:cs="Times New Roman"/>
          <w:b/>
          <w:bCs/>
          <w:i w:val="0"/>
          <w:iCs w:val="0"/>
          <w:color w:val="auto"/>
          <w:sz w:val="22"/>
          <w:szCs w:val="22"/>
        </w:rPr>
        <w:t xml:space="preserve">Exhibit </w:t>
      </w:r>
      <w:r>
        <w:rPr>
          <w:rFonts w:ascii="Times New Roman" w:hAnsi="Times New Roman" w:cs="Times New Roman"/>
          <w:b/>
          <w:bCs/>
          <w:i w:val="0"/>
          <w:iCs w:val="0"/>
          <w:color w:val="auto"/>
          <w:sz w:val="22"/>
          <w:szCs w:val="22"/>
        </w:rPr>
        <w:t>C</w:t>
      </w:r>
      <w:r w:rsidRPr="00E92045">
        <w:rPr>
          <w:rFonts w:ascii="Times New Roman" w:hAnsi="Times New Roman" w:cs="Times New Roman"/>
          <w:b/>
          <w:bCs/>
          <w:i w:val="0"/>
          <w:iCs w:val="0"/>
          <w:color w:val="auto"/>
          <w:sz w:val="22"/>
          <w:szCs w:val="22"/>
        </w:rPr>
        <w:t>-</w:t>
      </w:r>
      <w:r w:rsidR="00E46D3C">
        <w:rPr>
          <w:rFonts w:ascii="Times New Roman" w:hAnsi="Times New Roman" w:cs="Times New Roman"/>
          <w:b/>
          <w:bCs/>
          <w:i w:val="0"/>
          <w:iCs w:val="0"/>
          <w:color w:val="auto"/>
          <w:sz w:val="22"/>
          <w:szCs w:val="22"/>
        </w:rPr>
        <w:t>9</w:t>
      </w:r>
      <w:r w:rsidRPr="00E92045">
        <w:rPr>
          <w:rFonts w:ascii="Times New Roman" w:hAnsi="Times New Roman" w:cs="Times New Roman"/>
          <w:b/>
          <w:bCs/>
          <w:i w:val="0"/>
          <w:iCs w:val="0"/>
          <w:color w:val="auto"/>
          <w:sz w:val="22"/>
          <w:szCs w:val="22"/>
        </w:rPr>
        <w:t>: RMP Facility and Entity Counts.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5"/>
        <w:gridCol w:w="1706"/>
        <w:gridCol w:w="1706"/>
        <w:gridCol w:w="1706"/>
        <w:gridCol w:w="1707"/>
      </w:tblGrid>
      <w:tr w14:paraId="0CEFE6EA" w14:textId="77777777" w:rsidTr="00D8562D">
        <w:tblPrEx>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55"/>
          <w:tblHeader/>
        </w:trPr>
        <w:tc>
          <w:tcPr>
            <w:tcW w:w="2525" w:type="dxa"/>
            <w:shd w:val="clear" w:color="auto" w:fill="D9D9D9" w:themeFill="background1" w:themeFillShade="D9"/>
            <w:noWrap/>
            <w:vAlign w:val="bottom"/>
          </w:tcPr>
          <w:p w:rsidR="002319D8" w:rsidRPr="00743163" w14:paraId="0BC05ABE" w14:textId="77777777">
            <w:pPr>
              <w:rPr>
                <w:rFonts w:ascii="Times New Roman" w:eastAsia="Times New Roman" w:hAnsi="Times New Roman" w:cs="Times New Roman"/>
                <w:color w:val="000000"/>
                <w:sz w:val="20"/>
                <w:szCs w:val="20"/>
              </w:rPr>
            </w:pPr>
          </w:p>
        </w:tc>
        <w:tc>
          <w:tcPr>
            <w:tcW w:w="3412" w:type="dxa"/>
            <w:gridSpan w:val="2"/>
            <w:shd w:val="clear" w:color="auto" w:fill="D9D9D9" w:themeFill="background1" w:themeFillShade="D9"/>
            <w:noWrap/>
            <w:vAlign w:val="bottom"/>
          </w:tcPr>
          <w:p w:rsidR="002319D8" w:rsidRPr="00743163" w14:paraId="6D65E70A" w14:textId="77777777">
            <w:pPr>
              <w:jc w:val="center"/>
              <w:rPr>
                <w:rFonts w:ascii="Times New Roman" w:eastAsia="Times New Roman" w:hAnsi="Times New Roman" w:cs="Times New Roman"/>
                <w:b/>
                <w:color w:val="000000"/>
                <w:sz w:val="20"/>
                <w:szCs w:val="20"/>
              </w:rPr>
            </w:pPr>
            <w:r w:rsidRPr="00743163">
              <w:rPr>
                <w:rFonts w:ascii="Times New Roman" w:eastAsia="Times New Roman" w:hAnsi="Times New Roman" w:cs="Times New Roman"/>
                <w:b/>
                <w:color w:val="000000"/>
                <w:sz w:val="20"/>
                <w:szCs w:val="20"/>
              </w:rPr>
              <w:t>D&amp;B Hoovers</w:t>
            </w:r>
          </w:p>
        </w:tc>
        <w:tc>
          <w:tcPr>
            <w:tcW w:w="3413" w:type="dxa"/>
            <w:gridSpan w:val="2"/>
            <w:shd w:val="clear" w:color="auto" w:fill="D9D9D9" w:themeFill="background1" w:themeFillShade="D9"/>
            <w:vAlign w:val="bottom"/>
          </w:tcPr>
          <w:p w:rsidR="002319D8" w:rsidRPr="00743163" w14:paraId="795D576D" w14:textId="77777777">
            <w:pPr>
              <w:jc w:val="center"/>
              <w:rPr>
                <w:rFonts w:ascii="Times New Roman" w:eastAsia="Times New Roman" w:hAnsi="Times New Roman" w:cs="Times New Roman"/>
                <w:b/>
                <w:color w:val="000000"/>
                <w:sz w:val="20"/>
                <w:szCs w:val="20"/>
              </w:rPr>
            </w:pPr>
            <w:r w:rsidRPr="00743163">
              <w:rPr>
                <w:rFonts w:ascii="Times New Roman" w:eastAsia="Times New Roman" w:hAnsi="Times New Roman" w:cs="Times New Roman"/>
                <w:b/>
                <w:color w:val="000000"/>
                <w:sz w:val="20"/>
                <w:szCs w:val="20"/>
              </w:rPr>
              <w:t>Data Axle</w:t>
            </w:r>
          </w:p>
        </w:tc>
      </w:tr>
      <w:tr w14:paraId="50301433" w14:textId="77777777">
        <w:tblPrEx>
          <w:tblW w:w="9350" w:type="dxa"/>
          <w:tblLayout w:type="fixed"/>
          <w:tblLook w:val="04A0"/>
        </w:tblPrEx>
        <w:trPr>
          <w:trHeight w:val="255"/>
        </w:trPr>
        <w:tc>
          <w:tcPr>
            <w:tcW w:w="2525" w:type="dxa"/>
            <w:shd w:val="clear" w:color="auto" w:fill="auto"/>
            <w:noWrap/>
            <w:vAlign w:val="bottom"/>
            <w:hideMark/>
          </w:tcPr>
          <w:p w:rsidR="002319D8" w:rsidRPr="00743163" w14:paraId="6A7A4B4A" w14:textId="77777777">
            <w:pPr>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 </w:t>
            </w:r>
          </w:p>
        </w:tc>
        <w:tc>
          <w:tcPr>
            <w:tcW w:w="1706" w:type="dxa"/>
            <w:shd w:val="clear" w:color="auto" w:fill="auto"/>
            <w:noWrap/>
            <w:hideMark/>
          </w:tcPr>
          <w:p w:rsidR="002319D8" w:rsidRPr="00743163" w14:paraId="70A73D22" w14:textId="77777777">
            <w:pPr>
              <w:rPr>
                <w:rFonts w:ascii="Times New Roman" w:eastAsia="Times New Roman" w:hAnsi="Times New Roman" w:cs="Times New Roman"/>
                <w:b/>
                <w:color w:val="000000"/>
                <w:sz w:val="20"/>
                <w:szCs w:val="20"/>
              </w:rPr>
            </w:pPr>
            <w:r w:rsidRPr="00544E9D">
              <w:rPr>
                <w:rFonts w:ascii="Times New Roman" w:hAnsi="Times New Roman" w:cs="Times New Roman"/>
                <w:sz w:val="20"/>
                <w:szCs w:val="20"/>
              </w:rPr>
              <w:t>Number of Entities</w:t>
            </w:r>
          </w:p>
        </w:tc>
        <w:tc>
          <w:tcPr>
            <w:tcW w:w="1706" w:type="dxa"/>
            <w:vMerge w:val="restart"/>
            <w:shd w:val="clear" w:color="auto" w:fill="auto"/>
            <w:noWrap/>
            <w:hideMark/>
          </w:tcPr>
          <w:p w:rsidR="00544E9D" w:rsidRPr="00544E9D" w:rsidP="00544E9D" w14:paraId="5AE126BA" w14:textId="77777777">
            <w:pPr>
              <w:rPr>
                <w:rFonts w:ascii="Times New Roman" w:eastAsia="Times New Roman" w:hAnsi="Times New Roman" w:cs="Times New Roman"/>
                <w:b/>
                <w:color w:val="000000"/>
                <w:sz w:val="20"/>
                <w:szCs w:val="20"/>
              </w:rPr>
            </w:pPr>
            <w:r w:rsidRPr="00544E9D">
              <w:rPr>
                <w:rFonts w:ascii="Times New Roman" w:hAnsi="Times New Roman" w:cs="Times New Roman"/>
                <w:sz w:val="20"/>
                <w:szCs w:val="20"/>
              </w:rPr>
              <w:t xml:space="preserve">Percent </w:t>
            </w:r>
          </w:p>
          <w:p w:rsidR="002319D8" w:rsidRPr="00743163" w14:paraId="0A97A4A3" w14:textId="77777777">
            <w:pPr>
              <w:rPr>
                <w:rFonts w:ascii="Times New Roman" w:eastAsia="Times New Roman" w:hAnsi="Times New Roman" w:cs="Times New Roman"/>
                <w:b/>
                <w:color w:val="000000"/>
                <w:sz w:val="20"/>
                <w:szCs w:val="20"/>
              </w:rPr>
            </w:pPr>
          </w:p>
        </w:tc>
        <w:tc>
          <w:tcPr>
            <w:tcW w:w="1706" w:type="dxa"/>
          </w:tcPr>
          <w:p w:rsidR="002319D8" w:rsidRPr="00743163" w14:paraId="7693A660" w14:textId="77777777">
            <w:pPr>
              <w:rPr>
                <w:rFonts w:ascii="Times New Roman" w:eastAsia="Times New Roman" w:hAnsi="Times New Roman" w:cs="Times New Roman"/>
                <w:b/>
                <w:color w:val="000000"/>
                <w:sz w:val="20"/>
                <w:szCs w:val="20"/>
              </w:rPr>
            </w:pPr>
            <w:r w:rsidRPr="00544E9D">
              <w:rPr>
                <w:rFonts w:ascii="Times New Roman" w:hAnsi="Times New Roman" w:cs="Times New Roman"/>
                <w:sz w:val="20"/>
                <w:szCs w:val="20"/>
              </w:rPr>
              <w:t>Number of Entities</w:t>
            </w:r>
          </w:p>
        </w:tc>
        <w:tc>
          <w:tcPr>
            <w:tcW w:w="1707" w:type="dxa"/>
            <w:vMerge w:val="restart"/>
          </w:tcPr>
          <w:p w:rsidR="00544E9D" w:rsidRPr="00544E9D" w:rsidP="00544E9D" w14:paraId="1962B4AD" w14:textId="77777777">
            <w:pPr>
              <w:rPr>
                <w:rFonts w:ascii="Times New Roman" w:eastAsia="Times New Roman" w:hAnsi="Times New Roman" w:cs="Times New Roman"/>
                <w:b/>
                <w:color w:val="000000"/>
                <w:sz w:val="20"/>
                <w:szCs w:val="20"/>
              </w:rPr>
            </w:pPr>
            <w:r w:rsidRPr="00544E9D">
              <w:rPr>
                <w:rFonts w:ascii="Times New Roman" w:hAnsi="Times New Roman" w:cs="Times New Roman"/>
                <w:sz w:val="20"/>
                <w:szCs w:val="20"/>
              </w:rPr>
              <w:t>Percent</w:t>
            </w:r>
          </w:p>
          <w:p w:rsidR="002319D8" w:rsidRPr="00743163" w14:paraId="7ABA17CD" w14:textId="77777777">
            <w:pPr>
              <w:rPr>
                <w:rFonts w:ascii="Times New Roman" w:eastAsia="Times New Roman" w:hAnsi="Times New Roman" w:cs="Times New Roman"/>
                <w:b/>
                <w:color w:val="000000"/>
                <w:sz w:val="20"/>
                <w:szCs w:val="20"/>
              </w:rPr>
            </w:pPr>
          </w:p>
        </w:tc>
      </w:tr>
      <w:tr w14:paraId="13C04B0A" w14:textId="77777777">
        <w:tblPrEx>
          <w:tblW w:w="9350" w:type="dxa"/>
          <w:tblLayout w:type="fixed"/>
          <w:tblLook w:val="04A0"/>
        </w:tblPrEx>
        <w:trPr>
          <w:trHeight w:val="368"/>
        </w:trPr>
        <w:tc>
          <w:tcPr>
            <w:tcW w:w="2525" w:type="dxa"/>
            <w:shd w:val="clear" w:color="auto" w:fill="auto"/>
            <w:noWrap/>
            <w:vAlign w:val="bottom"/>
            <w:hideMark/>
          </w:tcPr>
          <w:p w:rsidR="002319D8" w:rsidRPr="00743163" w14:paraId="5F83C4C3" w14:textId="77777777">
            <w:pPr>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Total Facilities</w:t>
            </w:r>
          </w:p>
        </w:tc>
        <w:tc>
          <w:tcPr>
            <w:tcW w:w="1706" w:type="dxa"/>
            <w:shd w:val="clear" w:color="auto" w:fill="auto"/>
            <w:noWrap/>
            <w:hideMark/>
          </w:tcPr>
          <w:p w:rsidR="002319D8" w:rsidRPr="00743163" w14:paraId="5D205DAE"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11,740</w:t>
            </w:r>
          </w:p>
        </w:tc>
        <w:tc>
          <w:tcPr>
            <w:tcW w:w="1706" w:type="dxa"/>
            <w:vMerge/>
            <w:shd w:val="clear" w:color="auto" w:fill="auto"/>
            <w:noWrap/>
            <w:hideMark/>
          </w:tcPr>
          <w:p w:rsidR="002319D8" w:rsidRPr="00743163" w14:paraId="3DB6CB2E" w14:textId="77777777">
            <w:pPr>
              <w:jc w:val="right"/>
              <w:rPr>
                <w:rFonts w:ascii="Times New Roman" w:eastAsia="Times New Roman" w:hAnsi="Times New Roman" w:cs="Times New Roman"/>
                <w:color w:val="000000"/>
                <w:sz w:val="20"/>
                <w:szCs w:val="20"/>
              </w:rPr>
            </w:pPr>
          </w:p>
        </w:tc>
        <w:tc>
          <w:tcPr>
            <w:tcW w:w="1706" w:type="dxa"/>
          </w:tcPr>
          <w:p w:rsidR="002319D8" w:rsidRPr="00743163" w14:paraId="289D7DED"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11,740</w:t>
            </w:r>
          </w:p>
        </w:tc>
        <w:tc>
          <w:tcPr>
            <w:tcW w:w="1707" w:type="dxa"/>
            <w:vMerge/>
          </w:tcPr>
          <w:p w:rsidR="002319D8" w:rsidRPr="00743163" w14:paraId="3CF4BB40" w14:textId="77777777">
            <w:pPr>
              <w:jc w:val="right"/>
              <w:rPr>
                <w:rFonts w:ascii="Times New Roman" w:eastAsia="Times New Roman" w:hAnsi="Times New Roman" w:cs="Times New Roman"/>
                <w:color w:val="000000"/>
                <w:sz w:val="20"/>
                <w:szCs w:val="20"/>
              </w:rPr>
            </w:pPr>
          </w:p>
        </w:tc>
      </w:tr>
      <w:tr w14:paraId="7C2198FA" w14:textId="77777777">
        <w:tblPrEx>
          <w:tblW w:w="9350" w:type="dxa"/>
          <w:tblLayout w:type="fixed"/>
          <w:tblLook w:val="04A0"/>
        </w:tblPrEx>
        <w:trPr>
          <w:trHeight w:val="255"/>
        </w:trPr>
        <w:tc>
          <w:tcPr>
            <w:tcW w:w="2525" w:type="dxa"/>
            <w:shd w:val="clear" w:color="auto" w:fill="auto"/>
            <w:noWrap/>
            <w:vAlign w:val="bottom"/>
          </w:tcPr>
          <w:p w:rsidR="002319D8" w:rsidRPr="00743163" w14:paraId="530B685E" w14:textId="77777777">
            <w:pPr>
              <w:ind w:firstLine="200" w:firstLineChars="1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Total Entities</w:t>
            </w:r>
          </w:p>
        </w:tc>
        <w:tc>
          <w:tcPr>
            <w:tcW w:w="1706" w:type="dxa"/>
            <w:shd w:val="clear" w:color="auto" w:fill="auto"/>
            <w:noWrap/>
          </w:tcPr>
          <w:p w:rsidR="002319D8" w:rsidRPr="00743163" w14:paraId="77AFBEA7"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5,</w:t>
            </w:r>
            <w:r w:rsidRPr="00544E9D" w:rsidR="00544E9D">
              <w:rPr>
                <w:rFonts w:ascii="Times New Roman" w:hAnsi="Times New Roman" w:cs="Times New Roman"/>
                <w:sz w:val="20"/>
                <w:szCs w:val="20"/>
              </w:rPr>
              <w:t>649</w:t>
            </w:r>
          </w:p>
        </w:tc>
        <w:tc>
          <w:tcPr>
            <w:tcW w:w="1706" w:type="dxa"/>
            <w:vMerge/>
            <w:shd w:val="clear" w:color="auto" w:fill="auto"/>
            <w:noWrap/>
          </w:tcPr>
          <w:p w:rsidR="002319D8" w:rsidRPr="00743163" w14:paraId="2C320B13" w14:textId="77777777">
            <w:pPr>
              <w:jc w:val="right"/>
              <w:rPr>
                <w:rFonts w:ascii="Times New Roman" w:eastAsia="Times New Roman" w:hAnsi="Times New Roman" w:cs="Times New Roman"/>
                <w:color w:val="000000"/>
                <w:sz w:val="20"/>
                <w:szCs w:val="20"/>
              </w:rPr>
            </w:pPr>
          </w:p>
        </w:tc>
        <w:tc>
          <w:tcPr>
            <w:tcW w:w="1706" w:type="dxa"/>
          </w:tcPr>
          <w:p w:rsidR="002319D8" w:rsidRPr="00743163" w14:paraId="16DF9BDD"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5,</w:t>
            </w:r>
            <w:r w:rsidRPr="00544E9D" w:rsidR="00544E9D">
              <w:rPr>
                <w:rFonts w:ascii="Times New Roman" w:hAnsi="Times New Roman" w:cs="Times New Roman"/>
                <w:sz w:val="20"/>
                <w:szCs w:val="20"/>
              </w:rPr>
              <w:t>508</w:t>
            </w:r>
          </w:p>
        </w:tc>
        <w:tc>
          <w:tcPr>
            <w:tcW w:w="1707" w:type="dxa"/>
            <w:vMerge/>
          </w:tcPr>
          <w:p w:rsidR="002319D8" w:rsidRPr="00743163" w14:paraId="1B6B3D76" w14:textId="77777777">
            <w:pPr>
              <w:jc w:val="right"/>
              <w:rPr>
                <w:rFonts w:ascii="Times New Roman" w:eastAsia="Times New Roman" w:hAnsi="Times New Roman" w:cs="Times New Roman"/>
                <w:color w:val="000000"/>
                <w:sz w:val="20"/>
                <w:szCs w:val="20"/>
              </w:rPr>
            </w:pPr>
          </w:p>
        </w:tc>
      </w:tr>
      <w:tr w14:paraId="11C9BFF4" w14:textId="77777777" w:rsidTr="005F581A">
        <w:tblPrEx>
          <w:tblW w:w="9350" w:type="dxa"/>
          <w:tblLayout w:type="fixed"/>
          <w:tblLook w:val="04A0"/>
        </w:tblPrEx>
        <w:trPr>
          <w:trHeight w:val="255"/>
        </w:trPr>
        <w:tc>
          <w:tcPr>
            <w:tcW w:w="2525" w:type="dxa"/>
            <w:shd w:val="clear" w:color="auto" w:fill="auto"/>
            <w:noWrap/>
            <w:hideMark/>
          </w:tcPr>
          <w:p w:rsidR="002319D8" w:rsidRPr="00743163" w14:paraId="2FF6A91B" w14:textId="77777777">
            <w:pPr>
              <w:ind w:firstLine="200" w:firstLineChars="1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Private Sector Entities</w:t>
            </w:r>
          </w:p>
        </w:tc>
        <w:tc>
          <w:tcPr>
            <w:tcW w:w="1706" w:type="dxa"/>
            <w:shd w:val="clear" w:color="auto" w:fill="auto"/>
            <w:noWrap/>
            <w:hideMark/>
          </w:tcPr>
          <w:p w:rsidR="002319D8" w:rsidRPr="00743163" w14:paraId="24C23512"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4,</w:t>
            </w:r>
            <w:r w:rsidRPr="00544E9D" w:rsidR="00544E9D">
              <w:rPr>
                <w:rFonts w:ascii="Times New Roman" w:hAnsi="Times New Roman" w:cs="Times New Roman"/>
                <w:sz w:val="20"/>
                <w:szCs w:val="20"/>
              </w:rPr>
              <w:t>538</w:t>
            </w:r>
          </w:p>
        </w:tc>
        <w:tc>
          <w:tcPr>
            <w:tcW w:w="1706" w:type="dxa"/>
            <w:shd w:val="clear" w:color="auto" w:fill="auto"/>
            <w:noWrap/>
            <w:hideMark/>
          </w:tcPr>
          <w:p w:rsidR="002319D8" w:rsidRPr="00743163" w14:paraId="497AB939"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80% of total entities</w:t>
            </w:r>
          </w:p>
        </w:tc>
        <w:tc>
          <w:tcPr>
            <w:tcW w:w="1706" w:type="dxa"/>
          </w:tcPr>
          <w:p w:rsidR="002319D8" w:rsidRPr="00743163" w14:paraId="042096B4"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4,</w:t>
            </w:r>
            <w:r w:rsidRPr="00544E9D" w:rsidR="00544E9D">
              <w:rPr>
                <w:rFonts w:ascii="Times New Roman" w:hAnsi="Times New Roman" w:cs="Times New Roman"/>
                <w:sz w:val="20"/>
                <w:szCs w:val="20"/>
              </w:rPr>
              <w:t>480</w:t>
            </w:r>
          </w:p>
        </w:tc>
        <w:tc>
          <w:tcPr>
            <w:tcW w:w="1707" w:type="dxa"/>
          </w:tcPr>
          <w:p w:rsidR="002319D8" w:rsidRPr="00743163" w14:paraId="71422671"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81% of total entities</w:t>
            </w:r>
          </w:p>
        </w:tc>
      </w:tr>
      <w:tr w14:paraId="08619C10" w14:textId="77777777" w:rsidTr="005F581A">
        <w:tblPrEx>
          <w:tblW w:w="9350" w:type="dxa"/>
          <w:tblLayout w:type="fixed"/>
          <w:tblLook w:val="04A0"/>
        </w:tblPrEx>
        <w:trPr>
          <w:trHeight w:val="255"/>
        </w:trPr>
        <w:tc>
          <w:tcPr>
            <w:tcW w:w="2525" w:type="dxa"/>
            <w:shd w:val="clear" w:color="auto" w:fill="auto"/>
            <w:noWrap/>
            <w:hideMark/>
          </w:tcPr>
          <w:p w:rsidR="002319D8" w:rsidRPr="00743163" w14:paraId="03D5B3B5" w14:textId="77777777">
            <w:pPr>
              <w:ind w:firstLine="400" w:firstLineChars="2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Small</w:t>
            </w:r>
          </w:p>
        </w:tc>
        <w:tc>
          <w:tcPr>
            <w:tcW w:w="1706" w:type="dxa"/>
            <w:shd w:val="clear" w:color="auto" w:fill="auto"/>
            <w:noWrap/>
            <w:hideMark/>
          </w:tcPr>
          <w:p w:rsidR="002319D8" w:rsidRPr="00743163" w14:paraId="385BE5D8"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2,</w:t>
            </w:r>
            <w:r w:rsidRPr="00544E9D" w:rsidR="00544E9D">
              <w:rPr>
                <w:rFonts w:ascii="Times New Roman" w:hAnsi="Times New Roman" w:cs="Times New Roman"/>
                <w:sz w:val="20"/>
                <w:szCs w:val="20"/>
              </w:rPr>
              <w:t>636</w:t>
            </w:r>
          </w:p>
        </w:tc>
        <w:tc>
          <w:tcPr>
            <w:tcW w:w="1706" w:type="dxa"/>
            <w:shd w:val="clear" w:color="auto" w:fill="auto"/>
            <w:noWrap/>
            <w:hideMark/>
          </w:tcPr>
          <w:p w:rsidR="002319D8" w:rsidRPr="00743163" w14:paraId="388D6710"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58% of private sector entities</w:t>
            </w:r>
          </w:p>
        </w:tc>
        <w:tc>
          <w:tcPr>
            <w:tcW w:w="1706" w:type="dxa"/>
          </w:tcPr>
          <w:p w:rsidR="002319D8" w:rsidRPr="00743163" w14:paraId="23B79141"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2,</w:t>
            </w:r>
            <w:r w:rsidRPr="00544E9D" w:rsidR="00544E9D">
              <w:rPr>
                <w:rFonts w:ascii="Times New Roman" w:hAnsi="Times New Roman" w:cs="Times New Roman"/>
                <w:sz w:val="20"/>
                <w:szCs w:val="20"/>
              </w:rPr>
              <w:t>263</w:t>
            </w:r>
          </w:p>
        </w:tc>
        <w:tc>
          <w:tcPr>
            <w:tcW w:w="1707" w:type="dxa"/>
          </w:tcPr>
          <w:p w:rsidR="002319D8" w:rsidRPr="00743163" w14:paraId="544C262E"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51% of private sector entities</w:t>
            </w:r>
          </w:p>
        </w:tc>
      </w:tr>
      <w:tr w14:paraId="2694B1FD" w14:textId="77777777" w:rsidTr="005F581A">
        <w:tblPrEx>
          <w:tblW w:w="9350" w:type="dxa"/>
          <w:tblLayout w:type="fixed"/>
          <w:tblLook w:val="04A0"/>
        </w:tblPrEx>
        <w:trPr>
          <w:trHeight w:val="255"/>
        </w:trPr>
        <w:tc>
          <w:tcPr>
            <w:tcW w:w="2525" w:type="dxa"/>
            <w:shd w:val="clear" w:color="auto" w:fill="auto"/>
            <w:noWrap/>
            <w:hideMark/>
          </w:tcPr>
          <w:p w:rsidR="002319D8" w:rsidRPr="00743163" w14:paraId="23ACD420" w14:textId="77777777">
            <w:pPr>
              <w:ind w:firstLine="400" w:firstLineChars="2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Non-small</w:t>
            </w:r>
          </w:p>
        </w:tc>
        <w:tc>
          <w:tcPr>
            <w:tcW w:w="1706" w:type="dxa"/>
            <w:shd w:val="clear" w:color="auto" w:fill="auto"/>
            <w:noWrap/>
            <w:hideMark/>
          </w:tcPr>
          <w:p w:rsidR="002319D8" w:rsidRPr="00743163" w14:paraId="38529FF3"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1,902</w:t>
            </w:r>
          </w:p>
        </w:tc>
        <w:tc>
          <w:tcPr>
            <w:tcW w:w="1706" w:type="dxa"/>
            <w:shd w:val="clear" w:color="auto" w:fill="auto"/>
            <w:noWrap/>
            <w:hideMark/>
          </w:tcPr>
          <w:p w:rsidR="002319D8" w:rsidRPr="00743163" w14:paraId="54CEFC53"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42% of private sector entities</w:t>
            </w:r>
          </w:p>
        </w:tc>
        <w:tc>
          <w:tcPr>
            <w:tcW w:w="1706" w:type="dxa"/>
          </w:tcPr>
          <w:p w:rsidR="002319D8" w:rsidRPr="00743163" w14:paraId="23B2EE32"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2,214</w:t>
            </w:r>
          </w:p>
        </w:tc>
        <w:tc>
          <w:tcPr>
            <w:tcW w:w="1707" w:type="dxa"/>
          </w:tcPr>
          <w:p w:rsidR="002319D8" w:rsidRPr="00743163" w14:paraId="2268B92D"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49% of private sector entities</w:t>
            </w:r>
          </w:p>
        </w:tc>
      </w:tr>
      <w:tr w14:paraId="2A9599DE" w14:textId="77777777" w:rsidTr="005F581A">
        <w:tblPrEx>
          <w:tblW w:w="9350" w:type="dxa"/>
          <w:tblLayout w:type="fixed"/>
          <w:tblLook w:val="04A0"/>
        </w:tblPrEx>
        <w:trPr>
          <w:trHeight w:val="255"/>
        </w:trPr>
        <w:tc>
          <w:tcPr>
            <w:tcW w:w="2525" w:type="dxa"/>
            <w:shd w:val="clear" w:color="auto" w:fill="auto"/>
            <w:noWrap/>
            <w:hideMark/>
          </w:tcPr>
          <w:p w:rsidR="002319D8" w:rsidRPr="00743163" w14:paraId="317D0B0E" w14:textId="77777777">
            <w:pPr>
              <w:ind w:firstLine="200" w:firstLineChars="1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Government Entities</w:t>
            </w:r>
          </w:p>
        </w:tc>
        <w:tc>
          <w:tcPr>
            <w:tcW w:w="1706" w:type="dxa"/>
            <w:shd w:val="clear" w:color="auto" w:fill="auto"/>
            <w:noWrap/>
            <w:hideMark/>
          </w:tcPr>
          <w:p w:rsidR="002319D8" w:rsidRPr="00743163" w14:paraId="251DF141"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1,</w:t>
            </w:r>
            <w:r w:rsidRPr="00544E9D" w:rsidR="00544E9D">
              <w:rPr>
                <w:rFonts w:ascii="Times New Roman" w:hAnsi="Times New Roman" w:cs="Times New Roman"/>
                <w:sz w:val="20"/>
                <w:szCs w:val="20"/>
              </w:rPr>
              <w:t>111</w:t>
            </w:r>
          </w:p>
        </w:tc>
        <w:tc>
          <w:tcPr>
            <w:tcW w:w="1706" w:type="dxa"/>
            <w:shd w:val="clear" w:color="auto" w:fill="auto"/>
            <w:noWrap/>
            <w:hideMark/>
          </w:tcPr>
          <w:p w:rsidR="002319D8" w:rsidRPr="00743163" w14:paraId="08BD03F0"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20% of total entities</w:t>
            </w:r>
          </w:p>
        </w:tc>
        <w:tc>
          <w:tcPr>
            <w:tcW w:w="1706" w:type="dxa"/>
          </w:tcPr>
          <w:p w:rsidR="002319D8" w:rsidRPr="00743163" w14:paraId="564CBFF0"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1,</w:t>
            </w:r>
            <w:r w:rsidRPr="00544E9D" w:rsidR="00544E9D">
              <w:rPr>
                <w:rFonts w:ascii="Times New Roman" w:hAnsi="Times New Roman" w:cs="Times New Roman"/>
                <w:sz w:val="20"/>
                <w:szCs w:val="20"/>
              </w:rPr>
              <w:t>028</w:t>
            </w:r>
          </w:p>
        </w:tc>
        <w:tc>
          <w:tcPr>
            <w:tcW w:w="1707" w:type="dxa"/>
          </w:tcPr>
          <w:p w:rsidR="002319D8" w:rsidRPr="00743163" w14:paraId="596C4B67"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19% of total entities</w:t>
            </w:r>
          </w:p>
        </w:tc>
      </w:tr>
      <w:tr w14:paraId="317F1ACE" w14:textId="77777777" w:rsidTr="005F581A">
        <w:tblPrEx>
          <w:tblW w:w="9350" w:type="dxa"/>
          <w:tblLayout w:type="fixed"/>
          <w:tblLook w:val="04A0"/>
        </w:tblPrEx>
        <w:trPr>
          <w:trHeight w:val="255"/>
        </w:trPr>
        <w:tc>
          <w:tcPr>
            <w:tcW w:w="2525" w:type="dxa"/>
            <w:shd w:val="clear" w:color="auto" w:fill="auto"/>
            <w:noWrap/>
            <w:hideMark/>
          </w:tcPr>
          <w:p w:rsidR="002319D8" w:rsidRPr="00743163" w14:paraId="483C9F42" w14:textId="77777777">
            <w:pPr>
              <w:ind w:firstLine="400" w:firstLineChars="2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Small</w:t>
            </w:r>
          </w:p>
        </w:tc>
        <w:tc>
          <w:tcPr>
            <w:tcW w:w="1706" w:type="dxa"/>
            <w:shd w:val="clear" w:color="auto" w:fill="auto"/>
            <w:noWrap/>
            <w:hideMark/>
          </w:tcPr>
          <w:p w:rsidR="002319D8" w:rsidRPr="00743163" w14:paraId="58B67700"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630</w:t>
            </w:r>
          </w:p>
        </w:tc>
        <w:tc>
          <w:tcPr>
            <w:tcW w:w="1706" w:type="dxa"/>
            <w:shd w:val="clear" w:color="auto" w:fill="auto"/>
            <w:noWrap/>
            <w:hideMark/>
          </w:tcPr>
          <w:p w:rsidR="002319D8" w:rsidRPr="00743163" w14:paraId="6B001489"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57% of government entities</w:t>
            </w:r>
          </w:p>
        </w:tc>
        <w:tc>
          <w:tcPr>
            <w:tcW w:w="1706" w:type="dxa"/>
          </w:tcPr>
          <w:p w:rsidR="002319D8" w:rsidRPr="00743163" w14:paraId="7D20CE4B"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590</w:t>
            </w:r>
          </w:p>
        </w:tc>
        <w:tc>
          <w:tcPr>
            <w:tcW w:w="1707" w:type="dxa"/>
          </w:tcPr>
          <w:p w:rsidR="002319D8" w:rsidRPr="00743163" w14:paraId="6E96FD44"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57% of government entities</w:t>
            </w:r>
          </w:p>
        </w:tc>
      </w:tr>
      <w:tr w14:paraId="2FC8F525" w14:textId="77777777" w:rsidTr="005F581A">
        <w:tblPrEx>
          <w:tblW w:w="9350" w:type="dxa"/>
          <w:tblLayout w:type="fixed"/>
          <w:tblLook w:val="04A0"/>
        </w:tblPrEx>
        <w:trPr>
          <w:trHeight w:val="255"/>
        </w:trPr>
        <w:tc>
          <w:tcPr>
            <w:tcW w:w="2525" w:type="dxa"/>
            <w:shd w:val="clear" w:color="auto" w:fill="auto"/>
            <w:noWrap/>
            <w:hideMark/>
          </w:tcPr>
          <w:p w:rsidR="002319D8" w:rsidRPr="00743163" w14:paraId="74342979" w14:textId="77777777">
            <w:pPr>
              <w:ind w:firstLine="400" w:firstLineChars="200"/>
              <w:rPr>
                <w:rFonts w:ascii="Times New Roman" w:eastAsia="Times New Roman" w:hAnsi="Times New Roman" w:cs="Times New Roman"/>
                <w:color w:val="000000"/>
                <w:sz w:val="20"/>
                <w:szCs w:val="20"/>
              </w:rPr>
            </w:pPr>
            <w:r w:rsidRPr="00743163">
              <w:rPr>
                <w:rFonts w:ascii="Times New Roman" w:eastAsia="Times New Roman" w:hAnsi="Times New Roman" w:cs="Times New Roman"/>
                <w:color w:val="000000"/>
                <w:sz w:val="20"/>
                <w:szCs w:val="20"/>
              </w:rPr>
              <w:t>Non-small</w:t>
            </w:r>
          </w:p>
        </w:tc>
        <w:tc>
          <w:tcPr>
            <w:tcW w:w="1706" w:type="dxa"/>
            <w:shd w:val="clear" w:color="auto" w:fill="auto"/>
            <w:noWrap/>
            <w:hideMark/>
          </w:tcPr>
          <w:p w:rsidR="002319D8" w:rsidRPr="00743163" w14:paraId="10280298"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481</w:t>
            </w:r>
          </w:p>
        </w:tc>
        <w:tc>
          <w:tcPr>
            <w:tcW w:w="1706" w:type="dxa"/>
            <w:shd w:val="clear" w:color="auto" w:fill="auto"/>
            <w:noWrap/>
            <w:hideMark/>
          </w:tcPr>
          <w:p w:rsidR="002319D8" w:rsidRPr="00743163" w14:paraId="69F8299A"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43% of government entities</w:t>
            </w:r>
          </w:p>
        </w:tc>
        <w:tc>
          <w:tcPr>
            <w:tcW w:w="1706" w:type="dxa"/>
          </w:tcPr>
          <w:p w:rsidR="002319D8" w:rsidRPr="00743163" w14:paraId="7060F579"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438</w:t>
            </w:r>
          </w:p>
        </w:tc>
        <w:tc>
          <w:tcPr>
            <w:tcW w:w="1707" w:type="dxa"/>
          </w:tcPr>
          <w:p w:rsidR="002319D8" w:rsidRPr="00743163" w14:paraId="52B61ED0" w14:textId="77777777">
            <w:pPr>
              <w:jc w:val="right"/>
              <w:rPr>
                <w:rFonts w:ascii="Times New Roman" w:eastAsia="Times New Roman" w:hAnsi="Times New Roman" w:cs="Times New Roman"/>
                <w:color w:val="000000"/>
                <w:sz w:val="20"/>
                <w:szCs w:val="20"/>
              </w:rPr>
            </w:pPr>
            <w:r w:rsidRPr="00544E9D">
              <w:rPr>
                <w:rFonts w:ascii="Times New Roman" w:hAnsi="Times New Roman" w:cs="Times New Roman"/>
                <w:sz w:val="20"/>
                <w:szCs w:val="20"/>
              </w:rPr>
              <w:t>43% of government entities</w:t>
            </w:r>
          </w:p>
        </w:tc>
      </w:tr>
    </w:tbl>
    <w:p w:rsidR="002319D8" w:rsidP="002319D8" w14:paraId="4B714F47" w14:textId="77777777">
      <w:pPr>
        <w:spacing w:after="0" w:line="240" w:lineRule="auto"/>
        <w:rPr>
          <w:rFonts w:ascii="Times New Roman" w:hAnsi="Times New Roman" w:cs="Times New Roman"/>
        </w:rPr>
      </w:pPr>
    </w:p>
    <w:p w:rsidR="00B46C4D" w:rsidP="002319D8" w14:paraId="54FB3188" w14:textId="77777777">
      <w:pPr>
        <w:spacing w:after="0" w:line="240" w:lineRule="auto"/>
        <w:rPr>
          <w:rFonts w:ascii="Times New Roman" w:hAnsi="Times New Roman" w:cs="Times New Roman"/>
        </w:rPr>
      </w:pPr>
    </w:p>
    <w:p w:rsidR="002319D8" w:rsidP="00232C46" w14:paraId="43A806F9" w14:textId="77777777">
      <w:pPr>
        <w:spacing w:after="0" w:line="240" w:lineRule="auto"/>
        <w:ind w:firstLine="720"/>
        <w:rPr>
          <w:rFonts w:ascii="Times New Roman" w:hAnsi="Times New Roman" w:cs="Times New Roman"/>
        </w:rPr>
      </w:pPr>
      <w:r>
        <w:rPr>
          <w:rFonts w:ascii="Times New Roman" w:hAnsi="Times New Roman" w:cs="Times New Roman"/>
        </w:rPr>
        <w:t xml:space="preserve">In the </w:t>
      </w:r>
      <w:r w:rsidRPr="005F4192" w:rsidR="003C15C4">
        <w:rPr>
          <w:rFonts w:ascii="Times New Roman" w:hAnsi="Times New Roman" w:cs="Times New Roman"/>
        </w:rPr>
        <w:t>final</w:t>
      </w:r>
      <w:r>
        <w:rPr>
          <w:rFonts w:ascii="Times New Roman" w:hAnsi="Times New Roman" w:cs="Times New Roman"/>
        </w:rPr>
        <w:t xml:space="preserve"> rule small entity analysis using Data </w:t>
      </w:r>
      <w:r w:rsidRPr="005F4192">
        <w:rPr>
          <w:rFonts w:ascii="Times New Roman" w:hAnsi="Times New Roman" w:cs="Times New Roman"/>
        </w:rPr>
        <w:t>Axle</w:t>
      </w:r>
      <w:r>
        <w:rPr>
          <w:rFonts w:ascii="Times New Roman" w:hAnsi="Times New Roman" w:cs="Times New Roman"/>
        </w:rPr>
        <w:t xml:space="preserve"> data, </w:t>
      </w:r>
      <w:r w:rsidRPr="00693892">
        <w:rPr>
          <w:rFonts w:ascii="Times New Roman" w:hAnsi="Times New Roman" w:cs="Times New Roman"/>
        </w:rPr>
        <w:t xml:space="preserve">EPA identified </w:t>
      </w:r>
      <w:r w:rsidRPr="005F4192">
        <w:rPr>
          <w:rFonts w:ascii="Times New Roman" w:hAnsi="Times New Roman" w:cs="Times New Roman"/>
        </w:rPr>
        <w:t>5,649</w:t>
      </w:r>
      <w:r w:rsidRPr="00693892">
        <w:rPr>
          <w:rFonts w:ascii="Times New Roman" w:hAnsi="Times New Roman" w:cs="Times New Roman"/>
        </w:rPr>
        <w:t xml:space="preserve"> unique entities owning RMP regulated facilities. Of those </w:t>
      </w:r>
      <w:r w:rsidRPr="005F4192">
        <w:rPr>
          <w:rFonts w:ascii="Times New Roman" w:hAnsi="Times New Roman" w:cs="Times New Roman"/>
        </w:rPr>
        <w:t>5,649</w:t>
      </w:r>
      <w:r w:rsidRPr="00693892">
        <w:rPr>
          <w:rFonts w:ascii="Times New Roman" w:hAnsi="Times New Roman" w:cs="Times New Roman"/>
        </w:rPr>
        <w:t xml:space="preserve"> unique entities, EPA determine</w:t>
      </w:r>
      <w:r w:rsidR="00302611">
        <w:rPr>
          <w:rFonts w:ascii="Times New Roman" w:hAnsi="Times New Roman" w:cs="Times New Roman"/>
        </w:rPr>
        <w:t>d</w:t>
      </w:r>
      <w:r w:rsidRPr="00693892">
        <w:rPr>
          <w:rFonts w:ascii="Times New Roman" w:hAnsi="Times New Roman" w:cs="Times New Roman"/>
        </w:rPr>
        <w:t xml:space="preserve"> that </w:t>
      </w:r>
      <w:r w:rsidRPr="005F4192">
        <w:rPr>
          <w:rFonts w:ascii="Times New Roman" w:hAnsi="Times New Roman" w:cs="Times New Roman"/>
        </w:rPr>
        <w:t>1,111</w:t>
      </w:r>
      <w:r w:rsidRPr="00693892">
        <w:rPr>
          <w:rFonts w:ascii="Times New Roman" w:hAnsi="Times New Roman" w:cs="Times New Roman"/>
        </w:rPr>
        <w:t xml:space="preserve"> (</w:t>
      </w:r>
      <w:r w:rsidRPr="005F4192">
        <w:rPr>
          <w:rFonts w:ascii="Times New Roman" w:hAnsi="Times New Roman" w:cs="Times New Roman"/>
        </w:rPr>
        <w:t>20</w:t>
      </w:r>
      <w:r w:rsidRPr="00693892">
        <w:rPr>
          <w:rFonts w:ascii="Times New Roman" w:hAnsi="Times New Roman" w:cs="Times New Roman"/>
        </w:rPr>
        <w:t xml:space="preserve"> percent) are government entities and the remaining </w:t>
      </w:r>
      <w:r w:rsidRPr="005F4192">
        <w:rPr>
          <w:rFonts w:ascii="Times New Roman" w:hAnsi="Times New Roman" w:cs="Times New Roman"/>
        </w:rPr>
        <w:t>4,538</w:t>
      </w:r>
      <w:r w:rsidRPr="00693892">
        <w:rPr>
          <w:rFonts w:ascii="Times New Roman" w:hAnsi="Times New Roman" w:cs="Times New Roman"/>
        </w:rPr>
        <w:t xml:space="preserve"> (</w:t>
      </w:r>
      <w:r w:rsidRPr="005F4192">
        <w:rPr>
          <w:rFonts w:ascii="Times New Roman" w:hAnsi="Times New Roman" w:cs="Times New Roman"/>
        </w:rPr>
        <w:t>80</w:t>
      </w:r>
      <w:r w:rsidRPr="00693892">
        <w:rPr>
          <w:rFonts w:ascii="Times New Roman" w:hAnsi="Times New Roman" w:cs="Times New Roman"/>
        </w:rPr>
        <w:t xml:space="preserve"> percent) are private sector entities.</w:t>
      </w:r>
      <w:r>
        <w:rPr>
          <w:rFonts w:ascii="Times New Roman" w:hAnsi="Times New Roman" w:cs="Times New Roman"/>
        </w:rPr>
        <w:t xml:space="preserve"> In the revised analysis using D&amp;B Hoovers data, EPA identified </w:t>
      </w:r>
      <w:r w:rsidRPr="005F4192">
        <w:rPr>
          <w:rFonts w:ascii="Times New Roman" w:hAnsi="Times New Roman" w:cs="Times New Roman"/>
        </w:rPr>
        <w:t>5,508</w:t>
      </w:r>
      <w:r>
        <w:rPr>
          <w:rFonts w:ascii="Times New Roman" w:hAnsi="Times New Roman" w:cs="Times New Roman"/>
        </w:rPr>
        <w:t xml:space="preserve"> unique entities owning RMP regulated facilities. Of those </w:t>
      </w:r>
      <w:r w:rsidRPr="005F4192">
        <w:rPr>
          <w:rFonts w:ascii="Times New Roman" w:hAnsi="Times New Roman" w:cs="Times New Roman"/>
        </w:rPr>
        <w:t>5,508</w:t>
      </w:r>
      <w:r>
        <w:rPr>
          <w:rFonts w:ascii="Times New Roman" w:hAnsi="Times New Roman" w:cs="Times New Roman"/>
        </w:rPr>
        <w:t xml:space="preserve"> unique entities, EPA determine</w:t>
      </w:r>
      <w:r w:rsidR="00302611">
        <w:rPr>
          <w:rFonts w:ascii="Times New Roman" w:hAnsi="Times New Roman" w:cs="Times New Roman"/>
        </w:rPr>
        <w:t>d</w:t>
      </w:r>
      <w:r>
        <w:rPr>
          <w:rFonts w:ascii="Times New Roman" w:hAnsi="Times New Roman" w:cs="Times New Roman"/>
        </w:rPr>
        <w:t xml:space="preserve"> that </w:t>
      </w:r>
      <w:r w:rsidRPr="005F4192">
        <w:rPr>
          <w:rFonts w:ascii="Times New Roman" w:hAnsi="Times New Roman" w:cs="Times New Roman"/>
        </w:rPr>
        <w:t>1,028</w:t>
      </w:r>
      <w:r>
        <w:rPr>
          <w:rFonts w:ascii="Times New Roman" w:hAnsi="Times New Roman" w:cs="Times New Roman"/>
        </w:rPr>
        <w:t xml:space="preserve"> (</w:t>
      </w:r>
      <w:r w:rsidRPr="005F4192">
        <w:rPr>
          <w:rFonts w:ascii="Times New Roman" w:hAnsi="Times New Roman" w:cs="Times New Roman"/>
        </w:rPr>
        <w:t>19</w:t>
      </w:r>
      <w:r>
        <w:rPr>
          <w:rFonts w:ascii="Times New Roman" w:hAnsi="Times New Roman" w:cs="Times New Roman"/>
        </w:rPr>
        <w:t xml:space="preserve"> </w:t>
      </w:r>
      <w:r w:rsidRPr="002435CE">
        <w:rPr>
          <w:rFonts w:ascii="Times New Roman" w:hAnsi="Times New Roman" w:cs="Times New Roman"/>
        </w:rPr>
        <w:t>percent</w:t>
      </w:r>
      <w:r>
        <w:rPr>
          <w:rFonts w:ascii="Times New Roman" w:hAnsi="Times New Roman" w:cs="Times New Roman"/>
        </w:rPr>
        <w:t xml:space="preserve">) are government entities and the remaining </w:t>
      </w:r>
      <w:r w:rsidRPr="005F4192">
        <w:rPr>
          <w:rFonts w:ascii="Times New Roman" w:hAnsi="Times New Roman" w:cs="Times New Roman"/>
        </w:rPr>
        <w:t>4,4</w:t>
      </w:r>
      <w:r w:rsidR="00305F7B">
        <w:rPr>
          <w:rFonts w:ascii="Times New Roman" w:hAnsi="Times New Roman" w:cs="Times New Roman"/>
        </w:rPr>
        <w:t>80</w:t>
      </w:r>
      <w:r>
        <w:rPr>
          <w:rFonts w:ascii="Times New Roman" w:hAnsi="Times New Roman" w:cs="Times New Roman"/>
        </w:rPr>
        <w:t xml:space="preserve"> (</w:t>
      </w:r>
      <w:r w:rsidRPr="005F4192">
        <w:rPr>
          <w:rFonts w:ascii="Times New Roman" w:hAnsi="Times New Roman" w:cs="Times New Roman"/>
        </w:rPr>
        <w:t>81</w:t>
      </w:r>
      <w:r>
        <w:rPr>
          <w:rFonts w:ascii="Times New Roman" w:hAnsi="Times New Roman" w:cs="Times New Roman"/>
        </w:rPr>
        <w:t xml:space="preserve"> percent) are private sector entities. </w:t>
      </w:r>
    </w:p>
    <w:p w:rsidR="002319D8" w:rsidP="002319D8" w14:paraId="20204CC2" w14:textId="77777777">
      <w:pPr>
        <w:spacing w:after="0" w:line="240" w:lineRule="auto"/>
        <w:rPr>
          <w:rFonts w:ascii="Times New Roman" w:hAnsi="Times New Roman" w:cs="Times New Roman"/>
        </w:rPr>
      </w:pPr>
    </w:p>
    <w:p w:rsidR="002319D8" w:rsidP="005B1985" w14:paraId="122D8133" w14:textId="77777777">
      <w:pPr>
        <w:spacing w:after="0" w:line="240" w:lineRule="auto"/>
        <w:ind w:firstLine="720"/>
        <w:rPr>
          <w:rFonts w:ascii="Times New Roman" w:hAnsi="Times New Roman" w:cs="Times New Roman"/>
        </w:rPr>
      </w:pPr>
      <w:r>
        <w:rPr>
          <w:rFonts w:ascii="Times New Roman" w:hAnsi="Times New Roman" w:cs="Times New Roman"/>
        </w:rPr>
        <w:t>Each facility is “assigned” a</w:t>
      </w:r>
      <w:r w:rsidR="00974F42">
        <w:rPr>
          <w:rFonts w:ascii="Times New Roman" w:hAnsi="Times New Roman" w:cs="Times New Roman"/>
        </w:rPr>
        <w:t>n</w:t>
      </w:r>
      <w:r>
        <w:rPr>
          <w:rFonts w:ascii="Times New Roman" w:hAnsi="Times New Roman" w:cs="Times New Roman"/>
        </w:rPr>
        <w:t xml:space="preserve"> </w:t>
      </w:r>
      <w:r w:rsidR="00233698">
        <w:rPr>
          <w:rFonts w:ascii="Times New Roman" w:hAnsi="Times New Roman" w:cs="Times New Roman"/>
        </w:rPr>
        <w:t xml:space="preserve">associated </w:t>
      </w:r>
      <w:r w:rsidR="00401AD1">
        <w:rPr>
          <w:rFonts w:ascii="Times New Roman" w:hAnsi="Times New Roman" w:cs="Times New Roman"/>
        </w:rPr>
        <w:t>owner</w:t>
      </w:r>
      <w:r>
        <w:rPr>
          <w:rFonts w:ascii="Times New Roman" w:hAnsi="Times New Roman" w:cs="Times New Roman"/>
        </w:rPr>
        <w:t xml:space="preserve"> entit</w:t>
      </w:r>
      <w:r w:rsidR="00302611">
        <w:rPr>
          <w:rFonts w:ascii="Times New Roman" w:hAnsi="Times New Roman" w:cs="Times New Roman"/>
        </w:rPr>
        <w:t>y</w:t>
      </w:r>
      <w:r>
        <w:rPr>
          <w:rFonts w:ascii="Times New Roman" w:hAnsi="Times New Roman" w:cs="Times New Roman"/>
        </w:rPr>
        <w:t xml:space="preserve">, or if applicable, an ultimate parent </w:t>
      </w:r>
      <w:r w:rsidR="003A37B6">
        <w:rPr>
          <w:rFonts w:ascii="Times New Roman" w:hAnsi="Times New Roman" w:cs="Times New Roman"/>
        </w:rPr>
        <w:t>entity</w:t>
      </w:r>
      <w:r>
        <w:rPr>
          <w:rFonts w:ascii="Times New Roman" w:hAnsi="Times New Roman" w:cs="Times New Roman"/>
        </w:rPr>
        <w:t xml:space="preserve">. This means that some </w:t>
      </w:r>
      <w:r w:rsidR="00233698">
        <w:rPr>
          <w:rFonts w:ascii="Times New Roman" w:hAnsi="Times New Roman" w:cs="Times New Roman"/>
        </w:rPr>
        <w:t>facilities</w:t>
      </w:r>
      <w:r>
        <w:rPr>
          <w:rFonts w:ascii="Times New Roman" w:hAnsi="Times New Roman" w:cs="Times New Roman"/>
        </w:rPr>
        <w:t xml:space="preserve"> not associated with </w:t>
      </w:r>
      <w:r w:rsidR="00233698">
        <w:rPr>
          <w:rFonts w:ascii="Times New Roman" w:hAnsi="Times New Roman" w:cs="Times New Roman"/>
        </w:rPr>
        <w:t xml:space="preserve">a parent entity in </w:t>
      </w:r>
      <w:r w:rsidR="00F16442">
        <w:rPr>
          <w:rFonts w:ascii="Times New Roman" w:hAnsi="Times New Roman" w:cs="Times New Roman"/>
        </w:rPr>
        <w:t xml:space="preserve">the </w:t>
      </w:r>
      <w:r>
        <w:rPr>
          <w:rFonts w:ascii="Times New Roman" w:hAnsi="Times New Roman" w:cs="Times New Roman"/>
        </w:rPr>
        <w:t xml:space="preserve">Data Axle data may be associated with </w:t>
      </w:r>
      <w:r w:rsidR="00233698">
        <w:rPr>
          <w:rFonts w:ascii="Times New Roman" w:hAnsi="Times New Roman" w:cs="Times New Roman"/>
        </w:rPr>
        <w:t>a parent entity in</w:t>
      </w:r>
      <w:r>
        <w:rPr>
          <w:rFonts w:ascii="Times New Roman" w:hAnsi="Times New Roman" w:cs="Times New Roman"/>
        </w:rPr>
        <w:t xml:space="preserve"> D&amp;B Hoovers data, and </w:t>
      </w:r>
      <w:r w:rsidR="00233698">
        <w:rPr>
          <w:rFonts w:ascii="Times New Roman" w:hAnsi="Times New Roman" w:cs="Times New Roman"/>
        </w:rPr>
        <w:t>vice versa</w:t>
      </w:r>
      <w:r>
        <w:rPr>
          <w:rFonts w:ascii="Times New Roman" w:hAnsi="Times New Roman" w:cs="Times New Roman"/>
        </w:rPr>
        <w:t xml:space="preserve">, which explains the differences in entity counts and size classification. Data Axle has an algorithm matching facility addresses with known business and uses their database to connect those businesses to any parent </w:t>
      </w:r>
      <w:r w:rsidR="00731849">
        <w:rPr>
          <w:rFonts w:ascii="Times New Roman" w:hAnsi="Times New Roman" w:cs="Times New Roman"/>
        </w:rPr>
        <w:t>entit</w:t>
      </w:r>
      <w:r w:rsidR="00233698">
        <w:rPr>
          <w:rFonts w:ascii="Times New Roman" w:hAnsi="Times New Roman" w:cs="Times New Roman"/>
        </w:rPr>
        <w:t>y</w:t>
      </w:r>
      <w:r>
        <w:rPr>
          <w:rFonts w:ascii="Times New Roman" w:hAnsi="Times New Roman" w:cs="Times New Roman"/>
        </w:rPr>
        <w:t xml:space="preserve">. EPA’s </w:t>
      </w:r>
      <w:r w:rsidR="00B46C4D">
        <w:rPr>
          <w:rFonts w:ascii="Times New Roman" w:hAnsi="Times New Roman" w:cs="Times New Roman"/>
        </w:rPr>
        <w:t xml:space="preserve">original </w:t>
      </w:r>
      <w:r>
        <w:rPr>
          <w:rFonts w:ascii="Times New Roman" w:hAnsi="Times New Roman" w:cs="Times New Roman"/>
        </w:rPr>
        <w:t>analysis assigned facilities to entities using company name. D&amp;B Hoovers uses the DUNS number reported in the RMP or FRS Databases. DUNS numbers then connect to businesses in the D&amp;B Hoovers database and can be connected to any parent companies. In the analysis, DUNS numbers are used to assign facilities to entities. Government counts differ slightly due to a different method of assigning facilities to entities.</w:t>
      </w:r>
      <w:r w:rsidR="007F51B0">
        <w:rPr>
          <w:rFonts w:ascii="Times New Roman" w:hAnsi="Times New Roman" w:cs="Times New Roman"/>
        </w:rPr>
        <w:t xml:space="preserve"> Additionally, Data Axle </w:t>
      </w:r>
      <w:r w:rsidR="00D32ADF">
        <w:rPr>
          <w:rFonts w:ascii="Times New Roman" w:hAnsi="Times New Roman" w:cs="Times New Roman"/>
        </w:rPr>
        <w:t>propose</w:t>
      </w:r>
      <w:r w:rsidR="007F51B0">
        <w:rPr>
          <w:rFonts w:ascii="Times New Roman" w:hAnsi="Times New Roman" w:cs="Times New Roman"/>
        </w:rPr>
        <w:t xml:space="preserve">d rule and final rule </w:t>
      </w:r>
      <w:r w:rsidR="00DC7CEF">
        <w:rPr>
          <w:rFonts w:ascii="Times New Roman" w:hAnsi="Times New Roman" w:cs="Times New Roman"/>
        </w:rPr>
        <w:t xml:space="preserve">small entity </w:t>
      </w:r>
      <w:r w:rsidR="001711B5">
        <w:rPr>
          <w:rFonts w:ascii="Times New Roman" w:hAnsi="Times New Roman" w:cs="Times New Roman"/>
        </w:rPr>
        <w:t xml:space="preserve">counts differ slightly due to </w:t>
      </w:r>
      <w:r w:rsidR="00993294">
        <w:rPr>
          <w:rFonts w:ascii="Times New Roman" w:hAnsi="Times New Roman" w:cs="Times New Roman"/>
        </w:rPr>
        <w:t>outliers found in the final rule analysis.</w:t>
      </w:r>
    </w:p>
    <w:p w:rsidR="005B1985" w:rsidRPr="005B1985" w:rsidP="005B1985" w14:paraId="76C24961" w14:textId="77777777">
      <w:pPr>
        <w:spacing w:after="0" w:line="240" w:lineRule="auto"/>
        <w:ind w:firstLine="720"/>
        <w:rPr>
          <w:rFonts w:ascii="Times New Roman" w:hAnsi="Times New Roman" w:cs="Times New Roman"/>
        </w:rPr>
      </w:pPr>
    </w:p>
    <w:p w:rsidR="002319D8" w:rsidP="00232C46" w14:paraId="168615DD" w14:textId="470F9486">
      <w:pPr>
        <w:spacing w:after="0" w:line="240" w:lineRule="auto"/>
        <w:ind w:firstLine="720"/>
        <w:rPr>
          <w:rFonts w:ascii="Times New Roman" w:hAnsi="Times New Roman" w:cs="Times New Roman"/>
        </w:rPr>
      </w:pPr>
      <w:r w:rsidRPr="00693892">
        <w:rPr>
          <w:rFonts w:ascii="Times New Roman" w:hAnsi="Times New Roman" w:cs="Times New Roman"/>
        </w:rPr>
        <w:t>Exhibit</w:t>
      </w:r>
      <w:r>
        <w:rPr>
          <w:rFonts w:ascii="Times New Roman" w:hAnsi="Times New Roman" w:cs="Times New Roman"/>
        </w:rPr>
        <w:t>s</w:t>
      </w:r>
      <w:r w:rsidRPr="00693892">
        <w:rPr>
          <w:rFonts w:ascii="Times New Roman" w:hAnsi="Times New Roman" w:cs="Times New Roman"/>
        </w:rPr>
        <w:t xml:space="preserve"> </w:t>
      </w:r>
      <w:r>
        <w:rPr>
          <w:rFonts w:ascii="Times New Roman" w:hAnsi="Times New Roman" w:cs="Times New Roman"/>
        </w:rPr>
        <w:t>C</w:t>
      </w:r>
      <w:r w:rsidRPr="00693892">
        <w:rPr>
          <w:rFonts w:ascii="Times New Roman" w:hAnsi="Times New Roman" w:cs="Times New Roman"/>
        </w:rPr>
        <w:t>-</w:t>
      </w:r>
      <w:r w:rsidR="00E46D3C">
        <w:rPr>
          <w:rFonts w:ascii="Times New Roman" w:hAnsi="Times New Roman" w:cs="Times New Roman"/>
        </w:rPr>
        <w:t>10</w:t>
      </w:r>
      <w:r>
        <w:rPr>
          <w:rFonts w:ascii="Times New Roman" w:hAnsi="Times New Roman" w:cs="Times New Roman"/>
        </w:rPr>
        <w:t xml:space="preserve"> and C-</w:t>
      </w:r>
      <w:r w:rsidR="00F04BCF">
        <w:rPr>
          <w:rFonts w:ascii="Times New Roman" w:hAnsi="Times New Roman" w:cs="Times New Roman"/>
        </w:rPr>
        <w:t>1</w:t>
      </w:r>
      <w:r w:rsidR="00E46D3C">
        <w:rPr>
          <w:rFonts w:ascii="Times New Roman" w:hAnsi="Times New Roman" w:cs="Times New Roman"/>
        </w:rPr>
        <w:t>1</w:t>
      </w:r>
      <w:r w:rsidRPr="00693892">
        <w:rPr>
          <w:rFonts w:ascii="Times New Roman" w:hAnsi="Times New Roman" w:cs="Times New Roman"/>
        </w:rPr>
        <w:t xml:space="preserve"> </w:t>
      </w:r>
      <w:r w:rsidRPr="00693892" w:rsidR="00243124">
        <w:rPr>
          <w:rFonts w:ascii="Times New Roman" w:hAnsi="Times New Roman" w:cs="Times New Roman"/>
        </w:rPr>
        <w:t>present</w:t>
      </w:r>
      <w:r w:rsidRPr="00693892">
        <w:rPr>
          <w:rFonts w:ascii="Times New Roman" w:hAnsi="Times New Roman" w:cs="Times New Roman"/>
        </w:rPr>
        <w:t xml:space="preserve"> an analysis of facilities and the size of entity associated with </w:t>
      </w:r>
      <w:r w:rsidR="00AA24D8">
        <w:rPr>
          <w:rFonts w:ascii="Times New Roman" w:hAnsi="Times New Roman" w:cs="Times New Roman"/>
        </w:rPr>
        <w:t xml:space="preserve">them </w:t>
      </w:r>
      <w:r w:rsidRPr="00693892">
        <w:rPr>
          <w:rFonts w:ascii="Times New Roman" w:hAnsi="Times New Roman" w:cs="Times New Roman"/>
        </w:rPr>
        <w:t xml:space="preserve">to provide an understanding of the distribution of private sector owned facilities by </w:t>
      </w:r>
      <w:r w:rsidR="00213B4B">
        <w:rPr>
          <w:rFonts w:ascii="Times New Roman" w:hAnsi="Times New Roman" w:cs="Times New Roman"/>
        </w:rPr>
        <w:t>p</w:t>
      </w:r>
      <w:r w:rsidRPr="00693892">
        <w:rPr>
          <w:rFonts w:ascii="Times New Roman" w:hAnsi="Times New Roman" w:cs="Times New Roman"/>
        </w:rPr>
        <w:t xml:space="preserve">rogram </w:t>
      </w:r>
      <w:r w:rsidR="00213B4B">
        <w:rPr>
          <w:rFonts w:ascii="Times New Roman" w:hAnsi="Times New Roman" w:cs="Times New Roman"/>
        </w:rPr>
        <w:t>l</w:t>
      </w:r>
      <w:r w:rsidRPr="00693892">
        <w:rPr>
          <w:rFonts w:ascii="Times New Roman" w:hAnsi="Times New Roman" w:cs="Times New Roman"/>
        </w:rPr>
        <w:t xml:space="preserve">evel. The results show that Program 3 has a larger proportion of facilities owned by non-small private sector entities than Program 2 and </w:t>
      </w:r>
      <w:r>
        <w:rPr>
          <w:rFonts w:ascii="Times New Roman" w:hAnsi="Times New Roman" w:cs="Times New Roman"/>
        </w:rPr>
        <w:t xml:space="preserve">1 </w:t>
      </w:r>
      <w:r w:rsidRPr="00693892">
        <w:rPr>
          <w:rFonts w:ascii="Times New Roman" w:hAnsi="Times New Roman" w:cs="Times New Roman"/>
        </w:rPr>
        <w:t xml:space="preserve">facilities. That is, </w:t>
      </w:r>
      <w:r w:rsidR="00233698">
        <w:rPr>
          <w:rFonts w:ascii="Times New Roman" w:hAnsi="Times New Roman" w:cs="Times New Roman"/>
        </w:rPr>
        <w:t>based on Data Axle and D&amp;B Hoovers data, respectively</w:t>
      </w:r>
      <w:r w:rsidRPr="00693892">
        <w:rPr>
          <w:rFonts w:ascii="Times New Roman" w:hAnsi="Times New Roman" w:cs="Times New Roman"/>
        </w:rPr>
        <w:t xml:space="preserve">, </w:t>
      </w:r>
      <w:r w:rsidR="00CD0EAA">
        <w:rPr>
          <w:rFonts w:ascii="Times New Roman" w:hAnsi="Times New Roman" w:cs="Times New Roman"/>
        </w:rPr>
        <w:t>roughly</w:t>
      </w:r>
      <w:r w:rsidRPr="00693892">
        <w:rPr>
          <w:rFonts w:ascii="Times New Roman" w:hAnsi="Times New Roman" w:cs="Times New Roman"/>
        </w:rPr>
        <w:t xml:space="preserve"> </w:t>
      </w:r>
      <w:r w:rsidR="00BE5D6B">
        <w:rPr>
          <w:rFonts w:ascii="Times New Roman" w:hAnsi="Times New Roman" w:cs="Times New Roman"/>
        </w:rPr>
        <w:t>6</w:t>
      </w:r>
      <w:r w:rsidR="006F3590">
        <w:rPr>
          <w:rFonts w:ascii="Times New Roman" w:hAnsi="Times New Roman" w:cs="Times New Roman"/>
        </w:rPr>
        <w:t>5</w:t>
      </w:r>
      <w:r w:rsidR="00BE5D6B">
        <w:rPr>
          <w:rFonts w:ascii="Times New Roman" w:hAnsi="Times New Roman" w:cs="Times New Roman"/>
        </w:rPr>
        <w:t xml:space="preserve"> percent and 8</w:t>
      </w:r>
      <w:r w:rsidR="003C1055">
        <w:rPr>
          <w:rFonts w:ascii="Times New Roman" w:hAnsi="Times New Roman" w:cs="Times New Roman"/>
        </w:rPr>
        <w:t>2</w:t>
      </w:r>
      <w:r w:rsidRPr="00693892">
        <w:rPr>
          <w:rFonts w:ascii="Times New Roman" w:hAnsi="Times New Roman" w:cs="Times New Roman"/>
        </w:rPr>
        <w:t xml:space="preserve"> percent of Program 3 facilities</w:t>
      </w:r>
      <w:r w:rsidR="003C1055">
        <w:rPr>
          <w:rFonts w:ascii="Times New Roman" w:hAnsi="Times New Roman" w:cs="Times New Roman"/>
        </w:rPr>
        <w:t>, respectively,</w:t>
      </w:r>
      <w:r w:rsidRPr="00693892">
        <w:rPr>
          <w:rFonts w:ascii="Times New Roman" w:hAnsi="Times New Roman" w:cs="Times New Roman"/>
        </w:rPr>
        <w:t xml:space="preserve"> (</w:t>
      </w:r>
      <w:r w:rsidR="00CA2937">
        <w:rPr>
          <w:rFonts w:ascii="Times New Roman" w:hAnsi="Times New Roman" w:cs="Times New Roman"/>
        </w:rPr>
        <w:t>4,</w:t>
      </w:r>
      <w:r w:rsidR="00BB300A">
        <w:rPr>
          <w:rFonts w:ascii="Times New Roman" w:hAnsi="Times New Roman" w:cs="Times New Roman"/>
        </w:rPr>
        <w:t>148</w:t>
      </w:r>
      <w:r w:rsidRPr="00243124">
        <w:rPr>
          <w:rFonts w:ascii="Times New Roman" w:hAnsi="Times New Roman" w:cs="Times New Roman"/>
        </w:rPr>
        <w:t xml:space="preserve"> of 6,422 and 5,2</w:t>
      </w:r>
      <w:r w:rsidRPr="00243124" w:rsidR="00B77C2D">
        <w:rPr>
          <w:rFonts w:ascii="Times New Roman" w:hAnsi="Times New Roman" w:cs="Times New Roman"/>
        </w:rPr>
        <w:t>12</w:t>
      </w:r>
      <w:r w:rsidRPr="00243124">
        <w:rPr>
          <w:rFonts w:ascii="Times New Roman" w:hAnsi="Times New Roman" w:cs="Times New Roman"/>
        </w:rPr>
        <w:t xml:space="preserve"> of 6,387</w:t>
      </w:r>
      <w:r w:rsidRPr="00693892">
        <w:rPr>
          <w:rFonts w:ascii="Times New Roman" w:hAnsi="Times New Roman" w:cs="Times New Roman"/>
        </w:rPr>
        <w:t xml:space="preserve">) are </w:t>
      </w:r>
      <w:r w:rsidRPr="000870B8">
        <w:rPr>
          <w:rFonts w:ascii="Times New Roman" w:hAnsi="Times New Roman" w:cs="Times New Roman"/>
        </w:rPr>
        <w:t xml:space="preserve">owned by a non-small private sector entity compared to </w:t>
      </w:r>
      <w:r w:rsidRPr="000870B8" w:rsidR="00403AF3">
        <w:rPr>
          <w:rFonts w:ascii="Times New Roman" w:hAnsi="Times New Roman" w:cs="Times New Roman"/>
        </w:rPr>
        <w:t>51</w:t>
      </w:r>
      <w:r w:rsidRPr="000870B8">
        <w:rPr>
          <w:rFonts w:ascii="Times New Roman" w:hAnsi="Times New Roman" w:cs="Times New Roman"/>
        </w:rPr>
        <w:t xml:space="preserve"> percent </w:t>
      </w:r>
      <w:r w:rsidRPr="000870B8" w:rsidR="00EA49D5">
        <w:rPr>
          <w:rFonts w:ascii="Times New Roman" w:hAnsi="Times New Roman" w:cs="Times New Roman"/>
        </w:rPr>
        <w:t>and 55</w:t>
      </w:r>
      <w:r w:rsidRPr="000870B8">
        <w:rPr>
          <w:rFonts w:ascii="Times New Roman" w:hAnsi="Times New Roman" w:cs="Times New Roman"/>
        </w:rPr>
        <w:t xml:space="preserve"> percent of Program 2 facilities (1,</w:t>
      </w:r>
      <w:r w:rsidRPr="000870B8" w:rsidR="00B2527D">
        <w:rPr>
          <w:rFonts w:ascii="Times New Roman" w:hAnsi="Times New Roman" w:cs="Times New Roman"/>
        </w:rPr>
        <w:t>612</w:t>
      </w:r>
      <w:r w:rsidRPr="000870B8">
        <w:rPr>
          <w:rFonts w:ascii="Times New Roman" w:hAnsi="Times New Roman" w:cs="Times New Roman"/>
        </w:rPr>
        <w:t xml:space="preserve"> of 3,16</w:t>
      </w:r>
      <w:r w:rsidRPr="000870B8" w:rsidR="00D839EB">
        <w:rPr>
          <w:rFonts w:ascii="Times New Roman" w:hAnsi="Times New Roman" w:cs="Times New Roman"/>
        </w:rPr>
        <w:t>2</w:t>
      </w:r>
      <w:r w:rsidRPr="000870B8">
        <w:rPr>
          <w:rFonts w:ascii="Times New Roman" w:hAnsi="Times New Roman" w:cs="Times New Roman"/>
        </w:rPr>
        <w:t xml:space="preserve"> and</w:t>
      </w:r>
      <w:r w:rsidRPr="00243124">
        <w:rPr>
          <w:rFonts w:ascii="Times New Roman" w:hAnsi="Times New Roman" w:cs="Times New Roman"/>
        </w:rPr>
        <w:t xml:space="preserve"> 1,71</w:t>
      </w:r>
      <w:r w:rsidRPr="00243124" w:rsidR="008A3969">
        <w:rPr>
          <w:rFonts w:ascii="Times New Roman" w:hAnsi="Times New Roman" w:cs="Times New Roman"/>
        </w:rPr>
        <w:t>0</w:t>
      </w:r>
      <w:r w:rsidRPr="00243124">
        <w:rPr>
          <w:rFonts w:ascii="Times New Roman" w:hAnsi="Times New Roman" w:cs="Times New Roman"/>
        </w:rPr>
        <w:t xml:space="preserve"> of 3,137</w:t>
      </w:r>
      <w:r w:rsidRPr="00693892">
        <w:rPr>
          <w:rFonts w:ascii="Times New Roman" w:hAnsi="Times New Roman" w:cs="Times New Roman"/>
        </w:rPr>
        <w:t xml:space="preserve">) and </w:t>
      </w:r>
      <w:r w:rsidRPr="00243124" w:rsidR="002D2271">
        <w:rPr>
          <w:rFonts w:ascii="Times New Roman" w:hAnsi="Times New Roman" w:cs="Times New Roman"/>
        </w:rPr>
        <w:t>4</w:t>
      </w:r>
      <w:r w:rsidR="0014131A">
        <w:rPr>
          <w:rFonts w:ascii="Times New Roman" w:hAnsi="Times New Roman" w:cs="Times New Roman"/>
        </w:rPr>
        <w:t>8</w:t>
      </w:r>
      <w:r w:rsidRPr="00243124" w:rsidR="002D2271">
        <w:rPr>
          <w:rFonts w:ascii="Times New Roman" w:hAnsi="Times New Roman" w:cs="Times New Roman"/>
        </w:rPr>
        <w:t xml:space="preserve"> percent and </w:t>
      </w:r>
      <w:r w:rsidRPr="00243124" w:rsidR="007D7D6B">
        <w:rPr>
          <w:rFonts w:ascii="Times New Roman" w:hAnsi="Times New Roman" w:cs="Times New Roman"/>
        </w:rPr>
        <w:t>79</w:t>
      </w:r>
      <w:r w:rsidRPr="00693892">
        <w:rPr>
          <w:rFonts w:ascii="Times New Roman" w:hAnsi="Times New Roman" w:cs="Times New Roman"/>
        </w:rPr>
        <w:t xml:space="preserve"> percent of Program 1 facilities (</w:t>
      </w:r>
      <w:r w:rsidR="00B2527D">
        <w:rPr>
          <w:rFonts w:ascii="Times New Roman" w:hAnsi="Times New Roman" w:cs="Times New Roman"/>
        </w:rPr>
        <w:t>310</w:t>
      </w:r>
      <w:r w:rsidRPr="00243124">
        <w:rPr>
          <w:rFonts w:ascii="Times New Roman" w:hAnsi="Times New Roman" w:cs="Times New Roman"/>
        </w:rPr>
        <w:t xml:space="preserve"> of 651 and 50</w:t>
      </w:r>
      <w:r w:rsidRPr="00243124" w:rsidR="008A3969">
        <w:rPr>
          <w:rFonts w:ascii="Times New Roman" w:hAnsi="Times New Roman" w:cs="Times New Roman"/>
        </w:rPr>
        <w:t>0</w:t>
      </w:r>
      <w:r w:rsidRPr="00243124">
        <w:rPr>
          <w:rFonts w:ascii="Times New Roman" w:hAnsi="Times New Roman" w:cs="Times New Roman"/>
        </w:rPr>
        <w:t xml:space="preserve"> of 634</w:t>
      </w:r>
      <w:r w:rsidR="00233698">
        <w:rPr>
          <w:rFonts w:ascii="Times New Roman" w:hAnsi="Times New Roman" w:cs="Times New Roman"/>
        </w:rPr>
        <w:t>).</w:t>
      </w:r>
    </w:p>
    <w:p w:rsidR="002319D8" w:rsidRPr="00693892" w:rsidP="002319D8" w14:paraId="31016A12" w14:textId="77777777">
      <w:pPr>
        <w:spacing w:after="0" w:line="240" w:lineRule="auto"/>
        <w:ind w:firstLine="360"/>
        <w:rPr>
          <w:rFonts w:ascii="Times New Roman" w:hAnsi="Times New Roman" w:cs="Times New Roman"/>
        </w:rPr>
      </w:pPr>
    </w:p>
    <w:p w:rsidR="002319D8" w:rsidRPr="00E92045" w:rsidP="00B0246F" w14:paraId="1E4F0384" w14:textId="77777777">
      <w:pPr>
        <w:pStyle w:val="Caption"/>
        <w:keepNext/>
        <w:jc w:val="center"/>
        <w:rPr>
          <w:rFonts w:ascii="Times New Roman" w:hAnsi="Times New Roman" w:cs="Times New Roman"/>
          <w:b/>
          <w:bCs/>
          <w:i w:val="0"/>
          <w:iCs w:val="0"/>
          <w:color w:val="auto"/>
          <w:sz w:val="22"/>
          <w:szCs w:val="22"/>
        </w:rPr>
      </w:pPr>
      <w:r w:rsidRPr="00E92045">
        <w:rPr>
          <w:rFonts w:ascii="Times New Roman" w:hAnsi="Times New Roman" w:cs="Times New Roman"/>
          <w:b/>
          <w:bCs/>
          <w:i w:val="0"/>
          <w:iCs w:val="0"/>
          <w:color w:val="auto"/>
          <w:sz w:val="22"/>
          <w:szCs w:val="22"/>
        </w:rPr>
        <w:t>Exhibit</w:t>
      </w:r>
      <w:r w:rsidRPr="00E92045">
        <w:rPr>
          <w:rFonts w:ascii="Times New Roman" w:hAnsi="Times New Roman" w:cs="Times New Roman"/>
          <w:i w:val="0"/>
          <w:iCs w:val="0"/>
          <w:color w:val="auto"/>
          <w:sz w:val="22"/>
          <w:szCs w:val="22"/>
        </w:rPr>
        <w:t xml:space="preserve"> </w:t>
      </w:r>
      <w:r>
        <w:rPr>
          <w:rFonts w:ascii="Times New Roman" w:hAnsi="Times New Roman" w:cs="Times New Roman"/>
          <w:b/>
          <w:bCs/>
          <w:i w:val="0"/>
          <w:iCs w:val="0"/>
          <w:color w:val="auto"/>
          <w:sz w:val="22"/>
          <w:szCs w:val="22"/>
        </w:rPr>
        <w:t>C</w:t>
      </w:r>
      <w:r w:rsidRPr="00E92045">
        <w:rPr>
          <w:rFonts w:ascii="Times New Roman" w:hAnsi="Times New Roman" w:cs="Times New Roman"/>
          <w:b/>
          <w:bCs/>
          <w:i w:val="0"/>
          <w:iCs w:val="0"/>
          <w:color w:val="auto"/>
          <w:sz w:val="22"/>
          <w:szCs w:val="22"/>
        </w:rPr>
        <w:t>-</w:t>
      </w:r>
      <w:r w:rsidR="00E46D3C">
        <w:rPr>
          <w:rFonts w:ascii="Times New Roman" w:hAnsi="Times New Roman" w:cs="Times New Roman"/>
          <w:b/>
          <w:bCs/>
          <w:i w:val="0"/>
          <w:iCs w:val="0"/>
          <w:color w:val="auto"/>
          <w:sz w:val="22"/>
          <w:szCs w:val="22"/>
        </w:rPr>
        <w:t>10</w:t>
      </w:r>
      <w:r w:rsidRPr="00E92045">
        <w:rPr>
          <w:rFonts w:ascii="Times New Roman" w:hAnsi="Times New Roman" w:cs="Times New Roman"/>
          <w:b/>
          <w:bCs/>
          <w:i w:val="0"/>
          <w:iCs w:val="0"/>
          <w:color w:val="auto"/>
          <w:sz w:val="22"/>
          <w:szCs w:val="22"/>
        </w:rPr>
        <w:t>: Analysis of Private Sector Facility Ownership by Program Level</w:t>
      </w:r>
      <w:r>
        <w:rPr>
          <w:rFonts w:ascii="Times New Roman" w:hAnsi="Times New Roman" w:cs="Times New Roman"/>
          <w:b/>
          <w:bCs/>
          <w:i w:val="0"/>
          <w:iCs w:val="0"/>
          <w:color w:val="auto"/>
          <w:sz w:val="22"/>
          <w:szCs w:val="22"/>
        </w:rPr>
        <w:t>, Data Axle</w:t>
      </w:r>
      <w:r w:rsidRPr="00E92045">
        <w:rPr>
          <w:rFonts w:ascii="Times New Roman" w:hAnsi="Times New Roman" w:cs="Times New Roman"/>
          <w:b/>
          <w:bCs/>
          <w:i w:val="0"/>
          <w:iCs w:val="0"/>
          <w:color w:val="auto"/>
          <w:sz w:val="22"/>
          <w:szCs w:val="22"/>
        </w:rPr>
        <w:t>.</w:t>
      </w: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200"/>
        <w:gridCol w:w="1190"/>
        <w:gridCol w:w="1386"/>
      </w:tblGrid>
      <w:tr w14:paraId="6ADE6952" w14:textId="77777777" w:rsidTr="00D8562D">
        <w:tblPrEx>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49"/>
          <w:tblHeader/>
          <w:jc w:val="center"/>
        </w:trPr>
        <w:tc>
          <w:tcPr>
            <w:tcW w:w="2789" w:type="dxa"/>
            <w:shd w:val="clear" w:color="auto" w:fill="D9D9D9" w:themeFill="background1" w:themeFillShade="D9"/>
            <w:noWrap/>
            <w:vAlign w:val="center"/>
            <w:hideMark/>
          </w:tcPr>
          <w:p w:rsidR="002319D8" w:rsidRPr="00E92045" w:rsidP="00B0246F" w14:paraId="5846A3A9" w14:textId="77777777">
            <w:pPr>
              <w:keepNext/>
              <w:spacing w:after="0" w:line="240" w:lineRule="auto"/>
              <w:rPr>
                <w:rFonts w:ascii="Times New Roman" w:eastAsia="Times New Roman" w:hAnsi="Times New Roman" w:cs="Times New Roman"/>
                <w:b/>
                <w:sz w:val="20"/>
                <w:szCs w:val="20"/>
              </w:rPr>
            </w:pPr>
          </w:p>
        </w:tc>
        <w:tc>
          <w:tcPr>
            <w:tcW w:w="1200" w:type="dxa"/>
            <w:shd w:val="clear" w:color="auto" w:fill="D9D9D9" w:themeFill="background1" w:themeFillShade="D9"/>
            <w:noWrap/>
            <w:vAlign w:val="center"/>
            <w:hideMark/>
          </w:tcPr>
          <w:p w:rsidR="002319D8" w:rsidRPr="00E92045" w:rsidP="00B0246F" w14:paraId="290179E4" w14:textId="77777777">
            <w:pPr>
              <w:keepNext/>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P1 Facilities</w:t>
            </w:r>
          </w:p>
        </w:tc>
        <w:tc>
          <w:tcPr>
            <w:tcW w:w="1190" w:type="dxa"/>
            <w:shd w:val="clear" w:color="auto" w:fill="D9D9D9" w:themeFill="background1" w:themeFillShade="D9"/>
            <w:noWrap/>
            <w:vAlign w:val="center"/>
            <w:hideMark/>
          </w:tcPr>
          <w:p w:rsidR="002319D8" w:rsidRPr="00E92045" w:rsidP="00B0246F" w14:paraId="38ADDE18" w14:textId="77777777">
            <w:pPr>
              <w:keepNext/>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P2 Facilities</w:t>
            </w:r>
          </w:p>
        </w:tc>
        <w:tc>
          <w:tcPr>
            <w:tcW w:w="1386" w:type="dxa"/>
            <w:shd w:val="clear" w:color="auto" w:fill="D9D9D9" w:themeFill="background1" w:themeFillShade="D9"/>
            <w:noWrap/>
            <w:vAlign w:val="center"/>
            <w:hideMark/>
          </w:tcPr>
          <w:p w:rsidR="002319D8" w:rsidP="00B0246F" w14:paraId="012E1664" w14:textId="77777777">
            <w:pPr>
              <w:keepNext/>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 xml:space="preserve">Number </w:t>
            </w:r>
            <w:r w:rsidRPr="00E92045">
              <w:rPr>
                <w:rFonts w:ascii="Times New Roman" w:eastAsia="Times New Roman" w:hAnsi="Times New Roman" w:cs="Times New Roman"/>
                <w:b/>
                <w:color w:val="000000"/>
                <w:sz w:val="20"/>
                <w:szCs w:val="20"/>
              </w:rPr>
              <w:t xml:space="preserve">of P3 </w:t>
            </w:r>
          </w:p>
          <w:p w:rsidR="002319D8" w:rsidRPr="00E92045" w:rsidP="00B0246F" w14:paraId="601D9B5F" w14:textId="77777777">
            <w:pPr>
              <w:keepNext/>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Facilities</w:t>
            </w:r>
          </w:p>
        </w:tc>
      </w:tr>
      <w:tr w14:paraId="3E6CDCB7" w14:textId="77777777">
        <w:tblPrEx>
          <w:tblW w:w="6565" w:type="dxa"/>
          <w:jc w:val="center"/>
          <w:tblLook w:val="04A0"/>
        </w:tblPrEx>
        <w:trPr>
          <w:trHeight w:val="290"/>
          <w:jc w:val="center"/>
        </w:trPr>
        <w:tc>
          <w:tcPr>
            <w:tcW w:w="2789" w:type="dxa"/>
            <w:shd w:val="clear" w:color="auto" w:fill="auto"/>
            <w:noWrap/>
            <w:vAlign w:val="center"/>
            <w:hideMark/>
          </w:tcPr>
          <w:p w:rsidR="002319D8" w:rsidRPr="00E92045" w14:paraId="717B63F9"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Total Facilities</w:t>
            </w:r>
          </w:p>
        </w:tc>
        <w:tc>
          <w:tcPr>
            <w:tcW w:w="1200" w:type="dxa"/>
            <w:shd w:val="clear" w:color="auto" w:fill="auto"/>
            <w:noWrap/>
            <w:vAlign w:val="center"/>
            <w:hideMark/>
          </w:tcPr>
          <w:p w:rsidR="002319D8" w:rsidRPr="00E92045" w14:paraId="25B74AF5"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660</w:t>
            </w:r>
          </w:p>
        </w:tc>
        <w:tc>
          <w:tcPr>
            <w:tcW w:w="1190" w:type="dxa"/>
            <w:shd w:val="clear" w:color="auto" w:fill="auto"/>
            <w:noWrap/>
            <w:vAlign w:val="center"/>
            <w:hideMark/>
          </w:tcPr>
          <w:p w:rsidR="002319D8" w:rsidRPr="00E92045" w14:paraId="03C36A74"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3,975</w:t>
            </w:r>
          </w:p>
        </w:tc>
        <w:tc>
          <w:tcPr>
            <w:tcW w:w="1386" w:type="dxa"/>
            <w:shd w:val="clear" w:color="auto" w:fill="auto"/>
            <w:noWrap/>
            <w:vAlign w:val="center"/>
            <w:hideMark/>
          </w:tcPr>
          <w:p w:rsidR="002319D8" w:rsidRPr="00E92045" w14:paraId="7AD7A89F"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7,105</w:t>
            </w:r>
          </w:p>
        </w:tc>
      </w:tr>
      <w:tr w14:paraId="2D3150FA" w14:textId="77777777">
        <w:tblPrEx>
          <w:tblW w:w="6565" w:type="dxa"/>
          <w:jc w:val="center"/>
          <w:tblLook w:val="04A0"/>
        </w:tblPrEx>
        <w:trPr>
          <w:trHeight w:val="268"/>
          <w:jc w:val="center"/>
        </w:trPr>
        <w:tc>
          <w:tcPr>
            <w:tcW w:w="2789" w:type="dxa"/>
            <w:shd w:val="clear" w:color="auto" w:fill="auto"/>
            <w:noWrap/>
            <w:vAlign w:val="center"/>
            <w:hideMark/>
          </w:tcPr>
          <w:p w:rsidR="002319D8" w:rsidRPr="00E92045" w14:paraId="715C232E" w14:textId="77777777">
            <w:pPr>
              <w:spacing w:after="0" w:line="240" w:lineRule="auto"/>
              <w:ind w:firstLine="200" w:firstLineChars="100"/>
              <w:jc w:val="center"/>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of facilities owned by: Private Sector Entities</w:t>
            </w:r>
          </w:p>
        </w:tc>
        <w:tc>
          <w:tcPr>
            <w:tcW w:w="1200" w:type="dxa"/>
            <w:shd w:val="clear" w:color="auto" w:fill="auto"/>
            <w:noWrap/>
            <w:vAlign w:val="center"/>
            <w:hideMark/>
          </w:tcPr>
          <w:p w:rsidR="002319D8" w:rsidRPr="00E92045" w14:paraId="76BE9F95"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651</w:t>
            </w:r>
          </w:p>
        </w:tc>
        <w:tc>
          <w:tcPr>
            <w:tcW w:w="1190" w:type="dxa"/>
            <w:shd w:val="clear" w:color="auto" w:fill="auto"/>
            <w:noWrap/>
            <w:vAlign w:val="center"/>
            <w:hideMark/>
          </w:tcPr>
          <w:p w:rsidR="002319D8" w:rsidRPr="00E92045" w14:paraId="09FD0B59"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3,162</w:t>
            </w:r>
          </w:p>
        </w:tc>
        <w:tc>
          <w:tcPr>
            <w:tcW w:w="1386" w:type="dxa"/>
            <w:shd w:val="clear" w:color="auto" w:fill="auto"/>
            <w:noWrap/>
            <w:vAlign w:val="center"/>
            <w:hideMark/>
          </w:tcPr>
          <w:p w:rsidR="002319D8" w:rsidRPr="00E92045" w14:paraId="4BA8FE51"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6,422</w:t>
            </w:r>
          </w:p>
        </w:tc>
      </w:tr>
      <w:tr w14:paraId="1EAEFED7" w14:textId="77777777">
        <w:tblPrEx>
          <w:tblW w:w="6565" w:type="dxa"/>
          <w:jc w:val="center"/>
          <w:tblLook w:val="04A0"/>
        </w:tblPrEx>
        <w:trPr>
          <w:trHeight w:val="268"/>
          <w:jc w:val="center"/>
        </w:trPr>
        <w:tc>
          <w:tcPr>
            <w:tcW w:w="2789" w:type="dxa"/>
            <w:shd w:val="clear" w:color="auto" w:fill="auto"/>
            <w:noWrap/>
            <w:vAlign w:val="center"/>
            <w:hideMark/>
          </w:tcPr>
          <w:p w:rsidR="002319D8" w:rsidRPr="00E92045" w14:paraId="57FC61B5"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Small </w:t>
            </w:r>
          </w:p>
        </w:tc>
        <w:tc>
          <w:tcPr>
            <w:tcW w:w="1200" w:type="dxa"/>
            <w:shd w:val="clear" w:color="auto" w:fill="auto"/>
            <w:noWrap/>
            <w:vAlign w:val="center"/>
            <w:hideMark/>
          </w:tcPr>
          <w:p w:rsidR="002319D8" w:rsidRPr="00E92045" w14:paraId="083D4342"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3</w:t>
            </w:r>
            <w:r w:rsidR="003F4E95">
              <w:rPr>
                <w:rFonts w:ascii="Times New Roman" w:hAnsi="Times New Roman" w:cs="Times New Roman"/>
                <w:color w:val="000000"/>
                <w:sz w:val="20"/>
                <w:szCs w:val="20"/>
              </w:rPr>
              <w:t>41</w:t>
            </w:r>
          </w:p>
        </w:tc>
        <w:tc>
          <w:tcPr>
            <w:tcW w:w="1190" w:type="dxa"/>
            <w:shd w:val="clear" w:color="auto" w:fill="auto"/>
            <w:noWrap/>
            <w:vAlign w:val="center"/>
            <w:hideMark/>
          </w:tcPr>
          <w:p w:rsidR="002319D8" w:rsidRPr="00E92045" w14:paraId="314A0109"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1,</w:t>
            </w:r>
            <w:r w:rsidR="005717A7">
              <w:rPr>
                <w:rFonts w:ascii="Times New Roman" w:hAnsi="Times New Roman" w:cs="Times New Roman"/>
                <w:color w:val="000000"/>
                <w:sz w:val="20"/>
                <w:szCs w:val="20"/>
              </w:rPr>
              <w:t>550</w:t>
            </w:r>
          </w:p>
        </w:tc>
        <w:tc>
          <w:tcPr>
            <w:tcW w:w="1386" w:type="dxa"/>
            <w:shd w:val="clear" w:color="auto" w:fill="auto"/>
            <w:noWrap/>
            <w:vAlign w:val="center"/>
            <w:hideMark/>
          </w:tcPr>
          <w:p w:rsidR="002319D8" w:rsidRPr="00E92045" w14:paraId="7F1689BC"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2,</w:t>
            </w:r>
            <w:r w:rsidR="005717A7">
              <w:rPr>
                <w:rFonts w:ascii="Times New Roman" w:hAnsi="Times New Roman" w:cs="Times New Roman"/>
                <w:color w:val="000000"/>
                <w:sz w:val="20"/>
                <w:szCs w:val="20"/>
              </w:rPr>
              <w:t>274</w:t>
            </w:r>
          </w:p>
        </w:tc>
      </w:tr>
      <w:tr w14:paraId="4169C517" w14:textId="77777777">
        <w:tblPrEx>
          <w:tblW w:w="6565" w:type="dxa"/>
          <w:jc w:val="center"/>
          <w:tblLook w:val="04A0"/>
        </w:tblPrEx>
        <w:trPr>
          <w:trHeight w:val="268"/>
          <w:jc w:val="center"/>
        </w:trPr>
        <w:tc>
          <w:tcPr>
            <w:tcW w:w="2789" w:type="dxa"/>
            <w:shd w:val="clear" w:color="auto" w:fill="auto"/>
            <w:noWrap/>
            <w:vAlign w:val="center"/>
            <w:hideMark/>
          </w:tcPr>
          <w:p w:rsidR="002319D8" w:rsidRPr="00E92045" w14:paraId="3A73363A"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Non-small </w:t>
            </w:r>
          </w:p>
        </w:tc>
        <w:tc>
          <w:tcPr>
            <w:tcW w:w="1200" w:type="dxa"/>
            <w:shd w:val="clear" w:color="auto" w:fill="auto"/>
            <w:noWrap/>
            <w:vAlign w:val="center"/>
            <w:hideMark/>
          </w:tcPr>
          <w:p w:rsidR="002319D8" w:rsidRPr="00E92045" w14:paraId="70F42AC8" w14:textId="77777777">
            <w:pPr>
              <w:spacing w:after="0" w:line="240" w:lineRule="auto"/>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310</w:t>
            </w:r>
          </w:p>
        </w:tc>
        <w:tc>
          <w:tcPr>
            <w:tcW w:w="1190" w:type="dxa"/>
            <w:shd w:val="clear" w:color="auto" w:fill="auto"/>
            <w:noWrap/>
            <w:vAlign w:val="center"/>
            <w:hideMark/>
          </w:tcPr>
          <w:p w:rsidR="002319D8" w:rsidRPr="00E92045" w14:paraId="621A2115" w14:textId="77777777">
            <w:pPr>
              <w:spacing w:after="0" w:line="240" w:lineRule="auto"/>
              <w:jc w:val="center"/>
              <w:rPr>
                <w:rFonts w:ascii="Times New Roman" w:eastAsia="Times New Roman" w:hAnsi="Times New Roman" w:cs="Times New Roman"/>
                <w:color w:val="000000"/>
                <w:sz w:val="20"/>
                <w:szCs w:val="20"/>
              </w:rPr>
            </w:pPr>
            <w:r w:rsidRPr="00E92045">
              <w:rPr>
                <w:rFonts w:ascii="Times New Roman" w:hAnsi="Times New Roman" w:cs="Times New Roman"/>
                <w:color w:val="000000"/>
                <w:sz w:val="20"/>
                <w:szCs w:val="20"/>
              </w:rPr>
              <w:t>1,</w:t>
            </w:r>
            <w:r w:rsidR="005717A7">
              <w:rPr>
                <w:rFonts w:ascii="Times New Roman" w:hAnsi="Times New Roman" w:cs="Times New Roman"/>
                <w:color w:val="000000"/>
                <w:sz w:val="20"/>
                <w:szCs w:val="20"/>
              </w:rPr>
              <w:t>612</w:t>
            </w:r>
          </w:p>
        </w:tc>
        <w:tc>
          <w:tcPr>
            <w:tcW w:w="1386" w:type="dxa"/>
            <w:shd w:val="clear" w:color="auto" w:fill="auto"/>
            <w:noWrap/>
            <w:vAlign w:val="center"/>
            <w:hideMark/>
          </w:tcPr>
          <w:p w:rsidR="002319D8" w:rsidRPr="00E92045" w14:paraId="1F740829" w14:textId="77777777">
            <w:pPr>
              <w:spacing w:after="0" w:line="240" w:lineRule="auto"/>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4,</w:t>
            </w:r>
            <w:r w:rsidR="00901C2C">
              <w:rPr>
                <w:rFonts w:ascii="Times New Roman" w:hAnsi="Times New Roman" w:cs="Times New Roman"/>
                <w:color w:val="000000"/>
                <w:sz w:val="20"/>
                <w:szCs w:val="20"/>
              </w:rPr>
              <w:t>148</w:t>
            </w:r>
          </w:p>
        </w:tc>
      </w:tr>
    </w:tbl>
    <w:p w:rsidR="002319D8" w:rsidP="002319D8" w14:paraId="11BAE60A" w14:textId="77777777">
      <w:pPr>
        <w:spacing w:after="0"/>
        <w:ind w:right="617"/>
        <w:rPr>
          <w:rFonts w:ascii="Times New Roman" w:hAnsi="Times New Roman"/>
          <w:sz w:val="20"/>
          <w:szCs w:val="20"/>
        </w:rPr>
      </w:pPr>
    </w:p>
    <w:p w:rsidR="002319D8" w:rsidRPr="00E92045" w:rsidP="002319D8" w14:paraId="4A17C993" w14:textId="77777777">
      <w:pPr>
        <w:pStyle w:val="Caption"/>
        <w:jc w:val="center"/>
        <w:rPr>
          <w:rFonts w:ascii="Times New Roman" w:hAnsi="Times New Roman" w:cs="Times New Roman"/>
          <w:b/>
          <w:bCs/>
          <w:i w:val="0"/>
          <w:iCs w:val="0"/>
          <w:color w:val="auto"/>
          <w:sz w:val="22"/>
          <w:szCs w:val="22"/>
        </w:rPr>
      </w:pPr>
      <w:r w:rsidRPr="00E92045">
        <w:rPr>
          <w:rFonts w:ascii="Times New Roman" w:hAnsi="Times New Roman" w:cs="Times New Roman"/>
          <w:b/>
          <w:bCs/>
          <w:i w:val="0"/>
          <w:iCs w:val="0"/>
          <w:color w:val="auto"/>
          <w:sz w:val="22"/>
          <w:szCs w:val="22"/>
        </w:rPr>
        <w:t>Exhibit</w:t>
      </w:r>
      <w:r w:rsidRPr="00E92045">
        <w:rPr>
          <w:rFonts w:ascii="Times New Roman" w:hAnsi="Times New Roman" w:cs="Times New Roman"/>
          <w:i w:val="0"/>
          <w:iCs w:val="0"/>
          <w:color w:val="auto"/>
          <w:sz w:val="22"/>
          <w:szCs w:val="22"/>
        </w:rPr>
        <w:t xml:space="preserve"> </w:t>
      </w:r>
      <w:r>
        <w:rPr>
          <w:rFonts w:ascii="Times New Roman" w:hAnsi="Times New Roman" w:cs="Times New Roman"/>
          <w:b/>
          <w:bCs/>
          <w:i w:val="0"/>
          <w:iCs w:val="0"/>
          <w:color w:val="auto"/>
          <w:sz w:val="22"/>
          <w:szCs w:val="22"/>
        </w:rPr>
        <w:t>C</w:t>
      </w:r>
      <w:r w:rsidRPr="00E92045">
        <w:rPr>
          <w:rFonts w:ascii="Times New Roman" w:hAnsi="Times New Roman" w:cs="Times New Roman"/>
          <w:b/>
          <w:bCs/>
          <w:i w:val="0"/>
          <w:iCs w:val="0"/>
          <w:color w:val="auto"/>
          <w:sz w:val="22"/>
          <w:szCs w:val="22"/>
        </w:rPr>
        <w:t>-</w:t>
      </w:r>
      <w:r w:rsidR="00F04BCF">
        <w:rPr>
          <w:rFonts w:ascii="Times New Roman" w:hAnsi="Times New Roman" w:cs="Times New Roman"/>
          <w:b/>
          <w:bCs/>
          <w:i w:val="0"/>
          <w:iCs w:val="0"/>
          <w:color w:val="auto"/>
          <w:sz w:val="22"/>
          <w:szCs w:val="22"/>
        </w:rPr>
        <w:t>1</w:t>
      </w:r>
      <w:r w:rsidR="00E46D3C">
        <w:rPr>
          <w:rFonts w:ascii="Times New Roman" w:hAnsi="Times New Roman" w:cs="Times New Roman"/>
          <w:b/>
          <w:bCs/>
          <w:i w:val="0"/>
          <w:iCs w:val="0"/>
          <w:color w:val="auto"/>
          <w:sz w:val="22"/>
          <w:szCs w:val="22"/>
        </w:rPr>
        <w:t>1</w:t>
      </w:r>
      <w:r w:rsidRPr="00E92045">
        <w:rPr>
          <w:rFonts w:ascii="Times New Roman" w:hAnsi="Times New Roman" w:cs="Times New Roman"/>
          <w:b/>
          <w:bCs/>
          <w:i w:val="0"/>
          <w:iCs w:val="0"/>
          <w:color w:val="auto"/>
          <w:sz w:val="22"/>
          <w:szCs w:val="22"/>
        </w:rPr>
        <w:t>: Analysis of Private Sector Facility Ownership by Program Level</w:t>
      </w:r>
      <w:r>
        <w:rPr>
          <w:rFonts w:ascii="Times New Roman" w:hAnsi="Times New Roman" w:cs="Times New Roman"/>
          <w:b/>
          <w:bCs/>
          <w:i w:val="0"/>
          <w:iCs w:val="0"/>
          <w:color w:val="auto"/>
          <w:sz w:val="22"/>
          <w:szCs w:val="22"/>
        </w:rPr>
        <w:t>, D&amp;B Hoovers</w:t>
      </w:r>
      <w:r w:rsidRPr="00E92045">
        <w:rPr>
          <w:rFonts w:ascii="Times New Roman" w:hAnsi="Times New Roman" w:cs="Times New Roman"/>
          <w:b/>
          <w:bCs/>
          <w:i w:val="0"/>
          <w:iCs w:val="0"/>
          <w:color w:val="auto"/>
          <w:sz w:val="22"/>
          <w:szCs w:val="22"/>
        </w:rPr>
        <w:t>.</w:t>
      </w: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200"/>
        <w:gridCol w:w="1190"/>
        <w:gridCol w:w="1386"/>
      </w:tblGrid>
      <w:tr w14:paraId="2CC07583" w14:textId="77777777" w:rsidTr="00D8562D">
        <w:tblPrEx>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jc w:val="center"/>
        </w:trPr>
        <w:tc>
          <w:tcPr>
            <w:tcW w:w="2789" w:type="dxa"/>
            <w:shd w:val="clear" w:color="auto" w:fill="D9D9D9" w:themeFill="background1" w:themeFillShade="D9"/>
            <w:noWrap/>
            <w:vAlign w:val="center"/>
            <w:hideMark/>
          </w:tcPr>
          <w:p w:rsidR="002319D8" w:rsidRPr="00E92045" w14:paraId="0D9CF23C" w14:textId="77777777">
            <w:pPr>
              <w:spacing w:after="0" w:line="240" w:lineRule="auto"/>
              <w:rPr>
                <w:rFonts w:ascii="Times New Roman" w:eastAsia="Times New Roman" w:hAnsi="Times New Roman" w:cs="Times New Roman"/>
                <w:b/>
                <w:sz w:val="20"/>
                <w:szCs w:val="20"/>
              </w:rPr>
            </w:pPr>
          </w:p>
        </w:tc>
        <w:tc>
          <w:tcPr>
            <w:tcW w:w="1200" w:type="dxa"/>
            <w:shd w:val="clear" w:color="auto" w:fill="D9D9D9" w:themeFill="background1" w:themeFillShade="D9"/>
            <w:noWrap/>
            <w:vAlign w:val="center"/>
            <w:hideMark/>
          </w:tcPr>
          <w:p w:rsidR="002319D8" w:rsidRPr="00E92045" w14:paraId="59059580"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P1 Facilities</w:t>
            </w:r>
          </w:p>
        </w:tc>
        <w:tc>
          <w:tcPr>
            <w:tcW w:w="1190" w:type="dxa"/>
            <w:shd w:val="clear" w:color="auto" w:fill="D9D9D9" w:themeFill="background1" w:themeFillShade="D9"/>
            <w:noWrap/>
            <w:vAlign w:val="center"/>
            <w:hideMark/>
          </w:tcPr>
          <w:p w:rsidR="002319D8" w:rsidRPr="00E92045" w14:paraId="4645480F"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Number</w:t>
            </w:r>
            <w:r w:rsidRPr="00E92045">
              <w:rPr>
                <w:rFonts w:ascii="Times New Roman" w:eastAsia="Times New Roman" w:hAnsi="Times New Roman" w:cs="Times New Roman"/>
                <w:b/>
                <w:color w:val="000000"/>
                <w:sz w:val="20"/>
                <w:szCs w:val="20"/>
              </w:rPr>
              <w:t xml:space="preserve"> of P2 Facilities</w:t>
            </w:r>
          </w:p>
        </w:tc>
        <w:tc>
          <w:tcPr>
            <w:tcW w:w="1386" w:type="dxa"/>
            <w:shd w:val="clear" w:color="auto" w:fill="D9D9D9" w:themeFill="background1" w:themeFillShade="D9"/>
            <w:noWrap/>
            <w:vAlign w:val="center"/>
            <w:hideMark/>
          </w:tcPr>
          <w:p w:rsidR="002319D8" w14:paraId="6AEA4B40"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bCs/>
                <w:color w:val="000000"/>
                <w:sz w:val="20"/>
                <w:szCs w:val="20"/>
              </w:rPr>
              <w:t xml:space="preserve">Number </w:t>
            </w:r>
            <w:r w:rsidRPr="00E92045">
              <w:rPr>
                <w:rFonts w:ascii="Times New Roman" w:eastAsia="Times New Roman" w:hAnsi="Times New Roman" w:cs="Times New Roman"/>
                <w:b/>
                <w:color w:val="000000"/>
                <w:sz w:val="20"/>
                <w:szCs w:val="20"/>
              </w:rPr>
              <w:t xml:space="preserve">of P3 </w:t>
            </w:r>
          </w:p>
          <w:p w:rsidR="002319D8" w:rsidRPr="00E92045" w14:paraId="3955D45B" w14:textId="77777777">
            <w:pPr>
              <w:spacing w:after="0" w:line="240" w:lineRule="auto"/>
              <w:jc w:val="center"/>
              <w:rPr>
                <w:rFonts w:ascii="Times New Roman" w:eastAsia="Times New Roman" w:hAnsi="Times New Roman" w:cs="Times New Roman"/>
                <w:b/>
                <w:color w:val="000000"/>
                <w:sz w:val="20"/>
                <w:szCs w:val="20"/>
              </w:rPr>
            </w:pPr>
            <w:r w:rsidRPr="00E92045">
              <w:rPr>
                <w:rFonts w:ascii="Times New Roman" w:eastAsia="Times New Roman" w:hAnsi="Times New Roman" w:cs="Times New Roman"/>
                <w:b/>
                <w:color w:val="000000"/>
                <w:sz w:val="20"/>
                <w:szCs w:val="20"/>
              </w:rPr>
              <w:t>Facilities</w:t>
            </w:r>
          </w:p>
        </w:tc>
      </w:tr>
      <w:tr w14:paraId="1E1EE20C" w14:textId="77777777" w:rsidTr="003C24D0">
        <w:tblPrEx>
          <w:tblW w:w="6565" w:type="dxa"/>
          <w:jc w:val="center"/>
          <w:tblLook w:val="04A0"/>
        </w:tblPrEx>
        <w:trPr>
          <w:trHeight w:val="290"/>
          <w:jc w:val="center"/>
        </w:trPr>
        <w:tc>
          <w:tcPr>
            <w:tcW w:w="2789" w:type="dxa"/>
            <w:shd w:val="clear" w:color="auto" w:fill="auto"/>
            <w:noWrap/>
            <w:vAlign w:val="center"/>
            <w:hideMark/>
          </w:tcPr>
          <w:p w:rsidR="002319D8" w:rsidRPr="00E92045" w14:paraId="6E68DCE2" w14:textId="77777777">
            <w:pPr>
              <w:spacing w:after="0" w:line="240" w:lineRule="auto"/>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Total Facilities</w:t>
            </w:r>
          </w:p>
        </w:tc>
        <w:tc>
          <w:tcPr>
            <w:tcW w:w="1200" w:type="dxa"/>
            <w:shd w:val="clear" w:color="auto" w:fill="auto"/>
            <w:noWrap/>
            <w:hideMark/>
          </w:tcPr>
          <w:p w:rsidR="002319D8" w:rsidRPr="007257C5" w14:paraId="47EEB014"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sz w:val="20"/>
                <w:szCs w:val="20"/>
              </w:rPr>
              <w:t xml:space="preserve"> 648 </w:t>
            </w:r>
          </w:p>
        </w:tc>
        <w:tc>
          <w:tcPr>
            <w:tcW w:w="1190" w:type="dxa"/>
            <w:shd w:val="clear" w:color="auto" w:fill="auto"/>
            <w:noWrap/>
            <w:hideMark/>
          </w:tcPr>
          <w:p w:rsidR="002319D8" w:rsidRPr="007257C5" w14:paraId="2AE5D159"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sz w:val="20"/>
                <w:szCs w:val="20"/>
              </w:rPr>
              <w:t xml:space="preserve"> 3,942 </w:t>
            </w:r>
          </w:p>
        </w:tc>
        <w:tc>
          <w:tcPr>
            <w:tcW w:w="1386" w:type="dxa"/>
            <w:shd w:val="clear" w:color="auto" w:fill="auto"/>
            <w:noWrap/>
            <w:hideMark/>
          </w:tcPr>
          <w:p w:rsidR="002319D8" w:rsidRPr="007257C5" w14:paraId="4D9D1441"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sz w:val="20"/>
                <w:szCs w:val="20"/>
              </w:rPr>
              <w:t xml:space="preserve"> 7,058 </w:t>
            </w:r>
          </w:p>
        </w:tc>
      </w:tr>
      <w:tr w14:paraId="69154F3C" w14:textId="77777777" w:rsidTr="003C24D0">
        <w:tblPrEx>
          <w:tblW w:w="6565" w:type="dxa"/>
          <w:jc w:val="center"/>
          <w:tblLook w:val="04A0"/>
        </w:tblPrEx>
        <w:trPr>
          <w:trHeight w:val="268"/>
          <w:jc w:val="center"/>
        </w:trPr>
        <w:tc>
          <w:tcPr>
            <w:tcW w:w="2789" w:type="dxa"/>
            <w:shd w:val="clear" w:color="auto" w:fill="auto"/>
            <w:noWrap/>
            <w:vAlign w:val="center"/>
            <w:hideMark/>
          </w:tcPr>
          <w:p w:rsidR="002319D8" w:rsidRPr="00E92045" w14:paraId="21D2B76F" w14:textId="77777777">
            <w:pPr>
              <w:spacing w:after="0" w:line="240" w:lineRule="auto"/>
              <w:ind w:firstLine="200" w:firstLineChars="100"/>
              <w:jc w:val="center"/>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of facilities owned by: Private Sector Entities</w:t>
            </w:r>
          </w:p>
        </w:tc>
        <w:tc>
          <w:tcPr>
            <w:tcW w:w="1200" w:type="dxa"/>
            <w:shd w:val="clear" w:color="auto" w:fill="auto"/>
            <w:noWrap/>
            <w:hideMark/>
          </w:tcPr>
          <w:p w:rsidR="002319D8" w:rsidRPr="007257C5" w14:paraId="2BD3E555"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sz w:val="20"/>
                <w:szCs w:val="20"/>
              </w:rPr>
              <w:t xml:space="preserve"> 634 </w:t>
            </w:r>
          </w:p>
        </w:tc>
        <w:tc>
          <w:tcPr>
            <w:tcW w:w="1190" w:type="dxa"/>
            <w:shd w:val="clear" w:color="auto" w:fill="auto"/>
            <w:noWrap/>
            <w:hideMark/>
          </w:tcPr>
          <w:p w:rsidR="002319D8" w:rsidRPr="007257C5" w14:paraId="7B11B6B5"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sz w:val="20"/>
                <w:szCs w:val="20"/>
              </w:rPr>
              <w:t xml:space="preserve"> 3,137 </w:t>
            </w:r>
          </w:p>
        </w:tc>
        <w:tc>
          <w:tcPr>
            <w:tcW w:w="1386" w:type="dxa"/>
            <w:shd w:val="clear" w:color="auto" w:fill="auto"/>
            <w:noWrap/>
            <w:hideMark/>
          </w:tcPr>
          <w:p w:rsidR="002319D8" w:rsidRPr="007257C5" w14:paraId="719B2CDF"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sz w:val="20"/>
                <w:szCs w:val="20"/>
              </w:rPr>
              <w:t xml:space="preserve"> 6,387 </w:t>
            </w:r>
          </w:p>
        </w:tc>
      </w:tr>
      <w:tr w14:paraId="5FB4F003" w14:textId="77777777" w:rsidTr="003C24D0">
        <w:tblPrEx>
          <w:tblW w:w="6565" w:type="dxa"/>
          <w:jc w:val="center"/>
          <w:tblLook w:val="04A0"/>
        </w:tblPrEx>
        <w:trPr>
          <w:trHeight w:val="268"/>
          <w:jc w:val="center"/>
        </w:trPr>
        <w:tc>
          <w:tcPr>
            <w:tcW w:w="2789" w:type="dxa"/>
            <w:shd w:val="clear" w:color="auto" w:fill="auto"/>
            <w:noWrap/>
            <w:vAlign w:val="center"/>
            <w:hideMark/>
          </w:tcPr>
          <w:p w:rsidR="002319D8" w:rsidRPr="00E92045" w14:paraId="718DA41C"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Small </w:t>
            </w:r>
          </w:p>
        </w:tc>
        <w:tc>
          <w:tcPr>
            <w:tcW w:w="1200" w:type="dxa"/>
            <w:shd w:val="clear" w:color="auto" w:fill="auto"/>
            <w:noWrap/>
            <w:hideMark/>
          </w:tcPr>
          <w:p w:rsidR="002319D8" w:rsidRPr="003C24D0" w14:paraId="61DDB4EA" w14:textId="77777777">
            <w:pPr>
              <w:spacing w:after="0" w:line="240" w:lineRule="auto"/>
              <w:jc w:val="center"/>
              <w:rPr>
                <w:rFonts w:ascii="Times New Roman" w:eastAsia="Times New Roman" w:hAnsi="Times New Roman" w:cs="Times New Roman"/>
                <w:color w:val="000000"/>
                <w:sz w:val="20"/>
                <w:szCs w:val="20"/>
                <w:highlight w:val="yellow"/>
              </w:rPr>
            </w:pPr>
            <w:r w:rsidRPr="003C24D0">
              <w:rPr>
                <w:rFonts w:ascii="Times New Roman" w:hAnsi="Times New Roman" w:cs="Times New Roman"/>
                <w:sz w:val="20"/>
                <w:szCs w:val="20"/>
              </w:rPr>
              <w:t xml:space="preserve"> 13</w:t>
            </w:r>
            <w:r w:rsidR="00D9430B">
              <w:rPr>
                <w:rFonts w:ascii="Times New Roman" w:hAnsi="Times New Roman" w:cs="Times New Roman"/>
                <w:sz w:val="20"/>
                <w:szCs w:val="20"/>
              </w:rPr>
              <w:t>4</w:t>
            </w:r>
          </w:p>
        </w:tc>
        <w:tc>
          <w:tcPr>
            <w:tcW w:w="1190" w:type="dxa"/>
            <w:shd w:val="clear" w:color="auto" w:fill="auto"/>
            <w:noWrap/>
            <w:hideMark/>
          </w:tcPr>
          <w:p w:rsidR="002319D8" w:rsidRPr="003C24D0" w14:paraId="117260D5" w14:textId="77777777">
            <w:pPr>
              <w:spacing w:after="0" w:line="240" w:lineRule="auto"/>
              <w:jc w:val="center"/>
              <w:rPr>
                <w:rFonts w:ascii="Times New Roman" w:eastAsia="Times New Roman" w:hAnsi="Times New Roman" w:cs="Times New Roman"/>
                <w:color w:val="000000"/>
                <w:sz w:val="20"/>
                <w:szCs w:val="20"/>
                <w:highlight w:val="yellow"/>
              </w:rPr>
            </w:pPr>
            <w:r w:rsidRPr="003C24D0">
              <w:rPr>
                <w:rFonts w:ascii="Times New Roman" w:hAnsi="Times New Roman" w:cs="Times New Roman"/>
                <w:sz w:val="20"/>
                <w:szCs w:val="20"/>
              </w:rPr>
              <w:t xml:space="preserve"> 1,4</w:t>
            </w:r>
            <w:r w:rsidR="00D9430B">
              <w:rPr>
                <w:rFonts w:ascii="Times New Roman" w:hAnsi="Times New Roman" w:cs="Times New Roman"/>
                <w:sz w:val="20"/>
                <w:szCs w:val="20"/>
              </w:rPr>
              <w:t>27</w:t>
            </w:r>
          </w:p>
        </w:tc>
        <w:tc>
          <w:tcPr>
            <w:tcW w:w="1386" w:type="dxa"/>
            <w:shd w:val="clear" w:color="auto" w:fill="auto"/>
            <w:noWrap/>
            <w:hideMark/>
          </w:tcPr>
          <w:p w:rsidR="002319D8" w:rsidRPr="003C24D0" w14:paraId="6BF98D77" w14:textId="77777777">
            <w:pPr>
              <w:spacing w:after="0" w:line="240" w:lineRule="auto"/>
              <w:jc w:val="center"/>
              <w:rPr>
                <w:rFonts w:ascii="Times New Roman" w:eastAsia="Times New Roman" w:hAnsi="Times New Roman" w:cs="Times New Roman"/>
                <w:color w:val="000000"/>
                <w:sz w:val="20"/>
                <w:szCs w:val="20"/>
                <w:highlight w:val="yellow"/>
              </w:rPr>
            </w:pPr>
            <w:r w:rsidRPr="003C24D0">
              <w:rPr>
                <w:rFonts w:ascii="Times New Roman" w:hAnsi="Times New Roman" w:cs="Times New Roman"/>
                <w:sz w:val="20"/>
                <w:szCs w:val="20"/>
              </w:rPr>
              <w:t xml:space="preserve"> 1,1</w:t>
            </w:r>
            <w:r w:rsidR="00923A19">
              <w:rPr>
                <w:rFonts w:ascii="Times New Roman" w:hAnsi="Times New Roman" w:cs="Times New Roman"/>
                <w:sz w:val="20"/>
                <w:szCs w:val="20"/>
              </w:rPr>
              <w:t>75</w:t>
            </w:r>
          </w:p>
        </w:tc>
      </w:tr>
      <w:tr w14:paraId="21789146" w14:textId="77777777" w:rsidTr="003C24D0">
        <w:tblPrEx>
          <w:tblW w:w="6565" w:type="dxa"/>
          <w:jc w:val="center"/>
          <w:tblLook w:val="04A0"/>
        </w:tblPrEx>
        <w:trPr>
          <w:trHeight w:val="268"/>
          <w:jc w:val="center"/>
        </w:trPr>
        <w:tc>
          <w:tcPr>
            <w:tcW w:w="2789" w:type="dxa"/>
            <w:shd w:val="clear" w:color="auto" w:fill="auto"/>
            <w:noWrap/>
            <w:vAlign w:val="center"/>
            <w:hideMark/>
          </w:tcPr>
          <w:p w:rsidR="002319D8" w:rsidRPr="00E92045" w14:paraId="3B687E94"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E92045">
              <w:rPr>
                <w:rFonts w:ascii="Times New Roman" w:eastAsia="Times New Roman" w:hAnsi="Times New Roman" w:cs="Times New Roman"/>
                <w:color w:val="000000"/>
                <w:sz w:val="20"/>
                <w:szCs w:val="20"/>
              </w:rPr>
              <w:t xml:space="preserve">Non-small </w:t>
            </w:r>
          </w:p>
        </w:tc>
        <w:tc>
          <w:tcPr>
            <w:tcW w:w="1200" w:type="dxa"/>
            <w:shd w:val="clear" w:color="auto" w:fill="auto"/>
            <w:noWrap/>
            <w:hideMark/>
          </w:tcPr>
          <w:p w:rsidR="002319D8" w:rsidRPr="003C24D0" w14:paraId="32CCC54A" w14:textId="77777777">
            <w:pPr>
              <w:spacing w:after="0" w:line="240" w:lineRule="auto"/>
              <w:jc w:val="center"/>
              <w:rPr>
                <w:rFonts w:ascii="Times New Roman" w:eastAsia="Times New Roman" w:hAnsi="Times New Roman" w:cs="Times New Roman"/>
                <w:color w:val="000000"/>
                <w:sz w:val="20"/>
                <w:szCs w:val="20"/>
                <w:highlight w:val="yellow"/>
              </w:rPr>
            </w:pPr>
            <w:r w:rsidRPr="003C24D0">
              <w:rPr>
                <w:rFonts w:ascii="Times New Roman" w:hAnsi="Times New Roman" w:cs="Times New Roman"/>
                <w:sz w:val="20"/>
                <w:szCs w:val="20"/>
              </w:rPr>
              <w:t xml:space="preserve"> 50</w:t>
            </w:r>
            <w:r w:rsidR="00021FD1">
              <w:rPr>
                <w:rFonts w:ascii="Times New Roman" w:hAnsi="Times New Roman" w:cs="Times New Roman"/>
                <w:sz w:val="20"/>
                <w:szCs w:val="20"/>
              </w:rPr>
              <w:t>0</w:t>
            </w:r>
          </w:p>
        </w:tc>
        <w:tc>
          <w:tcPr>
            <w:tcW w:w="1190" w:type="dxa"/>
            <w:shd w:val="clear" w:color="auto" w:fill="auto"/>
            <w:noWrap/>
            <w:hideMark/>
          </w:tcPr>
          <w:p w:rsidR="002319D8" w:rsidRPr="003C24D0" w14:paraId="74B97355" w14:textId="77777777">
            <w:pPr>
              <w:spacing w:after="0" w:line="240" w:lineRule="auto"/>
              <w:jc w:val="center"/>
              <w:rPr>
                <w:rFonts w:ascii="Times New Roman" w:eastAsia="Times New Roman" w:hAnsi="Times New Roman" w:cs="Times New Roman"/>
                <w:color w:val="000000"/>
                <w:sz w:val="20"/>
                <w:szCs w:val="20"/>
                <w:highlight w:val="yellow"/>
              </w:rPr>
            </w:pPr>
            <w:r w:rsidRPr="003C24D0">
              <w:rPr>
                <w:rFonts w:ascii="Times New Roman" w:hAnsi="Times New Roman" w:cs="Times New Roman"/>
                <w:sz w:val="20"/>
                <w:szCs w:val="20"/>
              </w:rPr>
              <w:t xml:space="preserve"> 1,71</w:t>
            </w:r>
            <w:r w:rsidR="00021FD1">
              <w:rPr>
                <w:rFonts w:ascii="Times New Roman" w:hAnsi="Times New Roman" w:cs="Times New Roman"/>
                <w:sz w:val="20"/>
                <w:szCs w:val="20"/>
              </w:rPr>
              <w:t>0</w:t>
            </w:r>
          </w:p>
        </w:tc>
        <w:tc>
          <w:tcPr>
            <w:tcW w:w="1386" w:type="dxa"/>
            <w:shd w:val="clear" w:color="auto" w:fill="auto"/>
            <w:noWrap/>
            <w:hideMark/>
          </w:tcPr>
          <w:p w:rsidR="002319D8" w:rsidRPr="003C24D0" w14:paraId="098A80B7" w14:textId="77777777">
            <w:pPr>
              <w:spacing w:after="0" w:line="240" w:lineRule="auto"/>
              <w:jc w:val="center"/>
              <w:rPr>
                <w:rFonts w:ascii="Times New Roman" w:eastAsia="Times New Roman" w:hAnsi="Times New Roman" w:cs="Times New Roman"/>
                <w:color w:val="000000"/>
                <w:sz w:val="20"/>
                <w:szCs w:val="20"/>
                <w:highlight w:val="yellow"/>
              </w:rPr>
            </w:pPr>
            <w:r w:rsidRPr="003C24D0">
              <w:rPr>
                <w:rFonts w:ascii="Times New Roman" w:hAnsi="Times New Roman" w:cs="Times New Roman"/>
                <w:sz w:val="20"/>
                <w:szCs w:val="20"/>
              </w:rPr>
              <w:t xml:space="preserve"> 5,2</w:t>
            </w:r>
            <w:r w:rsidR="00021FD1">
              <w:rPr>
                <w:rFonts w:ascii="Times New Roman" w:hAnsi="Times New Roman" w:cs="Times New Roman"/>
                <w:sz w:val="20"/>
                <w:szCs w:val="20"/>
              </w:rPr>
              <w:t>12</w:t>
            </w:r>
          </w:p>
        </w:tc>
      </w:tr>
    </w:tbl>
    <w:p w:rsidR="002319D8" w:rsidP="002319D8" w14:paraId="2969E506" w14:textId="77777777">
      <w:pPr>
        <w:spacing w:after="0"/>
        <w:ind w:right="617"/>
        <w:rPr>
          <w:rFonts w:ascii="Times New Roman" w:hAnsi="Times New Roman"/>
          <w:sz w:val="20"/>
          <w:szCs w:val="20"/>
        </w:rPr>
      </w:pPr>
    </w:p>
    <w:p w:rsidR="002319D8" w:rsidP="002319D8" w14:paraId="5E83F2AA" w14:textId="77777777">
      <w:pPr>
        <w:spacing w:after="0"/>
        <w:ind w:right="617"/>
        <w:rPr>
          <w:rFonts w:ascii="Times New Roman" w:hAnsi="Times New Roman"/>
          <w:sz w:val="20"/>
          <w:szCs w:val="20"/>
        </w:rPr>
      </w:pPr>
    </w:p>
    <w:p w:rsidR="002319D8" w:rsidRPr="007D7D6B" w:rsidP="00232C46" w14:paraId="07015BA6" w14:textId="77777777">
      <w:pPr>
        <w:spacing w:after="0" w:line="240" w:lineRule="auto"/>
        <w:ind w:firstLine="720"/>
        <w:rPr>
          <w:rFonts w:ascii="Times New Roman" w:hAnsi="Times New Roman" w:cs="Times New Roman"/>
        </w:rPr>
      </w:pPr>
      <w:r w:rsidRPr="003C24D0">
        <w:rPr>
          <w:rFonts w:ascii="Times New Roman" w:hAnsi="Times New Roman" w:cs="Times New Roman"/>
        </w:rPr>
        <w:t>E</w:t>
      </w:r>
      <w:r w:rsidRPr="0067564C">
        <w:rPr>
          <w:rFonts w:ascii="Times New Roman" w:hAnsi="Times New Roman" w:cs="Times New Roman"/>
        </w:rPr>
        <w:t>xhibit</w:t>
      </w:r>
      <w:r w:rsidR="00FF1A76">
        <w:rPr>
          <w:rFonts w:ascii="Times New Roman" w:hAnsi="Times New Roman" w:cs="Times New Roman"/>
        </w:rPr>
        <w:t>s</w:t>
      </w:r>
      <w:r w:rsidRPr="0067564C">
        <w:rPr>
          <w:rFonts w:ascii="Times New Roman" w:hAnsi="Times New Roman" w:cs="Times New Roman"/>
        </w:rPr>
        <w:t xml:space="preserve"> </w:t>
      </w:r>
      <w:r w:rsidRPr="003C24D0">
        <w:rPr>
          <w:rFonts w:ascii="Times New Roman" w:hAnsi="Times New Roman" w:cs="Times New Roman"/>
        </w:rPr>
        <w:t>C-</w:t>
      </w:r>
      <w:r w:rsidR="00F04BCF">
        <w:rPr>
          <w:rFonts w:ascii="Times New Roman" w:hAnsi="Times New Roman" w:cs="Times New Roman"/>
        </w:rPr>
        <w:t>1</w:t>
      </w:r>
      <w:r w:rsidR="00E46D3C">
        <w:rPr>
          <w:rFonts w:ascii="Times New Roman" w:hAnsi="Times New Roman" w:cs="Times New Roman"/>
        </w:rPr>
        <w:t>2</w:t>
      </w:r>
      <w:r w:rsidRPr="003C24D0">
        <w:rPr>
          <w:rFonts w:ascii="Times New Roman" w:hAnsi="Times New Roman" w:cs="Times New Roman"/>
        </w:rPr>
        <w:t xml:space="preserve"> and C-</w:t>
      </w:r>
      <w:r w:rsidR="00F04BCF">
        <w:rPr>
          <w:rFonts w:ascii="Times New Roman" w:hAnsi="Times New Roman" w:cs="Times New Roman"/>
        </w:rPr>
        <w:t>1</w:t>
      </w:r>
      <w:r w:rsidR="00E46D3C">
        <w:rPr>
          <w:rFonts w:ascii="Times New Roman" w:hAnsi="Times New Roman" w:cs="Times New Roman"/>
        </w:rPr>
        <w:t>3</w:t>
      </w:r>
      <w:r w:rsidRPr="003C24D0">
        <w:rPr>
          <w:rFonts w:ascii="Times New Roman" w:hAnsi="Times New Roman" w:cs="Times New Roman"/>
        </w:rPr>
        <w:t xml:space="preserve"> </w:t>
      </w:r>
      <w:r w:rsidRPr="0067564C">
        <w:rPr>
          <w:rFonts w:ascii="Times New Roman" w:hAnsi="Times New Roman" w:cs="Times New Roman"/>
        </w:rPr>
        <w:t xml:space="preserve">present an analysis of facilities and the size of entity associated with </w:t>
      </w:r>
      <w:r w:rsidR="00186D84">
        <w:rPr>
          <w:rFonts w:ascii="Times New Roman" w:hAnsi="Times New Roman" w:cs="Times New Roman"/>
        </w:rPr>
        <w:t>them</w:t>
      </w:r>
      <w:r w:rsidRPr="0067564C">
        <w:rPr>
          <w:rFonts w:ascii="Times New Roman" w:hAnsi="Times New Roman" w:cs="Times New Roman"/>
        </w:rPr>
        <w:t xml:space="preserve"> to provide an understanding of the distribution of government</w:t>
      </w:r>
      <w:r w:rsidR="000D72F6">
        <w:rPr>
          <w:rFonts w:ascii="Times New Roman" w:hAnsi="Times New Roman" w:cs="Times New Roman"/>
        </w:rPr>
        <w:t>-</w:t>
      </w:r>
      <w:r w:rsidRPr="0067564C">
        <w:rPr>
          <w:rFonts w:ascii="Times New Roman" w:hAnsi="Times New Roman" w:cs="Times New Roman"/>
        </w:rPr>
        <w:t xml:space="preserve">owned facilities by </w:t>
      </w:r>
      <w:r w:rsidR="00213B4B">
        <w:rPr>
          <w:rFonts w:ascii="Times New Roman" w:hAnsi="Times New Roman" w:cs="Times New Roman"/>
        </w:rPr>
        <w:t>p</w:t>
      </w:r>
      <w:r w:rsidRPr="0067564C">
        <w:rPr>
          <w:rFonts w:ascii="Times New Roman" w:hAnsi="Times New Roman" w:cs="Times New Roman"/>
        </w:rPr>
        <w:t xml:space="preserve">rogram </w:t>
      </w:r>
      <w:r w:rsidR="00213B4B">
        <w:rPr>
          <w:rFonts w:ascii="Times New Roman" w:hAnsi="Times New Roman" w:cs="Times New Roman"/>
        </w:rPr>
        <w:t>l</w:t>
      </w:r>
      <w:r w:rsidRPr="0067564C">
        <w:rPr>
          <w:rFonts w:ascii="Times New Roman" w:hAnsi="Times New Roman" w:cs="Times New Roman"/>
        </w:rPr>
        <w:t xml:space="preserve">evel. </w:t>
      </w:r>
      <w:r w:rsidR="000D72F6">
        <w:rPr>
          <w:rFonts w:ascii="Times New Roman" w:hAnsi="Times New Roman" w:cs="Times New Roman"/>
        </w:rPr>
        <w:t>The</w:t>
      </w:r>
      <w:r>
        <w:rPr>
          <w:rFonts w:ascii="Times New Roman" w:hAnsi="Times New Roman" w:cs="Times New Roman"/>
        </w:rPr>
        <w:t xml:space="preserve"> analyses show a similar distribution across </w:t>
      </w:r>
      <w:r w:rsidR="00213B4B">
        <w:rPr>
          <w:rFonts w:ascii="Times New Roman" w:hAnsi="Times New Roman" w:cs="Times New Roman"/>
        </w:rPr>
        <w:t>p</w:t>
      </w:r>
      <w:r>
        <w:rPr>
          <w:rFonts w:ascii="Times New Roman" w:hAnsi="Times New Roman" w:cs="Times New Roman"/>
        </w:rPr>
        <w:t xml:space="preserve">rogram </w:t>
      </w:r>
      <w:r w:rsidR="00213B4B">
        <w:rPr>
          <w:rFonts w:ascii="Times New Roman" w:hAnsi="Times New Roman" w:cs="Times New Roman"/>
        </w:rPr>
        <w:t>l</w:t>
      </w:r>
      <w:r>
        <w:rPr>
          <w:rFonts w:ascii="Times New Roman" w:hAnsi="Times New Roman" w:cs="Times New Roman"/>
        </w:rPr>
        <w:t>evel</w:t>
      </w:r>
      <w:r w:rsidR="00A47FE9">
        <w:rPr>
          <w:rFonts w:ascii="Times New Roman" w:hAnsi="Times New Roman" w:cs="Times New Roman"/>
        </w:rPr>
        <w:t>. Based on Data Axle and D&amp;B Hoovers data respectively</w:t>
      </w:r>
      <w:r>
        <w:rPr>
          <w:rFonts w:ascii="Times New Roman" w:hAnsi="Times New Roman" w:cs="Times New Roman"/>
        </w:rPr>
        <w:t xml:space="preserve">, </w:t>
      </w:r>
      <w:r w:rsidR="00CE7EBF">
        <w:rPr>
          <w:rFonts w:ascii="Times New Roman" w:hAnsi="Times New Roman" w:cs="Times New Roman"/>
        </w:rPr>
        <w:t>non-small government sector entities own</w:t>
      </w:r>
      <w:r w:rsidRPr="007D7D6B">
        <w:rPr>
          <w:rFonts w:ascii="Times New Roman" w:hAnsi="Times New Roman" w:cs="Times New Roman"/>
        </w:rPr>
        <w:t xml:space="preserve"> 48 </w:t>
      </w:r>
      <w:r w:rsidR="00414748">
        <w:rPr>
          <w:rFonts w:ascii="Times New Roman" w:hAnsi="Times New Roman" w:cs="Times New Roman"/>
        </w:rPr>
        <w:t>and 49</w:t>
      </w:r>
      <w:r w:rsidRPr="007D7D6B">
        <w:rPr>
          <w:rFonts w:ascii="Times New Roman" w:hAnsi="Times New Roman" w:cs="Times New Roman"/>
        </w:rPr>
        <w:t xml:space="preserve"> percent of Program 3 facilities (331 facilities out of 683</w:t>
      </w:r>
      <w:r w:rsidR="00B633B8">
        <w:rPr>
          <w:rFonts w:ascii="Times New Roman" w:hAnsi="Times New Roman" w:cs="Times New Roman"/>
        </w:rPr>
        <w:t xml:space="preserve"> and </w:t>
      </w:r>
      <w:r w:rsidR="00CE7EBF">
        <w:rPr>
          <w:rFonts w:ascii="Times New Roman" w:hAnsi="Times New Roman" w:cs="Times New Roman"/>
        </w:rPr>
        <w:t>330 of 671</w:t>
      </w:r>
      <w:r w:rsidRPr="007D7D6B">
        <w:rPr>
          <w:rFonts w:ascii="Times New Roman" w:hAnsi="Times New Roman" w:cs="Times New Roman"/>
        </w:rPr>
        <w:t xml:space="preserve">) compared to 45 </w:t>
      </w:r>
      <w:r w:rsidR="009B266F">
        <w:rPr>
          <w:rFonts w:ascii="Times New Roman" w:hAnsi="Times New Roman" w:cs="Times New Roman"/>
        </w:rPr>
        <w:t xml:space="preserve">and 46 </w:t>
      </w:r>
      <w:r w:rsidRPr="007D7D6B">
        <w:rPr>
          <w:rFonts w:ascii="Times New Roman" w:hAnsi="Times New Roman" w:cs="Times New Roman"/>
        </w:rPr>
        <w:t>percent of Program 2 facilities (369 facilities out of 813</w:t>
      </w:r>
      <w:r w:rsidR="001C6FA1">
        <w:rPr>
          <w:rFonts w:ascii="Times New Roman" w:hAnsi="Times New Roman" w:cs="Times New Roman"/>
        </w:rPr>
        <w:t xml:space="preserve"> and 367 of 805</w:t>
      </w:r>
      <w:r w:rsidRPr="007D7D6B">
        <w:rPr>
          <w:rFonts w:ascii="Times New Roman" w:hAnsi="Times New Roman" w:cs="Times New Roman"/>
        </w:rPr>
        <w:t>)</w:t>
      </w:r>
      <w:r w:rsidR="007F3DFF">
        <w:rPr>
          <w:rFonts w:ascii="Times New Roman" w:hAnsi="Times New Roman" w:cs="Times New Roman"/>
        </w:rPr>
        <w:t>.</w:t>
      </w:r>
      <w:r w:rsidR="001C6FA1">
        <w:rPr>
          <w:rFonts w:ascii="Times New Roman" w:hAnsi="Times New Roman" w:cs="Times New Roman"/>
        </w:rPr>
        <w:t xml:space="preserve"> </w:t>
      </w:r>
      <w:r w:rsidRPr="007D7D6B">
        <w:rPr>
          <w:rFonts w:ascii="Times New Roman" w:hAnsi="Times New Roman" w:cs="Times New Roman"/>
        </w:rPr>
        <w:t>There are few Program 1 government-owned facilities.</w:t>
      </w:r>
    </w:p>
    <w:p w:rsidR="002319D8" w:rsidRPr="003C24D0" w:rsidP="003C24D0" w14:paraId="5A259465" w14:textId="77777777">
      <w:pPr>
        <w:spacing w:after="0" w:line="240" w:lineRule="auto"/>
        <w:rPr>
          <w:rFonts w:ascii="Times New Roman" w:hAnsi="Times New Roman" w:cs="Times New Roman"/>
          <w:highlight w:val="yellow"/>
        </w:rPr>
      </w:pPr>
    </w:p>
    <w:p w:rsidR="002319D8" w:rsidP="002A7964" w14:paraId="6EBABD28" w14:textId="77777777">
      <w:pPr>
        <w:pStyle w:val="Caption"/>
        <w:spacing w:after="0"/>
        <w:jc w:val="center"/>
        <w:rPr>
          <w:rFonts w:ascii="Times New Roman" w:hAnsi="Times New Roman" w:cs="Times New Roman"/>
          <w:b/>
          <w:bCs/>
          <w:i w:val="0"/>
          <w:iCs w:val="0"/>
          <w:color w:val="auto"/>
          <w:sz w:val="22"/>
          <w:szCs w:val="22"/>
        </w:rPr>
      </w:pPr>
      <w:r w:rsidRPr="00A35D18">
        <w:rPr>
          <w:rFonts w:ascii="Times New Roman" w:hAnsi="Times New Roman" w:cs="Times New Roman"/>
          <w:b/>
          <w:bCs/>
          <w:i w:val="0"/>
          <w:iCs w:val="0"/>
          <w:color w:val="auto"/>
          <w:sz w:val="22"/>
          <w:szCs w:val="22"/>
        </w:rPr>
        <w:t xml:space="preserve">Exhibit </w:t>
      </w:r>
      <w:r w:rsidRPr="003C24D0">
        <w:rPr>
          <w:rFonts w:ascii="Times New Roman" w:hAnsi="Times New Roman" w:cs="Times New Roman"/>
          <w:b/>
          <w:i w:val="0"/>
          <w:color w:val="auto"/>
          <w:sz w:val="22"/>
          <w:szCs w:val="22"/>
        </w:rPr>
        <w:t>C</w:t>
      </w:r>
      <w:r w:rsidRPr="00A35D18">
        <w:rPr>
          <w:rFonts w:ascii="Times New Roman" w:hAnsi="Times New Roman" w:cs="Times New Roman"/>
          <w:b/>
          <w:bCs/>
          <w:i w:val="0"/>
          <w:iCs w:val="0"/>
          <w:color w:val="auto"/>
          <w:sz w:val="22"/>
          <w:szCs w:val="22"/>
        </w:rPr>
        <w:t>-</w:t>
      </w:r>
      <w:r w:rsidR="00F04BCF">
        <w:rPr>
          <w:rFonts w:ascii="Times New Roman" w:hAnsi="Times New Roman" w:cs="Times New Roman"/>
          <w:b/>
          <w:bCs/>
          <w:i w:val="0"/>
          <w:iCs w:val="0"/>
          <w:color w:val="auto"/>
          <w:sz w:val="22"/>
          <w:szCs w:val="22"/>
        </w:rPr>
        <w:t>1</w:t>
      </w:r>
      <w:r w:rsidR="00E46D3C">
        <w:rPr>
          <w:rFonts w:ascii="Times New Roman" w:hAnsi="Times New Roman" w:cs="Times New Roman"/>
          <w:b/>
          <w:bCs/>
          <w:i w:val="0"/>
          <w:iCs w:val="0"/>
          <w:color w:val="auto"/>
          <w:sz w:val="22"/>
          <w:szCs w:val="22"/>
        </w:rPr>
        <w:t>2</w:t>
      </w:r>
      <w:r w:rsidRPr="00A35D18">
        <w:rPr>
          <w:rFonts w:ascii="Times New Roman" w:hAnsi="Times New Roman" w:cs="Times New Roman"/>
          <w:b/>
          <w:bCs/>
          <w:i w:val="0"/>
          <w:iCs w:val="0"/>
          <w:color w:val="auto"/>
          <w:sz w:val="22"/>
          <w:szCs w:val="22"/>
        </w:rPr>
        <w:t>: Analysis of Government Sector Facility Ownership by Program Level</w:t>
      </w:r>
      <w:r w:rsidRPr="003C24D0">
        <w:rPr>
          <w:rFonts w:ascii="Times New Roman" w:hAnsi="Times New Roman" w:cs="Times New Roman"/>
          <w:b/>
          <w:i w:val="0"/>
          <w:color w:val="auto"/>
          <w:sz w:val="22"/>
          <w:szCs w:val="22"/>
        </w:rPr>
        <w:t xml:space="preserve">, Data </w:t>
      </w:r>
      <w:r w:rsidRPr="003C24D0">
        <w:rPr>
          <w:rFonts w:ascii="Times New Roman" w:hAnsi="Times New Roman" w:cs="Times New Roman"/>
          <w:b/>
          <w:bCs/>
          <w:i w:val="0"/>
          <w:iCs w:val="0"/>
          <w:color w:val="auto"/>
          <w:sz w:val="22"/>
          <w:szCs w:val="22"/>
        </w:rPr>
        <w:t>Ax</w:t>
      </w:r>
      <w:r>
        <w:rPr>
          <w:rFonts w:ascii="Times New Roman" w:hAnsi="Times New Roman" w:cs="Times New Roman"/>
          <w:b/>
          <w:bCs/>
          <w:i w:val="0"/>
          <w:iCs w:val="0"/>
          <w:color w:val="auto"/>
          <w:sz w:val="22"/>
          <w:szCs w:val="22"/>
        </w:rPr>
        <w:t>le</w:t>
      </w:r>
      <w:r w:rsidRPr="00A35D18">
        <w:rPr>
          <w:rFonts w:ascii="Times New Roman" w:hAnsi="Times New Roman" w:cs="Times New Roman"/>
          <w:b/>
          <w:bCs/>
          <w:i w:val="0"/>
          <w:iCs w:val="0"/>
          <w:color w:val="auto"/>
          <w:sz w:val="22"/>
          <w:szCs w:val="22"/>
        </w:rPr>
        <w:t>.</w:t>
      </w:r>
    </w:p>
    <w:p w:rsidR="002A7964" w:rsidRPr="002A7964" w:rsidP="002A7964" w14:paraId="0CF798E7" w14:textId="77777777">
      <w:pPr>
        <w:spacing w:after="0"/>
        <w:rPr>
          <w:sz w:val="20"/>
          <w:szCs w:val="20"/>
        </w:rPr>
      </w:pP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200"/>
        <w:gridCol w:w="1190"/>
        <w:gridCol w:w="1386"/>
      </w:tblGrid>
      <w:tr w14:paraId="032165F4" w14:textId="77777777" w:rsidTr="00D8562D">
        <w:tblPrEx>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jc w:val="center"/>
        </w:trPr>
        <w:tc>
          <w:tcPr>
            <w:tcW w:w="2789" w:type="dxa"/>
            <w:shd w:val="clear" w:color="auto" w:fill="D9D9D9" w:themeFill="background1" w:themeFillShade="D9"/>
            <w:noWrap/>
            <w:vAlign w:val="bottom"/>
            <w:hideMark/>
          </w:tcPr>
          <w:p w:rsidR="002319D8" w:rsidRPr="00A35D18" w:rsidP="002A7964" w14:paraId="11B182A7" w14:textId="77777777">
            <w:pPr>
              <w:keepNext/>
              <w:spacing w:after="0" w:line="240" w:lineRule="auto"/>
              <w:rPr>
                <w:rFonts w:ascii="Times New Roman" w:eastAsia="Times New Roman" w:hAnsi="Times New Roman" w:cs="Times New Roman"/>
                <w:b/>
                <w:sz w:val="20"/>
                <w:szCs w:val="20"/>
              </w:rPr>
            </w:pPr>
          </w:p>
        </w:tc>
        <w:tc>
          <w:tcPr>
            <w:tcW w:w="1200" w:type="dxa"/>
            <w:shd w:val="clear" w:color="auto" w:fill="D9D9D9" w:themeFill="background1" w:themeFillShade="D9"/>
            <w:noWrap/>
            <w:vAlign w:val="center"/>
            <w:hideMark/>
          </w:tcPr>
          <w:p w:rsidR="002319D8" w:rsidRPr="00A35D18" w:rsidP="002A7964" w14:paraId="61EE0500" w14:textId="77777777">
            <w:pPr>
              <w:keepNext/>
              <w:spacing w:after="0" w:line="240" w:lineRule="auto"/>
              <w:jc w:val="center"/>
              <w:rPr>
                <w:rFonts w:ascii="Times New Roman" w:eastAsia="Times New Roman" w:hAnsi="Times New Roman" w:cs="Times New Roman"/>
                <w:b/>
                <w:color w:val="000000"/>
                <w:sz w:val="20"/>
                <w:szCs w:val="20"/>
              </w:rPr>
            </w:pPr>
            <w:r w:rsidRPr="00A35D18">
              <w:rPr>
                <w:rFonts w:ascii="Times New Roman" w:eastAsia="Times New Roman" w:hAnsi="Times New Roman" w:cs="Times New Roman"/>
                <w:b/>
                <w:bCs/>
                <w:color w:val="000000"/>
                <w:sz w:val="20"/>
                <w:szCs w:val="20"/>
              </w:rPr>
              <w:t>Number</w:t>
            </w:r>
            <w:r w:rsidRPr="00A35D18">
              <w:rPr>
                <w:rFonts w:ascii="Times New Roman" w:eastAsia="Times New Roman" w:hAnsi="Times New Roman" w:cs="Times New Roman"/>
                <w:b/>
                <w:color w:val="000000"/>
                <w:sz w:val="20"/>
                <w:szCs w:val="20"/>
              </w:rPr>
              <w:t xml:space="preserve"> of P1 Facilities</w:t>
            </w:r>
          </w:p>
        </w:tc>
        <w:tc>
          <w:tcPr>
            <w:tcW w:w="1190" w:type="dxa"/>
            <w:shd w:val="clear" w:color="auto" w:fill="D9D9D9" w:themeFill="background1" w:themeFillShade="D9"/>
            <w:noWrap/>
            <w:vAlign w:val="center"/>
            <w:hideMark/>
          </w:tcPr>
          <w:p w:rsidR="002319D8" w:rsidRPr="00A35D18" w:rsidP="002A7964" w14:paraId="0342C405" w14:textId="77777777">
            <w:pPr>
              <w:keepNext/>
              <w:spacing w:after="0" w:line="240" w:lineRule="auto"/>
              <w:jc w:val="center"/>
              <w:rPr>
                <w:rFonts w:ascii="Times New Roman" w:eastAsia="Times New Roman" w:hAnsi="Times New Roman" w:cs="Times New Roman"/>
                <w:b/>
                <w:color w:val="000000"/>
                <w:sz w:val="20"/>
                <w:szCs w:val="20"/>
              </w:rPr>
            </w:pPr>
            <w:r w:rsidRPr="00A35D18">
              <w:rPr>
                <w:rFonts w:ascii="Times New Roman" w:eastAsia="Times New Roman" w:hAnsi="Times New Roman" w:cs="Times New Roman"/>
                <w:b/>
                <w:bCs/>
                <w:color w:val="000000"/>
                <w:sz w:val="20"/>
                <w:szCs w:val="20"/>
              </w:rPr>
              <w:t>Number</w:t>
            </w:r>
            <w:r w:rsidRPr="00A35D18">
              <w:rPr>
                <w:rFonts w:ascii="Times New Roman" w:eastAsia="Times New Roman" w:hAnsi="Times New Roman" w:cs="Times New Roman"/>
                <w:b/>
                <w:color w:val="000000"/>
                <w:sz w:val="20"/>
                <w:szCs w:val="20"/>
              </w:rPr>
              <w:t xml:space="preserve"> of P2 Facilities</w:t>
            </w:r>
          </w:p>
        </w:tc>
        <w:tc>
          <w:tcPr>
            <w:tcW w:w="1386" w:type="dxa"/>
            <w:shd w:val="clear" w:color="auto" w:fill="D9D9D9" w:themeFill="background1" w:themeFillShade="D9"/>
            <w:noWrap/>
            <w:vAlign w:val="center"/>
            <w:hideMark/>
          </w:tcPr>
          <w:p w:rsidR="002319D8" w:rsidRPr="00A35D18" w:rsidP="002A7964" w14:paraId="3366A053" w14:textId="77777777">
            <w:pPr>
              <w:keepNext/>
              <w:spacing w:after="0" w:line="240" w:lineRule="auto"/>
              <w:jc w:val="center"/>
              <w:rPr>
                <w:rFonts w:ascii="Times New Roman" w:eastAsia="Times New Roman" w:hAnsi="Times New Roman" w:cs="Times New Roman"/>
                <w:b/>
                <w:color w:val="000000"/>
                <w:sz w:val="20"/>
                <w:szCs w:val="20"/>
              </w:rPr>
            </w:pPr>
            <w:r w:rsidRPr="00A35D18">
              <w:rPr>
                <w:rFonts w:ascii="Times New Roman" w:eastAsia="Times New Roman" w:hAnsi="Times New Roman" w:cs="Times New Roman"/>
                <w:b/>
                <w:bCs/>
                <w:color w:val="000000"/>
                <w:sz w:val="20"/>
                <w:szCs w:val="20"/>
              </w:rPr>
              <w:t>Number</w:t>
            </w:r>
            <w:r w:rsidRPr="00A35D18">
              <w:rPr>
                <w:rFonts w:ascii="Times New Roman" w:eastAsia="Times New Roman" w:hAnsi="Times New Roman" w:cs="Times New Roman"/>
                <w:b/>
                <w:color w:val="000000"/>
                <w:sz w:val="20"/>
                <w:szCs w:val="20"/>
              </w:rPr>
              <w:t xml:space="preserve"> of P3 Facilities</w:t>
            </w:r>
          </w:p>
        </w:tc>
      </w:tr>
      <w:tr w14:paraId="4186C2EC" w14:textId="77777777">
        <w:tblPrEx>
          <w:tblW w:w="6565" w:type="dxa"/>
          <w:jc w:val="center"/>
          <w:tblLook w:val="04A0"/>
        </w:tblPrEx>
        <w:trPr>
          <w:trHeight w:val="290"/>
          <w:jc w:val="center"/>
        </w:trPr>
        <w:tc>
          <w:tcPr>
            <w:tcW w:w="2789" w:type="dxa"/>
            <w:shd w:val="clear" w:color="auto" w:fill="auto"/>
            <w:noWrap/>
            <w:vAlign w:val="bottom"/>
            <w:hideMark/>
          </w:tcPr>
          <w:p w:rsidR="002319D8" w:rsidRPr="00A35D18" w:rsidP="002A7964" w14:paraId="3350E4EF" w14:textId="77777777">
            <w:pPr>
              <w:spacing w:after="0" w:line="240" w:lineRule="auto"/>
              <w:rPr>
                <w:rFonts w:ascii="Times New Roman" w:eastAsia="Times New Roman" w:hAnsi="Times New Roman" w:cs="Times New Roman"/>
                <w:color w:val="000000"/>
                <w:sz w:val="20"/>
                <w:szCs w:val="20"/>
              </w:rPr>
            </w:pPr>
            <w:r w:rsidRPr="00A35D18">
              <w:rPr>
                <w:rFonts w:ascii="Times New Roman" w:eastAsia="Times New Roman" w:hAnsi="Times New Roman" w:cs="Times New Roman"/>
                <w:color w:val="000000"/>
                <w:sz w:val="20"/>
                <w:szCs w:val="20"/>
              </w:rPr>
              <w:t>Total Facilities</w:t>
            </w:r>
          </w:p>
        </w:tc>
        <w:tc>
          <w:tcPr>
            <w:tcW w:w="1200" w:type="dxa"/>
            <w:shd w:val="clear" w:color="auto" w:fill="auto"/>
            <w:noWrap/>
            <w:vAlign w:val="center"/>
            <w:hideMark/>
          </w:tcPr>
          <w:p w:rsidR="002319D8" w:rsidRPr="00A35D18" w:rsidP="002A7964" w14:paraId="416B6D82"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color w:val="000000"/>
                <w:sz w:val="20"/>
                <w:szCs w:val="20"/>
              </w:rPr>
              <w:t>660</w:t>
            </w:r>
          </w:p>
        </w:tc>
        <w:tc>
          <w:tcPr>
            <w:tcW w:w="1190" w:type="dxa"/>
            <w:shd w:val="clear" w:color="auto" w:fill="auto"/>
            <w:noWrap/>
            <w:vAlign w:val="center"/>
            <w:hideMark/>
          </w:tcPr>
          <w:p w:rsidR="002319D8" w:rsidRPr="00A35D18" w:rsidP="002A7964" w14:paraId="5154E60C"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color w:val="000000"/>
                <w:sz w:val="20"/>
                <w:szCs w:val="20"/>
              </w:rPr>
              <w:t>3,975</w:t>
            </w:r>
          </w:p>
        </w:tc>
        <w:tc>
          <w:tcPr>
            <w:tcW w:w="1386" w:type="dxa"/>
            <w:shd w:val="clear" w:color="auto" w:fill="auto"/>
            <w:noWrap/>
            <w:vAlign w:val="center"/>
            <w:hideMark/>
          </w:tcPr>
          <w:p w:rsidR="002319D8" w:rsidRPr="00A35D18" w:rsidP="002A7964" w14:paraId="410A41B0"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color w:val="000000"/>
                <w:sz w:val="20"/>
                <w:szCs w:val="20"/>
              </w:rPr>
              <w:t>7,105</w:t>
            </w:r>
          </w:p>
        </w:tc>
      </w:tr>
      <w:tr w14:paraId="1D51AD08" w14:textId="77777777">
        <w:tblPrEx>
          <w:tblW w:w="6565" w:type="dxa"/>
          <w:jc w:val="center"/>
          <w:tblLook w:val="04A0"/>
        </w:tblPrEx>
        <w:trPr>
          <w:trHeight w:val="268"/>
          <w:jc w:val="center"/>
        </w:trPr>
        <w:tc>
          <w:tcPr>
            <w:tcW w:w="2789" w:type="dxa"/>
            <w:shd w:val="clear" w:color="auto" w:fill="auto"/>
            <w:noWrap/>
            <w:vAlign w:val="bottom"/>
            <w:hideMark/>
          </w:tcPr>
          <w:p w:rsidR="002319D8" w:rsidRPr="00A35D18" w:rsidP="002A7964" w14:paraId="69F0A43C" w14:textId="77777777">
            <w:pPr>
              <w:spacing w:after="0" w:line="240" w:lineRule="auto"/>
              <w:ind w:firstLine="200" w:firstLineChars="100"/>
              <w:jc w:val="center"/>
              <w:rPr>
                <w:rFonts w:ascii="Times New Roman" w:eastAsia="Times New Roman" w:hAnsi="Times New Roman" w:cs="Times New Roman"/>
                <w:color w:val="000000"/>
                <w:sz w:val="20"/>
                <w:szCs w:val="20"/>
              </w:rPr>
            </w:pPr>
            <w:r w:rsidRPr="00A35D18">
              <w:rPr>
                <w:rFonts w:ascii="Times New Roman" w:eastAsia="Times New Roman" w:hAnsi="Times New Roman" w:cs="Times New Roman"/>
                <w:color w:val="000000"/>
                <w:sz w:val="20"/>
                <w:szCs w:val="20"/>
              </w:rPr>
              <w:t># of facilities owned by: Government Entities</w:t>
            </w:r>
          </w:p>
        </w:tc>
        <w:tc>
          <w:tcPr>
            <w:tcW w:w="1200" w:type="dxa"/>
            <w:shd w:val="clear" w:color="auto" w:fill="auto"/>
            <w:noWrap/>
            <w:vAlign w:val="center"/>
            <w:hideMark/>
          </w:tcPr>
          <w:p w:rsidR="002319D8" w:rsidRPr="00A35D18" w:rsidP="002A7964" w14:paraId="4FD97D18"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9</w:t>
            </w:r>
          </w:p>
        </w:tc>
        <w:tc>
          <w:tcPr>
            <w:tcW w:w="1190" w:type="dxa"/>
            <w:shd w:val="clear" w:color="auto" w:fill="auto"/>
            <w:noWrap/>
            <w:vAlign w:val="center"/>
            <w:hideMark/>
          </w:tcPr>
          <w:p w:rsidR="002319D8" w:rsidRPr="00A35D18" w:rsidP="002A7964" w14:paraId="65A0DFC0"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813</w:t>
            </w:r>
          </w:p>
        </w:tc>
        <w:tc>
          <w:tcPr>
            <w:tcW w:w="1386" w:type="dxa"/>
            <w:shd w:val="clear" w:color="auto" w:fill="auto"/>
            <w:noWrap/>
            <w:vAlign w:val="center"/>
            <w:hideMark/>
          </w:tcPr>
          <w:p w:rsidR="002319D8" w:rsidRPr="00A35D18" w:rsidP="002A7964" w14:paraId="67B4C760"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683</w:t>
            </w:r>
          </w:p>
        </w:tc>
      </w:tr>
      <w:tr w14:paraId="6DD124E7" w14:textId="77777777">
        <w:tblPrEx>
          <w:tblW w:w="6565" w:type="dxa"/>
          <w:jc w:val="center"/>
          <w:tblLook w:val="04A0"/>
        </w:tblPrEx>
        <w:trPr>
          <w:trHeight w:val="268"/>
          <w:jc w:val="center"/>
        </w:trPr>
        <w:tc>
          <w:tcPr>
            <w:tcW w:w="2789" w:type="dxa"/>
            <w:shd w:val="clear" w:color="auto" w:fill="auto"/>
            <w:noWrap/>
            <w:vAlign w:val="bottom"/>
            <w:hideMark/>
          </w:tcPr>
          <w:p w:rsidR="002319D8" w:rsidRPr="00A35D18" w:rsidP="002A7964" w14:paraId="6167C8BF"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A35D18">
              <w:rPr>
                <w:rFonts w:ascii="Times New Roman" w:eastAsia="Times New Roman" w:hAnsi="Times New Roman" w:cs="Times New Roman"/>
                <w:color w:val="000000"/>
                <w:sz w:val="20"/>
                <w:szCs w:val="20"/>
              </w:rPr>
              <w:t xml:space="preserve">Small </w:t>
            </w:r>
          </w:p>
        </w:tc>
        <w:tc>
          <w:tcPr>
            <w:tcW w:w="1200" w:type="dxa"/>
            <w:shd w:val="clear" w:color="auto" w:fill="auto"/>
            <w:noWrap/>
            <w:vAlign w:val="center"/>
            <w:hideMark/>
          </w:tcPr>
          <w:p w:rsidR="002319D8" w:rsidRPr="00A35D18" w:rsidP="002A7964" w14:paraId="658D341B"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2</w:t>
            </w:r>
          </w:p>
        </w:tc>
        <w:tc>
          <w:tcPr>
            <w:tcW w:w="1190" w:type="dxa"/>
            <w:shd w:val="clear" w:color="auto" w:fill="auto"/>
            <w:noWrap/>
            <w:vAlign w:val="center"/>
            <w:hideMark/>
          </w:tcPr>
          <w:p w:rsidR="002319D8" w:rsidRPr="00A35D18" w:rsidP="002A7964" w14:paraId="7514DF26"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444</w:t>
            </w:r>
          </w:p>
        </w:tc>
        <w:tc>
          <w:tcPr>
            <w:tcW w:w="1386" w:type="dxa"/>
            <w:shd w:val="clear" w:color="auto" w:fill="auto"/>
            <w:noWrap/>
            <w:vAlign w:val="center"/>
            <w:hideMark/>
          </w:tcPr>
          <w:p w:rsidR="002319D8" w:rsidRPr="00A35D18" w:rsidP="002A7964" w14:paraId="3CC1B1DC"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352</w:t>
            </w:r>
          </w:p>
        </w:tc>
      </w:tr>
      <w:tr w14:paraId="36D811DC" w14:textId="77777777">
        <w:tblPrEx>
          <w:tblW w:w="6565" w:type="dxa"/>
          <w:jc w:val="center"/>
          <w:tblLook w:val="04A0"/>
        </w:tblPrEx>
        <w:trPr>
          <w:trHeight w:val="268"/>
          <w:jc w:val="center"/>
        </w:trPr>
        <w:tc>
          <w:tcPr>
            <w:tcW w:w="2789" w:type="dxa"/>
            <w:shd w:val="clear" w:color="auto" w:fill="auto"/>
            <w:noWrap/>
            <w:vAlign w:val="bottom"/>
            <w:hideMark/>
          </w:tcPr>
          <w:p w:rsidR="002319D8" w:rsidRPr="00A35D18" w:rsidP="002A7964" w14:paraId="0B81A5E9"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A35D18">
              <w:rPr>
                <w:rFonts w:ascii="Times New Roman" w:eastAsia="Times New Roman" w:hAnsi="Times New Roman" w:cs="Times New Roman"/>
                <w:color w:val="000000"/>
                <w:sz w:val="20"/>
                <w:szCs w:val="20"/>
              </w:rPr>
              <w:t xml:space="preserve">Non-small </w:t>
            </w:r>
          </w:p>
        </w:tc>
        <w:tc>
          <w:tcPr>
            <w:tcW w:w="1200" w:type="dxa"/>
            <w:shd w:val="clear" w:color="auto" w:fill="auto"/>
            <w:noWrap/>
            <w:vAlign w:val="center"/>
            <w:hideMark/>
          </w:tcPr>
          <w:p w:rsidR="002319D8" w:rsidRPr="00A35D18" w:rsidP="002A7964" w14:paraId="07C69604"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7</w:t>
            </w:r>
          </w:p>
        </w:tc>
        <w:tc>
          <w:tcPr>
            <w:tcW w:w="1190" w:type="dxa"/>
            <w:shd w:val="clear" w:color="auto" w:fill="auto"/>
            <w:noWrap/>
            <w:vAlign w:val="center"/>
            <w:hideMark/>
          </w:tcPr>
          <w:p w:rsidR="002319D8" w:rsidRPr="00A35D18" w:rsidP="002A7964" w14:paraId="6875DE09"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369</w:t>
            </w:r>
          </w:p>
        </w:tc>
        <w:tc>
          <w:tcPr>
            <w:tcW w:w="1386" w:type="dxa"/>
            <w:shd w:val="clear" w:color="auto" w:fill="auto"/>
            <w:noWrap/>
            <w:vAlign w:val="center"/>
            <w:hideMark/>
          </w:tcPr>
          <w:p w:rsidR="002319D8" w:rsidRPr="00E92045" w:rsidP="002A7964" w14:paraId="0CD3DD28" w14:textId="77777777">
            <w:pPr>
              <w:spacing w:after="0" w:line="240" w:lineRule="auto"/>
              <w:jc w:val="center"/>
              <w:rPr>
                <w:rFonts w:ascii="Times New Roman" w:eastAsia="Times New Roman" w:hAnsi="Times New Roman" w:cs="Times New Roman"/>
                <w:color w:val="000000"/>
                <w:sz w:val="20"/>
                <w:szCs w:val="20"/>
              </w:rPr>
            </w:pPr>
            <w:r w:rsidRPr="00A35D18">
              <w:rPr>
                <w:rFonts w:ascii="Times New Roman" w:hAnsi="Times New Roman" w:cs="Times New Roman"/>
                <w:sz w:val="20"/>
                <w:szCs w:val="20"/>
              </w:rPr>
              <w:t>331</w:t>
            </w:r>
          </w:p>
        </w:tc>
      </w:tr>
    </w:tbl>
    <w:p w:rsidR="002319D8" w:rsidP="002A7964" w14:paraId="1A3205F5" w14:textId="77777777">
      <w:pPr>
        <w:pStyle w:val="Caption"/>
        <w:spacing w:after="0"/>
        <w:jc w:val="center"/>
        <w:rPr>
          <w:rFonts w:ascii="Times New Roman" w:hAnsi="Times New Roman" w:cs="Times New Roman"/>
          <w:b/>
          <w:bCs/>
          <w:i w:val="0"/>
          <w:iCs w:val="0"/>
          <w:color w:val="auto"/>
          <w:sz w:val="22"/>
          <w:szCs w:val="22"/>
          <w:highlight w:val="yellow"/>
        </w:rPr>
      </w:pPr>
    </w:p>
    <w:p w:rsidR="000D72F6" w:rsidP="002A7964" w14:paraId="0C1B441A" w14:textId="77777777">
      <w:pPr>
        <w:pStyle w:val="Caption"/>
        <w:spacing w:after="0"/>
        <w:jc w:val="center"/>
        <w:rPr>
          <w:rFonts w:ascii="Times New Roman" w:hAnsi="Times New Roman" w:cs="Times New Roman"/>
          <w:b/>
          <w:i w:val="0"/>
          <w:color w:val="auto"/>
          <w:sz w:val="22"/>
          <w:szCs w:val="22"/>
        </w:rPr>
      </w:pPr>
      <w:r w:rsidRPr="003C24D0">
        <w:rPr>
          <w:rFonts w:ascii="Times New Roman" w:hAnsi="Times New Roman" w:cs="Times New Roman"/>
          <w:b/>
          <w:i w:val="0"/>
          <w:color w:val="auto"/>
          <w:sz w:val="22"/>
          <w:szCs w:val="22"/>
        </w:rPr>
        <w:t>Exhibit C-</w:t>
      </w:r>
      <w:r w:rsidR="00F04BCF">
        <w:rPr>
          <w:rFonts w:ascii="Times New Roman" w:hAnsi="Times New Roman" w:cs="Times New Roman"/>
          <w:b/>
          <w:bCs/>
          <w:i w:val="0"/>
          <w:iCs w:val="0"/>
          <w:color w:val="auto"/>
          <w:sz w:val="22"/>
          <w:szCs w:val="22"/>
        </w:rPr>
        <w:t>1</w:t>
      </w:r>
      <w:r w:rsidR="00E46D3C">
        <w:rPr>
          <w:rFonts w:ascii="Times New Roman" w:hAnsi="Times New Roman" w:cs="Times New Roman"/>
          <w:b/>
          <w:bCs/>
          <w:i w:val="0"/>
          <w:iCs w:val="0"/>
          <w:color w:val="auto"/>
          <w:sz w:val="22"/>
          <w:szCs w:val="22"/>
        </w:rPr>
        <w:t>3</w:t>
      </w:r>
      <w:r w:rsidRPr="003C24D0">
        <w:rPr>
          <w:rFonts w:ascii="Times New Roman" w:hAnsi="Times New Roman" w:cs="Times New Roman"/>
          <w:b/>
          <w:i w:val="0"/>
          <w:color w:val="auto"/>
          <w:sz w:val="22"/>
          <w:szCs w:val="22"/>
        </w:rPr>
        <w:t xml:space="preserve">: Analysis of Government Sector Facility Ownership by Program Level, </w:t>
      </w:r>
    </w:p>
    <w:p w:rsidR="002319D8" w:rsidP="002A7964" w14:paraId="0D10407D" w14:textId="77777777">
      <w:pPr>
        <w:pStyle w:val="Caption"/>
        <w:spacing w:after="0"/>
        <w:jc w:val="center"/>
        <w:rPr>
          <w:rFonts w:ascii="Times New Roman" w:hAnsi="Times New Roman" w:cs="Times New Roman"/>
          <w:b/>
          <w:i w:val="0"/>
          <w:color w:val="auto"/>
          <w:sz w:val="22"/>
          <w:szCs w:val="22"/>
        </w:rPr>
      </w:pPr>
      <w:r w:rsidRPr="003C24D0">
        <w:rPr>
          <w:rFonts w:ascii="Times New Roman" w:hAnsi="Times New Roman" w:cs="Times New Roman"/>
          <w:b/>
          <w:i w:val="0"/>
          <w:color w:val="auto"/>
          <w:sz w:val="22"/>
          <w:szCs w:val="22"/>
        </w:rPr>
        <w:t>D&amp;B Hoovers.</w:t>
      </w:r>
    </w:p>
    <w:p w:rsidR="002A7964" w:rsidRPr="002A7964" w:rsidP="002A7964" w14:paraId="4386A0E0" w14:textId="77777777">
      <w:pPr>
        <w:spacing w:after="0"/>
        <w:rPr>
          <w:sz w:val="20"/>
          <w:szCs w:val="20"/>
        </w:rPr>
      </w:pP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200"/>
        <w:gridCol w:w="1190"/>
        <w:gridCol w:w="1386"/>
      </w:tblGrid>
      <w:tr w14:paraId="6811B1A7" w14:textId="77777777" w:rsidTr="00D8562D">
        <w:tblPrEx>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jc w:val="center"/>
        </w:trPr>
        <w:tc>
          <w:tcPr>
            <w:tcW w:w="2789" w:type="dxa"/>
            <w:shd w:val="clear" w:color="auto" w:fill="D9D9D9" w:themeFill="background1" w:themeFillShade="D9"/>
            <w:noWrap/>
            <w:vAlign w:val="bottom"/>
            <w:hideMark/>
          </w:tcPr>
          <w:p w:rsidR="002319D8" w:rsidRPr="003C24D0" w14:paraId="1ED68453" w14:textId="77777777">
            <w:pPr>
              <w:keepNext/>
              <w:spacing w:after="0" w:line="240" w:lineRule="auto"/>
              <w:rPr>
                <w:rFonts w:ascii="Times New Roman" w:eastAsia="Times New Roman" w:hAnsi="Times New Roman" w:cs="Times New Roman"/>
                <w:b/>
                <w:sz w:val="20"/>
                <w:szCs w:val="20"/>
              </w:rPr>
            </w:pPr>
          </w:p>
        </w:tc>
        <w:tc>
          <w:tcPr>
            <w:tcW w:w="1200" w:type="dxa"/>
            <w:shd w:val="clear" w:color="auto" w:fill="D9D9D9" w:themeFill="background1" w:themeFillShade="D9"/>
            <w:noWrap/>
            <w:vAlign w:val="center"/>
            <w:hideMark/>
          </w:tcPr>
          <w:p w:rsidR="002319D8" w:rsidRPr="003C24D0" w14:paraId="269F1A8D" w14:textId="77777777">
            <w:pPr>
              <w:keepNext/>
              <w:spacing w:after="0" w:line="240" w:lineRule="auto"/>
              <w:jc w:val="center"/>
              <w:rPr>
                <w:rFonts w:ascii="Times New Roman" w:eastAsia="Times New Roman" w:hAnsi="Times New Roman" w:cs="Times New Roman"/>
                <w:b/>
                <w:color w:val="000000"/>
                <w:sz w:val="20"/>
                <w:szCs w:val="20"/>
              </w:rPr>
            </w:pPr>
            <w:r w:rsidRPr="003C24D0">
              <w:rPr>
                <w:rFonts w:ascii="Times New Roman" w:eastAsia="Times New Roman" w:hAnsi="Times New Roman" w:cs="Times New Roman"/>
                <w:b/>
                <w:color w:val="000000"/>
                <w:sz w:val="20"/>
                <w:szCs w:val="20"/>
              </w:rPr>
              <w:t>Number of P1 Facilities</w:t>
            </w:r>
          </w:p>
        </w:tc>
        <w:tc>
          <w:tcPr>
            <w:tcW w:w="1190" w:type="dxa"/>
            <w:shd w:val="clear" w:color="auto" w:fill="D9D9D9" w:themeFill="background1" w:themeFillShade="D9"/>
            <w:noWrap/>
            <w:vAlign w:val="center"/>
            <w:hideMark/>
          </w:tcPr>
          <w:p w:rsidR="002319D8" w:rsidRPr="003C24D0" w14:paraId="40CA681E" w14:textId="77777777">
            <w:pPr>
              <w:keepNext/>
              <w:spacing w:after="0" w:line="240" w:lineRule="auto"/>
              <w:jc w:val="center"/>
              <w:rPr>
                <w:rFonts w:ascii="Times New Roman" w:eastAsia="Times New Roman" w:hAnsi="Times New Roman" w:cs="Times New Roman"/>
                <w:b/>
                <w:color w:val="000000"/>
                <w:sz w:val="20"/>
                <w:szCs w:val="20"/>
              </w:rPr>
            </w:pPr>
            <w:r w:rsidRPr="003C24D0">
              <w:rPr>
                <w:rFonts w:ascii="Times New Roman" w:eastAsia="Times New Roman" w:hAnsi="Times New Roman" w:cs="Times New Roman"/>
                <w:b/>
                <w:color w:val="000000"/>
                <w:sz w:val="20"/>
                <w:szCs w:val="20"/>
              </w:rPr>
              <w:t>Number of P2 Facilities</w:t>
            </w:r>
          </w:p>
        </w:tc>
        <w:tc>
          <w:tcPr>
            <w:tcW w:w="1386" w:type="dxa"/>
            <w:shd w:val="clear" w:color="auto" w:fill="D9D9D9" w:themeFill="background1" w:themeFillShade="D9"/>
            <w:noWrap/>
            <w:vAlign w:val="center"/>
            <w:hideMark/>
          </w:tcPr>
          <w:p w:rsidR="002319D8" w:rsidRPr="003C24D0" w14:paraId="30091905" w14:textId="77777777">
            <w:pPr>
              <w:keepNext/>
              <w:spacing w:after="0" w:line="240" w:lineRule="auto"/>
              <w:jc w:val="center"/>
              <w:rPr>
                <w:rFonts w:ascii="Times New Roman" w:eastAsia="Times New Roman" w:hAnsi="Times New Roman" w:cs="Times New Roman"/>
                <w:b/>
                <w:color w:val="000000"/>
                <w:sz w:val="20"/>
                <w:szCs w:val="20"/>
              </w:rPr>
            </w:pPr>
            <w:r w:rsidRPr="003C24D0">
              <w:rPr>
                <w:rFonts w:ascii="Times New Roman" w:eastAsia="Times New Roman" w:hAnsi="Times New Roman" w:cs="Times New Roman"/>
                <w:b/>
                <w:color w:val="000000"/>
                <w:sz w:val="20"/>
                <w:szCs w:val="20"/>
              </w:rPr>
              <w:t>Number of P3 Facilities</w:t>
            </w:r>
          </w:p>
        </w:tc>
      </w:tr>
      <w:tr w14:paraId="60287ACB" w14:textId="77777777" w:rsidTr="003C24D0">
        <w:tblPrEx>
          <w:tblW w:w="6565" w:type="dxa"/>
          <w:jc w:val="center"/>
          <w:tblLook w:val="04A0"/>
        </w:tblPrEx>
        <w:trPr>
          <w:trHeight w:val="290"/>
          <w:jc w:val="center"/>
        </w:trPr>
        <w:tc>
          <w:tcPr>
            <w:tcW w:w="2789" w:type="dxa"/>
            <w:shd w:val="clear" w:color="auto" w:fill="auto"/>
            <w:noWrap/>
            <w:vAlign w:val="bottom"/>
            <w:hideMark/>
          </w:tcPr>
          <w:p w:rsidR="002319D8" w:rsidRPr="003C24D0" w14:paraId="09D92F89" w14:textId="77777777">
            <w:pPr>
              <w:spacing w:after="0" w:line="240" w:lineRule="auto"/>
              <w:rPr>
                <w:rFonts w:ascii="Times New Roman" w:eastAsia="Times New Roman" w:hAnsi="Times New Roman" w:cs="Times New Roman"/>
                <w:color w:val="000000"/>
                <w:sz w:val="20"/>
                <w:szCs w:val="20"/>
              </w:rPr>
            </w:pPr>
            <w:r w:rsidRPr="003C24D0">
              <w:rPr>
                <w:rFonts w:ascii="Times New Roman" w:eastAsia="Times New Roman" w:hAnsi="Times New Roman" w:cs="Times New Roman"/>
                <w:color w:val="000000"/>
                <w:sz w:val="20"/>
                <w:szCs w:val="20"/>
              </w:rPr>
              <w:t>Total Facilities</w:t>
            </w:r>
          </w:p>
        </w:tc>
        <w:tc>
          <w:tcPr>
            <w:tcW w:w="1200" w:type="dxa"/>
            <w:shd w:val="clear" w:color="auto" w:fill="auto"/>
            <w:noWrap/>
            <w:vAlign w:val="bottom"/>
            <w:hideMark/>
          </w:tcPr>
          <w:p w:rsidR="002319D8" w:rsidRPr="003C24D0" w14:paraId="6C014267"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color w:val="000000"/>
                <w:sz w:val="20"/>
                <w:szCs w:val="20"/>
              </w:rPr>
              <w:t xml:space="preserve">               648 </w:t>
            </w:r>
          </w:p>
        </w:tc>
        <w:tc>
          <w:tcPr>
            <w:tcW w:w="1190" w:type="dxa"/>
            <w:shd w:val="clear" w:color="auto" w:fill="auto"/>
            <w:noWrap/>
            <w:vAlign w:val="bottom"/>
            <w:hideMark/>
          </w:tcPr>
          <w:p w:rsidR="002319D8" w:rsidRPr="003C24D0" w14:paraId="075D6CFF"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color w:val="000000"/>
                <w:sz w:val="20"/>
                <w:szCs w:val="20"/>
              </w:rPr>
              <w:t xml:space="preserve">                    3,942 </w:t>
            </w:r>
          </w:p>
        </w:tc>
        <w:tc>
          <w:tcPr>
            <w:tcW w:w="1386" w:type="dxa"/>
            <w:shd w:val="clear" w:color="auto" w:fill="auto"/>
            <w:noWrap/>
            <w:vAlign w:val="bottom"/>
            <w:hideMark/>
          </w:tcPr>
          <w:p w:rsidR="002319D8" w:rsidRPr="003C24D0" w14:paraId="262B249E" w14:textId="77777777">
            <w:pPr>
              <w:spacing w:after="0" w:line="240" w:lineRule="auto"/>
              <w:jc w:val="center"/>
              <w:rPr>
                <w:rFonts w:ascii="Times New Roman" w:eastAsia="Times New Roman" w:hAnsi="Times New Roman" w:cs="Times New Roman"/>
                <w:color w:val="000000"/>
                <w:sz w:val="20"/>
                <w:szCs w:val="20"/>
              </w:rPr>
            </w:pPr>
            <w:r w:rsidRPr="003C24D0">
              <w:rPr>
                <w:rFonts w:ascii="Times New Roman" w:hAnsi="Times New Roman" w:cs="Times New Roman"/>
                <w:color w:val="000000"/>
                <w:sz w:val="20"/>
                <w:szCs w:val="20"/>
              </w:rPr>
              <w:t xml:space="preserve">                                    7,058 </w:t>
            </w:r>
          </w:p>
        </w:tc>
      </w:tr>
      <w:tr w14:paraId="40734DFD" w14:textId="77777777" w:rsidTr="003C24D0">
        <w:tblPrEx>
          <w:tblW w:w="6565" w:type="dxa"/>
          <w:jc w:val="center"/>
          <w:tblLook w:val="04A0"/>
        </w:tblPrEx>
        <w:trPr>
          <w:trHeight w:val="268"/>
          <w:jc w:val="center"/>
        </w:trPr>
        <w:tc>
          <w:tcPr>
            <w:tcW w:w="2789" w:type="dxa"/>
            <w:shd w:val="clear" w:color="auto" w:fill="auto"/>
            <w:noWrap/>
            <w:vAlign w:val="bottom"/>
            <w:hideMark/>
          </w:tcPr>
          <w:p w:rsidR="002319D8" w:rsidRPr="003C24D0" w14:paraId="0BFB9CD5" w14:textId="77777777">
            <w:pPr>
              <w:spacing w:after="0" w:line="240" w:lineRule="auto"/>
              <w:ind w:firstLine="200" w:firstLineChars="100"/>
              <w:jc w:val="center"/>
              <w:rPr>
                <w:rFonts w:ascii="Times New Roman" w:eastAsia="Times New Roman" w:hAnsi="Times New Roman" w:cs="Times New Roman"/>
                <w:color w:val="000000"/>
                <w:sz w:val="20"/>
                <w:szCs w:val="20"/>
              </w:rPr>
            </w:pPr>
            <w:r w:rsidRPr="003C24D0">
              <w:rPr>
                <w:rFonts w:ascii="Times New Roman" w:eastAsia="Times New Roman" w:hAnsi="Times New Roman" w:cs="Times New Roman"/>
                <w:color w:val="000000"/>
                <w:sz w:val="20"/>
                <w:szCs w:val="20"/>
              </w:rPr>
              <w:t># of facilities owned by: Government Entities</w:t>
            </w:r>
          </w:p>
        </w:tc>
        <w:tc>
          <w:tcPr>
            <w:tcW w:w="1200" w:type="dxa"/>
            <w:shd w:val="clear" w:color="auto" w:fill="auto"/>
            <w:noWrap/>
            <w:hideMark/>
          </w:tcPr>
          <w:p w:rsidR="002319D8" w:rsidRPr="003C24D0" w14:paraId="4EBC5E1C" w14:textId="77777777">
            <w:pPr>
              <w:spacing w:after="0" w:line="240" w:lineRule="auto"/>
              <w:jc w:val="center"/>
              <w:rPr>
                <w:rFonts w:ascii="Times New Roman" w:eastAsia="Times New Roman" w:hAnsi="Times New Roman" w:cs="Times New Roman"/>
                <w:color w:val="000000"/>
                <w:sz w:val="20"/>
                <w:szCs w:val="20"/>
              </w:rPr>
            </w:pPr>
            <w:r w:rsidRPr="000870B8">
              <w:rPr>
                <w:rFonts w:ascii="Times New Roman" w:hAnsi="Times New Roman" w:cs="Times New Roman"/>
                <w:sz w:val="20"/>
                <w:szCs w:val="20"/>
              </w:rPr>
              <w:t xml:space="preserve"> 14 </w:t>
            </w:r>
          </w:p>
        </w:tc>
        <w:tc>
          <w:tcPr>
            <w:tcW w:w="1190" w:type="dxa"/>
            <w:shd w:val="clear" w:color="auto" w:fill="auto"/>
            <w:noWrap/>
            <w:hideMark/>
          </w:tcPr>
          <w:p w:rsidR="002319D8" w:rsidRPr="003C24D0" w14:paraId="2B7343FF" w14:textId="77777777">
            <w:pPr>
              <w:spacing w:after="0" w:line="240" w:lineRule="auto"/>
              <w:jc w:val="center"/>
              <w:rPr>
                <w:rFonts w:ascii="Times New Roman" w:eastAsia="Times New Roman" w:hAnsi="Times New Roman" w:cs="Times New Roman"/>
                <w:color w:val="000000"/>
                <w:sz w:val="20"/>
                <w:szCs w:val="20"/>
              </w:rPr>
            </w:pPr>
            <w:r w:rsidRPr="000870B8">
              <w:rPr>
                <w:rFonts w:ascii="Times New Roman" w:hAnsi="Times New Roman" w:cs="Times New Roman"/>
                <w:sz w:val="20"/>
                <w:szCs w:val="20"/>
              </w:rPr>
              <w:t xml:space="preserve"> 805 </w:t>
            </w:r>
          </w:p>
        </w:tc>
        <w:tc>
          <w:tcPr>
            <w:tcW w:w="1386" w:type="dxa"/>
            <w:shd w:val="clear" w:color="auto" w:fill="auto"/>
            <w:noWrap/>
            <w:hideMark/>
          </w:tcPr>
          <w:p w:rsidR="002319D8" w:rsidRPr="003C24D0" w14:paraId="00044FBA" w14:textId="77777777">
            <w:pPr>
              <w:spacing w:after="0" w:line="240" w:lineRule="auto"/>
              <w:jc w:val="center"/>
              <w:rPr>
                <w:rFonts w:ascii="Times New Roman" w:eastAsia="Times New Roman" w:hAnsi="Times New Roman" w:cs="Times New Roman"/>
                <w:color w:val="000000"/>
                <w:sz w:val="20"/>
                <w:szCs w:val="20"/>
              </w:rPr>
            </w:pPr>
            <w:r w:rsidRPr="000870B8">
              <w:rPr>
                <w:rFonts w:ascii="Times New Roman" w:hAnsi="Times New Roman" w:cs="Times New Roman"/>
                <w:sz w:val="20"/>
                <w:szCs w:val="20"/>
              </w:rPr>
              <w:t xml:space="preserve"> 671 </w:t>
            </w:r>
          </w:p>
        </w:tc>
      </w:tr>
      <w:tr w14:paraId="342A47B6" w14:textId="77777777" w:rsidTr="003C24D0">
        <w:tblPrEx>
          <w:tblW w:w="6565" w:type="dxa"/>
          <w:jc w:val="center"/>
          <w:tblLook w:val="04A0"/>
        </w:tblPrEx>
        <w:trPr>
          <w:trHeight w:val="268"/>
          <w:jc w:val="center"/>
        </w:trPr>
        <w:tc>
          <w:tcPr>
            <w:tcW w:w="2789" w:type="dxa"/>
            <w:shd w:val="clear" w:color="auto" w:fill="auto"/>
            <w:noWrap/>
            <w:vAlign w:val="bottom"/>
            <w:hideMark/>
          </w:tcPr>
          <w:p w:rsidR="002319D8" w:rsidRPr="003C24D0" w14:paraId="2283BE54"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3C24D0">
              <w:rPr>
                <w:rFonts w:ascii="Times New Roman" w:eastAsia="Times New Roman" w:hAnsi="Times New Roman" w:cs="Times New Roman"/>
                <w:color w:val="000000"/>
                <w:sz w:val="20"/>
                <w:szCs w:val="20"/>
              </w:rPr>
              <w:t xml:space="preserve">Small </w:t>
            </w:r>
          </w:p>
        </w:tc>
        <w:tc>
          <w:tcPr>
            <w:tcW w:w="1200" w:type="dxa"/>
            <w:shd w:val="clear" w:color="auto" w:fill="auto"/>
            <w:noWrap/>
            <w:hideMark/>
          </w:tcPr>
          <w:p w:rsidR="002319D8" w:rsidRPr="003C24D0" w14:paraId="33294E92" w14:textId="77777777">
            <w:pPr>
              <w:spacing w:after="0" w:line="240" w:lineRule="auto"/>
              <w:jc w:val="center"/>
              <w:rPr>
                <w:rFonts w:ascii="Times New Roman" w:eastAsia="Times New Roman" w:hAnsi="Times New Roman" w:cs="Times New Roman"/>
                <w:color w:val="000000"/>
                <w:sz w:val="20"/>
                <w:szCs w:val="20"/>
              </w:rPr>
            </w:pPr>
            <w:r w:rsidRPr="000870B8">
              <w:rPr>
                <w:rFonts w:ascii="Times New Roman" w:hAnsi="Times New Roman" w:cs="Times New Roman"/>
                <w:sz w:val="20"/>
                <w:szCs w:val="20"/>
              </w:rPr>
              <w:t xml:space="preserve"> 3 </w:t>
            </w:r>
          </w:p>
        </w:tc>
        <w:tc>
          <w:tcPr>
            <w:tcW w:w="1190" w:type="dxa"/>
            <w:shd w:val="clear" w:color="auto" w:fill="auto"/>
            <w:noWrap/>
            <w:hideMark/>
          </w:tcPr>
          <w:p w:rsidR="002319D8" w:rsidRPr="003C24D0" w14:paraId="52B7F767" w14:textId="77777777">
            <w:pPr>
              <w:spacing w:after="0" w:line="240" w:lineRule="auto"/>
              <w:jc w:val="center"/>
              <w:rPr>
                <w:rFonts w:ascii="Times New Roman" w:eastAsia="Times New Roman" w:hAnsi="Times New Roman" w:cs="Times New Roman"/>
                <w:color w:val="000000"/>
                <w:sz w:val="20"/>
                <w:szCs w:val="20"/>
              </w:rPr>
            </w:pPr>
            <w:r w:rsidRPr="000870B8">
              <w:rPr>
                <w:rFonts w:ascii="Times New Roman" w:hAnsi="Times New Roman" w:cs="Times New Roman"/>
                <w:sz w:val="20"/>
                <w:szCs w:val="20"/>
              </w:rPr>
              <w:t xml:space="preserve"> 438 </w:t>
            </w:r>
          </w:p>
        </w:tc>
        <w:tc>
          <w:tcPr>
            <w:tcW w:w="1386" w:type="dxa"/>
            <w:shd w:val="clear" w:color="auto" w:fill="auto"/>
            <w:noWrap/>
            <w:hideMark/>
          </w:tcPr>
          <w:p w:rsidR="002319D8" w:rsidRPr="003C24D0" w14:paraId="769B0561" w14:textId="77777777">
            <w:pPr>
              <w:spacing w:after="0" w:line="240" w:lineRule="auto"/>
              <w:jc w:val="center"/>
              <w:rPr>
                <w:rFonts w:ascii="Times New Roman" w:eastAsia="Times New Roman" w:hAnsi="Times New Roman" w:cs="Times New Roman"/>
                <w:color w:val="000000"/>
                <w:sz w:val="20"/>
                <w:szCs w:val="20"/>
              </w:rPr>
            </w:pPr>
            <w:r w:rsidRPr="000870B8">
              <w:rPr>
                <w:rFonts w:ascii="Times New Roman" w:hAnsi="Times New Roman" w:cs="Times New Roman"/>
                <w:sz w:val="20"/>
                <w:szCs w:val="20"/>
              </w:rPr>
              <w:t xml:space="preserve"> 341 </w:t>
            </w:r>
          </w:p>
        </w:tc>
      </w:tr>
      <w:tr w14:paraId="3F8E2C87" w14:textId="77777777" w:rsidTr="003C24D0">
        <w:tblPrEx>
          <w:tblW w:w="6565" w:type="dxa"/>
          <w:jc w:val="center"/>
          <w:tblLook w:val="04A0"/>
        </w:tblPrEx>
        <w:trPr>
          <w:trHeight w:val="268"/>
          <w:jc w:val="center"/>
        </w:trPr>
        <w:tc>
          <w:tcPr>
            <w:tcW w:w="2789" w:type="dxa"/>
            <w:shd w:val="clear" w:color="auto" w:fill="auto"/>
            <w:noWrap/>
            <w:vAlign w:val="bottom"/>
            <w:hideMark/>
          </w:tcPr>
          <w:p w:rsidR="002319D8" w:rsidRPr="003C24D0" w14:paraId="550DD321" w14:textId="77777777">
            <w:pPr>
              <w:spacing w:after="0" w:line="240" w:lineRule="auto"/>
              <w:ind w:firstLine="400" w:firstLineChars="200"/>
              <w:jc w:val="right"/>
              <w:rPr>
                <w:rFonts w:ascii="Times New Roman" w:eastAsia="Times New Roman" w:hAnsi="Times New Roman" w:cs="Times New Roman"/>
                <w:color w:val="000000"/>
                <w:sz w:val="20"/>
                <w:szCs w:val="20"/>
              </w:rPr>
            </w:pPr>
            <w:r w:rsidRPr="003C24D0">
              <w:rPr>
                <w:rFonts w:ascii="Times New Roman" w:eastAsia="Times New Roman" w:hAnsi="Times New Roman" w:cs="Times New Roman"/>
                <w:color w:val="000000"/>
                <w:sz w:val="20"/>
                <w:szCs w:val="20"/>
              </w:rPr>
              <w:t xml:space="preserve">Non-small </w:t>
            </w:r>
          </w:p>
        </w:tc>
        <w:tc>
          <w:tcPr>
            <w:tcW w:w="1200" w:type="dxa"/>
            <w:shd w:val="clear" w:color="auto" w:fill="auto"/>
            <w:noWrap/>
            <w:hideMark/>
          </w:tcPr>
          <w:p w:rsidR="002319D8" w:rsidRPr="003C24D0" w14:paraId="0E6973CE" w14:textId="77777777">
            <w:pPr>
              <w:spacing w:after="0" w:line="240" w:lineRule="auto"/>
              <w:jc w:val="center"/>
              <w:rPr>
                <w:rFonts w:ascii="Times New Roman" w:eastAsia="Times New Roman" w:hAnsi="Times New Roman" w:cs="Times New Roman"/>
                <w:color w:val="000000"/>
                <w:sz w:val="20"/>
                <w:szCs w:val="20"/>
              </w:rPr>
            </w:pPr>
            <w:r w:rsidRPr="000870B8">
              <w:rPr>
                <w:rFonts w:ascii="Times New Roman" w:hAnsi="Times New Roman" w:cs="Times New Roman"/>
                <w:sz w:val="20"/>
                <w:szCs w:val="20"/>
              </w:rPr>
              <w:t xml:space="preserve"> 11 </w:t>
            </w:r>
          </w:p>
        </w:tc>
        <w:tc>
          <w:tcPr>
            <w:tcW w:w="1190" w:type="dxa"/>
            <w:shd w:val="clear" w:color="auto" w:fill="auto"/>
            <w:noWrap/>
            <w:hideMark/>
          </w:tcPr>
          <w:p w:rsidR="002319D8" w:rsidRPr="003C24D0" w14:paraId="7E8C5F01" w14:textId="77777777">
            <w:pPr>
              <w:spacing w:after="0" w:line="240" w:lineRule="auto"/>
              <w:jc w:val="center"/>
              <w:rPr>
                <w:rFonts w:ascii="Times New Roman" w:eastAsia="Times New Roman" w:hAnsi="Times New Roman" w:cs="Times New Roman"/>
                <w:color w:val="000000"/>
                <w:sz w:val="20"/>
                <w:szCs w:val="20"/>
              </w:rPr>
            </w:pPr>
            <w:r w:rsidRPr="000870B8">
              <w:rPr>
                <w:rFonts w:ascii="Times New Roman" w:hAnsi="Times New Roman" w:cs="Times New Roman"/>
                <w:sz w:val="20"/>
                <w:szCs w:val="20"/>
              </w:rPr>
              <w:t xml:space="preserve"> 367 </w:t>
            </w:r>
          </w:p>
        </w:tc>
        <w:tc>
          <w:tcPr>
            <w:tcW w:w="1386" w:type="dxa"/>
            <w:shd w:val="clear" w:color="auto" w:fill="auto"/>
            <w:noWrap/>
            <w:hideMark/>
          </w:tcPr>
          <w:p w:rsidR="002319D8" w:rsidRPr="008C7752" w14:paraId="6A2599E7" w14:textId="77777777">
            <w:pPr>
              <w:spacing w:after="0" w:line="240" w:lineRule="auto"/>
              <w:jc w:val="center"/>
              <w:rPr>
                <w:rFonts w:ascii="Times New Roman" w:eastAsia="Times New Roman" w:hAnsi="Times New Roman" w:cs="Times New Roman"/>
                <w:color w:val="000000"/>
                <w:sz w:val="20"/>
                <w:szCs w:val="20"/>
              </w:rPr>
            </w:pPr>
            <w:r w:rsidRPr="000870B8">
              <w:rPr>
                <w:rFonts w:ascii="Times New Roman" w:hAnsi="Times New Roman" w:cs="Times New Roman"/>
                <w:sz w:val="20"/>
                <w:szCs w:val="20"/>
              </w:rPr>
              <w:t xml:space="preserve"> 330 </w:t>
            </w:r>
          </w:p>
        </w:tc>
      </w:tr>
    </w:tbl>
    <w:p w:rsidR="002319D8" w:rsidP="002319D8" w14:paraId="4C4F0950" w14:textId="77777777">
      <w:pPr>
        <w:spacing w:after="0"/>
        <w:ind w:right="617"/>
        <w:rPr>
          <w:rFonts w:ascii="Times New Roman" w:hAnsi="Times New Roman"/>
        </w:rPr>
      </w:pPr>
    </w:p>
    <w:p w:rsidR="00482F0B" w:rsidP="008C5F74" w14:paraId="0F252CD7" w14:textId="77777777">
      <w:pPr>
        <w:spacing w:after="0" w:line="240" w:lineRule="auto"/>
        <w:ind w:firstLine="720"/>
        <w:rPr>
          <w:rFonts w:ascii="Times New Roman" w:hAnsi="Times New Roman" w:cs="Times New Roman"/>
        </w:rPr>
      </w:pPr>
      <w:r w:rsidRPr="00693892">
        <w:rPr>
          <w:rFonts w:ascii="Times New Roman" w:hAnsi="Times New Roman" w:cs="Times New Roman"/>
        </w:rPr>
        <w:t xml:space="preserve">EPA estimated the cost for each facility to comply with the </w:t>
      </w:r>
      <w:r>
        <w:rPr>
          <w:rFonts w:ascii="Times New Roman" w:hAnsi="Times New Roman" w:cs="Times New Roman"/>
        </w:rPr>
        <w:t>final</w:t>
      </w:r>
      <w:r w:rsidRPr="00693892">
        <w:rPr>
          <w:rFonts w:ascii="Times New Roman" w:hAnsi="Times New Roman" w:cs="Times New Roman"/>
        </w:rPr>
        <w:t xml:space="preserve"> rule. </w:t>
      </w:r>
      <w:r>
        <w:rPr>
          <w:rFonts w:ascii="Times New Roman" w:hAnsi="Times New Roman" w:cs="Times New Roman"/>
        </w:rPr>
        <w:t xml:space="preserve">These estimates are applied to the same facilities across data sources. </w:t>
      </w:r>
      <w:r w:rsidRPr="00693892">
        <w:rPr>
          <w:rFonts w:ascii="Times New Roman" w:hAnsi="Times New Roman" w:cs="Times New Roman"/>
        </w:rPr>
        <w:t xml:space="preserve">This was done by applying cost estimates for the following cost categories to facilities in the affected </w:t>
      </w:r>
      <w:r w:rsidRPr="00693892">
        <w:rPr>
          <w:rFonts w:ascii="Times New Roman" w:hAnsi="Times New Roman"/>
        </w:rPr>
        <w:t>universe</w:t>
      </w:r>
      <w:r w:rsidRPr="00693892">
        <w:rPr>
          <w:rFonts w:ascii="Times New Roman" w:hAnsi="Times New Roman" w:cs="Times New Roman"/>
        </w:rPr>
        <w:t>, per facility or per process:</w:t>
      </w:r>
    </w:p>
    <w:p w:rsidR="00482F0B" w:rsidRPr="00693892" w:rsidP="008C5F74" w14:paraId="2035E15D" w14:textId="77777777">
      <w:pPr>
        <w:keepNext/>
        <w:spacing w:after="0" w:line="240" w:lineRule="auto"/>
        <w:ind w:firstLine="360"/>
        <w:rPr>
          <w:rFonts w:ascii="Times New Roman" w:hAnsi="Times New Roman" w:cs="Times New Roman"/>
        </w:rPr>
      </w:pPr>
    </w:p>
    <w:p w:rsidR="00E45D42" w:rsidRPr="00693892" w:rsidP="00082826" w14:paraId="4E137B89"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Rule Familiarization</w:t>
      </w:r>
    </w:p>
    <w:p w:rsidR="00CE7028" w:rsidRPr="00693892" w:rsidP="00082826" w14:paraId="5C770CF0"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STAA</w:t>
      </w:r>
    </w:p>
    <w:p w:rsidR="00CE7028" w:rsidRPr="00693892" w:rsidP="00082826" w14:paraId="5E3828AE"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Root Cause Analysis</w:t>
      </w:r>
    </w:p>
    <w:p w:rsidR="00E45D42" w:rsidRPr="00693892" w:rsidP="00082826" w14:paraId="2B7D7EB8"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Third-Party Audits</w:t>
      </w:r>
    </w:p>
    <w:p w:rsidR="00CE7028" w:rsidP="00082826" w14:paraId="087314B7"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Employee Participation Plan</w:t>
      </w:r>
    </w:p>
    <w:p w:rsidR="00CE7028" w:rsidP="00082826" w14:paraId="41EE68FA" w14:textId="77777777">
      <w:pPr>
        <w:pStyle w:val="Default"/>
        <w:keepNext/>
        <w:numPr>
          <w:ilvl w:val="0"/>
          <w:numId w:val="8"/>
        </w:numPr>
        <w:rPr>
          <w:rFonts w:ascii="Times New Roman" w:hAnsi="Times New Roman" w:cs="Times New Roman"/>
          <w:sz w:val="22"/>
          <w:szCs w:val="22"/>
        </w:rPr>
      </w:pPr>
      <w:r>
        <w:rPr>
          <w:rFonts w:ascii="Times New Roman" w:hAnsi="Times New Roman" w:cs="Times New Roman"/>
          <w:sz w:val="22"/>
          <w:szCs w:val="22"/>
        </w:rPr>
        <w:t>Employee Participation Plan Training</w:t>
      </w:r>
    </w:p>
    <w:p w:rsidR="00E45D42" w:rsidP="00082826" w14:paraId="723E1702" w14:textId="77777777">
      <w:pPr>
        <w:pStyle w:val="Default"/>
        <w:numPr>
          <w:ilvl w:val="0"/>
          <w:numId w:val="8"/>
        </w:numPr>
        <w:rPr>
          <w:rFonts w:ascii="Times New Roman" w:hAnsi="Times New Roman" w:cs="Times New Roman"/>
          <w:sz w:val="22"/>
          <w:szCs w:val="22"/>
        </w:rPr>
      </w:pPr>
      <w:r>
        <w:rPr>
          <w:rFonts w:ascii="Times New Roman" w:hAnsi="Times New Roman" w:cs="Times New Roman"/>
          <w:sz w:val="22"/>
          <w:szCs w:val="22"/>
        </w:rPr>
        <w:t>Translation</w:t>
      </w:r>
    </w:p>
    <w:p w:rsidR="00E45D42" w:rsidRPr="00693892" w:rsidP="00082826" w14:paraId="53059FE9"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Emergency Backup Power</w:t>
      </w:r>
    </w:p>
    <w:p w:rsidR="00E45D42" w:rsidP="00082826" w14:paraId="19D494F9" w14:textId="77777777">
      <w:pPr>
        <w:pStyle w:val="Default"/>
        <w:keepNext/>
        <w:numPr>
          <w:ilvl w:val="0"/>
          <w:numId w:val="8"/>
        </w:numPr>
        <w:rPr>
          <w:rFonts w:ascii="Times New Roman" w:hAnsi="Times New Roman" w:cs="Times New Roman"/>
          <w:sz w:val="22"/>
          <w:szCs w:val="22"/>
        </w:rPr>
      </w:pPr>
      <w:r>
        <w:rPr>
          <w:rFonts w:ascii="Times New Roman" w:hAnsi="Times New Roman" w:cs="Times New Roman"/>
          <w:sz w:val="22"/>
          <w:szCs w:val="22"/>
        </w:rPr>
        <w:t>Justifications</w:t>
      </w:r>
    </w:p>
    <w:p w:rsidR="00E45D42" w:rsidRPr="00693892" w:rsidP="00082826" w14:paraId="0B63DA72"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Community Notification Plan</w:t>
      </w:r>
    </w:p>
    <w:p w:rsidR="00E45D42" w:rsidRPr="0026468B" w:rsidP="00082826" w14:paraId="10BFED8E" w14:textId="77777777">
      <w:pPr>
        <w:pStyle w:val="Default"/>
        <w:numPr>
          <w:ilvl w:val="0"/>
          <w:numId w:val="8"/>
        </w:numPr>
        <w:rPr>
          <w:rFonts w:ascii="Times New Roman" w:hAnsi="Times New Roman" w:cs="Times New Roman"/>
          <w:sz w:val="22"/>
          <w:szCs w:val="22"/>
        </w:rPr>
      </w:pPr>
      <w:r w:rsidRPr="00693892">
        <w:rPr>
          <w:rFonts w:ascii="Times New Roman" w:hAnsi="Times New Roman" w:cs="Times New Roman"/>
          <w:sz w:val="22"/>
          <w:szCs w:val="22"/>
        </w:rPr>
        <w:t>Information Availability</w:t>
      </w:r>
    </w:p>
    <w:p w:rsidR="00482F0B" w:rsidP="002A7964" w14:paraId="2E092585" w14:textId="77777777">
      <w:pPr>
        <w:spacing w:after="0" w:line="240" w:lineRule="auto"/>
        <w:ind w:right="617"/>
        <w:rPr>
          <w:rFonts w:ascii="Times New Roman" w:hAnsi="Times New Roman"/>
        </w:rPr>
      </w:pPr>
    </w:p>
    <w:p w:rsidR="00CC6A1A" w:rsidP="008C5F74" w14:paraId="2FF13D5A" w14:textId="77777777">
      <w:pPr>
        <w:spacing w:after="0" w:line="240" w:lineRule="auto"/>
        <w:ind w:right="617" w:firstLine="720"/>
        <w:rPr>
          <w:rFonts w:ascii="Times New Roman" w:hAnsi="Times New Roman" w:cs="Times New Roman"/>
        </w:rPr>
      </w:pPr>
      <w:r>
        <w:rPr>
          <w:rFonts w:ascii="Times New Roman" w:hAnsi="Times New Roman"/>
        </w:rPr>
        <w:t>The costs used for each cost category are consistent with the costs described in</w:t>
      </w:r>
      <w:r w:rsidR="00C55C1A">
        <w:rPr>
          <w:rFonts w:ascii="Times New Roman" w:hAnsi="Times New Roman"/>
        </w:rPr>
        <w:t xml:space="preserve"> this final rule’s</w:t>
      </w:r>
      <w:r>
        <w:rPr>
          <w:rFonts w:ascii="Times New Roman" w:hAnsi="Times New Roman"/>
        </w:rPr>
        <w:t xml:space="preserve"> Chapter 4: Unit Costs of </w:t>
      </w:r>
      <w:r w:rsidR="00C55C1A">
        <w:rPr>
          <w:rFonts w:ascii="Times New Roman" w:hAnsi="Times New Roman"/>
        </w:rPr>
        <w:t xml:space="preserve">Final </w:t>
      </w:r>
      <w:r>
        <w:rPr>
          <w:rFonts w:ascii="Times New Roman" w:hAnsi="Times New Roman"/>
        </w:rPr>
        <w:t xml:space="preserve">Rule Provisions and are applied to the same facilities across data sources. </w:t>
      </w:r>
      <w:r w:rsidRPr="001C2225">
        <w:rPr>
          <w:rFonts w:ascii="Times New Roman" w:hAnsi="Times New Roman"/>
        </w:rPr>
        <w:t>The comparis</w:t>
      </w:r>
      <w:r w:rsidRPr="0047243E">
        <w:rPr>
          <w:rFonts w:ascii="Times New Roman" w:hAnsi="Times New Roman"/>
        </w:rPr>
        <w:t xml:space="preserve">on results of the analysis </w:t>
      </w:r>
      <w:r w:rsidRPr="003C24D0">
        <w:rPr>
          <w:rFonts w:ascii="Times New Roman" w:hAnsi="Times New Roman" w:cs="Times New Roman"/>
        </w:rPr>
        <w:t xml:space="preserve">for private sector small entities </w:t>
      </w:r>
      <w:r w:rsidRPr="0047243E">
        <w:rPr>
          <w:rFonts w:ascii="Times New Roman" w:hAnsi="Times New Roman" w:cs="Times New Roman"/>
        </w:rPr>
        <w:t>are</w:t>
      </w:r>
      <w:r w:rsidRPr="003C24D0">
        <w:rPr>
          <w:rFonts w:ascii="Times New Roman" w:hAnsi="Times New Roman" w:cs="Times New Roman"/>
        </w:rPr>
        <w:t xml:space="preserve"> presented in Exhibits C-</w:t>
      </w:r>
      <w:r w:rsidR="00D52180">
        <w:rPr>
          <w:rFonts w:ascii="Times New Roman" w:hAnsi="Times New Roman" w:cs="Times New Roman"/>
        </w:rPr>
        <w:t>1</w:t>
      </w:r>
      <w:r w:rsidR="00E46D3C">
        <w:rPr>
          <w:rFonts w:ascii="Times New Roman" w:hAnsi="Times New Roman" w:cs="Times New Roman"/>
        </w:rPr>
        <w:t>4</w:t>
      </w:r>
      <w:r w:rsidRPr="003C24D0">
        <w:rPr>
          <w:rFonts w:ascii="Times New Roman" w:hAnsi="Times New Roman" w:cs="Times New Roman"/>
        </w:rPr>
        <w:t xml:space="preserve"> and C-</w:t>
      </w:r>
      <w:r w:rsidR="00D52180">
        <w:rPr>
          <w:rFonts w:ascii="Times New Roman" w:hAnsi="Times New Roman" w:cs="Times New Roman"/>
        </w:rPr>
        <w:t>1</w:t>
      </w:r>
      <w:r w:rsidR="00CD4AC7">
        <w:rPr>
          <w:rFonts w:ascii="Times New Roman" w:hAnsi="Times New Roman" w:cs="Times New Roman"/>
        </w:rPr>
        <w:t>5</w:t>
      </w:r>
      <w:r w:rsidRPr="003C24D0">
        <w:rPr>
          <w:rFonts w:ascii="Times New Roman" w:hAnsi="Times New Roman" w:cs="Times New Roman"/>
        </w:rPr>
        <w:t xml:space="preserve">, below. </w:t>
      </w:r>
      <w:r w:rsidR="00983FEB">
        <w:rPr>
          <w:rFonts w:ascii="Times New Roman" w:hAnsi="Times New Roman"/>
        </w:rPr>
        <w:t xml:space="preserve">The differences in facility matching between the two data sources drive the differences in average small entity cost. </w:t>
      </w:r>
      <w:r w:rsidRPr="003C24D0">
        <w:rPr>
          <w:rFonts w:ascii="Times New Roman" w:hAnsi="Times New Roman" w:cs="Times New Roman"/>
        </w:rPr>
        <w:t>The result</w:t>
      </w:r>
      <w:r>
        <w:rPr>
          <w:rFonts w:ascii="Times New Roman" w:hAnsi="Times New Roman" w:cs="Times New Roman"/>
        </w:rPr>
        <w:t>s</w:t>
      </w:r>
      <w:r w:rsidRPr="003C24D0">
        <w:rPr>
          <w:rFonts w:ascii="Times New Roman" w:hAnsi="Times New Roman" w:cs="Times New Roman"/>
        </w:rPr>
        <w:t xml:space="preserve"> show that the analys</w:t>
      </w:r>
      <w:r w:rsidR="00540525">
        <w:rPr>
          <w:rFonts w:ascii="Times New Roman" w:hAnsi="Times New Roman" w:cs="Times New Roman"/>
        </w:rPr>
        <w:t>e</w:t>
      </w:r>
      <w:r w:rsidRPr="003C24D0">
        <w:rPr>
          <w:rFonts w:ascii="Times New Roman" w:hAnsi="Times New Roman" w:cs="Times New Roman"/>
        </w:rPr>
        <w:t>s using Data Axl</w:t>
      </w:r>
      <w:r w:rsidR="00A80DFE">
        <w:rPr>
          <w:rFonts w:ascii="Times New Roman" w:hAnsi="Times New Roman" w:cs="Times New Roman"/>
        </w:rPr>
        <w:t>e</w:t>
      </w:r>
      <w:r w:rsidRPr="003C24D0">
        <w:rPr>
          <w:rFonts w:ascii="Times New Roman" w:hAnsi="Times New Roman" w:cs="Times New Roman"/>
        </w:rPr>
        <w:t xml:space="preserve"> and D&amp;B Hoovers are similar in impact</w:t>
      </w:r>
      <w:r w:rsidR="00233698">
        <w:rPr>
          <w:rFonts w:ascii="Times New Roman" w:hAnsi="Times New Roman" w:cs="Times New Roman"/>
        </w:rPr>
        <w:t>.</w:t>
      </w:r>
      <w:r w:rsidRPr="003C24D0">
        <w:rPr>
          <w:rFonts w:ascii="Times New Roman" w:hAnsi="Times New Roman" w:cs="Times New Roman"/>
        </w:rPr>
        <w:t xml:space="preserve"> </w:t>
      </w:r>
      <w:r w:rsidR="00233698">
        <w:rPr>
          <w:rFonts w:ascii="Times New Roman" w:hAnsi="Times New Roman" w:cs="Times New Roman"/>
        </w:rPr>
        <w:t>Based on Data Axle and D&amp;B Hoovers data, respectively</w:t>
      </w:r>
      <w:r w:rsidR="00C52A1A">
        <w:rPr>
          <w:rFonts w:ascii="Times New Roman" w:hAnsi="Times New Roman" w:cs="Times New Roman"/>
        </w:rPr>
        <w:t>,</w:t>
      </w:r>
      <w:r w:rsidRPr="003C24D0">
        <w:rPr>
          <w:rFonts w:ascii="Times New Roman" w:hAnsi="Times New Roman" w:cs="Times New Roman"/>
        </w:rPr>
        <w:t xml:space="preserve"> </w:t>
      </w:r>
      <w:r w:rsidR="00233698">
        <w:rPr>
          <w:rFonts w:ascii="Times New Roman" w:hAnsi="Times New Roman" w:cs="Times New Roman"/>
        </w:rPr>
        <w:t xml:space="preserve">an </w:t>
      </w:r>
      <w:r>
        <w:rPr>
          <w:rFonts w:ascii="Times New Roman" w:hAnsi="Times New Roman" w:cs="Times New Roman"/>
        </w:rPr>
        <w:t>estimate</w:t>
      </w:r>
      <w:r w:rsidR="00233698">
        <w:rPr>
          <w:rFonts w:ascii="Times New Roman" w:hAnsi="Times New Roman" w:cs="Times New Roman"/>
        </w:rPr>
        <w:t>d</w:t>
      </w:r>
      <w:r>
        <w:rPr>
          <w:rFonts w:ascii="Times New Roman" w:hAnsi="Times New Roman" w:cs="Times New Roman"/>
        </w:rPr>
        <w:t xml:space="preserve"> </w:t>
      </w:r>
      <w:r w:rsidRPr="00A1547D">
        <w:rPr>
          <w:rFonts w:ascii="Times New Roman" w:hAnsi="Times New Roman" w:cs="Times New Roman"/>
        </w:rPr>
        <w:t>9</w:t>
      </w:r>
      <w:r w:rsidR="00C275D6">
        <w:rPr>
          <w:rFonts w:ascii="Times New Roman" w:hAnsi="Times New Roman" w:cs="Times New Roman"/>
        </w:rPr>
        <w:t>0.</w:t>
      </w:r>
      <w:r w:rsidR="00803578">
        <w:rPr>
          <w:rFonts w:ascii="Times New Roman" w:hAnsi="Times New Roman" w:cs="Times New Roman"/>
        </w:rPr>
        <w:t xml:space="preserve">8 </w:t>
      </w:r>
      <w:r w:rsidRPr="00A1547D">
        <w:rPr>
          <w:rFonts w:ascii="Times New Roman" w:hAnsi="Times New Roman" w:cs="Times New Roman"/>
        </w:rPr>
        <w:t xml:space="preserve">and </w:t>
      </w:r>
      <w:r w:rsidRPr="00A1547D" w:rsidR="00A1547D">
        <w:rPr>
          <w:rFonts w:ascii="Times New Roman" w:hAnsi="Times New Roman" w:cs="Times New Roman"/>
        </w:rPr>
        <w:t>9</w:t>
      </w:r>
      <w:r w:rsidR="00C275D6">
        <w:rPr>
          <w:rFonts w:ascii="Times New Roman" w:hAnsi="Times New Roman" w:cs="Times New Roman"/>
        </w:rPr>
        <w:t>4.0</w:t>
      </w:r>
      <w:r w:rsidRPr="003C24D0">
        <w:rPr>
          <w:rFonts w:ascii="Times New Roman" w:hAnsi="Times New Roman" w:cs="Times New Roman"/>
        </w:rPr>
        <w:t xml:space="preserve"> percent of small entities </w:t>
      </w:r>
      <w:r w:rsidR="007C10E2">
        <w:rPr>
          <w:rFonts w:ascii="Times New Roman" w:hAnsi="Times New Roman" w:cs="Times New Roman"/>
        </w:rPr>
        <w:t>will</w:t>
      </w:r>
      <w:r w:rsidRPr="003C24D0">
        <w:rPr>
          <w:rFonts w:ascii="Times New Roman" w:hAnsi="Times New Roman" w:cs="Times New Roman"/>
        </w:rPr>
        <w:t xml:space="preserve"> incur cost impacts that are less than 1 percent of their revenue and an estimate</w:t>
      </w:r>
      <w:r>
        <w:rPr>
          <w:rFonts w:ascii="Times New Roman" w:hAnsi="Times New Roman" w:cs="Times New Roman"/>
        </w:rPr>
        <w:t xml:space="preserve"> of</w:t>
      </w:r>
      <w:r w:rsidRPr="003C24D0">
        <w:rPr>
          <w:rFonts w:ascii="Times New Roman" w:hAnsi="Times New Roman" w:cs="Times New Roman"/>
        </w:rPr>
        <w:t xml:space="preserve"> </w:t>
      </w:r>
      <w:r w:rsidR="00D8701A">
        <w:rPr>
          <w:rFonts w:ascii="Times New Roman" w:hAnsi="Times New Roman" w:cs="Times New Roman"/>
        </w:rPr>
        <w:t>2.8</w:t>
      </w:r>
      <w:r w:rsidRPr="00A1547D">
        <w:rPr>
          <w:rFonts w:ascii="Times New Roman" w:hAnsi="Times New Roman" w:cs="Times New Roman"/>
        </w:rPr>
        <w:t xml:space="preserve"> and </w:t>
      </w:r>
      <w:r w:rsidRPr="00A1547D" w:rsidR="00A1547D">
        <w:rPr>
          <w:rFonts w:ascii="Times New Roman" w:hAnsi="Times New Roman" w:cs="Times New Roman"/>
        </w:rPr>
        <w:t>1.</w:t>
      </w:r>
      <w:r w:rsidR="00D8701A">
        <w:rPr>
          <w:rFonts w:ascii="Times New Roman" w:hAnsi="Times New Roman" w:cs="Times New Roman"/>
        </w:rPr>
        <w:t>9</w:t>
      </w:r>
      <w:r w:rsidRPr="003C24D0">
        <w:rPr>
          <w:rFonts w:ascii="Times New Roman" w:hAnsi="Times New Roman" w:cs="Times New Roman"/>
        </w:rPr>
        <w:t xml:space="preserve"> percent of small entities </w:t>
      </w:r>
      <w:r>
        <w:rPr>
          <w:rFonts w:ascii="Times New Roman" w:hAnsi="Times New Roman" w:cs="Times New Roman"/>
        </w:rPr>
        <w:t>with impacts</w:t>
      </w:r>
      <w:r w:rsidRPr="003C24D0">
        <w:rPr>
          <w:rFonts w:ascii="Times New Roman" w:hAnsi="Times New Roman" w:cs="Times New Roman"/>
        </w:rPr>
        <w:t xml:space="preserve"> greater than 3 percent. </w:t>
      </w:r>
      <w:r w:rsidR="00942A5E">
        <w:rPr>
          <w:rFonts w:ascii="Times New Roman" w:hAnsi="Times New Roman" w:cs="Times New Roman"/>
        </w:rPr>
        <w:t>O</w:t>
      </w:r>
      <w:r w:rsidRPr="003C24D0">
        <w:rPr>
          <w:rFonts w:ascii="Times New Roman" w:hAnsi="Times New Roman" w:cs="Times New Roman"/>
        </w:rPr>
        <w:t xml:space="preserve">nly </w:t>
      </w:r>
      <w:r w:rsidR="00513011">
        <w:rPr>
          <w:rFonts w:ascii="Times New Roman" w:hAnsi="Times New Roman" w:cs="Times New Roman"/>
        </w:rPr>
        <w:t>9</w:t>
      </w:r>
      <w:r w:rsidR="00550E69">
        <w:rPr>
          <w:rFonts w:ascii="Times New Roman" w:hAnsi="Times New Roman" w:cs="Times New Roman"/>
        </w:rPr>
        <w:t>.</w:t>
      </w:r>
      <w:r w:rsidR="00803578">
        <w:rPr>
          <w:rFonts w:ascii="Times New Roman" w:hAnsi="Times New Roman" w:cs="Times New Roman"/>
        </w:rPr>
        <w:t>2</w:t>
      </w:r>
      <w:r>
        <w:rPr>
          <w:rFonts w:ascii="Times New Roman" w:hAnsi="Times New Roman" w:cs="Times New Roman"/>
        </w:rPr>
        <w:t xml:space="preserve"> percent </w:t>
      </w:r>
      <w:r w:rsidRPr="003C24D0" w:rsidR="00233698">
        <w:rPr>
          <w:rFonts w:ascii="Times New Roman" w:hAnsi="Times New Roman" w:cs="Times New Roman"/>
        </w:rPr>
        <w:t xml:space="preserve">of small private sector entities </w:t>
      </w:r>
      <w:r>
        <w:rPr>
          <w:rFonts w:ascii="Times New Roman" w:hAnsi="Times New Roman" w:cs="Times New Roman"/>
        </w:rPr>
        <w:t>using Data Axle,</w:t>
      </w:r>
      <w:r w:rsidRPr="003C24D0">
        <w:rPr>
          <w:rFonts w:ascii="Times New Roman" w:hAnsi="Times New Roman" w:cs="Times New Roman"/>
        </w:rPr>
        <w:t xml:space="preserve"> and </w:t>
      </w:r>
      <w:r w:rsidR="00550E69">
        <w:rPr>
          <w:rFonts w:ascii="Times New Roman" w:hAnsi="Times New Roman" w:cs="Times New Roman"/>
        </w:rPr>
        <w:t>6</w:t>
      </w:r>
      <w:r w:rsidR="006C7979">
        <w:rPr>
          <w:rFonts w:ascii="Times New Roman" w:hAnsi="Times New Roman" w:cs="Times New Roman"/>
        </w:rPr>
        <w:t>.0</w:t>
      </w:r>
      <w:r w:rsidRPr="003C24D0">
        <w:rPr>
          <w:rFonts w:ascii="Times New Roman" w:hAnsi="Times New Roman" w:cs="Times New Roman"/>
        </w:rPr>
        <w:t xml:space="preserve"> percent</w:t>
      </w:r>
      <w:r>
        <w:rPr>
          <w:rFonts w:ascii="Times New Roman" w:hAnsi="Times New Roman" w:cs="Times New Roman"/>
        </w:rPr>
        <w:t xml:space="preserve"> using D&amp;B Hoovers,</w:t>
      </w:r>
      <w:r w:rsidRPr="003C24D0">
        <w:rPr>
          <w:rFonts w:ascii="Times New Roman" w:hAnsi="Times New Roman" w:cs="Times New Roman"/>
        </w:rPr>
        <w:t xml:space="preserve"> are </w:t>
      </w:r>
      <w:r w:rsidR="00233698">
        <w:rPr>
          <w:rFonts w:ascii="Times New Roman" w:hAnsi="Times New Roman" w:cs="Times New Roman"/>
        </w:rPr>
        <w:t>estimated</w:t>
      </w:r>
      <w:r w:rsidRPr="003C24D0">
        <w:rPr>
          <w:rFonts w:ascii="Times New Roman" w:hAnsi="Times New Roman" w:cs="Times New Roman"/>
        </w:rPr>
        <w:t xml:space="preserve"> to </w:t>
      </w:r>
      <w:r w:rsidR="000A2D1C">
        <w:rPr>
          <w:rFonts w:ascii="Times New Roman" w:hAnsi="Times New Roman" w:cs="Times New Roman"/>
        </w:rPr>
        <w:t>face impacts</w:t>
      </w:r>
      <w:r w:rsidRPr="003C24D0">
        <w:rPr>
          <w:rFonts w:ascii="Times New Roman" w:hAnsi="Times New Roman" w:cs="Times New Roman"/>
        </w:rPr>
        <w:t xml:space="preserve"> greater than 1 percent. </w:t>
      </w:r>
      <w:r w:rsidRPr="0054743D" w:rsidR="0054743D">
        <w:rPr>
          <w:rFonts w:ascii="Times New Roman" w:hAnsi="Times New Roman" w:cs="Times New Roman"/>
        </w:rPr>
        <w:t>In both analyses, of the entities with impacts greater than 3 percent, one small entity associated with a facility with a HF Alkylation faces STAA costs, which creates a large increase in the average small entity cost. Removing the entity facing this STAA cost results in a much smaller average small entity cost to the entities with impacts greater than 3 percent</w:t>
      </w:r>
      <w:r w:rsidR="00C63D8F">
        <w:rPr>
          <w:rFonts w:ascii="Times New Roman" w:hAnsi="Times New Roman" w:cs="Times New Roman"/>
        </w:rPr>
        <w:t>. A</w:t>
      </w:r>
      <w:r w:rsidRPr="0054743D" w:rsidR="0054743D">
        <w:rPr>
          <w:rFonts w:ascii="Times New Roman" w:hAnsi="Times New Roman" w:cs="Times New Roman"/>
        </w:rPr>
        <w:t>verage cost decreas</w:t>
      </w:r>
      <w:r w:rsidR="00C63D8F">
        <w:rPr>
          <w:rFonts w:ascii="Times New Roman" w:hAnsi="Times New Roman" w:cs="Times New Roman"/>
        </w:rPr>
        <w:t>es</w:t>
      </w:r>
      <w:r w:rsidRPr="0054743D" w:rsidR="0054743D">
        <w:rPr>
          <w:rFonts w:ascii="Times New Roman" w:hAnsi="Times New Roman" w:cs="Times New Roman"/>
        </w:rPr>
        <w:t xml:space="preserve"> from $1,083,824</w:t>
      </w:r>
      <w:r w:rsidR="0054743D">
        <w:rPr>
          <w:rFonts w:ascii="Times New Roman" w:hAnsi="Times New Roman" w:cs="Times New Roman"/>
        </w:rPr>
        <w:t xml:space="preserve"> </w:t>
      </w:r>
      <w:r w:rsidRPr="0054743D" w:rsidR="0054743D">
        <w:rPr>
          <w:rFonts w:ascii="Times New Roman" w:hAnsi="Times New Roman" w:cs="Times New Roman"/>
        </w:rPr>
        <w:t>to $</w:t>
      </w:r>
      <w:r w:rsidR="0054743D">
        <w:rPr>
          <w:rFonts w:ascii="Times New Roman" w:hAnsi="Times New Roman" w:cs="Times New Roman"/>
        </w:rPr>
        <w:t xml:space="preserve">964,491 </w:t>
      </w:r>
      <w:r w:rsidRPr="0054743D" w:rsidR="0054743D">
        <w:rPr>
          <w:rFonts w:ascii="Times New Roman" w:hAnsi="Times New Roman" w:cs="Times New Roman"/>
        </w:rPr>
        <w:t>using Data Axle and from $</w:t>
      </w:r>
      <w:r w:rsidR="0054743D">
        <w:rPr>
          <w:rFonts w:ascii="Times New Roman" w:hAnsi="Times New Roman" w:cs="Times New Roman"/>
        </w:rPr>
        <w:t>590,327</w:t>
      </w:r>
      <w:r w:rsidRPr="0054743D" w:rsidR="0054743D">
        <w:rPr>
          <w:rFonts w:ascii="Times New Roman" w:hAnsi="Times New Roman" w:cs="Times New Roman"/>
        </w:rPr>
        <w:t xml:space="preserve"> million </w:t>
      </w:r>
      <w:r w:rsidRPr="0054743D" w:rsidR="00B9614D">
        <w:rPr>
          <w:rFonts w:ascii="Times New Roman" w:hAnsi="Times New Roman" w:cs="Times New Roman"/>
        </w:rPr>
        <w:t>to $</w:t>
      </w:r>
      <w:r w:rsidRPr="0054743D" w:rsidR="0054743D">
        <w:rPr>
          <w:rFonts w:ascii="Times New Roman" w:hAnsi="Times New Roman" w:cs="Times New Roman"/>
        </w:rPr>
        <w:t>279,599 using D&amp;B Hoovers.</w:t>
      </w:r>
    </w:p>
    <w:p w:rsidR="00CC6A1A" w:rsidP="008C5F74" w14:paraId="54CB7DF6" w14:textId="77777777">
      <w:pPr>
        <w:spacing w:after="0" w:line="240" w:lineRule="auto"/>
        <w:ind w:right="617"/>
        <w:rPr>
          <w:rFonts w:ascii="Times New Roman" w:hAnsi="Times New Roman" w:cs="Times New Roman"/>
        </w:rPr>
      </w:pPr>
    </w:p>
    <w:p w:rsidR="00482F0B" w:rsidRPr="003C24D0" w:rsidP="008C5F74" w14:paraId="1DAC1F29" w14:textId="77777777">
      <w:pPr>
        <w:spacing w:after="0" w:line="240" w:lineRule="auto"/>
        <w:ind w:right="617" w:firstLine="720"/>
        <w:rPr>
          <w:rFonts w:ascii="Times New Roman" w:hAnsi="Times New Roman"/>
        </w:rPr>
      </w:pPr>
      <w:r w:rsidRPr="00CC6A1A">
        <w:rPr>
          <w:rFonts w:ascii="Times New Roman" w:hAnsi="Times New Roman" w:cs="Times New Roman"/>
        </w:rPr>
        <w:t xml:space="preserve">The small entity analysis indicates that the final rule </w:t>
      </w:r>
      <w:r w:rsidR="00400EDB">
        <w:rPr>
          <w:rFonts w:ascii="Times New Roman" w:hAnsi="Times New Roman" w:cs="Times New Roman"/>
        </w:rPr>
        <w:t>will</w:t>
      </w:r>
      <w:r w:rsidRPr="00CC6A1A">
        <w:rPr>
          <w:rFonts w:ascii="Times New Roman" w:hAnsi="Times New Roman" w:cs="Times New Roman"/>
        </w:rPr>
        <w:t xml:space="preserve"> not impose a significant economic burden on small entities by imposing a cost to a substantial number of entities exceeding the threshold amount of 1</w:t>
      </w:r>
      <w:r w:rsidR="004B475E">
        <w:rPr>
          <w:rFonts w:ascii="Times New Roman" w:hAnsi="Times New Roman" w:cs="Times New Roman"/>
        </w:rPr>
        <w:t xml:space="preserve"> percen</w:t>
      </w:r>
      <w:r w:rsidR="00B42C92">
        <w:rPr>
          <w:rFonts w:ascii="Times New Roman" w:hAnsi="Times New Roman" w:cs="Times New Roman"/>
        </w:rPr>
        <w:t xml:space="preserve">t </w:t>
      </w:r>
      <w:r w:rsidRPr="00CC6A1A">
        <w:rPr>
          <w:rFonts w:ascii="Times New Roman" w:hAnsi="Times New Roman" w:cs="Times New Roman"/>
        </w:rPr>
        <w:t xml:space="preserve">of small entity revenues. </w:t>
      </w:r>
      <w:r w:rsidR="004B475E">
        <w:rPr>
          <w:rFonts w:ascii="Times New Roman" w:hAnsi="Times New Roman" w:cs="Times New Roman"/>
        </w:rPr>
        <w:t>Th</w:t>
      </w:r>
      <w:r w:rsidR="00400EDB">
        <w:rPr>
          <w:rFonts w:ascii="Times New Roman" w:hAnsi="Times New Roman" w:cs="Times New Roman"/>
        </w:rPr>
        <w:t>is analysis</w:t>
      </w:r>
      <w:r w:rsidR="00B42C92">
        <w:rPr>
          <w:rFonts w:ascii="Times New Roman" w:hAnsi="Times New Roman" w:cs="Times New Roman"/>
        </w:rPr>
        <w:t xml:space="preserve"> </w:t>
      </w:r>
      <w:r w:rsidR="00340547">
        <w:rPr>
          <w:rFonts w:ascii="Times New Roman" w:hAnsi="Times New Roman" w:cs="Times New Roman"/>
        </w:rPr>
        <w:t xml:space="preserve">using D&amp;B Hoovers data </w:t>
      </w:r>
      <w:r w:rsidR="00400EDB">
        <w:rPr>
          <w:rFonts w:ascii="Times New Roman" w:hAnsi="Times New Roman" w:cs="Times New Roman"/>
        </w:rPr>
        <w:t xml:space="preserve">further </w:t>
      </w:r>
      <w:r w:rsidR="00340547">
        <w:rPr>
          <w:rFonts w:ascii="Times New Roman" w:hAnsi="Times New Roman" w:cs="Times New Roman"/>
        </w:rPr>
        <w:t>confirms</w:t>
      </w:r>
      <w:r w:rsidR="00400EDB">
        <w:rPr>
          <w:rFonts w:ascii="Times New Roman" w:hAnsi="Times New Roman" w:cs="Times New Roman"/>
        </w:rPr>
        <w:t xml:space="preserve"> that the final rule will </w:t>
      </w:r>
      <w:r w:rsidR="00790C74">
        <w:rPr>
          <w:rFonts w:ascii="Times New Roman" w:hAnsi="Times New Roman" w:cs="Times New Roman"/>
        </w:rPr>
        <w:t xml:space="preserve">not </w:t>
      </w:r>
      <w:r w:rsidR="00400EDB">
        <w:rPr>
          <w:rFonts w:ascii="Times New Roman" w:hAnsi="Times New Roman" w:cs="Times New Roman"/>
        </w:rPr>
        <w:t>impose a significant economic burden</w:t>
      </w:r>
      <w:r w:rsidR="00AC31E5">
        <w:rPr>
          <w:rFonts w:ascii="Times New Roman" w:hAnsi="Times New Roman" w:cs="Times New Roman"/>
        </w:rPr>
        <w:t xml:space="preserve"> and suggests</w:t>
      </w:r>
      <w:r w:rsidR="000008E9">
        <w:rPr>
          <w:rFonts w:ascii="Times New Roman" w:hAnsi="Times New Roman" w:cs="Times New Roman"/>
        </w:rPr>
        <w:t xml:space="preserve"> that the final rule has a smaller impact on small private sector entities. </w:t>
      </w:r>
    </w:p>
    <w:p w:rsidR="00482F0B" w:rsidP="008C5F74" w14:paraId="6F3424BC" w14:textId="77777777">
      <w:pPr>
        <w:spacing w:after="0" w:line="240" w:lineRule="auto"/>
        <w:ind w:right="617"/>
        <w:rPr>
          <w:rFonts w:ascii="Times New Roman" w:hAnsi="Times New Roman"/>
          <w:sz w:val="20"/>
          <w:szCs w:val="20"/>
        </w:rPr>
      </w:pPr>
    </w:p>
    <w:p w:rsidR="00482F0B" w:rsidRPr="00E92045" w:rsidP="00E84192" w14:paraId="3E722D05" w14:textId="77777777">
      <w:pPr>
        <w:keepNext/>
        <w:spacing w:after="0"/>
        <w:jc w:val="center"/>
        <w:rPr>
          <w:rFonts w:ascii="Times New Roman" w:hAnsi="Times New Roman" w:cs="Times New Roman"/>
          <w:b/>
        </w:rPr>
      </w:pPr>
      <w:r w:rsidRPr="003D3560">
        <w:rPr>
          <w:rFonts w:ascii="Times New Roman" w:hAnsi="Times New Roman"/>
          <w:b/>
          <w:bCs/>
        </w:rPr>
        <w:t>Exhibit C</w:t>
      </w:r>
      <w:r>
        <w:rPr>
          <w:rFonts w:ascii="Times New Roman" w:hAnsi="Times New Roman"/>
          <w:b/>
          <w:bCs/>
        </w:rPr>
        <w:t>-</w:t>
      </w:r>
      <w:r w:rsidR="00F04BCF">
        <w:rPr>
          <w:rFonts w:ascii="Times New Roman" w:hAnsi="Times New Roman"/>
          <w:b/>
          <w:bCs/>
        </w:rPr>
        <w:t>1</w:t>
      </w:r>
      <w:r w:rsidR="00E46D3C">
        <w:rPr>
          <w:rFonts w:ascii="Times New Roman" w:hAnsi="Times New Roman"/>
          <w:b/>
          <w:bCs/>
        </w:rPr>
        <w:t>4</w:t>
      </w:r>
      <w:r>
        <w:rPr>
          <w:rFonts w:ascii="Times New Roman" w:hAnsi="Times New Roman"/>
          <w:b/>
          <w:bCs/>
        </w:rPr>
        <w:t>:</w:t>
      </w:r>
      <w:r w:rsidRPr="00732D6C">
        <w:rPr>
          <w:rFonts w:ascii="Times New Roman" w:hAnsi="Times New Roman" w:cs="Times New Roman"/>
          <w:b/>
          <w:bCs/>
        </w:rPr>
        <w:t xml:space="preserve"> </w:t>
      </w:r>
      <w:r w:rsidRPr="00732D6C">
        <w:rPr>
          <w:rFonts w:ascii="Times New Roman" w:hAnsi="Times New Roman" w:cs="Times New Roman"/>
          <w:b/>
        </w:rPr>
        <w:t>Cost</w:t>
      </w:r>
      <w:r w:rsidRPr="00E92045">
        <w:rPr>
          <w:rFonts w:ascii="Times New Roman" w:hAnsi="Times New Roman" w:cs="Times New Roman"/>
          <w:b/>
        </w:rPr>
        <w:t xml:space="preserve"> Impacts as a Proportion of Total Revenue for </w:t>
      </w:r>
      <w:r w:rsidRPr="00E92045" w:rsidR="00C02FE1">
        <w:rPr>
          <w:rFonts w:ascii="Times New Roman" w:hAnsi="Times New Roman" w:cs="Times New Roman"/>
          <w:b/>
          <w:bCs/>
        </w:rPr>
        <w:t>Small Private Sector Entities</w:t>
      </w:r>
      <w:r w:rsidR="00C02FE1">
        <w:rPr>
          <w:rFonts w:ascii="Times New Roman" w:hAnsi="Times New Roman" w:cs="Times New Roman"/>
          <w:b/>
          <w:bCs/>
        </w:rPr>
        <w:t>, Data Axle.</w:t>
      </w:r>
    </w:p>
    <w:tbl>
      <w:tblPr>
        <w:tblW w:w="4163" w:type="pct"/>
        <w:jc w:val="center"/>
        <w:tblLayout w:type="fixed"/>
        <w:tblCellMar>
          <w:left w:w="0" w:type="dxa"/>
          <w:right w:w="0" w:type="dxa"/>
        </w:tblCellMar>
        <w:tblLook w:val="04A0"/>
      </w:tblPr>
      <w:tblGrid>
        <w:gridCol w:w="1521"/>
        <w:gridCol w:w="1709"/>
        <w:gridCol w:w="1418"/>
        <w:gridCol w:w="1565"/>
        <w:gridCol w:w="1563"/>
      </w:tblGrid>
      <w:tr w14:paraId="63366F7E" w14:textId="77777777" w:rsidTr="00D8562D">
        <w:tblPrEx>
          <w:tblW w:w="4163" w:type="pct"/>
          <w:jc w:val="center"/>
          <w:tblLayout w:type="fixed"/>
          <w:tblCellMar>
            <w:left w:w="0" w:type="dxa"/>
            <w:right w:w="0" w:type="dxa"/>
          </w:tblCellMar>
          <w:tblLook w:val="04A0"/>
        </w:tblPrEx>
        <w:trPr>
          <w:trHeight w:val="560"/>
          <w:jc w:val="center"/>
        </w:trPr>
        <w:tc>
          <w:tcPr>
            <w:tcW w:w="978"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482F0B" w:rsidRPr="009A0557" w:rsidP="00E84192" w14:paraId="3D35E1DF" w14:textId="77777777">
            <w:pPr>
              <w:keepNext/>
              <w:spacing w:after="0" w:line="240" w:lineRule="auto"/>
              <w:jc w:val="center"/>
              <w:rPr>
                <w:rFonts w:ascii="Times New Roman" w:hAnsi="Times New Roman" w:cs="Times New Roman"/>
                <w:b/>
                <w:bCs/>
              </w:rPr>
            </w:pPr>
            <w:r>
              <w:rPr>
                <w:rFonts w:ascii="Times New Roman" w:hAnsi="Times New Roman" w:cs="Times New Roman"/>
                <w:b/>
                <w:bCs/>
                <w:color w:val="000000"/>
              </w:rPr>
              <w:t xml:space="preserve">Proportion </w:t>
            </w:r>
            <w:r w:rsidRPr="009A0557">
              <w:rPr>
                <w:rFonts w:ascii="Times New Roman" w:hAnsi="Times New Roman" w:cs="Times New Roman"/>
                <w:b/>
                <w:bCs/>
                <w:color w:val="000000"/>
              </w:rPr>
              <w:t>of Revenue Impacted</w:t>
            </w:r>
          </w:p>
        </w:tc>
        <w:tc>
          <w:tcPr>
            <w:tcW w:w="1099"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rsidR="00482F0B" w:rsidRPr="009A0557" w:rsidP="00E84192" w14:paraId="572705AC" w14:textId="77777777">
            <w:pPr>
              <w:keepNext/>
              <w:spacing w:after="0" w:line="240" w:lineRule="auto"/>
              <w:jc w:val="right"/>
              <w:rPr>
                <w:rFonts w:ascii="Times New Roman" w:hAnsi="Times New Roman" w:cs="Times New Roman"/>
                <w:b/>
                <w:bCs/>
                <w:color w:val="000000"/>
              </w:rPr>
            </w:pPr>
            <w:r w:rsidRPr="009A0557">
              <w:rPr>
                <w:rFonts w:ascii="Times New Roman" w:hAnsi="Times New Roman" w:cs="Times New Roman"/>
                <w:b/>
                <w:bCs/>
                <w:color w:val="000000"/>
              </w:rPr>
              <w:t>Number of Small Entities</w:t>
            </w:r>
            <w:r w:rsidR="00BA1513">
              <w:rPr>
                <w:rFonts w:ascii="Times New Roman" w:hAnsi="Times New Roman" w:cs="Times New Roman"/>
                <w:b/>
                <w:bCs/>
                <w:color w:val="000000"/>
              </w:rPr>
              <w:t>*</w:t>
            </w:r>
          </w:p>
        </w:tc>
        <w:tc>
          <w:tcPr>
            <w:tcW w:w="912"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482F0B" w:rsidRPr="009A0557" w:rsidP="00E84192" w14:paraId="0F117346" w14:textId="77777777">
            <w:pPr>
              <w:keepNext/>
              <w:spacing w:after="0" w:line="240" w:lineRule="auto"/>
              <w:jc w:val="center"/>
              <w:rPr>
                <w:rFonts w:ascii="Times New Roman" w:hAnsi="Times New Roman" w:cs="Times New Roman"/>
                <w:b/>
                <w:bCs/>
                <w:color w:val="000000"/>
              </w:rPr>
            </w:pPr>
            <w:r w:rsidRPr="009A0557">
              <w:rPr>
                <w:rFonts w:ascii="Times New Roman" w:hAnsi="Times New Roman" w:cs="Times New Roman"/>
                <w:b/>
                <w:bCs/>
                <w:color w:val="000000"/>
              </w:rPr>
              <w:t>% of Small Entities</w:t>
            </w:r>
          </w:p>
        </w:tc>
        <w:tc>
          <w:tcPr>
            <w:tcW w:w="1006"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482F0B" w:rsidRPr="009A0557" w:rsidP="00E84192" w14:paraId="2B800B77" w14:textId="77777777">
            <w:pPr>
              <w:keepNext/>
              <w:spacing w:after="0" w:line="240" w:lineRule="auto"/>
              <w:jc w:val="center"/>
              <w:rPr>
                <w:rFonts w:ascii="Times New Roman" w:hAnsi="Times New Roman" w:cs="Times New Roman"/>
                <w:b/>
                <w:bCs/>
                <w:color w:val="000000"/>
              </w:rPr>
            </w:pPr>
            <w:r w:rsidRPr="009A0557">
              <w:rPr>
                <w:rFonts w:ascii="Times New Roman" w:hAnsi="Times New Roman" w:cs="Times New Roman"/>
                <w:b/>
                <w:bCs/>
                <w:color w:val="000000"/>
              </w:rPr>
              <w:t>Average Small Entity Cost ($)</w:t>
            </w:r>
            <w:r w:rsidR="00F5093E">
              <w:rPr>
                <w:rFonts w:ascii="Times New Roman" w:hAnsi="Times New Roman" w:cs="Times New Roman"/>
                <w:b/>
                <w:bCs/>
                <w:color w:val="000000"/>
              </w:rPr>
              <w:t>*</w:t>
            </w:r>
            <w:r w:rsidR="00BA1513">
              <w:rPr>
                <w:rFonts w:ascii="Times New Roman" w:hAnsi="Times New Roman" w:cs="Times New Roman"/>
                <w:b/>
                <w:bCs/>
                <w:color w:val="000000"/>
              </w:rPr>
              <w:t>*</w:t>
            </w:r>
          </w:p>
        </w:tc>
        <w:tc>
          <w:tcPr>
            <w:tcW w:w="1005"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482F0B" w:rsidRPr="009A0557" w:rsidP="00E84192" w14:paraId="6A448F32" w14:textId="77777777">
            <w:pPr>
              <w:keepNext/>
              <w:spacing w:after="0" w:line="240" w:lineRule="auto"/>
              <w:jc w:val="center"/>
              <w:rPr>
                <w:rFonts w:ascii="Times New Roman" w:hAnsi="Times New Roman" w:cs="Times New Roman"/>
                <w:b/>
                <w:bCs/>
                <w:color w:val="000000"/>
              </w:rPr>
            </w:pPr>
            <w:r w:rsidRPr="009A0557">
              <w:rPr>
                <w:rFonts w:ascii="Times New Roman" w:hAnsi="Times New Roman" w:cs="Times New Roman"/>
                <w:b/>
                <w:bCs/>
                <w:color w:val="000000"/>
              </w:rPr>
              <w:t>Average Small Entity Revenue</w:t>
            </w:r>
            <w:r w:rsidR="00F5093E">
              <w:rPr>
                <w:rFonts w:ascii="Times New Roman" w:hAnsi="Times New Roman" w:cs="Times New Roman"/>
                <w:b/>
                <w:bCs/>
                <w:color w:val="000000"/>
              </w:rPr>
              <w:t>*</w:t>
            </w:r>
            <w:r w:rsidR="00BA1513">
              <w:rPr>
                <w:rFonts w:ascii="Times New Roman" w:hAnsi="Times New Roman" w:cs="Times New Roman"/>
                <w:b/>
                <w:bCs/>
                <w:color w:val="000000"/>
              </w:rPr>
              <w:t>*</w:t>
            </w:r>
          </w:p>
        </w:tc>
      </w:tr>
      <w:tr w14:paraId="610FB690" w14:textId="77777777" w:rsidTr="00D52785">
        <w:tblPrEx>
          <w:tblW w:w="4163" w:type="pct"/>
          <w:jc w:val="center"/>
          <w:tblLayout w:type="fixed"/>
          <w:tblCellMar>
            <w:left w:w="0" w:type="dxa"/>
            <w:right w:w="0" w:type="dxa"/>
          </w:tblCellMar>
          <w:tblLook w:val="04A0"/>
        </w:tblPrEx>
        <w:trPr>
          <w:trHeight w:val="310"/>
          <w:jc w:val="center"/>
        </w:trPr>
        <w:tc>
          <w:tcPr>
            <w:tcW w:w="97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82F0B" w:rsidRPr="009A0557" w:rsidP="00E84192" w14:paraId="3A60180E" w14:textId="77777777">
            <w:pPr>
              <w:keepNext/>
              <w:spacing w:after="0" w:line="240" w:lineRule="auto"/>
              <w:jc w:val="right"/>
              <w:rPr>
                <w:rFonts w:ascii="Times New Roman" w:hAnsi="Times New Roman" w:cs="Times New Roman"/>
                <w:sz w:val="20"/>
                <w:szCs w:val="20"/>
              </w:rPr>
            </w:pPr>
            <w:r w:rsidRPr="009A0557">
              <w:rPr>
                <w:rFonts w:ascii="Times New Roman" w:hAnsi="Times New Roman" w:cs="Times New Roman"/>
                <w:color w:val="000000"/>
                <w:sz w:val="20"/>
                <w:szCs w:val="20"/>
              </w:rPr>
              <w:t>&lt; 1%</w:t>
            </w:r>
          </w:p>
        </w:tc>
        <w:tc>
          <w:tcPr>
            <w:tcW w:w="1099"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A0557" w:rsidP="00D52785" w14:paraId="13879E6A" w14:textId="77777777">
            <w:pPr>
              <w:keepNext/>
              <w:spacing w:after="0" w:line="240" w:lineRule="auto"/>
              <w:jc w:val="right"/>
              <w:rPr>
                <w:rFonts w:ascii="Times New Roman" w:hAnsi="Times New Roman" w:cs="Times New Roman"/>
                <w:sz w:val="20"/>
                <w:szCs w:val="20"/>
              </w:rPr>
            </w:pPr>
            <w:r w:rsidRPr="00484530">
              <w:rPr>
                <w:rFonts w:ascii="Times New Roman" w:hAnsi="Times New Roman" w:cs="Times New Roman"/>
                <w:sz w:val="20"/>
                <w:szCs w:val="20"/>
              </w:rPr>
              <w:t>2,393</w:t>
            </w:r>
          </w:p>
        </w:tc>
        <w:tc>
          <w:tcPr>
            <w:tcW w:w="912"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A0557" w:rsidP="00D52785" w14:paraId="54D50D5E" w14:textId="77777777">
            <w:pPr>
              <w:keepNext/>
              <w:spacing w:after="0" w:line="240" w:lineRule="auto"/>
              <w:jc w:val="right"/>
              <w:rPr>
                <w:rFonts w:ascii="Times New Roman" w:hAnsi="Times New Roman" w:cs="Times New Roman"/>
                <w:sz w:val="20"/>
                <w:szCs w:val="20"/>
              </w:rPr>
            </w:pPr>
            <w:r w:rsidRPr="00484530">
              <w:rPr>
                <w:rFonts w:ascii="Times New Roman" w:hAnsi="Times New Roman" w:cs="Times New Roman"/>
                <w:sz w:val="20"/>
                <w:szCs w:val="20"/>
              </w:rPr>
              <w:t>90.8%</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64E0A" w:rsidP="00D52785" w14:paraId="0C6EA638" w14:textId="77777777">
            <w:pPr>
              <w:keepNext/>
              <w:spacing w:after="0" w:line="240" w:lineRule="auto"/>
              <w:jc w:val="right"/>
              <w:rPr>
                <w:rFonts w:ascii="Times New Roman" w:hAnsi="Times New Roman" w:cs="Times New Roman"/>
                <w:sz w:val="20"/>
                <w:szCs w:val="20"/>
                <w:highlight w:val="yellow"/>
              </w:rPr>
            </w:pPr>
            <w:r w:rsidRPr="00484530">
              <w:rPr>
                <w:rFonts w:ascii="Times New Roman" w:hAnsi="Times New Roman" w:cs="Times New Roman"/>
                <w:sz w:val="20"/>
                <w:szCs w:val="20"/>
              </w:rPr>
              <w:t>$72,525</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64E0A" w:rsidP="00D52785" w14:paraId="0BEB685F" w14:textId="77777777">
            <w:pPr>
              <w:keepNext/>
              <w:spacing w:after="0" w:line="240" w:lineRule="auto"/>
              <w:jc w:val="right"/>
              <w:rPr>
                <w:rFonts w:ascii="Times New Roman" w:hAnsi="Times New Roman" w:cs="Times New Roman"/>
                <w:sz w:val="20"/>
                <w:szCs w:val="20"/>
                <w:highlight w:val="yellow"/>
              </w:rPr>
            </w:pPr>
            <w:r w:rsidRPr="00484530">
              <w:rPr>
                <w:rFonts w:ascii="Times New Roman" w:hAnsi="Times New Roman" w:cs="Times New Roman"/>
                <w:sz w:val="20"/>
                <w:szCs w:val="20"/>
              </w:rPr>
              <w:t>$72,392,517</w:t>
            </w:r>
          </w:p>
        </w:tc>
      </w:tr>
      <w:tr w14:paraId="7BC04D04" w14:textId="77777777" w:rsidTr="00D52785">
        <w:tblPrEx>
          <w:tblW w:w="4163" w:type="pct"/>
          <w:jc w:val="center"/>
          <w:tblLayout w:type="fixed"/>
          <w:tblCellMar>
            <w:left w:w="0" w:type="dxa"/>
            <w:right w:w="0" w:type="dxa"/>
          </w:tblCellMar>
          <w:tblLook w:val="04A0"/>
        </w:tblPrEx>
        <w:trPr>
          <w:trHeight w:val="320"/>
          <w:jc w:val="center"/>
        </w:trPr>
        <w:tc>
          <w:tcPr>
            <w:tcW w:w="97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82F0B" w:rsidRPr="009A0557" w14:paraId="32DB990A"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color w:val="000000"/>
                <w:sz w:val="20"/>
                <w:szCs w:val="20"/>
              </w:rPr>
              <w:t>1% - 3%</w:t>
            </w:r>
          </w:p>
        </w:tc>
        <w:tc>
          <w:tcPr>
            <w:tcW w:w="1099"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A0557" w:rsidP="00D52785" w14:paraId="2D8AEF99" w14:textId="77777777">
            <w:pPr>
              <w:spacing w:after="0" w:line="240" w:lineRule="auto"/>
              <w:jc w:val="right"/>
              <w:rPr>
                <w:rFonts w:ascii="Times New Roman" w:hAnsi="Times New Roman" w:cs="Times New Roman"/>
                <w:sz w:val="20"/>
                <w:szCs w:val="20"/>
              </w:rPr>
            </w:pPr>
            <w:r w:rsidRPr="00484530">
              <w:rPr>
                <w:rFonts w:ascii="Times New Roman" w:hAnsi="Times New Roman" w:cs="Times New Roman"/>
                <w:sz w:val="20"/>
                <w:szCs w:val="20"/>
              </w:rPr>
              <w:t>167</w:t>
            </w:r>
          </w:p>
        </w:tc>
        <w:tc>
          <w:tcPr>
            <w:tcW w:w="912"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A0557" w:rsidP="00D52785" w14:paraId="461687B0" w14:textId="77777777">
            <w:pPr>
              <w:spacing w:after="0" w:line="240" w:lineRule="auto"/>
              <w:jc w:val="right"/>
              <w:rPr>
                <w:rFonts w:ascii="Times New Roman" w:hAnsi="Times New Roman" w:cs="Times New Roman"/>
                <w:sz w:val="20"/>
                <w:szCs w:val="20"/>
              </w:rPr>
            </w:pPr>
            <w:r w:rsidRPr="00484530">
              <w:rPr>
                <w:rFonts w:ascii="Times New Roman" w:hAnsi="Times New Roman" w:cs="Times New Roman"/>
                <w:sz w:val="20"/>
                <w:szCs w:val="20"/>
              </w:rPr>
              <w:t>6.3%</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64E0A" w:rsidP="00D52785" w14:paraId="6960533C" w14:textId="77777777">
            <w:pPr>
              <w:spacing w:after="0" w:line="240" w:lineRule="auto"/>
              <w:jc w:val="right"/>
              <w:rPr>
                <w:rFonts w:ascii="Times New Roman" w:hAnsi="Times New Roman" w:cs="Times New Roman"/>
                <w:sz w:val="20"/>
                <w:szCs w:val="20"/>
                <w:highlight w:val="yellow"/>
              </w:rPr>
            </w:pPr>
            <w:r w:rsidRPr="00484530">
              <w:rPr>
                <w:rFonts w:ascii="Times New Roman" w:hAnsi="Times New Roman" w:cs="Times New Roman"/>
                <w:sz w:val="20"/>
                <w:szCs w:val="20"/>
              </w:rPr>
              <w:t>$629,271</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64E0A" w:rsidP="00D52785" w14:paraId="2F661F02" w14:textId="77777777">
            <w:pPr>
              <w:spacing w:after="0" w:line="240" w:lineRule="auto"/>
              <w:jc w:val="right"/>
              <w:rPr>
                <w:rFonts w:ascii="Times New Roman" w:hAnsi="Times New Roman" w:cs="Times New Roman"/>
                <w:sz w:val="20"/>
                <w:szCs w:val="20"/>
                <w:highlight w:val="yellow"/>
              </w:rPr>
            </w:pPr>
            <w:r w:rsidRPr="00484530">
              <w:rPr>
                <w:rFonts w:ascii="Times New Roman" w:hAnsi="Times New Roman" w:cs="Times New Roman"/>
                <w:sz w:val="20"/>
                <w:szCs w:val="20"/>
              </w:rPr>
              <w:t>$41,222,630</w:t>
            </w:r>
          </w:p>
        </w:tc>
      </w:tr>
      <w:tr w14:paraId="5479E3CC" w14:textId="77777777" w:rsidTr="00D52785">
        <w:tblPrEx>
          <w:tblW w:w="4163" w:type="pct"/>
          <w:jc w:val="center"/>
          <w:tblLayout w:type="fixed"/>
          <w:tblCellMar>
            <w:left w:w="0" w:type="dxa"/>
            <w:right w:w="0" w:type="dxa"/>
          </w:tblCellMar>
          <w:tblLook w:val="04A0"/>
        </w:tblPrEx>
        <w:trPr>
          <w:trHeight w:val="320"/>
          <w:jc w:val="center"/>
        </w:trPr>
        <w:tc>
          <w:tcPr>
            <w:tcW w:w="97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82F0B" w:rsidRPr="009A0557" w14:paraId="1B5782A0" w14:textId="77777777">
            <w:pPr>
              <w:spacing w:after="0" w:line="240" w:lineRule="auto"/>
              <w:jc w:val="right"/>
              <w:rPr>
                <w:rFonts w:ascii="Times New Roman" w:hAnsi="Times New Roman" w:cs="Times New Roman"/>
                <w:sz w:val="20"/>
                <w:szCs w:val="20"/>
              </w:rPr>
            </w:pPr>
            <w:r w:rsidRPr="009A0557">
              <w:rPr>
                <w:rFonts w:ascii="Times New Roman" w:hAnsi="Times New Roman" w:cs="Times New Roman"/>
                <w:color w:val="000000"/>
                <w:sz w:val="20"/>
                <w:szCs w:val="20"/>
              </w:rPr>
              <w:t>Total &gt;3%</w:t>
            </w:r>
          </w:p>
        </w:tc>
        <w:tc>
          <w:tcPr>
            <w:tcW w:w="1099"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A0557" w:rsidP="00D52785" w14:paraId="073AE475" w14:textId="77777777">
            <w:pPr>
              <w:spacing w:after="0" w:line="240" w:lineRule="auto"/>
              <w:jc w:val="right"/>
              <w:rPr>
                <w:rFonts w:ascii="Times New Roman" w:hAnsi="Times New Roman" w:cs="Times New Roman"/>
                <w:sz w:val="20"/>
                <w:szCs w:val="20"/>
              </w:rPr>
            </w:pPr>
            <w:r w:rsidRPr="00A62FD0">
              <w:rPr>
                <w:rFonts w:ascii="Times New Roman" w:hAnsi="Times New Roman" w:cs="Times New Roman"/>
                <w:sz w:val="20"/>
                <w:szCs w:val="20"/>
              </w:rPr>
              <w:t>75</w:t>
            </w:r>
          </w:p>
        </w:tc>
        <w:tc>
          <w:tcPr>
            <w:tcW w:w="912"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A0557" w:rsidP="00D52785" w14:paraId="795B160C" w14:textId="77777777">
            <w:pPr>
              <w:spacing w:after="0" w:line="240" w:lineRule="auto"/>
              <w:jc w:val="right"/>
              <w:rPr>
                <w:rFonts w:ascii="Times New Roman" w:hAnsi="Times New Roman" w:cs="Times New Roman"/>
                <w:sz w:val="20"/>
                <w:szCs w:val="20"/>
              </w:rPr>
            </w:pPr>
            <w:r w:rsidRPr="00A62FD0">
              <w:rPr>
                <w:rFonts w:ascii="Times New Roman" w:hAnsi="Times New Roman" w:cs="Times New Roman"/>
                <w:sz w:val="20"/>
                <w:szCs w:val="20"/>
              </w:rPr>
              <w:t>2.8</w:t>
            </w:r>
            <w:r w:rsidRPr="009A0557">
              <w:rPr>
                <w:rFonts w:ascii="Times New Roman" w:hAnsi="Times New Roman" w:cs="Times New Roman"/>
                <w:sz w:val="20"/>
                <w:szCs w:val="20"/>
              </w:rPr>
              <w:t>%</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64E0A" w:rsidP="00D52785" w14:paraId="3669B762" w14:textId="77777777">
            <w:pPr>
              <w:spacing w:after="0" w:line="240" w:lineRule="auto"/>
              <w:jc w:val="right"/>
              <w:rPr>
                <w:rFonts w:ascii="Times New Roman" w:hAnsi="Times New Roman" w:cs="Times New Roman"/>
                <w:sz w:val="20"/>
                <w:szCs w:val="20"/>
                <w:highlight w:val="yellow"/>
              </w:rPr>
            </w:pPr>
            <w:bookmarkStart w:id="568" w:name="_Hlk144153879"/>
            <w:r w:rsidRPr="00A62FD0">
              <w:rPr>
                <w:rFonts w:ascii="Times New Roman" w:hAnsi="Times New Roman" w:cs="Times New Roman"/>
                <w:sz w:val="20"/>
                <w:szCs w:val="20"/>
              </w:rPr>
              <w:t>$1,083,824</w:t>
            </w:r>
            <w:bookmarkEnd w:id="568"/>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64E0A" w:rsidP="00D52785" w14:paraId="10ACE92B" w14:textId="77777777">
            <w:pPr>
              <w:spacing w:after="0" w:line="240" w:lineRule="auto"/>
              <w:jc w:val="right"/>
              <w:rPr>
                <w:rFonts w:ascii="Times New Roman" w:hAnsi="Times New Roman" w:cs="Times New Roman"/>
                <w:sz w:val="20"/>
                <w:szCs w:val="20"/>
                <w:highlight w:val="yellow"/>
              </w:rPr>
            </w:pPr>
            <w:r w:rsidRPr="00A62FD0">
              <w:rPr>
                <w:rFonts w:ascii="Times New Roman" w:hAnsi="Times New Roman" w:cs="Times New Roman"/>
                <w:sz w:val="20"/>
                <w:szCs w:val="20"/>
              </w:rPr>
              <w:t>$19,034,833</w:t>
            </w:r>
          </w:p>
        </w:tc>
      </w:tr>
      <w:tr w14:paraId="33B689AB" w14:textId="77777777" w:rsidTr="00D52785">
        <w:tblPrEx>
          <w:tblW w:w="4163" w:type="pct"/>
          <w:jc w:val="center"/>
          <w:tblLayout w:type="fixed"/>
          <w:tblCellMar>
            <w:left w:w="0" w:type="dxa"/>
            <w:right w:w="0" w:type="dxa"/>
          </w:tblCellMar>
          <w:tblLook w:val="04A0"/>
        </w:tblPrEx>
        <w:trPr>
          <w:trHeight w:val="320"/>
          <w:jc w:val="center"/>
        </w:trPr>
        <w:tc>
          <w:tcPr>
            <w:tcW w:w="97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82F0B" w:rsidRPr="009A0557" w14:paraId="6324E665" w14:textId="77777777">
            <w:pPr>
              <w:spacing w:after="0" w:line="240" w:lineRule="auto"/>
              <w:jc w:val="right"/>
              <w:rPr>
                <w:rFonts w:ascii="Times New Roman" w:hAnsi="Times New Roman" w:cs="Times New Roman"/>
                <w:color w:val="000000"/>
                <w:sz w:val="20"/>
                <w:szCs w:val="20"/>
              </w:rPr>
            </w:pPr>
            <w:r w:rsidRPr="009A0557">
              <w:rPr>
                <w:rFonts w:ascii="Times New Roman" w:hAnsi="Times New Roman" w:cs="Times New Roman"/>
                <w:color w:val="000000"/>
                <w:sz w:val="20"/>
                <w:szCs w:val="20"/>
              </w:rPr>
              <w:t xml:space="preserve">Total &gt;3% without </w:t>
            </w:r>
            <w:r w:rsidR="00715157">
              <w:rPr>
                <w:rFonts w:ascii="Times New Roman" w:hAnsi="Times New Roman" w:cs="Times New Roman"/>
                <w:color w:val="000000"/>
                <w:sz w:val="20"/>
                <w:szCs w:val="20"/>
              </w:rPr>
              <w:t>HF Alkylation</w:t>
            </w:r>
          </w:p>
        </w:tc>
        <w:tc>
          <w:tcPr>
            <w:tcW w:w="1099"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D54541" w:rsidP="00D52785" w14:paraId="19A79001" w14:textId="77777777">
            <w:pPr>
              <w:spacing w:after="0" w:line="240" w:lineRule="auto"/>
              <w:jc w:val="right"/>
              <w:rPr>
                <w:rFonts w:ascii="Times New Roman" w:hAnsi="Times New Roman" w:cs="Times New Roman"/>
                <w:sz w:val="20"/>
                <w:szCs w:val="20"/>
              </w:rPr>
            </w:pPr>
            <w:r w:rsidRPr="00D54541">
              <w:rPr>
                <w:rFonts w:ascii="Times New Roman" w:hAnsi="Times New Roman" w:cs="Times New Roman"/>
                <w:sz w:val="20"/>
                <w:szCs w:val="20"/>
              </w:rPr>
              <w:t>74</w:t>
            </w:r>
          </w:p>
        </w:tc>
        <w:tc>
          <w:tcPr>
            <w:tcW w:w="912"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D54541" w:rsidP="00D52785" w14:paraId="4C4C2BA3" w14:textId="77777777">
            <w:pPr>
              <w:spacing w:after="0" w:line="240" w:lineRule="auto"/>
              <w:jc w:val="right"/>
              <w:rPr>
                <w:rFonts w:ascii="Times New Roman" w:hAnsi="Times New Roman" w:cs="Times New Roman"/>
                <w:sz w:val="20"/>
                <w:szCs w:val="20"/>
              </w:rPr>
            </w:pPr>
            <w:r w:rsidRPr="00D54541">
              <w:rPr>
                <w:rFonts w:ascii="Times New Roman" w:hAnsi="Times New Roman" w:cs="Times New Roman"/>
                <w:sz w:val="20"/>
                <w:szCs w:val="20"/>
              </w:rPr>
              <w:t>2.8%</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D54541" w:rsidP="00D52785" w14:paraId="2132EBAD" w14:textId="77777777">
            <w:pPr>
              <w:spacing w:after="0" w:line="240" w:lineRule="auto"/>
              <w:jc w:val="right"/>
              <w:rPr>
                <w:rFonts w:ascii="Times New Roman" w:hAnsi="Times New Roman" w:cs="Times New Roman"/>
                <w:sz w:val="20"/>
                <w:szCs w:val="20"/>
              </w:rPr>
            </w:pPr>
            <w:r w:rsidRPr="00D54541">
              <w:rPr>
                <w:rFonts w:ascii="Times New Roman" w:hAnsi="Times New Roman" w:cs="Times New Roman"/>
                <w:sz w:val="20"/>
                <w:szCs w:val="20"/>
              </w:rPr>
              <w:t>$</w:t>
            </w:r>
            <w:r w:rsidRPr="00D54541" w:rsidR="00D54541">
              <w:rPr>
                <w:rFonts w:ascii="Times New Roman" w:hAnsi="Times New Roman" w:cs="Times New Roman"/>
                <w:sz w:val="20"/>
                <w:szCs w:val="20"/>
              </w:rPr>
              <w:t>964,591</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D54541" w:rsidP="00D52785" w14:paraId="39880F0F" w14:textId="77777777">
            <w:pPr>
              <w:spacing w:after="0" w:line="240" w:lineRule="auto"/>
              <w:jc w:val="right"/>
              <w:rPr>
                <w:rFonts w:ascii="Times New Roman" w:hAnsi="Times New Roman" w:cs="Times New Roman"/>
                <w:sz w:val="20"/>
                <w:szCs w:val="20"/>
              </w:rPr>
            </w:pPr>
            <w:r w:rsidRPr="00D54541">
              <w:rPr>
                <w:rFonts w:ascii="Times New Roman" w:hAnsi="Times New Roman" w:cs="Times New Roman"/>
                <w:sz w:val="20"/>
                <w:szCs w:val="20"/>
              </w:rPr>
              <w:t>$</w:t>
            </w:r>
            <w:r w:rsidRPr="00D54541" w:rsidR="00D54541">
              <w:rPr>
                <w:rFonts w:ascii="Times New Roman" w:hAnsi="Times New Roman" w:cs="Times New Roman"/>
                <w:sz w:val="20"/>
                <w:szCs w:val="20"/>
              </w:rPr>
              <w:t>19,018,195</w:t>
            </w:r>
          </w:p>
        </w:tc>
      </w:tr>
      <w:tr w14:paraId="17D7367A" w14:textId="77777777" w:rsidTr="00D52785">
        <w:tblPrEx>
          <w:tblW w:w="4163" w:type="pct"/>
          <w:jc w:val="center"/>
          <w:tblLayout w:type="fixed"/>
          <w:tblCellMar>
            <w:left w:w="0" w:type="dxa"/>
            <w:right w:w="0" w:type="dxa"/>
          </w:tblCellMar>
          <w:tblLook w:val="04A0"/>
        </w:tblPrEx>
        <w:trPr>
          <w:trHeight w:val="320"/>
          <w:jc w:val="center"/>
        </w:trPr>
        <w:tc>
          <w:tcPr>
            <w:tcW w:w="978"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82F0B" w:rsidRPr="009A0557" w:rsidP="00D8701A" w14:paraId="7CCC2914" w14:textId="77777777">
            <w:pPr>
              <w:spacing w:after="0" w:line="240" w:lineRule="auto"/>
              <w:jc w:val="right"/>
              <w:rPr>
                <w:rFonts w:ascii="Times New Roman" w:hAnsi="Times New Roman" w:cs="Times New Roman"/>
                <w:color w:val="000000"/>
                <w:sz w:val="20"/>
                <w:szCs w:val="20"/>
              </w:rPr>
            </w:pPr>
            <w:r w:rsidRPr="009A0557">
              <w:rPr>
                <w:rFonts w:ascii="Times New Roman" w:hAnsi="Times New Roman" w:cs="Times New Roman"/>
                <w:color w:val="000000"/>
                <w:sz w:val="20"/>
                <w:szCs w:val="20"/>
              </w:rPr>
              <w:t>Small entity with HF Alkylation</w:t>
            </w:r>
          </w:p>
        </w:tc>
        <w:tc>
          <w:tcPr>
            <w:tcW w:w="1099"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2F6A9E" w:rsidP="00D52785" w14:paraId="3F50DACD" w14:textId="77777777">
            <w:pPr>
              <w:spacing w:after="0" w:line="240" w:lineRule="auto"/>
              <w:jc w:val="right"/>
              <w:rPr>
                <w:rFonts w:ascii="Times New Roman" w:hAnsi="Times New Roman" w:cs="Times New Roman"/>
                <w:sz w:val="20"/>
                <w:szCs w:val="20"/>
              </w:rPr>
            </w:pPr>
            <w:r w:rsidRPr="002F6A9E">
              <w:rPr>
                <w:rFonts w:ascii="Times New Roman" w:hAnsi="Times New Roman" w:cs="Times New Roman"/>
                <w:sz w:val="20"/>
                <w:szCs w:val="20"/>
              </w:rPr>
              <w:t>1</w:t>
            </w:r>
          </w:p>
        </w:tc>
        <w:tc>
          <w:tcPr>
            <w:tcW w:w="912"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2F6A9E" w:rsidP="00D52785" w14:paraId="1BE6D21A" w14:textId="77777777">
            <w:pPr>
              <w:spacing w:after="0" w:line="240" w:lineRule="auto"/>
              <w:jc w:val="right"/>
              <w:rPr>
                <w:rFonts w:ascii="Times New Roman" w:hAnsi="Times New Roman" w:cs="Times New Roman"/>
                <w:sz w:val="20"/>
                <w:szCs w:val="20"/>
              </w:rPr>
            </w:pPr>
            <w:r w:rsidRPr="002F6A9E">
              <w:rPr>
                <w:rFonts w:ascii="Times New Roman" w:hAnsi="Times New Roman" w:cs="Times New Roman"/>
                <w:sz w:val="20"/>
                <w:szCs w:val="20"/>
              </w:rPr>
              <w:t>0.</w:t>
            </w:r>
            <w:r w:rsidRPr="002F6A9E" w:rsidR="002F6A9E">
              <w:rPr>
                <w:rFonts w:ascii="Times New Roman" w:hAnsi="Times New Roman" w:cs="Times New Roman"/>
                <w:sz w:val="20"/>
                <w:szCs w:val="20"/>
              </w:rPr>
              <w:t>04</w:t>
            </w:r>
            <w:r w:rsidRPr="002F6A9E">
              <w:rPr>
                <w:rFonts w:ascii="Times New Roman" w:hAnsi="Times New Roman" w:cs="Times New Roman"/>
                <w:sz w:val="20"/>
                <w:szCs w:val="20"/>
              </w:rPr>
              <w:t>%</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2F6A9E" w:rsidP="00D52785" w14:paraId="0116EAF1" w14:textId="77777777">
            <w:pPr>
              <w:spacing w:after="0" w:line="240" w:lineRule="auto"/>
              <w:jc w:val="right"/>
              <w:rPr>
                <w:rFonts w:ascii="Times New Roman" w:hAnsi="Times New Roman" w:cs="Times New Roman"/>
                <w:sz w:val="20"/>
                <w:szCs w:val="20"/>
              </w:rPr>
            </w:pPr>
            <w:r w:rsidRPr="002F6A9E">
              <w:rPr>
                <w:rFonts w:ascii="Times New Roman" w:hAnsi="Times New Roman" w:cs="Times New Roman"/>
                <w:sz w:val="20"/>
                <w:szCs w:val="20"/>
              </w:rPr>
              <w:t xml:space="preserve"> $7,</w:t>
            </w:r>
            <w:r w:rsidR="000F63F7">
              <w:rPr>
                <w:rFonts w:ascii="Times New Roman" w:hAnsi="Times New Roman" w:cs="Times New Roman"/>
                <w:sz w:val="20"/>
                <w:szCs w:val="20"/>
              </w:rPr>
              <w:t xml:space="preserve">283 </w:t>
            </w:r>
            <w:r w:rsidRPr="002F6A9E">
              <w:rPr>
                <w:rFonts w:ascii="Times New Roman" w:hAnsi="Times New Roman" w:cs="Times New Roman"/>
                <w:sz w:val="20"/>
                <w:szCs w:val="20"/>
              </w:rPr>
              <w:t>,</w:t>
            </w:r>
            <w:r w:rsidR="002F3D4B">
              <w:rPr>
                <w:rFonts w:ascii="Times New Roman" w:hAnsi="Times New Roman" w:cs="Times New Roman"/>
                <w:sz w:val="20"/>
                <w:szCs w:val="20"/>
              </w:rPr>
              <w:t>931</w:t>
            </w:r>
            <w:r w:rsidRPr="002F6A9E">
              <w:rPr>
                <w:rFonts w:ascii="Times New Roman" w:hAnsi="Times New Roman" w:cs="Times New Roman"/>
                <w:sz w:val="20"/>
                <w:szCs w:val="20"/>
              </w:rPr>
              <w:t xml:space="preserve"> </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2F6A9E" w:rsidP="00D52785" w14:paraId="673FDB91" w14:textId="77777777">
            <w:pPr>
              <w:spacing w:after="0" w:line="240" w:lineRule="auto"/>
              <w:jc w:val="right"/>
              <w:rPr>
                <w:rFonts w:ascii="Times New Roman" w:hAnsi="Times New Roman" w:cs="Times New Roman"/>
                <w:sz w:val="20"/>
                <w:szCs w:val="20"/>
              </w:rPr>
            </w:pPr>
            <w:r w:rsidRPr="002F6A9E">
              <w:rPr>
                <w:rFonts w:ascii="Times New Roman" w:hAnsi="Times New Roman" w:cs="Times New Roman"/>
                <w:sz w:val="20"/>
                <w:szCs w:val="20"/>
              </w:rPr>
              <w:t xml:space="preserve"> $19,900,000 </w:t>
            </w:r>
          </w:p>
        </w:tc>
      </w:tr>
    </w:tbl>
    <w:p w:rsidR="00BA1513" w:rsidRPr="00BA1513" w:rsidP="00BA1513" w14:paraId="36519B5F" w14:textId="77777777">
      <w:pPr>
        <w:spacing w:after="0"/>
        <w:ind w:right="617"/>
        <w:rPr>
          <w:rFonts w:ascii="Times New Roman" w:hAnsi="Times New Roman"/>
          <w:sz w:val="18"/>
          <w:szCs w:val="18"/>
        </w:rPr>
      </w:pPr>
      <w:r w:rsidRPr="00BA1513">
        <w:rPr>
          <w:rFonts w:ascii="Times New Roman" w:hAnsi="Times New Roman"/>
          <w:sz w:val="18"/>
          <w:szCs w:val="18"/>
        </w:rPr>
        <w:t xml:space="preserve">*Small entity count differs slightly from Exhibit </w:t>
      </w:r>
      <w:r w:rsidR="00C86625">
        <w:rPr>
          <w:rFonts w:ascii="Times New Roman" w:hAnsi="Times New Roman"/>
          <w:sz w:val="18"/>
          <w:szCs w:val="18"/>
        </w:rPr>
        <w:t>C-</w:t>
      </w:r>
      <w:r w:rsidR="00E46D3C">
        <w:rPr>
          <w:rFonts w:ascii="Times New Roman" w:hAnsi="Times New Roman"/>
          <w:sz w:val="18"/>
          <w:szCs w:val="18"/>
        </w:rPr>
        <w:t>9</w:t>
      </w:r>
      <w:r w:rsidRPr="00BA1513">
        <w:rPr>
          <w:rFonts w:ascii="Times New Roman" w:hAnsi="Times New Roman"/>
          <w:sz w:val="18"/>
          <w:szCs w:val="18"/>
        </w:rPr>
        <w:t xml:space="preserve"> due to rounding</w:t>
      </w:r>
      <w:r w:rsidR="00126D46">
        <w:rPr>
          <w:rFonts w:ascii="Times New Roman" w:hAnsi="Times New Roman"/>
          <w:sz w:val="18"/>
          <w:szCs w:val="18"/>
        </w:rPr>
        <w:t>.</w:t>
      </w:r>
    </w:p>
    <w:p w:rsidR="00F5093E" w:rsidRPr="00F5093E" w:rsidP="00482F0B" w14:paraId="73C25610" w14:textId="77777777">
      <w:pPr>
        <w:spacing w:after="0"/>
        <w:ind w:right="617"/>
        <w:rPr>
          <w:rFonts w:ascii="Times New Roman" w:hAnsi="Times New Roman"/>
          <w:sz w:val="18"/>
          <w:szCs w:val="18"/>
        </w:rPr>
      </w:pPr>
      <w:r w:rsidRPr="00BA1513">
        <w:rPr>
          <w:rFonts w:ascii="Times New Roman" w:hAnsi="Times New Roman"/>
          <w:sz w:val="18"/>
          <w:szCs w:val="18"/>
        </w:rPr>
        <w:t>** For entities that are determined by revenue, the average small entity cost and revenue are considerably lower ($31.5 thousand and $6.0 million, respectively)</w:t>
      </w:r>
      <w:r w:rsidR="00126D46">
        <w:rPr>
          <w:rFonts w:ascii="Times New Roman" w:hAnsi="Times New Roman"/>
          <w:sz w:val="18"/>
          <w:szCs w:val="18"/>
        </w:rPr>
        <w:t>.</w:t>
      </w:r>
    </w:p>
    <w:p w:rsidR="00C86625" w:rsidRPr="00F5093E" w:rsidP="00BA1513" w14:paraId="016C99C1" w14:textId="77777777">
      <w:pPr>
        <w:spacing w:after="0"/>
        <w:ind w:right="617"/>
        <w:rPr>
          <w:rFonts w:ascii="Times New Roman" w:hAnsi="Times New Roman"/>
          <w:sz w:val="18"/>
          <w:szCs w:val="18"/>
        </w:rPr>
      </w:pPr>
    </w:p>
    <w:p w:rsidR="00482F0B" w:rsidRPr="00E92045" w:rsidP="00482F0B" w14:paraId="3E5330FE" w14:textId="77777777">
      <w:pPr>
        <w:spacing w:after="0"/>
        <w:jc w:val="center"/>
        <w:rPr>
          <w:rFonts w:ascii="Times New Roman" w:hAnsi="Times New Roman" w:cs="Times New Roman"/>
          <w:b/>
        </w:rPr>
      </w:pPr>
      <w:r w:rsidRPr="003D3560">
        <w:rPr>
          <w:rFonts w:ascii="Times New Roman" w:hAnsi="Times New Roman"/>
          <w:b/>
          <w:bCs/>
        </w:rPr>
        <w:t>Exhibit C-</w:t>
      </w:r>
      <w:r w:rsidR="00F04BCF">
        <w:rPr>
          <w:rFonts w:ascii="Times New Roman" w:hAnsi="Times New Roman"/>
          <w:b/>
          <w:bCs/>
        </w:rPr>
        <w:t>1</w:t>
      </w:r>
      <w:r w:rsidR="00CD4AC7">
        <w:rPr>
          <w:rFonts w:ascii="Times New Roman" w:hAnsi="Times New Roman"/>
          <w:b/>
          <w:bCs/>
        </w:rPr>
        <w:t>5</w:t>
      </w:r>
      <w:r>
        <w:rPr>
          <w:rFonts w:ascii="Times New Roman" w:hAnsi="Times New Roman"/>
          <w:b/>
          <w:bCs/>
        </w:rPr>
        <w:t>:</w:t>
      </w:r>
      <w:r w:rsidRPr="00732D6C">
        <w:rPr>
          <w:rFonts w:ascii="Times New Roman" w:hAnsi="Times New Roman" w:cs="Times New Roman"/>
          <w:b/>
          <w:bCs/>
        </w:rPr>
        <w:t xml:space="preserve"> </w:t>
      </w:r>
      <w:r w:rsidRPr="00732D6C">
        <w:rPr>
          <w:rFonts w:ascii="Times New Roman" w:hAnsi="Times New Roman" w:cs="Times New Roman"/>
          <w:b/>
        </w:rPr>
        <w:t>Cost</w:t>
      </w:r>
      <w:r w:rsidRPr="00E92045">
        <w:rPr>
          <w:rFonts w:ascii="Times New Roman" w:hAnsi="Times New Roman" w:cs="Times New Roman"/>
          <w:b/>
        </w:rPr>
        <w:t xml:space="preserve"> Impacts as a Proportion of Total Revenue for </w:t>
      </w:r>
    </w:p>
    <w:p w:rsidR="00482F0B" w:rsidP="00482F0B" w14:paraId="188B5CBD" w14:textId="77777777">
      <w:pPr>
        <w:spacing w:after="0"/>
        <w:jc w:val="center"/>
        <w:rPr>
          <w:rFonts w:ascii="Times New Roman" w:hAnsi="Times New Roman" w:cs="Times New Roman"/>
          <w:b/>
          <w:bCs/>
        </w:rPr>
      </w:pPr>
      <w:r w:rsidRPr="00E92045">
        <w:rPr>
          <w:rFonts w:ascii="Times New Roman" w:hAnsi="Times New Roman" w:cs="Times New Roman"/>
          <w:b/>
          <w:bCs/>
        </w:rPr>
        <w:t>Small Private Sector Entities</w:t>
      </w:r>
      <w:r>
        <w:rPr>
          <w:rFonts w:ascii="Times New Roman" w:hAnsi="Times New Roman" w:cs="Times New Roman"/>
          <w:b/>
          <w:bCs/>
        </w:rPr>
        <w:t>, D&amp;B Hoovers.</w:t>
      </w:r>
    </w:p>
    <w:p w:rsidR="00482F0B" w:rsidP="00482F0B" w14:paraId="35718325" w14:textId="77777777">
      <w:pPr>
        <w:spacing w:after="0"/>
        <w:ind w:right="617"/>
        <w:rPr>
          <w:rFonts w:ascii="Times New Roman" w:hAnsi="Times New Roman"/>
          <w:sz w:val="20"/>
          <w:szCs w:val="20"/>
        </w:rPr>
      </w:pPr>
    </w:p>
    <w:tbl>
      <w:tblPr>
        <w:tblW w:w="4163" w:type="pct"/>
        <w:jc w:val="center"/>
        <w:tblLayout w:type="fixed"/>
        <w:tblCellMar>
          <w:left w:w="0" w:type="dxa"/>
          <w:right w:w="0" w:type="dxa"/>
        </w:tblCellMar>
        <w:tblLook w:val="04A0"/>
      </w:tblPr>
      <w:tblGrid>
        <w:gridCol w:w="1518"/>
        <w:gridCol w:w="1565"/>
        <w:gridCol w:w="1565"/>
        <w:gridCol w:w="1565"/>
        <w:gridCol w:w="1563"/>
      </w:tblGrid>
      <w:tr w14:paraId="643900B9" w14:textId="77777777" w:rsidTr="00D8562D">
        <w:tblPrEx>
          <w:tblW w:w="4163" w:type="pct"/>
          <w:jc w:val="center"/>
          <w:tblLayout w:type="fixed"/>
          <w:tblCellMar>
            <w:left w:w="0" w:type="dxa"/>
            <w:right w:w="0" w:type="dxa"/>
          </w:tblCellMar>
          <w:tblLook w:val="04A0"/>
        </w:tblPrEx>
        <w:trPr>
          <w:trHeight w:val="560"/>
          <w:jc w:val="center"/>
        </w:trPr>
        <w:tc>
          <w:tcPr>
            <w:tcW w:w="97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482F0B" w:rsidRPr="00882B99" w14:paraId="5EC0FD07" w14:textId="77777777">
            <w:pPr>
              <w:spacing w:after="0" w:line="240" w:lineRule="auto"/>
              <w:jc w:val="center"/>
              <w:rPr>
                <w:rFonts w:ascii="Times New Roman" w:hAnsi="Times New Roman" w:cs="Times New Roman"/>
                <w:b/>
                <w:bCs/>
              </w:rPr>
            </w:pPr>
            <w:r w:rsidRPr="00882B99">
              <w:rPr>
                <w:rFonts w:ascii="Times New Roman" w:hAnsi="Times New Roman" w:cs="Times New Roman"/>
                <w:b/>
                <w:bCs/>
                <w:color w:val="000000"/>
              </w:rPr>
              <w:t>Proportion of Revenue Impacted</w:t>
            </w:r>
          </w:p>
        </w:tc>
        <w:tc>
          <w:tcPr>
            <w:tcW w:w="1006"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482F0B" w:rsidRPr="00882B99" w14:paraId="2CB7E689" w14:textId="77777777">
            <w:pPr>
              <w:spacing w:after="0" w:line="240" w:lineRule="auto"/>
              <w:jc w:val="center"/>
              <w:rPr>
                <w:rFonts w:ascii="Times New Roman" w:hAnsi="Times New Roman" w:cs="Times New Roman"/>
                <w:b/>
                <w:bCs/>
                <w:color w:val="000000"/>
              </w:rPr>
            </w:pPr>
            <w:r w:rsidRPr="00882B99">
              <w:rPr>
                <w:rFonts w:ascii="Times New Roman" w:hAnsi="Times New Roman" w:cs="Times New Roman"/>
                <w:b/>
                <w:bCs/>
                <w:color w:val="000000"/>
              </w:rPr>
              <w:t>Number of Small Entities</w:t>
            </w:r>
          </w:p>
        </w:tc>
        <w:tc>
          <w:tcPr>
            <w:tcW w:w="1006"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482F0B" w:rsidRPr="00882B99" w14:paraId="2613EC50" w14:textId="77777777">
            <w:pPr>
              <w:spacing w:after="0" w:line="240" w:lineRule="auto"/>
              <w:jc w:val="center"/>
              <w:rPr>
                <w:rFonts w:ascii="Times New Roman" w:hAnsi="Times New Roman" w:cs="Times New Roman"/>
                <w:b/>
                <w:bCs/>
                <w:color w:val="000000"/>
              </w:rPr>
            </w:pPr>
            <w:r w:rsidRPr="00882B99">
              <w:rPr>
                <w:rFonts w:ascii="Times New Roman" w:hAnsi="Times New Roman" w:cs="Times New Roman"/>
                <w:b/>
                <w:bCs/>
                <w:color w:val="000000"/>
              </w:rPr>
              <w:t>% of Small Entities</w:t>
            </w:r>
          </w:p>
        </w:tc>
        <w:tc>
          <w:tcPr>
            <w:tcW w:w="1006"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482F0B" w:rsidRPr="00882B99" w14:paraId="655D8B08" w14:textId="77777777">
            <w:pPr>
              <w:spacing w:after="0" w:line="240" w:lineRule="auto"/>
              <w:jc w:val="center"/>
              <w:rPr>
                <w:rFonts w:ascii="Times New Roman" w:hAnsi="Times New Roman" w:cs="Times New Roman"/>
                <w:b/>
                <w:bCs/>
                <w:color w:val="000000"/>
              </w:rPr>
            </w:pPr>
            <w:r w:rsidRPr="00882B99">
              <w:rPr>
                <w:rFonts w:ascii="Times New Roman" w:hAnsi="Times New Roman" w:cs="Times New Roman"/>
                <w:b/>
                <w:bCs/>
                <w:color w:val="000000"/>
              </w:rPr>
              <w:t>Average Small Entity Cost ($)</w:t>
            </w:r>
            <w:r w:rsidR="00CA2C5F">
              <w:rPr>
                <w:rFonts w:ascii="Times New Roman" w:hAnsi="Times New Roman" w:cs="Times New Roman"/>
                <w:b/>
                <w:bCs/>
                <w:color w:val="000000"/>
              </w:rPr>
              <w:t>*</w:t>
            </w:r>
          </w:p>
        </w:tc>
        <w:tc>
          <w:tcPr>
            <w:tcW w:w="1005" w:type="pc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482F0B" w:rsidRPr="00882B99" w14:paraId="50ABA72B" w14:textId="77777777">
            <w:pPr>
              <w:spacing w:after="0" w:line="240" w:lineRule="auto"/>
              <w:jc w:val="center"/>
              <w:rPr>
                <w:rFonts w:ascii="Times New Roman" w:hAnsi="Times New Roman" w:cs="Times New Roman"/>
                <w:b/>
                <w:bCs/>
                <w:color w:val="000000"/>
              </w:rPr>
            </w:pPr>
            <w:r w:rsidRPr="00882B99">
              <w:rPr>
                <w:rFonts w:ascii="Times New Roman" w:hAnsi="Times New Roman" w:cs="Times New Roman"/>
                <w:b/>
                <w:bCs/>
                <w:color w:val="000000"/>
              </w:rPr>
              <w:t>Average Small Entity Revenue</w:t>
            </w:r>
            <w:r w:rsidR="00F5093E">
              <w:rPr>
                <w:rFonts w:ascii="Times New Roman" w:hAnsi="Times New Roman" w:cs="Times New Roman"/>
                <w:b/>
                <w:bCs/>
                <w:color w:val="000000"/>
              </w:rPr>
              <w:t>*</w:t>
            </w:r>
          </w:p>
        </w:tc>
      </w:tr>
      <w:tr w14:paraId="35A46F56" w14:textId="77777777" w:rsidTr="00501F14">
        <w:tblPrEx>
          <w:tblW w:w="4163" w:type="pct"/>
          <w:jc w:val="center"/>
          <w:tblLayout w:type="fixed"/>
          <w:tblCellMar>
            <w:left w:w="0" w:type="dxa"/>
            <w:right w:w="0" w:type="dxa"/>
          </w:tblCellMar>
          <w:tblLook w:val="04A0"/>
        </w:tblPrEx>
        <w:trPr>
          <w:trHeight w:val="310"/>
          <w:jc w:val="center"/>
        </w:trPr>
        <w:tc>
          <w:tcPr>
            <w:tcW w:w="97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82F0B" w:rsidRPr="00882B99" w14:paraId="79DDACD1" w14:textId="77777777">
            <w:pPr>
              <w:spacing w:after="0" w:line="240" w:lineRule="auto"/>
              <w:jc w:val="right"/>
              <w:rPr>
                <w:rFonts w:ascii="Times New Roman" w:hAnsi="Times New Roman" w:cs="Times New Roman"/>
                <w:sz w:val="20"/>
                <w:szCs w:val="20"/>
              </w:rPr>
            </w:pPr>
            <w:r w:rsidRPr="00882B99">
              <w:rPr>
                <w:rFonts w:ascii="Times New Roman" w:hAnsi="Times New Roman" w:cs="Times New Roman"/>
                <w:color w:val="000000"/>
                <w:sz w:val="20"/>
                <w:szCs w:val="20"/>
              </w:rPr>
              <w:t>&lt; 1%</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2F0B" w:rsidRPr="00882B99" w:rsidP="00501F14" w14:paraId="483BD88B" w14:textId="77777777">
            <w:pPr>
              <w:spacing w:after="0" w:line="240" w:lineRule="auto"/>
              <w:jc w:val="right"/>
              <w:rPr>
                <w:rFonts w:ascii="Times New Roman" w:hAnsi="Times New Roman" w:cs="Times New Roman"/>
                <w:sz w:val="20"/>
                <w:szCs w:val="20"/>
              </w:rPr>
            </w:pPr>
            <w:r w:rsidRPr="00882B99">
              <w:rPr>
                <w:rFonts w:ascii="Times New Roman" w:hAnsi="Times New Roman" w:cs="Times New Roman"/>
                <w:sz w:val="20"/>
                <w:szCs w:val="20"/>
              </w:rPr>
              <w:t>2,</w:t>
            </w:r>
            <w:r w:rsidRPr="002528D9" w:rsidR="00ED3F3C">
              <w:rPr>
                <w:rFonts w:ascii="Times New Roman" w:hAnsi="Times New Roman" w:cs="Times New Roman"/>
                <w:sz w:val="20"/>
                <w:szCs w:val="20"/>
              </w:rPr>
              <w:t>128</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2F0B" w:rsidRPr="00882B99" w:rsidP="00501F14" w14:paraId="3AEF27D6" w14:textId="77777777">
            <w:pPr>
              <w:spacing w:after="0" w:line="240" w:lineRule="auto"/>
              <w:jc w:val="right"/>
              <w:rPr>
                <w:rFonts w:ascii="Times New Roman" w:hAnsi="Times New Roman" w:cs="Times New Roman"/>
                <w:sz w:val="20"/>
                <w:szCs w:val="20"/>
              </w:rPr>
            </w:pPr>
            <w:r w:rsidRPr="002528D9">
              <w:rPr>
                <w:rFonts w:ascii="Times New Roman" w:hAnsi="Times New Roman" w:cs="Times New Roman"/>
                <w:sz w:val="20"/>
                <w:szCs w:val="20"/>
              </w:rPr>
              <w:t>94.0%</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2F0B" w:rsidRPr="009B509F" w:rsidP="00501F14" w14:paraId="03D80055" w14:textId="77777777">
            <w:pPr>
              <w:keepNext/>
              <w:spacing w:after="0" w:line="240" w:lineRule="auto"/>
              <w:jc w:val="right"/>
              <w:rPr>
                <w:rFonts w:ascii="Times New Roman" w:hAnsi="Times New Roman" w:cs="Times New Roman"/>
                <w:sz w:val="20"/>
                <w:szCs w:val="20"/>
              </w:rPr>
            </w:pPr>
            <w:r w:rsidRPr="009B509F">
              <w:rPr>
                <w:rFonts w:ascii="Times New Roman" w:hAnsi="Times New Roman" w:cs="Times New Roman"/>
                <w:sz w:val="20"/>
                <w:szCs w:val="20"/>
              </w:rPr>
              <w:t xml:space="preserve"> $80,820 </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2F0B" w:rsidRPr="00A1547D" w:rsidP="00501F14" w14:paraId="10916A37" w14:textId="77777777">
            <w:pPr>
              <w:spacing w:after="0" w:line="240" w:lineRule="auto"/>
              <w:jc w:val="right"/>
              <w:rPr>
                <w:rFonts w:ascii="Times New Roman" w:hAnsi="Times New Roman" w:cs="Times New Roman"/>
                <w:sz w:val="20"/>
                <w:szCs w:val="20"/>
                <w:highlight w:val="yellow"/>
              </w:rPr>
            </w:pPr>
            <w:r w:rsidRPr="002528D9">
              <w:rPr>
                <w:rFonts w:ascii="Times New Roman" w:hAnsi="Times New Roman" w:cs="Times New Roman"/>
                <w:sz w:val="20"/>
                <w:szCs w:val="20"/>
              </w:rPr>
              <w:t xml:space="preserve"> $162,812,788 </w:t>
            </w:r>
          </w:p>
        </w:tc>
      </w:tr>
      <w:tr w14:paraId="66439EAD" w14:textId="77777777" w:rsidTr="00501F14">
        <w:tblPrEx>
          <w:tblW w:w="4163" w:type="pct"/>
          <w:jc w:val="center"/>
          <w:tblLayout w:type="fixed"/>
          <w:tblCellMar>
            <w:left w:w="0" w:type="dxa"/>
            <w:right w:w="0" w:type="dxa"/>
          </w:tblCellMar>
          <w:tblLook w:val="04A0"/>
        </w:tblPrEx>
        <w:trPr>
          <w:trHeight w:val="320"/>
          <w:jc w:val="center"/>
        </w:trPr>
        <w:tc>
          <w:tcPr>
            <w:tcW w:w="97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82F0B" w:rsidRPr="00882B99" w14:paraId="0050084B" w14:textId="77777777">
            <w:pPr>
              <w:spacing w:after="0" w:line="240" w:lineRule="auto"/>
              <w:jc w:val="right"/>
              <w:rPr>
                <w:rFonts w:ascii="Times New Roman" w:hAnsi="Times New Roman" w:cs="Times New Roman"/>
                <w:sz w:val="20"/>
                <w:szCs w:val="20"/>
              </w:rPr>
            </w:pPr>
            <w:r w:rsidRPr="00882B99">
              <w:rPr>
                <w:rFonts w:ascii="Times New Roman" w:hAnsi="Times New Roman" w:cs="Times New Roman"/>
                <w:color w:val="000000"/>
                <w:sz w:val="20"/>
                <w:szCs w:val="20"/>
              </w:rPr>
              <w:t>1% - 3%</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2F0B" w:rsidRPr="00882B99" w:rsidP="00501F14" w14:paraId="195AD4C1" w14:textId="77777777">
            <w:pPr>
              <w:spacing w:after="0" w:line="240" w:lineRule="auto"/>
              <w:jc w:val="right"/>
              <w:rPr>
                <w:rFonts w:ascii="Times New Roman" w:hAnsi="Times New Roman" w:cs="Times New Roman"/>
                <w:sz w:val="20"/>
                <w:szCs w:val="20"/>
              </w:rPr>
            </w:pPr>
            <w:r w:rsidRPr="002528D9">
              <w:rPr>
                <w:rFonts w:ascii="Times New Roman" w:hAnsi="Times New Roman" w:cs="Times New Roman"/>
                <w:sz w:val="20"/>
                <w:szCs w:val="20"/>
              </w:rPr>
              <w:t>92</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2F0B" w:rsidRPr="00882B99" w:rsidP="00501F14" w14:paraId="4CA0A9BC" w14:textId="77777777">
            <w:pPr>
              <w:spacing w:after="0" w:line="240" w:lineRule="auto"/>
              <w:jc w:val="right"/>
              <w:rPr>
                <w:rFonts w:ascii="Times New Roman" w:hAnsi="Times New Roman" w:cs="Times New Roman"/>
                <w:sz w:val="20"/>
                <w:szCs w:val="20"/>
              </w:rPr>
            </w:pPr>
            <w:r w:rsidRPr="002528D9">
              <w:rPr>
                <w:rFonts w:ascii="Times New Roman" w:hAnsi="Times New Roman" w:cs="Times New Roman"/>
                <w:sz w:val="20"/>
                <w:szCs w:val="20"/>
              </w:rPr>
              <w:t>4.1</w:t>
            </w:r>
            <w:r w:rsidRPr="00882B99">
              <w:rPr>
                <w:rFonts w:ascii="Times New Roman" w:hAnsi="Times New Roman" w:cs="Times New Roman"/>
                <w:sz w:val="20"/>
                <w:szCs w:val="20"/>
              </w:rPr>
              <w:t>%</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2F0B" w:rsidRPr="009B509F" w:rsidP="00501F14" w14:paraId="4A9C6D4A" w14:textId="77777777">
            <w:pPr>
              <w:keepNext/>
              <w:spacing w:after="0" w:line="240" w:lineRule="auto"/>
              <w:jc w:val="right"/>
              <w:rPr>
                <w:rFonts w:ascii="Times New Roman" w:hAnsi="Times New Roman" w:cs="Times New Roman"/>
                <w:sz w:val="20"/>
                <w:szCs w:val="20"/>
              </w:rPr>
            </w:pPr>
            <w:r w:rsidRPr="009B509F">
              <w:rPr>
                <w:rFonts w:ascii="Times New Roman" w:hAnsi="Times New Roman" w:cs="Times New Roman"/>
                <w:sz w:val="20"/>
                <w:szCs w:val="20"/>
              </w:rPr>
              <w:t xml:space="preserve"> $382,763 </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2F0B" w:rsidRPr="00A1547D" w:rsidP="00501F14" w14:paraId="6E1993AF" w14:textId="77777777">
            <w:pPr>
              <w:spacing w:after="0" w:line="240" w:lineRule="auto"/>
              <w:jc w:val="right"/>
              <w:rPr>
                <w:rFonts w:ascii="Times New Roman" w:hAnsi="Times New Roman" w:cs="Times New Roman"/>
                <w:sz w:val="20"/>
                <w:szCs w:val="20"/>
                <w:highlight w:val="yellow"/>
              </w:rPr>
            </w:pPr>
            <w:r w:rsidRPr="002528D9">
              <w:rPr>
                <w:rFonts w:ascii="Times New Roman" w:hAnsi="Times New Roman" w:cs="Times New Roman"/>
                <w:sz w:val="20"/>
                <w:szCs w:val="20"/>
              </w:rPr>
              <w:t xml:space="preserve"> $23,460,790 </w:t>
            </w:r>
          </w:p>
        </w:tc>
      </w:tr>
      <w:tr w14:paraId="0893AA44" w14:textId="77777777" w:rsidTr="00501F14">
        <w:tblPrEx>
          <w:tblW w:w="4163" w:type="pct"/>
          <w:jc w:val="center"/>
          <w:tblLayout w:type="fixed"/>
          <w:tblCellMar>
            <w:left w:w="0" w:type="dxa"/>
            <w:right w:w="0" w:type="dxa"/>
          </w:tblCellMar>
          <w:tblLook w:val="04A0"/>
        </w:tblPrEx>
        <w:trPr>
          <w:trHeight w:val="320"/>
          <w:jc w:val="center"/>
        </w:trPr>
        <w:tc>
          <w:tcPr>
            <w:tcW w:w="97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rsidR="00482F0B" w:rsidRPr="00882B99" w14:paraId="4B2B47A9" w14:textId="77777777">
            <w:pPr>
              <w:spacing w:after="0" w:line="240" w:lineRule="auto"/>
              <w:jc w:val="right"/>
              <w:rPr>
                <w:rFonts w:ascii="Times New Roman" w:hAnsi="Times New Roman" w:cs="Times New Roman"/>
                <w:color w:val="000000"/>
                <w:sz w:val="20"/>
                <w:szCs w:val="20"/>
              </w:rPr>
            </w:pPr>
            <w:r w:rsidRPr="00882B99">
              <w:rPr>
                <w:rFonts w:ascii="Times New Roman" w:hAnsi="Times New Roman" w:cs="Times New Roman"/>
                <w:color w:val="000000"/>
                <w:sz w:val="20"/>
                <w:szCs w:val="20"/>
              </w:rPr>
              <w:t>Total &gt;3%</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882B99" w:rsidP="00501F14" w14:paraId="5668FF0D" w14:textId="77777777">
            <w:pPr>
              <w:spacing w:after="0" w:line="240" w:lineRule="auto"/>
              <w:jc w:val="right"/>
              <w:rPr>
                <w:rFonts w:ascii="Times New Roman" w:hAnsi="Times New Roman" w:cs="Times New Roman"/>
                <w:sz w:val="20"/>
                <w:szCs w:val="20"/>
              </w:rPr>
            </w:pPr>
            <w:r w:rsidRPr="002528D9">
              <w:rPr>
                <w:rFonts w:ascii="Times New Roman" w:hAnsi="Times New Roman" w:cs="Times New Roman"/>
                <w:sz w:val="20"/>
                <w:szCs w:val="20"/>
              </w:rPr>
              <w:t>43</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882B99" w:rsidP="00501F14" w14:paraId="150D7BB4" w14:textId="7777777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w:t>
            </w:r>
            <w:r w:rsidRPr="002528D9" w:rsidR="00ED3F3C">
              <w:rPr>
                <w:rFonts w:ascii="Times New Roman" w:hAnsi="Times New Roman" w:cs="Times New Roman"/>
                <w:sz w:val="20"/>
                <w:szCs w:val="20"/>
              </w:rPr>
              <w:t>9</w:t>
            </w:r>
            <w:r w:rsidRPr="00882B99">
              <w:rPr>
                <w:rFonts w:ascii="Times New Roman" w:hAnsi="Times New Roman" w:cs="Times New Roman"/>
                <w:sz w:val="20"/>
                <w:szCs w:val="20"/>
              </w:rPr>
              <w:t>%</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B509F" w:rsidP="00501F14" w14:paraId="414F6409" w14:textId="77777777">
            <w:pPr>
              <w:keepNext/>
              <w:spacing w:after="0" w:line="240" w:lineRule="auto"/>
              <w:jc w:val="right"/>
              <w:rPr>
                <w:rFonts w:ascii="Times New Roman" w:hAnsi="Times New Roman" w:cs="Times New Roman"/>
                <w:sz w:val="20"/>
                <w:szCs w:val="20"/>
              </w:rPr>
            </w:pPr>
            <w:r w:rsidRPr="009B509F">
              <w:rPr>
                <w:rFonts w:ascii="Times New Roman" w:hAnsi="Times New Roman" w:cs="Times New Roman"/>
                <w:sz w:val="20"/>
                <w:szCs w:val="20"/>
              </w:rPr>
              <w:t xml:space="preserve"> $590,327 </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A1547D" w:rsidP="00501F14" w14:paraId="1DBD773A" w14:textId="77777777">
            <w:pPr>
              <w:spacing w:after="0" w:line="240" w:lineRule="auto"/>
              <w:jc w:val="right"/>
              <w:rPr>
                <w:rFonts w:ascii="Times New Roman" w:hAnsi="Times New Roman" w:cs="Times New Roman"/>
                <w:sz w:val="20"/>
                <w:szCs w:val="20"/>
                <w:highlight w:val="yellow"/>
              </w:rPr>
            </w:pPr>
            <w:r w:rsidRPr="002528D9">
              <w:rPr>
                <w:rFonts w:ascii="Times New Roman" w:hAnsi="Times New Roman" w:cs="Times New Roman"/>
                <w:sz w:val="20"/>
                <w:szCs w:val="20"/>
              </w:rPr>
              <w:t xml:space="preserve"> $5,800,884 </w:t>
            </w:r>
          </w:p>
        </w:tc>
      </w:tr>
      <w:tr w14:paraId="16791CE6" w14:textId="77777777" w:rsidTr="00501F14">
        <w:tblPrEx>
          <w:tblW w:w="4163" w:type="pct"/>
          <w:jc w:val="center"/>
          <w:tblLayout w:type="fixed"/>
          <w:tblCellMar>
            <w:left w:w="0" w:type="dxa"/>
            <w:right w:w="0" w:type="dxa"/>
          </w:tblCellMar>
          <w:tblLook w:val="04A0"/>
        </w:tblPrEx>
        <w:trPr>
          <w:trHeight w:val="320"/>
          <w:jc w:val="center"/>
        </w:trPr>
        <w:tc>
          <w:tcPr>
            <w:tcW w:w="97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rsidR="00482F0B" w:rsidRPr="00882B99" w14:paraId="23F79D0A" w14:textId="77777777">
            <w:pPr>
              <w:spacing w:after="0" w:line="240" w:lineRule="auto"/>
              <w:jc w:val="right"/>
              <w:rPr>
                <w:rFonts w:ascii="Times New Roman" w:hAnsi="Times New Roman" w:cs="Times New Roman"/>
                <w:color w:val="000000"/>
                <w:sz w:val="20"/>
                <w:szCs w:val="20"/>
              </w:rPr>
            </w:pPr>
            <w:r w:rsidRPr="00882B99">
              <w:rPr>
                <w:rFonts w:ascii="Times New Roman" w:hAnsi="Times New Roman" w:cs="Times New Roman"/>
                <w:color w:val="000000"/>
                <w:sz w:val="20"/>
                <w:szCs w:val="20"/>
              </w:rPr>
              <w:t xml:space="preserve">Total &gt;3% without </w:t>
            </w:r>
            <w:r w:rsidR="00715157">
              <w:rPr>
                <w:rFonts w:ascii="Times New Roman" w:hAnsi="Times New Roman" w:cs="Times New Roman"/>
                <w:color w:val="000000"/>
                <w:sz w:val="20"/>
                <w:szCs w:val="20"/>
              </w:rPr>
              <w:t xml:space="preserve">HF </w:t>
            </w:r>
            <w:r w:rsidR="00D147A0">
              <w:rPr>
                <w:rFonts w:ascii="Times New Roman" w:hAnsi="Times New Roman" w:cs="Times New Roman"/>
                <w:color w:val="000000"/>
                <w:sz w:val="20"/>
                <w:szCs w:val="20"/>
              </w:rPr>
              <w:t>Alkylation</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5731F" w:rsidP="00501F14" w14:paraId="6D505428" w14:textId="77777777">
            <w:pPr>
              <w:spacing w:after="0" w:line="240" w:lineRule="auto"/>
              <w:jc w:val="right"/>
              <w:rPr>
                <w:rFonts w:ascii="Times New Roman" w:hAnsi="Times New Roman" w:cs="Times New Roman"/>
                <w:sz w:val="20"/>
                <w:szCs w:val="20"/>
              </w:rPr>
            </w:pPr>
            <w:r w:rsidRPr="0095731F">
              <w:rPr>
                <w:rFonts w:ascii="Times New Roman" w:hAnsi="Times New Roman" w:cs="Times New Roman"/>
                <w:sz w:val="20"/>
                <w:szCs w:val="20"/>
              </w:rPr>
              <w:t>42</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95731F" w:rsidP="00501F14" w14:paraId="3DB98655" w14:textId="77777777">
            <w:pPr>
              <w:spacing w:after="0" w:line="240" w:lineRule="auto"/>
              <w:jc w:val="right"/>
              <w:rPr>
                <w:rFonts w:ascii="Times New Roman" w:hAnsi="Times New Roman" w:cs="Times New Roman"/>
                <w:sz w:val="20"/>
                <w:szCs w:val="20"/>
              </w:rPr>
            </w:pPr>
            <w:r w:rsidRPr="0095731F">
              <w:rPr>
                <w:rFonts w:ascii="Times New Roman" w:hAnsi="Times New Roman" w:cs="Times New Roman"/>
                <w:sz w:val="20"/>
                <w:szCs w:val="20"/>
              </w:rPr>
              <w:t>1.9%</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FC6AAD" w:rsidP="00501F14" w14:paraId="116331D7" w14:textId="77777777">
            <w:pPr>
              <w:keepNext/>
              <w:spacing w:after="0" w:line="240" w:lineRule="auto"/>
              <w:jc w:val="right"/>
              <w:rPr>
                <w:rFonts w:ascii="Times New Roman" w:hAnsi="Times New Roman" w:cs="Times New Roman"/>
                <w:sz w:val="20"/>
                <w:szCs w:val="20"/>
              </w:rPr>
            </w:pPr>
            <w:bookmarkStart w:id="569" w:name="_Hlk144153961"/>
            <w:r w:rsidRPr="009B509F">
              <w:rPr>
                <w:rFonts w:ascii="Times New Roman" w:hAnsi="Times New Roman" w:cs="Times New Roman"/>
                <w:sz w:val="20"/>
                <w:szCs w:val="20"/>
              </w:rPr>
              <w:t xml:space="preserve"> $279,599 </w:t>
            </w:r>
            <w:bookmarkEnd w:id="569"/>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FC6AAD" w:rsidP="00501F14" w14:paraId="257BB91C" w14:textId="77777777">
            <w:pPr>
              <w:spacing w:after="0" w:line="240" w:lineRule="auto"/>
              <w:jc w:val="right"/>
              <w:rPr>
                <w:rFonts w:ascii="Times New Roman" w:hAnsi="Times New Roman" w:cs="Times New Roman"/>
                <w:sz w:val="20"/>
                <w:szCs w:val="20"/>
              </w:rPr>
            </w:pPr>
            <w:r w:rsidRPr="00FC6AAD">
              <w:rPr>
                <w:rFonts w:ascii="Times New Roman" w:hAnsi="Times New Roman" w:cs="Times New Roman"/>
                <w:sz w:val="20"/>
                <w:szCs w:val="20"/>
              </w:rPr>
              <w:t xml:space="preserve"> $5,181,077 </w:t>
            </w:r>
          </w:p>
        </w:tc>
      </w:tr>
      <w:tr w14:paraId="2C86DAE0" w14:textId="77777777" w:rsidTr="00501F14">
        <w:tblPrEx>
          <w:tblW w:w="4163" w:type="pct"/>
          <w:jc w:val="center"/>
          <w:tblLayout w:type="fixed"/>
          <w:tblCellMar>
            <w:left w:w="0" w:type="dxa"/>
            <w:right w:w="0" w:type="dxa"/>
          </w:tblCellMar>
          <w:tblLook w:val="04A0"/>
        </w:tblPrEx>
        <w:trPr>
          <w:trHeight w:val="320"/>
          <w:jc w:val="center"/>
        </w:trPr>
        <w:tc>
          <w:tcPr>
            <w:tcW w:w="97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rsidR="00482F0B" w:rsidRPr="00882B99" w14:paraId="3F566019" w14:textId="77777777">
            <w:pPr>
              <w:spacing w:after="0" w:line="240" w:lineRule="auto"/>
              <w:jc w:val="right"/>
              <w:rPr>
                <w:rFonts w:ascii="Times New Roman" w:hAnsi="Times New Roman" w:cs="Times New Roman"/>
                <w:sz w:val="20"/>
                <w:szCs w:val="20"/>
              </w:rPr>
            </w:pPr>
            <w:r w:rsidRPr="00882B99">
              <w:rPr>
                <w:rFonts w:ascii="Times New Roman" w:hAnsi="Times New Roman" w:cs="Times New Roman"/>
                <w:color w:val="000000"/>
                <w:sz w:val="20"/>
                <w:szCs w:val="20"/>
              </w:rPr>
              <w:t>Small entity with HF Alkylation</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E8249C" w:rsidP="00501F14" w14:paraId="6FB16FED" w14:textId="77777777">
            <w:pPr>
              <w:spacing w:after="0" w:line="240" w:lineRule="auto"/>
              <w:jc w:val="right"/>
              <w:rPr>
                <w:rFonts w:ascii="Times New Roman" w:hAnsi="Times New Roman" w:cs="Times New Roman"/>
                <w:sz w:val="20"/>
                <w:szCs w:val="20"/>
              </w:rPr>
            </w:pPr>
            <w:r w:rsidRPr="00E8249C">
              <w:rPr>
                <w:rFonts w:ascii="Times New Roman" w:hAnsi="Times New Roman" w:cs="Times New Roman"/>
                <w:sz w:val="20"/>
                <w:szCs w:val="20"/>
              </w:rPr>
              <w:t>1</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E8249C" w:rsidP="00501F14" w14:paraId="051FD6EE" w14:textId="77777777">
            <w:pPr>
              <w:spacing w:after="0" w:line="240" w:lineRule="auto"/>
              <w:jc w:val="right"/>
              <w:rPr>
                <w:rFonts w:ascii="Times New Roman" w:hAnsi="Times New Roman" w:cs="Times New Roman"/>
                <w:sz w:val="20"/>
                <w:szCs w:val="20"/>
              </w:rPr>
            </w:pPr>
            <w:r w:rsidRPr="00E8249C">
              <w:rPr>
                <w:rFonts w:ascii="Times New Roman" w:hAnsi="Times New Roman" w:cs="Times New Roman"/>
                <w:sz w:val="20"/>
                <w:szCs w:val="20"/>
              </w:rPr>
              <w:t>0.04%</w:t>
            </w:r>
          </w:p>
        </w:tc>
        <w:tc>
          <w:tcPr>
            <w:tcW w:w="100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FC6AAD" w:rsidP="00501F14" w14:paraId="31851771" w14:textId="77777777">
            <w:pPr>
              <w:keepNext/>
              <w:spacing w:after="0" w:line="240" w:lineRule="auto"/>
              <w:jc w:val="right"/>
              <w:rPr>
                <w:rFonts w:ascii="Times New Roman" w:hAnsi="Times New Roman" w:cs="Times New Roman"/>
                <w:sz w:val="20"/>
                <w:szCs w:val="20"/>
              </w:rPr>
            </w:pPr>
            <w:r w:rsidRPr="009B509F">
              <w:rPr>
                <w:rFonts w:ascii="Times New Roman" w:hAnsi="Times New Roman" w:cs="Times New Roman"/>
                <w:sz w:val="20"/>
                <w:szCs w:val="20"/>
              </w:rPr>
              <w:t xml:space="preserve"> $7,292,953 </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482F0B" w:rsidRPr="00FC6AAD" w:rsidP="00501F14" w14:paraId="59E11F9E" w14:textId="77777777">
            <w:pPr>
              <w:spacing w:after="0" w:line="240" w:lineRule="auto"/>
              <w:jc w:val="right"/>
              <w:rPr>
                <w:rFonts w:ascii="Times New Roman" w:hAnsi="Times New Roman" w:cs="Times New Roman"/>
                <w:sz w:val="20"/>
                <w:szCs w:val="20"/>
              </w:rPr>
            </w:pPr>
            <w:r w:rsidRPr="00FC6AAD">
              <w:rPr>
                <w:rFonts w:ascii="Times New Roman" w:hAnsi="Times New Roman" w:cs="Times New Roman"/>
                <w:sz w:val="20"/>
                <w:szCs w:val="20"/>
              </w:rPr>
              <w:t xml:space="preserve"> $19,900,000 </w:t>
            </w:r>
          </w:p>
        </w:tc>
      </w:tr>
    </w:tbl>
    <w:p w:rsidR="002319D8" w:rsidRPr="00C55491" w:rsidP="003C24D0" w14:paraId="4C877B1F" w14:textId="77777777">
      <w:pPr>
        <w:spacing w:after="0" w:line="240" w:lineRule="auto"/>
        <w:rPr>
          <w:rFonts w:ascii="Times New Roman" w:hAnsi="Times New Roman" w:cs="Times New Roman"/>
          <w:sz w:val="18"/>
          <w:szCs w:val="18"/>
        </w:rPr>
      </w:pPr>
      <w:bookmarkStart w:id="570" w:name="_Hlk141710078"/>
      <w:r w:rsidRPr="00C55491">
        <w:rPr>
          <w:rFonts w:ascii="Times New Roman" w:hAnsi="Times New Roman" w:cs="Times New Roman"/>
          <w:sz w:val="18"/>
          <w:szCs w:val="18"/>
        </w:rPr>
        <w:t xml:space="preserve">* For entities that are determined by revenue, the average small entity cost and revenue are considerably lower </w:t>
      </w:r>
      <w:bookmarkEnd w:id="570"/>
      <w:r w:rsidRPr="00C55491">
        <w:rPr>
          <w:rFonts w:ascii="Times New Roman" w:hAnsi="Times New Roman" w:cs="Times New Roman"/>
          <w:sz w:val="18"/>
          <w:szCs w:val="18"/>
        </w:rPr>
        <w:t>($</w:t>
      </w:r>
      <w:r w:rsidR="0027553D">
        <w:rPr>
          <w:rFonts w:ascii="Times New Roman" w:hAnsi="Times New Roman" w:cs="Times New Roman"/>
          <w:sz w:val="18"/>
          <w:szCs w:val="18"/>
        </w:rPr>
        <w:t>72</w:t>
      </w:r>
      <w:r w:rsidRPr="00C55491">
        <w:rPr>
          <w:rFonts w:ascii="Times New Roman" w:hAnsi="Times New Roman" w:cs="Times New Roman"/>
          <w:sz w:val="18"/>
          <w:szCs w:val="18"/>
        </w:rPr>
        <w:t>.5</w:t>
      </w:r>
      <w:r w:rsidR="009B6124">
        <w:rPr>
          <w:rFonts w:ascii="Times New Roman" w:hAnsi="Times New Roman" w:cs="Times New Roman"/>
          <w:sz w:val="18"/>
          <w:szCs w:val="18"/>
        </w:rPr>
        <w:t>00</w:t>
      </w:r>
      <w:r w:rsidRPr="00C55491">
        <w:rPr>
          <w:rFonts w:ascii="Times New Roman" w:hAnsi="Times New Roman" w:cs="Times New Roman"/>
          <w:sz w:val="18"/>
          <w:szCs w:val="18"/>
        </w:rPr>
        <w:t xml:space="preserve"> and $</w:t>
      </w:r>
      <w:r>
        <w:rPr>
          <w:rFonts w:ascii="Times New Roman" w:hAnsi="Times New Roman" w:cs="Times New Roman"/>
          <w:sz w:val="18"/>
          <w:szCs w:val="18"/>
        </w:rPr>
        <w:t>8.7</w:t>
      </w:r>
      <w:r w:rsidRPr="00C55491">
        <w:rPr>
          <w:rFonts w:ascii="Times New Roman" w:hAnsi="Times New Roman" w:cs="Times New Roman"/>
          <w:sz w:val="18"/>
          <w:szCs w:val="18"/>
        </w:rPr>
        <w:t xml:space="preserve"> million, respectively)</w:t>
      </w:r>
      <w:r w:rsidR="009B6124">
        <w:rPr>
          <w:rFonts w:ascii="Times New Roman" w:hAnsi="Times New Roman" w:cs="Times New Roman"/>
          <w:sz w:val="18"/>
          <w:szCs w:val="18"/>
        </w:rPr>
        <w:t>.</w:t>
      </w:r>
    </w:p>
    <w:p w:rsidR="005C0452" w:rsidP="00843847" w14:paraId="048B3380" w14:textId="77777777">
      <w:pPr>
        <w:spacing w:after="0"/>
        <w:ind w:right="617"/>
        <w:rPr>
          <w:rFonts w:ascii="Times New Roman" w:hAnsi="Times New Roman"/>
        </w:rPr>
      </w:pPr>
    </w:p>
    <w:p w:rsidR="005C0452" w14:paraId="6B4363CE" w14:textId="77777777">
      <w:pPr>
        <w:rPr>
          <w:rFonts w:ascii="Times New Roman" w:hAnsi="Times New Roman"/>
        </w:rPr>
      </w:pPr>
      <w:r>
        <w:rPr>
          <w:rFonts w:ascii="Times New Roman" w:hAnsi="Times New Roman"/>
        </w:rPr>
        <w:br w:type="page"/>
      </w:r>
    </w:p>
    <w:p w:rsidR="00BF1666" w:rsidP="00156146" w14:paraId="1358B96B" w14:textId="77777777">
      <w:pPr>
        <w:pStyle w:val="Heading1"/>
        <w:sectPr w:rsidSect="005379A2">
          <w:footerReference w:type="default" r:id="rId31"/>
          <w:pgSz w:w="12240" w:h="15840"/>
          <w:pgMar w:top="1440" w:right="1440" w:bottom="1440" w:left="1440" w:header="720" w:footer="720" w:gutter="0"/>
          <w:cols w:space="720"/>
          <w:docGrid w:linePitch="360"/>
        </w:sectPr>
      </w:pPr>
    </w:p>
    <w:p w:rsidR="005C0452" w:rsidP="00956C6B" w14:paraId="4DCE00C8" w14:textId="77777777">
      <w:pPr>
        <w:pStyle w:val="Heading1"/>
      </w:pPr>
      <w:bookmarkStart w:id="571" w:name="_Toc144303632"/>
      <w:bookmarkStart w:id="572" w:name="_Hlk141787835"/>
      <w:r>
        <w:t xml:space="preserve">APPENDIX D: </w:t>
      </w:r>
      <w:r w:rsidR="0099472D">
        <w:t>STAA</w:t>
      </w:r>
      <w:r w:rsidRPr="00DD5B96" w:rsidR="00DD5B96">
        <w:t xml:space="preserve"> </w:t>
      </w:r>
      <w:r w:rsidR="00EB05CE">
        <w:t xml:space="preserve">Implementation Measure </w:t>
      </w:r>
      <w:r w:rsidRPr="00DD5B96" w:rsidR="00DD5B96">
        <w:t>Costs</w:t>
      </w:r>
      <w:bookmarkEnd w:id="571"/>
    </w:p>
    <w:bookmarkEnd w:id="572"/>
    <w:p w:rsidR="006E6EC7" w:rsidRPr="00E00A04" w:rsidP="006E6EC7" w14:paraId="7300DA5C" w14:textId="77777777">
      <w:pPr>
        <w:rPr>
          <w:rFonts w:ascii="Times New Roman" w:hAnsi="Times New Roman" w:cs="Times New Roman"/>
        </w:rPr>
      </w:pPr>
      <w:r w:rsidRPr="00E00A04">
        <w:rPr>
          <w:rFonts w:ascii="Times New Roman" w:hAnsi="Times New Roman" w:cs="Times New Roman"/>
        </w:rPr>
        <w:t xml:space="preserve">The below table </w:t>
      </w:r>
      <w:r>
        <w:rPr>
          <w:rFonts w:ascii="Times New Roman" w:hAnsi="Times New Roman" w:cs="Times New Roman"/>
        </w:rPr>
        <w:t xml:space="preserve">presents data used to develop the per measure costs used to estimate costs of STAA implementation. </w:t>
      </w:r>
      <w:r w:rsidR="0032607E">
        <w:rPr>
          <w:rFonts w:ascii="Times New Roman" w:hAnsi="Times New Roman" w:cs="Times New Roman"/>
        </w:rPr>
        <w:t xml:space="preserve">The “Sector” column presents the NAICS 324 or NAICS 325 sector that the data is applicable to. In some </w:t>
      </w:r>
      <w:r w:rsidR="00312224">
        <w:rPr>
          <w:rFonts w:ascii="Times New Roman" w:hAnsi="Times New Roman" w:cs="Times New Roman"/>
        </w:rPr>
        <w:t>cases,</w:t>
      </w:r>
      <w:r w:rsidR="0032607E">
        <w:rPr>
          <w:rFonts w:ascii="Times New Roman" w:hAnsi="Times New Roman" w:cs="Times New Roman"/>
        </w:rPr>
        <w:t xml:space="preserve"> this is a single sector based on the source of data providing information and cost data on a measure for the particular </w:t>
      </w:r>
      <w:r w:rsidR="008C68D4">
        <w:rPr>
          <w:rFonts w:ascii="Times New Roman" w:hAnsi="Times New Roman" w:cs="Times New Roman"/>
        </w:rPr>
        <w:t>sector</w:t>
      </w:r>
      <w:r w:rsidR="0032607E">
        <w:rPr>
          <w:rFonts w:ascii="Times New Roman" w:hAnsi="Times New Roman" w:cs="Times New Roman"/>
        </w:rPr>
        <w:t xml:space="preserve">. In other cases, when the sector could not be determined from the source, both sectors are considered. The “Measure” column contains a brief description of the measure, as best described in the source where the measure was identified. </w:t>
      </w:r>
      <w:r w:rsidR="00552922">
        <w:rPr>
          <w:rFonts w:ascii="Times New Roman" w:hAnsi="Times New Roman" w:cs="Times New Roman"/>
        </w:rPr>
        <w:t>“Capital Cost” and “Recurring Cost” fields present data converted to 2022 dollars as sources reported cost data in a variety of dollar years. Not all sources reported recurring costs and therefore some are left as “N/A”. In addition, some sources reported a range of capital costs and in those cases the range of original values are reported. EPA uses a mid-point when there was a range. The “Measure Identification Source” column indicates where the example measure was identified from with the following “Measure URL” column containing the source link. In some cases</w:t>
      </w:r>
      <w:r w:rsidR="00AA0331">
        <w:rPr>
          <w:rFonts w:ascii="Times New Roman" w:hAnsi="Times New Roman" w:cs="Times New Roman"/>
        </w:rPr>
        <w:t>,</w:t>
      </w:r>
      <w:r w:rsidR="00552922">
        <w:rPr>
          <w:rFonts w:ascii="Times New Roman" w:hAnsi="Times New Roman" w:cs="Times New Roman"/>
        </w:rPr>
        <w:t xml:space="preserve"> the name o</w:t>
      </w:r>
      <w:r w:rsidR="00C44AEC">
        <w:rPr>
          <w:rFonts w:ascii="Times New Roman" w:hAnsi="Times New Roman" w:cs="Times New Roman"/>
        </w:rPr>
        <w:t>f</w:t>
      </w:r>
      <w:r w:rsidR="00552922">
        <w:rPr>
          <w:rFonts w:ascii="Times New Roman" w:hAnsi="Times New Roman" w:cs="Times New Roman"/>
        </w:rPr>
        <w:t xml:space="preserve"> a measure was identified in this column but there was no accompanying cost data. In the “Notes on Measure Cost” column EPA presents additional links and notes, particularly when the measure identified has costs from a different source. </w:t>
      </w:r>
    </w:p>
    <w:tbl>
      <w:tblPr>
        <w:tblStyle w:val="TableGrid"/>
        <w:tblW w:w="15030" w:type="dxa"/>
        <w:tblInd w:w="-905" w:type="dxa"/>
        <w:tblLayout w:type="fixed"/>
        <w:tblLook w:val="04A0"/>
      </w:tblPr>
      <w:tblGrid>
        <w:gridCol w:w="900"/>
        <w:gridCol w:w="2160"/>
        <w:gridCol w:w="1260"/>
        <w:gridCol w:w="1260"/>
        <w:gridCol w:w="1260"/>
        <w:gridCol w:w="1170"/>
        <w:gridCol w:w="1260"/>
        <w:gridCol w:w="1710"/>
        <w:gridCol w:w="1440"/>
        <w:gridCol w:w="2610"/>
      </w:tblGrid>
      <w:tr w14:paraId="279AE70D" w14:textId="77777777" w:rsidTr="00D61804">
        <w:tblPrEx>
          <w:tblW w:w="15030" w:type="dxa"/>
          <w:tblInd w:w="-905" w:type="dxa"/>
          <w:tblLayout w:type="fixed"/>
          <w:tblLook w:val="04A0"/>
        </w:tblPrEx>
        <w:trPr>
          <w:tblHeader/>
        </w:trPr>
        <w:tc>
          <w:tcPr>
            <w:tcW w:w="900" w:type="dxa"/>
            <w:shd w:val="clear" w:color="auto" w:fill="D9D9D9" w:themeFill="background1" w:themeFillShade="D9"/>
            <w:vAlign w:val="center"/>
          </w:tcPr>
          <w:p w:rsidR="00AB3842" w:rsidRPr="00833BED" w14:paraId="02C5F63C" w14:textId="77777777">
            <w:pPr>
              <w:jc w:val="center"/>
              <w:rPr>
                <w:b/>
                <w:bCs/>
              </w:rPr>
            </w:pPr>
            <w:r w:rsidRPr="00833BED">
              <w:rPr>
                <w:b/>
                <w:bCs/>
              </w:rPr>
              <w:t>Sector</w:t>
            </w:r>
          </w:p>
        </w:tc>
        <w:tc>
          <w:tcPr>
            <w:tcW w:w="2160" w:type="dxa"/>
            <w:shd w:val="clear" w:color="auto" w:fill="D9D9D9" w:themeFill="background1" w:themeFillShade="D9"/>
            <w:vAlign w:val="center"/>
          </w:tcPr>
          <w:p w:rsidR="00AB3842" w:rsidRPr="00833BED" w14:paraId="7F84042E" w14:textId="77777777">
            <w:pPr>
              <w:jc w:val="center"/>
              <w:rPr>
                <w:b/>
                <w:bCs/>
              </w:rPr>
            </w:pPr>
            <w:r w:rsidRPr="00833BED">
              <w:rPr>
                <w:b/>
                <w:bCs/>
              </w:rPr>
              <w:t>Measure</w:t>
            </w:r>
          </w:p>
        </w:tc>
        <w:tc>
          <w:tcPr>
            <w:tcW w:w="1260" w:type="dxa"/>
            <w:shd w:val="clear" w:color="auto" w:fill="D9D9D9" w:themeFill="background1" w:themeFillShade="D9"/>
            <w:vAlign w:val="center"/>
          </w:tcPr>
          <w:p w:rsidR="00AB3842" w:rsidRPr="00833BED" w14:paraId="06A1553F" w14:textId="77777777">
            <w:pPr>
              <w:jc w:val="center"/>
              <w:rPr>
                <w:b/>
                <w:bCs/>
              </w:rPr>
            </w:pPr>
            <w:r w:rsidRPr="00833BED">
              <w:rPr>
                <w:b/>
                <w:bCs/>
              </w:rPr>
              <w:t>Capital Cost 2022 Dollars</w:t>
            </w:r>
          </w:p>
        </w:tc>
        <w:tc>
          <w:tcPr>
            <w:tcW w:w="1260" w:type="dxa"/>
            <w:shd w:val="clear" w:color="auto" w:fill="D9D9D9" w:themeFill="background1" w:themeFillShade="D9"/>
            <w:vAlign w:val="center"/>
          </w:tcPr>
          <w:p w:rsidR="00AB3842" w:rsidRPr="00833BED" w14:paraId="76501817" w14:textId="77777777">
            <w:pPr>
              <w:jc w:val="center"/>
              <w:rPr>
                <w:b/>
                <w:bCs/>
              </w:rPr>
            </w:pPr>
            <w:r w:rsidRPr="00833BED">
              <w:rPr>
                <w:b/>
                <w:bCs/>
              </w:rPr>
              <w:t xml:space="preserve">Recurring </w:t>
            </w:r>
            <w:r w:rsidR="00D41484">
              <w:rPr>
                <w:b/>
                <w:bCs/>
              </w:rPr>
              <w:t xml:space="preserve">Annual </w:t>
            </w:r>
            <w:r w:rsidRPr="00833BED">
              <w:rPr>
                <w:b/>
                <w:bCs/>
              </w:rPr>
              <w:t>Cost 2022 Dollars</w:t>
            </w:r>
          </w:p>
        </w:tc>
        <w:tc>
          <w:tcPr>
            <w:tcW w:w="1260" w:type="dxa"/>
            <w:shd w:val="clear" w:color="auto" w:fill="D9D9D9" w:themeFill="background1" w:themeFillShade="D9"/>
            <w:vAlign w:val="center"/>
          </w:tcPr>
          <w:p w:rsidR="00AB3842" w:rsidRPr="00833BED" w14:paraId="79B9321F" w14:textId="77777777">
            <w:pPr>
              <w:jc w:val="center"/>
              <w:rPr>
                <w:b/>
                <w:bCs/>
              </w:rPr>
            </w:pPr>
            <w:r w:rsidRPr="00833BED">
              <w:rPr>
                <w:b/>
                <w:bCs/>
              </w:rPr>
              <w:t>Recurring Cost as a % of Capital Cost</w:t>
            </w:r>
          </w:p>
        </w:tc>
        <w:tc>
          <w:tcPr>
            <w:tcW w:w="1170" w:type="dxa"/>
            <w:shd w:val="clear" w:color="auto" w:fill="D9D9D9" w:themeFill="background1" w:themeFillShade="D9"/>
            <w:vAlign w:val="center"/>
          </w:tcPr>
          <w:p w:rsidR="00AB3842" w:rsidRPr="00833BED" w14:paraId="50C4D48F" w14:textId="77777777">
            <w:pPr>
              <w:jc w:val="center"/>
              <w:rPr>
                <w:b/>
                <w:bCs/>
              </w:rPr>
            </w:pPr>
            <w:r w:rsidRPr="00833BED">
              <w:rPr>
                <w:b/>
                <w:bCs/>
              </w:rPr>
              <w:t>Minimum Capital Cost</w:t>
            </w:r>
          </w:p>
        </w:tc>
        <w:tc>
          <w:tcPr>
            <w:tcW w:w="1260" w:type="dxa"/>
            <w:shd w:val="clear" w:color="auto" w:fill="D9D9D9" w:themeFill="background1" w:themeFillShade="D9"/>
            <w:vAlign w:val="center"/>
          </w:tcPr>
          <w:p w:rsidR="00AB3842" w:rsidRPr="00833BED" w14:paraId="2A1B512F" w14:textId="77777777">
            <w:pPr>
              <w:jc w:val="center"/>
              <w:rPr>
                <w:b/>
                <w:bCs/>
              </w:rPr>
            </w:pPr>
            <w:r w:rsidRPr="00833BED">
              <w:rPr>
                <w:b/>
                <w:bCs/>
              </w:rPr>
              <w:t>Maximum Capital Cost</w:t>
            </w:r>
          </w:p>
        </w:tc>
        <w:tc>
          <w:tcPr>
            <w:tcW w:w="1710" w:type="dxa"/>
            <w:shd w:val="clear" w:color="auto" w:fill="D9D9D9" w:themeFill="background1" w:themeFillShade="D9"/>
            <w:vAlign w:val="center"/>
          </w:tcPr>
          <w:p w:rsidR="00AB3842" w:rsidRPr="00833BED" w14:paraId="75064CBE" w14:textId="77777777">
            <w:pPr>
              <w:jc w:val="center"/>
              <w:rPr>
                <w:b/>
                <w:bCs/>
              </w:rPr>
            </w:pPr>
            <w:r w:rsidRPr="00833BED">
              <w:rPr>
                <w:b/>
                <w:bCs/>
              </w:rPr>
              <w:t>Measure Identification Source</w:t>
            </w:r>
          </w:p>
        </w:tc>
        <w:tc>
          <w:tcPr>
            <w:tcW w:w="1440" w:type="dxa"/>
            <w:shd w:val="clear" w:color="auto" w:fill="D9D9D9" w:themeFill="background1" w:themeFillShade="D9"/>
            <w:vAlign w:val="center"/>
          </w:tcPr>
          <w:p w:rsidR="00AB3842" w:rsidRPr="00833BED" w14:paraId="0DBAF89B" w14:textId="77777777">
            <w:pPr>
              <w:jc w:val="center"/>
              <w:rPr>
                <w:b/>
                <w:bCs/>
              </w:rPr>
            </w:pPr>
            <w:r w:rsidRPr="00833BED">
              <w:rPr>
                <w:b/>
                <w:bCs/>
              </w:rPr>
              <w:t>Measure URL</w:t>
            </w:r>
          </w:p>
        </w:tc>
        <w:tc>
          <w:tcPr>
            <w:tcW w:w="2610" w:type="dxa"/>
            <w:shd w:val="clear" w:color="auto" w:fill="D9D9D9" w:themeFill="background1" w:themeFillShade="D9"/>
            <w:vAlign w:val="center"/>
          </w:tcPr>
          <w:p w:rsidR="00AB3842" w:rsidRPr="00833BED" w14:paraId="58E01538" w14:textId="77777777">
            <w:pPr>
              <w:jc w:val="center"/>
              <w:rPr>
                <w:b/>
                <w:bCs/>
              </w:rPr>
            </w:pPr>
            <w:r w:rsidRPr="00833BED">
              <w:rPr>
                <w:b/>
                <w:bCs/>
              </w:rPr>
              <w:t>Notes on Measure Cost</w:t>
            </w:r>
          </w:p>
        </w:tc>
      </w:tr>
      <w:tr w14:paraId="124559C7" w14:textId="77777777" w:rsidTr="00D61804">
        <w:tblPrEx>
          <w:tblW w:w="15030" w:type="dxa"/>
          <w:tblInd w:w="-905" w:type="dxa"/>
          <w:tblLayout w:type="fixed"/>
          <w:tblLook w:val="04A0"/>
        </w:tblPrEx>
        <w:tc>
          <w:tcPr>
            <w:tcW w:w="900" w:type="dxa"/>
          </w:tcPr>
          <w:p w:rsidR="00AB3842" w:rsidRPr="00833BED" w14:paraId="7C9EB22A" w14:textId="77777777">
            <w:r w:rsidRPr="00833BED">
              <w:t>324</w:t>
            </w:r>
          </w:p>
        </w:tc>
        <w:tc>
          <w:tcPr>
            <w:tcW w:w="2160" w:type="dxa"/>
          </w:tcPr>
          <w:p w:rsidR="00AB3842" w:rsidRPr="00833BED" w14:paraId="6F25EA4B" w14:textId="77777777">
            <w:r w:rsidRPr="00833BED">
              <w:t>Pressure vessel design</w:t>
            </w:r>
          </w:p>
        </w:tc>
        <w:tc>
          <w:tcPr>
            <w:tcW w:w="1260" w:type="dxa"/>
          </w:tcPr>
          <w:p w:rsidR="00AB3842" w:rsidRPr="00833BED" w14:paraId="1C9A34F6" w14:textId="77777777">
            <w:r w:rsidRPr="00833BED">
              <w:t xml:space="preserve">$550,000 </w:t>
            </w:r>
          </w:p>
        </w:tc>
        <w:tc>
          <w:tcPr>
            <w:tcW w:w="1260" w:type="dxa"/>
          </w:tcPr>
          <w:p w:rsidR="00AB3842" w:rsidRPr="00833BED" w14:paraId="62EE82A1" w14:textId="77777777">
            <w:r w:rsidRPr="00833BED">
              <w:t xml:space="preserve">$10,000 </w:t>
            </w:r>
          </w:p>
        </w:tc>
        <w:tc>
          <w:tcPr>
            <w:tcW w:w="1260" w:type="dxa"/>
          </w:tcPr>
          <w:p w:rsidR="00AB3842" w:rsidRPr="00833BED" w14:paraId="73163C58" w14:textId="77777777">
            <w:r w:rsidRPr="00833BED">
              <w:t>2%</w:t>
            </w:r>
          </w:p>
        </w:tc>
        <w:tc>
          <w:tcPr>
            <w:tcW w:w="1170" w:type="dxa"/>
          </w:tcPr>
          <w:p w:rsidR="00AB3842" w:rsidRPr="00833BED" w14:paraId="3715DE5A" w14:textId="77777777">
            <w:r w:rsidRPr="00833BED">
              <w:t xml:space="preserve">$100,000 </w:t>
            </w:r>
          </w:p>
        </w:tc>
        <w:tc>
          <w:tcPr>
            <w:tcW w:w="1260" w:type="dxa"/>
          </w:tcPr>
          <w:p w:rsidR="00AB3842" w:rsidRPr="00833BED" w14:paraId="5CFFE934" w14:textId="77777777">
            <w:r w:rsidRPr="00833BED">
              <w:t xml:space="preserve">$1,000,000 </w:t>
            </w:r>
          </w:p>
        </w:tc>
        <w:tc>
          <w:tcPr>
            <w:tcW w:w="1710" w:type="dxa"/>
          </w:tcPr>
          <w:p w:rsidR="00AB3842" w:rsidRPr="00833BED" w14:paraId="60A246CE" w14:textId="77777777">
            <w:r w:rsidRPr="00833BED">
              <w:t>PrimaTech</w:t>
            </w:r>
          </w:p>
        </w:tc>
        <w:tc>
          <w:tcPr>
            <w:tcW w:w="1440" w:type="dxa"/>
          </w:tcPr>
          <w:p w:rsidR="00AB3842" w:rsidRPr="00833BED" w14:paraId="4C8341A6" w14:textId="77777777">
            <w:hyperlink r:id="rId32" w:history="1">
              <w:r w:rsidRPr="008530DF" w:rsidR="00D07AB5">
                <w:rPr>
                  <w:rStyle w:val="Hyperlink"/>
                </w:rPr>
                <w:t>https://www.primatech.com/technical/safer-technologies-and-alternative-analysis</w:t>
              </w:r>
            </w:hyperlink>
            <w:r w:rsidR="00D07AB5">
              <w:t xml:space="preserve"> </w:t>
            </w:r>
          </w:p>
        </w:tc>
        <w:tc>
          <w:tcPr>
            <w:tcW w:w="2610" w:type="dxa"/>
          </w:tcPr>
          <w:p w:rsidR="00AB3842" w:rsidRPr="00833BED" w14:paraId="627A5DF6" w14:textId="77777777">
            <w:r w:rsidRPr="00833BED">
              <w:t xml:space="preserve">Capital cost from: </w:t>
            </w:r>
            <w:hyperlink r:id="rId33" w:anchor=":~:text=Small%20pressure%20vessels%20such%20as,%241%2C000%2C000.00%20to%20manufacture%20and%20deliver" w:history="1">
              <w:r w:rsidRPr="008530DF" w:rsidR="00D07AB5">
                <w:rPr>
                  <w:rStyle w:val="Hyperlink"/>
                </w:rPr>
                <w:t>https://www.halvorsenusa.com/resources/pressure-vessel-cost-estimations-pricing-rates-expenses/#:~:text=Small%20pressure%20vessels%20such%20as,%241%2C000%2C000.00%20to%20manufacture%20and%20deliver</w:t>
              </w:r>
            </w:hyperlink>
            <w:r w:rsidRPr="00833BED">
              <w:t>.</w:t>
            </w:r>
            <w:r w:rsidR="00D07AB5">
              <w:t xml:space="preserve"> </w:t>
            </w:r>
            <w:r w:rsidRPr="00833BED">
              <w:t xml:space="preserve"> </w:t>
            </w:r>
          </w:p>
          <w:p w:rsidR="00AB3842" w14:paraId="0B738C59" w14:textId="77777777">
            <w:r w:rsidRPr="00833BED">
              <w:t xml:space="preserve">Recurring cost from: </w:t>
            </w:r>
            <w:hyperlink r:id="rId34" w:history="1">
              <w:r w:rsidRPr="008530DF" w:rsidR="00D07AB5">
                <w:rPr>
                  <w:rStyle w:val="Hyperlink"/>
                </w:rPr>
                <w:t>https://www.maintenanceandengineering.com/2020/04/15/what-is-the-real-cost-of-pressure-vessel-repair/</w:t>
              </w:r>
            </w:hyperlink>
            <w:r w:rsidR="00D07AB5">
              <w:t xml:space="preserve"> </w:t>
            </w:r>
            <w:r w:rsidRPr="00833BED">
              <w:t xml:space="preserve">. </w:t>
            </w:r>
          </w:p>
          <w:p w:rsidR="00AB3842" w:rsidRPr="00833BED" w14:paraId="6ADBEDF9" w14:textId="77777777">
            <w:r>
              <w:t>R</w:t>
            </w:r>
            <w:r w:rsidRPr="00833BED">
              <w:t>epair costs run into tens of thousands</w:t>
            </w:r>
            <w:r w:rsidR="00F3349F">
              <w:t xml:space="preserve"> of dollars</w:t>
            </w:r>
            <w:r w:rsidRPr="00833BED">
              <w:t>.</w:t>
            </w:r>
          </w:p>
        </w:tc>
      </w:tr>
      <w:tr w14:paraId="00F91587" w14:textId="77777777" w:rsidTr="00D61804">
        <w:tblPrEx>
          <w:tblW w:w="15030" w:type="dxa"/>
          <w:tblInd w:w="-905" w:type="dxa"/>
          <w:tblLayout w:type="fixed"/>
          <w:tblLook w:val="04A0"/>
        </w:tblPrEx>
        <w:tc>
          <w:tcPr>
            <w:tcW w:w="900" w:type="dxa"/>
          </w:tcPr>
          <w:p w:rsidR="00AB3842" w:rsidRPr="00833BED" w14:paraId="0991E590" w14:textId="77777777">
            <w:r w:rsidRPr="00833BED">
              <w:t>324</w:t>
            </w:r>
          </w:p>
        </w:tc>
        <w:tc>
          <w:tcPr>
            <w:tcW w:w="2160" w:type="dxa"/>
          </w:tcPr>
          <w:p w:rsidR="00AB3842" w:rsidRPr="00833BED" w14:paraId="3D20769E" w14:textId="77777777">
            <w:r w:rsidRPr="00833BED">
              <w:t>Major piping replacement</w:t>
            </w:r>
          </w:p>
        </w:tc>
        <w:tc>
          <w:tcPr>
            <w:tcW w:w="1260" w:type="dxa"/>
          </w:tcPr>
          <w:p w:rsidR="00AB3842" w:rsidRPr="00833BED" w14:paraId="217352CF" w14:textId="77777777">
            <w:r w:rsidRPr="00833BED">
              <w:t xml:space="preserve">$12,155,797 </w:t>
            </w:r>
          </w:p>
        </w:tc>
        <w:tc>
          <w:tcPr>
            <w:tcW w:w="1260" w:type="dxa"/>
          </w:tcPr>
          <w:p w:rsidR="00AB3842" w:rsidRPr="00833BED" w14:paraId="603C86A5" w14:textId="77777777">
            <w:r w:rsidRPr="00833BED">
              <w:t>N/A</w:t>
            </w:r>
          </w:p>
        </w:tc>
        <w:tc>
          <w:tcPr>
            <w:tcW w:w="1260" w:type="dxa"/>
          </w:tcPr>
          <w:p w:rsidR="00AB3842" w:rsidRPr="00833BED" w14:paraId="0D0651AB" w14:textId="77777777">
            <w:r w:rsidRPr="00833BED">
              <w:t>N/A</w:t>
            </w:r>
          </w:p>
        </w:tc>
        <w:tc>
          <w:tcPr>
            <w:tcW w:w="1170" w:type="dxa"/>
          </w:tcPr>
          <w:p w:rsidR="00AB3842" w:rsidRPr="00833BED" w14:paraId="4677CBE9" w14:textId="77777777">
            <w:r w:rsidRPr="00833BED">
              <w:t>N/A</w:t>
            </w:r>
          </w:p>
        </w:tc>
        <w:tc>
          <w:tcPr>
            <w:tcW w:w="1260" w:type="dxa"/>
          </w:tcPr>
          <w:p w:rsidR="00AB3842" w:rsidRPr="00833BED" w14:paraId="7CD68BB9" w14:textId="77777777">
            <w:r w:rsidRPr="00833BED">
              <w:t>N/A</w:t>
            </w:r>
          </w:p>
        </w:tc>
        <w:tc>
          <w:tcPr>
            <w:tcW w:w="1710" w:type="dxa"/>
          </w:tcPr>
          <w:p w:rsidR="00AB3842" w:rsidRPr="00833BED" w14:paraId="4DBB2F7E" w14:textId="77777777">
            <w:r w:rsidRPr="00833BED">
              <w:t>Amendments Rule</w:t>
            </w:r>
          </w:p>
        </w:tc>
        <w:tc>
          <w:tcPr>
            <w:tcW w:w="1440" w:type="dxa"/>
          </w:tcPr>
          <w:p w:rsidR="00AB3842" w:rsidRPr="00833BED" w14:paraId="2119D535" w14:textId="77777777"/>
        </w:tc>
        <w:tc>
          <w:tcPr>
            <w:tcW w:w="2610" w:type="dxa"/>
          </w:tcPr>
          <w:p w:rsidR="00AB3842" w:rsidRPr="00833BED" w14:paraId="77152353" w14:textId="77777777"/>
        </w:tc>
      </w:tr>
      <w:tr w14:paraId="097CAF8D" w14:textId="77777777" w:rsidTr="00D61804">
        <w:tblPrEx>
          <w:tblW w:w="15030" w:type="dxa"/>
          <w:tblInd w:w="-905" w:type="dxa"/>
          <w:tblLayout w:type="fixed"/>
          <w:tblLook w:val="04A0"/>
        </w:tblPrEx>
        <w:tc>
          <w:tcPr>
            <w:tcW w:w="900" w:type="dxa"/>
          </w:tcPr>
          <w:p w:rsidR="00AB3842" w:rsidRPr="00833BED" w14:paraId="6EBB7E95" w14:textId="77777777">
            <w:r w:rsidRPr="00833BED">
              <w:t>324</w:t>
            </w:r>
          </w:p>
        </w:tc>
        <w:tc>
          <w:tcPr>
            <w:tcW w:w="2160" w:type="dxa"/>
          </w:tcPr>
          <w:p w:rsidR="00AB3842" w:rsidRPr="00833BED" w14:paraId="29F41038" w14:textId="77777777">
            <w:r w:rsidRPr="00833BED">
              <w:t>Replace all carbon steel piping that transports corrosive liquids with more corrosion-resistant chrome-alloy piping</w:t>
            </w:r>
          </w:p>
        </w:tc>
        <w:tc>
          <w:tcPr>
            <w:tcW w:w="1260" w:type="dxa"/>
          </w:tcPr>
          <w:p w:rsidR="00AB3842" w:rsidRPr="00833BED" w14:paraId="131EFD8D" w14:textId="77777777">
            <w:r w:rsidRPr="00833BED">
              <w:t xml:space="preserve">$17,712,288 </w:t>
            </w:r>
          </w:p>
        </w:tc>
        <w:tc>
          <w:tcPr>
            <w:tcW w:w="1260" w:type="dxa"/>
          </w:tcPr>
          <w:p w:rsidR="00AB3842" w:rsidRPr="00833BED" w14:paraId="26F1CF75" w14:textId="77777777">
            <w:r w:rsidRPr="00833BED">
              <w:t>N/A</w:t>
            </w:r>
          </w:p>
        </w:tc>
        <w:tc>
          <w:tcPr>
            <w:tcW w:w="1260" w:type="dxa"/>
          </w:tcPr>
          <w:p w:rsidR="00AB3842" w:rsidRPr="00833BED" w14:paraId="25B08F0D" w14:textId="77777777">
            <w:r w:rsidRPr="00833BED">
              <w:t>N/A</w:t>
            </w:r>
          </w:p>
        </w:tc>
        <w:tc>
          <w:tcPr>
            <w:tcW w:w="1170" w:type="dxa"/>
          </w:tcPr>
          <w:p w:rsidR="00AB3842" w:rsidRPr="00833BED" w14:paraId="016CAD82" w14:textId="77777777">
            <w:r w:rsidRPr="00833BED">
              <w:t>N/A</w:t>
            </w:r>
          </w:p>
        </w:tc>
        <w:tc>
          <w:tcPr>
            <w:tcW w:w="1260" w:type="dxa"/>
          </w:tcPr>
          <w:p w:rsidR="00AB3842" w:rsidRPr="00833BED" w14:paraId="41490827" w14:textId="77777777">
            <w:r w:rsidRPr="00833BED">
              <w:t>N/A</w:t>
            </w:r>
          </w:p>
        </w:tc>
        <w:tc>
          <w:tcPr>
            <w:tcW w:w="1710" w:type="dxa"/>
          </w:tcPr>
          <w:p w:rsidR="00AB3842" w:rsidRPr="00833BED" w14:paraId="29CA954A" w14:textId="77777777">
            <w:r w:rsidRPr="00833BED">
              <w:t>Safety.BLR.com: Chevron to pay $1 million to settle Richmond Refinery citations (2 Aug 2017)</w:t>
            </w:r>
          </w:p>
        </w:tc>
        <w:tc>
          <w:tcPr>
            <w:tcW w:w="4050" w:type="dxa"/>
            <w:gridSpan w:val="2"/>
          </w:tcPr>
          <w:p w:rsidR="00AB3842" w:rsidRPr="00833BED" w14:paraId="5BCE0402" w14:textId="77777777">
            <w:hyperlink r:id="rId35" w:history="1">
              <w:r w:rsidRPr="00D26AF6" w:rsidR="006E755E">
                <w:rPr>
                  <w:rStyle w:val="Hyperlink"/>
                </w:rPr>
                <w:t>https://safety.blr.com/workplace-safety-news/safety-administration/OSHA-and-state-safety-compliance-enforcement/Chevron-to-pay-1-million-to-settle-Richmond-Refine/</w:t>
              </w:r>
            </w:hyperlink>
            <w:r w:rsidR="006E755E">
              <w:t xml:space="preserve"> </w:t>
            </w:r>
          </w:p>
        </w:tc>
      </w:tr>
      <w:tr w14:paraId="364253F5" w14:textId="77777777" w:rsidTr="00D61804">
        <w:tblPrEx>
          <w:tblW w:w="15030" w:type="dxa"/>
          <w:tblInd w:w="-905" w:type="dxa"/>
          <w:tblLayout w:type="fixed"/>
          <w:tblLook w:val="04A0"/>
        </w:tblPrEx>
        <w:tc>
          <w:tcPr>
            <w:tcW w:w="900" w:type="dxa"/>
          </w:tcPr>
          <w:p w:rsidR="00AB3842" w:rsidRPr="00833BED" w14:paraId="0F675A24" w14:textId="77777777">
            <w:r w:rsidRPr="00833BED">
              <w:t>324</w:t>
            </w:r>
          </w:p>
        </w:tc>
        <w:tc>
          <w:tcPr>
            <w:tcW w:w="2160" w:type="dxa"/>
          </w:tcPr>
          <w:p w:rsidR="00AB3842" w:rsidRPr="00833BED" w14:paraId="0AF9C71C" w14:textId="77777777">
            <w:r w:rsidRPr="00833BED">
              <w:t>Major upgrades to HF alkylation unit (e.g., rapid acid transfer system upgrades, water mitigation system upgrades, HF detection system upgrades, process heater/burner management upgrades)</w:t>
            </w:r>
          </w:p>
        </w:tc>
        <w:tc>
          <w:tcPr>
            <w:tcW w:w="1260" w:type="dxa"/>
          </w:tcPr>
          <w:p w:rsidR="00AB3842" w:rsidRPr="00833BED" w14:paraId="2B584135" w14:textId="77777777">
            <w:r w:rsidRPr="00833BED">
              <w:t xml:space="preserve">$6,000,000 </w:t>
            </w:r>
          </w:p>
        </w:tc>
        <w:tc>
          <w:tcPr>
            <w:tcW w:w="1260" w:type="dxa"/>
          </w:tcPr>
          <w:p w:rsidR="00AB3842" w:rsidRPr="00833BED" w14:paraId="73CA6565" w14:textId="77777777">
            <w:r w:rsidRPr="00833BED">
              <w:t>N/A</w:t>
            </w:r>
          </w:p>
        </w:tc>
        <w:tc>
          <w:tcPr>
            <w:tcW w:w="1260" w:type="dxa"/>
          </w:tcPr>
          <w:p w:rsidR="00AB3842" w:rsidRPr="00833BED" w14:paraId="36A0B70C" w14:textId="77777777">
            <w:r w:rsidRPr="00833BED">
              <w:t>N/A</w:t>
            </w:r>
          </w:p>
        </w:tc>
        <w:tc>
          <w:tcPr>
            <w:tcW w:w="1170" w:type="dxa"/>
          </w:tcPr>
          <w:p w:rsidR="00AB3842" w:rsidRPr="00833BED" w14:paraId="4E9B1BCE" w14:textId="77777777">
            <w:r w:rsidRPr="00833BED">
              <w:t xml:space="preserve">$2,000,000 </w:t>
            </w:r>
          </w:p>
        </w:tc>
        <w:tc>
          <w:tcPr>
            <w:tcW w:w="1260" w:type="dxa"/>
          </w:tcPr>
          <w:p w:rsidR="00AB3842" w:rsidRPr="00833BED" w14:paraId="2F867C83" w14:textId="77777777">
            <w:r w:rsidRPr="00833BED">
              <w:t xml:space="preserve">$10,000,000 </w:t>
            </w:r>
          </w:p>
        </w:tc>
        <w:tc>
          <w:tcPr>
            <w:tcW w:w="1710" w:type="dxa"/>
          </w:tcPr>
          <w:p w:rsidR="00AB3842" w:rsidRPr="00833BED" w14:paraId="55637CCA" w14:textId="77777777">
            <w:r w:rsidRPr="00833BED">
              <w:t>ERG</w:t>
            </w:r>
          </w:p>
        </w:tc>
        <w:tc>
          <w:tcPr>
            <w:tcW w:w="1440" w:type="dxa"/>
          </w:tcPr>
          <w:p w:rsidR="00AB3842" w:rsidRPr="00833BED" w14:paraId="64B72AFF" w14:textId="77777777"/>
        </w:tc>
        <w:tc>
          <w:tcPr>
            <w:tcW w:w="2610" w:type="dxa"/>
          </w:tcPr>
          <w:p w:rsidR="00AB3842" w:rsidRPr="00833BED" w14:paraId="61F95BC4" w14:textId="77777777"/>
        </w:tc>
      </w:tr>
      <w:tr w14:paraId="725F18EE" w14:textId="77777777" w:rsidTr="00D61804">
        <w:tblPrEx>
          <w:tblW w:w="15030" w:type="dxa"/>
          <w:tblInd w:w="-905" w:type="dxa"/>
          <w:tblLayout w:type="fixed"/>
          <w:tblLook w:val="04A0"/>
        </w:tblPrEx>
        <w:tc>
          <w:tcPr>
            <w:tcW w:w="900" w:type="dxa"/>
          </w:tcPr>
          <w:p w:rsidR="00AB3842" w:rsidRPr="00833BED" w14:paraId="299BAB1B" w14:textId="77777777">
            <w:r w:rsidRPr="00833BED">
              <w:t>324</w:t>
            </w:r>
          </w:p>
        </w:tc>
        <w:tc>
          <w:tcPr>
            <w:tcW w:w="2160" w:type="dxa"/>
          </w:tcPr>
          <w:p w:rsidR="00AB3842" w:rsidRPr="00833BED" w14:paraId="54000120" w14:textId="77777777">
            <w:r w:rsidRPr="00833BED">
              <w:t>Develop and implement criteria and new innovative procedures to monitor equipment to ensure safe operation of process safety equipment and alert operators when equipment should be replaced</w:t>
            </w:r>
          </w:p>
        </w:tc>
        <w:tc>
          <w:tcPr>
            <w:tcW w:w="1260" w:type="dxa"/>
          </w:tcPr>
          <w:p w:rsidR="00AB3842" w:rsidRPr="00833BED" w14:paraId="1F380C0F" w14:textId="77777777">
            <w:r w:rsidRPr="00833BED">
              <w:t xml:space="preserve">$5,904,096 </w:t>
            </w:r>
          </w:p>
        </w:tc>
        <w:tc>
          <w:tcPr>
            <w:tcW w:w="1260" w:type="dxa"/>
          </w:tcPr>
          <w:p w:rsidR="00AB3842" w:rsidRPr="00833BED" w14:paraId="44335059" w14:textId="77777777">
            <w:r w:rsidRPr="00833BED">
              <w:t xml:space="preserve">$354,246 </w:t>
            </w:r>
          </w:p>
        </w:tc>
        <w:tc>
          <w:tcPr>
            <w:tcW w:w="1260" w:type="dxa"/>
          </w:tcPr>
          <w:p w:rsidR="00AB3842" w:rsidRPr="00833BED" w14:paraId="7F9E494F" w14:textId="77777777">
            <w:r w:rsidRPr="00833BED">
              <w:t>6%</w:t>
            </w:r>
          </w:p>
        </w:tc>
        <w:tc>
          <w:tcPr>
            <w:tcW w:w="1170" w:type="dxa"/>
          </w:tcPr>
          <w:p w:rsidR="00AB3842" w:rsidRPr="00833BED" w14:paraId="766F59E0" w14:textId="77777777">
            <w:r w:rsidRPr="00833BED">
              <w:t>N/A</w:t>
            </w:r>
          </w:p>
        </w:tc>
        <w:tc>
          <w:tcPr>
            <w:tcW w:w="1260" w:type="dxa"/>
          </w:tcPr>
          <w:p w:rsidR="00AB3842" w:rsidRPr="00833BED" w14:paraId="28D7E215" w14:textId="77777777">
            <w:r w:rsidRPr="00833BED">
              <w:t>N/A</w:t>
            </w:r>
          </w:p>
        </w:tc>
        <w:tc>
          <w:tcPr>
            <w:tcW w:w="1710" w:type="dxa"/>
          </w:tcPr>
          <w:p w:rsidR="00AB3842" w:rsidRPr="00833BED" w14:paraId="7D091545" w14:textId="77777777">
            <w:r w:rsidRPr="00833BED">
              <w:t>Safety.BLR.com: Chevron to pay $1 million to settle Richmond Refinery citations (2 Aug 2017)</w:t>
            </w:r>
          </w:p>
        </w:tc>
        <w:tc>
          <w:tcPr>
            <w:tcW w:w="1440" w:type="dxa"/>
          </w:tcPr>
          <w:p w:rsidR="00AB3842" w:rsidRPr="00833BED" w14:paraId="6081E982" w14:textId="77777777">
            <w:hyperlink r:id="rId35" w:history="1">
              <w:r w:rsidRPr="00D26AF6" w:rsidR="00967345">
                <w:rPr>
                  <w:rStyle w:val="Hyperlink"/>
                </w:rPr>
                <w:t>https://safety.blr.com/workplace-safety-news/safety-administration/OSHA-and-state-safety-compliance-enforcement/Chevron-to-pay-1-million-to-settle-Richmond-Refine/</w:t>
              </w:r>
            </w:hyperlink>
            <w:r w:rsidR="00967345">
              <w:t xml:space="preserve"> </w:t>
            </w:r>
            <w:r w:rsidR="00E22E83">
              <w:t xml:space="preserve"> </w:t>
            </w:r>
          </w:p>
        </w:tc>
        <w:tc>
          <w:tcPr>
            <w:tcW w:w="2610" w:type="dxa"/>
          </w:tcPr>
          <w:p w:rsidR="009343F0" w:rsidP="00D16E87" w14:paraId="72E7FA5D" w14:textId="77777777">
            <w:r w:rsidRPr="00833BED">
              <w:t xml:space="preserve">Chevron reports 2018 operating costs equal 6% of value of property, capital, and equipment at cost ($20,544 million / $340,244 million): </w:t>
            </w:r>
            <w:hyperlink r:id="rId36" w:history="1">
              <w:r w:rsidRPr="00D26AF6" w:rsidR="000546F1">
                <w:rPr>
                  <w:rStyle w:val="Hyperlink"/>
                </w:rPr>
                <w:t>https://chevroncorp.gcs-web.com/static-files/87b5b33d-4328-494b-afe9-6a0dc01dd556</w:t>
              </w:r>
            </w:hyperlink>
            <w:r w:rsidR="000546F1">
              <w:t xml:space="preserve"> </w:t>
            </w:r>
            <w:r w:rsidRPr="00833BED">
              <w:t xml:space="preserve"> </w:t>
            </w:r>
          </w:p>
          <w:p w:rsidR="00AB3842" w:rsidRPr="00833BED" w14:paraId="487CAF55" w14:textId="77777777"/>
        </w:tc>
      </w:tr>
      <w:tr w14:paraId="0D6BB91E" w14:textId="77777777" w:rsidTr="00D61804">
        <w:tblPrEx>
          <w:tblW w:w="15030" w:type="dxa"/>
          <w:tblInd w:w="-905" w:type="dxa"/>
          <w:tblLayout w:type="fixed"/>
          <w:tblLook w:val="04A0"/>
        </w:tblPrEx>
        <w:tc>
          <w:tcPr>
            <w:tcW w:w="900" w:type="dxa"/>
          </w:tcPr>
          <w:p w:rsidR="00AB3842" w:rsidRPr="00833BED" w14:paraId="454C667C" w14:textId="77777777">
            <w:r w:rsidRPr="00833BED">
              <w:t>324/325</w:t>
            </w:r>
          </w:p>
        </w:tc>
        <w:tc>
          <w:tcPr>
            <w:tcW w:w="2160" w:type="dxa"/>
          </w:tcPr>
          <w:p w:rsidR="00AB3842" w:rsidRPr="00833BED" w14:paraId="1F047EFC" w14:textId="77777777">
            <w:r w:rsidRPr="00833BED">
              <w:t xml:space="preserve">Storage vessel controls: install </w:t>
            </w:r>
            <w:r w:rsidR="007D0202">
              <w:t>internal fl</w:t>
            </w:r>
            <w:r w:rsidR="005177D2">
              <w:t>oating roof storage vessel (</w:t>
            </w:r>
            <w:r w:rsidRPr="00833BED">
              <w:t>IFR</w:t>
            </w:r>
            <w:r w:rsidR="005177D2">
              <w:t>)</w:t>
            </w:r>
            <w:r w:rsidRPr="00833BED">
              <w:t xml:space="preserve"> with proper seals and install enhanced fitting controls to reduce emissions</w:t>
            </w:r>
          </w:p>
        </w:tc>
        <w:tc>
          <w:tcPr>
            <w:tcW w:w="1260" w:type="dxa"/>
          </w:tcPr>
          <w:p w:rsidR="00AB3842" w:rsidRPr="00833BED" w14:paraId="0A885E85" w14:textId="77777777">
            <w:r w:rsidRPr="00833BED">
              <w:t xml:space="preserve">$144,433 </w:t>
            </w:r>
          </w:p>
        </w:tc>
        <w:tc>
          <w:tcPr>
            <w:tcW w:w="1260" w:type="dxa"/>
          </w:tcPr>
          <w:p w:rsidR="00AB3842" w:rsidRPr="00833BED" w14:paraId="2C9EC70B" w14:textId="77777777">
            <w:r w:rsidRPr="00833BED">
              <w:t xml:space="preserve">$12,999 </w:t>
            </w:r>
          </w:p>
        </w:tc>
        <w:tc>
          <w:tcPr>
            <w:tcW w:w="1260" w:type="dxa"/>
          </w:tcPr>
          <w:p w:rsidR="00AB3842" w:rsidRPr="00833BED" w14:paraId="6246C9B6" w14:textId="77777777">
            <w:r w:rsidRPr="00833BED">
              <w:t>9%</w:t>
            </w:r>
          </w:p>
        </w:tc>
        <w:tc>
          <w:tcPr>
            <w:tcW w:w="1170" w:type="dxa"/>
          </w:tcPr>
          <w:p w:rsidR="00AB3842" w:rsidRPr="00833BED" w14:paraId="50B5275A" w14:textId="77777777">
            <w:r w:rsidRPr="00833BED">
              <w:t xml:space="preserve">$48,144 </w:t>
            </w:r>
          </w:p>
        </w:tc>
        <w:tc>
          <w:tcPr>
            <w:tcW w:w="1260" w:type="dxa"/>
          </w:tcPr>
          <w:p w:rsidR="00AB3842" w:rsidRPr="00833BED" w14:paraId="50B39889" w14:textId="77777777">
            <w:r w:rsidRPr="00833BED">
              <w:t xml:space="preserve">$398,394 </w:t>
            </w:r>
          </w:p>
        </w:tc>
        <w:tc>
          <w:tcPr>
            <w:tcW w:w="1710" w:type="dxa"/>
          </w:tcPr>
          <w:p w:rsidR="00AB3842" w:rsidRPr="00833BED" w14:paraId="14EFAEBE" w14:textId="77777777">
            <w:r w:rsidRPr="00833BED">
              <w:t>CAA Section 112(d)(6) Technology Review for Storage Vessels Located in the Ethylene Production Source Category</w:t>
            </w:r>
          </w:p>
        </w:tc>
        <w:tc>
          <w:tcPr>
            <w:tcW w:w="1440" w:type="dxa"/>
          </w:tcPr>
          <w:p w:rsidR="002F2699" w:rsidP="002F2699" w14:paraId="4A0F62E0" w14:textId="77777777">
            <w:hyperlink r:id="rId37" w:history="1">
              <w:r w:rsidRPr="00D26AF6" w:rsidR="008F23D1">
                <w:rPr>
                  <w:rStyle w:val="Hyperlink"/>
                </w:rPr>
                <w:t>https://www.regulations.gov/document/EPA-HQ-OAR-2017-0357-0015</w:t>
              </w:r>
            </w:hyperlink>
            <w:r w:rsidR="008F23D1">
              <w:t xml:space="preserve"> </w:t>
            </w:r>
          </w:p>
          <w:p w:rsidR="00AB3842" w:rsidRPr="00833BED" w:rsidP="00327C8E" w14:paraId="4B50F986" w14:textId="77777777"/>
        </w:tc>
        <w:tc>
          <w:tcPr>
            <w:tcW w:w="2610" w:type="dxa"/>
          </w:tcPr>
          <w:p w:rsidR="00AB3842" w:rsidRPr="00833BED" w14:paraId="7C8174D3" w14:textId="77777777">
            <w:r w:rsidRPr="00833BED">
              <w:t xml:space="preserve">Cost per facility with ethylene production units (including petroleum refineries). Recurring costs are 5% of capital costs for maintenance + 4% of capital costs for property taxes, insurance, </w:t>
            </w:r>
            <w:r>
              <w:t xml:space="preserve">and </w:t>
            </w:r>
            <w:r w:rsidRPr="00833BED">
              <w:t>administration</w:t>
            </w:r>
            <w:r>
              <w:t>.</w:t>
            </w:r>
          </w:p>
        </w:tc>
      </w:tr>
      <w:tr w14:paraId="704EFBA2" w14:textId="77777777" w:rsidTr="00D61804">
        <w:tblPrEx>
          <w:tblW w:w="15030" w:type="dxa"/>
          <w:tblInd w:w="-905" w:type="dxa"/>
          <w:tblLayout w:type="fixed"/>
          <w:tblLook w:val="04A0"/>
        </w:tblPrEx>
        <w:tc>
          <w:tcPr>
            <w:tcW w:w="900" w:type="dxa"/>
          </w:tcPr>
          <w:p w:rsidR="00AB3842" w:rsidRPr="00833BED" w14:paraId="78A96E1D" w14:textId="77777777">
            <w:r w:rsidRPr="00833BED">
              <w:t>324/325</w:t>
            </w:r>
          </w:p>
        </w:tc>
        <w:tc>
          <w:tcPr>
            <w:tcW w:w="2160" w:type="dxa"/>
          </w:tcPr>
          <w:p w:rsidR="00AB3842" w:rsidRPr="00833BED" w14:paraId="16F253E9" w14:textId="77777777">
            <w:pPr>
              <w:tabs>
                <w:tab w:val="left" w:pos="634"/>
              </w:tabs>
            </w:pPr>
            <w:r w:rsidRPr="00833BED">
              <w:t>Storage vessel retrofit with geodesic domes: conver</w:t>
            </w:r>
            <w:r w:rsidR="003A1573">
              <w:t>t</w:t>
            </w:r>
            <w:r w:rsidRPr="00833BED">
              <w:t xml:space="preserve"> </w:t>
            </w:r>
            <w:r w:rsidR="00B723D5">
              <w:t xml:space="preserve">external floating roof </w:t>
            </w:r>
            <w:r w:rsidRPr="00833BED">
              <w:t xml:space="preserve">storage </w:t>
            </w:r>
            <w:r w:rsidR="0097689D">
              <w:t xml:space="preserve">vessels </w:t>
            </w:r>
            <w:r w:rsidR="00B723D5">
              <w:t>(</w:t>
            </w:r>
            <w:r w:rsidRPr="00833BED">
              <w:t>EFRs</w:t>
            </w:r>
            <w:r w:rsidR="0097689D">
              <w:t>)</w:t>
            </w:r>
            <w:r w:rsidRPr="00833BED">
              <w:t xml:space="preserve"> to IFRs via use of geodesic domes to reduce emissions</w:t>
            </w:r>
          </w:p>
        </w:tc>
        <w:tc>
          <w:tcPr>
            <w:tcW w:w="1260" w:type="dxa"/>
          </w:tcPr>
          <w:p w:rsidR="00AB3842" w:rsidRPr="00833BED" w14:paraId="6989D168" w14:textId="77777777">
            <w:r w:rsidRPr="00833BED">
              <w:t xml:space="preserve">$1,777,428 </w:t>
            </w:r>
          </w:p>
        </w:tc>
        <w:tc>
          <w:tcPr>
            <w:tcW w:w="1260" w:type="dxa"/>
          </w:tcPr>
          <w:p w:rsidR="00AB3842" w:rsidRPr="00833BED" w14:paraId="673372B9" w14:textId="77777777">
            <w:r w:rsidRPr="00833BED">
              <w:t xml:space="preserve">$71,097 </w:t>
            </w:r>
          </w:p>
        </w:tc>
        <w:tc>
          <w:tcPr>
            <w:tcW w:w="1260" w:type="dxa"/>
          </w:tcPr>
          <w:p w:rsidR="00AB3842" w:rsidRPr="00833BED" w14:paraId="3BC50B48" w14:textId="77777777">
            <w:r w:rsidRPr="00833BED">
              <w:t>4%</w:t>
            </w:r>
          </w:p>
        </w:tc>
        <w:tc>
          <w:tcPr>
            <w:tcW w:w="1170" w:type="dxa"/>
          </w:tcPr>
          <w:p w:rsidR="00AB3842" w:rsidRPr="00833BED" w14:paraId="114EAE76" w14:textId="77777777">
            <w:r w:rsidRPr="00833BED">
              <w:t xml:space="preserve">$274,423 </w:t>
            </w:r>
          </w:p>
        </w:tc>
        <w:tc>
          <w:tcPr>
            <w:tcW w:w="1260" w:type="dxa"/>
          </w:tcPr>
          <w:p w:rsidR="00AB3842" w:rsidRPr="00833BED" w14:paraId="1287AE86" w14:textId="77777777">
            <w:r w:rsidRPr="00833BED">
              <w:t xml:space="preserve">$4,946,830 </w:t>
            </w:r>
          </w:p>
        </w:tc>
        <w:tc>
          <w:tcPr>
            <w:tcW w:w="1710" w:type="dxa"/>
          </w:tcPr>
          <w:p w:rsidR="00AB3842" w:rsidRPr="00833BED" w14:paraId="7A3F135B" w14:textId="77777777">
            <w:r w:rsidRPr="00833BED">
              <w:t>CAA Section 112(d)(6) Technology Review for Storage Vessels Located in the Ethylene Production Source Category</w:t>
            </w:r>
          </w:p>
        </w:tc>
        <w:tc>
          <w:tcPr>
            <w:tcW w:w="1440" w:type="dxa"/>
          </w:tcPr>
          <w:p w:rsidR="00AB3842" w:rsidRPr="00833BED" w14:paraId="60D6919A" w14:textId="77777777">
            <w:hyperlink r:id="rId37" w:history="1">
              <w:r w:rsidRPr="00EC7B54" w:rsidR="00B350AD">
                <w:rPr>
                  <w:rStyle w:val="Hyperlink"/>
                </w:rPr>
                <w:t>https://www.regulations.gov/document/EPA-HQ-OAR-2017-0357-0015</w:t>
              </w:r>
            </w:hyperlink>
            <w:r w:rsidR="00B350AD">
              <w:t xml:space="preserve"> </w:t>
            </w:r>
          </w:p>
        </w:tc>
        <w:tc>
          <w:tcPr>
            <w:tcW w:w="2610" w:type="dxa"/>
          </w:tcPr>
          <w:p w:rsidR="00AB3842" w:rsidRPr="00833BED" w14:paraId="229CB16A" w14:textId="77777777">
            <w:r w:rsidRPr="00833BED">
              <w:t>Cost per facility with ethylene production units (including petroleum refineries). Recurring costs are 4% of capital costs for property taxes, insurance,</w:t>
            </w:r>
            <w:r>
              <w:t xml:space="preserve"> and</w:t>
            </w:r>
            <w:r w:rsidRPr="00833BED">
              <w:t xml:space="preserve"> administration</w:t>
            </w:r>
            <w:r>
              <w:t>.</w:t>
            </w:r>
          </w:p>
        </w:tc>
      </w:tr>
      <w:tr w14:paraId="62D09BED" w14:textId="77777777" w:rsidTr="00D61804">
        <w:tblPrEx>
          <w:tblW w:w="15030" w:type="dxa"/>
          <w:tblInd w:w="-905" w:type="dxa"/>
          <w:tblLayout w:type="fixed"/>
          <w:tblLook w:val="04A0"/>
        </w:tblPrEx>
        <w:tc>
          <w:tcPr>
            <w:tcW w:w="900" w:type="dxa"/>
          </w:tcPr>
          <w:p w:rsidR="00AB3842" w:rsidRPr="00833BED" w14:paraId="211864AC" w14:textId="77777777">
            <w:r w:rsidRPr="00833BED">
              <w:t>324/325</w:t>
            </w:r>
          </w:p>
        </w:tc>
        <w:tc>
          <w:tcPr>
            <w:tcW w:w="2160" w:type="dxa"/>
          </w:tcPr>
          <w:p w:rsidR="00AB3842" w:rsidRPr="00833BED" w14:paraId="3FDAE6D6" w14:textId="77777777">
            <w:r w:rsidRPr="00833BED">
              <w:t>Storage vessel enhanced monitoring: liquid level overfill warning monitors and roof landing warning monitors on storage vessels with IFR or EFR (or leak detection and repair for fittings on fixed roof storage vessels) to reduce emissions</w:t>
            </w:r>
          </w:p>
        </w:tc>
        <w:tc>
          <w:tcPr>
            <w:tcW w:w="1260" w:type="dxa"/>
          </w:tcPr>
          <w:p w:rsidR="00AB3842" w:rsidRPr="00833BED" w14:paraId="4BD67D1A" w14:textId="77777777">
            <w:r w:rsidRPr="00833BED">
              <w:t xml:space="preserve">$22,447 </w:t>
            </w:r>
          </w:p>
        </w:tc>
        <w:tc>
          <w:tcPr>
            <w:tcW w:w="1260" w:type="dxa"/>
          </w:tcPr>
          <w:p w:rsidR="00AB3842" w:rsidRPr="00833BED" w14:paraId="7E8A34B8" w14:textId="77777777">
            <w:r w:rsidRPr="00833BED">
              <w:t>N/A</w:t>
            </w:r>
          </w:p>
        </w:tc>
        <w:tc>
          <w:tcPr>
            <w:tcW w:w="1260" w:type="dxa"/>
          </w:tcPr>
          <w:p w:rsidR="00AB3842" w:rsidRPr="00833BED" w14:paraId="171574BA" w14:textId="77777777">
            <w:r w:rsidRPr="00833BED">
              <w:t>N/A</w:t>
            </w:r>
          </w:p>
        </w:tc>
        <w:tc>
          <w:tcPr>
            <w:tcW w:w="1170" w:type="dxa"/>
          </w:tcPr>
          <w:p w:rsidR="00AB3842" w:rsidRPr="00833BED" w14:paraId="2D2BBD0B" w14:textId="77777777">
            <w:r w:rsidRPr="00833BED">
              <w:t xml:space="preserve">$5,657 </w:t>
            </w:r>
          </w:p>
        </w:tc>
        <w:tc>
          <w:tcPr>
            <w:tcW w:w="1260" w:type="dxa"/>
          </w:tcPr>
          <w:p w:rsidR="00AB3842" w:rsidRPr="00833BED" w14:paraId="02000EB0" w14:textId="77777777">
            <w:r w:rsidRPr="00833BED">
              <w:t xml:space="preserve">$51,153 </w:t>
            </w:r>
          </w:p>
        </w:tc>
        <w:tc>
          <w:tcPr>
            <w:tcW w:w="1710" w:type="dxa"/>
          </w:tcPr>
          <w:p w:rsidR="00AB3842" w:rsidRPr="00833BED" w14:paraId="5740388C" w14:textId="77777777">
            <w:r w:rsidRPr="00833BED">
              <w:t>CAA Section 112(d)(6) Technology Review for Storage Vessels Located in the Ethylene Production Source Category</w:t>
            </w:r>
          </w:p>
        </w:tc>
        <w:tc>
          <w:tcPr>
            <w:tcW w:w="1440" w:type="dxa"/>
          </w:tcPr>
          <w:p w:rsidR="00AB3842" w:rsidRPr="00833BED" w14:paraId="55C63F0F" w14:textId="77777777">
            <w:hyperlink r:id="rId37" w:history="1">
              <w:r w:rsidRPr="003737FF" w:rsidR="00327C8E">
                <w:rPr>
                  <w:rStyle w:val="Hyperlink"/>
                </w:rPr>
                <w:t>https://www.regulations.gov/document/EPA-HQ-OAR-2017-0357-0015</w:t>
              </w:r>
            </w:hyperlink>
          </w:p>
        </w:tc>
        <w:tc>
          <w:tcPr>
            <w:tcW w:w="2610" w:type="dxa"/>
          </w:tcPr>
          <w:p w:rsidR="00AB3842" w:rsidRPr="00833BED" w14:paraId="316DF805" w14:textId="77777777">
            <w:r w:rsidRPr="00833BED">
              <w:t>Cost per facility with ethylene production units (including petroleum refineries).</w:t>
            </w:r>
          </w:p>
        </w:tc>
      </w:tr>
      <w:tr w14:paraId="6517136F" w14:textId="77777777" w:rsidTr="00D61804">
        <w:tblPrEx>
          <w:tblW w:w="15030" w:type="dxa"/>
          <w:tblInd w:w="-905" w:type="dxa"/>
          <w:tblLayout w:type="fixed"/>
          <w:tblLook w:val="04A0"/>
        </w:tblPrEx>
        <w:tc>
          <w:tcPr>
            <w:tcW w:w="900" w:type="dxa"/>
          </w:tcPr>
          <w:p w:rsidR="00AB3842" w:rsidRPr="00833BED" w14:paraId="77FAB134" w14:textId="77777777">
            <w:r w:rsidRPr="00833BED">
              <w:t>324/325</w:t>
            </w:r>
          </w:p>
        </w:tc>
        <w:tc>
          <w:tcPr>
            <w:tcW w:w="2160" w:type="dxa"/>
          </w:tcPr>
          <w:p w:rsidR="00AB3842" w:rsidRPr="00833BED" w14:paraId="676D1D7C" w14:textId="77777777">
            <w:r w:rsidRPr="00833BED">
              <w:t>Infrared camera for gas leak detection (e.g., FLIR GFx320, GF306, or GF620)</w:t>
            </w:r>
          </w:p>
        </w:tc>
        <w:tc>
          <w:tcPr>
            <w:tcW w:w="1260" w:type="dxa"/>
          </w:tcPr>
          <w:p w:rsidR="00AB3842" w:rsidRPr="00833BED" w14:paraId="60111927" w14:textId="77777777">
            <w:r w:rsidRPr="00833BED">
              <w:t xml:space="preserve">$106,089 </w:t>
            </w:r>
          </w:p>
        </w:tc>
        <w:tc>
          <w:tcPr>
            <w:tcW w:w="1260" w:type="dxa"/>
          </w:tcPr>
          <w:p w:rsidR="00AB3842" w:rsidRPr="00833BED" w14:paraId="0AFED7B8" w14:textId="77777777">
            <w:r w:rsidRPr="00833BED">
              <w:t>N/A</w:t>
            </w:r>
          </w:p>
        </w:tc>
        <w:tc>
          <w:tcPr>
            <w:tcW w:w="1260" w:type="dxa"/>
          </w:tcPr>
          <w:p w:rsidR="00AB3842" w:rsidRPr="00833BED" w14:paraId="6DA66C8E" w14:textId="77777777">
            <w:r w:rsidRPr="00833BED">
              <w:t>N/A</w:t>
            </w:r>
          </w:p>
        </w:tc>
        <w:tc>
          <w:tcPr>
            <w:tcW w:w="1170" w:type="dxa"/>
          </w:tcPr>
          <w:p w:rsidR="00AB3842" w:rsidRPr="00833BED" w14:paraId="249F8510" w14:textId="77777777">
            <w:r w:rsidRPr="00833BED">
              <w:t xml:space="preserve">$29,083 </w:t>
            </w:r>
          </w:p>
        </w:tc>
        <w:tc>
          <w:tcPr>
            <w:tcW w:w="1260" w:type="dxa"/>
          </w:tcPr>
          <w:p w:rsidR="00AB3842" w:rsidRPr="00833BED" w14:paraId="16C08BDC" w14:textId="77777777">
            <w:r w:rsidRPr="00833BED">
              <w:t xml:space="preserve">$145,417 </w:t>
            </w:r>
          </w:p>
        </w:tc>
        <w:tc>
          <w:tcPr>
            <w:tcW w:w="1710" w:type="dxa"/>
          </w:tcPr>
          <w:p w:rsidR="00AB3842" w:rsidRPr="00833BED" w14:paraId="73C2309D" w14:textId="77777777">
            <w:r w:rsidRPr="003518AD">
              <w:t>Summary of Data Gathering Efforts: Emission Control and Emission Reduction Activities</w:t>
            </w:r>
          </w:p>
        </w:tc>
        <w:tc>
          <w:tcPr>
            <w:tcW w:w="1440" w:type="dxa"/>
          </w:tcPr>
          <w:p w:rsidR="00AB3842" w:rsidRPr="00833BED" w14:paraId="7BCFF1FD" w14:textId="77777777">
            <w:hyperlink r:id="rId38" w:history="1">
              <w:r w:rsidRPr="00D26AF6" w:rsidR="003518AD">
                <w:rPr>
                  <w:rStyle w:val="Hyperlink"/>
                </w:rPr>
                <w:t>https://www.regulations.gov/document/EPA-HQ-OAR-2010-0682-0194</w:t>
              </w:r>
            </w:hyperlink>
            <w:r w:rsidR="003518AD">
              <w:t xml:space="preserve"> </w:t>
            </w:r>
          </w:p>
        </w:tc>
        <w:tc>
          <w:tcPr>
            <w:tcW w:w="2610" w:type="dxa"/>
          </w:tcPr>
          <w:p w:rsidR="00AB3842" w:rsidRPr="00833BED" w14:paraId="738379F5" w14:textId="77777777">
            <w:r>
              <w:t>Teledyne FLIR</w:t>
            </w:r>
            <w:r w:rsidR="00435C34">
              <w:t xml:space="preserve"> example</w:t>
            </w:r>
            <w:r>
              <w:t>:</w:t>
            </w:r>
          </w:p>
          <w:p w:rsidR="00AB3842" w:rsidRPr="00833BED" w14:paraId="15EAA05F" w14:textId="77777777">
            <w:hyperlink r:id="rId39" w:history="1">
              <w:r w:rsidRPr="008530DF" w:rsidR="00D07AB5">
                <w:rPr>
                  <w:rStyle w:val="Hyperlink"/>
                </w:rPr>
                <w:t>https://www.flir.com/products/gfx320/?model=74902-0102&amp;vertical=optical+gas&amp;segment=solutions</w:t>
              </w:r>
            </w:hyperlink>
            <w:r w:rsidR="00D07AB5">
              <w:t xml:space="preserve"> </w:t>
            </w:r>
          </w:p>
        </w:tc>
      </w:tr>
      <w:tr w14:paraId="425E8A24" w14:textId="77777777" w:rsidTr="00D61804">
        <w:tblPrEx>
          <w:tblW w:w="15030" w:type="dxa"/>
          <w:tblInd w:w="-905" w:type="dxa"/>
          <w:tblLayout w:type="fixed"/>
          <w:tblLook w:val="04A0"/>
        </w:tblPrEx>
        <w:tc>
          <w:tcPr>
            <w:tcW w:w="900" w:type="dxa"/>
          </w:tcPr>
          <w:p w:rsidR="00AB3842" w:rsidRPr="00833BED" w14:paraId="415168A2" w14:textId="77777777">
            <w:r w:rsidRPr="00833BED">
              <w:t>324/325</w:t>
            </w:r>
          </w:p>
        </w:tc>
        <w:tc>
          <w:tcPr>
            <w:tcW w:w="2160" w:type="dxa"/>
          </w:tcPr>
          <w:p w:rsidR="00AB3842" w:rsidRPr="00833BED" w14:paraId="6B27EA7D" w14:textId="77777777">
            <w:r w:rsidRPr="00833BED">
              <w:t>Small STAA project: human factors techniques (program ring back feature on alarms, program warning alarms, consistency of read outs, alarms on inlet streams, changes to make consolidation of control rooms possible, nominations screens)</w:t>
            </w:r>
          </w:p>
        </w:tc>
        <w:tc>
          <w:tcPr>
            <w:tcW w:w="1260" w:type="dxa"/>
          </w:tcPr>
          <w:p w:rsidR="00AB3842" w:rsidRPr="00833BED" w14:paraId="755B9CDE" w14:textId="77777777">
            <w:r w:rsidRPr="00833BED">
              <w:t xml:space="preserve">$121,558 </w:t>
            </w:r>
          </w:p>
        </w:tc>
        <w:tc>
          <w:tcPr>
            <w:tcW w:w="1260" w:type="dxa"/>
          </w:tcPr>
          <w:p w:rsidR="00AB3842" w:rsidRPr="00833BED" w14:paraId="569DDA5F" w14:textId="77777777">
            <w:r w:rsidRPr="00833BED">
              <w:t>N/A</w:t>
            </w:r>
          </w:p>
        </w:tc>
        <w:tc>
          <w:tcPr>
            <w:tcW w:w="1260" w:type="dxa"/>
          </w:tcPr>
          <w:p w:rsidR="00AB3842" w:rsidRPr="00833BED" w14:paraId="00CF53BE" w14:textId="77777777">
            <w:r w:rsidRPr="00833BED">
              <w:t>N/A</w:t>
            </w:r>
          </w:p>
        </w:tc>
        <w:tc>
          <w:tcPr>
            <w:tcW w:w="1170" w:type="dxa"/>
          </w:tcPr>
          <w:p w:rsidR="00AB3842" w:rsidRPr="00833BED" w14:paraId="2CCC62B6" w14:textId="77777777">
            <w:r w:rsidRPr="00833BED">
              <w:t xml:space="preserve">$1,216 </w:t>
            </w:r>
          </w:p>
        </w:tc>
        <w:tc>
          <w:tcPr>
            <w:tcW w:w="1260" w:type="dxa"/>
          </w:tcPr>
          <w:p w:rsidR="00AB3842" w:rsidRPr="00833BED" w14:paraId="37F3ACEC" w14:textId="77777777">
            <w:r w:rsidRPr="00833BED">
              <w:t xml:space="preserve">$121,558 </w:t>
            </w:r>
          </w:p>
        </w:tc>
        <w:tc>
          <w:tcPr>
            <w:tcW w:w="1710" w:type="dxa"/>
          </w:tcPr>
          <w:p w:rsidR="00AB3842" w:rsidRPr="00833BED" w14:paraId="1A3D9FAF" w14:textId="77777777">
            <w:r w:rsidRPr="00833BED">
              <w:t>Amendments Rule</w:t>
            </w:r>
          </w:p>
        </w:tc>
        <w:tc>
          <w:tcPr>
            <w:tcW w:w="1440" w:type="dxa"/>
          </w:tcPr>
          <w:p w:rsidR="00AB3842" w:rsidRPr="00833BED" w14:paraId="4923B25F" w14:textId="77777777"/>
        </w:tc>
        <w:tc>
          <w:tcPr>
            <w:tcW w:w="2610" w:type="dxa"/>
          </w:tcPr>
          <w:p w:rsidR="00AB3842" w14:paraId="797ED062" w14:textId="77777777">
            <w:r w:rsidRPr="00833BED">
              <w:t>Human factors techniques in chemical process industry to reduce risks to humans.</w:t>
            </w:r>
          </w:p>
          <w:p w:rsidR="00AB3842" w:rsidRPr="00833BED" w14:paraId="110D32B2" w14:textId="77777777">
            <w:r w:rsidRPr="00833BED">
              <w:t>See: Attwood, Dennis and David Fennell, “Cost-effective Human Factors Techniques for Process Safety,” CCPS International Conference and Workshop, October 2-5, 2001, Toronto, ON, CANADA.</w:t>
            </w:r>
          </w:p>
        </w:tc>
      </w:tr>
      <w:tr w14:paraId="3C898A31" w14:textId="77777777">
        <w:tblPrEx>
          <w:tblW w:w="15030" w:type="dxa"/>
          <w:tblInd w:w="-905" w:type="dxa"/>
          <w:tblLayout w:type="fixed"/>
          <w:tblLook w:val="04A0"/>
        </w:tblPrEx>
        <w:tc>
          <w:tcPr>
            <w:tcW w:w="900" w:type="dxa"/>
          </w:tcPr>
          <w:p w:rsidR="00AB3842" w:rsidRPr="00833BED" w14:paraId="3FE658C0" w14:textId="77777777">
            <w:r w:rsidRPr="00833BED">
              <w:t>324/325</w:t>
            </w:r>
          </w:p>
        </w:tc>
        <w:tc>
          <w:tcPr>
            <w:tcW w:w="2160" w:type="dxa"/>
          </w:tcPr>
          <w:p w:rsidR="00AB3842" w:rsidRPr="00833BED" w14:paraId="02E79725" w14:textId="77777777">
            <w:r w:rsidRPr="00833BED">
              <w:t>New responder training</w:t>
            </w:r>
          </w:p>
        </w:tc>
        <w:tc>
          <w:tcPr>
            <w:tcW w:w="1260" w:type="dxa"/>
          </w:tcPr>
          <w:p w:rsidR="00AB3842" w:rsidRPr="00833BED" w14:paraId="099E0E4F" w14:textId="77777777">
            <w:r w:rsidRPr="00833BED">
              <w:t>N/A</w:t>
            </w:r>
          </w:p>
        </w:tc>
        <w:tc>
          <w:tcPr>
            <w:tcW w:w="1260" w:type="dxa"/>
          </w:tcPr>
          <w:p w:rsidR="00AB3842" w:rsidRPr="00833BED" w14:paraId="0F979218" w14:textId="77777777">
            <w:r w:rsidRPr="00833BED">
              <w:t xml:space="preserve">$49,832 </w:t>
            </w:r>
          </w:p>
        </w:tc>
        <w:tc>
          <w:tcPr>
            <w:tcW w:w="1260" w:type="dxa"/>
          </w:tcPr>
          <w:p w:rsidR="00AB3842" w:rsidRPr="00833BED" w14:paraId="44CC5F54" w14:textId="77777777">
            <w:r w:rsidRPr="00833BED">
              <w:t>N/A</w:t>
            </w:r>
          </w:p>
        </w:tc>
        <w:tc>
          <w:tcPr>
            <w:tcW w:w="1170" w:type="dxa"/>
          </w:tcPr>
          <w:p w:rsidR="00AB3842" w:rsidRPr="00833BED" w14:paraId="6F71E215" w14:textId="77777777">
            <w:r w:rsidRPr="00833BED">
              <w:t xml:space="preserve">$19,933 </w:t>
            </w:r>
          </w:p>
        </w:tc>
        <w:tc>
          <w:tcPr>
            <w:tcW w:w="1260" w:type="dxa"/>
          </w:tcPr>
          <w:p w:rsidR="00AB3842" w:rsidRPr="00833BED" w14:paraId="7EFB2993" w14:textId="77777777">
            <w:r w:rsidRPr="00833BED">
              <w:t xml:space="preserve">$79,731 </w:t>
            </w:r>
          </w:p>
        </w:tc>
        <w:tc>
          <w:tcPr>
            <w:tcW w:w="1710" w:type="dxa"/>
          </w:tcPr>
          <w:p w:rsidR="00AB3842" w:rsidRPr="00833BED" w14:paraId="0476E69D" w14:textId="77777777">
            <w:r w:rsidRPr="00833BED">
              <w:t>Amendments Rule</w:t>
            </w:r>
          </w:p>
        </w:tc>
        <w:tc>
          <w:tcPr>
            <w:tcW w:w="4050" w:type="dxa"/>
            <w:gridSpan w:val="2"/>
          </w:tcPr>
          <w:p w:rsidR="00AB3842" w:rsidRPr="00833BED" w14:paraId="6079D266" w14:textId="77777777">
            <w:hyperlink r:id="rId40" w:history="1">
              <w:r w:rsidRPr="008530DF" w:rsidR="004A4BB9">
                <w:rPr>
                  <w:rStyle w:val="Hyperlink"/>
                </w:rPr>
                <w:t>https://www.regulations.gov/document/EPA-HQ-OEM-2015-0725-0029</w:t>
              </w:r>
            </w:hyperlink>
            <w:r w:rsidR="004A4BB9">
              <w:t xml:space="preserve"> </w:t>
            </w:r>
          </w:p>
        </w:tc>
      </w:tr>
      <w:tr w14:paraId="6619BF8E" w14:textId="77777777">
        <w:tblPrEx>
          <w:tblW w:w="15030" w:type="dxa"/>
          <w:tblInd w:w="-905" w:type="dxa"/>
          <w:tblLayout w:type="fixed"/>
          <w:tblLook w:val="04A0"/>
        </w:tblPrEx>
        <w:tc>
          <w:tcPr>
            <w:tcW w:w="900" w:type="dxa"/>
          </w:tcPr>
          <w:p w:rsidR="00AB3842" w:rsidRPr="00833BED" w14:paraId="03874C4D" w14:textId="77777777">
            <w:r w:rsidRPr="00833BED">
              <w:t>325</w:t>
            </w:r>
          </w:p>
        </w:tc>
        <w:tc>
          <w:tcPr>
            <w:tcW w:w="2160" w:type="dxa"/>
          </w:tcPr>
          <w:p w:rsidR="00AB3842" w:rsidRPr="00833BED" w14:paraId="7886D8EC" w14:textId="77777777">
            <w:r>
              <w:t>P</w:t>
            </w:r>
            <w:r w:rsidRPr="00833BED">
              <w:t>iping replacement</w:t>
            </w:r>
          </w:p>
        </w:tc>
        <w:tc>
          <w:tcPr>
            <w:tcW w:w="1260" w:type="dxa"/>
          </w:tcPr>
          <w:p w:rsidR="00AB3842" w:rsidRPr="00833BED" w14:paraId="683CC35A" w14:textId="77777777">
            <w:r w:rsidRPr="00833BED">
              <w:t xml:space="preserve">$1,215,580 </w:t>
            </w:r>
          </w:p>
        </w:tc>
        <w:tc>
          <w:tcPr>
            <w:tcW w:w="1260" w:type="dxa"/>
          </w:tcPr>
          <w:p w:rsidR="00AB3842" w:rsidRPr="00833BED" w14:paraId="7E1F4A01" w14:textId="77777777">
            <w:r w:rsidRPr="00833BED">
              <w:t xml:space="preserve">$48,623 </w:t>
            </w:r>
          </w:p>
        </w:tc>
        <w:tc>
          <w:tcPr>
            <w:tcW w:w="1260" w:type="dxa"/>
          </w:tcPr>
          <w:p w:rsidR="00AB3842" w:rsidRPr="00833BED" w14:paraId="1167014D" w14:textId="77777777">
            <w:r w:rsidRPr="00833BED">
              <w:t>4%</w:t>
            </w:r>
          </w:p>
        </w:tc>
        <w:tc>
          <w:tcPr>
            <w:tcW w:w="1170" w:type="dxa"/>
          </w:tcPr>
          <w:p w:rsidR="00AB3842" w:rsidRPr="00833BED" w14:paraId="37A9A10B" w14:textId="77777777">
            <w:r w:rsidRPr="00833BED">
              <w:t>N/A</w:t>
            </w:r>
          </w:p>
        </w:tc>
        <w:tc>
          <w:tcPr>
            <w:tcW w:w="1260" w:type="dxa"/>
          </w:tcPr>
          <w:p w:rsidR="00AB3842" w:rsidRPr="00833BED" w14:paraId="0193F413" w14:textId="77777777">
            <w:r w:rsidRPr="00833BED">
              <w:t>N/A</w:t>
            </w:r>
          </w:p>
        </w:tc>
        <w:tc>
          <w:tcPr>
            <w:tcW w:w="1710" w:type="dxa"/>
          </w:tcPr>
          <w:p w:rsidR="00AB3842" w:rsidRPr="00833BED" w14:paraId="24071E8C" w14:textId="77777777">
            <w:r w:rsidRPr="00833BED">
              <w:t>Amendments Rule</w:t>
            </w:r>
          </w:p>
        </w:tc>
        <w:tc>
          <w:tcPr>
            <w:tcW w:w="4050" w:type="dxa"/>
            <w:gridSpan w:val="2"/>
          </w:tcPr>
          <w:p w:rsidR="00AB3842" w:rsidRPr="00833BED" w14:paraId="402BA9B1" w14:textId="77777777">
            <w:r w:rsidRPr="00833BED">
              <w:t>Small scale piping replacement project costs about $1</w:t>
            </w:r>
            <w:r>
              <w:t xml:space="preserve"> million</w:t>
            </w:r>
            <w:r w:rsidRPr="00833BED">
              <w:t xml:space="preserve">. See public comment EPA-HQ-OEM-2015-0725-0579, pp 142. Comment submitted by AFPM. Also see public comment EPA-HQ-OEM-2015-0725-0536-29 submitted by API. </w:t>
            </w:r>
            <w:r w:rsidR="00361DC4">
              <w:t xml:space="preserve"> </w:t>
            </w:r>
            <w:r w:rsidRPr="00833BED" w:rsidR="004A4BB9">
              <w:t xml:space="preserve">Labor and maintenance costs in conventional ethylene plant are 3-5% of fixed capital investment: </w:t>
            </w:r>
            <w:hyperlink r:id="rId41" w:history="1">
              <w:r w:rsidRPr="008530DF" w:rsidR="004A4BB9">
                <w:rPr>
                  <w:rStyle w:val="Hyperlink"/>
                </w:rPr>
                <w:t>https://vdoc.pub/documents/plant-design-and-economics-for-chemical-engineers-2e23idrq1qf0</w:t>
              </w:r>
            </w:hyperlink>
            <w:r w:rsidR="004A4BB9">
              <w:t xml:space="preserve"> </w:t>
            </w:r>
          </w:p>
        </w:tc>
      </w:tr>
      <w:tr w14:paraId="69A54A2D" w14:textId="77777777">
        <w:tblPrEx>
          <w:tblW w:w="15030" w:type="dxa"/>
          <w:tblInd w:w="-905" w:type="dxa"/>
          <w:tblLayout w:type="fixed"/>
          <w:tblLook w:val="04A0"/>
        </w:tblPrEx>
        <w:tc>
          <w:tcPr>
            <w:tcW w:w="900" w:type="dxa"/>
          </w:tcPr>
          <w:p w:rsidR="00AB3842" w:rsidRPr="00833BED" w14:paraId="04D6A16D" w14:textId="77777777">
            <w:r w:rsidRPr="00833BED">
              <w:t>325</w:t>
            </w:r>
          </w:p>
        </w:tc>
        <w:tc>
          <w:tcPr>
            <w:tcW w:w="2160" w:type="dxa"/>
          </w:tcPr>
          <w:p w:rsidR="00AB3842" w:rsidRPr="00833BED" w14:paraId="38FB8939" w14:textId="77777777">
            <w:r w:rsidRPr="00833BED">
              <w:t>Upgrade facility, install new plating line, and implement a closed-loop water treatment system</w:t>
            </w:r>
          </w:p>
        </w:tc>
        <w:tc>
          <w:tcPr>
            <w:tcW w:w="1260" w:type="dxa"/>
          </w:tcPr>
          <w:p w:rsidR="00AB3842" w:rsidRPr="00833BED" w14:paraId="24CC1325" w14:textId="77777777">
            <w:r w:rsidRPr="00833BED">
              <w:t xml:space="preserve">$4,862,319 </w:t>
            </w:r>
          </w:p>
        </w:tc>
        <w:tc>
          <w:tcPr>
            <w:tcW w:w="1260" w:type="dxa"/>
          </w:tcPr>
          <w:p w:rsidR="00AB3842" w:rsidRPr="00833BED" w14:paraId="44073833" w14:textId="77777777">
            <w:r w:rsidRPr="00833BED">
              <w:t>N/A</w:t>
            </w:r>
          </w:p>
        </w:tc>
        <w:tc>
          <w:tcPr>
            <w:tcW w:w="1260" w:type="dxa"/>
          </w:tcPr>
          <w:p w:rsidR="00AB3842" w:rsidRPr="00833BED" w14:paraId="6403DA7C" w14:textId="77777777">
            <w:r w:rsidRPr="00833BED">
              <w:t>N/A</w:t>
            </w:r>
          </w:p>
        </w:tc>
        <w:tc>
          <w:tcPr>
            <w:tcW w:w="1170" w:type="dxa"/>
          </w:tcPr>
          <w:p w:rsidR="00AB3842" w:rsidRPr="00833BED" w14:paraId="02E1BEB6" w14:textId="77777777">
            <w:r w:rsidRPr="00833BED">
              <w:t>N/A</w:t>
            </w:r>
          </w:p>
        </w:tc>
        <w:tc>
          <w:tcPr>
            <w:tcW w:w="1260" w:type="dxa"/>
          </w:tcPr>
          <w:p w:rsidR="00AB3842" w:rsidRPr="00833BED" w14:paraId="295E02AB" w14:textId="77777777">
            <w:r w:rsidRPr="00833BED">
              <w:t>N/A</w:t>
            </w:r>
          </w:p>
        </w:tc>
        <w:tc>
          <w:tcPr>
            <w:tcW w:w="1710" w:type="dxa"/>
          </w:tcPr>
          <w:p w:rsidR="00AB3842" w:rsidRPr="00833BED" w14:paraId="16991698" w14:textId="77777777">
            <w:r w:rsidRPr="00833BED">
              <w:t>TURI</w:t>
            </w:r>
          </w:p>
        </w:tc>
        <w:tc>
          <w:tcPr>
            <w:tcW w:w="4050" w:type="dxa"/>
            <w:gridSpan w:val="2"/>
          </w:tcPr>
          <w:p w:rsidR="00AB3842" w:rsidRPr="00833BED" w14:paraId="0A047FBE" w14:textId="77777777">
            <w:r w:rsidRPr="005574F1">
              <w:t xml:space="preserve">Costs based on </w:t>
            </w:r>
            <w:r w:rsidR="0030622C">
              <w:t xml:space="preserve">implementation by </w:t>
            </w:r>
            <w:r w:rsidRPr="00833BED">
              <w:t>Columbia Manufacturin</w:t>
            </w:r>
            <w:r>
              <w:t xml:space="preserve">g: </w:t>
            </w:r>
            <w:hyperlink r:id="rId42" w:history="1">
              <w:r w:rsidRPr="00D26AF6">
                <w:rPr>
                  <w:rStyle w:val="Hyperlink"/>
                </w:rPr>
                <w:t>https://www.turi.org/content/download/9921/168937/file/Columbia+Manufacturing+OTA.+2015.pdf</w:t>
              </w:r>
            </w:hyperlink>
            <w:r>
              <w:t xml:space="preserve"> </w:t>
            </w:r>
          </w:p>
        </w:tc>
      </w:tr>
      <w:tr w14:paraId="5EF300A9" w14:textId="77777777" w:rsidTr="00D61804">
        <w:tblPrEx>
          <w:tblW w:w="15030" w:type="dxa"/>
          <w:tblInd w:w="-905" w:type="dxa"/>
          <w:tblLayout w:type="fixed"/>
          <w:tblLook w:val="04A0"/>
        </w:tblPrEx>
        <w:tc>
          <w:tcPr>
            <w:tcW w:w="900" w:type="dxa"/>
          </w:tcPr>
          <w:p w:rsidR="00AB3842" w:rsidRPr="00833BED" w14:paraId="051B9C5C" w14:textId="77777777">
            <w:r w:rsidRPr="00833BED">
              <w:t>325</w:t>
            </w:r>
          </w:p>
        </w:tc>
        <w:tc>
          <w:tcPr>
            <w:tcW w:w="2160" w:type="dxa"/>
          </w:tcPr>
          <w:p w:rsidR="00AB3842" w:rsidRPr="00833BED" w14:paraId="0F4A1A24" w14:textId="77777777">
            <w:r w:rsidRPr="00833BED">
              <w:t>Add trivalent chromium plating</w:t>
            </w:r>
          </w:p>
        </w:tc>
        <w:tc>
          <w:tcPr>
            <w:tcW w:w="1260" w:type="dxa"/>
          </w:tcPr>
          <w:p w:rsidR="00AB3842" w:rsidRPr="00833BED" w14:paraId="28D98AB5" w14:textId="77777777">
            <w:r w:rsidRPr="00833BED">
              <w:t xml:space="preserve">$56,329 </w:t>
            </w:r>
          </w:p>
        </w:tc>
        <w:tc>
          <w:tcPr>
            <w:tcW w:w="1260" w:type="dxa"/>
          </w:tcPr>
          <w:p w:rsidR="00AB3842" w:rsidRPr="00833BED" w14:paraId="3CAAFB00" w14:textId="77777777">
            <w:r w:rsidRPr="00833BED">
              <w:t xml:space="preserve">$24,318 </w:t>
            </w:r>
          </w:p>
        </w:tc>
        <w:tc>
          <w:tcPr>
            <w:tcW w:w="1260" w:type="dxa"/>
          </w:tcPr>
          <w:p w:rsidR="00AB3842" w:rsidRPr="00833BED" w14:paraId="066C0027" w14:textId="77777777">
            <w:r w:rsidRPr="00833BED">
              <w:t>43%</w:t>
            </w:r>
          </w:p>
        </w:tc>
        <w:tc>
          <w:tcPr>
            <w:tcW w:w="1170" w:type="dxa"/>
          </w:tcPr>
          <w:p w:rsidR="00AB3842" w:rsidRPr="00833BED" w14:paraId="784E80C7" w14:textId="77777777">
            <w:r w:rsidRPr="00833BED">
              <w:t>N/A</w:t>
            </w:r>
          </w:p>
        </w:tc>
        <w:tc>
          <w:tcPr>
            <w:tcW w:w="1260" w:type="dxa"/>
          </w:tcPr>
          <w:p w:rsidR="00AB3842" w:rsidRPr="00833BED" w14:paraId="76AF3D5D" w14:textId="77777777">
            <w:r w:rsidRPr="00833BED">
              <w:t>N/A</w:t>
            </w:r>
          </w:p>
        </w:tc>
        <w:tc>
          <w:tcPr>
            <w:tcW w:w="1710" w:type="dxa"/>
          </w:tcPr>
          <w:p w:rsidR="00AB3842" w:rsidRPr="00833BED" w14:paraId="3BD2085B" w14:textId="77777777">
            <w:r w:rsidRPr="00833BED">
              <w:t>TURI</w:t>
            </w:r>
          </w:p>
        </w:tc>
        <w:tc>
          <w:tcPr>
            <w:tcW w:w="4050" w:type="dxa"/>
            <w:gridSpan w:val="2"/>
          </w:tcPr>
          <w:p w:rsidR="00AB3842" w:rsidRPr="00833BED" w14:paraId="0397505F" w14:textId="77777777">
            <w:r w:rsidRPr="00833BED">
              <w:t>Costs associated with Independent Plating:</w:t>
            </w:r>
            <w:r>
              <w:t xml:space="preserve"> </w:t>
            </w:r>
            <w:hyperlink r:id="rId43" w:history="1">
              <w:r w:rsidRPr="00D26AF6">
                <w:rPr>
                  <w:rStyle w:val="Hyperlink"/>
                </w:rPr>
                <w:t>https://www.mass.gov/files/2017_competitiveness_report_ota_and_turi_6.pdf</w:t>
              </w:r>
            </w:hyperlink>
            <w:r>
              <w:t xml:space="preserve"> </w:t>
            </w:r>
          </w:p>
        </w:tc>
      </w:tr>
      <w:tr w14:paraId="24D15106" w14:textId="77777777" w:rsidTr="00D61804">
        <w:tblPrEx>
          <w:tblW w:w="15030" w:type="dxa"/>
          <w:tblInd w:w="-905" w:type="dxa"/>
          <w:tblLayout w:type="fixed"/>
          <w:tblLook w:val="04A0"/>
        </w:tblPrEx>
        <w:tc>
          <w:tcPr>
            <w:tcW w:w="900" w:type="dxa"/>
          </w:tcPr>
          <w:p w:rsidR="00AB3842" w:rsidRPr="00833BED" w14:paraId="2B6D3D6B" w14:textId="77777777">
            <w:r w:rsidRPr="00833BED">
              <w:t>325</w:t>
            </w:r>
          </w:p>
        </w:tc>
        <w:tc>
          <w:tcPr>
            <w:tcW w:w="2160" w:type="dxa"/>
          </w:tcPr>
          <w:p w:rsidR="00AB3842" w:rsidRPr="00833BED" w14:paraId="18DA0C89" w14:textId="77777777">
            <w:r w:rsidRPr="00833BED">
              <w:t>Parametric monitoring equipment for CO emissions using temperature and other combustion operating parameters</w:t>
            </w:r>
          </w:p>
        </w:tc>
        <w:tc>
          <w:tcPr>
            <w:tcW w:w="1260" w:type="dxa"/>
          </w:tcPr>
          <w:p w:rsidR="00AB3842" w:rsidRPr="00833BED" w14:paraId="001FB55F" w14:textId="77777777">
            <w:r w:rsidRPr="00833BED">
              <w:t xml:space="preserve">$63,916 </w:t>
            </w:r>
          </w:p>
        </w:tc>
        <w:tc>
          <w:tcPr>
            <w:tcW w:w="1260" w:type="dxa"/>
          </w:tcPr>
          <w:p w:rsidR="00AB3842" w:rsidRPr="00833BED" w14:paraId="5B7DA991" w14:textId="77777777">
            <w:r w:rsidRPr="00833BED">
              <w:t xml:space="preserve">$47,243 </w:t>
            </w:r>
          </w:p>
        </w:tc>
        <w:tc>
          <w:tcPr>
            <w:tcW w:w="1260" w:type="dxa"/>
          </w:tcPr>
          <w:p w:rsidR="00AB3842" w:rsidRPr="00833BED" w14:paraId="7EDF1862" w14:textId="77777777">
            <w:r w:rsidRPr="00833BED">
              <w:t>74%</w:t>
            </w:r>
          </w:p>
        </w:tc>
        <w:tc>
          <w:tcPr>
            <w:tcW w:w="1170" w:type="dxa"/>
          </w:tcPr>
          <w:p w:rsidR="00AB3842" w:rsidRPr="00833BED" w14:paraId="4FB767BA" w14:textId="77777777">
            <w:r w:rsidRPr="00833BED">
              <w:t>N/A</w:t>
            </w:r>
          </w:p>
        </w:tc>
        <w:tc>
          <w:tcPr>
            <w:tcW w:w="1260" w:type="dxa"/>
          </w:tcPr>
          <w:p w:rsidR="00AB3842" w:rsidRPr="00833BED" w14:paraId="4A133BC9" w14:textId="77777777">
            <w:r w:rsidRPr="00833BED">
              <w:t>N/A</w:t>
            </w:r>
          </w:p>
        </w:tc>
        <w:tc>
          <w:tcPr>
            <w:tcW w:w="1710" w:type="dxa"/>
          </w:tcPr>
          <w:p w:rsidR="00AB3842" w:rsidRPr="00833BED" w14:paraId="5EE97977" w14:textId="77777777">
            <w:r w:rsidRPr="00833BED">
              <w:t xml:space="preserve">Cost Reports and Guidance for Air Pollution Regulations: EPA Airport Pollution Control Manual </w:t>
            </w:r>
          </w:p>
        </w:tc>
        <w:tc>
          <w:tcPr>
            <w:tcW w:w="1440" w:type="dxa"/>
          </w:tcPr>
          <w:p w:rsidR="00AB3842" w:rsidRPr="00833BED" w14:paraId="3DE5B634" w14:textId="77777777">
            <w:hyperlink r:id="rId44" w:history="1">
              <w:r w:rsidRPr="008530DF" w:rsidR="00F83137">
                <w:rPr>
                  <w:rStyle w:val="Hyperlink"/>
                </w:rPr>
                <w:t>https://www.epa.gov/economic-and-cost-analysis-air-pollution-regulations/cost-reports-and-guidance-air-pollution</w:t>
              </w:r>
            </w:hyperlink>
            <w:r w:rsidR="00F83137">
              <w:t xml:space="preserve"> </w:t>
            </w:r>
          </w:p>
        </w:tc>
        <w:tc>
          <w:tcPr>
            <w:tcW w:w="2610" w:type="dxa"/>
          </w:tcPr>
          <w:p w:rsidR="00AB3842" w:rsidRPr="00833BED" w14:paraId="308BB8EA" w14:textId="77777777">
            <w:r w:rsidRPr="00833BED">
              <w:t xml:space="preserve">Emissions control costs: </w:t>
            </w:r>
          </w:p>
          <w:p w:rsidR="00AB3842" w:rsidRPr="00833BED" w14:paraId="7B41C28B" w14:textId="77777777">
            <w:hyperlink r:id="rId45" w:history="1">
              <w:r w:rsidRPr="008530DF" w:rsidR="00F83137">
                <w:rPr>
                  <w:rStyle w:val="Hyperlink"/>
                </w:rPr>
                <w:t>https://www.epa.gov/sites/default/files/2020-07/documents/cs2ch4.pdf</w:t>
              </w:r>
            </w:hyperlink>
            <w:r w:rsidR="00F83137">
              <w:t xml:space="preserve"> </w:t>
            </w:r>
          </w:p>
        </w:tc>
      </w:tr>
      <w:tr w14:paraId="0E5AB621" w14:textId="77777777" w:rsidTr="00D61804">
        <w:tblPrEx>
          <w:tblW w:w="15030" w:type="dxa"/>
          <w:tblInd w:w="-905" w:type="dxa"/>
          <w:tblLayout w:type="fixed"/>
          <w:tblLook w:val="04A0"/>
        </w:tblPrEx>
        <w:tc>
          <w:tcPr>
            <w:tcW w:w="900" w:type="dxa"/>
          </w:tcPr>
          <w:p w:rsidR="00AB3842" w:rsidRPr="00833BED" w14:paraId="0D1E16D8" w14:textId="77777777">
            <w:r w:rsidRPr="00833BED">
              <w:t>325</w:t>
            </w:r>
          </w:p>
        </w:tc>
        <w:tc>
          <w:tcPr>
            <w:tcW w:w="2160" w:type="dxa"/>
          </w:tcPr>
          <w:p w:rsidR="00AB3842" w:rsidRPr="00833BED" w14:paraId="565F10C5" w14:textId="77777777">
            <w:r w:rsidRPr="00833BED">
              <w:t>Sprinkler system that is triggered by smoke or heat</w:t>
            </w:r>
          </w:p>
        </w:tc>
        <w:tc>
          <w:tcPr>
            <w:tcW w:w="1260" w:type="dxa"/>
          </w:tcPr>
          <w:p w:rsidR="00AB3842" w:rsidRPr="00833BED" w14:paraId="1813272B" w14:textId="77777777">
            <w:r w:rsidRPr="00833BED">
              <w:t xml:space="preserve">$568,803 </w:t>
            </w:r>
          </w:p>
        </w:tc>
        <w:tc>
          <w:tcPr>
            <w:tcW w:w="1260" w:type="dxa"/>
          </w:tcPr>
          <w:p w:rsidR="00AB3842" w:rsidRPr="00833BED" w14:paraId="31D248AE" w14:textId="77777777">
            <w:r w:rsidRPr="00833BED">
              <w:t xml:space="preserve">$27,808 </w:t>
            </w:r>
          </w:p>
        </w:tc>
        <w:tc>
          <w:tcPr>
            <w:tcW w:w="1260" w:type="dxa"/>
          </w:tcPr>
          <w:p w:rsidR="00AB3842" w:rsidRPr="00833BED" w14:paraId="6B3B0D8E" w14:textId="77777777">
            <w:r w:rsidRPr="00833BED">
              <w:t>5%</w:t>
            </w:r>
          </w:p>
        </w:tc>
        <w:tc>
          <w:tcPr>
            <w:tcW w:w="1170" w:type="dxa"/>
          </w:tcPr>
          <w:p w:rsidR="00AB3842" w:rsidRPr="00833BED" w14:paraId="5383F254" w14:textId="77777777">
            <w:r w:rsidRPr="00833BED">
              <w:t xml:space="preserve">$252,801 </w:t>
            </w:r>
          </w:p>
        </w:tc>
        <w:tc>
          <w:tcPr>
            <w:tcW w:w="1260" w:type="dxa"/>
          </w:tcPr>
          <w:p w:rsidR="00AB3842" w:rsidRPr="00833BED" w14:paraId="07F4502B" w14:textId="77777777">
            <w:r w:rsidRPr="00833BED">
              <w:t xml:space="preserve">$884,804 </w:t>
            </w:r>
          </w:p>
        </w:tc>
        <w:tc>
          <w:tcPr>
            <w:tcW w:w="1710" w:type="dxa"/>
          </w:tcPr>
          <w:p w:rsidR="00AB3842" w:rsidRPr="00833BED" w14:paraId="42B43852" w14:textId="77777777">
            <w:r w:rsidRPr="00833BED">
              <w:t>National Academy of Sciences; The Use and Storage of Methyl Isocyanate (MIC) at Bayer CropScience</w:t>
            </w:r>
          </w:p>
        </w:tc>
        <w:tc>
          <w:tcPr>
            <w:tcW w:w="1440" w:type="dxa"/>
          </w:tcPr>
          <w:p w:rsidR="00AB3842" w:rsidRPr="00833BED" w14:paraId="16E16C32" w14:textId="77777777">
            <w:hyperlink r:id="rId46" w:history="1">
              <w:r w:rsidRPr="008530DF" w:rsidR="00F83137">
                <w:rPr>
                  <w:rStyle w:val="Hyperlink"/>
                </w:rPr>
                <w:t>https://nap.nationalacademies.org/resource/13385/MIC-Summary-Final.pdf</w:t>
              </w:r>
            </w:hyperlink>
            <w:r w:rsidR="00F83137">
              <w:t xml:space="preserve"> </w:t>
            </w:r>
          </w:p>
        </w:tc>
        <w:tc>
          <w:tcPr>
            <w:tcW w:w="2610" w:type="dxa"/>
          </w:tcPr>
          <w:p w:rsidR="00AB3842" w:rsidRPr="00833BED" w14:paraId="61007BCD" w14:textId="77777777">
            <w:r w:rsidRPr="00833BED">
              <w:t xml:space="preserve">Cost based on average sf NAICS 325: </w:t>
            </w:r>
            <w:hyperlink r:id="rId47" w:history="1">
              <w:r w:rsidRPr="008530DF" w:rsidR="00F83137">
                <w:rPr>
                  <w:rStyle w:val="Hyperlink"/>
                </w:rPr>
                <w:t>https://www.eia.gov/consumption/manufacturing/data/2010/pdf/Table9_1.pdf</w:t>
              </w:r>
            </w:hyperlink>
            <w:r w:rsidRPr="00833BED">
              <w:t>)</w:t>
            </w:r>
            <w:r w:rsidR="00F83137">
              <w:t xml:space="preserve"> </w:t>
            </w:r>
          </w:p>
          <w:p w:rsidR="00AB3842" w14:paraId="6A9A45CE" w14:textId="77777777">
            <w:r w:rsidRPr="00833BED">
              <w:t>*$2-7</w:t>
            </w:r>
            <w:r>
              <w:t xml:space="preserve"> </w:t>
            </w:r>
            <w:r w:rsidRPr="00833BED">
              <w:t>(price per sf estimate for adding sprinkler system</w:t>
            </w:r>
            <w:r>
              <w:t>)</w:t>
            </w:r>
            <w:r w:rsidRPr="00833BED">
              <w:t xml:space="preserve">: </w:t>
            </w:r>
            <w:hyperlink r:id="rId48" w:anchor=":~:text=If%20your%20project%20is%20new,per%20square%20foot%20of%20coverage" w:history="1">
              <w:r w:rsidRPr="008530DF" w:rsidR="00F83137">
                <w:rPr>
                  <w:rStyle w:val="Hyperlink"/>
                </w:rPr>
                <w:t>https://smokeguard.com/blog/2022/february/02/what-is-the-cost-of-a-commercial-fire-sprinkler-system#:~:text=If%20your%20project%20is%20new,per</w:t>
              </w:r>
              <w:r w:rsidRPr="008530DF" w:rsidR="00F83137">
                <w:rPr>
                  <w:rStyle w:val="Hyperlink"/>
                </w:rPr>
                <w:t>%20square%20foot%20of%20coverage</w:t>
              </w:r>
            </w:hyperlink>
            <w:r w:rsidR="00F83137">
              <w:t xml:space="preserve"> </w:t>
            </w:r>
          </w:p>
          <w:p w:rsidR="00AB3842" w:rsidRPr="00833BED" w14:paraId="3B74E3FA" w14:textId="77777777">
            <w:r w:rsidRPr="00833BED">
              <w:t>Maintenance cost = $0.03-0.22/sq</w:t>
            </w:r>
            <w:r w:rsidR="00324E94">
              <w:t xml:space="preserve"> </w:t>
            </w:r>
            <w:r w:rsidRPr="00833BED">
              <w:t xml:space="preserve">ft for larger facilities: </w:t>
            </w:r>
            <w:hyperlink r:id="rId49" w:anchor=":~:text=Installing%20fire%20sprinklers%20costs%20%241-%242%20per%20square%20foot,or%203%C2%A2-22%C2%A2%20per%20square%20foot%20for%20larger%20facilities" w:history="1">
              <w:r w:rsidRPr="008530DF" w:rsidR="00F83137">
                <w:rPr>
                  <w:rStyle w:val="Hyperlink"/>
                </w:rPr>
                <w:t>https://www.costowl.com/b2b/security/security-fire-sprinkler-system/#:~:text=Installing%20fire%20sprinklers%20costs%20%241-%242%20per%20square%20foot,or%203%C2%A2-22%C2%A2%20per%20square%20foot%20for%20larger%20facilities</w:t>
              </w:r>
            </w:hyperlink>
            <w:r w:rsidR="00F83137">
              <w:t xml:space="preserve"> </w:t>
            </w:r>
          </w:p>
        </w:tc>
      </w:tr>
      <w:tr w14:paraId="2C62F747" w14:textId="77777777" w:rsidTr="00D61804">
        <w:tblPrEx>
          <w:tblW w:w="15030" w:type="dxa"/>
          <w:tblInd w:w="-905" w:type="dxa"/>
          <w:tblLayout w:type="fixed"/>
          <w:tblLook w:val="04A0"/>
        </w:tblPrEx>
        <w:tc>
          <w:tcPr>
            <w:tcW w:w="900" w:type="dxa"/>
          </w:tcPr>
          <w:p w:rsidR="00AB3842" w:rsidRPr="00833BED" w14:paraId="4909CE54" w14:textId="77777777">
            <w:r w:rsidRPr="00833BED">
              <w:t>325</w:t>
            </w:r>
          </w:p>
        </w:tc>
        <w:tc>
          <w:tcPr>
            <w:tcW w:w="2160" w:type="dxa"/>
          </w:tcPr>
          <w:p w:rsidR="00AB3842" w:rsidRPr="00833BED" w14:paraId="183D4B27" w14:textId="77777777">
            <w:r w:rsidRPr="00833BED">
              <w:t>Inerting dust cloud by N2, CO2 and rare gases</w:t>
            </w:r>
          </w:p>
        </w:tc>
        <w:tc>
          <w:tcPr>
            <w:tcW w:w="1260" w:type="dxa"/>
          </w:tcPr>
          <w:p w:rsidR="00AB3842" w:rsidRPr="00833BED" w14:paraId="0278DA75" w14:textId="77777777">
            <w:r w:rsidRPr="00833BED">
              <w:t xml:space="preserve">$250,000 </w:t>
            </w:r>
          </w:p>
        </w:tc>
        <w:tc>
          <w:tcPr>
            <w:tcW w:w="1260" w:type="dxa"/>
          </w:tcPr>
          <w:p w:rsidR="00AB3842" w:rsidRPr="00833BED" w14:paraId="71617253" w14:textId="77777777">
            <w:r w:rsidRPr="00833BED">
              <w:t xml:space="preserve">$107,719 </w:t>
            </w:r>
          </w:p>
        </w:tc>
        <w:tc>
          <w:tcPr>
            <w:tcW w:w="1260" w:type="dxa"/>
          </w:tcPr>
          <w:p w:rsidR="00AB3842" w:rsidRPr="00833BED" w14:paraId="426BC05B" w14:textId="77777777">
            <w:r w:rsidRPr="00833BED">
              <w:t>43%</w:t>
            </w:r>
          </w:p>
        </w:tc>
        <w:tc>
          <w:tcPr>
            <w:tcW w:w="1170" w:type="dxa"/>
          </w:tcPr>
          <w:p w:rsidR="00AB3842" w:rsidRPr="00833BED" w14:paraId="3ABF4AAF" w14:textId="77777777">
            <w:r w:rsidRPr="00833BED">
              <w:t xml:space="preserve">$100,000 </w:t>
            </w:r>
          </w:p>
        </w:tc>
        <w:tc>
          <w:tcPr>
            <w:tcW w:w="1260" w:type="dxa"/>
          </w:tcPr>
          <w:p w:rsidR="00AB3842" w:rsidRPr="00833BED" w14:paraId="57A0FD6E" w14:textId="77777777">
            <w:r w:rsidRPr="00833BED">
              <w:t xml:space="preserve">$400,000 </w:t>
            </w:r>
          </w:p>
        </w:tc>
        <w:tc>
          <w:tcPr>
            <w:tcW w:w="1710" w:type="dxa"/>
          </w:tcPr>
          <w:p w:rsidR="00AB3842" w:rsidRPr="00833BED" w14:paraId="56274757" w14:textId="77777777">
            <w:r w:rsidRPr="00833BED">
              <w:t>Amyotte, Khan, &amp; Klez</w:t>
            </w:r>
          </w:p>
        </w:tc>
        <w:tc>
          <w:tcPr>
            <w:tcW w:w="1440" w:type="dxa"/>
          </w:tcPr>
          <w:p w:rsidR="00AB3842" w:rsidRPr="00833BED" w14:paraId="3BE8C167" w14:textId="77777777">
            <w:hyperlink r:id="rId50" w:history="1">
              <w:r w:rsidRPr="008530DF" w:rsidR="00F83137">
                <w:rPr>
                  <w:rStyle w:val="Hyperlink"/>
                </w:rPr>
                <w:t>https://www.icheme.org/media/9602/xxi-paper-106.pdf</w:t>
              </w:r>
            </w:hyperlink>
            <w:r w:rsidR="00F83137">
              <w:t xml:space="preserve"> </w:t>
            </w:r>
          </w:p>
        </w:tc>
        <w:tc>
          <w:tcPr>
            <w:tcW w:w="2610" w:type="dxa"/>
          </w:tcPr>
          <w:p w:rsidR="00AB3842" w14:paraId="6B505C5D" w14:textId="77777777">
            <w:r>
              <w:t>L</w:t>
            </w:r>
            <w:r w:rsidRPr="00833BED">
              <w:t xml:space="preserve">arge nitrogen generator: </w:t>
            </w:r>
            <w:hyperlink r:id="rId51" w:history="1">
              <w:r w:rsidRPr="008530DF" w:rsidR="00F83137">
                <w:rPr>
                  <w:rStyle w:val="Hyperlink"/>
                </w:rPr>
                <w:t>https://gasgenerationsolutions.com/nitrogen-generator-price/</w:t>
              </w:r>
            </w:hyperlink>
            <w:r w:rsidR="00F83137">
              <w:t xml:space="preserve"> </w:t>
            </w:r>
            <w:r w:rsidRPr="00833BED">
              <w:t xml:space="preserve"> </w:t>
            </w:r>
            <w:r w:rsidR="00F83137">
              <w:t xml:space="preserve"> </w:t>
            </w:r>
          </w:p>
          <w:p w:rsidR="00AB3842" w:rsidRPr="00833BED" w14:paraId="04F454B9" w14:textId="77777777">
            <w:hyperlink r:id="rId52" w:history="1">
              <w:r w:rsidRPr="008530DF" w:rsidR="00F83137">
                <w:rPr>
                  <w:rStyle w:val="Hyperlink"/>
                </w:rPr>
                <w:t>https://nitrogen-generators.com/nitrogen-generator-price/</w:t>
              </w:r>
            </w:hyperlink>
            <w:r w:rsidR="00F83137">
              <w:t xml:space="preserve">. </w:t>
            </w:r>
            <w:r w:rsidRPr="00833BED" w:rsidR="00827144">
              <w:t xml:space="preserve">Cost for measure &amp; metering stations, inert gas sluices, nozzles for injecting liquid </w:t>
            </w:r>
            <w:r w:rsidR="00E83308">
              <w:t>N2</w:t>
            </w:r>
            <w:r w:rsidRPr="00833BED" w:rsidR="00827144">
              <w:t xml:space="preserve"> into gas stream, </w:t>
            </w:r>
            <w:r w:rsidR="00306D91">
              <w:t>&amp;</w:t>
            </w:r>
            <w:r w:rsidR="00827144">
              <w:t xml:space="preserve"> </w:t>
            </w:r>
            <w:r w:rsidRPr="00833BED" w:rsidR="00827144">
              <w:t xml:space="preserve">inert blanketing in tanks. 2015 article on cost for </w:t>
            </w:r>
            <w:r w:rsidR="00687848">
              <w:t>N2</w:t>
            </w:r>
            <w:r w:rsidRPr="00833BED" w:rsidR="00827144">
              <w:t xml:space="preserve"> system foundation + gas recovery unit + N2 recovery electric costs + maintenance: </w:t>
            </w:r>
            <w:r w:rsidR="00687848">
              <w:t>N2</w:t>
            </w:r>
            <w:r w:rsidRPr="00833BED" w:rsidR="00827144">
              <w:t xml:space="preserve"> supply system, 10-hp </w:t>
            </w:r>
            <w:r w:rsidRPr="00833BED" w:rsidR="00827144">
              <w:t xml:space="preserve">blower, convey line, 2x10ft^3 hoppers, 6" rotary airlock, dust filter, air operated discharge valve, N2 recovery line: </w:t>
            </w:r>
            <w:hyperlink r:id="rId53" w:history="1">
              <w:r w:rsidRPr="008530DF" w:rsidR="00F83137">
                <w:rPr>
                  <w:rStyle w:val="Hyperlink"/>
                </w:rPr>
                <w:t>https://www.chemengonline.com/combustible-dust-explosions-inerting/?pagenum=1</w:t>
              </w:r>
            </w:hyperlink>
            <w:r w:rsidR="00F83137">
              <w:t xml:space="preserve"> </w:t>
            </w:r>
          </w:p>
        </w:tc>
      </w:tr>
      <w:tr w14:paraId="605ED0EE" w14:textId="77777777" w:rsidTr="00D61804">
        <w:tblPrEx>
          <w:tblW w:w="15030" w:type="dxa"/>
          <w:tblInd w:w="-905" w:type="dxa"/>
          <w:tblLayout w:type="fixed"/>
          <w:tblLook w:val="04A0"/>
        </w:tblPrEx>
        <w:tc>
          <w:tcPr>
            <w:tcW w:w="900" w:type="dxa"/>
          </w:tcPr>
          <w:p w:rsidR="00AB3842" w:rsidRPr="00833BED" w14:paraId="6BB52FDD" w14:textId="77777777">
            <w:r w:rsidRPr="00833BED">
              <w:t>325</w:t>
            </w:r>
          </w:p>
        </w:tc>
        <w:tc>
          <w:tcPr>
            <w:tcW w:w="2160" w:type="dxa"/>
          </w:tcPr>
          <w:p w:rsidR="00AB3842" w:rsidRPr="00833BED" w14:paraId="20FA1FA8" w14:textId="77777777">
            <w:r w:rsidRPr="00833BED">
              <w:t xml:space="preserve">Custom refrigerated condenser system (including a refrigeration unit, a VOC </w:t>
            </w:r>
            <w:r w:rsidRPr="00833BED" w:rsidR="00D07AB5">
              <w:t>condenser</w:t>
            </w:r>
            <w:r w:rsidRPr="00833BED">
              <w:t>, and a recovery tank)</w:t>
            </w:r>
            <w:r w:rsidR="007B3F2D">
              <w:t xml:space="preserve"> used for emissions control</w:t>
            </w:r>
          </w:p>
        </w:tc>
        <w:tc>
          <w:tcPr>
            <w:tcW w:w="1260" w:type="dxa"/>
          </w:tcPr>
          <w:p w:rsidR="00AB3842" w:rsidRPr="00833BED" w14:paraId="369D38F0" w14:textId="77777777">
            <w:r w:rsidRPr="00833BED">
              <w:t xml:space="preserve">$177,959 </w:t>
            </w:r>
          </w:p>
        </w:tc>
        <w:tc>
          <w:tcPr>
            <w:tcW w:w="1260" w:type="dxa"/>
          </w:tcPr>
          <w:p w:rsidR="00AB3842" w:rsidRPr="00833BED" w14:paraId="489E1EE9" w14:textId="77777777">
            <w:r w:rsidRPr="00833BED">
              <w:t xml:space="preserve">$29,701 </w:t>
            </w:r>
          </w:p>
        </w:tc>
        <w:tc>
          <w:tcPr>
            <w:tcW w:w="1260" w:type="dxa"/>
          </w:tcPr>
          <w:p w:rsidR="00AB3842" w:rsidRPr="00833BED" w14:paraId="7514B4AC" w14:textId="77777777">
            <w:r w:rsidRPr="00833BED">
              <w:t>17%</w:t>
            </w:r>
          </w:p>
        </w:tc>
        <w:tc>
          <w:tcPr>
            <w:tcW w:w="1170" w:type="dxa"/>
          </w:tcPr>
          <w:p w:rsidR="00AB3842" w:rsidRPr="00833BED" w14:paraId="36641722" w14:textId="77777777">
            <w:r w:rsidRPr="00833BED">
              <w:t>N/A</w:t>
            </w:r>
          </w:p>
        </w:tc>
        <w:tc>
          <w:tcPr>
            <w:tcW w:w="1260" w:type="dxa"/>
          </w:tcPr>
          <w:p w:rsidR="00AB3842" w:rsidRPr="00833BED" w14:paraId="38D83584" w14:textId="77777777">
            <w:r w:rsidRPr="00833BED">
              <w:t>N/A</w:t>
            </w:r>
          </w:p>
        </w:tc>
        <w:tc>
          <w:tcPr>
            <w:tcW w:w="1710" w:type="dxa"/>
          </w:tcPr>
          <w:p w:rsidR="00AB3842" w:rsidRPr="00833BED" w14:paraId="5989CB57" w14:textId="77777777">
            <w:r w:rsidRPr="00833BED">
              <w:t xml:space="preserve">Cost Reports and Guidance for Air Pollution Regulations: EPA Airport Pollution Control Manual </w:t>
            </w:r>
          </w:p>
        </w:tc>
        <w:tc>
          <w:tcPr>
            <w:tcW w:w="1440" w:type="dxa"/>
          </w:tcPr>
          <w:p w:rsidR="00AB3842" w:rsidRPr="00833BED" w14:paraId="164A9FE6" w14:textId="77777777">
            <w:hyperlink r:id="rId44" w:history="1">
              <w:r w:rsidRPr="008530DF" w:rsidR="00F83137">
                <w:rPr>
                  <w:rStyle w:val="Hyperlink"/>
                </w:rPr>
                <w:t>https://www.epa.gov/economic-and-cost-analysis-air-pollution-regulations/cost-reports-and-guidance-air-pollution</w:t>
              </w:r>
            </w:hyperlink>
            <w:r w:rsidR="00F83137">
              <w:t xml:space="preserve"> </w:t>
            </w:r>
          </w:p>
        </w:tc>
        <w:tc>
          <w:tcPr>
            <w:tcW w:w="2610" w:type="dxa"/>
          </w:tcPr>
          <w:p w:rsidR="00AB3842" w:rsidRPr="00833BED" w14:paraId="47E5057C" w14:textId="77777777">
            <w:r w:rsidRPr="00833BED">
              <w:t xml:space="preserve">$145,000 capital cost = {[($46,480 refrigeration unit + $13,210 VOC condenser + $4,751 recovery tank)*1.18 for instrumentation, controls, taxes, </w:t>
            </w:r>
            <w:r w:rsidR="003963C0">
              <w:t>&amp;</w:t>
            </w:r>
            <w:r w:rsidRPr="00833BED">
              <w:t xml:space="preserve"> freight]*1.71 install factor}*1.10 contingency factor. $24,200 recurring cost = operating labor + maintenance + utilities + overhead + admin charges + property tax + insurance.</w:t>
            </w:r>
          </w:p>
          <w:p w:rsidR="00AB3842" w:rsidRPr="00833BED" w14:paraId="3810321A" w14:textId="77777777">
            <w:hyperlink r:id="rId54" w:history="1">
              <w:r w:rsidRPr="008530DF" w:rsidR="00F83137">
                <w:rPr>
                  <w:rStyle w:val="Hyperlink"/>
                </w:rPr>
                <w:t>https://www.epa.gov/sites/default/files/2017-12/documents/refrigeratedcondenserschapter_7thedition_final.pdf</w:t>
              </w:r>
            </w:hyperlink>
            <w:r w:rsidR="00F83137">
              <w:t xml:space="preserve"> </w:t>
            </w:r>
          </w:p>
        </w:tc>
      </w:tr>
      <w:tr w14:paraId="692945C8" w14:textId="77777777" w:rsidTr="00D61804">
        <w:tblPrEx>
          <w:tblW w:w="15030" w:type="dxa"/>
          <w:tblInd w:w="-905" w:type="dxa"/>
          <w:tblLayout w:type="fixed"/>
          <w:tblLook w:val="04A0"/>
        </w:tblPrEx>
        <w:tc>
          <w:tcPr>
            <w:tcW w:w="900" w:type="dxa"/>
          </w:tcPr>
          <w:p w:rsidR="00AB3842" w:rsidRPr="00833BED" w14:paraId="30823139" w14:textId="77777777">
            <w:r w:rsidRPr="00833BED">
              <w:t>325</w:t>
            </w:r>
          </w:p>
        </w:tc>
        <w:tc>
          <w:tcPr>
            <w:tcW w:w="2160" w:type="dxa"/>
          </w:tcPr>
          <w:p w:rsidR="00AB3842" w:rsidRPr="00833BED" w14:paraId="0DA72DBA" w14:textId="77777777">
            <w:r w:rsidRPr="00833BED">
              <w:t>New chromatography system</w:t>
            </w:r>
            <w:r w:rsidR="007A37B1">
              <w:t>:</w:t>
            </w:r>
            <w:r w:rsidRPr="00833BED">
              <w:t xml:space="preserve"> R&amp;D </w:t>
            </w:r>
            <w:r w:rsidR="00133F75">
              <w:t>&amp;</w:t>
            </w:r>
            <w:r w:rsidRPr="00833BED">
              <w:t xml:space="preserve"> testing </w:t>
            </w:r>
            <w:r w:rsidR="00A64F51">
              <w:t>&amp;</w:t>
            </w:r>
            <w:r w:rsidRPr="00833BED">
              <w:t xml:space="preserve"> medium pressure liquid chromatography equipment</w:t>
            </w:r>
          </w:p>
        </w:tc>
        <w:tc>
          <w:tcPr>
            <w:tcW w:w="1260" w:type="dxa"/>
          </w:tcPr>
          <w:p w:rsidR="00AB3842" w:rsidRPr="00833BED" w14:paraId="61920020" w14:textId="77777777">
            <w:r w:rsidRPr="00833BED">
              <w:t xml:space="preserve">$116,716 </w:t>
            </w:r>
          </w:p>
        </w:tc>
        <w:tc>
          <w:tcPr>
            <w:tcW w:w="1260" w:type="dxa"/>
          </w:tcPr>
          <w:p w:rsidR="00AB3842" w:rsidRPr="00833BED" w14:paraId="391BB75F" w14:textId="77777777">
            <w:r w:rsidRPr="00833BED">
              <w:t>N/A</w:t>
            </w:r>
          </w:p>
        </w:tc>
        <w:tc>
          <w:tcPr>
            <w:tcW w:w="1260" w:type="dxa"/>
          </w:tcPr>
          <w:p w:rsidR="00AB3842" w:rsidRPr="00833BED" w14:paraId="775698FE" w14:textId="77777777">
            <w:r w:rsidRPr="00833BED">
              <w:t>N/A</w:t>
            </w:r>
          </w:p>
        </w:tc>
        <w:tc>
          <w:tcPr>
            <w:tcW w:w="1170" w:type="dxa"/>
          </w:tcPr>
          <w:p w:rsidR="00AB3842" w:rsidRPr="00833BED" w14:paraId="50382E2D" w14:textId="77777777">
            <w:r w:rsidRPr="00833BED">
              <w:t>N/A</w:t>
            </w:r>
          </w:p>
        </w:tc>
        <w:tc>
          <w:tcPr>
            <w:tcW w:w="1260" w:type="dxa"/>
          </w:tcPr>
          <w:p w:rsidR="00AB3842" w:rsidRPr="00833BED" w14:paraId="16504F63" w14:textId="77777777">
            <w:r w:rsidRPr="00833BED">
              <w:t>N/A</w:t>
            </w:r>
          </w:p>
        </w:tc>
        <w:tc>
          <w:tcPr>
            <w:tcW w:w="1710" w:type="dxa"/>
          </w:tcPr>
          <w:p w:rsidR="00AB3842" w:rsidRPr="00833BED" w14:paraId="2202570B" w14:textId="77777777">
            <w:r w:rsidRPr="00833BED">
              <w:t>TURI</w:t>
            </w:r>
          </w:p>
        </w:tc>
        <w:tc>
          <w:tcPr>
            <w:tcW w:w="4050" w:type="dxa"/>
            <w:gridSpan w:val="2"/>
          </w:tcPr>
          <w:p w:rsidR="00AB3842" w:rsidRPr="00833BED" w14:paraId="4ED1FED0" w14:textId="77777777">
            <w:r w:rsidRPr="00833BED">
              <w:t xml:space="preserve">Costs based on implementation by ChemGenes: </w:t>
            </w:r>
            <w:hyperlink r:id="rId55" w:history="1">
              <w:r w:rsidRPr="008530DF">
                <w:rPr>
                  <w:rStyle w:val="Hyperlink"/>
                </w:rPr>
                <w:t>https://www.mass.gov/files/chemgenes_corp_-_2018.pdf</w:t>
              </w:r>
            </w:hyperlink>
            <w:r>
              <w:t xml:space="preserve"> </w:t>
            </w:r>
          </w:p>
        </w:tc>
      </w:tr>
      <w:tr w14:paraId="3805FAC9" w14:textId="77777777" w:rsidTr="00D61804">
        <w:tblPrEx>
          <w:tblW w:w="15030" w:type="dxa"/>
          <w:tblInd w:w="-905" w:type="dxa"/>
          <w:tblLayout w:type="fixed"/>
          <w:tblLook w:val="04A0"/>
        </w:tblPrEx>
        <w:tc>
          <w:tcPr>
            <w:tcW w:w="900" w:type="dxa"/>
          </w:tcPr>
          <w:p w:rsidR="00AB3842" w:rsidRPr="00833BED" w14:paraId="6F66E9C9" w14:textId="77777777">
            <w:r w:rsidRPr="00833BED">
              <w:t>325</w:t>
            </w:r>
          </w:p>
        </w:tc>
        <w:tc>
          <w:tcPr>
            <w:tcW w:w="2160" w:type="dxa"/>
          </w:tcPr>
          <w:p w:rsidR="00AB3842" w:rsidRPr="00833BED" w14:paraId="5A23C5F2" w14:textId="77777777">
            <w:r w:rsidRPr="00833BED">
              <w:t>Solvent recovery system</w:t>
            </w:r>
          </w:p>
        </w:tc>
        <w:tc>
          <w:tcPr>
            <w:tcW w:w="1260" w:type="dxa"/>
          </w:tcPr>
          <w:p w:rsidR="00AB3842" w:rsidRPr="00833BED" w14:paraId="296DAD8E" w14:textId="77777777">
            <w:r w:rsidRPr="00833BED">
              <w:t xml:space="preserve">$35,701 </w:t>
            </w:r>
          </w:p>
        </w:tc>
        <w:tc>
          <w:tcPr>
            <w:tcW w:w="1260" w:type="dxa"/>
          </w:tcPr>
          <w:p w:rsidR="00AB3842" w:rsidRPr="00833BED" w14:paraId="6FA7F5DA" w14:textId="77777777">
            <w:r w:rsidRPr="00833BED">
              <w:t>N/A</w:t>
            </w:r>
          </w:p>
        </w:tc>
        <w:tc>
          <w:tcPr>
            <w:tcW w:w="1260" w:type="dxa"/>
          </w:tcPr>
          <w:p w:rsidR="00AB3842" w:rsidRPr="00833BED" w14:paraId="198FA129" w14:textId="77777777">
            <w:r w:rsidRPr="00833BED">
              <w:t>N/A</w:t>
            </w:r>
          </w:p>
        </w:tc>
        <w:tc>
          <w:tcPr>
            <w:tcW w:w="1170" w:type="dxa"/>
          </w:tcPr>
          <w:p w:rsidR="00AB3842" w:rsidRPr="00833BED" w14:paraId="36266A34" w14:textId="77777777">
            <w:r w:rsidRPr="00833BED">
              <w:t>N/A</w:t>
            </w:r>
          </w:p>
        </w:tc>
        <w:tc>
          <w:tcPr>
            <w:tcW w:w="1260" w:type="dxa"/>
          </w:tcPr>
          <w:p w:rsidR="00AB3842" w:rsidRPr="00833BED" w14:paraId="7AC50B3A" w14:textId="77777777">
            <w:r w:rsidRPr="00833BED">
              <w:t>N/A</w:t>
            </w:r>
          </w:p>
        </w:tc>
        <w:tc>
          <w:tcPr>
            <w:tcW w:w="1710" w:type="dxa"/>
          </w:tcPr>
          <w:p w:rsidR="00AB3842" w:rsidRPr="00833BED" w14:paraId="744CB511" w14:textId="77777777">
            <w:r w:rsidRPr="00833BED">
              <w:t>TURI</w:t>
            </w:r>
          </w:p>
        </w:tc>
        <w:tc>
          <w:tcPr>
            <w:tcW w:w="4050" w:type="dxa"/>
            <w:gridSpan w:val="2"/>
          </w:tcPr>
          <w:p w:rsidR="00AB3842" w:rsidRPr="00833BED" w14:paraId="3DCB36E6" w14:textId="77777777">
            <w:r w:rsidRPr="00833BED">
              <w:t xml:space="preserve">Costs based on ChemGenes: </w:t>
            </w:r>
            <w:hyperlink r:id="rId55" w:history="1">
              <w:r w:rsidRPr="008530DF">
                <w:rPr>
                  <w:rStyle w:val="Hyperlink"/>
                </w:rPr>
                <w:t>https://www.mass.gov/files/chemgenes_corp_-_2018.pdf</w:t>
              </w:r>
            </w:hyperlink>
            <w:r>
              <w:t xml:space="preserve"> </w:t>
            </w:r>
          </w:p>
        </w:tc>
      </w:tr>
      <w:tr w14:paraId="1A108367" w14:textId="77777777" w:rsidTr="00D61804">
        <w:tblPrEx>
          <w:tblW w:w="15030" w:type="dxa"/>
          <w:tblInd w:w="-905" w:type="dxa"/>
          <w:tblLayout w:type="fixed"/>
          <w:tblLook w:val="04A0"/>
        </w:tblPrEx>
        <w:tc>
          <w:tcPr>
            <w:tcW w:w="900" w:type="dxa"/>
          </w:tcPr>
          <w:p w:rsidR="00AB3842" w:rsidRPr="00833BED" w14:paraId="5872B3B4" w14:textId="77777777">
            <w:r w:rsidRPr="00833BED">
              <w:t>325</w:t>
            </w:r>
          </w:p>
        </w:tc>
        <w:tc>
          <w:tcPr>
            <w:tcW w:w="2160" w:type="dxa"/>
          </w:tcPr>
          <w:p w:rsidR="00AB3842" w:rsidRPr="00833BED" w14:paraId="4364F38E" w14:textId="77777777">
            <w:r w:rsidRPr="00833BED">
              <w:t>Install a new zinc oxide dispensing system that reduces toxic waste and materials handling</w:t>
            </w:r>
          </w:p>
        </w:tc>
        <w:tc>
          <w:tcPr>
            <w:tcW w:w="1260" w:type="dxa"/>
          </w:tcPr>
          <w:p w:rsidR="00AB3842" w:rsidRPr="00833BED" w14:paraId="12E06F65" w14:textId="77777777">
            <w:r w:rsidRPr="00833BED">
              <w:t xml:space="preserve">$56,069 </w:t>
            </w:r>
          </w:p>
        </w:tc>
        <w:tc>
          <w:tcPr>
            <w:tcW w:w="1260" w:type="dxa"/>
          </w:tcPr>
          <w:p w:rsidR="00AB3842" w:rsidRPr="00833BED" w14:paraId="471E433E" w14:textId="77777777">
            <w:r w:rsidRPr="00833BED">
              <w:t>N/A</w:t>
            </w:r>
          </w:p>
        </w:tc>
        <w:tc>
          <w:tcPr>
            <w:tcW w:w="1260" w:type="dxa"/>
          </w:tcPr>
          <w:p w:rsidR="00AB3842" w:rsidRPr="00833BED" w14:paraId="6F067B49" w14:textId="77777777">
            <w:r w:rsidRPr="00833BED">
              <w:t>N/A</w:t>
            </w:r>
          </w:p>
        </w:tc>
        <w:tc>
          <w:tcPr>
            <w:tcW w:w="1170" w:type="dxa"/>
          </w:tcPr>
          <w:p w:rsidR="00AB3842" w:rsidRPr="00833BED" w14:paraId="66B49096" w14:textId="77777777">
            <w:r w:rsidRPr="00833BED">
              <w:t>N/A</w:t>
            </w:r>
          </w:p>
        </w:tc>
        <w:tc>
          <w:tcPr>
            <w:tcW w:w="1260" w:type="dxa"/>
          </w:tcPr>
          <w:p w:rsidR="00AB3842" w:rsidRPr="00833BED" w14:paraId="381BA814" w14:textId="77777777">
            <w:r w:rsidRPr="00833BED">
              <w:t>N/A</w:t>
            </w:r>
          </w:p>
        </w:tc>
        <w:tc>
          <w:tcPr>
            <w:tcW w:w="1710" w:type="dxa"/>
          </w:tcPr>
          <w:p w:rsidR="00AB3842" w:rsidRPr="00833BED" w14:paraId="180BDC16" w14:textId="77777777">
            <w:r w:rsidRPr="00833BED">
              <w:t>TURI</w:t>
            </w:r>
          </w:p>
        </w:tc>
        <w:tc>
          <w:tcPr>
            <w:tcW w:w="4050" w:type="dxa"/>
            <w:gridSpan w:val="2"/>
          </w:tcPr>
          <w:p w:rsidR="00AB3842" w:rsidRPr="00833BED" w14:paraId="1A070326" w14:textId="77777777">
            <w:r w:rsidRPr="00833BED">
              <w:t xml:space="preserve">Costs based on </w:t>
            </w:r>
            <w:r>
              <w:t xml:space="preserve">implementation by </w:t>
            </w:r>
            <w:r w:rsidRPr="00833BED">
              <w:t xml:space="preserve">Acushnet Rubber Company: </w:t>
            </w:r>
            <w:hyperlink r:id="rId56" w:history="1">
              <w:r w:rsidRPr="008530DF">
                <w:rPr>
                  <w:rStyle w:val="Hyperlink"/>
                </w:rPr>
                <w:t>https://www.mass.gov/files/acushnet-rubber-company_5.pdf</w:t>
              </w:r>
            </w:hyperlink>
            <w:r>
              <w:t xml:space="preserve"> </w:t>
            </w:r>
          </w:p>
        </w:tc>
      </w:tr>
      <w:tr w14:paraId="4E00D1CE" w14:textId="77777777" w:rsidTr="00D61804">
        <w:tblPrEx>
          <w:tblW w:w="15030" w:type="dxa"/>
          <w:tblInd w:w="-905" w:type="dxa"/>
          <w:tblLayout w:type="fixed"/>
          <w:tblLook w:val="04A0"/>
        </w:tblPrEx>
        <w:tc>
          <w:tcPr>
            <w:tcW w:w="900" w:type="dxa"/>
          </w:tcPr>
          <w:p w:rsidR="00AB3842" w:rsidRPr="00833BED" w14:paraId="068DBB8C" w14:textId="77777777">
            <w:r w:rsidRPr="00833BED">
              <w:t>325</w:t>
            </w:r>
          </w:p>
        </w:tc>
        <w:tc>
          <w:tcPr>
            <w:tcW w:w="2160" w:type="dxa"/>
          </w:tcPr>
          <w:p w:rsidR="00AB3842" w:rsidRPr="00833BED" w14:paraId="06609506" w14:textId="77777777">
            <w:r w:rsidRPr="00833BED">
              <w:t>Good management practices/standard operating procedures</w:t>
            </w:r>
          </w:p>
        </w:tc>
        <w:tc>
          <w:tcPr>
            <w:tcW w:w="1260" w:type="dxa"/>
          </w:tcPr>
          <w:p w:rsidR="00AB3842" w:rsidRPr="00833BED" w14:paraId="4241AC45" w14:textId="77777777">
            <w:r w:rsidRPr="00833BED">
              <w:t>N/A</w:t>
            </w:r>
          </w:p>
        </w:tc>
        <w:tc>
          <w:tcPr>
            <w:tcW w:w="1260" w:type="dxa"/>
          </w:tcPr>
          <w:p w:rsidR="00AB3842" w:rsidRPr="00833BED" w14:paraId="6C7AA988" w14:textId="77777777">
            <w:r w:rsidRPr="00833BED">
              <w:t xml:space="preserve">$184,000 </w:t>
            </w:r>
          </w:p>
        </w:tc>
        <w:tc>
          <w:tcPr>
            <w:tcW w:w="1260" w:type="dxa"/>
          </w:tcPr>
          <w:p w:rsidR="00AB3842" w:rsidRPr="00833BED" w14:paraId="38C6B7C6" w14:textId="77777777">
            <w:r w:rsidRPr="00833BED">
              <w:t>N/A</w:t>
            </w:r>
          </w:p>
        </w:tc>
        <w:tc>
          <w:tcPr>
            <w:tcW w:w="1170" w:type="dxa"/>
          </w:tcPr>
          <w:p w:rsidR="00AB3842" w:rsidRPr="00833BED" w14:paraId="3A84FA07" w14:textId="77777777">
            <w:r w:rsidRPr="00833BED">
              <w:t>N/A</w:t>
            </w:r>
          </w:p>
        </w:tc>
        <w:tc>
          <w:tcPr>
            <w:tcW w:w="1260" w:type="dxa"/>
          </w:tcPr>
          <w:p w:rsidR="00AB3842" w:rsidRPr="00833BED" w14:paraId="1A78A2E1" w14:textId="77777777">
            <w:r w:rsidRPr="00833BED">
              <w:t>N/A</w:t>
            </w:r>
          </w:p>
        </w:tc>
        <w:tc>
          <w:tcPr>
            <w:tcW w:w="1710" w:type="dxa"/>
          </w:tcPr>
          <w:p w:rsidR="00AB3842" w:rsidRPr="00833BED" w14:paraId="210D5E64" w14:textId="77777777">
            <w:r w:rsidRPr="00833BED">
              <w:t>National Academy of Sciences; The Use and Storage of Methyl Isocyanate (MIC) at Bayer CropScience</w:t>
            </w:r>
          </w:p>
        </w:tc>
        <w:tc>
          <w:tcPr>
            <w:tcW w:w="1440" w:type="dxa"/>
          </w:tcPr>
          <w:p w:rsidR="00AB3842" w:rsidRPr="00833BED" w14:paraId="18EAF534" w14:textId="77777777">
            <w:hyperlink r:id="rId46" w:history="1">
              <w:r w:rsidRPr="008530DF" w:rsidR="00F83137">
                <w:rPr>
                  <w:rStyle w:val="Hyperlink"/>
                </w:rPr>
                <w:t>https://nap.nationalacademies.org/resource/13385/MIC-Summary-Final.pdf</w:t>
              </w:r>
            </w:hyperlink>
            <w:r w:rsidR="00F83137">
              <w:t xml:space="preserve"> </w:t>
            </w:r>
          </w:p>
        </w:tc>
        <w:tc>
          <w:tcPr>
            <w:tcW w:w="2610" w:type="dxa"/>
          </w:tcPr>
          <w:p w:rsidR="00AB3842" w:rsidRPr="00833BED" w14:paraId="08CD7B53" w14:textId="77777777">
            <w:r w:rsidRPr="00833BED">
              <w:t xml:space="preserve">Cost based on good manufacturing practices (GMP) compliance cost per medium establishment: </w:t>
            </w:r>
            <w:hyperlink r:id="rId57" w:history="1">
              <w:r w:rsidRPr="008530DF" w:rsidR="00F83137">
                <w:rPr>
                  <w:rStyle w:val="Hyperlink"/>
                </w:rPr>
                <w:t>https://instantgmp.com/support/gmp-compliance/gmp-compliance-cost/</w:t>
              </w:r>
            </w:hyperlink>
            <w:r w:rsidR="00F83137">
              <w:t xml:space="preserve"> </w:t>
            </w:r>
          </w:p>
        </w:tc>
      </w:tr>
      <w:tr w14:paraId="6747ED82" w14:textId="77777777" w:rsidTr="00D61804">
        <w:tblPrEx>
          <w:tblW w:w="15030" w:type="dxa"/>
          <w:tblInd w:w="-905" w:type="dxa"/>
          <w:tblLayout w:type="fixed"/>
          <w:tblLook w:val="04A0"/>
        </w:tblPrEx>
        <w:tc>
          <w:tcPr>
            <w:tcW w:w="900" w:type="dxa"/>
          </w:tcPr>
          <w:p w:rsidR="00AB3842" w:rsidRPr="00833BED" w14:paraId="107D9D96" w14:textId="77777777">
            <w:r w:rsidRPr="00833BED">
              <w:t>325</w:t>
            </w:r>
          </w:p>
        </w:tc>
        <w:tc>
          <w:tcPr>
            <w:tcW w:w="2160" w:type="dxa"/>
          </w:tcPr>
          <w:p w:rsidR="00AB3842" w:rsidRPr="00833BED" w14:paraId="3E133D7D" w14:textId="77777777">
            <w:r w:rsidRPr="00833BED">
              <w:t>Operator training</w:t>
            </w:r>
          </w:p>
        </w:tc>
        <w:tc>
          <w:tcPr>
            <w:tcW w:w="1260" w:type="dxa"/>
          </w:tcPr>
          <w:p w:rsidR="00AB3842" w:rsidRPr="00833BED" w14:paraId="032AAE85" w14:textId="77777777">
            <w:r w:rsidRPr="00833BED">
              <w:t>N/A</w:t>
            </w:r>
          </w:p>
        </w:tc>
        <w:tc>
          <w:tcPr>
            <w:tcW w:w="1260" w:type="dxa"/>
          </w:tcPr>
          <w:p w:rsidR="00AB3842" w:rsidRPr="00833BED" w14:paraId="1775CA15" w14:textId="77777777">
            <w:r w:rsidRPr="00833BED">
              <w:t xml:space="preserve">$20,000 </w:t>
            </w:r>
          </w:p>
        </w:tc>
        <w:tc>
          <w:tcPr>
            <w:tcW w:w="1260" w:type="dxa"/>
          </w:tcPr>
          <w:p w:rsidR="00AB3842" w:rsidRPr="00833BED" w14:paraId="1CD65017" w14:textId="77777777">
            <w:r w:rsidRPr="00833BED">
              <w:t>N/A</w:t>
            </w:r>
          </w:p>
        </w:tc>
        <w:tc>
          <w:tcPr>
            <w:tcW w:w="1170" w:type="dxa"/>
          </w:tcPr>
          <w:p w:rsidR="00AB3842" w:rsidRPr="00833BED" w14:paraId="64CB3F45" w14:textId="77777777">
            <w:r w:rsidRPr="00833BED">
              <w:t>N/A</w:t>
            </w:r>
          </w:p>
        </w:tc>
        <w:tc>
          <w:tcPr>
            <w:tcW w:w="1260" w:type="dxa"/>
          </w:tcPr>
          <w:p w:rsidR="00AB3842" w:rsidRPr="00833BED" w14:paraId="64472DC1" w14:textId="77777777">
            <w:r w:rsidRPr="00833BED">
              <w:t>N/A</w:t>
            </w:r>
          </w:p>
        </w:tc>
        <w:tc>
          <w:tcPr>
            <w:tcW w:w="1710" w:type="dxa"/>
          </w:tcPr>
          <w:p w:rsidR="00AB3842" w:rsidRPr="00833BED" w14:paraId="19B33057" w14:textId="77777777">
            <w:r w:rsidRPr="00833BED">
              <w:t>National Academy of Sciences; The Use and Storage of Methyl Isocyanate (MIC) at Bayer CropScience</w:t>
            </w:r>
          </w:p>
        </w:tc>
        <w:tc>
          <w:tcPr>
            <w:tcW w:w="1440" w:type="dxa"/>
          </w:tcPr>
          <w:p w:rsidR="00AB3842" w:rsidRPr="00833BED" w14:paraId="0A522A50" w14:textId="77777777">
            <w:hyperlink r:id="rId46" w:history="1">
              <w:r w:rsidRPr="008530DF" w:rsidR="00F83137">
                <w:rPr>
                  <w:rStyle w:val="Hyperlink"/>
                </w:rPr>
                <w:t>https://nap.nationalacademies.org/resource/13385/MIC-Summary-Final.pdf</w:t>
              </w:r>
            </w:hyperlink>
            <w:r w:rsidR="00F83137">
              <w:t xml:space="preserve"> </w:t>
            </w:r>
          </w:p>
        </w:tc>
        <w:tc>
          <w:tcPr>
            <w:tcW w:w="2610" w:type="dxa"/>
          </w:tcPr>
          <w:p w:rsidR="00AB3842" w:rsidRPr="00833BED" w14:paraId="0D2DF517" w14:textId="77777777">
            <w:r w:rsidRPr="00833BED">
              <w:t xml:space="preserve">Cost </w:t>
            </w:r>
            <w:r w:rsidR="005E0672">
              <w:t>from</w:t>
            </w:r>
            <w:r w:rsidRPr="00833BED">
              <w:t xml:space="preserve"> heavy equipment operator training cost: </w:t>
            </w:r>
            <w:hyperlink r:id="rId58" w:history="1">
              <w:r w:rsidRPr="008530DF" w:rsidR="00F83137">
                <w:rPr>
                  <w:rStyle w:val="Hyperlink"/>
                </w:rPr>
                <w:t>https://totalequipmenttraining.com/blog/how-much-does-heavy-equipment-operator-training-cost/</w:t>
              </w:r>
            </w:hyperlink>
            <w:r w:rsidR="00F83137">
              <w:t xml:space="preserve"> </w:t>
            </w:r>
            <w:r w:rsidRPr="00833BED">
              <w:t xml:space="preserve">. </w:t>
            </w:r>
          </w:p>
          <w:p w:rsidR="00AB3842" w:rsidRPr="00833BED" w14:paraId="37202569" w14:textId="77777777">
            <w:r w:rsidRPr="00833BED">
              <w:t xml:space="preserve">Alternative source: </w:t>
            </w:r>
            <w:hyperlink r:id="rId59" w:anchor="tabs-5f3b6b54f8-item-724efa7516-tab" w:history="1">
              <w:r w:rsidRPr="008530DF" w:rsidR="00F83137">
                <w:rPr>
                  <w:rStyle w:val="Hyperlink"/>
                </w:rPr>
                <w:t>https://www.cat.com/en_US/support/cat-training/Heavy-Equipment-Operator-Training.html#tabs-5f3b6b54f8-item-724efa7516-tab</w:t>
              </w:r>
            </w:hyperlink>
            <w:r w:rsidR="00F83137">
              <w:t xml:space="preserve"> </w:t>
            </w:r>
          </w:p>
        </w:tc>
      </w:tr>
      <w:tr w14:paraId="388CA145" w14:textId="77777777" w:rsidTr="00D61804">
        <w:tblPrEx>
          <w:tblW w:w="15030" w:type="dxa"/>
          <w:tblInd w:w="-905" w:type="dxa"/>
          <w:tblLayout w:type="fixed"/>
          <w:tblLook w:val="04A0"/>
        </w:tblPrEx>
        <w:tc>
          <w:tcPr>
            <w:tcW w:w="900" w:type="dxa"/>
          </w:tcPr>
          <w:p w:rsidR="00AB3842" w:rsidRPr="00833BED" w14:paraId="4D6F6F30" w14:textId="77777777">
            <w:r w:rsidRPr="00833BED">
              <w:t>325</w:t>
            </w:r>
          </w:p>
        </w:tc>
        <w:tc>
          <w:tcPr>
            <w:tcW w:w="2160" w:type="dxa"/>
          </w:tcPr>
          <w:p w:rsidR="00AB3842" w:rsidRPr="00833BED" w14:paraId="470971E8" w14:textId="77777777">
            <w:r w:rsidRPr="00833BED">
              <w:t>Management systems (e.g., alarm management program)</w:t>
            </w:r>
          </w:p>
        </w:tc>
        <w:tc>
          <w:tcPr>
            <w:tcW w:w="1260" w:type="dxa"/>
          </w:tcPr>
          <w:p w:rsidR="00AB3842" w:rsidRPr="00833BED" w14:paraId="5063B995" w14:textId="77777777">
            <w:r w:rsidRPr="00833BED">
              <w:t xml:space="preserve">$195,621 </w:t>
            </w:r>
          </w:p>
        </w:tc>
        <w:tc>
          <w:tcPr>
            <w:tcW w:w="1260" w:type="dxa"/>
          </w:tcPr>
          <w:p w:rsidR="00AB3842" w:rsidRPr="00833BED" w14:paraId="1CD35CFA" w14:textId="77777777">
            <w:r w:rsidRPr="00833BED">
              <w:t>N/A</w:t>
            </w:r>
          </w:p>
        </w:tc>
        <w:tc>
          <w:tcPr>
            <w:tcW w:w="1260" w:type="dxa"/>
          </w:tcPr>
          <w:p w:rsidR="00AB3842" w:rsidRPr="00833BED" w14:paraId="73A2A01C" w14:textId="77777777">
            <w:r w:rsidRPr="00833BED">
              <w:t>N/A</w:t>
            </w:r>
          </w:p>
        </w:tc>
        <w:tc>
          <w:tcPr>
            <w:tcW w:w="1170" w:type="dxa"/>
          </w:tcPr>
          <w:p w:rsidR="00AB3842" w:rsidRPr="00833BED" w14:paraId="40E54257" w14:textId="77777777">
            <w:r w:rsidRPr="00833BED">
              <w:t xml:space="preserve">$167,675 </w:t>
            </w:r>
          </w:p>
        </w:tc>
        <w:tc>
          <w:tcPr>
            <w:tcW w:w="1260" w:type="dxa"/>
          </w:tcPr>
          <w:p w:rsidR="00AB3842" w:rsidRPr="00833BED" w14:paraId="362EDA4C" w14:textId="77777777">
            <w:r w:rsidRPr="00833BED">
              <w:t xml:space="preserve">$223,567 </w:t>
            </w:r>
          </w:p>
        </w:tc>
        <w:tc>
          <w:tcPr>
            <w:tcW w:w="1710" w:type="dxa"/>
          </w:tcPr>
          <w:p w:rsidR="00AB3842" w:rsidRPr="00833BED" w14:paraId="3E797585" w14:textId="77777777">
            <w:r w:rsidRPr="00833BED">
              <w:t xml:space="preserve">National Academy of Sciences; The Use and Storage of </w:t>
            </w:r>
            <w:r w:rsidRPr="00833BED">
              <w:t>Methyl Isocyanate (MIC) at Bayer CropScience</w:t>
            </w:r>
          </w:p>
        </w:tc>
        <w:tc>
          <w:tcPr>
            <w:tcW w:w="1440" w:type="dxa"/>
          </w:tcPr>
          <w:p w:rsidR="00AB3842" w:rsidRPr="00833BED" w14:paraId="549E35F9" w14:textId="77777777">
            <w:hyperlink r:id="rId46" w:history="1">
              <w:r w:rsidRPr="008530DF" w:rsidR="00F83137">
                <w:rPr>
                  <w:rStyle w:val="Hyperlink"/>
                </w:rPr>
                <w:t>https://nap.nationalacademies.org/resource/13385/MIC-</w:t>
              </w:r>
              <w:r w:rsidRPr="008530DF" w:rsidR="00F83137">
                <w:rPr>
                  <w:rStyle w:val="Hyperlink"/>
                </w:rPr>
                <w:t>Summary-Final.pdf</w:t>
              </w:r>
            </w:hyperlink>
            <w:r w:rsidR="00F83137">
              <w:t xml:space="preserve"> </w:t>
            </w:r>
          </w:p>
        </w:tc>
        <w:tc>
          <w:tcPr>
            <w:tcW w:w="2610" w:type="dxa"/>
          </w:tcPr>
          <w:p w:rsidR="00AB3842" w:rsidRPr="00833BED" w14:paraId="5489764F" w14:textId="77777777">
            <w:r w:rsidRPr="00833BED">
              <w:t xml:space="preserve">Cost from: </w:t>
            </w:r>
            <w:hyperlink r:id="rId60" w:anchor=":~:text=Based%20on%20this%20rough%20plan%2C%20the%20cost%20can,this%20program%20might%20cost%20about%20%24150K%20%E2%80%93%20%24200K" w:history="1">
              <w:r w:rsidRPr="008530DF" w:rsidR="00F83137">
                <w:rPr>
                  <w:rStyle w:val="Hyperlink"/>
                </w:rPr>
                <w:t>https://www.isa.org/intech-home/2020/march-april/features/alarm-</w:t>
              </w:r>
              <w:r w:rsidRPr="008530DF" w:rsidR="00F83137">
                <w:rPr>
                  <w:rStyle w:val="Hyperlink"/>
                </w:rPr>
                <w:t>management-questions-that-everyone-asks#:~:text=Based%20on%20this%20rough%20plan%2C%20the%20cost%20can,this%20program%20might%20cost%20about%20%24150K%20%E2%80%93%20%24200K</w:t>
              </w:r>
            </w:hyperlink>
            <w:r w:rsidR="00F83137">
              <w:t xml:space="preserve"> </w:t>
            </w:r>
          </w:p>
        </w:tc>
      </w:tr>
      <w:tr w14:paraId="716C888C" w14:textId="77777777" w:rsidTr="00D61804">
        <w:tblPrEx>
          <w:tblW w:w="15030" w:type="dxa"/>
          <w:tblInd w:w="-905" w:type="dxa"/>
          <w:tblLayout w:type="fixed"/>
          <w:tblLook w:val="04A0"/>
        </w:tblPrEx>
        <w:tc>
          <w:tcPr>
            <w:tcW w:w="900" w:type="dxa"/>
          </w:tcPr>
          <w:p w:rsidR="00AB3842" w:rsidRPr="00833BED" w14:paraId="0613B57A" w14:textId="77777777">
            <w:r w:rsidRPr="00833BED">
              <w:t>325</w:t>
            </w:r>
          </w:p>
        </w:tc>
        <w:tc>
          <w:tcPr>
            <w:tcW w:w="2160" w:type="dxa"/>
          </w:tcPr>
          <w:p w:rsidR="00AB3842" w:rsidRPr="00833BED" w14:paraId="3D25C1E4" w14:textId="77777777">
            <w:r w:rsidRPr="00833BED">
              <w:t>Smaller-scale and larger-scale procedural measures</w:t>
            </w:r>
          </w:p>
        </w:tc>
        <w:tc>
          <w:tcPr>
            <w:tcW w:w="1260" w:type="dxa"/>
          </w:tcPr>
          <w:p w:rsidR="00AB3842" w:rsidRPr="00833BED" w14:paraId="6C8C26FC" w14:textId="77777777">
            <w:r w:rsidRPr="00833BED">
              <w:t xml:space="preserve">$50,000 </w:t>
            </w:r>
          </w:p>
        </w:tc>
        <w:tc>
          <w:tcPr>
            <w:tcW w:w="1260" w:type="dxa"/>
          </w:tcPr>
          <w:p w:rsidR="00AB3842" w:rsidRPr="00833BED" w14:paraId="57C0859C" w14:textId="77777777">
            <w:r w:rsidRPr="00833BED">
              <w:t>N/A</w:t>
            </w:r>
          </w:p>
        </w:tc>
        <w:tc>
          <w:tcPr>
            <w:tcW w:w="1260" w:type="dxa"/>
          </w:tcPr>
          <w:p w:rsidR="00AB3842" w:rsidRPr="00833BED" w14:paraId="0FD29973" w14:textId="77777777">
            <w:r w:rsidRPr="00833BED">
              <w:t>N/A</w:t>
            </w:r>
          </w:p>
        </w:tc>
        <w:tc>
          <w:tcPr>
            <w:tcW w:w="1170" w:type="dxa"/>
          </w:tcPr>
          <w:p w:rsidR="00AB3842" w:rsidRPr="00833BED" w14:paraId="1D559A36" w14:textId="77777777">
            <w:r w:rsidRPr="00833BED">
              <w:t xml:space="preserve">$5,000 </w:t>
            </w:r>
          </w:p>
        </w:tc>
        <w:tc>
          <w:tcPr>
            <w:tcW w:w="1260" w:type="dxa"/>
          </w:tcPr>
          <w:p w:rsidR="00AB3842" w:rsidRPr="00833BED" w14:paraId="7809BD64" w14:textId="77777777">
            <w:r>
              <w:t>&gt;</w:t>
            </w:r>
            <w:r w:rsidRPr="00833BED">
              <w:t xml:space="preserve">$50,000 </w:t>
            </w:r>
          </w:p>
        </w:tc>
        <w:tc>
          <w:tcPr>
            <w:tcW w:w="1710" w:type="dxa"/>
          </w:tcPr>
          <w:p w:rsidR="00AB3842" w:rsidRPr="00833BED" w14:paraId="28B392E0" w14:textId="77777777">
            <w:r w:rsidRPr="00833BED">
              <w:t>ERG</w:t>
            </w:r>
            <w:r w:rsidR="0027000B">
              <w:t xml:space="preserve"> correspondence with EPA</w:t>
            </w:r>
          </w:p>
        </w:tc>
        <w:tc>
          <w:tcPr>
            <w:tcW w:w="1440" w:type="dxa"/>
          </w:tcPr>
          <w:p w:rsidR="00AB3842" w:rsidRPr="00833BED" w14:paraId="0C16646F" w14:textId="77777777"/>
        </w:tc>
        <w:tc>
          <w:tcPr>
            <w:tcW w:w="2610" w:type="dxa"/>
          </w:tcPr>
          <w:p w:rsidR="00AB3842" w:rsidRPr="00833BED" w14:paraId="5217AD9F" w14:textId="77777777"/>
        </w:tc>
      </w:tr>
      <w:tr w14:paraId="61FF7FD9" w14:textId="77777777" w:rsidTr="00D61804">
        <w:tblPrEx>
          <w:tblW w:w="15030" w:type="dxa"/>
          <w:tblInd w:w="-905" w:type="dxa"/>
          <w:tblLayout w:type="fixed"/>
          <w:tblLook w:val="04A0"/>
        </w:tblPrEx>
        <w:tc>
          <w:tcPr>
            <w:tcW w:w="900" w:type="dxa"/>
          </w:tcPr>
          <w:p w:rsidR="00AB3842" w:rsidRPr="00833BED" w14:paraId="6BBF5041" w14:textId="77777777">
            <w:r w:rsidRPr="00833BED">
              <w:t>325</w:t>
            </w:r>
          </w:p>
        </w:tc>
        <w:tc>
          <w:tcPr>
            <w:tcW w:w="2160" w:type="dxa"/>
          </w:tcPr>
          <w:p w:rsidR="00AB3842" w:rsidRPr="00833BED" w14:paraId="2576AEF2" w14:textId="77777777">
            <w:r w:rsidRPr="00833BED">
              <w:t>Pressure vessel design</w:t>
            </w:r>
          </w:p>
        </w:tc>
        <w:tc>
          <w:tcPr>
            <w:tcW w:w="1260" w:type="dxa"/>
          </w:tcPr>
          <w:p w:rsidR="00AB3842" w:rsidRPr="00833BED" w14:paraId="552251F4" w14:textId="77777777">
            <w:r w:rsidRPr="00833BED">
              <w:t xml:space="preserve">$30,000 </w:t>
            </w:r>
          </w:p>
        </w:tc>
        <w:tc>
          <w:tcPr>
            <w:tcW w:w="1260" w:type="dxa"/>
          </w:tcPr>
          <w:p w:rsidR="00AB3842" w:rsidRPr="00833BED" w14:paraId="20AEE7E4" w14:textId="77777777">
            <w:r w:rsidRPr="00833BED">
              <w:t xml:space="preserve">$10,000 </w:t>
            </w:r>
          </w:p>
        </w:tc>
        <w:tc>
          <w:tcPr>
            <w:tcW w:w="1260" w:type="dxa"/>
          </w:tcPr>
          <w:p w:rsidR="00AB3842" w:rsidRPr="00833BED" w14:paraId="7102DF08" w14:textId="77777777">
            <w:r w:rsidRPr="00833BED">
              <w:t>33%</w:t>
            </w:r>
          </w:p>
        </w:tc>
        <w:tc>
          <w:tcPr>
            <w:tcW w:w="1170" w:type="dxa"/>
          </w:tcPr>
          <w:p w:rsidR="00AB3842" w:rsidRPr="00833BED" w14:paraId="16332182" w14:textId="77777777">
            <w:r w:rsidRPr="00833BED">
              <w:t xml:space="preserve">$3,500 </w:t>
            </w:r>
          </w:p>
        </w:tc>
        <w:tc>
          <w:tcPr>
            <w:tcW w:w="1260" w:type="dxa"/>
          </w:tcPr>
          <w:p w:rsidR="00AB3842" w:rsidRPr="00833BED" w14:paraId="42992569" w14:textId="77777777">
            <w:r w:rsidRPr="00833BED">
              <w:t xml:space="preserve">$60,000 </w:t>
            </w:r>
          </w:p>
        </w:tc>
        <w:tc>
          <w:tcPr>
            <w:tcW w:w="1710" w:type="dxa"/>
          </w:tcPr>
          <w:p w:rsidR="00AB3842" w:rsidRPr="00833BED" w14:paraId="083CF4EE" w14:textId="77777777">
            <w:r w:rsidRPr="00833BED">
              <w:t>PrimaTech</w:t>
            </w:r>
          </w:p>
        </w:tc>
        <w:tc>
          <w:tcPr>
            <w:tcW w:w="1440" w:type="dxa"/>
          </w:tcPr>
          <w:p w:rsidR="00AB3842" w:rsidRPr="00833BED" w14:paraId="258D0263" w14:textId="77777777">
            <w:hyperlink r:id="rId32" w:history="1">
              <w:r w:rsidRPr="008530DF" w:rsidR="00F83137">
                <w:rPr>
                  <w:rStyle w:val="Hyperlink"/>
                </w:rPr>
                <w:t>https://www.primatech.com/technical/safer-technologies-and-alternative-analysis</w:t>
              </w:r>
            </w:hyperlink>
            <w:r w:rsidR="00F83137">
              <w:t xml:space="preserve"> </w:t>
            </w:r>
          </w:p>
        </w:tc>
        <w:tc>
          <w:tcPr>
            <w:tcW w:w="2610" w:type="dxa"/>
          </w:tcPr>
          <w:p w:rsidR="00AB3842" w:rsidRPr="00833BED" w14:paraId="2DA16516" w14:textId="77777777">
            <w:r w:rsidRPr="00833BED">
              <w:t xml:space="preserve">Cost based on H2: </w:t>
            </w:r>
            <w:hyperlink r:id="rId61" w:history="1">
              <w:r w:rsidRPr="008530DF" w:rsidR="00893576">
                <w:rPr>
                  <w:rStyle w:val="Hyperlink"/>
                </w:rPr>
                <w:t>https://www.energy.gov/sites/default/files/2016/09/f33/fcto_h2_storage_700bar_workshop_2_james.pdf</w:t>
              </w:r>
            </w:hyperlink>
            <w:r w:rsidR="00893576">
              <w:t xml:space="preserve"> </w:t>
            </w:r>
            <w:r w:rsidRPr="00833BED">
              <w:t xml:space="preserve">. </w:t>
            </w:r>
          </w:p>
          <w:p w:rsidR="00AB3842" w:rsidRPr="00833BED" w14:paraId="23AFBDA8" w14:textId="77777777">
            <w:r w:rsidRPr="00833BED">
              <w:t xml:space="preserve">Potential alternate source: </w:t>
            </w:r>
            <w:hyperlink r:id="rId33" w:anchor=":~:text=Small%20pressure%20vessels%20such%20as,%241%2C000%2C000.00%20to%20manufacture%20and%20deliver" w:history="1">
              <w:r w:rsidRPr="008530DF" w:rsidR="00F83137">
                <w:rPr>
                  <w:rStyle w:val="Hyperlink"/>
                </w:rPr>
                <w:t>https://www.halvorsenusa.com/resources/pressure-vessel-cost-estimations-pricing-rates-expenses/#:~:text=Small%20pressure%20vessels%20such%20as,%241%2C000%2C000.00%20to%20manufacture%20and%20deliver</w:t>
              </w:r>
            </w:hyperlink>
            <w:r w:rsidR="00F83137">
              <w:t xml:space="preserve"> </w:t>
            </w:r>
            <w:r w:rsidRPr="00833BED">
              <w:t xml:space="preserve">. </w:t>
            </w:r>
          </w:p>
          <w:p w:rsidR="00AB3842" w:rsidRPr="00833BED" w14:paraId="280BA682" w14:textId="77777777">
            <w:r w:rsidRPr="00833BED">
              <w:t xml:space="preserve">Recurring cost from: </w:t>
            </w:r>
            <w:hyperlink r:id="rId34" w:history="1">
              <w:r w:rsidRPr="008530DF" w:rsidR="00F83137">
                <w:rPr>
                  <w:rStyle w:val="Hyperlink"/>
                </w:rPr>
                <w:t>https://www.maintenanceandengineering.com/2020/04/15/what-is-the-real-cost-of-</w:t>
              </w:r>
              <w:r w:rsidRPr="008530DF" w:rsidR="00F83137">
                <w:rPr>
                  <w:rStyle w:val="Hyperlink"/>
                </w:rPr>
                <w:t>pressure-vessel-repair/</w:t>
              </w:r>
            </w:hyperlink>
            <w:r w:rsidR="00F83137">
              <w:t xml:space="preserve"> </w:t>
            </w:r>
            <w:r w:rsidRPr="00833BED">
              <w:t xml:space="preserve">. </w:t>
            </w:r>
            <w:r w:rsidR="0035280D">
              <w:t>R</w:t>
            </w:r>
            <w:r w:rsidRPr="00833BED">
              <w:t xml:space="preserve">epair </w:t>
            </w:r>
            <w:r w:rsidR="0035280D">
              <w:t xml:space="preserve">costs </w:t>
            </w:r>
            <w:r w:rsidRPr="00833BED">
              <w:t>run into tens of thousands</w:t>
            </w:r>
            <w:r w:rsidR="0035280D">
              <w:t xml:space="preserve"> of dollars</w:t>
            </w:r>
            <w:r w:rsidRPr="00833BED">
              <w:t>.</w:t>
            </w:r>
          </w:p>
        </w:tc>
      </w:tr>
      <w:tr w14:paraId="22B27FE8" w14:textId="77777777" w:rsidTr="00D61804">
        <w:tblPrEx>
          <w:tblW w:w="15030" w:type="dxa"/>
          <w:tblInd w:w="-905" w:type="dxa"/>
          <w:tblLayout w:type="fixed"/>
          <w:tblLook w:val="04A0"/>
        </w:tblPrEx>
        <w:tc>
          <w:tcPr>
            <w:tcW w:w="900" w:type="dxa"/>
          </w:tcPr>
          <w:p w:rsidR="00AB3842" w:rsidRPr="00833BED" w14:paraId="21D891A2" w14:textId="77777777">
            <w:r w:rsidRPr="00833BED">
              <w:t>325</w:t>
            </w:r>
          </w:p>
        </w:tc>
        <w:tc>
          <w:tcPr>
            <w:tcW w:w="2160" w:type="dxa"/>
          </w:tcPr>
          <w:p w:rsidR="00AB3842" w:rsidRPr="00833BED" w14:paraId="0C57B99D" w14:textId="77777777">
            <w:r>
              <w:t>Modular spill containment b</w:t>
            </w:r>
            <w:r w:rsidRPr="00833BED">
              <w:t>erms</w:t>
            </w:r>
          </w:p>
        </w:tc>
        <w:tc>
          <w:tcPr>
            <w:tcW w:w="1260" w:type="dxa"/>
          </w:tcPr>
          <w:p w:rsidR="00AB3842" w:rsidRPr="00833BED" w14:paraId="1C7873A2" w14:textId="77777777">
            <w:r w:rsidRPr="00833BED">
              <w:t xml:space="preserve">$19,450 </w:t>
            </w:r>
          </w:p>
        </w:tc>
        <w:tc>
          <w:tcPr>
            <w:tcW w:w="1260" w:type="dxa"/>
          </w:tcPr>
          <w:p w:rsidR="00AB3842" w:rsidRPr="00833BED" w14:paraId="53F8DF26" w14:textId="77777777">
            <w:r w:rsidRPr="00833BED">
              <w:t>N/A</w:t>
            </w:r>
          </w:p>
        </w:tc>
        <w:tc>
          <w:tcPr>
            <w:tcW w:w="1260" w:type="dxa"/>
          </w:tcPr>
          <w:p w:rsidR="00AB3842" w:rsidRPr="00833BED" w14:paraId="0D9591B8" w14:textId="77777777">
            <w:r w:rsidRPr="00833BED">
              <w:t>N/A</w:t>
            </w:r>
          </w:p>
        </w:tc>
        <w:tc>
          <w:tcPr>
            <w:tcW w:w="1170" w:type="dxa"/>
          </w:tcPr>
          <w:p w:rsidR="00AB3842" w:rsidRPr="00833BED" w14:paraId="3E03FC50" w14:textId="77777777">
            <w:r w:rsidRPr="00833BED">
              <w:t xml:space="preserve">$4,238 </w:t>
            </w:r>
          </w:p>
        </w:tc>
        <w:tc>
          <w:tcPr>
            <w:tcW w:w="1260" w:type="dxa"/>
          </w:tcPr>
          <w:p w:rsidR="00AB3842" w:rsidRPr="00833BED" w14:paraId="39F352F1" w14:textId="77777777">
            <w:r w:rsidRPr="00833BED">
              <w:t xml:space="preserve">$28,943 </w:t>
            </w:r>
          </w:p>
        </w:tc>
        <w:tc>
          <w:tcPr>
            <w:tcW w:w="1710" w:type="dxa"/>
          </w:tcPr>
          <w:p w:rsidR="00AB3842" w:rsidRPr="00833BED" w14:paraId="46C1C523" w14:textId="77777777">
            <w:r w:rsidRPr="00833BED">
              <w:t>PrimaTech</w:t>
            </w:r>
          </w:p>
        </w:tc>
        <w:tc>
          <w:tcPr>
            <w:tcW w:w="1440" w:type="dxa"/>
          </w:tcPr>
          <w:p w:rsidR="00AB3842" w:rsidRPr="00833BED" w14:paraId="12B4A489" w14:textId="77777777">
            <w:hyperlink r:id="rId32" w:history="1">
              <w:r w:rsidRPr="008530DF" w:rsidR="00F83137">
                <w:rPr>
                  <w:rStyle w:val="Hyperlink"/>
                </w:rPr>
                <w:t>https://www.primatech.com/technical/safer-technologies-and-alternative-analysis</w:t>
              </w:r>
            </w:hyperlink>
            <w:r w:rsidR="00F83137">
              <w:t xml:space="preserve"> </w:t>
            </w:r>
          </w:p>
        </w:tc>
        <w:tc>
          <w:tcPr>
            <w:tcW w:w="2610" w:type="dxa"/>
          </w:tcPr>
          <w:p w:rsidR="00AB3842" w:rsidRPr="00833BED" w14:paraId="3718E6EC" w14:textId="77777777">
            <w:r>
              <w:t>B</w:t>
            </w:r>
            <w:r w:rsidRPr="00833BED">
              <w:t>est-selling modular spill containment berm</w:t>
            </w:r>
            <w:r w:rsidR="007B1F64">
              <w:t xml:space="preserve"> cost</w:t>
            </w:r>
            <w:r w:rsidRPr="00833BED">
              <w:t xml:space="preserve">: </w:t>
            </w:r>
            <w:hyperlink r:id="rId62" w:history="1">
              <w:r w:rsidRPr="008530DF" w:rsidR="00F83137">
                <w:rPr>
                  <w:rStyle w:val="Hyperlink"/>
                </w:rPr>
                <w:t>https://store.interstateproducts.com/products/ultratech-modular-gorilla-spill-containment-berm-55-x-55-x-6.html</w:t>
              </w:r>
            </w:hyperlink>
            <w:r w:rsidR="00F83137">
              <w:t xml:space="preserve"> </w:t>
            </w:r>
            <w:r w:rsidRPr="00833BED">
              <w:t xml:space="preserve">. </w:t>
            </w:r>
          </w:p>
          <w:p w:rsidR="00AB3842" w14:paraId="515FCCB1" w14:textId="77777777">
            <w:r w:rsidRPr="00833BED">
              <w:t xml:space="preserve">Minimum cost is for a one-step spill containment berm: </w:t>
            </w:r>
            <w:hyperlink r:id="rId63" w:history="1">
              <w:r w:rsidRPr="008530DF" w:rsidR="00F83137">
                <w:rPr>
                  <w:rStyle w:val="Hyperlink"/>
                </w:rPr>
                <w:t>https://store.interstateproducts.com/products/one-step-spill-containment-berm-12-x-36-x-24.html</w:t>
              </w:r>
            </w:hyperlink>
            <w:r w:rsidR="00F83137">
              <w:t xml:space="preserve"> </w:t>
            </w:r>
            <w:r w:rsidRPr="00833BED">
              <w:t xml:space="preserve">. </w:t>
            </w:r>
          </w:p>
          <w:p w:rsidR="00AB3842" w:rsidRPr="00833BED" w14:paraId="633C7DC9" w14:textId="77777777">
            <w:r w:rsidRPr="00833BED">
              <w:t xml:space="preserve">Maximum cost is most expensive containment berm with a listed price (more expensive require quotes): </w:t>
            </w:r>
            <w:hyperlink r:id="rId64" w:history="1">
              <w:r w:rsidRPr="008530DF" w:rsidR="00F83137">
                <w:rPr>
                  <w:rStyle w:val="Hyperlink"/>
                </w:rPr>
                <w:t>https://store.interstateproducts.com/products/ultra-containment-wall-system-61-x-61-x-3-8795.html</w:t>
              </w:r>
            </w:hyperlink>
            <w:r w:rsidR="00F83137">
              <w:t xml:space="preserve"> </w:t>
            </w:r>
            <w:r w:rsidRPr="00833BED">
              <w:t>.</w:t>
            </w:r>
          </w:p>
        </w:tc>
      </w:tr>
      <w:tr w14:paraId="0559D28B" w14:textId="77777777" w:rsidTr="00D61804">
        <w:tblPrEx>
          <w:tblW w:w="15030" w:type="dxa"/>
          <w:tblInd w:w="-905" w:type="dxa"/>
          <w:tblLayout w:type="fixed"/>
          <w:tblLook w:val="04A0"/>
        </w:tblPrEx>
        <w:tc>
          <w:tcPr>
            <w:tcW w:w="900" w:type="dxa"/>
          </w:tcPr>
          <w:p w:rsidR="00AB3842" w:rsidRPr="00833BED" w14:paraId="34E1B2BC" w14:textId="77777777">
            <w:r w:rsidRPr="00833BED">
              <w:t>325</w:t>
            </w:r>
          </w:p>
        </w:tc>
        <w:tc>
          <w:tcPr>
            <w:tcW w:w="2160" w:type="dxa"/>
          </w:tcPr>
          <w:p w:rsidR="00AB3842" w:rsidRPr="00833BED" w14:paraId="5192ACC3" w14:textId="77777777">
            <w:r w:rsidRPr="00833BED">
              <w:t>Blast wall</w:t>
            </w:r>
          </w:p>
        </w:tc>
        <w:tc>
          <w:tcPr>
            <w:tcW w:w="1260" w:type="dxa"/>
          </w:tcPr>
          <w:p w:rsidR="00AB3842" w:rsidRPr="00833BED" w14:paraId="02FAA636" w14:textId="77777777">
            <w:r w:rsidRPr="00833BED">
              <w:t xml:space="preserve">$923,773 </w:t>
            </w:r>
          </w:p>
        </w:tc>
        <w:tc>
          <w:tcPr>
            <w:tcW w:w="1260" w:type="dxa"/>
          </w:tcPr>
          <w:p w:rsidR="00AB3842" w:rsidRPr="00833BED" w14:paraId="64C71246" w14:textId="77777777">
            <w:r w:rsidRPr="00833BED">
              <w:t>N/A</w:t>
            </w:r>
          </w:p>
        </w:tc>
        <w:tc>
          <w:tcPr>
            <w:tcW w:w="1260" w:type="dxa"/>
          </w:tcPr>
          <w:p w:rsidR="00AB3842" w:rsidRPr="00833BED" w14:paraId="4414EB29" w14:textId="77777777">
            <w:r w:rsidRPr="00833BED">
              <w:t>N/A</w:t>
            </w:r>
          </w:p>
        </w:tc>
        <w:tc>
          <w:tcPr>
            <w:tcW w:w="1170" w:type="dxa"/>
          </w:tcPr>
          <w:p w:rsidR="00AB3842" w:rsidRPr="00833BED" w14:paraId="718E6BAB" w14:textId="77777777">
            <w:r w:rsidRPr="00833BED">
              <w:t xml:space="preserve">$473,042 </w:t>
            </w:r>
          </w:p>
        </w:tc>
        <w:tc>
          <w:tcPr>
            <w:tcW w:w="1260" w:type="dxa"/>
          </w:tcPr>
          <w:p w:rsidR="00AB3842" w:rsidRPr="00833BED" w14:paraId="7FC56EE9" w14:textId="77777777">
            <w:r w:rsidRPr="00833BED">
              <w:t xml:space="preserve">$1,568,020 </w:t>
            </w:r>
          </w:p>
        </w:tc>
        <w:tc>
          <w:tcPr>
            <w:tcW w:w="1710" w:type="dxa"/>
          </w:tcPr>
          <w:p w:rsidR="00AB3842" w:rsidRPr="00833BED" w14:paraId="543CE125" w14:textId="77777777">
            <w:r w:rsidRPr="00833BED">
              <w:t>PrimaTech</w:t>
            </w:r>
          </w:p>
        </w:tc>
        <w:tc>
          <w:tcPr>
            <w:tcW w:w="1440" w:type="dxa"/>
          </w:tcPr>
          <w:p w:rsidR="00AB3842" w:rsidRPr="00833BED" w14:paraId="3E963610" w14:textId="77777777">
            <w:hyperlink r:id="rId32" w:history="1">
              <w:r w:rsidRPr="008530DF" w:rsidR="00F83137">
                <w:rPr>
                  <w:rStyle w:val="Hyperlink"/>
                </w:rPr>
                <w:t>https://www.primatech.com/technical/safer-technologies-and-alternative-analysis</w:t>
              </w:r>
            </w:hyperlink>
            <w:r w:rsidR="00F83137">
              <w:t xml:space="preserve"> </w:t>
            </w:r>
          </w:p>
        </w:tc>
        <w:tc>
          <w:tcPr>
            <w:tcW w:w="2610" w:type="dxa"/>
          </w:tcPr>
          <w:p w:rsidR="00AB3842" w:rsidRPr="00833BED" w14:paraId="23A4D3B0" w14:textId="77777777">
            <w:r w:rsidRPr="00833BED">
              <w:t xml:space="preserve">Cost from: </w:t>
            </w:r>
            <w:hyperlink r:id="rId65" w:history="1">
              <w:r w:rsidRPr="008530DF" w:rsidR="00F83137">
                <w:rPr>
                  <w:rStyle w:val="Hyperlink"/>
                </w:rPr>
                <w:t>https://blog.redguard.com/blast-resistant-building-cost</w:t>
              </w:r>
            </w:hyperlink>
            <w:r w:rsidR="00F83137">
              <w:t xml:space="preserve"> </w:t>
            </w:r>
          </w:p>
        </w:tc>
      </w:tr>
      <w:tr w14:paraId="70276B6F" w14:textId="77777777" w:rsidTr="00D61804">
        <w:tblPrEx>
          <w:tblW w:w="15030" w:type="dxa"/>
          <w:tblInd w:w="-905" w:type="dxa"/>
          <w:tblLayout w:type="fixed"/>
          <w:tblLook w:val="04A0"/>
        </w:tblPrEx>
        <w:tc>
          <w:tcPr>
            <w:tcW w:w="900" w:type="dxa"/>
          </w:tcPr>
          <w:p w:rsidR="00AB3842" w:rsidRPr="00833BED" w14:paraId="61EEDC89" w14:textId="77777777">
            <w:r w:rsidRPr="00833BED">
              <w:t>325</w:t>
            </w:r>
          </w:p>
        </w:tc>
        <w:tc>
          <w:tcPr>
            <w:tcW w:w="2160" w:type="dxa"/>
          </w:tcPr>
          <w:p w:rsidR="00AB3842" w:rsidRPr="00833BED" w14:paraId="238F5CE5" w14:textId="77777777">
            <w:r w:rsidRPr="00833BED">
              <w:t>Alarms (e.g., commercial fire alarm system)</w:t>
            </w:r>
          </w:p>
        </w:tc>
        <w:tc>
          <w:tcPr>
            <w:tcW w:w="1260" w:type="dxa"/>
          </w:tcPr>
          <w:p w:rsidR="00AB3842" w:rsidRPr="00833BED" w14:paraId="4DEB90F6" w14:textId="77777777">
            <w:r w:rsidRPr="00833BED">
              <w:t xml:space="preserve">$1,011,205 </w:t>
            </w:r>
          </w:p>
        </w:tc>
        <w:tc>
          <w:tcPr>
            <w:tcW w:w="1260" w:type="dxa"/>
          </w:tcPr>
          <w:p w:rsidR="00AB3842" w:rsidRPr="00833BED" w14:paraId="61250A0D" w14:textId="77777777">
            <w:r w:rsidRPr="00833BED">
              <w:t xml:space="preserve">$101,120 </w:t>
            </w:r>
          </w:p>
        </w:tc>
        <w:tc>
          <w:tcPr>
            <w:tcW w:w="1260" w:type="dxa"/>
          </w:tcPr>
          <w:p w:rsidR="00AB3842" w:rsidRPr="00833BED" w14:paraId="64FF8902" w14:textId="77777777">
            <w:r w:rsidRPr="00833BED">
              <w:t>10%</w:t>
            </w:r>
          </w:p>
        </w:tc>
        <w:tc>
          <w:tcPr>
            <w:tcW w:w="1170" w:type="dxa"/>
          </w:tcPr>
          <w:p w:rsidR="00AB3842" w:rsidRPr="00833BED" w14:paraId="3A380E55" w14:textId="77777777">
            <w:r w:rsidRPr="00833BED">
              <w:t xml:space="preserve">$505,602 </w:t>
            </w:r>
          </w:p>
        </w:tc>
        <w:tc>
          <w:tcPr>
            <w:tcW w:w="1260" w:type="dxa"/>
          </w:tcPr>
          <w:p w:rsidR="00AB3842" w:rsidRPr="00833BED" w14:paraId="138AAF58" w14:textId="77777777">
            <w:r w:rsidRPr="00833BED">
              <w:t xml:space="preserve">$1,516,807 </w:t>
            </w:r>
          </w:p>
        </w:tc>
        <w:tc>
          <w:tcPr>
            <w:tcW w:w="1710" w:type="dxa"/>
          </w:tcPr>
          <w:p w:rsidR="00AB3842" w:rsidRPr="00833BED" w14:paraId="4A757BFD" w14:textId="77777777">
            <w:r w:rsidRPr="00833BED">
              <w:t>PrimaTech</w:t>
            </w:r>
          </w:p>
        </w:tc>
        <w:tc>
          <w:tcPr>
            <w:tcW w:w="1440" w:type="dxa"/>
          </w:tcPr>
          <w:p w:rsidR="00AB3842" w:rsidRPr="00833BED" w14:paraId="18227B85" w14:textId="77777777">
            <w:hyperlink r:id="rId32" w:history="1">
              <w:r w:rsidRPr="008530DF" w:rsidR="00F83137">
                <w:rPr>
                  <w:rStyle w:val="Hyperlink"/>
                </w:rPr>
                <w:t>https://www.primatech.com/technical/safer-technologies-and-alternative-analysis</w:t>
              </w:r>
            </w:hyperlink>
            <w:r w:rsidR="00F83137">
              <w:t xml:space="preserve"> </w:t>
            </w:r>
          </w:p>
        </w:tc>
        <w:tc>
          <w:tcPr>
            <w:tcW w:w="2610" w:type="dxa"/>
          </w:tcPr>
          <w:p w:rsidR="00AB3842" w:rsidRPr="00833BED" w14:paraId="7DE9524A" w14:textId="77777777">
            <w:r w:rsidRPr="00833BED">
              <w:t xml:space="preserve">Cost based on average sf NAICS 325: </w:t>
            </w:r>
            <w:hyperlink r:id="rId47" w:history="1">
              <w:r w:rsidRPr="008530DF" w:rsidR="00F83137">
                <w:rPr>
                  <w:rStyle w:val="Hyperlink"/>
                </w:rPr>
                <w:t>https://www.eia.gov/consumption/manufacturing/data/2010/pdf/Table9_1.pdf</w:t>
              </w:r>
            </w:hyperlink>
            <w:r w:rsidRPr="00833BED">
              <w:t>)</w:t>
            </w:r>
            <w:r w:rsidR="00F83137">
              <w:t xml:space="preserve">  </w:t>
            </w:r>
          </w:p>
          <w:p w:rsidR="00AB3842" w14:paraId="7B06CAD4" w14:textId="77777777">
            <w:r w:rsidRPr="00833BED">
              <w:t xml:space="preserve">*$4-12 (price per sf </w:t>
            </w:r>
            <w:r w:rsidR="00921EA3">
              <w:t>to</w:t>
            </w:r>
            <w:r w:rsidRPr="00833BED">
              <w:t xml:space="preserve"> add complicated or retrofit fire alarm system): </w:t>
            </w:r>
            <w:hyperlink r:id="rId66" w:anchor=":~:text=Holding%20other%20elements%20constant%2C%20a%20typical%20system%20%E2%80%93,%246%20per%20square%20foot%20covered%20by%20the%20system" w:history="1">
              <w:r w:rsidRPr="008530DF" w:rsidR="00F83137">
                <w:rPr>
                  <w:rStyle w:val="Hyperlink"/>
                </w:rPr>
                <w:t>https://www.thepricer.org/commercial-fire-alarm-system-cost/#:~:text=Holding%20other%20elements%20constant%2C%20a%20typical%20system%20%E2%80%93,%246%20per%20square%20foot%20covered%20by%20the%20system</w:t>
              </w:r>
            </w:hyperlink>
            <w:r w:rsidRPr="00833BED">
              <w:t>)</w:t>
            </w:r>
            <w:r w:rsidR="00F83137">
              <w:t xml:space="preserve">  </w:t>
            </w:r>
            <w:r w:rsidRPr="00833BED">
              <w:t xml:space="preserve">. </w:t>
            </w:r>
          </w:p>
          <w:p w:rsidR="00AB3842" w:rsidRPr="00833BED" w14:paraId="4EA02139" w14:textId="77777777">
            <w:r w:rsidRPr="00833BED">
              <w:t xml:space="preserve">$50-100/month monitoring </w:t>
            </w:r>
            <w:r w:rsidR="00221BD5">
              <w:t>&amp;</w:t>
            </w:r>
            <w:r w:rsidRPr="00833BED">
              <w:t xml:space="preserve"> miscellaneous annual fees of 10% of total project cost: </w:t>
            </w:r>
            <w:hyperlink r:id="rId67" w:history="1">
              <w:r w:rsidRPr="008530DF" w:rsidR="00F83137">
                <w:rPr>
                  <w:rStyle w:val="Hyperlink"/>
                </w:rPr>
                <w:t>https://www.costowl.com/b2b/security/security-fire-alarm-system/</w:t>
              </w:r>
            </w:hyperlink>
            <w:r w:rsidR="00F83137">
              <w:t xml:space="preserve"> </w:t>
            </w:r>
            <w:r w:rsidRPr="00833BED">
              <w:t>.</w:t>
            </w:r>
          </w:p>
        </w:tc>
      </w:tr>
      <w:tr w14:paraId="6BB3D791" w14:textId="77777777" w:rsidTr="00D61804">
        <w:tblPrEx>
          <w:tblW w:w="15030" w:type="dxa"/>
          <w:tblInd w:w="-905" w:type="dxa"/>
          <w:tblLayout w:type="fixed"/>
          <w:tblLook w:val="04A0"/>
        </w:tblPrEx>
        <w:tc>
          <w:tcPr>
            <w:tcW w:w="900" w:type="dxa"/>
          </w:tcPr>
          <w:p w:rsidR="00AB3842" w:rsidRPr="00833BED" w14:paraId="33517876" w14:textId="77777777">
            <w:r w:rsidRPr="00833BED">
              <w:t>325</w:t>
            </w:r>
          </w:p>
        </w:tc>
        <w:tc>
          <w:tcPr>
            <w:tcW w:w="2160" w:type="dxa"/>
          </w:tcPr>
          <w:p w:rsidR="00AB3842" w:rsidRPr="00833BED" w14:paraId="57871983" w14:textId="77777777">
            <w:r w:rsidRPr="00833BED">
              <w:t>TURA measure</w:t>
            </w:r>
          </w:p>
        </w:tc>
        <w:tc>
          <w:tcPr>
            <w:tcW w:w="1260" w:type="dxa"/>
          </w:tcPr>
          <w:p w:rsidR="00AB3842" w:rsidRPr="00833BED" w14:paraId="74EA9DD7" w14:textId="77777777">
            <w:r w:rsidRPr="00833BED">
              <w:t xml:space="preserve">$217,476 </w:t>
            </w:r>
          </w:p>
        </w:tc>
        <w:tc>
          <w:tcPr>
            <w:tcW w:w="1260" w:type="dxa"/>
          </w:tcPr>
          <w:p w:rsidR="00AB3842" w:rsidRPr="00833BED" w14:paraId="67B6267B" w14:textId="77777777">
            <w:r w:rsidRPr="00833BED">
              <w:t>N/A</w:t>
            </w:r>
          </w:p>
        </w:tc>
        <w:tc>
          <w:tcPr>
            <w:tcW w:w="1260" w:type="dxa"/>
          </w:tcPr>
          <w:p w:rsidR="00AB3842" w:rsidRPr="00833BED" w14:paraId="51EF33BE" w14:textId="77777777">
            <w:r w:rsidRPr="00833BED">
              <w:t>N/A</w:t>
            </w:r>
          </w:p>
        </w:tc>
        <w:tc>
          <w:tcPr>
            <w:tcW w:w="1170" w:type="dxa"/>
          </w:tcPr>
          <w:p w:rsidR="00AB3842" w:rsidRPr="00833BED" w14:paraId="60A0F1EA" w14:textId="77777777">
            <w:r w:rsidRPr="00833BED">
              <w:t xml:space="preserve">$8,551 </w:t>
            </w:r>
          </w:p>
        </w:tc>
        <w:tc>
          <w:tcPr>
            <w:tcW w:w="1260" w:type="dxa"/>
          </w:tcPr>
          <w:p w:rsidR="00AB3842" w:rsidRPr="00833BED" w14:paraId="196D7B72" w14:textId="77777777">
            <w:r w:rsidRPr="00833BED">
              <w:t xml:space="preserve">$217,476 </w:t>
            </w:r>
          </w:p>
        </w:tc>
        <w:tc>
          <w:tcPr>
            <w:tcW w:w="1710" w:type="dxa"/>
          </w:tcPr>
          <w:p w:rsidR="00AB3842" w:rsidRPr="00833BED" w14:paraId="18258B4D" w14:textId="77777777">
            <w:r w:rsidRPr="00833BED">
              <w:t>Benefit-Cost Analysis of the Massachusetts Toxics Use Reduction Act</w:t>
            </w:r>
          </w:p>
        </w:tc>
        <w:tc>
          <w:tcPr>
            <w:tcW w:w="1440" w:type="dxa"/>
          </w:tcPr>
          <w:p w:rsidR="00AB3842" w:rsidRPr="00833BED" w14:paraId="735DB600" w14:textId="77777777">
            <w:hyperlink r:id="rId68" w:history="1">
              <w:r w:rsidRPr="008530DF" w:rsidR="00F83137">
                <w:rPr>
                  <w:rStyle w:val="Hyperlink"/>
                </w:rPr>
                <w:t>https://p2infohouse.org/ref/34/33463.pdf</w:t>
              </w:r>
            </w:hyperlink>
            <w:r w:rsidR="00F83137">
              <w:t xml:space="preserve"> </w:t>
            </w:r>
          </w:p>
        </w:tc>
        <w:tc>
          <w:tcPr>
            <w:tcW w:w="2610" w:type="dxa"/>
          </w:tcPr>
          <w:p w:rsidR="00AB3842" w:rsidRPr="00833BED" w14:paraId="6D1C2492" w14:textId="77777777">
            <w:r w:rsidRPr="00833BED">
              <w:t>Average capital costs per facility under TURA in 1997 (appears to be upward trend in average capital costs 1990-1997).</w:t>
            </w:r>
          </w:p>
        </w:tc>
      </w:tr>
    </w:tbl>
    <w:p w:rsidR="00800925" w:rsidP="00D0249C" w14:paraId="6D61D07B" w14:textId="77777777"/>
    <w:p w:rsidR="00800925" w:rsidP="00D0249C" w14:paraId="5C87F3CC" w14:textId="77777777"/>
    <w:p w:rsidR="00487070" w:rsidP="004F0EA6" w14:paraId="66A0AF5A" w14:textId="77777777">
      <w:pPr>
        <w:pStyle w:val="Heading1"/>
        <w:jc w:val="left"/>
        <w:sectPr w:rsidSect="005379A2">
          <w:pgSz w:w="15840" w:h="12240" w:orient="landscape"/>
          <w:pgMar w:top="1440" w:right="1440" w:bottom="1440" w:left="1440" w:header="720" w:footer="720" w:gutter="0"/>
          <w:cols w:space="720"/>
          <w:docGrid w:linePitch="360"/>
        </w:sectPr>
      </w:pPr>
    </w:p>
    <w:p w:rsidR="00800925" w:rsidP="00DD5BEC" w14:paraId="3D73EC28" w14:textId="77777777">
      <w:pPr>
        <w:pStyle w:val="Heading1"/>
      </w:pPr>
      <w:bookmarkStart w:id="573" w:name="_Toc144303633"/>
      <w:r>
        <w:t>APPENDIX E: UMRA Written Statement</w:t>
      </w:r>
      <w:bookmarkEnd w:id="573"/>
    </w:p>
    <w:p w:rsidR="00800925" w:rsidRPr="00DD5BEC" w:rsidP="009B0688" w14:paraId="233799EB" w14:textId="77777777">
      <w:pPr>
        <w:spacing w:line="240" w:lineRule="auto"/>
        <w:rPr>
          <w:rFonts w:ascii="Times New Roman" w:hAnsi="Times New Roman" w:cs="Times New Roman"/>
        </w:rPr>
      </w:pPr>
      <w:r w:rsidRPr="00DD5BEC">
        <w:rPr>
          <w:rFonts w:ascii="Times New Roman" w:hAnsi="Times New Roman" w:cs="Times New Roman"/>
        </w:rPr>
        <w:t>I. Introduction</w:t>
      </w:r>
    </w:p>
    <w:p w:rsidR="00800925" w:rsidRPr="007A6B25" w:rsidP="009B0688" w14:paraId="2718889E" w14:textId="77777777">
      <w:pPr>
        <w:spacing w:line="240" w:lineRule="auto"/>
        <w:rPr>
          <w:rFonts w:ascii="Times New Roman" w:hAnsi="Times New Roman" w:cs="Times New Roman"/>
        </w:rPr>
      </w:pPr>
      <w:r>
        <w:rPr>
          <w:rFonts w:ascii="Times New Roman" w:hAnsi="Times New Roman" w:cs="Times New Roman"/>
        </w:rPr>
        <w:tab/>
      </w:r>
      <w:r w:rsidRPr="007A6B25">
        <w:rPr>
          <w:rFonts w:ascii="Times New Roman" w:hAnsi="Times New Roman" w:cs="Times New Roman"/>
        </w:rPr>
        <w:t>Title II of the 1995 Unfunded Mandates Reform Act (UMRA; 2 U.S.C. 1531-1538) requires Federal agencies, unless otherwise prohibited by law, to assess the effects of their regulatory actions on State, local, and tribal governments and the private sector. Specifically, Section 202 of UMRA generally requires Federal agencies to prepare a written statement, including a cost-benefit analysis, for each proposed and final rule wi</w:t>
      </w:r>
      <w:r w:rsidR="00DD5BEC">
        <w:rPr>
          <w:rFonts w:ascii="Times New Roman" w:hAnsi="Times New Roman" w:cs="Times New Roman"/>
        </w:rPr>
        <w:t>t</w:t>
      </w:r>
      <w:r w:rsidRPr="007A6B25">
        <w:rPr>
          <w:rFonts w:ascii="Times New Roman" w:hAnsi="Times New Roman" w:cs="Times New Roman"/>
        </w:rPr>
        <w:t>h "Federal manda</w:t>
      </w:r>
      <w:r w:rsidR="00DD5BEC">
        <w:rPr>
          <w:rFonts w:ascii="Times New Roman" w:hAnsi="Times New Roman" w:cs="Times New Roman"/>
        </w:rPr>
        <w:t>t</w:t>
      </w:r>
      <w:r w:rsidRPr="007A6B25">
        <w:rPr>
          <w:rFonts w:ascii="Times New Roman" w:hAnsi="Times New Roman" w:cs="Times New Roman"/>
        </w:rPr>
        <w:t>es" that may result in expenditures by State, local, and tribal governments, in the aggregate, or to the private sector, of $100 million or more in any one year. Section 202 requires that “Written Statements” contain five elements of information:</w:t>
      </w:r>
    </w:p>
    <w:p w:rsidR="00800925" w:rsidRPr="007A6B25" w:rsidP="009B0688" w14:paraId="733DCA5F" w14:textId="77777777">
      <w:pPr>
        <w:spacing w:line="240" w:lineRule="auto"/>
        <w:ind w:firstLine="720"/>
        <w:rPr>
          <w:rFonts w:ascii="Times New Roman" w:hAnsi="Times New Roman" w:cs="Times New Roman"/>
        </w:rPr>
      </w:pPr>
      <w:r w:rsidRPr="007A6B25">
        <w:rPr>
          <w:rFonts w:ascii="Times New Roman" w:hAnsi="Times New Roman" w:cs="Times New Roman"/>
        </w:rPr>
        <w:t>1. An identification of the provision of Federal law under which the rule is being promulgated;</w:t>
      </w:r>
    </w:p>
    <w:p w:rsidR="00800925" w:rsidRPr="007A6B25" w:rsidP="009B0688" w14:paraId="24898876" w14:textId="77777777">
      <w:pPr>
        <w:spacing w:line="240" w:lineRule="auto"/>
        <w:ind w:left="720"/>
        <w:rPr>
          <w:rFonts w:ascii="Times New Roman" w:hAnsi="Times New Roman" w:cs="Times New Roman"/>
        </w:rPr>
      </w:pPr>
      <w:r w:rsidRPr="007A6B25">
        <w:rPr>
          <w:rFonts w:ascii="Times New Roman" w:hAnsi="Times New Roman" w:cs="Times New Roman"/>
        </w:rPr>
        <w:t>2. A qualitative and quantitative assessment of the anticipated costs and benefits of the Federal mandate, including the costs and benefits to State, local, and tribal governments or the private sector, as well as the effect of the Federal mandate on health, safety, and the natural environment;</w:t>
      </w:r>
    </w:p>
    <w:p w:rsidR="00800925" w:rsidRPr="007A6B25" w:rsidP="009B0688" w14:paraId="4B44EAB6" w14:textId="77777777">
      <w:pPr>
        <w:spacing w:line="240" w:lineRule="auto"/>
        <w:ind w:left="720"/>
        <w:rPr>
          <w:rFonts w:ascii="Times New Roman" w:hAnsi="Times New Roman" w:cs="Times New Roman"/>
        </w:rPr>
      </w:pPr>
      <w:r w:rsidRPr="007A6B25">
        <w:rPr>
          <w:rFonts w:ascii="Times New Roman" w:hAnsi="Times New Roman" w:cs="Times New Roman"/>
        </w:rPr>
        <w:t>3. Estimates by the agency, if and to the extent that the agency determines that accurate estimates are reasonably feasible, of:</w:t>
      </w:r>
    </w:p>
    <w:p w:rsidR="00800925" w:rsidRPr="007A6B25" w:rsidP="009B0688" w14:paraId="2DED2BC6" w14:textId="77777777">
      <w:pPr>
        <w:spacing w:line="240" w:lineRule="auto"/>
        <w:ind w:left="720" w:firstLine="720"/>
        <w:rPr>
          <w:rFonts w:ascii="Times New Roman" w:hAnsi="Times New Roman" w:cs="Times New Roman"/>
        </w:rPr>
      </w:pPr>
      <w:r w:rsidRPr="007A6B25">
        <w:rPr>
          <w:rFonts w:ascii="Times New Roman" w:hAnsi="Times New Roman" w:cs="Times New Roman"/>
        </w:rPr>
        <w:t>(a) the future compliance costs of the Federal mandate; and</w:t>
      </w:r>
    </w:p>
    <w:p w:rsidR="00800925" w:rsidRPr="007A6B25" w:rsidP="009B0688" w14:paraId="7EB514BB" w14:textId="77777777">
      <w:pPr>
        <w:spacing w:line="240" w:lineRule="auto"/>
        <w:ind w:left="1440"/>
        <w:rPr>
          <w:rFonts w:ascii="Times New Roman" w:hAnsi="Times New Roman" w:cs="Times New Roman"/>
        </w:rPr>
      </w:pPr>
      <w:r w:rsidRPr="007A6B25">
        <w:rPr>
          <w:rFonts w:ascii="Times New Roman" w:hAnsi="Times New Roman" w:cs="Times New Roman"/>
        </w:rPr>
        <w:t>(b) any disproportionate budgetary effects of the Federal mandate upon any particular regions of the nation or particular State, local, or tribal governments, urban or rural or other types of communities, or particular segments of the private sector;</w:t>
      </w:r>
    </w:p>
    <w:p w:rsidR="00800925" w:rsidRPr="007A6B25" w:rsidP="009B0688" w14:paraId="03E946EB" w14:textId="77777777">
      <w:pPr>
        <w:spacing w:line="240" w:lineRule="auto"/>
        <w:ind w:left="720"/>
        <w:rPr>
          <w:rFonts w:ascii="Times New Roman" w:hAnsi="Times New Roman" w:cs="Times New Roman"/>
        </w:rPr>
      </w:pPr>
      <w:r w:rsidRPr="007A6B25">
        <w:rPr>
          <w:rFonts w:ascii="Times New Roman" w:hAnsi="Times New Roman" w:cs="Times New Roman"/>
        </w:rPr>
        <w:t xml:space="preserve">4. Estimates by the agency of the effect on the national economy, such as the effect on productivity, economic growth, full employment, creation of productive jobs, and international competitiveness of </w:t>
      </w:r>
      <w:r w:rsidR="00592E77">
        <w:rPr>
          <w:rFonts w:ascii="Times New Roman" w:hAnsi="Times New Roman" w:cs="Times New Roman"/>
        </w:rPr>
        <w:t>U.S.</w:t>
      </w:r>
      <w:r w:rsidRPr="007A6B25">
        <w:rPr>
          <w:rFonts w:ascii="Times New Roman" w:hAnsi="Times New Roman" w:cs="Times New Roman"/>
        </w:rPr>
        <w:t xml:space="preserve"> goods and services, if and to the extent that the agency in its sole discretion determines that accurate estimates are reasonably feasible and that such effect is relevant and material; and</w:t>
      </w:r>
    </w:p>
    <w:p w:rsidR="00800925" w:rsidRPr="007A6B25" w:rsidP="009B0688" w14:paraId="275257F3" w14:textId="77777777">
      <w:pPr>
        <w:spacing w:line="240" w:lineRule="auto"/>
        <w:ind w:left="720"/>
        <w:rPr>
          <w:rFonts w:ascii="Times New Roman" w:hAnsi="Times New Roman" w:cs="Times New Roman"/>
        </w:rPr>
      </w:pPr>
      <w:r w:rsidRPr="007A6B25">
        <w:rPr>
          <w:rFonts w:ascii="Times New Roman" w:hAnsi="Times New Roman" w:cs="Times New Roman"/>
        </w:rPr>
        <w:t>5. Description of the extent of the agency’s prior consultation with elected representatives (under section 204) of the affected State, local, and tribal governments, including a summary of the comments and concerns that were presented by State, local, or tribal governments either orally or in writing to the agency; and a summary of the agency’s evaluation of those comments and concerns.</w:t>
      </w:r>
    </w:p>
    <w:p w:rsidR="00800925" w:rsidRPr="007A6B25" w:rsidP="009B0688" w14:paraId="1D04D00F" w14:textId="77777777">
      <w:pPr>
        <w:spacing w:line="240" w:lineRule="auto"/>
        <w:rPr>
          <w:rFonts w:ascii="Times New Roman" w:hAnsi="Times New Roman" w:cs="Times New Roman"/>
        </w:rPr>
      </w:pPr>
      <w:r>
        <w:rPr>
          <w:rFonts w:ascii="Times New Roman" w:hAnsi="Times New Roman" w:cs="Times New Roman"/>
        </w:rPr>
        <w:tab/>
      </w:r>
      <w:r w:rsidRPr="007A6B25">
        <w:rPr>
          <w:rFonts w:ascii="Times New Roman" w:hAnsi="Times New Roman" w:cs="Times New Roman"/>
        </w:rPr>
        <w:t xml:space="preserve">This document constitutes the “Written Statement” to meet this requirement for the RMP rule. The EPA has conducted a cost-benefit analysis for this action, which </w:t>
      </w:r>
      <w:r w:rsidR="003E2355">
        <w:rPr>
          <w:rFonts w:ascii="Times New Roman" w:hAnsi="Times New Roman" w:cs="Times New Roman"/>
        </w:rPr>
        <w:t xml:space="preserve">is included in this </w:t>
      </w:r>
      <w:r w:rsidRPr="007A6B25">
        <w:rPr>
          <w:rFonts w:ascii="Times New Roman" w:hAnsi="Times New Roman" w:cs="Times New Roman"/>
        </w:rPr>
        <w:t>RIA.</w:t>
      </w:r>
    </w:p>
    <w:p w:rsidR="00D063E2" w:rsidRPr="00DD5BEC" w:rsidP="00D063E2" w14:paraId="5CAE8D90" w14:textId="77777777">
      <w:pPr>
        <w:spacing w:line="240" w:lineRule="auto"/>
        <w:rPr>
          <w:rFonts w:ascii="Times New Roman" w:hAnsi="Times New Roman" w:cs="Times New Roman"/>
        </w:rPr>
      </w:pPr>
      <w:r w:rsidRPr="00DD5BEC">
        <w:rPr>
          <w:rFonts w:ascii="Times New Roman" w:hAnsi="Times New Roman" w:cs="Times New Roman"/>
        </w:rPr>
        <w:t>I</w:t>
      </w:r>
      <w:r>
        <w:rPr>
          <w:rFonts w:ascii="Times New Roman" w:hAnsi="Times New Roman" w:cs="Times New Roman"/>
        </w:rPr>
        <w:t>I</w:t>
      </w:r>
      <w:r w:rsidRPr="00DD5BEC">
        <w:rPr>
          <w:rFonts w:ascii="Times New Roman" w:hAnsi="Times New Roman" w:cs="Times New Roman"/>
        </w:rPr>
        <w:t xml:space="preserve">. </w:t>
      </w:r>
      <w:r>
        <w:rPr>
          <w:rFonts w:ascii="Times New Roman" w:hAnsi="Times New Roman" w:cs="Times New Roman"/>
        </w:rPr>
        <w:t xml:space="preserve">Response to Five Information </w:t>
      </w:r>
      <w:r w:rsidR="00B83018">
        <w:rPr>
          <w:rFonts w:ascii="Times New Roman" w:hAnsi="Times New Roman" w:cs="Times New Roman"/>
        </w:rPr>
        <w:t>Elements</w:t>
      </w:r>
    </w:p>
    <w:p w:rsidR="00800925" w:rsidRPr="00C36E51" w:rsidP="00082826" w14:paraId="2F79BD68" w14:textId="77777777">
      <w:pPr>
        <w:pStyle w:val="ListParagraph"/>
        <w:numPr>
          <w:ilvl w:val="0"/>
          <w:numId w:val="25"/>
        </w:numPr>
        <w:spacing w:line="240" w:lineRule="auto"/>
        <w:rPr>
          <w:rFonts w:ascii="Times New Roman" w:hAnsi="Times New Roman" w:cs="Times New Roman"/>
        </w:rPr>
      </w:pPr>
      <w:r w:rsidRPr="00C36E51">
        <w:rPr>
          <w:rFonts w:ascii="Times New Roman" w:hAnsi="Times New Roman" w:cs="Times New Roman"/>
        </w:rPr>
        <w:t>Identification of the Provision of Federal Law under Which the Rule is Being Promulgated</w:t>
      </w:r>
    </w:p>
    <w:p w:rsidR="00C36E51" w:rsidP="00C36E51" w14:paraId="6C640E6D" w14:textId="77777777">
      <w:pPr>
        <w:pStyle w:val="ListParagraph"/>
        <w:spacing w:line="240" w:lineRule="auto"/>
        <w:ind w:left="420" w:firstLine="300"/>
        <w:rPr>
          <w:rFonts w:ascii="Times New Roman" w:hAnsi="Times New Roman" w:cs="Times New Roman"/>
        </w:rPr>
      </w:pPr>
    </w:p>
    <w:p w:rsidR="00186463" w:rsidP="00186463" w14:paraId="558A6F05" w14:textId="77777777">
      <w:pPr>
        <w:pStyle w:val="ListParagraph"/>
        <w:spacing w:line="240" w:lineRule="auto"/>
        <w:ind w:firstLine="360"/>
        <w:rPr>
          <w:rFonts w:ascii="Times New Roman" w:hAnsi="Times New Roman" w:cs="Times New Roman"/>
        </w:rPr>
      </w:pPr>
      <w:r w:rsidRPr="007A6B25">
        <w:rPr>
          <w:rFonts w:ascii="Times New Roman" w:hAnsi="Times New Roman" w:cs="Times New Roman"/>
        </w:rPr>
        <w:t xml:space="preserve">The statutory authority for the RMP rule is provided by section 112(r) of the CAA as amended (42 U.S.C. 7412(r)). Each of the portions of the </w:t>
      </w:r>
      <w:r w:rsidR="00297EC2">
        <w:rPr>
          <w:rFonts w:ascii="Times New Roman" w:hAnsi="Times New Roman" w:cs="Times New Roman"/>
        </w:rPr>
        <w:t>RMP</w:t>
      </w:r>
      <w:r w:rsidRPr="007A6B25">
        <w:rPr>
          <w:rFonts w:ascii="Times New Roman" w:hAnsi="Times New Roman" w:cs="Times New Roman"/>
        </w:rPr>
        <w:t xml:space="preserve"> rule EPA implemented in this notice are based on EPA’s rulemaking authority under section 112(r)(7) of the CAA (42 U.S.C. 7412(r)(7)</w:t>
      </w:r>
    </w:p>
    <w:p w:rsidR="00186463" w:rsidP="00C36E51" w14:paraId="3AD203BC" w14:textId="77777777">
      <w:pPr>
        <w:pStyle w:val="ListParagraph"/>
        <w:spacing w:line="240" w:lineRule="auto"/>
        <w:rPr>
          <w:rFonts w:ascii="Times New Roman" w:hAnsi="Times New Roman" w:cs="Times New Roman"/>
        </w:rPr>
      </w:pPr>
    </w:p>
    <w:p w:rsidR="00800925" w:rsidRPr="003C3DD6" w:rsidP="00C36E51" w14:paraId="25E612DF" w14:textId="77777777">
      <w:pPr>
        <w:pStyle w:val="ListParagraph"/>
        <w:spacing w:line="240" w:lineRule="auto"/>
        <w:rPr>
          <w:rFonts w:ascii="Times New Roman" w:hAnsi="Times New Roman" w:cs="Times New Roman"/>
        </w:rPr>
      </w:pPr>
      <w:r w:rsidRPr="00DD5BEC">
        <w:rPr>
          <w:rFonts w:ascii="Times New Roman" w:hAnsi="Times New Roman" w:cs="Times New Roman"/>
        </w:rPr>
        <w:t xml:space="preserve">2. Cost to State, Local, and Tribal </w:t>
      </w:r>
      <w:r w:rsidRPr="003C3DD6">
        <w:rPr>
          <w:rFonts w:ascii="Times New Roman" w:hAnsi="Times New Roman" w:cs="Times New Roman"/>
        </w:rPr>
        <w:t>Governments and the Private Sector</w:t>
      </w:r>
    </w:p>
    <w:p w:rsidR="00800925" w:rsidRPr="007A6B25" w:rsidP="00186463" w14:paraId="066ECB1C" w14:textId="77777777">
      <w:pPr>
        <w:spacing w:line="240" w:lineRule="auto"/>
        <w:ind w:left="720" w:firstLine="720"/>
        <w:rPr>
          <w:rFonts w:ascii="Times New Roman" w:hAnsi="Times New Roman" w:cs="Times New Roman"/>
        </w:rPr>
      </w:pPr>
      <w:r w:rsidRPr="007A6B25">
        <w:rPr>
          <w:rFonts w:ascii="Times New Roman" w:hAnsi="Times New Roman" w:cs="Times New Roman"/>
        </w:rPr>
        <w:t xml:space="preserve">As estimated in the RIA, approximately </w:t>
      </w:r>
      <w:r>
        <w:rPr>
          <w:rFonts w:ascii="Times New Roman" w:hAnsi="Times New Roman" w:cs="Times New Roman"/>
        </w:rPr>
        <w:t>11,740</w:t>
      </w:r>
      <w:r w:rsidRPr="007A6B25">
        <w:rPr>
          <w:rFonts w:ascii="Times New Roman" w:hAnsi="Times New Roman" w:cs="Times New Roman"/>
        </w:rPr>
        <w:t xml:space="preserve"> facilities have filed RMPs with EPA and are potentially affected by the rule changes. These facilities range from petroleum refineries and large chemical manufacturers to water and wastewater treatment systems; chemical and petroleum wholesalers and terminals; food manufacturers, packing plants, and other cold storage facilities with ammonia refrigeration systems; agricultural chemical distributors; midstream gas plants; and a limited number of other sources that use RMP-regulated substances.</w:t>
      </w:r>
    </w:p>
    <w:p w:rsidR="00800925" w:rsidRPr="007A6B25" w:rsidP="00186463" w14:paraId="63729955" w14:textId="035F5DBB">
      <w:pPr>
        <w:spacing w:line="240" w:lineRule="auto"/>
        <w:ind w:left="720" w:firstLine="720"/>
        <w:rPr>
          <w:rFonts w:ascii="Times New Roman" w:hAnsi="Times New Roman" w:cs="Times New Roman"/>
        </w:rPr>
      </w:pPr>
      <w:r w:rsidRPr="00DA7246">
        <w:rPr>
          <w:rFonts w:ascii="Times New Roman" w:hAnsi="Times New Roman" w:cs="Times New Roman"/>
        </w:rPr>
        <w:t xml:space="preserve">EPA estimates annualized </w:t>
      </w:r>
      <w:r w:rsidRPr="000870B8">
        <w:rPr>
          <w:rFonts w:ascii="Times New Roman" w:hAnsi="Times New Roman" w:cs="Times New Roman"/>
        </w:rPr>
        <w:t>costs of $25</w:t>
      </w:r>
      <w:r w:rsidRPr="000870B8" w:rsidR="003029C1">
        <w:rPr>
          <w:rFonts w:ascii="Times New Roman" w:hAnsi="Times New Roman" w:cs="Times New Roman"/>
        </w:rPr>
        <w:t>6.9</w:t>
      </w:r>
      <w:r w:rsidRPr="000870B8">
        <w:rPr>
          <w:rFonts w:ascii="Times New Roman" w:hAnsi="Times New Roman" w:cs="Times New Roman"/>
        </w:rPr>
        <w:t xml:space="preserve"> million at a 3% discount rate and $29</w:t>
      </w:r>
      <w:r w:rsidRPr="000870B8" w:rsidR="00B4600A">
        <w:rPr>
          <w:rFonts w:ascii="Times New Roman" w:hAnsi="Times New Roman" w:cs="Times New Roman"/>
        </w:rPr>
        <w:t>6</w:t>
      </w:r>
      <w:r w:rsidRPr="000870B8" w:rsidR="002F3130">
        <w:rPr>
          <w:rFonts w:ascii="Times New Roman" w:hAnsi="Times New Roman" w:cs="Times New Roman"/>
        </w:rPr>
        <w:t>.9</w:t>
      </w:r>
      <w:r w:rsidRPr="000870B8">
        <w:rPr>
          <w:rFonts w:ascii="Times New Roman" w:hAnsi="Times New Roman" w:cs="Times New Roman"/>
        </w:rPr>
        <w:t xml:space="preserve"> million at a 7% discount rate. Of this amount, average annualized costs to State/local</w:t>
      </w:r>
      <w:r w:rsidRPr="00DA7246">
        <w:rPr>
          <w:rFonts w:ascii="Times New Roman" w:hAnsi="Times New Roman" w:cs="Times New Roman"/>
        </w:rPr>
        <w:t xml:space="preserve"> governments total $</w:t>
      </w:r>
      <w:r w:rsidR="005B006F">
        <w:rPr>
          <w:rFonts w:ascii="Times New Roman" w:hAnsi="Times New Roman" w:cs="Times New Roman"/>
        </w:rPr>
        <w:t>5.0</w:t>
      </w:r>
      <w:r w:rsidRPr="00DA7246">
        <w:rPr>
          <w:rFonts w:ascii="Times New Roman" w:hAnsi="Times New Roman" w:cs="Times New Roman"/>
        </w:rPr>
        <w:t xml:space="preserve"> million at a 3% discount rate and $</w:t>
      </w:r>
      <w:r w:rsidR="005B006F">
        <w:rPr>
          <w:rFonts w:ascii="Times New Roman" w:hAnsi="Times New Roman" w:cs="Times New Roman"/>
        </w:rPr>
        <w:t>5.1</w:t>
      </w:r>
      <w:r w:rsidRPr="00DA7246">
        <w:rPr>
          <w:rFonts w:ascii="Times New Roman" w:hAnsi="Times New Roman" w:cs="Times New Roman"/>
        </w:rPr>
        <w:t xml:space="preserve"> million at 7% discount rate consisting of estimated regulatory compliance costs for State/local governments that currently own or operate RMP-regulated sources plus costs to local governments (i.e., LEPCs, emergency response officials and state implementing agencies) for rule familiarization and voluntary participation in coordination activities, exercises and review of information submitted to LEPCs. The estimated average annualized cost to the private sector totals approximately $2</w:t>
      </w:r>
      <w:r w:rsidR="00FF1871">
        <w:rPr>
          <w:rFonts w:ascii="Times New Roman" w:hAnsi="Times New Roman" w:cs="Times New Roman"/>
        </w:rPr>
        <w:t>52.2</w:t>
      </w:r>
      <w:r w:rsidRPr="00DA7246">
        <w:rPr>
          <w:rFonts w:ascii="Times New Roman" w:hAnsi="Times New Roman" w:cs="Times New Roman"/>
        </w:rPr>
        <w:t xml:space="preserve"> million at a 3% discount rate and $2</w:t>
      </w:r>
      <w:r w:rsidR="00FF1871">
        <w:rPr>
          <w:rFonts w:ascii="Times New Roman" w:hAnsi="Times New Roman" w:cs="Times New Roman"/>
        </w:rPr>
        <w:t>92.1</w:t>
      </w:r>
      <w:r w:rsidRPr="00DA7246">
        <w:rPr>
          <w:rFonts w:ascii="Times New Roman" w:hAnsi="Times New Roman" w:cs="Times New Roman"/>
        </w:rPr>
        <w:t xml:space="preserve"> million at a 7% discount rate. </w:t>
      </w:r>
    </w:p>
    <w:p w:rsidR="00186463" w:rsidP="00186463" w14:paraId="3E713981" w14:textId="77777777">
      <w:pPr>
        <w:spacing w:line="240" w:lineRule="auto"/>
        <w:ind w:left="720" w:firstLine="720"/>
        <w:rPr>
          <w:rFonts w:ascii="Times New Roman" w:hAnsi="Times New Roman" w:cs="Times New Roman"/>
        </w:rPr>
      </w:pPr>
      <w:r w:rsidRPr="00186463">
        <w:rPr>
          <w:rFonts w:ascii="Times New Roman" w:hAnsi="Times New Roman" w:cs="Times New Roman"/>
        </w:rPr>
        <w:t>Although there are RMP facilities located on tribal lands, EPA does not have information on the number of tribal-owned regulated facilities, and therefore, has not estimated costs to tribes in the RIA for the rul</w:t>
      </w:r>
      <w:r>
        <w:rPr>
          <w:rFonts w:ascii="Times New Roman" w:hAnsi="Times New Roman" w:cs="Times New Roman"/>
        </w:rPr>
        <w:t>e.</w:t>
      </w:r>
    </w:p>
    <w:p w:rsidR="00800925" w:rsidRPr="00186463" w:rsidP="00186463" w14:paraId="18B7EBB9" w14:textId="77777777">
      <w:pPr>
        <w:spacing w:line="240" w:lineRule="auto"/>
        <w:ind w:left="720"/>
        <w:rPr>
          <w:rFonts w:ascii="Times New Roman" w:hAnsi="Times New Roman" w:cs="Times New Roman"/>
        </w:rPr>
      </w:pPr>
      <w:r w:rsidRPr="00186463">
        <w:rPr>
          <w:rFonts w:ascii="Times New Roman" w:hAnsi="Times New Roman" w:cs="Times New Roman"/>
        </w:rPr>
        <w:t>3. Extent to Which Costs to State, Local, and Tribal Governments May be Paid by EPA or Other Federal Agencies, or to which there are Available Federal/EPA Resources to Carry out a Federal Intergovernmental Mandate</w:t>
      </w:r>
    </w:p>
    <w:p w:rsidR="00186463" w:rsidP="00186463" w14:paraId="62DAD439" w14:textId="77777777">
      <w:pPr>
        <w:pStyle w:val="ListParagraph"/>
        <w:spacing w:line="240" w:lineRule="auto"/>
        <w:ind w:firstLine="720"/>
        <w:rPr>
          <w:rFonts w:ascii="Times New Roman" w:hAnsi="Times New Roman" w:cs="Times New Roman"/>
        </w:rPr>
      </w:pPr>
      <w:r w:rsidRPr="007A6B25">
        <w:rPr>
          <w:rFonts w:ascii="Times New Roman" w:hAnsi="Times New Roman" w:cs="Times New Roman"/>
        </w:rPr>
        <w:t xml:space="preserve">EPA does not provide funding to </w:t>
      </w:r>
      <w:r w:rsidR="003275F3">
        <w:rPr>
          <w:rFonts w:ascii="Times New Roman" w:hAnsi="Times New Roman" w:cs="Times New Roman"/>
        </w:rPr>
        <w:t>S</w:t>
      </w:r>
      <w:r w:rsidRPr="007A6B25">
        <w:rPr>
          <w:rFonts w:ascii="Times New Roman" w:hAnsi="Times New Roman" w:cs="Times New Roman"/>
        </w:rPr>
        <w:t xml:space="preserve">tate, local or tribal governments for implementation of the </w:t>
      </w:r>
      <w:r w:rsidR="00297EC2">
        <w:rPr>
          <w:rFonts w:ascii="Times New Roman" w:hAnsi="Times New Roman" w:cs="Times New Roman"/>
        </w:rPr>
        <w:t>RMP</w:t>
      </w:r>
      <w:r w:rsidRPr="007A6B25">
        <w:rPr>
          <w:rFonts w:ascii="Times New Roman" w:hAnsi="Times New Roman" w:cs="Times New Roman"/>
        </w:rPr>
        <w:t xml:space="preserve"> rule; or to fund costs for participation in emergency response coordination activities and facility exercises; or review information submitted to LEPC</w:t>
      </w:r>
      <w:r>
        <w:rPr>
          <w:rFonts w:ascii="Times New Roman" w:hAnsi="Times New Roman" w:cs="Times New Roman"/>
        </w:rPr>
        <w:t>.</w:t>
      </w:r>
    </w:p>
    <w:p w:rsidR="00186463" w:rsidP="00186463" w14:paraId="000C7B82" w14:textId="77777777">
      <w:pPr>
        <w:pStyle w:val="ListParagraph"/>
        <w:spacing w:line="240" w:lineRule="auto"/>
        <w:rPr>
          <w:rFonts w:ascii="Times New Roman" w:hAnsi="Times New Roman" w:cs="Times New Roman"/>
        </w:rPr>
      </w:pPr>
    </w:p>
    <w:p w:rsidR="00800925" w:rsidRPr="00DD5BEC" w:rsidP="00186463" w14:paraId="79EAD3CF" w14:textId="77777777">
      <w:pPr>
        <w:pStyle w:val="ListParagraph"/>
        <w:spacing w:line="240" w:lineRule="auto"/>
        <w:rPr>
          <w:rFonts w:ascii="Times New Roman" w:hAnsi="Times New Roman" w:cs="Times New Roman"/>
        </w:rPr>
      </w:pPr>
      <w:r w:rsidRPr="00DD5BEC">
        <w:rPr>
          <w:rFonts w:ascii="Times New Roman" w:hAnsi="Times New Roman" w:cs="Times New Roman"/>
        </w:rPr>
        <w:t>4. Estimates of Future Compliance Costs and Budgetary Effects on Particular Regions of the Country, or Particular State, Local, or Tribal Governments or Communities, or Particular Segments of the Private Sector</w:t>
      </w:r>
    </w:p>
    <w:p w:rsidR="00186463" w:rsidP="00186463" w14:paraId="40CCA523" w14:textId="77777777">
      <w:pPr>
        <w:pStyle w:val="ListParagraph"/>
        <w:spacing w:line="240" w:lineRule="auto"/>
        <w:ind w:left="420"/>
        <w:rPr>
          <w:rFonts w:ascii="Times New Roman" w:hAnsi="Times New Roman" w:cs="Times New Roman"/>
        </w:rPr>
      </w:pPr>
    </w:p>
    <w:p w:rsidR="00186463" w:rsidP="00186463" w14:paraId="05E7F76D" w14:textId="3F4B9DA8">
      <w:pPr>
        <w:pStyle w:val="ListParagraph"/>
        <w:spacing w:line="240" w:lineRule="auto"/>
        <w:ind w:firstLine="720"/>
        <w:rPr>
          <w:rFonts w:ascii="Times New Roman" w:hAnsi="Times New Roman" w:cs="Times New Roman"/>
        </w:rPr>
      </w:pPr>
      <w:r w:rsidRPr="007A6B25">
        <w:rPr>
          <w:rFonts w:ascii="Times New Roman" w:hAnsi="Times New Roman" w:cs="Times New Roman"/>
        </w:rPr>
        <w:t xml:space="preserve">The RIA assessed potential effects of the RMP rule on </w:t>
      </w:r>
      <w:r w:rsidRPr="007A6B25">
        <w:rPr>
          <w:rFonts w:ascii="Times New Roman" w:hAnsi="Times New Roman" w:cs="Times New Roman"/>
        </w:rPr>
        <w:t xml:space="preserve">regulated entities </w:t>
      </w:r>
      <w:r w:rsidRPr="007A6B25">
        <w:rPr>
          <w:rFonts w:ascii="Times New Roman" w:hAnsi="Times New Roman" w:cs="Times New Roman"/>
        </w:rPr>
        <w:t xml:space="preserve">(including government entities subject to the rule) and voluntary costs to </w:t>
      </w:r>
      <w:r w:rsidR="003275F3">
        <w:rPr>
          <w:rFonts w:ascii="Times New Roman" w:hAnsi="Times New Roman" w:cs="Times New Roman"/>
        </w:rPr>
        <w:t>State</w:t>
      </w:r>
      <w:r w:rsidRPr="007A6B25">
        <w:rPr>
          <w:rFonts w:ascii="Times New Roman" w:hAnsi="Times New Roman" w:cs="Times New Roman"/>
        </w:rPr>
        <w:t xml:space="preserve"> and local governments that participate in emergency</w:t>
      </w:r>
      <w:r>
        <w:rPr>
          <w:rFonts w:ascii="Times New Roman" w:hAnsi="Times New Roman" w:cs="Times New Roman"/>
        </w:rPr>
        <w:t xml:space="preserve"> </w:t>
      </w:r>
      <w:r w:rsidRPr="007A6B25">
        <w:rPr>
          <w:rFonts w:ascii="Times New Roman" w:hAnsi="Times New Roman" w:cs="Times New Roman"/>
        </w:rPr>
        <w:t>response coordination activities, facility exercises, and review of reports submitted to LEPCs or local emergency response official</w:t>
      </w:r>
      <w:r>
        <w:rPr>
          <w:rFonts w:ascii="Times New Roman" w:hAnsi="Times New Roman" w:cs="Times New Roman"/>
        </w:rPr>
        <w:t>s.</w:t>
      </w:r>
    </w:p>
    <w:p w:rsidR="00186463" w:rsidP="00186463" w14:paraId="2F0BBD8E" w14:textId="77777777">
      <w:pPr>
        <w:pStyle w:val="ListParagraph"/>
        <w:spacing w:line="240" w:lineRule="auto"/>
        <w:rPr>
          <w:rFonts w:ascii="Times New Roman" w:hAnsi="Times New Roman" w:cs="Times New Roman"/>
        </w:rPr>
      </w:pPr>
    </w:p>
    <w:p w:rsidR="00800925" w:rsidRPr="00DD5BEC" w:rsidP="00186463" w14:paraId="7073C9D3" w14:textId="77777777">
      <w:pPr>
        <w:pStyle w:val="ListParagraph"/>
        <w:spacing w:line="240" w:lineRule="auto"/>
        <w:rPr>
          <w:rFonts w:ascii="Times New Roman" w:hAnsi="Times New Roman" w:cs="Times New Roman"/>
        </w:rPr>
      </w:pPr>
      <w:r w:rsidRPr="00DD5BEC">
        <w:rPr>
          <w:rFonts w:ascii="Times New Roman" w:hAnsi="Times New Roman" w:cs="Times New Roman"/>
        </w:rPr>
        <w:t>5. Extent of EPA’s Prior Consultation with Affected State, Local, and Tribal Governments</w:t>
      </w:r>
    </w:p>
    <w:p w:rsidR="00800925" w:rsidRPr="007A6B25" w:rsidP="004F00FE" w14:paraId="25128A4E" w14:textId="77777777">
      <w:pPr>
        <w:spacing w:line="240" w:lineRule="auto"/>
        <w:ind w:left="720" w:firstLine="720"/>
        <w:rPr>
          <w:rFonts w:ascii="Times New Roman" w:hAnsi="Times New Roman" w:cs="Times New Roman"/>
        </w:rPr>
      </w:pPr>
      <w:bookmarkStart w:id="574" w:name="_Hlk135831104"/>
      <w:r w:rsidRPr="007A6B25">
        <w:rPr>
          <w:rFonts w:ascii="Times New Roman" w:hAnsi="Times New Roman" w:cs="Times New Roman"/>
        </w:rPr>
        <w:t xml:space="preserve">Over the </w:t>
      </w:r>
      <w:r>
        <w:rPr>
          <w:rFonts w:ascii="Times New Roman" w:hAnsi="Times New Roman" w:cs="Times New Roman"/>
        </w:rPr>
        <w:t>23</w:t>
      </w:r>
      <w:r w:rsidRPr="007A6B25">
        <w:rPr>
          <w:rFonts w:ascii="Times New Roman" w:hAnsi="Times New Roman" w:cs="Times New Roman"/>
        </w:rPr>
        <w:t xml:space="preserve"> years of implementing the RMP program and, most recently through EO </w:t>
      </w:r>
      <w:r>
        <w:rPr>
          <w:rFonts w:ascii="Times New Roman" w:hAnsi="Times New Roman" w:cs="Times New Roman"/>
        </w:rPr>
        <w:t>13990</w:t>
      </w:r>
      <w:r w:rsidRPr="007A6B25">
        <w:rPr>
          <w:rFonts w:ascii="Times New Roman" w:hAnsi="Times New Roman" w:cs="Times New Roman"/>
        </w:rPr>
        <w:t xml:space="preserve"> listening sessions, </w:t>
      </w:r>
      <w:r>
        <w:rPr>
          <w:rFonts w:ascii="Times New Roman" w:hAnsi="Times New Roman" w:cs="Times New Roman"/>
        </w:rPr>
        <w:t>meetings, and public hearings</w:t>
      </w:r>
      <w:r w:rsidRPr="007A6B25">
        <w:rPr>
          <w:rFonts w:ascii="Times New Roman" w:hAnsi="Times New Roman" w:cs="Times New Roman"/>
        </w:rPr>
        <w:t xml:space="preserve">, EPA has engaged </w:t>
      </w:r>
      <w:r>
        <w:rPr>
          <w:rFonts w:ascii="Times New Roman" w:hAnsi="Times New Roman" w:cs="Times New Roman"/>
        </w:rPr>
        <w:t>S</w:t>
      </w:r>
      <w:r w:rsidRPr="007A6B25">
        <w:rPr>
          <w:rFonts w:ascii="Times New Roman" w:hAnsi="Times New Roman" w:cs="Times New Roman"/>
        </w:rPr>
        <w:t>tates and local communities to discuss chemical safety issues. In the</w:t>
      </w:r>
      <w:r>
        <w:rPr>
          <w:rFonts w:ascii="Times New Roman" w:hAnsi="Times New Roman" w:cs="Times New Roman"/>
        </w:rPr>
        <w:t xml:space="preserve"> two </w:t>
      </w:r>
      <w:r w:rsidRPr="007A6B25">
        <w:rPr>
          <w:rFonts w:ascii="Times New Roman" w:hAnsi="Times New Roman" w:cs="Times New Roman"/>
        </w:rPr>
        <w:t>EO 13</w:t>
      </w:r>
      <w:r>
        <w:rPr>
          <w:rFonts w:ascii="Times New Roman" w:hAnsi="Times New Roman" w:cs="Times New Roman"/>
        </w:rPr>
        <w:t xml:space="preserve">990 </w:t>
      </w:r>
      <w:r w:rsidRPr="007A6B25">
        <w:rPr>
          <w:rFonts w:ascii="Times New Roman" w:hAnsi="Times New Roman" w:cs="Times New Roman"/>
        </w:rPr>
        <w:t xml:space="preserve">listening sessions and </w:t>
      </w:r>
      <w:r>
        <w:rPr>
          <w:rFonts w:ascii="Times New Roman" w:hAnsi="Times New Roman" w:cs="Times New Roman"/>
        </w:rPr>
        <w:t>three proposal hearings</w:t>
      </w:r>
      <w:r w:rsidRPr="007A6B25">
        <w:rPr>
          <w:rFonts w:ascii="Times New Roman" w:hAnsi="Times New Roman" w:cs="Times New Roman"/>
        </w:rPr>
        <w:t xml:space="preserve">, held </w:t>
      </w:r>
      <w:r>
        <w:rPr>
          <w:rFonts w:ascii="Times New Roman" w:hAnsi="Times New Roman" w:cs="Times New Roman"/>
        </w:rPr>
        <w:t>in July 2021</w:t>
      </w:r>
      <w:r w:rsidRPr="007A6B25">
        <w:rPr>
          <w:rFonts w:ascii="Times New Roman" w:hAnsi="Times New Roman" w:cs="Times New Roman"/>
        </w:rPr>
        <w:t xml:space="preserve"> and </w:t>
      </w:r>
      <w:r>
        <w:rPr>
          <w:rFonts w:ascii="Times New Roman" w:hAnsi="Times New Roman" w:cs="Times New Roman"/>
        </w:rPr>
        <w:t>September 2022</w:t>
      </w:r>
      <w:r w:rsidRPr="007A6B25">
        <w:rPr>
          <w:rFonts w:ascii="Times New Roman" w:hAnsi="Times New Roman" w:cs="Times New Roman"/>
        </w:rPr>
        <w:t xml:space="preserve">, </w:t>
      </w:r>
      <w:r>
        <w:rPr>
          <w:rFonts w:ascii="Times New Roman" w:hAnsi="Times New Roman" w:cs="Times New Roman"/>
        </w:rPr>
        <w:t>S</w:t>
      </w:r>
      <w:r w:rsidRPr="007A6B25">
        <w:rPr>
          <w:rFonts w:ascii="Times New Roman" w:hAnsi="Times New Roman" w:cs="Times New Roman"/>
        </w:rPr>
        <w:t>tates and local communities identified lack of</w:t>
      </w:r>
      <w:r>
        <w:rPr>
          <w:rFonts w:ascii="Times New Roman" w:hAnsi="Times New Roman" w:cs="Times New Roman"/>
        </w:rPr>
        <w:t xml:space="preserve"> facility</w:t>
      </w:r>
      <w:r w:rsidRPr="007A6B25">
        <w:rPr>
          <w:rFonts w:ascii="Times New Roman" w:hAnsi="Times New Roman" w:cs="Times New Roman"/>
        </w:rPr>
        <w:t xml:space="preserve"> </w:t>
      </w:r>
      <w:r>
        <w:rPr>
          <w:rFonts w:ascii="Times New Roman" w:hAnsi="Times New Roman" w:cs="Times New Roman"/>
        </w:rPr>
        <w:t xml:space="preserve">coordination with local responders and the community </w:t>
      </w:r>
      <w:r w:rsidRPr="007A6B25">
        <w:rPr>
          <w:rFonts w:ascii="Times New Roman" w:hAnsi="Times New Roman" w:cs="Times New Roman"/>
        </w:rPr>
        <w:t>as a key barrier to successful local community preparedness. Additionally, EPA has h</w:t>
      </w:r>
      <w:r w:rsidR="003308FC">
        <w:rPr>
          <w:rFonts w:ascii="Times New Roman" w:hAnsi="Times New Roman" w:cs="Times New Roman"/>
        </w:rPr>
        <w:t>eld</w:t>
      </w:r>
      <w:r w:rsidRPr="007A6B25">
        <w:rPr>
          <w:rFonts w:ascii="Times New Roman" w:hAnsi="Times New Roman" w:cs="Times New Roman"/>
        </w:rPr>
        <w:t xml:space="preserve"> consultations with </w:t>
      </w:r>
      <w:r>
        <w:rPr>
          <w:rFonts w:ascii="Times New Roman" w:hAnsi="Times New Roman" w:cs="Times New Roman"/>
        </w:rPr>
        <w:t>S</w:t>
      </w:r>
      <w:r w:rsidRPr="007A6B25">
        <w:rPr>
          <w:rFonts w:ascii="Times New Roman" w:hAnsi="Times New Roman" w:cs="Times New Roman"/>
        </w:rPr>
        <w:t xml:space="preserve">tates and local communities through participation in the NASTTPO annual meetings to discuss key issues related to chemical facility and local community coordination and </w:t>
      </w:r>
      <w:r w:rsidR="003308FC">
        <w:rPr>
          <w:rFonts w:ascii="Times New Roman" w:hAnsi="Times New Roman" w:cs="Times New Roman"/>
        </w:rPr>
        <w:t>the</w:t>
      </w:r>
      <w:r w:rsidRPr="007A6B25">
        <w:rPr>
          <w:rFonts w:ascii="Times New Roman" w:hAnsi="Times New Roman" w:cs="Times New Roman"/>
        </w:rPr>
        <w:t xml:space="preserve"> areas of the RMP regulations </w:t>
      </w:r>
      <w:r w:rsidR="003308FC">
        <w:rPr>
          <w:rFonts w:ascii="Times New Roman" w:hAnsi="Times New Roman" w:cs="Times New Roman"/>
        </w:rPr>
        <w:t xml:space="preserve">which </w:t>
      </w:r>
      <w:r w:rsidRPr="007A6B25">
        <w:rPr>
          <w:rFonts w:ascii="Times New Roman" w:hAnsi="Times New Roman" w:cs="Times New Roman"/>
        </w:rPr>
        <w:t xml:space="preserve">need to be modernized to facilitate this coordination and improve local emergency preparedness and prevention. Key priority options discussed with NASTTPO </w:t>
      </w:r>
      <w:r>
        <w:rPr>
          <w:rFonts w:ascii="Times New Roman" w:hAnsi="Times New Roman" w:cs="Times New Roman"/>
        </w:rPr>
        <w:t>S</w:t>
      </w:r>
      <w:r w:rsidRPr="007A6B25">
        <w:rPr>
          <w:rFonts w:ascii="Times New Roman" w:hAnsi="Times New Roman" w:cs="Times New Roman"/>
        </w:rPr>
        <w:t xml:space="preserve">tates </w:t>
      </w:r>
      <w:r w:rsidRPr="007A6B25">
        <w:rPr>
          <w:rFonts w:ascii="Times New Roman" w:hAnsi="Times New Roman" w:cs="Times New Roman"/>
        </w:rPr>
        <w:t>and local communities included improving emergency response coordination between RMP facilities and LEPCs/first responder</w:t>
      </w:r>
      <w:r>
        <w:rPr>
          <w:rFonts w:ascii="Times New Roman" w:hAnsi="Times New Roman" w:cs="Times New Roman"/>
        </w:rPr>
        <w:t>s.</w:t>
      </w:r>
    </w:p>
    <w:p w:rsidR="00800925" w:rsidRPr="007A6B25" w:rsidP="004F00FE" w14:paraId="5350A67B" w14:textId="77777777">
      <w:pPr>
        <w:spacing w:line="240" w:lineRule="auto"/>
        <w:ind w:left="720" w:firstLine="720"/>
        <w:rPr>
          <w:rFonts w:ascii="Times New Roman" w:hAnsi="Times New Roman" w:cs="Times New Roman"/>
        </w:rPr>
      </w:pPr>
      <w:r w:rsidRPr="00480AB0">
        <w:rPr>
          <w:rFonts w:ascii="Times New Roman" w:hAnsi="Times New Roman" w:cs="Times New Roman"/>
        </w:rPr>
        <w:t>This action is not subject to the requirements of section 203 of UMRA because it contains no regulatory requirements that might significantly or uniquely affect small governments.</w:t>
      </w:r>
      <w:r w:rsidRPr="00480AB0">
        <w:rPr>
          <w:rFonts w:ascii="Times New Roman" w:hAnsi="Times New Roman" w:cs="Times New Roman"/>
          <w:color w:val="0000FF"/>
        </w:rPr>
        <w:t xml:space="preserve"> </w:t>
      </w:r>
      <w:r>
        <w:rPr>
          <w:rFonts w:ascii="Times New Roman" w:hAnsi="Times New Roman" w:cs="Times New Roman"/>
        </w:rPr>
        <w:t xml:space="preserve">On April 7, 2022, </w:t>
      </w:r>
      <w:r w:rsidR="005B1B15">
        <w:rPr>
          <w:rFonts w:ascii="Times New Roman" w:hAnsi="Times New Roman" w:cs="Times New Roman"/>
        </w:rPr>
        <w:t>S</w:t>
      </w:r>
      <w:r>
        <w:rPr>
          <w:rFonts w:ascii="Times New Roman" w:hAnsi="Times New Roman" w:cs="Times New Roman"/>
        </w:rPr>
        <w:t xml:space="preserve">eptember 1, </w:t>
      </w:r>
      <w:r w:rsidR="00B21385">
        <w:rPr>
          <w:rFonts w:ascii="Times New Roman" w:hAnsi="Times New Roman" w:cs="Times New Roman"/>
        </w:rPr>
        <w:t>2022,</w:t>
      </w:r>
      <w:r w:rsidR="005B1B15">
        <w:rPr>
          <w:rFonts w:ascii="Times New Roman" w:hAnsi="Times New Roman" w:cs="Times New Roman"/>
        </w:rPr>
        <w:t xml:space="preserve"> and September 5, 2023</w:t>
      </w:r>
      <w:r>
        <w:rPr>
          <w:rFonts w:ascii="Times New Roman" w:hAnsi="Times New Roman" w:cs="Times New Roman"/>
        </w:rPr>
        <w:t xml:space="preserve">, </w:t>
      </w:r>
      <w:r w:rsidRPr="007A6B25">
        <w:rPr>
          <w:rFonts w:ascii="Times New Roman" w:hAnsi="Times New Roman" w:cs="Times New Roman"/>
        </w:rPr>
        <w:t xml:space="preserve">EPA </w:t>
      </w:r>
      <w:r>
        <w:rPr>
          <w:rFonts w:ascii="Times New Roman" w:hAnsi="Times New Roman" w:cs="Times New Roman"/>
        </w:rPr>
        <w:t>met</w:t>
      </w:r>
      <w:r w:rsidRPr="007A6B25">
        <w:rPr>
          <w:rFonts w:ascii="Times New Roman" w:hAnsi="Times New Roman" w:cs="Times New Roman"/>
        </w:rPr>
        <w:t xml:space="preserve"> with small governments concerning the regulatory requirements that might affect them. </w:t>
      </w:r>
      <w:r>
        <w:rPr>
          <w:rFonts w:ascii="Times New Roman" w:hAnsi="Times New Roman" w:cs="Times New Roman"/>
        </w:rPr>
        <w:t>Also, t</w:t>
      </w:r>
      <w:r w:rsidRPr="007A6B25">
        <w:rPr>
          <w:rFonts w:ascii="Times New Roman" w:hAnsi="Times New Roman" w:cs="Times New Roman"/>
        </w:rPr>
        <w:t xml:space="preserve">hrough the </w:t>
      </w:r>
      <w:r>
        <w:rPr>
          <w:rFonts w:ascii="Times New Roman" w:hAnsi="Times New Roman" w:cs="Times New Roman"/>
        </w:rPr>
        <w:t xml:space="preserve">May 28, 2021, </w:t>
      </w:r>
      <w:r w:rsidRPr="005635A4">
        <w:rPr>
          <w:rFonts w:ascii="Times New Roman" w:hAnsi="Times New Roman" w:cs="Times New Roman"/>
        </w:rPr>
        <w:t>notice of virtual public listening sessions; request for public comment</w:t>
      </w:r>
      <w:r>
        <w:rPr>
          <w:rFonts w:ascii="Times New Roman" w:hAnsi="Times New Roman" w:cs="Times New Roman"/>
        </w:rPr>
        <w:t xml:space="preserve"> </w:t>
      </w:r>
      <w:r w:rsidRPr="007A6B25">
        <w:rPr>
          <w:rFonts w:ascii="Times New Roman" w:hAnsi="Times New Roman" w:cs="Times New Roman"/>
        </w:rPr>
        <w:t>(</w:t>
      </w:r>
      <w:r>
        <w:rPr>
          <w:rFonts w:ascii="Times New Roman" w:hAnsi="Times New Roman" w:cs="Times New Roman"/>
        </w:rPr>
        <w:t>86</w:t>
      </w:r>
      <w:r w:rsidRPr="007A6B25">
        <w:rPr>
          <w:rFonts w:ascii="Times New Roman" w:hAnsi="Times New Roman" w:cs="Times New Roman"/>
        </w:rPr>
        <w:t xml:space="preserve"> FR </w:t>
      </w:r>
      <w:r>
        <w:rPr>
          <w:rFonts w:ascii="Times New Roman" w:hAnsi="Times New Roman" w:cs="Times New Roman"/>
        </w:rPr>
        <w:t>28828</w:t>
      </w:r>
      <w:r w:rsidRPr="007A6B25">
        <w:rPr>
          <w:rFonts w:ascii="Times New Roman" w:hAnsi="Times New Roman" w:cs="Times New Roman"/>
        </w:rPr>
        <w:t xml:space="preserve">) and </w:t>
      </w:r>
      <w:r>
        <w:rPr>
          <w:rFonts w:ascii="Times New Roman" w:hAnsi="Times New Roman" w:cs="Times New Roman"/>
        </w:rPr>
        <w:t>August 31, 2022,</w:t>
      </w:r>
      <w:r w:rsidRPr="007A6B25">
        <w:rPr>
          <w:rFonts w:ascii="Times New Roman" w:hAnsi="Times New Roman" w:cs="Times New Roman"/>
        </w:rPr>
        <w:t xml:space="preserve"> NPRM (8</w:t>
      </w:r>
      <w:r>
        <w:rPr>
          <w:rFonts w:ascii="Times New Roman" w:hAnsi="Times New Roman" w:cs="Times New Roman"/>
        </w:rPr>
        <w:t>7</w:t>
      </w:r>
      <w:r w:rsidRPr="007A6B25">
        <w:rPr>
          <w:rFonts w:ascii="Times New Roman" w:hAnsi="Times New Roman" w:cs="Times New Roman"/>
        </w:rPr>
        <w:t xml:space="preserve"> FR </w:t>
      </w:r>
      <w:r>
        <w:rPr>
          <w:rFonts w:ascii="Times New Roman" w:hAnsi="Times New Roman" w:cs="Times New Roman"/>
        </w:rPr>
        <w:t>53556</w:t>
      </w:r>
      <w:r w:rsidRPr="007A6B25">
        <w:rPr>
          <w:rFonts w:ascii="Times New Roman" w:hAnsi="Times New Roman" w:cs="Times New Roman"/>
        </w:rPr>
        <w:t xml:space="preserve">), EPA sought feedback from governmental entities while formulating the revisions in this action. </w:t>
      </w:r>
      <w:bookmarkEnd w:id="574"/>
    </w:p>
    <w:p w:rsidR="00EB2FF3" w:rsidRPr="003678FE" w:rsidP="00F03CB7" w14:paraId="580F95D9" w14:textId="77777777">
      <w:pPr>
        <w:spacing w:line="240" w:lineRule="auto"/>
        <w:rPr>
          <w:rFonts w:ascii="Times New Roman" w:hAnsi="Times New Roman" w:cs="Times New Roman"/>
        </w:rPr>
      </w:pPr>
    </w:p>
    <w:sectPr w:rsidSect="005379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IXSizeThreeSym">
    <w:charset w:val="81"/>
    <w:family w:val="auto"/>
    <w:pitch w:val="variable"/>
    <w:sig w:usb0="20000063" w:usb1="190E80C4" w:usb2="00000010" w:usb3="00000000" w:csb0="803E0101"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51830" w14:paraId="657E876E" w14:textId="77777777">
    <w:pPr>
      <w:pStyle w:val="Footer"/>
    </w:pPr>
    <w:r>
      <w:cr/>
    </w:r>
    <w:r>
      <w:cr/>
    </w:r>
    <w:r w:rsidR="002A7710">
      <w:cr/>
    </w:r>
  </w:p>
  <w:p w:rsidR="00D501D7" w14:paraId="421E76AE" w14:textId="77777777">
    <w:pPr>
      <w:pStyle w:val="Footer"/>
    </w:pPr>
    <w:r>
      <w:cr/>
    </w:r>
    <w:r>
      <w:cr/>
    </w:r>
    <w:r>
      <w:cr/>
    </w:r>
  </w:p>
  <w:p w:rsidR="007220D6" w14:paraId="25BBC462" w14:textId="77777777">
    <w:pPr>
      <w:pStyle w:val="Footer"/>
    </w:pPr>
    <w:r>
      <w:cr/>
    </w:r>
    <w:r>
      <w:cr/>
    </w:r>
    <w:r>
      <w:cr/>
    </w:r>
  </w:p>
  <w:p w:rsidR="008550A6" w14:paraId="2F69AEE8" w14:textId="77777777">
    <w:pPr>
      <w:pStyle w:val="Footer"/>
    </w:pPr>
    <w:r>
      <w:cr/>
    </w:r>
    <w:r>
      <w:cr/>
    </w:r>
    <w:r>
      <w:cr/>
    </w: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35210" w:rsidP="00031866" w14:paraId="1BA978CF" w14:textId="77777777">
    <w:pPr>
      <w:tabs>
        <w:tab w:val="left" w:pos="8916"/>
      </w:tabs>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6045200</wp:posOffset>
              </wp:positionH>
              <wp:positionV relativeFrom="page">
                <wp:posOffset>9450705</wp:posOffset>
              </wp:positionV>
              <wp:extent cx="825500" cy="158750"/>
              <wp:effectExtent l="0" t="0" r="0" b="0"/>
              <wp:wrapNone/>
              <wp:docPr id="98" name="Text Box 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25500" cy="1587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35210" w14:textId="77777777">
                          <w:pPr>
                            <w:spacing w:line="234" w:lineRule="exact"/>
                            <w:ind w:left="20"/>
                            <w:rPr>
                              <w:b/>
                              <w:sz w:val="21"/>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2049" type="#_x0000_t202" style="width:65pt;height:12.5pt;margin-top:744.15pt;margin-left:47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435210" w14:paraId="2890E0EA" w14:textId="77777777">
                    <w:pPr>
                      <w:spacing w:line="234" w:lineRule="exact"/>
                      <w:ind w:left="20"/>
                      <w:rPr>
                        <w:b/>
                        <w:sz w:val="21"/>
                      </w:rPr>
                    </w:pPr>
                  </w:p>
                </w:txbxContent>
              </v:textbox>
            </v:shape>
          </w:pict>
        </mc:Fallback>
      </mc:AlternateContent>
    </w:r>
    <w:r w:rsidR="00031866">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51830" w14:paraId="408B6283" w14:textId="77777777">
    <w:r>
      <w:cr/>
    </w:r>
    <w:r>
      <w:cr/>
    </w:r>
    <w:r w:rsidR="002A7710">
      <w:cr/>
    </w:r>
  </w:p>
  <w:p w:rsidR="00D501D7" w14:paraId="3E4F1E32" w14:textId="77777777">
    <w:r>
      <w:cr/>
    </w:r>
    <w:r>
      <w:cr/>
    </w:r>
    <w:r>
      <w:cr/>
    </w:r>
  </w:p>
  <w:p w:rsidR="007220D6" w14:paraId="7C463F80" w14:textId="77777777">
    <w:r>
      <w:cr/>
    </w:r>
    <w:r>
      <w:cr/>
    </w:r>
    <w:r>
      <w:cr/>
    </w:r>
  </w:p>
  <w:p w:rsidR="008550A6" w14:paraId="2DFEFB73" w14:textId="77777777">
    <w:r>
      <w:cr/>
    </w:r>
    <w:r>
      <w:cr/>
    </w:r>
    <w:r>
      <w:cr/>
    </w:r>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975E60" w14:paraId="0CCC3D6B" w14:textId="77777777">
    <w:pPr>
      <w:pStyle w:val="Footer"/>
      <w:jc w:val="right"/>
    </w:pPr>
  </w:p>
  <w:p w:rsidR="00435210" w14:paraId="125CFBAE" w14:textId="77777777">
    <w:pPr>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1841297269"/>
      <w:docPartObj>
        <w:docPartGallery w:val="Page Numbers (Bottom of Page)"/>
        <w:docPartUnique/>
      </w:docPartObj>
    </w:sdtPr>
    <w:sdtEndPr>
      <w:rPr>
        <w:noProof/>
      </w:rPr>
    </w:sdtEndPr>
    <w:sdtContent>
      <w:sdt>
        <w:sdtPr>
          <w:id w:val="-1769616900"/>
          <w:docPartObj>
            <w:docPartGallery w:val="Page Numbers (Top of Page)"/>
            <w:docPartUnique/>
          </w:docPartObj>
        </w:sdtPr>
        <w:sdtContent>
          <w:p w:rsidR="001D6C3A" w14:paraId="0E75982C" w14:textId="77777777">
            <w:pPr>
              <w:pStyle w:val="Footer"/>
              <w:jc w:val="right"/>
            </w:pPr>
            <w:r w:rsidRPr="001D2A68">
              <w:rPr>
                <w:rFonts w:ascii="Times New Roman" w:hAnsi="Times New Roman" w:cs="Times New Roman"/>
              </w:rPr>
              <w:t xml:space="preserve">Page </w:t>
            </w:r>
            <w:r w:rsidRPr="001D2A68">
              <w:rPr>
                <w:rFonts w:ascii="Times New Roman" w:hAnsi="Times New Roman" w:cs="Times New Roman"/>
                <w:b/>
                <w:bCs/>
                <w:sz w:val="24"/>
                <w:szCs w:val="24"/>
              </w:rPr>
              <w:fldChar w:fldCharType="begin"/>
            </w:r>
            <w:r w:rsidRPr="001D2A68">
              <w:rPr>
                <w:rFonts w:ascii="Times New Roman" w:hAnsi="Times New Roman" w:cs="Times New Roman"/>
                <w:b/>
                <w:bCs/>
              </w:rPr>
              <w:instrText xml:space="preserve"> PAGE </w:instrText>
            </w:r>
            <w:r w:rsidRPr="001D2A68">
              <w:rPr>
                <w:rFonts w:ascii="Times New Roman" w:hAnsi="Times New Roman" w:cs="Times New Roman"/>
                <w:b/>
                <w:bCs/>
                <w:sz w:val="24"/>
                <w:szCs w:val="24"/>
              </w:rPr>
              <w:fldChar w:fldCharType="separate"/>
            </w:r>
            <w:r w:rsidRPr="001D2A68">
              <w:rPr>
                <w:rFonts w:ascii="Times New Roman" w:hAnsi="Times New Roman" w:cs="Times New Roman"/>
                <w:b/>
                <w:bCs/>
                <w:noProof/>
              </w:rPr>
              <w:t>2</w:t>
            </w:r>
            <w:r w:rsidRPr="001D2A68">
              <w:rPr>
                <w:rFonts w:ascii="Times New Roman" w:hAnsi="Times New Roman" w:cs="Times New Roman"/>
                <w:b/>
                <w:bCs/>
                <w:sz w:val="24"/>
                <w:szCs w:val="24"/>
              </w:rPr>
              <w:fldChar w:fldCharType="end"/>
            </w:r>
            <w:r w:rsidRPr="001D2A68">
              <w:rPr>
                <w:rFonts w:ascii="Times New Roman" w:hAnsi="Times New Roman" w:cs="Times New Roman"/>
              </w:rPr>
              <w:t xml:space="preserve"> of </w:t>
            </w:r>
            <w:r w:rsidRPr="001D2A68">
              <w:rPr>
                <w:rFonts w:ascii="Times New Roman" w:hAnsi="Times New Roman" w:cs="Times New Roman"/>
                <w:b/>
                <w:bCs/>
                <w:sz w:val="24"/>
                <w:szCs w:val="24"/>
              </w:rPr>
              <w:fldChar w:fldCharType="begin"/>
            </w:r>
            <w:r w:rsidRPr="001D2A68">
              <w:rPr>
                <w:rFonts w:ascii="Times New Roman" w:hAnsi="Times New Roman" w:cs="Times New Roman"/>
                <w:b/>
                <w:bCs/>
              </w:rPr>
              <w:instrText xml:space="preserve"> NUMPAGES  </w:instrText>
            </w:r>
            <w:r w:rsidRPr="001D2A68">
              <w:rPr>
                <w:rFonts w:ascii="Times New Roman" w:hAnsi="Times New Roman" w:cs="Times New Roman"/>
                <w:b/>
                <w:bCs/>
                <w:sz w:val="24"/>
                <w:szCs w:val="24"/>
              </w:rPr>
              <w:fldChar w:fldCharType="separate"/>
            </w:r>
            <w:r w:rsidRPr="001D2A68">
              <w:rPr>
                <w:rFonts w:ascii="Times New Roman" w:hAnsi="Times New Roman" w:cs="Times New Roman"/>
                <w:b/>
                <w:bCs/>
                <w:noProof/>
              </w:rPr>
              <w:t>2</w:t>
            </w:r>
            <w:r w:rsidRPr="001D2A68">
              <w:rPr>
                <w:rFonts w:ascii="Times New Roman" w:hAnsi="Times New Roman" w:cs="Times New Roman"/>
                <w:b/>
                <w:bCs/>
                <w:sz w:val="24"/>
                <w:szCs w:val="24"/>
              </w:rPr>
              <w:fldChar w:fldCharType="end"/>
            </w:r>
          </w:p>
        </w:sdtContent>
      </w:sdt>
    </w:sdtContent>
  </w:sdt>
  <w:p w:rsidR="00AC032C" w14:paraId="505B9AC3"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1911144912"/>
      <w:docPartObj>
        <w:docPartGallery w:val="Page Numbers (Top of Page)"/>
        <w:docPartUnique/>
      </w:docPartObj>
    </w:sdtPr>
    <w:sdtContent>
      <w:p w:rsidR="00887025" w14:paraId="58518684" w14:textId="77777777">
        <w:pPr>
          <w:pStyle w:val="Footer"/>
          <w:jc w:val="right"/>
        </w:pPr>
        <w:r w:rsidRPr="001D2A68">
          <w:rPr>
            <w:rFonts w:ascii="Times New Roman" w:hAnsi="Times New Roman" w:cs="Times New Roman"/>
          </w:rPr>
          <w:t xml:space="preserve">Page </w:t>
        </w:r>
        <w:r w:rsidRPr="001D2A68">
          <w:rPr>
            <w:rFonts w:ascii="Times New Roman" w:hAnsi="Times New Roman" w:cs="Times New Roman"/>
            <w:b/>
            <w:bCs/>
            <w:sz w:val="24"/>
            <w:szCs w:val="24"/>
          </w:rPr>
          <w:fldChar w:fldCharType="begin"/>
        </w:r>
        <w:r w:rsidRPr="001D2A68">
          <w:rPr>
            <w:rFonts w:ascii="Times New Roman" w:hAnsi="Times New Roman" w:cs="Times New Roman"/>
            <w:b/>
            <w:bCs/>
          </w:rPr>
          <w:instrText xml:space="preserve"> PAGE </w:instrText>
        </w:r>
        <w:r w:rsidRPr="001D2A68">
          <w:rPr>
            <w:rFonts w:ascii="Times New Roman" w:hAnsi="Times New Roman" w:cs="Times New Roman"/>
            <w:b/>
            <w:bCs/>
            <w:sz w:val="24"/>
            <w:szCs w:val="24"/>
          </w:rPr>
          <w:fldChar w:fldCharType="separate"/>
        </w:r>
        <w:r>
          <w:rPr>
            <w:rFonts w:ascii="Times New Roman" w:hAnsi="Times New Roman" w:cs="Times New Roman"/>
            <w:b/>
            <w:bCs/>
            <w:sz w:val="24"/>
            <w:szCs w:val="24"/>
          </w:rPr>
          <w:t>1</w:t>
        </w:r>
        <w:r w:rsidRPr="001D2A68">
          <w:rPr>
            <w:rFonts w:ascii="Times New Roman" w:hAnsi="Times New Roman" w:cs="Times New Roman"/>
            <w:b/>
            <w:bCs/>
            <w:sz w:val="24"/>
            <w:szCs w:val="24"/>
          </w:rPr>
          <w:fldChar w:fldCharType="end"/>
        </w:r>
        <w:r w:rsidRPr="001D2A68">
          <w:rPr>
            <w:rFonts w:ascii="Times New Roman" w:hAnsi="Times New Roman" w:cs="Times New Roman"/>
          </w:rPr>
          <w:t xml:space="preserve"> of </w:t>
        </w:r>
        <w:r w:rsidRPr="001D2A68">
          <w:rPr>
            <w:rFonts w:ascii="Times New Roman" w:hAnsi="Times New Roman" w:cs="Times New Roman"/>
            <w:b/>
            <w:bCs/>
            <w:sz w:val="24"/>
            <w:szCs w:val="24"/>
          </w:rPr>
          <w:fldChar w:fldCharType="begin"/>
        </w:r>
        <w:r w:rsidRPr="001D2A68">
          <w:rPr>
            <w:rFonts w:ascii="Times New Roman" w:hAnsi="Times New Roman" w:cs="Times New Roman"/>
            <w:b/>
            <w:bCs/>
          </w:rPr>
          <w:instrText xml:space="preserve"> NUMPAGES  </w:instrText>
        </w:r>
        <w:r w:rsidRPr="001D2A68">
          <w:rPr>
            <w:rFonts w:ascii="Times New Roman" w:hAnsi="Times New Roman" w:cs="Times New Roman"/>
            <w:b/>
            <w:bCs/>
            <w:sz w:val="24"/>
            <w:szCs w:val="24"/>
          </w:rPr>
          <w:fldChar w:fldCharType="separate"/>
        </w:r>
        <w:r>
          <w:rPr>
            <w:rFonts w:ascii="Times New Roman" w:hAnsi="Times New Roman" w:cs="Times New Roman"/>
            <w:b/>
            <w:bCs/>
            <w:sz w:val="24"/>
            <w:szCs w:val="24"/>
          </w:rPr>
          <w:t>93</w:t>
        </w:r>
        <w:r w:rsidRPr="001D2A68">
          <w:rPr>
            <w:rFonts w:ascii="Times New Roman" w:hAnsi="Times New Roman" w:cs="Times New Roman"/>
            <w:b/>
            <w:bCs/>
            <w:sz w:val="24"/>
            <w:szCs w:val="24"/>
          </w:rPr>
          <w:fldChar w:fldCharType="end"/>
        </w:r>
      </w:p>
    </w:sdtContent>
  </w:sdt>
  <w:p w:rsidR="00887025" w14:paraId="4AA26BF7"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1006628297"/>
      <w:docPartObj>
        <w:docPartGallery w:val="Page Numbers (Top of Page)"/>
        <w:docPartUnique/>
      </w:docPartObj>
    </w:sdtPr>
    <w:sdtContent>
      <w:p w:rsidR="00F4757C" w:rsidP="00F4757C" w14:paraId="3B0E9927" w14:textId="77777777">
        <w:pPr>
          <w:pStyle w:val="Footer"/>
          <w:jc w:val="right"/>
        </w:pPr>
        <w:r w:rsidRPr="001D2A68">
          <w:rPr>
            <w:rFonts w:ascii="Times New Roman" w:hAnsi="Times New Roman" w:cs="Times New Roman"/>
          </w:rPr>
          <w:t xml:space="preserve">Page </w:t>
        </w:r>
        <w:r w:rsidRPr="001D2A68">
          <w:rPr>
            <w:rFonts w:ascii="Times New Roman" w:hAnsi="Times New Roman" w:cs="Times New Roman"/>
            <w:b/>
            <w:bCs/>
            <w:sz w:val="24"/>
            <w:szCs w:val="24"/>
          </w:rPr>
          <w:fldChar w:fldCharType="begin"/>
        </w:r>
        <w:r w:rsidRPr="001D2A68">
          <w:rPr>
            <w:rFonts w:ascii="Times New Roman" w:hAnsi="Times New Roman" w:cs="Times New Roman"/>
            <w:b/>
            <w:bCs/>
          </w:rPr>
          <w:instrText xml:space="preserve"> PAGE </w:instrText>
        </w:r>
        <w:r w:rsidRPr="001D2A68">
          <w:rPr>
            <w:rFonts w:ascii="Times New Roman" w:hAnsi="Times New Roman" w:cs="Times New Roman"/>
            <w:b/>
            <w:bCs/>
            <w:sz w:val="24"/>
            <w:szCs w:val="24"/>
          </w:rPr>
          <w:fldChar w:fldCharType="separate"/>
        </w:r>
        <w:r>
          <w:rPr>
            <w:rFonts w:ascii="Times New Roman" w:hAnsi="Times New Roman" w:cs="Times New Roman"/>
            <w:b/>
            <w:bCs/>
            <w:sz w:val="24"/>
            <w:szCs w:val="24"/>
          </w:rPr>
          <w:t>1</w:t>
        </w:r>
        <w:r w:rsidRPr="001D2A68">
          <w:rPr>
            <w:rFonts w:ascii="Times New Roman" w:hAnsi="Times New Roman" w:cs="Times New Roman"/>
            <w:b/>
            <w:bCs/>
            <w:sz w:val="24"/>
            <w:szCs w:val="24"/>
          </w:rPr>
          <w:fldChar w:fldCharType="end"/>
        </w:r>
        <w:r w:rsidRPr="001D2A68">
          <w:rPr>
            <w:rFonts w:ascii="Times New Roman" w:hAnsi="Times New Roman" w:cs="Times New Roman"/>
          </w:rPr>
          <w:t xml:space="preserve"> of </w:t>
        </w:r>
        <w:r w:rsidRPr="001D2A68">
          <w:rPr>
            <w:rFonts w:ascii="Times New Roman" w:hAnsi="Times New Roman" w:cs="Times New Roman"/>
            <w:b/>
            <w:bCs/>
            <w:sz w:val="24"/>
            <w:szCs w:val="24"/>
          </w:rPr>
          <w:fldChar w:fldCharType="begin"/>
        </w:r>
        <w:r w:rsidRPr="001D2A68">
          <w:rPr>
            <w:rFonts w:ascii="Times New Roman" w:hAnsi="Times New Roman" w:cs="Times New Roman"/>
            <w:b/>
            <w:bCs/>
          </w:rPr>
          <w:instrText xml:space="preserve"> NUMPAGES  </w:instrText>
        </w:r>
        <w:r w:rsidRPr="001D2A68">
          <w:rPr>
            <w:rFonts w:ascii="Times New Roman" w:hAnsi="Times New Roman" w:cs="Times New Roman"/>
            <w:b/>
            <w:bCs/>
            <w:sz w:val="24"/>
            <w:szCs w:val="24"/>
          </w:rPr>
          <w:fldChar w:fldCharType="separate"/>
        </w:r>
        <w:r>
          <w:rPr>
            <w:rFonts w:ascii="Times New Roman" w:hAnsi="Times New Roman" w:cs="Times New Roman"/>
            <w:b/>
            <w:bCs/>
            <w:sz w:val="24"/>
            <w:szCs w:val="24"/>
          </w:rPr>
          <w:t>93</w:t>
        </w:r>
        <w:r w:rsidRPr="001D2A68">
          <w:rPr>
            <w:rFonts w:ascii="Times New Roman" w:hAnsi="Times New Roman" w:cs="Times New Roman"/>
            <w:b/>
            <w:bCs/>
            <w:sz w:val="24"/>
            <w:szCs w:val="24"/>
          </w:rPr>
          <w:fldChar w:fldCharType="end"/>
        </w:r>
      </w:p>
    </w:sdtContent>
  </w:sdt>
  <w:p w:rsidR="007638FD" w14:paraId="3A162EC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footnote w:type="separator" w:id="0">
    <w:p w:rsidR="005379A2" w:rsidP="00093C0A" w14:paraId="156BAD5D" w14:textId="77777777">
      <w:pPr>
        <w:spacing w:after="0" w:line="240" w:lineRule="auto"/>
      </w:pPr>
      <w:r>
        <w:separator/>
      </w:r>
    </w:p>
  </w:footnote>
  <w:footnote w:type="continuationSeparator" w:id="1">
    <w:p w:rsidR="005379A2" w:rsidP="00093C0A" w14:paraId="4DC38AC9" w14:textId="77777777">
      <w:pPr>
        <w:spacing w:after="0" w:line="240" w:lineRule="auto"/>
      </w:pPr>
      <w:r>
        <w:continuationSeparator/>
      </w:r>
    </w:p>
  </w:footnote>
  <w:footnote w:type="continuationNotice" w:id="2">
    <w:p w:rsidR="005379A2" w14:paraId="3A59CEBC" w14:textId="77777777">
      <w:pPr>
        <w:spacing w:after="0" w:line="240" w:lineRule="auto"/>
      </w:pPr>
    </w:p>
  </w:footnote>
  <w:footnote w:id="3">
    <w:p w:rsidR="00A455F4" w:rsidRPr="000F1E74" w14:paraId="6E81E789" w14:textId="77777777">
      <w:pPr>
        <w:pStyle w:val="FootnoteText"/>
        <w:rPr>
          <w:rFonts w:ascii="Times New Roman" w:hAnsi="Times New Roman" w:cs="Times New Roman"/>
          <w:sz w:val="18"/>
          <w:szCs w:val="18"/>
        </w:rPr>
      </w:pPr>
      <w:r w:rsidRPr="000F1E74">
        <w:rPr>
          <w:rStyle w:val="FootnoteReference"/>
          <w:rFonts w:ascii="Times New Roman" w:hAnsi="Times New Roman" w:cs="Times New Roman"/>
          <w:sz w:val="18"/>
          <w:szCs w:val="18"/>
        </w:rPr>
        <w:footnoteRef/>
      </w:r>
      <w:r w:rsidRPr="000F1E74">
        <w:rPr>
          <w:rFonts w:ascii="Times New Roman" w:hAnsi="Times New Roman" w:cs="Times New Roman"/>
          <w:sz w:val="18"/>
          <w:szCs w:val="18"/>
        </w:rPr>
        <w:t xml:space="preserve"> Note that the acronym RMP is used </w:t>
      </w:r>
      <w:r w:rsidRPr="000F1E74" w:rsidR="007838BD">
        <w:rPr>
          <w:rFonts w:ascii="Times New Roman" w:hAnsi="Times New Roman" w:cs="Times New Roman"/>
          <w:sz w:val="18"/>
          <w:szCs w:val="18"/>
        </w:rPr>
        <w:t>generally t</w:t>
      </w:r>
      <w:r w:rsidRPr="000F1E74">
        <w:rPr>
          <w:rFonts w:ascii="Times New Roman" w:hAnsi="Times New Roman" w:cs="Times New Roman"/>
          <w:sz w:val="18"/>
          <w:szCs w:val="18"/>
        </w:rPr>
        <w:t xml:space="preserve">o refer to both the Risk Management Program and risk </w:t>
      </w:r>
      <w:r w:rsidRPr="000F1E74" w:rsidR="007838BD">
        <w:rPr>
          <w:rFonts w:ascii="Times New Roman" w:hAnsi="Times New Roman" w:cs="Times New Roman"/>
          <w:sz w:val="18"/>
          <w:szCs w:val="18"/>
        </w:rPr>
        <w:t>m</w:t>
      </w:r>
      <w:r w:rsidRPr="000F1E74">
        <w:rPr>
          <w:rFonts w:ascii="Times New Roman" w:hAnsi="Times New Roman" w:cs="Times New Roman"/>
          <w:sz w:val="18"/>
          <w:szCs w:val="18"/>
        </w:rPr>
        <w:t>anagement</w:t>
      </w:r>
      <w:r w:rsidRPr="000F1E74" w:rsidR="007838BD">
        <w:rPr>
          <w:rFonts w:ascii="Times New Roman" w:hAnsi="Times New Roman" w:cs="Times New Roman"/>
          <w:sz w:val="18"/>
          <w:szCs w:val="18"/>
        </w:rPr>
        <w:t xml:space="preserve"> plans. For clarity, throughout this RIA, RMP will refer to the Risk Management Program, and the term </w:t>
      </w:r>
      <w:r w:rsidRPr="000F1E74" w:rsidR="00843659">
        <w:rPr>
          <w:rFonts w:ascii="Times New Roman" w:hAnsi="Times New Roman" w:cs="Times New Roman"/>
          <w:sz w:val="18"/>
          <w:szCs w:val="18"/>
        </w:rPr>
        <w:t>“</w:t>
      </w:r>
      <w:r w:rsidRPr="000F1E74" w:rsidR="007838BD">
        <w:rPr>
          <w:rFonts w:ascii="Times New Roman" w:hAnsi="Times New Roman" w:cs="Times New Roman"/>
          <w:sz w:val="18"/>
          <w:szCs w:val="18"/>
        </w:rPr>
        <w:t>risk</w:t>
      </w:r>
      <w:r w:rsidRPr="000F1E74">
        <w:rPr>
          <w:rFonts w:ascii="Times New Roman" w:hAnsi="Times New Roman" w:cs="Times New Roman"/>
          <w:sz w:val="18"/>
          <w:szCs w:val="18"/>
        </w:rPr>
        <w:t xml:space="preserve"> </w:t>
      </w:r>
      <w:r w:rsidRPr="000F1E74" w:rsidR="007838BD">
        <w:rPr>
          <w:rFonts w:ascii="Times New Roman" w:hAnsi="Times New Roman" w:cs="Times New Roman"/>
          <w:sz w:val="18"/>
          <w:szCs w:val="18"/>
        </w:rPr>
        <w:t>management plan</w:t>
      </w:r>
      <w:r w:rsidRPr="000F1E74" w:rsidR="00843659">
        <w:rPr>
          <w:rFonts w:ascii="Times New Roman" w:hAnsi="Times New Roman" w:cs="Times New Roman"/>
          <w:sz w:val="18"/>
          <w:szCs w:val="18"/>
        </w:rPr>
        <w:t>”</w:t>
      </w:r>
      <w:r w:rsidRPr="000F1E74" w:rsidR="007838BD">
        <w:rPr>
          <w:rFonts w:ascii="Times New Roman" w:hAnsi="Times New Roman" w:cs="Times New Roman"/>
          <w:sz w:val="18"/>
          <w:szCs w:val="18"/>
        </w:rPr>
        <w:t xml:space="preserve"> will be written out.</w:t>
      </w:r>
    </w:p>
  </w:footnote>
  <w:footnote w:id="4">
    <w:p w:rsidR="0068767E" w:rsidRPr="00B61F1A" w:rsidP="0068767E" w14:paraId="089C6DA8" w14:textId="77777777">
      <w:pPr>
        <w:pStyle w:val="FootnoteText"/>
        <w:rPr>
          <w:sz w:val="18"/>
          <w:szCs w:val="18"/>
        </w:rPr>
      </w:pPr>
      <w:r w:rsidRPr="000F1E74">
        <w:rPr>
          <w:rStyle w:val="FootnoteReference"/>
          <w:rFonts w:ascii="Times New Roman" w:hAnsi="Times New Roman" w:cs="Times New Roman"/>
          <w:sz w:val="18"/>
          <w:szCs w:val="18"/>
        </w:rPr>
        <w:footnoteRef/>
      </w:r>
      <w:r w:rsidRPr="000F1E74">
        <w:rPr>
          <w:rFonts w:ascii="Times New Roman" w:hAnsi="Times New Roman" w:cs="Times New Roman"/>
          <w:sz w:val="18"/>
          <w:szCs w:val="18"/>
        </w:rPr>
        <w:t xml:space="preserve"> EPA is </w:t>
      </w:r>
      <w:r w:rsidRPr="000F1E74" w:rsidR="002C76F9">
        <w:rPr>
          <w:rFonts w:ascii="Times New Roman" w:hAnsi="Times New Roman" w:cs="Times New Roman"/>
          <w:sz w:val="18"/>
          <w:szCs w:val="18"/>
        </w:rPr>
        <w:t xml:space="preserve">making </w:t>
      </w:r>
      <w:r w:rsidRPr="000F1E74">
        <w:rPr>
          <w:rFonts w:ascii="Times New Roman" w:hAnsi="Times New Roman" w:cs="Times New Roman"/>
          <w:sz w:val="18"/>
          <w:szCs w:val="18"/>
        </w:rPr>
        <w:t>RMP information publicly available to allow facilities to identify and locate proximate facilities.</w:t>
      </w:r>
    </w:p>
  </w:footnote>
  <w:footnote w:id="5">
    <w:p w:rsidR="0068767E" w:rsidRPr="00B61F1A" w:rsidP="0068767E" w14:paraId="7427754F" w14:textId="77777777">
      <w:pPr>
        <w:pStyle w:val="FootnoteText"/>
        <w:rPr>
          <w:rFonts w:ascii="Times New Roman" w:hAnsi="Times New Roman" w:cs="Times New Roman"/>
          <w:sz w:val="18"/>
          <w:szCs w:val="18"/>
        </w:rPr>
      </w:pPr>
      <w:r w:rsidRPr="00B61F1A">
        <w:rPr>
          <w:rStyle w:val="FootnoteReference"/>
          <w:rFonts w:ascii="Times New Roman" w:hAnsi="Times New Roman" w:cs="Times New Roman"/>
          <w:sz w:val="18"/>
          <w:szCs w:val="18"/>
        </w:rPr>
        <w:footnoteRef/>
      </w:r>
      <w:r w:rsidRPr="00B61F1A">
        <w:rPr>
          <w:rFonts w:ascii="Times New Roman" w:hAnsi="Times New Roman" w:cs="Times New Roman"/>
          <w:sz w:val="18"/>
          <w:szCs w:val="18"/>
        </w:rPr>
        <w:t xml:space="preserve"> EPA believes this distance to be reasonable </w:t>
      </w:r>
      <w:r w:rsidRPr="00B61F1A" w:rsidR="00753761">
        <w:rPr>
          <w:rFonts w:ascii="Times New Roman" w:hAnsi="Times New Roman" w:cs="Times New Roman"/>
          <w:sz w:val="18"/>
          <w:szCs w:val="18"/>
        </w:rPr>
        <w:t>given that</w:t>
      </w:r>
      <w:r w:rsidRPr="00B61F1A">
        <w:rPr>
          <w:rFonts w:ascii="Times New Roman" w:hAnsi="Times New Roman" w:cs="Times New Roman"/>
          <w:sz w:val="18"/>
          <w:szCs w:val="18"/>
        </w:rPr>
        <w:t xml:space="preserve"> 90 percent of all toxic worst-case distances to endpoints are 6 miles or less, and almost all flammable worst-case distances are less than 1 mile.</w:t>
      </w:r>
    </w:p>
  </w:footnote>
  <w:footnote w:id="6">
    <w:p w:rsidR="0068767E" w:rsidRPr="00B61F1A" w:rsidP="0068767E" w14:paraId="28CC4924" w14:textId="77777777">
      <w:pPr>
        <w:pStyle w:val="FootnoteText"/>
        <w:rPr>
          <w:rFonts w:ascii="Times New Roman" w:hAnsi="Times New Roman" w:cs="Times New Roman"/>
          <w:sz w:val="18"/>
          <w:szCs w:val="18"/>
        </w:rPr>
      </w:pPr>
      <w:r w:rsidRPr="00B61F1A">
        <w:rPr>
          <w:rStyle w:val="FootnoteReference"/>
          <w:rFonts w:ascii="Times New Roman" w:hAnsi="Times New Roman" w:cs="Times New Roman"/>
          <w:sz w:val="18"/>
          <w:szCs w:val="18"/>
        </w:rPr>
        <w:footnoteRef/>
      </w:r>
      <w:r w:rsidRPr="00B61F1A">
        <w:rPr>
          <w:rFonts w:ascii="Times New Roman" w:hAnsi="Times New Roman" w:cs="Times New Roman"/>
          <w:sz w:val="18"/>
          <w:szCs w:val="18"/>
        </w:rPr>
        <w:t xml:space="preserve"> EPA plans to make RMP locational information for the entire regulated community available online. Currently, members of the public can determine whether a neighboring facility is an RMP facility through searching EPA’s Envirofacts.</w:t>
      </w:r>
    </w:p>
  </w:footnote>
  <w:footnote w:id="7">
    <w:p w:rsidR="00113DE6" w:rsidRPr="00B61F1A" w14:paraId="401EC438" w14:textId="3ADEDC4E">
      <w:pPr>
        <w:pStyle w:val="FootnoteText"/>
        <w:rPr>
          <w:rFonts w:ascii="Times New Roman" w:hAnsi="Times New Roman" w:cs="Times New Roman"/>
          <w:sz w:val="18"/>
          <w:szCs w:val="18"/>
        </w:rPr>
      </w:pPr>
      <w:r w:rsidRPr="00B61F1A">
        <w:rPr>
          <w:rStyle w:val="FootnoteReference"/>
          <w:rFonts w:ascii="Times New Roman" w:hAnsi="Times New Roman" w:cs="Times New Roman"/>
          <w:sz w:val="18"/>
          <w:szCs w:val="18"/>
        </w:rPr>
        <w:footnoteRef/>
      </w:r>
      <w:r w:rsidRPr="00B61F1A">
        <w:rPr>
          <w:rFonts w:ascii="Times New Roman" w:hAnsi="Times New Roman" w:cs="Times New Roman"/>
          <w:sz w:val="18"/>
          <w:szCs w:val="18"/>
        </w:rPr>
        <w:t xml:space="preserve">Additional data on </w:t>
      </w:r>
      <w:r w:rsidRPr="00B61F1A" w:rsidR="00216608">
        <w:rPr>
          <w:rFonts w:ascii="Times New Roman" w:hAnsi="Times New Roman" w:cs="Times New Roman"/>
          <w:sz w:val="18"/>
          <w:szCs w:val="18"/>
        </w:rPr>
        <w:t>quantified</w:t>
      </w:r>
      <w:r w:rsidRPr="00B61F1A">
        <w:rPr>
          <w:rFonts w:ascii="Times New Roman" w:hAnsi="Times New Roman" w:cs="Times New Roman"/>
          <w:sz w:val="18"/>
          <w:szCs w:val="18"/>
        </w:rPr>
        <w:t xml:space="preserve"> damages caused by </w:t>
      </w:r>
      <w:r w:rsidRPr="00B61F1A" w:rsidR="00C44AEC">
        <w:rPr>
          <w:rFonts w:ascii="Times New Roman" w:hAnsi="Times New Roman" w:cs="Times New Roman"/>
          <w:sz w:val="18"/>
          <w:szCs w:val="18"/>
        </w:rPr>
        <w:t>RMP-</w:t>
      </w:r>
      <w:r w:rsidRPr="00B61F1A">
        <w:rPr>
          <w:rFonts w:ascii="Times New Roman" w:hAnsi="Times New Roman" w:cs="Times New Roman"/>
          <w:sz w:val="18"/>
          <w:szCs w:val="18"/>
        </w:rPr>
        <w:t xml:space="preserve">reportable accidents at RMP facilities for prior time periods, including from 2004 to 2013 and from 2014 to 2016, are presented in Chapter </w:t>
      </w:r>
      <w:r w:rsidRPr="00B61F1A" w:rsidR="003D0EB8">
        <w:rPr>
          <w:rFonts w:ascii="Times New Roman" w:hAnsi="Times New Roman" w:cs="Times New Roman"/>
          <w:sz w:val="18"/>
          <w:szCs w:val="18"/>
        </w:rPr>
        <w:t>3</w:t>
      </w:r>
      <w:r w:rsidRPr="00B61F1A" w:rsidR="00636661">
        <w:rPr>
          <w:rFonts w:ascii="Times New Roman" w:hAnsi="Times New Roman" w:cs="Times New Roman"/>
          <w:sz w:val="18"/>
          <w:szCs w:val="18"/>
        </w:rPr>
        <w:t xml:space="preserve">, </w:t>
      </w:r>
      <w:r w:rsidRPr="00B61F1A" w:rsidR="00987300">
        <w:rPr>
          <w:rFonts w:ascii="Times New Roman" w:hAnsi="Times New Roman" w:cs="Times New Roman"/>
          <w:sz w:val="18"/>
          <w:szCs w:val="18"/>
        </w:rPr>
        <w:t xml:space="preserve">Exhibit </w:t>
      </w:r>
      <w:r w:rsidRPr="00B61F1A" w:rsidR="003D0EB8">
        <w:rPr>
          <w:rFonts w:ascii="Times New Roman" w:hAnsi="Times New Roman" w:cs="Times New Roman"/>
          <w:sz w:val="18"/>
          <w:szCs w:val="18"/>
        </w:rPr>
        <w:t>3-16</w:t>
      </w:r>
      <w:r w:rsidRPr="00B61F1A">
        <w:rPr>
          <w:rFonts w:ascii="Times New Roman" w:hAnsi="Times New Roman" w:cs="Times New Roman"/>
          <w:sz w:val="18"/>
          <w:szCs w:val="18"/>
        </w:rPr>
        <w:t>.</w:t>
      </w:r>
      <w:r w:rsidRPr="00B61F1A" w:rsidR="000A4A3C">
        <w:rPr>
          <w:rFonts w:ascii="Times New Roman" w:hAnsi="Times New Roman" w:cs="Times New Roman"/>
          <w:sz w:val="18"/>
          <w:szCs w:val="18"/>
        </w:rPr>
        <w:t xml:space="preserve"> Note that the averages include accidents for which the damages </w:t>
      </w:r>
      <w:r w:rsidRPr="00B61F1A" w:rsidR="00222F1C">
        <w:rPr>
          <w:rFonts w:ascii="Times New Roman" w:hAnsi="Times New Roman" w:cs="Times New Roman"/>
          <w:sz w:val="18"/>
          <w:szCs w:val="18"/>
        </w:rPr>
        <w:t>were zero</w:t>
      </w:r>
      <w:r w:rsidRPr="00B61F1A" w:rsidR="000829A7">
        <w:rPr>
          <w:rFonts w:ascii="Times New Roman" w:hAnsi="Times New Roman" w:cs="Times New Roman"/>
          <w:sz w:val="18"/>
          <w:szCs w:val="18"/>
        </w:rPr>
        <w:t xml:space="preserve"> in individual categories (but non-zero in at least one category)</w:t>
      </w:r>
      <w:r w:rsidRPr="00B61F1A" w:rsidR="009E15FF">
        <w:rPr>
          <w:rFonts w:ascii="Times New Roman" w:hAnsi="Times New Roman" w:cs="Times New Roman"/>
          <w:sz w:val="18"/>
          <w:szCs w:val="18"/>
        </w:rPr>
        <w:t>.</w:t>
      </w:r>
      <w:r w:rsidRPr="00B61F1A" w:rsidR="00CC7BE3">
        <w:rPr>
          <w:rFonts w:ascii="Times New Roman" w:hAnsi="Times New Roman" w:cs="Times New Roman"/>
          <w:sz w:val="18"/>
          <w:szCs w:val="18"/>
        </w:rPr>
        <w:t xml:space="preserve"> </w:t>
      </w:r>
      <w:r w:rsidRPr="00B61F1A" w:rsidR="00A0335E">
        <w:rPr>
          <w:rFonts w:ascii="Times New Roman" w:hAnsi="Times New Roman" w:cs="Times New Roman"/>
          <w:sz w:val="18"/>
          <w:szCs w:val="18"/>
        </w:rPr>
        <w:t>The impacts also include environmental damage categories, including soil and water contamination</w:t>
      </w:r>
      <w:r w:rsidRPr="00B61F1A" w:rsidR="00CC7BE3">
        <w:rPr>
          <w:rFonts w:ascii="Times New Roman" w:hAnsi="Times New Roman" w:cs="Times New Roman"/>
          <w:sz w:val="18"/>
          <w:szCs w:val="18"/>
        </w:rPr>
        <w:t>, among others, which EPA was not able to monetize.</w:t>
      </w:r>
      <w:r w:rsidRPr="00B61F1A" w:rsidR="00F10E1A">
        <w:rPr>
          <w:rFonts w:ascii="Times New Roman" w:hAnsi="Times New Roman" w:cs="Times New Roman"/>
          <w:sz w:val="18"/>
          <w:szCs w:val="18"/>
        </w:rPr>
        <w:t xml:space="preserve"> Information on </w:t>
      </w:r>
      <w:r w:rsidRPr="00B61F1A" w:rsidR="003B1515">
        <w:rPr>
          <w:rFonts w:ascii="Times New Roman" w:hAnsi="Times New Roman" w:cs="Times New Roman"/>
          <w:sz w:val="18"/>
          <w:szCs w:val="18"/>
        </w:rPr>
        <w:t xml:space="preserve">additional </w:t>
      </w:r>
      <w:r w:rsidR="002E1A45">
        <w:rPr>
          <w:rFonts w:ascii="Times New Roman" w:hAnsi="Times New Roman" w:cs="Times New Roman"/>
          <w:sz w:val="18"/>
          <w:szCs w:val="18"/>
        </w:rPr>
        <w:t>un</w:t>
      </w:r>
      <w:r w:rsidRPr="00B61F1A" w:rsidR="003B1515">
        <w:rPr>
          <w:rFonts w:ascii="Times New Roman" w:hAnsi="Times New Roman" w:cs="Times New Roman"/>
          <w:sz w:val="18"/>
          <w:szCs w:val="18"/>
        </w:rPr>
        <w:t xml:space="preserve">monetized or </w:t>
      </w:r>
      <w:r w:rsidRPr="00B61F1A" w:rsidR="0061603F">
        <w:rPr>
          <w:rFonts w:ascii="Times New Roman" w:hAnsi="Times New Roman" w:cs="Times New Roman"/>
          <w:sz w:val="18"/>
          <w:szCs w:val="18"/>
        </w:rPr>
        <w:t>unquantified</w:t>
      </w:r>
      <w:r w:rsidRPr="00B61F1A" w:rsidR="003B1515">
        <w:rPr>
          <w:rFonts w:ascii="Times New Roman" w:hAnsi="Times New Roman" w:cs="Times New Roman"/>
          <w:sz w:val="18"/>
          <w:szCs w:val="18"/>
        </w:rPr>
        <w:t xml:space="preserve"> damages is</w:t>
      </w:r>
      <w:r w:rsidRPr="00B61F1A" w:rsidR="0061603F">
        <w:rPr>
          <w:rFonts w:ascii="Times New Roman" w:hAnsi="Times New Roman" w:cs="Times New Roman"/>
          <w:sz w:val="18"/>
          <w:szCs w:val="18"/>
        </w:rPr>
        <w:t xml:space="preserve"> </w:t>
      </w:r>
      <w:r w:rsidRPr="00B61F1A" w:rsidR="003B1515">
        <w:rPr>
          <w:rFonts w:ascii="Times New Roman" w:hAnsi="Times New Roman" w:cs="Times New Roman"/>
          <w:sz w:val="18"/>
          <w:szCs w:val="18"/>
        </w:rPr>
        <w:t xml:space="preserve">also presented in Chapter </w:t>
      </w:r>
      <w:r w:rsidRPr="00B61F1A" w:rsidR="0026172C">
        <w:rPr>
          <w:rFonts w:ascii="Times New Roman" w:hAnsi="Times New Roman" w:cs="Times New Roman"/>
          <w:sz w:val="18"/>
          <w:szCs w:val="18"/>
        </w:rPr>
        <w:t xml:space="preserve">3 and Chapter </w:t>
      </w:r>
      <w:r w:rsidRPr="00B61F1A" w:rsidR="003B1515">
        <w:rPr>
          <w:rFonts w:ascii="Times New Roman" w:hAnsi="Times New Roman" w:cs="Times New Roman"/>
          <w:sz w:val="18"/>
          <w:szCs w:val="18"/>
        </w:rPr>
        <w:t>6.</w:t>
      </w:r>
    </w:p>
  </w:footnote>
  <w:footnote w:id="8">
    <w:p w:rsidR="00BD7386" w:rsidRPr="00C75AAD" w:rsidP="00BD7386" w14:paraId="775A5F86" w14:textId="70E0DBD8">
      <w:pPr>
        <w:pStyle w:val="FootnoteText"/>
        <w:rPr>
          <w:rFonts w:ascii="Times New Roman" w:hAnsi="Times New Roman" w:cs="Times New Roman"/>
        </w:rPr>
      </w:pPr>
      <w:r w:rsidRPr="00F03CB7">
        <w:rPr>
          <w:rStyle w:val="FootnoteReference"/>
          <w:rFonts w:ascii="Times New Roman" w:hAnsi="Times New Roman"/>
          <w:sz w:val="18"/>
        </w:rPr>
        <w:footnoteRef/>
      </w:r>
      <w:r w:rsidRPr="00F03CB7">
        <w:rPr>
          <w:rFonts w:ascii="Times New Roman" w:hAnsi="Times New Roman"/>
          <w:sz w:val="18"/>
        </w:rPr>
        <w:t xml:space="preserve"> See Chapter </w:t>
      </w:r>
      <w:r w:rsidRPr="00F03CB7" w:rsidR="00757C54">
        <w:rPr>
          <w:rFonts w:ascii="Times New Roman" w:hAnsi="Times New Roman"/>
          <w:sz w:val="18"/>
        </w:rPr>
        <w:t>3</w:t>
      </w:r>
      <w:r w:rsidRPr="00F03CB7" w:rsidR="00636661">
        <w:rPr>
          <w:rFonts w:ascii="Times New Roman" w:hAnsi="Times New Roman"/>
          <w:sz w:val="18"/>
        </w:rPr>
        <w:t>,</w:t>
      </w:r>
      <w:r w:rsidRPr="00F03CB7">
        <w:rPr>
          <w:rFonts w:ascii="Times New Roman" w:hAnsi="Times New Roman"/>
          <w:sz w:val="18"/>
        </w:rPr>
        <w:t xml:space="preserve"> </w:t>
      </w:r>
      <w:r w:rsidRPr="00F03CB7" w:rsidR="00987300">
        <w:rPr>
          <w:rFonts w:ascii="Times New Roman" w:hAnsi="Times New Roman"/>
          <w:sz w:val="18"/>
        </w:rPr>
        <w:t xml:space="preserve">Exhibit </w:t>
      </w:r>
      <w:r w:rsidRPr="00F03CB7" w:rsidR="00757C54">
        <w:rPr>
          <w:rFonts w:ascii="Times New Roman" w:hAnsi="Times New Roman"/>
          <w:sz w:val="18"/>
        </w:rPr>
        <w:t>3-16</w:t>
      </w:r>
      <w:r w:rsidRPr="00F03CB7" w:rsidR="00636661">
        <w:rPr>
          <w:rFonts w:ascii="Times New Roman" w:hAnsi="Times New Roman"/>
          <w:sz w:val="18"/>
        </w:rPr>
        <w:t>,</w:t>
      </w:r>
      <w:r w:rsidRPr="00F03CB7" w:rsidR="00987300">
        <w:rPr>
          <w:rFonts w:ascii="Times New Roman" w:hAnsi="Times New Roman"/>
          <w:sz w:val="18"/>
        </w:rPr>
        <w:t xml:space="preserve"> </w:t>
      </w:r>
      <w:r w:rsidRPr="00F03CB7">
        <w:rPr>
          <w:rFonts w:ascii="Times New Roman" w:hAnsi="Times New Roman"/>
          <w:sz w:val="18"/>
        </w:rPr>
        <w:t xml:space="preserve">for presentations of monetized damages for prior time periods. </w:t>
      </w:r>
      <w:bookmarkStart w:id="10" w:name="_Hlk144126607"/>
      <w:r w:rsidRPr="00F03CB7" w:rsidR="002B27CC">
        <w:rPr>
          <w:rFonts w:ascii="Times New Roman" w:hAnsi="Times New Roman"/>
          <w:sz w:val="18"/>
        </w:rPr>
        <w:t>To obtain</w:t>
      </w:r>
      <w:r w:rsidRPr="00F03CB7" w:rsidR="00294A1E">
        <w:rPr>
          <w:rFonts w:ascii="Times New Roman" w:hAnsi="Times New Roman"/>
          <w:sz w:val="18"/>
        </w:rPr>
        <w:t xml:space="preserve"> those</w:t>
      </w:r>
      <w:r w:rsidRPr="00F03CB7" w:rsidR="002B27CC">
        <w:rPr>
          <w:rFonts w:ascii="Times New Roman" w:hAnsi="Times New Roman"/>
          <w:sz w:val="18"/>
        </w:rPr>
        <w:t xml:space="preserve"> estimates, EPA </w:t>
      </w:r>
      <w:r w:rsidRPr="00F03CB7" w:rsidR="00F116ED">
        <w:rPr>
          <w:rFonts w:ascii="Times New Roman" w:hAnsi="Times New Roman"/>
          <w:sz w:val="18"/>
        </w:rPr>
        <w:t xml:space="preserve">re-estimated unit damage costs </w:t>
      </w:r>
      <w:r w:rsidRPr="00F03CB7" w:rsidR="00CF6290">
        <w:rPr>
          <w:rFonts w:ascii="Times New Roman" w:hAnsi="Times New Roman"/>
          <w:sz w:val="18"/>
        </w:rPr>
        <w:t>for the prior time periods by applying</w:t>
      </w:r>
      <w:r w:rsidRPr="00F03CB7" w:rsidR="002B27CC">
        <w:rPr>
          <w:rStyle w:val="cf01"/>
          <w:rFonts w:ascii="Times New Roman" w:hAnsi="Times New Roman"/>
        </w:rPr>
        <w:t xml:space="preserve"> </w:t>
      </w:r>
      <w:r w:rsidRPr="00C75AAD" w:rsidR="002B27CC">
        <w:rPr>
          <w:rStyle w:val="cf01"/>
          <w:rFonts w:ascii="Times New Roman" w:hAnsi="Times New Roman" w:cs="Times New Roman"/>
        </w:rPr>
        <w:t xml:space="preserve">the </w:t>
      </w:r>
      <w:r w:rsidRPr="00C75AAD" w:rsidR="00566035">
        <w:rPr>
          <w:rStyle w:val="cf01"/>
          <w:rFonts w:ascii="Times New Roman" w:hAnsi="Times New Roman" w:cs="Times New Roman"/>
        </w:rPr>
        <w:t>same set of</w:t>
      </w:r>
      <w:r w:rsidRPr="00C75AAD" w:rsidR="002B27CC">
        <w:rPr>
          <w:rStyle w:val="cf01"/>
          <w:rFonts w:ascii="Times New Roman" w:hAnsi="Times New Roman" w:cs="Times New Roman"/>
        </w:rPr>
        <w:t xml:space="preserve"> assumptions</w:t>
      </w:r>
      <w:r w:rsidRPr="00C75AAD" w:rsidR="00CF6290">
        <w:rPr>
          <w:rStyle w:val="cf01"/>
          <w:rFonts w:ascii="Times New Roman" w:hAnsi="Times New Roman" w:cs="Times New Roman"/>
        </w:rPr>
        <w:t xml:space="preserve"> </w:t>
      </w:r>
      <w:r w:rsidRPr="00C75AAD" w:rsidR="00FA2EAE">
        <w:rPr>
          <w:rStyle w:val="cf01"/>
          <w:rFonts w:ascii="Times New Roman" w:hAnsi="Times New Roman" w:cs="Times New Roman"/>
        </w:rPr>
        <w:t>used for the current final rule analysis</w:t>
      </w:r>
      <w:r w:rsidRPr="00C75AAD" w:rsidR="008073C8">
        <w:rPr>
          <w:rStyle w:val="cf01"/>
          <w:rFonts w:ascii="Times New Roman" w:hAnsi="Times New Roman" w:cs="Times New Roman"/>
        </w:rPr>
        <w:t xml:space="preserve"> and updating dollars to 2022. In </w:t>
      </w:r>
      <w:r w:rsidRPr="00C75AAD" w:rsidR="00F46750">
        <w:rPr>
          <w:rStyle w:val="cf01"/>
          <w:rFonts w:ascii="Times New Roman" w:hAnsi="Times New Roman" w:cs="Times New Roman"/>
        </w:rPr>
        <w:t>particular, EPA</w:t>
      </w:r>
      <w:r w:rsidRPr="00C75AAD" w:rsidR="00AE50BB">
        <w:rPr>
          <w:rStyle w:val="cf01"/>
          <w:rFonts w:ascii="Times New Roman" w:hAnsi="Times New Roman" w:cs="Times New Roman"/>
        </w:rPr>
        <w:t xml:space="preserve"> </w:t>
      </w:r>
      <w:r w:rsidRPr="00C75AAD" w:rsidR="00954FB5">
        <w:rPr>
          <w:rStyle w:val="cf01"/>
          <w:rFonts w:ascii="Times New Roman" w:hAnsi="Times New Roman" w:cs="Times New Roman"/>
        </w:rPr>
        <w:t>re</w:t>
      </w:r>
      <w:r w:rsidRPr="00C75AAD" w:rsidR="00890620">
        <w:rPr>
          <w:rStyle w:val="cf01"/>
          <w:rFonts w:ascii="Times New Roman" w:hAnsi="Times New Roman" w:cs="Times New Roman"/>
        </w:rPr>
        <w:t xml:space="preserve">-estimated </w:t>
      </w:r>
      <w:r w:rsidRPr="00C75AAD" w:rsidR="001407EA">
        <w:rPr>
          <w:rStyle w:val="cf01"/>
          <w:rFonts w:ascii="Times New Roman" w:hAnsi="Times New Roman" w:cs="Times New Roman"/>
        </w:rPr>
        <w:t xml:space="preserve">the costs assuming </w:t>
      </w:r>
      <w:r w:rsidRPr="00C75AAD" w:rsidR="00CE783D">
        <w:rPr>
          <w:rStyle w:val="cf01"/>
          <w:rFonts w:ascii="Times New Roman" w:hAnsi="Times New Roman" w:cs="Times New Roman"/>
        </w:rPr>
        <w:t>a fatality</w:t>
      </w:r>
      <w:r w:rsidRPr="00C75AAD" w:rsidR="00A42EE1">
        <w:rPr>
          <w:rStyle w:val="cf01"/>
          <w:rFonts w:ascii="Times New Roman" w:hAnsi="Times New Roman" w:cs="Times New Roman"/>
        </w:rPr>
        <w:t xml:space="preserve"> </w:t>
      </w:r>
      <w:r w:rsidRPr="00C75AAD" w:rsidR="00C21AA7">
        <w:rPr>
          <w:rStyle w:val="cf01"/>
          <w:rFonts w:ascii="Times New Roman" w:hAnsi="Times New Roman" w:cs="Times New Roman"/>
        </w:rPr>
        <w:t>is valued at</w:t>
      </w:r>
      <w:r w:rsidRPr="00C75AAD" w:rsidR="00CE783D">
        <w:rPr>
          <w:rStyle w:val="cf01"/>
          <w:rFonts w:ascii="Times New Roman" w:hAnsi="Times New Roman" w:cs="Times New Roman"/>
        </w:rPr>
        <w:t xml:space="preserve"> $10.4 million instead of $8.6 million</w:t>
      </w:r>
      <w:r w:rsidRPr="00C75AAD" w:rsidR="0071086A">
        <w:rPr>
          <w:rStyle w:val="cf01"/>
          <w:rFonts w:ascii="Times New Roman" w:hAnsi="Times New Roman" w:cs="Times New Roman"/>
        </w:rPr>
        <w:t xml:space="preserve"> (using the </w:t>
      </w:r>
      <w:r w:rsidRPr="00C75AAD" w:rsidR="00F630CA">
        <w:rPr>
          <w:rStyle w:val="cf01"/>
          <w:rFonts w:ascii="Times New Roman" w:hAnsi="Times New Roman" w:cs="Times New Roman"/>
        </w:rPr>
        <w:t xml:space="preserve">BEA GDP </w:t>
      </w:r>
      <w:r w:rsidRPr="00C75AAD" w:rsidR="00271904">
        <w:rPr>
          <w:rStyle w:val="cf01"/>
          <w:rFonts w:ascii="Times New Roman" w:hAnsi="Times New Roman" w:cs="Times New Roman"/>
        </w:rPr>
        <w:t>deflator</w:t>
      </w:r>
      <w:r w:rsidRPr="00C75AAD" w:rsidR="0071086A">
        <w:rPr>
          <w:rStyle w:val="cf01"/>
          <w:rFonts w:ascii="Times New Roman" w:hAnsi="Times New Roman" w:cs="Times New Roman"/>
        </w:rPr>
        <w:t>)</w:t>
      </w:r>
      <w:r w:rsidRPr="00C75AAD" w:rsidR="00CE783D">
        <w:rPr>
          <w:rStyle w:val="cf01"/>
          <w:rFonts w:ascii="Times New Roman" w:hAnsi="Times New Roman" w:cs="Times New Roman"/>
        </w:rPr>
        <w:t xml:space="preserve">, </w:t>
      </w:r>
      <w:r w:rsidRPr="00C75AAD" w:rsidR="00EC3341">
        <w:rPr>
          <w:rStyle w:val="cf01"/>
          <w:rFonts w:ascii="Times New Roman" w:hAnsi="Times New Roman" w:cs="Times New Roman"/>
        </w:rPr>
        <w:t xml:space="preserve">hospitalization costs </w:t>
      </w:r>
      <w:r w:rsidRPr="00C75AAD" w:rsidR="00167FE7">
        <w:rPr>
          <w:rStyle w:val="cf01"/>
          <w:rFonts w:ascii="Times New Roman" w:hAnsi="Times New Roman" w:cs="Times New Roman"/>
        </w:rPr>
        <w:t xml:space="preserve">of </w:t>
      </w:r>
      <w:r w:rsidRPr="00C75AAD" w:rsidR="00EC3341">
        <w:rPr>
          <w:rStyle w:val="cf01"/>
          <w:rFonts w:ascii="Times New Roman" w:hAnsi="Times New Roman" w:cs="Times New Roman"/>
        </w:rPr>
        <w:t xml:space="preserve">$45,000 instead of $36,000, and </w:t>
      </w:r>
      <w:r w:rsidRPr="00C75AAD" w:rsidR="006421B2">
        <w:rPr>
          <w:rStyle w:val="cf01"/>
          <w:rFonts w:ascii="Times New Roman" w:hAnsi="Times New Roman" w:cs="Times New Roman"/>
        </w:rPr>
        <w:t xml:space="preserve">BLS </w:t>
      </w:r>
      <w:r w:rsidRPr="00C75AAD" w:rsidR="00C27EEC">
        <w:rPr>
          <w:rStyle w:val="cf01"/>
          <w:rFonts w:ascii="Times New Roman" w:hAnsi="Times New Roman" w:cs="Times New Roman"/>
        </w:rPr>
        <w:t xml:space="preserve">mean </w:t>
      </w:r>
      <w:r w:rsidRPr="00C75AAD" w:rsidR="00EA180E">
        <w:rPr>
          <w:rStyle w:val="cf01"/>
          <w:rFonts w:ascii="Times New Roman" w:hAnsi="Times New Roman" w:cs="Times New Roman"/>
        </w:rPr>
        <w:t xml:space="preserve">hourly </w:t>
      </w:r>
      <w:r w:rsidRPr="00C75AAD" w:rsidR="00C27EEC">
        <w:rPr>
          <w:rStyle w:val="cf01"/>
          <w:rFonts w:ascii="Times New Roman" w:hAnsi="Times New Roman" w:cs="Times New Roman"/>
        </w:rPr>
        <w:t xml:space="preserve">wage </w:t>
      </w:r>
      <w:r w:rsidRPr="00C75AAD" w:rsidR="008073C8">
        <w:rPr>
          <w:rStyle w:val="cf01"/>
          <w:rFonts w:ascii="Times New Roman" w:hAnsi="Times New Roman" w:cs="Times New Roman"/>
        </w:rPr>
        <w:t>rates of</w:t>
      </w:r>
      <w:r w:rsidRPr="00C75AAD" w:rsidR="00C27EEC">
        <w:rPr>
          <w:rStyle w:val="cf01"/>
          <w:rFonts w:ascii="Times New Roman" w:hAnsi="Times New Roman" w:cs="Times New Roman"/>
        </w:rPr>
        <w:t xml:space="preserve"> </w:t>
      </w:r>
      <w:r w:rsidRPr="00C75AAD" w:rsidR="00DE517F">
        <w:rPr>
          <w:rStyle w:val="cf01"/>
          <w:rFonts w:ascii="Times New Roman" w:hAnsi="Times New Roman" w:cs="Times New Roman"/>
        </w:rPr>
        <w:t>$28.88</w:t>
      </w:r>
      <w:r w:rsidRPr="00C75AAD" w:rsidR="00EA180E">
        <w:rPr>
          <w:rStyle w:val="cf01"/>
          <w:rFonts w:ascii="Times New Roman" w:hAnsi="Times New Roman" w:cs="Times New Roman"/>
        </w:rPr>
        <w:t xml:space="preserve"> instead of $</w:t>
      </w:r>
      <w:r w:rsidRPr="00C75AAD" w:rsidR="00D90FF4">
        <w:rPr>
          <w:rStyle w:val="cf01"/>
          <w:rFonts w:ascii="Times New Roman" w:hAnsi="Times New Roman" w:cs="Times New Roman"/>
        </w:rPr>
        <w:t>22.65</w:t>
      </w:r>
      <w:r w:rsidRPr="00C75AAD" w:rsidR="00D0114C">
        <w:rPr>
          <w:rStyle w:val="cf01"/>
          <w:rFonts w:ascii="Times New Roman" w:hAnsi="Times New Roman" w:cs="Times New Roman"/>
        </w:rPr>
        <w:t xml:space="preserve">. </w:t>
      </w:r>
      <w:r w:rsidRPr="00C75AAD" w:rsidR="00E7120A">
        <w:rPr>
          <w:rStyle w:val="cf01"/>
          <w:rFonts w:ascii="Times New Roman" w:hAnsi="Times New Roman" w:cs="Times New Roman"/>
        </w:rPr>
        <w:t>Previously</w:t>
      </w:r>
      <w:r w:rsidRPr="00C75AAD" w:rsidR="000D0EBB">
        <w:rPr>
          <w:rStyle w:val="cf01"/>
          <w:rFonts w:ascii="Times New Roman" w:hAnsi="Times New Roman" w:cs="Times New Roman"/>
        </w:rPr>
        <w:t xml:space="preserve">, mean hourly wage </w:t>
      </w:r>
      <w:r w:rsidRPr="00C75AAD" w:rsidR="003B0901">
        <w:rPr>
          <w:rStyle w:val="cf01"/>
          <w:rFonts w:ascii="Times New Roman" w:hAnsi="Times New Roman" w:cs="Times New Roman"/>
        </w:rPr>
        <w:t xml:space="preserve">was </w:t>
      </w:r>
      <w:r w:rsidRPr="00C75AAD" w:rsidR="00F93D31">
        <w:rPr>
          <w:rStyle w:val="cf01"/>
          <w:rFonts w:ascii="Times New Roman" w:hAnsi="Times New Roman" w:cs="Times New Roman"/>
        </w:rPr>
        <w:t>estimated</w:t>
      </w:r>
      <w:r w:rsidRPr="00C75AAD" w:rsidR="003B0901">
        <w:rPr>
          <w:rStyle w:val="cf01"/>
          <w:rFonts w:ascii="Times New Roman" w:hAnsi="Times New Roman" w:cs="Times New Roman"/>
        </w:rPr>
        <w:t xml:space="preserve"> as the </w:t>
      </w:r>
      <w:r w:rsidRPr="00C75AAD" w:rsidR="003F5163">
        <w:rPr>
          <w:rStyle w:val="cf01"/>
          <w:rFonts w:ascii="Times New Roman" w:hAnsi="Times New Roman" w:cs="Times New Roman"/>
        </w:rPr>
        <w:t xml:space="preserve">cost per hour to </w:t>
      </w:r>
      <w:r w:rsidRPr="00C75AAD" w:rsidR="00D334E1">
        <w:rPr>
          <w:rStyle w:val="cf01"/>
          <w:rFonts w:ascii="Times New Roman" w:hAnsi="Times New Roman" w:cs="Times New Roman"/>
        </w:rPr>
        <w:t xml:space="preserve">shelter-in-place or evacuate. </w:t>
      </w:r>
      <w:r w:rsidRPr="00C75AAD" w:rsidR="004E06B7">
        <w:rPr>
          <w:rStyle w:val="cf01"/>
          <w:rFonts w:ascii="Times New Roman" w:hAnsi="Times New Roman" w:cs="Times New Roman"/>
        </w:rPr>
        <w:t xml:space="preserve">Relying on updated </w:t>
      </w:r>
      <w:r w:rsidRPr="00C75AAD" w:rsidR="00F46750">
        <w:rPr>
          <w:rStyle w:val="cf01"/>
          <w:rFonts w:ascii="Times New Roman" w:hAnsi="Times New Roman" w:cs="Times New Roman"/>
        </w:rPr>
        <w:t>guidance, this</w:t>
      </w:r>
      <w:r w:rsidRPr="00C75AAD" w:rsidR="00D952CB">
        <w:rPr>
          <w:rStyle w:val="cf01"/>
          <w:rFonts w:ascii="Times New Roman" w:hAnsi="Times New Roman" w:cs="Times New Roman"/>
        </w:rPr>
        <w:t xml:space="preserve"> final rule analysis </w:t>
      </w:r>
      <w:r w:rsidRPr="00C75AAD" w:rsidR="00F867D3">
        <w:rPr>
          <w:rStyle w:val="cf01"/>
          <w:rFonts w:ascii="Times New Roman" w:hAnsi="Times New Roman" w:cs="Times New Roman"/>
        </w:rPr>
        <w:t xml:space="preserve">uses mean hourly wage plus </w:t>
      </w:r>
      <w:r w:rsidRPr="00AF6AF5" w:rsidR="00F867D3">
        <w:rPr>
          <w:rStyle w:val="cf01"/>
          <w:rFonts w:ascii="Times New Roman" w:hAnsi="Times New Roman" w:cs="Times New Roman"/>
        </w:rPr>
        <w:t>voluntary benefits less taxes</w:t>
      </w:r>
      <w:r w:rsidRPr="00AF6AF5" w:rsidR="00CE21B9">
        <w:rPr>
          <w:rStyle w:val="cf01"/>
          <w:rFonts w:ascii="Times New Roman" w:hAnsi="Times New Roman" w:cs="Times New Roman"/>
        </w:rPr>
        <w:t>, which i</w:t>
      </w:r>
      <w:r w:rsidRPr="00AF6AF5" w:rsidR="0034157C">
        <w:rPr>
          <w:rStyle w:val="cf01"/>
          <w:rFonts w:ascii="Times New Roman" w:hAnsi="Times New Roman" w:cs="Times New Roman"/>
        </w:rPr>
        <w:t xml:space="preserve">s </w:t>
      </w:r>
      <w:r w:rsidRPr="00AF6AF5" w:rsidR="00CE21B9">
        <w:rPr>
          <w:rStyle w:val="cf01"/>
          <w:rFonts w:ascii="Times New Roman" w:hAnsi="Times New Roman" w:cs="Times New Roman"/>
        </w:rPr>
        <w:t>estimate</w:t>
      </w:r>
      <w:r w:rsidRPr="00AF6AF5" w:rsidR="0034157C">
        <w:rPr>
          <w:rStyle w:val="cf01"/>
          <w:rFonts w:ascii="Times New Roman" w:hAnsi="Times New Roman" w:cs="Times New Roman"/>
        </w:rPr>
        <w:t>d at</w:t>
      </w:r>
      <w:r w:rsidRPr="00AF6AF5" w:rsidR="00CE21B9">
        <w:rPr>
          <w:rStyle w:val="cf01"/>
          <w:rFonts w:ascii="Times New Roman" w:hAnsi="Times New Roman" w:cs="Times New Roman"/>
        </w:rPr>
        <w:t xml:space="preserve"> $36.66</w:t>
      </w:r>
      <w:r w:rsidRPr="00AF6AF5" w:rsidR="00B11C8D">
        <w:rPr>
          <w:rStyle w:val="cf01"/>
          <w:rFonts w:ascii="Times New Roman" w:hAnsi="Times New Roman" w:cs="Times New Roman"/>
        </w:rPr>
        <w:t>.</w:t>
      </w:r>
      <w:bookmarkEnd w:id="10"/>
      <w:r w:rsidRPr="00AF6AF5" w:rsidR="006F4F0D">
        <w:rPr>
          <w:rStyle w:val="cf01"/>
          <w:rFonts w:ascii="Times New Roman" w:hAnsi="Times New Roman" w:cs="Times New Roman"/>
        </w:rPr>
        <w:t xml:space="preserve"> </w:t>
      </w:r>
      <w:r w:rsidRPr="00AF6AF5">
        <w:rPr>
          <w:rFonts w:ascii="Times New Roman" w:hAnsi="Times New Roman"/>
          <w:sz w:val="18"/>
        </w:rPr>
        <w:t>For 2004 to 2013, estimated monetized damages from RMP facility accidents are $</w:t>
      </w:r>
      <w:r w:rsidRPr="00AF6AF5" w:rsidR="00520E8A">
        <w:rPr>
          <w:rFonts w:ascii="Times New Roman" w:hAnsi="Times New Roman"/>
          <w:sz w:val="18"/>
        </w:rPr>
        <w:t>4</w:t>
      </w:r>
      <w:r w:rsidRPr="00AF6AF5" w:rsidR="00501FE5">
        <w:rPr>
          <w:rFonts w:ascii="Times New Roman" w:hAnsi="Times New Roman"/>
          <w:sz w:val="18"/>
        </w:rPr>
        <w:t>7</w:t>
      </w:r>
      <w:r w:rsidRPr="00AF6AF5" w:rsidR="00396C5C">
        <w:rPr>
          <w:rFonts w:ascii="Times New Roman" w:hAnsi="Times New Roman"/>
          <w:sz w:val="18"/>
        </w:rPr>
        <w:t>3.2</w:t>
      </w:r>
      <w:r w:rsidRPr="00AF6AF5">
        <w:rPr>
          <w:rFonts w:ascii="Times New Roman" w:hAnsi="Times New Roman"/>
          <w:sz w:val="18"/>
        </w:rPr>
        <w:t xml:space="preserve"> million (20</w:t>
      </w:r>
      <w:r w:rsidRPr="00AF6AF5" w:rsidR="005A2B1B">
        <w:rPr>
          <w:rFonts w:ascii="Times New Roman" w:hAnsi="Times New Roman"/>
          <w:sz w:val="18"/>
        </w:rPr>
        <w:t>22</w:t>
      </w:r>
      <w:r w:rsidRPr="00AF6AF5">
        <w:rPr>
          <w:rFonts w:ascii="Times New Roman" w:hAnsi="Times New Roman"/>
          <w:sz w:val="18"/>
        </w:rPr>
        <w:t>$)</w:t>
      </w:r>
      <w:r w:rsidRPr="00AF6AF5" w:rsidR="00C630C5">
        <w:rPr>
          <w:rFonts w:ascii="Times New Roman" w:hAnsi="Times New Roman"/>
          <w:sz w:val="18"/>
        </w:rPr>
        <w:t xml:space="preserve"> </w:t>
      </w:r>
      <w:r w:rsidRPr="00AF6AF5">
        <w:rPr>
          <w:rFonts w:ascii="Times New Roman" w:hAnsi="Times New Roman"/>
          <w:sz w:val="18"/>
        </w:rPr>
        <w:t>on average per year; for 2014 to 2016, estimated monetized damages are $</w:t>
      </w:r>
      <w:r w:rsidRPr="00AF6AF5" w:rsidR="006F74C6">
        <w:rPr>
          <w:rFonts w:ascii="Times New Roman" w:hAnsi="Times New Roman"/>
          <w:sz w:val="18"/>
        </w:rPr>
        <w:t>4</w:t>
      </w:r>
      <w:r w:rsidRPr="00AF6AF5" w:rsidR="006029A7">
        <w:rPr>
          <w:rFonts w:ascii="Times New Roman" w:hAnsi="Times New Roman"/>
          <w:sz w:val="18"/>
        </w:rPr>
        <w:t>41</w:t>
      </w:r>
      <w:r w:rsidRPr="00AF6AF5" w:rsidR="006F74C6">
        <w:rPr>
          <w:rFonts w:ascii="Times New Roman" w:hAnsi="Times New Roman"/>
          <w:sz w:val="18"/>
        </w:rPr>
        <w:t>.</w:t>
      </w:r>
      <w:r w:rsidRPr="00AF6AF5" w:rsidR="001E5C32">
        <w:rPr>
          <w:rFonts w:ascii="Times New Roman" w:hAnsi="Times New Roman"/>
          <w:sz w:val="18"/>
        </w:rPr>
        <w:t>7</w:t>
      </w:r>
      <w:r w:rsidRPr="00AF6AF5">
        <w:rPr>
          <w:rFonts w:ascii="Times New Roman" w:hAnsi="Times New Roman"/>
          <w:sz w:val="18"/>
        </w:rPr>
        <w:t xml:space="preserve"> million (20</w:t>
      </w:r>
      <w:r w:rsidRPr="00AF6AF5" w:rsidR="005A2B1B">
        <w:rPr>
          <w:rFonts w:ascii="Times New Roman" w:hAnsi="Times New Roman"/>
          <w:sz w:val="18"/>
        </w:rPr>
        <w:t>22</w:t>
      </w:r>
      <w:r w:rsidRPr="00AF6AF5">
        <w:rPr>
          <w:rFonts w:ascii="Times New Roman" w:hAnsi="Times New Roman"/>
          <w:sz w:val="18"/>
        </w:rPr>
        <w:t xml:space="preserve">$) on average per year. </w:t>
      </w:r>
      <w:r w:rsidRPr="00AF6AF5" w:rsidR="003D42CF">
        <w:rPr>
          <w:rFonts w:ascii="Times New Roman" w:hAnsi="Times New Roman"/>
          <w:sz w:val="18"/>
        </w:rPr>
        <w:t>In total</w:t>
      </w:r>
      <w:r w:rsidRPr="00AF6AF5" w:rsidR="0088418C">
        <w:rPr>
          <w:rFonts w:ascii="Times New Roman" w:hAnsi="Times New Roman"/>
          <w:sz w:val="18"/>
        </w:rPr>
        <w:t>,</w:t>
      </w:r>
      <w:r w:rsidRPr="00AF6AF5" w:rsidR="003D42CF">
        <w:rPr>
          <w:rFonts w:ascii="Times New Roman" w:hAnsi="Times New Roman"/>
          <w:sz w:val="18"/>
        </w:rPr>
        <w:t xml:space="preserve"> over the 2004 to 2020 time period</w:t>
      </w:r>
      <w:r w:rsidRPr="00AF6AF5" w:rsidR="0088418C">
        <w:rPr>
          <w:rFonts w:ascii="Times New Roman" w:hAnsi="Times New Roman"/>
          <w:sz w:val="18"/>
        </w:rPr>
        <w:t>,</w:t>
      </w:r>
      <w:r w:rsidRPr="00AF6AF5" w:rsidR="003D42CF">
        <w:rPr>
          <w:rFonts w:ascii="Times New Roman" w:hAnsi="Times New Roman"/>
          <w:sz w:val="18"/>
        </w:rPr>
        <w:t xml:space="preserve"> the average per year is $4</w:t>
      </w:r>
      <w:r w:rsidRPr="00AF6AF5" w:rsidR="009D4184">
        <w:rPr>
          <w:rFonts w:ascii="Times New Roman" w:hAnsi="Times New Roman"/>
          <w:sz w:val="18"/>
        </w:rPr>
        <w:t>82.8</w:t>
      </w:r>
      <w:r w:rsidRPr="00AF6AF5" w:rsidR="003D42CF">
        <w:rPr>
          <w:rFonts w:ascii="Times New Roman" w:hAnsi="Times New Roman"/>
          <w:sz w:val="18"/>
        </w:rPr>
        <w:t xml:space="preserve"> and the average per accident is $3.</w:t>
      </w:r>
      <w:r w:rsidRPr="00AF6AF5" w:rsidR="00E0044D">
        <w:rPr>
          <w:rFonts w:ascii="Times New Roman" w:hAnsi="Times New Roman"/>
          <w:sz w:val="18"/>
        </w:rPr>
        <w:t>4</w:t>
      </w:r>
      <w:r w:rsidRPr="00AF6AF5" w:rsidR="003D42CF">
        <w:rPr>
          <w:rFonts w:ascii="Times New Roman" w:hAnsi="Times New Roman"/>
          <w:sz w:val="18"/>
        </w:rPr>
        <w:t xml:space="preserve"> million</w:t>
      </w:r>
      <w:r w:rsidRPr="00AF6AF5" w:rsidR="002964FE">
        <w:rPr>
          <w:rFonts w:ascii="Times New Roman" w:hAnsi="Times New Roman"/>
          <w:sz w:val="18"/>
        </w:rPr>
        <w:t xml:space="preserve"> (2022$)</w:t>
      </w:r>
      <w:r w:rsidRPr="00AF6AF5" w:rsidR="0088418C">
        <w:rPr>
          <w:rFonts w:ascii="Times New Roman" w:hAnsi="Times New Roman"/>
          <w:sz w:val="18"/>
        </w:rPr>
        <w:t>.</w:t>
      </w:r>
      <w:r w:rsidRPr="00AF6AF5">
        <w:rPr>
          <w:rFonts w:ascii="Times New Roman" w:hAnsi="Times New Roman" w:cs="Times New Roman"/>
          <w:sz w:val="18"/>
          <w:szCs w:val="18"/>
        </w:rPr>
        <w:t xml:space="preserve"> EPA also updated accident data which can be continuously updated in RMP filings. This resulted in differences in the raw accident data</w:t>
      </w:r>
      <w:r w:rsidRPr="00C75AAD">
        <w:rPr>
          <w:rFonts w:ascii="Times New Roman" w:hAnsi="Times New Roman" w:cs="Times New Roman"/>
          <w:sz w:val="18"/>
          <w:szCs w:val="18"/>
        </w:rPr>
        <w:t xml:space="preserve"> between the December 31, </w:t>
      </w:r>
      <w:r w:rsidRPr="00C75AAD" w:rsidR="00F46750">
        <w:rPr>
          <w:rFonts w:ascii="Times New Roman" w:hAnsi="Times New Roman" w:cs="Times New Roman"/>
          <w:sz w:val="18"/>
          <w:szCs w:val="18"/>
        </w:rPr>
        <w:t>2020,</w:t>
      </w:r>
      <w:r w:rsidRPr="00C75AAD">
        <w:rPr>
          <w:rFonts w:ascii="Times New Roman" w:hAnsi="Times New Roman" w:cs="Times New Roman"/>
          <w:sz w:val="18"/>
          <w:szCs w:val="18"/>
        </w:rPr>
        <w:t xml:space="preserve"> RMP data used in this final rule and RMP data used in the amendments rule and reconsideration rule RIAs.</w:t>
      </w:r>
    </w:p>
    <w:p w:rsidR="006715DE" w:rsidRPr="00C75AAD" w:rsidP="004C0240" w14:paraId="610F86F2" w14:textId="77777777">
      <w:pPr>
        <w:pStyle w:val="pf0"/>
        <w:rPr>
          <w:sz w:val="18"/>
          <w:szCs w:val="18"/>
        </w:rPr>
      </w:pPr>
    </w:p>
  </w:footnote>
  <w:footnote w:id="9">
    <w:p w:rsidR="00DD3A57" w:rsidRPr="00B61F1A" w14:paraId="2BB8E814" w14:textId="77777777">
      <w:pPr>
        <w:pStyle w:val="FootnoteText"/>
        <w:rPr>
          <w:rFonts w:ascii="Times New Roman" w:hAnsi="Times New Roman" w:cs="Times New Roman"/>
          <w:sz w:val="18"/>
          <w:szCs w:val="18"/>
        </w:rPr>
      </w:pPr>
      <w:r w:rsidRPr="00B61F1A">
        <w:rPr>
          <w:rStyle w:val="FootnoteReference"/>
          <w:rFonts w:ascii="Times New Roman" w:hAnsi="Times New Roman" w:cs="Times New Roman"/>
          <w:sz w:val="18"/>
          <w:szCs w:val="18"/>
        </w:rPr>
        <w:footnoteRef/>
      </w:r>
      <w:r w:rsidRPr="00B61F1A">
        <w:rPr>
          <w:rFonts w:ascii="Times New Roman" w:hAnsi="Times New Roman" w:cs="Times New Roman"/>
          <w:sz w:val="18"/>
          <w:szCs w:val="18"/>
        </w:rPr>
        <w:t xml:space="preserve"> Federal Emergency Management Agency. Phillips Petroleum Chemical Plant Explosion and Fire. October 1989. </w:t>
      </w:r>
      <w:r w:rsidRPr="00B61F1A" w:rsidR="0003367F">
        <w:rPr>
          <w:rFonts w:ascii="Times New Roman" w:hAnsi="Times New Roman" w:cs="Times New Roman"/>
          <w:color w:val="0462C1"/>
          <w:sz w:val="18"/>
          <w:szCs w:val="18"/>
        </w:rPr>
        <w:t>https://www.interfire.org/res_file/pdf/Tr-035.pdf</w:t>
      </w:r>
      <w:r w:rsidRPr="00B61F1A" w:rsidR="002952D0">
        <w:rPr>
          <w:rFonts w:ascii="Times New Roman" w:hAnsi="Times New Roman" w:cs="Times New Roman"/>
          <w:color w:val="0462C1"/>
          <w:sz w:val="18"/>
          <w:szCs w:val="18"/>
        </w:rPr>
        <w:t>.</w:t>
      </w:r>
    </w:p>
  </w:footnote>
  <w:footnote w:id="10">
    <w:p w:rsidR="002952D0" w:rsidRPr="00B61F1A" w14:paraId="6FAC0BE6" w14:textId="77777777">
      <w:pPr>
        <w:pStyle w:val="FootnoteText"/>
        <w:rPr>
          <w:rFonts w:ascii="Times New Roman" w:hAnsi="Times New Roman" w:cs="Times New Roman"/>
          <w:sz w:val="18"/>
          <w:szCs w:val="18"/>
        </w:rPr>
      </w:pPr>
      <w:r w:rsidRPr="00B61F1A">
        <w:rPr>
          <w:rStyle w:val="FootnoteReference"/>
          <w:rFonts w:ascii="Times New Roman" w:hAnsi="Times New Roman" w:cs="Times New Roman"/>
          <w:sz w:val="18"/>
          <w:szCs w:val="18"/>
        </w:rPr>
        <w:footnoteRef/>
      </w:r>
      <w:r w:rsidRPr="00B61F1A">
        <w:rPr>
          <w:rFonts w:ascii="Times New Roman" w:hAnsi="Times New Roman" w:cs="Times New Roman"/>
          <w:sz w:val="18"/>
          <w:szCs w:val="18"/>
        </w:rPr>
        <w:t xml:space="preserve"> Hay, Alastair, A Technical Report on What Caused Italy’s Dioxin Disaster Has Too Many L</w:t>
      </w:r>
      <w:r w:rsidRPr="00B61F1A" w:rsidR="00154A21">
        <w:rPr>
          <w:rFonts w:ascii="Times New Roman" w:hAnsi="Times New Roman" w:cs="Times New Roman"/>
          <w:sz w:val="18"/>
          <w:szCs w:val="18"/>
        </w:rPr>
        <w:t>oo</w:t>
      </w:r>
      <w:r w:rsidRPr="00B61F1A">
        <w:rPr>
          <w:rFonts w:ascii="Times New Roman" w:hAnsi="Times New Roman" w:cs="Times New Roman"/>
          <w:sz w:val="18"/>
          <w:szCs w:val="18"/>
        </w:rPr>
        <w:t xml:space="preserve">pholes, Nature, 281, 521 (October </w:t>
      </w:r>
      <w:r w:rsidRPr="00B61F1A" w:rsidR="00711F8A">
        <w:rPr>
          <w:rFonts w:ascii="Times New Roman" w:hAnsi="Times New Roman" w:cs="Times New Roman"/>
          <w:sz w:val="18"/>
          <w:szCs w:val="18"/>
        </w:rPr>
        <w:t xml:space="preserve">18, </w:t>
      </w:r>
      <w:r w:rsidRPr="00B61F1A" w:rsidR="00E3536B">
        <w:rPr>
          <w:rFonts w:ascii="Times New Roman" w:hAnsi="Times New Roman" w:cs="Times New Roman"/>
          <w:sz w:val="18"/>
          <w:szCs w:val="18"/>
        </w:rPr>
        <w:t xml:space="preserve">1979). </w:t>
      </w:r>
      <w:r w:rsidRPr="00B61F1A" w:rsidR="00154A21">
        <w:rPr>
          <w:rFonts w:ascii="Times New Roman" w:hAnsi="Times New Roman" w:cs="Times New Roman"/>
          <w:color w:val="0462C1"/>
          <w:sz w:val="18"/>
          <w:szCs w:val="18"/>
        </w:rPr>
        <w:t>http://www.nature.com/nature/journal/v281/n5732/pdf/281521a0.pdf.</w:t>
      </w:r>
    </w:p>
  </w:footnote>
  <w:footnote w:id="11">
    <w:p w:rsidR="007A5B90" w:rsidRPr="000F1E74" w14:paraId="36515F15" w14:textId="77777777">
      <w:pPr>
        <w:pStyle w:val="FootnoteText"/>
        <w:rPr>
          <w:rFonts w:ascii="Times New Roman" w:hAnsi="Times New Roman" w:cs="Times New Roman"/>
          <w:sz w:val="18"/>
          <w:szCs w:val="18"/>
        </w:rPr>
      </w:pPr>
      <w:r w:rsidRPr="000F1E74">
        <w:rPr>
          <w:rStyle w:val="FootnoteReference"/>
          <w:rFonts w:ascii="Times New Roman" w:hAnsi="Times New Roman" w:cs="Times New Roman"/>
          <w:sz w:val="18"/>
          <w:szCs w:val="18"/>
        </w:rPr>
        <w:footnoteRef/>
      </w:r>
      <w:r w:rsidRPr="000F1E74">
        <w:rPr>
          <w:rFonts w:ascii="Times New Roman" w:hAnsi="Times New Roman" w:cs="Times New Roman"/>
          <w:sz w:val="18"/>
          <w:szCs w:val="18"/>
        </w:rPr>
        <w:t xml:space="preserve"> </w:t>
      </w:r>
      <w:r w:rsidRPr="000A6F7B">
        <w:rPr>
          <w:rFonts w:ascii="Times New Roman" w:hAnsi="Times New Roman" w:cs="Times New Roman"/>
          <w:sz w:val="18"/>
          <w:szCs w:val="18"/>
        </w:rPr>
        <w:t>40 CFR 68.3 defines h</w:t>
      </w:r>
      <w:r w:rsidRPr="000A6F7B">
        <w:rPr>
          <w:rStyle w:val="Emphasis"/>
          <w:rFonts w:ascii="Times New Roman" w:hAnsi="Times New Roman" w:cs="Times New Roman"/>
          <w:i w:val="0"/>
          <w:iCs w:val="0"/>
          <w:sz w:val="18"/>
          <w:szCs w:val="18"/>
        </w:rPr>
        <w:t>ot work</w:t>
      </w:r>
      <w:r w:rsidRPr="000A6F7B">
        <w:rPr>
          <w:rFonts w:ascii="Times New Roman" w:hAnsi="Times New Roman" w:cs="Times New Roman"/>
          <w:sz w:val="18"/>
          <w:szCs w:val="18"/>
        </w:rPr>
        <w:t xml:space="preserve"> </w:t>
      </w:r>
      <w:r w:rsidRPr="000F1E74">
        <w:rPr>
          <w:rFonts w:ascii="Times New Roman" w:hAnsi="Times New Roman" w:cs="Times New Roman"/>
          <w:sz w:val="18"/>
          <w:szCs w:val="18"/>
        </w:rPr>
        <w:t>as</w:t>
      </w:r>
      <w:r w:rsidRPr="000A6F7B">
        <w:rPr>
          <w:rFonts w:ascii="Times New Roman" w:hAnsi="Times New Roman" w:cs="Times New Roman"/>
          <w:sz w:val="18"/>
          <w:szCs w:val="18"/>
        </w:rPr>
        <w:t xml:space="preserve"> work involving electric or gas welding, cutting, brazing, or similar flame or spark-producing operations.</w:t>
      </w:r>
    </w:p>
  </w:footnote>
  <w:footnote w:id="12">
    <w:p w:rsidR="00F61543" w:rsidRPr="00B61F1A" w14:paraId="6AB96B17" w14:textId="77777777">
      <w:pPr>
        <w:pStyle w:val="FootnoteText"/>
        <w:rPr>
          <w:rFonts w:ascii="Times New Roman" w:hAnsi="Times New Roman" w:cs="Times New Roman"/>
          <w:sz w:val="18"/>
          <w:szCs w:val="18"/>
        </w:rPr>
      </w:pPr>
      <w:r w:rsidRPr="000F1E74">
        <w:rPr>
          <w:rStyle w:val="FootnoteReference"/>
          <w:rFonts w:ascii="Times New Roman" w:hAnsi="Times New Roman" w:cs="Times New Roman"/>
          <w:sz w:val="18"/>
          <w:szCs w:val="18"/>
        </w:rPr>
        <w:footnoteRef/>
      </w:r>
      <w:r w:rsidRPr="000F1E74">
        <w:rPr>
          <w:rFonts w:ascii="Times New Roman" w:hAnsi="Times New Roman" w:cs="Times New Roman"/>
          <w:sz w:val="18"/>
          <w:szCs w:val="18"/>
        </w:rPr>
        <w:t xml:space="preserve"> </w:t>
      </w:r>
      <w:r w:rsidRPr="000F1E74" w:rsidR="00491317">
        <w:rPr>
          <w:rFonts w:ascii="Times New Roman" w:hAnsi="Times New Roman" w:cs="Times New Roman"/>
          <w:sz w:val="18"/>
          <w:szCs w:val="18"/>
        </w:rPr>
        <w:t>G</w:t>
      </w:r>
      <w:r w:rsidRPr="000F1E74">
        <w:rPr>
          <w:rFonts w:ascii="Times New Roman" w:hAnsi="Times New Roman" w:cs="Times New Roman"/>
          <w:sz w:val="18"/>
          <w:szCs w:val="18"/>
        </w:rPr>
        <w:t>uidance documents for propane storage, refrigeration, water/wastewater treatment, warehouses, chemical distributors, and others</w:t>
      </w:r>
      <w:r w:rsidRPr="000F1E74" w:rsidR="00491317">
        <w:rPr>
          <w:rFonts w:ascii="Times New Roman" w:hAnsi="Times New Roman" w:cs="Times New Roman"/>
          <w:sz w:val="18"/>
          <w:szCs w:val="18"/>
        </w:rPr>
        <w:t xml:space="preserve"> are a</w:t>
      </w:r>
      <w:r w:rsidRPr="000F1E74" w:rsidR="00FC2D52">
        <w:rPr>
          <w:rFonts w:ascii="Times New Roman" w:hAnsi="Times New Roman" w:cs="Times New Roman"/>
          <w:sz w:val="18"/>
          <w:szCs w:val="18"/>
        </w:rPr>
        <w:t xml:space="preserve">vailable at: </w:t>
      </w:r>
      <w:hyperlink r:id="rId1" w:history="1">
        <w:r w:rsidRPr="000F1E74" w:rsidR="00491317">
          <w:rPr>
            <w:rStyle w:val="Hyperlink"/>
            <w:rFonts w:ascii="Times New Roman" w:hAnsi="Times New Roman" w:cs="Times New Roman"/>
            <w:sz w:val="18"/>
            <w:szCs w:val="18"/>
          </w:rPr>
          <w:t>https://www.epa.gov/rmp/guidance-facilities-risk-management-programs-rmp</w:t>
        </w:r>
      </w:hyperlink>
      <w:r w:rsidRPr="000F1E74" w:rsidR="00491317">
        <w:rPr>
          <w:rFonts w:ascii="Times New Roman" w:hAnsi="Times New Roman" w:cs="Times New Roman"/>
          <w:sz w:val="18"/>
          <w:szCs w:val="18"/>
        </w:rPr>
        <w:t>.</w:t>
      </w:r>
    </w:p>
  </w:footnote>
  <w:footnote w:id="13">
    <w:p w:rsidR="00491AE7" w:rsidRPr="00B61F1A" w:rsidP="00491AE7" w14:paraId="664E2F9D" w14:textId="77777777">
      <w:pPr>
        <w:pStyle w:val="FootnoteText"/>
        <w:rPr>
          <w:rFonts w:ascii="Times New Roman" w:hAnsi="Times New Roman" w:cs="Times New Roman"/>
          <w:sz w:val="18"/>
          <w:szCs w:val="18"/>
        </w:rPr>
      </w:pPr>
      <w:r w:rsidRPr="00B61F1A">
        <w:rPr>
          <w:rStyle w:val="FootnoteReference"/>
          <w:rFonts w:ascii="Times New Roman" w:hAnsi="Times New Roman" w:cs="Times New Roman"/>
          <w:sz w:val="18"/>
          <w:szCs w:val="18"/>
        </w:rPr>
        <w:footnoteRef/>
      </w:r>
      <w:r w:rsidRPr="00B61F1A">
        <w:rPr>
          <w:rFonts w:ascii="Times New Roman" w:hAnsi="Times New Roman" w:cs="Times New Roman"/>
          <w:sz w:val="18"/>
          <w:szCs w:val="18"/>
        </w:rPr>
        <w:t xml:space="preserve"> EPA. April 2004. General Guidance on Risk Management Programs for Chemical Accident Prevention (40 CFR Part 68). EPA-550-B-04-001. Chapter 2. </w:t>
      </w:r>
      <w:r w:rsidRPr="00B61F1A">
        <w:rPr>
          <w:rFonts w:ascii="Times New Roman" w:hAnsi="Times New Roman" w:cs="Times New Roman"/>
          <w:color w:val="0462C1"/>
          <w:sz w:val="18"/>
          <w:szCs w:val="18"/>
        </w:rPr>
        <w:t>http://www2.epa.gov/sites/production/files/2013-10/documents/chap-02-final.pdf.</w:t>
      </w:r>
    </w:p>
  </w:footnote>
  <w:footnote w:id="14">
    <w:p w:rsidR="00FF54E3" w:rsidRPr="000F1E74" w14:paraId="7DA0C8AD" w14:textId="77777777">
      <w:pPr>
        <w:pStyle w:val="FootnoteText"/>
        <w:rPr>
          <w:rFonts w:ascii="Times New Roman" w:hAnsi="Times New Roman" w:cs="Times New Roman"/>
          <w:sz w:val="18"/>
          <w:szCs w:val="18"/>
        </w:rPr>
      </w:pPr>
      <w:r w:rsidRPr="000F1E74">
        <w:rPr>
          <w:rStyle w:val="FootnoteReference"/>
          <w:rFonts w:ascii="Times New Roman" w:hAnsi="Times New Roman" w:cs="Times New Roman"/>
          <w:sz w:val="18"/>
          <w:szCs w:val="18"/>
        </w:rPr>
        <w:footnoteRef/>
      </w:r>
      <w:r w:rsidRPr="000F1E74">
        <w:rPr>
          <w:rFonts w:ascii="Times New Roman" w:hAnsi="Times New Roman" w:cs="Times New Roman"/>
          <w:sz w:val="18"/>
          <w:szCs w:val="18"/>
        </w:rPr>
        <w:t xml:space="preserve"> </w:t>
      </w:r>
      <w:r w:rsidRPr="000F1E74" w:rsidR="001B0E98">
        <w:rPr>
          <w:rFonts w:ascii="Times New Roman" w:hAnsi="Times New Roman" w:cs="Times New Roman"/>
          <w:sz w:val="18"/>
          <w:szCs w:val="18"/>
        </w:rPr>
        <w:t xml:space="preserve">For more detail on the West Texas explosion </w:t>
      </w:r>
      <w:r w:rsidRPr="000F1E74" w:rsidR="00D71DE4">
        <w:rPr>
          <w:rFonts w:ascii="Times New Roman" w:hAnsi="Times New Roman" w:cs="Times New Roman"/>
          <w:sz w:val="18"/>
          <w:szCs w:val="18"/>
        </w:rPr>
        <w:t xml:space="preserve">and </w:t>
      </w:r>
      <w:r w:rsidRPr="000F1E74" w:rsidR="001B0E98">
        <w:rPr>
          <w:rFonts w:ascii="Times New Roman" w:hAnsi="Times New Roman" w:cs="Times New Roman"/>
          <w:sz w:val="18"/>
          <w:szCs w:val="18"/>
        </w:rPr>
        <w:t xml:space="preserve">other </w:t>
      </w:r>
      <w:r w:rsidRPr="000F1E74" w:rsidR="00576042">
        <w:rPr>
          <w:rFonts w:ascii="Times New Roman" w:hAnsi="Times New Roman" w:cs="Times New Roman"/>
          <w:sz w:val="18"/>
          <w:szCs w:val="18"/>
        </w:rPr>
        <w:t xml:space="preserve">accidents that led to the </w:t>
      </w:r>
      <w:r w:rsidRPr="000F1E74" w:rsidR="008030D0">
        <w:rPr>
          <w:rFonts w:ascii="Times New Roman" w:hAnsi="Times New Roman" w:cs="Times New Roman"/>
          <w:sz w:val="18"/>
          <w:szCs w:val="18"/>
        </w:rPr>
        <w:t>2017 a</w:t>
      </w:r>
      <w:r w:rsidRPr="000F1E74" w:rsidR="00576042">
        <w:rPr>
          <w:rFonts w:ascii="Times New Roman" w:hAnsi="Times New Roman" w:cs="Times New Roman"/>
          <w:sz w:val="18"/>
          <w:szCs w:val="18"/>
        </w:rPr>
        <w:t>mendments rule</w:t>
      </w:r>
      <w:r w:rsidRPr="000F1E74" w:rsidR="009F2F3A">
        <w:rPr>
          <w:rFonts w:ascii="Times New Roman" w:hAnsi="Times New Roman" w:cs="Times New Roman"/>
          <w:sz w:val="18"/>
          <w:szCs w:val="18"/>
        </w:rPr>
        <w:t xml:space="preserve"> (Accidental Release Prevention Requirements: Risk Management Programs Under the Clean Air Act)</w:t>
      </w:r>
      <w:r w:rsidRPr="000F1E74" w:rsidR="001819F8">
        <w:rPr>
          <w:rFonts w:ascii="Times New Roman" w:hAnsi="Times New Roman" w:cs="Times New Roman"/>
          <w:sz w:val="18"/>
          <w:szCs w:val="18"/>
        </w:rPr>
        <w:t xml:space="preserve">, see </w:t>
      </w:r>
      <w:r w:rsidRPr="000F1E74" w:rsidR="00024622">
        <w:rPr>
          <w:rFonts w:ascii="Times New Roman" w:hAnsi="Times New Roman" w:cs="Times New Roman"/>
          <w:sz w:val="18"/>
          <w:szCs w:val="18"/>
        </w:rPr>
        <w:t xml:space="preserve">the </w:t>
      </w:r>
      <w:r w:rsidR="00D24697">
        <w:rPr>
          <w:rFonts w:ascii="Times New Roman" w:hAnsi="Times New Roman" w:cs="Times New Roman"/>
          <w:sz w:val="18"/>
          <w:szCs w:val="18"/>
        </w:rPr>
        <w:t xml:space="preserve">2017 </w:t>
      </w:r>
      <w:r w:rsidRPr="000F1E74" w:rsidR="000D77AF">
        <w:rPr>
          <w:rFonts w:ascii="Times New Roman" w:hAnsi="Times New Roman" w:cs="Times New Roman"/>
          <w:sz w:val="18"/>
          <w:szCs w:val="18"/>
        </w:rPr>
        <w:t>a</w:t>
      </w:r>
      <w:r w:rsidRPr="000F1E74" w:rsidR="00CA7618">
        <w:rPr>
          <w:rFonts w:ascii="Times New Roman" w:hAnsi="Times New Roman" w:cs="Times New Roman"/>
          <w:sz w:val="18"/>
          <w:szCs w:val="18"/>
        </w:rPr>
        <w:t>mendments rule RIA.</w:t>
      </w:r>
    </w:p>
  </w:footnote>
  <w:footnote w:id="15">
    <w:p w:rsidR="002F52A1" w:rsidRPr="000F1E74" w:rsidP="003B3BBF" w14:paraId="1C3F9F8B" w14:textId="77777777">
      <w:pPr>
        <w:pStyle w:val="TOC2"/>
      </w:pPr>
      <w:r w:rsidRPr="000F1E74">
        <w:rPr>
          <w:rStyle w:val="FootnoteReference"/>
        </w:rPr>
        <w:footnoteRef/>
      </w:r>
      <w:r w:rsidRPr="000F1E74">
        <w:t xml:space="preserve"> </w:t>
      </w:r>
      <w:hyperlink r:id="rId2" w:history="1">
        <w:r w:rsidRPr="000F1E74" w:rsidR="00F3719C">
          <w:rPr>
            <w:rStyle w:val="Hyperlink"/>
          </w:rPr>
          <w:t>https://www.whitehouse.gov/the-press-office/2013/08/01/executive-order-improving-chemical-facility-safety-and-security</w:t>
        </w:r>
      </w:hyperlink>
      <w:r w:rsidRPr="000F1E74" w:rsidR="00F3719C">
        <w:t xml:space="preserve">. </w:t>
      </w:r>
    </w:p>
  </w:footnote>
  <w:footnote w:id="16">
    <w:p w:rsidR="00274F68" w:rsidRPr="0083577C" w:rsidP="001243C2" w14:paraId="4FD8535D" w14:textId="77777777">
      <w:pPr>
        <w:pStyle w:val="FootnoteText"/>
        <w:rPr>
          <w:rFonts w:ascii="Times New Roman" w:hAnsi="Times New Roman" w:cs="Times New Roman"/>
          <w:sz w:val="18"/>
          <w:szCs w:val="18"/>
        </w:rPr>
      </w:pPr>
      <w:r w:rsidRPr="000F1E74">
        <w:rPr>
          <w:rStyle w:val="FootnoteReference"/>
          <w:rFonts w:ascii="Times New Roman" w:hAnsi="Times New Roman" w:cs="Times New Roman"/>
          <w:sz w:val="18"/>
          <w:szCs w:val="18"/>
        </w:rPr>
        <w:footnoteRef/>
      </w:r>
      <w:r w:rsidRPr="000F1E74">
        <w:rPr>
          <w:rFonts w:ascii="Times New Roman" w:hAnsi="Times New Roman" w:cs="Times New Roman"/>
          <w:sz w:val="18"/>
          <w:szCs w:val="18"/>
        </w:rPr>
        <w:t xml:space="preserve"> </w:t>
      </w:r>
      <w:r w:rsidRPr="000F1E74" w:rsidR="000119D0">
        <w:rPr>
          <w:rFonts w:ascii="Times New Roman" w:hAnsi="Times New Roman" w:cs="Times New Roman"/>
          <w:sz w:val="18"/>
          <w:szCs w:val="18"/>
        </w:rPr>
        <w:t xml:space="preserve">In 2013 and 2014, as part of the </w:t>
      </w:r>
      <w:r w:rsidRPr="000F1E74" w:rsidR="00843659">
        <w:rPr>
          <w:rFonts w:ascii="Times New Roman" w:hAnsi="Times New Roman" w:cs="Times New Roman"/>
          <w:sz w:val="18"/>
          <w:szCs w:val="18"/>
        </w:rPr>
        <w:t>E.O.</w:t>
      </w:r>
      <w:r w:rsidRPr="000F1E74" w:rsidR="000119D0">
        <w:rPr>
          <w:rFonts w:ascii="Times New Roman" w:hAnsi="Times New Roman" w:cs="Times New Roman"/>
          <w:sz w:val="18"/>
          <w:szCs w:val="18"/>
        </w:rPr>
        <w:t xml:space="preserve"> 13650 activities, the federal government held </w:t>
      </w:r>
      <w:r w:rsidRPr="000F1E74" w:rsidR="000119D0">
        <w:rPr>
          <w:rFonts w:ascii="Times New Roman" w:hAnsi="Times New Roman" w:cs="Times New Roman"/>
          <w:color w:val="151515"/>
          <w:sz w:val="18"/>
          <w:szCs w:val="18"/>
        </w:rPr>
        <w:t xml:space="preserve">a dozen listening sessions, supplemented by two </w:t>
      </w:r>
      <w:r w:rsidRPr="0083577C" w:rsidR="000119D0">
        <w:rPr>
          <w:rFonts w:ascii="Times New Roman" w:hAnsi="Times New Roman" w:cs="Times New Roman"/>
          <w:color w:val="151515"/>
          <w:sz w:val="18"/>
          <w:szCs w:val="18"/>
        </w:rPr>
        <w:t xml:space="preserve">online webinars. </w:t>
      </w:r>
      <w:r w:rsidRPr="0083577C" w:rsidR="000119D0">
        <w:rPr>
          <w:rFonts w:ascii="Times New Roman" w:hAnsi="Times New Roman" w:cs="Times New Roman"/>
          <w:sz w:val="18"/>
          <w:szCs w:val="18"/>
        </w:rPr>
        <w:t>For a list of locations and link to the notes for these sessions go to</w:t>
      </w:r>
      <w:r w:rsidRPr="0083577C" w:rsidR="004F7ED4">
        <w:rPr>
          <w:rFonts w:ascii="Times New Roman" w:hAnsi="Times New Roman" w:cs="Times New Roman"/>
          <w:sz w:val="18"/>
          <w:szCs w:val="18"/>
        </w:rPr>
        <w:t xml:space="preserve"> </w:t>
      </w:r>
      <w:hyperlink r:id="rId3" w:history="1">
        <w:r w:rsidRPr="0083577C" w:rsidR="004F7ED4">
          <w:rPr>
            <w:rStyle w:val="Hyperlink"/>
            <w:rFonts w:ascii="Times New Roman" w:eastAsia="Calibri" w:hAnsi="Times New Roman" w:cs="Times New Roman"/>
            <w:sz w:val="18"/>
            <w:szCs w:val="18"/>
            <w:lang w:bidi="en-US"/>
          </w:rPr>
          <w:t>https://www.regulations.gov/search?filter=DHS-2013-0075</w:t>
        </w:r>
      </w:hyperlink>
      <w:r w:rsidRPr="0083577C" w:rsidR="004F7ED4">
        <w:rPr>
          <w:rFonts w:ascii="Times New Roman" w:hAnsi="Times New Roman" w:cs="Times New Roman"/>
          <w:sz w:val="18"/>
          <w:szCs w:val="18"/>
        </w:rPr>
        <w:t>.</w:t>
      </w:r>
    </w:p>
  </w:footnote>
  <w:footnote w:id="17">
    <w:p w:rsidR="004F7ED4" w:rsidRPr="0083577C" w:rsidP="003B3BBF" w14:paraId="3902F5A5" w14:textId="77777777">
      <w:pPr>
        <w:pStyle w:val="TOC2"/>
      </w:pPr>
      <w:r w:rsidRPr="0083577C">
        <w:rPr>
          <w:rStyle w:val="FootnoteReference"/>
          <w:b/>
        </w:rPr>
        <w:footnoteRef/>
      </w:r>
      <w:r w:rsidRPr="0083577C">
        <w:t xml:space="preserve"> OSHA’s </w:t>
      </w:r>
      <w:r w:rsidRPr="0083577C" w:rsidR="001243C2">
        <w:t xml:space="preserve">RFI was published on December 9, 2013 (78 FR 73756) and EPA’s RFI was published on July 31, 2014 (79 FR 44604). </w:t>
      </w:r>
    </w:p>
  </w:footnote>
  <w:footnote w:id="18">
    <w:p w:rsidR="00093C0A" w:rsidRPr="0083577C" w:rsidP="003B3BBF" w14:paraId="41969322" w14:textId="77777777">
      <w:pPr>
        <w:pStyle w:val="TOC2"/>
      </w:pPr>
      <w:r w:rsidRPr="0083577C">
        <w:rPr>
          <w:rStyle w:val="FootnoteReference"/>
          <w:b/>
        </w:rPr>
        <w:footnoteRef/>
      </w:r>
      <w:r w:rsidRPr="0083577C" w:rsidR="00840731">
        <w:t xml:space="preserve"> RMP </w:t>
      </w:r>
      <w:r w:rsidRPr="0083577C" w:rsidR="00AC51BB">
        <w:t>Coalition’s Petition for Reconsideration and Request for Agency Stay Pending Reconsideration of Final RMP rule (82 FR 4594, January 13, 2017), February 28, 2017. Hogan Lovells U</w:t>
      </w:r>
      <w:r w:rsidRPr="0083577C" w:rsidR="003715E2">
        <w:t>.</w:t>
      </w:r>
      <w:r w:rsidRPr="0083577C" w:rsidR="00AC51BB">
        <w:t>S</w:t>
      </w:r>
      <w:r w:rsidRPr="0083577C" w:rsidR="003715E2">
        <w:t>.</w:t>
      </w:r>
      <w:r w:rsidRPr="0083577C" w:rsidR="00AC51BB">
        <w:t xml:space="preserve"> LLP, Washington, DC. Document ID: EPA-HQ-OEM-2015-0725-0759 (RMP Coalition petition).</w:t>
      </w:r>
    </w:p>
  </w:footnote>
  <w:footnote w:id="19">
    <w:p w:rsidR="00AC51BB" w:rsidRPr="0083577C" w:rsidP="003B3BBF" w14:paraId="4897512C" w14:textId="77777777">
      <w:pPr>
        <w:pStyle w:val="TOC2"/>
      </w:pPr>
      <w:r w:rsidRPr="0083577C">
        <w:rPr>
          <w:rStyle w:val="FootnoteReference"/>
          <w:b/>
        </w:rPr>
        <w:footnoteRef/>
      </w:r>
      <w:r w:rsidRPr="0083577C">
        <w:t xml:space="preserve"> </w:t>
      </w:r>
      <w:r w:rsidRPr="0083577C" w:rsidR="00780DE5">
        <w:t>The Chemical Safety Advocacy Group (</w:t>
      </w:r>
      <w:r w:rsidRPr="0083577C" w:rsidR="00F12B05">
        <w:t>CSAG</w:t>
      </w:r>
      <w:r w:rsidRPr="0083577C" w:rsidR="00780DE5">
        <w:t>)</w:t>
      </w:r>
      <w:r w:rsidRPr="0083577C" w:rsidR="00F12B05">
        <w:t xml:space="preserve"> Petition and Reconsideration and Stay Request of the Final RMP rule (82 FR 4594, January 13, 2017) March 13, 2017. Hunton &amp; Williams, San Francisco, CA. Document No. EPA-HQ-OEM-2015-0725-0766 (CSAG petition).</w:t>
      </w:r>
    </w:p>
  </w:footnote>
  <w:footnote w:id="20">
    <w:p w:rsidR="00F12B05" w:rsidRPr="00B61F1A" w:rsidP="00FC2D52" w14:paraId="7011EC4F" w14:textId="77777777">
      <w:pPr>
        <w:keepNext/>
        <w:spacing w:after="0" w:line="240" w:lineRule="auto"/>
        <w:rPr>
          <w:rFonts w:ascii="Times New Roman" w:hAnsi="Times New Roman" w:cs="Times New Roman"/>
          <w:sz w:val="18"/>
          <w:szCs w:val="18"/>
        </w:rPr>
      </w:pPr>
      <w:r w:rsidRPr="0083577C">
        <w:rPr>
          <w:rStyle w:val="FootnoteReference"/>
          <w:rFonts w:ascii="Times New Roman" w:hAnsi="Times New Roman" w:cs="Times New Roman"/>
          <w:sz w:val="18"/>
          <w:szCs w:val="18"/>
        </w:rPr>
        <w:footnoteRef/>
      </w:r>
      <w:r w:rsidRPr="0083577C">
        <w:rPr>
          <w:rFonts w:ascii="Times New Roman" w:hAnsi="Times New Roman" w:cs="Times New Roman"/>
          <w:sz w:val="18"/>
          <w:szCs w:val="18"/>
        </w:rPr>
        <w:t xml:space="preserve"> </w:t>
      </w:r>
      <w:r w:rsidRPr="0083577C" w:rsidR="00875242">
        <w:rPr>
          <w:rFonts w:ascii="Times New Roman" w:hAnsi="Times New Roman" w:cs="Times New Roman"/>
          <w:sz w:val="18"/>
          <w:szCs w:val="18"/>
        </w:rPr>
        <w:t>Petition for Reconsideration and Stay Submitted by The States of Louisiana, Arizona, Arkansas, Florida, Kansas, Texas, Oklahoma, South Carolina, Wisconsin, West Virginia, and the Commonwealth of Kentucky by and through Governor Matthew Bevin, March 14, 2017. Document I</w:t>
      </w:r>
      <w:r w:rsidRPr="00907FB7" w:rsidR="00875242">
        <w:rPr>
          <w:rFonts w:ascii="Times New Roman" w:hAnsi="Times New Roman" w:cs="Times New Roman"/>
          <w:sz w:val="18"/>
          <w:szCs w:val="18"/>
        </w:rPr>
        <w:t>D: EPA-HW-OEM-2015-0725-0762 (States petition).</w:t>
      </w:r>
      <w:r w:rsidRPr="00B61F1A" w:rsidR="00875242">
        <w:rPr>
          <w:rFonts w:ascii="Times New Roman" w:hAnsi="Times New Roman" w:cs="Times New Roman"/>
          <w:sz w:val="18"/>
          <w:szCs w:val="18"/>
        </w:rPr>
        <w:t xml:space="preserve"> </w:t>
      </w:r>
    </w:p>
  </w:footnote>
  <w:footnote w:id="21">
    <w:p w:rsidR="00FC2D52" w:rsidRPr="000F1E74" w14:paraId="7AA37F0B" w14:textId="77777777">
      <w:pPr>
        <w:pStyle w:val="FootnoteText"/>
        <w:rPr>
          <w:rFonts w:ascii="Times New Roman" w:hAnsi="Times New Roman" w:cs="Times New Roman"/>
          <w:sz w:val="18"/>
          <w:szCs w:val="18"/>
        </w:rPr>
      </w:pPr>
      <w:r w:rsidRPr="000F1E74">
        <w:rPr>
          <w:rStyle w:val="FootnoteReference"/>
          <w:rFonts w:ascii="Times New Roman" w:hAnsi="Times New Roman" w:cs="Times New Roman"/>
          <w:sz w:val="18"/>
          <w:szCs w:val="18"/>
        </w:rPr>
        <w:footnoteRef/>
      </w:r>
      <w:r w:rsidRPr="000F1E74">
        <w:rPr>
          <w:rFonts w:ascii="Times New Roman" w:hAnsi="Times New Roman" w:cs="Times New Roman"/>
          <w:sz w:val="18"/>
          <w:szCs w:val="18"/>
        </w:rPr>
        <w:t xml:space="preserve"> </w:t>
      </w:r>
      <w:hyperlink r:id="rId4" w:history="1">
        <w:r w:rsidRPr="000F1E74">
          <w:rPr>
            <w:rStyle w:val="Hyperlink"/>
            <w:rFonts w:ascii="Times New Roman" w:hAnsi="Times New Roman" w:cs="Times New Roman"/>
            <w:sz w:val="18"/>
            <w:szCs w:val="18"/>
          </w:rPr>
          <w:t>https://www.whitehouse.gov/briefing-room/presidential-actions/2021/01/20/executive-order-protecting-public-health-and-environment-and-restoring-science-to-tackle-climate-crisis/</w:t>
        </w:r>
      </w:hyperlink>
      <w:r w:rsidRPr="000F1E74">
        <w:rPr>
          <w:rFonts w:ascii="Times New Roman" w:hAnsi="Times New Roman" w:cs="Times New Roman"/>
          <w:sz w:val="18"/>
          <w:szCs w:val="18"/>
        </w:rPr>
        <w:t xml:space="preserve">  </w:t>
      </w:r>
    </w:p>
  </w:footnote>
  <w:footnote w:id="22">
    <w:p w:rsidR="00825835" w:rsidRPr="000F1E74" w14:paraId="6D4DBC02" w14:textId="77777777">
      <w:pPr>
        <w:pStyle w:val="FootnoteText"/>
        <w:rPr>
          <w:rFonts w:ascii="Times New Roman" w:hAnsi="Times New Roman" w:cs="Times New Roman"/>
          <w:sz w:val="18"/>
          <w:szCs w:val="18"/>
        </w:rPr>
      </w:pPr>
      <w:r w:rsidRPr="000F1E74">
        <w:rPr>
          <w:rStyle w:val="FootnoteReference"/>
          <w:rFonts w:ascii="Times New Roman" w:hAnsi="Times New Roman" w:cs="Times New Roman"/>
          <w:sz w:val="18"/>
          <w:szCs w:val="18"/>
        </w:rPr>
        <w:footnoteRef/>
      </w:r>
      <w:r w:rsidRPr="000F1E74">
        <w:rPr>
          <w:rFonts w:ascii="Times New Roman" w:hAnsi="Times New Roman" w:cs="Times New Roman"/>
          <w:sz w:val="18"/>
          <w:szCs w:val="18"/>
        </w:rPr>
        <w:t xml:space="preserve"> EPA is </w:t>
      </w:r>
      <w:r w:rsidRPr="000F1E74" w:rsidR="00ED0D10">
        <w:rPr>
          <w:rFonts w:ascii="Times New Roman" w:hAnsi="Times New Roman" w:cs="Times New Roman"/>
          <w:sz w:val="18"/>
          <w:szCs w:val="18"/>
        </w:rPr>
        <w:t>making</w:t>
      </w:r>
      <w:r w:rsidRPr="000F1E74">
        <w:rPr>
          <w:rFonts w:ascii="Times New Roman" w:hAnsi="Times New Roman" w:cs="Times New Roman"/>
          <w:sz w:val="18"/>
          <w:szCs w:val="18"/>
        </w:rPr>
        <w:t xml:space="preserve"> RMP </w:t>
      </w:r>
      <w:r w:rsidRPr="000F1E74" w:rsidR="00270AB0">
        <w:rPr>
          <w:rFonts w:ascii="Times New Roman" w:hAnsi="Times New Roman" w:cs="Times New Roman"/>
          <w:sz w:val="18"/>
          <w:szCs w:val="18"/>
        </w:rPr>
        <w:t xml:space="preserve">facility </w:t>
      </w:r>
      <w:r w:rsidRPr="000F1E74" w:rsidR="00124003">
        <w:rPr>
          <w:rFonts w:ascii="Times New Roman" w:hAnsi="Times New Roman" w:cs="Times New Roman"/>
          <w:sz w:val="18"/>
          <w:szCs w:val="18"/>
        </w:rPr>
        <w:t xml:space="preserve">location </w:t>
      </w:r>
      <w:r w:rsidRPr="000F1E74">
        <w:rPr>
          <w:rFonts w:ascii="Times New Roman" w:hAnsi="Times New Roman" w:cs="Times New Roman"/>
          <w:sz w:val="18"/>
          <w:szCs w:val="18"/>
        </w:rPr>
        <w:t xml:space="preserve">information publicly available to allow facilities to </w:t>
      </w:r>
      <w:r w:rsidRPr="000F1E74" w:rsidR="00A46728">
        <w:rPr>
          <w:rFonts w:ascii="Times New Roman" w:hAnsi="Times New Roman" w:cs="Times New Roman"/>
          <w:sz w:val="18"/>
          <w:szCs w:val="18"/>
        </w:rPr>
        <w:t xml:space="preserve">identify and </w:t>
      </w:r>
      <w:r w:rsidRPr="000F1E74">
        <w:rPr>
          <w:rFonts w:ascii="Times New Roman" w:hAnsi="Times New Roman" w:cs="Times New Roman"/>
          <w:sz w:val="18"/>
          <w:szCs w:val="18"/>
        </w:rPr>
        <w:t>locate pro</w:t>
      </w:r>
      <w:r w:rsidRPr="000F1E74" w:rsidR="006C0544">
        <w:rPr>
          <w:rFonts w:ascii="Times New Roman" w:hAnsi="Times New Roman" w:cs="Times New Roman"/>
          <w:sz w:val="18"/>
          <w:szCs w:val="18"/>
        </w:rPr>
        <w:t>xim</w:t>
      </w:r>
      <w:r w:rsidRPr="000F1E74">
        <w:rPr>
          <w:rFonts w:ascii="Times New Roman" w:hAnsi="Times New Roman" w:cs="Times New Roman"/>
          <w:sz w:val="18"/>
          <w:szCs w:val="18"/>
        </w:rPr>
        <w:t>ate facilities.</w:t>
      </w:r>
    </w:p>
  </w:footnote>
  <w:footnote w:id="23">
    <w:p w:rsidR="00E34F3F" w:rsidRPr="00270AB0" w:rsidP="00E34F3F" w14:paraId="5A329209" w14:textId="77777777">
      <w:pPr>
        <w:pStyle w:val="FootnoteText"/>
        <w:rPr>
          <w:rFonts w:ascii="Times New Roman" w:hAnsi="Times New Roman" w:cs="Times New Roman"/>
          <w:sz w:val="18"/>
          <w:szCs w:val="18"/>
        </w:rPr>
      </w:pPr>
      <w:r w:rsidRPr="00270AB0">
        <w:rPr>
          <w:rStyle w:val="FootnoteReference"/>
          <w:rFonts w:ascii="Times New Roman" w:hAnsi="Times New Roman" w:cs="Times New Roman"/>
          <w:sz w:val="18"/>
          <w:szCs w:val="18"/>
        </w:rPr>
        <w:footnoteRef/>
      </w:r>
      <w:r w:rsidRPr="00270AB0">
        <w:rPr>
          <w:rFonts w:ascii="Times New Roman" w:hAnsi="Times New Roman" w:cs="Times New Roman"/>
          <w:sz w:val="18"/>
          <w:szCs w:val="18"/>
        </w:rPr>
        <w:t xml:space="preserve"> EPA believes this distance to be reasonable </w:t>
      </w:r>
      <w:r w:rsidRPr="00270AB0" w:rsidR="00C42ECB">
        <w:rPr>
          <w:rFonts w:ascii="Times New Roman" w:hAnsi="Times New Roman" w:cs="Times New Roman"/>
          <w:sz w:val="18"/>
          <w:szCs w:val="18"/>
        </w:rPr>
        <w:t>given that</w:t>
      </w:r>
      <w:r w:rsidRPr="00270AB0">
        <w:rPr>
          <w:rFonts w:ascii="Times New Roman" w:hAnsi="Times New Roman" w:cs="Times New Roman"/>
          <w:sz w:val="18"/>
          <w:szCs w:val="18"/>
        </w:rPr>
        <w:t xml:space="preserve"> 90 percent of all toxic worst-case distances to endpoints are 6 miles or less, and almost all flammable worst-case distances are less than 1 mile.</w:t>
      </w:r>
    </w:p>
  </w:footnote>
  <w:footnote w:id="24">
    <w:p w:rsidR="00E34F3F" w:rsidRPr="00270AB0" w:rsidP="00E34F3F" w14:paraId="6119401B" w14:textId="77777777">
      <w:pPr>
        <w:pStyle w:val="FootnoteText"/>
        <w:rPr>
          <w:rFonts w:ascii="Times New Roman" w:hAnsi="Times New Roman" w:cs="Times New Roman"/>
          <w:sz w:val="18"/>
          <w:szCs w:val="18"/>
        </w:rPr>
      </w:pPr>
      <w:r w:rsidRPr="00270AB0">
        <w:rPr>
          <w:rStyle w:val="FootnoteReference"/>
          <w:rFonts w:ascii="Times New Roman" w:hAnsi="Times New Roman" w:cs="Times New Roman"/>
          <w:sz w:val="18"/>
          <w:szCs w:val="18"/>
        </w:rPr>
        <w:footnoteRef/>
      </w:r>
      <w:r w:rsidRPr="00270AB0">
        <w:rPr>
          <w:rFonts w:ascii="Times New Roman" w:hAnsi="Times New Roman" w:cs="Times New Roman"/>
          <w:sz w:val="18"/>
          <w:szCs w:val="18"/>
        </w:rPr>
        <w:t xml:space="preserve"> EPA plans to make RMP location information for the entire regulated community available online. </w:t>
      </w:r>
      <w:r w:rsidRPr="00270AB0" w:rsidR="00130F04">
        <w:rPr>
          <w:rFonts w:ascii="Times New Roman" w:hAnsi="Times New Roman" w:cs="Times New Roman"/>
          <w:sz w:val="18"/>
          <w:szCs w:val="18"/>
        </w:rPr>
        <w:t>Currently, the</w:t>
      </w:r>
      <w:r w:rsidRPr="00270AB0">
        <w:rPr>
          <w:rFonts w:ascii="Times New Roman" w:hAnsi="Times New Roman" w:cs="Times New Roman"/>
          <w:sz w:val="18"/>
          <w:szCs w:val="18"/>
        </w:rPr>
        <w:t xml:space="preserve"> public can determine whether a neighboring facility is an RMP facility through searching EPA’s Envirofacts.</w:t>
      </w:r>
    </w:p>
  </w:footnote>
  <w:footnote w:id="25">
    <w:p w:rsidR="001F4CD0" w:rsidRPr="00270AB0" w14:paraId="20BD27AC" w14:textId="77777777">
      <w:pPr>
        <w:pStyle w:val="FootnoteText"/>
        <w:rPr>
          <w:sz w:val="18"/>
          <w:szCs w:val="18"/>
        </w:rPr>
      </w:pPr>
      <w:r w:rsidRPr="00270AB0">
        <w:rPr>
          <w:rStyle w:val="FootnoteReference"/>
          <w:rFonts w:ascii="Times New Roman" w:hAnsi="Times New Roman" w:cs="Times New Roman"/>
          <w:sz w:val="18"/>
          <w:szCs w:val="18"/>
        </w:rPr>
        <w:footnoteRef/>
      </w:r>
      <w:r w:rsidRPr="00270AB0">
        <w:rPr>
          <w:rFonts w:ascii="Times New Roman" w:hAnsi="Times New Roman" w:cs="Times New Roman"/>
          <w:sz w:val="18"/>
          <w:szCs w:val="18"/>
        </w:rPr>
        <w:t xml:space="preserve"> Swimming pools will not be regulated under RMP if they use</w:t>
      </w:r>
      <w:r w:rsidRPr="00270AB0" w:rsidR="00242FC4">
        <w:rPr>
          <w:rFonts w:ascii="Times New Roman" w:hAnsi="Times New Roman" w:cs="Times New Roman"/>
          <w:sz w:val="18"/>
          <w:szCs w:val="18"/>
        </w:rPr>
        <w:t xml:space="preserve"> or store</w:t>
      </w:r>
      <w:r w:rsidRPr="00270AB0">
        <w:rPr>
          <w:rFonts w:ascii="Times New Roman" w:hAnsi="Times New Roman" w:cs="Times New Roman"/>
          <w:sz w:val="18"/>
          <w:szCs w:val="18"/>
        </w:rPr>
        <w:t xml:space="preserve"> chlorine below the threshold amount of 2,500 lbs. There have been no RMP-reportable accidents from regulated swimming pools.</w:t>
      </w:r>
    </w:p>
  </w:footnote>
  <w:footnote w:id="26">
    <w:p w:rsidR="007E7E80" w:rsidRPr="000F1E74" w14:paraId="13A7BF7D" w14:textId="77777777">
      <w:pPr>
        <w:pStyle w:val="FootnoteText"/>
        <w:rPr>
          <w:rFonts w:ascii="Times New Roman" w:hAnsi="Times New Roman" w:cs="Times New Roman"/>
          <w:sz w:val="18"/>
          <w:szCs w:val="18"/>
        </w:rPr>
      </w:pPr>
      <w:r w:rsidRPr="000F1E74">
        <w:rPr>
          <w:rStyle w:val="FootnoteReference"/>
          <w:rFonts w:ascii="Times New Roman" w:hAnsi="Times New Roman" w:cs="Times New Roman"/>
          <w:sz w:val="18"/>
          <w:szCs w:val="18"/>
        </w:rPr>
        <w:footnoteRef/>
      </w:r>
      <w:r w:rsidRPr="000F1E74" w:rsidR="00B80449">
        <w:rPr>
          <w:rFonts w:ascii="Times New Roman" w:hAnsi="Times New Roman" w:cs="Times New Roman"/>
          <w:sz w:val="18"/>
          <w:szCs w:val="18"/>
        </w:rPr>
        <w:t xml:space="preserve"> More detail on the RMP database, including access to the RMP database is available at </w:t>
      </w:r>
      <w:hyperlink r:id="rId5" w:history="1">
        <w:r w:rsidRPr="000F1E74" w:rsidR="00E15F56">
          <w:rPr>
            <w:rStyle w:val="Hyperlink"/>
            <w:rFonts w:ascii="Times New Roman" w:hAnsi="Times New Roman" w:cs="Times New Roman"/>
            <w:sz w:val="18"/>
            <w:szCs w:val="18"/>
          </w:rPr>
          <w:t>https://www.epa.gov/rmp/accessing-rmp-data</w:t>
        </w:r>
      </w:hyperlink>
      <w:r w:rsidRPr="000F1E74" w:rsidR="00B80449">
        <w:rPr>
          <w:rFonts w:ascii="Times New Roman" w:hAnsi="Times New Roman" w:cs="Times New Roman"/>
          <w:sz w:val="18"/>
          <w:szCs w:val="18"/>
        </w:rPr>
        <w:t>.</w:t>
      </w:r>
    </w:p>
  </w:footnote>
  <w:footnote w:id="27">
    <w:p w:rsidR="00093C0A" w:rsidRPr="003B3BBF" w:rsidP="003B3BBF" w14:paraId="2569D542" w14:textId="77777777">
      <w:pPr>
        <w:pStyle w:val="TOC2"/>
      </w:pPr>
      <w:r w:rsidRPr="003B3BBF">
        <w:rPr>
          <w:rStyle w:val="FootnoteReference"/>
        </w:rPr>
        <w:footnoteRef/>
      </w:r>
      <w:r w:rsidRPr="003B3BBF" w:rsidR="00215DB4">
        <w:rPr>
          <w:shd w:val="clear" w:color="auto" w:fill="FFFFFF" w:themeFill="background1"/>
        </w:rPr>
        <w:t xml:space="preserve"> See Section 1.1 History, for an explanation.</w:t>
      </w:r>
    </w:p>
  </w:footnote>
  <w:footnote w:id="28">
    <w:p w:rsidR="00093C0A" w:rsidRPr="008C741E" w:rsidP="00E15F56" w14:paraId="68271D51" w14:textId="77777777">
      <w:pPr>
        <w:spacing w:after="0" w:line="240" w:lineRule="auto"/>
        <w:rPr>
          <w:rFonts w:ascii="Times New Roman" w:hAnsi="Times New Roman" w:cs="Times New Roman"/>
          <w:sz w:val="18"/>
          <w:szCs w:val="18"/>
        </w:rPr>
      </w:pPr>
      <w:r w:rsidRPr="000F1E74">
        <w:rPr>
          <w:rStyle w:val="FootnoteReference"/>
          <w:rFonts w:ascii="Times New Roman" w:hAnsi="Times New Roman" w:cs="Times New Roman"/>
          <w:sz w:val="18"/>
          <w:szCs w:val="18"/>
        </w:rPr>
        <w:footnoteRef/>
      </w:r>
      <w:r w:rsidRPr="000F1E74" w:rsidR="00CE406E">
        <w:rPr>
          <w:rFonts w:ascii="Times New Roman" w:hAnsi="Times New Roman" w:cs="Times New Roman"/>
          <w:sz w:val="18"/>
          <w:szCs w:val="18"/>
        </w:rPr>
        <w:t xml:space="preserve"> </w:t>
      </w:r>
      <w:r w:rsidRPr="000F1E74" w:rsidR="00075777">
        <w:rPr>
          <w:rFonts w:ascii="Times New Roman" w:hAnsi="Times New Roman" w:cs="Times New Roman"/>
          <w:bCs/>
          <w:sz w:val="18"/>
          <w:szCs w:val="18"/>
          <w:shd w:val="clear" w:color="auto" w:fill="FFFFFF" w:themeFill="background1"/>
        </w:rPr>
        <w:t>Some</w:t>
      </w:r>
      <w:r w:rsidRPr="000F1E74" w:rsidR="00075777">
        <w:rPr>
          <w:rFonts w:ascii="Times New Roman" w:hAnsi="Times New Roman" w:cs="Times New Roman"/>
          <w:sz w:val="18"/>
          <w:szCs w:val="18"/>
          <w:shd w:val="clear" w:color="auto" w:fill="FFFFFF" w:themeFill="background1"/>
        </w:rPr>
        <w:t xml:space="preserve"> facilities</w:t>
      </w:r>
      <w:r w:rsidRPr="000F1E74" w:rsidR="00F07416">
        <w:rPr>
          <w:rFonts w:ascii="Times New Roman" w:hAnsi="Times New Roman" w:cs="Times New Roman"/>
          <w:sz w:val="18"/>
          <w:szCs w:val="18"/>
          <w:shd w:val="clear" w:color="auto" w:fill="FFFFFF" w:themeFill="background1"/>
        </w:rPr>
        <w:t xml:space="preserve"> </w:t>
      </w:r>
      <w:r w:rsidRPr="000F1E74" w:rsidR="0003471A">
        <w:rPr>
          <w:rFonts w:ascii="Times New Roman" w:hAnsi="Times New Roman" w:cs="Times New Roman"/>
          <w:sz w:val="18"/>
          <w:szCs w:val="18"/>
          <w:shd w:val="clear" w:color="auto" w:fill="FFFFFF" w:themeFill="background1"/>
        </w:rPr>
        <w:t xml:space="preserve">that </w:t>
      </w:r>
      <w:r w:rsidRPr="000F1E74" w:rsidR="00075777">
        <w:rPr>
          <w:rFonts w:ascii="Times New Roman" w:hAnsi="Times New Roman" w:cs="Times New Roman"/>
          <w:sz w:val="18"/>
          <w:szCs w:val="18"/>
          <w:shd w:val="clear" w:color="auto" w:fill="FFFFFF" w:themeFill="background1"/>
        </w:rPr>
        <w:t xml:space="preserve">listed themselves as </w:t>
      </w:r>
      <w:r w:rsidRPr="000F1E74" w:rsidR="00AB34CF">
        <w:rPr>
          <w:rFonts w:ascii="Times New Roman" w:hAnsi="Times New Roman" w:cs="Times New Roman"/>
          <w:bCs/>
          <w:sz w:val="18"/>
          <w:szCs w:val="18"/>
          <w:shd w:val="clear" w:color="auto" w:fill="FFFFFF" w:themeFill="background1"/>
        </w:rPr>
        <w:t>Program 2</w:t>
      </w:r>
      <w:r w:rsidRPr="000F1E74" w:rsidR="00075777">
        <w:rPr>
          <w:rFonts w:ascii="Times New Roman" w:hAnsi="Times New Roman" w:cs="Times New Roman"/>
          <w:sz w:val="18"/>
          <w:szCs w:val="18"/>
          <w:shd w:val="clear" w:color="auto" w:fill="FFFFFF" w:themeFill="background1"/>
        </w:rPr>
        <w:t xml:space="preserve"> have either selected the wrong </w:t>
      </w:r>
      <w:r w:rsidRPr="000F1E74" w:rsidR="00213B4B">
        <w:rPr>
          <w:rFonts w:ascii="Times New Roman" w:hAnsi="Times New Roman" w:cs="Times New Roman"/>
          <w:sz w:val="18"/>
          <w:szCs w:val="18"/>
          <w:shd w:val="clear" w:color="auto" w:fill="FFFFFF" w:themeFill="background1"/>
        </w:rPr>
        <w:t>p</w:t>
      </w:r>
      <w:r w:rsidRPr="000F1E74" w:rsidR="00075777">
        <w:rPr>
          <w:rFonts w:ascii="Times New Roman" w:hAnsi="Times New Roman" w:cs="Times New Roman"/>
          <w:sz w:val="18"/>
          <w:szCs w:val="18"/>
          <w:shd w:val="clear" w:color="auto" w:fill="FFFFFF" w:themeFill="background1"/>
        </w:rPr>
        <w:t xml:space="preserve">rogram </w:t>
      </w:r>
      <w:r w:rsidRPr="000F1E74" w:rsidR="00213B4B">
        <w:rPr>
          <w:rFonts w:ascii="Times New Roman" w:hAnsi="Times New Roman" w:cs="Times New Roman"/>
          <w:sz w:val="18"/>
          <w:szCs w:val="18"/>
          <w:shd w:val="clear" w:color="auto" w:fill="FFFFFF" w:themeFill="background1"/>
        </w:rPr>
        <w:t>l</w:t>
      </w:r>
      <w:r w:rsidRPr="000F1E74" w:rsidR="00075777">
        <w:rPr>
          <w:rFonts w:ascii="Times New Roman" w:hAnsi="Times New Roman" w:cs="Times New Roman"/>
          <w:sz w:val="18"/>
          <w:szCs w:val="18"/>
          <w:shd w:val="clear" w:color="auto" w:fill="FFFFFF" w:themeFill="background1"/>
        </w:rPr>
        <w:t xml:space="preserve">evel on </w:t>
      </w:r>
      <w:r w:rsidRPr="000F1E74" w:rsidR="00075777">
        <w:rPr>
          <w:rFonts w:ascii="Times New Roman" w:hAnsi="Times New Roman" w:cs="Times New Roman"/>
          <w:bCs/>
          <w:sz w:val="18"/>
          <w:szCs w:val="18"/>
          <w:shd w:val="clear" w:color="auto" w:fill="FFFFFF" w:themeFill="background1"/>
        </w:rPr>
        <w:t>the</w:t>
      </w:r>
      <w:r w:rsidRPr="000F1E74" w:rsidR="00C95A0D">
        <w:rPr>
          <w:rFonts w:ascii="Times New Roman" w:hAnsi="Times New Roman" w:cs="Times New Roman"/>
          <w:bCs/>
          <w:sz w:val="18"/>
          <w:szCs w:val="18"/>
          <w:shd w:val="clear" w:color="auto" w:fill="FFFFFF" w:themeFill="background1"/>
        </w:rPr>
        <w:t>ir</w:t>
      </w:r>
      <w:r w:rsidRPr="000F1E74" w:rsidR="00075777">
        <w:rPr>
          <w:rFonts w:ascii="Times New Roman" w:hAnsi="Times New Roman" w:cs="Times New Roman"/>
          <w:sz w:val="18"/>
          <w:szCs w:val="18"/>
          <w:shd w:val="clear" w:color="auto" w:fill="FFFFFF" w:themeFill="background1"/>
        </w:rPr>
        <w:t xml:space="preserve"> RMP submission or have incorrectly indicated that they are not subject to PSM, even though they handle OSHA PSM chemicals in quantities far above the OSHA threshold. Because of</w:t>
      </w:r>
      <w:r w:rsidRPr="000F1E74" w:rsidR="00F07416">
        <w:rPr>
          <w:rFonts w:ascii="Times New Roman" w:hAnsi="Times New Roman" w:cs="Times New Roman"/>
          <w:sz w:val="18"/>
          <w:szCs w:val="18"/>
          <w:shd w:val="clear" w:color="auto" w:fill="FFFFFF" w:themeFill="background1"/>
        </w:rPr>
        <w:t xml:space="preserve"> </w:t>
      </w:r>
      <w:r w:rsidRPr="000F1E74" w:rsidR="00075777">
        <w:rPr>
          <w:rFonts w:ascii="Times New Roman" w:hAnsi="Times New Roman" w:cs="Times New Roman"/>
          <w:sz w:val="18"/>
          <w:szCs w:val="18"/>
          <w:shd w:val="clear" w:color="auto" w:fill="FFFFFF" w:themeFill="background1"/>
        </w:rPr>
        <w:t xml:space="preserve">errors in the other direction among the public systems (i.e., facilities in States not subject to PSM that listed themselves as </w:t>
      </w:r>
      <w:r w:rsidRPr="000F1E74" w:rsidR="00845762">
        <w:rPr>
          <w:rFonts w:ascii="Times New Roman" w:hAnsi="Times New Roman" w:cs="Times New Roman"/>
          <w:sz w:val="18"/>
          <w:szCs w:val="18"/>
          <w:shd w:val="clear" w:color="auto" w:fill="FFFFFF" w:themeFill="background1"/>
        </w:rPr>
        <w:t>Program 3</w:t>
      </w:r>
      <w:r w:rsidRPr="000F1E74" w:rsidR="00075777">
        <w:rPr>
          <w:rFonts w:ascii="Times New Roman" w:hAnsi="Times New Roman" w:cs="Times New Roman"/>
          <w:sz w:val="18"/>
          <w:szCs w:val="18"/>
          <w:shd w:val="clear" w:color="auto" w:fill="FFFFFF" w:themeFill="background1"/>
        </w:rPr>
        <w:t>), the analysis did not attempt to correct the errors.</w:t>
      </w:r>
      <w:r w:rsidRPr="008C741E" w:rsidR="00075777">
        <w:rPr>
          <w:rFonts w:ascii="Times New Roman" w:hAnsi="Times New Roman" w:cs="Times New Roman"/>
          <w:sz w:val="18"/>
          <w:szCs w:val="18"/>
          <w:shd w:val="clear" w:color="auto" w:fill="FAF9F8"/>
        </w:rPr>
        <w:t xml:space="preserve"> </w:t>
      </w:r>
      <w:r w:rsidRPr="008C741E" w:rsidR="00075777">
        <w:rPr>
          <w:rFonts w:ascii="Times New Roman" w:hAnsi="Times New Roman" w:cs="Times New Roman"/>
          <w:sz w:val="18"/>
          <w:szCs w:val="18"/>
        </w:rPr>
        <w:t xml:space="preserve"> </w:t>
      </w:r>
    </w:p>
  </w:footnote>
  <w:footnote w:id="29">
    <w:p w:rsidR="00093C0A" w:rsidRPr="008C741E" w:rsidP="00E15F56" w14:paraId="3F9C8C2F" w14:textId="77777777">
      <w:pPr>
        <w:spacing w:after="0" w:line="240" w:lineRule="auto"/>
        <w:rPr>
          <w:rFonts w:ascii="Times New Roman" w:hAnsi="Times New Roman" w:cs="Times New Roman"/>
          <w:sz w:val="18"/>
          <w:szCs w:val="18"/>
        </w:rPr>
      </w:pPr>
      <w:r w:rsidRPr="008C741E">
        <w:rPr>
          <w:rStyle w:val="FootnoteReference"/>
          <w:rFonts w:ascii="Times New Roman" w:hAnsi="Times New Roman" w:cs="Times New Roman"/>
          <w:sz w:val="18"/>
          <w:szCs w:val="18"/>
        </w:rPr>
        <w:footnoteRef/>
      </w:r>
      <w:r w:rsidRPr="008C741E">
        <w:rPr>
          <w:rFonts w:ascii="Times New Roman" w:hAnsi="Times New Roman" w:cs="Times New Roman"/>
          <w:sz w:val="18"/>
          <w:szCs w:val="18"/>
        </w:rPr>
        <w:t xml:space="preserve"> August 2021 RMP Database.</w:t>
      </w:r>
    </w:p>
  </w:footnote>
  <w:footnote w:id="30">
    <w:p w:rsidR="00CA2DE0" w:rsidRPr="008C741E" w:rsidP="00E15F56" w14:paraId="73BAC628" w14:textId="77777777">
      <w:pPr>
        <w:pStyle w:val="FootnoteText"/>
        <w:rPr>
          <w:rFonts w:ascii="Times New Roman" w:hAnsi="Times New Roman" w:cs="Times New Roman"/>
          <w:sz w:val="18"/>
          <w:szCs w:val="18"/>
        </w:rPr>
      </w:pPr>
      <w:r w:rsidRPr="008C741E">
        <w:rPr>
          <w:rStyle w:val="FootnoteReference"/>
          <w:rFonts w:ascii="Times New Roman" w:hAnsi="Times New Roman" w:cs="Times New Roman"/>
          <w:sz w:val="18"/>
          <w:szCs w:val="18"/>
        </w:rPr>
        <w:footnoteRef/>
      </w:r>
      <w:r w:rsidRPr="008C741E">
        <w:rPr>
          <w:rFonts w:ascii="Times New Roman" w:hAnsi="Times New Roman" w:cs="Times New Roman"/>
          <w:sz w:val="18"/>
          <w:szCs w:val="18"/>
        </w:rPr>
        <w:t xml:space="preserve"> </w:t>
      </w:r>
      <w:r w:rsidRPr="008C741E" w:rsidR="00D37D17">
        <w:rPr>
          <w:rFonts w:ascii="Times New Roman" w:hAnsi="Times New Roman" w:cs="Times New Roman"/>
          <w:sz w:val="18"/>
          <w:szCs w:val="18"/>
        </w:rPr>
        <w:t xml:space="preserve">Cal. Code Regs. tit. 8, § 5189.1(l), </w:t>
      </w:r>
      <w:r w:rsidRPr="008C741E" w:rsidR="001C0B4A">
        <w:rPr>
          <w:rFonts w:ascii="Times New Roman" w:hAnsi="Times New Roman" w:cs="Times New Roman"/>
          <w:sz w:val="18"/>
          <w:szCs w:val="18"/>
        </w:rPr>
        <w:t>P</w:t>
      </w:r>
      <w:r w:rsidRPr="008C741E" w:rsidR="00D37D17">
        <w:rPr>
          <w:rFonts w:ascii="Times New Roman" w:hAnsi="Times New Roman" w:cs="Times New Roman"/>
          <w:sz w:val="18"/>
          <w:szCs w:val="18"/>
        </w:rPr>
        <w:t>rocess Safety Management for Petroleum Refineries, Hierarchy of Hazard Controls Analysis.</w:t>
      </w:r>
    </w:p>
  </w:footnote>
  <w:footnote w:id="31">
    <w:p w:rsidR="00511171" w:rsidRPr="000A6F7B" w14:paraId="5F50D9A0" w14:textId="77777777">
      <w:pPr>
        <w:pStyle w:val="FootnoteText"/>
        <w:rPr>
          <w:rFonts w:ascii="Times New Roman" w:hAnsi="Times New Roman" w:cs="Times New Roman"/>
          <w:sz w:val="18"/>
          <w:szCs w:val="18"/>
        </w:rPr>
      </w:pPr>
      <w:r w:rsidRPr="000A6F7B">
        <w:rPr>
          <w:rStyle w:val="FootnoteReference"/>
          <w:rFonts w:ascii="Times New Roman" w:hAnsi="Times New Roman" w:cs="Times New Roman"/>
          <w:sz w:val="18"/>
          <w:szCs w:val="18"/>
        </w:rPr>
        <w:footnoteRef/>
      </w:r>
      <w:r w:rsidRPr="000A6F7B">
        <w:rPr>
          <w:rFonts w:ascii="Times New Roman" w:hAnsi="Times New Roman" w:cs="Times New Roman"/>
          <w:sz w:val="18"/>
          <w:szCs w:val="18"/>
        </w:rPr>
        <w:t xml:space="preserve"> </w:t>
      </w:r>
      <w:r w:rsidRPr="000A6F7B" w:rsidR="0089340B">
        <w:rPr>
          <w:rFonts w:ascii="Times New Roman" w:hAnsi="Times New Roman" w:cs="Times New Roman"/>
          <w:sz w:val="18"/>
          <w:szCs w:val="18"/>
        </w:rPr>
        <w:t>The RMP program requires facilities to report accidents that have certain impacts</w:t>
      </w:r>
      <w:r w:rsidRPr="000A6F7B">
        <w:rPr>
          <w:rFonts w:ascii="Times New Roman" w:hAnsi="Times New Roman" w:cs="Times New Roman"/>
          <w:sz w:val="18"/>
          <w:szCs w:val="18"/>
        </w:rPr>
        <w:t xml:space="preserve"> </w:t>
      </w:r>
      <w:r w:rsidRPr="000A6F7B" w:rsidR="00642FA8">
        <w:rPr>
          <w:rFonts w:ascii="Times New Roman" w:hAnsi="Times New Roman" w:cs="Times New Roman"/>
          <w:sz w:val="18"/>
          <w:szCs w:val="18"/>
        </w:rPr>
        <w:t xml:space="preserve">such as fatalities, injuries, evacuations, </w:t>
      </w:r>
      <w:r w:rsidRPr="000A6F7B" w:rsidR="00794F57">
        <w:rPr>
          <w:rFonts w:ascii="Times New Roman" w:hAnsi="Times New Roman" w:cs="Times New Roman"/>
          <w:sz w:val="18"/>
          <w:szCs w:val="18"/>
        </w:rPr>
        <w:t>property damage and so on</w:t>
      </w:r>
      <w:r w:rsidRPr="000A6F7B" w:rsidR="0048780F">
        <w:rPr>
          <w:rFonts w:ascii="Times New Roman" w:hAnsi="Times New Roman" w:cs="Times New Roman"/>
          <w:sz w:val="18"/>
          <w:szCs w:val="18"/>
        </w:rPr>
        <w:t xml:space="preserve"> – </w:t>
      </w:r>
      <w:r w:rsidR="00A10D27">
        <w:rPr>
          <w:rFonts w:ascii="Times New Roman" w:hAnsi="Times New Roman" w:cs="Times New Roman"/>
          <w:sz w:val="18"/>
          <w:szCs w:val="18"/>
        </w:rPr>
        <w:t xml:space="preserve">these are labeled </w:t>
      </w:r>
      <w:r w:rsidRPr="000A6F7B" w:rsidR="0048780F">
        <w:rPr>
          <w:rFonts w:ascii="Times New Roman" w:hAnsi="Times New Roman" w:cs="Times New Roman"/>
          <w:sz w:val="18"/>
          <w:szCs w:val="18"/>
        </w:rPr>
        <w:t>RMP-reportable accidents</w:t>
      </w:r>
      <w:r w:rsidRPr="000A6F7B" w:rsidR="00794F57">
        <w:rPr>
          <w:rFonts w:ascii="Times New Roman" w:hAnsi="Times New Roman" w:cs="Times New Roman"/>
          <w:sz w:val="18"/>
          <w:szCs w:val="18"/>
        </w:rPr>
        <w:t xml:space="preserve">. </w:t>
      </w:r>
      <w:r w:rsidRPr="000A6F7B" w:rsidR="00682007">
        <w:rPr>
          <w:rFonts w:ascii="Times New Roman" w:hAnsi="Times New Roman" w:cs="Times New Roman"/>
          <w:sz w:val="18"/>
          <w:szCs w:val="18"/>
        </w:rPr>
        <w:t xml:space="preserve">Facilities sometimes report accidents with no </w:t>
      </w:r>
      <w:r w:rsidR="00C44AEC">
        <w:rPr>
          <w:rFonts w:ascii="Times New Roman" w:hAnsi="Times New Roman" w:cs="Times New Roman"/>
          <w:sz w:val="18"/>
          <w:szCs w:val="18"/>
        </w:rPr>
        <w:t>RMP-</w:t>
      </w:r>
      <w:r w:rsidRPr="000A6F7B" w:rsidR="00682007">
        <w:rPr>
          <w:rFonts w:ascii="Times New Roman" w:hAnsi="Times New Roman" w:cs="Times New Roman"/>
          <w:sz w:val="18"/>
          <w:szCs w:val="18"/>
        </w:rPr>
        <w:t>reportable impacts</w:t>
      </w:r>
      <w:r w:rsidR="00A10D27">
        <w:rPr>
          <w:rFonts w:ascii="Times New Roman" w:hAnsi="Times New Roman" w:cs="Times New Roman"/>
          <w:sz w:val="18"/>
          <w:szCs w:val="18"/>
        </w:rPr>
        <w:t>, which are labeled</w:t>
      </w:r>
      <w:r w:rsidRPr="000A6F7B" w:rsidR="0048780F">
        <w:rPr>
          <w:rFonts w:ascii="Times New Roman" w:hAnsi="Times New Roman" w:cs="Times New Roman"/>
          <w:sz w:val="18"/>
          <w:szCs w:val="18"/>
        </w:rPr>
        <w:t xml:space="preserve"> nonreportable accidents</w:t>
      </w:r>
      <w:r w:rsidRPr="000A6F7B" w:rsidR="001E1FDE">
        <w:rPr>
          <w:rFonts w:ascii="Times New Roman" w:hAnsi="Times New Roman" w:cs="Times New Roman"/>
          <w:sz w:val="18"/>
          <w:szCs w:val="18"/>
        </w:rPr>
        <w:t>.</w:t>
      </w:r>
      <w:r w:rsidRPr="000A6F7B" w:rsidR="001F6169">
        <w:rPr>
          <w:rFonts w:ascii="Times New Roman" w:hAnsi="Times New Roman" w:cs="Times New Roman"/>
          <w:sz w:val="18"/>
          <w:szCs w:val="18"/>
        </w:rPr>
        <w:t xml:space="preserve"> EPA has dropped the </w:t>
      </w:r>
      <w:r w:rsidRPr="000A6F7B" w:rsidR="00BD79D0">
        <w:rPr>
          <w:rFonts w:ascii="Times New Roman" w:hAnsi="Times New Roman" w:cs="Times New Roman"/>
          <w:sz w:val="18"/>
          <w:szCs w:val="18"/>
        </w:rPr>
        <w:t xml:space="preserve">nonreportable accidents </w:t>
      </w:r>
      <w:r w:rsidRPr="000A6F7B" w:rsidR="001F6169">
        <w:rPr>
          <w:rFonts w:ascii="Times New Roman" w:hAnsi="Times New Roman" w:cs="Times New Roman"/>
          <w:sz w:val="18"/>
          <w:szCs w:val="18"/>
        </w:rPr>
        <w:t xml:space="preserve">from the </w:t>
      </w:r>
      <w:r w:rsidRPr="000A6F7B" w:rsidR="003445C2">
        <w:rPr>
          <w:rFonts w:ascii="Times New Roman" w:hAnsi="Times New Roman" w:cs="Times New Roman"/>
          <w:sz w:val="18"/>
          <w:szCs w:val="18"/>
        </w:rPr>
        <w:t xml:space="preserve">analysis. </w:t>
      </w:r>
    </w:p>
  </w:footnote>
  <w:footnote w:id="32">
    <w:p w:rsidR="00C57989" w:rsidRPr="003A3A84" w:rsidP="00C57989" w14:paraId="3BB9BAF3"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The accidents included those that occurred at facilities that may have subsequently deregistered from the RMP Program. As such, some accidents analyzed may have occurred at facilities no longer subject to the RMP rule. Offsetting th</w:t>
      </w:r>
      <w:r w:rsidRPr="003A3A84" w:rsidR="00996231">
        <w:rPr>
          <w:rFonts w:ascii="Times New Roman" w:hAnsi="Times New Roman" w:cs="Times New Roman"/>
          <w:sz w:val="18"/>
          <w:szCs w:val="18"/>
        </w:rPr>
        <w:t>ese</w:t>
      </w:r>
      <w:r w:rsidRPr="003A3A84">
        <w:rPr>
          <w:rFonts w:ascii="Times New Roman" w:hAnsi="Times New Roman" w:cs="Times New Roman"/>
          <w:sz w:val="18"/>
          <w:szCs w:val="18"/>
        </w:rPr>
        <w:t xml:space="preserve">, however, is the registration of new facilities </w:t>
      </w:r>
      <w:r w:rsidRPr="003A3A84" w:rsidR="00B456A1">
        <w:rPr>
          <w:rFonts w:ascii="Times New Roman" w:hAnsi="Times New Roman" w:cs="Times New Roman"/>
          <w:sz w:val="18"/>
          <w:szCs w:val="18"/>
        </w:rPr>
        <w:t>after</w:t>
      </w:r>
      <w:r w:rsidRPr="003A3A84">
        <w:rPr>
          <w:rFonts w:ascii="Times New Roman" w:hAnsi="Times New Roman" w:cs="Times New Roman"/>
          <w:sz w:val="18"/>
          <w:szCs w:val="18"/>
        </w:rPr>
        <w:t xml:space="preserve"> 2020.</w:t>
      </w:r>
    </w:p>
  </w:footnote>
  <w:footnote w:id="33">
    <w:p w:rsidR="00C57989" w:rsidRPr="008C741E" w:rsidP="00C57989" w14:paraId="5F45BE5D"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w:t>
      </w:r>
      <w:r w:rsidRPr="003A3A84" w:rsidR="00B73E23">
        <w:rPr>
          <w:rFonts w:ascii="Times New Roman" w:hAnsi="Times New Roman" w:cs="Times New Roman"/>
          <w:sz w:val="18"/>
          <w:szCs w:val="18"/>
        </w:rPr>
        <w:t>For a description of damages from this case see</w:t>
      </w:r>
      <w:r w:rsidRPr="003A3A84">
        <w:rPr>
          <w:rFonts w:ascii="Times New Roman" w:hAnsi="Times New Roman" w:cs="Times New Roman"/>
          <w:sz w:val="18"/>
          <w:szCs w:val="18"/>
        </w:rPr>
        <w:t xml:space="preserve"> </w:t>
      </w:r>
      <w:r w:rsidRPr="003A3A84" w:rsidR="00190AB4">
        <w:rPr>
          <w:rFonts w:ascii="Times New Roman" w:hAnsi="Times New Roman" w:cs="Times New Roman"/>
          <w:sz w:val="18"/>
          <w:szCs w:val="18"/>
        </w:rPr>
        <w:t xml:space="preserve">Section </w:t>
      </w:r>
      <w:r w:rsidRPr="000A6E63" w:rsidR="0084563D">
        <w:rPr>
          <w:rFonts w:ascii="Times New Roman" w:hAnsi="Times New Roman" w:cs="Times New Roman"/>
          <w:sz w:val="18"/>
          <w:szCs w:val="18"/>
        </w:rPr>
        <w:t>3.</w:t>
      </w:r>
      <w:r w:rsidR="003A431E">
        <w:rPr>
          <w:rFonts w:ascii="Times New Roman" w:hAnsi="Times New Roman" w:cs="Times New Roman"/>
          <w:sz w:val="18"/>
          <w:szCs w:val="18"/>
        </w:rPr>
        <w:t>2.1</w:t>
      </w:r>
      <w:r w:rsidRPr="003A3A84" w:rsidR="00190AB4">
        <w:rPr>
          <w:rFonts w:ascii="Times New Roman" w:hAnsi="Times New Roman" w:cs="Times New Roman"/>
          <w:sz w:val="18"/>
          <w:szCs w:val="18"/>
        </w:rPr>
        <w:t xml:space="preserve">  </w:t>
      </w:r>
      <w:r w:rsidRPr="003A3A84">
        <w:rPr>
          <w:rFonts w:ascii="Times New Roman" w:hAnsi="Times New Roman" w:cs="Times New Roman"/>
          <w:sz w:val="18"/>
          <w:szCs w:val="18"/>
        </w:rPr>
        <w:t xml:space="preserve">CSB Report, Fire and Explosions at Philadelphia Energy Solutions Refinery Hydrofluoric Acid Alkylation Unit, Factual Update, October 16, 2019, </w:t>
      </w:r>
      <w:hyperlink r:id="rId6" w:history="1">
        <w:r w:rsidRPr="003A3A84">
          <w:rPr>
            <w:rStyle w:val="Hyperlink"/>
            <w:rFonts w:ascii="Times New Roman" w:hAnsi="Times New Roman" w:cs="Times New Roman"/>
            <w:sz w:val="18"/>
            <w:szCs w:val="18"/>
          </w:rPr>
          <w:t>https://www.phila.gov/media/20191204161826/US-CSB-PES-Factual-Update.pdf</w:t>
        </w:r>
      </w:hyperlink>
      <w:r w:rsidRPr="003A3A84">
        <w:rPr>
          <w:rFonts w:ascii="Times New Roman" w:hAnsi="Times New Roman" w:cs="Times New Roman"/>
          <w:sz w:val="18"/>
          <w:szCs w:val="18"/>
        </w:rPr>
        <w:t>.</w:t>
      </w:r>
      <w:r w:rsidRPr="008C741E">
        <w:rPr>
          <w:rFonts w:ascii="Times New Roman" w:hAnsi="Times New Roman" w:cs="Times New Roman"/>
          <w:sz w:val="18"/>
          <w:szCs w:val="18"/>
        </w:rPr>
        <w:t xml:space="preserve"> </w:t>
      </w:r>
    </w:p>
  </w:footnote>
  <w:footnote w:id="34">
    <w:p w:rsidR="007F7DDC" w:rsidRPr="00504CAF" w:rsidP="007F7DDC" w14:paraId="11A4D792" w14:textId="77777777">
      <w:pPr>
        <w:pStyle w:val="FootnoteText"/>
        <w:rPr>
          <w:rFonts w:ascii="Times New Roman" w:hAnsi="Times New Roman" w:cs="Times New Roman"/>
          <w:sz w:val="18"/>
          <w:szCs w:val="18"/>
        </w:rPr>
      </w:pPr>
      <w:r w:rsidRPr="00504CAF">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CSB 2022a. Fire and Explosions at Philadelphia Energy Solutions Refinery Hydrofluoric Acide Alkylation Unit. Investigation Report. 2022. October 11. </w:t>
      </w:r>
      <w:hyperlink r:id="rId7" w:history="1">
        <w:r w:rsidRPr="008530DF" w:rsidR="007D06CC">
          <w:rPr>
            <w:rStyle w:val="Hyperlink"/>
            <w:rFonts w:ascii="Times New Roman" w:hAnsi="Times New Roman" w:cs="Times New Roman"/>
            <w:sz w:val="18"/>
            <w:szCs w:val="18"/>
          </w:rPr>
          <w:t>https://www.csb.gov/philadelphia-energy-solutions-pes-refinery-fire-and-explosions-/</w:t>
        </w:r>
      </w:hyperlink>
      <w:r w:rsidR="007D06CC">
        <w:rPr>
          <w:rFonts w:ascii="Times New Roman" w:hAnsi="Times New Roman" w:cs="Times New Roman"/>
          <w:sz w:val="18"/>
          <w:szCs w:val="18"/>
        </w:rPr>
        <w:t xml:space="preserve"> </w:t>
      </w:r>
    </w:p>
  </w:footnote>
  <w:footnote w:id="35">
    <w:p w:rsidR="007F7DDC" w:rsidRPr="00504CAF" w:rsidP="007F7DDC" w14:paraId="7BEEB116" w14:textId="77777777">
      <w:pPr>
        <w:pStyle w:val="FootnoteText"/>
        <w:rPr>
          <w:rFonts w:ascii="Times New Roman" w:hAnsi="Times New Roman" w:cs="Times New Roman"/>
          <w:sz w:val="18"/>
          <w:szCs w:val="18"/>
        </w:rPr>
      </w:pPr>
      <w:r w:rsidRPr="00504CAF">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Ibid.</w:t>
      </w:r>
    </w:p>
  </w:footnote>
  <w:footnote w:id="36">
    <w:p w:rsidR="007F7DDC" w:rsidRPr="00504CAF" w:rsidP="007F7DDC" w14:paraId="0F0C89EA" w14:textId="77777777">
      <w:pPr>
        <w:pStyle w:val="FootnoteText"/>
        <w:rPr>
          <w:rFonts w:ascii="Times New Roman" w:hAnsi="Times New Roman" w:cs="Times New Roman"/>
          <w:sz w:val="18"/>
          <w:szCs w:val="18"/>
        </w:rPr>
      </w:pPr>
      <w:r w:rsidRPr="00504CAF">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Maykuth, Andrew. 2020. “Refinery to reimburse city $1.8 million – Philadelphia Energy Solutions says it will repay the costs of emergency response to a fire and explosion that led to its closure.” </w:t>
      </w:r>
      <w:r w:rsidRPr="00504CAF">
        <w:rPr>
          <w:rFonts w:ascii="Times New Roman" w:hAnsi="Times New Roman" w:cs="Times New Roman"/>
          <w:i/>
          <w:iCs/>
          <w:sz w:val="18"/>
          <w:szCs w:val="18"/>
        </w:rPr>
        <w:t>Philadelphia Inquirer</w:t>
      </w:r>
      <w:r w:rsidRPr="00504CAF">
        <w:rPr>
          <w:rFonts w:ascii="Times New Roman" w:hAnsi="Times New Roman" w:cs="Times New Roman"/>
          <w:sz w:val="18"/>
          <w:szCs w:val="18"/>
        </w:rPr>
        <w:t>. April 18.</w:t>
      </w:r>
    </w:p>
  </w:footnote>
  <w:footnote w:id="37">
    <w:p w:rsidR="007F7DDC" w:rsidP="007F7DDC" w14:paraId="6F137F4A" w14:textId="77777777">
      <w:pPr>
        <w:pStyle w:val="FootnoteText"/>
      </w:pPr>
      <w:r w:rsidRPr="00504CAF">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CSB. 2022a.</w:t>
      </w:r>
    </w:p>
  </w:footnote>
  <w:footnote w:id="38">
    <w:p w:rsidR="007F7DDC" w:rsidRPr="00504CAF" w:rsidP="007F7DDC" w14:paraId="5A073D4E" w14:textId="77777777">
      <w:pPr>
        <w:pStyle w:val="FootnoteText"/>
        <w:rPr>
          <w:rFonts w:ascii="Times New Roman" w:hAnsi="Times New Roman" w:cs="Times New Roman"/>
          <w:sz w:val="18"/>
          <w:szCs w:val="18"/>
        </w:rPr>
      </w:pPr>
      <w:r w:rsidRPr="00FD56CA">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CSB. 2022a.</w:t>
      </w:r>
    </w:p>
  </w:footnote>
  <w:footnote w:id="39">
    <w:p w:rsidR="007F7DDC" w:rsidRPr="00504CAF" w:rsidP="007F7DDC" w14:paraId="62C7CA40" w14:textId="77777777">
      <w:pPr>
        <w:pStyle w:val="FootnoteText"/>
        <w:rPr>
          <w:rFonts w:ascii="Times New Roman" w:hAnsi="Times New Roman" w:cs="Times New Roman"/>
          <w:sz w:val="18"/>
          <w:szCs w:val="18"/>
        </w:rPr>
      </w:pPr>
      <w:r w:rsidRPr="00504CAF">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Miller, Jeanette and Sylvia Bennett. 2022. “3 years after refinery fire, we’re still worried – Residents remain concerned about benzene emissions as redevelopment continues at the site.” </w:t>
      </w:r>
      <w:r w:rsidRPr="00504CAF">
        <w:rPr>
          <w:rFonts w:ascii="Times New Roman" w:hAnsi="Times New Roman" w:cs="Times New Roman"/>
          <w:i/>
          <w:iCs/>
          <w:sz w:val="18"/>
          <w:szCs w:val="18"/>
        </w:rPr>
        <w:t>Philadelphia Inquirer</w:t>
      </w:r>
      <w:r w:rsidRPr="00504CAF">
        <w:rPr>
          <w:rFonts w:ascii="Times New Roman" w:hAnsi="Times New Roman" w:cs="Times New Roman"/>
          <w:sz w:val="18"/>
          <w:szCs w:val="18"/>
        </w:rPr>
        <w:t>. June 21.</w:t>
      </w:r>
    </w:p>
  </w:footnote>
  <w:footnote w:id="40">
    <w:p w:rsidR="007F7DDC" w:rsidRPr="00504CAF" w:rsidP="007F7DDC" w14:paraId="25A6EF30" w14:textId="77777777">
      <w:pPr>
        <w:pStyle w:val="FootnoteText"/>
        <w:rPr>
          <w:rFonts w:ascii="Times New Roman" w:hAnsi="Times New Roman" w:cs="Times New Roman"/>
          <w:sz w:val="18"/>
          <w:szCs w:val="18"/>
        </w:rPr>
      </w:pPr>
      <w:r w:rsidRPr="00504CAF">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CSB. 2022a.</w:t>
      </w:r>
    </w:p>
  </w:footnote>
  <w:footnote w:id="41">
    <w:p w:rsidR="007F7DDC" w:rsidRPr="00504CAF" w:rsidP="007F7DDC" w14:paraId="1032DA89" w14:textId="77777777">
      <w:pPr>
        <w:pStyle w:val="FootnoteText"/>
        <w:rPr>
          <w:rFonts w:ascii="Times New Roman" w:hAnsi="Times New Roman" w:cs="Times New Roman"/>
          <w:sz w:val="18"/>
          <w:szCs w:val="18"/>
        </w:rPr>
      </w:pPr>
      <w:r w:rsidRPr="00504CAF">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Maykuth, Andrew. 2020.</w:t>
      </w:r>
    </w:p>
  </w:footnote>
  <w:footnote w:id="42">
    <w:p w:rsidR="007F7DDC" w:rsidRPr="00504CAF" w:rsidP="007F7DDC" w14:paraId="09F661EF" w14:textId="77777777">
      <w:pPr>
        <w:pStyle w:val="FootnoteText"/>
        <w:rPr>
          <w:rFonts w:ascii="Times New Roman" w:hAnsi="Times New Roman" w:cs="Times New Roman"/>
          <w:sz w:val="18"/>
          <w:szCs w:val="18"/>
          <w:lang w:val="es-ES"/>
        </w:rPr>
      </w:pPr>
      <w:r w:rsidRPr="00504CAF">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Sutton, Joe and Madeline Holcombe. 2019. “A fire at a Philadelphia oil refinery sparked an explosion felt for miles.” </w:t>
      </w:r>
      <w:r w:rsidRPr="00504CAF">
        <w:rPr>
          <w:rFonts w:ascii="Times New Roman" w:hAnsi="Times New Roman" w:cs="Times New Roman"/>
          <w:i/>
          <w:sz w:val="18"/>
          <w:szCs w:val="18"/>
          <w:lang w:val="es-ES"/>
        </w:rPr>
        <w:t>CNN</w:t>
      </w:r>
      <w:r w:rsidRPr="00504CAF">
        <w:rPr>
          <w:rFonts w:ascii="Times New Roman" w:hAnsi="Times New Roman" w:cs="Times New Roman"/>
          <w:sz w:val="18"/>
          <w:szCs w:val="18"/>
          <w:lang w:val="es-ES"/>
        </w:rPr>
        <w:t xml:space="preserve">. June 21. </w:t>
      </w:r>
      <w:hyperlink r:id="rId8" w:history="1">
        <w:r w:rsidRPr="008530DF" w:rsidR="007D06CC">
          <w:rPr>
            <w:rStyle w:val="Hyperlink"/>
            <w:rFonts w:ascii="Times New Roman" w:hAnsi="Times New Roman" w:cs="Times New Roman"/>
            <w:sz w:val="18"/>
            <w:szCs w:val="18"/>
            <w:lang w:val="es-ES"/>
          </w:rPr>
          <w:t>https://www.cnn.com/2019/06/21/us/philadelphia-refinery-fire/index.html</w:t>
        </w:r>
      </w:hyperlink>
      <w:r w:rsidR="007D06CC">
        <w:rPr>
          <w:rFonts w:ascii="Times New Roman" w:hAnsi="Times New Roman" w:cs="Times New Roman"/>
          <w:sz w:val="18"/>
          <w:szCs w:val="18"/>
          <w:lang w:val="es-ES"/>
        </w:rPr>
        <w:t xml:space="preserve">  </w:t>
      </w:r>
    </w:p>
  </w:footnote>
  <w:footnote w:id="43">
    <w:p w:rsidR="007F7DDC" w:rsidRPr="00504CAF" w:rsidP="007F7DDC" w14:paraId="4C17CF16" w14:textId="77777777">
      <w:pPr>
        <w:pStyle w:val="FootnoteText"/>
        <w:rPr>
          <w:rFonts w:ascii="Times New Roman" w:hAnsi="Times New Roman" w:cs="Times New Roman"/>
          <w:sz w:val="18"/>
          <w:szCs w:val="18"/>
        </w:rPr>
      </w:pPr>
      <w:r w:rsidRPr="00504CAF">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Ibid.</w:t>
      </w:r>
    </w:p>
  </w:footnote>
  <w:footnote w:id="44">
    <w:p w:rsidR="007F7DDC" w:rsidRPr="00504CAF" w:rsidP="007F7DDC" w14:paraId="487060D9" w14:textId="77777777">
      <w:pPr>
        <w:pStyle w:val="FootnoteText"/>
        <w:rPr>
          <w:rFonts w:ascii="Times New Roman" w:hAnsi="Times New Roman" w:cs="Times New Roman"/>
          <w:sz w:val="18"/>
          <w:szCs w:val="18"/>
        </w:rPr>
      </w:pPr>
      <w:r w:rsidRPr="00504CAF">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Ibid.</w:t>
      </w:r>
    </w:p>
  </w:footnote>
  <w:footnote w:id="45">
    <w:p w:rsidR="007F7DDC" w:rsidRPr="00504CAF" w:rsidP="007F7DDC" w14:paraId="1A404737" w14:textId="77777777">
      <w:pPr>
        <w:pStyle w:val="FootnoteText"/>
        <w:rPr>
          <w:rFonts w:ascii="Times New Roman" w:hAnsi="Times New Roman" w:cs="Times New Roman"/>
          <w:sz w:val="18"/>
          <w:szCs w:val="18"/>
        </w:rPr>
      </w:pPr>
      <w:r w:rsidRPr="00504CAF">
        <w:rPr>
          <w:rStyle w:val="FootnoteReference"/>
          <w:rFonts w:ascii="Times New Roman" w:hAnsi="Times New Roman" w:cs="Times New Roman"/>
          <w:sz w:val="18"/>
          <w:szCs w:val="18"/>
        </w:rPr>
        <w:footnoteRef/>
      </w:r>
      <w:r w:rsidRPr="00504CAF">
        <w:rPr>
          <w:rFonts w:ascii="Times New Roman" w:hAnsi="Times New Roman" w:cs="Times New Roman"/>
          <w:sz w:val="18"/>
          <w:szCs w:val="18"/>
        </w:rPr>
        <w:t xml:space="preserve"> McCoy, Craig R. and William Bender. 2019. “Despite explosions and fire, the city dodged a catastrophe.” </w:t>
      </w:r>
      <w:r w:rsidRPr="00504CAF">
        <w:rPr>
          <w:rFonts w:ascii="Times New Roman" w:hAnsi="Times New Roman" w:cs="Times New Roman"/>
          <w:i/>
          <w:iCs/>
          <w:sz w:val="18"/>
          <w:szCs w:val="18"/>
        </w:rPr>
        <w:t>Philadelphia Inquirer.</w:t>
      </w:r>
      <w:r w:rsidRPr="00504CAF">
        <w:rPr>
          <w:rFonts w:ascii="Times New Roman" w:hAnsi="Times New Roman" w:cs="Times New Roman"/>
          <w:sz w:val="18"/>
          <w:szCs w:val="18"/>
        </w:rPr>
        <w:t xml:space="preserve"> June 30.</w:t>
      </w:r>
    </w:p>
  </w:footnote>
  <w:footnote w:id="46">
    <w:p w:rsidR="007F7DDC" w:rsidRPr="00FD56CA" w:rsidP="007F7DDC" w14:paraId="2EF8CF6A" w14:textId="77777777">
      <w:pPr>
        <w:pStyle w:val="FootnoteText"/>
        <w:rPr>
          <w:rFonts w:ascii="Times New Roman" w:hAnsi="Times New Roman" w:cs="Times New Roman"/>
          <w:sz w:val="18"/>
          <w:szCs w:val="18"/>
        </w:rPr>
      </w:pPr>
      <w:r w:rsidRPr="00504CAF">
        <w:rPr>
          <w:rStyle w:val="FootnoteReference"/>
          <w:rFonts w:ascii="Times New Roman" w:hAnsi="Times New Roman" w:cs="Times New Roman"/>
          <w:sz w:val="18"/>
          <w:szCs w:val="18"/>
        </w:rPr>
        <w:footnoteRef/>
      </w:r>
      <w:r w:rsidRPr="00FD56CA">
        <w:rPr>
          <w:rFonts w:ascii="Times New Roman" w:hAnsi="Times New Roman" w:cs="Times New Roman"/>
          <w:sz w:val="18"/>
          <w:szCs w:val="18"/>
        </w:rPr>
        <w:t xml:space="preserve"> Marsh JLT Specialty, "100 Largest Losses in the Hydrocarbon Industry," 27th ed., March 2022.  </w:t>
      </w:r>
      <w:hyperlink r:id="rId9" w:history="1">
        <w:r w:rsidRPr="008530DF" w:rsidR="007D06CC">
          <w:rPr>
            <w:rStyle w:val="Hyperlink"/>
            <w:rFonts w:ascii="Times New Roman" w:hAnsi="Times New Roman" w:cs="Times New Roman"/>
            <w:sz w:val="18"/>
            <w:szCs w:val="18"/>
          </w:rPr>
          <w:t>https://www.marsh.com/us/industries/energy-and-power/insights/100-largest-losses/100-largest-losses-report-download.html</w:t>
        </w:r>
      </w:hyperlink>
      <w:r w:rsidR="007D06CC">
        <w:rPr>
          <w:rFonts w:ascii="Times New Roman" w:hAnsi="Times New Roman" w:cs="Times New Roman"/>
          <w:sz w:val="18"/>
          <w:szCs w:val="18"/>
        </w:rPr>
        <w:t xml:space="preserve"> </w:t>
      </w:r>
      <w:r w:rsidRPr="00FD56CA">
        <w:rPr>
          <w:rFonts w:ascii="Times New Roman" w:hAnsi="Times New Roman" w:cs="Times New Roman"/>
          <w:sz w:val="18"/>
          <w:szCs w:val="18"/>
        </w:rPr>
        <w:t xml:space="preserve">.  </w:t>
      </w:r>
    </w:p>
  </w:footnote>
  <w:footnote w:id="47">
    <w:p w:rsidR="007F7DDC" w:rsidP="007F7DDC" w14:paraId="1A39E575" w14:textId="77777777">
      <w:pPr>
        <w:pStyle w:val="FootnoteText"/>
      </w:pPr>
      <w:r w:rsidRPr="00FD56CA">
        <w:rPr>
          <w:rStyle w:val="FootnoteReference"/>
          <w:rFonts w:ascii="Times New Roman" w:hAnsi="Times New Roman" w:cs="Times New Roman"/>
          <w:sz w:val="18"/>
          <w:szCs w:val="18"/>
        </w:rPr>
        <w:footnoteRef/>
      </w:r>
      <w:r w:rsidRPr="00FD56CA">
        <w:rPr>
          <w:rFonts w:ascii="Times New Roman" w:hAnsi="Times New Roman" w:cs="Times New Roman"/>
          <w:sz w:val="18"/>
          <w:szCs w:val="18"/>
        </w:rPr>
        <w:t xml:space="preserve"> Maykuth, Andrew. 2019. “Safety Questioned – False gas reading at refinery fire cited by experts as a need for better protections.” </w:t>
      </w:r>
      <w:r w:rsidRPr="00FD56CA">
        <w:rPr>
          <w:rFonts w:ascii="Times New Roman" w:hAnsi="Times New Roman" w:cs="Times New Roman"/>
          <w:i/>
          <w:iCs/>
          <w:sz w:val="18"/>
          <w:szCs w:val="18"/>
        </w:rPr>
        <w:t>Philadelphia Inquirer</w:t>
      </w:r>
      <w:r w:rsidRPr="00FD56CA">
        <w:rPr>
          <w:rFonts w:ascii="Times New Roman" w:hAnsi="Times New Roman" w:cs="Times New Roman"/>
          <w:sz w:val="18"/>
          <w:szCs w:val="18"/>
        </w:rPr>
        <w:t>. July 25.</w:t>
      </w:r>
    </w:p>
  </w:footnote>
  <w:footnote w:id="48">
    <w:p w:rsidR="007F7DDC" w:rsidRPr="00AF5D27" w:rsidP="007F7DDC" w14:paraId="3A248C13" w14:textId="77777777">
      <w:pPr>
        <w:pStyle w:val="FootnoteText"/>
        <w:rPr>
          <w:rFonts w:ascii="Times New Roman" w:hAnsi="Times New Roman" w:cs="Times New Roman"/>
          <w:sz w:val="18"/>
          <w:szCs w:val="18"/>
        </w:rPr>
      </w:pPr>
      <w:r w:rsidRPr="00FD56CA">
        <w:rPr>
          <w:rStyle w:val="FootnoteReference"/>
          <w:rFonts w:ascii="Times New Roman" w:hAnsi="Times New Roman" w:cs="Times New Roman"/>
          <w:sz w:val="18"/>
          <w:szCs w:val="18"/>
        </w:rPr>
        <w:footnoteRef/>
      </w:r>
      <w:r w:rsidRPr="00AF5D27">
        <w:rPr>
          <w:rFonts w:ascii="Times New Roman" w:hAnsi="Times New Roman" w:cs="Times New Roman"/>
          <w:sz w:val="18"/>
          <w:szCs w:val="18"/>
        </w:rPr>
        <w:t xml:space="preserve"> Schmidt, Sophia. 2022. “Community benefits agreement talks to start in 2023 for Philly refinery redevelopment." </w:t>
      </w:r>
      <w:r w:rsidRPr="00AF5D27">
        <w:rPr>
          <w:rFonts w:ascii="Times New Roman" w:hAnsi="Times New Roman" w:cs="Times New Roman"/>
          <w:i/>
          <w:iCs/>
          <w:sz w:val="18"/>
          <w:szCs w:val="18"/>
        </w:rPr>
        <w:t>WHYY</w:t>
      </w:r>
      <w:r w:rsidRPr="00AF5D27">
        <w:rPr>
          <w:rFonts w:ascii="Times New Roman" w:hAnsi="Times New Roman" w:cs="Times New Roman"/>
          <w:sz w:val="18"/>
          <w:szCs w:val="18"/>
        </w:rPr>
        <w:t xml:space="preserve">. November 18. </w:t>
      </w:r>
      <w:hyperlink r:id="rId10" w:history="1">
        <w:r w:rsidRPr="008530DF" w:rsidR="007D06CC">
          <w:rPr>
            <w:rStyle w:val="Hyperlink"/>
            <w:rFonts w:ascii="Times New Roman" w:hAnsi="Times New Roman" w:cs="Times New Roman"/>
            <w:sz w:val="18"/>
            <w:szCs w:val="18"/>
          </w:rPr>
          <w:t>https://whyy.org/articles/pes-refinery-redevelopment-community-benefits-agreement/</w:t>
        </w:r>
      </w:hyperlink>
      <w:r w:rsidR="007D06CC">
        <w:rPr>
          <w:rFonts w:ascii="Times New Roman" w:hAnsi="Times New Roman" w:cs="Times New Roman"/>
          <w:sz w:val="18"/>
          <w:szCs w:val="18"/>
        </w:rPr>
        <w:t xml:space="preserve"> </w:t>
      </w:r>
    </w:p>
  </w:footnote>
  <w:footnote w:id="49">
    <w:p w:rsidR="007F7DDC" w:rsidRPr="00FD374A" w:rsidP="007F7DDC" w14:paraId="271E9530" w14:textId="77777777">
      <w:pPr>
        <w:pStyle w:val="FootnoteText"/>
        <w:rPr>
          <w:rFonts w:ascii="Times New Roman" w:hAnsi="Times New Roman" w:cs="Times New Roman"/>
          <w:sz w:val="18"/>
          <w:szCs w:val="18"/>
        </w:rPr>
      </w:pPr>
      <w:r w:rsidRPr="00AF5D27">
        <w:rPr>
          <w:rStyle w:val="FootnoteReference"/>
          <w:rFonts w:ascii="Times New Roman" w:hAnsi="Times New Roman" w:cs="Times New Roman"/>
          <w:sz w:val="18"/>
          <w:szCs w:val="18"/>
        </w:rPr>
        <w:footnoteRef/>
      </w:r>
      <w:r w:rsidRPr="00FD374A">
        <w:rPr>
          <w:rFonts w:ascii="Times New Roman" w:hAnsi="Times New Roman" w:cs="Times New Roman"/>
          <w:sz w:val="18"/>
          <w:szCs w:val="18"/>
        </w:rPr>
        <w:t xml:space="preserve"> Sutton, Joe and Madeline Holcombe. 2019.</w:t>
      </w:r>
    </w:p>
  </w:footnote>
  <w:footnote w:id="50">
    <w:p w:rsidR="007F7DDC" w:rsidRPr="00955E84" w:rsidP="007F7DDC" w14:paraId="5B4E1592" w14:textId="77777777">
      <w:pPr>
        <w:pStyle w:val="FootnoteText"/>
        <w:rPr>
          <w:rFonts w:ascii="Times New Roman" w:hAnsi="Times New Roman" w:cs="Times New Roman"/>
          <w:sz w:val="18"/>
          <w:szCs w:val="18"/>
        </w:rPr>
      </w:pPr>
      <w:r w:rsidRPr="00C0455E">
        <w:rPr>
          <w:rStyle w:val="FootnoteReference"/>
          <w:rFonts w:ascii="Times New Roman" w:hAnsi="Times New Roman" w:cs="Times New Roman"/>
          <w:sz w:val="18"/>
          <w:szCs w:val="18"/>
        </w:rPr>
        <w:footnoteRef/>
      </w:r>
      <w:r w:rsidRPr="00955E84">
        <w:rPr>
          <w:rFonts w:ascii="Times New Roman" w:hAnsi="Times New Roman" w:cs="Times New Roman"/>
          <w:sz w:val="18"/>
          <w:szCs w:val="18"/>
        </w:rPr>
        <w:t xml:space="preserve"> CSB. 2022a.</w:t>
      </w:r>
    </w:p>
  </w:footnote>
  <w:footnote w:id="51">
    <w:p w:rsidR="007F7DDC" w:rsidRPr="002A5458" w:rsidP="007F7DDC" w14:paraId="5D9E78A6" w14:textId="77777777">
      <w:pPr>
        <w:pStyle w:val="FootnoteText"/>
        <w:rPr>
          <w:sz w:val="18"/>
          <w:szCs w:val="18"/>
        </w:rPr>
      </w:pPr>
      <w:r w:rsidRPr="00CE271F">
        <w:rPr>
          <w:rStyle w:val="FootnoteReference"/>
          <w:rFonts w:ascii="Times New Roman" w:hAnsi="Times New Roman" w:cs="Times New Roman"/>
          <w:sz w:val="18"/>
          <w:szCs w:val="18"/>
        </w:rPr>
        <w:footnoteRef/>
      </w:r>
      <w:r w:rsidRPr="002A5458">
        <w:rPr>
          <w:rFonts w:ascii="Times New Roman" w:hAnsi="Times New Roman" w:cs="Times New Roman"/>
          <w:sz w:val="18"/>
          <w:szCs w:val="18"/>
        </w:rPr>
        <w:t xml:space="preserve"> CSB. 2022b. Recommendations: Philadelphia Energy Solutions (PES) Refinery Fire and Explosions (5 Recommendations). October 11. </w:t>
      </w:r>
      <w:hyperlink r:id="rId11" w:history="1">
        <w:r w:rsidRPr="008530DF" w:rsidR="007D06CC">
          <w:rPr>
            <w:rStyle w:val="Hyperlink"/>
            <w:rFonts w:ascii="Times New Roman" w:hAnsi="Times New Roman" w:cs="Times New Roman"/>
            <w:sz w:val="18"/>
            <w:szCs w:val="18"/>
          </w:rPr>
          <w:t>https://www.csb.gov/recommendations/?F_InvestigationId=3604</w:t>
        </w:r>
      </w:hyperlink>
      <w:r w:rsidR="007D06CC">
        <w:rPr>
          <w:rFonts w:ascii="Times New Roman" w:hAnsi="Times New Roman" w:cs="Times New Roman"/>
          <w:sz w:val="18"/>
          <w:szCs w:val="18"/>
        </w:rPr>
        <w:t xml:space="preserve"> </w:t>
      </w:r>
    </w:p>
  </w:footnote>
  <w:footnote w:id="52">
    <w:p w:rsidR="007F7DDC" w:rsidRPr="00854B93" w:rsidP="007F7DDC" w14:paraId="238766C0" w14:textId="77777777">
      <w:pPr>
        <w:pStyle w:val="FootnoteText"/>
        <w:rPr>
          <w:rFonts w:ascii="Times New Roman" w:hAnsi="Times New Roman" w:cs="Times New Roman"/>
          <w:sz w:val="18"/>
          <w:szCs w:val="18"/>
        </w:rPr>
      </w:pPr>
      <w:r w:rsidRPr="002A5458">
        <w:rPr>
          <w:rStyle w:val="FootnoteReference"/>
          <w:rFonts w:ascii="Times New Roman" w:hAnsi="Times New Roman" w:cs="Times New Roman"/>
          <w:sz w:val="18"/>
          <w:szCs w:val="18"/>
        </w:rPr>
        <w:footnoteRef/>
      </w:r>
      <w:r w:rsidRPr="00854B93">
        <w:rPr>
          <w:rFonts w:ascii="Times New Roman" w:hAnsi="Times New Roman" w:cs="Times New Roman"/>
          <w:sz w:val="18"/>
          <w:szCs w:val="18"/>
        </w:rPr>
        <w:t xml:space="preserve"> CSB. 2022c. Popcorn Polymer Accumulation, Pipe Rupture, Explosions, and Fires at TPC Group Chemical Plant Butadiene Unit. Investigation Report. 2022. December.</w:t>
      </w:r>
    </w:p>
  </w:footnote>
  <w:footnote w:id="53">
    <w:p w:rsidR="007F7DDC" w:rsidRPr="00854B93" w:rsidP="007F7DDC" w14:paraId="1C7DA38D" w14:textId="77777777">
      <w:pPr>
        <w:pStyle w:val="FootnoteText"/>
        <w:rPr>
          <w:sz w:val="18"/>
          <w:szCs w:val="18"/>
        </w:rPr>
      </w:pPr>
      <w:r w:rsidRPr="00854B93">
        <w:rPr>
          <w:rStyle w:val="FootnoteReference"/>
          <w:rFonts w:ascii="Times New Roman" w:hAnsi="Times New Roman" w:cs="Times New Roman"/>
          <w:sz w:val="18"/>
          <w:szCs w:val="18"/>
        </w:rPr>
        <w:footnoteRef/>
      </w:r>
      <w:r w:rsidRPr="00854B93">
        <w:rPr>
          <w:rFonts w:ascii="Times New Roman" w:hAnsi="Times New Roman" w:cs="Times New Roman"/>
          <w:sz w:val="18"/>
          <w:szCs w:val="18"/>
        </w:rPr>
        <w:t xml:space="preserve"> Ibid.</w:t>
      </w:r>
    </w:p>
  </w:footnote>
  <w:footnote w:id="54">
    <w:p w:rsidR="007F7DDC" w:rsidRPr="00867284" w:rsidP="007F7DDC" w14:paraId="1AF81CDC" w14:textId="77777777">
      <w:pPr>
        <w:pStyle w:val="FootnoteText"/>
        <w:rPr>
          <w:rFonts w:ascii="Times New Roman" w:hAnsi="Times New Roman" w:cs="Times New Roman"/>
          <w:sz w:val="18"/>
          <w:szCs w:val="18"/>
        </w:rPr>
      </w:pPr>
      <w:r w:rsidRPr="00867284">
        <w:rPr>
          <w:rStyle w:val="FootnoteReference"/>
          <w:rFonts w:ascii="Times New Roman" w:hAnsi="Times New Roman" w:cs="Times New Roman"/>
          <w:sz w:val="18"/>
          <w:szCs w:val="18"/>
        </w:rPr>
        <w:footnoteRef/>
      </w:r>
      <w:r w:rsidRPr="00867284">
        <w:rPr>
          <w:rFonts w:ascii="Times New Roman" w:hAnsi="Times New Roman" w:cs="Times New Roman"/>
          <w:sz w:val="18"/>
          <w:szCs w:val="18"/>
        </w:rPr>
        <w:t xml:space="preserve"> Ibid.</w:t>
      </w:r>
    </w:p>
  </w:footnote>
  <w:footnote w:id="55">
    <w:p w:rsidR="007F7DDC" w:rsidRPr="00867284" w:rsidP="007F7DDC" w14:paraId="3B77E616" w14:textId="77777777">
      <w:pPr>
        <w:pStyle w:val="FootnoteText"/>
        <w:rPr>
          <w:sz w:val="18"/>
          <w:szCs w:val="18"/>
        </w:rPr>
      </w:pPr>
      <w:r w:rsidRPr="00867284">
        <w:rPr>
          <w:rStyle w:val="FootnoteReference"/>
          <w:rFonts w:ascii="Times New Roman" w:hAnsi="Times New Roman" w:cs="Times New Roman"/>
          <w:sz w:val="18"/>
          <w:szCs w:val="18"/>
        </w:rPr>
        <w:footnoteRef/>
      </w:r>
      <w:r w:rsidRPr="00867284">
        <w:rPr>
          <w:rFonts w:ascii="Times New Roman" w:hAnsi="Times New Roman" w:cs="Times New Roman"/>
          <w:sz w:val="18"/>
          <w:szCs w:val="18"/>
        </w:rPr>
        <w:t xml:space="preserve"> Ibid.</w:t>
      </w:r>
    </w:p>
  </w:footnote>
  <w:footnote w:id="56">
    <w:p w:rsidR="007F7DDC" w:rsidRPr="00CA08E9" w:rsidP="007F7DDC" w14:paraId="01C29C62" w14:textId="77777777">
      <w:pPr>
        <w:pStyle w:val="FootnoteText"/>
        <w:rPr>
          <w:rFonts w:ascii="Times New Roman" w:hAnsi="Times New Roman" w:cs="Times New Roman"/>
          <w:sz w:val="18"/>
          <w:szCs w:val="18"/>
        </w:rPr>
      </w:pPr>
      <w:r w:rsidRPr="00867284">
        <w:rPr>
          <w:rStyle w:val="FootnoteReference"/>
          <w:rFonts w:ascii="Times New Roman" w:hAnsi="Times New Roman" w:cs="Times New Roman"/>
          <w:sz w:val="18"/>
          <w:szCs w:val="18"/>
        </w:rPr>
        <w:footnoteRef/>
      </w:r>
      <w:r w:rsidRPr="00CA08E9">
        <w:rPr>
          <w:rFonts w:ascii="Times New Roman" w:hAnsi="Times New Roman" w:cs="Times New Roman"/>
          <w:sz w:val="18"/>
          <w:szCs w:val="18"/>
        </w:rPr>
        <w:t xml:space="preserve"> U.S. Chemical Safety and Hazard Investigation Board. 2022c. Popcorn Polymer Accumulation, Pipe Rupture, Explosions, and Fires at TPC Group Chemical Plant Butadiene Unit. Investigation Report. 2022. December.</w:t>
      </w:r>
    </w:p>
  </w:footnote>
  <w:footnote w:id="57">
    <w:p w:rsidR="007F7DDC" w:rsidRPr="00A862CE" w:rsidP="007F7DDC" w14:paraId="21F60C88" w14:textId="77777777">
      <w:pPr>
        <w:pStyle w:val="FootnoteText"/>
        <w:rPr>
          <w:rFonts w:ascii="Times New Roman" w:hAnsi="Times New Roman" w:cs="Times New Roman"/>
          <w:sz w:val="18"/>
          <w:szCs w:val="18"/>
        </w:rPr>
      </w:pPr>
      <w:r w:rsidRPr="00CA08E9">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Dick, Jacob, Kim Brent, Monique Batson, Ronnie Crocker, and Kaitlin Bain. 2019. “SE Texas town rocked by chemical plant explosion.” Houston Chronicle. November 27. </w:t>
      </w:r>
      <w:hyperlink r:id="rId12" w:history="1">
        <w:r w:rsidRPr="008530DF" w:rsidR="007D06CC">
          <w:rPr>
            <w:rStyle w:val="Hyperlink"/>
            <w:rFonts w:ascii="Times New Roman" w:hAnsi="Times New Roman" w:cs="Times New Roman"/>
            <w:sz w:val="18"/>
            <w:szCs w:val="18"/>
          </w:rPr>
          <w:t>https://www.chron.com/news/article/The-latest-Explosion-at-Port-Neches-plant-14866093.php</w:t>
        </w:r>
      </w:hyperlink>
      <w:r w:rsidR="007D06CC">
        <w:rPr>
          <w:rFonts w:ascii="Times New Roman" w:hAnsi="Times New Roman" w:cs="Times New Roman"/>
          <w:sz w:val="18"/>
          <w:szCs w:val="18"/>
        </w:rPr>
        <w:t xml:space="preserve"> </w:t>
      </w:r>
    </w:p>
  </w:footnote>
  <w:footnote w:id="58">
    <w:p w:rsidR="007F7DDC" w:rsidRPr="00A862CE" w:rsidP="007F7DDC" w14:paraId="774B8855"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Kennedy, Merrit. 2019. “Massive Explosion Rips Through Texas Chemical Plant.” National Public Radio. November 27. </w:t>
      </w:r>
      <w:hyperlink r:id="rId13" w:history="1">
        <w:r w:rsidRPr="008530DF" w:rsidR="007D06CC">
          <w:rPr>
            <w:rStyle w:val="Hyperlink"/>
            <w:rFonts w:ascii="Times New Roman" w:hAnsi="Times New Roman" w:cs="Times New Roman"/>
            <w:sz w:val="18"/>
            <w:szCs w:val="18"/>
          </w:rPr>
          <w:t>https://www.npr.org/2019/11/27/783263942/massive-explosion-rips-through-texas-chemical-plant</w:t>
        </w:r>
      </w:hyperlink>
      <w:r w:rsidR="007D06CC">
        <w:rPr>
          <w:rFonts w:ascii="Times New Roman" w:hAnsi="Times New Roman" w:cs="Times New Roman"/>
          <w:sz w:val="18"/>
          <w:szCs w:val="18"/>
        </w:rPr>
        <w:t xml:space="preserve"> </w:t>
      </w:r>
    </w:p>
  </w:footnote>
  <w:footnote w:id="59">
    <w:p w:rsidR="007F7DDC" w:rsidRPr="00A862CE" w:rsidP="007F7DDC" w14:paraId="27BA2E4D"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CSB. 2022c.</w:t>
      </w:r>
    </w:p>
  </w:footnote>
  <w:footnote w:id="60">
    <w:p w:rsidR="007F7DDC" w:rsidRPr="00A862CE" w:rsidP="007F7DDC" w14:paraId="2C8EF88C"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Dick et al. 2019.</w:t>
      </w:r>
    </w:p>
  </w:footnote>
  <w:footnote w:id="61">
    <w:p w:rsidR="007F7DDC" w:rsidRPr="00A862CE" w:rsidP="007F7DDC" w14:paraId="03E1CBA9"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Kennedy. 2019.</w:t>
      </w:r>
    </w:p>
  </w:footnote>
  <w:footnote w:id="62">
    <w:p w:rsidR="007F7DDC" w:rsidRPr="00A862CE" w:rsidP="007F7DDC" w14:paraId="084EB9BC"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CSB. 2022c.</w:t>
      </w:r>
    </w:p>
  </w:footnote>
  <w:footnote w:id="63">
    <w:p w:rsidR="007F7DDC" w:rsidRPr="00A862CE" w:rsidP="007F7DDC" w14:paraId="4F3822A2"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Ibid.</w:t>
      </w:r>
    </w:p>
  </w:footnote>
  <w:footnote w:id="64">
    <w:p w:rsidR="007F7DDC" w:rsidRPr="00A862CE" w:rsidP="007F7DDC" w14:paraId="379589AD"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CBS News. 2019. 60,000 people forced to evacuate after explosions at Texas chemical plant. November 27. </w:t>
      </w:r>
      <w:hyperlink r:id="rId14" w:history="1">
        <w:r w:rsidRPr="008530DF" w:rsidR="007D06CC">
          <w:rPr>
            <w:rStyle w:val="Hyperlink"/>
            <w:rFonts w:ascii="Times New Roman" w:hAnsi="Times New Roman" w:cs="Times New Roman"/>
            <w:sz w:val="18"/>
            <w:szCs w:val="18"/>
          </w:rPr>
          <w:t>https://www.cbsnews.com/news/explosion-texas-plant-port-neches-chemical-plant-texas-tcp-fire-lanxess-charleston-south-carolina-emergency-today/</w:t>
        </w:r>
      </w:hyperlink>
      <w:r w:rsidR="007D06CC">
        <w:rPr>
          <w:rFonts w:ascii="Times New Roman" w:hAnsi="Times New Roman" w:cs="Times New Roman"/>
          <w:sz w:val="18"/>
          <w:szCs w:val="18"/>
        </w:rPr>
        <w:t xml:space="preserve"> </w:t>
      </w:r>
    </w:p>
  </w:footnote>
  <w:footnote w:id="65">
    <w:p w:rsidR="007F7DDC" w:rsidRPr="00A862CE" w:rsidP="007F7DDC" w14:paraId="7ECF901B"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CSB. 2022c.</w:t>
      </w:r>
    </w:p>
  </w:footnote>
  <w:footnote w:id="66">
    <w:p w:rsidR="007F7DDC" w:rsidRPr="00A862CE" w:rsidP="007F7DDC" w14:paraId="7BD848FA"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CBS News. 2019.</w:t>
      </w:r>
    </w:p>
  </w:footnote>
  <w:footnote w:id="67">
    <w:p w:rsidR="007F7DDC" w:rsidRPr="00A862CE" w:rsidP="007F7DDC" w14:paraId="337491B0"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Toal, Margaret, Nicholas Bogel-Burroughs and Manny Fernandez. 2019. “Thousands Evacuated in Texas After Explosion at Port Neches Chemical Plant.” The New York Times. November 27. </w:t>
      </w:r>
      <w:hyperlink r:id="rId15" w:history="1">
        <w:r w:rsidRPr="008530DF" w:rsidR="007D06CC">
          <w:rPr>
            <w:rStyle w:val="Hyperlink"/>
            <w:rFonts w:ascii="Times New Roman" w:hAnsi="Times New Roman" w:cs="Times New Roman"/>
            <w:sz w:val="18"/>
            <w:szCs w:val="18"/>
          </w:rPr>
          <w:t>https://www.nytimes.com/2019/11/27/us/texas-explosion-port-neches-tpc.html</w:t>
        </w:r>
      </w:hyperlink>
      <w:r w:rsidR="007D06CC">
        <w:rPr>
          <w:rFonts w:ascii="Times New Roman" w:hAnsi="Times New Roman" w:cs="Times New Roman"/>
          <w:sz w:val="18"/>
          <w:szCs w:val="18"/>
        </w:rPr>
        <w:t xml:space="preserve"> </w:t>
      </w:r>
    </w:p>
  </w:footnote>
  <w:footnote w:id="68">
    <w:p w:rsidR="007F7DDC" w:rsidRPr="00A862CE" w:rsidP="007F7DDC" w14:paraId="1A05D1F3"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Dick et al. 2019.</w:t>
      </w:r>
    </w:p>
  </w:footnote>
  <w:footnote w:id="69">
    <w:p w:rsidR="007F7DDC" w:rsidRPr="00A862CE" w:rsidP="007F7DDC" w14:paraId="6C5415EA"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Ibid.</w:t>
      </w:r>
    </w:p>
  </w:footnote>
  <w:footnote w:id="70">
    <w:p w:rsidR="007F7DDC" w:rsidRPr="00A862CE" w:rsidP="007F7DDC" w14:paraId="70D9AC83" w14:textId="77777777">
      <w:pPr>
        <w:pStyle w:val="FootnoteText"/>
        <w:rPr>
          <w:sz w:val="18"/>
          <w:szCs w:val="18"/>
        </w:rPr>
      </w:pPr>
      <w:r w:rsidRPr="00A862CE">
        <w:rPr>
          <w:rStyle w:val="FootnoteReference"/>
          <w:rFonts w:ascii="Times New Roman" w:hAnsi="Times New Roman" w:cs="Times New Roman"/>
          <w:sz w:val="18"/>
          <w:szCs w:val="18"/>
        </w:rPr>
        <w:footnoteRef/>
      </w:r>
      <w:r w:rsidRPr="00A862CE">
        <w:rPr>
          <w:rFonts w:ascii="Times New Roman" w:hAnsi="Times New Roman" w:cs="Times New Roman"/>
          <w:sz w:val="18"/>
          <w:szCs w:val="18"/>
        </w:rPr>
        <w:t xml:space="preserve"> CSB. 2022c.</w:t>
      </w:r>
    </w:p>
  </w:footnote>
  <w:footnote w:id="71">
    <w:p w:rsidR="007F7DDC" w:rsidRPr="00A862CE" w:rsidP="007F7DDC" w14:paraId="69BC1D31" w14:textId="77777777">
      <w:pPr>
        <w:pStyle w:val="FootnoteText"/>
        <w:rPr>
          <w:sz w:val="18"/>
          <w:szCs w:val="18"/>
        </w:rPr>
      </w:pPr>
      <w:r w:rsidRPr="00A862CE">
        <w:rPr>
          <w:rStyle w:val="FootnoteReference"/>
          <w:sz w:val="18"/>
          <w:szCs w:val="18"/>
        </w:rPr>
        <w:footnoteRef/>
      </w:r>
      <w:r w:rsidRPr="00A862CE">
        <w:rPr>
          <w:sz w:val="18"/>
          <w:szCs w:val="18"/>
        </w:rPr>
        <w:t xml:space="preserve"> Ibid.</w:t>
      </w:r>
    </w:p>
  </w:footnote>
  <w:footnote w:id="72">
    <w:p w:rsidR="007F7DDC" w:rsidRPr="00846585" w:rsidP="007F7DDC" w14:paraId="70B8C786" w14:textId="77777777">
      <w:pPr>
        <w:pStyle w:val="FootnoteText"/>
        <w:rPr>
          <w:rFonts w:ascii="Times New Roman" w:hAnsi="Times New Roman" w:cs="Times New Roman"/>
          <w:sz w:val="18"/>
          <w:szCs w:val="18"/>
        </w:rPr>
      </w:pPr>
      <w:r w:rsidRPr="00A862CE">
        <w:rPr>
          <w:rStyle w:val="FootnoteReference"/>
          <w:rFonts w:ascii="Times New Roman" w:hAnsi="Times New Roman" w:cs="Times New Roman"/>
          <w:sz w:val="18"/>
          <w:szCs w:val="18"/>
        </w:rPr>
        <w:footnoteRef/>
      </w:r>
      <w:r w:rsidRPr="00846585">
        <w:rPr>
          <w:rFonts w:ascii="Times New Roman" w:hAnsi="Times New Roman" w:cs="Times New Roman"/>
          <w:sz w:val="18"/>
          <w:szCs w:val="18"/>
        </w:rPr>
        <w:t xml:space="preserve"> Toal et al. 2019.</w:t>
      </w:r>
    </w:p>
  </w:footnote>
  <w:footnote w:id="73">
    <w:p w:rsidR="007F7DDC" w:rsidRPr="00846585" w:rsidP="007F7DDC" w14:paraId="7BCB6101" w14:textId="77777777">
      <w:pPr>
        <w:pStyle w:val="FootnoteText"/>
        <w:rPr>
          <w:rFonts w:ascii="Times New Roman" w:hAnsi="Times New Roman" w:cs="Times New Roman"/>
          <w:sz w:val="18"/>
          <w:szCs w:val="18"/>
        </w:rPr>
      </w:pPr>
      <w:r w:rsidRPr="00846585">
        <w:rPr>
          <w:rStyle w:val="FootnoteReference"/>
          <w:rFonts w:ascii="Times New Roman" w:hAnsi="Times New Roman" w:cs="Times New Roman"/>
          <w:sz w:val="18"/>
          <w:szCs w:val="18"/>
        </w:rPr>
        <w:footnoteRef/>
      </w:r>
      <w:r w:rsidRPr="00846585">
        <w:rPr>
          <w:rFonts w:ascii="Times New Roman" w:hAnsi="Times New Roman" w:cs="Times New Roman"/>
          <w:sz w:val="18"/>
          <w:szCs w:val="18"/>
        </w:rPr>
        <w:t xml:space="preserve"> Ibid.</w:t>
      </w:r>
    </w:p>
  </w:footnote>
  <w:footnote w:id="74">
    <w:p w:rsidR="007F7DDC" w:rsidRPr="00C25D6D" w:rsidP="007F7DDC" w14:paraId="445550FC" w14:textId="77777777">
      <w:pPr>
        <w:pStyle w:val="FootnoteText"/>
        <w:rPr>
          <w:rFonts w:ascii="Times New Roman" w:hAnsi="Times New Roman" w:cs="Times New Roman"/>
        </w:rPr>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CSB. 2022c.</w:t>
      </w:r>
    </w:p>
  </w:footnote>
  <w:footnote w:id="75">
    <w:p w:rsidR="007F7DDC" w:rsidRPr="009077C5" w:rsidP="007F7DDC" w14:paraId="1810A380" w14:textId="77777777">
      <w:pPr>
        <w:pStyle w:val="FootnoteText"/>
        <w:rPr>
          <w:rFonts w:ascii="Times New Roman" w:hAnsi="Times New Roman" w:cs="Times New Roman"/>
          <w:sz w:val="18"/>
          <w:szCs w:val="18"/>
        </w:rPr>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CSB. 2022c.</w:t>
      </w:r>
    </w:p>
  </w:footnote>
  <w:footnote w:id="76">
    <w:p w:rsidR="007F7DDC" w:rsidRPr="009077C5" w:rsidP="007F7DDC" w14:paraId="515D11B5" w14:textId="77777777">
      <w:pPr>
        <w:pStyle w:val="FootnoteText"/>
        <w:rPr>
          <w:rFonts w:ascii="Times New Roman" w:hAnsi="Times New Roman" w:cs="Times New Roman"/>
          <w:sz w:val="18"/>
          <w:szCs w:val="18"/>
        </w:rPr>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The Guardian. 2019. Texas: city residents urged to evacuate after chemical plant explosions. December 5. </w:t>
      </w:r>
      <w:hyperlink r:id="rId16" w:history="1">
        <w:r w:rsidRPr="008530DF" w:rsidR="007D06CC">
          <w:rPr>
            <w:rStyle w:val="Hyperlink"/>
            <w:rFonts w:ascii="Times New Roman" w:hAnsi="Times New Roman" w:cs="Times New Roman"/>
            <w:sz w:val="18"/>
            <w:szCs w:val="18"/>
          </w:rPr>
          <w:t>https://www.theguardian.com/us-news/2019/dec/05/texas-port-neches-evacuation-air-quality-chemical-plant-explosions</w:t>
        </w:r>
      </w:hyperlink>
      <w:r w:rsidR="007D06CC">
        <w:rPr>
          <w:rFonts w:ascii="Times New Roman" w:hAnsi="Times New Roman" w:cs="Times New Roman"/>
          <w:sz w:val="18"/>
          <w:szCs w:val="18"/>
        </w:rPr>
        <w:t xml:space="preserve"> </w:t>
      </w:r>
    </w:p>
  </w:footnote>
  <w:footnote w:id="77">
    <w:p w:rsidR="007F7DDC" w:rsidRPr="009077C5" w:rsidP="007F7DDC" w14:paraId="7A7D2D09" w14:textId="77777777">
      <w:pPr>
        <w:pStyle w:val="FootnoteText"/>
        <w:rPr>
          <w:rFonts w:ascii="Times New Roman" w:hAnsi="Times New Roman" w:cs="Times New Roman"/>
          <w:sz w:val="18"/>
          <w:szCs w:val="18"/>
        </w:rPr>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TPC Group – Port Neches Operation, RMP Plan, received by EPA December 10, 2020</w:t>
      </w:r>
    </w:p>
  </w:footnote>
  <w:footnote w:id="78">
    <w:p w:rsidR="007F7DDC" w:rsidRPr="009077C5" w:rsidP="007F7DDC" w14:paraId="2F359BC5" w14:textId="77777777">
      <w:pPr>
        <w:pStyle w:val="FootnoteText"/>
        <w:rPr>
          <w:rFonts w:ascii="Times New Roman" w:hAnsi="Times New Roman" w:cs="Times New Roman"/>
          <w:sz w:val="18"/>
          <w:szCs w:val="18"/>
        </w:rPr>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Marsh JLT Specialty. 2022.</w:t>
      </w:r>
    </w:p>
  </w:footnote>
  <w:footnote w:id="79">
    <w:p w:rsidR="007F7DDC" w:rsidRPr="009077C5" w:rsidP="007F7DDC" w14:paraId="36A5A4D1" w14:textId="77777777">
      <w:pPr>
        <w:pStyle w:val="FootnoteText"/>
        <w:rPr>
          <w:rFonts w:ascii="Times New Roman" w:hAnsi="Times New Roman" w:cs="Times New Roman"/>
          <w:sz w:val="18"/>
          <w:szCs w:val="18"/>
        </w:rPr>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TPC Group. 2020.</w:t>
      </w:r>
    </w:p>
  </w:footnote>
  <w:footnote w:id="80">
    <w:p w:rsidR="007F7DDC" w:rsidRPr="009077C5" w:rsidP="007F7DDC" w14:paraId="0BB0AE03" w14:textId="77777777">
      <w:pPr>
        <w:pStyle w:val="FootnoteText"/>
        <w:rPr>
          <w:rFonts w:ascii="Times New Roman" w:hAnsi="Times New Roman" w:cs="Times New Roman"/>
          <w:sz w:val="18"/>
          <w:szCs w:val="18"/>
        </w:rPr>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Kennedy. 2019.</w:t>
      </w:r>
    </w:p>
  </w:footnote>
  <w:footnote w:id="81">
    <w:p w:rsidR="007F7DDC" w:rsidRPr="009077C5" w:rsidP="007F7DDC" w14:paraId="14105287" w14:textId="77777777">
      <w:pPr>
        <w:pStyle w:val="FootnoteText"/>
        <w:rPr>
          <w:rFonts w:ascii="Times New Roman" w:hAnsi="Times New Roman" w:cs="Times New Roman"/>
          <w:sz w:val="18"/>
          <w:szCs w:val="18"/>
        </w:rPr>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CSB. 2022c.</w:t>
      </w:r>
    </w:p>
  </w:footnote>
  <w:footnote w:id="82">
    <w:p w:rsidR="007F7DDC" w:rsidRPr="009077C5" w:rsidP="007F7DDC" w14:paraId="513AC9AD" w14:textId="77777777">
      <w:pPr>
        <w:pStyle w:val="FootnoteText"/>
        <w:rPr>
          <w:rFonts w:ascii="Times New Roman" w:hAnsi="Times New Roman" w:cs="Times New Roman"/>
          <w:sz w:val="18"/>
          <w:szCs w:val="18"/>
        </w:rPr>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Dick et al. 2019.</w:t>
      </w:r>
    </w:p>
  </w:footnote>
  <w:footnote w:id="83">
    <w:p w:rsidR="007F7DDC" w:rsidRPr="009077C5" w:rsidP="007F7DDC" w14:paraId="5757DA5F" w14:textId="77777777">
      <w:pPr>
        <w:pStyle w:val="FootnoteText"/>
        <w:rPr>
          <w:rFonts w:ascii="Times New Roman" w:hAnsi="Times New Roman" w:cs="Times New Roman"/>
          <w:sz w:val="18"/>
          <w:szCs w:val="18"/>
        </w:rPr>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Toal et al. 2019.</w:t>
      </w:r>
    </w:p>
  </w:footnote>
  <w:footnote w:id="84">
    <w:p w:rsidR="007F7DDC" w:rsidRPr="009077C5" w:rsidP="007F7DDC" w14:paraId="60615743" w14:textId="77777777">
      <w:pPr>
        <w:pStyle w:val="FootnoteText"/>
        <w:rPr>
          <w:rFonts w:ascii="Times New Roman" w:hAnsi="Times New Roman" w:cs="Times New Roman"/>
          <w:sz w:val="18"/>
          <w:szCs w:val="18"/>
        </w:rPr>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CSB. 2022c.</w:t>
      </w:r>
    </w:p>
  </w:footnote>
  <w:footnote w:id="85">
    <w:p w:rsidR="007F7DDC" w:rsidP="007F7DDC" w14:paraId="115D7CA2" w14:textId="77777777">
      <w:pPr>
        <w:pStyle w:val="FootnoteText"/>
      </w:pPr>
      <w:r w:rsidRPr="009077C5">
        <w:rPr>
          <w:rStyle w:val="FootnoteReference"/>
          <w:rFonts w:ascii="Times New Roman" w:hAnsi="Times New Roman" w:cs="Times New Roman"/>
          <w:sz w:val="18"/>
          <w:szCs w:val="18"/>
        </w:rPr>
        <w:footnoteRef/>
      </w:r>
      <w:r w:rsidRPr="009077C5">
        <w:rPr>
          <w:rFonts w:ascii="Times New Roman" w:hAnsi="Times New Roman" w:cs="Times New Roman"/>
          <w:sz w:val="18"/>
          <w:szCs w:val="18"/>
        </w:rPr>
        <w:t xml:space="preserve"> TPC Group. 2020.</w:t>
      </w:r>
    </w:p>
  </w:footnote>
  <w:footnote w:id="86">
    <w:p w:rsidR="00C57989" w:rsidRPr="003A3A84" w:rsidP="00C57989" w14:paraId="4A831DC8"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After Two Major Refinery Accidents, Valero and Benicia Take Steps To Work Better Together </w:t>
      </w:r>
      <w:hyperlink r:id="rId17" w:history="1">
        <w:r w:rsidRPr="003A3A84">
          <w:rPr>
            <w:rStyle w:val="Hyperlink"/>
            <w:rFonts w:ascii="Times New Roman" w:hAnsi="Times New Roman" w:cs="Times New Roman"/>
            <w:sz w:val="18"/>
            <w:szCs w:val="18"/>
          </w:rPr>
          <w:t>https://www.kqed.org/news/11756861/after-two-major-refinery-accidents-valero-and-benicia-take-steps-to-work-better-together</w:t>
        </w:r>
      </w:hyperlink>
      <w:r w:rsidRPr="003A3A84">
        <w:rPr>
          <w:rFonts w:ascii="Times New Roman" w:hAnsi="Times New Roman" w:cs="Times New Roman"/>
          <w:sz w:val="18"/>
          <w:szCs w:val="18"/>
        </w:rPr>
        <w:t xml:space="preserve"> .</w:t>
      </w:r>
    </w:p>
  </w:footnote>
  <w:footnote w:id="87">
    <w:p w:rsidR="00C57989" w:rsidRPr="00D75FF8" w:rsidP="00C57989" w14:paraId="231A4DB6"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w:t>
      </w:r>
      <w:hyperlink r:id="rId17" w:history="1">
        <w:r w:rsidRPr="008530DF" w:rsidR="00A45814">
          <w:rPr>
            <w:rStyle w:val="Hyperlink"/>
            <w:rFonts w:ascii="Times New Roman" w:hAnsi="Times New Roman" w:cs="Times New Roman"/>
            <w:sz w:val="18"/>
            <w:szCs w:val="18"/>
          </w:rPr>
          <w:t>https://www.kqed.org/news/11756861/after-two-major-refinery-accidents-valero-and-benicia-take-steps-to-work-better-together</w:t>
        </w:r>
      </w:hyperlink>
      <w:r w:rsidR="00A45814">
        <w:rPr>
          <w:rFonts w:ascii="Times New Roman" w:hAnsi="Times New Roman" w:cs="Times New Roman"/>
          <w:sz w:val="18"/>
          <w:szCs w:val="18"/>
        </w:rPr>
        <w:t xml:space="preserve"> </w:t>
      </w:r>
      <w:r w:rsidRPr="003A3A84">
        <w:rPr>
          <w:rFonts w:ascii="Times New Roman" w:hAnsi="Times New Roman" w:cs="Times New Roman"/>
          <w:sz w:val="18"/>
          <w:szCs w:val="18"/>
        </w:rPr>
        <w:t>.</w:t>
      </w:r>
    </w:p>
  </w:footnote>
  <w:footnote w:id="88">
    <w:p w:rsidR="00BE4E59" w:rsidRPr="003A3A84" w:rsidP="00BE4E59" w14:paraId="4324009B"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w:t>
      </w:r>
      <w:hyperlink r:id="rId18">
        <w:r w:rsidRPr="003A3A84">
          <w:rPr>
            <w:rFonts w:ascii="Times New Roman" w:hAnsi="Times New Roman" w:cs="Times New Roman"/>
            <w:color w:val="0462C1"/>
            <w:sz w:val="18"/>
            <w:szCs w:val="18"/>
            <w:u w:val="single" w:color="0462C1"/>
          </w:rPr>
          <w:t>http://hcupnet.ahrq.gov.</w:t>
        </w:r>
      </w:hyperlink>
    </w:p>
  </w:footnote>
  <w:footnote w:id="89">
    <w:p w:rsidR="00BE4E59" w:rsidRPr="003A3A84" w:rsidP="00BE4E59" w14:paraId="57380AB5"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w:t>
      </w:r>
      <w:r w:rsidRPr="003A3A84" w:rsidR="003F4D58">
        <w:rPr>
          <w:rFonts w:ascii="Times New Roman" w:hAnsi="Times New Roman" w:cs="Times New Roman"/>
          <w:sz w:val="18"/>
          <w:szCs w:val="18"/>
        </w:rPr>
        <w:t xml:space="preserve">For </w:t>
      </w:r>
      <w:r w:rsidRPr="003A3A84" w:rsidR="002D1920">
        <w:rPr>
          <w:rFonts w:ascii="Times New Roman" w:hAnsi="Times New Roman" w:cs="Times New Roman"/>
          <w:sz w:val="18"/>
          <w:szCs w:val="18"/>
        </w:rPr>
        <w:t>time valuation</w:t>
      </w:r>
      <w:r w:rsidRPr="003A3A84" w:rsidR="003F4D58">
        <w:rPr>
          <w:rFonts w:ascii="Times New Roman" w:hAnsi="Times New Roman" w:cs="Times New Roman"/>
          <w:sz w:val="18"/>
          <w:szCs w:val="18"/>
        </w:rPr>
        <w:t xml:space="preserve"> guidelines, see:</w:t>
      </w:r>
      <w:r w:rsidRPr="003A3A84" w:rsidR="00115822">
        <w:rPr>
          <w:rFonts w:ascii="Times New Roman" w:hAnsi="Times New Roman" w:cs="Times New Roman"/>
          <w:sz w:val="18"/>
          <w:szCs w:val="18"/>
        </w:rPr>
        <w:t xml:space="preserve"> </w:t>
      </w:r>
      <w:hyperlink r:id="rId19" w:history="1">
        <w:r w:rsidRPr="003A3A84" w:rsidR="00205D8A">
          <w:rPr>
            <w:rStyle w:val="Hyperlink"/>
            <w:rFonts w:ascii="Times New Roman" w:hAnsi="Times New Roman" w:cs="Times New Roman"/>
            <w:sz w:val="18"/>
            <w:szCs w:val="18"/>
          </w:rPr>
          <w:t>https://www.epa.gov/environmental-economics/epa-valuing-time-handbook-2020</w:t>
        </w:r>
      </w:hyperlink>
      <w:r w:rsidRPr="003A3A84" w:rsidR="00205D8A">
        <w:rPr>
          <w:rFonts w:ascii="Times New Roman" w:hAnsi="Times New Roman" w:cs="Times New Roman"/>
          <w:sz w:val="18"/>
          <w:szCs w:val="18"/>
        </w:rPr>
        <w:t>.</w:t>
      </w:r>
      <w:r w:rsidRPr="003A3A84" w:rsidR="003F4D58">
        <w:rPr>
          <w:rFonts w:ascii="Times New Roman" w:hAnsi="Times New Roman" w:cs="Times New Roman"/>
          <w:sz w:val="18"/>
          <w:szCs w:val="18"/>
        </w:rPr>
        <w:t xml:space="preserve"> </w:t>
      </w:r>
      <w:r w:rsidRPr="003A3A84" w:rsidR="00115822">
        <w:rPr>
          <w:rFonts w:ascii="Times New Roman" w:hAnsi="Times New Roman" w:cs="Times New Roman"/>
          <w:sz w:val="18"/>
          <w:szCs w:val="18"/>
        </w:rPr>
        <w:t xml:space="preserve">BLS data is from: </w:t>
      </w:r>
      <w:hyperlink r:id="rId20" w:history="1">
        <w:r w:rsidRPr="003A3A84" w:rsidR="00115822">
          <w:rPr>
            <w:rStyle w:val="Hyperlink"/>
            <w:rFonts w:ascii="Times New Roman" w:hAnsi="Times New Roman" w:cs="Times New Roman"/>
            <w:sz w:val="18"/>
            <w:szCs w:val="18"/>
          </w:rPr>
          <w:t>http://www.bls.gov/news.release/ecec.t01.htm</w:t>
        </w:r>
      </w:hyperlink>
      <w:r w:rsidRPr="003A3A84" w:rsidR="00115822">
        <w:rPr>
          <w:rFonts w:ascii="Times New Roman" w:hAnsi="Times New Roman" w:cs="Times New Roman"/>
          <w:sz w:val="18"/>
          <w:szCs w:val="18"/>
        </w:rPr>
        <w:t xml:space="preserve">. Census data is from: </w:t>
      </w:r>
      <w:hyperlink r:id="rId21" w:history="1">
        <w:r w:rsidRPr="003A3A84" w:rsidR="002D1920">
          <w:rPr>
            <w:rStyle w:val="Hyperlink"/>
            <w:rFonts w:ascii="Times New Roman" w:hAnsi="Times New Roman" w:cs="Times New Roman"/>
            <w:sz w:val="18"/>
            <w:szCs w:val="18"/>
          </w:rPr>
          <w:t>https://www.census.gov/data/tables/2022/demo/income-poverty/p60-276.html</w:t>
        </w:r>
      </w:hyperlink>
      <w:r w:rsidRPr="003A3A84" w:rsidR="002D1920">
        <w:rPr>
          <w:rFonts w:ascii="Times New Roman" w:hAnsi="Times New Roman" w:cs="Times New Roman"/>
          <w:sz w:val="18"/>
          <w:szCs w:val="18"/>
        </w:rPr>
        <w:t xml:space="preserve">. </w:t>
      </w:r>
    </w:p>
  </w:footnote>
  <w:footnote w:id="90">
    <w:p w:rsidR="009523FF" w:rsidRPr="003A3A84" w:rsidP="009523FF" w14:paraId="1BFF97C6"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Freeman III, A.M. 2003. The Measurement of Environmental and Resource Values: Theory and Methods. 2</w:t>
      </w:r>
      <w:r w:rsidRPr="003A3A84">
        <w:rPr>
          <w:rFonts w:ascii="Times New Roman" w:hAnsi="Times New Roman" w:cs="Times New Roman"/>
          <w:sz w:val="18"/>
          <w:szCs w:val="18"/>
          <w:vertAlign w:val="superscript"/>
        </w:rPr>
        <w:t>nd</w:t>
      </w:r>
      <w:r w:rsidRPr="003A3A84">
        <w:rPr>
          <w:rFonts w:ascii="Times New Roman" w:hAnsi="Times New Roman" w:cs="Times New Roman"/>
          <w:sz w:val="18"/>
          <w:szCs w:val="18"/>
        </w:rPr>
        <w:t xml:space="preserve"> Ed. Washington, D.C.: Resources for the Future.</w:t>
      </w:r>
    </w:p>
  </w:footnote>
  <w:footnote w:id="91">
    <w:p w:rsidR="000A5A0F" w:rsidRPr="00E707DE" w14:paraId="376E4E7D"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HHS estimates the average hospital charge per emergency department visit </w:t>
      </w:r>
      <w:r w:rsidR="00797B5E">
        <w:rPr>
          <w:rFonts w:ascii="Times New Roman" w:hAnsi="Times New Roman" w:cs="Times New Roman"/>
          <w:sz w:val="18"/>
          <w:szCs w:val="18"/>
        </w:rPr>
        <w:t>was</w:t>
      </w:r>
      <w:r w:rsidRPr="003A3A84">
        <w:rPr>
          <w:rFonts w:ascii="Times New Roman" w:hAnsi="Times New Roman" w:cs="Times New Roman"/>
          <w:sz w:val="18"/>
          <w:szCs w:val="18"/>
        </w:rPr>
        <w:t xml:space="preserve"> $5,587 in 2020 and the average hospital cost per emergency department visit </w:t>
      </w:r>
      <w:r w:rsidR="00797B5E">
        <w:rPr>
          <w:rFonts w:ascii="Times New Roman" w:hAnsi="Times New Roman" w:cs="Times New Roman"/>
          <w:sz w:val="18"/>
          <w:szCs w:val="18"/>
        </w:rPr>
        <w:t>was</w:t>
      </w:r>
      <w:r w:rsidRPr="003A3A84">
        <w:rPr>
          <w:rFonts w:ascii="Times New Roman" w:hAnsi="Times New Roman" w:cs="Times New Roman"/>
          <w:sz w:val="18"/>
          <w:szCs w:val="18"/>
        </w:rPr>
        <w:t xml:space="preserve"> $757</w:t>
      </w:r>
      <w:r w:rsidRPr="003A3A84" w:rsidR="00762FF2">
        <w:rPr>
          <w:rFonts w:ascii="Times New Roman" w:hAnsi="Times New Roman" w:cs="Times New Roman"/>
          <w:sz w:val="18"/>
          <w:szCs w:val="18"/>
        </w:rPr>
        <w:t xml:space="preserve"> per visit</w:t>
      </w:r>
      <w:r w:rsidRPr="003A3A84" w:rsidR="008E4374">
        <w:rPr>
          <w:rFonts w:ascii="Times New Roman" w:hAnsi="Times New Roman" w:cs="Times New Roman"/>
          <w:sz w:val="18"/>
          <w:szCs w:val="18"/>
        </w:rPr>
        <w:t xml:space="preserve"> (</w:t>
      </w:r>
      <w:hyperlink r:id="rId22" w:history="1">
        <w:r w:rsidRPr="008530DF" w:rsidR="00A45814">
          <w:rPr>
            <w:rStyle w:val="Hyperlink"/>
            <w:rFonts w:ascii="Times New Roman" w:hAnsi="Times New Roman" w:cs="Times New Roman"/>
            <w:sz w:val="18"/>
            <w:szCs w:val="18"/>
          </w:rPr>
          <w:t>http://hcupnet.ahrq.gov</w:t>
        </w:r>
      </w:hyperlink>
      <w:r w:rsidR="00A45814">
        <w:rPr>
          <w:rFonts w:ascii="Times New Roman" w:hAnsi="Times New Roman" w:cs="Times New Roman"/>
          <w:sz w:val="18"/>
          <w:szCs w:val="18"/>
        </w:rPr>
        <w:t xml:space="preserve"> </w:t>
      </w:r>
      <w:r w:rsidRPr="003A3A84" w:rsidR="008E4374">
        <w:rPr>
          <w:rFonts w:ascii="Times New Roman" w:hAnsi="Times New Roman" w:cs="Times New Roman"/>
          <w:sz w:val="18"/>
          <w:szCs w:val="18"/>
        </w:rPr>
        <w:t>)</w:t>
      </w:r>
      <w:r w:rsidRPr="003A3A84" w:rsidR="00762FF2">
        <w:rPr>
          <w:rFonts w:ascii="Times New Roman" w:hAnsi="Times New Roman" w:cs="Times New Roman"/>
          <w:sz w:val="18"/>
          <w:szCs w:val="18"/>
        </w:rPr>
        <w:t xml:space="preserve">. </w:t>
      </w:r>
      <w:r w:rsidRPr="003A3A84" w:rsidR="00C518CA">
        <w:rPr>
          <w:rFonts w:ascii="Times New Roman" w:hAnsi="Times New Roman" w:cs="Times New Roman"/>
          <w:sz w:val="18"/>
          <w:szCs w:val="18"/>
        </w:rPr>
        <w:t xml:space="preserve">Charges </w:t>
      </w:r>
      <w:r w:rsidRPr="003A3A84" w:rsidR="00261F53">
        <w:rPr>
          <w:rFonts w:ascii="Times New Roman" w:hAnsi="Times New Roman" w:cs="Times New Roman"/>
          <w:sz w:val="18"/>
          <w:szCs w:val="18"/>
        </w:rPr>
        <w:t xml:space="preserve">differ from costs because they are based on </w:t>
      </w:r>
      <w:r w:rsidRPr="003A3A84" w:rsidR="008E4374">
        <w:rPr>
          <w:rFonts w:ascii="Times New Roman" w:hAnsi="Times New Roman" w:cs="Times New Roman"/>
          <w:sz w:val="18"/>
          <w:szCs w:val="18"/>
        </w:rPr>
        <w:t xml:space="preserve">prices for services set by the health care provider before any </w:t>
      </w:r>
      <w:r w:rsidRPr="003A3A84" w:rsidR="00363A41">
        <w:rPr>
          <w:rFonts w:ascii="Times New Roman" w:hAnsi="Times New Roman" w:cs="Times New Roman"/>
          <w:sz w:val="18"/>
          <w:szCs w:val="18"/>
        </w:rPr>
        <w:t>discounts</w:t>
      </w:r>
      <w:r w:rsidRPr="003A3A84" w:rsidR="008E4374">
        <w:rPr>
          <w:rFonts w:ascii="Times New Roman" w:hAnsi="Times New Roman" w:cs="Times New Roman"/>
          <w:sz w:val="18"/>
          <w:szCs w:val="18"/>
        </w:rPr>
        <w:t>.</w:t>
      </w:r>
    </w:p>
  </w:footnote>
  <w:footnote w:id="92">
    <w:p w:rsidR="006F403D" w:rsidRPr="00D00B9E" w:rsidP="006F403D" w14:paraId="1DC5D6CC"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EPA assumes the value of time equals the value of an average worker’s after-tax wage and voluntary benefits (</w:t>
      </w:r>
      <w:hyperlink r:id="rId19" w:history="1">
        <w:r w:rsidRPr="003A3A84">
          <w:rPr>
            <w:rStyle w:val="Hyperlink"/>
            <w:rFonts w:ascii="Times New Roman" w:hAnsi="Times New Roman" w:cs="Times New Roman"/>
            <w:sz w:val="18"/>
            <w:szCs w:val="18"/>
          </w:rPr>
          <w:t>https://www.epa.gov/environmental-economics/epa-valuing-time-handbook-2020</w:t>
        </w:r>
      </w:hyperlink>
      <w:r w:rsidRPr="003A3A84">
        <w:rPr>
          <w:rFonts w:ascii="Times New Roman" w:hAnsi="Times New Roman" w:cs="Times New Roman"/>
          <w:sz w:val="18"/>
          <w:szCs w:val="18"/>
        </w:rPr>
        <w:t xml:space="preserve">). BLS data estimate the September 2022 mean hourly wage at $28.88 across all workers. BLS data estimate that wage is 6% and voluntary benefits are 23.9% of mean total compensation. EPA estimates that mean voluntary benefits equal 34.6% of mean wage by dividing 23.9% by 69%. See: </w:t>
      </w:r>
      <w:bookmarkStart w:id="141" w:name="_Hlk138452214"/>
      <w:hyperlink r:id="rId20" w:history="1">
        <w:r w:rsidRPr="003A3A84">
          <w:rPr>
            <w:rStyle w:val="Hyperlink"/>
            <w:rFonts w:ascii="Times New Roman" w:hAnsi="Times New Roman" w:cs="Times New Roman"/>
            <w:sz w:val="18"/>
            <w:szCs w:val="18"/>
          </w:rPr>
          <w:t>http://www.bls.gov/news.release/ecec.t01.htm</w:t>
        </w:r>
      </w:hyperlink>
      <w:bookmarkEnd w:id="141"/>
      <w:r>
        <w:rPr>
          <w:rFonts w:ascii="Times New Roman" w:hAnsi="Times New Roman" w:cs="Times New Roman"/>
          <w:sz w:val="18"/>
          <w:szCs w:val="18"/>
        </w:rPr>
        <w:t xml:space="preserve">. </w:t>
      </w:r>
      <w:r w:rsidRPr="00D00B9E">
        <w:rPr>
          <w:rFonts w:ascii="Times New Roman" w:hAnsi="Times New Roman" w:cs="Times New Roman"/>
          <w:sz w:val="18"/>
          <w:szCs w:val="18"/>
        </w:rPr>
        <w:t>EPA estimates the income tax share of pretax income from 2022 Census data as: (median household income – post-tax median household income) / median household income = ($70,784 - $65,345) / $70,784 = 7.7%. See:</w:t>
      </w:r>
    </w:p>
    <w:p w:rsidR="006F403D" w:rsidRPr="003A3A84" w:rsidP="006F403D" w14:paraId="49CE0B3A" w14:textId="77777777">
      <w:pPr>
        <w:pStyle w:val="FootnoteText"/>
        <w:rPr>
          <w:rFonts w:ascii="Times New Roman" w:hAnsi="Times New Roman" w:cs="Times New Roman"/>
          <w:sz w:val="18"/>
          <w:szCs w:val="18"/>
        </w:rPr>
      </w:pPr>
      <w:r w:rsidRPr="003A3A84">
        <w:rPr>
          <w:rFonts w:ascii="Times New Roman" w:hAnsi="Times New Roman" w:cs="Times New Roman"/>
          <w:color w:val="0462C1"/>
          <w:sz w:val="18"/>
          <w:szCs w:val="18"/>
          <w:u w:val="single" w:color="0462C1"/>
        </w:rPr>
        <w:t>https://www.census.gov/data/tables/2022/demo/income-poverty/p60-276.html. EPA estimates the value of time per hour as $28.88 – 7.7% x $28.88 + 34.6% x $28.88 = $36.66</w:t>
      </w:r>
      <w:r>
        <w:rPr>
          <w:rFonts w:ascii="Times New Roman" w:hAnsi="Times New Roman" w:cs="Times New Roman"/>
          <w:sz w:val="18"/>
          <w:szCs w:val="18"/>
        </w:rPr>
        <w:t>.</w:t>
      </w:r>
    </w:p>
  </w:footnote>
  <w:footnote w:id="93">
    <w:p w:rsidR="006F403D" w:rsidRPr="003A3A84" w:rsidP="006F403D" w14:paraId="009195FA" w14:textId="3C9A3F33">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The sheltering</w:t>
      </w:r>
      <w:r w:rsidR="00F46750">
        <w:rPr>
          <w:rFonts w:ascii="Times New Roman" w:hAnsi="Times New Roman" w:cs="Times New Roman"/>
          <w:sz w:val="18"/>
          <w:szCs w:val="18"/>
        </w:rPr>
        <w:t>duration</w:t>
      </w:r>
      <w:r w:rsidRPr="003A3A84" w:rsidR="00F46750">
        <w:rPr>
          <w:rFonts w:ascii="Times New Roman" w:hAnsi="Times New Roman" w:cs="Times New Roman"/>
          <w:sz w:val="18"/>
          <w:szCs w:val="18"/>
        </w:rPr>
        <w:t xml:space="preserve"> </w:t>
      </w:r>
      <w:r w:rsidRPr="003A3A84">
        <w:rPr>
          <w:rFonts w:ascii="Times New Roman" w:hAnsi="Times New Roman" w:cs="Times New Roman"/>
          <w:sz w:val="18"/>
          <w:szCs w:val="18"/>
        </w:rPr>
        <w:t xml:space="preserve">assumption is consistent with that used in the amendments rule RIA. In addition, CDC suggests sheltering-in-place in response to a chemical accident will be “a few hours” but recognizes that every emergency is different. </w:t>
      </w:r>
      <w:hyperlink r:id="rId23" w:history="1">
        <w:r w:rsidRPr="003A3A84">
          <w:rPr>
            <w:rStyle w:val="Hyperlink"/>
            <w:rFonts w:ascii="Times New Roman" w:hAnsi="Times New Roman" w:cs="Times New Roman"/>
            <w:sz w:val="18"/>
            <w:szCs w:val="18"/>
          </w:rPr>
          <w:t>https://emergency.cdc.gov/planning/Shelteringfacts.asp</w:t>
        </w:r>
      </w:hyperlink>
      <w:r w:rsidRPr="003A3A84">
        <w:rPr>
          <w:rFonts w:ascii="Times New Roman" w:hAnsi="Times New Roman" w:cs="Times New Roman"/>
          <w:sz w:val="18"/>
          <w:szCs w:val="18"/>
        </w:rPr>
        <w:t>.</w:t>
      </w:r>
    </w:p>
  </w:footnote>
  <w:footnote w:id="94">
    <w:p w:rsidR="006F403D" w:rsidRPr="006732D6" w:rsidP="006F403D" w14:paraId="6C334C7E" w14:textId="7191B3D2">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The evacuation </w:t>
      </w:r>
      <w:r w:rsidR="00F46750">
        <w:rPr>
          <w:rFonts w:ascii="Times New Roman" w:hAnsi="Times New Roman" w:cs="Times New Roman"/>
          <w:sz w:val="18"/>
          <w:szCs w:val="18"/>
        </w:rPr>
        <w:t>duration</w:t>
      </w:r>
      <w:r w:rsidRPr="003A3A84" w:rsidR="00F46750">
        <w:rPr>
          <w:rFonts w:ascii="Times New Roman" w:hAnsi="Times New Roman" w:cs="Times New Roman"/>
          <w:sz w:val="18"/>
          <w:szCs w:val="18"/>
        </w:rPr>
        <w:t xml:space="preserve"> </w:t>
      </w:r>
      <w:r w:rsidRPr="003A3A84">
        <w:rPr>
          <w:rFonts w:ascii="Times New Roman" w:hAnsi="Times New Roman" w:cs="Times New Roman"/>
          <w:sz w:val="18"/>
          <w:szCs w:val="18"/>
        </w:rPr>
        <w:t>assumption is consistent with that used in the amendments rule RIA. CDC data from the 1999-2008 Hazardous Substances Emergency Events Surveillance (HSEES) suggested that evacuations can last from a few minutes to 84 days, with a median duration of 2 hours and an average duration of 11 days (</w:t>
      </w:r>
      <w:hyperlink r:id="rId24" w:history="1">
        <w:r w:rsidRPr="008530DF">
          <w:rPr>
            <w:rStyle w:val="Hyperlink"/>
            <w:rFonts w:ascii="Times New Roman" w:hAnsi="Times New Roman" w:cs="Times New Roman"/>
            <w:sz w:val="18"/>
            <w:szCs w:val="18"/>
          </w:rPr>
          <w:t>https://www.cdc.gov/mmwr/pdf/ss/ss6402.pdf</w:t>
        </w:r>
      </w:hyperlink>
      <w:r>
        <w:rPr>
          <w:rFonts w:ascii="Times New Roman" w:hAnsi="Times New Roman" w:cs="Times New Roman"/>
          <w:sz w:val="18"/>
          <w:szCs w:val="18"/>
        </w:rPr>
        <w:t xml:space="preserve"> </w:t>
      </w:r>
      <w:r w:rsidRPr="003A3A84">
        <w:rPr>
          <w:rFonts w:ascii="Times New Roman" w:hAnsi="Times New Roman" w:cs="Times New Roman"/>
          <w:sz w:val="18"/>
          <w:szCs w:val="18"/>
        </w:rPr>
        <w:t xml:space="preserve">). Another study by Kim and Cho (2020) models evacuations completing in 5 hours </w:t>
      </w:r>
      <w:hyperlink r:id="rId25" w:history="1">
        <w:r w:rsidRPr="003A3A84">
          <w:rPr>
            <w:rStyle w:val="Hyperlink"/>
            <w:rFonts w:ascii="Times New Roman" w:hAnsi="Times New Roman" w:cs="Times New Roman"/>
            <w:sz w:val="18"/>
            <w:szCs w:val="18"/>
          </w:rPr>
          <w:t>https://pubmed.ncbi.nlm.nih.gov/33339315/</w:t>
        </w:r>
      </w:hyperlink>
      <w:r w:rsidRPr="003A3A84">
        <w:rPr>
          <w:rFonts w:ascii="Times New Roman" w:hAnsi="Times New Roman" w:cs="Times New Roman"/>
          <w:sz w:val="18"/>
          <w:szCs w:val="18"/>
        </w:rPr>
        <w:t>.</w:t>
      </w:r>
    </w:p>
  </w:footnote>
  <w:footnote w:id="95">
    <w:p w:rsidR="00A057D0" w:rsidRPr="00F03CB7" w:rsidP="00F03CB7" w14:paraId="070A7238" w14:textId="4499929A">
      <w:pPr>
        <w:pStyle w:val="pf0"/>
        <w:rPr>
          <w:sz w:val="18"/>
        </w:rPr>
      </w:pPr>
      <w:r w:rsidRPr="004E143E">
        <w:rPr>
          <w:rStyle w:val="FootnoteReference"/>
          <w:rFonts w:eastAsiaTheme="minorHAnsi"/>
          <w:sz w:val="18"/>
          <w:szCs w:val="18"/>
        </w:rPr>
        <w:footnoteRef/>
      </w:r>
      <w:r w:rsidRPr="004E143E">
        <w:rPr>
          <w:rStyle w:val="FootnoteReference"/>
          <w:rFonts w:eastAsiaTheme="minorHAnsi"/>
          <w:sz w:val="18"/>
          <w:szCs w:val="18"/>
        </w:rPr>
        <w:t xml:space="preserve"> </w:t>
      </w:r>
      <w:r w:rsidRPr="00A401FB">
        <w:rPr>
          <w:sz w:val="18"/>
        </w:rPr>
        <w:t>To obtain the</w:t>
      </w:r>
      <w:r w:rsidRPr="00F03CB7">
        <w:rPr>
          <w:sz w:val="18"/>
        </w:rPr>
        <w:t>se estimates, EPA re-estimated unit damage costs for the prior time periods by applying</w:t>
      </w:r>
      <w:r w:rsidRPr="00F03CB7">
        <w:rPr>
          <w:rStyle w:val="cf01"/>
          <w:rFonts w:ascii="Times New Roman" w:hAnsi="Times New Roman"/>
        </w:rPr>
        <w:t xml:space="preserve"> </w:t>
      </w:r>
      <w:r w:rsidRPr="00F03CB7" w:rsidR="000E3C7F">
        <w:rPr>
          <w:rStyle w:val="cf01"/>
          <w:rFonts w:ascii="Times New Roman" w:hAnsi="Times New Roman"/>
        </w:rPr>
        <w:t>the</w:t>
      </w:r>
      <w:r w:rsidR="000E3C7F">
        <w:rPr>
          <w:rStyle w:val="cf01"/>
          <w:rFonts w:ascii="Times New Roman" w:hAnsi="Times New Roman" w:cs="Times New Roman"/>
        </w:rPr>
        <w:t xml:space="preserve"> same set of</w:t>
      </w:r>
      <w:r w:rsidRPr="00F03CB7" w:rsidR="000E3C7F">
        <w:rPr>
          <w:rStyle w:val="cf01"/>
          <w:rFonts w:ascii="Times New Roman" w:hAnsi="Times New Roman"/>
        </w:rPr>
        <w:t xml:space="preserve"> assumptions used for the current final rule analysis</w:t>
      </w:r>
      <w:r w:rsidR="000E3C7F">
        <w:rPr>
          <w:rStyle w:val="cf01"/>
          <w:rFonts w:ascii="Times New Roman" w:hAnsi="Times New Roman" w:cs="Times New Roman"/>
        </w:rPr>
        <w:t xml:space="preserve"> and updating dollars to 2022. In </w:t>
      </w:r>
      <w:r w:rsidR="006F403D">
        <w:rPr>
          <w:rStyle w:val="cf01"/>
          <w:rFonts w:ascii="Times New Roman" w:hAnsi="Times New Roman" w:cs="Times New Roman"/>
        </w:rPr>
        <w:t xml:space="preserve">particular, </w:t>
      </w:r>
      <w:r w:rsidRPr="00F03CB7" w:rsidR="006F403D">
        <w:rPr>
          <w:rStyle w:val="cf01"/>
          <w:rFonts w:ascii="Times New Roman" w:hAnsi="Times New Roman"/>
        </w:rPr>
        <w:t>EPA</w:t>
      </w:r>
      <w:r w:rsidRPr="00F03CB7" w:rsidR="000E3C7F">
        <w:rPr>
          <w:rStyle w:val="cf01"/>
          <w:rFonts w:ascii="Times New Roman" w:hAnsi="Times New Roman"/>
        </w:rPr>
        <w:t xml:space="preserve"> re-estimated the costs assuming a fatality is valued at $10.4 million instead of $8.6 million (using the BEA GDP deflator), hospitalization costs </w:t>
      </w:r>
      <w:r w:rsidR="000E3C7F">
        <w:rPr>
          <w:rStyle w:val="cf01"/>
          <w:rFonts w:ascii="Times New Roman" w:hAnsi="Times New Roman" w:cs="Times New Roman"/>
        </w:rPr>
        <w:t xml:space="preserve">of </w:t>
      </w:r>
      <w:r w:rsidRPr="00F03CB7" w:rsidR="000E3C7F">
        <w:rPr>
          <w:rStyle w:val="cf01"/>
          <w:rFonts w:ascii="Times New Roman" w:hAnsi="Times New Roman"/>
        </w:rPr>
        <w:t xml:space="preserve">$45,000 instead of $36,000, and BLS mean hourly wage </w:t>
      </w:r>
      <w:r w:rsidR="000E3C7F">
        <w:rPr>
          <w:rStyle w:val="cf01"/>
          <w:rFonts w:ascii="Times New Roman" w:hAnsi="Times New Roman" w:cs="Times New Roman"/>
        </w:rPr>
        <w:t>rates of</w:t>
      </w:r>
      <w:r w:rsidRPr="00F03CB7" w:rsidR="000E3C7F">
        <w:rPr>
          <w:rStyle w:val="cf01"/>
          <w:rFonts w:ascii="Times New Roman" w:hAnsi="Times New Roman"/>
        </w:rPr>
        <w:t xml:space="preserve"> $28.88 instead of $22.65</w:t>
      </w:r>
      <w:r w:rsidR="000E3C7F">
        <w:rPr>
          <w:rStyle w:val="cf01"/>
          <w:rFonts w:ascii="Times New Roman" w:hAnsi="Times New Roman" w:cs="Times New Roman"/>
        </w:rPr>
        <w:t>.</w:t>
      </w:r>
      <w:r w:rsidRPr="00F03CB7" w:rsidR="000E3C7F">
        <w:rPr>
          <w:rStyle w:val="cf01"/>
          <w:rFonts w:ascii="Times New Roman" w:hAnsi="Times New Roman"/>
        </w:rPr>
        <w:t xml:space="preserve"> Previously, mean hourly wage was </w:t>
      </w:r>
      <w:r w:rsidR="000E3C7F">
        <w:rPr>
          <w:rStyle w:val="cf01"/>
          <w:rFonts w:ascii="Times New Roman" w:hAnsi="Times New Roman" w:cs="Times New Roman"/>
        </w:rPr>
        <w:t>estimated</w:t>
      </w:r>
      <w:r w:rsidRPr="00F03CB7" w:rsidR="000E3C7F">
        <w:rPr>
          <w:rStyle w:val="cf01"/>
          <w:rFonts w:ascii="Times New Roman" w:hAnsi="Times New Roman"/>
        </w:rPr>
        <w:t xml:space="preserve"> as </w:t>
      </w:r>
      <w:r w:rsidRPr="00AF6AF5" w:rsidR="000E3C7F">
        <w:rPr>
          <w:rStyle w:val="cf01"/>
          <w:rFonts w:ascii="Times New Roman" w:hAnsi="Times New Roman"/>
        </w:rPr>
        <w:t xml:space="preserve">the cost per hour to shelter-in-place or evacuate. </w:t>
      </w:r>
      <w:r w:rsidRPr="00AF6AF5" w:rsidR="000E3C7F">
        <w:rPr>
          <w:rStyle w:val="cf01"/>
          <w:rFonts w:ascii="Times New Roman" w:hAnsi="Times New Roman" w:cs="Times New Roman"/>
        </w:rPr>
        <w:t xml:space="preserve">Relying on updated </w:t>
      </w:r>
      <w:r w:rsidRPr="00AF6AF5" w:rsidR="004D5D4D">
        <w:rPr>
          <w:rStyle w:val="cf01"/>
          <w:rFonts w:ascii="Times New Roman" w:hAnsi="Times New Roman" w:cs="Times New Roman"/>
        </w:rPr>
        <w:t xml:space="preserve">guidance, </w:t>
      </w:r>
      <w:r w:rsidRPr="00AF6AF5" w:rsidR="004D5D4D">
        <w:rPr>
          <w:rStyle w:val="cf01"/>
          <w:rFonts w:ascii="Times New Roman" w:hAnsi="Times New Roman"/>
        </w:rPr>
        <w:t>this</w:t>
      </w:r>
      <w:r w:rsidRPr="00AF6AF5" w:rsidR="000E3C7F">
        <w:rPr>
          <w:rStyle w:val="cf01"/>
          <w:rFonts w:ascii="Times New Roman" w:hAnsi="Times New Roman"/>
        </w:rPr>
        <w:t xml:space="preserve"> final rule analysis uses mean hourly wage plus voluntary benefits less taxes, which is estimated at $36.66. </w:t>
      </w:r>
      <w:r w:rsidRPr="00AF6AF5" w:rsidR="000E3C7F">
        <w:rPr>
          <w:sz w:val="18"/>
          <w:szCs w:val="18"/>
        </w:rPr>
        <w:t>For 2004 to 2013, estimated monetized damages from RMP facility accidents are $47</w:t>
      </w:r>
      <w:r w:rsidRPr="00AF6AF5" w:rsidR="00823086">
        <w:rPr>
          <w:sz w:val="18"/>
          <w:szCs w:val="18"/>
        </w:rPr>
        <w:t>3.2</w:t>
      </w:r>
      <w:r w:rsidRPr="00AF6AF5" w:rsidR="000E3C7F">
        <w:rPr>
          <w:sz w:val="18"/>
          <w:szCs w:val="18"/>
        </w:rPr>
        <w:t xml:space="preserve"> million (2022$) on average per year; for 2014 to 2016, estimated monetized damages are $441.7 million (2022$) on average per year. In total, over the 2004 to 2020 time period, the average pr year is $4</w:t>
      </w:r>
      <w:r w:rsidRPr="00AF6AF5" w:rsidR="00823086">
        <w:rPr>
          <w:sz w:val="18"/>
          <w:szCs w:val="18"/>
        </w:rPr>
        <w:t>82.8</w:t>
      </w:r>
      <w:r w:rsidRPr="00AF6AF5" w:rsidR="000E3C7F">
        <w:rPr>
          <w:sz w:val="18"/>
          <w:szCs w:val="18"/>
        </w:rPr>
        <w:t xml:space="preserve"> and the average per accident is $3.</w:t>
      </w:r>
      <w:r w:rsidRPr="00AF6AF5" w:rsidR="00823086">
        <w:rPr>
          <w:sz w:val="18"/>
          <w:szCs w:val="18"/>
        </w:rPr>
        <w:t>4</w:t>
      </w:r>
      <w:r w:rsidRPr="00AF6AF5" w:rsidR="000E3C7F">
        <w:rPr>
          <w:sz w:val="18"/>
          <w:szCs w:val="18"/>
        </w:rPr>
        <w:t xml:space="preserve"> million (2022$).</w:t>
      </w:r>
      <w:r w:rsidRPr="00AF6AF5" w:rsidR="00C75AAD">
        <w:rPr>
          <w:sz w:val="18"/>
          <w:szCs w:val="18"/>
        </w:rPr>
        <w:t xml:space="preserve"> </w:t>
      </w:r>
      <w:r w:rsidRPr="00AF6AF5" w:rsidR="00BD7386">
        <w:rPr>
          <w:sz w:val="18"/>
          <w:szCs w:val="18"/>
        </w:rPr>
        <w:t>EPA also updated a</w:t>
      </w:r>
      <w:r w:rsidRPr="00AF6AF5">
        <w:rPr>
          <w:sz w:val="18"/>
          <w:szCs w:val="18"/>
        </w:rPr>
        <w:t>ccident</w:t>
      </w:r>
      <w:r w:rsidRPr="00AF6AF5">
        <w:rPr>
          <w:sz w:val="18"/>
        </w:rPr>
        <w:t xml:space="preserve"> data </w:t>
      </w:r>
      <w:r w:rsidRPr="00AF6AF5" w:rsidR="00BD7386">
        <w:rPr>
          <w:sz w:val="18"/>
          <w:szCs w:val="18"/>
        </w:rPr>
        <w:t>which</w:t>
      </w:r>
      <w:r w:rsidRPr="00AF6AF5">
        <w:rPr>
          <w:sz w:val="18"/>
          <w:szCs w:val="18"/>
        </w:rPr>
        <w:t xml:space="preserve"> </w:t>
      </w:r>
      <w:r w:rsidRPr="00AF6AF5">
        <w:rPr>
          <w:sz w:val="18"/>
        </w:rPr>
        <w:t>can be continuously updated in RMP filings</w:t>
      </w:r>
      <w:r w:rsidRPr="00AF6AF5" w:rsidR="00BD7386">
        <w:rPr>
          <w:sz w:val="18"/>
          <w:szCs w:val="18"/>
        </w:rPr>
        <w:t>. This resulted in</w:t>
      </w:r>
      <w:r w:rsidRPr="00AF6AF5">
        <w:rPr>
          <w:sz w:val="18"/>
        </w:rPr>
        <w:t xml:space="preserve"> differences in the raw accident data</w:t>
      </w:r>
      <w:r w:rsidRPr="00A401FB">
        <w:rPr>
          <w:sz w:val="18"/>
        </w:rPr>
        <w:t xml:space="preserve"> between the December 31, 2020 RMP data used in this final rule and RMP data used in the amendments rule and reconsideration rule RIAs.</w:t>
      </w:r>
    </w:p>
  </w:footnote>
  <w:footnote w:id="96">
    <w:p w:rsidR="00BE4E59" w:rsidRPr="00E707DE" w:rsidP="00BE4E59" w14:paraId="36CC7156" w14:textId="77777777">
      <w:pPr>
        <w:pStyle w:val="FootnoteText"/>
        <w:rPr>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For discussion of these estimates, see Chapter 6 in the </w:t>
      </w:r>
      <w:r w:rsidRPr="00E707DE" w:rsidR="0008440C">
        <w:rPr>
          <w:rFonts w:ascii="Times New Roman" w:hAnsi="Times New Roman" w:cs="Times New Roman"/>
          <w:sz w:val="18"/>
          <w:szCs w:val="18"/>
        </w:rPr>
        <w:t>Amendments</w:t>
      </w:r>
      <w:r w:rsidRPr="00E707DE">
        <w:rPr>
          <w:rFonts w:ascii="Times New Roman" w:hAnsi="Times New Roman" w:cs="Times New Roman"/>
          <w:sz w:val="18"/>
          <w:szCs w:val="18"/>
        </w:rPr>
        <w:t xml:space="preserve"> </w:t>
      </w:r>
      <w:r w:rsidRPr="00E707DE" w:rsidR="0008440C">
        <w:rPr>
          <w:rFonts w:ascii="Times New Roman" w:hAnsi="Times New Roman" w:cs="Times New Roman"/>
          <w:sz w:val="18"/>
          <w:szCs w:val="18"/>
        </w:rPr>
        <w:t>Rule</w:t>
      </w:r>
      <w:r w:rsidRPr="00E707DE">
        <w:rPr>
          <w:rFonts w:ascii="Times New Roman" w:hAnsi="Times New Roman" w:cs="Times New Roman"/>
          <w:sz w:val="18"/>
          <w:szCs w:val="18"/>
        </w:rPr>
        <w:t xml:space="preserve"> RIA. </w:t>
      </w:r>
      <w:r w:rsidRPr="00E707DE">
        <w:rPr>
          <w:rFonts w:ascii="Times New Roman" w:hAnsi="Times New Roman" w:cs="Times New Roman"/>
          <w:i/>
          <w:iCs/>
          <w:sz w:val="18"/>
          <w:szCs w:val="18"/>
        </w:rPr>
        <w:t>Regulatory Impact Analysis</w:t>
      </w:r>
      <w:r w:rsidRPr="00E707DE">
        <w:rPr>
          <w:rFonts w:ascii="Times New Roman" w:hAnsi="Times New Roman" w:cs="Times New Roman"/>
          <w:sz w:val="18"/>
          <w:szCs w:val="18"/>
        </w:rPr>
        <w:t xml:space="preserve"> </w:t>
      </w:r>
      <w:r w:rsidRPr="00E707DE">
        <w:rPr>
          <w:rFonts w:ascii="Times New Roman" w:hAnsi="Times New Roman" w:cs="Times New Roman"/>
          <w:i/>
          <w:iCs/>
          <w:sz w:val="18"/>
          <w:szCs w:val="18"/>
        </w:rPr>
        <w:t xml:space="preserve">Accidental Release Prevention Requirements: Risk Management Programs Under the Clean Air Act, Section 112(r)(7). </w:t>
      </w:r>
      <w:r w:rsidRPr="00E707DE">
        <w:rPr>
          <w:rFonts w:ascii="Times New Roman" w:hAnsi="Times New Roman" w:cs="Times New Roman"/>
          <w:sz w:val="18"/>
          <w:szCs w:val="18"/>
        </w:rPr>
        <w:t>U.S. Environmental Protection Agency (EPA), Office of Land and Emergency management (OLEM), Office of Emergency Management (OEM) 1200 Pennsylvania Ave., NW (Mail Code 5104A), Washington, DC 20460. February 14, 2016. Also see Chapter 6 in the Reconsideration Rule RIA</w:t>
      </w:r>
      <w:r w:rsidRPr="00E707DE">
        <w:rPr>
          <w:rFonts w:ascii="Times New Roman" w:hAnsi="Times New Roman" w:cs="Times New Roman"/>
          <w:i/>
          <w:iCs/>
          <w:sz w:val="18"/>
          <w:szCs w:val="18"/>
        </w:rPr>
        <w:t>, Regulatory Impact Analysis Reconsideration of the 2017 Amendments to the Accidental Release Prevention Requirements: Risk Management Programs Under the Clean Air Act, Section 112(r)(7),</w:t>
      </w:r>
      <w:r w:rsidRPr="00E707DE">
        <w:rPr>
          <w:rFonts w:ascii="Times New Roman" w:hAnsi="Times New Roman" w:cs="Times New Roman"/>
          <w:sz w:val="18"/>
          <w:szCs w:val="18"/>
        </w:rPr>
        <w:t xml:space="preserve"> </w:t>
      </w:r>
      <w:r w:rsidRPr="00E707DE">
        <w:rPr>
          <w:rFonts w:ascii="Times New Roman" w:hAnsi="Times New Roman" w:cs="Times New Roman"/>
          <w:i/>
          <w:iCs/>
          <w:sz w:val="18"/>
          <w:szCs w:val="18"/>
        </w:rPr>
        <w:t xml:space="preserve">). </w:t>
      </w:r>
      <w:r w:rsidRPr="00E707DE">
        <w:rPr>
          <w:rFonts w:ascii="Times New Roman" w:hAnsi="Times New Roman" w:cs="Times New Roman"/>
          <w:sz w:val="18"/>
          <w:szCs w:val="18"/>
        </w:rPr>
        <w:t>U.S. Environmental Protection Agency (EPA), Office of Land and Emergency management (OLEM), Office of Emergency Management (OEM) 1200 Pennsylvania Ave., NW (Mail Code 5104A), Washington, DC 20460. November 18, 2019.</w:t>
      </w:r>
    </w:p>
  </w:footnote>
  <w:footnote w:id="97">
    <w:p w:rsidR="00C61885" w:rsidRPr="004C0240" w14:paraId="5C24C369" w14:textId="77777777">
      <w:pPr>
        <w:pStyle w:val="FootnoteText"/>
        <w:rPr>
          <w:rFonts w:ascii="Times New Roman" w:hAnsi="Times New Roman" w:cs="Times New Roman"/>
          <w:sz w:val="18"/>
          <w:szCs w:val="18"/>
        </w:rPr>
      </w:pPr>
      <w:r w:rsidRPr="004C0240">
        <w:rPr>
          <w:rStyle w:val="FootnoteReference"/>
          <w:rFonts w:ascii="Times New Roman" w:hAnsi="Times New Roman" w:cs="Times New Roman"/>
          <w:sz w:val="18"/>
          <w:szCs w:val="18"/>
        </w:rPr>
        <w:footnoteRef/>
      </w:r>
      <w:r w:rsidRPr="004C0240">
        <w:rPr>
          <w:rFonts w:ascii="Times New Roman" w:hAnsi="Times New Roman" w:cs="Times New Roman"/>
          <w:sz w:val="18"/>
          <w:szCs w:val="18"/>
        </w:rPr>
        <w:t xml:space="preserve"> </w:t>
      </w:r>
      <w:r w:rsidRPr="004C0240" w:rsidR="00CF7A9B">
        <w:rPr>
          <w:rFonts w:ascii="Times New Roman" w:hAnsi="Times New Roman" w:cs="Times New Roman"/>
          <w:sz w:val="18"/>
          <w:szCs w:val="18"/>
        </w:rPr>
        <w:t xml:space="preserve">Previous RMP RIAs </w:t>
      </w:r>
      <w:r w:rsidRPr="004C0240" w:rsidR="008B46B8">
        <w:rPr>
          <w:rFonts w:ascii="Times New Roman" w:hAnsi="Times New Roman" w:cs="Times New Roman"/>
          <w:sz w:val="18"/>
          <w:szCs w:val="18"/>
        </w:rPr>
        <w:t>include</w:t>
      </w:r>
      <w:r w:rsidRPr="004C0240" w:rsidR="00955791">
        <w:rPr>
          <w:rFonts w:ascii="Times New Roman" w:hAnsi="Times New Roman" w:cs="Times New Roman"/>
          <w:sz w:val="18"/>
          <w:szCs w:val="18"/>
        </w:rPr>
        <w:t xml:space="preserve"> the 2019 reconsideration rule RIA</w:t>
      </w:r>
      <w:r w:rsidR="00E61CE7">
        <w:rPr>
          <w:rFonts w:ascii="Times New Roman" w:hAnsi="Times New Roman" w:cs="Times New Roman"/>
          <w:sz w:val="18"/>
          <w:szCs w:val="18"/>
        </w:rPr>
        <w:t xml:space="preserve"> (</w:t>
      </w:r>
      <w:r w:rsidR="00C8765F">
        <w:rPr>
          <w:rFonts w:ascii="Times New Roman" w:hAnsi="Times New Roman" w:cs="Times New Roman"/>
          <w:sz w:val="18"/>
          <w:szCs w:val="18"/>
        </w:rPr>
        <w:t xml:space="preserve">EPA-HQ-OEM-2015-0725-2089, available at: </w:t>
      </w:r>
      <w:hyperlink r:id="rId26" w:history="1">
        <w:r w:rsidRPr="008530DF" w:rsidR="00A45814">
          <w:rPr>
            <w:rStyle w:val="Hyperlink"/>
            <w:rFonts w:ascii="Times New Roman" w:hAnsi="Times New Roman" w:cs="Times New Roman"/>
            <w:sz w:val="18"/>
            <w:szCs w:val="18"/>
          </w:rPr>
          <w:t>https://www.regulations.gov/document/EPA-HQ-OEM-2015-0725-2089</w:t>
        </w:r>
      </w:hyperlink>
      <w:r w:rsidR="00A45814">
        <w:rPr>
          <w:rFonts w:ascii="Times New Roman" w:hAnsi="Times New Roman" w:cs="Times New Roman"/>
          <w:sz w:val="18"/>
          <w:szCs w:val="18"/>
        </w:rPr>
        <w:t xml:space="preserve"> </w:t>
      </w:r>
      <w:r w:rsidRPr="004C0240" w:rsidR="00955791">
        <w:rPr>
          <w:rFonts w:ascii="Times New Roman" w:hAnsi="Times New Roman" w:cs="Times New Roman"/>
          <w:sz w:val="18"/>
          <w:szCs w:val="18"/>
        </w:rPr>
        <w:t>, 2017 amendments rule RIA</w:t>
      </w:r>
      <w:r w:rsidR="005A4D88">
        <w:rPr>
          <w:rFonts w:ascii="Times New Roman" w:hAnsi="Times New Roman" w:cs="Times New Roman"/>
          <w:sz w:val="18"/>
          <w:szCs w:val="18"/>
        </w:rPr>
        <w:t xml:space="preserve"> (</w:t>
      </w:r>
      <w:r w:rsidRPr="005A4D88" w:rsidR="005A4D88">
        <w:rPr>
          <w:rFonts w:ascii="Times New Roman" w:hAnsi="Times New Roman" w:cs="Times New Roman"/>
          <w:sz w:val="18"/>
          <w:szCs w:val="18"/>
        </w:rPr>
        <w:t>EPA-HQ-OEM-2015-0725-0734</w:t>
      </w:r>
      <w:r w:rsidR="00A45814">
        <w:rPr>
          <w:rFonts w:ascii="Times New Roman" w:hAnsi="Times New Roman" w:cs="Times New Roman"/>
          <w:sz w:val="18"/>
          <w:szCs w:val="18"/>
        </w:rPr>
        <w:t xml:space="preserve">), </w:t>
      </w:r>
      <w:r w:rsidR="005A4D88">
        <w:rPr>
          <w:rFonts w:ascii="Times New Roman" w:hAnsi="Times New Roman" w:cs="Times New Roman"/>
          <w:sz w:val="18"/>
          <w:szCs w:val="18"/>
        </w:rPr>
        <w:t xml:space="preserve"> available </w:t>
      </w:r>
      <w:r w:rsidR="006F0AE5">
        <w:rPr>
          <w:rFonts w:ascii="Times New Roman" w:hAnsi="Times New Roman" w:cs="Times New Roman"/>
          <w:sz w:val="18"/>
          <w:szCs w:val="18"/>
        </w:rPr>
        <w:t>at</w:t>
      </w:r>
      <w:r w:rsidR="005A4D88">
        <w:rPr>
          <w:rFonts w:ascii="Times New Roman" w:hAnsi="Times New Roman" w:cs="Times New Roman"/>
          <w:sz w:val="18"/>
          <w:szCs w:val="18"/>
        </w:rPr>
        <w:t xml:space="preserve">: </w:t>
      </w:r>
      <w:hyperlink r:id="rId27" w:history="1">
        <w:r w:rsidRPr="008530DF" w:rsidR="00A45814">
          <w:rPr>
            <w:rStyle w:val="Hyperlink"/>
            <w:rFonts w:ascii="Times New Roman" w:hAnsi="Times New Roman" w:cs="Times New Roman"/>
            <w:sz w:val="18"/>
            <w:szCs w:val="18"/>
          </w:rPr>
          <w:t>https://www.regulations.gov/document/EPA-HQ-OEM-2015-0725-0734</w:t>
        </w:r>
      </w:hyperlink>
      <w:r w:rsidR="00A45814">
        <w:rPr>
          <w:rFonts w:ascii="Times New Roman" w:hAnsi="Times New Roman" w:cs="Times New Roman"/>
          <w:sz w:val="18"/>
          <w:szCs w:val="18"/>
        </w:rPr>
        <w:t xml:space="preserve"> </w:t>
      </w:r>
      <w:r w:rsidRPr="004C0240" w:rsidR="00955791">
        <w:rPr>
          <w:rFonts w:ascii="Times New Roman" w:hAnsi="Times New Roman" w:cs="Times New Roman"/>
          <w:sz w:val="18"/>
          <w:szCs w:val="18"/>
        </w:rPr>
        <w:t xml:space="preserve">, </w:t>
      </w:r>
      <w:r w:rsidRPr="004C0240" w:rsidR="00FA4932">
        <w:rPr>
          <w:rFonts w:ascii="Times New Roman" w:hAnsi="Times New Roman" w:cs="Times New Roman"/>
          <w:sz w:val="18"/>
          <w:szCs w:val="18"/>
        </w:rPr>
        <w:t xml:space="preserve">and the </w:t>
      </w:r>
      <w:r w:rsidRPr="004C0240" w:rsidR="00D71FFE">
        <w:rPr>
          <w:rFonts w:ascii="Times New Roman" w:hAnsi="Times New Roman" w:cs="Times New Roman"/>
          <w:sz w:val="18"/>
          <w:szCs w:val="18"/>
        </w:rPr>
        <w:t xml:space="preserve">1996 </w:t>
      </w:r>
      <w:r w:rsidRPr="004C0240" w:rsidR="00FA4932">
        <w:rPr>
          <w:rFonts w:ascii="Times New Roman" w:hAnsi="Times New Roman" w:cs="Times New Roman"/>
          <w:sz w:val="18"/>
          <w:szCs w:val="18"/>
        </w:rPr>
        <w:t>“Economic Analysis in Support of Final Rule on Risk Management Program Regulations for Chemical Accident Release Prevention, as Required by Section 112(r) of the Clean Air Act</w:t>
      </w:r>
      <w:r w:rsidRPr="004C0240" w:rsidR="006213B3">
        <w:rPr>
          <w:rFonts w:ascii="Times New Roman" w:hAnsi="Times New Roman" w:cs="Times New Roman"/>
          <w:sz w:val="18"/>
          <w:szCs w:val="18"/>
        </w:rPr>
        <w:t>”</w:t>
      </w:r>
      <w:r w:rsidRPr="004C0240" w:rsidR="00D71FFE">
        <w:rPr>
          <w:rFonts w:ascii="Times New Roman" w:hAnsi="Times New Roman" w:cs="Times New Roman"/>
          <w:sz w:val="18"/>
          <w:szCs w:val="18"/>
        </w:rPr>
        <w:t xml:space="preserve"> </w:t>
      </w:r>
      <w:r w:rsidRPr="004C0240" w:rsidR="000D603B">
        <w:rPr>
          <w:rFonts w:ascii="Times New Roman" w:hAnsi="Times New Roman" w:cs="Times New Roman"/>
          <w:sz w:val="18"/>
          <w:szCs w:val="18"/>
        </w:rPr>
        <w:t>EPA-HQ-</w:t>
      </w:r>
      <w:r w:rsidRPr="004C0240" w:rsidR="0052553A">
        <w:rPr>
          <w:rFonts w:ascii="Times New Roman" w:hAnsi="Times New Roman" w:cs="Times New Roman"/>
          <w:sz w:val="18"/>
          <w:szCs w:val="18"/>
        </w:rPr>
        <w:t>OAR-2004-</w:t>
      </w:r>
      <w:r w:rsidRPr="004C0240" w:rsidR="000D7572">
        <w:rPr>
          <w:rFonts w:ascii="Times New Roman" w:hAnsi="Times New Roman" w:cs="Times New Roman"/>
          <w:sz w:val="18"/>
          <w:szCs w:val="18"/>
        </w:rPr>
        <w:t>0365</w:t>
      </w:r>
      <w:r w:rsidRPr="004C0240" w:rsidR="00443AB4">
        <w:rPr>
          <w:rFonts w:ascii="Times New Roman" w:hAnsi="Times New Roman" w:cs="Times New Roman"/>
          <w:sz w:val="18"/>
          <w:szCs w:val="18"/>
        </w:rPr>
        <w:t>-0066</w:t>
      </w:r>
      <w:r w:rsidRPr="004C0240" w:rsidR="006213B3">
        <w:rPr>
          <w:rFonts w:ascii="Times New Roman" w:hAnsi="Times New Roman" w:cs="Times New Roman"/>
          <w:sz w:val="18"/>
          <w:szCs w:val="18"/>
        </w:rPr>
        <w:t xml:space="preserve"> </w:t>
      </w:r>
      <w:r w:rsidRPr="004C0240" w:rsidR="00AB5E8A">
        <w:rPr>
          <w:rFonts w:ascii="Times New Roman" w:hAnsi="Times New Roman" w:cs="Times New Roman"/>
          <w:sz w:val="18"/>
          <w:szCs w:val="18"/>
        </w:rPr>
        <w:t xml:space="preserve">(available </w:t>
      </w:r>
      <w:r w:rsidR="006F0AE5">
        <w:rPr>
          <w:rFonts w:ascii="Times New Roman" w:hAnsi="Times New Roman" w:cs="Times New Roman"/>
          <w:sz w:val="18"/>
          <w:szCs w:val="18"/>
        </w:rPr>
        <w:t>at</w:t>
      </w:r>
      <w:r w:rsidRPr="004C0240" w:rsidR="00AB5E8A">
        <w:rPr>
          <w:rFonts w:ascii="Times New Roman" w:hAnsi="Times New Roman" w:cs="Times New Roman"/>
          <w:sz w:val="18"/>
          <w:szCs w:val="18"/>
        </w:rPr>
        <w:t xml:space="preserve">: </w:t>
      </w:r>
      <w:hyperlink r:id="rId28" w:history="1">
        <w:r w:rsidRPr="008530DF" w:rsidR="00A45814">
          <w:rPr>
            <w:rStyle w:val="Hyperlink"/>
            <w:rFonts w:ascii="Times New Roman" w:hAnsi="Times New Roman" w:cs="Times New Roman"/>
            <w:sz w:val="18"/>
            <w:szCs w:val="18"/>
          </w:rPr>
          <w:t>https://www.regulations.gov/document/EPA-HQ-OAR-2004-0365-0066</w:t>
        </w:r>
      </w:hyperlink>
      <w:r w:rsidR="00A45814">
        <w:rPr>
          <w:rFonts w:ascii="Times New Roman" w:hAnsi="Times New Roman" w:cs="Times New Roman"/>
          <w:sz w:val="18"/>
          <w:szCs w:val="18"/>
        </w:rPr>
        <w:t>)</w:t>
      </w:r>
      <w:r w:rsidRPr="004C0240" w:rsidR="00AB5E8A">
        <w:rPr>
          <w:rFonts w:ascii="Times New Roman" w:hAnsi="Times New Roman" w:cs="Times New Roman"/>
          <w:sz w:val="18"/>
          <w:szCs w:val="18"/>
        </w:rPr>
        <w:t>.</w:t>
      </w:r>
    </w:p>
  </w:footnote>
  <w:footnote w:id="98">
    <w:p w:rsidR="00B978B5" w:rsidRPr="003A3A84" w:rsidP="006D46CA" w14:paraId="096984D0" w14:textId="77777777">
      <w:pPr>
        <w:spacing w:after="0" w:line="240" w:lineRule="auto"/>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See</w:t>
      </w:r>
      <w:r w:rsidRPr="003A3A84" w:rsidR="00752B6B">
        <w:rPr>
          <w:rFonts w:ascii="Times New Roman" w:hAnsi="Times New Roman" w:cs="Times New Roman"/>
          <w:sz w:val="18"/>
          <w:szCs w:val="18"/>
        </w:rPr>
        <w:t xml:space="preserve"> </w:t>
      </w:r>
      <w:hyperlink r:id="rId29" w:history="1">
        <w:r w:rsidRPr="003A3A84" w:rsidR="0058377A">
          <w:rPr>
            <w:rStyle w:val="Hyperlink"/>
            <w:rFonts w:ascii="Times New Roman" w:hAnsi="Times New Roman" w:cs="Times New Roman"/>
            <w:sz w:val="18"/>
            <w:szCs w:val="18"/>
          </w:rPr>
          <w:t>https://www.bls.gov/oes/2022/may/oes_nat.htm</w:t>
        </w:r>
      </w:hyperlink>
      <w:r w:rsidRPr="003A3A84" w:rsidR="00752B6B">
        <w:rPr>
          <w:rFonts w:ascii="Times New Roman" w:hAnsi="Times New Roman" w:cs="Times New Roman"/>
          <w:sz w:val="18"/>
          <w:szCs w:val="18"/>
        </w:rPr>
        <w:t>.</w:t>
      </w:r>
    </w:p>
  </w:footnote>
  <w:footnote w:id="99">
    <w:p w:rsidR="00F55CD4" w:rsidRPr="00E707DE" w:rsidP="002A7768" w14:paraId="3018E818" w14:textId="77777777">
      <w:pPr>
        <w:pStyle w:val="FootnoteText"/>
        <w:rPr>
          <w:rFonts w:ascii="Times New Roman" w:hAnsi="Times New Roman" w:cs="Times New Roman"/>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w:t>
      </w:r>
      <w:r w:rsidRPr="00E707DE" w:rsidR="00511FC4">
        <w:rPr>
          <w:rFonts w:ascii="Times New Roman" w:hAnsi="Times New Roman" w:cs="Times New Roman"/>
          <w:sz w:val="18"/>
          <w:szCs w:val="18"/>
        </w:rPr>
        <w:t>BLS</w:t>
      </w:r>
      <w:r w:rsidRPr="00E707DE">
        <w:rPr>
          <w:rFonts w:ascii="Times New Roman" w:hAnsi="Times New Roman" w:cs="Times New Roman"/>
          <w:sz w:val="18"/>
          <w:szCs w:val="18"/>
        </w:rPr>
        <w:t xml:space="preserve"> Employer Costs for Employee Compensation. For </w:t>
      </w:r>
      <w:r w:rsidRPr="00E707DE" w:rsidR="00526C8C">
        <w:rPr>
          <w:rFonts w:ascii="Times New Roman" w:hAnsi="Times New Roman" w:cs="Times New Roman"/>
          <w:sz w:val="18"/>
          <w:szCs w:val="18"/>
        </w:rPr>
        <w:t>December 2022</w:t>
      </w:r>
      <w:r w:rsidRPr="00E707DE">
        <w:rPr>
          <w:rFonts w:ascii="Times New Roman" w:hAnsi="Times New Roman" w:cs="Times New Roman"/>
          <w:sz w:val="18"/>
          <w:szCs w:val="18"/>
        </w:rPr>
        <w:t>, Table 1 shows that for civilian workers, on average for the nation, fringe benefits were 31.</w:t>
      </w:r>
      <w:r w:rsidRPr="00E707DE" w:rsidR="00526C8C">
        <w:rPr>
          <w:rFonts w:ascii="Times New Roman" w:hAnsi="Times New Roman" w:cs="Times New Roman"/>
          <w:sz w:val="18"/>
          <w:szCs w:val="18"/>
        </w:rPr>
        <w:t>0</w:t>
      </w:r>
      <w:r w:rsidRPr="00E707DE">
        <w:rPr>
          <w:rFonts w:ascii="Times New Roman" w:hAnsi="Times New Roman" w:cs="Times New Roman"/>
          <w:sz w:val="18"/>
          <w:szCs w:val="18"/>
        </w:rPr>
        <w:t xml:space="preserve">% of total compensation, and </w:t>
      </w:r>
      <w:r w:rsidRPr="00E707DE" w:rsidR="009947D5">
        <w:rPr>
          <w:rFonts w:ascii="Times New Roman" w:hAnsi="Times New Roman" w:cs="Times New Roman"/>
          <w:sz w:val="18"/>
          <w:szCs w:val="18"/>
        </w:rPr>
        <w:t>4</w:t>
      </w:r>
      <w:r w:rsidRPr="00E707DE" w:rsidR="00AC06D1">
        <w:rPr>
          <w:rFonts w:ascii="Times New Roman" w:hAnsi="Times New Roman" w:cs="Times New Roman"/>
          <w:sz w:val="18"/>
          <w:szCs w:val="18"/>
        </w:rPr>
        <w:t>4</w:t>
      </w:r>
      <w:r w:rsidRPr="00E707DE">
        <w:rPr>
          <w:rFonts w:ascii="Times New Roman" w:hAnsi="Times New Roman" w:cs="Times New Roman"/>
          <w:sz w:val="18"/>
          <w:szCs w:val="18"/>
        </w:rPr>
        <w:t>.</w:t>
      </w:r>
      <w:r w:rsidRPr="00E707DE" w:rsidR="00AC06D1">
        <w:rPr>
          <w:rFonts w:ascii="Times New Roman" w:hAnsi="Times New Roman" w:cs="Times New Roman"/>
          <w:sz w:val="18"/>
          <w:szCs w:val="18"/>
        </w:rPr>
        <w:t>9</w:t>
      </w:r>
      <w:r w:rsidRPr="00E707DE">
        <w:rPr>
          <w:rFonts w:ascii="Times New Roman" w:hAnsi="Times New Roman" w:cs="Times New Roman"/>
          <w:sz w:val="18"/>
          <w:szCs w:val="18"/>
        </w:rPr>
        <w:t>% of wages.</w:t>
      </w:r>
    </w:p>
  </w:footnote>
  <w:footnote w:id="100">
    <w:p w:rsidR="00C5384D" w:rsidRPr="00F76659" w:rsidP="002A7768" w14:paraId="468CB3F7" w14:textId="77777777">
      <w:pPr>
        <w:spacing w:after="0"/>
        <w:rPr>
          <w:rFonts w:ascii="Times New Roman" w:hAnsi="Times New Roman" w:cs="Times New Roman"/>
          <w:sz w:val="20"/>
          <w:szCs w:val="20"/>
        </w:rPr>
      </w:pPr>
      <w:r w:rsidRPr="00E707DE">
        <w:rPr>
          <w:rStyle w:val="FootnoteReference"/>
          <w:rFonts w:ascii="Times New Roman" w:hAnsi="Times New Roman" w:cs="Times New Roman"/>
          <w:sz w:val="18"/>
          <w:szCs w:val="18"/>
        </w:rPr>
        <w:footnoteRef/>
      </w:r>
      <w:r w:rsidRPr="00E707DE" w:rsidR="00470D0C">
        <w:rPr>
          <w:rFonts w:ascii="Times New Roman" w:hAnsi="Times New Roman" w:cs="Times New Roman"/>
          <w:sz w:val="18"/>
          <w:szCs w:val="18"/>
        </w:rPr>
        <w:t xml:space="preserve"> </w:t>
      </w:r>
      <w:r w:rsidRPr="00E707DE" w:rsidR="0020448F">
        <w:rPr>
          <w:rFonts w:ascii="Times New Roman" w:hAnsi="Times New Roman" w:cs="Times New Roman"/>
          <w:sz w:val="18"/>
          <w:szCs w:val="18"/>
        </w:rPr>
        <w:t xml:space="preserve">For details explaining this approach, please see </w:t>
      </w:r>
      <w:r w:rsidRPr="00E707DE" w:rsidR="00F15FC0">
        <w:rPr>
          <w:rFonts w:ascii="Times New Roman" w:hAnsi="Times New Roman" w:cs="Times New Roman"/>
          <w:sz w:val="18"/>
          <w:szCs w:val="18"/>
        </w:rPr>
        <w:t>Handbook on Valuing Changes in Time Use Induced by Regulatory Requirements and Other EPA Actions, National Center for Environmental Economics, EPA-236-B-15-001 December 9, 2020</w:t>
      </w:r>
      <w:r w:rsidRPr="00E707DE" w:rsidR="00595052">
        <w:rPr>
          <w:rFonts w:ascii="Times New Roman" w:hAnsi="Times New Roman" w:cs="Times New Roman"/>
          <w:sz w:val="18"/>
          <w:szCs w:val="18"/>
        </w:rPr>
        <w:t>.</w:t>
      </w:r>
    </w:p>
  </w:footnote>
  <w:footnote w:id="101">
    <w:p w:rsidR="00900B2C" w:rsidRPr="00E707DE" w:rsidP="00900B2C" w14:paraId="1EE0DD01" w14:textId="77777777">
      <w:pPr>
        <w:spacing w:after="0" w:line="240" w:lineRule="auto"/>
        <w:rPr>
          <w:rFonts w:ascii="Times New Roman" w:hAnsi="Times New Roman" w:cs="Times New Roman"/>
          <w:sz w:val="18"/>
          <w:szCs w:val="18"/>
        </w:rPr>
      </w:pPr>
      <w:r w:rsidRPr="00E707DE">
        <w:rPr>
          <w:rFonts w:ascii="Times New Roman" w:hAnsi="Times New Roman" w:cs="Times New Roman"/>
          <w:sz w:val="18"/>
          <w:szCs w:val="18"/>
          <w:vertAlign w:val="superscript"/>
        </w:rPr>
        <w:footnoteRef/>
      </w:r>
      <w:r w:rsidRPr="00E707DE">
        <w:rPr>
          <w:rFonts w:ascii="Times New Roman" w:hAnsi="Times New Roman" w:cs="Times New Roman"/>
          <w:sz w:val="18"/>
          <w:szCs w:val="18"/>
          <w:vertAlign w:val="superscript"/>
        </w:rPr>
        <w:t xml:space="preserve"> </w:t>
      </w:r>
      <w:r w:rsidRPr="00E707DE">
        <w:rPr>
          <w:rFonts w:ascii="Times New Roman" w:hAnsi="Times New Roman" w:cs="Times New Roman"/>
          <w:sz w:val="18"/>
          <w:szCs w:val="18"/>
        </w:rPr>
        <w:t>Labor hours taken from average unit cost estimate submitted by Public Comment EPA-HQ-OEM-2015-0725-0579 provided by AFPM. EPA derived labor hours from the unit cost estimate provided by the commenter using standard wage rates.</w:t>
      </w:r>
    </w:p>
  </w:footnote>
  <w:footnote w:id="102">
    <w:p w:rsidR="00900B2C" w:rsidRPr="00E707DE" w:rsidP="00900B2C" w14:paraId="338B33C6" w14:textId="77777777">
      <w:pPr>
        <w:pStyle w:val="FootnoteText"/>
        <w:rPr>
          <w:rFonts w:ascii="Times New Roman" w:hAnsi="Times New Roman" w:cs="Times New Roman"/>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Labor hours taken from the midpoint of the high and low labor hour estimates submitted by Public Comment EPA-HQ-OEM-2015-0725-0594 made by CSAG. EPA used the midpoint of the commenter’s high and low labor hour estimates to represent the labor burden of small/medium complex facilities. </w:t>
      </w:r>
    </w:p>
  </w:footnote>
  <w:footnote w:id="103">
    <w:p w:rsidR="00900B2C" w:rsidRPr="00E707DE" w:rsidP="00900B2C" w14:paraId="7E4E068C" w14:textId="77777777">
      <w:pPr>
        <w:pStyle w:val="FootnoteText"/>
        <w:rPr>
          <w:rFonts w:ascii="Times New Roman" w:hAnsi="Times New Roman" w:cs="Times New Roman"/>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Mackenzie, W. and N. Cusworth. 2007. “The Use and Abuse of Feasibility Studies.” Project Evaluation Conference. Melbourne, Vic, 19-20 June 2007. Noort, D J and Adams, C, 2006. Effective mining project management systems, in Proceedings International Mine Management Conference, pp 87-96 (The Australasian Institute of Mining and Metallurgy: Melbourne). </w:t>
      </w:r>
      <w:hyperlink r:id="rId30" w:history="1">
        <w:r w:rsidRPr="008530DF" w:rsidR="00A45814">
          <w:rPr>
            <w:rStyle w:val="Hyperlink"/>
            <w:rFonts w:ascii="Times New Roman" w:hAnsi="Times New Roman" w:cs="Times New Roman"/>
            <w:sz w:val="18"/>
            <w:szCs w:val="18"/>
          </w:rPr>
          <w:t>http://www.enthalpy.com.au/wp-content/uploads/2013/09/The-Use-and-Abuse-of-Feasibility-Studies-Enthalpy.pdf</w:t>
        </w:r>
      </w:hyperlink>
      <w:r w:rsidR="00A45814">
        <w:rPr>
          <w:rFonts w:ascii="Times New Roman" w:hAnsi="Times New Roman" w:cs="Times New Roman"/>
          <w:sz w:val="18"/>
          <w:szCs w:val="18"/>
        </w:rPr>
        <w:t xml:space="preserve"> </w:t>
      </w:r>
      <w:r w:rsidRPr="00E707DE" w:rsidR="00740E92">
        <w:rPr>
          <w:rFonts w:ascii="Times New Roman" w:hAnsi="Times New Roman" w:cs="Times New Roman"/>
          <w:sz w:val="18"/>
          <w:szCs w:val="18"/>
        </w:rPr>
        <w:t>.</w:t>
      </w:r>
    </w:p>
  </w:footnote>
  <w:footnote w:id="104">
    <w:p w:rsidR="00900B2C" w:rsidRPr="00E707DE" w:rsidP="00900B2C" w14:paraId="125E1DFA" w14:textId="77777777">
      <w:pPr>
        <w:pStyle w:val="FootnoteText"/>
        <w:rPr>
          <w:rFonts w:ascii="Times New Roman" w:hAnsi="Times New Roman" w:cs="Times New Roman"/>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McLeod, S. 2021. “Feasibility studies for novel and complex projects: Principles synthesized through an integrative review,” Project Leadership and Society.</w:t>
      </w:r>
    </w:p>
  </w:footnote>
  <w:footnote w:id="105">
    <w:p w:rsidR="00900B2C" w:rsidRPr="00E707DE" w:rsidP="00900B2C" w14:paraId="3FB0AFB3" w14:textId="77777777">
      <w:pPr>
        <w:pStyle w:val="FootnoteText"/>
        <w:rPr>
          <w:rFonts w:ascii="Times New Roman" w:hAnsi="Times New Roman" w:cs="Times New Roman"/>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For a detailed explanation of how the estimate was developed, see Appendix D in the </w:t>
      </w:r>
      <w:r w:rsidRPr="00E707DE" w:rsidR="00DE1D6B">
        <w:rPr>
          <w:rFonts w:ascii="Times New Roman" w:hAnsi="Times New Roman" w:cs="Times New Roman"/>
          <w:sz w:val="18"/>
          <w:szCs w:val="18"/>
        </w:rPr>
        <w:t>a</w:t>
      </w:r>
      <w:r w:rsidRPr="00E707DE">
        <w:rPr>
          <w:rFonts w:ascii="Times New Roman" w:hAnsi="Times New Roman" w:cs="Times New Roman"/>
          <w:sz w:val="18"/>
          <w:szCs w:val="18"/>
        </w:rPr>
        <w:t>mendments Rule Final RIA:  US EPA. Regulatory Impact Analysis. Accidental Release Prevention Requirements: Risk Management Programs Under the Clean Air Act, Section 112(r)(7). Dec 16, 2016. (EPA-HQ-OEM-2015-0725-0734).</w:t>
      </w:r>
    </w:p>
  </w:footnote>
  <w:footnote w:id="106">
    <w:p w:rsidR="00900B2C" w:rsidRPr="00A156D2" w:rsidP="00900B2C" w14:paraId="7851427C" w14:textId="77777777">
      <w:pPr>
        <w:pStyle w:val="FootnoteText"/>
        <w:rPr>
          <w:rFonts w:ascii="Times New Roman" w:hAnsi="Times New Roman" w:cs="Times New Roman"/>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See AWWA comments on the </w:t>
      </w:r>
      <w:r w:rsidRPr="00E707DE" w:rsidR="00D32ADF">
        <w:rPr>
          <w:rFonts w:ascii="Times New Roman" w:hAnsi="Times New Roman" w:cs="Times New Roman"/>
          <w:sz w:val="18"/>
          <w:szCs w:val="18"/>
        </w:rPr>
        <w:t>propose</w:t>
      </w:r>
      <w:r w:rsidRPr="00E707DE">
        <w:rPr>
          <w:rFonts w:ascii="Times New Roman" w:hAnsi="Times New Roman" w:cs="Times New Roman"/>
          <w:sz w:val="18"/>
          <w:szCs w:val="18"/>
        </w:rPr>
        <w:t xml:space="preserve">d RMP </w:t>
      </w:r>
      <w:r w:rsidRPr="00E707DE" w:rsidR="00DE1D6B">
        <w:rPr>
          <w:rFonts w:ascii="Times New Roman" w:hAnsi="Times New Roman" w:cs="Times New Roman"/>
          <w:sz w:val="18"/>
          <w:szCs w:val="18"/>
        </w:rPr>
        <w:t>a</w:t>
      </w:r>
      <w:r w:rsidRPr="00E707DE">
        <w:rPr>
          <w:rFonts w:ascii="Times New Roman" w:hAnsi="Times New Roman" w:cs="Times New Roman"/>
          <w:sz w:val="18"/>
          <w:szCs w:val="18"/>
        </w:rPr>
        <w:t>mendments rule (EPA-HQ-OEM-2015-0725-0554).</w:t>
      </w:r>
    </w:p>
  </w:footnote>
  <w:footnote w:id="107">
    <w:p w:rsidR="00900B2C" w:rsidRPr="00E707DE" w:rsidP="00900B2C" w14:paraId="607094CB" w14:textId="77777777">
      <w:pPr>
        <w:pStyle w:val="FootnoteText"/>
        <w:rPr>
          <w:rFonts w:ascii="Times New Roman" w:hAnsi="Times New Roman" w:cs="Times New Roman"/>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AFPM provided a range of estimates from $100 million to $500 million, which EPA represents with a single value of $300 million. See AFPM comments on the </w:t>
      </w:r>
      <w:r w:rsidRPr="00E707DE" w:rsidR="00D32ADF">
        <w:rPr>
          <w:rFonts w:ascii="Times New Roman" w:hAnsi="Times New Roman" w:cs="Times New Roman"/>
          <w:sz w:val="18"/>
          <w:szCs w:val="18"/>
        </w:rPr>
        <w:t>propose</w:t>
      </w:r>
      <w:r w:rsidRPr="00E707DE">
        <w:rPr>
          <w:rFonts w:ascii="Times New Roman" w:hAnsi="Times New Roman" w:cs="Times New Roman"/>
          <w:sz w:val="18"/>
          <w:szCs w:val="18"/>
        </w:rPr>
        <w:t xml:space="preserve">d RMP </w:t>
      </w:r>
      <w:r w:rsidRPr="00E707DE" w:rsidR="00DE1D6B">
        <w:rPr>
          <w:rFonts w:ascii="Times New Roman" w:hAnsi="Times New Roman" w:cs="Times New Roman"/>
          <w:sz w:val="18"/>
          <w:szCs w:val="18"/>
        </w:rPr>
        <w:t>a</w:t>
      </w:r>
      <w:r w:rsidRPr="00E707DE">
        <w:rPr>
          <w:rFonts w:ascii="Times New Roman" w:hAnsi="Times New Roman" w:cs="Times New Roman"/>
          <w:sz w:val="18"/>
          <w:szCs w:val="18"/>
        </w:rPr>
        <w:t>mendments rule (EPA-HQ-OEM-2015-0725-0579).</w:t>
      </w:r>
    </w:p>
  </w:footnote>
  <w:footnote w:id="108">
    <w:p w:rsidR="00900B2C" w:rsidRPr="00E707DE" w:rsidP="00900B2C" w14:paraId="5A09126D" w14:textId="77777777">
      <w:pPr>
        <w:pStyle w:val="FootnoteText"/>
        <w:rPr>
          <w:rFonts w:ascii="Times New Roman" w:hAnsi="Times New Roman" w:cs="Times New Roman"/>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See Jenkins, Scott (2017) “Lower costs for converting alkylation units from hydrofluoric to sulfuric acid,” </w:t>
      </w:r>
      <w:r w:rsidRPr="00E707DE">
        <w:rPr>
          <w:rFonts w:ascii="Times New Roman" w:hAnsi="Times New Roman" w:cs="Times New Roman"/>
          <w:i/>
          <w:iCs/>
          <w:sz w:val="18"/>
          <w:szCs w:val="18"/>
        </w:rPr>
        <w:t>Chemical Engineering</w:t>
      </w:r>
      <w:r w:rsidRPr="00E707DE">
        <w:rPr>
          <w:rFonts w:ascii="Times New Roman" w:hAnsi="Times New Roman" w:cs="Times New Roman"/>
          <w:sz w:val="18"/>
          <w:szCs w:val="18"/>
        </w:rPr>
        <w:t xml:space="preserve">. Nov 1.; Menachery, Martin (2017) “DuPont launches hydrofluoric acid alkylation conversion, expansion technology,” </w:t>
      </w:r>
      <w:r w:rsidRPr="00E707DE">
        <w:rPr>
          <w:rFonts w:ascii="Times New Roman" w:hAnsi="Times New Roman" w:cs="Times New Roman"/>
          <w:i/>
          <w:iCs/>
          <w:sz w:val="18"/>
          <w:szCs w:val="18"/>
        </w:rPr>
        <w:t>Refining &amp; Petrochemicals</w:t>
      </w:r>
      <w:r w:rsidRPr="00E707DE">
        <w:rPr>
          <w:rFonts w:ascii="Times New Roman" w:hAnsi="Times New Roman" w:cs="Times New Roman"/>
          <w:sz w:val="18"/>
          <w:szCs w:val="18"/>
        </w:rPr>
        <w:t xml:space="preserve">. Sep 7 and Presley, Shane, Randy Peterson, Diwakar Rana, and Jason Nunez (2017) “Advances in HF acid alkylation conversion and expansion,” </w:t>
      </w:r>
      <w:r w:rsidRPr="00E707DE">
        <w:rPr>
          <w:rFonts w:ascii="Times New Roman" w:hAnsi="Times New Roman" w:cs="Times New Roman"/>
          <w:i/>
          <w:iCs/>
          <w:sz w:val="18"/>
          <w:szCs w:val="18"/>
        </w:rPr>
        <w:t>Digital Refining</w:t>
      </w:r>
      <w:r w:rsidRPr="00E707DE">
        <w:rPr>
          <w:rFonts w:ascii="Times New Roman" w:hAnsi="Times New Roman" w:cs="Times New Roman"/>
          <w:sz w:val="18"/>
          <w:szCs w:val="18"/>
        </w:rPr>
        <w:t xml:space="preserve">. December. </w:t>
      </w:r>
    </w:p>
  </w:footnote>
  <w:footnote w:id="109">
    <w:p w:rsidR="00900B2C" w:rsidP="00900B2C" w14:paraId="2914C1E8" w14:textId="77777777">
      <w:pPr>
        <w:pStyle w:val="FootnoteText"/>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See Appendix D “STAA Project Cost Data” and “Estimating Practicability Study Costs”, pp 148-152. US EPA, 2016. Regulatory Impact Analysis, Accidental Release Prevention Requirements: Risk Management Programs Under the Clean Air Act, Section 112(r)(7).</w:t>
      </w:r>
      <w:r>
        <w:t xml:space="preserve">   </w:t>
      </w:r>
    </w:p>
  </w:footnote>
  <w:footnote w:id="110">
    <w:p w:rsidR="00817C3E" w:rsidRPr="00A367F3" w:rsidP="00851010" w14:paraId="1C5FA0BF" w14:textId="77777777">
      <w:pPr>
        <w:pStyle w:val="FootnoteText"/>
        <w:rPr>
          <w:rFonts w:ascii="Times New Roman" w:hAnsi="Times New Roman" w:cs="Times New Roman"/>
          <w:sz w:val="18"/>
          <w:szCs w:val="18"/>
        </w:rPr>
      </w:pPr>
      <w:r w:rsidRPr="00A367F3">
        <w:rPr>
          <w:rStyle w:val="FootnoteReference"/>
          <w:rFonts w:ascii="Times New Roman" w:hAnsi="Times New Roman" w:cs="Times New Roman"/>
          <w:sz w:val="18"/>
          <w:szCs w:val="18"/>
        </w:rPr>
        <w:footnoteRef/>
      </w:r>
      <w:r w:rsidRPr="00A367F3">
        <w:rPr>
          <w:rFonts w:ascii="Times New Roman" w:hAnsi="Times New Roman" w:cs="Times New Roman"/>
          <w:sz w:val="18"/>
          <w:szCs w:val="18"/>
        </w:rPr>
        <w:t xml:space="preserve"> </w:t>
      </w:r>
      <w:r w:rsidRPr="00A367F3" w:rsidR="003B5F12">
        <w:rPr>
          <w:rFonts w:ascii="Times New Roman" w:hAnsi="Times New Roman" w:cs="Times New Roman"/>
          <w:sz w:val="18"/>
          <w:szCs w:val="18"/>
        </w:rPr>
        <w:t xml:space="preserve">See </w:t>
      </w:r>
      <w:r w:rsidRPr="00A367F3" w:rsidR="00F70F19">
        <w:rPr>
          <w:rFonts w:ascii="Times New Roman" w:hAnsi="Times New Roman" w:cs="Times New Roman"/>
          <w:sz w:val="18"/>
          <w:szCs w:val="18"/>
        </w:rPr>
        <w:t xml:space="preserve">Appendix D. </w:t>
      </w:r>
      <w:r w:rsidRPr="00A367F3" w:rsidR="00C364D6">
        <w:rPr>
          <w:rFonts w:ascii="Times New Roman" w:hAnsi="Times New Roman" w:cs="Times New Roman"/>
          <w:sz w:val="18"/>
          <w:szCs w:val="18"/>
        </w:rPr>
        <w:t>Measures from p</w:t>
      </w:r>
      <w:r w:rsidRPr="00A367F3" w:rsidR="003C45BB">
        <w:rPr>
          <w:rFonts w:ascii="Times New Roman" w:hAnsi="Times New Roman" w:cs="Times New Roman"/>
          <w:sz w:val="18"/>
          <w:szCs w:val="18"/>
        </w:rPr>
        <w:t>ast EPA documents include</w:t>
      </w:r>
      <w:r w:rsidRPr="00A367F3" w:rsidR="008B1246">
        <w:rPr>
          <w:rFonts w:ascii="Times New Roman" w:hAnsi="Times New Roman" w:cs="Times New Roman"/>
          <w:sz w:val="18"/>
          <w:szCs w:val="18"/>
        </w:rPr>
        <w:t xml:space="preserve">: </w:t>
      </w:r>
      <w:r w:rsidRPr="00A367F3" w:rsidR="00EF27AD">
        <w:rPr>
          <w:rFonts w:ascii="Times New Roman" w:hAnsi="Times New Roman" w:cs="Times New Roman"/>
          <w:sz w:val="18"/>
          <w:szCs w:val="18"/>
        </w:rPr>
        <w:t xml:space="preserve">three from </w:t>
      </w:r>
      <w:r w:rsidRPr="00A367F3" w:rsidR="009F4F62">
        <w:rPr>
          <w:rFonts w:ascii="Times New Roman" w:hAnsi="Times New Roman" w:cs="Times New Roman"/>
          <w:sz w:val="18"/>
          <w:szCs w:val="18"/>
        </w:rPr>
        <w:t xml:space="preserve">EPA-HQ-OAR-2022-0730-0073, which is </w:t>
      </w:r>
      <w:r w:rsidRPr="00A367F3" w:rsidR="00AF7467">
        <w:rPr>
          <w:rFonts w:ascii="Times New Roman" w:hAnsi="Times New Roman" w:cs="Times New Roman"/>
          <w:sz w:val="18"/>
          <w:szCs w:val="18"/>
        </w:rPr>
        <w:t xml:space="preserve">a </w:t>
      </w:r>
      <w:r w:rsidRPr="00A367F3" w:rsidR="00C50BEE">
        <w:rPr>
          <w:rFonts w:ascii="Times New Roman" w:hAnsi="Times New Roman" w:cs="Times New Roman"/>
          <w:sz w:val="18"/>
          <w:szCs w:val="18"/>
        </w:rPr>
        <w:t xml:space="preserve">2023 </w:t>
      </w:r>
      <w:r w:rsidRPr="00A367F3" w:rsidR="00AF7467">
        <w:rPr>
          <w:rFonts w:ascii="Times New Roman" w:hAnsi="Times New Roman" w:cs="Times New Roman"/>
          <w:sz w:val="18"/>
          <w:szCs w:val="18"/>
        </w:rPr>
        <w:t xml:space="preserve">memorandum from ERG </w:t>
      </w:r>
      <w:r w:rsidRPr="00A367F3" w:rsidR="00484D2C">
        <w:rPr>
          <w:rFonts w:ascii="Times New Roman" w:hAnsi="Times New Roman" w:cs="Times New Roman"/>
          <w:sz w:val="18"/>
          <w:szCs w:val="18"/>
        </w:rPr>
        <w:t>with subject “</w:t>
      </w:r>
      <w:r w:rsidRPr="00A367F3" w:rsidR="00AF7467">
        <w:rPr>
          <w:rFonts w:ascii="Times New Roman" w:hAnsi="Times New Roman" w:cs="Times New Roman"/>
          <w:sz w:val="18"/>
          <w:szCs w:val="18"/>
        </w:rPr>
        <w:t>Clean Air Act Section 112(d)(6) Technology Review for Storage Vessels Located in the SOCMI Source Category that are Associated with Processes Subject to HON, Storage Vessels Associated with Processes Subject to Group I Polymers and Resins NESHAP, and Storage Vessels Associated with Processes Subject to Group II Polymers and Resins NESHAP</w:t>
      </w:r>
      <w:r w:rsidRPr="00A367F3" w:rsidR="00484D2C">
        <w:rPr>
          <w:rFonts w:ascii="Times New Roman" w:hAnsi="Times New Roman" w:cs="Times New Roman"/>
          <w:sz w:val="18"/>
          <w:szCs w:val="18"/>
        </w:rPr>
        <w:t>”</w:t>
      </w:r>
      <w:r w:rsidRPr="00A367F3" w:rsidR="00864BB9">
        <w:rPr>
          <w:rFonts w:ascii="Times New Roman" w:hAnsi="Times New Roman" w:cs="Times New Roman"/>
          <w:sz w:val="18"/>
          <w:szCs w:val="18"/>
        </w:rPr>
        <w:t xml:space="preserve"> </w:t>
      </w:r>
      <w:r w:rsidRPr="00A367F3" w:rsidR="00AA2002">
        <w:rPr>
          <w:rFonts w:ascii="Times New Roman" w:hAnsi="Times New Roman" w:cs="Times New Roman"/>
          <w:sz w:val="18"/>
          <w:szCs w:val="18"/>
        </w:rPr>
        <w:t xml:space="preserve">(available from: </w:t>
      </w:r>
      <w:hyperlink r:id="rId31" w:history="1">
        <w:r w:rsidRPr="00A367F3" w:rsidR="00317874">
          <w:rPr>
            <w:rStyle w:val="Hyperlink"/>
            <w:rFonts w:ascii="Times New Roman" w:hAnsi="Times New Roman" w:cs="Times New Roman"/>
            <w:sz w:val="18"/>
            <w:szCs w:val="18"/>
          </w:rPr>
          <w:t>https://www.regulations.gov/document/EPA-HQ-OAR-2022-0730-0073</w:t>
        </w:r>
      </w:hyperlink>
      <w:r w:rsidRPr="00A367F3" w:rsidR="00AA2002">
        <w:rPr>
          <w:rFonts w:ascii="Times New Roman" w:hAnsi="Times New Roman" w:cs="Times New Roman"/>
          <w:sz w:val="18"/>
          <w:szCs w:val="18"/>
        </w:rPr>
        <w:t>)</w:t>
      </w:r>
      <w:r w:rsidRPr="00A367F3" w:rsidR="00317874">
        <w:rPr>
          <w:rFonts w:ascii="Times New Roman" w:hAnsi="Times New Roman" w:cs="Times New Roman"/>
          <w:sz w:val="18"/>
          <w:szCs w:val="18"/>
        </w:rPr>
        <w:t xml:space="preserve">; </w:t>
      </w:r>
      <w:r w:rsidRPr="00A367F3" w:rsidR="00E67ADC">
        <w:rPr>
          <w:rFonts w:ascii="Times New Roman" w:hAnsi="Times New Roman" w:cs="Times New Roman"/>
          <w:sz w:val="18"/>
          <w:szCs w:val="18"/>
        </w:rPr>
        <w:t xml:space="preserve">two from </w:t>
      </w:r>
      <w:r w:rsidRPr="00A367F3" w:rsidR="0006057E">
        <w:rPr>
          <w:rFonts w:ascii="Times New Roman" w:hAnsi="Times New Roman" w:cs="Times New Roman"/>
          <w:sz w:val="18"/>
          <w:szCs w:val="18"/>
        </w:rPr>
        <w:t>the EPA Airport Pollution Control Manual (</w:t>
      </w:r>
      <w:r w:rsidRPr="00A367F3" w:rsidR="00B81C0B">
        <w:rPr>
          <w:rFonts w:ascii="Times New Roman" w:hAnsi="Times New Roman" w:cs="Times New Roman"/>
          <w:sz w:val="18"/>
          <w:szCs w:val="18"/>
        </w:rPr>
        <w:t>available from</w:t>
      </w:r>
      <w:r w:rsidRPr="000F4EE4" w:rsidR="000F4EE4">
        <w:t xml:space="preserve"> </w:t>
      </w:r>
      <w:hyperlink r:id="rId32" w:history="1">
        <w:r w:rsidRPr="00D26AF6" w:rsidR="002E434D">
          <w:rPr>
            <w:rStyle w:val="Hyperlink"/>
            <w:rFonts w:ascii="Times New Roman" w:hAnsi="Times New Roman" w:cs="Times New Roman"/>
            <w:sz w:val="18"/>
            <w:szCs w:val="18"/>
          </w:rPr>
          <w:t>https://www.epa.gov/economic-and-cost-analysis-air-pollution-regulations/cost-reports-and-guidance-air-pollution</w:t>
        </w:r>
      </w:hyperlink>
      <w:r w:rsidRPr="00A367F3" w:rsidR="00B81C0B">
        <w:rPr>
          <w:rFonts w:ascii="Times New Roman" w:hAnsi="Times New Roman" w:cs="Times New Roman"/>
          <w:sz w:val="18"/>
          <w:szCs w:val="18"/>
        </w:rPr>
        <w:t xml:space="preserve">); </w:t>
      </w:r>
      <w:r w:rsidRPr="00A367F3" w:rsidR="00363AFA">
        <w:rPr>
          <w:rFonts w:ascii="Times New Roman" w:hAnsi="Times New Roman" w:cs="Times New Roman"/>
          <w:sz w:val="18"/>
          <w:szCs w:val="18"/>
        </w:rPr>
        <w:t>and one from</w:t>
      </w:r>
      <w:r w:rsidRPr="00A367F3" w:rsidR="00FB2C1C">
        <w:rPr>
          <w:rFonts w:ascii="Times New Roman" w:hAnsi="Times New Roman" w:cs="Times New Roman"/>
          <w:sz w:val="18"/>
          <w:szCs w:val="18"/>
        </w:rPr>
        <w:t xml:space="preserve"> </w:t>
      </w:r>
      <w:r w:rsidRPr="00A367F3" w:rsidR="003F6FF0">
        <w:rPr>
          <w:rFonts w:ascii="Times New Roman" w:hAnsi="Times New Roman" w:cs="Times New Roman"/>
          <w:sz w:val="18"/>
          <w:szCs w:val="18"/>
        </w:rPr>
        <w:t>EPA-HQ-OAR-2010-0682-0194</w:t>
      </w:r>
      <w:r w:rsidRPr="00A367F3" w:rsidR="00630458">
        <w:rPr>
          <w:rFonts w:ascii="Times New Roman" w:hAnsi="Times New Roman" w:cs="Times New Roman"/>
          <w:sz w:val="18"/>
          <w:szCs w:val="18"/>
        </w:rPr>
        <w:t xml:space="preserve">, which is </w:t>
      </w:r>
      <w:r w:rsidRPr="00A367F3" w:rsidR="00C50BEE">
        <w:rPr>
          <w:rFonts w:ascii="Times New Roman" w:hAnsi="Times New Roman" w:cs="Times New Roman"/>
          <w:sz w:val="18"/>
          <w:szCs w:val="18"/>
        </w:rPr>
        <w:t>a 2005</w:t>
      </w:r>
      <w:r w:rsidRPr="00A367F3" w:rsidR="00EF0827">
        <w:rPr>
          <w:rFonts w:ascii="Times New Roman" w:hAnsi="Times New Roman" w:cs="Times New Roman"/>
          <w:sz w:val="18"/>
          <w:szCs w:val="18"/>
        </w:rPr>
        <w:t xml:space="preserve"> “Summary of Data Gathering Efforts: Emission Control and Emission Reduction Activities”</w:t>
      </w:r>
      <w:r w:rsidR="003A36CC">
        <w:rPr>
          <w:rFonts w:ascii="Times New Roman" w:hAnsi="Times New Roman" w:cs="Times New Roman"/>
          <w:sz w:val="18"/>
          <w:szCs w:val="18"/>
        </w:rPr>
        <w:t xml:space="preserve"> (available from </w:t>
      </w:r>
      <w:hyperlink r:id="rId33" w:history="1">
        <w:r w:rsidRPr="00D26AF6" w:rsidR="001E18AB">
          <w:rPr>
            <w:rStyle w:val="Hyperlink"/>
            <w:rFonts w:ascii="Times New Roman" w:hAnsi="Times New Roman" w:cs="Times New Roman"/>
            <w:sz w:val="18"/>
            <w:szCs w:val="18"/>
          </w:rPr>
          <w:t>https://www.regulations.gov/document/EPA-HQ-OAR-2010-0682-0194</w:t>
        </w:r>
      </w:hyperlink>
      <w:r w:rsidR="001E18AB">
        <w:rPr>
          <w:rFonts w:ascii="Times New Roman" w:hAnsi="Times New Roman" w:cs="Times New Roman"/>
          <w:sz w:val="18"/>
          <w:szCs w:val="18"/>
        </w:rPr>
        <w:t>)</w:t>
      </w:r>
      <w:r w:rsidRPr="00A367F3" w:rsidR="00C50BEE">
        <w:rPr>
          <w:rFonts w:ascii="Times New Roman" w:hAnsi="Times New Roman" w:cs="Times New Roman"/>
          <w:sz w:val="18"/>
          <w:szCs w:val="18"/>
        </w:rPr>
        <w:t>.</w:t>
      </w:r>
      <w:r w:rsidRPr="00A367F3" w:rsidR="00751399">
        <w:rPr>
          <w:rFonts w:ascii="Times New Roman" w:hAnsi="Times New Roman" w:cs="Times New Roman"/>
          <w:sz w:val="18"/>
          <w:szCs w:val="18"/>
        </w:rPr>
        <w:t xml:space="preserve"> </w:t>
      </w:r>
      <w:r w:rsidRPr="00A367F3" w:rsidR="000222D6">
        <w:rPr>
          <w:rFonts w:ascii="Times New Roman" w:hAnsi="Times New Roman" w:cs="Times New Roman"/>
          <w:sz w:val="18"/>
          <w:szCs w:val="18"/>
        </w:rPr>
        <w:t xml:space="preserve">The </w:t>
      </w:r>
      <w:r w:rsidRPr="00A367F3" w:rsidR="00D31B24">
        <w:rPr>
          <w:rFonts w:ascii="Times New Roman" w:hAnsi="Times New Roman" w:cs="Times New Roman"/>
          <w:sz w:val="18"/>
          <w:szCs w:val="18"/>
        </w:rPr>
        <w:t xml:space="preserve">Benefit-Cost Analysis of the Massachusetts Toxics Use Reduction Act is available from </w:t>
      </w:r>
      <w:hyperlink r:id="rId34" w:history="1">
        <w:r w:rsidRPr="00A367F3" w:rsidR="005F694C">
          <w:rPr>
            <w:rStyle w:val="Hyperlink"/>
            <w:rFonts w:ascii="Times New Roman" w:hAnsi="Times New Roman" w:cs="Times New Roman"/>
            <w:sz w:val="18"/>
            <w:szCs w:val="18"/>
          </w:rPr>
          <w:t>https://p2infohouse.org/ref/34/33463.pdf</w:t>
        </w:r>
      </w:hyperlink>
      <w:r w:rsidRPr="00A367F3" w:rsidR="005F694C">
        <w:rPr>
          <w:rFonts w:ascii="Times New Roman" w:hAnsi="Times New Roman" w:cs="Times New Roman"/>
          <w:sz w:val="18"/>
          <w:szCs w:val="18"/>
        </w:rPr>
        <w:t xml:space="preserve">. </w:t>
      </w:r>
      <w:r w:rsidRPr="00A367F3" w:rsidR="00C2061D">
        <w:rPr>
          <w:rFonts w:ascii="Times New Roman" w:hAnsi="Times New Roman" w:cs="Times New Roman"/>
          <w:sz w:val="18"/>
          <w:szCs w:val="18"/>
        </w:rPr>
        <w:t>The Tox</w:t>
      </w:r>
      <w:r w:rsidRPr="00A367F3" w:rsidR="003B5F12">
        <w:rPr>
          <w:rFonts w:ascii="Times New Roman" w:hAnsi="Times New Roman" w:cs="Times New Roman"/>
          <w:sz w:val="18"/>
          <w:szCs w:val="18"/>
        </w:rPr>
        <w:t xml:space="preserve">ic Use Reduction Institute case studies include: </w:t>
      </w:r>
      <w:r w:rsidR="002479E4">
        <w:rPr>
          <w:rFonts w:ascii="Times New Roman" w:hAnsi="Times New Roman" w:cs="Times New Roman"/>
          <w:sz w:val="18"/>
          <w:szCs w:val="18"/>
        </w:rPr>
        <w:t>“</w:t>
      </w:r>
      <w:r w:rsidRPr="002479E4" w:rsidR="002479E4">
        <w:rPr>
          <w:rFonts w:ascii="Times New Roman" w:hAnsi="Times New Roman" w:cs="Times New Roman"/>
          <w:sz w:val="18"/>
          <w:szCs w:val="18"/>
        </w:rPr>
        <w:t>Columbia Manufacturing, Inc. Plating Operations Achieve Zero Wastewater Discharge</w:t>
      </w:r>
      <w:r w:rsidR="002479E4">
        <w:rPr>
          <w:rFonts w:ascii="Times New Roman" w:hAnsi="Times New Roman" w:cs="Times New Roman"/>
          <w:sz w:val="18"/>
          <w:szCs w:val="18"/>
        </w:rPr>
        <w:t xml:space="preserve">” </w:t>
      </w:r>
      <w:r w:rsidR="00AB554E">
        <w:rPr>
          <w:rFonts w:ascii="Times New Roman" w:hAnsi="Times New Roman" w:cs="Times New Roman"/>
          <w:sz w:val="18"/>
          <w:szCs w:val="18"/>
        </w:rPr>
        <w:t xml:space="preserve">(available from </w:t>
      </w:r>
      <w:hyperlink r:id="rId35" w:history="1">
        <w:r w:rsidRPr="00D26AF6" w:rsidR="00BA069A">
          <w:rPr>
            <w:rStyle w:val="Hyperlink"/>
            <w:rFonts w:ascii="Times New Roman" w:hAnsi="Times New Roman" w:cs="Times New Roman"/>
            <w:sz w:val="18"/>
            <w:szCs w:val="18"/>
          </w:rPr>
          <w:t>https://www.turi.org/content/download/9921/168937/file/Columbia+Manufacturing+OTA.+2015.pdf</w:t>
        </w:r>
      </w:hyperlink>
      <w:r w:rsidR="00BA069A">
        <w:rPr>
          <w:rFonts w:ascii="Times New Roman" w:hAnsi="Times New Roman" w:cs="Times New Roman"/>
          <w:sz w:val="18"/>
          <w:szCs w:val="18"/>
        </w:rPr>
        <w:t xml:space="preserve">), </w:t>
      </w:r>
      <w:r w:rsidR="008747EE">
        <w:rPr>
          <w:rFonts w:ascii="Times New Roman" w:hAnsi="Times New Roman" w:cs="Times New Roman"/>
          <w:sz w:val="18"/>
          <w:szCs w:val="18"/>
        </w:rPr>
        <w:t>"</w:t>
      </w:r>
      <w:r w:rsidRPr="001C361A" w:rsidR="001C361A">
        <w:rPr>
          <w:rFonts w:ascii="Times New Roman" w:hAnsi="Times New Roman" w:cs="Times New Roman"/>
          <w:sz w:val="18"/>
          <w:szCs w:val="18"/>
        </w:rPr>
        <w:t>Toxics Use Reduction and Resource Conservation:</w:t>
      </w:r>
      <w:r w:rsidR="001C361A">
        <w:rPr>
          <w:rFonts w:ascii="Times New Roman" w:hAnsi="Times New Roman" w:cs="Times New Roman"/>
          <w:sz w:val="18"/>
          <w:szCs w:val="18"/>
        </w:rPr>
        <w:t xml:space="preserve"> </w:t>
      </w:r>
      <w:r w:rsidRPr="001C361A" w:rsidR="001C361A">
        <w:rPr>
          <w:rFonts w:ascii="Times New Roman" w:hAnsi="Times New Roman" w:cs="Times New Roman"/>
          <w:sz w:val="18"/>
          <w:szCs w:val="18"/>
        </w:rPr>
        <w:t>Competitiveness Impacts for Massachusetts Businesses</w:t>
      </w:r>
      <w:r w:rsidR="008747EE">
        <w:rPr>
          <w:rFonts w:ascii="Times New Roman" w:hAnsi="Times New Roman" w:cs="Times New Roman"/>
          <w:sz w:val="18"/>
          <w:szCs w:val="18"/>
        </w:rPr>
        <w:t>”</w:t>
      </w:r>
      <w:r w:rsidR="001C361A">
        <w:rPr>
          <w:rFonts w:ascii="Times New Roman" w:hAnsi="Times New Roman" w:cs="Times New Roman"/>
          <w:sz w:val="18"/>
          <w:szCs w:val="18"/>
        </w:rPr>
        <w:t xml:space="preserve"> (available </w:t>
      </w:r>
      <w:r w:rsidR="00F53840">
        <w:rPr>
          <w:rFonts w:ascii="Times New Roman" w:hAnsi="Times New Roman" w:cs="Times New Roman"/>
          <w:sz w:val="18"/>
          <w:szCs w:val="18"/>
        </w:rPr>
        <w:t xml:space="preserve">from </w:t>
      </w:r>
      <w:hyperlink r:id="rId36" w:history="1">
        <w:r w:rsidRPr="00D26AF6" w:rsidR="00F52DF9">
          <w:rPr>
            <w:rStyle w:val="Hyperlink"/>
            <w:rFonts w:ascii="Times New Roman" w:hAnsi="Times New Roman" w:cs="Times New Roman"/>
            <w:sz w:val="18"/>
            <w:szCs w:val="18"/>
          </w:rPr>
          <w:t>https://www.mass.gov/files/2017_competitiveness_report_ota_and_turi_6.pdf</w:t>
        </w:r>
      </w:hyperlink>
      <w:r w:rsidR="00F52DF9">
        <w:rPr>
          <w:rFonts w:ascii="Times New Roman" w:hAnsi="Times New Roman" w:cs="Times New Roman"/>
          <w:sz w:val="18"/>
          <w:szCs w:val="18"/>
        </w:rPr>
        <w:t xml:space="preserve">), </w:t>
      </w:r>
      <w:r w:rsidR="008747EE">
        <w:rPr>
          <w:rFonts w:ascii="Times New Roman" w:hAnsi="Times New Roman" w:cs="Times New Roman"/>
          <w:sz w:val="18"/>
          <w:szCs w:val="18"/>
        </w:rPr>
        <w:t>“</w:t>
      </w:r>
      <w:r w:rsidRPr="0091166B" w:rsidR="0091166B">
        <w:rPr>
          <w:rFonts w:ascii="Times New Roman" w:hAnsi="Times New Roman" w:cs="Times New Roman"/>
          <w:sz w:val="18"/>
          <w:szCs w:val="18"/>
        </w:rPr>
        <w:t>ChemGenes Corporation</w:t>
      </w:r>
      <w:r w:rsidR="00A8008E">
        <w:rPr>
          <w:rFonts w:ascii="Times New Roman" w:hAnsi="Times New Roman" w:cs="Times New Roman"/>
          <w:sz w:val="18"/>
          <w:szCs w:val="18"/>
        </w:rPr>
        <w:t xml:space="preserve"> </w:t>
      </w:r>
      <w:r w:rsidRPr="0091166B" w:rsidR="0091166B">
        <w:rPr>
          <w:rFonts w:ascii="Times New Roman" w:hAnsi="Times New Roman" w:cs="Times New Roman"/>
          <w:sz w:val="18"/>
          <w:szCs w:val="18"/>
        </w:rPr>
        <w:t>Toxics Use Reduction Case Study</w:t>
      </w:r>
      <w:r w:rsidR="0091166B">
        <w:rPr>
          <w:rFonts w:ascii="Times New Roman" w:hAnsi="Times New Roman" w:cs="Times New Roman"/>
          <w:sz w:val="18"/>
          <w:szCs w:val="18"/>
        </w:rPr>
        <w:t xml:space="preserve">: </w:t>
      </w:r>
      <w:r w:rsidRPr="0091166B" w:rsidR="0091166B">
        <w:rPr>
          <w:rFonts w:ascii="Times New Roman" w:hAnsi="Times New Roman" w:cs="Times New Roman"/>
          <w:sz w:val="18"/>
          <w:szCs w:val="18"/>
        </w:rPr>
        <w:t>Cumulative, Decade-long Assistance from OTA and TURI Allow ChemGenes to Significantly Reduce Toxics and Save Thousands</w:t>
      </w:r>
      <w:r w:rsidR="008747EE">
        <w:rPr>
          <w:rFonts w:ascii="Times New Roman" w:hAnsi="Times New Roman" w:cs="Times New Roman"/>
          <w:sz w:val="18"/>
          <w:szCs w:val="18"/>
        </w:rPr>
        <w:t xml:space="preserve">” (available from </w:t>
      </w:r>
      <w:hyperlink r:id="rId37" w:history="1">
        <w:r w:rsidRPr="00D26AF6" w:rsidR="00D30EEF">
          <w:rPr>
            <w:rStyle w:val="Hyperlink"/>
            <w:rFonts w:ascii="Times New Roman" w:hAnsi="Times New Roman" w:cs="Times New Roman"/>
            <w:sz w:val="18"/>
            <w:szCs w:val="18"/>
          </w:rPr>
          <w:t>https://www.mass.gov/files/chemgenes_corp_-_2018.pdf</w:t>
        </w:r>
      </w:hyperlink>
      <w:r w:rsidR="00D30EEF">
        <w:rPr>
          <w:rFonts w:ascii="Times New Roman" w:hAnsi="Times New Roman" w:cs="Times New Roman"/>
          <w:sz w:val="18"/>
          <w:szCs w:val="18"/>
        </w:rPr>
        <w:t xml:space="preserve">), and </w:t>
      </w:r>
      <w:r w:rsidR="00851010">
        <w:rPr>
          <w:rFonts w:ascii="Times New Roman" w:hAnsi="Times New Roman" w:cs="Times New Roman"/>
          <w:sz w:val="18"/>
          <w:szCs w:val="18"/>
        </w:rPr>
        <w:t>“</w:t>
      </w:r>
      <w:r w:rsidRPr="00851010" w:rsidR="00851010">
        <w:rPr>
          <w:rFonts w:ascii="Times New Roman" w:hAnsi="Times New Roman" w:cs="Times New Roman"/>
          <w:sz w:val="18"/>
          <w:szCs w:val="18"/>
        </w:rPr>
        <w:t>Acushnet Rubber Company</w:t>
      </w:r>
      <w:r w:rsidR="00851010">
        <w:rPr>
          <w:rFonts w:ascii="Times New Roman" w:hAnsi="Times New Roman" w:cs="Times New Roman"/>
          <w:sz w:val="18"/>
          <w:szCs w:val="18"/>
        </w:rPr>
        <w:t xml:space="preserve"> </w:t>
      </w:r>
      <w:r w:rsidRPr="00851010" w:rsidR="00851010">
        <w:rPr>
          <w:rFonts w:ascii="Times New Roman" w:hAnsi="Times New Roman" w:cs="Times New Roman"/>
          <w:sz w:val="18"/>
          <w:szCs w:val="18"/>
        </w:rPr>
        <w:t>Toxics Use Reduction Case Study</w:t>
      </w:r>
      <w:r w:rsidR="00851010">
        <w:rPr>
          <w:rFonts w:ascii="Times New Roman" w:hAnsi="Times New Roman" w:cs="Times New Roman"/>
          <w:sz w:val="18"/>
          <w:szCs w:val="18"/>
        </w:rPr>
        <w:t xml:space="preserve">: </w:t>
      </w:r>
      <w:r w:rsidRPr="00851010" w:rsidR="00851010">
        <w:rPr>
          <w:rFonts w:ascii="Times New Roman" w:hAnsi="Times New Roman" w:cs="Times New Roman"/>
          <w:sz w:val="18"/>
          <w:szCs w:val="18"/>
        </w:rPr>
        <w:t>Company Achieves ISO 14001 Certification</w:t>
      </w:r>
      <w:r w:rsidR="00851010">
        <w:rPr>
          <w:rFonts w:ascii="Times New Roman" w:hAnsi="Times New Roman" w:cs="Times New Roman"/>
          <w:sz w:val="18"/>
          <w:szCs w:val="18"/>
        </w:rPr>
        <w:t xml:space="preserve">” (available from </w:t>
      </w:r>
      <w:hyperlink r:id="rId38" w:history="1">
        <w:r w:rsidRPr="00D26AF6" w:rsidR="00495F8C">
          <w:rPr>
            <w:rStyle w:val="Hyperlink"/>
            <w:rFonts w:ascii="Times New Roman" w:hAnsi="Times New Roman" w:cs="Times New Roman"/>
            <w:sz w:val="18"/>
            <w:szCs w:val="18"/>
          </w:rPr>
          <w:t>https://www.mass.gov/files/acushnet-rubber-company_5.pdf</w:t>
        </w:r>
      </w:hyperlink>
      <w:r w:rsidR="00F62B2B">
        <w:rPr>
          <w:rFonts w:ascii="Times New Roman" w:hAnsi="Times New Roman" w:cs="Times New Roman"/>
          <w:sz w:val="18"/>
          <w:szCs w:val="18"/>
        </w:rPr>
        <w:t>)</w:t>
      </w:r>
      <w:r w:rsidR="00495F8C">
        <w:rPr>
          <w:rFonts w:ascii="Times New Roman" w:hAnsi="Times New Roman" w:cs="Times New Roman"/>
          <w:sz w:val="18"/>
          <w:szCs w:val="18"/>
        </w:rPr>
        <w:t>.</w:t>
      </w:r>
      <w:r w:rsidR="001143A8">
        <w:rPr>
          <w:rFonts w:ascii="Times New Roman" w:hAnsi="Times New Roman" w:cs="Times New Roman"/>
          <w:sz w:val="18"/>
          <w:szCs w:val="18"/>
        </w:rPr>
        <w:t xml:space="preserve"> </w:t>
      </w:r>
      <w:r w:rsidR="00837258">
        <w:rPr>
          <w:rFonts w:ascii="Times New Roman" w:hAnsi="Times New Roman" w:cs="Times New Roman"/>
          <w:sz w:val="18"/>
          <w:szCs w:val="18"/>
        </w:rPr>
        <w:t xml:space="preserve">Five measures come from </w:t>
      </w:r>
      <w:r w:rsidR="00FA55CC">
        <w:rPr>
          <w:rFonts w:ascii="Times New Roman" w:hAnsi="Times New Roman" w:cs="Times New Roman"/>
          <w:sz w:val="18"/>
          <w:szCs w:val="18"/>
        </w:rPr>
        <w:t xml:space="preserve">website of STAA consulting firm </w:t>
      </w:r>
      <w:r w:rsidR="00837258">
        <w:rPr>
          <w:rFonts w:ascii="Times New Roman" w:hAnsi="Times New Roman" w:cs="Times New Roman"/>
          <w:sz w:val="18"/>
          <w:szCs w:val="18"/>
        </w:rPr>
        <w:t>Primatech</w:t>
      </w:r>
      <w:r w:rsidR="00932CC9">
        <w:rPr>
          <w:rFonts w:ascii="Times New Roman" w:hAnsi="Times New Roman" w:cs="Times New Roman"/>
          <w:sz w:val="18"/>
          <w:szCs w:val="18"/>
        </w:rPr>
        <w:t xml:space="preserve"> </w:t>
      </w:r>
      <w:r w:rsidR="00FA55CC">
        <w:rPr>
          <w:rFonts w:ascii="Times New Roman" w:hAnsi="Times New Roman" w:cs="Times New Roman"/>
          <w:sz w:val="18"/>
          <w:szCs w:val="18"/>
        </w:rPr>
        <w:t xml:space="preserve">(available from </w:t>
      </w:r>
      <w:hyperlink r:id="rId39" w:history="1">
        <w:r w:rsidRPr="00D26AF6" w:rsidR="00E74F5A">
          <w:rPr>
            <w:rStyle w:val="Hyperlink"/>
            <w:rFonts w:ascii="Times New Roman" w:hAnsi="Times New Roman" w:cs="Times New Roman"/>
            <w:sz w:val="18"/>
            <w:szCs w:val="18"/>
          </w:rPr>
          <w:t>https://www.primatech.com/technical/safer-technologies-and-alternative-analysis</w:t>
        </w:r>
      </w:hyperlink>
      <w:r w:rsidR="00CB6080">
        <w:rPr>
          <w:rFonts w:ascii="Times New Roman" w:hAnsi="Times New Roman" w:cs="Times New Roman"/>
          <w:sz w:val="18"/>
          <w:szCs w:val="18"/>
        </w:rPr>
        <w:t>).</w:t>
      </w:r>
      <w:r w:rsidR="00E74F5A">
        <w:rPr>
          <w:rFonts w:ascii="Times New Roman" w:hAnsi="Times New Roman" w:cs="Times New Roman"/>
          <w:sz w:val="18"/>
          <w:szCs w:val="18"/>
        </w:rPr>
        <w:t xml:space="preserve"> </w:t>
      </w:r>
      <w:r w:rsidR="00F71B06">
        <w:rPr>
          <w:rFonts w:ascii="Times New Roman" w:hAnsi="Times New Roman" w:cs="Times New Roman"/>
          <w:sz w:val="18"/>
          <w:szCs w:val="18"/>
        </w:rPr>
        <w:t xml:space="preserve">Four measures come from </w:t>
      </w:r>
      <w:r w:rsidR="00764918">
        <w:rPr>
          <w:rFonts w:ascii="Times New Roman" w:hAnsi="Times New Roman" w:cs="Times New Roman"/>
          <w:sz w:val="18"/>
          <w:szCs w:val="18"/>
        </w:rPr>
        <w:t xml:space="preserve">the 2012 National Academy of Sciences </w:t>
      </w:r>
      <w:r w:rsidR="00BE3C5E">
        <w:rPr>
          <w:rFonts w:ascii="Times New Roman" w:hAnsi="Times New Roman" w:cs="Times New Roman"/>
          <w:sz w:val="18"/>
          <w:szCs w:val="18"/>
        </w:rPr>
        <w:t>report</w:t>
      </w:r>
      <w:r w:rsidR="00764918">
        <w:rPr>
          <w:rFonts w:ascii="Times New Roman" w:hAnsi="Times New Roman" w:cs="Times New Roman"/>
          <w:sz w:val="18"/>
          <w:szCs w:val="18"/>
        </w:rPr>
        <w:t xml:space="preserve"> “</w:t>
      </w:r>
      <w:r w:rsidR="00997959">
        <w:rPr>
          <w:rFonts w:ascii="Times New Roman" w:hAnsi="Times New Roman" w:cs="Times New Roman"/>
          <w:sz w:val="18"/>
          <w:szCs w:val="18"/>
        </w:rPr>
        <w:t>The Use and Storage of Methyl Isocyanate (MIC) at Bayer CropScience”</w:t>
      </w:r>
      <w:r w:rsidR="000D0D4E">
        <w:rPr>
          <w:rFonts w:ascii="Times New Roman" w:hAnsi="Times New Roman" w:cs="Times New Roman"/>
          <w:sz w:val="18"/>
          <w:szCs w:val="18"/>
        </w:rPr>
        <w:t xml:space="preserve"> (available </w:t>
      </w:r>
      <w:r w:rsidR="00A6265A">
        <w:rPr>
          <w:rFonts w:ascii="Times New Roman" w:hAnsi="Times New Roman" w:cs="Times New Roman"/>
          <w:sz w:val="18"/>
          <w:szCs w:val="18"/>
        </w:rPr>
        <w:t xml:space="preserve">from </w:t>
      </w:r>
      <w:hyperlink r:id="rId40" w:history="1">
        <w:r w:rsidRPr="00D26AF6" w:rsidR="007F175B">
          <w:rPr>
            <w:rStyle w:val="Hyperlink"/>
            <w:rFonts w:ascii="Times New Roman" w:hAnsi="Times New Roman" w:cs="Times New Roman"/>
            <w:sz w:val="18"/>
            <w:szCs w:val="18"/>
          </w:rPr>
          <w:t>https://nap.nationalacademies.org/resource/13385/MIC-Summary-Final.pdf</w:t>
        </w:r>
      </w:hyperlink>
      <w:r w:rsidR="00BE3C5E">
        <w:rPr>
          <w:rFonts w:ascii="Times New Roman" w:hAnsi="Times New Roman" w:cs="Times New Roman"/>
          <w:sz w:val="18"/>
          <w:szCs w:val="18"/>
        </w:rPr>
        <w:t>).</w:t>
      </w:r>
      <w:r w:rsidR="007F175B">
        <w:rPr>
          <w:rFonts w:ascii="Times New Roman" w:hAnsi="Times New Roman" w:cs="Times New Roman"/>
          <w:sz w:val="18"/>
          <w:szCs w:val="18"/>
        </w:rPr>
        <w:t xml:space="preserve"> </w:t>
      </w:r>
      <w:r w:rsidR="00F62F62">
        <w:rPr>
          <w:rFonts w:ascii="Times New Roman" w:hAnsi="Times New Roman" w:cs="Times New Roman"/>
          <w:sz w:val="18"/>
          <w:szCs w:val="18"/>
        </w:rPr>
        <w:t xml:space="preserve">The </w:t>
      </w:r>
      <w:r w:rsidR="00F106AC">
        <w:rPr>
          <w:rFonts w:ascii="Times New Roman" w:hAnsi="Times New Roman" w:cs="Times New Roman"/>
          <w:sz w:val="18"/>
          <w:szCs w:val="18"/>
        </w:rPr>
        <w:t xml:space="preserve">Business </w:t>
      </w:r>
      <w:r w:rsidR="0055155F">
        <w:rPr>
          <w:rFonts w:ascii="Times New Roman" w:hAnsi="Times New Roman" w:cs="Times New Roman"/>
          <w:sz w:val="18"/>
          <w:szCs w:val="18"/>
        </w:rPr>
        <w:t>&amp; Learning Resources (BLR)</w:t>
      </w:r>
      <w:r w:rsidR="007E1DBC">
        <w:rPr>
          <w:rFonts w:ascii="Times New Roman" w:hAnsi="Times New Roman" w:cs="Times New Roman"/>
          <w:sz w:val="18"/>
          <w:szCs w:val="18"/>
        </w:rPr>
        <w:t xml:space="preserve"> </w:t>
      </w:r>
      <w:r w:rsidR="009516B8">
        <w:rPr>
          <w:rFonts w:ascii="Times New Roman" w:hAnsi="Times New Roman" w:cs="Times New Roman"/>
          <w:sz w:val="18"/>
          <w:szCs w:val="18"/>
        </w:rPr>
        <w:t xml:space="preserve">news article </w:t>
      </w:r>
      <w:r w:rsidR="00112A34">
        <w:rPr>
          <w:rFonts w:ascii="Times New Roman" w:hAnsi="Times New Roman" w:cs="Times New Roman"/>
          <w:sz w:val="18"/>
          <w:szCs w:val="18"/>
        </w:rPr>
        <w:t>“Chevron to</w:t>
      </w:r>
      <w:r w:rsidR="009B6FB2">
        <w:rPr>
          <w:rFonts w:ascii="Times New Roman" w:hAnsi="Times New Roman" w:cs="Times New Roman"/>
          <w:sz w:val="18"/>
          <w:szCs w:val="18"/>
        </w:rPr>
        <w:t xml:space="preserve"> pay</w:t>
      </w:r>
      <w:r w:rsidR="00643D50">
        <w:rPr>
          <w:rFonts w:ascii="Times New Roman" w:hAnsi="Times New Roman" w:cs="Times New Roman"/>
          <w:sz w:val="18"/>
          <w:szCs w:val="18"/>
        </w:rPr>
        <w:t xml:space="preserve"> $1 million to </w:t>
      </w:r>
      <w:r w:rsidR="00175407">
        <w:rPr>
          <w:rFonts w:ascii="Times New Roman" w:hAnsi="Times New Roman" w:cs="Times New Roman"/>
          <w:sz w:val="18"/>
          <w:szCs w:val="18"/>
        </w:rPr>
        <w:t>settle Richmond Refinery citations”</w:t>
      </w:r>
      <w:r w:rsidR="007E1DBC">
        <w:rPr>
          <w:rFonts w:ascii="Times New Roman" w:hAnsi="Times New Roman" w:cs="Times New Roman"/>
          <w:sz w:val="18"/>
          <w:szCs w:val="18"/>
        </w:rPr>
        <w:t xml:space="preserve"> </w:t>
      </w:r>
      <w:r w:rsidR="00055786">
        <w:rPr>
          <w:rFonts w:ascii="Times New Roman" w:hAnsi="Times New Roman" w:cs="Times New Roman"/>
          <w:sz w:val="18"/>
          <w:szCs w:val="18"/>
        </w:rPr>
        <w:t>published August 2, 2017</w:t>
      </w:r>
      <w:r w:rsidR="0055155F">
        <w:rPr>
          <w:rFonts w:ascii="Times New Roman" w:hAnsi="Times New Roman" w:cs="Times New Roman"/>
          <w:sz w:val="18"/>
          <w:szCs w:val="18"/>
        </w:rPr>
        <w:t xml:space="preserve"> </w:t>
      </w:r>
      <w:r w:rsidR="007E1DBC">
        <w:rPr>
          <w:rFonts w:ascii="Times New Roman" w:hAnsi="Times New Roman" w:cs="Times New Roman"/>
          <w:sz w:val="18"/>
          <w:szCs w:val="18"/>
        </w:rPr>
        <w:t xml:space="preserve">is available from </w:t>
      </w:r>
      <w:hyperlink r:id="rId41" w:history="1">
        <w:r w:rsidRPr="008530DF" w:rsidR="00BF67B3">
          <w:rPr>
            <w:rStyle w:val="Hyperlink"/>
            <w:rFonts w:ascii="Times New Roman" w:hAnsi="Times New Roman" w:cs="Times New Roman"/>
            <w:sz w:val="18"/>
            <w:szCs w:val="18"/>
          </w:rPr>
          <w:t>https://safety.blr.com/workplace-safety-news/safety-administration/OSHA-and-state-safety-compliance-enforcement/Chevron-to-pay-1-million-to-settle-Richmond-Refine/</w:t>
        </w:r>
      </w:hyperlink>
      <w:r w:rsidR="00BF67B3">
        <w:rPr>
          <w:rFonts w:ascii="Times New Roman" w:hAnsi="Times New Roman" w:cs="Times New Roman"/>
          <w:sz w:val="18"/>
          <w:szCs w:val="18"/>
        </w:rPr>
        <w:t xml:space="preserve"> </w:t>
      </w:r>
      <w:r w:rsidR="00206389">
        <w:rPr>
          <w:rFonts w:ascii="Times New Roman" w:hAnsi="Times New Roman" w:cs="Times New Roman"/>
          <w:sz w:val="18"/>
          <w:szCs w:val="18"/>
        </w:rPr>
        <w:t>.</w:t>
      </w:r>
    </w:p>
  </w:footnote>
  <w:footnote w:id="111">
    <w:p w:rsidR="00C03B1B" w:rsidP="00C03B1B" w14:paraId="5B48DCEE" w14:textId="77777777">
      <w:pPr>
        <w:pStyle w:val="FootnoteText"/>
        <w:rPr>
          <w:rFonts w:ascii="Times New Roman" w:hAnsi="Times New Roman" w:cs="Times New Roman"/>
        </w:rPr>
      </w:pPr>
      <w:r w:rsidRPr="002A5E4B">
        <w:rPr>
          <w:rStyle w:val="FootnoteReference"/>
          <w:rFonts w:ascii="Times New Roman" w:hAnsi="Times New Roman" w:cs="Times New Roman"/>
        </w:rPr>
        <w:footnoteRef/>
      </w:r>
      <w:r w:rsidRPr="002A5E4B">
        <w:rPr>
          <w:rFonts w:ascii="Times New Roman" w:hAnsi="Times New Roman" w:cs="Times New Roman"/>
        </w:rPr>
        <w:t xml:space="preserve"> </w:t>
      </w:r>
      <w:r w:rsidRPr="002A5E4B" w:rsidR="00B94B55">
        <w:rPr>
          <w:rFonts w:ascii="Times New Roman" w:hAnsi="Times New Roman" w:cs="Times New Roman"/>
        </w:rPr>
        <w:t>Four e</w:t>
      </w:r>
      <w:r w:rsidR="00B94B55">
        <w:rPr>
          <w:rFonts w:ascii="Times New Roman" w:hAnsi="Times New Roman" w:cs="Times New Roman"/>
        </w:rPr>
        <w:t xml:space="preserve">xamples of </w:t>
      </w:r>
      <w:r w:rsidR="000D13F7">
        <w:rPr>
          <w:rFonts w:ascii="Times New Roman" w:hAnsi="Times New Roman" w:cs="Times New Roman"/>
        </w:rPr>
        <w:t>facilities</w:t>
      </w:r>
      <w:r w:rsidR="00D645BA">
        <w:rPr>
          <w:rFonts w:ascii="Times New Roman" w:hAnsi="Times New Roman" w:cs="Times New Roman"/>
        </w:rPr>
        <w:t xml:space="preserve"> in Massachusetts</w:t>
      </w:r>
      <w:r w:rsidR="000D13F7">
        <w:rPr>
          <w:rFonts w:ascii="Times New Roman" w:hAnsi="Times New Roman" w:cs="Times New Roman"/>
        </w:rPr>
        <w:t xml:space="preserve"> achieving </w:t>
      </w:r>
      <w:r w:rsidR="00B94B55">
        <w:rPr>
          <w:rFonts w:ascii="Times New Roman" w:hAnsi="Times New Roman" w:cs="Times New Roman"/>
        </w:rPr>
        <w:t>potential offsetting cost saving</w:t>
      </w:r>
      <w:r w:rsidR="000D13F7">
        <w:rPr>
          <w:rFonts w:ascii="Times New Roman" w:hAnsi="Times New Roman" w:cs="Times New Roman"/>
        </w:rPr>
        <w:t>s</w:t>
      </w:r>
      <w:r w:rsidR="00B94B55">
        <w:rPr>
          <w:rFonts w:ascii="Times New Roman" w:hAnsi="Times New Roman" w:cs="Times New Roman"/>
        </w:rPr>
        <w:t xml:space="preserve"> from implementing STAA-type measures are </w:t>
      </w:r>
      <w:r w:rsidR="00D645BA">
        <w:rPr>
          <w:rFonts w:ascii="Times New Roman" w:hAnsi="Times New Roman" w:cs="Times New Roman"/>
        </w:rPr>
        <w:t xml:space="preserve">detailed in reports from the </w:t>
      </w:r>
      <w:r w:rsidRPr="007F18FA" w:rsidR="00D645BA">
        <w:rPr>
          <w:rFonts w:ascii="Times New Roman" w:hAnsi="Times New Roman" w:cs="Times New Roman"/>
        </w:rPr>
        <w:t xml:space="preserve">Massachusetts Office of Technical Assistance and </w:t>
      </w:r>
      <w:r w:rsidR="003028C7">
        <w:rPr>
          <w:rFonts w:ascii="Times New Roman" w:hAnsi="Times New Roman" w:cs="Times New Roman"/>
        </w:rPr>
        <w:t xml:space="preserve">the </w:t>
      </w:r>
      <w:r w:rsidRPr="007F18FA" w:rsidR="003028C7">
        <w:rPr>
          <w:rFonts w:ascii="Times New Roman" w:hAnsi="Times New Roman" w:cs="Times New Roman"/>
        </w:rPr>
        <w:t>Massachusetts Toxic Use Reduction Institute</w:t>
      </w:r>
      <w:r>
        <w:rPr>
          <w:rFonts w:ascii="Times New Roman" w:hAnsi="Times New Roman" w:cs="Times New Roman"/>
        </w:rPr>
        <w:t>:</w:t>
      </w:r>
    </w:p>
    <w:p w:rsidR="00C03B1B" w:rsidRPr="007F18FA" w:rsidP="00C03B1B" w14:paraId="15508429" w14:textId="77777777">
      <w:pPr>
        <w:pStyle w:val="FootnoteText"/>
        <w:rPr>
          <w:rFonts w:ascii="Times New Roman" w:hAnsi="Times New Roman" w:cs="Times New Roman"/>
        </w:rPr>
      </w:pPr>
      <w:r w:rsidRPr="007F18FA">
        <w:rPr>
          <w:rFonts w:ascii="Times New Roman" w:hAnsi="Times New Roman" w:cs="Times New Roman"/>
        </w:rPr>
        <w:t xml:space="preserve">Massachusetts Office of Technical Assistance and Technology (April 2015). “Columbia Manufacturing, Inc. Plating Operations Achieve Zero Wastewater Discharge.” Massachusetts Executive Office of Energy and Environmental Affairs. Accessed in April 2023 from: </w:t>
      </w:r>
      <w:hyperlink r:id="rId35" w:history="1">
        <w:r w:rsidRPr="007F18FA">
          <w:rPr>
            <w:rStyle w:val="Hyperlink"/>
            <w:rFonts w:ascii="Times New Roman" w:hAnsi="Times New Roman" w:cs="Times New Roman"/>
          </w:rPr>
          <w:t>https://www.turi.org/content/download/9921/168937/file/Columbia+Manufacturing+OTA.+2015.pdf</w:t>
        </w:r>
      </w:hyperlink>
      <w:r w:rsidRPr="007F18FA">
        <w:rPr>
          <w:rFonts w:ascii="Times New Roman" w:hAnsi="Times New Roman" w:cs="Times New Roman"/>
        </w:rPr>
        <w:t xml:space="preserve">. </w:t>
      </w:r>
    </w:p>
    <w:p w:rsidR="00C03B1B" w:rsidRPr="007F18FA" w:rsidP="00C03B1B" w14:paraId="4CEAC95F" w14:textId="77777777">
      <w:pPr>
        <w:pStyle w:val="FootnoteText"/>
        <w:rPr>
          <w:rFonts w:ascii="Times New Roman" w:hAnsi="Times New Roman" w:cs="Times New Roman"/>
        </w:rPr>
      </w:pPr>
      <w:r w:rsidRPr="007F18FA">
        <w:rPr>
          <w:rFonts w:ascii="Times New Roman" w:hAnsi="Times New Roman" w:cs="Times New Roman"/>
        </w:rPr>
        <w:t xml:space="preserve">Massachusetts Toxic Use Reduction Institute and Massachusetts Office of Technical Assistance and Technology (September 2017). “Toxic Use Reduction and Resource Conservation: Competitiveness Impacts for Massachusetts Businesses”. TURI Report #2017-002. Accessed in April 2023 from:  </w:t>
      </w:r>
      <w:hyperlink r:id="rId36" w:history="1">
        <w:r w:rsidRPr="007F18FA">
          <w:rPr>
            <w:rStyle w:val="Hyperlink"/>
            <w:rFonts w:ascii="Times New Roman" w:hAnsi="Times New Roman" w:cs="Times New Roman"/>
          </w:rPr>
          <w:t>https://www.mass.gov/files/2017_competitiveness_report_ota_and_turi_6.pdf</w:t>
        </w:r>
      </w:hyperlink>
      <w:r w:rsidRPr="007F18FA">
        <w:rPr>
          <w:rFonts w:ascii="Times New Roman" w:hAnsi="Times New Roman" w:cs="Times New Roman"/>
        </w:rPr>
        <w:t xml:space="preserve">. </w:t>
      </w:r>
    </w:p>
    <w:p w:rsidR="00C03B1B" w:rsidRPr="007F18FA" w:rsidP="00C03B1B" w14:paraId="663C2F5B" w14:textId="77777777">
      <w:pPr>
        <w:pStyle w:val="FootnoteText"/>
        <w:rPr>
          <w:rFonts w:ascii="Times New Roman" w:hAnsi="Times New Roman" w:cs="Times New Roman"/>
        </w:rPr>
      </w:pPr>
      <w:r w:rsidRPr="007F18FA">
        <w:rPr>
          <w:rFonts w:ascii="Times New Roman" w:hAnsi="Times New Roman" w:cs="Times New Roman"/>
        </w:rPr>
        <w:t xml:space="preserve">Massachusetts Office of Technical Assistance and Technology (April 2016). “ChemGenes Corporation Toxics Use Reduction Case Study: Cumulative, Decade-long Assistance from OTA and TURI Allow ChemGenes to Significantly Reduce Toxics and Save Thousands.” Massachusetts Executive Office of Energy and Environmental Affairs. Accessed in April 2023 from: </w:t>
      </w:r>
      <w:hyperlink r:id="rId37" w:history="1">
        <w:r w:rsidRPr="007F18FA">
          <w:rPr>
            <w:rStyle w:val="Hyperlink"/>
            <w:rFonts w:ascii="Times New Roman" w:hAnsi="Times New Roman" w:cs="Times New Roman"/>
          </w:rPr>
          <w:t>https://www.mass.gov/files/chemgenes_corp_-_2018.pdf</w:t>
        </w:r>
      </w:hyperlink>
      <w:r w:rsidRPr="007F18FA">
        <w:rPr>
          <w:rFonts w:ascii="Times New Roman" w:hAnsi="Times New Roman" w:cs="Times New Roman"/>
        </w:rPr>
        <w:t xml:space="preserve">. </w:t>
      </w:r>
    </w:p>
    <w:p w:rsidR="007F3D77" w:rsidRPr="002A5E4B" w:rsidP="00C03B1B" w14:paraId="2DF19AD7" w14:textId="77777777">
      <w:pPr>
        <w:pStyle w:val="FootnoteText"/>
        <w:rPr>
          <w:rFonts w:ascii="Times New Roman" w:hAnsi="Times New Roman" w:cs="Times New Roman"/>
        </w:rPr>
      </w:pPr>
      <w:r w:rsidRPr="007F18FA">
        <w:rPr>
          <w:rFonts w:ascii="Times New Roman" w:hAnsi="Times New Roman" w:cs="Times New Roman"/>
        </w:rPr>
        <w:t xml:space="preserve">Massachusetts Office of Technical Assistance (February 1997). Acushnet Rubber Company Toxics Use Reduction Case Study: Company Achieves ISO 14001 Certification.” Massachusetts Executive Office of Environmental Affairs. Accessed in April 2023 from: </w:t>
      </w:r>
      <w:hyperlink r:id="rId38" w:history="1">
        <w:r w:rsidRPr="007F18FA">
          <w:rPr>
            <w:rStyle w:val="Hyperlink"/>
            <w:rFonts w:ascii="Times New Roman" w:hAnsi="Times New Roman" w:cs="Times New Roman"/>
          </w:rPr>
          <w:t>https://www.mass.gov/files/acushnet-rubber-company_5.pdf</w:t>
        </w:r>
      </w:hyperlink>
      <w:r>
        <w:rPr>
          <w:rStyle w:val="Hyperlink"/>
          <w:rFonts w:ascii="Times New Roman" w:hAnsi="Times New Roman" w:cs="Times New Roman"/>
        </w:rPr>
        <w:t>.</w:t>
      </w:r>
    </w:p>
  </w:footnote>
  <w:footnote w:id="112">
    <w:p w:rsidR="00C5384D" w:rsidRPr="003A3A84" w:rsidP="003B3BBF" w14:paraId="1BA69375" w14:textId="77777777">
      <w:pPr>
        <w:pStyle w:val="TOC2"/>
      </w:pPr>
      <w:r w:rsidRPr="003A3A84">
        <w:rPr>
          <w:vertAlign w:val="superscript"/>
        </w:rPr>
        <w:footnoteRef/>
      </w:r>
      <w:r w:rsidRPr="003A3A84">
        <w:t xml:space="preserve"> BEA National Income and Product Accounts (NIPA) Table 1.1.9. Implicit Price Deflators for Gross Domestic Product</w:t>
      </w:r>
      <w:r w:rsidRPr="003A3A84" w:rsidR="003C66AE">
        <w:t>.</w:t>
      </w:r>
      <w:r w:rsidRPr="003A3A84">
        <w:t xml:space="preserve"> </w:t>
      </w:r>
      <w:hyperlink r:id="rId42" w:history="1">
        <w:r w:rsidRPr="008530DF" w:rsidR="00BF67B3">
          <w:rPr>
            <w:rStyle w:val="Hyperlink"/>
          </w:rPr>
          <w:t>https://apps.bea.gov/iTable/iTable.cfm?reqid=19&amp;step=3&amp;isuri=1&amp;nipa_table_list=13&amp;categories=survey</w:t>
        </w:r>
      </w:hyperlink>
      <w:r w:rsidR="00BF67B3">
        <w:t xml:space="preserve"> </w:t>
      </w:r>
      <w:r w:rsidRPr="003A3A84" w:rsidR="00D26DCF">
        <w:t>.</w:t>
      </w:r>
    </w:p>
  </w:footnote>
  <w:footnote w:id="113">
    <w:p w:rsidR="00C10DD0" w:rsidRPr="003A3A84" w:rsidP="003B3BBF" w14:paraId="6073C1B3" w14:textId="77777777">
      <w:pPr>
        <w:pStyle w:val="TOC2"/>
      </w:pPr>
      <w:r w:rsidRPr="003A3A84">
        <w:rPr>
          <w:rStyle w:val="FootnoteReference"/>
          <w:b/>
        </w:rPr>
        <w:footnoteRef/>
      </w:r>
      <w:r w:rsidRPr="003A3A84">
        <w:t xml:space="preserve"> Power requirements for a variety of continuous emissions monitoring systems can be found in reports at  </w:t>
      </w:r>
      <w:hyperlink r:id="rId43" w:history="1">
        <w:r w:rsidRPr="003A3A84">
          <w:rPr>
            <w:rStyle w:val="Hyperlink"/>
          </w:rPr>
          <w:t>https://www.epa.gov/emc/emc-continuous-emission-monitoring-systems</w:t>
        </w:r>
      </w:hyperlink>
      <w:r w:rsidRPr="003A3A84">
        <w:t xml:space="preserve">. For example, Ammonia CEMS specification tables list power requirements, </w:t>
      </w:r>
      <w:hyperlink r:id="rId44" w:history="1">
        <w:r w:rsidRPr="008530DF" w:rsidR="006076C0">
          <w:rPr>
            <w:rStyle w:val="Hyperlink"/>
            <w:rFonts w:eastAsia="Calibri"/>
            <w:lang w:bidi="en-US"/>
          </w:rPr>
          <w:t>http://www.epa.gov/sites/default/files/2020-08/documents/04-nh3_cems.pdf</w:t>
        </w:r>
      </w:hyperlink>
      <w:r w:rsidR="00BF67B3">
        <w:rPr>
          <w:rStyle w:val="Heading3Char"/>
          <w:rFonts w:ascii="Times New Roman" w:hAnsi="Times New Roman" w:cs="Times New Roman"/>
          <w:b w:val="0"/>
          <w:sz w:val="18"/>
          <w:szCs w:val="18"/>
        </w:rPr>
        <w:t xml:space="preserve"> </w:t>
      </w:r>
      <w:r w:rsidR="006076C0">
        <w:rPr>
          <w:rStyle w:val="Heading3Char"/>
          <w:rFonts w:ascii="Times New Roman" w:hAnsi="Times New Roman" w:cs="Times New Roman"/>
          <w:b w:val="0"/>
          <w:sz w:val="18"/>
          <w:szCs w:val="18"/>
        </w:rPr>
        <w:t>.</w:t>
      </w:r>
    </w:p>
  </w:footnote>
  <w:footnote w:id="114">
    <w:p w:rsidR="007758B7" w:rsidRPr="003A3A84" w14:paraId="53DAD3D5"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w:t>
      </w:r>
      <w:r w:rsidRPr="003A3A84" w:rsidR="00A01689">
        <w:rPr>
          <w:rFonts w:ascii="Times New Roman" w:hAnsi="Times New Roman" w:cs="Times New Roman"/>
          <w:sz w:val="18"/>
          <w:szCs w:val="18"/>
        </w:rPr>
        <w:t xml:space="preserve">One example sensor </w:t>
      </w:r>
      <w:r w:rsidRPr="003A3A84" w:rsidR="006457E8">
        <w:rPr>
          <w:rFonts w:ascii="Times New Roman" w:hAnsi="Times New Roman" w:cs="Times New Roman"/>
          <w:sz w:val="18"/>
          <w:szCs w:val="18"/>
        </w:rPr>
        <w:t>ha</w:t>
      </w:r>
      <w:r w:rsidRPr="003A3A84" w:rsidR="0036037A">
        <w:rPr>
          <w:rFonts w:ascii="Times New Roman" w:hAnsi="Times New Roman" w:cs="Times New Roman"/>
          <w:sz w:val="18"/>
          <w:szCs w:val="18"/>
        </w:rPr>
        <w:t>s</w:t>
      </w:r>
      <w:r w:rsidRPr="003A3A84" w:rsidR="006457E8">
        <w:rPr>
          <w:rFonts w:ascii="Times New Roman" w:hAnsi="Times New Roman" w:cs="Times New Roman"/>
          <w:sz w:val="18"/>
          <w:szCs w:val="18"/>
        </w:rPr>
        <w:t xml:space="preserve"> a maximum power requirement of 5 watts</w:t>
      </w:r>
      <w:r w:rsidRPr="003A3A84" w:rsidR="00BD4B06">
        <w:rPr>
          <w:rFonts w:ascii="Times New Roman" w:hAnsi="Times New Roman" w:cs="Times New Roman"/>
          <w:sz w:val="18"/>
          <w:szCs w:val="18"/>
        </w:rPr>
        <w:t xml:space="preserve"> </w:t>
      </w:r>
      <w:r w:rsidRPr="003A3A84" w:rsidR="004569D0">
        <w:rPr>
          <w:rFonts w:ascii="Times New Roman" w:hAnsi="Times New Roman" w:cs="Times New Roman"/>
          <w:sz w:val="18"/>
          <w:szCs w:val="18"/>
        </w:rPr>
        <w:t>(</w:t>
      </w:r>
      <w:hyperlink r:id="rId45" w:history="1">
        <w:r w:rsidRPr="003A3A84" w:rsidR="004569D0">
          <w:rPr>
            <w:rStyle w:val="Hyperlink"/>
            <w:rFonts w:ascii="Times New Roman" w:hAnsi="Times New Roman" w:cs="Times New Roman"/>
            <w:sz w:val="18"/>
            <w:szCs w:val="18"/>
          </w:rPr>
          <w:t>https://www.rkiinstruments.com/product/gd-70d-sample-draw-gas-detector/</w:t>
        </w:r>
      </w:hyperlink>
      <w:r w:rsidRPr="003A3A84" w:rsidR="004569D0">
        <w:rPr>
          <w:rFonts w:ascii="Times New Roman" w:hAnsi="Times New Roman" w:cs="Times New Roman"/>
          <w:sz w:val="18"/>
          <w:szCs w:val="18"/>
        </w:rPr>
        <w:t>).</w:t>
      </w:r>
      <w:r w:rsidRPr="003A3A84" w:rsidR="00106205">
        <w:rPr>
          <w:rFonts w:ascii="Times New Roman" w:hAnsi="Times New Roman" w:cs="Times New Roman"/>
          <w:sz w:val="18"/>
          <w:szCs w:val="18"/>
        </w:rPr>
        <w:t xml:space="preserve"> </w:t>
      </w:r>
      <w:r w:rsidRPr="003A3A84" w:rsidR="004569D0">
        <w:rPr>
          <w:rFonts w:ascii="Times New Roman" w:hAnsi="Times New Roman" w:cs="Times New Roman"/>
          <w:sz w:val="18"/>
          <w:szCs w:val="18"/>
        </w:rPr>
        <w:t xml:space="preserve">One example </w:t>
      </w:r>
      <w:r w:rsidRPr="003A3A84" w:rsidR="00C35205">
        <w:rPr>
          <w:rFonts w:ascii="Times New Roman" w:hAnsi="Times New Roman" w:cs="Times New Roman"/>
          <w:sz w:val="18"/>
          <w:szCs w:val="18"/>
        </w:rPr>
        <w:t>64</w:t>
      </w:r>
      <w:r w:rsidRPr="003A3A84" w:rsidR="000C4DBE">
        <w:rPr>
          <w:rFonts w:ascii="Times New Roman" w:hAnsi="Times New Roman" w:cs="Times New Roman"/>
          <w:sz w:val="18"/>
          <w:szCs w:val="18"/>
        </w:rPr>
        <w:t>-channel</w:t>
      </w:r>
      <w:r w:rsidRPr="003A3A84" w:rsidR="00E62C84">
        <w:rPr>
          <w:rFonts w:ascii="Times New Roman" w:hAnsi="Times New Roman" w:cs="Times New Roman"/>
          <w:sz w:val="18"/>
          <w:szCs w:val="18"/>
        </w:rPr>
        <w:t xml:space="preserve"> controller </w:t>
      </w:r>
      <w:r w:rsidRPr="003A3A84" w:rsidR="00811000">
        <w:rPr>
          <w:rFonts w:ascii="Times New Roman" w:hAnsi="Times New Roman" w:cs="Times New Roman"/>
          <w:sz w:val="18"/>
          <w:szCs w:val="18"/>
        </w:rPr>
        <w:t>require</w:t>
      </w:r>
      <w:r w:rsidRPr="003A3A84" w:rsidR="0036037A">
        <w:rPr>
          <w:rFonts w:ascii="Times New Roman" w:hAnsi="Times New Roman" w:cs="Times New Roman"/>
          <w:sz w:val="18"/>
          <w:szCs w:val="18"/>
        </w:rPr>
        <w:t>s 150 watts</w:t>
      </w:r>
      <w:r w:rsidRPr="003A3A84" w:rsidR="002251C2">
        <w:rPr>
          <w:rFonts w:ascii="Times New Roman" w:hAnsi="Times New Roman" w:cs="Times New Roman"/>
          <w:sz w:val="18"/>
          <w:szCs w:val="18"/>
        </w:rPr>
        <w:t>.</w:t>
      </w:r>
      <w:r w:rsidRPr="003A3A84" w:rsidR="00812487">
        <w:rPr>
          <w:rFonts w:ascii="Times New Roman" w:hAnsi="Times New Roman" w:cs="Times New Roman"/>
          <w:sz w:val="18"/>
          <w:szCs w:val="18"/>
        </w:rPr>
        <w:t xml:space="preserve"> </w:t>
      </w:r>
      <w:r w:rsidRPr="003A3A84" w:rsidR="0036037A">
        <w:rPr>
          <w:rFonts w:ascii="Times New Roman" w:hAnsi="Times New Roman" w:cs="Times New Roman"/>
          <w:sz w:val="18"/>
          <w:szCs w:val="18"/>
        </w:rPr>
        <w:t>(</w:t>
      </w:r>
      <w:hyperlink r:id="rId46" w:history="1">
        <w:r w:rsidRPr="003A3A84" w:rsidR="0036037A">
          <w:rPr>
            <w:rStyle w:val="Hyperlink"/>
            <w:rFonts w:ascii="Times New Roman" w:hAnsi="Times New Roman" w:cs="Times New Roman"/>
            <w:sz w:val="18"/>
            <w:szCs w:val="18"/>
          </w:rPr>
          <w:t>https://www.rkiinstruments.com/product/mc-6400-fixed-systems-controller/</w:t>
        </w:r>
      </w:hyperlink>
      <w:r w:rsidRPr="003A3A84" w:rsidR="0036037A">
        <w:rPr>
          <w:rFonts w:ascii="Times New Roman" w:hAnsi="Times New Roman" w:cs="Times New Roman"/>
          <w:sz w:val="18"/>
          <w:szCs w:val="18"/>
        </w:rPr>
        <w:t xml:space="preserve">). </w:t>
      </w:r>
      <w:r w:rsidRPr="003A3A84" w:rsidR="005B20F5">
        <w:rPr>
          <w:rFonts w:ascii="Times New Roman" w:hAnsi="Times New Roman" w:cs="Times New Roman"/>
          <w:sz w:val="18"/>
          <w:szCs w:val="18"/>
        </w:rPr>
        <w:t xml:space="preserve">A 2023 Environmental Integrity Project report </w:t>
      </w:r>
      <w:r w:rsidRPr="003A3A84" w:rsidR="003F249B">
        <w:rPr>
          <w:rFonts w:ascii="Times New Roman" w:hAnsi="Times New Roman" w:cs="Times New Roman"/>
          <w:sz w:val="18"/>
          <w:szCs w:val="18"/>
        </w:rPr>
        <w:t>map</w:t>
      </w:r>
      <w:r w:rsidRPr="003A3A84" w:rsidR="00214559">
        <w:rPr>
          <w:rFonts w:ascii="Times New Roman" w:hAnsi="Times New Roman" w:cs="Times New Roman"/>
          <w:sz w:val="18"/>
          <w:szCs w:val="18"/>
        </w:rPr>
        <w:t xml:space="preserve"> appears to</w:t>
      </w:r>
      <w:r w:rsidRPr="003A3A84" w:rsidR="005B20F5">
        <w:rPr>
          <w:rFonts w:ascii="Times New Roman" w:hAnsi="Times New Roman" w:cs="Times New Roman"/>
          <w:sz w:val="18"/>
          <w:szCs w:val="18"/>
        </w:rPr>
        <w:t xml:space="preserve"> show </w:t>
      </w:r>
      <w:r w:rsidRPr="003A3A84" w:rsidR="00A1138D">
        <w:rPr>
          <w:rFonts w:ascii="Times New Roman" w:hAnsi="Times New Roman" w:cs="Times New Roman"/>
          <w:sz w:val="18"/>
          <w:szCs w:val="18"/>
        </w:rPr>
        <w:t xml:space="preserve">Valero’s </w:t>
      </w:r>
      <w:r w:rsidRPr="003A3A84" w:rsidR="006079F2">
        <w:rPr>
          <w:rFonts w:ascii="Times New Roman" w:hAnsi="Times New Roman" w:cs="Times New Roman"/>
          <w:sz w:val="18"/>
          <w:szCs w:val="18"/>
        </w:rPr>
        <w:t xml:space="preserve">refinery in Texas City </w:t>
      </w:r>
      <w:r w:rsidRPr="003A3A84" w:rsidR="005B20F5">
        <w:rPr>
          <w:rFonts w:ascii="Times New Roman" w:hAnsi="Times New Roman" w:cs="Times New Roman"/>
          <w:sz w:val="18"/>
          <w:szCs w:val="18"/>
        </w:rPr>
        <w:t>having</w:t>
      </w:r>
      <w:r w:rsidRPr="003A3A84" w:rsidR="006079F2">
        <w:rPr>
          <w:rFonts w:ascii="Times New Roman" w:hAnsi="Times New Roman" w:cs="Times New Roman"/>
          <w:sz w:val="18"/>
          <w:szCs w:val="18"/>
        </w:rPr>
        <w:t xml:space="preserve"> </w:t>
      </w:r>
      <w:r w:rsidRPr="003A3A84" w:rsidR="000C6437">
        <w:rPr>
          <w:rFonts w:ascii="Times New Roman" w:hAnsi="Times New Roman" w:cs="Times New Roman"/>
          <w:sz w:val="18"/>
          <w:szCs w:val="18"/>
        </w:rPr>
        <w:t>48 benzene sensor</w:t>
      </w:r>
      <w:r w:rsidRPr="003A3A84" w:rsidR="005B20F5">
        <w:rPr>
          <w:rFonts w:ascii="Times New Roman" w:hAnsi="Times New Roman" w:cs="Times New Roman"/>
          <w:sz w:val="18"/>
          <w:szCs w:val="18"/>
        </w:rPr>
        <w:t>s along its perimeter</w:t>
      </w:r>
      <w:r w:rsidRPr="003A3A84" w:rsidR="00D6329D">
        <w:rPr>
          <w:rFonts w:ascii="Times New Roman" w:hAnsi="Times New Roman" w:cs="Times New Roman"/>
          <w:sz w:val="18"/>
          <w:szCs w:val="18"/>
        </w:rPr>
        <w:t xml:space="preserve"> </w:t>
      </w:r>
      <w:r w:rsidRPr="003A3A84" w:rsidR="00190332">
        <w:rPr>
          <w:rFonts w:ascii="Times New Roman" w:hAnsi="Times New Roman" w:cs="Times New Roman"/>
          <w:sz w:val="18"/>
          <w:szCs w:val="18"/>
        </w:rPr>
        <w:t>(</w:t>
      </w:r>
      <w:hyperlink r:id="rId47" w:history="1">
        <w:r w:rsidRPr="008530DF" w:rsidR="006076C0">
          <w:rPr>
            <w:rStyle w:val="Hyperlink"/>
            <w:rFonts w:ascii="Times New Roman" w:hAnsi="Times New Roman" w:cs="Times New Roman"/>
            <w:sz w:val="18"/>
            <w:szCs w:val="18"/>
          </w:rPr>
          <w:t>https://storymaps.arcgis.com/stories/9cc8aa37cb34444dbb053a097c22ba07</w:t>
        </w:r>
      </w:hyperlink>
      <w:r w:rsidR="006076C0">
        <w:rPr>
          <w:rFonts w:ascii="Times New Roman" w:hAnsi="Times New Roman" w:cs="Times New Roman"/>
          <w:sz w:val="18"/>
          <w:szCs w:val="18"/>
        </w:rPr>
        <w:t xml:space="preserve"> </w:t>
      </w:r>
      <w:r w:rsidRPr="003A3A84" w:rsidR="00DD6C4B">
        <w:rPr>
          <w:rFonts w:ascii="Times New Roman" w:hAnsi="Times New Roman" w:cs="Times New Roman"/>
          <w:sz w:val="18"/>
          <w:szCs w:val="18"/>
        </w:rPr>
        <w:t>).</w:t>
      </w:r>
    </w:p>
  </w:footnote>
  <w:footnote w:id="115">
    <w:p w:rsidR="001F5C17" w:rsidRPr="000701EF" w14:paraId="0CFD6A20" w14:textId="77777777">
      <w:pPr>
        <w:pStyle w:val="FootnoteText"/>
        <w:rPr>
          <w:rFonts w:ascii="Times New Roman" w:hAnsi="Times New Roman" w:cs="Times New Roman"/>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w:t>
      </w:r>
      <w:hyperlink r:id="rId48" w:history="1">
        <w:r w:rsidRPr="008530DF" w:rsidR="006076C0">
          <w:rPr>
            <w:rStyle w:val="Hyperlink"/>
            <w:rFonts w:ascii="Times New Roman" w:hAnsi="Times New Roman" w:cs="Times New Roman"/>
            <w:sz w:val="18"/>
            <w:szCs w:val="18"/>
          </w:rPr>
          <w:t>https://norwall.com/categories/Standby-Generators/</w:t>
        </w:r>
      </w:hyperlink>
      <w:r w:rsidR="006076C0">
        <w:rPr>
          <w:rFonts w:ascii="Times New Roman" w:hAnsi="Times New Roman" w:cs="Times New Roman"/>
          <w:sz w:val="18"/>
          <w:szCs w:val="18"/>
        </w:rPr>
        <w:t xml:space="preserve"> </w:t>
      </w:r>
      <w:r w:rsidRPr="003A3A84" w:rsidR="00027D5D">
        <w:rPr>
          <w:rFonts w:ascii="Times New Roman" w:hAnsi="Times New Roman" w:cs="Times New Roman"/>
          <w:sz w:val="18"/>
          <w:szCs w:val="18"/>
        </w:rPr>
        <w:t>.</w:t>
      </w:r>
    </w:p>
  </w:footnote>
  <w:footnote w:id="116">
    <w:p w:rsidR="00FC2D52" w:rsidRPr="003A3A84" w14:paraId="70DCF5A2"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w:t>
      </w:r>
      <w:hyperlink r:id="rId49" w:history="1">
        <w:r w:rsidRPr="003A3A84">
          <w:rPr>
            <w:rStyle w:val="Hyperlink"/>
            <w:rFonts w:ascii="Times New Roman" w:hAnsi="Times New Roman" w:cs="Times New Roman"/>
            <w:sz w:val="18"/>
            <w:szCs w:val="18"/>
          </w:rPr>
          <w:t>https://www.fema.gov/emergency-managers/practitioners/integrated-public-alert-warning-system</w:t>
        </w:r>
      </w:hyperlink>
      <w:r w:rsidRPr="003A3A84" w:rsidR="00027D5D">
        <w:rPr>
          <w:rStyle w:val="Hyperlink"/>
          <w:rFonts w:ascii="Times New Roman" w:hAnsi="Times New Roman" w:cs="Times New Roman"/>
          <w:sz w:val="18"/>
          <w:szCs w:val="18"/>
        </w:rPr>
        <w:t>.</w:t>
      </w:r>
    </w:p>
  </w:footnote>
  <w:footnote w:id="117">
    <w:p w:rsidR="0029362B" w:rsidRPr="00E707DE" w14:paraId="67C847E7" w14:textId="77777777">
      <w:pPr>
        <w:pStyle w:val="FootnoteText"/>
        <w:rPr>
          <w:rFonts w:ascii="Times New Roman" w:hAnsi="Times New Roman" w:cs="Times New Roman"/>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w:t>
      </w:r>
      <w:r w:rsidRPr="00E707DE" w:rsidR="00476830">
        <w:rPr>
          <w:rFonts w:ascii="Times New Roman" w:hAnsi="Times New Roman" w:cs="Times New Roman"/>
          <w:sz w:val="18"/>
          <w:szCs w:val="18"/>
        </w:rPr>
        <w:t xml:space="preserve">EPA identified translation websites </w:t>
      </w:r>
      <w:r w:rsidRPr="00E707DE" w:rsidR="001A3A62">
        <w:rPr>
          <w:rFonts w:ascii="Times New Roman" w:hAnsi="Times New Roman" w:cs="Times New Roman"/>
          <w:sz w:val="18"/>
          <w:szCs w:val="18"/>
        </w:rPr>
        <w:t xml:space="preserve">(e.g., </w:t>
      </w:r>
      <w:r w:rsidRPr="00E707DE" w:rsidR="005067F4">
        <w:rPr>
          <w:rFonts w:ascii="Times New Roman" w:hAnsi="Times New Roman" w:cs="Times New Roman"/>
          <w:sz w:val="18"/>
          <w:szCs w:val="18"/>
        </w:rPr>
        <w:t>translate.com</w:t>
      </w:r>
      <w:r w:rsidRPr="00E707DE" w:rsidR="00EE1531">
        <w:rPr>
          <w:rFonts w:ascii="Times New Roman" w:hAnsi="Times New Roman" w:cs="Times New Roman"/>
          <w:sz w:val="18"/>
          <w:szCs w:val="18"/>
        </w:rPr>
        <w:t>, translationpartner.com,</w:t>
      </w:r>
      <w:r w:rsidRPr="00E707DE" w:rsidR="005067F4">
        <w:rPr>
          <w:rFonts w:ascii="Times New Roman" w:hAnsi="Times New Roman" w:cs="Times New Roman"/>
          <w:sz w:val="18"/>
          <w:szCs w:val="18"/>
        </w:rPr>
        <w:t xml:space="preserve"> and thetranslationcompany.com) </w:t>
      </w:r>
      <w:r w:rsidRPr="00E707DE" w:rsidR="000A2CA7">
        <w:rPr>
          <w:rFonts w:ascii="Times New Roman" w:hAnsi="Times New Roman" w:cs="Times New Roman"/>
          <w:sz w:val="18"/>
          <w:szCs w:val="18"/>
        </w:rPr>
        <w:t>with prices ranging from $0.0</w:t>
      </w:r>
      <w:r w:rsidRPr="00E707DE" w:rsidR="005D6AC2">
        <w:rPr>
          <w:rFonts w:ascii="Times New Roman" w:hAnsi="Times New Roman" w:cs="Times New Roman"/>
          <w:sz w:val="18"/>
          <w:szCs w:val="18"/>
        </w:rPr>
        <w:t>6</w:t>
      </w:r>
      <w:r w:rsidRPr="00E707DE" w:rsidR="000A2CA7">
        <w:rPr>
          <w:rFonts w:ascii="Times New Roman" w:hAnsi="Times New Roman" w:cs="Times New Roman"/>
          <w:sz w:val="18"/>
          <w:szCs w:val="18"/>
        </w:rPr>
        <w:t xml:space="preserve"> to $0.40</w:t>
      </w:r>
      <w:r w:rsidRPr="00E707DE" w:rsidR="00A41937">
        <w:rPr>
          <w:rFonts w:ascii="Times New Roman" w:hAnsi="Times New Roman" w:cs="Times New Roman"/>
          <w:sz w:val="18"/>
          <w:szCs w:val="18"/>
        </w:rPr>
        <w:t xml:space="preserve"> per wor</w:t>
      </w:r>
      <w:r w:rsidRPr="00E707DE" w:rsidR="001A3A62">
        <w:rPr>
          <w:rFonts w:ascii="Times New Roman" w:hAnsi="Times New Roman" w:cs="Times New Roman"/>
          <w:sz w:val="18"/>
          <w:szCs w:val="18"/>
        </w:rPr>
        <w:t xml:space="preserve">d. </w:t>
      </w:r>
      <w:r w:rsidRPr="00E707DE" w:rsidR="0031399D">
        <w:rPr>
          <w:rFonts w:ascii="Times New Roman" w:hAnsi="Times New Roman" w:cs="Times New Roman"/>
          <w:sz w:val="18"/>
          <w:szCs w:val="18"/>
        </w:rPr>
        <w:t xml:space="preserve">EPA assumes </w:t>
      </w:r>
      <w:r w:rsidRPr="00E707DE" w:rsidR="006E18DD">
        <w:rPr>
          <w:rFonts w:ascii="Times New Roman" w:hAnsi="Times New Roman" w:cs="Times New Roman"/>
          <w:sz w:val="18"/>
          <w:szCs w:val="18"/>
        </w:rPr>
        <w:t xml:space="preserve">all </w:t>
      </w:r>
      <w:r w:rsidRPr="00E707DE" w:rsidR="006243FC">
        <w:rPr>
          <w:rFonts w:ascii="Times New Roman" w:hAnsi="Times New Roman" w:cs="Times New Roman"/>
          <w:sz w:val="18"/>
          <w:szCs w:val="18"/>
        </w:rPr>
        <w:t xml:space="preserve">facilities will translate </w:t>
      </w:r>
      <w:r w:rsidRPr="00E707DE" w:rsidR="006E18DD">
        <w:rPr>
          <w:rFonts w:ascii="Times New Roman" w:hAnsi="Times New Roman" w:cs="Times New Roman"/>
          <w:sz w:val="18"/>
          <w:szCs w:val="18"/>
        </w:rPr>
        <w:t xml:space="preserve">1,500 </w:t>
      </w:r>
      <w:r w:rsidRPr="00E707DE" w:rsidR="0081016E">
        <w:rPr>
          <w:rFonts w:ascii="Times New Roman" w:hAnsi="Times New Roman" w:cs="Times New Roman"/>
          <w:sz w:val="18"/>
          <w:szCs w:val="18"/>
        </w:rPr>
        <w:t>words for exercises, LEPC contact information, and new requirements</w:t>
      </w:r>
      <w:r w:rsidRPr="00E707DE" w:rsidR="008A7401">
        <w:rPr>
          <w:rFonts w:ascii="Times New Roman" w:hAnsi="Times New Roman" w:cs="Times New Roman"/>
          <w:sz w:val="18"/>
          <w:szCs w:val="18"/>
        </w:rPr>
        <w:t>.</w:t>
      </w:r>
      <w:r w:rsidRPr="00E707DE" w:rsidR="00100239">
        <w:rPr>
          <w:rFonts w:ascii="Times New Roman" w:hAnsi="Times New Roman" w:cs="Times New Roman"/>
          <w:sz w:val="18"/>
          <w:szCs w:val="18"/>
        </w:rPr>
        <w:t xml:space="preserve"> EPA </w:t>
      </w:r>
      <w:r w:rsidRPr="00E707DE" w:rsidR="00802A76">
        <w:rPr>
          <w:rFonts w:ascii="Times New Roman" w:hAnsi="Times New Roman" w:cs="Times New Roman"/>
          <w:sz w:val="18"/>
          <w:szCs w:val="18"/>
        </w:rPr>
        <w:t xml:space="preserve">averaged </w:t>
      </w:r>
      <w:r w:rsidRPr="00E707DE" w:rsidR="00F8216B">
        <w:rPr>
          <w:rFonts w:ascii="Times New Roman" w:hAnsi="Times New Roman" w:cs="Times New Roman"/>
          <w:sz w:val="18"/>
          <w:szCs w:val="18"/>
        </w:rPr>
        <w:t xml:space="preserve">the </w:t>
      </w:r>
      <w:r w:rsidRPr="00E707DE" w:rsidR="00802A76">
        <w:rPr>
          <w:rFonts w:ascii="Times New Roman" w:hAnsi="Times New Roman" w:cs="Times New Roman"/>
          <w:sz w:val="18"/>
          <w:szCs w:val="18"/>
        </w:rPr>
        <w:t xml:space="preserve">number of words </w:t>
      </w:r>
      <w:r w:rsidRPr="00E707DE" w:rsidR="00D86032">
        <w:rPr>
          <w:rFonts w:ascii="Times New Roman" w:hAnsi="Times New Roman" w:cs="Times New Roman"/>
          <w:sz w:val="18"/>
          <w:szCs w:val="18"/>
        </w:rPr>
        <w:t>for</w:t>
      </w:r>
      <w:r w:rsidRPr="00E707DE" w:rsidR="005525B4">
        <w:rPr>
          <w:rFonts w:ascii="Times New Roman" w:hAnsi="Times New Roman" w:cs="Times New Roman"/>
          <w:sz w:val="18"/>
          <w:szCs w:val="18"/>
        </w:rPr>
        <w:t xml:space="preserve"> regulated substance information, accident history, and emergency response program</w:t>
      </w:r>
      <w:r w:rsidRPr="00E707DE" w:rsidR="00D86032">
        <w:rPr>
          <w:rFonts w:ascii="Times New Roman" w:hAnsi="Times New Roman" w:cs="Times New Roman"/>
          <w:sz w:val="18"/>
          <w:szCs w:val="18"/>
        </w:rPr>
        <w:t xml:space="preserve"> in an RMP</w:t>
      </w:r>
      <w:r w:rsidRPr="00E707DE" w:rsidR="00AA21BE">
        <w:rPr>
          <w:rFonts w:ascii="Times New Roman" w:hAnsi="Times New Roman" w:cs="Times New Roman"/>
          <w:sz w:val="18"/>
          <w:szCs w:val="18"/>
        </w:rPr>
        <w:t xml:space="preserve"> (1,</w:t>
      </w:r>
      <w:r w:rsidRPr="00E707DE" w:rsidR="00D632DE">
        <w:rPr>
          <w:rFonts w:ascii="Times New Roman" w:hAnsi="Times New Roman" w:cs="Times New Roman"/>
          <w:sz w:val="18"/>
          <w:szCs w:val="18"/>
        </w:rPr>
        <w:t xml:space="preserve">341 simple and </w:t>
      </w:r>
      <w:r w:rsidRPr="00E707DE" w:rsidR="00495271">
        <w:rPr>
          <w:rFonts w:ascii="Times New Roman" w:hAnsi="Times New Roman" w:cs="Times New Roman"/>
          <w:sz w:val="18"/>
          <w:szCs w:val="18"/>
        </w:rPr>
        <w:t>3,452 complex)</w:t>
      </w:r>
      <w:r w:rsidRPr="00E707DE" w:rsidR="00D6121E">
        <w:rPr>
          <w:rFonts w:ascii="Times New Roman" w:hAnsi="Times New Roman" w:cs="Times New Roman"/>
          <w:sz w:val="18"/>
          <w:szCs w:val="18"/>
        </w:rPr>
        <w:t xml:space="preserve"> </w:t>
      </w:r>
      <w:r w:rsidRPr="00E707DE" w:rsidR="00B43AB0">
        <w:rPr>
          <w:rFonts w:ascii="Times New Roman" w:hAnsi="Times New Roman" w:cs="Times New Roman"/>
          <w:sz w:val="18"/>
          <w:szCs w:val="18"/>
        </w:rPr>
        <w:t xml:space="preserve">and the number of </w:t>
      </w:r>
      <w:r w:rsidRPr="00E707DE" w:rsidR="002E2A77">
        <w:rPr>
          <w:rFonts w:ascii="Times New Roman" w:hAnsi="Times New Roman" w:cs="Times New Roman"/>
          <w:sz w:val="18"/>
          <w:szCs w:val="18"/>
        </w:rPr>
        <w:t>regulated substances</w:t>
      </w:r>
      <w:r w:rsidRPr="00E707DE" w:rsidR="00B43AB0">
        <w:rPr>
          <w:rFonts w:ascii="Times New Roman" w:hAnsi="Times New Roman" w:cs="Times New Roman"/>
          <w:sz w:val="18"/>
          <w:szCs w:val="18"/>
        </w:rPr>
        <w:t xml:space="preserve"> </w:t>
      </w:r>
      <w:r w:rsidRPr="00E707DE" w:rsidR="00C71BF0">
        <w:rPr>
          <w:rFonts w:ascii="Times New Roman" w:hAnsi="Times New Roman" w:cs="Times New Roman"/>
          <w:sz w:val="18"/>
          <w:szCs w:val="18"/>
        </w:rPr>
        <w:t>(</w:t>
      </w:r>
      <w:r w:rsidRPr="00E707DE" w:rsidR="00FE615A">
        <w:rPr>
          <w:rFonts w:ascii="Times New Roman" w:hAnsi="Times New Roman" w:cs="Times New Roman"/>
          <w:sz w:val="18"/>
          <w:szCs w:val="18"/>
        </w:rPr>
        <w:t>1.5 simple</w:t>
      </w:r>
      <w:r w:rsidRPr="00E707DE" w:rsidR="00A152CC">
        <w:rPr>
          <w:rFonts w:ascii="Times New Roman" w:hAnsi="Times New Roman" w:cs="Times New Roman"/>
          <w:sz w:val="18"/>
          <w:szCs w:val="18"/>
        </w:rPr>
        <w:t xml:space="preserve"> and 15.5 complex) </w:t>
      </w:r>
      <w:r w:rsidRPr="00E707DE" w:rsidR="00D6121E">
        <w:rPr>
          <w:rFonts w:ascii="Times New Roman" w:hAnsi="Times New Roman" w:cs="Times New Roman"/>
          <w:sz w:val="18"/>
          <w:szCs w:val="18"/>
        </w:rPr>
        <w:t>each from two simple facilities (</w:t>
      </w:r>
      <w:r w:rsidRPr="00E707DE" w:rsidR="00690ACB">
        <w:rPr>
          <w:rFonts w:ascii="Times New Roman" w:hAnsi="Times New Roman" w:cs="Times New Roman"/>
          <w:sz w:val="18"/>
          <w:szCs w:val="18"/>
        </w:rPr>
        <w:t>California Dairies Fresno CA RMP and City of Saginaw WW Treatment Saginaw MI RMP</w:t>
      </w:r>
      <w:r w:rsidRPr="00E707DE" w:rsidR="00D6121E">
        <w:rPr>
          <w:rFonts w:ascii="Times New Roman" w:hAnsi="Times New Roman" w:cs="Times New Roman"/>
          <w:sz w:val="18"/>
          <w:szCs w:val="18"/>
        </w:rPr>
        <w:t>) and from two complex facilities</w:t>
      </w:r>
      <w:r w:rsidRPr="00E707DE" w:rsidR="00690ACB">
        <w:rPr>
          <w:rFonts w:ascii="Times New Roman" w:hAnsi="Times New Roman" w:cs="Times New Roman"/>
          <w:sz w:val="18"/>
          <w:szCs w:val="18"/>
        </w:rPr>
        <w:t xml:space="preserve"> (</w:t>
      </w:r>
      <w:r w:rsidRPr="00E707DE" w:rsidR="00D45E67">
        <w:rPr>
          <w:rFonts w:ascii="Times New Roman" w:hAnsi="Times New Roman" w:cs="Times New Roman"/>
          <w:sz w:val="18"/>
          <w:szCs w:val="18"/>
        </w:rPr>
        <w:t>Hexion Hope AR RMP and Valero Port Arthur TX RMP)</w:t>
      </w:r>
      <w:r w:rsidRPr="00E707DE" w:rsidR="005525B4">
        <w:rPr>
          <w:rFonts w:ascii="Times New Roman" w:hAnsi="Times New Roman" w:cs="Times New Roman"/>
          <w:sz w:val="18"/>
          <w:szCs w:val="18"/>
        </w:rPr>
        <w:t>.</w:t>
      </w:r>
      <w:r w:rsidRPr="00E707DE" w:rsidR="00F36C32">
        <w:rPr>
          <w:rFonts w:ascii="Times New Roman" w:hAnsi="Times New Roman" w:cs="Times New Roman"/>
          <w:sz w:val="18"/>
          <w:szCs w:val="18"/>
        </w:rPr>
        <w:t xml:space="preserve"> Assuming</w:t>
      </w:r>
      <w:r w:rsidRPr="00E707DE" w:rsidR="00BC578E">
        <w:rPr>
          <w:rFonts w:ascii="Times New Roman" w:hAnsi="Times New Roman" w:cs="Times New Roman"/>
          <w:sz w:val="18"/>
          <w:szCs w:val="18"/>
        </w:rPr>
        <w:t xml:space="preserve"> one SDS per regulated substance and </w:t>
      </w:r>
      <w:r w:rsidRPr="00E707DE" w:rsidR="004B3734">
        <w:rPr>
          <w:rFonts w:ascii="Times New Roman" w:hAnsi="Times New Roman" w:cs="Times New Roman"/>
          <w:sz w:val="18"/>
          <w:szCs w:val="18"/>
        </w:rPr>
        <w:t>2</w:t>
      </w:r>
      <w:r w:rsidRPr="00E707DE" w:rsidR="00BC578E">
        <w:rPr>
          <w:rFonts w:ascii="Times New Roman" w:hAnsi="Times New Roman" w:cs="Times New Roman"/>
          <w:sz w:val="18"/>
          <w:szCs w:val="18"/>
        </w:rPr>
        <w:t>,</w:t>
      </w:r>
      <w:r w:rsidRPr="00E707DE" w:rsidR="004B3734">
        <w:rPr>
          <w:rFonts w:ascii="Times New Roman" w:hAnsi="Times New Roman" w:cs="Times New Roman"/>
          <w:sz w:val="18"/>
          <w:szCs w:val="18"/>
        </w:rPr>
        <w:t>5</w:t>
      </w:r>
      <w:r w:rsidRPr="00E707DE" w:rsidR="00307CA4">
        <w:rPr>
          <w:rFonts w:ascii="Times New Roman" w:hAnsi="Times New Roman" w:cs="Times New Roman"/>
          <w:sz w:val="18"/>
          <w:szCs w:val="18"/>
        </w:rPr>
        <w:t>76</w:t>
      </w:r>
      <w:r w:rsidRPr="00E707DE" w:rsidR="00BC578E">
        <w:rPr>
          <w:rFonts w:ascii="Times New Roman" w:hAnsi="Times New Roman" w:cs="Times New Roman"/>
          <w:sz w:val="18"/>
          <w:szCs w:val="18"/>
        </w:rPr>
        <w:t xml:space="preserve"> words per SDS</w:t>
      </w:r>
      <w:r w:rsidRPr="00E707DE" w:rsidR="00781667">
        <w:rPr>
          <w:rFonts w:ascii="Times New Roman" w:hAnsi="Times New Roman" w:cs="Times New Roman"/>
          <w:sz w:val="18"/>
          <w:szCs w:val="18"/>
        </w:rPr>
        <w:t xml:space="preserve"> (the number of </w:t>
      </w:r>
      <w:r w:rsidRPr="00E707DE" w:rsidR="00DA6079">
        <w:rPr>
          <w:rFonts w:ascii="Times New Roman" w:hAnsi="Times New Roman" w:cs="Times New Roman"/>
          <w:sz w:val="18"/>
          <w:szCs w:val="18"/>
        </w:rPr>
        <w:t xml:space="preserve">words in sample SDS from OSHA: </w:t>
      </w:r>
      <w:hyperlink r:id="rId50" w:history="1">
        <w:r w:rsidRPr="008530DF" w:rsidR="006076C0">
          <w:rPr>
            <w:rStyle w:val="Hyperlink"/>
            <w:rFonts w:ascii="Times New Roman" w:hAnsi="Times New Roman" w:cs="Times New Roman"/>
            <w:sz w:val="18"/>
            <w:szCs w:val="18"/>
          </w:rPr>
          <w:t>https://www.osha.gov/sites/default/files/2020-04/Sample%20SDS%20Handout.pdf</w:t>
        </w:r>
      </w:hyperlink>
      <w:r w:rsidR="006076C0">
        <w:rPr>
          <w:rFonts w:ascii="Times New Roman" w:hAnsi="Times New Roman" w:cs="Times New Roman"/>
          <w:sz w:val="18"/>
          <w:szCs w:val="18"/>
        </w:rPr>
        <w:t xml:space="preserve"> </w:t>
      </w:r>
      <w:r w:rsidRPr="00E707DE" w:rsidR="00DA6079">
        <w:rPr>
          <w:rFonts w:ascii="Times New Roman" w:hAnsi="Times New Roman" w:cs="Times New Roman"/>
          <w:sz w:val="18"/>
          <w:szCs w:val="18"/>
        </w:rPr>
        <w:t>)</w:t>
      </w:r>
      <w:r w:rsidRPr="00E707DE" w:rsidR="00BF3DB8">
        <w:rPr>
          <w:rFonts w:ascii="Times New Roman" w:hAnsi="Times New Roman" w:cs="Times New Roman"/>
          <w:sz w:val="18"/>
          <w:szCs w:val="18"/>
        </w:rPr>
        <w:t xml:space="preserve">, EPA estimates </w:t>
      </w:r>
      <w:r w:rsidRPr="00E707DE" w:rsidR="00E64403">
        <w:rPr>
          <w:rFonts w:ascii="Times New Roman" w:hAnsi="Times New Roman" w:cs="Times New Roman"/>
          <w:sz w:val="18"/>
          <w:szCs w:val="18"/>
        </w:rPr>
        <w:t xml:space="preserve">an average simple facility will translate </w:t>
      </w:r>
      <w:r w:rsidRPr="00E707DE" w:rsidR="00E73A09">
        <w:rPr>
          <w:rFonts w:ascii="Times New Roman" w:hAnsi="Times New Roman" w:cs="Times New Roman"/>
          <w:sz w:val="18"/>
          <w:szCs w:val="18"/>
        </w:rPr>
        <w:t>(</w:t>
      </w:r>
      <w:r w:rsidRPr="00E707DE" w:rsidR="001F1F2D">
        <w:rPr>
          <w:rFonts w:ascii="Times New Roman" w:hAnsi="Times New Roman" w:cs="Times New Roman"/>
          <w:sz w:val="18"/>
          <w:szCs w:val="18"/>
        </w:rPr>
        <w:t xml:space="preserve">1,500 + 1,341 </w:t>
      </w:r>
      <w:r w:rsidRPr="00E707DE" w:rsidR="00B928B1">
        <w:rPr>
          <w:rFonts w:ascii="Times New Roman" w:hAnsi="Times New Roman" w:cs="Times New Roman"/>
          <w:sz w:val="18"/>
          <w:szCs w:val="18"/>
        </w:rPr>
        <w:t xml:space="preserve">+ 1.5 x </w:t>
      </w:r>
      <w:r w:rsidRPr="00E707DE" w:rsidR="004B3734">
        <w:rPr>
          <w:rFonts w:ascii="Times New Roman" w:hAnsi="Times New Roman" w:cs="Times New Roman"/>
          <w:sz w:val="18"/>
          <w:szCs w:val="18"/>
        </w:rPr>
        <w:t>2</w:t>
      </w:r>
      <w:r w:rsidRPr="00E707DE" w:rsidR="00B928B1">
        <w:rPr>
          <w:rFonts w:ascii="Times New Roman" w:hAnsi="Times New Roman" w:cs="Times New Roman"/>
          <w:sz w:val="18"/>
          <w:szCs w:val="18"/>
        </w:rPr>
        <w:t>,</w:t>
      </w:r>
      <w:r w:rsidRPr="00E707DE" w:rsidR="004B3734">
        <w:rPr>
          <w:rFonts w:ascii="Times New Roman" w:hAnsi="Times New Roman" w:cs="Times New Roman"/>
          <w:sz w:val="18"/>
          <w:szCs w:val="18"/>
        </w:rPr>
        <w:t>5</w:t>
      </w:r>
      <w:r w:rsidRPr="00E707DE" w:rsidR="00DA6079">
        <w:rPr>
          <w:rFonts w:ascii="Times New Roman" w:hAnsi="Times New Roman" w:cs="Times New Roman"/>
          <w:sz w:val="18"/>
          <w:szCs w:val="18"/>
        </w:rPr>
        <w:t>76</w:t>
      </w:r>
      <w:r w:rsidRPr="00E707DE" w:rsidR="00E73A09">
        <w:rPr>
          <w:rFonts w:ascii="Times New Roman" w:hAnsi="Times New Roman" w:cs="Times New Roman"/>
          <w:sz w:val="18"/>
          <w:szCs w:val="18"/>
        </w:rPr>
        <w:t>)</w:t>
      </w:r>
      <w:r w:rsidRPr="00E707DE" w:rsidR="00B928B1">
        <w:rPr>
          <w:rFonts w:ascii="Times New Roman" w:hAnsi="Times New Roman" w:cs="Times New Roman"/>
          <w:sz w:val="18"/>
          <w:szCs w:val="18"/>
        </w:rPr>
        <w:t xml:space="preserve"> = </w:t>
      </w:r>
      <w:r w:rsidRPr="00E707DE" w:rsidR="007F55C7">
        <w:rPr>
          <w:rFonts w:ascii="Times New Roman" w:hAnsi="Times New Roman" w:cs="Times New Roman"/>
          <w:sz w:val="18"/>
          <w:szCs w:val="18"/>
        </w:rPr>
        <w:t>6,705</w:t>
      </w:r>
      <w:r w:rsidRPr="00E707DE" w:rsidR="00E73A09">
        <w:rPr>
          <w:rFonts w:ascii="Times New Roman" w:hAnsi="Times New Roman" w:cs="Times New Roman"/>
          <w:sz w:val="18"/>
          <w:szCs w:val="18"/>
        </w:rPr>
        <w:t xml:space="preserve"> words and </w:t>
      </w:r>
      <w:r w:rsidRPr="00E707DE" w:rsidR="006D5010">
        <w:rPr>
          <w:rFonts w:ascii="Times New Roman" w:hAnsi="Times New Roman" w:cs="Times New Roman"/>
          <w:sz w:val="18"/>
          <w:szCs w:val="18"/>
        </w:rPr>
        <w:t xml:space="preserve">an average complex facility will translate (1,500 + </w:t>
      </w:r>
      <w:r w:rsidRPr="00E707DE" w:rsidR="00502D73">
        <w:rPr>
          <w:rFonts w:ascii="Times New Roman" w:hAnsi="Times New Roman" w:cs="Times New Roman"/>
          <w:sz w:val="18"/>
          <w:szCs w:val="18"/>
        </w:rPr>
        <w:t xml:space="preserve">3,452 + 15.5 x </w:t>
      </w:r>
      <w:r w:rsidRPr="00E707DE" w:rsidR="004B3734">
        <w:rPr>
          <w:rFonts w:ascii="Times New Roman" w:hAnsi="Times New Roman" w:cs="Times New Roman"/>
          <w:sz w:val="18"/>
          <w:szCs w:val="18"/>
        </w:rPr>
        <w:t>2</w:t>
      </w:r>
      <w:r w:rsidRPr="00E707DE" w:rsidR="00502D73">
        <w:rPr>
          <w:rFonts w:ascii="Times New Roman" w:hAnsi="Times New Roman" w:cs="Times New Roman"/>
          <w:sz w:val="18"/>
          <w:szCs w:val="18"/>
        </w:rPr>
        <w:t>,</w:t>
      </w:r>
      <w:r w:rsidRPr="00E707DE" w:rsidR="004B3734">
        <w:rPr>
          <w:rFonts w:ascii="Times New Roman" w:hAnsi="Times New Roman" w:cs="Times New Roman"/>
          <w:sz w:val="18"/>
          <w:szCs w:val="18"/>
        </w:rPr>
        <w:t>5</w:t>
      </w:r>
      <w:r w:rsidRPr="00E707DE" w:rsidR="00DA6079">
        <w:rPr>
          <w:rFonts w:ascii="Times New Roman" w:hAnsi="Times New Roman" w:cs="Times New Roman"/>
          <w:sz w:val="18"/>
          <w:szCs w:val="18"/>
        </w:rPr>
        <w:t>76</w:t>
      </w:r>
      <w:r w:rsidRPr="00E707DE" w:rsidR="00502D73">
        <w:rPr>
          <w:rFonts w:ascii="Times New Roman" w:hAnsi="Times New Roman" w:cs="Times New Roman"/>
          <w:sz w:val="18"/>
          <w:szCs w:val="18"/>
        </w:rPr>
        <w:t xml:space="preserve">) = </w:t>
      </w:r>
      <w:r w:rsidRPr="00E707DE" w:rsidR="004A02A8">
        <w:rPr>
          <w:rFonts w:ascii="Times New Roman" w:hAnsi="Times New Roman" w:cs="Times New Roman"/>
          <w:sz w:val="18"/>
          <w:szCs w:val="18"/>
        </w:rPr>
        <w:t>44,880</w:t>
      </w:r>
      <w:r w:rsidRPr="00E707DE" w:rsidR="00C90DE6">
        <w:rPr>
          <w:rFonts w:ascii="Times New Roman" w:hAnsi="Times New Roman" w:cs="Times New Roman"/>
          <w:sz w:val="18"/>
          <w:szCs w:val="18"/>
        </w:rPr>
        <w:t xml:space="preserve"> words</w:t>
      </w:r>
      <w:r w:rsidRPr="00E707DE" w:rsidR="00DD23F4">
        <w:rPr>
          <w:rFonts w:ascii="Times New Roman" w:hAnsi="Times New Roman" w:cs="Times New Roman"/>
          <w:sz w:val="18"/>
          <w:szCs w:val="18"/>
        </w:rPr>
        <w:t xml:space="preserve"> per language</w:t>
      </w:r>
      <w:r w:rsidRPr="00E707DE" w:rsidR="004A02A8">
        <w:rPr>
          <w:rFonts w:ascii="Times New Roman" w:hAnsi="Times New Roman" w:cs="Times New Roman"/>
          <w:sz w:val="18"/>
          <w:szCs w:val="18"/>
        </w:rPr>
        <w:t xml:space="preserve">. </w:t>
      </w:r>
      <w:r w:rsidRPr="00E707DE" w:rsidR="00EC3B90">
        <w:rPr>
          <w:rFonts w:ascii="Times New Roman" w:hAnsi="Times New Roman" w:cs="Times New Roman"/>
          <w:sz w:val="18"/>
          <w:szCs w:val="18"/>
        </w:rPr>
        <w:t xml:space="preserve">Rounding to the nearest thousand, EPA assumes 7,000 words per simple facility and </w:t>
      </w:r>
      <w:r w:rsidRPr="00E707DE" w:rsidR="00DD23F4">
        <w:rPr>
          <w:rFonts w:ascii="Times New Roman" w:hAnsi="Times New Roman" w:cs="Times New Roman"/>
          <w:sz w:val="18"/>
          <w:szCs w:val="18"/>
        </w:rPr>
        <w:t>45,000 words per complex facility per language.</w:t>
      </w:r>
    </w:p>
  </w:footnote>
  <w:footnote w:id="118">
    <w:p w:rsidR="00B72438" w:rsidRPr="003A3A84" w14:paraId="097B5318"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w:t>
      </w:r>
      <w:r w:rsidRPr="003A3A84" w:rsidR="003B483D">
        <w:rPr>
          <w:rFonts w:ascii="Times New Roman" w:hAnsi="Times New Roman" w:cs="Times New Roman"/>
          <w:sz w:val="18"/>
          <w:szCs w:val="18"/>
        </w:rPr>
        <w:t>Value per hour of leisure</w:t>
      </w:r>
      <w:r w:rsidRPr="003A3A84" w:rsidR="00E04902">
        <w:rPr>
          <w:rFonts w:ascii="Times New Roman" w:hAnsi="Times New Roman" w:cs="Times New Roman"/>
          <w:sz w:val="18"/>
          <w:szCs w:val="18"/>
        </w:rPr>
        <w:t xml:space="preserve"> = </w:t>
      </w:r>
      <w:r w:rsidRPr="003A3A84" w:rsidR="00590071">
        <w:rPr>
          <w:rFonts w:ascii="Times New Roman" w:hAnsi="Times New Roman" w:cs="Times New Roman"/>
          <w:sz w:val="18"/>
          <w:szCs w:val="18"/>
        </w:rPr>
        <w:t>(</w:t>
      </w:r>
      <w:r w:rsidRPr="003A3A84" w:rsidR="00C66194">
        <w:rPr>
          <w:rFonts w:ascii="Times New Roman" w:hAnsi="Times New Roman" w:cs="Times New Roman"/>
          <w:sz w:val="18"/>
          <w:szCs w:val="18"/>
        </w:rPr>
        <w:t>average hourly wage</w:t>
      </w:r>
      <w:r w:rsidRPr="003A3A84" w:rsidR="00590071">
        <w:rPr>
          <w:rFonts w:ascii="Times New Roman" w:hAnsi="Times New Roman" w:cs="Times New Roman"/>
          <w:sz w:val="18"/>
          <w:szCs w:val="18"/>
        </w:rPr>
        <w:t>)</w:t>
      </w:r>
      <w:r w:rsidRPr="003A3A84" w:rsidR="006E6758">
        <w:rPr>
          <w:rFonts w:ascii="Times New Roman" w:hAnsi="Times New Roman" w:cs="Times New Roman"/>
          <w:sz w:val="18"/>
          <w:szCs w:val="18"/>
        </w:rPr>
        <w:t xml:space="preserve"> </w:t>
      </w:r>
      <w:r w:rsidRPr="003A3A84" w:rsidR="0078671A">
        <w:rPr>
          <w:rFonts w:ascii="Times New Roman" w:hAnsi="Times New Roman" w:cs="Times New Roman"/>
          <w:sz w:val="18"/>
          <w:szCs w:val="18"/>
        </w:rPr>
        <w:t xml:space="preserve">x </w:t>
      </w:r>
      <w:r w:rsidRPr="003A3A84" w:rsidR="00A12C17">
        <w:rPr>
          <w:rFonts w:ascii="Times New Roman" w:hAnsi="Times New Roman" w:cs="Times New Roman"/>
          <w:sz w:val="18"/>
          <w:szCs w:val="18"/>
        </w:rPr>
        <w:t xml:space="preserve">(1 – income tax share of </w:t>
      </w:r>
      <w:r w:rsidRPr="003A3A84" w:rsidR="00E347C4">
        <w:rPr>
          <w:rFonts w:ascii="Times New Roman" w:hAnsi="Times New Roman" w:cs="Times New Roman"/>
          <w:sz w:val="18"/>
          <w:szCs w:val="18"/>
        </w:rPr>
        <w:t>pretax income</w:t>
      </w:r>
      <w:r w:rsidRPr="003A3A84" w:rsidR="00C63D91">
        <w:rPr>
          <w:rFonts w:ascii="Times New Roman" w:hAnsi="Times New Roman" w:cs="Times New Roman"/>
          <w:sz w:val="18"/>
          <w:szCs w:val="18"/>
        </w:rPr>
        <w:t xml:space="preserve"> + voluntary </w:t>
      </w:r>
      <w:r w:rsidRPr="003A3A84" w:rsidR="00355E67">
        <w:rPr>
          <w:rFonts w:ascii="Times New Roman" w:hAnsi="Times New Roman" w:cs="Times New Roman"/>
          <w:sz w:val="18"/>
          <w:szCs w:val="18"/>
        </w:rPr>
        <w:t>benef</w:t>
      </w:r>
      <w:r w:rsidRPr="003A3A84" w:rsidR="0066775F">
        <w:rPr>
          <w:rFonts w:ascii="Times New Roman" w:hAnsi="Times New Roman" w:cs="Times New Roman"/>
          <w:sz w:val="18"/>
          <w:szCs w:val="18"/>
        </w:rPr>
        <w:t xml:space="preserve">its as a percent of </w:t>
      </w:r>
      <w:r w:rsidRPr="003A3A84" w:rsidR="00EE2B61">
        <w:rPr>
          <w:rFonts w:ascii="Times New Roman" w:hAnsi="Times New Roman" w:cs="Times New Roman"/>
          <w:sz w:val="18"/>
          <w:szCs w:val="18"/>
        </w:rPr>
        <w:t>wages)</w:t>
      </w:r>
      <w:r w:rsidRPr="003A3A84" w:rsidR="00404BA4">
        <w:rPr>
          <w:rFonts w:ascii="Times New Roman" w:hAnsi="Times New Roman" w:cs="Times New Roman"/>
          <w:sz w:val="18"/>
          <w:szCs w:val="18"/>
        </w:rPr>
        <w:t xml:space="preserve"> = </w:t>
      </w:r>
      <w:r w:rsidRPr="003A3A84" w:rsidR="004628D2">
        <w:rPr>
          <w:rFonts w:ascii="Times New Roman" w:hAnsi="Times New Roman" w:cs="Times New Roman"/>
          <w:sz w:val="18"/>
          <w:szCs w:val="18"/>
        </w:rPr>
        <w:t xml:space="preserve">$28.88 x </w:t>
      </w:r>
      <w:r w:rsidRPr="003A3A84" w:rsidR="00086319">
        <w:rPr>
          <w:rFonts w:ascii="Times New Roman" w:hAnsi="Times New Roman" w:cs="Times New Roman"/>
          <w:sz w:val="18"/>
          <w:szCs w:val="18"/>
        </w:rPr>
        <w:t xml:space="preserve">(1 </w:t>
      </w:r>
      <w:r w:rsidRPr="003A3A84" w:rsidR="007218F5">
        <w:rPr>
          <w:rFonts w:ascii="Times New Roman" w:hAnsi="Times New Roman" w:cs="Times New Roman"/>
          <w:sz w:val="18"/>
          <w:szCs w:val="18"/>
        </w:rPr>
        <w:t>-</w:t>
      </w:r>
      <w:r w:rsidRPr="003A3A84" w:rsidR="00086319">
        <w:rPr>
          <w:rFonts w:ascii="Times New Roman" w:hAnsi="Times New Roman" w:cs="Times New Roman"/>
          <w:sz w:val="18"/>
          <w:szCs w:val="18"/>
        </w:rPr>
        <w:t xml:space="preserve"> </w:t>
      </w:r>
      <w:r w:rsidRPr="003A3A84" w:rsidR="00CE065B">
        <w:rPr>
          <w:rFonts w:ascii="Times New Roman" w:hAnsi="Times New Roman" w:cs="Times New Roman"/>
          <w:sz w:val="18"/>
          <w:szCs w:val="18"/>
        </w:rPr>
        <w:t>7.7%</w:t>
      </w:r>
      <w:r w:rsidRPr="003A3A84" w:rsidR="0004401F">
        <w:rPr>
          <w:rFonts w:ascii="Times New Roman" w:hAnsi="Times New Roman" w:cs="Times New Roman"/>
          <w:sz w:val="18"/>
          <w:szCs w:val="18"/>
        </w:rPr>
        <w:t xml:space="preserve"> + </w:t>
      </w:r>
      <w:r w:rsidRPr="003A3A84" w:rsidR="00F01302">
        <w:rPr>
          <w:rFonts w:ascii="Times New Roman" w:hAnsi="Times New Roman" w:cs="Times New Roman"/>
          <w:sz w:val="18"/>
          <w:szCs w:val="18"/>
        </w:rPr>
        <w:t>34.6%)</w:t>
      </w:r>
      <w:r w:rsidRPr="003A3A84" w:rsidR="00E90958">
        <w:rPr>
          <w:rFonts w:ascii="Times New Roman" w:hAnsi="Times New Roman" w:cs="Times New Roman"/>
          <w:sz w:val="18"/>
          <w:szCs w:val="18"/>
        </w:rPr>
        <w:t xml:space="preserve"> = </w:t>
      </w:r>
      <w:r w:rsidRPr="003A3A84" w:rsidR="002C5316">
        <w:rPr>
          <w:rFonts w:ascii="Times New Roman" w:hAnsi="Times New Roman" w:cs="Times New Roman"/>
          <w:sz w:val="18"/>
          <w:szCs w:val="18"/>
        </w:rPr>
        <w:t>$3</w:t>
      </w:r>
      <w:r w:rsidRPr="003A3A84" w:rsidR="00D04C1C">
        <w:rPr>
          <w:rFonts w:ascii="Times New Roman" w:hAnsi="Times New Roman" w:cs="Times New Roman"/>
          <w:sz w:val="18"/>
          <w:szCs w:val="18"/>
        </w:rPr>
        <w:t>6.66</w:t>
      </w:r>
      <w:r w:rsidRPr="003A3A84" w:rsidR="002C5316">
        <w:rPr>
          <w:rFonts w:ascii="Times New Roman" w:hAnsi="Times New Roman" w:cs="Times New Roman"/>
          <w:sz w:val="18"/>
          <w:szCs w:val="18"/>
        </w:rPr>
        <w:t xml:space="preserve">. </w:t>
      </w:r>
      <w:r w:rsidRPr="003A3A84" w:rsidR="00A12121">
        <w:rPr>
          <w:rFonts w:ascii="Times New Roman" w:hAnsi="Times New Roman" w:cs="Times New Roman"/>
          <w:sz w:val="18"/>
          <w:szCs w:val="18"/>
        </w:rPr>
        <w:t xml:space="preserve">Average hourly wage comes from </w:t>
      </w:r>
      <w:r w:rsidRPr="003A3A84" w:rsidR="00A248B3">
        <w:rPr>
          <w:rFonts w:ascii="Times New Roman" w:hAnsi="Times New Roman" w:cs="Times New Roman"/>
          <w:sz w:val="18"/>
          <w:szCs w:val="18"/>
        </w:rPr>
        <w:t xml:space="preserve">Wages and salaries (all workers), Table 1 Employer Costs of Employee Compensation by ownership, Sep 2022: </w:t>
      </w:r>
      <w:hyperlink r:id="rId51" w:history="1">
        <w:r w:rsidRPr="003A3A84" w:rsidR="00EE16EF">
          <w:rPr>
            <w:rStyle w:val="Hyperlink"/>
            <w:rFonts w:ascii="Times New Roman" w:hAnsi="Times New Roman" w:cs="Times New Roman"/>
            <w:sz w:val="18"/>
            <w:szCs w:val="18"/>
          </w:rPr>
          <w:t>https://www.bls.gov/ecec/tables.htm</w:t>
        </w:r>
      </w:hyperlink>
      <w:r w:rsidRPr="003A3A84" w:rsidR="00EE16EF">
        <w:rPr>
          <w:rFonts w:ascii="Times New Roman" w:hAnsi="Times New Roman" w:cs="Times New Roman"/>
          <w:sz w:val="18"/>
          <w:szCs w:val="18"/>
        </w:rPr>
        <w:t xml:space="preserve">. </w:t>
      </w:r>
      <w:r w:rsidRPr="003A3A84" w:rsidR="00513BA5">
        <w:rPr>
          <w:rFonts w:ascii="Times New Roman" w:hAnsi="Times New Roman" w:cs="Times New Roman"/>
          <w:sz w:val="18"/>
          <w:szCs w:val="18"/>
        </w:rPr>
        <w:t>Income tax share of pretax income</w:t>
      </w:r>
      <w:r w:rsidRPr="003A3A84" w:rsidR="00106956">
        <w:rPr>
          <w:rFonts w:ascii="Times New Roman" w:hAnsi="Times New Roman" w:cs="Times New Roman"/>
          <w:sz w:val="18"/>
          <w:szCs w:val="18"/>
        </w:rPr>
        <w:t xml:space="preserve"> = </w:t>
      </w:r>
      <w:r w:rsidRPr="003A3A84" w:rsidR="0064451A">
        <w:rPr>
          <w:rFonts w:ascii="Times New Roman" w:hAnsi="Times New Roman" w:cs="Times New Roman"/>
          <w:sz w:val="18"/>
          <w:szCs w:val="18"/>
        </w:rPr>
        <w:t>(</w:t>
      </w:r>
      <w:r w:rsidRPr="003A3A84" w:rsidR="00106956">
        <w:rPr>
          <w:rFonts w:ascii="Times New Roman" w:hAnsi="Times New Roman" w:cs="Times New Roman"/>
          <w:sz w:val="18"/>
          <w:szCs w:val="18"/>
        </w:rPr>
        <w:t>median household income – median post-tax income</w:t>
      </w:r>
      <w:r w:rsidRPr="003A3A84" w:rsidR="0064451A">
        <w:rPr>
          <w:rFonts w:ascii="Times New Roman" w:hAnsi="Times New Roman" w:cs="Times New Roman"/>
          <w:sz w:val="18"/>
          <w:szCs w:val="18"/>
        </w:rPr>
        <w:t xml:space="preserve">) </w:t>
      </w:r>
      <w:r w:rsidRPr="003A3A84" w:rsidR="00421B67">
        <w:rPr>
          <w:rFonts w:ascii="Times New Roman" w:hAnsi="Times New Roman" w:cs="Times New Roman"/>
          <w:sz w:val="18"/>
          <w:szCs w:val="18"/>
        </w:rPr>
        <w:t>÷</w:t>
      </w:r>
      <w:r w:rsidRPr="003A3A84" w:rsidR="0064451A">
        <w:rPr>
          <w:rFonts w:ascii="Times New Roman" w:hAnsi="Times New Roman" w:cs="Times New Roman"/>
          <w:sz w:val="18"/>
          <w:szCs w:val="18"/>
        </w:rPr>
        <w:t xml:space="preserve"> </w:t>
      </w:r>
      <w:r w:rsidRPr="003A3A84" w:rsidR="008B2D35">
        <w:rPr>
          <w:rFonts w:ascii="Times New Roman" w:hAnsi="Times New Roman" w:cs="Times New Roman"/>
          <w:sz w:val="18"/>
          <w:szCs w:val="18"/>
        </w:rPr>
        <w:t xml:space="preserve">median household income = </w:t>
      </w:r>
      <w:r w:rsidRPr="003A3A84" w:rsidR="00E503BC">
        <w:rPr>
          <w:rFonts w:ascii="Times New Roman" w:hAnsi="Times New Roman" w:cs="Times New Roman"/>
          <w:sz w:val="18"/>
          <w:szCs w:val="18"/>
        </w:rPr>
        <w:t>(</w:t>
      </w:r>
      <w:r w:rsidRPr="003A3A84" w:rsidR="00E55222">
        <w:rPr>
          <w:rFonts w:ascii="Times New Roman" w:hAnsi="Times New Roman" w:cs="Times New Roman"/>
          <w:sz w:val="18"/>
          <w:szCs w:val="18"/>
        </w:rPr>
        <w:t>$7</w:t>
      </w:r>
      <w:r w:rsidRPr="003A3A84" w:rsidR="00E503BC">
        <w:rPr>
          <w:rFonts w:ascii="Times New Roman" w:hAnsi="Times New Roman" w:cs="Times New Roman"/>
          <w:sz w:val="18"/>
          <w:szCs w:val="18"/>
        </w:rPr>
        <w:t xml:space="preserve">0,784 - $65,354 </w:t>
      </w:r>
      <w:r w:rsidRPr="003A3A84" w:rsidR="00421B67">
        <w:rPr>
          <w:rFonts w:ascii="Times New Roman" w:hAnsi="Times New Roman" w:cs="Times New Roman"/>
          <w:sz w:val="18"/>
          <w:szCs w:val="18"/>
        </w:rPr>
        <w:t>÷</w:t>
      </w:r>
      <w:r w:rsidRPr="003A3A84" w:rsidR="00E503BC">
        <w:rPr>
          <w:rFonts w:ascii="Times New Roman" w:hAnsi="Times New Roman" w:cs="Times New Roman"/>
          <w:sz w:val="18"/>
          <w:szCs w:val="18"/>
        </w:rPr>
        <w:t xml:space="preserve"> $70,784) = </w:t>
      </w:r>
      <w:r w:rsidRPr="003A3A84" w:rsidR="00430C6A">
        <w:rPr>
          <w:rFonts w:ascii="Times New Roman" w:hAnsi="Times New Roman" w:cs="Times New Roman"/>
          <w:sz w:val="18"/>
          <w:szCs w:val="18"/>
        </w:rPr>
        <w:t xml:space="preserve">7.7%. Median household income and median post-tax income come from </w:t>
      </w:r>
      <w:hyperlink r:id="rId21" w:history="1">
        <w:r w:rsidRPr="003A3A84" w:rsidR="001661E7">
          <w:rPr>
            <w:rStyle w:val="Hyperlink"/>
            <w:rFonts w:ascii="Times New Roman" w:hAnsi="Times New Roman" w:cs="Times New Roman"/>
            <w:sz w:val="18"/>
            <w:szCs w:val="18"/>
          </w:rPr>
          <w:t>https://www.census.gov/data/tables/2022/demo/income-poverty/p60-276.html</w:t>
        </w:r>
      </w:hyperlink>
      <w:r w:rsidRPr="003A3A84" w:rsidR="001661E7">
        <w:rPr>
          <w:rFonts w:ascii="Times New Roman" w:hAnsi="Times New Roman" w:cs="Times New Roman"/>
          <w:sz w:val="18"/>
          <w:szCs w:val="18"/>
        </w:rPr>
        <w:t xml:space="preserve">. </w:t>
      </w:r>
      <w:r w:rsidRPr="003A3A84" w:rsidR="00BB5F77">
        <w:rPr>
          <w:rFonts w:ascii="Times New Roman" w:hAnsi="Times New Roman" w:cs="Times New Roman"/>
          <w:sz w:val="18"/>
          <w:szCs w:val="18"/>
        </w:rPr>
        <w:t xml:space="preserve">Voluntary benefits as a percent of </w:t>
      </w:r>
      <w:r w:rsidRPr="003A3A84" w:rsidR="0015348E">
        <w:rPr>
          <w:rFonts w:ascii="Times New Roman" w:hAnsi="Times New Roman" w:cs="Times New Roman"/>
          <w:sz w:val="18"/>
          <w:szCs w:val="18"/>
        </w:rPr>
        <w:t xml:space="preserve">wages = </w:t>
      </w:r>
      <w:r w:rsidRPr="003A3A84" w:rsidR="00CD67C3">
        <w:rPr>
          <w:rFonts w:ascii="Times New Roman" w:hAnsi="Times New Roman" w:cs="Times New Roman"/>
          <w:sz w:val="18"/>
          <w:szCs w:val="18"/>
        </w:rPr>
        <w:t xml:space="preserve">voluntary benefits </w:t>
      </w:r>
      <w:r w:rsidRPr="003A3A84" w:rsidR="0030598E">
        <w:rPr>
          <w:rFonts w:ascii="Times New Roman" w:hAnsi="Times New Roman" w:cs="Times New Roman"/>
          <w:sz w:val="18"/>
          <w:szCs w:val="18"/>
        </w:rPr>
        <w:t>share of total compensation / wage share of total compensation = 0.239</w:t>
      </w:r>
      <w:r w:rsidRPr="003A3A84" w:rsidR="00421B67">
        <w:rPr>
          <w:rFonts w:ascii="Times New Roman" w:hAnsi="Times New Roman" w:cs="Times New Roman"/>
          <w:sz w:val="18"/>
          <w:szCs w:val="18"/>
        </w:rPr>
        <w:t xml:space="preserve"> ÷ </w:t>
      </w:r>
      <w:r w:rsidRPr="003A3A84" w:rsidR="0030598E">
        <w:rPr>
          <w:rFonts w:ascii="Times New Roman" w:hAnsi="Times New Roman" w:cs="Times New Roman"/>
          <w:sz w:val="18"/>
          <w:szCs w:val="18"/>
        </w:rPr>
        <w:t>0.69</w:t>
      </w:r>
      <w:r w:rsidRPr="003A3A84" w:rsidR="00773CD3">
        <w:rPr>
          <w:rFonts w:ascii="Times New Roman" w:hAnsi="Times New Roman" w:cs="Times New Roman"/>
          <w:sz w:val="18"/>
          <w:szCs w:val="18"/>
        </w:rPr>
        <w:t xml:space="preserve"> = </w:t>
      </w:r>
      <w:r w:rsidRPr="003A3A84" w:rsidR="001D7270">
        <w:rPr>
          <w:rFonts w:ascii="Times New Roman" w:hAnsi="Times New Roman" w:cs="Times New Roman"/>
          <w:sz w:val="18"/>
          <w:szCs w:val="18"/>
        </w:rPr>
        <w:t>34.6%</w:t>
      </w:r>
      <w:r w:rsidRPr="003A3A84" w:rsidR="006D7B30">
        <w:rPr>
          <w:rFonts w:ascii="Times New Roman" w:hAnsi="Times New Roman" w:cs="Times New Roman"/>
          <w:sz w:val="18"/>
          <w:szCs w:val="18"/>
        </w:rPr>
        <w:t xml:space="preserve">, which comes from </w:t>
      </w:r>
      <w:hyperlink r:id="rId52" w:history="1">
        <w:r w:rsidRPr="003A3A84" w:rsidR="000B1AA4">
          <w:rPr>
            <w:rStyle w:val="Hyperlink"/>
            <w:rFonts w:ascii="Times New Roman" w:hAnsi="Times New Roman" w:cs="Times New Roman"/>
            <w:sz w:val="18"/>
            <w:szCs w:val="18"/>
          </w:rPr>
          <w:t>https://www.bls.gov/news.release/ecec.t01.htm</w:t>
        </w:r>
      </w:hyperlink>
      <w:r w:rsidRPr="003A3A84" w:rsidR="000B1AA4">
        <w:rPr>
          <w:rFonts w:ascii="Times New Roman" w:hAnsi="Times New Roman" w:cs="Times New Roman"/>
          <w:sz w:val="18"/>
          <w:szCs w:val="18"/>
        </w:rPr>
        <w:t xml:space="preserve">. </w:t>
      </w:r>
    </w:p>
  </w:footnote>
  <w:footnote w:id="119">
    <w:p w:rsidR="00FE5C50" w:rsidRPr="00347BE9" w14:paraId="5B2F81F4" w14:textId="77777777">
      <w:pPr>
        <w:pStyle w:val="FootnoteText"/>
        <w:rPr>
          <w:rFonts w:ascii="Times New Roman" w:hAnsi="Times New Roman" w:cs="Times New Roman"/>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w:t>
      </w:r>
      <w:r w:rsidRPr="003A3A84" w:rsidR="00C33AFC">
        <w:rPr>
          <w:rFonts w:ascii="Times New Roman" w:hAnsi="Times New Roman" w:cs="Times New Roman"/>
          <w:sz w:val="18"/>
          <w:szCs w:val="18"/>
        </w:rPr>
        <w:t xml:space="preserve">Travel cost per in-person ID verification = </w:t>
      </w:r>
      <w:r w:rsidRPr="003A3A84" w:rsidR="00233777">
        <w:rPr>
          <w:rFonts w:ascii="Times New Roman" w:hAnsi="Times New Roman" w:cs="Times New Roman"/>
          <w:sz w:val="18"/>
          <w:szCs w:val="18"/>
        </w:rPr>
        <w:t>(</w:t>
      </w:r>
      <w:r w:rsidRPr="003A3A84" w:rsidR="00134730">
        <w:rPr>
          <w:rFonts w:ascii="Times New Roman" w:hAnsi="Times New Roman" w:cs="Times New Roman"/>
          <w:sz w:val="18"/>
          <w:szCs w:val="18"/>
        </w:rPr>
        <w:t>travel cost per mile</w:t>
      </w:r>
      <w:r w:rsidRPr="003A3A84" w:rsidR="00233777">
        <w:rPr>
          <w:rFonts w:ascii="Times New Roman" w:hAnsi="Times New Roman" w:cs="Times New Roman"/>
          <w:sz w:val="18"/>
          <w:szCs w:val="18"/>
        </w:rPr>
        <w:t>) x (miles of travel)</w:t>
      </w:r>
      <w:r w:rsidRPr="003A3A84" w:rsidR="00CF7ADB">
        <w:rPr>
          <w:rFonts w:ascii="Times New Roman" w:hAnsi="Times New Roman" w:cs="Times New Roman"/>
          <w:sz w:val="18"/>
          <w:szCs w:val="18"/>
        </w:rPr>
        <w:t xml:space="preserve"> = </w:t>
      </w:r>
      <w:r w:rsidRPr="003A3A84" w:rsidR="00C33C0C">
        <w:rPr>
          <w:rFonts w:ascii="Times New Roman" w:hAnsi="Times New Roman" w:cs="Times New Roman"/>
          <w:sz w:val="18"/>
          <w:szCs w:val="18"/>
        </w:rPr>
        <w:t xml:space="preserve">$0.983 x 12 miles = $11.79. </w:t>
      </w:r>
      <w:r w:rsidRPr="003A3A84" w:rsidR="007D6B39">
        <w:rPr>
          <w:rFonts w:ascii="Times New Roman" w:hAnsi="Times New Roman" w:cs="Times New Roman"/>
          <w:sz w:val="18"/>
          <w:szCs w:val="18"/>
        </w:rPr>
        <w:t>For</w:t>
      </w:r>
      <w:r w:rsidRPr="003A3A84" w:rsidR="00717BE5">
        <w:rPr>
          <w:rFonts w:ascii="Times New Roman" w:hAnsi="Times New Roman" w:cs="Times New Roman"/>
          <w:sz w:val="18"/>
          <w:szCs w:val="18"/>
        </w:rPr>
        <w:t xml:space="preserve"> </w:t>
      </w:r>
      <w:r w:rsidRPr="003A3A84" w:rsidR="00E35BFC">
        <w:rPr>
          <w:rFonts w:ascii="Times New Roman" w:hAnsi="Times New Roman" w:cs="Times New Roman"/>
          <w:sz w:val="18"/>
          <w:szCs w:val="18"/>
        </w:rPr>
        <w:t>travel cost per mile</w:t>
      </w:r>
      <w:r w:rsidRPr="003A3A84" w:rsidR="007D6B39">
        <w:rPr>
          <w:rFonts w:ascii="Times New Roman" w:hAnsi="Times New Roman" w:cs="Times New Roman"/>
          <w:sz w:val="18"/>
          <w:szCs w:val="18"/>
        </w:rPr>
        <w:t xml:space="preserve">, EPA uses the </w:t>
      </w:r>
      <w:r w:rsidRPr="003A3A84" w:rsidR="003813A1">
        <w:rPr>
          <w:rFonts w:ascii="Times New Roman" w:hAnsi="Times New Roman" w:cs="Times New Roman"/>
          <w:sz w:val="18"/>
          <w:szCs w:val="18"/>
        </w:rPr>
        <w:t>2023</w:t>
      </w:r>
      <w:r w:rsidRPr="003A3A84" w:rsidR="00E35BFC">
        <w:rPr>
          <w:rFonts w:ascii="Times New Roman" w:hAnsi="Times New Roman" w:cs="Times New Roman"/>
          <w:sz w:val="18"/>
          <w:szCs w:val="18"/>
        </w:rPr>
        <w:t xml:space="preserve"> IRS standard mileage rate</w:t>
      </w:r>
      <w:r w:rsidRPr="003A3A84" w:rsidR="003E5FE8">
        <w:rPr>
          <w:rFonts w:ascii="Times New Roman" w:hAnsi="Times New Roman" w:cs="Times New Roman"/>
          <w:sz w:val="18"/>
          <w:szCs w:val="18"/>
        </w:rPr>
        <w:t xml:space="preserve"> of $0.655</w:t>
      </w:r>
      <w:r w:rsidRPr="003A3A84" w:rsidR="003813A1">
        <w:rPr>
          <w:rFonts w:ascii="Times New Roman" w:hAnsi="Times New Roman" w:cs="Times New Roman"/>
          <w:sz w:val="18"/>
          <w:szCs w:val="18"/>
        </w:rPr>
        <w:t xml:space="preserve"> (based on a study of an individual’s fixed and variable costs of operating an automobile</w:t>
      </w:r>
      <w:r w:rsidRPr="003A3A84" w:rsidR="00054E24">
        <w:rPr>
          <w:rFonts w:ascii="Times New Roman" w:hAnsi="Times New Roman" w:cs="Times New Roman"/>
          <w:sz w:val="18"/>
          <w:szCs w:val="18"/>
        </w:rPr>
        <w:t xml:space="preserve">, see: </w:t>
      </w:r>
      <w:hyperlink r:id="rId53" w:history="1">
        <w:r w:rsidRPr="008530DF" w:rsidR="00B72AD3">
          <w:rPr>
            <w:rStyle w:val="Hyperlink"/>
            <w:rFonts w:ascii="Times New Roman" w:hAnsi="Times New Roman" w:cs="Times New Roman"/>
            <w:sz w:val="18"/>
            <w:szCs w:val="18"/>
          </w:rPr>
          <w:t>https://www.irs.gov/newsroom/irs-issues-standard-mileage-rates-for-2023-business-use-increases-3-cents-per-mile</w:t>
        </w:r>
      </w:hyperlink>
      <w:r w:rsidR="00B72AD3">
        <w:rPr>
          <w:rFonts w:ascii="Times New Roman" w:hAnsi="Times New Roman" w:cs="Times New Roman"/>
          <w:sz w:val="18"/>
          <w:szCs w:val="18"/>
        </w:rPr>
        <w:t xml:space="preserve"> </w:t>
      </w:r>
      <w:r w:rsidRPr="003A3A84" w:rsidR="003813A1">
        <w:rPr>
          <w:rFonts w:ascii="Times New Roman" w:hAnsi="Times New Roman" w:cs="Times New Roman"/>
          <w:sz w:val="18"/>
          <w:szCs w:val="18"/>
        </w:rPr>
        <w:t xml:space="preserve">) </w:t>
      </w:r>
      <w:r w:rsidRPr="003A3A84" w:rsidR="007D6B39">
        <w:rPr>
          <w:rFonts w:ascii="Times New Roman" w:hAnsi="Times New Roman" w:cs="Times New Roman"/>
          <w:sz w:val="18"/>
          <w:szCs w:val="18"/>
        </w:rPr>
        <w:t>inflated by 50% to</w:t>
      </w:r>
      <w:r w:rsidRPr="003A3A84" w:rsidR="006A46D7">
        <w:rPr>
          <w:rFonts w:ascii="Times New Roman" w:hAnsi="Times New Roman" w:cs="Times New Roman"/>
          <w:sz w:val="18"/>
          <w:szCs w:val="18"/>
        </w:rPr>
        <w:t xml:space="preserve"> $0.983 to</w:t>
      </w:r>
      <w:r w:rsidRPr="003A3A84" w:rsidR="007D6B39">
        <w:rPr>
          <w:rFonts w:ascii="Times New Roman" w:hAnsi="Times New Roman" w:cs="Times New Roman"/>
          <w:sz w:val="18"/>
          <w:szCs w:val="18"/>
        </w:rPr>
        <w:t xml:space="preserve"> </w:t>
      </w:r>
      <w:r w:rsidRPr="003A3A84" w:rsidR="006104F0">
        <w:rPr>
          <w:rFonts w:ascii="Times New Roman" w:hAnsi="Times New Roman" w:cs="Times New Roman"/>
          <w:sz w:val="18"/>
          <w:szCs w:val="18"/>
        </w:rPr>
        <w:t>account for</w:t>
      </w:r>
      <w:r w:rsidRPr="003A3A84" w:rsidR="007D6B39">
        <w:rPr>
          <w:rFonts w:ascii="Times New Roman" w:hAnsi="Times New Roman" w:cs="Times New Roman"/>
          <w:sz w:val="18"/>
          <w:szCs w:val="18"/>
        </w:rPr>
        <w:t xml:space="preserve"> </w:t>
      </w:r>
      <w:r w:rsidRPr="003A3A84" w:rsidR="00F14FB0">
        <w:rPr>
          <w:rFonts w:ascii="Times New Roman" w:hAnsi="Times New Roman" w:cs="Times New Roman"/>
          <w:sz w:val="18"/>
          <w:szCs w:val="18"/>
        </w:rPr>
        <w:t>other travel costs</w:t>
      </w:r>
      <w:r w:rsidRPr="003A3A84" w:rsidR="003E5FE8">
        <w:rPr>
          <w:rFonts w:ascii="Times New Roman" w:hAnsi="Times New Roman" w:cs="Times New Roman"/>
          <w:sz w:val="18"/>
          <w:szCs w:val="18"/>
        </w:rPr>
        <w:t>.</w:t>
      </w:r>
      <w:r w:rsidRPr="003A3A84" w:rsidR="00773A9F">
        <w:rPr>
          <w:rFonts w:ascii="Times New Roman" w:hAnsi="Times New Roman" w:cs="Times New Roman"/>
          <w:sz w:val="18"/>
          <w:szCs w:val="18"/>
        </w:rPr>
        <w:t xml:space="preserve"> EPA assumes 12 miles of travel</w:t>
      </w:r>
      <w:r w:rsidRPr="003A3A84" w:rsidR="006F3911">
        <w:rPr>
          <w:rFonts w:ascii="Times New Roman" w:hAnsi="Times New Roman" w:cs="Times New Roman"/>
          <w:sz w:val="18"/>
          <w:szCs w:val="18"/>
        </w:rPr>
        <w:t>, reflecting</w:t>
      </w:r>
      <w:r w:rsidRPr="003A3A84" w:rsidR="00D64487">
        <w:rPr>
          <w:rFonts w:ascii="Times New Roman" w:hAnsi="Times New Roman" w:cs="Times New Roman"/>
          <w:sz w:val="18"/>
          <w:szCs w:val="18"/>
        </w:rPr>
        <w:t xml:space="preserve"> </w:t>
      </w:r>
      <w:r w:rsidRPr="003A3A84" w:rsidR="00AF2F1A">
        <w:rPr>
          <w:rFonts w:ascii="Times New Roman" w:hAnsi="Times New Roman" w:cs="Times New Roman"/>
          <w:sz w:val="18"/>
          <w:szCs w:val="18"/>
        </w:rPr>
        <w:t xml:space="preserve">the maximum round-trip distance </w:t>
      </w:r>
      <w:r w:rsidRPr="003A3A84" w:rsidR="00D63B06">
        <w:rPr>
          <w:rFonts w:ascii="Times New Roman" w:hAnsi="Times New Roman" w:cs="Times New Roman"/>
          <w:sz w:val="18"/>
          <w:szCs w:val="18"/>
        </w:rPr>
        <w:t>given that</w:t>
      </w:r>
      <w:r w:rsidRPr="003A3A84" w:rsidR="00602607">
        <w:rPr>
          <w:rFonts w:ascii="Times New Roman" w:hAnsi="Times New Roman" w:cs="Times New Roman"/>
          <w:sz w:val="18"/>
          <w:szCs w:val="18"/>
        </w:rPr>
        <w:t xml:space="preserve"> facilities must </w:t>
      </w:r>
      <w:r w:rsidRPr="003A3A84" w:rsidR="00A55894">
        <w:rPr>
          <w:rFonts w:ascii="Times New Roman" w:hAnsi="Times New Roman" w:cs="Times New Roman"/>
          <w:sz w:val="18"/>
          <w:szCs w:val="18"/>
        </w:rPr>
        <w:t xml:space="preserve">make information available </w:t>
      </w:r>
      <w:r w:rsidRPr="003A3A84" w:rsidR="004837D1">
        <w:rPr>
          <w:rFonts w:ascii="Times New Roman" w:hAnsi="Times New Roman" w:cs="Times New Roman"/>
          <w:sz w:val="18"/>
          <w:szCs w:val="18"/>
        </w:rPr>
        <w:t xml:space="preserve">only to </w:t>
      </w:r>
      <w:r w:rsidRPr="003A3A84" w:rsidR="00D3397E">
        <w:rPr>
          <w:rFonts w:ascii="Times New Roman" w:hAnsi="Times New Roman" w:cs="Times New Roman"/>
          <w:sz w:val="18"/>
          <w:szCs w:val="18"/>
        </w:rPr>
        <w:t>residents and workers within six miles of the facility</w:t>
      </w:r>
      <w:r w:rsidRPr="003A3A84" w:rsidR="00AF2F1A">
        <w:rPr>
          <w:rFonts w:ascii="Times New Roman" w:hAnsi="Times New Roman" w:cs="Times New Roman"/>
          <w:sz w:val="18"/>
          <w:szCs w:val="18"/>
        </w:rPr>
        <w:t>.</w:t>
      </w:r>
    </w:p>
  </w:footnote>
  <w:footnote w:id="120">
    <w:p w:rsidR="000173AF" w:rsidRPr="00E707DE" w14:paraId="48995D5C" w14:textId="77777777">
      <w:pPr>
        <w:pStyle w:val="FootnoteText"/>
        <w:rPr>
          <w:rFonts w:ascii="Times New Roman" w:hAnsi="Times New Roman" w:cs="Times New Roman"/>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w:t>
      </w:r>
      <w:r w:rsidRPr="00E707DE" w:rsidR="00E83FDA">
        <w:rPr>
          <w:rFonts w:ascii="Times New Roman" w:hAnsi="Times New Roman" w:cs="Times New Roman"/>
          <w:sz w:val="18"/>
          <w:szCs w:val="18"/>
        </w:rPr>
        <w:t>OMB</w:t>
      </w:r>
      <w:r w:rsidRPr="00E707DE" w:rsidR="00260596">
        <w:rPr>
          <w:rFonts w:ascii="Times New Roman" w:hAnsi="Times New Roman" w:cs="Times New Roman"/>
          <w:sz w:val="18"/>
          <w:szCs w:val="18"/>
        </w:rPr>
        <w:t xml:space="preserve"> Circular A-4, Regulatory Analysis</w:t>
      </w:r>
      <w:r w:rsidRPr="00E707DE" w:rsidR="006B33FC">
        <w:rPr>
          <w:rFonts w:ascii="Times New Roman" w:hAnsi="Times New Roman" w:cs="Times New Roman"/>
          <w:sz w:val="18"/>
          <w:szCs w:val="18"/>
        </w:rPr>
        <w:t xml:space="preserve">. </w:t>
      </w:r>
      <w:r w:rsidRPr="00E707DE" w:rsidR="00260596">
        <w:rPr>
          <w:rFonts w:ascii="Times New Roman" w:hAnsi="Times New Roman" w:cs="Times New Roman"/>
          <w:sz w:val="18"/>
          <w:szCs w:val="18"/>
        </w:rPr>
        <w:t>September 17, 2003</w:t>
      </w:r>
      <w:r w:rsidRPr="00E707DE" w:rsidR="006B33FC">
        <w:rPr>
          <w:rFonts w:ascii="Times New Roman" w:hAnsi="Times New Roman" w:cs="Times New Roman"/>
          <w:sz w:val="18"/>
          <w:szCs w:val="18"/>
        </w:rPr>
        <w:t>.</w:t>
      </w:r>
    </w:p>
  </w:footnote>
  <w:footnote w:id="121">
    <w:p w:rsidR="00281AC6" w:rsidRPr="00412346" w14:paraId="3E9F6598" w14:textId="77777777">
      <w:pPr>
        <w:pStyle w:val="FootnoteText"/>
        <w:rPr>
          <w:rFonts w:ascii="Times New Roman" w:hAnsi="Times New Roman" w:cs="Times New Roman"/>
        </w:rPr>
      </w:pPr>
      <w:r w:rsidRPr="00412346">
        <w:rPr>
          <w:rStyle w:val="FootnoteReference"/>
          <w:rFonts w:ascii="Times New Roman" w:hAnsi="Times New Roman" w:cs="Times New Roman"/>
          <w:sz w:val="18"/>
          <w:szCs w:val="18"/>
        </w:rPr>
        <w:footnoteRef/>
      </w:r>
      <w:r w:rsidRPr="00412346">
        <w:rPr>
          <w:rFonts w:ascii="Times New Roman" w:hAnsi="Times New Roman" w:cs="Times New Roman"/>
          <w:sz w:val="18"/>
          <w:szCs w:val="18"/>
        </w:rPr>
        <w:t xml:space="preserve"> Information on typical facility financing behavior obtained from communication </w:t>
      </w:r>
      <w:r w:rsidRPr="00412346" w:rsidR="00412346">
        <w:rPr>
          <w:rFonts w:ascii="Times New Roman" w:hAnsi="Times New Roman" w:cs="Times New Roman"/>
          <w:sz w:val="18"/>
          <w:szCs w:val="18"/>
        </w:rPr>
        <w:t>with ICF engineers</w:t>
      </w:r>
      <w:r w:rsidR="00412346">
        <w:rPr>
          <w:rFonts w:ascii="Times New Roman" w:hAnsi="Times New Roman" w:cs="Times New Roman"/>
          <w:sz w:val="18"/>
          <w:szCs w:val="18"/>
        </w:rPr>
        <w:t xml:space="preserve"> and </w:t>
      </w:r>
      <w:r w:rsidR="00EC1D4F">
        <w:rPr>
          <w:rFonts w:ascii="Times New Roman" w:hAnsi="Times New Roman" w:cs="Times New Roman"/>
          <w:sz w:val="18"/>
          <w:szCs w:val="18"/>
        </w:rPr>
        <w:t xml:space="preserve">limited data </w:t>
      </w:r>
      <w:r w:rsidR="003C6ADB">
        <w:rPr>
          <w:rFonts w:ascii="Times New Roman" w:hAnsi="Times New Roman" w:cs="Times New Roman"/>
          <w:sz w:val="18"/>
          <w:szCs w:val="18"/>
        </w:rPr>
        <w:t xml:space="preserve">on </w:t>
      </w:r>
      <w:r w:rsidR="006D3F22">
        <w:rPr>
          <w:rFonts w:ascii="Times New Roman" w:hAnsi="Times New Roman" w:cs="Times New Roman"/>
          <w:sz w:val="18"/>
          <w:szCs w:val="18"/>
        </w:rPr>
        <w:t xml:space="preserve">refinery </w:t>
      </w:r>
      <w:r w:rsidR="003C6ADB">
        <w:rPr>
          <w:rFonts w:ascii="Times New Roman" w:hAnsi="Times New Roman" w:cs="Times New Roman"/>
          <w:sz w:val="18"/>
          <w:szCs w:val="18"/>
        </w:rPr>
        <w:t xml:space="preserve">project finance investment from </w:t>
      </w:r>
      <w:hyperlink r:id="rId54" w:history="1">
        <w:r w:rsidRPr="00426EE4" w:rsidR="00625EF9">
          <w:rPr>
            <w:rStyle w:val="Hyperlink"/>
            <w:rFonts w:ascii="Times New Roman" w:hAnsi="Times New Roman" w:cs="Times New Roman"/>
            <w:sz w:val="18"/>
            <w:szCs w:val="18"/>
          </w:rPr>
          <w:t>https://esfccompany.com/en/projects/oil-and-gas/refineries-lending-and-financing/</w:t>
        </w:r>
      </w:hyperlink>
    </w:p>
  </w:footnote>
  <w:footnote w:id="122">
    <w:p w:rsidR="00905310" w:rsidRPr="00E707DE" w14:paraId="04094387" w14:textId="2D8FFF73">
      <w:pPr>
        <w:pStyle w:val="FootnoteText"/>
        <w:rPr>
          <w:rFonts w:ascii="Times New Roman" w:hAnsi="Times New Roman" w:cs="Times New Roman"/>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w:t>
      </w:r>
      <w:r w:rsidRPr="00E707DE" w:rsidR="006424EC">
        <w:rPr>
          <w:rFonts w:ascii="Times New Roman" w:hAnsi="Times New Roman" w:cs="Times New Roman"/>
          <w:sz w:val="18"/>
          <w:szCs w:val="18"/>
        </w:rPr>
        <w:t>For affected facilities without accidents, EPA assumes 20% will have major updates</w:t>
      </w:r>
      <w:r w:rsidRPr="00E707DE" w:rsidR="006D0CB5">
        <w:rPr>
          <w:rFonts w:ascii="Times New Roman" w:hAnsi="Times New Roman" w:cs="Times New Roman"/>
          <w:sz w:val="18"/>
          <w:szCs w:val="18"/>
        </w:rPr>
        <w:t xml:space="preserve"> to STAA in years 6-10 and 80% </w:t>
      </w:r>
      <w:r w:rsidRPr="00E707DE" w:rsidR="00EA7314">
        <w:rPr>
          <w:rFonts w:ascii="Times New Roman" w:hAnsi="Times New Roman" w:cs="Times New Roman"/>
          <w:sz w:val="18"/>
          <w:szCs w:val="18"/>
        </w:rPr>
        <w:t xml:space="preserve">will </w:t>
      </w:r>
      <w:r w:rsidRPr="00E707DE" w:rsidR="003E154E">
        <w:rPr>
          <w:rFonts w:ascii="Times New Roman" w:hAnsi="Times New Roman" w:cs="Times New Roman"/>
          <w:sz w:val="18"/>
          <w:szCs w:val="18"/>
        </w:rPr>
        <w:t xml:space="preserve">simply revalidate. </w:t>
      </w:r>
      <w:r w:rsidRPr="00E707DE" w:rsidR="00DA7C6F">
        <w:rPr>
          <w:rFonts w:ascii="Times New Roman" w:hAnsi="Times New Roman" w:cs="Times New Roman"/>
          <w:sz w:val="18"/>
          <w:szCs w:val="18"/>
        </w:rPr>
        <w:t>EPA assumes major updates will cost 50% of a full STAA review cost and revalidation will cost 10%.</w:t>
      </w:r>
      <w:r w:rsidRPr="00E707DE" w:rsidR="00670940">
        <w:rPr>
          <w:rFonts w:ascii="Times New Roman" w:hAnsi="Times New Roman" w:cs="Times New Roman"/>
          <w:sz w:val="18"/>
          <w:szCs w:val="18"/>
        </w:rPr>
        <w:t xml:space="preserve"> </w:t>
      </w:r>
      <w:r w:rsidRPr="00E707DE" w:rsidR="001A79EF">
        <w:rPr>
          <w:rFonts w:ascii="Times New Roman" w:hAnsi="Times New Roman" w:cs="Times New Roman"/>
          <w:sz w:val="18"/>
          <w:szCs w:val="18"/>
        </w:rPr>
        <w:t xml:space="preserve">Some facilities may </w:t>
      </w:r>
      <w:r w:rsidRPr="00E707DE" w:rsidR="00897FF7">
        <w:rPr>
          <w:rFonts w:ascii="Times New Roman" w:hAnsi="Times New Roman" w:cs="Times New Roman"/>
          <w:sz w:val="18"/>
          <w:szCs w:val="18"/>
        </w:rPr>
        <w:t xml:space="preserve">conduct a full STAA initial evaluation if </w:t>
      </w:r>
      <w:r w:rsidRPr="00E707DE" w:rsidR="003B3641">
        <w:rPr>
          <w:rFonts w:ascii="Times New Roman" w:hAnsi="Times New Roman" w:cs="Times New Roman"/>
          <w:sz w:val="18"/>
          <w:szCs w:val="18"/>
        </w:rPr>
        <w:t>a</w:t>
      </w:r>
      <w:r w:rsidRPr="00E707DE" w:rsidR="001E32CD">
        <w:rPr>
          <w:rFonts w:ascii="Times New Roman" w:hAnsi="Times New Roman" w:cs="Times New Roman"/>
          <w:sz w:val="18"/>
          <w:szCs w:val="18"/>
        </w:rPr>
        <w:t xml:space="preserve"> new or simple facility begins a complex process.</w:t>
      </w:r>
      <w:r w:rsidRPr="00E707DE" w:rsidR="003B3641">
        <w:rPr>
          <w:rFonts w:ascii="Times New Roman" w:hAnsi="Times New Roman" w:cs="Times New Roman"/>
          <w:sz w:val="18"/>
          <w:szCs w:val="18"/>
        </w:rPr>
        <w:t xml:space="preserve"> </w:t>
      </w:r>
      <w:r w:rsidRPr="00E707DE" w:rsidR="00A11912">
        <w:rPr>
          <w:rFonts w:ascii="Times New Roman" w:hAnsi="Times New Roman" w:cs="Times New Roman"/>
          <w:sz w:val="18"/>
          <w:szCs w:val="18"/>
        </w:rPr>
        <w:t xml:space="preserve">Some facilities </w:t>
      </w:r>
      <w:r w:rsidRPr="00E707DE" w:rsidR="004954D9">
        <w:rPr>
          <w:rFonts w:ascii="Times New Roman" w:hAnsi="Times New Roman" w:cs="Times New Roman"/>
          <w:sz w:val="18"/>
          <w:szCs w:val="18"/>
        </w:rPr>
        <w:t xml:space="preserve">without accidents may conduct a full </w:t>
      </w:r>
      <w:r w:rsidRPr="00E707DE" w:rsidR="00897FF7">
        <w:rPr>
          <w:rFonts w:ascii="Times New Roman" w:hAnsi="Times New Roman" w:cs="Times New Roman"/>
          <w:sz w:val="18"/>
          <w:szCs w:val="18"/>
        </w:rPr>
        <w:t xml:space="preserve">STAA </w:t>
      </w:r>
      <w:r w:rsidRPr="00E707DE" w:rsidR="00E25B3A">
        <w:rPr>
          <w:rFonts w:ascii="Times New Roman" w:hAnsi="Times New Roman" w:cs="Times New Roman"/>
          <w:sz w:val="18"/>
          <w:szCs w:val="18"/>
        </w:rPr>
        <w:t>practicability assessment</w:t>
      </w:r>
      <w:r w:rsidRPr="00E707DE" w:rsidR="004954D9">
        <w:rPr>
          <w:rFonts w:ascii="Times New Roman" w:hAnsi="Times New Roman" w:cs="Times New Roman"/>
          <w:sz w:val="18"/>
          <w:szCs w:val="18"/>
        </w:rPr>
        <w:t xml:space="preserve"> in years 6-10 if </w:t>
      </w:r>
      <w:r w:rsidRPr="00E707DE" w:rsidR="003465E5">
        <w:rPr>
          <w:rFonts w:ascii="Times New Roman" w:hAnsi="Times New Roman" w:cs="Times New Roman"/>
          <w:sz w:val="18"/>
          <w:szCs w:val="18"/>
        </w:rPr>
        <w:t xml:space="preserve">a </w:t>
      </w:r>
      <w:r w:rsidRPr="00E707DE" w:rsidR="001E32CD">
        <w:rPr>
          <w:rFonts w:ascii="Times New Roman" w:hAnsi="Times New Roman" w:cs="Times New Roman"/>
          <w:sz w:val="18"/>
          <w:szCs w:val="18"/>
        </w:rPr>
        <w:t xml:space="preserve">new or simple </w:t>
      </w:r>
      <w:r w:rsidRPr="00E707DE" w:rsidR="005B66FB">
        <w:rPr>
          <w:rFonts w:ascii="Times New Roman" w:hAnsi="Times New Roman" w:cs="Times New Roman"/>
          <w:sz w:val="18"/>
          <w:szCs w:val="18"/>
        </w:rPr>
        <w:t xml:space="preserve">facility </w:t>
      </w:r>
      <w:r w:rsidRPr="00E707DE" w:rsidR="00537665">
        <w:rPr>
          <w:rFonts w:ascii="Times New Roman" w:hAnsi="Times New Roman" w:cs="Times New Roman"/>
          <w:sz w:val="18"/>
          <w:szCs w:val="18"/>
        </w:rPr>
        <w:t xml:space="preserve">begins a complex process </w:t>
      </w:r>
      <w:r w:rsidRPr="00E707DE" w:rsidR="002D5302">
        <w:rPr>
          <w:rFonts w:ascii="Times New Roman" w:hAnsi="Times New Roman" w:cs="Times New Roman"/>
          <w:sz w:val="18"/>
          <w:szCs w:val="18"/>
        </w:rPr>
        <w:t xml:space="preserve">within </w:t>
      </w:r>
      <w:r w:rsidRPr="00E707DE" w:rsidR="003F5C69">
        <w:rPr>
          <w:rFonts w:ascii="Times New Roman" w:hAnsi="Times New Roman" w:cs="Times New Roman"/>
          <w:sz w:val="18"/>
          <w:szCs w:val="18"/>
        </w:rPr>
        <w:t xml:space="preserve">a </w:t>
      </w:r>
      <w:r w:rsidRPr="00E707DE" w:rsidR="00204178">
        <w:rPr>
          <w:rFonts w:ascii="Times New Roman" w:hAnsi="Times New Roman" w:cs="Times New Roman"/>
          <w:sz w:val="18"/>
          <w:szCs w:val="18"/>
        </w:rPr>
        <w:t xml:space="preserve">mile of a </w:t>
      </w:r>
      <w:r w:rsidRPr="00E707DE" w:rsidR="003F5C69">
        <w:rPr>
          <w:rFonts w:ascii="Times New Roman" w:hAnsi="Times New Roman" w:cs="Times New Roman"/>
          <w:sz w:val="18"/>
          <w:szCs w:val="18"/>
        </w:rPr>
        <w:t xml:space="preserve">complex facility or </w:t>
      </w:r>
      <w:r w:rsidRPr="00E707DE" w:rsidR="006B179B">
        <w:rPr>
          <w:rFonts w:ascii="Times New Roman" w:hAnsi="Times New Roman" w:cs="Times New Roman"/>
          <w:sz w:val="18"/>
          <w:szCs w:val="18"/>
        </w:rPr>
        <w:t xml:space="preserve">if </w:t>
      </w:r>
      <w:r w:rsidRPr="00E707DE" w:rsidR="00204178">
        <w:rPr>
          <w:rFonts w:ascii="Times New Roman" w:hAnsi="Times New Roman" w:cs="Times New Roman"/>
          <w:sz w:val="18"/>
          <w:szCs w:val="18"/>
        </w:rPr>
        <w:t>a complex</w:t>
      </w:r>
      <w:r w:rsidRPr="00E707DE" w:rsidR="003465E5">
        <w:rPr>
          <w:rFonts w:ascii="Times New Roman" w:hAnsi="Times New Roman" w:cs="Times New Roman"/>
          <w:sz w:val="18"/>
          <w:szCs w:val="18"/>
        </w:rPr>
        <w:t xml:space="preserve"> facility is within one mile of a </w:t>
      </w:r>
      <w:r w:rsidRPr="00E707DE" w:rsidR="00204178">
        <w:rPr>
          <w:rFonts w:ascii="Times New Roman" w:hAnsi="Times New Roman" w:cs="Times New Roman"/>
          <w:sz w:val="18"/>
          <w:szCs w:val="18"/>
        </w:rPr>
        <w:t>simple facility that begins a complex process.</w:t>
      </w:r>
      <w:r w:rsidRPr="00E707DE" w:rsidR="00FB474E">
        <w:rPr>
          <w:rFonts w:ascii="Times New Roman" w:hAnsi="Times New Roman" w:cs="Times New Roman"/>
          <w:sz w:val="18"/>
          <w:szCs w:val="18"/>
        </w:rPr>
        <w:t xml:space="preserve"> However, EPA does not </w:t>
      </w:r>
      <w:r w:rsidRPr="00E707DE" w:rsidR="003C0BDD">
        <w:rPr>
          <w:rFonts w:ascii="Times New Roman" w:hAnsi="Times New Roman" w:cs="Times New Roman"/>
          <w:sz w:val="18"/>
          <w:szCs w:val="18"/>
        </w:rPr>
        <w:t>estimate</w:t>
      </w:r>
      <w:r w:rsidRPr="00E707DE" w:rsidR="003313C0">
        <w:rPr>
          <w:rFonts w:ascii="Times New Roman" w:hAnsi="Times New Roman" w:cs="Times New Roman"/>
          <w:sz w:val="18"/>
          <w:szCs w:val="18"/>
        </w:rPr>
        <w:t xml:space="preserve"> </w:t>
      </w:r>
      <w:r w:rsidRPr="00E707DE" w:rsidR="00F9010C">
        <w:rPr>
          <w:rFonts w:ascii="Times New Roman" w:hAnsi="Times New Roman" w:cs="Times New Roman"/>
          <w:sz w:val="18"/>
          <w:szCs w:val="18"/>
        </w:rPr>
        <w:t>the frequency</w:t>
      </w:r>
      <w:r w:rsidRPr="00E707DE" w:rsidR="004B472D">
        <w:rPr>
          <w:rFonts w:ascii="Times New Roman" w:hAnsi="Times New Roman" w:cs="Times New Roman"/>
          <w:sz w:val="18"/>
          <w:szCs w:val="18"/>
        </w:rPr>
        <w:t xml:space="preserve"> with which</w:t>
      </w:r>
      <w:r w:rsidRPr="00E707DE" w:rsidR="00F9010C">
        <w:rPr>
          <w:rFonts w:ascii="Times New Roman" w:hAnsi="Times New Roman" w:cs="Times New Roman"/>
          <w:sz w:val="18"/>
          <w:szCs w:val="18"/>
        </w:rPr>
        <w:t xml:space="preserve"> STAA </w:t>
      </w:r>
      <w:r w:rsidRPr="00E707DE" w:rsidR="009837FF">
        <w:rPr>
          <w:rFonts w:ascii="Times New Roman" w:hAnsi="Times New Roman" w:cs="Times New Roman"/>
          <w:sz w:val="18"/>
          <w:szCs w:val="18"/>
        </w:rPr>
        <w:t>will</w:t>
      </w:r>
      <w:r w:rsidRPr="00E707DE" w:rsidR="00F9010C">
        <w:rPr>
          <w:rFonts w:ascii="Times New Roman" w:hAnsi="Times New Roman" w:cs="Times New Roman"/>
          <w:sz w:val="18"/>
          <w:szCs w:val="18"/>
        </w:rPr>
        <w:t xml:space="preserve"> newly apply to a</w:t>
      </w:r>
      <w:r w:rsidRPr="00E707DE" w:rsidR="00775B48">
        <w:rPr>
          <w:rFonts w:ascii="Times New Roman" w:hAnsi="Times New Roman" w:cs="Times New Roman"/>
          <w:sz w:val="18"/>
          <w:szCs w:val="18"/>
        </w:rPr>
        <w:t xml:space="preserve"> facility</w:t>
      </w:r>
      <w:r w:rsidRPr="00E707DE" w:rsidR="003313C0">
        <w:rPr>
          <w:rFonts w:ascii="Times New Roman" w:hAnsi="Times New Roman" w:cs="Times New Roman"/>
          <w:sz w:val="18"/>
          <w:szCs w:val="18"/>
        </w:rPr>
        <w:t>.</w:t>
      </w:r>
      <w:r w:rsidR="008F174F">
        <w:rPr>
          <w:rFonts w:ascii="Times New Roman" w:hAnsi="Times New Roman" w:cs="Times New Roman"/>
          <w:sz w:val="18"/>
          <w:szCs w:val="18"/>
        </w:rPr>
        <w:t xml:space="preserve"> </w:t>
      </w:r>
      <w:r w:rsidR="00A816D7">
        <w:rPr>
          <w:rFonts w:ascii="Times New Roman" w:hAnsi="Times New Roman" w:cs="Times New Roman"/>
          <w:sz w:val="18"/>
          <w:szCs w:val="18"/>
        </w:rPr>
        <w:t xml:space="preserve">Instead, </w:t>
      </w:r>
      <w:r w:rsidR="008F174F">
        <w:rPr>
          <w:rFonts w:ascii="Times New Roman" w:hAnsi="Times New Roman" w:cs="Times New Roman"/>
          <w:sz w:val="18"/>
          <w:szCs w:val="18"/>
        </w:rPr>
        <w:t xml:space="preserve">EPA </w:t>
      </w:r>
      <w:r w:rsidR="00637BEB">
        <w:rPr>
          <w:rFonts w:ascii="Times New Roman" w:hAnsi="Times New Roman" w:cs="Times New Roman"/>
          <w:sz w:val="18"/>
          <w:szCs w:val="18"/>
        </w:rPr>
        <w:t xml:space="preserve">assumes the number of facilities </w:t>
      </w:r>
      <w:r w:rsidR="00274D12">
        <w:rPr>
          <w:rFonts w:ascii="Times New Roman" w:hAnsi="Times New Roman" w:cs="Times New Roman"/>
          <w:sz w:val="18"/>
          <w:szCs w:val="18"/>
        </w:rPr>
        <w:t xml:space="preserve">conducting a full STAA in years 6-10 </w:t>
      </w:r>
      <w:r w:rsidR="00FC33FA">
        <w:rPr>
          <w:rFonts w:ascii="Times New Roman" w:hAnsi="Times New Roman" w:cs="Times New Roman"/>
          <w:sz w:val="18"/>
          <w:szCs w:val="18"/>
        </w:rPr>
        <w:t xml:space="preserve">will equal the number of </w:t>
      </w:r>
      <w:r w:rsidR="007458A0">
        <w:rPr>
          <w:rFonts w:ascii="Times New Roman" w:hAnsi="Times New Roman" w:cs="Times New Roman"/>
          <w:sz w:val="18"/>
          <w:szCs w:val="18"/>
        </w:rPr>
        <w:t xml:space="preserve">complex P3 </w:t>
      </w:r>
      <w:r w:rsidR="00FC33FA">
        <w:rPr>
          <w:rFonts w:ascii="Times New Roman" w:hAnsi="Times New Roman" w:cs="Times New Roman"/>
          <w:sz w:val="18"/>
          <w:szCs w:val="18"/>
        </w:rPr>
        <w:t xml:space="preserve">facilities </w:t>
      </w:r>
      <w:r w:rsidR="000463DA">
        <w:rPr>
          <w:rFonts w:ascii="Times New Roman" w:hAnsi="Times New Roman" w:cs="Times New Roman"/>
          <w:sz w:val="18"/>
          <w:szCs w:val="18"/>
        </w:rPr>
        <w:t>that had an accident between 2016 and 2020</w:t>
      </w:r>
      <w:r w:rsidR="00A83BFB">
        <w:rPr>
          <w:rFonts w:ascii="Times New Roman" w:hAnsi="Times New Roman" w:cs="Times New Roman"/>
          <w:sz w:val="18"/>
          <w:szCs w:val="18"/>
        </w:rPr>
        <w:t xml:space="preserve"> but are not within 1 mile of another complex facility and </w:t>
      </w:r>
      <w:r w:rsidR="008F363D">
        <w:rPr>
          <w:rFonts w:ascii="Times New Roman" w:hAnsi="Times New Roman" w:cs="Times New Roman"/>
          <w:sz w:val="18"/>
          <w:szCs w:val="18"/>
        </w:rPr>
        <w:t>does not have an HF unit</w:t>
      </w:r>
      <w:r w:rsidRPr="00E707DE" w:rsidR="003313C0">
        <w:rPr>
          <w:rFonts w:ascii="Times New Roman" w:hAnsi="Times New Roman" w:cs="Times New Roman"/>
          <w:sz w:val="18"/>
          <w:szCs w:val="18"/>
        </w:rPr>
        <w:t>.</w:t>
      </w:r>
    </w:p>
  </w:footnote>
  <w:footnote w:id="123">
    <w:p w:rsidR="000257ED" w:rsidRPr="00E707DE" w:rsidP="000257ED" w14:paraId="72703435" w14:textId="77777777">
      <w:pPr>
        <w:pStyle w:val="FootnoteText"/>
        <w:rPr>
          <w:rFonts w:ascii="Times New Roman" w:hAnsi="Times New Roman" w:cs="Times New Roman"/>
          <w:sz w:val="18"/>
          <w:szCs w:val="18"/>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w:t>
      </w:r>
      <w:r w:rsidRPr="00E707DE">
        <w:rPr>
          <w:rFonts w:ascii="Times New Roman" w:hAnsi="Times New Roman" w:cs="Times New Roman"/>
          <w:w w:val="105"/>
          <w:sz w:val="18"/>
          <w:szCs w:val="18"/>
        </w:rPr>
        <w:t xml:space="preserve">EPA recognizes that subsequent to the </w:t>
      </w:r>
      <w:r w:rsidRPr="00E707DE" w:rsidR="00271CBE">
        <w:rPr>
          <w:rFonts w:ascii="Times New Roman" w:hAnsi="Times New Roman" w:cs="Times New Roman"/>
          <w:w w:val="105"/>
          <w:sz w:val="18"/>
          <w:szCs w:val="18"/>
        </w:rPr>
        <w:t xml:space="preserve">final </w:t>
      </w:r>
      <w:r w:rsidRPr="00E707DE">
        <w:rPr>
          <w:rFonts w:ascii="Times New Roman" w:hAnsi="Times New Roman" w:cs="Times New Roman"/>
          <w:w w:val="105"/>
          <w:sz w:val="18"/>
          <w:szCs w:val="18"/>
        </w:rPr>
        <w:t>rule being finalized, accident rates may change.</w:t>
      </w:r>
    </w:p>
  </w:footnote>
  <w:footnote w:id="124">
    <w:p w:rsidR="000257ED" w:rsidRPr="00DE0725" w:rsidP="000257ED" w14:paraId="558FCEDD" w14:textId="77777777">
      <w:pPr>
        <w:pStyle w:val="FootnoteText"/>
        <w:rPr>
          <w:rFonts w:ascii="Times New Roman" w:hAnsi="Times New Roman" w:cs="Times New Roman"/>
        </w:rPr>
      </w:pPr>
      <w:r w:rsidRPr="00E707DE">
        <w:rPr>
          <w:rStyle w:val="FootnoteReference"/>
          <w:rFonts w:ascii="Times New Roman" w:hAnsi="Times New Roman" w:cs="Times New Roman"/>
          <w:sz w:val="18"/>
          <w:szCs w:val="18"/>
        </w:rPr>
        <w:footnoteRef/>
      </w:r>
      <w:r w:rsidRPr="00E707DE">
        <w:rPr>
          <w:rFonts w:ascii="Times New Roman" w:hAnsi="Times New Roman" w:cs="Times New Roman"/>
          <w:sz w:val="18"/>
          <w:szCs w:val="18"/>
        </w:rPr>
        <w:t xml:space="preserve"> The number of audits may be overstated because some facilities </w:t>
      </w:r>
      <w:r w:rsidRPr="00E707DE" w:rsidR="004D45F4">
        <w:rPr>
          <w:rFonts w:ascii="Times New Roman" w:hAnsi="Times New Roman" w:cs="Times New Roman"/>
          <w:sz w:val="18"/>
          <w:szCs w:val="18"/>
        </w:rPr>
        <w:t xml:space="preserve">had multiple accidents in the same </w:t>
      </w:r>
      <w:r w:rsidRPr="00E707DE" w:rsidR="00436707">
        <w:rPr>
          <w:rFonts w:ascii="Times New Roman" w:hAnsi="Times New Roman" w:cs="Times New Roman"/>
          <w:sz w:val="18"/>
          <w:szCs w:val="18"/>
        </w:rPr>
        <w:t>three-year period</w:t>
      </w:r>
      <w:r w:rsidRPr="00E707DE" w:rsidR="00751115">
        <w:rPr>
          <w:rFonts w:ascii="Times New Roman" w:hAnsi="Times New Roman" w:cs="Times New Roman"/>
          <w:sz w:val="18"/>
          <w:szCs w:val="18"/>
        </w:rPr>
        <w:t>, resulting in only one third-party audit</w:t>
      </w:r>
      <w:r w:rsidRPr="00E707DE">
        <w:rPr>
          <w:rFonts w:ascii="Times New Roman" w:hAnsi="Times New Roman" w:cs="Times New Roman"/>
          <w:sz w:val="18"/>
          <w:szCs w:val="18"/>
        </w:rPr>
        <w:t>.</w:t>
      </w:r>
    </w:p>
  </w:footnote>
  <w:footnote w:id="125">
    <w:p w:rsidR="00297571" w:rsidRPr="003D401C" w14:paraId="08FFC6A3" w14:textId="77777777">
      <w:pPr>
        <w:pStyle w:val="FootnoteText"/>
        <w:rPr>
          <w:rFonts w:ascii="Times New Roman" w:hAnsi="Times New Roman" w:cs="Times New Roman"/>
          <w:b/>
        </w:rPr>
      </w:pPr>
      <w:r w:rsidRPr="00BE3F43">
        <w:rPr>
          <w:rStyle w:val="FootnoteReference"/>
          <w:rFonts w:ascii="Times New Roman" w:hAnsi="Times New Roman" w:cs="Times New Roman"/>
        </w:rPr>
        <w:footnoteRef/>
      </w:r>
      <w:r w:rsidRPr="00BE3F43">
        <w:rPr>
          <w:rFonts w:ascii="Times New Roman" w:hAnsi="Times New Roman" w:cs="Times New Roman"/>
        </w:rPr>
        <w:t xml:space="preserve"> Practicability</w:t>
      </w:r>
      <w:r w:rsidR="009639FD">
        <w:rPr>
          <w:rFonts w:ascii="Times New Roman" w:hAnsi="Times New Roman" w:cs="Times New Roman"/>
        </w:rPr>
        <w:t xml:space="preserve"> as defined in this final action</w:t>
      </w:r>
      <w:r w:rsidRPr="00BE3F43">
        <w:rPr>
          <w:rFonts w:ascii="Times New Roman" w:hAnsi="Times New Roman" w:cs="Times New Roman"/>
        </w:rPr>
        <w:t xml:space="preserve"> means the capability of being successfully accomplished within a reasonable time, accounting for environmental, legal, social, technological and economic factors. Environmental factors would include consideration of potential transferred risks for new risk reduction measures.</w:t>
      </w:r>
      <w:r w:rsidR="009639FD">
        <w:rPr>
          <w:rFonts w:ascii="Times New Roman" w:hAnsi="Times New Roman" w:cs="Times New Roman"/>
        </w:rPr>
        <w:t xml:space="preserve"> </w:t>
      </w:r>
    </w:p>
  </w:footnote>
  <w:footnote w:id="126">
    <w:p w:rsidR="00623420" w:rsidRPr="00210F5D" w14:paraId="5774003A" w14:textId="77777777">
      <w:pPr>
        <w:pStyle w:val="FootnoteText"/>
        <w:rPr>
          <w:rFonts w:ascii="Times New Roman" w:hAnsi="Times New Roman" w:cs="Times New Roman"/>
          <w:sz w:val="18"/>
          <w:szCs w:val="18"/>
        </w:rPr>
      </w:pPr>
      <w:r w:rsidRPr="00210F5D">
        <w:rPr>
          <w:rStyle w:val="FootnoteReference"/>
          <w:rFonts w:ascii="Times New Roman" w:hAnsi="Times New Roman" w:cs="Times New Roman"/>
          <w:sz w:val="18"/>
          <w:szCs w:val="18"/>
        </w:rPr>
        <w:footnoteRef/>
      </w:r>
      <w:r w:rsidRPr="00210F5D">
        <w:rPr>
          <w:rFonts w:ascii="Times New Roman" w:hAnsi="Times New Roman" w:cs="Times New Roman"/>
          <w:sz w:val="18"/>
          <w:szCs w:val="18"/>
        </w:rPr>
        <w:t xml:space="preserve"> Carroll, J.S., J.W. Rudolph, and S. Hatakenaka. “Lessons Learned from Non-Medical Industries: Root Cause Analysis as Culture Change at a Chemical Plant.” Qual Saf Health Care. 2002 Sep, 11(3) 266-9.</w:t>
      </w:r>
    </w:p>
  </w:footnote>
  <w:footnote w:id="127">
    <w:p w:rsidR="00623420" w:rsidRPr="00210F5D" w14:paraId="1839A6EF" w14:textId="77777777">
      <w:pPr>
        <w:pStyle w:val="FootnoteText"/>
        <w:rPr>
          <w:rFonts w:ascii="Times New Roman" w:hAnsi="Times New Roman" w:cs="Times New Roman"/>
          <w:sz w:val="18"/>
          <w:szCs w:val="18"/>
        </w:rPr>
      </w:pPr>
      <w:r w:rsidRPr="00210F5D">
        <w:rPr>
          <w:rStyle w:val="FootnoteReference"/>
          <w:rFonts w:ascii="Times New Roman" w:hAnsi="Times New Roman" w:cs="Times New Roman"/>
          <w:sz w:val="18"/>
          <w:szCs w:val="18"/>
        </w:rPr>
        <w:footnoteRef/>
      </w:r>
      <w:r w:rsidRPr="00210F5D">
        <w:rPr>
          <w:rFonts w:ascii="Times New Roman" w:hAnsi="Times New Roman" w:cs="Times New Roman"/>
          <w:sz w:val="18"/>
          <w:szCs w:val="18"/>
        </w:rPr>
        <w:t xml:space="preserve"> Percarpio, Katherine B., Vince B. Watts, and William B. Weeks. “The Effectiveness of Root Cause Analysis: What Does the Literature Tell Us?” The Joint Commission Journal on Quality and Patient Safety, 34(7). 2008, July. 391-8.</w:t>
      </w:r>
    </w:p>
  </w:footnote>
  <w:footnote w:id="128">
    <w:p w:rsidR="001B5F9E" w:rsidRPr="00210F5D" w:rsidP="001B5F9E" w14:paraId="76C5EDF2" w14:textId="77777777">
      <w:pPr>
        <w:pStyle w:val="FootnoteText"/>
        <w:rPr>
          <w:rFonts w:ascii="Times New Roman" w:hAnsi="Times New Roman" w:cs="Times New Roman"/>
          <w:sz w:val="18"/>
          <w:szCs w:val="18"/>
        </w:rPr>
      </w:pPr>
      <w:r w:rsidRPr="00210F5D">
        <w:rPr>
          <w:rStyle w:val="FootnoteReference"/>
          <w:rFonts w:ascii="Times New Roman" w:hAnsi="Times New Roman" w:cs="Times New Roman"/>
          <w:sz w:val="18"/>
          <w:szCs w:val="18"/>
        </w:rPr>
        <w:footnoteRef/>
      </w:r>
      <w:r w:rsidRPr="00210F5D">
        <w:rPr>
          <w:rFonts w:ascii="Times New Roman" w:hAnsi="Times New Roman" w:cs="Times New Roman"/>
          <w:sz w:val="18"/>
          <w:szCs w:val="18"/>
        </w:rPr>
        <w:t xml:space="preserve"> Percarpio, Katherine B., and Vince Watts. “A Cross-Sectional Study on the Relationship Between Utilization of</w:t>
      </w:r>
    </w:p>
    <w:p w:rsidR="002053CF" w:rsidRPr="00210F5D" w14:paraId="224655ED" w14:textId="77777777">
      <w:pPr>
        <w:pStyle w:val="FootnoteText"/>
        <w:rPr>
          <w:rFonts w:ascii="Times New Roman" w:hAnsi="Times New Roman" w:cs="Times New Roman"/>
          <w:sz w:val="18"/>
          <w:szCs w:val="18"/>
        </w:rPr>
      </w:pPr>
      <w:r w:rsidRPr="00210F5D">
        <w:rPr>
          <w:rFonts w:ascii="Times New Roman" w:hAnsi="Times New Roman" w:cs="Times New Roman"/>
          <w:sz w:val="18"/>
          <w:szCs w:val="18"/>
        </w:rPr>
        <w:t xml:space="preserve">Root Cause Analysis and Patient Safety at 139 Department of </w:t>
      </w:r>
      <w:r w:rsidRPr="00210F5D" w:rsidR="00B72AD3">
        <w:rPr>
          <w:rFonts w:ascii="Times New Roman" w:hAnsi="Times New Roman" w:cs="Times New Roman"/>
          <w:sz w:val="18"/>
          <w:szCs w:val="18"/>
        </w:rPr>
        <w:t>Ve</w:t>
      </w:r>
      <w:r w:rsidR="00B72AD3">
        <w:rPr>
          <w:rFonts w:ascii="Times New Roman" w:hAnsi="Times New Roman" w:cs="Times New Roman"/>
          <w:sz w:val="18"/>
          <w:szCs w:val="18"/>
        </w:rPr>
        <w:t>t</w:t>
      </w:r>
      <w:r w:rsidRPr="00210F5D" w:rsidR="00B72AD3">
        <w:rPr>
          <w:rFonts w:ascii="Times New Roman" w:hAnsi="Times New Roman" w:cs="Times New Roman"/>
          <w:sz w:val="18"/>
          <w:szCs w:val="18"/>
        </w:rPr>
        <w:t>erans</w:t>
      </w:r>
      <w:r w:rsidRPr="00210F5D">
        <w:rPr>
          <w:rFonts w:ascii="Times New Roman" w:hAnsi="Times New Roman" w:cs="Times New Roman"/>
          <w:sz w:val="18"/>
          <w:szCs w:val="18"/>
        </w:rPr>
        <w:t xml:space="preserve"> Affairs Medical Centers.” The Joint Commission Journal on Quality and Patient Safety, 39(1). 2013. January. </w:t>
      </w:r>
      <w:r w:rsidRPr="00210F5D" w:rsidR="00FA643E">
        <w:rPr>
          <w:rFonts w:ascii="Times New Roman" w:hAnsi="Times New Roman" w:cs="Times New Roman"/>
          <w:sz w:val="18"/>
          <w:szCs w:val="18"/>
        </w:rPr>
        <w:t>p</w:t>
      </w:r>
      <w:r w:rsidRPr="00210F5D">
        <w:rPr>
          <w:rFonts w:ascii="Times New Roman" w:hAnsi="Times New Roman" w:cs="Times New Roman"/>
          <w:sz w:val="18"/>
          <w:szCs w:val="18"/>
        </w:rPr>
        <w:t>p 32-7.</w:t>
      </w:r>
    </w:p>
  </w:footnote>
  <w:footnote w:id="129">
    <w:p w:rsidR="00A32C86" w:rsidRPr="00210F5D" w:rsidP="00A32C86" w14:paraId="7F5B260F" w14:textId="77777777">
      <w:pPr>
        <w:pStyle w:val="FootnoteText"/>
        <w:rPr>
          <w:rFonts w:ascii="Times New Roman" w:hAnsi="Times New Roman" w:cs="Times New Roman"/>
          <w:sz w:val="18"/>
          <w:szCs w:val="18"/>
        </w:rPr>
      </w:pPr>
      <w:r w:rsidRPr="00210F5D">
        <w:rPr>
          <w:rStyle w:val="FootnoteReference"/>
          <w:rFonts w:ascii="Times New Roman" w:hAnsi="Times New Roman" w:cs="Times New Roman"/>
          <w:sz w:val="18"/>
          <w:szCs w:val="18"/>
        </w:rPr>
        <w:footnoteRef/>
      </w:r>
      <w:r w:rsidRPr="00210F5D">
        <w:rPr>
          <w:rFonts w:ascii="Times New Roman" w:hAnsi="Times New Roman" w:cs="Times New Roman"/>
          <w:sz w:val="18"/>
          <w:szCs w:val="18"/>
        </w:rPr>
        <w:t xml:space="preserve"> CSB, “Formosa Plastics Vinyl Chloride Explosion,” last modified Mar. 6, 2007, </w:t>
      </w:r>
      <w:hyperlink r:id="rId55" w:history="1">
        <w:r w:rsidRPr="008530DF" w:rsidR="00B72AD3">
          <w:rPr>
            <w:rStyle w:val="Hyperlink"/>
            <w:rFonts w:ascii="Times New Roman" w:hAnsi="Times New Roman" w:cs="Times New Roman"/>
            <w:sz w:val="18"/>
            <w:szCs w:val="18"/>
          </w:rPr>
          <w:t>https://www.csb.gov/formosa-plastics-vinyl-chloride-explosion/</w:t>
        </w:r>
      </w:hyperlink>
      <w:r w:rsidR="00B72AD3">
        <w:rPr>
          <w:rFonts w:ascii="Times New Roman" w:hAnsi="Times New Roman" w:cs="Times New Roman"/>
          <w:sz w:val="18"/>
          <w:szCs w:val="18"/>
        </w:rPr>
        <w:t xml:space="preserve"> </w:t>
      </w:r>
      <w:r w:rsidRPr="00210F5D">
        <w:rPr>
          <w:rFonts w:ascii="Times New Roman" w:hAnsi="Times New Roman" w:cs="Times New Roman"/>
          <w:sz w:val="18"/>
          <w:szCs w:val="18"/>
        </w:rPr>
        <w:t>.</w:t>
      </w:r>
    </w:p>
  </w:footnote>
  <w:footnote w:id="130">
    <w:p w:rsidR="00A32C86" w:rsidRPr="00210F5D" w:rsidP="00A32C86" w14:paraId="66CFF9CB" w14:textId="77777777">
      <w:pPr>
        <w:pStyle w:val="FootnoteText"/>
        <w:rPr>
          <w:rFonts w:ascii="Times New Roman" w:hAnsi="Times New Roman" w:cs="Times New Roman"/>
          <w:sz w:val="18"/>
          <w:szCs w:val="18"/>
        </w:rPr>
      </w:pPr>
      <w:r w:rsidRPr="00210F5D">
        <w:rPr>
          <w:rStyle w:val="FootnoteReference"/>
          <w:rFonts w:ascii="Times New Roman" w:hAnsi="Times New Roman" w:cs="Times New Roman"/>
          <w:sz w:val="18"/>
          <w:szCs w:val="18"/>
        </w:rPr>
        <w:footnoteRef/>
      </w:r>
      <w:r w:rsidRPr="00210F5D" w:rsidR="00C567A1">
        <w:rPr>
          <w:rFonts w:ascii="Times New Roman" w:hAnsi="Times New Roman" w:cs="Times New Roman"/>
          <w:sz w:val="18"/>
          <w:szCs w:val="18"/>
        </w:rPr>
        <w:t xml:space="preserve"> </w:t>
      </w:r>
      <w:r w:rsidRPr="00210F5D">
        <w:rPr>
          <w:rFonts w:ascii="Times New Roman" w:hAnsi="Times New Roman" w:cs="Times New Roman"/>
          <w:sz w:val="18"/>
          <w:szCs w:val="18"/>
        </w:rPr>
        <w:t xml:space="preserve">CSB, “BP America Refinery Explosion,” last modified Mar. 20, 2007, </w:t>
      </w:r>
      <w:hyperlink r:id="rId56" w:history="1">
        <w:r w:rsidRPr="008530DF" w:rsidR="00B72AD3">
          <w:rPr>
            <w:rStyle w:val="Hyperlink"/>
            <w:rFonts w:ascii="Times New Roman" w:hAnsi="Times New Roman" w:cs="Times New Roman"/>
            <w:sz w:val="18"/>
            <w:szCs w:val="18"/>
          </w:rPr>
          <w:t>https://www.csb.gov/bp-america-refinery-explosion/</w:t>
        </w:r>
      </w:hyperlink>
      <w:r w:rsidR="00B72AD3">
        <w:rPr>
          <w:rFonts w:ascii="Times New Roman" w:hAnsi="Times New Roman" w:cs="Times New Roman"/>
          <w:sz w:val="18"/>
          <w:szCs w:val="18"/>
        </w:rPr>
        <w:t xml:space="preserve"> </w:t>
      </w:r>
      <w:r w:rsidRPr="00210F5D">
        <w:rPr>
          <w:rFonts w:ascii="Times New Roman" w:hAnsi="Times New Roman" w:cs="Times New Roman"/>
          <w:sz w:val="18"/>
          <w:szCs w:val="18"/>
        </w:rPr>
        <w:t>.</w:t>
      </w:r>
    </w:p>
  </w:footnote>
  <w:footnote w:id="131">
    <w:p w:rsidR="00A32C86" w:rsidRPr="00EA2A3A" w:rsidP="00A32C86" w14:paraId="53AED3C3" w14:textId="77777777">
      <w:pPr>
        <w:pStyle w:val="FootnoteText"/>
        <w:rPr>
          <w:rFonts w:ascii="Times New Roman" w:hAnsi="Times New Roman" w:cs="Times New Roman"/>
        </w:rPr>
      </w:pPr>
      <w:r w:rsidRPr="00210F5D">
        <w:rPr>
          <w:rStyle w:val="FootnoteReference"/>
          <w:rFonts w:ascii="Times New Roman" w:hAnsi="Times New Roman" w:cs="Times New Roman"/>
          <w:sz w:val="18"/>
          <w:szCs w:val="18"/>
        </w:rPr>
        <w:footnoteRef/>
      </w:r>
      <w:r w:rsidRPr="00210F5D">
        <w:rPr>
          <w:rFonts w:ascii="Times New Roman" w:hAnsi="Times New Roman" w:cs="Times New Roman"/>
          <w:sz w:val="18"/>
          <w:szCs w:val="18"/>
        </w:rPr>
        <w:t xml:space="preserve"> CSB, “Millard Refrigerated Services Ammonia Release,” last modified Jan. 15, 2015, </w:t>
      </w:r>
      <w:hyperlink r:id="rId57" w:history="1">
        <w:r w:rsidRPr="008530DF" w:rsidR="00B72AD3">
          <w:rPr>
            <w:rStyle w:val="Hyperlink"/>
            <w:rFonts w:ascii="Times New Roman" w:hAnsi="Times New Roman" w:cs="Times New Roman"/>
            <w:sz w:val="18"/>
            <w:szCs w:val="18"/>
          </w:rPr>
          <w:t>https://www.csb.gov/millard-refrigerated-services-ammonia-release/</w:t>
        </w:r>
      </w:hyperlink>
      <w:r w:rsidR="00B72AD3">
        <w:rPr>
          <w:rFonts w:ascii="Times New Roman" w:hAnsi="Times New Roman" w:cs="Times New Roman"/>
          <w:sz w:val="18"/>
          <w:szCs w:val="18"/>
        </w:rPr>
        <w:t xml:space="preserve"> </w:t>
      </w:r>
      <w:r w:rsidRPr="00210F5D">
        <w:rPr>
          <w:rFonts w:ascii="Times New Roman" w:hAnsi="Times New Roman" w:cs="Times New Roman"/>
          <w:sz w:val="18"/>
          <w:szCs w:val="18"/>
        </w:rPr>
        <w:t>.</w:t>
      </w:r>
    </w:p>
  </w:footnote>
  <w:footnote w:id="132">
    <w:p w:rsidR="001F50A7" w:rsidRPr="003A3A84" w:rsidP="001F50A7" w14:paraId="74FEB2B5"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Duflo, Esther, Michael Greenstone, Rohini Pande, and Nicholas Ryan. “Truth-Telling by Third-Party Auditors and The Response of Polluting Firms: Experimental Evidence from India,” 128 Q. J. OF ECON. 4 at 1499-1545 (2013).</w:t>
      </w:r>
    </w:p>
  </w:footnote>
  <w:footnote w:id="133">
    <w:p w:rsidR="001F50A7" w:rsidRPr="003A3A84" w:rsidP="001F50A7" w14:paraId="6A1AC5E8"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Kunreuther, Howard C., Patrick J. McNulty, and Yong Kang. “Third-Party Inspection as an Alternative to Command and Control Regulation.” Risk Analysis Vol 22, Issue 2, April 2002, pp 309-318.</w:t>
      </w:r>
    </w:p>
  </w:footnote>
  <w:footnote w:id="134">
    <w:p w:rsidR="00434514" w:rsidRPr="003A3A84" w:rsidP="00434514" w14:paraId="202754BD"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Oberholzer-Gee, F. and M. Mitsunari. “Information Regulation: Do the Victims of Externalities Pay Attention?”</w:t>
      </w:r>
    </w:p>
    <w:p w:rsidR="00623420" w:rsidRPr="003A3A84" w14:paraId="1FEA8904" w14:textId="77777777">
      <w:pPr>
        <w:pStyle w:val="FootnoteText"/>
        <w:rPr>
          <w:rFonts w:ascii="Times New Roman" w:hAnsi="Times New Roman" w:cs="Times New Roman"/>
          <w:sz w:val="18"/>
          <w:szCs w:val="18"/>
        </w:rPr>
      </w:pPr>
      <w:r w:rsidRPr="003A3A84">
        <w:rPr>
          <w:rFonts w:ascii="Times New Roman" w:hAnsi="Times New Roman" w:cs="Times New Roman"/>
          <w:sz w:val="18"/>
          <w:szCs w:val="18"/>
        </w:rPr>
        <w:t>Journal of Regulatory Economics. 2006. 30: 141.</w:t>
      </w:r>
    </w:p>
  </w:footnote>
  <w:footnote w:id="135">
    <w:p w:rsidR="00434514" w:rsidRPr="003A3A84" w:rsidP="00434514" w14:paraId="03971455" w14:textId="77777777">
      <w:pPr>
        <w:spacing w:after="0" w:line="240" w:lineRule="auto"/>
        <w:ind w:right="809"/>
        <w:jc w:val="both"/>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Mastromonaco, Ralph. “Do Environmental Right-to-Know Laws Affect Markets? Capitalization of Information in the Toxic Release inventory,” </w:t>
      </w:r>
      <w:r w:rsidRPr="003A3A84">
        <w:rPr>
          <w:rFonts w:ascii="Times New Roman" w:hAnsi="Times New Roman" w:cs="Times New Roman"/>
          <w:i/>
          <w:sz w:val="18"/>
          <w:szCs w:val="18"/>
        </w:rPr>
        <w:t>Journal of Environmental Economics and Management</w:t>
      </w:r>
      <w:r w:rsidRPr="003A3A84">
        <w:rPr>
          <w:rFonts w:ascii="Times New Roman" w:hAnsi="Times New Roman" w:cs="Times New Roman"/>
          <w:sz w:val="18"/>
          <w:szCs w:val="18"/>
        </w:rPr>
        <w:t xml:space="preserve">, 71. 2015. May. Pp 54-70. To support this statement, the author cites </w:t>
      </w:r>
      <w:hyperlink r:id="rId58" w:anchor="bib16">
        <w:r w:rsidRPr="003A3A84">
          <w:rPr>
            <w:rFonts w:ascii="Times New Roman" w:hAnsi="Times New Roman" w:cs="Times New Roman"/>
            <w:color w:val="306C9D"/>
            <w:sz w:val="18"/>
            <w:szCs w:val="18"/>
            <w:u w:val="single" w:color="306C9D"/>
            <w:shd w:val="clear" w:color="auto" w:fill="FBFBFB"/>
          </w:rPr>
          <w:t>Hamilton (1995)</w:t>
        </w:r>
      </w:hyperlink>
      <w:r w:rsidRPr="003A3A84">
        <w:rPr>
          <w:rFonts w:ascii="Times New Roman" w:hAnsi="Times New Roman" w:cs="Times New Roman"/>
          <w:color w:val="2D2D2D"/>
          <w:sz w:val="18"/>
          <w:szCs w:val="18"/>
          <w:shd w:val="clear" w:color="auto" w:fill="FBFBFB"/>
        </w:rPr>
        <w:t xml:space="preserve">, </w:t>
      </w:r>
      <w:hyperlink r:id="rId58" w:anchor="bib17">
        <w:r w:rsidRPr="003A3A84">
          <w:rPr>
            <w:rFonts w:ascii="Times New Roman" w:hAnsi="Times New Roman" w:cs="Times New Roman"/>
            <w:color w:val="306C9D"/>
            <w:sz w:val="18"/>
            <w:szCs w:val="18"/>
            <w:u w:val="single" w:color="306C9D"/>
            <w:shd w:val="clear" w:color="auto" w:fill="FBFBFB"/>
          </w:rPr>
          <w:t>Khanna et al. (1998)</w:t>
        </w:r>
      </w:hyperlink>
      <w:r w:rsidRPr="003A3A84">
        <w:rPr>
          <w:rFonts w:ascii="Times New Roman" w:hAnsi="Times New Roman" w:cs="Times New Roman"/>
          <w:color w:val="2D2D2D"/>
          <w:sz w:val="18"/>
          <w:szCs w:val="18"/>
          <w:shd w:val="clear" w:color="auto" w:fill="FBFBFB"/>
        </w:rPr>
        <w:t xml:space="preserve">, </w:t>
      </w:r>
      <w:hyperlink r:id="rId58" w:anchor="bib3">
        <w:r w:rsidRPr="003A3A84">
          <w:rPr>
            <w:rFonts w:ascii="Times New Roman" w:hAnsi="Times New Roman" w:cs="Times New Roman"/>
            <w:color w:val="306C9D"/>
            <w:sz w:val="18"/>
            <w:szCs w:val="18"/>
            <w:u w:val="single" w:color="306C9D"/>
            <w:shd w:val="clear" w:color="auto" w:fill="FBFBFB"/>
          </w:rPr>
          <w:t>Bui (2005)</w:t>
        </w:r>
      </w:hyperlink>
      <w:r w:rsidRPr="003A3A84">
        <w:rPr>
          <w:rFonts w:ascii="Times New Roman" w:hAnsi="Times New Roman" w:cs="Times New Roman"/>
          <w:color w:val="2D2D2D"/>
          <w:sz w:val="18"/>
          <w:szCs w:val="18"/>
          <w:shd w:val="clear" w:color="auto" w:fill="FBFBFB"/>
        </w:rPr>
        <w:t xml:space="preserve">, </w:t>
      </w:r>
      <w:hyperlink r:id="rId58" w:anchor="bib4">
        <w:r w:rsidRPr="003A3A84">
          <w:rPr>
            <w:rFonts w:ascii="Times New Roman" w:hAnsi="Times New Roman" w:cs="Times New Roman"/>
            <w:color w:val="306C9D"/>
            <w:sz w:val="18"/>
            <w:szCs w:val="18"/>
            <w:u w:val="single" w:color="306C9D"/>
            <w:shd w:val="clear" w:color="auto" w:fill="FBFBFB"/>
          </w:rPr>
          <w:t>Bui and Mayer</w:t>
        </w:r>
      </w:hyperlink>
      <w:r w:rsidRPr="003A3A84">
        <w:rPr>
          <w:rFonts w:ascii="Times New Roman" w:hAnsi="Times New Roman" w:cs="Times New Roman"/>
          <w:color w:val="306C9D"/>
          <w:sz w:val="18"/>
          <w:szCs w:val="18"/>
          <w:u w:val="single" w:color="306C9D"/>
          <w:shd w:val="clear" w:color="auto" w:fill="FBFBFB"/>
        </w:rPr>
        <w:t xml:space="preserve"> </w:t>
      </w:r>
      <w:hyperlink r:id="rId58" w:anchor="bib4">
        <w:r w:rsidRPr="003A3A84">
          <w:rPr>
            <w:rFonts w:ascii="Times New Roman" w:hAnsi="Times New Roman" w:cs="Times New Roman"/>
            <w:color w:val="306C9D"/>
            <w:sz w:val="18"/>
            <w:szCs w:val="18"/>
            <w:u w:val="single" w:color="306C9D"/>
            <w:shd w:val="clear" w:color="auto" w:fill="FBFBFB"/>
          </w:rPr>
          <w:t>(2003)</w:t>
        </w:r>
      </w:hyperlink>
      <w:r w:rsidRPr="003A3A84">
        <w:rPr>
          <w:rFonts w:ascii="Times New Roman" w:hAnsi="Times New Roman" w:cs="Times New Roman"/>
          <w:color w:val="2D2D2D"/>
          <w:sz w:val="18"/>
          <w:szCs w:val="18"/>
          <w:shd w:val="clear" w:color="auto" w:fill="FBFBFB"/>
        </w:rPr>
        <w:t xml:space="preserve">, </w:t>
      </w:r>
      <w:hyperlink r:id="rId58" w:anchor="bib1">
        <w:r w:rsidRPr="003A3A84">
          <w:rPr>
            <w:rFonts w:ascii="Times New Roman" w:hAnsi="Times New Roman" w:cs="Times New Roman"/>
            <w:color w:val="306C9D"/>
            <w:sz w:val="18"/>
            <w:szCs w:val="18"/>
            <w:u w:val="single" w:color="306C9D"/>
            <w:shd w:val="clear" w:color="auto" w:fill="FBFBFB"/>
          </w:rPr>
          <w:t xml:space="preserve">Banzhaf and Walsh (2008) </w:t>
        </w:r>
      </w:hyperlink>
      <w:r w:rsidRPr="003A3A84">
        <w:rPr>
          <w:rFonts w:ascii="Times New Roman" w:hAnsi="Times New Roman" w:cs="Times New Roman"/>
          <w:color w:val="2D2D2D"/>
          <w:sz w:val="18"/>
          <w:szCs w:val="18"/>
          <w:shd w:val="clear" w:color="auto" w:fill="FBFBFB"/>
        </w:rPr>
        <w:t xml:space="preserve">and </w:t>
      </w:r>
      <w:hyperlink r:id="rId58" w:anchor="bib19">
        <w:r w:rsidRPr="003A3A84">
          <w:rPr>
            <w:rFonts w:ascii="Times New Roman" w:hAnsi="Times New Roman" w:cs="Times New Roman"/>
            <w:color w:val="306C9D"/>
            <w:sz w:val="18"/>
            <w:szCs w:val="18"/>
            <w:u w:val="single" w:color="306C9D"/>
            <w:shd w:val="clear" w:color="auto" w:fill="FBFBFB"/>
          </w:rPr>
          <w:t>Konar and Cohen (1997)</w:t>
        </w:r>
        <w:r w:rsidRPr="003A3A84">
          <w:rPr>
            <w:rFonts w:ascii="Times New Roman" w:hAnsi="Times New Roman" w:cs="Times New Roman"/>
            <w:color w:val="2D2D2D"/>
            <w:sz w:val="18"/>
            <w:szCs w:val="18"/>
            <w:shd w:val="clear" w:color="auto" w:fill="FBFBFB"/>
          </w:rPr>
          <w:t>.</w:t>
        </w:r>
      </w:hyperlink>
    </w:p>
  </w:footnote>
  <w:footnote w:id="136">
    <w:p w:rsidR="00434514" w:rsidRPr="00FC2D52" w14:paraId="55F3A4FE" w14:textId="77777777">
      <w:pPr>
        <w:pStyle w:val="FootnoteText"/>
        <w:rPr>
          <w:rFonts w:ascii="Times New Roman" w:hAnsi="Times New Roman" w:cs="Times New Roman"/>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See footnote 4</w:t>
      </w:r>
      <w:r w:rsidRPr="003A3A84" w:rsidR="00E70D26">
        <w:rPr>
          <w:rFonts w:ascii="Times New Roman" w:hAnsi="Times New Roman" w:cs="Times New Roman"/>
          <w:sz w:val="18"/>
          <w:szCs w:val="18"/>
        </w:rPr>
        <w:t>3</w:t>
      </w:r>
      <w:r w:rsidRPr="003A3A84" w:rsidR="00A770D4">
        <w:rPr>
          <w:rFonts w:ascii="Times New Roman" w:hAnsi="Times New Roman" w:cs="Times New Roman"/>
          <w:sz w:val="18"/>
          <w:szCs w:val="18"/>
        </w:rPr>
        <w:t xml:space="preserve"> </w:t>
      </w:r>
      <w:r w:rsidRPr="003A3A84">
        <w:rPr>
          <w:rFonts w:ascii="Times New Roman" w:hAnsi="Times New Roman" w:cs="Times New Roman"/>
          <w:sz w:val="18"/>
          <w:szCs w:val="18"/>
        </w:rPr>
        <w:t>for the full Mastromonaco (2015) citation.</w:t>
      </w:r>
    </w:p>
  </w:footnote>
  <w:footnote w:id="137">
    <w:p w:rsidR="00C523D3" w14:paraId="3BDF5BDF" w14:textId="4B68FA9F">
      <w:pPr>
        <w:pStyle w:val="FootnoteText"/>
      </w:pPr>
      <w:r>
        <w:rPr>
          <w:rStyle w:val="FootnoteReference"/>
        </w:rPr>
        <w:footnoteRef/>
      </w:r>
      <w:r>
        <w:t xml:space="preserve"> </w:t>
      </w:r>
      <w:r w:rsidRPr="000571BC">
        <w:rPr>
          <w:rFonts w:ascii="Times New Roman" w:hAnsi="Times New Roman" w:cs="Times New Roman"/>
          <w:sz w:val="18"/>
          <w:szCs w:val="18"/>
        </w:rPr>
        <w:t>EPA estimated the values of injuries and deaths that occurred in Pasadena using the same values applied to injuries and deaths at RMP facility-reported accidents. See Exhibit 3-15 in the accompanying RIA for specific values and Section 3.2.5.1 “Fatalities and Injuries” in the RIA for detailed explanations of how those values were estimated. The $1.8 billion in property damage was estimated by Marsh JLT Specialty, "100 Largest Losses in the Hydrocarbon Industry," 27th ed., March 2022. https://www.marsh.com/us/industries/energy-and-power/insights/100-largest-losses/100-largest-losses-report-download.html.</w:t>
      </w:r>
      <w:r w:rsidRPr="000571BC">
        <w:rPr>
          <w:sz w:val="18"/>
          <w:szCs w:val="18"/>
        </w:rPr>
        <w:t xml:space="preserve">  </w:t>
      </w:r>
    </w:p>
  </w:footnote>
  <w:footnote w:id="138">
    <w:p w:rsidR="003779BC" w:rsidRPr="003A3A84" w14:paraId="7F0D933D"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EPA instructions for RMP submissions specifically direct the owner or operator not to include any losses incurred as a result of business interruption. See page 74 of the RMP*eSubmit User’s Manual (EPA, August 2019); </w:t>
      </w:r>
      <w:hyperlink r:id="rId59">
        <w:r w:rsidRPr="003A3A84">
          <w:rPr>
            <w:rFonts w:ascii="Times New Roman" w:hAnsi="Times New Roman" w:cs="Times New Roman"/>
            <w:color w:val="0462C1"/>
            <w:sz w:val="18"/>
            <w:szCs w:val="18"/>
            <w:u w:val="single" w:color="0462C1"/>
          </w:rPr>
          <w:t>http://www.epa.gov/rmp/rmpesubmit-users-manual</w:t>
        </w:r>
        <w:r w:rsidRPr="003A3A84">
          <w:rPr>
            <w:rFonts w:ascii="Times New Roman" w:hAnsi="Times New Roman" w:cs="Times New Roman"/>
            <w:sz w:val="18"/>
            <w:szCs w:val="18"/>
          </w:rPr>
          <w:t>.</w:t>
        </w:r>
      </w:hyperlink>
    </w:p>
  </w:footnote>
  <w:footnote w:id="139">
    <w:p w:rsidR="001F32BE" w:rsidRPr="00AE3FE2" w:rsidP="001F32BE" w14:paraId="301CCF32" w14:textId="77777777">
      <w:pPr>
        <w:pStyle w:val="FootnoteText"/>
        <w:rPr>
          <w:rFonts w:ascii="Times New Roman" w:hAnsi="Times New Roman" w:cs="Times New Roman"/>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Marsh</w:t>
      </w:r>
      <w:r>
        <w:rPr>
          <w:rFonts w:ascii="Times New Roman" w:hAnsi="Times New Roman" w:cs="Times New Roman"/>
          <w:sz w:val="18"/>
          <w:szCs w:val="18"/>
        </w:rPr>
        <w:t xml:space="preserve"> JLT Specialty</w:t>
      </w:r>
      <w:r w:rsidRPr="003A3A84">
        <w:rPr>
          <w:rFonts w:ascii="Times New Roman" w:hAnsi="Times New Roman" w:cs="Times New Roman"/>
          <w:sz w:val="18"/>
          <w:szCs w:val="18"/>
        </w:rPr>
        <w:t xml:space="preserve">, </w:t>
      </w:r>
      <w:r>
        <w:rPr>
          <w:rFonts w:ascii="Times New Roman" w:hAnsi="Times New Roman" w:cs="Times New Roman"/>
          <w:sz w:val="18"/>
          <w:szCs w:val="18"/>
        </w:rPr>
        <w:t>"</w:t>
      </w:r>
      <w:r w:rsidRPr="003A3A84">
        <w:rPr>
          <w:rFonts w:ascii="Times New Roman" w:hAnsi="Times New Roman" w:cs="Times New Roman"/>
          <w:sz w:val="18"/>
          <w:szCs w:val="18"/>
        </w:rPr>
        <w:t>100 Largest Losses</w:t>
      </w:r>
      <w:r>
        <w:rPr>
          <w:rFonts w:ascii="Times New Roman" w:hAnsi="Times New Roman" w:cs="Times New Roman"/>
          <w:sz w:val="18"/>
          <w:szCs w:val="18"/>
        </w:rPr>
        <w:t xml:space="preserve"> in the Hydrocarbon Industry</w:t>
      </w:r>
      <w:r w:rsidRPr="003A3A84">
        <w:rPr>
          <w:rFonts w:ascii="Times New Roman" w:hAnsi="Times New Roman" w:cs="Times New Roman"/>
          <w:sz w:val="18"/>
          <w:szCs w:val="18"/>
        </w:rPr>
        <w:t>,</w:t>
      </w:r>
      <w:r>
        <w:rPr>
          <w:rFonts w:ascii="Times New Roman" w:hAnsi="Times New Roman" w:cs="Times New Roman"/>
          <w:sz w:val="18"/>
          <w:szCs w:val="18"/>
        </w:rPr>
        <w:t>”</w:t>
      </w:r>
      <w:r w:rsidRPr="003A3A84">
        <w:rPr>
          <w:rFonts w:ascii="Times New Roman" w:hAnsi="Times New Roman" w:cs="Times New Roman"/>
          <w:sz w:val="18"/>
          <w:szCs w:val="18"/>
        </w:rPr>
        <w:t xml:space="preserve"> </w:t>
      </w:r>
      <w:r>
        <w:rPr>
          <w:rFonts w:ascii="Times New Roman" w:hAnsi="Times New Roman" w:cs="Times New Roman"/>
          <w:sz w:val="18"/>
          <w:szCs w:val="18"/>
        </w:rPr>
        <w:t>27</w:t>
      </w:r>
      <w:r w:rsidRPr="00801E9D">
        <w:rPr>
          <w:rFonts w:ascii="Times New Roman" w:hAnsi="Times New Roman" w:cs="Times New Roman"/>
          <w:sz w:val="18"/>
          <w:szCs w:val="18"/>
          <w:vertAlign w:val="superscript"/>
        </w:rPr>
        <w:t>th</w:t>
      </w:r>
      <w:r>
        <w:rPr>
          <w:rFonts w:ascii="Times New Roman" w:hAnsi="Times New Roman" w:cs="Times New Roman"/>
          <w:sz w:val="18"/>
          <w:szCs w:val="18"/>
        </w:rPr>
        <w:t xml:space="preserve"> Edition, March 2022. Accessed from </w:t>
      </w:r>
      <w:hyperlink r:id="rId60" w:history="1">
        <w:r w:rsidRPr="00D26AF6">
          <w:rPr>
            <w:rStyle w:val="Hyperlink"/>
            <w:rFonts w:ascii="Times New Roman" w:hAnsi="Times New Roman" w:cs="Times New Roman"/>
            <w:sz w:val="18"/>
            <w:szCs w:val="18"/>
          </w:rPr>
          <w:t>https://www.marsh.com/uk/industries/energy-and-power/insights/100-largest-losses.html</w:t>
        </w:r>
      </w:hyperlink>
      <w:r>
        <w:rPr>
          <w:rFonts w:ascii="Times New Roman" w:hAnsi="Times New Roman" w:cs="Times New Roman"/>
          <w:sz w:val="18"/>
          <w:szCs w:val="18"/>
        </w:rPr>
        <w:t xml:space="preserve">. </w:t>
      </w:r>
      <w:r w:rsidRPr="003A3A84">
        <w:rPr>
          <w:rFonts w:ascii="Times New Roman" w:hAnsi="Times New Roman" w:cs="Times New Roman"/>
          <w:sz w:val="18"/>
          <w:szCs w:val="18"/>
        </w:rPr>
        <w:t xml:space="preserve">Marsh provides estimates of </w:t>
      </w:r>
      <w:r>
        <w:rPr>
          <w:rFonts w:ascii="Times New Roman" w:hAnsi="Times New Roman" w:cs="Times New Roman"/>
          <w:sz w:val="18"/>
          <w:szCs w:val="18"/>
        </w:rPr>
        <w:t xml:space="preserve">large </w:t>
      </w:r>
      <w:r w:rsidRPr="003A3A84">
        <w:rPr>
          <w:rFonts w:ascii="Times New Roman" w:hAnsi="Times New Roman" w:cs="Times New Roman"/>
          <w:sz w:val="18"/>
          <w:szCs w:val="18"/>
        </w:rPr>
        <w:t xml:space="preserve">property damage </w:t>
      </w:r>
      <w:r>
        <w:rPr>
          <w:rFonts w:ascii="Times New Roman" w:hAnsi="Times New Roman" w:cs="Times New Roman"/>
          <w:sz w:val="18"/>
          <w:szCs w:val="18"/>
        </w:rPr>
        <w:t xml:space="preserve">losses in the hydrocarbon industry from 1974 to 2021 </w:t>
      </w:r>
      <w:r w:rsidRPr="003A3A84">
        <w:rPr>
          <w:rFonts w:ascii="Times New Roman" w:hAnsi="Times New Roman" w:cs="Times New Roman"/>
          <w:sz w:val="18"/>
          <w:szCs w:val="18"/>
        </w:rPr>
        <w:t xml:space="preserve">in current </w:t>
      </w:r>
      <w:r>
        <w:rPr>
          <w:rFonts w:ascii="Times New Roman" w:hAnsi="Times New Roman" w:cs="Times New Roman"/>
          <w:sz w:val="18"/>
          <w:szCs w:val="18"/>
        </w:rPr>
        <w:t xml:space="preserve">and 2021 </w:t>
      </w:r>
      <w:r w:rsidRPr="003A3A84">
        <w:rPr>
          <w:rFonts w:ascii="Times New Roman" w:hAnsi="Times New Roman" w:cs="Times New Roman"/>
          <w:sz w:val="18"/>
          <w:szCs w:val="18"/>
        </w:rPr>
        <w:t>dollars and in a few cases, business loss costs.</w:t>
      </w:r>
    </w:p>
  </w:footnote>
  <w:footnote w:id="140">
    <w:p w:rsidR="003779BC" w:rsidRPr="00AE3FE2" w:rsidP="003779BC" w14:paraId="46D68BBD" w14:textId="73350196">
      <w:pPr>
        <w:pStyle w:val="FootnoteText"/>
        <w:rPr>
          <w:rFonts w:ascii="Times New Roman" w:hAnsi="Times New Roman" w:cs="Times New Roman"/>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Marsh</w:t>
      </w:r>
      <w:r w:rsidR="00486A14">
        <w:rPr>
          <w:rFonts w:ascii="Times New Roman" w:hAnsi="Times New Roman" w:cs="Times New Roman"/>
          <w:sz w:val="18"/>
          <w:szCs w:val="18"/>
        </w:rPr>
        <w:t xml:space="preserve"> JLT Specialty</w:t>
      </w:r>
      <w:r w:rsidRPr="003A3A84">
        <w:rPr>
          <w:rFonts w:ascii="Times New Roman" w:hAnsi="Times New Roman" w:cs="Times New Roman"/>
          <w:sz w:val="18"/>
          <w:szCs w:val="18"/>
        </w:rPr>
        <w:t xml:space="preserve">, </w:t>
      </w:r>
      <w:r w:rsidR="00E97D62">
        <w:rPr>
          <w:rFonts w:ascii="Times New Roman" w:hAnsi="Times New Roman" w:cs="Times New Roman"/>
          <w:sz w:val="18"/>
          <w:szCs w:val="18"/>
        </w:rPr>
        <w:t>"</w:t>
      </w:r>
      <w:r w:rsidR="006F0C9D">
        <w:rPr>
          <w:rFonts w:ascii="Times New Roman" w:hAnsi="Times New Roman" w:cs="Times New Roman"/>
          <w:sz w:val="18"/>
          <w:szCs w:val="18"/>
        </w:rPr>
        <w:t>The</w:t>
      </w:r>
      <w:r w:rsidR="002C7B07">
        <w:rPr>
          <w:rFonts w:ascii="Times New Roman" w:hAnsi="Times New Roman" w:cs="Times New Roman"/>
          <w:sz w:val="18"/>
          <w:szCs w:val="18"/>
        </w:rPr>
        <w:t xml:space="preserve"> </w:t>
      </w:r>
      <w:r w:rsidRPr="003A3A84">
        <w:rPr>
          <w:rFonts w:ascii="Times New Roman" w:hAnsi="Times New Roman" w:cs="Times New Roman"/>
          <w:sz w:val="18"/>
          <w:szCs w:val="18"/>
        </w:rPr>
        <w:t>100 Largest Losses</w:t>
      </w:r>
      <w:r w:rsidR="00681C83">
        <w:rPr>
          <w:rFonts w:ascii="Times New Roman" w:hAnsi="Times New Roman" w:cs="Times New Roman"/>
          <w:sz w:val="18"/>
          <w:szCs w:val="18"/>
        </w:rPr>
        <w:t xml:space="preserve"> </w:t>
      </w:r>
      <w:r w:rsidR="00A05717">
        <w:rPr>
          <w:rFonts w:ascii="Times New Roman" w:hAnsi="Times New Roman" w:cs="Times New Roman"/>
          <w:sz w:val="18"/>
          <w:szCs w:val="18"/>
        </w:rPr>
        <w:t xml:space="preserve">1974-2015: </w:t>
      </w:r>
      <w:r w:rsidR="006875A2">
        <w:rPr>
          <w:rFonts w:ascii="Times New Roman" w:hAnsi="Times New Roman" w:cs="Times New Roman"/>
          <w:sz w:val="18"/>
          <w:szCs w:val="18"/>
        </w:rPr>
        <w:t xml:space="preserve">Large property damage losses </w:t>
      </w:r>
      <w:r w:rsidR="00681C83">
        <w:rPr>
          <w:rFonts w:ascii="Times New Roman" w:hAnsi="Times New Roman" w:cs="Times New Roman"/>
          <w:sz w:val="18"/>
          <w:szCs w:val="18"/>
        </w:rPr>
        <w:t xml:space="preserve">in the </w:t>
      </w:r>
      <w:r w:rsidR="006875A2">
        <w:rPr>
          <w:rFonts w:ascii="Times New Roman" w:hAnsi="Times New Roman" w:cs="Times New Roman"/>
          <w:sz w:val="18"/>
          <w:szCs w:val="18"/>
        </w:rPr>
        <w:t>h</w:t>
      </w:r>
      <w:r w:rsidR="00681C83">
        <w:rPr>
          <w:rFonts w:ascii="Times New Roman" w:hAnsi="Times New Roman" w:cs="Times New Roman"/>
          <w:sz w:val="18"/>
          <w:szCs w:val="18"/>
        </w:rPr>
        <w:t xml:space="preserve">ydrocarbon </w:t>
      </w:r>
      <w:r w:rsidR="006875A2">
        <w:rPr>
          <w:rFonts w:ascii="Times New Roman" w:hAnsi="Times New Roman" w:cs="Times New Roman"/>
          <w:sz w:val="18"/>
          <w:szCs w:val="18"/>
        </w:rPr>
        <w:t>i</w:t>
      </w:r>
      <w:r w:rsidR="00681C83">
        <w:rPr>
          <w:rFonts w:ascii="Times New Roman" w:hAnsi="Times New Roman" w:cs="Times New Roman"/>
          <w:sz w:val="18"/>
          <w:szCs w:val="18"/>
        </w:rPr>
        <w:t>ndustry</w:t>
      </w:r>
      <w:r w:rsidRPr="003A3A84">
        <w:rPr>
          <w:rFonts w:ascii="Times New Roman" w:hAnsi="Times New Roman" w:cs="Times New Roman"/>
          <w:sz w:val="18"/>
          <w:szCs w:val="18"/>
        </w:rPr>
        <w:t>,</w:t>
      </w:r>
      <w:r w:rsidR="00E97D62">
        <w:rPr>
          <w:rFonts w:ascii="Times New Roman" w:hAnsi="Times New Roman" w:cs="Times New Roman"/>
          <w:sz w:val="18"/>
          <w:szCs w:val="18"/>
        </w:rPr>
        <w:t>”</w:t>
      </w:r>
      <w:r w:rsidRPr="003A3A84">
        <w:rPr>
          <w:rFonts w:ascii="Times New Roman" w:hAnsi="Times New Roman" w:cs="Times New Roman"/>
          <w:sz w:val="18"/>
          <w:szCs w:val="18"/>
        </w:rPr>
        <w:t xml:space="preserve"> </w:t>
      </w:r>
      <w:r w:rsidR="00132022">
        <w:rPr>
          <w:rFonts w:ascii="Times New Roman" w:hAnsi="Times New Roman" w:cs="Times New Roman"/>
          <w:sz w:val="18"/>
          <w:szCs w:val="18"/>
        </w:rPr>
        <w:t>2</w:t>
      </w:r>
      <w:r w:rsidR="006875A2">
        <w:rPr>
          <w:rFonts w:ascii="Times New Roman" w:hAnsi="Times New Roman" w:cs="Times New Roman"/>
          <w:sz w:val="18"/>
          <w:szCs w:val="18"/>
        </w:rPr>
        <w:t>4</w:t>
      </w:r>
      <w:r w:rsidRPr="00801E9D" w:rsidR="00132022">
        <w:rPr>
          <w:rFonts w:ascii="Times New Roman" w:hAnsi="Times New Roman" w:cs="Times New Roman"/>
          <w:sz w:val="18"/>
          <w:szCs w:val="18"/>
          <w:vertAlign w:val="superscript"/>
        </w:rPr>
        <w:t>th</w:t>
      </w:r>
      <w:r w:rsidR="00132022">
        <w:rPr>
          <w:rFonts w:ascii="Times New Roman" w:hAnsi="Times New Roman" w:cs="Times New Roman"/>
          <w:sz w:val="18"/>
          <w:szCs w:val="18"/>
        </w:rPr>
        <w:t xml:space="preserve"> Edition</w:t>
      </w:r>
      <w:r w:rsidR="00A05C7C">
        <w:rPr>
          <w:rFonts w:ascii="Times New Roman" w:hAnsi="Times New Roman" w:cs="Times New Roman"/>
          <w:sz w:val="18"/>
          <w:szCs w:val="18"/>
        </w:rPr>
        <w:t>, March</w:t>
      </w:r>
      <w:r w:rsidR="00132022">
        <w:rPr>
          <w:rFonts w:ascii="Times New Roman" w:hAnsi="Times New Roman" w:cs="Times New Roman"/>
          <w:sz w:val="18"/>
          <w:szCs w:val="18"/>
        </w:rPr>
        <w:t xml:space="preserve"> 20</w:t>
      </w:r>
      <w:r w:rsidR="00A14D91">
        <w:rPr>
          <w:rFonts w:ascii="Times New Roman" w:hAnsi="Times New Roman" w:cs="Times New Roman"/>
          <w:sz w:val="18"/>
          <w:szCs w:val="18"/>
        </w:rPr>
        <w:t>16</w:t>
      </w:r>
      <w:r w:rsidR="00A413A9">
        <w:rPr>
          <w:rFonts w:ascii="Times New Roman" w:hAnsi="Times New Roman" w:cs="Times New Roman"/>
          <w:sz w:val="18"/>
          <w:szCs w:val="18"/>
        </w:rPr>
        <w:t xml:space="preserve">. Accessed from </w:t>
      </w:r>
      <w:hyperlink r:id="rId60" w:history="1">
        <w:r w:rsidRPr="00D26AF6" w:rsidR="000C392C">
          <w:rPr>
            <w:rStyle w:val="Hyperlink"/>
            <w:rFonts w:ascii="Times New Roman" w:hAnsi="Times New Roman" w:cs="Times New Roman"/>
            <w:sz w:val="18"/>
            <w:szCs w:val="18"/>
          </w:rPr>
          <w:t>https://www.marsh.com/uk/industries/energy-and-power/insights/100-largest-losses.html</w:t>
        </w:r>
      </w:hyperlink>
      <w:r w:rsidR="000C392C">
        <w:rPr>
          <w:rFonts w:ascii="Times New Roman" w:hAnsi="Times New Roman" w:cs="Times New Roman"/>
          <w:sz w:val="18"/>
          <w:szCs w:val="18"/>
        </w:rPr>
        <w:t xml:space="preserve">. </w:t>
      </w:r>
      <w:r w:rsidRPr="003A3A84">
        <w:rPr>
          <w:rFonts w:ascii="Times New Roman" w:hAnsi="Times New Roman" w:cs="Times New Roman"/>
          <w:sz w:val="18"/>
          <w:szCs w:val="18"/>
        </w:rPr>
        <w:t xml:space="preserve">Marsh provides estimates of </w:t>
      </w:r>
      <w:r w:rsidR="00810F32">
        <w:rPr>
          <w:rFonts w:ascii="Times New Roman" w:hAnsi="Times New Roman" w:cs="Times New Roman"/>
          <w:sz w:val="18"/>
          <w:szCs w:val="18"/>
        </w:rPr>
        <w:t xml:space="preserve">large </w:t>
      </w:r>
      <w:r w:rsidRPr="003A3A84">
        <w:rPr>
          <w:rFonts w:ascii="Times New Roman" w:hAnsi="Times New Roman" w:cs="Times New Roman"/>
          <w:sz w:val="18"/>
          <w:szCs w:val="18"/>
        </w:rPr>
        <w:t xml:space="preserve">property damage </w:t>
      </w:r>
      <w:r w:rsidR="00810F32">
        <w:rPr>
          <w:rFonts w:ascii="Times New Roman" w:hAnsi="Times New Roman" w:cs="Times New Roman"/>
          <w:sz w:val="18"/>
          <w:szCs w:val="18"/>
        </w:rPr>
        <w:t xml:space="preserve">losses </w:t>
      </w:r>
      <w:r w:rsidR="00155D6D">
        <w:rPr>
          <w:rFonts w:ascii="Times New Roman" w:hAnsi="Times New Roman" w:cs="Times New Roman"/>
          <w:sz w:val="18"/>
          <w:szCs w:val="18"/>
        </w:rPr>
        <w:t xml:space="preserve">in the hydrocarbon industry </w:t>
      </w:r>
      <w:r w:rsidRPr="003A3A84">
        <w:rPr>
          <w:rFonts w:ascii="Times New Roman" w:hAnsi="Times New Roman" w:cs="Times New Roman"/>
          <w:sz w:val="18"/>
          <w:szCs w:val="18"/>
        </w:rPr>
        <w:t>and in a few cases, business loss costs.</w:t>
      </w:r>
    </w:p>
  </w:footnote>
  <w:footnote w:id="141">
    <w:p w:rsidR="003779BC" w:rsidP="003779BC" w14:paraId="1DF5821B" w14:textId="04B99E23">
      <w:pPr>
        <w:pStyle w:val="FootnoteText"/>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Marsh</w:t>
      </w:r>
      <w:r w:rsidR="00486A14">
        <w:rPr>
          <w:rFonts w:ascii="Times New Roman" w:hAnsi="Times New Roman" w:cs="Times New Roman"/>
          <w:sz w:val="18"/>
          <w:szCs w:val="18"/>
        </w:rPr>
        <w:t xml:space="preserve"> JLT Specialty</w:t>
      </w:r>
      <w:r w:rsidRPr="003A3A84">
        <w:rPr>
          <w:rFonts w:ascii="Times New Roman" w:hAnsi="Times New Roman" w:cs="Times New Roman"/>
          <w:sz w:val="18"/>
          <w:szCs w:val="18"/>
        </w:rPr>
        <w:t xml:space="preserve">, </w:t>
      </w:r>
      <w:r w:rsidRPr="00F6612D" w:rsidR="001F4F74">
        <w:rPr>
          <w:rFonts w:ascii="Times New Roman" w:hAnsi="Times New Roman" w:cs="Times New Roman"/>
          <w:sz w:val="18"/>
          <w:szCs w:val="18"/>
        </w:rPr>
        <w:t xml:space="preserve">“The </w:t>
      </w:r>
      <w:r w:rsidRPr="003A3A84">
        <w:rPr>
          <w:rFonts w:ascii="Times New Roman" w:hAnsi="Times New Roman" w:cs="Times New Roman"/>
          <w:sz w:val="18"/>
          <w:szCs w:val="18"/>
        </w:rPr>
        <w:t>100 Largest Losses</w:t>
      </w:r>
      <w:r w:rsidR="00681C83">
        <w:rPr>
          <w:rFonts w:ascii="Times New Roman" w:hAnsi="Times New Roman" w:cs="Times New Roman"/>
          <w:sz w:val="18"/>
          <w:szCs w:val="18"/>
        </w:rPr>
        <w:t xml:space="preserve"> </w:t>
      </w:r>
      <w:r w:rsidRPr="00F6612D" w:rsidR="001F4F74">
        <w:rPr>
          <w:rFonts w:ascii="Times New Roman" w:hAnsi="Times New Roman" w:cs="Times New Roman"/>
          <w:sz w:val="18"/>
          <w:szCs w:val="18"/>
        </w:rPr>
        <w:t>1972-2001: Large</w:t>
      </w:r>
      <w:r w:rsidR="00810F32">
        <w:rPr>
          <w:rFonts w:ascii="Times New Roman" w:hAnsi="Times New Roman" w:cs="Times New Roman"/>
          <w:sz w:val="18"/>
          <w:szCs w:val="18"/>
        </w:rPr>
        <w:t xml:space="preserve"> </w:t>
      </w:r>
      <w:r w:rsidRPr="003A3A84">
        <w:rPr>
          <w:rFonts w:ascii="Times New Roman" w:hAnsi="Times New Roman" w:cs="Times New Roman"/>
          <w:sz w:val="18"/>
          <w:szCs w:val="18"/>
        </w:rPr>
        <w:t xml:space="preserve">property damage </w:t>
      </w:r>
      <w:r w:rsidR="00810F32">
        <w:rPr>
          <w:rFonts w:ascii="Times New Roman" w:hAnsi="Times New Roman" w:cs="Times New Roman"/>
          <w:sz w:val="18"/>
          <w:szCs w:val="18"/>
        </w:rPr>
        <w:t xml:space="preserve">losses </w:t>
      </w:r>
      <w:r w:rsidR="00155D6D">
        <w:rPr>
          <w:rFonts w:ascii="Times New Roman" w:hAnsi="Times New Roman" w:cs="Times New Roman"/>
          <w:sz w:val="18"/>
          <w:szCs w:val="18"/>
        </w:rPr>
        <w:t>in the hydrocarbon</w:t>
      </w:r>
      <w:r w:rsidRPr="00F6612D" w:rsidR="001F4F74">
        <w:rPr>
          <w:rFonts w:ascii="Times New Roman" w:hAnsi="Times New Roman" w:cs="Times New Roman"/>
          <w:sz w:val="18"/>
          <w:szCs w:val="18"/>
        </w:rPr>
        <w:t xml:space="preserve">-chemical industries,” 20th Edition, February 2003. Accessed from </w:t>
      </w:r>
      <w:hyperlink r:id="rId61" w:history="1">
        <w:r w:rsidRPr="00776D6F" w:rsidR="00776D6F">
          <w:rPr>
            <w:rStyle w:val="Hyperlink"/>
            <w:rFonts w:ascii="Times New Roman" w:hAnsi="Times New Roman" w:cs="Times New Roman"/>
            <w:sz w:val="18"/>
            <w:szCs w:val="18"/>
          </w:rPr>
          <w:t>https://enatech.jrc.ec.europa.eu/download/attachment/123</w:t>
        </w:r>
      </w:hyperlink>
      <w:r w:rsidRPr="003A3A84">
        <w:rPr>
          <w:rFonts w:ascii="Times New Roman" w:hAnsi="Times New Roman" w:cs="Times New Roman"/>
          <w:sz w:val="18"/>
          <w:szCs w:val="18"/>
        </w:rPr>
        <w:t>.</w:t>
      </w:r>
    </w:p>
  </w:footnote>
  <w:footnote w:id="142">
    <w:p w:rsidR="00E91F27" w:rsidRPr="003C51AD" w14:paraId="2FBB9FD0" w14:textId="77777777">
      <w:pPr>
        <w:pStyle w:val="FootnoteText"/>
        <w:rPr>
          <w:rFonts w:ascii="Times New Roman" w:hAnsi="Times New Roman" w:cs="Times New Roman"/>
          <w:sz w:val="18"/>
          <w:szCs w:val="18"/>
        </w:rPr>
      </w:pPr>
      <w:r w:rsidRPr="003C51AD">
        <w:rPr>
          <w:rStyle w:val="FootnoteReference"/>
          <w:rFonts w:ascii="Times New Roman" w:hAnsi="Times New Roman" w:cs="Times New Roman"/>
          <w:sz w:val="18"/>
          <w:szCs w:val="18"/>
        </w:rPr>
        <w:footnoteRef/>
      </w:r>
      <w:r w:rsidRPr="003C51AD">
        <w:rPr>
          <w:rFonts w:ascii="Times New Roman" w:hAnsi="Times New Roman" w:cs="Times New Roman"/>
          <w:sz w:val="18"/>
          <w:szCs w:val="18"/>
        </w:rPr>
        <w:t xml:space="preserve"> RAND, Cost-Benefit Analysis of </w:t>
      </w:r>
      <w:r w:rsidRPr="003C51AD" w:rsidR="00D32ADF">
        <w:rPr>
          <w:rFonts w:ascii="Times New Roman" w:hAnsi="Times New Roman" w:cs="Times New Roman"/>
          <w:sz w:val="18"/>
          <w:szCs w:val="18"/>
        </w:rPr>
        <w:t>Propose</w:t>
      </w:r>
      <w:r w:rsidRPr="003C51AD">
        <w:rPr>
          <w:rFonts w:ascii="Times New Roman" w:hAnsi="Times New Roman" w:cs="Times New Roman"/>
          <w:sz w:val="18"/>
          <w:szCs w:val="18"/>
        </w:rPr>
        <w:t xml:space="preserve">d California Oil and Gas Refinery Regulations. </w:t>
      </w:r>
      <w:hyperlink r:id="rId62" w:history="1">
        <w:r w:rsidRPr="008530DF" w:rsidR="001266A0">
          <w:rPr>
            <w:rStyle w:val="Hyperlink"/>
            <w:rFonts w:ascii="Times New Roman" w:hAnsi="Times New Roman" w:cs="Times New Roman"/>
            <w:sz w:val="18"/>
            <w:szCs w:val="18"/>
          </w:rPr>
          <w:t>https://www.rand.org/content/dam/rand/pubs/research_reports/RR1400/RR1421/RAND_RR1421.pdf</w:t>
        </w:r>
      </w:hyperlink>
      <w:r w:rsidR="001266A0">
        <w:rPr>
          <w:rFonts w:ascii="Times New Roman" w:hAnsi="Times New Roman" w:cs="Times New Roman"/>
          <w:sz w:val="18"/>
          <w:szCs w:val="18"/>
        </w:rPr>
        <w:t xml:space="preserve"> </w:t>
      </w:r>
      <w:r w:rsidRPr="003C51AD" w:rsidR="00AE3FE2">
        <w:rPr>
          <w:rFonts w:ascii="Times New Roman" w:hAnsi="Times New Roman" w:cs="Times New Roman"/>
          <w:sz w:val="18"/>
          <w:szCs w:val="18"/>
        </w:rPr>
        <w:t>.</w:t>
      </w:r>
    </w:p>
  </w:footnote>
  <w:footnote w:id="143">
    <w:p w:rsidR="00E91F27" w:rsidRPr="003C51AD" w14:paraId="4BEEB359" w14:textId="77777777">
      <w:pPr>
        <w:pStyle w:val="FootnoteText"/>
        <w:rPr>
          <w:rFonts w:ascii="Times New Roman" w:hAnsi="Times New Roman" w:cs="Times New Roman"/>
          <w:sz w:val="18"/>
          <w:szCs w:val="18"/>
        </w:rPr>
      </w:pPr>
      <w:r w:rsidRPr="003C51AD">
        <w:rPr>
          <w:rStyle w:val="FootnoteReference"/>
          <w:rFonts w:ascii="Times New Roman" w:hAnsi="Times New Roman" w:cs="Times New Roman"/>
          <w:sz w:val="18"/>
          <w:szCs w:val="18"/>
        </w:rPr>
        <w:footnoteRef/>
      </w:r>
      <w:r w:rsidRPr="003C51AD">
        <w:rPr>
          <w:rFonts w:ascii="Times New Roman" w:hAnsi="Times New Roman" w:cs="Times New Roman"/>
          <w:sz w:val="18"/>
          <w:szCs w:val="18"/>
        </w:rPr>
        <w:t xml:space="preserve"> </w:t>
      </w:r>
      <w:hyperlink r:id="rId63" w:history="1">
        <w:r w:rsidRPr="008530DF" w:rsidR="001266A0">
          <w:rPr>
            <w:rStyle w:val="Hyperlink"/>
            <w:rFonts w:ascii="Times New Roman" w:hAnsi="Times New Roman" w:cs="Times New Roman"/>
            <w:sz w:val="18"/>
            <w:szCs w:val="18"/>
          </w:rPr>
          <w:t>http://www.nytimes.com/1989/10/25/us/reverberations-for-industries-but-not-for-us-households.html</w:t>
        </w:r>
      </w:hyperlink>
      <w:r w:rsidR="001266A0">
        <w:rPr>
          <w:rFonts w:ascii="Times New Roman" w:hAnsi="Times New Roman" w:cs="Times New Roman"/>
          <w:sz w:val="18"/>
          <w:szCs w:val="18"/>
        </w:rPr>
        <w:t xml:space="preserve"> </w:t>
      </w:r>
      <w:r w:rsidRPr="003C51AD" w:rsidR="00AB5421">
        <w:rPr>
          <w:rFonts w:ascii="Times New Roman" w:hAnsi="Times New Roman" w:cs="Times New Roman"/>
          <w:sz w:val="18"/>
          <w:szCs w:val="18"/>
        </w:rPr>
        <w:t>.</w:t>
      </w:r>
    </w:p>
  </w:footnote>
  <w:footnote w:id="144">
    <w:p w:rsidR="00134BFC" w:rsidRPr="003C51AD" w14:paraId="1F632D6F" w14:textId="087B05CF">
      <w:pPr>
        <w:pStyle w:val="FootnoteText"/>
        <w:rPr>
          <w:rFonts w:ascii="Times New Roman" w:hAnsi="Times New Roman" w:cs="Times New Roman"/>
          <w:sz w:val="18"/>
          <w:szCs w:val="18"/>
        </w:rPr>
      </w:pPr>
      <w:r w:rsidRPr="003C51AD">
        <w:rPr>
          <w:rStyle w:val="FootnoteReference"/>
          <w:rFonts w:ascii="Times New Roman" w:hAnsi="Times New Roman" w:cs="Times New Roman"/>
          <w:sz w:val="18"/>
          <w:szCs w:val="18"/>
        </w:rPr>
        <w:footnoteRef/>
      </w:r>
      <w:r w:rsidRPr="003C51AD">
        <w:rPr>
          <w:rFonts w:ascii="Times New Roman" w:hAnsi="Times New Roman" w:cs="Times New Roman"/>
          <w:sz w:val="18"/>
          <w:szCs w:val="18"/>
        </w:rPr>
        <w:t xml:space="preserve"> </w:t>
      </w:r>
      <w:r w:rsidRPr="00F432CA">
        <w:rPr>
          <w:rFonts w:ascii="Times New Roman" w:hAnsi="Times New Roman" w:cs="Times New Roman"/>
          <w:sz w:val="18"/>
          <w:szCs w:val="18"/>
        </w:rPr>
        <w:t>See Marsh</w:t>
      </w:r>
      <w:r w:rsidRPr="00F432CA" w:rsidR="00D82CC3">
        <w:rPr>
          <w:rFonts w:ascii="Times New Roman" w:hAnsi="Times New Roman" w:cs="Times New Roman"/>
          <w:sz w:val="18"/>
          <w:szCs w:val="18"/>
        </w:rPr>
        <w:t xml:space="preserve"> (2022)</w:t>
      </w:r>
      <w:r w:rsidRPr="00F432CA">
        <w:rPr>
          <w:rFonts w:ascii="Times New Roman" w:hAnsi="Times New Roman" w:cs="Times New Roman"/>
          <w:sz w:val="18"/>
          <w:szCs w:val="18"/>
        </w:rPr>
        <w:t xml:space="preserve">, </w:t>
      </w:r>
      <w:r w:rsidRPr="00F432CA" w:rsidR="0088418C">
        <w:rPr>
          <w:rFonts w:ascii="Times New Roman" w:hAnsi="Times New Roman" w:cs="Times New Roman"/>
          <w:sz w:val="18"/>
          <w:szCs w:val="18"/>
        </w:rPr>
        <w:t>March</w:t>
      </w:r>
      <w:r w:rsidR="0088418C">
        <w:rPr>
          <w:rFonts w:ascii="Times New Roman" w:hAnsi="Times New Roman" w:cs="Times New Roman"/>
          <w:sz w:val="18"/>
          <w:szCs w:val="18"/>
        </w:rPr>
        <w:t xml:space="preserve"> 25,</w:t>
      </w:r>
      <w:r w:rsidRPr="003C51AD">
        <w:rPr>
          <w:rFonts w:ascii="Times New Roman" w:hAnsi="Times New Roman" w:cs="Times New Roman"/>
          <w:sz w:val="18"/>
          <w:szCs w:val="18"/>
        </w:rPr>
        <w:t>1999 Richmond, CA explosion.</w:t>
      </w:r>
    </w:p>
  </w:footnote>
  <w:footnote w:id="145">
    <w:p w:rsidR="000F1BBF" w:rsidRPr="00AE3FE2" w14:paraId="3AD2B578" w14:textId="26BEECF4">
      <w:pPr>
        <w:pStyle w:val="FootnoteText"/>
        <w:rPr>
          <w:rFonts w:ascii="Times New Roman" w:hAnsi="Times New Roman" w:cs="Times New Roman"/>
        </w:rPr>
      </w:pPr>
      <w:r w:rsidRPr="003C51AD">
        <w:rPr>
          <w:rStyle w:val="FootnoteReference"/>
          <w:rFonts w:ascii="Times New Roman" w:hAnsi="Times New Roman" w:cs="Times New Roman"/>
          <w:sz w:val="18"/>
          <w:szCs w:val="18"/>
        </w:rPr>
        <w:footnoteRef/>
      </w:r>
      <w:r w:rsidRPr="003C51AD">
        <w:rPr>
          <w:rFonts w:ascii="Times New Roman" w:hAnsi="Times New Roman" w:cs="Times New Roman"/>
          <w:sz w:val="18"/>
          <w:szCs w:val="18"/>
        </w:rPr>
        <w:t xml:space="preserve"> See </w:t>
      </w:r>
      <w:r w:rsidRPr="00F432CA">
        <w:rPr>
          <w:rFonts w:ascii="Times New Roman" w:hAnsi="Times New Roman" w:cs="Times New Roman"/>
          <w:sz w:val="18"/>
          <w:szCs w:val="18"/>
        </w:rPr>
        <w:t>Marsh</w:t>
      </w:r>
      <w:r w:rsidRPr="00F432CA" w:rsidR="00710CE5">
        <w:rPr>
          <w:rFonts w:ascii="Times New Roman" w:hAnsi="Times New Roman" w:cs="Times New Roman"/>
          <w:sz w:val="18"/>
          <w:szCs w:val="18"/>
        </w:rPr>
        <w:t xml:space="preserve"> (2022)</w:t>
      </w:r>
      <w:r w:rsidRPr="00F432CA">
        <w:rPr>
          <w:rFonts w:ascii="Times New Roman" w:hAnsi="Times New Roman" w:cs="Times New Roman"/>
          <w:sz w:val="18"/>
          <w:szCs w:val="18"/>
        </w:rPr>
        <w:t>, Shell</w:t>
      </w:r>
      <w:r w:rsidRPr="003C51AD">
        <w:rPr>
          <w:rFonts w:ascii="Times New Roman" w:hAnsi="Times New Roman" w:cs="Times New Roman"/>
          <w:sz w:val="18"/>
          <w:szCs w:val="18"/>
        </w:rPr>
        <w:t xml:space="preserve"> Norco explosion.</w:t>
      </w:r>
    </w:p>
  </w:footnote>
  <w:footnote w:id="146">
    <w:p w:rsidR="00DB158E" w:rsidRPr="00CC0E55" w:rsidP="00DB158E" w14:paraId="408894A3" w14:textId="77777777">
      <w:pPr>
        <w:pStyle w:val="FootnoteText"/>
        <w:rPr>
          <w:rFonts w:ascii="Times New Roman" w:hAnsi="Times New Roman" w:cs="Times New Roman"/>
          <w:sz w:val="18"/>
          <w:szCs w:val="18"/>
        </w:rPr>
      </w:pPr>
      <w:r>
        <w:rPr>
          <w:rStyle w:val="FootnoteReference"/>
        </w:rPr>
        <w:footnoteRef/>
      </w:r>
      <w:r>
        <w:t xml:space="preserve"> </w:t>
      </w:r>
      <w:r w:rsidRPr="00CC0E55">
        <w:rPr>
          <w:rFonts w:ascii="Times New Roman" w:hAnsi="Times New Roman" w:cs="Times New Roman"/>
          <w:sz w:val="18"/>
          <w:szCs w:val="18"/>
        </w:rPr>
        <w:t xml:space="preserve">Guignet, Dennis, Robin R. Jenkins, James Belke, and Henry Mason. 2023b. The property value impacts of industrial chemical accidents. </w:t>
      </w:r>
      <w:r w:rsidRPr="00CC0E55">
        <w:rPr>
          <w:rFonts w:ascii="Times New Roman" w:hAnsi="Times New Roman" w:cs="Times New Roman"/>
          <w:i/>
          <w:iCs/>
          <w:sz w:val="18"/>
          <w:szCs w:val="18"/>
        </w:rPr>
        <w:t>Journal of Environmental Economics and Management</w:t>
      </w:r>
      <w:r w:rsidRPr="00CC0E55">
        <w:rPr>
          <w:rFonts w:ascii="Times New Roman" w:hAnsi="Times New Roman" w:cs="Times New Roman"/>
          <w:sz w:val="18"/>
          <w:szCs w:val="18"/>
        </w:rPr>
        <w:t>. 120 (2023) 102839.</w:t>
      </w:r>
    </w:p>
  </w:footnote>
  <w:footnote w:id="147">
    <w:p w:rsidR="00DB158E" w:rsidRPr="00CC0E55" w:rsidP="00DB158E" w14:paraId="52BAF519" w14:textId="77777777">
      <w:pPr>
        <w:pStyle w:val="FootnoteText"/>
        <w:rPr>
          <w:rFonts w:ascii="Times New Roman" w:hAnsi="Times New Roman" w:cs="Times New Roman"/>
          <w:sz w:val="18"/>
          <w:szCs w:val="18"/>
        </w:rPr>
      </w:pPr>
      <w:r w:rsidRPr="00CC0E55">
        <w:rPr>
          <w:rStyle w:val="FootnoteReference"/>
          <w:rFonts w:ascii="Times New Roman" w:hAnsi="Times New Roman" w:cs="Times New Roman"/>
          <w:sz w:val="18"/>
          <w:szCs w:val="18"/>
        </w:rPr>
        <w:footnoteRef/>
      </w:r>
      <w:r w:rsidRPr="00CC0E55">
        <w:rPr>
          <w:rFonts w:ascii="Times New Roman" w:hAnsi="Times New Roman" w:cs="Times New Roman"/>
          <w:sz w:val="18"/>
          <w:szCs w:val="18"/>
        </w:rPr>
        <w:t xml:space="preserve"> Guignet, Dennis, Robin R. Jenkins, Christoph Nolte, and James Belke. 2023a. The External Costs of industrial Chemical Accidents: A Nationwide Property Value Study. </w:t>
      </w:r>
      <w:r w:rsidRPr="00CC0E55">
        <w:rPr>
          <w:rFonts w:ascii="Times New Roman" w:hAnsi="Times New Roman" w:cs="Times New Roman"/>
          <w:i/>
          <w:iCs/>
          <w:sz w:val="18"/>
          <w:szCs w:val="18"/>
        </w:rPr>
        <w:t>Journal of Housing Economics</w:t>
      </w:r>
      <w:r w:rsidRPr="00CC0E55">
        <w:rPr>
          <w:rFonts w:ascii="Times New Roman" w:hAnsi="Times New Roman" w:cs="Times New Roman"/>
          <w:sz w:val="18"/>
          <w:szCs w:val="18"/>
        </w:rPr>
        <w:t xml:space="preserve">. 62 (2023) 101954. </w:t>
      </w:r>
    </w:p>
  </w:footnote>
  <w:footnote w:id="148">
    <w:p w:rsidR="00DB158E" w:rsidRPr="00CC0E55" w:rsidP="00DB158E" w14:paraId="6959AFA6" w14:textId="77777777">
      <w:pPr>
        <w:pStyle w:val="FootnoteText"/>
        <w:rPr>
          <w:rFonts w:ascii="Times New Roman" w:hAnsi="Times New Roman" w:cs="Times New Roman"/>
          <w:sz w:val="18"/>
          <w:szCs w:val="18"/>
        </w:rPr>
      </w:pPr>
      <w:r w:rsidRPr="00CC0E55">
        <w:rPr>
          <w:rStyle w:val="FootnoteReference"/>
          <w:rFonts w:ascii="Times New Roman" w:hAnsi="Times New Roman" w:cs="Times New Roman"/>
          <w:sz w:val="18"/>
          <w:szCs w:val="18"/>
        </w:rPr>
        <w:footnoteRef/>
      </w:r>
      <w:r w:rsidRPr="00CC0E55">
        <w:rPr>
          <w:rFonts w:ascii="Times New Roman" w:hAnsi="Times New Roman" w:cs="Times New Roman"/>
          <w:sz w:val="18"/>
          <w:szCs w:val="18"/>
        </w:rPr>
        <w:t xml:space="preserve">For a review of papers that have estimated the impacts of hazardous industrial facilities on property values, see Grislain-Letrémy, C. and A. Katossky 2014. The impact of hazardous industrial facilities on housing prices: A comparison of parametric and semiparametric hedonic price models. </w:t>
      </w:r>
      <w:r w:rsidRPr="00CC0E55">
        <w:rPr>
          <w:rFonts w:ascii="Times New Roman" w:hAnsi="Times New Roman" w:cs="Times New Roman"/>
          <w:i/>
          <w:iCs/>
          <w:sz w:val="18"/>
          <w:szCs w:val="18"/>
        </w:rPr>
        <w:t>Regional Science and Urban Economics</w:t>
      </w:r>
      <w:r w:rsidRPr="00CC0E55">
        <w:rPr>
          <w:rFonts w:ascii="Times New Roman" w:hAnsi="Times New Roman" w:cs="Times New Roman"/>
          <w:sz w:val="18"/>
          <w:szCs w:val="18"/>
        </w:rPr>
        <w:t xml:space="preserve"> 49: 93-107 for a review of the literature. (Their Appendix A.1 summarizes findings.)</w:t>
      </w:r>
    </w:p>
  </w:footnote>
  <w:footnote w:id="149">
    <w:p w:rsidR="00DB158E" w:rsidRPr="00CC0E55" w:rsidP="00DB158E" w14:paraId="30B45EE7" w14:textId="77777777">
      <w:pPr>
        <w:pStyle w:val="FootnoteText"/>
        <w:rPr>
          <w:rFonts w:ascii="Times New Roman" w:hAnsi="Times New Roman" w:cs="Times New Roman"/>
          <w:sz w:val="18"/>
          <w:szCs w:val="18"/>
        </w:rPr>
      </w:pPr>
      <w:r w:rsidRPr="00CC0E55">
        <w:rPr>
          <w:rStyle w:val="FootnoteReference"/>
          <w:rFonts w:ascii="Times New Roman" w:hAnsi="Times New Roman" w:cs="Times New Roman"/>
          <w:sz w:val="18"/>
          <w:szCs w:val="18"/>
        </w:rPr>
        <w:footnoteRef/>
      </w:r>
      <w:r w:rsidRPr="00CC0E55">
        <w:rPr>
          <w:rFonts w:ascii="Times New Roman" w:hAnsi="Times New Roman" w:cs="Times New Roman"/>
          <w:sz w:val="18"/>
          <w:szCs w:val="18"/>
        </w:rPr>
        <w:t xml:space="preserve"> Carroll, T.M., Clauretie, T.M., Jensen, J. and Waddoups, M. September 1996. The Economic Impact of a Transient Hazard on Property Values: The 1988 PEPCON Explosion in Henderson, Nevada. </w:t>
      </w:r>
      <w:r w:rsidRPr="00CC0E55">
        <w:rPr>
          <w:rFonts w:ascii="Times New Roman" w:hAnsi="Times New Roman" w:cs="Times New Roman"/>
          <w:i/>
          <w:iCs/>
          <w:sz w:val="18"/>
          <w:szCs w:val="18"/>
        </w:rPr>
        <w:t>The Journal of Real Estate Finance and Economics,</w:t>
      </w:r>
      <w:r w:rsidRPr="00CC0E55">
        <w:rPr>
          <w:rFonts w:ascii="Times New Roman" w:hAnsi="Times New Roman" w:cs="Times New Roman"/>
          <w:sz w:val="18"/>
          <w:szCs w:val="18"/>
        </w:rPr>
        <w:t xml:space="preserve"> Volume 13, Issue 2, pp 143-167.</w:t>
      </w:r>
    </w:p>
  </w:footnote>
  <w:footnote w:id="150">
    <w:p w:rsidR="00DB158E" w:rsidRPr="002D7C06" w:rsidP="00DB158E" w14:paraId="12A99777" w14:textId="77777777">
      <w:pPr>
        <w:pStyle w:val="FootnoteText"/>
        <w:rPr>
          <w:rFonts w:ascii="Times New Roman" w:hAnsi="Times New Roman" w:cs="Times New Roman"/>
          <w:sz w:val="18"/>
          <w:szCs w:val="18"/>
        </w:rPr>
      </w:pPr>
      <w:r w:rsidRPr="002D7C06">
        <w:rPr>
          <w:rStyle w:val="FootnoteReference"/>
          <w:rFonts w:ascii="Times New Roman" w:hAnsi="Times New Roman" w:cs="Times New Roman"/>
          <w:sz w:val="18"/>
          <w:szCs w:val="18"/>
        </w:rPr>
        <w:footnoteRef/>
      </w:r>
      <w:r w:rsidRPr="002D7C06">
        <w:rPr>
          <w:rFonts w:ascii="Times New Roman" w:hAnsi="Times New Roman" w:cs="Times New Roman"/>
          <w:sz w:val="18"/>
          <w:szCs w:val="18"/>
        </w:rPr>
        <w:t xml:space="preserve"> An important difference between a pipeline and a chemical facility is that pipelines may not be as noticeable. Pipeline accidents may increase awareness of baseline risks as well as change perceptions of post-accident risks.</w:t>
      </w:r>
    </w:p>
  </w:footnote>
  <w:footnote w:id="151">
    <w:p w:rsidR="00DB158E" w:rsidRPr="002D7C06" w:rsidP="00DB158E" w14:paraId="0F247804" w14:textId="77777777">
      <w:pPr>
        <w:spacing w:after="0" w:line="240" w:lineRule="auto"/>
        <w:rPr>
          <w:rFonts w:ascii="Times New Roman" w:hAnsi="Times New Roman" w:cs="Times New Roman"/>
          <w:sz w:val="18"/>
          <w:szCs w:val="18"/>
        </w:rPr>
      </w:pPr>
      <w:r w:rsidRPr="002D7C06">
        <w:rPr>
          <w:rStyle w:val="FootnoteReference"/>
          <w:rFonts w:ascii="Times New Roman" w:hAnsi="Times New Roman" w:cs="Times New Roman"/>
          <w:sz w:val="18"/>
          <w:szCs w:val="18"/>
        </w:rPr>
        <w:footnoteRef/>
      </w:r>
      <w:r w:rsidRPr="002D7C06">
        <w:rPr>
          <w:rFonts w:ascii="Times New Roman" w:hAnsi="Times New Roman" w:cs="Times New Roman"/>
          <w:sz w:val="18"/>
          <w:szCs w:val="18"/>
        </w:rPr>
        <w:t xml:space="preserve"> Cheng, N., Li, M., Liu, P., Luo, Q., Tang, C., Zhang, W., 2022. Pipeline Incidents and Property Values: A Nationwide Hedonic Analysis. Social Science Research Network. May. Available at. </w:t>
      </w:r>
      <w:hyperlink r:id="rId64" w:history="1">
        <w:r w:rsidRPr="00D26AF6" w:rsidR="002D2D0D">
          <w:rPr>
            <w:rStyle w:val="Hyperlink"/>
            <w:rFonts w:ascii="Times New Roman" w:hAnsi="Times New Roman" w:cs="Times New Roman"/>
            <w:sz w:val="18"/>
            <w:szCs w:val="18"/>
          </w:rPr>
          <w:t>https://papers.ssrn.com/sol3/papers.cfm?abstract_id=4116305</w:t>
        </w:r>
      </w:hyperlink>
      <w:r w:rsidR="002D2D0D">
        <w:rPr>
          <w:rFonts w:ascii="Times New Roman" w:hAnsi="Times New Roman" w:cs="Times New Roman"/>
          <w:sz w:val="18"/>
          <w:szCs w:val="18"/>
        </w:rPr>
        <w:t xml:space="preserve">. </w:t>
      </w:r>
    </w:p>
  </w:footnote>
  <w:footnote w:id="152">
    <w:p w:rsidR="00DB158E" w:rsidRPr="002D7C06" w:rsidP="00DB158E" w14:paraId="051CE562" w14:textId="77777777">
      <w:pPr>
        <w:pStyle w:val="FootnoteText"/>
        <w:rPr>
          <w:rFonts w:ascii="Times New Roman" w:hAnsi="Times New Roman" w:cs="Times New Roman"/>
          <w:sz w:val="18"/>
          <w:szCs w:val="18"/>
        </w:rPr>
      </w:pPr>
      <w:r w:rsidRPr="002D7C06">
        <w:rPr>
          <w:rStyle w:val="FootnoteReference"/>
          <w:rFonts w:ascii="Times New Roman" w:hAnsi="Times New Roman" w:cs="Times New Roman"/>
          <w:sz w:val="18"/>
          <w:szCs w:val="18"/>
        </w:rPr>
        <w:footnoteRef/>
      </w:r>
      <w:r w:rsidRPr="002D7C06">
        <w:rPr>
          <w:rFonts w:ascii="Times New Roman" w:hAnsi="Times New Roman" w:cs="Times New Roman"/>
          <w:sz w:val="18"/>
          <w:szCs w:val="18"/>
        </w:rPr>
        <w:t xml:space="preserve"> Hansen, J. L., E. D. Benson and D. A. Hagen. 2006. Environmental Hazards and Residential Property Values: Evidence from a Major Pipeline Event. </w:t>
      </w:r>
      <w:r w:rsidRPr="002D7C06">
        <w:rPr>
          <w:rFonts w:ascii="Times New Roman" w:hAnsi="Times New Roman" w:cs="Times New Roman"/>
          <w:i/>
          <w:iCs/>
          <w:sz w:val="18"/>
          <w:szCs w:val="18"/>
        </w:rPr>
        <w:t>Land Economics</w:t>
      </w:r>
      <w:r w:rsidRPr="002D7C06">
        <w:rPr>
          <w:rFonts w:ascii="Times New Roman" w:hAnsi="Times New Roman" w:cs="Times New Roman"/>
          <w:sz w:val="18"/>
          <w:szCs w:val="18"/>
        </w:rPr>
        <w:t xml:space="preserve"> 82(4): 529-541.</w:t>
      </w:r>
    </w:p>
  </w:footnote>
  <w:footnote w:id="153">
    <w:p w:rsidR="0075405F" w:rsidRPr="003A3A84" w:rsidP="0075405F" w14:paraId="40988F5B"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Average daily rate (ADR) of a hotel stay was $154.32 </w:t>
      </w:r>
      <w:hyperlink r:id="rId65" w:history="1">
        <w:r w:rsidRPr="003A3A84">
          <w:rPr>
            <w:rStyle w:val="Hyperlink"/>
            <w:rFonts w:ascii="Times New Roman" w:hAnsi="Times New Roman" w:cs="Times New Roman"/>
            <w:sz w:val="18"/>
            <w:szCs w:val="18"/>
          </w:rPr>
          <w:t>https://www.costar.com/article/78750475/str-us-hotel-rate-revenue-per-available-room-improve-in-september</w:t>
        </w:r>
      </w:hyperlink>
      <w:r w:rsidRPr="003A3A84">
        <w:rPr>
          <w:rStyle w:val="Hyperlink"/>
          <w:rFonts w:ascii="Times New Roman" w:hAnsi="Times New Roman" w:cs="Times New Roman"/>
          <w:sz w:val="18"/>
          <w:szCs w:val="18"/>
        </w:rPr>
        <w:t>.</w:t>
      </w:r>
      <w:r w:rsidRPr="003A3A84">
        <w:rPr>
          <w:rFonts w:ascii="Times New Roman" w:hAnsi="Times New Roman" w:cs="Times New Roman"/>
          <w:sz w:val="18"/>
          <w:szCs w:val="18"/>
        </w:rPr>
        <w:t xml:space="preserve"> </w:t>
      </w:r>
    </w:p>
  </w:footnote>
  <w:footnote w:id="154">
    <w:p w:rsidR="0075405F" w:rsidRPr="003A3A84" w:rsidP="0075405F" w14:paraId="37C07D16"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Bonanno, G. A., Brewin, C. R., Kaniasty, K., &amp; Greca, A. M. L. (2010). Weighing the Costs of Disaster: Consequences, Risks, and Resilience in Individuals, Families, and Communities. Psychological Science in the Public Interest, 11(1), 1–49. </w:t>
      </w:r>
      <w:hyperlink r:id="rId66" w:history="1">
        <w:r w:rsidRPr="003A3A84">
          <w:rPr>
            <w:rStyle w:val="Hyperlink"/>
            <w:rFonts w:ascii="Times New Roman" w:hAnsi="Times New Roman" w:cs="Times New Roman"/>
            <w:sz w:val="18"/>
            <w:szCs w:val="18"/>
          </w:rPr>
          <w:t>https://doi.org/10.1177/1529100610387086</w:t>
        </w:r>
      </w:hyperlink>
      <w:r w:rsidRPr="003A3A84">
        <w:rPr>
          <w:rFonts w:ascii="Times New Roman" w:hAnsi="Times New Roman" w:cs="Times New Roman"/>
          <w:sz w:val="18"/>
          <w:szCs w:val="18"/>
        </w:rPr>
        <w:t xml:space="preserve"> </w:t>
      </w:r>
      <w:hyperlink r:id="rId67" w:history="1">
        <w:r w:rsidRPr="003A3A84">
          <w:rPr>
            <w:rStyle w:val="Hyperlink"/>
            <w:rFonts w:ascii="Times New Roman" w:hAnsi="Times New Roman" w:cs="Times New Roman"/>
            <w:sz w:val="18"/>
            <w:szCs w:val="18"/>
          </w:rPr>
          <w:t>https://journals.sagepub.com/doi/10.1177/1529100610387086</w:t>
        </w:r>
      </w:hyperlink>
      <w:r w:rsidRPr="003A3A84">
        <w:rPr>
          <w:rStyle w:val="Hyperlink"/>
          <w:rFonts w:ascii="Times New Roman" w:hAnsi="Times New Roman" w:cs="Times New Roman"/>
          <w:sz w:val="18"/>
          <w:szCs w:val="18"/>
        </w:rPr>
        <w:t>.</w:t>
      </w:r>
      <w:r w:rsidRPr="003A3A84">
        <w:rPr>
          <w:rFonts w:ascii="Times New Roman" w:hAnsi="Times New Roman" w:cs="Times New Roman"/>
          <w:sz w:val="18"/>
          <w:szCs w:val="18"/>
        </w:rPr>
        <w:t xml:space="preserve"> </w:t>
      </w:r>
    </w:p>
  </w:footnote>
  <w:footnote w:id="155">
    <w:p w:rsidR="0075405F" w:rsidRPr="003A3A84" w:rsidP="0075405F" w14:paraId="6E8B8576"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Carlson, D et al. Monetizing Bowser: A Contingent Valuation of the Statistical Value of Dog Life. (2019). </w:t>
      </w:r>
      <w:r w:rsidRPr="003A3A84">
        <w:rPr>
          <w:rFonts w:ascii="Times New Roman" w:hAnsi="Times New Roman" w:cs="Times New Roman"/>
          <w:i/>
          <w:sz w:val="18"/>
          <w:szCs w:val="18"/>
        </w:rPr>
        <w:t xml:space="preserve">Journal of Benefit-Cost Analysis, </w:t>
      </w:r>
      <w:r w:rsidRPr="003A3A84">
        <w:rPr>
          <w:rFonts w:ascii="Times New Roman" w:hAnsi="Times New Roman" w:cs="Times New Roman"/>
          <w:sz w:val="18"/>
          <w:szCs w:val="18"/>
        </w:rPr>
        <w:t xml:space="preserve">11(1), 131-149. doi:10.1017/bca.2019.33 </w:t>
      </w:r>
      <w:hyperlink r:id="rId68" w:history="1">
        <w:r w:rsidRPr="003A3A84">
          <w:rPr>
            <w:rStyle w:val="Hyperlink"/>
            <w:rFonts w:ascii="Times New Roman" w:hAnsi="Times New Roman" w:cs="Times New Roman"/>
            <w:sz w:val="18"/>
            <w:szCs w:val="18"/>
          </w:rPr>
          <w:t>https://www.cambridge.org/core/journals/journal-of-benefit-cost-analysis/article/monetizing-bowser-a-contingent-valuation-of-the-statistical-value-of-dog-life/86EB120F86F7376DC366F6578C8CFEF1</w:t>
        </w:r>
      </w:hyperlink>
      <w:r w:rsidRPr="003A3A84">
        <w:rPr>
          <w:rStyle w:val="Hyperlink"/>
          <w:rFonts w:ascii="Times New Roman" w:hAnsi="Times New Roman" w:cs="Times New Roman"/>
          <w:sz w:val="18"/>
          <w:szCs w:val="18"/>
        </w:rPr>
        <w:t>.</w:t>
      </w:r>
      <w:r w:rsidRPr="003A3A84">
        <w:rPr>
          <w:rFonts w:ascii="Times New Roman" w:hAnsi="Times New Roman" w:cs="Times New Roman"/>
          <w:sz w:val="18"/>
          <w:szCs w:val="18"/>
        </w:rPr>
        <w:t xml:space="preserve"> </w:t>
      </w:r>
    </w:p>
  </w:footnote>
  <w:footnote w:id="156">
    <w:p w:rsidR="0075405F" w:rsidRPr="009B5DD6" w:rsidP="0075405F" w14:paraId="798C0337" w14:textId="77777777">
      <w:pPr>
        <w:pStyle w:val="FootnoteText"/>
        <w:rPr>
          <w:rFonts w:ascii="Times New Roman" w:hAnsi="Times New Roman" w:cs="Times New Roman"/>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$650,000 per month in Flint, Michigan https://www.freep.com/story/news/local/michigan/flint-water-crisis/2018/04/06/flint-water-bottled-drinking/493954002/.</w:t>
      </w:r>
    </w:p>
  </w:footnote>
  <w:footnote w:id="157">
    <w:p w:rsidR="0075405F" w:rsidRPr="003A3A84" w:rsidP="0075405F" w14:paraId="0B643EDC"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Jakus, Paul &amp; Shaw, William &amp; Nguyen, To &amp; Walker, Mark. (2009). Risk Perceptions of Arsenic in Tap Water and Consumption of Bottled Water. Water Resources Research. 45. 10.1029/2008WR007427. </w:t>
      </w:r>
      <w:hyperlink r:id="rId69" w:history="1">
        <w:r w:rsidRPr="003A3A84">
          <w:rPr>
            <w:rStyle w:val="Hyperlink"/>
            <w:rFonts w:ascii="Times New Roman" w:hAnsi="Times New Roman" w:cs="Times New Roman"/>
            <w:sz w:val="18"/>
            <w:szCs w:val="18"/>
          </w:rPr>
          <w:t>https://agupubs.onlinelibrary.wiley.com/doi/full/10.1029/2008WR007427</w:t>
        </w:r>
      </w:hyperlink>
      <w:r w:rsidRPr="003A3A84">
        <w:rPr>
          <w:rStyle w:val="Hyperlink"/>
          <w:rFonts w:ascii="Times New Roman" w:hAnsi="Times New Roman" w:cs="Times New Roman"/>
          <w:sz w:val="18"/>
          <w:szCs w:val="18"/>
        </w:rPr>
        <w:t>.</w:t>
      </w:r>
      <w:r w:rsidRPr="003A3A84">
        <w:rPr>
          <w:rFonts w:ascii="Times New Roman" w:hAnsi="Times New Roman" w:cs="Times New Roman"/>
          <w:sz w:val="18"/>
          <w:szCs w:val="18"/>
        </w:rPr>
        <w:t xml:space="preserve"> </w:t>
      </w:r>
    </w:p>
  </w:footnote>
  <w:footnote w:id="158">
    <w:p w:rsidR="0075405F" w:rsidRPr="003A3A84" w:rsidP="0075405F" w14:paraId="1FCC245D"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Bonanno, G. A., Brewin, C. R., Kaniasty, K., &amp; Greca, A. M. L. (2010). Weighing the Costs of Disaster: Consequences, Risks, and Resilience in Individuals, Families, and Communities. Psychological Science in the Public Interest, 11(1), 1–49. </w:t>
      </w:r>
      <w:hyperlink r:id="rId66" w:history="1">
        <w:r w:rsidRPr="003A3A84">
          <w:rPr>
            <w:rStyle w:val="Hyperlink"/>
            <w:rFonts w:ascii="Times New Roman" w:hAnsi="Times New Roman" w:cs="Times New Roman"/>
            <w:sz w:val="18"/>
            <w:szCs w:val="18"/>
          </w:rPr>
          <w:t>https://doi.org/10.1177/1529100610387086</w:t>
        </w:r>
      </w:hyperlink>
      <w:r w:rsidRPr="003A3A84">
        <w:rPr>
          <w:rFonts w:ascii="Times New Roman" w:hAnsi="Times New Roman" w:cs="Times New Roman"/>
          <w:sz w:val="18"/>
          <w:szCs w:val="18"/>
        </w:rPr>
        <w:t xml:space="preserve"> </w:t>
      </w:r>
      <w:hyperlink r:id="rId67" w:history="1">
        <w:r w:rsidRPr="003A3A84">
          <w:rPr>
            <w:rStyle w:val="Hyperlink"/>
            <w:rFonts w:ascii="Times New Roman" w:hAnsi="Times New Roman" w:cs="Times New Roman"/>
            <w:sz w:val="18"/>
            <w:szCs w:val="18"/>
          </w:rPr>
          <w:t>https://journals.sagepub.com/doi/10.1177/1529100610387086</w:t>
        </w:r>
      </w:hyperlink>
      <w:r w:rsidRPr="003A3A84">
        <w:rPr>
          <w:rStyle w:val="Hyperlink"/>
          <w:rFonts w:ascii="Times New Roman" w:hAnsi="Times New Roman" w:cs="Times New Roman"/>
          <w:sz w:val="18"/>
          <w:szCs w:val="18"/>
        </w:rPr>
        <w:t>.</w:t>
      </w:r>
    </w:p>
  </w:footnote>
  <w:footnote w:id="159">
    <w:p w:rsidR="0075405F" w:rsidRPr="003A3A84" w:rsidP="0075405F" w14:paraId="759BBE3A"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https://www.epa.gov/children/what-you-can-do-protect-children-environmental-risks</w:t>
      </w:r>
    </w:p>
  </w:footnote>
  <w:footnote w:id="160">
    <w:p w:rsidR="0075405F" w:rsidRPr="009B5DD6" w:rsidP="0075405F" w14:paraId="72DDAAFB" w14:textId="77777777">
      <w:pPr>
        <w:pStyle w:val="FootnoteText"/>
        <w:rPr>
          <w:rFonts w:ascii="Times New Roman" w:hAnsi="Times New Roman" w:cs="Times New Roman"/>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https://www.oecd.org/education/The-economic-impacts-of-coronavirus-covid-19-learning-losses.pdf.</w:t>
      </w:r>
    </w:p>
  </w:footnote>
  <w:footnote w:id="161">
    <w:p w:rsidR="004B5949" w:rsidP="004B5949" w14:paraId="013975C5" w14:textId="77777777">
      <w:pPr>
        <w:pStyle w:val="FootnoteText"/>
      </w:pPr>
      <w:r>
        <w:rPr>
          <w:rStyle w:val="FootnoteReference"/>
        </w:rPr>
        <w:footnoteRef/>
      </w:r>
      <w:r>
        <w:t xml:space="preserve"> </w:t>
      </w:r>
      <w:r>
        <w:rPr>
          <w:rFonts w:ascii="Times New Roman" w:hAnsi="Times New Roman" w:cs="Times New Roman"/>
        </w:rPr>
        <w:t>P</w:t>
      </w:r>
      <w:r w:rsidRPr="00BF42A8">
        <w:rPr>
          <w:rFonts w:ascii="Times New Roman" w:hAnsi="Times New Roman" w:cs="Times New Roman"/>
        </w:rPr>
        <w:t xml:space="preserve">roperty value losses </w:t>
      </w:r>
      <w:r>
        <w:rPr>
          <w:rFonts w:ascii="Times New Roman" w:hAnsi="Times New Roman" w:cs="Times New Roman"/>
        </w:rPr>
        <w:t xml:space="preserve">reflect and overlap with values of </w:t>
      </w:r>
      <w:r w:rsidRPr="00BF42A8">
        <w:rPr>
          <w:rFonts w:ascii="Times New Roman" w:hAnsi="Times New Roman" w:cs="Times New Roman"/>
        </w:rPr>
        <w:t>risks to human health, reduced ecosystem services, and negative impacts on aesthetic appeal</w:t>
      </w:r>
      <w:r>
        <w:rPr>
          <w:rFonts w:ascii="Times New Roman" w:hAnsi="Times New Roman" w:cs="Times New Roman"/>
        </w:rPr>
        <w:t xml:space="preserve"> experienced by nearby residents</w:t>
      </w:r>
      <w:r w:rsidRPr="00BF42A8">
        <w:rPr>
          <w:rFonts w:ascii="Times New Roman" w:hAnsi="Times New Roman" w:cs="Times New Roman"/>
        </w:rPr>
        <w:t>.</w:t>
      </w:r>
    </w:p>
  </w:footnote>
  <w:footnote w:id="162">
    <w:p w:rsidR="004B5949" w:rsidRPr="00CC0E55" w:rsidP="004B5949" w14:paraId="1467AE5B" w14:textId="77777777">
      <w:pPr>
        <w:pStyle w:val="FootnoteText"/>
        <w:rPr>
          <w:rFonts w:ascii="Times New Roman" w:hAnsi="Times New Roman" w:cs="Times New Roman"/>
          <w:sz w:val="18"/>
          <w:szCs w:val="18"/>
        </w:rPr>
      </w:pPr>
      <w:r w:rsidRPr="00CC0E55">
        <w:rPr>
          <w:rStyle w:val="FootnoteReference"/>
          <w:rFonts w:ascii="Times New Roman" w:hAnsi="Times New Roman" w:cs="Times New Roman"/>
          <w:sz w:val="18"/>
          <w:szCs w:val="18"/>
        </w:rPr>
        <w:footnoteRef/>
      </w:r>
      <w:r w:rsidRPr="00CC0E55">
        <w:rPr>
          <w:rFonts w:ascii="Times New Roman" w:hAnsi="Times New Roman" w:cs="Times New Roman"/>
          <w:sz w:val="18"/>
          <w:szCs w:val="18"/>
        </w:rPr>
        <w:t xml:space="preserve"> Guignet, Dennis, Robin R. Jenkins, Christoph Nolte, and James Belke. 2023</w:t>
      </w:r>
      <w:r>
        <w:rPr>
          <w:rFonts w:ascii="Times New Roman" w:hAnsi="Times New Roman" w:cs="Times New Roman"/>
          <w:sz w:val="18"/>
          <w:szCs w:val="18"/>
        </w:rPr>
        <w:t>b</w:t>
      </w:r>
      <w:r w:rsidRPr="00CC0E55">
        <w:rPr>
          <w:rFonts w:ascii="Times New Roman" w:hAnsi="Times New Roman" w:cs="Times New Roman"/>
          <w:sz w:val="18"/>
          <w:szCs w:val="18"/>
        </w:rPr>
        <w:t xml:space="preserve">. The External Costs of industrial Chemical Accidents: A Nationwide Property Value Study. </w:t>
      </w:r>
      <w:r w:rsidRPr="00CC0E55">
        <w:rPr>
          <w:rFonts w:ascii="Times New Roman" w:hAnsi="Times New Roman" w:cs="Times New Roman"/>
          <w:i/>
          <w:iCs/>
          <w:sz w:val="18"/>
          <w:szCs w:val="18"/>
        </w:rPr>
        <w:t>Journal of Housing Economics</w:t>
      </w:r>
      <w:r w:rsidRPr="00CC0E55">
        <w:rPr>
          <w:rFonts w:ascii="Times New Roman" w:hAnsi="Times New Roman" w:cs="Times New Roman"/>
          <w:sz w:val="18"/>
          <w:szCs w:val="18"/>
        </w:rPr>
        <w:t xml:space="preserve">. 62 (2023) 101954. </w:t>
      </w:r>
    </w:p>
  </w:footnote>
  <w:footnote w:id="163">
    <w:p w:rsidR="007E394E" w:rsidRPr="000D25F6" w:rsidP="007E394E" w14:paraId="1499B90F" w14:textId="77777777">
      <w:pPr>
        <w:pStyle w:val="FootnoteText"/>
        <w:rPr>
          <w:rFonts w:ascii="Times New Roman" w:hAnsi="Times New Roman" w:cs="Times New Roman"/>
          <w:sz w:val="18"/>
          <w:szCs w:val="18"/>
        </w:rPr>
      </w:pPr>
      <w:r w:rsidRPr="000D25F6">
        <w:rPr>
          <w:rStyle w:val="FootnoteReference"/>
          <w:rFonts w:ascii="Times New Roman" w:hAnsi="Times New Roman" w:cs="Times New Roman"/>
          <w:sz w:val="18"/>
          <w:szCs w:val="18"/>
        </w:rPr>
        <w:footnoteRef/>
      </w:r>
      <w:r w:rsidRPr="000D25F6">
        <w:rPr>
          <w:rFonts w:ascii="Times New Roman" w:hAnsi="Times New Roman" w:cs="Times New Roman"/>
          <w:sz w:val="18"/>
          <w:szCs w:val="18"/>
        </w:rPr>
        <w:t xml:space="preserve"> </w:t>
      </w:r>
      <w:r w:rsidRPr="005D7910">
        <w:rPr>
          <w:rFonts w:ascii="Times New Roman" w:hAnsi="Times New Roman" w:cs="Times New Roman"/>
          <w:sz w:val="18"/>
          <w:szCs w:val="18"/>
        </w:rPr>
        <w:t>Marsh JLT Specialty, "The 100 Largest Losses 1974-2015: Large property damage losses in the hydrocarbon industry,” 24</w:t>
      </w:r>
      <w:r w:rsidRPr="005D7910">
        <w:rPr>
          <w:rFonts w:ascii="Times New Roman" w:hAnsi="Times New Roman" w:cs="Times New Roman"/>
          <w:sz w:val="18"/>
          <w:szCs w:val="18"/>
          <w:vertAlign w:val="superscript"/>
        </w:rPr>
        <w:t>th</w:t>
      </w:r>
      <w:r w:rsidRPr="005D7910">
        <w:rPr>
          <w:rFonts w:ascii="Times New Roman" w:hAnsi="Times New Roman" w:cs="Times New Roman"/>
          <w:sz w:val="18"/>
          <w:szCs w:val="18"/>
        </w:rPr>
        <w:t xml:space="preserve"> Edition, March 2016. Accessed from </w:t>
      </w:r>
      <w:hyperlink r:id="rId60" w:history="1">
        <w:r w:rsidRPr="005D7910">
          <w:rPr>
            <w:rStyle w:val="Hyperlink"/>
            <w:rFonts w:ascii="Times New Roman" w:hAnsi="Times New Roman" w:cs="Times New Roman"/>
            <w:sz w:val="18"/>
            <w:szCs w:val="18"/>
          </w:rPr>
          <w:t>https://www.marsh.com/uk/industries/energy-and-power/insights/100-largest-losses.html</w:t>
        </w:r>
      </w:hyperlink>
      <w:r w:rsidRPr="005D7910">
        <w:rPr>
          <w:rFonts w:ascii="Times New Roman" w:hAnsi="Times New Roman" w:cs="Times New Roman"/>
          <w:sz w:val="18"/>
          <w:szCs w:val="18"/>
        </w:rPr>
        <w:t>. Marsh provides estimates of large property damage losses in the hydrocarbon industry and in a few cases, business loss costs.</w:t>
      </w:r>
    </w:p>
  </w:footnote>
  <w:footnote w:id="164">
    <w:p w:rsidR="00D477E7" w:rsidRPr="003A3A84" w:rsidP="00D477E7" w14:paraId="0DF5C210" w14:textId="34B317FA">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w:t>
      </w:r>
      <w:r w:rsidRPr="003B1D43">
        <w:rPr>
          <w:rFonts w:ascii="Times New Roman" w:hAnsi="Times New Roman" w:cs="Times New Roman"/>
          <w:sz w:val="18"/>
        </w:rPr>
        <w:t xml:space="preserve">See </w:t>
      </w:r>
      <w:r w:rsidRPr="003B1D43">
        <w:rPr>
          <w:rFonts w:ascii="Times New Roman" w:hAnsi="Times New Roman" w:cs="Times New Roman"/>
          <w:sz w:val="18"/>
          <w:szCs w:val="18"/>
        </w:rPr>
        <w:t xml:space="preserve">Chapter 3, </w:t>
      </w:r>
      <w:r w:rsidRPr="003B1D43">
        <w:rPr>
          <w:rFonts w:ascii="Times New Roman" w:hAnsi="Times New Roman" w:cs="Times New Roman"/>
          <w:sz w:val="18"/>
        </w:rPr>
        <w:t>Exhibit 3-16</w:t>
      </w:r>
      <w:r w:rsidRPr="003B1D43">
        <w:rPr>
          <w:rFonts w:ascii="Times New Roman" w:hAnsi="Times New Roman" w:cs="Times New Roman"/>
          <w:sz w:val="18"/>
          <w:szCs w:val="18"/>
        </w:rPr>
        <w:t>,</w:t>
      </w:r>
      <w:r w:rsidRPr="003B1D43">
        <w:rPr>
          <w:rFonts w:ascii="Times New Roman" w:hAnsi="Times New Roman" w:cs="Times New Roman"/>
          <w:sz w:val="18"/>
        </w:rPr>
        <w:t xml:space="preserve"> for </w:t>
      </w:r>
      <w:r w:rsidRPr="003B1D43">
        <w:rPr>
          <w:rFonts w:ascii="Times New Roman" w:hAnsi="Times New Roman" w:cs="Times New Roman"/>
          <w:sz w:val="18"/>
          <w:szCs w:val="18"/>
        </w:rPr>
        <w:t>presentations of monetized damages for prior time periods.</w:t>
      </w:r>
      <w:r w:rsidRPr="003B1D43">
        <w:rPr>
          <w:rFonts w:ascii="Times New Roman" w:hAnsi="Times New Roman" w:cs="Times New Roman"/>
          <w:sz w:val="18"/>
        </w:rPr>
        <w:t xml:space="preserve"> To obtain </w:t>
      </w:r>
      <w:r w:rsidRPr="003B1D43">
        <w:rPr>
          <w:rFonts w:ascii="Times New Roman" w:hAnsi="Times New Roman" w:cs="Times New Roman"/>
          <w:sz w:val="18"/>
          <w:szCs w:val="18"/>
        </w:rPr>
        <w:t>those</w:t>
      </w:r>
      <w:r w:rsidRPr="003B1D43">
        <w:rPr>
          <w:rFonts w:ascii="Times New Roman" w:hAnsi="Times New Roman" w:cs="Times New Roman"/>
          <w:sz w:val="18"/>
        </w:rPr>
        <w:t xml:space="preserve"> estimates, EPA re-estimated unit damage costs for the prior time periods by applying</w:t>
      </w:r>
      <w:r w:rsidRPr="003B1D43">
        <w:rPr>
          <w:rStyle w:val="cf01"/>
          <w:rFonts w:ascii="Times New Roman" w:hAnsi="Times New Roman" w:cs="Times New Roman"/>
        </w:rPr>
        <w:t xml:space="preserve"> the</w:t>
      </w:r>
      <w:r>
        <w:rPr>
          <w:rStyle w:val="cf01"/>
          <w:rFonts w:ascii="Times New Roman" w:hAnsi="Times New Roman" w:cs="Times New Roman"/>
        </w:rPr>
        <w:t xml:space="preserve"> same set of</w:t>
      </w:r>
      <w:r w:rsidRPr="003B1D43">
        <w:rPr>
          <w:rStyle w:val="cf01"/>
          <w:rFonts w:ascii="Times New Roman" w:hAnsi="Times New Roman" w:cs="Times New Roman"/>
        </w:rPr>
        <w:t xml:space="preserve"> assumptions used for the current final rule analysis</w:t>
      </w:r>
      <w:r>
        <w:rPr>
          <w:rStyle w:val="cf01"/>
          <w:rFonts w:ascii="Times New Roman" w:hAnsi="Times New Roman" w:cs="Times New Roman"/>
        </w:rPr>
        <w:t xml:space="preserve"> and updating dollars to 2022. In particular, </w:t>
      </w:r>
      <w:r w:rsidRPr="003B1D43">
        <w:rPr>
          <w:rStyle w:val="cf01"/>
          <w:rFonts w:ascii="Times New Roman" w:hAnsi="Times New Roman" w:cs="Times New Roman"/>
        </w:rPr>
        <w:t xml:space="preserve">EPA re-estimated the costs assuming a fatality is valued at $10.4 million instead of $8.6 million (using the BEA GDP deflator), hospitalization costs </w:t>
      </w:r>
      <w:r>
        <w:rPr>
          <w:rStyle w:val="cf01"/>
          <w:rFonts w:ascii="Times New Roman" w:hAnsi="Times New Roman" w:cs="Times New Roman"/>
        </w:rPr>
        <w:t xml:space="preserve">of </w:t>
      </w:r>
      <w:r w:rsidRPr="003B1D43">
        <w:rPr>
          <w:rStyle w:val="cf01"/>
          <w:rFonts w:ascii="Times New Roman" w:hAnsi="Times New Roman" w:cs="Times New Roman"/>
        </w:rPr>
        <w:t xml:space="preserve">$45,000 instead of $36,000, and BLS mean hourly wage </w:t>
      </w:r>
      <w:r>
        <w:rPr>
          <w:rStyle w:val="cf01"/>
          <w:rFonts w:ascii="Times New Roman" w:hAnsi="Times New Roman" w:cs="Times New Roman"/>
        </w:rPr>
        <w:t>rates of</w:t>
      </w:r>
      <w:r w:rsidRPr="003B1D43">
        <w:rPr>
          <w:rStyle w:val="cf01"/>
          <w:rFonts w:ascii="Times New Roman" w:hAnsi="Times New Roman" w:cs="Times New Roman"/>
        </w:rPr>
        <w:t xml:space="preserve"> $28.88 instead of $22.65</w:t>
      </w:r>
      <w:r>
        <w:rPr>
          <w:rStyle w:val="cf01"/>
          <w:rFonts w:ascii="Times New Roman" w:hAnsi="Times New Roman" w:cs="Times New Roman"/>
        </w:rPr>
        <w:t>.</w:t>
      </w:r>
      <w:r w:rsidRPr="003B1D43">
        <w:rPr>
          <w:rStyle w:val="cf01"/>
          <w:rFonts w:ascii="Times New Roman" w:hAnsi="Times New Roman" w:cs="Times New Roman"/>
        </w:rPr>
        <w:t xml:space="preserve"> Previously, mean </w:t>
      </w:r>
      <w:r w:rsidRPr="00BE7DE1">
        <w:rPr>
          <w:rStyle w:val="cf01"/>
          <w:rFonts w:ascii="Times New Roman" w:hAnsi="Times New Roman" w:cs="Times New Roman"/>
        </w:rPr>
        <w:t xml:space="preserve">hourly wage was estimated as the cost per hour to shelter-in-place or evacuate. Relying on updated guidance, this final rule analysis uses mean hourly wage plus voluntary benefits less taxes, which is estimated at $36.66. </w:t>
      </w:r>
      <w:r w:rsidRPr="00BE7DE1">
        <w:rPr>
          <w:rFonts w:ascii="Times New Roman" w:hAnsi="Times New Roman" w:cs="Times New Roman"/>
          <w:sz w:val="18"/>
          <w:szCs w:val="18"/>
        </w:rPr>
        <w:t>For 2004 to 2013, estimated monetized damages from RMP facility accidents are $47</w:t>
      </w:r>
      <w:r w:rsidRPr="00BE7DE1" w:rsidR="00BA5B53">
        <w:rPr>
          <w:rFonts w:ascii="Times New Roman" w:hAnsi="Times New Roman" w:cs="Times New Roman"/>
          <w:sz w:val="18"/>
          <w:szCs w:val="18"/>
        </w:rPr>
        <w:t>3.2</w:t>
      </w:r>
      <w:r w:rsidRPr="00BE7DE1">
        <w:rPr>
          <w:rFonts w:ascii="Times New Roman" w:hAnsi="Times New Roman" w:cs="Times New Roman"/>
          <w:sz w:val="18"/>
          <w:szCs w:val="18"/>
        </w:rPr>
        <w:t xml:space="preserve"> million (2022$) on average per year; for 2014 to 2016, estimated monetized damages are $441.7 million (2022$) on average per year. In total, over the 2004 to 2020 time period, the average per year is $4</w:t>
      </w:r>
      <w:r w:rsidRPr="00BE7DE1" w:rsidR="00BA5B53">
        <w:rPr>
          <w:rFonts w:ascii="Times New Roman" w:hAnsi="Times New Roman" w:cs="Times New Roman"/>
          <w:sz w:val="18"/>
          <w:szCs w:val="18"/>
        </w:rPr>
        <w:t>82.8</w:t>
      </w:r>
      <w:r w:rsidRPr="00BE7DE1">
        <w:rPr>
          <w:rFonts w:ascii="Times New Roman" w:hAnsi="Times New Roman" w:cs="Times New Roman"/>
          <w:sz w:val="18"/>
          <w:szCs w:val="18"/>
        </w:rPr>
        <w:t xml:space="preserve"> and the average per accident is $3.</w:t>
      </w:r>
      <w:r w:rsidRPr="00BE7DE1" w:rsidR="00AD2952">
        <w:rPr>
          <w:rFonts w:ascii="Times New Roman" w:hAnsi="Times New Roman" w:cs="Times New Roman"/>
          <w:sz w:val="18"/>
          <w:szCs w:val="18"/>
        </w:rPr>
        <w:t>4</w:t>
      </w:r>
      <w:r w:rsidRPr="00BE7DE1">
        <w:rPr>
          <w:rFonts w:ascii="Times New Roman" w:hAnsi="Times New Roman" w:cs="Times New Roman"/>
          <w:sz w:val="18"/>
          <w:szCs w:val="18"/>
        </w:rPr>
        <w:t xml:space="preserve"> million (2022$). EPA also updated accident data which can be continuously updated in RMP filings. This resulted in differences in the</w:t>
      </w:r>
      <w:r>
        <w:rPr>
          <w:rFonts w:ascii="Times New Roman" w:hAnsi="Times New Roman" w:cs="Times New Roman"/>
          <w:sz w:val="18"/>
          <w:szCs w:val="18"/>
        </w:rPr>
        <w:t xml:space="preserve"> raw accident data between the December 31, 2020 RMP data used in this final rule and RMP data used in the amendments rule and reconsideration rule RIAs.</w:t>
      </w:r>
    </w:p>
  </w:footnote>
  <w:footnote w:id="165">
    <w:p w:rsidR="00C35A65" w:rsidRPr="0053007B" w:rsidP="00C35A65" w14:paraId="2C592AB7" w14:textId="77777777">
      <w:pPr>
        <w:pStyle w:val="FootnoteText"/>
        <w:rPr>
          <w:rFonts w:ascii="Times New Roman" w:hAnsi="Times New Roman" w:cs="Times New Roman"/>
          <w:sz w:val="18"/>
          <w:szCs w:val="18"/>
        </w:rPr>
      </w:pPr>
      <w:r w:rsidRPr="0053007B">
        <w:rPr>
          <w:rStyle w:val="FootnoteReference"/>
          <w:rFonts w:ascii="Times New Roman" w:hAnsi="Times New Roman" w:cs="Times New Roman"/>
          <w:sz w:val="18"/>
          <w:szCs w:val="18"/>
        </w:rPr>
        <w:footnoteRef/>
      </w:r>
      <w:r w:rsidRPr="0053007B">
        <w:rPr>
          <w:rFonts w:ascii="Times New Roman" w:hAnsi="Times New Roman" w:cs="Times New Roman"/>
          <w:sz w:val="18"/>
          <w:szCs w:val="18"/>
        </w:rPr>
        <w:t xml:space="preserve"> Marsh, The "100 Largest Losses in the Hydrocarbon Industry,” 27th Edition 2022</w:t>
      </w:r>
      <w:r w:rsidR="00DC3741">
        <w:rPr>
          <w:rFonts w:ascii="Times New Roman" w:hAnsi="Times New Roman" w:cs="Times New Roman"/>
          <w:sz w:val="18"/>
          <w:szCs w:val="18"/>
        </w:rPr>
        <w:t xml:space="preserve">. </w:t>
      </w:r>
      <w:r w:rsidRPr="0053007B">
        <w:rPr>
          <w:rFonts w:ascii="Times New Roman" w:hAnsi="Times New Roman" w:cs="Times New Roman"/>
          <w:sz w:val="18"/>
          <w:szCs w:val="18"/>
        </w:rPr>
        <w:t xml:space="preserve">Accessed from https://www.marsh.com/uk/industries/energy-and-power/insights/100-largest-losses.html. </w:t>
      </w:r>
    </w:p>
    <w:p w:rsidR="00C35A65" w:rsidP="00C35A65" w14:paraId="73C86879" w14:textId="77777777">
      <w:pPr>
        <w:pStyle w:val="FootnoteText"/>
      </w:pPr>
      <w:r w:rsidRPr="0053007B">
        <w:rPr>
          <w:rFonts w:ascii="Times New Roman" w:hAnsi="Times New Roman" w:cs="Times New Roman"/>
          <w:sz w:val="18"/>
          <w:szCs w:val="18"/>
        </w:rPr>
        <w:t>Marsh provides estimates of large property damage losses in the hydrocarbon industry from 1974 to 2021 in current and 2021 dollars and in a few cases, business loss costs.</w:t>
      </w:r>
    </w:p>
  </w:footnote>
  <w:footnote w:id="166">
    <w:p w:rsidR="0075046B" w:rsidRPr="003A3A84" w:rsidP="003B3BBF" w14:paraId="6A5CDA6C" w14:textId="77777777">
      <w:pPr>
        <w:pStyle w:val="TOC2"/>
      </w:pPr>
      <w:r w:rsidRPr="003A3A84">
        <w:rPr>
          <w:vertAlign w:val="superscript"/>
        </w:rPr>
        <w:footnoteRef/>
      </w:r>
      <w:r w:rsidRPr="003A3A84">
        <w:rPr>
          <w:vertAlign w:val="superscript"/>
        </w:rPr>
        <w:t xml:space="preserve"> </w:t>
      </w:r>
      <w:r w:rsidRPr="003A3A84">
        <w:t>Some small governments serve substantial populations associated with businesses, particularly irrigation districts that serve large farming areas but few residences, and small cities that have large tourist-related businesses.</w:t>
      </w:r>
    </w:p>
  </w:footnote>
  <w:footnote w:id="167">
    <w:p w:rsidR="0075046B" w:rsidRPr="003A3A84" w:rsidP="003B3BBF" w14:paraId="073453CE" w14:textId="77777777">
      <w:pPr>
        <w:pStyle w:val="TOC2"/>
      </w:pPr>
      <w:r w:rsidRPr="003A3A84">
        <w:rPr>
          <w:vertAlign w:val="superscript"/>
        </w:rPr>
        <w:footnoteRef/>
      </w:r>
      <w:r w:rsidRPr="003A3A84">
        <w:t xml:space="preserve"> See Chapter 2 of Final Guidance for EPA Rulewriters: Regulatory Flexibility Act, </w:t>
      </w:r>
      <w:hyperlink r:id="rId70" w:history="1">
        <w:r w:rsidRPr="003A3A84" w:rsidR="0048729A">
          <w:rPr>
            <w:rStyle w:val="Hyperlink"/>
          </w:rPr>
          <w:t>http://www.epa.gov/rfa/documents/Guidance-RegFlexAct.pdf</w:t>
        </w:r>
      </w:hyperlink>
      <w:r w:rsidRPr="003A3A84" w:rsidR="0048729A">
        <w:t xml:space="preserve"> .</w:t>
      </w:r>
    </w:p>
  </w:footnote>
  <w:footnote w:id="168">
    <w:p w:rsidR="0075046B" w:rsidRPr="003A3A84" w:rsidP="003B3BBF" w14:paraId="7D7FAEE5" w14:textId="77777777">
      <w:pPr>
        <w:pStyle w:val="TOC2"/>
      </w:pPr>
      <w:r w:rsidRPr="003A3A84">
        <w:rPr>
          <w:vertAlign w:val="superscript"/>
        </w:rPr>
        <w:footnoteRef/>
      </w:r>
      <w:r w:rsidRPr="003A3A84">
        <w:t xml:space="preserve"> </w:t>
      </w:r>
      <w:hyperlink r:id="rId71" w:history="1">
        <w:r w:rsidRPr="003A3A84" w:rsidR="0048729A">
          <w:rPr>
            <w:rStyle w:val="Hyperlink"/>
          </w:rPr>
          <w:t>http://www.usda.gov/wps/portal/usda/usdahome?contentid=2013/10/0199.xml</w:t>
        </w:r>
      </w:hyperlink>
      <w:r w:rsidRPr="003A3A84" w:rsidR="0048729A">
        <w:t xml:space="preserve"> .</w:t>
      </w:r>
    </w:p>
  </w:footnote>
  <w:footnote w:id="169">
    <w:p w:rsidR="00157AE0" w:rsidRPr="003A3A84" w:rsidP="007B69CE" w14:paraId="266575B6" w14:textId="77777777">
      <w:pPr>
        <w:pStyle w:val="FootnoteText"/>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SBA definitions of small businesses apply to a firm</w:t>
      </w:r>
      <w:r w:rsidRPr="003A3A84" w:rsidR="007763EA">
        <w:rPr>
          <w:rFonts w:ascii="Times New Roman" w:hAnsi="Times New Roman" w:cs="Times New Roman"/>
          <w:sz w:val="18"/>
          <w:szCs w:val="18"/>
        </w:rPr>
        <w:t>’</w:t>
      </w:r>
      <w:r w:rsidRPr="003A3A84">
        <w:rPr>
          <w:rFonts w:ascii="Times New Roman" w:hAnsi="Times New Roman" w:cs="Times New Roman"/>
          <w:sz w:val="18"/>
          <w:szCs w:val="18"/>
        </w:rPr>
        <w:t>s parent company and all affiliates as a single entity.</w:t>
      </w:r>
      <w:r w:rsidRPr="003A3A84" w:rsidR="00E00F5B">
        <w:rPr>
          <w:rFonts w:ascii="Times New Roman" w:hAnsi="Times New Roman" w:cs="Times New Roman"/>
          <w:sz w:val="18"/>
          <w:szCs w:val="18"/>
        </w:rPr>
        <w:t xml:space="preserve"> Size standards effective March 17, 2023 </w:t>
      </w:r>
      <w:hyperlink r:id="rId72" w:history="1">
        <w:r w:rsidRPr="003A3A84" w:rsidR="000F6E15">
          <w:rPr>
            <w:rStyle w:val="Hyperlink"/>
            <w:rFonts w:ascii="Times New Roman" w:hAnsi="Times New Roman" w:cs="Times New Roman"/>
            <w:sz w:val="18"/>
            <w:szCs w:val="18"/>
          </w:rPr>
          <w:t>https://www.sba.gov/document/support-table-size-standards</w:t>
        </w:r>
      </w:hyperlink>
      <w:r w:rsidRPr="003A3A84" w:rsidR="000F6E15">
        <w:rPr>
          <w:rFonts w:ascii="Times New Roman" w:hAnsi="Times New Roman" w:cs="Times New Roman"/>
          <w:sz w:val="18"/>
          <w:szCs w:val="18"/>
        </w:rPr>
        <w:t xml:space="preserve"> </w:t>
      </w:r>
    </w:p>
  </w:footnote>
  <w:footnote w:id="170">
    <w:p w:rsidR="0075046B" w:rsidRPr="00956202" w:rsidP="003B3BBF" w14:paraId="1D619DF6" w14:textId="77777777">
      <w:pPr>
        <w:pStyle w:val="TOC2"/>
      </w:pPr>
      <w:r w:rsidRPr="003A3A84">
        <w:rPr>
          <w:vertAlign w:val="superscript"/>
        </w:rPr>
        <w:footnoteRef/>
      </w:r>
      <w:r w:rsidRPr="003A3A84">
        <w:t xml:space="preserve"> In some cases, NAICS codes are disaggregated to 5 digits and in others 6 digits. SBA does not include all 6-digit codes in its regulation.</w:t>
      </w:r>
    </w:p>
  </w:footnote>
  <w:footnote w:id="171">
    <w:p w:rsidR="0075046B" w:rsidRPr="003A3A84" w:rsidP="00956202" w14:paraId="44F5ADD9" w14:textId="77777777">
      <w:pPr>
        <w:spacing w:after="240" w:line="240" w:lineRule="auto"/>
        <w:rPr>
          <w:rFonts w:ascii="Times New Roman" w:hAnsi="Times New Roman" w:cs="Times New Roman"/>
          <w:sz w:val="18"/>
          <w:szCs w:val="18"/>
        </w:rPr>
      </w:pPr>
      <w:r w:rsidRPr="003A3A84">
        <w:rPr>
          <w:rFonts w:ascii="Times New Roman" w:hAnsi="Times New Roman" w:cs="Times New Roman"/>
          <w:sz w:val="18"/>
          <w:szCs w:val="18"/>
          <w:vertAlign w:val="superscript"/>
        </w:rPr>
        <w:footnoteRef/>
      </w:r>
      <w:r w:rsidRPr="003A3A84">
        <w:rPr>
          <w:rFonts w:ascii="Times New Roman" w:hAnsi="Times New Roman" w:cs="Times New Roman"/>
          <w:sz w:val="18"/>
          <w:szCs w:val="18"/>
        </w:rPr>
        <w:t xml:space="preserve"> 5 U.S.C. 602.</w:t>
      </w:r>
    </w:p>
    <w:p w:rsidR="0075046B" w:rsidRPr="00956202" w:rsidP="003B3BBF" w14:paraId="201B429D" w14:textId="77777777">
      <w:pPr>
        <w:pStyle w:val="TOC2"/>
      </w:pPr>
    </w:p>
  </w:footnote>
  <w:footnote w:id="172">
    <w:p w:rsidR="00E667BE" w14:paraId="50D74046" w14:textId="77777777">
      <w:pPr>
        <w:pStyle w:val="FootnoteText"/>
      </w:pPr>
      <w:r>
        <w:rPr>
          <w:rStyle w:val="FootnoteReference"/>
        </w:rPr>
        <w:footnoteRef/>
      </w:r>
      <w:r w:rsidR="00CF3248">
        <w:t xml:space="preserve"> </w:t>
      </w:r>
      <w:r w:rsidR="00CF3248">
        <w:rPr>
          <w:rFonts w:ascii="Times New Roman" w:hAnsi="Times New Roman" w:cs="Times New Roman"/>
          <w:sz w:val="18"/>
          <w:szCs w:val="18"/>
        </w:rPr>
        <w:t xml:space="preserve">NAICS codes are </w:t>
      </w:r>
      <w:r w:rsidR="000A78D8">
        <w:rPr>
          <w:rFonts w:ascii="Times New Roman" w:hAnsi="Times New Roman" w:cs="Times New Roman"/>
          <w:sz w:val="18"/>
          <w:szCs w:val="18"/>
        </w:rPr>
        <w:t>chosen by</w:t>
      </w:r>
      <w:r w:rsidR="00CF3248">
        <w:rPr>
          <w:rFonts w:ascii="Times New Roman" w:hAnsi="Times New Roman" w:cs="Times New Roman"/>
          <w:sz w:val="18"/>
          <w:szCs w:val="18"/>
        </w:rPr>
        <w:t xml:space="preserve"> the entity </w:t>
      </w:r>
      <w:r w:rsidR="000A78D8">
        <w:rPr>
          <w:rFonts w:ascii="Times New Roman" w:hAnsi="Times New Roman" w:cs="Times New Roman"/>
          <w:sz w:val="18"/>
          <w:szCs w:val="18"/>
        </w:rPr>
        <w:t xml:space="preserve">which </w:t>
      </w:r>
      <w:r w:rsidR="00CF3248">
        <w:rPr>
          <w:rFonts w:ascii="Times New Roman" w:hAnsi="Times New Roman" w:cs="Times New Roman"/>
          <w:sz w:val="18"/>
          <w:szCs w:val="18"/>
        </w:rPr>
        <w:t xml:space="preserve">own </w:t>
      </w:r>
      <w:r w:rsidR="000D4A01">
        <w:rPr>
          <w:rFonts w:ascii="Times New Roman" w:hAnsi="Times New Roman" w:cs="Times New Roman"/>
          <w:sz w:val="18"/>
          <w:szCs w:val="18"/>
        </w:rPr>
        <w:t>the</w:t>
      </w:r>
      <w:r w:rsidR="00CF3248">
        <w:rPr>
          <w:rFonts w:ascii="Times New Roman" w:hAnsi="Times New Roman" w:cs="Times New Roman"/>
          <w:sz w:val="18"/>
          <w:szCs w:val="18"/>
        </w:rPr>
        <w:t xml:space="preserve"> RMP facilities</w:t>
      </w:r>
      <w:r w:rsidR="002C0E6C">
        <w:rPr>
          <w:rFonts w:ascii="Times New Roman" w:hAnsi="Times New Roman" w:cs="Times New Roman"/>
          <w:sz w:val="18"/>
          <w:szCs w:val="18"/>
        </w:rPr>
        <w:t xml:space="preserve"> based on the largest source of revenue for the parent entity</w:t>
      </w:r>
      <w:r w:rsidR="003B3ED5">
        <w:rPr>
          <w:rFonts w:ascii="Times New Roman" w:hAnsi="Times New Roman" w:cs="Times New Roman"/>
          <w:sz w:val="18"/>
          <w:szCs w:val="18"/>
        </w:rPr>
        <w:t>. The entity’s NAICS code</w:t>
      </w:r>
      <w:r w:rsidR="002C0E6C">
        <w:rPr>
          <w:rFonts w:ascii="Times New Roman" w:hAnsi="Times New Roman" w:cs="Times New Roman"/>
          <w:sz w:val="18"/>
          <w:szCs w:val="18"/>
        </w:rPr>
        <w:t xml:space="preserve"> is not necessarily the NAICS code associated with the RMP process in the facility</w:t>
      </w:r>
      <w:r w:rsidR="00CF3248">
        <w:rPr>
          <w:rFonts w:ascii="Times New Roman" w:hAnsi="Times New Roman" w:cs="Times New Roman"/>
          <w:sz w:val="18"/>
          <w:szCs w:val="18"/>
        </w:rPr>
        <w:t>.</w:t>
      </w:r>
    </w:p>
  </w:footnote>
  <w:footnote w:id="173">
    <w:p w:rsidR="0075046B" w:rsidRPr="003A3A84" w:rsidP="00AA33BA" w14:paraId="6CC9A2F5" w14:textId="77777777">
      <w:pPr>
        <w:spacing w:after="0" w:line="240" w:lineRule="auto"/>
        <w:rPr>
          <w:rFonts w:ascii="Times New Roman" w:hAnsi="Times New Roman" w:cs="Times New Roman"/>
          <w:sz w:val="18"/>
          <w:szCs w:val="18"/>
        </w:rPr>
      </w:pPr>
      <w:r w:rsidRPr="003A3A84">
        <w:rPr>
          <w:rFonts w:ascii="Times New Roman" w:hAnsi="Times New Roman" w:cs="Times New Roman"/>
          <w:sz w:val="18"/>
          <w:szCs w:val="18"/>
          <w:vertAlign w:val="superscript"/>
        </w:rPr>
        <w:footnoteRef/>
      </w:r>
      <w:r w:rsidRPr="003A3A84">
        <w:rPr>
          <w:rFonts w:ascii="Times New Roman" w:hAnsi="Times New Roman" w:cs="Times New Roman"/>
          <w:sz w:val="18"/>
          <w:szCs w:val="18"/>
        </w:rPr>
        <w:t xml:space="preserve"> U.S. Census Bureau, Census of Governments. </w:t>
      </w:r>
      <w:hyperlink r:id="rId73" w:history="1">
        <w:r w:rsidRPr="003A3A84" w:rsidR="00B20325">
          <w:rPr>
            <w:rStyle w:val="Hyperlink"/>
            <w:rFonts w:ascii="Times New Roman" w:hAnsi="Times New Roman" w:cs="Times New Roman"/>
            <w:sz w:val="18"/>
            <w:szCs w:val="18"/>
          </w:rPr>
          <w:t>https://www.census.gov/programs-surveys/gov-finances/data/historical-data.html</w:t>
        </w:r>
      </w:hyperlink>
      <w:r w:rsidRPr="003A3A84" w:rsidR="00B20325">
        <w:rPr>
          <w:rFonts w:ascii="Times New Roman" w:hAnsi="Times New Roman" w:cs="Times New Roman"/>
          <w:sz w:val="18"/>
          <w:szCs w:val="18"/>
        </w:rPr>
        <w:t>.</w:t>
      </w:r>
    </w:p>
  </w:footnote>
  <w:footnote w:id="174">
    <w:p w:rsidR="0075046B" w:rsidRPr="00633E6C" w:rsidP="003B3BBF" w14:paraId="0E7D6F91" w14:textId="77777777">
      <w:pPr>
        <w:pStyle w:val="TOC2"/>
      </w:pPr>
      <w:r w:rsidRPr="00633E6C">
        <w:rPr>
          <w:vertAlign w:val="superscript"/>
        </w:rPr>
        <w:footnoteRef/>
      </w:r>
      <w:r w:rsidRPr="00633E6C">
        <w:t xml:space="preserve"> Norton Virginia CNW Sewer Authority, </w:t>
      </w:r>
      <w:hyperlink r:id="rId74" w:history="1">
        <w:r w:rsidRPr="00633E6C">
          <w:t>https://www.nortonva.gov/72/CNW-Sewer-Authority</w:t>
        </w:r>
      </w:hyperlink>
      <w:r w:rsidRPr="00633E6C">
        <w:t>. Accessed March 4, 2022</w:t>
      </w:r>
      <w:r w:rsidRPr="00633E6C" w:rsidR="00B55F7A">
        <w:t>.</w:t>
      </w:r>
      <w:r w:rsidRPr="00633E6C" w:rsidR="00B20325">
        <w:t xml:space="preserve"> </w:t>
      </w:r>
    </w:p>
  </w:footnote>
  <w:footnote w:id="175">
    <w:p w:rsidR="0075046B" w:rsidRPr="00633E6C" w:rsidP="003B3BBF" w14:paraId="7D2DCA24" w14:textId="77777777">
      <w:pPr>
        <w:pStyle w:val="TOC2"/>
      </w:pPr>
      <w:r w:rsidRPr="00633E6C">
        <w:rPr>
          <w:vertAlign w:val="superscript"/>
        </w:rPr>
        <w:footnoteRef/>
      </w:r>
      <w:r w:rsidRPr="00633E6C">
        <w:t xml:space="preserve"> U.S. Census Bureau 2020. QuickFacts: Eden city, North Carolina. Retrieved from </w:t>
      </w:r>
      <w:hyperlink r:id="rId75" w:history="1">
        <w:r w:rsidRPr="00633E6C">
          <w:rPr>
            <w:rStyle w:val="Heading3Char"/>
            <w:rFonts w:ascii="Times New Roman" w:hAnsi="Times New Roman" w:cs="Times New Roman"/>
            <w:b w:val="0"/>
            <w:sz w:val="18"/>
            <w:szCs w:val="18"/>
          </w:rPr>
          <w:t>https://www.census.gov/quickfacts/fact/table/edencitynorthcarolina/BZA210219</w:t>
        </w:r>
      </w:hyperlink>
      <w:r w:rsidRPr="00633E6C" w:rsidR="00173F2C">
        <w:rPr>
          <w:rStyle w:val="Heading3Char"/>
          <w:rFonts w:ascii="Times New Roman" w:hAnsi="Times New Roman" w:cs="Times New Roman"/>
          <w:b w:val="0"/>
          <w:sz w:val="18"/>
          <w:szCs w:val="18"/>
        </w:rPr>
        <w:t xml:space="preserve">. </w:t>
      </w:r>
    </w:p>
  </w:footnote>
  <w:footnote w:id="176">
    <w:p w:rsidR="001E3E77" w:rsidRPr="00633E6C" w:rsidP="003B3BBF" w14:paraId="60B0B752" w14:textId="77777777">
      <w:pPr>
        <w:pStyle w:val="TOC2"/>
        <w:rPr>
          <w:lang w:val="es-ES"/>
        </w:rPr>
      </w:pPr>
      <w:r w:rsidRPr="00633E6C">
        <w:rPr>
          <w:vertAlign w:val="superscript"/>
        </w:rPr>
        <w:footnoteRef/>
      </w:r>
      <w:r w:rsidRPr="00633E6C">
        <w:t xml:space="preserve"> City of Eden Financial Statements. </w:t>
      </w:r>
      <w:r w:rsidRPr="00633E6C">
        <w:rPr>
          <w:lang w:val="es-ES"/>
        </w:rPr>
        <w:t>June 30,</w:t>
      </w:r>
      <w:r w:rsidRPr="00633E6C" w:rsidR="00AA33BA">
        <w:rPr>
          <w:lang w:val="es-ES"/>
        </w:rPr>
        <w:t xml:space="preserve"> </w:t>
      </w:r>
      <w:r w:rsidRPr="00633E6C">
        <w:rPr>
          <w:lang w:val="es-ES"/>
        </w:rPr>
        <w:t xml:space="preserve">2020. </w:t>
      </w:r>
    </w:p>
    <w:p w:rsidR="0075046B" w:rsidRPr="00BC4024" w:rsidP="003B3BBF" w14:paraId="7675A285" w14:textId="77777777">
      <w:pPr>
        <w:pStyle w:val="TOC2"/>
        <w:rPr>
          <w:lang w:val="es-ES"/>
        </w:rPr>
      </w:pPr>
      <w:hyperlink r:id="rId76" w:history="1">
        <w:r w:rsidRPr="00BC4024" w:rsidR="00633E6C">
          <w:rPr>
            <w:rStyle w:val="Hyperlink"/>
            <w:lang w:val="es-ES"/>
          </w:rPr>
          <w:t>https://www.edennc.us/home/showpublishe%20ddocument/3781/637623947334730000</w:t>
        </w:r>
      </w:hyperlink>
    </w:p>
    <w:p w:rsidR="00633E6C" w:rsidRPr="00633E6C" w:rsidP="00633E6C" w14:paraId="19E8D170" w14:textId="77777777">
      <w:pPr>
        <w:pStyle w:val="Default"/>
        <w:rPr>
          <w:sz w:val="18"/>
          <w:szCs w:val="18"/>
          <w:lang w:val="es-ES"/>
        </w:rPr>
      </w:pPr>
    </w:p>
  </w:footnote>
  <w:footnote w:id="177">
    <w:p w:rsidR="008527CB" w:rsidRPr="003A3A84" w:rsidP="008527CB" w14:paraId="13B778C0" w14:textId="77777777">
      <w:pPr>
        <w:pStyle w:val="FootnoteText"/>
        <w:tabs>
          <w:tab w:val="left" w:pos="0"/>
        </w:tabs>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D60F08">
        <w:rPr>
          <w:rFonts w:ascii="Times New Roman" w:hAnsi="Times New Roman" w:cs="Times New Roman"/>
          <w:sz w:val="18"/>
          <w:szCs w:val="18"/>
        </w:rPr>
        <w:t xml:space="preserve"> EPA (2022). </w:t>
      </w:r>
      <w:r w:rsidRPr="003A3A84">
        <w:rPr>
          <w:rFonts w:ascii="Times New Roman" w:hAnsi="Times New Roman" w:cs="Times New Roman"/>
          <w:sz w:val="18"/>
          <w:szCs w:val="18"/>
        </w:rPr>
        <w:t xml:space="preserve">Learn About Environmental Justice. </w:t>
      </w:r>
      <w:hyperlink r:id="rId77" w:history="1">
        <w:r w:rsidRPr="003A3A84">
          <w:rPr>
            <w:rStyle w:val="Hyperlink"/>
            <w:rFonts w:ascii="Times New Roman" w:hAnsi="Times New Roman" w:cs="Times New Roman"/>
            <w:sz w:val="18"/>
            <w:szCs w:val="18"/>
          </w:rPr>
          <w:t>https://www.epa.gov/environmentaljustice/learn-about-environmental-justice</w:t>
        </w:r>
      </w:hyperlink>
      <w:r w:rsidRPr="003A3A84">
        <w:rPr>
          <w:rFonts w:ascii="Times New Roman" w:hAnsi="Times New Roman" w:cs="Times New Roman"/>
          <w:sz w:val="18"/>
          <w:szCs w:val="18"/>
        </w:rPr>
        <w:t>. Accessed February 10, 2022.</w:t>
      </w:r>
    </w:p>
  </w:footnote>
  <w:footnote w:id="178">
    <w:p w:rsidR="008527CB" w:rsidRPr="003A3A84" w:rsidP="008527CB" w14:paraId="00A02709" w14:textId="77777777">
      <w:pPr>
        <w:pStyle w:val="FootnoteText"/>
        <w:tabs>
          <w:tab w:val="left" w:pos="0"/>
        </w:tabs>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EPA (2016). Technical Guidance for Assessing Environmental Justice in Regulatory Analysis. </w:t>
      </w:r>
      <w:hyperlink r:id="rId78" w:history="1">
        <w:r w:rsidRPr="003A3A84">
          <w:rPr>
            <w:rStyle w:val="Hyperlink"/>
            <w:rFonts w:ascii="Times New Roman" w:hAnsi="Times New Roman" w:cs="Times New Roman"/>
            <w:sz w:val="18"/>
            <w:szCs w:val="18"/>
          </w:rPr>
          <w:t>https://www.epa.gov/sites/production/files/2016-06/documents/ejtg_5_6_16_v5.1.pdf</w:t>
        </w:r>
      </w:hyperlink>
      <w:r w:rsidRPr="003A3A84">
        <w:rPr>
          <w:rFonts w:ascii="Times New Roman" w:hAnsi="Times New Roman" w:cs="Times New Roman"/>
          <w:sz w:val="18"/>
          <w:szCs w:val="18"/>
        </w:rPr>
        <w:t>.</w:t>
      </w:r>
    </w:p>
  </w:footnote>
  <w:footnote w:id="179">
    <w:p w:rsidR="008527CB" w:rsidRPr="003A3A84" w:rsidP="008527CB" w14:paraId="1B062A1C" w14:textId="77777777">
      <w:pPr>
        <w:pStyle w:val="FootnoteText"/>
        <w:tabs>
          <w:tab w:val="left" w:pos="0"/>
        </w:tabs>
        <w:rPr>
          <w:rFonts w:ascii="Times New Roman" w:hAnsi="Times New Roman" w:cs="Times New Roman"/>
          <w:sz w:val="18"/>
          <w:szCs w:val="18"/>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EPA (2018). Guidance on Considering Environmental Justice During the Development of Regulatory Actions</w:t>
      </w:r>
      <w:hyperlink r:id="rId79" w:history="1">
        <w:r w:rsidRPr="003A3A84">
          <w:rPr>
            <w:rStyle w:val="Hyperlink"/>
            <w:rFonts w:ascii="Times New Roman" w:hAnsi="Times New Roman" w:cs="Times New Roman"/>
            <w:sz w:val="18"/>
            <w:szCs w:val="18"/>
          </w:rPr>
          <w:t>. https://www.epa.gov/sites/default/files/2015-06/documents/considering-ej-in-rulemaking-guide-final.pdf</w:t>
        </w:r>
      </w:hyperlink>
      <w:r w:rsidRPr="003A3A84">
        <w:rPr>
          <w:rStyle w:val="Hyperlink"/>
          <w:rFonts w:ascii="Times New Roman" w:hAnsi="Times New Roman" w:cs="Times New Roman"/>
          <w:sz w:val="18"/>
          <w:szCs w:val="18"/>
        </w:rPr>
        <w:t>.</w:t>
      </w:r>
    </w:p>
  </w:footnote>
  <w:footnote w:id="180">
    <w:p w:rsidR="008527CB" w:rsidRPr="003A3A84" w:rsidP="008527CB" w14:paraId="568A4399" w14:textId="77777777">
      <w:pPr>
        <w:pStyle w:val="FootnoteText"/>
        <w:tabs>
          <w:tab w:val="left" w:pos="0"/>
        </w:tabs>
        <w:rPr>
          <w:rFonts w:ascii="Times New Roman" w:hAnsi="Times New Roman" w:cs="Times New Roman"/>
          <w:sz w:val="18"/>
          <w:szCs w:val="18"/>
        </w:rPr>
      </w:pPr>
      <w:hyperlink r:id="rId80" w:history="1">
        <w:r w:rsidRPr="003A3A84" w:rsidR="00827144">
          <w:rPr>
            <w:rFonts w:ascii="Times New Roman" w:hAnsi="Times New Roman" w:cs="Times New Roman"/>
            <w:sz w:val="18"/>
            <w:szCs w:val="18"/>
          </w:rPr>
          <w:footnoteRef/>
        </w:r>
        <w:r w:rsidRPr="003A3A84" w:rsidR="00827144">
          <w:rPr>
            <w:rFonts w:ascii="Times New Roman" w:hAnsi="Times New Roman" w:cs="Times New Roman"/>
            <w:sz w:val="18"/>
            <w:szCs w:val="18"/>
            <w:vertAlign w:val="superscript"/>
          </w:rPr>
          <w:t xml:space="preserve"> </w:t>
        </w:r>
        <w:r w:rsidRPr="003A3A84" w:rsidR="00827144">
          <w:rPr>
            <w:rFonts w:ascii="Times New Roman" w:hAnsi="Times New Roman" w:cs="Times New Roman"/>
            <w:sz w:val="18"/>
            <w:szCs w:val="18"/>
          </w:rPr>
          <w:t>EPA (2016). Technical Guidance for Assessing Environmental Justice in Regulatory Analysis.</w:t>
        </w:r>
        <w:r w:rsidRPr="003A3A84" w:rsidR="00827144">
          <w:rPr>
            <w:rStyle w:val="Hyperlink"/>
            <w:rFonts w:ascii="Times New Roman" w:hAnsi="Times New Roman" w:cs="Times New Roman"/>
            <w:sz w:val="18"/>
            <w:szCs w:val="18"/>
          </w:rPr>
          <w:t xml:space="preserve"> https://www.epa.gov/sites/production/files/2016-06/documents/ejtg_5_6_16_v5.1.pdf</w:t>
        </w:r>
      </w:hyperlink>
      <w:r w:rsidRPr="003A3A84" w:rsidR="00827144">
        <w:rPr>
          <w:rFonts w:ascii="Times New Roman" w:hAnsi="Times New Roman" w:cs="Times New Roman"/>
          <w:sz w:val="18"/>
          <w:szCs w:val="18"/>
        </w:rPr>
        <w:t>.</w:t>
      </w:r>
    </w:p>
  </w:footnote>
  <w:footnote w:id="181">
    <w:p w:rsidR="008527CB" w:rsidRPr="00167C61" w:rsidP="008527CB" w14:paraId="1150183E" w14:textId="77777777">
      <w:pPr>
        <w:pStyle w:val="FootnoteText"/>
        <w:rPr>
          <w:rFonts w:ascii="Times New Roman" w:hAnsi="Times New Roman" w:cs="Times New Roman"/>
        </w:rPr>
      </w:pPr>
      <w:r w:rsidRPr="003A3A84">
        <w:rPr>
          <w:rStyle w:val="FootnoteReference"/>
          <w:rFonts w:ascii="Times New Roman" w:hAnsi="Times New Roman" w:cs="Times New Roman"/>
          <w:sz w:val="18"/>
          <w:szCs w:val="18"/>
        </w:rPr>
        <w:footnoteRef/>
      </w:r>
      <w:r w:rsidRPr="003A3A84">
        <w:rPr>
          <w:rFonts w:ascii="Times New Roman" w:hAnsi="Times New Roman" w:cs="Times New Roman"/>
          <w:sz w:val="18"/>
          <w:szCs w:val="18"/>
        </w:rPr>
        <w:t xml:space="preserve"> Differential impacts on population groups of concern can only be identified in relation to a comparison group. A comparison group can be defined in multiple ways, for instance in terms of individuals with similar socioeconomic characteristics located at a broader geographic level or with different socioeconomic characteristics within an affected area. The goal is to select a comparison group that allows one to identify how the effects of the regulation vary by race, ethnicity, and income separate from other systematic differences across groups or geographic areas.</w:t>
      </w:r>
      <w:r w:rsidRPr="00167C61">
        <w:rPr>
          <w:rFonts w:ascii="Times New Roman" w:hAnsi="Times New Roman" w:cs="Times New Roman"/>
        </w:rPr>
        <w:t xml:space="preserve"> </w:t>
      </w:r>
    </w:p>
  </w:footnote>
  <w:footnote w:id="182">
    <w:p w:rsidR="008527CB" w:rsidRPr="008C295A" w:rsidP="008527CB" w14:paraId="48BEC19D" w14:textId="77777777">
      <w:pPr>
        <w:pStyle w:val="FootnoteText"/>
        <w:rPr>
          <w:rFonts w:ascii="Times New Roman" w:hAnsi="Times New Roman" w:cs="Times New Roman"/>
          <w:sz w:val="18"/>
          <w:szCs w:val="18"/>
        </w:rPr>
      </w:pPr>
      <w:r w:rsidRPr="008C295A">
        <w:rPr>
          <w:rStyle w:val="FootnoteReference"/>
          <w:rFonts w:ascii="Times New Roman" w:hAnsi="Times New Roman" w:cs="Times New Roman"/>
          <w:sz w:val="18"/>
          <w:szCs w:val="18"/>
        </w:rPr>
        <w:footnoteRef/>
      </w:r>
      <w:r w:rsidRPr="00D60F08" w:rsidR="00887025">
        <w:rPr>
          <w:rFonts w:ascii="Times New Roman" w:hAnsi="Times New Roman" w:cs="Times New Roman"/>
          <w:sz w:val="18"/>
          <w:szCs w:val="18"/>
        </w:rPr>
        <w:t xml:space="preserve"> The facility universe is based on the RMP Database as of August 1, 2021. The facility universe differs slightly from the universe considered in other chapters as it includes only those facilities for which there were accurate coordinate locations. For this analysis, 49 facilities were removed from the facility universe because they did not have accurate coordinate locations.</w:t>
      </w:r>
    </w:p>
  </w:footnote>
  <w:footnote w:id="183">
    <w:p w:rsidR="00887025" w:rsidRPr="00D60F08" w:rsidP="00887025" w14:paraId="59167BA0" w14:textId="77777777">
      <w:pPr>
        <w:pStyle w:val="FootnoteText"/>
        <w:rPr>
          <w:sz w:val="18"/>
          <w:szCs w:val="18"/>
        </w:rPr>
      </w:pPr>
      <w:r w:rsidRPr="00D60F08">
        <w:rPr>
          <w:rFonts w:ascii="Times New Roman" w:hAnsi="Times New Roman" w:cs="Times New Roman"/>
          <w:sz w:val="18"/>
          <w:szCs w:val="18"/>
        </w:rPr>
        <w:footnoteRef/>
      </w:r>
      <w:r w:rsidRPr="00D60F08">
        <w:rPr>
          <w:rFonts w:ascii="Times New Roman" w:hAnsi="Times New Roman" w:cs="Times New Roman"/>
          <w:sz w:val="18"/>
          <w:szCs w:val="18"/>
          <w:vertAlign w:val="superscript"/>
        </w:rPr>
        <w:t xml:space="preserve"> </w:t>
      </w:r>
      <w:r w:rsidRPr="00D60F08">
        <w:rPr>
          <w:rFonts w:ascii="Times New Roman" w:hAnsi="Times New Roman" w:cs="Times New Roman"/>
          <w:sz w:val="18"/>
          <w:szCs w:val="18"/>
        </w:rPr>
        <w:t>For this analysis, low-income individuals are defined as individuals earning less than or equal to twice the federal poverty level.</w:t>
      </w:r>
    </w:p>
  </w:footnote>
  <w:footnote w:id="184">
    <w:p w:rsidR="00887025" w:rsidRPr="00D60F08" w:rsidP="00887025" w14:paraId="4E918FED" w14:textId="77777777">
      <w:pPr>
        <w:pStyle w:val="FootnoteText"/>
        <w:rPr>
          <w:sz w:val="18"/>
          <w:szCs w:val="18"/>
        </w:rPr>
      </w:pPr>
      <w:r w:rsidRPr="00D60F08">
        <w:rPr>
          <w:rFonts w:ascii="Times New Roman" w:hAnsi="Times New Roman" w:cs="Times New Roman"/>
          <w:sz w:val="18"/>
          <w:szCs w:val="18"/>
        </w:rPr>
        <w:footnoteRef/>
      </w:r>
      <w:r w:rsidRPr="00D60F08">
        <w:rPr>
          <w:rFonts w:ascii="Times New Roman" w:hAnsi="Times New Roman" w:cs="Times New Roman"/>
          <w:sz w:val="18"/>
          <w:szCs w:val="18"/>
          <w:vertAlign w:val="superscript"/>
        </w:rPr>
        <w:t xml:space="preserve"> </w:t>
      </w:r>
      <w:r w:rsidRPr="00D60F08">
        <w:rPr>
          <w:rFonts w:ascii="Times New Roman" w:hAnsi="Times New Roman" w:cs="Times New Roman"/>
          <w:sz w:val="18"/>
          <w:szCs w:val="18"/>
        </w:rPr>
        <w:t>Facilities provide information to households living up to six miles away, reflective of a worst-case chemical release scenario, but this analysis focused on communities most likely to be affected by the rulemaking.</w:t>
      </w:r>
    </w:p>
  </w:footnote>
  <w:footnote w:id="185">
    <w:p w:rsidR="00887025" w:rsidP="00887025" w14:paraId="414B5907" w14:textId="77777777">
      <w:pPr>
        <w:pStyle w:val="FootnoteText"/>
      </w:pPr>
      <w:r w:rsidRPr="00D60F08">
        <w:rPr>
          <w:rFonts w:ascii="Times New Roman" w:hAnsi="Times New Roman" w:cs="Times New Roman"/>
          <w:sz w:val="18"/>
          <w:szCs w:val="18"/>
        </w:rPr>
        <w:footnoteRef/>
      </w:r>
      <w:r w:rsidRPr="00D60F08">
        <w:rPr>
          <w:rFonts w:ascii="Times New Roman" w:hAnsi="Times New Roman" w:cs="Times New Roman"/>
          <w:sz w:val="18"/>
          <w:szCs w:val="18"/>
        </w:rPr>
        <w:t xml:space="preserve"> To generate a consistent comparison group that was not inclusive of the communities likely to be affected by the rulemaking, EPA used the population outside of the one-mile buffers since it would be a relevant comparison population for both the one-mile and three-mile buffers.</w:t>
      </w:r>
    </w:p>
  </w:footnote>
  <w:footnote w:id="186">
    <w:p w:rsidR="00887025" w:rsidRPr="00D60F08" w:rsidP="00887025" w14:paraId="02A34AE5" w14:textId="77777777">
      <w:pPr>
        <w:pStyle w:val="FootnoteText"/>
        <w:rPr>
          <w:rFonts w:ascii="Times New Roman" w:hAnsi="Times New Roman" w:cs="Times New Roman"/>
          <w:sz w:val="18"/>
          <w:szCs w:val="18"/>
        </w:rPr>
      </w:pPr>
      <w:r w:rsidRPr="00D60F08">
        <w:rPr>
          <w:rStyle w:val="FootnoteReference"/>
          <w:rFonts w:ascii="Times New Roman" w:hAnsi="Times New Roman" w:cs="Times New Roman"/>
          <w:sz w:val="18"/>
          <w:szCs w:val="18"/>
        </w:rPr>
        <w:footnoteRef/>
      </w:r>
      <w:r w:rsidRPr="00D60F08">
        <w:rPr>
          <w:rFonts w:ascii="Times New Roman" w:hAnsi="Times New Roman" w:cs="Times New Roman"/>
          <w:sz w:val="18"/>
          <w:szCs w:val="18"/>
        </w:rPr>
        <w:t xml:space="preserve"> RMP facilities have less than 1 to more than 27,000,000 times the regulatory threshold quantities of regulated chemicals.</w:t>
      </w:r>
    </w:p>
  </w:footnote>
  <w:footnote w:id="187">
    <w:p w:rsidR="00887025" w:rsidRPr="00921681" w:rsidP="00887025" w14:paraId="4D7CF581" w14:textId="77777777">
      <w:pPr>
        <w:pStyle w:val="FootnoteText"/>
        <w:rPr>
          <w:rFonts w:ascii="Times New Roman" w:hAnsi="Times New Roman" w:cs="Times New Roman"/>
        </w:rPr>
      </w:pPr>
      <w:r w:rsidRPr="00D60F08">
        <w:rPr>
          <w:rStyle w:val="FootnoteReference"/>
          <w:rFonts w:ascii="Times New Roman" w:hAnsi="Times New Roman" w:cs="Times New Roman"/>
          <w:sz w:val="18"/>
          <w:szCs w:val="18"/>
        </w:rPr>
        <w:footnoteRef/>
      </w:r>
      <w:r w:rsidRPr="00D60F08">
        <w:rPr>
          <w:rFonts w:ascii="Times New Roman" w:hAnsi="Times New Roman" w:cs="Times New Roman"/>
          <w:sz w:val="18"/>
          <w:szCs w:val="18"/>
        </w:rPr>
        <w:t xml:space="preserve"> Note that the large difference between the size of the affected population within one mile of RMP facilities versus the size of those within three miles is caused the fraction of urban areas that intersect with the buffers. While only portions of large cities intersect with one-mile buffers, most large cities are almost completely covered by the three-mile buffers. As such, the number of affected individuals increases drastically between the one to three-mile buffers. </w:t>
      </w:r>
    </w:p>
  </w:footnote>
  <w:footnote w:id="188">
    <w:p w:rsidR="00887025" w:rsidRPr="00D60F08" w:rsidP="00887025" w14:paraId="4DE32630" w14:textId="77777777">
      <w:pPr>
        <w:pStyle w:val="FootnoteText"/>
        <w:rPr>
          <w:rFonts w:ascii="Times New Roman" w:hAnsi="Times New Roman" w:cs="Times New Roman"/>
          <w:sz w:val="18"/>
          <w:szCs w:val="18"/>
        </w:rPr>
      </w:pPr>
      <w:r w:rsidRPr="00D60F08">
        <w:rPr>
          <w:rStyle w:val="FootnoteReference"/>
          <w:rFonts w:ascii="Times New Roman" w:hAnsi="Times New Roman" w:cs="Times New Roman"/>
          <w:sz w:val="18"/>
          <w:szCs w:val="18"/>
        </w:rPr>
        <w:footnoteRef/>
      </w:r>
      <w:r w:rsidRPr="00D60F08">
        <w:rPr>
          <w:rFonts w:ascii="Times New Roman" w:hAnsi="Times New Roman" w:cs="Times New Roman"/>
          <w:sz w:val="18"/>
          <w:szCs w:val="18"/>
        </w:rPr>
        <w:t xml:space="preserve"> The tail end of the distribution corresponds to fewer than five RMP facilities.</w:t>
      </w:r>
    </w:p>
  </w:footnote>
  <w:footnote w:id="189">
    <w:p w:rsidR="00887025" w:rsidRPr="000A379A" w:rsidP="00887025" w14:paraId="1E3CE57E" w14:textId="77777777">
      <w:pPr>
        <w:pStyle w:val="FootnoteText"/>
        <w:rPr>
          <w:rFonts w:ascii="Times New Roman" w:hAnsi="Times New Roman" w:cs="Times New Roman"/>
        </w:rPr>
      </w:pPr>
      <w:r w:rsidRPr="00D60F08">
        <w:rPr>
          <w:rStyle w:val="FootnoteReference"/>
          <w:rFonts w:ascii="Times New Roman" w:hAnsi="Times New Roman" w:cs="Times New Roman"/>
          <w:sz w:val="18"/>
          <w:szCs w:val="18"/>
        </w:rPr>
        <w:footnoteRef/>
      </w:r>
      <w:r w:rsidRPr="00D60F08">
        <w:rPr>
          <w:rFonts w:ascii="Times New Roman" w:hAnsi="Times New Roman" w:cs="Times New Roman"/>
          <w:sz w:val="18"/>
          <w:szCs w:val="18"/>
        </w:rPr>
        <w:t xml:space="preserve"> EPA could not calculate a chemical process quantity multiplier for ten RMP facilities that were then excluded from this analysis.</w:t>
      </w:r>
    </w:p>
  </w:footnote>
  <w:footnote w:id="190">
    <w:p w:rsidR="008527CB" w:rsidRPr="00D23AB0" w:rsidP="008527CB" w14:paraId="213CD563" w14:textId="77777777">
      <w:pPr>
        <w:pStyle w:val="FootnoteText"/>
        <w:rPr>
          <w:rFonts w:ascii="Times New Roman" w:hAnsi="Times New Roman" w:cs="Times New Roman"/>
          <w:sz w:val="18"/>
          <w:szCs w:val="18"/>
        </w:rPr>
      </w:pPr>
      <w:r w:rsidRPr="00D23AB0">
        <w:rPr>
          <w:rStyle w:val="FootnoteReference"/>
          <w:rFonts w:ascii="Times New Roman" w:hAnsi="Times New Roman" w:cs="Times New Roman"/>
          <w:sz w:val="18"/>
          <w:szCs w:val="18"/>
        </w:rPr>
        <w:footnoteRef/>
      </w:r>
      <w:r w:rsidRPr="00D23AB0">
        <w:rPr>
          <w:rFonts w:ascii="Times New Roman" w:hAnsi="Times New Roman" w:cs="Times New Roman"/>
          <w:sz w:val="18"/>
          <w:szCs w:val="18"/>
        </w:rPr>
        <w:t xml:space="preserve"> USGCRP. (2018). Impacts, Risks, and Adaptation in the United States: Fourth National Climate Assessment, Volume II [Reidmiller, D.R., C.W. Avery, D.R. Easterling, K.E. Kunkel, K.L.M. Lewis, T.K. Maycock, and B.C. Stewart (eds.)]. U.S. Global Change Research Program, Washington, DC, USA, 1515 pp. doi: 10.7930/NCA4.2018.</w:t>
      </w:r>
    </w:p>
  </w:footnote>
  <w:footnote w:id="191">
    <w:p w:rsidR="008527CB" w:rsidRPr="00921681" w:rsidP="008527CB" w14:paraId="35D2FCCD" w14:textId="77777777">
      <w:pPr>
        <w:pStyle w:val="FootnoteText"/>
        <w:rPr>
          <w:rFonts w:ascii="Times New Roman" w:hAnsi="Times New Roman" w:cs="Times New Roman"/>
        </w:rPr>
      </w:pPr>
      <w:r w:rsidRPr="00D23AB0">
        <w:rPr>
          <w:rStyle w:val="FootnoteReference"/>
          <w:rFonts w:ascii="Times New Roman" w:hAnsi="Times New Roman" w:cs="Times New Roman"/>
          <w:sz w:val="18"/>
          <w:szCs w:val="18"/>
        </w:rPr>
        <w:footnoteRef/>
      </w:r>
      <w:r w:rsidRPr="00D23AB0">
        <w:rPr>
          <w:rFonts w:ascii="Times New Roman" w:hAnsi="Times New Roman" w:cs="Times New Roman"/>
          <w:sz w:val="18"/>
          <w:szCs w:val="18"/>
        </w:rPr>
        <w:t xml:space="preserve"> USGCRP. (2016): The Impacts of Climate Change on Human Health in the United States: A Scientific Assessment. Crimmins, A., J. Balbus, J.L. Gamble, C.B. Beard, J.E. Bell, D. Dodgen, R.J. Eisen, N. Fann, M.D. Hawkins, S.C. Herring, L. Jantarasami, D.M. Mills, S. Saha, M.C. Sarofim, J. Trtanj, and L. Ziska, Eds. U.S. Global Change Research Program, Washington, DC, 312 pp. http://dx.doi.org/10.7930/J0R49NQX.</w:t>
      </w:r>
    </w:p>
  </w:footnote>
  <w:footnote w:id="192">
    <w:p w:rsidR="008527CB" w:rsidRPr="00921681" w:rsidP="008527CB" w14:paraId="7A390309" w14:textId="77777777">
      <w:pPr>
        <w:pStyle w:val="FootnoteText"/>
        <w:rPr>
          <w:rFonts w:ascii="Times New Roman" w:hAnsi="Times New Roman" w:cs="Times New Roman"/>
        </w:rPr>
      </w:pPr>
      <w:r w:rsidRPr="00921681">
        <w:rPr>
          <w:rStyle w:val="FootnoteReference"/>
          <w:rFonts w:ascii="Times New Roman" w:hAnsi="Times New Roman" w:cs="Times New Roman"/>
        </w:rPr>
        <w:footnoteRef/>
      </w:r>
      <w:r w:rsidRPr="00921681">
        <w:rPr>
          <w:rFonts w:ascii="Times New Roman" w:hAnsi="Times New Roman" w:cs="Times New Roman"/>
        </w:rPr>
        <w:t xml:space="preserve"> Oppenheimer, M., M. Campos, R.Warren, J. Birkmann, G. Luber, B. O’Neill, and K. Takahashi</w:t>
      </w:r>
      <w:r>
        <w:rPr>
          <w:rFonts w:ascii="Times New Roman" w:hAnsi="Times New Roman" w:cs="Times New Roman"/>
        </w:rPr>
        <w:t>.</w:t>
      </w:r>
      <w:r w:rsidRPr="00921681">
        <w:rPr>
          <w:rFonts w:ascii="Times New Roman" w:hAnsi="Times New Roman" w:cs="Times New Roman"/>
        </w:rPr>
        <w:t xml:space="preserve"> </w:t>
      </w:r>
      <w:r>
        <w:rPr>
          <w:rFonts w:ascii="Times New Roman" w:hAnsi="Times New Roman" w:cs="Times New Roman"/>
        </w:rPr>
        <w:t>(</w:t>
      </w:r>
      <w:r w:rsidRPr="00921681">
        <w:rPr>
          <w:rFonts w:ascii="Times New Roman" w:hAnsi="Times New Roman" w:cs="Times New Roman"/>
        </w:rPr>
        <w:t>2014</w:t>
      </w:r>
      <w:r>
        <w:rPr>
          <w:rFonts w:ascii="Times New Roman" w:hAnsi="Times New Roman" w:cs="Times New Roman"/>
        </w:rPr>
        <w:t>).</w:t>
      </w:r>
      <w:r w:rsidRPr="00921681">
        <w:rPr>
          <w:rFonts w:ascii="Times New Roman" w:hAnsi="Times New Roman" w:cs="Times New Roman"/>
        </w:rPr>
        <w:t xml:space="preserve"> Emergent risks and key vulnerabilities. In: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L.L.White (eds.)]. Cambridge University Press, Cambridge, United Kingdom and New York, NY, USA, pp. 1039</w:t>
      </w:r>
      <w:r>
        <w:rPr>
          <w:rFonts w:ascii="Times New Roman" w:hAnsi="Times New Roman" w:cs="Times New Roman"/>
        </w:rPr>
        <w:t>-</w:t>
      </w:r>
      <w:r w:rsidRPr="00921681">
        <w:rPr>
          <w:rFonts w:ascii="Times New Roman" w:hAnsi="Times New Roman" w:cs="Times New Roman"/>
        </w:rPr>
        <w:t>1099.</w:t>
      </w:r>
    </w:p>
  </w:footnote>
  <w:footnote w:id="193">
    <w:p w:rsidR="008527CB" w:rsidRPr="00921681" w:rsidP="008527CB" w14:paraId="783663CE" w14:textId="77777777">
      <w:pPr>
        <w:pStyle w:val="FootnoteText"/>
        <w:rPr>
          <w:rFonts w:ascii="Times New Roman" w:hAnsi="Times New Roman" w:cs="Times New Roman"/>
        </w:rPr>
      </w:pPr>
      <w:r w:rsidRPr="00921681">
        <w:rPr>
          <w:rStyle w:val="FootnoteReference"/>
          <w:rFonts w:ascii="Times New Roman" w:hAnsi="Times New Roman" w:cs="Times New Roman"/>
        </w:rPr>
        <w:footnoteRef/>
      </w:r>
      <w:r w:rsidRPr="00921681">
        <w:rPr>
          <w:rFonts w:ascii="Times New Roman" w:hAnsi="Times New Roman" w:cs="Times New Roman"/>
        </w:rPr>
        <w:t xml:space="preserve"> Porter, J.R., L. Xie, A.J. Challinor, K. Cochrane, S.M. Howden, M.M. Iqbal, D.B. Lobell, and M.I. Travasso, </w:t>
      </w:r>
      <w:r>
        <w:rPr>
          <w:rFonts w:ascii="Times New Roman" w:hAnsi="Times New Roman" w:cs="Times New Roman"/>
        </w:rPr>
        <w:t>(</w:t>
      </w:r>
      <w:r w:rsidRPr="00921681">
        <w:rPr>
          <w:rFonts w:ascii="Times New Roman" w:hAnsi="Times New Roman" w:cs="Times New Roman"/>
        </w:rPr>
        <w:t>2014</w:t>
      </w:r>
      <w:r>
        <w:rPr>
          <w:rFonts w:ascii="Times New Roman" w:hAnsi="Times New Roman" w:cs="Times New Roman"/>
        </w:rPr>
        <w:t>).</w:t>
      </w:r>
      <w:r w:rsidRPr="00921681">
        <w:rPr>
          <w:rFonts w:ascii="Times New Roman" w:hAnsi="Times New Roman" w:cs="Times New Roman"/>
        </w:rPr>
        <w:t xml:space="preserve"> Food security and food production systems. In: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L.L.White (eds.)]. Cambridge University Press, Cambridge, United Kingdom and New York, NY, USA, pp. 485-533.</w:t>
      </w:r>
    </w:p>
  </w:footnote>
  <w:footnote w:id="194">
    <w:p w:rsidR="008527CB" w:rsidRPr="00921681" w:rsidP="008527CB" w14:paraId="599FD9A2" w14:textId="77777777">
      <w:pPr>
        <w:pStyle w:val="FootnoteText"/>
        <w:rPr>
          <w:rFonts w:ascii="Times New Roman" w:hAnsi="Times New Roman" w:cs="Times New Roman"/>
        </w:rPr>
      </w:pPr>
      <w:r w:rsidRPr="00921681">
        <w:rPr>
          <w:rStyle w:val="FootnoteReference"/>
          <w:rFonts w:ascii="Times New Roman" w:hAnsi="Times New Roman" w:cs="Times New Roman"/>
        </w:rPr>
        <w:footnoteRef/>
      </w:r>
      <w:r w:rsidRPr="00921681">
        <w:rPr>
          <w:rFonts w:ascii="Times New Roman" w:hAnsi="Times New Roman" w:cs="Times New Roman"/>
        </w:rPr>
        <w:t xml:space="preserve"> Smith, K.R., A.Woodward, D. Campbell-Lendrum, D.D. Chadee, Y. Honda, Q. Liu, J.M. Olwoch, B. Revich, and R. Sauerborn </w:t>
      </w:r>
      <w:r>
        <w:rPr>
          <w:rFonts w:ascii="Times New Roman" w:hAnsi="Times New Roman" w:cs="Times New Roman"/>
        </w:rPr>
        <w:t>(</w:t>
      </w:r>
      <w:r w:rsidRPr="00921681">
        <w:rPr>
          <w:rFonts w:ascii="Times New Roman" w:hAnsi="Times New Roman" w:cs="Times New Roman"/>
        </w:rPr>
        <w:t>2014</w:t>
      </w:r>
      <w:r>
        <w:rPr>
          <w:rFonts w:ascii="Times New Roman" w:hAnsi="Times New Roman" w:cs="Times New Roman"/>
        </w:rPr>
        <w:t>).</w:t>
      </w:r>
      <w:r w:rsidRPr="00921681">
        <w:rPr>
          <w:rFonts w:ascii="Times New Roman" w:hAnsi="Times New Roman" w:cs="Times New Roman"/>
        </w:rPr>
        <w:t xml:space="preserve"> Human health: impacts, adaptation, and co-benefits. In: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Kissel,A.N. Levy, S. MacCracken, P.R. Mastrandrea, and L.L.White (eds.)]. Cambridge University Press, Cambridge, United Kingdom and New York, NY, USA, pp. 709-754.</w:t>
      </w:r>
    </w:p>
  </w:footnote>
  <w:footnote w:id="195">
    <w:p w:rsidR="008527CB" w:rsidP="008527CB" w14:paraId="646D092C" w14:textId="77777777">
      <w:pPr>
        <w:pStyle w:val="FootnoteText"/>
      </w:pPr>
      <w:r w:rsidRPr="00921681">
        <w:rPr>
          <w:rStyle w:val="FootnoteReference"/>
          <w:rFonts w:ascii="Times New Roman" w:hAnsi="Times New Roman" w:cs="Times New Roman"/>
        </w:rPr>
        <w:footnoteRef/>
      </w:r>
      <w:r w:rsidRPr="00921681">
        <w:rPr>
          <w:rFonts w:ascii="Times New Roman" w:hAnsi="Times New Roman" w:cs="Times New Roman"/>
        </w:rPr>
        <w:t xml:space="preserve"> IPCC</w:t>
      </w:r>
      <w:r>
        <w:rPr>
          <w:rFonts w:ascii="Times New Roman" w:hAnsi="Times New Roman" w:cs="Times New Roman"/>
        </w:rPr>
        <w:t>.</w:t>
      </w:r>
      <w:r w:rsidRPr="00921681">
        <w:rPr>
          <w:rFonts w:ascii="Times New Roman" w:hAnsi="Times New Roman" w:cs="Times New Roman"/>
        </w:rPr>
        <w:t xml:space="preserve"> </w:t>
      </w:r>
      <w:r>
        <w:rPr>
          <w:rFonts w:ascii="Times New Roman" w:hAnsi="Times New Roman" w:cs="Times New Roman"/>
        </w:rPr>
        <w:t>(</w:t>
      </w:r>
      <w:r w:rsidRPr="00921681">
        <w:rPr>
          <w:rFonts w:ascii="Times New Roman" w:hAnsi="Times New Roman" w:cs="Times New Roman"/>
        </w:rPr>
        <w:t>2018</w:t>
      </w:r>
      <w:r>
        <w:rPr>
          <w:rFonts w:ascii="Times New Roman" w:hAnsi="Times New Roman" w:cs="Times New Roman"/>
        </w:rPr>
        <w:t>).</w:t>
      </w:r>
      <w:r w:rsidRPr="00921681">
        <w:rPr>
          <w:rFonts w:ascii="Times New Roman" w:hAnsi="Times New Roman" w:cs="Times New Roman"/>
        </w:rPr>
        <w:t xml:space="preserve"> Global Warming of 1.5°C.</w:t>
      </w:r>
      <w:r>
        <w:rPr>
          <w:rFonts w:ascii="Times New Roman" w:hAnsi="Times New Roman" w:cs="Times New Roman"/>
        </w:rPr>
        <w:t xml:space="preserve"> </w:t>
      </w:r>
      <w:r w:rsidRPr="00921681">
        <w:rPr>
          <w:rFonts w:ascii="Times New Roman" w:hAnsi="Times New Roman" w:cs="Times New Roman"/>
        </w:rPr>
        <w:t>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[Masson-Delmotte, V., P. Zhai, H.-O. Pörtner, D. Roberts, J. Skea, P.R. Shukla, A. Pirani, W. Moufouma-Okia, C. Péan, R. Pidcock, S. Connors, J.B.R. Matthews, Y. Chen, X. Zhou, M.I. Gomis, E. Lonnoy, T. Maycock, M. Tignor, and T. Waterfield (eds.)]. In Press.</w:t>
      </w:r>
    </w:p>
  </w:footnote>
  <w:footnote w:id="196">
    <w:p w:rsidR="008527CB" w:rsidRPr="00921681" w:rsidP="008527CB" w14:paraId="4605B759" w14:textId="77777777">
      <w:pPr>
        <w:pStyle w:val="FootnoteText"/>
        <w:rPr>
          <w:rFonts w:ascii="Times New Roman" w:hAnsi="Times New Roman" w:cs="Times New Roman"/>
        </w:rPr>
      </w:pPr>
      <w:r w:rsidRPr="00921681">
        <w:rPr>
          <w:rStyle w:val="FootnoteReference"/>
          <w:rFonts w:ascii="Times New Roman" w:hAnsi="Times New Roman" w:cs="Times New Roman"/>
        </w:rPr>
        <w:footnoteRef/>
      </w:r>
      <w:r w:rsidRPr="00921681">
        <w:rPr>
          <w:rFonts w:ascii="Times New Roman" w:hAnsi="Times New Roman" w:cs="Times New Roman"/>
        </w:rPr>
        <w:t xml:space="preserve"> National Research Council. </w:t>
      </w:r>
      <w:r>
        <w:rPr>
          <w:rFonts w:ascii="Times New Roman" w:hAnsi="Times New Roman" w:cs="Times New Roman"/>
        </w:rPr>
        <w:t>(</w:t>
      </w:r>
      <w:r w:rsidRPr="00921681">
        <w:rPr>
          <w:rFonts w:ascii="Times New Roman" w:hAnsi="Times New Roman" w:cs="Times New Roman"/>
        </w:rPr>
        <w:t>2011</w:t>
      </w:r>
      <w:r>
        <w:rPr>
          <w:rFonts w:ascii="Times New Roman" w:hAnsi="Times New Roman" w:cs="Times New Roman"/>
        </w:rPr>
        <w:t>)</w:t>
      </w:r>
      <w:r w:rsidRPr="00921681">
        <w:rPr>
          <w:rFonts w:ascii="Times New Roman" w:hAnsi="Times New Roman" w:cs="Times New Roman"/>
        </w:rPr>
        <w:t>. America's Climate Choices. Washington, DC: The National Academies Press. https://doi.org/10.17226/12781.</w:t>
      </w:r>
    </w:p>
  </w:footnote>
  <w:footnote w:id="197">
    <w:p w:rsidR="008527CB" w:rsidP="008527CB" w14:paraId="6457AD6B" w14:textId="77777777">
      <w:pPr>
        <w:pStyle w:val="FootnoteText"/>
      </w:pPr>
      <w:r w:rsidRPr="00921681">
        <w:rPr>
          <w:rStyle w:val="FootnoteReference"/>
          <w:rFonts w:ascii="Times New Roman" w:hAnsi="Times New Roman" w:cs="Times New Roman"/>
        </w:rPr>
        <w:footnoteRef/>
      </w:r>
      <w:r w:rsidRPr="00921681">
        <w:rPr>
          <w:rFonts w:ascii="Times New Roman" w:hAnsi="Times New Roman" w:cs="Times New Roman"/>
        </w:rPr>
        <w:t xml:space="preserve"> National Academies of Sciences, Engineering, and Medicine. </w:t>
      </w:r>
      <w:r>
        <w:rPr>
          <w:rFonts w:ascii="Times New Roman" w:hAnsi="Times New Roman" w:cs="Times New Roman"/>
        </w:rPr>
        <w:t>(</w:t>
      </w:r>
      <w:r w:rsidRPr="00921681">
        <w:rPr>
          <w:rFonts w:ascii="Times New Roman" w:hAnsi="Times New Roman" w:cs="Times New Roman"/>
        </w:rPr>
        <w:t>2017</w:t>
      </w:r>
      <w:r>
        <w:rPr>
          <w:rFonts w:ascii="Times New Roman" w:hAnsi="Times New Roman" w:cs="Times New Roman"/>
        </w:rPr>
        <w:t>)</w:t>
      </w:r>
      <w:r w:rsidRPr="00921681">
        <w:rPr>
          <w:rFonts w:ascii="Times New Roman" w:hAnsi="Times New Roman" w:cs="Times New Roman"/>
        </w:rPr>
        <w:t>. Communities in Action: Pathways to Health Equity. Washington, DC: The National Academies Press. https://doi.org/10.17226/24624.</w:t>
      </w:r>
    </w:p>
  </w:footnote>
  <w:footnote w:id="198">
    <w:p w:rsidR="008527CB" w:rsidRPr="00921681" w:rsidP="008527CB" w14:paraId="12A4C4C8" w14:textId="77777777">
      <w:pPr>
        <w:pStyle w:val="FootnoteText"/>
        <w:rPr>
          <w:rFonts w:ascii="Times New Roman" w:hAnsi="Times New Roman" w:cs="Times New Roman"/>
        </w:rPr>
      </w:pPr>
      <w:r w:rsidRPr="00921681">
        <w:rPr>
          <w:rStyle w:val="FootnoteReference"/>
          <w:rFonts w:ascii="Times New Roman" w:hAnsi="Times New Roman" w:cs="Times New Roman"/>
        </w:rPr>
        <w:footnoteRef/>
      </w:r>
      <w:r w:rsidRPr="00921681">
        <w:rPr>
          <w:rFonts w:ascii="Times New Roman" w:hAnsi="Times New Roman" w:cs="Times New Roman"/>
        </w:rPr>
        <w:t xml:space="preserve"> EPA. </w:t>
      </w:r>
      <w:r>
        <w:rPr>
          <w:rFonts w:ascii="Times New Roman" w:hAnsi="Times New Roman" w:cs="Times New Roman"/>
        </w:rPr>
        <w:t>(</w:t>
      </w:r>
      <w:r w:rsidRPr="00921681">
        <w:rPr>
          <w:rFonts w:ascii="Times New Roman" w:hAnsi="Times New Roman" w:cs="Times New Roman"/>
        </w:rPr>
        <w:t>2021</w:t>
      </w:r>
      <w:r>
        <w:rPr>
          <w:rFonts w:ascii="Times New Roman" w:hAnsi="Times New Roman" w:cs="Times New Roman"/>
        </w:rPr>
        <w:t>)</w:t>
      </w:r>
      <w:r w:rsidRPr="00921681">
        <w:rPr>
          <w:rFonts w:ascii="Times New Roman" w:hAnsi="Times New Roman" w:cs="Times New Roman"/>
        </w:rPr>
        <w:t>. Climate Change and Social Vulnerability in the United States: A Focus on Six Impacts.</w:t>
      </w:r>
    </w:p>
    <w:p w:rsidR="008527CB" w:rsidP="008527CB" w14:paraId="561DD724" w14:textId="77777777">
      <w:pPr>
        <w:pStyle w:val="FootnoteText"/>
      </w:pPr>
      <w:r w:rsidRPr="00921681">
        <w:rPr>
          <w:rFonts w:ascii="Times New Roman" w:hAnsi="Times New Roman" w:cs="Times New Roman"/>
        </w:rPr>
        <w:t>U.S. Environmental Protection Agency, EPA 430-R-21-003. www.epa.gov/cira/social-vulnerability-report.</w:t>
      </w:r>
    </w:p>
  </w:footnote>
  <w:footnote w:id="199">
    <w:p w:rsidR="0077605C" w:rsidRPr="001D5751" w14:paraId="51D3598B" w14:textId="77777777">
      <w:pPr>
        <w:pStyle w:val="FootnoteText"/>
        <w:rPr>
          <w:rFonts w:ascii="Times New Roman" w:hAnsi="Times New Roman" w:cs="Times New Roman"/>
          <w:sz w:val="18"/>
          <w:szCs w:val="18"/>
        </w:rPr>
      </w:pPr>
      <w:r w:rsidRPr="001D5751">
        <w:rPr>
          <w:rStyle w:val="FootnoteReference"/>
          <w:rFonts w:ascii="Times New Roman" w:hAnsi="Times New Roman" w:cs="Times New Roman"/>
          <w:sz w:val="18"/>
          <w:szCs w:val="18"/>
        </w:rPr>
        <w:footnoteRef/>
      </w:r>
      <w:r w:rsidRPr="001D5751">
        <w:rPr>
          <w:rFonts w:ascii="Times New Roman" w:hAnsi="Times New Roman" w:cs="Times New Roman"/>
          <w:sz w:val="18"/>
          <w:szCs w:val="18"/>
        </w:rPr>
        <w:t xml:space="preserve"> </w:t>
      </w:r>
      <w:r w:rsidRPr="001D5751" w:rsidR="006F70DA">
        <w:rPr>
          <w:rFonts w:ascii="Times New Roman" w:hAnsi="Times New Roman" w:cs="Times New Roman"/>
          <w:sz w:val="18"/>
          <w:szCs w:val="18"/>
        </w:rPr>
        <w:t>For the purposes of defining “maximum annual cost to government entities” the $18.9 million reflects if all government entities were to face costs in the same year</w:t>
      </w:r>
      <w:r w:rsidRPr="001D5751" w:rsidR="0035057F">
        <w:rPr>
          <w:rFonts w:ascii="Times New Roman" w:hAnsi="Times New Roman" w:cs="Times New Roman"/>
          <w:sz w:val="18"/>
          <w:szCs w:val="18"/>
        </w:rPr>
        <w:t xml:space="preserve"> which is very conservative.</w:t>
      </w:r>
    </w:p>
  </w:footnote>
  <w:footnote w:id="200">
    <w:p w:rsidR="00592C4E" w:rsidRPr="00B53A99" w:rsidP="00592C4E" w14:paraId="341EFEB1" w14:textId="77777777">
      <w:pPr>
        <w:pStyle w:val="CommentText"/>
        <w:spacing w:after="0"/>
        <w:rPr>
          <w:rFonts w:ascii="Times New Roman" w:hAnsi="Times New Roman" w:cs="Times New Roman"/>
          <w:sz w:val="18"/>
          <w:szCs w:val="18"/>
        </w:rPr>
      </w:pPr>
      <w:r w:rsidRPr="00B53A99">
        <w:rPr>
          <w:rStyle w:val="FootnoteReference"/>
          <w:rFonts w:ascii="Times New Roman" w:hAnsi="Times New Roman" w:cs="Times New Roman"/>
          <w:sz w:val="18"/>
          <w:szCs w:val="18"/>
        </w:rPr>
        <w:footnoteRef/>
      </w:r>
      <w:r w:rsidRPr="00B53A99">
        <w:rPr>
          <w:rFonts w:ascii="Times New Roman" w:hAnsi="Times New Roman" w:cs="Times New Roman"/>
          <w:sz w:val="18"/>
          <w:szCs w:val="18"/>
        </w:rPr>
        <w:t xml:space="preserve"> Zivin Joshua Graff and Neidell Matthew. “Air Pollution’s Hidden Impacts.” </w:t>
      </w:r>
      <w:r w:rsidRPr="00B53A99">
        <w:rPr>
          <w:rFonts w:ascii="Times New Roman" w:hAnsi="Times New Roman" w:cs="Times New Roman"/>
          <w:i/>
          <w:iCs/>
          <w:sz w:val="18"/>
          <w:szCs w:val="18"/>
        </w:rPr>
        <w:t>Science</w:t>
      </w:r>
      <w:r w:rsidRPr="00B53A99">
        <w:rPr>
          <w:rFonts w:ascii="Times New Roman" w:hAnsi="Times New Roman" w:cs="Times New Roman"/>
          <w:sz w:val="18"/>
          <w:szCs w:val="18"/>
        </w:rPr>
        <w:t xml:space="preserve"> 359, no. 6371 (January 5, 2018): 39–40. </w:t>
      </w:r>
      <w:hyperlink r:id="rId81" w:history="1">
        <w:r w:rsidRPr="00B53A99">
          <w:rPr>
            <w:rStyle w:val="Hyperlink"/>
            <w:rFonts w:ascii="Times New Roman" w:hAnsi="Times New Roman" w:cs="Times New Roman"/>
            <w:sz w:val="18"/>
            <w:szCs w:val="18"/>
          </w:rPr>
          <w:t>https://doi.org/10.1126/science.aap7711</w:t>
        </w:r>
      </w:hyperlink>
      <w:r w:rsidRPr="00B53A99">
        <w:rPr>
          <w:rFonts w:ascii="Times New Roman" w:hAnsi="Times New Roman" w:cs="Times New Roman"/>
          <w:sz w:val="18"/>
          <w:szCs w:val="18"/>
        </w:rPr>
        <w:t>.</w:t>
      </w:r>
    </w:p>
  </w:footnote>
  <w:footnote w:id="201">
    <w:p w:rsidR="00592C4E" w:rsidRPr="00592C4E" w:rsidP="00592C4E" w14:paraId="241D93EF" w14:textId="77777777">
      <w:pPr>
        <w:pStyle w:val="FootnoteText"/>
        <w:rPr>
          <w:rFonts w:ascii="Times New Roman" w:hAnsi="Times New Roman" w:cs="Times New Roman"/>
        </w:rPr>
      </w:pPr>
      <w:r w:rsidRPr="00B53A99">
        <w:rPr>
          <w:rStyle w:val="FootnoteReference"/>
          <w:rFonts w:ascii="Times New Roman" w:hAnsi="Times New Roman" w:cs="Times New Roman"/>
          <w:sz w:val="18"/>
          <w:szCs w:val="18"/>
        </w:rPr>
        <w:footnoteRef/>
      </w:r>
      <w:r w:rsidRPr="00B53A99">
        <w:rPr>
          <w:rFonts w:ascii="Times New Roman" w:hAnsi="Times New Roman" w:cs="Times New Roman"/>
          <w:sz w:val="18"/>
          <w:szCs w:val="18"/>
        </w:rPr>
        <w:t xml:space="preserve"> Berman, Eli, and Linda Bui. “Environmental Regulation And Productivity: Evidence From Oil Refineries.” </w:t>
      </w:r>
      <w:r w:rsidRPr="00B53A99">
        <w:rPr>
          <w:rFonts w:ascii="Times New Roman" w:hAnsi="Times New Roman" w:cs="Times New Roman"/>
          <w:i/>
          <w:iCs/>
          <w:sz w:val="18"/>
          <w:szCs w:val="18"/>
        </w:rPr>
        <w:t>The Review of Economics and Statistics</w:t>
      </w:r>
      <w:r w:rsidRPr="00B53A99">
        <w:rPr>
          <w:rFonts w:ascii="Times New Roman" w:hAnsi="Times New Roman" w:cs="Times New Roman"/>
          <w:sz w:val="18"/>
          <w:szCs w:val="18"/>
        </w:rPr>
        <w:t xml:space="preserve"> 83, no. 3 (2001): 498–510.</w:t>
      </w:r>
    </w:p>
  </w:footnote>
  <w:footnote w:id="202">
    <w:p w:rsidR="007C5299" w:rsidRPr="00C83954" w14:paraId="1DC1042E" w14:textId="77777777">
      <w:pPr>
        <w:pStyle w:val="FootnoteText"/>
        <w:rPr>
          <w:rFonts w:ascii="Times New Roman" w:hAnsi="Times New Roman" w:cs="Times New Roman"/>
          <w:sz w:val="18"/>
          <w:szCs w:val="18"/>
        </w:rPr>
      </w:pPr>
      <w:r w:rsidRPr="00C83954">
        <w:rPr>
          <w:rStyle w:val="FootnoteReference"/>
          <w:rFonts w:ascii="Times New Roman" w:hAnsi="Times New Roman" w:cs="Times New Roman"/>
          <w:sz w:val="18"/>
          <w:szCs w:val="18"/>
        </w:rPr>
        <w:footnoteRef/>
      </w:r>
      <w:r w:rsidRPr="00C83954">
        <w:rPr>
          <w:rFonts w:ascii="Times New Roman" w:hAnsi="Times New Roman" w:cs="Times New Roman"/>
          <w:sz w:val="18"/>
          <w:szCs w:val="18"/>
        </w:rPr>
        <w:t xml:space="preserve"> </w:t>
      </w:r>
      <w:r w:rsidRPr="00C83954" w:rsidR="0041185E">
        <w:rPr>
          <w:rFonts w:ascii="Times New Roman" w:hAnsi="Times New Roman" w:cs="Times New Roman"/>
          <w:sz w:val="18"/>
          <w:szCs w:val="18"/>
        </w:rPr>
        <w:t>Only data for the years 2018 through 2020 were collected from the ASM.</w:t>
      </w:r>
    </w:p>
  </w:footnote>
  <w:footnote w:id="203">
    <w:p w:rsidR="006C387A" w:rsidRPr="00C83954" w14:paraId="10CA0FB6" w14:textId="77777777">
      <w:pPr>
        <w:pStyle w:val="FootnoteText"/>
        <w:rPr>
          <w:rFonts w:ascii="Times New Roman" w:hAnsi="Times New Roman" w:cs="Times New Roman"/>
          <w:sz w:val="18"/>
          <w:szCs w:val="18"/>
        </w:rPr>
      </w:pPr>
      <w:r w:rsidRPr="00C83954">
        <w:rPr>
          <w:rStyle w:val="FootnoteReference"/>
          <w:rFonts w:ascii="Times New Roman" w:hAnsi="Times New Roman" w:cs="Times New Roman"/>
          <w:sz w:val="18"/>
          <w:szCs w:val="18"/>
        </w:rPr>
        <w:footnoteRef/>
      </w:r>
      <w:r w:rsidRPr="00C83954">
        <w:rPr>
          <w:rFonts w:ascii="Times New Roman" w:hAnsi="Times New Roman" w:cs="Times New Roman"/>
          <w:sz w:val="18"/>
          <w:szCs w:val="18"/>
        </w:rPr>
        <w:t xml:space="preserve"> </w:t>
      </w:r>
      <w:r w:rsidRPr="00C83954" w:rsidR="00771A21">
        <w:rPr>
          <w:rFonts w:ascii="Times New Roman" w:hAnsi="Times New Roman" w:cs="Times New Roman"/>
          <w:sz w:val="18"/>
          <w:szCs w:val="18"/>
        </w:rPr>
        <w:t xml:space="preserve">This figure was derived using 2017 </w:t>
      </w:r>
      <w:r w:rsidRPr="00C83954" w:rsidR="000E608A">
        <w:rPr>
          <w:rFonts w:ascii="Times New Roman" w:hAnsi="Times New Roman" w:cs="Times New Roman"/>
          <w:sz w:val="18"/>
          <w:szCs w:val="18"/>
        </w:rPr>
        <w:t>Economic</w:t>
      </w:r>
      <w:r w:rsidRPr="00C83954" w:rsidR="00771A21">
        <w:rPr>
          <w:rFonts w:ascii="Times New Roman" w:hAnsi="Times New Roman" w:cs="Times New Roman"/>
          <w:sz w:val="18"/>
          <w:szCs w:val="18"/>
        </w:rPr>
        <w:t xml:space="preserve"> Census data, in which </w:t>
      </w:r>
      <w:r w:rsidRPr="00C83954" w:rsidR="00757A64">
        <w:rPr>
          <w:rFonts w:ascii="Times New Roman" w:hAnsi="Times New Roman" w:cs="Times New Roman"/>
          <w:sz w:val="18"/>
          <w:szCs w:val="18"/>
        </w:rPr>
        <w:t xml:space="preserve">the revenue across all sectors amounted to </w:t>
      </w:r>
      <w:r w:rsidRPr="00C83954" w:rsidR="00244293">
        <w:rPr>
          <w:rFonts w:ascii="Times New Roman" w:hAnsi="Times New Roman" w:cs="Times New Roman"/>
          <w:sz w:val="18"/>
          <w:szCs w:val="18"/>
        </w:rPr>
        <w:t>$37.0 trillion</w:t>
      </w:r>
      <w:r w:rsidRPr="00C83954" w:rsidR="000E608A">
        <w:rPr>
          <w:rFonts w:ascii="Times New Roman" w:hAnsi="Times New Roman" w:cs="Times New Roman"/>
          <w:sz w:val="18"/>
          <w:szCs w:val="18"/>
        </w:rPr>
        <w:t>. When</w:t>
      </w:r>
      <w:r w:rsidRPr="00C83954" w:rsidR="00244293">
        <w:rPr>
          <w:rFonts w:ascii="Times New Roman" w:hAnsi="Times New Roman" w:cs="Times New Roman"/>
          <w:sz w:val="18"/>
          <w:szCs w:val="18"/>
        </w:rPr>
        <w:t xml:space="preserve"> divided by </w:t>
      </w:r>
      <w:r w:rsidRPr="00C83954" w:rsidR="00FB3275">
        <w:rPr>
          <w:rFonts w:ascii="Times New Roman" w:hAnsi="Times New Roman" w:cs="Times New Roman"/>
          <w:sz w:val="18"/>
          <w:szCs w:val="18"/>
        </w:rPr>
        <w:t>124.6 million employees</w:t>
      </w:r>
      <w:r w:rsidRPr="00C83954" w:rsidR="000E608A">
        <w:rPr>
          <w:rFonts w:ascii="Times New Roman" w:hAnsi="Times New Roman" w:cs="Times New Roman"/>
          <w:sz w:val="18"/>
          <w:szCs w:val="18"/>
        </w:rPr>
        <w:t xml:space="preserve"> in 2017, the labor productivity per employee </w:t>
      </w:r>
      <w:r w:rsidRPr="00C83954" w:rsidR="006C1CE8">
        <w:rPr>
          <w:rFonts w:ascii="Times New Roman" w:hAnsi="Times New Roman" w:cs="Times New Roman"/>
          <w:sz w:val="18"/>
          <w:szCs w:val="18"/>
        </w:rPr>
        <w:t>equals $296,550.</w:t>
      </w:r>
      <w:r w:rsidRPr="00C83954" w:rsidR="00214CDA">
        <w:rPr>
          <w:rFonts w:ascii="Times New Roman" w:hAnsi="Times New Roman" w:cs="Times New Roman"/>
          <w:sz w:val="18"/>
          <w:szCs w:val="18"/>
        </w:rPr>
        <w:t xml:space="preserve"> Adjusting for inflation </w:t>
      </w:r>
      <w:r w:rsidRPr="00C83954" w:rsidR="00243EC6">
        <w:rPr>
          <w:rFonts w:ascii="Times New Roman" w:hAnsi="Times New Roman" w:cs="Times New Roman"/>
          <w:sz w:val="18"/>
          <w:szCs w:val="18"/>
        </w:rPr>
        <w:t>to 2022 dollars</w:t>
      </w:r>
      <w:r w:rsidRPr="00C83954" w:rsidR="00214CDA">
        <w:rPr>
          <w:rFonts w:ascii="Times New Roman" w:hAnsi="Times New Roman" w:cs="Times New Roman"/>
          <w:sz w:val="18"/>
          <w:szCs w:val="18"/>
        </w:rPr>
        <w:t xml:space="preserve"> increases the labor productivity to $</w:t>
      </w:r>
      <w:r w:rsidRPr="00C83954" w:rsidR="00243EC6">
        <w:rPr>
          <w:rFonts w:ascii="Times New Roman" w:hAnsi="Times New Roman" w:cs="Times New Roman"/>
          <w:sz w:val="18"/>
          <w:szCs w:val="18"/>
        </w:rPr>
        <w:t>315,687 per employee.</w:t>
      </w:r>
    </w:p>
  </w:footnote>
  <w:footnote w:id="204">
    <w:p w:rsidR="00461D85" w:rsidRPr="00C83954" w:rsidP="00461D85" w14:paraId="32C97908" w14:textId="77777777">
      <w:pPr>
        <w:pStyle w:val="FootnoteText"/>
        <w:rPr>
          <w:rFonts w:ascii="Times New Roman" w:hAnsi="Times New Roman" w:cs="Times New Roman"/>
          <w:sz w:val="18"/>
          <w:szCs w:val="18"/>
        </w:rPr>
      </w:pPr>
      <w:r w:rsidRPr="00C83954">
        <w:rPr>
          <w:rStyle w:val="FootnoteReference"/>
          <w:rFonts w:ascii="Times New Roman" w:hAnsi="Times New Roman" w:cs="Times New Roman"/>
          <w:sz w:val="18"/>
          <w:szCs w:val="18"/>
        </w:rPr>
        <w:footnoteRef/>
      </w:r>
      <w:r w:rsidRPr="00C83954">
        <w:rPr>
          <w:rFonts w:ascii="Times New Roman" w:hAnsi="Times New Roman" w:cs="Times New Roman"/>
          <w:sz w:val="18"/>
          <w:szCs w:val="18"/>
        </w:rPr>
        <w:t xml:space="preserve"> </w:t>
      </w:r>
      <w:r w:rsidRPr="00C83954" w:rsidR="00FB54E2">
        <w:rPr>
          <w:rFonts w:ascii="Times New Roman" w:hAnsi="Times New Roman" w:cs="Times New Roman"/>
          <w:sz w:val="18"/>
          <w:szCs w:val="18"/>
        </w:rPr>
        <w:t>E.O.</w:t>
      </w:r>
      <w:r w:rsidRPr="00C83954">
        <w:rPr>
          <w:rFonts w:ascii="Times New Roman" w:hAnsi="Times New Roman" w:cs="Times New Roman"/>
          <w:sz w:val="18"/>
          <w:szCs w:val="18"/>
        </w:rPr>
        <w:t xml:space="preserve"> 13211 was issued May 18, 2002. The </w:t>
      </w:r>
      <w:r w:rsidRPr="00C83954" w:rsidR="00C840FC">
        <w:rPr>
          <w:rFonts w:ascii="Times New Roman" w:hAnsi="Times New Roman" w:cs="Times New Roman"/>
          <w:sz w:val="18"/>
          <w:szCs w:val="18"/>
        </w:rPr>
        <w:t>OMB</w:t>
      </w:r>
      <w:r w:rsidRPr="00C83954">
        <w:rPr>
          <w:rFonts w:ascii="Times New Roman" w:hAnsi="Times New Roman" w:cs="Times New Roman"/>
          <w:sz w:val="18"/>
          <w:szCs w:val="18"/>
        </w:rPr>
        <w:t xml:space="preserve"> later released an Implementation Guidance memorandum on July 13, 2002</w:t>
      </w:r>
      <w:r w:rsidRPr="00C83954" w:rsidR="000849BE">
        <w:rPr>
          <w:rFonts w:ascii="Times New Roman" w:hAnsi="Times New Roman" w:cs="Times New Roman"/>
          <w:sz w:val="18"/>
          <w:szCs w:val="18"/>
        </w:rPr>
        <w:t>.</w:t>
      </w:r>
    </w:p>
  </w:footnote>
  <w:footnote w:id="205">
    <w:p w:rsidR="00D47B80" w:rsidRPr="00B53A99" w:rsidP="00D47B80" w14:paraId="7634FF6B" w14:textId="77777777">
      <w:pPr>
        <w:pStyle w:val="FootnoteText"/>
        <w:rPr>
          <w:rFonts w:ascii="Times New Roman" w:hAnsi="Times New Roman" w:cs="Times New Roman"/>
          <w:sz w:val="18"/>
          <w:szCs w:val="18"/>
        </w:rPr>
      </w:pPr>
      <w:r w:rsidRPr="00B53A99">
        <w:rPr>
          <w:rStyle w:val="FootnoteReference"/>
          <w:rFonts w:ascii="Times New Roman" w:hAnsi="Times New Roman" w:cs="Times New Roman"/>
          <w:sz w:val="18"/>
          <w:szCs w:val="18"/>
        </w:rPr>
        <w:footnoteRef/>
      </w:r>
      <w:r w:rsidRPr="00B53A99">
        <w:rPr>
          <w:rFonts w:ascii="Times New Roman" w:hAnsi="Times New Roman" w:cs="Times New Roman"/>
          <w:sz w:val="18"/>
          <w:szCs w:val="18"/>
        </w:rPr>
        <w:t xml:space="preserve"> EPA located two additional estimates of Solid Acid alkylation projects estimated as costing $25m and $23m but given that this technology is relatively new, EPA limited the representation of it to a single conservative data point – the $50m estimate included in the table. For a description of the two additional estimates see Zhang, S., L. Wilkinson, L. Ogunde, R. Todd, C. Steves, and S Haydel. 2016. Norton Engineering: Alkylation Technology Study: Final Report. South Coast Air Quality Management District (SCAQMD). September 9.  https://www.aqmd.gov/docs/default-source/permitting/alkylation-technology-study-final-report.pdf</w:t>
      </w:r>
    </w:p>
  </w:footnote>
  <w:footnote w:id="206">
    <w:p w:rsidR="00CA671D" w:rsidRPr="00B53A99" w:rsidP="00CA671D" w14:paraId="6A37B211" w14:textId="77777777">
      <w:pPr>
        <w:spacing w:after="0" w:line="240" w:lineRule="auto"/>
        <w:rPr>
          <w:rFonts w:ascii="Times New Roman" w:hAnsi="Times New Roman" w:cs="Times New Roman"/>
          <w:sz w:val="18"/>
          <w:szCs w:val="18"/>
        </w:rPr>
      </w:pPr>
      <w:r w:rsidRPr="00B53A99">
        <w:rPr>
          <w:rStyle w:val="FootnoteReference"/>
          <w:rFonts w:ascii="Times New Roman" w:hAnsi="Times New Roman" w:cs="Times New Roman"/>
          <w:sz w:val="18"/>
          <w:szCs w:val="18"/>
        </w:rPr>
        <w:footnoteRef/>
      </w:r>
      <w:r w:rsidRPr="00B53A99">
        <w:rPr>
          <w:rFonts w:ascii="Times New Roman" w:hAnsi="Times New Roman" w:cs="Times New Roman"/>
          <w:sz w:val="18"/>
          <w:szCs w:val="18"/>
        </w:rPr>
        <w:t xml:space="preserve"> Hamby, Chris. 2011. “New oil refinery in South Dakota says it will use alternative to toxic acid.” The Center for Public Integrity. March 28.  Citing James Nehlsen, a process development manager at Exelus, Inc. Available at: </w:t>
      </w:r>
      <w:hyperlink r:id="rId82" w:history="1">
        <w:r w:rsidRPr="00B53A99">
          <w:rPr>
            <w:rStyle w:val="Hyperlink"/>
            <w:rFonts w:ascii="Times New Roman" w:hAnsi="Times New Roman" w:cs="Times New Roman"/>
            <w:sz w:val="18"/>
            <w:szCs w:val="18"/>
          </w:rPr>
          <w:t>https://publicintegrity.org/inequality-poverty-opportunity/workers-rights/worker-health-and-safety/fueling-fears/new-oil-refinery-in-south-dakota-says-it-will-use-alternative-to-toxic-acid/</w:t>
        </w:r>
      </w:hyperlink>
      <w:r w:rsidRPr="00B53A99">
        <w:rPr>
          <w:rFonts w:ascii="Times New Roman" w:hAnsi="Times New Roman" w:cs="Times New Roman"/>
          <w:sz w:val="18"/>
          <w:szCs w:val="18"/>
        </w:rPr>
        <w:t xml:space="preserve"> </w:t>
      </w:r>
      <w:r w:rsidRPr="00B53A99" w:rsidR="00843847">
        <w:rPr>
          <w:rFonts w:ascii="Times New Roman" w:hAnsi="Times New Roman" w:cs="Times New Roman"/>
          <w:sz w:val="18"/>
          <w:szCs w:val="18"/>
        </w:rPr>
        <w:t>.</w:t>
      </w:r>
    </w:p>
  </w:footnote>
  <w:footnote w:id="207">
    <w:p w:rsidR="00CA671D" w:rsidRPr="00B53A99" w:rsidP="00CA671D" w14:paraId="75B71C4D" w14:textId="77777777">
      <w:pPr>
        <w:spacing w:after="0" w:line="240" w:lineRule="auto"/>
        <w:rPr>
          <w:rFonts w:ascii="Times New Roman" w:hAnsi="Times New Roman" w:cs="Times New Roman"/>
          <w:sz w:val="18"/>
          <w:szCs w:val="18"/>
        </w:rPr>
      </w:pPr>
      <w:r w:rsidRPr="00B53A99">
        <w:rPr>
          <w:rStyle w:val="FootnoteReference"/>
          <w:rFonts w:ascii="Times New Roman" w:hAnsi="Times New Roman" w:cs="Times New Roman"/>
          <w:sz w:val="18"/>
          <w:szCs w:val="18"/>
        </w:rPr>
        <w:footnoteRef/>
      </w:r>
      <w:r w:rsidRPr="00B53A99">
        <w:rPr>
          <w:rFonts w:ascii="Times New Roman" w:hAnsi="Times New Roman" w:cs="Times New Roman"/>
          <w:sz w:val="18"/>
          <w:szCs w:val="18"/>
        </w:rPr>
        <w:t xml:space="preserve"> </w:t>
      </w:r>
      <w:r w:rsidRPr="00B53A99">
        <w:rPr>
          <w:rFonts w:ascii="Times New Roman" w:hAnsi="Times New Roman" w:cs="Times New Roman"/>
          <w:i/>
          <w:iCs/>
          <w:sz w:val="18"/>
          <w:szCs w:val="18"/>
        </w:rPr>
        <w:t>Oil and Gas Journal</w:t>
      </w:r>
      <w:r w:rsidRPr="00B53A99">
        <w:rPr>
          <w:rFonts w:ascii="Times New Roman" w:hAnsi="Times New Roman" w:cs="Times New Roman"/>
          <w:sz w:val="18"/>
          <w:szCs w:val="18"/>
        </w:rPr>
        <w:t xml:space="preserve">, “Chevron’s Salt Lake City refinery plans alkylation unit revamp.” Oct 4, 2016. Available at: </w:t>
      </w:r>
      <w:hyperlink r:id="rId83" w:history="1">
        <w:r w:rsidRPr="00B53A99">
          <w:rPr>
            <w:rFonts w:ascii="Times New Roman" w:hAnsi="Times New Roman" w:cs="Times New Roman"/>
            <w:color w:val="0563C1"/>
            <w:sz w:val="18"/>
            <w:szCs w:val="18"/>
            <w:u w:val="single"/>
          </w:rPr>
          <w:t>https://www.ogj.com/refining-processing/article/17250762/chevrons-salt-lake-city-refinery-plans-alkylation-unit-revamp</w:t>
        </w:r>
      </w:hyperlink>
      <w:r w:rsidRPr="00B53A99">
        <w:rPr>
          <w:rFonts w:ascii="Times New Roman" w:hAnsi="Times New Roman" w:cs="Times New Roman"/>
          <w:color w:val="0563C1"/>
          <w:sz w:val="18"/>
          <w:szCs w:val="18"/>
          <w:u w:val="single"/>
        </w:rPr>
        <w:t xml:space="preserve">; </w:t>
      </w:r>
      <w:r w:rsidRPr="00B53A99">
        <w:rPr>
          <w:rFonts w:ascii="Times New Roman" w:hAnsi="Times New Roman" w:cs="Times New Roman"/>
          <w:i/>
          <w:iCs/>
          <w:sz w:val="18"/>
          <w:szCs w:val="18"/>
        </w:rPr>
        <w:t>Oil and Gas Journal</w:t>
      </w:r>
      <w:r w:rsidRPr="00B53A99">
        <w:rPr>
          <w:rFonts w:ascii="Times New Roman" w:hAnsi="Times New Roman" w:cs="Times New Roman"/>
          <w:sz w:val="18"/>
          <w:szCs w:val="18"/>
        </w:rPr>
        <w:t xml:space="preserve">, “Chevron’s Utah refinery lets contract for alkylation technology retrofit.”  Feb 8, 2017. Available at: </w:t>
      </w:r>
      <w:hyperlink r:id="rId84" w:history="1">
        <w:r w:rsidRPr="00B53A99">
          <w:rPr>
            <w:rFonts w:ascii="Times New Roman" w:hAnsi="Times New Roman" w:cs="Times New Roman"/>
            <w:color w:val="0563C1"/>
            <w:sz w:val="18"/>
            <w:szCs w:val="18"/>
            <w:u w:val="single"/>
          </w:rPr>
          <w:t>https://www.ogj.com/refining-processing/article/17290342/chevrons-utah-refinery-lets-contract-for-alkylation-technology-retrofit</w:t>
        </w:r>
      </w:hyperlink>
      <w:r w:rsidRPr="00B53A99" w:rsidR="00843847">
        <w:rPr>
          <w:rFonts w:ascii="Times New Roman" w:hAnsi="Times New Roman" w:cs="Times New Roman"/>
          <w:color w:val="0563C1"/>
          <w:sz w:val="18"/>
          <w:szCs w:val="18"/>
          <w:u w:val="single"/>
        </w:rPr>
        <w:t xml:space="preserve"> </w:t>
      </w:r>
    </w:p>
  </w:footnote>
  <w:footnote w:id="208">
    <w:p w:rsidR="00CA671D" w:rsidRPr="00B53A99" w:rsidP="00CA671D" w14:paraId="0CC5A5EB" w14:textId="77777777">
      <w:pPr>
        <w:spacing w:after="0" w:line="240" w:lineRule="auto"/>
        <w:rPr>
          <w:rFonts w:ascii="Times New Roman" w:hAnsi="Times New Roman" w:cs="Times New Roman"/>
          <w:sz w:val="18"/>
          <w:szCs w:val="18"/>
        </w:rPr>
      </w:pPr>
      <w:r w:rsidRPr="00B53A99">
        <w:rPr>
          <w:rStyle w:val="FootnoteReference"/>
          <w:rFonts w:ascii="Times New Roman" w:hAnsi="Times New Roman" w:cs="Times New Roman"/>
          <w:sz w:val="18"/>
          <w:szCs w:val="18"/>
        </w:rPr>
        <w:footnoteRef/>
      </w:r>
      <w:r w:rsidRPr="00B53A99">
        <w:rPr>
          <w:rFonts w:ascii="Times New Roman" w:hAnsi="Times New Roman" w:cs="Times New Roman"/>
          <w:sz w:val="18"/>
          <w:szCs w:val="18"/>
        </w:rPr>
        <w:t xml:space="preserve"> Letter from Torrance Refining Company, Torrance, CA to Bruce Moe, City Manager, Manhattan Beach CA, dated March 16, 2018. Burns/McDonnell, PBF Energy, Report Brief: Alkylation Study &amp; Estimate, Torrance Refinery, Project No. 98037. July 2017, see Tab 1. Available at: </w:t>
      </w:r>
      <w:hyperlink r:id="rId85" w:history="1">
        <w:r w:rsidRPr="00B53A99">
          <w:rPr>
            <w:rStyle w:val="Hyperlink"/>
            <w:rFonts w:ascii="Times New Roman" w:hAnsi="Times New Roman" w:cs="Times New Roman"/>
            <w:sz w:val="18"/>
            <w:szCs w:val="18"/>
          </w:rPr>
          <w:t>https://torrancerefinery.com/wp-content/uploads/2018/03/TORC-Comment-Letter-with-Attachments-Agenda-Item-No.-K.11.pdf</w:t>
        </w:r>
      </w:hyperlink>
      <w:r w:rsidRPr="00B53A99">
        <w:rPr>
          <w:rFonts w:ascii="Times New Roman" w:hAnsi="Times New Roman" w:cs="Times New Roman"/>
          <w:sz w:val="18"/>
          <w:szCs w:val="18"/>
        </w:rPr>
        <w:t xml:space="preserve">; South Coast AQMD, Governing Board Meeting, “Status Update on PR 1410 – Hydrogen Fluoride Storage and Use at Petroleum Refineries.” Diamond Bar, CA February 1, 2019. Available at: </w:t>
      </w:r>
      <w:hyperlink r:id="rId86" w:history="1">
        <w:r w:rsidRPr="00B53A99">
          <w:rPr>
            <w:rFonts w:ascii="Times New Roman" w:hAnsi="Times New Roman" w:cs="Times New Roman"/>
            <w:color w:val="0563C1"/>
            <w:sz w:val="18"/>
            <w:szCs w:val="18"/>
            <w:u w:val="single"/>
          </w:rPr>
          <w:t>http://www.aqmd.gov/docs/default-source/Agendas/Governing-Board/2019/2019-feb1-025.pdf?sfvrsn=6</w:t>
        </w:r>
      </w:hyperlink>
      <w:r w:rsidRPr="00B53A99">
        <w:rPr>
          <w:rFonts w:ascii="Times New Roman" w:hAnsi="Times New Roman" w:cs="Times New Roman"/>
          <w:sz w:val="18"/>
          <w:szCs w:val="18"/>
        </w:rPr>
        <w:t xml:space="preserve">; Buhl, Larry. “Activists and Oil Refiners Square Off Over Hydrofluoric Acid,” </w:t>
      </w:r>
      <w:r w:rsidRPr="00B53A99">
        <w:rPr>
          <w:rFonts w:ascii="Times New Roman" w:hAnsi="Times New Roman" w:cs="Times New Roman"/>
          <w:i/>
          <w:iCs/>
          <w:sz w:val="18"/>
          <w:szCs w:val="18"/>
        </w:rPr>
        <w:t>Undark.</w:t>
      </w:r>
      <w:r w:rsidRPr="00B53A99">
        <w:rPr>
          <w:rFonts w:ascii="Times New Roman" w:hAnsi="Times New Roman" w:cs="Times New Roman"/>
          <w:sz w:val="18"/>
          <w:szCs w:val="18"/>
        </w:rPr>
        <w:t xml:space="preserve"> October 10, 2018. Available at: </w:t>
      </w:r>
      <w:hyperlink r:id="rId87" w:history="1">
        <w:r w:rsidRPr="00B53A99">
          <w:rPr>
            <w:rStyle w:val="Hyperlink"/>
            <w:rFonts w:ascii="Times New Roman" w:hAnsi="Times New Roman" w:cs="Times New Roman"/>
            <w:sz w:val="18"/>
            <w:szCs w:val="18"/>
          </w:rPr>
          <w:t>https://undark.org/2018/10/10/hydrofluoric-acid-oil-refining-explosion/</w:t>
        </w:r>
      </w:hyperlink>
      <w:r w:rsidRPr="00B53A99" w:rsidR="00843847">
        <w:rPr>
          <w:rFonts w:ascii="Times New Roman" w:hAnsi="Times New Roman" w:cs="Times New Roman"/>
          <w:sz w:val="18"/>
          <w:szCs w:val="18"/>
        </w:rPr>
        <w:t>.</w:t>
      </w:r>
    </w:p>
  </w:footnote>
  <w:footnote w:id="209">
    <w:p w:rsidR="00CA671D" w:rsidRPr="00CA671D" w:rsidP="00CA671D" w14:paraId="157AEA3C" w14:textId="77777777">
      <w:pPr>
        <w:pStyle w:val="FootnoteText"/>
        <w:rPr>
          <w:rFonts w:ascii="Times New Roman" w:hAnsi="Times New Roman" w:cs="Times New Roman"/>
        </w:rPr>
      </w:pPr>
      <w:r w:rsidRPr="00B53A99">
        <w:rPr>
          <w:rStyle w:val="FootnoteReference"/>
          <w:rFonts w:ascii="Times New Roman" w:hAnsi="Times New Roman" w:cs="Times New Roman"/>
          <w:sz w:val="18"/>
          <w:szCs w:val="18"/>
        </w:rPr>
        <w:footnoteRef/>
      </w:r>
      <w:r w:rsidRPr="00B53A99">
        <w:rPr>
          <w:rFonts w:ascii="Times New Roman" w:hAnsi="Times New Roman" w:cs="Times New Roman"/>
          <w:sz w:val="18"/>
          <w:szCs w:val="18"/>
        </w:rPr>
        <w:t xml:space="preserve"> See public comment on 2015 </w:t>
      </w:r>
      <w:r w:rsidRPr="00B53A99" w:rsidR="00D32ADF">
        <w:rPr>
          <w:rFonts w:ascii="Times New Roman" w:hAnsi="Times New Roman" w:cs="Times New Roman"/>
          <w:sz w:val="18"/>
          <w:szCs w:val="18"/>
        </w:rPr>
        <w:t>propose</w:t>
      </w:r>
      <w:r w:rsidRPr="00B53A99">
        <w:rPr>
          <w:rFonts w:ascii="Times New Roman" w:hAnsi="Times New Roman" w:cs="Times New Roman"/>
          <w:sz w:val="18"/>
          <w:szCs w:val="18"/>
        </w:rPr>
        <w:t xml:space="preserve">d RMP </w:t>
      </w:r>
      <w:r w:rsidRPr="00B53A99" w:rsidR="00A55595">
        <w:rPr>
          <w:rFonts w:ascii="Times New Roman" w:hAnsi="Times New Roman" w:cs="Times New Roman"/>
          <w:sz w:val="18"/>
          <w:szCs w:val="18"/>
        </w:rPr>
        <w:t>a</w:t>
      </w:r>
      <w:r w:rsidRPr="00B53A99">
        <w:rPr>
          <w:rFonts w:ascii="Times New Roman" w:hAnsi="Times New Roman" w:cs="Times New Roman"/>
          <w:sz w:val="18"/>
          <w:szCs w:val="18"/>
        </w:rPr>
        <w:t>mendments rule EPA-HQ-OEM-2015-0725-0579, pp 142. Comment submitted by AFPM.</w:t>
      </w:r>
      <w:r w:rsidRPr="00CA671D">
        <w:rPr>
          <w:rFonts w:ascii="Times New Roman" w:hAnsi="Times New Roman" w:cs="Times New Roman"/>
        </w:rPr>
        <w:t xml:space="preserve">  </w:t>
      </w:r>
    </w:p>
  </w:footnote>
  <w:footnote w:id="210">
    <w:p w:rsidR="00CA671D" w:rsidRPr="00980C3C" w:rsidP="00CA671D" w14:paraId="2778CCAD" w14:textId="77777777">
      <w:pPr>
        <w:spacing w:after="0" w:line="240" w:lineRule="auto"/>
        <w:rPr>
          <w:rFonts w:ascii="Times New Roman" w:hAnsi="Times New Roman" w:cs="Times New Roman"/>
          <w:sz w:val="18"/>
          <w:szCs w:val="18"/>
        </w:rPr>
      </w:pPr>
      <w:r w:rsidRPr="00980C3C">
        <w:rPr>
          <w:rStyle w:val="FootnoteReference"/>
          <w:rFonts w:ascii="Times New Roman" w:hAnsi="Times New Roman" w:cs="Times New Roman"/>
          <w:sz w:val="18"/>
          <w:szCs w:val="18"/>
        </w:rPr>
        <w:footnoteRef/>
      </w:r>
      <w:r w:rsidRPr="00980C3C">
        <w:rPr>
          <w:rFonts w:ascii="Times New Roman" w:hAnsi="Times New Roman" w:cs="Times New Roman"/>
          <w:sz w:val="18"/>
          <w:szCs w:val="18"/>
        </w:rPr>
        <w:t xml:space="preserve"> </w:t>
      </w:r>
      <w:bookmarkStart w:id="559" w:name="_Hlk100922270"/>
      <w:r w:rsidRPr="00980C3C">
        <w:rPr>
          <w:rFonts w:ascii="Times New Roman" w:hAnsi="Times New Roman" w:cs="Times New Roman"/>
          <w:sz w:val="18"/>
          <w:szCs w:val="18"/>
        </w:rPr>
        <w:t>Communities for a Better Environment citing (</w:t>
      </w:r>
      <w:hyperlink r:id="rId88" w:history="1">
        <w:r w:rsidRPr="00980C3C">
          <w:rPr>
            <w:rStyle w:val="Hyperlink"/>
            <w:rFonts w:ascii="Times New Roman" w:hAnsi="Times New Roman" w:cs="Times New Roman"/>
            <w:sz w:val="18"/>
            <w:szCs w:val="18"/>
          </w:rPr>
          <w:t>https://www.cbecal.org/wp-content/uploads/2019/02/CBE-fact-sheet-MHF-replacement-COST-greatly-exagerated-01312019.pdf</w:t>
        </w:r>
      </w:hyperlink>
      <w:r w:rsidRPr="00980C3C">
        <w:rPr>
          <w:rFonts w:ascii="Times New Roman" w:hAnsi="Times New Roman" w:cs="Times New Roman"/>
          <w:sz w:val="18"/>
          <w:szCs w:val="18"/>
        </w:rPr>
        <w:t xml:space="preserve">): </w:t>
      </w:r>
      <w:bookmarkEnd w:id="559"/>
      <w:r w:rsidRPr="00980C3C">
        <w:rPr>
          <w:rFonts w:ascii="Times New Roman" w:hAnsi="Times New Roman" w:cs="Times New Roman"/>
          <w:sz w:val="18"/>
          <w:szCs w:val="18"/>
        </w:rPr>
        <w:t xml:space="preserve">US Delek Holdings to add alkylation unit at Louisiana refinery, Independent Commodity Intelligence Services (ICIS) News, 2018/01/16, from refinery SEC filing: </w:t>
      </w:r>
      <w:hyperlink r:id="rId89" w:history="1">
        <w:r w:rsidRPr="00980C3C">
          <w:rPr>
            <w:rStyle w:val="Hyperlink"/>
            <w:rFonts w:ascii="Times New Roman" w:hAnsi="Times New Roman" w:cs="Times New Roman"/>
            <w:sz w:val="18"/>
            <w:szCs w:val="18"/>
          </w:rPr>
          <w:t>https://www.icis.com/explore/resources/news/2018/01/16/10183692/us-delek-holdings-to-add-alkylation-unit-at-louisiana-refinery/</w:t>
        </w:r>
      </w:hyperlink>
      <w:r w:rsidRPr="00980C3C">
        <w:rPr>
          <w:rFonts w:ascii="Times New Roman" w:hAnsi="Times New Roman" w:cs="Times New Roman"/>
          <w:sz w:val="18"/>
          <w:szCs w:val="18"/>
        </w:rPr>
        <w:t xml:space="preserve"> </w:t>
      </w:r>
      <w:r w:rsidRPr="00980C3C" w:rsidR="00843847">
        <w:rPr>
          <w:rFonts w:ascii="Times New Roman" w:hAnsi="Times New Roman" w:cs="Times New Roman"/>
          <w:sz w:val="18"/>
          <w:szCs w:val="18"/>
        </w:rPr>
        <w:t>.</w:t>
      </w:r>
    </w:p>
  </w:footnote>
  <w:footnote w:id="211">
    <w:p w:rsidR="00CA671D" w:rsidRPr="00980C3C" w:rsidP="00CA671D" w14:paraId="6050CA42" w14:textId="77777777">
      <w:pPr>
        <w:spacing w:after="0" w:line="240" w:lineRule="auto"/>
        <w:rPr>
          <w:rFonts w:ascii="Times New Roman" w:hAnsi="Times New Roman" w:cs="Times New Roman"/>
          <w:sz w:val="18"/>
          <w:szCs w:val="18"/>
        </w:rPr>
      </w:pPr>
      <w:r w:rsidRPr="00980C3C">
        <w:rPr>
          <w:rStyle w:val="FootnoteReference"/>
          <w:rFonts w:ascii="Times New Roman" w:hAnsi="Times New Roman" w:cs="Times New Roman"/>
          <w:sz w:val="18"/>
          <w:szCs w:val="18"/>
        </w:rPr>
        <w:footnoteRef/>
      </w:r>
      <w:r w:rsidRPr="00980C3C">
        <w:rPr>
          <w:rFonts w:ascii="Times New Roman" w:hAnsi="Times New Roman" w:cs="Times New Roman"/>
          <w:sz w:val="18"/>
          <w:szCs w:val="18"/>
        </w:rPr>
        <w:t xml:space="preserve"> Communities for a Better Environment citing (</w:t>
      </w:r>
      <w:hyperlink r:id="rId88" w:history="1">
        <w:r w:rsidRPr="00980C3C">
          <w:rPr>
            <w:rStyle w:val="Hyperlink"/>
            <w:rFonts w:ascii="Times New Roman" w:hAnsi="Times New Roman" w:cs="Times New Roman"/>
            <w:sz w:val="18"/>
            <w:szCs w:val="18"/>
          </w:rPr>
          <w:t>https://www.cbecal.org/wp-content/uploads/2019/02/CBE-fact-sheet-MHF-replacement-COST-greatly-exagerated-01312019.pdf</w:t>
        </w:r>
      </w:hyperlink>
      <w:r w:rsidRPr="00980C3C">
        <w:rPr>
          <w:rFonts w:ascii="Times New Roman" w:hAnsi="Times New Roman" w:cs="Times New Roman"/>
          <w:sz w:val="18"/>
          <w:szCs w:val="18"/>
        </w:rPr>
        <w:t xml:space="preserve">): Valero Energy Reports First Quarter 2016 Results, 13,000 bpd unit, GlobeNewsWire, 05/03/2016. Available at: </w:t>
      </w:r>
      <w:hyperlink r:id="rId90" w:history="1">
        <w:r w:rsidRPr="00980C3C">
          <w:rPr>
            <w:rStyle w:val="Hyperlink"/>
            <w:rFonts w:ascii="Times New Roman" w:hAnsi="Times New Roman" w:cs="Times New Roman"/>
            <w:sz w:val="18"/>
            <w:szCs w:val="18"/>
          </w:rPr>
          <w:t>https://www.globenewswire.com/news-release/2016/05/03/835929/0/en/Valero-Energy-Reports-First-Quarter-2016-Results.html</w:t>
        </w:r>
      </w:hyperlink>
      <w:r w:rsidRPr="00980C3C">
        <w:rPr>
          <w:rFonts w:ascii="Times New Roman" w:hAnsi="Times New Roman" w:cs="Times New Roman"/>
          <w:sz w:val="18"/>
          <w:szCs w:val="18"/>
        </w:rPr>
        <w:t xml:space="preserve"> </w:t>
      </w:r>
      <w:r w:rsidRPr="00980C3C" w:rsidR="00843847">
        <w:rPr>
          <w:rFonts w:ascii="Times New Roman" w:hAnsi="Times New Roman" w:cs="Times New Roman"/>
          <w:sz w:val="18"/>
          <w:szCs w:val="18"/>
        </w:rPr>
        <w:t>.</w:t>
      </w:r>
    </w:p>
  </w:footnote>
  <w:footnote w:id="212">
    <w:p w:rsidR="00CA671D" w:rsidRPr="00980C3C" w:rsidP="00CA671D" w14:paraId="166C35C6" w14:textId="77777777">
      <w:pPr>
        <w:spacing w:after="0" w:line="240" w:lineRule="auto"/>
        <w:rPr>
          <w:rFonts w:ascii="Times New Roman" w:hAnsi="Times New Roman" w:cs="Times New Roman"/>
          <w:sz w:val="18"/>
          <w:szCs w:val="18"/>
        </w:rPr>
      </w:pPr>
      <w:r w:rsidRPr="00980C3C">
        <w:rPr>
          <w:rStyle w:val="FootnoteReference"/>
          <w:rFonts w:ascii="Times New Roman" w:hAnsi="Times New Roman" w:cs="Times New Roman"/>
          <w:sz w:val="18"/>
          <w:szCs w:val="18"/>
        </w:rPr>
        <w:footnoteRef/>
      </w:r>
      <w:r w:rsidRPr="00980C3C">
        <w:rPr>
          <w:rFonts w:ascii="Times New Roman" w:hAnsi="Times New Roman" w:cs="Times New Roman"/>
          <w:sz w:val="18"/>
          <w:szCs w:val="18"/>
        </w:rPr>
        <w:t xml:space="preserve"> Communities for a Better Environment citing (</w:t>
      </w:r>
      <w:hyperlink r:id="rId88" w:history="1">
        <w:r w:rsidRPr="00980C3C">
          <w:rPr>
            <w:rStyle w:val="Hyperlink"/>
            <w:rFonts w:ascii="Times New Roman" w:hAnsi="Times New Roman" w:cs="Times New Roman"/>
            <w:sz w:val="18"/>
            <w:szCs w:val="18"/>
          </w:rPr>
          <w:t>https://www.cbecal.org/wp-content/uploads/2019/02/CBE-fact-sheet-MHF-replacement-COST-greatly-exagerated-01312019.pdf</w:t>
        </w:r>
      </w:hyperlink>
      <w:r w:rsidRPr="00980C3C">
        <w:rPr>
          <w:rFonts w:ascii="Times New Roman" w:hAnsi="Times New Roman" w:cs="Times New Roman"/>
          <w:sz w:val="18"/>
          <w:szCs w:val="18"/>
        </w:rPr>
        <w:t xml:space="preserve">): Valero Energy Reports First Quarter 2016 Results, 13,000 bpd unit, GlobeNewsWire, 05/03/2016. Available at: </w:t>
      </w:r>
      <w:hyperlink r:id="rId91" w:history="1">
        <w:r w:rsidRPr="00980C3C">
          <w:rPr>
            <w:rStyle w:val="Hyperlink"/>
            <w:rFonts w:ascii="Times New Roman" w:hAnsi="Times New Roman" w:cs="Times New Roman"/>
            <w:sz w:val="18"/>
            <w:szCs w:val="18"/>
          </w:rPr>
          <w:t>https://www.globenewswire.com/new s-release/2016/05/03/835929/0/en/Valero-Energy-Reports-First-Quarter-2016-Results.html</w:t>
        </w:r>
      </w:hyperlink>
      <w:r w:rsidRPr="00980C3C">
        <w:rPr>
          <w:rFonts w:ascii="Times New Roman" w:hAnsi="Times New Roman" w:cs="Times New Roman"/>
          <w:sz w:val="18"/>
          <w:szCs w:val="18"/>
        </w:rPr>
        <w:t xml:space="preserve"> </w:t>
      </w:r>
      <w:r w:rsidRPr="00980C3C" w:rsidR="00843847">
        <w:rPr>
          <w:rFonts w:ascii="Times New Roman" w:hAnsi="Times New Roman" w:cs="Times New Roman"/>
          <w:sz w:val="18"/>
          <w:szCs w:val="18"/>
        </w:rPr>
        <w:t>.</w:t>
      </w:r>
    </w:p>
  </w:footnote>
  <w:footnote w:id="213">
    <w:p w:rsidR="00CA671D" w:rsidRPr="00980C3C" w:rsidP="00CA671D" w14:paraId="5057A0B4" w14:textId="77777777">
      <w:pPr>
        <w:spacing w:after="0" w:line="240" w:lineRule="auto"/>
        <w:rPr>
          <w:rFonts w:ascii="Times New Roman" w:hAnsi="Times New Roman" w:cs="Times New Roman"/>
          <w:sz w:val="18"/>
          <w:szCs w:val="18"/>
        </w:rPr>
      </w:pPr>
      <w:r w:rsidRPr="00980C3C">
        <w:rPr>
          <w:rStyle w:val="FootnoteReference"/>
          <w:rFonts w:ascii="Times New Roman" w:hAnsi="Times New Roman" w:cs="Times New Roman"/>
          <w:sz w:val="18"/>
          <w:szCs w:val="18"/>
        </w:rPr>
        <w:footnoteRef/>
      </w:r>
      <w:r w:rsidRPr="00980C3C">
        <w:rPr>
          <w:rFonts w:ascii="Times New Roman" w:hAnsi="Times New Roman" w:cs="Times New Roman"/>
          <w:sz w:val="18"/>
          <w:szCs w:val="18"/>
        </w:rPr>
        <w:t xml:space="preserve"> Zhang, S.; L. Wilkinson; L. Ogunde; R. Todd; C. Steves; S. Haydel.  Norton Engineering: Alkylation Technology Study: FINAL REPORT. South Coast Air Quality Management District, 09/09/2016. Available at: </w:t>
      </w:r>
      <w:hyperlink r:id="rId92" w:history="1">
        <w:r w:rsidRPr="00980C3C">
          <w:rPr>
            <w:rFonts w:ascii="Times New Roman" w:hAnsi="Times New Roman" w:cs="Times New Roman"/>
            <w:color w:val="0563C1"/>
            <w:sz w:val="18"/>
            <w:szCs w:val="18"/>
            <w:u w:val="single"/>
          </w:rPr>
          <w:t>https://www.aqmd.gov/docs/default-source/permitting/alkylation-technology-study-final-report.pdf</w:t>
        </w:r>
      </w:hyperlink>
      <w:r w:rsidRPr="00980C3C" w:rsidR="00843847">
        <w:rPr>
          <w:rFonts w:ascii="Times New Roman" w:hAnsi="Times New Roman" w:cs="Times New Roman"/>
          <w:color w:val="0563C1"/>
          <w:sz w:val="18"/>
          <w:szCs w:val="18"/>
          <w:u w:val="single"/>
        </w:rPr>
        <w:t>.</w:t>
      </w:r>
    </w:p>
  </w:footnote>
  <w:footnote w:id="214">
    <w:p w:rsidR="00CA671D" w:rsidRPr="00980C3C" w:rsidP="00CA671D" w14:paraId="4CBD06EF" w14:textId="77777777">
      <w:pPr>
        <w:spacing w:after="0" w:line="240" w:lineRule="auto"/>
        <w:rPr>
          <w:rFonts w:ascii="Times New Roman" w:hAnsi="Times New Roman" w:cs="Times New Roman"/>
          <w:sz w:val="18"/>
          <w:szCs w:val="18"/>
        </w:rPr>
      </w:pPr>
      <w:r w:rsidRPr="00980C3C">
        <w:rPr>
          <w:rStyle w:val="FootnoteReference"/>
          <w:rFonts w:ascii="Times New Roman" w:hAnsi="Times New Roman" w:cs="Times New Roman"/>
          <w:sz w:val="18"/>
          <w:szCs w:val="18"/>
        </w:rPr>
        <w:footnoteRef/>
      </w:r>
      <w:r w:rsidRPr="00980C3C">
        <w:rPr>
          <w:rFonts w:ascii="Times New Roman" w:hAnsi="Times New Roman" w:cs="Times New Roman"/>
          <w:sz w:val="18"/>
          <w:szCs w:val="18"/>
        </w:rPr>
        <w:t xml:space="preserve"> Zhang, S.; L. Wilkinson; L. Ogunde; R. Todd; C. Steves; S. Haydel.  Norton Engineering: Alkylation Technology Study: FINAL REPORT. South Coast Air Quality Management District, 09/09/2016. Available at: </w:t>
      </w:r>
      <w:hyperlink r:id="rId92" w:history="1">
        <w:r w:rsidRPr="00980C3C">
          <w:rPr>
            <w:rFonts w:ascii="Times New Roman" w:hAnsi="Times New Roman" w:cs="Times New Roman"/>
            <w:color w:val="0563C1"/>
            <w:sz w:val="18"/>
            <w:szCs w:val="18"/>
            <w:u w:val="single"/>
          </w:rPr>
          <w:t>https://www.aqmd.gov/docs/default-source/permitting/alkylation-technology-study-final-report.pdf</w:t>
        </w:r>
      </w:hyperlink>
      <w:r w:rsidRPr="00980C3C" w:rsidR="00843847">
        <w:rPr>
          <w:rFonts w:ascii="Times New Roman" w:hAnsi="Times New Roman" w:cs="Times New Roman"/>
          <w:color w:val="0563C1"/>
          <w:sz w:val="18"/>
          <w:szCs w:val="18"/>
          <w:u w:val="single"/>
        </w:rPr>
        <w:t>.</w:t>
      </w:r>
    </w:p>
    <w:p w:rsidR="00CA671D" w14:paraId="0ABFEE19" w14:textId="77777777">
      <w:pPr>
        <w:pStyle w:val="FootnoteText"/>
      </w:pPr>
    </w:p>
  </w:footnote>
  <w:footnote w:id="215">
    <w:p w:rsidR="00E46D3C" w:rsidRPr="001D1012" w:rsidP="00E46D3C" w14:paraId="001DDE72" w14:textId="77777777">
      <w:pPr>
        <w:pStyle w:val="FootnoteText"/>
        <w:rPr>
          <w:rFonts w:ascii="Times New Roman" w:hAnsi="Times New Roman" w:cs="Times New Roman"/>
          <w:sz w:val="18"/>
          <w:szCs w:val="18"/>
        </w:rPr>
      </w:pPr>
      <w:r w:rsidRPr="001D1012">
        <w:rPr>
          <w:rStyle w:val="FootnoteReference"/>
          <w:rFonts w:ascii="Times New Roman" w:hAnsi="Times New Roman" w:cs="Times New Roman"/>
          <w:sz w:val="18"/>
          <w:szCs w:val="18"/>
        </w:rPr>
        <w:footnoteRef/>
      </w:r>
      <w:r w:rsidRPr="001D1012">
        <w:rPr>
          <w:rFonts w:ascii="Times New Roman" w:hAnsi="Times New Roman" w:cs="Times New Roman"/>
          <w:sz w:val="18"/>
          <w:szCs w:val="18"/>
        </w:rPr>
        <w:t xml:space="preserve"> SBA definitions of small businesses apply to a firm’s parent company and all affiliates as a single entity.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51830" w14:paraId="1B18A440" w14:textId="77777777">
    <w:r>
      <w:cr/>
    </w:r>
    <w:r>
      <w:cr/>
    </w:r>
    <w:r w:rsidR="002A7710">
      <w:cr/>
    </w:r>
  </w:p>
  <w:p w:rsidR="00D501D7" w14:paraId="1B61DC08" w14:textId="77777777">
    <w:r>
      <w:cr/>
    </w:r>
    <w:r>
      <w:cr/>
    </w:r>
    <w:r>
      <w:cr/>
    </w:r>
  </w:p>
  <w:p w:rsidR="007220D6" w14:paraId="1442DBE7" w14:textId="77777777">
    <w:r>
      <w:cr/>
    </w:r>
    <w:r>
      <w:cr/>
    </w:r>
    <w:r>
      <w:cr/>
    </w:r>
  </w:p>
  <w:p w:rsidR="008550A6" w14:paraId="63FADAD9" w14:textId="77777777">
    <w:r>
      <w:cr/>
    </w:r>
    <w:r>
      <w:cr/>
    </w:r>
    <w:r>
      <w:cr/>
    </w: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9D7BD0" w14:paraId="1179B145" w14:textId="77777777">
    <w:pPr>
      <w:pStyle w:val="Header"/>
    </w:pPr>
  </w:p>
  <w:p w:rsidR="008550A6" w14:paraId="04925692" w14:textId="77777777">
    <w:pPr>
      <w:pStyle w:val="Header"/>
    </w:pPr>
    <w:r>
      <w:cr/>
    </w:r>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51830" w14:paraId="599D395E" w14:textId="77777777">
    <w:r>
      <w:cr/>
    </w:r>
    <w:r>
      <w:cr/>
    </w:r>
    <w:r w:rsidR="002A7710">
      <w:cr/>
    </w:r>
  </w:p>
  <w:p w:rsidR="00D501D7" w14:paraId="7FAE9EC4" w14:textId="77777777">
    <w:r>
      <w:cr/>
    </w:r>
    <w:r>
      <w:cr/>
    </w:r>
    <w:r>
      <w:cr/>
    </w:r>
  </w:p>
  <w:p w:rsidR="007220D6" w14:paraId="690DBA50" w14:textId="77777777">
    <w:r>
      <w:cr/>
    </w:r>
    <w:r>
      <w:cr/>
    </w:r>
    <w:r>
      <w:cr/>
    </w:r>
  </w:p>
  <w:p w:rsidR="008550A6" w14:paraId="4EB18BAB" w14:textId="77777777">
    <w:r>
      <w:cr/>
    </w:r>
    <w:r>
      <w:cr/>
    </w:r>
    <w:r>
      <w:cr/>
    </w:r>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311410B"/>
    <w:multiLevelType w:val="hybridMultilevel"/>
    <w:tmpl w:val="7AA6C8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4097860"/>
    <w:multiLevelType w:val="multilevel"/>
    <w:tmpl w:val="CA64E3D2"/>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
    <w:nsid w:val="05275ADE"/>
    <w:multiLevelType w:val="hybridMultilevel"/>
    <w:tmpl w:val="A290E244"/>
    <w:lvl w:ilvl="0">
      <w:start w:val="1"/>
      <w:numFmt w:val="bullet"/>
      <w:lvlText w:val=""/>
      <w:lvlJc w:val="left"/>
      <w:pPr>
        <w:ind w:left="1530" w:hanging="360"/>
      </w:pPr>
      <w:rPr>
        <w:rFonts w:ascii="Symbol" w:hAnsi="Symbol" w:hint="default"/>
      </w:rPr>
    </w:lvl>
    <w:lvl w:ilvl="1" w:tentative="1">
      <w:start w:val="1"/>
      <w:numFmt w:val="bullet"/>
      <w:lvlText w:val="o"/>
      <w:lvlJc w:val="left"/>
      <w:pPr>
        <w:ind w:left="2430" w:hanging="360"/>
      </w:pPr>
      <w:rPr>
        <w:rFonts w:ascii="Courier New" w:hAnsi="Courier New" w:cs="Courier New" w:hint="default"/>
      </w:rPr>
    </w:lvl>
    <w:lvl w:ilvl="2" w:tentative="1">
      <w:start w:val="1"/>
      <w:numFmt w:val="bullet"/>
      <w:lvlText w:val=""/>
      <w:lvlJc w:val="left"/>
      <w:pPr>
        <w:ind w:left="3150" w:hanging="360"/>
      </w:pPr>
      <w:rPr>
        <w:rFonts w:ascii="Wingdings" w:hAnsi="Wingdings" w:hint="default"/>
      </w:rPr>
    </w:lvl>
    <w:lvl w:ilvl="3" w:tentative="1">
      <w:start w:val="1"/>
      <w:numFmt w:val="bullet"/>
      <w:lvlText w:val=""/>
      <w:lvlJc w:val="left"/>
      <w:pPr>
        <w:ind w:left="3870" w:hanging="360"/>
      </w:pPr>
      <w:rPr>
        <w:rFonts w:ascii="Symbol" w:hAnsi="Symbol" w:hint="default"/>
      </w:rPr>
    </w:lvl>
    <w:lvl w:ilvl="4" w:tentative="1">
      <w:start w:val="1"/>
      <w:numFmt w:val="bullet"/>
      <w:lvlText w:val="o"/>
      <w:lvlJc w:val="left"/>
      <w:pPr>
        <w:ind w:left="4590" w:hanging="360"/>
      </w:pPr>
      <w:rPr>
        <w:rFonts w:ascii="Courier New" w:hAnsi="Courier New" w:cs="Courier New" w:hint="default"/>
      </w:rPr>
    </w:lvl>
    <w:lvl w:ilvl="5" w:tentative="1">
      <w:start w:val="1"/>
      <w:numFmt w:val="bullet"/>
      <w:lvlText w:val=""/>
      <w:lvlJc w:val="left"/>
      <w:pPr>
        <w:ind w:left="5310" w:hanging="360"/>
      </w:pPr>
      <w:rPr>
        <w:rFonts w:ascii="Wingdings" w:hAnsi="Wingdings" w:hint="default"/>
      </w:rPr>
    </w:lvl>
    <w:lvl w:ilvl="6" w:tentative="1">
      <w:start w:val="1"/>
      <w:numFmt w:val="bullet"/>
      <w:lvlText w:val=""/>
      <w:lvlJc w:val="left"/>
      <w:pPr>
        <w:ind w:left="6030" w:hanging="360"/>
      </w:pPr>
      <w:rPr>
        <w:rFonts w:ascii="Symbol" w:hAnsi="Symbol" w:hint="default"/>
      </w:rPr>
    </w:lvl>
    <w:lvl w:ilvl="7" w:tentative="1">
      <w:start w:val="1"/>
      <w:numFmt w:val="bullet"/>
      <w:lvlText w:val="o"/>
      <w:lvlJc w:val="left"/>
      <w:pPr>
        <w:ind w:left="6750" w:hanging="360"/>
      </w:pPr>
      <w:rPr>
        <w:rFonts w:ascii="Courier New" w:hAnsi="Courier New" w:cs="Courier New" w:hint="default"/>
      </w:rPr>
    </w:lvl>
    <w:lvl w:ilvl="8" w:tentative="1">
      <w:start w:val="1"/>
      <w:numFmt w:val="bullet"/>
      <w:lvlText w:val=""/>
      <w:lvlJc w:val="left"/>
      <w:pPr>
        <w:ind w:left="7470" w:hanging="360"/>
      </w:pPr>
      <w:rPr>
        <w:rFonts w:ascii="Wingdings" w:hAnsi="Wingdings" w:hint="default"/>
      </w:rPr>
    </w:lvl>
  </w:abstractNum>
  <w:abstractNum w:abstractNumId="3">
    <w:nsid w:val="07476BD8"/>
    <w:multiLevelType w:val="hybridMultilevel"/>
    <w:tmpl w:val="14FEDB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243E8F"/>
    <w:multiLevelType w:val="hybridMultilevel"/>
    <w:tmpl w:val="7A06B0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14C3A78"/>
    <w:multiLevelType w:val="hybridMultilevel"/>
    <w:tmpl w:val="55368BA4"/>
    <w:lvl w:ilvl="0">
      <w:start w:val="1"/>
      <w:numFmt w:val="decimal"/>
      <w:lvlText w:val="%1."/>
      <w:lvlJc w:val="left"/>
      <w:pPr>
        <w:ind w:left="99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60E3E6A"/>
    <w:multiLevelType w:val="hybridMultilevel"/>
    <w:tmpl w:val="5BD69296"/>
    <w:lvl w:ilvl="0">
      <w:start w:val="0"/>
      <w:numFmt w:val="bullet"/>
      <w:lvlText w:val=""/>
      <w:lvlJc w:val="left"/>
      <w:pPr>
        <w:ind w:left="520" w:hanging="360"/>
      </w:pPr>
      <w:rPr>
        <w:rFonts w:ascii="Symbol" w:eastAsia="Symbol" w:hAnsi="Symbol" w:cs="Symbol" w:hint="default"/>
        <w:w w:val="100"/>
        <w:sz w:val="21"/>
        <w:szCs w:val="21"/>
        <w:lang w:val="en-US" w:eastAsia="en-US" w:bidi="en-US"/>
      </w:rPr>
    </w:lvl>
    <w:lvl w:ilvl="1">
      <w:start w:val="0"/>
      <w:numFmt w:val="bullet"/>
      <w:lvlText w:val="•"/>
      <w:lvlJc w:val="left"/>
      <w:pPr>
        <w:ind w:left="718" w:hanging="360"/>
      </w:pPr>
      <w:rPr>
        <w:rFonts w:hint="default"/>
        <w:lang w:val="en-US" w:eastAsia="en-US" w:bidi="en-US"/>
      </w:rPr>
    </w:lvl>
    <w:lvl w:ilvl="2">
      <w:start w:val="0"/>
      <w:numFmt w:val="bullet"/>
      <w:lvlText w:val="•"/>
      <w:lvlJc w:val="left"/>
      <w:pPr>
        <w:ind w:left="917" w:hanging="360"/>
      </w:pPr>
      <w:rPr>
        <w:rFonts w:hint="default"/>
        <w:lang w:val="en-US" w:eastAsia="en-US" w:bidi="en-US"/>
      </w:rPr>
    </w:lvl>
    <w:lvl w:ilvl="3">
      <w:start w:val="0"/>
      <w:numFmt w:val="bullet"/>
      <w:lvlText w:val="•"/>
      <w:lvlJc w:val="left"/>
      <w:pPr>
        <w:ind w:left="1115" w:hanging="360"/>
      </w:pPr>
      <w:rPr>
        <w:rFonts w:hint="default"/>
        <w:lang w:val="en-US" w:eastAsia="en-US" w:bidi="en-US"/>
      </w:rPr>
    </w:lvl>
    <w:lvl w:ilvl="4">
      <w:start w:val="0"/>
      <w:numFmt w:val="bullet"/>
      <w:lvlText w:val="•"/>
      <w:lvlJc w:val="left"/>
      <w:pPr>
        <w:ind w:left="1314" w:hanging="360"/>
      </w:pPr>
      <w:rPr>
        <w:rFonts w:hint="default"/>
        <w:lang w:val="en-US" w:eastAsia="en-US" w:bidi="en-US"/>
      </w:rPr>
    </w:lvl>
    <w:lvl w:ilvl="5">
      <w:start w:val="0"/>
      <w:numFmt w:val="bullet"/>
      <w:lvlText w:val="•"/>
      <w:lvlJc w:val="left"/>
      <w:pPr>
        <w:ind w:left="1513" w:hanging="360"/>
      </w:pPr>
      <w:rPr>
        <w:rFonts w:hint="default"/>
        <w:lang w:val="en-US" w:eastAsia="en-US" w:bidi="en-US"/>
      </w:rPr>
    </w:lvl>
    <w:lvl w:ilvl="6">
      <w:start w:val="0"/>
      <w:numFmt w:val="bullet"/>
      <w:lvlText w:val="•"/>
      <w:lvlJc w:val="left"/>
      <w:pPr>
        <w:ind w:left="1711" w:hanging="360"/>
      </w:pPr>
      <w:rPr>
        <w:rFonts w:hint="default"/>
        <w:lang w:val="en-US" w:eastAsia="en-US" w:bidi="en-US"/>
      </w:rPr>
    </w:lvl>
    <w:lvl w:ilvl="7">
      <w:start w:val="0"/>
      <w:numFmt w:val="bullet"/>
      <w:lvlText w:val="•"/>
      <w:lvlJc w:val="left"/>
      <w:pPr>
        <w:ind w:left="1910" w:hanging="360"/>
      </w:pPr>
      <w:rPr>
        <w:rFonts w:hint="default"/>
        <w:lang w:val="en-US" w:eastAsia="en-US" w:bidi="en-US"/>
      </w:rPr>
    </w:lvl>
    <w:lvl w:ilvl="8">
      <w:start w:val="0"/>
      <w:numFmt w:val="bullet"/>
      <w:lvlText w:val="•"/>
      <w:lvlJc w:val="left"/>
      <w:pPr>
        <w:ind w:left="2108" w:hanging="360"/>
      </w:pPr>
      <w:rPr>
        <w:rFonts w:hint="default"/>
        <w:lang w:val="en-US" w:eastAsia="en-US" w:bidi="en-US"/>
      </w:rPr>
    </w:lvl>
  </w:abstractNum>
  <w:abstractNum w:abstractNumId="7">
    <w:nsid w:val="1A6018C1"/>
    <w:multiLevelType w:val="hybridMultilevel"/>
    <w:tmpl w:val="2A36DC8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223A39F1"/>
    <w:multiLevelType w:val="hybridMultilevel"/>
    <w:tmpl w:val="3B5E07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75F26E6"/>
    <w:multiLevelType w:val="hybridMultilevel"/>
    <w:tmpl w:val="171037F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372E24BF"/>
    <w:multiLevelType w:val="hybridMultilevel"/>
    <w:tmpl w:val="57D062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A062879"/>
    <w:multiLevelType w:val="hybridMultilevel"/>
    <w:tmpl w:val="A50653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B3C35D2"/>
    <w:multiLevelType w:val="hybridMultilevel"/>
    <w:tmpl w:val="02CCC3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B9389B"/>
    <w:multiLevelType w:val="hybridMultilevel"/>
    <w:tmpl w:val="B558970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45005980"/>
    <w:multiLevelType w:val="hybridMultilevel"/>
    <w:tmpl w:val="79ECCE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B972D9A"/>
    <w:multiLevelType w:val="hybridMultilevel"/>
    <w:tmpl w:val="5CF478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8475F24"/>
    <w:multiLevelType w:val="multilevel"/>
    <w:tmpl w:val="77904DB4"/>
    <w:lvl w:ilvl="0">
      <w:start w:val="1"/>
      <w:numFmt w:val="decimal"/>
      <w:lvlText w:val="%1."/>
      <w:lvlJc w:val="left"/>
      <w:pPr>
        <w:ind w:left="1350" w:hanging="360"/>
      </w:pPr>
      <w:rPr>
        <w:rFonts w:ascii="Times New Roman" w:hAnsi="Times New Roman" w:eastAsiaTheme="minorHAnsi" w:cs="Times New Roman"/>
      </w:rPr>
    </w:lvl>
    <w:lvl w:ilvl="1">
      <w:start w:val="1"/>
      <w:numFmt w:val="decimal"/>
      <w:isLgl/>
      <w:lvlText w:val="%1.%2"/>
      <w:lvlJc w:val="left"/>
      <w:pPr>
        <w:ind w:left="1680" w:hanging="690"/>
      </w:pPr>
      <w:rPr>
        <w:rFonts w:hint="default"/>
      </w:rPr>
    </w:lvl>
    <w:lvl w:ilvl="2">
      <w:start w:val="1"/>
      <w:numFmt w:val="decimal"/>
      <w:isLgl/>
      <w:lvlText w:val="%1.%2.%3"/>
      <w:lvlJc w:val="left"/>
      <w:pPr>
        <w:ind w:left="1710" w:hanging="720"/>
      </w:pPr>
      <w:rPr>
        <w:rFonts w:hint="default"/>
      </w:rPr>
    </w:lvl>
    <w:lvl w:ilvl="3">
      <w:start w:val="5"/>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17">
    <w:nsid w:val="592B7E81"/>
    <w:multiLevelType w:val="hybridMultilevel"/>
    <w:tmpl w:val="E62CDB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4304258"/>
    <w:multiLevelType w:val="hybridMultilevel"/>
    <w:tmpl w:val="4F46B39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653034CC"/>
    <w:multiLevelType w:val="hybridMultilevel"/>
    <w:tmpl w:val="7E423A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73078CA"/>
    <w:multiLevelType w:val="hybridMultilevel"/>
    <w:tmpl w:val="057A5F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AD838FF"/>
    <w:multiLevelType w:val="hybridMultilevel"/>
    <w:tmpl w:val="763A2D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7361B9C"/>
    <w:multiLevelType w:val="hybridMultilevel"/>
    <w:tmpl w:val="A7EA7008"/>
    <w:lvl w:ilvl="0">
      <w:start w:val="0"/>
      <w:numFmt w:val="bullet"/>
      <w:lvlText w:val=""/>
      <w:lvlJc w:val="left"/>
      <w:pPr>
        <w:ind w:left="520" w:hanging="360"/>
      </w:pPr>
      <w:rPr>
        <w:rFonts w:ascii="Symbol" w:eastAsia="Symbol" w:hAnsi="Symbol" w:cs="Symbol" w:hint="default"/>
        <w:w w:val="100"/>
        <w:sz w:val="21"/>
        <w:szCs w:val="21"/>
        <w:lang w:val="en-US" w:eastAsia="en-US" w:bidi="en-US"/>
      </w:rPr>
    </w:lvl>
    <w:lvl w:ilvl="1">
      <w:start w:val="0"/>
      <w:numFmt w:val="bullet"/>
      <w:lvlText w:val="•"/>
      <w:lvlJc w:val="left"/>
      <w:pPr>
        <w:ind w:left="718" w:hanging="360"/>
      </w:pPr>
      <w:rPr>
        <w:rFonts w:hint="default"/>
        <w:lang w:val="en-US" w:eastAsia="en-US" w:bidi="en-US"/>
      </w:rPr>
    </w:lvl>
    <w:lvl w:ilvl="2">
      <w:start w:val="0"/>
      <w:numFmt w:val="bullet"/>
      <w:lvlText w:val="•"/>
      <w:lvlJc w:val="left"/>
      <w:pPr>
        <w:ind w:left="917" w:hanging="360"/>
      </w:pPr>
      <w:rPr>
        <w:rFonts w:hint="default"/>
        <w:lang w:val="en-US" w:eastAsia="en-US" w:bidi="en-US"/>
      </w:rPr>
    </w:lvl>
    <w:lvl w:ilvl="3">
      <w:start w:val="0"/>
      <w:numFmt w:val="bullet"/>
      <w:lvlText w:val="•"/>
      <w:lvlJc w:val="left"/>
      <w:pPr>
        <w:ind w:left="1115" w:hanging="360"/>
      </w:pPr>
      <w:rPr>
        <w:rFonts w:hint="default"/>
        <w:lang w:val="en-US" w:eastAsia="en-US" w:bidi="en-US"/>
      </w:rPr>
    </w:lvl>
    <w:lvl w:ilvl="4">
      <w:start w:val="0"/>
      <w:numFmt w:val="bullet"/>
      <w:lvlText w:val="•"/>
      <w:lvlJc w:val="left"/>
      <w:pPr>
        <w:ind w:left="1314" w:hanging="360"/>
      </w:pPr>
      <w:rPr>
        <w:rFonts w:hint="default"/>
        <w:lang w:val="en-US" w:eastAsia="en-US" w:bidi="en-US"/>
      </w:rPr>
    </w:lvl>
    <w:lvl w:ilvl="5">
      <w:start w:val="0"/>
      <w:numFmt w:val="bullet"/>
      <w:lvlText w:val="•"/>
      <w:lvlJc w:val="left"/>
      <w:pPr>
        <w:ind w:left="1513" w:hanging="360"/>
      </w:pPr>
      <w:rPr>
        <w:rFonts w:hint="default"/>
        <w:lang w:val="en-US" w:eastAsia="en-US" w:bidi="en-US"/>
      </w:rPr>
    </w:lvl>
    <w:lvl w:ilvl="6">
      <w:start w:val="0"/>
      <w:numFmt w:val="bullet"/>
      <w:lvlText w:val="•"/>
      <w:lvlJc w:val="left"/>
      <w:pPr>
        <w:ind w:left="1711" w:hanging="360"/>
      </w:pPr>
      <w:rPr>
        <w:rFonts w:hint="default"/>
        <w:lang w:val="en-US" w:eastAsia="en-US" w:bidi="en-US"/>
      </w:rPr>
    </w:lvl>
    <w:lvl w:ilvl="7">
      <w:start w:val="0"/>
      <w:numFmt w:val="bullet"/>
      <w:lvlText w:val="•"/>
      <w:lvlJc w:val="left"/>
      <w:pPr>
        <w:ind w:left="1910" w:hanging="360"/>
      </w:pPr>
      <w:rPr>
        <w:rFonts w:hint="default"/>
        <w:lang w:val="en-US" w:eastAsia="en-US" w:bidi="en-US"/>
      </w:rPr>
    </w:lvl>
    <w:lvl w:ilvl="8">
      <w:start w:val="0"/>
      <w:numFmt w:val="bullet"/>
      <w:lvlText w:val="•"/>
      <w:lvlJc w:val="left"/>
      <w:pPr>
        <w:ind w:left="2108" w:hanging="360"/>
      </w:pPr>
      <w:rPr>
        <w:rFonts w:hint="default"/>
        <w:lang w:val="en-US" w:eastAsia="en-US" w:bidi="en-US"/>
      </w:rPr>
    </w:lvl>
  </w:abstractNum>
  <w:abstractNum w:abstractNumId="23">
    <w:nsid w:val="78413225"/>
    <w:multiLevelType w:val="hybridMultilevel"/>
    <w:tmpl w:val="4F46B39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7F912A86"/>
    <w:multiLevelType w:val="hybridMultilevel"/>
    <w:tmpl w:val="1C60EB4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233977739">
    <w:abstractNumId w:val="8"/>
  </w:num>
  <w:num w:numId="2" w16cid:durableId="1154100534">
    <w:abstractNumId w:val="17"/>
  </w:num>
  <w:num w:numId="3" w16cid:durableId="900870024">
    <w:abstractNumId w:val="12"/>
  </w:num>
  <w:num w:numId="4" w16cid:durableId="1862666972">
    <w:abstractNumId w:val="20"/>
  </w:num>
  <w:num w:numId="5" w16cid:durableId="1153333429">
    <w:abstractNumId w:val="13"/>
  </w:num>
  <w:num w:numId="6" w16cid:durableId="1240406503">
    <w:abstractNumId w:val="22"/>
  </w:num>
  <w:num w:numId="7" w16cid:durableId="123818806">
    <w:abstractNumId w:val="6"/>
  </w:num>
  <w:num w:numId="8" w16cid:durableId="505633746">
    <w:abstractNumId w:val="3"/>
  </w:num>
  <w:num w:numId="9" w16cid:durableId="1379550285">
    <w:abstractNumId w:val="21"/>
  </w:num>
  <w:num w:numId="10" w16cid:durableId="601106285">
    <w:abstractNumId w:val="4"/>
  </w:num>
  <w:num w:numId="11" w16cid:durableId="1034042589">
    <w:abstractNumId w:val="10"/>
  </w:num>
  <w:num w:numId="12" w16cid:durableId="231473391">
    <w:abstractNumId w:val="18"/>
  </w:num>
  <w:num w:numId="13" w16cid:durableId="686298913">
    <w:abstractNumId w:val="5"/>
  </w:num>
  <w:num w:numId="14" w16cid:durableId="1958950614">
    <w:abstractNumId w:val="1"/>
  </w:num>
  <w:num w:numId="15" w16cid:durableId="1438986995">
    <w:abstractNumId w:val="7"/>
  </w:num>
  <w:num w:numId="16" w16cid:durableId="1838374019">
    <w:abstractNumId w:val="2"/>
  </w:num>
  <w:num w:numId="17" w16cid:durableId="292256434">
    <w:abstractNumId w:val="9"/>
  </w:num>
  <w:num w:numId="18" w16cid:durableId="2074228596">
    <w:abstractNumId w:val="19"/>
  </w:num>
  <w:num w:numId="19" w16cid:durableId="724137099">
    <w:abstractNumId w:val="16"/>
  </w:num>
  <w:num w:numId="20" w16cid:durableId="1256131862">
    <w:abstractNumId w:val="23"/>
  </w:num>
  <w:num w:numId="21" w16cid:durableId="342588533">
    <w:abstractNumId w:val="11"/>
  </w:num>
  <w:num w:numId="22" w16cid:durableId="1053769974">
    <w:abstractNumId w:val="14"/>
  </w:num>
  <w:num w:numId="23" w16cid:durableId="1390496644">
    <w:abstractNumId w:val="0"/>
  </w:num>
  <w:num w:numId="24" w16cid:durableId="1539052822">
    <w:abstractNumId w:val="15"/>
  </w:num>
  <w:num w:numId="25" w16cid:durableId="1744062735">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R3 Comment">
    <w15:presenceInfo w15:providerId="None" w15:userId="R3 Comment"/>
  </w15:person>
  <w15:person w15:author="EPA-R3">
    <w15:presenceInfo w15:providerId="None" w15:userId="EPA-R3"/>
  </w15:person>
  <w15:person w15:author="R1 Comment">
    <w15:presenceInfo w15:providerId="None" w15:userId="R1 Comment"/>
  </w15:person>
  <w15:person w15:author="EPA">
    <w15:presenceInfo w15:providerId="None" w15:userId="EPA"/>
  </w15:person>
  <w15:person w15:author="R2 Comment">
    <w15:presenceInfo w15:providerId="None" w15:userId="R2 Comment"/>
  </w15:person>
  <w15:person w15:author="EPA-R2">
    <w15:presenceInfo w15:providerId="None" w15:userId="EPA-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30"/>
  <w:revisionView w:comments="1" w:formatting="1" w:inkAnnotations="1" w:insDel="1" w:markup="0"/>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A0D"/>
    <w:rsid w:val="000000C7"/>
    <w:rsid w:val="000003CD"/>
    <w:rsid w:val="00000686"/>
    <w:rsid w:val="000006A5"/>
    <w:rsid w:val="000006C1"/>
    <w:rsid w:val="000008E9"/>
    <w:rsid w:val="00000A61"/>
    <w:rsid w:val="00000AA7"/>
    <w:rsid w:val="00000B1A"/>
    <w:rsid w:val="00000C23"/>
    <w:rsid w:val="00000C27"/>
    <w:rsid w:val="00000CD6"/>
    <w:rsid w:val="00000DCF"/>
    <w:rsid w:val="00000E3F"/>
    <w:rsid w:val="00001334"/>
    <w:rsid w:val="00001356"/>
    <w:rsid w:val="000015B4"/>
    <w:rsid w:val="000015EB"/>
    <w:rsid w:val="00001612"/>
    <w:rsid w:val="00001670"/>
    <w:rsid w:val="00001793"/>
    <w:rsid w:val="000017B3"/>
    <w:rsid w:val="000017D3"/>
    <w:rsid w:val="0000184B"/>
    <w:rsid w:val="00001BC1"/>
    <w:rsid w:val="00001CB4"/>
    <w:rsid w:val="00001E9D"/>
    <w:rsid w:val="00001F14"/>
    <w:rsid w:val="00001FA4"/>
    <w:rsid w:val="00001FBC"/>
    <w:rsid w:val="0000201E"/>
    <w:rsid w:val="000021EB"/>
    <w:rsid w:val="00002227"/>
    <w:rsid w:val="000022D7"/>
    <w:rsid w:val="000023D4"/>
    <w:rsid w:val="000025A8"/>
    <w:rsid w:val="00002829"/>
    <w:rsid w:val="00002857"/>
    <w:rsid w:val="00002934"/>
    <w:rsid w:val="000029C6"/>
    <w:rsid w:val="00002A07"/>
    <w:rsid w:val="00002C87"/>
    <w:rsid w:val="00002D7B"/>
    <w:rsid w:val="00002D9C"/>
    <w:rsid w:val="00002E9B"/>
    <w:rsid w:val="00003060"/>
    <w:rsid w:val="0000315D"/>
    <w:rsid w:val="000031EE"/>
    <w:rsid w:val="0000321D"/>
    <w:rsid w:val="0000334A"/>
    <w:rsid w:val="00003484"/>
    <w:rsid w:val="00003626"/>
    <w:rsid w:val="00003725"/>
    <w:rsid w:val="0000381C"/>
    <w:rsid w:val="00003841"/>
    <w:rsid w:val="00003C15"/>
    <w:rsid w:val="00003FC7"/>
    <w:rsid w:val="00004243"/>
    <w:rsid w:val="000046B6"/>
    <w:rsid w:val="000048A8"/>
    <w:rsid w:val="000048F9"/>
    <w:rsid w:val="00004D0E"/>
    <w:rsid w:val="00004D63"/>
    <w:rsid w:val="00004E23"/>
    <w:rsid w:val="000050E7"/>
    <w:rsid w:val="0000518C"/>
    <w:rsid w:val="000052B9"/>
    <w:rsid w:val="00005310"/>
    <w:rsid w:val="000053F5"/>
    <w:rsid w:val="000055D1"/>
    <w:rsid w:val="00005762"/>
    <w:rsid w:val="0000587F"/>
    <w:rsid w:val="0000596C"/>
    <w:rsid w:val="00005B6E"/>
    <w:rsid w:val="00005CBB"/>
    <w:rsid w:val="00005D39"/>
    <w:rsid w:val="00005D95"/>
    <w:rsid w:val="00005E32"/>
    <w:rsid w:val="0000623E"/>
    <w:rsid w:val="00006312"/>
    <w:rsid w:val="000063B7"/>
    <w:rsid w:val="000065D0"/>
    <w:rsid w:val="00006AB3"/>
    <w:rsid w:val="00006C4F"/>
    <w:rsid w:val="00006D38"/>
    <w:rsid w:val="00006F81"/>
    <w:rsid w:val="0000704E"/>
    <w:rsid w:val="00007222"/>
    <w:rsid w:val="0000752E"/>
    <w:rsid w:val="00007579"/>
    <w:rsid w:val="00007845"/>
    <w:rsid w:val="00007B79"/>
    <w:rsid w:val="00007BF9"/>
    <w:rsid w:val="00007ED0"/>
    <w:rsid w:val="00007ED2"/>
    <w:rsid w:val="00010043"/>
    <w:rsid w:val="00010051"/>
    <w:rsid w:val="000100FA"/>
    <w:rsid w:val="00010129"/>
    <w:rsid w:val="000101AB"/>
    <w:rsid w:val="00010255"/>
    <w:rsid w:val="0001042A"/>
    <w:rsid w:val="000104DF"/>
    <w:rsid w:val="00010728"/>
    <w:rsid w:val="00010925"/>
    <w:rsid w:val="00010B01"/>
    <w:rsid w:val="00010E7C"/>
    <w:rsid w:val="00010ED9"/>
    <w:rsid w:val="00010EE2"/>
    <w:rsid w:val="00010F27"/>
    <w:rsid w:val="00011130"/>
    <w:rsid w:val="00011146"/>
    <w:rsid w:val="000112F4"/>
    <w:rsid w:val="000114AE"/>
    <w:rsid w:val="00011562"/>
    <w:rsid w:val="00011696"/>
    <w:rsid w:val="0001178C"/>
    <w:rsid w:val="00011793"/>
    <w:rsid w:val="000119B8"/>
    <w:rsid w:val="000119D0"/>
    <w:rsid w:val="00011AB6"/>
    <w:rsid w:val="00011ACD"/>
    <w:rsid w:val="00011B03"/>
    <w:rsid w:val="00011B42"/>
    <w:rsid w:val="00011C46"/>
    <w:rsid w:val="00011D27"/>
    <w:rsid w:val="00011DBB"/>
    <w:rsid w:val="00011DBC"/>
    <w:rsid w:val="00011F27"/>
    <w:rsid w:val="0001228A"/>
    <w:rsid w:val="0001247C"/>
    <w:rsid w:val="000124BE"/>
    <w:rsid w:val="000125AE"/>
    <w:rsid w:val="000125E4"/>
    <w:rsid w:val="000129DF"/>
    <w:rsid w:val="00012A26"/>
    <w:rsid w:val="00012E3E"/>
    <w:rsid w:val="00012E7F"/>
    <w:rsid w:val="000130BD"/>
    <w:rsid w:val="0001313D"/>
    <w:rsid w:val="00013173"/>
    <w:rsid w:val="000132FE"/>
    <w:rsid w:val="0001331D"/>
    <w:rsid w:val="000134B0"/>
    <w:rsid w:val="000134E4"/>
    <w:rsid w:val="00013606"/>
    <w:rsid w:val="000138F3"/>
    <w:rsid w:val="00013990"/>
    <w:rsid w:val="0001399C"/>
    <w:rsid w:val="000139C8"/>
    <w:rsid w:val="000139D1"/>
    <w:rsid w:val="00013B48"/>
    <w:rsid w:val="00013C95"/>
    <w:rsid w:val="00013D84"/>
    <w:rsid w:val="00013D8F"/>
    <w:rsid w:val="00013D92"/>
    <w:rsid w:val="00013DCF"/>
    <w:rsid w:val="00013E32"/>
    <w:rsid w:val="00013E43"/>
    <w:rsid w:val="00013FB1"/>
    <w:rsid w:val="00013FD4"/>
    <w:rsid w:val="000140EC"/>
    <w:rsid w:val="00014194"/>
    <w:rsid w:val="00014310"/>
    <w:rsid w:val="000143CF"/>
    <w:rsid w:val="000144FD"/>
    <w:rsid w:val="0001467D"/>
    <w:rsid w:val="000146AD"/>
    <w:rsid w:val="00014721"/>
    <w:rsid w:val="00014750"/>
    <w:rsid w:val="000147A9"/>
    <w:rsid w:val="00014898"/>
    <w:rsid w:val="000148AB"/>
    <w:rsid w:val="00014A1C"/>
    <w:rsid w:val="00014B09"/>
    <w:rsid w:val="00014D0F"/>
    <w:rsid w:val="00015065"/>
    <w:rsid w:val="00015219"/>
    <w:rsid w:val="0001540D"/>
    <w:rsid w:val="000154B9"/>
    <w:rsid w:val="00015597"/>
    <w:rsid w:val="00015721"/>
    <w:rsid w:val="00015727"/>
    <w:rsid w:val="00015A20"/>
    <w:rsid w:val="00015B17"/>
    <w:rsid w:val="00015D21"/>
    <w:rsid w:val="00015D92"/>
    <w:rsid w:val="00015E24"/>
    <w:rsid w:val="00015E5D"/>
    <w:rsid w:val="00015FCA"/>
    <w:rsid w:val="00015FD7"/>
    <w:rsid w:val="00016024"/>
    <w:rsid w:val="00016040"/>
    <w:rsid w:val="00016202"/>
    <w:rsid w:val="000164C6"/>
    <w:rsid w:val="00016512"/>
    <w:rsid w:val="000166DB"/>
    <w:rsid w:val="00016749"/>
    <w:rsid w:val="000167AA"/>
    <w:rsid w:val="000167F7"/>
    <w:rsid w:val="000168C4"/>
    <w:rsid w:val="00016A88"/>
    <w:rsid w:val="00016B47"/>
    <w:rsid w:val="00016D71"/>
    <w:rsid w:val="00016F56"/>
    <w:rsid w:val="00016FD5"/>
    <w:rsid w:val="00016FDE"/>
    <w:rsid w:val="00017113"/>
    <w:rsid w:val="000173AF"/>
    <w:rsid w:val="000174A4"/>
    <w:rsid w:val="00017578"/>
    <w:rsid w:val="00017D64"/>
    <w:rsid w:val="00017D79"/>
    <w:rsid w:val="00017D9F"/>
    <w:rsid w:val="00017E78"/>
    <w:rsid w:val="0002003B"/>
    <w:rsid w:val="000200A4"/>
    <w:rsid w:val="000205B1"/>
    <w:rsid w:val="000206C2"/>
    <w:rsid w:val="00020746"/>
    <w:rsid w:val="000209D7"/>
    <w:rsid w:val="00020CE6"/>
    <w:rsid w:val="00020E03"/>
    <w:rsid w:val="00020E20"/>
    <w:rsid w:val="00020F4D"/>
    <w:rsid w:val="00021039"/>
    <w:rsid w:val="00021069"/>
    <w:rsid w:val="00021070"/>
    <w:rsid w:val="00021215"/>
    <w:rsid w:val="000213A6"/>
    <w:rsid w:val="00021576"/>
    <w:rsid w:val="0002177D"/>
    <w:rsid w:val="000217A6"/>
    <w:rsid w:val="000218B2"/>
    <w:rsid w:val="00021984"/>
    <w:rsid w:val="000219D0"/>
    <w:rsid w:val="000219D1"/>
    <w:rsid w:val="00021A38"/>
    <w:rsid w:val="00021B09"/>
    <w:rsid w:val="00021C04"/>
    <w:rsid w:val="00021C4C"/>
    <w:rsid w:val="00021D0D"/>
    <w:rsid w:val="00021F71"/>
    <w:rsid w:val="00021FD1"/>
    <w:rsid w:val="00021FEB"/>
    <w:rsid w:val="0002204B"/>
    <w:rsid w:val="00022054"/>
    <w:rsid w:val="0002205B"/>
    <w:rsid w:val="000220A1"/>
    <w:rsid w:val="000222D6"/>
    <w:rsid w:val="00022319"/>
    <w:rsid w:val="000223C2"/>
    <w:rsid w:val="00022453"/>
    <w:rsid w:val="00022474"/>
    <w:rsid w:val="000224B2"/>
    <w:rsid w:val="000226DF"/>
    <w:rsid w:val="00022724"/>
    <w:rsid w:val="000227A5"/>
    <w:rsid w:val="00022804"/>
    <w:rsid w:val="00022885"/>
    <w:rsid w:val="0002297A"/>
    <w:rsid w:val="00022A32"/>
    <w:rsid w:val="00022B54"/>
    <w:rsid w:val="00022BB9"/>
    <w:rsid w:val="00022C5E"/>
    <w:rsid w:val="00022C8B"/>
    <w:rsid w:val="00022C9C"/>
    <w:rsid w:val="00022D48"/>
    <w:rsid w:val="00022E34"/>
    <w:rsid w:val="00022EF5"/>
    <w:rsid w:val="00023051"/>
    <w:rsid w:val="00023077"/>
    <w:rsid w:val="00023107"/>
    <w:rsid w:val="000231AB"/>
    <w:rsid w:val="000233B3"/>
    <w:rsid w:val="00023456"/>
    <w:rsid w:val="000234FF"/>
    <w:rsid w:val="000235ED"/>
    <w:rsid w:val="000236C4"/>
    <w:rsid w:val="000237FA"/>
    <w:rsid w:val="0002382E"/>
    <w:rsid w:val="0002397E"/>
    <w:rsid w:val="00023A5A"/>
    <w:rsid w:val="00023A62"/>
    <w:rsid w:val="00023A97"/>
    <w:rsid w:val="00023CF6"/>
    <w:rsid w:val="00023D16"/>
    <w:rsid w:val="00023D80"/>
    <w:rsid w:val="00023D88"/>
    <w:rsid w:val="00023E6B"/>
    <w:rsid w:val="00024031"/>
    <w:rsid w:val="00024236"/>
    <w:rsid w:val="00024289"/>
    <w:rsid w:val="000242AC"/>
    <w:rsid w:val="00024349"/>
    <w:rsid w:val="00024556"/>
    <w:rsid w:val="00024605"/>
    <w:rsid w:val="00024622"/>
    <w:rsid w:val="000246DA"/>
    <w:rsid w:val="00024843"/>
    <w:rsid w:val="00024AC6"/>
    <w:rsid w:val="00024B01"/>
    <w:rsid w:val="00024B58"/>
    <w:rsid w:val="00024C99"/>
    <w:rsid w:val="00024D06"/>
    <w:rsid w:val="00024DAE"/>
    <w:rsid w:val="00024E36"/>
    <w:rsid w:val="00024EDF"/>
    <w:rsid w:val="00024F4D"/>
    <w:rsid w:val="00024FE2"/>
    <w:rsid w:val="0002521D"/>
    <w:rsid w:val="00025364"/>
    <w:rsid w:val="00025465"/>
    <w:rsid w:val="00025566"/>
    <w:rsid w:val="000257ED"/>
    <w:rsid w:val="0002590C"/>
    <w:rsid w:val="0002596D"/>
    <w:rsid w:val="000259DB"/>
    <w:rsid w:val="00025A08"/>
    <w:rsid w:val="00025C6C"/>
    <w:rsid w:val="00025E27"/>
    <w:rsid w:val="00025FAF"/>
    <w:rsid w:val="000260E0"/>
    <w:rsid w:val="00026114"/>
    <w:rsid w:val="000261DC"/>
    <w:rsid w:val="0002627A"/>
    <w:rsid w:val="000262C7"/>
    <w:rsid w:val="00026316"/>
    <w:rsid w:val="000263DD"/>
    <w:rsid w:val="000263FA"/>
    <w:rsid w:val="000264F1"/>
    <w:rsid w:val="00026629"/>
    <w:rsid w:val="00026663"/>
    <w:rsid w:val="000267A5"/>
    <w:rsid w:val="000267DF"/>
    <w:rsid w:val="0002699C"/>
    <w:rsid w:val="00026A41"/>
    <w:rsid w:val="00026C61"/>
    <w:rsid w:val="00026CDD"/>
    <w:rsid w:val="00026CF8"/>
    <w:rsid w:val="00026D58"/>
    <w:rsid w:val="000270D1"/>
    <w:rsid w:val="00027218"/>
    <w:rsid w:val="0002733D"/>
    <w:rsid w:val="00027436"/>
    <w:rsid w:val="000274E6"/>
    <w:rsid w:val="000277F5"/>
    <w:rsid w:val="00027807"/>
    <w:rsid w:val="00027994"/>
    <w:rsid w:val="00027B61"/>
    <w:rsid w:val="00027B92"/>
    <w:rsid w:val="00027C53"/>
    <w:rsid w:val="00027D5D"/>
    <w:rsid w:val="00027E08"/>
    <w:rsid w:val="00027E1C"/>
    <w:rsid w:val="00027EDE"/>
    <w:rsid w:val="00027F77"/>
    <w:rsid w:val="00027F79"/>
    <w:rsid w:val="00030012"/>
    <w:rsid w:val="000302A8"/>
    <w:rsid w:val="0003038E"/>
    <w:rsid w:val="0003066E"/>
    <w:rsid w:val="00030681"/>
    <w:rsid w:val="0003075F"/>
    <w:rsid w:val="00030792"/>
    <w:rsid w:val="0003089A"/>
    <w:rsid w:val="000308F2"/>
    <w:rsid w:val="000309FE"/>
    <w:rsid w:val="00030A04"/>
    <w:rsid w:val="00030A38"/>
    <w:rsid w:val="00030B67"/>
    <w:rsid w:val="00030FF0"/>
    <w:rsid w:val="000310AF"/>
    <w:rsid w:val="000310FB"/>
    <w:rsid w:val="00031153"/>
    <w:rsid w:val="0003137D"/>
    <w:rsid w:val="00031452"/>
    <w:rsid w:val="000314E8"/>
    <w:rsid w:val="000315CE"/>
    <w:rsid w:val="0003163F"/>
    <w:rsid w:val="000316C5"/>
    <w:rsid w:val="00031789"/>
    <w:rsid w:val="00031841"/>
    <w:rsid w:val="00031866"/>
    <w:rsid w:val="00031876"/>
    <w:rsid w:val="0003189D"/>
    <w:rsid w:val="000319A8"/>
    <w:rsid w:val="00031A0A"/>
    <w:rsid w:val="00031B12"/>
    <w:rsid w:val="00031D54"/>
    <w:rsid w:val="00031DE7"/>
    <w:rsid w:val="00031EC2"/>
    <w:rsid w:val="00032030"/>
    <w:rsid w:val="00032317"/>
    <w:rsid w:val="0003232A"/>
    <w:rsid w:val="000323D7"/>
    <w:rsid w:val="000324B4"/>
    <w:rsid w:val="000325C8"/>
    <w:rsid w:val="000327E3"/>
    <w:rsid w:val="00032914"/>
    <w:rsid w:val="00032AC3"/>
    <w:rsid w:val="00032BA3"/>
    <w:rsid w:val="00032C9D"/>
    <w:rsid w:val="00032D03"/>
    <w:rsid w:val="00032DAB"/>
    <w:rsid w:val="00032DCD"/>
    <w:rsid w:val="00032E82"/>
    <w:rsid w:val="00032EEA"/>
    <w:rsid w:val="00032F05"/>
    <w:rsid w:val="00032FE6"/>
    <w:rsid w:val="000331EC"/>
    <w:rsid w:val="0003320E"/>
    <w:rsid w:val="00033238"/>
    <w:rsid w:val="000332ED"/>
    <w:rsid w:val="00033311"/>
    <w:rsid w:val="00033471"/>
    <w:rsid w:val="0003367F"/>
    <w:rsid w:val="0003378E"/>
    <w:rsid w:val="00033802"/>
    <w:rsid w:val="0003391E"/>
    <w:rsid w:val="00033B27"/>
    <w:rsid w:val="00033C92"/>
    <w:rsid w:val="00033D1A"/>
    <w:rsid w:val="00033D69"/>
    <w:rsid w:val="0003425F"/>
    <w:rsid w:val="00034407"/>
    <w:rsid w:val="0003442A"/>
    <w:rsid w:val="00034499"/>
    <w:rsid w:val="0003457B"/>
    <w:rsid w:val="00034645"/>
    <w:rsid w:val="0003471A"/>
    <w:rsid w:val="00034724"/>
    <w:rsid w:val="00034835"/>
    <w:rsid w:val="0003494D"/>
    <w:rsid w:val="00034A1A"/>
    <w:rsid w:val="00034A57"/>
    <w:rsid w:val="00034A96"/>
    <w:rsid w:val="00034AA0"/>
    <w:rsid w:val="00034B5B"/>
    <w:rsid w:val="00034C62"/>
    <w:rsid w:val="00034CCB"/>
    <w:rsid w:val="00034CCF"/>
    <w:rsid w:val="00034E36"/>
    <w:rsid w:val="00034E85"/>
    <w:rsid w:val="00034F1B"/>
    <w:rsid w:val="00034F5F"/>
    <w:rsid w:val="00034F98"/>
    <w:rsid w:val="00035152"/>
    <w:rsid w:val="00035241"/>
    <w:rsid w:val="0003536C"/>
    <w:rsid w:val="00035483"/>
    <w:rsid w:val="00035749"/>
    <w:rsid w:val="00035816"/>
    <w:rsid w:val="0003587D"/>
    <w:rsid w:val="000358AF"/>
    <w:rsid w:val="00035948"/>
    <w:rsid w:val="00035AB6"/>
    <w:rsid w:val="00035CD1"/>
    <w:rsid w:val="00035E0B"/>
    <w:rsid w:val="0003604B"/>
    <w:rsid w:val="000361C3"/>
    <w:rsid w:val="000361F1"/>
    <w:rsid w:val="000362B0"/>
    <w:rsid w:val="00036425"/>
    <w:rsid w:val="000364EB"/>
    <w:rsid w:val="000365D9"/>
    <w:rsid w:val="000365FB"/>
    <w:rsid w:val="000366AA"/>
    <w:rsid w:val="000366DD"/>
    <w:rsid w:val="00036B60"/>
    <w:rsid w:val="00036CC7"/>
    <w:rsid w:val="00036CFE"/>
    <w:rsid w:val="00036E4F"/>
    <w:rsid w:val="00036E73"/>
    <w:rsid w:val="00036F8D"/>
    <w:rsid w:val="00036FDE"/>
    <w:rsid w:val="00037219"/>
    <w:rsid w:val="00037366"/>
    <w:rsid w:val="00037425"/>
    <w:rsid w:val="00037506"/>
    <w:rsid w:val="0003753E"/>
    <w:rsid w:val="000375A1"/>
    <w:rsid w:val="0003763D"/>
    <w:rsid w:val="00037773"/>
    <w:rsid w:val="000378F7"/>
    <w:rsid w:val="00037954"/>
    <w:rsid w:val="00037965"/>
    <w:rsid w:val="00037AE8"/>
    <w:rsid w:val="00037DF5"/>
    <w:rsid w:val="00037F31"/>
    <w:rsid w:val="00037FAF"/>
    <w:rsid w:val="00040150"/>
    <w:rsid w:val="000401F5"/>
    <w:rsid w:val="0004029F"/>
    <w:rsid w:val="000402CB"/>
    <w:rsid w:val="000402EB"/>
    <w:rsid w:val="00040398"/>
    <w:rsid w:val="000403EE"/>
    <w:rsid w:val="000404DF"/>
    <w:rsid w:val="000406AA"/>
    <w:rsid w:val="000407CD"/>
    <w:rsid w:val="0004092E"/>
    <w:rsid w:val="000409B2"/>
    <w:rsid w:val="000409BE"/>
    <w:rsid w:val="00040B01"/>
    <w:rsid w:val="00040B97"/>
    <w:rsid w:val="00040D9B"/>
    <w:rsid w:val="00040E1D"/>
    <w:rsid w:val="00041089"/>
    <w:rsid w:val="000414FF"/>
    <w:rsid w:val="00041666"/>
    <w:rsid w:val="0004172A"/>
    <w:rsid w:val="0004176B"/>
    <w:rsid w:val="00041892"/>
    <w:rsid w:val="000418FE"/>
    <w:rsid w:val="00041A83"/>
    <w:rsid w:val="00041AB4"/>
    <w:rsid w:val="00041CE3"/>
    <w:rsid w:val="00041E54"/>
    <w:rsid w:val="00042017"/>
    <w:rsid w:val="0004202D"/>
    <w:rsid w:val="0004233B"/>
    <w:rsid w:val="0004249E"/>
    <w:rsid w:val="00042519"/>
    <w:rsid w:val="000427E7"/>
    <w:rsid w:val="0004297E"/>
    <w:rsid w:val="00042CDE"/>
    <w:rsid w:val="00042E88"/>
    <w:rsid w:val="0004307E"/>
    <w:rsid w:val="00043203"/>
    <w:rsid w:val="000434B9"/>
    <w:rsid w:val="0004357D"/>
    <w:rsid w:val="0004364C"/>
    <w:rsid w:val="000437B6"/>
    <w:rsid w:val="0004398E"/>
    <w:rsid w:val="000439D6"/>
    <w:rsid w:val="000439E3"/>
    <w:rsid w:val="00043AFE"/>
    <w:rsid w:val="00043D69"/>
    <w:rsid w:val="00043DF1"/>
    <w:rsid w:val="00043E72"/>
    <w:rsid w:val="00043EFA"/>
    <w:rsid w:val="00044005"/>
    <w:rsid w:val="0004401F"/>
    <w:rsid w:val="00044048"/>
    <w:rsid w:val="000440A4"/>
    <w:rsid w:val="000443A0"/>
    <w:rsid w:val="000443E5"/>
    <w:rsid w:val="000443FE"/>
    <w:rsid w:val="000444C2"/>
    <w:rsid w:val="0004450C"/>
    <w:rsid w:val="0004474D"/>
    <w:rsid w:val="00044915"/>
    <w:rsid w:val="00044983"/>
    <w:rsid w:val="00044A8B"/>
    <w:rsid w:val="00044C1D"/>
    <w:rsid w:val="00044C40"/>
    <w:rsid w:val="00044F00"/>
    <w:rsid w:val="0004500D"/>
    <w:rsid w:val="0004509A"/>
    <w:rsid w:val="000453E8"/>
    <w:rsid w:val="0004580D"/>
    <w:rsid w:val="00045BFC"/>
    <w:rsid w:val="00045CAD"/>
    <w:rsid w:val="00045CBA"/>
    <w:rsid w:val="00045CC8"/>
    <w:rsid w:val="00045D9A"/>
    <w:rsid w:val="00045DB5"/>
    <w:rsid w:val="00045EC3"/>
    <w:rsid w:val="00045F49"/>
    <w:rsid w:val="00046078"/>
    <w:rsid w:val="00046113"/>
    <w:rsid w:val="0004615A"/>
    <w:rsid w:val="000461FC"/>
    <w:rsid w:val="0004623F"/>
    <w:rsid w:val="000463DA"/>
    <w:rsid w:val="0004679F"/>
    <w:rsid w:val="00046AC2"/>
    <w:rsid w:val="00046B88"/>
    <w:rsid w:val="00046BC9"/>
    <w:rsid w:val="00046C51"/>
    <w:rsid w:val="00046C99"/>
    <w:rsid w:val="00046D55"/>
    <w:rsid w:val="00046E44"/>
    <w:rsid w:val="00046EB0"/>
    <w:rsid w:val="0004709D"/>
    <w:rsid w:val="00047187"/>
    <w:rsid w:val="000471A6"/>
    <w:rsid w:val="0004726E"/>
    <w:rsid w:val="0004734F"/>
    <w:rsid w:val="0004746C"/>
    <w:rsid w:val="000476DF"/>
    <w:rsid w:val="00047856"/>
    <w:rsid w:val="0004788A"/>
    <w:rsid w:val="00047BA2"/>
    <w:rsid w:val="00047BB3"/>
    <w:rsid w:val="00047C9D"/>
    <w:rsid w:val="00047CE2"/>
    <w:rsid w:val="00047D19"/>
    <w:rsid w:val="00047DC5"/>
    <w:rsid w:val="00047E31"/>
    <w:rsid w:val="00047F36"/>
    <w:rsid w:val="00050114"/>
    <w:rsid w:val="000502C6"/>
    <w:rsid w:val="0005031D"/>
    <w:rsid w:val="0005035A"/>
    <w:rsid w:val="000503A6"/>
    <w:rsid w:val="000503A8"/>
    <w:rsid w:val="00050659"/>
    <w:rsid w:val="00050750"/>
    <w:rsid w:val="00050882"/>
    <w:rsid w:val="00050B12"/>
    <w:rsid w:val="00050B3A"/>
    <w:rsid w:val="00050C65"/>
    <w:rsid w:val="00050C88"/>
    <w:rsid w:val="00050D34"/>
    <w:rsid w:val="00050E0F"/>
    <w:rsid w:val="00050EFD"/>
    <w:rsid w:val="00051208"/>
    <w:rsid w:val="000515B0"/>
    <w:rsid w:val="000515CA"/>
    <w:rsid w:val="0005173F"/>
    <w:rsid w:val="000517E7"/>
    <w:rsid w:val="0005185C"/>
    <w:rsid w:val="00051976"/>
    <w:rsid w:val="00051A25"/>
    <w:rsid w:val="00051AB0"/>
    <w:rsid w:val="00051ADB"/>
    <w:rsid w:val="00051B3E"/>
    <w:rsid w:val="00051C24"/>
    <w:rsid w:val="00051C3B"/>
    <w:rsid w:val="00051DE2"/>
    <w:rsid w:val="00051EA3"/>
    <w:rsid w:val="00051F3A"/>
    <w:rsid w:val="0005202B"/>
    <w:rsid w:val="000520F8"/>
    <w:rsid w:val="00052314"/>
    <w:rsid w:val="000525AF"/>
    <w:rsid w:val="000527F8"/>
    <w:rsid w:val="000529D5"/>
    <w:rsid w:val="00052BDE"/>
    <w:rsid w:val="00052C47"/>
    <w:rsid w:val="00052D1A"/>
    <w:rsid w:val="00052D5C"/>
    <w:rsid w:val="00052D9B"/>
    <w:rsid w:val="00052DDC"/>
    <w:rsid w:val="00052E7C"/>
    <w:rsid w:val="00052F8D"/>
    <w:rsid w:val="0005301D"/>
    <w:rsid w:val="000530B5"/>
    <w:rsid w:val="000532A3"/>
    <w:rsid w:val="000532BF"/>
    <w:rsid w:val="0005339A"/>
    <w:rsid w:val="0005351C"/>
    <w:rsid w:val="000537D9"/>
    <w:rsid w:val="0005381D"/>
    <w:rsid w:val="000539B5"/>
    <w:rsid w:val="000539B6"/>
    <w:rsid w:val="00053A05"/>
    <w:rsid w:val="00053A24"/>
    <w:rsid w:val="00053B5E"/>
    <w:rsid w:val="00053BB5"/>
    <w:rsid w:val="00053C65"/>
    <w:rsid w:val="00053C74"/>
    <w:rsid w:val="00053C7A"/>
    <w:rsid w:val="00054074"/>
    <w:rsid w:val="00054124"/>
    <w:rsid w:val="000542FE"/>
    <w:rsid w:val="000546F1"/>
    <w:rsid w:val="0005471B"/>
    <w:rsid w:val="00054920"/>
    <w:rsid w:val="0005496A"/>
    <w:rsid w:val="00054AC7"/>
    <w:rsid w:val="00054B99"/>
    <w:rsid w:val="00054D03"/>
    <w:rsid w:val="00054E24"/>
    <w:rsid w:val="00054F07"/>
    <w:rsid w:val="00054F0B"/>
    <w:rsid w:val="000550E5"/>
    <w:rsid w:val="000551D7"/>
    <w:rsid w:val="0005537E"/>
    <w:rsid w:val="0005538E"/>
    <w:rsid w:val="000554B6"/>
    <w:rsid w:val="000554D3"/>
    <w:rsid w:val="000554F1"/>
    <w:rsid w:val="00055595"/>
    <w:rsid w:val="00055786"/>
    <w:rsid w:val="000557D2"/>
    <w:rsid w:val="00055960"/>
    <w:rsid w:val="00055C1B"/>
    <w:rsid w:val="00055D5D"/>
    <w:rsid w:val="00055DB2"/>
    <w:rsid w:val="00055DB8"/>
    <w:rsid w:val="00055DC2"/>
    <w:rsid w:val="00055E74"/>
    <w:rsid w:val="000561AF"/>
    <w:rsid w:val="000561B4"/>
    <w:rsid w:val="00056242"/>
    <w:rsid w:val="0005624B"/>
    <w:rsid w:val="000564E7"/>
    <w:rsid w:val="00056661"/>
    <w:rsid w:val="000566BF"/>
    <w:rsid w:val="000567A0"/>
    <w:rsid w:val="0005680D"/>
    <w:rsid w:val="00056A24"/>
    <w:rsid w:val="00056CB6"/>
    <w:rsid w:val="00056D68"/>
    <w:rsid w:val="00056DED"/>
    <w:rsid w:val="00056E46"/>
    <w:rsid w:val="000571BC"/>
    <w:rsid w:val="00057212"/>
    <w:rsid w:val="000573A1"/>
    <w:rsid w:val="000573B1"/>
    <w:rsid w:val="000573F2"/>
    <w:rsid w:val="000575B7"/>
    <w:rsid w:val="000576BD"/>
    <w:rsid w:val="000576E6"/>
    <w:rsid w:val="000578D5"/>
    <w:rsid w:val="0005799E"/>
    <w:rsid w:val="000579E9"/>
    <w:rsid w:val="00057A3B"/>
    <w:rsid w:val="00057A98"/>
    <w:rsid w:val="00057BEE"/>
    <w:rsid w:val="00057D14"/>
    <w:rsid w:val="00057D9B"/>
    <w:rsid w:val="00057DD2"/>
    <w:rsid w:val="00057DE1"/>
    <w:rsid w:val="00057E34"/>
    <w:rsid w:val="00057E58"/>
    <w:rsid w:val="00057F7C"/>
    <w:rsid w:val="0006007C"/>
    <w:rsid w:val="000600C2"/>
    <w:rsid w:val="000600D3"/>
    <w:rsid w:val="000602FE"/>
    <w:rsid w:val="000603CF"/>
    <w:rsid w:val="000603D5"/>
    <w:rsid w:val="0006044A"/>
    <w:rsid w:val="0006057E"/>
    <w:rsid w:val="000607D2"/>
    <w:rsid w:val="000607E5"/>
    <w:rsid w:val="000609FE"/>
    <w:rsid w:val="00060AC7"/>
    <w:rsid w:val="00060BF2"/>
    <w:rsid w:val="00060DE6"/>
    <w:rsid w:val="00060E09"/>
    <w:rsid w:val="00060F8B"/>
    <w:rsid w:val="00060F9A"/>
    <w:rsid w:val="0006112C"/>
    <w:rsid w:val="0006116A"/>
    <w:rsid w:val="0006130A"/>
    <w:rsid w:val="00061363"/>
    <w:rsid w:val="000614D8"/>
    <w:rsid w:val="00061738"/>
    <w:rsid w:val="000617BC"/>
    <w:rsid w:val="000617C9"/>
    <w:rsid w:val="00061920"/>
    <w:rsid w:val="00061969"/>
    <w:rsid w:val="00061A00"/>
    <w:rsid w:val="00061AC6"/>
    <w:rsid w:val="00061AD9"/>
    <w:rsid w:val="00061BBF"/>
    <w:rsid w:val="00061CD4"/>
    <w:rsid w:val="00061CF2"/>
    <w:rsid w:val="00061EC8"/>
    <w:rsid w:val="00061EFB"/>
    <w:rsid w:val="00061F29"/>
    <w:rsid w:val="00062241"/>
    <w:rsid w:val="0006228B"/>
    <w:rsid w:val="000622EE"/>
    <w:rsid w:val="0006270A"/>
    <w:rsid w:val="0006275D"/>
    <w:rsid w:val="00062A47"/>
    <w:rsid w:val="00062B34"/>
    <w:rsid w:val="00062BB9"/>
    <w:rsid w:val="00062C9F"/>
    <w:rsid w:val="00062CB6"/>
    <w:rsid w:val="00062D60"/>
    <w:rsid w:val="00062DA0"/>
    <w:rsid w:val="00062FC9"/>
    <w:rsid w:val="00062FF9"/>
    <w:rsid w:val="000631AD"/>
    <w:rsid w:val="000631F1"/>
    <w:rsid w:val="0006322D"/>
    <w:rsid w:val="00063244"/>
    <w:rsid w:val="00063283"/>
    <w:rsid w:val="00063451"/>
    <w:rsid w:val="00063479"/>
    <w:rsid w:val="000634A5"/>
    <w:rsid w:val="0006356A"/>
    <w:rsid w:val="0006363A"/>
    <w:rsid w:val="000637FD"/>
    <w:rsid w:val="00063AA4"/>
    <w:rsid w:val="00063AED"/>
    <w:rsid w:val="00063CA0"/>
    <w:rsid w:val="00063D2E"/>
    <w:rsid w:val="00063EF8"/>
    <w:rsid w:val="00063F58"/>
    <w:rsid w:val="00063F8C"/>
    <w:rsid w:val="00063F8D"/>
    <w:rsid w:val="000640E2"/>
    <w:rsid w:val="00064187"/>
    <w:rsid w:val="00064598"/>
    <w:rsid w:val="000645C5"/>
    <w:rsid w:val="0006468A"/>
    <w:rsid w:val="0006483E"/>
    <w:rsid w:val="000648C6"/>
    <w:rsid w:val="00064A3A"/>
    <w:rsid w:val="00064AEC"/>
    <w:rsid w:val="00064B03"/>
    <w:rsid w:val="00064BC7"/>
    <w:rsid w:val="00064D11"/>
    <w:rsid w:val="00064D2C"/>
    <w:rsid w:val="00064E00"/>
    <w:rsid w:val="00065035"/>
    <w:rsid w:val="0006506E"/>
    <w:rsid w:val="000650B2"/>
    <w:rsid w:val="000650E9"/>
    <w:rsid w:val="00065107"/>
    <w:rsid w:val="0006514B"/>
    <w:rsid w:val="000651A9"/>
    <w:rsid w:val="00065432"/>
    <w:rsid w:val="000654A0"/>
    <w:rsid w:val="000654A4"/>
    <w:rsid w:val="00065503"/>
    <w:rsid w:val="000655A0"/>
    <w:rsid w:val="000657CD"/>
    <w:rsid w:val="00065890"/>
    <w:rsid w:val="000659E9"/>
    <w:rsid w:val="00065A52"/>
    <w:rsid w:val="00065DE4"/>
    <w:rsid w:val="00065EEC"/>
    <w:rsid w:val="00065FEE"/>
    <w:rsid w:val="00065FF3"/>
    <w:rsid w:val="00066012"/>
    <w:rsid w:val="00066107"/>
    <w:rsid w:val="00066450"/>
    <w:rsid w:val="00066467"/>
    <w:rsid w:val="000664DA"/>
    <w:rsid w:val="000666B8"/>
    <w:rsid w:val="00066894"/>
    <w:rsid w:val="00066978"/>
    <w:rsid w:val="00066989"/>
    <w:rsid w:val="00066AA8"/>
    <w:rsid w:val="00066B56"/>
    <w:rsid w:val="00066BDD"/>
    <w:rsid w:val="00066C1D"/>
    <w:rsid w:val="00066C85"/>
    <w:rsid w:val="00066D09"/>
    <w:rsid w:val="00066D89"/>
    <w:rsid w:val="00066DF7"/>
    <w:rsid w:val="00066F90"/>
    <w:rsid w:val="00067011"/>
    <w:rsid w:val="000671C7"/>
    <w:rsid w:val="00067339"/>
    <w:rsid w:val="000673B4"/>
    <w:rsid w:val="000673C0"/>
    <w:rsid w:val="0006749A"/>
    <w:rsid w:val="00067645"/>
    <w:rsid w:val="000676AC"/>
    <w:rsid w:val="0006772D"/>
    <w:rsid w:val="0006788E"/>
    <w:rsid w:val="00067946"/>
    <w:rsid w:val="000679ED"/>
    <w:rsid w:val="00067A95"/>
    <w:rsid w:val="00067DCF"/>
    <w:rsid w:val="00067E5A"/>
    <w:rsid w:val="00067E5C"/>
    <w:rsid w:val="00067FAD"/>
    <w:rsid w:val="000701EF"/>
    <w:rsid w:val="000703E4"/>
    <w:rsid w:val="00070558"/>
    <w:rsid w:val="00070587"/>
    <w:rsid w:val="00070783"/>
    <w:rsid w:val="00070908"/>
    <w:rsid w:val="0007094E"/>
    <w:rsid w:val="000709CE"/>
    <w:rsid w:val="00070AF4"/>
    <w:rsid w:val="00070B04"/>
    <w:rsid w:val="00070CEC"/>
    <w:rsid w:val="00070D6E"/>
    <w:rsid w:val="00070DDE"/>
    <w:rsid w:val="00070DEC"/>
    <w:rsid w:val="00070EAE"/>
    <w:rsid w:val="00070F44"/>
    <w:rsid w:val="00071022"/>
    <w:rsid w:val="0007139A"/>
    <w:rsid w:val="00071466"/>
    <w:rsid w:val="00071594"/>
    <w:rsid w:val="000715F8"/>
    <w:rsid w:val="00071758"/>
    <w:rsid w:val="000717CF"/>
    <w:rsid w:val="00071804"/>
    <w:rsid w:val="00071878"/>
    <w:rsid w:val="00071928"/>
    <w:rsid w:val="00071957"/>
    <w:rsid w:val="000719D6"/>
    <w:rsid w:val="00071A66"/>
    <w:rsid w:val="00071C35"/>
    <w:rsid w:val="00071F29"/>
    <w:rsid w:val="00072152"/>
    <w:rsid w:val="0007239F"/>
    <w:rsid w:val="00072551"/>
    <w:rsid w:val="000726EB"/>
    <w:rsid w:val="00072737"/>
    <w:rsid w:val="000727AC"/>
    <w:rsid w:val="000728C9"/>
    <w:rsid w:val="00072B52"/>
    <w:rsid w:val="00072B7D"/>
    <w:rsid w:val="00072D8E"/>
    <w:rsid w:val="00072E24"/>
    <w:rsid w:val="00072EAE"/>
    <w:rsid w:val="00072F51"/>
    <w:rsid w:val="0007313A"/>
    <w:rsid w:val="000731F9"/>
    <w:rsid w:val="0007323A"/>
    <w:rsid w:val="00073648"/>
    <w:rsid w:val="000736AD"/>
    <w:rsid w:val="000737E1"/>
    <w:rsid w:val="00073855"/>
    <w:rsid w:val="00073E4F"/>
    <w:rsid w:val="0007417E"/>
    <w:rsid w:val="00074302"/>
    <w:rsid w:val="000743DC"/>
    <w:rsid w:val="000743EE"/>
    <w:rsid w:val="0007458C"/>
    <w:rsid w:val="000745C7"/>
    <w:rsid w:val="00074670"/>
    <w:rsid w:val="00074885"/>
    <w:rsid w:val="00074911"/>
    <w:rsid w:val="000749F6"/>
    <w:rsid w:val="00074A63"/>
    <w:rsid w:val="00074B25"/>
    <w:rsid w:val="00074C95"/>
    <w:rsid w:val="00074C9D"/>
    <w:rsid w:val="00074E4E"/>
    <w:rsid w:val="00074F13"/>
    <w:rsid w:val="000751D1"/>
    <w:rsid w:val="00075201"/>
    <w:rsid w:val="00075211"/>
    <w:rsid w:val="0007525C"/>
    <w:rsid w:val="0007528D"/>
    <w:rsid w:val="00075345"/>
    <w:rsid w:val="000754CC"/>
    <w:rsid w:val="00075514"/>
    <w:rsid w:val="0007556A"/>
    <w:rsid w:val="00075603"/>
    <w:rsid w:val="0007565C"/>
    <w:rsid w:val="00075777"/>
    <w:rsid w:val="00075D4E"/>
    <w:rsid w:val="00075DC2"/>
    <w:rsid w:val="00075E73"/>
    <w:rsid w:val="00075F4A"/>
    <w:rsid w:val="0007603D"/>
    <w:rsid w:val="00076070"/>
    <w:rsid w:val="0007619B"/>
    <w:rsid w:val="00076212"/>
    <w:rsid w:val="00076580"/>
    <w:rsid w:val="00076605"/>
    <w:rsid w:val="000767CF"/>
    <w:rsid w:val="00076848"/>
    <w:rsid w:val="00076958"/>
    <w:rsid w:val="0007699C"/>
    <w:rsid w:val="00076A08"/>
    <w:rsid w:val="00076A30"/>
    <w:rsid w:val="00076B9F"/>
    <w:rsid w:val="000771BA"/>
    <w:rsid w:val="000771E2"/>
    <w:rsid w:val="00077207"/>
    <w:rsid w:val="000772CB"/>
    <w:rsid w:val="00077321"/>
    <w:rsid w:val="00077367"/>
    <w:rsid w:val="000774CC"/>
    <w:rsid w:val="0007752D"/>
    <w:rsid w:val="000775B3"/>
    <w:rsid w:val="00077708"/>
    <w:rsid w:val="00077954"/>
    <w:rsid w:val="000779D4"/>
    <w:rsid w:val="00077B33"/>
    <w:rsid w:val="00077CB7"/>
    <w:rsid w:val="00077CF8"/>
    <w:rsid w:val="00077D39"/>
    <w:rsid w:val="000801C2"/>
    <w:rsid w:val="0008030F"/>
    <w:rsid w:val="0008046E"/>
    <w:rsid w:val="00080751"/>
    <w:rsid w:val="000807D6"/>
    <w:rsid w:val="00080957"/>
    <w:rsid w:val="00080A5A"/>
    <w:rsid w:val="00080A90"/>
    <w:rsid w:val="00080B00"/>
    <w:rsid w:val="00080B49"/>
    <w:rsid w:val="00080B6A"/>
    <w:rsid w:val="00080D1B"/>
    <w:rsid w:val="00080F4C"/>
    <w:rsid w:val="00081023"/>
    <w:rsid w:val="00081030"/>
    <w:rsid w:val="00081176"/>
    <w:rsid w:val="00081296"/>
    <w:rsid w:val="000812FA"/>
    <w:rsid w:val="00081356"/>
    <w:rsid w:val="000813EE"/>
    <w:rsid w:val="000815DD"/>
    <w:rsid w:val="00081764"/>
    <w:rsid w:val="00081934"/>
    <w:rsid w:val="00081A09"/>
    <w:rsid w:val="00081B10"/>
    <w:rsid w:val="00081BB9"/>
    <w:rsid w:val="00081C95"/>
    <w:rsid w:val="00081D91"/>
    <w:rsid w:val="00081EDD"/>
    <w:rsid w:val="00082073"/>
    <w:rsid w:val="000821BB"/>
    <w:rsid w:val="000822F0"/>
    <w:rsid w:val="000826EB"/>
    <w:rsid w:val="00082826"/>
    <w:rsid w:val="000829A7"/>
    <w:rsid w:val="000829B0"/>
    <w:rsid w:val="000829C2"/>
    <w:rsid w:val="00082A73"/>
    <w:rsid w:val="00082A93"/>
    <w:rsid w:val="00082E54"/>
    <w:rsid w:val="00082F4A"/>
    <w:rsid w:val="0008300D"/>
    <w:rsid w:val="00083043"/>
    <w:rsid w:val="00083045"/>
    <w:rsid w:val="00083100"/>
    <w:rsid w:val="000831AC"/>
    <w:rsid w:val="000832EE"/>
    <w:rsid w:val="000833E4"/>
    <w:rsid w:val="000838E4"/>
    <w:rsid w:val="000839E7"/>
    <w:rsid w:val="00083A8D"/>
    <w:rsid w:val="00083C65"/>
    <w:rsid w:val="00083C82"/>
    <w:rsid w:val="00083ED4"/>
    <w:rsid w:val="00083FFC"/>
    <w:rsid w:val="0008409E"/>
    <w:rsid w:val="000840A1"/>
    <w:rsid w:val="000840BD"/>
    <w:rsid w:val="0008413D"/>
    <w:rsid w:val="000843B7"/>
    <w:rsid w:val="000843B9"/>
    <w:rsid w:val="0008440C"/>
    <w:rsid w:val="000844BD"/>
    <w:rsid w:val="00084638"/>
    <w:rsid w:val="000848BD"/>
    <w:rsid w:val="00084918"/>
    <w:rsid w:val="0008499F"/>
    <w:rsid w:val="000849BE"/>
    <w:rsid w:val="00084A7E"/>
    <w:rsid w:val="00084B3A"/>
    <w:rsid w:val="00084CB9"/>
    <w:rsid w:val="00084D06"/>
    <w:rsid w:val="00084E74"/>
    <w:rsid w:val="00084F05"/>
    <w:rsid w:val="00084F87"/>
    <w:rsid w:val="00084FDF"/>
    <w:rsid w:val="000851B7"/>
    <w:rsid w:val="000851B9"/>
    <w:rsid w:val="0008523B"/>
    <w:rsid w:val="0008540D"/>
    <w:rsid w:val="000855B0"/>
    <w:rsid w:val="000855EE"/>
    <w:rsid w:val="000858D7"/>
    <w:rsid w:val="0008596C"/>
    <w:rsid w:val="000859D7"/>
    <w:rsid w:val="00085ACD"/>
    <w:rsid w:val="00085AE3"/>
    <w:rsid w:val="00085B85"/>
    <w:rsid w:val="00085CC1"/>
    <w:rsid w:val="00085CF5"/>
    <w:rsid w:val="00085D2F"/>
    <w:rsid w:val="00085DEA"/>
    <w:rsid w:val="00085E6E"/>
    <w:rsid w:val="00086251"/>
    <w:rsid w:val="00086319"/>
    <w:rsid w:val="00086399"/>
    <w:rsid w:val="000863F3"/>
    <w:rsid w:val="0008657C"/>
    <w:rsid w:val="00086678"/>
    <w:rsid w:val="000866C7"/>
    <w:rsid w:val="00086721"/>
    <w:rsid w:val="00086776"/>
    <w:rsid w:val="000867D2"/>
    <w:rsid w:val="00086955"/>
    <w:rsid w:val="00086A5C"/>
    <w:rsid w:val="00086BF0"/>
    <w:rsid w:val="00086C8C"/>
    <w:rsid w:val="00086E6A"/>
    <w:rsid w:val="00086F4B"/>
    <w:rsid w:val="00086F6C"/>
    <w:rsid w:val="000870B8"/>
    <w:rsid w:val="00087175"/>
    <w:rsid w:val="00087256"/>
    <w:rsid w:val="000873E4"/>
    <w:rsid w:val="00087400"/>
    <w:rsid w:val="0008747C"/>
    <w:rsid w:val="000874AF"/>
    <w:rsid w:val="0008765D"/>
    <w:rsid w:val="00087833"/>
    <w:rsid w:val="000878F2"/>
    <w:rsid w:val="00087944"/>
    <w:rsid w:val="00087976"/>
    <w:rsid w:val="0008797D"/>
    <w:rsid w:val="00087AE8"/>
    <w:rsid w:val="00087BF6"/>
    <w:rsid w:val="00087D8A"/>
    <w:rsid w:val="00087F2E"/>
    <w:rsid w:val="0009008F"/>
    <w:rsid w:val="0009026F"/>
    <w:rsid w:val="00090486"/>
    <w:rsid w:val="000904D0"/>
    <w:rsid w:val="000905FC"/>
    <w:rsid w:val="000905FF"/>
    <w:rsid w:val="000910A6"/>
    <w:rsid w:val="000910EE"/>
    <w:rsid w:val="0009115F"/>
    <w:rsid w:val="000914FE"/>
    <w:rsid w:val="0009150A"/>
    <w:rsid w:val="0009169E"/>
    <w:rsid w:val="00091A48"/>
    <w:rsid w:val="00091B5C"/>
    <w:rsid w:val="00091C11"/>
    <w:rsid w:val="00091C2D"/>
    <w:rsid w:val="00091C66"/>
    <w:rsid w:val="00091EB4"/>
    <w:rsid w:val="00091F25"/>
    <w:rsid w:val="00092067"/>
    <w:rsid w:val="00092074"/>
    <w:rsid w:val="00092120"/>
    <w:rsid w:val="000922FA"/>
    <w:rsid w:val="000923F2"/>
    <w:rsid w:val="000924F8"/>
    <w:rsid w:val="000925A3"/>
    <w:rsid w:val="0009268E"/>
    <w:rsid w:val="00092690"/>
    <w:rsid w:val="000927DB"/>
    <w:rsid w:val="00092843"/>
    <w:rsid w:val="0009289A"/>
    <w:rsid w:val="000929CB"/>
    <w:rsid w:val="00092A7F"/>
    <w:rsid w:val="00092AEB"/>
    <w:rsid w:val="00092C81"/>
    <w:rsid w:val="00092D2A"/>
    <w:rsid w:val="00092ECE"/>
    <w:rsid w:val="00092FD7"/>
    <w:rsid w:val="00093079"/>
    <w:rsid w:val="00093157"/>
    <w:rsid w:val="00093224"/>
    <w:rsid w:val="0009343B"/>
    <w:rsid w:val="000937A8"/>
    <w:rsid w:val="000938B6"/>
    <w:rsid w:val="00093A65"/>
    <w:rsid w:val="00093BD5"/>
    <w:rsid w:val="00093C04"/>
    <w:rsid w:val="00093C0A"/>
    <w:rsid w:val="00093D9E"/>
    <w:rsid w:val="00093DC3"/>
    <w:rsid w:val="00093DF5"/>
    <w:rsid w:val="00093EAB"/>
    <w:rsid w:val="00093F00"/>
    <w:rsid w:val="00093F29"/>
    <w:rsid w:val="00093FAB"/>
    <w:rsid w:val="00093FBA"/>
    <w:rsid w:val="00093FDC"/>
    <w:rsid w:val="00094138"/>
    <w:rsid w:val="00094225"/>
    <w:rsid w:val="00094343"/>
    <w:rsid w:val="000943A3"/>
    <w:rsid w:val="00094409"/>
    <w:rsid w:val="000947AF"/>
    <w:rsid w:val="00094868"/>
    <w:rsid w:val="00094ADC"/>
    <w:rsid w:val="00094B96"/>
    <w:rsid w:val="00094DB6"/>
    <w:rsid w:val="00094E5D"/>
    <w:rsid w:val="00094FEC"/>
    <w:rsid w:val="0009503A"/>
    <w:rsid w:val="00095075"/>
    <w:rsid w:val="000951B3"/>
    <w:rsid w:val="00095334"/>
    <w:rsid w:val="00095429"/>
    <w:rsid w:val="00095450"/>
    <w:rsid w:val="0009550A"/>
    <w:rsid w:val="000955ED"/>
    <w:rsid w:val="0009570F"/>
    <w:rsid w:val="00095819"/>
    <w:rsid w:val="00095927"/>
    <w:rsid w:val="00095C84"/>
    <w:rsid w:val="00095E5C"/>
    <w:rsid w:val="00095FCE"/>
    <w:rsid w:val="00095FE4"/>
    <w:rsid w:val="000960D1"/>
    <w:rsid w:val="00096258"/>
    <w:rsid w:val="0009639D"/>
    <w:rsid w:val="000963FB"/>
    <w:rsid w:val="00096451"/>
    <w:rsid w:val="000965E3"/>
    <w:rsid w:val="00096679"/>
    <w:rsid w:val="000966E1"/>
    <w:rsid w:val="00096815"/>
    <w:rsid w:val="000969CE"/>
    <w:rsid w:val="00096F43"/>
    <w:rsid w:val="000971D5"/>
    <w:rsid w:val="0009723B"/>
    <w:rsid w:val="000974AC"/>
    <w:rsid w:val="000974BB"/>
    <w:rsid w:val="00097709"/>
    <w:rsid w:val="00097734"/>
    <w:rsid w:val="00097939"/>
    <w:rsid w:val="00097958"/>
    <w:rsid w:val="0009797F"/>
    <w:rsid w:val="000979D1"/>
    <w:rsid w:val="00097BE4"/>
    <w:rsid w:val="00097C21"/>
    <w:rsid w:val="00097CDD"/>
    <w:rsid w:val="00097FAE"/>
    <w:rsid w:val="000A0282"/>
    <w:rsid w:val="000A0342"/>
    <w:rsid w:val="000A0432"/>
    <w:rsid w:val="000A05D6"/>
    <w:rsid w:val="000A05E6"/>
    <w:rsid w:val="000A0607"/>
    <w:rsid w:val="000A0745"/>
    <w:rsid w:val="000A0790"/>
    <w:rsid w:val="000A07B7"/>
    <w:rsid w:val="000A08BB"/>
    <w:rsid w:val="000A0B6A"/>
    <w:rsid w:val="000A0D63"/>
    <w:rsid w:val="000A0DCD"/>
    <w:rsid w:val="000A0E6E"/>
    <w:rsid w:val="000A12D4"/>
    <w:rsid w:val="000A12FC"/>
    <w:rsid w:val="000A13CD"/>
    <w:rsid w:val="000A148D"/>
    <w:rsid w:val="000A14FB"/>
    <w:rsid w:val="000A165F"/>
    <w:rsid w:val="000A167B"/>
    <w:rsid w:val="000A16E7"/>
    <w:rsid w:val="000A17BB"/>
    <w:rsid w:val="000A18E2"/>
    <w:rsid w:val="000A1989"/>
    <w:rsid w:val="000A1B1A"/>
    <w:rsid w:val="000A1B2D"/>
    <w:rsid w:val="000A1BF9"/>
    <w:rsid w:val="000A1C37"/>
    <w:rsid w:val="000A1C62"/>
    <w:rsid w:val="000A1C75"/>
    <w:rsid w:val="000A1D79"/>
    <w:rsid w:val="000A1DE1"/>
    <w:rsid w:val="000A1E1B"/>
    <w:rsid w:val="000A1E9F"/>
    <w:rsid w:val="000A1FA2"/>
    <w:rsid w:val="000A2074"/>
    <w:rsid w:val="000A2187"/>
    <w:rsid w:val="000A23F8"/>
    <w:rsid w:val="000A2614"/>
    <w:rsid w:val="000A261E"/>
    <w:rsid w:val="000A2841"/>
    <w:rsid w:val="000A2991"/>
    <w:rsid w:val="000A29A2"/>
    <w:rsid w:val="000A2A13"/>
    <w:rsid w:val="000A2A1E"/>
    <w:rsid w:val="000A2A53"/>
    <w:rsid w:val="000A2B94"/>
    <w:rsid w:val="000A2CA7"/>
    <w:rsid w:val="000A2D1C"/>
    <w:rsid w:val="000A2E5B"/>
    <w:rsid w:val="000A304F"/>
    <w:rsid w:val="000A3193"/>
    <w:rsid w:val="000A31BA"/>
    <w:rsid w:val="000A3209"/>
    <w:rsid w:val="000A3567"/>
    <w:rsid w:val="000A365A"/>
    <w:rsid w:val="000A3680"/>
    <w:rsid w:val="000A379A"/>
    <w:rsid w:val="000A391C"/>
    <w:rsid w:val="000A39B4"/>
    <w:rsid w:val="000A39D5"/>
    <w:rsid w:val="000A3AEF"/>
    <w:rsid w:val="000A3C20"/>
    <w:rsid w:val="000A3C71"/>
    <w:rsid w:val="000A3F43"/>
    <w:rsid w:val="000A40F0"/>
    <w:rsid w:val="000A4161"/>
    <w:rsid w:val="000A4238"/>
    <w:rsid w:val="000A42EE"/>
    <w:rsid w:val="000A4363"/>
    <w:rsid w:val="000A4462"/>
    <w:rsid w:val="000A47F7"/>
    <w:rsid w:val="000A4A3C"/>
    <w:rsid w:val="000A4A46"/>
    <w:rsid w:val="000A4AA0"/>
    <w:rsid w:val="000A4C0B"/>
    <w:rsid w:val="000A4CA6"/>
    <w:rsid w:val="000A4F06"/>
    <w:rsid w:val="000A4F19"/>
    <w:rsid w:val="000A4F83"/>
    <w:rsid w:val="000A5621"/>
    <w:rsid w:val="000A5782"/>
    <w:rsid w:val="000A57CF"/>
    <w:rsid w:val="000A5844"/>
    <w:rsid w:val="000A58B1"/>
    <w:rsid w:val="000A58B9"/>
    <w:rsid w:val="000A590A"/>
    <w:rsid w:val="000A596E"/>
    <w:rsid w:val="000A5A0F"/>
    <w:rsid w:val="000A5A6A"/>
    <w:rsid w:val="000A5AED"/>
    <w:rsid w:val="000A5B45"/>
    <w:rsid w:val="000A5C0E"/>
    <w:rsid w:val="000A5C20"/>
    <w:rsid w:val="000A5CAF"/>
    <w:rsid w:val="000A5D63"/>
    <w:rsid w:val="000A5F1B"/>
    <w:rsid w:val="000A5FA6"/>
    <w:rsid w:val="000A625C"/>
    <w:rsid w:val="000A627E"/>
    <w:rsid w:val="000A6340"/>
    <w:rsid w:val="000A6447"/>
    <w:rsid w:val="000A6721"/>
    <w:rsid w:val="000A67A5"/>
    <w:rsid w:val="000A68DB"/>
    <w:rsid w:val="000A6C06"/>
    <w:rsid w:val="000A6C75"/>
    <w:rsid w:val="000A6CAA"/>
    <w:rsid w:val="000A6D22"/>
    <w:rsid w:val="000A6E63"/>
    <w:rsid w:val="000A6EA0"/>
    <w:rsid w:val="000A6F50"/>
    <w:rsid w:val="000A6F7B"/>
    <w:rsid w:val="000A701C"/>
    <w:rsid w:val="000A7548"/>
    <w:rsid w:val="000A75B8"/>
    <w:rsid w:val="000A78D0"/>
    <w:rsid w:val="000A78D8"/>
    <w:rsid w:val="000A790A"/>
    <w:rsid w:val="000A7A16"/>
    <w:rsid w:val="000A7A20"/>
    <w:rsid w:val="000A7A61"/>
    <w:rsid w:val="000A7D6B"/>
    <w:rsid w:val="000A7EAD"/>
    <w:rsid w:val="000B0071"/>
    <w:rsid w:val="000B012A"/>
    <w:rsid w:val="000B0204"/>
    <w:rsid w:val="000B0389"/>
    <w:rsid w:val="000B064D"/>
    <w:rsid w:val="000B067B"/>
    <w:rsid w:val="000B069E"/>
    <w:rsid w:val="000B072F"/>
    <w:rsid w:val="000B0847"/>
    <w:rsid w:val="000B08FA"/>
    <w:rsid w:val="000B0935"/>
    <w:rsid w:val="000B0A01"/>
    <w:rsid w:val="000B0A1A"/>
    <w:rsid w:val="000B0C1B"/>
    <w:rsid w:val="000B0C5C"/>
    <w:rsid w:val="000B0C6F"/>
    <w:rsid w:val="000B0C89"/>
    <w:rsid w:val="000B0CE5"/>
    <w:rsid w:val="000B0D0E"/>
    <w:rsid w:val="000B0DB9"/>
    <w:rsid w:val="000B0DD6"/>
    <w:rsid w:val="000B0E73"/>
    <w:rsid w:val="000B0EED"/>
    <w:rsid w:val="000B0F84"/>
    <w:rsid w:val="000B1223"/>
    <w:rsid w:val="000B1275"/>
    <w:rsid w:val="000B1566"/>
    <w:rsid w:val="000B1A25"/>
    <w:rsid w:val="000B1AA4"/>
    <w:rsid w:val="000B1B13"/>
    <w:rsid w:val="000B1C40"/>
    <w:rsid w:val="000B1C9B"/>
    <w:rsid w:val="000B1DAA"/>
    <w:rsid w:val="000B1DC0"/>
    <w:rsid w:val="000B1E88"/>
    <w:rsid w:val="000B1F7D"/>
    <w:rsid w:val="000B1FE2"/>
    <w:rsid w:val="000B20A1"/>
    <w:rsid w:val="000B20B4"/>
    <w:rsid w:val="000B224E"/>
    <w:rsid w:val="000B224F"/>
    <w:rsid w:val="000B2281"/>
    <w:rsid w:val="000B275D"/>
    <w:rsid w:val="000B28A6"/>
    <w:rsid w:val="000B2A3E"/>
    <w:rsid w:val="000B2B6F"/>
    <w:rsid w:val="000B2C0F"/>
    <w:rsid w:val="000B2D31"/>
    <w:rsid w:val="000B2D9F"/>
    <w:rsid w:val="000B2DB3"/>
    <w:rsid w:val="000B2F3F"/>
    <w:rsid w:val="000B3043"/>
    <w:rsid w:val="000B315C"/>
    <w:rsid w:val="000B31E0"/>
    <w:rsid w:val="000B3379"/>
    <w:rsid w:val="000B33B2"/>
    <w:rsid w:val="000B362C"/>
    <w:rsid w:val="000B3722"/>
    <w:rsid w:val="000B381C"/>
    <w:rsid w:val="000B385D"/>
    <w:rsid w:val="000B39E1"/>
    <w:rsid w:val="000B39F2"/>
    <w:rsid w:val="000B3BC0"/>
    <w:rsid w:val="000B3BDD"/>
    <w:rsid w:val="000B3F06"/>
    <w:rsid w:val="000B3F11"/>
    <w:rsid w:val="000B4046"/>
    <w:rsid w:val="000B40A1"/>
    <w:rsid w:val="000B40F5"/>
    <w:rsid w:val="000B416C"/>
    <w:rsid w:val="000B4331"/>
    <w:rsid w:val="000B435C"/>
    <w:rsid w:val="000B441F"/>
    <w:rsid w:val="000B45D9"/>
    <w:rsid w:val="000B45EE"/>
    <w:rsid w:val="000B4628"/>
    <w:rsid w:val="000B46AE"/>
    <w:rsid w:val="000B492D"/>
    <w:rsid w:val="000B4CB8"/>
    <w:rsid w:val="000B4ECF"/>
    <w:rsid w:val="000B50E7"/>
    <w:rsid w:val="000B5257"/>
    <w:rsid w:val="000B5381"/>
    <w:rsid w:val="000B559D"/>
    <w:rsid w:val="000B55E3"/>
    <w:rsid w:val="000B56C4"/>
    <w:rsid w:val="000B5A44"/>
    <w:rsid w:val="000B5AEC"/>
    <w:rsid w:val="000B5BAE"/>
    <w:rsid w:val="000B5BDE"/>
    <w:rsid w:val="000B5C6F"/>
    <w:rsid w:val="000B5DDF"/>
    <w:rsid w:val="000B5E16"/>
    <w:rsid w:val="000B5EB0"/>
    <w:rsid w:val="000B5EFD"/>
    <w:rsid w:val="000B5F43"/>
    <w:rsid w:val="000B5FCC"/>
    <w:rsid w:val="000B6014"/>
    <w:rsid w:val="000B6150"/>
    <w:rsid w:val="000B62AE"/>
    <w:rsid w:val="000B62DF"/>
    <w:rsid w:val="000B64F2"/>
    <w:rsid w:val="000B6684"/>
    <w:rsid w:val="000B66FF"/>
    <w:rsid w:val="000B698A"/>
    <w:rsid w:val="000B69E3"/>
    <w:rsid w:val="000B6A8F"/>
    <w:rsid w:val="000B6B4B"/>
    <w:rsid w:val="000B6CD6"/>
    <w:rsid w:val="000B6CFE"/>
    <w:rsid w:val="000B6DC8"/>
    <w:rsid w:val="000B6FA0"/>
    <w:rsid w:val="000B735C"/>
    <w:rsid w:val="000B7482"/>
    <w:rsid w:val="000B75AA"/>
    <w:rsid w:val="000B7620"/>
    <w:rsid w:val="000B769E"/>
    <w:rsid w:val="000B776E"/>
    <w:rsid w:val="000C0200"/>
    <w:rsid w:val="000C0416"/>
    <w:rsid w:val="000C061C"/>
    <w:rsid w:val="000C0687"/>
    <w:rsid w:val="000C0D1E"/>
    <w:rsid w:val="000C0D5A"/>
    <w:rsid w:val="000C1208"/>
    <w:rsid w:val="000C1229"/>
    <w:rsid w:val="000C140F"/>
    <w:rsid w:val="000C160A"/>
    <w:rsid w:val="000C1808"/>
    <w:rsid w:val="000C185C"/>
    <w:rsid w:val="000C194B"/>
    <w:rsid w:val="000C198D"/>
    <w:rsid w:val="000C19C0"/>
    <w:rsid w:val="000C1AE0"/>
    <w:rsid w:val="000C1BE0"/>
    <w:rsid w:val="000C1C1A"/>
    <w:rsid w:val="000C1C7B"/>
    <w:rsid w:val="000C1C86"/>
    <w:rsid w:val="000C1F40"/>
    <w:rsid w:val="000C1F46"/>
    <w:rsid w:val="000C1FAA"/>
    <w:rsid w:val="000C2153"/>
    <w:rsid w:val="000C2437"/>
    <w:rsid w:val="000C24B5"/>
    <w:rsid w:val="000C25C8"/>
    <w:rsid w:val="000C2756"/>
    <w:rsid w:val="000C28A5"/>
    <w:rsid w:val="000C2AE7"/>
    <w:rsid w:val="000C2C1C"/>
    <w:rsid w:val="000C2C4D"/>
    <w:rsid w:val="000C2CBC"/>
    <w:rsid w:val="000C2D04"/>
    <w:rsid w:val="000C2DE0"/>
    <w:rsid w:val="000C3215"/>
    <w:rsid w:val="000C335E"/>
    <w:rsid w:val="000C341A"/>
    <w:rsid w:val="000C348A"/>
    <w:rsid w:val="000C3748"/>
    <w:rsid w:val="000C38B0"/>
    <w:rsid w:val="000C38B7"/>
    <w:rsid w:val="000C38C0"/>
    <w:rsid w:val="000C392C"/>
    <w:rsid w:val="000C3AE0"/>
    <w:rsid w:val="000C3B74"/>
    <w:rsid w:val="000C3B82"/>
    <w:rsid w:val="000C3C23"/>
    <w:rsid w:val="000C3C7B"/>
    <w:rsid w:val="000C3CFA"/>
    <w:rsid w:val="000C3D3B"/>
    <w:rsid w:val="000C3D77"/>
    <w:rsid w:val="000C3D7C"/>
    <w:rsid w:val="000C3E2E"/>
    <w:rsid w:val="000C3FCE"/>
    <w:rsid w:val="000C4007"/>
    <w:rsid w:val="000C40BF"/>
    <w:rsid w:val="000C40D7"/>
    <w:rsid w:val="000C4168"/>
    <w:rsid w:val="000C4183"/>
    <w:rsid w:val="000C4362"/>
    <w:rsid w:val="000C4476"/>
    <w:rsid w:val="000C44FB"/>
    <w:rsid w:val="000C45B6"/>
    <w:rsid w:val="000C466F"/>
    <w:rsid w:val="000C46C8"/>
    <w:rsid w:val="000C47AB"/>
    <w:rsid w:val="000C47D4"/>
    <w:rsid w:val="000C48D2"/>
    <w:rsid w:val="000C4A0C"/>
    <w:rsid w:val="000C4A51"/>
    <w:rsid w:val="000C4BCE"/>
    <w:rsid w:val="000C4BF8"/>
    <w:rsid w:val="000C4DBE"/>
    <w:rsid w:val="000C4E50"/>
    <w:rsid w:val="000C4EF2"/>
    <w:rsid w:val="000C4F97"/>
    <w:rsid w:val="000C4FFA"/>
    <w:rsid w:val="000C50C5"/>
    <w:rsid w:val="000C50FD"/>
    <w:rsid w:val="000C5160"/>
    <w:rsid w:val="000C52DA"/>
    <w:rsid w:val="000C5407"/>
    <w:rsid w:val="000C557F"/>
    <w:rsid w:val="000C566B"/>
    <w:rsid w:val="000C5805"/>
    <w:rsid w:val="000C5AD2"/>
    <w:rsid w:val="000C5C77"/>
    <w:rsid w:val="000C5CB5"/>
    <w:rsid w:val="000C5DD5"/>
    <w:rsid w:val="000C5E0F"/>
    <w:rsid w:val="000C5E7F"/>
    <w:rsid w:val="000C5FC7"/>
    <w:rsid w:val="000C60E0"/>
    <w:rsid w:val="000C6205"/>
    <w:rsid w:val="000C6437"/>
    <w:rsid w:val="000C6504"/>
    <w:rsid w:val="000C658E"/>
    <w:rsid w:val="000C669C"/>
    <w:rsid w:val="000C66A1"/>
    <w:rsid w:val="000C692B"/>
    <w:rsid w:val="000C69C1"/>
    <w:rsid w:val="000C69CE"/>
    <w:rsid w:val="000C6AFC"/>
    <w:rsid w:val="000C6C76"/>
    <w:rsid w:val="000C6F76"/>
    <w:rsid w:val="000C7201"/>
    <w:rsid w:val="000C73BD"/>
    <w:rsid w:val="000C7482"/>
    <w:rsid w:val="000C7495"/>
    <w:rsid w:val="000C74ED"/>
    <w:rsid w:val="000C77E1"/>
    <w:rsid w:val="000C7820"/>
    <w:rsid w:val="000C78FE"/>
    <w:rsid w:val="000C791E"/>
    <w:rsid w:val="000C7AE8"/>
    <w:rsid w:val="000C7B28"/>
    <w:rsid w:val="000C7BED"/>
    <w:rsid w:val="000C7C69"/>
    <w:rsid w:val="000C7DD6"/>
    <w:rsid w:val="000C7F23"/>
    <w:rsid w:val="000C7F41"/>
    <w:rsid w:val="000D029F"/>
    <w:rsid w:val="000D0408"/>
    <w:rsid w:val="000D0501"/>
    <w:rsid w:val="000D0585"/>
    <w:rsid w:val="000D0596"/>
    <w:rsid w:val="000D060E"/>
    <w:rsid w:val="000D079D"/>
    <w:rsid w:val="000D0952"/>
    <w:rsid w:val="000D0999"/>
    <w:rsid w:val="000D09B7"/>
    <w:rsid w:val="000D0A48"/>
    <w:rsid w:val="000D0A79"/>
    <w:rsid w:val="000D0A7B"/>
    <w:rsid w:val="000D0AB4"/>
    <w:rsid w:val="000D0C09"/>
    <w:rsid w:val="000D0C93"/>
    <w:rsid w:val="000D0D4E"/>
    <w:rsid w:val="000D0EBB"/>
    <w:rsid w:val="000D102B"/>
    <w:rsid w:val="000D111F"/>
    <w:rsid w:val="000D136F"/>
    <w:rsid w:val="000D1390"/>
    <w:rsid w:val="000D13F7"/>
    <w:rsid w:val="000D1407"/>
    <w:rsid w:val="000D1635"/>
    <w:rsid w:val="000D1673"/>
    <w:rsid w:val="000D190A"/>
    <w:rsid w:val="000D1929"/>
    <w:rsid w:val="000D195D"/>
    <w:rsid w:val="000D1AD9"/>
    <w:rsid w:val="000D1B9B"/>
    <w:rsid w:val="000D1C7C"/>
    <w:rsid w:val="000D1D94"/>
    <w:rsid w:val="000D1DB1"/>
    <w:rsid w:val="000D1DDB"/>
    <w:rsid w:val="000D1E24"/>
    <w:rsid w:val="000D1F7C"/>
    <w:rsid w:val="000D1FC4"/>
    <w:rsid w:val="000D21A0"/>
    <w:rsid w:val="000D22D9"/>
    <w:rsid w:val="000D22E8"/>
    <w:rsid w:val="000D23DF"/>
    <w:rsid w:val="000D24F4"/>
    <w:rsid w:val="000D2518"/>
    <w:rsid w:val="000D25F6"/>
    <w:rsid w:val="000D26EC"/>
    <w:rsid w:val="000D278C"/>
    <w:rsid w:val="000D279F"/>
    <w:rsid w:val="000D280E"/>
    <w:rsid w:val="000D2D60"/>
    <w:rsid w:val="000D2D61"/>
    <w:rsid w:val="000D2DBD"/>
    <w:rsid w:val="000D2E07"/>
    <w:rsid w:val="000D2E5A"/>
    <w:rsid w:val="000D3088"/>
    <w:rsid w:val="000D30DC"/>
    <w:rsid w:val="000D32F5"/>
    <w:rsid w:val="000D358B"/>
    <w:rsid w:val="000D364C"/>
    <w:rsid w:val="000D387A"/>
    <w:rsid w:val="000D39C8"/>
    <w:rsid w:val="000D3A69"/>
    <w:rsid w:val="000D3B30"/>
    <w:rsid w:val="000D3C5D"/>
    <w:rsid w:val="000D3DE3"/>
    <w:rsid w:val="000D3FCC"/>
    <w:rsid w:val="000D4040"/>
    <w:rsid w:val="000D4504"/>
    <w:rsid w:val="000D4680"/>
    <w:rsid w:val="000D46A2"/>
    <w:rsid w:val="000D47BA"/>
    <w:rsid w:val="000D481C"/>
    <w:rsid w:val="000D48FC"/>
    <w:rsid w:val="000D4963"/>
    <w:rsid w:val="000D49E9"/>
    <w:rsid w:val="000D4A01"/>
    <w:rsid w:val="000D4AD7"/>
    <w:rsid w:val="000D4B2D"/>
    <w:rsid w:val="000D4BA4"/>
    <w:rsid w:val="000D4BC3"/>
    <w:rsid w:val="000D4CBC"/>
    <w:rsid w:val="000D4D56"/>
    <w:rsid w:val="000D4D92"/>
    <w:rsid w:val="000D4FED"/>
    <w:rsid w:val="000D5202"/>
    <w:rsid w:val="000D5205"/>
    <w:rsid w:val="000D5255"/>
    <w:rsid w:val="000D52C4"/>
    <w:rsid w:val="000D52F7"/>
    <w:rsid w:val="000D5402"/>
    <w:rsid w:val="000D5470"/>
    <w:rsid w:val="000D5520"/>
    <w:rsid w:val="000D55F9"/>
    <w:rsid w:val="000D5937"/>
    <w:rsid w:val="000D59F8"/>
    <w:rsid w:val="000D5B28"/>
    <w:rsid w:val="000D5BC0"/>
    <w:rsid w:val="000D5F5D"/>
    <w:rsid w:val="000D603B"/>
    <w:rsid w:val="000D610B"/>
    <w:rsid w:val="000D61E7"/>
    <w:rsid w:val="000D6210"/>
    <w:rsid w:val="000D622A"/>
    <w:rsid w:val="000D63CB"/>
    <w:rsid w:val="000D649A"/>
    <w:rsid w:val="000D64D4"/>
    <w:rsid w:val="000D6639"/>
    <w:rsid w:val="000D663A"/>
    <w:rsid w:val="000D6719"/>
    <w:rsid w:val="000D6740"/>
    <w:rsid w:val="000D68F9"/>
    <w:rsid w:val="000D68FA"/>
    <w:rsid w:val="000D6A7E"/>
    <w:rsid w:val="000D6BF9"/>
    <w:rsid w:val="000D6D7B"/>
    <w:rsid w:val="000D6DF9"/>
    <w:rsid w:val="000D6F7F"/>
    <w:rsid w:val="000D709E"/>
    <w:rsid w:val="000D7102"/>
    <w:rsid w:val="000D72F6"/>
    <w:rsid w:val="000D754E"/>
    <w:rsid w:val="000D7572"/>
    <w:rsid w:val="000D7574"/>
    <w:rsid w:val="000D77AF"/>
    <w:rsid w:val="000D7994"/>
    <w:rsid w:val="000D79EB"/>
    <w:rsid w:val="000D7C61"/>
    <w:rsid w:val="000D7DC4"/>
    <w:rsid w:val="000D7F46"/>
    <w:rsid w:val="000D7FC2"/>
    <w:rsid w:val="000E0040"/>
    <w:rsid w:val="000E00F8"/>
    <w:rsid w:val="000E012C"/>
    <w:rsid w:val="000E0138"/>
    <w:rsid w:val="000E0200"/>
    <w:rsid w:val="000E047A"/>
    <w:rsid w:val="000E0578"/>
    <w:rsid w:val="000E0608"/>
    <w:rsid w:val="000E06C0"/>
    <w:rsid w:val="000E06E1"/>
    <w:rsid w:val="000E0A19"/>
    <w:rsid w:val="000E0CE9"/>
    <w:rsid w:val="000E0D4F"/>
    <w:rsid w:val="000E0E11"/>
    <w:rsid w:val="000E0F2D"/>
    <w:rsid w:val="000E0F77"/>
    <w:rsid w:val="000E1710"/>
    <w:rsid w:val="000E1836"/>
    <w:rsid w:val="000E1986"/>
    <w:rsid w:val="000E1A9D"/>
    <w:rsid w:val="000E1BD8"/>
    <w:rsid w:val="000E1C52"/>
    <w:rsid w:val="000E1D65"/>
    <w:rsid w:val="000E1F34"/>
    <w:rsid w:val="000E1FDF"/>
    <w:rsid w:val="000E203C"/>
    <w:rsid w:val="000E20A5"/>
    <w:rsid w:val="000E22BF"/>
    <w:rsid w:val="000E22D4"/>
    <w:rsid w:val="000E24E7"/>
    <w:rsid w:val="000E25E8"/>
    <w:rsid w:val="000E2821"/>
    <w:rsid w:val="000E287C"/>
    <w:rsid w:val="000E28BA"/>
    <w:rsid w:val="000E2981"/>
    <w:rsid w:val="000E2AEE"/>
    <w:rsid w:val="000E2AF4"/>
    <w:rsid w:val="000E2BAA"/>
    <w:rsid w:val="000E2C16"/>
    <w:rsid w:val="000E2C24"/>
    <w:rsid w:val="000E2C69"/>
    <w:rsid w:val="000E2CB0"/>
    <w:rsid w:val="000E2D55"/>
    <w:rsid w:val="000E2F1D"/>
    <w:rsid w:val="000E2F4A"/>
    <w:rsid w:val="000E2F76"/>
    <w:rsid w:val="000E2F9E"/>
    <w:rsid w:val="000E3040"/>
    <w:rsid w:val="000E30F9"/>
    <w:rsid w:val="000E32A8"/>
    <w:rsid w:val="000E341B"/>
    <w:rsid w:val="000E342F"/>
    <w:rsid w:val="000E34E6"/>
    <w:rsid w:val="000E35F6"/>
    <w:rsid w:val="000E3731"/>
    <w:rsid w:val="000E38A7"/>
    <w:rsid w:val="000E38F6"/>
    <w:rsid w:val="000E3922"/>
    <w:rsid w:val="000E3C02"/>
    <w:rsid w:val="000E3C7F"/>
    <w:rsid w:val="000E3DC4"/>
    <w:rsid w:val="000E3E5B"/>
    <w:rsid w:val="000E3EAF"/>
    <w:rsid w:val="000E428D"/>
    <w:rsid w:val="000E432D"/>
    <w:rsid w:val="000E438C"/>
    <w:rsid w:val="000E440C"/>
    <w:rsid w:val="000E455D"/>
    <w:rsid w:val="000E47C0"/>
    <w:rsid w:val="000E4ADA"/>
    <w:rsid w:val="000E4B0B"/>
    <w:rsid w:val="000E4BAB"/>
    <w:rsid w:val="000E4BE0"/>
    <w:rsid w:val="000E4CF5"/>
    <w:rsid w:val="000E4F20"/>
    <w:rsid w:val="000E4F88"/>
    <w:rsid w:val="000E508A"/>
    <w:rsid w:val="000E51FF"/>
    <w:rsid w:val="000E52B7"/>
    <w:rsid w:val="000E5449"/>
    <w:rsid w:val="000E54B2"/>
    <w:rsid w:val="000E5582"/>
    <w:rsid w:val="000E561F"/>
    <w:rsid w:val="000E5C33"/>
    <w:rsid w:val="000E5F9E"/>
    <w:rsid w:val="000E6056"/>
    <w:rsid w:val="000E608A"/>
    <w:rsid w:val="000E610F"/>
    <w:rsid w:val="000E626E"/>
    <w:rsid w:val="000E6473"/>
    <w:rsid w:val="000E64DE"/>
    <w:rsid w:val="000E6516"/>
    <w:rsid w:val="000E65F2"/>
    <w:rsid w:val="000E6649"/>
    <w:rsid w:val="000E67BC"/>
    <w:rsid w:val="000E68C9"/>
    <w:rsid w:val="000E68D3"/>
    <w:rsid w:val="000E6A88"/>
    <w:rsid w:val="000E6D1E"/>
    <w:rsid w:val="000E6D21"/>
    <w:rsid w:val="000E6E0F"/>
    <w:rsid w:val="000E6FA2"/>
    <w:rsid w:val="000E70C9"/>
    <w:rsid w:val="000E70E6"/>
    <w:rsid w:val="000E7242"/>
    <w:rsid w:val="000E729B"/>
    <w:rsid w:val="000E734A"/>
    <w:rsid w:val="000E7510"/>
    <w:rsid w:val="000E758F"/>
    <w:rsid w:val="000E7595"/>
    <w:rsid w:val="000E75E1"/>
    <w:rsid w:val="000E7674"/>
    <w:rsid w:val="000E7956"/>
    <w:rsid w:val="000E79D5"/>
    <w:rsid w:val="000E7A2B"/>
    <w:rsid w:val="000E7A75"/>
    <w:rsid w:val="000E7C59"/>
    <w:rsid w:val="000F017A"/>
    <w:rsid w:val="000F01B3"/>
    <w:rsid w:val="000F025D"/>
    <w:rsid w:val="000F045C"/>
    <w:rsid w:val="000F053A"/>
    <w:rsid w:val="000F05D4"/>
    <w:rsid w:val="000F0A9B"/>
    <w:rsid w:val="000F0AA6"/>
    <w:rsid w:val="000F0BEF"/>
    <w:rsid w:val="000F0D34"/>
    <w:rsid w:val="000F0DB4"/>
    <w:rsid w:val="000F0EAF"/>
    <w:rsid w:val="000F100C"/>
    <w:rsid w:val="000F1304"/>
    <w:rsid w:val="000F13B5"/>
    <w:rsid w:val="000F155B"/>
    <w:rsid w:val="000F1714"/>
    <w:rsid w:val="000F1761"/>
    <w:rsid w:val="000F17EB"/>
    <w:rsid w:val="000F1867"/>
    <w:rsid w:val="000F191C"/>
    <w:rsid w:val="000F1997"/>
    <w:rsid w:val="000F1BBF"/>
    <w:rsid w:val="000F1CF1"/>
    <w:rsid w:val="000F1D53"/>
    <w:rsid w:val="000F1E74"/>
    <w:rsid w:val="000F1E91"/>
    <w:rsid w:val="000F2065"/>
    <w:rsid w:val="000F206A"/>
    <w:rsid w:val="000F2106"/>
    <w:rsid w:val="000F2152"/>
    <w:rsid w:val="000F23D4"/>
    <w:rsid w:val="000F2527"/>
    <w:rsid w:val="000F252A"/>
    <w:rsid w:val="000F2534"/>
    <w:rsid w:val="000F2550"/>
    <w:rsid w:val="000F25CC"/>
    <w:rsid w:val="000F2705"/>
    <w:rsid w:val="000F27C2"/>
    <w:rsid w:val="000F27E7"/>
    <w:rsid w:val="000F27ED"/>
    <w:rsid w:val="000F28BD"/>
    <w:rsid w:val="000F2919"/>
    <w:rsid w:val="000F29B2"/>
    <w:rsid w:val="000F29E2"/>
    <w:rsid w:val="000F2A60"/>
    <w:rsid w:val="000F2CD5"/>
    <w:rsid w:val="000F2CF4"/>
    <w:rsid w:val="000F2D1D"/>
    <w:rsid w:val="000F3215"/>
    <w:rsid w:val="000F34B9"/>
    <w:rsid w:val="000F35AD"/>
    <w:rsid w:val="000F35D4"/>
    <w:rsid w:val="000F376E"/>
    <w:rsid w:val="000F37CA"/>
    <w:rsid w:val="000F3822"/>
    <w:rsid w:val="000F39E8"/>
    <w:rsid w:val="000F39EE"/>
    <w:rsid w:val="000F3A26"/>
    <w:rsid w:val="000F3A48"/>
    <w:rsid w:val="000F3D05"/>
    <w:rsid w:val="000F3E97"/>
    <w:rsid w:val="000F3F17"/>
    <w:rsid w:val="000F40A5"/>
    <w:rsid w:val="000F40A8"/>
    <w:rsid w:val="000F40EF"/>
    <w:rsid w:val="000F4124"/>
    <w:rsid w:val="000F4214"/>
    <w:rsid w:val="000F4223"/>
    <w:rsid w:val="000F43D0"/>
    <w:rsid w:val="000F4429"/>
    <w:rsid w:val="000F4533"/>
    <w:rsid w:val="000F4A03"/>
    <w:rsid w:val="000F4A51"/>
    <w:rsid w:val="000F4A84"/>
    <w:rsid w:val="000F4EE4"/>
    <w:rsid w:val="000F4F5F"/>
    <w:rsid w:val="000F4F81"/>
    <w:rsid w:val="000F5026"/>
    <w:rsid w:val="000F503A"/>
    <w:rsid w:val="000F504A"/>
    <w:rsid w:val="000F5127"/>
    <w:rsid w:val="000F51B0"/>
    <w:rsid w:val="000F521E"/>
    <w:rsid w:val="000F528A"/>
    <w:rsid w:val="000F539A"/>
    <w:rsid w:val="000F53D9"/>
    <w:rsid w:val="000F53E8"/>
    <w:rsid w:val="000F55D0"/>
    <w:rsid w:val="000F581A"/>
    <w:rsid w:val="000F5960"/>
    <w:rsid w:val="000F5AC0"/>
    <w:rsid w:val="000F5AC2"/>
    <w:rsid w:val="000F5CE0"/>
    <w:rsid w:val="000F5DA0"/>
    <w:rsid w:val="000F5F3C"/>
    <w:rsid w:val="000F6230"/>
    <w:rsid w:val="000F628B"/>
    <w:rsid w:val="000F62D6"/>
    <w:rsid w:val="000F63B3"/>
    <w:rsid w:val="000F63F7"/>
    <w:rsid w:val="000F6456"/>
    <w:rsid w:val="000F661D"/>
    <w:rsid w:val="000F6641"/>
    <w:rsid w:val="000F665A"/>
    <w:rsid w:val="000F67AD"/>
    <w:rsid w:val="000F67BD"/>
    <w:rsid w:val="000F6905"/>
    <w:rsid w:val="000F6962"/>
    <w:rsid w:val="000F6AB5"/>
    <w:rsid w:val="000F6B8D"/>
    <w:rsid w:val="000F6BDD"/>
    <w:rsid w:val="000F6C5B"/>
    <w:rsid w:val="000F6DBB"/>
    <w:rsid w:val="000F6E15"/>
    <w:rsid w:val="000F6FB0"/>
    <w:rsid w:val="000F7061"/>
    <w:rsid w:val="000F70CA"/>
    <w:rsid w:val="000F710B"/>
    <w:rsid w:val="000F7186"/>
    <w:rsid w:val="000F7358"/>
    <w:rsid w:val="000F73FC"/>
    <w:rsid w:val="000F7510"/>
    <w:rsid w:val="000F7559"/>
    <w:rsid w:val="000F7620"/>
    <w:rsid w:val="000F7708"/>
    <w:rsid w:val="000F7A22"/>
    <w:rsid w:val="000F7DFA"/>
    <w:rsid w:val="000F7E2E"/>
    <w:rsid w:val="000F7EA9"/>
    <w:rsid w:val="000F7EAE"/>
    <w:rsid w:val="000F7FE0"/>
    <w:rsid w:val="00100239"/>
    <w:rsid w:val="00100387"/>
    <w:rsid w:val="00100446"/>
    <w:rsid w:val="0010048D"/>
    <w:rsid w:val="001005AA"/>
    <w:rsid w:val="00100662"/>
    <w:rsid w:val="00100895"/>
    <w:rsid w:val="00100977"/>
    <w:rsid w:val="00100982"/>
    <w:rsid w:val="00100A66"/>
    <w:rsid w:val="00100AF6"/>
    <w:rsid w:val="00100B95"/>
    <w:rsid w:val="00100B9F"/>
    <w:rsid w:val="00100F9B"/>
    <w:rsid w:val="00100FEA"/>
    <w:rsid w:val="00101035"/>
    <w:rsid w:val="00101168"/>
    <w:rsid w:val="00101625"/>
    <w:rsid w:val="0010162A"/>
    <w:rsid w:val="00101789"/>
    <w:rsid w:val="00101864"/>
    <w:rsid w:val="001018A8"/>
    <w:rsid w:val="00101A59"/>
    <w:rsid w:val="00101EE0"/>
    <w:rsid w:val="00101F43"/>
    <w:rsid w:val="00101FF2"/>
    <w:rsid w:val="001020F5"/>
    <w:rsid w:val="00102213"/>
    <w:rsid w:val="00102329"/>
    <w:rsid w:val="0010247B"/>
    <w:rsid w:val="001025A2"/>
    <w:rsid w:val="00102767"/>
    <w:rsid w:val="001027F9"/>
    <w:rsid w:val="0010284C"/>
    <w:rsid w:val="001028A4"/>
    <w:rsid w:val="001029AC"/>
    <w:rsid w:val="00102C01"/>
    <w:rsid w:val="00102F69"/>
    <w:rsid w:val="00103090"/>
    <w:rsid w:val="0010309A"/>
    <w:rsid w:val="001030A1"/>
    <w:rsid w:val="00103165"/>
    <w:rsid w:val="001031A0"/>
    <w:rsid w:val="001031B3"/>
    <w:rsid w:val="0010335E"/>
    <w:rsid w:val="0010341B"/>
    <w:rsid w:val="00103499"/>
    <w:rsid w:val="001034F4"/>
    <w:rsid w:val="001035E5"/>
    <w:rsid w:val="001036E7"/>
    <w:rsid w:val="00103734"/>
    <w:rsid w:val="0010375F"/>
    <w:rsid w:val="00103862"/>
    <w:rsid w:val="001039CB"/>
    <w:rsid w:val="00103C03"/>
    <w:rsid w:val="00103C33"/>
    <w:rsid w:val="00103C49"/>
    <w:rsid w:val="00103E2E"/>
    <w:rsid w:val="00103E5D"/>
    <w:rsid w:val="00103EF5"/>
    <w:rsid w:val="00104332"/>
    <w:rsid w:val="00104535"/>
    <w:rsid w:val="001047A7"/>
    <w:rsid w:val="001047BE"/>
    <w:rsid w:val="00104933"/>
    <w:rsid w:val="00104AF9"/>
    <w:rsid w:val="00104C36"/>
    <w:rsid w:val="00104EDD"/>
    <w:rsid w:val="00104F71"/>
    <w:rsid w:val="00104F8D"/>
    <w:rsid w:val="001050A6"/>
    <w:rsid w:val="00105139"/>
    <w:rsid w:val="00105291"/>
    <w:rsid w:val="0010532A"/>
    <w:rsid w:val="00105376"/>
    <w:rsid w:val="00105508"/>
    <w:rsid w:val="0010565C"/>
    <w:rsid w:val="00105718"/>
    <w:rsid w:val="0010577E"/>
    <w:rsid w:val="0010577F"/>
    <w:rsid w:val="001057BC"/>
    <w:rsid w:val="00105885"/>
    <w:rsid w:val="001059B0"/>
    <w:rsid w:val="00105A22"/>
    <w:rsid w:val="00105BE1"/>
    <w:rsid w:val="00105E53"/>
    <w:rsid w:val="00106205"/>
    <w:rsid w:val="001062F3"/>
    <w:rsid w:val="001062F9"/>
    <w:rsid w:val="001063BE"/>
    <w:rsid w:val="00106487"/>
    <w:rsid w:val="00106492"/>
    <w:rsid w:val="00106561"/>
    <w:rsid w:val="001065B4"/>
    <w:rsid w:val="0010663F"/>
    <w:rsid w:val="001066D1"/>
    <w:rsid w:val="001067CC"/>
    <w:rsid w:val="00106956"/>
    <w:rsid w:val="001069A6"/>
    <w:rsid w:val="00106AA2"/>
    <w:rsid w:val="00106D13"/>
    <w:rsid w:val="00107269"/>
    <w:rsid w:val="00107287"/>
    <w:rsid w:val="00107290"/>
    <w:rsid w:val="0010753C"/>
    <w:rsid w:val="00107824"/>
    <w:rsid w:val="00107A2C"/>
    <w:rsid w:val="00107A6E"/>
    <w:rsid w:val="00107B2F"/>
    <w:rsid w:val="00107C06"/>
    <w:rsid w:val="00107E98"/>
    <w:rsid w:val="00110128"/>
    <w:rsid w:val="0011013D"/>
    <w:rsid w:val="00110230"/>
    <w:rsid w:val="00110292"/>
    <w:rsid w:val="00110341"/>
    <w:rsid w:val="0011049D"/>
    <w:rsid w:val="001104F0"/>
    <w:rsid w:val="001105E1"/>
    <w:rsid w:val="001108B1"/>
    <w:rsid w:val="00110A87"/>
    <w:rsid w:val="00110DDF"/>
    <w:rsid w:val="00110E29"/>
    <w:rsid w:val="00111048"/>
    <w:rsid w:val="0011113B"/>
    <w:rsid w:val="0011113F"/>
    <w:rsid w:val="00111143"/>
    <w:rsid w:val="0011116C"/>
    <w:rsid w:val="00111177"/>
    <w:rsid w:val="0011122C"/>
    <w:rsid w:val="00111298"/>
    <w:rsid w:val="001112F5"/>
    <w:rsid w:val="00111459"/>
    <w:rsid w:val="0011159F"/>
    <w:rsid w:val="00111618"/>
    <w:rsid w:val="00111629"/>
    <w:rsid w:val="0011164A"/>
    <w:rsid w:val="001118CA"/>
    <w:rsid w:val="00111A10"/>
    <w:rsid w:val="00111A51"/>
    <w:rsid w:val="00111BD4"/>
    <w:rsid w:val="00111EE9"/>
    <w:rsid w:val="00111F19"/>
    <w:rsid w:val="001120D2"/>
    <w:rsid w:val="0011235B"/>
    <w:rsid w:val="00112462"/>
    <w:rsid w:val="00112528"/>
    <w:rsid w:val="001125EE"/>
    <w:rsid w:val="00112603"/>
    <w:rsid w:val="0011263F"/>
    <w:rsid w:val="001126C9"/>
    <w:rsid w:val="0011274F"/>
    <w:rsid w:val="0011277A"/>
    <w:rsid w:val="0011277F"/>
    <w:rsid w:val="00112786"/>
    <w:rsid w:val="00112851"/>
    <w:rsid w:val="00112954"/>
    <w:rsid w:val="001129D5"/>
    <w:rsid w:val="00112A34"/>
    <w:rsid w:val="00112A7E"/>
    <w:rsid w:val="00112B34"/>
    <w:rsid w:val="00112BA2"/>
    <w:rsid w:val="00112C91"/>
    <w:rsid w:val="00112CB6"/>
    <w:rsid w:val="00112DC0"/>
    <w:rsid w:val="00112E87"/>
    <w:rsid w:val="00112F98"/>
    <w:rsid w:val="0011308E"/>
    <w:rsid w:val="001130C4"/>
    <w:rsid w:val="0011312B"/>
    <w:rsid w:val="001131C5"/>
    <w:rsid w:val="00113258"/>
    <w:rsid w:val="00113457"/>
    <w:rsid w:val="00113464"/>
    <w:rsid w:val="00113483"/>
    <w:rsid w:val="001134D7"/>
    <w:rsid w:val="001135BC"/>
    <w:rsid w:val="00113838"/>
    <w:rsid w:val="001138ED"/>
    <w:rsid w:val="00113928"/>
    <w:rsid w:val="00113A82"/>
    <w:rsid w:val="00113ACD"/>
    <w:rsid w:val="00113C04"/>
    <w:rsid w:val="00113CCB"/>
    <w:rsid w:val="00113DE6"/>
    <w:rsid w:val="00113EAC"/>
    <w:rsid w:val="00113F42"/>
    <w:rsid w:val="00113F7D"/>
    <w:rsid w:val="00113FDF"/>
    <w:rsid w:val="0011406F"/>
    <w:rsid w:val="001140B8"/>
    <w:rsid w:val="0011413C"/>
    <w:rsid w:val="0011413D"/>
    <w:rsid w:val="001141E8"/>
    <w:rsid w:val="00114328"/>
    <w:rsid w:val="001143A8"/>
    <w:rsid w:val="0011447D"/>
    <w:rsid w:val="001144A1"/>
    <w:rsid w:val="00114504"/>
    <w:rsid w:val="001145A9"/>
    <w:rsid w:val="00114638"/>
    <w:rsid w:val="00114675"/>
    <w:rsid w:val="001146BE"/>
    <w:rsid w:val="00114A68"/>
    <w:rsid w:val="00114BA8"/>
    <w:rsid w:val="00114C90"/>
    <w:rsid w:val="00114CD7"/>
    <w:rsid w:val="00114D68"/>
    <w:rsid w:val="00114E27"/>
    <w:rsid w:val="00114E2F"/>
    <w:rsid w:val="00114EEC"/>
    <w:rsid w:val="00114F48"/>
    <w:rsid w:val="00114FBA"/>
    <w:rsid w:val="00115130"/>
    <w:rsid w:val="00115173"/>
    <w:rsid w:val="00115223"/>
    <w:rsid w:val="00115253"/>
    <w:rsid w:val="00115438"/>
    <w:rsid w:val="001154B5"/>
    <w:rsid w:val="001156F1"/>
    <w:rsid w:val="00115822"/>
    <w:rsid w:val="00115922"/>
    <w:rsid w:val="00115A7A"/>
    <w:rsid w:val="00115B04"/>
    <w:rsid w:val="00115BCA"/>
    <w:rsid w:val="00115BDA"/>
    <w:rsid w:val="00115C7D"/>
    <w:rsid w:val="00115E8D"/>
    <w:rsid w:val="00115E94"/>
    <w:rsid w:val="00115F16"/>
    <w:rsid w:val="00115FD1"/>
    <w:rsid w:val="0011615D"/>
    <w:rsid w:val="001161BA"/>
    <w:rsid w:val="001161D5"/>
    <w:rsid w:val="00116218"/>
    <w:rsid w:val="0011636F"/>
    <w:rsid w:val="00116433"/>
    <w:rsid w:val="00116479"/>
    <w:rsid w:val="00116495"/>
    <w:rsid w:val="00116B73"/>
    <w:rsid w:val="00116C82"/>
    <w:rsid w:val="00116D2A"/>
    <w:rsid w:val="00116D5E"/>
    <w:rsid w:val="00116E0C"/>
    <w:rsid w:val="00116E5E"/>
    <w:rsid w:val="00116E9D"/>
    <w:rsid w:val="00116ED2"/>
    <w:rsid w:val="00117076"/>
    <w:rsid w:val="00117099"/>
    <w:rsid w:val="001170CD"/>
    <w:rsid w:val="0011722D"/>
    <w:rsid w:val="00117473"/>
    <w:rsid w:val="0011772A"/>
    <w:rsid w:val="001177A6"/>
    <w:rsid w:val="00117822"/>
    <w:rsid w:val="00117961"/>
    <w:rsid w:val="00117B10"/>
    <w:rsid w:val="00117D36"/>
    <w:rsid w:val="00117DF3"/>
    <w:rsid w:val="00117F07"/>
    <w:rsid w:val="00117F90"/>
    <w:rsid w:val="00117FD6"/>
    <w:rsid w:val="00120039"/>
    <w:rsid w:val="0012016A"/>
    <w:rsid w:val="00120195"/>
    <w:rsid w:val="0012019A"/>
    <w:rsid w:val="0012027C"/>
    <w:rsid w:val="001203B4"/>
    <w:rsid w:val="00120429"/>
    <w:rsid w:val="00120454"/>
    <w:rsid w:val="00120537"/>
    <w:rsid w:val="00120762"/>
    <w:rsid w:val="001207D7"/>
    <w:rsid w:val="00120985"/>
    <w:rsid w:val="00120A30"/>
    <w:rsid w:val="00120C6C"/>
    <w:rsid w:val="00120D04"/>
    <w:rsid w:val="00120E09"/>
    <w:rsid w:val="00120F86"/>
    <w:rsid w:val="00121118"/>
    <w:rsid w:val="001211EE"/>
    <w:rsid w:val="00121723"/>
    <w:rsid w:val="001217A6"/>
    <w:rsid w:val="001217C9"/>
    <w:rsid w:val="001219CF"/>
    <w:rsid w:val="00121A2C"/>
    <w:rsid w:val="00121ADF"/>
    <w:rsid w:val="00121D5E"/>
    <w:rsid w:val="00121F09"/>
    <w:rsid w:val="00121FC6"/>
    <w:rsid w:val="00121FF0"/>
    <w:rsid w:val="00121FFA"/>
    <w:rsid w:val="00122047"/>
    <w:rsid w:val="00122061"/>
    <w:rsid w:val="001221F1"/>
    <w:rsid w:val="00122230"/>
    <w:rsid w:val="001222C7"/>
    <w:rsid w:val="001223B1"/>
    <w:rsid w:val="00122411"/>
    <w:rsid w:val="0012258A"/>
    <w:rsid w:val="001225D7"/>
    <w:rsid w:val="001225EB"/>
    <w:rsid w:val="00122692"/>
    <w:rsid w:val="00122820"/>
    <w:rsid w:val="0012283A"/>
    <w:rsid w:val="00122BF2"/>
    <w:rsid w:val="00122C0D"/>
    <w:rsid w:val="00122DB6"/>
    <w:rsid w:val="00122E04"/>
    <w:rsid w:val="00122F69"/>
    <w:rsid w:val="00122F7E"/>
    <w:rsid w:val="0012310C"/>
    <w:rsid w:val="001231D6"/>
    <w:rsid w:val="00123270"/>
    <w:rsid w:val="001235C6"/>
    <w:rsid w:val="001235E7"/>
    <w:rsid w:val="00123763"/>
    <w:rsid w:val="00123776"/>
    <w:rsid w:val="001237C6"/>
    <w:rsid w:val="0012392B"/>
    <w:rsid w:val="0012392F"/>
    <w:rsid w:val="00123951"/>
    <w:rsid w:val="00123988"/>
    <w:rsid w:val="00123998"/>
    <w:rsid w:val="00123DE0"/>
    <w:rsid w:val="00123DE6"/>
    <w:rsid w:val="00123EEA"/>
    <w:rsid w:val="00123F0B"/>
    <w:rsid w:val="00123F52"/>
    <w:rsid w:val="00124003"/>
    <w:rsid w:val="00124062"/>
    <w:rsid w:val="0012409B"/>
    <w:rsid w:val="0012410A"/>
    <w:rsid w:val="001241A1"/>
    <w:rsid w:val="001241DE"/>
    <w:rsid w:val="001242B7"/>
    <w:rsid w:val="001243C2"/>
    <w:rsid w:val="001243E9"/>
    <w:rsid w:val="001244FD"/>
    <w:rsid w:val="00124614"/>
    <w:rsid w:val="001246BE"/>
    <w:rsid w:val="0012479C"/>
    <w:rsid w:val="001247C0"/>
    <w:rsid w:val="001249F1"/>
    <w:rsid w:val="00124A6C"/>
    <w:rsid w:val="00124E1B"/>
    <w:rsid w:val="00124E91"/>
    <w:rsid w:val="00124FB5"/>
    <w:rsid w:val="00125107"/>
    <w:rsid w:val="0012514E"/>
    <w:rsid w:val="001253DB"/>
    <w:rsid w:val="0012545B"/>
    <w:rsid w:val="0012547B"/>
    <w:rsid w:val="00125520"/>
    <w:rsid w:val="001255EB"/>
    <w:rsid w:val="0012567F"/>
    <w:rsid w:val="001256C0"/>
    <w:rsid w:val="00125769"/>
    <w:rsid w:val="001257CA"/>
    <w:rsid w:val="0012586B"/>
    <w:rsid w:val="00125A4D"/>
    <w:rsid w:val="00125B83"/>
    <w:rsid w:val="00125D92"/>
    <w:rsid w:val="00125D9A"/>
    <w:rsid w:val="00125F1B"/>
    <w:rsid w:val="001265C8"/>
    <w:rsid w:val="001266A0"/>
    <w:rsid w:val="00126734"/>
    <w:rsid w:val="00126A7D"/>
    <w:rsid w:val="00126C71"/>
    <w:rsid w:val="00126CC3"/>
    <w:rsid w:val="00126CD9"/>
    <w:rsid w:val="00126D46"/>
    <w:rsid w:val="00126D78"/>
    <w:rsid w:val="00126E8E"/>
    <w:rsid w:val="00127256"/>
    <w:rsid w:val="001273C8"/>
    <w:rsid w:val="001274F8"/>
    <w:rsid w:val="00127558"/>
    <w:rsid w:val="00127559"/>
    <w:rsid w:val="00127637"/>
    <w:rsid w:val="001276BF"/>
    <w:rsid w:val="00127887"/>
    <w:rsid w:val="001279AD"/>
    <w:rsid w:val="001279C6"/>
    <w:rsid w:val="00127B63"/>
    <w:rsid w:val="00127B91"/>
    <w:rsid w:val="00127D27"/>
    <w:rsid w:val="00127D8E"/>
    <w:rsid w:val="00127E23"/>
    <w:rsid w:val="001300F6"/>
    <w:rsid w:val="00130175"/>
    <w:rsid w:val="00130403"/>
    <w:rsid w:val="00130523"/>
    <w:rsid w:val="00130541"/>
    <w:rsid w:val="00130549"/>
    <w:rsid w:val="001305FC"/>
    <w:rsid w:val="001307C9"/>
    <w:rsid w:val="00130828"/>
    <w:rsid w:val="0013090F"/>
    <w:rsid w:val="00130BC1"/>
    <w:rsid w:val="00130C4A"/>
    <w:rsid w:val="00130D77"/>
    <w:rsid w:val="00130E70"/>
    <w:rsid w:val="00130F04"/>
    <w:rsid w:val="00130F38"/>
    <w:rsid w:val="00131023"/>
    <w:rsid w:val="0013104E"/>
    <w:rsid w:val="001311C6"/>
    <w:rsid w:val="00131265"/>
    <w:rsid w:val="0013127E"/>
    <w:rsid w:val="001312D1"/>
    <w:rsid w:val="00131315"/>
    <w:rsid w:val="001313C0"/>
    <w:rsid w:val="001314D2"/>
    <w:rsid w:val="0013155B"/>
    <w:rsid w:val="0013169A"/>
    <w:rsid w:val="001318A1"/>
    <w:rsid w:val="00131982"/>
    <w:rsid w:val="00131A6C"/>
    <w:rsid w:val="00131AFB"/>
    <w:rsid w:val="00131CF9"/>
    <w:rsid w:val="00131EBB"/>
    <w:rsid w:val="00131F7F"/>
    <w:rsid w:val="00132022"/>
    <w:rsid w:val="001320CC"/>
    <w:rsid w:val="0013224B"/>
    <w:rsid w:val="00132306"/>
    <w:rsid w:val="00132688"/>
    <w:rsid w:val="001326EC"/>
    <w:rsid w:val="00132780"/>
    <w:rsid w:val="0013285D"/>
    <w:rsid w:val="00132AE8"/>
    <w:rsid w:val="00132C2C"/>
    <w:rsid w:val="00132D51"/>
    <w:rsid w:val="00132E39"/>
    <w:rsid w:val="00132EB3"/>
    <w:rsid w:val="0013327A"/>
    <w:rsid w:val="001332F7"/>
    <w:rsid w:val="0013331E"/>
    <w:rsid w:val="0013334E"/>
    <w:rsid w:val="001333C2"/>
    <w:rsid w:val="0013342F"/>
    <w:rsid w:val="0013346E"/>
    <w:rsid w:val="00133555"/>
    <w:rsid w:val="0013364D"/>
    <w:rsid w:val="001338AE"/>
    <w:rsid w:val="001338FD"/>
    <w:rsid w:val="00133A16"/>
    <w:rsid w:val="00133ADB"/>
    <w:rsid w:val="00133C96"/>
    <w:rsid w:val="00133CF5"/>
    <w:rsid w:val="00133EB9"/>
    <w:rsid w:val="00133F68"/>
    <w:rsid w:val="00133F75"/>
    <w:rsid w:val="001341C1"/>
    <w:rsid w:val="001344AE"/>
    <w:rsid w:val="001345A6"/>
    <w:rsid w:val="00134730"/>
    <w:rsid w:val="00134BD3"/>
    <w:rsid w:val="00134BFC"/>
    <w:rsid w:val="00134BFE"/>
    <w:rsid w:val="00134D7A"/>
    <w:rsid w:val="00135110"/>
    <w:rsid w:val="001351EA"/>
    <w:rsid w:val="001353CB"/>
    <w:rsid w:val="001354F5"/>
    <w:rsid w:val="001354FD"/>
    <w:rsid w:val="001356BE"/>
    <w:rsid w:val="001358B3"/>
    <w:rsid w:val="001358BC"/>
    <w:rsid w:val="001358E1"/>
    <w:rsid w:val="00135B88"/>
    <w:rsid w:val="00135BDE"/>
    <w:rsid w:val="00135DAB"/>
    <w:rsid w:val="00135DF5"/>
    <w:rsid w:val="00135E22"/>
    <w:rsid w:val="00135EA4"/>
    <w:rsid w:val="00136104"/>
    <w:rsid w:val="001362B0"/>
    <w:rsid w:val="001363DC"/>
    <w:rsid w:val="00136430"/>
    <w:rsid w:val="001364C4"/>
    <w:rsid w:val="0013650F"/>
    <w:rsid w:val="00136535"/>
    <w:rsid w:val="001366C0"/>
    <w:rsid w:val="00136B3E"/>
    <w:rsid w:val="00136BB2"/>
    <w:rsid w:val="00136C75"/>
    <w:rsid w:val="00136C89"/>
    <w:rsid w:val="00136D35"/>
    <w:rsid w:val="00136EB1"/>
    <w:rsid w:val="00137143"/>
    <w:rsid w:val="0013719D"/>
    <w:rsid w:val="00137466"/>
    <w:rsid w:val="0013774A"/>
    <w:rsid w:val="0013776E"/>
    <w:rsid w:val="001378F1"/>
    <w:rsid w:val="00137A1F"/>
    <w:rsid w:val="00137A36"/>
    <w:rsid w:val="00137AC9"/>
    <w:rsid w:val="00137B90"/>
    <w:rsid w:val="00137BAA"/>
    <w:rsid w:val="00137BCF"/>
    <w:rsid w:val="00137EEE"/>
    <w:rsid w:val="00137F2A"/>
    <w:rsid w:val="00137F7A"/>
    <w:rsid w:val="00137FCA"/>
    <w:rsid w:val="0014003A"/>
    <w:rsid w:val="0014005C"/>
    <w:rsid w:val="00140137"/>
    <w:rsid w:val="0014019D"/>
    <w:rsid w:val="0014026F"/>
    <w:rsid w:val="00140324"/>
    <w:rsid w:val="001405B2"/>
    <w:rsid w:val="001406B7"/>
    <w:rsid w:val="001407EA"/>
    <w:rsid w:val="0014080B"/>
    <w:rsid w:val="00140877"/>
    <w:rsid w:val="00140D1C"/>
    <w:rsid w:val="00140F47"/>
    <w:rsid w:val="00140FF8"/>
    <w:rsid w:val="001411FD"/>
    <w:rsid w:val="00141227"/>
    <w:rsid w:val="001412B0"/>
    <w:rsid w:val="001412D1"/>
    <w:rsid w:val="0014131A"/>
    <w:rsid w:val="00141356"/>
    <w:rsid w:val="00141426"/>
    <w:rsid w:val="001414E4"/>
    <w:rsid w:val="00141656"/>
    <w:rsid w:val="0014174D"/>
    <w:rsid w:val="001417B9"/>
    <w:rsid w:val="001418AB"/>
    <w:rsid w:val="00141984"/>
    <w:rsid w:val="001419A7"/>
    <w:rsid w:val="00141A3C"/>
    <w:rsid w:val="00141BD1"/>
    <w:rsid w:val="00141C65"/>
    <w:rsid w:val="00141D23"/>
    <w:rsid w:val="00141D42"/>
    <w:rsid w:val="00141E24"/>
    <w:rsid w:val="00142037"/>
    <w:rsid w:val="001420FD"/>
    <w:rsid w:val="0014221B"/>
    <w:rsid w:val="00142230"/>
    <w:rsid w:val="0014228F"/>
    <w:rsid w:val="001422DE"/>
    <w:rsid w:val="00142358"/>
    <w:rsid w:val="00142383"/>
    <w:rsid w:val="001423F1"/>
    <w:rsid w:val="0014242F"/>
    <w:rsid w:val="00142508"/>
    <w:rsid w:val="001425C0"/>
    <w:rsid w:val="0014261C"/>
    <w:rsid w:val="0014284C"/>
    <w:rsid w:val="00142B66"/>
    <w:rsid w:val="00142C57"/>
    <w:rsid w:val="00142C98"/>
    <w:rsid w:val="00142D90"/>
    <w:rsid w:val="00142DD6"/>
    <w:rsid w:val="00142DE0"/>
    <w:rsid w:val="00143008"/>
    <w:rsid w:val="001432D3"/>
    <w:rsid w:val="001433F6"/>
    <w:rsid w:val="001434A8"/>
    <w:rsid w:val="001439D1"/>
    <w:rsid w:val="00143A01"/>
    <w:rsid w:val="00143B1D"/>
    <w:rsid w:val="00143DA9"/>
    <w:rsid w:val="001440CE"/>
    <w:rsid w:val="001441DF"/>
    <w:rsid w:val="001443B3"/>
    <w:rsid w:val="00144526"/>
    <w:rsid w:val="00144821"/>
    <w:rsid w:val="0014493C"/>
    <w:rsid w:val="0014499B"/>
    <w:rsid w:val="00144A0B"/>
    <w:rsid w:val="00144BC0"/>
    <w:rsid w:val="00144C20"/>
    <w:rsid w:val="00144CD7"/>
    <w:rsid w:val="00144CE4"/>
    <w:rsid w:val="00144DA4"/>
    <w:rsid w:val="00144E5E"/>
    <w:rsid w:val="00144EFE"/>
    <w:rsid w:val="00145026"/>
    <w:rsid w:val="00145216"/>
    <w:rsid w:val="001452E1"/>
    <w:rsid w:val="0014559F"/>
    <w:rsid w:val="00145691"/>
    <w:rsid w:val="001456A3"/>
    <w:rsid w:val="00145B36"/>
    <w:rsid w:val="00145C68"/>
    <w:rsid w:val="00145CF9"/>
    <w:rsid w:val="00145D33"/>
    <w:rsid w:val="00145D64"/>
    <w:rsid w:val="00145ED3"/>
    <w:rsid w:val="00146132"/>
    <w:rsid w:val="0014614B"/>
    <w:rsid w:val="001462E1"/>
    <w:rsid w:val="00146366"/>
    <w:rsid w:val="00146404"/>
    <w:rsid w:val="0014692A"/>
    <w:rsid w:val="001469B3"/>
    <w:rsid w:val="00146A35"/>
    <w:rsid w:val="00146B3C"/>
    <w:rsid w:val="00146C18"/>
    <w:rsid w:val="00146C55"/>
    <w:rsid w:val="00146CA6"/>
    <w:rsid w:val="00146DF5"/>
    <w:rsid w:val="00146F36"/>
    <w:rsid w:val="00147011"/>
    <w:rsid w:val="001470F6"/>
    <w:rsid w:val="00147128"/>
    <w:rsid w:val="0014715B"/>
    <w:rsid w:val="00147163"/>
    <w:rsid w:val="001471EF"/>
    <w:rsid w:val="0014720A"/>
    <w:rsid w:val="0014736A"/>
    <w:rsid w:val="00147664"/>
    <w:rsid w:val="0014772F"/>
    <w:rsid w:val="0014775C"/>
    <w:rsid w:val="001477F5"/>
    <w:rsid w:val="00147A42"/>
    <w:rsid w:val="00147A94"/>
    <w:rsid w:val="00147D98"/>
    <w:rsid w:val="00147E11"/>
    <w:rsid w:val="00147FEA"/>
    <w:rsid w:val="00150033"/>
    <w:rsid w:val="00150556"/>
    <w:rsid w:val="0015077C"/>
    <w:rsid w:val="001507D4"/>
    <w:rsid w:val="00150838"/>
    <w:rsid w:val="00150952"/>
    <w:rsid w:val="00150B54"/>
    <w:rsid w:val="00150FD1"/>
    <w:rsid w:val="00150FE0"/>
    <w:rsid w:val="00151077"/>
    <w:rsid w:val="001510F6"/>
    <w:rsid w:val="00151152"/>
    <w:rsid w:val="0015125F"/>
    <w:rsid w:val="001518B5"/>
    <w:rsid w:val="001519B7"/>
    <w:rsid w:val="00151BF3"/>
    <w:rsid w:val="00151DCB"/>
    <w:rsid w:val="00151E02"/>
    <w:rsid w:val="00151E73"/>
    <w:rsid w:val="00151EE8"/>
    <w:rsid w:val="00152049"/>
    <w:rsid w:val="001520C8"/>
    <w:rsid w:val="001523B7"/>
    <w:rsid w:val="0015259E"/>
    <w:rsid w:val="001525CF"/>
    <w:rsid w:val="001526B9"/>
    <w:rsid w:val="0015280F"/>
    <w:rsid w:val="00152842"/>
    <w:rsid w:val="00152932"/>
    <w:rsid w:val="00152967"/>
    <w:rsid w:val="00152B5D"/>
    <w:rsid w:val="00152BAF"/>
    <w:rsid w:val="00152C0D"/>
    <w:rsid w:val="00152E73"/>
    <w:rsid w:val="00152F31"/>
    <w:rsid w:val="00152F5E"/>
    <w:rsid w:val="0015311B"/>
    <w:rsid w:val="00153122"/>
    <w:rsid w:val="001531A6"/>
    <w:rsid w:val="0015348E"/>
    <w:rsid w:val="00153519"/>
    <w:rsid w:val="00153890"/>
    <w:rsid w:val="0015392C"/>
    <w:rsid w:val="00153BFD"/>
    <w:rsid w:val="00153D11"/>
    <w:rsid w:val="00153E2C"/>
    <w:rsid w:val="00153E65"/>
    <w:rsid w:val="00153FE6"/>
    <w:rsid w:val="00154048"/>
    <w:rsid w:val="001542DB"/>
    <w:rsid w:val="001542E9"/>
    <w:rsid w:val="00154389"/>
    <w:rsid w:val="001543B7"/>
    <w:rsid w:val="001545B5"/>
    <w:rsid w:val="001549DB"/>
    <w:rsid w:val="001549FB"/>
    <w:rsid w:val="00154A21"/>
    <w:rsid w:val="00154AA3"/>
    <w:rsid w:val="00154CD6"/>
    <w:rsid w:val="00154D2B"/>
    <w:rsid w:val="00154DAF"/>
    <w:rsid w:val="00154DC4"/>
    <w:rsid w:val="00154E00"/>
    <w:rsid w:val="00154E05"/>
    <w:rsid w:val="00154E9A"/>
    <w:rsid w:val="00154F0A"/>
    <w:rsid w:val="0015531A"/>
    <w:rsid w:val="001553D9"/>
    <w:rsid w:val="0015544F"/>
    <w:rsid w:val="00155531"/>
    <w:rsid w:val="0015554B"/>
    <w:rsid w:val="001556E3"/>
    <w:rsid w:val="001557DD"/>
    <w:rsid w:val="0015583B"/>
    <w:rsid w:val="0015587E"/>
    <w:rsid w:val="00155964"/>
    <w:rsid w:val="00155A08"/>
    <w:rsid w:val="00155A3C"/>
    <w:rsid w:val="00155A40"/>
    <w:rsid w:val="00155BDD"/>
    <w:rsid w:val="00155BE2"/>
    <w:rsid w:val="00155C6B"/>
    <w:rsid w:val="00155C92"/>
    <w:rsid w:val="00155D6D"/>
    <w:rsid w:val="00155EAD"/>
    <w:rsid w:val="00156107"/>
    <w:rsid w:val="00156118"/>
    <w:rsid w:val="00156146"/>
    <w:rsid w:val="00156298"/>
    <w:rsid w:val="00156870"/>
    <w:rsid w:val="0015692F"/>
    <w:rsid w:val="001569A4"/>
    <w:rsid w:val="001569FF"/>
    <w:rsid w:val="00156A7E"/>
    <w:rsid w:val="00156B84"/>
    <w:rsid w:val="00156C41"/>
    <w:rsid w:val="00156D27"/>
    <w:rsid w:val="00156D98"/>
    <w:rsid w:val="00156EED"/>
    <w:rsid w:val="00156F55"/>
    <w:rsid w:val="001572E2"/>
    <w:rsid w:val="001573F3"/>
    <w:rsid w:val="00157447"/>
    <w:rsid w:val="0015758D"/>
    <w:rsid w:val="00157777"/>
    <w:rsid w:val="0015791C"/>
    <w:rsid w:val="00157AE0"/>
    <w:rsid w:val="00157AF4"/>
    <w:rsid w:val="00157CF1"/>
    <w:rsid w:val="00157D6C"/>
    <w:rsid w:val="00157DD9"/>
    <w:rsid w:val="00157E39"/>
    <w:rsid w:val="00157E9B"/>
    <w:rsid w:val="00160023"/>
    <w:rsid w:val="0016009F"/>
    <w:rsid w:val="0016020A"/>
    <w:rsid w:val="001602B4"/>
    <w:rsid w:val="00160369"/>
    <w:rsid w:val="00160440"/>
    <w:rsid w:val="00160648"/>
    <w:rsid w:val="0016064C"/>
    <w:rsid w:val="0016070E"/>
    <w:rsid w:val="001608B9"/>
    <w:rsid w:val="001608EE"/>
    <w:rsid w:val="00160ACE"/>
    <w:rsid w:val="00160BC7"/>
    <w:rsid w:val="00160C29"/>
    <w:rsid w:val="00160C77"/>
    <w:rsid w:val="00160CCA"/>
    <w:rsid w:val="00160D41"/>
    <w:rsid w:val="00160E22"/>
    <w:rsid w:val="00161186"/>
    <w:rsid w:val="001612AE"/>
    <w:rsid w:val="00161499"/>
    <w:rsid w:val="001614C7"/>
    <w:rsid w:val="00161799"/>
    <w:rsid w:val="00161835"/>
    <w:rsid w:val="001618CD"/>
    <w:rsid w:val="00161B35"/>
    <w:rsid w:val="00161C68"/>
    <w:rsid w:val="00161D07"/>
    <w:rsid w:val="00161FBA"/>
    <w:rsid w:val="00161FF9"/>
    <w:rsid w:val="00162131"/>
    <w:rsid w:val="001621FB"/>
    <w:rsid w:val="001622BB"/>
    <w:rsid w:val="0016252B"/>
    <w:rsid w:val="001625AF"/>
    <w:rsid w:val="001625FA"/>
    <w:rsid w:val="00162671"/>
    <w:rsid w:val="001628B1"/>
    <w:rsid w:val="001629B8"/>
    <w:rsid w:val="00162B01"/>
    <w:rsid w:val="00162B8B"/>
    <w:rsid w:val="00162ED8"/>
    <w:rsid w:val="00162F41"/>
    <w:rsid w:val="00162FB5"/>
    <w:rsid w:val="00163103"/>
    <w:rsid w:val="00163138"/>
    <w:rsid w:val="001631F7"/>
    <w:rsid w:val="001632C4"/>
    <w:rsid w:val="001634F7"/>
    <w:rsid w:val="0016364C"/>
    <w:rsid w:val="001637F4"/>
    <w:rsid w:val="00163E57"/>
    <w:rsid w:val="00163F95"/>
    <w:rsid w:val="00164189"/>
    <w:rsid w:val="001641BE"/>
    <w:rsid w:val="0016421D"/>
    <w:rsid w:val="00164273"/>
    <w:rsid w:val="001642FA"/>
    <w:rsid w:val="00164381"/>
    <w:rsid w:val="00164442"/>
    <w:rsid w:val="00164598"/>
    <w:rsid w:val="00164682"/>
    <w:rsid w:val="00164A47"/>
    <w:rsid w:val="00164B42"/>
    <w:rsid w:val="00164B95"/>
    <w:rsid w:val="00164D00"/>
    <w:rsid w:val="00164F28"/>
    <w:rsid w:val="0016507B"/>
    <w:rsid w:val="0016513A"/>
    <w:rsid w:val="001651E7"/>
    <w:rsid w:val="00165239"/>
    <w:rsid w:val="00165260"/>
    <w:rsid w:val="0016535F"/>
    <w:rsid w:val="0016544C"/>
    <w:rsid w:val="00165503"/>
    <w:rsid w:val="0016555D"/>
    <w:rsid w:val="001656EC"/>
    <w:rsid w:val="00165B80"/>
    <w:rsid w:val="00165B94"/>
    <w:rsid w:val="00165C4D"/>
    <w:rsid w:val="00165DAF"/>
    <w:rsid w:val="00165FE0"/>
    <w:rsid w:val="001660A2"/>
    <w:rsid w:val="001661E7"/>
    <w:rsid w:val="00166235"/>
    <w:rsid w:val="0016626C"/>
    <w:rsid w:val="00166416"/>
    <w:rsid w:val="001664B7"/>
    <w:rsid w:val="001664CD"/>
    <w:rsid w:val="00166930"/>
    <w:rsid w:val="001669EA"/>
    <w:rsid w:val="00166BD6"/>
    <w:rsid w:val="00166BE4"/>
    <w:rsid w:val="00166EA1"/>
    <w:rsid w:val="0016703D"/>
    <w:rsid w:val="001676C2"/>
    <w:rsid w:val="00167703"/>
    <w:rsid w:val="0016780A"/>
    <w:rsid w:val="00167873"/>
    <w:rsid w:val="0016796D"/>
    <w:rsid w:val="001679A8"/>
    <w:rsid w:val="001679DF"/>
    <w:rsid w:val="00167BB0"/>
    <w:rsid w:val="00167C61"/>
    <w:rsid w:val="00167D3C"/>
    <w:rsid w:val="00167E77"/>
    <w:rsid w:val="00167F64"/>
    <w:rsid w:val="00167F87"/>
    <w:rsid w:val="00167FE7"/>
    <w:rsid w:val="00170001"/>
    <w:rsid w:val="00170096"/>
    <w:rsid w:val="0017028E"/>
    <w:rsid w:val="0017040E"/>
    <w:rsid w:val="001705A1"/>
    <w:rsid w:val="00170687"/>
    <w:rsid w:val="001707FA"/>
    <w:rsid w:val="00170815"/>
    <w:rsid w:val="001708F6"/>
    <w:rsid w:val="0017099E"/>
    <w:rsid w:val="00170A38"/>
    <w:rsid w:val="00170BCE"/>
    <w:rsid w:val="00170CA9"/>
    <w:rsid w:val="00170CAA"/>
    <w:rsid w:val="00170DB5"/>
    <w:rsid w:val="00170E04"/>
    <w:rsid w:val="001710CC"/>
    <w:rsid w:val="001711A7"/>
    <w:rsid w:val="001711B5"/>
    <w:rsid w:val="00171234"/>
    <w:rsid w:val="00171310"/>
    <w:rsid w:val="00171454"/>
    <w:rsid w:val="001714ED"/>
    <w:rsid w:val="00171502"/>
    <w:rsid w:val="0017157A"/>
    <w:rsid w:val="0017163F"/>
    <w:rsid w:val="00171899"/>
    <w:rsid w:val="001718B1"/>
    <w:rsid w:val="001718E9"/>
    <w:rsid w:val="00171A36"/>
    <w:rsid w:val="00171B00"/>
    <w:rsid w:val="00171CD3"/>
    <w:rsid w:val="00171D10"/>
    <w:rsid w:val="00171E1C"/>
    <w:rsid w:val="00171E3D"/>
    <w:rsid w:val="0017205E"/>
    <w:rsid w:val="001721D4"/>
    <w:rsid w:val="00172613"/>
    <w:rsid w:val="00172696"/>
    <w:rsid w:val="001727EA"/>
    <w:rsid w:val="00172818"/>
    <w:rsid w:val="00172AD6"/>
    <w:rsid w:val="00172BBA"/>
    <w:rsid w:val="00172D10"/>
    <w:rsid w:val="00172D80"/>
    <w:rsid w:val="00172E9B"/>
    <w:rsid w:val="00172EA7"/>
    <w:rsid w:val="00173124"/>
    <w:rsid w:val="001733CC"/>
    <w:rsid w:val="00173418"/>
    <w:rsid w:val="00173693"/>
    <w:rsid w:val="001737D3"/>
    <w:rsid w:val="00173803"/>
    <w:rsid w:val="00173885"/>
    <w:rsid w:val="0017397A"/>
    <w:rsid w:val="00173B27"/>
    <w:rsid w:val="00173C12"/>
    <w:rsid w:val="00173E4F"/>
    <w:rsid w:val="00173F2C"/>
    <w:rsid w:val="00173F66"/>
    <w:rsid w:val="00173FBA"/>
    <w:rsid w:val="0017404E"/>
    <w:rsid w:val="0017405E"/>
    <w:rsid w:val="001743CF"/>
    <w:rsid w:val="0017446F"/>
    <w:rsid w:val="00174470"/>
    <w:rsid w:val="001746E3"/>
    <w:rsid w:val="001749B9"/>
    <w:rsid w:val="00174B7A"/>
    <w:rsid w:val="00174C68"/>
    <w:rsid w:val="00174EED"/>
    <w:rsid w:val="00174F5C"/>
    <w:rsid w:val="0017503F"/>
    <w:rsid w:val="00175141"/>
    <w:rsid w:val="001751D9"/>
    <w:rsid w:val="00175279"/>
    <w:rsid w:val="00175407"/>
    <w:rsid w:val="00175517"/>
    <w:rsid w:val="0017561F"/>
    <w:rsid w:val="00175781"/>
    <w:rsid w:val="001757C0"/>
    <w:rsid w:val="00175895"/>
    <w:rsid w:val="00175928"/>
    <w:rsid w:val="00175985"/>
    <w:rsid w:val="00175AA4"/>
    <w:rsid w:val="00175AD1"/>
    <w:rsid w:val="00175B98"/>
    <w:rsid w:val="00175CEE"/>
    <w:rsid w:val="00175DC3"/>
    <w:rsid w:val="00175E30"/>
    <w:rsid w:val="00175E7D"/>
    <w:rsid w:val="00176032"/>
    <w:rsid w:val="00176151"/>
    <w:rsid w:val="00176510"/>
    <w:rsid w:val="00176659"/>
    <w:rsid w:val="00176917"/>
    <w:rsid w:val="0017695D"/>
    <w:rsid w:val="00176A05"/>
    <w:rsid w:val="00176A23"/>
    <w:rsid w:val="00176B90"/>
    <w:rsid w:val="00176E12"/>
    <w:rsid w:val="00176E95"/>
    <w:rsid w:val="0017702C"/>
    <w:rsid w:val="001771BE"/>
    <w:rsid w:val="00177389"/>
    <w:rsid w:val="0017751E"/>
    <w:rsid w:val="001776F7"/>
    <w:rsid w:val="001777CA"/>
    <w:rsid w:val="00177957"/>
    <w:rsid w:val="00177A4A"/>
    <w:rsid w:val="00177A4E"/>
    <w:rsid w:val="00177AEF"/>
    <w:rsid w:val="00177C2E"/>
    <w:rsid w:val="00177C78"/>
    <w:rsid w:val="00177C9D"/>
    <w:rsid w:val="00177D8C"/>
    <w:rsid w:val="00177E29"/>
    <w:rsid w:val="00177E32"/>
    <w:rsid w:val="00177FB7"/>
    <w:rsid w:val="00180101"/>
    <w:rsid w:val="001805A3"/>
    <w:rsid w:val="001809C7"/>
    <w:rsid w:val="00180A68"/>
    <w:rsid w:val="00180B48"/>
    <w:rsid w:val="00180B8A"/>
    <w:rsid w:val="00180C30"/>
    <w:rsid w:val="00180C62"/>
    <w:rsid w:val="00180CC4"/>
    <w:rsid w:val="00180D13"/>
    <w:rsid w:val="00180E7E"/>
    <w:rsid w:val="00180EC1"/>
    <w:rsid w:val="00181151"/>
    <w:rsid w:val="0018116B"/>
    <w:rsid w:val="0018130A"/>
    <w:rsid w:val="0018156A"/>
    <w:rsid w:val="0018161A"/>
    <w:rsid w:val="001816FE"/>
    <w:rsid w:val="0018189C"/>
    <w:rsid w:val="001818D6"/>
    <w:rsid w:val="0018192E"/>
    <w:rsid w:val="001819CE"/>
    <w:rsid w:val="001819F0"/>
    <w:rsid w:val="001819F8"/>
    <w:rsid w:val="00181AE3"/>
    <w:rsid w:val="00181B08"/>
    <w:rsid w:val="00181B1A"/>
    <w:rsid w:val="00181C0E"/>
    <w:rsid w:val="00181C57"/>
    <w:rsid w:val="00181CEF"/>
    <w:rsid w:val="00181F12"/>
    <w:rsid w:val="00181F4C"/>
    <w:rsid w:val="00181FE4"/>
    <w:rsid w:val="00182157"/>
    <w:rsid w:val="001821E5"/>
    <w:rsid w:val="00182284"/>
    <w:rsid w:val="001822CF"/>
    <w:rsid w:val="001823A5"/>
    <w:rsid w:val="00182486"/>
    <w:rsid w:val="001826CD"/>
    <w:rsid w:val="0018273F"/>
    <w:rsid w:val="00182948"/>
    <w:rsid w:val="00182AC2"/>
    <w:rsid w:val="00182B6E"/>
    <w:rsid w:val="00182DEA"/>
    <w:rsid w:val="00182DF5"/>
    <w:rsid w:val="00182E0D"/>
    <w:rsid w:val="00182E0E"/>
    <w:rsid w:val="001832EF"/>
    <w:rsid w:val="00183445"/>
    <w:rsid w:val="0018353D"/>
    <w:rsid w:val="001836C4"/>
    <w:rsid w:val="001837AA"/>
    <w:rsid w:val="00183839"/>
    <w:rsid w:val="00183872"/>
    <w:rsid w:val="00183AB5"/>
    <w:rsid w:val="00183B33"/>
    <w:rsid w:val="00183D62"/>
    <w:rsid w:val="00183E2A"/>
    <w:rsid w:val="00183F0C"/>
    <w:rsid w:val="00183FCD"/>
    <w:rsid w:val="00184167"/>
    <w:rsid w:val="0018435C"/>
    <w:rsid w:val="001848A7"/>
    <w:rsid w:val="001848D1"/>
    <w:rsid w:val="0018498F"/>
    <w:rsid w:val="00184A32"/>
    <w:rsid w:val="00184AD2"/>
    <w:rsid w:val="00184D17"/>
    <w:rsid w:val="00184E41"/>
    <w:rsid w:val="00185112"/>
    <w:rsid w:val="00185183"/>
    <w:rsid w:val="00185202"/>
    <w:rsid w:val="00185251"/>
    <w:rsid w:val="0018533E"/>
    <w:rsid w:val="0018537D"/>
    <w:rsid w:val="00185494"/>
    <w:rsid w:val="001855A0"/>
    <w:rsid w:val="0018572B"/>
    <w:rsid w:val="0018575F"/>
    <w:rsid w:val="00185796"/>
    <w:rsid w:val="00185799"/>
    <w:rsid w:val="00185966"/>
    <w:rsid w:val="001859C1"/>
    <w:rsid w:val="001859C6"/>
    <w:rsid w:val="00185E92"/>
    <w:rsid w:val="00185FA3"/>
    <w:rsid w:val="001860A4"/>
    <w:rsid w:val="00186132"/>
    <w:rsid w:val="00186463"/>
    <w:rsid w:val="00186512"/>
    <w:rsid w:val="001867D7"/>
    <w:rsid w:val="0018685F"/>
    <w:rsid w:val="001868C7"/>
    <w:rsid w:val="00186A20"/>
    <w:rsid w:val="00186C6A"/>
    <w:rsid w:val="00186D84"/>
    <w:rsid w:val="00186DD7"/>
    <w:rsid w:val="00186DEB"/>
    <w:rsid w:val="00186E5E"/>
    <w:rsid w:val="00186EE1"/>
    <w:rsid w:val="001870C0"/>
    <w:rsid w:val="001871E9"/>
    <w:rsid w:val="0018721A"/>
    <w:rsid w:val="00187270"/>
    <w:rsid w:val="001872EE"/>
    <w:rsid w:val="00187309"/>
    <w:rsid w:val="001874A7"/>
    <w:rsid w:val="0018751F"/>
    <w:rsid w:val="00187554"/>
    <w:rsid w:val="001875E6"/>
    <w:rsid w:val="0018763B"/>
    <w:rsid w:val="00187726"/>
    <w:rsid w:val="001877EF"/>
    <w:rsid w:val="0018792D"/>
    <w:rsid w:val="00187A0B"/>
    <w:rsid w:val="00187AEE"/>
    <w:rsid w:val="00187D89"/>
    <w:rsid w:val="00187FEC"/>
    <w:rsid w:val="00190298"/>
    <w:rsid w:val="0019029A"/>
    <w:rsid w:val="00190332"/>
    <w:rsid w:val="001903F4"/>
    <w:rsid w:val="00190457"/>
    <w:rsid w:val="001904C0"/>
    <w:rsid w:val="0019055A"/>
    <w:rsid w:val="0019097A"/>
    <w:rsid w:val="00190AB4"/>
    <w:rsid w:val="00190D4E"/>
    <w:rsid w:val="00190F99"/>
    <w:rsid w:val="00190FF5"/>
    <w:rsid w:val="00191016"/>
    <w:rsid w:val="00191091"/>
    <w:rsid w:val="001910CA"/>
    <w:rsid w:val="00191188"/>
    <w:rsid w:val="00191193"/>
    <w:rsid w:val="00191269"/>
    <w:rsid w:val="0019129F"/>
    <w:rsid w:val="001912CE"/>
    <w:rsid w:val="00191301"/>
    <w:rsid w:val="00191326"/>
    <w:rsid w:val="001913D9"/>
    <w:rsid w:val="00191418"/>
    <w:rsid w:val="0019149C"/>
    <w:rsid w:val="00191716"/>
    <w:rsid w:val="001917C8"/>
    <w:rsid w:val="00191851"/>
    <w:rsid w:val="00191D25"/>
    <w:rsid w:val="00191EBD"/>
    <w:rsid w:val="00192088"/>
    <w:rsid w:val="00192094"/>
    <w:rsid w:val="001920D7"/>
    <w:rsid w:val="00192114"/>
    <w:rsid w:val="00192329"/>
    <w:rsid w:val="0019241D"/>
    <w:rsid w:val="001924E6"/>
    <w:rsid w:val="00192748"/>
    <w:rsid w:val="001927E6"/>
    <w:rsid w:val="001928E0"/>
    <w:rsid w:val="0019294C"/>
    <w:rsid w:val="00192A32"/>
    <w:rsid w:val="00192CAB"/>
    <w:rsid w:val="00192DF3"/>
    <w:rsid w:val="00192EF4"/>
    <w:rsid w:val="00192F9A"/>
    <w:rsid w:val="001930E7"/>
    <w:rsid w:val="0019334D"/>
    <w:rsid w:val="001934FF"/>
    <w:rsid w:val="001937EA"/>
    <w:rsid w:val="001939C7"/>
    <w:rsid w:val="00193A02"/>
    <w:rsid w:val="00193C93"/>
    <w:rsid w:val="00193CA6"/>
    <w:rsid w:val="00193D8C"/>
    <w:rsid w:val="00193DE8"/>
    <w:rsid w:val="00193EE4"/>
    <w:rsid w:val="00194175"/>
    <w:rsid w:val="001942D4"/>
    <w:rsid w:val="00194554"/>
    <w:rsid w:val="001945BB"/>
    <w:rsid w:val="00194696"/>
    <w:rsid w:val="001946CE"/>
    <w:rsid w:val="0019498A"/>
    <w:rsid w:val="00194AA4"/>
    <w:rsid w:val="00194ACF"/>
    <w:rsid w:val="00194AFC"/>
    <w:rsid w:val="00194B1F"/>
    <w:rsid w:val="00194C90"/>
    <w:rsid w:val="00194CB5"/>
    <w:rsid w:val="00194E2D"/>
    <w:rsid w:val="00194E7E"/>
    <w:rsid w:val="00194E82"/>
    <w:rsid w:val="00195271"/>
    <w:rsid w:val="00195287"/>
    <w:rsid w:val="0019548E"/>
    <w:rsid w:val="00195501"/>
    <w:rsid w:val="00195562"/>
    <w:rsid w:val="00195592"/>
    <w:rsid w:val="0019591C"/>
    <w:rsid w:val="00195A1C"/>
    <w:rsid w:val="00195C2D"/>
    <w:rsid w:val="00195C63"/>
    <w:rsid w:val="00195E9C"/>
    <w:rsid w:val="00196059"/>
    <w:rsid w:val="00196087"/>
    <w:rsid w:val="00196173"/>
    <w:rsid w:val="00196285"/>
    <w:rsid w:val="0019629F"/>
    <w:rsid w:val="001962B9"/>
    <w:rsid w:val="001964E9"/>
    <w:rsid w:val="00196503"/>
    <w:rsid w:val="001965A3"/>
    <w:rsid w:val="001965B2"/>
    <w:rsid w:val="001966F3"/>
    <w:rsid w:val="001967B8"/>
    <w:rsid w:val="001967FA"/>
    <w:rsid w:val="0019682A"/>
    <w:rsid w:val="001969E9"/>
    <w:rsid w:val="00196A94"/>
    <w:rsid w:val="0019711E"/>
    <w:rsid w:val="0019739B"/>
    <w:rsid w:val="001976E1"/>
    <w:rsid w:val="00197913"/>
    <w:rsid w:val="00197997"/>
    <w:rsid w:val="001979F5"/>
    <w:rsid w:val="00197A50"/>
    <w:rsid w:val="00197C14"/>
    <w:rsid w:val="00197C3D"/>
    <w:rsid w:val="00197D7E"/>
    <w:rsid w:val="00197F1A"/>
    <w:rsid w:val="00197F71"/>
    <w:rsid w:val="001A0077"/>
    <w:rsid w:val="001A01E8"/>
    <w:rsid w:val="001A020E"/>
    <w:rsid w:val="001A02E8"/>
    <w:rsid w:val="001A0372"/>
    <w:rsid w:val="001A0503"/>
    <w:rsid w:val="001A058F"/>
    <w:rsid w:val="001A05AB"/>
    <w:rsid w:val="001A0637"/>
    <w:rsid w:val="001A0717"/>
    <w:rsid w:val="001A08C5"/>
    <w:rsid w:val="001A092B"/>
    <w:rsid w:val="001A096C"/>
    <w:rsid w:val="001A098D"/>
    <w:rsid w:val="001A0A47"/>
    <w:rsid w:val="001A0B9A"/>
    <w:rsid w:val="001A0DF2"/>
    <w:rsid w:val="001A0DFC"/>
    <w:rsid w:val="001A0E10"/>
    <w:rsid w:val="001A0F55"/>
    <w:rsid w:val="001A0F66"/>
    <w:rsid w:val="001A0F99"/>
    <w:rsid w:val="001A105A"/>
    <w:rsid w:val="001A11E6"/>
    <w:rsid w:val="001A121B"/>
    <w:rsid w:val="001A12DA"/>
    <w:rsid w:val="001A12EE"/>
    <w:rsid w:val="001A1328"/>
    <w:rsid w:val="001A1483"/>
    <w:rsid w:val="001A14C1"/>
    <w:rsid w:val="001A1547"/>
    <w:rsid w:val="001A155A"/>
    <w:rsid w:val="001A158B"/>
    <w:rsid w:val="001A1662"/>
    <w:rsid w:val="001A1790"/>
    <w:rsid w:val="001A1A32"/>
    <w:rsid w:val="001A1A6D"/>
    <w:rsid w:val="001A1C15"/>
    <w:rsid w:val="001A1CCF"/>
    <w:rsid w:val="001A1F2C"/>
    <w:rsid w:val="001A209D"/>
    <w:rsid w:val="001A20E0"/>
    <w:rsid w:val="001A215C"/>
    <w:rsid w:val="001A218A"/>
    <w:rsid w:val="001A2195"/>
    <w:rsid w:val="001A21F5"/>
    <w:rsid w:val="001A226D"/>
    <w:rsid w:val="001A22E0"/>
    <w:rsid w:val="001A230D"/>
    <w:rsid w:val="001A2509"/>
    <w:rsid w:val="001A2596"/>
    <w:rsid w:val="001A25A1"/>
    <w:rsid w:val="001A25A8"/>
    <w:rsid w:val="001A2674"/>
    <w:rsid w:val="001A2803"/>
    <w:rsid w:val="001A2825"/>
    <w:rsid w:val="001A2853"/>
    <w:rsid w:val="001A2982"/>
    <w:rsid w:val="001A2A66"/>
    <w:rsid w:val="001A2DE8"/>
    <w:rsid w:val="001A2EA4"/>
    <w:rsid w:val="001A2FC7"/>
    <w:rsid w:val="001A31BB"/>
    <w:rsid w:val="001A32B1"/>
    <w:rsid w:val="001A332F"/>
    <w:rsid w:val="001A3342"/>
    <w:rsid w:val="001A362F"/>
    <w:rsid w:val="001A368E"/>
    <w:rsid w:val="001A369C"/>
    <w:rsid w:val="001A372F"/>
    <w:rsid w:val="001A37C8"/>
    <w:rsid w:val="001A3866"/>
    <w:rsid w:val="001A3A62"/>
    <w:rsid w:val="001A3B72"/>
    <w:rsid w:val="001A3F76"/>
    <w:rsid w:val="001A3FBE"/>
    <w:rsid w:val="001A4019"/>
    <w:rsid w:val="001A4109"/>
    <w:rsid w:val="001A4151"/>
    <w:rsid w:val="001A434E"/>
    <w:rsid w:val="001A43BA"/>
    <w:rsid w:val="001A43CF"/>
    <w:rsid w:val="001A461E"/>
    <w:rsid w:val="001A495A"/>
    <w:rsid w:val="001A4972"/>
    <w:rsid w:val="001A4A56"/>
    <w:rsid w:val="001A4AFF"/>
    <w:rsid w:val="001A4C12"/>
    <w:rsid w:val="001A4C83"/>
    <w:rsid w:val="001A4CD5"/>
    <w:rsid w:val="001A4CF7"/>
    <w:rsid w:val="001A4D40"/>
    <w:rsid w:val="001A4D71"/>
    <w:rsid w:val="001A4FCE"/>
    <w:rsid w:val="001A501A"/>
    <w:rsid w:val="001A51F2"/>
    <w:rsid w:val="001A5318"/>
    <w:rsid w:val="001A56D9"/>
    <w:rsid w:val="001A588E"/>
    <w:rsid w:val="001A5C5B"/>
    <w:rsid w:val="001A5D2C"/>
    <w:rsid w:val="001A5D89"/>
    <w:rsid w:val="001A5E01"/>
    <w:rsid w:val="001A5E5E"/>
    <w:rsid w:val="001A5F00"/>
    <w:rsid w:val="001A5FDF"/>
    <w:rsid w:val="001A5FF4"/>
    <w:rsid w:val="001A60E6"/>
    <w:rsid w:val="001A60FF"/>
    <w:rsid w:val="001A65CF"/>
    <w:rsid w:val="001A6727"/>
    <w:rsid w:val="001A6BA5"/>
    <w:rsid w:val="001A6CD0"/>
    <w:rsid w:val="001A6EE7"/>
    <w:rsid w:val="001A6FC0"/>
    <w:rsid w:val="001A71A6"/>
    <w:rsid w:val="001A71AD"/>
    <w:rsid w:val="001A73D1"/>
    <w:rsid w:val="001A7531"/>
    <w:rsid w:val="001A7577"/>
    <w:rsid w:val="001A7596"/>
    <w:rsid w:val="001A7871"/>
    <w:rsid w:val="001A79EF"/>
    <w:rsid w:val="001A7AD1"/>
    <w:rsid w:val="001A7B1D"/>
    <w:rsid w:val="001A7DA3"/>
    <w:rsid w:val="001B012C"/>
    <w:rsid w:val="001B0388"/>
    <w:rsid w:val="001B03CB"/>
    <w:rsid w:val="001B041B"/>
    <w:rsid w:val="001B04AD"/>
    <w:rsid w:val="001B087A"/>
    <w:rsid w:val="001B0943"/>
    <w:rsid w:val="001B098A"/>
    <w:rsid w:val="001B0AB9"/>
    <w:rsid w:val="001B0AD7"/>
    <w:rsid w:val="001B0B08"/>
    <w:rsid w:val="001B0C30"/>
    <w:rsid w:val="001B0C48"/>
    <w:rsid w:val="001B0C72"/>
    <w:rsid w:val="001B0C73"/>
    <w:rsid w:val="001B0C8D"/>
    <w:rsid w:val="001B0E35"/>
    <w:rsid w:val="001B0E98"/>
    <w:rsid w:val="001B1049"/>
    <w:rsid w:val="001B1190"/>
    <w:rsid w:val="001B11D8"/>
    <w:rsid w:val="001B124F"/>
    <w:rsid w:val="001B136D"/>
    <w:rsid w:val="001B13C1"/>
    <w:rsid w:val="001B1476"/>
    <w:rsid w:val="001B15DD"/>
    <w:rsid w:val="001B169E"/>
    <w:rsid w:val="001B16E6"/>
    <w:rsid w:val="001B1841"/>
    <w:rsid w:val="001B195B"/>
    <w:rsid w:val="001B1BF5"/>
    <w:rsid w:val="001B1F43"/>
    <w:rsid w:val="001B1FE7"/>
    <w:rsid w:val="001B21AA"/>
    <w:rsid w:val="001B231D"/>
    <w:rsid w:val="001B238B"/>
    <w:rsid w:val="001B243F"/>
    <w:rsid w:val="001B2476"/>
    <w:rsid w:val="001B2567"/>
    <w:rsid w:val="001B259F"/>
    <w:rsid w:val="001B2676"/>
    <w:rsid w:val="001B2843"/>
    <w:rsid w:val="001B2856"/>
    <w:rsid w:val="001B296C"/>
    <w:rsid w:val="001B29DB"/>
    <w:rsid w:val="001B2B17"/>
    <w:rsid w:val="001B2D69"/>
    <w:rsid w:val="001B2E0E"/>
    <w:rsid w:val="001B2F64"/>
    <w:rsid w:val="001B31CE"/>
    <w:rsid w:val="001B3214"/>
    <w:rsid w:val="001B32F6"/>
    <w:rsid w:val="001B33FA"/>
    <w:rsid w:val="001B3476"/>
    <w:rsid w:val="001B347A"/>
    <w:rsid w:val="001B34BB"/>
    <w:rsid w:val="001B371C"/>
    <w:rsid w:val="001B3722"/>
    <w:rsid w:val="001B3837"/>
    <w:rsid w:val="001B39F8"/>
    <w:rsid w:val="001B3BB6"/>
    <w:rsid w:val="001B3BD6"/>
    <w:rsid w:val="001B3C07"/>
    <w:rsid w:val="001B3DA9"/>
    <w:rsid w:val="001B3E12"/>
    <w:rsid w:val="001B3F77"/>
    <w:rsid w:val="001B3FBA"/>
    <w:rsid w:val="001B41BF"/>
    <w:rsid w:val="001B449B"/>
    <w:rsid w:val="001B4583"/>
    <w:rsid w:val="001B468A"/>
    <w:rsid w:val="001B476C"/>
    <w:rsid w:val="001B47C3"/>
    <w:rsid w:val="001B484B"/>
    <w:rsid w:val="001B49A6"/>
    <w:rsid w:val="001B4B66"/>
    <w:rsid w:val="001B4BAD"/>
    <w:rsid w:val="001B4BE1"/>
    <w:rsid w:val="001B4E6A"/>
    <w:rsid w:val="001B4ED4"/>
    <w:rsid w:val="001B4F50"/>
    <w:rsid w:val="001B4F58"/>
    <w:rsid w:val="001B4FAA"/>
    <w:rsid w:val="001B51DF"/>
    <w:rsid w:val="001B528B"/>
    <w:rsid w:val="001B52AD"/>
    <w:rsid w:val="001B53AB"/>
    <w:rsid w:val="001B544E"/>
    <w:rsid w:val="001B547C"/>
    <w:rsid w:val="001B56E3"/>
    <w:rsid w:val="001B584E"/>
    <w:rsid w:val="001B58BC"/>
    <w:rsid w:val="001B5B50"/>
    <w:rsid w:val="001B5DEE"/>
    <w:rsid w:val="001B5F6A"/>
    <w:rsid w:val="001B5F76"/>
    <w:rsid w:val="001B5F8A"/>
    <w:rsid w:val="001B5F9E"/>
    <w:rsid w:val="001B60B1"/>
    <w:rsid w:val="001B60BD"/>
    <w:rsid w:val="001B614D"/>
    <w:rsid w:val="001B61CD"/>
    <w:rsid w:val="001B628F"/>
    <w:rsid w:val="001B6654"/>
    <w:rsid w:val="001B66ED"/>
    <w:rsid w:val="001B67B5"/>
    <w:rsid w:val="001B692D"/>
    <w:rsid w:val="001B6936"/>
    <w:rsid w:val="001B6B21"/>
    <w:rsid w:val="001B6BFB"/>
    <w:rsid w:val="001B6CC2"/>
    <w:rsid w:val="001B6D12"/>
    <w:rsid w:val="001B6DDC"/>
    <w:rsid w:val="001B6F96"/>
    <w:rsid w:val="001B6FE4"/>
    <w:rsid w:val="001B702B"/>
    <w:rsid w:val="001B7057"/>
    <w:rsid w:val="001B72F8"/>
    <w:rsid w:val="001B74EB"/>
    <w:rsid w:val="001B750F"/>
    <w:rsid w:val="001B7902"/>
    <w:rsid w:val="001B7960"/>
    <w:rsid w:val="001B799C"/>
    <w:rsid w:val="001B7ADE"/>
    <w:rsid w:val="001B7B4D"/>
    <w:rsid w:val="001B7B8D"/>
    <w:rsid w:val="001B7C9B"/>
    <w:rsid w:val="001B7D96"/>
    <w:rsid w:val="001B7E0E"/>
    <w:rsid w:val="001B7EA1"/>
    <w:rsid w:val="001B7F7B"/>
    <w:rsid w:val="001C009B"/>
    <w:rsid w:val="001C037A"/>
    <w:rsid w:val="001C04F5"/>
    <w:rsid w:val="001C05B0"/>
    <w:rsid w:val="001C0658"/>
    <w:rsid w:val="001C0682"/>
    <w:rsid w:val="001C0819"/>
    <w:rsid w:val="001C087E"/>
    <w:rsid w:val="001C08ED"/>
    <w:rsid w:val="001C0941"/>
    <w:rsid w:val="001C0B4A"/>
    <w:rsid w:val="001C0BAE"/>
    <w:rsid w:val="001C0C49"/>
    <w:rsid w:val="001C0D7B"/>
    <w:rsid w:val="001C0F56"/>
    <w:rsid w:val="001C0FC6"/>
    <w:rsid w:val="001C101F"/>
    <w:rsid w:val="001C1091"/>
    <w:rsid w:val="001C11B2"/>
    <w:rsid w:val="001C11BD"/>
    <w:rsid w:val="001C1241"/>
    <w:rsid w:val="001C14DE"/>
    <w:rsid w:val="001C15B2"/>
    <w:rsid w:val="001C163E"/>
    <w:rsid w:val="001C1740"/>
    <w:rsid w:val="001C1783"/>
    <w:rsid w:val="001C185D"/>
    <w:rsid w:val="001C1947"/>
    <w:rsid w:val="001C1996"/>
    <w:rsid w:val="001C1AFD"/>
    <w:rsid w:val="001C1B36"/>
    <w:rsid w:val="001C1BB0"/>
    <w:rsid w:val="001C1C67"/>
    <w:rsid w:val="001C1E7C"/>
    <w:rsid w:val="001C207A"/>
    <w:rsid w:val="001C2225"/>
    <w:rsid w:val="001C2314"/>
    <w:rsid w:val="001C2339"/>
    <w:rsid w:val="001C235E"/>
    <w:rsid w:val="001C23E8"/>
    <w:rsid w:val="001C25E2"/>
    <w:rsid w:val="001C274A"/>
    <w:rsid w:val="001C2ACA"/>
    <w:rsid w:val="001C2C71"/>
    <w:rsid w:val="001C2E83"/>
    <w:rsid w:val="001C2F3E"/>
    <w:rsid w:val="001C323F"/>
    <w:rsid w:val="001C3616"/>
    <w:rsid w:val="001C361A"/>
    <w:rsid w:val="001C3701"/>
    <w:rsid w:val="001C38B6"/>
    <w:rsid w:val="001C39C6"/>
    <w:rsid w:val="001C39CF"/>
    <w:rsid w:val="001C3AD1"/>
    <w:rsid w:val="001C3B00"/>
    <w:rsid w:val="001C3B16"/>
    <w:rsid w:val="001C3BBA"/>
    <w:rsid w:val="001C3C9B"/>
    <w:rsid w:val="001C3D43"/>
    <w:rsid w:val="001C3D96"/>
    <w:rsid w:val="001C3F70"/>
    <w:rsid w:val="001C4A87"/>
    <w:rsid w:val="001C4AD7"/>
    <w:rsid w:val="001C4BAC"/>
    <w:rsid w:val="001C4C32"/>
    <w:rsid w:val="001C4C44"/>
    <w:rsid w:val="001C4E34"/>
    <w:rsid w:val="001C50C6"/>
    <w:rsid w:val="001C55B7"/>
    <w:rsid w:val="001C55BD"/>
    <w:rsid w:val="001C55C0"/>
    <w:rsid w:val="001C55D1"/>
    <w:rsid w:val="001C55F0"/>
    <w:rsid w:val="001C57D5"/>
    <w:rsid w:val="001C58AE"/>
    <w:rsid w:val="001C5B5F"/>
    <w:rsid w:val="001C5B90"/>
    <w:rsid w:val="001C5BAA"/>
    <w:rsid w:val="001C5C6C"/>
    <w:rsid w:val="001C5D80"/>
    <w:rsid w:val="001C5D97"/>
    <w:rsid w:val="001C5FE0"/>
    <w:rsid w:val="001C6077"/>
    <w:rsid w:val="001C6084"/>
    <w:rsid w:val="001C6181"/>
    <w:rsid w:val="001C61BC"/>
    <w:rsid w:val="001C649A"/>
    <w:rsid w:val="001C64FF"/>
    <w:rsid w:val="001C66E8"/>
    <w:rsid w:val="001C6805"/>
    <w:rsid w:val="001C684F"/>
    <w:rsid w:val="001C68CB"/>
    <w:rsid w:val="001C692A"/>
    <w:rsid w:val="001C6CDB"/>
    <w:rsid w:val="001C6E82"/>
    <w:rsid w:val="001C6EA5"/>
    <w:rsid w:val="001C6F37"/>
    <w:rsid w:val="001C6FA1"/>
    <w:rsid w:val="001C7044"/>
    <w:rsid w:val="001C7088"/>
    <w:rsid w:val="001C716D"/>
    <w:rsid w:val="001C7198"/>
    <w:rsid w:val="001C762C"/>
    <w:rsid w:val="001C7778"/>
    <w:rsid w:val="001C77DF"/>
    <w:rsid w:val="001C799A"/>
    <w:rsid w:val="001C79DD"/>
    <w:rsid w:val="001C7BC0"/>
    <w:rsid w:val="001C7C66"/>
    <w:rsid w:val="001C7C91"/>
    <w:rsid w:val="001C7CDB"/>
    <w:rsid w:val="001C7DF1"/>
    <w:rsid w:val="001C7F79"/>
    <w:rsid w:val="001C7F7D"/>
    <w:rsid w:val="001C7F9C"/>
    <w:rsid w:val="001C7FE2"/>
    <w:rsid w:val="001D00DA"/>
    <w:rsid w:val="001D0103"/>
    <w:rsid w:val="001D0182"/>
    <w:rsid w:val="001D019E"/>
    <w:rsid w:val="001D01BD"/>
    <w:rsid w:val="001D03D5"/>
    <w:rsid w:val="001D048F"/>
    <w:rsid w:val="001D05B0"/>
    <w:rsid w:val="001D05E8"/>
    <w:rsid w:val="001D05EB"/>
    <w:rsid w:val="001D0894"/>
    <w:rsid w:val="001D0A70"/>
    <w:rsid w:val="001D0AC2"/>
    <w:rsid w:val="001D0AD0"/>
    <w:rsid w:val="001D0B35"/>
    <w:rsid w:val="001D0B62"/>
    <w:rsid w:val="001D0CCC"/>
    <w:rsid w:val="001D0D54"/>
    <w:rsid w:val="001D0F48"/>
    <w:rsid w:val="001D1012"/>
    <w:rsid w:val="001D1075"/>
    <w:rsid w:val="001D10FE"/>
    <w:rsid w:val="001D1394"/>
    <w:rsid w:val="001D14FE"/>
    <w:rsid w:val="001D15F1"/>
    <w:rsid w:val="001D183E"/>
    <w:rsid w:val="001D19B4"/>
    <w:rsid w:val="001D1A69"/>
    <w:rsid w:val="001D1B3F"/>
    <w:rsid w:val="001D1D56"/>
    <w:rsid w:val="001D1F3C"/>
    <w:rsid w:val="001D20B5"/>
    <w:rsid w:val="001D2214"/>
    <w:rsid w:val="001D23EE"/>
    <w:rsid w:val="001D2482"/>
    <w:rsid w:val="001D2548"/>
    <w:rsid w:val="001D2557"/>
    <w:rsid w:val="001D26F1"/>
    <w:rsid w:val="001D26F2"/>
    <w:rsid w:val="001D273C"/>
    <w:rsid w:val="001D28B5"/>
    <w:rsid w:val="001D29F9"/>
    <w:rsid w:val="001D2A68"/>
    <w:rsid w:val="001D2B02"/>
    <w:rsid w:val="001D2B5B"/>
    <w:rsid w:val="001D2D41"/>
    <w:rsid w:val="001D2E68"/>
    <w:rsid w:val="001D2E97"/>
    <w:rsid w:val="001D2ED8"/>
    <w:rsid w:val="001D3087"/>
    <w:rsid w:val="001D30F1"/>
    <w:rsid w:val="001D342A"/>
    <w:rsid w:val="001D3A6C"/>
    <w:rsid w:val="001D3B8F"/>
    <w:rsid w:val="001D3BBD"/>
    <w:rsid w:val="001D3F66"/>
    <w:rsid w:val="001D4009"/>
    <w:rsid w:val="001D41FE"/>
    <w:rsid w:val="001D4468"/>
    <w:rsid w:val="001D4482"/>
    <w:rsid w:val="001D4715"/>
    <w:rsid w:val="001D4793"/>
    <w:rsid w:val="001D48B2"/>
    <w:rsid w:val="001D48B4"/>
    <w:rsid w:val="001D48E4"/>
    <w:rsid w:val="001D49E3"/>
    <w:rsid w:val="001D4AB4"/>
    <w:rsid w:val="001D4B2F"/>
    <w:rsid w:val="001D4B72"/>
    <w:rsid w:val="001D4BCD"/>
    <w:rsid w:val="001D4C2B"/>
    <w:rsid w:val="001D4CD2"/>
    <w:rsid w:val="001D4D34"/>
    <w:rsid w:val="001D4E38"/>
    <w:rsid w:val="001D507E"/>
    <w:rsid w:val="001D514C"/>
    <w:rsid w:val="001D5389"/>
    <w:rsid w:val="001D5456"/>
    <w:rsid w:val="001D54D9"/>
    <w:rsid w:val="001D54E3"/>
    <w:rsid w:val="001D5506"/>
    <w:rsid w:val="001D550F"/>
    <w:rsid w:val="001D56E2"/>
    <w:rsid w:val="001D5751"/>
    <w:rsid w:val="001D5818"/>
    <w:rsid w:val="001D58D6"/>
    <w:rsid w:val="001D58E5"/>
    <w:rsid w:val="001D59FE"/>
    <w:rsid w:val="001D5AA5"/>
    <w:rsid w:val="001D5B6F"/>
    <w:rsid w:val="001D5B93"/>
    <w:rsid w:val="001D5BD8"/>
    <w:rsid w:val="001D5C1A"/>
    <w:rsid w:val="001D5C8A"/>
    <w:rsid w:val="001D5F40"/>
    <w:rsid w:val="001D6049"/>
    <w:rsid w:val="001D6182"/>
    <w:rsid w:val="001D61D2"/>
    <w:rsid w:val="001D635C"/>
    <w:rsid w:val="001D66C6"/>
    <w:rsid w:val="001D66E7"/>
    <w:rsid w:val="001D671C"/>
    <w:rsid w:val="001D67F3"/>
    <w:rsid w:val="001D688F"/>
    <w:rsid w:val="001D6AC8"/>
    <w:rsid w:val="001D6BF6"/>
    <w:rsid w:val="001D6C12"/>
    <w:rsid w:val="001D6C3A"/>
    <w:rsid w:val="001D6C81"/>
    <w:rsid w:val="001D6DD0"/>
    <w:rsid w:val="001D70E1"/>
    <w:rsid w:val="001D7270"/>
    <w:rsid w:val="001D72CC"/>
    <w:rsid w:val="001D732A"/>
    <w:rsid w:val="001D74D0"/>
    <w:rsid w:val="001D74F2"/>
    <w:rsid w:val="001D761E"/>
    <w:rsid w:val="001D773B"/>
    <w:rsid w:val="001D77B1"/>
    <w:rsid w:val="001D785E"/>
    <w:rsid w:val="001D7A22"/>
    <w:rsid w:val="001D7A4E"/>
    <w:rsid w:val="001D7AFC"/>
    <w:rsid w:val="001D7CAE"/>
    <w:rsid w:val="001D7ECD"/>
    <w:rsid w:val="001E029C"/>
    <w:rsid w:val="001E04DB"/>
    <w:rsid w:val="001E053C"/>
    <w:rsid w:val="001E05D7"/>
    <w:rsid w:val="001E06AE"/>
    <w:rsid w:val="001E0721"/>
    <w:rsid w:val="001E0730"/>
    <w:rsid w:val="001E0863"/>
    <w:rsid w:val="001E08E5"/>
    <w:rsid w:val="001E0D17"/>
    <w:rsid w:val="001E11A2"/>
    <w:rsid w:val="001E1405"/>
    <w:rsid w:val="001E15F4"/>
    <w:rsid w:val="001E1791"/>
    <w:rsid w:val="001E17EC"/>
    <w:rsid w:val="001E1899"/>
    <w:rsid w:val="001E18AB"/>
    <w:rsid w:val="001E18C3"/>
    <w:rsid w:val="001E1992"/>
    <w:rsid w:val="001E1CC3"/>
    <w:rsid w:val="001E1DD2"/>
    <w:rsid w:val="001E1DE2"/>
    <w:rsid w:val="001E1FDE"/>
    <w:rsid w:val="001E20B0"/>
    <w:rsid w:val="001E243A"/>
    <w:rsid w:val="001E24B4"/>
    <w:rsid w:val="001E24F4"/>
    <w:rsid w:val="001E254F"/>
    <w:rsid w:val="001E25C2"/>
    <w:rsid w:val="001E2963"/>
    <w:rsid w:val="001E2B97"/>
    <w:rsid w:val="001E2DDB"/>
    <w:rsid w:val="001E2DF3"/>
    <w:rsid w:val="001E2ED4"/>
    <w:rsid w:val="001E2F6F"/>
    <w:rsid w:val="001E2F93"/>
    <w:rsid w:val="001E2FF3"/>
    <w:rsid w:val="001E3052"/>
    <w:rsid w:val="001E3078"/>
    <w:rsid w:val="001E3169"/>
    <w:rsid w:val="001E32CD"/>
    <w:rsid w:val="001E346D"/>
    <w:rsid w:val="001E3473"/>
    <w:rsid w:val="001E3572"/>
    <w:rsid w:val="001E35D0"/>
    <w:rsid w:val="001E362A"/>
    <w:rsid w:val="001E36B2"/>
    <w:rsid w:val="001E36EA"/>
    <w:rsid w:val="001E3996"/>
    <w:rsid w:val="001E3B40"/>
    <w:rsid w:val="001E3BEE"/>
    <w:rsid w:val="001E3C57"/>
    <w:rsid w:val="001E3D54"/>
    <w:rsid w:val="001E3DB7"/>
    <w:rsid w:val="001E3E77"/>
    <w:rsid w:val="001E3EE0"/>
    <w:rsid w:val="001E416E"/>
    <w:rsid w:val="001E41CD"/>
    <w:rsid w:val="001E4340"/>
    <w:rsid w:val="001E44FA"/>
    <w:rsid w:val="001E4584"/>
    <w:rsid w:val="001E47FC"/>
    <w:rsid w:val="001E481D"/>
    <w:rsid w:val="001E4984"/>
    <w:rsid w:val="001E49A1"/>
    <w:rsid w:val="001E49C0"/>
    <w:rsid w:val="001E49DF"/>
    <w:rsid w:val="001E4A82"/>
    <w:rsid w:val="001E4A86"/>
    <w:rsid w:val="001E4B4F"/>
    <w:rsid w:val="001E4D76"/>
    <w:rsid w:val="001E4D96"/>
    <w:rsid w:val="001E4FE0"/>
    <w:rsid w:val="001E4FF0"/>
    <w:rsid w:val="001E50C5"/>
    <w:rsid w:val="001E53EE"/>
    <w:rsid w:val="001E5452"/>
    <w:rsid w:val="001E567E"/>
    <w:rsid w:val="001E568E"/>
    <w:rsid w:val="001E5B6B"/>
    <w:rsid w:val="001E5BD1"/>
    <w:rsid w:val="001E5C32"/>
    <w:rsid w:val="001E5F5A"/>
    <w:rsid w:val="001E6090"/>
    <w:rsid w:val="001E6165"/>
    <w:rsid w:val="001E6612"/>
    <w:rsid w:val="001E662D"/>
    <w:rsid w:val="001E685D"/>
    <w:rsid w:val="001E6876"/>
    <w:rsid w:val="001E699D"/>
    <w:rsid w:val="001E6A1F"/>
    <w:rsid w:val="001E6C33"/>
    <w:rsid w:val="001E7085"/>
    <w:rsid w:val="001E72C5"/>
    <w:rsid w:val="001E7477"/>
    <w:rsid w:val="001E773F"/>
    <w:rsid w:val="001E7774"/>
    <w:rsid w:val="001E77DE"/>
    <w:rsid w:val="001E780B"/>
    <w:rsid w:val="001E780E"/>
    <w:rsid w:val="001E7998"/>
    <w:rsid w:val="001E7B02"/>
    <w:rsid w:val="001E7CD3"/>
    <w:rsid w:val="001E7D38"/>
    <w:rsid w:val="001E7FB5"/>
    <w:rsid w:val="001E7FC9"/>
    <w:rsid w:val="001F0154"/>
    <w:rsid w:val="001F0360"/>
    <w:rsid w:val="001F0416"/>
    <w:rsid w:val="001F0495"/>
    <w:rsid w:val="001F04B0"/>
    <w:rsid w:val="001F067A"/>
    <w:rsid w:val="001F07B7"/>
    <w:rsid w:val="001F0890"/>
    <w:rsid w:val="001F092B"/>
    <w:rsid w:val="001F0AAE"/>
    <w:rsid w:val="001F0B45"/>
    <w:rsid w:val="001F0E28"/>
    <w:rsid w:val="001F0E4B"/>
    <w:rsid w:val="001F1445"/>
    <w:rsid w:val="001F147F"/>
    <w:rsid w:val="001F1536"/>
    <w:rsid w:val="001F164C"/>
    <w:rsid w:val="001F16F2"/>
    <w:rsid w:val="001F1787"/>
    <w:rsid w:val="001F17A5"/>
    <w:rsid w:val="001F1801"/>
    <w:rsid w:val="001F1ACA"/>
    <w:rsid w:val="001F1E69"/>
    <w:rsid w:val="001F1EC3"/>
    <w:rsid w:val="001F1F2D"/>
    <w:rsid w:val="001F1F58"/>
    <w:rsid w:val="001F1FC5"/>
    <w:rsid w:val="001F1FDC"/>
    <w:rsid w:val="001F204D"/>
    <w:rsid w:val="001F2166"/>
    <w:rsid w:val="001F275F"/>
    <w:rsid w:val="001F28AF"/>
    <w:rsid w:val="001F28F3"/>
    <w:rsid w:val="001F29B1"/>
    <w:rsid w:val="001F29FF"/>
    <w:rsid w:val="001F2A74"/>
    <w:rsid w:val="001F2A78"/>
    <w:rsid w:val="001F2A9C"/>
    <w:rsid w:val="001F2AA4"/>
    <w:rsid w:val="001F2B77"/>
    <w:rsid w:val="001F2C81"/>
    <w:rsid w:val="001F2C8E"/>
    <w:rsid w:val="001F31CD"/>
    <w:rsid w:val="001F32BE"/>
    <w:rsid w:val="001F3573"/>
    <w:rsid w:val="001F3650"/>
    <w:rsid w:val="001F3947"/>
    <w:rsid w:val="001F3A1E"/>
    <w:rsid w:val="001F3BEE"/>
    <w:rsid w:val="001F3EC4"/>
    <w:rsid w:val="001F3ED3"/>
    <w:rsid w:val="001F3F72"/>
    <w:rsid w:val="001F4128"/>
    <w:rsid w:val="001F4571"/>
    <w:rsid w:val="001F4614"/>
    <w:rsid w:val="001F4839"/>
    <w:rsid w:val="001F48C0"/>
    <w:rsid w:val="001F4AE4"/>
    <w:rsid w:val="001F4B3B"/>
    <w:rsid w:val="001F4B42"/>
    <w:rsid w:val="001F4B7D"/>
    <w:rsid w:val="001F4CD0"/>
    <w:rsid w:val="001F4D60"/>
    <w:rsid w:val="001F4D95"/>
    <w:rsid w:val="001F4F74"/>
    <w:rsid w:val="001F507C"/>
    <w:rsid w:val="001F50A7"/>
    <w:rsid w:val="001F5149"/>
    <w:rsid w:val="001F51E1"/>
    <w:rsid w:val="001F51FF"/>
    <w:rsid w:val="001F52E6"/>
    <w:rsid w:val="001F53A2"/>
    <w:rsid w:val="001F5459"/>
    <w:rsid w:val="001F55AE"/>
    <w:rsid w:val="001F5618"/>
    <w:rsid w:val="001F5696"/>
    <w:rsid w:val="001F5837"/>
    <w:rsid w:val="001F58CA"/>
    <w:rsid w:val="001F58D0"/>
    <w:rsid w:val="001F594E"/>
    <w:rsid w:val="001F597B"/>
    <w:rsid w:val="001F5C17"/>
    <w:rsid w:val="001F5C60"/>
    <w:rsid w:val="001F5CEA"/>
    <w:rsid w:val="001F5F1A"/>
    <w:rsid w:val="001F600C"/>
    <w:rsid w:val="001F60B1"/>
    <w:rsid w:val="001F6169"/>
    <w:rsid w:val="001F62EB"/>
    <w:rsid w:val="001F642E"/>
    <w:rsid w:val="001F643B"/>
    <w:rsid w:val="001F6494"/>
    <w:rsid w:val="001F65A4"/>
    <w:rsid w:val="001F679E"/>
    <w:rsid w:val="001F688C"/>
    <w:rsid w:val="001F6A39"/>
    <w:rsid w:val="001F6CD2"/>
    <w:rsid w:val="001F6D8B"/>
    <w:rsid w:val="001F6FAE"/>
    <w:rsid w:val="001F71C9"/>
    <w:rsid w:val="001F760A"/>
    <w:rsid w:val="001F787B"/>
    <w:rsid w:val="001F7A03"/>
    <w:rsid w:val="001F7B17"/>
    <w:rsid w:val="001F7B42"/>
    <w:rsid w:val="001F7CBC"/>
    <w:rsid w:val="001F7CC1"/>
    <w:rsid w:val="0020014E"/>
    <w:rsid w:val="002001D4"/>
    <w:rsid w:val="00200269"/>
    <w:rsid w:val="002002AE"/>
    <w:rsid w:val="0020049C"/>
    <w:rsid w:val="00200686"/>
    <w:rsid w:val="002006D6"/>
    <w:rsid w:val="0020072E"/>
    <w:rsid w:val="0020074F"/>
    <w:rsid w:val="00200794"/>
    <w:rsid w:val="002007A5"/>
    <w:rsid w:val="002007B1"/>
    <w:rsid w:val="002007C5"/>
    <w:rsid w:val="00200805"/>
    <w:rsid w:val="00200826"/>
    <w:rsid w:val="00200A23"/>
    <w:rsid w:val="00200CBC"/>
    <w:rsid w:val="00200E3A"/>
    <w:rsid w:val="00200E57"/>
    <w:rsid w:val="00201088"/>
    <w:rsid w:val="00201121"/>
    <w:rsid w:val="002011D1"/>
    <w:rsid w:val="00201459"/>
    <w:rsid w:val="0020152D"/>
    <w:rsid w:val="00201591"/>
    <w:rsid w:val="00201714"/>
    <w:rsid w:val="002017E7"/>
    <w:rsid w:val="00201A41"/>
    <w:rsid w:val="00201A50"/>
    <w:rsid w:val="00201A58"/>
    <w:rsid w:val="002024B6"/>
    <w:rsid w:val="002025CA"/>
    <w:rsid w:val="002026CB"/>
    <w:rsid w:val="002027C9"/>
    <w:rsid w:val="00202832"/>
    <w:rsid w:val="0020296F"/>
    <w:rsid w:val="002029AD"/>
    <w:rsid w:val="00202CF3"/>
    <w:rsid w:val="00202D08"/>
    <w:rsid w:val="00202D39"/>
    <w:rsid w:val="00202EDB"/>
    <w:rsid w:val="0020357E"/>
    <w:rsid w:val="00203664"/>
    <w:rsid w:val="002036D1"/>
    <w:rsid w:val="002036D5"/>
    <w:rsid w:val="002036EB"/>
    <w:rsid w:val="00203845"/>
    <w:rsid w:val="002038B8"/>
    <w:rsid w:val="002039C6"/>
    <w:rsid w:val="00203A64"/>
    <w:rsid w:val="00203A92"/>
    <w:rsid w:val="00203B72"/>
    <w:rsid w:val="00203BE0"/>
    <w:rsid w:val="00203C3E"/>
    <w:rsid w:val="00203C5B"/>
    <w:rsid w:val="00203CCA"/>
    <w:rsid w:val="00203ED3"/>
    <w:rsid w:val="00203FCD"/>
    <w:rsid w:val="00204178"/>
    <w:rsid w:val="002041CB"/>
    <w:rsid w:val="002041EC"/>
    <w:rsid w:val="002042AF"/>
    <w:rsid w:val="0020448F"/>
    <w:rsid w:val="00204575"/>
    <w:rsid w:val="002046DC"/>
    <w:rsid w:val="0020471C"/>
    <w:rsid w:val="0020476E"/>
    <w:rsid w:val="00204944"/>
    <w:rsid w:val="00204A48"/>
    <w:rsid w:val="00204AD3"/>
    <w:rsid w:val="00204ADB"/>
    <w:rsid w:val="00204F1E"/>
    <w:rsid w:val="00205242"/>
    <w:rsid w:val="002053CF"/>
    <w:rsid w:val="00205418"/>
    <w:rsid w:val="00205459"/>
    <w:rsid w:val="00205622"/>
    <w:rsid w:val="0020594C"/>
    <w:rsid w:val="00205C05"/>
    <w:rsid w:val="00205CD2"/>
    <w:rsid w:val="00205D21"/>
    <w:rsid w:val="00205D8A"/>
    <w:rsid w:val="00205DA9"/>
    <w:rsid w:val="00205DDB"/>
    <w:rsid w:val="00205F53"/>
    <w:rsid w:val="002062C5"/>
    <w:rsid w:val="00206389"/>
    <w:rsid w:val="00206443"/>
    <w:rsid w:val="0020663A"/>
    <w:rsid w:val="002068ED"/>
    <w:rsid w:val="00206ADD"/>
    <w:rsid w:val="00206C07"/>
    <w:rsid w:val="00206CC6"/>
    <w:rsid w:val="00206D1A"/>
    <w:rsid w:val="00206DAE"/>
    <w:rsid w:val="00206EC0"/>
    <w:rsid w:val="00206F63"/>
    <w:rsid w:val="00206F78"/>
    <w:rsid w:val="002073CD"/>
    <w:rsid w:val="00207405"/>
    <w:rsid w:val="002074D1"/>
    <w:rsid w:val="002075FD"/>
    <w:rsid w:val="0020768A"/>
    <w:rsid w:val="002076FE"/>
    <w:rsid w:val="002077DD"/>
    <w:rsid w:val="00207803"/>
    <w:rsid w:val="00207817"/>
    <w:rsid w:val="00207870"/>
    <w:rsid w:val="002079BD"/>
    <w:rsid w:val="002079D8"/>
    <w:rsid w:val="00207B6C"/>
    <w:rsid w:val="00207D99"/>
    <w:rsid w:val="00207E1A"/>
    <w:rsid w:val="00207ED2"/>
    <w:rsid w:val="00210110"/>
    <w:rsid w:val="0021020C"/>
    <w:rsid w:val="002102E0"/>
    <w:rsid w:val="002103E9"/>
    <w:rsid w:val="00210406"/>
    <w:rsid w:val="00210421"/>
    <w:rsid w:val="002105C9"/>
    <w:rsid w:val="002105EE"/>
    <w:rsid w:val="00210627"/>
    <w:rsid w:val="002107AD"/>
    <w:rsid w:val="002108E3"/>
    <w:rsid w:val="00210977"/>
    <w:rsid w:val="00210CDE"/>
    <w:rsid w:val="00210CE4"/>
    <w:rsid w:val="00210D24"/>
    <w:rsid w:val="00210F5D"/>
    <w:rsid w:val="00210F9B"/>
    <w:rsid w:val="00211046"/>
    <w:rsid w:val="0021106D"/>
    <w:rsid w:val="002112A8"/>
    <w:rsid w:val="002114BC"/>
    <w:rsid w:val="00211C3E"/>
    <w:rsid w:val="00211E61"/>
    <w:rsid w:val="00211F0B"/>
    <w:rsid w:val="00212086"/>
    <w:rsid w:val="0021216C"/>
    <w:rsid w:val="00212181"/>
    <w:rsid w:val="00212210"/>
    <w:rsid w:val="00212287"/>
    <w:rsid w:val="00212364"/>
    <w:rsid w:val="002123B5"/>
    <w:rsid w:val="002123F1"/>
    <w:rsid w:val="0021240E"/>
    <w:rsid w:val="002125B0"/>
    <w:rsid w:val="002126EA"/>
    <w:rsid w:val="00212701"/>
    <w:rsid w:val="00212733"/>
    <w:rsid w:val="0021291B"/>
    <w:rsid w:val="002129DC"/>
    <w:rsid w:val="00212A08"/>
    <w:rsid w:val="00212C7E"/>
    <w:rsid w:val="002131B8"/>
    <w:rsid w:val="00213215"/>
    <w:rsid w:val="00213231"/>
    <w:rsid w:val="00213259"/>
    <w:rsid w:val="0021350A"/>
    <w:rsid w:val="00213644"/>
    <w:rsid w:val="00213713"/>
    <w:rsid w:val="00213743"/>
    <w:rsid w:val="002138DC"/>
    <w:rsid w:val="00213991"/>
    <w:rsid w:val="002139BB"/>
    <w:rsid w:val="00213AAD"/>
    <w:rsid w:val="00213B4B"/>
    <w:rsid w:val="00213BCA"/>
    <w:rsid w:val="00213BDF"/>
    <w:rsid w:val="00213C54"/>
    <w:rsid w:val="00213E62"/>
    <w:rsid w:val="00213F77"/>
    <w:rsid w:val="00214143"/>
    <w:rsid w:val="00214273"/>
    <w:rsid w:val="0021443D"/>
    <w:rsid w:val="00214559"/>
    <w:rsid w:val="00214906"/>
    <w:rsid w:val="00214A17"/>
    <w:rsid w:val="00214A50"/>
    <w:rsid w:val="00214B43"/>
    <w:rsid w:val="00214BEA"/>
    <w:rsid w:val="00214C44"/>
    <w:rsid w:val="00214CBD"/>
    <w:rsid w:val="00214CDA"/>
    <w:rsid w:val="00214CF2"/>
    <w:rsid w:val="00214E41"/>
    <w:rsid w:val="00214F20"/>
    <w:rsid w:val="00214FA0"/>
    <w:rsid w:val="002150A5"/>
    <w:rsid w:val="00215156"/>
    <w:rsid w:val="002151DC"/>
    <w:rsid w:val="002156EE"/>
    <w:rsid w:val="00215725"/>
    <w:rsid w:val="002158A5"/>
    <w:rsid w:val="00215A72"/>
    <w:rsid w:val="00215ADB"/>
    <w:rsid w:val="00215DA8"/>
    <w:rsid w:val="00215DB4"/>
    <w:rsid w:val="00215E14"/>
    <w:rsid w:val="002162C4"/>
    <w:rsid w:val="002162EB"/>
    <w:rsid w:val="002163E1"/>
    <w:rsid w:val="002164FC"/>
    <w:rsid w:val="00216608"/>
    <w:rsid w:val="002167BE"/>
    <w:rsid w:val="0021691F"/>
    <w:rsid w:val="002169B3"/>
    <w:rsid w:val="00216B86"/>
    <w:rsid w:val="00216DF6"/>
    <w:rsid w:val="00216E85"/>
    <w:rsid w:val="00216F21"/>
    <w:rsid w:val="00217105"/>
    <w:rsid w:val="002171D7"/>
    <w:rsid w:val="00217294"/>
    <w:rsid w:val="0021731C"/>
    <w:rsid w:val="00217343"/>
    <w:rsid w:val="002173BF"/>
    <w:rsid w:val="002173E0"/>
    <w:rsid w:val="00217528"/>
    <w:rsid w:val="00217713"/>
    <w:rsid w:val="0021785B"/>
    <w:rsid w:val="00217915"/>
    <w:rsid w:val="00217981"/>
    <w:rsid w:val="0021798C"/>
    <w:rsid w:val="00217A5A"/>
    <w:rsid w:val="00217A8D"/>
    <w:rsid w:val="00217B64"/>
    <w:rsid w:val="00217B90"/>
    <w:rsid w:val="00217C8F"/>
    <w:rsid w:val="00217D69"/>
    <w:rsid w:val="00217E8F"/>
    <w:rsid w:val="00217F02"/>
    <w:rsid w:val="002201F6"/>
    <w:rsid w:val="00220224"/>
    <w:rsid w:val="002202C3"/>
    <w:rsid w:val="00220323"/>
    <w:rsid w:val="00220900"/>
    <w:rsid w:val="00220A2D"/>
    <w:rsid w:val="00220AF6"/>
    <w:rsid w:val="00220C29"/>
    <w:rsid w:val="00220DB8"/>
    <w:rsid w:val="00220E27"/>
    <w:rsid w:val="00221056"/>
    <w:rsid w:val="002210CD"/>
    <w:rsid w:val="00221113"/>
    <w:rsid w:val="0022118D"/>
    <w:rsid w:val="00221198"/>
    <w:rsid w:val="0022136A"/>
    <w:rsid w:val="0022152F"/>
    <w:rsid w:val="002215F4"/>
    <w:rsid w:val="0022161A"/>
    <w:rsid w:val="0022195D"/>
    <w:rsid w:val="002219F0"/>
    <w:rsid w:val="00221AD8"/>
    <w:rsid w:val="00221BD5"/>
    <w:rsid w:val="00221C8C"/>
    <w:rsid w:val="00221CE0"/>
    <w:rsid w:val="00221DD6"/>
    <w:rsid w:val="00221FFC"/>
    <w:rsid w:val="00222086"/>
    <w:rsid w:val="00222153"/>
    <w:rsid w:val="00222370"/>
    <w:rsid w:val="00222424"/>
    <w:rsid w:val="00222562"/>
    <w:rsid w:val="002229AB"/>
    <w:rsid w:val="00222A17"/>
    <w:rsid w:val="00222AF9"/>
    <w:rsid w:val="00222B0C"/>
    <w:rsid w:val="00222B6E"/>
    <w:rsid w:val="00222DD1"/>
    <w:rsid w:val="00222F1C"/>
    <w:rsid w:val="002231BB"/>
    <w:rsid w:val="00223253"/>
    <w:rsid w:val="00223330"/>
    <w:rsid w:val="00223331"/>
    <w:rsid w:val="002233CE"/>
    <w:rsid w:val="002233D4"/>
    <w:rsid w:val="002235C9"/>
    <w:rsid w:val="002235DF"/>
    <w:rsid w:val="002235ED"/>
    <w:rsid w:val="002235FC"/>
    <w:rsid w:val="0022368D"/>
    <w:rsid w:val="002238B0"/>
    <w:rsid w:val="0022390B"/>
    <w:rsid w:val="002239D1"/>
    <w:rsid w:val="002239E0"/>
    <w:rsid w:val="00223A65"/>
    <w:rsid w:val="00223AE2"/>
    <w:rsid w:val="00223B42"/>
    <w:rsid w:val="00223D4F"/>
    <w:rsid w:val="00223DE8"/>
    <w:rsid w:val="00223DEE"/>
    <w:rsid w:val="0022403C"/>
    <w:rsid w:val="0022405F"/>
    <w:rsid w:val="00224079"/>
    <w:rsid w:val="0022409F"/>
    <w:rsid w:val="002240BF"/>
    <w:rsid w:val="0022417B"/>
    <w:rsid w:val="0022422B"/>
    <w:rsid w:val="002242BA"/>
    <w:rsid w:val="002244F6"/>
    <w:rsid w:val="00224573"/>
    <w:rsid w:val="0022464A"/>
    <w:rsid w:val="0022474A"/>
    <w:rsid w:val="00224AB8"/>
    <w:rsid w:val="00224BDC"/>
    <w:rsid w:val="00224F9E"/>
    <w:rsid w:val="0022512D"/>
    <w:rsid w:val="002251C2"/>
    <w:rsid w:val="002253E0"/>
    <w:rsid w:val="0022551E"/>
    <w:rsid w:val="00225593"/>
    <w:rsid w:val="00225696"/>
    <w:rsid w:val="002256AC"/>
    <w:rsid w:val="00225781"/>
    <w:rsid w:val="00225818"/>
    <w:rsid w:val="00225833"/>
    <w:rsid w:val="002258A1"/>
    <w:rsid w:val="00225BB8"/>
    <w:rsid w:val="00225CAE"/>
    <w:rsid w:val="00225D9C"/>
    <w:rsid w:val="00225E8D"/>
    <w:rsid w:val="00225F5D"/>
    <w:rsid w:val="00226060"/>
    <w:rsid w:val="0022606A"/>
    <w:rsid w:val="00226089"/>
    <w:rsid w:val="002260AC"/>
    <w:rsid w:val="002260C7"/>
    <w:rsid w:val="002261EA"/>
    <w:rsid w:val="00226578"/>
    <w:rsid w:val="002265A4"/>
    <w:rsid w:val="00226673"/>
    <w:rsid w:val="00226706"/>
    <w:rsid w:val="0022685D"/>
    <w:rsid w:val="002268D1"/>
    <w:rsid w:val="00226C72"/>
    <w:rsid w:val="00226C87"/>
    <w:rsid w:val="00226C89"/>
    <w:rsid w:val="00226CAC"/>
    <w:rsid w:val="00226DA8"/>
    <w:rsid w:val="00226F63"/>
    <w:rsid w:val="00227004"/>
    <w:rsid w:val="002272E1"/>
    <w:rsid w:val="0022732C"/>
    <w:rsid w:val="00227470"/>
    <w:rsid w:val="00227906"/>
    <w:rsid w:val="00227AE8"/>
    <w:rsid w:val="00227B1C"/>
    <w:rsid w:val="00227B49"/>
    <w:rsid w:val="00227C94"/>
    <w:rsid w:val="00227DA7"/>
    <w:rsid w:val="00227E29"/>
    <w:rsid w:val="00227FF3"/>
    <w:rsid w:val="00230083"/>
    <w:rsid w:val="002300C5"/>
    <w:rsid w:val="0023011A"/>
    <w:rsid w:val="0023025B"/>
    <w:rsid w:val="00230399"/>
    <w:rsid w:val="00230424"/>
    <w:rsid w:val="00230515"/>
    <w:rsid w:val="00230740"/>
    <w:rsid w:val="0023094B"/>
    <w:rsid w:val="002309E0"/>
    <w:rsid w:val="00230A63"/>
    <w:rsid w:val="00230ACF"/>
    <w:rsid w:val="00230CEF"/>
    <w:rsid w:val="00230D05"/>
    <w:rsid w:val="00230D4B"/>
    <w:rsid w:val="00230E00"/>
    <w:rsid w:val="00230E4F"/>
    <w:rsid w:val="00230EF0"/>
    <w:rsid w:val="00230F29"/>
    <w:rsid w:val="00230F75"/>
    <w:rsid w:val="00231112"/>
    <w:rsid w:val="00231119"/>
    <w:rsid w:val="00231172"/>
    <w:rsid w:val="00231353"/>
    <w:rsid w:val="002315EB"/>
    <w:rsid w:val="0023166F"/>
    <w:rsid w:val="002317FD"/>
    <w:rsid w:val="002318EF"/>
    <w:rsid w:val="002318FF"/>
    <w:rsid w:val="002319D8"/>
    <w:rsid w:val="002319EE"/>
    <w:rsid w:val="00231B71"/>
    <w:rsid w:val="00231ED0"/>
    <w:rsid w:val="00231F24"/>
    <w:rsid w:val="00231FA7"/>
    <w:rsid w:val="002322E7"/>
    <w:rsid w:val="00232349"/>
    <w:rsid w:val="002324FD"/>
    <w:rsid w:val="002325A1"/>
    <w:rsid w:val="0023269E"/>
    <w:rsid w:val="00232802"/>
    <w:rsid w:val="00232944"/>
    <w:rsid w:val="002329D8"/>
    <w:rsid w:val="00232AE9"/>
    <w:rsid w:val="00232C46"/>
    <w:rsid w:val="00233177"/>
    <w:rsid w:val="002332B5"/>
    <w:rsid w:val="002333C8"/>
    <w:rsid w:val="002334DF"/>
    <w:rsid w:val="0023353A"/>
    <w:rsid w:val="00233576"/>
    <w:rsid w:val="00233624"/>
    <w:rsid w:val="00233698"/>
    <w:rsid w:val="00233777"/>
    <w:rsid w:val="00233788"/>
    <w:rsid w:val="002337C5"/>
    <w:rsid w:val="0023381F"/>
    <w:rsid w:val="00233CB9"/>
    <w:rsid w:val="00233E5F"/>
    <w:rsid w:val="00234006"/>
    <w:rsid w:val="0023410E"/>
    <w:rsid w:val="00234245"/>
    <w:rsid w:val="00234286"/>
    <w:rsid w:val="0023429B"/>
    <w:rsid w:val="002342B1"/>
    <w:rsid w:val="00234338"/>
    <w:rsid w:val="0023457C"/>
    <w:rsid w:val="002347D8"/>
    <w:rsid w:val="0023484F"/>
    <w:rsid w:val="00234886"/>
    <w:rsid w:val="0023491E"/>
    <w:rsid w:val="00234936"/>
    <w:rsid w:val="00234A6F"/>
    <w:rsid w:val="00234B23"/>
    <w:rsid w:val="00234B96"/>
    <w:rsid w:val="00234D8D"/>
    <w:rsid w:val="00234E24"/>
    <w:rsid w:val="00234F0A"/>
    <w:rsid w:val="00234FD7"/>
    <w:rsid w:val="002353BA"/>
    <w:rsid w:val="00235470"/>
    <w:rsid w:val="00235595"/>
    <w:rsid w:val="00235632"/>
    <w:rsid w:val="00235775"/>
    <w:rsid w:val="0023583F"/>
    <w:rsid w:val="0023586A"/>
    <w:rsid w:val="0023592B"/>
    <w:rsid w:val="00235936"/>
    <w:rsid w:val="00235A2E"/>
    <w:rsid w:val="00235B35"/>
    <w:rsid w:val="00235D66"/>
    <w:rsid w:val="00235E1D"/>
    <w:rsid w:val="002360C6"/>
    <w:rsid w:val="002360D1"/>
    <w:rsid w:val="002360E7"/>
    <w:rsid w:val="0023611F"/>
    <w:rsid w:val="00236121"/>
    <w:rsid w:val="00236157"/>
    <w:rsid w:val="0023628C"/>
    <w:rsid w:val="00236385"/>
    <w:rsid w:val="00236638"/>
    <w:rsid w:val="00236809"/>
    <w:rsid w:val="00236837"/>
    <w:rsid w:val="0023691B"/>
    <w:rsid w:val="002369FC"/>
    <w:rsid w:val="00236D50"/>
    <w:rsid w:val="00236D92"/>
    <w:rsid w:val="00236DFB"/>
    <w:rsid w:val="00236E25"/>
    <w:rsid w:val="00236F36"/>
    <w:rsid w:val="00237083"/>
    <w:rsid w:val="0023717C"/>
    <w:rsid w:val="00237204"/>
    <w:rsid w:val="002377E6"/>
    <w:rsid w:val="00237858"/>
    <w:rsid w:val="002379E2"/>
    <w:rsid w:val="00237AB1"/>
    <w:rsid w:val="00237AC3"/>
    <w:rsid w:val="00237B36"/>
    <w:rsid w:val="00237C25"/>
    <w:rsid w:val="00237CA7"/>
    <w:rsid w:val="00237F3D"/>
    <w:rsid w:val="00237FFB"/>
    <w:rsid w:val="00240093"/>
    <w:rsid w:val="00240278"/>
    <w:rsid w:val="00240309"/>
    <w:rsid w:val="00240448"/>
    <w:rsid w:val="00240449"/>
    <w:rsid w:val="002404AB"/>
    <w:rsid w:val="002405DC"/>
    <w:rsid w:val="00240813"/>
    <w:rsid w:val="002408E5"/>
    <w:rsid w:val="00240AF3"/>
    <w:rsid w:val="00240BC9"/>
    <w:rsid w:val="00240BD6"/>
    <w:rsid w:val="00240C31"/>
    <w:rsid w:val="002410DE"/>
    <w:rsid w:val="0024117D"/>
    <w:rsid w:val="0024124D"/>
    <w:rsid w:val="00241363"/>
    <w:rsid w:val="00241568"/>
    <w:rsid w:val="00241ABB"/>
    <w:rsid w:val="00241B1A"/>
    <w:rsid w:val="00241D31"/>
    <w:rsid w:val="00241D92"/>
    <w:rsid w:val="00241FE7"/>
    <w:rsid w:val="0024204E"/>
    <w:rsid w:val="00242205"/>
    <w:rsid w:val="00242254"/>
    <w:rsid w:val="0024281D"/>
    <w:rsid w:val="00242857"/>
    <w:rsid w:val="00242BC9"/>
    <w:rsid w:val="00242D90"/>
    <w:rsid w:val="00242FC4"/>
    <w:rsid w:val="002430DB"/>
    <w:rsid w:val="00243124"/>
    <w:rsid w:val="002431EF"/>
    <w:rsid w:val="002432B1"/>
    <w:rsid w:val="002435C3"/>
    <w:rsid w:val="002435CE"/>
    <w:rsid w:val="00243601"/>
    <w:rsid w:val="0024366C"/>
    <w:rsid w:val="002436EC"/>
    <w:rsid w:val="002437D1"/>
    <w:rsid w:val="00243951"/>
    <w:rsid w:val="00243A44"/>
    <w:rsid w:val="00243CF5"/>
    <w:rsid w:val="00243D9C"/>
    <w:rsid w:val="00243EC6"/>
    <w:rsid w:val="0024416B"/>
    <w:rsid w:val="00244196"/>
    <w:rsid w:val="00244293"/>
    <w:rsid w:val="0024464A"/>
    <w:rsid w:val="00244758"/>
    <w:rsid w:val="0024485C"/>
    <w:rsid w:val="00244BD0"/>
    <w:rsid w:val="00244C38"/>
    <w:rsid w:val="00244CF6"/>
    <w:rsid w:val="00244D85"/>
    <w:rsid w:val="00244F01"/>
    <w:rsid w:val="00244FA9"/>
    <w:rsid w:val="002450EC"/>
    <w:rsid w:val="0024515C"/>
    <w:rsid w:val="00245176"/>
    <w:rsid w:val="002452CE"/>
    <w:rsid w:val="002452D0"/>
    <w:rsid w:val="00245340"/>
    <w:rsid w:val="00245876"/>
    <w:rsid w:val="00245A89"/>
    <w:rsid w:val="00245BA1"/>
    <w:rsid w:val="00245CB8"/>
    <w:rsid w:val="00245D96"/>
    <w:rsid w:val="00245DBD"/>
    <w:rsid w:val="00245DD6"/>
    <w:rsid w:val="0024610D"/>
    <w:rsid w:val="002463CA"/>
    <w:rsid w:val="002463F7"/>
    <w:rsid w:val="00246471"/>
    <w:rsid w:val="0024659E"/>
    <w:rsid w:val="0024686A"/>
    <w:rsid w:val="00246A47"/>
    <w:rsid w:val="00246AC5"/>
    <w:rsid w:val="00246BCB"/>
    <w:rsid w:val="00246CBA"/>
    <w:rsid w:val="00246E77"/>
    <w:rsid w:val="00246EA0"/>
    <w:rsid w:val="00246EDC"/>
    <w:rsid w:val="00246F7C"/>
    <w:rsid w:val="002470E8"/>
    <w:rsid w:val="002471B8"/>
    <w:rsid w:val="00247414"/>
    <w:rsid w:val="00247467"/>
    <w:rsid w:val="0024748C"/>
    <w:rsid w:val="00247618"/>
    <w:rsid w:val="0024776B"/>
    <w:rsid w:val="002477F6"/>
    <w:rsid w:val="00247801"/>
    <w:rsid w:val="00247895"/>
    <w:rsid w:val="002478E6"/>
    <w:rsid w:val="002479E4"/>
    <w:rsid w:val="00247AB7"/>
    <w:rsid w:val="00247D02"/>
    <w:rsid w:val="00247DA6"/>
    <w:rsid w:val="00247DC1"/>
    <w:rsid w:val="00247E37"/>
    <w:rsid w:val="00247E6F"/>
    <w:rsid w:val="00247ED7"/>
    <w:rsid w:val="00247F1E"/>
    <w:rsid w:val="00250136"/>
    <w:rsid w:val="002501E6"/>
    <w:rsid w:val="00250283"/>
    <w:rsid w:val="00250349"/>
    <w:rsid w:val="00250383"/>
    <w:rsid w:val="00250508"/>
    <w:rsid w:val="00250655"/>
    <w:rsid w:val="0025073A"/>
    <w:rsid w:val="0025098C"/>
    <w:rsid w:val="002509A0"/>
    <w:rsid w:val="002509AF"/>
    <w:rsid w:val="002509EE"/>
    <w:rsid w:val="00250AC4"/>
    <w:rsid w:val="00250BEC"/>
    <w:rsid w:val="00250CE9"/>
    <w:rsid w:val="00250E45"/>
    <w:rsid w:val="00250ED7"/>
    <w:rsid w:val="00250EE2"/>
    <w:rsid w:val="00250EEE"/>
    <w:rsid w:val="00250F94"/>
    <w:rsid w:val="002510CD"/>
    <w:rsid w:val="0025129F"/>
    <w:rsid w:val="0025138A"/>
    <w:rsid w:val="002514A4"/>
    <w:rsid w:val="002514F4"/>
    <w:rsid w:val="002514F9"/>
    <w:rsid w:val="0025155B"/>
    <w:rsid w:val="0025169C"/>
    <w:rsid w:val="00251717"/>
    <w:rsid w:val="002517A9"/>
    <w:rsid w:val="002518EE"/>
    <w:rsid w:val="00251A5E"/>
    <w:rsid w:val="00251B33"/>
    <w:rsid w:val="00251B54"/>
    <w:rsid w:val="00251BEF"/>
    <w:rsid w:val="00251C67"/>
    <w:rsid w:val="00251CBE"/>
    <w:rsid w:val="00251EBE"/>
    <w:rsid w:val="00252012"/>
    <w:rsid w:val="0025206C"/>
    <w:rsid w:val="002520F0"/>
    <w:rsid w:val="00252146"/>
    <w:rsid w:val="00252172"/>
    <w:rsid w:val="002522A4"/>
    <w:rsid w:val="0025236E"/>
    <w:rsid w:val="002525A6"/>
    <w:rsid w:val="002525E9"/>
    <w:rsid w:val="002525EB"/>
    <w:rsid w:val="00252612"/>
    <w:rsid w:val="002528D9"/>
    <w:rsid w:val="002529BD"/>
    <w:rsid w:val="00252A02"/>
    <w:rsid w:val="00252B6B"/>
    <w:rsid w:val="00252C68"/>
    <w:rsid w:val="00252CB9"/>
    <w:rsid w:val="00252EDE"/>
    <w:rsid w:val="00252F3D"/>
    <w:rsid w:val="002530A9"/>
    <w:rsid w:val="00253244"/>
    <w:rsid w:val="002532C8"/>
    <w:rsid w:val="0025332D"/>
    <w:rsid w:val="002533D1"/>
    <w:rsid w:val="00253617"/>
    <w:rsid w:val="002539E2"/>
    <w:rsid w:val="002539F7"/>
    <w:rsid w:val="00253B3E"/>
    <w:rsid w:val="00253BE0"/>
    <w:rsid w:val="00253D02"/>
    <w:rsid w:val="00253E39"/>
    <w:rsid w:val="00253EDA"/>
    <w:rsid w:val="00254127"/>
    <w:rsid w:val="002541AD"/>
    <w:rsid w:val="0025437C"/>
    <w:rsid w:val="00254822"/>
    <w:rsid w:val="0025494A"/>
    <w:rsid w:val="00254972"/>
    <w:rsid w:val="00254A0A"/>
    <w:rsid w:val="00254AEC"/>
    <w:rsid w:val="00254B98"/>
    <w:rsid w:val="00254D2B"/>
    <w:rsid w:val="00254DEC"/>
    <w:rsid w:val="00254E74"/>
    <w:rsid w:val="00254F54"/>
    <w:rsid w:val="00254FFB"/>
    <w:rsid w:val="00255004"/>
    <w:rsid w:val="0025510B"/>
    <w:rsid w:val="002551A3"/>
    <w:rsid w:val="002556B8"/>
    <w:rsid w:val="002558F6"/>
    <w:rsid w:val="002559D6"/>
    <w:rsid w:val="00255DD1"/>
    <w:rsid w:val="00255F20"/>
    <w:rsid w:val="00255F25"/>
    <w:rsid w:val="00255F46"/>
    <w:rsid w:val="0025602D"/>
    <w:rsid w:val="00256324"/>
    <w:rsid w:val="002564BA"/>
    <w:rsid w:val="00256555"/>
    <w:rsid w:val="0025668C"/>
    <w:rsid w:val="00256710"/>
    <w:rsid w:val="00256784"/>
    <w:rsid w:val="00256887"/>
    <w:rsid w:val="002568C3"/>
    <w:rsid w:val="00256A5B"/>
    <w:rsid w:val="00256AD2"/>
    <w:rsid w:val="00256B87"/>
    <w:rsid w:val="00256C31"/>
    <w:rsid w:val="00256D43"/>
    <w:rsid w:val="002571FE"/>
    <w:rsid w:val="00257223"/>
    <w:rsid w:val="00257475"/>
    <w:rsid w:val="00257648"/>
    <w:rsid w:val="00257720"/>
    <w:rsid w:val="00257737"/>
    <w:rsid w:val="00257752"/>
    <w:rsid w:val="002578A2"/>
    <w:rsid w:val="00257919"/>
    <w:rsid w:val="0025792C"/>
    <w:rsid w:val="0025794A"/>
    <w:rsid w:val="0025797D"/>
    <w:rsid w:val="002579C3"/>
    <w:rsid w:val="00257A0C"/>
    <w:rsid w:val="00257B8C"/>
    <w:rsid w:val="00257C21"/>
    <w:rsid w:val="00257CC4"/>
    <w:rsid w:val="00257DE2"/>
    <w:rsid w:val="00260069"/>
    <w:rsid w:val="002600CF"/>
    <w:rsid w:val="0026016A"/>
    <w:rsid w:val="00260320"/>
    <w:rsid w:val="00260356"/>
    <w:rsid w:val="00260596"/>
    <w:rsid w:val="002607CE"/>
    <w:rsid w:val="00260938"/>
    <w:rsid w:val="00260B0A"/>
    <w:rsid w:val="00260BBC"/>
    <w:rsid w:val="00260D25"/>
    <w:rsid w:val="00260E0C"/>
    <w:rsid w:val="00260FF4"/>
    <w:rsid w:val="002612BF"/>
    <w:rsid w:val="002612C9"/>
    <w:rsid w:val="00261305"/>
    <w:rsid w:val="0026133D"/>
    <w:rsid w:val="002613A7"/>
    <w:rsid w:val="00261404"/>
    <w:rsid w:val="0026172C"/>
    <w:rsid w:val="0026198C"/>
    <w:rsid w:val="002619CB"/>
    <w:rsid w:val="002619F7"/>
    <w:rsid w:val="00261E9F"/>
    <w:rsid w:val="00261EC0"/>
    <w:rsid w:val="00261F53"/>
    <w:rsid w:val="00261F64"/>
    <w:rsid w:val="0026247B"/>
    <w:rsid w:val="00262705"/>
    <w:rsid w:val="0026275A"/>
    <w:rsid w:val="002627F2"/>
    <w:rsid w:val="00262892"/>
    <w:rsid w:val="0026292B"/>
    <w:rsid w:val="00262B72"/>
    <w:rsid w:val="00262C5E"/>
    <w:rsid w:val="00262CFF"/>
    <w:rsid w:val="00262E4D"/>
    <w:rsid w:val="00262EF7"/>
    <w:rsid w:val="00262F69"/>
    <w:rsid w:val="00263102"/>
    <w:rsid w:val="002633EA"/>
    <w:rsid w:val="0026343F"/>
    <w:rsid w:val="0026346F"/>
    <w:rsid w:val="002635BE"/>
    <w:rsid w:val="002635C6"/>
    <w:rsid w:val="00263680"/>
    <w:rsid w:val="00263695"/>
    <w:rsid w:val="00263703"/>
    <w:rsid w:val="00263814"/>
    <w:rsid w:val="00263885"/>
    <w:rsid w:val="00263965"/>
    <w:rsid w:val="002639C2"/>
    <w:rsid w:val="00263B81"/>
    <w:rsid w:val="00263CF5"/>
    <w:rsid w:val="00263D29"/>
    <w:rsid w:val="00264070"/>
    <w:rsid w:val="0026412A"/>
    <w:rsid w:val="0026424A"/>
    <w:rsid w:val="00264419"/>
    <w:rsid w:val="00264483"/>
    <w:rsid w:val="0026450E"/>
    <w:rsid w:val="0026453E"/>
    <w:rsid w:val="0026468B"/>
    <w:rsid w:val="002647D8"/>
    <w:rsid w:val="00264A83"/>
    <w:rsid w:val="00264B4C"/>
    <w:rsid w:val="00264CB9"/>
    <w:rsid w:val="00264D7B"/>
    <w:rsid w:val="00265152"/>
    <w:rsid w:val="0026525C"/>
    <w:rsid w:val="00265297"/>
    <w:rsid w:val="002652E8"/>
    <w:rsid w:val="00265312"/>
    <w:rsid w:val="00265361"/>
    <w:rsid w:val="002654A1"/>
    <w:rsid w:val="00265629"/>
    <w:rsid w:val="00265743"/>
    <w:rsid w:val="002657BB"/>
    <w:rsid w:val="002657DF"/>
    <w:rsid w:val="00265CB7"/>
    <w:rsid w:val="00265FF0"/>
    <w:rsid w:val="0026600C"/>
    <w:rsid w:val="00266048"/>
    <w:rsid w:val="00266149"/>
    <w:rsid w:val="002663B6"/>
    <w:rsid w:val="0026640B"/>
    <w:rsid w:val="00266429"/>
    <w:rsid w:val="00266493"/>
    <w:rsid w:val="002665A2"/>
    <w:rsid w:val="00266601"/>
    <w:rsid w:val="002666B3"/>
    <w:rsid w:val="0026683D"/>
    <w:rsid w:val="0026685C"/>
    <w:rsid w:val="002668A8"/>
    <w:rsid w:val="002668BC"/>
    <w:rsid w:val="00266928"/>
    <w:rsid w:val="00266C3A"/>
    <w:rsid w:val="00266E68"/>
    <w:rsid w:val="00266F43"/>
    <w:rsid w:val="00267046"/>
    <w:rsid w:val="002670F2"/>
    <w:rsid w:val="00267462"/>
    <w:rsid w:val="0026751B"/>
    <w:rsid w:val="002675E5"/>
    <w:rsid w:val="00267708"/>
    <w:rsid w:val="00267A12"/>
    <w:rsid w:val="00267AA1"/>
    <w:rsid w:val="00267ACE"/>
    <w:rsid w:val="00267D58"/>
    <w:rsid w:val="00267DAF"/>
    <w:rsid w:val="0027000B"/>
    <w:rsid w:val="0027014B"/>
    <w:rsid w:val="002701AB"/>
    <w:rsid w:val="002702EC"/>
    <w:rsid w:val="002703E7"/>
    <w:rsid w:val="0027053F"/>
    <w:rsid w:val="0027062D"/>
    <w:rsid w:val="0027062E"/>
    <w:rsid w:val="00270691"/>
    <w:rsid w:val="00270879"/>
    <w:rsid w:val="00270989"/>
    <w:rsid w:val="00270A07"/>
    <w:rsid w:val="00270A72"/>
    <w:rsid w:val="00270AB0"/>
    <w:rsid w:val="00270C0D"/>
    <w:rsid w:val="00270F20"/>
    <w:rsid w:val="00270F59"/>
    <w:rsid w:val="00270FBB"/>
    <w:rsid w:val="00270FDF"/>
    <w:rsid w:val="00271048"/>
    <w:rsid w:val="00271065"/>
    <w:rsid w:val="002710B1"/>
    <w:rsid w:val="002711D8"/>
    <w:rsid w:val="00271237"/>
    <w:rsid w:val="0027130A"/>
    <w:rsid w:val="00271364"/>
    <w:rsid w:val="00271438"/>
    <w:rsid w:val="002716FC"/>
    <w:rsid w:val="00271892"/>
    <w:rsid w:val="002718F2"/>
    <w:rsid w:val="00271904"/>
    <w:rsid w:val="00271957"/>
    <w:rsid w:val="00271AF5"/>
    <w:rsid w:val="00271AF7"/>
    <w:rsid w:val="00271B8A"/>
    <w:rsid w:val="00271CBE"/>
    <w:rsid w:val="00271EBC"/>
    <w:rsid w:val="00271EFD"/>
    <w:rsid w:val="00271F75"/>
    <w:rsid w:val="00272196"/>
    <w:rsid w:val="002721A7"/>
    <w:rsid w:val="0027249B"/>
    <w:rsid w:val="002726F6"/>
    <w:rsid w:val="0027276D"/>
    <w:rsid w:val="002727B4"/>
    <w:rsid w:val="0027297C"/>
    <w:rsid w:val="00272B23"/>
    <w:rsid w:val="00272B73"/>
    <w:rsid w:val="00272C9C"/>
    <w:rsid w:val="00272DFD"/>
    <w:rsid w:val="00272E7F"/>
    <w:rsid w:val="00272F30"/>
    <w:rsid w:val="002730FE"/>
    <w:rsid w:val="0027361C"/>
    <w:rsid w:val="0027362B"/>
    <w:rsid w:val="00273691"/>
    <w:rsid w:val="002736D0"/>
    <w:rsid w:val="00273807"/>
    <w:rsid w:val="00273838"/>
    <w:rsid w:val="00273867"/>
    <w:rsid w:val="002738FD"/>
    <w:rsid w:val="0027398F"/>
    <w:rsid w:val="00273B2D"/>
    <w:rsid w:val="00273B61"/>
    <w:rsid w:val="00273C5B"/>
    <w:rsid w:val="00273EFE"/>
    <w:rsid w:val="00274001"/>
    <w:rsid w:val="002742B4"/>
    <w:rsid w:val="002743A0"/>
    <w:rsid w:val="0027443C"/>
    <w:rsid w:val="002745D5"/>
    <w:rsid w:val="00274653"/>
    <w:rsid w:val="00274846"/>
    <w:rsid w:val="00274870"/>
    <w:rsid w:val="002749C8"/>
    <w:rsid w:val="00274A21"/>
    <w:rsid w:val="00274A81"/>
    <w:rsid w:val="00274AFC"/>
    <w:rsid w:val="00274BCA"/>
    <w:rsid w:val="00274BF8"/>
    <w:rsid w:val="00274CC7"/>
    <w:rsid w:val="00274CEE"/>
    <w:rsid w:val="00274D12"/>
    <w:rsid w:val="00274DD8"/>
    <w:rsid w:val="00274E1F"/>
    <w:rsid w:val="00274E4E"/>
    <w:rsid w:val="00274EE0"/>
    <w:rsid w:val="00274F68"/>
    <w:rsid w:val="00274FBC"/>
    <w:rsid w:val="00275001"/>
    <w:rsid w:val="00275201"/>
    <w:rsid w:val="002752D4"/>
    <w:rsid w:val="002754EA"/>
    <w:rsid w:val="0027553D"/>
    <w:rsid w:val="00275590"/>
    <w:rsid w:val="0027572E"/>
    <w:rsid w:val="002757F6"/>
    <w:rsid w:val="002758A0"/>
    <w:rsid w:val="00275A10"/>
    <w:rsid w:val="00275B1F"/>
    <w:rsid w:val="00275C4F"/>
    <w:rsid w:val="00275F3D"/>
    <w:rsid w:val="002760B6"/>
    <w:rsid w:val="0027612C"/>
    <w:rsid w:val="0027619B"/>
    <w:rsid w:val="0027640C"/>
    <w:rsid w:val="00276439"/>
    <w:rsid w:val="002764B7"/>
    <w:rsid w:val="00276601"/>
    <w:rsid w:val="00276657"/>
    <w:rsid w:val="002766BC"/>
    <w:rsid w:val="0027675D"/>
    <w:rsid w:val="00276802"/>
    <w:rsid w:val="002768D7"/>
    <w:rsid w:val="00276983"/>
    <w:rsid w:val="00276BF3"/>
    <w:rsid w:val="00276F16"/>
    <w:rsid w:val="0027713A"/>
    <w:rsid w:val="0027725C"/>
    <w:rsid w:val="00277340"/>
    <w:rsid w:val="0027736A"/>
    <w:rsid w:val="002773E2"/>
    <w:rsid w:val="002775B3"/>
    <w:rsid w:val="00277644"/>
    <w:rsid w:val="0027782B"/>
    <w:rsid w:val="00277B15"/>
    <w:rsid w:val="00277B72"/>
    <w:rsid w:val="00280037"/>
    <w:rsid w:val="0028006E"/>
    <w:rsid w:val="002802F4"/>
    <w:rsid w:val="0028037B"/>
    <w:rsid w:val="0028049F"/>
    <w:rsid w:val="00280537"/>
    <w:rsid w:val="0028075E"/>
    <w:rsid w:val="00280789"/>
    <w:rsid w:val="00280852"/>
    <w:rsid w:val="00280876"/>
    <w:rsid w:val="0028088C"/>
    <w:rsid w:val="00280C36"/>
    <w:rsid w:val="00280C4D"/>
    <w:rsid w:val="00280CD6"/>
    <w:rsid w:val="00280DA1"/>
    <w:rsid w:val="00280DE2"/>
    <w:rsid w:val="00280E92"/>
    <w:rsid w:val="00280E94"/>
    <w:rsid w:val="00281014"/>
    <w:rsid w:val="00281115"/>
    <w:rsid w:val="00281176"/>
    <w:rsid w:val="00281187"/>
    <w:rsid w:val="002811E2"/>
    <w:rsid w:val="0028135C"/>
    <w:rsid w:val="00281408"/>
    <w:rsid w:val="00281409"/>
    <w:rsid w:val="00281415"/>
    <w:rsid w:val="00281500"/>
    <w:rsid w:val="0028168D"/>
    <w:rsid w:val="002816AD"/>
    <w:rsid w:val="0028190C"/>
    <w:rsid w:val="00281A28"/>
    <w:rsid w:val="00281A6D"/>
    <w:rsid w:val="00281AC3"/>
    <w:rsid w:val="00281AC6"/>
    <w:rsid w:val="00281BCD"/>
    <w:rsid w:val="00281BD1"/>
    <w:rsid w:val="00281C61"/>
    <w:rsid w:val="00281CB7"/>
    <w:rsid w:val="00281D1B"/>
    <w:rsid w:val="00281DDC"/>
    <w:rsid w:val="00281E68"/>
    <w:rsid w:val="00281EA4"/>
    <w:rsid w:val="00282277"/>
    <w:rsid w:val="002822C3"/>
    <w:rsid w:val="002824A0"/>
    <w:rsid w:val="002824FC"/>
    <w:rsid w:val="002825CA"/>
    <w:rsid w:val="002828BA"/>
    <w:rsid w:val="002828D4"/>
    <w:rsid w:val="00282908"/>
    <w:rsid w:val="002829B8"/>
    <w:rsid w:val="002829F8"/>
    <w:rsid w:val="002829FB"/>
    <w:rsid w:val="00282A72"/>
    <w:rsid w:val="00282A83"/>
    <w:rsid w:val="00282AD9"/>
    <w:rsid w:val="00282B39"/>
    <w:rsid w:val="00282DB8"/>
    <w:rsid w:val="00283004"/>
    <w:rsid w:val="00283131"/>
    <w:rsid w:val="0028330F"/>
    <w:rsid w:val="002835AF"/>
    <w:rsid w:val="0028360B"/>
    <w:rsid w:val="002837FD"/>
    <w:rsid w:val="002839E5"/>
    <w:rsid w:val="00283B06"/>
    <w:rsid w:val="00283B7F"/>
    <w:rsid w:val="00283EC6"/>
    <w:rsid w:val="0028403B"/>
    <w:rsid w:val="00284354"/>
    <w:rsid w:val="00284416"/>
    <w:rsid w:val="00284604"/>
    <w:rsid w:val="002846B9"/>
    <w:rsid w:val="002848B0"/>
    <w:rsid w:val="002849A8"/>
    <w:rsid w:val="002849CF"/>
    <w:rsid w:val="00284A9A"/>
    <w:rsid w:val="00284ADF"/>
    <w:rsid w:val="00284C6E"/>
    <w:rsid w:val="00284C78"/>
    <w:rsid w:val="00285063"/>
    <w:rsid w:val="0028506A"/>
    <w:rsid w:val="00285109"/>
    <w:rsid w:val="002855F9"/>
    <w:rsid w:val="0028561B"/>
    <w:rsid w:val="0028562F"/>
    <w:rsid w:val="002858DE"/>
    <w:rsid w:val="002859FE"/>
    <w:rsid w:val="00285B4D"/>
    <w:rsid w:val="00285C61"/>
    <w:rsid w:val="00285E2C"/>
    <w:rsid w:val="00285EF8"/>
    <w:rsid w:val="00285F82"/>
    <w:rsid w:val="00286106"/>
    <w:rsid w:val="002861AC"/>
    <w:rsid w:val="002863B3"/>
    <w:rsid w:val="00286561"/>
    <w:rsid w:val="002865B7"/>
    <w:rsid w:val="00286782"/>
    <w:rsid w:val="0028681D"/>
    <w:rsid w:val="0028682B"/>
    <w:rsid w:val="0028693F"/>
    <w:rsid w:val="00286982"/>
    <w:rsid w:val="002869F0"/>
    <w:rsid w:val="00286A29"/>
    <w:rsid w:val="00286A6A"/>
    <w:rsid w:val="00286C0A"/>
    <w:rsid w:val="00286C87"/>
    <w:rsid w:val="00286CCA"/>
    <w:rsid w:val="00286DEB"/>
    <w:rsid w:val="0028704C"/>
    <w:rsid w:val="0028719C"/>
    <w:rsid w:val="002872AB"/>
    <w:rsid w:val="00287342"/>
    <w:rsid w:val="0028763D"/>
    <w:rsid w:val="002876D3"/>
    <w:rsid w:val="00287740"/>
    <w:rsid w:val="002877BF"/>
    <w:rsid w:val="002877C2"/>
    <w:rsid w:val="0028786D"/>
    <w:rsid w:val="00287A0A"/>
    <w:rsid w:val="00287AA2"/>
    <w:rsid w:val="00287B43"/>
    <w:rsid w:val="00287B90"/>
    <w:rsid w:val="00287BC0"/>
    <w:rsid w:val="00287C4E"/>
    <w:rsid w:val="00287D47"/>
    <w:rsid w:val="00287D86"/>
    <w:rsid w:val="00287D8E"/>
    <w:rsid w:val="00287FD6"/>
    <w:rsid w:val="002901D4"/>
    <w:rsid w:val="002903BC"/>
    <w:rsid w:val="002903D7"/>
    <w:rsid w:val="00290403"/>
    <w:rsid w:val="0029062C"/>
    <w:rsid w:val="002906C3"/>
    <w:rsid w:val="00290784"/>
    <w:rsid w:val="00290878"/>
    <w:rsid w:val="00290956"/>
    <w:rsid w:val="0029098F"/>
    <w:rsid w:val="002909B8"/>
    <w:rsid w:val="00290A22"/>
    <w:rsid w:val="00290A39"/>
    <w:rsid w:val="00290A4B"/>
    <w:rsid w:val="00290D8F"/>
    <w:rsid w:val="00290DD2"/>
    <w:rsid w:val="00290E3F"/>
    <w:rsid w:val="00290F96"/>
    <w:rsid w:val="0029104E"/>
    <w:rsid w:val="0029109A"/>
    <w:rsid w:val="00291175"/>
    <w:rsid w:val="00291183"/>
    <w:rsid w:val="0029133C"/>
    <w:rsid w:val="00291354"/>
    <w:rsid w:val="00291482"/>
    <w:rsid w:val="00291523"/>
    <w:rsid w:val="0029152E"/>
    <w:rsid w:val="002915E4"/>
    <w:rsid w:val="00291688"/>
    <w:rsid w:val="002916DF"/>
    <w:rsid w:val="00291826"/>
    <w:rsid w:val="0029182B"/>
    <w:rsid w:val="0029185E"/>
    <w:rsid w:val="0029186F"/>
    <w:rsid w:val="002918BD"/>
    <w:rsid w:val="002919BB"/>
    <w:rsid w:val="002919D2"/>
    <w:rsid w:val="00291A60"/>
    <w:rsid w:val="00291ADE"/>
    <w:rsid w:val="00291B20"/>
    <w:rsid w:val="00291B90"/>
    <w:rsid w:val="00291BC5"/>
    <w:rsid w:val="00291C46"/>
    <w:rsid w:val="00291D24"/>
    <w:rsid w:val="00291DCD"/>
    <w:rsid w:val="00291E49"/>
    <w:rsid w:val="00291EB5"/>
    <w:rsid w:val="00291F4C"/>
    <w:rsid w:val="00291F4D"/>
    <w:rsid w:val="0029207B"/>
    <w:rsid w:val="002920E5"/>
    <w:rsid w:val="002921A8"/>
    <w:rsid w:val="00292297"/>
    <w:rsid w:val="002922A5"/>
    <w:rsid w:val="002923AF"/>
    <w:rsid w:val="00292495"/>
    <w:rsid w:val="002925EA"/>
    <w:rsid w:val="002926AF"/>
    <w:rsid w:val="002926E0"/>
    <w:rsid w:val="00292881"/>
    <w:rsid w:val="00292A39"/>
    <w:rsid w:val="00292B7A"/>
    <w:rsid w:val="00292BA2"/>
    <w:rsid w:val="00292C9D"/>
    <w:rsid w:val="00292D72"/>
    <w:rsid w:val="00292F80"/>
    <w:rsid w:val="0029304B"/>
    <w:rsid w:val="0029305D"/>
    <w:rsid w:val="002934DC"/>
    <w:rsid w:val="0029354F"/>
    <w:rsid w:val="0029356B"/>
    <w:rsid w:val="0029362B"/>
    <w:rsid w:val="002936E8"/>
    <w:rsid w:val="0029373C"/>
    <w:rsid w:val="002937AB"/>
    <w:rsid w:val="002939ED"/>
    <w:rsid w:val="00293A46"/>
    <w:rsid w:val="00293A6F"/>
    <w:rsid w:val="00293AA8"/>
    <w:rsid w:val="00293AC0"/>
    <w:rsid w:val="00293C5F"/>
    <w:rsid w:val="00293D04"/>
    <w:rsid w:val="00294073"/>
    <w:rsid w:val="00294096"/>
    <w:rsid w:val="002941BF"/>
    <w:rsid w:val="002942AE"/>
    <w:rsid w:val="002942E5"/>
    <w:rsid w:val="00294345"/>
    <w:rsid w:val="00294593"/>
    <w:rsid w:val="002946BB"/>
    <w:rsid w:val="002946D5"/>
    <w:rsid w:val="002947A6"/>
    <w:rsid w:val="002947FB"/>
    <w:rsid w:val="0029483A"/>
    <w:rsid w:val="00294A1E"/>
    <w:rsid w:val="00294A67"/>
    <w:rsid w:val="00294B09"/>
    <w:rsid w:val="00294CA9"/>
    <w:rsid w:val="00294CD1"/>
    <w:rsid w:val="00294CD6"/>
    <w:rsid w:val="00294D34"/>
    <w:rsid w:val="00294DA9"/>
    <w:rsid w:val="00294DCC"/>
    <w:rsid w:val="00294E65"/>
    <w:rsid w:val="00294E80"/>
    <w:rsid w:val="00294FB0"/>
    <w:rsid w:val="00294FC8"/>
    <w:rsid w:val="00295158"/>
    <w:rsid w:val="002951FD"/>
    <w:rsid w:val="002952D0"/>
    <w:rsid w:val="002953D2"/>
    <w:rsid w:val="00295420"/>
    <w:rsid w:val="00295449"/>
    <w:rsid w:val="002956A9"/>
    <w:rsid w:val="0029585E"/>
    <w:rsid w:val="00295BF0"/>
    <w:rsid w:val="00295E30"/>
    <w:rsid w:val="00295FC6"/>
    <w:rsid w:val="00296137"/>
    <w:rsid w:val="002961BF"/>
    <w:rsid w:val="002961F7"/>
    <w:rsid w:val="002962D9"/>
    <w:rsid w:val="00296311"/>
    <w:rsid w:val="0029647F"/>
    <w:rsid w:val="002964E6"/>
    <w:rsid w:val="002964FE"/>
    <w:rsid w:val="00296533"/>
    <w:rsid w:val="0029678B"/>
    <w:rsid w:val="0029685C"/>
    <w:rsid w:val="00296C87"/>
    <w:rsid w:val="00296D71"/>
    <w:rsid w:val="00296E3D"/>
    <w:rsid w:val="002970AD"/>
    <w:rsid w:val="0029712E"/>
    <w:rsid w:val="002973B2"/>
    <w:rsid w:val="00297571"/>
    <w:rsid w:val="00297B80"/>
    <w:rsid w:val="00297EC2"/>
    <w:rsid w:val="00297EFA"/>
    <w:rsid w:val="002A0050"/>
    <w:rsid w:val="002A00A7"/>
    <w:rsid w:val="002A0238"/>
    <w:rsid w:val="002A0263"/>
    <w:rsid w:val="002A03D7"/>
    <w:rsid w:val="002A0505"/>
    <w:rsid w:val="002A053F"/>
    <w:rsid w:val="002A0605"/>
    <w:rsid w:val="002A0669"/>
    <w:rsid w:val="002A070D"/>
    <w:rsid w:val="002A0823"/>
    <w:rsid w:val="002A0898"/>
    <w:rsid w:val="002A08BB"/>
    <w:rsid w:val="002A08C0"/>
    <w:rsid w:val="002A0908"/>
    <w:rsid w:val="002A09C4"/>
    <w:rsid w:val="002A0D77"/>
    <w:rsid w:val="002A0E54"/>
    <w:rsid w:val="002A0E8E"/>
    <w:rsid w:val="002A11B7"/>
    <w:rsid w:val="002A1411"/>
    <w:rsid w:val="002A14A2"/>
    <w:rsid w:val="002A14F7"/>
    <w:rsid w:val="002A154F"/>
    <w:rsid w:val="002A1624"/>
    <w:rsid w:val="002A1626"/>
    <w:rsid w:val="002A1647"/>
    <w:rsid w:val="002A1653"/>
    <w:rsid w:val="002A1677"/>
    <w:rsid w:val="002A16C9"/>
    <w:rsid w:val="002A16D8"/>
    <w:rsid w:val="002A170D"/>
    <w:rsid w:val="002A1876"/>
    <w:rsid w:val="002A1AE4"/>
    <w:rsid w:val="002A1E34"/>
    <w:rsid w:val="002A1E3B"/>
    <w:rsid w:val="002A1E5B"/>
    <w:rsid w:val="002A1EE6"/>
    <w:rsid w:val="002A1F1A"/>
    <w:rsid w:val="002A2213"/>
    <w:rsid w:val="002A229E"/>
    <w:rsid w:val="002A24E9"/>
    <w:rsid w:val="002A255D"/>
    <w:rsid w:val="002A2969"/>
    <w:rsid w:val="002A29DB"/>
    <w:rsid w:val="002A2A53"/>
    <w:rsid w:val="002A2B5E"/>
    <w:rsid w:val="002A2EB3"/>
    <w:rsid w:val="002A300B"/>
    <w:rsid w:val="002A3043"/>
    <w:rsid w:val="002A31B9"/>
    <w:rsid w:val="002A32E2"/>
    <w:rsid w:val="002A3380"/>
    <w:rsid w:val="002A35DC"/>
    <w:rsid w:val="002A3642"/>
    <w:rsid w:val="002A364F"/>
    <w:rsid w:val="002A36A0"/>
    <w:rsid w:val="002A37EA"/>
    <w:rsid w:val="002A3967"/>
    <w:rsid w:val="002A3B38"/>
    <w:rsid w:val="002A3BD0"/>
    <w:rsid w:val="002A3BF4"/>
    <w:rsid w:val="002A3C0F"/>
    <w:rsid w:val="002A3E93"/>
    <w:rsid w:val="002A4002"/>
    <w:rsid w:val="002A4299"/>
    <w:rsid w:val="002A4320"/>
    <w:rsid w:val="002A4363"/>
    <w:rsid w:val="002A4438"/>
    <w:rsid w:val="002A456D"/>
    <w:rsid w:val="002A4849"/>
    <w:rsid w:val="002A4CAF"/>
    <w:rsid w:val="002A4E40"/>
    <w:rsid w:val="002A4F15"/>
    <w:rsid w:val="002A4F76"/>
    <w:rsid w:val="002A5100"/>
    <w:rsid w:val="002A53DC"/>
    <w:rsid w:val="002A5458"/>
    <w:rsid w:val="002A56D1"/>
    <w:rsid w:val="002A56D5"/>
    <w:rsid w:val="002A5985"/>
    <w:rsid w:val="002A5CEC"/>
    <w:rsid w:val="002A5DCA"/>
    <w:rsid w:val="002A5E4B"/>
    <w:rsid w:val="002A5EA3"/>
    <w:rsid w:val="002A5FD4"/>
    <w:rsid w:val="002A5FDF"/>
    <w:rsid w:val="002A62FD"/>
    <w:rsid w:val="002A63C4"/>
    <w:rsid w:val="002A6593"/>
    <w:rsid w:val="002A660D"/>
    <w:rsid w:val="002A6659"/>
    <w:rsid w:val="002A66AE"/>
    <w:rsid w:val="002A66F9"/>
    <w:rsid w:val="002A6AEF"/>
    <w:rsid w:val="002A6B4B"/>
    <w:rsid w:val="002A6BC9"/>
    <w:rsid w:val="002A6C1C"/>
    <w:rsid w:val="002A6CFC"/>
    <w:rsid w:val="002A6DC3"/>
    <w:rsid w:val="002A6F43"/>
    <w:rsid w:val="002A7111"/>
    <w:rsid w:val="002A7161"/>
    <w:rsid w:val="002A72EF"/>
    <w:rsid w:val="002A73AC"/>
    <w:rsid w:val="002A752B"/>
    <w:rsid w:val="002A7542"/>
    <w:rsid w:val="002A7689"/>
    <w:rsid w:val="002A7710"/>
    <w:rsid w:val="002A7758"/>
    <w:rsid w:val="002A7762"/>
    <w:rsid w:val="002A7768"/>
    <w:rsid w:val="002A7834"/>
    <w:rsid w:val="002A790E"/>
    <w:rsid w:val="002A793E"/>
    <w:rsid w:val="002A7964"/>
    <w:rsid w:val="002A7ADA"/>
    <w:rsid w:val="002A7C39"/>
    <w:rsid w:val="002A7D2B"/>
    <w:rsid w:val="002A7D99"/>
    <w:rsid w:val="002A7EFF"/>
    <w:rsid w:val="002A7F3D"/>
    <w:rsid w:val="002B00B4"/>
    <w:rsid w:val="002B0149"/>
    <w:rsid w:val="002B019E"/>
    <w:rsid w:val="002B0578"/>
    <w:rsid w:val="002B05B1"/>
    <w:rsid w:val="002B05EC"/>
    <w:rsid w:val="002B05F5"/>
    <w:rsid w:val="002B0652"/>
    <w:rsid w:val="002B079F"/>
    <w:rsid w:val="002B089C"/>
    <w:rsid w:val="002B0A8B"/>
    <w:rsid w:val="002B0B53"/>
    <w:rsid w:val="002B0BDD"/>
    <w:rsid w:val="002B0C86"/>
    <w:rsid w:val="002B0CC0"/>
    <w:rsid w:val="002B0F78"/>
    <w:rsid w:val="002B11EC"/>
    <w:rsid w:val="002B120E"/>
    <w:rsid w:val="002B1210"/>
    <w:rsid w:val="002B1396"/>
    <w:rsid w:val="002B14B1"/>
    <w:rsid w:val="002B166E"/>
    <w:rsid w:val="002B1AD8"/>
    <w:rsid w:val="002B1C40"/>
    <w:rsid w:val="002B2041"/>
    <w:rsid w:val="002B21F6"/>
    <w:rsid w:val="002B22D0"/>
    <w:rsid w:val="002B230A"/>
    <w:rsid w:val="002B23DA"/>
    <w:rsid w:val="002B2492"/>
    <w:rsid w:val="002B260E"/>
    <w:rsid w:val="002B2755"/>
    <w:rsid w:val="002B27BC"/>
    <w:rsid w:val="002B27CC"/>
    <w:rsid w:val="002B2801"/>
    <w:rsid w:val="002B2808"/>
    <w:rsid w:val="002B282B"/>
    <w:rsid w:val="002B28A8"/>
    <w:rsid w:val="002B2A1C"/>
    <w:rsid w:val="002B2B45"/>
    <w:rsid w:val="002B2D75"/>
    <w:rsid w:val="002B2DCF"/>
    <w:rsid w:val="002B2F96"/>
    <w:rsid w:val="002B2FDE"/>
    <w:rsid w:val="002B309A"/>
    <w:rsid w:val="002B32A8"/>
    <w:rsid w:val="002B3412"/>
    <w:rsid w:val="002B35AF"/>
    <w:rsid w:val="002B37C1"/>
    <w:rsid w:val="002B37E1"/>
    <w:rsid w:val="002B3A99"/>
    <w:rsid w:val="002B3BA6"/>
    <w:rsid w:val="002B3D94"/>
    <w:rsid w:val="002B3DD4"/>
    <w:rsid w:val="002B3F52"/>
    <w:rsid w:val="002B3F5A"/>
    <w:rsid w:val="002B400A"/>
    <w:rsid w:val="002B4145"/>
    <w:rsid w:val="002B4221"/>
    <w:rsid w:val="002B4281"/>
    <w:rsid w:val="002B42DF"/>
    <w:rsid w:val="002B43E2"/>
    <w:rsid w:val="002B43F3"/>
    <w:rsid w:val="002B4513"/>
    <w:rsid w:val="002B4516"/>
    <w:rsid w:val="002B45B6"/>
    <w:rsid w:val="002B45C3"/>
    <w:rsid w:val="002B46B3"/>
    <w:rsid w:val="002B46F8"/>
    <w:rsid w:val="002B48C3"/>
    <w:rsid w:val="002B4A00"/>
    <w:rsid w:val="002B4A2F"/>
    <w:rsid w:val="002B4D27"/>
    <w:rsid w:val="002B4F78"/>
    <w:rsid w:val="002B51B2"/>
    <w:rsid w:val="002B537D"/>
    <w:rsid w:val="002B537F"/>
    <w:rsid w:val="002B541B"/>
    <w:rsid w:val="002B54B3"/>
    <w:rsid w:val="002B572C"/>
    <w:rsid w:val="002B58D2"/>
    <w:rsid w:val="002B5C14"/>
    <w:rsid w:val="002B5C5D"/>
    <w:rsid w:val="002B5CA0"/>
    <w:rsid w:val="002B5D58"/>
    <w:rsid w:val="002B5D89"/>
    <w:rsid w:val="002B5D8E"/>
    <w:rsid w:val="002B5E21"/>
    <w:rsid w:val="002B5EF7"/>
    <w:rsid w:val="002B5F03"/>
    <w:rsid w:val="002B5F5C"/>
    <w:rsid w:val="002B5F8D"/>
    <w:rsid w:val="002B5FE8"/>
    <w:rsid w:val="002B602D"/>
    <w:rsid w:val="002B61BA"/>
    <w:rsid w:val="002B6642"/>
    <w:rsid w:val="002B668C"/>
    <w:rsid w:val="002B66E1"/>
    <w:rsid w:val="002B67CB"/>
    <w:rsid w:val="002B6811"/>
    <w:rsid w:val="002B6841"/>
    <w:rsid w:val="002B6971"/>
    <w:rsid w:val="002B69F2"/>
    <w:rsid w:val="002B6B5E"/>
    <w:rsid w:val="002B6C4A"/>
    <w:rsid w:val="002B6DC1"/>
    <w:rsid w:val="002B6E4E"/>
    <w:rsid w:val="002B6F0C"/>
    <w:rsid w:val="002B7081"/>
    <w:rsid w:val="002B70D1"/>
    <w:rsid w:val="002B719B"/>
    <w:rsid w:val="002B71E5"/>
    <w:rsid w:val="002B7337"/>
    <w:rsid w:val="002B7428"/>
    <w:rsid w:val="002B7613"/>
    <w:rsid w:val="002B76CA"/>
    <w:rsid w:val="002B76CF"/>
    <w:rsid w:val="002B781B"/>
    <w:rsid w:val="002B7859"/>
    <w:rsid w:val="002B791D"/>
    <w:rsid w:val="002B7D35"/>
    <w:rsid w:val="002B7E25"/>
    <w:rsid w:val="002B7F7E"/>
    <w:rsid w:val="002C0353"/>
    <w:rsid w:val="002C0692"/>
    <w:rsid w:val="002C0695"/>
    <w:rsid w:val="002C0B55"/>
    <w:rsid w:val="002C0CBA"/>
    <w:rsid w:val="002C0DEA"/>
    <w:rsid w:val="002C0E6C"/>
    <w:rsid w:val="002C1053"/>
    <w:rsid w:val="002C1084"/>
    <w:rsid w:val="002C11A4"/>
    <w:rsid w:val="002C149A"/>
    <w:rsid w:val="002C14C5"/>
    <w:rsid w:val="002C14EB"/>
    <w:rsid w:val="002C16D3"/>
    <w:rsid w:val="002C188A"/>
    <w:rsid w:val="002C1940"/>
    <w:rsid w:val="002C19D8"/>
    <w:rsid w:val="002C1A48"/>
    <w:rsid w:val="002C1BF3"/>
    <w:rsid w:val="002C1C09"/>
    <w:rsid w:val="002C1C1D"/>
    <w:rsid w:val="002C1CE0"/>
    <w:rsid w:val="002C1D2E"/>
    <w:rsid w:val="002C1EB6"/>
    <w:rsid w:val="002C1EF4"/>
    <w:rsid w:val="002C2014"/>
    <w:rsid w:val="002C2070"/>
    <w:rsid w:val="002C21D2"/>
    <w:rsid w:val="002C2220"/>
    <w:rsid w:val="002C2249"/>
    <w:rsid w:val="002C25AB"/>
    <w:rsid w:val="002C27BA"/>
    <w:rsid w:val="002C290F"/>
    <w:rsid w:val="002C2A61"/>
    <w:rsid w:val="002C2AEB"/>
    <w:rsid w:val="002C2B08"/>
    <w:rsid w:val="002C2BD2"/>
    <w:rsid w:val="002C2C5F"/>
    <w:rsid w:val="002C2CA3"/>
    <w:rsid w:val="002C3072"/>
    <w:rsid w:val="002C30BF"/>
    <w:rsid w:val="002C315A"/>
    <w:rsid w:val="002C3441"/>
    <w:rsid w:val="002C349E"/>
    <w:rsid w:val="002C34C9"/>
    <w:rsid w:val="002C3554"/>
    <w:rsid w:val="002C35C3"/>
    <w:rsid w:val="002C363C"/>
    <w:rsid w:val="002C3700"/>
    <w:rsid w:val="002C37D9"/>
    <w:rsid w:val="002C390E"/>
    <w:rsid w:val="002C3B6E"/>
    <w:rsid w:val="002C3C18"/>
    <w:rsid w:val="002C3CDB"/>
    <w:rsid w:val="002C3F2E"/>
    <w:rsid w:val="002C3F92"/>
    <w:rsid w:val="002C3FFA"/>
    <w:rsid w:val="002C4310"/>
    <w:rsid w:val="002C437D"/>
    <w:rsid w:val="002C4462"/>
    <w:rsid w:val="002C45A3"/>
    <w:rsid w:val="002C4654"/>
    <w:rsid w:val="002C473C"/>
    <w:rsid w:val="002C476A"/>
    <w:rsid w:val="002C4A07"/>
    <w:rsid w:val="002C4A44"/>
    <w:rsid w:val="002C4CA1"/>
    <w:rsid w:val="002C50C4"/>
    <w:rsid w:val="002C52CC"/>
    <w:rsid w:val="002C5316"/>
    <w:rsid w:val="002C534A"/>
    <w:rsid w:val="002C53DD"/>
    <w:rsid w:val="002C5463"/>
    <w:rsid w:val="002C5487"/>
    <w:rsid w:val="002C5595"/>
    <w:rsid w:val="002C5635"/>
    <w:rsid w:val="002C569E"/>
    <w:rsid w:val="002C56D6"/>
    <w:rsid w:val="002C5820"/>
    <w:rsid w:val="002C58B6"/>
    <w:rsid w:val="002C5A62"/>
    <w:rsid w:val="002C5B7D"/>
    <w:rsid w:val="002C5E50"/>
    <w:rsid w:val="002C609F"/>
    <w:rsid w:val="002C60DC"/>
    <w:rsid w:val="002C618C"/>
    <w:rsid w:val="002C6243"/>
    <w:rsid w:val="002C6276"/>
    <w:rsid w:val="002C62FE"/>
    <w:rsid w:val="002C637E"/>
    <w:rsid w:val="002C63B2"/>
    <w:rsid w:val="002C65EE"/>
    <w:rsid w:val="002C6625"/>
    <w:rsid w:val="002C6651"/>
    <w:rsid w:val="002C6668"/>
    <w:rsid w:val="002C66A8"/>
    <w:rsid w:val="002C66CE"/>
    <w:rsid w:val="002C672E"/>
    <w:rsid w:val="002C6989"/>
    <w:rsid w:val="002C6997"/>
    <w:rsid w:val="002C6C07"/>
    <w:rsid w:val="002C6D81"/>
    <w:rsid w:val="002C6E41"/>
    <w:rsid w:val="002C6EB4"/>
    <w:rsid w:val="002C6ECB"/>
    <w:rsid w:val="002C700F"/>
    <w:rsid w:val="002C70FD"/>
    <w:rsid w:val="002C73BE"/>
    <w:rsid w:val="002C741B"/>
    <w:rsid w:val="002C7440"/>
    <w:rsid w:val="002C74BF"/>
    <w:rsid w:val="002C7564"/>
    <w:rsid w:val="002C75E7"/>
    <w:rsid w:val="002C7677"/>
    <w:rsid w:val="002C76F9"/>
    <w:rsid w:val="002C77F3"/>
    <w:rsid w:val="002C7818"/>
    <w:rsid w:val="002C78D9"/>
    <w:rsid w:val="002C793F"/>
    <w:rsid w:val="002C7B07"/>
    <w:rsid w:val="002C7D10"/>
    <w:rsid w:val="002C7FFA"/>
    <w:rsid w:val="002D0256"/>
    <w:rsid w:val="002D0257"/>
    <w:rsid w:val="002D07BF"/>
    <w:rsid w:val="002D0A2A"/>
    <w:rsid w:val="002D0DC3"/>
    <w:rsid w:val="002D0DDA"/>
    <w:rsid w:val="002D0E3B"/>
    <w:rsid w:val="002D0E99"/>
    <w:rsid w:val="002D0FAF"/>
    <w:rsid w:val="002D1045"/>
    <w:rsid w:val="002D108F"/>
    <w:rsid w:val="002D11D1"/>
    <w:rsid w:val="002D1586"/>
    <w:rsid w:val="002D162D"/>
    <w:rsid w:val="002D1696"/>
    <w:rsid w:val="002D16C0"/>
    <w:rsid w:val="002D176D"/>
    <w:rsid w:val="002D17E9"/>
    <w:rsid w:val="002D1920"/>
    <w:rsid w:val="002D1C03"/>
    <w:rsid w:val="002D1C1C"/>
    <w:rsid w:val="002D1CB1"/>
    <w:rsid w:val="002D1FAF"/>
    <w:rsid w:val="002D21CA"/>
    <w:rsid w:val="002D2271"/>
    <w:rsid w:val="002D22F1"/>
    <w:rsid w:val="002D235B"/>
    <w:rsid w:val="002D23B4"/>
    <w:rsid w:val="002D2510"/>
    <w:rsid w:val="002D2672"/>
    <w:rsid w:val="002D27EF"/>
    <w:rsid w:val="002D2952"/>
    <w:rsid w:val="002D2A26"/>
    <w:rsid w:val="002D2AC9"/>
    <w:rsid w:val="002D2AF5"/>
    <w:rsid w:val="002D2D0D"/>
    <w:rsid w:val="002D2D41"/>
    <w:rsid w:val="002D2D4F"/>
    <w:rsid w:val="002D2D82"/>
    <w:rsid w:val="002D2DAE"/>
    <w:rsid w:val="002D2E4F"/>
    <w:rsid w:val="002D2F41"/>
    <w:rsid w:val="002D2F9C"/>
    <w:rsid w:val="002D3034"/>
    <w:rsid w:val="002D320E"/>
    <w:rsid w:val="002D35CD"/>
    <w:rsid w:val="002D372A"/>
    <w:rsid w:val="002D37F0"/>
    <w:rsid w:val="002D39DE"/>
    <w:rsid w:val="002D3AD8"/>
    <w:rsid w:val="002D3CDA"/>
    <w:rsid w:val="002D3D6D"/>
    <w:rsid w:val="002D400C"/>
    <w:rsid w:val="002D40C0"/>
    <w:rsid w:val="002D4108"/>
    <w:rsid w:val="002D428C"/>
    <w:rsid w:val="002D42B6"/>
    <w:rsid w:val="002D42D5"/>
    <w:rsid w:val="002D4538"/>
    <w:rsid w:val="002D4559"/>
    <w:rsid w:val="002D467F"/>
    <w:rsid w:val="002D46CE"/>
    <w:rsid w:val="002D4761"/>
    <w:rsid w:val="002D49FC"/>
    <w:rsid w:val="002D4A6B"/>
    <w:rsid w:val="002D4C69"/>
    <w:rsid w:val="002D4D20"/>
    <w:rsid w:val="002D4F2A"/>
    <w:rsid w:val="002D4FB3"/>
    <w:rsid w:val="002D5058"/>
    <w:rsid w:val="002D5302"/>
    <w:rsid w:val="002D558B"/>
    <w:rsid w:val="002D56ED"/>
    <w:rsid w:val="002D585B"/>
    <w:rsid w:val="002D598A"/>
    <w:rsid w:val="002D5A1D"/>
    <w:rsid w:val="002D5D1C"/>
    <w:rsid w:val="002D5FF3"/>
    <w:rsid w:val="002D6001"/>
    <w:rsid w:val="002D6027"/>
    <w:rsid w:val="002D603E"/>
    <w:rsid w:val="002D605E"/>
    <w:rsid w:val="002D60AF"/>
    <w:rsid w:val="002D6174"/>
    <w:rsid w:val="002D63DB"/>
    <w:rsid w:val="002D63DC"/>
    <w:rsid w:val="002D648A"/>
    <w:rsid w:val="002D673E"/>
    <w:rsid w:val="002D675A"/>
    <w:rsid w:val="002D6782"/>
    <w:rsid w:val="002D6887"/>
    <w:rsid w:val="002D6D35"/>
    <w:rsid w:val="002D6D99"/>
    <w:rsid w:val="002D6DC9"/>
    <w:rsid w:val="002D6EB9"/>
    <w:rsid w:val="002D6FA7"/>
    <w:rsid w:val="002D6FFA"/>
    <w:rsid w:val="002D70D6"/>
    <w:rsid w:val="002D70F8"/>
    <w:rsid w:val="002D71B2"/>
    <w:rsid w:val="002D72DD"/>
    <w:rsid w:val="002D73AF"/>
    <w:rsid w:val="002D73F6"/>
    <w:rsid w:val="002D742F"/>
    <w:rsid w:val="002D7679"/>
    <w:rsid w:val="002D7781"/>
    <w:rsid w:val="002D7843"/>
    <w:rsid w:val="002D7900"/>
    <w:rsid w:val="002D7915"/>
    <w:rsid w:val="002D7944"/>
    <w:rsid w:val="002D7974"/>
    <w:rsid w:val="002D7977"/>
    <w:rsid w:val="002D7A4C"/>
    <w:rsid w:val="002D7A5E"/>
    <w:rsid w:val="002D7B9B"/>
    <w:rsid w:val="002D7C06"/>
    <w:rsid w:val="002D7C48"/>
    <w:rsid w:val="002D7D2A"/>
    <w:rsid w:val="002D7D51"/>
    <w:rsid w:val="002D7F00"/>
    <w:rsid w:val="002DC906"/>
    <w:rsid w:val="002E02D5"/>
    <w:rsid w:val="002E032A"/>
    <w:rsid w:val="002E0524"/>
    <w:rsid w:val="002E05DE"/>
    <w:rsid w:val="002E063A"/>
    <w:rsid w:val="002E0676"/>
    <w:rsid w:val="002E071F"/>
    <w:rsid w:val="002E0853"/>
    <w:rsid w:val="002E092B"/>
    <w:rsid w:val="002E097D"/>
    <w:rsid w:val="002E0A19"/>
    <w:rsid w:val="002E0C04"/>
    <w:rsid w:val="002E0C52"/>
    <w:rsid w:val="002E0D94"/>
    <w:rsid w:val="002E0E73"/>
    <w:rsid w:val="002E0F57"/>
    <w:rsid w:val="002E13B2"/>
    <w:rsid w:val="002E13CA"/>
    <w:rsid w:val="002E1573"/>
    <w:rsid w:val="002E15AC"/>
    <w:rsid w:val="002E1654"/>
    <w:rsid w:val="002E1657"/>
    <w:rsid w:val="002E18D1"/>
    <w:rsid w:val="002E1956"/>
    <w:rsid w:val="002E1A45"/>
    <w:rsid w:val="002E1A91"/>
    <w:rsid w:val="002E1CED"/>
    <w:rsid w:val="002E1D3D"/>
    <w:rsid w:val="002E1D84"/>
    <w:rsid w:val="002E1D89"/>
    <w:rsid w:val="002E1DDD"/>
    <w:rsid w:val="002E1E9A"/>
    <w:rsid w:val="002E1F21"/>
    <w:rsid w:val="002E2046"/>
    <w:rsid w:val="002E2137"/>
    <w:rsid w:val="002E23BD"/>
    <w:rsid w:val="002E23ED"/>
    <w:rsid w:val="002E2981"/>
    <w:rsid w:val="002E2A77"/>
    <w:rsid w:val="002E2BD4"/>
    <w:rsid w:val="002E2C44"/>
    <w:rsid w:val="002E2F83"/>
    <w:rsid w:val="002E3125"/>
    <w:rsid w:val="002E316F"/>
    <w:rsid w:val="002E3357"/>
    <w:rsid w:val="002E33F5"/>
    <w:rsid w:val="002E3428"/>
    <w:rsid w:val="002E35A2"/>
    <w:rsid w:val="002E361F"/>
    <w:rsid w:val="002E3834"/>
    <w:rsid w:val="002E39D0"/>
    <w:rsid w:val="002E39F1"/>
    <w:rsid w:val="002E3A55"/>
    <w:rsid w:val="002E3AD6"/>
    <w:rsid w:val="002E3CAE"/>
    <w:rsid w:val="002E3FAA"/>
    <w:rsid w:val="002E40EB"/>
    <w:rsid w:val="002E417A"/>
    <w:rsid w:val="002E42D7"/>
    <w:rsid w:val="002E4335"/>
    <w:rsid w:val="002E434D"/>
    <w:rsid w:val="002E4462"/>
    <w:rsid w:val="002E4828"/>
    <w:rsid w:val="002E483E"/>
    <w:rsid w:val="002E48C3"/>
    <w:rsid w:val="002E4A5F"/>
    <w:rsid w:val="002E4A6B"/>
    <w:rsid w:val="002E4A8B"/>
    <w:rsid w:val="002E4AB0"/>
    <w:rsid w:val="002E4B6E"/>
    <w:rsid w:val="002E4C49"/>
    <w:rsid w:val="002E4D88"/>
    <w:rsid w:val="002E4DFD"/>
    <w:rsid w:val="002E4F1B"/>
    <w:rsid w:val="002E4FC2"/>
    <w:rsid w:val="002E507A"/>
    <w:rsid w:val="002E5377"/>
    <w:rsid w:val="002E557F"/>
    <w:rsid w:val="002E564A"/>
    <w:rsid w:val="002E56AB"/>
    <w:rsid w:val="002E573B"/>
    <w:rsid w:val="002E5845"/>
    <w:rsid w:val="002E58DD"/>
    <w:rsid w:val="002E5990"/>
    <w:rsid w:val="002E5CBB"/>
    <w:rsid w:val="002E5F28"/>
    <w:rsid w:val="002E5FB3"/>
    <w:rsid w:val="002E5FB6"/>
    <w:rsid w:val="002E5FF6"/>
    <w:rsid w:val="002E6281"/>
    <w:rsid w:val="002E63FB"/>
    <w:rsid w:val="002E65E5"/>
    <w:rsid w:val="002E6638"/>
    <w:rsid w:val="002E666C"/>
    <w:rsid w:val="002E66CC"/>
    <w:rsid w:val="002E6888"/>
    <w:rsid w:val="002E69B1"/>
    <w:rsid w:val="002E69C0"/>
    <w:rsid w:val="002E69F6"/>
    <w:rsid w:val="002E6AE5"/>
    <w:rsid w:val="002E6BA9"/>
    <w:rsid w:val="002E6D16"/>
    <w:rsid w:val="002E6D3A"/>
    <w:rsid w:val="002E6D89"/>
    <w:rsid w:val="002E6EC3"/>
    <w:rsid w:val="002E7172"/>
    <w:rsid w:val="002E7327"/>
    <w:rsid w:val="002E74BF"/>
    <w:rsid w:val="002E74F4"/>
    <w:rsid w:val="002E7518"/>
    <w:rsid w:val="002E781F"/>
    <w:rsid w:val="002E7844"/>
    <w:rsid w:val="002E78D1"/>
    <w:rsid w:val="002E7903"/>
    <w:rsid w:val="002E7A54"/>
    <w:rsid w:val="002E7B32"/>
    <w:rsid w:val="002E7B5C"/>
    <w:rsid w:val="002E7D2B"/>
    <w:rsid w:val="002E7D36"/>
    <w:rsid w:val="002F003F"/>
    <w:rsid w:val="002F004B"/>
    <w:rsid w:val="002F0062"/>
    <w:rsid w:val="002F0087"/>
    <w:rsid w:val="002F00CD"/>
    <w:rsid w:val="002F046C"/>
    <w:rsid w:val="002F048D"/>
    <w:rsid w:val="002F056D"/>
    <w:rsid w:val="002F0595"/>
    <w:rsid w:val="002F0655"/>
    <w:rsid w:val="002F0742"/>
    <w:rsid w:val="002F0BFD"/>
    <w:rsid w:val="002F0D93"/>
    <w:rsid w:val="002F0E79"/>
    <w:rsid w:val="002F109E"/>
    <w:rsid w:val="002F124A"/>
    <w:rsid w:val="002F136D"/>
    <w:rsid w:val="002F1387"/>
    <w:rsid w:val="002F1580"/>
    <w:rsid w:val="002F15D8"/>
    <w:rsid w:val="002F16D9"/>
    <w:rsid w:val="002F1717"/>
    <w:rsid w:val="002F197B"/>
    <w:rsid w:val="002F1B35"/>
    <w:rsid w:val="002F1B73"/>
    <w:rsid w:val="002F1F25"/>
    <w:rsid w:val="002F2108"/>
    <w:rsid w:val="002F22F1"/>
    <w:rsid w:val="002F257E"/>
    <w:rsid w:val="002F25E0"/>
    <w:rsid w:val="002F2699"/>
    <w:rsid w:val="002F2AE0"/>
    <w:rsid w:val="002F2BF7"/>
    <w:rsid w:val="002F2D7B"/>
    <w:rsid w:val="002F2FF0"/>
    <w:rsid w:val="002F3130"/>
    <w:rsid w:val="002F315F"/>
    <w:rsid w:val="002F31F5"/>
    <w:rsid w:val="002F3296"/>
    <w:rsid w:val="002F32EC"/>
    <w:rsid w:val="002F341C"/>
    <w:rsid w:val="002F34AD"/>
    <w:rsid w:val="002F363B"/>
    <w:rsid w:val="002F3644"/>
    <w:rsid w:val="002F3784"/>
    <w:rsid w:val="002F37B5"/>
    <w:rsid w:val="002F381C"/>
    <w:rsid w:val="002F3871"/>
    <w:rsid w:val="002F38CE"/>
    <w:rsid w:val="002F3C01"/>
    <w:rsid w:val="002F3D4B"/>
    <w:rsid w:val="002F3E48"/>
    <w:rsid w:val="002F3E87"/>
    <w:rsid w:val="002F3F74"/>
    <w:rsid w:val="002F402E"/>
    <w:rsid w:val="002F40AD"/>
    <w:rsid w:val="002F41A2"/>
    <w:rsid w:val="002F41B3"/>
    <w:rsid w:val="002F431B"/>
    <w:rsid w:val="002F432A"/>
    <w:rsid w:val="002F43CB"/>
    <w:rsid w:val="002F4706"/>
    <w:rsid w:val="002F4913"/>
    <w:rsid w:val="002F4A84"/>
    <w:rsid w:val="002F4ACF"/>
    <w:rsid w:val="002F4D26"/>
    <w:rsid w:val="002F4D43"/>
    <w:rsid w:val="002F4E69"/>
    <w:rsid w:val="002F4F81"/>
    <w:rsid w:val="002F510C"/>
    <w:rsid w:val="002F511B"/>
    <w:rsid w:val="002F52A1"/>
    <w:rsid w:val="002F547B"/>
    <w:rsid w:val="002F5537"/>
    <w:rsid w:val="002F55C2"/>
    <w:rsid w:val="002F5DBD"/>
    <w:rsid w:val="002F60F6"/>
    <w:rsid w:val="002F61BA"/>
    <w:rsid w:val="002F6231"/>
    <w:rsid w:val="002F6296"/>
    <w:rsid w:val="002F62A7"/>
    <w:rsid w:val="002F631E"/>
    <w:rsid w:val="002F6364"/>
    <w:rsid w:val="002F6414"/>
    <w:rsid w:val="002F64C8"/>
    <w:rsid w:val="002F652A"/>
    <w:rsid w:val="002F6694"/>
    <w:rsid w:val="002F6A9E"/>
    <w:rsid w:val="002F6CD3"/>
    <w:rsid w:val="002F6D24"/>
    <w:rsid w:val="002F6D51"/>
    <w:rsid w:val="002F6E3C"/>
    <w:rsid w:val="002F6E8A"/>
    <w:rsid w:val="002F72E8"/>
    <w:rsid w:val="002F7313"/>
    <w:rsid w:val="002F7523"/>
    <w:rsid w:val="002F7AA1"/>
    <w:rsid w:val="002F7B56"/>
    <w:rsid w:val="002F7D1F"/>
    <w:rsid w:val="002F7E2F"/>
    <w:rsid w:val="002F7E83"/>
    <w:rsid w:val="002F7F1F"/>
    <w:rsid w:val="002F7FDD"/>
    <w:rsid w:val="002F7FE5"/>
    <w:rsid w:val="00300187"/>
    <w:rsid w:val="003001C5"/>
    <w:rsid w:val="003002BB"/>
    <w:rsid w:val="00300370"/>
    <w:rsid w:val="00300464"/>
    <w:rsid w:val="00300566"/>
    <w:rsid w:val="0030077D"/>
    <w:rsid w:val="003007FA"/>
    <w:rsid w:val="0030097C"/>
    <w:rsid w:val="003009A4"/>
    <w:rsid w:val="00300A21"/>
    <w:rsid w:val="00300A4B"/>
    <w:rsid w:val="00300BAD"/>
    <w:rsid w:val="00300C00"/>
    <w:rsid w:val="00300D0A"/>
    <w:rsid w:val="00300E3B"/>
    <w:rsid w:val="00300F1F"/>
    <w:rsid w:val="00300FA5"/>
    <w:rsid w:val="00301016"/>
    <w:rsid w:val="00301081"/>
    <w:rsid w:val="00301242"/>
    <w:rsid w:val="0030125A"/>
    <w:rsid w:val="00301301"/>
    <w:rsid w:val="00301408"/>
    <w:rsid w:val="003015A9"/>
    <w:rsid w:val="003015B5"/>
    <w:rsid w:val="0030171C"/>
    <w:rsid w:val="0030171F"/>
    <w:rsid w:val="0030179A"/>
    <w:rsid w:val="003017A1"/>
    <w:rsid w:val="003017EE"/>
    <w:rsid w:val="00301819"/>
    <w:rsid w:val="0030181F"/>
    <w:rsid w:val="00301993"/>
    <w:rsid w:val="003019A3"/>
    <w:rsid w:val="00301A31"/>
    <w:rsid w:val="00301D9F"/>
    <w:rsid w:val="00301DCE"/>
    <w:rsid w:val="00301F8E"/>
    <w:rsid w:val="003020AE"/>
    <w:rsid w:val="003022B3"/>
    <w:rsid w:val="003024A4"/>
    <w:rsid w:val="00302592"/>
    <w:rsid w:val="00302611"/>
    <w:rsid w:val="0030268C"/>
    <w:rsid w:val="00302820"/>
    <w:rsid w:val="003028C7"/>
    <w:rsid w:val="003029C1"/>
    <w:rsid w:val="00302A07"/>
    <w:rsid w:val="00302A8D"/>
    <w:rsid w:val="00302BD7"/>
    <w:rsid w:val="00302BDB"/>
    <w:rsid w:val="00302D84"/>
    <w:rsid w:val="00302F59"/>
    <w:rsid w:val="00302FE4"/>
    <w:rsid w:val="00303026"/>
    <w:rsid w:val="00303033"/>
    <w:rsid w:val="003030C9"/>
    <w:rsid w:val="0030313F"/>
    <w:rsid w:val="00303217"/>
    <w:rsid w:val="00303239"/>
    <w:rsid w:val="003032AA"/>
    <w:rsid w:val="00303362"/>
    <w:rsid w:val="003033A2"/>
    <w:rsid w:val="003033DA"/>
    <w:rsid w:val="00303681"/>
    <w:rsid w:val="0030388B"/>
    <w:rsid w:val="00303902"/>
    <w:rsid w:val="0030392E"/>
    <w:rsid w:val="00303A18"/>
    <w:rsid w:val="00303A4E"/>
    <w:rsid w:val="00303B3C"/>
    <w:rsid w:val="00303C2B"/>
    <w:rsid w:val="00303C81"/>
    <w:rsid w:val="00303DF7"/>
    <w:rsid w:val="00303E39"/>
    <w:rsid w:val="00303F43"/>
    <w:rsid w:val="00303F68"/>
    <w:rsid w:val="0030408C"/>
    <w:rsid w:val="00304151"/>
    <w:rsid w:val="0030416A"/>
    <w:rsid w:val="003041FD"/>
    <w:rsid w:val="0030445A"/>
    <w:rsid w:val="003045A0"/>
    <w:rsid w:val="003047B7"/>
    <w:rsid w:val="003047F6"/>
    <w:rsid w:val="00304953"/>
    <w:rsid w:val="0030498C"/>
    <w:rsid w:val="00304BD0"/>
    <w:rsid w:val="00305065"/>
    <w:rsid w:val="00305172"/>
    <w:rsid w:val="003051E8"/>
    <w:rsid w:val="003052A2"/>
    <w:rsid w:val="00305374"/>
    <w:rsid w:val="0030558F"/>
    <w:rsid w:val="003055F9"/>
    <w:rsid w:val="00305612"/>
    <w:rsid w:val="0030579E"/>
    <w:rsid w:val="00305817"/>
    <w:rsid w:val="00305887"/>
    <w:rsid w:val="0030598E"/>
    <w:rsid w:val="00305AE4"/>
    <w:rsid w:val="00305BC9"/>
    <w:rsid w:val="00305BDF"/>
    <w:rsid w:val="00305C7E"/>
    <w:rsid w:val="00305CC5"/>
    <w:rsid w:val="00305D32"/>
    <w:rsid w:val="00305E1C"/>
    <w:rsid w:val="00305F70"/>
    <w:rsid w:val="00305F7B"/>
    <w:rsid w:val="00305FE8"/>
    <w:rsid w:val="0030605F"/>
    <w:rsid w:val="00306136"/>
    <w:rsid w:val="0030622C"/>
    <w:rsid w:val="0030640A"/>
    <w:rsid w:val="003064DC"/>
    <w:rsid w:val="0030688C"/>
    <w:rsid w:val="0030697F"/>
    <w:rsid w:val="003069B0"/>
    <w:rsid w:val="00306A13"/>
    <w:rsid w:val="00306C75"/>
    <w:rsid w:val="00306D91"/>
    <w:rsid w:val="00306E18"/>
    <w:rsid w:val="00306EAF"/>
    <w:rsid w:val="00307107"/>
    <w:rsid w:val="003071A5"/>
    <w:rsid w:val="003073BB"/>
    <w:rsid w:val="003074EB"/>
    <w:rsid w:val="00307535"/>
    <w:rsid w:val="003077D4"/>
    <w:rsid w:val="00307972"/>
    <w:rsid w:val="003079F6"/>
    <w:rsid w:val="00307CA4"/>
    <w:rsid w:val="00307CBF"/>
    <w:rsid w:val="00307D0E"/>
    <w:rsid w:val="00307D38"/>
    <w:rsid w:val="00307FB9"/>
    <w:rsid w:val="003101E6"/>
    <w:rsid w:val="00310301"/>
    <w:rsid w:val="00310306"/>
    <w:rsid w:val="00310337"/>
    <w:rsid w:val="003103D5"/>
    <w:rsid w:val="003104E6"/>
    <w:rsid w:val="003108C7"/>
    <w:rsid w:val="00310978"/>
    <w:rsid w:val="003109F9"/>
    <w:rsid w:val="00310A67"/>
    <w:rsid w:val="00310B3B"/>
    <w:rsid w:val="00310EFE"/>
    <w:rsid w:val="00311197"/>
    <w:rsid w:val="003112CC"/>
    <w:rsid w:val="00311533"/>
    <w:rsid w:val="003115C6"/>
    <w:rsid w:val="003115F9"/>
    <w:rsid w:val="00311989"/>
    <w:rsid w:val="003119DF"/>
    <w:rsid w:val="00311D27"/>
    <w:rsid w:val="00311F96"/>
    <w:rsid w:val="00311FB1"/>
    <w:rsid w:val="00312034"/>
    <w:rsid w:val="00312065"/>
    <w:rsid w:val="0031207C"/>
    <w:rsid w:val="00312080"/>
    <w:rsid w:val="003120FB"/>
    <w:rsid w:val="00312136"/>
    <w:rsid w:val="00312224"/>
    <w:rsid w:val="00312298"/>
    <w:rsid w:val="003122C5"/>
    <w:rsid w:val="003124B1"/>
    <w:rsid w:val="003125F1"/>
    <w:rsid w:val="0031262C"/>
    <w:rsid w:val="00312784"/>
    <w:rsid w:val="003127E0"/>
    <w:rsid w:val="00312845"/>
    <w:rsid w:val="00312851"/>
    <w:rsid w:val="00312883"/>
    <w:rsid w:val="003129AD"/>
    <w:rsid w:val="003129BA"/>
    <w:rsid w:val="00313107"/>
    <w:rsid w:val="00313155"/>
    <w:rsid w:val="003132BB"/>
    <w:rsid w:val="003134BC"/>
    <w:rsid w:val="00313505"/>
    <w:rsid w:val="00313791"/>
    <w:rsid w:val="003137E3"/>
    <w:rsid w:val="00313883"/>
    <w:rsid w:val="0031399D"/>
    <w:rsid w:val="00313B59"/>
    <w:rsid w:val="00313C42"/>
    <w:rsid w:val="00313C9A"/>
    <w:rsid w:val="00313D2E"/>
    <w:rsid w:val="00313D7C"/>
    <w:rsid w:val="00313F8A"/>
    <w:rsid w:val="0031409F"/>
    <w:rsid w:val="003143A5"/>
    <w:rsid w:val="00314558"/>
    <w:rsid w:val="003145EA"/>
    <w:rsid w:val="003146C9"/>
    <w:rsid w:val="0031499C"/>
    <w:rsid w:val="00314C13"/>
    <w:rsid w:val="00314CF8"/>
    <w:rsid w:val="003150DD"/>
    <w:rsid w:val="00315173"/>
    <w:rsid w:val="0031549C"/>
    <w:rsid w:val="0031551B"/>
    <w:rsid w:val="0031569A"/>
    <w:rsid w:val="003156C7"/>
    <w:rsid w:val="003156CF"/>
    <w:rsid w:val="0031581E"/>
    <w:rsid w:val="003158B4"/>
    <w:rsid w:val="003159A8"/>
    <w:rsid w:val="003159BD"/>
    <w:rsid w:val="00315B4A"/>
    <w:rsid w:val="00315CE2"/>
    <w:rsid w:val="00315F9F"/>
    <w:rsid w:val="00316154"/>
    <w:rsid w:val="003161DA"/>
    <w:rsid w:val="00316321"/>
    <w:rsid w:val="00316403"/>
    <w:rsid w:val="003165DF"/>
    <w:rsid w:val="00316693"/>
    <w:rsid w:val="00316750"/>
    <w:rsid w:val="00316B12"/>
    <w:rsid w:val="00316B3B"/>
    <w:rsid w:val="00316B70"/>
    <w:rsid w:val="00316D28"/>
    <w:rsid w:val="00316DA4"/>
    <w:rsid w:val="00317234"/>
    <w:rsid w:val="003172D9"/>
    <w:rsid w:val="003172E5"/>
    <w:rsid w:val="0031735F"/>
    <w:rsid w:val="00317454"/>
    <w:rsid w:val="00317547"/>
    <w:rsid w:val="003175B4"/>
    <w:rsid w:val="00317695"/>
    <w:rsid w:val="003177F0"/>
    <w:rsid w:val="00317874"/>
    <w:rsid w:val="003179A7"/>
    <w:rsid w:val="003179DC"/>
    <w:rsid w:val="00317CEA"/>
    <w:rsid w:val="00317D3A"/>
    <w:rsid w:val="003200D8"/>
    <w:rsid w:val="0032023F"/>
    <w:rsid w:val="003202D6"/>
    <w:rsid w:val="003203B5"/>
    <w:rsid w:val="003204FF"/>
    <w:rsid w:val="003205D2"/>
    <w:rsid w:val="003205E1"/>
    <w:rsid w:val="003206BD"/>
    <w:rsid w:val="003206F0"/>
    <w:rsid w:val="00320A5A"/>
    <w:rsid w:val="00320BAE"/>
    <w:rsid w:val="00320BD3"/>
    <w:rsid w:val="00320C30"/>
    <w:rsid w:val="00320CEC"/>
    <w:rsid w:val="00320D0E"/>
    <w:rsid w:val="00320D43"/>
    <w:rsid w:val="00320DEE"/>
    <w:rsid w:val="00320EC8"/>
    <w:rsid w:val="00320F48"/>
    <w:rsid w:val="0032111B"/>
    <w:rsid w:val="0032114D"/>
    <w:rsid w:val="00321329"/>
    <w:rsid w:val="003213AE"/>
    <w:rsid w:val="0032167C"/>
    <w:rsid w:val="00321939"/>
    <w:rsid w:val="00321BB0"/>
    <w:rsid w:val="00321BE8"/>
    <w:rsid w:val="0032210E"/>
    <w:rsid w:val="00322131"/>
    <w:rsid w:val="0032257A"/>
    <w:rsid w:val="003225BD"/>
    <w:rsid w:val="003226F8"/>
    <w:rsid w:val="003227C5"/>
    <w:rsid w:val="00322836"/>
    <w:rsid w:val="0032289E"/>
    <w:rsid w:val="00322A59"/>
    <w:rsid w:val="00322AC8"/>
    <w:rsid w:val="00322BAD"/>
    <w:rsid w:val="00322BCA"/>
    <w:rsid w:val="00322E59"/>
    <w:rsid w:val="00322E7D"/>
    <w:rsid w:val="00322F4A"/>
    <w:rsid w:val="00322FCE"/>
    <w:rsid w:val="00323066"/>
    <w:rsid w:val="003231EE"/>
    <w:rsid w:val="00323369"/>
    <w:rsid w:val="0032338A"/>
    <w:rsid w:val="00323449"/>
    <w:rsid w:val="00323599"/>
    <w:rsid w:val="003235F8"/>
    <w:rsid w:val="0032364C"/>
    <w:rsid w:val="003237B6"/>
    <w:rsid w:val="00323944"/>
    <w:rsid w:val="00323ACC"/>
    <w:rsid w:val="00323B97"/>
    <w:rsid w:val="00323C8D"/>
    <w:rsid w:val="00323F17"/>
    <w:rsid w:val="00324547"/>
    <w:rsid w:val="00324573"/>
    <w:rsid w:val="00324701"/>
    <w:rsid w:val="00324746"/>
    <w:rsid w:val="0032479C"/>
    <w:rsid w:val="003247AD"/>
    <w:rsid w:val="0032481F"/>
    <w:rsid w:val="00324A23"/>
    <w:rsid w:val="00324A33"/>
    <w:rsid w:val="00324A7C"/>
    <w:rsid w:val="00324B20"/>
    <w:rsid w:val="00324E94"/>
    <w:rsid w:val="00324F8C"/>
    <w:rsid w:val="003250D1"/>
    <w:rsid w:val="003250FC"/>
    <w:rsid w:val="00325242"/>
    <w:rsid w:val="00325473"/>
    <w:rsid w:val="003255F8"/>
    <w:rsid w:val="003257EC"/>
    <w:rsid w:val="003258BB"/>
    <w:rsid w:val="00325948"/>
    <w:rsid w:val="00325A0E"/>
    <w:rsid w:val="00325AA4"/>
    <w:rsid w:val="00325B54"/>
    <w:rsid w:val="00325D22"/>
    <w:rsid w:val="00325D5B"/>
    <w:rsid w:val="00325EE5"/>
    <w:rsid w:val="0032602E"/>
    <w:rsid w:val="0032607E"/>
    <w:rsid w:val="003261DB"/>
    <w:rsid w:val="0032623A"/>
    <w:rsid w:val="003262F1"/>
    <w:rsid w:val="0032639D"/>
    <w:rsid w:val="003263FC"/>
    <w:rsid w:val="0032645F"/>
    <w:rsid w:val="00326476"/>
    <w:rsid w:val="003265AB"/>
    <w:rsid w:val="00326603"/>
    <w:rsid w:val="0032664D"/>
    <w:rsid w:val="00326737"/>
    <w:rsid w:val="003267E1"/>
    <w:rsid w:val="00326C11"/>
    <w:rsid w:val="00326C1B"/>
    <w:rsid w:val="00326C1D"/>
    <w:rsid w:val="00326FC1"/>
    <w:rsid w:val="003270E4"/>
    <w:rsid w:val="00327383"/>
    <w:rsid w:val="00327491"/>
    <w:rsid w:val="003275F3"/>
    <w:rsid w:val="0032785B"/>
    <w:rsid w:val="00327860"/>
    <w:rsid w:val="003278EE"/>
    <w:rsid w:val="003279A9"/>
    <w:rsid w:val="00327A30"/>
    <w:rsid w:val="00327B22"/>
    <w:rsid w:val="00327BA6"/>
    <w:rsid w:val="00327C6F"/>
    <w:rsid w:val="00327C8E"/>
    <w:rsid w:val="00327E5B"/>
    <w:rsid w:val="00327E8A"/>
    <w:rsid w:val="00327EA9"/>
    <w:rsid w:val="00327F19"/>
    <w:rsid w:val="00327FA6"/>
    <w:rsid w:val="0033000E"/>
    <w:rsid w:val="003300BB"/>
    <w:rsid w:val="0033023B"/>
    <w:rsid w:val="0033023E"/>
    <w:rsid w:val="003302F1"/>
    <w:rsid w:val="00330372"/>
    <w:rsid w:val="0033049D"/>
    <w:rsid w:val="00330514"/>
    <w:rsid w:val="0033055A"/>
    <w:rsid w:val="003305EB"/>
    <w:rsid w:val="00330693"/>
    <w:rsid w:val="00330720"/>
    <w:rsid w:val="00330778"/>
    <w:rsid w:val="0033081E"/>
    <w:rsid w:val="003308B8"/>
    <w:rsid w:val="003308FC"/>
    <w:rsid w:val="00330C88"/>
    <w:rsid w:val="00330D0A"/>
    <w:rsid w:val="00330D97"/>
    <w:rsid w:val="00330DA5"/>
    <w:rsid w:val="00330DC6"/>
    <w:rsid w:val="00330EE5"/>
    <w:rsid w:val="00330F1B"/>
    <w:rsid w:val="00330F52"/>
    <w:rsid w:val="0033116F"/>
    <w:rsid w:val="00331174"/>
    <w:rsid w:val="003311BC"/>
    <w:rsid w:val="0033129C"/>
    <w:rsid w:val="00331349"/>
    <w:rsid w:val="003313AC"/>
    <w:rsid w:val="003313C0"/>
    <w:rsid w:val="0033163E"/>
    <w:rsid w:val="003316E4"/>
    <w:rsid w:val="003317B1"/>
    <w:rsid w:val="0033186B"/>
    <w:rsid w:val="00331A3F"/>
    <w:rsid w:val="00331A75"/>
    <w:rsid w:val="00331C87"/>
    <w:rsid w:val="00331C99"/>
    <w:rsid w:val="00331CFE"/>
    <w:rsid w:val="00331EBC"/>
    <w:rsid w:val="00332109"/>
    <w:rsid w:val="0033225D"/>
    <w:rsid w:val="003322A8"/>
    <w:rsid w:val="003322B2"/>
    <w:rsid w:val="003322D9"/>
    <w:rsid w:val="0033260E"/>
    <w:rsid w:val="00332695"/>
    <w:rsid w:val="003326E9"/>
    <w:rsid w:val="00332701"/>
    <w:rsid w:val="0033285E"/>
    <w:rsid w:val="00332876"/>
    <w:rsid w:val="003328BD"/>
    <w:rsid w:val="00332ADB"/>
    <w:rsid w:val="00332C30"/>
    <w:rsid w:val="00332DF3"/>
    <w:rsid w:val="00332E1D"/>
    <w:rsid w:val="00332E87"/>
    <w:rsid w:val="003332E8"/>
    <w:rsid w:val="00333389"/>
    <w:rsid w:val="0033338D"/>
    <w:rsid w:val="00333411"/>
    <w:rsid w:val="00333426"/>
    <w:rsid w:val="00333460"/>
    <w:rsid w:val="003334C1"/>
    <w:rsid w:val="0033354E"/>
    <w:rsid w:val="00333695"/>
    <w:rsid w:val="003336AE"/>
    <w:rsid w:val="003337D6"/>
    <w:rsid w:val="003338CB"/>
    <w:rsid w:val="00333934"/>
    <w:rsid w:val="00333A61"/>
    <w:rsid w:val="00333B05"/>
    <w:rsid w:val="00333C1C"/>
    <w:rsid w:val="00333C4D"/>
    <w:rsid w:val="00333E9E"/>
    <w:rsid w:val="00333EB4"/>
    <w:rsid w:val="00333EBD"/>
    <w:rsid w:val="00333F70"/>
    <w:rsid w:val="00333FBA"/>
    <w:rsid w:val="003340E9"/>
    <w:rsid w:val="003341B3"/>
    <w:rsid w:val="00334467"/>
    <w:rsid w:val="0033462A"/>
    <w:rsid w:val="003347DE"/>
    <w:rsid w:val="00334853"/>
    <w:rsid w:val="003349A4"/>
    <w:rsid w:val="00334B8C"/>
    <w:rsid w:val="00334E33"/>
    <w:rsid w:val="00334EFB"/>
    <w:rsid w:val="003351B2"/>
    <w:rsid w:val="003351E9"/>
    <w:rsid w:val="00335292"/>
    <w:rsid w:val="00335319"/>
    <w:rsid w:val="00335418"/>
    <w:rsid w:val="00335421"/>
    <w:rsid w:val="00335719"/>
    <w:rsid w:val="00335895"/>
    <w:rsid w:val="003359B4"/>
    <w:rsid w:val="00335A7E"/>
    <w:rsid w:val="00335B07"/>
    <w:rsid w:val="00335B6A"/>
    <w:rsid w:val="00335C40"/>
    <w:rsid w:val="00335D16"/>
    <w:rsid w:val="003360CC"/>
    <w:rsid w:val="003361C8"/>
    <w:rsid w:val="00336368"/>
    <w:rsid w:val="00336511"/>
    <w:rsid w:val="00336746"/>
    <w:rsid w:val="00336764"/>
    <w:rsid w:val="0033691A"/>
    <w:rsid w:val="00336A6F"/>
    <w:rsid w:val="00336B22"/>
    <w:rsid w:val="00336C9E"/>
    <w:rsid w:val="00336E2F"/>
    <w:rsid w:val="00336E6C"/>
    <w:rsid w:val="00336EF3"/>
    <w:rsid w:val="003372C2"/>
    <w:rsid w:val="00337340"/>
    <w:rsid w:val="00337500"/>
    <w:rsid w:val="00337725"/>
    <w:rsid w:val="003379D4"/>
    <w:rsid w:val="00337A5A"/>
    <w:rsid w:val="00337A6D"/>
    <w:rsid w:val="00337B7D"/>
    <w:rsid w:val="00337C68"/>
    <w:rsid w:val="00337CA3"/>
    <w:rsid w:val="00340029"/>
    <w:rsid w:val="003401CE"/>
    <w:rsid w:val="00340290"/>
    <w:rsid w:val="003402BD"/>
    <w:rsid w:val="003403AE"/>
    <w:rsid w:val="003404A5"/>
    <w:rsid w:val="00340547"/>
    <w:rsid w:val="003405AF"/>
    <w:rsid w:val="00340751"/>
    <w:rsid w:val="0034075A"/>
    <w:rsid w:val="00340961"/>
    <w:rsid w:val="003409A3"/>
    <w:rsid w:val="00340C0E"/>
    <w:rsid w:val="00340C2A"/>
    <w:rsid w:val="00340CD4"/>
    <w:rsid w:val="00340D9C"/>
    <w:rsid w:val="00340E16"/>
    <w:rsid w:val="00340FC8"/>
    <w:rsid w:val="0034122C"/>
    <w:rsid w:val="00341252"/>
    <w:rsid w:val="0034129F"/>
    <w:rsid w:val="00341460"/>
    <w:rsid w:val="0034157C"/>
    <w:rsid w:val="00341711"/>
    <w:rsid w:val="003418B8"/>
    <w:rsid w:val="00341AAB"/>
    <w:rsid w:val="00341AC1"/>
    <w:rsid w:val="00341C57"/>
    <w:rsid w:val="00341DEE"/>
    <w:rsid w:val="00342006"/>
    <w:rsid w:val="0034201F"/>
    <w:rsid w:val="003420EC"/>
    <w:rsid w:val="0034217F"/>
    <w:rsid w:val="003421C9"/>
    <w:rsid w:val="0034221D"/>
    <w:rsid w:val="00342530"/>
    <w:rsid w:val="003425CA"/>
    <w:rsid w:val="00342601"/>
    <w:rsid w:val="00342661"/>
    <w:rsid w:val="003426C9"/>
    <w:rsid w:val="00342878"/>
    <w:rsid w:val="00342934"/>
    <w:rsid w:val="00342949"/>
    <w:rsid w:val="00342955"/>
    <w:rsid w:val="00342A0D"/>
    <w:rsid w:val="00342B71"/>
    <w:rsid w:val="00342B97"/>
    <w:rsid w:val="00342D66"/>
    <w:rsid w:val="00342F25"/>
    <w:rsid w:val="0034312B"/>
    <w:rsid w:val="0034315D"/>
    <w:rsid w:val="00343300"/>
    <w:rsid w:val="00343675"/>
    <w:rsid w:val="00343849"/>
    <w:rsid w:val="00343887"/>
    <w:rsid w:val="003438DC"/>
    <w:rsid w:val="003438E0"/>
    <w:rsid w:val="00343A2C"/>
    <w:rsid w:val="00343A59"/>
    <w:rsid w:val="00343A7A"/>
    <w:rsid w:val="00343AD8"/>
    <w:rsid w:val="00343B03"/>
    <w:rsid w:val="00343DA1"/>
    <w:rsid w:val="00343E92"/>
    <w:rsid w:val="00343FAE"/>
    <w:rsid w:val="003441EA"/>
    <w:rsid w:val="0034425B"/>
    <w:rsid w:val="0034425F"/>
    <w:rsid w:val="00344262"/>
    <w:rsid w:val="003442EA"/>
    <w:rsid w:val="0034440E"/>
    <w:rsid w:val="00344471"/>
    <w:rsid w:val="003445A0"/>
    <w:rsid w:val="003445C2"/>
    <w:rsid w:val="003445DB"/>
    <w:rsid w:val="003445EA"/>
    <w:rsid w:val="003446B9"/>
    <w:rsid w:val="00344846"/>
    <w:rsid w:val="003448C0"/>
    <w:rsid w:val="00344962"/>
    <w:rsid w:val="0034499C"/>
    <w:rsid w:val="00344A93"/>
    <w:rsid w:val="00344AB4"/>
    <w:rsid w:val="00344ABB"/>
    <w:rsid w:val="00344BD1"/>
    <w:rsid w:val="00344C7E"/>
    <w:rsid w:val="00344D65"/>
    <w:rsid w:val="00344DC5"/>
    <w:rsid w:val="00344DD4"/>
    <w:rsid w:val="00344DE7"/>
    <w:rsid w:val="00344E16"/>
    <w:rsid w:val="00344F2B"/>
    <w:rsid w:val="00344FDD"/>
    <w:rsid w:val="003451A0"/>
    <w:rsid w:val="00345235"/>
    <w:rsid w:val="0034528B"/>
    <w:rsid w:val="00345362"/>
    <w:rsid w:val="00345517"/>
    <w:rsid w:val="00345697"/>
    <w:rsid w:val="003456D0"/>
    <w:rsid w:val="00345861"/>
    <w:rsid w:val="00345B87"/>
    <w:rsid w:val="00345E86"/>
    <w:rsid w:val="00345EA5"/>
    <w:rsid w:val="00345F91"/>
    <w:rsid w:val="00346001"/>
    <w:rsid w:val="0034622C"/>
    <w:rsid w:val="003464C1"/>
    <w:rsid w:val="003465E5"/>
    <w:rsid w:val="003467CB"/>
    <w:rsid w:val="003467E6"/>
    <w:rsid w:val="00346890"/>
    <w:rsid w:val="003468CA"/>
    <w:rsid w:val="00346BD5"/>
    <w:rsid w:val="00346CB9"/>
    <w:rsid w:val="00346D2D"/>
    <w:rsid w:val="00346E03"/>
    <w:rsid w:val="00347026"/>
    <w:rsid w:val="00347095"/>
    <w:rsid w:val="0034712B"/>
    <w:rsid w:val="00347521"/>
    <w:rsid w:val="003476CD"/>
    <w:rsid w:val="00347855"/>
    <w:rsid w:val="003478B6"/>
    <w:rsid w:val="003478BB"/>
    <w:rsid w:val="00347A09"/>
    <w:rsid w:val="00347A0B"/>
    <w:rsid w:val="00347B55"/>
    <w:rsid w:val="00347BE9"/>
    <w:rsid w:val="00347E55"/>
    <w:rsid w:val="00347EC1"/>
    <w:rsid w:val="00347EF6"/>
    <w:rsid w:val="003500FF"/>
    <w:rsid w:val="0035018D"/>
    <w:rsid w:val="00350233"/>
    <w:rsid w:val="00350573"/>
    <w:rsid w:val="0035057F"/>
    <w:rsid w:val="0035077A"/>
    <w:rsid w:val="00350944"/>
    <w:rsid w:val="00350949"/>
    <w:rsid w:val="00350ADA"/>
    <w:rsid w:val="00350D1C"/>
    <w:rsid w:val="00350D97"/>
    <w:rsid w:val="00350DFD"/>
    <w:rsid w:val="00350F3F"/>
    <w:rsid w:val="00351339"/>
    <w:rsid w:val="003514F4"/>
    <w:rsid w:val="00351533"/>
    <w:rsid w:val="0035154E"/>
    <w:rsid w:val="003515EF"/>
    <w:rsid w:val="003516C3"/>
    <w:rsid w:val="003516CA"/>
    <w:rsid w:val="003516D0"/>
    <w:rsid w:val="003517E6"/>
    <w:rsid w:val="0035180F"/>
    <w:rsid w:val="0035183E"/>
    <w:rsid w:val="00351889"/>
    <w:rsid w:val="003518AD"/>
    <w:rsid w:val="00351B42"/>
    <w:rsid w:val="00351C2E"/>
    <w:rsid w:val="00351E48"/>
    <w:rsid w:val="00351F26"/>
    <w:rsid w:val="00352211"/>
    <w:rsid w:val="003522BC"/>
    <w:rsid w:val="003524DA"/>
    <w:rsid w:val="003525C5"/>
    <w:rsid w:val="00352618"/>
    <w:rsid w:val="0035265D"/>
    <w:rsid w:val="0035266B"/>
    <w:rsid w:val="003526A6"/>
    <w:rsid w:val="0035280D"/>
    <w:rsid w:val="00352867"/>
    <w:rsid w:val="00352BBC"/>
    <w:rsid w:val="00352DCD"/>
    <w:rsid w:val="00352FCF"/>
    <w:rsid w:val="0035320F"/>
    <w:rsid w:val="0035324D"/>
    <w:rsid w:val="003532C8"/>
    <w:rsid w:val="0035340D"/>
    <w:rsid w:val="00353436"/>
    <w:rsid w:val="0035348B"/>
    <w:rsid w:val="003537E7"/>
    <w:rsid w:val="00353817"/>
    <w:rsid w:val="003539AB"/>
    <w:rsid w:val="00353C77"/>
    <w:rsid w:val="00353C98"/>
    <w:rsid w:val="00353D66"/>
    <w:rsid w:val="00353DF6"/>
    <w:rsid w:val="00353E42"/>
    <w:rsid w:val="00353E94"/>
    <w:rsid w:val="00353ECA"/>
    <w:rsid w:val="00353F02"/>
    <w:rsid w:val="00353F33"/>
    <w:rsid w:val="00353FB4"/>
    <w:rsid w:val="00354145"/>
    <w:rsid w:val="0035421E"/>
    <w:rsid w:val="00354466"/>
    <w:rsid w:val="00354528"/>
    <w:rsid w:val="003546FF"/>
    <w:rsid w:val="0035471A"/>
    <w:rsid w:val="003548B2"/>
    <w:rsid w:val="00354960"/>
    <w:rsid w:val="00354967"/>
    <w:rsid w:val="003549A5"/>
    <w:rsid w:val="00354AED"/>
    <w:rsid w:val="00354C0B"/>
    <w:rsid w:val="00354D92"/>
    <w:rsid w:val="00354E17"/>
    <w:rsid w:val="00355196"/>
    <w:rsid w:val="003551C2"/>
    <w:rsid w:val="003551EB"/>
    <w:rsid w:val="00355312"/>
    <w:rsid w:val="0035542A"/>
    <w:rsid w:val="00355431"/>
    <w:rsid w:val="00355466"/>
    <w:rsid w:val="003554D8"/>
    <w:rsid w:val="00355771"/>
    <w:rsid w:val="003557BA"/>
    <w:rsid w:val="0035592A"/>
    <w:rsid w:val="003559C4"/>
    <w:rsid w:val="00355E1B"/>
    <w:rsid w:val="00355E67"/>
    <w:rsid w:val="00355F97"/>
    <w:rsid w:val="00356239"/>
    <w:rsid w:val="003562A9"/>
    <w:rsid w:val="00356476"/>
    <w:rsid w:val="0035647E"/>
    <w:rsid w:val="003564BE"/>
    <w:rsid w:val="00356569"/>
    <w:rsid w:val="00356700"/>
    <w:rsid w:val="0035679B"/>
    <w:rsid w:val="00356832"/>
    <w:rsid w:val="0035684E"/>
    <w:rsid w:val="00356887"/>
    <w:rsid w:val="00356A5D"/>
    <w:rsid w:val="00356B73"/>
    <w:rsid w:val="00356C49"/>
    <w:rsid w:val="00356DB9"/>
    <w:rsid w:val="00356DDB"/>
    <w:rsid w:val="00356EB8"/>
    <w:rsid w:val="00356EC4"/>
    <w:rsid w:val="00356ED5"/>
    <w:rsid w:val="00356F35"/>
    <w:rsid w:val="00356FCD"/>
    <w:rsid w:val="00357073"/>
    <w:rsid w:val="00357283"/>
    <w:rsid w:val="003574B7"/>
    <w:rsid w:val="0035751C"/>
    <w:rsid w:val="003577EA"/>
    <w:rsid w:val="003578B4"/>
    <w:rsid w:val="00357B4B"/>
    <w:rsid w:val="00357B5B"/>
    <w:rsid w:val="00357BE9"/>
    <w:rsid w:val="00357C2F"/>
    <w:rsid w:val="00357C56"/>
    <w:rsid w:val="00357D34"/>
    <w:rsid w:val="00357DCD"/>
    <w:rsid w:val="00357E8D"/>
    <w:rsid w:val="00357FAE"/>
    <w:rsid w:val="0036000B"/>
    <w:rsid w:val="00360091"/>
    <w:rsid w:val="0036010E"/>
    <w:rsid w:val="0036037A"/>
    <w:rsid w:val="00360410"/>
    <w:rsid w:val="00360513"/>
    <w:rsid w:val="003605CC"/>
    <w:rsid w:val="00360660"/>
    <w:rsid w:val="00360738"/>
    <w:rsid w:val="003607EF"/>
    <w:rsid w:val="00360844"/>
    <w:rsid w:val="00360926"/>
    <w:rsid w:val="00360945"/>
    <w:rsid w:val="003609B9"/>
    <w:rsid w:val="00360A51"/>
    <w:rsid w:val="00360AA2"/>
    <w:rsid w:val="00360AB9"/>
    <w:rsid w:val="00360C8E"/>
    <w:rsid w:val="00360CCC"/>
    <w:rsid w:val="00360DE3"/>
    <w:rsid w:val="00360EC1"/>
    <w:rsid w:val="00361030"/>
    <w:rsid w:val="00361044"/>
    <w:rsid w:val="003610A6"/>
    <w:rsid w:val="00361264"/>
    <w:rsid w:val="003612A9"/>
    <w:rsid w:val="0036158D"/>
    <w:rsid w:val="0036169E"/>
    <w:rsid w:val="003616F4"/>
    <w:rsid w:val="00361725"/>
    <w:rsid w:val="00361A14"/>
    <w:rsid w:val="00361A15"/>
    <w:rsid w:val="00361A60"/>
    <w:rsid w:val="00361ACD"/>
    <w:rsid w:val="00361B4F"/>
    <w:rsid w:val="00361DC4"/>
    <w:rsid w:val="00361F58"/>
    <w:rsid w:val="003620E7"/>
    <w:rsid w:val="00362141"/>
    <w:rsid w:val="00362204"/>
    <w:rsid w:val="00362205"/>
    <w:rsid w:val="00362207"/>
    <w:rsid w:val="00362293"/>
    <w:rsid w:val="003622E6"/>
    <w:rsid w:val="00362304"/>
    <w:rsid w:val="00362353"/>
    <w:rsid w:val="003624A8"/>
    <w:rsid w:val="0036250C"/>
    <w:rsid w:val="003627E9"/>
    <w:rsid w:val="0036299C"/>
    <w:rsid w:val="00362A3E"/>
    <w:rsid w:val="00362A47"/>
    <w:rsid w:val="00362A7A"/>
    <w:rsid w:val="00362AD5"/>
    <w:rsid w:val="00362AE6"/>
    <w:rsid w:val="00362E4B"/>
    <w:rsid w:val="00362EDE"/>
    <w:rsid w:val="00362FD3"/>
    <w:rsid w:val="003630EF"/>
    <w:rsid w:val="00363108"/>
    <w:rsid w:val="00363204"/>
    <w:rsid w:val="00363223"/>
    <w:rsid w:val="00363297"/>
    <w:rsid w:val="003632BE"/>
    <w:rsid w:val="003632E2"/>
    <w:rsid w:val="00363341"/>
    <w:rsid w:val="003635DB"/>
    <w:rsid w:val="00363651"/>
    <w:rsid w:val="0036368B"/>
    <w:rsid w:val="00363828"/>
    <w:rsid w:val="00363A41"/>
    <w:rsid w:val="00363AFA"/>
    <w:rsid w:val="00363B83"/>
    <w:rsid w:val="00363DF3"/>
    <w:rsid w:val="00363EDF"/>
    <w:rsid w:val="00363FD8"/>
    <w:rsid w:val="00363FF1"/>
    <w:rsid w:val="00364037"/>
    <w:rsid w:val="0036405B"/>
    <w:rsid w:val="00364107"/>
    <w:rsid w:val="0036424D"/>
    <w:rsid w:val="003643C3"/>
    <w:rsid w:val="0036451F"/>
    <w:rsid w:val="003645FE"/>
    <w:rsid w:val="00364890"/>
    <w:rsid w:val="003648C0"/>
    <w:rsid w:val="00364BC8"/>
    <w:rsid w:val="00364BE8"/>
    <w:rsid w:val="00364C5B"/>
    <w:rsid w:val="00364D5D"/>
    <w:rsid w:val="00364DDA"/>
    <w:rsid w:val="00364FC7"/>
    <w:rsid w:val="0036505A"/>
    <w:rsid w:val="0036507A"/>
    <w:rsid w:val="00365173"/>
    <w:rsid w:val="00365235"/>
    <w:rsid w:val="003652A0"/>
    <w:rsid w:val="00365328"/>
    <w:rsid w:val="00365376"/>
    <w:rsid w:val="00365519"/>
    <w:rsid w:val="00365534"/>
    <w:rsid w:val="00365689"/>
    <w:rsid w:val="003656BF"/>
    <w:rsid w:val="0036570B"/>
    <w:rsid w:val="0036573A"/>
    <w:rsid w:val="00365755"/>
    <w:rsid w:val="00365882"/>
    <w:rsid w:val="003658FF"/>
    <w:rsid w:val="00365AD3"/>
    <w:rsid w:val="00365B37"/>
    <w:rsid w:val="00365C0F"/>
    <w:rsid w:val="00365C3F"/>
    <w:rsid w:val="00366041"/>
    <w:rsid w:val="0036621C"/>
    <w:rsid w:val="0036625E"/>
    <w:rsid w:val="0036643E"/>
    <w:rsid w:val="0036658B"/>
    <w:rsid w:val="003665C5"/>
    <w:rsid w:val="003665EA"/>
    <w:rsid w:val="00366A33"/>
    <w:rsid w:val="00366BA0"/>
    <w:rsid w:val="00366BF5"/>
    <w:rsid w:val="00366E8A"/>
    <w:rsid w:val="00367087"/>
    <w:rsid w:val="0036724A"/>
    <w:rsid w:val="00367434"/>
    <w:rsid w:val="00367437"/>
    <w:rsid w:val="00367466"/>
    <w:rsid w:val="0036751D"/>
    <w:rsid w:val="00367635"/>
    <w:rsid w:val="00367751"/>
    <w:rsid w:val="003677F3"/>
    <w:rsid w:val="003678FE"/>
    <w:rsid w:val="00367B24"/>
    <w:rsid w:val="00367B9D"/>
    <w:rsid w:val="00367D1A"/>
    <w:rsid w:val="00367DAC"/>
    <w:rsid w:val="00367DF6"/>
    <w:rsid w:val="00367E51"/>
    <w:rsid w:val="00367F91"/>
    <w:rsid w:val="0037004C"/>
    <w:rsid w:val="003701F1"/>
    <w:rsid w:val="0037044D"/>
    <w:rsid w:val="003704CB"/>
    <w:rsid w:val="00370703"/>
    <w:rsid w:val="0037088B"/>
    <w:rsid w:val="0037093A"/>
    <w:rsid w:val="00370B39"/>
    <w:rsid w:val="00370B91"/>
    <w:rsid w:val="00370D93"/>
    <w:rsid w:val="00371375"/>
    <w:rsid w:val="00371478"/>
    <w:rsid w:val="003714CF"/>
    <w:rsid w:val="00371548"/>
    <w:rsid w:val="003715E2"/>
    <w:rsid w:val="0037169D"/>
    <w:rsid w:val="00371836"/>
    <w:rsid w:val="0037199D"/>
    <w:rsid w:val="003719AE"/>
    <w:rsid w:val="00371AFC"/>
    <w:rsid w:val="00371BB5"/>
    <w:rsid w:val="00371CE3"/>
    <w:rsid w:val="00371DD4"/>
    <w:rsid w:val="00371F26"/>
    <w:rsid w:val="003720B7"/>
    <w:rsid w:val="003721A3"/>
    <w:rsid w:val="003721E0"/>
    <w:rsid w:val="003721E9"/>
    <w:rsid w:val="0037229A"/>
    <w:rsid w:val="00372355"/>
    <w:rsid w:val="003723D7"/>
    <w:rsid w:val="003727CE"/>
    <w:rsid w:val="003727EA"/>
    <w:rsid w:val="00372809"/>
    <w:rsid w:val="003728F9"/>
    <w:rsid w:val="00372ABF"/>
    <w:rsid w:val="00372BFF"/>
    <w:rsid w:val="00372C9E"/>
    <w:rsid w:val="00372CD2"/>
    <w:rsid w:val="00372DA9"/>
    <w:rsid w:val="00372DC4"/>
    <w:rsid w:val="00372EBD"/>
    <w:rsid w:val="00372EE1"/>
    <w:rsid w:val="00373029"/>
    <w:rsid w:val="003731DC"/>
    <w:rsid w:val="00373373"/>
    <w:rsid w:val="00373425"/>
    <w:rsid w:val="003734B0"/>
    <w:rsid w:val="0037359A"/>
    <w:rsid w:val="003735A4"/>
    <w:rsid w:val="0037360E"/>
    <w:rsid w:val="003736B6"/>
    <w:rsid w:val="0037375B"/>
    <w:rsid w:val="003737AA"/>
    <w:rsid w:val="003737FF"/>
    <w:rsid w:val="00373A93"/>
    <w:rsid w:val="00373C35"/>
    <w:rsid w:val="00373C52"/>
    <w:rsid w:val="00373C69"/>
    <w:rsid w:val="00373CA0"/>
    <w:rsid w:val="00373CF6"/>
    <w:rsid w:val="00373D53"/>
    <w:rsid w:val="00373DE0"/>
    <w:rsid w:val="0037404E"/>
    <w:rsid w:val="0037412D"/>
    <w:rsid w:val="003745DC"/>
    <w:rsid w:val="00374616"/>
    <w:rsid w:val="003747EB"/>
    <w:rsid w:val="003748FD"/>
    <w:rsid w:val="00374919"/>
    <w:rsid w:val="0037494A"/>
    <w:rsid w:val="00374A07"/>
    <w:rsid w:val="00374C37"/>
    <w:rsid w:val="00374C5A"/>
    <w:rsid w:val="00374CE8"/>
    <w:rsid w:val="00374E0A"/>
    <w:rsid w:val="00374F6B"/>
    <w:rsid w:val="00374F85"/>
    <w:rsid w:val="003752F6"/>
    <w:rsid w:val="00375303"/>
    <w:rsid w:val="0037531D"/>
    <w:rsid w:val="0037540A"/>
    <w:rsid w:val="0037541D"/>
    <w:rsid w:val="003754A0"/>
    <w:rsid w:val="0037553A"/>
    <w:rsid w:val="00375603"/>
    <w:rsid w:val="00375793"/>
    <w:rsid w:val="0037595F"/>
    <w:rsid w:val="00375A03"/>
    <w:rsid w:val="00375B7C"/>
    <w:rsid w:val="00375D56"/>
    <w:rsid w:val="00375DFE"/>
    <w:rsid w:val="00375EC3"/>
    <w:rsid w:val="00376087"/>
    <w:rsid w:val="0037609F"/>
    <w:rsid w:val="00376111"/>
    <w:rsid w:val="003761EA"/>
    <w:rsid w:val="003763FD"/>
    <w:rsid w:val="00376575"/>
    <w:rsid w:val="003767D0"/>
    <w:rsid w:val="00376840"/>
    <w:rsid w:val="00376945"/>
    <w:rsid w:val="00376982"/>
    <w:rsid w:val="00376B96"/>
    <w:rsid w:val="00376BFA"/>
    <w:rsid w:val="00376C30"/>
    <w:rsid w:val="00376CD0"/>
    <w:rsid w:val="00376DDB"/>
    <w:rsid w:val="003770D4"/>
    <w:rsid w:val="003770F8"/>
    <w:rsid w:val="0037711B"/>
    <w:rsid w:val="0037729D"/>
    <w:rsid w:val="00377353"/>
    <w:rsid w:val="0037738A"/>
    <w:rsid w:val="0037745A"/>
    <w:rsid w:val="003775CC"/>
    <w:rsid w:val="0037794A"/>
    <w:rsid w:val="00377970"/>
    <w:rsid w:val="00377982"/>
    <w:rsid w:val="00377986"/>
    <w:rsid w:val="003779BC"/>
    <w:rsid w:val="00377A66"/>
    <w:rsid w:val="00377B52"/>
    <w:rsid w:val="00377B6C"/>
    <w:rsid w:val="00377B8D"/>
    <w:rsid w:val="00377BBF"/>
    <w:rsid w:val="00377DD1"/>
    <w:rsid w:val="00377E0A"/>
    <w:rsid w:val="00377E6C"/>
    <w:rsid w:val="00377ED1"/>
    <w:rsid w:val="00377FAB"/>
    <w:rsid w:val="003803D4"/>
    <w:rsid w:val="003803E7"/>
    <w:rsid w:val="00380535"/>
    <w:rsid w:val="00380659"/>
    <w:rsid w:val="003806A0"/>
    <w:rsid w:val="003806B9"/>
    <w:rsid w:val="00380806"/>
    <w:rsid w:val="00380833"/>
    <w:rsid w:val="003809A7"/>
    <w:rsid w:val="00380A1C"/>
    <w:rsid w:val="00380B38"/>
    <w:rsid w:val="00380C9F"/>
    <w:rsid w:val="00380DBC"/>
    <w:rsid w:val="00381047"/>
    <w:rsid w:val="003811A6"/>
    <w:rsid w:val="00381201"/>
    <w:rsid w:val="003813A1"/>
    <w:rsid w:val="003813BD"/>
    <w:rsid w:val="00381452"/>
    <w:rsid w:val="003816F4"/>
    <w:rsid w:val="00381831"/>
    <w:rsid w:val="00381877"/>
    <w:rsid w:val="003819D8"/>
    <w:rsid w:val="003819F2"/>
    <w:rsid w:val="00381A34"/>
    <w:rsid w:val="00381AAE"/>
    <w:rsid w:val="00381DC2"/>
    <w:rsid w:val="00381E17"/>
    <w:rsid w:val="00381F11"/>
    <w:rsid w:val="003820BC"/>
    <w:rsid w:val="0038220B"/>
    <w:rsid w:val="00382248"/>
    <w:rsid w:val="003824BC"/>
    <w:rsid w:val="00382630"/>
    <w:rsid w:val="00382757"/>
    <w:rsid w:val="0038278C"/>
    <w:rsid w:val="00382CF5"/>
    <w:rsid w:val="00382E22"/>
    <w:rsid w:val="00383412"/>
    <w:rsid w:val="00383508"/>
    <w:rsid w:val="003836E4"/>
    <w:rsid w:val="00383731"/>
    <w:rsid w:val="0038376E"/>
    <w:rsid w:val="0038397E"/>
    <w:rsid w:val="00383996"/>
    <w:rsid w:val="00383A15"/>
    <w:rsid w:val="00384148"/>
    <w:rsid w:val="00384153"/>
    <w:rsid w:val="00384155"/>
    <w:rsid w:val="003841DE"/>
    <w:rsid w:val="00384239"/>
    <w:rsid w:val="00384324"/>
    <w:rsid w:val="003843F0"/>
    <w:rsid w:val="00384465"/>
    <w:rsid w:val="00384468"/>
    <w:rsid w:val="003844B6"/>
    <w:rsid w:val="003844D9"/>
    <w:rsid w:val="00384570"/>
    <w:rsid w:val="00384598"/>
    <w:rsid w:val="00384674"/>
    <w:rsid w:val="003846E4"/>
    <w:rsid w:val="003848BA"/>
    <w:rsid w:val="00384BD9"/>
    <w:rsid w:val="00384D9D"/>
    <w:rsid w:val="00384ED8"/>
    <w:rsid w:val="00384F2E"/>
    <w:rsid w:val="0038504E"/>
    <w:rsid w:val="00385183"/>
    <w:rsid w:val="00385248"/>
    <w:rsid w:val="003853EE"/>
    <w:rsid w:val="0038550D"/>
    <w:rsid w:val="00385954"/>
    <w:rsid w:val="00385995"/>
    <w:rsid w:val="00385FC3"/>
    <w:rsid w:val="00385FCE"/>
    <w:rsid w:val="00386074"/>
    <w:rsid w:val="003863BD"/>
    <w:rsid w:val="00386490"/>
    <w:rsid w:val="003865F3"/>
    <w:rsid w:val="003867FD"/>
    <w:rsid w:val="00386889"/>
    <w:rsid w:val="003868A2"/>
    <w:rsid w:val="003868C9"/>
    <w:rsid w:val="00386AB6"/>
    <w:rsid w:val="00386B49"/>
    <w:rsid w:val="00386CBE"/>
    <w:rsid w:val="00386DAF"/>
    <w:rsid w:val="00386E30"/>
    <w:rsid w:val="00386F7C"/>
    <w:rsid w:val="00386F85"/>
    <w:rsid w:val="00386FCA"/>
    <w:rsid w:val="003870DB"/>
    <w:rsid w:val="00387184"/>
    <w:rsid w:val="003871B9"/>
    <w:rsid w:val="00387258"/>
    <w:rsid w:val="003872F1"/>
    <w:rsid w:val="00387347"/>
    <w:rsid w:val="00387405"/>
    <w:rsid w:val="0038742E"/>
    <w:rsid w:val="003874E0"/>
    <w:rsid w:val="00387696"/>
    <w:rsid w:val="00387766"/>
    <w:rsid w:val="003877C9"/>
    <w:rsid w:val="0038795A"/>
    <w:rsid w:val="003879E7"/>
    <w:rsid w:val="003879F4"/>
    <w:rsid w:val="00387B27"/>
    <w:rsid w:val="00387CBC"/>
    <w:rsid w:val="00387D41"/>
    <w:rsid w:val="00387E48"/>
    <w:rsid w:val="00387E71"/>
    <w:rsid w:val="0039038B"/>
    <w:rsid w:val="0039043F"/>
    <w:rsid w:val="003904B8"/>
    <w:rsid w:val="003905F8"/>
    <w:rsid w:val="0039067D"/>
    <w:rsid w:val="003908F1"/>
    <w:rsid w:val="00390A90"/>
    <w:rsid w:val="00390ABC"/>
    <w:rsid w:val="00390B4D"/>
    <w:rsid w:val="00390CCB"/>
    <w:rsid w:val="00390ECB"/>
    <w:rsid w:val="00390FBD"/>
    <w:rsid w:val="00391081"/>
    <w:rsid w:val="003910A5"/>
    <w:rsid w:val="003912FB"/>
    <w:rsid w:val="003913B1"/>
    <w:rsid w:val="003914EE"/>
    <w:rsid w:val="003915CC"/>
    <w:rsid w:val="003915D4"/>
    <w:rsid w:val="003915E2"/>
    <w:rsid w:val="00391676"/>
    <w:rsid w:val="003916C0"/>
    <w:rsid w:val="0039173E"/>
    <w:rsid w:val="00391744"/>
    <w:rsid w:val="00391762"/>
    <w:rsid w:val="003917DB"/>
    <w:rsid w:val="0039194E"/>
    <w:rsid w:val="00391AF7"/>
    <w:rsid w:val="00391B5C"/>
    <w:rsid w:val="00391E05"/>
    <w:rsid w:val="00391F57"/>
    <w:rsid w:val="003920E6"/>
    <w:rsid w:val="00392157"/>
    <w:rsid w:val="0039221F"/>
    <w:rsid w:val="003922B2"/>
    <w:rsid w:val="00392357"/>
    <w:rsid w:val="0039246E"/>
    <w:rsid w:val="003924D0"/>
    <w:rsid w:val="003925E1"/>
    <w:rsid w:val="00392648"/>
    <w:rsid w:val="003928DD"/>
    <w:rsid w:val="00392A29"/>
    <w:rsid w:val="00392BFF"/>
    <w:rsid w:val="00392C6F"/>
    <w:rsid w:val="00392FB2"/>
    <w:rsid w:val="00393154"/>
    <w:rsid w:val="0039329A"/>
    <w:rsid w:val="003932D1"/>
    <w:rsid w:val="003933AD"/>
    <w:rsid w:val="003933CC"/>
    <w:rsid w:val="00393463"/>
    <w:rsid w:val="0039366B"/>
    <w:rsid w:val="0039368F"/>
    <w:rsid w:val="003937E6"/>
    <w:rsid w:val="00393B0A"/>
    <w:rsid w:val="00393C17"/>
    <w:rsid w:val="00393DAD"/>
    <w:rsid w:val="0039411C"/>
    <w:rsid w:val="003941DA"/>
    <w:rsid w:val="003942C7"/>
    <w:rsid w:val="00394436"/>
    <w:rsid w:val="0039444D"/>
    <w:rsid w:val="0039448E"/>
    <w:rsid w:val="003944C4"/>
    <w:rsid w:val="003944C5"/>
    <w:rsid w:val="0039462A"/>
    <w:rsid w:val="00394682"/>
    <w:rsid w:val="00394845"/>
    <w:rsid w:val="003948EF"/>
    <w:rsid w:val="00394A86"/>
    <w:rsid w:val="00394BED"/>
    <w:rsid w:val="00394DB2"/>
    <w:rsid w:val="00394DBD"/>
    <w:rsid w:val="00394DE9"/>
    <w:rsid w:val="00394EA1"/>
    <w:rsid w:val="003952BB"/>
    <w:rsid w:val="003952C1"/>
    <w:rsid w:val="00395513"/>
    <w:rsid w:val="0039559A"/>
    <w:rsid w:val="003955CA"/>
    <w:rsid w:val="0039561F"/>
    <w:rsid w:val="0039570C"/>
    <w:rsid w:val="00395726"/>
    <w:rsid w:val="00395BA9"/>
    <w:rsid w:val="00395DA2"/>
    <w:rsid w:val="00395DAC"/>
    <w:rsid w:val="00395E92"/>
    <w:rsid w:val="00395ECA"/>
    <w:rsid w:val="0039613E"/>
    <w:rsid w:val="003963A2"/>
    <w:rsid w:val="003963C0"/>
    <w:rsid w:val="00396559"/>
    <w:rsid w:val="00396682"/>
    <w:rsid w:val="003966EF"/>
    <w:rsid w:val="003969A8"/>
    <w:rsid w:val="00396C5C"/>
    <w:rsid w:val="00396C68"/>
    <w:rsid w:val="00396CB9"/>
    <w:rsid w:val="00396CC7"/>
    <w:rsid w:val="00396E33"/>
    <w:rsid w:val="00396E3F"/>
    <w:rsid w:val="00396F4C"/>
    <w:rsid w:val="003970CA"/>
    <w:rsid w:val="0039714F"/>
    <w:rsid w:val="00397197"/>
    <w:rsid w:val="0039736E"/>
    <w:rsid w:val="003974B3"/>
    <w:rsid w:val="003974C0"/>
    <w:rsid w:val="00397894"/>
    <w:rsid w:val="003978FB"/>
    <w:rsid w:val="00397946"/>
    <w:rsid w:val="0039794C"/>
    <w:rsid w:val="00397A17"/>
    <w:rsid w:val="00397A61"/>
    <w:rsid w:val="00397C9C"/>
    <w:rsid w:val="00397CB1"/>
    <w:rsid w:val="00397CC9"/>
    <w:rsid w:val="00397DAD"/>
    <w:rsid w:val="00397E98"/>
    <w:rsid w:val="00397EEF"/>
    <w:rsid w:val="00397F30"/>
    <w:rsid w:val="003A0059"/>
    <w:rsid w:val="003A0186"/>
    <w:rsid w:val="003A02FA"/>
    <w:rsid w:val="003A03E2"/>
    <w:rsid w:val="003A0453"/>
    <w:rsid w:val="003A04F8"/>
    <w:rsid w:val="003A07F8"/>
    <w:rsid w:val="003A0851"/>
    <w:rsid w:val="003A087D"/>
    <w:rsid w:val="003A0A25"/>
    <w:rsid w:val="003A0B0E"/>
    <w:rsid w:val="003A0B54"/>
    <w:rsid w:val="003A0BCF"/>
    <w:rsid w:val="003A0CC6"/>
    <w:rsid w:val="003A0E45"/>
    <w:rsid w:val="003A0E4C"/>
    <w:rsid w:val="003A0EEF"/>
    <w:rsid w:val="003A0F0E"/>
    <w:rsid w:val="003A0F4C"/>
    <w:rsid w:val="003A100C"/>
    <w:rsid w:val="003A116C"/>
    <w:rsid w:val="003A11C2"/>
    <w:rsid w:val="003A1220"/>
    <w:rsid w:val="003A13D1"/>
    <w:rsid w:val="003A1459"/>
    <w:rsid w:val="003A1573"/>
    <w:rsid w:val="003A1627"/>
    <w:rsid w:val="003A1711"/>
    <w:rsid w:val="003A19E6"/>
    <w:rsid w:val="003A1AB1"/>
    <w:rsid w:val="003A1AEF"/>
    <w:rsid w:val="003A1E26"/>
    <w:rsid w:val="003A1E9C"/>
    <w:rsid w:val="003A208F"/>
    <w:rsid w:val="003A20D0"/>
    <w:rsid w:val="003A2223"/>
    <w:rsid w:val="003A2385"/>
    <w:rsid w:val="003A25B6"/>
    <w:rsid w:val="003A25E5"/>
    <w:rsid w:val="003A26F9"/>
    <w:rsid w:val="003A27A3"/>
    <w:rsid w:val="003A27D2"/>
    <w:rsid w:val="003A2800"/>
    <w:rsid w:val="003A2849"/>
    <w:rsid w:val="003A2A00"/>
    <w:rsid w:val="003A2AEB"/>
    <w:rsid w:val="003A2B7C"/>
    <w:rsid w:val="003A2BDD"/>
    <w:rsid w:val="003A2BF7"/>
    <w:rsid w:val="003A2C0D"/>
    <w:rsid w:val="003A2DE6"/>
    <w:rsid w:val="003A2F64"/>
    <w:rsid w:val="003A30F3"/>
    <w:rsid w:val="003A312E"/>
    <w:rsid w:val="003A315D"/>
    <w:rsid w:val="003A322D"/>
    <w:rsid w:val="003A3436"/>
    <w:rsid w:val="003A355C"/>
    <w:rsid w:val="003A3649"/>
    <w:rsid w:val="003A36CC"/>
    <w:rsid w:val="003A3724"/>
    <w:rsid w:val="003A37B6"/>
    <w:rsid w:val="003A37F2"/>
    <w:rsid w:val="003A3803"/>
    <w:rsid w:val="003A3855"/>
    <w:rsid w:val="003A38C6"/>
    <w:rsid w:val="003A3920"/>
    <w:rsid w:val="003A397B"/>
    <w:rsid w:val="003A3A37"/>
    <w:rsid w:val="003A3A84"/>
    <w:rsid w:val="003A3AC6"/>
    <w:rsid w:val="003A3B0E"/>
    <w:rsid w:val="003A3C64"/>
    <w:rsid w:val="003A3CBF"/>
    <w:rsid w:val="003A3D57"/>
    <w:rsid w:val="003A3DC8"/>
    <w:rsid w:val="003A3DD5"/>
    <w:rsid w:val="003A401D"/>
    <w:rsid w:val="003A40F3"/>
    <w:rsid w:val="003A418E"/>
    <w:rsid w:val="003A4256"/>
    <w:rsid w:val="003A426F"/>
    <w:rsid w:val="003A42F3"/>
    <w:rsid w:val="003A431E"/>
    <w:rsid w:val="003A449B"/>
    <w:rsid w:val="003A44F7"/>
    <w:rsid w:val="003A455C"/>
    <w:rsid w:val="003A466E"/>
    <w:rsid w:val="003A4681"/>
    <w:rsid w:val="003A4781"/>
    <w:rsid w:val="003A4985"/>
    <w:rsid w:val="003A49A4"/>
    <w:rsid w:val="003A4B09"/>
    <w:rsid w:val="003A4C90"/>
    <w:rsid w:val="003A4D75"/>
    <w:rsid w:val="003A4F13"/>
    <w:rsid w:val="003A5029"/>
    <w:rsid w:val="003A50A4"/>
    <w:rsid w:val="003A50AD"/>
    <w:rsid w:val="003A51BE"/>
    <w:rsid w:val="003A56C0"/>
    <w:rsid w:val="003A56DA"/>
    <w:rsid w:val="003A571A"/>
    <w:rsid w:val="003A57B6"/>
    <w:rsid w:val="003A5A17"/>
    <w:rsid w:val="003A5B52"/>
    <w:rsid w:val="003A5BEE"/>
    <w:rsid w:val="003A5C0A"/>
    <w:rsid w:val="003A5ED0"/>
    <w:rsid w:val="003A5FEF"/>
    <w:rsid w:val="003A618D"/>
    <w:rsid w:val="003A6242"/>
    <w:rsid w:val="003A6393"/>
    <w:rsid w:val="003A6462"/>
    <w:rsid w:val="003A64B1"/>
    <w:rsid w:val="003A6570"/>
    <w:rsid w:val="003A6653"/>
    <w:rsid w:val="003A67ED"/>
    <w:rsid w:val="003A68F6"/>
    <w:rsid w:val="003A68F7"/>
    <w:rsid w:val="003A694F"/>
    <w:rsid w:val="003A6A15"/>
    <w:rsid w:val="003A6A8D"/>
    <w:rsid w:val="003A6B05"/>
    <w:rsid w:val="003A6B0E"/>
    <w:rsid w:val="003A6CBF"/>
    <w:rsid w:val="003A6DF5"/>
    <w:rsid w:val="003A6EA9"/>
    <w:rsid w:val="003A6F37"/>
    <w:rsid w:val="003A6F81"/>
    <w:rsid w:val="003A701C"/>
    <w:rsid w:val="003A7035"/>
    <w:rsid w:val="003A70ED"/>
    <w:rsid w:val="003A727D"/>
    <w:rsid w:val="003A730D"/>
    <w:rsid w:val="003A7327"/>
    <w:rsid w:val="003A738D"/>
    <w:rsid w:val="003A76CF"/>
    <w:rsid w:val="003A775D"/>
    <w:rsid w:val="003A7769"/>
    <w:rsid w:val="003A78E4"/>
    <w:rsid w:val="003A7A16"/>
    <w:rsid w:val="003A7B7D"/>
    <w:rsid w:val="003A7DA9"/>
    <w:rsid w:val="003B01C9"/>
    <w:rsid w:val="003B0267"/>
    <w:rsid w:val="003B030B"/>
    <w:rsid w:val="003B0351"/>
    <w:rsid w:val="003B0428"/>
    <w:rsid w:val="003B0901"/>
    <w:rsid w:val="003B0C8B"/>
    <w:rsid w:val="003B0DD7"/>
    <w:rsid w:val="003B0F68"/>
    <w:rsid w:val="003B0F88"/>
    <w:rsid w:val="003B10E6"/>
    <w:rsid w:val="003B1205"/>
    <w:rsid w:val="003B1372"/>
    <w:rsid w:val="003B13E6"/>
    <w:rsid w:val="003B13FB"/>
    <w:rsid w:val="003B143B"/>
    <w:rsid w:val="003B1461"/>
    <w:rsid w:val="003B1515"/>
    <w:rsid w:val="003B1632"/>
    <w:rsid w:val="003B1776"/>
    <w:rsid w:val="003B17CC"/>
    <w:rsid w:val="003B1880"/>
    <w:rsid w:val="003B19B1"/>
    <w:rsid w:val="003B19E6"/>
    <w:rsid w:val="003B1BB6"/>
    <w:rsid w:val="003B1BF0"/>
    <w:rsid w:val="003B1C01"/>
    <w:rsid w:val="003B1C03"/>
    <w:rsid w:val="003B1C0D"/>
    <w:rsid w:val="003B1CAC"/>
    <w:rsid w:val="003B1D43"/>
    <w:rsid w:val="003B1D81"/>
    <w:rsid w:val="003B2002"/>
    <w:rsid w:val="003B21B9"/>
    <w:rsid w:val="003B22B9"/>
    <w:rsid w:val="003B23FD"/>
    <w:rsid w:val="003B242A"/>
    <w:rsid w:val="003B259C"/>
    <w:rsid w:val="003B25D3"/>
    <w:rsid w:val="003B263B"/>
    <w:rsid w:val="003B26A3"/>
    <w:rsid w:val="003B26AB"/>
    <w:rsid w:val="003B2848"/>
    <w:rsid w:val="003B2865"/>
    <w:rsid w:val="003B2A0A"/>
    <w:rsid w:val="003B2A27"/>
    <w:rsid w:val="003B2B24"/>
    <w:rsid w:val="003B2C69"/>
    <w:rsid w:val="003B2CA3"/>
    <w:rsid w:val="003B2F05"/>
    <w:rsid w:val="003B2F74"/>
    <w:rsid w:val="003B3011"/>
    <w:rsid w:val="003B30FC"/>
    <w:rsid w:val="003B311E"/>
    <w:rsid w:val="003B3132"/>
    <w:rsid w:val="003B31C7"/>
    <w:rsid w:val="003B31F8"/>
    <w:rsid w:val="003B32F0"/>
    <w:rsid w:val="003B33F5"/>
    <w:rsid w:val="003B34C2"/>
    <w:rsid w:val="003B3527"/>
    <w:rsid w:val="003B3591"/>
    <w:rsid w:val="003B3641"/>
    <w:rsid w:val="003B3643"/>
    <w:rsid w:val="003B3737"/>
    <w:rsid w:val="003B374C"/>
    <w:rsid w:val="003B389A"/>
    <w:rsid w:val="003B394A"/>
    <w:rsid w:val="003B39B6"/>
    <w:rsid w:val="003B3A39"/>
    <w:rsid w:val="003B3BBF"/>
    <w:rsid w:val="003B3D00"/>
    <w:rsid w:val="003B3D8F"/>
    <w:rsid w:val="003B3DD6"/>
    <w:rsid w:val="003B3ED5"/>
    <w:rsid w:val="003B3F94"/>
    <w:rsid w:val="003B3FF6"/>
    <w:rsid w:val="003B400B"/>
    <w:rsid w:val="003B4015"/>
    <w:rsid w:val="003B40AA"/>
    <w:rsid w:val="003B40E2"/>
    <w:rsid w:val="003B419D"/>
    <w:rsid w:val="003B42D0"/>
    <w:rsid w:val="003B454E"/>
    <w:rsid w:val="003B458B"/>
    <w:rsid w:val="003B45C1"/>
    <w:rsid w:val="003B462C"/>
    <w:rsid w:val="003B4650"/>
    <w:rsid w:val="003B4775"/>
    <w:rsid w:val="003B4777"/>
    <w:rsid w:val="003B483D"/>
    <w:rsid w:val="003B4970"/>
    <w:rsid w:val="003B49AF"/>
    <w:rsid w:val="003B49CC"/>
    <w:rsid w:val="003B4A5F"/>
    <w:rsid w:val="003B4C20"/>
    <w:rsid w:val="003B4C30"/>
    <w:rsid w:val="003B4D6A"/>
    <w:rsid w:val="003B4DCA"/>
    <w:rsid w:val="003B4F50"/>
    <w:rsid w:val="003B4FB9"/>
    <w:rsid w:val="003B51B7"/>
    <w:rsid w:val="003B54F3"/>
    <w:rsid w:val="003B5547"/>
    <w:rsid w:val="003B5627"/>
    <w:rsid w:val="003B56E1"/>
    <w:rsid w:val="003B5828"/>
    <w:rsid w:val="003B5871"/>
    <w:rsid w:val="003B592E"/>
    <w:rsid w:val="003B5A6E"/>
    <w:rsid w:val="003B5A97"/>
    <w:rsid w:val="003B5AD9"/>
    <w:rsid w:val="003B5C4F"/>
    <w:rsid w:val="003B5CAF"/>
    <w:rsid w:val="003B5D3E"/>
    <w:rsid w:val="003B5E2B"/>
    <w:rsid w:val="003B5E80"/>
    <w:rsid w:val="003B5E9C"/>
    <w:rsid w:val="003B5EBA"/>
    <w:rsid w:val="003B5F0F"/>
    <w:rsid w:val="003B5F12"/>
    <w:rsid w:val="003B5F82"/>
    <w:rsid w:val="003B5F8F"/>
    <w:rsid w:val="003B6042"/>
    <w:rsid w:val="003B6412"/>
    <w:rsid w:val="003B6601"/>
    <w:rsid w:val="003B6611"/>
    <w:rsid w:val="003B6621"/>
    <w:rsid w:val="003B6773"/>
    <w:rsid w:val="003B6871"/>
    <w:rsid w:val="003B6DB8"/>
    <w:rsid w:val="003B6EA3"/>
    <w:rsid w:val="003B6F3C"/>
    <w:rsid w:val="003B714F"/>
    <w:rsid w:val="003B7167"/>
    <w:rsid w:val="003B7447"/>
    <w:rsid w:val="003B7608"/>
    <w:rsid w:val="003B7876"/>
    <w:rsid w:val="003B7A0F"/>
    <w:rsid w:val="003B7B08"/>
    <w:rsid w:val="003B7CCE"/>
    <w:rsid w:val="003B7FD3"/>
    <w:rsid w:val="003C02AA"/>
    <w:rsid w:val="003C02BD"/>
    <w:rsid w:val="003C0368"/>
    <w:rsid w:val="003C0388"/>
    <w:rsid w:val="003C0418"/>
    <w:rsid w:val="003C04CA"/>
    <w:rsid w:val="003C0556"/>
    <w:rsid w:val="003C05B2"/>
    <w:rsid w:val="003C069B"/>
    <w:rsid w:val="003C074F"/>
    <w:rsid w:val="003C0880"/>
    <w:rsid w:val="003C0902"/>
    <w:rsid w:val="003C0B80"/>
    <w:rsid w:val="003C0BDD"/>
    <w:rsid w:val="003C0C51"/>
    <w:rsid w:val="003C0E2C"/>
    <w:rsid w:val="003C0ED5"/>
    <w:rsid w:val="003C0F3A"/>
    <w:rsid w:val="003C1055"/>
    <w:rsid w:val="003C1088"/>
    <w:rsid w:val="003C113D"/>
    <w:rsid w:val="003C1168"/>
    <w:rsid w:val="003C12CF"/>
    <w:rsid w:val="003C12F0"/>
    <w:rsid w:val="003C151C"/>
    <w:rsid w:val="003C15C4"/>
    <w:rsid w:val="003C171F"/>
    <w:rsid w:val="003C1806"/>
    <w:rsid w:val="003C1812"/>
    <w:rsid w:val="003C1954"/>
    <w:rsid w:val="003C1AD2"/>
    <w:rsid w:val="003C1C84"/>
    <w:rsid w:val="003C1D3C"/>
    <w:rsid w:val="003C1D94"/>
    <w:rsid w:val="003C1E3F"/>
    <w:rsid w:val="003C1EC3"/>
    <w:rsid w:val="003C2117"/>
    <w:rsid w:val="003C211B"/>
    <w:rsid w:val="003C22AE"/>
    <w:rsid w:val="003C24D0"/>
    <w:rsid w:val="003C255F"/>
    <w:rsid w:val="003C27E8"/>
    <w:rsid w:val="003C2868"/>
    <w:rsid w:val="003C28E1"/>
    <w:rsid w:val="003C297C"/>
    <w:rsid w:val="003C2A1B"/>
    <w:rsid w:val="003C2E22"/>
    <w:rsid w:val="003C2EBD"/>
    <w:rsid w:val="003C3297"/>
    <w:rsid w:val="003C35CB"/>
    <w:rsid w:val="003C3826"/>
    <w:rsid w:val="003C3CEF"/>
    <w:rsid w:val="003C3D06"/>
    <w:rsid w:val="003C3D23"/>
    <w:rsid w:val="003C3D38"/>
    <w:rsid w:val="003C3DD6"/>
    <w:rsid w:val="003C3DEC"/>
    <w:rsid w:val="003C3F18"/>
    <w:rsid w:val="003C3F81"/>
    <w:rsid w:val="003C42F3"/>
    <w:rsid w:val="003C437D"/>
    <w:rsid w:val="003C4392"/>
    <w:rsid w:val="003C4499"/>
    <w:rsid w:val="003C454B"/>
    <w:rsid w:val="003C45A8"/>
    <w:rsid w:val="003C45BB"/>
    <w:rsid w:val="003C45CA"/>
    <w:rsid w:val="003C4785"/>
    <w:rsid w:val="003C481F"/>
    <w:rsid w:val="003C4855"/>
    <w:rsid w:val="003C4B2D"/>
    <w:rsid w:val="003C4C4D"/>
    <w:rsid w:val="003C4E9D"/>
    <w:rsid w:val="003C4ECC"/>
    <w:rsid w:val="003C4FAA"/>
    <w:rsid w:val="003C51AD"/>
    <w:rsid w:val="003C52C5"/>
    <w:rsid w:val="003C553E"/>
    <w:rsid w:val="003C5618"/>
    <w:rsid w:val="003C56CB"/>
    <w:rsid w:val="003C5798"/>
    <w:rsid w:val="003C5941"/>
    <w:rsid w:val="003C5A16"/>
    <w:rsid w:val="003C5AD6"/>
    <w:rsid w:val="003C5AFC"/>
    <w:rsid w:val="003C5C63"/>
    <w:rsid w:val="003C5FF8"/>
    <w:rsid w:val="003C64CC"/>
    <w:rsid w:val="003C6667"/>
    <w:rsid w:val="003C6696"/>
    <w:rsid w:val="003C66AE"/>
    <w:rsid w:val="003C699E"/>
    <w:rsid w:val="003C69EB"/>
    <w:rsid w:val="003C6ADB"/>
    <w:rsid w:val="003C6BAE"/>
    <w:rsid w:val="003C6BC0"/>
    <w:rsid w:val="003C6C3D"/>
    <w:rsid w:val="003C6CF8"/>
    <w:rsid w:val="003C6E1C"/>
    <w:rsid w:val="003C72A3"/>
    <w:rsid w:val="003C739E"/>
    <w:rsid w:val="003C73EC"/>
    <w:rsid w:val="003C76A3"/>
    <w:rsid w:val="003C78F8"/>
    <w:rsid w:val="003C7A80"/>
    <w:rsid w:val="003C7BFC"/>
    <w:rsid w:val="003C7D8C"/>
    <w:rsid w:val="003C7E28"/>
    <w:rsid w:val="003D0025"/>
    <w:rsid w:val="003D01C5"/>
    <w:rsid w:val="003D0218"/>
    <w:rsid w:val="003D0250"/>
    <w:rsid w:val="003D0327"/>
    <w:rsid w:val="003D0413"/>
    <w:rsid w:val="003D0557"/>
    <w:rsid w:val="003D0572"/>
    <w:rsid w:val="003D0843"/>
    <w:rsid w:val="003D08BC"/>
    <w:rsid w:val="003D08F8"/>
    <w:rsid w:val="003D09B1"/>
    <w:rsid w:val="003D0AC7"/>
    <w:rsid w:val="003D0CB9"/>
    <w:rsid w:val="003D0D26"/>
    <w:rsid w:val="003D0E48"/>
    <w:rsid w:val="003D0EB8"/>
    <w:rsid w:val="003D0EEE"/>
    <w:rsid w:val="003D0F04"/>
    <w:rsid w:val="003D1067"/>
    <w:rsid w:val="003D10C1"/>
    <w:rsid w:val="003D1120"/>
    <w:rsid w:val="003D1335"/>
    <w:rsid w:val="003D1606"/>
    <w:rsid w:val="003D1617"/>
    <w:rsid w:val="003D16A2"/>
    <w:rsid w:val="003D17B6"/>
    <w:rsid w:val="003D188A"/>
    <w:rsid w:val="003D19B8"/>
    <w:rsid w:val="003D1A7E"/>
    <w:rsid w:val="003D1B32"/>
    <w:rsid w:val="003D1B61"/>
    <w:rsid w:val="003D1BFB"/>
    <w:rsid w:val="003D1D72"/>
    <w:rsid w:val="003D1E65"/>
    <w:rsid w:val="003D1F75"/>
    <w:rsid w:val="003D1FFC"/>
    <w:rsid w:val="003D2081"/>
    <w:rsid w:val="003D22EF"/>
    <w:rsid w:val="003D238B"/>
    <w:rsid w:val="003D245A"/>
    <w:rsid w:val="003D2578"/>
    <w:rsid w:val="003D2673"/>
    <w:rsid w:val="003D28FC"/>
    <w:rsid w:val="003D2A7D"/>
    <w:rsid w:val="003D2C01"/>
    <w:rsid w:val="003D2C69"/>
    <w:rsid w:val="003D2E3D"/>
    <w:rsid w:val="003D2EB7"/>
    <w:rsid w:val="003D2F8B"/>
    <w:rsid w:val="003D2FC1"/>
    <w:rsid w:val="003D2FCA"/>
    <w:rsid w:val="003D312E"/>
    <w:rsid w:val="003D32D3"/>
    <w:rsid w:val="003D33C5"/>
    <w:rsid w:val="003D33D6"/>
    <w:rsid w:val="003D3560"/>
    <w:rsid w:val="003D3643"/>
    <w:rsid w:val="003D36ED"/>
    <w:rsid w:val="003D38CE"/>
    <w:rsid w:val="003D3906"/>
    <w:rsid w:val="003D3908"/>
    <w:rsid w:val="003D3968"/>
    <w:rsid w:val="003D39CE"/>
    <w:rsid w:val="003D3ABD"/>
    <w:rsid w:val="003D3C9D"/>
    <w:rsid w:val="003D3F4F"/>
    <w:rsid w:val="003D401C"/>
    <w:rsid w:val="003D4067"/>
    <w:rsid w:val="003D40A0"/>
    <w:rsid w:val="003D411E"/>
    <w:rsid w:val="003D4146"/>
    <w:rsid w:val="003D4178"/>
    <w:rsid w:val="003D41E9"/>
    <w:rsid w:val="003D42CF"/>
    <w:rsid w:val="003D4306"/>
    <w:rsid w:val="003D46EA"/>
    <w:rsid w:val="003D47B5"/>
    <w:rsid w:val="003D4929"/>
    <w:rsid w:val="003D4982"/>
    <w:rsid w:val="003D4B08"/>
    <w:rsid w:val="003D4B5F"/>
    <w:rsid w:val="003D4B7B"/>
    <w:rsid w:val="003D4C17"/>
    <w:rsid w:val="003D4D6B"/>
    <w:rsid w:val="003D4DF5"/>
    <w:rsid w:val="003D4E4A"/>
    <w:rsid w:val="003D4E7D"/>
    <w:rsid w:val="003D4EEF"/>
    <w:rsid w:val="003D4EF4"/>
    <w:rsid w:val="003D4F1B"/>
    <w:rsid w:val="003D4FE6"/>
    <w:rsid w:val="003D5416"/>
    <w:rsid w:val="003D545F"/>
    <w:rsid w:val="003D54D4"/>
    <w:rsid w:val="003D59C3"/>
    <w:rsid w:val="003D5A26"/>
    <w:rsid w:val="003D5A84"/>
    <w:rsid w:val="003D5C3F"/>
    <w:rsid w:val="003D5DD7"/>
    <w:rsid w:val="003D605B"/>
    <w:rsid w:val="003D6093"/>
    <w:rsid w:val="003D6094"/>
    <w:rsid w:val="003D66F0"/>
    <w:rsid w:val="003D6807"/>
    <w:rsid w:val="003D6897"/>
    <w:rsid w:val="003D6A2B"/>
    <w:rsid w:val="003D6A2E"/>
    <w:rsid w:val="003D6B0D"/>
    <w:rsid w:val="003D6B2B"/>
    <w:rsid w:val="003D6B3E"/>
    <w:rsid w:val="003D6BFB"/>
    <w:rsid w:val="003D6C8D"/>
    <w:rsid w:val="003D6E36"/>
    <w:rsid w:val="003D6FD2"/>
    <w:rsid w:val="003D6FF5"/>
    <w:rsid w:val="003D707A"/>
    <w:rsid w:val="003D71D5"/>
    <w:rsid w:val="003D71EB"/>
    <w:rsid w:val="003D720E"/>
    <w:rsid w:val="003D7294"/>
    <w:rsid w:val="003D72AD"/>
    <w:rsid w:val="003D7447"/>
    <w:rsid w:val="003D7697"/>
    <w:rsid w:val="003D7754"/>
    <w:rsid w:val="003D77FB"/>
    <w:rsid w:val="003D7842"/>
    <w:rsid w:val="003D7916"/>
    <w:rsid w:val="003D79AA"/>
    <w:rsid w:val="003D79BA"/>
    <w:rsid w:val="003D7ABB"/>
    <w:rsid w:val="003D7C90"/>
    <w:rsid w:val="003D7C99"/>
    <w:rsid w:val="003D7EE4"/>
    <w:rsid w:val="003D7FB6"/>
    <w:rsid w:val="003D7FEA"/>
    <w:rsid w:val="003E0006"/>
    <w:rsid w:val="003E0008"/>
    <w:rsid w:val="003E02D4"/>
    <w:rsid w:val="003E0307"/>
    <w:rsid w:val="003E0308"/>
    <w:rsid w:val="003E0443"/>
    <w:rsid w:val="003E0457"/>
    <w:rsid w:val="003E063D"/>
    <w:rsid w:val="003E0800"/>
    <w:rsid w:val="003E0923"/>
    <w:rsid w:val="003E0A50"/>
    <w:rsid w:val="003E0A61"/>
    <w:rsid w:val="003E0B56"/>
    <w:rsid w:val="003E0D67"/>
    <w:rsid w:val="003E0EA6"/>
    <w:rsid w:val="003E0F04"/>
    <w:rsid w:val="003E1040"/>
    <w:rsid w:val="003E10E4"/>
    <w:rsid w:val="003E110B"/>
    <w:rsid w:val="003E11F2"/>
    <w:rsid w:val="003E130C"/>
    <w:rsid w:val="003E1444"/>
    <w:rsid w:val="003E154E"/>
    <w:rsid w:val="003E1651"/>
    <w:rsid w:val="003E1857"/>
    <w:rsid w:val="003E1868"/>
    <w:rsid w:val="003E1ACD"/>
    <w:rsid w:val="003E1ADB"/>
    <w:rsid w:val="003E1D50"/>
    <w:rsid w:val="003E2014"/>
    <w:rsid w:val="003E2051"/>
    <w:rsid w:val="003E207C"/>
    <w:rsid w:val="003E209D"/>
    <w:rsid w:val="003E21E6"/>
    <w:rsid w:val="003E2350"/>
    <w:rsid w:val="003E2355"/>
    <w:rsid w:val="003E2408"/>
    <w:rsid w:val="003E2479"/>
    <w:rsid w:val="003E26CC"/>
    <w:rsid w:val="003E2862"/>
    <w:rsid w:val="003E2956"/>
    <w:rsid w:val="003E2A1D"/>
    <w:rsid w:val="003E2AF7"/>
    <w:rsid w:val="003E2B86"/>
    <w:rsid w:val="003E2D3C"/>
    <w:rsid w:val="003E2E9F"/>
    <w:rsid w:val="003E2EDB"/>
    <w:rsid w:val="003E2F05"/>
    <w:rsid w:val="003E308F"/>
    <w:rsid w:val="003E3114"/>
    <w:rsid w:val="003E31D1"/>
    <w:rsid w:val="003E338C"/>
    <w:rsid w:val="003E33B9"/>
    <w:rsid w:val="003E36FE"/>
    <w:rsid w:val="003E37B8"/>
    <w:rsid w:val="003E38CB"/>
    <w:rsid w:val="003E3917"/>
    <w:rsid w:val="003E393C"/>
    <w:rsid w:val="003E3D48"/>
    <w:rsid w:val="003E3E2A"/>
    <w:rsid w:val="003E3FBF"/>
    <w:rsid w:val="003E4155"/>
    <w:rsid w:val="003E4230"/>
    <w:rsid w:val="003E4283"/>
    <w:rsid w:val="003E43CB"/>
    <w:rsid w:val="003E44E0"/>
    <w:rsid w:val="003E456C"/>
    <w:rsid w:val="003E461B"/>
    <w:rsid w:val="003E46E8"/>
    <w:rsid w:val="003E4784"/>
    <w:rsid w:val="003E4817"/>
    <w:rsid w:val="003E4924"/>
    <w:rsid w:val="003E4928"/>
    <w:rsid w:val="003E4952"/>
    <w:rsid w:val="003E4B92"/>
    <w:rsid w:val="003E4CB9"/>
    <w:rsid w:val="003E4D49"/>
    <w:rsid w:val="003E4D96"/>
    <w:rsid w:val="003E4EF7"/>
    <w:rsid w:val="003E4F52"/>
    <w:rsid w:val="003E509D"/>
    <w:rsid w:val="003E519C"/>
    <w:rsid w:val="003E5211"/>
    <w:rsid w:val="003E5332"/>
    <w:rsid w:val="003E5601"/>
    <w:rsid w:val="003E5757"/>
    <w:rsid w:val="003E5963"/>
    <w:rsid w:val="003E59C1"/>
    <w:rsid w:val="003E59CD"/>
    <w:rsid w:val="003E5A0A"/>
    <w:rsid w:val="003E5CE9"/>
    <w:rsid w:val="003E5D02"/>
    <w:rsid w:val="003E5FE8"/>
    <w:rsid w:val="003E60C9"/>
    <w:rsid w:val="003E61D8"/>
    <w:rsid w:val="003E61E8"/>
    <w:rsid w:val="003E63C5"/>
    <w:rsid w:val="003E6431"/>
    <w:rsid w:val="003E64BC"/>
    <w:rsid w:val="003E650C"/>
    <w:rsid w:val="003E6595"/>
    <w:rsid w:val="003E662C"/>
    <w:rsid w:val="003E68CD"/>
    <w:rsid w:val="003E696D"/>
    <w:rsid w:val="003E69F2"/>
    <w:rsid w:val="003E709A"/>
    <w:rsid w:val="003E71F8"/>
    <w:rsid w:val="003E7219"/>
    <w:rsid w:val="003E7418"/>
    <w:rsid w:val="003E751B"/>
    <w:rsid w:val="003E7526"/>
    <w:rsid w:val="003E7586"/>
    <w:rsid w:val="003E782A"/>
    <w:rsid w:val="003E783E"/>
    <w:rsid w:val="003E788A"/>
    <w:rsid w:val="003E7A12"/>
    <w:rsid w:val="003E7A4A"/>
    <w:rsid w:val="003E7B4D"/>
    <w:rsid w:val="003E7BCB"/>
    <w:rsid w:val="003E7C7D"/>
    <w:rsid w:val="003E7D21"/>
    <w:rsid w:val="003E7D5E"/>
    <w:rsid w:val="003F0135"/>
    <w:rsid w:val="003F03C4"/>
    <w:rsid w:val="003F0662"/>
    <w:rsid w:val="003F06B6"/>
    <w:rsid w:val="003F06C0"/>
    <w:rsid w:val="003F07E5"/>
    <w:rsid w:val="003F098D"/>
    <w:rsid w:val="003F09EE"/>
    <w:rsid w:val="003F0A43"/>
    <w:rsid w:val="003F0BDD"/>
    <w:rsid w:val="003F0D86"/>
    <w:rsid w:val="003F0E48"/>
    <w:rsid w:val="003F1083"/>
    <w:rsid w:val="003F10B7"/>
    <w:rsid w:val="003F1114"/>
    <w:rsid w:val="003F112F"/>
    <w:rsid w:val="003F115B"/>
    <w:rsid w:val="003F1198"/>
    <w:rsid w:val="003F12AD"/>
    <w:rsid w:val="003F13DF"/>
    <w:rsid w:val="003F1700"/>
    <w:rsid w:val="003F17FA"/>
    <w:rsid w:val="003F180E"/>
    <w:rsid w:val="003F1820"/>
    <w:rsid w:val="003F1A1C"/>
    <w:rsid w:val="003F1B6A"/>
    <w:rsid w:val="003F1C70"/>
    <w:rsid w:val="003F1D45"/>
    <w:rsid w:val="003F1E89"/>
    <w:rsid w:val="003F201C"/>
    <w:rsid w:val="003F202D"/>
    <w:rsid w:val="003F204C"/>
    <w:rsid w:val="003F23DE"/>
    <w:rsid w:val="003F249B"/>
    <w:rsid w:val="003F27C7"/>
    <w:rsid w:val="003F2861"/>
    <w:rsid w:val="003F28AC"/>
    <w:rsid w:val="003F28E6"/>
    <w:rsid w:val="003F2916"/>
    <w:rsid w:val="003F2B4C"/>
    <w:rsid w:val="003F2CC5"/>
    <w:rsid w:val="003F2DC1"/>
    <w:rsid w:val="003F2E4B"/>
    <w:rsid w:val="003F3060"/>
    <w:rsid w:val="003F319F"/>
    <w:rsid w:val="003F31F5"/>
    <w:rsid w:val="003F3201"/>
    <w:rsid w:val="003F321C"/>
    <w:rsid w:val="003F3230"/>
    <w:rsid w:val="003F333C"/>
    <w:rsid w:val="003F3492"/>
    <w:rsid w:val="003F35F1"/>
    <w:rsid w:val="003F370D"/>
    <w:rsid w:val="003F3733"/>
    <w:rsid w:val="003F39EC"/>
    <w:rsid w:val="003F39ED"/>
    <w:rsid w:val="003F3B0E"/>
    <w:rsid w:val="003F3B66"/>
    <w:rsid w:val="003F3CD0"/>
    <w:rsid w:val="003F3CEA"/>
    <w:rsid w:val="003F3E0F"/>
    <w:rsid w:val="003F3FE9"/>
    <w:rsid w:val="003F40F8"/>
    <w:rsid w:val="003F4220"/>
    <w:rsid w:val="003F4247"/>
    <w:rsid w:val="003F437B"/>
    <w:rsid w:val="003F453F"/>
    <w:rsid w:val="003F45B2"/>
    <w:rsid w:val="003F48EC"/>
    <w:rsid w:val="003F490C"/>
    <w:rsid w:val="003F498B"/>
    <w:rsid w:val="003F4A60"/>
    <w:rsid w:val="003F4B6D"/>
    <w:rsid w:val="003F4B76"/>
    <w:rsid w:val="003F4CBD"/>
    <w:rsid w:val="003F4D58"/>
    <w:rsid w:val="003F4DA5"/>
    <w:rsid w:val="003F4DDA"/>
    <w:rsid w:val="003F4E95"/>
    <w:rsid w:val="003F4EB9"/>
    <w:rsid w:val="003F504C"/>
    <w:rsid w:val="003F5163"/>
    <w:rsid w:val="003F52CE"/>
    <w:rsid w:val="003F5366"/>
    <w:rsid w:val="003F5431"/>
    <w:rsid w:val="003F552D"/>
    <w:rsid w:val="003F55EE"/>
    <w:rsid w:val="003F5861"/>
    <w:rsid w:val="003F598A"/>
    <w:rsid w:val="003F5C69"/>
    <w:rsid w:val="003F5C92"/>
    <w:rsid w:val="003F5E10"/>
    <w:rsid w:val="003F5E68"/>
    <w:rsid w:val="003F5E94"/>
    <w:rsid w:val="003F6076"/>
    <w:rsid w:val="003F6178"/>
    <w:rsid w:val="003F63CD"/>
    <w:rsid w:val="003F6617"/>
    <w:rsid w:val="003F6969"/>
    <w:rsid w:val="003F69A8"/>
    <w:rsid w:val="003F6C1C"/>
    <w:rsid w:val="003F6E3F"/>
    <w:rsid w:val="003F6FF0"/>
    <w:rsid w:val="003F71FC"/>
    <w:rsid w:val="003F72BB"/>
    <w:rsid w:val="003F7361"/>
    <w:rsid w:val="003F773C"/>
    <w:rsid w:val="003F78A5"/>
    <w:rsid w:val="003F7BCF"/>
    <w:rsid w:val="003F7CF8"/>
    <w:rsid w:val="003F7D51"/>
    <w:rsid w:val="003F7D59"/>
    <w:rsid w:val="003F7EA0"/>
    <w:rsid w:val="00400124"/>
    <w:rsid w:val="00400236"/>
    <w:rsid w:val="004005BB"/>
    <w:rsid w:val="004005FD"/>
    <w:rsid w:val="00400C0F"/>
    <w:rsid w:val="00400C1A"/>
    <w:rsid w:val="00400DCC"/>
    <w:rsid w:val="00400EDB"/>
    <w:rsid w:val="004010ED"/>
    <w:rsid w:val="004011A2"/>
    <w:rsid w:val="004011D9"/>
    <w:rsid w:val="004012C4"/>
    <w:rsid w:val="004013C1"/>
    <w:rsid w:val="004013C5"/>
    <w:rsid w:val="004014D5"/>
    <w:rsid w:val="00401549"/>
    <w:rsid w:val="004019B8"/>
    <w:rsid w:val="00401ABC"/>
    <w:rsid w:val="00401AD1"/>
    <w:rsid w:val="00401C71"/>
    <w:rsid w:val="00401C72"/>
    <w:rsid w:val="00401CCA"/>
    <w:rsid w:val="00401DFC"/>
    <w:rsid w:val="00401E14"/>
    <w:rsid w:val="00401E3C"/>
    <w:rsid w:val="00401F0E"/>
    <w:rsid w:val="00402015"/>
    <w:rsid w:val="00402021"/>
    <w:rsid w:val="004022AB"/>
    <w:rsid w:val="00402362"/>
    <w:rsid w:val="004024A9"/>
    <w:rsid w:val="00402517"/>
    <w:rsid w:val="0040253B"/>
    <w:rsid w:val="0040263F"/>
    <w:rsid w:val="00402856"/>
    <w:rsid w:val="00402861"/>
    <w:rsid w:val="00402BED"/>
    <w:rsid w:val="00402CAE"/>
    <w:rsid w:val="00402D42"/>
    <w:rsid w:val="00402D93"/>
    <w:rsid w:val="00402EBC"/>
    <w:rsid w:val="00402F61"/>
    <w:rsid w:val="0040300E"/>
    <w:rsid w:val="00403105"/>
    <w:rsid w:val="00403186"/>
    <w:rsid w:val="00403193"/>
    <w:rsid w:val="004031E1"/>
    <w:rsid w:val="0040323D"/>
    <w:rsid w:val="00403420"/>
    <w:rsid w:val="00403466"/>
    <w:rsid w:val="00403483"/>
    <w:rsid w:val="004035D7"/>
    <w:rsid w:val="00403676"/>
    <w:rsid w:val="004036A5"/>
    <w:rsid w:val="004036FC"/>
    <w:rsid w:val="004038D7"/>
    <w:rsid w:val="00403967"/>
    <w:rsid w:val="00403AF3"/>
    <w:rsid w:val="00403D73"/>
    <w:rsid w:val="00403D7E"/>
    <w:rsid w:val="00404037"/>
    <w:rsid w:val="00404049"/>
    <w:rsid w:val="00404053"/>
    <w:rsid w:val="0040417D"/>
    <w:rsid w:val="004041FC"/>
    <w:rsid w:val="0040422B"/>
    <w:rsid w:val="0040443C"/>
    <w:rsid w:val="0040447E"/>
    <w:rsid w:val="004046DE"/>
    <w:rsid w:val="00404708"/>
    <w:rsid w:val="00404739"/>
    <w:rsid w:val="00404741"/>
    <w:rsid w:val="00404AE7"/>
    <w:rsid w:val="00404BA4"/>
    <w:rsid w:val="00404BBD"/>
    <w:rsid w:val="00404D22"/>
    <w:rsid w:val="00404F14"/>
    <w:rsid w:val="00404F5E"/>
    <w:rsid w:val="0040502E"/>
    <w:rsid w:val="00405042"/>
    <w:rsid w:val="004050EC"/>
    <w:rsid w:val="004051AB"/>
    <w:rsid w:val="004054AB"/>
    <w:rsid w:val="004054C2"/>
    <w:rsid w:val="0040552E"/>
    <w:rsid w:val="004056D5"/>
    <w:rsid w:val="004059FF"/>
    <w:rsid w:val="00405B56"/>
    <w:rsid w:val="00405D40"/>
    <w:rsid w:val="00405D97"/>
    <w:rsid w:val="00405DD0"/>
    <w:rsid w:val="00405DFC"/>
    <w:rsid w:val="00405E57"/>
    <w:rsid w:val="004060C9"/>
    <w:rsid w:val="00406171"/>
    <w:rsid w:val="00406199"/>
    <w:rsid w:val="004061C4"/>
    <w:rsid w:val="004061ED"/>
    <w:rsid w:val="004063FA"/>
    <w:rsid w:val="004064EF"/>
    <w:rsid w:val="00406560"/>
    <w:rsid w:val="0040658D"/>
    <w:rsid w:val="00406781"/>
    <w:rsid w:val="00406A83"/>
    <w:rsid w:val="00406C28"/>
    <w:rsid w:val="00406C7C"/>
    <w:rsid w:val="00406CC5"/>
    <w:rsid w:val="00406DE5"/>
    <w:rsid w:val="00406FD0"/>
    <w:rsid w:val="004070DC"/>
    <w:rsid w:val="00407228"/>
    <w:rsid w:val="004074B0"/>
    <w:rsid w:val="00407817"/>
    <w:rsid w:val="00407839"/>
    <w:rsid w:val="004078E6"/>
    <w:rsid w:val="00407971"/>
    <w:rsid w:val="004079DD"/>
    <w:rsid w:val="00407B8F"/>
    <w:rsid w:val="00407C71"/>
    <w:rsid w:val="00407EEB"/>
    <w:rsid w:val="00407F54"/>
    <w:rsid w:val="0041014F"/>
    <w:rsid w:val="004101BF"/>
    <w:rsid w:val="00410644"/>
    <w:rsid w:val="00410686"/>
    <w:rsid w:val="004107EE"/>
    <w:rsid w:val="004108E9"/>
    <w:rsid w:val="004108F1"/>
    <w:rsid w:val="00410A38"/>
    <w:rsid w:val="00410AE4"/>
    <w:rsid w:val="00410B53"/>
    <w:rsid w:val="00410B9F"/>
    <w:rsid w:val="00410BE6"/>
    <w:rsid w:val="00410C65"/>
    <w:rsid w:val="00410DD6"/>
    <w:rsid w:val="00410E08"/>
    <w:rsid w:val="00410F6F"/>
    <w:rsid w:val="00410FC2"/>
    <w:rsid w:val="00411019"/>
    <w:rsid w:val="00411029"/>
    <w:rsid w:val="00411168"/>
    <w:rsid w:val="00411435"/>
    <w:rsid w:val="00411509"/>
    <w:rsid w:val="004117A7"/>
    <w:rsid w:val="004117E3"/>
    <w:rsid w:val="0041185E"/>
    <w:rsid w:val="00411983"/>
    <w:rsid w:val="004119F2"/>
    <w:rsid w:val="00411B58"/>
    <w:rsid w:val="00411BE2"/>
    <w:rsid w:val="00411FC5"/>
    <w:rsid w:val="00412154"/>
    <w:rsid w:val="004121F6"/>
    <w:rsid w:val="004122E6"/>
    <w:rsid w:val="00412346"/>
    <w:rsid w:val="0041252F"/>
    <w:rsid w:val="00412576"/>
    <w:rsid w:val="004126F4"/>
    <w:rsid w:val="00412926"/>
    <w:rsid w:val="00412A59"/>
    <w:rsid w:val="00412B42"/>
    <w:rsid w:val="00412BCB"/>
    <w:rsid w:val="004130A2"/>
    <w:rsid w:val="004131FF"/>
    <w:rsid w:val="00413380"/>
    <w:rsid w:val="0041361C"/>
    <w:rsid w:val="00413627"/>
    <w:rsid w:val="004136B1"/>
    <w:rsid w:val="00413790"/>
    <w:rsid w:val="00413B57"/>
    <w:rsid w:val="00413B80"/>
    <w:rsid w:val="00413C7C"/>
    <w:rsid w:val="00413E6F"/>
    <w:rsid w:val="00413F82"/>
    <w:rsid w:val="00414115"/>
    <w:rsid w:val="0041411F"/>
    <w:rsid w:val="004143B6"/>
    <w:rsid w:val="004143BD"/>
    <w:rsid w:val="00414748"/>
    <w:rsid w:val="004149D9"/>
    <w:rsid w:val="00414AB8"/>
    <w:rsid w:val="00414CB5"/>
    <w:rsid w:val="00414D70"/>
    <w:rsid w:val="00414EA6"/>
    <w:rsid w:val="00415015"/>
    <w:rsid w:val="00415034"/>
    <w:rsid w:val="00415070"/>
    <w:rsid w:val="004150BA"/>
    <w:rsid w:val="0041516F"/>
    <w:rsid w:val="0041545A"/>
    <w:rsid w:val="004154A7"/>
    <w:rsid w:val="00415672"/>
    <w:rsid w:val="004157DF"/>
    <w:rsid w:val="0041588B"/>
    <w:rsid w:val="004158E6"/>
    <w:rsid w:val="00415A8D"/>
    <w:rsid w:val="00415B05"/>
    <w:rsid w:val="00415BE6"/>
    <w:rsid w:val="00415D1F"/>
    <w:rsid w:val="00415DBF"/>
    <w:rsid w:val="00415EB3"/>
    <w:rsid w:val="00415EE3"/>
    <w:rsid w:val="00416069"/>
    <w:rsid w:val="0041607D"/>
    <w:rsid w:val="00416137"/>
    <w:rsid w:val="0041615E"/>
    <w:rsid w:val="0041623C"/>
    <w:rsid w:val="00416292"/>
    <w:rsid w:val="004162BF"/>
    <w:rsid w:val="004164B8"/>
    <w:rsid w:val="004164DC"/>
    <w:rsid w:val="0041662F"/>
    <w:rsid w:val="0041665C"/>
    <w:rsid w:val="00416803"/>
    <w:rsid w:val="0041695A"/>
    <w:rsid w:val="004169CD"/>
    <w:rsid w:val="004174BD"/>
    <w:rsid w:val="0041753A"/>
    <w:rsid w:val="00417543"/>
    <w:rsid w:val="00417580"/>
    <w:rsid w:val="004175DC"/>
    <w:rsid w:val="004176A9"/>
    <w:rsid w:val="004177BA"/>
    <w:rsid w:val="004177D4"/>
    <w:rsid w:val="0041783C"/>
    <w:rsid w:val="00417923"/>
    <w:rsid w:val="00417B71"/>
    <w:rsid w:val="00417C5A"/>
    <w:rsid w:val="00417CC9"/>
    <w:rsid w:val="00417E17"/>
    <w:rsid w:val="00420006"/>
    <w:rsid w:val="004202BF"/>
    <w:rsid w:val="0042048F"/>
    <w:rsid w:val="00420530"/>
    <w:rsid w:val="004205E4"/>
    <w:rsid w:val="004206C0"/>
    <w:rsid w:val="004207D3"/>
    <w:rsid w:val="0042080B"/>
    <w:rsid w:val="00420884"/>
    <w:rsid w:val="004208AD"/>
    <w:rsid w:val="004208F5"/>
    <w:rsid w:val="004208FF"/>
    <w:rsid w:val="00420AB3"/>
    <w:rsid w:val="00420B91"/>
    <w:rsid w:val="00420BD5"/>
    <w:rsid w:val="00420BF2"/>
    <w:rsid w:val="00420D6F"/>
    <w:rsid w:val="00420F40"/>
    <w:rsid w:val="00421057"/>
    <w:rsid w:val="00421089"/>
    <w:rsid w:val="0042120E"/>
    <w:rsid w:val="00421268"/>
    <w:rsid w:val="00421479"/>
    <w:rsid w:val="004215DC"/>
    <w:rsid w:val="00421667"/>
    <w:rsid w:val="004216A7"/>
    <w:rsid w:val="0042174D"/>
    <w:rsid w:val="004217FC"/>
    <w:rsid w:val="00421982"/>
    <w:rsid w:val="00421ABA"/>
    <w:rsid w:val="00421B67"/>
    <w:rsid w:val="00421ED0"/>
    <w:rsid w:val="00421FA6"/>
    <w:rsid w:val="004220E1"/>
    <w:rsid w:val="00422204"/>
    <w:rsid w:val="004224C5"/>
    <w:rsid w:val="00422579"/>
    <w:rsid w:val="00422687"/>
    <w:rsid w:val="004226D8"/>
    <w:rsid w:val="00422A25"/>
    <w:rsid w:val="00422A5E"/>
    <w:rsid w:val="00422BBF"/>
    <w:rsid w:val="00422CC5"/>
    <w:rsid w:val="00422DE1"/>
    <w:rsid w:val="0042317F"/>
    <w:rsid w:val="0042323B"/>
    <w:rsid w:val="004232FB"/>
    <w:rsid w:val="004233E4"/>
    <w:rsid w:val="00423459"/>
    <w:rsid w:val="00423469"/>
    <w:rsid w:val="00423634"/>
    <w:rsid w:val="00423BEE"/>
    <w:rsid w:val="00423D0B"/>
    <w:rsid w:val="00423E8A"/>
    <w:rsid w:val="00423E8E"/>
    <w:rsid w:val="00423F4C"/>
    <w:rsid w:val="0042402D"/>
    <w:rsid w:val="00424211"/>
    <w:rsid w:val="00424321"/>
    <w:rsid w:val="004247F7"/>
    <w:rsid w:val="0042482B"/>
    <w:rsid w:val="004248AE"/>
    <w:rsid w:val="004249E6"/>
    <w:rsid w:val="00424B0D"/>
    <w:rsid w:val="00424B9D"/>
    <w:rsid w:val="00424E7D"/>
    <w:rsid w:val="004250FD"/>
    <w:rsid w:val="004252B1"/>
    <w:rsid w:val="0042538C"/>
    <w:rsid w:val="00425400"/>
    <w:rsid w:val="00425742"/>
    <w:rsid w:val="0042589C"/>
    <w:rsid w:val="004258C7"/>
    <w:rsid w:val="004258F9"/>
    <w:rsid w:val="0042591C"/>
    <w:rsid w:val="0042595F"/>
    <w:rsid w:val="00425AFF"/>
    <w:rsid w:val="00425BAA"/>
    <w:rsid w:val="00425C14"/>
    <w:rsid w:val="00425C58"/>
    <w:rsid w:val="00425CA7"/>
    <w:rsid w:val="00425D42"/>
    <w:rsid w:val="00425E42"/>
    <w:rsid w:val="00425EAC"/>
    <w:rsid w:val="00425F8C"/>
    <w:rsid w:val="00425FED"/>
    <w:rsid w:val="00425FFE"/>
    <w:rsid w:val="00426014"/>
    <w:rsid w:val="0042606B"/>
    <w:rsid w:val="004260CB"/>
    <w:rsid w:val="00426246"/>
    <w:rsid w:val="00426262"/>
    <w:rsid w:val="004264A0"/>
    <w:rsid w:val="004265A8"/>
    <w:rsid w:val="004265B1"/>
    <w:rsid w:val="0042671B"/>
    <w:rsid w:val="0042679B"/>
    <w:rsid w:val="004267C8"/>
    <w:rsid w:val="00426932"/>
    <w:rsid w:val="00426C6B"/>
    <w:rsid w:val="00426C8A"/>
    <w:rsid w:val="00426D16"/>
    <w:rsid w:val="00426D4A"/>
    <w:rsid w:val="00426DE3"/>
    <w:rsid w:val="00426DF2"/>
    <w:rsid w:val="00426EC1"/>
    <w:rsid w:val="00426EE4"/>
    <w:rsid w:val="00426FBE"/>
    <w:rsid w:val="0042732C"/>
    <w:rsid w:val="0042733E"/>
    <w:rsid w:val="004273B9"/>
    <w:rsid w:val="004274AC"/>
    <w:rsid w:val="00427547"/>
    <w:rsid w:val="0042761A"/>
    <w:rsid w:val="0042765B"/>
    <w:rsid w:val="004279F3"/>
    <w:rsid w:val="004279F6"/>
    <w:rsid w:val="00427A9F"/>
    <w:rsid w:val="00427B18"/>
    <w:rsid w:val="00430049"/>
    <w:rsid w:val="00430090"/>
    <w:rsid w:val="00430135"/>
    <w:rsid w:val="0043023C"/>
    <w:rsid w:val="00430490"/>
    <w:rsid w:val="004304BC"/>
    <w:rsid w:val="004304C8"/>
    <w:rsid w:val="00430741"/>
    <w:rsid w:val="004307FD"/>
    <w:rsid w:val="0043084E"/>
    <w:rsid w:val="0043089D"/>
    <w:rsid w:val="004308B2"/>
    <w:rsid w:val="004309AC"/>
    <w:rsid w:val="004309D1"/>
    <w:rsid w:val="00430A3A"/>
    <w:rsid w:val="00430A5F"/>
    <w:rsid w:val="00430B4C"/>
    <w:rsid w:val="00430B59"/>
    <w:rsid w:val="00430C6A"/>
    <w:rsid w:val="00430D8A"/>
    <w:rsid w:val="00430E70"/>
    <w:rsid w:val="00430F79"/>
    <w:rsid w:val="00430FBE"/>
    <w:rsid w:val="00431178"/>
    <w:rsid w:val="00431302"/>
    <w:rsid w:val="00431322"/>
    <w:rsid w:val="00431384"/>
    <w:rsid w:val="0043156E"/>
    <w:rsid w:val="0043158B"/>
    <w:rsid w:val="004317E5"/>
    <w:rsid w:val="0043195D"/>
    <w:rsid w:val="004319CB"/>
    <w:rsid w:val="00431A65"/>
    <w:rsid w:val="00431A80"/>
    <w:rsid w:val="00431D1C"/>
    <w:rsid w:val="00431DC6"/>
    <w:rsid w:val="00431E3A"/>
    <w:rsid w:val="00431EA9"/>
    <w:rsid w:val="00431EDA"/>
    <w:rsid w:val="00432065"/>
    <w:rsid w:val="004320D4"/>
    <w:rsid w:val="00432132"/>
    <w:rsid w:val="004321C1"/>
    <w:rsid w:val="0043243C"/>
    <w:rsid w:val="004324FB"/>
    <w:rsid w:val="00432563"/>
    <w:rsid w:val="004326F7"/>
    <w:rsid w:val="00432A61"/>
    <w:rsid w:val="00432AEA"/>
    <w:rsid w:val="00432D19"/>
    <w:rsid w:val="00432D7D"/>
    <w:rsid w:val="00432E57"/>
    <w:rsid w:val="00432EA4"/>
    <w:rsid w:val="00432EED"/>
    <w:rsid w:val="00433097"/>
    <w:rsid w:val="00433175"/>
    <w:rsid w:val="0043332B"/>
    <w:rsid w:val="00433441"/>
    <w:rsid w:val="00433544"/>
    <w:rsid w:val="0043379C"/>
    <w:rsid w:val="00433830"/>
    <w:rsid w:val="0043394C"/>
    <w:rsid w:val="00433B00"/>
    <w:rsid w:val="00433B51"/>
    <w:rsid w:val="00433D84"/>
    <w:rsid w:val="00434020"/>
    <w:rsid w:val="004340A7"/>
    <w:rsid w:val="004340C8"/>
    <w:rsid w:val="004340ED"/>
    <w:rsid w:val="0043421B"/>
    <w:rsid w:val="0043434E"/>
    <w:rsid w:val="004344A6"/>
    <w:rsid w:val="00434514"/>
    <w:rsid w:val="004348C0"/>
    <w:rsid w:val="00434A0C"/>
    <w:rsid w:val="00434AA7"/>
    <w:rsid w:val="00434C29"/>
    <w:rsid w:val="00434C35"/>
    <w:rsid w:val="00434E53"/>
    <w:rsid w:val="00435049"/>
    <w:rsid w:val="00435081"/>
    <w:rsid w:val="00435210"/>
    <w:rsid w:val="00435359"/>
    <w:rsid w:val="0043560C"/>
    <w:rsid w:val="0043566D"/>
    <w:rsid w:val="0043577E"/>
    <w:rsid w:val="004357C8"/>
    <w:rsid w:val="00435969"/>
    <w:rsid w:val="004359B4"/>
    <w:rsid w:val="00435A69"/>
    <w:rsid w:val="00435A8E"/>
    <w:rsid w:val="00435AD1"/>
    <w:rsid w:val="00435C26"/>
    <w:rsid w:val="00435C34"/>
    <w:rsid w:val="00435E50"/>
    <w:rsid w:val="00435EB2"/>
    <w:rsid w:val="00435EC5"/>
    <w:rsid w:val="004360C3"/>
    <w:rsid w:val="004360FF"/>
    <w:rsid w:val="0043616E"/>
    <w:rsid w:val="00436188"/>
    <w:rsid w:val="004364BA"/>
    <w:rsid w:val="004364DB"/>
    <w:rsid w:val="004364E6"/>
    <w:rsid w:val="004364FA"/>
    <w:rsid w:val="00436502"/>
    <w:rsid w:val="004365D9"/>
    <w:rsid w:val="004366FC"/>
    <w:rsid w:val="00436707"/>
    <w:rsid w:val="00436770"/>
    <w:rsid w:val="004368CF"/>
    <w:rsid w:val="00436A11"/>
    <w:rsid w:val="00436AF1"/>
    <w:rsid w:val="00436B5F"/>
    <w:rsid w:val="00436CBD"/>
    <w:rsid w:val="00436E83"/>
    <w:rsid w:val="0043713E"/>
    <w:rsid w:val="004374AE"/>
    <w:rsid w:val="00437579"/>
    <w:rsid w:val="00437585"/>
    <w:rsid w:val="004375F4"/>
    <w:rsid w:val="00437673"/>
    <w:rsid w:val="004376E7"/>
    <w:rsid w:val="0043775E"/>
    <w:rsid w:val="004377AD"/>
    <w:rsid w:val="004379E2"/>
    <w:rsid w:val="00437A39"/>
    <w:rsid w:val="00437FE8"/>
    <w:rsid w:val="00440068"/>
    <w:rsid w:val="004401A3"/>
    <w:rsid w:val="00440300"/>
    <w:rsid w:val="00440330"/>
    <w:rsid w:val="00440352"/>
    <w:rsid w:val="004403BC"/>
    <w:rsid w:val="004404A8"/>
    <w:rsid w:val="00440631"/>
    <w:rsid w:val="00440639"/>
    <w:rsid w:val="0044066D"/>
    <w:rsid w:val="00440712"/>
    <w:rsid w:val="00440795"/>
    <w:rsid w:val="00440802"/>
    <w:rsid w:val="004409DF"/>
    <w:rsid w:val="00440C78"/>
    <w:rsid w:val="00440CBC"/>
    <w:rsid w:val="00440DF7"/>
    <w:rsid w:val="00440DFC"/>
    <w:rsid w:val="00440F89"/>
    <w:rsid w:val="00441355"/>
    <w:rsid w:val="0044141E"/>
    <w:rsid w:val="00441485"/>
    <w:rsid w:val="0044159E"/>
    <w:rsid w:val="004419B0"/>
    <w:rsid w:val="004419C9"/>
    <w:rsid w:val="00441B18"/>
    <w:rsid w:val="00441B1D"/>
    <w:rsid w:val="00441BF1"/>
    <w:rsid w:val="00441CBB"/>
    <w:rsid w:val="00441DAC"/>
    <w:rsid w:val="0044214C"/>
    <w:rsid w:val="004421B8"/>
    <w:rsid w:val="004423CE"/>
    <w:rsid w:val="004424C2"/>
    <w:rsid w:val="00442547"/>
    <w:rsid w:val="0044254B"/>
    <w:rsid w:val="00442729"/>
    <w:rsid w:val="004427EB"/>
    <w:rsid w:val="00442968"/>
    <w:rsid w:val="00442B5D"/>
    <w:rsid w:val="00442B6B"/>
    <w:rsid w:val="00442C0D"/>
    <w:rsid w:val="00442DB7"/>
    <w:rsid w:val="0044324F"/>
    <w:rsid w:val="00443298"/>
    <w:rsid w:val="004432B9"/>
    <w:rsid w:val="0044334E"/>
    <w:rsid w:val="0044335C"/>
    <w:rsid w:val="00443373"/>
    <w:rsid w:val="004433AB"/>
    <w:rsid w:val="004433AD"/>
    <w:rsid w:val="004433E1"/>
    <w:rsid w:val="0044343B"/>
    <w:rsid w:val="004435D5"/>
    <w:rsid w:val="004436ED"/>
    <w:rsid w:val="0044374C"/>
    <w:rsid w:val="0044391E"/>
    <w:rsid w:val="00443AB4"/>
    <w:rsid w:val="00443AEA"/>
    <w:rsid w:val="00443B05"/>
    <w:rsid w:val="00443BDA"/>
    <w:rsid w:val="00443C87"/>
    <w:rsid w:val="00443E14"/>
    <w:rsid w:val="00443EA5"/>
    <w:rsid w:val="00443F19"/>
    <w:rsid w:val="00444079"/>
    <w:rsid w:val="004443B3"/>
    <w:rsid w:val="0044445E"/>
    <w:rsid w:val="00444526"/>
    <w:rsid w:val="00444558"/>
    <w:rsid w:val="00444628"/>
    <w:rsid w:val="004447F4"/>
    <w:rsid w:val="00444915"/>
    <w:rsid w:val="0044491D"/>
    <w:rsid w:val="00444967"/>
    <w:rsid w:val="004449E9"/>
    <w:rsid w:val="00444C85"/>
    <w:rsid w:val="00444CDF"/>
    <w:rsid w:val="00444E63"/>
    <w:rsid w:val="00444ECF"/>
    <w:rsid w:val="00444F47"/>
    <w:rsid w:val="00444F8A"/>
    <w:rsid w:val="004450A7"/>
    <w:rsid w:val="0044519E"/>
    <w:rsid w:val="004451F8"/>
    <w:rsid w:val="0044523B"/>
    <w:rsid w:val="004453B8"/>
    <w:rsid w:val="004453C9"/>
    <w:rsid w:val="00445448"/>
    <w:rsid w:val="00445468"/>
    <w:rsid w:val="0044561E"/>
    <w:rsid w:val="004456F4"/>
    <w:rsid w:val="00445932"/>
    <w:rsid w:val="00445A06"/>
    <w:rsid w:val="00445BCF"/>
    <w:rsid w:val="00445E3B"/>
    <w:rsid w:val="00445E92"/>
    <w:rsid w:val="00445EAF"/>
    <w:rsid w:val="00445F16"/>
    <w:rsid w:val="00445F45"/>
    <w:rsid w:val="00446012"/>
    <w:rsid w:val="00446096"/>
    <w:rsid w:val="00446238"/>
    <w:rsid w:val="00446277"/>
    <w:rsid w:val="0044639B"/>
    <w:rsid w:val="004464B0"/>
    <w:rsid w:val="004465EE"/>
    <w:rsid w:val="00446609"/>
    <w:rsid w:val="0044660B"/>
    <w:rsid w:val="00446793"/>
    <w:rsid w:val="004467C9"/>
    <w:rsid w:val="004469B1"/>
    <w:rsid w:val="004469EA"/>
    <w:rsid w:val="00446AEE"/>
    <w:rsid w:val="00446B07"/>
    <w:rsid w:val="00446B1E"/>
    <w:rsid w:val="00446BFA"/>
    <w:rsid w:val="00446CFB"/>
    <w:rsid w:val="00446D1D"/>
    <w:rsid w:val="00446E02"/>
    <w:rsid w:val="00446E85"/>
    <w:rsid w:val="00446EA1"/>
    <w:rsid w:val="00447051"/>
    <w:rsid w:val="00447072"/>
    <w:rsid w:val="00447333"/>
    <w:rsid w:val="004473F2"/>
    <w:rsid w:val="00447531"/>
    <w:rsid w:val="004476BB"/>
    <w:rsid w:val="004476FD"/>
    <w:rsid w:val="0044790B"/>
    <w:rsid w:val="0044793F"/>
    <w:rsid w:val="00447AB6"/>
    <w:rsid w:val="00447BE5"/>
    <w:rsid w:val="00447BF8"/>
    <w:rsid w:val="00447C0A"/>
    <w:rsid w:val="00447C29"/>
    <w:rsid w:val="00447CF6"/>
    <w:rsid w:val="00447D53"/>
    <w:rsid w:val="0045043D"/>
    <w:rsid w:val="004505AE"/>
    <w:rsid w:val="004506EC"/>
    <w:rsid w:val="0045086F"/>
    <w:rsid w:val="004509C7"/>
    <w:rsid w:val="00450ADC"/>
    <w:rsid w:val="00450BCB"/>
    <w:rsid w:val="00450CD4"/>
    <w:rsid w:val="00450F76"/>
    <w:rsid w:val="00450FD5"/>
    <w:rsid w:val="00450FF7"/>
    <w:rsid w:val="00451000"/>
    <w:rsid w:val="004510FC"/>
    <w:rsid w:val="0045118E"/>
    <w:rsid w:val="004511B5"/>
    <w:rsid w:val="004513FF"/>
    <w:rsid w:val="00451574"/>
    <w:rsid w:val="00451830"/>
    <w:rsid w:val="004519F6"/>
    <w:rsid w:val="004519F9"/>
    <w:rsid w:val="00451A4F"/>
    <w:rsid w:val="00451AB5"/>
    <w:rsid w:val="00451BE8"/>
    <w:rsid w:val="00451F1F"/>
    <w:rsid w:val="00452221"/>
    <w:rsid w:val="0045223D"/>
    <w:rsid w:val="004522D1"/>
    <w:rsid w:val="00452372"/>
    <w:rsid w:val="00452388"/>
    <w:rsid w:val="004523EB"/>
    <w:rsid w:val="004523F3"/>
    <w:rsid w:val="004524AD"/>
    <w:rsid w:val="00452769"/>
    <w:rsid w:val="00452860"/>
    <w:rsid w:val="0045295D"/>
    <w:rsid w:val="00452B6F"/>
    <w:rsid w:val="00452C9B"/>
    <w:rsid w:val="00452CCC"/>
    <w:rsid w:val="00452CE6"/>
    <w:rsid w:val="00452CF8"/>
    <w:rsid w:val="00452E83"/>
    <w:rsid w:val="00452F7A"/>
    <w:rsid w:val="00453006"/>
    <w:rsid w:val="004531F3"/>
    <w:rsid w:val="00453578"/>
    <w:rsid w:val="00453A86"/>
    <w:rsid w:val="00453BEB"/>
    <w:rsid w:val="00453D24"/>
    <w:rsid w:val="00453D7F"/>
    <w:rsid w:val="00453E31"/>
    <w:rsid w:val="00453E89"/>
    <w:rsid w:val="00453F4E"/>
    <w:rsid w:val="0045400F"/>
    <w:rsid w:val="0045405A"/>
    <w:rsid w:val="0045405C"/>
    <w:rsid w:val="0045413E"/>
    <w:rsid w:val="00454271"/>
    <w:rsid w:val="004542B6"/>
    <w:rsid w:val="004542D0"/>
    <w:rsid w:val="0045433A"/>
    <w:rsid w:val="0045448C"/>
    <w:rsid w:val="0045476B"/>
    <w:rsid w:val="0045482D"/>
    <w:rsid w:val="0045485D"/>
    <w:rsid w:val="00454908"/>
    <w:rsid w:val="00454951"/>
    <w:rsid w:val="004549AE"/>
    <w:rsid w:val="004549DF"/>
    <w:rsid w:val="00454BA1"/>
    <w:rsid w:val="00454C78"/>
    <w:rsid w:val="00454DF7"/>
    <w:rsid w:val="00454E6A"/>
    <w:rsid w:val="00454EDD"/>
    <w:rsid w:val="00454FBB"/>
    <w:rsid w:val="00455064"/>
    <w:rsid w:val="0045508B"/>
    <w:rsid w:val="004550F2"/>
    <w:rsid w:val="00455181"/>
    <w:rsid w:val="004551FF"/>
    <w:rsid w:val="004553BF"/>
    <w:rsid w:val="004554FF"/>
    <w:rsid w:val="00455781"/>
    <w:rsid w:val="004557E7"/>
    <w:rsid w:val="00455A76"/>
    <w:rsid w:val="00455B85"/>
    <w:rsid w:val="00455BF7"/>
    <w:rsid w:val="00455CF6"/>
    <w:rsid w:val="00455D57"/>
    <w:rsid w:val="00455FC0"/>
    <w:rsid w:val="00456028"/>
    <w:rsid w:val="0045618C"/>
    <w:rsid w:val="004561B9"/>
    <w:rsid w:val="00456281"/>
    <w:rsid w:val="0045634F"/>
    <w:rsid w:val="00456383"/>
    <w:rsid w:val="00456572"/>
    <w:rsid w:val="00456682"/>
    <w:rsid w:val="00456782"/>
    <w:rsid w:val="0045693B"/>
    <w:rsid w:val="004569D0"/>
    <w:rsid w:val="004569D8"/>
    <w:rsid w:val="00456A48"/>
    <w:rsid w:val="00456A5A"/>
    <w:rsid w:val="00456A97"/>
    <w:rsid w:val="00456AC2"/>
    <w:rsid w:val="00456CC3"/>
    <w:rsid w:val="00456DFD"/>
    <w:rsid w:val="00456E1C"/>
    <w:rsid w:val="00456EA7"/>
    <w:rsid w:val="00456F29"/>
    <w:rsid w:val="00457192"/>
    <w:rsid w:val="004571A6"/>
    <w:rsid w:val="00457223"/>
    <w:rsid w:val="004572CD"/>
    <w:rsid w:val="004574C2"/>
    <w:rsid w:val="00457541"/>
    <w:rsid w:val="00457851"/>
    <w:rsid w:val="0045787C"/>
    <w:rsid w:val="00457995"/>
    <w:rsid w:val="004579D2"/>
    <w:rsid w:val="00457A26"/>
    <w:rsid w:val="00457AA5"/>
    <w:rsid w:val="00457E25"/>
    <w:rsid w:val="00457F97"/>
    <w:rsid w:val="00460278"/>
    <w:rsid w:val="004602CB"/>
    <w:rsid w:val="004603BD"/>
    <w:rsid w:val="0046050F"/>
    <w:rsid w:val="00460552"/>
    <w:rsid w:val="00460637"/>
    <w:rsid w:val="004606DB"/>
    <w:rsid w:val="00460751"/>
    <w:rsid w:val="00460799"/>
    <w:rsid w:val="00460AC4"/>
    <w:rsid w:val="00460B80"/>
    <w:rsid w:val="00460B83"/>
    <w:rsid w:val="00460CA0"/>
    <w:rsid w:val="00460CCC"/>
    <w:rsid w:val="00460D56"/>
    <w:rsid w:val="00460D73"/>
    <w:rsid w:val="00460E77"/>
    <w:rsid w:val="004610F9"/>
    <w:rsid w:val="004611E9"/>
    <w:rsid w:val="0046147D"/>
    <w:rsid w:val="00461552"/>
    <w:rsid w:val="004616CA"/>
    <w:rsid w:val="00461740"/>
    <w:rsid w:val="0046174C"/>
    <w:rsid w:val="00461B36"/>
    <w:rsid w:val="00461D2B"/>
    <w:rsid w:val="00461D85"/>
    <w:rsid w:val="00461DDE"/>
    <w:rsid w:val="00461E7D"/>
    <w:rsid w:val="00461EDF"/>
    <w:rsid w:val="00462053"/>
    <w:rsid w:val="00462054"/>
    <w:rsid w:val="00462108"/>
    <w:rsid w:val="00462147"/>
    <w:rsid w:val="004621AC"/>
    <w:rsid w:val="004621D4"/>
    <w:rsid w:val="0046231C"/>
    <w:rsid w:val="00462721"/>
    <w:rsid w:val="004628D2"/>
    <w:rsid w:val="0046290A"/>
    <w:rsid w:val="004629A2"/>
    <w:rsid w:val="004629A6"/>
    <w:rsid w:val="00462DA9"/>
    <w:rsid w:val="00462DAB"/>
    <w:rsid w:val="00462E58"/>
    <w:rsid w:val="00462EAF"/>
    <w:rsid w:val="00462F66"/>
    <w:rsid w:val="00462FA3"/>
    <w:rsid w:val="0046317E"/>
    <w:rsid w:val="00463225"/>
    <w:rsid w:val="00463243"/>
    <w:rsid w:val="004633E5"/>
    <w:rsid w:val="00463575"/>
    <w:rsid w:val="00463594"/>
    <w:rsid w:val="004635BA"/>
    <w:rsid w:val="0046374F"/>
    <w:rsid w:val="004637B9"/>
    <w:rsid w:val="00463AAC"/>
    <w:rsid w:val="00463CC2"/>
    <w:rsid w:val="00463D65"/>
    <w:rsid w:val="00463F3F"/>
    <w:rsid w:val="00463FD7"/>
    <w:rsid w:val="00463FE5"/>
    <w:rsid w:val="004640CE"/>
    <w:rsid w:val="00464248"/>
    <w:rsid w:val="0046443E"/>
    <w:rsid w:val="00464529"/>
    <w:rsid w:val="004645BC"/>
    <w:rsid w:val="0046469E"/>
    <w:rsid w:val="004646FB"/>
    <w:rsid w:val="00464770"/>
    <w:rsid w:val="00464948"/>
    <w:rsid w:val="00464AC4"/>
    <w:rsid w:val="00464BAA"/>
    <w:rsid w:val="00464C55"/>
    <w:rsid w:val="00464EFD"/>
    <w:rsid w:val="00464F63"/>
    <w:rsid w:val="0046520A"/>
    <w:rsid w:val="00465244"/>
    <w:rsid w:val="00465357"/>
    <w:rsid w:val="00465582"/>
    <w:rsid w:val="0046564F"/>
    <w:rsid w:val="00465666"/>
    <w:rsid w:val="00465670"/>
    <w:rsid w:val="00465932"/>
    <w:rsid w:val="004659AD"/>
    <w:rsid w:val="00465A30"/>
    <w:rsid w:val="00465A65"/>
    <w:rsid w:val="00465B9E"/>
    <w:rsid w:val="00465C02"/>
    <w:rsid w:val="00465C9B"/>
    <w:rsid w:val="00465D83"/>
    <w:rsid w:val="00465DC5"/>
    <w:rsid w:val="00465DD5"/>
    <w:rsid w:val="00465E4D"/>
    <w:rsid w:val="00465F38"/>
    <w:rsid w:val="00465F72"/>
    <w:rsid w:val="0046608E"/>
    <w:rsid w:val="00466122"/>
    <w:rsid w:val="00466389"/>
    <w:rsid w:val="00466570"/>
    <w:rsid w:val="0046657C"/>
    <w:rsid w:val="0046682A"/>
    <w:rsid w:val="0046693F"/>
    <w:rsid w:val="0046698A"/>
    <w:rsid w:val="00466AD3"/>
    <w:rsid w:val="00466B69"/>
    <w:rsid w:val="00466C76"/>
    <w:rsid w:val="00466C9A"/>
    <w:rsid w:val="00466DDC"/>
    <w:rsid w:val="00466FA3"/>
    <w:rsid w:val="00467020"/>
    <w:rsid w:val="004670C8"/>
    <w:rsid w:val="00467184"/>
    <w:rsid w:val="00467366"/>
    <w:rsid w:val="00467387"/>
    <w:rsid w:val="0046740A"/>
    <w:rsid w:val="004675CD"/>
    <w:rsid w:val="0046763D"/>
    <w:rsid w:val="0046765D"/>
    <w:rsid w:val="00467707"/>
    <w:rsid w:val="004678FD"/>
    <w:rsid w:val="00467E05"/>
    <w:rsid w:val="00467EFE"/>
    <w:rsid w:val="00467FD2"/>
    <w:rsid w:val="00470051"/>
    <w:rsid w:val="004700AC"/>
    <w:rsid w:val="004700F4"/>
    <w:rsid w:val="00470295"/>
    <w:rsid w:val="004702C4"/>
    <w:rsid w:val="00470413"/>
    <w:rsid w:val="004706AA"/>
    <w:rsid w:val="0047070E"/>
    <w:rsid w:val="00470780"/>
    <w:rsid w:val="004707E8"/>
    <w:rsid w:val="0047098F"/>
    <w:rsid w:val="00470990"/>
    <w:rsid w:val="004709C5"/>
    <w:rsid w:val="004709FF"/>
    <w:rsid w:val="00470C12"/>
    <w:rsid w:val="00470D0C"/>
    <w:rsid w:val="00470D9D"/>
    <w:rsid w:val="00470DAB"/>
    <w:rsid w:val="00470DCE"/>
    <w:rsid w:val="00470F46"/>
    <w:rsid w:val="00471214"/>
    <w:rsid w:val="0047144D"/>
    <w:rsid w:val="00471582"/>
    <w:rsid w:val="004717F9"/>
    <w:rsid w:val="00471942"/>
    <w:rsid w:val="00471AD8"/>
    <w:rsid w:val="00471AF9"/>
    <w:rsid w:val="00471B5B"/>
    <w:rsid w:val="00471DE9"/>
    <w:rsid w:val="00471E03"/>
    <w:rsid w:val="00471F4A"/>
    <w:rsid w:val="00472044"/>
    <w:rsid w:val="0047216E"/>
    <w:rsid w:val="004721C8"/>
    <w:rsid w:val="0047232E"/>
    <w:rsid w:val="0047243E"/>
    <w:rsid w:val="004724FB"/>
    <w:rsid w:val="004726A0"/>
    <w:rsid w:val="004727A9"/>
    <w:rsid w:val="00472A6C"/>
    <w:rsid w:val="00472B3B"/>
    <w:rsid w:val="00472BC6"/>
    <w:rsid w:val="00472D49"/>
    <w:rsid w:val="00472E80"/>
    <w:rsid w:val="00472EA3"/>
    <w:rsid w:val="00472FB4"/>
    <w:rsid w:val="004730DF"/>
    <w:rsid w:val="004730F2"/>
    <w:rsid w:val="0047332A"/>
    <w:rsid w:val="0047339D"/>
    <w:rsid w:val="00473558"/>
    <w:rsid w:val="00473754"/>
    <w:rsid w:val="00473C1A"/>
    <w:rsid w:val="00473CD9"/>
    <w:rsid w:val="00473DB0"/>
    <w:rsid w:val="00473FC1"/>
    <w:rsid w:val="00473FDB"/>
    <w:rsid w:val="0047403C"/>
    <w:rsid w:val="004740D3"/>
    <w:rsid w:val="00474169"/>
    <w:rsid w:val="004743E3"/>
    <w:rsid w:val="004745BB"/>
    <w:rsid w:val="00474989"/>
    <w:rsid w:val="00474B5F"/>
    <w:rsid w:val="00474C42"/>
    <w:rsid w:val="00474C63"/>
    <w:rsid w:val="00474CCD"/>
    <w:rsid w:val="00474D2E"/>
    <w:rsid w:val="00475067"/>
    <w:rsid w:val="00475085"/>
    <w:rsid w:val="004750A4"/>
    <w:rsid w:val="00475140"/>
    <w:rsid w:val="00475141"/>
    <w:rsid w:val="00475250"/>
    <w:rsid w:val="004754D3"/>
    <w:rsid w:val="004755BC"/>
    <w:rsid w:val="004755F8"/>
    <w:rsid w:val="00475964"/>
    <w:rsid w:val="00475AC2"/>
    <w:rsid w:val="00475C30"/>
    <w:rsid w:val="00475E8F"/>
    <w:rsid w:val="00475F81"/>
    <w:rsid w:val="00476228"/>
    <w:rsid w:val="00476435"/>
    <w:rsid w:val="0047674F"/>
    <w:rsid w:val="004767EE"/>
    <w:rsid w:val="00476830"/>
    <w:rsid w:val="00476DBA"/>
    <w:rsid w:val="00476F0D"/>
    <w:rsid w:val="00476F22"/>
    <w:rsid w:val="00476F4E"/>
    <w:rsid w:val="00477013"/>
    <w:rsid w:val="004770F2"/>
    <w:rsid w:val="00477298"/>
    <w:rsid w:val="00477423"/>
    <w:rsid w:val="00477537"/>
    <w:rsid w:val="0047797C"/>
    <w:rsid w:val="004779BB"/>
    <w:rsid w:val="00477ACE"/>
    <w:rsid w:val="00477D07"/>
    <w:rsid w:val="00477D3E"/>
    <w:rsid w:val="00477DD6"/>
    <w:rsid w:val="00477F45"/>
    <w:rsid w:val="00477F6F"/>
    <w:rsid w:val="004802BE"/>
    <w:rsid w:val="00480387"/>
    <w:rsid w:val="004804D0"/>
    <w:rsid w:val="0048062D"/>
    <w:rsid w:val="00480963"/>
    <w:rsid w:val="00480A16"/>
    <w:rsid w:val="00480AB0"/>
    <w:rsid w:val="00480B61"/>
    <w:rsid w:val="00480C39"/>
    <w:rsid w:val="00480C57"/>
    <w:rsid w:val="00480CDB"/>
    <w:rsid w:val="00480DAE"/>
    <w:rsid w:val="00480E9D"/>
    <w:rsid w:val="00480F70"/>
    <w:rsid w:val="0048121F"/>
    <w:rsid w:val="004812B0"/>
    <w:rsid w:val="0048130D"/>
    <w:rsid w:val="00481523"/>
    <w:rsid w:val="00481597"/>
    <w:rsid w:val="004815EC"/>
    <w:rsid w:val="00481696"/>
    <w:rsid w:val="004816C9"/>
    <w:rsid w:val="00481710"/>
    <w:rsid w:val="004818B3"/>
    <w:rsid w:val="004818EB"/>
    <w:rsid w:val="00481933"/>
    <w:rsid w:val="00481AC3"/>
    <w:rsid w:val="00481D4C"/>
    <w:rsid w:val="00481E3B"/>
    <w:rsid w:val="00481E5B"/>
    <w:rsid w:val="00481F6E"/>
    <w:rsid w:val="00481FF0"/>
    <w:rsid w:val="0048200B"/>
    <w:rsid w:val="00482195"/>
    <w:rsid w:val="00482353"/>
    <w:rsid w:val="00482393"/>
    <w:rsid w:val="0048241F"/>
    <w:rsid w:val="0048242D"/>
    <w:rsid w:val="004825C5"/>
    <w:rsid w:val="00482684"/>
    <w:rsid w:val="00482777"/>
    <w:rsid w:val="00482792"/>
    <w:rsid w:val="004828CE"/>
    <w:rsid w:val="004828E8"/>
    <w:rsid w:val="00482972"/>
    <w:rsid w:val="00482A05"/>
    <w:rsid w:val="00482BFC"/>
    <w:rsid w:val="00482C54"/>
    <w:rsid w:val="00482CF7"/>
    <w:rsid w:val="00482D2D"/>
    <w:rsid w:val="00482D2E"/>
    <w:rsid w:val="00482DAB"/>
    <w:rsid w:val="00482E5E"/>
    <w:rsid w:val="00482EA4"/>
    <w:rsid w:val="00482EFB"/>
    <w:rsid w:val="00482F09"/>
    <w:rsid w:val="00482F0B"/>
    <w:rsid w:val="00482FFD"/>
    <w:rsid w:val="004830D0"/>
    <w:rsid w:val="00483112"/>
    <w:rsid w:val="004831BF"/>
    <w:rsid w:val="00483205"/>
    <w:rsid w:val="004832B6"/>
    <w:rsid w:val="0048331C"/>
    <w:rsid w:val="00483440"/>
    <w:rsid w:val="00483585"/>
    <w:rsid w:val="004837D1"/>
    <w:rsid w:val="00483832"/>
    <w:rsid w:val="00483A0D"/>
    <w:rsid w:val="00483A94"/>
    <w:rsid w:val="00483B7E"/>
    <w:rsid w:val="00483C2C"/>
    <w:rsid w:val="00483D5A"/>
    <w:rsid w:val="00483D88"/>
    <w:rsid w:val="00483DD3"/>
    <w:rsid w:val="00483F3E"/>
    <w:rsid w:val="00483FD9"/>
    <w:rsid w:val="004840AD"/>
    <w:rsid w:val="00484104"/>
    <w:rsid w:val="004841DA"/>
    <w:rsid w:val="004841EE"/>
    <w:rsid w:val="0048424E"/>
    <w:rsid w:val="0048435A"/>
    <w:rsid w:val="00484530"/>
    <w:rsid w:val="00484599"/>
    <w:rsid w:val="00484633"/>
    <w:rsid w:val="0048465B"/>
    <w:rsid w:val="004846CF"/>
    <w:rsid w:val="004847B0"/>
    <w:rsid w:val="0048482B"/>
    <w:rsid w:val="0048488A"/>
    <w:rsid w:val="00484A6E"/>
    <w:rsid w:val="00484B53"/>
    <w:rsid w:val="00484B5B"/>
    <w:rsid w:val="00484C1F"/>
    <w:rsid w:val="00484C54"/>
    <w:rsid w:val="00484CB8"/>
    <w:rsid w:val="00484D2C"/>
    <w:rsid w:val="00484DC3"/>
    <w:rsid w:val="00484EBC"/>
    <w:rsid w:val="00484EEA"/>
    <w:rsid w:val="00484F94"/>
    <w:rsid w:val="0048508E"/>
    <w:rsid w:val="0048534E"/>
    <w:rsid w:val="00485388"/>
    <w:rsid w:val="004853B2"/>
    <w:rsid w:val="00485468"/>
    <w:rsid w:val="0048547E"/>
    <w:rsid w:val="00485493"/>
    <w:rsid w:val="004854FB"/>
    <w:rsid w:val="00485616"/>
    <w:rsid w:val="0048564F"/>
    <w:rsid w:val="004856A4"/>
    <w:rsid w:val="004857AA"/>
    <w:rsid w:val="004857C7"/>
    <w:rsid w:val="004858E9"/>
    <w:rsid w:val="00485B3C"/>
    <w:rsid w:val="00485C4E"/>
    <w:rsid w:val="00485DDC"/>
    <w:rsid w:val="00486057"/>
    <w:rsid w:val="00486134"/>
    <w:rsid w:val="0048624B"/>
    <w:rsid w:val="0048642B"/>
    <w:rsid w:val="00486461"/>
    <w:rsid w:val="00486527"/>
    <w:rsid w:val="00486775"/>
    <w:rsid w:val="00486821"/>
    <w:rsid w:val="004868CE"/>
    <w:rsid w:val="004868D9"/>
    <w:rsid w:val="0048691C"/>
    <w:rsid w:val="00486997"/>
    <w:rsid w:val="00486A14"/>
    <w:rsid w:val="00486B07"/>
    <w:rsid w:val="00486BD4"/>
    <w:rsid w:val="00486C19"/>
    <w:rsid w:val="00486C54"/>
    <w:rsid w:val="00486E93"/>
    <w:rsid w:val="00487070"/>
    <w:rsid w:val="00487090"/>
    <w:rsid w:val="0048719D"/>
    <w:rsid w:val="00487294"/>
    <w:rsid w:val="0048729A"/>
    <w:rsid w:val="004872F1"/>
    <w:rsid w:val="00487305"/>
    <w:rsid w:val="004873A3"/>
    <w:rsid w:val="00487431"/>
    <w:rsid w:val="00487546"/>
    <w:rsid w:val="00487725"/>
    <w:rsid w:val="004877D2"/>
    <w:rsid w:val="004877D7"/>
    <w:rsid w:val="0048780F"/>
    <w:rsid w:val="00487886"/>
    <w:rsid w:val="00487A57"/>
    <w:rsid w:val="00487AD6"/>
    <w:rsid w:val="00487B1E"/>
    <w:rsid w:val="00487C01"/>
    <w:rsid w:val="00487C6D"/>
    <w:rsid w:val="00487CAA"/>
    <w:rsid w:val="00487CDD"/>
    <w:rsid w:val="00487EE0"/>
    <w:rsid w:val="00487FB9"/>
    <w:rsid w:val="004900C2"/>
    <w:rsid w:val="00490328"/>
    <w:rsid w:val="004905E0"/>
    <w:rsid w:val="004906AA"/>
    <w:rsid w:val="004906B9"/>
    <w:rsid w:val="004906FE"/>
    <w:rsid w:val="0049075B"/>
    <w:rsid w:val="004908F1"/>
    <w:rsid w:val="00490A08"/>
    <w:rsid w:val="00490C00"/>
    <w:rsid w:val="00490C57"/>
    <w:rsid w:val="00491001"/>
    <w:rsid w:val="004910B2"/>
    <w:rsid w:val="00491317"/>
    <w:rsid w:val="004913F7"/>
    <w:rsid w:val="00491524"/>
    <w:rsid w:val="0049159B"/>
    <w:rsid w:val="0049193B"/>
    <w:rsid w:val="00491A8E"/>
    <w:rsid w:val="00491AB9"/>
    <w:rsid w:val="00491AE7"/>
    <w:rsid w:val="00491B39"/>
    <w:rsid w:val="00491B59"/>
    <w:rsid w:val="00491BDA"/>
    <w:rsid w:val="00491CB7"/>
    <w:rsid w:val="00491D2B"/>
    <w:rsid w:val="004920F0"/>
    <w:rsid w:val="0049215F"/>
    <w:rsid w:val="00492267"/>
    <w:rsid w:val="0049246C"/>
    <w:rsid w:val="004925F4"/>
    <w:rsid w:val="00492856"/>
    <w:rsid w:val="0049293C"/>
    <w:rsid w:val="00492965"/>
    <w:rsid w:val="004929CF"/>
    <w:rsid w:val="00492C0D"/>
    <w:rsid w:val="00492C4D"/>
    <w:rsid w:val="00492D1A"/>
    <w:rsid w:val="00492ED1"/>
    <w:rsid w:val="00492F27"/>
    <w:rsid w:val="00492F2C"/>
    <w:rsid w:val="00492F72"/>
    <w:rsid w:val="004931D5"/>
    <w:rsid w:val="00493310"/>
    <w:rsid w:val="0049335F"/>
    <w:rsid w:val="004933E7"/>
    <w:rsid w:val="00493450"/>
    <w:rsid w:val="004935CF"/>
    <w:rsid w:val="0049365D"/>
    <w:rsid w:val="004937C5"/>
    <w:rsid w:val="004938B5"/>
    <w:rsid w:val="00493B4B"/>
    <w:rsid w:val="00493CCD"/>
    <w:rsid w:val="00493E10"/>
    <w:rsid w:val="00493F01"/>
    <w:rsid w:val="00494057"/>
    <w:rsid w:val="00494094"/>
    <w:rsid w:val="004941EE"/>
    <w:rsid w:val="004942BE"/>
    <w:rsid w:val="0049447B"/>
    <w:rsid w:val="004944FB"/>
    <w:rsid w:val="0049450A"/>
    <w:rsid w:val="004946EC"/>
    <w:rsid w:val="00494765"/>
    <w:rsid w:val="00494833"/>
    <w:rsid w:val="00494873"/>
    <w:rsid w:val="0049497E"/>
    <w:rsid w:val="004949FE"/>
    <w:rsid w:val="00494CA9"/>
    <w:rsid w:val="00494DD1"/>
    <w:rsid w:val="00494EA8"/>
    <w:rsid w:val="00494EC6"/>
    <w:rsid w:val="00495042"/>
    <w:rsid w:val="00495116"/>
    <w:rsid w:val="00495271"/>
    <w:rsid w:val="004954D9"/>
    <w:rsid w:val="00495542"/>
    <w:rsid w:val="0049561F"/>
    <w:rsid w:val="00495989"/>
    <w:rsid w:val="00495BB4"/>
    <w:rsid w:val="00495BED"/>
    <w:rsid w:val="00495CB0"/>
    <w:rsid w:val="00495E08"/>
    <w:rsid w:val="00495F8C"/>
    <w:rsid w:val="00495FAA"/>
    <w:rsid w:val="00495FDF"/>
    <w:rsid w:val="004962A2"/>
    <w:rsid w:val="00496413"/>
    <w:rsid w:val="00496457"/>
    <w:rsid w:val="004964E2"/>
    <w:rsid w:val="00496720"/>
    <w:rsid w:val="004967CF"/>
    <w:rsid w:val="004969B2"/>
    <w:rsid w:val="004969BA"/>
    <w:rsid w:val="00496A0C"/>
    <w:rsid w:val="00496AF3"/>
    <w:rsid w:val="00496C88"/>
    <w:rsid w:val="00496D4B"/>
    <w:rsid w:val="00496E6B"/>
    <w:rsid w:val="0049730C"/>
    <w:rsid w:val="00497379"/>
    <w:rsid w:val="004973A1"/>
    <w:rsid w:val="004973A8"/>
    <w:rsid w:val="004976BF"/>
    <w:rsid w:val="0049791F"/>
    <w:rsid w:val="00497BE8"/>
    <w:rsid w:val="004A0223"/>
    <w:rsid w:val="004A02A8"/>
    <w:rsid w:val="004A05D0"/>
    <w:rsid w:val="004A0867"/>
    <w:rsid w:val="004A086D"/>
    <w:rsid w:val="004A08C3"/>
    <w:rsid w:val="004A0A43"/>
    <w:rsid w:val="004A0AF9"/>
    <w:rsid w:val="004A0B51"/>
    <w:rsid w:val="004A0BE1"/>
    <w:rsid w:val="004A0F74"/>
    <w:rsid w:val="004A100F"/>
    <w:rsid w:val="004A10C0"/>
    <w:rsid w:val="004A1479"/>
    <w:rsid w:val="004A1B1F"/>
    <w:rsid w:val="004A1C13"/>
    <w:rsid w:val="004A1C70"/>
    <w:rsid w:val="004A1DD2"/>
    <w:rsid w:val="004A1DD6"/>
    <w:rsid w:val="004A1DEB"/>
    <w:rsid w:val="004A1E98"/>
    <w:rsid w:val="004A1F36"/>
    <w:rsid w:val="004A1F83"/>
    <w:rsid w:val="004A1FF3"/>
    <w:rsid w:val="004A20A7"/>
    <w:rsid w:val="004A20F9"/>
    <w:rsid w:val="004A21FB"/>
    <w:rsid w:val="004A22CD"/>
    <w:rsid w:val="004A23E9"/>
    <w:rsid w:val="004A27CB"/>
    <w:rsid w:val="004A2AA3"/>
    <w:rsid w:val="004A2AE3"/>
    <w:rsid w:val="004A2B35"/>
    <w:rsid w:val="004A30F1"/>
    <w:rsid w:val="004A3190"/>
    <w:rsid w:val="004A333E"/>
    <w:rsid w:val="004A355D"/>
    <w:rsid w:val="004A3636"/>
    <w:rsid w:val="004A3728"/>
    <w:rsid w:val="004A3830"/>
    <w:rsid w:val="004A3899"/>
    <w:rsid w:val="004A3A1F"/>
    <w:rsid w:val="004A3AEC"/>
    <w:rsid w:val="004A3F8A"/>
    <w:rsid w:val="004A3FC6"/>
    <w:rsid w:val="004A4234"/>
    <w:rsid w:val="004A4418"/>
    <w:rsid w:val="004A46D0"/>
    <w:rsid w:val="004A481C"/>
    <w:rsid w:val="004A48AC"/>
    <w:rsid w:val="004A4BB9"/>
    <w:rsid w:val="004A4BFF"/>
    <w:rsid w:val="004A4C42"/>
    <w:rsid w:val="004A4EA1"/>
    <w:rsid w:val="004A4EE0"/>
    <w:rsid w:val="004A4F82"/>
    <w:rsid w:val="004A5027"/>
    <w:rsid w:val="004A505E"/>
    <w:rsid w:val="004A5083"/>
    <w:rsid w:val="004A51C0"/>
    <w:rsid w:val="004A51C2"/>
    <w:rsid w:val="004A520B"/>
    <w:rsid w:val="004A53BC"/>
    <w:rsid w:val="004A54A6"/>
    <w:rsid w:val="004A5525"/>
    <w:rsid w:val="004A5638"/>
    <w:rsid w:val="004A5758"/>
    <w:rsid w:val="004A5D06"/>
    <w:rsid w:val="004A5D91"/>
    <w:rsid w:val="004A5D9A"/>
    <w:rsid w:val="004A5E4C"/>
    <w:rsid w:val="004A5FCD"/>
    <w:rsid w:val="004A60E8"/>
    <w:rsid w:val="004A61AE"/>
    <w:rsid w:val="004A6215"/>
    <w:rsid w:val="004A625E"/>
    <w:rsid w:val="004A62F7"/>
    <w:rsid w:val="004A6961"/>
    <w:rsid w:val="004A6B19"/>
    <w:rsid w:val="004A6BA5"/>
    <w:rsid w:val="004A6E0B"/>
    <w:rsid w:val="004A6E21"/>
    <w:rsid w:val="004A6E56"/>
    <w:rsid w:val="004A6E71"/>
    <w:rsid w:val="004A6EB2"/>
    <w:rsid w:val="004A6FA3"/>
    <w:rsid w:val="004A71AB"/>
    <w:rsid w:val="004A71D1"/>
    <w:rsid w:val="004A744E"/>
    <w:rsid w:val="004A7650"/>
    <w:rsid w:val="004A7686"/>
    <w:rsid w:val="004A76A5"/>
    <w:rsid w:val="004A775D"/>
    <w:rsid w:val="004A7920"/>
    <w:rsid w:val="004A79D1"/>
    <w:rsid w:val="004A7C10"/>
    <w:rsid w:val="004A7C40"/>
    <w:rsid w:val="004A7E54"/>
    <w:rsid w:val="004B0067"/>
    <w:rsid w:val="004B028A"/>
    <w:rsid w:val="004B03AF"/>
    <w:rsid w:val="004B0446"/>
    <w:rsid w:val="004B04CD"/>
    <w:rsid w:val="004B04E7"/>
    <w:rsid w:val="004B052A"/>
    <w:rsid w:val="004B05D6"/>
    <w:rsid w:val="004B0906"/>
    <w:rsid w:val="004B0965"/>
    <w:rsid w:val="004B0A06"/>
    <w:rsid w:val="004B0A09"/>
    <w:rsid w:val="004B0A1D"/>
    <w:rsid w:val="004B0AF3"/>
    <w:rsid w:val="004B0B1B"/>
    <w:rsid w:val="004B0B82"/>
    <w:rsid w:val="004B0BD3"/>
    <w:rsid w:val="004B0C73"/>
    <w:rsid w:val="004B0D58"/>
    <w:rsid w:val="004B1051"/>
    <w:rsid w:val="004B1079"/>
    <w:rsid w:val="004B10B8"/>
    <w:rsid w:val="004B1180"/>
    <w:rsid w:val="004B128B"/>
    <w:rsid w:val="004B12C1"/>
    <w:rsid w:val="004B136E"/>
    <w:rsid w:val="004B1491"/>
    <w:rsid w:val="004B14F1"/>
    <w:rsid w:val="004B1575"/>
    <w:rsid w:val="004B15FE"/>
    <w:rsid w:val="004B16CC"/>
    <w:rsid w:val="004B18F4"/>
    <w:rsid w:val="004B1906"/>
    <w:rsid w:val="004B1970"/>
    <w:rsid w:val="004B1B20"/>
    <w:rsid w:val="004B1BFB"/>
    <w:rsid w:val="004B1EA8"/>
    <w:rsid w:val="004B1F9F"/>
    <w:rsid w:val="004B2011"/>
    <w:rsid w:val="004B2106"/>
    <w:rsid w:val="004B21A8"/>
    <w:rsid w:val="004B257A"/>
    <w:rsid w:val="004B25EB"/>
    <w:rsid w:val="004B2654"/>
    <w:rsid w:val="004B26D7"/>
    <w:rsid w:val="004B27BD"/>
    <w:rsid w:val="004B2881"/>
    <w:rsid w:val="004B2969"/>
    <w:rsid w:val="004B29EC"/>
    <w:rsid w:val="004B311E"/>
    <w:rsid w:val="004B312A"/>
    <w:rsid w:val="004B3202"/>
    <w:rsid w:val="004B33FD"/>
    <w:rsid w:val="004B3447"/>
    <w:rsid w:val="004B34C3"/>
    <w:rsid w:val="004B370E"/>
    <w:rsid w:val="004B3734"/>
    <w:rsid w:val="004B3771"/>
    <w:rsid w:val="004B3A4D"/>
    <w:rsid w:val="004B3AA3"/>
    <w:rsid w:val="004B3B12"/>
    <w:rsid w:val="004B3B17"/>
    <w:rsid w:val="004B3D06"/>
    <w:rsid w:val="004B3EA0"/>
    <w:rsid w:val="004B4013"/>
    <w:rsid w:val="004B413E"/>
    <w:rsid w:val="004B42FB"/>
    <w:rsid w:val="004B472D"/>
    <w:rsid w:val="004B475E"/>
    <w:rsid w:val="004B47EF"/>
    <w:rsid w:val="004B47F9"/>
    <w:rsid w:val="004B48AF"/>
    <w:rsid w:val="004B4A23"/>
    <w:rsid w:val="004B4A62"/>
    <w:rsid w:val="004B4B06"/>
    <w:rsid w:val="004B4B40"/>
    <w:rsid w:val="004B4E3E"/>
    <w:rsid w:val="004B4E67"/>
    <w:rsid w:val="004B4E97"/>
    <w:rsid w:val="004B522E"/>
    <w:rsid w:val="004B53B6"/>
    <w:rsid w:val="004B5740"/>
    <w:rsid w:val="004B5949"/>
    <w:rsid w:val="004B5A44"/>
    <w:rsid w:val="004B5BA4"/>
    <w:rsid w:val="004B5C6C"/>
    <w:rsid w:val="004B5D42"/>
    <w:rsid w:val="004B5FD8"/>
    <w:rsid w:val="004B6071"/>
    <w:rsid w:val="004B61A9"/>
    <w:rsid w:val="004B63F9"/>
    <w:rsid w:val="004B6793"/>
    <w:rsid w:val="004B69E5"/>
    <w:rsid w:val="004B6AE3"/>
    <w:rsid w:val="004B6B64"/>
    <w:rsid w:val="004B6DA9"/>
    <w:rsid w:val="004B6DB5"/>
    <w:rsid w:val="004B6DC9"/>
    <w:rsid w:val="004B70C2"/>
    <w:rsid w:val="004B736B"/>
    <w:rsid w:val="004B74CC"/>
    <w:rsid w:val="004B76E6"/>
    <w:rsid w:val="004B77BD"/>
    <w:rsid w:val="004B7B67"/>
    <w:rsid w:val="004B7C04"/>
    <w:rsid w:val="004B7C46"/>
    <w:rsid w:val="004B7CAF"/>
    <w:rsid w:val="004B7D26"/>
    <w:rsid w:val="004B7D8B"/>
    <w:rsid w:val="004B7E20"/>
    <w:rsid w:val="004B7EB1"/>
    <w:rsid w:val="004B7FE4"/>
    <w:rsid w:val="004C0009"/>
    <w:rsid w:val="004C004E"/>
    <w:rsid w:val="004C00CB"/>
    <w:rsid w:val="004C00F4"/>
    <w:rsid w:val="004C0240"/>
    <w:rsid w:val="004C0543"/>
    <w:rsid w:val="004C0845"/>
    <w:rsid w:val="004C093D"/>
    <w:rsid w:val="004C0B9F"/>
    <w:rsid w:val="004C0C27"/>
    <w:rsid w:val="004C0D0A"/>
    <w:rsid w:val="004C0FD5"/>
    <w:rsid w:val="004C1142"/>
    <w:rsid w:val="004C11CA"/>
    <w:rsid w:val="004C120A"/>
    <w:rsid w:val="004C1224"/>
    <w:rsid w:val="004C12C3"/>
    <w:rsid w:val="004C157F"/>
    <w:rsid w:val="004C15F7"/>
    <w:rsid w:val="004C1601"/>
    <w:rsid w:val="004C196E"/>
    <w:rsid w:val="004C1AE7"/>
    <w:rsid w:val="004C1C5A"/>
    <w:rsid w:val="004C1CF2"/>
    <w:rsid w:val="004C1D5F"/>
    <w:rsid w:val="004C1D69"/>
    <w:rsid w:val="004C1DAA"/>
    <w:rsid w:val="004C2098"/>
    <w:rsid w:val="004C2282"/>
    <w:rsid w:val="004C2296"/>
    <w:rsid w:val="004C2457"/>
    <w:rsid w:val="004C2531"/>
    <w:rsid w:val="004C2550"/>
    <w:rsid w:val="004C2554"/>
    <w:rsid w:val="004C2749"/>
    <w:rsid w:val="004C297C"/>
    <w:rsid w:val="004C29E1"/>
    <w:rsid w:val="004C2AE5"/>
    <w:rsid w:val="004C2D63"/>
    <w:rsid w:val="004C2F6A"/>
    <w:rsid w:val="004C30AC"/>
    <w:rsid w:val="004C31E4"/>
    <w:rsid w:val="004C353C"/>
    <w:rsid w:val="004C354F"/>
    <w:rsid w:val="004C3666"/>
    <w:rsid w:val="004C37E5"/>
    <w:rsid w:val="004C385E"/>
    <w:rsid w:val="004C3941"/>
    <w:rsid w:val="004C3DA7"/>
    <w:rsid w:val="004C4278"/>
    <w:rsid w:val="004C4336"/>
    <w:rsid w:val="004C4363"/>
    <w:rsid w:val="004C43C3"/>
    <w:rsid w:val="004C43FA"/>
    <w:rsid w:val="004C4428"/>
    <w:rsid w:val="004C44F7"/>
    <w:rsid w:val="004C4652"/>
    <w:rsid w:val="004C476D"/>
    <w:rsid w:val="004C47DD"/>
    <w:rsid w:val="004C487F"/>
    <w:rsid w:val="004C495D"/>
    <w:rsid w:val="004C4A23"/>
    <w:rsid w:val="004C4C7B"/>
    <w:rsid w:val="004C4D7F"/>
    <w:rsid w:val="004C4EE1"/>
    <w:rsid w:val="004C5052"/>
    <w:rsid w:val="004C506D"/>
    <w:rsid w:val="004C5079"/>
    <w:rsid w:val="004C50B2"/>
    <w:rsid w:val="004C51A8"/>
    <w:rsid w:val="004C524C"/>
    <w:rsid w:val="004C52EA"/>
    <w:rsid w:val="004C5340"/>
    <w:rsid w:val="004C5426"/>
    <w:rsid w:val="004C5558"/>
    <w:rsid w:val="004C5585"/>
    <w:rsid w:val="004C584A"/>
    <w:rsid w:val="004C585B"/>
    <w:rsid w:val="004C592D"/>
    <w:rsid w:val="004C5964"/>
    <w:rsid w:val="004C5983"/>
    <w:rsid w:val="004C5A37"/>
    <w:rsid w:val="004C5B25"/>
    <w:rsid w:val="004C5BC9"/>
    <w:rsid w:val="004C5EEA"/>
    <w:rsid w:val="004C5F6C"/>
    <w:rsid w:val="004C6247"/>
    <w:rsid w:val="004C626D"/>
    <w:rsid w:val="004C6444"/>
    <w:rsid w:val="004C66E1"/>
    <w:rsid w:val="004C67A6"/>
    <w:rsid w:val="004C6884"/>
    <w:rsid w:val="004C68AC"/>
    <w:rsid w:val="004C6B02"/>
    <w:rsid w:val="004C6B62"/>
    <w:rsid w:val="004C6BC0"/>
    <w:rsid w:val="004C6D2B"/>
    <w:rsid w:val="004C7012"/>
    <w:rsid w:val="004C7079"/>
    <w:rsid w:val="004C7195"/>
    <w:rsid w:val="004C723C"/>
    <w:rsid w:val="004C725D"/>
    <w:rsid w:val="004C7394"/>
    <w:rsid w:val="004C73D1"/>
    <w:rsid w:val="004C7451"/>
    <w:rsid w:val="004C7535"/>
    <w:rsid w:val="004C77B2"/>
    <w:rsid w:val="004C7828"/>
    <w:rsid w:val="004C7B3E"/>
    <w:rsid w:val="004C7B6F"/>
    <w:rsid w:val="004C7CAF"/>
    <w:rsid w:val="004C7CF6"/>
    <w:rsid w:val="004C7D25"/>
    <w:rsid w:val="004C7DB8"/>
    <w:rsid w:val="004C7E6F"/>
    <w:rsid w:val="004D0133"/>
    <w:rsid w:val="004D0141"/>
    <w:rsid w:val="004D0154"/>
    <w:rsid w:val="004D0187"/>
    <w:rsid w:val="004D01ED"/>
    <w:rsid w:val="004D0574"/>
    <w:rsid w:val="004D06DB"/>
    <w:rsid w:val="004D0707"/>
    <w:rsid w:val="004D0728"/>
    <w:rsid w:val="004D08DE"/>
    <w:rsid w:val="004D09B7"/>
    <w:rsid w:val="004D0B3E"/>
    <w:rsid w:val="004D0C7D"/>
    <w:rsid w:val="004D0CEC"/>
    <w:rsid w:val="004D0D5B"/>
    <w:rsid w:val="004D0E28"/>
    <w:rsid w:val="004D0E40"/>
    <w:rsid w:val="004D0FCE"/>
    <w:rsid w:val="004D0FD5"/>
    <w:rsid w:val="004D117C"/>
    <w:rsid w:val="004D14E6"/>
    <w:rsid w:val="004D15E5"/>
    <w:rsid w:val="004D169E"/>
    <w:rsid w:val="004D16DD"/>
    <w:rsid w:val="004D16DF"/>
    <w:rsid w:val="004D1770"/>
    <w:rsid w:val="004D188B"/>
    <w:rsid w:val="004D1971"/>
    <w:rsid w:val="004D1AE2"/>
    <w:rsid w:val="004D1AF2"/>
    <w:rsid w:val="004D1BE9"/>
    <w:rsid w:val="004D1C21"/>
    <w:rsid w:val="004D1E3E"/>
    <w:rsid w:val="004D200E"/>
    <w:rsid w:val="004D201F"/>
    <w:rsid w:val="004D20D0"/>
    <w:rsid w:val="004D218A"/>
    <w:rsid w:val="004D21A2"/>
    <w:rsid w:val="004D2507"/>
    <w:rsid w:val="004D25B2"/>
    <w:rsid w:val="004D25E2"/>
    <w:rsid w:val="004D2741"/>
    <w:rsid w:val="004D2850"/>
    <w:rsid w:val="004D2962"/>
    <w:rsid w:val="004D29C7"/>
    <w:rsid w:val="004D2BFA"/>
    <w:rsid w:val="004D2BFF"/>
    <w:rsid w:val="004D2CAC"/>
    <w:rsid w:val="004D2D90"/>
    <w:rsid w:val="004D2ED0"/>
    <w:rsid w:val="004D30C0"/>
    <w:rsid w:val="004D3595"/>
    <w:rsid w:val="004D3842"/>
    <w:rsid w:val="004D390E"/>
    <w:rsid w:val="004D3B7F"/>
    <w:rsid w:val="004D3E35"/>
    <w:rsid w:val="004D4005"/>
    <w:rsid w:val="004D412C"/>
    <w:rsid w:val="004D4170"/>
    <w:rsid w:val="004D436D"/>
    <w:rsid w:val="004D43FE"/>
    <w:rsid w:val="004D444E"/>
    <w:rsid w:val="004D45DD"/>
    <w:rsid w:val="004D45F4"/>
    <w:rsid w:val="004D4635"/>
    <w:rsid w:val="004D4670"/>
    <w:rsid w:val="004D4752"/>
    <w:rsid w:val="004D47FE"/>
    <w:rsid w:val="004D4942"/>
    <w:rsid w:val="004D4A61"/>
    <w:rsid w:val="004D4AA5"/>
    <w:rsid w:val="004D4B61"/>
    <w:rsid w:val="004D4B77"/>
    <w:rsid w:val="004D4BC2"/>
    <w:rsid w:val="004D4DDF"/>
    <w:rsid w:val="004D507B"/>
    <w:rsid w:val="004D526D"/>
    <w:rsid w:val="004D52B3"/>
    <w:rsid w:val="004D53B0"/>
    <w:rsid w:val="004D5880"/>
    <w:rsid w:val="004D59D6"/>
    <w:rsid w:val="004D59EB"/>
    <w:rsid w:val="004D5D35"/>
    <w:rsid w:val="004D5D4D"/>
    <w:rsid w:val="004D5F5D"/>
    <w:rsid w:val="004D60E4"/>
    <w:rsid w:val="004D6151"/>
    <w:rsid w:val="004D61F2"/>
    <w:rsid w:val="004D62FB"/>
    <w:rsid w:val="004D638D"/>
    <w:rsid w:val="004D63E8"/>
    <w:rsid w:val="004D64E4"/>
    <w:rsid w:val="004D6754"/>
    <w:rsid w:val="004D6861"/>
    <w:rsid w:val="004D6880"/>
    <w:rsid w:val="004D69CC"/>
    <w:rsid w:val="004D6D24"/>
    <w:rsid w:val="004D6DC7"/>
    <w:rsid w:val="004D7051"/>
    <w:rsid w:val="004D705D"/>
    <w:rsid w:val="004D715E"/>
    <w:rsid w:val="004D71FE"/>
    <w:rsid w:val="004D7296"/>
    <w:rsid w:val="004D7344"/>
    <w:rsid w:val="004D76E8"/>
    <w:rsid w:val="004D7867"/>
    <w:rsid w:val="004D792F"/>
    <w:rsid w:val="004D7A30"/>
    <w:rsid w:val="004D7BE5"/>
    <w:rsid w:val="004D7D50"/>
    <w:rsid w:val="004D7E5F"/>
    <w:rsid w:val="004D7E91"/>
    <w:rsid w:val="004D7EC1"/>
    <w:rsid w:val="004E00A9"/>
    <w:rsid w:val="004E02A7"/>
    <w:rsid w:val="004E05F1"/>
    <w:rsid w:val="004E063B"/>
    <w:rsid w:val="004E06B7"/>
    <w:rsid w:val="004E07B7"/>
    <w:rsid w:val="004E0A41"/>
    <w:rsid w:val="004E0CE9"/>
    <w:rsid w:val="004E0CED"/>
    <w:rsid w:val="004E0D0F"/>
    <w:rsid w:val="004E0E0D"/>
    <w:rsid w:val="004E0EC6"/>
    <w:rsid w:val="004E110C"/>
    <w:rsid w:val="004E12B8"/>
    <w:rsid w:val="004E12FB"/>
    <w:rsid w:val="004E13B5"/>
    <w:rsid w:val="004E1401"/>
    <w:rsid w:val="004E1428"/>
    <w:rsid w:val="004E143E"/>
    <w:rsid w:val="004E1490"/>
    <w:rsid w:val="004E17C3"/>
    <w:rsid w:val="004E17F5"/>
    <w:rsid w:val="004E1B7C"/>
    <w:rsid w:val="004E1C19"/>
    <w:rsid w:val="004E1FFA"/>
    <w:rsid w:val="004E2172"/>
    <w:rsid w:val="004E226C"/>
    <w:rsid w:val="004E2756"/>
    <w:rsid w:val="004E2791"/>
    <w:rsid w:val="004E284F"/>
    <w:rsid w:val="004E2911"/>
    <w:rsid w:val="004E291A"/>
    <w:rsid w:val="004E29C3"/>
    <w:rsid w:val="004E2A62"/>
    <w:rsid w:val="004E2AAD"/>
    <w:rsid w:val="004E2AC7"/>
    <w:rsid w:val="004E2C3E"/>
    <w:rsid w:val="004E2D36"/>
    <w:rsid w:val="004E2D83"/>
    <w:rsid w:val="004E2EC6"/>
    <w:rsid w:val="004E2EEA"/>
    <w:rsid w:val="004E2EFC"/>
    <w:rsid w:val="004E2F49"/>
    <w:rsid w:val="004E3031"/>
    <w:rsid w:val="004E303D"/>
    <w:rsid w:val="004E32A5"/>
    <w:rsid w:val="004E33ED"/>
    <w:rsid w:val="004E3411"/>
    <w:rsid w:val="004E35C9"/>
    <w:rsid w:val="004E35E0"/>
    <w:rsid w:val="004E3601"/>
    <w:rsid w:val="004E3613"/>
    <w:rsid w:val="004E3629"/>
    <w:rsid w:val="004E370C"/>
    <w:rsid w:val="004E37F3"/>
    <w:rsid w:val="004E38F4"/>
    <w:rsid w:val="004E3944"/>
    <w:rsid w:val="004E3A5F"/>
    <w:rsid w:val="004E3AF0"/>
    <w:rsid w:val="004E3BAA"/>
    <w:rsid w:val="004E3CB8"/>
    <w:rsid w:val="004E3F02"/>
    <w:rsid w:val="004E400D"/>
    <w:rsid w:val="004E41EA"/>
    <w:rsid w:val="004E4342"/>
    <w:rsid w:val="004E452E"/>
    <w:rsid w:val="004E45E3"/>
    <w:rsid w:val="004E48EA"/>
    <w:rsid w:val="004E4A3C"/>
    <w:rsid w:val="004E4C05"/>
    <w:rsid w:val="004E50CA"/>
    <w:rsid w:val="004E5174"/>
    <w:rsid w:val="004E55B2"/>
    <w:rsid w:val="004E56B8"/>
    <w:rsid w:val="004E5766"/>
    <w:rsid w:val="004E582C"/>
    <w:rsid w:val="004E5963"/>
    <w:rsid w:val="004E5986"/>
    <w:rsid w:val="004E5A26"/>
    <w:rsid w:val="004E5ACC"/>
    <w:rsid w:val="004E5C25"/>
    <w:rsid w:val="004E5CFA"/>
    <w:rsid w:val="004E5F16"/>
    <w:rsid w:val="004E61D0"/>
    <w:rsid w:val="004E623C"/>
    <w:rsid w:val="004E624F"/>
    <w:rsid w:val="004E6271"/>
    <w:rsid w:val="004E630E"/>
    <w:rsid w:val="004E638E"/>
    <w:rsid w:val="004E648A"/>
    <w:rsid w:val="004E64C4"/>
    <w:rsid w:val="004E66A2"/>
    <w:rsid w:val="004E66BF"/>
    <w:rsid w:val="004E6850"/>
    <w:rsid w:val="004E6A83"/>
    <w:rsid w:val="004E6C67"/>
    <w:rsid w:val="004E6F08"/>
    <w:rsid w:val="004E709A"/>
    <w:rsid w:val="004E710C"/>
    <w:rsid w:val="004E71F7"/>
    <w:rsid w:val="004E7525"/>
    <w:rsid w:val="004E7546"/>
    <w:rsid w:val="004E75E9"/>
    <w:rsid w:val="004E7648"/>
    <w:rsid w:val="004E7719"/>
    <w:rsid w:val="004E7762"/>
    <w:rsid w:val="004E776F"/>
    <w:rsid w:val="004E78C8"/>
    <w:rsid w:val="004E7994"/>
    <w:rsid w:val="004E7BA1"/>
    <w:rsid w:val="004E7BAE"/>
    <w:rsid w:val="004E7CBE"/>
    <w:rsid w:val="004E7D41"/>
    <w:rsid w:val="004F00FE"/>
    <w:rsid w:val="004F011D"/>
    <w:rsid w:val="004F0266"/>
    <w:rsid w:val="004F02C1"/>
    <w:rsid w:val="004F02EC"/>
    <w:rsid w:val="004F041C"/>
    <w:rsid w:val="004F042A"/>
    <w:rsid w:val="004F0434"/>
    <w:rsid w:val="004F0455"/>
    <w:rsid w:val="004F04AE"/>
    <w:rsid w:val="004F05CD"/>
    <w:rsid w:val="004F05D5"/>
    <w:rsid w:val="004F05FA"/>
    <w:rsid w:val="004F0717"/>
    <w:rsid w:val="004F0738"/>
    <w:rsid w:val="004F07E0"/>
    <w:rsid w:val="004F0ABE"/>
    <w:rsid w:val="004F0AFD"/>
    <w:rsid w:val="004F0B51"/>
    <w:rsid w:val="004F0C4D"/>
    <w:rsid w:val="004F0CB7"/>
    <w:rsid w:val="004F0CD5"/>
    <w:rsid w:val="004F0DCE"/>
    <w:rsid w:val="004F0E8D"/>
    <w:rsid w:val="004F0EA6"/>
    <w:rsid w:val="004F0EE7"/>
    <w:rsid w:val="004F1032"/>
    <w:rsid w:val="004F1090"/>
    <w:rsid w:val="004F10EF"/>
    <w:rsid w:val="004F134D"/>
    <w:rsid w:val="004F1512"/>
    <w:rsid w:val="004F1515"/>
    <w:rsid w:val="004F152B"/>
    <w:rsid w:val="004F156F"/>
    <w:rsid w:val="004F179E"/>
    <w:rsid w:val="004F17ED"/>
    <w:rsid w:val="004F1833"/>
    <w:rsid w:val="004F1857"/>
    <w:rsid w:val="004F18DE"/>
    <w:rsid w:val="004F1920"/>
    <w:rsid w:val="004F195D"/>
    <w:rsid w:val="004F1973"/>
    <w:rsid w:val="004F2004"/>
    <w:rsid w:val="004F20F7"/>
    <w:rsid w:val="004F2324"/>
    <w:rsid w:val="004F2368"/>
    <w:rsid w:val="004F2819"/>
    <w:rsid w:val="004F2B39"/>
    <w:rsid w:val="004F2B44"/>
    <w:rsid w:val="004F2B92"/>
    <w:rsid w:val="004F2CF5"/>
    <w:rsid w:val="004F2D73"/>
    <w:rsid w:val="004F2D81"/>
    <w:rsid w:val="004F3071"/>
    <w:rsid w:val="004F3436"/>
    <w:rsid w:val="004F3568"/>
    <w:rsid w:val="004F3677"/>
    <w:rsid w:val="004F37E3"/>
    <w:rsid w:val="004F38C8"/>
    <w:rsid w:val="004F3A18"/>
    <w:rsid w:val="004F3A3B"/>
    <w:rsid w:val="004F3AB1"/>
    <w:rsid w:val="004F3AD6"/>
    <w:rsid w:val="004F3AF4"/>
    <w:rsid w:val="004F3C30"/>
    <w:rsid w:val="004F3C86"/>
    <w:rsid w:val="004F3CF8"/>
    <w:rsid w:val="004F3CFE"/>
    <w:rsid w:val="004F3D40"/>
    <w:rsid w:val="004F3D9C"/>
    <w:rsid w:val="004F3DF2"/>
    <w:rsid w:val="004F3EF1"/>
    <w:rsid w:val="004F4198"/>
    <w:rsid w:val="004F4266"/>
    <w:rsid w:val="004F4289"/>
    <w:rsid w:val="004F4310"/>
    <w:rsid w:val="004F44BD"/>
    <w:rsid w:val="004F44FB"/>
    <w:rsid w:val="004F4565"/>
    <w:rsid w:val="004F46C2"/>
    <w:rsid w:val="004F4782"/>
    <w:rsid w:val="004F48E4"/>
    <w:rsid w:val="004F4A25"/>
    <w:rsid w:val="004F4B09"/>
    <w:rsid w:val="004F4C59"/>
    <w:rsid w:val="004F4F0A"/>
    <w:rsid w:val="004F5129"/>
    <w:rsid w:val="004F5191"/>
    <w:rsid w:val="004F5228"/>
    <w:rsid w:val="004F530F"/>
    <w:rsid w:val="004F5338"/>
    <w:rsid w:val="004F5455"/>
    <w:rsid w:val="004F5494"/>
    <w:rsid w:val="004F55C5"/>
    <w:rsid w:val="004F5645"/>
    <w:rsid w:val="004F5662"/>
    <w:rsid w:val="004F568F"/>
    <w:rsid w:val="004F576A"/>
    <w:rsid w:val="004F5886"/>
    <w:rsid w:val="004F5A05"/>
    <w:rsid w:val="004F5A6F"/>
    <w:rsid w:val="004F5CCE"/>
    <w:rsid w:val="004F5E93"/>
    <w:rsid w:val="004F5ED6"/>
    <w:rsid w:val="004F607E"/>
    <w:rsid w:val="004F60FA"/>
    <w:rsid w:val="004F6270"/>
    <w:rsid w:val="004F6298"/>
    <w:rsid w:val="004F6473"/>
    <w:rsid w:val="004F656D"/>
    <w:rsid w:val="004F6570"/>
    <w:rsid w:val="004F65B4"/>
    <w:rsid w:val="004F668F"/>
    <w:rsid w:val="004F678A"/>
    <w:rsid w:val="004F67C1"/>
    <w:rsid w:val="004F698B"/>
    <w:rsid w:val="004F6B1F"/>
    <w:rsid w:val="004F6C64"/>
    <w:rsid w:val="004F6CE7"/>
    <w:rsid w:val="004F6D36"/>
    <w:rsid w:val="004F6FF8"/>
    <w:rsid w:val="004F7221"/>
    <w:rsid w:val="004F7299"/>
    <w:rsid w:val="004F72E5"/>
    <w:rsid w:val="004F730A"/>
    <w:rsid w:val="004F7469"/>
    <w:rsid w:val="004F74BC"/>
    <w:rsid w:val="004F754D"/>
    <w:rsid w:val="004F7804"/>
    <w:rsid w:val="004F7953"/>
    <w:rsid w:val="004F7A3E"/>
    <w:rsid w:val="004F7BF1"/>
    <w:rsid w:val="004F7BF7"/>
    <w:rsid w:val="004F7D5F"/>
    <w:rsid w:val="004F7E18"/>
    <w:rsid w:val="004F7E2F"/>
    <w:rsid w:val="004F7ED4"/>
    <w:rsid w:val="00500432"/>
    <w:rsid w:val="00500497"/>
    <w:rsid w:val="0050086B"/>
    <w:rsid w:val="005009C9"/>
    <w:rsid w:val="00500AA1"/>
    <w:rsid w:val="00500BA1"/>
    <w:rsid w:val="00500BF4"/>
    <w:rsid w:val="00500C89"/>
    <w:rsid w:val="00500CA2"/>
    <w:rsid w:val="00500D10"/>
    <w:rsid w:val="00500D1E"/>
    <w:rsid w:val="00500D92"/>
    <w:rsid w:val="005011BB"/>
    <w:rsid w:val="0050120E"/>
    <w:rsid w:val="00501340"/>
    <w:rsid w:val="0050138F"/>
    <w:rsid w:val="0050139F"/>
    <w:rsid w:val="005013A2"/>
    <w:rsid w:val="005014C0"/>
    <w:rsid w:val="0050175D"/>
    <w:rsid w:val="005017B0"/>
    <w:rsid w:val="0050186D"/>
    <w:rsid w:val="005018A2"/>
    <w:rsid w:val="00501B5B"/>
    <w:rsid w:val="00501C21"/>
    <w:rsid w:val="00501D6B"/>
    <w:rsid w:val="00501E4C"/>
    <w:rsid w:val="00501F14"/>
    <w:rsid w:val="00501F24"/>
    <w:rsid w:val="00501FE5"/>
    <w:rsid w:val="005020AB"/>
    <w:rsid w:val="0050227F"/>
    <w:rsid w:val="005022AF"/>
    <w:rsid w:val="005022B0"/>
    <w:rsid w:val="0050240B"/>
    <w:rsid w:val="005024EB"/>
    <w:rsid w:val="0050254B"/>
    <w:rsid w:val="005025A7"/>
    <w:rsid w:val="00502A25"/>
    <w:rsid w:val="00502B04"/>
    <w:rsid w:val="00502C49"/>
    <w:rsid w:val="00502CD3"/>
    <w:rsid w:val="00502D32"/>
    <w:rsid w:val="00502D73"/>
    <w:rsid w:val="00502E90"/>
    <w:rsid w:val="00502ECD"/>
    <w:rsid w:val="00502EEE"/>
    <w:rsid w:val="00502EF4"/>
    <w:rsid w:val="00502FA0"/>
    <w:rsid w:val="005030A7"/>
    <w:rsid w:val="005030AA"/>
    <w:rsid w:val="00503198"/>
    <w:rsid w:val="00503277"/>
    <w:rsid w:val="00503314"/>
    <w:rsid w:val="00503446"/>
    <w:rsid w:val="005034E6"/>
    <w:rsid w:val="0050387B"/>
    <w:rsid w:val="00503910"/>
    <w:rsid w:val="00503977"/>
    <w:rsid w:val="00503CA1"/>
    <w:rsid w:val="00503DA7"/>
    <w:rsid w:val="00503DBD"/>
    <w:rsid w:val="00503E11"/>
    <w:rsid w:val="00503F82"/>
    <w:rsid w:val="00504112"/>
    <w:rsid w:val="00504186"/>
    <w:rsid w:val="005041A3"/>
    <w:rsid w:val="005042A2"/>
    <w:rsid w:val="0050431E"/>
    <w:rsid w:val="00504700"/>
    <w:rsid w:val="00504751"/>
    <w:rsid w:val="00504807"/>
    <w:rsid w:val="00504CA3"/>
    <w:rsid w:val="00504CAF"/>
    <w:rsid w:val="00504F3C"/>
    <w:rsid w:val="00504FF1"/>
    <w:rsid w:val="0050503B"/>
    <w:rsid w:val="005050FB"/>
    <w:rsid w:val="005051CE"/>
    <w:rsid w:val="005051E7"/>
    <w:rsid w:val="005051E9"/>
    <w:rsid w:val="00505249"/>
    <w:rsid w:val="00505329"/>
    <w:rsid w:val="005053FB"/>
    <w:rsid w:val="0050555A"/>
    <w:rsid w:val="00505613"/>
    <w:rsid w:val="0050594C"/>
    <w:rsid w:val="00505A08"/>
    <w:rsid w:val="00505AC4"/>
    <w:rsid w:val="00505B3E"/>
    <w:rsid w:val="00505C13"/>
    <w:rsid w:val="00505E48"/>
    <w:rsid w:val="00506085"/>
    <w:rsid w:val="005061C9"/>
    <w:rsid w:val="005061DD"/>
    <w:rsid w:val="00506219"/>
    <w:rsid w:val="005062C5"/>
    <w:rsid w:val="0050650E"/>
    <w:rsid w:val="005067D8"/>
    <w:rsid w:val="005067EA"/>
    <w:rsid w:val="005067F4"/>
    <w:rsid w:val="00506BCF"/>
    <w:rsid w:val="00506C05"/>
    <w:rsid w:val="00506E9C"/>
    <w:rsid w:val="00506FA7"/>
    <w:rsid w:val="0050714D"/>
    <w:rsid w:val="005071EA"/>
    <w:rsid w:val="005072E1"/>
    <w:rsid w:val="0050744B"/>
    <w:rsid w:val="0050747F"/>
    <w:rsid w:val="0050786A"/>
    <w:rsid w:val="00507890"/>
    <w:rsid w:val="0050791B"/>
    <w:rsid w:val="005079AD"/>
    <w:rsid w:val="005079E4"/>
    <w:rsid w:val="00507BBA"/>
    <w:rsid w:val="00507BF9"/>
    <w:rsid w:val="00507C1A"/>
    <w:rsid w:val="00507C93"/>
    <w:rsid w:val="00507DE2"/>
    <w:rsid w:val="00507E04"/>
    <w:rsid w:val="005101D4"/>
    <w:rsid w:val="0051021C"/>
    <w:rsid w:val="00510291"/>
    <w:rsid w:val="00510495"/>
    <w:rsid w:val="005104AB"/>
    <w:rsid w:val="00510566"/>
    <w:rsid w:val="0051061F"/>
    <w:rsid w:val="005107CD"/>
    <w:rsid w:val="00510BBF"/>
    <w:rsid w:val="00510C87"/>
    <w:rsid w:val="00510DED"/>
    <w:rsid w:val="00510E98"/>
    <w:rsid w:val="00510FB3"/>
    <w:rsid w:val="00511096"/>
    <w:rsid w:val="005110CF"/>
    <w:rsid w:val="00511137"/>
    <w:rsid w:val="00511171"/>
    <w:rsid w:val="005111B2"/>
    <w:rsid w:val="005111BA"/>
    <w:rsid w:val="00511316"/>
    <w:rsid w:val="00511339"/>
    <w:rsid w:val="00511613"/>
    <w:rsid w:val="00511695"/>
    <w:rsid w:val="00511731"/>
    <w:rsid w:val="00511771"/>
    <w:rsid w:val="005117B6"/>
    <w:rsid w:val="005118E0"/>
    <w:rsid w:val="005118FD"/>
    <w:rsid w:val="00511A1B"/>
    <w:rsid w:val="00511B68"/>
    <w:rsid w:val="00511CCC"/>
    <w:rsid w:val="00511D47"/>
    <w:rsid w:val="00511E16"/>
    <w:rsid w:val="00511E1D"/>
    <w:rsid w:val="00511EC6"/>
    <w:rsid w:val="00511F15"/>
    <w:rsid w:val="00511FC4"/>
    <w:rsid w:val="00512066"/>
    <w:rsid w:val="005120BB"/>
    <w:rsid w:val="0051219A"/>
    <w:rsid w:val="00512290"/>
    <w:rsid w:val="0051241D"/>
    <w:rsid w:val="00512448"/>
    <w:rsid w:val="005124E8"/>
    <w:rsid w:val="005124F1"/>
    <w:rsid w:val="0051256C"/>
    <w:rsid w:val="0051262A"/>
    <w:rsid w:val="00512668"/>
    <w:rsid w:val="005126C9"/>
    <w:rsid w:val="005127CF"/>
    <w:rsid w:val="00512829"/>
    <w:rsid w:val="00512839"/>
    <w:rsid w:val="0051298A"/>
    <w:rsid w:val="00512C6B"/>
    <w:rsid w:val="00512C98"/>
    <w:rsid w:val="00512E09"/>
    <w:rsid w:val="00512F55"/>
    <w:rsid w:val="00512F8E"/>
    <w:rsid w:val="00513011"/>
    <w:rsid w:val="0051314A"/>
    <w:rsid w:val="00513231"/>
    <w:rsid w:val="005132C3"/>
    <w:rsid w:val="0051334A"/>
    <w:rsid w:val="0051335D"/>
    <w:rsid w:val="005133E1"/>
    <w:rsid w:val="0051354A"/>
    <w:rsid w:val="005139A6"/>
    <w:rsid w:val="005139CF"/>
    <w:rsid w:val="00513BA5"/>
    <w:rsid w:val="00513EE2"/>
    <w:rsid w:val="005143EE"/>
    <w:rsid w:val="00514536"/>
    <w:rsid w:val="0051487C"/>
    <w:rsid w:val="00514889"/>
    <w:rsid w:val="00514AAB"/>
    <w:rsid w:val="00514AB2"/>
    <w:rsid w:val="00514B41"/>
    <w:rsid w:val="00514BCB"/>
    <w:rsid w:val="00514DB9"/>
    <w:rsid w:val="00514FA7"/>
    <w:rsid w:val="005151E9"/>
    <w:rsid w:val="005153BE"/>
    <w:rsid w:val="00515534"/>
    <w:rsid w:val="00515589"/>
    <w:rsid w:val="005155E8"/>
    <w:rsid w:val="00515686"/>
    <w:rsid w:val="005156D7"/>
    <w:rsid w:val="0051583D"/>
    <w:rsid w:val="0051596E"/>
    <w:rsid w:val="005159CC"/>
    <w:rsid w:val="00515B94"/>
    <w:rsid w:val="00515C73"/>
    <w:rsid w:val="00515D17"/>
    <w:rsid w:val="00515DCF"/>
    <w:rsid w:val="00515F1C"/>
    <w:rsid w:val="005161F0"/>
    <w:rsid w:val="00516311"/>
    <w:rsid w:val="0051646C"/>
    <w:rsid w:val="00516475"/>
    <w:rsid w:val="005164B4"/>
    <w:rsid w:val="005164EF"/>
    <w:rsid w:val="00516712"/>
    <w:rsid w:val="00516732"/>
    <w:rsid w:val="0051679F"/>
    <w:rsid w:val="00516807"/>
    <w:rsid w:val="00516910"/>
    <w:rsid w:val="00516940"/>
    <w:rsid w:val="00516AB9"/>
    <w:rsid w:val="00516BAE"/>
    <w:rsid w:val="00516D4A"/>
    <w:rsid w:val="00517031"/>
    <w:rsid w:val="00517096"/>
    <w:rsid w:val="0051723E"/>
    <w:rsid w:val="005173DE"/>
    <w:rsid w:val="00517472"/>
    <w:rsid w:val="005174AB"/>
    <w:rsid w:val="005174F2"/>
    <w:rsid w:val="00517623"/>
    <w:rsid w:val="00517785"/>
    <w:rsid w:val="005177BE"/>
    <w:rsid w:val="005177D2"/>
    <w:rsid w:val="00517A18"/>
    <w:rsid w:val="00517B84"/>
    <w:rsid w:val="00517C82"/>
    <w:rsid w:val="00517C97"/>
    <w:rsid w:val="00517CF3"/>
    <w:rsid w:val="00517F5F"/>
    <w:rsid w:val="005200CF"/>
    <w:rsid w:val="00520131"/>
    <w:rsid w:val="00520144"/>
    <w:rsid w:val="005201C7"/>
    <w:rsid w:val="00520590"/>
    <w:rsid w:val="00520954"/>
    <w:rsid w:val="00520A6E"/>
    <w:rsid w:val="00520B86"/>
    <w:rsid w:val="00520BEB"/>
    <w:rsid w:val="00520D9F"/>
    <w:rsid w:val="00520E8A"/>
    <w:rsid w:val="00521502"/>
    <w:rsid w:val="005215AB"/>
    <w:rsid w:val="0052180D"/>
    <w:rsid w:val="00521817"/>
    <w:rsid w:val="005218A2"/>
    <w:rsid w:val="005218E6"/>
    <w:rsid w:val="00521C06"/>
    <w:rsid w:val="00521F85"/>
    <w:rsid w:val="00522103"/>
    <w:rsid w:val="00522217"/>
    <w:rsid w:val="005224CB"/>
    <w:rsid w:val="005226BA"/>
    <w:rsid w:val="0052270F"/>
    <w:rsid w:val="005227B9"/>
    <w:rsid w:val="0052287E"/>
    <w:rsid w:val="005229AA"/>
    <w:rsid w:val="00522C0B"/>
    <w:rsid w:val="00522CAA"/>
    <w:rsid w:val="00522D61"/>
    <w:rsid w:val="00522E44"/>
    <w:rsid w:val="00522EDE"/>
    <w:rsid w:val="00522F55"/>
    <w:rsid w:val="00523026"/>
    <w:rsid w:val="005230BC"/>
    <w:rsid w:val="00523288"/>
    <w:rsid w:val="005233B7"/>
    <w:rsid w:val="005233CD"/>
    <w:rsid w:val="005235A5"/>
    <w:rsid w:val="005235BF"/>
    <w:rsid w:val="00523669"/>
    <w:rsid w:val="005237A5"/>
    <w:rsid w:val="005238C8"/>
    <w:rsid w:val="00523ABC"/>
    <w:rsid w:val="00523C5E"/>
    <w:rsid w:val="00523C87"/>
    <w:rsid w:val="00523D5B"/>
    <w:rsid w:val="00523E19"/>
    <w:rsid w:val="00523E2B"/>
    <w:rsid w:val="00523F06"/>
    <w:rsid w:val="00524216"/>
    <w:rsid w:val="0052426E"/>
    <w:rsid w:val="0052448B"/>
    <w:rsid w:val="005245B6"/>
    <w:rsid w:val="00524644"/>
    <w:rsid w:val="005246CC"/>
    <w:rsid w:val="005246E8"/>
    <w:rsid w:val="005246EE"/>
    <w:rsid w:val="00524730"/>
    <w:rsid w:val="00524AE7"/>
    <w:rsid w:val="00524BEA"/>
    <w:rsid w:val="00524C17"/>
    <w:rsid w:val="00524C3F"/>
    <w:rsid w:val="00524D07"/>
    <w:rsid w:val="00524E1A"/>
    <w:rsid w:val="00524E26"/>
    <w:rsid w:val="00524EBC"/>
    <w:rsid w:val="00524EDE"/>
    <w:rsid w:val="00524F37"/>
    <w:rsid w:val="00524FD1"/>
    <w:rsid w:val="0052514E"/>
    <w:rsid w:val="00525247"/>
    <w:rsid w:val="00525339"/>
    <w:rsid w:val="00525454"/>
    <w:rsid w:val="00525490"/>
    <w:rsid w:val="005254BF"/>
    <w:rsid w:val="0052553A"/>
    <w:rsid w:val="005257D3"/>
    <w:rsid w:val="0052591F"/>
    <w:rsid w:val="0052597D"/>
    <w:rsid w:val="00525A30"/>
    <w:rsid w:val="00525A92"/>
    <w:rsid w:val="00525ADD"/>
    <w:rsid w:val="00525BA6"/>
    <w:rsid w:val="00525BED"/>
    <w:rsid w:val="00525C67"/>
    <w:rsid w:val="00525CB2"/>
    <w:rsid w:val="00525E66"/>
    <w:rsid w:val="00525E93"/>
    <w:rsid w:val="00525ECC"/>
    <w:rsid w:val="00525EEB"/>
    <w:rsid w:val="005260ED"/>
    <w:rsid w:val="005264C5"/>
    <w:rsid w:val="00526983"/>
    <w:rsid w:val="005269AE"/>
    <w:rsid w:val="00526C30"/>
    <w:rsid w:val="00526C8C"/>
    <w:rsid w:val="00526CE6"/>
    <w:rsid w:val="005270BD"/>
    <w:rsid w:val="00527157"/>
    <w:rsid w:val="005271C0"/>
    <w:rsid w:val="00527253"/>
    <w:rsid w:val="00527296"/>
    <w:rsid w:val="00527427"/>
    <w:rsid w:val="005276B7"/>
    <w:rsid w:val="0052774F"/>
    <w:rsid w:val="00527839"/>
    <w:rsid w:val="00527845"/>
    <w:rsid w:val="00527BFF"/>
    <w:rsid w:val="00527E71"/>
    <w:rsid w:val="00527E84"/>
    <w:rsid w:val="00527EA4"/>
    <w:rsid w:val="00527F97"/>
    <w:rsid w:val="0053007B"/>
    <w:rsid w:val="00530166"/>
    <w:rsid w:val="0053021F"/>
    <w:rsid w:val="0053048D"/>
    <w:rsid w:val="0053065E"/>
    <w:rsid w:val="00530688"/>
    <w:rsid w:val="005309D1"/>
    <w:rsid w:val="00530AC1"/>
    <w:rsid w:val="00530AF1"/>
    <w:rsid w:val="00530B07"/>
    <w:rsid w:val="00530B13"/>
    <w:rsid w:val="00530B14"/>
    <w:rsid w:val="00530B41"/>
    <w:rsid w:val="00530B7A"/>
    <w:rsid w:val="00530CBF"/>
    <w:rsid w:val="00530D96"/>
    <w:rsid w:val="00530EB6"/>
    <w:rsid w:val="00530FF0"/>
    <w:rsid w:val="0053117F"/>
    <w:rsid w:val="0053125E"/>
    <w:rsid w:val="005312E0"/>
    <w:rsid w:val="00531495"/>
    <w:rsid w:val="00531523"/>
    <w:rsid w:val="00531590"/>
    <w:rsid w:val="005316D6"/>
    <w:rsid w:val="0053176C"/>
    <w:rsid w:val="005317A5"/>
    <w:rsid w:val="00531985"/>
    <w:rsid w:val="00531A11"/>
    <w:rsid w:val="00531AA8"/>
    <w:rsid w:val="00531B44"/>
    <w:rsid w:val="00531CF8"/>
    <w:rsid w:val="00531E24"/>
    <w:rsid w:val="00531E71"/>
    <w:rsid w:val="005320CE"/>
    <w:rsid w:val="0053211C"/>
    <w:rsid w:val="005325D8"/>
    <w:rsid w:val="005326C4"/>
    <w:rsid w:val="0053289C"/>
    <w:rsid w:val="005328E0"/>
    <w:rsid w:val="00532970"/>
    <w:rsid w:val="00532B2B"/>
    <w:rsid w:val="00532C66"/>
    <w:rsid w:val="00532D3B"/>
    <w:rsid w:val="00532F2E"/>
    <w:rsid w:val="00532FD4"/>
    <w:rsid w:val="00532FF6"/>
    <w:rsid w:val="0053306D"/>
    <w:rsid w:val="00533098"/>
    <w:rsid w:val="005330BB"/>
    <w:rsid w:val="00533173"/>
    <w:rsid w:val="005333D5"/>
    <w:rsid w:val="0053349F"/>
    <w:rsid w:val="005336C8"/>
    <w:rsid w:val="005336DD"/>
    <w:rsid w:val="00533C40"/>
    <w:rsid w:val="00533C5E"/>
    <w:rsid w:val="00533C68"/>
    <w:rsid w:val="00533D45"/>
    <w:rsid w:val="00533EB5"/>
    <w:rsid w:val="00534013"/>
    <w:rsid w:val="00534110"/>
    <w:rsid w:val="00534186"/>
    <w:rsid w:val="00534287"/>
    <w:rsid w:val="005342E8"/>
    <w:rsid w:val="0053433A"/>
    <w:rsid w:val="00534483"/>
    <w:rsid w:val="00534563"/>
    <w:rsid w:val="005345AA"/>
    <w:rsid w:val="005346E3"/>
    <w:rsid w:val="00534998"/>
    <w:rsid w:val="00534CF4"/>
    <w:rsid w:val="00534D2B"/>
    <w:rsid w:val="00534D8C"/>
    <w:rsid w:val="00534E84"/>
    <w:rsid w:val="00534F90"/>
    <w:rsid w:val="00534F99"/>
    <w:rsid w:val="005351EA"/>
    <w:rsid w:val="00535369"/>
    <w:rsid w:val="005355AD"/>
    <w:rsid w:val="0053567A"/>
    <w:rsid w:val="005357C1"/>
    <w:rsid w:val="00535865"/>
    <w:rsid w:val="005358FF"/>
    <w:rsid w:val="00535967"/>
    <w:rsid w:val="00535EC4"/>
    <w:rsid w:val="00535FB5"/>
    <w:rsid w:val="00535FC6"/>
    <w:rsid w:val="00536080"/>
    <w:rsid w:val="00536093"/>
    <w:rsid w:val="00536131"/>
    <w:rsid w:val="00536178"/>
    <w:rsid w:val="0053620C"/>
    <w:rsid w:val="005362C2"/>
    <w:rsid w:val="005363BA"/>
    <w:rsid w:val="00536616"/>
    <w:rsid w:val="00536674"/>
    <w:rsid w:val="00536740"/>
    <w:rsid w:val="0053680E"/>
    <w:rsid w:val="00536854"/>
    <w:rsid w:val="005368BB"/>
    <w:rsid w:val="00536A07"/>
    <w:rsid w:val="00536B43"/>
    <w:rsid w:val="00536D29"/>
    <w:rsid w:val="0053715B"/>
    <w:rsid w:val="00537168"/>
    <w:rsid w:val="0053716B"/>
    <w:rsid w:val="0053724A"/>
    <w:rsid w:val="00537275"/>
    <w:rsid w:val="005372E0"/>
    <w:rsid w:val="005373F4"/>
    <w:rsid w:val="0053762C"/>
    <w:rsid w:val="00537665"/>
    <w:rsid w:val="005379A2"/>
    <w:rsid w:val="00537AE3"/>
    <w:rsid w:val="00537CAD"/>
    <w:rsid w:val="00540195"/>
    <w:rsid w:val="005401B8"/>
    <w:rsid w:val="005401B9"/>
    <w:rsid w:val="00540525"/>
    <w:rsid w:val="0054055E"/>
    <w:rsid w:val="005405E2"/>
    <w:rsid w:val="00540C29"/>
    <w:rsid w:val="00540C59"/>
    <w:rsid w:val="00540D6A"/>
    <w:rsid w:val="00540F3B"/>
    <w:rsid w:val="00540F47"/>
    <w:rsid w:val="00540FF0"/>
    <w:rsid w:val="005411EE"/>
    <w:rsid w:val="005412C1"/>
    <w:rsid w:val="00541393"/>
    <w:rsid w:val="005415D7"/>
    <w:rsid w:val="005416F4"/>
    <w:rsid w:val="0054188A"/>
    <w:rsid w:val="00541A1C"/>
    <w:rsid w:val="00541AB8"/>
    <w:rsid w:val="00541AEF"/>
    <w:rsid w:val="00541BB4"/>
    <w:rsid w:val="00541C44"/>
    <w:rsid w:val="00541D0A"/>
    <w:rsid w:val="00541D2E"/>
    <w:rsid w:val="00541DDE"/>
    <w:rsid w:val="00541E1A"/>
    <w:rsid w:val="00541E7F"/>
    <w:rsid w:val="00541F58"/>
    <w:rsid w:val="00542349"/>
    <w:rsid w:val="0054245A"/>
    <w:rsid w:val="005425FE"/>
    <w:rsid w:val="005426A5"/>
    <w:rsid w:val="0054286F"/>
    <w:rsid w:val="0054289B"/>
    <w:rsid w:val="005429B6"/>
    <w:rsid w:val="005429E2"/>
    <w:rsid w:val="00542A20"/>
    <w:rsid w:val="00542AF3"/>
    <w:rsid w:val="00542BFA"/>
    <w:rsid w:val="0054302D"/>
    <w:rsid w:val="00543030"/>
    <w:rsid w:val="005430D3"/>
    <w:rsid w:val="00543477"/>
    <w:rsid w:val="0054371C"/>
    <w:rsid w:val="005437BB"/>
    <w:rsid w:val="00543C76"/>
    <w:rsid w:val="00543D99"/>
    <w:rsid w:val="00543EDB"/>
    <w:rsid w:val="00544093"/>
    <w:rsid w:val="005440C3"/>
    <w:rsid w:val="00544196"/>
    <w:rsid w:val="00544370"/>
    <w:rsid w:val="005444AA"/>
    <w:rsid w:val="00544522"/>
    <w:rsid w:val="00544559"/>
    <w:rsid w:val="00544637"/>
    <w:rsid w:val="00544662"/>
    <w:rsid w:val="00544735"/>
    <w:rsid w:val="00544806"/>
    <w:rsid w:val="00544983"/>
    <w:rsid w:val="00544996"/>
    <w:rsid w:val="005449C1"/>
    <w:rsid w:val="00544A22"/>
    <w:rsid w:val="00544BC4"/>
    <w:rsid w:val="00544BF7"/>
    <w:rsid w:val="00544D90"/>
    <w:rsid w:val="00544DA6"/>
    <w:rsid w:val="00544E9D"/>
    <w:rsid w:val="00544EAF"/>
    <w:rsid w:val="00544F16"/>
    <w:rsid w:val="00545174"/>
    <w:rsid w:val="00545270"/>
    <w:rsid w:val="005452E9"/>
    <w:rsid w:val="00545314"/>
    <w:rsid w:val="0054546A"/>
    <w:rsid w:val="005455C4"/>
    <w:rsid w:val="00545622"/>
    <w:rsid w:val="0054582A"/>
    <w:rsid w:val="00545B1B"/>
    <w:rsid w:val="00545BD8"/>
    <w:rsid w:val="00545BE4"/>
    <w:rsid w:val="00545C30"/>
    <w:rsid w:val="00545D41"/>
    <w:rsid w:val="00545EC5"/>
    <w:rsid w:val="00545FE8"/>
    <w:rsid w:val="005462DB"/>
    <w:rsid w:val="00546347"/>
    <w:rsid w:val="005463B6"/>
    <w:rsid w:val="005463F4"/>
    <w:rsid w:val="00546451"/>
    <w:rsid w:val="00546458"/>
    <w:rsid w:val="005465C8"/>
    <w:rsid w:val="005467FB"/>
    <w:rsid w:val="005468CA"/>
    <w:rsid w:val="00546922"/>
    <w:rsid w:val="00546A14"/>
    <w:rsid w:val="00546A65"/>
    <w:rsid w:val="00546AED"/>
    <w:rsid w:val="00546AF0"/>
    <w:rsid w:val="00546C78"/>
    <w:rsid w:val="00546CE2"/>
    <w:rsid w:val="00546DF1"/>
    <w:rsid w:val="00546E3B"/>
    <w:rsid w:val="00546F79"/>
    <w:rsid w:val="005470C3"/>
    <w:rsid w:val="005470FB"/>
    <w:rsid w:val="00547146"/>
    <w:rsid w:val="005472A9"/>
    <w:rsid w:val="005472C0"/>
    <w:rsid w:val="0054743D"/>
    <w:rsid w:val="00547489"/>
    <w:rsid w:val="005474A0"/>
    <w:rsid w:val="00547598"/>
    <w:rsid w:val="005475C2"/>
    <w:rsid w:val="005477DD"/>
    <w:rsid w:val="005477F2"/>
    <w:rsid w:val="0054787A"/>
    <w:rsid w:val="00547B14"/>
    <w:rsid w:val="00547F0E"/>
    <w:rsid w:val="00547F65"/>
    <w:rsid w:val="005500C3"/>
    <w:rsid w:val="00550115"/>
    <w:rsid w:val="00550125"/>
    <w:rsid w:val="005502BF"/>
    <w:rsid w:val="0055033D"/>
    <w:rsid w:val="005503FA"/>
    <w:rsid w:val="00550466"/>
    <w:rsid w:val="00550513"/>
    <w:rsid w:val="00550542"/>
    <w:rsid w:val="005506D3"/>
    <w:rsid w:val="0055080B"/>
    <w:rsid w:val="00550A6C"/>
    <w:rsid w:val="00550A70"/>
    <w:rsid w:val="00550B5B"/>
    <w:rsid w:val="00550E5A"/>
    <w:rsid w:val="00550E69"/>
    <w:rsid w:val="00550F99"/>
    <w:rsid w:val="00551009"/>
    <w:rsid w:val="0055103B"/>
    <w:rsid w:val="005510DA"/>
    <w:rsid w:val="00551164"/>
    <w:rsid w:val="005511F3"/>
    <w:rsid w:val="005512F4"/>
    <w:rsid w:val="00551444"/>
    <w:rsid w:val="0055155F"/>
    <w:rsid w:val="0055176F"/>
    <w:rsid w:val="005518E1"/>
    <w:rsid w:val="00551A23"/>
    <w:rsid w:val="00551C0D"/>
    <w:rsid w:val="00551C95"/>
    <w:rsid w:val="00551ED0"/>
    <w:rsid w:val="00551F39"/>
    <w:rsid w:val="00552086"/>
    <w:rsid w:val="0055208A"/>
    <w:rsid w:val="0055210D"/>
    <w:rsid w:val="005521B5"/>
    <w:rsid w:val="005521C5"/>
    <w:rsid w:val="005521F8"/>
    <w:rsid w:val="005522B5"/>
    <w:rsid w:val="005522C0"/>
    <w:rsid w:val="005522C1"/>
    <w:rsid w:val="005522D2"/>
    <w:rsid w:val="00552452"/>
    <w:rsid w:val="005525B4"/>
    <w:rsid w:val="005525EC"/>
    <w:rsid w:val="00552779"/>
    <w:rsid w:val="0055278D"/>
    <w:rsid w:val="005527C8"/>
    <w:rsid w:val="00552856"/>
    <w:rsid w:val="0055289F"/>
    <w:rsid w:val="00552922"/>
    <w:rsid w:val="0055297C"/>
    <w:rsid w:val="00552A3F"/>
    <w:rsid w:val="00552B39"/>
    <w:rsid w:val="00552CBB"/>
    <w:rsid w:val="00552D8F"/>
    <w:rsid w:val="00552DA8"/>
    <w:rsid w:val="0055319A"/>
    <w:rsid w:val="005534A8"/>
    <w:rsid w:val="005535D8"/>
    <w:rsid w:val="0055367E"/>
    <w:rsid w:val="00553684"/>
    <w:rsid w:val="0055368D"/>
    <w:rsid w:val="00553866"/>
    <w:rsid w:val="005539C4"/>
    <w:rsid w:val="00553A00"/>
    <w:rsid w:val="00553A2B"/>
    <w:rsid w:val="00553E1D"/>
    <w:rsid w:val="00553E53"/>
    <w:rsid w:val="00553E60"/>
    <w:rsid w:val="00554152"/>
    <w:rsid w:val="0055425A"/>
    <w:rsid w:val="005544A9"/>
    <w:rsid w:val="005545CB"/>
    <w:rsid w:val="00554654"/>
    <w:rsid w:val="00554B33"/>
    <w:rsid w:val="00554D62"/>
    <w:rsid w:val="00554E7D"/>
    <w:rsid w:val="00554F67"/>
    <w:rsid w:val="00554FB5"/>
    <w:rsid w:val="00554FE2"/>
    <w:rsid w:val="005551FB"/>
    <w:rsid w:val="0055534F"/>
    <w:rsid w:val="00555486"/>
    <w:rsid w:val="005555FE"/>
    <w:rsid w:val="005556C2"/>
    <w:rsid w:val="005557F6"/>
    <w:rsid w:val="005559DB"/>
    <w:rsid w:val="00555A03"/>
    <w:rsid w:val="00555A42"/>
    <w:rsid w:val="00555B36"/>
    <w:rsid w:val="00555BF6"/>
    <w:rsid w:val="00555C4C"/>
    <w:rsid w:val="00555D52"/>
    <w:rsid w:val="00555E6B"/>
    <w:rsid w:val="00555E91"/>
    <w:rsid w:val="00555FD8"/>
    <w:rsid w:val="0055616D"/>
    <w:rsid w:val="0055639A"/>
    <w:rsid w:val="00556621"/>
    <w:rsid w:val="00556710"/>
    <w:rsid w:val="00556842"/>
    <w:rsid w:val="0055699A"/>
    <w:rsid w:val="00556A02"/>
    <w:rsid w:val="00556BFE"/>
    <w:rsid w:val="00556C8A"/>
    <w:rsid w:val="00556EFD"/>
    <w:rsid w:val="00556F50"/>
    <w:rsid w:val="00557037"/>
    <w:rsid w:val="00557145"/>
    <w:rsid w:val="0055733D"/>
    <w:rsid w:val="00557358"/>
    <w:rsid w:val="005573B2"/>
    <w:rsid w:val="00557440"/>
    <w:rsid w:val="00557489"/>
    <w:rsid w:val="005574F1"/>
    <w:rsid w:val="005575C7"/>
    <w:rsid w:val="005576E5"/>
    <w:rsid w:val="005578C4"/>
    <w:rsid w:val="005578CE"/>
    <w:rsid w:val="00557947"/>
    <w:rsid w:val="00557A1D"/>
    <w:rsid w:val="00557B13"/>
    <w:rsid w:val="00557BD3"/>
    <w:rsid w:val="00557D5E"/>
    <w:rsid w:val="00560016"/>
    <w:rsid w:val="0056002E"/>
    <w:rsid w:val="0056010C"/>
    <w:rsid w:val="00560299"/>
    <w:rsid w:val="00560522"/>
    <w:rsid w:val="00560680"/>
    <w:rsid w:val="0056068E"/>
    <w:rsid w:val="0056095A"/>
    <w:rsid w:val="00560D28"/>
    <w:rsid w:val="00560E45"/>
    <w:rsid w:val="00560EDB"/>
    <w:rsid w:val="005610F3"/>
    <w:rsid w:val="00561120"/>
    <w:rsid w:val="00561379"/>
    <w:rsid w:val="00561399"/>
    <w:rsid w:val="00561455"/>
    <w:rsid w:val="0056148B"/>
    <w:rsid w:val="0056156D"/>
    <w:rsid w:val="00561720"/>
    <w:rsid w:val="005617AC"/>
    <w:rsid w:val="005617F6"/>
    <w:rsid w:val="005618FF"/>
    <w:rsid w:val="005619E0"/>
    <w:rsid w:val="00561A41"/>
    <w:rsid w:val="00561BA6"/>
    <w:rsid w:val="00561C15"/>
    <w:rsid w:val="00561D81"/>
    <w:rsid w:val="00562044"/>
    <w:rsid w:val="00562177"/>
    <w:rsid w:val="0056292E"/>
    <w:rsid w:val="00562C33"/>
    <w:rsid w:val="00562C8B"/>
    <w:rsid w:val="00562DEE"/>
    <w:rsid w:val="00562F03"/>
    <w:rsid w:val="005630BB"/>
    <w:rsid w:val="00563264"/>
    <w:rsid w:val="0056329D"/>
    <w:rsid w:val="00563377"/>
    <w:rsid w:val="005635A4"/>
    <w:rsid w:val="005636E8"/>
    <w:rsid w:val="00563796"/>
    <w:rsid w:val="005638BF"/>
    <w:rsid w:val="005638F1"/>
    <w:rsid w:val="00563A83"/>
    <w:rsid w:val="00563B75"/>
    <w:rsid w:val="00563C1C"/>
    <w:rsid w:val="00563C99"/>
    <w:rsid w:val="00563D8E"/>
    <w:rsid w:val="00563ED7"/>
    <w:rsid w:val="005640D9"/>
    <w:rsid w:val="00564271"/>
    <w:rsid w:val="0056432D"/>
    <w:rsid w:val="005644EE"/>
    <w:rsid w:val="0056472B"/>
    <w:rsid w:val="0056497F"/>
    <w:rsid w:val="0056498D"/>
    <w:rsid w:val="00564A4A"/>
    <w:rsid w:val="00564C6B"/>
    <w:rsid w:val="00564C9B"/>
    <w:rsid w:val="00564FEE"/>
    <w:rsid w:val="0056523D"/>
    <w:rsid w:val="005652DB"/>
    <w:rsid w:val="00565338"/>
    <w:rsid w:val="00565352"/>
    <w:rsid w:val="00565552"/>
    <w:rsid w:val="00565898"/>
    <w:rsid w:val="005658E8"/>
    <w:rsid w:val="0056591B"/>
    <w:rsid w:val="00565B81"/>
    <w:rsid w:val="00565B82"/>
    <w:rsid w:val="00565EAC"/>
    <w:rsid w:val="00566035"/>
    <w:rsid w:val="005660BE"/>
    <w:rsid w:val="00566117"/>
    <w:rsid w:val="00566145"/>
    <w:rsid w:val="005663B6"/>
    <w:rsid w:val="00566414"/>
    <w:rsid w:val="005666A7"/>
    <w:rsid w:val="005668BD"/>
    <w:rsid w:val="005668DB"/>
    <w:rsid w:val="005669C4"/>
    <w:rsid w:val="00566A80"/>
    <w:rsid w:val="00566AD6"/>
    <w:rsid w:val="00566DB6"/>
    <w:rsid w:val="00566F30"/>
    <w:rsid w:val="005671D1"/>
    <w:rsid w:val="0056727C"/>
    <w:rsid w:val="005672FF"/>
    <w:rsid w:val="005674E7"/>
    <w:rsid w:val="005674EE"/>
    <w:rsid w:val="0056774E"/>
    <w:rsid w:val="005678BF"/>
    <w:rsid w:val="0056792E"/>
    <w:rsid w:val="00567A32"/>
    <w:rsid w:val="00567A40"/>
    <w:rsid w:val="00567B8B"/>
    <w:rsid w:val="00567C2C"/>
    <w:rsid w:val="00567C7B"/>
    <w:rsid w:val="00567D27"/>
    <w:rsid w:val="00567DFB"/>
    <w:rsid w:val="00567FC1"/>
    <w:rsid w:val="0057009F"/>
    <w:rsid w:val="0057018B"/>
    <w:rsid w:val="0057025A"/>
    <w:rsid w:val="005702A5"/>
    <w:rsid w:val="005704D5"/>
    <w:rsid w:val="00570558"/>
    <w:rsid w:val="0057059A"/>
    <w:rsid w:val="005706FF"/>
    <w:rsid w:val="005707EB"/>
    <w:rsid w:val="0057088B"/>
    <w:rsid w:val="00570890"/>
    <w:rsid w:val="005709A2"/>
    <w:rsid w:val="005709DD"/>
    <w:rsid w:val="00570D4C"/>
    <w:rsid w:val="00570F99"/>
    <w:rsid w:val="00570FF9"/>
    <w:rsid w:val="00571046"/>
    <w:rsid w:val="00571048"/>
    <w:rsid w:val="0057112A"/>
    <w:rsid w:val="0057117F"/>
    <w:rsid w:val="0057136F"/>
    <w:rsid w:val="0057147D"/>
    <w:rsid w:val="00571487"/>
    <w:rsid w:val="0057148B"/>
    <w:rsid w:val="005714AF"/>
    <w:rsid w:val="005714B6"/>
    <w:rsid w:val="0057164D"/>
    <w:rsid w:val="00571700"/>
    <w:rsid w:val="005717A7"/>
    <w:rsid w:val="00571878"/>
    <w:rsid w:val="00571990"/>
    <w:rsid w:val="00571A0B"/>
    <w:rsid w:val="00571A57"/>
    <w:rsid w:val="00571B3B"/>
    <w:rsid w:val="00571BAF"/>
    <w:rsid w:val="00571BE3"/>
    <w:rsid w:val="00571C85"/>
    <w:rsid w:val="00571D81"/>
    <w:rsid w:val="00571E71"/>
    <w:rsid w:val="00571F59"/>
    <w:rsid w:val="00571FFA"/>
    <w:rsid w:val="00572149"/>
    <w:rsid w:val="00572299"/>
    <w:rsid w:val="00572313"/>
    <w:rsid w:val="00572429"/>
    <w:rsid w:val="0057252E"/>
    <w:rsid w:val="005727B9"/>
    <w:rsid w:val="00572A81"/>
    <w:rsid w:val="00572AAA"/>
    <w:rsid w:val="00572B7C"/>
    <w:rsid w:val="00572C74"/>
    <w:rsid w:val="00572E57"/>
    <w:rsid w:val="00572F73"/>
    <w:rsid w:val="00572FA7"/>
    <w:rsid w:val="0057318A"/>
    <w:rsid w:val="0057325D"/>
    <w:rsid w:val="00573283"/>
    <w:rsid w:val="00573324"/>
    <w:rsid w:val="00573463"/>
    <w:rsid w:val="00573573"/>
    <w:rsid w:val="005735C4"/>
    <w:rsid w:val="005735DA"/>
    <w:rsid w:val="00573767"/>
    <w:rsid w:val="005739E5"/>
    <w:rsid w:val="00573A86"/>
    <w:rsid w:val="00573AB0"/>
    <w:rsid w:val="00573AFE"/>
    <w:rsid w:val="00573B54"/>
    <w:rsid w:val="00573C08"/>
    <w:rsid w:val="00573E84"/>
    <w:rsid w:val="00573EF9"/>
    <w:rsid w:val="00573F53"/>
    <w:rsid w:val="00574152"/>
    <w:rsid w:val="0057416A"/>
    <w:rsid w:val="005741B8"/>
    <w:rsid w:val="00574650"/>
    <w:rsid w:val="0057465A"/>
    <w:rsid w:val="005748EE"/>
    <w:rsid w:val="0057494D"/>
    <w:rsid w:val="005749D5"/>
    <w:rsid w:val="00574ADD"/>
    <w:rsid w:val="00574B58"/>
    <w:rsid w:val="00574D61"/>
    <w:rsid w:val="00574D8D"/>
    <w:rsid w:val="00574F85"/>
    <w:rsid w:val="005752DC"/>
    <w:rsid w:val="005753F8"/>
    <w:rsid w:val="005754EE"/>
    <w:rsid w:val="00575550"/>
    <w:rsid w:val="00575671"/>
    <w:rsid w:val="00575750"/>
    <w:rsid w:val="005757D2"/>
    <w:rsid w:val="005757E4"/>
    <w:rsid w:val="00575A02"/>
    <w:rsid w:val="00575B02"/>
    <w:rsid w:val="00575B08"/>
    <w:rsid w:val="00575C13"/>
    <w:rsid w:val="00575CD3"/>
    <w:rsid w:val="00575D24"/>
    <w:rsid w:val="00575FAC"/>
    <w:rsid w:val="0057602F"/>
    <w:rsid w:val="00576042"/>
    <w:rsid w:val="0057611E"/>
    <w:rsid w:val="00576197"/>
    <w:rsid w:val="0057631E"/>
    <w:rsid w:val="005763B8"/>
    <w:rsid w:val="00576832"/>
    <w:rsid w:val="005768DB"/>
    <w:rsid w:val="00576A93"/>
    <w:rsid w:val="00576BC0"/>
    <w:rsid w:val="00576C13"/>
    <w:rsid w:val="00576D01"/>
    <w:rsid w:val="00576D7C"/>
    <w:rsid w:val="00576DED"/>
    <w:rsid w:val="00576E11"/>
    <w:rsid w:val="00576F13"/>
    <w:rsid w:val="00576F93"/>
    <w:rsid w:val="005771E7"/>
    <w:rsid w:val="0057724C"/>
    <w:rsid w:val="005772C1"/>
    <w:rsid w:val="00577627"/>
    <w:rsid w:val="00577699"/>
    <w:rsid w:val="005776D0"/>
    <w:rsid w:val="00577794"/>
    <w:rsid w:val="00577874"/>
    <w:rsid w:val="005778F0"/>
    <w:rsid w:val="005779A1"/>
    <w:rsid w:val="005779E9"/>
    <w:rsid w:val="00577B62"/>
    <w:rsid w:val="00577B92"/>
    <w:rsid w:val="00577CE5"/>
    <w:rsid w:val="00577F55"/>
    <w:rsid w:val="005800B1"/>
    <w:rsid w:val="00580162"/>
    <w:rsid w:val="00580313"/>
    <w:rsid w:val="005803C6"/>
    <w:rsid w:val="00580410"/>
    <w:rsid w:val="0058052D"/>
    <w:rsid w:val="00580562"/>
    <w:rsid w:val="0058063C"/>
    <w:rsid w:val="00580650"/>
    <w:rsid w:val="00580672"/>
    <w:rsid w:val="0058076B"/>
    <w:rsid w:val="00580A5E"/>
    <w:rsid w:val="00580A75"/>
    <w:rsid w:val="00580AE1"/>
    <w:rsid w:val="00580DC0"/>
    <w:rsid w:val="00580ED9"/>
    <w:rsid w:val="005812AC"/>
    <w:rsid w:val="005813C2"/>
    <w:rsid w:val="005813CC"/>
    <w:rsid w:val="005814D6"/>
    <w:rsid w:val="00581543"/>
    <w:rsid w:val="0058172D"/>
    <w:rsid w:val="00581944"/>
    <w:rsid w:val="00581A35"/>
    <w:rsid w:val="00581BE5"/>
    <w:rsid w:val="00581E25"/>
    <w:rsid w:val="00581F47"/>
    <w:rsid w:val="0058219F"/>
    <w:rsid w:val="00582340"/>
    <w:rsid w:val="0058234E"/>
    <w:rsid w:val="005823E4"/>
    <w:rsid w:val="0058255A"/>
    <w:rsid w:val="005825FB"/>
    <w:rsid w:val="00582681"/>
    <w:rsid w:val="0058292C"/>
    <w:rsid w:val="00582B02"/>
    <w:rsid w:val="00582B47"/>
    <w:rsid w:val="00582CDB"/>
    <w:rsid w:val="00582DB5"/>
    <w:rsid w:val="00582ECB"/>
    <w:rsid w:val="00582FD4"/>
    <w:rsid w:val="005830FD"/>
    <w:rsid w:val="00583129"/>
    <w:rsid w:val="005832AB"/>
    <w:rsid w:val="0058334E"/>
    <w:rsid w:val="0058338D"/>
    <w:rsid w:val="005833A8"/>
    <w:rsid w:val="005833B3"/>
    <w:rsid w:val="005834E3"/>
    <w:rsid w:val="00583639"/>
    <w:rsid w:val="00583713"/>
    <w:rsid w:val="0058377A"/>
    <w:rsid w:val="005838A5"/>
    <w:rsid w:val="005838A7"/>
    <w:rsid w:val="0058393D"/>
    <w:rsid w:val="00583A4A"/>
    <w:rsid w:val="00583E64"/>
    <w:rsid w:val="00584024"/>
    <w:rsid w:val="00584265"/>
    <w:rsid w:val="0058427F"/>
    <w:rsid w:val="0058428D"/>
    <w:rsid w:val="005842AB"/>
    <w:rsid w:val="0058445A"/>
    <w:rsid w:val="00584894"/>
    <w:rsid w:val="00584AC7"/>
    <w:rsid w:val="00584B2C"/>
    <w:rsid w:val="00584B5F"/>
    <w:rsid w:val="00584B6F"/>
    <w:rsid w:val="00584D6B"/>
    <w:rsid w:val="00584E8E"/>
    <w:rsid w:val="00584F15"/>
    <w:rsid w:val="005850DB"/>
    <w:rsid w:val="005850EA"/>
    <w:rsid w:val="00585115"/>
    <w:rsid w:val="00585185"/>
    <w:rsid w:val="005851A8"/>
    <w:rsid w:val="005854BB"/>
    <w:rsid w:val="00585685"/>
    <w:rsid w:val="0058592E"/>
    <w:rsid w:val="0058593A"/>
    <w:rsid w:val="00585B32"/>
    <w:rsid w:val="00585B92"/>
    <w:rsid w:val="00585C12"/>
    <w:rsid w:val="00585D58"/>
    <w:rsid w:val="00585E27"/>
    <w:rsid w:val="0058651C"/>
    <w:rsid w:val="00586533"/>
    <w:rsid w:val="0058655F"/>
    <w:rsid w:val="0058659D"/>
    <w:rsid w:val="00586857"/>
    <w:rsid w:val="00586866"/>
    <w:rsid w:val="005868BC"/>
    <w:rsid w:val="00586961"/>
    <w:rsid w:val="00586975"/>
    <w:rsid w:val="00586B6B"/>
    <w:rsid w:val="00586BC4"/>
    <w:rsid w:val="00586DB2"/>
    <w:rsid w:val="00586DC0"/>
    <w:rsid w:val="00586DEC"/>
    <w:rsid w:val="00586F68"/>
    <w:rsid w:val="00586FF8"/>
    <w:rsid w:val="00587042"/>
    <w:rsid w:val="00587117"/>
    <w:rsid w:val="00587172"/>
    <w:rsid w:val="00587204"/>
    <w:rsid w:val="005874CD"/>
    <w:rsid w:val="00587546"/>
    <w:rsid w:val="00587729"/>
    <w:rsid w:val="005877DC"/>
    <w:rsid w:val="00587883"/>
    <w:rsid w:val="00587933"/>
    <w:rsid w:val="00587998"/>
    <w:rsid w:val="00587A4C"/>
    <w:rsid w:val="00587AA4"/>
    <w:rsid w:val="00587ACA"/>
    <w:rsid w:val="00587C54"/>
    <w:rsid w:val="00587C5F"/>
    <w:rsid w:val="00587C60"/>
    <w:rsid w:val="00587E7C"/>
    <w:rsid w:val="00587E8B"/>
    <w:rsid w:val="00590071"/>
    <w:rsid w:val="005900DC"/>
    <w:rsid w:val="00590158"/>
    <w:rsid w:val="0059016A"/>
    <w:rsid w:val="0059023E"/>
    <w:rsid w:val="0059034F"/>
    <w:rsid w:val="00590569"/>
    <w:rsid w:val="005905B3"/>
    <w:rsid w:val="00590656"/>
    <w:rsid w:val="0059078A"/>
    <w:rsid w:val="005909B1"/>
    <w:rsid w:val="00590A72"/>
    <w:rsid w:val="00590AF5"/>
    <w:rsid w:val="00590B18"/>
    <w:rsid w:val="00590BB5"/>
    <w:rsid w:val="00590BD8"/>
    <w:rsid w:val="00590E78"/>
    <w:rsid w:val="00590F91"/>
    <w:rsid w:val="00591078"/>
    <w:rsid w:val="0059135F"/>
    <w:rsid w:val="0059144F"/>
    <w:rsid w:val="0059147A"/>
    <w:rsid w:val="00591716"/>
    <w:rsid w:val="00591724"/>
    <w:rsid w:val="00591936"/>
    <w:rsid w:val="00591AD8"/>
    <w:rsid w:val="00591BA6"/>
    <w:rsid w:val="005920C4"/>
    <w:rsid w:val="0059211C"/>
    <w:rsid w:val="00592144"/>
    <w:rsid w:val="005921A4"/>
    <w:rsid w:val="005921E8"/>
    <w:rsid w:val="0059233F"/>
    <w:rsid w:val="0059248C"/>
    <w:rsid w:val="005924F4"/>
    <w:rsid w:val="00592579"/>
    <w:rsid w:val="005925A0"/>
    <w:rsid w:val="005925E8"/>
    <w:rsid w:val="005925EE"/>
    <w:rsid w:val="005927E8"/>
    <w:rsid w:val="00592A96"/>
    <w:rsid w:val="00592B2F"/>
    <w:rsid w:val="00592C4E"/>
    <w:rsid w:val="00592E11"/>
    <w:rsid w:val="00592E77"/>
    <w:rsid w:val="00592EEF"/>
    <w:rsid w:val="0059304B"/>
    <w:rsid w:val="0059312E"/>
    <w:rsid w:val="0059314B"/>
    <w:rsid w:val="00593245"/>
    <w:rsid w:val="005934C4"/>
    <w:rsid w:val="005934FB"/>
    <w:rsid w:val="0059352C"/>
    <w:rsid w:val="00593579"/>
    <w:rsid w:val="00593582"/>
    <w:rsid w:val="005935B9"/>
    <w:rsid w:val="0059366C"/>
    <w:rsid w:val="005937C0"/>
    <w:rsid w:val="005938A7"/>
    <w:rsid w:val="00593952"/>
    <w:rsid w:val="00593971"/>
    <w:rsid w:val="005939A8"/>
    <w:rsid w:val="00593B6E"/>
    <w:rsid w:val="00593B82"/>
    <w:rsid w:val="00593BC4"/>
    <w:rsid w:val="00593C29"/>
    <w:rsid w:val="00593D5A"/>
    <w:rsid w:val="00593DF6"/>
    <w:rsid w:val="00593E4D"/>
    <w:rsid w:val="00593F1F"/>
    <w:rsid w:val="00593FF7"/>
    <w:rsid w:val="00594137"/>
    <w:rsid w:val="00594224"/>
    <w:rsid w:val="005942D5"/>
    <w:rsid w:val="00594378"/>
    <w:rsid w:val="00594384"/>
    <w:rsid w:val="00594622"/>
    <w:rsid w:val="00594684"/>
    <w:rsid w:val="005947C6"/>
    <w:rsid w:val="005947F3"/>
    <w:rsid w:val="005949C1"/>
    <w:rsid w:val="00594AB0"/>
    <w:rsid w:val="00594BB7"/>
    <w:rsid w:val="00594BED"/>
    <w:rsid w:val="00594CBB"/>
    <w:rsid w:val="00594F4A"/>
    <w:rsid w:val="00595052"/>
    <w:rsid w:val="00595176"/>
    <w:rsid w:val="0059522C"/>
    <w:rsid w:val="005954B0"/>
    <w:rsid w:val="005956E5"/>
    <w:rsid w:val="005956FC"/>
    <w:rsid w:val="005957BB"/>
    <w:rsid w:val="00595B1F"/>
    <w:rsid w:val="00595B61"/>
    <w:rsid w:val="00595C7D"/>
    <w:rsid w:val="00595D93"/>
    <w:rsid w:val="00595EE6"/>
    <w:rsid w:val="00596116"/>
    <w:rsid w:val="005961BC"/>
    <w:rsid w:val="00596332"/>
    <w:rsid w:val="00596352"/>
    <w:rsid w:val="005963F6"/>
    <w:rsid w:val="00596642"/>
    <w:rsid w:val="00596717"/>
    <w:rsid w:val="0059676E"/>
    <w:rsid w:val="00596804"/>
    <w:rsid w:val="005968D2"/>
    <w:rsid w:val="005969CA"/>
    <w:rsid w:val="00596B38"/>
    <w:rsid w:val="00596B74"/>
    <w:rsid w:val="00596EE8"/>
    <w:rsid w:val="00596EEF"/>
    <w:rsid w:val="00596F10"/>
    <w:rsid w:val="00596FD3"/>
    <w:rsid w:val="00597318"/>
    <w:rsid w:val="0059734D"/>
    <w:rsid w:val="0059737B"/>
    <w:rsid w:val="005973FB"/>
    <w:rsid w:val="005974DB"/>
    <w:rsid w:val="00597625"/>
    <w:rsid w:val="005976EC"/>
    <w:rsid w:val="005979CD"/>
    <w:rsid w:val="005979E4"/>
    <w:rsid w:val="00597B7C"/>
    <w:rsid w:val="00597C36"/>
    <w:rsid w:val="00597CD4"/>
    <w:rsid w:val="00597E5F"/>
    <w:rsid w:val="005A0114"/>
    <w:rsid w:val="005A0143"/>
    <w:rsid w:val="005A01B9"/>
    <w:rsid w:val="005A02F3"/>
    <w:rsid w:val="005A04A0"/>
    <w:rsid w:val="005A05A2"/>
    <w:rsid w:val="005A05FE"/>
    <w:rsid w:val="005A078B"/>
    <w:rsid w:val="005A07AC"/>
    <w:rsid w:val="005A08C1"/>
    <w:rsid w:val="005A0C49"/>
    <w:rsid w:val="005A0CEB"/>
    <w:rsid w:val="005A0E48"/>
    <w:rsid w:val="005A0E64"/>
    <w:rsid w:val="005A0EA3"/>
    <w:rsid w:val="005A0F33"/>
    <w:rsid w:val="005A0FA2"/>
    <w:rsid w:val="005A11D0"/>
    <w:rsid w:val="005A11F0"/>
    <w:rsid w:val="005A1235"/>
    <w:rsid w:val="005A12C1"/>
    <w:rsid w:val="005A1347"/>
    <w:rsid w:val="005A136C"/>
    <w:rsid w:val="005A13D1"/>
    <w:rsid w:val="005A146F"/>
    <w:rsid w:val="005A14B3"/>
    <w:rsid w:val="005A14FE"/>
    <w:rsid w:val="005A15C3"/>
    <w:rsid w:val="005A1771"/>
    <w:rsid w:val="005A17B5"/>
    <w:rsid w:val="005A185F"/>
    <w:rsid w:val="005A195E"/>
    <w:rsid w:val="005A1A79"/>
    <w:rsid w:val="005A1C0A"/>
    <w:rsid w:val="005A1CD5"/>
    <w:rsid w:val="005A1DA2"/>
    <w:rsid w:val="005A1E71"/>
    <w:rsid w:val="005A1FBC"/>
    <w:rsid w:val="005A1FCD"/>
    <w:rsid w:val="005A22FA"/>
    <w:rsid w:val="005A243F"/>
    <w:rsid w:val="005A25B0"/>
    <w:rsid w:val="005A29F0"/>
    <w:rsid w:val="005A2A27"/>
    <w:rsid w:val="005A2B1B"/>
    <w:rsid w:val="005A2BD2"/>
    <w:rsid w:val="005A2C68"/>
    <w:rsid w:val="005A2CFA"/>
    <w:rsid w:val="005A2E3C"/>
    <w:rsid w:val="005A2EA6"/>
    <w:rsid w:val="005A2EB6"/>
    <w:rsid w:val="005A3176"/>
    <w:rsid w:val="005A323F"/>
    <w:rsid w:val="005A32B2"/>
    <w:rsid w:val="005A34F4"/>
    <w:rsid w:val="005A354C"/>
    <w:rsid w:val="005A3D32"/>
    <w:rsid w:val="005A3E03"/>
    <w:rsid w:val="005A3E80"/>
    <w:rsid w:val="005A3EEF"/>
    <w:rsid w:val="005A3F64"/>
    <w:rsid w:val="005A3FFB"/>
    <w:rsid w:val="005A403A"/>
    <w:rsid w:val="005A415C"/>
    <w:rsid w:val="005A41F4"/>
    <w:rsid w:val="005A4291"/>
    <w:rsid w:val="005A4475"/>
    <w:rsid w:val="005A447E"/>
    <w:rsid w:val="005A448C"/>
    <w:rsid w:val="005A45A8"/>
    <w:rsid w:val="005A45F9"/>
    <w:rsid w:val="005A46B3"/>
    <w:rsid w:val="005A471A"/>
    <w:rsid w:val="005A471E"/>
    <w:rsid w:val="005A4723"/>
    <w:rsid w:val="005A47C9"/>
    <w:rsid w:val="005A47CA"/>
    <w:rsid w:val="005A4887"/>
    <w:rsid w:val="005A4AAB"/>
    <w:rsid w:val="005A4AB1"/>
    <w:rsid w:val="005A4CE0"/>
    <w:rsid w:val="005A4D88"/>
    <w:rsid w:val="005A4D95"/>
    <w:rsid w:val="005A4E68"/>
    <w:rsid w:val="005A5148"/>
    <w:rsid w:val="005A5277"/>
    <w:rsid w:val="005A536C"/>
    <w:rsid w:val="005A536F"/>
    <w:rsid w:val="005A53E5"/>
    <w:rsid w:val="005A54CF"/>
    <w:rsid w:val="005A552C"/>
    <w:rsid w:val="005A555A"/>
    <w:rsid w:val="005A564F"/>
    <w:rsid w:val="005A5654"/>
    <w:rsid w:val="005A5696"/>
    <w:rsid w:val="005A5739"/>
    <w:rsid w:val="005A5AD7"/>
    <w:rsid w:val="005A5B37"/>
    <w:rsid w:val="005A5BD7"/>
    <w:rsid w:val="005A5D18"/>
    <w:rsid w:val="005A5DAC"/>
    <w:rsid w:val="005A5EFB"/>
    <w:rsid w:val="005A608E"/>
    <w:rsid w:val="005A62D0"/>
    <w:rsid w:val="005A651B"/>
    <w:rsid w:val="005A6545"/>
    <w:rsid w:val="005A6658"/>
    <w:rsid w:val="005A684F"/>
    <w:rsid w:val="005A6F08"/>
    <w:rsid w:val="005A70AC"/>
    <w:rsid w:val="005A71BF"/>
    <w:rsid w:val="005A747D"/>
    <w:rsid w:val="005A7640"/>
    <w:rsid w:val="005A7768"/>
    <w:rsid w:val="005A78A8"/>
    <w:rsid w:val="005A78EE"/>
    <w:rsid w:val="005A79EB"/>
    <w:rsid w:val="005A7BDD"/>
    <w:rsid w:val="005A7DCC"/>
    <w:rsid w:val="005B006F"/>
    <w:rsid w:val="005B018C"/>
    <w:rsid w:val="005B021E"/>
    <w:rsid w:val="005B0494"/>
    <w:rsid w:val="005B0772"/>
    <w:rsid w:val="005B07F3"/>
    <w:rsid w:val="005B0896"/>
    <w:rsid w:val="005B089F"/>
    <w:rsid w:val="005B08F2"/>
    <w:rsid w:val="005B097A"/>
    <w:rsid w:val="005B09AF"/>
    <w:rsid w:val="005B09E3"/>
    <w:rsid w:val="005B0AC5"/>
    <w:rsid w:val="005B0AE9"/>
    <w:rsid w:val="005B0B22"/>
    <w:rsid w:val="005B0C0A"/>
    <w:rsid w:val="005B0D11"/>
    <w:rsid w:val="005B0D8F"/>
    <w:rsid w:val="005B0FC8"/>
    <w:rsid w:val="005B1104"/>
    <w:rsid w:val="005B12EB"/>
    <w:rsid w:val="005B1306"/>
    <w:rsid w:val="005B14F4"/>
    <w:rsid w:val="005B1985"/>
    <w:rsid w:val="005B19E8"/>
    <w:rsid w:val="005B1B15"/>
    <w:rsid w:val="005B1B5C"/>
    <w:rsid w:val="005B1C97"/>
    <w:rsid w:val="005B2017"/>
    <w:rsid w:val="005B20F5"/>
    <w:rsid w:val="005B227D"/>
    <w:rsid w:val="005B25F5"/>
    <w:rsid w:val="005B266C"/>
    <w:rsid w:val="005B28F0"/>
    <w:rsid w:val="005B2996"/>
    <w:rsid w:val="005B2A95"/>
    <w:rsid w:val="005B2B93"/>
    <w:rsid w:val="005B2BC1"/>
    <w:rsid w:val="005B2C46"/>
    <w:rsid w:val="005B2D55"/>
    <w:rsid w:val="005B2E2C"/>
    <w:rsid w:val="005B2E2F"/>
    <w:rsid w:val="005B323E"/>
    <w:rsid w:val="005B33F4"/>
    <w:rsid w:val="005B33F7"/>
    <w:rsid w:val="005B346E"/>
    <w:rsid w:val="005B34A1"/>
    <w:rsid w:val="005B376A"/>
    <w:rsid w:val="005B38C3"/>
    <w:rsid w:val="005B38E8"/>
    <w:rsid w:val="005B39BA"/>
    <w:rsid w:val="005B39D0"/>
    <w:rsid w:val="005B3A67"/>
    <w:rsid w:val="005B3D27"/>
    <w:rsid w:val="005B3DBD"/>
    <w:rsid w:val="005B3E94"/>
    <w:rsid w:val="005B3F66"/>
    <w:rsid w:val="005B4073"/>
    <w:rsid w:val="005B4280"/>
    <w:rsid w:val="005B450D"/>
    <w:rsid w:val="005B461E"/>
    <w:rsid w:val="005B465F"/>
    <w:rsid w:val="005B46C8"/>
    <w:rsid w:val="005B472F"/>
    <w:rsid w:val="005B489E"/>
    <w:rsid w:val="005B4915"/>
    <w:rsid w:val="005B49BA"/>
    <w:rsid w:val="005B4A2C"/>
    <w:rsid w:val="005B4B47"/>
    <w:rsid w:val="005B4B74"/>
    <w:rsid w:val="005B4B87"/>
    <w:rsid w:val="005B4CBB"/>
    <w:rsid w:val="005B4E0D"/>
    <w:rsid w:val="005B4F21"/>
    <w:rsid w:val="005B5281"/>
    <w:rsid w:val="005B52C6"/>
    <w:rsid w:val="005B54F1"/>
    <w:rsid w:val="005B55AD"/>
    <w:rsid w:val="005B55C0"/>
    <w:rsid w:val="005B56DC"/>
    <w:rsid w:val="005B5904"/>
    <w:rsid w:val="005B5A9F"/>
    <w:rsid w:val="005B5B19"/>
    <w:rsid w:val="005B5D21"/>
    <w:rsid w:val="005B5DCD"/>
    <w:rsid w:val="005B613A"/>
    <w:rsid w:val="005B6205"/>
    <w:rsid w:val="005B63F5"/>
    <w:rsid w:val="005B6593"/>
    <w:rsid w:val="005B66FB"/>
    <w:rsid w:val="005B67B5"/>
    <w:rsid w:val="005B6905"/>
    <w:rsid w:val="005B6906"/>
    <w:rsid w:val="005B69D6"/>
    <w:rsid w:val="005B6BBE"/>
    <w:rsid w:val="005B6BD5"/>
    <w:rsid w:val="005B6CB5"/>
    <w:rsid w:val="005B6D30"/>
    <w:rsid w:val="005B6E12"/>
    <w:rsid w:val="005B70B2"/>
    <w:rsid w:val="005B7282"/>
    <w:rsid w:val="005B7400"/>
    <w:rsid w:val="005B7435"/>
    <w:rsid w:val="005B7518"/>
    <w:rsid w:val="005B7745"/>
    <w:rsid w:val="005B77A7"/>
    <w:rsid w:val="005B781E"/>
    <w:rsid w:val="005B78D4"/>
    <w:rsid w:val="005B79E1"/>
    <w:rsid w:val="005B7B49"/>
    <w:rsid w:val="005B7B93"/>
    <w:rsid w:val="005B7C3B"/>
    <w:rsid w:val="005B7E5F"/>
    <w:rsid w:val="005C0089"/>
    <w:rsid w:val="005C00B4"/>
    <w:rsid w:val="005C02A3"/>
    <w:rsid w:val="005C037D"/>
    <w:rsid w:val="005C044C"/>
    <w:rsid w:val="005C0452"/>
    <w:rsid w:val="005C04B8"/>
    <w:rsid w:val="005C05D1"/>
    <w:rsid w:val="005C069D"/>
    <w:rsid w:val="005C06DC"/>
    <w:rsid w:val="005C08FC"/>
    <w:rsid w:val="005C09A7"/>
    <w:rsid w:val="005C0A02"/>
    <w:rsid w:val="005C0AB2"/>
    <w:rsid w:val="005C0AE3"/>
    <w:rsid w:val="005C0AEF"/>
    <w:rsid w:val="005C0AFB"/>
    <w:rsid w:val="005C0B34"/>
    <w:rsid w:val="005C0FA1"/>
    <w:rsid w:val="005C0FA7"/>
    <w:rsid w:val="005C104F"/>
    <w:rsid w:val="005C1060"/>
    <w:rsid w:val="005C1342"/>
    <w:rsid w:val="005C139E"/>
    <w:rsid w:val="005C1511"/>
    <w:rsid w:val="005C1959"/>
    <w:rsid w:val="005C1B35"/>
    <w:rsid w:val="005C1B6F"/>
    <w:rsid w:val="005C1BAE"/>
    <w:rsid w:val="005C1CD1"/>
    <w:rsid w:val="005C1CE3"/>
    <w:rsid w:val="005C1D44"/>
    <w:rsid w:val="005C1D7D"/>
    <w:rsid w:val="005C1FC9"/>
    <w:rsid w:val="005C211C"/>
    <w:rsid w:val="005C2264"/>
    <w:rsid w:val="005C2280"/>
    <w:rsid w:val="005C229D"/>
    <w:rsid w:val="005C22C5"/>
    <w:rsid w:val="005C2427"/>
    <w:rsid w:val="005C25A7"/>
    <w:rsid w:val="005C2737"/>
    <w:rsid w:val="005C2908"/>
    <w:rsid w:val="005C294D"/>
    <w:rsid w:val="005C2AC7"/>
    <w:rsid w:val="005C2B8B"/>
    <w:rsid w:val="005C2D40"/>
    <w:rsid w:val="005C2F02"/>
    <w:rsid w:val="005C2FCC"/>
    <w:rsid w:val="005C31FA"/>
    <w:rsid w:val="005C323B"/>
    <w:rsid w:val="005C326B"/>
    <w:rsid w:val="005C3497"/>
    <w:rsid w:val="005C353E"/>
    <w:rsid w:val="005C35F0"/>
    <w:rsid w:val="005C3636"/>
    <w:rsid w:val="005C386D"/>
    <w:rsid w:val="005C391A"/>
    <w:rsid w:val="005C3943"/>
    <w:rsid w:val="005C39E5"/>
    <w:rsid w:val="005C3A2E"/>
    <w:rsid w:val="005C3C4C"/>
    <w:rsid w:val="005C3F69"/>
    <w:rsid w:val="005C41B8"/>
    <w:rsid w:val="005C4289"/>
    <w:rsid w:val="005C4525"/>
    <w:rsid w:val="005C472C"/>
    <w:rsid w:val="005C4740"/>
    <w:rsid w:val="005C48EF"/>
    <w:rsid w:val="005C4978"/>
    <w:rsid w:val="005C4A61"/>
    <w:rsid w:val="005C4A8D"/>
    <w:rsid w:val="005C4BED"/>
    <w:rsid w:val="005C5052"/>
    <w:rsid w:val="005C5150"/>
    <w:rsid w:val="005C5210"/>
    <w:rsid w:val="005C5224"/>
    <w:rsid w:val="005C5336"/>
    <w:rsid w:val="005C535B"/>
    <w:rsid w:val="005C53FB"/>
    <w:rsid w:val="005C550B"/>
    <w:rsid w:val="005C569B"/>
    <w:rsid w:val="005C5828"/>
    <w:rsid w:val="005C58C0"/>
    <w:rsid w:val="005C58D6"/>
    <w:rsid w:val="005C5ABC"/>
    <w:rsid w:val="005C5AEC"/>
    <w:rsid w:val="005C5C17"/>
    <w:rsid w:val="005C5C32"/>
    <w:rsid w:val="005C5D20"/>
    <w:rsid w:val="005C5D22"/>
    <w:rsid w:val="005C5ECC"/>
    <w:rsid w:val="005C5F0D"/>
    <w:rsid w:val="005C5F4C"/>
    <w:rsid w:val="005C5FBD"/>
    <w:rsid w:val="005C5FE5"/>
    <w:rsid w:val="005C60C7"/>
    <w:rsid w:val="005C61C4"/>
    <w:rsid w:val="005C636B"/>
    <w:rsid w:val="005C6402"/>
    <w:rsid w:val="005C64E0"/>
    <w:rsid w:val="005C64F7"/>
    <w:rsid w:val="005C6955"/>
    <w:rsid w:val="005C6A81"/>
    <w:rsid w:val="005C6B37"/>
    <w:rsid w:val="005C6B76"/>
    <w:rsid w:val="005C6BD9"/>
    <w:rsid w:val="005C6C6E"/>
    <w:rsid w:val="005C6CA1"/>
    <w:rsid w:val="005C6CBE"/>
    <w:rsid w:val="005C6CEE"/>
    <w:rsid w:val="005C6FF1"/>
    <w:rsid w:val="005C7173"/>
    <w:rsid w:val="005C718B"/>
    <w:rsid w:val="005C7258"/>
    <w:rsid w:val="005C7277"/>
    <w:rsid w:val="005C72D6"/>
    <w:rsid w:val="005C72F8"/>
    <w:rsid w:val="005C734F"/>
    <w:rsid w:val="005C7852"/>
    <w:rsid w:val="005C78B9"/>
    <w:rsid w:val="005C7909"/>
    <w:rsid w:val="005C7B40"/>
    <w:rsid w:val="005C7DA9"/>
    <w:rsid w:val="005C7EDE"/>
    <w:rsid w:val="005C7F4D"/>
    <w:rsid w:val="005C7F7D"/>
    <w:rsid w:val="005C7FD4"/>
    <w:rsid w:val="005C7FDE"/>
    <w:rsid w:val="005D003A"/>
    <w:rsid w:val="005D029E"/>
    <w:rsid w:val="005D02D9"/>
    <w:rsid w:val="005D034A"/>
    <w:rsid w:val="005D0453"/>
    <w:rsid w:val="005D05FD"/>
    <w:rsid w:val="005D061F"/>
    <w:rsid w:val="005D0678"/>
    <w:rsid w:val="005D0805"/>
    <w:rsid w:val="005D0879"/>
    <w:rsid w:val="005D09E9"/>
    <w:rsid w:val="005D0C18"/>
    <w:rsid w:val="005D0D29"/>
    <w:rsid w:val="005D120E"/>
    <w:rsid w:val="005D12B1"/>
    <w:rsid w:val="005D1356"/>
    <w:rsid w:val="005D13C3"/>
    <w:rsid w:val="005D13E7"/>
    <w:rsid w:val="005D1484"/>
    <w:rsid w:val="005D154D"/>
    <w:rsid w:val="005D15D4"/>
    <w:rsid w:val="005D1816"/>
    <w:rsid w:val="005D1A04"/>
    <w:rsid w:val="005D1B46"/>
    <w:rsid w:val="005D1CC4"/>
    <w:rsid w:val="005D1D79"/>
    <w:rsid w:val="005D1DA9"/>
    <w:rsid w:val="005D20BE"/>
    <w:rsid w:val="005D20CC"/>
    <w:rsid w:val="005D2188"/>
    <w:rsid w:val="005D22DA"/>
    <w:rsid w:val="005D230A"/>
    <w:rsid w:val="005D231F"/>
    <w:rsid w:val="005D257C"/>
    <w:rsid w:val="005D27C0"/>
    <w:rsid w:val="005D27CF"/>
    <w:rsid w:val="005D285D"/>
    <w:rsid w:val="005D291E"/>
    <w:rsid w:val="005D299A"/>
    <w:rsid w:val="005D2B5A"/>
    <w:rsid w:val="005D2BE1"/>
    <w:rsid w:val="005D2D91"/>
    <w:rsid w:val="005D2DB3"/>
    <w:rsid w:val="005D2DBF"/>
    <w:rsid w:val="005D3259"/>
    <w:rsid w:val="005D327E"/>
    <w:rsid w:val="005D32A0"/>
    <w:rsid w:val="005D3415"/>
    <w:rsid w:val="005D347C"/>
    <w:rsid w:val="005D34EF"/>
    <w:rsid w:val="005D3500"/>
    <w:rsid w:val="005D3667"/>
    <w:rsid w:val="005D39C1"/>
    <w:rsid w:val="005D39E2"/>
    <w:rsid w:val="005D39E5"/>
    <w:rsid w:val="005D3A0B"/>
    <w:rsid w:val="005D3AA2"/>
    <w:rsid w:val="005D3D98"/>
    <w:rsid w:val="005D3F7C"/>
    <w:rsid w:val="005D4109"/>
    <w:rsid w:val="005D4239"/>
    <w:rsid w:val="005D42D6"/>
    <w:rsid w:val="005D4454"/>
    <w:rsid w:val="005D445E"/>
    <w:rsid w:val="005D451B"/>
    <w:rsid w:val="005D4561"/>
    <w:rsid w:val="005D45A5"/>
    <w:rsid w:val="005D477E"/>
    <w:rsid w:val="005D497E"/>
    <w:rsid w:val="005D4B4E"/>
    <w:rsid w:val="005D4DC8"/>
    <w:rsid w:val="005D4E07"/>
    <w:rsid w:val="005D4EF4"/>
    <w:rsid w:val="005D50E3"/>
    <w:rsid w:val="005D51C3"/>
    <w:rsid w:val="005D5338"/>
    <w:rsid w:val="005D5428"/>
    <w:rsid w:val="005D542D"/>
    <w:rsid w:val="005D5585"/>
    <w:rsid w:val="005D55F7"/>
    <w:rsid w:val="005D5639"/>
    <w:rsid w:val="005D5646"/>
    <w:rsid w:val="005D5783"/>
    <w:rsid w:val="005D581C"/>
    <w:rsid w:val="005D5997"/>
    <w:rsid w:val="005D5AF5"/>
    <w:rsid w:val="005D5C34"/>
    <w:rsid w:val="005D5C85"/>
    <w:rsid w:val="005D5D37"/>
    <w:rsid w:val="005D5D40"/>
    <w:rsid w:val="005D5DC2"/>
    <w:rsid w:val="005D5E27"/>
    <w:rsid w:val="005D5E2D"/>
    <w:rsid w:val="005D5E6C"/>
    <w:rsid w:val="005D5F10"/>
    <w:rsid w:val="005D5FC4"/>
    <w:rsid w:val="005D5FDC"/>
    <w:rsid w:val="005D6033"/>
    <w:rsid w:val="005D6259"/>
    <w:rsid w:val="005D6408"/>
    <w:rsid w:val="005D6605"/>
    <w:rsid w:val="005D667A"/>
    <w:rsid w:val="005D6696"/>
    <w:rsid w:val="005D66EF"/>
    <w:rsid w:val="005D67FA"/>
    <w:rsid w:val="005D6856"/>
    <w:rsid w:val="005D6870"/>
    <w:rsid w:val="005D68CF"/>
    <w:rsid w:val="005D6908"/>
    <w:rsid w:val="005D6984"/>
    <w:rsid w:val="005D6AC2"/>
    <w:rsid w:val="005D6B9A"/>
    <w:rsid w:val="005D6CB7"/>
    <w:rsid w:val="005D6DE7"/>
    <w:rsid w:val="005D6E31"/>
    <w:rsid w:val="005D6FA5"/>
    <w:rsid w:val="005D6FC0"/>
    <w:rsid w:val="005D7034"/>
    <w:rsid w:val="005D72E9"/>
    <w:rsid w:val="005D752B"/>
    <w:rsid w:val="005D75EB"/>
    <w:rsid w:val="005D7663"/>
    <w:rsid w:val="005D76F6"/>
    <w:rsid w:val="005D776F"/>
    <w:rsid w:val="005D7813"/>
    <w:rsid w:val="005D7832"/>
    <w:rsid w:val="005D78AC"/>
    <w:rsid w:val="005D7910"/>
    <w:rsid w:val="005D79B4"/>
    <w:rsid w:val="005D7BDD"/>
    <w:rsid w:val="005D7C45"/>
    <w:rsid w:val="005D7E37"/>
    <w:rsid w:val="005D7E7C"/>
    <w:rsid w:val="005D7F1F"/>
    <w:rsid w:val="005D7F93"/>
    <w:rsid w:val="005E010D"/>
    <w:rsid w:val="005E01A8"/>
    <w:rsid w:val="005E01E4"/>
    <w:rsid w:val="005E02AF"/>
    <w:rsid w:val="005E0493"/>
    <w:rsid w:val="005E0672"/>
    <w:rsid w:val="005E06A2"/>
    <w:rsid w:val="005E075A"/>
    <w:rsid w:val="005E07D9"/>
    <w:rsid w:val="005E08F9"/>
    <w:rsid w:val="005E09D1"/>
    <w:rsid w:val="005E0A6F"/>
    <w:rsid w:val="005E0AE5"/>
    <w:rsid w:val="005E0C8B"/>
    <w:rsid w:val="005E0D44"/>
    <w:rsid w:val="005E0DFE"/>
    <w:rsid w:val="005E10F8"/>
    <w:rsid w:val="005E1114"/>
    <w:rsid w:val="005E133C"/>
    <w:rsid w:val="005E1343"/>
    <w:rsid w:val="005E14FD"/>
    <w:rsid w:val="005E1837"/>
    <w:rsid w:val="005E1871"/>
    <w:rsid w:val="005E191F"/>
    <w:rsid w:val="005E1B2A"/>
    <w:rsid w:val="005E1B40"/>
    <w:rsid w:val="005E1B91"/>
    <w:rsid w:val="005E1C82"/>
    <w:rsid w:val="005E1DDA"/>
    <w:rsid w:val="005E20A2"/>
    <w:rsid w:val="005E218C"/>
    <w:rsid w:val="005E21E1"/>
    <w:rsid w:val="005E22BE"/>
    <w:rsid w:val="005E23B0"/>
    <w:rsid w:val="005E23CC"/>
    <w:rsid w:val="005E2545"/>
    <w:rsid w:val="005E2684"/>
    <w:rsid w:val="005E281A"/>
    <w:rsid w:val="005E29F6"/>
    <w:rsid w:val="005E2A63"/>
    <w:rsid w:val="005E2A69"/>
    <w:rsid w:val="005E2B70"/>
    <w:rsid w:val="005E2BF6"/>
    <w:rsid w:val="005E2BFD"/>
    <w:rsid w:val="005E2D25"/>
    <w:rsid w:val="005E300C"/>
    <w:rsid w:val="005E30E3"/>
    <w:rsid w:val="005E3140"/>
    <w:rsid w:val="005E3259"/>
    <w:rsid w:val="005E3267"/>
    <w:rsid w:val="005E3296"/>
    <w:rsid w:val="005E341D"/>
    <w:rsid w:val="005E348C"/>
    <w:rsid w:val="005E3490"/>
    <w:rsid w:val="005E37E4"/>
    <w:rsid w:val="005E3976"/>
    <w:rsid w:val="005E39D2"/>
    <w:rsid w:val="005E40BE"/>
    <w:rsid w:val="005E4187"/>
    <w:rsid w:val="005E421F"/>
    <w:rsid w:val="005E4231"/>
    <w:rsid w:val="005E4252"/>
    <w:rsid w:val="005E4258"/>
    <w:rsid w:val="005E43F2"/>
    <w:rsid w:val="005E442B"/>
    <w:rsid w:val="005E4435"/>
    <w:rsid w:val="005E461E"/>
    <w:rsid w:val="005E4664"/>
    <w:rsid w:val="005E470C"/>
    <w:rsid w:val="005E49E6"/>
    <w:rsid w:val="005E4A47"/>
    <w:rsid w:val="005E4ABC"/>
    <w:rsid w:val="005E4AF5"/>
    <w:rsid w:val="005E4C37"/>
    <w:rsid w:val="005E4C92"/>
    <w:rsid w:val="005E4D3D"/>
    <w:rsid w:val="005E4F97"/>
    <w:rsid w:val="005E4F9C"/>
    <w:rsid w:val="005E4FEB"/>
    <w:rsid w:val="005E511A"/>
    <w:rsid w:val="005E51AF"/>
    <w:rsid w:val="005E52F9"/>
    <w:rsid w:val="005E5312"/>
    <w:rsid w:val="005E55C0"/>
    <w:rsid w:val="005E5613"/>
    <w:rsid w:val="005E567D"/>
    <w:rsid w:val="005E5698"/>
    <w:rsid w:val="005E57AE"/>
    <w:rsid w:val="005E59C8"/>
    <w:rsid w:val="005E5B60"/>
    <w:rsid w:val="005E663B"/>
    <w:rsid w:val="005E6739"/>
    <w:rsid w:val="005E6809"/>
    <w:rsid w:val="005E6843"/>
    <w:rsid w:val="005E689B"/>
    <w:rsid w:val="005E6989"/>
    <w:rsid w:val="005E6BEF"/>
    <w:rsid w:val="005E6D81"/>
    <w:rsid w:val="005E6EF3"/>
    <w:rsid w:val="005E6FE1"/>
    <w:rsid w:val="005E70D2"/>
    <w:rsid w:val="005E71E8"/>
    <w:rsid w:val="005E71F8"/>
    <w:rsid w:val="005E7239"/>
    <w:rsid w:val="005E732B"/>
    <w:rsid w:val="005E752F"/>
    <w:rsid w:val="005E761F"/>
    <w:rsid w:val="005E764D"/>
    <w:rsid w:val="005E77E8"/>
    <w:rsid w:val="005E7803"/>
    <w:rsid w:val="005E7861"/>
    <w:rsid w:val="005E78D9"/>
    <w:rsid w:val="005E79FD"/>
    <w:rsid w:val="005E7A90"/>
    <w:rsid w:val="005E7B89"/>
    <w:rsid w:val="005E7C0F"/>
    <w:rsid w:val="005E7CC6"/>
    <w:rsid w:val="005E7CFC"/>
    <w:rsid w:val="005E7E0C"/>
    <w:rsid w:val="005E7E4A"/>
    <w:rsid w:val="005F00C7"/>
    <w:rsid w:val="005F03DB"/>
    <w:rsid w:val="005F0544"/>
    <w:rsid w:val="005F05A4"/>
    <w:rsid w:val="005F0BF3"/>
    <w:rsid w:val="005F0C0C"/>
    <w:rsid w:val="005F0C4E"/>
    <w:rsid w:val="005F0DBF"/>
    <w:rsid w:val="005F0E09"/>
    <w:rsid w:val="005F1028"/>
    <w:rsid w:val="005F10A1"/>
    <w:rsid w:val="005F10FF"/>
    <w:rsid w:val="005F11E0"/>
    <w:rsid w:val="005F1245"/>
    <w:rsid w:val="005F12C8"/>
    <w:rsid w:val="005F14EC"/>
    <w:rsid w:val="005F167C"/>
    <w:rsid w:val="005F19EC"/>
    <w:rsid w:val="005F1E9A"/>
    <w:rsid w:val="005F1EAA"/>
    <w:rsid w:val="005F1EC9"/>
    <w:rsid w:val="005F22BD"/>
    <w:rsid w:val="005F25A6"/>
    <w:rsid w:val="005F2738"/>
    <w:rsid w:val="005F2AFE"/>
    <w:rsid w:val="005F2C12"/>
    <w:rsid w:val="005F2C86"/>
    <w:rsid w:val="005F2D26"/>
    <w:rsid w:val="005F2D3B"/>
    <w:rsid w:val="005F2E4E"/>
    <w:rsid w:val="005F2EA3"/>
    <w:rsid w:val="005F2F3A"/>
    <w:rsid w:val="005F3038"/>
    <w:rsid w:val="005F3182"/>
    <w:rsid w:val="005F3269"/>
    <w:rsid w:val="005F3417"/>
    <w:rsid w:val="005F3570"/>
    <w:rsid w:val="005F3779"/>
    <w:rsid w:val="005F3BC5"/>
    <w:rsid w:val="005F3F5B"/>
    <w:rsid w:val="005F410C"/>
    <w:rsid w:val="005F4127"/>
    <w:rsid w:val="005F4192"/>
    <w:rsid w:val="005F41D3"/>
    <w:rsid w:val="005F44C1"/>
    <w:rsid w:val="005F4528"/>
    <w:rsid w:val="005F460D"/>
    <w:rsid w:val="005F4624"/>
    <w:rsid w:val="005F4745"/>
    <w:rsid w:val="005F476E"/>
    <w:rsid w:val="005F48DC"/>
    <w:rsid w:val="005F4AD0"/>
    <w:rsid w:val="005F4B7B"/>
    <w:rsid w:val="005F4D6E"/>
    <w:rsid w:val="005F4D98"/>
    <w:rsid w:val="005F4E4A"/>
    <w:rsid w:val="005F4F12"/>
    <w:rsid w:val="005F4F84"/>
    <w:rsid w:val="005F4FA0"/>
    <w:rsid w:val="005F5098"/>
    <w:rsid w:val="005F50D6"/>
    <w:rsid w:val="005F511A"/>
    <w:rsid w:val="005F51A7"/>
    <w:rsid w:val="005F5253"/>
    <w:rsid w:val="005F5275"/>
    <w:rsid w:val="005F5409"/>
    <w:rsid w:val="005F5766"/>
    <w:rsid w:val="005F578F"/>
    <w:rsid w:val="005F581A"/>
    <w:rsid w:val="005F585F"/>
    <w:rsid w:val="005F58AE"/>
    <w:rsid w:val="005F58EE"/>
    <w:rsid w:val="005F59C1"/>
    <w:rsid w:val="005F5AF5"/>
    <w:rsid w:val="005F5BFB"/>
    <w:rsid w:val="005F5DB3"/>
    <w:rsid w:val="005F5F17"/>
    <w:rsid w:val="005F5F70"/>
    <w:rsid w:val="005F5F89"/>
    <w:rsid w:val="005F5FCB"/>
    <w:rsid w:val="005F6304"/>
    <w:rsid w:val="005F63BB"/>
    <w:rsid w:val="005F6438"/>
    <w:rsid w:val="005F64FA"/>
    <w:rsid w:val="005F653D"/>
    <w:rsid w:val="005F6543"/>
    <w:rsid w:val="005F6558"/>
    <w:rsid w:val="005F65D1"/>
    <w:rsid w:val="005F6664"/>
    <w:rsid w:val="005F694C"/>
    <w:rsid w:val="005F6AA3"/>
    <w:rsid w:val="005F6AAC"/>
    <w:rsid w:val="005F6AC9"/>
    <w:rsid w:val="005F6B1C"/>
    <w:rsid w:val="005F6B3A"/>
    <w:rsid w:val="005F6C6F"/>
    <w:rsid w:val="005F6ECB"/>
    <w:rsid w:val="005F7033"/>
    <w:rsid w:val="005F7142"/>
    <w:rsid w:val="005F7176"/>
    <w:rsid w:val="005F7211"/>
    <w:rsid w:val="005F72EC"/>
    <w:rsid w:val="005F74A0"/>
    <w:rsid w:val="005F7602"/>
    <w:rsid w:val="005F7660"/>
    <w:rsid w:val="005F76C7"/>
    <w:rsid w:val="005F775B"/>
    <w:rsid w:val="005F77EF"/>
    <w:rsid w:val="005F7841"/>
    <w:rsid w:val="005F79DD"/>
    <w:rsid w:val="005F7A04"/>
    <w:rsid w:val="005F7A55"/>
    <w:rsid w:val="005F7C73"/>
    <w:rsid w:val="005F7CD0"/>
    <w:rsid w:val="005F7E56"/>
    <w:rsid w:val="005F7EFC"/>
    <w:rsid w:val="0060005F"/>
    <w:rsid w:val="0060034B"/>
    <w:rsid w:val="00600658"/>
    <w:rsid w:val="006006CA"/>
    <w:rsid w:val="00600798"/>
    <w:rsid w:val="0060091D"/>
    <w:rsid w:val="0060093F"/>
    <w:rsid w:val="00600BD6"/>
    <w:rsid w:val="00600C19"/>
    <w:rsid w:val="00600F8B"/>
    <w:rsid w:val="0060103C"/>
    <w:rsid w:val="00601165"/>
    <w:rsid w:val="00601281"/>
    <w:rsid w:val="00601517"/>
    <w:rsid w:val="00601744"/>
    <w:rsid w:val="0060195F"/>
    <w:rsid w:val="0060196E"/>
    <w:rsid w:val="00601BD5"/>
    <w:rsid w:val="00601D0A"/>
    <w:rsid w:val="00602032"/>
    <w:rsid w:val="0060216B"/>
    <w:rsid w:val="006021AF"/>
    <w:rsid w:val="0060227E"/>
    <w:rsid w:val="006023EF"/>
    <w:rsid w:val="0060243F"/>
    <w:rsid w:val="0060244C"/>
    <w:rsid w:val="0060251B"/>
    <w:rsid w:val="00602604"/>
    <w:rsid w:val="00602607"/>
    <w:rsid w:val="0060270D"/>
    <w:rsid w:val="00602830"/>
    <w:rsid w:val="006028CB"/>
    <w:rsid w:val="00602951"/>
    <w:rsid w:val="006029A7"/>
    <w:rsid w:val="00602A13"/>
    <w:rsid w:val="00602ACB"/>
    <w:rsid w:val="00602E48"/>
    <w:rsid w:val="00602E69"/>
    <w:rsid w:val="00602FF5"/>
    <w:rsid w:val="006031B3"/>
    <w:rsid w:val="00603291"/>
    <w:rsid w:val="00603457"/>
    <w:rsid w:val="00603610"/>
    <w:rsid w:val="006037E0"/>
    <w:rsid w:val="00603834"/>
    <w:rsid w:val="0060385E"/>
    <w:rsid w:val="0060387C"/>
    <w:rsid w:val="00603885"/>
    <w:rsid w:val="0060389F"/>
    <w:rsid w:val="00603CEC"/>
    <w:rsid w:val="00603D2F"/>
    <w:rsid w:val="00603EEE"/>
    <w:rsid w:val="00603F0A"/>
    <w:rsid w:val="00603F34"/>
    <w:rsid w:val="00603F9D"/>
    <w:rsid w:val="00604206"/>
    <w:rsid w:val="0060429A"/>
    <w:rsid w:val="006044C5"/>
    <w:rsid w:val="006045F5"/>
    <w:rsid w:val="006046E0"/>
    <w:rsid w:val="0060480D"/>
    <w:rsid w:val="00604888"/>
    <w:rsid w:val="006048FE"/>
    <w:rsid w:val="00604A1A"/>
    <w:rsid w:val="00604AFB"/>
    <w:rsid w:val="00604B57"/>
    <w:rsid w:val="00604C18"/>
    <w:rsid w:val="00604C5A"/>
    <w:rsid w:val="00604CBE"/>
    <w:rsid w:val="00604DA0"/>
    <w:rsid w:val="00604E1C"/>
    <w:rsid w:val="00604E8E"/>
    <w:rsid w:val="00604EA6"/>
    <w:rsid w:val="00604FB3"/>
    <w:rsid w:val="00605040"/>
    <w:rsid w:val="006050AC"/>
    <w:rsid w:val="00605109"/>
    <w:rsid w:val="0060521E"/>
    <w:rsid w:val="00605242"/>
    <w:rsid w:val="006054B5"/>
    <w:rsid w:val="006054F3"/>
    <w:rsid w:val="00605506"/>
    <w:rsid w:val="00605BAD"/>
    <w:rsid w:val="00605C19"/>
    <w:rsid w:val="00605C36"/>
    <w:rsid w:val="00605E4B"/>
    <w:rsid w:val="00605E78"/>
    <w:rsid w:val="00605FB9"/>
    <w:rsid w:val="00605FCF"/>
    <w:rsid w:val="00606037"/>
    <w:rsid w:val="006060FA"/>
    <w:rsid w:val="00606525"/>
    <w:rsid w:val="00606789"/>
    <w:rsid w:val="006067D3"/>
    <w:rsid w:val="006069BA"/>
    <w:rsid w:val="00606A72"/>
    <w:rsid w:val="00606BAF"/>
    <w:rsid w:val="00606BD1"/>
    <w:rsid w:val="00606BE7"/>
    <w:rsid w:val="00606C2A"/>
    <w:rsid w:val="00606CB5"/>
    <w:rsid w:val="00606F8C"/>
    <w:rsid w:val="00606FE5"/>
    <w:rsid w:val="00607180"/>
    <w:rsid w:val="006071B8"/>
    <w:rsid w:val="006071DB"/>
    <w:rsid w:val="00607287"/>
    <w:rsid w:val="00607303"/>
    <w:rsid w:val="006076C0"/>
    <w:rsid w:val="006076C9"/>
    <w:rsid w:val="00607776"/>
    <w:rsid w:val="00607839"/>
    <w:rsid w:val="006078CE"/>
    <w:rsid w:val="006079F2"/>
    <w:rsid w:val="00607A87"/>
    <w:rsid w:val="00607B2C"/>
    <w:rsid w:val="00607D25"/>
    <w:rsid w:val="00607DEB"/>
    <w:rsid w:val="00607F11"/>
    <w:rsid w:val="00607FDD"/>
    <w:rsid w:val="00607FF3"/>
    <w:rsid w:val="0061003A"/>
    <w:rsid w:val="006100BE"/>
    <w:rsid w:val="0061029A"/>
    <w:rsid w:val="0061029D"/>
    <w:rsid w:val="0061041C"/>
    <w:rsid w:val="006104F0"/>
    <w:rsid w:val="006105AC"/>
    <w:rsid w:val="00610738"/>
    <w:rsid w:val="00610840"/>
    <w:rsid w:val="00610A56"/>
    <w:rsid w:val="00610B55"/>
    <w:rsid w:val="00610BF8"/>
    <w:rsid w:val="00610CC7"/>
    <w:rsid w:val="00610F2B"/>
    <w:rsid w:val="006110C9"/>
    <w:rsid w:val="006110CB"/>
    <w:rsid w:val="006110DA"/>
    <w:rsid w:val="006113A9"/>
    <w:rsid w:val="00611401"/>
    <w:rsid w:val="00611556"/>
    <w:rsid w:val="0061166A"/>
    <w:rsid w:val="006117ED"/>
    <w:rsid w:val="00611911"/>
    <w:rsid w:val="00611C85"/>
    <w:rsid w:val="00611CCC"/>
    <w:rsid w:val="00611DED"/>
    <w:rsid w:val="00611E41"/>
    <w:rsid w:val="00611F52"/>
    <w:rsid w:val="006125A7"/>
    <w:rsid w:val="006128CF"/>
    <w:rsid w:val="00612AAE"/>
    <w:rsid w:val="00612AB3"/>
    <w:rsid w:val="00612AEC"/>
    <w:rsid w:val="00612E1C"/>
    <w:rsid w:val="00612E64"/>
    <w:rsid w:val="00612EC2"/>
    <w:rsid w:val="00612EE2"/>
    <w:rsid w:val="00612F88"/>
    <w:rsid w:val="00613062"/>
    <w:rsid w:val="006132A6"/>
    <w:rsid w:val="0061333B"/>
    <w:rsid w:val="0061347A"/>
    <w:rsid w:val="00613855"/>
    <w:rsid w:val="0061396D"/>
    <w:rsid w:val="006139BC"/>
    <w:rsid w:val="00613C57"/>
    <w:rsid w:val="00613D8B"/>
    <w:rsid w:val="00613F51"/>
    <w:rsid w:val="00614018"/>
    <w:rsid w:val="006143B6"/>
    <w:rsid w:val="00614403"/>
    <w:rsid w:val="006145C7"/>
    <w:rsid w:val="00614725"/>
    <w:rsid w:val="00614B61"/>
    <w:rsid w:val="00614C06"/>
    <w:rsid w:val="00614C4A"/>
    <w:rsid w:val="00615133"/>
    <w:rsid w:val="006151E9"/>
    <w:rsid w:val="0061529E"/>
    <w:rsid w:val="00615557"/>
    <w:rsid w:val="006155FC"/>
    <w:rsid w:val="0061580E"/>
    <w:rsid w:val="00615897"/>
    <w:rsid w:val="00615982"/>
    <w:rsid w:val="006159C4"/>
    <w:rsid w:val="00615BE5"/>
    <w:rsid w:val="00615DD4"/>
    <w:rsid w:val="00615E28"/>
    <w:rsid w:val="00615EE1"/>
    <w:rsid w:val="0061603F"/>
    <w:rsid w:val="006160CD"/>
    <w:rsid w:val="00616156"/>
    <w:rsid w:val="006161E6"/>
    <w:rsid w:val="00616272"/>
    <w:rsid w:val="006164B2"/>
    <w:rsid w:val="00616758"/>
    <w:rsid w:val="0061691C"/>
    <w:rsid w:val="00616AA6"/>
    <w:rsid w:val="00616D01"/>
    <w:rsid w:val="00616DE6"/>
    <w:rsid w:val="00616EA4"/>
    <w:rsid w:val="00616F0B"/>
    <w:rsid w:val="00616F3F"/>
    <w:rsid w:val="00616FBB"/>
    <w:rsid w:val="00617012"/>
    <w:rsid w:val="00617090"/>
    <w:rsid w:val="006170C0"/>
    <w:rsid w:val="0061724B"/>
    <w:rsid w:val="00617295"/>
    <w:rsid w:val="0061729E"/>
    <w:rsid w:val="00617307"/>
    <w:rsid w:val="00617327"/>
    <w:rsid w:val="00617370"/>
    <w:rsid w:val="006175A2"/>
    <w:rsid w:val="0061775F"/>
    <w:rsid w:val="00617857"/>
    <w:rsid w:val="00617868"/>
    <w:rsid w:val="0061790A"/>
    <w:rsid w:val="0061794B"/>
    <w:rsid w:val="00617967"/>
    <w:rsid w:val="00617ADF"/>
    <w:rsid w:val="00617DB7"/>
    <w:rsid w:val="00617E48"/>
    <w:rsid w:val="00617EE0"/>
    <w:rsid w:val="00620033"/>
    <w:rsid w:val="006204D9"/>
    <w:rsid w:val="006207BB"/>
    <w:rsid w:val="00620A11"/>
    <w:rsid w:val="00620A5A"/>
    <w:rsid w:val="00620B07"/>
    <w:rsid w:val="00620CD5"/>
    <w:rsid w:val="00620D5D"/>
    <w:rsid w:val="00620E2A"/>
    <w:rsid w:val="00620EAA"/>
    <w:rsid w:val="00620EE3"/>
    <w:rsid w:val="00621312"/>
    <w:rsid w:val="006213B3"/>
    <w:rsid w:val="006213CF"/>
    <w:rsid w:val="00621537"/>
    <w:rsid w:val="006216BC"/>
    <w:rsid w:val="00621785"/>
    <w:rsid w:val="0062195E"/>
    <w:rsid w:val="00621ADA"/>
    <w:rsid w:val="00621CDE"/>
    <w:rsid w:val="00621CEC"/>
    <w:rsid w:val="00621DA2"/>
    <w:rsid w:val="00621E54"/>
    <w:rsid w:val="00621FD6"/>
    <w:rsid w:val="00621FDB"/>
    <w:rsid w:val="00622185"/>
    <w:rsid w:val="00622611"/>
    <w:rsid w:val="00622801"/>
    <w:rsid w:val="006228B4"/>
    <w:rsid w:val="00622BA3"/>
    <w:rsid w:val="00622D03"/>
    <w:rsid w:val="00622DAB"/>
    <w:rsid w:val="00622E96"/>
    <w:rsid w:val="00622F91"/>
    <w:rsid w:val="006231DE"/>
    <w:rsid w:val="00623225"/>
    <w:rsid w:val="00623256"/>
    <w:rsid w:val="006232F4"/>
    <w:rsid w:val="00623324"/>
    <w:rsid w:val="00623420"/>
    <w:rsid w:val="006235DD"/>
    <w:rsid w:val="006235E9"/>
    <w:rsid w:val="006236AE"/>
    <w:rsid w:val="006236E6"/>
    <w:rsid w:val="00623839"/>
    <w:rsid w:val="00623A6E"/>
    <w:rsid w:val="00623B7F"/>
    <w:rsid w:val="00623C18"/>
    <w:rsid w:val="00623ED3"/>
    <w:rsid w:val="00623EEB"/>
    <w:rsid w:val="00623F0C"/>
    <w:rsid w:val="0062408D"/>
    <w:rsid w:val="00624267"/>
    <w:rsid w:val="006243AF"/>
    <w:rsid w:val="006243DE"/>
    <w:rsid w:val="006243FC"/>
    <w:rsid w:val="006245E5"/>
    <w:rsid w:val="00624760"/>
    <w:rsid w:val="00624ABA"/>
    <w:rsid w:val="00624B7A"/>
    <w:rsid w:val="00624CB3"/>
    <w:rsid w:val="00624D2C"/>
    <w:rsid w:val="00624DE7"/>
    <w:rsid w:val="00624EBE"/>
    <w:rsid w:val="00624F20"/>
    <w:rsid w:val="00624F43"/>
    <w:rsid w:val="006250B6"/>
    <w:rsid w:val="00625264"/>
    <w:rsid w:val="00625851"/>
    <w:rsid w:val="00625BF0"/>
    <w:rsid w:val="00625D3D"/>
    <w:rsid w:val="00625E1B"/>
    <w:rsid w:val="00625E50"/>
    <w:rsid w:val="00625EA6"/>
    <w:rsid w:val="00625EF9"/>
    <w:rsid w:val="00625FE2"/>
    <w:rsid w:val="0062601D"/>
    <w:rsid w:val="00626239"/>
    <w:rsid w:val="006262C0"/>
    <w:rsid w:val="006263F1"/>
    <w:rsid w:val="00626524"/>
    <w:rsid w:val="006265E6"/>
    <w:rsid w:val="006266DC"/>
    <w:rsid w:val="0062674B"/>
    <w:rsid w:val="006267A2"/>
    <w:rsid w:val="0062683F"/>
    <w:rsid w:val="00626956"/>
    <w:rsid w:val="006269A4"/>
    <w:rsid w:val="006269CC"/>
    <w:rsid w:val="00626A4A"/>
    <w:rsid w:val="00626A4B"/>
    <w:rsid w:val="00626C2D"/>
    <w:rsid w:val="00626D25"/>
    <w:rsid w:val="00626F2D"/>
    <w:rsid w:val="00627019"/>
    <w:rsid w:val="00627105"/>
    <w:rsid w:val="00627124"/>
    <w:rsid w:val="0062720E"/>
    <w:rsid w:val="0062723D"/>
    <w:rsid w:val="00627535"/>
    <w:rsid w:val="006276B5"/>
    <w:rsid w:val="00627706"/>
    <w:rsid w:val="0062792A"/>
    <w:rsid w:val="00627BA9"/>
    <w:rsid w:val="00627EC9"/>
    <w:rsid w:val="00627F63"/>
    <w:rsid w:val="00627FBC"/>
    <w:rsid w:val="00630079"/>
    <w:rsid w:val="006300BC"/>
    <w:rsid w:val="006300E3"/>
    <w:rsid w:val="006301AD"/>
    <w:rsid w:val="00630267"/>
    <w:rsid w:val="00630404"/>
    <w:rsid w:val="0063041C"/>
    <w:rsid w:val="00630458"/>
    <w:rsid w:val="006304CF"/>
    <w:rsid w:val="006304EF"/>
    <w:rsid w:val="00630550"/>
    <w:rsid w:val="00630697"/>
    <w:rsid w:val="00630705"/>
    <w:rsid w:val="00630717"/>
    <w:rsid w:val="00630745"/>
    <w:rsid w:val="00630771"/>
    <w:rsid w:val="006309D5"/>
    <w:rsid w:val="00630B7C"/>
    <w:rsid w:val="00630C8B"/>
    <w:rsid w:val="00630D32"/>
    <w:rsid w:val="00630D47"/>
    <w:rsid w:val="00630D73"/>
    <w:rsid w:val="00630E87"/>
    <w:rsid w:val="006312C7"/>
    <w:rsid w:val="00631407"/>
    <w:rsid w:val="00631687"/>
    <w:rsid w:val="006316C9"/>
    <w:rsid w:val="0063171C"/>
    <w:rsid w:val="00631740"/>
    <w:rsid w:val="006317C3"/>
    <w:rsid w:val="00631A02"/>
    <w:rsid w:val="00631B7B"/>
    <w:rsid w:val="00631C4E"/>
    <w:rsid w:val="00631D1A"/>
    <w:rsid w:val="00631D59"/>
    <w:rsid w:val="00631FA2"/>
    <w:rsid w:val="00631FEE"/>
    <w:rsid w:val="006320FE"/>
    <w:rsid w:val="00632249"/>
    <w:rsid w:val="006322BE"/>
    <w:rsid w:val="006322DE"/>
    <w:rsid w:val="006323DB"/>
    <w:rsid w:val="00632621"/>
    <w:rsid w:val="0063267E"/>
    <w:rsid w:val="0063279F"/>
    <w:rsid w:val="006327C3"/>
    <w:rsid w:val="006329AD"/>
    <w:rsid w:val="00632BDF"/>
    <w:rsid w:val="00632D91"/>
    <w:rsid w:val="00632F6F"/>
    <w:rsid w:val="0063302A"/>
    <w:rsid w:val="0063305C"/>
    <w:rsid w:val="00633335"/>
    <w:rsid w:val="0063343F"/>
    <w:rsid w:val="006334D0"/>
    <w:rsid w:val="0063356F"/>
    <w:rsid w:val="00633713"/>
    <w:rsid w:val="006337DA"/>
    <w:rsid w:val="0063380B"/>
    <w:rsid w:val="0063381B"/>
    <w:rsid w:val="00633927"/>
    <w:rsid w:val="006339CC"/>
    <w:rsid w:val="00633A6D"/>
    <w:rsid w:val="00633E6C"/>
    <w:rsid w:val="00633F74"/>
    <w:rsid w:val="00634064"/>
    <w:rsid w:val="006343EC"/>
    <w:rsid w:val="00634458"/>
    <w:rsid w:val="0063445E"/>
    <w:rsid w:val="006344AD"/>
    <w:rsid w:val="006345D1"/>
    <w:rsid w:val="0063463E"/>
    <w:rsid w:val="00634775"/>
    <w:rsid w:val="0063485C"/>
    <w:rsid w:val="00634BE0"/>
    <w:rsid w:val="00634CB0"/>
    <w:rsid w:val="00634CC4"/>
    <w:rsid w:val="006350D7"/>
    <w:rsid w:val="00635221"/>
    <w:rsid w:val="006353CA"/>
    <w:rsid w:val="00635428"/>
    <w:rsid w:val="00635457"/>
    <w:rsid w:val="006354C9"/>
    <w:rsid w:val="006357FA"/>
    <w:rsid w:val="0063581A"/>
    <w:rsid w:val="00635AB6"/>
    <w:rsid w:val="00635AC5"/>
    <w:rsid w:val="00635B17"/>
    <w:rsid w:val="00635CA4"/>
    <w:rsid w:val="00635D5A"/>
    <w:rsid w:val="0063610D"/>
    <w:rsid w:val="00636434"/>
    <w:rsid w:val="006365C8"/>
    <w:rsid w:val="00636661"/>
    <w:rsid w:val="00636756"/>
    <w:rsid w:val="00636A68"/>
    <w:rsid w:val="00636A90"/>
    <w:rsid w:val="00636B23"/>
    <w:rsid w:val="00636C91"/>
    <w:rsid w:val="00636C93"/>
    <w:rsid w:val="00636DB0"/>
    <w:rsid w:val="00636DD1"/>
    <w:rsid w:val="00637265"/>
    <w:rsid w:val="00637359"/>
    <w:rsid w:val="00637490"/>
    <w:rsid w:val="00637732"/>
    <w:rsid w:val="00637A49"/>
    <w:rsid w:val="00637B9A"/>
    <w:rsid w:val="00637BEB"/>
    <w:rsid w:val="0064002E"/>
    <w:rsid w:val="0064018F"/>
    <w:rsid w:val="00640196"/>
    <w:rsid w:val="00640207"/>
    <w:rsid w:val="006402C3"/>
    <w:rsid w:val="00640427"/>
    <w:rsid w:val="00640808"/>
    <w:rsid w:val="006408C1"/>
    <w:rsid w:val="0064090E"/>
    <w:rsid w:val="00640A1A"/>
    <w:rsid w:val="00640AF5"/>
    <w:rsid w:val="00640B11"/>
    <w:rsid w:val="00640E44"/>
    <w:rsid w:val="00640F2C"/>
    <w:rsid w:val="00640F91"/>
    <w:rsid w:val="00641246"/>
    <w:rsid w:val="00641287"/>
    <w:rsid w:val="006412A5"/>
    <w:rsid w:val="00641405"/>
    <w:rsid w:val="00641507"/>
    <w:rsid w:val="00641585"/>
    <w:rsid w:val="006415DE"/>
    <w:rsid w:val="0064163A"/>
    <w:rsid w:val="00641754"/>
    <w:rsid w:val="00641819"/>
    <w:rsid w:val="006418AF"/>
    <w:rsid w:val="00641A6D"/>
    <w:rsid w:val="00641AD7"/>
    <w:rsid w:val="00641CC2"/>
    <w:rsid w:val="00641D22"/>
    <w:rsid w:val="00641DB6"/>
    <w:rsid w:val="0064200B"/>
    <w:rsid w:val="006421B2"/>
    <w:rsid w:val="0064237F"/>
    <w:rsid w:val="0064249B"/>
    <w:rsid w:val="006424EC"/>
    <w:rsid w:val="006427E9"/>
    <w:rsid w:val="0064282E"/>
    <w:rsid w:val="006428D2"/>
    <w:rsid w:val="0064293A"/>
    <w:rsid w:val="00642977"/>
    <w:rsid w:val="006429E3"/>
    <w:rsid w:val="00642FA8"/>
    <w:rsid w:val="006431D8"/>
    <w:rsid w:val="0064326F"/>
    <w:rsid w:val="00643492"/>
    <w:rsid w:val="006434DA"/>
    <w:rsid w:val="00643507"/>
    <w:rsid w:val="006435D5"/>
    <w:rsid w:val="0064362F"/>
    <w:rsid w:val="00643781"/>
    <w:rsid w:val="00643825"/>
    <w:rsid w:val="0064397C"/>
    <w:rsid w:val="00643984"/>
    <w:rsid w:val="00643A74"/>
    <w:rsid w:val="00643A81"/>
    <w:rsid w:val="00643B25"/>
    <w:rsid w:val="00643C61"/>
    <w:rsid w:val="00643D50"/>
    <w:rsid w:val="00643D78"/>
    <w:rsid w:val="00643E25"/>
    <w:rsid w:val="00643EA7"/>
    <w:rsid w:val="00643EB5"/>
    <w:rsid w:val="00643F02"/>
    <w:rsid w:val="00643F58"/>
    <w:rsid w:val="00644151"/>
    <w:rsid w:val="006441E5"/>
    <w:rsid w:val="006442EE"/>
    <w:rsid w:val="0064451A"/>
    <w:rsid w:val="00644577"/>
    <w:rsid w:val="006446AD"/>
    <w:rsid w:val="006446D1"/>
    <w:rsid w:val="0064470B"/>
    <w:rsid w:val="0064483B"/>
    <w:rsid w:val="00644949"/>
    <w:rsid w:val="00644A16"/>
    <w:rsid w:val="00644AAA"/>
    <w:rsid w:val="00644C6C"/>
    <w:rsid w:val="00644D88"/>
    <w:rsid w:val="00644E0E"/>
    <w:rsid w:val="00644E76"/>
    <w:rsid w:val="00644EAE"/>
    <w:rsid w:val="00644F03"/>
    <w:rsid w:val="00644FD7"/>
    <w:rsid w:val="00644FDC"/>
    <w:rsid w:val="006453B8"/>
    <w:rsid w:val="00645549"/>
    <w:rsid w:val="006456D0"/>
    <w:rsid w:val="006457E8"/>
    <w:rsid w:val="006458D6"/>
    <w:rsid w:val="00645A4D"/>
    <w:rsid w:val="00645CB7"/>
    <w:rsid w:val="00645D2B"/>
    <w:rsid w:val="00645D42"/>
    <w:rsid w:val="00645D70"/>
    <w:rsid w:val="00645E1A"/>
    <w:rsid w:val="00645E66"/>
    <w:rsid w:val="00645FC4"/>
    <w:rsid w:val="00645FED"/>
    <w:rsid w:val="006460A9"/>
    <w:rsid w:val="0064610C"/>
    <w:rsid w:val="0064613F"/>
    <w:rsid w:val="0064633A"/>
    <w:rsid w:val="006463E6"/>
    <w:rsid w:val="00646410"/>
    <w:rsid w:val="0064650A"/>
    <w:rsid w:val="00646616"/>
    <w:rsid w:val="0064661A"/>
    <w:rsid w:val="006467FC"/>
    <w:rsid w:val="00646C09"/>
    <w:rsid w:val="00646CBE"/>
    <w:rsid w:val="00646D77"/>
    <w:rsid w:val="00646DCE"/>
    <w:rsid w:val="00646E9A"/>
    <w:rsid w:val="006470A1"/>
    <w:rsid w:val="00647384"/>
    <w:rsid w:val="006473F7"/>
    <w:rsid w:val="006474A3"/>
    <w:rsid w:val="00647557"/>
    <w:rsid w:val="006475CF"/>
    <w:rsid w:val="006475F5"/>
    <w:rsid w:val="006476D6"/>
    <w:rsid w:val="00647707"/>
    <w:rsid w:val="00647958"/>
    <w:rsid w:val="006479D8"/>
    <w:rsid w:val="00647B37"/>
    <w:rsid w:val="00647BB8"/>
    <w:rsid w:val="00647D2D"/>
    <w:rsid w:val="00647E06"/>
    <w:rsid w:val="0065004E"/>
    <w:rsid w:val="0065012C"/>
    <w:rsid w:val="00650172"/>
    <w:rsid w:val="006501DC"/>
    <w:rsid w:val="0065040C"/>
    <w:rsid w:val="0065043B"/>
    <w:rsid w:val="0065045C"/>
    <w:rsid w:val="006504B6"/>
    <w:rsid w:val="006505FB"/>
    <w:rsid w:val="00650890"/>
    <w:rsid w:val="00650913"/>
    <w:rsid w:val="00650967"/>
    <w:rsid w:val="006509EB"/>
    <w:rsid w:val="00650A34"/>
    <w:rsid w:val="00650B20"/>
    <w:rsid w:val="00650C62"/>
    <w:rsid w:val="00650CF3"/>
    <w:rsid w:val="00650DC3"/>
    <w:rsid w:val="00650FFA"/>
    <w:rsid w:val="00651099"/>
    <w:rsid w:val="00651197"/>
    <w:rsid w:val="006511CD"/>
    <w:rsid w:val="00651232"/>
    <w:rsid w:val="00651338"/>
    <w:rsid w:val="0065144E"/>
    <w:rsid w:val="0065152B"/>
    <w:rsid w:val="00651554"/>
    <w:rsid w:val="00651572"/>
    <w:rsid w:val="006519B8"/>
    <w:rsid w:val="006519E6"/>
    <w:rsid w:val="00651BF2"/>
    <w:rsid w:val="00651C3C"/>
    <w:rsid w:val="00651DA7"/>
    <w:rsid w:val="00651FB4"/>
    <w:rsid w:val="006521B5"/>
    <w:rsid w:val="006522AD"/>
    <w:rsid w:val="00652389"/>
    <w:rsid w:val="006523FC"/>
    <w:rsid w:val="0065243E"/>
    <w:rsid w:val="006524D3"/>
    <w:rsid w:val="006527C6"/>
    <w:rsid w:val="00652909"/>
    <w:rsid w:val="006529EF"/>
    <w:rsid w:val="00652C64"/>
    <w:rsid w:val="00652F79"/>
    <w:rsid w:val="00652F83"/>
    <w:rsid w:val="00652F93"/>
    <w:rsid w:val="00652FCF"/>
    <w:rsid w:val="006531BB"/>
    <w:rsid w:val="006532ED"/>
    <w:rsid w:val="0065338A"/>
    <w:rsid w:val="0065341D"/>
    <w:rsid w:val="006534DE"/>
    <w:rsid w:val="00653525"/>
    <w:rsid w:val="00653534"/>
    <w:rsid w:val="0065354E"/>
    <w:rsid w:val="00653716"/>
    <w:rsid w:val="0065373F"/>
    <w:rsid w:val="006537BD"/>
    <w:rsid w:val="00653CD6"/>
    <w:rsid w:val="00653E27"/>
    <w:rsid w:val="00653F10"/>
    <w:rsid w:val="00653F54"/>
    <w:rsid w:val="00653F59"/>
    <w:rsid w:val="00654073"/>
    <w:rsid w:val="00654236"/>
    <w:rsid w:val="00654300"/>
    <w:rsid w:val="006543BF"/>
    <w:rsid w:val="00654600"/>
    <w:rsid w:val="00654621"/>
    <w:rsid w:val="00654795"/>
    <w:rsid w:val="006548DE"/>
    <w:rsid w:val="00654A83"/>
    <w:rsid w:val="00654BBA"/>
    <w:rsid w:val="00654E6F"/>
    <w:rsid w:val="00654EB4"/>
    <w:rsid w:val="00654ED0"/>
    <w:rsid w:val="00654EDB"/>
    <w:rsid w:val="00654FBF"/>
    <w:rsid w:val="00655018"/>
    <w:rsid w:val="00655028"/>
    <w:rsid w:val="0065525B"/>
    <w:rsid w:val="0065533F"/>
    <w:rsid w:val="006553FC"/>
    <w:rsid w:val="0065548B"/>
    <w:rsid w:val="00655949"/>
    <w:rsid w:val="00655A00"/>
    <w:rsid w:val="00655C51"/>
    <w:rsid w:val="00656182"/>
    <w:rsid w:val="006561C7"/>
    <w:rsid w:val="006562AD"/>
    <w:rsid w:val="00656380"/>
    <w:rsid w:val="00656396"/>
    <w:rsid w:val="006565D5"/>
    <w:rsid w:val="0065678F"/>
    <w:rsid w:val="006568A2"/>
    <w:rsid w:val="006568B6"/>
    <w:rsid w:val="006568BE"/>
    <w:rsid w:val="00656AB2"/>
    <w:rsid w:val="00656BA3"/>
    <w:rsid w:val="00656BB0"/>
    <w:rsid w:val="00656C6A"/>
    <w:rsid w:val="00656CF6"/>
    <w:rsid w:val="00656D69"/>
    <w:rsid w:val="00656F3B"/>
    <w:rsid w:val="0065700F"/>
    <w:rsid w:val="00657278"/>
    <w:rsid w:val="00657389"/>
    <w:rsid w:val="006574D8"/>
    <w:rsid w:val="00657566"/>
    <w:rsid w:val="006575BA"/>
    <w:rsid w:val="006575F6"/>
    <w:rsid w:val="006577B4"/>
    <w:rsid w:val="0065795C"/>
    <w:rsid w:val="00657AD3"/>
    <w:rsid w:val="00657B20"/>
    <w:rsid w:val="00657C2D"/>
    <w:rsid w:val="00657E7E"/>
    <w:rsid w:val="00657EDE"/>
    <w:rsid w:val="00657EEF"/>
    <w:rsid w:val="00657FD4"/>
    <w:rsid w:val="00660166"/>
    <w:rsid w:val="00660358"/>
    <w:rsid w:val="0066044D"/>
    <w:rsid w:val="006605E2"/>
    <w:rsid w:val="006606E9"/>
    <w:rsid w:val="0066072A"/>
    <w:rsid w:val="006608AC"/>
    <w:rsid w:val="006608D0"/>
    <w:rsid w:val="00660ABE"/>
    <w:rsid w:val="00660CD5"/>
    <w:rsid w:val="00660D2A"/>
    <w:rsid w:val="00660DF3"/>
    <w:rsid w:val="00660F79"/>
    <w:rsid w:val="00660FA6"/>
    <w:rsid w:val="00660FED"/>
    <w:rsid w:val="006610DA"/>
    <w:rsid w:val="0066111E"/>
    <w:rsid w:val="00661533"/>
    <w:rsid w:val="00661593"/>
    <w:rsid w:val="00661619"/>
    <w:rsid w:val="00661630"/>
    <w:rsid w:val="006618F1"/>
    <w:rsid w:val="00661999"/>
    <w:rsid w:val="00661C3F"/>
    <w:rsid w:val="00661DD2"/>
    <w:rsid w:val="00661DD7"/>
    <w:rsid w:val="00661DEE"/>
    <w:rsid w:val="00661E36"/>
    <w:rsid w:val="00661EE7"/>
    <w:rsid w:val="00661FFF"/>
    <w:rsid w:val="0066201C"/>
    <w:rsid w:val="006621AE"/>
    <w:rsid w:val="00662207"/>
    <w:rsid w:val="00662264"/>
    <w:rsid w:val="00662459"/>
    <w:rsid w:val="00662606"/>
    <w:rsid w:val="006626C9"/>
    <w:rsid w:val="00662823"/>
    <w:rsid w:val="00662C92"/>
    <w:rsid w:val="00662DCD"/>
    <w:rsid w:val="00662E2F"/>
    <w:rsid w:val="00662F49"/>
    <w:rsid w:val="006630B1"/>
    <w:rsid w:val="00663126"/>
    <w:rsid w:val="00663166"/>
    <w:rsid w:val="006632E0"/>
    <w:rsid w:val="00663314"/>
    <w:rsid w:val="00663393"/>
    <w:rsid w:val="00663653"/>
    <w:rsid w:val="00663661"/>
    <w:rsid w:val="006636F3"/>
    <w:rsid w:val="00663889"/>
    <w:rsid w:val="00663A7F"/>
    <w:rsid w:val="00663B34"/>
    <w:rsid w:val="00663B69"/>
    <w:rsid w:val="00663CD7"/>
    <w:rsid w:val="00663E99"/>
    <w:rsid w:val="00663EB0"/>
    <w:rsid w:val="00664047"/>
    <w:rsid w:val="0066413F"/>
    <w:rsid w:val="00664156"/>
    <w:rsid w:val="006643AA"/>
    <w:rsid w:val="0066451A"/>
    <w:rsid w:val="00664566"/>
    <w:rsid w:val="00664789"/>
    <w:rsid w:val="006647A4"/>
    <w:rsid w:val="006647B0"/>
    <w:rsid w:val="00664932"/>
    <w:rsid w:val="006649B6"/>
    <w:rsid w:val="00664AE1"/>
    <w:rsid w:val="00664CEB"/>
    <w:rsid w:val="00664EE7"/>
    <w:rsid w:val="00664EFB"/>
    <w:rsid w:val="00664F16"/>
    <w:rsid w:val="006650FD"/>
    <w:rsid w:val="00665342"/>
    <w:rsid w:val="0066534C"/>
    <w:rsid w:val="00665495"/>
    <w:rsid w:val="0066550A"/>
    <w:rsid w:val="00665560"/>
    <w:rsid w:val="006655E6"/>
    <w:rsid w:val="0066568C"/>
    <w:rsid w:val="00665752"/>
    <w:rsid w:val="0066579C"/>
    <w:rsid w:val="00665813"/>
    <w:rsid w:val="00665859"/>
    <w:rsid w:val="00665971"/>
    <w:rsid w:val="00665A00"/>
    <w:rsid w:val="00665AB6"/>
    <w:rsid w:val="00665E30"/>
    <w:rsid w:val="00666033"/>
    <w:rsid w:val="00666143"/>
    <w:rsid w:val="006662EA"/>
    <w:rsid w:val="00666433"/>
    <w:rsid w:val="006665A3"/>
    <w:rsid w:val="006665B6"/>
    <w:rsid w:val="00666613"/>
    <w:rsid w:val="00666665"/>
    <w:rsid w:val="00666888"/>
    <w:rsid w:val="00666934"/>
    <w:rsid w:val="006669EF"/>
    <w:rsid w:val="00666D40"/>
    <w:rsid w:val="00666FF1"/>
    <w:rsid w:val="00667035"/>
    <w:rsid w:val="00667036"/>
    <w:rsid w:val="006671D9"/>
    <w:rsid w:val="00667244"/>
    <w:rsid w:val="006672D4"/>
    <w:rsid w:val="006672EA"/>
    <w:rsid w:val="0066734B"/>
    <w:rsid w:val="006673E4"/>
    <w:rsid w:val="00667474"/>
    <w:rsid w:val="006674E1"/>
    <w:rsid w:val="0066750E"/>
    <w:rsid w:val="0066753A"/>
    <w:rsid w:val="00667571"/>
    <w:rsid w:val="00667624"/>
    <w:rsid w:val="0066775F"/>
    <w:rsid w:val="00667815"/>
    <w:rsid w:val="00667ACA"/>
    <w:rsid w:val="00667B4A"/>
    <w:rsid w:val="00667B5A"/>
    <w:rsid w:val="00667C3C"/>
    <w:rsid w:val="00667D37"/>
    <w:rsid w:val="00667D90"/>
    <w:rsid w:val="00667EE9"/>
    <w:rsid w:val="00667F41"/>
    <w:rsid w:val="00670129"/>
    <w:rsid w:val="0067012A"/>
    <w:rsid w:val="006703AE"/>
    <w:rsid w:val="00670736"/>
    <w:rsid w:val="00670824"/>
    <w:rsid w:val="00670940"/>
    <w:rsid w:val="00670A84"/>
    <w:rsid w:val="00670B29"/>
    <w:rsid w:val="00670E56"/>
    <w:rsid w:val="00670EBE"/>
    <w:rsid w:val="00670F60"/>
    <w:rsid w:val="00670F9E"/>
    <w:rsid w:val="00670FED"/>
    <w:rsid w:val="00671064"/>
    <w:rsid w:val="006712A6"/>
    <w:rsid w:val="0067151C"/>
    <w:rsid w:val="006715DE"/>
    <w:rsid w:val="00671697"/>
    <w:rsid w:val="006716F9"/>
    <w:rsid w:val="0067171C"/>
    <w:rsid w:val="006718CE"/>
    <w:rsid w:val="00671ECF"/>
    <w:rsid w:val="00672135"/>
    <w:rsid w:val="00672193"/>
    <w:rsid w:val="0067263D"/>
    <w:rsid w:val="0067266C"/>
    <w:rsid w:val="006726EB"/>
    <w:rsid w:val="00672725"/>
    <w:rsid w:val="006727F0"/>
    <w:rsid w:val="00672B81"/>
    <w:rsid w:val="00672BB7"/>
    <w:rsid w:val="00672C40"/>
    <w:rsid w:val="00672CDE"/>
    <w:rsid w:val="00672E95"/>
    <w:rsid w:val="00672EDA"/>
    <w:rsid w:val="00672F13"/>
    <w:rsid w:val="00672FDB"/>
    <w:rsid w:val="0067304B"/>
    <w:rsid w:val="0067314C"/>
    <w:rsid w:val="0067326F"/>
    <w:rsid w:val="006732D6"/>
    <w:rsid w:val="00673592"/>
    <w:rsid w:val="006735E7"/>
    <w:rsid w:val="0067373E"/>
    <w:rsid w:val="006737EA"/>
    <w:rsid w:val="00673807"/>
    <w:rsid w:val="00673838"/>
    <w:rsid w:val="00673922"/>
    <w:rsid w:val="00673936"/>
    <w:rsid w:val="00673ADA"/>
    <w:rsid w:val="00673B39"/>
    <w:rsid w:val="00673BCB"/>
    <w:rsid w:val="00673CA6"/>
    <w:rsid w:val="00673CF5"/>
    <w:rsid w:val="00673EB1"/>
    <w:rsid w:val="00673EDD"/>
    <w:rsid w:val="0067451A"/>
    <w:rsid w:val="0067465A"/>
    <w:rsid w:val="006747B8"/>
    <w:rsid w:val="0067490A"/>
    <w:rsid w:val="00674994"/>
    <w:rsid w:val="006749B6"/>
    <w:rsid w:val="00674A3F"/>
    <w:rsid w:val="00674BB1"/>
    <w:rsid w:val="00674E62"/>
    <w:rsid w:val="0067500D"/>
    <w:rsid w:val="006750FE"/>
    <w:rsid w:val="00675108"/>
    <w:rsid w:val="006751A5"/>
    <w:rsid w:val="006751B9"/>
    <w:rsid w:val="00675380"/>
    <w:rsid w:val="006753AF"/>
    <w:rsid w:val="0067547A"/>
    <w:rsid w:val="00675562"/>
    <w:rsid w:val="0067564C"/>
    <w:rsid w:val="00675741"/>
    <w:rsid w:val="00675742"/>
    <w:rsid w:val="00675802"/>
    <w:rsid w:val="0067584E"/>
    <w:rsid w:val="006759B0"/>
    <w:rsid w:val="006759D4"/>
    <w:rsid w:val="006759FF"/>
    <w:rsid w:val="00675C21"/>
    <w:rsid w:val="00675C54"/>
    <w:rsid w:val="00675CF1"/>
    <w:rsid w:val="00675D0A"/>
    <w:rsid w:val="00675F79"/>
    <w:rsid w:val="00675FCF"/>
    <w:rsid w:val="0067602F"/>
    <w:rsid w:val="006760AA"/>
    <w:rsid w:val="006761E7"/>
    <w:rsid w:val="00676377"/>
    <w:rsid w:val="0067652F"/>
    <w:rsid w:val="006765FF"/>
    <w:rsid w:val="00676749"/>
    <w:rsid w:val="00676757"/>
    <w:rsid w:val="00676823"/>
    <w:rsid w:val="00676892"/>
    <w:rsid w:val="006768AE"/>
    <w:rsid w:val="00676A73"/>
    <w:rsid w:val="00676B1F"/>
    <w:rsid w:val="00676EAA"/>
    <w:rsid w:val="00677142"/>
    <w:rsid w:val="00677576"/>
    <w:rsid w:val="006778EC"/>
    <w:rsid w:val="006779AB"/>
    <w:rsid w:val="00677AF1"/>
    <w:rsid w:val="00677B54"/>
    <w:rsid w:val="00677BCB"/>
    <w:rsid w:val="00677BCD"/>
    <w:rsid w:val="00677CE5"/>
    <w:rsid w:val="00677D9F"/>
    <w:rsid w:val="006804AC"/>
    <w:rsid w:val="006806E4"/>
    <w:rsid w:val="00680A48"/>
    <w:rsid w:val="00680A7F"/>
    <w:rsid w:val="00680C49"/>
    <w:rsid w:val="00680CE0"/>
    <w:rsid w:val="00680E9F"/>
    <w:rsid w:val="00680F1A"/>
    <w:rsid w:val="00681048"/>
    <w:rsid w:val="006810AA"/>
    <w:rsid w:val="006810E3"/>
    <w:rsid w:val="00681132"/>
    <w:rsid w:val="00681175"/>
    <w:rsid w:val="006811CD"/>
    <w:rsid w:val="00681266"/>
    <w:rsid w:val="00681372"/>
    <w:rsid w:val="006813E5"/>
    <w:rsid w:val="006813FF"/>
    <w:rsid w:val="0068152C"/>
    <w:rsid w:val="00681596"/>
    <w:rsid w:val="0068162D"/>
    <w:rsid w:val="00681815"/>
    <w:rsid w:val="00681AF9"/>
    <w:rsid w:val="00681B55"/>
    <w:rsid w:val="00681B80"/>
    <w:rsid w:val="00681C15"/>
    <w:rsid w:val="00681C41"/>
    <w:rsid w:val="00681C83"/>
    <w:rsid w:val="00681C8A"/>
    <w:rsid w:val="00681DA9"/>
    <w:rsid w:val="00681F71"/>
    <w:rsid w:val="00682007"/>
    <w:rsid w:val="00682218"/>
    <w:rsid w:val="00682836"/>
    <w:rsid w:val="00682C86"/>
    <w:rsid w:val="00682CDD"/>
    <w:rsid w:val="00682D04"/>
    <w:rsid w:val="00682DFA"/>
    <w:rsid w:val="00682E21"/>
    <w:rsid w:val="00682E6C"/>
    <w:rsid w:val="00682F85"/>
    <w:rsid w:val="006830A3"/>
    <w:rsid w:val="006831C5"/>
    <w:rsid w:val="006832AB"/>
    <w:rsid w:val="006832E8"/>
    <w:rsid w:val="006834EE"/>
    <w:rsid w:val="00683618"/>
    <w:rsid w:val="00683691"/>
    <w:rsid w:val="00683917"/>
    <w:rsid w:val="00683951"/>
    <w:rsid w:val="00683A4B"/>
    <w:rsid w:val="00683A76"/>
    <w:rsid w:val="00683E61"/>
    <w:rsid w:val="00683ECE"/>
    <w:rsid w:val="00684001"/>
    <w:rsid w:val="0068412B"/>
    <w:rsid w:val="00684170"/>
    <w:rsid w:val="0068438D"/>
    <w:rsid w:val="006843B6"/>
    <w:rsid w:val="0068445A"/>
    <w:rsid w:val="00684716"/>
    <w:rsid w:val="0068476C"/>
    <w:rsid w:val="006847E5"/>
    <w:rsid w:val="00684A6A"/>
    <w:rsid w:val="00684A99"/>
    <w:rsid w:val="00684DBE"/>
    <w:rsid w:val="00684ECE"/>
    <w:rsid w:val="00684FDC"/>
    <w:rsid w:val="0068500F"/>
    <w:rsid w:val="00685198"/>
    <w:rsid w:val="00685256"/>
    <w:rsid w:val="00685312"/>
    <w:rsid w:val="00685456"/>
    <w:rsid w:val="006859BF"/>
    <w:rsid w:val="006859F5"/>
    <w:rsid w:val="00685C13"/>
    <w:rsid w:val="00685C2A"/>
    <w:rsid w:val="00685E43"/>
    <w:rsid w:val="00685F6E"/>
    <w:rsid w:val="00685FE9"/>
    <w:rsid w:val="006860EA"/>
    <w:rsid w:val="00686544"/>
    <w:rsid w:val="00686724"/>
    <w:rsid w:val="00686779"/>
    <w:rsid w:val="006867FD"/>
    <w:rsid w:val="006869C4"/>
    <w:rsid w:val="00686B6B"/>
    <w:rsid w:val="00686C48"/>
    <w:rsid w:val="00686ECB"/>
    <w:rsid w:val="00686ED1"/>
    <w:rsid w:val="00686ED9"/>
    <w:rsid w:val="00687025"/>
    <w:rsid w:val="00687264"/>
    <w:rsid w:val="006874DB"/>
    <w:rsid w:val="006875A2"/>
    <w:rsid w:val="0068767E"/>
    <w:rsid w:val="006877C3"/>
    <w:rsid w:val="00687848"/>
    <w:rsid w:val="00687914"/>
    <w:rsid w:val="00687B52"/>
    <w:rsid w:val="00687B81"/>
    <w:rsid w:val="00687DE0"/>
    <w:rsid w:val="00687E3B"/>
    <w:rsid w:val="00687E52"/>
    <w:rsid w:val="00687EA7"/>
    <w:rsid w:val="00687F8A"/>
    <w:rsid w:val="0069000C"/>
    <w:rsid w:val="0069003E"/>
    <w:rsid w:val="006900F0"/>
    <w:rsid w:val="00690118"/>
    <w:rsid w:val="0069023E"/>
    <w:rsid w:val="00690425"/>
    <w:rsid w:val="0069057E"/>
    <w:rsid w:val="006907D6"/>
    <w:rsid w:val="0069086E"/>
    <w:rsid w:val="00690ACB"/>
    <w:rsid w:val="00690BD2"/>
    <w:rsid w:val="00690C57"/>
    <w:rsid w:val="00690C78"/>
    <w:rsid w:val="00690E13"/>
    <w:rsid w:val="00690F4F"/>
    <w:rsid w:val="00690FE5"/>
    <w:rsid w:val="00691097"/>
    <w:rsid w:val="0069112C"/>
    <w:rsid w:val="00691260"/>
    <w:rsid w:val="00691344"/>
    <w:rsid w:val="006915B9"/>
    <w:rsid w:val="00691603"/>
    <w:rsid w:val="006916B2"/>
    <w:rsid w:val="006916E2"/>
    <w:rsid w:val="0069175B"/>
    <w:rsid w:val="006918C2"/>
    <w:rsid w:val="00691AE6"/>
    <w:rsid w:val="00691C96"/>
    <w:rsid w:val="00691CDA"/>
    <w:rsid w:val="00691DE2"/>
    <w:rsid w:val="00691F00"/>
    <w:rsid w:val="00692074"/>
    <w:rsid w:val="0069214D"/>
    <w:rsid w:val="006921F1"/>
    <w:rsid w:val="006922B7"/>
    <w:rsid w:val="006924A4"/>
    <w:rsid w:val="006925A9"/>
    <w:rsid w:val="00692770"/>
    <w:rsid w:val="00692A14"/>
    <w:rsid w:val="00692A81"/>
    <w:rsid w:val="00692AF4"/>
    <w:rsid w:val="00692D08"/>
    <w:rsid w:val="00692EA4"/>
    <w:rsid w:val="00692EB0"/>
    <w:rsid w:val="00692F0F"/>
    <w:rsid w:val="00692FC7"/>
    <w:rsid w:val="006930D9"/>
    <w:rsid w:val="00693152"/>
    <w:rsid w:val="00693259"/>
    <w:rsid w:val="00693286"/>
    <w:rsid w:val="006932BD"/>
    <w:rsid w:val="006934C9"/>
    <w:rsid w:val="00693526"/>
    <w:rsid w:val="00693590"/>
    <w:rsid w:val="006935F5"/>
    <w:rsid w:val="006935F7"/>
    <w:rsid w:val="006936A3"/>
    <w:rsid w:val="006936FD"/>
    <w:rsid w:val="00693862"/>
    <w:rsid w:val="00693892"/>
    <w:rsid w:val="006938B0"/>
    <w:rsid w:val="006938F5"/>
    <w:rsid w:val="00693A2E"/>
    <w:rsid w:val="00693B86"/>
    <w:rsid w:val="00693CD6"/>
    <w:rsid w:val="00693E71"/>
    <w:rsid w:val="00693F88"/>
    <w:rsid w:val="006940D0"/>
    <w:rsid w:val="00694115"/>
    <w:rsid w:val="00694226"/>
    <w:rsid w:val="00694242"/>
    <w:rsid w:val="00694277"/>
    <w:rsid w:val="006944DB"/>
    <w:rsid w:val="00694512"/>
    <w:rsid w:val="006946BC"/>
    <w:rsid w:val="006946D9"/>
    <w:rsid w:val="006947A6"/>
    <w:rsid w:val="006947BD"/>
    <w:rsid w:val="00694847"/>
    <w:rsid w:val="006948C0"/>
    <w:rsid w:val="00694A02"/>
    <w:rsid w:val="00694A6F"/>
    <w:rsid w:val="00694AA3"/>
    <w:rsid w:val="00694C2E"/>
    <w:rsid w:val="00694CC5"/>
    <w:rsid w:val="00694DD2"/>
    <w:rsid w:val="00694F01"/>
    <w:rsid w:val="006950F0"/>
    <w:rsid w:val="00695291"/>
    <w:rsid w:val="006953E6"/>
    <w:rsid w:val="0069564B"/>
    <w:rsid w:val="006956C9"/>
    <w:rsid w:val="0069570D"/>
    <w:rsid w:val="006958B5"/>
    <w:rsid w:val="006959E8"/>
    <w:rsid w:val="00695A20"/>
    <w:rsid w:val="00695C55"/>
    <w:rsid w:val="00695CA3"/>
    <w:rsid w:val="00695D1E"/>
    <w:rsid w:val="00695D88"/>
    <w:rsid w:val="00695F9D"/>
    <w:rsid w:val="00696115"/>
    <w:rsid w:val="0069615F"/>
    <w:rsid w:val="00696175"/>
    <w:rsid w:val="006962CF"/>
    <w:rsid w:val="006964A8"/>
    <w:rsid w:val="006964C5"/>
    <w:rsid w:val="00696596"/>
    <w:rsid w:val="0069660F"/>
    <w:rsid w:val="00696614"/>
    <w:rsid w:val="0069669A"/>
    <w:rsid w:val="006967FB"/>
    <w:rsid w:val="00696917"/>
    <w:rsid w:val="0069712D"/>
    <w:rsid w:val="00697169"/>
    <w:rsid w:val="0069716F"/>
    <w:rsid w:val="00697312"/>
    <w:rsid w:val="0069731F"/>
    <w:rsid w:val="0069752D"/>
    <w:rsid w:val="0069761F"/>
    <w:rsid w:val="00697694"/>
    <w:rsid w:val="00697762"/>
    <w:rsid w:val="00697804"/>
    <w:rsid w:val="0069780F"/>
    <w:rsid w:val="006978EE"/>
    <w:rsid w:val="0069797F"/>
    <w:rsid w:val="006979DC"/>
    <w:rsid w:val="00697BB4"/>
    <w:rsid w:val="00697E30"/>
    <w:rsid w:val="00697ED3"/>
    <w:rsid w:val="00697F8A"/>
    <w:rsid w:val="006A0010"/>
    <w:rsid w:val="006A001A"/>
    <w:rsid w:val="006A0124"/>
    <w:rsid w:val="006A0188"/>
    <w:rsid w:val="006A0237"/>
    <w:rsid w:val="006A041B"/>
    <w:rsid w:val="006A0667"/>
    <w:rsid w:val="006A073F"/>
    <w:rsid w:val="006A091A"/>
    <w:rsid w:val="006A0926"/>
    <w:rsid w:val="006A0946"/>
    <w:rsid w:val="006A0A09"/>
    <w:rsid w:val="006A0AB0"/>
    <w:rsid w:val="006A0AF3"/>
    <w:rsid w:val="006A0C56"/>
    <w:rsid w:val="006A1210"/>
    <w:rsid w:val="006A122B"/>
    <w:rsid w:val="006A1268"/>
    <w:rsid w:val="006A128E"/>
    <w:rsid w:val="006A132A"/>
    <w:rsid w:val="006A139F"/>
    <w:rsid w:val="006A15B7"/>
    <w:rsid w:val="006A1613"/>
    <w:rsid w:val="006A17DB"/>
    <w:rsid w:val="006A189C"/>
    <w:rsid w:val="006A1A1E"/>
    <w:rsid w:val="006A1C83"/>
    <w:rsid w:val="006A1E04"/>
    <w:rsid w:val="006A1ED1"/>
    <w:rsid w:val="006A1EEA"/>
    <w:rsid w:val="006A1EF1"/>
    <w:rsid w:val="006A1FB5"/>
    <w:rsid w:val="006A2059"/>
    <w:rsid w:val="006A206B"/>
    <w:rsid w:val="006A2294"/>
    <w:rsid w:val="006A22A9"/>
    <w:rsid w:val="006A22D6"/>
    <w:rsid w:val="006A2330"/>
    <w:rsid w:val="006A24C4"/>
    <w:rsid w:val="006A259A"/>
    <w:rsid w:val="006A2627"/>
    <w:rsid w:val="006A270D"/>
    <w:rsid w:val="006A27ED"/>
    <w:rsid w:val="006A2803"/>
    <w:rsid w:val="006A288E"/>
    <w:rsid w:val="006A28E9"/>
    <w:rsid w:val="006A28EA"/>
    <w:rsid w:val="006A29BD"/>
    <w:rsid w:val="006A29DB"/>
    <w:rsid w:val="006A2A64"/>
    <w:rsid w:val="006A2A91"/>
    <w:rsid w:val="006A2B8E"/>
    <w:rsid w:val="006A2BBC"/>
    <w:rsid w:val="006A2D30"/>
    <w:rsid w:val="006A2DA7"/>
    <w:rsid w:val="006A2DE6"/>
    <w:rsid w:val="006A30CF"/>
    <w:rsid w:val="006A311F"/>
    <w:rsid w:val="006A3604"/>
    <w:rsid w:val="006A3674"/>
    <w:rsid w:val="006A368E"/>
    <w:rsid w:val="006A36A6"/>
    <w:rsid w:val="006A36FD"/>
    <w:rsid w:val="006A37BD"/>
    <w:rsid w:val="006A380D"/>
    <w:rsid w:val="006A395C"/>
    <w:rsid w:val="006A39F8"/>
    <w:rsid w:val="006A3A4C"/>
    <w:rsid w:val="006A3BBB"/>
    <w:rsid w:val="006A3D72"/>
    <w:rsid w:val="006A3DE0"/>
    <w:rsid w:val="006A3F93"/>
    <w:rsid w:val="006A409C"/>
    <w:rsid w:val="006A422D"/>
    <w:rsid w:val="006A42EB"/>
    <w:rsid w:val="006A4352"/>
    <w:rsid w:val="006A43D8"/>
    <w:rsid w:val="006A45FF"/>
    <w:rsid w:val="006A4674"/>
    <w:rsid w:val="006A46A2"/>
    <w:rsid w:val="006A46D7"/>
    <w:rsid w:val="006A487F"/>
    <w:rsid w:val="006A4929"/>
    <w:rsid w:val="006A4B81"/>
    <w:rsid w:val="006A4BB0"/>
    <w:rsid w:val="006A4BC3"/>
    <w:rsid w:val="006A4C8B"/>
    <w:rsid w:val="006A4C9B"/>
    <w:rsid w:val="006A5158"/>
    <w:rsid w:val="006A5258"/>
    <w:rsid w:val="006A52BA"/>
    <w:rsid w:val="006A52C8"/>
    <w:rsid w:val="006A52F2"/>
    <w:rsid w:val="006A5655"/>
    <w:rsid w:val="006A569A"/>
    <w:rsid w:val="006A5889"/>
    <w:rsid w:val="006A5912"/>
    <w:rsid w:val="006A5984"/>
    <w:rsid w:val="006A5BBB"/>
    <w:rsid w:val="006A5BDE"/>
    <w:rsid w:val="006A5E27"/>
    <w:rsid w:val="006A5EA4"/>
    <w:rsid w:val="006A5F88"/>
    <w:rsid w:val="006A6109"/>
    <w:rsid w:val="006A6194"/>
    <w:rsid w:val="006A62D9"/>
    <w:rsid w:val="006A639A"/>
    <w:rsid w:val="006A6446"/>
    <w:rsid w:val="006A67D8"/>
    <w:rsid w:val="006A6892"/>
    <w:rsid w:val="006A68F5"/>
    <w:rsid w:val="006A690B"/>
    <w:rsid w:val="006A6977"/>
    <w:rsid w:val="006A6985"/>
    <w:rsid w:val="006A6AAD"/>
    <w:rsid w:val="006A6B67"/>
    <w:rsid w:val="006A6BD3"/>
    <w:rsid w:val="006A6C46"/>
    <w:rsid w:val="006A6C48"/>
    <w:rsid w:val="006A6CDC"/>
    <w:rsid w:val="006A6D86"/>
    <w:rsid w:val="006A6EFD"/>
    <w:rsid w:val="006A712E"/>
    <w:rsid w:val="006A71D9"/>
    <w:rsid w:val="006A75A5"/>
    <w:rsid w:val="006A75D4"/>
    <w:rsid w:val="006A772A"/>
    <w:rsid w:val="006A790A"/>
    <w:rsid w:val="006A79DD"/>
    <w:rsid w:val="006A7A36"/>
    <w:rsid w:val="006A7A8B"/>
    <w:rsid w:val="006A7C1F"/>
    <w:rsid w:val="006A7CDB"/>
    <w:rsid w:val="006A7DBD"/>
    <w:rsid w:val="006A7E8E"/>
    <w:rsid w:val="006B0034"/>
    <w:rsid w:val="006B0380"/>
    <w:rsid w:val="006B03C9"/>
    <w:rsid w:val="006B04AC"/>
    <w:rsid w:val="006B055C"/>
    <w:rsid w:val="006B0693"/>
    <w:rsid w:val="006B0A56"/>
    <w:rsid w:val="006B0AE9"/>
    <w:rsid w:val="006B0B42"/>
    <w:rsid w:val="006B0E66"/>
    <w:rsid w:val="006B0EDD"/>
    <w:rsid w:val="006B0F06"/>
    <w:rsid w:val="006B0F4E"/>
    <w:rsid w:val="006B11E1"/>
    <w:rsid w:val="006B133B"/>
    <w:rsid w:val="006B1472"/>
    <w:rsid w:val="006B1499"/>
    <w:rsid w:val="006B15C9"/>
    <w:rsid w:val="006B16FB"/>
    <w:rsid w:val="006B175D"/>
    <w:rsid w:val="006B178C"/>
    <w:rsid w:val="006B179B"/>
    <w:rsid w:val="006B1948"/>
    <w:rsid w:val="006B1A1E"/>
    <w:rsid w:val="006B1A9D"/>
    <w:rsid w:val="006B1D00"/>
    <w:rsid w:val="006B1E8E"/>
    <w:rsid w:val="006B1EAF"/>
    <w:rsid w:val="006B1FE4"/>
    <w:rsid w:val="006B1FED"/>
    <w:rsid w:val="006B2090"/>
    <w:rsid w:val="006B222F"/>
    <w:rsid w:val="006B2239"/>
    <w:rsid w:val="006B24C3"/>
    <w:rsid w:val="006B2673"/>
    <w:rsid w:val="006B2777"/>
    <w:rsid w:val="006B2979"/>
    <w:rsid w:val="006B2C50"/>
    <w:rsid w:val="006B2C59"/>
    <w:rsid w:val="006B2DF1"/>
    <w:rsid w:val="006B2E07"/>
    <w:rsid w:val="006B3198"/>
    <w:rsid w:val="006B3318"/>
    <w:rsid w:val="006B33FC"/>
    <w:rsid w:val="006B3591"/>
    <w:rsid w:val="006B3664"/>
    <w:rsid w:val="006B3717"/>
    <w:rsid w:val="006B37BD"/>
    <w:rsid w:val="006B37C6"/>
    <w:rsid w:val="006B3E4B"/>
    <w:rsid w:val="006B4150"/>
    <w:rsid w:val="006B4580"/>
    <w:rsid w:val="006B46A0"/>
    <w:rsid w:val="006B4762"/>
    <w:rsid w:val="006B4825"/>
    <w:rsid w:val="006B4875"/>
    <w:rsid w:val="006B4966"/>
    <w:rsid w:val="006B4B5F"/>
    <w:rsid w:val="006B4B62"/>
    <w:rsid w:val="006B4C0C"/>
    <w:rsid w:val="006B4C2C"/>
    <w:rsid w:val="006B4DA7"/>
    <w:rsid w:val="006B4E2A"/>
    <w:rsid w:val="006B5209"/>
    <w:rsid w:val="006B542B"/>
    <w:rsid w:val="006B5498"/>
    <w:rsid w:val="006B55E6"/>
    <w:rsid w:val="006B5638"/>
    <w:rsid w:val="006B563E"/>
    <w:rsid w:val="006B56B7"/>
    <w:rsid w:val="006B572E"/>
    <w:rsid w:val="006B577E"/>
    <w:rsid w:val="006B58F2"/>
    <w:rsid w:val="006B5997"/>
    <w:rsid w:val="006B59C7"/>
    <w:rsid w:val="006B5A6B"/>
    <w:rsid w:val="006B5AF2"/>
    <w:rsid w:val="006B5B25"/>
    <w:rsid w:val="006B5CC4"/>
    <w:rsid w:val="006B5D8B"/>
    <w:rsid w:val="006B5EA0"/>
    <w:rsid w:val="006B5FEA"/>
    <w:rsid w:val="006B601A"/>
    <w:rsid w:val="006B613E"/>
    <w:rsid w:val="006B6258"/>
    <w:rsid w:val="006B627D"/>
    <w:rsid w:val="006B6298"/>
    <w:rsid w:val="006B638E"/>
    <w:rsid w:val="006B63F3"/>
    <w:rsid w:val="006B64ED"/>
    <w:rsid w:val="006B655B"/>
    <w:rsid w:val="006B65C1"/>
    <w:rsid w:val="006B6773"/>
    <w:rsid w:val="006B69C2"/>
    <w:rsid w:val="006B69FE"/>
    <w:rsid w:val="006B6ABB"/>
    <w:rsid w:val="006B6B01"/>
    <w:rsid w:val="006B6C6E"/>
    <w:rsid w:val="006B6DCC"/>
    <w:rsid w:val="006B6DED"/>
    <w:rsid w:val="006B6E46"/>
    <w:rsid w:val="006B6E69"/>
    <w:rsid w:val="006B6EAC"/>
    <w:rsid w:val="006B6F93"/>
    <w:rsid w:val="006B70E8"/>
    <w:rsid w:val="006B72E7"/>
    <w:rsid w:val="006B7402"/>
    <w:rsid w:val="006B7596"/>
    <w:rsid w:val="006B7660"/>
    <w:rsid w:val="006B7705"/>
    <w:rsid w:val="006B782C"/>
    <w:rsid w:val="006B78CF"/>
    <w:rsid w:val="006B7998"/>
    <w:rsid w:val="006B79C6"/>
    <w:rsid w:val="006B7A5D"/>
    <w:rsid w:val="006B7B38"/>
    <w:rsid w:val="006B7B4F"/>
    <w:rsid w:val="006B7B62"/>
    <w:rsid w:val="006B7BFB"/>
    <w:rsid w:val="006B7D98"/>
    <w:rsid w:val="006B7DAE"/>
    <w:rsid w:val="006B7DCD"/>
    <w:rsid w:val="006B7E00"/>
    <w:rsid w:val="006B7E45"/>
    <w:rsid w:val="006B7EA2"/>
    <w:rsid w:val="006B7FD2"/>
    <w:rsid w:val="006B7FE5"/>
    <w:rsid w:val="006C00B1"/>
    <w:rsid w:val="006C0215"/>
    <w:rsid w:val="006C0250"/>
    <w:rsid w:val="006C0325"/>
    <w:rsid w:val="006C0544"/>
    <w:rsid w:val="006C05CD"/>
    <w:rsid w:val="006C074B"/>
    <w:rsid w:val="006C07CC"/>
    <w:rsid w:val="006C0847"/>
    <w:rsid w:val="006C08DC"/>
    <w:rsid w:val="006C08F8"/>
    <w:rsid w:val="006C0BE7"/>
    <w:rsid w:val="006C0CDC"/>
    <w:rsid w:val="006C0EF9"/>
    <w:rsid w:val="006C0FB1"/>
    <w:rsid w:val="006C1061"/>
    <w:rsid w:val="006C11CD"/>
    <w:rsid w:val="006C128C"/>
    <w:rsid w:val="006C148D"/>
    <w:rsid w:val="006C156C"/>
    <w:rsid w:val="006C1669"/>
    <w:rsid w:val="006C16C8"/>
    <w:rsid w:val="006C17B4"/>
    <w:rsid w:val="006C185C"/>
    <w:rsid w:val="006C18A9"/>
    <w:rsid w:val="006C19BA"/>
    <w:rsid w:val="006C1C74"/>
    <w:rsid w:val="006C1CE8"/>
    <w:rsid w:val="006C1E4F"/>
    <w:rsid w:val="006C1E6B"/>
    <w:rsid w:val="006C1F9A"/>
    <w:rsid w:val="006C1FB1"/>
    <w:rsid w:val="006C202F"/>
    <w:rsid w:val="006C21C6"/>
    <w:rsid w:val="006C229B"/>
    <w:rsid w:val="006C236C"/>
    <w:rsid w:val="006C23F4"/>
    <w:rsid w:val="006C243D"/>
    <w:rsid w:val="006C24A2"/>
    <w:rsid w:val="006C2791"/>
    <w:rsid w:val="006C2C8B"/>
    <w:rsid w:val="006C2DAD"/>
    <w:rsid w:val="006C2F3B"/>
    <w:rsid w:val="006C2FDB"/>
    <w:rsid w:val="006C30C8"/>
    <w:rsid w:val="006C317A"/>
    <w:rsid w:val="006C31D7"/>
    <w:rsid w:val="006C3240"/>
    <w:rsid w:val="006C32C3"/>
    <w:rsid w:val="006C344E"/>
    <w:rsid w:val="006C3487"/>
    <w:rsid w:val="006C359F"/>
    <w:rsid w:val="006C36FA"/>
    <w:rsid w:val="006C379A"/>
    <w:rsid w:val="006C387A"/>
    <w:rsid w:val="006C3A18"/>
    <w:rsid w:val="006C3C6C"/>
    <w:rsid w:val="006C3CDA"/>
    <w:rsid w:val="006C3DE8"/>
    <w:rsid w:val="006C41A8"/>
    <w:rsid w:val="006C429C"/>
    <w:rsid w:val="006C43C0"/>
    <w:rsid w:val="006C45C7"/>
    <w:rsid w:val="006C4682"/>
    <w:rsid w:val="006C48BB"/>
    <w:rsid w:val="006C4912"/>
    <w:rsid w:val="006C4D11"/>
    <w:rsid w:val="006C4F96"/>
    <w:rsid w:val="006C5111"/>
    <w:rsid w:val="006C51EC"/>
    <w:rsid w:val="006C527B"/>
    <w:rsid w:val="006C527D"/>
    <w:rsid w:val="006C52F3"/>
    <w:rsid w:val="006C53A0"/>
    <w:rsid w:val="006C545F"/>
    <w:rsid w:val="006C5512"/>
    <w:rsid w:val="006C5560"/>
    <w:rsid w:val="006C560A"/>
    <w:rsid w:val="006C56A1"/>
    <w:rsid w:val="006C56F1"/>
    <w:rsid w:val="006C57CB"/>
    <w:rsid w:val="006C588E"/>
    <w:rsid w:val="006C5A10"/>
    <w:rsid w:val="006C5CAE"/>
    <w:rsid w:val="006C5CE5"/>
    <w:rsid w:val="006C5D35"/>
    <w:rsid w:val="006C5D8A"/>
    <w:rsid w:val="006C648E"/>
    <w:rsid w:val="006C655B"/>
    <w:rsid w:val="006C683C"/>
    <w:rsid w:val="006C6E00"/>
    <w:rsid w:val="006C6ED5"/>
    <w:rsid w:val="006C6FC9"/>
    <w:rsid w:val="006C717A"/>
    <w:rsid w:val="006C71F3"/>
    <w:rsid w:val="006C73A3"/>
    <w:rsid w:val="006C7587"/>
    <w:rsid w:val="006C75E6"/>
    <w:rsid w:val="006C76A4"/>
    <w:rsid w:val="006C78D3"/>
    <w:rsid w:val="006C7979"/>
    <w:rsid w:val="006C79CC"/>
    <w:rsid w:val="006C7C3B"/>
    <w:rsid w:val="006C7DA9"/>
    <w:rsid w:val="006C7DAF"/>
    <w:rsid w:val="006C7E1C"/>
    <w:rsid w:val="006C7FC5"/>
    <w:rsid w:val="006D0106"/>
    <w:rsid w:val="006D0185"/>
    <w:rsid w:val="006D0350"/>
    <w:rsid w:val="006D08B7"/>
    <w:rsid w:val="006D0949"/>
    <w:rsid w:val="006D0AD9"/>
    <w:rsid w:val="006D0B0A"/>
    <w:rsid w:val="006D0C01"/>
    <w:rsid w:val="006D0CB5"/>
    <w:rsid w:val="006D0CE7"/>
    <w:rsid w:val="006D0D01"/>
    <w:rsid w:val="006D0F0D"/>
    <w:rsid w:val="006D10E8"/>
    <w:rsid w:val="006D1141"/>
    <w:rsid w:val="006D11FF"/>
    <w:rsid w:val="006D1249"/>
    <w:rsid w:val="006D129E"/>
    <w:rsid w:val="006D135F"/>
    <w:rsid w:val="006D1462"/>
    <w:rsid w:val="006D149C"/>
    <w:rsid w:val="006D1570"/>
    <w:rsid w:val="006D159F"/>
    <w:rsid w:val="006D15CB"/>
    <w:rsid w:val="006D189B"/>
    <w:rsid w:val="006D1920"/>
    <w:rsid w:val="006D1961"/>
    <w:rsid w:val="006D19E0"/>
    <w:rsid w:val="006D1D02"/>
    <w:rsid w:val="006D1D32"/>
    <w:rsid w:val="006D1D7E"/>
    <w:rsid w:val="006D2153"/>
    <w:rsid w:val="006D2275"/>
    <w:rsid w:val="006D239A"/>
    <w:rsid w:val="006D28B6"/>
    <w:rsid w:val="006D28FF"/>
    <w:rsid w:val="006D2985"/>
    <w:rsid w:val="006D2991"/>
    <w:rsid w:val="006D29FE"/>
    <w:rsid w:val="006D2A8E"/>
    <w:rsid w:val="006D2B6E"/>
    <w:rsid w:val="006D2C05"/>
    <w:rsid w:val="006D2F4F"/>
    <w:rsid w:val="006D2FBC"/>
    <w:rsid w:val="006D3207"/>
    <w:rsid w:val="006D3276"/>
    <w:rsid w:val="006D3373"/>
    <w:rsid w:val="006D33BB"/>
    <w:rsid w:val="006D35C8"/>
    <w:rsid w:val="006D3647"/>
    <w:rsid w:val="006D36BB"/>
    <w:rsid w:val="006D39F0"/>
    <w:rsid w:val="006D3A7D"/>
    <w:rsid w:val="006D3BF4"/>
    <w:rsid w:val="006D3BFC"/>
    <w:rsid w:val="006D3CF3"/>
    <w:rsid w:val="006D3D94"/>
    <w:rsid w:val="006D3F22"/>
    <w:rsid w:val="006D3F51"/>
    <w:rsid w:val="006D4153"/>
    <w:rsid w:val="006D41B8"/>
    <w:rsid w:val="006D424B"/>
    <w:rsid w:val="006D43F9"/>
    <w:rsid w:val="006D445A"/>
    <w:rsid w:val="006D4500"/>
    <w:rsid w:val="006D460E"/>
    <w:rsid w:val="006D468F"/>
    <w:rsid w:val="006D46CA"/>
    <w:rsid w:val="006D4774"/>
    <w:rsid w:val="006D47B1"/>
    <w:rsid w:val="006D482C"/>
    <w:rsid w:val="006D4C96"/>
    <w:rsid w:val="006D4CE6"/>
    <w:rsid w:val="006D4D2E"/>
    <w:rsid w:val="006D4DAA"/>
    <w:rsid w:val="006D4DBC"/>
    <w:rsid w:val="006D4DD0"/>
    <w:rsid w:val="006D5010"/>
    <w:rsid w:val="006D515D"/>
    <w:rsid w:val="006D527E"/>
    <w:rsid w:val="006D54C5"/>
    <w:rsid w:val="006D54F9"/>
    <w:rsid w:val="006D5543"/>
    <w:rsid w:val="006D554E"/>
    <w:rsid w:val="006D5662"/>
    <w:rsid w:val="006D566B"/>
    <w:rsid w:val="006D5753"/>
    <w:rsid w:val="006D578B"/>
    <w:rsid w:val="006D58BB"/>
    <w:rsid w:val="006D596C"/>
    <w:rsid w:val="006D59CD"/>
    <w:rsid w:val="006D5A23"/>
    <w:rsid w:val="006D5AAB"/>
    <w:rsid w:val="006D5AB5"/>
    <w:rsid w:val="006D5AC5"/>
    <w:rsid w:val="006D5B6C"/>
    <w:rsid w:val="006D5C72"/>
    <w:rsid w:val="006D5DAF"/>
    <w:rsid w:val="006D5DD1"/>
    <w:rsid w:val="006D5E5D"/>
    <w:rsid w:val="006D600A"/>
    <w:rsid w:val="006D625D"/>
    <w:rsid w:val="006D626E"/>
    <w:rsid w:val="006D6567"/>
    <w:rsid w:val="006D65A9"/>
    <w:rsid w:val="006D6621"/>
    <w:rsid w:val="006D66D8"/>
    <w:rsid w:val="006D66EE"/>
    <w:rsid w:val="006D6793"/>
    <w:rsid w:val="006D67FF"/>
    <w:rsid w:val="006D6807"/>
    <w:rsid w:val="006D69DC"/>
    <w:rsid w:val="006D6BA8"/>
    <w:rsid w:val="006D6CAC"/>
    <w:rsid w:val="006D6D47"/>
    <w:rsid w:val="006D6D63"/>
    <w:rsid w:val="006D70C7"/>
    <w:rsid w:val="006D71F1"/>
    <w:rsid w:val="006D7222"/>
    <w:rsid w:val="006D7238"/>
    <w:rsid w:val="006D753C"/>
    <w:rsid w:val="006D75B4"/>
    <w:rsid w:val="006D788F"/>
    <w:rsid w:val="006D78D7"/>
    <w:rsid w:val="006D795E"/>
    <w:rsid w:val="006D79D7"/>
    <w:rsid w:val="006D7AD2"/>
    <w:rsid w:val="006D7B30"/>
    <w:rsid w:val="006D7C37"/>
    <w:rsid w:val="006D7CFB"/>
    <w:rsid w:val="006D7D0F"/>
    <w:rsid w:val="006D7D28"/>
    <w:rsid w:val="006D7DEA"/>
    <w:rsid w:val="006D7F45"/>
    <w:rsid w:val="006D7FAA"/>
    <w:rsid w:val="006D7FD8"/>
    <w:rsid w:val="006E001B"/>
    <w:rsid w:val="006E0081"/>
    <w:rsid w:val="006E0267"/>
    <w:rsid w:val="006E04E8"/>
    <w:rsid w:val="006E054D"/>
    <w:rsid w:val="006E05D3"/>
    <w:rsid w:val="006E05E4"/>
    <w:rsid w:val="006E066A"/>
    <w:rsid w:val="006E083C"/>
    <w:rsid w:val="006E08B2"/>
    <w:rsid w:val="006E0AC8"/>
    <w:rsid w:val="006E0BAC"/>
    <w:rsid w:val="006E0C30"/>
    <w:rsid w:val="006E0CC0"/>
    <w:rsid w:val="006E0DF2"/>
    <w:rsid w:val="006E0F02"/>
    <w:rsid w:val="006E1093"/>
    <w:rsid w:val="006E10BB"/>
    <w:rsid w:val="006E113B"/>
    <w:rsid w:val="006E116E"/>
    <w:rsid w:val="006E1186"/>
    <w:rsid w:val="006E1259"/>
    <w:rsid w:val="006E12E9"/>
    <w:rsid w:val="006E143E"/>
    <w:rsid w:val="006E14ED"/>
    <w:rsid w:val="006E164E"/>
    <w:rsid w:val="006E16FB"/>
    <w:rsid w:val="006E1736"/>
    <w:rsid w:val="006E1865"/>
    <w:rsid w:val="006E18DD"/>
    <w:rsid w:val="006E1956"/>
    <w:rsid w:val="006E195B"/>
    <w:rsid w:val="006E19E9"/>
    <w:rsid w:val="006E1A34"/>
    <w:rsid w:val="006E1BEC"/>
    <w:rsid w:val="006E1EDF"/>
    <w:rsid w:val="006E208B"/>
    <w:rsid w:val="006E20EE"/>
    <w:rsid w:val="006E231B"/>
    <w:rsid w:val="006E233C"/>
    <w:rsid w:val="006E254C"/>
    <w:rsid w:val="006E27CE"/>
    <w:rsid w:val="006E29B7"/>
    <w:rsid w:val="006E29C6"/>
    <w:rsid w:val="006E29E3"/>
    <w:rsid w:val="006E2A1E"/>
    <w:rsid w:val="006E2CC7"/>
    <w:rsid w:val="006E2ED6"/>
    <w:rsid w:val="006E2F55"/>
    <w:rsid w:val="006E2F6B"/>
    <w:rsid w:val="006E2F90"/>
    <w:rsid w:val="006E2FEB"/>
    <w:rsid w:val="006E2FEC"/>
    <w:rsid w:val="006E3079"/>
    <w:rsid w:val="006E31DA"/>
    <w:rsid w:val="006E3224"/>
    <w:rsid w:val="006E337C"/>
    <w:rsid w:val="006E369A"/>
    <w:rsid w:val="006E3891"/>
    <w:rsid w:val="006E3AF1"/>
    <w:rsid w:val="006E3EFF"/>
    <w:rsid w:val="006E3FFF"/>
    <w:rsid w:val="006E417F"/>
    <w:rsid w:val="006E41FA"/>
    <w:rsid w:val="006E4273"/>
    <w:rsid w:val="006E43D1"/>
    <w:rsid w:val="006E452C"/>
    <w:rsid w:val="006E4553"/>
    <w:rsid w:val="006E468E"/>
    <w:rsid w:val="006E46DF"/>
    <w:rsid w:val="006E47CB"/>
    <w:rsid w:val="006E47F3"/>
    <w:rsid w:val="006E481C"/>
    <w:rsid w:val="006E487F"/>
    <w:rsid w:val="006E4A32"/>
    <w:rsid w:val="006E4AD3"/>
    <w:rsid w:val="006E4AEA"/>
    <w:rsid w:val="006E4B43"/>
    <w:rsid w:val="006E4B9A"/>
    <w:rsid w:val="006E4C3D"/>
    <w:rsid w:val="006E4C90"/>
    <w:rsid w:val="006E4E0E"/>
    <w:rsid w:val="006E4E6B"/>
    <w:rsid w:val="006E534E"/>
    <w:rsid w:val="006E56D2"/>
    <w:rsid w:val="006E5B74"/>
    <w:rsid w:val="006E5BC5"/>
    <w:rsid w:val="006E5BEC"/>
    <w:rsid w:val="006E5D6D"/>
    <w:rsid w:val="006E5DC7"/>
    <w:rsid w:val="006E5E40"/>
    <w:rsid w:val="006E617A"/>
    <w:rsid w:val="006E61A5"/>
    <w:rsid w:val="006E62B1"/>
    <w:rsid w:val="006E635F"/>
    <w:rsid w:val="006E63A2"/>
    <w:rsid w:val="006E6450"/>
    <w:rsid w:val="006E64F0"/>
    <w:rsid w:val="006E65F0"/>
    <w:rsid w:val="006E667E"/>
    <w:rsid w:val="006E6758"/>
    <w:rsid w:val="006E699A"/>
    <w:rsid w:val="006E69BF"/>
    <w:rsid w:val="006E6A9A"/>
    <w:rsid w:val="006E6ACF"/>
    <w:rsid w:val="006E6BF8"/>
    <w:rsid w:val="006E6DA3"/>
    <w:rsid w:val="006E6DA8"/>
    <w:rsid w:val="006E6DE1"/>
    <w:rsid w:val="006E6EC7"/>
    <w:rsid w:val="006E701F"/>
    <w:rsid w:val="006E71CA"/>
    <w:rsid w:val="006E730D"/>
    <w:rsid w:val="006E7423"/>
    <w:rsid w:val="006E74D0"/>
    <w:rsid w:val="006E755E"/>
    <w:rsid w:val="006E7589"/>
    <w:rsid w:val="006E780E"/>
    <w:rsid w:val="006E7884"/>
    <w:rsid w:val="006E7943"/>
    <w:rsid w:val="006E797D"/>
    <w:rsid w:val="006E79A3"/>
    <w:rsid w:val="006E7A98"/>
    <w:rsid w:val="006E7CC2"/>
    <w:rsid w:val="006E7D43"/>
    <w:rsid w:val="006E7DB4"/>
    <w:rsid w:val="006E7EAD"/>
    <w:rsid w:val="006EA90B"/>
    <w:rsid w:val="006F0214"/>
    <w:rsid w:val="006F041D"/>
    <w:rsid w:val="006F0441"/>
    <w:rsid w:val="006F045B"/>
    <w:rsid w:val="006F0500"/>
    <w:rsid w:val="006F0735"/>
    <w:rsid w:val="006F076A"/>
    <w:rsid w:val="006F07D4"/>
    <w:rsid w:val="006F0965"/>
    <w:rsid w:val="006F0AB1"/>
    <w:rsid w:val="006F0AE5"/>
    <w:rsid w:val="006F0C38"/>
    <w:rsid w:val="006F0C40"/>
    <w:rsid w:val="006F0C81"/>
    <w:rsid w:val="006F0C9D"/>
    <w:rsid w:val="006F0E61"/>
    <w:rsid w:val="006F102A"/>
    <w:rsid w:val="006F103A"/>
    <w:rsid w:val="006F129B"/>
    <w:rsid w:val="006F137C"/>
    <w:rsid w:val="006F1481"/>
    <w:rsid w:val="006F14BE"/>
    <w:rsid w:val="006F1534"/>
    <w:rsid w:val="006F15B0"/>
    <w:rsid w:val="006F1606"/>
    <w:rsid w:val="006F16DF"/>
    <w:rsid w:val="006F17BC"/>
    <w:rsid w:val="006F1813"/>
    <w:rsid w:val="006F186B"/>
    <w:rsid w:val="006F189B"/>
    <w:rsid w:val="006F1AD0"/>
    <w:rsid w:val="006F1BAC"/>
    <w:rsid w:val="006F1CEC"/>
    <w:rsid w:val="006F1D6F"/>
    <w:rsid w:val="006F1FCE"/>
    <w:rsid w:val="006F1FE0"/>
    <w:rsid w:val="006F2012"/>
    <w:rsid w:val="006F22ED"/>
    <w:rsid w:val="006F2319"/>
    <w:rsid w:val="006F2352"/>
    <w:rsid w:val="006F2588"/>
    <w:rsid w:val="006F25DB"/>
    <w:rsid w:val="006F25E0"/>
    <w:rsid w:val="006F25FD"/>
    <w:rsid w:val="006F273C"/>
    <w:rsid w:val="006F274A"/>
    <w:rsid w:val="006F290E"/>
    <w:rsid w:val="006F29D6"/>
    <w:rsid w:val="006F2A59"/>
    <w:rsid w:val="006F2F95"/>
    <w:rsid w:val="006F3074"/>
    <w:rsid w:val="006F307A"/>
    <w:rsid w:val="006F3233"/>
    <w:rsid w:val="006F33A2"/>
    <w:rsid w:val="006F33E6"/>
    <w:rsid w:val="006F3467"/>
    <w:rsid w:val="006F3531"/>
    <w:rsid w:val="006F3590"/>
    <w:rsid w:val="006F36E6"/>
    <w:rsid w:val="006F3911"/>
    <w:rsid w:val="006F3980"/>
    <w:rsid w:val="006F3AEC"/>
    <w:rsid w:val="006F3E79"/>
    <w:rsid w:val="006F3EBB"/>
    <w:rsid w:val="006F3ECB"/>
    <w:rsid w:val="006F3FD4"/>
    <w:rsid w:val="006F403D"/>
    <w:rsid w:val="006F406F"/>
    <w:rsid w:val="006F40A3"/>
    <w:rsid w:val="006F40D6"/>
    <w:rsid w:val="006F411E"/>
    <w:rsid w:val="006F4307"/>
    <w:rsid w:val="006F4312"/>
    <w:rsid w:val="006F4552"/>
    <w:rsid w:val="006F457A"/>
    <w:rsid w:val="006F45F5"/>
    <w:rsid w:val="006F463C"/>
    <w:rsid w:val="006F4650"/>
    <w:rsid w:val="006F4795"/>
    <w:rsid w:val="006F47AE"/>
    <w:rsid w:val="006F47BC"/>
    <w:rsid w:val="006F47C4"/>
    <w:rsid w:val="006F4908"/>
    <w:rsid w:val="006F4948"/>
    <w:rsid w:val="006F4A0F"/>
    <w:rsid w:val="006F4A34"/>
    <w:rsid w:val="006F4AA1"/>
    <w:rsid w:val="006F4C60"/>
    <w:rsid w:val="006F4D9F"/>
    <w:rsid w:val="006F4DA9"/>
    <w:rsid w:val="006F4E2C"/>
    <w:rsid w:val="006F4F0D"/>
    <w:rsid w:val="006F4F27"/>
    <w:rsid w:val="006F4F69"/>
    <w:rsid w:val="006F51EF"/>
    <w:rsid w:val="006F53A1"/>
    <w:rsid w:val="006F5748"/>
    <w:rsid w:val="006F5790"/>
    <w:rsid w:val="006F5892"/>
    <w:rsid w:val="006F5976"/>
    <w:rsid w:val="006F59FA"/>
    <w:rsid w:val="006F5F89"/>
    <w:rsid w:val="006F5FDB"/>
    <w:rsid w:val="006F64A5"/>
    <w:rsid w:val="006F65CA"/>
    <w:rsid w:val="006F66B2"/>
    <w:rsid w:val="006F6769"/>
    <w:rsid w:val="006F6A3F"/>
    <w:rsid w:val="006F6A49"/>
    <w:rsid w:val="006F6ACE"/>
    <w:rsid w:val="006F6C81"/>
    <w:rsid w:val="006F6CFC"/>
    <w:rsid w:val="006F6E38"/>
    <w:rsid w:val="006F70DA"/>
    <w:rsid w:val="006F70FE"/>
    <w:rsid w:val="006F712C"/>
    <w:rsid w:val="006F74C6"/>
    <w:rsid w:val="006F7687"/>
    <w:rsid w:val="006F7978"/>
    <w:rsid w:val="006F7B6B"/>
    <w:rsid w:val="006F7C41"/>
    <w:rsid w:val="006F7D0E"/>
    <w:rsid w:val="006F7DBE"/>
    <w:rsid w:val="006F7E6B"/>
    <w:rsid w:val="006F7EA3"/>
    <w:rsid w:val="006F7F2D"/>
    <w:rsid w:val="006F7F34"/>
    <w:rsid w:val="006F7F8C"/>
    <w:rsid w:val="0070026D"/>
    <w:rsid w:val="007002AA"/>
    <w:rsid w:val="00700665"/>
    <w:rsid w:val="00700772"/>
    <w:rsid w:val="007007B7"/>
    <w:rsid w:val="0070089E"/>
    <w:rsid w:val="007009D9"/>
    <w:rsid w:val="007009FF"/>
    <w:rsid w:val="00700A20"/>
    <w:rsid w:val="00700A59"/>
    <w:rsid w:val="00700A8C"/>
    <w:rsid w:val="00700B86"/>
    <w:rsid w:val="00700C38"/>
    <w:rsid w:val="00700CD2"/>
    <w:rsid w:val="00700E31"/>
    <w:rsid w:val="00700E9C"/>
    <w:rsid w:val="00700F5C"/>
    <w:rsid w:val="00701037"/>
    <w:rsid w:val="0070112E"/>
    <w:rsid w:val="00701260"/>
    <w:rsid w:val="00701322"/>
    <w:rsid w:val="00701382"/>
    <w:rsid w:val="0070146B"/>
    <w:rsid w:val="00701479"/>
    <w:rsid w:val="00701694"/>
    <w:rsid w:val="007016C7"/>
    <w:rsid w:val="00701836"/>
    <w:rsid w:val="00701961"/>
    <w:rsid w:val="00701A98"/>
    <w:rsid w:val="00701BF5"/>
    <w:rsid w:val="00701C30"/>
    <w:rsid w:val="00701D42"/>
    <w:rsid w:val="00701E34"/>
    <w:rsid w:val="00701EB7"/>
    <w:rsid w:val="00701F22"/>
    <w:rsid w:val="00702048"/>
    <w:rsid w:val="0070215B"/>
    <w:rsid w:val="0070237A"/>
    <w:rsid w:val="00702383"/>
    <w:rsid w:val="007023D4"/>
    <w:rsid w:val="007026CF"/>
    <w:rsid w:val="00702737"/>
    <w:rsid w:val="0070278F"/>
    <w:rsid w:val="00702971"/>
    <w:rsid w:val="00702A62"/>
    <w:rsid w:val="00702C75"/>
    <w:rsid w:val="00702F0F"/>
    <w:rsid w:val="00703105"/>
    <w:rsid w:val="00703307"/>
    <w:rsid w:val="00703398"/>
    <w:rsid w:val="007033F4"/>
    <w:rsid w:val="0070347F"/>
    <w:rsid w:val="00703564"/>
    <w:rsid w:val="00703599"/>
    <w:rsid w:val="007035E1"/>
    <w:rsid w:val="007036D6"/>
    <w:rsid w:val="00703716"/>
    <w:rsid w:val="00703AF7"/>
    <w:rsid w:val="00703B2E"/>
    <w:rsid w:val="00703C1B"/>
    <w:rsid w:val="00703CFB"/>
    <w:rsid w:val="00703D1B"/>
    <w:rsid w:val="00703D3F"/>
    <w:rsid w:val="00703D86"/>
    <w:rsid w:val="007041AF"/>
    <w:rsid w:val="007041B1"/>
    <w:rsid w:val="00704484"/>
    <w:rsid w:val="007044B9"/>
    <w:rsid w:val="007047B7"/>
    <w:rsid w:val="00704844"/>
    <w:rsid w:val="0070485B"/>
    <w:rsid w:val="0070488C"/>
    <w:rsid w:val="007048EE"/>
    <w:rsid w:val="00704BC0"/>
    <w:rsid w:val="00704CA8"/>
    <w:rsid w:val="00704DBA"/>
    <w:rsid w:val="00704E39"/>
    <w:rsid w:val="00704F80"/>
    <w:rsid w:val="00705063"/>
    <w:rsid w:val="007051A2"/>
    <w:rsid w:val="007052C9"/>
    <w:rsid w:val="00705327"/>
    <w:rsid w:val="00705502"/>
    <w:rsid w:val="0070553A"/>
    <w:rsid w:val="00705951"/>
    <w:rsid w:val="00705A1B"/>
    <w:rsid w:val="00705B0D"/>
    <w:rsid w:val="00705C44"/>
    <w:rsid w:val="00705C9B"/>
    <w:rsid w:val="00705DF0"/>
    <w:rsid w:val="00705F16"/>
    <w:rsid w:val="0070603D"/>
    <w:rsid w:val="007061BB"/>
    <w:rsid w:val="00706312"/>
    <w:rsid w:val="00706403"/>
    <w:rsid w:val="007066ED"/>
    <w:rsid w:val="00706831"/>
    <w:rsid w:val="00706965"/>
    <w:rsid w:val="00706A24"/>
    <w:rsid w:val="00706AE8"/>
    <w:rsid w:val="00706B0E"/>
    <w:rsid w:val="00706BEC"/>
    <w:rsid w:val="00706E78"/>
    <w:rsid w:val="00706E95"/>
    <w:rsid w:val="00706EAB"/>
    <w:rsid w:val="00706F96"/>
    <w:rsid w:val="0070708B"/>
    <w:rsid w:val="007070CD"/>
    <w:rsid w:val="007070F7"/>
    <w:rsid w:val="00707119"/>
    <w:rsid w:val="0070720F"/>
    <w:rsid w:val="00707251"/>
    <w:rsid w:val="0070742F"/>
    <w:rsid w:val="007075BA"/>
    <w:rsid w:val="00707664"/>
    <w:rsid w:val="007076BF"/>
    <w:rsid w:val="00707771"/>
    <w:rsid w:val="00707853"/>
    <w:rsid w:val="0070798D"/>
    <w:rsid w:val="007079F8"/>
    <w:rsid w:val="00707F1A"/>
    <w:rsid w:val="00710027"/>
    <w:rsid w:val="0071003B"/>
    <w:rsid w:val="00710161"/>
    <w:rsid w:val="007101F7"/>
    <w:rsid w:val="00710230"/>
    <w:rsid w:val="007102B6"/>
    <w:rsid w:val="00710310"/>
    <w:rsid w:val="007103BF"/>
    <w:rsid w:val="0071046A"/>
    <w:rsid w:val="0071065B"/>
    <w:rsid w:val="0071067B"/>
    <w:rsid w:val="007106EE"/>
    <w:rsid w:val="0071086A"/>
    <w:rsid w:val="00710877"/>
    <w:rsid w:val="00710960"/>
    <w:rsid w:val="00710A5D"/>
    <w:rsid w:val="00710C2B"/>
    <w:rsid w:val="00710CE5"/>
    <w:rsid w:val="00710CFF"/>
    <w:rsid w:val="00710F05"/>
    <w:rsid w:val="00710F16"/>
    <w:rsid w:val="00711009"/>
    <w:rsid w:val="00711039"/>
    <w:rsid w:val="00711044"/>
    <w:rsid w:val="00711422"/>
    <w:rsid w:val="00711574"/>
    <w:rsid w:val="007116B4"/>
    <w:rsid w:val="00711711"/>
    <w:rsid w:val="007117E8"/>
    <w:rsid w:val="0071186C"/>
    <w:rsid w:val="0071191D"/>
    <w:rsid w:val="007119BE"/>
    <w:rsid w:val="00711B70"/>
    <w:rsid w:val="00711D60"/>
    <w:rsid w:val="00711EF1"/>
    <w:rsid w:val="00711F8A"/>
    <w:rsid w:val="00711F8B"/>
    <w:rsid w:val="00712142"/>
    <w:rsid w:val="0071214C"/>
    <w:rsid w:val="007122E2"/>
    <w:rsid w:val="0071230D"/>
    <w:rsid w:val="00712351"/>
    <w:rsid w:val="0071247A"/>
    <w:rsid w:val="0071252C"/>
    <w:rsid w:val="0071274D"/>
    <w:rsid w:val="00712A43"/>
    <w:rsid w:val="00712A6C"/>
    <w:rsid w:val="00712C5E"/>
    <w:rsid w:val="00712D1F"/>
    <w:rsid w:val="00712D6D"/>
    <w:rsid w:val="00713366"/>
    <w:rsid w:val="00713378"/>
    <w:rsid w:val="007133B1"/>
    <w:rsid w:val="007133C5"/>
    <w:rsid w:val="0071358B"/>
    <w:rsid w:val="007138A3"/>
    <w:rsid w:val="00713934"/>
    <w:rsid w:val="00713B4A"/>
    <w:rsid w:val="00713B4F"/>
    <w:rsid w:val="00713BAC"/>
    <w:rsid w:val="00713C99"/>
    <w:rsid w:val="00713CB6"/>
    <w:rsid w:val="00713D2C"/>
    <w:rsid w:val="00713EBD"/>
    <w:rsid w:val="00713FD2"/>
    <w:rsid w:val="007142A3"/>
    <w:rsid w:val="00714375"/>
    <w:rsid w:val="0071455D"/>
    <w:rsid w:val="00714774"/>
    <w:rsid w:val="0071489D"/>
    <w:rsid w:val="00714986"/>
    <w:rsid w:val="007149B1"/>
    <w:rsid w:val="00714A39"/>
    <w:rsid w:val="00714A56"/>
    <w:rsid w:val="00714A88"/>
    <w:rsid w:val="00714AB4"/>
    <w:rsid w:val="00714B17"/>
    <w:rsid w:val="00714CAE"/>
    <w:rsid w:val="00714CF5"/>
    <w:rsid w:val="00714E03"/>
    <w:rsid w:val="00714EB9"/>
    <w:rsid w:val="00715157"/>
    <w:rsid w:val="00715231"/>
    <w:rsid w:val="0071552A"/>
    <w:rsid w:val="00715751"/>
    <w:rsid w:val="007157A3"/>
    <w:rsid w:val="0071587A"/>
    <w:rsid w:val="007158DB"/>
    <w:rsid w:val="00715913"/>
    <w:rsid w:val="0071594E"/>
    <w:rsid w:val="00715A48"/>
    <w:rsid w:val="00715A50"/>
    <w:rsid w:val="00715A76"/>
    <w:rsid w:val="00715B5D"/>
    <w:rsid w:val="00715C32"/>
    <w:rsid w:val="00715FAF"/>
    <w:rsid w:val="0071602D"/>
    <w:rsid w:val="00716143"/>
    <w:rsid w:val="007163EC"/>
    <w:rsid w:val="00716451"/>
    <w:rsid w:val="0071649C"/>
    <w:rsid w:val="007164BE"/>
    <w:rsid w:val="0071664D"/>
    <w:rsid w:val="00716685"/>
    <w:rsid w:val="007166C1"/>
    <w:rsid w:val="0071674C"/>
    <w:rsid w:val="0071689E"/>
    <w:rsid w:val="007168A9"/>
    <w:rsid w:val="00716911"/>
    <w:rsid w:val="00716AC6"/>
    <w:rsid w:val="00716AEE"/>
    <w:rsid w:val="00716B60"/>
    <w:rsid w:val="00716BD6"/>
    <w:rsid w:val="00716E81"/>
    <w:rsid w:val="00716ED2"/>
    <w:rsid w:val="00716FC5"/>
    <w:rsid w:val="0071703B"/>
    <w:rsid w:val="0071719D"/>
    <w:rsid w:val="00717233"/>
    <w:rsid w:val="0071731E"/>
    <w:rsid w:val="0071749B"/>
    <w:rsid w:val="0071780B"/>
    <w:rsid w:val="00717975"/>
    <w:rsid w:val="007179E9"/>
    <w:rsid w:val="00717BE5"/>
    <w:rsid w:val="00717E2E"/>
    <w:rsid w:val="00717F1E"/>
    <w:rsid w:val="00720296"/>
    <w:rsid w:val="0072031D"/>
    <w:rsid w:val="007203C4"/>
    <w:rsid w:val="0072043A"/>
    <w:rsid w:val="007205AA"/>
    <w:rsid w:val="00720623"/>
    <w:rsid w:val="007206A2"/>
    <w:rsid w:val="007206CE"/>
    <w:rsid w:val="00720717"/>
    <w:rsid w:val="00720A7A"/>
    <w:rsid w:val="00720AAA"/>
    <w:rsid w:val="00720AE9"/>
    <w:rsid w:val="00720CC6"/>
    <w:rsid w:val="00720D95"/>
    <w:rsid w:val="00720DA6"/>
    <w:rsid w:val="00720DEF"/>
    <w:rsid w:val="00720FA0"/>
    <w:rsid w:val="00720FE5"/>
    <w:rsid w:val="007211FD"/>
    <w:rsid w:val="00721364"/>
    <w:rsid w:val="00721446"/>
    <w:rsid w:val="007214ED"/>
    <w:rsid w:val="007218F5"/>
    <w:rsid w:val="00721969"/>
    <w:rsid w:val="007219DF"/>
    <w:rsid w:val="00721ACB"/>
    <w:rsid w:val="00721B19"/>
    <w:rsid w:val="00721C89"/>
    <w:rsid w:val="00721DD0"/>
    <w:rsid w:val="00721E84"/>
    <w:rsid w:val="00721EB1"/>
    <w:rsid w:val="00721ECC"/>
    <w:rsid w:val="007220D6"/>
    <w:rsid w:val="007220F3"/>
    <w:rsid w:val="00722278"/>
    <w:rsid w:val="007222C2"/>
    <w:rsid w:val="00722470"/>
    <w:rsid w:val="00722555"/>
    <w:rsid w:val="007225FA"/>
    <w:rsid w:val="0072297B"/>
    <w:rsid w:val="00722AC0"/>
    <w:rsid w:val="00722B8D"/>
    <w:rsid w:val="00722D73"/>
    <w:rsid w:val="00722D7E"/>
    <w:rsid w:val="00722FA7"/>
    <w:rsid w:val="00723196"/>
    <w:rsid w:val="00723260"/>
    <w:rsid w:val="00723263"/>
    <w:rsid w:val="007232C9"/>
    <w:rsid w:val="007233CA"/>
    <w:rsid w:val="0072341D"/>
    <w:rsid w:val="0072379E"/>
    <w:rsid w:val="007238E8"/>
    <w:rsid w:val="00723BBB"/>
    <w:rsid w:val="00723BC1"/>
    <w:rsid w:val="00723BE4"/>
    <w:rsid w:val="00723D14"/>
    <w:rsid w:val="00723D49"/>
    <w:rsid w:val="00723EDA"/>
    <w:rsid w:val="007241E0"/>
    <w:rsid w:val="00724341"/>
    <w:rsid w:val="007243DE"/>
    <w:rsid w:val="0072443B"/>
    <w:rsid w:val="00724736"/>
    <w:rsid w:val="00724A0F"/>
    <w:rsid w:val="00724AB9"/>
    <w:rsid w:val="00724C4D"/>
    <w:rsid w:val="00724CE9"/>
    <w:rsid w:val="00724DBA"/>
    <w:rsid w:val="00724F5B"/>
    <w:rsid w:val="0072504C"/>
    <w:rsid w:val="0072522C"/>
    <w:rsid w:val="007252C7"/>
    <w:rsid w:val="00725386"/>
    <w:rsid w:val="00725496"/>
    <w:rsid w:val="00725525"/>
    <w:rsid w:val="00725564"/>
    <w:rsid w:val="007255A0"/>
    <w:rsid w:val="007255A9"/>
    <w:rsid w:val="00725725"/>
    <w:rsid w:val="007257C5"/>
    <w:rsid w:val="00725A12"/>
    <w:rsid w:val="00725ABF"/>
    <w:rsid w:val="00725AC9"/>
    <w:rsid w:val="00725B14"/>
    <w:rsid w:val="00725B6E"/>
    <w:rsid w:val="00725B75"/>
    <w:rsid w:val="00725E66"/>
    <w:rsid w:val="00725E6A"/>
    <w:rsid w:val="00725FBF"/>
    <w:rsid w:val="00726022"/>
    <w:rsid w:val="00726080"/>
    <w:rsid w:val="00726661"/>
    <w:rsid w:val="00726705"/>
    <w:rsid w:val="00726707"/>
    <w:rsid w:val="0072688F"/>
    <w:rsid w:val="007269E9"/>
    <w:rsid w:val="00726A18"/>
    <w:rsid w:val="00726A1F"/>
    <w:rsid w:val="00726AC5"/>
    <w:rsid w:val="00726C38"/>
    <w:rsid w:val="00726C6B"/>
    <w:rsid w:val="00726EF3"/>
    <w:rsid w:val="00726F59"/>
    <w:rsid w:val="007271D6"/>
    <w:rsid w:val="0072720A"/>
    <w:rsid w:val="007272D5"/>
    <w:rsid w:val="0072735B"/>
    <w:rsid w:val="00727458"/>
    <w:rsid w:val="007274C7"/>
    <w:rsid w:val="00727558"/>
    <w:rsid w:val="00727639"/>
    <w:rsid w:val="00727A81"/>
    <w:rsid w:val="00727E96"/>
    <w:rsid w:val="00730019"/>
    <w:rsid w:val="007302B5"/>
    <w:rsid w:val="007302CB"/>
    <w:rsid w:val="00730495"/>
    <w:rsid w:val="00730497"/>
    <w:rsid w:val="00730860"/>
    <w:rsid w:val="007308EB"/>
    <w:rsid w:val="00730A1B"/>
    <w:rsid w:val="00731032"/>
    <w:rsid w:val="00731038"/>
    <w:rsid w:val="00731169"/>
    <w:rsid w:val="00731208"/>
    <w:rsid w:val="00731261"/>
    <w:rsid w:val="007313B8"/>
    <w:rsid w:val="007313C4"/>
    <w:rsid w:val="00731421"/>
    <w:rsid w:val="00731424"/>
    <w:rsid w:val="00731479"/>
    <w:rsid w:val="007315B6"/>
    <w:rsid w:val="0073167B"/>
    <w:rsid w:val="00731779"/>
    <w:rsid w:val="00731849"/>
    <w:rsid w:val="00731A09"/>
    <w:rsid w:val="00731A8B"/>
    <w:rsid w:val="00731B38"/>
    <w:rsid w:val="00731C30"/>
    <w:rsid w:val="00731D88"/>
    <w:rsid w:val="007321A9"/>
    <w:rsid w:val="007321C6"/>
    <w:rsid w:val="00732255"/>
    <w:rsid w:val="0073229D"/>
    <w:rsid w:val="00732400"/>
    <w:rsid w:val="007324E7"/>
    <w:rsid w:val="00732536"/>
    <w:rsid w:val="007326F0"/>
    <w:rsid w:val="007327A2"/>
    <w:rsid w:val="007327FA"/>
    <w:rsid w:val="007328C7"/>
    <w:rsid w:val="00732B12"/>
    <w:rsid w:val="00732BB4"/>
    <w:rsid w:val="00732C2C"/>
    <w:rsid w:val="00732C81"/>
    <w:rsid w:val="00732CBC"/>
    <w:rsid w:val="00732D07"/>
    <w:rsid w:val="00732D6C"/>
    <w:rsid w:val="00732EC4"/>
    <w:rsid w:val="0073351B"/>
    <w:rsid w:val="007335A7"/>
    <w:rsid w:val="007335C1"/>
    <w:rsid w:val="0073367B"/>
    <w:rsid w:val="007336DE"/>
    <w:rsid w:val="0073375C"/>
    <w:rsid w:val="007337B2"/>
    <w:rsid w:val="007337EC"/>
    <w:rsid w:val="00733865"/>
    <w:rsid w:val="0073394A"/>
    <w:rsid w:val="007339DD"/>
    <w:rsid w:val="00733AA4"/>
    <w:rsid w:val="00733C75"/>
    <w:rsid w:val="00733CC8"/>
    <w:rsid w:val="00733CD3"/>
    <w:rsid w:val="00733FB1"/>
    <w:rsid w:val="00734107"/>
    <w:rsid w:val="007344E9"/>
    <w:rsid w:val="00734554"/>
    <w:rsid w:val="007346B2"/>
    <w:rsid w:val="00734806"/>
    <w:rsid w:val="007348F4"/>
    <w:rsid w:val="007349EC"/>
    <w:rsid w:val="00734AF8"/>
    <w:rsid w:val="00734B71"/>
    <w:rsid w:val="00734C4C"/>
    <w:rsid w:val="00734E8C"/>
    <w:rsid w:val="00734F04"/>
    <w:rsid w:val="00734F8D"/>
    <w:rsid w:val="0073512B"/>
    <w:rsid w:val="00735365"/>
    <w:rsid w:val="0073548B"/>
    <w:rsid w:val="007354CB"/>
    <w:rsid w:val="007355CC"/>
    <w:rsid w:val="0073570E"/>
    <w:rsid w:val="0073575E"/>
    <w:rsid w:val="007357EB"/>
    <w:rsid w:val="00735840"/>
    <w:rsid w:val="00735B55"/>
    <w:rsid w:val="00735E01"/>
    <w:rsid w:val="00735E12"/>
    <w:rsid w:val="00735EFC"/>
    <w:rsid w:val="00735F50"/>
    <w:rsid w:val="0073602B"/>
    <w:rsid w:val="0073612A"/>
    <w:rsid w:val="007361CD"/>
    <w:rsid w:val="007361F9"/>
    <w:rsid w:val="00736461"/>
    <w:rsid w:val="00736544"/>
    <w:rsid w:val="007368CD"/>
    <w:rsid w:val="00736A9D"/>
    <w:rsid w:val="00736BAF"/>
    <w:rsid w:val="00736D10"/>
    <w:rsid w:val="00736E54"/>
    <w:rsid w:val="00736EB6"/>
    <w:rsid w:val="007373ED"/>
    <w:rsid w:val="00737408"/>
    <w:rsid w:val="00737515"/>
    <w:rsid w:val="0073782B"/>
    <w:rsid w:val="00737904"/>
    <w:rsid w:val="00737949"/>
    <w:rsid w:val="007379DE"/>
    <w:rsid w:val="00737A09"/>
    <w:rsid w:val="00737A13"/>
    <w:rsid w:val="00737C9B"/>
    <w:rsid w:val="00737D78"/>
    <w:rsid w:val="00737F52"/>
    <w:rsid w:val="007400EE"/>
    <w:rsid w:val="00740117"/>
    <w:rsid w:val="00740145"/>
    <w:rsid w:val="007402B7"/>
    <w:rsid w:val="00740396"/>
    <w:rsid w:val="007403B7"/>
    <w:rsid w:val="00740577"/>
    <w:rsid w:val="00740745"/>
    <w:rsid w:val="007407B3"/>
    <w:rsid w:val="007407FA"/>
    <w:rsid w:val="00740824"/>
    <w:rsid w:val="007409A0"/>
    <w:rsid w:val="007409DD"/>
    <w:rsid w:val="00740BD3"/>
    <w:rsid w:val="00740CB6"/>
    <w:rsid w:val="00740E92"/>
    <w:rsid w:val="0074105F"/>
    <w:rsid w:val="007410D2"/>
    <w:rsid w:val="0074118A"/>
    <w:rsid w:val="007412DA"/>
    <w:rsid w:val="007414BD"/>
    <w:rsid w:val="00741552"/>
    <w:rsid w:val="00741580"/>
    <w:rsid w:val="00741663"/>
    <w:rsid w:val="0074168F"/>
    <w:rsid w:val="007417DA"/>
    <w:rsid w:val="007417E7"/>
    <w:rsid w:val="007418CE"/>
    <w:rsid w:val="007418ED"/>
    <w:rsid w:val="00741933"/>
    <w:rsid w:val="0074197D"/>
    <w:rsid w:val="00741C0A"/>
    <w:rsid w:val="00741C1C"/>
    <w:rsid w:val="00741C90"/>
    <w:rsid w:val="00741CF6"/>
    <w:rsid w:val="00741D76"/>
    <w:rsid w:val="00741DBB"/>
    <w:rsid w:val="00741F24"/>
    <w:rsid w:val="007420A2"/>
    <w:rsid w:val="007421D8"/>
    <w:rsid w:val="00742223"/>
    <w:rsid w:val="007422B2"/>
    <w:rsid w:val="007423F2"/>
    <w:rsid w:val="0074255F"/>
    <w:rsid w:val="007426F2"/>
    <w:rsid w:val="007427BF"/>
    <w:rsid w:val="00742B43"/>
    <w:rsid w:val="00742B67"/>
    <w:rsid w:val="00742C72"/>
    <w:rsid w:val="00742C77"/>
    <w:rsid w:val="00742CC4"/>
    <w:rsid w:val="00742DCA"/>
    <w:rsid w:val="00742DEE"/>
    <w:rsid w:val="00742F42"/>
    <w:rsid w:val="00742F6A"/>
    <w:rsid w:val="00742FB5"/>
    <w:rsid w:val="00743163"/>
    <w:rsid w:val="00743169"/>
    <w:rsid w:val="007431EA"/>
    <w:rsid w:val="00743220"/>
    <w:rsid w:val="007433ED"/>
    <w:rsid w:val="007434D5"/>
    <w:rsid w:val="007435DF"/>
    <w:rsid w:val="007436F0"/>
    <w:rsid w:val="007437E5"/>
    <w:rsid w:val="00743926"/>
    <w:rsid w:val="00743A09"/>
    <w:rsid w:val="00743C24"/>
    <w:rsid w:val="00743F5E"/>
    <w:rsid w:val="00744079"/>
    <w:rsid w:val="007440F2"/>
    <w:rsid w:val="007442AA"/>
    <w:rsid w:val="0074434E"/>
    <w:rsid w:val="00744413"/>
    <w:rsid w:val="00744427"/>
    <w:rsid w:val="007445C8"/>
    <w:rsid w:val="007446F3"/>
    <w:rsid w:val="00744755"/>
    <w:rsid w:val="00744829"/>
    <w:rsid w:val="00744853"/>
    <w:rsid w:val="0074489D"/>
    <w:rsid w:val="00744915"/>
    <w:rsid w:val="007449DD"/>
    <w:rsid w:val="00744A39"/>
    <w:rsid w:val="00744C90"/>
    <w:rsid w:val="0074513C"/>
    <w:rsid w:val="00745244"/>
    <w:rsid w:val="00745327"/>
    <w:rsid w:val="00745461"/>
    <w:rsid w:val="0074570B"/>
    <w:rsid w:val="00745727"/>
    <w:rsid w:val="007458A0"/>
    <w:rsid w:val="007459BC"/>
    <w:rsid w:val="007459E3"/>
    <w:rsid w:val="00745A1E"/>
    <w:rsid w:val="00745A33"/>
    <w:rsid w:val="00745DD5"/>
    <w:rsid w:val="00745E14"/>
    <w:rsid w:val="00745FFE"/>
    <w:rsid w:val="0074603E"/>
    <w:rsid w:val="00746225"/>
    <w:rsid w:val="0074647D"/>
    <w:rsid w:val="007465CE"/>
    <w:rsid w:val="007465D5"/>
    <w:rsid w:val="007465F6"/>
    <w:rsid w:val="007466D4"/>
    <w:rsid w:val="00746762"/>
    <w:rsid w:val="007467CE"/>
    <w:rsid w:val="00746861"/>
    <w:rsid w:val="00746936"/>
    <w:rsid w:val="00746987"/>
    <w:rsid w:val="007469BF"/>
    <w:rsid w:val="00746A2B"/>
    <w:rsid w:val="00746BD9"/>
    <w:rsid w:val="00746C25"/>
    <w:rsid w:val="00746F2F"/>
    <w:rsid w:val="00747147"/>
    <w:rsid w:val="007472FA"/>
    <w:rsid w:val="00747468"/>
    <w:rsid w:val="007474AC"/>
    <w:rsid w:val="007474B3"/>
    <w:rsid w:val="007474C5"/>
    <w:rsid w:val="007476D8"/>
    <w:rsid w:val="0074775E"/>
    <w:rsid w:val="007478E9"/>
    <w:rsid w:val="0074796D"/>
    <w:rsid w:val="007479B8"/>
    <w:rsid w:val="007479C2"/>
    <w:rsid w:val="00747C18"/>
    <w:rsid w:val="00747F5E"/>
    <w:rsid w:val="007501F6"/>
    <w:rsid w:val="007503D4"/>
    <w:rsid w:val="0075046B"/>
    <w:rsid w:val="00750494"/>
    <w:rsid w:val="007505DF"/>
    <w:rsid w:val="007505F5"/>
    <w:rsid w:val="0075060C"/>
    <w:rsid w:val="007506B0"/>
    <w:rsid w:val="007507F0"/>
    <w:rsid w:val="00750820"/>
    <w:rsid w:val="00750DB3"/>
    <w:rsid w:val="00750DF6"/>
    <w:rsid w:val="00750F33"/>
    <w:rsid w:val="00750F79"/>
    <w:rsid w:val="00750F7C"/>
    <w:rsid w:val="00751115"/>
    <w:rsid w:val="00751292"/>
    <w:rsid w:val="0075133E"/>
    <w:rsid w:val="00751385"/>
    <w:rsid w:val="00751399"/>
    <w:rsid w:val="007514B7"/>
    <w:rsid w:val="007517B5"/>
    <w:rsid w:val="007517D2"/>
    <w:rsid w:val="007518B5"/>
    <w:rsid w:val="00751AC2"/>
    <w:rsid w:val="00751B93"/>
    <w:rsid w:val="00751D84"/>
    <w:rsid w:val="00751FB7"/>
    <w:rsid w:val="00752211"/>
    <w:rsid w:val="0075226E"/>
    <w:rsid w:val="007522D5"/>
    <w:rsid w:val="0075246E"/>
    <w:rsid w:val="007524D0"/>
    <w:rsid w:val="0075276A"/>
    <w:rsid w:val="007527B8"/>
    <w:rsid w:val="00752B60"/>
    <w:rsid w:val="00752B6B"/>
    <w:rsid w:val="00752C32"/>
    <w:rsid w:val="00752CB4"/>
    <w:rsid w:val="00752D8A"/>
    <w:rsid w:val="00752DF7"/>
    <w:rsid w:val="00752F62"/>
    <w:rsid w:val="007531B2"/>
    <w:rsid w:val="0075322B"/>
    <w:rsid w:val="007535FE"/>
    <w:rsid w:val="007536B7"/>
    <w:rsid w:val="00753761"/>
    <w:rsid w:val="007538EA"/>
    <w:rsid w:val="00753A8F"/>
    <w:rsid w:val="00753B4B"/>
    <w:rsid w:val="00753F1E"/>
    <w:rsid w:val="0075405F"/>
    <w:rsid w:val="007542D9"/>
    <w:rsid w:val="007544A0"/>
    <w:rsid w:val="0075452A"/>
    <w:rsid w:val="00754547"/>
    <w:rsid w:val="007545D0"/>
    <w:rsid w:val="00754745"/>
    <w:rsid w:val="007548B2"/>
    <w:rsid w:val="007548B6"/>
    <w:rsid w:val="00754937"/>
    <w:rsid w:val="007549C6"/>
    <w:rsid w:val="007549CE"/>
    <w:rsid w:val="00754A86"/>
    <w:rsid w:val="00754B8E"/>
    <w:rsid w:val="00754B9B"/>
    <w:rsid w:val="00754BA7"/>
    <w:rsid w:val="00754EF0"/>
    <w:rsid w:val="00754EF4"/>
    <w:rsid w:val="00754F61"/>
    <w:rsid w:val="007551F0"/>
    <w:rsid w:val="0075521F"/>
    <w:rsid w:val="007554AA"/>
    <w:rsid w:val="00755532"/>
    <w:rsid w:val="0075564E"/>
    <w:rsid w:val="007558CF"/>
    <w:rsid w:val="0075597E"/>
    <w:rsid w:val="007559D2"/>
    <w:rsid w:val="00755A84"/>
    <w:rsid w:val="00755B44"/>
    <w:rsid w:val="00755B7B"/>
    <w:rsid w:val="00755C98"/>
    <w:rsid w:val="00756012"/>
    <w:rsid w:val="00756042"/>
    <w:rsid w:val="00756367"/>
    <w:rsid w:val="007563F8"/>
    <w:rsid w:val="007565A0"/>
    <w:rsid w:val="00756638"/>
    <w:rsid w:val="0075672E"/>
    <w:rsid w:val="007569B6"/>
    <w:rsid w:val="00756AC4"/>
    <w:rsid w:val="00756AFB"/>
    <w:rsid w:val="00756B66"/>
    <w:rsid w:val="00756BA5"/>
    <w:rsid w:val="00756CB4"/>
    <w:rsid w:val="00756DDF"/>
    <w:rsid w:val="00756E1D"/>
    <w:rsid w:val="00756E8A"/>
    <w:rsid w:val="00757069"/>
    <w:rsid w:val="00757150"/>
    <w:rsid w:val="007571B2"/>
    <w:rsid w:val="007572B0"/>
    <w:rsid w:val="0075738C"/>
    <w:rsid w:val="0075742F"/>
    <w:rsid w:val="0075755E"/>
    <w:rsid w:val="007575D4"/>
    <w:rsid w:val="00757749"/>
    <w:rsid w:val="00757815"/>
    <w:rsid w:val="007578E9"/>
    <w:rsid w:val="007579FA"/>
    <w:rsid w:val="00757A64"/>
    <w:rsid w:val="00757B5D"/>
    <w:rsid w:val="00757C54"/>
    <w:rsid w:val="00757C94"/>
    <w:rsid w:val="00757FD6"/>
    <w:rsid w:val="0076021C"/>
    <w:rsid w:val="007602E5"/>
    <w:rsid w:val="00760315"/>
    <w:rsid w:val="00760322"/>
    <w:rsid w:val="007603C9"/>
    <w:rsid w:val="007604F5"/>
    <w:rsid w:val="0076057A"/>
    <w:rsid w:val="007605F7"/>
    <w:rsid w:val="007607D3"/>
    <w:rsid w:val="00760863"/>
    <w:rsid w:val="007608F7"/>
    <w:rsid w:val="007609D5"/>
    <w:rsid w:val="00760D78"/>
    <w:rsid w:val="00760DC5"/>
    <w:rsid w:val="00760DDD"/>
    <w:rsid w:val="00760E78"/>
    <w:rsid w:val="00760F21"/>
    <w:rsid w:val="00761088"/>
    <w:rsid w:val="007612E7"/>
    <w:rsid w:val="007612FD"/>
    <w:rsid w:val="0076134C"/>
    <w:rsid w:val="007616BB"/>
    <w:rsid w:val="0076176C"/>
    <w:rsid w:val="007617AF"/>
    <w:rsid w:val="00761903"/>
    <w:rsid w:val="007619A8"/>
    <w:rsid w:val="00761AA7"/>
    <w:rsid w:val="00761C4F"/>
    <w:rsid w:val="00761C60"/>
    <w:rsid w:val="00761EC7"/>
    <w:rsid w:val="00761FE2"/>
    <w:rsid w:val="00762243"/>
    <w:rsid w:val="0076226F"/>
    <w:rsid w:val="0076259D"/>
    <w:rsid w:val="007625A2"/>
    <w:rsid w:val="007625C5"/>
    <w:rsid w:val="0076262D"/>
    <w:rsid w:val="007626F0"/>
    <w:rsid w:val="00762827"/>
    <w:rsid w:val="00762910"/>
    <w:rsid w:val="00762964"/>
    <w:rsid w:val="00762A4E"/>
    <w:rsid w:val="00762CF7"/>
    <w:rsid w:val="00762D13"/>
    <w:rsid w:val="00762D32"/>
    <w:rsid w:val="00762E23"/>
    <w:rsid w:val="00762E72"/>
    <w:rsid w:val="00762F82"/>
    <w:rsid w:val="00762FF2"/>
    <w:rsid w:val="0076315B"/>
    <w:rsid w:val="0076317B"/>
    <w:rsid w:val="00763219"/>
    <w:rsid w:val="0076331B"/>
    <w:rsid w:val="00763495"/>
    <w:rsid w:val="00763724"/>
    <w:rsid w:val="00763802"/>
    <w:rsid w:val="007638FD"/>
    <w:rsid w:val="00763B7E"/>
    <w:rsid w:val="00763BD9"/>
    <w:rsid w:val="00763C5A"/>
    <w:rsid w:val="00763CED"/>
    <w:rsid w:val="00763D20"/>
    <w:rsid w:val="00763E66"/>
    <w:rsid w:val="00763EA7"/>
    <w:rsid w:val="007641CD"/>
    <w:rsid w:val="0076422F"/>
    <w:rsid w:val="00764376"/>
    <w:rsid w:val="007644DA"/>
    <w:rsid w:val="007645C8"/>
    <w:rsid w:val="007646EA"/>
    <w:rsid w:val="00764753"/>
    <w:rsid w:val="00764887"/>
    <w:rsid w:val="00764914"/>
    <w:rsid w:val="00764918"/>
    <w:rsid w:val="007649E0"/>
    <w:rsid w:val="00764B70"/>
    <w:rsid w:val="00764BA6"/>
    <w:rsid w:val="00764C2F"/>
    <w:rsid w:val="00764C94"/>
    <w:rsid w:val="00764CE9"/>
    <w:rsid w:val="00764DFC"/>
    <w:rsid w:val="00764EF7"/>
    <w:rsid w:val="00764FA3"/>
    <w:rsid w:val="00765225"/>
    <w:rsid w:val="007652DF"/>
    <w:rsid w:val="007652E4"/>
    <w:rsid w:val="00765325"/>
    <w:rsid w:val="0076536A"/>
    <w:rsid w:val="007653E3"/>
    <w:rsid w:val="007653F8"/>
    <w:rsid w:val="007654A8"/>
    <w:rsid w:val="007655AD"/>
    <w:rsid w:val="00765734"/>
    <w:rsid w:val="00765898"/>
    <w:rsid w:val="00765D76"/>
    <w:rsid w:val="00765E92"/>
    <w:rsid w:val="00766006"/>
    <w:rsid w:val="007660C5"/>
    <w:rsid w:val="007660FC"/>
    <w:rsid w:val="007661EA"/>
    <w:rsid w:val="00766258"/>
    <w:rsid w:val="007662B9"/>
    <w:rsid w:val="0076636E"/>
    <w:rsid w:val="007664DA"/>
    <w:rsid w:val="0076650B"/>
    <w:rsid w:val="00766536"/>
    <w:rsid w:val="0076663D"/>
    <w:rsid w:val="00766955"/>
    <w:rsid w:val="00766A72"/>
    <w:rsid w:val="00766B04"/>
    <w:rsid w:val="00766B12"/>
    <w:rsid w:val="00766B15"/>
    <w:rsid w:val="00766B67"/>
    <w:rsid w:val="00766CAC"/>
    <w:rsid w:val="00766D36"/>
    <w:rsid w:val="00766D8F"/>
    <w:rsid w:val="00766F25"/>
    <w:rsid w:val="00766F88"/>
    <w:rsid w:val="007670AC"/>
    <w:rsid w:val="007670FD"/>
    <w:rsid w:val="007671EF"/>
    <w:rsid w:val="0076726F"/>
    <w:rsid w:val="00767466"/>
    <w:rsid w:val="007674B7"/>
    <w:rsid w:val="007675D8"/>
    <w:rsid w:val="007677DE"/>
    <w:rsid w:val="0076783A"/>
    <w:rsid w:val="007679B5"/>
    <w:rsid w:val="00767A51"/>
    <w:rsid w:val="00767B62"/>
    <w:rsid w:val="00767B89"/>
    <w:rsid w:val="007701A4"/>
    <w:rsid w:val="0077021E"/>
    <w:rsid w:val="0077023B"/>
    <w:rsid w:val="007702F6"/>
    <w:rsid w:val="007704C7"/>
    <w:rsid w:val="007707C9"/>
    <w:rsid w:val="00770877"/>
    <w:rsid w:val="00770888"/>
    <w:rsid w:val="00770A20"/>
    <w:rsid w:val="00770AE0"/>
    <w:rsid w:val="00770B2B"/>
    <w:rsid w:val="00770CD8"/>
    <w:rsid w:val="00770D59"/>
    <w:rsid w:val="00770D71"/>
    <w:rsid w:val="00770E1E"/>
    <w:rsid w:val="00771004"/>
    <w:rsid w:val="007710F4"/>
    <w:rsid w:val="00771150"/>
    <w:rsid w:val="00771207"/>
    <w:rsid w:val="0077121E"/>
    <w:rsid w:val="007712E2"/>
    <w:rsid w:val="007714B8"/>
    <w:rsid w:val="007714EE"/>
    <w:rsid w:val="00771578"/>
    <w:rsid w:val="00771592"/>
    <w:rsid w:val="007715A3"/>
    <w:rsid w:val="007715EF"/>
    <w:rsid w:val="007716FF"/>
    <w:rsid w:val="00771894"/>
    <w:rsid w:val="00771935"/>
    <w:rsid w:val="00771A21"/>
    <w:rsid w:val="00771A88"/>
    <w:rsid w:val="00771B31"/>
    <w:rsid w:val="00771C3E"/>
    <w:rsid w:val="00771C9D"/>
    <w:rsid w:val="00771D2F"/>
    <w:rsid w:val="00771D41"/>
    <w:rsid w:val="00771E55"/>
    <w:rsid w:val="00771FDC"/>
    <w:rsid w:val="00771FEE"/>
    <w:rsid w:val="00772434"/>
    <w:rsid w:val="007725DB"/>
    <w:rsid w:val="00772906"/>
    <w:rsid w:val="00772A40"/>
    <w:rsid w:val="00772B56"/>
    <w:rsid w:val="00772B89"/>
    <w:rsid w:val="00772C3F"/>
    <w:rsid w:val="00772C56"/>
    <w:rsid w:val="00772CD5"/>
    <w:rsid w:val="00772D26"/>
    <w:rsid w:val="00772F1D"/>
    <w:rsid w:val="0077301F"/>
    <w:rsid w:val="007730F5"/>
    <w:rsid w:val="00773169"/>
    <w:rsid w:val="007732BA"/>
    <w:rsid w:val="00773326"/>
    <w:rsid w:val="00773489"/>
    <w:rsid w:val="00773576"/>
    <w:rsid w:val="0077358F"/>
    <w:rsid w:val="0077378D"/>
    <w:rsid w:val="007737F0"/>
    <w:rsid w:val="00773992"/>
    <w:rsid w:val="007739FA"/>
    <w:rsid w:val="00773A9F"/>
    <w:rsid w:val="00773B3D"/>
    <w:rsid w:val="00773BB1"/>
    <w:rsid w:val="00773C9E"/>
    <w:rsid w:val="00773CD3"/>
    <w:rsid w:val="00773EC6"/>
    <w:rsid w:val="00773FD9"/>
    <w:rsid w:val="0077431B"/>
    <w:rsid w:val="007743E5"/>
    <w:rsid w:val="00774534"/>
    <w:rsid w:val="0077453D"/>
    <w:rsid w:val="0077470E"/>
    <w:rsid w:val="00774757"/>
    <w:rsid w:val="007749B7"/>
    <w:rsid w:val="00774A1C"/>
    <w:rsid w:val="00774AA4"/>
    <w:rsid w:val="00774B67"/>
    <w:rsid w:val="00774C6F"/>
    <w:rsid w:val="00774D8D"/>
    <w:rsid w:val="00774D9B"/>
    <w:rsid w:val="00774EA1"/>
    <w:rsid w:val="00774EC1"/>
    <w:rsid w:val="0077515A"/>
    <w:rsid w:val="007751B6"/>
    <w:rsid w:val="0077532F"/>
    <w:rsid w:val="007754D0"/>
    <w:rsid w:val="00775537"/>
    <w:rsid w:val="0077553B"/>
    <w:rsid w:val="0077557D"/>
    <w:rsid w:val="007755FA"/>
    <w:rsid w:val="00775710"/>
    <w:rsid w:val="00775801"/>
    <w:rsid w:val="00775808"/>
    <w:rsid w:val="007758B7"/>
    <w:rsid w:val="007758E7"/>
    <w:rsid w:val="007759C4"/>
    <w:rsid w:val="00775A3C"/>
    <w:rsid w:val="00775B48"/>
    <w:rsid w:val="00775D81"/>
    <w:rsid w:val="00775E44"/>
    <w:rsid w:val="00775E70"/>
    <w:rsid w:val="00775ED2"/>
    <w:rsid w:val="00776026"/>
    <w:rsid w:val="0077605C"/>
    <w:rsid w:val="007760CC"/>
    <w:rsid w:val="0077613C"/>
    <w:rsid w:val="00776290"/>
    <w:rsid w:val="007763EA"/>
    <w:rsid w:val="007766A4"/>
    <w:rsid w:val="007766BC"/>
    <w:rsid w:val="007769BC"/>
    <w:rsid w:val="00776AA7"/>
    <w:rsid w:val="00776B1F"/>
    <w:rsid w:val="00776BE1"/>
    <w:rsid w:val="00776CE1"/>
    <w:rsid w:val="00776D6F"/>
    <w:rsid w:val="00776DA6"/>
    <w:rsid w:val="00777094"/>
    <w:rsid w:val="00777370"/>
    <w:rsid w:val="00777540"/>
    <w:rsid w:val="007776A0"/>
    <w:rsid w:val="007776AD"/>
    <w:rsid w:val="007776E0"/>
    <w:rsid w:val="00777783"/>
    <w:rsid w:val="007778FD"/>
    <w:rsid w:val="00777C1F"/>
    <w:rsid w:val="00777C6A"/>
    <w:rsid w:val="00777C7F"/>
    <w:rsid w:val="00777DA2"/>
    <w:rsid w:val="00777DFA"/>
    <w:rsid w:val="00777E45"/>
    <w:rsid w:val="00777F2C"/>
    <w:rsid w:val="0078029F"/>
    <w:rsid w:val="00780347"/>
    <w:rsid w:val="00780411"/>
    <w:rsid w:val="0078050D"/>
    <w:rsid w:val="00780685"/>
    <w:rsid w:val="007806AE"/>
    <w:rsid w:val="007809DE"/>
    <w:rsid w:val="00780A85"/>
    <w:rsid w:val="00780AD3"/>
    <w:rsid w:val="00780B80"/>
    <w:rsid w:val="00780C1D"/>
    <w:rsid w:val="00780C1F"/>
    <w:rsid w:val="00780DE5"/>
    <w:rsid w:val="00780F8E"/>
    <w:rsid w:val="0078104F"/>
    <w:rsid w:val="00781202"/>
    <w:rsid w:val="007812BC"/>
    <w:rsid w:val="00781487"/>
    <w:rsid w:val="00781496"/>
    <w:rsid w:val="00781667"/>
    <w:rsid w:val="007816A1"/>
    <w:rsid w:val="0078174A"/>
    <w:rsid w:val="007817C4"/>
    <w:rsid w:val="00781812"/>
    <w:rsid w:val="00781825"/>
    <w:rsid w:val="0078188B"/>
    <w:rsid w:val="0078192F"/>
    <w:rsid w:val="00781A67"/>
    <w:rsid w:val="00781B11"/>
    <w:rsid w:val="00781DF0"/>
    <w:rsid w:val="00781FDC"/>
    <w:rsid w:val="0078201C"/>
    <w:rsid w:val="00782179"/>
    <w:rsid w:val="0078220F"/>
    <w:rsid w:val="00782370"/>
    <w:rsid w:val="0078243B"/>
    <w:rsid w:val="00782627"/>
    <w:rsid w:val="007827B1"/>
    <w:rsid w:val="00782815"/>
    <w:rsid w:val="00782844"/>
    <w:rsid w:val="00782AFD"/>
    <w:rsid w:val="00782B70"/>
    <w:rsid w:val="00782CF5"/>
    <w:rsid w:val="00782D51"/>
    <w:rsid w:val="00782D86"/>
    <w:rsid w:val="0078312A"/>
    <w:rsid w:val="00783141"/>
    <w:rsid w:val="00783339"/>
    <w:rsid w:val="00783639"/>
    <w:rsid w:val="00783821"/>
    <w:rsid w:val="00783861"/>
    <w:rsid w:val="007838B2"/>
    <w:rsid w:val="007838BD"/>
    <w:rsid w:val="00783A1F"/>
    <w:rsid w:val="00783A75"/>
    <w:rsid w:val="00783A89"/>
    <w:rsid w:val="00783CAB"/>
    <w:rsid w:val="00783CDE"/>
    <w:rsid w:val="00783E01"/>
    <w:rsid w:val="00783FD5"/>
    <w:rsid w:val="00783FE4"/>
    <w:rsid w:val="00784010"/>
    <w:rsid w:val="00784132"/>
    <w:rsid w:val="0078426D"/>
    <w:rsid w:val="007846A1"/>
    <w:rsid w:val="007848A8"/>
    <w:rsid w:val="00784994"/>
    <w:rsid w:val="00784B2C"/>
    <w:rsid w:val="00784B6E"/>
    <w:rsid w:val="00784CBA"/>
    <w:rsid w:val="00784F1A"/>
    <w:rsid w:val="007852CE"/>
    <w:rsid w:val="0078538F"/>
    <w:rsid w:val="0078540A"/>
    <w:rsid w:val="00785565"/>
    <w:rsid w:val="007856FB"/>
    <w:rsid w:val="00785731"/>
    <w:rsid w:val="0078576C"/>
    <w:rsid w:val="0078576D"/>
    <w:rsid w:val="00785791"/>
    <w:rsid w:val="0078587C"/>
    <w:rsid w:val="00785960"/>
    <w:rsid w:val="00785CD2"/>
    <w:rsid w:val="00785D26"/>
    <w:rsid w:val="00785E19"/>
    <w:rsid w:val="00785FBC"/>
    <w:rsid w:val="00785FFD"/>
    <w:rsid w:val="00786059"/>
    <w:rsid w:val="00786152"/>
    <w:rsid w:val="00786248"/>
    <w:rsid w:val="0078630B"/>
    <w:rsid w:val="00786707"/>
    <w:rsid w:val="0078671A"/>
    <w:rsid w:val="00786721"/>
    <w:rsid w:val="00786916"/>
    <w:rsid w:val="00786966"/>
    <w:rsid w:val="007869A7"/>
    <w:rsid w:val="00786A25"/>
    <w:rsid w:val="00786AEF"/>
    <w:rsid w:val="00786B36"/>
    <w:rsid w:val="00786C69"/>
    <w:rsid w:val="00786CAA"/>
    <w:rsid w:val="00786E26"/>
    <w:rsid w:val="00786EB3"/>
    <w:rsid w:val="0078726A"/>
    <w:rsid w:val="00787391"/>
    <w:rsid w:val="0078743F"/>
    <w:rsid w:val="00787739"/>
    <w:rsid w:val="00787AA7"/>
    <w:rsid w:val="00787B93"/>
    <w:rsid w:val="00787BCE"/>
    <w:rsid w:val="00787C1C"/>
    <w:rsid w:val="00787C2E"/>
    <w:rsid w:val="00787CB1"/>
    <w:rsid w:val="00787E05"/>
    <w:rsid w:val="00787E2C"/>
    <w:rsid w:val="00787F9F"/>
    <w:rsid w:val="00790748"/>
    <w:rsid w:val="00790782"/>
    <w:rsid w:val="0079083D"/>
    <w:rsid w:val="007908EF"/>
    <w:rsid w:val="00790A28"/>
    <w:rsid w:val="00790ABE"/>
    <w:rsid w:val="00790B26"/>
    <w:rsid w:val="00790C74"/>
    <w:rsid w:val="00790C7B"/>
    <w:rsid w:val="00790DFF"/>
    <w:rsid w:val="00790E04"/>
    <w:rsid w:val="00790F3F"/>
    <w:rsid w:val="00790FBF"/>
    <w:rsid w:val="00790FE4"/>
    <w:rsid w:val="00791132"/>
    <w:rsid w:val="007911D4"/>
    <w:rsid w:val="0079121F"/>
    <w:rsid w:val="007912AD"/>
    <w:rsid w:val="0079147A"/>
    <w:rsid w:val="0079153D"/>
    <w:rsid w:val="007915FE"/>
    <w:rsid w:val="007917D0"/>
    <w:rsid w:val="00791934"/>
    <w:rsid w:val="00791AE5"/>
    <w:rsid w:val="00791C3E"/>
    <w:rsid w:val="00791C72"/>
    <w:rsid w:val="00791C9B"/>
    <w:rsid w:val="00791CBF"/>
    <w:rsid w:val="00791D16"/>
    <w:rsid w:val="00791DB8"/>
    <w:rsid w:val="00791DBC"/>
    <w:rsid w:val="00791E0F"/>
    <w:rsid w:val="00791EB8"/>
    <w:rsid w:val="00792025"/>
    <w:rsid w:val="00792141"/>
    <w:rsid w:val="007921D7"/>
    <w:rsid w:val="007923CC"/>
    <w:rsid w:val="0079240B"/>
    <w:rsid w:val="0079245C"/>
    <w:rsid w:val="007924EF"/>
    <w:rsid w:val="00792536"/>
    <w:rsid w:val="0079258E"/>
    <w:rsid w:val="007926A2"/>
    <w:rsid w:val="00792AC1"/>
    <w:rsid w:val="00792BE4"/>
    <w:rsid w:val="00792C64"/>
    <w:rsid w:val="00792D6F"/>
    <w:rsid w:val="00792E7B"/>
    <w:rsid w:val="00792F25"/>
    <w:rsid w:val="00793014"/>
    <w:rsid w:val="0079308C"/>
    <w:rsid w:val="007930C0"/>
    <w:rsid w:val="0079310C"/>
    <w:rsid w:val="00793172"/>
    <w:rsid w:val="00793194"/>
    <w:rsid w:val="007931C3"/>
    <w:rsid w:val="007931FE"/>
    <w:rsid w:val="007932E4"/>
    <w:rsid w:val="007934FB"/>
    <w:rsid w:val="0079358A"/>
    <w:rsid w:val="007935D4"/>
    <w:rsid w:val="0079360D"/>
    <w:rsid w:val="0079369C"/>
    <w:rsid w:val="007937D3"/>
    <w:rsid w:val="00793B2C"/>
    <w:rsid w:val="00793B44"/>
    <w:rsid w:val="00793D9B"/>
    <w:rsid w:val="00793E26"/>
    <w:rsid w:val="007941E2"/>
    <w:rsid w:val="00794274"/>
    <w:rsid w:val="007943E1"/>
    <w:rsid w:val="007944FF"/>
    <w:rsid w:val="0079451F"/>
    <w:rsid w:val="007945B6"/>
    <w:rsid w:val="007945F9"/>
    <w:rsid w:val="00794673"/>
    <w:rsid w:val="00794674"/>
    <w:rsid w:val="007947C8"/>
    <w:rsid w:val="007947FB"/>
    <w:rsid w:val="00794AA2"/>
    <w:rsid w:val="00794D14"/>
    <w:rsid w:val="00794DAE"/>
    <w:rsid w:val="00794E3C"/>
    <w:rsid w:val="00794E6E"/>
    <w:rsid w:val="00794EDC"/>
    <w:rsid w:val="00794F08"/>
    <w:rsid w:val="00794F57"/>
    <w:rsid w:val="00795361"/>
    <w:rsid w:val="007953C0"/>
    <w:rsid w:val="007955AD"/>
    <w:rsid w:val="007957E6"/>
    <w:rsid w:val="0079585C"/>
    <w:rsid w:val="00795932"/>
    <w:rsid w:val="00795A50"/>
    <w:rsid w:val="00795B18"/>
    <w:rsid w:val="00795BBE"/>
    <w:rsid w:val="00795C4B"/>
    <w:rsid w:val="00795D0D"/>
    <w:rsid w:val="00795E24"/>
    <w:rsid w:val="00795E2B"/>
    <w:rsid w:val="007960E2"/>
    <w:rsid w:val="007961F5"/>
    <w:rsid w:val="00796229"/>
    <w:rsid w:val="007962C2"/>
    <w:rsid w:val="00796359"/>
    <w:rsid w:val="007963CA"/>
    <w:rsid w:val="00796438"/>
    <w:rsid w:val="00796810"/>
    <w:rsid w:val="0079683B"/>
    <w:rsid w:val="0079686E"/>
    <w:rsid w:val="00796A55"/>
    <w:rsid w:val="00796CBE"/>
    <w:rsid w:val="00796CE6"/>
    <w:rsid w:val="00796D1A"/>
    <w:rsid w:val="00796D3E"/>
    <w:rsid w:val="00796E32"/>
    <w:rsid w:val="00797453"/>
    <w:rsid w:val="0079749B"/>
    <w:rsid w:val="007975CD"/>
    <w:rsid w:val="0079786F"/>
    <w:rsid w:val="007978C4"/>
    <w:rsid w:val="00797AC4"/>
    <w:rsid w:val="00797B5E"/>
    <w:rsid w:val="00797D46"/>
    <w:rsid w:val="00797ECB"/>
    <w:rsid w:val="007A0016"/>
    <w:rsid w:val="007A0142"/>
    <w:rsid w:val="007A02E5"/>
    <w:rsid w:val="007A0509"/>
    <w:rsid w:val="007A0629"/>
    <w:rsid w:val="007A06FC"/>
    <w:rsid w:val="007A0709"/>
    <w:rsid w:val="007A0731"/>
    <w:rsid w:val="007A0804"/>
    <w:rsid w:val="007A0872"/>
    <w:rsid w:val="007A0A15"/>
    <w:rsid w:val="007A0BED"/>
    <w:rsid w:val="007A0D5A"/>
    <w:rsid w:val="007A0E1F"/>
    <w:rsid w:val="007A1114"/>
    <w:rsid w:val="007A1199"/>
    <w:rsid w:val="007A173E"/>
    <w:rsid w:val="007A179F"/>
    <w:rsid w:val="007A17D4"/>
    <w:rsid w:val="007A1939"/>
    <w:rsid w:val="007A1A1A"/>
    <w:rsid w:val="007A1B0F"/>
    <w:rsid w:val="007A1CB2"/>
    <w:rsid w:val="007A1F56"/>
    <w:rsid w:val="007A20A6"/>
    <w:rsid w:val="007A2105"/>
    <w:rsid w:val="007A211B"/>
    <w:rsid w:val="007A2203"/>
    <w:rsid w:val="007A2204"/>
    <w:rsid w:val="007A2224"/>
    <w:rsid w:val="007A2294"/>
    <w:rsid w:val="007A22C1"/>
    <w:rsid w:val="007A2362"/>
    <w:rsid w:val="007A2417"/>
    <w:rsid w:val="007A262E"/>
    <w:rsid w:val="007A27DF"/>
    <w:rsid w:val="007A28AE"/>
    <w:rsid w:val="007A2916"/>
    <w:rsid w:val="007A29F7"/>
    <w:rsid w:val="007A2A51"/>
    <w:rsid w:val="007A2A7D"/>
    <w:rsid w:val="007A2B50"/>
    <w:rsid w:val="007A2C41"/>
    <w:rsid w:val="007A2C5D"/>
    <w:rsid w:val="007A2D93"/>
    <w:rsid w:val="007A2EEA"/>
    <w:rsid w:val="007A2EF3"/>
    <w:rsid w:val="007A2F50"/>
    <w:rsid w:val="007A30BB"/>
    <w:rsid w:val="007A3188"/>
    <w:rsid w:val="007A31EF"/>
    <w:rsid w:val="007A3246"/>
    <w:rsid w:val="007A33E9"/>
    <w:rsid w:val="007A3591"/>
    <w:rsid w:val="007A373B"/>
    <w:rsid w:val="007A3764"/>
    <w:rsid w:val="007A37B1"/>
    <w:rsid w:val="007A38D7"/>
    <w:rsid w:val="007A3A62"/>
    <w:rsid w:val="007A3AB4"/>
    <w:rsid w:val="007A3AE1"/>
    <w:rsid w:val="007A3B60"/>
    <w:rsid w:val="007A3C1B"/>
    <w:rsid w:val="007A3C1F"/>
    <w:rsid w:val="007A3E6D"/>
    <w:rsid w:val="007A3F2A"/>
    <w:rsid w:val="007A3FB8"/>
    <w:rsid w:val="007A422D"/>
    <w:rsid w:val="007A42D7"/>
    <w:rsid w:val="007A4489"/>
    <w:rsid w:val="007A463A"/>
    <w:rsid w:val="007A466C"/>
    <w:rsid w:val="007A4835"/>
    <w:rsid w:val="007A4BD4"/>
    <w:rsid w:val="007A4CD3"/>
    <w:rsid w:val="007A4D94"/>
    <w:rsid w:val="007A4DB7"/>
    <w:rsid w:val="007A4F2C"/>
    <w:rsid w:val="007A5016"/>
    <w:rsid w:val="007A5141"/>
    <w:rsid w:val="007A5197"/>
    <w:rsid w:val="007A5446"/>
    <w:rsid w:val="007A567C"/>
    <w:rsid w:val="007A58D3"/>
    <w:rsid w:val="007A5B90"/>
    <w:rsid w:val="007A5D8F"/>
    <w:rsid w:val="007A5DED"/>
    <w:rsid w:val="007A5F0C"/>
    <w:rsid w:val="007A6125"/>
    <w:rsid w:val="007A617F"/>
    <w:rsid w:val="007A6325"/>
    <w:rsid w:val="007A690E"/>
    <w:rsid w:val="007A6956"/>
    <w:rsid w:val="007A69E7"/>
    <w:rsid w:val="007A6A11"/>
    <w:rsid w:val="007A6AF4"/>
    <w:rsid w:val="007A6B25"/>
    <w:rsid w:val="007A6C71"/>
    <w:rsid w:val="007A6C73"/>
    <w:rsid w:val="007A6D71"/>
    <w:rsid w:val="007A70F4"/>
    <w:rsid w:val="007A755A"/>
    <w:rsid w:val="007A7887"/>
    <w:rsid w:val="007A788C"/>
    <w:rsid w:val="007A7971"/>
    <w:rsid w:val="007A798B"/>
    <w:rsid w:val="007A7BA9"/>
    <w:rsid w:val="007A7F0B"/>
    <w:rsid w:val="007A7F2C"/>
    <w:rsid w:val="007A7F59"/>
    <w:rsid w:val="007B0077"/>
    <w:rsid w:val="007B00D4"/>
    <w:rsid w:val="007B0259"/>
    <w:rsid w:val="007B02C9"/>
    <w:rsid w:val="007B03D2"/>
    <w:rsid w:val="007B0670"/>
    <w:rsid w:val="007B0724"/>
    <w:rsid w:val="007B0944"/>
    <w:rsid w:val="007B09DB"/>
    <w:rsid w:val="007B0C74"/>
    <w:rsid w:val="007B0CFD"/>
    <w:rsid w:val="007B0DEF"/>
    <w:rsid w:val="007B0EE1"/>
    <w:rsid w:val="007B0FA8"/>
    <w:rsid w:val="007B1041"/>
    <w:rsid w:val="007B117F"/>
    <w:rsid w:val="007B11DD"/>
    <w:rsid w:val="007B11FF"/>
    <w:rsid w:val="007B142F"/>
    <w:rsid w:val="007B1471"/>
    <w:rsid w:val="007B1531"/>
    <w:rsid w:val="007B16DC"/>
    <w:rsid w:val="007B187B"/>
    <w:rsid w:val="007B1A18"/>
    <w:rsid w:val="007B1D31"/>
    <w:rsid w:val="007B1EC5"/>
    <w:rsid w:val="007B1F64"/>
    <w:rsid w:val="007B2092"/>
    <w:rsid w:val="007B20F8"/>
    <w:rsid w:val="007B2149"/>
    <w:rsid w:val="007B216F"/>
    <w:rsid w:val="007B2200"/>
    <w:rsid w:val="007B2245"/>
    <w:rsid w:val="007B243D"/>
    <w:rsid w:val="007B2486"/>
    <w:rsid w:val="007B2520"/>
    <w:rsid w:val="007B255C"/>
    <w:rsid w:val="007B256B"/>
    <w:rsid w:val="007B279C"/>
    <w:rsid w:val="007B27A1"/>
    <w:rsid w:val="007B27FE"/>
    <w:rsid w:val="007B2848"/>
    <w:rsid w:val="007B29B4"/>
    <w:rsid w:val="007B2AA1"/>
    <w:rsid w:val="007B2C60"/>
    <w:rsid w:val="007B2C61"/>
    <w:rsid w:val="007B2CC0"/>
    <w:rsid w:val="007B2D06"/>
    <w:rsid w:val="007B2D41"/>
    <w:rsid w:val="007B2DBB"/>
    <w:rsid w:val="007B2E55"/>
    <w:rsid w:val="007B2E9A"/>
    <w:rsid w:val="007B3019"/>
    <w:rsid w:val="007B32F1"/>
    <w:rsid w:val="007B331E"/>
    <w:rsid w:val="007B33CD"/>
    <w:rsid w:val="007B343B"/>
    <w:rsid w:val="007B344C"/>
    <w:rsid w:val="007B3518"/>
    <w:rsid w:val="007B351D"/>
    <w:rsid w:val="007B3624"/>
    <w:rsid w:val="007B3745"/>
    <w:rsid w:val="007B3A48"/>
    <w:rsid w:val="007B3A62"/>
    <w:rsid w:val="007B3AD1"/>
    <w:rsid w:val="007B3AFB"/>
    <w:rsid w:val="007B3B36"/>
    <w:rsid w:val="007B3CCA"/>
    <w:rsid w:val="007B3D36"/>
    <w:rsid w:val="007B3F2D"/>
    <w:rsid w:val="007B3FD8"/>
    <w:rsid w:val="007B4020"/>
    <w:rsid w:val="007B4052"/>
    <w:rsid w:val="007B432D"/>
    <w:rsid w:val="007B44DC"/>
    <w:rsid w:val="007B4511"/>
    <w:rsid w:val="007B4798"/>
    <w:rsid w:val="007B47D0"/>
    <w:rsid w:val="007B47EB"/>
    <w:rsid w:val="007B47ED"/>
    <w:rsid w:val="007B480F"/>
    <w:rsid w:val="007B4AA7"/>
    <w:rsid w:val="007B4C90"/>
    <w:rsid w:val="007B4D4E"/>
    <w:rsid w:val="007B4DB8"/>
    <w:rsid w:val="007B4FB1"/>
    <w:rsid w:val="007B50B5"/>
    <w:rsid w:val="007B5134"/>
    <w:rsid w:val="007B51B7"/>
    <w:rsid w:val="007B51C9"/>
    <w:rsid w:val="007B5779"/>
    <w:rsid w:val="007B5991"/>
    <w:rsid w:val="007B5B39"/>
    <w:rsid w:val="007B5DA6"/>
    <w:rsid w:val="007B6006"/>
    <w:rsid w:val="007B60BB"/>
    <w:rsid w:val="007B60E8"/>
    <w:rsid w:val="007B6170"/>
    <w:rsid w:val="007B626B"/>
    <w:rsid w:val="007B6273"/>
    <w:rsid w:val="007B639D"/>
    <w:rsid w:val="007B6606"/>
    <w:rsid w:val="007B6617"/>
    <w:rsid w:val="007B691B"/>
    <w:rsid w:val="007B692B"/>
    <w:rsid w:val="007B698F"/>
    <w:rsid w:val="007B699A"/>
    <w:rsid w:val="007B69CE"/>
    <w:rsid w:val="007B6D30"/>
    <w:rsid w:val="007B71DF"/>
    <w:rsid w:val="007B734F"/>
    <w:rsid w:val="007B73E1"/>
    <w:rsid w:val="007B7587"/>
    <w:rsid w:val="007B75FB"/>
    <w:rsid w:val="007B760E"/>
    <w:rsid w:val="007B7665"/>
    <w:rsid w:val="007B78B6"/>
    <w:rsid w:val="007B799D"/>
    <w:rsid w:val="007B7A63"/>
    <w:rsid w:val="007B7C09"/>
    <w:rsid w:val="007B7C86"/>
    <w:rsid w:val="007B7D24"/>
    <w:rsid w:val="007C009F"/>
    <w:rsid w:val="007C00A4"/>
    <w:rsid w:val="007C00CF"/>
    <w:rsid w:val="007C0174"/>
    <w:rsid w:val="007C0270"/>
    <w:rsid w:val="007C0359"/>
    <w:rsid w:val="007C03CF"/>
    <w:rsid w:val="007C04B6"/>
    <w:rsid w:val="007C0719"/>
    <w:rsid w:val="007C08AC"/>
    <w:rsid w:val="007C092F"/>
    <w:rsid w:val="007C09F1"/>
    <w:rsid w:val="007C0A75"/>
    <w:rsid w:val="007C0B07"/>
    <w:rsid w:val="007C0E1F"/>
    <w:rsid w:val="007C10E2"/>
    <w:rsid w:val="007C1342"/>
    <w:rsid w:val="007C134C"/>
    <w:rsid w:val="007C139A"/>
    <w:rsid w:val="007C13BA"/>
    <w:rsid w:val="007C13DB"/>
    <w:rsid w:val="007C1470"/>
    <w:rsid w:val="007C15C8"/>
    <w:rsid w:val="007C162D"/>
    <w:rsid w:val="007C17EB"/>
    <w:rsid w:val="007C1954"/>
    <w:rsid w:val="007C1BA3"/>
    <w:rsid w:val="007C1D4C"/>
    <w:rsid w:val="007C1DFD"/>
    <w:rsid w:val="007C1E05"/>
    <w:rsid w:val="007C1E86"/>
    <w:rsid w:val="007C23FD"/>
    <w:rsid w:val="007C2439"/>
    <w:rsid w:val="007C252C"/>
    <w:rsid w:val="007C2573"/>
    <w:rsid w:val="007C2582"/>
    <w:rsid w:val="007C259F"/>
    <w:rsid w:val="007C2662"/>
    <w:rsid w:val="007C270A"/>
    <w:rsid w:val="007C281A"/>
    <w:rsid w:val="007C287F"/>
    <w:rsid w:val="007C2909"/>
    <w:rsid w:val="007C2B80"/>
    <w:rsid w:val="007C2C03"/>
    <w:rsid w:val="007C2C0E"/>
    <w:rsid w:val="007C2C95"/>
    <w:rsid w:val="007C3046"/>
    <w:rsid w:val="007C3076"/>
    <w:rsid w:val="007C31F8"/>
    <w:rsid w:val="007C31FA"/>
    <w:rsid w:val="007C3417"/>
    <w:rsid w:val="007C3826"/>
    <w:rsid w:val="007C3857"/>
    <w:rsid w:val="007C3A7B"/>
    <w:rsid w:val="007C3ACF"/>
    <w:rsid w:val="007C3BA5"/>
    <w:rsid w:val="007C3C1A"/>
    <w:rsid w:val="007C3F7B"/>
    <w:rsid w:val="007C403E"/>
    <w:rsid w:val="007C4096"/>
    <w:rsid w:val="007C40B8"/>
    <w:rsid w:val="007C4106"/>
    <w:rsid w:val="007C4349"/>
    <w:rsid w:val="007C4672"/>
    <w:rsid w:val="007C475D"/>
    <w:rsid w:val="007C4791"/>
    <w:rsid w:val="007C48F6"/>
    <w:rsid w:val="007C494B"/>
    <w:rsid w:val="007C4A57"/>
    <w:rsid w:val="007C4B7E"/>
    <w:rsid w:val="007C4B8D"/>
    <w:rsid w:val="007C4F58"/>
    <w:rsid w:val="007C5034"/>
    <w:rsid w:val="007C5293"/>
    <w:rsid w:val="007C5299"/>
    <w:rsid w:val="007C52B8"/>
    <w:rsid w:val="007C53F9"/>
    <w:rsid w:val="007C56CA"/>
    <w:rsid w:val="007C575C"/>
    <w:rsid w:val="007C5802"/>
    <w:rsid w:val="007C5C52"/>
    <w:rsid w:val="007C5C9E"/>
    <w:rsid w:val="007C5F2C"/>
    <w:rsid w:val="007C5FA7"/>
    <w:rsid w:val="007C602C"/>
    <w:rsid w:val="007C6104"/>
    <w:rsid w:val="007C6211"/>
    <w:rsid w:val="007C6265"/>
    <w:rsid w:val="007C6323"/>
    <w:rsid w:val="007C636E"/>
    <w:rsid w:val="007C63BC"/>
    <w:rsid w:val="007C6492"/>
    <w:rsid w:val="007C64D3"/>
    <w:rsid w:val="007C654E"/>
    <w:rsid w:val="007C66E7"/>
    <w:rsid w:val="007C676D"/>
    <w:rsid w:val="007C67CE"/>
    <w:rsid w:val="007C67DA"/>
    <w:rsid w:val="007C6952"/>
    <w:rsid w:val="007C69EF"/>
    <w:rsid w:val="007C6B32"/>
    <w:rsid w:val="007C6C50"/>
    <w:rsid w:val="007C6CAE"/>
    <w:rsid w:val="007C6D99"/>
    <w:rsid w:val="007C6E27"/>
    <w:rsid w:val="007C6F12"/>
    <w:rsid w:val="007C70A8"/>
    <w:rsid w:val="007C7229"/>
    <w:rsid w:val="007C7260"/>
    <w:rsid w:val="007C7281"/>
    <w:rsid w:val="007C7388"/>
    <w:rsid w:val="007C76A9"/>
    <w:rsid w:val="007C76DD"/>
    <w:rsid w:val="007C7728"/>
    <w:rsid w:val="007C778B"/>
    <w:rsid w:val="007C77BF"/>
    <w:rsid w:val="007C78F3"/>
    <w:rsid w:val="007C7918"/>
    <w:rsid w:val="007C7B71"/>
    <w:rsid w:val="007C7B8F"/>
    <w:rsid w:val="007C7C0D"/>
    <w:rsid w:val="007C7E43"/>
    <w:rsid w:val="007C7E53"/>
    <w:rsid w:val="007C7ED4"/>
    <w:rsid w:val="007C7FBA"/>
    <w:rsid w:val="007C7FBB"/>
    <w:rsid w:val="007C7FC2"/>
    <w:rsid w:val="007D0035"/>
    <w:rsid w:val="007D0053"/>
    <w:rsid w:val="007D0116"/>
    <w:rsid w:val="007D01EE"/>
    <w:rsid w:val="007D0200"/>
    <w:rsid w:val="007D0202"/>
    <w:rsid w:val="007D02D6"/>
    <w:rsid w:val="007D02F4"/>
    <w:rsid w:val="007D0402"/>
    <w:rsid w:val="007D0472"/>
    <w:rsid w:val="007D0489"/>
    <w:rsid w:val="007D0601"/>
    <w:rsid w:val="007D06CC"/>
    <w:rsid w:val="007D07A0"/>
    <w:rsid w:val="007D0854"/>
    <w:rsid w:val="007D09B3"/>
    <w:rsid w:val="007D0A02"/>
    <w:rsid w:val="007D0A0F"/>
    <w:rsid w:val="007D0A54"/>
    <w:rsid w:val="007D0B1F"/>
    <w:rsid w:val="007D0DC7"/>
    <w:rsid w:val="007D10F8"/>
    <w:rsid w:val="007D11EA"/>
    <w:rsid w:val="007D1414"/>
    <w:rsid w:val="007D1481"/>
    <w:rsid w:val="007D1732"/>
    <w:rsid w:val="007D17AD"/>
    <w:rsid w:val="007D17F4"/>
    <w:rsid w:val="007D18A4"/>
    <w:rsid w:val="007D19BF"/>
    <w:rsid w:val="007D1AB6"/>
    <w:rsid w:val="007D1B42"/>
    <w:rsid w:val="007D1B97"/>
    <w:rsid w:val="007D1BDE"/>
    <w:rsid w:val="007D1C67"/>
    <w:rsid w:val="007D1D8B"/>
    <w:rsid w:val="007D1E6F"/>
    <w:rsid w:val="007D1E93"/>
    <w:rsid w:val="007D222E"/>
    <w:rsid w:val="007D22B2"/>
    <w:rsid w:val="007D22C9"/>
    <w:rsid w:val="007D22E7"/>
    <w:rsid w:val="007D2321"/>
    <w:rsid w:val="007D2504"/>
    <w:rsid w:val="007D261D"/>
    <w:rsid w:val="007D294C"/>
    <w:rsid w:val="007D2A74"/>
    <w:rsid w:val="007D2B23"/>
    <w:rsid w:val="007D2B8A"/>
    <w:rsid w:val="007D2B8F"/>
    <w:rsid w:val="007D2BA0"/>
    <w:rsid w:val="007D2C86"/>
    <w:rsid w:val="007D30AE"/>
    <w:rsid w:val="007D3107"/>
    <w:rsid w:val="007D3132"/>
    <w:rsid w:val="007D3204"/>
    <w:rsid w:val="007D39BF"/>
    <w:rsid w:val="007D3CF0"/>
    <w:rsid w:val="007D3D41"/>
    <w:rsid w:val="007D3E00"/>
    <w:rsid w:val="007D3E21"/>
    <w:rsid w:val="007D3F55"/>
    <w:rsid w:val="007D3FDB"/>
    <w:rsid w:val="007D41F0"/>
    <w:rsid w:val="007D435A"/>
    <w:rsid w:val="007D43EC"/>
    <w:rsid w:val="007D4695"/>
    <w:rsid w:val="007D47D6"/>
    <w:rsid w:val="007D481B"/>
    <w:rsid w:val="007D48F4"/>
    <w:rsid w:val="007D4C63"/>
    <w:rsid w:val="007D4D16"/>
    <w:rsid w:val="007D4DDD"/>
    <w:rsid w:val="007D4E29"/>
    <w:rsid w:val="007D4F2A"/>
    <w:rsid w:val="007D5078"/>
    <w:rsid w:val="007D5085"/>
    <w:rsid w:val="007D5838"/>
    <w:rsid w:val="007D600F"/>
    <w:rsid w:val="007D6093"/>
    <w:rsid w:val="007D6134"/>
    <w:rsid w:val="007D6163"/>
    <w:rsid w:val="007D61AF"/>
    <w:rsid w:val="007D6243"/>
    <w:rsid w:val="007D62E7"/>
    <w:rsid w:val="007D63C6"/>
    <w:rsid w:val="007D64EC"/>
    <w:rsid w:val="007D6712"/>
    <w:rsid w:val="007D6A7F"/>
    <w:rsid w:val="007D6ACB"/>
    <w:rsid w:val="007D6B0D"/>
    <w:rsid w:val="007D6B39"/>
    <w:rsid w:val="007D6BAD"/>
    <w:rsid w:val="007D6BED"/>
    <w:rsid w:val="007D6C4F"/>
    <w:rsid w:val="007D6C97"/>
    <w:rsid w:val="007D6DE6"/>
    <w:rsid w:val="007D6F31"/>
    <w:rsid w:val="007D6FC9"/>
    <w:rsid w:val="007D7098"/>
    <w:rsid w:val="007D7330"/>
    <w:rsid w:val="007D733F"/>
    <w:rsid w:val="007D7342"/>
    <w:rsid w:val="007D735F"/>
    <w:rsid w:val="007D73FD"/>
    <w:rsid w:val="007D746F"/>
    <w:rsid w:val="007D7701"/>
    <w:rsid w:val="007D782A"/>
    <w:rsid w:val="007D783A"/>
    <w:rsid w:val="007D7949"/>
    <w:rsid w:val="007D7A4E"/>
    <w:rsid w:val="007D7AA9"/>
    <w:rsid w:val="007D7D23"/>
    <w:rsid w:val="007D7D6B"/>
    <w:rsid w:val="007D7DA8"/>
    <w:rsid w:val="007D7DD6"/>
    <w:rsid w:val="007D7E6C"/>
    <w:rsid w:val="007D7F19"/>
    <w:rsid w:val="007E02A0"/>
    <w:rsid w:val="007E02C3"/>
    <w:rsid w:val="007E02F8"/>
    <w:rsid w:val="007E046E"/>
    <w:rsid w:val="007E076A"/>
    <w:rsid w:val="007E0891"/>
    <w:rsid w:val="007E0C1C"/>
    <w:rsid w:val="007E0C2E"/>
    <w:rsid w:val="007E0C59"/>
    <w:rsid w:val="007E0D29"/>
    <w:rsid w:val="007E0D5E"/>
    <w:rsid w:val="007E0E79"/>
    <w:rsid w:val="007E0EA8"/>
    <w:rsid w:val="007E0F0F"/>
    <w:rsid w:val="007E0F53"/>
    <w:rsid w:val="007E104A"/>
    <w:rsid w:val="007E1235"/>
    <w:rsid w:val="007E130E"/>
    <w:rsid w:val="007E1349"/>
    <w:rsid w:val="007E13C2"/>
    <w:rsid w:val="007E1428"/>
    <w:rsid w:val="007E1724"/>
    <w:rsid w:val="007E1AA6"/>
    <w:rsid w:val="007E1AB2"/>
    <w:rsid w:val="007E1B04"/>
    <w:rsid w:val="007E1B3C"/>
    <w:rsid w:val="007E1BE7"/>
    <w:rsid w:val="007E1D74"/>
    <w:rsid w:val="007E1DBC"/>
    <w:rsid w:val="007E1ED5"/>
    <w:rsid w:val="007E22B2"/>
    <w:rsid w:val="007E24C4"/>
    <w:rsid w:val="007E255B"/>
    <w:rsid w:val="007E2633"/>
    <w:rsid w:val="007E276E"/>
    <w:rsid w:val="007E27F3"/>
    <w:rsid w:val="007E2858"/>
    <w:rsid w:val="007E28C4"/>
    <w:rsid w:val="007E2C89"/>
    <w:rsid w:val="007E2CE3"/>
    <w:rsid w:val="007E308C"/>
    <w:rsid w:val="007E30BD"/>
    <w:rsid w:val="007E3264"/>
    <w:rsid w:val="007E3317"/>
    <w:rsid w:val="007E3388"/>
    <w:rsid w:val="007E33F6"/>
    <w:rsid w:val="007E35A4"/>
    <w:rsid w:val="007E368B"/>
    <w:rsid w:val="007E37A0"/>
    <w:rsid w:val="007E3848"/>
    <w:rsid w:val="007E394E"/>
    <w:rsid w:val="007E3AB4"/>
    <w:rsid w:val="007E3ABB"/>
    <w:rsid w:val="007E3B6B"/>
    <w:rsid w:val="007E3C73"/>
    <w:rsid w:val="007E3C9E"/>
    <w:rsid w:val="007E3EAA"/>
    <w:rsid w:val="007E3EF4"/>
    <w:rsid w:val="007E3EFB"/>
    <w:rsid w:val="007E3F25"/>
    <w:rsid w:val="007E415A"/>
    <w:rsid w:val="007E4363"/>
    <w:rsid w:val="007E45DB"/>
    <w:rsid w:val="007E4701"/>
    <w:rsid w:val="007E4780"/>
    <w:rsid w:val="007E47D2"/>
    <w:rsid w:val="007E4830"/>
    <w:rsid w:val="007E498D"/>
    <w:rsid w:val="007E4A71"/>
    <w:rsid w:val="007E4AAF"/>
    <w:rsid w:val="007E4B44"/>
    <w:rsid w:val="007E4B91"/>
    <w:rsid w:val="007E4BF9"/>
    <w:rsid w:val="007E4E2C"/>
    <w:rsid w:val="007E5414"/>
    <w:rsid w:val="007E54AE"/>
    <w:rsid w:val="007E5965"/>
    <w:rsid w:val="007E5A41"/>
    <w:rsid w:val="007E5B8A"/>
    <w:rsid w:val="007E5C59"/>
    <w:rsid w:val="007E5EE6"/>
    <w:rsid w:val="007E5F48"/>
    <w:rsid w:val="007E5F97"/>
    <w:rsid w:val="007E6001"/>
    <w:rsid w:val="007E60FF"/>
    <w:rsid w:val="007E6157"/>
    <w:rsid w:val="007E622C"/>
    <w:rsid w:val="007E624A"/>
    <w:rsid w:val="007E624B"/>
    <w:rsid w:val="007E6798"/>
    <w:rsid w:val="007E67BB"/>
    <w:rsid w:val="007E67E0"/>
    <w:rsid w:val="007E6860"/>
    <w:rsid w:val="007E6887"/>
    <w:rsid w:val="007E696D"/>
    <w:rsid w:val="007E69EC"/>
    <w:rsid w:val="007E6A7D"/>
    <w:rsid w:val="007E6BDE"/>
    <w:rsid w:val="007E6BF8"/>
    <w:rsid w:val="007E6C4B"/>
    <w:rsid w:val="007E6CEE"/>
    <w:rsid w:val="007E6DD3"/>
    <w:rsid w:val="007E6E66"/>
    <w:rsid w:val="007E6FBF"/>
    <w:rsid w:val="007E6FCE"/>
    <w:rsid w:val="007E70E3"/>
    <w:rsid w:val="007E725C"/>
    <w:rsid w:val="007E748C"/>
    <w:rsid w:val="007E7568"/>
    <w:rsid w:val="007E767A"/>
    <w:rsid w:val="007E76E7"/>
    <w:rsid w:val="007E780C"/>
    <w:rsid w:val="007E7917"/>
    <w:rsid w:val="007E7B07"/>
    <w:rsid w:val="007E7CF9"/>
    <w:rsid w:val="007E7E42"/>
    <w:rsid w:val="007E7E80"/>
    <w:rsid w:val="007E7ECC"/>
    <w:rsid w:val="007E7EDD"/>
    <w:rsid w:val="007F0047"/>
    <w:rsid w:val="007F0055"/>
    <w:rsid w:val="007F0214"/>
    <w:rsid w:val="007F0232"/>
    <w:rsid w:val="007F0249"/>
    <w:rsid w:val="007F03CD"/>
    <w:rsid w:val="007F07B0"/>
    <w:rsid w:val="007F09E8"/>
    <w:rsid w:val="007F0AB5"/>
    <w:rsid w:val="007F10F2"/>
    <w:rsid w:val="007F11B4"/>
    <w:rsid w:val="007F125D"/>
    <w:rsid w:val="007F1332"/>
    <w:rsid w:val="007F1347"/>
    <w:rsid w:val="007F1464"/>
    <w:rsid w:val="007F15B2"/>
    <w:rsid w:val="007F175B"/>
    <w:rsid w:val="007F18FA"/>
    <w:rsid w:val="007F1952"/>
    <w:rsid w:val="007F196F"/>
    <w:rsid w:val="007F19BF"/>
    <w:rsid w:val="007F1AA3"/>
    <w:rsid w:val="007F1B7B"/>
    <w:rsid w:val="007F1E59"/>
    <w:rsid w:val="007F1F10"/>
    <w:rsid w:val="007F1F6B"/>
    <w:rsid w:val="007F2131"/>
    <w:rsid w:val="007F21BE"/>
    <w:rsid w:val="007F229B"/>
    <w:rsid w:val="007F22FA"/>
    <w:rsid w:val="007F252C"/>
    <w:rsid w:val="007F2AFB"/>
    <w:rsid w:val="007F2C15"/>
    <w:rsid w:val="007F2CDE"/>
    <w:rsid w:val="007F2E6E"/>
    <w:rsid w:val="007F2EFF"/>
    <w:rsid w:val="007F2F18"/>
    <w:rsid w:val="007F30C1"/>
    <w:rsid w:val="007F30D2"/>
    <w:rsid w:val="007F3182"/>
    <w:rsid w:val="007F3299"/>
    <w:rsid w:val="007F32F8"/>
    <w:rsid w:val="007F33C2"/>
    <w:rsid w:val="007F33EC"/>
    <w:rsid w:val="007F351E"/>
    <w:rsid w:val="007F3802"/>
    <w:rsid w:val="007F38C7"/>
    <w:rsid w:val="007F395E"/>
    <w:rsid w:val="007F3964"/>
    <w:rsid w:val="007F3D77"/>
    <w:rsid w:val="007F3DFF"/>
    <w:rsid w:val="007F408B"/>
    <w:rsid w:val="007F427A"/>
    <w:rsid w:val="007F4454"/>
    <w:rsid w:val="007F4471"/>
    <w:rsid w:val="007F46F8"/>
    <w:rsid w:val="007F476E"/>
    <w:rsid w:val="007F4876"/>
    <w:rsid w:val="007F4908"/>
    <w:rsid w:val="007F4BCF"/>
    <w:rsid w:val="007F4D5C"/>
    <w:rsid w:val="007F51B0"/>
    <w:rsid w:val="007F5315"/>
    <w:rsid w:val="007F5431"/>
    <w:rsid w:val="007F5588"/>
    <w:rsid w:val="007F55C7"/>
    <w:rsid w:val="007F56C1"/>
    <w:rsid w:val="007F5B0E"/>
    <w:rsid w:val="007F5BB7"/>
    <w:rsid w:val="007F5D30"/>
    <w:rsid w:val="007F5D59"/>
    <w:rsid w:val="007F5DFC"/>
    <w:rsid w:val="007F60DF"/>
    <w:rsid w:val="007F6144"/>
    <w:rsid w:val="007F62AB"/>
    <w:rsid w:val="007F63D3"/>
    <w:rsid w:val="007F6490"/>
    <w:rsid w:val="007F660E"/>
    <w:rsid w:val="007F671F"/>
    <w:rsid w:val="007F673D"/>
    <w:rsid w:val="007F6842"/>
    <w:rsid w:val="007F684C"/>
    <w:rsid w:val="007F6C2D"/>
    <w:rsid w:val="007F6C75"/>
    <w:rsid w:val="007F6E23"/>
    <w:rsid w:val="007F6FEF"/>
    <w:rsid w:val="007F7002"/>
    <w:rsid w:val="007F7052"/>
    <w:rsid w:val="007F7146"/>
    <w:rsid w:val="007F71A4"/>
    <w:rsid w:val="007F7315"/>
    <w:rsid w:val="007F77E3"/>
    <w:rsid w:val="007F797C"/>
    <w:rsid w:val="007F7A58"/>
    <w:rsid w:val="007F7A8C"/>
    <w:rsid w:val="007F7C4B"/>
    <w:rsid w:val="007F7D04"/>
    <w:rsid w:val="007F7D06"/>
    <w:rsid w:val="007F7D75"/>
    <w:rsid w:val="007F7DDC"/>
    <w:rsid w:val="007F7EF0"/>
    <w:rsid w:val="007F7FA5"/>
    <w:rsid w:val="007F7FC6"/>
    <w:rsid w:val="00800489"/>
    <w:rsid w:val="0080054C"/>
    <w:rsid w:val="008005A2"/>
    <w:rsid w:val="0080073C"/>
    <w:rsid w:val="008007BD"/>
    <w:rsid w:val="00800925"/>
    <w:rsid w:val="0080097F"/>
    <w:rsid w:val="008009A6"/>
    <w:rsid w:val="00800BD0"/>
    <w:rsid w:val="00800BD9"/>
    <w:rsid w:val="00800D30"/>
    <w:rsid w:val="00800D87"/>
    <w:rsid w:val="00800DA1"/>
    <w:rsid w:val="00800EC2"/>
    <w:rsid w:val="00801188"/>
    <w:rsid w:val="0080118F"/>
    <w:rsid w:val="008011F1"/>
    <w:rsid w:val="008012D5"/>
    <w:rsid w:val="008014FA"/>
    <w:rsid w:val="00801562"/>
    <w:rsid w:val="0080157C"/>
    <w:rsid w:val="00801625"/>
    <w:rsid w:val="0080171E"/>
    <w:rsid w:val="008018D6"/>
    <w:rsid w:val="00801A76"/>
    <w:rsid w:val="00801B9C"/>
    <w:rsid w:val="00801C1B"/>
    <w:rsid w:val="00801CA9"/>
    <w:rsid w:val="00801DBE"/>
    <w:rsid w:val="00801E0B"/>
    <w:rsid w:val="00801E5B"/>
    <w:rsid w:val="00801E9D"/>
    <w:rsid w:val="00801F1D"/>
    <w:rsid w:val="00801FED"/>
    <w:rsid w:val="00802029"/>
    <w:rsid w:val="00802052"/>
    <w:rsid w:val="008020FA"/>
    <w:rsid w:val="00802250"/>
    <w:rsid w:val="00802574"/>
    <w:rsid w:val="008026B5"/>
    <w:rsid w:val="00802785"/>
    <w:rsid w:val="00802819"/>
    <w:rsid w:val="00802847"/>
    <w:rsid w:val="00802854"/>
    <w:rsid w:val="00802879"/>
    <w:rsid w:val="008028CF"/>
    <w:rsid w:val="00802987"/>
    <w:rsid w:val="008029B3"/>
    <w:rsid w:val="00802A26"/>
    <w:rsid w:val="00802A76"/>
    <w:rsid w:val="00802C3B"/>
    <w:rsid w:val="00802E67"/>
    <w:rsid w:val="0080305B"/>
    <w:rsid w:val="008030D0"/>
    <w:rsid w:val="008031DE"/>
    <w:rsid w:val="008032CA"/>
    <w:rsid w:val="00803321"/>
    <w:rsid w:val="00803342"/>
    <w:rsid w:val="008033A8"/>
    <w:rsid w:val="008033F7"/>
    <w:rsid w:val="00803437"/>
    <w:rsid w:val="00803453"/>
    <w:rsid w:val="00803578"/>
    <w:rsid w:val="00803711"/>
    <w:rsid w:val="008037D1"/>
    <w:rsid w:val="00803826"/>
    <w:rsid w:val="00803887"/>
    <w:rsid w:val="00803A68"/>
    <w:rsid w:val="00803CB8"/>
    <w:rsid w:val="00803D11"/>
    <w:rsid w:val="00803D1A"/>
    <w:rsid w:val="00803EFF"/>
    <w:rsid w:val="0080403E"/>
    <w:rsid w:val="0080410A"/>
    <w:rsid w:val="008042E1"/>
    <w:rsid w:val="00804357"/>
    <w:rsid w:val="008045E6"/>
    <w:rsid w:val="008045E7"/>
    <w:rsid w:val="00804699"/>
    <w:rsid w:val="008048BC"/>
    <w:rsid w:val="0080490E"/>
    <w:rsid w:val="00804983"/>
    <w:rsid w:val="00804A92"/>
    <w:rsid w:val="00804BFA"/>
    <w:rsid w:val="00804CBF"/>
    <w:rsid w:val="00804E29"/>
    <w:rsid w:val="00804EC9"/>
    <w:rsid w:val="00804F7E"/>
    <w:rsid w:val="00805073"/>
    <w:rsid w:val="00805112"/>
    <w:rsid w:val="008051EF"/>
    <w:rsid w:val="0080538D"/>
    <w:rsid w:val="0080550F"/>
    <w:rsid w:val="00805681"/>
    <w:rsid w:val="008058AC"/>
    <w:rsid w:val="00805903"/>
    <w:rsid w:val="008059AF"/>
    <w:rsid w:val="008059CD"/>
    <w:rsid w:val="00805D01"/>
    <w:rsid w:val="00805D47"/>
    <w:rsid w:val="00805FFD"/>
    <w:rsid w:val="0080626D"/>
    <w:rsid w:val="00806359"/>
    <w:rsid w:val="0080640A"/>
    <w:rsid w:val="008065BC"/>
    <w:rsid w:val="00806671"/>
    <w:rsid w:val="00806736"/>
    <w:rsid w:val="008067B6"/>
    <w:rsid w:val="00806828"/>
    <w:rsid w:val="0080686F"/>
    <w:rsid w:val="00806A6C"/>
    <w:rsid w:val="00806EED"/>
    <w:rsid w:val="00806F2D"/>
    <w:rsid w:val="00806FB3"/>
    <w:rsid w:val="00806FE8"/>
    <w:rsid w:val="00807029"/>
    <w:rsid w:val="00807072"/>
    <w:rsid w:val="008071F2"/>
    <w:rsid w:val="0080727F"/>
    <w:rsid w:val="008073C8"/>
    <w:rsid w:val="00807556"/>
    <w:rsid w:val="00807708"/>
    <w:rsid w:val="0080773E"/>
    <w:rsid w:val="00807785"/>
    <w:rsid w:val="00807801"/>
    <w:rsid w:val="00807881"/>
    <w:rsid w:val="00807ABA"/>
    <w:rsid w:val="00807BA6"/>
    <w:rsid w:val="00807D00"/>
    <w:rsid w:val="00807E26"/>
    <w:rsid w:val="00807ECC"/>
    <w:rsid w:val="00807FB9"/>
    <w:rsid w:val="0081016E"/>
    <w:rsid w:val="008101C4"/>
    <w:rsid w:val="008102AA"/>
    <w:rsid w:val="00810514"/>
    <w:rsid w:val="008106EE"/>
    <w:rsid w:val="00810735"/>
    <w:rsid w:val="00810B3D"/>
    <w:rsid w:val="00810C05"/>
    <w:rsid w:val="00810D40"/>
    <w:rsid w:val="00810DDF"/>
    <w:rsid w:val="00810E2B"/>
    <w:rsid w:val="00810EE5"/>
    <w:rsid w:val="00810F32"/>
    <w:rsid w:val="00810FC8"/>
    <w:rsid w:val="00811000"/>
    <w:rsid w:val="00811078"/>
    <w:rsid w:val="0081124E"/>
    <w:rsid w:val="008112AD"/>
    <w:rsid w:val="00811314"/>
    <w:rsid w:val="00811363"/>
    <w:rsid w:val="0081153B"/>
    <w:rsid w:val="00811785"/>
    <w:rsid w:val="00811842"/>
    <w:rsid w:val="00811AD1"/>
    <w:rsid w:val="00811B15"/>
    <w:rsid w:val="00811B2C"/>
    <w:rsid w:val="00811C28"/>
    <w:rsid w:val="0081201E"/>
    <w:rsid w:val="008123BF"/>
    <w:rsid w:val="00812487"/>
    <w:rsid w:val="008124A4"/>
    <w:rsid w:val="00812590"/>
    <w:rsid w:val="00812669"/>
    <w:rsid w:val="008128DC"/>
    <w:rsid w:val="00812A38"/>
    <w:rsid w:val="00812ABD"/>
    <w:rsid w:val="00812E4F"/>
    <w:rsid w:val="00812FFE"/>
    <w:rsid w:val="00813011"/>
    <w:rsid w:val="00813209"/>
    <w:rsid w:val="00813277"/>
    <w:rsid w:val="008132AB"/>
    <w:rsid w:val="008132F0"/>
    <w:rsid w:val="00813492"/>
    <w:rsid w:val="00813498"/>
    <w:rsid w:val="00813545"/>
    <w:rsid w:val="0081357F"/>
    <w:rsid w:val="008135BC"/>
    <w:rsid w:val="00813745"/>
    <w:rsid w:val="008137D9"/>
    <w:rsid w:val="00813882"/>
    <w:rsid w:val="0081391C"/>
    <w:rsid w:val="0081399D"/>
    <w:rsid w:val="00813AB5"/>
    <w:rsid w:val="00813CF8"/>
    <w:rsid w:val="00813DA3"/>
    <w:rsid w:val="00813E4F"/>
    <w:rsid w:val="00813F48"/>
    <w:rsid w:val="00813F99"/>
    <w:rsid w:val="00814042"/>
    <w:rsid w:val="0081435C"/>
    <w:rsid w:val="0081438A"/>
    <w:rsid w:val="00814466"/>
    <w:rsid w:val="00814509"/>
    <w:rsid w:val="00814638"/>
    <w:rsid w:val="0081464D"/>
    <w:rsid w:val="00814A19"/>
    <w:rsid w:val="00814A88"/>
    <w:rsid w:val="00814B93"/>
    <w:rsid w:val="00814CC1"/>
    <w:rsid w:val="00814D32"/>
    <w:rsid w:val="00814E62"/>
    <w:rsid w:val="00814F4B"/>
    <w:rsid w:val="00815038"/>
    <w:rsid w:val="0081516D"/>
    <w:rsid w:val="008151FC"/>
    <w:rsid w:val="0081522D"/>
    <w:rsid w:val="00815269"/>
    <w:rsid w:val="00815895"/>
    <w:rsid w:val="00815943"/>
    <w:rsid w:val="00815A54"/>
    <w:rsid w:val="00815A7C"/>
    <w:rsid w:val="00815BEF"/>
    <w:rsid w:val="00815C86"/>
    <w:rsid w:val="00815CC1"/>
    <w:rsid w:val="00815D5F"/>
    <w:rsid w:val="00815D69"/>
    <w:rsid w:val="00815ED3"/>
    <w:rsid w:val="00815ED5"/>
    <w:rsid w:val="00815FF8"/>
    <w:rsid w:val="00816024"/>
    <w:rsid w:val="008160FB"/>
    <w:rsid w:val="00816175"/>
    <w:rsid w:val="00816199"/>
    <w:rsid w:val="008162D1"/>
    <w:rsid w:val="00816420"/>
    <w:rsid w:val="00816432"/>
    <w:rsid w:val="00816539"/>
    <w:rsid w:val="0081673B"/>
    <w:rsid w:val="00816767"/>
    <w:rsid w:val="00816A5B"/>
    <w:rsid w:val="00816B88"/>
    <w:rsid w:val="00816BF6"/>
    <w:rsid w:val="00816C7B"/>
    <w:rsid w:val="00816CED"/>
    <w:rsid w:val="00816E29"/>
    <w:rsid w:val="00816EAD"/>
    <w:rsid w:val="00816EE0"/>
    <w:rsid w:val="00816F6F"/>
    <w:rsid w:val="00816F77"/>
    <w:rsid w:val="00816FB7"/>
    <w:rsid w:val="008172ED"/>
    <w:rsid w:val="008173AE"/>
    <w:rsid w:val="0081741B"/>
    <w:rsid w:val="008174DA"/>
    <w:rsid w:val="00817576"/>
    <w:rsid w:val="00817592"/>
    <w:rsid w:val="008175D2"/>
    <w:rsid w:val="0081760C"/>
    <w:rsid w:val="008179A4"/>
    <w:rsid w:val="00817BF3"/>
    <w:rsid w:val="00817C3E"/>
    <w:rsid w:val="00817C77"/>
    <w:rsid w:val="00817D37"/>
    <w:rsid w:val="00817D42"/>
    <w:rsid w:val="00817D48"/>
    <w:rsid w:val="00817E45"/>
    <w:rsid w:val="008200A0"/>
    <w:rsid w:val="00820100"/>
    <w:rsid w:val="0082014A"/>
    <w:rsid w:val="00820541"/>
    <w:rsid w:val="0082058A"/>
    <w:rsid w:val="00820604"/>
    <w:rsid w:val="0082064E"/>
    <w:rsid w:val="008206B4"/>
    <w:rsid w:val="00820730"/>
    <w:rsid w:val="00820822"/>
    <w:rsid w:val="00820920"/>
    <w:rsid w:val="008209B2"/>
    <w:rsid w:val="00820AED"/>
    <w:rsid w:val="00820B83"/>
    <w:rsid w:val="00820C75"/>
    <w:rsid w:val="00820EB9"/>
    <w:rsid w:val="00820F17"/>
    <w:rsid w:val="00820F96"/>
    <w:rsid w:val="00820FC7"/>
    <w:rsid w:val="008211BF"/>
    <w:rsid w:val="00821338"/>
    <w:rsid w:val="00821486"/>
    <w:rsid w:val="008215F8"/>
    <w:rsid w:val="008219F9"/>
    <w:rsid w:val="00821A55"/>
    <w:rsid w:val="00821A95"/>
    <w:rsid w:val="00821D4E"/>
    <w:rsid w:val="00821DF3"/>
    <w:rsid w:val="00821F49"/>
    <w:rsid w:val="0082216F"/>
    <w:rsid w:val="008221E6"/>
    <w:rsid w:val="0082223D"/>
    <w:rsid w:val="00822643"/>
    <w:rsid w:val="008226F1"/>
    <w:rsid w:val="0082278F"/>
    <w:rsid w:val="00822796"/>
    <w:rsid w:val="00822878"/>
    <w:rsid w:val="008229A0"/>
    <w:rsid w:val="00822D7D"/>
    <w:rsid w:val="00822F4A"/>
    <w:rsid w:val="00823086"/>
    <w:rsid w:val="008230C3"/>
    <w:rsid w:val="00823228"/>
    <w:rsid w:val="008232A7"/>
    <w:rsid w:val="008232D6"/>
    <w:rsid w:val="0082340D"/>
    <w:rsid w:val="00823841"/>
    <w:rsid w:val="00823A3A"/>
    <w:rsid w:val="00823A97"/>
    <w:rsid w:val="00823D3B"/>
    <w:rsid w:val="00823DDD"/>
    <w:rsid w:val="00823E84"/>
    <w:rsid w:val="00823EC9"/>
    <w:rsid w:val="00823FFB"/>
    <w:rsid w:val="00824042"/>
    <w:rsid w:val="008240A2"/>
    <w:rsid w:val="008242C2"/>
    <w:rsid w:val="008244DF"/>
    <w:rsid w:val="00824574"/>
    <w:rsid w:val="0082457D"/>
    <w:rsid w:val="00824659"/>
    <w:rsid w:val="008248D0"/>
    <w:rsid w:val="008248E7"/>
    <w:rsid w:val="00824C00"/>
    <w:rsid w:val="00824D61"/>
    <w:rsid w:val="00824D7C"/>
    <w:rsid w:val="00824DD7"/>
    <w:rsid w:val="00824EBF"/>
    <w:rsid w:val="00824F23"/>
    <w:rsid w:val="00824F71"/>
    <w:rsid w:val="00825043"/>
    <w:rsid w:val="008250D4"/>
    <w:rsid w:val="0082514A"/>
    <w:rsid w:val="008251C2"/>
    <w:rsid w:val="008252ED"/>
    <w:rsid w:val="0082554B"/>
    <w:rsid w:val="0082557F"/>
    <w:rsid w:val="00825797"/>
    <w:rsid w:val="008257BC"/>
    <w:rsid w:val="00825835"/>
    <w:rsid w:val="008259BA"/>
    <w:rsid w:val="00825A96"/>
    <w:rsid w:val="00825B57"/>
    <w:rsid w:val="00825CB6"/>
    <w:rsid w:val="00825E0B"/>
    <w:rsid w:val="00825EF8"/>
    <w:rsid w:val="00825FA5"/>
    <w:rsid w:val="008260DA"/>
    <w:rsid w:val="008261D5"/>
    <w:rsid w:val="00826290"/>
    <w:rsid w:val="00826471"/>
    <w:rsid w:val="00826821"/>
    <w:rsid w:val="00826C8C"/>
    <w:rsid w:val="00826D0C"/>
    <w:rsid w:val="00826FDF"/>
    <w:rsid w:val="0082700A"/>
    <w:rsid w:val="00827144"/>
    <w:rsid w:val="00827154"/>
    <w:rsid w:val="008274DC"/>
    <w:rsid w:val="00827551"/>
    <w:rsid w:val="0082768C"/>
    <w:rsid w:val="00827956"/>
    <w:rsid w:val="00827A9E"/>
    <w:rsid w:val="00827AA3"/>
    <w:rsid w:val="00827D29"/>
    <w:rsid w:val="00827D86"/>
    <w:rsid w:val="00827E9E"/>
    <w:rsid w:val="0083003E"/>
    <w:rsid w:val="008300C5"/>
    <w:rsid w:val="00830238"/>
    <w:rsid w:val="008303B9"/>
    <w:rsid w:val="00830485"/>
    <w:rsid w:val="00830678"/>
    <w:rsid w:val="00830792"/>
    <w:rsid w:val="00830859"/>
    <w:rsid w:val="00830B4C"/>
    <w:rsid w:val="00830BE1"/>
    <w:rsid w:val="00830C86"/>
    <w:rsid w:val="00830CB9"/>
    <w:rsid w:val="00830D7D"/>
    <w:rsid w:val="00830E41"/>
    <w:rsid w:val="00830EC9"/>
    <w:rsid w:val="00830F34"/>
    <w:rsid w:val="008311E9"/>
    <w:rsid w:val="00831353"/>
    <w:rsid w:val="00831382"/>
    <w:rsid w:val="008314AD"/>
    <w:rsid w:val="008316A4"/>
    <w:rsid w:val="0083185E"/>
    <w:rsid w:val="008319D4"/>
    <w:rsid w:val="00831A9E"/>
    <w:rsid w:val="00831AB8"/>
    <w:rsid w:val="00831B67"/>
    <w:rsid w:val="00831BF6"/>
    <w:rsid w:val="00831C40"/>
    <w:rsid w:val="00831C5A"/>
    <w:rsid w:val="00831C9F"/>
    <w:rsid w:val="00831D11"/>
    <w:rsid w:val="0083220B"/>
    <w:rsid w:val="008322AC"/>
    <w:rsid w:val="0083243F"/>
    <w:rsid w:val="0083248C"/>
    <w:rsid w:val="00832495"/>
    <w:rsid w:val="0083257B"/>
    <w:rsid w:val="0083267A"/>
    <w:rsid w:val="0083269F"/>
    <w:rsid w:val="008326F7"/>
    <w:rsid w:val="00832721"/>
    <w:rsid w:val="00832981"/>
    <w:rsid w:val="008329A4"/>
    <w:rsid w:val="00832A1F"/>
    <w:rsid w:val="00832A62"/>
    <w:rsid w:val="00832A88"/>
    <w:rsid w:val="00832D33"/>
    <w:rsid w:val="00832D6D"/>
    <w:rsid w:val="00832D75"/>
    <w:rsid w:val="00832D76"/>
    <w:rsid w:val="00832E76"/>
    <w:rsid w:val="00832F04"/>
    <w:rsid w:val="00832F49"/>
    <w:rsid w:val="00832FAA"/>
    <w:rsid w:val="00833105"/>
    <w:rsid w:val="00833161"/>
    <w:rsid w:val="0083364F"/>
    <w:rsid w:val="00833659"/>
    <w:rsid w:val="008336A8"/>
    <w:rsid w:val="008336ED"/>
    <w:rsid w:val="00833883"/>
    <w:rsid w:val="008338AC"/>
    <w:rsid w:val="0083390A"/>
    <w:rsid w:val="00833972"/>
    <w:rsid w:val="00833A33"/>
    <w:rsid w:val="00833ADB"/>
    <w:rsid w:val="00833BED"/>
    <w:rsid w:val="00833CE9"/>
    <w:rsid w:val="00833D40"/>
    <w:rsid w:val="00833D42"/>
    <w:rsid w:val="00833E50"/>
    <w:rsid w:val="00833E65"/>
    <w:rsid w:val="00833F78"/>
    <w:rsid w:val="00834363"/>
    <w:rsid w:val="008343E7"/>
    <w:rsid w:val="0083447D"/>
    <w:rsid w:val="008344EC"/>
    <w:rsid w:val="0083454F"/>
    <w:rsid w:val="008345D9"/>
    <w:rsid w:val="00834782"/>
    <w:rsid w:val="008347FC"/>
    <w:rsid w:val="0083487A"/>
    <w:rsid w:val="008348D6"/>
    <w:rsid w:val="00834994"/>
    <w:rsid w:val="00834ACC"/>
    <w:rsid w:val="00834B16"/>
    <w:rsid w:val="00834B1B"/>
    <w:rsid w:val="00834B4A"/>
    <w:rsid w:val="00834B60"/>
    <w:rsid w:val="00834C80"/>
    <w:rsid w:val="00834EB3"/>
    <w:rsid w:val="00835122"/>
    <w:rsid w:val="008353C1"/>
    <w:rsid w:val="008353CB"/>
    <w:rsid w:val="0083551A"/>
    <w:rsid w:val="00835597"/>
    <w:rsid w:val="008355D1"/>
    <w:rsid w:val="0083577C"/>
    <w:rsid w:val="00835781"/>
    <w:rsid w:val="00835820"/>
    <w:rsid w:val="00835F72"/>
    <w:rsid w:val="00836034"/>
    <w:rsid w:val="0083605B"/>
    <w:rsid w:val="008360B0"/>
    <w:rsid w:val="0083611C"/>
    <w:rsid w:val="0083631D"/>
    <w:rsid w:val="0083657A"/>
    <w:rsid w:val="008365E1"/>
    <w:rsid w:val="00836665"/>
    <w:rsid w:val="008366A5"/>
    <w:rsid w:val="00836922"/>
    <w:rsid w:val="00836957"/>
    <w:rsid w:val="0083695D"/>
    <w:rsid w:val="00836978"/>
    <w:rsid w:val="008369E0"/>
    <w:rsid w:val="00836DF5"/>
    <w:rsid w:val="00836F2F"/>
    <w:rsid w:val="008370FD"/>
    <w:rsid w:val="00837258"/>
    <w:rsid w:val="008373E3"/>
    <w:rsid w:val="0083741B"/>
    <w:rsid w:val="00837474"/>
    <w:rsid w:val="008374EB"/>
    <w:rsid w:val="0083756C"/>
    <w:rsid w:val="008375C2"/>
    <w:rsid w:val="008375D6"/>
    <w:rsid w:val="0083777A"/>
    <w:rsid w:val="0083779E"/>
    <w:rsid w:val="00837801"/>
    <w:rsid w:val="00837894"/>
    <w:rsid w:val="00837954"/>
    <w:rsid w:val="00837963"/>
    <w:rsid w:val="0083796F"/>
    <w:rsid w:val="008379AD"/>
    <w:rsid w:val="00837BBC"/>
    <w:rsid w:val="00837CC3"/>
    <w:rsid w:val="00837F16"/>
    <w:rsid w:val="0084008A"/>
    <w:rsid w:val="0084027E"/>
    <w:rsid w:val="008402BE"/>
    <w:rsid w:val="0084044F"/>
    <w:rsid w:val="0084051B"/>
    <w:rsid w:val="008405BF"/>
    <w:rsid w:val="008406D9"/>
    <w:rsid w:val="008406FF"/>
    <w:rsid w:val="00840731"/>
    <w:rsid w:val="008407AB"/>
    <w:rsid w:val="00840937"/>
    <w:rsid w:val="008409BD"/>
    <w:rsid w:val="00840BC7"/>
    <w:rsid w:val="00840C8F"/>
    <w:rsid w:val="00840E12"/>
    <w:rsid w:val="00840EB0"/>
    <w:rsid w:val="00840F82"/>
    <w:rsid w:val="008410E7"/>
    <w:rsid w:val="00841118"/>
    <w:rsid w:val="008411F9"/>
    <w:rsid w:val="00841344"/>
    <w:rsid w:val="0084189B"/>
    <w:rsid w:val="0084191A"/>
    <w:rsid w:val="0084197D"/>
    <w:rsid w:val="00841AE9"/>
    <w:rsid w:val="00841BC4"/>
    <w:rsid w:val="00841BD8"/>
    <w:rsid w:val="00841BE3"/>
    <w:rsid w:val="00841D48"/>
    <w:rsid w:val="00841DA0"/>
    <w:rsid w:val="00841F37"/>
    <w:rsid w:val="00842098"/>
    <w:rsid w:val="00842103"/>
    <w:rsid w:val="00842389"/>
    <w:rsid w:val="0084241B"/>
    <w:rsid w:val="00842A20"/>
    <w:rsid w:val="00842A3A"/>
    <w:rsid w:val="00842BDF"/>
    <w:rsid w:val="00842CE6"/>
    <w:rsid w:val="00842D8C"/>
    <w:rsid w:val="00842ED0"/>
    <w:rsid w:val="00842EED"/>
    <w:rsid w:val="00843003"/>
    <w:rsid w:val="00843211"/>
    <w:rsid w:val="008432FA"/>
    <w:rsid w:val="008433E1"/>
    <w:rsid w:val="00843420"/>
    <w:rsid w:val="0084352E"/>
    <w:rsid w:val="00843659"/>
    <w:rsid w:val="008436D2"/>
    <w:rsid w:val="00843847"/>
    <w:rsid w:val="008438B4"/>
    <w:rsid w:val="00843AC9"/>
    <w:rsid w:val="00843C41"/>
    <w:rsid w:val="00843C45"/>
    <w:rsid w:val="00843CD7"/>
    <w:rsid w:val="00844041"/>
    <w:rsid w:val="00844139"/>
    <w:rsid w:val="00844178"/>
    <w:rsid w:val="008441BA"/>
    <w:rsid w:val="008441BF"/>
    <w:rsid w:val="008441E0"/>
    <w:rsid w:val="00844227"/>
    <w:rsid w:val="00844265"/>
    <w:rsid w:val="008442C5"/>
    <w:rsid w:val="008443A7"/>
    <w:rsid w:val="008443C4"/>
    <w:rsid w:val="008443E8"/>
    <w:rsid w:val="00844A6F"/>
    <w:rsid w:val="00844A7C"/>
    <w:rsid w:val="00844B9F"/>
    <w:rsid w:val="00844C44"/>
    <w:rsid w:val="00844DC4"/>
    <w:rsid w:val="00844E72"/>
    <w:rsid w:val="0084520B"/>
    <w:rsid w:val="008453A9"/>
    <w:rsid w:val="0084563D"/>
    <w:rsid w:val="00845762"/>
    <w:rsid w:val="0084583F"/>
    <w:rsid w:val="00845881"/>
    <w:rsid w:val="008459AB"/>
    <w:rsid w:val="00845A5D"/>
    <w:rsid w:val="00845BBA"/>
    <w:rsid w:val="00845C5A"/>
    <w:rsid w:val="00845E24"/>
    <w:rsid w:val="00845E3B"/>
    <w:rsid w:val="00845F7F"/>
    <w:rsid w:val="008460DC"/>
    <w:rsid w:val="008462E8"/>
    <w:rsid w:val="0084636B"/>
    <w:rsid w:val="008463D2"/>
    <w:rsid w:val="00846585"/>
    <w:rsid w:val="00846620"/>
    <w:rsid w:val="00846797"/>
    <w:rsid w:val="0084692E"/>
    <w:rsid w:val="00846C7B"/>
    <w:rsid w:val="00846CA9"/>
    <w:rsid w:val="00846CE5"/>
    <w:rsid w:val="00846DEA"/>
    <w:rsid w:val="00846EDC"/>
    <w:rsid w:val="00846F56"/>
    <w:rsid w:val="00846F5E"/>
    <w:rsid w:val="00847015"/>
    <w:rsid w:val="00847037"/>
    <w:rsid w:val="00847071"/>
    <w:rsid w:val="00847099"/>
    <w:rsid w:val="00847584"/>
    <w:rsid w:val="008476DF"/>
    <w:rsid w:val="00847878"/>
    <w:rsid w:val="00847962"/>
    <w:rsid w:val="008479D6"/>
    <w:rsid w:val="00847AA0"/>
    <w:rsid w:val="00847B59"/>
    <w:rsid w:val="00847CBD"/>
    <w:rsid w:val="00847CDF"/>
    <w:rsid w:val="00847D1E"/>
    <w:rsid w:val="00847F7A"/>
    <w:rsid w:val="008500A9"/>
    <w:rsid w:val="0085019C"/>
    <w:rsid w:val="008502E3"/>
    <w:rsid w:val="00850442"/>
    <w:rsid w:val="0085049A"/>
    <w:rsid w:val="008505E3"/>
    <w:rsid w:val="0085060F"/>
    <w:rsid w:val="00850767"/>
    <w:rsid w:val="0085083F"/>
    <w:rsid w:val="008508B0"/>
    <w:rsid w:val="0085097F"/>
    <w:rsid w:val="00850C49"/>
    <w:rsid w:val="00850E22"/>
    <w:rsid w:val="00850F54"/>
    <w:rsid w:val="00850FEA"/>
    <w:rsid w:val="00851010"/>
    <w:rsid w:val="00851124"/>
    <w:rsid w:val="0085129C"/>
    <w:rsid w:val="008513BF"/>
    <w:rsid w:val="0085142A"/>
    <w:rsid w:val="00851481"/>
    <w:rsid w:val="008514A3"/>
    <w:rsid w:val="008514DC"/>
    <w:rsid w:val="008516FB"/>
    <w:rsid w:val="0085171E"/>
    <w:rsid w:val="00851942"/>
    <w:rsid w:val="00851960"/>
    <w:rsid w:val="00851A56"/>
    <w:rsid w:val="00851B70"/>
    <w:rsid w:val="00851CCE"/>
    <w:rsid w:val="00851D20"/>
    <w:rsid w:val="00851DE7"/>
    <w:rsid w:val="00851E02"/>
    <w:rsid w:val="00851EBC"/>
    <w:rsid w:val="00851F5E"/>
    <w:rsid w:val="00852282"/>
    <w:rsid w:val="00852435"/>
    <w:rsid w:val="008524BC"/>
    <w:rsid w:val="00852599"/>
    <w:rsid w:val="00852616"/>
    <w:rsid w:val="008527CB"/>
    <w:rsid w:val="00852811"/>
    <w:rsid w:val="00852847"/>
    <w:rsid w:val="00852863"/>
    <w:rsid w:val="00852A0F"/>
    <w:rsid w:val="00852A39"/>
    <w:rsid w:val="00852ADF"/>
    <w:rsid w:val="00852BAA"/>
    <w:rsid w:val="00852BAE"/>
    <w:rsid w:val="00852C2F"/>
    <w:rsid w:val="00852CB0"/>
    <w:rsid w:val="00852CF4"/>
    <w:rsid w:val="00852D26"/>
    <w:rsid w:val="00852D6F"/>
    <w:rsid w:val="00852FA3"/>
    <w:rsid w:val="008530DF"/>
    <w:rsid w:val="00853237"/>
    <w:rsid w:val="00853298"/>
    <w:rsid w:val="008532D0"/>
    <w:rsid w:val="00853512"/>
    <w:rsid w:val="0085373E"/>
    <w:rsid w:val="008537D3"/>
    <w:rsid w:val="0085381F"/>
    <w:rsid w:val="00853851"/>
    <w:rsid w:val="0085396A"/>
    <w:rsid w:val="00853ABD"/>
    <w:rsid w:val="00853BDD"/>
    <w:rsid w:val="00853CA3"/>
    <w:rsid w:val="00853D14"/>
    <w:rsid w:val="00853D8C"/>
    <w:rsid w:val="00853F41"/>
    <w:rsid w:val="00853F85"/>
    <w:rsid w:val="008540A0"/>
    <w:rsid w:val="00854171"/>
    <w:rsid w:val="0085419F"/>
    <w:rsid w:val="00854214"/>
    <w:rsid w:val="0085429F"/>
    <w:rsid w:val="008542E1"/>
    <w:rsid w:val="008543DD"/>
    <w:rsid w:val="008543E2"/>
    <w:rsid w:val="008544CD"/>
    <w:rsid w:val="0085495C"/>
    <w:rsid w:val="00854A2D"/>
    <w:rsid w:val="00854B52"/>
    <w:rsid w:val="00854B93"/>
    <w:rsid w:val="00854D6F"/>
    <w:rsid w:val="0085508F"/>
    <w:rsid w:val="008550A6"/>
    <w:rsid w:val="00855202"/>
    <w:rsid w:val="00855534"/>
    <w:rsid w:val="00855566"/>
    <w:rsid w:val="00855649"/>
    <w:rsid w:val="0085565B"/>
    <w:rsid w:val="00855680"/>
    <w:rsid w:val="00855723"/>
    <w:rsid w:val="008558A9"/>
    <w:rsid w:val="00855B81"/>
    <w:rsid w:val="00855B9A"/>
    <w:rsid w:val="0085600F"/>
    <w:rsid w:val="008561C8"/>
    <w:rsid w:val="008561EA"/>
    <w:rsid w:val="0085621B"/>
    <w:rsid w:val="0085637C"/>
    <w:rsid w:val="00856649"/>
    <w:rsid w:val="00856889"/>
    <w:rsid w:val="0085697F"/>
    <w:rsid w:val="00856B4A"/>
    <w:rsid w:val="00856C13"/>
    <w:rsid w:val="00856C5A"/>
    <w:rsid w:val="00856D3F"/>
    <w:rsid w:val="00856D55"/>
    <w:rsid w:val="008570EA"/>
    <w:rsid w:val="008572A6"/>
    <w:rsid w:val="008572D2"/>
    <w:rsid w:val="0085731C"/>
    <w:rsid w:val="00857478"/>
    <w:rsid w:val="00857555"/>
    <w:rsid w:val="008575C6"/>
    <w:rsid w:val="008579D1"/>
    <w:rsid w:val="008579F4"/>
    <w:rsid w:val="00857AB7"/>
    <w:rsid w:val="00857C33"/>
    <w:rsid w:val="00857CBB"/>
    <w:rsid w:val="00857CE0"/>
    <w:rsid w:val="00857E0E"/>
    <w:rsid w:val="00857EED"/>
    <w:rsid w:val="0086009E"/>
    <w:rsid w:val="00860185"/>
    <w:rsid w:val="0086029C"/>
    <w:rsid w:val="008602EA"/>
    <w:rsid w:val="008604F9"/>
    <w:rsid w:val="0086058E"/>
    <w:rsid w:val="008605AD"/>
    <w:rsid w:val="008605B1"/>
    <w:rsid w:val="00860686"/>
    <w:rsid w:val="00860759"/>
    <w:rsid w:val="008608F8"/>
    <w:rsid w:val="008608FD"/>
    <w:rsid w:val="00860ABD"/>
    <w:rsid w:val="00860CFA"/>
    <w:rsid w:val="00860FCC"/>
    <w:rsid w:val="00861009"/>
    <w:rsid w:val="008610D9"/>
    <w:rsid w:val="00861250"/>
    <w:rsid w:val="008615FD"/>
    <w:rsid w:val="00861665"/>
    <w:rsid w:val="00861868"/>
    <w:rsid w:val="008618CE"/>
    <w:rsid w:val="00861B73"/>
    <w:rsid w:val="0086206F"/>
    <w:rsid w:val="0086218D"/>
    <w:rsid w:val="008621A8"/>
    <w:rsid w:val="008621BB"/>
    <w:rsid w:val="008623E4"/>
    <w:rsid w:val="008625EC"/>
    <w:rsid w:val="00862679"/>
    <w:rsid w:val="00862741"/>
    <w:rsid w:val="00862850"/>
    <w:rsid w:val="008628E2"/>
    <w:rsid w:val="0086293A"/>
    <w:rsid w:val="00862A2C"/>
    <w:rsid w:val="00862A3C"/>
    <w:rsid w:val="00862AD9"/>
    <w:rsid w:val="00862AE8"/>
    <w:rsid w:val="00862B28"/>
    <w:rsid w:val="00862B4D"/>
    <w:rsid w:val="00862BD9"/>
    <w:rsid w:val="00862E1B"/>
    <w:rsid w:val="00862EDC"/>
    <w:rsid w:val="00862FB2"/>
    <w:rsid w:val="008631DF"/>
    <w:rsid w:val="0086352F"/>
    <w:rsid w:val="008635FB"/>
    <w:rsid w:val="0086374F"/>
    <w:rsid w:val="00863B83"/>
    <w:rsid w:val="00863BA9"/>
    <w:rsid w:val="00863C52"/>
    <w:rsid w:val="00863C53"/>
    <w:rsid w:val="00863C57"/>
    <w:rsid w:val="00863D87"/>
    <w:rsid w:val="00863EFF"/>
    <w:rsid w:val="00863FF9"/>
    <w:rsid w:val="00864288"/>
    <w:rsid w:val="0086448A"/>
    <w:rsid w:val="008645A5"/>
    <w:rsid w:val="008645E5"/>
    <w:rsid w:val="008646DD"/>
    <w:rsid w:val="008647B0"/>
    <w:rsid w:val="008648E0"/>
    <w:rsid w:val="00864A06"/>
    <w:rsid w:val="00864ADC"/>
    <w:rsid w:val="00864B17"/>
    <w:rsid w:val="00864BB9"/>
    <w:rsid w:val="00864DBF"/>
    <w:rsid w:val="00864DE9"/>
    <w:rsid w:val="00865093"/>
    <w:rsid w:val="008651A8"/>
    <w:rsid w:val="008651AB"/>
    <w:rsid w:val="008652E3"/>
    <w:rsid w:val="0086534A"/>
    <w:rsid w:val="008653DA"/>
    <w:rsid w:val="00865426"/>
    <w:rsid w:val="008656EB"/>
    <w:rsid w:val="00865733"/>
    <w:rsid w:val="0086577F"/>
    <w:rsid w:val="00865A6C"/>
    <w:rsid w:val="00865AA9"/>
    <w:rsid w:val="00865C9A"/>
    <w:rsid w:val="00865DFB"/>
    <w:rsid w:val="00866058"/>
    <w:rsid w:val="0086642B"/>
    <w:rsid w:val="00866512"/>
    <w:rsid w:val="0086653D"/>
    <w:rsid w:val="00866543"/>
    <w:rsid w:val="00866598"/>
    <w:rsid w:val="008665B3"/>
    <w:rsid w:val="008665BA"/>
    <w:rsid w:val="008665E5"/>
    <w:rsid w:val="008665F9"/>
    <w:rsid w:val="00866743"/>
    <w:rsid w:val="0086674E"/>
    <w:rsid w:val="00866827"/>
    <w:rsid w:val="00866BE7"/>
    <w:rsid w:val="00866E7F"/>
    <w:rsid w:val="00866F10"/>
    <w:rsid w:val="00866F23"/>
    <w:rsid w:val="0086722B"/>
    <w:rsid w:val="00867284"/>
    <w:rsid w:val="00867323"/>
    <w:rsid w:val="008673A9"/>
    <w:rsid w:val="00867466"/>
    <w:rsid w:val="00867921"/>
    <w:rsid w:val="00867A36"/>
    <w:rsid w:val="00867AED"/>
    <w:rsid w:val="00867B1D"/>
    <w:rsid w:val="00867B5B"/>
    <w:rsid w:val="00867D21"/>
    <w:rsid w:val="00867E78"/>
    <w:rsid w:val="00867E8A"/>
    <w:rsid w:val="00867F02"/>
    <w:rsid w:val="00867FF9"/>
    <w:rsid w:val="0087020E"/>
    <w:rsid w:val="00870297"/>
    <w:rsid w:val="0087039F"/>
    <w:rsid w:val="008704C0"/>
    <w:rsid w:val="00870540"/>
    <w:rsid w:val="008705A1"/>
    <w:rsid w:val="008705F2"/>
    <w:rsid w:val="00870737"/>
    <w:rsid w:val="0087079D"/>
    <w:rsid w:val="00870979"/>
    <w:rsid w:val="00870AF0"/>
    <w:rsid w:val="00870B8B"/>
    <w:rsid w:val="00870BF3"/>
    <w:rsid w:val="00870DC6"/>
    <w:rsid w:val="00870EC8"/>
    <w:rsid w:val="00870FA7"/>
    <w:rsid w:val="00870FA8"/>
    <w:rsid w:val="00870FD3"/>
    <w:rsid w:val="0087110C"/>
    <w:rsid w:val="00871257"/>
    <w:rsid w:val="0087137F"/>
    <w:rsid w:val="008713AA"/>
    <w:rsid w:val="0087147B"/>
    <w:rsid w:val="008714FD"/>
    <w:rsid w:val="0087157D"/>
    <w:rsid w:val="0087164C"/>
    <w:rsid w:val="00871702"/>
    <w:rsid w:val="00871832"/>
    <w:rsid w:val="0087188A"/>
    <w:rsid w:val="008718C1"/>
    <w:rsid w:val="00871A52"/>
    <w:rsid w:val="00871AA2"/>
    <w:rsid w:val="00871AB9"/>
    <w:rsid w:val="00871BB5"/>
    <w:rsid w:val="00871E01"/>
    <w:rsid w:val="00871EC2"/>
    <w:rsid w:val="00872036"/>
    <w:rsid w:val="0087216E"/>
    <w:rsid w:val="00872261"/>
    <w:rsid w:val="008723F7"/>
    <w:rsid w:val="00872507"/>
    <w:rsid w:val="00872D26"/>
    <w:rsid w:val="00872DE5"/>
    <w:rsid w:val="00872FE4"/>
    <w:rsid w:val="0087302C"/>
    <w:rsid w:val="008733A2"/>
    <w:rsid w:val="008735CB"/>
    <w:rsid w:val="00873664"/>
    <w:rsid w:val="008737B8"/>
    <w:rsid w:val="00873A8B"/>
    <w:rsid w:val="00873CC5"/>
    <w:rsid w:val="00873E48"/>
    <w:rsid w:val="0087400D"/>
    <w:rsid w:val="00874141"/>
    <w:rsid w:val="0087435B"/>
    <w:rsid w:val="00874389"/>
    <w:rsid w:val="008746A6"/>
    <w:rsid w:val="0087476A"/>
    <w:rsid w:val="00874787"/>
    <w:rsid w:val="008747A8"/>
    <w:rsid w:val="008747E5"/>
    <w:rsid w:val="008747EE"/>
    <w:rsid w:val="00874889"/>
    <w:rsid w:val="00874B93"/>
    <w:rsid w:val="00874BAB"/>
    <w:rsid w:val="00874C28"/>
    <w:rsid w:val="00874C80"/>
    <w:rsid w:val="00874EBC"/>
    <w:rsid w:val="00875242"/>
    <w:rsid w:val="00875340"/>
    <w:rsid w:val="008756F2"/>
    <w:rsid w:val="00875924"/>
    <w:rsid w:val="008759CA"/>
    <w:rsid w:val="00875BF4"/>
    <w:rsid w:val="00875D25"/>
    <w:rsid w:val="00875EDB"/>
    <w:rsid w:val="00875F05"/>
    <w:rsid w:val="00876023"/>
    <w:rsid w:val="008760B9"/>
    <w:rsid w:val="0087615E"/>
    <w:rsid w:val="008762E9"/>
    <w:rsid w:val="00876652"/>
    <w:rsid w:val="00876BF2"/>
    <w:rsid w:val="00876C1A"/>
    <w:rsid w:val="00876DE7"/>
    <w:rsid w:val="00876E46"/>
    <w:rsid w:val="0087727A"/>
    <w:rsid w:val="00877306"/>
    <w:rsid w:val="00877650"/>
    <w:rsid w:val="00877719"/>
    <w:rsid w:val="00877A31"/>
    <w:rsid w:val="00877E8E"/>
    <w:rsid w:val="00877F93"/>
    <w:rsid w:val="00877FDE"/>
    <w:rsid w:val="00878221"/>
    <w:rsid w:val="00880048"/>
    <w:rsid w:val="0088012F"/>
    <w:rsid w:val="00880155"/>
    <w:rsid w:val="008801DD"/>
    <w:rsid w:val="008802C9"/>
    <w:rsid w:val="008802E5"/>
    <w:rsid w:val="00880345"/>
    <w:rsid w:val="00880433"/>
    <w:rsid w:val="00880591"/>
    <w:rsid w:val="008807B0"/>
    <w:rsid w:val="00880915"/>
    <w:rsid w:val="00880B30"/>
    <w:rsid w:val="00880B57"/>
    <w:rsid w:val="00880BDB"/>
    <w:rsid w:val="00880C18"/>
    <w:rsid w:val="00880EDB"/>
    <w:rsid w:val="00880F20"/>
    <w:rsid w:val="008810C8"/>
    <w:rsid w:val="008813A7"/>
    <w:rsid w:val="00881404"/>
    <w:rsid w:val="0088163C"/>
    <w:rsid w:val="00881791"/>
    <w:rsid w:val="00881801"/>
    <w:rsid w:val="00881B83"/>
    <w:rsid w:val="00881C0D"/>
    <w:rsid w:val="00881EB7"/>
    <w:rsid w:val="00881EF0"/>
    <w:rsid w:val="00881F35"/>
    <w:rsid w:val="00881F38"/>
    <w:rsid w:val="00882195"/>
    <w:rsid w:val="00882197"/>
    <w:rsid w:val="008821F7"/>
    <w:rsid w:val="008822A8"/>
    <w:rsid w:val="0088231C"/>
    <w:rsid w:val="00882446"/>
    <w:rsid w:val="00882466"/>
    <w:rsid w:val="00882469"/>
    <w:rsid w:val="00882554"/>
    <w:rsid w:val="008827F0"/>
    <w:rsid w:val="00882A43"/>
    <w:rsid w:val="00882AFF"/>
    <w:rsid w:val="00882B16"/>
    <w:rsid w:val="00882B2B"/>
    <w:rsid w:val="00882B99"/>
    <w:rsid w:val="00882B9E"/>
    <w:rsid w:val="00882C36"/>
    <w:rsid w:val="00882CB9"/>
    <w:rsid w:val="00882E79"/>
    <w:rsid w:val="00882EC0"/>
    <w:rsid w:val="00882FFA"/>
    <w:rsid w:val="00883362"/>
    <w:rsid w:val="00883384"/>
    <w:rsid w:val="00883449"/>
    <w:rsid w:val="008834B3"/>
    <w:rsid w:val="008834B6"/>
    <w:rsid w:val="008835B4"/>
    <w:rsid w:val="0088373F"/>
    <w:rsid w:val="00883825"/>
    <w:rsid w:val="00883855"/>
    <w:rsid w:val="008838BA"/>
    <w:rsid w:val="00883B77"/>
    <w:rsid w:val="00883BAC"/>
    <w:rsid w:val="0088418C"/>
    <w:rsid w:val="008841DD"/>
    <w:rsid w:val="00884257"/>
    <w:rsid w:val="008842D8"/>
    <w:rsid w:val="008843C3"/>
    <w:rsid w:val="0088450E"/>
    <w:rsid w:val="008845A5"/>
    <w:rsid w:val="008848C3"/>
    <w:rsid w:val="00884A8F"/>
    <w:rsid w:val="00884D4E"/>
    <w:rsid w:val="00884D9E"/>
    <w:rsid w:val="00884FAF"/>
    <w:rsid w:val="00885078"/>
    <w:rsid w:val="008851BB"/>
    <w:rsid w:val="008851D1"/>
    <w:rsid w:val="00885202"/>
    <w:rsid w:val="00885352"/>
    <w:rsid w:val="0088557E"/>
    <w:rsid w:val="0088565B"/>
    <w:rsid w:val="00885665"/>
    <w:rsid w:val="00885739"/>
    <w:rsid w:val="00885769"/>
    <w:rsid w:val="008857C0"/>
    <w:rsid w:val="00885948"/>
    <w:rsid w:val="00885ADF"/>
    <w:rsid w:val="00885E7E"/>
    <w:rsid w:val="00885FE3"/>
    <w:rsid w:val="00886091"/>
    <w:rsid w:val="00886177"/>
    <w:rsid w:val="008863C9"/>
    <w:rsid w:val="008864E7"/>
    <w:rsid w:val="008864EC"/>
    <w:rsid w:val="0088655B"/>
    <w:rsid w:val="00886891"/>
    <w:rsid w:val="008868AF"/>
    <w:rsid w:val="0088694C"/>
    <w:rsid w:val="008869E3"/>
    <w:rsid w:val="008869F5"/>
    <w:rsid w:val="00886B53"/>
    <w:rsid w:val="00886BB3"/>
    <w:rsid w:val="00886D5A"/>
    <w:rsid w:val="00887025"/>
    <w:rsid w:val="0088717D"/>
    <w:rsid w:val="0088723E"/>
    <w:rsid w:val="00887345"/>
    <w:rsid w:val="00887392"/>
    <w:rsid w:val="008873B6"/>
    <w:rsid w:val="008873F8"/>
    <w:rsid w:val="00887424"/>
    <w:rsid w:val="008876B9"/>
    <w:rsid w:val="00887803"/>
    <w:rsid w:val="008879C3"/>
    <w:rsid w:val="00887A10"/>
    <w:rsid w:val="00887A92"/>
    <w:rsid w:val="00887AA8"/>
    <w:rsid w:val="00887C36"/>
    <w:rsid w:val="00887D3B"/>
    <w:rsid w:val="00887FF3"/>
    <w:rsid w:val="00887FF6"/>
    <w:rsid w:val="00890332"/>
    <w:rsid w:val="0089047B"/>
    <w:rsid w:val="00890503"/>
    <w:rsid w:val="00890593"/>
    <w:rsid w:val="00890620"/>
    <w:rsid w:val="008906CB"/>
    <w:rsid w:val="00890945"/>
    <w:rsid w:val="00890949"/>
    <w:rsid w:val="00890B69"/>
    <w:rsid w:val="00890C52"/>
    <w:rsid w:val="00890CBB"/>
    <w:rsid w:val="00890E68"/>
    <w:rsid w:val="00890FC7"/>
    <w:rsid w:val="008911B3"/>
    <w:rsid w:val="008913ED"/>
    <w:rsid w:val="008916A5"/>
    <w:rsid w:val="00891707"/>
    <w:rsid w:val="00891873"/>
    <w:rsid w:val="00891959"/>
    <w:rsid w:val="00891A05"/>
    <w:rsid w:val="00891B26"/>
    <w:rsid w:val="00891C4F"/>
    <w:rsid w:val="00891C51"/>
    <w:rsid w:val="00891D0D"/>
    <w:rsid w:val="00891F14"/>
    <w:rsid w:val="008921B9"/>
    <w:rsid w:val="008921BE"/>
    <w:rsid w:val="00892242"/>
    <w:rsid w:val="0089237E"/>
    <w:rsid w:val="00892656"/>
    <w:rsid w:val="0089267C"/>
    <w:rsid w:val="0089289B"/>
    <w:rsid w:val="00892AB2"/>
    <w:rsid w:val="00892AFA"/>
    <w:rsid w:val="00892BA6"/>
    <w:rsid w:val="00892BDA"/>
    <w:rsid w:val="00892C66"/>
    <w:rsid w:val="00892C91"/>
    <w:rsid w:val="00892D5D"/>
    <w:rsid w:val="00892E12"/>
    <w:rsid w:val="00892E5F"/>
    <w:rsid w:val="00892ECB"/>
    <w:rsid w:val="00893069"/>
    <w:rsid w:val="00893101"/>
    <w:rsid w:val="00893224"/>
    <w:rsid w:val="008933ED"/>
    <w:rsid w:val="0089340B"/>
    <w:rsid w:val="008934D3"/>
    <w:rsid w:val="00893519"/>
    <w:rsid w:val="00893576"/>
    <w:rsid w:val="00893802"/>
    <w:rsid w:val="0089392D"/>
    <w:rsid w:val="00893B74"/>
    <w:rsid w:val="00893C19"/>
    <w:rsid w:val="00893F3A"/>
    <w:rsid w:val="00894068"/>
    <w:rsid w:val="008941B3"/>
    <w:rsid w:val="0089420A"/>
    <w:rsid w:val="0089459A"/>
    <w:rsid w:val="008946DC"/>
    <w:rsid w:val="00894881"/>
    <w:rsid w:val="008949EA"/>
    <w:rsid w:val="008949F4"/>
    <w:rsid w:val="00894A0E"/>
    <w:rsid w:val="00894A45"/>
    <w:rsid w:val="00894B25"/>
    <w:rsid w:val="00894EE4"/>
    <w:rsid w:val="008952FB"/>
    <w:rsid w:val="0089555A"/>
    <w:rsid w:val="00895900"/>
    <w:rsid w:val="00895949"/>
    <w:rsid w:val="00895A50"/>
    <w:rsid w:val="00895B42"/>
    <w:rsid w:val="00895B6E"/>
    <w:rsid w:val="00895CE8"/>
    <w:rsid w:val="00895D32"/>
    <w:rsid w:val="00895E41"/>
    <w:rsid w:val="00895FBD"/>
    <w:rsid w:val="0089637D"/>
    <w:rsid w:val="008964C6"/>
    <w:rsid w:val="008964F6"/>
    <w:rsid w:val="0089683F"/>
    <w:rsid w:val="008969E8"/>
    <w:rsid w:val="00896B2E"/>
    <w:rsid w:val="00896C4F"/>
    <w:rsid w:val="00896F60"/>
    <w:rsid w:val="00896FB8"/>
    <w:rsid w:val="008970D6"/>
    <w:rsid w:val="00897116"/>
    <w:rsid w:val="008971EC"/>
    <w:rsid w:val="00897392"/>
    <w:rsid w:val="008973F4"/>
    <w:rsid w:val="008974A3"/>
    <w:rsid w:val="008975CB"/>
    <w:rsid w:val="0089769D"/>
    <w:rsid w:val="0089770C"/>
    <w:rsid w:val="008977D5"/>
    <w:rsid w:val="00897AF8"/>
    <w:rsid w:val="00897B93"/>
    <w:rsid w:val="00897C8B"/>
    <w:rsid w:val="00897FF7"/>
    <w:rsid w:val="008A01D6"/>
    <w:rsid w:val="008A04ED"/>
    <w:rsid w:val="008A0882"/>
    <w:rsid w:val="008A0917"/>
    <w:rsid w:val="008A0968"/>
    <w:rsid w:val="008A0A43"/>
    <w:rsid w:val="008A0AFA"/>
    <w:rsid w:val="008A0CC8"/>
    <w:rsid w:val="008A0D1C"/>
    <w:rsid w:val="008A1189"/>
    <w:rsid w:val="008A12A0"/>
    <w:rsid w:val="008A1304"/>
    <w:rsid w:val="008A13D9"/>
    <w:rsid w:val="008A1469"/>
    <w:rsid w:val="008A16CD"/>
    <w:rsid w:val="008A1965"/>
    <w:rsid w:val="008A1989"/>
    <w:rsid w:val="008A19E6"/>
    <w:rsid w:val="008A1BD5"/>
    <w:rsid w:val="008A1C51"/>
    <w:rsid w:val="008A1D45"/>
    <w:rsid w:val="008A2020"/>
    <w:rsid w:val="008A204C"/>
    <w:rsid w:val="008A2058"/>
    <w:rsid w:val="008A25E2"/>
    <w:rsid w:val="008A271A"/>
    <w:rsid w:val="008A2782"/>
    <w:rsid w:val="008A2791"/>
    <w:rsid w:val="008A2859"/>
    <w:rsid w:val="008A2A61"/>
    <w:rsid w:val="008A2B4F"/>
    <w:rsid w:val="008A2B69"/>
    <w:rsid w:val="008A2BE9"/>
    <w:rsid w:val="008A3054"/>
    <w:rsid w:val="008A3298"/>
    <w:rsid w:val="008A32EC"/>
    <w:rsid w:val="008A3354"/>
    <w:rsid w:val="008A33BF"/>
    <w:rsid w:val="008A340A"/>
    <w:rsid w:val="008A379C"/>
    <w:rsid w:val="008A37DE"/>
    <w:rsid w:val="008A38B8"/>
    <w:rsid w:val="008A3969"/>
    <w:rsid w:val="008A3AAD"/>
    <w:rsid w:val="008A3B90"/>
    <w:rsid w:val="008A3CE4"/>
    <w:rsid w:val="008A3E5D"/>
    <w:rsid w:val="008A41F6"/>
    <w:rsid w:val="008A436A"/>
    <w:rsid w:val="008A4499"/>
    <w:rsid w:val="008A44C2"/>
    <w:rsid w:val="008A45E9"/>
    <w:rsid w:val="008A46E8"/>
    <w:rsid w:val="008A472E"/>
    <w:rsid w:val="008A4757"/>
    <w:rsid w:val="008A47AE"/>
    <w:rsid w:val="008A4C62"/>
    <w:rsid w:val="008A4D29"/>
    <w:rsid w:val="008A4D31"/>
    <w:rsid w:val="008A4DF1"/>
    <w:rsid w:val="008A5061"/>
    <w:rsid w:val="008A54DB"/>
    <w:rsid w:val="008A553E"/>
    <w:rsid w:val="008A5568"/>
    <w:rsid w:val="008A58EC"/>
    <w:rsid w:val="008A5B24"/>
    <w:rsid w:val="008A5B82"/>
    <w:rsid w:val="008A5C9C"/>
    <w:rsid w:val="008A5CFB"/>
    <w:rsid w:val="008A5D14"/>
    <w:rsid w:val="008A60CB"/>
    <w:rsid w:val="008A6161"/>
    <w:rsid w:val="008A61AA"/>
    <w:rsid w:val="008A623F"/>
    <w:rsid w:val="008A6460"/>
    <w:rsid w:val="008A65D8"/>
    <w:rsid w:val="008A65FE"/>
    <w:rsid w:val="008A682F"/>
    <w:rsid w:val="008A6AE3"/>
    <w:rsid w:val="008A6EA2"/>
    <w:rsid w:val="008A713E"/>
    <w:rsid w:val="008A7187"/>
    <w:rsid w:val="008A7401"/>
    <w:rsid w:val="008A7427"/>
    <w:rsid w:val="008A75A6"/>
    <w:rsid w:val="008A770A"/>
    <w:rsid w:val="008A771E"/>
    <w:rsid w:val="008A7901"/>
    <w:rsid w:val="008A7988"/>
    <w:rsid w:val="008A7AAF"/>
    <w:rsid w:val="008A7CB4"/>
    <w:rsid w:val="008A7CCC"/>
    <w:rsid w:val="008A7DA3"/>
    <w:rsid w:val="008B01E7"/>
    <w:rsid w:val="008B0204"/>
    <w:rsid w:val="008B02C3"/>
    <w:rsid w:val="008B0310"/>
    <w:rsid w:val="008B0430"/>
    <w:rsid w:val="008B04F5"/>
    <w:rsid w:val="008B0556"/>
    <w:rsid w:val="008B0580"/>
    <w:rsid w:val="008B0621"/>
    <w:rsid w:val="008B063E"/>
    <w:rsid w:val="008B0795"/>
    <w:rsid w:val="008B0939"/>
    <w:rsid w:val="008B09C6"/>
    <w:rsid w:val="008B0A5D"/>
    <w:rsid w:val="008B0B03"/>
    <w:rsid w:val="008B0B7D"/>
    <w:rsid w:val="008B0B83"/>
    <w:rsid w:val="008B0C3F"/>
    <w:rsid w:val="008B0D4D"/>
    <w:rsid w:val="008B0DE6"/>
    <w:rsid w:val="008B1106"/>
    <w:rsid w:val="008B1246"/>
    <w:rsid w:val="008B12D1"/>
    <w:rsid w:val="008B1319"/>
    <w:rsid w:val="008B1344"/>
    <w:rsid w:val="008B13C7"/>
    <w:rsid w:val="008B14D4"/>
    <w:rsid w:val="008B1525"/>
    <w:rsid w:val="008B17CB"/>
    <w:rsid w:val="008B195F"/>
    <w:rsid w:val="008B1A26"/>
    <w:rsid w:val="008B1B12"/>
    <w:rsid w:val="008B1E36"/>
    <w:rsid w:val="008B20DA"/>
    <w:rsid w:val="008B21FC"/>
    <w:rsid w:val="008B23A8"/>
    <w:rsid w:val="008B23AB"/>
    <w:rsid w:val="008B241C"/>
    <w:rsid w:val="008B2673"/>
    <w:rsid w:val="008B26CC"/>
    <w:rsid w:val="008B272F"/>
    <w:rsid w:val="008B2812"/>
    <w:rsid w:val="008B2996"/>
    <w:rsid w:val="008B2AD7"/>
    <w:rsid w:val="008B2BD0"/>
    <w:rsid w:val="008B2CD1"/>
    <w:rsid w:val="008B2D35"/>
    <w:rsid w:val="008B2EA8"/>
    <w:rsid w:val="008B2F02"/>
    <w:rsid w:val="008B2F3B"/>
    <w:rsid w:val="008B3064"/>
    <w:rsid w:val="008B30FB"/>
    <w:rsid w:val="008B32C7"/>
    <w:rsid w:val="008B32EA"/>
    <w:rsid w:val="008B35D7"/>
    <w:rsid w:val="008B363D"/>
    <w:rsid w:val="008B36D4"/>
    <w:rsid w:val="008B379C"/>
    <w:rsid w:val="008B37F6"/>
    <w:rsid w:val="008B3854"/>
    <w:rsid w:val="008B38E0"/>
    <w:rsid w:val="008B38EC"/>
    <w:rsid w:val="008B3A50"/>
    <w:rsid w:val="008B3AD8"/>
    <w:rsid w:val="008B3C3D"/>
    <w:rsid w:val="008B3D42"/>
    <w:rsid w:val="008B3F03"/>
    <w:rsid w:val="008B410E"/>
    <w:rsid w:val="008B417D"/>
    <w:rsid w:val="008B42D4"/>
    <w:rsid w:val="008B44FB"/>
    <w:rsid w:val="008B4603"/>
    <w:rsid w:val="008B4641"/>
    <w:rsid w:val="008B46B8"/>
    <w:rsid w:val="008B46D8"/>
    <w:rsid w:val="008B47E4"/>
    <w:rsid w:val="008B4861"/>
    <w:rsid w:val="008B493B"/>
    <w:rsid w:val="008B4A21"/>
    <w:rsid w:val="008B4A7F"/>
    <w:rsid w:val="008B4B14"/>
    <w:rsid w:val="008B4B61"/>
    <w:rsid w:val="008B4C88"/>
    <w:rsid w:val="008B4CE2"/>
    <w:rsid w:val="008B4D93"/>
    <w:rsid w:val="008B4E07"/>
    <w:rsid w:val="008B4F5A"/>
    <w:rsid w:val="008B5032"/>
    <w:rsid w:val="008B5233"/>
    <w:rsid w:val="008B52EF"/>
    <w:rsid w:val="008B5335"/>
    <w:rsid w:val="008B53FB"/>
    <w:rsid w:val="008B57F5"/>
    <w:rsid w:val="008B5ABA"/>
    <w:rsid w:val="008B5ABD"/>
    <w:rsid w:val="008B5AF3"/>
    <w:rsid w:val="008B5DED"/>
    <w:rsid w:val="008B5E14"/>
    <w:rsid w:val="008B5EA0"/>
    <w:rsid w:val="008B5EE1"/>
    <w:rsid w:val="008B6038"/>
    <w:rsid w:val="008B60E3"/>
    <w:rsid w:val="008B620D"/>
    <w:rsid w:val="008B6320"/>
    <w:rsid w:val="008B6438"/>
    <w:rsid w:val="008B648F"/>
    <w:rsid w:val="008B653D"/>
    <w:rsid w:val="008B653F"/>
    <w:rsid w:val="008B66AF"/>
    <w:rsid w:val="008B6972"/>
    <w:rsid w:val="008B6A8D"/>
    <w:rsid w:val="008B6A98"/>
    <w:rsid w:val="008B6BFA"/>
    <w:rsid w:val="008B6D43"/>
    <w:rsid w:val="008B6D61"/>
    <w:rsid w:val="008B6E04"/>
    <w:rsid w:val="008B6F01"/>
    <w:rsid w:val="008B6F18"/>
    <w:rsid w:val="008B7069"/>
    <w:rsid w:val="008B72B0"/>
    <w:rsid w:val="008B730C"/>
    <w:rsid w:val="008B7370"/>
    <w:rsid w:val="008B738A"/>
    <w:rsid w:val="008B73C4"/>
    <w:rsid w:val="008B7827"/>
    <w:rsid w:val="008B798B"/>
    <w:rsid w:val="008B7AF5"/>
    <w:rsid w:val="008B7B51"/>
    <w:rsid w:val="008B7B7E"/>
    <w:rsid w:val="008B7BCB"/>
    <w:rsid w:val="008B7BD1"/>
    <w:rsid w:val="008B7DED"/>
    <w:rsid w:val="008B7EF7"/>
    <w:rsid w:val="008B7F36"/>
    <w:rsid w:val="008C03A9"/>
    <w:rsid w:val="008C0511"/>
    <w:rsid w:val="008C0576"/>
    <w:rsid w:val="008C05E4"/>
    <w:rsid w:val="008C06DC"/>
    <w:rsid w:val="008C0706"/>
    <w:rsid w:val="008C0789"/>
    <w:rsid w:val="008C098E"/>
    <w:rsid w:val="008C09E0"/>
    <w:rsid w:val="008C0A87"/>
    <w:rsid w:val="008C0A8E"/>
    <w:rsid w:val="008C0B4A"/>
    <w:rsid w:val="008C0CD2"/>
    <w:rsid w:val="008C0DD7"/>
    <w:rsid w:val="008C0EF4"/>
    <w:rsid w:val="008C1065"/>
    <w:rsid w:val="008C11F2"/>
    <w:rsid w:val="008C122B"/>
    <w:rsid w:val="008C122D"/>
    <w:rsid w:val="008C12D8"/>
    <w:rsid w:val="008C13A1"/>
    <w:rsid w:val="008C13D4"/>
    <w:rsid w:val="008C15FD"/>
    <w:rsid w:val="008C1828"/>
    <w:rsid w:val="008C19C9"/>
    <w:rsid w:val="008C1A42"/>
    <w:rsid w:val="008C1D0A"/>
    <w:rsid w:val="008C1DCA"/>
    <w:rsid w:val="008C1EC7"/>
    <w:rsid w:val="008C1F13"/>
    <w:rsid w:val="008C1FC2"/>
    <w:rsid w:val="008C1FEB"/>
    <w:rsid w:val="008C1FFF"/>
    <w:rsid w:val="008C2027"/>
    <w:rsid w:val="008C20D6"/>
    <w:rsid w:val="008C22CB"/>
    <w:rsid w:val="008C2397"/>
    <w:rsid w:val="008C278F"/>
    <w:rsid w:val="008C2867"/>
    <w:rsid w:val="008C28F1"/>
    <w:rsid w:val="008C295A"/>
    <w:rsid w:val="008C2BF8"/>
    <w:rsid w:val="008C2C45"/>
    <w:rsid w:val="008C2CB0"/>
    <w:rsid w:val="008C2CE9"/>
    <w:rsid w:val="008C2DAD"/>
    <w:rsid w:val="008C2F1B"/>
    <w:rsid w:val="008C2F22"/>
    <w:rsid w:val="008C2F53"/>
    <w:rsid w:val="008C2FF2"/>
    <w:rsid w:val="008C3072"/>
    <w:rsid w:val="008C31D3"/>
    <w:rsid w:val="008C36E8"/>
    <w:rsid w:val="008C37CA"/>
    <w:rsid w:val="008C385C"/>
    <w:rsid w:val="008C3898"/>
    <w:rsid w:val="008C3C3F"/>
    <w:rsid w:val="008C3C44"/>
    <w:rsid w:val="008C3CF3"/>
    <w:rsid w:val="008C3D6F"/>
    <w:rsid w:val="008C3EB2"/>
    <w:rsid w:val="008C3EB8"/>
    <w:rsid w:val="008C3FCD"/>
    <w:rsid w:val="008C3FDE"/>
    <w:rsid w:val="008C40B0"/>
    <w:rsid w:val="008C40D1"/>
    <w:rsid w:val="008C41D5"/>
    <w:rsid w:val="008C41FB"/>
    <w:rsid w:val="008C425A"/>
    <w:rsid w:val="008C45C3"/>
    <w:rsid w:val="008C46C8"/>
    <w:rsid w:val="008C4778"/>
    <w:rsid w:val="008C481F"/>
    <w:rsid w:val="008C4889"/>
    <w:rsid w:val="008C48DE"/>
    <w:rsid w:val="008C498F"/>
    <w:rsid w:val="008C4B42"/>
    <w:rsid w:val="008C4C21"/>
    <w:rsid w:val="008C4C3C"/>
    <w:rsid w:val="008C4E23"/>
    <w:rsid w:val="008C4E8A"/>
    <w:rsid w:val="008C4EDE"/>
    <w:rsid w:val="008C4F4B"/>
    <w:rsid w:val="008C5243"/>
    <w:rsid w:val="008C52CB"/>
    <w:rsid w:val="008C5451"/>
    <w:rsid w:val="008C54A8"/>
    <w:rsid w:val="008C5515"/>
    <w:rsid w:val="008C5626"/>
    <w:rsid w:val="008C578B"/>
    <w:rsid w:val="008C58AA"/>
    <w:rsid w:val="008C59B7"/>
    <w:rsid w:val="008C59D1"/>
    <w:rsid w:val="008C5A70"/>
    <w:rsid w:val="008C5AEA"/>
    <w:rsid w:val="008C5B42"/>
    <w:rsid w:val="008C5B49"/>
    <w:rsid w:val="008C5B58"/>
    <w:rsid w:val="008C5B98"/>
    <w:rsid w:val="008C5C30"/>
    <w:rsid w:val="008C5CC3"/>
    <w:rsid w:val="008C5EC8"/>
    <w:rsid w:val="008C5ED0"/>
    <w:rsid w:val="008C5F74"/>
    <w:rsid w:val="008C6215"/>
    <w:rsid w:val="008C6640"/>
    <w:rsid w:val="008C6663"/>
    <w:rsid w:val="008C66EA"/>
    <w:rsid w:val="008C68D4"/>
    <w:rsid w:val="008C6971"/>
    <w:rsid w:val="008C6A4E"/>
    <w:rsid w:val="008C6BEA"/>
    <w:rsid w:val="008C6D2D"/>
    <w:rsid w:val="008C6F3D"/>
    <w:rsid w:val="008C7025"/>
    <w:rsid w:val="008C70A2"/>
    <w:rsid w:val="008C7109"/>
    <w:rsid w:val="008C72F6"/>
    <w:rsid w:val="008C7306"/>
    <w:rsid w:val="008C741E"/>
    <w:rsid w:val="008C7695"/>
    <w:rsid w:val="008C7709"/>
    <w:rsid w:val="008C7752"/>
    <w:rsid w:val="008C77E7"/>
    <w:rsid w:val="008C7876"/>
    <w:rsid w:val="008C7A27"/>
    <w:rsid w:val="008C7A7C"/>
    <w:rsid w:val="008C7BC2"/>
    <w:rsid w:val="008C7EBC"/>
    <w:rsid w:val="008C7F31"/>
    <w:rsid w:val="008D0026"/>
    <w:rsid w:val="008D0099"/>
    <w:rsid w:val="008D00A9"/>
    <w:rsid w:val="008D00B3"/>
    <w:rsid w:val="008D00F9"/>
    <w:rsid w:val="008D014E"/>
    <w:rsid w:val="008D01B8"/>
    <w:rsid w:val="008D0262"/>
    <w:rsid w:val="008D0496"/>
    <w:rsid w:val="008D064C"/>
    <w:rsid w:val="008D078B"/>
    <w:rsid w:val="008D0837"/>
    <w:rsid w:val="008D09DD"/>
    <w:rsid w:val="008D0D3C"/>
    <w:rsid w:val="008D0F5E"/>
    <w:rsid w:val="008D0FE0"/>
    <w:rsid w:val="008D1024"/>
    <w:rsid w:val="008D1177"/>
    <w:rsid w:val="008D1197"/>
    <w:rsid w:val="008D11E4"/>
    <w:rsid w:val="008D123B"/>
    <w:rsid w:val="008D1270"/>
    <w:rsid w:val="008D12A2"/>
    <w:rsid w:val="008D1313"/>
    <w:rsid w:val="008D13FA"/>
    <w:rsid w:val="008D16BD"/>
    <w:rsid w:val="008D16C2"/>
    <w:rsid w:val="008D1880"/>
    <w:rsid w:val="008D18C1"/>
    <w:rsid w:val="008D19B2"/>
    <w:rsid w:val="008D1B1A"/>
    <w:rsid w:val="008D1B5D"/>
    <w:rsid w:val="008D1B6E"/>
    <w:rsid w:val="008D1E81"/>
    <w:rsid w:val="008D1ED2"/>
    <w:rsid w:val="008D1FD1"/>
    <w:rsid w:val="008D1FD6"/>
    <w:rsid w:val="008D2035"/>
    <w:rsid w:val="008D21EE"/>
    <w:rsid w:val="008D2285"/>
    <w:rsid w:val="008D22F9"/>
    <w:rsid w:val="008D23ED"/>
    <w:rsid w:val="008D24B5"/>
    <w:rsid w:val="008D2680"/>
    <w:rsid w:val="008D28D5"/>
    <w:rsid w:val="008D2951"/>
    <w:rsid w:val="008D2985"/>
    <w:rsid w:val="008D2A19"/>
    <w:rsid w:val="008D2C3D"/>
    <w:rsid w:val="008D2D72"/>
    <w:rsid w:val="008D2EC1"/>
    <w:rsid w:val="008D2FDB"/>
    <w:rsid w:val="008D3074"/>
    <w:rsid w:val="008D308D"/>
    <w:rsid w:val="008D308F"/>
    <w:rsid w:val="008D3149"/>
    <w:rsid w:val="008D3452"/>
    <w:rsid w:val="008D37B9"/>
    <w:rsid w:val="008D3920"/>
    <w:rsid w:val="008D3A03"/>
    <w:rsid w:val="008D3ACA"/>
    <w:rsid w:val="008D3F7E"/>
    <w:rsid w:val="008D3F94"/>
    <w:rsid w:val="008D40EB"/>
    <w:rsid w:val="008D4328"/>
    <w:rsid w:val="008D445F"/>
    <w:rsid w:val="008D4496"/>
    <w:rsid w:val="008D4547"/>
    <w:rsid w:val="008D46DD"/>
    <w:rsid w:val="008D4714"/>
    <w:rsid w:val="008D49C1"/>
    <w:rsid w:val="008D4A5B"/>
    <w:rsid w:val="008D4A8F"/>
    <w:rsid w:val="008D4A9F"/>
    <w:rsid w:val="008D4C76"/>
    <w:rsid w:val="008D4D0A"/>
    <w:rsid w:val="008D4DB0"/>
    <w:rsid w:val="008D4E6B"/>
    <w:rsid w:val="008D4EB3"/>
    <w:rsid w:val="008D4ED3"/>
    <w:rsid w:val="008D4F3A"/>
    <w:rsid w:val="008D50CB"/>
    <w:rsid w:val="008D5242"/>
    <w:rsid w:val="008D524E"/>
    <w:rsid w:val="008D52EB"/>
    <w:rsid w:val="008D535A"/>
    <w:rsid w:val="008D55B6"/>
    <w:rsid w:val="008D5737"/>
    <w:rsid w:val="008D59B4"/>
    <w:rsid w:val="008D5ACD"/>
    <w:rsid w:val="008D5BEC"/>
    <w:rsid w:val="008D5C4E"/>
    <w:rsid w:val="008D5CA2"/>
    <w:rsid w:val="008D5E3C"/>
    <w:rsid w:val="008D5FE6"/>
    <w:rsid w:val="008D6165"/>
    <w:rsid w:val="008D61B6"/>
    <w:rsid w:val="008D61F1"/>
    <w:rsid w:val="008D6216"/>
    <w:rsid w:val="008D62A7"/>
    <w:rsid w:val="008D6419"/>
    <w:rsid w:val="008D64B7"/>
    <w:rsid w:val="008D66D4"/>
    <w:rsid w:val="008D66F5"/>
    <w:rsid w:val="008D688B"/>
    <w:rsid w:val="008D69D5"/>
    <w:rsid w:val="008D6A67"/>
    <w:rsid w:val="008D6ACD"/>
    <w:rsid w:val="008D6AE2"/>
    <w:rsid w:val="008D6C77"/>
    <w:rsid w:val="008D6C7E"/>
    <w:rsid w:val="008D6CC7"/>
    <w:rsid w:val="008D6CFF"/>
    <w:rsid w:val="008D6D82"/>
    <w:rsid w:val="008D6DC1"/>
    <w:rsid w:val="008D6E11"/>
    <w:rsid w:val="008D6FF1"/>
    <w:rsid w:val="008D7059"/>
    <w:rsid w:val="008D7136"/>
    <w:rsid w:val="008D749C"/>
    <w:rsid w:val="008D7535"/>
    <w:rsid w:val="008D75C0"/>
    <w:rsid w:val="008D7663"/>
    <w:rsid w:val="008D7697"/>
    <w:rsid w:val="008D76C4"/>
    <w:rsid w:val="008D7720"/>
    <w:rsid w:val="008D77F1"/>
    <w:rsid w:val="008D77F7"/>
    <w:rsid w:val="008D7A31"/>
    <w:rsid w:val="008D7C78"/>
    <w:rsid w:val="008D7DB5"/>
    <w:rsid w:val="008E0113"/>
    <w:rsid w:val="008E015A"/>
    <w:rsid w:val="008E04AA"/>
    <w:rsid w:val="008E04CB"/>
    <w:rsid w:val="008E06A0"/>
    <w:rsid w:val="008E075A"/>
    <w:rsid w:val="008E0773"/>
    <w:rsid w:val="008E0A8F"/>
    <w:rsid w:val="008E0B93"/>
    <w:rsid w:val="008E0BCF"/>
    <w:rsid w:val="008E0C8E"/>
    <w:rsid w:val="008E0D63"/>
    <w:rsid w:val="008E0F1C"/>
    <w:rsid w:val="008E0F4E"/>
    <w:rsid w:val="008E11AE"/>
    <w:rsid w:val="008E128E"/>
    <w:rsid w:val="008E12D7"/>
    <w:rsid w:val="008E1378"/>
    <w:rsid w:val="008E1460"/>
    <w:rsid w:val="008E15D3"/>
    <w:rsid w:val="008E1653"/>
    <w:rsid w:val="008E1698"/>
    <w:rsid w:val="008E19B6"/>
    <w:rsid w:val="008E1A28"/>
    <w:rsid w:val="008E1C15"/>
    <w:rsid w:val="008E1C66"/>
    <w:rsid w:val="008E1CA0"/>
    <w:rsid w:val="008E1E41"/>
    <w:rsid w:val="008E1F2D"/>
    <w:rsid w:val="008E1F9E"/>
    <w:rsid w:val="008E1FE9"/>
    <w:rsid w:val="008E20EB"/>
    <w:rsid w:val="008E230B"/>
    <w:rsid w:val="008E2733"/>
    <w:rsid w:val="008E273C"/>
    <w:rsid w:val="008E279C"/>
    <w:rsid w:val="008E2C64"/>
    <w:rsid w:val="008E2CE3"/>
    <w:rsid w:val="008E2F4C"/>
    <w:rsid w:val="008E2FF2"/>
    <w:rsid w:val="008E3089"/>
    <w:rsid w:val="008E308C"/>
    <w:rsid w:val="008E30CF"/>
    <w:rsid w:val="008E3385"/>
    <w:rsid w:val="008E3451"/>
    <w:rsid w:val="008E3516"/>
    <w:rsid w:val="008E3648"/>
    <w:rsid w:val="008E3651"/>
    <w:rsid w:val="008E3664"/>
    <w:rsid w:val="008E367F"/>
    <w:rsid w:val="008E380B"/>
    <w:rsid w:val="008E38CA"/>
    <w:rsid w:val="008E3973"/>
    <w:rsid w:val="008E3A24"/>
    <w:rsid w:val="008E3AEF"/>
    <w:rsid w:val="008E3F2A"/>
    <w:rsid w:val="008E3F78"/>
    <w:rsid w:val="008E3FBB"/>
    <w:rsid w:val="008E428F"/>
    <w:rsid w:val="008E42AE"/>
    <w:rsid w:val="008E4351"/>
    <w:rsid w:val="008E4356"/>
    <w:rsid w:val="008E4374"/>
    <w:rsid w:val="008E4437"/>
    <w:rsid w:val="008E44C5"/>
    <w:rsid w:val="008E4510"/>
    <w:rsid w:val="008E45A9"/>
    <w:rsid w:val="008E4786"/>
    <w:rsid w:val="008E48A9"/>
    <w:rsid w:val="008E4A37"/>
    <w:rsid w:val="008E4B11"/>
    <w:rsid w:val="008E4DE1"/>
    <w:rsid w:val="008E4ED9"/>
    <w:rsid w:val="008E4F1E"/>
    <w:rsid w:val="008E4F60"/>
    <w:rsid w:val="008E512C"/>
    <w:rsid w:val="008E51E1"/>
    <w:rsid w:val="008E5704"/>
    <w:rsid w:val="008E57BB"/>
    <w:rsid w:val="008E5846"/>
    <w:rsid w:val="008E5876"/>
    <w:rsid w:val="008E5A1A"/>
    <w:rsid w:val="008E5A41"/>
    <w:rsid w:val="008E5A42"/>
    <w:rsid w:val="008E5A8F"/>
    <w:rsid w:val="008E5B86"/>
    <w:rsid w:val="008E5BC3"/>
    <w:rsid w:val="008E5DB1"/>
    <w:rsid w:val="008E5F04"/>
    <w:rsid w:val="008E5F28"/>
    <w:rsid w:val="008E6105"/>
    <w:rsid w:val="008E61DD"/>
    <w:rsid w:val="008E6252"/>
    <w:rsid w:val="008E6410"/>
    <w:rsid w:val="008E645F"/>
    <w:rsid w:val="008E65EF"/>
    <w:rsid w:val="008E663B"/>
    <w:rsid w:val="008E67C1"/>
    <w:rsid w:val="008E683A"/>
    <w:rsid w:val="008E685A"/>
    <w:rsid w:val="008E6997"/>
    <w:rsid w:val="008E6AFD"/>
    <w:rsid w:val="008E6B7F"/>
    <w:rsid w:val="008E6BA5"/>
    <w:rsid w:val="008E6CC1"/>
    <w:rsid w:val="008E6CFF"/>
    <w:rsid w:val="008E6D5A"/>
    <w:rsid w:val="008E6D6D"/>
    <w:rsid w:val="008E6E27"/>
    <w:rsid w:val="008E6F6A"/>
    <w:rsid w:val="008E6FAB"/>
    <w:rsid w:val="008E7097"/>
    <w:rsid w:val="008E70EC"/>
    <w:rsid w:val="008E70F4"/>
    <w:rsid w:val="008E7192"/>
    <w:rsid w:val="008E74D4"/>
    <w:rsid w:val="008E7585"/>
    <w:rsid w:val="008E779D"/>
    <w:rsid w:val="008E77F0"/>
    <w:rsid w:val="008E7867"/>
    <w:rsid w:val="008E795A"/>
    <w:rsid w:val="008E7BA2"/>
    <w:rsid w:val="008F01FF"/>
    <w:rsid w:val="008F022D"/>
    <w:rsid w:val="008F0309"/>
    <w:rsid w:val="008F052F"/>
    <w:rsid w:val="008F0806"/>
    <w:rsid w:val="008F0B30"/>
    <w:rsid w:val="008F0C5C"/>
    <w:rsid w:val="008F0D25"/>
    <w:rsid w:val="008F0E95"/>
    <w:rsid w:val="008F1075"/>
    <w:rsid w:val="008F1163"/>
    <w:rsid w:val="008F12C0"/>
    <w:rsid w:val="008F1438"/>
    <w:rsid w:val="008F1517"/>
    <w:rsid w:val="008F173A"/>
    <w:rsid w:val="008F174F"/>
    <w:rsid w:val="008F1970"/>
    <w:rsid w:val="008F19EA"/>
    <w:rsid w:val="008F1B23"/>
    <w:rsid w:val="008F1D34"/>
    <w:rsid w:val="008F208C"/>
    <w:rsid w:val="008F2098"/>
    <w:rsid w:val="008F2141"/>
    <w:rsid w:val="008F23D1"/>
    <w:rsid w:val="008F24EC"/>
    <w:rsid w:val="008F2620"/>
    <w:rsid w:val="008F26AC"/>
    <w:rsid w:val="008F29A4"/>
    <w:rsid w:val="008F2C55"/>
    <w:rsid w:val="008F2C92"/>
    <w:rsid w:val="008F2C9E"/>
    <w:rsid w:val="008F2D4D"/>
    <w:rsid w:val="008F2D55"/>
    <w:rsid w:val="008F2F09"/>
    <w:rsid w:val="008F3019"/>
    <w:rsid w:val="008F3162"/>
    <w:rsid w:val="008F3213"/>
    <w:rsid w:val="008F3365"/>
    <w:rsid w:val="008F3382"/>
    <w:rsid w:val="008F3421"/>
    <w:rsid w:val="008F35F0"/>
    <w:rsid w:val="008F360B"/>
    <w:rsid w:val="008F363D"/>
    <w:rsid w:val="008F3674"/>
    <w:rsid w:val="008F36A7"/>
    <w:rsid w:val="008F36D1"/>
    <w:rsid w:val="008F374E"/>
    <w:rsid w:val="008F3810"/>
    <w:rsid w:val="008F38C4"/>
    <w:rsid w:val="008F3998"/>
    <w:rsid w:val="008F3BBE"/>
    <w:rsid w:val="008F3DBF"/>
    <w:rsid w:val="008F3FB4"/>
    <w:rsid w:val="008F40E8"/>
    <w:rsid w:val="008F413B"/>
    <w:rsid w:val="008F41B0"/>
    <w:rsid w:val="008F4407"/>
    <w:rsid w:val="008F4487"/>
    <w:rsid w:val="008F46FC"/>
    <w:rsid w:val="008F476B"/>
    <w:rsid w:val="008F47B3"/>
    <w:rsid w:val="008F4992"/>
    <w:rsid w:val="008F49AC"/>
    <w:rsid w:val="008F4BAD"/>
    <w:rsid w:val="008F5388"/>
    <w:rsid w:val="008F54C7"/>
    <w:rsid w:val="008F564D"/>
    <w:rsid w:val="008F56A0"/>
    <w:rsid w:val="008F58BD"/>
    <w:rsid w:val="008F5A5A"/>
    <w:rsid w:val="008F5D5D"/>
    <w:rsid w:val="008F5DA5"/>
    <w:rsid w:val="008F5F3A"/>
    <w:rsid w:val="008F5FBA"/>
    <w:rsid w:val="008F61C6"/>
    <w:rsid w:val="008F629C"/>
    <w:rsid w:val="008F652A"/>
    <w:rsid w:val="008F6542"/>
    <w:rsid w:val="008F65CE"/>
    <w:rsid w:val="008F6693"/>
    <w:rsid w:val="008F67E7"/>
    <w:rsid w:val="008F6872"/>
    <w:rsid w:val="008F690C"/>
    <w:rsid w:val="008F693C"/>
    <w:rsid w:val="008F6A60"/>
    <w:rsid w:val="008F6BC8"/>
    <w:rsid w:val="008F6C35"/>
    <w:rsid w:val="008F6CC6"/>
    <w:rsid w:val="008F6D39"/>
    <w:rsid w:val="008F6EEA"/>
    <w:rsid w:val="008F702A"/>
    <w:rsid w:val="008F720B"/>
    <w:rsid w:val="008F7254"/>
    <w:rsid w:val="008F7500"/>
    <w:rsid w:val="008F7582"/>
    <w:rsid w:val="008F7588"/>
    <w:rsid w:val="008F772D"/>
    <w:rsid w:val="008F77B1"/>
    <w:rsid w:val="008F79C1"/>
    <w:rsid w:val="008F7A36"/>
    <w:rsid w:val="008F7BD5"/>
    <w:rsid w:val="008F7DAE"/>
    <w:rsid w:val="009000AA"/>
    <w:rsid w:val="0090025C"/>
    <w:rsid w:val="009002C6"/>
    <w:rsid w:val="00900345"/>
    <w:rsid w:val="00900490"/>
    <w:rsid w:val="00900572"/>
    <w:rsid w:val="00900597"/>
    <w:rsid w:val="009005EB"/>
    <w:rsid w:val="00900617"/>
    <w:rsid w:val="00900763"/>
    <w:rsid w:val="00900A83"/>
    <w:rsid w:val="00900A90"/>
    <w:rsid w:val="00900B2C"/>
    <w:rsid w:val="00900E4F"/>
    <w:rsid w:val="00900F5D"/>
    <w:rsid w:val="009010B0"/>
    <w:rsid w:val="00901100"/>
    <w:rsid w:val="009011D2"/>
    <w:rsid w:val="0090124F"/>
    <w:rsid w:val="009012A3"/>
    <w:rsid w:val="00901308"/>
    <w:rsid w:val="00901334"/>
    <w:rsid w:val="00901338"/>
    <w:rsid w:val="009015C1"/>
    <w:rsid w:val="009016FA"/>
    <w:rsid w:val="009018F4"/>
    <w:rsid w:val="00901988"/>
    <w:rsid w:val="00901A7C"/>
    <w:rsid w:val="00901B01"/>
    <w:rsid w:val="00901BA1"/>
    <w:rsid w:val="00901BB9"/>
    <w:rsid w:val="00901BBD"/>
    <w:rsid w:val="00901BEE"/>
    <w:rsid w:val="00901C2C"/>
    <w:rsid w:val="00901C72"/>
    <w:rsid w:val="00901C8F"/>
    <w:rsid w:val="00901D0A"/>
    <w:rsid w:val="00901DF0"/>
    <w:rsid w:val="00901F45"/>
    <w:rsid w:val="009021D9"/>
    <w:rsid w:val="00902300"/>
    <w:rsid w:val="00902386"/>
    <w:rsid w:val="009024A0"/>
    <w:rsid w:val="00902695"/>
    <w:rsid w:val="009027C8"/>
    <w:rsid w:val="00902A23"/>
    <w:rsid w:val="00902A5E"/>
    <w:rsid w:val="00902A68"/>
    <w:rsid w:val="00902B24"/>
    <w:rsid w:val="00902E00"/>
    <w:rsid w:val="00902ECD"/>
    <w:rsid w:val="0090300E"/>
    <w:rsid w:val="00903099"/>
    <w:rsid w:val="009031DF"/>
    <w:rsid w:val="0090323B"/>
    <w:rsid w:val="0090353A"/>
    <w:rsid w:val="0090354F"/>
    <w:rsid w:val="00903554"/>
    <w:rsid w:val="00903610"/>
    <w:rsid w:val="00903644"/>
    <w:rsid w:val="009036B3"/>
    <w:rsid w:val="009037C7"/>
    <w:rsid w:val="009037CE"/>
    <w:rsid w:val="0090383A"/>
    <w:rsid w:val="0090387D"/>
    <w:rsid w:val="009038EA"/>
    <w:rsid w:val="009038EE"/>
    <w:rsid w:val="00903A24"/>
    <w:rsid w:val="00903AE5"/>
    <w:rsid w:val="00903D49"/>
    <w:rsid w:val="00903D93"/>
    <w:rsid w:val="00903FBD"/>
    <w:rsid w:val="009041B5"/>
    <w:rsid w:val="009041E5"/>
    <w:rsid w:val="00904251"/>
    <w:rsid w:val="0090435F"/>
    <w:rsid w:val="00904739"/>
    <w:rsid w:val="009047C5"/>
    <w:rsid w:val="0090489A"/>
    <w:rsid w:val="00904BA7"/>
    <w:rsid w:val="00904C5A"/>
    <w:rsid w:val="00904CAB"/>
    <w:rsid w:val="00904D74"/>
    <w:rsid w:val="00904E3F"/>
    <w:rsid w:val="00904E99"/>
    <w:rsid w:val="009050C6"/>
    <w:rsid w:val="00905114"/>
    <w:rsid w:val="00905178"/>
    <w:rsid w:val="009051F5"/>
    <w:rsid w:val="00905303"/>
    <w:rsid w:val="00905310"/>
    <w:rsid w:val="0090532C"/>
    <w:rsid w:val="009053BC"/>
    <w:rsid w:val="00905572"/>
    <w:rsid w:val="009055F9"/>
    <w:rsid w:val="00905678"/>
    <w:rsid w:val="0090569B"/>
    <w:rsid w:val="00905829"/>
    <w:rsid w:val="00905917"/>
    <w:rsid w:val="00905918"/>
    <w:rsid w:val="0090598A"/>
    <w:rsid w:val="00905A73"/>
    <w:rsid w:val="00905AAB"/>
    <w:rsid w:val="00905B85"/>
    <w:rsid w:val="00905BA1"/>
    <w:rsid w:val="00905D48"/>
    <w:rsid w:val="00905D93"/>
    <w:rsid w:val="00905DD6"/>
    <w:rsid w:val="00905EDD"/>
    <w:rsid w:val="00905F01"/>
    <w:rsid w:val="00905F88"/>
    <w:rsid w:val="00906108"/>
    <w:rsid w:val="009061A5"/>
    <w:rsid w:val="0090623C"/>
    <w:rsid w:val="009064D6"/>
    <w:rsid w:val="00906553"/>
    <w:rsid w:val="009065D7"/>
    <w:rsid w:val="009066D2"/>
    <w:rsid w:val="009066EB"/>
    <w:rsid w:val="0090672C"/>
    <w:rsid w:val="009067D7"/>
    <w:rsid w:val="0090683B"/>
    <w:rsid w:val="00906926"/>
    <w:rsid w:val="0090698F"/>
    <w:rsid w:val="00906A75"/>
    <w:rsid w:val="00906B1C"/>
    <w:rsid w:val="00906B5D"/>
    <w:rsid w:val="00906D01"/>
    <w:rsid w:val="00906D85"/>
    <w:rsid w:val="00906EBC"/>
    <w:rsid w:val="00906F54"/>
    <w:rsid w:val="009071BB"/>
    <w:rsid w:val="00907213"/>
    <w:rsid w:val="00907241"/>
    <w:rsid w:val="0090746F"/>
    <w:rsid w:val="00907595"/>
    <w:rsid w:val="00907651"/>
    <w:rsid w:val="009077C5"/>
    <w:rsid w:val="009078A7"/>
    <w:rsid w:val="00907961"/>
    <w:rsid w:val="00907968"/>
    <w:rsid w:val="00907A7E"/>
    <w:rsid w:val="00907AFB"/>
    <w:rsid w:val="00907BD7"/>
    <w:rsid w:val="00907CC7"/>
    <w:rsid w:val="00907CD7"/>
    <w:rsid w:val="00907CFA"/>
    <w:rsid w:val="00907E12"/>
    <w:rsid w:val="00907E93"/>
    <w:rsid w:val="00907FB7"/>
    <w:rsid w:val="00910050"/>
    <w:rsid w:val="0091021C"/>
    <w:rsid w:val="0091022B"/>
    <w:rsid w:val="0091033C"/>
    <w:rsid w:val="0091041B"/>
    <w:rsid w:val="00910565"/>
    <w:rsid w:val="009105B9"/>
    <w:rsid w:val="0091068B"/>
    <w:rsid w:val="00910A1C"/>
    <w:rsid w:val="00910A9F"/>
    <w:rsid w:val="00910B97"/>
    <w:rsid w:val="00910CEF"/>
    <w:rsid w:val="009113E1"/>
    <w:rsid w:val="009115C5"/>
    <w:rsid w:val="0091166B"/>
    <w:rsid w:val="009117EC"/>
    <w:rsid w:val="0091194A"/>
    <w:rsid w:val="00911A1D"/>
    <w:rsid w:val="00911A8D"/>
    <w:rsid w:val="00911B5B"/>
    <w:rsid w:val="00911DC5"/>
    <w:rsid w:val="00912184"/>
    <w:rsid w:val="009122B1"/>
    <w:rsid w:val="0091246E"/>
    <w:rsid w:val="009124C7"/>
    <w:rsid w:val="009125C5"/>
    <w:rsid w:val="009126CA"/>
    <w:rsid w:val="0091274A"/>
    <w:rsid w:val="0091288B"/>
    <w:rsid w:val="009128A3"/>
    <w:rsid w:val="00912A5E"/>
    <w:rsid w:val="00912C00"/>
    <w:rsid w:val="00912E37"/>
    <w:rsid w:val="00912E7F"/>
    <w:rsid w:val="009130BD"/>
    <w:rsid w:val="00913170"/>
    <w:rsid w:val="009131A7"/>
    <w:rsid w:val="0091326C"/>
    <w:rsid w:val="00913327"/>
    <w:rsid w:val="009133CC"/>
    <w:rsid w:val="009133DB"/>
    <w:rsid w:val="00913406"/>
    <w:rsid w:val="009134C6"/>
    <w:rsid w:val="009135D0"/>
    <w:rsid w:val="009136DA"/>
    <w:rsid w:val="009136F9"/>
    <w:rsid w:val="0091374F"/>
    <w:rsid w:val="0091375D"/>
    <w:rsid w:val="009137B4"/>
    <w:rsid w:val="009138F0"/>
    <w:rsid w:val="009139F8"/>
    <w:rsid w:val="00913A0B"/>
    <w:rsid w:val="00913BC2"/>
    <w:rsid w:val="00913BC9"/>
    <w:rsid w:val="00913F19"/>
    <w:rsid w:val="00913FDF"/>
    <w:rsid w:val="0091427C"/>
    <w:rsid w:val="009142B1"/>
    <w:rsid w:val="009144B6"/>
    <w:rsid w:val="00914825"/>
    <w:rsid w:val="00914A2C"/>
    <w:rsid w:val="00914A90"/>
    <w:rsid w:val="00914C88"/>
    <w:rsid w:val="00914E03"/>
    <w:rsid w:val="00914ED4"/>
    <w:rsid w:val="00914F65"/>
    <w:rsid w:val="00914FC8"/>
    <w:rsid w:val="0091514D"/>
    <w:rsid w:val="0091518E"/>
    <w:rsid w:val="009155A4"/>
    <w:rsid w:val="00915642"/>
    <w:rsid w:val="00915736"/>
    <w:rsid w:val="009157B1"/>
    <w:rsid w:val="009158BC"/>
    <w:rsid w:val="009158E3"/>
    <w:rsid w:val="009159D9"/>
    <w:rsid w:val="00915AFF"/>
    <w:rsid w:val="00915B1D"/>
    <w:rsid w:val="00915D5D"/>
    <w:rsid w:val="00915E63"/>
    <w:rsid w:val="00915FC5"/>
    <w:rsid w:val="0091604D"/>
    <w:rsid w:val="0091609D"/>
    <w:rsid w:val="009163AC"/>
    <w:rsid w:val="009163C9"/>
    <w:rsid w:val="00916493"/>
    <w:rsid w:val="00916498"/>
    <w:rsid w:val="009166BA"/>
    <w:rsid w:val="0091677A"/>
    <w:rsid w:val="009167C0"/>
    <w:rsid w:val="009169C1"/>
    <w:rsid w:val="00916A70"/>
    <w:rsid w:val="00916AB8"/>
    <w:rsid w:val="00916B11"/>
    <w:rsid w:val="00916BDC"/>
    <w:rsid w:val="00916C4D"/>
    <w:rsid w:val="00916C5F"/>
    <w:rsid w:val="00916C6F"/>
    <w:rsid w:val="00916CEB"/>
    <w:rsid w:val="00916E7B"/>
    <w:rsid w:val="00916F28"/>
    <w:rsid w:val="0091735B"/>
    <w:rsid w:val="009174ED"/>
    <w:rsid w:val="00917699"/>
    <w:rsid w:val="00917711"/>
    <w:rsid w:val="009177EF"/>
    <w:rsid w:val="0091796D"/>
    <w:rsid w:val="00917A04"/>
    <w:rsid w:val="00917B4A"/>
    <w:rsid w:val="00917DD4"/>
    <w:rsid w:val="00917E0C"/>
    <w:rsid w:val="009201B9"/>
    <w:rsid w:val="009202D8"/>
    <w:rsid w:val="0092066C"/>
    <w:rsid w:val="0092075F"/>
    <w:rsid w:val="00920790"/>
    <w:rsid w:val="00920C3A"/>
    <w:rsid w:val="00920CD0"/>
    <w:rsid w:val="00920CFB"/>
    <w:rsid w:val="00920D3C"/>
    <w:rsid w:val="00920D8D"/>
    <w:rsid w:val="00920E5A"/>
    <w:rsid w:val="009210C1"/>
    <w:rsid w:val="009210F1"/>
    <w:rsid w:val="009211EC"/>
    <w:rsid w:val="00921408"/>
    <w:rsid w:val="00921425"/>
    <w:rsid w:val="00921540"/>
    <w:rsid w:val="009215C4"/>
    <w:rsid w:val="00921681"/>
    <w:rsid w:val="009216E4"/>
    <w:rsid w:val="009218C1"/>
    <w:rsid w:val="009218F6"/>
    <w:rsid w:val="0092195C"/>
    <w:rsid w:val="00921A5C"/>
    <w:rsid w:val="00921EA3"/>
    <w:rsid w:val="00921FE3"/>
    <w:rsid w:val="0092201B"/>
    <w:rsid w:val="00922044"/>
    <w:rsid w:val="0092230B"/>
    <w:rsid w:val="00922359"/>
    <w:rsid w:val="00922363"/>
    <w:rsid w:val="00922562"/>
    <w:rsid w:val="00922567"/>
    <w:rsid w:val="00922637"/>
    <w:rsid w:val="00922714"/>
    <w:rsid w:val="00922742"/>
    <w:rsid w:val="00922942"/>
    <w:rsid w:val="0092297B"/>
    <w:rsid w:val="009229B4"/>
    <w:rsid w:val="00922B40"/>
    <w:rsid w:val="00922D75"/>
    <w:rsid w:val="00922DE3"/>
    <w:rsid w:val="00922E4B"/>
    <w:rsid w:val="00922F1A"/>
    <w:rsid w:val="00922FD4"/>
    <w:rsid w:val="0092303A"/>
    <w:rsid w:val="009230F8"/>
    <w:rsid w:val="0092313B"/>
    <w:rsid w:val="009231DD"/>
    <w:rsid w:val="009231EF"/>
    <w:rsid w:val="009233C7"/>
    <w:rsid w:val="009235AC"/>
    <w:rsid w:val="0092360F"/>
    <w:rsid w:val="00923611"/>
    <w:rsid w:val="00923717"/>
    <w:rsid w:val="0092375B"/>
    <w:rsid w:val="00923887"/>
    <w:rsid w:val="00923A19"/>
    <w:rsid w:val="00923A22"/>
    <w:rsid w:val="00923C72"/>
    <w:rsid w:val="00923CB4"/>
    <w:rsid w:val="00923CE5"/>
    <w:rsid w:val="00923ED5"/>
    <w:rsid w:val="00923EE5"/>
    <w:rsid w:val="00923F8D"/>
    <w:rsid w:val="00923F92"/>
    <w:rsid w:val="00924096"/>
    <w:rsid w:val="00924196"/>
    <w:rsid w:val="00924218"/>
    <w:rsid w:val="00924254"/>
    <w:rsid w:val="009244BC"/>
    <w:rsid w:val="0092482B"/>
    <w:rsid w:val="00924867"/>
    <w:rsid w:val="00924868"/>
    <w:rsid w:val="009248F7"/>
    <w:rsid w:val="00924958"/>
    <w:rsid w:val="00924995"/>
    <w:rsid w:val="00924A95"/>
    <w:rsid w:val="00924ADC"/>
    <w:rsid w:val="00924C76"/>
    <w:rsid w:val="00924D28"/>
    <w:rsid w:val="00924DF5"/>
    <w:rsid w:val="00924FBC"/>
    <w:rsid w:val="0092507B"/>
    <w:rsid w:val="009251F5"/>
    <w:rsid w:val="0092526C"/>
    <w:rsid w:val="009252B8"/>
    <w:rsid w:val="009254CB"/>
    <w:rsid w:val="009254E3"/>
    <w:rsid w:val="009255F9"/>
    <w:rsid w:val="00925696"/>
    <w:rsid w:val="00925763"/>
    <w:rsid w:val="00925770"/>
    <w:rsid w:val="009257CF"/>
    <w:rsid w:val="00925858"/>
    <w:rsid w:val="00925907"/>
    <w:rsid w:val="0092595A"/>
    <w:rsid w:val="00925966"/>
    <w:rsid w:val="00925972"/>
    <w:rsid w:val="00925A1F"/>
    <w:rsid w:val="00925AE0"/>
    <w:rsid w:val="00925B24"/>
    <w:rsid w:val="00925E3C"/>
    <w:rsid w:val="00925E64"/>
    <w:rsid w:val="00925F79"/>
    <w:rsid w:val="00926014"/>
    <w:rsid w:val="00926093"/>
    <w:rsid w:val="009261D8"/>
    <w:rsid w:val="009264DF"/>
    <w:rsid w:val="009264EC"/>
    <w:rsid w:val="0092652B"/>
    <w:rsid w:val="00926573"/>
    <w:rsid w:val="00926578"/>
    <w:rsid w:val="00926584"/>
    <w:rsid w:val="0092666E"/>
    <w:rsid w:val="00926886"/>
    <w:rsid w:val="009268BD"/>
    <w:rsid w:val="00926913"/>
    <w:rsid w:val="0092691B"/>
    <w:rsid w:val="009269B2"/>
    <w:rsid w:val="009269C2"/>
    <w:rsid w:val="00926CB3"/>
    <w:rsid w:val="00926F9F"/>
    <w:rsid w:val="00927084"/>
    <w:rsid w:val="009270A5"/>
    <w:rsid w:val="009273E8"/>
    <w:rsid w:val="009275B4"/>
    <w:rsid w:val="009275F6"/>
    <w:rsid w:val="00927708"/>
    <w:rsid w:val="009279D8"/>
    <w:rsid w:val="00927AE8"/>
    <w:rsid w:val="00927AF8"/>
    <w:rsid w:val="00927BB4"/>
    <w:rsid w:val="00927CB9"/>
    <w:rsid w:val="00927F9C"/>
    <w:rsid w:val="00930073"/>
    <w:rsid w:val="00930284"/>
    <w:rsid w:val="00930316"/>
    <w:rsid w:val="0093038E"/>
    <w:rsid w:val="009303D1"/>
    <w:rsid w:val="00930449"/>
    <w:rsid w:val="009307C2"/>
    <w:rsid w:val="009308A8"/>
    <w:rsid w:val="00930985"/>
    <w:rsid w:val="00930A3F"/>
    <w:rsid w:val="00930BFB"/>
    <w:rsid w:val="00930C20"/>
    <w:rsid w:val="00930CF7"/>
    <w:rsid w:val="00930CFA"/>
    <w:rsid w:val="00930E80"/>
    <w:rsid w:val="00930EB4"/>
    <w:rsid w:val="00930F8F"/>
    <w:rsid w:val="00931372"/>
    <w:rsid w:val="00931407"/>
    <w:rsid w:val="00931455"/>
    <w:rsid w:val="0093148C"/>
    <w:rsid w:val="00931544"/>
    <w:rsid w:val="0093154D"/>
    <w:rsid w:val="0093154F"/>
    <w:rsid w:val="009315ED"/>
    <w:rsid w:val="009316B8"/>
    <w:rsid w:val="00931742"/>
    <w:rsid w:val="009317D8"/>
    <w:rsid w:val="009318FF"/>
    <w:rsid w:val="009319D2"/>
    <w:rsid w:val="00931A11"/>
    <w:rsid w:val="00931B0F"/>
    <w:rsid w:val="00931C6B"/>
    <w:rsid w:val="00931EC0"/>
    <w:rsid w:val="00931F1B"/>
    <w:rsid w:val="00931F21"/>
    <w:rsid w:val="00931F5D"/>
    <w:rsid w:val="00932011"/>
    <w:rsid w:val="00932219"/>
    <w:rsid w:val="00932291"/>
    <w:rsid w:val="0093236B"/>
    <w:rsid w:val="009323BD"/>
    <w:rsid w:val="009324B6"/>
    <w:rsid w:val="0093274A"/>
    <w:rsid w:val="00932851"/>
    <w:rsid w:val="00932A96"/>
    <w:rsid w:val="00932C65"/>
    <w:rsid w:val="00932CC9"/>
    <w:rsid w:val="00932F3F"/>
    <w:rsid w:val="0093309F"/>
    <w:rsid w:val="00933230"/>
    <w:rsid w:val="00933276"/>
    <w:rsid w:val="00933451"/>
    <w:rsid w:val="009335C0"/>
    <w:rsid w:val="009336CE"/>
    <w:rsid w:val="009336F9"/>
    <w:rsid w:val="00933841"/>
    <w:rsid w:val="0093396D"/>
    <w:rsid w:val="00933C13"/>
    <w:rsid w:val="00933C35"/>
    <w:rsid w:val="00933CCF"/>
    <w:rsid w:val="00933CFD"/>
    <w:rsid w:val="00933DCC"/>
    <w:rsid w:val="00933DFA"/>
    <w:rsid w:val="00933E07"/>
    <w:rsid w:val="00933E7A"/>
    <w:rsid w:val="00933F16"/>
    <w:rsid w:val="00934017"/>
    <w:rsid w:val="0093402A"/>
    <w:rsid w:val="0093404A"/>
    <w:rsid w:val="00934114"/>
    <w:rsid w:val="009341D7"/>
    <w:rsid w:val="009341EE"/>
    <w:rsid w:val="00934395"/>
    <w:rsid w:val="009343F0"/>
    <w:rsid w:val="009348B0"/>
    <w:rsid w:val="0093491B"/>
    <w:rsid w:val="00934934"/>
    <w:rsid w:val="0093496F"/>
    <w:rsid w:val="00934B30"/>
    <w:rsid w:val="00934B98"/>
    <w:rsid w:val="00934B9D"/>
    <w:rsid w:val="00934C6E"/>
    <w:rsid w:val="00934FD5"/>
    <w:rsid w:val="00934FFA"/>
    <w:rsid w:val="00935008"/>
    <w:rsid w:val="00935009"/>
    <w:rsid w:val="0093517B"/>
    <w:rsid w:val="009351A8"/>
    <w:rsid w:val="009352AB"/>
    <w:rsid w:val="009352C6"/>
    <w:rsid w:val="009352FE"/>
    <w:rsid w:val="00935427"/>
    <w:rsid w:val="009356DF"/>
    <w:rsid w:val="0093573D"/>
    <w:rsid w:val="00935746"/>
    <w:rsid w:val="00935A08"/>
    <w:rsid w:val="00935A1A"/>
    <w:rsid w:val="00935B89"/>
    <w:rsid w:val="00935BCE"/>
    <w:rsid w:val="00935C73"/>
    <w:rsid w:val="00935DB0"/>
    <w:rsid w:val="009361EF"/>
    <w:rsid w:val="009362DB"/>
    <w:rsid w:val="0093635C"/>
    <w:rsid w:val="009363C0"/>
    <w:rsid w:val="009364B1"/>
    <w:rsid w:val="00936517"/>
    <w:rsid w:val="009366AA"/>
    <w:rsid w:val="009366F2"/>
    <w:rsid w:val="009366F6"/>
    <w:rsid w:val="00936791"/>
    <w:rsid w:val="009368A8"/>
    <w:rsid w:val="009369ED"/>
    <w:rsid w:val="009369FB"/>
    <w:rsid w:val="00936D6A"/>
    <w:rsid w:val="00936DFA"/>
    <w:rsid w:val="00936ECE"/>
    <w:rsid w:val="00936F7C"/>
    <w:rsid w:val="009370B9"/>
    <w:rsid w:val="00937160"/>
    <w:rsid w:val="009371C3"/>
    <w:rsid w:val="00937223"/>
    <w:rsid w:val="00937241"/>
    <w:rsid w:val="00937310"/>
    <w:rsid w:val="0093748C"/>
    <w:rsid w:val="00937496"/>
    <w:rsid w:val="00937536"/>
    <w:rsid w:val="009375C0"/>
    <w:rsid w:val="009376C0"/>
    <w:rsid w:val="009379AB"/>
    <w:rsid w:val="00937A0B"/>
    <w:rsid w:val="00937AC9"/>
    <w:rsid w:val="00937ADE"/>
    <w:rsid w:val="00937D68"/>
    <w:rsid w:val="00937D8D"/>
    <w:rsid w:val="00937EF5"/>
    <w:rsid w:val="00940038"/>
    <w:rsid w:val="00940124"/>
    <w:rsid w:val="00940129"/>
    <w:rsid w:val="00940189"/>
    <w:rsid w:val="0094035F"/>
    <w:rsid w:val="0094041A"/>
    <w:rsid w:val="0094052B"/>
    <w:rsid w:val="00940550"/>
    <w:rsid w:val="00940601"/>
    <w:rsid w:val="00940645"/>
    <w:rsid w:val="0094087D"/>
    <w:rsid w:val="00940B84"/>
    <w:rsid w:val="00940ED3"/>
    <w:rsid w:val="00940F01"/>
    <w:rsid w:val="009410A9"/>
    <w:rsid w:val="009410EA"/>
    <w:rsid w:val="00941168"/>
    <w:rsid w:val="00941296"/>
    <w:rsid w:val="009412B0"/>
    <w:rsid w:val="009412CC"/>
    <w:rsid w:val="00941322"/>
    <w:rsid w:val="00941356"/>
    <w:rsid w:val="009413B5"/>
    <w:rsid w:val="0094145B"/>
    <w:rsid w:val="00941472"/>
    <w:rsid w:val="00941502"/>
    <w:rsid w:val="0094162C"/>
    <w:rsid w:val="00941633"/>
    <w:rsid w:val="00941638"/>
    <w:rsid w:val="009417AF"/>
    <w:rsid w:val="009417D8"/>
    <w:rsid w:val="00941802"/>
    <w:rsid w:val="00941861"/>
    <w:rsid w:val="009418E9"/>
    <w:rsid w:val="00941C68"/>
    <w:rsid w:val="00941D24"/>
    <w:rsid w:val="00941D34"/>
    <w:rsid w:val="00941D4F"/>
    <w:rsid w:val="00941FA6"/>
    <w:rsid w:val="00941FAC"/>
    <w:rsid w:val="00942068"/>
    <w:rsid w:val="00942086"/>
    <w:rsid w:val="00942401"/>
    <w:rsid w:val="00942405"/>
    <w:rsid w:val="0094283A"/>
    <w:rsid w:val="00942849"/>
    <w:rsid w:val="00942894"/>
    <w:rsid w:val="009429F9"/>
    <w:rsid w:val="00942A3B"/>
    <w:rsid w:val="00942A5E"/>
    <w:rsid w:val="00942AE3"/>
    <w:rsid w:val="00942B00"/>
    <w:rsid w:val="00942C1C"/>
    <w:rsid w:val="00942CE3"/>
    <w:rsid w:val="00942DC5"/>
    <w:rsid w:val="00942DCB"/>
    <w:rsid w:val="00942DF2"/>
    <w:rsid w:val="00942E96"/>
    <w:rsid w:val="00942F6B"/>
    <w:rsid w:val="009430B1"/>
    <w:rsid w:val="0094321B"/>
    <w:rsid w:val="009432C8"/>
    <w:rsid w:val="00943484"/>
    <w:rsid w:val="009435D9"/>
    <w:rsid w:val="00943834"/>
    <w:rsid w:val="00943872"/>
    <w:rsid w:val="009438C6"/>
    <w:rsid w:val="009439AD"/>
    <w:rsid w:val="009439F7"/>
    <w:rsid w:val="00943B17"/>
    <w:rsid w:val="00943B3B"/>
    <w:rsid w:val="00943B6E"/>
    <w:rsid w:val="00943CF6"/>
    <w:rsid w:val="00943D45"/>
    <w:rsid w:val="00943EF2"/>
    <w:rsid w:val="00944135"/>
    <w:rsid w:val="009442E5"/>
    <w:rsid w:val="009444B4"/>
    <w:rsid w:val="009444B5"/>
    <w:rsid w:val="0094452C"/>
    <w:rsid w:val="009448E7"/>
    <w:rsid w:val="0094491D"/>
    <w:rsid w:val="009449B7"/>
    <w:rsid w:val="00944B4C"/>
    <w:rsid w:val="00944BA5"/>
    <w:rsid w:val="00944D46"/>
    <w:rsid w:val="00945051"/>
    <w:rsid w:val="0094508C"/>
    <w:rsid w:val="00945146"/>
    <w:rsid w:val="00945176"/>
    <w:rsid w:val="0094523B"/>
    <w:rsid w:val="009452D0"/>
    <w:rsid w:val="009452F2"/>
    <w:rsid w:val="0094549E"/>
    <w:rsid w:val="0094553D"/>
    <w:rsid w:val="00945543"/>
    <w:rsid w:val="009455DE"/>
    <w:rsid w:val="009456C2"/>
    <w:rsid w:val="009458EB"/>
    <w:rsid w:val="00945922"/>
    <w:rsid w:val="009459A2"/>
    <w:rsid w:val="00945A41"/>
    <w:rsid w:val="00945A9C"/>
    <w:rsid w:val="00945AE3"/>
    <w:rsid w:val="00945B96"/>
    <w:rsid w:val="00945BE3"/>
    <w:rsid w:val="00945C0B"/>
    <w:rsid w:val="00945E4B"/>
    <w:rsid w:val="00945F52"/>
    <w:rsid w:val="0094600A"/>
    <w:rsid w:val="00946012"/>
    <w:rsid w:val="00946023"/>
    <w:rsid w:val="00946201"/>
    <w:rsid w:val="00946277"/>
    <w:rsid w:val="0094655A"/>
    <w:rsid w:val="00946570"/>
    <w:rsid w:val="009465EB"/>
    <w:rsid w:val="00946604"/>
    <w:rsid w:val="00946644"/>
    <w:rsid w:val="0094671A"/>
    <w:rsid w:val="00946967"/>
    <w:rsid w:val="00946A1A"/>
    <w:rsid w:val="00946C8A"/>
    <w:rsid w:val="00946DED"/>
    <w:rsid w:val="00946E55"/>
    <w:rsid w:val="00946E92"/>
    <w:rsid w:val="00946EB6"/>
    <w:rsid w:val="00947144"/>
    <w:rsid w:val="0094722D"/>
    <w:rsid w:val="009472F2"/>
    <w:rsid w:val="0094735C"/>
    <w:rsid w:val="0094754D"/>
    <w:rsid w:val="00947713"/>
    <w:rsid w:val="009478BA"/>
    <w:rsid w:val="00947AD9"/>
    <w:rsid w:val="00947B31"/>
    <w:rsid w:val="00947BB6"/>
    <w:rsid w:val="00947C23"/>
    <w:rsid w:val="00947DD4"/>
    <w:rsid w:val="00947E66"/>
    <w:rsid w:val="00947EB2"/>
    <w:rsid w:val="009500DC"/>
    <w:rsid w:val="009501D2"/>
    <w:rsid w:val="0095020A"/>
    <w:rsid w:val="00950488"/>
    <w:rsid w:val="00950640"/>
    <w:rsid w:val="009506A5"/>
    <w:rsid w:val="009507DC"/>
    <w:rsid w:val="00950B16"/>
    <w:rsid w:val="00950BE2"/>
    <w:rsid w:val="00950C1D"/>
    <w:rsid w:val="0095100F"/>
    <w:rsid w:val="009511F0"/>
    <w:rsid w:val="00951532"/>
    <w:rsid w:val="00951561"/>
    <w:rsid w:val="009515CE"/>
    <w:rsid w:val="009516B8"/>
    <w:rsid w:val="00951704"/>
    <w:rsid w:val="00951764"/>
    <w:rsid w:val="00951936"/>
    <w:rsid w:val="0095196B"/>
    <w:rsid w:val="0095217A"/>
    <w:rsid w:val="009522A4"/>
    <w:rsid w:val="00952354"/>
    <w:rsid w:val="009523FF"/>
    <w:rsid w:val="0095242D"/>
    <w:rsid w:val="009524E5"/>
    <w:rsid w:val="00952543"/>
    <w:rsid w:val="009528A8"/>
    <w:rsid w:val="00952A2B"/>
    <w:rsid w:val="00952C9A"/>
    <w:rsid w:val="00952CE4"/>
    <w:rsid w:val="00952D0C"/>
    <w:rsid w:val="00952D72"/>
    <w:rsid w:val="00953134"/>
    <w:rsid w:val="00953196"/>
    <w:rsid w:val="00953291"/>
    <w:rsid w:val="00953317"/>
    <w:rsid w:val="0095338F"/>
    <w:rsid w:val="0095340B"/>
    <w:rsid w:val="009535F0"/>
    <w:rsid w:val="00953691"/>
    <w:rsid w:val="009536AE"/>
    <w:rsid w:val="0095378D"/>
    <w:rsid w:val="009537D8"/>
    <w:rsid w:val="0095383C"/>
    <w:rsid w:val="009538A6"/>
    <w:rsid w:val="009538DE"/>
    <w:rsid w:val="009539A4"/>
    <w:rsid w:val="009539A8"/>
    <w:rsid w:val="00953B8C"/>
    <w:rsid w:val="00953BD2"/>
    <w:rsid w:val="00953C51"/>
    <w:rsid w:val="00953EA8"/>
    <w:rsid w:val="00953ED0"/>
    <w:rsid w:val="00953F8D"/>
    <w:rsid w:val="00954015"/>
    <w:rsid w:val="009540AB"/>
    <w:rsid w:val="00954307"/>
    <w:rsid w:val="009543B3"/>
    <w:rsid w:val="00954432"/>
    <w:rsid w:val="009544D1"/>
    <w:rsid w:val="00954566"/>
    <w:rsid w:val="009547E3"/>
    <w:rsid w:val="0095483C"/>
    <w:rsid w:val="009548C3"/>
    <w:rsid w:val="00954950"/>
    <w:rsid w:val="00954985"/>
    <w:rsid w:val="00954A13"/>
    <w:rsid w:val="00954A67"/>
    <w:rsid w:val="00954C20"/>
    <w:rsid w:val="00954C7F"/>
    <w:rsid w:val="00954C8D"/>
    <w:rsid w:val="00954D5B"/>
    <w:rsid w:val="00954E1D"/>
    <w:rsid w:val="00954F5C"/>
    <w:rsid w:val="00954FB5"/>
    <w:rsid w:val="009550A0"/>
    <w:rsid w:val="00955167"/>
    <w:rsid w:val="00955379"/>
    <w:rsid w:val="00955464"/>
    <w:rsid w:val="009556AB"/>
    <w:rsid w:val="009556C7"/>
    <w:rsid w:val="00955791"/>
    <w:rsid w:val="00955793"/>
    <w:rsid w:val="00955797"/>
    <w:rsid w:val="00955941"/>
    <w:rsid w:val="00955AEC"/>
    <w:rsid w:val="00955CFE"/>
    <w:rsid w:val="00955DF0"/>
    <w:rsid w:val="00955E59"/>
    <w:rsid w:val="00955E84"/>
    <w:rsid w:val="00955EA4"/>
    <w:rsid w:val="0095608B"/>
    <w:rsid w:val="009560E9"/>
    <w:rsid w:val="00956202"/>
    <w:rsid w:val="0095641F"/>
    <w:rsid w:val="00956538"/>
    <w:rsid w:val="00956633"/>
    <w:rsid w:val="0095680D"/>
    <w:rsid w:val="0095687A"/>
    <w:rsid w:val="009568CD"/>
    <w:rsid w:val="009569E7"/>
    <w:rsid w:val="00956A02"/>
    <w:rsid w:val="00956BEA"/>
    <w:rsid w:val="00956C6B"/>
    <w:rsid w:val="00956DCC"/>
    <w:rsid w:val="00956DF0"/>
    <w:rsid w:val="00956E17"/>
    <w:rsid w:val="00956E91"/>
    <w:rsid w:val="009571AB"/>
    <w:rsid w:val="00957302"/>
    <w:rsid w:val="0095731F"/>
    <w:rsid w:val="00957363"/>
    <w:rsid w:val="00957536"/>
    <w:rsid w:val="0095756C"/>
    <w:rsid w:val="0095758D"/>
    <w:rsid w:val="00957598"/>
    <w:rsid w:val="00957668"/>
    <w:rsid w:val="00957781"/>
    <w:rsid w:val="0095785D"/>
    <w:rsid w:val="00957971"/>
    <w:rsid w:val="009579C5"/>
    <w:rsid w:val="00957B27"/>
    <w:rsid w:val="00957B3C"/>
    <w:rsid w:val="00957B44"/>
    <w:rsid w:val="00957F55"/>
    <w:rsid w:val="00957F73"/>
    <w:rsid w:val="00957FB1"/>
    <w:rsid w:val="00957FFD"/>
    <w:rsid w:val="00960009"/>
    <w:rsid w:val="009601A7"/>
    <w:rsid w:val="00960227"/>
    <w:rsid w:val="0096032E"/>
    <w:rsid w:val="00960365"/>
    <w:rsid w:val="0096036E"/>
    <w:rsid w:val="00960443"/>
    <w:rsid w:val="00960516"/>
    <w:rsid w:val="0096068E"/>
    <w:rsid w:val="0096076C"/>
    <w:rsid w:val="0096091A"/>
    <w:rsid w:val="009609A0"/>
    <w:rsid w:val="009609DA"/>
    <w:rsid w:val="00960A44"/>
    <w:rsid w:val="00960AEB"/>
    <w:rsid w:val="00960C7D"/>
    <w:rsid w:val="00960D8D"/>
    <w:rsid w:val="0096104E"/>
    <w:rsid w:val="0096106C"/>
    <w:rsid w:val="00961293"/>
    <w:rsid w:val="00961298"/>
    <w:rsid w:val="009613F8"/>
    <w:rsid w:val="00961455"/>
    <w:rsid w:val="0096148C"/>
    <w:rsid w:val="009614FD"/>
    <w:rsid w:val="009615C8"/>
    <w:rsid w:val="009616C4"/>
    <w:rsid w:val="009616F9"/>
    <w:rsid w:val="00961752"/>
    <w:rsid w:val="0096176E"/>
    <w:rsid w:val="00961786"/>
    <w:rsid w:val="009617CC"/>
    <w:rsid w:val="0096190A"/>
    <w:rsid w:val="00961B65"/>
    <w:rsid w:val="00961F4A"/>
    <w:rsid w:val="00961FE3"/>
    <w:rsid w:val="00962085"/>
    <w:rsid w:val="009620FD"/>
    <w:rsid w:val="00962245"/>
    <w:rsid w:val="009622CF"/>
    <w:rsid w:val="0096254E"/>
    <w:rsid w:val="00962703"/>
    <w:rsid w:val="00962751"/>
    <w:rsid w:val="009627B8"/>
    <w:rsid w:val="0096283B"/>
    <w:rsid w:val="00962AC6"/>
    <w:rsid w:val="00962BAB"/>
    <w:rsid w:val="00962D41"/>
    <w:rsid w:val="00962D89"/>
    <w:rsid w:val="00962DB4"/>
    <w:rsid w:val="00962EF8"/>
    <w:rsid w:val="009630A8"/>
    <w:rsid w:val="00963157"/>
    <w:rsid w:val="00963269"/>
    <w:rsid w:val="0096328C"/>
    <w:rsid w:val="00963673"/>
    <w:rsid w:val="0096386A"/>
    <w:rsid w:val="009638DF"/>
    <w:rsid w:val="00963938"/>
    <w:rsid w:val="009639FD"/>
    <w:rsid w:val="00963AED"/>
    <w:rsid w:val="00963C89"/>
    <w:rsid w:val="00963DA5"/>
    <w:rsid w:val="00963E63"/>
    <w:rsid w:val="00963EDE"/>
    <w:rsid w:val="0096410A"/>
    <w:rsid w:val="00964140"/>
    <w:rsid w:val="0096420C"/>
    <w:rsid w:val="00964264"/>
    <w:rsid w:val="00964270"/>
    <w:rsid w:val="009643E0"/>
    <w:rsid w:val="009644D8"/>
    <w:rsid w:val="00964632"/>
    <w:rsid w:val="009646E2"/>
    <w:rsid w:val="00964863"/>
    <w:rsid w:val="00964B3E"/>
    <w:rsid w:val="00964B8F"/>
    <w:rsid w:val="00964C0A"/>
    <w:rsid w:val="00964C85"/>
    <w:rsid w:val="00964E0A"/>
    <w:rsid w:val="00964E64"/>
    <w:rsid w:val="00964FE2"/>
    <w:rsid w:val="0096511A"/>
    <w:rsid w:val="0096512C"/>
    <w:rsid w:val="009652A1"/>
    <w:rsid w:val="009652C1"/>
    <w:rsid w:val="00965424"/>
    <w:rsid w:val="00965558"/>
    <w:rsid w:val="00965670"/>
    <w:rsid w:val="00965699"/>
    <w:rsid w:val="00965729"/>
    <w:rsid w:val="0096577E"/>
    <w:rsid w:val="00965943"/>
    <w:rsid w:val="009659B4"/>
    <w:rsid w:val="00965A19"/>
    <w:rsid w:val="00965B76"/>
    <w:rsid w:val="00965F42"/>
    <w:rsid w:val="00965F53"/>
    <w:rsid w:val="00965FDA"/>
    <w:rsid w:val="00965FF9"/>
    <w:rsid w:val="0096601C"/>
    <w:rsid w:val="00966129"/>
    <w:rsid w:val="009664EE"/>
    <w:rsid w:val="00966692"/>
    <w:rsid w:val="00966708"/>
    <w:rsid w:val="00966887"/>
    <w:rsid w:val="0096693B"/>
    <w:rsid w:val="009669C3"/>
    <w:rsid w:val="00966A05"/>
    <w:rsid w:val="00966A66"/>
    <w:rsid w:val="00966A6D"/>
    <w:rsid w:val="00966A7E"/>
    <w:rsid w:val="00966AD5"/>
    <w:rsid w:val="00966AFB"/>
    <w:rsid w:val="00966C37"/>
    <w:rsid w:val="00966CF5"/>
    <w:rsid w:val="00966DAB"/>
    <w:rsid w:val="00966E58"/>
    <w:rsid w:val="0096703A"/>
    <w:rsid w:val="009670D1"/>
    <w:rsid w:val="00967122"/>
    <w:rsid w:val="009671C5"/>
    <w:rsid w:val="00967345"/>
    <w:rsid w:val="009674E9"/>
    <w:rsid w:val="009675D7"/>
    <w:rsid w:val="00967695"/>
    <w:rsid w:val="009676D0"/>
    <w:rsid w:val="0096779B"/>
    <w:rsid w:val="009677A1"/>
    <w:rsid w:val="009679FE"/>
    <w:rsid w:val="00967A81"/>
    <w:rsid w:val="00967B71"/>
    <w:rsid w:val="00967C0D"/>
    <w:rsid w:val="00967D53"/>
    <w:rsid w:val="00967DD5"/>
    <w:rsid w:val="00967E06"/>
    <w:rsid w:val="00967E13"/>
    <w:rsid w:val="00967E1B"/>
    <w:rsid w:val="00967E8B"/>
    <w:rsid w:val="009700F5"/>
    <w:rsid w:val="00970111"/>
    <w:rsid w:val="0097029E"/>
    <w:rsid w:val="009703D4"/>
    <w:rsid w:val="00970694"/>
    <w:rsid w:val="009706FE"/>
    <w:rsid w:val="0097094A"/>
    <w:rsid w:val="0097094B"/>
    <w:rsid w:val="00970C51"/>
    <w:rsid w:val="00970D00"/>
    <w:rsid w:val="00970DDF"/>
    <w:rsid w:val="0097103C"/>
    <w:rsid w:val="00971087"/>
    <w:rsid w:val="00971185"/>
    <w:rsid w:val="009713DB"/>
    <w:rsid w:val="009715D7"/>
    <w:rsid w:val="009716EF"/>
    <w:rsid w:val="0097187D"/>
    <w:rsid w:val="00971AFA"/>
    <w:rsid w:val="00971B96"/>
    <w:rsid w:val="00971BB6"/>
    <w:rsid w:val="00971CCE"/>
    <w:rsid w:val="00971E20"/>
    <w:rsid w:val="00971FAA"/>
    <w:rsid w:val="009720F2"/>
    <w:rsid w:val="00972139"/>
    <w:rsid w:val="00972201"/>
    <w:rsid w:val="00972260"/>
    <w:rsid w:val="0097231E"/>
    <w:rsid w:val="009723AF"/>
    <w:rsid w:val="00972415"/>
    <w:rsid w:val="009724D3"/>
    <w:rsid w:val="0097258D"/>
    <w:rsid w:val="0097269C"/>
    <w:rsid w:val="009726A1"/>
    <w:rsid w:val="0097283A"/>
    <w:rsid w:val="009729A0"/>
    <w:rsid w:val="00972B6E"/>
    <w:rsid w:val="00972DC7"/>
    <w:rsid w:val="00972FD8"/>
    <w:rsid w:val="0097306B"/>
    <w:rsid w:val="0097316E"/>
    <w:rsid w:val="00973327"/>
    <w:rsid w:val="009733E0"/>
    <w:rsid w:val="009733EE"/>
    <w:rsid w:val="00973641"/>
    <w:rsid w:val="00973844"/>
    <w:rsid w:val="00973BD1"/>
    <w:rsid w:val="00973CAC"/>
    <w:rsid w:val="00973E1B"/>
    <w:rsid w:val="00973EEE"/>
    <w:rsid w:val="00974016"/>
    <w:rsid w:val="00974097"/>
    <w:rsid w:val="009740E6"/>
    <w:rsid w:val="009741B6"/>
    <w:rsid w:val="0097432C"/>
    <w:rsid w:val="00974365"/>
    <w:rsid w:val="009743A3"/>
    <w:rsid w:val="0097455C"/>
    <w:rsid w:val="009745E9"/>
    <w:rsid w:val="00974762"/>
    <w:rsid w:val="0097497A"/>
    <w:rsid w:val="00974BED"/>
    <w:rsid w:val="00974C43"/>
    <w:rsid w:val="00974CAE"/>
    <w:rsid w:val="00974ECD"/>
    <w:rsid w:val="00974F42"/>
    <w:rsid w:val="00975361"/>
    <w:rsid w:val="00975497"/>
    <w:rsid w:val="009754C8"/>
    <w:rsid w:val="009754FC"/>
    <w:rsid w:val="00975505"/>
    <w:rsid w:val="0097559C"/>
    <w:rsid w:val="0097566B"/>
    <w:rsid w:val="0097566C"/>
    <w:rsid w:val="00975840"/>
    <w:rsid w:val="00975907"/>
    <w:rsid w:val="009759B9"/>
    <w:rsid w:val="009759D2"/>
    <w:rsid w:val="00975B92"/>
    <w:rsid w:val="00975C90"/>
    <w:rsid w:val="00975D54"/>
    <w:rsid w:val="00975E5A"/>
    <w:rsid w:val="00975E60"/>
    <w:rsid w:val="009760E9"/>
    <w:rsid w:val="009761BC"/>
    <w:rsid w:val="00976218"/>
    <w:rsid w:val="009763E9"/>
    <w:rsid w:val="0097670A"/>
    <w:rsid w:val="0097678A"/>
    <w:rsid w:val="009767D8"/>
    <w:rsid w:val="009767EA"/>
    <w:rsid w:val="0097689D"/>
    <w:rsid w:val="009769B9"/>
    <w:rsid w:val="00976B2F"/>
    <w:rsid w:val="00976D42"/>
    <w:rsid w:val="00976F5B"/>
    <w:rsid w:val="00976FFC"/>
    <w:rsid w:val="0097705C"/>
    <w:rsid w:val="009771AD"/>
    <w:rsid w:val="00977335"/>
    <w:rsid w:val="00977452"/>
    <w:rsid w:val="00977506"/>
    <w:rsid w:val="009775CF"/>
    <w:rsid w:val="00977710"/>
    <w:rsid w:val="00977752"/>
    <w:rsid w:val="009778C6"/>
    <w:rsid w:val="00977903"/>
    <w:rsid w:val="00977953"/>
    <w:rsid w:val="00977A8E"/>
    <w:rsid w:val="00977DA1"/>
    <w:rsid w:val="00977E5A"/>
    <w:rsid w:val="00977F9C"/>
    <w:rsid w:val="00977FA0"/>
    <w:rsid w:val="00980034"/>
    <w:rsid w:val="00980061"/>
    <w:rsid w:val="0098032B"/>
    <w:rsid w:val="009806C2"/>
    <w:rsid w:val="009808D2"/>
    <w:rsid w:val="0098094D"/>
    <w:rsid w:val="0098098D"/>
    <w:rsid w:val="00980A3C"/>
    <w:rsid w:val="00980AE3"/>
    <w:rsid w:val="00980BFD"/>
    <w:rsid w:val="00980C2B"/>
    <w:rsid w:val="00980C3C"/>
    <w:rsid w:val="00980C6F"/>
    <w:rsid w:val="00980E59"/>
    <w:rsid w:val="00981024"/>
    <w:rsid w:val="0098153C"/>
    <w:rsid w:val="009815CB"/>
    <w:rsid w:val="00981702"/>
    <w:rsid w:val="0098181E"/>
    <w:rsid w:val="0098185E"/>
    <w:rsid w:val="00981C7D"/>
    <w:rsid w:val="00981CD0"/>
    <w:rsid w:val="00982025"/>
    <w:rsid w:val="00982066"/>
    <w:rsid w:val="00982196"/>
    <w:rsid w:val="00982376"/>
    <w:rsid w:val="009823A7"/>
    <w:rsid w:val="009823F5"/>
    <w:rsid w:val="00982453"/>
    <w:rsid w:val="0098251B"/>
    <w:rsid w:val="00982577"/>
    <w:rsid w:val="00982775"/>
    <w:rsid w:val="009827D8"/>
    <w:rsid w:val="00982883"/>
    <w:rsid w:val="00982A33"/>
    <w:rsid w:val="00982AB6"/>
    <w:rsid w:val="00982AFF"/>
    <w:rsid w:val="00982BBC"/>
    <w:rsid w:val="00982BDF"/>
    <w:rsid w:val="00982CAB"/>
    <w:rsid w:val="00982D76"/>
    <w:rsid w:val="00982F43"/>
    <w:rsid w:val="009831A7"/>
    <w:rsid w:val="009832AC"/>
    <w:rsid w:val="00983491"/>
    <w:rsid w:val="0098376B"/>
    <w:rsid w:val="009837FF"/>
    <w:rsid w:val="0098393D"/>
    <w:rsid w:val="00983B0D"/>
    <w:rsid w:val="00983C97"/>
    <w:rsid w:val="00983DBB"/>
    <w:rsid w:val="00983FE9"/>
    <w:rsid w:val="00983FEB"/>
    <w:rsid w:val="0098400D"/>
    <w:rsid w:val="0098416E"/>
    <w:rsid w:val="0098427D"/>
    <w:rsid w:val="0098457C"/>
    <w:rsid w:val="00984582"/>
    <w:rsid w:val="00984595"/>
    <w:rsid w:val="0098473C"/>
    <w:rsid w:val="009848E8"/>
    <w:rsid w:val="0098492A"/>
    <w:rsid w:val="00984A47"/>
    <w:rsid w:val="00984AA8"/>
    <w:rsid w:val="00984C18"/>
    <w:rsid w:val="00984C33"/>
    <w:rsid w:val="00984DD9"/>
    <w:rsid w:val="00984DEC"/>
    <w:rsid w:val="00984E3E"/>
    <w:rsid w:val="00984E46"/>
    <w:rsid w:val="00984F10"/>
    <w:rsid w:val="00984FB5"/>
    <w:rsid w:val="0098503F"/>
    <w:rsid w:val="00985103"/>
    <w:rsid w:val="009852A5"/>
    <w:rsid w:val="009853D1"/>
    <w:rsid w:val="0098542B"/>
    <w:rsid w:val="009854C5"/>
    <w:rsid w:val="00985552"/>
    <w:rsid w:val="009855D8"/>
    <w:rsid w:val="00985A4B"/>
    <w:rsid w:val="00985AB2"/>
    <w:rsid w:val="00985BA2"/>
    <w:rsid w:val="00985C06"/>
    <w:rsid w:val="00985DE3"/>
    <w:rsid w:val="00985DF2"/>
    <w:rsid w:val="00985E55"/>
    <w:rsid w:val="009861FE"/>
    <w:rsid w:val="009862A0"/>
    <w:rsid w:val="009864A5"/>
    <w:rsid w:val="00986517"/>
    <w:rsid w:val="00986534"/>
    <w:rsid w:val="0098655B"/>
    <w:rsid w:val="009867D8"/>
    <w:rsid w:val="00986800"/>
    <w:rsid w:val="00986817"/>
    <w:rsid w:val="009868D9"/>
    <w:rsid w:val="009869BF"/>
    <w:rsid w:val="00986A35"/>
    <w:rsid w:val="00986B28"/>
    <w:rsid w:val="00986B38"/>
    <w:rsid w:val="00986BEE"/>
    <w:rsid w:val="00986DB1"/>
    <w:rsid w:val="00986DD3"/>
    <w:rsid w:val="00986F51"/>
    <w:rsid w:val="00987146"/>
    <w:rsid w:val="009871AA"/>
    <w:rsid w:val="009871DD"/>
    <w:rsid w:val="0098722D"/>
    <w:rsid w:val="009872AC"/>
    <w:rsid w:val="00987300"/>
    <w:rsid w:val="009873CF"/>
    <w:rsid w:val="009875F7"/>
    <w:rsid w:val="00987689"/>
    <w:rsid w:val="0098789C"/>
    <w:rsid w:val="009878C8"/>
    <w:rsid w:val="009878F5"/>
    <w:rsid w:val="00987908"/>
    <w:rsid w:val="00987924"/>
    <w:rsid w:val="0098794F"/>
    <w:rsid w:val="009879CC"/>
    <w:rsid w:val="00987A61"/>
    <w:rsid w:val="00987B82"/>
    <w:rsid w:val="00987C32"/>
    <w:rsid w:val="00987D42"/>
    <w:rsid w:val="00987DA4"/>
    <w:rsid w:val="00987ECC"/>
    <w:rsid w:val="00987F6B"/>
    <w:rsid w:val="0098DAD5"/>
    <w:rsid w:val="0099003F"/>
    <w:rsid w:val="009902A0"/>
    <w:rsid w:val="00990401"/>
    <w:rsid w:val="00990474"/>
    <w:rsid w:val="009905AC"/>
    <w:rsid w:val="00990841"/>
    <w:rsid w:val="009908F1"/>
    <w:rsid w:val="00990A2C"/>
    <w:rsid w:val="00990A38"/>
    <w:rsid w:val="00990BE5"/>
    <w:rsid w:val="00990C2F"/>
    <w:rsid w:val="00990D8D"/>
    <w:rsid w:val="00990EBD"/>
    <w:rsid w:val="00990F31"/>
    <w:rsid w:val="009910F1"/>
    <w:rsid w:val="009911A9"/>
    <w:rsid w:val="009911CC"/>
    <w:rsid w:val="00991268"/>
    <w:rsid w:val="0099128A"/>
    <w:rsid w:val="0099135B"/>
    <w:rsid w:val="0099136E"/>
    <w:rsid w:val="0099157A"/>
    <w:rsid w:val="009915B9"/>
    <w:rsid w:val="009916A1"/>
    <w:rsid w:val="00991764"/>
    <w:rsid w:val="00991B8D"/>
    <w:rsid w:val="00991BB3"/>
    <w:rsid w:val="00991C71"/>
    <w:rsid w:val="00991E71"/>
    <w:rsid w:val="00991F20"/>
    <w:rsid w:val="009921C7"/>
    <w:rsid w:val="00992317"/>
    <w:rsid w:val="00992585"/>
    <w:rsid w:val="009927CC"/>
    <w:rsid w:val="00992800"/>
    <w:rsid w:val="00992886"/>
    <w:rsid w:val="009928C4"/>
    <w:rsid w:val="009929B8"/>
    <w:rsid w:val="009929D7"/>
    <w:rsid w:val="00992B44"/>
    <w:rsid w:val="00992C74"/>
    <w:rsid w:val="00992F89"/>
    <w:rsid w:val="00992FED"/>
    <w:rsid w:val="00993045"/>
    <w:rsid w:val="00993182"/>
    <w:rsid w:val="00993258"/>
    <w:rsid w:val="00993294"/>
    <w:rsid w:val="00993369"/>
    <w:rsid w:val="009933DC"/>
    <w:rsid w:val="0099353F"/>
    <w:rsid w:val="0099365E"/>
    <w:rsid w:val="0099367E"/>
    <w:rsid w:val="00993944"/>
    <w:rsid w:val="00993AD9"/>
    <w:rsid w:val="00993E7E"/>
    <w:rsid w:val="00993F45"/>
    <w:rsid w:val="00993F67"/>
    <w:rsid w:val="00993FEC"/>
    <w:rsid w:val="00994023"/>
    <w:rsid w:val="009943AC"/>
    <w:rsid w:val="00994579"/>
    <w:rsid w:val="009946A8"/>
    <w:rsid w:val="009946E9"/>
    <w:rsid w:val="0099472D"/>
    <w:rsid w:val="009947BD"/>
    <w:rsid w:val="009947D5"/>
    <w:rsid w:val="009947EE"/>
    <w:rsid w:val="00994830"/>
    <w:rsid w:val="00994840"/>
    <w:rsid w:val="009948DD"/>
    <w:rsid w:val="0099490A"/>
    <w:rsid w:val="00994A06"/>
    <w:rsid w:val="00994A8B"/>
    <w:rsid w:val="00994AE3"/>
    <w:rsid w:val="00994B8F"/>
    <w:rsid w:val="00994BA9"/>
    <w:rsid w:val="00994BCA"/>
    <w:rsid w:val="00994E1D"/>
    <w:rsid w:val="00995015"/>
    <w:rsid w:val="0099522D"/>
    <w:rsid w:val="00995608"/>
    <w:rsid w:val="0099570B"/>
    <w:rsid w:val="0099570C"/>
    <w:rsid w:val="00995779"/>
    <w:rsid w:val="009957B1"/>
    <w:rsid w:val="00995822"/>
    <w:rsid w:val="009958C0"/>
    <w:rsid w:val="009958D2"/>
    <w:rsid w:val="009959FE"/>
    <w:rsid w:val="00995B13"/>
    <w:rsid w:val="00995B31"/>
    <w:rsid w:val="00995B8C"/>
    <w:rsid w:val="00995D12"/>
    <w:rsid w:val="00995DFE"/>
    <w:rsid w:val="009960BA"/>
    <w:rsid w:val="00996113"/>
    <w:rsid w:val="00996231"/>
    <w:rsid w:val="009962F1"/>
    <w:rsid w:val="009964FF"/>
    <w:rsid w:val="00996537"/>
    <w:rsid w:val="009967E4"/>
    <w:rsid w:val="00996846"/>
    <w:rsid w:val="009968D3"/>
    <w:rsid w:val="00996A1C"/>
    <w:rsid w:val="00996AEC"/>
    <w:rsid w:val="00996B0E"/>
    <w:rsid w:val="00996FC9"/>
    <w:rsid w:val="00996FCC"/>
    <w:rsid w:val="00997197"/>
    <w:rsid w:val="009971BB"/>
    <w:rsid w:val="009971F4"/>
    <w:rsid w:val="009974EE"/>
    <w:rsid w:val="00997807"/>
    <w:rsid w:val="00997959"/>
    <w:rsid w:val="009979E4"/>
    <w:rsid w:val="00997BD8"/>
    <w:rsid w:val="00997D92"/>
    <w:rsid w:val="00997D99"/>
    <w:rsid w:val="00997E57"/>
    <w:rsid w:val="009A002F"/>
    <w:rsid w:val="009A00E3"/>
    <w:rsid w:val="009A045F"/>
    <w:rsid w:val="009A0557"/>
    <w:rsid w:val="009A06F0"/>
    <w:rsid w:val="009A072A"/>
    <w:rsid w:val="009A0D4C"/>
    <w:rsid w:val="009A0DCF"/>
    <w:rsid w:val="009A1054"/>
    <w:rsid w:val="009A153B"/>
    <w:rsid w:val="009A1819"/>
    <w:rsid w:val="009A1823"/>
    <w:rsid w:val="009A1958"/>
    <w:rsid w:val="009A19DE"/>
    <w:rsid w:val="009A1B13"/>
    <w:rsid w:val="009A1B5F"/>
    <w:rsid w:val="009A1B72"/>
    <w:rsid w:val="009A1B74"/>
    <w:rsid w:val="009A1CA5"/>
    <w:rsid w:val="009A1DEF"/>
    <w:rsid w:val="009A1EB2"/>
    <w:rsid w:val="009A1EBB"/>
    <w:rsid w:val="009A1F3C"/>
    <w:rsid w:val="009A1FCB"/>
    <w:rsid w:val="009A1FED"/>
    <w:rsid w:val="009A2129"/>
    <w:rsid w:val="009A2197"/>
    <w:rsid w:val="009A2274"/>
    <w:rsid w:val="009A22FE"/>
    <w:rsid w:val="009A240A"/>
    <w:rsid w:val="009A250C"/>
    <w:rsid w:val="009A2514"/>
    <w:rsid w:val="009A261B"/>
    <w:rsid w:val="009A265B"/>
    <w:rsid w:val="009A2878"/>
    <w:rsid w:val="009A28CF"/>
    <w:rsid w:val="009A2902"/>
    <w:rsid w:val="009A2A53"/>
    <w:rsid w:val="009A2D36"/>
    <w:rsid w:val="009A3092"/>
    <w:rsid w:val="009A31A5"/>
    <w:rsid w:val="009A325C"/>
    <w:rsid w:val="009A355D"/>
    <w:rsid w:val="009A35B3"/>
    <w:rsid w:val="009A3692"/>
    <w:rsid w:val="009A36BD"/>
    <w:rsid w:val="009A36C1"/>
    <w:rsid w:val="009A3A25"/>
    <w:rsid w:val="009A3E75"/>
    <w:rsid w:val="009A3F54"/>
    <w:rsid w:val="009A4085"/>
    <w:rsid w:val="009A409E"/>
    <w:rsid w:val="009A41DD"/>
    <w:rsid w:val="009A4207"/>
    <w:rsid w:val="009A4598"/>
    <w:rsid w:val="009A46B0"/>
    <w:rsid w:val="009A47C3"/>
    <w:rsid w:val="009A483E"/>
    <w:rsid w:val="009A48AB"/>
    <w:rsid w:val="009A4B42"/>
    <w:rsid w:val="009A4BBC"/>
    <w:rsid w:val="009A4C95"/>
    <w:rsid w:val="009A4DE7"/>
    <w:rsid w:val="009A55EA"/>
    <w:rsid w:val="009A5625"/>
    <w:rsid w:val="009A586B"/>
    <w:rsid w:val="009A588C"/>
    <w:rsid w:val="009A5C01"/>
    <w:rsid w:val="009A5D6F"/>
    <w:rsid w:val="009A5F2B"/>
    <w:rsid w:val="009A60D8"/>
    <w:rsid w:val="009A61B6"/>
    <w:rsid w:val="009A6296"/>
    <w:rsid w:val="009A62FA"/>
    <w:rsid w:val="009A6475"/>
    <w:rsid w:val="009A668B"/>
    <w:rsid w:val="009A66C8"/>
    <w:rsid w:val="009A66E8"/>
    <w:rsid w:val="009A6704"/>
    <w:rsid w:val="009A6729"/>
    <w:rsid w:val="009A673A"/>
    <w:rsid w:val="009A6781"/>
    <w:rsid w:val="009A6892"/>
    <w:rsid w:val="009A68EE"/>
    <w:rsid w:val="009A69FF"/>
    <w:rsid w:val="009A6AB6"/>
    <w:rsid w:val="009A6BBE"/>
    <w:rsid w:val="009A6BBF"/>
    <w:rsid w:val="009A6F8D"/>
    <w:rsid w:val="009A6FAA"/>
    <w:rsid w:val="009A701E"/>
    <w:rsid w:val="009A71DC"/>
    <w:rsid w:val="009A743E"/>
    <w:rsid w:val="009A748D"/>
    <w:rsid w:val="009A75EC"/>
    <w:rsid w:val="009A79EF"/>
    <w:rsid w:val="009A7A1F"/>
    <w:rsid w:val="009A7A7E"/>
    <w:rsid w:val="009A7B60"/>
    <w:rsid w:val="009A7CE8"/>
    <w:rsid w:val="009A7D43"/>
    <w:rsid w:val="009A7D63"/>
    <w:rsid w:val="009A7E2B"/>
    <w:rsid w:val="009A7EB0"/>
    <w:rsid w:val="009A7F02"/>
    <w:rsid w:val="009B0021"/>
    <w:rsid w:val="009B0071"/>
    <w:rsid w:val="009B00BA"/>
    <w:rsid w:val="009B01E4"/>
    <w:rsid w:val="009B031A"/>
    <w:rsid w:val="009B03EE"/>
    <w:rsid w:val="009B0688"/>
    <w:rsid w:val="009B07E0"/>
    <w:rsid w:val="009B0891"/>
    <w:rsid w:val="009B0991"/>
    <w:rsid w:val="009B09E6"/>
    <w:rsid w:val="009B0BDB"/>
    <w:rsid w:val="009B0DBE"/>
    <w:rsid w:val="009B0E5A"/>
    <w:rsid w:val="009B0FE0"/>
    <w:rsid w:val="009B0FE7"/>
    <w:rsid w:val="009B1033"/>
    <w:rsid w:val="009B10A5"/>
    <w:rsid w:val="009B11A3"/>
    <w:rsid w:val="009B12A6"/>
    <w:rsid w:val="009B1387"/>
    <w:rsid w:val="009B1556"/>
    <w:rsid w:val="009B155F"/>
    <w:rsid w:val="009B15A4"/>
    <w:rsid w:val="009B15A8"/>
    <w:rsid w:val="009B163E"/>
    <w:rsid w:val="009B1848"/>
    <w:rsid w:val="009B18B7"/>
    <w:rsid w:val="009B1A33"/>
    <w:rsid w:val="009B1A4E"/>
    <w:rsid w:val="009B1B8C"/>
    <w:rsid w:val="009B1BBF"/>
    <w:rsid w:val="009B1D24"/>
    <w:rsid w:val="009B1D6E"/>
    <w:rsid w:val="009B1F5C"/>
    <w:rsid w:val="009B1FEC"/>
    <w:rsid w:val="009B206F"/>
    <w:rsid w:val="009B2133"/>
    <w:rsid w:val="009B213C"/>
    <w:rsid w:val="009B2236"/>
    <w:rsid w:val="009B22DF"/>
    <w:rsid w:val="009B23C8"/>
    <w:rsid w:val="009B2521"/>
    <w:rsid w:val="009B2569"/>
    <w:rsid w:val="009B25B4"/>
    <w:rsid w:val="009B266F"/>
    <w:rsid w:val="009B2802"/>
    <w:rsid w:val="009B2893"/>
    <w:rsid w:val="009B2B59"/>
    <w:rsid w:val="009B2C0B"/>
    <w:rsid w:val="009B2CB4"/>
    <w:rsid w:val="009B2D02"/>
    <w:rsid w:val="009B2D31"/>
    <w:rsid w:val="009B2D97"/>
    <w:rsid w:val="009B2F2D"/>
    <w:rsid w:val="009B2F3B"/>
    <w:rsid w:val="009B3054"/>
    <w:rsid w:val="009B30B9"/>
    <w:rsid w:val="009B3190"/>
    <w:rsid w:val="009B3192"/>
    <w:rsid w:val="009B3325"/>
    <w:rsid w:val="009B33E3"/>
    <w:rsid w:val="009B351D"/>
    <w:rsid w:val="009B3579"/>
    <w:rsid w:val="009B375F"/>
    <w:rsid w:val="009B378C"/>
    <w:rsid w:val="009B38C8"/>
    <w:rsid w:val="009B397A"/>
    <w:rsid w:val="009B39AD"/>
    <w:rsid w:val="009B3AB7"/>
    <w:rsid w:val="009B3D82"/>
    <w:rsid w:val="009B3F00"/>
    <w:rsid w:val="009B3F81"/>
    <w:rsid w:val="009B3FF9"/>
    <w:rsid w:val="009B4227"/>
    <w:rsid w:val="009B43A1"/>
    <w:rsid w:val="009B43A2"/>
    <w:rsid w:val="009B43C6"/>
    <w:rsid w:val="009B450B"/>
    <w:rsid w:val="009B4663"/>
    <w:rsid w:val="009B46C7"/>
    <w:rsid w:val="009B474D"/>
    <w:rsid w:val="009B476A"/>
    <w:rsid w:val="009B487C"/>
    <w:rsid w:val="009B4BF4"/>
    <w:rsid w:val="009B4C56"/>
    <w:rsid w:val="009B4CE5"/>
    <w:rsid w:val="009B4E00"/>
    <w:rsid w:val="009B501B"/>
    <w:rsid w:val="009B507B"/>
    <w:rsid w:val="009B509F"/>
    <w:rsid w:val="009B53FD"/>
    <w:rsid w:val="009B5774"/>
    <w:rsid w:val="009B58D1"/>
    <w:rsid w:val="009B59EE"/>
    <w:rsid w:val="009B5DD6"/>
    <w:rsid w:val="009B5E74"/>
    <w:rsid w:val="009B6124"/>
    <w:rsid w:val="009B6170"/>
    <w:rsid w:val="009B61B2"/>
    <w:rsid w:val="009B61F3"/>
    <w:rsid w:val="009B61F5"/>
    <w:rsid w:val="009B6227"/>
    <w:rsid w:val="009B623D"/>
    <w:rsid w:val="009B629C"/>
    <w:rsid w:val="009B6397"/>
    <w:rsid w:val="009B6484"/>
    <w:rsid w:val="009B651E"/>
    <w:rsid w:val="009B66C5"/>
    <w:rsid w:val="009B6AA5"/>
    <w:rsid w:val="009B6B82"/>
    <w:rsid w:val="009B6FB2"/>
    <w:rsid w:val="009B6FFA"/>
    <w:rsid w:val="009B70EB"/>
    <w:rsid w:val="009B7178"/>
    <w:rsid w:val="009B7237"/>
    <w:rsid w:val="009B7241"/>
    <w:rsid w:val="009B7254"/>
    <w:rsid w:val="009B7353"/>
    <w:rsid w:val="009B745F"/>
    <w:rsid w:val="009B7461"/>
    <w:rsid w:val="009B749F"/>
    <w:rsid w:val="009B75B2"/>
    <w:rsid w:val="009B772F"/>
    <w:rsid w:val="009B7832"/>
    <w:rsid w:val="009B7A0D"/>
    <w:rsid w:val="009B7BBB"/>
    <w:rsid w:val="009B7D4C"/>
    <w:rsid w:val="009C009E"/>
    <w:rsid w:val="009C0167"/>
    <w:rsid w:val="009C0173"/>
    <w:rsid w:val="009C0281"/>
    <w:rsid w:val="009C0409"/>
    <w:rsid w:val="009C06B4"/>
    <w:rsid w:val="009C079A"/>
    <w:rsid w:val="009C0AE9"/>
    <w:rsid w:val="009C0C8C"/>
    <w:rsid w:val="009C0CC1"/>
    <w:rsid w:val="009C0E53"/>
    <w:rsid w:val="009C1201"/>
    <w:rsid w:val="009C15AA"/>
    <w:rsid w:val="009C18F7"/>
    <w:rsid w:val="009C19AA"/>
    <w:rsid w:val="009C19BA"/>
    <w:rsid w:val="009C1A31"/>
    <w:rsid w:val="009C1BEC"/>
    <w:rsid w:val="009C1C48"/>
    <w:rsid w:val="009C1FEF"/>
    <w:rsid w:val="009C2233"/>
    <w:rsid w:val="009C25FC"/>
    <w:rsid w:val="009C281D"/>
    <w:rsid w:val="009C29A8"/>
    <w:rsid w:val="009C2AE8"/>
    <w:rsid w:val="009C2B2D"/>
    <w:rsid w:val="009C2BA2"/>
    <w:rsid w:val="009C2C22"/>
    <w:rsid w:val="009C2C67"/>
    <w:rsid w:val="009C2D2D"/>
    <w:rsid w:val="009C2D66"/>
    <w:rsid w:val="009C2E01"/>
    <w:rsid w:val="009C2EC1"/>
    <w:rsid w:val="009C2ED0"/>
    <w:rsid w:val="009C2F36"/>
    <w:rsid w:val="009C2F62"/>
    <w:rsid w:val="009C2FF6"/>
    <w:rsid w:val="009C30F8"/>
    <w:rsid w:val="009C340C"/>
    <w:rsid w:val="009C3437"/>
    <w:rsid w:val="009C3547"/>
    <w:rsid w:val="009C3A7F"/>
    <w:rsid w:val="009C3B8F"/>
    <w:rsid w:val="009C3BC7"/>
    <w:rsid w:val="009C3C16"/>
    <w:rsid w:val="009C3CE4"/>
    <w:rsid w:val="009C3D4C"/>
    <w:rsid w:val="009C3D97"/>
    <w:rsid w:val="009C3ED0"/>
    <w:rsid w:val="009C3F6B"/>
    <w:rsid w:val="009C40FF"/>
    <w:rsid w:val="009C41D6"/>
    <w:rsid w:val="009C41FF"/>
    <w:rsid w:val="009C429D"/>
    <w:rsid w:val="009C42CC"/>
    <w:rsid w:val="009C4349"/>
    <w:rsid w:val="009C434E"/>
    <w:rsid w:val="009C4379"/>
    <w:rsid w:val="009C4419"/>
    <w:rsid w:val="009C4724"/>
    <w:rsid w:val="009C4800"/>
    <w:rsid w:val="009C482B"/>
    <w:rsid w:val="009C48C0"/>
    <w:rsid w:val="009C48C6"/>
    <w:rsid w:val="009C4966"/>
    <w:rsid w:val="009C49A0"/>
    <w:rsid w:val="009C49EF"/>
    <w:rsid w:val="009C4AE6"/>
    <w:rsid w:val="009C4BAC"/>
    <w:rsid w:val="009C4C3E"/>
    <w:rsid w:val="009C4C7C"/>
    <w:rsid w:val="009C4C9E"/>
    <w:rsid w:val="009C4F1D"/>
    <w:rsid w:val="009C4FCD"/>
    <w:rsid w:val="009C50E3"/>
    <w:rsid w:val="009C512C"/>
    <w:rsid w:val="009C51E4"/>
    <w:rsid w:val="009C526D"/>
    <w:rsid w:val="009C5373"/>
    <w:rsid w:val="009C5463"/>
    <w:rsid w:val="009C5676"/>
    <w:rsid w:val="009C56D8"/>
    <w:rsid w:val="009C56F1"/>
    <w:rsid w:val="009C578D"/>
    <w:rsid w:val="009C5854"/>
    <w:rsid w:val="009C59A4"/>
    <w:rsid w:val="009C5A96"/>
    <w:rsid w:val="009C5CA6"/>
    <w:rsid w:val="009C5D4E"/>
    <w:rsid w:val="009C5FCC"/>
    <w:rsid w:val="009C5FD8"/>
    <w:rsid w:val="009C604F"/>
    <w:rsid w:val="009C60BD"/>
    <w:rsid w:val="009C60C9"/>
    <w:rsid w:val="009C6129"/>
    <w:rsid w:val="009C6151"/>
    <w:rsid w:val="009C6181"/>
    <w:rsid w:val="009C61D8"/>
    <w:rsid w:val="009C6319"/>
    <w:rsid w:val="009C63CC"/>
    <w:rsid w:val="009C6482"/>
    <w:rsid w:val="009C64DA"/>
    <w:rsid w:val="009C652A"/>
    <w:rsid w:val="009C66B1"/>
    <w:rsid w:val="009C66DD"/>
    <w:rsid w:val="009C66EB"/>
    <w:rsid w:val="009C6967"/>
    <w:rsid w:val="009C69AD"/>
    <w:rsid w:val="009C6BCD"/>
    <w:rsid w:val="009C6C8C"/>
    <w:rsid w:val="009C6EC4"/>
    <w:rsid w:val="009C6F7C"/>
    <w:rsid w:val="009C716E"/>
    <w:rsid w:val="009C71F0"/>
    <w:rsid w:val="009C7202"/>
    <w:rsid w:val="009C72D7"/>
    <w:rsid w:val="009C72F0"/>
    <w:rsid w:val="009C759A"/>
    <w:rsid w:val="009C75CE"/>
    <w:rsid w:val="009C76C9"/>
    <w:rsid w:val="009C790A"/>
    <w:rsid w:val="009C7B65"/>
    <w:rsid w:val="009C7B7A"/>
    <w:rsid w:val="009C7E1D"/>
    <w:rsid w:val="009D0061"/>
    <w:rsid w:val="009D0063"/>
    <w:rsid w:val="009D0109"/>
    <w:rsid w:val="009D01FF"/>
    <w:rsid w:val="009D02EA"/>
    <w:rsid w:val="009D03E9"/>
    <w:rsid w:val="009D073E"/>
    <w:rsid w:val="009D0913"/>
    <w:rsid w:val="009D096D"/>
    <w:rsid w:val="009D0A49"/>
    <w:rsid w:val="009D0CB7"/>
    <w:rsid w:val="009D0CC7"/>
    <w:rsid w:val="009D0DC6"/>
    <w:rsid w:val="009D0E7E"/>
    <w:rsid w:val="009D1372"/>
    <w:rsid w:val="009D1469"/>
    <w:rsid w:val="009D15F3"/>
    <w:rsid w:val="009D16AF"/>
    <w:rsid w:val="009D1709"/>
    <w:rsid w:val="009D18D3"/>
    <w:rsid w:val="009D1A44"/>
    <w:rsid w:val="009D1A5B"/>
    <w:rsid w:val="009D1A72"/>
    <w:rsid w:val="009D1C12"/>
    <w:rsid w:val="009D1CB1"/>
    <w:rsid w:val="009D1E6D"/>
    <w:rsid w:val="009D1F87"/>
    <w:rsid w:val="009D2000"/>
    <w:rsid w:val="009D22D4"/>
    <w:rsid w:val="009D248E"/>
    <w:rsid w:val="009D254B"/>
    <w:rsid w:val="009D2558"/>
    <w:rsid w:val="009D270E"/>
    <w:rsid w:val="009D2758"/>
    <w:rsid w:val="009D28FB"/>
    <w:rsid w:val="009D2918"/>
    <w:rsid w:val="009D2964"/>
    <w:rsid w:val="009D2CED"/>
    <w:rsid w:val="009D2E26"/>
    <w:rsid w:val="009D2F5C"/>
    <w:rsid w:val="009D3115"/>
    <w:rsid w:val="009D3131"/>
    <w:rsid w:val="009D3178"/>
    <w:rsid w:val="009D3349"/>
    <w:rsid w:val="009D34EA"/>
    <w:rsid w:val="009D3564"/>
    <w:rsid w:val="009D3567"/>
    <w:rsid w:val="009D3571"/>
    <w:rsid w:val="009D3601"/>
    <w:rsid w:val="009D365B"/>
    <w:rsid w:val="009D389E"/>
    <w:rsid w:val="009D38D9"/>
    <w:rsid w:val="009D39D3"/>
    <w:rsid w:val="009D3BA8"/>
    <w:rsid w:val="009D3CA9"/>
    <w:rsid w:val="009D3E56"/>
    <w:rsid w:val="009D4073"/>
    <w:rsid w:val="009D4092"/>
    <w:rsid w:val="009D4184"/>
    <w:rsid w:val="009D41F5"/>
    <w:rsid w:val="009D4322"/>
    <w:rsid w:val="009D451B"/>
    <w:rsid w:val="009D4546"/>
    <w:rsid w:val="009D45A6"/>
    <w:rsid w:val="009D47BE"/>
    <w:rsid w:val="009D49B7"/>
    <w:rsid w:val="009D4A8D"/>
    <w:rsid w:val="009D4AAA"/>
    <w:rsid w:val="009D4D50"/>
    <w:rsid w:val="009D4D8C"/>
    <w:rsid w:val="009D4DA6"/>
    <w:rsid w:val="009D4DCA"/>
    <w:rsid w:val="009D4E6B"/>
    <w:rsid w:val="009D4E7D"/>
    <w:rsid w:val="009D4EC2"/>
    <w:rsid w:val="009D5058"/>
    <w:rsid w:val="009D50B9"/>
    <w:rsid w:val="009D51AD"/>
    <w:rsid w:val="009D5203"/>
    <w:rsid w:val="009D5329"/>
    <w:rsid w:val="009D55D6"/>
    <w:rsid w:val="009D5634"/>
    <w:rsid w:val="009D5706"/>
    <w:rsid w:val="009D577F"/>
    <w:rsid w:val="009D588D"/>
    <w:rsid w:val="009D5A4C"/>
    <w:rsid w:val="009D5A56"/>
    <w:rsid w:val="009D5B51"/>
    <w:rsid w:val="009D5B94"/>
    <w:rsid w:val="009D5BE2"/>
    <w:rsid w:val="009D5BF5"/>
    <w:rsid w:val="009D5C8A"/>
    <w:rsid w:val="009D5D87"/>
    <w:rsid w:val="009D5EC1"/>
    <w:rsid w:val="009D60AC"/>
    <w:rsid w:val="009D60ED"/>
    <w:rsid w:val="009D617E"/>
    <w:rsid w:val="009D6511"/>
    <w:rsid w:val="009D6654"/>
    <w:rsid w:val="009D66F6"/>
    <w:rsid w:val="009D69C9"/>
    <w:rsid w:val="009D6B85"/>
    <w:rsid w:val="009D6D8E"/>
    <w:rsid w:val="009D6FB4"/>
    <w:rsid w:val="009D7030"/>
    <w:rsid w:val="009D72B8"/>
    <w:rsid w:val="009D7363"/>
    <w:rsid w:val="009D73EE"/>
    <w:rsid w:val="009D73F5"/>
    <w:rsid w:val="009D7798"/>
    <w:rsid w:val="009D78E6"/>
    <w:rsid w:val="009D7A9E"/>
    <w:rsid w:val="009D7B93"/>
    <w:rsid w:val="009D7BD0"/>
    <w:rsid w:val="009D7BD5"/>
    <w:rsid w:val="009D7BEE"/>
    <w:rsid w:val="009D7D6F"/>
    <w:rsid w:val="009D7DFD"/>
    <w:rsid w:val="009E004B"/>
    <w:rsid w:val="009E0140"/>
    <w:rsid w:val="009E01FB"/>
    <w:rsid w:val="009E065A"/>
    <w:rsid w:val="009E06A5"/>
    <w:rsid w:val="009E0710"/>
    <w:rsid w:val="009E0831"/>
    <w:rsid w:val="009E08FD"/>
    <w:rsid w:val="009E0961"/>
    <w:rsid w:val="009E0A3A"/>
    <w:rsid w:val="009E0C29"/>
    <w:rsid w:val="009E0F46"/>
    <w:rsid w:val="009E0F49"/>
    <w:rsid w:val="009E0FDB"/>
    <w:rsid w:val="009E1089"/>
    <w:rsid w:val="009E11B4"/>
    <w:rsid w:val="009E12FE"/>
    <w:rsid w:val="009E139A"/>
    <w:rsid w:val="009E13C4"/>
    <w:rsid w:val="009E148E"/>
    <w:rsid w:val="009E150D"/>
    <w:rsid w:val="009E1518"/>
    <w:rsid w:val="009E15E3"/>
    <w:rsid w:val="009E15FF"/>
    <w:rsid w:val="009E1738"/>
    <w:rsid w:val="009E1756"/>
    <w:rsid w:val="009E19BE"/>
    <w:rsid w:val="009E1AEF"/>
    <w:rsid w:val="009E1B46"/>
    <w:rsid w:val="009E1D8D"/>
    <w:rsid w:val="009E1E21"/>
    <w:rsid w:val="009E1EAD"/>
    <w:rsid w:val="009E1FF2"/>
    <w:rsid w:val="009E1FFA"/>
    <w:rsid w:val="009E200D"/>
    <w:rsid w:val="009E2071"/>
    <w:rsid w:val="009E2129"/>
    <w:rsid w:val="009E223E"/>
    <w:rsid w:val="009E2365"/>
    <w:rsid w:val="009E2464"/>
    <w:rsid w:val="009E246F"/>
    <w:rsid w:val="009E26EE"/>
    <w:rsid w:val="009E26EF"/>
    <w:rsid w:val="009E275F"/>
    <w:rsid w:val="009E2825"/>
    <w:rsid w:val="009E289F"/>
    <w:rsid w:val="009E2914"/>
    <w:rsid w:val="009E2985"/>
    <w:rsid w:val="009E2A5B"/>
    <w:rsid w:val="009E2AB2"/>
    <w:rsid w:val="009E2ABD"/>
    <w:rsid w:val="009E2B48"/>
    <w:rsid w:val="009E2BA5"/>
    <w:rsid w:val="009E2EE1"/>
    <w:rsid w:val="009E2EFE"/>
    <w:rsid w:val="009E2F67"/>
    <w:rsid w:val="009E34DF"/>
    <w:rsid w:val="009E3518"/>
    <w:rsid w:val="009E37A3"/>
    <w:rsid w:val="009E38A7"/>
    <w:rsid w:val="009E39FC"/>
    <w:rsid w:val="009E3BD0"/>
    <w:rsid w:val="009E3E2A"/>
    <w:rsid w:val="009E3F17"/>
    <w:rsid w:val="009E3F25"/>
    <w:rsid w:val="009E3F4E"/>
    <w:rsid w:val="009E41A2"/>
    <w:rsid w:val="009E4439"/>
    <w:rsid w:val="009E443D"/>
    <w:rsid w:val="009E45E2"/>
    <w:rsid w:val="009E470E"/>
    <w:rsid w:val="009E4970"/>
    <w:rsid w:val="009E4A00"/>
    <w:rsid w:val="009E4A6B"/>
    <w:rsid w:val="009E4A6F"/>
    <w:rsid w:val="009E4A8B"/>
    <w:rsid w:val="009E4AB4"/>
    <w:rsid w:val="009E4C5D"/>
    <w:rsid w:val="009E4E96"/>
    <w:rsid w:val="009E4ED9"/>
    <w:rsid w:val="009E5086"/>
    <w:rsid w:val="009E5146"/>
    <w:rsid w:val="009E54D5"/>
    <w:rsid w:val="009E551E"/>
    <w:rsid w:val="009E5580"/>
    <w:rsid w:val="009E558D"/>
    <w:rsid w:val="009E56DC"/>
    <w:rsid w:val="009E57F8"/>
    <w:rsid w:val="009E590B"/>
    <w:rsid w:val="009E5B9C"/>
    <w:rsid w:val="009E5C76"/>
    <w:rsid w:val="009E5D58"/>
    <w:rsid w:val="009E5F44"/>
    <w:rsid w:val="009E5F8D"/>
    <w:rsid w:val="009E6021"/>
    <w:rsid w:val="009E603F"/>
    <w:rsid w:val="009E60F9"/>
    <w:rsid w:val="009E61CD"/>
    <w:rsid w:val="009E6405"/>
    <w:rsid w:val="009E6456"/>
    <w:rsid w:val="009E6521"/>
    <w:rsid w:val="009E659E"/>
    <w:rsid w:val="009E6690"/>
    <w:rsid w:val="009E68D9"/>
    <w:rsid w:val="009E69DF"/>
    <w:rsid w:val="009E6ACC"/>
    <w:rsid w:val="009E6BDA"/>
    <w:rsid w:val="009E6C78"/>
    <w:rsid w:val="009E6E3C"/>
    <w:rsid w:val="009E6FBD"/>
    <w:rsid w:val="009E7076"/>
    <w:rsid w:val="009E70A5"/>
    <w:rsid w:val="009E7275"/>
    <w:rsid w:val="009E72FD"/>
    <w:rsid w:val="009E734A"/>
    <w:rsid w:val="009E7430"/>
    <w:rsid w:val="009E7568"/>
    <w:rsid w:val="009E785B"/>
    <w:rsid w:val="009E795D"/>
    <w:rsid w:val="009E7B15"/>
    <w:rsid w:val="009E7BAA"/>
    <w:rsid w:val="009E7EA6"/>
    <w:rsid w:val="009E7F12"/>
    <w:rsid w:val="009F04C1"/>
    <w:rsid w:val="009F0609"/>
    <w:rsid w:val="009F093B"/>
    <w:rsid w:val="009F0975"/>
    <w:rsid w:val="009F0976"/>
    <w:rsid w:val="009F0A65"/>
    <w:rsid w:val="009F0A66"/>
    <w:rsid w:val="009F0B1F"/>
    <w:rsid w:val="009F1111"/>
    <w:rsid w:val="009F12C6"/>
    <w:rsid w:val="009F12E1"/>
    <w:rsid w:val="009F12F1"/>
    <w:rsid w:val="009F13A3"/>
    <w:rsid w:val="009F1426"/>
    <w:rsid w:val="009F1522"/>
    <w:rsid w:val="009F17F2"/>
    <w:rsid w:val="009F1817"/>
    <w:rsid w:val="009F1825"/>
    <w:rsid w:val="009F1829"/>
    <w:rsid w:val="009F1B60"/>
    <w:rsid w:val="009F1BB4"/>
    <w:rsid w:val="009F1C0F"/>
    <w:rsid w:val="009F1D00"/>
    <w:rsid w:val="009F1D95"/>
    <w:rsid w:val="009F1E1B"/>
    <w:rsid w:val="009F1E2F"/>
    <w:rsid w:val="009F1FB0"/>
    <w:rsid w:val="009F2012"/>
    <w:rsid w:val="009F243D"/>
    <w:rsid w:val="009F267E"/>
    <w:rsid w:val="009F2698"/>
    <w:rsid w:val="009F27B6"/>
    <w:rsid w:val="009F27BC"/>
    <w:rsid w:val="009F27EA"/>
    <w:rsid w:val="009F2A31"/>
    <w:rsid w:val="009F2B71"/>
    <w:rsid w:val="009F2BFF"/>
    <w:rsid w:val="009F2F3A"/>
    <w:rsid w:val="009F2F7E"/>
    <w:rsid w:val="009F3046"/>
    <w:rsid w:val="009F3058"/>
    <w:rsid w:val="009F31CD"/>
    <w:rsid w:val="009F32A6"/>
    <w:rsid w:val="009F3458"/>
    <w:rsid w:val="009F3495"/>
    <w:rsid w:val="009F363A"/>
    <w:rsid w:val="009F3737"/>
    <w:rsid w:val="009F37A2"/>
    <w:rsid w:val="009F3908"/>
    <w:rsid w:val="009F3B61"/>
    <w:rsid w:val="009F3BAE"/>
    <w:rsid w:val="009F3D5C"/>
    <w:rsid w:val="009F3F93"/>
    <w:rsid w:val="009F42C3"/>
    <w:rsid w:val="009F439D"/>
    <w:rsid w:val="009F4439"/>
    <w:rsid w:val="009F4527"/>
    <w:rsid w:val="009F4534"/>
    <w:rsid w:val="009F475B"/>
    <w:rsid w:val="009F4762"/>
    <w:rsid w:val="009F47D3"/>
    <w:rsid w:val="009F4A42"/>
    <w:rsid w:val="009F4C16"/>
    <w:rsid w:val="009F4F62"/>
    <w:rsid w:val="009F5273"/>
    <w:rsid w:val="009F5494"/>
    <w:rsid w:val="009F55DB"/>
    <w:rsid w:val="009F56D4"/>
    <w:rsid w:val="009F57E2"/>
    <w:rsid w:val="009F58E8"/>
    <w:rsid w:val="009F599F"/>
    <w:rsid w:val="009F5B79"/>
    <w:rsid w:val="009F5BD4"/>
    <w:rsid w:val="009F5D66"/>
    <w:rsid w:val="009F5DAB"/>
    <w:rsid w:val="009F5E3A"/>
    <w:rsid w:val="009F5E81"/>
    <w:rsid w:val="009F5EC4"/>
    <w:rsid w:val="009F5F7A"/>
    <w:rsid w:val="009F62EE"/>
    <w:rsid w:val="009F6315"/>
    <w:rsid w:val="009F63CE"/>
    <w:rsid w:val="009F65BA"/>
    <w:rsid w:val="009F67CD"/>
    <w:rsid w:val="009F6885"/>
    <w:rsid w:val="009F68A4"/>
    <w:rsid w:val="009F69EA"/>
    <w:rsid w:val="009F6BD2"/>
    <w:rsid w:val="009F6D41"/>
    <w:rsid w:val="009F6D8F"/>
    <w:rsid w:val="009F6E0B"/>
    <w:rsid w:val="009F6EEF"/>
    <w:rsid w:val="009F7277"/>
    <w:rsid w:val="009F728A"/>
    <w:rsid w:val="009F72A2"/>
    <w:rsid w:val="009F744D"/>
    <w:rsid w:val="009F7A7B"/>
    <w:rsid w:val="009F7A86"/>
    <w:rsid w:val="009F7C4C"/>
    <w:rsid w:val="009F7D8F"/>
    <w:rsid w:val="009F7F84"/>
    <w:rsid w:val="00A00053"/>
    <w:rsid w:val="00A00096"/>
    <w:rsid w:val="00A00231"/>
    <w:rsid w:val="00A00270"/>
    <w:rsid w:val="00A002E8"/>
    <w:rsid w:val="00A00499"/>
    <w:rsid w:val="00A004E0"/>
    <w:rsid w:val="00A004FE"/>
    <w:rsid w:val="00A00569"/>
    <w:rsid w:val="00A005AF"/>
    <w:rsid w:val="00A0068E"/>
    <w:rsid w:val="00A006B8"/>
    <w:rsid w:val="00A006D6"/>
    <w:rsid w:val="00A00708"/>
    <w:rsid w:val="00A007B0"/>
    <w:rsid w:val="00A00813"/>
    <w:rsid w:val="00A008AB"/>
    <w:rsid w:val="00A00A17"/>
    <w:rsid w:val="00A00A8F"/>
    <w:rsid w:val="00A00ABF"/>
    <w:rsid w:val="00A00AC7"/>
    <w:rsid w:val="00A00CB7"/>
    <w:rsid w:val="00A00D5B"/>
    <w:rsid w:val="00A00D69"/>
    <w:rsid w:val="00A00D9D"/>
    <w:rsid w:val="00A00E48"/>
    <w:rsid w:val="00A01024"/>
    <w:rsid w:val="00A010DE"/>
    <w:rsid w:val="00A0116A"/>
    <w:rsid w:val="00A011EA"/>
    <w:rsid w:val="00A012AB"/>
    <w:rsid w:val="00A0134C"/>
    <w:rsid w:val="00A013AE"/>
    <w:rsid w:val="00A0146A"/>
    <w:rsid w:val="00A0149C"/>
    <w:rsid w:val="00A014C8"/>
    <w:rsid w:val="00A014ED"/>
    <w:rsid w:val="00A0162B"/>
    <w:rsid w:val="00A01689"/>
    <w:rsid w:val="00A016B0"/>
    <w:rsid w:val="00A016C9"/>
    <w:rsid w:val="00A01781"/>
    <w:rsid w:val="00A017C7"/>
    <w:rsid w:val="00A019F6"/>
    <w:rsid w:val="00A01BB6"/>
    <w:rsid w:val="00A01D3A"/>
    <w:rsid w:val="00A01D4F"/>
    <w:rsid w:val="00A01EE5"/>
    <w:rsid w:val="00A02030"/>
    <w:rsid w:val="00A02031"/>
    <w:rsid w:val="00A020B7"/>
    <w:rsid w:val="00A02233"/>
    <w:rsid w:val="00A022D9"/>
    <w:rsid w:val="00A02392"/>
    <w:rsid w:val="00A02400"/>
    <w:rsid w:val="00A02454"/>
    <w:rsid w:val="00A02584"/>
    <w:rsid w:val="00A02711"/>
    <w:rsid w:val="00A0290B"/>
    <w:rsid w:val="00A0290C"/>
    <w:rsid w:val="00A0296A"/>
    <w:rsid w:val="00A0298B"/>
    <w:rsid w:val="00A02A29"/>
    <w:rsid w:val="00A02A43"/>
    <w:rsid w:val="00A02B02"/>
    <w:rsid w:val="00A02B13"/>
    <w:rsid w:val="00A02C02"/>
    <w:rsid w:val="00A02C18"/>
    <w:rsid w:val="00A02CBD"/>
    <w:rsid w:val="00A02CC1"/>
    <w:rsid w:val="00A02DC5"/>
    <w:rsid w:val="00A02FF3"/>
    <w:rsid w:val="00A030C7"/>
    <w:rsid w:val="00A03176"/>
    <w:rsid w:val="00A031E6"/>
    <w:rsid w:val="00A032EF"/>
    <w:rsid w:val="00A0335E"/>
    <w:rsid w:val="00A033A4"/>
    <w:rsid w:val="00A033D6"/>
    <w:rsid w:val="00A0346F"/>
    <w:rsid w:val="00A03476"/>
    <w:rsid w:val="00A036BF"/>
    <w:rsid w:val="00A038DD"/>
    <w:rsid w:val="00A0394D"/>
    <w:rsid w:val="00A0395D"/>
    <w:rsid w:val="00A03B87"/>
    <w:rsid w:val="00A03DC5"/>
    <w:rsid w:val="00A03E4D"/>
    <w:rsid w:val="00A03E77"/>
    <w:rsid w:val="00A03F7D"/>
    <w:rsid w:val="00A04073"/>
    <w:rsid w:val="00A040F0"/>
    <w:rsid w:val="00A0410D"/>
    <w:rsid w:val="00A0427B"/>
    <w:rsid w:val="00A044A2"/>
    <w:rsid w:val="00A04664"/>
    <w:rsid w:val="00A0476C"/>
    <w:rsid w:val="00A047C8"/>
    <w:rsid w:val="00A04B6E"/>
    <w:rsid w:val="00A04CC3"/>
    <w:rsid w:val="00A04D23"/>
    <w:rsid w:val="00A05067"/>
    <w:rsid w:val="00A05087"/>
    <w:rsid w:val="00A053DA"/>
    <w:rsid w:val="00A0542F"/>
    <w:rsid w:val="00A05717"/>
    <w:rsid w:val="00A05771"/>
    <w:rsid w:val="00A057D0"/>
    <w:rsid w:val="00A05B46"/>
    <w:rsid w:val="00A05B84"/>
    <w:rsid w:val="00A05C7C"/>
    <w:rsid w:val="00A05F86"/>
    <w:rsid w:val="00A06006"/>
    <w:rsid w:val="00A060C4"/>
    <w:rsid w:val="00A060E1"/>
    <w:rsid w:val="00A06245"/>
    <w:rsid w:val="00A0629C"/>
    <w:rsid w:val="00A06590"/>
    <w:rsid w:val="00A06653"/>
    <w:rsid w:val="00A0678A"/>
    <w:rsid w:val="00A067C7"/>
    <w:rsid w:val="00A0696C"/>
    <w:rsid w:val="00A069A2"/>
    <w:rsid w:val="00A069B9"/>
    <w:rsid w:val="00A06A1E"/>
    <w:rsid w:val="00A06AB9"/>
    <w:rsid w:val="00A06B5B"/>
    <w:rsid w:val="00A06BFB"/>
    <w:rsid w:val="00A06C8B"/>
    <w:rsid w:val="00A070A5"/>
    <w:rsid w:val="00A07125"/>
    <w:rsid w:val="00A072D5"/>
    <w:rsid w:val="00A0752D"/>
    <w:rsid w:val="00A07540"/>
    <w:rsid w:val="00A0757D"/>
    <w:rsid w:val="00A07628"/>
    <w:rsid w:val="00A07710"/>
    <w:rsid w:val="00A0790E"/>
    <w:rsid w:val="00A07A31"/>
    <w:rsid w:val="00A07C3F"/>
    <w:rsid w:val="00A07CF2"/>
    <w:rsid w:val="00A07F66"/>
    <w:rsid w:val="00A10021"/>
    <w:rsid w:val="00A10237"/>
    <w:rsid w:val="00A103DC"/>
    <w:rsid w:val="00A10616"/>
    <w:rsid w:val="00A10664"/>
    <w:rsid w:val="00A106FD"/>
    <w:rsid w:val="00A10758"/>
    <w:rsid w:val="00A10977"/>
    <w:rsid w:val="00A10D27"/>
    <w:rsid w:val="00A10D81"/>
    <w:rsid w:val="00A10DBD"/>
    <w:rsid w:val="00A11092"/>
    <w:rsid w:val="00A11373"/>
    <w:rsid w:val="00A1138D"/>
    <w:rsid w:val="00A113C4"/>
    <w:rsid w:val="00A113C5"/>
    <w:rsid w:val="00A117DD"/>
    <w:rsid w:val="00A11870"/>
    <w:rsid w:val="00A11912"/>
    <w:rsid w:val="00A11951"/>
    <w:rsid w:val="00A11E60"/>
    <w:rsid w:val="00A12121"/>
    <w:rsid w:val="00A1214F"/>
    <w:rsid w:val="00A121D7"/>
    <w:rsid w:val="00A124C6"/>
    <w:rsid w:val="00A1290C"/>
    <w:rsid w:val="00A12AAB"/>
    <w:rsid w:val="00A12B07"/>
    <w:rsid w:val="00A12C17"/>
    <w:rsid w:val="00A12D27"/>
    <w:rsid w:val="00A12D59"/>
    <w:rsid w:val="00A1310C"/>
    <w:rsid w:val="00A131B6"/>
    <w:rsid w:val="00A131F3"/>
    <w:rsid w:val="00A13292"/>
    <w:rsid w:val="00A13307"/>
    <w:rsid w:val="00A134F3"/>
    <w:rsid w:val="00A1361A"/>
    <w:rsid w:val="00A1365B"/>
    <w:rsid w:val="00A138EC"/>
    <w:rsid w:val="00A139AF"/>
    <w:rsid w:val="00A13FD5"/>
    <w:rsid w:val="00A13FFC"/>
    <w:rsid w:val="00A14031"/>
    <w:rsid w:val="00A14094"/>
    <w:rsid w:val="00A140CF"/>
    <w:rsid w:val="00A145E3"/>
    <w:rsid w:val="00A145FE"/>
    <w:rsid w:val="00A14683"/>
    <w:rsid w:val="00A146B8"/>
    <w:rsid w:val="00A146C0"/>
    <w:rsid w:val="00A14918"/>
    <w:rsid w:val="00A14A0D"/>
    <w:rsid w:val="00A14A64"/>
    <w:rsid w:val="00A14B61"/>
    <w:rsid w:val="00A14B76"/>
    <w:rsid w:val="00A14D91"/>
    <w:rsid w:val="00A1518F"/>
    <w:rsid w:val="00A1524D"/>
    <w:rsid w:val="00A152CC"/>
    <w:rsid w:val="00A15435"/>
    <w:rsid w:val="00A1547D"/>
    <w:rsid w:val="00A154B8"/>
    <w:rsid w:val="00A15542"/>
    <w:rsid w:val="00A155A2"/>
    <w:rsid w:val="00A1560D"/>
    <w:rsid w:val="00A1566B"/>
    <w:rsid w:val="00A156D2"/>
    <w:rsid w:val="00A15940"/>
    <w:rsid w:val="00A15945"/>
    <w:rsid w:val="00A159A1"/>
    <w:rsid w:val="00A15B89"/>
    <w:rsid w:val="00A15D1D"/>
    <w:rsid w:val="00A16154"/>
    <w:rsid w:val="00A1616A"/>
    <w:rsid w:val="00A162A8"/>
    <w:rsid w:val="00A164D0"/>
    <w:rsid w:val="00A1661D"/>
    <w:rsid w:val="00A16BC3"/>
    <w:rsid w:val="00A16C48"/>
    <w:rsid w:val="00A16DBB"/>
    <w:rsid w:val="00A16E81"/>
    <w:rsid w:val="00A16E91"/>
    <w:rsid w:val="00A16F24"/>
    <w:rsid w:val="00A170D2"/>
    <w:rsid w:val="00A17133"/>
    <w:rsid w:val="00A1730E"/>
    <w:rsid w:val="00A17464"/>
    <w:rsid w:val="00A1751D"/>
    <w:rsid w:val="00A1752B"/>
    <w:rsid w:val="00A17547"/>
    <w:rsid w:val="00A17590"/>
    <w:rsid w:val="00A17633"/>
    <w:rsid w:val="00A17637"/>
    <w:rsid w:val="00A1763B"/>
    <w:rsid w:val="00A176AF"/>
    <w:rsid w:val="00A176E8"/>
    <w:rsid w:val="00A177FB"/>
    <w:rsid w:val="00A178B4"/>
    <w:rsid w:val="00A179DC"/>
    <w:rsid w:val="00A17A95"/>
    <w:rsid w:val="00A17C12"/>
    <w:rsid w:val="00A17C5A"/>
    <w:rsid w:val="00A17CA2"/>
    <w:rsid w:val="00A17CD9"/>
    <w:rsid w:val="00A17F86"/>
    <w:rsid w:val="00A17FA8"/>
    <w:rsid w:val="00A17FFD"/>
    <w:rsid w:val="00A2018A"/>
    <w:rsid w:val="00A201A7"/>
    <w:rsid w:val="00A20384"/>
    <w:rsid w:val="00A204C6"/>
    <w:rsid w:val="00A205C9"/>
    <w:rsid w:val="00A20652"/>
    <w:rsid w:val="00A20666"/>
    <w:rsid w:val="00A20749"/>
    <w:rsid w:val="00A2082D"/>
    <w:rsid w:val="00A20850"/>
    <w:rsid w:val="00A20B29"/>
    <w:rsid w:val="00A20CD3"/>
    <w:rsid w:val="00A20D46"/>
    <w:rsid w:val="00A20FBD"/>
    <w:rsid w:val="00A210BC"/>
    <w:rsid w:val="00A210F3"/>
    <w:rsid w:val="00A21476"/>
    <w:rsid w:val="00A214D8"/>
    <w:rsid w:val="00A215AF"/>
    <w:rsid w:val="00A216E5"/>
    <w:rsid w:val="00A21829"/>
    <w:rsid w:val="00A21898"/>
    <w:rsid w:val="00A21AD3"/>
    <w:rsid w:val="00A21F79"/>
    <w:rsid w:val="00A22068"/>
    <w:rsid w:val="00A223BA"/>
    <w:rsid w:val="00A22639"/>
    <w:rsid w:val="00A22723"/>
    <w:rsid w:val="00A22735"/>
    <w:rsid w:val="00A227DF"/>
    <w:rsid w:val="00A2289D"/>
    <w:rsid w:val="00A2289E"/>
    <w:rsid w:val="00A228A0"/>
    <w:rsid w:val="00A22B88"/>
    <w:rsid w:val="00A22C01"/>
    <w:rsid w:val="00A22D20"/>
    <w:rsid w:val="00A22D4A"/>
    <w:rsid w:val="00A22D8B"/>
    <w:rsid w:val="00A22D90"/>
    <w:rsid w:val="00A22DE4"/>
    <w:rsid w:val="00A22E19"/>
    <w:rsid w:val="00A22E47"/>
    <w:rsid w:val="00A22E77"/>
    <w:rsid w:val="00A23055"/>
    <w:rsid w:val="00A23176"/>
    <w:rsid w:val="00A231D8"/>
    <w:rsid w:val="00A2322C"/>
    <w:rsid w:val="00A23294"/>
    <w:rsid w:val="00A234BC"/>
    <w:rsid w:val="00A234E0"/>
    <w:rsid w:val="00A23544"/>
    <w:rsid w:val="00A23575"/>
    <w:rsid w:val="00A23605"/>
    <w:rsid w:val="00A2361B"/>
    <w:rsid w:val="00A23663"/>
    <w:rsid w:val="00A236CE"/>
    <w:rsid w:val="00A23707"/>
    <w:rsid w:val="00A23D66"/>
    <w:rsid w:val="00A23FEE"/>
    <w:rsid w:val="00A240A8"/>
    <w:rsid w:val="00A24102"/>
    <w:rsid w:val="00A24206"/>
    <w:rsid w:val="00A24254"/>
    <w:rsid w:val="00A2425A"/>
    <w:rsid w:val="00A243CD"/>
    <w:rsid w:val="00A24441"/>
    <w:rsid w:val="00A24489"/>
    <w:rsid w:val="00A244AC"/>
    <w:rsid w:val="00A244AD"/>
    <w:rsid w:val="00A2456E"/>
    <w:rsid w:val="00A24805"/>
    <w:rsid w:val="00A248B3"/>
    <w:rsid w:val="00A24949"/>
    <w:rsid w:val="00A24B7A"/>
    <w:rsid w:val="00A24C6C"/>
    <w:rsid w:val="00A24CF1"/>
    <w:rsid w:val="00A24DF9"/>
    <w:rsid w:val="00A24EBA"/>
    <w:rsid w:val="00A24F79"/>
    <w:rsid w:val="00A25010"/>
    <w:rsid w:val="00A25026"/>
    <w:rsid w:val="00A25054"/>
    <w:rsid w:val="00A250E1"/>
    <w:rsid w:val="00A25117"/>
    <w:rsid w:val="00A2518C"/>
    <w:rsid w:val="00A25414"/>
    <w:rsid w:val="00A254DD"/>
    <w:rsid w:val="00A25542"/>
    <w:rsid w:val="00A25AD2"/>
    <w:rsid w:val="00A25C02"/>
    <w:rsid w:val="00A25CE9"/>
    <w:rsid w:val="00A25DC9"/>
    <w:rsid w:val="00A25EBF"/>
    <w:rsid w:val="00A25F8E"/>
    <w:rsid w:val="00A2608F"/>
    <w:rsid w:val="00A2615C"/>
    <w:rsid w:val="00A26214"/>
    <w:rsid w:val="00A2668C"/>
    <w:rsid w:val="00A266FF"/>
    <w:rsid w:val="00A26770"/>
    <w:rsid w:val="00A26A64"/>
    <w:rsid w:val="00A26DA6"/>
    <w:rsid w:val="00A26F14"/>
    <w:rsid w:val="00A26F41"/>
    <w:rsid w:val="00A26FAB"/>
    <w:rsid w:val="00A27053"/>
    <w:rsid w:val="00A270EB"/>
    <w:rsid w:val="00A2715F"/>
    <w:rsid w:val="00A274E7"/>
    <w:rsid w:val="00A274F1"/>
    <w:rsid w:val="00A27557"/>
    <w:rsid w:val="00A276FF"/>
    <w:rsid w:val="00A27710"/>
    <w:rsid w:val="00A27800"/>
    <w:rsid w:val="00A279DA"/>
    <w:rsid w:val="00A27A8F"/>
    <w:rsid w:val="00A27B64"/>
    <w:rsid w:val="00A27C2B"/>
    <w:rsid w:val="00A27CAF"/>
    <w:rsid w:val="00A27F5E"/>
    <w:rsid w:val="00A3013E"/>
    <w:rsid w:val="00A301D1"/>
    <w:rsid w:val="00A30550"/>
    <w:rsid w:val="00A305D4"/>
    <w:rsid w:val="00A30785"/>
    <w:rsid w:val="00A307AB"/>
    <w:rsid w:val="00A30B20"/>
    <w:rsid w:val="00A30BF5"/>
    <w:rsid w:val="00A30E58"/>
    <w:rsid w:val="00A30F13"/>
    <w:rsid w:val="00A30FB0"/>
    <w:rsid w:val="00A3108B"/>
    <w:rsid w:val="00A310A2"/>
    <w:rsid w:val="00A3123E"/>
    <w:rsid w:val="00A313BF"/>
    <w:rsid w:val="00A3141E"/>
    <w:rsid w:val="00A314E1"/>
    <w:rsid w:val="00A315F7"/>
    <w:rsid w:val="00A3164D"/>
    <w:rsid w:val="00A316F4"/>
    <w:rsid w:val="00A316FE"/>
    <w:rsid w:val="00A31719"/>
    <w:rsid w:val="00A3173C"/>
    <w:rsid w:val="00A31833"/>
    <w:rsid w:val="00A31CB7"/>
    <w:rsid w:val="00A31E0C"/>
    <w:rsid w:val="00A31E3D"/>
    <w:rsid w:val="00A3203B"/>
    <w:rsid w:val="00A3233B"/>
    <w:rsid w:val="00A3250B"/>
    <w:rsid w:val="00A32581"/>
    <w:rsid w:val="00A32835"/>
    <w:rsid w:val="00A3294F"/>
    <w:rsid w:val="00A32A2E"/>
    <w:rsid w:val="00A32B29"/>
    <w:rsid w:val="00A32C86"/>
    <w:rsid w:val="00A32D8A"/>
    <w:rsid w:val="00A32DBC"/>
    <w:rsid w:val="00A33115"/>
    <w:rsid w:val="00A33138"/>
    <w:rsid w:val="00A331B4"/>
    <w:rsid w:val="00A33347"/>
    <w:rsid w:val="00A3337C"/>
    <w:rsid w:val="00A3349B"/>
    <w:rsid w:val="00A3377E"/>
    <w:rsid w:val="00A33ABC"/>
    <w:rsid w:val="00A33B15"/>
    <w:rsid w:val="00A33C4D"/>
    <w:rsid w:val="00A33CB7"/>
    <w:rsid w:val="00A33D32"/>
    <w:rsid w:val="00A33DAD"/>
    <w:rsid w:val="00A34088"/>
    <w:rsid w:val="00A342B2"/>
    <w:rsid w:val="00A34462"/>
    <w:rsid w:val="00A34544"/>
    <w:rsid w:val="00A34591"/>
    <w:rsid w:val="00A345E3"/>
    <w:rsid w:val="00A346C6"/>
    <w:rsid w:val="00A3481B"/>
    <w:rsid w:val="00A348DD"/>
    <w:rsid w:val="00A3497A"/>
    <w:rsid w:val="00A349AC"/>
    <w:rsid w:val="00A349B1"/>
    <w:rsid w:val="00A34A9D"/>
    <w:rsid w:val="00A34C31"/>
    <w:rsid w:val="00A34E0B"/>
    <w:rsid w:val="00A350CD"/>
    <w:rsid w:val="00A350D5"/>
    <w:rsid w:val="00A351D2"/>
    <w:rsid w:val="00A352ED"/>
    <w:rsid w:val="00A353D7"/>
    <w:rsid w:val="00A354D5"/>
    <w:rsid w:val="00A35517"/>
    <w:rsid w:val="00A35556"/>
    <w:rsid w:val="00A35597"/>
    <w:rsid w:val="00A356DA"/>
    <w:rsid w:val="00A35A20"/>
    <w:rsid w:val="00A35A78"/>
    <w:rsid w:val="00A35CF5"/>
    <w:rsid w:val="00A35CFC"/>
    <w:rsid w:val="00A35D18"/>
    <w:rsid w:val="00A35DBC"/>
    <w:rsid w:val="00A3616D"/>
    <w:rsid w:val="00A361A7"/>
    <w:rsid w:val="00A36427"/>
    <w:rsid w:val="00A36438"/>
    <w:rsid w:val="00A3650A"/>
    <w:rsid w:val="00A366E4"/>
    <w:rsid w:val="00A36783"/>
    <w:rsid w:val="00A367F3"/>
    <w:rsid w:val="00A36A55"/>
    <w:rsid w:val="00A36A70"/>
    <w:rsid w:val="00A36C7C"/>
    <w:rsid w:val="00A36EBC"/>
    <w:rsid w:val="00A36EFB"/>
    <w:rsid w:val="00A36F04"/>
    <w:rsid w:val="00A36F21"/>
    <w:rsid w:val="00A36F7B"/>
    <w:rsid w:val="00A36FFF"/>
    <w:rsid w:val="00A3702C"/>
    <w:rsid w:val="00A371D9"/>
    <w:rsid w:val="00A37398"/>
    <w:rsid w:val="00A3759D"/>
    <w:rsid w:val="00A37639"/>
    <w:rsid w:val="00A377BA"/>
    <w:rsid w:val="00A37AE8"/>
    <w:rsid w:val="00A37C66"/>
    <w:rsid w:val="00A37D36"/>
    <w:rsid w:val="00A37DD2"/>
    <w:rsid w:val="00A400C0"/>
    <w:rsid w:val="00A401FB"/>
    <w:rsid w:val="00A4024C"/>
    <w:rsid w:val="00A4027C"/>
    <w:rsid w:val="00A4028C"/>
    <w:rsid w:val="00A402A5"/>
    <w:rsid w:val="00A40391"/>
    <w:rsid w:val="00A404C9"/>
    <w:rsid w:val="00A4078F"/>
    <w:rsid w:val="00A40952"/>
    <w:rsid w:val="00A40AEA"/>
    <w:rsid w:val="00A40B72"/>
    <w:rsid w:val="00A40D82"/>
    <w:rsid w:val="00A40DE3"/>
    <w:rsid w:val="00A40E09"/>
    <w:rsid w:val="00A40E22"/>
    <w:rsid w:val="00A4104D"/>
    <w:rsid w:val="00A41059"/>
    <w:rsid w:val="00A41084"/>
    <w:rsid w:val="00A410E2"/>
    <w:rsid w:val="00A41134"/>
    <w:rsid w:val="00A411DB"/>
    <w:rsid w:val="00A411F1"/>
    <w:rsid w:val="00A413A9"/>
    <w:rsid w:val="00A418BF"/>
    <w:rsid w:val="00A418C5"/>
    <w:rsid w:val="00A41937"/>
    <w:rsid w:val="00A41AF3"/>
    <w:rsid w:val="00A41C20"/>
    <w:rsid w:val="00A41CC4"/>
    <w:rsid w:val="00A41D5D"/>
    <w:rsid w:val="00A41DA7"/>
    <w:rsid w:val="00A41E9B"/>
    <w:rsid w:val="00A41EBD"/>
    <w:rsid w:val="00A4208D"/>
    <w:rsid w:val="00A4211A"/>
    <w:rsid w:val="00A4225E"/>
    <w:rsid w:val="00A422BF"/>
    <w:rsid w:val="00A423D3"/>
    <w:rsid w:val="00A423D9"/>
    <w:rsid w:val="00A4241D"/>
    <w:rsid w:val="00A4249D"/>
    <w:rsid w:val="00A425D8"/>
    <w:rsid w:val="00A4262F"/>
    <w:rsid w:val="00A42664"/>
    <w:rsid w:val="00A42830"/>
    <w:rsid w:val="00A428CD"/>
    <w:rsid w:val="00A428EF"/>
    <w:rsid w:val="00A42A13"/>
    <w:rsid w:val="00A42AEB"/>
    <w:rsid w:val="00A42EE1"/>
    <w:rsid w:val="00A43166"/>
    <w:rsid w:val="00A43206"/>
    <w:rsid w:val="00A43304"/>
    <w:rsid w:val="00A4331D"/>
    <w:rsid w:val="00A43348"/>
    <w:rsid w:val="00A4353D"/>
    <w:rsid w:val="00A43794"/>
    <w:rsid w:val="00A4390C"/>
    <w:rsid w:val="00A43A5D"/>
    <w:rsid w:val="00A43CB7"/>
    <w:rsid w:val="00A43D27"/>
    <w:rsid w:val="00A43DE5"/>
    <w:rsid w:val="00A43F3C"/>
    <w:rsid w:val="00A43F51"/>
    <w:rsid w:val="00A44032"/>
    <w:rsid w:val="00A442F5"/>
    <w:rsid w:val="00A44621"/>
    <w:rsid w:val="00A4494C"/>
    <w:rsid w:val="00A449CB"/>
    <w:rsid w:val="00A44AED"/>
    <w:rsid w:val="00A44B96"/>
    <w:rsid w:val="00A44DC2"/>
    <w:rsid w:val="00A44E41"/>
    <w:rsid w:val="00A44E61"/>
    <w:rsid w:val="00A45118"/>
    <w:rsid w:val="00A454F9"/>
    <w:rsid w:val="00A45521"/>
    <w:rsid w:val="00A45545"/>
    <w:rsid w:val="00A455F4"/>
    <w:rsid w:val="00A45768"/>
    <w:rsid w:val="00A45814"/>
    <w:rsid w:val="00A4586F"/>
    <w:rsid w:val="00A459B9"/>
    <w:rsid w:val="00A45F80"/>
    <w:rsid w:val="00A46074"/>
    <w:rsid w:val="00A460C6"/>
    <w:rsid w:val="00A461D2"/>
    <w:rsid w:val="00A461DC"/>
    <w:rsid w:val="00A46309"/>
    <w:rsid w:val="00A4634A"/>
    <w:rsid w:val="00A46360"/>
    <w:rsid w:val="00A4642B"/>
    <w:rsid w:val="00A4642D"/>
    <w:rsid w:val="00A464DD"/>
    <w:rsid w:val="00A46561"/>
    <w:rsid w:val="00A4665C"/>
    <w:rsid w:val="00A46728"/>
    <w:rsid w:val="00A4675A"/>
    <w:rsid w:val="00A4678A"/>
    <w:rsid w:val="00A469CD"/>
    <w:rsid w:val="00A46A86"/>
    <w:rsid w:val="00A46B98"/>
    <w:rsid w:val="00A46BE4"/>
    <w:rsid w:val="00A46CEE"/>
    <w:rsid w:val="00A46D64"/>
    <w:rsid w:val="00A46E0A"/>
    <w:rsid w:val="00A47019"/>
    <w:rsid w:val="00A47086"/>
    <w:rsid w:val="00A47208"/>
    <w:rsid w:val="00A4731D"/>
    <w:rsid w:val="00A4743F"/>
    <w:rsid w:val="00A47453"/>
    <w:rsid w:val="00A475DC"/>
    <w:rsid w:val="00A47664"/>
    <w:rsid w:val="00A476D6"/>
    <w:rsid w:val="00A4778F"/>
    <w:rsid w:val="00A47899"/>
    <w:rsid w:val="00A478AB"/>
    <w:rsid w:val="00A47BE5"/>
    <w:rsid w:val="00A47C75"/>
    <w:rsid w:val="00A47D4D"/>
    <w:rsid w:val="00A47FE9"/>
    <w:rsid w:val="00A50195"/>
    <w:rsid w:val="00A501C2"/>
    <w:rsid w:val="00A503E0"/>
    <w:rsid w:val="00A504BF"/>
    <w:rsid w:val="00A50552"/>
    <w:rsid w:val="00A50575"/>
    <w:rsid w:val="00A5058F"/>
    <w:rsid w:val="00A50705"/>
    <w:rsid w:val="00A5075F"/>
    <w:rsid w:val="00A50772"/>
    <w:rsid w:val="00A50A87"/>
    <w:rsid w:val="00A50C09"/>
    <w:rsid w:val="00A50CAB"/>
    <w:rsid w:val="00A50FF1"/>
    <w:rsid w:val="00A51095"/>
    <w:rsid w:val="00A510DC"/>
    <w:rsid w:val="00A51343"/>
    <w:rsid w:val="00A5134D"/>
    <w:rsid w:val="00A5156D"/>
    <w:rsid w:val="00A51861"/>
    <w:rsid w:val="00A5186D"/>
    <w:rsid w:val="00A51A22"/>
    <w:rsid w:val="00A51A38"/>
    <w:rsid w:val="00A51AA1"/>
    <w:rsid w:val="00A51B7F"/>
    <w:rsid w:val="00A51CBD"/>
    <w:rsid w:val="00A51E25"/>
    <w:rsid w:val="00A51ED0"/>
    <w:rsid w:val="00A51F20"/>
    <w:rsid w:val="00A51F70"/>
    <w:rsid w:val="00A52128"/>
    <w:rsid w:val="00A52167"/>
    <w:rsid w:val="00A522F1"/>
    <w:rsid w:val="00A5238C"/>
    <w:rsid w:val="00A5247F"/>
    <w:rsid w:val="00A5259E"/>
    <w:rsid w:val="00A52628"/>
    <w:rsid w:val="00A52682"/>
    <w:rsid w:val="00A52711"/>
    <w:rsid w:val="00A528D6"/>
    <w:rsid w:val="00A5291C"/>
    <w:rsid w:val="00A52C45"/>
    <w:rsid w:val="00A52DA2"/>
    <w:rsid w:val="00A52DF8"/>
    <w:rsid w:val="00A52ECF"/>
    <w:rsid w:val="00A531FB"/>
    <w:rsid w:val="00A5371C"/>
    <w:rsid w:val="00A53845"/>
    <w:rsid w:val="00A53886"/>
    <w:rsid w:val="00A53909"/>
    <w:rsid w:val="00A53B00"/>
    <w:rsid w:val="00A53B72"/>
    <w:rsid w:val="00A53C5F"/>
    <w:rsid w:val="00A53C93"/>
    <w:rsid w:val="00A53D62"/>
    <w:rsid w:val="00A53EA9"/>
    <w:rsid w:val="00A53F04"/>
    <w:rsid w:val="00A53F42"/>
    <w:rsid w:val="00A53FB9"/>
    <w:rsid w:val="00A54017"/>
    <w:rsid w:val="00A54090"/>
    <w:rsid w:val="00A540D1"/>
    <w:rsid w:val="00A5418F"/>
    <w:rsid w:val="00A54395"/>
    <w:rsid w:val="00A5459A"/>
    <w:rsid w:val="00A545E7"/>
    <w:rsid w:val="00A546EF"/>
    <w:rsid w:val="00A54843"/>
    <w:rsid w:val="00A54A48"/>
    <w:rsid w:val="00A54A97"/>
    <w:rsid w:val="00A54AA7"/>
    <w:rsid w:val="00A54AAF"/>
    <w:rsid w:val="00A54BC3"/>
    <w:rsid w:val="00A54F5B"/>
    <w:rsid w:val="00A54F60"/>
    <w:rsid w:val="00A54F72"/>
    <w:rsid w:val="00A54FE1"/>
    <w:rsid w:val="00A55262"/>
    <w:rsid w:val="00A554D8"/>
    <w:rsid w:val="00A5553F"/>
    <w:rsid w:val="00A55595"/>
    <w:rsid w:val="00A5575E"/>
    <w:rsid w:val="00A55894"/>
    <w:rsid w:val="00A559CB"/>
    <w:rsid w:val="00A55BFD"/>
    <w:rsid w:val="00A55D45"/>
    <w:rsid w:val="00A55ECE"/>
    <w:rsid w:val="00A55F91"/>
    <w:rsid w:val="00A55FD0"/>
    <w:rsid w:val="00A5602C"/>
    <w:rsid w:val="00A5606B"/>
    <w:rsid w:val="00A560F0"/>
    <w:rsid w:val="00A561A2"/>
    <w:rsid w:val="00A563B2"/>
    <w:rsid w:val="00A564C3"/>
    <w:rsid w:val="00A5663C"/>
    <w:rsid w:val="00A5673E"/>
    <w:rsid w:val="00A5690B"/>
    <w:rsid w:val="00A56B72"/>
    <w:rsid w:val="00A56B77"/>
    <w:rsid w:val="00A56B88"/>
    <w:rsid w:val="00A56ECE"/>
    <w:rsid w:val="00A56EED"/>
    <w:rsid w:val="00A56FBE"/>
    <w:rsid w:val="00A570C7"/>
    <w:rsid w:val="00A570EA"/>
    <w:rsid w:val="00A57148"/>
    <w:rsid w:val="00A57330"/>
    <w:rsid w:val="00A57345"/>
    <w:rsid w:val="00A574EC"/>
    <w:rsid w:val="00A57722"/>
    <w:rsid w:val="00A57877"/>
    <w:rsid w:val="00A5789F"/>
    <w:rsid w:val="00A57971"/>
    <w:rsid w:val="00A57A78"/>
    <w:rsid w:val="00A57CB9"/>
    <w:rsid w:val="00A57F8F"/>
    <w:rsid w:val="00A57FBE"/>
    <w:rsid w:val="00A60093"/>
    <w:rsid w:val="00A601BD"/>
    <w:rsid w:val="00A6029D"/>
    <w:rsid w:val="00A60708"/>
    <w:rsid w:val="00A608C2"/>
    <w:rsid w:val="00A609C5"/>
    <w:rsid w:val="00A60B5D"/>
    <w:rsid w:val="00A60B6C"/>
    <w:rsid w:val="00A60BBF"/>
    <w:rsid w:val="00A60DAE"/>
    <w:rsid w:val="00A60E2D"/>
    <w:rsid w:val="00A60E42"/>
    <w:rsid w:val="00A61036"/>
    <w:rsid w:val="00A610D6"/>
    <w:rsid w:val="00A61128"/>
    <w:rsid w:val="00A61136"/>
    <w:rsid w:val="00A61265"/>
    <w:rsid w:val="00A615E4"/>
    <w:rsid w:val="00A6165B"/>
    <w:rsid w:val="00A61691"/>
    <w:rsid w:val="00A6176A"/>
    <w:rsid w:val="00A617C8"/>
    <w:rsid w:val="00A61951"/>
    <w:rsid w:val="00A61C40"/>
    <w:rsid w:val="00A61D21"/>
    <w:rsid w:val="00A61E66"/>
    <w:rsid w:val="00A620ED"/>
    <w:rsid w:val="00A62366"/>
    <w:rsid w:val="00A6236A"/>
    <w:rsid w:val="00A62418"/>
    <w:rsid w:val="00A6244E"/>
    <w:rsid w:val="00A62556"/>
    <w:rsid w:val="00A6255C"/>
    <w:rsid w:val="00A625E8"/>
    <w:rsid w:val="00A625F6"/>
    <w:rsid w:val="00A6265A"/>
    <w:rsid w:val="00A626DE"/>
    <w:rsid w:val="00A626E3"/>
    <w:rsid w:val="00A6278A"/>
    <w:rsid w:val="00A6292B"/>
    <w:rsid w:val="00A629BD"/>
    <w:rsid w:val="00A629E5"/>
    <w:rsid w:val="00A62B65"/>
    <w:rsid w:val="00A62B76"/>
    <w:rsid w:val="00A62BDB"/>
    <w:rsid w:val="00A62D42"/>
    <w:rsid w:val="00A62E80"/>
    <w:rsid w:val="00A62EB5"/>
    <w:rsid w:val="00A62F4B"/>
    <w:rsid w:val="00A62FD0"/>
    <w:rsid w:val="00A62FF1"/>
    <w:rsid w:val="00A6316D"/>
    <w:rsid w:val="00A6318F"/>
    <w:rsid w:val="00A634CA"/>
    <w:rsid w:val="00A63683"/>
    <w:rsid w:val="00A6372E"/>
    <w:rsid w:val="00A637AF"/>
    <w:rsid w:val="00A638B6"/>
    <w:rsid w:val="00A6392E"/>
    <w:rsid w:val="00A63930"/>
    <w:rsid w:val="00A63C98"/>
    <w:rsid w:val="00A63D94"/>
    <w:rsid w:val="00A63F0B"/>
    <w:rsid w:val="00A64193"/>
    <w:rsid w:val="00A643AF"/>
    <w:rsid w:val="00A643B3"/>
    <w:rsid w:val="00A6442B"/>
    <w:rsid w:val="00A644E3"/>
    <w:rsid w:val="00A64563"/>
    <w:rsid w:val="00A64853"/>
    <w:rsid w:val="00A64912"/>
    <w:rsid w:val="00A64973"/>
    <w:rsid w:val="00A64AA9"/>
    <w:rsid w:val="00A64ACE"/>
    <w:rsid w:val="00A64B79"/>
    <w:rsid w:val="00A64C5C"/>
    <w:rsid w:val="00A64CAA"/>
    <w:rsid w:val="00A64D9A"/>
    <w:rsid w:val="00A64F51"/>
    <w:rsid w:val="00A64FAB"/>
    <w:rsid w:val="00A6508E"/>
    <w:rsid w:val="00A650C7"/>
    <w:rsid w:val="00A6512D"/>
    <w:rsid w:val="00A653AA"/>
    <w:rsid w:val="00A65786"/>
    <w:rsid w:val="00A659FB"/>
    <w:rsid w:val="00A65A56"/>
    <w:rsid w:val="00A65A98"/>
    <w:rsid w:val="00A65B81"/>
    <w:rsid w:val="00A65BDD"/>
    <w:rsid w:val="00A65BFA"/>
    <w:rsid w:val="00A65D6A"/>
    <w:rsid w:val="00A65DFB"/>
    <w:rsid w:val="00A65F47"/>
    <w:rsid w:val="00A6602C"/>
    <w:rsid w:val="00A661B6"/>
    <w:rsid w:val="00A664C6"/>
    <w:rsid w:val="00A66519"/>
    <w:rsid w:val="00A665A9"/>
    <w:rsid w:val="00A665FA"/>
    <w:rsid w:val="00A66696"/>
    <w:rsid w:val="00A667BB"/>
    <w:rsid w:val="00A66A70"/>
    <w:rsid w:val="00A66ABE"/>
    <w:rsid w:val="00A66D05"/>
    <w:rsid w:val="00A66E64"/>
    <w:rsid w:val="00A66F7E"/>
    <w:rsid w:val="00A66FF5"/>
    <w:rsid w:val="00A67498"/>
    <w:rsid w:val="00A67522"/>
    <w:rsid w:val="00A6762E"/>
    <w:rsid w:val="00A676D1"/>
    <w:rsid w:val="00A67918"/>
    <w:rsid w:val="00A679C1"/>
    <w:rsid w:val="00A679C5"/>
    <w:rsid w:val="00A67ABC"/>
    <w:rsid w:val="00A67BB4"/>
    <w:rsid w:val="00A67DF1"/>
    <w:rsid w:val="00A70028"/>
    <w:rsid w:val="00A70033"/>
    <w:rsid w:val="00A70086"/>
    <w:rsid w:val="00A700A5"/>
    <w:rsid w:val="00A701BF"/>
    <w:rsid w:val="00A702B2"/>
    <w:rsid w:val="00A70311"/>
    <w:rsid w:val="00A7037D"/>
    <w:rsid w:val="00A7060B"/>
    <w:rsid w:val="00A70619"/>
    <w:rsid w:val="00A706FF"/>
    <w:rsid w:val="00A709E9"/>
    <w:rsid w:val="00A70AC3"/>
    <w:rsid w:val="00A70EE3"/>
    <w:rsid w:val="00A70F39"/>
    <w:rsid w:val="00A7107E"/>
    <w:rsid w:val="00A71110"/>
    <w:rsid w:val="00A71278"/>
    <w:rsid w:val="00A715DA"/>
    <w:rsid w:val="00A718AF"/>
    <w:rsid w:val="00A719F4"/>
    <w:rsid w:val="00A71AD5"/>
    <w:rsid w:val="00A71B45"/>
    <w:rsid w:val="00A71DFD"/>
    <w:rsid w:val="00A71E98"/>
    <w:rsid w:val="00A71EF6"/>
    <w:rsid w:val="00A71F3D"/>
    <w:rsid w:val="00A7216E"/>
    <w:rsid w:val="00A7218C"/>
    <w:rsid w:val="00A72211"/>
    <w:rsid w:val="00A72361"/>
    <w:rsid w:val="00A72509"/>
    <w:rsid w:val="00A72683"/>
    <w:rsid w:val="00A727CB"/>
    <w:rsid w:val="00A727E4"/>
    <w:rsid w:val="00A7285F"/>
    <w:rsid w:val="00A729D8"/>
    <w:rsid w:val="00A72A07"/>
    <w:rsid w:val="00A72A67"/>
    <w:rsid w:val="00A72A9A"/>
    <w:rsid w:val="00A72E05"/>
    <w:rsid w:val="00A72E45"/>
    <w:rsid w:val="00A72FF2"/>
    <w:rsid w:val="00A73052"/>
    <w:rsid w:val="00A7313F"/>
    <w:rsid w:val="00A731D8"/>
    <w:rsid w:val="00A7326F"/>
    <w:rsid w:val="00A732C4"/>
    <w:rsid w:val="00A73429"/>
    <w:rsid w:val="00A7369F"/>
    <w:rsid w:val="00A7375F"/>
    <w:rsid w:val="00A73957"/>
    <w:rsid w:val="00A73B24"/>
    <w:rsid w:val="00A73C1C"/>
    <w:rsid w:val="00A73CB9"/>
    <w:rsid w:val="00A73D23"/>
    <w:rsid w:val="00A73F21"/>
    <w:rsid w:val="00A74013"/>
    <w:rsid w:val="00A7417B"/>
    <w:rsid w:val="00A742A9"/>
    <w:rsid w:val="00A74481"/>
    <w:rsid w:val="00A7458B"/>
    <w:rsid w:val="00A74711"/>
    <w:rsid w:val="00A748FA"/>
    <w:rsid w:val="00A74B34"/>
    <w:rsid w:val="00A74B8B"/>
    <w:rsid w:val="00A75147"/>
    <w:rsid w:val="00A7522C"/>
    <w:rsid w:val="00A752C5"/>
    <w:rsid w:val="00A753F6"/>
    <w:rsid w:val="00A7542A"/>
    <w:rsid w:val="00A75888"/>
    <w:rsid w:val="00A758C7"/>
    <w:rsid w:val="00A75982"/>
    <w:rsid w:val="00A75AE9"/>
    <w:rsid w:val="00A75B03"/>
    <w:rsid w:val="00A75C8A"/>
    <w:rsid w:val="00A75DD4"/>
    <w:rsid w:val="00A75ED1"/>
    <w:rsid w:val="00A7604C"/>
    <w:rsid w:val="00A7676F"/>
    <w:rsid w:val="00A767DB"/>
    <w:rsid w:val="00A7684D"/>
    <w:rsid w:val="00A76980"/>
    <w:rsid w:val="00A76994"/>
    <w:rsid w:val="00A76CEE"/>
    <w:rsid w:val="00A76EEC"/>
    <w:rsid w:val="00A770D4"/>
    <w:rsid w:val="00A773FB"/>
    <w:rsid w:val="00A77664"/>
    <w:rsid w:val="00A777B8"/>
    <w:rsid w:val="00A7788E"/>
    <w:rsid w:val="00A77A70"/>
    <w:rsid w:val="00A77AB7"/>
    <w:rsid w:val="00A77BCF"/>
    <w:rsid w:val="00A77F23"/>
    <w:rsid w:val="00A77F60"/>
    <w:rsid w:val="00A8001F"/>
    <w:rsid w:val="00A8008E"/>
    <w:rsid w:val="00A80239"/>
    <w:rsid w:val="00A8027D"/>
    <w:rsid w:val="00A80351"/>
    <w:rsid w:val="00A80431"/>
    <w:rsid w:val="00A8043F"/>
    <w:rsid w:val="00A8064D"/>
    <w:rsid w:val="00A8069B"/>
    <w:rsid w:val="00A807AA"/>
    <w:rsid w:val="00A807AF"/>
    <w:rsid w:val="00A80888"/>
    <w:rsid w:val="00A80B07"/>
    <w:rsid w:val="00A80B1F"/>
    <w:rsid w:val="00A80BAB"/>
    <w:rsid w:val="00A80BB4"/>
    <w:rsid w:val="00A80DFE"/>
    <w:rsid w:val="00A80E96"/>
    <w:rsid w:val="00A80E9C"/>
    <w:rsid w:val="00A81035"/>
    <w:rsid w:val="00A81195"/>
    <w:rsid w:val="00A81290"/>
    <w:rsid w:val="00A813BD"/>
    <w:rsid w:val="00A8145A"/>
    <w:rsid w:val="00A8149D"/>
    <w:rsid w:val="00A81681"/>
    <w:rsid w:val="00A816D7"/>
    <w:rsid w:val="00A8182E"/>
    <w:rsid w:val="00A818B0"/>
    <w:rsid w:val="00A81974"/>
    <w:rsid w:val="00A8197E"/>
    <w:rsid w:val="00A81A1C"/>
    <w:rsid w:val="00A81A9E"/>
    <w:rsid w:val="00A81BE4"/>
    <w:rsid w:val="00A81C06"/>
    <w:rsid w:val="00A81E25"/>
    <w:rsid w:val="00A81F68"/>
    <w:rsid w:val="00A81F90"/>
    <w:rsid w:val="00A820B0"/>
    <w:rsid w:val="00A821B1"/>
    <w:rsid w:val="00A822D9"/>
    <w:rsid w:val="00A8230F"/>
    <w:rsid w:val="00A82353"/>
    <w:rsid w:val="00A823E1"/>
    <w:rsid w:val="00A8245B"/>
    <w:rsid w:val="00A82513"/>
    <w:rsid w:val="00A825A6"/>
    <w:rsid w:val="00A826B6"/>
    <w:rsid w:val="00A8294A"/>
    <w:rsid w:val="00A82A9A"/>
    <w:rsid w:val="00A82AB4"/>
    <w:rsid w:val="00A82BAA"/>
    <w:rsid w:val="00A82BC4"/>
    <w:rsid w:val="00A82E3F"/>
    <w:rsid w:val="00A83086"/>
    <w:rsid w:val="00A83159"/>
    <w:rsid w:val="00A8317D"/>
    <w:rsid w:val="00A8322E"/>
    <w:rsid w:val="00A83261"/>
    <w:rsid w:val="00A832F4"/>
    <w:rsid w:val="00A833CF"/>
    <w:rsid w:val="00A83597"/>
    <w:rsid w:val="00A838F5"/>
    <w:rsid w:val="00A83982"/>
    <w:rsid w:val="00A83A0D"/>
    <w:rsid w:val="00A83A73"/>
    <w:rsid w:val="00A83B03"/>
    <w:rsid w:val="00A83BC7"/>
    <w:rsid w:val="00A83BFB"/>
    <w:rsid w:val="00A83C56"/>
    <w:rsid w:val="00A83CE6"/>
    <w:rsid w:val="00A83D20"/>
    <w:rsid w:val="00A83DB9"/>
    <w:rsid w:val="00A84224"/>
    <w:rsid w:val="00A845B0"/>
    <w:rsid w:val="00A845B4"/>
    <w:rsid w:val="00A845F2"/>
    <w:rsid w:val="00A8466D"/>
    <w:rsid w:val="00A8473E"/>
    <w:rsid w:val="00A848A6"/>
    <w:rsid w:val="00A84ACA"/>
    <w:rsid w:val="00A84B48"/>
    <w:rsid w:val="00A84BBD"/>
    <w:rsid w:val="00A84C23"/>
    <w:rsid w:val="00A84C68"/>
    <w:rsid w:val="00A84C73"/>
    <w:rsid w:val="00A84D6D"/>
    <w:rsid w:val="00A8506C"/>
    <w:rsid w:val="00A85309"/>
    <w:rsid w:val="00A854B1"/>
    <w:rsid w:val="00A855E4"/>
    <w:rsid w:val="00A858B4"/>
    <w:rsid w:val="00A85997"/>
    <w:rsid w:val="00A859C8"/>
    <w:rsid w:val="00A85BD2"/>
    <w:rsid w:val="00A85D0E"/>
    <w:rsid w:val="00A85EE5"/>
    <w:rsid w:val="00A85F2A"/>
    <w:rsid w:val="00A85F44"/>
    <w:rsid w:val="00A86039"/>
    <w:rsid w:val="00A861D9"/>
    <w:rsid w:val="00A86204"/>
    <w:rsid w:val="00A862CE"/>
    <w:rsid w:val="00A863D0"/>
    <w:rsid w:val="00A865F0"/>
    <w:rsid w:val="00A866C2"/>
    <w:rsid w:val="00A8671E"/>
    <w:rsid w:val="00A86784"/>
    <w:rsid w:val="00A86864"/>
    <w:rsid w:val="00A86AEE"/>
    <w:rsid w:val="00A86C3C"/>
    <w:rsid w:val="00A86CB4"/>
    <w:rsid w:val="00A86E4E"/>
    <w:rsid w:val="00A86EA8"/>
    <w:rsid w:val="00A86F86"/>
    <w:rsid w:val="00A87016"/>
    <w:rsid w:val="00A873D0"/>
    <w:rsid w:val="00A873EE"/>
    <w:rsid w:val="00A875CB"/>
    <w:rsid w:val="00A876F2"/>
    <w:rsid w:val="00A8776B"/>
    <w:rsid w:val="00A879D6"/>
    <w:rsid w:val="00A87CB5"/>
    <w:rsid w:val="00A87E78"/>
    <w:rsid w:val="00A87F7C"/>
    <w:rsid w:val="00A90201"/>
    <w:rsid w:val="00A90434"/>
    <w:rsid w:val="00A904E8"/>
    <w:rsid w:val="00A90599"/>
    <w:rsid w:val="00A905FB"/>
    <w:rsid w:val="00A90613"/>
    <w:rsid w:val="00A9062D"/>
    <w:rsid w:val="00A90646"/>
    <w:rsid w:val="00A90703"/>
    <w:rsid w:val="00A907AE"/>
    <w:rsid w:val="00A90941"/>
    <w:rsid w:val="00A909D8"/>
    <w:rsid w:val="00A90A0C"/>
    <w:rsid w:val="00A90AB3"/>
    <w:rsid w:val="00A90B68"/>
    <w:rsid w:val="00A90DEF"/>
    <w:rsid w:val="00A90E2D"/>
    <w:rsid w:val="00A90ECF"/>
    <w:rsid w:val="00A90F9F"/>
    <w:rsid w:val="00A910DF"/>
    <w:rsid w:val="00A9167E"/>
    <w:rsid w:val="00A91685"/>
    <w:rsid w:val="00A917A7"/>
    <w:rsid w:val="00A918DE"/>
    <w:rsid w:val="00A91A23"/>
    <w:rsid w:val="00A91A64"/>
    <w:rsid w:val="00A91B01"/>
    <w:rsid w:val="00A91B24"/>
    <w:rsid w:val="00A91B3E"/>
    <w:rsid w:val="00A91B5C"/>
    <w:rsid w:val="00A91E34"/>
    <w:rsid w:val="00A91E5D"/>
    <w:rsid w:val="00A91ED7"/>
    <w:rsid w:val="00A920F9"/>
    <w:rsid w:val="00A922CB"/>
    <w:rsid w:val="00A92335"/>
    <w:rsid w:val="00A92504"/>
    <w:rsid w:val="00A9255B"/>
    <w:rsid w:val="00A9283C"/>
    <w:rsid w:val="00A92901"/>
    <w:rsid w:val="00A9291A"/>
    <w:rsid w:val="00A92B56"/>
    <w:rsid w:val="00A92C25"/>
    <w:rsid w:val="00A92D69"/>
    <w:rsid w:val="00A92DB1"/>
    <w:rsid w:val="00A930AD"/>
    <w:rsid w:val="00A93115"/>
    <w:rsid w:val="00A9312A"/>
    <w:rsid w:val="00A93188"/>
    <w:rsid w:val="00A9320C"/>
    <w:rsid w:val="00A932DB"/>
    <w:rsid w:val="00A932E1"/>
    <w:rsid w:val="00A9332E"/>
    <w:rsid w:val="00A93393"/>
    <w:rsid w:val="00A934BE"/>
    <w:rsid w:val="00A935C2"/>
    <w:rsid w:val="00A935E4"/>
    <w:rsid w:val="00A93677"/>
    <w:rsid w:val="00A93825"/>
    <w:rsid w:val="00A93B77"/>
    <w:rsid w:val="00A93C0C"/>
    <w:rsid w:val="00A93EC1"/>
    <w:rsid w:val="00A93EF6"/>
    <w:rsid w:val="00A941A0"/>
    <w:rsid w:val="00A94345"/>
    <w:rsid w:val="00A9438B"/>
    <w:rsid w:val="00A944BE"/>
    <w:rsid w:val="00A9461E"/>
    <w:rsid w:val="00A9462D"/>
    <w:rsid w:val="00A9468F"/>
    <w:rsid w:val="00A9472E"/>
    <w:rsid w:val="00A94799"/>
    <w:rsid w:val="00A949E6"/>
    <w:rsid w:val="00A949EB"/>
    <w:rsid w:val="00A94BE5"/>
    <w:rsid w:val="00A94C52"/>
    <w:rsid w:val="00A94D38"/>
    <w:rsid w:val="00A94D9A"/>
    <w:rsid w:val="00A95009"/>
    <w:rsid w:val="00A95073"/>
    <w:rsid w:val="00A950BD"/>
    <w:rsid w:val="00A950D4"/>
    <w:rsid w:val="00A95129"/>
    <w:rsid w:val="00A951F0"/>
    <w:rsid w:val="00A95258"/>
    <w:rsid w:val="00A95275"/>
    <w:rsid w:val="00A95323"/>
    <w:rsid w:val="00A9532A"/>
    <w:rsid w:val="00A9546F"/>
    <w:rsid w:val="00A95604"/>
    <w:rsid w:val="00A9589E"/>
    <w:rsid w:val="00A95A8A"/>
    <w:rsid w:val="00A95BFF"/>
    <w:rsid w:val="00A95DD4"/>
    <w:rsid w:val="00A95E8F"/>
    <w:rsid w:val="00A95F8C"/>
    <w:rsid w:val="00A95FC1"/>
    <w:rsid w:val="00A963D9"/>
    <w:rsid w:val="00A96504"/>
    <w:rsid w:val="00A96880"/>
    <w:rsid w:val="00A969C3"/>
    <w:rsid w:val="00A96A45"/>
    <w:rsid w:val="00A96B2A"/>
    <w:rsid w:val="00A96B2E"/>
    <w:rsid w:val="00A96B7C"/>
    <w:rsid w:val="00A96BA5"/>
    <w:rsid w:val="00A96D4B"/>
    <w:rsid w:val="00A96D50"/>
    <w:rsid w:val="00A96DBA"/>
    <w:rsid w:val="00A96F88"/>
    <w:rsid w:val="00A9774B"/>
    <w:rsid w:val="00A9798E"/>
    <w:rsid w:val="00A979E9"/>
    <w:rsid w:val="00A97A28"/>
    <w:rsid w:val="00A97AEB"/>
    <w:rsid w:val="00A97C9E"/>
    <w:rsid w:val="00A97D3A"/>
    <w:rsid w:val="00A97D6A"/>
    <w:rsid w:val="00A97EDC"/>
    <w:rsid w:val="00A97EEC"/>
    <w:rsid w:val="00A97F51"/>
    <w:rsid w:val="00AA009A"/>
    <w:rsid w:val="00AA0130"/>
    <w:rsid w:val="00AA015A"/>
    <w:rsid w:val="00AA0310"/>
    <w:rsid w:val="00AA0325"/>
    <w:rsid w:val="00AA0331"/>
    <w:rsid w:val="00AA0522"/>
    <w:rsid w:val="00AA0587"/>
    <w:rsid w:val="00AA05EB"/>
    <w:rsid w:val="00AA06D9"/>
    <w:rsid w:val="00AA0772"/>
    <w:rsid w:val="00AA0807"/>
    <w:rsid w:val="00AA0907"/>
    <w:rsid w:val="00AA0ACA"/>
    <w:rsid w:val="00AA0CBD"/>
    <w:rsid w:val="00AA0EB9"/>
    <w:rsid w:val="00AA1198"/>
    <w:rsid w:val="00AA13A7"/>
    <w:rsid w:val="00AA14D6"/>
    <w:rsid w:val="00AA14DB"/>
    <w:rsid w:val="00AA154C"/>
    <w:rsid w:val="00AA1574"/>
    <w:rsid w:val="00AA15B8"/>
    <w:rsid w:val="00AA1621"/>
    <w:rsid w:val="00AA16F6"/>
    <w:rsid w:val="00AA17D1"/>
    <w:rsid w:val="00AA182F"/>
    <w:rsid w:val="00AA1906"/>
    <w:rsid w:val="00AA19DA"/>
    <w:rsid w:val="00AA1A20"/>
    <w:rsid w:val="00AA1B2C"/>
    <w:rsid w:val="00AA1BB0"/>
    <w:rsid w:val="00AA1BDF"/>
    <w:rsid w:val="00AA1D13"/>
    <w:rsid w:val="00AA1F9B"/>
    <w:rsid w:val="00AA1FEF"/>
    <w:rsid w:val="00AA2002"/>
    <w:rsid w:val="00AA2029"/>
    <w:rsid w:val="00AA21BE"/>
    <w:rsid w:val="00AA235B"/>
    <w:rsid w:val="00AA23BC"/>
    <w:rsid w:val="00AA23C7"/>
    <w:rsid w:val="00AA24D8"/>
    <w:rsid w:val="00AA251A"/>
    <w:rsid w:val="00AA25F2"/>
    <w:rsid w:val="00AA266F"/>
    <w:rsid w:val="00AA26D3"/>
    <w:rsid w:val="00AA284D"/>
    <w:rsid w:val="00AA2B14"/>
    <w:rsid w:val="00AA2B3F"/>
    <w:rsid w:val="00AA2B98"/>
    <w:rsid w:val="00AA2C5B"/>
    <w:rsid w:val="00AA302B"/>
    <w:rsid w:val="00AA31F0"/>
    <w:rsid w:val="00AA3247"/>
    <w:rsid w:val="00AA329E"/>
    <w:rsid w:val="00AA33BA"/>
    <w:rsid w:val="00AA3739"/>
    <w:rsid w:val="00AA376B"/>
    <w:rsid w:val="00AA37B3"/>
    <w:rsid w:val="00AA3847"/>
    <w:rsid w:val="00AA3921"/>
    <w:rsid w:val="00AA39F0"/>
    <w:rsid w:val="00AA3B58"/>
    <w:rsid w:val="00AA3B73"/>
    <w:rsid w:val="00AA3C65"/>
    <w:rsid w:val="00AA3DEA"/>
    <w:rsid w:val="00AA3E6A"/>
    <w:rsid w:val="00AA3FFE"/>
    <w:rsid w:val="00AA401E"/>
    <w:rsid w:val="00AA4048"/>
    <w:rsid w:val="00AA4294"/>
    <w:rsid w:val="00AA433F"/>
    <w:rsid w:val="00AA43E3"/>
    <w:rsid w:val="00AA45E8"/>
    <w:rsid w:val="00AA4628"/>
    <w:rsid w:val="00AA477D"/>
    <w:rsid w:val="00AA4844"/>
    <w:rsid w:val="00AA486C"/>
    <w:rsid w:val="00AA4881"/>
    <w:rsid w:val="00AA4996"/>
    <w:rsid w:val="00AA49C3"/>
    <w:rsid w:val="00AA49FE"/>
    <w:rsid w:val="00AA4A0A"/>
    <w:rsid w:val="00AA4A55"/>
    <w:rsid w:val="00AA4B2D"/>
    <w:rsid w:val="00AA4C26"/>
    <w:rsid w:val="00AA4D5F"/>
    <w:rsid w:val="00AA4E70"/>
    <w:rsid w:val="00AA4E80"/>
    <w:rsid w:val="00AA4EAA"/>
    <w:rsid w:val="00AA4F41"/>
    <w:rsid w:val="00AA51AF"/>
    <w:rsid w:val="00AA51EC"/>
    <w:rsid w:val="00AA5595"/>
    <w:rsid w:val="00AA5662"/>
    <w:rsid w:val="00AA5750"/>
    <w:rsid w:val="00AA591D"/>
    <w:rsid w:val="00AA5CF3"/>
    <w:rsid w:val="00AA5D29"/>
    <w:rsid w:val="00AA61AB"/>
    <w:rsid w:val="00AA6273"/>
    <w:rsid w:val="00AA6317"/>
    <w:rsid w:val="00AA637F"/>
    <w:rsid w:val="00AA6415"/>
    <w:rsid w:val="00AA642F"/>
    <w:rsid w:val="00AA650D"/>
    <w:rsid w:val="00AA65A7"/>
    <w:rsid w:val="00AA667C"/>
    <w:rsid w:val="00AA6781"/>
    <w:rsid w:val="00AA67F4"/>
    <w:rsid w:val="00AA686C"/>
    <w:rsid w:val="00AA68FB"/>
    <w:rsid w:val="00AA6942"/>
    <w:rsid w:val="00AA6AA7"/>
    <w:rsid w:val="00AA6C78"/>
    <w:rsid w:val="00AA6CFB"/>
    <w:rsid w:val="00AA6D56"/>
    <w:rsid w:val="00AA6E0F"/>
    <w:rsid w:val="00AA6E82"/>
    <w:rsid w:val="00AA6F46"/>
    <w:rsid w:val="00AA6F86"/>
    <w:rsid w:val="00AA708D"/>
    <w:rsid w:val="00AA737F"/>
    <w:rsid w:val="00AA73CC"/>
    <w:rsid w:val="00AA73F8"/>
    <w:rsid w:val="00AA74D3"/>
    <w:rsid w:val="00AA7576"/>
    <w:rsid w:val="00AA75B6"/>
    <w:rsid w:val="00AA76C5"/>
    <w:rsid w:val="00AA7703"/>
    <w:rsid w:val="00AA77A0"/>
    <w:rsid w:val="00AA77E2"/>
    <w:rsid w:val="00AA7885"/>
    <w:rsid w:val="00AA7A82"/>
    <w:rsid w:val="00AA7AFD"/>
    <w:rsid w:val="00AA7B51"/>
    <w:rsid w:val="00AA7C9B"/>
    <w:rsid w:val="00AA7CD3"/>
    <w:rsid w:val="00AA7D64"/>
    <w:rsid w:val="00AB0168"/>
    <w:rsid w:val="00AB0230"/>
    <w:rsid w:val="00AB0306"/>
    <w:rsid w:val="00AB064E"/>
    <w:rsid w:val="00AB0792"/>
    <w:rsid w:val="00AB07A4"/>
    <w:rsid w:val="00AB0967"/>
    <w:rsid w:val="00AB0A56"/>
    <w:rsid w:val="00AB0B0E"/>
    <w:rsid w:val="00AB0CCF"/>
    <w:rsid w:val="00AB0CFB"/>
    <w:rsid w:val="00AB0DD5"/>
    <w:rsid w:val="00AB0F10"/>
    <w:rsid w:val="00AB1012"/>
    <w:rsid w:val="00AB10EB"/>
    <w:rsid w:val="00AB116A"/>
    <w:rsid w:val="00AB1208"/>
    <w:rsid w:val="00AB1308"/>
    <w:rsid w:val="00AB13DE"/>
    <w:rsid w:val="00AB13E7"/>
    <w:rsid w:val="00AB176B"/>
    <w:rsid w:val="00AB1779"/>
    <w:rsid w:val="00AB1871"/>
    <w:rsid w:val="00AB1987"/>
    <w:rsid w:val="00AB1A36"/>
    <w:rsid w:val="00AB1ACB"/>
    <w:rsid w:val="00AB1BB4"/>
    <w:rsid w:val="00AB1BE7"/>
    <w:rsid w:val="00AB1C9C"/>
    <w:rsid w:val="00AB1E26"/>
    <w:rsid w:val="00AB1E92"/>
    <w:rsid w:val="00AB20F7"/>
    <w:rsid w:val="00AB23B8"/>
    <w:rsid w:val="00AB247A"/>
    <w:rsid w:val="00AB2565"/>
    <w:rsid w:val="00AB2613"/>
    <w:rsid w:val="00AB2661"/>
    <w:rsid w:val="00AB26D5"/>
    <w:rsid w:val="00AB28FD"/>
    <w:rsid w:val="00AB2980"/>
    <w:rsid w:val="00AB2E49"/>
    <w:rsid w:val="00AB2E9A"/>
    <w:rsid w:val="00AB2EE5"/>
    <w:rsid w:val="00AB2F9C"/>
    <w:rsid w:val="00AB3083"/>
    <w:rsid w:val="00AB3198"/>
    <w:rsid w:val="00AB327E"/>
    <w:rsid w:val="00AB32A2"/>
    <w:rsid w:val="00AB32FF"/>
    <w:rsid w:val="00AB3361"/>
    <w:rsid w:val="00AB3366"/>
    <w:rsid w:val="00AB34CF"/>
    <w:rsid w:val="00AB35EF"/>
    <w:rsid w:val="00AB367F"/>
    <w:rsid w:val="00AB36DD"/>
    <w:rsid w:val="00AB3842"/>
    <w:rsid w:val="00AB3959"/>
    <w:rsid w:val="00AB399A"/>
    <w:rsid w:val="00AB3C33"/>
    <w:rsid w:val="00AB3DEE"/>
    <w:rsid w:val="00AB3E69"/>
    <w:rsid w:val="00AB3E74"/>
    <w:rsid w:val="00AB3EEF"/>
    <w:rsid w:val="00AB4076"/>
    <w:rsid w:val="00AB4110"/>
    <w:rsid w:val="00AB420D"/>
    <w:rsid w:val="00AB43C7"/>
    <w:rsid w:val="00AB4709"/>
    <w:rsid w:val="00AB493A"/>
    <w:rsid w:val="00AB4990"/>
    <w:rsid w:val="00AB4B16"/>
    <w:rsid w:val="00AB4C69"/>
    <w:rsid w:val="00AB4EE9"/>
    <w:rsid w:val="00AB4F47"/>
    <w:rsid w:val="00AB4F6A"/>
    <w:rsid w:val="00AB4F7E"/>
    <w:rsid w:val="00AB4FCC"/>
    <w:rsid w:val="00AB5000"/>
    <w:rsid w:val="00AB5090"/>
    <w:rsid w:val="00AB50BE"/>
    <w:rsid w:val="00AB5167"/>
    <w:rsid w:val="00AB5421"/>
    <w:rsid w:val="00AB554E"/>
    <w:rsid w:val="00AB5576"/>
    <w:rsid w:val="00AB57FB"/>
    <w:rsid w:val="00AB598D"/>
    <w:rsid w:val="00AB5AE3"/>
    <w:rsid w:val="00AB5AFA"/>
    <w:rsid w:val="00AB5C4A"/>
    <w:rsid w:val="00AB5C74"/>
    <w:rsid w:val="00AB5C94"/>
    <w:rsid w:val="00AB5E37"/>
    <w:rsid w:val="00AB5E8A"/>
    <w:rsid w:val="00AB5FFB"/>
    <w:rsid w:val="00AB6093"/>
    <w:rsid w:val="00AB60F3"/>
    <w:rsid w:val="00AB6130"/>
    <w:rsid w:val="00AB6384"/>
    <w:rsid w:val="00AB6410"/>
    <w:rsid w:val="00AB652E"/>
    <w:rsid w:val="00AB67C9"/>
    <w:rsid w:val="00AB684C"/>
    <w:rsid w:val="00AB685A"/>
    <w:rsid w:val="00AB688D"/>
    <w:rsid w:val="00AB6AB4"/>
    <w:rsid w:val="00AB6B6C"/>
    <w:rsid w:val="00AB6BE3"/>
    <w:rsid w:val="00AB6C31"/>
    <w:rsid w:val="00AB6D94"/>
    <w:rsid w:val="00AB7073"/>
    <w:rsid w:val="00AB7710"/>
    <w:rsid w:val="00AB778D"/>
    <w:rsid w:val="00AB7AF3"/>
    <w:rsid w:val="00AB7B9F"/>
    <w:rsid w:val="00AB7C76"/>
    <w:rsid w:val="00AB7F08"/>
    <w:rsid w:val="00AC017F"/>
    <w:rsid w:val="00AC0256"/>
    <w:rsid w:val="00AC031B"/>
    <w:rsid w:val="00AC032C"/>
    <w:rsid w:val="00AC0371"/>
    <w:rsid w:val="00AC03D7"/>
    <w:rsid w:val="00AC03F6"/>
    <w:rsid w:val="00AC0421"/>
    <w:rsid w:val="00AC0430"/>
    <w:rsid w:val="00AC0531"/>
    <w:rsid w:val="00AC06D1"/>
    <w:rsid w:val="00AC06F0"/>
    <w:rsid w:val="00AC075D"/>
    <w:rsid w:val="00AC07E5"/>
    <w:rsid w:val="00AC08C1"/>
    <w:rsid w:val="00AC09A5"/>
    <w:rsid w:val="00AC0BA8"/>
    <w:rsid w:val="00AC0C14"/>
    <w:rsid w:val="00AC0D62"/>
    <w:rsid w:val="00AC0ED3"/>
    <w:rsid w:val="00AC0F64"/>
    <w:rsid w:val="00AC0F67"/>
    <w:rsid w:val="00AC10A1"/>
    <w:rsid w:val="00AC1150"/>
    <w:rsid w:val="00AC13D8"/>
    <w:rsid w:val="00AC13D9"/>
    <w:rsid w:val="00AC1484"/>
    <w:rsid w:val="00AC1721"/>
    <w:rsid w:val="00AC174C"/>
    <w:rsid w:val="00AC19F3"/>
    <w:rsid w:val="00AC1B62"/>
    <w:rsid w:val="00AC1C6C"/>
    <w:rsid w:val="00AC1D9F"/>
    <w:rsid w:val="00AC1DB7"/>
    <w:rsid w:val="00AC2393"/>
    <w:rsid w:val="00AC23C3"/>
    <w:rsid w:val="00AC249B"/>
    <w:rsid w:val="00AC25A1"/>
    <w:rsid w:val="00AC2639"/>
    <w:rsid w:val="00AC2713"/>
    <w:rsid w:val="00AC2775"/>
    <w:rsid w:val="00AC29E2"/>
    <w:rsid w:val="00AC2B3A"/>
    <w:rsid w:val="00AC2B75"/>
    <w:rsid w:val="00AC2BDD"/>
    <w:rsid w:val="00AC2E1C"/>
    <w:rsid w:val="00AC2FCE"/>
    <w:rsid w:val="00AC30C0"/>
    <w:rsid w:val="00AC31E5"/>
    <w:rsid w:val="00AC3383"/>
    <w:rsid w:val="00AC36B3"/>
    <w:rsid w:val="00AC36B4"/>
    <w:rsid w:val="00AC36EE"/>
    <w:rsid w:val="00AC378D"/>
    <w:rsid w:val="00AC379B"/>
    <w:rsid w:val="00AC39C9"/>
    <w:rsid w:val="00AC3A39"/>
    <w:rsid w:val="00AC3A63"/>
    <w:rsid w:val="00AC3AA2"/>
    <w:rsid w:val="00AC3D30"/>
    <w:rsid w:val="00AC3F6E"/>
    <w:rsid w:val="00AC42C5"/>
    <w:rsid w:val="00AC43DB"/>
    <w:rsid w:val="00AC453D"/>
    <w:rsid w:val="00AC45CC"/>
    <w:rsid w:val="00AC47B9"/>
    <w:rsid w:val="00AC47C0"/>
    <w:rsid w:val="00AC4894"/>
    <w:rsid w:val="00AC4942"/>
    <w:rsid w:val="00AC4AA3"/>
    <w:rsid w:val="00AC4BD6"/>
    <w:rsid w:val="00AC4E0C"/>
    <w:rsid w:val="00AC4F9D"/>
    <w:rsid w:val="00AC5039"/>
    <w:rsid w:val="00AC5087"/>
    <w:rsid w:val="00AC514A"/>
    <w:rsid w:val="00AC51A0"/>
    <w:rsid w:val="00AC51BB"/>
    <w:rsid w:val="00AC51ED"/>
    <w:rsid w:val="00AC5240"/>
    <w:rsid w:val="00AC53E8"/>
    <w:rsid w:val="00AC560A"/>
    <w:rsid w:val="00AC577A"/>
    <w:rsid w:val="00AC577F"/>
    <w:rsid w:val="00AC5881"/>
    <w:rsid w:val="00AC58F5"/>
    <w:rsid w:val="00AC5A76"/>
    <w:rsid w:val="00AC5BAB"/>
    <w:rsid w:val="00AC5DC0"/>
    <w:rsid w:val="00AC5E7D"/>
    <w:rsid w:val="00AC5EF0"/>
    <w:rsid w:val="00AC5EF5"/>
    <w:rsid w:val="00AC60A4"/>
    <w:rsid w:val="00AC61E3"/>
    <w:rsid w:val="00AC622F"/>
    <w:rsid w:val="00AC62F3"/>
    <w:rsid w:val="00AC6413"/>
    <w:rsid w:val="00AC647F"/>
    <w:rsid w:val="00AC64FD"/>
    <w:rsid w:val="00AC674E"/>
    <w:rsid w:val="00AC69C1"/>
    <w:rsid w:val="00AC6B41"/>
    <w:rsid w:val="00AC6C8D"/>
    <w:rsid w:val="00AC6FDB"/>
    <w:rsid w:val="00AC71D9"/>
    <w:rsid w:val="00AC73AC"/>
    <w:rsid w:val="00AC74E1"/>
    <w:rsid w:val="00AC7537"/>
    <w:rsid w:val="00AC75B1"/>
    <w:rsid w:val="00AC7671"/>
    <w:rsid w:val="00AC7690"/>
    <w:rsid w:val="00AC76C5"/>
    <w:rsid w:val="00AC783F"/>
    <w:rsid w:val="00AC786B"/>
    <w:rsid w:val="00AC7885"/>
    <w:rsid w:val="00AC78C5"/>
    <w:rsid w:val="00AC7A1A"/>
    <w:rsid w:val="00AC7B2A"/>
    <w:rsid w:val="00AC7C0A"/>
    <w:rsid w:val="00AC7C56"/>
    <w:rsid w:val="00AC7D82"/>
    <w:rsid w:val="00AC7E74"/>
    <w:rsid w:val="00AC7EA2"/>
    <w:rsid w:val="00AC7F56"/>
    <w:rsid w:val="00AD01D1"/>
    <w:rsid w:val="00AD0272"/>
    <w:rsid w:val="00AD02A6"/>
    <w:rsid w:val="00AD04EE"/>
    <w:rsid w:val="00AD059E"/>
    <w:rsid w:val="00AD092E"/>
    <w:rsid w:val="00AD0951"/>
    <w:rsid w:val="00AD0960"/>
    <w:rsid w:val="00AD0B21"/>
    <w:rsid w:val="00AD0B7E"/>
    <w:rsid w:val="00AD0C84"/>
    <w:rsid w:val="00AD0C86"/>
    <w:rsid w:val="00AD0E6C"/>
    <w:rsid w:val="00AD0E8F"/>
    <w:rsid w:val="00AD0F84"/>
    <w:rsid w:val="00AD101E"/>
    <w:rsid w:val="00AD10C7"/>
    <w:rsid w:val="00AD128F"/>
    <w:rsid w:val="00AD1369"/>
    <w:rsid w:val="00AD1424"/>
    <w:rsid w:val="00AD17FA"/>
    <w:rsid w:val="00AD188A"/>
    <w:rsid w:val="00AD18CB"/>
    <w:rsid w:val="00AD1983"/>
    <w:rsid w:val="00AD1C89"/>
    <w:rsid w:val="00AD1CB6"/>
    <w:rsid w:val="00AD1D03"/>
    <w:rsid w:val="00AD216B"/>
    <w:rsid w:val="00AD2177"/>
    <w:rsid w:val="00AD217E"/>
    <w:rsid w:val="00AD21C5"/>
    <w:rsid w:val="00AD21C6"/>
    <w:rsid w:val="00AD221D"/>
    <w:rsid w:val="00AD2459"/>
    <w:rsid w:val="00AD2516"/>
    <w:rsid w:val="00AD255F"/>
    <w:rsid w:val="00AD26C8"/>
    <w:rsid w:val="00AD2815"/>
    <w:rsid w:val="00AD2952"/>
    <w:rsid w:val="00AD2B28"/>
    <w:rsid w:val="00AD2B6F"/>
    <w:rsid w:val="00AD2C07"/>
    <w:rsid w:val="00AD2C27"/>
    <w:rsid w:val="00AD2D9E"/>
    <w:rsid w:val="00AD2F9C"/>
    <w:rsid w:val="00AD31BC"/>
    <w:rsid w:val="00AD3246"/>
    <w:rsid w:val="00AD32D6"/>
    <w:rsid w:val="00AD3418"/>
    <w:rsid w:val="00AD3583"/>
    <w:rsid w:val="00AD3638"/>
    <w:rsid w:val="00AD367B"/>
    <w:rsid w:val="00AD36B5"/>
    <w:rsid w:val="00AD3811"/>
    <w:rsid w:val="00AD3852"/>
    <w:rsid w:val="00AD386C"/>
    <w:rsid w:val="00AD3AC7"/>
    <w:rsid w:val="00AD3BBC"/>
    <w:rsid w:val="00AD3C34"/>
    <w:rsid w:val="00AD3D1B"/>
    <w:rsid w:val="00AD3F3B"/>
    <w:rsid w:val="00AD409D"/>
    <w:rsid w:val="00AD427E"/>
    <w:rsid w:val="00AD437A"/>
    <w:rsid w:val="00AD45A7"/>
    <w:rsid w:val="00AD4647"/>
    <w:rsid w:val="00AD46B0"/>
    <w:rsid w:val="00AD46DE"/>
    <w:rsid w:val="00AD47C3"/>
    <w:rsid w:val="00AD4868"/>
    <w:rsid w:val="00AD4992"/>
    <w:rsid w:val="00AD4A3A"/>
    <w:rsid w:val="00AD4A42"/>
    <w:rsid w:val="00AD4C02"/>
    <w:rsid w:val="00AD4D89"/>
    <w:rsid w:val="00AD4FF8"/>
    <w:rsid w:val="00AD50D0"/>
    <w:rsid w:val="00AD5112"/>
    <w:rsid w:val="00AD51DB"/>
    <w:rsid w:val="00AD52A3"/>
    <w:rsid w:val="00AD53D6"/>
    <w:rsid w:val="00AD54C5"/>
    <w:rsid w:val="00AD5593"/>
    <w:rsid w:val="00AD56E2"/>
    <w:rsid w:val="00AD57D8"/>
    <w:rsid w:val="00AD59A3"/>
    <w:rsid w:val="00AD59C2"/>
    <w:rsid w:val="00AD5A55"/>
    <w:rsid w:val="00AD5B9F"/>
    <w:rsid w:val="00AD5CCD"/>
    <w:rsid w:val="00AD60B6"/>
    <w:rsid w:val="00AD60B9"/>
    <w:rsid w:val="00AD612C"/>
    <w:rsid w:val="00AD62C9"/>
    <w:rsid w:val="00AD64E8"/>
    <w:rsid w:val="00AD67C7"/>
    <w:rsid w:val="00AD68CF"/>
    <w:rsid w:val="00AD6943"/>
    <w:rsid w:val="00AD6947"/>
    <w:rsid w:val="00AD6958"/>
    <w:rsid w:val="00AD6AA8"/>
    <w:rsid w:val="00AD6B7C"/>
    <w:rsid w:val="00AD6C3A"/>
    <w:rsid w:val="00AD6C6D"/>
    <w:rsid w:val="00AD6E3B"/>
    <w:rsid w:val="00AD6F11"/>
    <w:rsid w:val="00AD6F2A"/>
    <w:rsid w:val="00AD6F8E"/>
    <w:rsid w:val="00AD6FFF"/>
    <w:rsid w:val="00AD7114"/>
    <w:rsid w:val="00AD712F"/>
    <w:rsid w:val="00AD72AD"/>
    <w:rsid w:val="00AD75C8"/>
    <w:rsid w:val="00AD77B6"/>
    <w:rsid w:val="00AD7838"/>
    <w:rsid w:val="00AD7B61"/>
    <w:rsid w:val="00AD7F66"/>
    <w:rsid w:val="00AD7FA1"/>
    <w:rsid w:val="00AE02ED"/>
    <w:rsid w:val="00AE04D0"/>
    <w:rsid w:val="00AE0648"/>
    <w:rsid w:val="00AE0845"/>
    <w:rsid w:val="00AE08BD"/>
    <w:rsid w:val="00AE08DF"/>
    <w:rsid w:val="00AE095F"/>
    <w:rsid w:val="00AE096C"/>
    <w:rsid w:val="00AE0C01"/>
    <w:rsid w:val="00AE0C84"/>
    <w:rsid w:val="00AE0D07"/>
    <w:rsid w:val="00AE0D53"/>
    <w:rsid w:val="00AE0E5C"/>
    <w:rsid w:val="00AE0EC4"/>
    <w:rsid w:val="00AE0F01"/>
    <w:rsid w:val="00AE0F44"/>
    <w:rsid w:val="00AE0FB9"/>
    <w:rsid w:val="00AE1012"/>
    <w:rsid w:val="00AE110D"/>
    <w:rsid w:val="00AE11FC"/>
    <w:rsid w:val="00AE127C"/>
    <w:rsid w:val="00AE1404"/>
    <w:rsid w:val="00AE148D"/>
    <w:rsid w:val="00AE1609"/>
    <w:rsid w:val="00AE16D0"/>
    <w:rsid w:val="00AE1892"/>
    <w:rsid w:val="00AE1897"/>
    <w:rsid w:val="00AE1BB6"/>
    <w:rsid w:val="00AE1BC6"/>
    <w:rsid w:val="00AE1E21"/>
    <w:rsid w:val="00AE1FFB"/>
    <w:rsid w:val="00AE2142"/>
    <w:rsid w:val="00AE2148"/>
    <w:rsid w:val="00AE240E"/>
    <w:rsid w:val="00AE24FE"/>
    <w:rsid w:val="00AE265E"/>
    <w:rsid w:val="00AE271D"/>
    <w:rsid w:val="00AE2CFD"/>
    <w:rsid w:val="00AE2D02"/>
    <w:rsid w:val="00AE2D12"/>
    <w:rsid w:val="00AE2F40"/>
    <w:rsid w:val="00AE3191"/>
    <w:rsid w:val="00AE3231"/>
    <w:rsid w:val="00AE32BE"/>
    <w:rsid w:val="00AE3535"/>
    <w:rsid w:val="00AE36B4"/>
    <w:rsid w:val="00AE38F2"/>
    <w:rsid w:val="00AE3B82"/>
    <w:rsid w:val="00AE3CC2"/>
    <w:rsid w:val="00AE3E5C"/>
    <w:rsid w:val="00AE3FE2"/>
    <w:rsid w:val="00AE4188"/>
    <w:rsid w:val="00AE418A"/>
    <w:rsid w:val="00AE42A7"/>
    <w:rsid w:val="00AE42E2"/>
    <w:rsid w:val="00AE4426"/>
    <w:rsid w:val="00AE468B"/>
    <w:rsid w:val="00AE4C0F"/>
    <w:rsid w:val="00AE4C2A"/>
    <w:rsid w:val="00AE4C5C"/>
    <w:rsid w:val="00AE4D7B"/>
    <w:rsid w:val="00AE4DC4"/>
    <w:rsid w:val="00AE4EBA"/>
    <w:rsid w:val="00AE4EDB"/>
    <w:rsid w:val="00AE4FEB"/>
    <w:rsid w:val="00AE50BB"/>
    <w:rsid w:val="00AE50F1"/>
    <w:rsid w:val="00AE5848"/>
    <w:rsid w:val="00AE5878"/>
    <w:rsid w:val="00AE59B9"/>
    <w:rsid w:val="00AE59FD"/>
    <w:rsid w:val="00AE5E52"/>
    <w:rsid w:val="00AE5ED8"/>
    <w:rsid w:val="00AE5EDA"/>
    <w:rsid w:val="00AE5F10"/>
    <w:rsid w:val="00AE6160"/>
    <w:rsid w:val="00AE6172"/>
    <w:rsid w:val="00AE6183"/>
    <w:rsid w:val="00AE61D3"/>
    <w:rsid w:val="00AE623B"/>
    <w:rsid w:val="00AE631D"/>
    <w:rsid w:val="00AE6337"/>
    <w:rsid w:val="00AE635A"/>
    <w:rsid w:val="00AE63AD"/>
    <w:rsid w:val="00AE6520"/>
    <w:rsid w:val="00AE6546"/>
    <w:rsid w:val="00AE67EC"/>
    <w:rsid w:val="00AE68C6"/>
    <w:rsid w:val="00AE6969"/>
    <w:rsid w:val="00AE6A86"/>
    <w:rsid w:val="00AE6B37"/>
    <w:rsid w:val="00AE6B91"/>
    <w:rsid w:val="00AE6E06"/>
    <w:rsid w:val="00AE77F1"/>
    <w:rsid w:val="00AE7819"/>
    <w:rsid w:val="00AE7AE4"/>
    <w:rsid w:val="00AE7CE4"/>
    <w:rsid w:val="00AE7D41"/>
    <w:rsid w:val="00AE7E84"/>
    <w:rsid w:val="00AE7F16"/>
    <w:rsid w:val="00AE7FD7"/>
    <w:rsid w:val="00AE7FFE"/>
    <w:rsid w:val="00AF03ED"/>
    <w:rsid w:val="00AF0629"/>
    <w:rsid w:val="00AF07CE"/>
    <w:rsid w:val="00AF0A73"/>
    <w:rsid w:val="00AF0AD0"/>
    <w:rsid w:val="00AF0C26"/>
    <w:rsid w:val="00AF0C59"/>
    <w:rsid w:val="00AF0D59"/>
    <w:rsid w:val="00AF0DE9"/>
    <w:rsid w:val="00AF0ED5"/>
    <w:rsid w:val="00AF0FDC"/>
    <w:rsid w:val="00AF1026"/>
    <w:rsid w:val="00AF1154"/>
    <w:rsid w:val="00AF11CB"/>
    <w:rsid w:val="00AF126B"/>
    <w:rsid w:val="00AF128A"/>
    <w:rsid w:val="00AF1293"/>
    <w:rsid w:val="00AF12B9"/>
    <w:rsid w:val="00AF1352"/>
    <w:rsid w:val="00AF13A4"/>
    <w:rsid w:val="00AF15E1"/>
    <w:rsid w:val="00AF15EF"/>
    <w:rsid w:val="00AF16AC"/>
    <w:rsid w:val="00AF178C"/>
    <w:rsid w:val="00AF1912"/>
    <w:rsid w:val="00AF19D4"/>
    <w:rsid w:val="00AF1A51"/>
    <w:rsid w:val="00AF1ACD"/>
    <w:rsid w:val="00AF1B93"/>
    <w:rsid w:val="00AF1C2F"/>
    <w:rsid w:val="00AF1E08"/>
    <w:rsid w:val="00AF1E61"/>
    <w:rsid w:val="00AF1EA5"/>
    <w:rsid w:val="00AF1F28"/>
    <w:rsid w:val="00AF1F8A"/>
    <w:rsid w:val="00AF2158"/>
    <w:rsid w:val="00AF230B"/>
    <w:rsid w:val="00AF231D"/>
    <w:rsid w:val="00AF2322"/>
    <w:rsid w:val="00AF25BE"/>
    <w:rsid w:val="00AF26BE"/>
    <w:rsid w:val="00AF2932"/>
    <w:rsid w:val="00AF2945"/>
    <w:rsid w:val="00AF2B8E"/>
    <w:rsid w:val="00AF2BE8"/>
    <w:rsid w:val="00AF2C44"/>
    <w:rsid w:val="00AF2DE9"/>
    <w:rsid w:val="00AF2F1A"/>
    <w:rsid w:val="00AF2F4F"/>
    <w:rsid w:val="00AF31D4"/>
    <w:rsid w:val="00AF31FC"/>
    <w:rsid w:val="00AF33AB"/>
    <w:rsid w:val="00AF33B4"/>
    <w:rsid w:val="00AF36A3"/>
    <w:rsid w:val="00AF36D9"/>
    <w:rsid w:val="00AF391F"/>
    <w:rsid w:val="00AF3A03"/>
    <w:rsid w:val="00AF3DF7"/>
    <w:rsid w:val="00AF4108"/>
    <w:rsid w:val="00AF411A"/>
    <w:rsid w:val="00AF42B9"/>
    <w:rsid w:val="00AF45AD"/>
    <w:rsid w:val="00AF45ED"/>
    <w:rsid w:val="00AF4676"/>
    <w:rsid w:val="00AF46CE"/>
    <w:rsid w:val="00AF47B1"/>
    <w:rsid w:val="00AF4A35"/>
    <w:rsid w:val="00AF4A7D"/>
    <w:rsid w:val="00AF4AF6"/>
    <w:rsid w:val="00AF4B22"/>
    <w:rsid w:val="00AF4B31"/>
    <w:rsid w:val="00AF4C41"/>
    <w:rsid w:val="00AF4CC2"/>
    <w:rsid w:val="00AF4E36"/>
    <w:rsid w:val="00AF4EF4"/>
    <w:rsid w:val="00AF5054"/>
    <w:rsid w:val="00AF5271"/>
    <w:rsid w:val="00AF536C"/>
    <w:rsid w:val="00AF5548"/>
    <w:rsid w:val="00AF55AB"/>
    <w:rsid w:val="00AF568F"/>
    <w:rsid w:val="00AF56A3"/>
    <w:rsid w:val="00AF5820"/>
    <w:rsid w:val="00AF58CA"/>
    <w:rsid w:val="00AF58F9"/>
    <w:rsid w:val="00AF5BA7"/>
    <w:rsid w:val="00AF5D27"/>
    <w:rsid w:val="00AF5E3C"/>
    <w:rsid w:val="00AF5EB8"/>
    <w:rsid w:val="00AF5F2F"/>
    <w:rsid w:val="00AF61DE"/>
    <w:rsid w:val="00AF630C"/>
    <w:rsid w:val="00AF63FD"/>
    <w:rsid w:val="00AF6480"/>
    <w:rsid w:val="00AF67CF"/>
    <w:rsid w:val="00AF67E4"/>
    <w:rsid w:val="00AF6816"/>
    <w:rsid w:val="00AF68D9"/>
    <w:rsid w:val="00AF6AF5"/>
    <w:rsid w:val="00AF6BA9"/>
    <w:rsid w:val="00AF6C69"/>
    <w:rsid w:val="00AF6C73"/>
    <w:rsid w:val="00AF6CD2"/>
    <w:rsid w:val="00AF6D87"/>
    <w:rsid w:val="00AF6F8B"/>
    <w:rsid w:val="00AF700B"/>
    <w:rsid w:val="00AF7164"/>
    <w:rsid w:val="00AF71B6"/>
    <w:rsid w:val="00AF71ED"/>
    <w:rsid w:val="00AF7287"/>
    <w:rsid w:val="00AF73D1"/>
    <w:rsid w:val="00AF73F8"/>
    <w:rsid w:val="00AF7467"/>
    <w:rsid w:val="00AF74CD"/>
    <w:rsid w:val="00AF783E"/>
    <w:rsid w:val="00AF7B2C"/>
    <w:rsid w:val="00AF7B4A"/>
    <w:rsid w:val="00AF7D6F"/>
    <w:rsid w:val="00AF7E29"/>
    <w:rsid w:val="00AF7ED6"/>
    <w:rsid w:val="00AF7FF7"/>
    <w:rsid w:val="00B00328"/>
    <w:rsid w:val="00B003EF"/>
    <w:rsid w:val="00B004F3"/>
    <w:rsid w:val="00B00567"/>
    <w:rsid w:val="00B00745"/>
    <w:rsid w:val="00B00772"/>
    <w:rsid w:val="00B00B88"/>
    <w:rsid w:val="00B00C03"/>
    <w:rsid w:val="00B00C28"/>
    <w:rsid w:val="00B00C40"/>
    <w:rsid w:val="00B00C5E"/>
    <w:rsid w:val="00B00C68"/>
    <w:rsid w:val="00B00F36"/>
    <w:rsid w:val="00B00F6A"/>
    <w:rsid w:val="00B00FB4"/>
    <w:rsid w:val="00B01112"/>
    <w:rsid w:val="00B0126C"/>
    <w:rsid w:val="00B013C5"/>
    <w:rsid w:val="00B013FA"/>
    <w:rsid w:val="00B01405"/>
    <w:rsid w:val="00B016B3"/>
    <w:rsid w:val="00B017D3"/>
    <w:rsid w:val="00B01871"/>
    <w:rsid w:val="00B0199B"/>
    <w:rsid w:val="00B01B89"/>
    <w:rsid w:val="00B01CCA"/>
    <w:rsid w:val="00B01EA6"/>
    <w:rsid w:val="00B01EC3"/>
    <w:rsid w:val="00B01F67"/>
    <w:rsid w:val="00B020D2"/>
    <w:rsid w:val="00B021B2"/>
    <w:rsid w:val="00B02330"/>
    <w:rsid w:val="00B0235D"/>
    <w:rsid w:val="00B02434"/>
    <w:rsid w:val="00B0246B"/>
    <w:rsid w:val="00B0246F"/>
    <w:rsid w:val="00B0250C"/>
    <w:rsid w:val="00B025A2"/>
    <w:rsid w:val="00B0273F"/>
    <w:rsid w:val="00B02911"/>
    <w:rsid w:val="00B0299D"/>
    <w:rsid w:val="00B02A32"/>
    <w:rsid w:val="00B02A59"/>
    <w:rsid w:val="00B02A70"/>
    <w:rsid w:val="00B02BD0"/>
    <w:rsid w:val="00B02C16"/>
    <w:rsid w:val="00B02C25"/>
    <w:rsid w:val="00B02C2B"/>
    <w:rsid w:val="00B02E51"/>
    <w:rsid w:val="00B02EA4"/>
    <w:rsid w:val="00B02F0C"/>
    <w:rsid w:val="00B031A2"/>
    <w:rsid w:val="00B032B1"/>
    <w:rsid w:val="00B033E8"/>
    <w:rsid w:val="00B0363C"/>
    <w:rsid w:val="00B0365D"/>
    <w:rsid w:val="00B0382F"/>
    <w:rsid w:val="00B03870"/>
    <w:rsid w:val="00B03944"/>
    <w:rsid w:val="00B039F7"/>
    <w:rsid w:val="00B03AE4"/>
    <w:rsid w:val="00B03BD0"/>
    <w:rsid w:val="00B03E06"/>
    <w:rsid w:val="00B03ECF"/>
    <w:rsid w:val="00B03F0E"/>
    <w:rsid w:val="00B0411C"/>
    <w:rsid w:val="00B0415C"/>
    <w:rsid w:val="00B044B4"/>
    <w:rsid w:val="00B045A8"/>
    <w:rsid w:val="00B04679"/>
    <w:rsid w:val="00B04845"/>
    <w:rsid w:val="00B0494F"/>
    <w:rsid w:val="00B04BF5"/>
    <w:rsid w:val="00B04EA7"/>
    <w:rsid w:val="00B04EC6"/>
    <w:rsid w:val="00B04F82"/>
    <w:rsid w:val="00B05114"/>
    <w:rsid w:val="00B051B0"/>
    <w:rsid w:val="00B05376"/>
    <w:rsid w:val="00B0540B"/>
    <w:rsid w:val="00B05500"/>
    <w:rsid w:val="00B05535"/>
    <w:rsid w:val="00B05616"/>
    <w:rsid w:val="00B05647"/>
    <w:rsid w:val="00B059E1"/>
    <w:rsid w:val="00B05BB4"/>
    <w:rsid w:val="00B05C10"/>
    <w:rsid w:val="00B05ED6"/>
    <w:rsid w:val="00B05F5D"/>
    <w:rsid w:val="00B060A5"/>
    <w:rsid w:val="00B0614A"/>
    <w:rsid w:val="00B063B6"/>
    <w:rsid w:val="00B06477"/>
    <w:rsid w:val="00B06502"/>
    <w:rsid w:val="00B06524"/>
    <w:rsid w:val="00B06615"/>
    <w:rsid w:val="00B0666F"/>
    <w:rsid w:val="00B066FB"/>
    <w:rsid w:val="00B06765"/>
    <w:rsid w:val="00B067B7"/>
    <w:rsid w:val="00B067ED"/>
    <w:rsid w:val="00B068A5"/>
    <w:rsid w:val="00B06922"/>
    <w:rsid w:val="00B06BC2"/>
    <w:rsid w:val="00B06C9B"/>
    <w:rsid w:val="00B06DEF"/>
    <w:rsid w:val="00B06F62"/>
    <w:rsid w:val="00B06F7C"/>
    <w:rsid w:val="00B07029"/>
    <w:rsid w:val="00B0703D"/>
    <w:rsid w:val="00B07047"/>
    <w:rsid w:val="00B072A5"/>
    <w:rsid w:val="00B0730E"/>
    <w:rsid w:val="00B07337"/>
    <w:rsid w:val="00B0736B"/>
    <w:rsid w:val="00B07380"/>
    <w:rsid w:val="00B0738C"/>
    <w:rsid w:val="00B073DE"/>
    <w:rsid w:val="00B074C2"/>
    <w:rsid w:val="00B076F5"/>
    <w:rsid w:val="00B07796"/>
    <w:rsid w:val="00B078CC"/>
    <w:rsid w:val="00B078DA"/>
    <w:rsid w:val="00B07A66"/>
    <w:rsid w:val="00B07B52"/>
    <w:rsid w:val="00B07BB1"/>
    <w:rsid w:val="00B07C3B"/>
    <w:rsid w:val="00B07CF3"/>
    <w:rsid w:val="00B07E28"/>
    <w:rsid w:val="00B07EC7"/>
    <w:rsid w:val="00B1028C"/>
    <w:rsid w:val="00B103FC"/>
    <w:rsid w:val="00B106B8"/>
    <w:rsid w:val="00B1083F"/>
    <w:rsid w:val="00B10985"/>
    <w:rsid w:val="00B10A7F"/>
    <w:rsid w:val="00B10AB2"/>
    <w:rsid w:val="00B10B48"/>
    <w:rsid w:val="00B10BA2"/>
    <w:rsid w:val="00B10BEF"/>
    <w:rsid w:val="00B10C32"/>
    <w:rsid w:val="00B10DD0"/>
    <w:rsid w:val="00B10E38"/>
    <w:rsid w:val="00B10E67"/>
    <w:rsid w:val="00B10F49"/>
    <w:rsid w:val="00B110C6"/>
    <w:rsid w:val="00B11177"/>
    <w:rsid w:val="00B1117D"/>
    <w:rsid w:val="00B111FD"/>
    <w:rsid w:val="00B11202"/>
    <w:rsid w:val="00B11311"/>
    <w:rsid w:val="00B114CB"/>
    <w:rsid w:val="00B116A9"/>
    <w:rsid w:val="00B11872"/>
    <w:rsid w:val="00B11A1B"/>
    <w:rsid w:val="00B11A9D"/>
    <w:rsid w:val="00B11C1B"/>
    <w:rsid w:val="00B11C8D"/>
    <w:rsid w:val="00B11E8C"/>
    <w:rsid w:val="00B11FAB"/>
    <w:rsid w:val="00B11FEC"/>
    <w:rsid w:val="00B12122"/>
    <w:rsid w:val="00B12255"/>
    <w:rsid w:val="00B122DA"/>
    <w:rsid w:val="00B1259F"/>
    <w:rsid w:val="00B129B6"/>
    <w:rsid w:val="00B129E7"/>
    <w:rsid w:val="00B12B5C"/>
    <w:rsid w:val="00B12C04"/>
    <w:rsid w:val="00B12CB5"/>
    <w:rsid w:val="00B12D4F"/>
    <w:rsid w:val="00B12EA3"/>
    <w:rsid w:val="00B12F98"/>
    <w:rsid w:val="00B131B8"/>
    <w:rsid w:val="00B131DE"/>
    <w:rsid w:val="00B132C7"/>
    <w:rsid w:val="00B13331"/>
    <w:rsid w:val="00B13343"/>
    <w:rsid w:val="00B13458"/>
    <w:rsid w:val="00B13586"/>
    <w:rsid w:val="00B135BE"/>
    <w:rsid w:val="00B13637"/>
    <w:rsid w:val="00B1366E"/>
    <w:rsid w:val="00B1369F"/>
    <w:rsid w:val="00B1391B"/>
    <w:rsid w:val="00B139A4"/>
    <w:rsid w:val="00B13CEF"/>
    <w:rsid w:val="00B13D9B"/>
    <w:rsid w:val="00B13F28"/>
    <w:rsid w:val="00B13FE0"/>
    <w:rsid w:val="00B13FF6"/>
    <w:rsid w:val="00B140BD"/>
    <w:rsid w:val="00B1424B"/>
    <w:rsid w:val="00B14559"/>
    <w:rsid w:val="00B145B3"/>
    <w:rsid w:val="00B145E8"/>
    <w:rsid w:val="00B146AF"/>
    <w:rsid w:val="00B147AB"/>
    <w:rsid w:val="00B14846"/>
    <w:rsid w:val="00B148AC"/>
    <w:rsid w:val="00B14C4C"/>
    <w:rsid w:val="00B14CAE"/>
    <w:rsid w:val="00B14CFD"/>
    <w:rsid w:val="00B14D05"/>
    <w:rsid w:val="00B14DCF"/>
    <w:rsid w:val="00B14FA3"/>
    <w:rsid w:val="00B150CE"/>
    <w:rsid w:val="00B15194"/>
    <w:rsid w:val="00B1546C"/>
    <w:rsid w:val="00B155AE"/>
    <w:rsid w:val="00B156F1"/>
    <w:rsid w:val="00B157D4"/>
    <w:rsid w:val="00B157FC"/>
    <w:rsid w:val="00B15CC0"/>
    <w:rsid w:val="00B15D4C"/>
    <w:rsid w:val="00B15E64"/>
    <w:rsid w:val="00B15F31"/>
    <w:rsid w:val="00B160A7"/>
    <w:rsid w:val="00B16225"/>
    <w:rsid w:val="00B1636B"/>
    <w:rsid w:val="00B166AE"/>
    <w:rsid w:val="00B1670D"/>
    <w:rsid w:val="00B1677C"/>
    <w:rsid w:val="00B16B39"/>
    <w:rsid w:val="00B16BFF"/>
    <w:rsid w:val="00B16C08"/>
    <w:rsid w:val="00B16C2F"/>
    <w:rsid w:val="00B16D40"/>
    <w:rsid w:val="00B16DFF"/>
    <w:rsid w:val="00B16F14"/>
    <w:rsid w:val="00B16FE1"/>
    <w:rsid w:val="00B171F5"/>
    <w:rsid w:val="00B1720D"/>
    <w:rsid w:val="00B17351"/>
    <w:rsid w:val="00B173C0"/>
    <w:rsid w:val="00B174F9"/>
    <w:rsid w:val="00B175C9"/>
    <w:rsid w:val="00B17844"/>
    <w:rsid w:val="00B178EE"/>
    <w:rsid w:val="00B17979"/>
    <w:rsid w:val="00B179A6"/>
    <w:rsid w:val="00B17A0A"/>
    <w:rsid w:val="00B17ABA"/>
    <w:rsid w:val="00B17B2C"/>
    <w:rsid w:val="00B17D12"/>
    <w:rsid w:val="00B20043"/>
    <w:rsid w:val="00B20055"/>
    <w:rsid w:val="00B202D5"/>
    <w:rsid w:val="00B20325"/>
    <w:rsid w:val="00B2083F"/>
    <w:rsid w:val="00B2094A"/>
    <w:rsid w:val="00B20A83"/>
    <w:rsid w:val="00B20CCA"/>
    <w:rsid w:val="00B20D20"/>
    <w:rsid w:val="00B210A9"/>
    <w:rsid w:val="00B21103"/>
    <w:rsid w:val="00B211A3"/>
    <w:rsid w:val="00B2134E"/>
    <w:rsid w:val="00B21385"/>
    <w:rsid w:val="00B213C6"/>
    <w:rsid w:val="00B214F7"/>
    <w:rsid w:val="00B215CF"/>
    <w:rsid w:val="00B215F2"/>
    <w:rsid w:val="00B21756"/>
    <w:rsid w:val="00B217FE"/>
    <w:rsid w:val="00B21808"/>
    <w:rsid w:val="00B21889"/>
    <w:rsid w:val="00B219C4"/>
    <w:rsid w:val="00B219CB"/>
    <w:rsid w:val="00B21B6B"/>
    <w:rsid w:val="00B21E45"/>
    <w:rsid w:val="00B22196"/>
    <w:rsid w:val="00B222E9"/>
    <w:rsid w:val="00B22305"/>
    <w:rsid w:val="00B223A9"/>
    <w:rsid w:val="00B223F7"/>
    <w:rsid w:val="00B2263D"/>
    <w:rsid w:val="00B226E4"/>
    <w:rsid w:val="00B22738"/>
    <w:rsid w:val="00B2277D"/>
    <w:rsid w:val="00B2282D"/>
    <w:rsid w:val="00B22859"/>
    <w:rsid w:val="00B2290E"/>
    <w:rsid w:val="00B2298A"/>
    <w:rsid w:val="00B229AA"/>
    <w:rsid w:val="00B229E5"/>
    <w:rsid w:val="00B22B5A"/>
    <w:rsid w:val="00B22C13"/>
    <w:rsid w:val="00B22DCB"/>
    <w:rsid w:val="00B22F94"/>
    <w:rsid w:val="00B230D2"/>
    <w:rsid w:val="00B2326F"/>
    <w:rsid w:val="00B23B0B"/>
    <w:rsid w:val="00B23B53"/>
    <w:rsid w:val="00B23C41"/>
    <w:rsid w:val="00B23EB1"/>
    <w:rsid w:val="00B23F71"/>
    <w:rsid w:val="00B24056"/>
    <w:rsid w:val="00B2426E"/>
    <w:rsid w:val="00B24354"/>
    <w:rsid w:val="00B2442A"/>
    <w:rsid w:val="00B2463D"/>
    <w:rsid w:val="00B24734"/>
    <w:rsid w:val="00B2482C"/>
    <w:rsid w:val="00B24A38"/>
    <w:rsid w:val="00B24A7D"/>
    <w:rsid w:val="00B24BD4"/>
    <w:rsid w:val="00B24C11"/>
    <w:rsid w:val="00B24D78"/>
    <w:rsid w:val="00B24F81"/>
    <w:rsid w:val="00B25082"/>
    <w:rsid w:val="00B250CD"/>
    <w:rsid w:val="00B2519B"/>
    <w:rsid w:val="00B2527D"/>
    <w:rsid w:val="00B25438"/>
    <w:rsid w:val="00B25562"/>
    <w:rsid w:val="00B255F9"/>
    <w:rsid w:val="00B257B1"/>
    <w:rsid w:val="00B258C7"/>
    <w:rsid w:val="00B259F3"/>
    <w:rsid w:val="00B25A2A"/>
    <w:rsid w:val="00B25B60"/>
    <w:rsid w:val="00B25C07"/>
    <w:rsid w:val="00B25CC1"/>
    <w:rsid w:val="00B260D0"/>
    <w:rsid w:val="00B261DB"/>
    <w:rsid w:val="00B262C2"/>
    <w:rsid w:val="00B2645F"/>
    <w:rsid w:val="00B264A1"/>
    <w:rsid w:val="00B2652C"/>
    <w:rsid w:val="00B266D7"/>
    <w:rsid w:val="00B26846"/>
    <w:rsid w:val="00B26AC6"/>
    <w:rsid w:val="00B26B68"/>
    <w:rsid w:val="00B26B6E"/>
    <w:rsid w:val="00B26C18"/>
    <w:rsid w:val="00B26C8D"/>
    <w:rsid w:val="00B26D2E"/>
    <w:rsid w:val="00B26E7D"/>
    <w:rsid w:val="00B26F94"/>
    <w:rsid w:val="00B2707A"/>
    <w:rsid w:val="00B270CE"/>
    <w:rsid w:val="00B2734F"/>
    <w:rsid w:val="00B27363"/>
    <w:rsid w:val="00B273FC"/>
    <w:rsid w:val="00B2742C"/>
    <w:rsid w:val="00B27575"/>
    <w:rsid w:val="00B275B1"/>
    <w:rsid w:val="00B275D0"/>
    <w:rsid w:val="00B2769F"/>
    <w:rsid w:val="00B27712"/>
    <w:rsid w:val="00B27892"/>
    <w:rsid w:val="00B278B9"/>
    <w:rsid w:val="00B27A49"/>
    <w:rsid w:val="00B27ABE"/>
    <w:rsid w:val="00B27DC1"/>
    <w:rsid w:val="00B27E1B"/>
    <w:rsid w:val="00B30092"/>
    <w:rsid w:val="00B300CA"/>
    <w:rsid w:val="00B300E3"/>
    <w:rsid w:val="00B30125"/>
    <w:rsid w:val="00B304EE"/>
    <w:rsid w:val="00B30563"/>
    <w:rsid w:val="00B305C1"/>
    <w:rsid w:val="00B307B2"/>
    <w:rsid w:val="00B30977"/>
    <w:rsid w:val="00B30AC6"/>
    <w:rsid w:val="00B30B24"/>
    <w:rsid w:val="00B30B37"/>
    <w:rsid w:val="00B30BE1"/>
    <w:rsid w:val="00B30E6C"/>
    <w:rsid w:val="00B311BE"/>
    <w:rsid w:val="00B312D0"/>
    <w:rsid w:val="00B312E2"/>
    <w:rsid w:val="00B312E7"/>
    <w:rsid w:val="00B313DC"/>
    <w:rsid w:val="00B31482"/>
    <w:rsid w:val="00B315DD"/>
    <w:rsid w:val="00B316A9"/>
    <w:rsid w:val="00B317F9"/>
    <w:rsid w:val="00B31823"/>
    <w:rsid w:val="00B31A8C"/>
    <w:rsid w:val="00B31B54"/>
    <w:rsid w:val="00B31DB9"/>
    <w:rsid w:val="00B31DCE"/>
    <w:rsid w:val="00B31F58"/>
    <w:rsid w:val="00B31FC1"/>
    <w:rsid w:val="00B321A3"/>
    <w:rsid w:val="00B32380"/>
    <w:rsid w:val="00B323C1"/>
    <w:rsid w:val="00B32729"/>
    <w:rsid w:val="00B328C5"/>
    <w:rsid w:val="00B32B1F"/>
    <w:rsid w:val="00B32C9C"/>
    <w:rsid w:val="00B32E1A"/>
    <w:rsid w:val="00B32EBD"/>
    <w:rsid w:val="00B32FE5"/>
    <w:rsid w:val="00B32FF2"/>
    <w:rsid w:val="00B33039"/>
    <w:rsid w:val="00B33371"/>
    <w:rsid w:val="00B333AA"/>
    <w:rsid w:val="00B333FC"/>
    <w:rsid w:val="00B334E3"/>
    <w:rsid w:val="00B335C4"/>
    <w:rsid w:val="00B33728"/>
    <w:rsid w:val="00B337DE"/>
    <w:rsid w:val="00B33A69"/>
    <w:rsid w:val="00B33A8F"/>
    <w:rsid w:val="00B33BA6"/>
    <w:rsid w:val="00B33BBB"/>
    <w:rsid w:val="00B33C08"/>
    <w:rsid w:val="00B33D86"/>
    <w:rsid w:val="00B33DB8"/>
    <w:rsid w:val="00B33EBC"/>
    <w:rsid w:val="00B33EEB"/>
    <w:rsid w:val="00B33F16"/>
    <w:rsid w:val="00B34244"/>
    <w:rsid w:val="00B34270"/>
    <w:rsid w:val="00B343CE"/>
    <w:rsid w:val="00B343D8"/>
    <w:rsid w:val="00B343F1"/>
    <w:rsid w:val="00B34407"/>
    <w:rsid w:val="00B34447"/>
    <w:rsid w:val="00B344C0"/>
    <w:rsid w:val="00B345BE"/>
    <w:rsid w:val="00B34660"/>
    <w:rsid w:val="00B346C0"/>
    <w:rsid w:val="00B348C5"/>
    <w:rsid w:val="00B34925"/>
    <w:rsid w:val="00B34966"/>
    <w:rsid w:val="00B349C6"/>
    <w:rsid w:val="00B349FF"/>
    <w:rsid w:val="00B34A26"/>
    <w:rsid w:val="00B34B76"/>
    <w:rsid w:val="00B34B80"/>
    <w:rsid w:val="00B34BF5"/>
    <w:rsid w:val="00B34CDB"/>
    <w:rsid w:val="00B34D22"/>
    <w:rsid w:val="00B34D4B"/>
    <w:rsid w:val="00B34D5B"/>
    <w:rsid w:val="00B350AD"/>
    <w:rsid w:val="00B3511B"/>
    <w:rsid w:val="00B351B8"/>
    <w:rsid w:val="00B35244"/>
    <w:rsid w:val="00B35333"/>
    <w:rsid w:val="00B3555A"/>
    <w:rsid w:val="00B355D9"/>
    <w:rsid w:val="00B356D4"/>
    <w:rsid w:val="00B3571A"/>
    <w:rsid w:val="00B357F5"/>
    <w:rsid w:val="00B35880"/>
    <w:rsid w:val="00B35AF5"/>
    <w:rsid w:val="00B35B77"/>
    <w:rsid w:val="00B35C6B"/>
    <w:rsid w:val="00B35C94"/>
    <w:rsid w:val="00B35CC1"/>
    <w:rsid w:val="00B35CDB"/>
    <w:rsid w:val="00B36213"/>
    <w:rsid w:val="00B36295"/>
    <w:rsid w:val="00B3631A"/>
    <w:rsid w:val="00B363D6"/>
    <w:rsid w:val="00B363E1"/>
    <w:rsid w:val="00B364D0"/>
    <w:rsid w:val="00B36849"/>
    <w:rsid w:val="00B3690F"/>
    <w:rsid w:val="00B36972"/>
    <w:rsid w:val="00B36AA7"/>
    <w:rsid w:val="00B36ABC"/>
    <w:rsid w:val="00B36AE5"/>
    <w:rsid w:val="00B36AE6"/>
    <w:rsid w:val="00B36AE7"/>
    <w:rsid w:val="00B36EAC"/>
    <w:rsid w:val="00B36FF3"/>
    <w:rsid w:val="00B370C7"/>
    <w:rsid w:val="00B37157"/>
    <w:rsid w:val="00B3730E"/>
    <w:rsid w:val="00B373ED"/>
    <w:rsid w:val="00B37411"/>
    <w:rsid w:val="00B37596"/>
    <w:rsid w:val="00B3763F"/>
    <w:rsid w:val="00B376B3"/>
    <w:rsid w:val="00B37719"/>
    <w:rsid w:val="00B37785"/>
    <w:rsid w:val="00B377B0"/>
    <w:rsid w:val="00B378E5"/>
    <w:rsid w:val="00B37A50"/>
    <w:rsid w:val="00B37AE6"/>
    <w:rsid w:val="00B37B61"/>
    <w:rsid w:val="00B37B74"/>
    <w:rsid w:val="00B37C60"/>
    <w:rsid w:val="00B37C82"/>
    <w:rsid w:val="00B37D29"/>
    <w:rsid w:val="00B37E3D"/>
    <w:rsid w:val="00B4022D"/>
    <w:rsid w:val="00B40255"/>
    <w:rsid w:val="00B402E0"/>
    <w:rsid w:val="00B4035A"/>
    <w:rsid w:val="00B40586"/>
    <w:rsid w:val="00B4060F"/>
    <w:rsid w:val="00B40941"/>
    <w:rsid w:val="00B40A5A"/>
    <w:rsid w:val="00B40A96"/>
    <w:rsid w:val="00B40BE0"/>
    <w:rsid w:val="00B40FF0"/>
    <w:rsid w:val="00B40FF1"/>
    <w:rsid w:val="00B410C7"/>
    <w:rsid w:val="00B412D1"/>
    <w:rsid w:val="00B413F2"/>
    <w:rsid w:val="00B41462"/>
    <w:rsid w:val="00B41489"/>
    <w:rsid w:val="00B4155A"/>
    <w:rsid w:val="00B41797"/>
    <w:rsid w:val="00B42158"/>
    <w:rsid w:val="00B421D1"/>
    <w:rsid w:val="00B421FC"/>
    <w:rsid w:val="00B425FC"/>
    <w:rsid w:val="00B42794"/>
    <w:rsid w:val="00B42853"/>
    <w:rsid w:val="00B4292E"/>
    <w:rsid w:val="00B42950"/>
    <w:rsid w:val="00B429EB"/>
    <w:rsid w:val="00B42C92"/>
    <w:rsid w:val="00B42D99"/>
    <w:rsid w:val="00B42E28"/>
    <w:rsid w:val="00B42F2A"/>
    <w:rsid w:val="00B43086"/>
    <w:rsid w:val="00B431ED"/>
    <w:rsid w:val="00B43246"/>
    <w:rsid w:val="00B43332"/>
    <w:rsid w:val="00B4341D"/>
    <w:rsid w:val="00B434FF"/>
    <w:rsid w:val="00B436C6"/>
    <w:rsid w:val="00B43710"/>
    <w:rsid w:val="00B438A6"/>
    <w:rsid w:val="00B438F3"/>
    <w:rsid w:val="00B4398A"/>
    <w:rsid w:val="00B439B1"/>
    <w:rsid w:val="00B43AB0"/>
    <w:rsid w:val="00B43B0F"/>
    <w:rsid w:val="00B43EFA"/>
    <w:rsid w:val="00B43FFE"/>
    <w:rsid w:val="00B44099"/>
    <w:rsid w:val="00B440A0"/>
    <w:rsid w:val="00B4426C"/>
    <w:rsid w:val="00B4427E"/>
    <w:rsid w:val="00B442F6"/>
    <w:rsid w:val="00B4441C"/>
    <w:rsid w:val="00B44496"/>
    <w:rsid w:val="00B44641"/>
    <w:rsid w:val="00B447CD"/>
    <w:rsid w:val="00B44811"/>
    <w:rsid w:val="00B4497B"/>
    <w:rsid w:val="00B449DD"/>
    <w:rsid w:val="00B44A3A"/>
    <w:rsid w:val="00B44BE6"/>
    <w:rsid w:val="00B44C88"/>
    <w:rsid w:val="00B44C93"/>
    <w:rsid w:val="00B44D02"/>
    <w:rsid w:val="00B44D03"/>
    <w:rsid w:val="00B44D2F"/>
    <w:rsid w:val="00B44DDB"/>
    <w:rsid w:val="00B44EDF"/>
    <w:rsid w:val="00B44FCD"/>
    <w:rsid w:val="00B4513D"/>
    <w:rsid w:val="00B4527C"/>
    <w:rsid w:val="00B453EB"/>
    <w:rsid w:val="00B453F0"/>
    <w:rsid w:val="00B45428"/>
    <w:rsid w:val="00B4560B"/>
    <w:rsid w:val="00B4568B"/>
    <w:rsid w:val="00B456A1"/>
    <w:rsid w:val="00B45A03"/>
    <w:rsid w:val="00B45A3A"/>
    <w:rsid w:val="00B45A86"/>
    <w:rsid w:val="00B45B3A"/>
    <w:rsid w:val="00B45E59"/>
    <w:rsid w:val="00B4600A"/>
    <w:rsid w:val="00B460BC"/>
    <w:rsid w:val="00B4615E"/>
    <w:rsid w:val="00B4615F"/>
    <w:rsid w:val="00B4618C"/>
    <w:rsid w:val="00B461DC"/>
    <w:rsid w:val="00B462E1"/>
    <w:rsid w:val="00B46544"/>
    <w:rsid w:val="00B4664A"/>
    <w:rsid w:val="00B46703"/>
    <w:rsid w:val="00B4681B"/>
    <w:rsid w:val="00B4686C"/>
    <w:rsid w:val="00B468CC"/>
    <w:rsid w:val="00B46930"/>
    <w:rsid w:val="00B46953"/>
    <w:rsid w:val="00B46987"/>
    <w:rsid w:val="00B46A19"/>
    <w:rsid w:val="00B46BD9"/>
    <w:rsid w:val="00B46C0E"/>
    <w:rsid w:val="00B46C4D"/>
    <w:rsid w:val="00B46D5D"/>
    <w:rsid w:val="00B46EFB"/>
    <w:rsid w:val="00B46F25"/>
    <w:rsid w:val="00B470C0"/>
    <w:rsid w:val="00B4713C"/>
    <w:rsid w:val="00B4726A"/>
    <w:rsid w:val="00B47445"/>
    <w:rsid w:val="00B4755D"/>
    <w:rsid w:val="00B477B9"/>
    <w:rsid w:val="00B47818"/>
    <w:rsid w:val="00B478AA"/>
    <w:rsid w:val="00B4791E"/>
    <w:rsid w:val="00B47973"/>
    <w:rsid w:val="00B47B19"/>
    <w:rsid w:val="00B47C05"/>
    <w:rsid w:val="00B47C1E"/>
    <w:rsid w:val="00B47CE7"/>
    <w:rsid w:val="00B47D94"/>
    <w:rsid w:val="00B47DEE"/>
    <w:rsid w:val="00B47ECF"/>
    <w:rsid w:val="00B5028A"/>
    <w:rsid w:val="00B5038F"/>
    <w:rsid w:val="00B5047F"/>
    <w:rsid w:val="00B505EE"/>
    <w:rsid w:val="00B506CA"/>
    <w:rsid w:val="00B5073D"/>
    <w:rsid w:val="00B5097B"/>
    <w:rsid w:val="00B50A53"/>
    <w:rsid w:val="00B50A8F"/>
    <w:rsid w:val="00B50B37"/>
    <w:rsid w:val="00B50CCD"/>
    <w:rsid w:val="00B510A5"/>
    <w:rsid w:val="00B51183"/>
    <w:rsid w:val="00B51259"/>
    <w:rsid w:val="00B51362"/>
    <w:rsid w:val="00B51371"/>
    <w:rsid w:val="00B51678"/>
    <w:rsid w:val="00B516CB"/>
    <w:rsid w:val="00B51727"/>
    <w:rsid w:val="00B5178F"/>
    <w:rsid w:val="00B51A07"/>
    <w:rsid w:val="00B51ACF"/>
    <w:rsid w:val="00B51BB9"/>
    <w:rsid w:val="00B51BD7"/>
    <w:rsid w:val="00B51D37"/>
    <w:rsid w:val="00B51E14"/>
    <w:rsid w:val="00B51E17"/>
    <w:rsid w:val="00B51E8E"/>
    <w:rsid w:val="00B51EBF"/>
    <w:rsid w:val="00B52022"/>
    <w:rsid w:val="00B52115"/>
    <w:rsid w:val="00B5214B"/>
    <w:rsid w:val="00B521B3"/>
    <w:rsid w:val="00B5234B"/>
    <w:rsid w:val="00B52454"/>
    <w:rsid w:val="00B52629"/>
    <w:rsid w:val="00B52743"/>
    <w:rsid w:val="00B5279B"/>
    <w:rsid w:val="00B527C6"/>
    <w:rsid w:val="00B528D6"/>
    <w:rsid w:val="00B52981"/>
    <w:rsid w:val="00B529ED"/>
    <w:rsid w:val="00B52C6B"/>
    <w:rsid w:val="00B52CC5"/>
    <w:rsid w:val="00B52E33"/>
    <w:rsid w:val="00B52F52"/>
    <w:rsid w:val="00B53118"/>
    <w:rsid w:val="00B531A0"/>
    <w:rsid w:val="00B5325C"/>
    <w:rsid w:val="00B5341E"/>
    <w:rsid w:val="00B53472"/>
    <w:rsid w:val="00B535F1"/>
    <w:rsid w:val="00B536DF"/>
    <w:rsid w:val="00B537ED"/>
    <w:rsid w:val="00B5381B"/>
    <w:rsid w:val="00B538D8"/>
    <w:rsid w:val="00B53996"/>
    <w:rsid w:val="00B539D0"/>
    <w:rsid w:val="00B53A49"/>
    <w:rsid w:val="00B53A99"/>
    <w:rsid w:val="00B53B2F"/>
    <w:rsid w:val="00B53E27"/>
    <w:rsid w:val="00B5403D"/>
    <w:rsid w:val="00B540F3"/>
    <w:rsid w:val="00B54239"/>
    <w:rsid w:val="00B54253"/>
    <w:rsid w:val="00B5428C"/>
    <w:rsid w:val="00B545CC"/>
    <w:rsid w:val="00B546D1"/>
    <w:rsid w:val="00B546ED"/>
    <w:rsid w:val="00B54B43"/>
    <w:rsid w:val="00B54DA4"/>
    <w:rsid w:val="00B54DE1"/>
    <w:rsid w:val="00B54EEB"/>
    <w:rsid w:val="00B55033"/>
    <w:rsid w:val="00B552F1"/>
    <w:rsid w:val="00B553A0"/>
    <w:rsid w:val="00B5543D"/>
    <w:rsid w:val="00B554B7"/>
    <w:rsid w:val="00B5560D"/>
    <w:rsid w:val="00B55671"/>
    <w:rsid w:val="00B55674"/>
    <w:rsid w:val="00B55676"/>
    <w:rsid w:val="00B55724"/>
    <w:rsid w:val="00B55807"/>
    <w:rsid w:val="00B55858"/>
    <w:rsid w:val="00B558B5"/>
    <w:rsid w:val="00B55915"/>
    <w:rsid w:val="00B55BF3"/>
    <w:rsid w:val="00B55C1C"/>
    <w:rsid w:val="00B55E2D"/>
    <w:rsid w:val="00B55EC2"/>
    <w:rsid w:val="00B55F7A"/>
    <w:rsid w:val="00B5600E"/>
    <w:rsid w:val="00B5601F"/>
    <w:rsid w:val="00B5605F"/>
    <w:rsid w:val="00B561AD"/>
    <w:rsid w:val="00B5628E"/>
    <w:rsid w:val="00B56293"/>
    <w:rsid w:val="00B56300"/>
    <w:rsid w:val="00B56342"/>
    <w:rsid w:val="00B5640A"/>
    <w:rsid w:val="00B56410"/>
    <w:rsid w:val="00B566A2"/>
    <w:rsid w:val="00B566DF"/>
    <w:rsid w:val="00B56809"/>
    <w:rsid w:val="00B569ED"/>
    <w:rsid w:val="00B56B21"/>
    <w:rsid w:val="00B56BD6"/>
    <w:rsid w:val="00B56C52"/>
    <w:rsid w:val="00B56CD5"/>
    <w:rsid w:val="00B56EA0"/>
    <w:rsid w:val="00B5704D"/>
    <w:rsid w:val="00B572CC"/>
    <w:rsid w:val="00B57340"/>
    <w:rsid w:val="00B5774E"/>
    <w:rsid w:val="00B57777"/>
    <w:rsid w:val="00B578A0"/>
    <w:rsid w:val="00B57913"/>
    <w:rsid w:val="00B57B51"/>
    <w:rsid w:val="00B57B68"/>
    <w:rsid w:val="00B57E4F"/>
    <w:rsid w:val="00B57EF1"/>
    <w:rsid w:val="00B60071"/>
    <w:rsid w:val="00B60096"/>
    <w:rsid w:val="00B60138"/>
    <w:rsid w:val="00B60201"/>
    <w:rsid w:val="00B60229"/>
    <w:rsid w:val="00B60339"/>
    <w:rsid w:val="00B603D4"/>
    <w:rsid w:val="00B605C4"/>
    <w:rsid w:val="00B60603"/>
    <w:rsid w:val="00B606B0"/>
    <w:rsid w:val="00B60B18"/>
    <w:rsid w:val="00B60BEE"/>
    <w:rsid w:val="00B60CA2"/>
    <w:rsid w:val="00B60D42"/>
    <w:rsid w:val="00B60D60"/>
    <w:rsid w:val="00B60DF9"/>
    <w:rsid w:val="00B612F6"/>
    <w:rsid w:val="00B614A9"/>
    <w:rsid w:val="00B6159C"/>
    <w:rsid w:val="00B6162D"/>
    <w:rsid w:val="00B61780"/>
    <w:rsid w:val="00B61C6C"/>
    <w:rsid w:val="00B61D02"/>
    <w:rsid w:val="00B61E56"/>
    <w:rsid w:val="00B61F1A"/>
    <w:rsid w:val="00B61F96"/>
    <w:rsid w:val="00B62018"/>
    <w:rsid w:val="00B6206A"/>
    <w:rsid w:val="00B62104"/>
    <w:rsid w:val="00B623BB"/>
    <w:rsid w:val="00B623E8"/>
    <w:rsid w:val="00B62641"/>
    <w:rsid w:val="00B628CB"/>
    <w:rsid w:val="00B62919"/>
    <w:rsid w:val="00B629AC"/>
    <w:rsid w:val="00B629EE"/>
    <w:rsid w:val="00B62AAD"/>
    <w:rsid w:val="00B62AAF"/>
    <w:rsid w:val="00B62BE9"/>
    <w:rsid w:val="00B62D73"/>
    <w:rsid w:val="00B62E1D"/>
    <w:rsid w:val="00B62E37"/>
    <w:rsid w:val="00B62F5C"/>
    <w:rsid w:val="00B62F7F"/>
    <w:rsid w:val="00B63066"/>
    <w:rsid w:val="00B6327F"/>
    <w:rsid w:val="00B632C3"/>
    <w:rsid w:val="00B632FD"/>
    <w:rsid w:val="00B633B8"/>
    <w:rsid w:val="00B6346C"/>
    <w:rsid w:val="00B63524"/>
    <w:rsid w:val="00B63757"/>
    <w:rsid w:val="00B63860"/>
    <w:rsid w:val="00B6394B"/>
    <w:rsid w:val="00B639AB"/>
    <w:rsid w:val="00B63AF4"/>
    <w:rsid w:val="00B63CB0"/>
    <w:rsid w:val="00B63D3F"/>
    <w:rsid w:val="00B63D4F"/>
    <w:rsid w:val="00B63DBF"/>
    <w:rsid w:val="00B63DE6"/>
    <w:rsid w:val="00B63EF8"/>
    <w:rsid w:val="00B63F7D"/>
    <w:rsid w:val="00B63F84"/>
    <w:rsid w:val="00B63FE5"/>
    <w:rsid w:val="00B63FFC"/>
    <w:rsid w:val="00B64207"/>
    <w:rsid w:val="00B64392"/>
    <w:rsid w:val="00B646D2"/>
    <w:rsid w:val="00B64833"/>
    <w:rsid w:val="00B6484E"/>
    <w:rsid w:val="00B64A8A"/>
    <w:rsid w:val="00B64B8A"/>
    <w:rsid w:val="00B64D17"/>
    <w:rsid w:val="00B64D23"/>
    <w:rsid w:val="00B64D92"/>
    <w:rsid w:val="00B64E5F"/>
    <w:rsid w:val="00B65078"/>
    <w:rsid w:val="00B65315"/>
    <w:rsid w:val="00B65359"/>
    <w:rsid w:val="00B653CC"/>
    <w:rsid w:val="00B653EA"/>
    <w:rsid w:val="00B65401"/>
    <w:rsid w:val="00B65424"/>
    <w:rsid w:val="00B654B0"/>
    <w:rsid w:val="00B654CB"/>
    <w:rsid w:val="00B65544"/>
    <w:rsid w:val="00B65840"/>
    <w:rsid w:val="00B65956"/>
    <w:rsid w:val="00B65A13"/>
    <w:rsid w:val="00B65A74"/>
    <w:rsid w:val="00B65A96"/>
    <w:rsid w:val="00B65AB2"/>
    <w:rsid w:val="00B65AC8"/>
    <w:rsid w:val="00B65B83"/>
    <w:rsid w:val="00B65BA0"/>
    <w:rsid w:val="00B65C0B"/>
    <w:rsid w:val="00B65C56"/>
    <w:rsid w:val="00B65C57"/>
    <w:rsid w:val="00B65CD0"/>
    <w:rsid w:val="00B65F5A"/>
    <w:rsid w:val="00B66355"/>
    <w:rsid w:val="00B66359"/>
    <w:rsid w:val="00B66675"/>
    <w:rsid w:val="00B669A1"/>
    <w:rsid w:val="00B66C89"/>
    <w:rsid w:val="00B66CBE"/>
    <w:rsid w:val="00B66CDE"/>
    <w:rsid w:val="00B66CF1"/>
    <w:rsid w:val="00B66E09"/>
    <w:rsid w:val="00B66E26"/>
    <w:rsid w:val="00B6706B"/>
    <w:rsid w:val="00B67143"/>
    <w:rsid w:val="00B67697"/>
    <w:rsid w:val="00B6786C"/>
    <w:rsid w:val="00B678AD"/>
    <w:rsid w:val="00B678BB"/>
    <w:rsid w:val="00B67A82"/>
    <w:rsid w:val="00B67C14"/>
    <w:rsid w:val="00B67C41"/>
    <w:rsid w:val="00B67D5D"/>
    <w:rsid w:val="00B67DDB"/>
    <w:rsid w:val="00B67EAF"/>
    <w:rsid w:val="00B67F95"/>
    <w:rsid w:val="00B67FAA"/>
    <w:rsid w:val="00B7001D"/>
    <w:rsid w:val="00B7031D"/>
    <w:rsid w:val="00B70389"/>
    <w:rsid w:val="00B70768"/>
    <w:rsid w:val="00B70772"/>
    <w:rsid w:val="00B7079D"/>
    <w:rsid w:val="00B707AE"/>
    <w:rsid w:val="00B707FB"/>
    <w:rsid w:val="00B708A0"/>
    <w:rsid w:val="00B7091A"/>
    <w:rsid w:val="00B70946"/>
    <w:rsid w:val="00B70A29"/>
    <w:rsid w:val="00B70D8E"/>
    <w:rsid w:val="00B70DC7"/>
    <w:rsid w:val="00B7133B"/>
    <w:rsid w:val="00B7134D"/>
    <w:rsid w:val="00B71431"/>
    <w:rsid w:val="00B718A9"/>
    <w:rsid w:val="00B7198A"/>
    <w:rsid w:val="00B71A52"/>
    <w:rsid w:val="00B71C4D"/>
    <w:rsid w:val="00B71DF3"/>
    <w:rsid w:val="00B71E5F"/>
    <w:rsid w:val="00B71F24"/>
    <w:rsid w:val="00B7229F"/>
    <w:rsid w:val="00B722A2"/>
    <w:rsid w:val="00B723D5"/>
    <w:rsid w:val="00B72438"/>
    <w:rsid w:val="00B72668"/>
    <w:rsid w:val="00B72723"/>
    <w:rsid w:val="00B727AA"/>
    <w:rsid w:val="00B727E8"/>
    <w:rsid w:val="00B728D0"/>
    <w:rsid w:val="00B72AD3"/>
    <w:rsid w:val="00B72EB6"/>
    <w:rsid w:val="00B72F8E"/>
    <w:rsid w:val="00B72FC6"/>
    <w:rsid w:val="00B73213"/>
    <w:rsid w:val="00B734C0"/>
    <w:rsid w:val="00B7364B"/>
    <w:rsid w:val="00B7379B"/>
    <w:rsid w:val="00B7390F"/>
    <w:rsid w:val="00B73AEF"/>
    <w:rsid w:val="00B73E23"/>
    <w:rsid w:val="00B73E71"/>
    <w:rsid w:val="00B73EAE"/>
    <w:rsid w:val="00B73F87"/>
    <w:rsid w:val="00B740DC"/>
    <w:rsid w:val="00B74166"/>
    <w:rsid w:val="00B741CD"/>
    <w:rsid w:val="00B743E7"/>
    <w:rsid w:val="00B74501"/>
    <w:rsid w:val="00B74705"/>
    <w:rsid w:val="00B7494A"/>
    <w:rsid w:val="00B74A52"/>
    <w:rsid w:val="00B74D23"/>
    <w:rsid w:val="00B74D5A"/>
    <w:rsid w:val="00B74F57"/>
    <w:rsid w:val="00B75127"/>
    <w:rsid w:val="00B753E3"/>
    <w:rsid w:val="00B7552B"/>
    <w:rsid w:val="00B75568"/>
    <w:rsid w:val="00B755B9"/>
    <w:rsid w:val="00B755D8"/>
    <w:rsid w:val="00B755E1"/>
    <w:rsid w:val="00B75711"/>
    <w:rsid w:val="00B75800"/>
    <w:rsid w:val="00B75914"/>
    <w:rsid w:val="00B75985"/>
    <w:rsid w:val="00B75AA4"/>
    <w:rsid w:val="00B75BFD"/>
    <w:rsid w:val="00B75DA7"/>
    <w:rsid w:val="00B75F29"/>
    <w:rsid w:val="00B75FED"/>
    <w:rsid w:val="00B75FFD"/>
    <w:rsid w:val="00B76223"/>
    <w:rsid w:val="00B7633A"/>
    <w:rsid w:val="00B76357"/>
    <w:rsid w:val="00B76383"/>
    <w:rsid w:val="00B764D2"/>
    <w:rsid w:val="00B766BD"/>
    <w:rsid w:val="00B76708"/>
    <w:rsid w:val="00B768E4"/>
    <w:rsid w:val="00B76CAA"/>
    <w:rsid w:val="00B76CB0"/>
    <w:rsid w:val="00B76D85"/>
    <w:rsid w:val="00B76DFC"/>
    <w:rsid w:val="00B77017"/>
    <w:rsid w:val="00B770D6"/>
    <w:rsid w:val="00B7710B"/>
    <w:rsid w:val="00B77288"/>
    <w:rsid w:val="00B772DC"/>
    <w:rsid w:val="00B7739B"/>
    <w:rsid w:val="00B773AE"/>
    <w:rsid w:val="00B773D8"/>
    <w:rsid w:val="00B774BC"/>
    <w:rsid w:val="00B776C3"/>
    <w:rsid w:val="00B77726"/>
    <w:rsid w:val="00B777F6"/>
    <w:rsid w:val="00B778D6"/>
    <w:rsid w:val="00B779BC"/>
    <w:rsid w:val="00B77B2E"/>
    <w:rsid w:val="00B77BE4"/>
    <w:rsid w:val="00B77C10"/>
    <w:rsid w:val="00B77C28"/>
    <w:rsid w:val="00B77C2D"/>
    <w:rsid w:val="00B77CFE"/>
    <w:rsid w:val="00B77EAE"/>
    <w:rsid w:val="00B77F64"/>
    <w:rsid w:val="00B77FA9"/>
    <w:rsid w:val="00B77FE6"/>
    <w:rsid w:val="00B8009A"/>
    <w:rsid w:val="00B80195"/>
    <w:rsid w:val="00B80449"/>
    <w:rsid w:val="00B80485"/>
    <w:rsid w:val="00B804B7"/>
    <w:rsid w:val="00B80652"/>
    <w:rsid w:val="00B8089F"/>
    <w:rsid w:val="00B809F3"/>
    <w:rsid w:val="00B80B7B"/>
    <w:rsid w:val="00B80B84"/>
    <w:rsid w:val="00B80C16"/>
    <w:rsid w:val="00B80CF3"/>
    <w:rsid w:val="00B80D35"/>
    <w:rsid w:val="00B80D73"/>
    <w:rsid w:val="00B80DD5"/>
    <w:rsid w:val="00B80DF5"/>
    <w:rsid w:val="00B81019"/>
    <w:rsid w:val="00B810EC"/>
    <w:rsid w:val="00B81145"/>
    <w:rsid w:val="00B81179"/>
    <w:rsid w:val="00B811B1"/>
    <w:rsid w:val="00B812FE"/>
    <w:rsid w:val="00B81383"/>
    <w:rsid w:val="00B816D0"/>
    <w:rsid w:val="00B816F0"/>
    <w:rsid w:val="00B817CF"/>
    <w:rsid w:val="00B81841"/>
    <w:rsid w:val="00B818AD"/>
    <w:rsid w:val="00B819EF"/>
    <w:rsid w:val="00B81B24"/>
    <w:rsid w:val="00B81B3C"/>
    <w:rsid w:val="00B81BAD"/>
    <w:rsid w:val="00B81C0B"/>
    <w:rsid w:val="00B81F04"/>
    <w:rsid w:val="00B82016"/>
    <w:rsid w:val="00B82457"/>
    <w:rsid w:val="00B82548"/>
    <w:rsid w:val="00B825A6"/>
    <w:rsid w:val="00B82689"/>
    <w:rsid w:val="00B8268F"/>
    <w:rsid w:val="00B8281C"/>
    <w:rsid w:val="00B82E14"/>
    <w:rsid w:val="00B83018"/>
    <w:rsid w:val="00B831C4"/>
    <w:rsid w:val="00B831DD"/>
    <w:rsid w:val="00B831FF"/>
    <w:rsid w:val="00B83285"/>
    <w:rsid w:val="00B834AD"/>
    <w:rsid w:val="00B836C1"/>
    <w:rsid w:val="00B839BE"/>
    <w:rsid w:val="00B83ACA"/>
    <w:rsid w:val="00B83B9C"/>
    <w:rsid w:val="00B83E10"/>
    <w:rsid w:val="00B83EEE"/>
    <w:rsid w:val="00B8409B"/>
    <w:rsid w:val="00B84230"/>
    <w:rsid w:val="00B84298"/>
    <w:rsid w:val="00B843BE"/>
    <w:rsid w:val="00B84434"/>
    <w:rsid w:val="00B8445F"/>
    <w:rsid w:val="00B844C6"/>
    <w:rsid w:val="00B84513"/>
    <w:rsid w:val="00B8454C"/>
    <w:rsid w:val="00B8455F"/>
    <w:rsid w:val="00B84574"/>
    <w:rsid w:val="00B84693"/>
    <w:rsid w:val="00B8472A"/>
    <w:rsid w:val="00B8477A"/>
    <w:rsid w:val="00B847D8"/>
    <w:rsid w:val="00B8495A"/>
    <w:rsid w:val="00B849E3"/>
    <w:rsid w:val="00B849E6"/>
    <w:rsid w:val="00B84BAB"/>
    <w:rsid w:val="00B84BC3"/>
    <w:rsid w:val="00B84C3B"/>
    <w:rsid w:val="00B84CF0"/>
    <w:rsid w:val="00B84E9A"/>
    <w:rsid w:val="00B84FD2"/>
    <w:rsid w:val="00B85010"/>
    <w:rsid w:val="00B850D5"/>
    <w:rsid w:val="00B8514C"/>
    <w:rsid w:val="00B851F1"/>
    <w:rsid w:val="00B852F0"/>
    <w:rsid w:val="00B8568F"/>
    <w:rsid w:val="00B857E2"/>
    <w:rsid w:val="00B85801"/>
    <w:rsid w:val="00B85A7A"/>
    <w:rsid w:val="00B85B4A"/>
    <w:rsid w:val="00B85B84"/>
    <w:rsid w:val="00B85CF1"/>
    <w:rsid w:val="00B85CF6"/>
    <w:rsid w:val="00B85F23"/>
    <w:rsid w:val="00B86146"/>
    <w:rsid w:val="00B861B7"/>
    <w:rsid w:val="00B861F6"/>
    <w:rsid w:val="00B862B5"/>
    <w:rsid w:val="00B86344"/>
    <w:rsid w:val="00B86527"/>
    <w:rsid w:val="00B86686"/>
    <w:rsid w:val="00B868BA"/>
    <w:rsid w:val="00B868CB"/>
    <w:rsid w:val="00B86B6D"/>
    <w:rsid w:val="00B86B87"/>
    <w:rsid w:val="00B86BA4"/>
    <w:rsid w:val="00B86BE3"/>
    <w:rsid w:val="00B86C57"/>
    <w:rsid w:val="00B86CC0"/>
    <w:rsid w:val="00B86FB3"/>
    <w:rsid w:val="00B871E8"/>
    <w:rsid w:val="00B872BB"/>
    <w:rsid w:val="00B8730A"/>
    <w:rsid w:val="00B87390"/>
    <w:rsid w:val="00B87518"/>
    <w:rsid w:val="00B875FE"/>
    <w:rsid w:val="00B8798B"/>
    <w:rsid w:val="00B87AB6"/>
    <w:rsid w:val="00B87C23"/>
    <w:rsid w:val="00B87D25"/>
    <w:rsid w:val="00B87E15"/>
    <w:rsid w:val="00B87FD9"/>
    <w:rsid w:val="00B90200"/>
    <w:rsid w:val="00B9042C"/>
    <w:rsid w:val="00B90450"/>
    <w:rsid w:val="00B905AC"/>
    <w:rsid w:val="00B9069B"/>
    <w:rsid w:val="00B90CBF"/>
    <w:rsid w:val="00B90D37"/>
    <w:rsid w:val="00B90E6C"/>
    <w:rsid w:val="00B90ED5"/>
    <w:rsid w:val="00B90FE8"/>
    <w:rsid w:val="00B91018"/>
    <w:rsid w:val="00B91055"/>
    <w:rsid w:val="00B91204"/>
    <w:rsid w:val="00B91281"/>
    <w:rsid w:val="00B913D4"/>
    <w:rsid w:val="00B9143A"/>
    <w:rsid w:val="00B917F3"/>
    <w:rsid w:val="00B91861"/>
    <w:rsid w:val="00B918C9"/>
    <w:rsid w:val="00B918E7"/>
    <w:rsid w:val="00B91A0B"/>
    <w:rsid w:val="00B91B97"/>
    <w:rsid w:val="00B91C05"/>
    <w:rsid w:val="00B91D41"/>
    <w:rsid w:val="00B91D60"/>
    <w:rsid w:val="00B91ECC"/>
    <w:rsid w:val="00B91F9B"/>
    <w:rsid w:val="00B9217E"/>
    <w:rsid w:val="00B923DE"/>
    <w:rsid w:val="00B924CE"/>
    <w:rsid w:val="00B9256A"/>
    <w:rsid w:val="00B92864"/>
    <w:rsid w:val="00B928B1"/>
    <w:rsid w:val="00B928E5"/>
    <w:rsid w:val="00B92A12"/>
    <w:rsid w:val="00B92D86"/>
    <w:rsid w:val="00B92E94"/>
    <w:rsid w:val="00B93031"/>
    <w:rsid w:val="00B931C7"/>
    <w:rsid w:val="00B93237"/>
    <w:rsid w:val="00B93258"/>
    <w:rsid w:val="00B932F2"/>
    <w:rsid w:val="00B93468"/>
    <w:rsid w:val="00B9348C"/>
    <w:rsid w:val="00B93A2B"/>
    <w:rsid w:val="00B93B0D"/>
    <w:rsid w:val="00B93DC1"/>
    <w:rsid w:val="00B93E45"/>
    <w:rsid w:val="00B93E59"/>
    <w:rsid w:val="00B93F43"/>
    <w:rsid w:val="00B93F64"/>
    <w:rsid w:val="00B940C2"/>
    <w:rsid w:val="00B94152"/>
    <w:rsid w:val="00B943E9"/>
    <w:rsid w:val="00B944DB"/>
    <w:rsid w:val="00B94563"/>
    <w:rsid w:val="00B9473D"/>
    <w:rsid w:val="00B94811"/>
    <w:rsid w:val="00B9485C"/>
    <w:rsid w:val="00B94911"/>
    <w:rsid w:val="00B94921"/>
    <w:rsid w:val="00B949D6"/>
    <w:rsid w:val="00B949E7"/>
    <w:rsid w:val="00B94B55"/>
    <w:rsid w:val="00B94C26"/>
    <w:rsid w:val="00B94C5E"/>
    <w:rsid w:val="00B94F4A"/>
    <w:rsid w:val="00B9508D"/>
    <w:rsid w:val="00B950B4"/>
    <w:rsid w:val="00B9512C"/>
    <w:rsid w:val="00B952CF"/>
    <w:rsid w:val="00B9541E"/>
    <w:rsid w:val="00B954BC"/>
    <w:rsid w:val="00B9560F"/>
    <w:rsid w:val="00B958F8"/>
    <w:rsid w:val="00B959B2"/>
    <w:rsid w:val="00B959F3"/>
    <w:rsid w:val="00B959F9"/>
    <w:rsid w:val="00B95A36"/>
    <w:rsid w:val="00B95B5F"/>
    <w:rsid w:val="00B95B76"/>
    <w:rsid w:val="00B95DE7"/>
    <w:rsid w:val="00B95EB8"/>
    <w:rsid w:val="00B95F2D"/>
    <w:rsid w:val="00B9608F"/>
    <w:rsid w:val="00B960B4"/>
    <w:rsid w:val="00B9614D"/>
    <w:rsid w:val="00B963BA"/>
    <w:rsid w:val="00B96460"/>
    <w:rsid w:val="00B96651"/>
    <w:rsid w:val="00B966A5"/>
    <w:rsid w:val="00B9682F"/>
    <w:rsid w:val="00B9693A"/>
    <w:rsid w:val="00B96D9B"/>
    <w:rsid w:val="00B96DEB"/>
    <w:rsid w:val="00B97048"/>
    <w:rsid w:val="00B9720C"/>
    <w:rsid w:val="00B9726B"/>
    <w:rsid w:val="00B97395"/>
    <w:rsid w:val="00B9750C"/>
    <w:rsid w:val="00B97830"/>
    <w:rsid w:val="00B978B5"/>
    <w:rsid w:val="00B978F8"/>
    <w:rsid w:val="00B97926"/>
    <w:rsid w:val="00B97AF6"/>
    <w:rsid w:val="00B97B83"/>
    <w:rsid w:val="00B97BBE"/>
    <w:rsid w:val="00B97F47"/>
    <w:rsid w:val="00BA016D"/>
    <w:rsid w:val="00BA03D3"/>
    <w:rsid w:val="00BA04D6"/>
    <w:rsid w:val="00BA064B"/>
    <w:rsid w:val="00BA0688"/>
    <w:rsid w:val="00BA068C"/>
    <w:rsid w:val="00BA069A"/>
    <w:rsid w:val="00BA06E4"/>
    <w:rsid w:val="00BA0A00"/>
    <w:rsid w:val="00BA0A2C"/>
    <w:rsid w:val="00BA0AF0"/>
    <w:rsid w:val="00BA0C3A"/>
    <w:rsid w:val="00BA0DB2"/>
    <w:rsid w:val="00BA0DC9"/>
    <w:rsid w:val="00BA0E05"/>
    <w:rsid w:val="00BA0EA3"/>
    <w:rsid w:val="00BA0EF1"/>
    <w:rsid w:val="00BA0F36"/>
    <w:rsid w:val="00BA11E4"/>
    <w:rsid w:val="00BA12CF"/>
    <w:rsid w:val="00BA131E"/>
    <w:rsid w:val="00BA1513"/>
    <w:rsid w:val="00BA155D"/>
    <w:rsid w:val="00BA1680"/>
    <w:rsid w:val="00BA172A"/>
    <w:rsid w:val="00BA1AAB"/>
    <w:rsid w:val="00BA1B15"/>
    <w:rsid w:val="00BA1B1E"/>
    <w:rsid w:val="00BA1B79"/>
    <w:rsid w:val="00BA1F8A"/>
    <w:rsid w:val="00BA1FA3"/>
    <w:rsid w:val="00BA1FE3"/>
    <w:rsid w:val="00BA203B"/>
    <w:rsid w:val="00BA20B1"/>
    <w:rsid w:val="00BA2145"/>
    <w:rsid w:val="00BA2293"/>
    <w:rsid w:val="00BA246D"/>
    <w:rsid w:val="00BA2676"/>
    <w:rsid w:val="00BA27BF"/>
    <w:rsid w:val="00BA2878"/>
    <w:rsid w:val="00BA2CFE"/>
    <w:rsid w:val="00BA2D36"/>
    <w:rsid w:val="00BA2DEC"/>
    <w:rsid w:val="00BA2E35"/>
    <w:rsid w:val="00BA3124"/>
    <w:rsid w:val="00BA3212"/>
    <w:rsid w:val="00BA34B9"/>
    <w:rsid w:val="00BA3576"/>
    <w:rsid w:val="00BA3849"/>
    <w:rsid w:val="00BA38DE"/>
    <w:rsid w:val="00BA395D"/>
    <w:rsid w:val="00BA3A5D"/>
    <w:rsid w:val="00BA3B10"/>
    <w:rsid w:val="00BA3B73"/>
    <w:rsid w:val="00BA3B87"/>
    <w:rsid w:val="00BA3C6A"/>
    <w:rsid w:val="00BA3C6C"/>
    <w:rsid w:val="00BA3CE1"/>
    <w:rsid w:val="00BA3D39"/>
    <w:rsid w:val="00BA3EEC"/>
    <w:rsid w:val="00BA41CF"/>
    <w:rsid w:val="00BA422F"/>
    <w:rsid w:val="00BA432B"/>
    <w:rsid w:val="00BA4403"/>
    <w:rsid w:val="00BA45DB"/>
    <w:rsid w:val="00BA4665"/>
    <w:rsid w:val="00BA4734"/>
    <w:rsid w:val="00BA48DB"/>
    <w:rsid w:val="00BA4914"/>
    <w:rsid w:val="00BA49C1"/>
    <w:rsid w:val="00BA4AD9"/>
    <w:rsid w:val="00BA4B01"/>
    <w:rsid w:val="00BA4F16"/>
    <w:rsid w:val="00BA53FD"/>
    <w:rsid w:val="00BA550A"/>
    <w:rsid w:val="00BA579B"/>
    <w:rsid w:val="00BA59DD"/>
    <w:rsid w:val="00BA5A82"/>
    <w:rsid w:val="00BA5B53"/>
    <w:rsid w:val="00BA5CA8"/>
    <w:rsid w:val="00BA5D3B"/>
    <w:rsid w:val="00BA5F1F"/>
    <w:rsid w:val="00BA5FD8"/>
    <w:rsid w:val="00BA6162"/>
    <w:rsid w:val="00BA618B"/>
    <w:rsid w:val="00BA6386"/>
    <w:rsid w:val="00BA63E9"/>
    <w:rsid w:val="00BA63F9"/>
    <w:rsid w:val="00BA6425"/>
    <w:rsid w:val="00BA6500"/>
    <w:rsid w:val="00BA652B"/>
    <w:rsid w:val="00BA653C"/>
    <w:rsid w:val="00BA6732"/>
    <w:rsid w:val="00BA6872"/>
    <w:rsid w:val="00BA68A7"/>
    <w:rsid w:val="00BA6A38"/>
    <w:rsid w:val="00BA6AC5"/>
    <w:rsid w:val="00BA6CFE"/>
    <w:rsid w:val="00BA6E84"/>
    <w:rsid w:val="00BA6EF8"/>
    <w:rsid w:val="00BA6F0B"/>
    <w:rsid w:val="00BA6F74"/>
    <w:rsid w:val="00BA6FAE"/>
    <w:rsid w:val="00BA7220"/>
    <w:rsid w:val="00BA727C"/>
    <w:rsid w:val="00BA7296"/>
    <w:rsid w:val="00BA7299"/>
    <w:rsid w:val="00BA747D"/>
    <w:rsid w:val="00BA7481"/>
    <w:rsid w:val="00BA7960"/>
    <w:rsid w:val="00BA7A0C"/>
    <w:rsid w:val="00BA7BCA"/>
    <w:rsid w:val="00BA7C76"/>
    <w:rsid w:val="00BA7CB4"/>
    <w:rsid w:val="00BA7CFE"/>
    <w:rsid w:val="00BA7DF6"/>
    <w:rsid w:val="00BB00DB"/>
    <w:rsid w:val="00BB0140"/>
    <w:rsid w:val="00BB01EF"/>
    <w:rsid w:val="00BB040F"/>
    <w:rsid w:val="00BB0595"/>
    <w:rsid w:val="00BB06B8"/>
    <w:rsid w:val="00BB0922"/>
    <w:rsid w:val="00BB09F0"/>
    <w:rsid w:val="00BB09FD"/>
    <w:rsid w:val="00BB0AB0"/>
    <w:rsid w:val="00BB0AE4"/>
    <w:rsid w:val="00BB0B41"/>
    <w:rsid w:val="00BB0B45"/>
    <w:rsid w:val="00BB0B9A"/>
    <w:rsid w:val="00BB0C64"/>
    <w:rsid w:val="00BB0CEF"/>
    <w:rsid w:val="00BB1012"/>
    <w:rsid w:val="00BB1029"/>
    <w:rsid w:val="00BB10DD"/>
    <w:rsid w:val="00BB1177"/>
    <w:rsid w:val="00BB118A"/>
    <w:rsid w:val="00BB1312"/>
    <w:rsid w:val="00BB16E1"/>
    <w:rsid w:val="00BB1767"/>
    <w:rsid w:val="00BB177B"/>
    <w:rsid w:val="00BB186A"/>
    <w:rsid w:val="00BB2022"/>
    <w:rsid w:val="00BB206B"/>
    <w:rsid w:val="00BB21D5"/>
    <w:rsid w:val="00BB2240"/>
    <w:rsid w:val="00BB22CA"/>
    <w:rsid w:val="00BB22EA"/>
    <w:rsid w:val="00BB254E"/>
    <w:rsid w:val="00BB25C5"/>
    <w:rsid w:val="00BB2646"/>
    <w:rsid w:val="00BB2713"/>
    <w:rsid w:val="00BB28C3"/>
    <w:rsid w:val="00BB295A"/>
    <w:rsid w:val="00BB2960"/>
    <w:rsid w:val="00BB2B84"/>
    <w:rsid w:val="00BB2C27"/>
    <w:rsid w:val="00BB2D35"/>
    <w:rsid w:val="00BB2D69"/>
    <w:rsid w:val="00BB2E05"/>
    <w:rsid w:val="00BB300A"/>
    <w:rsid w:val="00BB33EF"/>
    <w:rsid w:val="00BB3603"/>
    <w:rsid w:val="00BB3658"/>
    <w:rsid w:val="00BB36C0"/>
    <w:rsid w:val="00BB380C"/>
    <w:rsid w:val="00BB38DE"/>
    <w:rsid w:val="00BB39E2"/>
    <w:rsid w:val="00BB3A86"/>
    <w:rsid w:val="00BB3BAC"/>
    <w:rsid w:val="00BB3C4C"/>
    <w:rsid w:val="00BB3E9E"/>
    <w:rsid w:val="00BB3F4C"/>
    <w:rsid w:val="00BB3F50"/>
    <w:rsid w:val="00BB3FAB"/>
    <w:rsid w:val="00BB417A"/>
    <w:rsid w:val="00BB4197"/>
    <w:rsid w:val="00BB422F"/>
    <w:rsid w:val="00BB4311"/>
    <w:rsid w:val="00BB4331"/>
    <w:rsid w:val="00BB433D"/>
    <w:rsid w:val="00BB4430"/>
    <w:rsid w:val="00BB4844"/>
    <w:rsid w:val="00BB489E"/>
    <w:rsid w:val="00BB4E32"/>
    <w:rsid w:val="00BB4E8B"/>
    <w:rsid w:val="00BB4EA4"/>
    <w:rsid w:val="00BB4FAC"/>
    <w:rsid w:val="00BB51B0"/>
    <w:rsid w:val="00BB5348"/>
    <w:rsid w:val="00BB544A"/>
    <w:rsid w:val="00BB549C"/>
    <w:rsid w:val="00BB54D1"/>
    <w:rsid w:val="00BB55AC"/>
    <w:rsid w:val="00BB5906"/>
    <w:rsid w:val="00BB59A1"/>
    <w:rsid w:val="00BB5C16"/>
    <w:rsid w:val="00BB5C1D"/>
    <w:rsid w:val="00BB5EB0"/>
    <w:rsid w:val="00BB5F77"/>
    <w:rsid w:val="00BB6064"/>
    <w:rsid w:val="00BB609B"/>
    <w:rsid w:val="00BB61B4"/>
    <w:rsid w:val="00BB6225"/>
    <w:rsid w:val="00BB62AB"/>
    <w:rsid w:val="00BB6316"/>
    <w:rsid w:val="00BB6322"/>
    <w:rsid w:val="00BB637C"/>
    <w:rsid w:val="00BB6518"/>
    <w:rsid w:val="00BB6547"/>
    <w:rsid w:val="00BB6572"/>
    <w:rsid w:val="00BB65AB"/>
    <w:rsid w:val="00BB6672"/>
    <w:rsid w:val="00BB668E"/>
    <w:rsid w:val="00BB66C7"/>
    <w:rsid w:val="00BB6AA2"/>
    <w:rsid w:val="00BB6C2D"/>
    <w:rsid w:val="00BB6CFB"/>
    <w:rsid w:val="00BB720A"/>
    <w:rsid w:val="00BB727F"/>
    <w:rsid w:val="00BB72DC"/>
    <w:rsid w:val="00BB74DA"/>
    <w:rsid w:val="00BB76C5"/>
    <w:rsid w:val="00BB76DE"/>
    <w:rsid w:val="00BB7AD2"/>
    <w:rsid w:val="00BB7B4E"/>
    <w:rsid w:val="00BB7BE3"/>
    <w:rsid w:val="00BB7C13"/>
    <w:rsid w:val="00BB7C39"/>
    <w:rsid w:val="00BB7C99"/>
    <w:rsid w:val="00BB7E29"/>
    <w:rsid w:val="00BB7E80"/>
    <w:rsid w:val="00BC0176"/>
    <w:rsid w:val="00BC0356"/>
    <w:rsid w:val="00BC0368"/>
    <w:rsid w:val="00BC03C3"/>
    <w:rsid w:val="00BC0408"/>
    <w:rsid w:val="00BC0694"/>
    <w:rsid w:val="00BC0788"/>
    <w:rsid w:val="00BC07B6"/>
    <w:rsid w:val="00BC0888"/>
    <w:rsid w:val="00BC0A8A"/>
    <w:rsid w:val="00BC0C5E"/>
    <w:rsid w:val="00BC0D9E"/>
    <w:rsid w:val="00BC0DA7"/>
    <w:rsid w:val="00BC102C"/>
    <w:rsid w:val="00BC10A0"/>
    <w:rsid w:val="00BC1799"/>
    <w:rsid w:val="00BC17D7"/>
    <w:rsid w:val="00BC1A68"/>
    <w:rsid w:val="00BC1A6E"/>
    <w:rsid w:val="00BC1ACF"/>
    <w:rsid w:val="00BC1C9B"/>
    <w:rsid w:val="00BC1E95"/>
    <w:rsid w:val="00BC2018"/>
    <w:rsid w:val="00BC2089"/>
    <w:rsid w:val="00BC2381"/>
    <w:rsid w:val="00BC238B"/>
    <w:rsid w:val="00BC24D7"/>
    <w:rsid w:val="00BC2638"/>
    <w:rsid w:val="00BC2751"/>
    <w:rsid w:val="00BC27D2"/>
    <w:rsid w:val="00BC29A7"/>
    <w:rsid w:val="00BC2A9E"/>
    <w:rsid w:val="00BC2CC5"/>
    <w:rsid w:val="00BC2CDB"/>
    <w:rsid w:val="00BC2D43"/>
    <w:rsid w:val="00BC2D52"/>
    <w:rsid w:val="00BC2DDD"/>
    <w:rsid w:val="00BC2EE6"/>
    <w:rsid w:val="00BC3022"/>
    <w:rsid w:val="00BC31EF"/>
    <w:rsid w:val="00BC31F2"/>
    <w:rsid w:val="00BC32AA"/>
    <w:rsid w:val="00BC3386"/>
    <w:rsid w:val="00BC355F"/>
    <w:rsid w:val="00BC3673"/>
    <w:rsid w:val="00BC37AC"/>
    <w:rsid w:val="00BC38CD"/>
    <w:rsid w:val="00BC38D0"/>
    <w:rsid w:val="00BC395D"/>
    <w:rsid w:val="00BC39F9"/>
    <w:rsid w:val="00BC3AFD"/>
    <w:rsid w:val="00BC3BFC"/>
    <w:rsid w:val="00BC4024"/>
    <w:rsid w:val="00BC40CB"/>
    <w:rsid w:val="00BC4125"/>
    <w:rsid w:val="00BC41AD"/>
    <w:rsid w:val="00BC428A"/>
    <w:rsid w:val="00BC42C9"/>
    <w:rsid w:val="00BC4443"/>
    <w:rsid w:val="00BC4450"/>
    <w:rsid w:val="00BC4476"/>
    <w:rsid w:val="00BC45A8"/>
    <w:rsid w:val="00BC46FB"/>
    <w:rsid w:val="00BC492C"/>
    <w:rsid w:val="00BC49DA"/>
    <w:rsid w:val="00BC4B0B"/>
    <w:rsid w:val="00BC4D2B"/>
    <w:rsid w:val="00BC4D8E"/>
    <w:rsid w:val="00BC4E2F"/>
    <w:rsid w:val="00BC4F9F"/>
    <w:rsid w:val="00BC5006"/>
    <w:rsid w:val="00BC5043"/>
    <w:rsid w:val="00BC505C"/>
    <w:rsid w:val="00BC5149"/>
    <w:rsid w:val="00BC52FE"/>
    <w:rsid w:val="00BC5312"/>
    <w:rsid w:val="00BC53B7"/>
    <w:rsid w:val="00BC578E"/>
    <w:rsid w:val="00BC58E9"/>
    <w:rsid w:val="00BC5DA9"/>
    <w:rsid w:val="00BC5DEE"/>
    <w:rsid w:val="00BC5F25"/>
    <w:rsid w:val="00BC5F64"/>
    <w:rsid w:val="00BC62C0"/>
    <w:rsid w:val="00BC64AD"/>
    <w:rsid w:val="00BC6502"/>
    <w:rsid w:val="00BC6693"/>
    <w:rsid w:val="00BC6760"/>
    <w:rsid w:val="00BC69AA"/>
    <w:rsid w:val="00BC6A6A"/>
    <w:rsid w:val="00BC6ABE"/>
    <w:rsid w:val="00BC6B3A"/>
    <w:rsid w:val="00BC6D13"/>
    <w:rsid w:val="00BC6D68"/>
    <w:rsid w:val="00BC71C0"/>
    <w:rsid w:val="00BC71C5"/>
    <w:rsid w:val="00BC71CE"/>
    <w:rsid w:val="00BC74D8"/>
    <w:rsid w:val="00BC7566"/>
    <w:rsid w:val="00BC76C8"/>
    <w:rsid w:val="00BC76DC"/>
    <w:rsid w:val="00BC7919"/>
    <w:rsid w:val="00BC7946"/>
    <w:rsid w:val="00BC7BBE"/>
    <w:rsid w:val="00BC7DC3"/>
    <w:rsid w:val="00BC7FC1"/>
    <w:rsid w:val="00BD02A4"/>
    <w:rsid w:val="00BD02BF"/>
    <w:rsid w:val="00BD0313"/>
    <w:rsid w:val="00BD0392"/>
    <w:rsid w:val="00BD03D8"/>
    <w:rsid w:val="00BD0645"/>
    <w:rsid w:val="00BD06CE"/>
    <w:rsid w:val="00BD070B"/>
    <w:rsid w:val="00BD08C9"/>
    <w:rsid w:val="00BD0992"/>
    <w:rsid w:val="00BD09FC"/>
    <w:rsid w:val="00BD0B90"/>
    <w:rsid w:val="00BD0BC8"/>
    <w:rsid w:val="00BD0CFB"/>
    <w:rsid w:val="00BD0D80"/>
    <w:rsid w:val="00BD0DAD"/>
    <w:rsid w:val="00BD0E69"/>
    <w:rsid w:val="00BD0FF5"/>
    <w:rsid w:val="00BD1089"/>
    <w:rsid w:val="00BD122E"/>
    <w:rsid w:val="00BD128F"/>
    <w:rsid w:val="00BD162E"/>
    <w:rsid w:val="00BD172F"/>
    <w:rsid w:val="00BD18C0"/>
    <w:rsid w:val="00BD1962"/>
    <w:rsid w:val="00BD1A4B"/>
    <w:rsid w:val="00BD1CA1"/>
    <w:rsid w:val="00BD1D05"/>
    <w:rsid w:val="00BD1F6B"/>
    <w:rsid w:val="00BD2008"/>
    <w:rsid w:val="00BD202C"/>
    <w:rsid w:val="00BD2083"/>
    <w:rsid w:val="00BD20FC"/>
    <w:rsid w:val="00BD214E"/>
    <w:rsid w:val="00BD21A7"/>
    <w:rsid w:val="00BD2353"/>
    <w:rsid w:val="00BD2463"/>
    <w:rsid w:val="00BD246E"/>
    <w:rsid w:val="00BD2556"/>
    <w:rsid w:val="00BD263D"/>
    <w:rsid w:val="00BD269F"/>
    <w:rsid w:val="00BD273C"/>
    <w:rsid w:val="00BD2747"/>
    <w:rsid w:val="00BD2762"/>
    <w:rsid w:val="00BD28DF"/>
    <w:rsid w:val="00BD29EF"/>
    <w:rsid w:val="00BD2A6B"/>
    <w:rsid w:val="00BD2B29"/>
    <w:rsid w:val="00BD2B59"/>
    <w:rsid w:val="00BD2BEB"/>
    <w:rsid w:val="00BD2C82"/>
    <w:rsid w:val="00BD2CF9"/>
    <w:rsid w:val="00BD2DF8"/>
    <w:rsid w:val="00BD2FC4"/>
    <w:rsid w:val="00BD3239"/>
    <w:rsid w:val="00BD3252"/>
    <w:rsid w:val="00BD337A"/>
    <w:rsid w:val="00BD34F5"/>
    <w:rsid w:val="00BD351B"/>
    <w:rsid w:val="00BD35C6"/>
    <w:rsid w:val="00BD3934"/>
    <w:rsid w:val="00BD3A1D"/>
    <w:rsid w:val="00BD3BB4"/>
    <w:rsid w:val="00BD3D51"/>
    <w:rsid w:val="00BD409E"/>
    <w:rsid w:val="00BD41A9"/>
    <w:rsid w:val="00BD4314"/>
    <w:rsid w:val="00BD4379"/>
    <w:rsid w:val="00BD43DD"/>
    <w:rsid w:val="00BD4438"/>
    <w:rsid w:val="00BD4938"/>
    <w:rsid w:val="00BD497C"/>
    <w:rsid w:val="00BD4B06"/>
    <w:rsid w:val="00BD4C72"/>
    <w:rsid w:val="00BD4D61"/>
    <w:rsid w:val="00BD5305"/>
    <w:rsid w:val="00BD533E"/>
    <w:rsid w:val="00BD53F9"/>
    <w:rsid w:val="00BD5762"/>
    <w:rsid w:val="00BD594C"/>
    <w:rsid w:val="00BD59B6"/>
    <w:rsid w:val="00BD5ADA"/>
    <w:rsid w:val="00BD5ADF"/>
    <w:rsid w:val="00BD5AF0"/>
    <w:rsid w:val="00BD5D44"/>
    <w:rsid w:val="00BD5D55"/>
    <w:rsid w:val="00BD6051"/>
    <w:rsid w:val="00BD6281"/>
    <w:rsid w:val="00BD63DE"/>
    <w:rsid w:val="00BD640D"/>
    <w:rsid w:val="00BD644B"/>
    <w:rsid w:val="00BD6567"/>
    <w:rsid w:val="00BD66AD"/>
    <w:rsid w:val="00BD67FD"/>
    <w:rsid w:val="00BD6A8C"/>
    <w:rsid w:val="00BD6DBF"/>
    <w:rsid w:val="00BD6DFB"/>
    <w:rsid w:val="00BD6E52"/>
    <w:rsid w:val="00BD6E5A"/>
    <w:rsid w:val="00BD6FF1"/>
    <w:rsid w:val="00BD70FD"/>
    <w:rsid w:val="00BD7252"/>
    <w:rsid w:val="00BD7386"/>
    <w:rsid w:val="00BD76C3"/>
    <w:rsid w:val="00BD77BA"/>
    <w:rsid w:val="00BD7845"/>
    <w:rsid w:val="00BD786F"/>
    <w:rsid w:val="00BD79D0"/>
    <w:rsid w:val="00BD7A5B"/>
    <w:rsid w:val="00BD7CC2"/>
    <w:rsid w:val="00BD7CD4"/>
    <w:rsid w:val="00BD7D05"/>
    <w:rsid w:val="00BD7D69"/>
    <w:rsid w:val="00BD7DCE"/>
    <w:rsid w:val="00BD7E46"/>
    <w:rsid w:val="00BD7E9F"/>
    <w:rsid w:val="00BD7F27"/>
    <w:rsid w:val="00BD7FE2"/>
    <w:rsid w:val="00BE005A"/>
    <w:rsid w:val="00BE0105"/>
    <w:rsid w:val="00BE0155"/>
    <w:rsid w:val="00BE0174"/>
    <w:rsid w:val="00BE0190"/>
    <w:rsid w:val="00BE01B8"/>
    <w:rsid w:val="00BE02F6"/>
    <w:rsid w:val="00BE032B"/>
    <w:rsid w:val="00BE03B3"/>
    <w:rsid w:val="00BE05D7"/>
    <w:rsid w:val="00BE0894"/>
    <w:rsid w:val="00BE0903"/>
    <w:rsid w:val="00BE0B6B"/>
    <w:rsid w:val="00BE0BF9"/>
    <w:rsid w:val="00BE0C91"/>
    <w:rsid w:val="00BE0F21"/>
    <w:rsid w:val="00BE118F"/>
    <w:rsid w:val="00BE11C1"/>
    <w:rsid w:val="00BE133A"/>
    <w:rsid w:val="00BE1367"/>
    <w:rsid w:val="00BE13BD"/>
    <w:rsid w:val="00BE13EA"/>
    <w:rsid w:val="00BE14C8"/>
    <w:rsid w:val="00BE15AB"/>
    <w:rsid w:val="00BE15B2"/>
    <w:rsid w:val="00BE1620"/>
    <w:rsid w:val="00BE16EA"/>
    <w:rsid w:val="00BE16F8"/>
    <w:rsid w:val="00BE175D"/>
    <w:rsid w:val="00BE1B36"/>
    <w:rsid w:val="00BE1B39"/>
    <w:rsid w:val="00BE1DEF"/>
    <w:rsid w:val="00BE1F74"/>
    <w:rsid w:val="00BE2052"/>
    <w:rsid w:val="00BE20A9"/>
    <w:rsid w:val="00BE227E"/>
    <w:rsid w:val="00BE2354"/>
    <w:rsid w:val="00BE24B5"/>
    <w:rsid w:val="00BE2594"/>
    <w:rsid w:val="00BE265B"/>
    <w:rsid w:val="00BE2698"/>
    <w:rsid w:val="00BE2873"/>
    <w:rsid w:val="00BE2950"/>
    <w:rsid w:val="00BE29C5"/>
    <w:rsid w:val="00BE2A50"/>
    <w:rsid w:val="00BE2A98"/>
    <w:rsid w:val="00BE2CB1"/>
    <w:rsid w:val="00BE2CC9"/>
    <w:rsid w:val="00BE2D14"/>
    <w:rsid w:val="00BE2DA9"/>
    <w:rsid w:val="00BE2F01"/>
    <w:rsid w:val="00BE3025"/>
    <w:rsid w:val="00BE32C4"/>
    <w:rsid w:val="00BE3418"/>
    <w:rsid w:val="00BE34D0"/>
    <w:rsid w:val="00BE3609"/>
    <w:rsid w:val="00BE390A"/>
    <w:rsid w:val="00BE393F"/>
    <w:rsid w:val="00BE3982"/>
    <w:rsid w:val="00BE39D0"/>
    <w:rsid w:val="00BE3AC9"/>
    <w:rsid w:val="00BE3ACD"/>
    <w:rsid w:val="00BE3BDE"/>
    <w:rsid w:val="00BE3C5E"/>
    <w:rsid w:val="00BE3C67"/>
    <w:rsid w:val="00BE3D7E"/>
    <w:rsid w:val="00BE3F43"/>
    <w:rsid w:val="00BE407C"/>
    <w:rsid w:val="00BE40D7"/>
    <w:rsid w:val="00BE4230"/>
    <w:rsid w:val="00BE4498"/>
    <w:rsid w:val="00BE44A6"/>
    <w:rsid w:val="00BE45EA"/>
    <w:rsid w:val="00BE4630"/>
    <w:rsid w:val="00BE48EE"/>
    <w:rsid w:val="00BE4981"/>
    <w:rsid w:val="00BE4ABF"/>
    <w:rsid w:val="00BE4DD8"/>
    <w:rsid w:val="00BE4E59"/>
    <w:rsid w:val="00BE51CF"/>
    <w:rsid w:val="00BE5236"/>
    <w:rsid w:val="00BE527C"/>
    <w:rsid w:val="00BE53D7"/>
    <w:rsid w:val="00BE560B"/>
    <w:rsid w:val="00BE5684"/>
    <w:rsid w:val="00BE569E"/>
    <w:rsid w:val="00BE5705"/>
    <w:rsid w:val="00BE597D"/>
    <w:rsid w:val="00BE5CD2"/>
    <w:rsid w:val="00BE5CF3"/>
    <w:rsid w:val="00BE5D6B"/>
    <w:rsid w:val="00BE5F55"/>
    <w:rsid w:val="00BE608E"/>
    <w:rsid w:val="00BE6096"/>
    <w:rsid w:val="00BE6354"/>
    <w:rsid w:val="00BE6499"/>
    <w:rsid w:val="00BE64C6"/>
    <w:rsid w:val="00BE6578"/>
    <w:rsid w:val="00BE660A"/>
    <w:rsid w:val="00BE66B9"/>
    <w:rsid w:val="00BE680E"/>
    <w:rsid w:val="00BE6858"/>
    <w:rsid w:val="00BE68D6"/>
    <w:rsid w:val="00BE6AA2"/>
    <w:rsid w:val="00BE6AF3"/>
    <w:rsid w:val="00BE6B4F"/>
    <w:rsid w:val="00BE6F40"/>
    <w:rsid w:val="00BE702F"/>
    <w:rsid w:val="00BE704E"/>
    <w:rsid w:val="00BE70C9"/>
    <w:rsid w:val="00BE70E9"/>
    <w:rsid w:val="00BE71A5"/>
    <w:rsid w:val="00BE73AB"/>
    <w:rsid w:val="00BE74BE"/>
    <w:rsid w:val="00BE77A8"/>
    <w:rsid w:val="00BE77D0"/>
    <w:rsid w:val="00BE784B"/>
    <w:rsid w:val="00BE78A2"/>
    <w:rsid w:val="00BE7946"/>
    <w:rsid w:val="00BE799B"/>
    <w:rsid w:val="00BE7A1D"/>
    <w:rsid w:val="00BE7A87"/>
    <w:rsid w:val="00BE7B77"/>
    <w:rsid w:val="00BE7BF1"/>
    <w:rsid w:val="00BE7DE1"/>
    <w:rsid w:val="00BE7DE2"/>
    <w:rsid w:val="00BE7E1B"/>
    <w:rsid w:val="00BE7EC5"/>
    <w:rsid w:val="00BE7EEE"/>
    <w:rsid w:val="00BF00A4"/>
    <w:rsid w:val="00BF02AF"/>
    <w:rsid w:val="00BF03F4"/>
    <w:rsid w:val="00BF0513"/>
    <w:rsid w:val="00BF0629"/>
    <w:rsid w:val="00BF0917"/>
    <w:rsid w:val="00BF09B8"/>
    <w:rsid w:val="00BF09E2"/>
    <w:rsid w:val="00BF0ADF"/>
    <w:rsid w:val="00BF0B38"/>
    <w:rsid w:val="00BF0B4B"/>
    <w:rsid w:val="00BF0D78"/>
    <w:rsid w:val="00BF0F19"/>
    <w:rsid w:val="00BF0FC8"/>
    <w:rsid w:val="00BF10EB"/>
    <w:rsid w:val="00BF129E"/>
    <w:rsid w:val="00BF12FD"/>
    <w:rsid w:val="00BF1395"/>
    <w:rsid w:val="00BF1666"/>
    <w:rsid w:val="00BF1A38"/>
    <w:rsid w:val="00BF1A73"/>
    <w:rsid w:val="00BF1E8D"/>
    <w:rsid w:val="00BF1E96"/>
    <w:rsid w:val="00BF1F55"/>
    <w:rsid w:val="00BF1F9F"/>
    <w:rsid w:val="00BF2092"/>
    <w:rsid w:val="00BF20F1"/>
    <w:rsid w:val="00BF2143"/>
    <w:rsid w:val="00BF217D"/>
    <w:rsid w:val="00BF221D"/>
    <w:rsid w:val="00BF22EA"/>
    <w:rsid w:val="00BF2372"/>
    <w:rsid w:val="00BF2406"/>
    <w:rsid w:val="00BF29A5"/>
    <w:rsid w:val="00BF2DE7"/>
    <w:rsid w:val="00BF2DED"/>
    <w:rsid w:val="00BF2FDA"/>
    <w:rsid w:val="00BF3067"/>
    <w:rsid w:val="00BF310E"/>
    <w:rsid w:val="00BF32FE"/>
    <w:rsid w:val="00BF34A6"/>
    <w:rsid w:val="00BF35F7"/>
    <w:rsid w:val="00BF363F"/>
    <w:rsid w:val="00BF36FD"/>
    <w:rsid w:val="00BF3B3D"/>
    <w:rsid w:val="00BF3B96"/>
    <w:rsid w:val="00BF3D38"/>
    <w:rsid w:val="00BF3DB8"/>
    <w:rsid w:val="00BF3F4E"/>
    <w:rsid w:val="00BF40F2"/>
    <w:rsid w:val="00BF42A8"/>
    <w:rsid w:val="00BF42F9"/>
    <w:rsid w:val="00BF4B73"/>
    <w:rsid w:val="00BF4BFF"/>
    <w:rsid w:val="00BF4D0A"/>
    <w:rsid w:val="00BF4F8A"/>
    <w:rsid w:val="00BF5051"/>
    <w:rsid w:val="00BF5376"/>
    <w:rsid w:val="00BF5581"/>
    <w:rsid w:val="00BF5735"/>
    <w:rsid w:val="00BF576C"/>
    <w:rsid w:val="00BF57DA"/>
    <w:rsid w:val="00BF5825"/>
    <w:rsid w:val="00BF58D3"/>
    <w:rsid w:val="00BF5B6F"/>
    <w:rsid w:val="00BF5BEA"/>
    <w:rsid w:val="00BF5CA1"/>
    <w:rsid w:val="00BF5CD1"/>
    <w:rsid w:val="00BF5CD2"/>
    <w:rsid w:val="00BF5D2B"/>
    <w:rsid w:val="00BF5D74"/>
    <w:rsid w:val="00BF5EAF"/>
    <w:rsid w:val="00BF5F37"/>
    <w:rsid w:val="00BF5F95"/>
    <w:rsid w:val="00BF600D"/>
    <w:rsid w:val="00BF6117"/>
    <w:rsid w:val="00BF612A"/>
    <w:rsid w:val="00BF61ED"/>
    <w:rsid w:val="00BF626D"/>
    <w:rsid w:val="00BF62A8"/>
    <w:rsid w:val="00BF62C0"/>
    <w:rsid w:val="00BF62D7"/>
    <w:rsid w:val="00BF6342"/>
    <w:rsid w:val="00BF6585"/>
    <w:rsid w:val="00BF65BF"/>
    <w:rsid w:val="00BF66F1"/>
    <w:rsid w:val="00BF67B3"/>
    <w:rsid w:val="00BF6804"/>
    <w:rsid w:val="00BF695C"/>
    <w:rsid w:val="00BF69B1"/>
    <w:rsid w:val="00BF6C68"/>
    <w:rsid w:val="00BF6DDF"/>
    <w:rsid w:val="00BF6E29"/>
    <w:rsid w:val="00BF71A4"/>
    <w:rsid w:val="00BF7455"/>
    <w:rsid w:val="00BF75A0"/>
    <w:rsid w:val="00BF7602"/>
    <w:rsid w:val="00BF7688"/>
    <w:rsid w:val="00BF7874"/>
    <w:rsid w:val="00BF7884"/>
    <w:rsid w:val="00BF7953"/>
    <w:rsid w:val="00BF7987"/>
    <w:rsid w:val="00BF79F6"/>
    <w:rsid w:val="00BF7A13"/>
    <w:rsid w:val="00BF7AE6"/>
    <w:rsid w:val="00BF7B8C"/>
    <w:rsid w:val="00BF7B9E"/>
    <w:rsid w:val="00BF7C0A"/>
    <w:rsid w:val="00BF7D1A"/>
    <w:rsid w:val="00BF7E8C"/>
    <w:rsid w:val="00BF7F68"/>
    <w:rsid w:val="00C0008B"/>
    <w:rsid w:val="00C000F4"/>
    <w:rsid w:val="00C001B7"/>
    <w:rsid w:val="00C0020D"/>
    <w:rsid w:val="00C006A1"/>
    <w:rsid w:val="00C006B4"/>
    <w:rsid w:val="00C006C5"/>
    <w:rsid w:val="00C006FD"/>
    <w:rsid w:val="00C00822"/>
    <w:rsid w:val="00C009E1"/>
    <w:rsid w:val="00C00BAC"/>
    <w:rsid w:val="00C00DD5"/>
    <w:rsid w:val="00C013A8"/>
    <w:rsid w:val="00C014E0"/>
    <w:rsid w:val="00C01646"/>
    <w:rsid w:val="00C01691"/>
    <w:rsid w:val="00C01B23"/>
    <w:rsid w:val="00C01BF1"/>
    <w:rsid w:val="00C01C04"/>
    <w:rsid w:val="00C01C22"/>
    <w:rsid w:val="00C01D0C"/>
    <w:rsid w:val="00C01F39"/>
    <w:rsid w:val="00C02009"/>
    <w:rsid w:val="00C0224C"/>
    <w:rsid w:val="00C023C5"/>
    <w:rsid w:val="00C0240A"/>
    <w:rsid w:val="00C026A5"/>
    <w:rsid w:val="00C0274F"/>
    <w:rsid w:val="00C02AA0"/>
    <w:rsid w:val="00C02EFC"/>
    <w:rsid w:val="00C02F46"/>
    <w:rsid w:val="00C02F81"/>
    <w:rsid w:val="00C02FE1"/>
    <w:rsid w:val="00C02FF0"/>
    <w:rsid w:val="00C030BF"/>
    <w:rsid w:val="00C03122"/>
    <w:rsid w:val="00C03127"/>
    <w:rsid w:val="00C0317A"/>
    <w:rsid w:val="00C0343C"/>
    <w:rsid w:val="00C03586"/>
    <w:rsid w:val="00C03638"/>
    <w:rsid w:val="00C037BE"/>
    <w:rsid w:val="00C0387B"/>
    <w:rsid w:val="00C03B1B"/>
    <w:rsid w:val="00C03BA2"/>
    <w:rsid w:val="00C03DC9"/>
    <w:rsid w:val="00C03E70"/>
    <w:rsid w:val="00C0404D"/>
    <w:rsid w:val="00C0406E"/>
    <w:rsid w:val="00C04204"/>
    <w:rsid w:val="00C0426D"/>
    <w:rsid w:val="00C0433B"/>
    <w:rsid w:val="00C0434F"/>
    <w:rsid w:val="00C0455E"/>
    <w:rsid w:val="00C04829"/>
    <w:rsid w:val="00C04831"/>
    <w:rsid w:val="00C0485F"/>
    <w:rsid w:val="00C04890"/>
    <w:rsid w:val="00C04F81"/>
    <w:rsid w:val="00C050B9"/>
    <w:rsid w:val="00C05166"/>
    <w:rsid w:val="00C0524A"/>
    <w:rsid w:val="00C0524E"/>
    <w:rsid w:val="00C05303"/>
    <w:rsid w:val="00C0530D"/>
    <w:rsid w:val="00C0544F"/>
    <w:rsid w:val="00C0547A"/>
    <w:rsid w:val="00C05656"/>
    <w:rsid w:val="00C05834"/>
    <w:rsid w:val="00C058EB"/>
    <w:rsid w:val="00C05934"/>
    <w:rsid w:val="00C05B6E"/>
    <w:rsid w:val="00C05C70"/>
    <w:rsid w:val="00C05DD9"/>
    <w:rsid w:val="00C061BB"/>
    <w:rsid w:val="00C0636B"/>
    <w:rsid w:val="00C06518"/>
    <w:rsid w:val="00C0655F"/>
    <w:rsid w:val="00C0665D"/>
    <w:rsid w:val="00C06988"/>
    <w:rsid w:val="00C06C5A"/>
    <w:rsid w:val="00C06C96"/>
    <w:rsid w:val="00C06DBC"/>
    <w:rsid w:val="00C06F8B"/>
    <w:rsid w:val="00C06F99"/>
    <w:rsid w:val="00C070C3"/>
    <w:rsid w:val="00C07306"/>
    <w:rsid w:val="00C073AA"/>
    <w:rsid w:val="00C073C3"/>
    <w:rsid w:val="00C074E7"/>
    <w:rsid w:val="00C07553"/>
    <w:rsid w:val="00C075BF"/>
    <w:rsid w:val="00C07663"/>
    <w:rsid w:val="00C0775A"/>
    <w:rsid w:val="00C077BF"/>
    <w:rsid w:val="00C07834"/>
    <w:rsid w:val="00C07841"/>
    <w:rsid w:val="00C07871"/>
    <w:rsid w:val="00C078F9"/>
    <w:rsid w:val="00C07911"/>
    <w:rsid w:val="00C07958"/>
    <w:rsid w:val="00C0798F"/>
    <w:rsid w:val="00C07ABD"/>
    <w:rsid w:val="00C07AF6"/>
    <w:rsid w:val="00C07B15"/>
    <w:rsid w:val="00C07BB1"/>
    <w:rsid w:val="00C07D3D"/>
    <w:rsid w:val="00C07E13"/>
    <w:rsid w:val="00C10063"/>
    <w:rsid w:val="00C100C5"/>
    <w:rsid w:val="00C101C1"/>
    <w:rsid w:val="00C1036B"/>
    <w:rsid w:val="00C103FB"/>
    <w:rsid w:val="00C10524"/>
    <w:rsid w:val="00C1060E"/>
    <w:rsid w:val="00C10724"/>
    <w:rsid w:val="00C10749"/>
    <w:rsid w:val="00C107E0"/>
    <w:rsid w:val="00C10ADA"/>
    <w:rsid w:val="00C10C02"/>
    <w:rsid w:val="00C10C26"/>
    <w:rsid w:val="00C10D4E"/>
    <w:rsid w:val="00C10D7E"/>
    <w:rsid w:val="00C10DD0"/>
    <w:rsid w:val="00C10E39"/>
    <w:rsid w:val="00C10EA7"/>
    <w:rsid w:val="00C10FBD"/>
    <w:rsid w:val="00C1118F"/>
    <w:rsid w:val="00C11242"/>
    <w:rsid w:val="00C1124A"/>
    <w:rsid w:val="00C11274"/>
    <w:rsid w:val="00C1137C"/>
    <w:rsid w:val="00C11421"/>
    <w:rsid w:val="00C1146E"/>
    <w:rsid w:val="00C1163C"/>
    <w:rsid w:val="00C117BE"/>
    <w:rsid w:val="00C11885"/>
    <w:rsid w:val="00C1188B"/>
    <w:rsid w:val="00C119DD"/>
    <w:rsid w:val="00C11C30"/>
    <w:rsid w:val="00C11CA5"/>
    <w:rsid w:val="00C11E6D"/>
    <w:rsid w:val="00C1201F"/>
    <w:rsid w:val="00C1222F"/>
    <w:rsid w:val="00C12231"/>
    <w:rsid w:val="00C12424"/>
    <w:rsid w:val="00C124A1"/>
    <w:rsid w:val="00C12658"/>
    <w:rsid w:val="00C1278B"/>
    <w:rsid w:val="00C12797"/>
    <w:rsid w:val="00C12801"/>
    <w:rsid w:val="00C128AA"/>
    <w:rsid w:val="00C128B3"/>
    <w:rsid w:val="00C12A36"/>
    <w:rsid w:val="00C12B89"/>
    <w:rsid w:val="00C12D59"/>
    <w:rsid w:val="00C12D6C"/>
    <w:rsid w:val="00C12E34"/>
    <w:rsid w:val="00C12EBE"/>
    <w:rsid w:val="00C12F40"/>
    <w:rsid w:val="00C13128"/>
    <w:rsid w:val="00C13161"/>
    <w:rsid w:val="00C13272"/>
    <w:rsid w:val="00C132E4"/>
    <w:rsid w:val="00C13390"/>
    <w:rsid w:val="00C133C3"/>
    <w:rsid w:val="00C137DC"/>
    <w:rsid w:val="00C138EC"/>
    <w:rsid w:val="00C1397F"/>
    <w:rsid w:val="00C13A95"/>
    <w:rsid w:val="00C13A98"/>
    <w:rsid w:val="00C13AE4"/>
    <w:rsid w:val="00C13C5E"/>
    <w:rsid w:val="00C13EA3"/>
    <w:rsid w:val="00C13EF9"/>
    <w:rsid w:val="00C14083"/>
    <w:rsid w:val="00C14121"/>
    <w:rsid w:val="00C141FB"/>
    <w:rsid w:val="00C14240"/>
    <w:rsid w:val="00C142DC"/>
    <w:rsid w:val="00C142F3"/>
    <w:rsid w:val="00C1453D"/>
    <w:rsid w:val="00C145C5"/>
    <w:rsid w:val="00C146B2"/>
    <w:rsid w:val="00C146F1"/>
    <w:rsid w:val="00C147BD"/>
    <w:rsid w:val="00C1492D"/>
    <w:rsid w:val="00C14B2D"/>
    <w:rsid w:val="00C14B9E"/>
    <w:rsid w:val="00C14CB3"/>
    <w:rsid w:val="00C14FE5"/>
    <w:rsid w:val="00C15008"/>
    <w:rsid w:val="00C1501C"/>
    <w:rsid w:val="00C1524E"/>
    <w:rsid w:val="00C1529E"/>
    <w:rsid w:val="00C153D5"/>
    <w:rsid w:val="00C1543B"/>
    <w:rsid w:val="00C154EE"/>
    <w:rsid w:val="00C15891"/>
    <w:rsid w:val="00C159F2"/>
    <w:rsid w:val="00C15A41"/>
    <w:rsid w:val="00C15E18"/>
    <w:rsid w:val="00C15E25"/>
    <w:rsid w:val="00C1602A"/>
    <w:rsid w:val="00C16061"/>
    <w:rsid w:val="00C160D0"/>
    <w:rsid w:val="00C161F3"/>
    <w:rsid w:val="00C161F6"/>
    <w:rsid w:val="00C16436"/>
    <w:rsid w:val="00C1648A"/>
    <w:rsid w:val="00C164A4"/>
    <w:rsid w:val="00C16691"/>
    <w:rsid w:val="00C16716"/>
    <w:rsid w:val="00C16864"/>
    <w:rsid w:val="00C16AA6"/>
    <w:rsid w:val="00C16B1A"/>
    <w:rsid w:val="00C16B95"/>
    <w:rsid w:val="00C16CC5"/>
    <w:rsid w:val="00C16E88"/>
    <w:rsid w:val="00C16F15"/>
    <w:rsid w:val="00C17034"/>
    <w:rsid w:val="00C17070"/>
    <w:rsid w:val="00C1712E"/>
    <w:rsid w:val="00C1726D"/>
    <w:rsid w:val="00C172A5"/>
    <w:rsid w:val="00C17312"/>
    <w:rsid w:val="00C17482"/>
    <w:rsid w:val="00C175BC"/>
    <w:rsid w:val="00C1791C"/>
    <w:rsid w:val="00C17979"/>
    <w:rsid w:val="00C17A73"/>
    <w:rsid w:val="00C17A95"/>
    <w:rsid w:val="00C17BD7"/>
    <w:rsid w:val="00C17D36"/>
    <w:rsid w:val="00C17D7A"/>
    <w:rsid w:val="00C17E18"/>
    <w:rsid w:val="00C17E32"/>
    <w:rsid w:val="00C17E79"/>
    <w:rsid w:val="00C17FDC"/>
    <w:rsid w:val="00C20078"/>
    <w:rsid w:val="00C202C2"/>
    <w:rsid w:val="00C205A7"/>
    <w:rsid w:val="00C205E4"/>
    <w:rsid w:val="00C2061D"/>
    <w:rsid w:val="00C20671"/>
    <w:rsid w:val="00C20694"/>
    <w:rsid w:val="00C20734"/>
    <w:rsid w:val="00C20780"/>
    <w:rsid w:val="00C2084D"/>
    <w:rsid w:val="00C20857"/>
    <w:rsid w:val="00C20958"/>
    <w:rsid w:val="00C209C0"/>
    <w:rsid w:val="00C209EE"/>
    <w:rsid w:val="00C20A8C"/>
    <w:rsid w:val="00C20AE0"/>
    <w:rsid w:val="00C20B52"/>
    <w:rsid w:val="00C20C34"/>
    <w:rsid w:val="00C20CA6"/>
    <w:rsid w:val="00C20D05"/>
    <w:rsid w:val="00C20D11"/>
    <w:rsid w:val="00C20D7C"/>
    <w:rsid w:val="00C2104B"/>
    <w:rsid w:val="00C2121C"/>
    <w:rsid w:val="00C21294"/>
    <w:rsid w:val="00C21450"/>
    <w:rsid w:val="00C214B5"/>
    <w:rsid w:val="00C2154B"/>
    <w:rsid w:val="00C21658"/>
    <w:rsid w:val="00C216D4"/>
    <w:rsid w:val="00C217C2"/>
    <w:rsid w:val="00C219FB"/>
    <w:rsid w:val="00C21A98"/>
    <w:rsid w:val="00C21AA7"/>
    <w:rsid w:val="00C21ACE"/>
    <w:rsid w:val="00C21BD0"/>
    <w:rsid w:val="00C21C57"/>
    <w:rsid w:val="00C21C89"/>
    <w:rsid w:val="00C21D07"/>
    <w:rsid w:val="00C2213A"/>
    <w:rsid w:val="00C22271"/>
    <w:rsid w:val="00C22405"/>
    <w:rsid w:val="00C2265B"/>
    <w:rsid w:val="00C22737"/>
    <w:rsid w:val="00C2275C"/>
    <w:rsid w:val="00C22A62"/>
    <w:rsid w:val="00C22C41"/>
    <w:rsid w:val="00C22CE2"/>
    <w:rsid w:val="00C22F26"/>
    <w:rsid w:val="00C23007"/>
    <w:rsid w:val="00C23082"/>
    <w:rsid w:val="00C231D7"/>
    <w:rsid w:val="00C232FA"/>
    <w:rsid w:val="00C23326"/>
    <w:rsid w:val="00C23391"/>
    <w:rsid w:val="00C234CF"/>
    <w:rsid w:val="00C23557"/>
    <w:rsid w:val="00C235FE"/>
    <w:rsid w:val="00C236D5"/>
    <w:rsid w:val="00C23AD9"/>
    <w:rsid w:val="00C23C8B"/>
    <w:rsid w:val="00C23E0F"/>
    <w:rsid w:val="00C24004"/>
    <w:rsid w:val="00C24032"/>
    <w:rsid w:val="00C24090"/>
    <w:rsid w:val="00C2432D"/>
    <w:rsid w:val="00C2452A"/>
    <w:rsid w:val="00C2454D"/>
    <w:rsid w:val="00C2455A"/>
    <w:rsid w:val="00C24747"/>
    <w:rsid w:val="00C24765"/>
    <w:rsid w:val="00C2486A"/>
    <w:rsid w:val="00C24903"/>
    <w:rsid w:val="00C249DE"/>
    <w:rsid w:val="00C24B57"/>
    <w:rsid w:val="00C24E5A"/>
    <w:rsid w:val="00C25006"/>
    <w:rsid w:val="00C25039"/>
    <w:rsid w:val="00C25089"/>
    <w:rsid w:val="00C25160"/>
    <w:rsid w:val="00C2539C"/>
    <w:rsid w:val="00C253A1"/>
    <w:rsid w:val="00C255E7"/>
    <w:rsid w:val="00C25601"/>
    <w:rsid w:val="00C25628"/>
    <w:rsid w:val="00C2564D"/>
    <w:rsid w:val="00C257FC"/>
    <w:rsid w:val="00C2587B"/>
    <w:rsid w:val="00C2595C"/>
    <w:rsid w:val="00C259CE"/>
    <w:rsid w:val="00C259F0"/>
    <w:rsid w:val="00C25B46"/>
    <w:rsid w:val="00C25CEA"/>
    <w:rsid w:val="00C25D0C"/>
    <w:rsid w:val="00C25D6D"/>
    <w:rsid w:val="00C25DF4"/>
    <w:rsid w:val="00C26173"/>
    <w:rsid w:val="00C26378"/>
    <w:rsid w:val="00C265A9"/>
    <w:rsid w:val="00C265C8"/>
    <w:rsid w:val="00C265FC"/>
    <w:rsid w:val="00C2671E"/>
    <w:rsid w:val="00C268A2"/>
    <w:rsid w:val="00C268FE"/>
    <w:rsid w:val="00C26994"/>
    <w:rsid w:val="00C269AF"/>
    <w:rsid w:val="00C26A40"/>
    <w:rsid w:val="00C26A65"/>
    <w:rsid w:val="00C26A90"/>
    <w:rsid w:val="00C26BE2"/>
    <w:rsid w:val="00C26D85"/>
    <w:rsid w:val="00C26DEE"/>
    <w:rsid w:val="00C26DF9"/>
    <w:rsid w:val="00C26E8E"/>
    <w:rsid w:val="00C27096"/>
    <w:rsid w:val="00C271E7"/>
    <w:rsid w:val="00C27315"/>
    <w:rsid w:val="00C27358"/>
    <w:rsid w:val="00C273A2"/>
    <w:rsid w:val="00C27546"/>
    <w:rsid w:val="00C275D6"/>
    <w:rsid w:val="00C27717"/>
    <w:rsid w:val="00C2785A"/>
    <w:rsid w:val="00C2791B"/>
    <w:rsid w:val="00C2798D"/>
    <w:rsid w:val="00C27CBF"/>
    <w:rsid w:val="00C27E9E"/>
    <w:rsid w:val="00C27EEC"/>
    <w:rsid w:val="00C27F24"/>
    <w:rsid w:val="00C27FFB"/>
    <w:rsid w:val="00C3010A"/>
    <w:rsid w:val="00C3028C"/>
    <w:rsid w:val="00C30596"/>
    <w:rsid w:val="00C3075A"/>
    <w:rsid w:val="00C30769"/>
    <w:rsid w:val="00C307D7"/>
    <w:rsid w:val="00C308F2"/>
    <w:rsid w:val="00C30915"/>
    <w:rsid w:val="00C30B5B"/>
    <w:rsid w:val="00C30C6A"/>
    <w:rsid w:val="00C30C9C"/>
    <w:rsid w:val="00C30D28"/>
    <w:rsid w:val="00C30E0E"/>
    <w:rsid w:val="00C30FB4"/>
    <w:rsid w:val="00C3116F"/>
    <w:rsid w:val="00C3144D"/>
    <w:rsid w:val="00C314D2"/>
    <w:rsid w:val="00C315AF"/>
    <w:rsid w:val="00C315BF"/>
    <w:rsid w:val="00C315D9"/>
    <w:rsid w:val="00C31722"/>
    <w:rsid w:val="00C31776"/>
    <w:rsid w:val="00C3178C"/>
    <w:rsid w:val="00C319BB"/>
    <w:rsid w:val="00C319DA"/>
    <w:rsid w:val="00C31AD5"/>
    <w:rsid w:val="00C31AE2"/>
    <w:rsid w:val="00C31B4C"/>
    <w:rsid w:val="00C31BC2"/>
    <w:rsid w:val="00C31C10"/>
    <w:rsid w:val="00C31D98"/>
    <w:rsid w:val="00C31EA7"/>
    <w:rsid w:val="00C31F55"/>
    <w:rsid w:val="00C31F5C"/>
    <w:rsid w:val="00C32324"/>
    <w:rsid w:val="00C323C0"/>
    <w:rsid w:val="00C32426"/>
    <w:rsid w:val="00C324C7"/>
    <w:rsid w:val="00C32787"/>
    <w:rsid w:val="00C327EA"/>
    <w:rsid w:val="00C3284B"/>
    <w:rsid w:val="00C3284E"/>
    <w:rsid w:val="00C32F5F"/>
    <w:rsid w:val="00C32FFD"/>
    <w:rsid w:val="00C33142"/>
    <w:rsid w:val="00C333AD"/>
    <w:rsid w:val="00C333B9"/>
    <w:rsid w:val="00C334EB"/>
    <w:rsid w:val="00C335D1"/>
    <w:rsid w:val="00C336CB"/>
    <w:rsid w:val="00C33790"/>
    <w:rsid w:val="00C33805"/>
    <w:rsid w:val="00C338A3"/>
    <w:rsid w:val="00C33915"/>
    <w:rsid w:val="00C339E0"/>
    <w:rsid w:val="00C33AFC"/>
    <w:rsid w:val="00C33C0C"/>
    <w:rsid w:val="00C33D10"/>
    <w:rsid w:val="00C33DA9"/>
    <w:rsid w:val="00C33E26"/>
    <w:rsid w:val="00C342E7"/>
    <w:rsid w:val="00C344D2"/>
    <w:rsid w:val="00C344DE"/>
    <w:rsid w:val="00C345C3"/>
    <w:rsid w:val="00C345E1"/>
    <w:rsid w:val="00C346EB"/>
    <w:rsid w:val="00C34748"/>
    <w:rsid w:val="00C34767"/>
    <w:rsid w:val="00C348A6"/>
    <w:rsid w:val="00C34955"/>
    <w:rsid w:val="00C34A35"/>
    <w:rsid w:val="00C34A84"/>
    <w:rsid w:val="00C34B7E"/>
    <w:rsid w:val="00C34C32"/>
    <w:rsid w:val="00C34EB2"/>
    <w:rsid w:val="00C34FC1"/>
    <w:rsid w:val="00C35035"/>
    <w:rsid w:val="00C35044"/>
    <w:rsid w:val="00C35185"/>
    <w:rsid w:val="00C35205"/>
    <w:rsid w:val="00C35515"/>
    <w:rsid w:val="00C35718"/>
    <w:rsid w:val="00C35778"/>
    <w:rsid w:val="00C35815"/>
    <w:rsid w:val="00C3587A"/>
    <w:rsid w:val="00C35A4A"/>
    <w:rsid w:val="00C35A65"/>
    <w:rsid w:val="00C35AE4"/>
    <w:rsid w:val="00C35EA3"/>
    <w:rsid w:val="00C35EB1"/>
    <w:rsid w:val="00C35F34"/>
    <w:rsid w:val="00C36052"/>
    <w:rsid w:val="00C36237"/>
    <w:rsid w:val="00C362E2"/>
    <w:rsid w:val="00C364D6"/>
    <w:rsid w:val="00C364F0"/>
    <w:rsid w:val="00C36800"/>
    <w:rsid w:val="00C36902"/>
    <w:rsid w:val="00C36A79"/>
    <w:rsid w:val="00C36BA3"/>
    <w:rsid w:val="00C36C4F"/>
    <w:rsid w:val="00C36E51"/>
    <w:rsid w:val="00C36E93"/>
    <w:rsid w:val="00C36FF3"/>
    <w:rsid w:val="00C373B8"/>
    <w:rsid w:val="00C373BB"/>
    <w:rsid w:val="00C3743D"/>
    <w:rsid w:val="00C37442"/>
    <w:rsid w:val="00C37813"/>
    <w:rsid w:val="00C3786A"/>
    <w:rsid w:val="00C37AF1"/>
    <w:rsid w:val="00C37C79"/>
    <w:rsid w:val="00C37CEC"/>
    <w:rsid w:val="00C37F9A"/>
    <w:rsid w:val="00C3D7D0"/>
    <w:rsid w:val="00C40073"/>
    <w:rsid w:val="00C40090"/>
    <w:rsid w:val="00C400C4"/>
    <w:rsid w:val="00C4034F"/>
    <w:rsid w:val="00C4092C"/>
    <w:rsid w:val="00C40A26"/>
    <w:rsid w:val="00C40A5A"/>
    <w:rsid w:val="00C40AC3"/>
    <w:rsid w:val="00C40C35"/>
    <w:rsid w:val="00C40C4C"/>
    <w:rsid w:val="00C40D87"/>
    <w:rsid w:val="00C40E01"/>
    <w:rsid w:val="00C410A7"/>
    <w:rsid w:val="00C410D9"/>
    <w:rsid w:val="00C410FC"/>
    <w:rsid w:val="00C411BC"/>
    <w:rsid w:val="00C4141D"/>
    <w:rsid w:val="00C4159D"/>
    <w:rsid w:val="00C415E7"/>
    <w:rsid w:val="00C41611"/>
    <w:rsid w:val="00C41618"/>
    <w:rsid w:val="00C41667"/>
    <w:rsid w:val="00C418B4"/>
    <w:rsid w:val="00C41B7D"/>
    <w:rsid w:val="00C41CE0"/>
    <w:rsid w:val="00C41D05"/>
    <w:rsid w:val="00C41D0C"/>
    <w:rsid w:val="00C41E34"/>
    <w:rsid w:val="00C41FA9"/>
    <w:rsid w:val="00C41FE0"/>
    <w:rsid w:val="00C42040"/>
    <w:rsid w:val="00C42044"/>
    <w:rsid w:val="00C420FB"/>
    <w:rsid w:val="00C42384"/>
    <w:rsid w:val="00C42395"/>
    <w:rsid w:val="00C4239F"/>
    <w:rsid w:val="00C4243D"/>
    <w:rsid w:val="00C424AF"/>
    <w:rsid w:val="00C424C6"/>
    <w:rsid w:val="00C424FE"/>
    <w:rsid w:val="00C4286C"/>
    <w:rsid w:val="00C428BE"/>
    <w:rsid w:val="00C429EC"/>
    <w:rsid w:val="00C42A15"/>
    <w:rsid w:val="00C42C62"/>
    <w:rsid w:val="00C42C69"/>
    <w:rsid w:val="00C42ECB"/>
    <w:rsid w:val="00C43307"/>
    <w:rsid w:val="00C43348"/>
    <w:rsid w:val="00C43376"/>
    <w:rsid w:val="00C4348A"/>
    <w:rsid w:val="00C43530"/>
    <w:rsid w:val="00C43835"/>
    <w:rsid w:val="00C43D92"/>
    <w:rsid w:val="00C43DC1"/>
    <w:rsid w:val="00C43E35"/>
    <w:rsid w:val="00C43F35"/>
    <w:rsid w:val="00C43F47"/>
    <w:rsid w:val="00C44011"/>
    <w:rsid w:val="00C4416A"/>
    <w:rsid w:val="00C4418D"/>
    <w:rsid w:val="00C44467"/>
    <w:rsid w:val="00C444B4"/>
    <w:rsid w:val="00C445B3"/>
    <w:rsid w:val="00C44AEC"/>
    <w:rsid w:val="00C44BC4"/>
    <w:rsid w:val="00C44C66"/>
    <w:rsid w:val="00C44D08"/>
    <w:rsid w:val="00C44D3A"/>
    <w:rsid w:val="00C450E8"/>
    <w:rsid w:val="00C45195"/>
    <w:rsid w:val="00C451D9"/>
    <w:rsid w:val="00C45259"/>
    <w:rsid w:val="00C453D4"/>
    <w:rsid w:val="00C45426"/>
    <w:rsid w:val="00C45432"/>
    <w:rsid w:val="00C45498"/>
    <w:rsid w:val="00C457CD"/>
    <w:rsid w:val="00C457F0"/>
    <w:rsid w:val="00C459AF"/>
    <w:rsid w:val="00C45A0B"/>
    <w:rsid w:val="00C45F15"/>
    <w:rsid w:val="00C4614F"/>
    <w:rsid w:val="00C462EF"/>
    <w:rsid w:val="00C462F3"/>
    <w:rsid w:val="00C464F5"/>
    <w:rsid w:val="00C4667E"/>
    <w:rsid w:val="00C4678D"/>
    <w:rsid w:val="00C467D7"/>
    <w:rsid w:val="00C468B9"/>
    <w:rsid w:val="00C4691C"/>
    <w:rsid w:val="00C46A34"/>
    <w:rsid w:val="00C46A63"/>
    <w:rsid w:val="00C46AA8"/>
    <w:rsid w:val="00C46AB1"/>
    <w:rsid w:val="00C46ABA"/>
    <w:rsid w:val="00C46C41"/>
    <w:rsid w:val="00C46C43"/>
    <w:rsid w:val="00C46C61"/>
    <w:rsid w:val="00C46D52"/>
    <w:rsid w:val="00C46D5D"/>
    <w:rsid w:val="00C46DE8"/>
    <w:rsid w:val="00C46DFC"/>
    <w:rsid w:val="00C47033"/>
    <w:rsid w:val="00C470B8"/>
    <w:rsid w:val="00C471ED"/>
    <w:rsid w:val="00C474F4"/>
    <w:rsid w:val="00C47530"/>
    <w:rsid w:val="00C47539"/>
    <w:rsid w:val="00C476F5"/>
    <w:rsid w:val="00C478DF"/>
    <w:rsid w:val="00C4798E"/>
    <w:rsid w:val="00C47A10"/>
    <w:rsid w:val="00C47C7A"/>
    <w:rsid w:val="00C47D3F"/>
    <w:rsid w:val="00C47EC6"/>
    <w:rsid w:val="00C47F13"/>
    <w:rsid w:val="00C47F51"/>
    <w:rsid w:val="00C4B016"/>
    <w:rsid w:val="00C50048"/>
    <w:rsid w:val="00C500AC"/>
    <w:rsid w:val="00C50167"/>
    <w:rsid w:val="00C501E1"/>
    <w:rsid w:val="00C502A0"/>
    <w:rsid w:val="00C503FC"/>
    <w:rsid w:val="00C50451"/>
    <w:rsid w:val="00C5045E"/>
    <w:rsid w:val="00C5067C"/>
    <w:rsid w:val="00C506B5"/>
    <w:rsid w:val="00C50760"/>
    <w:rsid w:val="00C507E6"/>
    <w:rsid w:val="00C5088C"/>
    <w:rsid w:val="00C50897"/>
    <w:rsid w:val="00C50AC9"/>
    <w:rsid w:val="00C50BEE"/>
    <w:rsid w:val="00C50C2B"/>
    <w:rsid w:val="00C50C7A"/>
    <w:rsid w:val="00C512D1"/>
    <w:rsid w:val="00C513C9"/>
    <w:rsid w:val="00C513F3"/>
    <w:rsid w:val="00C514D3"/>
    <w:rsid w:val="00C514DC"/>
    <w:rsid w:val="00C51552"/>
    <w:rsid w:val="00C51748"/>
    <w:rsid w:val="00C5176A"/>
    <w:rsid w:val="00C5187F"/>
    <w:rsid w:val="00C518CA"/>
    <w:rsid w:val="00C519BB"/>
    <w:rsid w:val="00C51CE2"/>
    <w:rsid w:val="00C51E0C"/>
    <w:rsid w:val="00C51FAF"/>
    <w:rsid w:val="00C52031"/>
    <w:rsid w:val="00C520D4"/>
    <w:rsid w:val="00C523D3"/>
    <w:rsid w:val="00C52402"/>
    <w:rsid w:val="00C524C0"/>
    <w:rsid w:val="00C525B6"/>
    <w:rsid w:val="00C526D0"/>
    <w:rsid w:val="00C526FC"/>
    <w:rsid w:val="00C52853"/>
    <w:rsid w:val="00C5289F"/>
    <w:rsid w:val="00C52950"/>
    <w:rsid w:val="00C52963"/>
    <w:rsid w:val="00C52A1A"/>
    <w:rsid w:val="00C52A99"/>
    <w:rsid w:val="00C52AB5"/>
    <w:rsid w:val="00C52B16"/>
    <w:rsid w:val="00C52B3A"/>
    <w:rsid w:val="00C52C95"/>
    <w:rsid w:val="00C52DAD"/>
    <w:rsid w:val="00C52FF2"/>
    <w:rsid w:val="00C530AA"/>
    <w:rsid w:val="00C53128"/>
    <w:rsid w:val="00C5317E"/>
    <w:rsid w:val="00C53232"/>
    <w:rsid w:val="00C532F6"/>
    <w:rsid w:val="00C53367"/>
    <w:rsid w:val="00C533E8"/>
    <w:rsid w:val="00C53405"/>
    <w:rsid w:val="00C536E0"/>
    <w:rsid w:val="00C5374F"/>
    <w:rsid w:val="00C5378C"/>
    <w:rsid w:val="00C5384D"/>
    <w:rsid w:val="00C538E6"/>
    <w:rsid w:val="00C53902"/>
    <w:rsid w:val="00C53B08"/>
    <w:rsid w:val="00C53BB3"/>
    <w:rsid w:val="00C53BC0"/>
    <w:rsid w:val="00C53BD4"/>
    <w:rsid w:val="00C53C31"/>
    <w:rsid w:val="00C53DEA"/>
    <w:rsid w:val="00C53EE4"/>
    <w:rsid w:val="00C5406B"/>
    <w:rsid w:val="00C54122"/>
    <w:rsid w:val="00C54570"/>
    <w:rsid w:val="00C54658"/>
    <w:rsid w:val="00C54718"/>
    <w:rsid w:val="00C54840"/>
    <w:rsid w:val="00C54911"/>
    <w:rsid w:val="00C54A0E"/>
    <w:rsid w:val="00C54A44"/>
    <w:rsid w:val="00C54B21"/>
    <w:rsid w:val="00C54B54"/>
    <w:rsid w:val="00C5504F"/>
    <w:rsid w:val="00C5509D"/>
    <w:rsid w:val="00C55203"/>
    <w:rsid w:val="00C552AC"/>
    <w:rsid w:val="00C552F3"/>
    <w:rsid w:val="00C55334"/>
    <w:rsid w:val="00C5537F"/>
    <w:rsid w:val="00C55402"/>
    <w:rsid w:val="00C55469"/>
    <w:rsid w:val="00C55491"/>
    <w:rsid w:val="00C55755"/>
    <w:rsid w:val="00C55918"/>
    <w:rsid w:val="00C55978"/>
    <w:rsid w:val="00C55A62"/>
    <w:rsid w:val="00C55AA9"/>
    <w:rsid w:val="00C55B8E"/>
    <w:rsid w:val="00C55C1A"/>
    <w:rsid w:val="00C55D22"/>
    <w:rsid w:val="00C55D53"/>
    <w:rsid w:val="00C55E3A"/>
    <w:rsid w:val="00C55F06"/>
    <w:rsid w:val="00C55F3C"/>
    <w:rsid w:val="00C55FE8"/>
    <w:rsid w:val="00C5606C"/>
    <w:rsid w:val="00C561C1"/>
    <w:rsid w:val="00C563B9"/>
    <w:rsid w:val="00C567A1"/>
    <w:rsid w:val="00C56814"/>
    <w:rsid w:val="00C5695B"/>
    <w:rsid w:val="00C5699F"/>
    <w:rsid w:val="00C569B6"/>
    <w:rsid w:val="00C56CD6"/>
    <w:rsid w:val="00C56E91"/>
    <w:rsid w:val="00C56FAD"/>
    <w:rsid w:val="00C570EE"/>
    <w:rsid w:val="00C5712D"/>
    <w:rsid w:val="00C57490"/>
    <w:rsid w:val="00C574B5"/>
    <w:rsid w:val="00C57566"/>
    <w:rsid w:val="00C5758F"/>
    <w:rsid w:val="00C57626"/>
    <w:rsid w:val="00C578CA"/>
    <w:rsid w:val="00C57989"/>
    <w:rsid w:val="00C57ACB"/>
    <w:rsid w:val="00C57AEB"/>
    <w:rsid w:val="00C57B16"/>
    <w:rsid w:val="00C57DF3"/>
    <w:rsid w:val="00C57EF3"/>
    <w:rsid w:val="00C57F58"/>
    <w:rsid w:val="00C602B4"/>
    <w:rsid w:val="00C6033F"/>
    <w:rsid w:val="00C6048F"/>
    <w:rsid w:val="00C60494"/>
    <w:rsid w:val="00C6049D"/>
    <w:rsid w:val="00C60712"/>
    <w:rsid w:val="00C60786"/>
    <w:rsid w:val="00C60867"/>
    <w:rsid w:val="00C60955"/>
    <w:rsid w:val="00C60A29"/>
    <w:rsid w:val="00C60BFF"/>
    <w:rsid w:val="00C60D92"/>
    <w:rsid w:val="00C60DA3"/>
    <w:rsid w:val="00C61047"/>
    <w:rsid w:val="00C6108A"/>
    <w:rsid w:val="00C6115A"/>
    <w:rsid w:val="00C61250"/>
    <w:rsid w:val="00C61885"/>
    <w:rsid w:val="00C618A8"/>
    <w:rsid w:val="00C6195D"/>
    <w:rsid w:val="00C61D3E"/>
    <w:rsid w:val="00C61D76"/>
    <w:rsid w:val="00C61DC4"/>
    <w:rsid w:val="00C61E2B"/>
    <w:rsid w:val="00C6245A"/>
    <w:rsid w:val="00C6280D"/>
    <w:rsid w:val="00C62868"/>
    <w:rsid w:val="00C62A3F"/>
    <w:rsid w:val="00C62BAB"/>
    <w:rsid w:val="00C62CEE"/>
    <w:rsid w:val="00C62D2F"/>
    <w:rsid w:val="00C62E75"/>
    <w:rsid w:val="00C62FA2"/>
    <w:rsid w:val="00C62FA9"/>
    <w:rsid w:val="00C6305C"/>
    <w:rsid w:val="00C630C5"/>
    <w:rsid w:val="00C63166"/>
    <w:rsid w:val="00C6329A"/>
    <w:rsid w:val="00C632DA"/>
    <w:rsid w:val="00C63322"/>
    <w:rsid w:val="00C63361"/>
    <w:rsid w:val="00C63558"/>
    <w:rsid w:val="00C637DD"/>
    <w:rsid w:val="00C63B50"/>
    <w:rsid w:val="00C63C08"/>
    <w:rsid w:val="00C63C40"/>
    <w:rsid w:val="00C63CEB"/>
    <w:rsid w:val="00C63D8F"/>
    <w:rsid w:val="00C63D91"/>
    <w:rsid w:val="00C63E8C"/>
    <w:rsid w:val="00C63EE6"/>
    <w:rsid w:val="00C6401C"/>
    <w:rsid w:val="00C640D5"/>
    <w:rsid w:val="00C64178"/>
    <w:rsid w:val="00C642D1"/>
    <w:rsid w:val="00C645D4"/>
    <w:rsid w:val="00C645EF"/>
    <w:rsid w:val="00C646BC"/>
    <w:rsid w:val="00C646E3"/>
    <w:rsid w:val="00C646FD"/>
    <w:rsid w:val="00C647C3"/>
    <w:rsid w:val="00C64A19"/>
    <w:rsid w:val="00C64A21"/>
    <w:rsid w:val="00C64E1F"/>
    <w:rsid w:val="00C64F48"/>
    <w:rsid w:val="00C64FEF"/>
    <w:rsid w:val="00C6512C"/>
    <w:rsid w:val="00C65331"/>
    <w:rsid w:val="00C65466"/>
    <w:rsid w:val="00C6556F"/>
    <w:rsid w:val="00C656EF"/>
    <w:rsid w:val="00C6571D"/>
    <w:rsid w:val="00C6576C"/>
    <w:rsid w:val="00C65948"/>
    <w:rsid w:val="00C65A16"/>
    <w:rsid w:val="00C66189"/>
    <w:rsid w:val="00C66194"/>
    <w:rsid w:val="00C66260"/>
    <w:rsid w:val="00C662A2"/>
    <w:rsid w:val="00C662AD"/>
    <w:rsid w:val="00C66333"/>
    <w:rsid w:val="00C663B9"/>
    <w:rsid w:val="00C66410"/>
    <w:rsid w:val="00C664E0"/>
    <w:rsid w:val="00C664F8"/>
    <w:rsid w:val="00C6654C"/>
    <w:rsid w:val="00C66780"/>
    <w:rsid w:val="00C668BA"/>
    <w:rsid w:val="00C668F6"/>
    <w:rsid w:val="00C66934"/>
    <w:rsid w:val="00C66988"/>
    <w:rsid w:val="00C669FF"/>
    <w:rsid w:val="00C66B36"/>
    <w:rsid w:val="00C66BF3"/>
    <w:rsid w:val="00C66CE9"/>
    <w:rsid w:val="00C66D75"/>
    <w:rsid w:val="00C66E43"/>
    <w:rsid w:val="00C66EE7"/>
    <w:rsid w:val="00C66F13"/>
    <w:rsid w:val="00C66FF9"/>
    <w:rsid w:val="00C670B8"/>
    <w:rsid w:val="00C67324"/>
    <w:rsid w:val="00C6733A"/>
    <w:rsid w:val="00C673BE"/>
    <w:rsid w:val="00C673DF"/>
    <w:rsid w:val="00C67A95"/>
    <w:rsid w:val="00C67BC1"/>
    <w:rsid w:val="00C67C41"/>
    <w:rsid w:val="00C67E04"/>
    <w:rsid w:val="00C67E0E"/>
    <w:rsid w:val="00C67E82"/>
    <w:rsid w:val="00C70164"/>
    <w:rsid w:val="00C701FC"/>
    <w:rsid w:val="00C703C3"/>
    <w:rsid w:val="00C704CA"/>
    <w:rsid w:val="00C7050D"/>
    <w:rsid w:val="00C705B2"/>
    <w:rsid w:val="00C705D1"/>
    <w:rsid w:val="00C7072D"/>
    <w:rsid w:val="00C7079A"/>
    <w:rsid w:val="00C70847"/>
    <w:rsid w:val="00C70849"/>
    <w:rsid w:val="00C7089C"/>
    <w:rsid w:val="00C709C7"/>
    <w:rsid w:val="00C70A84"/>
    <w:rsid w:val="00C70BE2"/>
    <w:rsid w:val="00C70D69"/>
    <w:rsid w:val="00C70DBE"/>
    <w:rsid w:val="00C70DE0"/>
    <w:rsid w:val="00C70F5F"/>
    <w:rsid w:val="00C70FA6"/>
    <w:rsid w:val="00C7112E"/>
    <w:rsid w:val="00C71220"/>
    <w:rsid w:val="00C71283"/>
    <w:rsid w:val="00C71331"/>
    <w:rsid w:val="00C71560"/>
    <w:rsid w:val="00C715B5"/>
    <w:rsid w:val="00C716CC"/>
    <w:rsid w:val="00C716DC"/>
    <w:rsid w:val="00C7187F"/>
    <w:rsid w:val="00C718A5"/>
    <w:rsid w:val="00C718BA"/>
    <w:rsid w:val="00C71955"/>
    <w:rsid w:val="00C71980"/>
    <w:rsid w:val="00C71B1E"/>
    <w:rsid w:val="00C71BB6"/>
    <w:rsid w:val="00C71BF0"/>
    <w:rsid w:val="00C71D5D"/>
    <w:rsid w:val="00C71DBE"/>
    <w:rsid w:val="00C71E1E"/>
    <w:rsid w:val="00C71E32"/>
    <w:rsid w:val="00C71F3F"/>
    <w:rsid w:val="00C721E2"/>
    <w:rsid w:val="00C7235C"/>
    <w:rsid w:val="00C7249F"/>
    <w:rsid w:val="00C7267C"/>
    <w:rsid w:val="00C726E6"/>
    <w:rsid w:val="00C72817"/>
    <w:rsid w:val="00C72A24"/>
    <w:rsid w:val="00C72A2F"/>
    <w:rsid w:val="00C72A6F"/>
    <w:rsid w:val="00C72A9A"/>
    <w:rsid w:val="00C72B42"/>
    <w:rsid w:val="00C72DDA"/>
    <w:rsid w:val="00C72EB6"/>
    <w:rsid w:val="00C72F27"/>
    <w:rsid w:val="00C72F9E"/>
    <w:rsid w:val="00C730F4"/>
    <w:rsid w:val="00C73631"/>
    <w:rsid w:val="00C73636"/>
    <w:rsid w:val="00C7375F"/>
    <w:rsid w:val="00C73A27"/>
    <w:rsid w:val="00C73AC4"/>
    <w:rsid w:val="00C73AFC"/>
    <w:rsid w:val="00C73B0E"/>
    <w:rsid w:val="00C73B70"/>
    <w:rsid w:val="00C73BF4"/>
    <w:rsid w:val="00C73C92"/>
    <w:rsid w:val="00C740FD"/>
    <w:rsid w:val="00C74157"/>
    <w:rsid w:val="00C743C6"/>
    <w:rsid w:val="00C745B0"/>
    <w:rsid w:val="00C747A5"/>
    <w:rsid w:val="00C74A8F"/>
    <w:rsid w:val="00C74C91"/>
    <w:rsid w:val="00C74CF1"/>
    <w:rsid w:val="00C74CF6"/>
    <w:rsid w:val="00C74F82"/>
    <w:rsid w:val="00C75009"/>
    <w:rsid w:val="00C75025"/>
    <w:rsid w:val="00C750B3"/>
    <w:rsid w:val="00C751A5"/>
    <w:rsid w:val="00C7572B"/>
    <w:rsid w:val="00C758B9"/>
    <w:rsid w:val="00C759D1"/>
    <w:rsid w:val="00C75AAD"/>
    <w:rsid w:val="00C75BDE"/>
    <w:rsid w:val="00C75C42"/>
    <w:rsid w:val="00C75DAD"/>
    <w:rsid w:val="00C75E63"/>
    <w:rsid w:val="00C7600A"/>
    <w:rsid w:val="00C761E7"/>
    <w:rsid w:val="00C763B4"/>
    <w:rsid w:val="00C7640F"/>
    <w:rsid w:val="00C7660D"/>
    <w:rsid w:val="00C76698"/>
    <w:rsid w:val="00C7686B"/>
    <w:rsid w:val="00C768A8"/>
    <w:rsid w:val="00C76A80"/>
    <w:rsid w:val="00C76AB7"/>
    <w:rsid w:val="00C76D3A"/>
    <w:rsid w:val="00C76D8E"/>
    <w:rsid w:val="00C76E87"/>
    <w:rsid w:val="00C76EE9"/>
    <w:rsid w:val="00C77001"/>
    <w:rsid w:val="00C773C6"/>
    <w:rsid w:val="00C77439"/>
    <w:rsid w:val="00C7749F"/>
    <w:rsid w:val="00C774A0"/>
    <w:rsid w:val="00C774DE"/>
    <w:rsid w:val="00C77509"/>
    <w:rsid w:val="00C775CB"/>
    <w:rsid w:val="00C7767A"/>
    <w:rsid w:val="00C77720"/>
    <w:rsid w:val="00C7775B"/>
    <w:rsid w:val="00C77771"/>
    <w:rsid w:val="00C77783"/>
    <w:rsid w:val="00C777EF"/>
    <w:rsid w:val="00C7782B"/>
    <w:rsid w:val="00C77991"/>
    <w:rsid w:val="00C77B1D"/>
    <w:rsid w:val="00C77D3F"/>
    <w:rsid w:val="00C77EEA"/>
    <w:rsid w:val="00C77F06"/>
    <w:rsid w:val="00C77FFD"/>
    <w:rsid w:val="00C801D7"/>
    <w:rsid w:val="00C80222"/>
    <w:rsid w:val="00C80238"/>
    <w:rsid w:val="00C8037A"/>
    <w:rsid w:val="00C804A3"/>
    <w:rsid w:val="00C804BC"/>
    <w:rsid w:val="00C804EB"/>
    <w:rsid w:val="00C80756"/>
    <w:rsid w:val="00C80D6F"/>
    <w:rsid w:val="00C80E89"/>
    <w:rsid w:val="00C811B1"/>
    <w:rsid w:val="00C81212"/>
    <w:rsid w:val="00C8123D"/>
    <w:rsid w:val="00C8134E"/>
    <w:rsid w:val="00C815C4"/>
    <w:rsid w:val="00C8160F"/>
    <w:rsid w:val="00C817E7"/>
    <w:rsid w:val="00C81944"/>
    <w:rsid w:val="00C819A1"/>
    <w:rsid w:val="00C81AF0"/>
    <w:rsid w:val="00C81B30"/>
    <w:rsid w:val="00C81B83"/>
    <w:rsid w:val="00C82050"/>
    <w:rsid w:val="00C8212E"/>
    <w:rsid w:val="00C82158"/>
    <w:rsid w:val="00C8219C"/>
    <w:rsid w:val="00C824BE"/>
    <w:rsid w:val="00C8255C"/>
    <w:rsid w:val="00C8259C"/>
    <w:rsid w:val="00C82622"/>
    <w:rsid w:val="00C826CC"/>
    <w:rsid w:val="00C828FF"/>
    <w:rsid w:val="00C82975"/>
    <w:rsid w:val="00C82B74"/>
    <w:rsid w:val="00C82C39"/>
    <w:rsid w:val="00C82CFE"/>
    <w:rsid w:val="00C82D83"/>
    <w:rsid w:val="00C82DF5"/>
    <w:rsid w:val="00C82E33"/>
    <w:rsid w:val="00C82F53"/>
    <w:rsid w:val="00C830B2"/>
    <w:rsid w:val="00C83167"/>
    <w:rsid w:val="00C8316D"/>
    <w:rsid w:val="00C832BB"/>
    <w:rsid w:val="00C8335A"/>
    <w:rsid w:val="00C8348D"/>
    <w:rsid w:val="00C83574"/>
    <w:rsid w:val="00C8360D"/>
    <w:rsid w:val="00C8362A"/>
    <w:rsid w:val="00C8366F"/>
    <w:rsid w:val="00C836A9"/>
    <w:rsid w:val="00C83707"/>
    <w:rsid w:val="00C8394B"/>
    <w:rsid w:val="00C83954"/>
    <w:rsid w:val="00C8402B"/>
    <w:rsid w:val="00C840FC"/>
    <w:rsid w:val="00C84187"/>
    <w:rsid w:val="00C84234"/>
    <w:rsid w:val="00C842F2"/>
    <w:rsid w:val="00C84470"/>
    <w:rsid w:val="00C8456A"/>
    <w:rsid w:val="00C845DA"/>
    <w:rsid w:val="00C84666"/>
    <w:rsid w:val="00C84667"/>
    <w:rsid w:val="00C847CC"/>
    <w:rsid w:val="00C84BE3"/>
    <w:rsid w:val="00C84C4E"/>
    <w:rsid w:val="00C84E4A"/>
    <w:rsid w:val="00C84EDF"/>
    <w:rsid w:val="00C84F5C"/>
    <w:rsid w:val="00C85603"/>
    <w:rsid w:val="00C858A2"/>
    <w:rsid w:val="00C858F3"/>
    <w:rsid w:val="00C85DF6"/>
    <w:rsid w:val="00C8604A"/>
    <w:rsid w:val="00C860A3"/>
    <w:rsid w:val="00C8618E"/>
    <w:rsid w:val="00C8628D"/>
    <w:rsid w:val="00C8637C"/>
    <w:rsid w:val="00C86401"/>
    <w:rsid w:val="00C8647E"/>
    <w:rsid w:val="00C865CA"/>
    <w:rsid w:val="00C86625"/>
    <w:rsid w:val="00C866D9"/>
    <w:rsid w:val="00C8673E"/>
    <w:rsid w:val="00C8679D"/>
    <w:rsid w:val="00C867BB"/>
    <w:rsid w:val="00C867FF"/>
    <w:rsid w:val="00C86B3C"/>
    <w:rsid w:val="00C86B51"/>
    <w:rsid w:val="00C86CD3"/>
    <w:rsid w:val="00C86D21"/>
    <w:rsid w:val="00C86E88"/>
    <w:rsid w:val="00C870AF"/>
    <w:rsid w:val="00C87113"/>
    <w:rsid w:val="00C87198"/>
    <w:rsid w:val="00C871BE"/>
    <w:rsid w:val="00C872DF"/>
    <w:rsid w:val="00C87350"/>
    <w:rsid w:val="00C87398"/>
    <w:rsid w:val="00C873E8"/>
    <w:rsid w:val="00C87469"/>
    <w:rsid w:val="00C875B9"/>
    <w:rsid w:val="00C875DE"/>
    <w:rsid w:val="00C8765F"/>
    <w:rsid w:val="00C8766C"/>
    <w:rsid w:val="00C876B3"/>
    <w:rsid w:val="00C8771A"/>
    <w:rsid w:val="00C877BE"/>
    <w:rsid w:val="00C87999"/>
    <w:rsid w:val="00C87B41"/>
    <w:rsid w:val="00C87B9A"/>
    <w:rsid w:val="00C87D09"/>
    <w:rsid w:val="00C87F39"/>
    <w:rsid w:val="00C900C2"/>
    <w:rsid w:val="00C90170"/>
    <w:rsid w:val="00C90289"/>
    <w:rsid w:val="00C90435"/>
    <w:rsid w:val="00C90591"/>
    <w:rsid w:val="00C906C0"/>
    <w:rsid w:val="00C90860"/>
    <w:rsid w:val="00C909C6"/>
    <w:rsid w:val="00C90A96"/>
    <w:rsid w:val="00C90BDD"/>
    <w:rsid w:val="00C90C30"/>
    <w:rsid w:val="00C90C3E"/>
    <w:rsid w:val="00C90CD4"/>
    <w:rsid w:val="00C90CF3"/>
    <w:rsid w:val="00C90DE6"/>
    <w:rsid w:val="00C90DF0"/>
    <w:rsid w:val="00C90EFB"/>
    <w:rsid w:val="00C90F11"/>
    <w:rsid w:val="00C9100E"/>
    <w:rsid w:val="00C91202"/>
    <w:rsid w:val="00C9138E"/>
    <w:rsid w:val="00C913EC"/>
    <w:rsid w:val="00C913F9"/>
    <w:rsid w:val="00C9143C"/>
    <w:rsid w:val="00C91456"/>
    <w:rsid w:val="00C914C7"/>
    <w:rsid w:val="00C914EA"/>
    <w:rsid w:val="00C91556"/>
    <w:rsid w:val="00C915A0"/>
    <w:rsid w:val="00C915B2"/>
    <w:rsid w:val="00C916EA"/>
    <w:rsid w:val="00C91844"/>
    <w:rsid w:val="00C9195C"/>
    <w:rsid w:val="00C91A71"/>
    <w:rsid w:val="00C91AF9"/>
    <w:rsid w:val="00C91C5E"/>
    <w:rsid w:val="00C91E6C"/>
    <w:rsid w:val="00C91F27"/>
    <w:rsid w:val="00C920BB"/>
    <w:rsid w:val="00C920C9"/>
    <w:rsid w:val="00C9215F"/>
    <w:rsid w:val="00C921C4"/>
    <w:rsid w:val="00C9230A"/>
    <w:rsid w:val="00C92346"/>
    <w:rsid w:val="00C9241C"/>
    <w:rsid w:val="00C92567"/>
    <w:rsid w:val="00C9280A"/>
    <w:rsid w:val="00C92836"/>
    <w:rsid w:val="00C92A5F"/>
    <w:rsid w:val="00C92AE1"/>
    <w:rsid w:val="00C92B03"/>
    <w:rsid w:val="00C92B45"/>
    <w:rsid w:val="00C92BAC"/>
    <w:rsid w:val="00C92C4B"/>
    <w:rsid w:val="00C92D39"/>
    <w:rsid w:val="00C92DE0"/>
    <w:rsid w:val="00C92EFE"/>
    <w:rsid w:val="00C92F9C"/>
    <w:rsid w:val="00C93295"/>
    <w:rsid w:val="00C935D2"/>
    <w:rsid w:val="00C93776"/>
    <w:rsid w:val="00C93870"/>
    <w:rsid w:val="00C93910"/>
    <w:rsid w:val="00C93995"/>
    <w:rsid w:val="00C93AA9"/>
    <w:rsid w:val="00C93B8E"/>
    <w:rsid w:val="00C93BDE"/>
    <w:rsid w:val="00C93C68"/>
    <w:rsid w:val="00C93D5E"/>
    <w:rsid w:val="00C93D66"/>
    <w:rsid w:val="00C93E58"/>
    <w:rsid w:val="00C93EAE"/>
    <w:rsid w:val="00C94025"/>
    <w:rsid w:val="00C94182"/>
    <w:rsid w:val="00C9432C"/>
    <w:rsid w:val="00C9434D"/>
    <w:rsid w:val="00C9470B"/>
    <w:rsid w:val="00C949C1"/>
    <w:rsid w:val="00C94A17"/>
    <w:rsid w:val="00C94B92"/>
    <w:rsid w:val="00C9500B"/>
    <w:rsid w:val="00C95032"/>
    <w:rsid w:val="00C950E3"/>
    <w:rsid w:val="00C951C8"/>
    <w:rsid w:val="00C9527D"/>
    <w:rsid w:val="00C952C9"/>
    <w:rsid w:val="00C95579"/>
    <w:rsid w:val="00C95592"/>
    <w:rsid w:val="00C95661"/>
    <w:rsid w:val="00C95692"/>
    <w:rsid w:val="00C957CD"/>
    <w:rsid w:val="00C957E9"/>
    <w:rsid w:val="00C958F2"/>
    <w:rsid w:val="00C959E6"/>
    <w:rsid w:val="00C959F1"/>
    <w:rsid w:val="00C95A0D"/>
    <w:rsid w:val="00C95A3D"/>
    <w:rsid w:val="00C95AA8"/>
    <w:rsid w:val="00C95B0E"/>
    <w:rsid w:val="00C95B44"/>
    <w:rsid w:val="00C95BD5"/>
    <w:rsid w:val="00C95CA0"/>
    <w:rsid w:val="00C95CC4"/>
    <w:rsid w:val="00C95D4A"/>
    <w:rsid w:val="00C95D91"/>
    <w:rsid w:val="00C95E16"/>
    <w:rsid w:val="00C95EFD"/>
    <w:rsid w:val="00C96073"/>
    <w:rsid w:val="00C9645F"/>
    <w:rsid w:val="00C964AF"/>
    <w:rsid w:val="00C964DE"/>
    <w:rsid w:val="00C96533"/>
    <w:rsid w:val="00C965F1"/>
    <w:rsid w:val="00C96649"/>
    <w:rsid w:val="00C96655"/>
    <w:rsid w:val="00C96755"/>
    <w:rsid w:val="00C9699A"/>
    <w:rsid w:val="00C969B3"/>
    <w:rsid w:val="00C96BDF"/>
    <w:rsid w:val="00C96C05"/>
    <w:rsid w:val="00C96CE4"/>
    <w:rsid w:val="00C96ED3"/>
    <w:rsid w:val="00C97269"/>
    <w:rsid w:val="00C97469"/>
    <w:rsid w:val="00C974AA"/>
    <w:rsid w:val="00C97628"/>
    <w:rsid w:val="00C9770C"/>
    <w:rsid w:val="00C977C4"/>
    <w:rsid w:val="00C979A4"/>
    <w:rsid w:val="00C97A29"/>
    <w:rsid w:val="00C97B59"/>
    <w:rsid w:val="00C97BA9"/>
    <w:rsid w:val="00C97DD6"/>
    <w:rsid w:val="00CA0065"/>
    <w:rsid w:val="00CA00CB"/>
    <w:rsid w:val="00CA0138"/>
    <w:rsid w:val="00CA0298"/>
    <w:rsid w:val="00CA0302"/>
    <w:rsid w:val="00CA03A1"/>
    <w:rsid w:val="00CA0425"/>
    <w:rsid w:val="00CA0477"/>
    <w:rsid w:val="00CA04EC"/>
    <w:rsid w:val="00CA0593"/>
    <w:rsid w:val="00CA065A"/>
    <w:rsid w:val="00CA08E9"/>
    <w:rsid w:val="00CA0A74"/>
    <w:rsid w:val="00CA0AE0"/>
    <w:rsid w:val="00CA0AE6"/>
    <w:rsid w:val="00CA0B73"/>
    <w:rsid w:val="00CA0C04"/>
    <w:rsid w:val="00CA0C37"/>
    <w:rsid w:val="00CA0CB6"/>
    <w:rsid w:val="00CA0E0C"/>
    <w:rsid w:val="00CA0E46"/>
    <w:rsid w:val="00CA0E71"/>
    <w:rsid w:val="00CA10DC"/>
    <w:rsid w:val="00CA1106"/>
    <w:rsid w:val="00CA1190"/>
    <w:rsid w:val="00CA11DA"/>
    <w:rsid w:val="00CA12F4"/>
    <w:rsid w:val="00CA136C"/>
    <w:rsid w:val="00CA13E1"/>
    <w:rsid w:val="00CA1419"/>
    <w:rsid w:val="00CA1446"/>
    <w:rsid w:val="00CA17A8"/>
    <w:rsid w:val="00CA1853"/>
    <w:rsid w:val="00CA18E9"/>
    <w:rsid w:val="00CA1932"/>
    <w:rsid w:val="00CA1AA9"/>
    <w:rsid w:val="00CA1B0A"/>
    <w:rsid w:val="00CA1BE8"/>
    <w:rsid w:val="00CA1C57"/>
    <w:rsid w:val="00CA1D87"/>
    <w:rsid w:val="00CA1DC1"/>
    <w:rsid w:val="00CA1F98"/>
    <w:rsid w:val="00CA2274"/>
    <w:rsid w:val="00CA2447"/>
    <w:rsid w:val="00CA261F"/>
    <w:rsid w:val="00CA282C"/>
    <w:rsid w:val="00CA2918"/>
    <w:rsid w:val="00CA2937"/>
    <w:rsid w:val="00CA298F"/>
    <w:rsid w:val="00CA2A5F"/>
    <w:rsid w:val="00CA2B2F"/>
    <w:rsid w:val="00CA2B46"/>
    <w:rsid w:val="00CA2B51"/>
    <w:rsid w:val="00CA2BB0"/>
    <w:rsid w:val="00CA2C5F"/>
    <w:rsid w:val="00CA2C70"/>
    <w:rsid w:val="00CA2D33"/>
    <w:rsid w:val="00CA2DE0"/>
    <w:rsid w:val="00CA2E99"/>
    <w:rsid w:val="00CA31C1"/>
    <w:rsid w:val="00CA3221"/>
    <w:rsid w:val="00CA33B2"/>
    <w:rsid w:val="00CA354C"/>
    <w:rsid w:val="00CA362C"/>
    <w:rsid w:val="00CA3A5A"/>
    <w:rsid w:val="00CA3BA0"/>
    <w:rsid w:val="00CA3C20"/>
    <w:rsid w:val="00CA3D33"/>
    <w:rsid w:val="00CA3D57"/>
    <w:rsid w:val="00CA3E30"/>
    <w:rsid w:val="00CA3EE0"/>
    <w:rsid w:val="00CA3EE1"/>
    <w:rsid w:val="00CA3FA6"/>
    <w:rsid w:val="00CA428A"/>
    <w:rsid w:val="00CA4312"/>
    <w:rsid w:val="00CA43B1"/>
    <w:rsid w:val="00CA44ED"/>
    <w:rsid w:val="00CA473A"/>
    <w:rsid w:val="00CA4745"/>
    <w:rsid w:val="00CA4758"/>
    <w:rsid w:val="00CA4767"/>
    <w:rsid w:val="00CA48B6"/>
    <w:rsid w:val="00CA49CB"/>
    <w:rsid w:val="00CA4A2F"/>
    <w:rsid w:val="00CA4A37"/>
    <w:rsid w:val="00CA4A71"/>
    <w:rsid w:val="00CA4AFC"/>
    <w:rsid w:val="00CA4C6C"/>
    <w:rsid w:val="00CA4D4A"/>
    <w:rsid w:val="00CA4D89"/>
    <w:rsid w:val="00CA4DCC"/>
    <w:rsid w:val="00CA4E40"/>
    <w:rsid w:val="00CA4F9D"/>
    <w:rsid w:val="00CA5037"/>
    <w:rsid w:val="00CA510F"/>
    <w:rsid w:val="00CA51B4"/>
    <w:rsid w:val="00CA521B"/>
    <w:rsid w:val="00CA541B"/>
    <w:rsid w:val="00CA543F"/>
    <w:rsid w:val="00CA55CD"/>
    <w:rsid w:val="00CA56B0"/>
    <w:rsid w:val="00CA59D8"/>
    <w:rsid w:val="00CA5AD2"/>
    <w:rsid w:val="00CA5B75"/>
    <w:rsid w:val="00CA5BBB"/>
    <w:rsid w:val="00CA5C6B"/>
    <w:rsid w:val="00CA5CD7"/>
    <w:rsid w:val="00CA5E0A"/>
    <w:rsid w:val="00CA5E85"/>
    <w:rsid w:val="00CA5ED5"/>
    <w:rsid w:val="00CA5EE9"/>
    <w:rsid w:val="00CA5F69"/>
    <w:rsid w:val="00CA6019"/>
    <w:rsid w:val="00CA607C"/>
    <w:rsid w:val="00CA6089"/>
    <w:rsid w:val="00CA61F9"/>
    <w:rsid w:val="00CA63EA"/>
    <w:rsid w:val="00CA642E"/>
    <w:rsid w:val="00CA651A"/>
    <w:rsid w:val="00CA6523"/>
    <w:rsid w:val="00CA663B"/>
    <w:rsid w:val="00CA66FF"/>
    <w:rsid w:val="00CA671D"/>
    <w:rsid w:val="00CA67D4"/>
    <w:rsid w:val="00CA6898"/>
    <w:rsid w:val="00CA69BC"/>
    <w:rsid w:val="00CA6AD7"/>
    <w:rsid w:val="00CA6E65"/>
    <w:rsid w:val="00CA71EA"/>
    <w:rsid w:val="00CA721E"/>
    <w:rsid w:val="00CA7354"/>
    <w:rsid w:val="00CA7401"/>
    <w:rsid w:val="00CA754E"/>
    <w:rsid w:val="00CA75B4"/>
    <w:rsid w:val="00CA7618"/>
    <w:rsid w:val="00CA77D9"/>
    <w:rsid w:val="00CA7815"/>
    <w:rsid w:val="00CA7B44"/>
    <w:rsid w:val="00CA7BAD"/>
    <w:rsid w:val="00CA7CAF"/>
    <w:rsid w:val="00CA7D1D"/>
    <w:rsid w:val="00CA7F77"/>
    <w:rsid w:val="00CA7FAE"/>
    <w:rsid w:val="00CB0185"/>
    <w:rsid w:val="00CB025D"/>
    <w:rsid w:val="00CB02C3"/>
    <w:rsid w:val="00CB0733"/>
    <w:rsid w:val="00CB07BA"/>
    <w:rsid w:val="00CB08FF"/>
    <w:rsid w:val="00CB0A12"/>
    <w:rsid w:val="00CB0AFD"/>
    <w:rsid w:val="00CB0B39"/>
    <w:rsid w:val="00CB0B6B"/>
    <w:rsid w:val="00CB0BA1"/>
    <w:rsid w:val="00CB0BC6"/>
    <w:rsid w:val="00CB0C65"/>
    <w:rsid w:val="00CB0E17"/>
    <w:rsid w:val="00CB0E41"/>
    <w:rsid w:val="00CB0E42"/>
    <w:rsid w:val="00CB0FA1"/>
    <w:rsid w:val="00CB0FD5"/>
    <w:rsid w:val="00CB1185"/>
    <w:rsid w:val="00CB11FA"/>
    <w:rsid w:val="00CB137D"/>
    <w:rsid w:val="00CB1603"/>
    <w:rsid w:val="00CB19CD"/>
    <w:rsid w:val="00CB1A3D"/>
    <w:rsid w:val="00CB1A60"/>
    <w:rsid w:val="00CB1BCE"/>
    <w:rsid w:val="00CB1C7A"/>
    <w:rsid w:val="00CB1C8D"/>
    <w:rsid w:val="00CB1E14"/>
    <w:rsid w:val="00CB1F8F"/>
    <w:rsid w:val="00CB202C"/>
    <w:rsid w:val="00CB2170"/>
    <w:rsid w:val="00CB22E1"/>
    <w:rsid w:val="00CB2303"/>
    <w:rsid w:val="00CB2410"/>
    <w:rsid w:val="00CB257B"/>
    <w:rsid w:val="00CB25A3"/>
    <w:rsid w:val="00CB2614"/>
    <w:rsid w:val="00CB268D"/>
    <w:rsid w:val="00CB2733"/>
    <w:rsid w:val="00CB2A98"/>
    <w:rsid w:val="00CB2AE7"/>
    <w:rsid w:val="00CB2D73"/>
    <w:rsid w:val="00CB2DE4"/>
    <w:rsid w:val="00CB3160"/>
    <w:rsid w:val="00CB3251"/>
    <w:rsid w:val="00CB3351"/>
    <w:rsid w:val="00CB33E5"/>
    <w:rsid w:val="00CB34D6"/>
    <w:rsid w:val="00CB361D"/>
    <w:rsid w:val="00CB3727"/>
    <w:rsid w:val="00CB372C"/>
    <w:rsid w:val="00CB3790"/>
    <w:rsid w:val="00CB37EF"/>
    <w:rsid w:val="00CB38FA"/>
    <w:rsid w:val="00CB3956"/>
    <w:rsid w:val="00CB3A61"/>
    <w:rsid w:val="00CB3DF5"/>
    <w:rsid w:val="00CB3F8B"/>
    <w:rsid w:val="00CB412D"/>
    <w:rsid w:val="00CB4132"/>
    <w:rsid w:val="00CB41E9"/>
    <w:rsid w:val="00CB4252"/>
    <w:rsid w:val="00CB43FB"/>
    <w:rsid w:val="00CB44E5"/>
    <w:rsid w:val="00CB46B4"/>
    <w:rsid w:val="00CB4A0A"/>
    <w:rsid w:val="00CB4E09"/>
    <w:rsid w:val="00CB4F9E"/>
    <w:rsid w:val="00CB50C9"/>
    <w:rsid w:val="00CB52A9"/>
    <w:rsid w:val="00CB5309"/>
    <w:rsid w:val="00CB532F"/>
    <w:rsid w:val="00CB5330"/>
    <w:rsid w:val="00CB536B"/>
    <w:rsid w:val="00CB5420"/>
    <w:rsid w:val="00CB547D"/>
    <w:rsid w:val="00CB54AA"/>
    <w:rsid w:val="00CB54C8"/>
    <w:rsid w:val="00CB54CB"/>
    <w:rsid w:val="00CB56E4"/>
    <w:rsid w:val="00CB59B3"/>
    <w:rsid w:val="00CB5B16"/>
    <w:rsid w:val="00CB5BC6"/>
    <w:rsid w:val="00CB5CAE"/>
    <w:rsid w:val="00CB5CE2"/>
    <w:rsid w:val="00CB5D18"/>
    <w:rsid w:val="00CB6080"/>
    <w:rsid w:val="00CB60C7"/>
    <w:rsid w:val="00CB60E0"/>
    <w:rsid w:val="00CB6336"/>
    <w:rsid w:val="00CB63D9"/>
    <w:rsid w:val="00CB65E6"/>
    <w:rsid w:val="00CB6720"/>
    <w:rsid w:val="00CB673A"/>
    <w:rsid w:val="00CB681C"/>
    <w:rsid w:val="00CB6912"/>
    <w:rsid w:val="00CB6950"/>
    <w:rsid w:val="00CB69DF"/>
    <w:rsid w:val="00CB6A1E"/>
    <w:rsid w:val="00CB6A87"/>
    <w:rsid w:val="00CB6A8A"/>
    <w:rsid w:val="00CB6D1C"/>
    <w:rsid w:val="00CB6D66"/>
    <w:rsid w:val="00CB6D74"/>
    <w:rsid w:val="00CB6E15"/>
    <w:rsid w:val="00CB6E39"/>
    <w:rsid w:val="00CB6EC6"/>
    <w:rsid w:val="00CB6F1C"/>
    <w:rsid w:val="00CB70E5"/>
    <w:rsid w:val="00CB7169"/>
    <w:rsid w:val="00CB7357"/>
    <w:rsid w:val="00CB73D7"/>
    <w:rsid w:val="00CB75C3"/>
    <w:rsid w:val="00CB7874"/>
    <w:rsid w:val="00CB7908"/>
    <w:rsid w:val="00CB794B"/>
    <w:rsid w:val="00CB7E11"/>
    <w:rsid w:val="00CB7E5B"/>
    <w:rsid w:val="00CB7EA5"/>
    <w:rsid w:val="00CC006B"/>
    <w:rsid w:val="00CC03B6"/>
    <w:rsid w:val="00CC041E"/>
    <w:rsid w:val="00CC0472"/>
    <w:rsid w:val="00CC0491"/>
    <w:rsid w:val="00CC062A"/>
    <w:rsid w:val="00CC0791"/>
    <w:rsid w:val="00CC0C86"/>
    <w:rsid w:val="00CC0CB8"/>
    <w:rsid w:val="00CC0DA5"/>
    <w:rsid w:val="00CC0E55"/>
    <w:rsid w:val="00CC0E69"/>
    <w:rsid w:val="00CC0EBF"/>
    <w:rsid w:val="00CC0F4D"/>
    <w:rsid w:val="00CC0FBB"/>
    <w:rsid w:val="00CC1367"/>
    <w:rsid w:val="00CC1382"/>
    <w:rsid w:val="00CC18C5"/>
    <w:rsid w:val="00CC1974"/>
    <w:rsid w:val="00CC1B32"/>
    <w:rsid w:val="00CC1CD3"/>
    <w:rsid w:val="00CC1CE7"/>
    <w:rsid w:val="00CC1F78"/>
    <w:rsid w:val="00CC1FE7"/>
    <w:rsid w:val="00CC22A5"/>
    <w:rsid w:val="00CC23F4"/>
    <w:rsid w:val="00CC2464"/>
    <w:rsid w:val="00CC24C3"/>
    <w:rsid w:val="00CC2731"/>
    <w:rsid w:val="00CC28BA"/>
    <w:rsid w:val="00CC291F"/>
    <w:rsid w:val="00CC295F"/>
    <w:rsid w:val="00CC2AA1"/>
    <w:rsid w:val="00CC2B5B"/>
    <w:rsid w:val="00CC2DEB"/>
    <w:rsid w:val="00CC2E88"/>
    <w:rsid w:val="00CC2FA2"/>
    <w:rsid w:val="00CC2FCC"/>
    <w:rsid w:val="00CC2FEE"/>
    <w:rsid w:val="00CC3076"/>
    <w:rsid w:val="00CC3094"/>
    <w:rsid w:val="00CC30F7"/>
    <w:rsid w:val="00CC31B2"/>
    <w:rsid w:val="00CC31CE"/>
    <w:rsid w:val="00CC3290"/>
    <w:rsid w:val="00CC32C5"/>
    <w:rsid w:val="00CC3306"/>
    <w:rsid w:val="00CC364A"/>
    <w:rsid w:val="00CC36C5"/>
    <w:rsid w:val="00CC36CD"/>
    <w:rsid w:val="00CC3989"/>
    <w:rsid w:val="00CC3A1D"/>
    <w:rsid w:val="00CC3A63"/>
    <w:rsid w:val="00CC3A84"/>
    <w:rsid w:val="00CC3C35"/>
    <w:rsid w:val="00CC3D3F"/>
    <w:rsid w:val="00CC3DB6"/>
    <w:rsid w:val="00CC3E48"/>
    <w:rsid w:val="00CC40DF"/>
    <w:rsid w:val="00CC4231"/>
    <w:rsid w:val="00CC46E7"/>
    <w:rsid w:val="00CC4798"/>
    <w:rsid w:val="00CC47B2"/>
    <w:rsid w:val="00CC47F7"/>
    <w:rsid w:val="00CC4D07"/>
    <w:rsid w:val="00CC4D8E"/>
    <w:rsid w:val="00CC5186"/>
    <w:rsid w:val="00CC51B4"/>
    <w:rsid w:val="00CC5224"/>
    <w:rsid w:val="00CC530B"/>
    <w:rsid w:val="00CC5493"/>
    <w:rsid w:val="00CC5702"/>
    <w:rsid w:val="00CC570C"/>
    <w:rsid w:val="00CC5B41"/>
    <w:rsid w:val="00CC5BAF"/>
    <w:rsid w:val="00CC5C47"/>
    <w:rsid w:val="00CC5CC7"/>
    <w:rsid w:val="00CC5D25"/>
    <w:rsid w:val="00CC5F8A"/>
    <w:rsid w:val="00CC6076"/>
    <w:rsid w:val="00CC64E4"/>
    <w:rsid w:val="00CC65B6"/>
    <w:rsid w:val="00CC674C"/>
    <w:rsid w:val="00CC69E1"/>
    <w:rsid w:val="00CC6A1A"/>
    <w:rsid w:val="00CC6B0B"/>
    <w:rsid w:val="00CC6B30"/>
    <w:rsid w:val="00CC6B7C"/>
    <w:rsid w:val="00CC6C02"/>
    <w:rsid w:val="00CC6CD3"/>
    <w:rsid w:val="00CC6D7D"/>
    <w:rsid w:val="00CC6DF0"/>
    <w:rsid w:val="00CC6E30"/>
    <w:rsid w:val="00CC6EB4"/>
    <w:rsid w:val="00CC6FB1"/>
    <w:rsid w:val="00CC6FE2"/>
    <w:rsid w:val="00CC726A"/>
    <w:rsid w:val="00CC764B"/>
    <w:rsid w:val="00CC77B5"/>
    <w:rsid w:val="00CC784D"/>
    <w:rsid w:val="00CC79EC"/>
    <w:rsid w:val="00CC7A7A"/>
    <w:rsid w:val="00CC7AC5"/>
    <w:rsid w:val="00CC7BBA"/>
    <w:rsid w:val="00CC7BE3"/>
    <w:rsid w:val="00CC7C2F"/>
    <w:rsid w:val="00CC7CB5"/>
    <w:rsid w:val="00CC7D08"/>
    <w:rsid w:val="00CD00B0"/>
    <w:rsid w:val="00CD01AB"/>
    <w:rsid w:val="00CD01CD"/>
    <w:rsid w:val="00CD03B0"/>
    <w:rsid w:val="00CD042E"/>
    <w:rsid w:val="00CD04FD"/>
    <w:rsid w:val="00CD0709"/>
    <w:rsid w:val="00CD0753"/>
    <w:rsid w:val="00CD07A4"/>
    <w:rsid w:val="00CD07D1"/>
    <w:rsid w:val="00CD0811"/>
    <w:rsid w:val="00CD085F"/>
    <w:rsid w:val="00CD08D7"/>
    <w:rsid w:val="00CD0A35"/>
    <w:rsid w:val="00CD0AF7"/>
    <w:rsid w:val="00CD0BC8"/>
    <w:rsid w:val="00CD0BF0"/>
    <w:rsid w:val="00CD0C5F"/>
    <w:rsid w:val="00CD0D88"/>
    <w:rsid w:val="00CD0D9B"/>
    <w:rsid w:val="00CD0DA3"/>
    <w:rsid w:val="00CD0DED"/>
    <w:rsid w:val="00CD0EAA"/>
    <w:rsid w:val="00CD0F7B"/>
    <w:rsid w:val="00CD1098"/>
    <w:rsid w:val="00CD10BE"/>
    <w:rsid w:val="00CD11A2"/>
    <w:rsid w:val="00CD1231"/>
    <w:rsid w:val="00CD1391"/>
    <w:rsid w:val="00CD157D"/>
    <w:rsid w:val="00CD1AE1"/>
    <w:rsid w:val="00CD1B0F"/>
    <w:rsid w:val="00CD1F21"/>
    <w:rsid w:val="00CD1F26"/>
    <w:rsid w:val="00CD22D2"/>
    <w:rsid w:val="00CD232F"/>
    <w:rsid w:val="00CD236D"/>
    <w:rsid w:val="00CD23DE"/>
    <w:rsid w:val="00CD2435"/>
    <w:rsid w:val="00CD24AF"/>
    <w:rsid w:val="00CD282A"/>
    <w:rsid w:val="00CD2862"/>
    <w:rsid w:val="00CD299C"/>
    <w:rsid w:val="00CD2A1F"/>
    <w:rsid w:val="00CD2ACA"/>
    <w:rsid w:val="00CD2AFF"/>
    <w:rsid w:val="00CD2BAF"/>
    <w:rsid w:val="00CD2C40"/>
    <w:rsid w:val="00CD2F54"/>
    <w:rsid w:val="00CD3263"/>
    <w:rsid w:val="00CD35F9"/>
    <w:rsid w:val="00CD36B6"/>
    <w:rsid w:val="00CD3721"/>
    <w:rsid w:val="00CD38B8"/>
    <w:rsid w:val="00CD390F"/>
    <w:rsid w:val="00CD3981"/>
    <w:rsid w:val="00CD3B24"/>
    <w:rsid w:val="00CD3BE4"/>
    <w:rsid w:val="00CD3D2C"/>
    <w:rsid w:val="00CD3E57"/>
    <w:rsid w:val="00CD3EE4"/>
    <w:rsid w:val="00CD3F1A"/>
    <w:rsid w:val="00CD3FB1"/>
    <w:rsid w:val="00CD3FD3"/>
    <w:rsid w:val="00CD4048"/>
    <w:rsid w:val="00CD43DF"/>
    <w:rsid w:val="00CD44E6"/>
    <w:rsid w:val="00CD472D"/>
    <w:rsid w:val="00CD4881"/>
    <w:rsid w:val="00CD48A0"/>
    <w:rsid w:val="00CD4957"/>
    <w:rsid w:val="00CD495A"/>
    <w:rsid w:val="00CD4A6C"/>
    <w:rsid w:val="00CD4A94"/>
    <w:rsid w:val="00CD4AC7"/>
    <w:rsid w:val="00CD4B1E"/>
    <w:rsid w:val="00CD4B7E"/>
    <w:rsid w:val="00CD4BF9"/>
    <w:rsid w:val="00CD4C58"/>
    <w:rsid w:val="00CD4D51"/>
    <w:rsid w:val="00CD4E43"/>
    <w:rsid w:val="00CD4ED4"/>
    <w:rsid w:val="00CD507A"/>
    <w:rsid w:val="00CD52EA"/>
    <w:rsid w:val="00CD541A"/>
    <w:rsid w:val="00CD54E4"/>
    <w:rsid w:val="00CD5921"/>
    <w:rsid w:val="00CD5958"/>
    <w:rsid w:val="00CD5A60"/>
    <w:rsid w:val="00CD5B55"/>
    <w:rsid w:val="00CD5B64"/>
    <w:rsid w:val="00CD5C63"/>
    <w:rsid w:val="00CD5DBB"/>
    <w:rsid w:val="00CD5FEF"/>
    <w:rsid w:val="00CD60E8"/>
    <w:rsid w:val="00CD61A5"/>
    <w:rsid w:val="00CD6329"/>
    <w:rsid w:val="00CD63D6"/>
    <w:rsid w:val="00CD6455"/>
    <w:rsid w:val="00CD6474"/>
    <w:rsid w:val="00CD64DA"/>
    <w:rsid w:val="00CD65B4"/>
    <w:rsid w:val="00CD6653"/>
    <w:rsid w:val="00CD66FE"/>
    <w:rsid w:val="00CD67C3"/>
    <w:rsid w:val="00CD6839"/>
    <w:rsid w:val="00CD6976"/>
    <w:rsid w:val="00CD69BF"/>
    <w:rsid w:val="00CD6A04"/>
    <w:rsid w:val="00CD6ADC"/>
    <w:rsid w:val="00CD6B19"/>
    <w:rsid w:val="00CD6C10"/>
    <w:rsid w:val="00CD6C68"/>
    <w:rsid w:val="00CD6D5C"/>
    <w:rsid w:val="00CD6EE8"/>
    <w:rsid w:val="00CD6F28"/>
    <w:rsid w:val="00CD6F64"/>
    <w:rsid w:val="00CD70F4"/>
    <w:rsid w:val="00CD71BE"/>
    <w:rsid w:val="00CD7264"/>
    <w:rsid w:val="00CD7295"/>
    <w:rsid w:val="00CD72BA"/>
    <w:rsid w:val="00CD72C9"/>
    <w:rsid w:val="00CD72FF"/>
    <w:rsid w:val="00CD736C"/>
    <w:rsid w:val="00CD7457"/>
    <w:rsid w:val="00CD7494"/>
    <w:rsid w:val="00CD7504"/>
    <w:rsid w:val="00CD759E"/>
    <w:rsid w:val="00CD75AF"/>
    <w:rsid w:val="00CD75B5"/>
    <w:rsid w:val="00CD75F3"/>
    <w:rsid w:val="00CD769E"/>
    <w:rsid w:val="00CD76AB"/>
    <w:rsid w:val="00CD7768"/>
    <w:rsid w:val="00CD783C"/>
    <w:rsid w:val="00CD790E"/>
    <w:rsid w:val="00CD7CEB"/>
    <w:rsid w:val="00CD7D2D"/>
    <w:rsid w:val="00CD7D7D"/>
    <w:rsid w:val="00CD7D88"/>
    <w:rsid w:val="00CD7E27"/>
    <w:rsid w:val="00CD7EC5"/>
    <w:rsid w:val="00CE0082"/>
    <w:rsid w:val="00CE0401"/>
    <w:rsid w:val="00CE0535"/>
    <w:rsid w:val="00CE064B"/>
    <w:rsid w:val="00CE065B"/>
    <w:rsid w:val="00CE0720"/>
    <w:rsid w:val="00CE073F"/>
    <w:rsid w:val="00CE07E4"/>
    <w:rsid w:val="00CE090F"/>
    <w:rsid w:val="00CE091E"/>
    <w:rsid w:val="00CE0993"/>
    <w:rsid w:val="00CE0AEC"/>
    <w:rsid w:val="00CE0E20"/>
    <w:rsid w:val="00CE0EE5"/>
    <w:rsid w:val="00CE0F91"/>
    <w:rsid w:val="00CE111B"/>
    <w:rsid w:val="00CE14A2"/>
    <w:rsid w:val="00CE188D"/>
    <w:rsid w:val="00CE1A6D"/>
    <w:rsid w:val="00CE1B26"/>
    <w:rsid w:val="00CE1B5B"/>
    <w:rsid w:val="00CE1D67"/>
    <w:rsid w:val="00CE1E9F"/>
    <w:rsid w:val="00CE1EC5"/>
    <w:rsid w:val="00CE1FD2"/>
    <w:rsid w:val="00CE2001"/>
    <w:rsid w:val="00CE20D2"/>
    <w:rsid w:val="00CE2104"/>
    <w:rsid w:val="00CE218F"/>
    <w:rsid w:val="00CE21B9"/>
    <w:rsid w:val="00CE2281"/>
    <w:rsid w:val="00CE2574"/>
    <w:rsid w:val="00CE271F"/>
    <w:rsid w:val="00CE28AA"/>
    <w:rsid w:val="00CE2E88"/>
    <w:rsid w:val="00CE30BB"/>
    <w:rsid w:val="00CE3176"/>
    <w:rsid w:val="00CE3190"/>
    <w:rsid w:val="00CE36BA"/>
    <w:rsid w:val="00CE3885"/>
    <w:rsid w:val="00CE38A3"/>
    <w:rsid w:val="00CE3953"/>
    <w:rsid w:val="00CE3963"/>
    <w:rsid w:val="00CE3C0E"/>
    <w:rsid w:val="00CE3D9B"/>
    <w:rsid w:val="00CE3E4D"/>
    <w:rsid w:val="00CE3FE9"/>
    <w:rsid w:val="00CE4012"/>
    <w:rsid w:val="00CE406E"/>
    <w:rsid w:val="00CE40AC"/>
    <w:rsid w:val="00CE40F5"/>
    <w:rsid w:val="00CE4310"/>
    <w:rsid w:val="00CE452A"/>
    <w:rsid w:val="00CE474F"/>
    <w:rsid w:val="00CE49D7"/>
    <w:rsid w:val="00CE4A91"/>
    <w:rsid w:val="00CE4BC9"/>
    <w:rsid w:val="00CE502C"/>
    <w:rsid w:val="00CE507F"/>
    <w:rsid w:val="00CE50A1"/>
    <w:rsid w:val="00CE519E"/>
    <w:rsid w:val="00CE51B4"/>
    <w:rsid w:val="00CE5205"/>
    <w:rsid w:val="00CE52A4"/>
    <w:rsid w:val="00CE52FE"/>
    <w:rsid w:val="00CE53BD"/>
    <w:rsid w:val="00CE5506"/>
    <w:rsid w:val="00CE5622"/>
    <w:rsid w:val="00CE571D"/>
    <w:rsid w:val="00CE5912"/>
    <w:rsid w:val="00CE597C"/>
    <w:rsid w:val="00CE5AA2"/>
    <w:rsid w:val="00CE5CAB"/>
    <w:rsid w:val="00CE5DFA"/>
    <w:rsid w:val="00CE5EF8"/>
    <w:rsid w:val="00CE5F4C"/>
    <w:rsid w:val="00CE5FBE"/>
    <w:rsid w:val="00CE6385"/>
    <w:rsid w:val="00CE64E1"/>
    <w:rsid w:val="00CE657A"/>
    <w:rsid w:val="00CE65BE"/>
    <w:rsid w:val="00CE6722"/>
    <w:rsid w:val="00CE674F"/>
    <w:rsid w:val="00CE689E"/>
    <w:rsid w:val="00CE6915"/>
    <w:rsid w:val="00CE696E"/>
    <w:rsid w:val="00CE69CE"/>
    <w:rsid w:val="00CE6B4E"/>
    <w:rsid w:val="00CE6B57"/>
    <w:rsid w:val="00CE6BAE"/>
    <w:rsid w:val="00CE6E8C"/>
    <w:rsid w:val="00CE6EF6"/>
    <w:rsid w:val="00CE7028"/>
    <w:rsid w:val="00CE70B0"/>
    <w:rsid w:val="00CE74CF"/>
    <w:rsid w:val="00CE74E0"/>
    <w:rsid w:val="00CE7547"/>
    <w:rsid w:val="00CE77C5"/>
    <w:rsid w:val="00CE780B"/>
    <w:rsid w:val="00CE7821"/>
    <w:rsid w:val="00CE783D"/>
    <w:rsid w:val="00CE7A58"/>
    <w:rsid w:val="00CE7C5F"/>
    <w:rsid w:val="00CE7C8B"/>
    <w:rsid w:val="00CE7C93"/>
    <w:rsid w:val="00CE7DA4"/>
    <w:rsid w:val="00CE7EBF"/>
    <w:rsid w:val="00CE7ECF"/>
    <w:rsid w:val="00CF008A"/>
    <w:rsid w:val="00CF0204"/>
    <w:rsid w:val="00CF053F"/>
    <w:rsid w:val="00CF0551"/>
    <w:rsid w:val="00CF05D8"/>
    <w:rsid w:val="00CF0616"/>
    <w:rsid w:val="00CF06DF"/>
    <w:rsid w:val="00CF07AF"/>
    <w:rsid w:val="00CF0D61"/>
    <w:rsid w:val="00CF0F51"/>
    <w:rsid w:val="00CF108D"/>
    <w:rsid w:val="00CF10B6"/>
    <w:rsid w:val="00CF11C8"/>
    <w:rsid w:val="00CF122C"/>
    <w:rsid w:val="00CF133F"/>
    <w:rsid w:val="00CF1438"/>
    <w:rsid w:val="00CF15A5"/>
    <w:rsid w:val="00CF15B7"/>
    <w:rsid w:val="00CF1747"/>
    <w:rsid w:val="00CF17E7"/>
    <w:rsid w:val="00CF194E"/>
    <w:rsid w:val="00CF1ACA"/>
    <w:rsid w:val="00CF1CCD"/>
    <w:rsid w:val="00CF1D3B"/>
    <w:rsid w:val="00CF1DEB"/>
    <w:rsid w:val="00CF1E7E"/>
    <w:rsid w:val="00CF2151"/>
    <w:rsid w:val="00CF22C6"/>
    <w:rsid w:val="00CF2354"/>
    <w:rsid w:val="00CF23C8"/>
    <w:rsid w:val="00CF2457"/>
    <w:rsid w:val="00CF24C6"/>
    <w:rsid w:val="00CF25DF"/>
    <w:rsid w:val="00CF2607"/>
    <w:rsid w:val="00CF2678"/>
    <w:rsid w:val="00CF2709"/>
    <w:rsid w:val="00CF27B3"/>
    <w:rsid w:val="00CF28D5"/>
    <w:rsid w:val="00CF2BB3"/>
    <w:rsid w:val="00CF2F1C"/>
    <w:rsid w:val="00CF30BD"/>
    <w:rsid w:val="00CF3248"/>
    <w:rsid w:val="00CF328D"/>
    <w:rsid w:val="00CF32CC"/>
    <w:rsid w:val="00CF3382"/>
    <w:rsid w:val="00CF3429"/>
    <w:rsid w:val="00CF34CE"/>
    <w:rsid w:val="00CF350B"/>
    <w:rsid w:val="00CF3577"/>
    <w:rsid w:val="00CF359A"/>
    <w:rsid w:val="00CF35B2"/>
    <w:rsid w:val="00CF37CA"/>
    <w:rsid w:val="00CF3859"/>
    <w:rsid w:val="00CF397C"/>
    <w:rsid w:val="00CF39F1"/>
    <w:rsid w:val="00CF3A38"/>
    <w:rsid w:val="00CF3BB2"/>
    <w:rsid w:val="00CF3C2D"/>
    <w:rsid w:val="00CF3D44"/>
    <w:rsid w:val="00CF3F1D"/>
    <w:rsid w:val="00CF40A1"/>
    <w:rsid w:val="00CF416A"/>
    <w:rsid w:val="00CF41CB"/>
    <w:rsid w:val="00CF4332"/>
    <w:rsid w:val="00CF4674"/>
    <w:rsid w:val="00CF4694"/>
    <w:rsid w:val="00CF48D6"/>
    <w:rsid w:val="00CF49A1"/>
    <w:rsid w:val="00CF4A28"/>
    <w:rsid w:val="00CF4B07"/>
    <w:rsid w:val="00CF4E4E"/>
    <w:rsid w:val="00CF4E59"/>
    <w:rsid w:val="00CF4E5F"/>
    <w:rsid w:val="00CF4EC7"/>
    <w:rsid w:val="00CF501C"/>
    <w:rsid w:val="00CF50B8"/>
    <w:rsid w:val="00CF5486"/>
    <w:rsid w:val="00CF561B"/>
    <w:rsid w:val="00CF56A8"/>
    <w:rsid w:val="00CF5814"/>
    <w:rsid w:val="00CF5971"/>
    <w:rsid w:val="00CF5974"/>
    <w:rsid w:val="00CF5A33"/>
    <w:rsid w:val="00CF5BF8"/>
    <w:rsid w:val="00CF5DF8"/>
    <w:rsid w:val="00CF600D"/>
    <w:rsid w:val="00CF6290"/>
    <w:rsid w:val="00CF629F"/>
    <w:rsid w:val="00CF64B8"/>
    <w:rsid w:val="00CF6547"/>
    <w:rsid w:val="00CF6B3C"/>
    <w:rsid w:val="00CF6CEE"/>
    <w:rsid w:val="00CF6E26"/>
    <w:rsid w:val="00CF6E4B"/>
    <w:rsid w:val="00CF7016"/>
    <w:rsid w:val="00CF7060"/>
    <w:rsid w:val="00CF729D"/>
    <w:rsid w:val="00CF72DD"/>
    <w:rsid w:val="00CF7307"/>
    <w:rsid w:val="00CF73D8"/>
    <w:rsid w:val="00CF73E5"/>
    <w:rsid w:val="00CF73F0"/>
    <w:rsid w:val="00CF7466"/>
    <w:rsid w:val="00CF7546"/>
    <w:rsid w:val="00CF796F"/>
    <w:rsid w:val="00CF797B"/>
    <w:rsid w:val="00CF797F"/>
    <w:rsid w:val="00CF7A67"/>
    <w:rsid w:val="00CF7A9B"/>
    <w:rsid w:val="00CF7ACE"/>
    <w:rsid w:val="00CF7ADB"/>
    <w:rsid w:val="00CF7AF8"/>
    <w:rsid w:val="00CF7CD9"/>
    <w:rsid w:val="00CF7D15"/>
    <w:rsid w:val="00CF7DDB"/>
    <w:rsid w:val="00CF7E92"/>
    <w:rsid w:val="00D001B4"/>
    <w:rsid w:val="00D002B4"/>
    <w:rsid w:val="00D002B6"/>
    <w:rsid w:val="00D00385"/>
    <w:rsid w:val="00D003CB"/>
    <w:rsid w:val="00D0043D"/>
    <w:rsid w:val="00D0046E"/>
    <w:rsid w:val="00D0051B"/>
    <w:rsid w:val="00D00523"/>
    <w:rsid w:val="00D005A7"/>
    <w:rsid w:val="00D007A9"/>
    <w:rsid w:val="00D00961"/>
    <w:rsid w:val="00D0099F"/>
    <w:rsid w:val="00D00B02"/>
    <w:rsid w:val="00D00B08"/>
    <w:rsid w:val="00D00B92"/>
    <w:rsid w:val="00D00B9E"/>
    <w:rsid w:val="00D00C61"/>
    <w:rsid w:val="00D00D29"/>
    <w:rsid w:val="00D0105F"/>
    <w:rsid w:val="00D0109A"/>
    <w:rsid w:val="00D010B4"/>
    <w:rsid w:val="00D0114C"/>
    <w:rsid w:val="00D01191"/>
    <w:rsid w:val="00D0128D"/>
    <w:rsid w:val="00D012C1"/>
    <w:rsid w:val="00D012C4"/>
    <w:rsid w:val="00D01365"/>
    <w:rsid w:val="00D01385"/>
    <w:rsid w:val="00D01432"/>
    <w:rsid w:val="00D014B4"/>
    <w:rsid w:val="00D015D7"/>
    <w:rsid w:val="00D0161C"/>
    <w:rsid w:val="00D01644"/>
    <w:rsid w:val="00D016F2"/>
    <w:rsid w:val="00D01911"/>
    <w:rsid w:val="00D01A7C"/>
    <w:rsid w:val="00D01AC8"/>
    <w:rsid w:val="00D01C60"/>
    <w:rsid w:val="00D01D3D"/>
    <w:rsid w:val="00D01E5C"/>
    <w:rsid w:val="00D01EDC"/>
    <w:rsid w:val="00D0212F"/>
    <w:rsid w:val="00D02251"/>
    <w:rsid w:val="00D0249C"/>
    <w:rsid w:val="00D02538"/>
    <w:rsid w:val="00D02771"/>
    <w:rsid w:val="00D02787"/>
    <w:rsid w:val="00D02847"/>
    <w:rsid w:val="00D02C6A"/>
    <w:rsid w:val="00D03255"/>
    <w:rsid w:val="00D03444"/>
    <w:rsid w:val="00D0345B"/>
    <w:rsid w:val="00D034BF"/>
    <w:rsid w:val="00D034CD"/>
    <w:rsid w:val="00D03561"/>
    <w:rsid w:val="00D03591"/>
    <w:rsid w:val="00D035D3"/>
    <w:rsid w:val="00D03AAF"/>
    <w:rsid w:val="00D03CE7"/>
    <w:rsid w:val="00D03CFF"/>
    <w:rsid w:val="00D03E7F"/>
    <w:rsid w:val="00D03EB9"/>
    <w:rsid w:val="00D03EFC"/>
    <w:rsid w:val="00D03F57"/>
    <w:rsid w:val="00D0413A"/>
    <w:rsid w:val="00D04226"/>
    <w:rsid w:val="00D0430A"/>
    <w:rsid w:val="00D048D5"/>
    <w:rsid w:val="00D049F8"/>
    <w:rsid w:val="00D04BF0"/>
    <w:rsid w:val="00D04C1C"/>
    <w:rsid w:val="00D04C45"/>
    <w:rsid w:val="00D04C56"/>
    <w:rsid w:val="00D04D22"/>
    <w:rsid w:val="00D05285"/>
    <w:rsid w:val="00D0542F"/>
    <w:rsid w:val="00D056B8"/>
    <w:rsid w:val="00D057B0"/>
    <w:rsid w:val="00D05870"/>
    <w:rsid w:val="00D05877"/>
    <w:rsid w:val="00D05AA8"/>
    <w:rsid w:val="00D05D88"/>
    <w:rsid w:val="00D06233"/>
    <w:rsid w:val="00D062F5"/>
    <w:rsid w:val="00D063E2"/>
    <w:rsid w:val="00D06521"/>
    <w:rsid w:val="00D06585"/>
    <w:rsid w:val="00D0660C"/>
    <w:rsid w:val="00D06712"/>
    <w:rsid w:val="00D06784"/>
    <w:rsid w:val="00D067F2"/>
    <w:rsid w:val="00D0686A"/>
    <w:rsid w:val="00D068A5"/>
    <w:rsid w:val="00D06905"/>
    <w:rsid w:val="00D06BA1"/>
    <w:rsid w:val="00D06CCA"/>
    <w:rsid w:val="00D06E81"/>
    <w:rsid w:val="00D06EEA"/>
    <w:rsid w:val="00D06F5F"/>
    <w:rsid w:val="00D0714F"/>
    <w:rsid w:val="00D07168"/>
    <w:rsid w:val="00D07204"/>
    <w:rsid w:val="00D07223"/>
    <w:rsid w:val="00D07420"/>
    <w:rsid w:val="00D0746B"/>
    <w:rsid w:val="00D07561"/>
    <w:rsid w:val="00D07586"/>
    <w:rsid w:val="00D075DD"/>
    <w:rsid w:val="00D07771"/>
    <w:rsid w:val="00D077DE"/>
    <w:rsid w:val="00D077EA"/>
    <w:rsid w:val="00D07AB5"/>
    <w:rsid w:val="00D07B5B"/>
    <w:rsid w:val="00D07BAF"/>
    <w:rsid w:val="00D07CC3"/>
    <w:rsid w:val="00D07D08"/>
    <w:rsid w:val="00D1008B"/>
    <w:rsid w:val="00D101C3"/>
    <w:rsid w:val="00D10241"/>
    <w:rsid w:val="00D102B0"/>
    <w:rsid w:val="00D102C7"/>
    <w:rsid w:val="00D1037A"/>
    <w:rsid w:val="00D10406"/>
    <w:rsid w:val="00D104D5"/>
    <w:rsid w:val="00D1050F"/>
    <w:rsid w:val="00D10625"/>
    <w:rsid w:val="00D10755"/>
    <w:rsid w:val="00D1099B"/>
    <w:rsid w:val="00D10CDA"/>
    <w:rsid w:val="00D10CFD"/>
    <w:rsid w:val="00D10F08"/>
    <w:rsid w:val="00D10F58"/>
    <w:rsid w:val="00D10F8B"/>
    <w:rsid w:val="00D10F98"/>
    <w:rsid w:val="00D1111B"/>
    <w:rsid w:val="00D11180"/>
    <w:rsid w:val="00D1130F"/>
    <w:rsid w:val="00D1136E"/>
    <w:rsid w:val="00D11599"/>
    <w:rsid w:val="00D11747"/>
    <w:rsid w:val="00D11D9C"/>
    <w:rsid w:val="00D11D9F"/>
    <w:rsid w:val="00D11DD1"/>
    <w:rsid w:val="00D120DB"/>
    <w:rsid w:val="00D121A9"/>
    <w:rsid w:val="00D121F5"/>
    <w:rsid w:val="00D1223F"/>
    <w:rsid w:val="00D124C3"/>
    <w:rsid w:val="00D12521"/>
    <w:rsid w:val="00D12769"/>
    <w:rsid w:val="00D1277E"/>
    <w:rsid w:val="00D12811"/>
    <w:rsid w:val="00D128AF"/>
    <w:rsid w:val="00D12B04"/>
    <w:rsid w:val="00D12C10"/>
    <w:rsid w:val="00D12C55"/>
    <w:rsid w:val="00D12CFC"/>
    <w:rsid w:val="00D13028"/>
    <w:rsid w:val="00D1303B"/>
    <w:rsid w:val="00D130F7"/>
    <w:rsid w:val="00D13185"/>
    <w:rsid w:val="00D131E3"/>
    <w:rsid w:val="00D13220"/>
    <w:rsid w:val="00D13293"/>
    <w:rsid w:val="00D13499"/>
    <w:rsid w:val="00D1369B"/>
    <w:rsid w:val="00D1371A"/>
    <w:rsid w:val="00D13763"/>
    <w:rsid w:val="00D139C1"/>
    <w:rsid w:val="00D13BA5"/>
    <w:rsid w:val="00D13CAC"/>
    <w:rsid w:val="00D13CBE"/>
    <w:rsid w:val="00D13D38"/>
    <w:rsid w:val="00D13E5F"/>
    <w:rsid w:val="00D13F49"/>
    <w:rsid w:val="00D14200"/>
    <w:rsid w:val="00D1424A"/>
    <w:rsid w:val="00D14376"/>
    <w:rsid w:val="00D1437B"/>
    <w:rsid w:val="00D1445F"/>
    <w:rsid w:val="00D14618"/>
    <w:rsid w:val="00D147A0"/>
    <w:rsid w:val="00D14869"/>
    <w:rsid w:val="00D14971"/>
    <w:rsid w:val="00D14990"/>
    <w:rsid w:val="00D14B92"/>
    <w:rsid w:val="00D14BA6"/>
    <w:rsid w:val="00D14BFC"/>
    <w:rsid w:val="00D14CBE"/>
    <w:rsid w:val="00D14EEC"/>
    <w:rsid w:val="00D14EF6"/>
    <w:rsid w:val="00D14F3C"/>
    <w:rsid w:val="00D15104"/>
    <w:rsid w:val="00D1515C"/>
    <w:rsid w:val="00D151BB"/>
    <w:rsid w:val="00D151DA"/>
    <w:rsid w:val="00D151E2"/>
    <w:rsid w:val="00D152AA"/>
    <w:rsid w:val="00D154F2"/>
    <w:rsid w:val="00D1557E"/>
    <w:rsid w:val="00D1558E"/>
    <w:rsid w:val="00D1584A"/>
    <w:rsid w:val="00D15870"/>
    <w:rsid w:val="00D158DD"/>
    <w:rsid w:val="00D15931"/>
    <w:rsid w:val="00D1596B"/>
    <w:rsid w:val="00D1599C"/>
    <w:rsid w:val="00D15B5D"/>
    <w:rsid w:val="00D15B6C"/>
    <w:rsid w:val="00D15B8D"/>
    <w:rsid w:val="00D15BF5"/>
    <w:rsid w:val="00D15D35"/>
    <w:rsid w:val="00D15F6F"/>
    <w:rsid w:val="00D1610D"/>
    <w:rsid w:val="00D161AD"/>
    <w:rsid w:val="00D1649A"/>
    <w:rsid w:val="00D164F2"/>
    <w:rsid w:val="00D168BC"/>
    <w:rsid w:val="00D168F8"/>
    <w:rsid w:val="00D1692E"/>
    <w:rsid w:val="00D16A92"/>
    <w:rsid w:val="00D16AF8"/>
    <w:rsid w:val="00D16BED"/>
    <w:rsid w:val="00D16CB7"/>
    <w:rsid w:val="00D16E10"/>
    <w:rsid w:val="00D16E87"/>
    <w:rsid w:val="00D16FBF"/>
    <w:rsid w:val="00D17037"/>
    <w:rsid w:val="00D17088"/>
    <w:rsid w:val="00D170CB"/>
    <w:rsid w:val="00D170D8"/>
    <w:rsid w:val="00D173D6"/>
    <w:rsid w:val="00D17444"/>
    <w:rsid w:val="00D17618"/>
    <w:rsid w:val="00D1780D"/>
    <w:rsid w:val="00D178AA"/>
    <w:rsid w:val="00D17982"/>
    <w:rsid w:val="00D179EB"/>
    <w:rsid w:val="00D179F9"/>
    <w:rsid w:val="00D17B08"/>
    <w:rsid w:val="00D17D99"/>
    <w:rsid w:val="00D17EC4"/>
    <w:rsid w:val="00D17F24"/>
    <w:rsid w:val="00D2005A"/>
    <w:rsid w:val="00D20193"/>
    <w:rsid w:val="00D20313"/>
    <w:rsid w:val="00D203A8"/>
    <w:rsid w:val="00D2041E"/>
    <w:rsid w:val="00D20482"/>
    <w:rsid w:val="00D205BB"/>
    <w:rsid w:val="00D205C0"/>
    <w:rsid w:val="00D205DA"/>
    <w:rsid w:val="00D207C9"/>
    <w:rsid w:val="00D207F5"/>
    <w:rsid w:val="00D20875"/>
    <w:rsid w:val="00D20A3D"/>
    <w:rsid w:val="00D20A90"/>
    <w:rsid w:val="00D20DE7"/>
    <w:rsid w:val="00D20E08"/>
    <w:rsid w:val="00D20F6B"/>
    <w:rsid w:val="00D20FFA"/>
    <w:rsid w:val="00D210E3"/>
    <w:rsid w:val="00D2125B"/>
    <w:rsid w:val="00D214EF"/>
    <w:rsid w:val="00D2158A"/>
    <w:rsid w:val="00D215BE"/>
    <w:rsid w:val="00D21611"/>
    <w:rsid w:val="00D2166D"/>
    <w:rsid w:val="00D2174C"/>
    <w:rsid w:val="00D21894"/>
    <w:rsid w:val="00D21960"/>
    <w:rsid w:val="00D21AB7"/>
    <w:rsid w:val="00D21B63"/>
    <w:rsid w:val="00D21D11"/>
    <w:rsid w:val="00D21E4B"/>
    <w:rsid w:val="00D21E51"/>
    <w:rsid w:val="00D21F3B"/>
    <w:rsid w:val="00D21FAA"/>
    <w:rsid w:val="00D221EF"/>
    <w:rsid w:val="00D2222A"/>
    <w:rsid w:val="00D22253"/>
    <w:rsid w:val="00D22275"/>
    <w:rsid w:val="00D22318"/>
    <w:rsid w:val="00D2231A"/>
    <w:rsid w:val="00D22375"/>
    <w:rsid w:val="00D226BC"/>
    <w:rsid w:val="00D2280E"/>
    <w:rsid w:val="00D22B0F"/>
    <w:rsid w:val="00D22BFE"/>
    <w:rsid w:val="00D22CEF"/>
    <w:rsid w:val="00D22DD8"/>
    <w:rsid w:val="00D22DEE"/>
    <w:rsid w:val="00D22F63"/>
    <w:rsid w:val="00D23027"/>
    <w:rsid w:val="00D230A1"/>
    <w:rsid w:val="00D23118"/>
    <w:rsid w:val="00D23269"/>
    <w:rsid w:val="00D232C4"/>
    <w:rsid w:val="00D233C9"/>
    <w:rsid w:val="00D23614"/>
    <w:rsid w:val="00D236E6"/>
    <w:rsid w:val="00D23919"/>
    <w:rsid w:val="00D23978"/>
    <w:rsid w:val="00D239E1"/>
    <w:rsid w:val="00D23A17"/>
    <w:rsid w:val="00D23AB0"/>
    <w:rsid w:val="00D23AC4"/>
    <w:rsid w:val="00D23C4C"/>
    <w:rsid w:val="00D23CD0"/>
    <w:rsid w:val="00D24169"/>
    <w:rsid w:val="00D24259"/>
    <w:rsid w:val="00D2428A"/>
    <w:rsid w:val="00D242C5"/>
    <w:rsid w:val="00D242F0"/>
    <w:rsid w:val="00D243A1"/>
    <w:rsid w:val="00D244E7"/>
    <w:rsid w:val="00D245EA"/>
    <w:rsid w:val="00D24697"/>
    <w:rsid w:val="00D246FC"/>
    <w:rsid w:val="00D2488E"/>
    <w:rsid w:val="00D2497A"/>
    <w:rsid w:val="00D24A46"/>
    <w:rsid w:val="00D24A6F"/>
    <w:rsid w:val="00D24A96"/>
    <w:rsid w:val="00D24A9D"/>
    <w:rsid w:val="00D24AF4"/>
    <w:rsid w:val="00D24D93"/>
    <w:rsid w:val="00D24E84"/>
    <w:rsid w:val="00D24EF8"/>
    <w:rsid w:val="00D25228"/>
    <w:rsid w:val="00D25250"/>
    <w:rsid w:val="00D253BC"/>
    <w:rsid w:val="00D253FD"/>
    <w:rsid w:val="00D25515"/>
    <w:rsid w:val="00D25642"/>
    <w:rsid w:val="00D258D2"/>
    <w:rsid w:val="00D25D5C"/>
    <w:rsid w:val="00D25DDD"/>
    <w:rsid w:val="00D26046"/>
    <w:rsid w:val="00D261D8"/>
    <w:rsid w:val="00D261DC"/>
    <w:rsid w:val="00D26236"/>
    <w:rsid w:val="00D264BE"/>
    <w:rsid w:val="00D26640"/>
    <w:rsid w:val="00D266C3"/>
    <w:rsid w:val="00D266EB"/>
    <w:rsid w:val="00D266F4"/>
    <w:rsid w:val="00D2671B"/>
    <w:rsid w:val="00D26754"/>
    <w:rsid w:val="00D26958"/>
    <w:rsid w:val="00D26AF6"/>
    <w:rsid w:val="00D26C1D"/>
    <w:rsid w:val="00D26DCF"/>
    <w:rsid w:val="00D26E7F"/>
    <w:rsid w:val="00D26EFE"/>
    <w:rsid w:val="00D27168"/>
    <w:rsid w:val="00D271B8"/>
    <w:rsid w:val="00D27250"/>
    <w:rsid w:val="00D274E6"/>
    <w:rsid w:val="00D27650"/>
    <w:rsid w:val="00D276A0"/>
    <w:rsid w:val="00D27826"/>
    <w:rsid w:val="00D278CB"/>
    <w:rsid w:val="00D27A75"/>
    <w:rsid w:val="00D27A85"/>
    <w:rsid w:val="00D27B80"/>
    <w:rsid w:val="00D27C6D"/>
    <w:rsid w:val="00D27D31"/>
    <w:rsid w:val="00D27E0F"/>
    <w:rsid w:val="00D27FBC"/>
    <w:rsid w:val="00D27FF3"/>
    <w:rsid w:val="00D300B1"/>
    <w:rsid w:val="00D3026A"/>
    <w:rsid w:val="00D30436"/>
    <w:rsid w:val="00D3043D"/>
    <w:rsid w:val="00D3044F"/>
    <w:rsid w:val="00D304AF"/>
    <w:rsid w:val="00D304FC"/>
    <w:rsid w:val="00D3053C"/>
    <w:rsid w:val="00D306F6"/>
    <w:rsid w:val="00D30706"/>
    <w:rsid w:val="00D307F3"/>
    <w:rsid w:val="00D3083A"/>
    <w:rsid w:val="00D3087A"/>
    <w:rsid w:val="00D30B12"/>
    <w:rsid w:val="00D30C13"/>
    <w:rsid w:val="00D30C55"/>
    <w:rsid w:val="00D30EEF"/>
    <w:rsid w:val="00D31111"/>
    <w:rsid w:val="00D313AB"/>
    <w:rsid w:val="00D315E1"/>
    <w:rsid w:val="00D3168A"/>
    <w:rsid w:val="00D317AE"/>
    <w:rsid w:val="00D317DD"/>
    <w:rsid w:val="00D31968"/>
    <w:rsid w:val="00D31A63"/>
    <w:rsid w:val="00D31B24"/>
    <w:rsid w:val="00D31B43"/>
    <w:rsid w:val="00D31CF5"/>
    <w:rsid w:val="00D31DFB"/>
    <w:rsid w:val="00D31E1D"/>
    <w:rsid w:val="00D31E2B"/>
    <w:rsid w:val="00D31F32"/>
    <w:rsid w:val="00D32044"/>
    <w:rsid w:val="00D32085"/>
    <w:rsid w:val="00D3228F"/>
    <w:rsid w:val="00D322ED"/>
    <w:rsid w:val="00D32306"/>
    <w:rsid w:val="00D324F9"/>
    <w:rsid w:val="00D32598"/>
    <w:rsid w:val="00D325B2"/>
    <w:rsid w:val="00D327D9"/>
    <w:rsid w:val="00D3286D"/>
    <w:rsid w:val="00D3289F"/>
    <w:rsid w:val="00D329C3"/>
    <w:rsid w:val="00D32ADF"/>
    <w:rsid w:val="00D32BA7"/>
    <w:rsid w:val="00D32EEB"/>
    <w:rsid w:val="00D32FE0"/>
    <w:rsid w:val="00D3311B"/>
    <w:rsid w:val="00D33261"/>
    <w:rsid w:val="00D332C7"/>
    <w:rsid w:val="00D333F2"/>
    <w:rsid w:val="00D334E1"/>
    <w:rsid w:val="00D33516"/>
    <w:rsid w:val="00D33860"/>
    <w:rsid w:val="00D3397E"/>
    <w:rsid w:val="00D339E8"/>
    <w:rsid w:val="00D33C44"/>
    <w:rsid w:val="00D33C6B"/>
    <w:rsid w:val="00D33D06"/>
    <w:rsid w:val="00D33D0A"/>
    <w:rsid w:val="00D340C0"/>
    <w:rsid w:val="00D3410C"/>
    <w:rsid w:val="00D3444D"/>
    <w:rsid w:val="00D3452D"/>
    <w:rsid w:val="00D346A0"/>
    <w:rsid w:val="00D34730"/>
    <w:rsid w:val="00D3478D"/>
    <w:rsid w:val="00D347BF"/>
    <w:rsid w:val="00D34B88"/>
    <w:rsid w:val="00D34BDC"/>
    <w:rsid w:val="00D34C49"/>
    <w:rsid w:val="00D34CB5"/>
    <w:rsid w:val="00D34F1A"/>
    <w:rsid w:val="00D34FB5"/>
    <w:rsid w:val="00D3508D"/>
    <w:rsid w:val="00D35107"/>
    <w:rsid w:val="00D35146"/>
    <w:rsid w:val="00D3523B"/>
    <w:rsid w:val="00D35278"/>
    <w:rsid w:val="00D353A8"/>
    <w:rsid w:val="00D3559E"/>
    <w:rsid w:val="00D35639"/>
    <w:rsid w:val="00D3566C"/>
    <w:rsid w:val="00D35890"/>
    <w:rsid w:val="00D358B0"/>
    <w:rsid w:val="00D358D0"/>
    <w:rsid w:val="00D35A25"/>
    <w:rsid w:val="00D35C5E"/>
    <w:rsid w:val="00D35DE3"/>
    <w:rsid w:val="00D35E10"/>
    <w:rsid w:val="00D35F14"/>
    <w:rsid w:val="00D35FA4"/>
    <w:rsid w:val="00D36048"/>
    <w:rsid w:val="00D361D5"/>
    <w:rsid w:val="00D363C3"/>
    <w:rsid w:val="00D363F7"/>
    <w:rsid w:val="00D36449"/>
    <w:rsid w:val="00D364DB"/>
    <w:rsid w:val="00D3653B"/>
    <w:rsid w:val="00D3660E"/>
    <w:rsid w:val="00D36638"/>
    <w:rsid w:val="00D366F5"/>
    <w:rsid w:val="00D36706"/>
    <w:rsid w:val="00D368E3"/>
    <w:rsid w:val="00D368FA"/>
    <w:rsid w:val="00D36911"/>
    <w:rsid w:val="00D36A48"/>
    <w:rsid w:val="00D36ABA"/>
    <w:rsid w:val="00D36B39"/>
    <w:rsid w:val="00D36BEE"/>
    <w:rsid w:val="00D36C5F"/>
    <w:rsid w:val="00D36D1F"/>
    <w:rsid w:val="00D36D3D"/>
    <w:rsid w:val="00D36F4D"/>
    <w:rsid w:val="00D36F50"/>
    <w:rsid w:val="00D371C4"/>
    <w:rsid w:val="00D371C7"/>
    <w:rsid w:val="00D3741F"/>
    <w:rsid w:val="00D374B0"/>
    <w:rsid w:val="00D37672"/>
    <w:rsid w:val="00D378DC"/>
    <w:rsid w:val="00D379BD"/>
    <w:rsid w:val="00D37BE1"/>
    <w:rsid w:val="00D37C09"/>
    <w:rsid w:val="00D37CD2"/>
    <w:rsid w:val="00D37D17"/>
    <w:rsid w:val="00D37DD6"/>
    <w:rsid w:val="00D37E60"/>
    <w:rsid w:val="00D37E6F"/>
    <w:rsid w:val="00D37F15"/>
    <w:rsid w:val="00D4008D"/>
    <w:rsid w:val="00D4013A"/>
    <w:rsid w:val="00D40152"/>
    <w:rsid w:val="00D4028C"/>
    <w:rsid w:val="00D40366"/>
    <w:rsid w:val="00D40376"/>
    <w:rsid w:val="00D40545"/>
    <w:rsid w:val="00D40575"/>
    <w:rsid w:val="00D405F7"/>
    <w:rsid w:val="00D406F4"/>
    <w:rsid w:val="00D40753"/>
    <w:rsid w:val="00D40880"/>
    <w:rsid w:val="00D408E0"/>
    <w:rsid w:val="00D4099D"/>
    <w:rsid w:val="00D40BBE"/>
    <w:rsid w:val="00D40D53"/>
    <w:rsid w:val="00D41085"/>
    <w:rsid w:val="00D4112A"/>
    <w:rsid w:val="00D411AF"/>
    <w:rsid w:val="00D412AC"/>
    <w:rsid w:val="00D412E4"/>
    <w:rsid w:val="00D4143B"/>
    <w:rsid w:val="00D41484"/>
    <w:rsid w:val="00D4148F"/>
    <w:rsid w:val="00D41530"/>
    <w:rsid w:val="00D41963"/>
    <w:rsid w:val="00D419EA"/>
    <w:rsid w:val="00D41A5F"/>
    <w:rsid w:val="00D41BEA"/>
    <w:rsid w:val="00D41E38"/>
    <w:rsid w:val="00D41F36"/>
    <w:rsid w:val="00D422D9"/>
    <w:rsid w:val="00D422F9"/>
    <w:rsid w:val="00D423FD"/>
    <w:rsid w:val="00D424DD"/>
    <w:rsid w:val="00D426E9"/>
    <w:rsid w:val="00D427EA"/>
    <w:rsid w:val="00D42821"/>
    <w:rsid w:val="00D4284B"/>
    <w:rsid w:val="00D428C8"/>
    <w:rsid w:val="00D4297F"/>
    <w:rsid w:val="00D429C9"/>
    <w:rsid w:val="00D429D3"/>
    <w:rsid w:val="00D429D4"/>
    <w:rsid w:val="00D42DDB"/>
    <w:rsid w:val="00D42DF8"/>
    <w:rsid w:val="00D42FFA"/>
    <w:rsid w:val="00D43057"/>
    <w:rsid w:val="00D4306D"/>
    <w:rsid w:val="00D4321D"/>
    <w:rsid w:val="00D43253"/>
    <w:rsid w:val="00D43283"/>
    <w:rsid w:val="00D432D3"/>
    <w:rsid w:val="00D4342E"/>
    <w:rsid w:val="00D436DC"/>
    <w:rsid w:val="00D436F4"/>
    <w:rsid w:val="00D436FA"/>
    <w:rsid w:val="00D437FE"/>
    <w:rsid w:val="00D43808"/>
    <w:rsid w:val="00D43AFC"/>
    <w:rsid w:val="00D43C12"/>
    <w:rsid w:val="00D43D99"/>
    <w:rsid w:val="00D43DD0"/>
    <w:rsid w:val="00D43E40"/>
    <w:rsid w:val="00D43EB8"/>
    <w:rsid w:val="00D43EF4"/>
    <w:rsid w:val="00D43F8C"/>
    <w:rsid w:val="00D44014"/>
    <w:rsid w:val="00D4424E"/>
    <w:rsid w:val="00D4432C"/>
    <w:rsid w:val="00D443DD"/>
    <w:rsid w:val="00D4459D"/>
    <w:rsid w:val="00D44774"/>
    <w:rsid w:val="00D44A88"/>
    <w:rsid w:val="00D44AB8"/>
    <w:rsid w:val="00D44CD0"/>
    <w:rsid w:val="00D44E84"/>
    <w:rsid w:val="00D44EB6"/>
    <w:rsid w:val="00D4517D"/>
    <w:rsid w:val="00D454EA"/>
    <w:rsid w:val="00D456FF"/>
    <w:rsid w:val="00D45861"/>
    <w:rsid w:val="00D458BC"/>
    <w:rsid w:val="00D45E67"/>
    <w:rsid w:val="00D45FB7"/>
    <w:rsid w:val="00D462A1"/>
    <w:rsid w:val="00D463E4"/>
    <w:rsid w:val="00D46426"/>
    <w:rsid w:val="00D464BF"/>
    <w:rsid w:val="00D46572"/>
    <w:rsid w:val="00D46632"/>
    <w:rsid w:val="00D4688E"/>
    <w:rsid w:val="00D46A01"/>
    <w:rsid w:val="00D46A3A"/>
    <w:rsid w:val="00D46AA3"/>
    <w:rsid w:val="00D46AC3"/>
    <w:rsid w:val="00D46AF1"/>
    <w:rsid w:val="00D46D48"/>
    <w:rsid w:val="00D46D5C"/>
    <w:rsid w:val="00D46D83"/>
    <w:rsid w:val="00D47095"/>
    <w:rsid w:val="00D471A1"/>
    <w:rsid w:val="00D4728F"/>
    <w:rsid w:val="00D473BF"/>
    <w:rsid w:val="00D473E4"/>
    <w:rsid w:val="00D47488"/>
    <w:rsid w:val="00D474D8"/>
    <w:rsid w:val="00D47512"/>
    <w:rsid w:val="00D47595"/>
    <w:rsid w:val="00D47648"/>
    <w:rsid w:val="00D477E7"/>
    <w:rsid w:val="00D47A43"/>
    <w:rsid w:val="00D47B2A"/>
    <w:rsid w:val="00D47B80"/>
    <w:rsid w:val="00D47BC8"/>
    <w:rsid w:val="00D47D15"/>
    <w:rsid w:val="00D47FFA"/>
    <w:rsid w:val="00D50082"/>
    <w:rsid w:val="00D500CC"/>
    <w:rsid w:val="00D501D7"/>
    <w:rsid w:val="00D50216"/>
    <w:rsid w:val="00D5036C"/>
    <w:rsid w:val="00D5038B"/>
    <w:rsid w:val="00D503ED"/>
    <w:rsid w:val="00D506DA"/>
    <w:rsid w:val="00D507AA"/>
    <w:rsid w:val="00D509E2"/>
    <w:rsid w:val="00D50AA4"/>
    <w:rsid w:val="00D50AF5"/>
    <w:rsid w:val="00D50E04"/>
    <w:rsid w:val="00D50E61"/>
    <w:rsid w:val="00D5112B"/>
    <w:rsid w:val="00D5121E"/>
    <w:rsid w:val="00D51435"/>
    <w:rsid w:val="00D51504"/>
    <w:rsid w:val="00D5158E"/>
    <w:rsid w:val="00D518ED"/>
    <w:rsid w:val="00D51978"/>
    <w:rsid w:val="00D519F3"/>
    <w:rsid w:val="00D519FB"/>
    <w:rsid w:val="00D51B71"/>
    <w:rsid w:val="00D51DD4"/>
    <w:rsid w:val="00D51EB9"/>
    <w:rsid w:val="00D5211E"/>
    <w:rsid w:val="00D52180"/>
    <w:rsid w:val="00D52502"/>
    <w:rsid w:val="00D52549"/>
    <w:rsid w:val="00D52644"/>
    <w:rsid w:val="00D5269C"/>
    <w:rsid w:val="00D526FD"/>
    <w:rsid w:val="00D52785"/>
    <w:rsid w:val="00D52816"/>
    <w:rsid w:val="00D52910"/>
    <w:rsid w:val="00D52C07"/>
    <w:rsid w:val="00D52C99"/>
    <w:rsid w:val="00D52C9B"/>
    <w:rsid w:val="00D52E10"/>
    <w:rsid w:val="00D52E40"/>
    <w:rsid w:val="00D5305C"/>
    <w:rsid w:val="00D53174"/>
    <w:rsid w:val="00D53225"/>
    <w:rsid w:val="00D53263"/>
    <w:rsid w:val="00D5326E"/>
    <w:rsid w:val="00D53938"/>
    <w:rsid w:val="00D53DD9"/>
    <w:rsid w:val="00D53DEA"/>
    <w:rsid w:val="00D53FA7"/>
    <w:rsid w:val="00D53FCC"/>
    <w:rsid w:val="00D54189"/>
    <w:rsid w:val="00D54213"/>
    <w:rsid w:val="00D54300"/>
    <w:rsid w:val="00D54420"/>
    <w:rsid w:val="00D54541"/>
    <w:rsid w:val="00D54610"/>
    <w:rsid w:val="00D5461D"/>
    <w:rsid w:val="00D54687"/>
    <w:rsid w:val="00D5470E"/>
    <w:rsid w:val="00D547A0"/>
    <w:rsid w:val="00D54D1F"/>
    <w:rsid w:val="00D54D79"/>
    <w:rsid w:val="00D54DB2"/>
    <w:rsid w:val="00D55069"/>
    <w:rsid w:val="00D552E4"/>
    <w:rsid w:val="00D552ED"/>
    <w:rsid w:val="00D55314"/>
    <w:rsid w:val="00D55520"/>
    <w:rsid w:val="00D558A6"/>
    <w:rsid w:val="00D55902"/>
    <w:rsid w:val="00D55A9C"/>
    <w:rsid w:val="00D55C45"/>
    <w:rsid w:val="00D55C46"/>
    <w:rsid w:val="00D55D82"/>
    <w:rsid w:val="00D55E0B"/>
    <w:rsid w:val="00D55ED1"/>
    <w:rsid w:val="00D56205"/>
    <w:rsid w:val="00D5654F"/>
    <w:rsid w:val="00D5659D"/>
    <w:rsid w:val="00D567B6"/>
    <w:rsid w:val="00D56861"/>
    <w:rsid w:val="00D56BCB"/>
    <w:rsid w:val="00D56C64"/>
    <w:rsid w:val="00D56C96"/>
    <w:rsid w:val="00D56D79"/>
    <w:rsid w:val="00D57064"/>
    <w:rsid w:val="00D5715E"/>
    <w:rsid w:val="00D5725B"/>
    <w:rsid w:val="00D57468"/>
    <w:rsid w:val="00D57573"/>
    <w:rsid w:val="00D577E1"/>
    <w:rsid w:val="00D57837"/>
    <w:rsid w:val="00D5787C"/>
    <w:rsid w:val="00D5789F"/>
    <w:rsid w:val="00D578CD"/>
    <w:rsid w:val="00D578FC"/>
    <w:rsid w:val="00D57904"/>
    <w:rsid w:val="00D5790B"/>
    <w:rsid w:val="00D57AE2"/>
    <w:rsid w:val="00D57B8E"/>
    <w:rsid w:val="00D57BEB"/>
    <w:rsid w:val="00D57C88"/>
    <w:rsid w:val="00D57CF8"/>
    <w:rsid w:val="00D600BE"/>
    <w:rsid w:val="00D6021F"/>
    <w:rsid w:val="00D60220"/>
    <w:rsid w:val="00D602F4"/>
    <w:rsid w:val="00D60391"/>
    <w:rsid w:val="00D605A6"/>
    <w:rsid w:val="00D60710"/>
    <w:rsid w:val="00D60784"/>
    <w:rsid w:val="00D607C2"/>
    <w:rsid w:val="00D60C7F"/>
    <w:rsid w:val="00D60F08"/>
    <w:rsid w:val="00D61016"/>
    <w:rsid w:val="00D610B1"/>
    <w:rsid w:val="00D6121E"/>
    <w:rsid w:val="00D61236"/>
    <w:rsid w:val="00D612AB"/>
    <w:rsid w:val="00D6147E"/>
    <w:rsid w:val="00D614E0"/>
    <w:rsid w:val="00D615E5"/>
    <w:rsid w:val="00D61804"/>
    <w:rsid w:val="00D61874"/>
    <w:rsid w:val="00D619A4"/>
    <w:rsid w:val="00D61AC4"/>
    <w:rsid w:val="00D61B8C"/>
    <w:rsid w:val="00D61B90"/>
    <w:rsid w:val="00D61C55"/>
    <w:rsid w:val="00D61E24"/>
    <w:rsid w:val="00D61EBD"/>
    <w:rsid w:val="00D61F23"/>
    <w:rsid w:val="00D6203F"/>
    <w:rsid w:val="00D620F5"/>
    <w:rsid w:val="00D6213A"/>
    <w:rsid w:val="00D62177"/>
    <w:rsid w:val="00D621CE"/>
    <w:rsid w:val="00D623BD"/>
    <w:rsid w:val="00D6247A"/>
    <w:rsid w:val="00D62480"/>
    <w:rsid w:val="00D624DE"/>
    <w:rsid w:val="00D62501"/>
    <w:rsid w:val="00D625C8"/>
    <w:rsid w:val="00D626A2"/>
    <w:rsid w:val="00D6278D"/>
    <w:rsid w:val="00D627CE"/>
    <w:rsid w:val="00D627ED"/>
    <w:rsid w:val="00D628D2"/>
    <w:rsid w:val="00D628FB"/>
    <w:rsid w:val="00D62A96"/>
    <w:rsid w:val="00D62ACB"/>
    <w:rsid w:val="00D62C8A"/>
    <w:rsid w:val="00D62DE4"/>
    <w:rsid w:val="00D62DEA"/>
    <w:rsid w:val="00D62E49"/>
    <w:rsid w:val="00D62F17"/>
    <w:rsid w:val="00D62FCD"/>
    <w:rsid w:val="00D62FE1"/>
    <w:rsid w:val="00D631CD"/>
    <w:rsid w:val="00D631F9"/>
    <w:rsid w:val="00D6329D"/>
    <w:rsid w:val="00D632DE"/>
    <w:rsid w:val="00D63332"/>
    <w:rsid w:val="00D636D2"/>
    <w:rsid w:val="00D6371D"/>
    <w:rsid w:val="00D6374C"/>
    <w:rsid w:val="00D63A14"/>
    <w:rsid w:val="00D63B06"/>
    <w:rsid w:val="00D63BBC"/>
    <w:rsid w:val="00D63C1F"/>
    <w:rsid w:val="00D63C70"/>
    <w:rsid w:val="00D63E1E"/>
    <w:rsid w:val="00D63F1F"/>
    <w:rsid w:val="00D64041"/>
    <w:rsid w:val="00D6423E"/>
    <w:rsid w:val="00D6428E"/>
    <w:rsid w:val="00D64487"/>
    <w:rsid w:val="00D645BA"/>
    <w:rsid w:val="00D646A3"/>
    <w:rsid w:val="00D64863"/>
    <w:rsid w:val="00D64982"/>
    <w:rsid w:val="00D64AFD"/>
    <w:rsid w:val="00D64C8B"/>
    <w:rsid w:val="00D64CB1"/>
    <w:rsid w:val="00D64CF8"/>
    <w:rsid w:val="00D64F22"/>
    <w:rsid w:val="00D64F50"/>
    <w:rsid w:val="00D64F9E"/>
    <w:rsid w:val="00D65053"/>
    <w:rsid w:val="00D6534D"/>
    <w:rsid w:val="00D65423"/>
    <w:rsid w:val="00D65560"/>
    <w:rsid w:val="00D6568E"/>
    <w:rsid w:val="00D656A5"/>
    <w:rsid w:val="00D659DD"/>
    <w:rsid w:val="00D65A7F"/>
    <w:rsid w:val="00D65AEF"/>
    <w:rsid w:val="00D65AF9"/>
    <w:rsid w:val="00D65B2A"/>
    <w:rsid w:val="00D65BFB"/>
    <w:rsid w:val="00D65C88"/>
    <w:rsid w:val="00D65D7F"/>
    <w:rsid w:val="00D65F54"/>
    <w:rsid w:val="00D660D4"/>
    <w:rsid w:val="00D66204"/>
    <w:rsid w:val="00D662AA"/>
    <w:rsid w:val="00D66563"/>
    <w:rsid w:val="00D66D4D"/>
    <w:rsid w:val="00D66D9F"/>
    <w:rsid w:val="00D66E2F"/>
    <w:rsid w:val="00D66ED2"/>
    <w:rsid w:val="00D66FE8"/>
    <w:rsid w:val="00D67012"/>
    <w:rsid w:val="00D67104"/>
    <w:rsid w:val="00D6713D"/>
    <w:rsid w:val="00D67317"/>
    <w:rsid w:val="00D67804"/>
    <w:rsid w:val="00D67849"/>
    <w:rsid w:val="00D678C6"/>
    <w:rsid w:val="00D679B1"/>
    <w:rsid w:val="00D67AE9"/>
    <w:rsid w:val="00D67B00"/>
    <w:rsid w:val="00D67B4F"/>
    <w:rsid w:val="00D67CD4"/>
    <w:rsid w:val="00D67D2D"/>
    <w:rsid w:val="00D70069"/>
    <w:rsid w:val="00D701BE"/>
    <w:rsid w:val="00D704BE"/>
    <w:rsid w:val="00D70503"/>
    <w:rsid w:val="00D7059E"/>
    <w:rsid w:val="00D70721"/>
    <w:rsid w:val="00D70832"/>
    <w:rsid w:val="00D70A67"/>
    <w:rsid w:val="00D70A6A"/>
    <w:rsid w:val="00D70A88"/>
    <w:rsid w:val="00D70ABE"/>
    <w:rsid w:val="00D70AF7"/>
    <w:rsid w:val="00D70B00"/>
    <w:rsid w:val="00D70E51"/>
    <w:rsid w:val="00D70FB6"/>
    <w:rsid w:val="00D70FBE"/>
    <w:rsid w:val="00D71041"/>
    <w:rsid w:val="00D71213"/>
    <w:rsid w:val="00D7128A"/>
    <w:rsid w:val="00D713CD"/>
    <w:rsid w:val="00D713D4"/>
    <w:rsid w:val="00D7146D"/>
    <w:rsid w:val="00D714DF"/>
    <w:rsid w:val="00D71720"/>
    <w:rsid w:val="00D718B4"/>
    <w:rsid w:val="00D718E1"/>
    <w:rsid w:val="00D719C4"/>
    <w:rsid w:val="00D71B16"/>
    <w:rsid w:val="00D71CF0"/>
    <w:rsid w:val="00D71D8B"/>
    <w:rsid w:val="00D71DE4"/>
    <w:rsid w:val="00D71DF9"/>
    <w:rsid w:val="00D71F6C"/>
    <w:rsid w:val="00D71FFE"/>
    <w:rsid w:val="00D721E2"/>
    <w:rsid w:val="00D72257"/>
    <w:rsid w:val="00D72434"/>
    <w:rsid w:val="00D724E5"/>
    <w:rsid w:val="00D724F2"/>
    <w:rsid w:val="00D72652"/>
    <w:rsid w:val="00D726AA"/>
    <w:rsid w:val="00D726C0"/>
    <w:rsid w:val="00D7274D"/>
    <w:rsid w:val="00D72795"/>
    <w:rsid w:val="00D728B7"/>
    <w:rsid w:val="00D729C3"/>
    <w:rsid w:val="00D729CF"/>
    <w:rsid w:val="00D72A2C"/>
    <w:rsid w:val="00D72AC7"/>
    <w:rsid w:val="00D72AE4"/>
    <w:rsid w:val="00D72C3E"/>
    <w:rsid w:val="00D72D0F"/>
    <w:rsid w:val="00D72DA2"/>
    <w:rsid w:val="00D730AB"/>
    <w:rsid w:val="00D7324B"/>
    <w:rsid w:val="00D7354D"/>
    <w:rsid w:val="00D73660"/>
    <w:rsid w:val="00D73814"/>
    <w:rsid w:val="00D7392B"/>
    <w:rsid w:val="00D7399E"/>
    <w:rsid w:val="00D73AA9"/>
    <w:rsid w:val="00D73B40"/>
    <w:rsid w:val="00D73E03"/>
    <w:rsid w:val="00D73E96"/>
    <w:rsid w:val="00D73F52"/>
    <w:rsid w:val="00D740E6"/>
    <w:rsid w:val="00D7417D"/>
    <w:rsid w:val="00D7422C"/>
    <w:rsid w:val="00D74496"/>
    <w:rsid w:val="00D745D0"/>
    <w:rsid w:val="00D74651"/>
    <w:rsid w:val="00D74769"/>
    <w:rsid w:val="00D747B7"/>
    <w:rsid w:val="00D747BD"/>
    <w:rsid w:val="00D74817"/>
    <w:rsid w:val="00D74893"/>
    <w:rsid w:val="00D748EA"/>
    <w:rsid w:val="00D749F0"/>
    <w:rsid w:val="00D74A0E"/>
    <w:rsid w:val="00D74B99"/>
    <w:rsid w:val="00D74BC7"/>
    <w:rsid w:val="00D74C42"/>
    <w:rsid w:val="00D74C56"/>
    <w:rsid w:val="00D74D0E"/>
    <w:rsid w:val="00D74DBD"/>
    <w:rsid w:val="00D74E30"/>
    <w:rsid w:val="00D74E4B"/>
    <w:rsid w:val="00D7532B"/>
    <w:rsid w:val="00D7562E"/>
    <w:rsid w:val="00D7569A"/>
    <w:rsid w:val="00D75713"/>
    <w:rsid w:val="00D7573E"/>
    <w:rsid w:val="00D75BB3"/>
    <w:rsid w:val="00D75E2A"/>
    <w:rsid w:val="00D75E5A"/>
    <w:rsid w:val="00D75EDC"/>
    <w:rsid w:val="00D75F50"/>
    <w:rsid w:val="00D75FF8"/>
    <w:rsid w:val="00D760B2"/>
    <w:rsid w:val="00D761D1"/>
    <w:rsid w:val="00D762D2"/>
    <w:rsid w:val="00D7641D"/>
    <w:rsid w:val="00D7642A"/>
    <w:rsid w:val="00D764A4"/>
    <w:rsid w:val="00D7669F"/>
    <w:rsid w:val="00D7670E"/>
    <w:rsid w:val="00D769FE"/>
    <w:rsid w:val="00D76A16"/>
    <w:rsid w:val="00D76BD5"/>
    <w:rsid w:val="00D76E0D"/>
    <w:rsid w:val="00D76E98"/>
    <w:rsid w:val="00D76EEA"/>
    <w:rsid w:val="00D76FAC"/>
    <w:rsid w:val="00D76FBA"/>
    <w:rsid w:val="00D77058"/>
    <w:rsid w:val="00D77309"/>
    <w:rsid w:val="00D77329"/>
    <w:rsid w:val="00D773D7"/>
    <w:rsid w:val="00D7753A"/>
    <w:rsid w:val="00D77669"/>
    <w:rsid w:val="00D776C2"/>
    <w:rsid w:val="00D776E4"/>
    <w:rsid w:val="00D77723"/>
    <w:rsid w:val="00D77753"/>
    <w:rsid w:val="00D778DB"/>
    <w:rsid w:val="00D778E3"/>
    <w:rsid w:val="00D77AD9"/>
    <w:rsid w:val="00D77AE6"/>
    <w:rsid w:val="00D77D3F"/>
    <w:rsid w:val="00D77DD9"/>
    <w:rsid w:val="00D77E2A"/>
    <w:rsid w:val="00D77F71"/>
    <w:rsid w:val="00D77FF9"/>
    <w:rsid w:val="00D8002C"/>
    <w:rsid w:val="00D800ED"/>
    <w:rsid w:val="00D8046A"/>
    <w:rsid w:val="00D8051B"/>
    <w:rsid w:val="00D8052C"/>
    <w:rsid w:val="00D806A3"/>
    <w:rsid w:val="00D80703"/>
    <w:rsid w:val="00D8082A"/>
    <w:rsid w:val="00D8085F"/>
    <w:rsid w:val="00D809CA"/>
    <w:rsid w:val="00D80A14"/>
    <w:rsid w:val="00D80B25"/>
    <w:rsid w:val="00D80C6A"/>
    <w:rsid w:val="00D80CD3"/>
    <w:rsid w:val="00D80D0B"/>
    <w:rsid w:val="00D80E37"/>
    <w:rsid w:val="00D80ED4"/>
    <w:rsid w:val="00D80FA0"/>
    <w:rsid w:val="00D81034"/>
    <w:rsid w:val="00D81309"/>
    <w:rsid w:val="00D81505"/>
    <w:rsid w:val="00D817D7"/>
    <w:rsid w:val="00D81BCD"/>
    <w:rsid w:val="00D81BF5"/>
    <w:rsid w:val="00D81C5D"/>
    <w:rsid w:val="00D81EA4"/>
    <w:rsid w:val="00D81EB5"/>
    <w:rsid w:val="00D81F93"/>
    <w:rsid w:val="00D820C1"/>
    <w:rsid w:val="00D82136"/>
    <w:rsid w:val="00D82659"/>
    <w:rsid w:val="00D8276A"/>
    <w:rsid w:val="00D8279A"/>
    <w:rsid w:val="00D827C8"/>
    <w:rsid w:val="00D828A3"/>
    <w:rsid w:val="00D82951"/>
    <w:rsid w:val="00D8298E"/>
    <w:rsid w:val="00D829EB"/>
    <w:rsid w:val="00D82A00"/>
    <w:rsid w:val="00D82B08"/>
    <w:rsid w:val="00D82BEC"/>
    <w:rsid w:val="00D82CC3"/>
    <w:rsid w:val="00D82E56"/>
    <w:rsid w:val="00D82F8B"/>
    <w:rsid w:val="00D83130"/>
    <w:rsid w:val="00D8314D"/>
    <w:rsid w:val="00D8334A"/>
    <w:rsid w:val="00D83441"/>
    <w:rsid w:val="00D836F6"/>
    <w:rsid w:val="00D83925"/>
    <w:rsid w:val="00D839B1"/>
    <w:rsid w:val="00D839EB"/>
    <w:rsid w:val="00D83A6B"/>
    <w:rsid w:val="00D83A8C"/>
    <w:rsid w:val="00D83D17"/>
    <w:rsid w:val="00D83D35"/>
    <w:rsid w:val="00D83D37"/>
    <w:rsid w:val="00D83D84"/>
    <w:rsid w:val="00D83FB6"/>
    <w:rsid w:val="00D841D0"/>
    <w:rsid w:val="00D842A8"/>
    <w:rsid w:val="00D8433B"/>
    <w:rsid w:val="00D8435D"/>
    <w:rsid w:val="00D84411"/>
    <w:rsid w:val="00D8456B"/>
    <w:rsid w:val="00D845AD"/>
    <w:rsid w:val="00D846F3"/>
    <w:rsid w:val="00D848AA"/>
    <w:rsid w:val="00D84D4C"/>
    <w:rsid w:val="00D84DF3"/>
    <w:rsid w:val="00D84E7D"/>
    <w:rsid w:val="00D84E97"/>
    <w:rsid w:val="00D84EB6"/>
    <w:rsid w:val="00D84EC7"/>
    <w:rsid w:val="00D84ED2"/>
    <w:rsid w:val="00D84F83"/>
    <w:rsid w:val="00D8502F"/>
    <w:rsid w:val="00D85050"/>
    <w:rsid w:val="00D852AA"/>
    <w:rsid w:val="00D85328"/>
    <w:rsid w:val="00D854BA"/>
    <w:rsid w:val="00D85567"/>
    <w:rsid w:val="00D855FC"/>
    <w:rsid w:val="00D8562D"/>
    <w:rsid w:val="00D8571D"/>
    <w:rsid w:val="00D857A4"/>
    <w:rsid w:val="00D85839"/>
    <w:rsid w:val="00D8592C"/>
    <w:rsid w:val="00D859B4"/>
    <w:rsid w:val="00D859F1"/>
    <w:rsid w:val="00D85A60"/>
    <w:rsid w:val="00D85B8F"/>
    <w:rsid w:val="00D85EAB"/>
    <w:rsid w:val="00D85F81"/>
    <w:rsid w:val="00D86032"/>
    <w:rsid w:val="00D8609A"/>
    <w:rsid w:val="00D86187"/>
    <w:rsid w:val="00D8645C"/>
    <w:rsid w:val="00D86594"/>
    <w:rsid w:val="00D8677B"/>
    <w:rsid w:val="00D86844"/>
    <w:rsid w:val="00D86954"/>
    <w:rsid w:val="00D8699E"/>
    <w:rsid w:val="00D869A0"/>
    <w:rsid w:val="00D86A17"/>
    <w:rsid w:val="00D86B16"/>
    <w:rsid w:val="00D86B44"/>
    <w:rsid w:val="00D86BB1"/>
    <w:rsid w:val="00D86CC5"/>
    <w:rsid w:val="00D86D46"/>
    <w:rsid w:val="00D86EC6"/>
    <w:rsid w:val="00D86F09"/>
    <w:rsid w:val="00D86F3B"/>
    <w:rsid w:val="00D8701A"/>
    <w:rsid w:val="00D872C0"/>
    <w:rsid w:val="00D874E8"/>
    <w:rsid w:val="00D8758F"/>
    <w:rsid w:val="00D87613"/>
    <w:rsid w:val="00D876DE"/>
    <w:rsid w:val="00D877E8"/>
    <w:rsid w:val="00D877ED"/>
    <w:rsid w:val="00D87864"/>
    <w:rsid w:val="00D878FD"/>
    <w:rsid w:val="00D87903"/>
    <w:rsid w:val="00D87933"/>
    <w:rsid w:val="00D87957"/>
    <w:rsid w:val="00D879BF"/>
    <w:rsid w:val="00D87B25"/>
    <w:rsid w:val="00D87CE4"/>
    <w:rsid w:val="00D87D92"/>
    <w:rsid w:val="00D87D93"/>
    <w:rsid w:val="00D87E56"/>
    <w:rsid w:val="00D87EA5"/>
    <w:rsid w:val="00D87FCF"/>
    <w:rsid w:val="00D90350"/>
    <w:rsid w:val="00D903EB"/>
    <w:rsid w:val="00D90505"/>
    <w:rsid w:val="00D905ED"/>
    <w:rsid w:val="00D9067F"/>
    <w:rsid w:val="00D90775"/>
    <w:rsid w:val="00D90917"/>
    <w:rsid w:val="00D90B62"/>
    <w:rsid w:val="00D90C08"/>
    <w:rsid w:val="00D90F35"/>
    <w:rsid w:val="00D90FF4"/>
    <w:rsid w:val="00D91016"/>
    <w:rsid w:val="00D9112C"/>
    <w:rsid w:val="00D91308"/>
    <w:rsid w:val="00D913FA"/>
    <w:rsid w:val="00D9178C"/>
    <w:rsid w:val="00D920C3"/>
    <w:rsid w:val="00D9245C"/>
    <w:rsid w:val="00D924B9"/>
    <w:rsid w:val="00D924E0"/>
    <w:rsid w:val="00D925CF"/>
    <w:rsid w:val="00D925FF"/>
    <w:rsid w:val="00D92781"/>
    <w:rsid w:val="00D927E5"/>
    <w:rsid w:val="00D92835"/>
    <w:rsid w:val="00D92843"/>
    <w:rsid w:val="00D92ABF"/>
    <w:rsid w:val="00D92ACE"/>
    <w:rsid w:val="00D92ADE"/>
    <w:rsid w:val="00D92C4A"/>
    <w:rsid w:val="00D92C4E"/>
    <w:rsid w:val="00D92CE3"/>
    <w:rsid w:val="00D92CFF"/>
    <w:rsid w:val="00D92EB8"/>
    <w:rsid w:val="00D92FAE"/>
    <w:rsid w:val="00D93009"/>
    <w:rsid w:val="00D93178"/>
    <w:rsid w:val="00D93244"/>
    <w:rsid w:val="00D93253"/>
    <w:rsid w:val="00D9330C"/>
    <w:rsid w:val="00D93321"/>
    <w:rsid w:val="00D933E3"/>
    <w:rsid w:val="00D936AC"/>
    <w:rsid w:val="00D9383D"/>
    <w:rsid w:val="00D938ED"/>
    <w:rsid w:val="00D9394E"/>
    <w:rsid w:val="00D93B67"/>
    <w:rsid w:val="00D93D7A"/>
    <w:rsid w:val="00D93EF6"/>
    <w:rsid w:val="00D93F3B"/>
    <w:rsid w:val="00D93FA3"/>
    <w:rsid w:val="00D94054"/>
    <w:rsid w:val="00D94072"/>
    <w:rsid w:val="00D9430B"/>
    <w:rsid w:val="00D9464E"/>
    <w:rsid w:val="00D947A3"/>
    <w:rsid w:val="00D949C6"/>
    <w:rsid w:val="00D94A76"/>
    <w:rsid w:val="00D94CB4"/>
    <w:rsid w:val="00D94CBE"/>
    <w:rsid w:val="00D94D42"/>
    <w:rsid w:val="00D94E07"/>
    <w:rsid w:val="00D94E0A"/>
    <w:rsid w:val="00D950F2"/>
    <w:rsid w:val="00D95127"/>
    <w:rsid w:val="00D95196"/>
    <w:rsid w:val="00D952CB"/>
    <w:rsid w:val="00D95523"/>
    <w:rsid w:val="00D956A8"/>
    <w:rsid w:val="00D9580F"/>
    <w:rsid w:val="00D9586F"/>
    <w:rsid w:val="00D9594F"/>
    <w:rsid w:val="00D959C9"/>
    <w:rsid w:val="00D959EE"/>
    <w:rsid w:val="00D95C73"/>
    <w:rsid w:val="00D95E0E"/>
    <w:rsid w:val="00D95EFF"/>
    <w:rsid w:val="00D95F39"/>
    <w:rsid w:val="00D95F4C"/>
    <w:rsid w:val="00D96063"/>
    <w:rsid w:val="00D9638C"/>
    <w:rsid w:val="00D9639A"/>
    <w:rsid w:val="00D96520"/>
    <w:rsid w:val="00D965EE"/>
    <w:rsid w:val="00D96637"/>
    <w:rsid w:val="00D96710"/>
    <w:rsid w:val="00D96961"/>
    <w:rsid w:val="00D969EC"/>
    <w:rsid w:val="00D96A7B"/>
    <w:rsid w:val="00D96BC7"/>
    <w:rsid w:val="00D96C41"/>
    <w:rsid w:val="00D96D18"/>
    <w:rsid w:val="00D96DF7"/>
    <w:rsid w:val="00D972DC"/>
    <w:rsid w:val="00D973FE"/>
    <w:rsid w:val="00D97413"/>
    <w:rsid w:val="00D9754D"/>
    <w:rsid w:val="00D97597"/>
    <w:rsid w:val="00D976CF"/>
    <w:rsid w:val="00D976EE"/>
    <w:rsid w:val="00D977AF"/>
    <w:rsid w:val="00D97A66"/>
    <w:rsid w:val="00D97E6A"/>
    <w:rsid w:val="00D97EBE"/>
    <w:rsid w:val="00D97EE0"/>
    <w:rsid w:val="00DA00EC"/>
    <w:rsid w:val="00DA01B2"/>
    <w:rsid w:val="00DA023B"/>
    <w:rsid w:val="00DA04AB"/>
    <w:rsid w:val="00DA056E"/>
    <w:rsid w:val="00DA06D4"/>
    <w:rsid w:val="00DA0701"/>
    <w:rsid w:val="00DA0732"/>
    <w:rsid w:val="00DA078A"/>
    <w:rsid w:val="00DA07F0"/>
    <w:rsid w:val="00DA0848"/>
    <w:rsid w:val="00DA0BC1"/>
    <w:rsid w:val="00DA0CC1"/>
    <w:rsid w:val="00DA0CE9"/>
    <w:rsid w:val="00DA0D00"/>
    <w:rsid w:val="00DA0D4B"/>
    <w:rsid w:val="00DA0DB4"/>
    <w:rsid w:val="00DA110E"/>
    <w:rsid w:val="00DA1472"/>
    <w:rsid w:val="00DA14FD"/>
    <w:rsid w:val="00DA152E"/>
    <w:rsid w:val="00DA16EA"/>
    <w:rsid w:val="00DA1841"/>
    <w:rsid w:val="00DA187D"/>
    <w:rsid w:val="00DA1AD8"/>
    <w:rsid w:val="00DA1C3B"/>
    <w:rsid w:val="00DA1C6F"/>
    <w:rsid w:val="00DA1E5E"/>
    <w:rsid w:val="00DA2021"/>
    <w:rsid w:val="00DA2084"/>
    <w:rsid w:val="00DA21E6"/>
    <w:rsid w:val="00DA223D"/>
    <w:rsid w:val="00DA279F"/>
    <w:rsid w:val="00DA2851"/>
    <w:rsid w:val="00DA287D"/>
    <w:rsid w:val="00DA2A44"/>
    <w:rsid w:val="00DA2C54"/>
    <w:rsid w:val="00DA2CE4"/>
    <w:rsid w:val="00DA2DE7"/>
    <w:rsid w:val="00DA2FA1"/>
    <w:rsid w:val="00DA31BB"/>
    <w:rsid w:val="00DA34F2"/>
    <w:rsid w:val="00DA37DD"/>
    <w:rsid w:val="00DA3819"/>
    <w:rsid w:val="00DA3893"/>
    <w:rsid w:val="00DA39F3"/>
    <w:rsid w:val="00DA3B29"/>
    <w:rsid w:val="00DA3B8D"/>
    <w:rsid w:val="00DA3EEE"/>
    <w:rsid w:val="00DA3F45"/>
    <w:rsid w:val="00DA4017"/>
    <w:rsid w:val="00DA40DE"/>
    <w:rsid w:val="00DA414C"/>
    <w:rsid w:val="00DA4159"/>
    <w:rsid w:val="00DA42BA"/>
    <w:rsid w:val="00DA4480"/>
    <w:rsid w:val="00DA4553"/>
    <w:rsid w:val="00DA45BB"/>
    <w:rsid w:val="00DA4788"/>
    <w:rsid w:val="00DA48A0"/>
    <w:rsid w:val="00DA4A3A"/>
    <w:rsid w:val="00DA4C1B"/>
    <w:rsid w:val="00DA4CDC"/>
    <w:rsid w:val="00DA4E09"/>
    <w:rsid w:val="00DA4E9B"/>
    <w:rsid w:val="00DA4EE9"/>
    <w:rsid w:val="00DA51DA"/>
    <w:rsid w:val="00DA52BE"/>
    <w:rsid w:val="00DA53AA"/>
    <w:rsid w:val="00DA5607"/>
    <w:rsid w:val="00DA56AD"/>
    <w:rsid w:val="00DA5727"/>
    <w:rsid w:val="00DA57D6"/>
    <w:rsid w:val="00DA588D"/>
    <w:rsid w:val="00DA58AF"/>
    <w:rsid w:val="00DA58F8"/>
    <w:rsid w:val="00DA58FF"/>
    <w:rsid w:val="00DA5A5E"/>
    <w:rsid w:val="00DA5CC0"/>
    <w:rsid w:val="00DA5D94"/>
    <w:rsid w:val="00DA5F2C"/>
    <w:rsid w:val="00DA6079"/>
    <w:rsid w:val="00DA60F0"/>
    <w:rsid w:val="00DA614F"/>
    <w:rsid w:val="00DA61E6"/>
    <w:rsid w:val="00DA62A0"/>
    <w:rsid w:val="00DA631E"/>
    <w:rsid w:val="00DA633E"/>
    <w:rsid w:val="00DA6662"/>
    <w:rsid w:val="00DA673E"/>
    <w:rsid w:val="00DA678E"/>
    <w:rsid w:val="00DA6809"/>
    <w:rsid w:val="00DA6A7B"/>
    <w:rsid w:val="00DA6BE2"/>
    <w:rsid w:val="00DA7023"/>
    <w:rsid w:val="00DA70BF"/>
    <w:rsid w:val="00DA70D2"/>
    <w:rsid w:val="00DA7246"/>
    <w:rsid w:val="00DA72C2"/>
    <w:rsid w:val="00DA72D0"/>
    <w:rsid w:val="00DA7355"/>
    <w:rsid w:val="00DA73D3"/>
    <w:rsid w:val="00DA74D7"/>
    <w:rsid w:val="00DA757F"/>
    <w:rsid w:val="00DA763F"/>
    <w:rsid w:val="00DA772C"/>
    <w:rsid w:val="00DA782C"/>
    <w:rsid w:val="00DA7917"/>
    <w:rsid w:val="00DA7991"/>
    <w:rsid w:val="00DA7B1C"/>
    <w:rsid w:val="00DA7B5C"/>
    <w:rsid w:val="00DA7C6F"/>
    <w:rsid w:val="00DA7E31"/>
    <w:rsid w:val="00DA7F17"/>
    <w:rsid w:val="00DB0011"/>
    <w:rsid w:val="00DB0013"/>
    <w:rsid w:val="00DB0074"/>
    <w:rsid w:val="00DB0495"/>
    <w:rsid w:val="00DB0518"/>
    <w:rsid w:val="00DB05E5"/>
    <w:rsid w:val="00DB065C"/>
    <w:rsid w:val="00DB083E"/>
    <w:rsid w:val="00DB08C1"/>
    <w:rsid w:val="00DB0A50"/>
    <w:rsid w:val="00DB0AC5"/>
    <w:rsid w:val="00DB0C8E"/>
    <w:rsid w:val="00DB0DF3"/>
    <w:rsid w:val="00DB0E5D"/>
    <w:rsid w:val="00DB0E83"/>
    <w:rsid w:val="00DB0EA1"/>
    <w:rsid w:val="00DB1039"/>
    <w:rsid w:val="00DB1152"/>
    <w:rsid w:val="00DB11C2"/>
    <w:rsid w:val="00DB12C4"/>
    <w:rsid w:val="00DB12D9"/>
    <w:rsid w:val="00DB136D"/>
    <w:rsid w:val="00DB1442"/>
    <w:rsid w:val="00DB158E"/>
    <w:rsid w:val="00DB1621"/>
    <w:rsid w:val="00DB17CC"/>
    <w:rsid w:val="00DB1AF5"/>
    <w:rsid w:val="00DB1DD7"/>
    <w:rsid w:val="00DB1E6C"/>
    <w:rsid w:val="00DB1F72"/>
    <w:rsid w:val="00DB1F80"/>
    <w:rsid w:val="00DB1FC7"/>
    <w:rsid w:val="00DB2085"/>
    <w:rsid w:val="00DB20B0"/>
    <w:rsid w:val="00DB26A3"/>
    <w:rsid w:val="00DB275C"/>
    <w:rsid w:val="00DB27CB"/>
    <w:rsid w:val="00DB2848"/>
    <w:rsid w:val="00DB28D4"/>
    <w:rsid w:val="00DB28E6"/>
    <w:rsid w:val="00DB2A3C"/>
    <w:rsid w:val="00DB2A46"/>
    <w:rsid w:val="00DB2A86"/>
    <w:rsid w:val="00DB2CF1"/>
    <w:rsid w:val="00DB2DF2"/>
    <w:rsid w:val="00DB2E1A"/>
    <w:rsid w:val="00DB2FA9"/>
    <w:rsid w:val="00DB31A0"/>
    <w:rsid w:val="00DB339A"/>
    <w:rsid w:val="00DB3463"/>
    <w:rsid w:val="00DB3597"/>
    <w:rsid w:val="00DB3A9F"/>
    <w:rsid w:val="00DB3D7E"/>
    <w:rsid w:val="00DB3ED3"/>
    <w:rsid w:val="00DB4008"/>
    <w:rsid w:val="00DB4085"/>
    <w:rsid w:val="00DB40A0"/>
    <w:rsid w:val="00DB4351"/>
    <w:rsid w:val="00DB44B6"/>
    <w:rsid w:val="00DB470C"/>
    <w:rsid w:val="00DB4724"/>
    <w:rsid w:val="00DB487F"/>
    <w:rsid w:val="00DB48A4"/>
    <w:rsid w:val="00DB48E1"/>
    <w:rsid w:val="00DB49C0"/>
    <w:rsid w:val="00DB4BA4"/>
    <w:rsid w:val="00DB4C94"/>
    <w:rsid w:val="00DB4D6B"/>
    <w:rsid w:val="00DB4DCA"/>
    <w:rsid w:val="00DB4E0C"/>
    <w:rsid w:val="00DB4E59"/>
    <w:rsid w:val="00DB4EDC"/>
    <w:rsid w:val="00DB4EEE"/>
    <w:rsid w:val="00DB50D3"/>
    <w:rsid w:val="00DB51E2"/>
    <w:rsid w:val="00DB5242"/>
    <w:rsid w:val="00DB525F"/>
    <w:rsid w:val="00DB5300"/>
    <w:rsid w:val="00DB53A8"/>
    <w:rsid w:val="00DB53D5"/>
    <w:rsid w:val="00DB566D"/>
    <w:rsid w:val="00DB57A6"/>
    <w:rsid w:val="00DB57DE"/>
    <w:rsid w:val="00DB58AF"/>
    <w:rsid w:val="00DB5919"/>
    <w:rsid w:val="00DB5A3D"/>
    <w:rsid w:val="00DB5A4C"/>
    <w:rsid w:val="00DB5BA8"/>
    <w:rsid w:val="00DB5D57"/>
    <w:rsid w:val="00DB5D5C"/>
    <w:rsid w:val="00DB5E86"/>
    <w:rsid w:val="00DB63FD"/>
    <w:rsid w:val="00DB6561"/>
    <w:rsid w:val="00DB6655"/>
    <w:rsid w:val="00DB66F4"/>
    <w:rsid w:val="00DB673C"/>
    <w:rsid w:val="00DB67E2"/>
    <w:rsid w:val="00DB67F7"/>
    <w:rsid w:val="00DB692E"/>
    <w:rsid w:val="00DB6971"/>
    <w:rsid w:val="00DB699D"/>
    <w:rsid w:val="00DB6A74"/>
    <w:rsid w:val="00DB6A79"/>
    <w:rsid w:val="00DB6B43"/>
    <w:rsid w:val="00DB6B4C"/>
    <w:rsid w:val="00DB6C48"/>
    <w:rsid w:val="00DB6DEF"/>
    <w:rsid w:val="00DB6E52"/>
    <w:rsid w:val="00DB705B"/>
    <w:rsid w:val="00DB7231"/>
    <w:rsid w:val="00DB748E"/>
    <w:rsid w:val="00DB7525"/>
    <w:rsid w:val="00DB75DC"/>
    <w:rsid w:val="00DB7A3A"/>
    <w:rsid w:val="00DB7D7F"/>
    <w:rsid w:val="00DB7D91"/>
    <w:rsid w:val="00DB7E37"/>
    <w:rsid w:val="00DB7E54"/>
    <w:rsid w:val="00DC0012"/>
    <w:rsid w:val="00DC0114"/>
    <w:rsid w:val="00DC0308"/>
    <w:rsid w:val="00DC042F"/>
    <w:rsid w:val="00DC04B5"/>
    <w:rsid w:val="00DC04BD"/>
    <w:rsid w:val="00DC04D6"/>
    <w:rsid w:val="00DC054D"/>
    <w:rsid w:val="00DC0599"/>
    <w:rsid w:val="00DC059C"/>
    <w:rsid w:val="00DC06CF"/>
    <w:rsid w:val="00DC06F7"/>
    <w:rsid w:val="00DC09F6"/>
    <w:rsid w:val="00DC0FC1"/>
    <w:rsid w:val="00DC10DF"/>
    <w:rsid w:val="00DC1407"/>
    <w:rsid w:val="00DC14B4"/>
    <w:rsid w:val="00DC158C"/>
    <w:rsid w:val="00DC1656"/>
    <w:rsid w:val="00DC1777"/>
    <w:rsid w:val="00DC1899"/>
    <w:rsid w:val="00DC18E5"/>
    <w:rsid w:val="00DC1982"/>
    <w:rsid w:val="00DC1A53"/>
    <w:rsid w:val="00DC1AE7"/>
    <w:rsid w:val="00DC1BAB"/>
    <w:rsid w:val="00DC1D3F"/>
    <w:rsid w:val="00DC1D68"/>
    <w:rsid w:val="00DC1F64"/>
    <w:rsid w:val="00DC1F84"/>
    <w:rsid w:val="00DC1FA2"/>
    <w:rsid w:val="00DC1FCB"/>
    <w:rsid w:val="00DC20DC"/>
    <w:rsid w:val="00DC2268"/>
    <w:rsid w:val="00DC22DE"/>
    <w:rsid w:val="00DC22FB"/>
    <w:rsid w:val="00DC2420"/>
    <w:rsid w:val="00DC2545"/>
    <w:rsid w:val="00DC2607"/>
    <w:rsid w:val="00DC2652"/>
    <w:rsid w:val="00DC2656"/>
    <w:rsid w:val="00DC2830"/>
    <w:rsid w:val="00DC2B78"/>
    <w:rsid w:val="00DC2CF1"/>
    <w:rsid w:val="00DC3130"/>
    <w:rsid w:val="00DC31E2"/>
    <w:rsid w:val="00DC3258"/>
    <w:rsid w:val="00DC32DB"/>
    <w:rsid w:val="00DC3383"/>
    <w:rsid w:val="00DC33A8"/>
    <w:rsid w:val="00DC348E"/>
    <w:rsid w:val="00DC369D"/>
    <w:rsid w:val="00DC3735"/>
    <w:rsid w:val="00DC3741"/>
    <w:rsid w:val="00DC3849"/>
    <w:rsid w:val="00DC3946"/>
    <w:rsid w:val="00DC39F0"/>
    <w:rsid w:val="00DC3A49"/>
    <w:rsid w:val="00DC3A4E"/>
    <w:rsid w:val="00DC3A93"/>
    <w:rsid w:val="00DC3C4D"/>
    <w:rsid w:val="00DC3CAE"/>
    <w:rsid w:val="00DC3CE3"/>
    <w:rsid w:val="00DC3EC8"/>
    <w:rsid w:val="00DC3EDB"/>
    <w:rsid w:val="00DC3FC1"/>
    <w:rsid w:val="00DC4094"/>
    <w:rsid w:val="00DC4111"/>
    <w:rsid w:val="00DC4131"/>
    <w:rsid w:val="00DC44F3"/>
    <w:rsid w:val="00DC453F"/>
    <w:rsid w:val="00DC4615"/>
    <w:rsid w:val="00DC472E"/>
    <w:rsid w:val="00DC473A"/>
    <w:rsid w:val="00DC47E5"/>
    <w:rsid w:val="00DC4A54"/>
    <w:rsid w:val="00DC4BBE"/>
    <w:rsid w:val="00DC4C23"/>
    <w:rsid w:val="00DC4D13"/>
    <w:rsid w:val="00DC4E11"/>
    <w:rsid w:val="00DC4ED2"/>
    <w:rsid w:val="00DC512A"/>
    <w:rsid w:val="00DC51C0"/>
    <w:rsid w:val="00DC51DA"/>
    <w:rsid w:val="00DC51ED"/>
    <w:rsid w:val="00DC52B1"/>
    <w:rsid w:val="00DC54B0"/>
    <w:rsid w:val="00DC55B8"/>
    <w:rsid w:val="00DC56C7"/>
    <w:rsid w:val="00DC57C2"/>
    <w:rsid w:val="00DC5808"/>
    <w:rsid w:val="00DC581C"/>
    <w:rsid w:val="00DC599E"/>
    <w:rsid w:val="00DC5A3A"/>
    <w:rsid w:val="00DC5A6D"/>
    <w:rsid w:val="00DC5A92"/>
    <w:rsid w:val="00DC5ABE"/>
    <w:rsid w:val="00DC5D54"/>
    <w:rsid w:val="00DC5FD7"/>
    <w:rsid w:val="00DC5FDD"/>
    <w:rsid w:val="00DC5FFA"/>
    <w:rsid w:val="00DC6008"/>
    <w:rsid w:val="00DC6215"/>
    <w:rsid w:val="00DC633C"/>
    <w:rsid w:val="00DC644F"/>
    <w:rsid w:val="00DC6494"/>
    <w:rsid w:val="00DC6530"/>
    <w:rsid w:val="00DC6608"/>
    <w:rsid w:val="00DC689A"/>
    <w:rsid w:val="00DC68F3"/>
    <w:rsid w:val="00DC6B0C"/>
    <w:rsid w:val="00DC6B25"/>
    <w:rsid w:val="00DC6D3A"/>
    <w:rsid w:val="00DC6E59"/>
    <w:rsid w:val="00DC6EBE"/>
    <w:rsid w:val="00DC714B"/>
    <w:rsid w:val="00DC7180"/>
    <w:rsid w:val="00DC7355"/>
    <w:rsid w:val="00DC7373"/>
    <w:rsid w:val="00DC7417"/>
    <w:rsid w:val="00DC753B"/>
    <w:rsid w:val="00DC7561"/>
    <w:rsid w:val="00DC7616"/>
    <w:rsid w:val="00DC768F"/>
    <w:rsid w:val="00DC77D1"/>
    <w:rsid w:val="00DC77E3"/>
    <w:rsid w:val="00DC7806"/>
    <w:rsid w:val="00DC784F"/>
    <w:rsid w:val="00DC7C2D"/>
    <w:rsid w:val="00DC7C74"/>
    <w:rsid w:val="00DC7CA5"/>
    <w:rsid w:val="00DC7CEF"/>
    <w:rsid w:val="00DC7D32"/>
    <w:rsid w:val="00DC7DE6"/>
    <w:rsid w:val="00DC7DF3"/>
    <w:rsid w:val="00DC7EB5"/>
    <w:rsid w:val="00DC7F84"/>
    <w:rsid w:val="00DC7F99"/>
    <w:rsid w:val="00DD010B"/>
    <w:rsid w:val="00DD01A7"/>
    <w:rsid w:val="00DD01CE"/>
    <w:rsid w:val="00DD02BE"/>
    <w:rsid w:val="00DD02E5"/>
    <w:rsid w:val="00DD04E6"/>
    <w:rsid w:val="00DD0501"/>
    <w:rsid w:val="00DD069D"/>
    <w:rsid w:val="00DD070D"/>
    <w:rsid w:val="00DD08EE"/>
    <w:rsid w:val="00DD0976"/>
    <w:rsid w:val="00DD0AA9"/>
    <w:rsid w:val="00DD0B21"/>
    <w:rsid w:val="00DD0B9B"/>
    <w:rsid w:val="00DD0EC4"/>
    <w:rsid w:val="00DD103B"/>
    <w:rsid w:val="00DD13B1"/>
    <w:rsid w:val="00DD1441"/>
    <w:rsid w:val="00DD1884"/>
    <w:rsid w:val="00DD18AE"/>
    <w:rsid w:val="00DD1A48"/>
    <w:rsid w:val="00DD1A89"/>
    <w:rsid w:val="00DD1AC8"/>
    <w:rsid w:val="00DD1D31"/>
    <w:rsid w:val="00DD1DCF"/>
    <w:rsid w:val="00DD1E89"/>
    <w:rsid w:val="00DD1FBB"/>
    <w:rsid w:val="00DD2102"/>
    <w:rsid w:val="00DD2200"/>
    <w:rsid w:val="00DD2281"/>
    <w:rsid w:val="00DD23DE"/>
    <w:rsid w:val="00DD23F4"/>
    <w:rsid w:val="00DD2406"/>
    <w:rsid w:val="00DD2507"/>
    <w:rsid w:val="00DD26C0"/>
    <w:rsid w:val="00DD27A7"/>
    <w:rsid w:val="00DD295B"/>
    <w:rsid w:val="00DD2C1A"/>
    <w:rsid w:val="00DD2C2D"/>
    <w:rsid w:val="00DD2C6E"/>
    <w:rsid w:val="00DD2C83"/>
    <w:rsid w:val="00DD2D6D"/>
    <w:rsid w:val="00DD2D6E"/>
    <w:rsid w:val="00DD31EA"/>
    <w:rsid w:val="00DD32E1"/>
    <w:rsid w:val="00DD34B8"/>
    <w:rsid w:val="00DD36C7"/>
    <w:rsid w:val="00DD389C"/>
    <w:rsid w:val="00DD38E1"/>
    <w:rsid w:val="00DD3947"/>
    <w:rsid w:val="00DD3A57"/>
    <w:rsid w:val="00DD3B7F"/>
    <w:rsid w:val="00DD3DDA"/>
    <w:rsid w:val="00DD3EF2"/>
    <w:rsid w:val="00DD3F6C"/>
    <w:rsid w:val="00DD4094"/>
    <w:rsid w:val="00DD40B4"/>
    <w:rsid w:val="00DD4132"/>
    <w:rsid w:val="00DD4461"/>
    <w:rsid w:val="00DD4580"/>
    <w:rsid w:val="00DD479B"/>
    <w:rsid w:val="00DD48CE"/>
    <w:rsid w:val="00DD49D3"/>
    <w:rsid w:val="00DD4C79"/>
    <w:rsid w:val="00DD4DFA"/>
    <w:rsid w:val="00DD5107"/>
    <w:rsid w:val="00DD5201"/>
    <w:rsid w:val="00DD5486"/>
    <w:rsid w:val="00DD54D7"/>
    <w:rsid w:val="00DD5501"/>
    <w:rsid w:val="00DD56D4"/>
    <w:rsid w:val="00DD5727"/>
    <w:rsid w:val="00DD5728"/>
    <w:rsid w:val="00DD59EF"/>
    <w:rsid w:val="00DD5B96"/>
    <w:rsid w:val="00DD5BEC"/>
    <w:rsid w:val="00DD5C35"/>
    <w:rsid w:val="00DD5EE2"/>
    <w:rsid w:val="00DD5FC3"/>
    <w:rsid w:val="00DD60A1"/>
    <w:rsid w:val="00DD61FF"/>
    <w:rsid w:val="00DD6315"/>
    <w:rsid w:val="00DD6463"/>
    <w:rsid w:val="00DD6622"/>
    <w:rsid w:val="00DD671E"/>
    <w:rsid w:val="00DD6843"/>
    <w:rsid w:val="00DD6923"/>
    <w:rsid w:val="00DD694D"/>
    <w:rsid w:val="00DD6C4B"/>
    <w:rsid w:val="00DD6E29"/>
    <w:rsid w:val="00DD6E6D"/>
    <w:rsid w:val="00DD6F04"/>
    <w:rsid w:val="00DD6F14"/>
    <w:rsid w:val="00DD70BA"/>
    <w:rsid w:val="00DD7203"/>
    <w:rsid w:val="00DD7244"/>
    <w:rsid w:val="00DD72E8"/>
    <w:rsid w:val="00DD73AD"/>
    <w:rsid w:val="00DD7544"/>
    <w:rsid w:val="00DD761D"/>
    <w:rsid w:val="00DD7668"/>
    <w:rsid w:val="00DD76A5"/>
    <w:rsid w:val="00DD76A6"/>
    <w:rsid w:val="00DD771B"/>
    <w:rsid w:val="00DD78A8"/>
    <w:rsid w:val="00DD78F0"/>
    <w:rsid w:val="00DD791A"/>
    <w:rsid w:val="00DD796C"/>
    <w:rsid w:val="00DD7B34"/>
    <w:rsid w:val="00DD7CCB"/>
    <w:rsid w:val="00DD7D25"/>
    <w:rsid w:val="00DD7D51"/>
    <w:rsid w:val="00DD7D55"/>
    <w:rsid w:val="00DE007D"/>
    <w:rsid w:val="00DE0108"/>
    <w:rsid w:val="00DE02FD"/>
    <w:rsid w:val="00DE035D"/>
    <w:rsid w:val="00DE03DE"/>
    <w:rsid w:val="00DE0652"/>
    <w:rsid w:val="00DE068B"/>
    <w:rsid w:val="00DE06B5"/>
    <w:rsid w:val="00DE0725"/>
    <w:rsid w:val="00DE0860"/>
    <w:rsid w:val="00DE08EB"/>
    <w:rsid w:val="00DE0AA7"/>
    <w:rsid w:val="00DE0D33"/>
    <w:rsid w:val="00DE0D6D"/>
    <w:rsid w:val="00DE0F7C"/>
    <w:rsid w:val="00DE11B7"/>
    <w:rsid w:val="00DE1241"/>
    <w:rsid w:val="00DE1444"/>
    <w:rsid w:val="00DE14D6"/>
    <w:rsid w:val="00DE15E8"/>
    <w:rsid w:val="00DE182F"/>
    <w:rsid w:val="00DE1893"/>
    <w:rsid w:val="00DE197B"/>
    <w:rsid w:val="00DE1B64"/>
    <w:rsid w:val="00DE1BC5"/>
    <w:rsid w:val="00DE1CBF"/>
    <w:rsid w:val="00DE1D6B"/>
    <w:rsid w:val="00DE1DB8"/>
    <w:rsid w:val="00DE20B8"/>
    <w:rsid w:val="00DE23C1"/>
    <w:rsid w:val="00DE24C2"/>
    <w:rsid w:val="00DE2518"/>
    <w:rsid w:val="00DE2542"/>
    <w:rsid w:val="00DE275A"/>
    <w:rsid w:val="00DE276C"/>
    <w:rsid w:val="00DE2B20"/>
    <w:rsid w:val="00DE2C82"/>
    <w:rsid w:val="00DE334A"/>
    <w:rsid w:val="00DE3378"/>
    <w:rsid w:val="00DE33FB"/>
    <w:rsid w:val="00DE340E"/>
    <w:rsid w:val="00DE3594"/>
    <w:rsid w:val="00DE35D2"/>
    <w:rsid w:val="00DE3730"/>
    <w:rsid w:val="00DE382B"/>
    <w:rsid w:val="00DE3B2B"/>
    <w:rsid w:val="00DE3F13"/>
    <w:rsid w:val="00DE3F33"/>
    <w:rsid w:val="00DE4099"/>
    <w:rsid w:val="00DE415A"/>
    <w:rsid w:val="00DE41D9"/>
    <w:rsid w:val="00DE41F3"/>
    <w:rsid w:val="00DE42F5"/>
    <w:rsid w:val="00DE436C"/>
    <w:rsid w:val="00DE44AA"/>
    <w:rsid w:val="00DE44F8"/>
    <w:rsid w:val="00DE478E"/>
    <w:rsid w:val="00DE49F1"/>
    <w:rsid w:val="00DE4ABB"/>
    <w:rsid w:val="00DE4B1E"/>
    <w:rsid w:val="00DE4CD2"/>
    <w:rsid w:val="00DE4E0B"/>
    <w:rsid w:val="00DE4F7C"/>
    <w:rsid w:val="00DE4FB6"/>
    <w:rsid w:val="00DE507E"/>
    <w:rsid w:val="00DE50AC"/>
    <w:rsid w:val="00DE514F"/>
    <w:rsid w:val="00DE516F"/>
    <w:rsid w:val="00DE517F"/>
    <w:rsid w:val="00DE51A2"/>
    <w:rsid w:val="00DE5319"/>
    <w:rsid w:val="00DE53D6"/>
    <w:rsid w:val="00DE54B2"/>
    <w:rsid w:val="00DE55BC"/>
    <w:rsid w:val="00DE571C"/>
    <w:rsid w:val="00DE5750"/>
    <w:rsid w:val="00DE5857"/>
    <w:rsid w:val="00DE5948"/>
    <w:rsid w:val="00DE59C1"/>
    <w:rsid w:val="00DE5AFA"/>
    <w:rsid w:val="00DE5B08"/>
    <w:rsid w:val="00DE5D38"/>
    <w:rsid w:val="00DE5F3A"/>
    <w:rsid w:val="00DE607B"/>
    <w:rsid w:val="00DE63DF"/>
    <w:rsid w:val="00DE6426"/>
    <w:rsid w:val="00DE64C9"/>
    <w:rsid w:val="00DE671E"/>
    <w:rsid w:val="00DE69A9"/>
    <w:rsid w:val="00DE69AE"/>
    <w:rsid w:val="00DE69BE"/>
    <w:rsid w:val="00DE6BD4"/>
    <w:rsid w:val="00DE6BE1"/>
    <w:rsid w:val="00DE6D93"/>
    <w:rsid w:val="00DE6E3B"/>
    <w:rsid w:val="00DE6FAA"/>
    <w:rsid w:val="00DE6FCA"/>
    <w:rsid w:val="00DE7005"/>
    <w:rsid w:val="00DE7026"/>
    <w:rsid w:val="00DE707E"/>
    <w:rsid w:val="00DE71D0"/>
    <w:rsid w:val="00DE7288"/>
    <w:rsid w:val="00DE728D"/>
    <w:rsid w:val="00DE72A6"/>
    <w:rsid w:val="00DE730D"/>
    <w:rsid w:val="00DE73A4"/>
    <w:rsid w:val="00DE74E0"/>
    <w:rsid w:val="00DE7A4C"/>
    <w:rsid w:val="00DE7B40"/>
    <w:rsid w:val="00DE7D2A"/>
    <w:rsid w:val="00DE7DC0"/>
    <w:rsid w:val="00DE7DE6"/>
    <w:rsid w:val="00DE7F6B"/>
    <w:rsid w:val="00DE7FC2"/>
    <w:rsid w:val="00DF0044"/>
    <w:rsid w:val="00DF010C"/>
    <w:rsid w:val="00DF01BF"/>
    <w:rsid w:val="00DF02E0"/>
    <w:rsid w:val="00DF0490"/>
    <w:rsid w:val="00DF05A1"/>
    <w:rsid w:val="00DF05FD"/>
    <w:rsid w:val="00DF06FE"/>
    <w:rsid w:val="00DF07C9"/>
    <w:rsid w:val="00DF094C"/>
    <w:rsid w:val="00DF0952"/>
    <w:rsid w:val="00DF0BD3"/>
    <w:rsid w:val="00DF0D54"/>
    <w:rsid w:val="00DF0DDC"/>
    <w:rsid w:val="00DF1305"/>
    <w:rsid w:val="00DF136E"/>
    <w:rsid w:val="00DF19A4"/>
    <w:rsid w:val="00DF1A8D"/>
    <w:rsid w:val="00DF1AEF"/>
    <w:rsid w:val="00DF1B59"/>
    <w:rsid w:val="00DF1D53"/>
    <w:rsid w:val="00DF1D61"/>
    <w:rsid w:val="00DF1E32"/>
    <w:rsid w:val="00DF1FB3"/>
    <w:rsid w:val="00DF1FCD"/>
    <w:rsid w:val="00DF2144"/>
    <w:rsid w:val="00DF26BE"/>
    <w:rsid w:val="00DF27D7"/>
    <w:rsid w:val="00DF2A96"/>
    <w:rsid w:val="00DF2AB6"/>
    <w:rsid w:val="00DF2BD7"/>
    <w:rsid w:val="00DF2C0B"/>
    <w:rsid w:val="00DF2C2A"/>
    <w:rsid w:val="00DF2C77"/>
    <w:rsid w:val="00DF2F1B"/>
    <w:rsid w:val="00DF2F78"/>
    <w:rsid w:val="00DF3257"/>
    <w:rsid w:val="00DF33E4"/>
    <w:rsid w:val="00DF36F3"/>
    <w:rsid w:val="00DF3974"/>
    <w:rsid w:val="00DF3AF4"/>
    <w:rsid w:val="00DF3C77"/>
    <w:rsid w:val="00DF3D28"/>
    <w:rsid w:val="00DF3D36"/>
    <w:rsid w:val="00DF3D3C"/>
    <w:rsid w:val="00DF3E27"/>
    <w:rsid w:val="00DF3F3B"/>
    <w:rsid w:val="00DF3FA6"/>
    <w:rsid w:val="00DF44BA"/>
    <w:rsid w:val="00DF4638"/>
    <w:rsid w:val="00DF47FE"/>
    <w:rsid w:val="00DF482D"/>
    <w:rsid w:val="00DF4860"/>
    <w:rsid w:val="00DF49FE"/>
    <w:rsid w:val="00DF4A2E"/>
    <w:rsid w:val="00DF4A86"/>
    <w:rsid w:val="00DF4D16"/>
    <w:rsid w:val="00DF4DBD"/>
    <w:rsid w:val="00DF4DDB"/>
    <w:rsid w:val="00DF4E37"/>
    <w:rsid w:val="00DF4F75"/>
    <w:rsid w:val="00DF5006"/>
    <w:rsid w:val="00DF5215"/>
    <w:rsid w:val="00DF56A0"/>
    <w:rsid w:val="00DF57D3"/>
    <w:rsid w:val="00DF5894"/>
    <w:rsid w:val="00DF58E2"/>
    <w:rsid w:val="00DF5927"/>
    <w:rsid w:val="00DF5958"/>
    <w:rsid w:val="00DF5A16"/>
    <w:rsid w:val="00DF5A4B"/>
    <w:rsid w:val="00DF5AD3"/>
    <w:rsid w:val="00DF5BDC"/>
    <w:rsid w:val="00DF5CA7"/>
    <w:rsid w:val="00DF5CD1"/>
    <w:rsid w:val="00DF5CF0"/>
    <w:rsid w:val="00DF5D8E"/>
    <w:rsid w:val="00DF5E10"/>
    <w:rsid w:val="00DF5F0E"/>
    <w:rsid w:val="00DF5F62"/>
    <w:rsid w:val="00DF60B6"/>
    <w:rsid w:val="00DF62C5"/>
    <w:rsid w:val="00DF6506"/>
    <w:rsid w:val="00DF6577"/>
    <w:rsid w:val="00DF6788"/>
    <w:rsid w:val="00DF6936"/>
    <w:rsid w:val="00DF6E29"/>
    <w:rsid w:val="00DF7078"/>
    <w:rsid w:val="00DF70A3"/>
    <w:rsid w:val="00DF7158"/>
    <w:rsid w:val="00DF720F"/>
    <w:rsid w:val="00DF72B6"/>
    <w:rsid w:val="00DF731D"/>
    <w:rsid w:val="00DF73C7"/>
    <w:rsid w:val="00DF75C4"/>
    <w:rsid w:val="00DF7664"/>
    <w:rsid w:val="00DF769D"/>
    <w:rsid w:val="00DF7713"/>
    <w:rsid w:val="00DF77C6"/>
    <w:rsid w:val="00DF7824"/>
    <w:rsid w:val="00DF7993"/>
    <w:rsid w:val="00DF7A75"/>
    <w:rsid w:val="00DF7AD4"/>
    <w:rsid w:val="00DF7CCA"/>
    <w:rsid w:val="00DF7F6E"/>
    <w:rsid w:val="00DF7FCE"/>
    <w:rsid w:val="00E00082"/>
    <w:rsid w:val="00E000BC"/>
    <w:rsid w:val="00E000C7"/>
    <w:rsid w:val="00E00108"/>
    <w:rsid w:val="00E001F0"/>
    <w:rsid w:val="00E0026E"/>
    <w:rsid w:val="00E003D5"/>
    <w:rsid w:val="00E0044D"/>
    <w:rsid w:val="00E005E1"/>
    <w:rsid w:val="00E00639"/>
    <w:rsid w:val="00E00661"/>
    <w:rsid w:val="00E0069C"/>
    <w:rsid w:val="00E006A4"/>
    <w:rsid w:val="00E006CD"/>
    <w:rsid w:val="00E0089B"/>
    <w:rsid w:val="00E00A04"/>
    <w:rsid w:val="00E00A2E"/>
    <w:rsid w:val="00E00ACD"/>
    <w:rsid w:val="00E00DC0"/>
    <w:rsid w:val="00E00DDA"/>
    <w:rsid w:val="00E00E1C"/>
    <w:rsid w:val="00E00F25"/>
    <w:rsid w:val="00E00F5B"/>
    <w:rsid w:val="00E01025"/>
    <w:rsid w:val="00E01072"/>
    <w:rsid w:val="00E0126F"/>
    <w:rsid w:val="00E0136B"/>
    <w:rsid w:val="00E013BB"/>
    <w:rsid w:val="00E01432"/>
    <w:rsid w:val="00E01494"/>
    <w:rsid w:val="00E0165A"/>
    <w:rsid w:val="00E01892"/>
    <w:rsid w:val="00E018C7"/>
    <w:rsid w:val="00E018D8"/>
    <w:rsid w:val="00E0194A"/>
    <w:rsid w:val="00E01B5F"/>
    <w:rsid w:val="00E01C94"/>
    <w:rsid w:val="00E01D1B"/>
    <w:rsid w:val="00E01D1D"/>
    <w:rsid w:val="00E01EC2"/>
    <w:rsid w:val="00E01ECF"/>
    <w:rsid w:val="00E01EFE"/>
    <w:rsid w:val="00E020AD"/>
    <w:rsid w:val="00E020C8"/>
    <w:rsid w:val="00E0212B"/>
    <w:rsid w:val="00E0218D"/>
    <w:rsid w:val="00E02192"/>
    <w:rsid w:val="00E023A3"/>
    <w:rsid w:val="00E023CC"/>
    <w:rsid w:val="00E02564"/>
    <w:rsid w:val="00E026E1"/>
    <w:rsid w:val="00E027B6"/>
    <w:rsid w:val="00E02973"/>
    <w:rsid w:val="00E0298C"/>
    <w:rsid w:val="00E02A47"/>
    <w:rsid w:val="00E02ACF"/>
    <w:rsid w:val="00E02B67"/>
    <w:rsid w:val="00E02C59"/>
    <w:rsid w:val="00E02E3E"/>
    <w:rsid w:val="00E02F91"/>
    <w:rsid w:val="00E0306F"/>
    <w:rsid w:val="00E03164"/>
    <w:rsid w:val="00E032A6"/>
    <w:rsid w:val="00E034C1"/>
    <w:rsid w:val="00E034EC"/>
    <w:rsid w:val="00E035DA"/>
    <w:rsid w:val="00E0363A"/>
    <w:rsid w:val="00E0372B"/>
    <w:rsid w:val="00E03CD2"/>
    <w:rsid w:val="00E04033"/>
    <w:rsid w:val="00E040D1"/>
    <w:rsid w:val="00E0413B"/>
    <w:rsid w:val="00E0421E"/>
    <w:rsid w:val="00E043F5"/>
    <w:rsid w:val="00E04423"/>
    <w:rsid w:val="00E046A5"/>
    <w:rsid w:val="00E047DD"/>
    <w:rsid w:val="00E04902"/>
    <w:rsid w:val="00E049B4"/>
    <w:rsid w:val="00E04A5D"/>
    <w:rsid w:val="00E04BE4"/>
    <w:rsid w:val="00E04C55"/>
    <w:rsid w:val="00E04E58"/>
    <w:rsid w:val="00E04F0C"/>
    <w:rsid w:val="00E04FD7"/>
    <w:rsid w:val="00E04FF0"/>
    <w:rsid w:val="00E051CB"/>
    <w:rsid w:val="00E05464"/>
    <w:rsid w:val="00E05633"/>
    <w:rsid w:val="00E058B4"/>
    <w:rsid w:val="00E05A08"/>
    <w:rsid w:val="00E05ABE"/>
    <w:rsid w:val="00E05DC5"/>
    <w:rsid w:val="00E05DDE"/>
    <w:rsid w:val="00E05E86"/>
    <w:rsid w:val="00E06107"/>
    <w:rsid w:val="00E06157"/>
    <w:rsid w:val="00E063A7"/>
    <w:rsid w:val="00E0641F"/>
    <w:rsid w:val="00E06456"/>
    <w:rsid w:val="00E06509"/>
    <w:rsid w:val="00E066B6"/>
    <w:rsid w:val="00E06715"/>
    <w:rsid w:val="00E0677F"/>
    <w:rsid w:val="00E06790"/>
    <w:rsid w:val="00E0680C"/>
    <w:rsid w:val="00E0685B"/>
    <w:rsid w:val="00E06AA8"/>
    <w:rsid w:val="00E06CD7"/>
    <w:rsid w:val="00E06D53"/>
    <w:rsid w:val="00E06D8E"/>
    <w:rsid w:val="00E06D97"/>
    <w:rsid w:val="00E0716E"/>
    <w:rsid w:val="00E071D1"/>
    <w:rsid w:val="00E073F3"/>
    <w:rsid w:val="00E0755B"/>
    <w:rsid w:val="00E075E6"/>
    <w:rsid w:val="00E07686"/>
    <w:rsid w:val="00E076F4"/>
    <w:rsid w:val="00E0777A"/>
    <w:rsid w:val="00E078E6"/>
    <w:rsid w:val="00E07965"/>
    <w:rsid w:val="00E079B0"/>
    <w:rsid w:val="00E07A74"/>
    <w:rsid w:val="00E07B5A"/>
    <w:rsid w:val="00E07C1F"/>
    <w:rsid w:val="00E07D64"/>
    <w:rsid w:val="00E07E27"/>
    <w:rsid w:val="00E1039D"/>
    <w:rsid w:val="00E103AF"/>
    <w:rsid w:val="00E10517"/>
    <w:rsid w:val="00E1052A"/>
    <w:rsid w:val="00E1062E"/>
    <w:rsid w:val="00E10647"/>
    <w:rsid w:val="00E106A6"/>
    <w:rsid w:val="00E109EB"/>
    <w:rsid w:val="00E109EF"/>
    <w:rsid w:val="00E10B56"/>
    <w:rsid w:val="00E10CA1"/>
    <w:rsid w:val="00E10F56"/>
    <w:rsid w:val="00E11059"/>
    <w:rsid w:val="00E11187"/>
    <w:rsid w:val="00E111F0"/>
    <w:rsid w:val="00E11365"/>
    <w:rsid w:val="00E11678"/>
    <w:rsid w:val="00E116B0"/>
    <w:rsid w:val="00E1173C"/>
    <w:rsid w:val="00E11765"/>
    <w:rsid w:val="00E1187E"/>
    <w:rsid w:val="00E11B3B"/>
    <w:rsid w:val="00E11D38"/>
    <w:rsid w:val="00E11D4D"/>
    <w:rsid w:val="00E11EA6"/>
    <w:rsid w:val="00E11EF0"/>
    <w:rsid w:val="00E121FE"/>
    <w:rsid w:val="00E124C9"/>
    <w:rsid w:val="00E125A8"/>
    <w:rsid w:val="00E1262F"/>
    <w:rsid w:val="00E1278B"/>
    <w:rsid w:val="00E127E4"/>
    <w:rsid w:val="00E1281E"/>
    <w:rsid w:val="00E12B0A"/>
    <w:rsid w:val="00E12D3B"/>
    <w:rsid w:val="00E12DEA"/>
    <w:rsid w:val="00E12E5B"/>
    <w:rsid w:val="00E130A3"/>
    <w:rsid w:val="00E13123"/>
    <w:rsid w:val="00E13216"/>
    <w:rsid w:val="00E13261"/>
    <w:rsid w:val="00E132CA"/>
    <w:rsid w:val="00E1339D"/>
    <w:rsid w:val="00E13429"/>
    <w:rsid w:val="00E13542"/>
    <w:rsid w:val="00E1355E"/>
    <w:rsid w:val="00E13646"/>
    <w:rsid w:val="00E137D8"/>
    <w:rsid w:val="00E13A9A"/>
    <w:rsid w:val="00E13CEF"/>
    <w:rsid w:val="00E13D98"/>
    <w:rsid w:val="00E13DAC"/>
    <w:rsid w:val="00E13DF3"/>
    <w:rsid w:val="00E13E2F"/>
    <w:rsid w:val="00E1401D"/>
    <w:rsid w:val="00E1447A"/>
    <w:rsid w:val="00E145CB"/>
    <w:rsid w:val="00E148EA"/>
    <w:rsid w:val="00E14A6B"/>
    <w:rsid w:val="00E14AB6"/>
    <w:rsid w:val="00E14C9E"/>
    <w:rsid w:val="00E14CE2"/>
    <w:rsid w:val="00E14DCE"/>
    <w:rsid w:val="00E14DD8"/>
    <w:rsid w:val="00E14F69"/>
    <w:rsid w:val="00E14FB3"/>
    <w:rsid w:val="00E15138"/>
    <w:rsid w:val="00E15181"/>
    <w:rsid w:val="00E154E0"/>
    <w:rsid w:val="00E15509"/>
    <w:rsid w:val="00E155B6"/>
    <w:rsid w:val="00E1561E"/>
    <w:rsid w:val="00E15655"/>
    <w:rsid w:val="00E159CE"/>
    <w:rsid w:val="00E15A42"/>
    <w:rsid w:val="00E15A50"/>
    <w:rsid w:val="00E15B36"/>
    <w:rsid w:val="00E15B68"/>
    <w:rsid w:val="00E15BE1"/>
    <w:rsid w:val="00E15E5B"/>
    <w:rsid w:val="00E15F56"/>
    <w:rsid w:val="00E1628F"/>
    <w:rsid w:val="00E16414"/>
    <w:rsid w:val="00E1653E"/>
    <w:rsid w:val="00E16619"/>
    <w:rsid w:val="00E166E1"/>
    <w:rsid w:val="00E1687B"/>
    <w:rsid w:val="00E16A3A"/>
    <w:rsid w:val="00E16BE1"/>
    <w:rsid w:val="00E16C1A"/>
    <w:rsid w:val="00E16C2F"/>
    <w:rsid w:val="00E16E62"/>
    <w:rsid w:val="00E16F46"/>
    <w:rsid w:val="00E16FF9"/>
    <w:rsid w:val="00E1703B"/>
    <w:rsid w:val="00E17098"/>
    <w:rsid w:val="00E17248"/>
    <w:rsid w:val="00E17376"/>
    <w:rsid w:val="00E174E5"/>
    <w:rsid w:val="00E17535"/>
    <w:rsid w:val="00E176D3"/>
    <w:rsid w:val="00E176E3"/>
    <w:rsid w:val="00E1771E"/>
    <w:rsid w:val="00E17854"/>
    <w:rsid w:val="00E179B9"/>
    <w:rsid w:val="00E17A22"/>
    <w:rsid w:val="00E17AE9"/>
    <w:rsid w:val="00E17B5B"/>
    <w:rsid w:val="00E17C18"/>
    <w:rsid w:val="00E17C28"/>
    <w:rsid w:val="00E17D53"/>
    <w:rsid w:val="00E17FD6"/>
    <w:rsid w:val="00E20018"/>
    <w:rsid w:val="00E200A9"/>
    <w:rsid w:val="00E200C5"/>
    <w:rsid w:val="00E202F1"/>
    <w:rsid w:val="00E205FC"/>
    <w:rsid w:val="00E2078B"/>
    <w:rsid w:val="00E209B4"/>
    <w:rsid w:val="00E20B2B"/>
    <w:rsid w:val="00E20E54"/>
    <w:rsid w:val="00E21063"/>
    <w:rsid w:val="00E21075"/>
    <w:rsid w:val="00E21107"/>
    <w:rsid w:val="00E2118F"/>
    <w:rsid w:val="00E21249"/>
    <w:rsid w:val="00E213EC"/>
    <w:rsid w:val="00E21676"/>
    <w:rsid w:val="00E21711"/>
    <w:rsid w:val="00E21953"/>
    <w:rsid w:val="00E21A8A"/>
    <w:rsid w:val="00E21DA0"/>
    <w:rsid w:val="00E21E4B"/>
    <w:rsid w:val="00E2223A"/>
    <w:rsid w:val="00E2233A"/>
    <w:rsid w:val="00E22561"/>
    <w:rsid w:val="00E2257E"/>
    <w:rsid w:val="00E22586"/>
    <w:rsid w:val="00E2273F"/>
    <w:rsid w:val="00E22801"/>
    <w:rsid w:val="00E22913"/>
    <w:rsid w:val="00E2296B"/>
    <w:rsid w:val="00E22A2E"/>
    <w:rsid w:val="00E22CD2"/>
    <w:rsid w:val="00E22D7F"/>
    <w:rsid w:val="00E22E72"/>
    <w:rsid w:val="00E22E83"/>
    <w:rsid w:val="00E22F5B"/>
    <w:rsid w:val="00E22F87"/>
    <w:rsid w:val="00E235AD"/>
    <w:rsid w:val="00E235B1"/>
    <w:rsid w:val="00E236FE"/>
    <w:rsid w:val="00E238E4"/>
    <w:rsid w:val="00E23ACA"/>
    <w:rsid w:val="00E23C23"/>
    <w:rsid w:val="00E23C90"/>
    <w:rsid w:val="00E23C92"/>
    <w:rsid w:val="00E23D08"/>
    <w:rsid w:val="00E23E0C"/>
    <w:rsid w:val="00E23E3D"/>
    <w:rsid w:val="00E23E4A"/>
    <w:rsid w:val="00E23FE4"/>
    <w:rsid w:val="00E24051"/>
    <w:rsid w:val="00E240FA"/>
    <w:rsid w:val="00E24109"/>
    <w:rsid w:val="00E2431D"/>
    <w:rsid w:val="00E2433B"/>
    <w:rsid w:val="00E24393"/>
    <w:rsid w:val="00E24457"/>
    <w:rsid w:val="00E247BC"/>
    <w:rsid w:val="00E24A00"/>
    <w:rsid w:val="00E24A45"/>
    <w:rsid w:val="00E24A72"/>
    <w:rsid w:val="00E24A84"/>
    <w:rsid w:val="00E24C3B"/>
    <w:rsid w:val="00E24DE4"/>
    <w:rsid w:val="00E24DEB"/>
    <w:rsid w:val="00E24E2D"/>
    <w:rsid w:val="00E24F05"/>
    <w:rsid w:val="00E25046"/>
    <w:rsid w:val="00E250F5"/>
    <w:rsid w:val="00E25157"/>
    <w:rsid w:val="00E25359"/>
    <w:rsid w:val="00E253C3"/>
    <w:rsid w:val="00E256B7"/>
    <w:rsid w:val="00E257E1"/>
    <w:rsid w:val="00E257FB"/>
    <w:rsid w:val="00E25896"/>
    <w:rsid w:val="00E258F1"/>
    <w:rsid w:val="00E25947"/>
    <w:rsid w:val="00E25965"/>
    <w:rsid w:val="00E259DE"/>
    <w:rsid w:val="00E25A1B"/>
    <w:rsid w:val="00E25B3A"/>
    <w:rsid w:val="00E25BB8"/>
    <w:rsid w:val="00E25BE2"/>
    <w:rsid w:val="00E25D5E"/>
    <w:rsid w:val="00E26054"/>
    <w:rsid w:val="00E2614A"/>
    <w:rsid w:val="00E262A7"/>
    <w:rsid w:val="00E2632B"/>
    <w:rsid w:val="00E26342"/>
    <w:rsid w:val="00E26349"/>
    <w:rsid w:val="00E263F8"/>
    <w:rsid w:val="00E26736"/>
    <w:rsid w:val="00E268D8"/>
    <w:rsid w:val="00E26B97"/>
    <w:rsid w:val="00E26E4E"/>
    <w:rsid w:val="00E2703D"/>
    <w:rsid w:val="00E2706B"/>
    <w:rsid w:val="00E270AE"/>
    <w:rsid w:val="00E270E5"/>
    <w:rsid w:val="00E2715A"/>
    <w:rsid w:val="00E2718B"/>
    <w:rsid w:val="00E27520"/>
    <w:rsid w:val="00E2766F"/>
    <w:rsid w:val="00E276A2"/>
    <w:rsid w:val="00E276AE"/>
    <w:rsid w:val="00E276F2"/>
    <w:rsid w:val="00E27896"/>
    <w:rsid w:val="00E278A5"/>
    <w:rsid w:val="00E278DB"/>
    <w:rsid w:val="00E27A23"/>
    <w:rsid w:val="00E27C87"/>
    <w:rsid w:val="00E27CEA"/>
    <w:rsid w:val="00E27FCD"/>
    <w:rsid w:val="00E30071"/>
    <w:rsid w:val="00E3010A"/>
    <w:rsid w:val="00E30139"/>
    <w:rsid w:val="00E30160"/>
    <w:rsid w:val="00E3019C"/>
    <w:rsid w:val="00E3024F"/>
    <w:rsid w:val="00E3030C"/>
    <w:rsid w:val="00E30465"/>
    <w:rsid w:val="00E30491"/>
    <w:rsid w:val="00E3066A"/>
    <w:rsid w:val="00E306A2"/>
    <w:rsid w:val="00E3071D"/>
    <w:rsid w:val="00E308A0"/>
    <w:rsid w:val="00E30902"/>
    <w:rsid w:val="00E30B1E"/>
    <w:rsid w:val="00E30C79"/>
    <w:rsid w:val="00E30E0B"/>
    <w:rsid w:val="00E30E70"/>
    <w:rsid w:val="00E30EF4"/>
    <w:rsid w:val="00E3129B"/>
    <w:rsid w:val="00E312E5"/>
    <w:rsid w:val="00E313E8"/>
    <w:rsid w:val="00E31619"/>
    <w:rsid w:val="00E3178F"/>
    <w:rsid w:val="00E31813"/>
    <w:rsid w:val="00E3185D"/>
    <w:rsid w:val="00E31A1B"/>
    <w:rsid w:val="00E31A8A"/>
    <w:rsid w:val="00E31AF4"/>
    <w:rsid w:val="00E31B2D"/>
    <w:rsid w:val="00E31BC5"/>
    <w:rsid w:val="00E31BF4"/>
    <w:rsid w:val="00E31C1D"/>
    <w:rsid w:val="00E31DDC"/>
    <w:rsid w:val="00E31E84"/>
    <w:rsid w:val="00E31FA9"/>
    <w:rsid w:val="00E321C0"/>
    <w:rsid w:val="00E3244A"/>
    <w:rsid w:val="00E324D2"/>
    <w:rsid w:val="00E324F3"/>
    <w:rsid w:val="00E3277A"/>
    <w:rsid w:val="00E327A0"/>
    <w:rsid w:val="00E32931"/>
    <w:rsid w:val="00E329B3"/>
    <w:rsid w:val="00E32B1F"/>
    <w:rsid w:val="00E32CE3"/>
    <w:rsid w:val="00E32D40"/>
    <w:rsid w:val="00E32D55"/>
    <w:rsid w:val="00E32E20"/>
    <w:rsid w:val="00E3317D"/>
    <w:rsid w:val="00E332A0"/>
    <w:rsid w:val="00E33356"/>
    <w:rsid w:val="00E33376"/>
    <w:rsid w:val="00E334D6"/>
    <w:rsid w:val="00E337DF"/>
    <w:rsid w:val="00E33953"/>
    <w:rsid w:val="00E339C8"/>
    <w:rsid w:val="00E339DB"/>
    <w:rsid w:val="00E33AAE"/>
    <w:rsid w:val="00E33BCE"/>
    <w:rsid w:val="00E33BD0"/>
    <w:rsid w:val="00E33C00"/>
    <w:rsid w:val="00E33D4D"/>
    <w:rsid w:val="00E33DAA"/>
    <w:rsid w:val="00E33F68"/>
    <w:rsid w:val="00E33F97"/>
    <w:rsid w:val="00E3407E"/>
    <w:rsid w:val="00E3411E"/>
    <w:rsid w:val="00E342B7"/>
    <w:rsid w:val="00E342D0"/>
    <w:rsid w:val="00E344B3"/>
    <w:rsid w:val="00E34558"/>
    <w:rsid w:val="00E3466C"/>
    <w:rsid w:val="00E347C4"/>
    <w:rsid w:val="00E348E8"/>
    <w:rsid w:val="00E34983"/>
    <w:rsid w:val="00E349A3"/>
    <w:rsid w:val="00E349CF"/>
    <w:rsid w:val="00E34A3E"/>
    <w:rsid w:val="00E34A82"/>
    <w:rsid w:val="00E34B05"/>
    <w:rsid w:val="00E34BDD"/>
    <w:rsid w:val="00E34BFD"/>
    <w:rsid w:val="00E34F3F"/>
    <w:rsid w:val="00E34FAF"/>
    <w:rsid w:val="00E350D3"/>
    <w:rsid w:val="00E35169"/>
    <w:rsid w:val="00E351D6"/>
    <w:rsid w:val="00E35230"/>
    <w:rsid w:val="00E35243"/>
    <w:rsid w:val="00E3524F"/>
    <w:rsid w:val="00E3536B"/>
    <w:rsid w:val="00E35591"/>
    <w:rsid w:val="00E356CB"/>
    <w:rsid w:val="00E357C2"/>
    <w:rsid w:val="00E357C7"/>
    <w:rsid w:val="00E357DB"/>
    <w:rsid w:val="00E35832"/>
    <w:rsid w:val="00E358E9"/>
    <w:rsid w:val="00E35AB7"/>
    <w:rsid w:val="00E35B18"/>
    <w:rsid w:val="00E35B8E"/>
    <w:rsid w:val="00E35BFC"/>
    <w:rsid w:val="00E35C0E"/>
    <w:rsid w:val="00E35C87"/>
    <w:rsid w:val="00E35CAC"/>
    <w:rsid w:val="00E35CCA"/>
    <w:rsid w:val="00E35DC5"/>
    <w:rsid w:val="00E35DEE"/>
    <w:rsid w:val="00E362E8"/>
    <w:rsid w:val="00E364B3"/>
    <w:rsid w:val="00E3652F"/>
    <w:rsid w:val="00E36539"/>
    <w:rsid w:val="00E3669E"/>
    <w:rsid w:val="00E367FD"/>
    <w:rsid w:val="00E36872"/>
    <w:rsid w:val="00E368DC"/>
    <w:rsid w:val="00E36AF9"/>
    <w:rsid w:val="00E36C2E"/>
    <w:rsid w:val="00E36CBF"/>
    <w:rsid w:val="00E36E9E"/>
    <w:rsid w:val="00E36EB2"/>
    <w:rsid w:val="00E36F7D"/>
    <w:rsid w:val="00E372C1"/>
    <w:rsid w:val="00E37356"/>
    <w:rsid w:val="00E37381"/>
    <w:rsid w:val="00E37410"/>
    <w:rsid w:val="00E3744D"/>
    <w:rsid w:val="00E37545"/>
    <w:rsid w:val="00E375C6"/>
    <w:rsid w:val="00E376BA"/>
    <w:rsid w:val="00E3777C"/>
    <w:rsid w:val="00E3791F"/>
    <w:rsid w:val="00E379DB"/>
    <w:rsid w:val="00E379DC"/>
    <w:rsid w:val="00E37DAB"/>
    <w:rsid w:val="00E37EE7"/>
    <w:rsid w:val="00E40005"/>
    <w:rsid w:val="00E40180"/>
    <w:rsid w:val="00E401D2"/>
    <w:rsid w:val="00E401DF"/>
    <w:rsid w:val="00E402C3"/>
    <w:rsid w:val="00E40302"/>
    <w:rsid w:val="00E40319"/>
    <w:rsid w:val="00E4033E"/>
    <w:rsid w:val="00E40378"/>
    <w:rsid w:val="00E404E0"/>
    <w:rsid w:val="00E40508"/>
    <w:rsid w:val="00E40535"/>
    <w:rsid w:val="00E40536"/>
    <w:rsid w:val="00E405B3"/>
    <w:rsid w:val="00E40606"/>
    <w:rsid w:val="00E40655"/>
    <w:rsid w:val="00E406F3"/>
    <w:rsid w:val="00E40832"/>
    <w:rsid w:val="00E40AF4"/>
    <w:rsid w:val="00E40B1B"/>
    <w:rsid w:val="00E40BD3"/>
    <w:rsid w:val="00E40BE5"/>
    <w:rsid w:val="00E40DBF"/>
    <w:rsid w:val="00E40F72"/>
    <w:rsid w:val="00E4135D"/>
    <w:rsid w:val="00E4137A"/>
    <w:rsid w:val="00E41690"/>
    <w:rsid w:val="00E419D7"/>
    <w:rsid w:val="00E419F8"/>
    <w:rsid w:val="00E41B11"/>
    <w:rsid w:val="00E41D8F"/>
    <w:rsid w:val="00E41E49"/>
    <w:rsid w:val="00E42115"/>
    <w:rsid w:val="00E42388"/>
    <w:rsid w:val="00E423E2"/>
    <w:rsid w:val="00E424E7"/>
    <w:rsid w:val="00E4251C"/>
    <w:rsid w:val="00E42552"/>
    <w:rsid w:val="00E42556"/>
    <w:rsid w:val="00E426DA"/>
    <w:rsid w:val="00E4280A"/>
    <w:rsid w:val="00E4289D"/>
    <w:rsid w:val="00E428DB"/>
    <w:rsid w:val="00E42944"/>
    <w:rsid w:val="00E42DA6"/>
    <w:rsid w:val="00E42DCA"/>
    <w:rsid w:val="00E4318D"/>
    <w:rsid w:val="00E432C5"/>
    <w:rsid w:val="00E43492"/>
    <w:rsid w:val="00E43547"/>
    <w:rsid w:val="00E4358E"/>
    <w:rsid w:val="00E4370F"/>
    <w:rsid w:val="00E43787"/>
    <w:rsid w:val="00E43943"/>
    <w:rsid w:val="00E43959"/>
    <w:rsid w:val="00E43B37"/>
    <w:rsid w:val="00E43BFF"/>
    <w:rsid w:val="00E43E21"/>
    <w:rsid w:val="00E43EB5"/>
    <w:rsid w:val="00E43F25"/>
    <w:rsid w:val="00E440D7"/>
    <w:rsid w:val="00E4426A"/>
    <w:rsid w:val="00E44333"/>
    <w:rsid w:val="00E445B9"/>
    <w:rsid w:val="00E44866"/>
    <w:rsid w:val="00E44883"/>
    <w:rsid w:val="00E448D7"/>
    <w:rsid w:val="00E44A30"/>
    <w:rsid w:val="00E44AA7"/>
    <w:rsid w:val="00E44BD5"/>
    <w:rsid w:val="00E44BF1"/>
    <w:rsid w:val="00E44F41"/>
    <w:rsid w:val="00E44F90"/>
    <w:rsid w:val="00E45092"/>
    <w:rsid w:val="00E45435"/>
    <w:rsid w:val="00E45436"/>
    <w:rsid w:val="00E45672"/>
    <w:rsid w:val="00E4573F"/>
    <w:rsid w:val="00E4588E"/>
    <w:rsid w:val="00E458C3"/>
    <w:rsid w:val="00E45AB8"/>
    <w:rsid w:val="00E45D42"/>
    <w:rsid w:val="00E45D74"/>
    <w:rsid w:val="00E45E6C"/>
    <w:rsid w:val="00E45EA6"/>
    <w:rsid w:val="00E4613C"/>
    <w:rsid w:val="00E4616D"/>
    <w:rsid w:val="00E462BB"/>
    <w:rsid w:val="00E46335"/>
    <w:rsid w:val="00E4635C"/>
    <w:rsid w:val="00E465BF"/>
    <w:rsid w:val="00E46619"/>
    <w:rsid w:val="00E4674D"/>
    <w:rsid w:val="00E4675F"/>
    <w:rsid w:val="00E467DA"/>
    <w:rsid w:val="00E468F7"/>
    <w:rsid w:val="00E46A39"/>
    <w:rsid w:val="00E46B0E"/>
    <w:rsid w:val="00E46D3C"/>
    <w:rsid w:val="00E46DE1"/>
    <w:rsid w:val="00E46EB6"/>
    <w:rsid w:val="00E46FC9"/>
    <w:rsid w:val="00E46FEE"/>
    <w:rsid w:val="00E4700E"/>
    <w:rsid w:val="00E472E9"/>
    <w:rsid w:val="00E47303"/>
    <w:rsid w:val="00E47310"/>
    <w:rsid w:val="00E47357"/>
    <w:rsid w:val="00E474C1"/>
    <w:rsid w:val="00E475AD"/>
    <w:rsid w:val="00E47A0C"/>
    <w:rsid w:val="00E47A69"/>
    <w:rsid w:val="00E47AE4"/>
    <w:rsid w:val="00E47C3D"/>
    <w:rsid w:val="00E47C74"/>
    <w:rsid w:val="00E47C7B"/>
    <w:rsid w:val="00E47D02"/>
    <w:rsid w:val="00E47E42"/>
    <w:rsid w:val="00E5021F"/>
    <w:rsid w:val="00E502AE"/>
    <w:rsid w:val="00E50301"/>
    <w:rsid w:val="00E503BC"/>
    <w:rsid w:val="00E503C2"/>
    <w:rsid w:val="00E5045A"/>
    <w:rsid w:val="00E50469"/>
    <w:rsid w:val="00E504EB"/>
    <w:rsid w:val="00E504FB"/>
    <w:rsid w:val="00E5072B"/>
    <w:rsid w:val="00E507D7"/>
    <w:rsid w:val="00E509E8"/>
    <w:rsid w:val="00E50A73"/>
    <w:rsid w:val="00E50D0B"/>
    <w:rsid w:val="00E50E3C"/>
    <w:rsid w:val="00E50E60"/>
    <w:rsid w:val="00E50E6D"/>
    <w:rsid w:val="00E51199"/>
    <w:rsid w:val="00E5123D"/>
    <w:rsid w:val="00E51312"/>
    <w:rsid w:val="00E5148D"/>
    <w:rsid w:val="00E514A3"/>
    <w:rsid w:val="00E51509"/>
    <w:rsid w:val="00E515B1"/>
    <w:rsid w:val="00E51672"/>
    <w:rsid w:val="00E516C7"/>
    <w:rsid w:val="00E51844"/>
    <w:rsid w:val="00E51861"/>
    <w:rsid w:val="00E5187C"/>
    <w:rsid w:val="00E51B42"/>
    <w:rsid w:val="00E51C2A"/>
    <w:rsid w:val="00E5212B"/>
    <w:rsid w:val="00E5217A"/>
    <w:rsid w:val="00E52368"/>
    <w:rsid w:val="00E5271A"/>
    <w:rsid w:val="00E52809"/>
    <w:rsid w:val="00E52888"/>
    <w:rsid w:val="00E528D7"/>
    <w:rsid w:val="00E529CB"/>
    <w:rsid w:val="00E52B46"/>
    <w:rsid w:val="00E52BDF"/>
    <w:rsid w:val="00E52C44"/>
    <w:rsid w:val="00E52C4B"/>
    <w:rsid w:val="00E52D45"/>
    <w:rsid w:val="00E52E9B"/>
    <w:rsid w:val="00E5307F"/>
    <w:rsid w:val="00E53094"/>
    <w:rsid w:val="00E5318D"/>
    <w:rsid w:val="00E532CB"/>
    <w:rsid w:val="00E53370"/>
    <w:rsid w:val="00E534BD"/>
    <w:rsid w:val="00E5376C"/>
    <w:rsid w:val="00E5388C"/>
    <w:rsid w:val="00E53B06"/>
    <w:rsid w:val="00E53CBF"/>
    <w:rsid w:val="00E53CDF"/>
    <w:rsid w:val="00E53D75"/>
    <w:rsid w:val="00E53F20"/>
    <w:rsid w:val="00E541F6"/>
    <w:rsid w:val="00E543D7"/>
    <w:rsid w:val="00E544A6"/>
    <w:rsid w:val="00E54605"/>
    <w:rsid w:val="00E5465D"/>
    <w:rsid w:val="00E5488F"/>
    <w:rsid w:val="00E54B66"/>
    <w:rsid w:val="00E54C51"/>
    <w:rsid w:val="00E54DC6"/>
    <w:rsid w:val="00E54E3F"/>
    <w:rsid w:val="00E54F18"/>
    <w:rsid w:val="00E5505B"/>
    <w:rsid w:val="00E55222"/>
    <w:rsid w:val="00E552BB"/>
    <w:rsid w:val="00E553B4"/>
    <w:rsid w:val="00E553E0"/>
    <w:rsid w:val="00E557B5"/>
    <w:rsid w:val="00E55913"/>
    <w:rsid w:val="00E559E0"/>
    <w:rsid w:val="00E55B80"/>
    <w:rsid w:val="00E55DC9"/>
    <w:rsid w:val="00E55DCF"/>
    <w:rsid w:val="00E561DF"/>
    <w:rsid w:val="00E562F8"/>
    <w:rsid w:val="00E5633B"/>
    <w:rsid w:val="00E566C8"/>
    <w:rsid w:val="00E56768"/>
    <w:rsid w:val="00E56823"/>
    <w:rsid w:val="00E569F4"/>
    <w:rsid w:val="00E56A1C"/>
    <w:rsid w:val="00E56AF4"/>
    <w:rsid w:val="00E56D84"/>
    <w:rsid w:val="00E57165"/>
    <w:rsid w:val="00E57193"/>
    <w:rsid w:val="00E571CB"/>
    <w:rsid w:val="00E572C6"/>
    <w:rsid w:val="00E5746B"/>
    <w:rsid w:val="00E575C0"/>
    <w:rsid w:val="00E57659"/>
    <w:rsid w:val="00E57724"/>
    <w:rsid w:val="00E5792B"/>
    <w:rsid w:val="00E57A07"/>
    <w:rsid w:val="00E57C38"/>
    <w:rsid w:val="00E57CD0"/>
    <w:rsid w:val="00E57EDF"/>
    <w:rsid w:val="00E60189"/>
    <w:rsid w:val="00E60310"/>
    <w:rsid w:val="00E604BC"/>
    <w:rsid w:val="00E605C6"/>
    <w:rsid w:val="00E605DA"/>
    <w:rsid w:val="00E60AC2"/>
    <w:rsid w:val="00E60B87"/>
    <w:rsid w:val="00E60BF3"/>
    <w:rsid w:val="00E60D5F"/>
    <w:rsid w:val="00E60E37"/>
    <w:rsid w:val="00E60F31"/>
    <w:rsid w:val="00E60FDD"/>
    <w:rsid w:val="00E610A7"/>
    <w:rsid w:val="00E610BD"/>
    <w:rsid w:val="00E61234"/>
    <w:rsid w:val="00E6146A"/>
    <w:rsid w:val="00E615C2"/>
    <w:rsid w:val="00E6163D"/>
    <w:rsid w:val="00E61675"/>
    <w:rsid w:val="00E616D6"/>
    <w:rsid w:val="00E61765"/>
    <w:rsid w:val="00E61769"/>
    <w:rsid w:val="00E61CA6"/>
    <w:rsid w:val="00E61CE7"/>
    <w:rsid w:val="00E61DBB"/>
    <w:rsid w:val="00E61E6A"/>
    <w:rsid w:val="00E61FFB"/>
    <w:rsid w:val="00E62076"/>
    <w:rsid w:val="00E6210A"/>
    <w:rsid w:val="00E6217C"/>
    <w:rsid w:val="00E622EB"/>
    <w:rsid w:val="00E62308"/>
    <w:rsid w:val="00E62456"/>
    <w:rsid w:val="00E62666"/>
    <w:rsid w:val="00E627F9"/>
    <w:rsid w:val="00E627FE"/>
    <w:rsid w:val="00E62849"/>
    <w:rsid w:val="00E628F0"/>
    <w:rsid w:val="00E6291B"/>
    <w:rsid w:val="00E62A5D"/>
    <w:rsid w:val="00E62BE1"/>
    <w:rsid w:val="00E62C84"/>
    <w:rsid w:val="00E62DB2"/>
    <w:rsid w:val="00E62FA0"/>
    <w:rsid w:val="00E62FD2"/>
    <w:rsid w:val="00E63166"/>
    <w:rsid w:val="00E63194"/>
    <w:rsid w:val="00E6322D"/>
    <w:rsid w:val="00E632B3"/>
    <w:rsid w:val="00E63451"/>
    <w:rsid w:val="00E6346C"/>
    <w:rsid w:val="00E636AC"/>
    <w:rsid w:val="00E63819"/>
    <w:rsid w:val="00E638E6"/>
    <w:rsid w:val="00E639B6"/>
    <w:rsid w:val="00E63A31"/>
    <w:rsid w:val="00E63E7D"/>
    <w:rsid w:val="00E64246"/>
    <w:rsid w:val="00E642DF"/>
    <w:rsid w:val="00E64403"/>
    <w:rsid w:val="00E64446"/>
    <w:rsid w:val="00E646BC"/>
    <w:rsid w:val="00E649F2"/>
    <w:rsid w:val="00E64A06"/>
    <w:rsid w:val="00E64A79"/>
    <w:rsid w:val="00E64CA3"/>
    <w:rsid w:val="00E64D61"/>
    <w:rsid w:val="00E64D83"/>
    <w:rsid w:val="00E64E50"/>
    <w:rsid w:val="00E64EB8"/>
    <w:rsid w:val="00E64F22"/>
    <w:rsid w:val="00E64FE7"/>
    <w:rsid w:val="00E650B3"/>
    <w:rsid w:val="00E65381"/>
    <w:rsid w:val="00E6549D"/>
    <w:rsid w:val="00E655E7"/>
    <w:rsid w:val="00E656BB"/>
    <w:rsid w:val="00E656E6"/>
    <w:rsid w:val="00E657BA"/>
    <w:rsid w:val="00E6595B"/>
    <w:rsid w:val="00E65AD2"/>
    <w:rsid w:val="00E65B63"/>
    <w:rsid w:val="00E65BAD"/>
    <w:rsid w:val="00E65E26"/>
    <w:rsid w:val="00E65F96"/>
    <w:rsid w:val="00E660FB"/>
    <w:rsid w:val="00E66119"/>
    <w:rsid w:val="00E661F0"/>
    <w:rsid w:val="00E6622F"/>
    <w:rsid w:val="00E66297"/>
    <w:rsid w:val="00E6647E"/>
    <w:rsid w:val="00E664F9"/>
    <w:rsid w:val="00E665C4"/>
    <w:rsid w:val="00E665EC"/>
    <w:rsid w:val="00E667BE"/>
    <w:rsid w:val="00E668AB"/>
    <w:rsid w:val="00E66910"/>
    <w:rsid w:val="00E66983"/>
    <w:rsid w:val="00E669FA"/>
    <w:rsid w:val="00E66A79"/>
    <w:rsid w:val="00E66B61"/>
    <w:rsid w:val="00E66C79"/>
    <w:rsid w:val="00E66EC1"/>
    <w:rsid w:val="00E67191"/>
    <w:rsid w:val="00E6747A"/>
    <w:rsid w:val="00E674D9"/>
    <w:rsid w:val="00E67618"/>
    <w:rsid w:val="00E67737"/>
    <w:rsid w:val="00E677F7"/>
    <w:rsid w:val="00E679EE"/>
    <w:rsid w:val="00E679F5"/>
    <w:rsid w:val="00E67ADC"/>
    <w:rsid w:val="00E67C72"/>
    <w:rsid w:val="00E70185"/>
    <w:rsid w:val="00E70196"/>
    <w:rsid w:val="00E701B9"/>
    <w:rsid w:val="00E70236"/>
    <w:rsid w:val="00E70373"/>
    <w:rsid w:val="00E703E9"/>
    <w:rsid w:val="00E70465"/>
    <w:rsid w:val="00E70569"/>
    <w:rsid w:val="00E7075E"/>
    <w:rsid w:val="00E70798"/>
    <w:rsid w:val="00E707C4"/>
    <w:rsid w:val="00E707DE"/>
    <w:rsid w:val="00E709F7"/>
    <w:rsid w:val="00E709F9"/>
    <w:rsid w:val="00E70A5C"/>
    <w:rsid w:val="00E70B5F"/>
    <w:rsid w:val="00E70C3A"/>
    <w:rsid w:val="00E70C6A"/>
    <w:rsid w:val="00E70D26"/>
    <w:rsid w:val="00E70D33"/>
    <w:rsid w:val="00E70DB2"/>
    <w:rsid w:val="00E70E1E"/>
    <w:rsid w:val="00E70E3A"/>
    <w:rsid w:val="00E70F05"/>
    <w:rsid w:val="00E70FDE"/>
    <w:rsid w:val="00E71024"/>
    <w:rsid w:val="00E711DB"/>
    <w:rsid w:val="00E7120A"/>
    <w:rsid w:val="00E7145A"/>
    <w:rsid w:val="00E7162B"/>
    <w:rsid w:val="00E71871"/>
    <w:rsid w:val="00E71AFC"/>
    <w:rsid w:val="00E71C0B"/>
    <w:rsid w:val="00E722EB"/>
    <w:rsid w:val="00E723F3"/>
    <w:rsid w:val="00E726F5"/>
    <w:rsid w:val="00E727E1"/>
    <w:rsid w:val="00E728F9"/>
    <w:rsid w:val="00E72933"/>
    <w:rsid w:val="00E72B51"/>
    <w:rsid w:val="00E72B55"/>
    <w:rsid w:val="00E72B85"/>
    <w:rsid w:val="00E72BD1"/>
    <w:rsid w:val="00E72CA4"/>
    <w:rsid w:val="00E72EDA"/>
    <w:rsid w:val="00E72F43"/>
    <w:rsid w:val="00E72FBE"/>
    <w:rsid w:val="00E73009"/>
    <w:rsid w:val="00E7304A"/>
    <w:rsid w:val="00E73097"/>
    <w:rsid w:val="00E730DF"/>
    <w:rsid w:val="00E7315E"/>
    <w:rsid w:val="00E73255"/>
    <w:rsid w:val="00E732CD"/>
    <w:rsid w:val="00E73331"/>
    <w:rsid w:val="00E73356"/>
    <w:rsid w:val="00E73361"/>
    <w:rsid w:val="00E73379"/>
    <w:rsid w:val="00E73401"/>
    <w:rsid w:val="00E734CC"/>
    <w:rsid w:val="00E7376E"/>
    <w:rsid w:val="00E7379A"/>
    <w:rsid w:val="00E73A09"/>
    <w:rsid w:val="00E73B9A"/>
    <w:rsid w:val="00E73C56"/>
    <w:rsid w:val="00E73DB2"/>
    <w:rsid w:val="00E73DF6"/>
    <w:rsid w:val="00E73FBC"/>
    <w:rsid w:val="00E740E9"/>
    <w:rsid w:val="00E742F0"/>
    <w:rsid w:val="00E7433F"/>
    <w:rsid w:val="00E744A2"/>
    <w:rsid w:val="00E745C6"/>
    <w:rsid w:val="00E74822"/>
    <w:rsid w:val="00E7484D"/>
    <w:rsid w:val="00E74CCD"/>
    <w:rsid w:val="00E74D54"/>
    <w:rsid w:val="00E74D7A"/>
    <w:rsid w:val="00E74DA8"/>
    <w:rsid w:val="00E74E07"/>
    <w:rsid w:val="00E74EB5"/>
    <w:rsid w:val="00E74F5A"/>
    <w:rsid w:val="00E7502C"/>
    <w:rsid w:val="00E75166"/>
    <w:rsid w:val="00E751F4"/>
    <w:rsid w:val="00E752AD"/>
    <w:rsid w:val="00E7541B"/>
    <w:rsid w:val="00E75646"/>
    <w:rsid w:val="00E756ED"/>
    <w:rsid w:val="00E75A01"/>
    <w:rsid w:val="00E75BD8"/>
    <w:rsid w:val="00E75BE9"/>
    <w:rsid w:val="00E75C1F"/>
    <w:rsid w:val="00E75C85"/>
    <w:rsid w:val="00E75D03"/>
    <w:rsid w:val="00E75D37"/>
    <w:rsid w:val="00E75D77"/>
    <w:rsid w:val="00E75E05"/>
    <w:rsid w:val="00E75F64"/>
    <w:rsid w:val="00E76237"/>
    <w:rsid w:val="00E763E6"/>
    <w:rsid w:val="00E76889"/>
    <w:rsid w:val="00E76949"/>
    <w:rsid w:val="00E76973"/>
    <w:rsid w:val="00E7699A"/>
    <w:rsid w:val="00E76B15"/>
    <w:rsid w:val="00E76C74"/>
    <w:rsid w:val="00E76E0F"/>
    <w:rsid w:val="00E7741F"/>
    <w:rsid w:val="00E7764B"/>
    <w:rsid w:val="00E77658"/>
    <w:rsid w:val="00E7780C"/>
    <w:rsid w:val="00E7781F"/>
    <w:rsid w:val="00E7789F"/>
    <w:rsid w:val="00E77925"/>
    <w:rsid w:val="00E77935"/>
    <w:rsid w:val="00E77A6D"/>
    <w:rsid w:val="00E77AD9"/>
    <w:rsid w:val="00E77C7F"/>
    <w:rsid w:val="00E77C92"/>
    <w:rsid w:val="00E77DD9"/>
    <w:rsid w:val="00E77F06"/>
    <w:rsid w:val="00E77F88"/>
    <w:rsid w:val="00E77FE5"/>
    <w:rsid w:val="00E8007F"/>
    <w:rsid w:val="00E801C9"/>
    <w:rsid w:val="00E803A7"/>
    <w:rsid w:val="00E80470"/>
    <w:rsid w:val="00E80477"/>
    <w:rsid w:val="00E805C8"/>
    <w:rsid w:val="00E805CA"/>
    <w:rsid w:val="00E806AD"/>
    <w:rsid w:val="00E808DD"/>
    <w:rsid w:val="00E809AE"/>
    <w:rsid w:val="00E809F6"/>
    <w:rsid w:val="00E80A38"/>
    <w:rsid w:val="00E80E2C"/>
    <w:rsid w:val="00E80F15"/>
    <w:rsid w:val="00E8106F"/>
    <w:rsid w:val="00E81080"/>
    <w:rsid w:val="00E811E2"/>
    <w:rsid w:val="00E81409"/>
    <w:rsid w:val="00E81450"/>
    <w:rsid w:val="00E8168B"/>
    <w:rsid w:val="00E81745"/>
    <w:rsid w:val="00E8190C"/>
    <w:rsid w:val="00E81952"/>
    <w:rsid w:val="00E819DC"/>
    <w:rsid w:val="00E81DC0"/>
    <w:rsid w:val="00E81E9A"/>
    <w:rsid w:val="00E81F49"/>
    <w:rsid w:val="00E8232A"/>
    <w:rsid w:val="00E8249C"/>
    <w:rsid w:val="00E8252A"/>
    <w:rsid w:val="00E82612"/>
    <w:rsid w:val="00E8262A"/>
    <w:rsid w:val="00E826B0"/>
    <w:rsid w:val="00E8291D"/>
    <w:rsid w:val="00E82A4A"/>
    <w:rsid w:val="00E82AB9"/>
    <w:rsid w:val="00E82CCB"/>
    <w:rsid w:val="00E82E6A"/>
    <w:rsid w:val="00E82EB8"/>
    <w:rsid w:val="00E82EF8"/>
    <w:rsid w:val="00E830AD"/>
    <w:rsid w:val="00E8324E"/>
    <w:rsid w:val="00E83308"/>
    <w:rsid w:val="00E8339E"/>
    <w:rsid w:val="00E8349B"/>
    <w:rsid w:val="00E83899"/>
    <w:rsid w:val="00E83940"/>
    <w:rsid w:val="00E83A02"/>
    <w:rsid w:val="00E83A05"/>
    <w:rsid w:val="00E83DE7"/>
    <w:rsid w:val="00E83E60"/>
    <w:rsid w:val="00E83E83"/>
    <w:rsid w:val="00E83FDA"/>
    <w:rsid w:val="00E84192"/>
    <w:rsid w:val="00E842AD"/>
    <w:rsid w:val="00E842C5"/>
    <w:rsid w:val="00E842CB"/>
    <w:rsid w:val="00E844E7"/>
    <w:rsid w:val="00E8462E"/>
    <w:rsid w:val="00E8476F"/>
    <w:rsid w:val="00E848FD"/>
    <w:rsid w:val="00E849B0"/>
    <w:rsid w:val="00E84C1A"/>
    <w:rsid w:val="00E84CCE"/>
    <w:rsid w:val="00E84E75"/>
    <w:rsid w:val="00E84EC4"/>
    <w:rsid w:val="00E84EFB"/>
    <w:rsid w:val="00E851BF"/>
    <w:rsid w:val="00E8534C"/>
    <w:rsid w:val="00E85381"/>
    <w:rsid w:val="00E853C3"/>
    <w:rsid w:val="00E854B7"/>
    <w:rsid w:val="00E8550E"/>
    <w:rsid w:val="00E85587"/>
    <w:rsid w:val="00E855E7"/>
    <w:rsid w:val="00E85948"/>
    <w:rsid w:val="00E85A30"/>
    <w:rsid w:val="00E85B22"/>
    <w:rsid w:val="00E85BF0"/>
    <w:rsid w:val="00E85E7B"/>
    <w:rsid w:val="00E85E8E"/>
    <w:rsid w:val="00E85F5B"/>
    <w:rsid w:val="00E85FF7"/>
    <w:rsid w:val="00E862FC"/>
    <w:rsid w:val="00E86597"/>
    <w:rsid w:val="00E865F3"/>
    <w:rsid w:val="00E86659"/>
    <w:rsid w:val="00E866E1"/>
    <w:rsid w:val="00E86748"/>
    <w:rsid w:val="00E867CE"/>
    <w:rsid w:val="00E868DD"/>
    <w:rsid w:val="00E86B9D"/>
    <w:rsid w:val="00E86C3A"/>
    <w:rsid w:val="00E86CA8"/>
    <w:rsid w:val="00E86CDF"/>
    <w:rsid w:val="00E86D9B"/>
    <w:rsid w:val="00E86F08"/>
    <w:rsid w:val="00E86F4E"/>
    <w:rsid w:val="00E86F7A"/>
    <w:rsid w:val="00E870DC"/>
    <w:rsid w:val="00E870FC"/>
    <w:rsid w:val="00E872EC"/>
    <w:rsid w:val="00E873C7"/>
    <w:rsid w:val="00E8758C"/>
    <w:rsid w:val="00E876CE"/>
    <w:rsid w:val="00E876D1"/>
    <w:rsid w:val="00E87724"/>
    <w:rsid w:val="00E8781E"/>
    <w:rsid w:val="00E8791C"/>
    <w:rsid w:val="00E87973"/>
    <w:rsid w:val="00E87A50"/>
    <w:rsid w:val="00E87AA5"/>
    <w:rsid w:val="00E87AC4"/>
    <w:rsid w:val="00E87DB2"/>
    <w:rsid w:val="00E87E4C"/>
    <w:rsid w:val="00E87F09"/>
    <w:rsid w:val="00E87F11"/>
    <w:rsid w:val="00E9002B"/>
    <w:rsid w:val="00E90399"/>
    <w:rsid w:val="00E9050D"/>
    <w:rsid w:val="00E90537"/>
    <w:rsid w:val="00E905F1"/>
    <w:rsid w:val="00E9088D"/>
    <w:rsid w:val="00E908EA"/>
    <w:rsid w:val="00E90958"/>
    <w:rsid w:val="00E90AF8"/>
    <w:rsid w:val="00E90BF3"/>
    <w:rsid w:val="00E90DFB"/>
    <w:rsid w:val="00E91000"/>
    <w:rsid w:val="00E91048"/>
    <w:rsid w:val="00E91164"/>
    <w:rsid w:val="00E91189"/>
    <w:rsid w:val="00E911CD"/>
    <w:rsid w:val="00E9131D"/>
    <w:rsid w:val="00E91420"/>
    <w:rsid w:val="00E91509"/>
    <w:rsid w:val="00E91684"/>
    <w:rsid w:val="00E9178A"/>
    <w:rsid w:val="00E91796"/>
    <w:rsid w:val="00E917A3"/>
    <w:rsid w:val="00E9181C"/>
    <w:rsid w:val="00E918D5"/>
    <w:rsid w:val="00E91905"/>
    <w:rsid w:val="00E91967"/>
    <w:rsid w:val="00E91AAF"/>
    <w:rsid w:val="00E91AC9"/>
    <w:rsid w:val="00E91C1F"/>
    <w:rsid w:val="00E91E93"/>
    <w:rsid w:val="00E91F27"/>
    <w:rsid w:val="00E91FBA"/>
    <w:rsid w:val="00E91FE9"/>
    <w:rsid w:val="00E92006"/>
    <w:rsid w:val="00E92045"/>
    <w:rsid w:val="00E92070"/>
    <w:rsid w:val="00E920E5"/>
    <w:rsid w:val="00E92275"/>
    <w:rsid w:val="00E92277"/>
    <w:rsid w:val="00E92346"/>
    <w:rsid w:val="00E92575"/>
    <w:rsid w:val="00E9268D"/>
    <w:rsid w:val="00E9269F"/>
    <w:rsid w:val="00E92760"/>
    <w:rsid w:val="00E927D6"/>
    <w:rsid w:val="00E927DA"/>
    <w:rsid w:val="00E9299D"/>
    <w:rsid w:val="00E929D4"/>
    <w:rsid w:val="00E92A51"/>
    <w:rsid w:val="00E92C51"/>
    <w:rsid w:val="00E92CC9"/>
    <w:rsid w:val="00E92F39"/>
    <w:rsid w:val="00E92F49"/>
    <w:rsid w:val="00E92FF0"/>
    <w:rsid w:val="00E93077"/>
    <w:rsid w:val="00E93220"/>
    <w:rsid w:val="00E93325"/>
    <w:rsid w:val="00E9352E"/>
    <w:rsid w:val="00E935E1"/>
    <w:rsid w:val="00E936E8"/>
    <w:rsid w:val="00E937A6"/>
    <w:rsid w:val="00E937E3"/>
    <w:rsid w:val="00E93962"/>
    <w:rsid w:val="00E93A98"/>
    <w:rsid w:val="00E93CA5"/>
    <w:rsid w:val="00E93E96"/>
    <w:rsid w:val="00E93E9E"/>
    <w:rsid w:val="00E93EC3"/>
    <w:rsid w:val="00E93F5C"/>
    <w:rsid w:val="00E9406D"/>
    <w:rsid w:val="00E94149"/>
    <w:rsid w:val="00E942DC"/>
    <w:rsid w:val="00E94453"/>
    <w:rsid w:val="00E9455C"/>
    <w:rsid w:val="00E94646"/>
    <w:rsid w:val="00E94859"/>
    <w:rsid w:val="00E94A2B"/>
    <w:rsid w:val="00E94B2D"/>
    <w:rsid w:val="00E94CB7"/>
    <w:rsid w:val="00E94D34"/>
    <w:rsid w:val="00E94D67"/>
    <w:rsid w:val="00E94DD3"/>
    <w:rsid w:val="00E94F14"/>
    <w:rsid w:val="00E94F4A"/>
    <w:rsid w:val="00E9514A"/>
    <w:rsid w:val="00E951DC"/>
    <w:rsid w:val="00E95214"/>
    <w:rsid w:val="00E95224"/>
    <w:rsid w:val="00E9533F"/>
    <w:rsid w:val="00E95368"/>
    <w:rsid w:val="00E95691"/>
    <w:rsid w:val="00E95726"/>
    <w:rsid w:val="00E95898"/>
    <w:rsid w:val="00E958B6"/>
    <w:rsid w:val="00E95A09"/>
    <w:rsid w:val="00E95BD5"/>
    <w:rsid w:val="00E95CB4"/>
    <w:rsid w:val="00E95D0E"/>
    <w:rsid w:val="00E95D3A"/>
    <w:rsid w:val="00E95F8A"/>
    <w:rsid w:val="00E95FBC"/>
    <w:rsid w:val="00E95FE4"/>
    <w:rsid w:val="00E96098"/>
    <w:rsid w:val="00E96112"/>
    <w:rsid w:val="00E9611E"/>
    <w:rsid w:val="00E96758"/>
    <w:rsid w:val="00E96892"/>
    <w:rsid w:val="00E969F7"/>
    <w:rsid w:val="00E96D3B"/>
    <w:rsid w:val="00E96F47"/>
    <w:rsid w:val="00E96F55"/>
    <w:rsid w:val="00E96FC8"/>
    <w:rsid w:val="00E970D4"/>
    <w:rsid w:val="00E972B7"/>
    <w:rsid w:val="00E972D2"/>
    <w:rsid w:val="00E9734D"/>
    <w:rsid w:val="00E97373"/>
    <w:rsid w:val="00E9740A"/>
    <w:rsid w:val="00E97536"/>
    <w:rsid w:val="00E97562"/>
    <w:rsid w:val="00E9770B"/>
    <w:rsid w:val="00E97812"/>
    <w:rsid w:val="00E978AB"/>
    <w:rsid w:val="00E9795C"/>
    <w:rsid w:val="00E97B31"/>
    <w:rsid w:val="00E97BCC"/>
    <w:rsid w:val="00E97D62"/>
    <w:rsid w:val="00E97E9E"/>
    <w:rsid w:val="00E97F68"/>
    <w:rsid w:val="00EA0047"/>
    <w:rsid w:val="00EA00C6"/>
    <w:rsid w:val="00EA01CA"/>
    <w:rsid w:val="00EA0324"/>
    <w:rsid w:val="00EA03D6"/>
    <w:rsid w:val="00EA0499"/>
    <w:rsid w:val="00EA0540"/>
    <w:rsid w:val="00EA05D1"/>
    <w:rsid w:val="00EA07A3"/>
    <w:rsid w:val="00EA0961"/>
    <w:rsid w:val="00EA09EE"/>
    <w:rsid w:val="00EA0BD5"/>
    <w:rsid w:val="00EA0F2B"/>
    <w:rsid w:val="00EA0FC0"/>
    <w:rsid w:val="00EA10C1"/>
    <w:rsid w:val="00EA1132"/>
    <w:rsid w:val="00EA125A"/>
    <w:rsid w:val="00EA13B4"/>
    <w:rsid w:val="00EA156C"/>
    <w:rsid w:val="00EA1577"/>
    <w:rsid w:val="00EA15FA"/>
    <w:rsid w:val="00EA1796"/>
    <w:rsid w:val="00EA179B"/>
    <w:rsid w:val="00EA180E"/>
    <w:rsid w:val="00EA1821"/>
    <w:rsid w:val="00EA1992"/>
    <w:rsid w:val="00EA19D2"/>
    <w:rsid w:val="00EA19FB"/>
    <w:rsid w:val="00EA1A08"/>
    <w:rsid w:val="00EA1A1F"/>
    <w:rsid w:val="00EA1A2D"/>
    <w:rsid w:val="00EA1A74"/>
    <w:rsid w:val="00EA1AE8"/>
    <w:rsid w:val="00EA1AF3"/>
    <w:rsid w:val="00EA1BAA"/>
    <w:rsid w:val="00EA1BFF"/>
    <w:rsid w:val="00EA1C08"/>
    <w:rsid w:val="00EA1F4B"/>
    <w:rsid w:val="00EA21F0"/>
    <w:rsid w:val="00EA23F3"/>
    <w:rsid w:val="00EA2406"/>
    <w:rsid w:val="00EA246E"/>
    <w:rsid w:val="00EA249A"/>
    <w:rsid w:val="00EA26EF"/>
    <w:rsid w:val="00EA27ED"/>
    <w:rsid w:val="00EA28E9"/>
    <w:rsid w:val="00EA2979"/>
    <w:rsid w:val="00EA2A3A"/>
    <w:rsid w:val="00EA2B80"/>
    <w:rsid w:val="00EA2B92"/>
    <w:rsid w:val="00EA2C87"/>
    <w:rsid w:val="00EA2D18"/>
    <w:rsid w:val="00EA2D59"/>
    <w:rsid w:val="00EA2D7D"/>
    <w:rsid w:val="00EA2D9B"/>
    <w:rsid w:val="00EA2EAE"/>
    <w:rsid w:val="00EA2F45"/>
    <w:rsid w:val="00EA2FF1"/>
    <w:rsid w:val="00EA3043"/>
    <w:rsid w:val="00EA319C"/>
    <w:rsid w:val="00EA3271"/>
    <w:rsid w:val="00EA336D"/>
    <w:rsid w:val="00EA33F0"/>
    <w:rsid w:val="00EA350E"/>
    <w:rsid w:val="00EA36E5"/>
    <w:rsid w:val="00EA3833"/>
    <w:rsid w:val="00EA39E6"/>
    <w:rsid w:val="00EA3A54"/>
    <w:rsid w:val="00EA3A9F"/>
    <w:rsid w:val="00EA3ABD"/>
    <w:rsid w:val="00EA3B19"/>
    <w:rsid w:val="00EA3DFF"/>
    <w:rsid w:val="00EA3F69"/>
    <w:rsid w:val="00EA403D"/>
    <w:rsid w:val="00EA4057"/>
    <w:rsid w:val="00EA40FD"/>
    <w:rsid w:val="00EA412C"/>
    <w:rsid w:val="00EA416B"/>
    <w:rsid w:val="00EA4216"/>
    <w:rsid w:val="00EA4274"/>
    <w:rsid w:val="00EA4276"/>
    <w:rsid w:val="00EA42A5"/>
    <w:rsid w:val="00EA43C5"/>
    <w:rsid w:val="00EA43E2"/>
    <w:rsid w:val="00EA440C"/>
    <w:rsid w:val="00EA44CD"/>
    <w:rsid w:val="00EA44FB"/>
    <w:rsid w:val="00EA458B"/>
    <w:rsid w:val="00EA4697"/>
    <w:rsid w:val="00EA46C4"/>
    <w:rsid w:val="00EA47FF"/>
    <w:rsid w:val="00EA48A8"/>
    <w:rsid w:val="00EA4901"/>
    <w:rsid w:val="00EA49BD"/>
    <w:rsid w:val="00EA49BE"/>
    <w:rsid w:val="00EA49D5"/>
    <w:rsid w:val="00EA4BAE"/>
    <w:rsid w:val="00EA4D8D"/>
    <w:rsid w:val="00EA4E87"/>
    <w:rsid w:val="00EA4ED1"/>
    <w:rsid w:val="00EA4F58"/>
    <w:rsid w:val="00EA4FC9"/>
    <w:rsid w:val="00EA57A0"/>
    <w:rsid w:val="00EA5913"/>
    <w:rsid w:val="00EA59A8"/>
    <w:rsid w:val="00EA59D8"/>
    <w:rsid w:val="00EA5B1A"/>
    <w:rsid w:val="00EA5CFF"/>
    <w:rsid w:val="00EA5DB8"/>
    <w:rsid w:val="00EA5E5B"/>
    <w:rsid w:val="00EA5ECA"/>
    <w:rsid w:val="00EA5FBC"/>
    <w:rsid w:val="00EA6378"/>
    <w:rsid w:val="00EA64EB"/>
    <w:rsid w:val="00EA665C"/>
    <w:rsid w:val="00EA6664"/>
    <w:rsid w:val="00EA67BD"/>
    <w:rsid w:val="00EA6810"/>
    <w:rsid w:val="00EA6CAC"/>
    <w:rsid w:val="00EA6CB9"/>
    <w:rsid w:val="00EA6FAF"/>
    <w:rsid w:val="00EA717F"/>
    <w:rsid w:val="00EA728C"/>
    <w:rsid w:val="00EA7314"/>
    <w:rsid w:val="00EA7363"/>
    <w:rsid w:val="00EA73B3"/>
    <w:rsid w:val="00EA7431"/>
    <w:rsid w:val="00EA761E"/>
    <w:rsid w:val="00EA76E0"/>
    <w:rsid w:val="00EA7864"/>
    <w:rsid w:val="00EA7877"/>
    <w:rsid w:val="00EA78C8"/>
    <w:rsid w:val="00EA79BF"/>
    <w:rsid w:val="00EA7A65"/>
    <w:rsid w:val="00EA7D2B"/>
    <w:rsid w:val="00EAEAB9"/>
    <w:rsid w:val="00EB016F"/>
    <w:rsid w:val="00EB018F"/>
    <w:rsid w:val="00EB042B"/>
    <w:rsid w:val="00EB0581"/>
    <w:rsid w:val="00EB05CE"/>
    <w:rsid w:val="00EB0631"/>
    <w:rsid w:val="00EB06EB"/>
    <w:rsid w:val="00EB08C3"/>
    <w:rsid w:val="00EB0956"/>
    <w:rsid w:val="00EB0962"/>
    <w:rsid w:val="00EB0BA1"/>
    <w:rsid w:val="00EB0E98"/>
    <w:rsid w:val="00EB103B"/>
    <w:rsid w:val="00EB1166"/>
    <w:rsid w:val="00EB1608"/>
    <w:rsid w:val="00EB1710"/>
    <w:rsid w:val="00EB172F"/>
    <w:rsid w:val="00EB18AA"/>
    <w:rsid w:val="00EB18DE"/>
    <w:rsid w:val="00EB1AD7"/>
    <w:rsid w:val="00EB1B05"/>
    <w:rsid w:val="00EB1D9F"/>
    <w:rsid w:val="00EB1DE0"/>
    <w:rsid w:val="00EB1DF8"/>
    <w:rsid w:val="00EB1F3E"/>
    <w:rsid w:val="00EB1FA4"/>
    <w:rsid w:val="00EB1FE0"/>
    <w:rsid w:val="00EB204F"/>
    <w:rsid w:val="00EB2327"/>
    <w:rsid w:val="00EB234E"/>
    <w:rsid w:val="00EB2615"/>
    <w:rsid w:val="00EB2684"/>
    <w:rsid w:val="00EB28A0"/>
    <w:rsid w:val="00EB29CA"/>
    <w:rsid w:val="00EB2A19"/>
    <w:rsid w:val="00EB2AB1"/>
    <w:rsid w:val="00EB2BAD"/>
    <w:rsid w:val="00EB2CFA"/>
    <w:rsid w:val="00EB2D85"/>
    <w:rsid w:val="00EB2D8C"/>
    <w:rsid w:val="00EB2F2E"/>
    <w:rsid w:val="00EB2F4F"/>
    <w:rsid w:val="00EB2FF3"/>
    <w:rsid w:val="00EB3215"/>
    <w:rsid w:val="00EB34C7"/>
    <w:rsid w:val="00EB3688"/>
    <w:rsid w:val="00EB36D5"/>
    <w:rsid w:val="00EB3772"/>
    <w:rsid w:val="00EB3DED"/>
    <w:rsid w:val="00EB3FB4"/>
    <w:rsid w:val="00EB403B"/>
    <w:rsid w:val="00EB4087"/>
    <w:rsid w:val="00EB4108"/>
    <w:rsid w:val="00EB417C"/>
    <w:rsid w:val="00EB41C2"/>
    <w:rsid w:val="00EB42C3"/>
    <w:rsid w:val="00EB42E8"/>
    <w:rsid w:val="00EB452C"/>
    <w:rsid w:val="00EB45C4"/>
    <w:rsid w:val="00EB4607"/>
    <w:rsid w:val="00EB478E"/>
    <w:rsid w:val="00EB491C"/>
    <w:rsid w:val="00EB4952"/>
    <w:rsid w:val="00EB4B1D"/>
    <w:rsid w:val="00EB4B3A"/>
    <w:rsid w:val="00EB4B75"/>
    <w:rsid w:val="00EB4D7C"/>
    <w:rsid w:val="00EB4D9B"/>
    <w:rsid w:val="00EB4DD7"/>
    <w:rsid w:val="00EB4E6B"/>
    <w:rsid w:val="00EB52FC"/>
    <w:rsid w:val="00EB53EE"/>
    <w:rsid w:val="00EB54A8"/>
    <w:rsid w:val="00EB565A"/>
    <w:rsid w:val="00EB5749"/>
    <w:rsid w:val="00EB5A1D"/>
    <w:rsid w:val="00EB5D11"/>
    <w:rsid w:val="00EB5D8C"/>
    <w:rsid w:val="00EB5E9C"/>
    <w:rsid w:val="00EB618D"/>
    <w:rsid w:val="00EB6376"/>
    <w:rsid w:val="00EB640B"/>
    <w:rsid w:val="00EB640D"/>
    <w:rsid w:val="00EB640E"/>
    <w:rsid w:val="00EB6471"/>
    <w:rsid w:val="00EB661A"/>
    <w:rsid w:val="00EB665A"/>
    <w:rsid w:val="00EB670A"/>
    <w:rsid w:val="00EB6772"/>
    <w:rsid w:val="00EB6799"/>
    <w:rsid w:val="00EB67B9"/>
    <w:rsid w:val="00EB685C"/>
    <w:rsid w:val="00EB69F9"/>
    <w:rsid w:val="00EB6A7A"/>
    <w:rsid w:val="00EB6B50"/>
    <w:rsid w:val="00EB6C2A"/>
    <w:rsid w:val="00EB6D8D"/>
    <w:rsid w:val="00EB6EA9"/>
    <w:rsid w:val="00EB703A"/>
    <w:rsid w:val="00EB72E6"/>
    <w:rsid w:val="00EB7560"/>
    <w:rsid w:val="00EB78C7"/>
    <w:rsid w:val="00EB79B8"/>
    <w:rsid w:val="00EB79DD"/>
    <w:rsid w:val="00EB79FC"/>
    <w:rsid w:val="00EB7A50"/>
    <w:rsid w:val="00EB7A8C"/>
    <w:rsid w:val="00EB7AD2"/>
    <w:rsid w:val="00EB7C86"/>
    <w:rsid w:val="00EB7D5B"/>
    <w:rsid w:val="00EB7E5B"/>
    <w:rsid w:val="00EC001E"/>
    <w:rsid w:val="00EC0066"/>
    <w:rsid w:val="00EC00B4"/>
    <w:rsid w:val="00EC0151"/>
    <w:rsid w:val="00EC0153"/>
    <w:rsid w:val="00EC0174"/>
    <w:rsid w:val="00EC034B"/>
    <w:rsid w:val="00EC03DA"/>
    <w:rsid w:val="00EC047D"/>
    <w:rsid w:val="00EC0571"/>
    <w:rsid w:val="00EC05D8"/>
    <w:rsid w:val="00EC05FA"/>
    <w:rsid w:val="00EC0608"/>
    <w:rsid w:val="00EC0731"/>
    <w:rsid w:val="00EC07B8"/>
    <w:rsid w:val="00EC0823"/>
    <w:rsid w:val="00EC0A24"/>
    <w:rsid w:val="00EC0A86"/>
    <w:rsid w:val="00EC0AE7"/>
    <w:rsid w:val="00EC0D67"/>
    <w:rsid w:val="00EC0D75"/>
    <w:rsid w:val="00EC0DA7"/>
    <w:rsid w:val="00EC0EBA"/>
    <w:rsid w:val="00EC0F44"/>
    <w:rsid w:val="00EC10F6"/>
    <w:rsid w:val="00EC1275"/>
    <w:rsid w:val="00EC12A9"/>
    <w:rsid w:val="00EC12C6"/>
    <w:rsid w:val="00EC12E4"/>
    <w:rsid w:val="00EC13A5"/>
    <w:rsid w:val="00EC1672"/>
    <w:rsid w:val="00EC17C3"/>
    <w:rsid w:val="00EC17C5"/>
    <w:rsid w:val="00EC18E7"/>
    <w:rsid w:val="00EC1A9E"/>
    <w:rsid w:val="00EC1B10"/>
    <w:rsid w:val="00EC1D4F"/>
    <w:rsid w:val="00EC1E88"/>
    <w:rsid w:val="00EC1EB9"/>
    <w:rsid w:val="00EC1ED7"/>
    <w:rsid w:val="00EC1F73"/>
    <w:rsid w:val="00EC24D5"/>
    <w:rsid w:val="00EC25C9"/>
    <w:rsid w:val="00EC284A"/>
    <w:rsid w:val="00EC285C"/>
    <w:rsid w:val="00EC2919"/>
    <w:rsid w:val="00EC29C2"/>
    <w:rsid w:val="00EC2BFD"/>
    <w:rsid w:val="00EC2C6D"/>
    <w:rsid w:val="00EC2D22"/>
    <w:rsid w:val="00EC2DB6"/>
    <w:rsid w:val="00EC2DE1"/>
    <w:rsid w:val="00EC2FD4"/>
    <w:rsid w:val="00EC3087"/>
    <w:rsid w:val="00EC30C9"/>
    <w:rsid w:val="00EC3199"/>
    <w:rsid w:val="00EC31EB"/>
    <w:rsid w:val="00EC321A"/>
    <w:rsid w:val="00EC325D"/>
    <w:rsid w:val="00EC3341"/>
    <w:rsid w:val="00EC334D"/>
    <w:rsid w:val="00EC33A9"/>
    <w:rsid w:val="00EC33B8"/>
    <w:rsid w:val="00EC347F"/>
    <w:rsid w:val="00EC36BE"/>
    <w:rsid w:val="00EC38A5"/>
    <w:rsid w:val="00EC394C"/>
    <w:rsid w:val="00EC39B5"/>
    <w:rsid w:val="00EC39D9"/>
    <w:rsid w:val="00EC3AC8"/>
    <w:rsid w:val="00EC3ACC"/>
    <w:rsid w:val="00EC3B90"/>
    <w:rsid w:val="00EC3FA5"/>
    <w:rsid w:val="00EC413D"/>
    <w:rsid w:val="00EC4167"/>
    <w:rsid w:val="00EC4279"/>
    <w:rsid w:val="00EC44AE"/>
    <w:rsid w:val="00EC44F1"/>
    <w:rsid w:val="00EC4553"/>
    <w:rsid w:val="00EC459D"/>
    <w:rsid w:val="00EC45DA"/>
    <w:rsid w:val="00EC4654"/>
    <w:rsid w:val="00EC46F9"/>
    <w:rsid w:val="00EC4923"/>
    <w:rsid w:val="00EC4984"/>
    <w:rsid w:val="00EC4B13"/>
    <w:rsid w:val="00EC4CCA"/>
    <w:rsid w:val="00EC4D9B"/>
    <w:rsid w:val="00EC4E10"/>
    <w:rsid w:val="00EC506E"/>
    <w:rsid w:val="00EC5085"/>
    <w:rsid w:val="00EC52AF"/>
    <w:rsid w:val="00EC5311"/>
    <w:rsid w:val="00EC5395"/>
    <w:rsid w:val="00EC54C7"/>
    <w:rsid w:val="00EC567D"/>
    <w:rsid w:val="00EC573A"/>
    <w:rsid w:val="00EC57C9"/>
    <w:rsid w:val="00EC5884"/>
    <w:rsid w:val="00EC5992"/>
    <w:rsid w:val="00EC5A5D"/>
    <w:rsid w:val="00EC5BE3"/>
    <w:rsid w:val="00EC5C7D"/>
    <w:rsid w:val="00EC5ECD"/>
    <w:rsid w:val="00EC6239"/>
    <w:rsid w:val="00EC6253"/>
    <w:rsid w:val="00EC63B4"/>
    <w:rsid w:val="00EC6566"/>
    <w:rsid w:val="00EC659C"/>
    <w:rsid w:val="00EC65FE"/>
    <w:rsid w:val="00EC680B"/>
    <w:rsid w:val="00EC6864"/>
    <w:rsid w:val="00EC6920"/>
    <w:rsid w:val="00EC6953"/>
    <w:rsid w:val="00EC6AD0"/>
    <w:rsid w:val="00EC6B2B"/>
    <w:rsid w:val="00EC6B9B"/>
    <w:rsid w:val="00EC6C08"/>
    <w:rsid w:val="00EC6C33"/>
    <w:rsid w:val="00EC6CDE"/>
    <w:rsid w:val="00EC6DB1"/>
    <w:rsid w:val="00EC6E58"/>
    <w:rsid w:val="00EC6EAF"/>
    <w:rsid w:val="00EC6F2B"/>
    <w:rsid w:val="00EC720B"/>
    <w:rsid w:val="00EC7433"/>
    <w:rsid w:val="00EC74A5"/>
    <w:rsid w:val="00EC7544"/>
    <w:rsid w:val="00EC7698"/>
    <w:rsid w:val="00EC76AF"/>
    <w:rsid w:val="00EC7734"/>
    <w:rsid w:val="00EC77E8"/>
    <w:rsid w:val="00EC787F"/>
    <w:rsid w:val="00EC7904"/>
    <w:rsid w:val="00EC7AC1"/>
    <w:rsid w:val="00EC7B54"/>
    <w:rsid w:val="00EC7CF3"/>
    <w:rsid w:val="00EC7DB4"/>
    <w:rsid w:val="00EC7E1E"/>
    <w:rsid w:val="00EC7E85"/>
    <w:rsid w:val="00ED0072"/>
    <w:rsid w:val="00ED026A"/>
    <w:rsid w:val="00ED02AE"/>
    <w:rsid w:val="00ED0310"/>
    <w:rsid w:val="00ED050C"/>
    <w:rsid w:val="00ED0535"/>
    <w:rsid w:val="00ED05F9"/>
    <w:rsid w:val="00ED061D"/>
    <w:rsid w:val="00ED06AE"/>
    <w:rsid w:val="00ED077C"/>
    <w:rsid w:val="00ED0872"/>
    <w:rsid w:val="00ED08E2"/>
    <w:rsid w:val="00ED0944"/>
    <w:rsid w:val="00ED09AF"/>
    <w:rsid w:val="00ED0A10"/>
    <w:rsid w:val="00ED0A69"/>
    <w:rsid w:val="00ED0A75"/>
    <w:rsid w:val="00ED0D10"/>
    <w:rsid w:val="00ED0DB5"/>
    <w:rsid w:val="00ED1006"/>
    <w:rsid w:val="00ED106E"/>
    <w:rsid w:val="00ED10AA"/>
    <w:rsid w:val="00ED118C"/>
    <w:rsid w:val="00ED1472"/>
    <w:rsid w:val="00ED15BF"/>
    <w:rsid w:val="00ED1700"/>
    <w:rsid w:val="00ED176C"/>
    <w:rsid w:val="00ED17BF"/>
    <w:rsid w:val="00ED17FA"/>
    <w:rsid w:val="00ED193E"/>
    <w:rsid w:val="00ED1ADC"/>
    <w:rsid w:val="00ED1B49"/>
    <w:rsid w:val="00ED1B81"/>
    <w:rsid w:val="00ED1C05"/>
    <w:rsid w:val="00ED1C9A"/>
    <w:rsid w:val="00ED1D95"/>
    <w:rsid w:val="00ED1F13"/>
    <w:rsid w:val="00ED201B"/>
    <w:rsid w:val="00ED2143"/>
    <w:rsid w:val="00ED2239"/>
    <w:rsid w:val="00ED25DF"/>
    <w:rsid w:val="00ED2659"/>
    <w:rsid w:val="00ED274F"/>
    <w:rsid w:val="00ED2766"/>
    <w:rsid w:val="00ED27BB"/>
    <w:rsid w:val="00ED27E0"/>
    <w:rsid w:val="00ED2835"/>
    <w:rsid w:val="00ED289F"/>
    <w:rsid w:val="00ED2906"/>
    <w:rsid w:val="00ED2BBE"/>
    <w:rsid w:val="00ED2D34"/>
    <w:rsid w:val="00ED2E3A"/>
    <w:rsid w:val="00ED2ECF"/>
    <w:rsid w:val="00ED2F3A"/>
    <w:rsid w:val="00ED3056"/>
    <w:rsid w:val="00ED3130"/>
    <w:rsid w:val="00ED3152"/>
    <w:rsid w:val="00ED3394"/>
    <w:rsid w:val="00ED3481"/>
    <w:rsid w:val="00ED351A"/>
    <w:rsid w:val="00ED3663"/>
    <w:rsid w:val="00ED3691"/>
    <w:rsid w:val="00ED36F5"/>
    <w:rsid w:val="00ED375C"/>
    <w:rsid w:val="00ED3827"/>
    <w:rsid w:val="00ED3857"/>
    <w:rsid w:val="00ED3AB8"/>
    <w:rsid w:val="00ED3C23"/>
    <w:rsid w:val="00ED3C8F"/>
    <w:rsid w:val="00ED3CA7"/>
    <w:rsid w:val="00ED3CD4"/>
    <w:rsid w:val="00ED3F3C"/>
    <w:rsid w:val="00ED3FA6"/>
    <w:rsid w:val="00ED3FD2"/>
    <w:rsid w:val="00ED3FF3"/>
    <w:rsid w:val="00ED4219"/>
    <w:rsid w:val="00ED4231"/>
    <w:rsid w:val="00ED4316"/>
    <w:rsid w:val="00ED4588"/>
    <w:rsid w:val="00ED45A4"/>
    <w:rsid w:val="00ED45EC"/>
    <w:rsid w:val="00ED4787"/>
    <w:rsid w:val="00ED47AD"/>
    <w:rsid w:val="00ED47B5"/>
    <w:rsid w:val="00ED48DE"/>
    <w:rsid w:val="00ED4913"/>
    <w:rsid w:val="00ED492B"/>
    <w:rsid w:val="00ED4B56"/>
    <w:rsid w:val="00ED4B6D"/>
    <w:rsid w:val="00ED4D60"/>
    <w:rsid w:val="00ED4FB6"/>
    <w:rsid w:val="00ED5167"/>
    <w:rsid w:val="00ED51A3"/>
    <w:rsid w:val="00ED550E"/>
    <w:rsid w:val="00ED559A"/>
    <w:rsid w:val="00ED5749"/>
    <w:rsid w:val="00ED5757"/>
    <w:rsid w:val="00ED590D"/>
    <w:rsid w:val="00ED5A97"/>
    <w:rsid w:val="00ED5BB8"/>
    <w:rsid w:val="00ED5D6C"/>
    <w:rsid w:val="00ED5D9E"/>
    <w:rsid w:val="00ED5DA7"/>
    <w:rsid w:val="00ED6058"/>
    <w:rsid w:val="00ED6086"/>
    <w:rsid w:val="00ED6194"/>
    <w:rsid w:val="00ED61B4"/>
    <w:rsid w:val="00ED6295"/>
    <w:rsid w:val="00ED62AE"/>
    <w:rsid w:val="00ED6417"/>
    <w:rsid w:val="00ED64D2"/>
    <w:rsid w:val="00ED6531"/>
    <w:rsid w:val="00ED6579"/>
    <w:rsid w:val="00ED666A"/>
    <w:rsid w:val="00ED6910"/>
    <w:rsid w:val="00ED6921"/>
    <w:rsid w:val="00ED69F8"/>
    <w:rsid w:val="00ED6A13"/>
    <w:rsid w:val="00ED6B2D"/>
    <w:rsid w:val="00ED6B53"/>
    <w:rsid w:val="00ED6B86"/>
    <w:rsid w:val="00ED6BCD"/>
    <w:rsid w:val="00ED6D82"/>
    <w:rsid w:val="00ED6DE3"/>
    <w:rsid w:val="00ED6EC8"/>
    <w:rsid w:val="00ED6F98"/>
    <w:rsid w:val="00ED6FB3"/>
    <w:rsid w:val="00ED700D"/>
    <w:rsid w:val="00ED7019"/>
    <w:rsid w:val="00ED70AB"/>
    <w:rsid w:val="00ED70C2"/>
    <w:rsid w:val="00ED715A"/>
    <w:rsid w:val="00ED71CB"/>
    <w:rsid w:val="00ED71DF"/>
    <w:rsid w:val="00ED72A5"/>
    <w:rsid w:val="00ED730F"/>
    <w:rsid w:val="00ED7556"/>
    <w:rsid w:val="00ED781E"/>
    <w:rsid w:val="00ED7B13"/>
    <w:rsid w:val="00ED7CF9"/>
    <w:rsid w:val="00ED7D47"/>
    <w:rsid w:val="00ED7F22"/>
    <w:rsid w:val="00ED7FCA"/>
    <w:rsid w:val="00EE009F"/>
    <w:rsid w:val="00EE0346"/>
    <w:rsid w:val="00EE03BA"/>
    <w:rsid w:val="00EE0624"/>
    <w:rsid w:val="00EE068C"/>
    <w:rsid w:val="00EE06CD"/>
    <w:rsid w:val="00EE0761"/>
    <w:rsid w:val="00EE077F"/>
    <w:rsid w:val="00EE07C2"/>
    <w:rsid w:val="00EE0820"/>
    <w:rsid w:val="00EE0842"/>
    <w:rsid w:val="00EE0A26"/>
    <w:rsid w:val="00EE0A72"/>
    <w:rsid w:val="00EE0AB0"/>
    <w:rsid w:val="00EE0B07"/>
    <w:rsid w:val="00EE0D3D"/>
    <w:rsid w:val="00EE0F09"/>
    <w:rsid w:val="00EE0FC7"/>
    <w:rsid w:val="00EE1230"/>
    <w:rsid w:val="00EE1281"/>
    <w:rsid w:val="00EE1308"/>
    <w:rsid w:val="00EE148F"/>
    <w:rsid w:val="00EE14BD"/>
    <w:rsid w:val="00EE1531"/>
    <w:rsid w:val="00EE1576"/>
    <w:rsid w:val="00EE15A6"/>
    <w:rsid w:val="00EE16EF"/>
    <w:rsid w:val="00EE1804"/>
    <w:rsid w:val="00EE19EF"/>
    <w:rsid w:val="00EE1A07"/>
    <w:rsid w:val="00EE1A69"/>
    <w:rsid w:val="00EE1F1C"/>
    <w:rsid w:val="00EE1F9A"/>
    <w:rsid w:val="00EE2225"/>
    <w:rsid w:val="00EE2324"/>
    <w:rsid w:val="00EE2556"/>
    <w:rsid w:val="00EE2575"/>
    <w:rsid w:val="00EE270A"/>
    <w:rsid w:val="00EE288C"/>
    <w:rsid w:val="00EE2A79"/>
    <w:rsid w:val="00EE2A81"/>
    <w:rsid w:val="00EE2B61"/>
    <w:rsid w:val="00EE2C37"/>
    <w:rsid w:val="00EE2D43"/>
    <w:rsid w:val="00EE2D4D"/>
    <w:rsid w:val="00EE2E0B"/>
    <w:rsid w:val="00EE2EF0"/>
    <w:rsid w:val="00EE2F5B"/>
    <w:rsid w:val="00EE2F76"/>
    <w:rsid w:val="00EE2FCE"/>
    <w:rsid w:val="00EE2FEF"/>
    <w:rsid w:val="00EE300D"/>
    <w:rsid w:val="00EE30F2"/>
    <w:rsid w:val="00EE312D"/>
    <w:rsid w:val="00EE32A8"/>
    <w:rsid w:val="00EE32D5"/>
    <w:rsid w:val="00EE337E"/>
    <w:rsid w:val="00EE33D9"/>
    <w:rsid w:val="00EE34D5"/>
    <w:rsid w:val="00EE3B1D"/>
    <w:rsid w:val="00EE3CD4"/>
    <w:rsid w:val="00EE3E7C"/>
    <w:rsid w:val="00EE3FB2"/>
    <w:rsid w:val="00EE40A8"/>
    <w:rsid w:val="00EE41AB"/>
    <w:rsid w:val="00EE41D7"/>
    <w:rsid w:val="00EE427D"/>
    <w:rsid w:val="00EE42C2"/>
    <w:rsid w:val="00EE42E1"/>
    <w:rsid w:val="00EE43E2"/>
    <w:rsid w:val="00EE44D7"/>
    <w:rsid w:val="00EE47C1"/>
    <w:rsid w:val="00EE4885"/>
    <w:rsid w:val="00EE48BE"/>
    <w:rsid w:val="00EE4AD0"/>
    <w:rsid w:val="00EE4B07"/>
    <w:rsid w:val="00EE4B0B"/>
    <w:rsid w:val="00EE4BB7"/>
    <w:rsid w:val="00EE4C03"/>
    <w:rsid w:val="00EE4EDE"/>
    <w:rsid w:val="00EE4F31"/>
    <w:rsid w:val="00EE4F8B"/>
    <w:rsid w:val="00EE507D"/>
    <w:rsid w:val="00EE51A1"/>
    <w:rsid w:val="00EE51BE"/>
    <w:rsid w:val="00EE54AE"/>
    <w:rsid w:val="00EE550D"/>
    <w:rsid w:val="00EE5783"/>
    <w:rsid w:val="00EE5A03"/>
    <w:rsid w:val="00EE5A18"/>
    <w:rsid w:val="00EE5B6D"/>
    <w:rsid w:val="00EE5C75"/>
    <w:rsid w:val="00EE5CD3"/>
    <w:rsid w:val="00EE5CF8"/>
    <w:rsid w:val="00EE5D8F"/>
    <w:rsid w:val="00EE5D9D"/>
    <w:rsid w:val="00EE5F46"/>
    <w:rsid w:val="00EE6035"/>
    <w:rsid w:val="00EE6096"/>
    <w:rsid w:val="00EE6324"/>
    <w:rsid w:val="00EE63BD"/>
    <w:rsid w:val="00EE63D8"/>
    <w:rsid w:val="00EE6415"/>
    <w:rsid w:val="00EE64F3"/>
    <w:rsid w:val="00EE6551"/>
    <w:rsid w:val="00EE6689"/>
    <w:rsid w:val="00EE669F"/>
    <w:rsid w:val="00EE6911"/>
    <w:rsid w:val="00EE6B26"/>
    <w:rsid w:val="00EE6BDE"/>
    <w:rsid w:val="00EE6C21"/>
    <w:rsid w:val="00EE7391"/>
    <w:rsid w:val="00EE739E"/>
    <w:rsid w:val="00EE73ED"/>
    <w:rsid w:val="00EE749F"/>
    <w:rsid w:val="00EE75DA"/>
    <w:rsid w:val="00EE767B"/>
    <w:rsid w:val="00EE76FC"/>
    <w:rsid w:val="00EE7A53"/>
    <w:rsid w:val="00EE7ABB"/>
    <w:rsid w:val="00EE7BA0"/>
    <w:rsid w:val="00EE7C24"/>
    <w:rsid w:val="00EE7C82"/>
    <w:rsid w:val="00EE7CAE"/>
    <w:rsid w:val="00EE7F33"/>
    <w:rsid w:val="00EF0079"/>
    <w:rsid w:val="00EF019B"/>
    <w:rsid w:val="00EF01B5"/>
    <w:rsid w:val="00EF02E8"/>
    <w:rsid w:val="00EF0628"/>
    <w:rsid w:val="00EF06CC"/>
    <w:rsid w:val="00EF0728"/>
    <w:rsid w:val="00EF0743"/>
    <w:rsid w:val="00EF0827"/>
    <w:rsid w:val="00EF0971"/>
    <w:rsid w:val="00EF09FB"/>
    <w:rsid w:val="00EF0A97"/>
    <w:rsid w:val="00EF0BD6"/>
    <w:rsid w:val="00EF0E75"/>
    <w:rsid w:val="00EF111F"/>
    <w:rsid w:val="00EF1171"/>
    <w:rsid w:val="00EF1178"/>
    <w:rsid w:val="00EF129C"/>
    <w:rsid w:val="00EF12F4"/>
    <w:rsid w:val="00EF13BD"/>
    <w:rsid w:val="00EF1529"/>
    <w:rsid w:val="00EF156F"/>
    <w:rsid w:val="00EF15B8"/>
    <w:rsid w:val="00EF16CD"/>
    <w:rsid w:val="00EF1715"/>
    <w:rsid w:val="00EF1733"/>
    <w:rsid w:val="00EF1B5E"/>
    <w:rsid w:val="00EF1B8A"/>
    <w:rsid w:val="00EF1B91"/>
    <w:rsid w:val="00EF1BC3"/>
    <w:rsid w:val="00EF201A"/>
    <w:rsid w:val="00EF226B"/>
    <w:rsid w:val="00EF2396"/>
    <w:rsid w:val="00EF24D2"/>
    <w:rsid w:val="00EF2693"/>
    <w:rsid w:val="00EF2790"/>
    <w:rsid w:val="00EF27AD"/>
    <w:rsid w:val="00EF287C"/>
    <w:rsid w:val="00EF2993"/>
    <w:rsid w:val="00EF2A9D"/>
    <w:rsid w:val="00EF2AD3"/>
    <w:rsid w:val="00EF2D74"/>
    <w:rsid w:val="00EF2E90"/>
    <w:rsid w:val="00EF2EC0"/>
    <w:rsid w:val="00EF2FF7"/>
    <w:rsid w:val="00EF3021"/>
    <w:rsid w:val="00EF3230"/>
    <w:rsid w:val="00EF3312"/>
    <w:rsid w:val="00EF3377"/>
    <w:rsid w:val="00EF33FF"/>
    <w:rsid w:val="00EF341F"/>
    <w:rsid w:val="00EF346C"/>
    <w:rsid w:val="00EF3565"/>
    <w:rsid w:val="00EF3576"/>
    <w:rsid w:val="00EF3635"/>
    <w:rsid w:val="00EF3668"/>
    <w:rsid w:val="00EF373F"/>
    <w:rsid w:val="00EF3770"/>
    <w:rsid w:val="00EF3844"/>
    <w:rsid w:val="00EF3BBB"/>
    <w:rsid w:val="00EF3F3D"/>
    <w:rsid w:val="00EF4014"/>
    <w:rsid w:val="00EF4063"/>
    <w:rsid w:val="00EF40DD"/>
    <w:rsid w:val="00EF422D"/>
    <w:rsid w:val="00EF4299"/>
    <w:rsid w:val="00EF44AD"/>
    <w:rsid w:val="00EF44E1"/>
    <w:rsid w:val="00EF4576"/>
    <w:rsid w:val="00EF4583"/>
    <w:rsid w:val="00EF4687"/>
    <w:rsid w:val="00EF47CD"/>
    <w:rsid w:val="00EF480A"/>
    <w:rsid w:val="00EF484F"/>
    <w:rsid w:val="00EF489D"/>
    <w:rsid w:val="00EF499D"/>
    <w:rsid w:val="00EF4BFD"/>
    <w:rsid w:val="00EF4C48"/>
    <w:rsid w:val="00EF4C69"/>
    <w:rsid w:val="00EF4CE8"/>
    <w:rsid w:val="00EF4F02"/>
    <w:rsid w:val="00EF4F95"/>
    <w:rsid w:val="00EF5038"/>
    <w:rsid w:val="00EF5061"/>
    <w:rsid w:val="00EF506F"/>
    <w:rsid w:val="00EF527D"/>
    <w:rsid w:val="00EF55F0"/>
    <w:rsid w:val="00EF55FF"/>
    <w:rsid w:val="00EF5668"/>
    <w:rsid w:val="00EF57B3"/>
    <w:rsid w:val="00EF5839"/>
    <w:rsid w:val="00EF591C"/>
    <w:rsid w:val="00EF5992"/>
    <w:rsid w:val="00EF5E54"/>
    <w:rsid w:val="00EF61A7"/>
    <w:rsid w:val="00EF61F1"/>
    <w:rsid w:val="00EF6273"/>
    <w:rsid w:val="00EF631A"/>
    <w:rsid w:val="00EF6340"/>
    <w:rsid w:val="00EF64B3"/>
    <w:rsid w:val="00EF6514"/>
    <w:rsid w:val="00EF6623"/>
    <w:rsid w:val="00EF6715"/>
    <w:rsid w:val="00EF6746"/>
    <w:rsid w:val="00EF67A7"/>
    <w:rsid w:val="00EF68A8"/>
    <w:rsid w:val="00EF6994"/>
    <w:rsid w:val="00EF69CC"/>
    <w:rsid w:val="00EF6C9A"/>
    <w:rsid w:val="00EF6D8E"/>
    <w:rsid w:val="00EF6E7D"/>
    <w:rsid w:val="00EF6E94"/>
    <w:rsid w:val="00EF6F4B"/>
    <w:rsid w:val="00EF6FFC"/>
    <w:rsid w:val="00EF7051"/>
    <w:rsid w:val="00EF705D"/>
    <w:rsid w:val="00EF7130"/>
    <w:rsid w:val="00EF7292"/>
    <w:rsid w:val="00EF7466"/>
    <w:rsid w:val="00EF74CF"/>
    <w:rsid w:val="00EF7BA5"/>
    <w:rsid w:val="00EF7BE8"/>
    <w:rsid w:val="00EF7BF1"/>
    <w:rsid w:val="00EF7CF0"/>
    <w:rsid w:val="00EF7D8A"/>
    <w:rsid w:val="00EF7DDF"/>
    <w:rsid w:val="00EF7F96"/>
    <w:rsid w:val="00F0033C"/>
    <w:rsid w:val="00F0059A"/>
    <w:rsid w:val="00F00689"/>
    <w:rsid w:val="00F00735"/>
    <w:rsid w:val="00F00983"/>
    <w:rsid w:val="00F00AC2"/>
    <w:rsid w:val="00F00B0F"/>
    <w:rsid w:val="00F00BDD"/>
    <w:rsid w:val="00F00C17"/>
    <w:rsid w:val="00F00CAD"/>
    <w:rsid w:val="00F00D5D"/>
    <w:rsid w:val="00F00E09"/>
    <w:rsid w:val="00F00EFB"/>
    <w:rsid w:val="00F00F0F"/>
    <w:rsid w:val="00F010D4"/>
    <w:rsid w:val="00F01157"/>
    <w:rsid w:val="00F012C7"/>
    <w:rsid w:val="00F01302"/>
    <w:rsid w:val="00F01336"/>
    <w:rsid w:val="00F0139C"/>
    <w:rsid w:val="00F0140A"/>
    <w:rsid w:val="00F016CC"/>
    <w:rsid w:val="00F016DA"/>
    <w:rsid w:val="00F01769"/>
    <w:rsid w:val="00F017E0"/>
    <w:rsid w:val="00F017F5"/>
    <w:rsid w:val="00F01A4C"/>
    <w:rsid w:val="00F01A7A"/>
    <w:rsid w:val="00F01B10"/>
    <w:rsid w:val="00F01C17"/>
    <w:rsid w:val="00F01D65"/>
    <w:rsid w:val="00F01E66"/>
    <w:rsid w:val="00F01EE1"/>
    <w:rsid w:val="00F01F32"/>
    <w:rsid w:val="00F01FC0"/>
    <w:rsid w:val="00F020C8"/>
    <w:rsid w:val="00F02137"/>
    <w:rsid w:val="00F02156"/>
    <w:rsid w:val="00F022DC"/>
    <w:rsid w:val="00F022FE"/>
    <w:rsid w:val="00F0233F"/>
    <w:rsid w:val="00F02390"/>
    <w:rsid w:val="00F024B3"/>
    <w:rsid w:val="00F024EE"/>
    <w:rsid w:val="00F024FF"/>
    <w:rsid w:val="00F026C6"/>
    <w:rsid w:val="00F02814"/>
    <w:rsid w:val="00F029EF"/>
    <w:rsid w:val="00F02A27"/>
    <w:rsid w:val="00F02A2F"/>
    <w:rsid w:val="00F02A6C"/>
    <w:rsid w:val="00F02A9B"/>
    <w:rsid w:val="00F02E40"/>
    <w:rsid w:val="00F033D5"/>
    <w:rsid w:val="00F034F1"/>
    <w:rsid w:val="00F035C4"/>
    <w:rsid w:val="00F038B0"/>
    <w:rsid w:val="00F0391F"/>
    <w:rsid w:val="00F0397E"/>
    <w:rsid w:val="00F03A16"/>
    <w:rsid w:val="00F03AC8"/>
    <w:rsid w:val="00F03B59"/>
    <w:rsid w:val="00F03C25"/>
    <w:rsid w:val="00F03CB7"/>
    <w:rsid w:val="00F042B3"/>
    <w:rsid w:val="00F042B7"/>
    <w:rsid w:val="00F042E1"/>
    <w:rsid w:val="00F044FC"/>
    <w:rsid w:val="00F0466B"/>
    <w:rsid w:val="00F0479F"/>
    <w:rsid w:val="00F04965"/>
    <w:rsid w:val="00F04A55"/>
    <w:rsid w:val="00F04A97"/>
    <w:rsid w:val="00F04B34"/>
    <w:rsid w:val="00F04BCC"/>
    <w:rsid w:val="00F04BCF"/>
    <w:rsid w:val="00F04D79"/>
    <w:rsid w:val="00F051D7"/>
    <w:rsid w:val="00F052C1"/>
    <w:rsid w:val="00F05307"/>
    <w:rsid w:val="00F053E1"/>
    <w:rsid w:val="00F05473"/>
    <w:rsid w:val="00F0547F"/>
    <w:rsid w:val="00F055D7"/>
    <w:rsid w:val="00F05911"/>
    <w:rsid w:val="00F05AB1"/>
    <w:rsid w:val="00F05C3C"/>
    <w:rsid w:val="00F05E8B"/>
    <w:rsid w:val="00F05F14"/>
    <w:rsid w:val="00F06122"/>
    <w:rsid w:val="00F0617E"/>
    <w:rsid w:val="00F0618E"/>
    <w:rsid w:val="00F061FC"/>
    <w:rsid w:val="00F06392"/>
    <w:rsid w:val="00F06393"/>
    <w:rsid w:val="00F063E8"/>
    <w:rsid w:val="00F06411"/>
    <w:rsid w:val="00F06544"/>
    <w:rsid w:val="00F06769"/>
    <w:rsid w:val="00F06789"/>
    <w:rsid w:val="00F0680C"/>
    <w:rsid w:val="00F0689D"/>
    <w:rsid w:val="00F068C2"/>
    <w:rsid w:val="00F068F8"/>
    <w:rsid w:val="00F06919"/>
    <w:rsid w:val="00F06C1C"/>
    <w:rsid w:val="00F06E82"/>
    <w:rsid w:val="00F06E88"/>
    <w:rsid w:val="00F06F79"/>
    <w:rsid w:val="00F06F88"/>
    <w:rsid w:val="00F070C1"/>
    <w:rsid w:val="00F072BB"/>
    <w:rsid w:val="00F072C6"/>
    <w:rsid w:val="00F07316"/>
    <w:rsid w:val="00F07339"/>
    <w:rsid w:val="00F073CF"/>
    <w:rsid w:val="00F07416"/>
    <w:rsid w:val="00F074FB"/>
    <w:rsid w:val="00F075A1"/>
    <w:rsid w:val="00F07894"/>
    <w:rsid w:val="00F07C6E"/>
    <w:rsid w:val="00F07ED2"/>
    <w:rsid w:val="00F07EE8"/>
    <w:rsid w:val="00F07F2B"/>
    <w:rsid w:val="00F100D6"/>
    <w:rsid w:val="00F1019B"/>
    <w:rsid w:val="00F106AC"/>
    <w:rsid w:val="00F10770"/>
    <w:rsid w:val="00F109F6"/>
    <w:rsid w:val="00F10B5F"/>
    <w:rsid w:val="00F10B90"/>
    <w:rsid w:val="00F10C31"/>
    <w:rsid w:val="00F10C32"/>
    <w:rsid w:val="00F10C5B"/>
    <w:rsid w:val="00F10CB8"/>
    <w:rsid w:val="00F10DDB"/>
    <w:rsid w:val="00F10E1A"/>
    <w:rsid w:val="00F1118D"/>
    <w:rsid w:val="00F1127E"/>
    <w:rsid w:val="00F11324"/>
    <w:rsid w:val="00F11495"/>
    <w:rsid w:val="00F114FB"/>
    <w:rsid w:val="00F116ED"/>
    <w:rsid w:val="00F1174B"/>
    <w:rsid w:val="00F117FF"/>
    <w:rsid w:val="00F11859"/>
    <w:rsid w:val="00F11FDE"/>
    <w:rsid w:val="00F12031"/>
    <w:rsid w:val="00F1235B"/>
    <w:rsid w:val="00F1263B"/>
    <w:rsid w:val="00F12679"/>
    <w:rsid w:val="00F12775"/>
    <w:rsid w:val="00F128FA"/>
    <w:rsid w:val="00F12A0E"/>
    <w:rsid w:val="00F12A12"/>
    <w:rsid w:val="00F12B05"/>
    <w:rsid w:val="00F12BB3"/>
    <w:rsid w:val="00F12C03"/>
    <w:rsid w:val="00F12D00"/>
    <w:rsid w:val="00F12D0C"/>
    <w:rsid w:val="00F12D23"/>
    <w:rsid w:val="00F12ED9"/>
    <w:rsid w:val="00F12F64"/>
    <w:rsid w:val="00F130DB"/>
    <w:rsid w:val="00F13155"/>
    <w:rsid w:val="00F1326B"/>
    <w:rsid w:val="00F13331"/>
    <w:rsid w:val="00F13496"/>
    <w:rsid w:val="00F13653"/>
    <w:rsid w:val="00F1379E"/>
    <w:rsid w:val="00F13846"/>
    <w:rsid w:val="00F138E3"/>
    <w:rsid w:val="00F13A2A"/>
    <w:rsid w:val="00F13A57"/>
    <w:rsid w:val="00F13B44"/>
    <w:rsid w:val="00F13B96"/>
    <w:rsid w:val="00F13BDA"/>
    <w:rsid w:val="00F13CBB"/>
    <w:rsid w:val="00F13E4C"/>
    <w:rsid w:val="00F13EB5"/>
    <w:rsid w:val="00F143E6"/>
    <w:rsid w:val="00F145FE"/>
    <w:rsid w:val="00F1468B"/>
    <w:rsid w:val="00F146BE"/>
    <w:rsid w:val="00F147E6"/>
    <w:rsid w:val="00F14851"/>
    <w:rsid w:val="00F148DB"/>
    <w:rsid w:val="00F14916"/>
    <w:rsid w:val="00F149BB"/>
    <w:rsid w:val="00F149E3"/>
    <w:rsid w:val="00F14A6F"/>
    <w:rsid w:val="00F14A84"/>
    <w:rsid w:val="00F14B76"/>
    <w:rsid w:val="00F14B8D"/>
    <w:rsid w:val="00F14BC3"/>
    <w:rsid w:val="00F14C07"/>
    <w:rsid w:val="00F14E7E"/>
    <w:rsid w:val="00F14FB0"/>
    <w:rsid w:val="00F14FBF"/>
    <w:rsid w:val="00F154F7"/>
    <w:rsid w:val="00F1551E"/>
    <w:rsid w:val="00F15544"/>
    <w:rsid w:val="00F155F9"/>
    <w:rsid w:val="00F156A2"/>
    <w:rsid w:val="00F156E9"/>
    <w:rsid w:val="00F15734"/>
    <w:rsid w:val="00F157A1"/>
    <w:rsid w:val="00F15826"/>
    <w:rsid w:val="00F15869"/>
    <w:rsid w:val="00F158B9"/>
    <w:rsid w:val="00F1599E"/>
    <w:rsid w:val="00F15B05"/>
    <w:rsid w:val="00F15B50"/>
    <w:rsid w:val="00F15BBB"/>
    <w:rsid w:val="00F15CCF"/>
    <w:rsid w:val="00F15DA7"/>
    <w:rsid w:val="00F15E17"/>
    <w:rsid w:val="00F15E8E"/>
    <w:rsid w:val="00F15ED2"/>
    <w:rsid w:val="00F15F2B"/>
    <w:rsid w:val="00F15FC0"/>
    <w:rsid w:val="00F1605F"/>
    <w:rsid w:val="00F161B7"/>
    <w:rsid w:val="00F16304"/>
    <w:rsid w:val="00F16377"/>
    <w:rsid w:val="00F163A4"/>
    <w:rsid w:val="00F16442"/>
    <w:rsid w:val="00F1655D"/>
    <w:rsid w:val="00F165B7"/>
    <w:rsid w:val="00F16865"/>
    <w:rsid w:val="00F169B7"/>
    <w:rsid w:val="00F16D38"/>
    <w:rsid w:val="00F16D5B"/>
    <w:rsid w:val="00F16FC1"/>
    <w:rsid w:val="00F17193"/>
    <w:rsid w:val="00F171FF"/>
    <w:rsid w:val="00F17228"/>
    <w:rsid w:val="00F1725E"/>
    <w:rsid w:val="00F1727C"/>
    <w:rsid w:val="00F17304"/>
    <w:rsid w:val="00F17636"/>
    <w:rsid w:val="00F17668"/>
    <w:rsid w:val="00F17900"/>
    <w:rsid w:val="00F17A53"/>
    <w:rsid w:val="00F17B23"/>
    <w:rsid w:val="00F17E1A"/>
    <w:rsid w:val="00F17FB6"/>
    <w:rsid w:val="00F200A0"/>
    <w:rsid w:val="00F2038A"/>
    <w:rsid w:val="00F203B5"/>
    <w:rsid w:val="00F2049A"/>
    <w:rsid w:val="00F2059B"/>
    <w:rsid w:val="00F20604"/>
    <w:rsid w:val="00F20674"/>
    <w:rsid w:val="00F2073A"/>
    <w:rsid w:val="00F2074C"/>
    <w:rsid w:val="00F20840"/>
    <w:rsid w:val="00F20893"/>
    <w:rsid w:val="00F208D2"/>
    <w:rsid w:val="00F20BD9"/>
    <w:rsid w:val="00F20BF1"/>
    <w:rsid w:val="00F20C1D"/>
    <w:rsid w:val="00F20C64"/>
    <w:rsid w:val="00F20FD0"/>
    <w:rsid w:val="00F21086"/>
    <w:rsid w:val="00F211C8"/>
    <w:rsid w:val="00F2128B"/>
    <w:rsid w:val="00F21349"/>
    <w:rsid w:val="00F218B0"/>
    <w:rsid w:val="00F218D2"/>
    <w:rsid w:val="00F2193E"/>
    <w:rsid w:val="00F21C0D"/>
    <w:rsid w:val="00F21C1B"/>
    <w:rsid w:val="00F21C96"/>
    <w:rsid w:val="00F21E46"/>
    <w:rsid w:val="00F21E97"/>
    <w:rsid w:val="00F21FF4"/>
    <w:rsid w:val="00F2204F"/>
    <w:rsid w:val="00F2227E"/>
    <w:rsid w:val="00F222A0"/>
    <w:rsid w:val="00F222BE"/>
    <w:rsid w:val="00F22642"/>
    <w:rsid w:val="00F227C7"/>
    <w:rsid w:val="00F22965"/>
    <w:rsid w:val="00F229D1"/>
    <w:rsid w:val="00F22A7A"/>
    <w:rsid w:val="00F22AEB"/>
    <w:rsid w:val="00F22B9B"/>
    <w:rsid w:val="00F22C47"/>
    <w:rsid w:val="00F22D65"/>
    <w:rsid w:val="00F22E69"/>
    <w:rsid w:val="00F22F5A"/>
    <w:rsid w:val="00F23151"/>
    <w:rsid w:val="00F2327E"/>
    <w:rsid w:val="00F2330D"/>
    <w:rsid w:val="00F2338D"/>
    <w:rsid w:val="00F233C6"/>
    <w:rsid w:val="00F2379B"/>
    <w:rsid w:val="00F23880"/>
    <w:rsid w:val="00F23917"/>
    <w:rsid w:val="00F239A5"/>
    <w:rsid w:val="00F23B30"/>
    <w:rsid w:val="00F23C00"/>
    <w:rsid w:val="00F23CDE"/>
    <w:rsid w:val="00F23D78"/>
    <w:rsid w:val="00F23D91"/>
    <w:rsid w:val="00F23E02"/>
    <w:rsid w:val="00F23E08"/>
    <w:rsid w:val="00F23F9B"/>
    <w:rsid w:val="00F23FAE"/>
    <w:rsid w:val="00F240E3"/>
    <w:rsid w:val="00F24463"/>
    <w:rsid w:val="00F245B5"/>
    <w:rsid w:val="00F246C7"/>
    <w:rsid w:val="00F247C4"/>
    <w:rsid w:val="00F247DF"/>
    <w:rsid w:val="00F24E43"/>
    <w:rsid w:val="00F24EA9"/>
    <w:rsid w:val="00F25199"/>
    <w:rsid w:val="00F254A6"/>
    <w:rsid w:val="00F25990"/>
    <w:rsid w:val="00F25A15"/>
    <w:rsid w:val="00F25A6C"/>
    <w:rsid w:val="00F25B12"/>
    <w:rsid w:val="00F25CD6"/>
    <w:rsid w:val="00F25D68"/>
    <w:rsid w:val="00F25DB5"/>
    <w:rsid w:val="00F25F3A"/>
    <w:rsid w:val="00F26124"/>
    <w:rsid w:val="00F26258"/>
    <w:rsid w:val="00F26299"/>
    <w:rsid w:val="00F2629D"/>
    <w:rsid w:val="00F26359"/>
    <w:rsid w:val="00F26488"/>
    <w:rsid w:val="00F268F3"/>
    <w:rsid w:val="00F26932"/>
    <w:rsid w:val="00F26B8C"/>
    <w:rsid w:val="00F26BE0"/>
    <w:rsid w:val="00F26C44"/>
    <w:rsid w:val="00F26C45"/>
    <w:rsid w:val="00F26CE9"/>
    <w:rsid w:val="00F26D17"/>
    <w:rsid w:val="00F26E1D"/>
    <w:rsid w:val="00F26E62"/>
    <w:rsid w:val="00F26F59"/>
    <w:rsid w:val="00F27073"/>
    <w:rsid w:val="00F27099"/>
    <w:rsid w:val="00F2720F"/>
    <w:rsid w:val="00F272B1"/>
    <w:rsid w:val="00F272E8"/>
    <w:rsid w:val="00F27341"/>
    <w:rsid w:val="00F273F6"/>
    <w:rsid w:val="00F2743A"/>
    <w:rsid w:val="00F2762C"/>
    <w:rsid w:val="00F276C0"/>
    <w:rsid w:val="00F27734"/>
    <w:rsid w:val="00F277A4"/>
    <w:rsid w:val="00F278C7"/>
    <w:rsid w:val="00F278F9"/>
    <w:rsid w:val="00F27B4E"/>
    <w:rsid w:val="00F27BB5"/>
    <w:rsid w:val="00F27C2F"/>
    <w:rsid w:val="00F27D5B"/>
    <w:rsid w:val="00F27DB8"/>
    <w:rsid w:val="00F27DCB"/>
    <w:rsid w:val="00F27E5A"/>
    <w:rsid w:val="00F27E8F"/>
    <w:rsid w:val="00F3022E"/>
    <w:rsid w:val="00F30319"/>
    <w:rsid w:val="00F303AE"/>
    <w:rsid w:val="00F3042A"/>
    <w:rsid w:val="00F3048F"/>
    <w:rsid w:val="00F30587"/>
    <w:rsid w:val="00F3088F"/>
    <w:rsid w:val="00F309AA"/>
    <w:rsid w:val="00F309F5"/>
    <w:rsid w:val="00F30A1D"/>
    <w:rsid w:val="00F30A7A"/>
    <w:rsid w:val="00F30C57"/>
    <w:rsid w:val="00F30FC5"/>
    <w:rsid w:val="00F31092"/>
    <w:rsid w:val="00F3119F"/>
    <w:rsid w:val="00F3123C"/>
    <w:rsid w:val="00F312B7"/>
    <w:rsid w:val="00F31476"/>
    <w:rsid w:val="00F315FB"/>
    <w:rsid w:val="00F317A3"/>
    <w:rsid w:val="00F31BAC"/>
    <w:rsid w:val="00F31C7B"/>
    <w:rsid w:val="00F31CF5"/>
    <w:rsid w:val="00F31F37"/>
    <w:rsid w:val="00F3224F"/>
    <w:rsid w:val="00F32394"/>
    <w:rsid w:val="00F32474"/>
    <w:rsid w:val="00F3248D"/>
    <w:rsid w:val="00F32545"/>
    <w:rsid w:val="00F32608"/>
    <w:rsid w:val="00F32626"/>
    <w:rsid w:val="00F32675"/>
    <w:rsid w:val="00F3278E"/>
    <w:rsid w:val="00F32B1E"/>
    <w:rsid w:val="00F32B91"/>
    <w:rsid w:val="00F32D32"/>
    <w:rsid w:val="00F32D9A"/>
    <w:rsid w:val="00F32EBA"/>
    <w:rsid w:val="00F330AE"/>
    <w:rsid w:val="00F33129"/>
    <w:rsid w:val="00F33162"/>
    <w:rsid w:val="00F33327"/>
    <w:rsid w:val="00F3349F"/>
    <w:rsid w:val="00F33626"/>
    <w:rsid w:val="00F3380F"/>
    <w:rsid w:val="00F33A4A"/>
    <w:rsid w:val="00F33AFB"/>
    <w:rsid w:val="00F33C21"/>
    <w:rsid w:val="00F33EEE"/>
    <w:rsid w:val="00F33FE0"/>
    <w:rsid w:val="00F340A0"/>
    <w:rsid w:val="00F3410C"/>
    <w:rsid w:val="00F3410E"/>
    <w:rsid w:val="00F3430B"/>
    <w:rsid w:val="00F3454C"/>
    <w:rsid w:val="00F3480C"/>
    <w:rsid w:val="00F3487D"/>
    <w:rsid w:val="00F348BB"/>
    <w:rsid w:val="00F348D4"/>
    <w:rsid w:val="00F348E6"/>
    <w:rsid w:val="00F34B42"/>
    <w:rsid w:val="00F34BDE"/>
    <w:rsid w:val="00F34CF1"/>
    <w:rsid w:val="00F34FAA"/>
    <w:rsid w:val="00F35004"/>
    <w:rsid w:val="00F3509F"/>
    <w:rsid w:val="00F350F3"/>
    <w:rsid w:val="00F351A9"/>
    <w:rsid w:val="00F35377"/>
    <w:rsid w:val="00F35388"/>
    <w:rsid w:val="00F3555C"/>
    <w:rsid w:val="00F35632"/>
    <w:rsid w:val="00F356BD"/>
    <w:rsid w:val="00F35753"/>
    <w:rsid w:val="00F35A2F"/>
    <w:rsid w:val="00F35C8D"/>
    <w:rsid w:val="00F35D58"/>
    <w:rsid w:val="00F35DDA"/>
    <w:rsid w:val="00F35E8A"/>
    <w:rsid w:val="00F35EA3"/>
    <w:rsid w:val="00F35F0C"/>
    <w:rsid w:val="00F35FB6"/>
    <w:rsid w:val="00F36047"/>
    <w:rsid w:val="00F362BF"/>
    <w:rsid w:val="00F363CC"/>
    <w:rsid w:val="00F364CB"/>
    <w:rsid w:val="00F365CD"/>
    <w:rsid w:val="00F36617"/>
    <w:rsid w:val="00F36730"/>
    <w:rsid w:val="00F36819"/>
    <w:rsid w:val="00F36998"/>
    <w:rsid w:val="00F36A26"/>
    <w:rsid w:val="00F36A98"/>
    <w:rsid w:val="00F36C32"/>
    <w:rsid w:val="00F36C88"/>
    <w:rsid w:val="00F36D4B"/>
    <w:rsid w:val="00F36D51"/>
    <w:rsid w:val="00F36E6A"/>
    <w:rsid w:val="00F36F1C"/>
    <w:rsid w:val="00F3719C"/>
    <w:rsid w:val="00F371F3"/>
    <w:rsid w:val="00F372FC"/>
    <w:rsid w:val="00F3730A"/>
    <w:rsid w:val="00F37600"/>
    <w:rsid w:val="00F37707"/>
    <w:rsid w:val="00F37759"/>
    <w:rsid w:val="00F3797F"/>
    <w:rsid w:val="00F37A3A"/>
    <w:rsid w:val="00F37A3F"/>
    <w:rsid w:val="00F37AA2"/>
    <w:rsid w:val="00F37ADE"/>
    <w:rsid w:val="00F37CAB"/>
    <w:rsid w:val="00F37CC5"/>
    <w:rsid w:val="00F4004B"/>
    <w:rsid w:val="00F400AC"/>
    <w:rsid w:val="00F400DE"/>
    <w:rsid w:val="00F40213"/>
    <w:rsid w:val="00F40282"/>
    <w:rsid w:val="00F40318"/>
    <w:rsid w:val="00F4048B"/>
    <w:rsid w:val="00F406A1"/>
    <w:rsid w:val="00F406D0"/>
    <w:rsid w:val="00F40A84"/>
    <w:rsid w:val="00F40AC5"/>
    <w:rsid w:val="00F40FC5"/>
    <w:rsid w:val="00F4101D"/>
    <w:rsid w:val="00F41090"/>
    <w:rsid w:val="00F4112B"/>
    <w:rsid w:val="00F4118D"/>
    <w:rsid w:val="00F4124A"/>
    <w:rsid w:val="00F41324"/>
    <w:rsid w:val="00F417DD"/>
    <w:rsid w:val="00F4190D"/>
    <w:rsid w:val="00F419F2"/>
    <w:rsid w:val="00F41B88"/>
    <w:rsid w:val="00F41C9F"/>
    <w:rsid w:val="00F41D0E"/>
    <w:rsid w:val="00F41DE1"/>
    <w:rsid w:val="00F41ED4"/>
    <w:rsid w:val="00F41F8E"/>
    <w:rsid w:val="00F41FE6"/>
    <w:rsid w:val="00F421BD"/>
    <w:rsid w:val="00F421ED"/>
    <w:rsid w:val="00F4249C"/>
    <w:rsid w:val="00F42631"/>
    <w:rsid w:val="00F428C6"/>
    <w:rsid w:val="00F429FC"/>
    <w:rsid w:val="00F42A5E"/>
    <w:rsid w:val="00F42ABB"/>
    <w:rsid w:val="00F42BD3"/>
    <w:rsid w:val="00F42BF7"/>
    <w:rsid w:val="00F42BF9"/>
    <w:rsid w:val="00F42C7E"/>
    <w:rsid w:val="00F42DE7"/>
    <w:rsid w:val="00F42E0C"/>
    <w:rsid w:val="00F42E97"/>
    <w:rsid w:val="00F43043"/>
    <w:rsid w:val="00F43099"/>
    <w:rsid w:val="00F430D2"/>
    <w:rsid w:val="00F432CA"/>
    <w:rsid w:val="00F433E1"/>
    <w:rsid w:val="00F43441"/>
    <w:rsid w:val="00F4375E"/>
    <w:rsid w:val="00F43837"/>
    <w:rsid w:val="00F438C2"/>
    <w:rsid w:val="00F438C9"/>
    <w:rsid w:val="00F438FE"/>
    <w:rsid w:val="00F43910"/>
    <w:rsid w:val="00F43928"/>
    <w:rsid w:val="00F43996"/>
    <w:rsid w:val="00F43A00"/>
    <w:rsid w:val="00F43A05"/>
    <w:rsid w:val="00F43B3D"/>
    <w:rsid w:val="00F43DF1"/>
    <w:rsid w:val="00F43F1A"/>
    <w:rsid w:val="00F43F2A"/>
    <w:rsid w:val="00F43F9D"/>
    <w:rsid w:val="00F43FE1"/>
    <w:rsid w:val="00F4411E"/>
    <w:rsid w:val="00F444AF"/>
    <w:rsid w:val="00F445A6"/>
    <w:rsid w:val="00F44684"/>
    <w:rsid w:val="00F44BED"/>
    <w:rsid w:val="00F44C1E"/>
    <w:rsid w:val="00F44CC9"/>
    <w:rsid w:val="00F44D04"/>
    <w:rsid w:val="00F44D56"/>
    <w:rsid w:val="00F44DBF"/>
    <w:rsid w:val="00F44DD2"/>
    <w:rsid w:val="00F44EAB"/>
    <w:rsid w:val="00F44F01"/>
    <w:rsid w:val="00F44FF2"/>
    <w:rsid w:val="00F4540D"/>
    <w:rsid w:val="00F45510"/>
    <w:rsid w:val="00F457C7"/>
    <w:rsid w:val="00F45847"/>
    <w:rsid w:val="00F459FA"/>
    <w:rsid w:val="00F45BBA"/>
    <w:rsid w:val="00F45CBD"/>
    <w:rsid w:val="00F45D44"/>
    <w:rsid w:val="00F45D8B"/>
    <w:rsid w:val="00F45DA9"/>
    <w:rsid w:val="00F45E47"/>
    <w:rsid w:val="00F460B6"/>
    <w:rsid w:val="00F46218"/>
    <w:rsid w:val="00F46348"/>
    <w:rsid w:val="00F46702"/>
    <w:rsid w:val="00F46750"/>
    <w:rsid w:val="00F4677E"/>
    <w:rsid w:val="00F46872"/>
    <w:rsid w:val="00F468A8"/>
    <w:rsid w:val="00F46938"/>
    <w:rsid w:val="00F46B2D"/>
    <w:rsid w:val="00F46B79"/>
    <w:rsid w:val="00F46CA7"/>
    <w:rsid w:val="00F46D4D"/>
    <w:rsid w:val="00F46DEB"/>
    <w:rsid w:val="00F46E0E"/>
    <w:rsid w:val="00F47151"/>
    <w:rsid w:val="00F4728B"/>
    <w:rsid w:val="00F4735C"/>
    <w:rsid w:val="00F4757C"/>
    <w:rsid w:val="00F475A7"/>
    <w:rsid w:val="00F4765F"/>
    <w:rsid w:val="00F477FB"/>
    <w:rsid w:val="00F4790F"/>
    <w:rsid w:val="00F47973"/>
    <w:rsid w:val="00F47992"/>
    <w:rsid w:val="00F47A10"/>
    <w:rsid w:val="00F47A2E"/>
    <w:rsid w:val="00F47A3B"/>
    <w:rsid w:val="00F47B66"/>
    <w:rsid w:val="00F47DEB"/>
    <w:rsid w:val="00F47E0A"/>
    <w:rsid w:val="00F47E6B"/>
    <w:rsid w:val="00F47F76"/>
    <w:rsid w:val="00F5046C"/>
    <w:rsid w:val="00F506AC"/>
    <w:rsid w:val="00F508C7"/>
    <w:rsid w:val="00F5093E"/>
    <w:rsid w:val="00F50A03"/>
    <w:rsid w:val="00F50A72"/>
    <w:rsid w:val="00F50C3D"/>
    <w:rsid w:val="00F50C84"/>
    <w:rsid w:val="00F50D15"/>
    <w:rsid w:val="00F50D17"/>
    <w:rsid w:val="00F50E84"/>
    <w:rsid w:val="00F50FCC"/>
    <w:rsid w:val="00F50FDC"/>
    <w:rsid w:val="00F510BE"/>
    <w:rsid w:val="00F51155"/>
    <w:rsid w:val="00F512C5"/>
    <w:rsid w:val="00F51361"/>
    <w:rsid w:val="00F514DE"/>
    <w:rsid w:val="00F5168A"/>
    <w:rsid w:val="00F517A3"/>
    <w:rsid w:val="00F518E1"/>
    <w:rsid w:val="00F51A5B"/>
    <w:rsid w:val="00F51ACD"/>
    <w:rsid w:val="00F51D3D"/>
    <w:rsid w:val="00F51EB0"/>
    <w:rsid w:val="00F5206A"/>
    <w:rsid w:val="00F523BA"/>
    <w:rsid w:val="00F524C3"/>
    <w:rsid w:val="00F524CC"/>
    <w:rsid w:val="00F52723"/>
    <w:rsid w:val="00F52771"/>
    <w:rsid w:val="00F5285C"/>
    <w:rsid w:val="00F528A0"/>
    <w:rsid w:val="00F52A5B"/>
    <w:rsid w:val="00F52B5C"/>
    <w:rsid w:val="00F52C87"/>
    <w:rsid w:val="00F52C9C"/>
    <w:rsid w:val="00F52DF9"/>
    <w:rsid w:val="00F52EA5"/>
    <w:rsid w:val="00F53017"/>
    <w:rsid w:val="00F53113"/>
    <w:rsid w:val="00F53125"/>
    <w:rsid w:val="00F5317C"/>
    <w:rsid w:val="00F5326B"/>
    <w:rsid w:val="00F53460"/>
    <w:rsid w:val="00F5373E"/>
    <w:rsid w:val="00F53790"/>
    <w:rsid w:val="00F53840"/>
    <w:rsid w:val="00F53DF0"/>
    <w:rsid w:val="00F53E45"/>
    <w:rsid w:val="00F53E77"/>
    <w:rsid w:val="00F541B6"/>
    <w:rsid w:val="00F541C1"/>
    <w:rsid w:val="00F54228"/>
    <w:rsid w:val="00F542B9"/>
    <w:rsid w:val="00F5434F"/>
    <w:rsid w:val="00F5452A"/>
    <w:rsid w:val="00F545D6"/>
    <w:rsid w:val="00F54676"/>
    <w:rsid w:val="00F54704"/>
    <w:rsid w:val="00F54BCD"/>
    <w:rsid w:val="00F54C3B"/>
    <w:rsid w:val="00F54DF4"/>
    <w:rsid w:val="00F54E58"/>
    <w:rsid w:val="00F54EEB"/>
    <w:rsid w:val="00F54F01"/>
    <w:rsid w:val="00F54F17"/>
    <w:rsid w:val="00F550EB"/>
    <w:rsid w:val="00F5519C"/>
    <w:rsid w:val="00F55276"/>
    <w:rsid w:val="00F55295"/>
    <w:rsid w:val="00F555F9"/>
    <w:rsid w:val="00F55642"/>
    <w:rsid w:val="00F558C1"/>
    <w:rsid w:val="00F5598F"/>
    <w:rsid w:val="00F55C5F"/>
    <w:rsid w:val="00F55CA8"/>
    <w:rsid w:val="00F55CAD"/>
    <w:rsid w:val="00F55CD4"/>
    <w:rsid w:val="00F55D91"/>
    <w:rsid w:val="00F55F2B"/>
    <w:rsid w:val="00F55F9F"/>
    <w:rsid w:val="00F5607F"/>
    <w:rsid w:val="00F56197"/>
    <w:rsid w:val="00F56225"/>
    <w:rsid w:val="00F56642"/>
    <w:rsid w:val="00F5671A"/>
    <w:rsid w:val="00F5685E"/>
    <w:rsid w:val="00F568BD"/>
    <w:rsid w:val="00F56A11"/>
    <w:rsid w:val="00F56B01"/>
    <w:rsid w:val="00F56CD8"/>
    <w:rsid w:val="00F56E35"/>
    <w:rsid w:val="00F56E42"/>
    <w:rsid w:val="00F56F9B"/>
    <w:rsid w:val="00F570C5"/>
    <w:rsid w:val="00F57245"/>
    <w:rsid w:val="00F57293"/>
    <w:rsid w:val="00F572F6"/>
    <w:rsid w:val="00F57336"/>
    <w:rsid w:val="00F573DD"/>
    <w:rsid w:val="00F5747D"/>
    <w:rsid w:val="00F5784D"/>
    <w:rsid w:val="00F57AA2"/>
    <w:rsid w:val="00F57B47"/>
    <w:rsid w:val="00F57B84"/>
    <w:rsid w:val="00F57D64"/>
    <w:rsid w:val="00F57E1D"/>
    <w:rsid w:val="00F57F1B"/>
    <w:rsid w:val="00F57F40"/>
    <w:rsid w:val="00F601A4"/>
    <w:rsid w:val="00F601F1"/>
    <w:rsid w:val="00F60313"/>
    <w:rsid w:val="00F6042F"/>
    <w:rsid w:val="00F60556"/>
    <w:rsid w:val="00F605BE"/>
    <w:rsid w:val="00F60657"/>
    <w:rsid w:val="00F60742"/>
    <w:rsid w:val="00F60946"/>
    <w:rsid w:val="00F60EBD"/>
    <w:rsid w:val="00F60F33"/>
    <w:rsid w:val="00F6126F"/>
    <w:rsid w:val="00F6131E"/>
    <w:rsid w:val="00F61349"/>
    <w:rsid w:val="00F61446"/>
    <w:rsid w:val="00F61543"/>
    <w:rsid w:val="00F615A4"/>
    <w:rsid w:val="00F6160C"/>
    <w:rsid w:val="00F6163F"/>
    <w:rsid w:val="00F6175E"/>
    <w:rsid w:val="00F619CD"/>
    <w:rsid w:val="00F619D8"/>
    <w:rsid w:val="00F619FA"/>
    <w:rsid w:val="00F61B91"/>
    <w:rsid w:val="00F61BFD"/>
    <w:rsid w:val="00F61CE3"/>
    <w:rsid w:val="00F61CED"/>
    <w:rsid w:val="00F61F3D"/>
    <w:rsid w:val="00F61F4A"/>
    <w:rsid w:val="00F6219E"/>
    <w:rsid w:val="00F62296"/>
    <w:rsid w:val="00F622EE"/>
    <w:rsid w:val="00F623DA"/>
    <w:rsid w:val="00F62448"/>
    <w:rsid w:val="00F62506"/>
    <w:rsid w:val="00F62691"/>
    <w:rsid w:val="00F629AA"/>
    <w:rsid w:val="00F62AF0"/>
    <w:rsid w:val="00F62B2B"/>
    <w:rsid w:val="00F62C39"/>
    <w:rsid w:val="00F62CC4"/>
    <w:rsid w:val="00F62D9F"/>
    <w:rsid w:val="00F62EC1"/>
    <w:rsid w:val="00F62F2C"/>
    <w:rsid w:val="00F62F62"/>
    <w:rsid w:val="00F630CA"/>
    <w:rsid w:val="00F630EC"/>
    <w:rsid w:val="00F6356E"/>
    <w:rsid w:val="00F636AB"/>
    <w:rsid w:val="00F639D7"/>
    <w:rsid w:val="00F63A2B"/>
    <w:rsid w:val="00F63C98"/>
    <w:rsid w:val="00F63D0E"/>
    <w:rsid w:val="00F63E03"/>
    <w:rsid w:val="00F63E1B"/>
    <w:rsid w:val="00F63E8C"/>
    <w:rsid w:val="00F63F64"/>
    <w:rsid w:val="00F63F75"/>
    <w:rsid w:val="00F63FE2"/>
    <w:rsid w:val="00F64218"/>
    <w:rsid w:val="00F6429E"/>
    <w:rsid w:val="00F6436C"/>
    <w:rsid w:val="00F64531"/>
    <w:rsid w:val="00F64600"/>
    <w:rsid w:val="00F646A4"/>
    <w:rsid w:val="00F64926"/>
    <w:rsid w:val="00F64B50"/>
    <w:rsid w:val="00F64C3B"/>
    <w:rsid w:val="00F64C6E"/>
    <w:rsid w:val="00F64CAB"/>
    <w:rsid w:val="00F64D6E"/>
    <w:rsid w:val="00F64DD2"/>
    <w:rsid w:val="00F64DFA"/>
    <w:rsid w:val="00F64EE7"/>
    <w:rsid w:val="00F6507D"/>
    <w:rsid w:val="00F651AD"/>
    <w:rsid w:val="00F654FB"/>
    <w:rsid w:val="00F65547"/>
    <w:rsid w:val="00F65674"/>
    <w:rsid w:val="00F657BC"/>
    <w:rsid w:val="00F65830"/>
    <w:rsid w:val="00F6589C"/>
    <w:rsid w:val="00F6596F"/>
    <w:rsid w:val="00F65BDD"/>
    <w:rsid w:val="00F65DEC"/>
    <w:rsid w:val="00F65E3E"/>
    <w:rsid w:val="00F65E81"/>
    <w:rsid w:val="00F65ED6"/>
    <w:rsid w:val="00F65FF4"/>
    <w:rsid w:val="00F6612D"/>
    <w:rsid w:val="00F662EA"/>
    <w:rsid w:val="00F66408"/>
    <w:rsid w:val="00F6648D"/>
    <w:rsid w:val="00F664AB"/>
    <w:rsid w:val="00F665B9"/>
    <w:rsid w:val="00F66738"/>
    <w:rsid w:val="00F667BF"/>
    <w:rsid w:val="00F66858"/>
    <w:rsid w:val="00F6697D"/>
    <w:rsid w:val="00F66996"/>
    <w:rsid w:val="00F66A15"/>
    <w:rsid w:val="00F66AF2"/>
    <w:rsid w:val="00F66F63"/>
    <w:rsid w:val="00F66FB6"/>
    <w:rsid w:val="00F67149"/>
    <w:rsid w:val="00F672A3"/>
    <w:rsid w:val="00F67382"/>
    <w:rsid w:val="00F67626"/>
    <w:rsid w:val="00F67A06"/>
    <w:rsid w:val="00F67A41"/>
    <w:rsid w:val="00F67A5E"/>
    <w:rsid w:val="00F7014E"/>
    <w:rsid w:val="00F701CE"/>
    <w:rsid w:val="00F70208"/>
    <w:rsid w:val="00F7034F"/>
    <w:rsid w:val="00F70451"/>
    <w:rsid w:val="00F706B7"/>
    <w:rsid w:val="00F7074C"/>
    <w:rsid w:val="00F70913"/>
    <w:rsid w:val="00F70954"/>
    <w:rsid w:val="00F70A71"/>
    <w:rsid w:val="00F70C80"/>
    <w:rsid w:val="00F70D1D"/>
    <w:rsid w:val="00F70E12"/>
    <w:rsid w:val="00F70E39"/>
    <w:rsid w:val="00F70F19"/>
    <w:rsid w:val="00F70F74"/>
    <w:rsid w:val="00F70F7A"/>
    <w:rsid w:val="00F71092"/>
    <w:rsid w:val="00F71121"/>
    <w:rsid w:val="00F7125C"/>
    <w:rsid w:val="00F71592"/>
    <w:rsid w:val="00F7171F"/>
    <w:rsid w:val="00F71868"/>
    <w:rsid w:val="00F71891"/>
    <w:rsid w:val="00F71B06"/>
    <w:rsid w:val="00F71B55"/>
    <w:rsid w:val="00F71BA5"/>
    <w:rsid w:val="00F71BE4"/>
    <w:rsid w:val="00F71EB2"/>
    <w:rsid w:val="00F71EE5"/>
    <w:rsid w:val="00F7200D"/>
    <w:rsid w:val="00F72145"/>
    <w:rsid w:val="00F721F1"/>
    <w:rsid w:val="00F722B2"/>
    <w:rsid w:val="00F722F9"/>
    <w:rsid w:val="00F72368"/>
    <w:rsid w:val="00F72375"/>
    <w:rsid w:val="00F725B2"/>
    <w:rsid w:val="00F725C9"/>
    <w:rsid w:val="00F72689"/>
    <w:rsid w:val="00F7277B"/>
    <w:rsid w:val="00F72849"/>
    <w:rsid w:val="00F7285E"/>
    <w:rsid w:val="00F72893"/>
    <w:rsid w:val="00F72932"/>
    <w:rsid w:val="00F72991"/>
    <w:rsid w:val="00F72AAD"/>
    <w:rsid w:val="00F72AE0"/>
    <w:rsid w:val="00F72B35"/>
    <w:rsid w:val="00F72D37"/>
    <w:rsid w:val="00F72D6F"/>
    <w:rsid w:val="00F72E2D"/>
    <w:rsid w:val="00F73030"/>
    <w:rsid w:val="00F730A7"/>
    <w:rsid w:val="00F730E5"/>
    <w:rsid w:val="00F7314E"/>
    <w:rsid w:val="00F731F4"/>
    <w:rsid w:val="00F73376"/>
    <w:rsid w:val="00F733D4"/>
    <w:rsid w:val="00F734E7"/>
    <w:rsid w:val="00F73524"/>
    <w:rsid w:val="00F73595"/>
    <w:rsid w:val="00F73674"/>
    <w:rsid w:val="00F7376B"/>
    <w:rsid w:val="00F737AF"/>
    <w:rsid w:val="00F73860"/>
    <w:rsid w:val="00F738AC"/>
    <w:rsid w:val="00F73902"/>
    <w:rsid w:val="00F73B59"/>
    <w:rsid w:val="00F73B89"/>
    <w:rsid w:val="00F73B9A"/>
    <w:rsid w:val="00F73DE2"/>
    <w:rsid w:val="00F73DED"/>
    <w:rsid w:val="00F73E52"/>
    <w:rsid w:val="00F73E71"/>
    <w:rsid w:val="00F73E7C"/>
    <w:rsid w:val="00F73F0E"/>
    <w:rsid w:val="00F74094"/>
    <w:rsid w:val="00F74283"/>
    <w:rsid w:val="00F744D4"/>
    <w:rsid w:val="00F745ED"/>
    <w:rsid w:val="00F74638"/>
    <w:rsid w:val="00F746CF"/>
    <w:rsid w:val="00F7474A"/>
    <w:rsid w:val="00F74798"/>
    <w:rsid w:val="00F74909"/>
    <w:rsid w:val="00F74931"/>
    <w:rsid w:val="00F7497B"/>
    <w:rsid w:val="00F74B3F"/>
    <w:rsid w:val="00F74C25"/>
    <w:rsid w:val="00F74C5C"/>
    <w:rsid w:val="00F74E3E"/>
    <w:rsid w:val="00F74ED1"/>
    <w:rsid w:val="00F754C6"/>
    <w:rsid w:val="00F7554D"/>
    <w:rsid w:val="00F757CA"/>
    <w:rsid w:val="00F758D8"/>
    <w:rsid w:val="00F75AA4"/>
    <w:rsid w:val="00F75CE9"/>
    <w:rsid w:val="00F75CF3"/>
    <w:rsid w:val="00F75EA4"/>
    <w:rsid w:val="00F75ED0"/>
    <w:rsid w:val="00F75EED"/>
    <w:rsid w:val="00F760BA"/>
    <w:rsid w:val="00F7617E"/>
    <w:rsid w:val="00F76180"/>
    <w:rsid w:val="00F76278"/>
    <w:rsid w:val="00F76291"/>
    <w:rsid w:val="00F76649"/>
    <w:rsid w:val="00F76659"/>
    <w:rsid w:val="00F767B2"/>
    <w:rsid w:val="00F76851"/>
    <w:rsid w:val="00F76868"/>
    <w:rsid w:val="00F7698C"/>
    <w:rsid w:val="00F769D2"/>
    <w:rsid w:val="00F76A53"/>
    <w:rsid w:val="00F76ACC"/>
    <w:rsid w:val="00F76AF3"/>
    <w:rsid w:val="00F76B25"/>
    <w:rsid w:val="00F76D02"/>
    <w:rsid w:val="00F76D44"/>
    <w:rsid w:val="00F76E82"/>
    <w:rsid w:val="00F76E8A"/>
    <w:rsid w:val="00F76F23"/>
    <w:rsid w:val="00F76FE3"/>
    <w:rsid w:val="00F772B4"/>
    <w:rsid w:val="00F772F8"/>
    <w:rsid w:val="00F775B5"/>
    <w:rsid w:val="00F775EE"/>
    <w:rsid w:val="00F775F9"/>
    <w:rsid w:val="00F776B8"/>
    <w:rsid w:val="00F777DF"/>
    <w:rsid w:val="00F778AF"/>
    <w:rsid w:val="00F778BD"/>
    <w:rsid w:val="00F77966"/>
    <w:rsid w:val="00F779EA"/>
    <w:rsid w:val="00F77ACA"/>
    <w:rsid w:val="00F77BFB"/>
    <w:rsid w:val="00F77CD7"/>
    <w:rsid w:val="00F77E89"/>
    <w:rsid w:val="00F77EA8"/>
    <w:rsid w:val="00F77EDC"/>
    <w:rsid w:val="00F8011D"/>
    <w:rsid w:val="00F801F9"/>
    <w:rsid w:val="00F80314"/>
    <w:rsid w:val="00F8039D"/>
    <w:rsid w:val="00F808AC"/>
    <w:rsid w:val="00F80962"/>
    <w:rsid w:val="00F80A33"/>
    <w:rsid w:val="00F80C9F"/>
    <w:rsid w:val="00F81099"/>
    <w:rsid w:val="00F8110A"/>
    <w:rsid w:val="00F81165"/>
    <w:rsid w:val="00F8119E"/>
    <w:rsid w:val="00F81324"/>
    <w:rsid w:val="00F8144F"/>
    <w:rsid w:val="00F814E3"/>
    <w:rsid w:val="00F81639"/>
    <w:rsid w:val="00F816C0"/>
    <w:rsid w:val="00F8179D"/>
    <w:rsid w:val="00F8196C"/>
    <w:rsid w:val="00F81AAC"/>
    <w:rsid w:val="00F81BE3"/>
    <w:rsid w:val="00F81E23"/>
    <w:rsid w:val="00F81F27"/>
    <w:rsid w:val="00F82148"/>
    <w:rsid w:val="00F8216B"/>
    <w:rsid w:val="00F821E6"/>
    <w:rsid w:val="00F823C3"/>
    <w:rsid w:val="00F8244A"/>
    <w:rsid w:val="00F8247C"/>
    <w:rsid w:val="00F8250B"/>
    <w:rsid w:val="00F82639"/>
    <w:rsid w:val="00F82665"/>
    <w:rsid w:val="00F82717"/>
    <w:rsid w:val="00F82789"/>
    <w:rsid w:val="00F827B3"/>
    <w:rsid w:val="00F82874"/>
    <w:rsid w:val="00F828B6"/>
    <w:rsid w:val="00F828CB"/>
    <w:rsid w:val="00F82908"/>
    <w:rsid w:val="00F82AFE"/>
    <w:rsid w:val="00F82B4C"/>
    <w:rsid w:val="00F82BE5"/>
    <w:rsid w:val="00F82D2A"/>
    <w:rsid w:val="00F82E91"/>
    <w:rsid w:val="00F82F18"/>
    <w:rsid w:val="00F82FF6"/>
    <w:rsid w:val="00F83137"/>
    <w:rsid w:val="00F835A4"/>
    <w:rsid w:val="00F8362E"/>
    <w:rsid w:val="00F837A6"/>
    <w:rsid w:val="00F8389A"/>
    <w:rsid w:val="00F839FA"/>
    <w:rsid w:val="00F83AA9"/>
    <w:rsid w:val="00F83B35"/>
    <w:rsid w:val="00F83C3B"/>
    <w:rsid w:val="00F83CE5"/>
    <w:rsid w:val="00F83DD6"/>
    <w:rsid w:val="00F83E96"/>
    <w:rsid w:val="00F83F87"/>
    <w:rsid w:val="00F84070"/>
    <w:rsid w:val="00F84164"/>
    <w:rsid w:val="00F84165"/>
    <w:rsid w:val="00F84332"/>
    <w:rsid w:val="00F84344"/>
    <w:rsid w:val="00F8451F"/>
    <w:rsid w:val="00F84598"/>
    <w:rsid w:val="00F845E7"/>
    <w:rsid w:val="00F84666"/>
    <w:rsid w:val="00F84715"/>
    <w:rsid w:val="00F8477F"/>
    <w:rsid w:val="00F84854"/>
    <w:rsid w:val="00F849FD"/>
    <w:rsid w:val="00F84B47"/>
    <w:rsid w:val="00F84CA2"/>
    <w:rsid w:val="00F84E74"/>
    <w:rsid w:val="00F850F5"/>
    <w:rsid w:val="00F851BA"/>
    <w:rsid w:val="00F851DC"/>
    <w:rsid w:val="00F851E2"/>
    <w:rsid w:val="00F85348"/>
    <w:rsid w:val="00F85467"/>
    <w:rsid w:val="00F8548C"/>
    <w:rsid w:val="00F8556E"/>
    <w:rsid w:val="00F855A4"/>
    <w:rsid w:val="00F85A1C"/>
    <w:rsid w:val="00F85D43"/>
    <w:rsid w:val="00F85EA4"/>
    <w:rsid w:val="00F863B9"/>
    <w:rsid w:val="00F866BD"/>
    <w:rsid w:val="00F8675B"/>
    <w:rsid w:val="00F867D3"/>
    <w:rsid w:val="00F868E7"/>
    <w:rsid w:val="00F869ED"/>
    <w:rsid w:val="00F86A55"/>
    <w:rsid w:val="00F86B48"/>
    <w:rsid w:val="00F86C5B"/>
    <w:rsid w:val="00F86D04"/>
    <w:rsid w:val="00F86D46"/>
    <w:rsid w:val="00F86FAE"/>
    <w:rsid w:val="00F87230"/>
    <w:rsid w:val="00F872D8"/>
    <w:rsid w:val="00F87515"/>
    <w:rsid w:val="00F8767E"/>
    <w:rsid w:val="00F8780C"/>
    <w:rsid w:val="00F8795B"/>
    <w:rsid w:val="00F879A7"/>
    <w:rsid w:val="00F879B8"/>
    <w:rsid w:val="00F87B09"/>
    <w:rsid w:val="00F87B67"/>
    <w:rsid w:val="00F87B69"/>
    <w:rsid w:val="00F87C96"/>
    <w:rsid w:val="00F87CAE"/>
    <w:rsid w:val="00F87F85"/>
    <w:rsid w:val="00F87FA6"/>
    <w:rsid w:val="00F9010C"/>
    <w:rsid w:val="00F90124"/>
    <w:rsid w:val="00F90194"/>
    <w:rsid w:val="00F904F6"/>
    <w:rsid w:val="00F905F8"/>
    <w:rsid w:val="00F9061A"/>
    <w:rsid w:val="00F90795"/>
    <w:rsid w:val="00F907DC"/>
    <w:rsid w:val="00F908FE"/>
    <w:rsid w:val="00F909DD"/>
    <w:rsid w:val="00F90A2C"/>
    <w:rsid w:val="00F90DF1"/>
    <w:rsid w:val="00F90EED"/>
    <w:rsid w:val="00F9100C"/>
    <w:rsid w:val="00F91094"/>
    <w:rsid w:val="00F910D3"/>
    <w:rsid w:val="00F913AB"/>
    <w:rsid w:val="00F915C7"/>
    <w:rsid w:val="00F91692"/>
    <w:rsid w:val="00F916D0"/>
    <w:rsid w:val="00F9176E"/>
    <w:rsid w:val="00F917C4"/>
    <w:rsid w:val="00F9188F"/>
    <w:rsid w:val="00F91982"/>
    <w:rsid w:val="00F919F7"/>
    <w:rsid w:val="00F91B29"/>
    <w:rsid w:val="00F91C3E"/>
    <w:rsid w:val="00F91C5B"/>
    <w:rsid w:val="00F91C8E"/>
    <w:rsid w:val="00F91E2E"/>
    <w:rsid w:val="00F92067"/>
    <w:rsid w:val="00F9210A"/>
    <w:rsid w:val="00F9213D"/>
    <w:rsid w:val="00F921E4"/>
    <w:rsid w:val="00F924A7"/>
    <w:rsid w:val="00F926DD"/>
    <w:rsid w:val="00F928F7"/>
    <w:rsid w:val="00F92A13"/>
    <w:rsid w:val="00F92A71"/>
    <w:rsid w:val="00F92B34"/>
    <w:rsid w:val="00F92F75"/>
    <w:rsid w:val="00F930F4"/>
    <w:rsid w:val="00F93283"/>
    <w:rsid w:val="00F93531"/>
    <w:rsid w:val="00F93585"/>
    <w:rsid w:val="00F9368D"/>
    <w:rsid w:val="00F936F3"/>
    <w:rsid w:val="00F93745"/>
    <w:rsid w:val="00F938C4"/>
    <w:rsid w:val="00F93918"/>
    <w:rsid w:val="00F93A21"/>
    <w:rsid w:val="00F93AB5"/>
    <w:rsid w:val="00F93C1B"/>
    <w:rsid w:val="00F93C69"/>
    <w:rsid w:val="00F93C8B"/>
    <w:rsid w:val="00F93CC7"/>
    <w:rsid w:val="00F93D04"/>
    <w:rsid w:val="00F93D31"/>
    <w:rsid w:val="00F93EA4"/>
    <w:rsid w:val="00F93EEE"/>
    <w:rsid w:val="00F9404E"/>
    <w:rsid w:val="00F940D5"/>
    <w:rsid w:val="00F942BE"/>
    <w:rsid w:val="00F94489"/>
    <w:rsid w:val="00F944CA"/>
    <w:rsid w:val="00F94761"/>
    <w:rsid w:val="00F94899"/>
    <w:rsid w:val="00F94902"/>
    <w:rsid w:val="00F94B57"/>
    <w:rsid w:val="00F94D89"/>
    <w:rsid w:val="00F94DE2"/>
    <w:rsid w:val="00F94E98"/>
    <w:rsid w:val="00F94F07"/>
    <w:rsid w:val="00F94F82"/>
    <w:rsid w:val="00F95176"/>
    <w:rsid w:val="00F953BF"/>
    <w:rsid w:val="00F95407"/>
    <w:rsid w:val="00F9541E"/>
    <w:rsid w:val="00F954C4"/>
    <w:rsid w:val="00F958E4"/>
    <w:rsid w:val="00F95919"/>
    <w:rsid w:val="00F9598C"/>
    <w:rsid w:val="00F95C3B"/>
    <w:rsid w:val="00F95D1F"/>
    <w:rsid w:val="00F95D7F"/>
    <w:rsid w:val="00F95E96"/>
    <w:rsid w:val="00F95EBB"/>
    <w:rsid w:val="00F95EC6"/>
    <w:rsid w:val="00F95F6B"/>
    <w:rsid w:val="00F9607C"/>
    <w:rsid w:val="00F962DC"/>
    <w:rsid w:val="00F9658E"/>
    <w:rsid w:val="00F9661D"/>
    <w:rsid w:val="00F96960"/>
    <w:rsid w:val="00F96A02"/>
    <w:rsid w:val="00F96A24"/>
    <w:rsid w:val="00F96A6D"/>
    <w:rsid w:val="00F96BE7"/>
    <w:rsid w:val="00F96CB4"/>
    <w:rsid w:val="00F96E67"/>
    <w:rsid w:val="00F97073"/>
    <w:rsid w:val="00F97354"/>
    <w:rsid w:val="00F973EA"/>
    <w:rsid w:val="00F9740B"/>
    <w:rsid w:val="00F97414"/>
    <w:rsid w:val="00F97547"/>
    <w:rsid w:val="00F976DF"/>
    <w:rsid w:val="00F97798"/>
    <w:rsid w:val="00F978D4"/>
    <w:rsid w:val="00F979E9"/>
    <w:rsid w:val="00F979ED"/>
    <w:rsid w:val="00F97A3D"/>
    <w:rsid w:val="00F97C66"/>
    <w:rsid w:val="00F97D5B"/>
    <w:rsid w:val="00F97D5F"/>
    <w:rsid w:val="00F97DCB"/>
    <w:rsid w:val="00F97DDF"/>
    <w:rsid w:val="00F97E89"/>
    <w:rsid w:val="00F97F47"/>
    <w:rsid w:val="00F97F7E"/>
    <w:rsid w:val="00F97F85"/>
    <w:rsid w:val="00F97FA6"/>
    <w:rsid w:val="00FA0022"/>
    <w:rsid w:val="00FA0033"/>
    <w:rsid w:val="00FA04B8"/>
    <w:rsid w:val="00FA0794"/>
    <w:rsid w:val="00FA07EE"/>
    <w:rsid w:val="00FA0A2B"/>
    <w:rsid w:val="00FA0E37"/>
    <w:rsid w:val="00FA100D"/>
    <w:rsid w:val="00FA1388"/>
    <w:rsid w:val="00FA1399"/>
    <w:rsid w:val="00FA14B6"/>
    <w:rsid w:val="00FA14C0"/>
    <w:rsid w:val="00FA165F"/>
    <w:rsid w:val="00FA16DB"/>
    <w:rsid w:val="00FA1764"/>
    <w:rsid w:val="00FA17A4"/>
    <w:rsid w:val="00FA1A18"/>
    <w:rsid w:val="00FA1C61"/>
    <w:rsid w:val="00FA1DB5"/>
    <w:rsid w:val="00FA1F5F"/>
    <w:rsid w:val="00FA21CF"/>
    <w:rsid w:val="00FA21FB"/>
    <w:rsid w:val="00FA2244"/>
    <w:rsid w:val="00FA2375"/>
    <w:rsid w:val="00FA237A"/>
    <w:rsid w:val="00FA23D1"/>
    <w:rsid w:val="00FA23D7"/>
    <w:rsid w:val="00FA2434"/>
    <w:rsid w:val="00FA247D"/>
    <w:rsid w:val="00FA25DD"/>
    <w:rsid w:val="00FA2636"/>
    <w:rsid w:val="00FA2847"/>
    <w:rsid w:val="00FA2996"/>
    <w:rsid w:val="00FA2DFC"/>
    <w:rsid w:val="00FA2EAE"/>
    <w:rsid w:val="00FA2FD1"/>
    <w:rsid w:val="00FA313C"/>
    <w:rsid w:val="00FA3371"/>
    <w:rsid w:val="00FA3373"/>
    <w:rsid w:val="00FA33B3"/>
    <w:rsid w:val="00FA3492"/>
    <w:rsid w:val="00FA3643"/>
    <w:rsid w:val="00FA37D7"/>
    <w:rsid w:val="00FA3899"/>
    <w:rsid w:val="00FA38BE"/>
    <w:rsid w:val="00FA3B63"/>
    <w:rsid w:val="00FA3B68"/>
    <w:rsid w:val="00FA3BC9"/>
    <w:rsid w:val="00FA3C78"/>
    <w:rsid w:val="00FA3D1A"/>
    <w:rsid w:val="00FA3DAA"/>
    <w:rsid w:val="00FA3FD9"/>
    <w:rsid w:val="00FA42BC"/>
    <w:rsid w:val="00FA430B"/>
    <w:rsid w:val="00FA4829"/>
    <w:rsid w:val="00FA4932"/>
    <w:rsid w:val="00FA4ED7"/>
    <w:rsid w:val="00FA4FC5"/>
    <w:rsid w:val="00FA507E"/>
    <w:rsid w:val="00FA5134"/>
    <w:rsid w:val="00FA518F"/>
    <w:rsid w:val="00FA519C"/>
    <w:rsid w:val="00FA520A"/>
    <w:rsid w:val="00FA5311"/>
    <w:rsid w:val="00FA53A6"/>
    <w:rsid w:val="00FA53C0"/>
    <w:rsid w:val="00FA55CC"/>
    <w:rsid w:val="00FA5787"/>
    <w:rsid w:val="00FA57C6"/>
    <w:rsid w:val="00FA5A1F"/>
    <w:rsid w:val="00FA5A4D"/>
    <w:rsid w:val="00FA5A78"/>
    <w:rsid w:val="00FA5BD0"/>
    <w:rsid w:val="00FA5CB6"/>
    <w:rsid w:val="00FA5CE6"/>
    <w:rsid w:val="00FA5E88"/>
    <w:rsid w:val="00FA6021"/>
    <w:rsid w:val="00FA60A6"/>
    <w:rsid w:val="00FA6137"/>
    <w:rsid w:val="00FA6138"/>
    <w:rsid w:val="00FA61F4"/>
    <w:rsid w:val="00FA62EC"/>
    <w:rsid w:val="00FA643E"/>
    <w:rsid w:val="00FA64D5"/>
    <w:rsid w:val="00FA6518"/>
    <w:rsid w:val="00FA67C7"/>
    <w:rsid w:val="00FA6824"/>
    <w:rsid w:val="00FA6970"/>
    <w:rsid w:val="00FA6DCA"/>
    <w:rsid w:val="00FA7251"/>
    <w:rsid w:val="00FA7289"/>
    <w:rsid w:val="00FA72CA"/>
    <w:rsid w:val="00FA7314"/>
    <w:rsid w:val="00FA73B8"/>
    <w:rsid w:val="00FA748F"/>
    <w:rsid w:val="00FA74D0"/>
    <w:rsid w:val="00FA758D"/>
    <w:rsid w:val="00FA763A"/>
    <w:rsid w:val="00FA7643"/>
    <w:rsid w:val="00FA78F7"/>
    <w:rsid w:val="00FA798E"/>
    <w:rsid w:val="00FA79AA"/>
    <w:rsid w:val="00FA7AF4"/>
    <w:rsid w:val="00FA7B5D"/>
    <w:rsid w:val="00FA7CFC"/>
    <w:rsid w:val="00FA7D81"/>
    <w:rsid w:val="00FA7DFB"/>
    <w:rsid w:val="00FB01FE"/>
    <w:rsid w:val="00FB0273"/>
    <w:rsid w:val="00FB03C5"/>
    <w:rsid w:val="00FB03CD"/>
    <w:rsid w:val="00FB043B"/>
    <w:rsid w:val="00FB0561"/>
    <w:rsid w:val="00FB0633"/>
    <w:rsid w:val="00FB0831"/>
    <w:rsid w:val="00FB0ADC"/>
    <w:rsid w:val="00FB0BA4"/>
    <w:rsid w:val="00FB0D2C"/>
    <w:rsid w:val="00FB0D88"/>
    <w:rsid w:val="00FB0DBA"/>
    <w:rsid w:val="00FB0F5D"/>
    <w:rsid w:val="00FB0F71"/>
    <w:rsid w:val="00FB140E"/>
    <w:rsid w:val="00FB15C8"/>
    <w:rsid w:val="00FB16C0"/>
    <w:rsid w:val="00FB17EF"/>
    <w:rsid w:val="00FB18A0"/>
    <w:rsid w:val="00FB1C70"/>
    <w:rsid w:val="00FB2092"/>
    <w:rsid w:val="00FB20D6"/>
    <w:rsid w:val="00FB20F6"/>
    <w:rsid w:val="00FB2120"/>
    <w:rsid w:val="00FB2138"/>
    <w:rsid w:val="00FB224C"/>
    <w:rsid w:val="00FB23CB"/>
    <w:rsid w:val="00FB2495"/>
    <w:rsid w:val="00FB24AE"/>
    <w:rsid w:val="00FB259A"/>
    <w:rsid w:val="00FB25CE"/>
    <w:rsid w:val="00FB2675"/>
    <w:rsid w:val="00FB2769"/>
    <w:rsid w:val="00FB27F6"/>
    <w:rsid w:val="00FB2BBD"/>
    <w:rsid w:val="00FB2C1C"/>
    <w:rsid w:val="00FB2D09"/>
    <w:rsid w:val="00FB2DB5"/>
    <w:rsid w:val="00FB2FDA"/>
    <w:rsid w:val="00FB30DC"/>
    <w:rsid w:val="00FB321E"/>
    <w:rsid w:val="00FB3226"/>
    <w:rsid w:val="00FB3275"/>
    <w:rsid w:val="00FB3366"/>
    <w:rsid w:val="00FB3394"/>
    <w:rsid w:val="00FB359F"/>
    <w:rsid w:val="00FB3721"/>
    <w:rsid w:val="00FB372E"/>
    <w:rsid w:val="00FB3968"/>
    <w:rsid w:val="00FB397E"/>
    <w:rsid w:val="00FB39BC"/>
    <w:rsid w:val="00FB3A80"/>
    <w:rsid w:val="00FB3B7B"/>
    <w:rsid w:val="00FB3C68"/>
    <w:rsid w:val="00FB3D0A"/>
    <w:rsid w:val="00FB3D8F"/>
    <w:rsid w:val="00FB3FE7"/>
    <w:rsid w:val="00FB40D6"/>
    <w:rsid w:val="00FB427E"/>
    <w:rsid w:val="00FB42A8"/>
    <w:rsid w:val="00FB44F8"/>
    <w:rsid w:val="00FB474E"/>
    <w:rsid w:val="00FB47D7"/>
    <w:rsid w:val="00FB4860"/>
    <w:rsid w:val="00FB4940"/>
    <w:rsid w:val="00FB4B42"/>
    <w:rsid w:val="00FB4B98"/>
    <w:rsid w:val="00FB4CE0"/>
    <w:rsid w:val="00FB4D10"/>
    <w:rsid w:val="00FB4D3F"/>
    <w:rsid w:val="00FB4F78"/>
    <w:rsid w:val="00FB4FA2"/>
    <w:rsid w:val="00FB524D"/>
    <w:rsid w:val="00FB52C5"/>
    <w:rsid w:val="00FB53D9"/>
    <w:rsid w:val="00FB5419"/>
    <w:rsid w:val="00FB546F"/>
    <w:rsid w:val="00FB54E2"/>
    <w:rsid w:val="00FB55FF"/>
    <w:rsid w:val="00FB5648"/>
    <w:rsid w:val="00FB5881"/>
    <w:rsid w:val="00FB58C1"/>
    <w:rsid w:val="00FB5918"/>
    <w:rsid w:val="00FB593C"/>
    <w:rsid w:val="00FB5AB5"/>
    <w:rsid w:val="00FB6091"/>
    <w:rsid w:val="00FB62E9"/>
    <w:rsid w:val="00FB645D"/>
    <w:rsid w:val="00FB666D"/>
    <w:rsid w:val="00FB667C"/>
    <w:rsid w:val="00FB67B3"/>
    <w:rsid w:val="00FB69AC"/>
    <w:rsid w:val="00FB6ABA"/>
    <w:rsid w:val="00FB6C39"/>
    <w:rsid w:val="00FB6C57"/>
    <w:rsid w:val="00FB6D65"/>
    <w:rsid w:val="00FB6D99"/>
    <w:rsid w:val="00FB6E78"/>
    <w:rsid w:val="00FB724A"/>
    <w:rsid w:val="00FB73F9"/>
    <w:rsid w:val="00FB76A6"/>
    <w:rsid w:val="00FB7716"/>
    <w:rsid w:val="00FB7717"/>
    <w:rsid w:val="00FB78F4"/>
    <w:rsid w:val="00FB7A98"/>
    <w:rsid w:val="00FB7AD0"/>
    <w:rsid w:val="00FB7B7C"/>
    <w:rsid w:val="00FB7EC1"/>
    <w:rsid w:val="00FB7F15"/>
    <w:rsid w:val="00FB7FE9"/>
    <w:rsid w:val="00FC0122"/>
    <w:rsid w:val="00FC0153"/>
    <w:rsid w:val="00FC01AC"/>
    <w:rsid w:val="00FC0275"/>
    <w:rsid w:val="00FC0387"/>
    <w:rsid w:val="00FC0389"/>
    <w:rsid w:val="00FC0391"/>
    <w:rsid w:val="00FC0619"/>
    <w:rsid w:val="00FC06BA"/>
    <w:rsid w:val="00FC06EF"/>
    <w:rsid w:val="00FC0726"/>
    <w:rsid w:val="00FC074C"/>
    <w:rsid w:val="00FC0792"/>
    <w:rsid w:val="00FC0884"/>
    <w:rsid w:val="00FC096E"/>
    <w:rsid w:val="00FC0991"/>
    <w:rsid w:val="00FC0A08"/>
    <w:rsid w:val="00FC0A09"/>
    <w:rsid w:val="00FC0A3B"/>
    <w:rsid w:val="00FC0A97"/>
    <w:rsid w:val="00FC0BD5"/>
    <w:rsid w:val="00FC0C4A"/>
    <w:rsid w:val="00FC0F3B"/>
    <w:rsid w:val="00FC0F53"/>
    <w:rsid w:val="00FC1013"/>
    <w:rsid w:val="00FC11E4"/>
    <w:rsid w:val="00FC13E6"/>
    <w:rsid w:val="00FC140F"/>
    <w:rsid w:val="00FC1626"/>
    <w:rsid w:val="00FC1697"/>
    <w:rsid w:val="00FC1979"/>
    <w:rsid w:val="00FC19CD"/>
    <w:rsid w:val="00FC1ACA"/>
    <w:rsid w:val="00FC1ACC"/>
    <w:rsid w:val="00FC1BE8"/>
    <w:rsid w:val="00FC1DB1"/>
    <w:rsid w:val="00FC1DE2"/>
    <w:rsid w:val="00FC1E2B"/>
    <w:rsid w:val="00FC1F15"/>
    <w:rsid w:val="00FC1FC6"/>
    <w:rsid w:val="00FC2143"/>
    <w:rsid w:val="00FC2188"/>
    <w:rsid w:val="00FC235C"/>
    <w:rsid w:val="00FC2481"/>
    <w:rsid w:val="00FC2527"/>
    <w:rsid w:val="00FC25D1"/>
    <w:rsid w:val="00FC26D0"/>
    <w:rsid w:val="00FC278D"/>
    <w:rsid w:val="00FC27BB"/>
    <w:rsid w:val="00FC27FE"/>
    <w:rsid w:val="00FC297C"/>
    <w:rsid w:val="00FC2AAF"/>
    <w:rsid w:val="00FC2BE8"/>
    <w:rsid w:val="00FC2CD7"/>
    <w:rsid w:val="00FC2D52"/>
    <w:rsid w:val="00FC2F08"/>
    <w:rsid w:val="00FC2FE8"/>
    <w:rsid w:val="00FC3147"/>
    <w:rsid w:val="00FC3176"/>
    <w:rsid w:val="00FC3203"/>
    <w:rsid w:val="00FC3238"/>
    <w:rsid w:val="00FC33BC"/>
    <w:rsid w:val="00FC33FA"/>
    <w:rsid w:val="00FC3422"/>
    <w:rsid w:val="00FC3451"/>
    <w:rsid w:val="00FC352B"/>
    <w:rsid w:val="00FC39AE"/>
    <w:rsid w:val="00FC3A70"/>
    <w:rsid w:val="00FC3B58"/>
    <w:rsid w:val="00FC3BB3"/>
    <w:rsid w:val="00FC3DD8"/>
    <w:rsid w:val="00FC3F08"/>
    <w:rsid w:val="00FC3F4B"/>
    <w:rsid w:val="00FC40A0"/>
    <w:rsid w:val="00FC444F"/>
    <w:rsid w:val="00FC4604"/>
    <w:rsid w:val="00FC487E"/>
    <w:rsid w:val="00FC48B9"/>
    <w:rsid w:val="00FC4B98"/>
    <w:rsid w:val="00FC4C27"/>
    <w:rsid w:val="00FC4CF7"/>
    <w:rsid w:val="00FC4DE0"/>
    <w:rsid w:val="00FC4E65"/>
    <w:rsid w:val="00FC4EC3"/>
    <w:rsid w:val="00FC4F09"/>
    <w:rsid w:val="00FC4F0D"/>
    <w:rsid w:val="00FC4FBB"/>
    <w:rsid w:val="00FC52B4"/>
    <w:rsid w:val="00FC53B0"/>
    <w:rsid w:val="00FC53FC"/>
    <w:rsid w:val="00FC5417"/>
    <w:rsid w:val="00FC5483"/>
    <w:rsid w:val="00FC54D8"/>
    <w:rsid w:val="00FC558D"/>
    <w:rsid w:val="00FC572C"/>
    <w:rsid w:val="00FC5735"/>
    <w:rsid w:val="00FC59BA"/>
    <w:rsid w:val="00FC5A30"/>
    <w:rsid w:val="00FC5B32"/>
    <w:rsid w:val="00FC5B67"/>
    <w:rsid w:val="00FC5F4D"/>
    <w:rsid w:val="00FC5FAA"/>
    <w:rsid w:val="00FC5FE3"/>
    <w:rsid w:val="00FC6027"/>
    <w:rsid w:val="00FC62D0"/>
    <w:rsid w:val="00FC6454"/>
    <w:rsid w:val="00FC66D5"/>
    <w:rsid w:val="00FC671C"/>
    <w:rsid w:val="00FC67AC"/>
    <w:rsid w:val="00FC6813"/>
    <w:rsid w:val="00FC6993"/>
    <w:rsid w:val="00FC6AAD"/>
    <w:rsid w:val="00FC6C81"/>
    <w:rsid w:val="00FC6CB9"/>
    <w:rsid w:val="00FC6E82"/>
    <w:rsid w:val="00FC6EEF"/>
    <w:rsid w:val="00FC6F23"/>
    <w:rsid w:val="00FC70EF"/>
    <w:rsid w:val="00FC713C"/>
    <w:rsid w:val="00FC718B"/>
    <w:rsid w:val="00FC7190"/>
    <w:rsid w:val="00FC71C6"/>
    <w:rsid w:val="00FC7220"/>
    <w:rsid w:val="00FC7223"/>
    <w:rsid w:val="00FC72D8"/>
    <w:rsid w:val="00FC7439"/>
    <w:rsid w:val="00FC7484"/>
    <w:rsid w:val="00FC757D"/>
    <w:rsid w:val="00FC768A"/>
    <w:rsid w:val="00FC76DC"/>
    <w:rsid w:val="00FC7748"/>
    <w:rsid w:val="00FC781B"/>
    <w:rsid w:val="00FC7C06"/>
    <w:rsid w:val="00FC7EF3"/>
    <w:rsid w:val="00FC7F56"/>
    <w:rsid w:val="00FD002B"/>
    <w:rsid w:val="00FD003F"/>
    <w:rsid w:val="00FD01E1"/>
    <w:rsid w:val="00FD0406"/>
    <w:rsid w:val="00FD0431"/>
    <w:rsid w:val="00FD07B7"/>
    <w:rsid w:val="00FD0939"/>
    <w:rsid w:val="00FD0AF5"/>
    <w:rsid w:val="00FD0B3C"/>
    <w:rsid w:val="00FD0B50"/>
    <w:rsid w:val="00FD0D10"/>
    <w:rsid w:val="00FD0EB2"/>
    <w:rsid w:val="00FD109D"/>
    <w:rsid w:val="00FD1244"/>
    <w:rsid w:val="00FD1278"/>
    <w:rsid w:val="00FD12F2"/>
    <w:rsid w:val="00FD1390"/>
    <w:rsid w:val="00FD1538"/>
    <w:rsid w:val="00FD1558"/>
    <w:rsid w:val="00FD1589"/>
    <w:rsid w:val="00FD188A"/>
    <w:rsid w:val="00FD1978"/>
    <w:rsid w:val="00FD19B0"/>
    <w:rsid w:val="00FD1A19"/>
    <w:rsid w:val="00FD1A21"/>
    <w:rsid w:val="00FD1A4C"/>
    <w:rsid w:val="00FD1C3F"/>
    <w:rsid w:val="00FD1CFB"/>
    <w:rsid w:val="00FD1DA5"/>
    <w:rsid w:val="00FD1DD4"/>
    <w:rsid w:val="00FD20EF"/>
    <w:rsid w:val="00FD211A"/>
    <w:rsid w:val="00FD21DE"/>
    <w:rsid w:val="00FD246C"/>
    <w:rsid w:val="00FD2507"/>
    <w:rsid w:val="00FD2529"/>
    <w:rsid w:val="00FD252C"/>
    <w:rsid w:val="00FD257F"/>
    <w:rsid w:val="00FD2585"/>
    <w:rsid w:val="00FD27C4"/>
    <w:rsid w:val="00FD2A35"/>
    <w:rsid w:val="00FD2A56"/>
    <w:rsid w:val="00FD2BB0"/>
    <w:rsid w:val="00FD2C65"/>
    <w:rsid w:val="00FD2C74"/>
    <w:rsid w:val="00FD2E7F"/>
    <w:rsid w:val="00FD30D9"/>
    <w:rsid w:val="00FD3285"/>
    <w:rsid w:val="00FD32DA"/>
    <w:rsid w:val="00FD3447"/>
    <w:rsid w:val="00FD362F"/>
    <w:rsid w:val="00FD374A"/>
    <w:rsid w:val="00FD37CE"/>
    <w:rsid w:val="00FD382E"/>
    <w:rsid w:val="00FD3890"/>
    <w:rsid w:val="00FD38EF"/>
    <w:rsid w:val="00FD39B3"/>
    <w:rsid w:val="00FD3A69"/>
    <w:rsid w:val="00FD3BE2"/>
    <w:rsid w:val="00FD3BF3"/>
    <w:rsid w:val="00FD3DCF"/>
    <w:rsid w:val="00FD3E42"/>
    <w:rsid w:val="00FD3E51"/>
    <w:rsid w:val="00FD3F5B"/>
    <w:rsid w:val="00FD405F"/>
    <w:rsid w:val="00FD40B0"/>
    <w:rsid w:val="00FD40B2"/>
    <w:rsid w:val="00FD40D0"/>
    <w:rsid w:val="00FD4186"/>
    <w:rsid w:val="00FD4269"/>
    <w:rsid w:val="00FD4353"/>
    <w:rsid w:val="00FD4381"/>
    <w:rsid w:val="00FD4413"/>
    <w:rsid w:val="00FD4511"/>
    <w:rsid w:val="00FD4699"/>
    <w:rsid w:val="00FD46E3"/>
    <w:rsid w:val="00FD4733"/>
    <w:rsid w:val="00FD47A4"/>
    <w:rsid w:val="00FD481A"/>
    <w:rsid w:val="00FD483D"/>
    <w:rsid w:val="00FD484D"/>
    <w:rsid w:val="00FD4A31"/>
    <w:rsid w:val="00FD4AF4"/>
    <w:rsid w:val="00FD4B35"/>
    <w:rsid w:val="00FD4BB2"/>
    <w:rsid w:val="00FD4C29"/>
    <w:rsid w:val="00FD4E6A"/>
    <w:rsid w:val="00FD4EE0"/>
    <w:rsid w:val="00FD4FE7"/>
    <w:rsid w:val="00FD5054"/>
    <w:rsid w:val="00FD50AF"/>
    <w:rsid w:val="00FD511A"/>
    <w:rsid w:val="00FD522B"/>
    <w:rsid w:val="00FD52C4"/>
    <w:rsid w:val="00FD537E"/>
    <w:rsid w:val="00FD541F"/>
    <w:rsid w:val="00FD556B"/>
    <w:rsid w:val="00FD5675"/>
    <w:rsid w:val="00FD56CA"/>
    <w:rsid w:val="00FD5715"/>
    <w:rsid w:val="00FD57D2"/>
    <w:rsid w:val="00FD5872"/>
    <w:rsid w:val="00FD59E6"/>
    <w:rsid w:val="00FD5B0D"/>
    <w:rsid w:val="00FD5B63"/>
    <w:rsid w:val="00FD5BF0"/>
    <w:rsid w:val="00FD5C99"/>
    <w:rsid w:val="00FD5CF8"/>
    <w:rsid w:val="00FD5D7A"/>
    <w:rsid w:val="00FD5D83"/>
    <w:rsid w:val="00FD5D86"/>
    <w:rsid w:val="00FD5F06"/>
    <w:rsid w:val="00FD5F51"/>
    <w:rsid w:val="00FD5FDC"/>
    <w:rsid w:val="00FD6032"/>
    <w:rsid w:val="00FD6073"/>
    <w:rsid w:val="00FD6112"/>
    <w:rsid w:val="00FD61B1"/>
    <w:rsid w:val="00FD62B3"/>
    <w:rsid w:val="00FD62D4"/>
    <w:rsid w:val="00FD6329"/>
    <w:rsid w:val="00FD6575"/>
    <w:rsid w:val="00FD6596"/>
    <w:rsid w:val="00FD6614"/>
    <w:rsid w:val="00FD6633"/>
    <w:rsid w:val="00FD6636"/>
    <w:rsid w:val="00FD6A57"/>
    <w:rsid w:val="00FD6A5E"/>
    <w:rsid w:val="00FD6B6F"/>
    <w:rsid w:val="00FD6D4E"/>
    <w:rsid w:val="00FD7058"/>
    <w:rsid w:val="00FD71F4"/>
    <w:rsid w:val="00FD7425"/>
    <w:rsid w:val="00FD74A1"/>
    <w:rsid w:val="00FD7604"/>
    <w:rsid w:val="00FD77B6"/>
    <w:rsid w:val="00FD77BA"/>
    <w:rsid w:val="00FD7BC5"/>
    <w:rsid w:val="00FD7C9B"/>
    <w:rsid w:val="00FD7DD5"/>
    <w:rsid w:val="00FD7ED7"/>
    <w:rsid w:val="00FD7EF8"/>
    <w:rsid w:val="00FE0225"/>
    <w:rsid w:val="00FE0358"/>
    <w:rsid w:val="00FE06EE"/>
    <w:rsid w:val="00FE093F"/>
    <w:rsid w:val="00FE0B4A"/>
    <w:rsid w:val="00FE0C3C"/>
    <w:rsid w:val="00FE0CD1"/>
    <w:rsid w:val="00FE0CE0"/>
    <w:rsid w:val="00FE0E2D"/>
    <w:rsid w:val="00FE0E9D"/>
    <w:rsid w:val="00FE0F54"/>
    <w:rsid w:val="00FE0F94"/>
    <w:rsid w:val="00FE1671"/>
    <w:rsid w:val="00FE1704"/>
    <w:rsid w:val="00FE19FB"/>
    <w:rsid w:val="00FE1A72"/>
    <w:rsid w:val="00FE1B40"/>
    <w:rsid w:val="00FE1C36"/>
    <w:rsid w:val="00FE1CC6"/>
    <w:rsid w:val="00FE1D4F"/>
    <w:rsid w:val="00FE1DA3"/>
    <w:rsid w:val="00FE1E1F"/>
    <w:rsid w:val="00FE1F57"/>
    <w:rsid w:val="00FE20A5"/>
    <w:rsid w:val="00FE2259"/>
    <w:rsid w:val="00FE2293"/>
    <w:rsid w:val="00FE234F"/>
    <w:rsid w:val="00FE238E"/>
    <w:rsid w:val="00FE23C4"/>
    <w:rsid w:val="00FE24A6"/>
    <w:rsid w:val="00FE24AE"/>
    <w:rsid w:val="00FE2555"/>
    <w:rsid w:val="00FE259A"/>
    <w:rsid w:val="00FE25B1"/>
    <w:rsid w:val="00FE2854"/>
    <w:rsid w:val="00FE29D1"/>
    <w:rsid w:val="00FE2A95"/>
    <w:rsid w:val="00FE2C43"/>
    <w:rsid w:val="00FE2D59"/>
    <w:rsid w:val="00FE2F5E"/>
    <w:rsid w:val="00FE2FD8"/>
    <w:rsid w:val="00FE3013"/>
    <w:rsid w:val="00FE3193"/>
    <w:rsid w:val="00FE31C5"/>
    <w:rsid w:val="00FE3641"/>
    <w:rsid w:val="00FE38C9"/>
    <w:rsid w:val="00FE38CC"/>
    <w:rsid w:val="00FE38D3"/>
    <w:rsid w:val="00FE3966"/>
    <w:rsid w:val="00FE3C1B"/>
    <w:rsid w:val="00FE3EC1"/>
    <w:rsid w:val="00FE3EEF"/>
    <w:rsid w:val="00FE3F6B"/>
    <w:rsid w:val="00FE3FC0"/>
    <w:rsid w:val="00FE4140"/>
    <w:rsid w:val="00FE414B"/>
    <w:rsid w:val="00FE45B0"/>
    <w:rsid w:val="00FE461A"/>
    <w:rsid w:val="00FE4910"/>
    <w:rsid w:val="00FE4987"/>
    <w:rsid w:val="00FE4ED9"/>
    <w:rsid w:val="00FE4EF4"/>
    <w:rsid w:val="00FE4FE9"/>
    <w:rsid w:val="00FE50F1"/>
    <w:rsid w:val="00FE532B"/>
    <w:rsid w:val="00FE543B"/>
    <w:rsid w:val="00FE54A8"/>
    <w:rsid w:val="00FE5872"/>
    <w:rsid w:val="00FE5AFA"/>
    <w:rsid w:val="00FE5B1B"/>
    <w:rsid w:val="00FE5C50"/>
    <w:rsid w:val="00FE5CA3"/>
    <w:rsid w:val="00FE5D11"/>
    <w:rsid w:val="00FE5DB7"/>
    <w:rsid w:val="00FE5F3D"/>
    <w:rsid w:val="00FE5FF0"/>
    <w:rsid w:val="00FE6135"/>
    <w:rsid w:val="00FE615A"/>
    <w:rsid w:val="00FE6192"/>
    <w:rsid w:val="00FE62B1"/>
    <w:rsid w:val="00FE63C5"/>
    <w:rsid w:val="00FE656F"/>
    <w:rsid w:val="00FE658B"/>
    <w:rsid w:val="00FE66D2"/>
    <w:rsid w:val="00FE6725"/>
    <w:rsid w:val="00FE67A8"/>
    <w:rsid w:val="00FE67D6"/>
    <w:rsid w:val="00FE699E"/>
    <w:rsid w:val="00FE6A3D"/>
    <w:rsid w:val="00FE6A79"/>
    <w:rsid w:val="00FE6B96"/>
    <w:rsid w:val="00FE6BE1"/>
    <w:rsid w:val="00FE6C9F"/>
    <w:rsid w:val="00FE6CCB"/>
    <w:rsid w:val="00FE6D07"/>
    <w:rsid w:val="00FE6D3B"/>
    <w:rsid w:val="00FE6E99"/>
    <w:rsid w:val="00FE710F"/>
    <w:rsid w:val="00FE71C1"/>
    <w:rsid w:val="00FE7313"/>
    <w:rsid w:val="00FE733F"/>
    <w:rsid w:val="00FE735F"/>
    <w:rsid w:val="00FE7394"/>
    <w:rsid w:val="00FE7426"/>
    <w:rsid w:val="00FE77A0"/>
    <w:rsid w:val="00FE780F"/>
    <w:rsid w:val="00FE7A1E"/>
    <w:rsid w:val="00FE7AD5"/>
    <w:rsid w:val="00FE7B12"/>
    <w:rsid w:val="00FE7BBC"/>
    <w:rsid w:val="00FE7D69"/>
    <w:rsid w:val="00FF001C"/>
    <w:rsid w:val="00FF0096"/>
    <w:rsid w:val="00FF00DC"/>
    <w:rsid w:val="00FF02D3"/>
    <w:rsid w:val="00FF046E"/>
    <w:rsid w:val="00FF061B"/>
    <w:rsid w:val="00FF06B4"/>
    <w:rsid w:val="00FF0782"/>
    <w:rsid w:val="00FF0789"/>
    <w:rsid w:val="00FF07F3"/>
    <w:rsid w:val="00FF0813"/>
    <w:rsid w:val="00FF08CA"/>
    <w:rsid w:val="00FF0ACC"/>
    <w:rsid w:val="00FF0AE9"/>
    <w:rsid w:val="00FF0E66"/>
    <w:rsid w:val="00FF0EE7"/>
    <w:rsid w:val="00FF0EEA"/>
    <w:rsid w:val="00FF0FC8"/>
    <w:rsid w:val="00FF0FDB"/>
    <w:rsid w:val="00FF14CC"/>
    <w:rsid w:val="00FF1559"/>
    <w:rsid w:val="00FF1657"/>
    <w:rsid w:val="00FF1669"/>
    <w:rsid w:val="00FF16B7"/>
    <w:rsid w:val="00FF1871"/>
    <w:rsid w:val="00FF197A"/>
    <w:rsid w:val="00FF1A76"/>
    <w:rsid w:val="00FF1A88"/>
    <w:rsid w:val="00FF1BE2"/>
    <w:rsid w:val="00FF1C39"/>
    <w:rsid w:val="00FF1C62"/>
    <w:rsid w:val="00FF1C88"/>
    <w:rsid w:val="00FF1CCA"/>
    <w:rsid w:val="00FF215C"/>
    <w:rsid w:val="00FF22CF"/>
    <w:rsid w:val="00FF2413"/>
    <w:rsid w:val="00FF247F"/>
    <w:rsid w:val="00FF24FB"/>
    <w:rsid w:val="00FF270D"/>
    <w:rsid w:val="00FF2B19"/>
    <w:rsid w:val="00FF2CB0"/>
    <w:rsid w:val="00FF2DE1"/>
    <w:rsid w:val="00FF2E99"/>
    <w:rsid w:val="00FF30C8"/>
    <w:rsid w:val="00FF30DD"/>
    <w:rsid w:val="00FF3106"/>
    <w:rsid w:val="00FF32E6"/>
    <w:rsid w:val="00FF335E"/>
    <w:rsid w:val="00FF375B"/>
    <w:rsid w:val="00FF3834"/>
    <w:rsid w:val="00FF3931"/>
    <w:rsid w:val="00FF3965"/>
    <w:rsid w:val="00FF3D19"/>
    <w:rsid w:val="00FF3DD6"/>
    <w:rsid w:val="00FF3FF7"/>
    <w:rsid w:val="00FF42D3"/>
    <w:rsid w:val="00FF44CC"/>
    <w:rsid w:val="00FF45C5"/>
    <w:rsid w:val="00FF45E7"/>
    <w:rsid w:val="00FF4630"/>
    <w:rsid w:val="00FF465F"/>
    <w:rsid w:val="00FF46EB"/>
    <w:rsid w:val="00FF46F9"/>
    <w:rsid w:val="00FF474D"/>
    <w:rsid w:val="00FF4818"/>
    <w:rsid w:val="00FF481F"/>
    <w:rsid w:val="00FF488E"/>
    <w:rsid w:val="00FF489F"/>
    <w:rsid w:val="00FF48CB"/>
    <w:rsid w:val="00FF4971"/>
    <w:rsid w:val="00FF49AC"/>
    <w:rsid w:val="00FF49C0"/>
    <w:rsid w:val="00FF4C31"/>
    <w:rsid w:val="00FF4CC4"/>
    <w:rsid w:val="00FF4EA1"/>
    <w:rsid w:val="00FF5014"/>
    <w:rsid w:val="00FF502C"/>
    <w:rsid w:val="00FF5060"/>
    <w:rsid w:val="00FF5138"/>
    <w:rsid w:val="00FF5218"/>
    <w:rsid w:val="00FF523C"/>
    <w:rsid w:val="00FF5296"/>
    <w:rsid w:val="00FF52EF"/>
    <w:rsid w:val="00FF53A7"/>
    <w:rsid w:val="00FF5412"/>
    <w:rsid w:val="00FF5485"/>
    <w:rsid w:val="00FF54E3"/>
    <w:rsid w:val="00FF54E7"/>
    <w:rsid w:val="00FF55C7"/>
    <w:rsid w:val="00FF55EB"/>
    <w:rsid w:val="00FF581D"/>
    <w:rsid w:val="00FF58E1"/>
    <w:rsid w:val="00FF598E"/>
    <w:rsid w:val="00FF5A76"/>
    <w:rsid w:val="00FF5A7F"/>
    <w:rsid w:val="00FF5B7D"/>
    <w:rsid w:val="00FF5D6B"/>
    <w:rsid w:val="00FF5E51"/>
    <w:rsid w:val="00FF6097"/>
    <w:rsid w:val="00FF6287"/>
    <w:rsid w:val="00FF62B6"/>
    <w:rsid w:val="00FF642C"/>
    <w:rsid w:val="00FF649C"/>
    <w:rsid w:val="00FF6590"/>
    <w:rsid w:val="00FF659F"/>
    <w:rsid w:val="00FF6615"/>
    <w:rsid w:val="00FF665C"/>
    <w:rsid w:val="00FF66CC"/>
    <w:rsid w:val="00FF6795"/>
    <w:rsid w:val="00FF67B3"/>
    <w:rsid w:val="00FF6820"/>
    <w:rsid w:val="00FF6B51"/>
    <w:rsid w:val="00FF6BD7"/>
    <w:rsid w:val="00FF6CCC"/>
    <w:rsid w:val="00FF6E15"/>
    <w:rsid w:val="00FF6EE0"/>
    <w:rsid w:val="00FF6F71"/>
    <w:rsid w:val="00FF6FF2"/>
    <w:rsid w:val="00FF7202"/>
    <w:rsid w:val="00FF7272"/>
    <w:rsid w:val="00FF72CC"/>
    <w:rsid w:val="00FF741C"/>
    <w:rsid w:val="00FF7866"/>
    <w:rsid w:val="00FF78AA"/>
    <w:rsid w:val="00FF7935"/>
    <w:rsid w:val="00FF793E"/>
    <w:rsid w:val="00FF7B8A"/>
    <w:rsid w:val="00FF7BCF"/>
    <w:rsid w:val="00FF7BE6"/>
    <w:rsid w:val="012211FF"/>
    <w:rsid w:val="012254A4"/>
    <w:rsid w:val="012C7DBF"/>
    <w:rsid w:val="012D6B0E"/>
    <w:rsid w:val="013BDF3E"/>
    <w:rsid w:val="013DF258"/>
    <w:rsid w:val="0153A962"/>
    <w:rsid w:val="01AB1E3C"/>
    <w:rsid w:val="01AB91FE"/>
    <w:rsid w:val="01B2EE17"/>
    <w:rsid w:val="01B866E4"/>
    <w:rsid w:val="01C03FE0"/>
    <w:rsid w:val="01CFB34C"/>
    <w:rsid w:val="01DB8EA3"/>
    <w:rsid w:val="01F624F8"/>
    <w:rsid w:val="02188F68"/>
    <w:rsid w:val="024069F6"/>
    <w:rsid w:val="0242697B"/>
    <w:rsid w:val="025FEF3A"/>
    <w:rsid w:val="02748D0C"/>
    <w:rsid w:val="02820C4B"/>
    <w:rsid w:val="029B478F"/>
    <w:rsid w:val="02A19D3F"/>
    <w:rsid w:val="02B07C78"/>
    <w:rsid w:val="02C66674"/>
    <w:rsid w:val="02E2448A"/>
    <w:rsid w:val="032C428B"/>
    <w:rsid w:val="03304F35"/>
    <w:rsid w:val="0331A33C"/>
    <w:rsid w:val="0349D690"/>
    <w:rsid w:val="034B1630"/>
    <w:rsid w:val="034C8A29"/>
    <w:rsid w:val="034C8CDB"/>
    <w:rsid w:val="036E38D2"/>
    <w:rsid w:val="03920939"/>
    <w:rsid w:val="03979D52"/>
    <w:rsid w:val="03B541C8"/>
    <w:rsid w:val="03D3C7A7"/>
    <w:rsid w:val="03E0EB23"/>
    <w:rsid w:val="03F48F24"/>
    <w:rsid w:val="03FD93EE"/>
    <w:rsid w:val="0417F386"/>
    <w:rsid w:val="042ADFEE"/>
    <w:rsid w:val="045B210C"/>
    <w:rsid w:val="045F696F"/>
    <w:rsid w:val="04680EC2"/>
    <w:rsid w:val="048A214B"/>
    <w:rsid w:val="04901369"/>
    <w:rsid w:val="04960945"/>
    <w:rsid w:val="049F50FC"/>
    <w:rsid w:val="04B93416"/>
    <w:rsid w:val="04C24953"/>
    <w:rsid w:val="04C7DFDB"/>
    <w:rsid w:val="04D785AC"/>
    <w:rsid w:val="04F3814C"/>
    <w:rsid w:val="05064F35"/>
    <w:rsid w:val="050D17BE"/>
    <w:rsid w:val="05198C21"/>
    <w:rsid w:val="0540BA51"/>
    <w:rsid w:val="0563E5B7"/>
    <w:rsid w:val="056764FE"/>
    <w:rsid w:val="056EF388"/>
    <w:rsid w:val="05799C07"/>
    <w:rsid w:val="059CF4AA"/>
    <w:rsid w:val="05A97AC0"/>
    <w:rsid w:val="05B346A6"/>
    <w:rsid w:val="06013739"/>
    <w:rsid w:val="062AC830"/>
    <w:rsid w:val="06496A15"/>
    <w:rsid w:val="0652E83E"/>
    <w:rsid w:val="0668A23B"/>
    <w:rsid w:val="0669DFE3"/>
    <w:rsid w:val="06773899"/>
    <w:rsid w:val="067A0FF9"/>
    <w:rsid w:val="067AD196"/>
    <w:rsid w:val="0694CF7E"/>
    <w:rsid w:val="069CDF5C"/>
    <w:rsid w:val="06A52F14"/>
    <w:rsid w:val="06B90F88"/>
    <w:rsid w:val="06BC59CF"/>
    <w:rsid w:val="06C35280"/>
    <w:rsid w:val="06C9A0F9"/>
    <w:rsid w:val="06F010AE"/>
    <w:rsid w:val="0701D709"/>
    <w:rsid w:val="0714800F"/>
    <w:rsid w:val="07172E30"/>
    <w:rsid w:val="07372D4E"/>
    <w:rsid w:val="073B68B6"/>
    <w:rsid w:val="07699035"/>
    <w:rsid w:val="078DCB3F"/>
    <w:rsid w:val="07952BA6"/>
    <w:rsid w:val="07A292FC"/>
    <w:rsid w:val="07BDFC5E"/>
    <w:rsid w:val="07C8C4EE"/>
    <w:rsid w:val="07D06E60"/>
    <w:rsid w:val="07D2B797"/>
    <w:rsid w:val="07D84424"/>
    <w:rsid w:val="07D857DF"/>
    <w:rsid w:val="07D939BD"/>
    <w:rsid w:val="07DEA2EE"/>
    <w:rsid w:val="07EE8684"/>
    <w:rsid w:val="07EF1E7B"/>
    <w:rsid w:val="07F4E766"/>
    <w:rsid w:val="082506A5"/>
    <w:rsid w:val="082CA8F1"/>
    <w:rsid w:val="082CC2A0"/>
    <w:rsid w:val="0845313B"/>
    <w:rsid w:val="08636F52"/>
    <w:rsid w:val="088A00CC"/>
    <w:rsid w:val="088FB387"/>
    <w:rsid w:val="08CEEDE5"/>
    <w:rsid w:val="08E1DD51"/>
    <w:rsid w:val="091977C5"/>
    <w:rsid w:val="0936A2B2"/>
    <w:rsid w:val="09546A4E"/>
    <w:rsid w:val="09695F72"/>
    <w:rsid w:val="09883F1A"/>
    <w:rsid w:val="0989CF3B"/>
    <w:rsid w:val="098D757C"/>
    <w:rsid w:val="0992CD08"/>
    <w:rsid w:val="09B0107D"/>
    <w:rsid w:val="09D1296E"/>
    <w:rsid w:val="0A0CB679"/>
    <w:rsid w:val="0A142910"/>
    <w:rsid w:val="0A161584"/>
    <w:rsid w:val="0A1D47BE"/>
    <w:rsid w:val="0A3A130B"/>
    <w:rsid w:val="0A48B1C3"/>
    <w:rsid w:val="0A6EB570"/>
    <w:rsid w:val="0A7BE1E9"/>
    <w:rsid w:val="0A98DE66"/>
    <w:rsid w:val="0A9D043A"/>
    <w:rsid w:val="0AA017A0"/>
    <w:rsid w:val="0AA210CE"/>
    <w:rsid w:val="0AA27FD9"/>
    <w:rsid w:val="0AB0FB6E"/>
    <w:rsid w:val="0AB9BE47"/>
    <w:rsid w:val="0ABB2341"/>
    <w:rsid w:val="0ABB60AD"/>
    <w:rsid w:val="0AC5B444"/>
    <w:rsid w:val="0AD37932"/>
    <w:rsid w:val="0ADDABD1"/>
    <w:rsid w:val="0AFB0C9F"/>
    <w:rsid w:val="0B0F11D0"/>
    <w:rsid w:val="0B171993"/>
    <w:rsid w:val="0B27D21E"/>
    <w:rsid w:val="0B28B6FC"/>
    <w:rsid w:val="0B3A23B1"/>
    <w:rsid w:val="0B3B793F"/>
    <w:rsid w:val="0B5026AD"/>
    <w:rsid w:val="0B61A8DA"/>
    <w:rsid w:val="0B6E252C"/>
    <w:rsid w:val="0B7DBA45"/>
    <w:rsid w:val="0B8E42CE"/>
    <w:rsid w:val="0BA36241"/>
    <w:rsid w:val="0BB5A226"/>
    <w:rsid w:val="0BCFFEAC"/>
    <w:rsid w:val="0BDE589F"/>
    <w:rsid w:val="0BE47F6D"/>
    <w:rsid w:val="0BEF68BA"/>
    <w:rsid w:val="0BF0CC2D"/>
    <w:rsid w:val="0BF5001A"/>
    <w:rsid w:val="0C181188"/>
    <w:rsid w:val="0C254E83"/>
    <w:rsid w:val="0C337452"/>
    <w:rsid w:val="0C380ED8"/>
    <w:rsid w:val="0C38410A"/>
    <w:rsid w:val="0C3B265F"/>
    <w:rsid w:val="0C4249FE"/>
    <w:rsid w:val="0C7E617E"/>
    <w:rsid w:val="0CC16151"/>
    <w:rsid w:val="0CD2E709"/>
    <w:rsid w:val="0D06F057"/>
    <w:rsid w:val="0D09DD8D"/>
    <w:rsid w:val="0D1087ED"/>
    <w:rsid w:val="0D31C4A9"/>
    <w:rsid w:val="0D403336"/>
    <w:rsid w:val="0D425BEC"/>
    <w:rsid w:val="0D614C0F"/>
    <w:rsid w:val="0D6E1BF2"/>
    <w:rsid w:val="0D78C661"/>
    <w:rsid w:val="0D82226C"/>
    <w:rsid w:val="0D8F05A0"/>
    <w:rsid w:val="0D9D5476"/>
    <w:rsid w:val="0DBDA188"/>
    <w:rsid w:val="0DE12963"/>
    <w:rsid w:val="0DF505A2"/>
    <w:rsid w:val="0DF60A93"/>
    <w:rsid w:val="0E05E87B"/>
    <w:rsid w:val="0E127D9B"/>
    <w:rsid w:val="0E17A229"/>
    <w:rsid w:val="0E2E9DF3"/>
    <w:rsid w:val="0E30CD2A"/>
    <w:rsid w:val="0E374EEB"/>
    <w:rsid w:val="0E7C7D37"/>
    <w:rsid w:val="0E8A0FAD"/>
    <w:rsid w:val="0E97B004"/>
    <w:rsid w:val="0E9C574A"/>
    <w:rsid w:val="0E9E7B4E"/>
    <w:rsid w:val="0EA76591"/>
    <w:rsid w:val="0EDAA8A3"/>
    <w:rsid w:val="0EE75441"/>
    <w:rsid w:val="0EF2EB7E"/>
    <w:rsid w:val="0EF5A007"/>
    <w:rsid w:val="0F164FE1"/>
    <w:rsid w:val="0F6DA7B5"/>
    <w:rsid w:val="0F72EA61"/>
    <w:rsid w:val="0F7EA469"/>
    <w:rsid w:val="0F8081E5"/>
    <w:rsid w:val="0FA5C95C"/>
    <w:rsid w:val="0FB2532B"/>
    <w:rsid w:val="0FCEB758"/>
    <w:rsid w:val="0FE6413E"/>
    <w:rsid w:val="0FF1DF29"/>
    <w:rsid w:val="0FF975AF"/>
    <w:rsid w:val="0FFBF72C"/>
    <w:rsid w:val="1008B3F3"/>
    <w:rsid w:val="102A2DB1"/>
    <w:rsid w:val="1035E4C7"/>
    <w:rsid w:val="1047879F"/>
    <w:rsid w:val="1087849A"/>
    <w:rsid w:val="10969F63"/>
    <w:rsid w:val="109AB991"/>
    <w:rsid w:val="10D568DC"/>
    <w:rsid w:val="10F24662"/>
    <w:rsid w:val="10FEA224"/>
    <w:rsid w:val="1106925E"/>
    <w:rsid w:val="110A2B8F"/>
    <w:rsid w:val="110D1DDA"/>
    <w:rsid w:val="11123982"/>
    <w:rsid w:val="111250A0"/>
    <w:rsid w:val="11155514"/>
    <w:rsid w:val="113F6880"/>
    <w:rsid w:val="114E54A4"/>
    <w:rsid w:val="114F0267"/>
    <w:rsid w:val="11632C9A"/>
    <w:rsid w:val="11634E6F"/>
    <w:rsid w:val="116B3A81"/>
    <w:rsid w:val="117E2504"/>
    <w:rsid w:val="11825FD4"/>
    <w:rsid w:val="11837A7C"/>
    <w:rsid w:val="11892885"/>
    <w:rsid w:val="119E0C37"/>
    <w:rsid w:val="11A246D1"/>
    <w:rsid w:val="11C0A25D"/>
    <w:rsid w:val="11F4E2D9"/>
    <w:rsid w:val="11FCFA94"/>
    <w:rsid w:val="12124ED5"/>
    <w:rsid w:val="12228741"/>
    <w:rsid w:val="1232DE44"/>
    <w:rsid w:val="123865FB"/>
    <w:rsid w:val="1263AF36"/>
    <w:rsid w:val="12796925"/>
    <w:rsid w:val="12967517"/>
    <w:rsid w:val="12A76062"/>
    <w:rsid w:val="12C89EC4"/>
    <w:rsid w:val="12CB37FB"/>
    <w:rsid w:val="130BCF14"/>
    <w:rsid w:val="1316E9A6"/>
    <w:rsid w:val="1321B1E5"/>
    <w:rsid w:val="1338D73A"/>
    <w:rsid w:val="135777DB"/>
    <w:rsid w:val="13641F56"/>
    <w:rsid w:val="13711C39"/>
    <w:rsid w:val="137A4215"/>
    <w:rsid w:val="137DB616"/>
    <w:rsid w:val="13976C6C"/>
    <w:rsid w:val="13BBDD76"/>
    <w:rsid w:val="13BFDB64"/>
    <w:rsid w:val="13C07D24"/>
    <w:rsid w:val="13CFAFD6"/>
    <w:rsid w:val="13D377B7"/>
    <w:rsid w:val="140E0026"/>
    <w:rsid w:val="1429E5F7"/>
    <w:rsid w:val="142DE5AF"/>
    <w:rsid w:val="14425260"/>
    <w:rsid w:val="1477A3F9"/>
    <w:rsid w:val="148D642B"/>
    <w:rsid w:val="14C5E3BD"/>
    <w:rsid w:val="14DA8A5D"/>
    <w:rsid w:val="157603A4"/>
    <w:rsid w:val="158CD2D0"/>
    <w:rsid w:val="15C85463"/>
    <w:rsid w:val="15E9F087"/>
    <w:rsid w:val="16365074"/>
    <w:rsid w:val="1644893F"/>
    <w:rsid w:val="165D2352"/>
    <w:rsid w:val="167DFCB0"/>
    <w:rsid w:val="169C51BB"/>
    <w:rsid w:val="16D1E221"/>
    <w:rsid w:val="16E032B5"/>
    <w:rsid w:val="16E130BD"/>
    <w:rsid w:val="16ECE106"/>
    <w:rsid w:val="16FB3E33"/>
    <w:rsid w:val="170B1AF7"/>
    <w:rsid w:val="1737532A"/>
    <w:rsid w:val="17409CD8"/>
    <w:rsid w:val="174B0839"/>
    <w:rsid w:val="174D277E"/>
    <w:rsid w:val="176439E0"/>
    <w:rsid w:val="17665443"/>
    <w:rsid w:val="176717DD"/>
    <w:rsid w:val="17730199"/>
    <w:rsid w:val="17A00042"/>
    <w:rsid w:val="17AA09DD"/>
    <w:rsid w:val="17B6BF22"/>
    <w:rsid w:val="17BAFA52"/>
    <w:rsid w:val="17C741E2"/>
    <w:rsid w:val="17C82E9C"/>
    <w:rsid w:val="17EFA48A"/>
    <w:rsid w:val="17F1968D"/>
    <w:rsid w:val="18027FEF"/>
    <w:rsid w:val="183BE138"/>
    <w:rsid w:val="183C89B3"/>
    <w:rsid w:val="184E2E63"/>
    <w:rsid w:val="185F8F49"/>
    <w:rsid w:val="18600F4F"/>
    <w:rsid w:val="1863B8C9"/>
    <w:rsid w:val="186B87FC"/>
    <w:rsid w:val="187E8F0C"/>
    <w:rsid w:val="187EE797"/>
    <w:rsid w:val="188595C6"/>
    <w:rsid w:val="18924A8E"/>
    <w:rsid w:val="189A33E2"/>
    <w:rsid w:val="18AF7F8D"/>
    <w:rsid w:val="18BC562E"/>
    <w:rsid w:val="18D93FC9"/>
    <w:rsid w:val="18F7340B"/>
    <w:rsid w:val="190B226C"/>
    <w:rsid w:val="192666E2"/>
    <w:rsid w:val="192C5B2F"/>
    <w:rsid w:val="193C9B89"/>
    <w:rsid w:val="19463F8E"/>
    <w:rsid w:val="1963D5ED"/>
    <w:rsid w:val="196B774D"/>
    <w:rsid w:val="196FA940"/>
    <w:rsid w:val="1973E51E"/>
    <w:rsid w:val="199C0CDA"/>
    <w:rsid w:val="199D7A05"/>
    <w:rsid w:val="19A580B4"/>
    <w:rsid w:val="19BA7DBF"/>
    <w:rsid w:val="19CE80BA"/>
    <w:rsid w:val="19D1B64A"/>
    <w:rsid w:val="19EB12CD"/>
    <w:rsid w:val="1A007037"/>
    <w:rsid w:val="1A2D1ACA"/>
    <w:rsid w:val="1A3A6FAA"/>
    <w:rsid w:val="1A421871"/>
    <w:rsid w:val="1A578413"/>
    <w:rsid w:val="1A5C4040"/>
    <w:rsid w:val="1A6BC814"/>
    <w:rsid w:val="1A7AD810"/>
    <w:rsid w:val="1ABC9B37"/>
    <w:rsid w:val="1AC11E7E"/>
    <w:rsid w:val="1AD94BAF"/>
    <w:rsid w:val="1AE6D800"/>
    <w:rsid w:val="1AF598CA"/>
    <w:rsid w:val="1B169C3C"/>
    <w:rsid w:val="1B7EE5A8"/>
    <w:rsid w:val="1B9C832A"/>
    <w:rsid w:val="1BA2FA77"/>
    <w:rsid w:val="1BA5D29C"/>
    <w:rsid w:val="1BB005E1"/>
    <w:rsid w:val="1BCBD125"/>
    <w:rsid w:val="1C0221C2"/>
    <w:rsid w:val="1C21B97B"/>
    <w:rsid w:val="1C24E6A1"/>
    <w:rsid w:val="1C5B9F20"/>
    <w:rsid w:val="1C5DFF19"/>
    <w:rsid w:val="1C66DA37"/>
    <w:rsid w:val="1C6C5BE7"/>
    <w:rsid w:val="1C9D987F"/>
    <w:rsid w:val="1CBFE775"/>
    <w:rsid w:val="1CC25173"/>
    <w:rsid w:val="1CD89EE2"/>
    <w:rsid w:val="1CEDE324"/>
    <w:rsid w:val="1CEE3A96"/>
    <w:rsid w:val="1D19C67B"/>
    <w:rsid w:val="1D2D82EE"/>
    <w:rsid w:val="1D406A87"/>
    <w:rsid w:val="1D4268B3"/>
    <w:rsid w:val="1D429F1C"/>
    <w:rsid w:val="1D476527"/>
    <w:rsid w:val="1D56D267"/>
    <w:rsid w:val="1D5A1BC9"/>
    <w:rsid w:val="1D84E215"/>
    <w:rsid w:val="1D974F99"/>
    <w:rsid w:val="1DA141AE"/>
    <w:rsid w:val="1DA701AB"/>
    <w:rsid w:val="1DAF339B"/>
    <w:rsid w:val="1DCBCC84"/>
    <w:rsid w:val="1DD0B7FC"/>
    <w:rsid w:val="1DDEACD2"/>
    <w:rsid w:val="1DE16339"/>
    <w:rsid w:val="1DF56EC5"/>
    <w:rsid w:val="1E2E010D"/>
    <w:rsid w:val="1E39A183"/>
    <w:rsid w:val="1E584ADA"/>
    <w:rsid w:val="1E591D22"/>
    <w:rsid w:val="1E78E1CD"/>
    <w:rsid w:val="1E84C98F"/>
    <w:rsid w:val="1E9F084B"/>
    <w:rsid w:val="1EDA2EF2"/>
    <w:rsid w:val="1EE07CB6"/>
    <w:rsid w:val="1EE26092"/>
    <w:rsid w:val="1EE66429"/>
    <w:rsid w:val="1EED451C"/>
    <w:rsid w:val="1EF00805"/>
    <w:rsid w:val="1EF26706"/>
    <w:rsid w:val="1F07A0F3"/>
    <w:rsid w:val="1F1790C3"/>
    <w:rsid w:val="1F288F7D"/>
    <w:rsid w:val="1F2FE1FE"/>
    <w:rsid w:val="1F52394E"/>
    <w:rsid w:val="1F78E99C"/>
    <w:rsid w:val="1F88E33C"/>
    <w:rsid w:val="1F8C0941"/>
    <w:rsid w:val="1FA2E48A"/>
    <w:rsid w:val="1FAD1D81"/>
    <w:rsid w:val="1FB27D5B"/>
    <w:rsid w:val="1FC7E196"/>
    <w:rsid w:val="1FD23F52"/>
    <w:rsid w:val="1FD38D04"/>
    <w:rsid w:val="1FD631C6"/>
    <w:rsid w:val="1FD7E24D"/>
    <w:rsid w:val="20022AE4"/>
    <w:rsid w:val="20060234"/>
    <w:rsid w:val="2007DA57"/>
    <w:rsid w:val="2008F83B"/>
    <w:rsid w:val="200DA5EE"/>
    <w:rsid w:val="203800F1"/>
    <w:rsid w:val="20481C89"/>
    <w:rsid w:val="20635916"/>
    <w:rsid w:val="2073C5A7"/>
    <w:rsid w:val="209AB32F"/>
    <w:rsid w:val="20A3C544"/>
    <w:rsid w:val="20AA6672"/>
    <w:rsid w:val="20D35F90"/>
    <w:rsid w:val="20E6908B"/>
    <w:rsid w:val="20FCFB9F"/>
    <w:rsid w:val="210240E2"/>
    <w:rsid w:val="210B9458"/>
    <w:rsid w:val="21102060"/>
    <w:rsid w:val="212ADCF2"/>
    <w:rsid w:val="21402380"/>
    <w:rsid w:val="21487C2F"/>
    <w:rsid w:val="216DCFCD"/>
    <w:rsid w:val="21774B60"/>
    <w:rsid w:val="217A9FB0"/>
    <w:rsid w:val="217EBF65"/>
    <w:rsid w:val="21842D9F"/>
    <w:rsid w:val="219593B9"/>
    <w:rsid w:val="21A66E25"/>
    <w:rsid w:val="21BD9262"/>
    <w:rsid w:val="21C07D79"/>
    <w:rsid w:val="21E7FB68"/>
    <w:rsid w:val="21EC920C"/>
    <w:rsid w:val="21ED1E1D"/>
    <w:rsid w:val="22123855"/>
    <w:rsid w:val="22165922"/>
    <w:rsid w:val="222698EF"/>
    <w:rsid w:val="223DF527"/>
    <w:rsid w:val="223F1EDD"/>
    <w:rsid w:val="224D4101"/>
    <w:rsid w:val="2265C634"/>
    <w:rsid w:val="227FDC29"/>
    <w:rsid w:val="22B75402"/>
    <w:rsid w:val="22D497F8"/>
    <w:rsid w:val="22DB5F16"/>
    <w:rsid w:val="22DF433D"/>
    <w:rsid w:val="22F30B45"/>
    <w:rsid w:val="22FF4C51"/>
    <w:rsid w:val="231004A8"/>
    <w:rsid w:val="231EBC4A"/>
    <w:rsid w:val="232E5BAE"/>
    <w:rsid w:val="233686C5"/>
    <w:rsid w:val="233BFF98"/>
    <w:rsid w:val="234D1CC8"/>
    <w:rsid w:val="235441AE"/>
    <w:rsid w:val="235ACB8A"/>
    <w:rsid w:val="236DFB0E"/>
    <w:rsid w:val="23807F6A"/>
    <w:rsid w:val="23994624"/>
    <w:rsid w:val="23AF456E"/>
    <w:rsid w:val="23BA35F9"/>
    <w:rsid w:val="23C24229"/>
    <w:rsid w:val="23C68A67"/>
    <w:rsid w:val="23CCEE6C"/>
    <w:rsid w:val="23E3D9E2"/>
    <w:rsid w:val="23EC8297"/>
    <w:rsid w:val="23F6480E"/>
    <w:rsid w:val="24137C98"/>
    <w:rsid w:val="241718AF"/>
    <w:rsid w:val="242DF013"/>
    <w:rsid w:val="242F1C9A"/>
    <w:rsid w:val="243693A0"/>
    <w:rsid w:val="2454708D"/>
    <w:rsid w:val="245A8409"/>
    <w:rsid w:val="24632352"/>
    <w:rsid w:val="24646F91"/>
    <w:rsid w:val="2467B61F"/>
    <w:rsid w:val="246EF151"/>
    <w:rsid w:val="24AD4801"/>
    <w:rsid w:val="24B6E6F6"/>
    <w:rsid w:val="24C77BFC"/>
    <w:rsid w:val="24CE2AF9"/>
    <w:rsid w:val="24D0F78A"/>
    <w:rsid w:val="24D6CABF"/>
    <w:rsid w:val="24E1077F"/>
    <w:rsid w:val="24FE2FF3"/>
    <w:rsid w:val="250D27B3"/>
    <w:rsid w:val="25244C15"/>
    <w:rsid w:val="2526989B"/>
    <w:rsid w:val="252EFFD2"/>
    <w:rsid w:val="253A67C5"/>
    <w:rsid w:val="254C4349"/>
    <w:rsid w:val="2554AD11"/>
    <w:rsid w:val="255DA5CA"/>
    <w:rsid w:val="2574884A"/>
    <w:rsid w:val="25876AD9"/>
    <w:rsid w:val="258C57D6"/>
    <w:rsid w:val="258C99E1"/>
    <w:rsid w:val="25953A39"/>
    <w:rsid w:val="25A7466B"/>
    <w:rsid w:val="25AD40CF"/>
    <w:rsid w:val="25AE444F"/>
    <w:rsid w:val="25B2039D"/>
    <w:rsid w:val="25D02A1E"/>
    <w:rsid w:val="25D94AC1"/>
    <w:rsid w:val="2605B338"/>
    <w:rsid w:val="2613DB35"/>
    <w:rsid w:val="2617E0A1"/>
    <w:rsid w:val="263FCA2B"/>
    <w:rsid w:val="2653821E"/>
    <w:rsid w:val="26602F1C"/>
    <w:rsid w:val="266DFEBF"/>
    <w:rsid w:val="26932891"/>
    <w:rsid w:val="26A11011"/>
    <w:rsid w:val="26A25686"/>
    <w:rsid w:val="26BC8174"/>
    <w:rsid w:val="26BDD09B"/>
    <w:rsid w:val="26CDC55C"/>
    <w:rsid w:val="26CF5A33"/>
    <w:rsid w:val="271C0E8A"/>
    <w:rsid w:val="272DABBE"/>
    <w:rsid w:val="27305212"/>
    <w:rsid w:val="273834FA"/>
    <w:rsid w:val="27388DCC"/>
    <w:rsid w:val="27525D18"/>
    <w:rsid w:val="27694FF4"/>
    <w:rsid w:val="27819B60"/>
    <w:rsid w:val="27833461"/>
    <w:rsid w:val="27A16D13"/>
    <w:rsid w:val="27A27678"/>
    <w:rsid w:val="27CA4FF2"/>
    <w:rsid w:val="27CE6D7C"/>
    <w:rsid w:val="27D944DC"/>
    <w:rsid w:val="27DBB0C9"/>
    <w:rsid w:val="27E3EEE1"/>
    <w:rsid w:val="27E410AD"/>
    <w:rsid w:val="27E8C46B"/>
    <w:rsid w:val="28076054"/>
    <w:rsid w:val="28097FCA"/>
    <w:rsid w:val="28251A70"/>
    <w:rsid w:val="28296535"/>
    <w:rsid w:val="28318DA9"/>
    <w:rsid w:val="28725582"/>
    <w:rsid w:val="287F244E"/>
    <w:rsid w:val="28A74CD4"/>
    <w:rsid w:val="28B89A61"/>
    <w:rsid w:val="28E43BE3"/>
    <w:rsid w:val="28EB3F1E"/>
    <w:rsid w:val="28F10858"/>
    <w:rsid w:val="28FAEF8E"/>
    <w:rsid w:val="29041527"/>
    <w:rsid w:val="29184CDE"/>
    <w:rsid w:val="2918595C"/>
    <w:rsid w:val="293CD79D"/>
    <w:rsid w:val="295AAA3C"/>
    <w:rsid w:val="295BFA8C"/>
    <w:rsid w:val="295E0ED3"/>
    <w:rsid w:val="2960C495"/>
    <w:rsid w:val="2968CB3C"/>
    <w:rsid w:val="299784B8"/>
    <w:rsid w:val="2999D337"/>
    <w:rsid w:val="29BA67B7"/>
    <w:rsid w:val="29E5483C"/>
    <w:rsid w:val="2A3659BB"/>
    <w:rsid w:val="2A444674"/>
    <w:rsid w:val="2A4FE331"/>
    <w:rsid w:val="2A6694FB"/>
    <w:rsid w:val="2A785783"/>
    <w:rsid w:val="2A7D4E08"/>
    <w:rsid w:val="2A84F54D"/>
    <w:rsid w:val="2A8553C5"/>
    <w:rsid w:val="2A8FD478"/>
    <w:rsid w:val="2AB9C854"/>
    <w:rsid w:val="2ABCC78D"/>
    <w:rsid w:val="2AC540FE"/>
    <w:rsid w:val="2AD1AC1E"/>
    <w:rsid w:val="2AEA5AAA"/>
    <w:rsid w:val="2AF3BCD4"/>
    <w:rsid w:val="2AFC3C69"/>
    <w:rsid w:val="2B004F87"/>
    <w:rsid w:val="2B08B331"/>
    <w:rsid w:val="2B1664C5"/>
    <w:rsid w:val="2B29D156"/>
    <w:rsid w:val="2B2D468C"/>
    <w:rsid w:val="2B2DC8A0"/>
    <w:rsid w:val="2B312CBC"/>
    <w:rsid w:val="2B403EB2"/>
    <w:rsid w:val="2B5BA7C9"/>
    <w:rsid w:val="2B6658EF"/>
    <w:rsid w:val="2B6EA81F"/>
    <w:rsid w:val="2B770132"/>
    <w:rsid w:val="2B939613"/>
    <w:rsid w:val="2B9DA405"/>
    <w:rsid w:val="2BA051D0"/>
    <w:rsid w:val="2BAB4C0C"/>
    <w:rsid w:val="2BACEA26"/>
    <w:rsid w:val="2BB97F0C"/>
    <w:rsid w:val="2BBA797D"/>
    <w:rsid w:val="2BC1D395"/>
    <w:rsid w:val="2BDA20A4"/>
    <w:rsid w:val="2BDD06E1"/>
    <w:rsid w:val="2BE2015E"/>
    <w:rsid w:val="2BE2C9B1"/>
    <w:rsid w:val="2BE53A6C"/>
    <w:rsid w:val="2BF1939E"/>
    <w:rsid w:val="2BF35DA5"/>
    <w:rsid w:val="2BFB6587"/>
    <w:rsid w:val="2C0150CB"/>
    <w:rsid w:val="2C36991D"/>
    <w:rsid w:val="2C3984E0"/>
    <w:rsid w:val="2C39FE2D"/>
    <w:rsid w:val="2C3EDD01"/>
    <w:rsid w:val="2C5CBC81"/>
    <w:rsid w:val="2C688D1A"/>
    <w:rsid w:val="2CA44119"/>
    <w:rsid w:val="2CA79F1A"/>
    <w:rsid w:val="2CC1201A"/>
    <w:rsid w:val="2CCBBEAF"/>
    <w:rsid w:val="2CE8AEFF"/>
    <w:rsid w:val="2CF91682"/>
    <w:rsid w:val="2CF94938"/>
    <w:rsid w:val="2D467E22"/>
    <w:rsid w:val="2D498F89"/>
    <w:rsid w:val="2D4EE745"/>
    <w:rsid w:val="2D513BF5"/>
    <w:rsid w:val="2D55A902"/>
    <w:rsid w:val="2D81A280"/>
    <w:rsid w:val="2D9A5631"/>
    <w:rsid w:val="2DBDCFFF"/>
    <w:rsid w:val="2DC109CD"/>
    <w:rsid w:val="2DD7A18E"/>
    <w:rsid w:val="2DD8D690"/>
    <w:rsid w:val="2DDDAA8B"/>
    <w:rsid w:val="2DEEFD12"/>
    <w:rsid w:val="2DF22902"/>
    <w:rsid w:val="2DFFBD17"/>
    <w:rsid w:val="2E0C66A6"/>
    <w:rsid w:val="2E632287"/>
    <w:rsid w:val="2E781B71"/>
    <w:rsid w:val="2E86CBC8"/>
    <w:rsid w:val="2EA372FC"/>
    <w:rsid w:val="2EBFE26A"/>
    <w:rsid w:val="2EC0484D"/>
    <w:rsid w:val="2EDE8E41"/>
    <w:rsid w:val="2EE6D10E"/>
    <w:rsid w:val="2EEB69E7"/>
    <w:rsid w:val="2EF31912"/>
    <w:rsid w:val="2EFE7F40"/>
    <w:rsid w:val="2F02E6D7"/>
    <w:rsid w:val="2F1B807B"/>
    <w:rsid w:val="2F23D3A7"/>
    <w:rsid w:val="2F2891C6"/>
    <w:rsid w:val="2F2CCD44"/>
    <w:rsid w:val="2F33548A"/>
    <w:rsid w:val="2F48F0B0"/>
    <w:rsid w:val="2F4B53EE"/>
    <w:rsid w:val="2F61D8D1"/>
    <w:rsid w:val="2F86DF51"/>
    <w:rsid w:val="2F8AF5C1"/>
    <w:rsid w:val="2F927CB2"/>
    <w:rsid w:val="2F9CA94B"/>
    <w:rsid w:val="2FA50DA7"/>
    <w:rsid w:val="2FA8EA5A"/>
    <w:rsid w:val="2FA9367F"/>
    <w:rsid w:val="2FFE1258"/>
    <w:rsid w:val="30070A78"/>
    <w:rsid w:val="301A098A"/>
    <w:rsid w:val="3033D503"/>
    <w:rsid w:val="30465581"/>
    <w:rsid w:val="30542814"/>
    <w:rsid w:val="305625E0"/>
    <w:rsid w:val="306BA45A"/>
    <w:rsid w:val="307407AC"/>
    <w:rsid w:val="3076AE55"/>
    <w:rsid w:val="307B4CDF"/>
    <w:rsid w:val="30864C0E"/>
    <w:rsid w:val="309527BF"/>
    <w:rsid w:val="309E2A51"/>
    <w:rsid w:val="30A4F33E"/>
    <w:rsid w:val="30AE2E44"/>
    <w:rsid w:val="30C7FA2A"/>
    <w:rsid w:val="30E8CA22"/>
    <w:rsid w:val="30F27C00"/>
    <w:rsid w:val="30F3D09F"/>
    <w:rsid w:val="30F55E48"/>
    <w:rsid w:val="30F6CC6E"/>
    <w:rsid w:val="31023C30"/>
    <w:rsid w:val="310BCDA7"/>
    <w:rsid w:val="31233F03"/>
    <w:rsid w:val="31421800"/>
    <w:rsid w:val="314580F6"/>
    <w:rsid w:val="31697B40"/>
    <w:rsid w:val="316EE85D"/>
    <w:rsid w:val="3174F13B"/>
    <w:rsid w:val="3192887E"/>
    <w:rsid w:val="31A21E61"/>
    <w:rsid w:val="31AD1937"/>
    <w:rsid w:val="31BDBEE7"/>
    <w:rsid w:val="31C49F38"/>
    <w:rsid w:val="31DA66AC"/>
    <w:rsid w:val="31F0D8EF"/>
    <w:rsid w:val="31F5DC78"/>
    <w:rsid w:val="31F6A6E4"/>
    <w:rsid w:val="32171BE6"/>
    <w:rsid w:val="3219CB4E"/>
    <w:rsid w:val="3228A271"/>
    <w:rsid w:val="323D3303"/>
    <w:rsid w:val="32402E88"/>
    <w:rsid w:val="32B46E38"/>
    <w:rsid w:val="32B4A77B"/>
    <w:rsid w:val="32E8B6E8"/>
    <w:rsid w:val="33077D69"/>
    <w:rsid w:val="3309B219"/>
    <w:rsid w:val="33190959"/>
    <w:rsid w:val="333251D2"/>
    <w:rsid w:val="33596B0B"/>
    <w:rsid w:val="33900DE7"/>
    <w:rsid w:val="33985BC8"/>
    <w:rsid w:val="339D7918"/>
    <w:rsid w:val="33ABD01A"/>
    <w:rsid w:val="33AE82C2"/>
    <w:rsid w:val="33B29C6C"/>
    <w:rsid w:val="33C4EB68"/>
    <w:rsid w:val="33D21CF3"/>
    <w:rsid w:val="33D44D47"/>
    <w:rsid w:val="33DEC62A"/>
    <w:rsid w:val="33EAEF24"/>
    <w:rsid w:val="33F23344"/>
    <w:rsid w:val="343DC624"/>
    <w:rsid w:val="344A0F4B"/>
    <w:rsid w:val="344DD638"/>
    <w:rsid w:val="345EE88F"/>
    <w:rsid w:val="348C6BFB"/>
    <w:rsid w:val="34943758"/>
    <w:rsid w:val="34A9431B"/>
    <w:rsid w:val="34B389AE"/>
    <w:rsid w:val="34C16130"/>
    <w:rsid w:val="34D2C55B"/>
    <w:rsid w:val="34E5EB3A"/>
    <w:rsid w:val="34F3859A"/>
    <w:rsid w:val="3500B901"/>
    <w:rsid w:val="35020B88"/>
    <w:rsid w:val="35057AA7"/>
    <w:rsid w:val="35098A66"/>
    <w:rsid w:val="350A50F0"/>
    <w:rsid w:val="350EC749"/>
    <w:rsid w:val="351C76EE"/>
    <w:rsid w:val="352331CB"/>
    <w:rsid w:val="35277897"/>
    <w:rsid w:val="352854E1"/>
    <w:rsid w:val="352F5E14"/>
    <w:rsid w:val="3542F5DE"/>
    <w:rsid w:val="354770E2"/>
    <w:rsid w:val="35621D6C"/>
    <w:rsid w:val="3562BCD6"/>
    <w:rsid w:val="3572EC05"/>
    <w:rsid w:val="358DB10E"/>
    <w:rsid w:val="3596E006"/>
    <w:rsid w:val="35980595"/>
    <w:rsid w:val="3598BF52"/>
    <w:rsid w:val="35B67BE7"/>
    <w:rsid w:val="35B71898"/>
    <w:rsid w:val="35BC4D79"/>
    <w:rsid w:val="35C27770"/>
    <w:rsid w:val="35D1BAD0"/>
    <w:rsid w:val="35D89459"/>
    <w:rsid w:val="35ED826C"/>
    <w:rsid w:val="35F99C27"/>
    <w:rsid w:val="3603D8D8"/>
    <w:rsid w:val="361E2C32"/>
    <w:rsid w:val="3644A6DF"/>
    <w:rsid w:val="3657C154"/>
    <w:rsid w:val="366AE4C2"/>
    <w:rsid w:val="366F2A0C"/>
    <w:rsid w:val="3678664A"/>
    <w:rsid w:val="367FC8EC"/>
    <w:rsid w:val="36DE3D17"/>
    <w:rsid w:val="36EBD93C"/>
    <w:rsid w:val="36F3A888"/>
    <w:rsid w:val="371689EA"/>
    <w:rsid w:val="374F253E"/>
    <w:rsid w:val="37517C42"/>
    <w:rsid w:val="37602392"/>
    <w:rsid w:val="378627D2"/>
    <w:rsid w:val="37A7B5F9"/>
    <w:rsid w:val="37AA689B"/>
    <w:rsid w:val="37C39208"/>
    <w:rsid w:val="380D2DEA"/>
    <w:rsid w:val="383BC1B7"/>
    <w:rsid w:val="38485B8D"/>
    <w:rsid w:val="385AC98C"/>
    <w:rsid w:val="386004EC"/>
    <w:rsid w:val="38797694"/>
    <w:rsid w:val="387F9C6E"/>
    <w:rsid w:val="3893A5BE"/>
    <w:rsid w:val="38BE4379"/>
    <w:rsid w:val="38DEA43F"/>
    <w:rsid w:val="38E2AC31"/>
    <w:rsid w:val="38F3D3D0"/>
    <w:rsid w:val="3917DB30"/>
    <w:rsid w:val="3931BE06"/>
    <w:rsid w:val="3937E206"/>
    <w:rsid w:val="39405047"/>
    <w:rsid w:val="394F22A1"/>
    <w:rsid w:val="3967DB13"/>
    <w:rsid w:val="39762940"/>
    <w:rsid w:val="399B299F"/>
    <w:rsid w:val="399B95E1"/>
    <w:rsid w:val="39A0195E"/>
    <w:rsid w:val="39C3D6F5"/>
    <w:rsid w:val="39CCDA09"/>
    <w:rsid w:val="39F576C8"/>
    <w:rsid w:val="3A37A388"/>
    <w:rsid w:val="3A4DB700"/>
    <w:rsid w:val="3A532C9E"/>
    <w:rsid w:val="3A561CD3"/>
    <w:rsid w:val="3A5A6280"/>
    <w:rsid w:val="3A64263E"/>
    <w:rsid w:val="3A6FD2AA"/>
    <w:rsid w:val="3A792153"/>
    <w:rsid w:val="3A92BD6B"/>
    <w:rsid w:val="3A9A97D4"/>
    <w:rsid w:val="3AA6830A"/>
    <w:rsid w:val="3AD02F1D"/>
    <w:rsid w:val="3AE1B62B"/>
    <w:rsid w:val="3AE3A714"/>
    <w:rsid w:val="3B1EFD4D"/>
    <w:rsid w:val="3B267FF0"/>
    <w:rsid w:val="3B50BA3D"/>
    <w:rsid w:val="3B52AC77"/>
    <w:rsid w:val="3B5580B3"/>
    <w:rsid w:val="3B579C28"/>
    <w:rsid w:val="3B598FFA"/>
    <w:rsid w:val="3B5CA161"/>
    <w:rsid w:val="3B731C7A"/>
    <w:rsid w:val="3B7D2192"/>
    <w:rsid w:val="3B7DD136"/>
    <w:rsid w:val="3B9C4A06"/>
    <w:rsid w:val="3BC3BC59"/>
    <w:rsid w:val="3BCC1571"/>
    <w:rsid w:val="3BF06BF2"/>
    <w:rsid w:val="3BF40B80"/>
    <w:rsid w:val="3C057E1F"/>
    <w:rsid w:val="3C36FD51"/>
    <w:rsid w:val="3C38CD48"/>
    <w:rsid w:val="3C50402F"/>
    <w:rsid w:val="3C824CD5"/>
    <w:rsid w:val="3C8F011E"/>
    <w:rsid w:val="3C942933"/>
    <w:rsid w:val="3C9508E2"/>
    <w:rsid w:val="3C9CECFD"/>
    <w:rsid w:val="3CA28474"/>
    <w:rsid w:val="3CA76C1F"/>
    <w:rsid w:val="3CA8AA01"/>
    <w:rsid w:val="3CACCBF1"/>
    <w:rsid w:val="3CAD42ED"/>
    <w:rsid w:val="3CD085E1"/>
    <w:rsid w:val="3CF6F14A"/>
    <w:rsid w:val="3CF79137"/>
    <w:rsid w:val="3D4E9AFD"/>
    <w:rsid w:val="3D68008F"/>
    <w:rsid w:val="3D68AC51"/>
    <w:rsid w:val="3D7DA160"/>
    <w:rsid w:val="3D84E432"/>
    <w:rsid w:val="3D882D36"/>
    <w:rsid w:val="3D8B59E2"/>
    <w:rsid w:val="3D90CA02"/>
    <w:rsid w:val="3DA82E2F"/>
    <w:rsid w:val="3DB93A25"/>
    <w:rsid w:val="3DEF3EBC"/>
    <w:rsid w:val="3E0AF2D2"/>
    <w:rsid w:val="3E426849"/>
    <w:rsid w:val="3E4CACDE"/>
    <w:rsid w:val="3E510036"/>
    <w:rsid w:val="3E54C922"/>
    <w:rsid w:val="3E799795"/>
    <w:rsid w:val="3E877185"/>
    <w:rsid w:val="3EAC1A47"/>
    <w:rsid w:val="3ECD8D60"/>
    <w:rsid w:val="3EE05352"/>
    <w:rsid w:val="3EE40F05"/>
    <w:rsid w:val="3EFCBB9A"/>
    <w:rsid w:val="3F0B390E"/>
    <w:rsid w:val="3F0F337A"/>
    <w:rsid w:val="3F37ED78"/>
    <w:rsid w:val="3F441573"/>
    <w:rsid w:val="3F5AE12B"/>
    <w:rsid w:val="3F6134C0"/>
    <w:rsid w:val="3F666486"/>
    <w:rsid w:val="3F82BB82"/>
    <w:rsid w:val="3FA01582"/>
    <w:rsid w:val="3FB3233C"/>
    <w:rsid w:val="3FDE7DF5"/>
    <w:rsid w:val="3FE25B5C"/>
    <w:rsid w:val="3FECFDC7"/>
    <w:rsid w:val="40157D0A"/>
    <w:rsid w:val="4017F5C9"/>
    <w:rsid w:val="4020FA4A"/>
    <w:rsid w:val="4021A3B4"/>
    <w:rsid w:val="4039B7E2"/>
    <w:rsid w:val="40440DA8"/>
    <w:rsid w:val="4063C938"/>
    <w:rsid w:val="4068B1B9"/>
    <w:rsid w:val="406D3A66"/>
    <w:rsid w:val="406D4E3B"/>
    <w:rsid w:val="407B5C7C"/>
    <w:rsid w:val="40A59E86"/>
    <w:rsid w:val="40B4A7BA"/>
    <w:rsid w:val="40C1A722"/>
    <w:rsid w:val="40D714A6"/>
    <w:rsid w:val="40FAC4BB"/>
    <w:rsid w:val="410EBADE"/>
    <w:rsid w:val="41134E2E"/>
    <w:rsid w:val="41205150"/>
    <w:rsid w:val="412BFB54"/>
    <w:rsid w:val="4153431F"/>
    <w:rsid w:val="41716A61"/>
    <w:rsid w:val="4177C744"/>
    <w:rsid w:val="419DA42F"/>
    <w:rsid w:val="419DD486"/>
    <w:rsid w:val="41A5A3C9"/>
    <w:rsid w:val="41B568EC"/>
    <w:rsid w:val="41B97B30"/>
    <w:rsid w:val="41BA84EC"/>
    <w:rsid w:val="41BB7DD3"/>
    <w:rsid w:val="41BCCA1A"/>
    <w:rsid w:val="41C7CD3D"/>
    <w:rsid w:val="41DEC494"/>
    <w:rsid w:val="42044E82"/>
    <w:rsid w:val="4205F1A6"/>
    <w:rsid w:val="423B5FBD"/>
    <w:rsid w:val="4245D227"/>
    <w:rsid w:val="424C952A"/>
    <w:rsid w:val="424CC0BE"/>
    <w:rsid w:val="4250E995"/>
    <w:rsid w:val="42545CB0"/>
    <w:rsid w:val="42693497"/>
    <w:rsid w:val="42790040"/>
    <w:rsid w:val="42816F86"/>
    <w:rsid w:val="4297B5CD"/>
    <w:rsid w:val="42A83C73"/>
    <w:rsid w:val="42BD80DE"/>
    <w:rsid w:val="42D2B826"/>
    <w:rsid w:val="42D7CFD0"/>
    <w:rsid w:val="42ECAE17"/>
    <w:rsid w:val="42F41417"/>
    <w:rsid w:val="432161DC"/>
    <w:rsid w:val="433468AE"/>
    <w:rsid w:val="43491A70"/>
    <w:rsid w:val="436DABD2"/>
    <w:rsid w:val="43948E9D"/>
    <w:rsid w:val="439A54AD"/>
    <w:rsid w:val="43A00526"/>
    <w:rsid w:val="43E33B1A"/>
    <w:rsid w:val="4406765D"/>
    <w:rsid w:val="440993C3"/>
    <w:rsid w:val="441A032E"/>
    <w:rsid w:val="441B49A7"/>
    <w:rsid w:val="442C942B"/>
    <w:rsid w:val="443A1ACE"/>
    <w:rsid w:val="444508EC"/>
    <w:rsid w:val="4447518D"/>
    <w:rsid w:val="444BD73A"/>
    <w:rsid w:val="44552963"/>
    <w:rsid w:val="447282FD"/>
    <w:rsid w:val="447684C3"/>
    <w:rsid w:val="44956912"/>
    <w:rsid w:val="44AFCB05"/>
    <w:rsid w:val="44B60A37"/>
    <w:rsid w:val="44C1252E"/>
    <w:rsid w:val="44D0BBA5"/>
    <w:rsid w:val="44D7B45C"/>
    <w:rsid w:val="44F33B8A"/>
    <w:rsid w:val="44F3F3EA"/>
    <w:rsid w:val="44F84968"/>
    <w:rsid w:val="44F8F831"/>
    <w:rsid w:val="45059FD6"/>
    <w:rsid w:val="451465A6"/>
    <w:rsid w:val="4546F833"/>
    <w:rsid w:val="454791B8"/>
    <w:rsid w:val="45564A60"/>
    <w:rsid w:val="4574D979"/>
    <w:rsid w:val="457A92DD"/>
    <w:rsid w:val="458C88A7"/>
    <w:rsid w:val="45A7680D"/>
    <w:rsid w:val="45BDC180"/>
    <w:rsid w:val="45C2A61C"/>
    <w:rsid w:val="45EFFD85"/>
    <w:rsid w:val="45F32AFB"/>
    <w:rsid w:val="45F57990"/>
    <w:rsid w:val="45F5D2CA"/>
    <w:rsid w:val="45FD0FE1"/>
    <w:rsid w:val="4607CB69"/>
    <w:rsid w:val="46238690"/>
    <w:rsid w:val="46276160"/>
    <w:rsid w:val="462B6C83"/>
    <w:rsid w:val="462DF3A5"/>
    <w:rsid w:val="464415C6"/>
    <w:rsid w:val="464F06BC"/>
    <w:rsid w:val="46555429"/>
    <w:rsid w:val="465CCE3A"/>
    <w:rsid w:val="46708D80"/>
    <w:rsid w:val="4676A950"/>
    <w:rsid w:val="46813887"/>
    <w:rsid w:val="468870B8"/>
    <w:rsid w:val="4694CD95"/>
    <w:rsid w:val="46994720"/>
    <w:rsid w:val="46B011BB"/>
    <w:rsid w:val="46CA516C"/>
    <w:rsid w:val="46D4B6F8"/>
    <w:rsid w:val="46EC363B"/>
    <w:rsid w:val="46EEC1A8"/>
    <w:rsid w:val="46F5F43E"/>
    <w:rsid w:val="470EA468"/>
    <w:rsid w:val="472BF855"/>
    <w:rsid w:val="47392F38"/>
    <w:rsid w:val="474699AA"/>
    <w:rsid w:val="47564867"/>
    <w:rsid w:val="475AC106"/>
    <w:rsid w:val="477AFDFE"/>
    <w:rsid w:val="477E551D"/>
    <w:rsid w:val="47803133"/>
    <w:rsid w:val="47B0FB50"/>
    <w:rsid w:val="47C78830"/>
    <w:rsid w:val="47E68B86"/>
    <w:rsid w:val="47EDACD5"/>
    <w:rsid w:val="47FDE0B8"/>
    <w:rsid w:val="48034C19"/>
    <w:rsid w:val="4809DE57"/>
    <w:rsid w:val="481C6027"/>
    <w:rsid w:val="481E08F7"/>
    <w:rsid w:val="483DA28A"/>
    <w:rsid w:val="4840562E"/>
    <w:rsid w:val="484256DA"/>
    <w:rsid w:val="484648FB"/>
    <w:rsid w:val="48466830"/>
    <w:rsid w:val="484A82A5"/>
    <w:rsid w:val="48525C03"/>
    <w:rsid w:val="4857942E"/>
    <w:rsid w:val="485AB5E8"/>
    <w:rsid w:val="485FC41E"/>
    <w:rsid w:val="4864F87F"/>
    <w:rsid w:val="4866B537"/>
    <w:rsid w:val="4871F72F"/>
    <w:rsid w:val="48A411C9"/>
    <w:rsid w:val="48C9536D"/>
    <w:rsid w:val="48D66FB5"/>
    <w:rsid w:val="48E25F24"/>
    <w:rsid w:val="48E26D03"/>
    <w:rsid w:val="492888B2"/>
    <w:rsid w:val="492FD82C"/>
    <w:rsid w:val="495E8DCA"/>
    <w:rsid w:val="4965EC74"/>
    <w:rsid w:val="49774A90"/>
    <w:rsid w:val="498B6044"/>
    <w:rsid w:val="49915A1A"/>
    <w:rsid w:val="499E21EF"/>
    <w:rsid w:val="49B9B7F7"/>
    <w:rsid w:val="49DFEEEF"/>
    <w:rsid w:val="49E21BD0"/>
    <w:rsid w:val="49F8A4D7"/>
    <w:rsid w:val="4A0360A6"/>
    <w:rsid w:val="4A2C22FA"/>
    <w:rsid w:val="4A371F95"/>
    <w:rsid w:val="4A4BF271"/>
    <w:rsid w:val="4A4C3570"/>
    <w:rsid w:val="4A5E9A92"/>
    <w:rsid w:val="4A742551"/>
    <w:rsid w:val="4A75DADA"/>
    <w:rsid w:val="4A776F61"/>
    <w:rsid w:val="4A8C7EEC"/>
    <w:rsid w:val="4A8DEBE0"/>
    <w:rsid w:val="4A9CAE15"/>
    <w:rsid w:val="4AB22BF3"/>
    <w:rsid w:val="4AB85D03"/>
    <w:rsid w:val="4AC2CCA9"/>
    <w:rsid w:val="4AD955DA"/>
    <w:rsid w:val="4AE2C5A2"/>
    <w:rsid w:val="4AE38B1E"/>
    <w:rsid w:val="4AE5C82E"/>
    <w:rsid w:val="4B01CE53"/>
    <w:rsid w:val="4B0B1F1B"/>
    <w:rsid w:val="4B1D018C"/>
    <w:rsid w:val="4B32E4BB"/>
    <w:rsid w:val="4B3582C3"/>
    <w:rsid w:val="4B492DF1"/>
    <w:rsid w:val="4B68F2A8"/>
    <w:rsid w:val="4B6EDAD0"/>
    <w:rsid w:val="4B90E409"/>
    <w:rsid w:val="4B996843"/>
    <w:rsid w:val="4B9F8CF1"/>
    <w:rsid w:val="4BA21D34"/>
    <w:rsid w:val="4BA710C9"/>
    <w:rsid w:val="4BAB702A"/>
    <w:rsid w:val="4BAFBC77"/>
    <w:rsid w:val="4BD1317B"/>
    <w:rsid w:val="4BDABFA9"/>
    <w:rsid w:val="4BDECAAB"/>
    <w:rsid w:val="4BFE6E6E"/>
    <w:rsid w:val="4C04F9D2"/>
    <w:rsid w:val="4C2DC2AF"/>
    <w:rsid w:val="4C2EFDFD"/>
    <w:rsid w:val="4C3247CC"/>
    <w:rsid w:val="4C7D6346"/>
    <w:rsid w:val="4C7FD99A"/>
    <w:rsid w:val="4CA25675"/>
    <w:rsid w:val="4CCDDC1E"/>
    <w:rsid w:val="4CD90A25"/>
    <w:rsid w:val="4CE0FDB1"/>
    <w:rsid w:val="4D1F4A9C"/>
    <w:rsid w:val="4D222BC9"/>
    <w:rsid w:val="4D42284F"/>
    <w:rsid w:val="4D4810AA"/>
    <w:rsid w:val="4D86A8A9"/>
    <w:rsid w:val="4D8F9D61"/>
    <w:rsid w:val="4DA12408"/>
    <w:rsid w:val="4DA5F9B9"/>
    <w:rsid w:val="4DBE7AD2"/>
    <w:rsid w:val="4DBF11E9"/>
    <w:rsid w:val="4DC07269"/>
    <w:rsid w:val="4DD77FC6"/>
    <w:rsid w:val="4E03AEE3"/>
    <w:rsid w:val="4E1552AF"/>
    <w:rsid w:val="4E2F243F"/>
    <w:rsid w:val="4E38F89C"/>
    <w:rsid w:val="4E4BC726"/>
    <w:rsid w:val="4E4E53C2"/>
    <w:rsid w:val="4E5267D7"/>
    <w:rsid w:val="4E69E105"/>
    <w:rsid w:val="4E70BEB7"/>
    <w:rsid w:val="4E86C9F8"/>
    <w:rsid w:val="4EB56358"/>
    <w:rsid w:val="4EC37814"/>
    <w:rsid w:val="4ED39D68"/>
    <w:rsid w:val="4EF4542F"/>
    <w:rsid w:val="4EF4EB1A"/>
    <w:rsid w:val="4EFBAFD3"/>
    <w:rsid w:val="4F0087CB"/>
    <w:rsid w:val="4F0FC1DF"/>
    <w:rsid w:val="4F101D75"/>
    <w:rsid w:val="4F11A7A2"/>
    <w:rsid w:val="4F14624F"/>
    <w:rsid w:val="4F182FE4"/>
    <w:rsid w:val="4F18C9D5"/>
    <w:rsid w:val="4F1CA070"/>
    <w:rsid w:val="4F2DF456"/>
    <w:rsid w:val="4F31BB98"/>
    <w:rsid w:val="4F3B08D2"/>
    <w:rsid w:val="4F4CAE14"/>
    <w:rsid w:val="4F974FA7"/>
    <w:rsid w:val="4FA036CB"/>
    <w:rsid w:val="4FA72901"/>
    <w:rsid w:val="4FAD41DC"/>
    <w:rsid w:val="4FE20AA8"/>
    <w:rsid w:val="4FE5AF3D"/>
    <w:rsid w:val="4FE863FF"/>
    <w:rsid w:val="4FF22DBE"/>
    <w:rsid w:val="4FF9EBC0"/>
    <w:rsid w:val="50444121"/>
    <w:rsid w:val="5044C2A5"/>
    <w:rsid w:val="5058C8D0"/>
    <w:rsid w:val="507EFD7B"/>
    <w:rsid w:val="508897BC"/>
    <w:rsid w:val="50B20032"/>
    <w:rsid w:val="50D2DA1F"/>
    <w:rsid w:val="510B3499"/>
    <w:rsid w:val="513A4906"/>
    <w:rsid w:val="5141A4DF"/>
    <w:rsid w:val="51632A3A"/>
    <w:rsid w:val="5174FD1B"/>
    <w:rsid w:val="51BD8036"/>
    <w:rsid w:val="51C37820"/>
    <w:rsid w:val="51D7DF6E"/>
    <w:rsid w:val="51D903A9"/>
    <w:rsid w:val="51F3FC64"/>
    <w:rsid w:val="51F89716"/>
    <w:rsid w:val="5205CEEA"/>
    <w:rsid w:val="5205FBF7"/>
    <w:rsid w:val="52067ED3"/>
    <w:rsid w:val="520BADFD"/>
    <w:rsid w:val="521F2721"/>
    <w:rsid w:val="524ADFED"/>
    <w:rsid w:val="52546D4E"/>
    <w:rsid w:val="527ACA64"/>
    <w:rsid w:val="527D6171"/>
    <w:rsid w:val="52827ABF"/>
    <w:rsid w:val="529000EE"/>
    <w:rsid w:val="529C2852"/>
    <w:rsid w:val="52A860E2"/>
    <w:rsid w:val="52AF9CFC"/>
    <w:rsid w:val="52D29564"/>
    <w:rsid w:val="52D451FD"/>
    <w:rsid w:val="52E19240"/>
    <w:rsid w:val="52E58E95"/>
    <w:rsid w:val="52FFE888"/>
    <w:rsid w:val="53010835"/>
    <w:rsid w:val="5315442C"/>
    <w:rsid w:val="53300E60"/>
    <w:rsid w:val="533F671B"/>
    <w:rsid w:val="5351CECB"/>
    <w:rsid w:val="535A2256"/>
    <w:rsid w:val="53897312"/>
    <w:rsid w:val="53964C0E"/>
    <w:rsid w:val="539D60DF"/>
    <w:rsid w:val="53B0DC20"/>
    <w:rsid w:val="53B6C35C"/>
    <w:rsid w:val="540220C5"/>
    <w:rsid w:val="54071981"/>
    <w:rsid w:val="54272B26"/>
    <w:rsid w:val="542F7913"/>
    <w:rsid w:val="54620604"/>
    <w:rsid w:val="5487B274"/>
    <w:rsid w:val="549B5971"/>
    <w:rsid w:val="54BA9A95"/>
    <w:rsid w:val="54CCED04"/>
    <w:rsid w:val="54D1A6D5"/>
    <w:rsid w:val="54D21E02"/>
    <w:rsid w:val="54F73FAA"/>
    <w:rsid w:val="54FFADEC"/>
    <w:rsid w:val="55084D0A"/>
    <w:rsid w:val="550E5D31"/>
    <w:rsid w:val="55119D28"/>
    <w:rsid w:val="5516E756"/>
    <w:rsid w:val="5528CD49"/>
    <w:rsid w:val="552D2B30"/>
    <w:rsid w:val="552E5D86"/>
    <w:rsid w:val="553A51CE"/>
    <w:rsid w:val="55465BBE"/>
    <w:rsid w:val="555BD9E2"/>
    <w:rsid w:val="555E4EC6"/>
    <w:rsid w:val="556CC4AA"/>
    <w:rsid w:val="55731E3E"/>
    <w:rsid w:val="55758D82"/>
    <w:rsid w:val="55820571"/>
    <w:rsid w:val="558243BE"/>
    <w:rsid w:val="55877E6D"/>
    <w:rsid w:val="55A1494F"/>
    <w:rsid w:val="55AFB5F8"/>
    <w:rsid w:val="55B92DB6"/>
    <w:rsid w:val="55C48F21"/>
    <w:rsid w:val="55C7234C"/>
    <w:rsid w:val="55F1E078"/>
    <w:rsid w:val="560C95DD"/>
    <w:rsid w:val="5615BBB0"/>
    <w:rsid w:val="561E5BC5"/>
    <w:rsid w:val="561F2341"/>
    <w:rsid w:val="56379604"/>
    <w:rsid w:val="5637A639"/>
    <w:rsid w:val="563BB476"/>
    <w:rsid w:val="56524711"/>
    <w:rsid w:val="56590FA3"/>
    <w:rsid w:val="5661D8D6"/>
    <w:rsid w:val="566DDDAC"/>
    <w:rsid w:val="567928AF"/>
    <w:rsid w:val="56851DD7"/>
    <w:rsid w:val="56873F31"/>
    <w:rsid w:val="56918338"/>
    <w:rsid w:val="5691F49E"/>
    <w:rsid w:val="56981650"/>
    <w:rsid w:val="56A2D169"/>
    <w:rsid w:val="56A8DD5B"/>
    <w:rsid w:val="56B462D4"/>
    <w:rsid w:val="56C294C0"/>
    <w:rsid w:val="56F71BF0"/>
    <w:rsid w:val="571381D6"/>
    <w:rsid w:val="572571E1"/>
    <w:rsid w:val="572B5777"/>
    <w:rsid w:val="572E4407"/>
    <w:rsid w:val="572E9262"/>
    <w:rsid w:val="5738C00F"/>
    <w:rsid w:val="5747AA3F"/>
    <w:rsid w:val="5747DAF1"/>
    <w:rsid w:val="57961722"/>
    <w:rsid w:val="57A639DD"/>
    <w:rsid w:val="57AB7925"/>
    <w:rsid w:val="57AF4DA7"/>
    <w:rsid w:val="57B0B5BF"/>
    <w:rsid w:val="57BE6DFD"/>
    <w:rsid w:val="57D790FD"/>
    <w:rsid w:val="57DDE820"/>
    <w:rsid w:val="580C57B5"/>
    <w:rsid w:val="581A92B3"/>
    <w:rsid w:val="581EC3D9"/>
    <w:rsid w:val="583DFA39"/>
    <w:rsid w:val="5865BCBB"/>
    <w:rsid w:val="586F6790"/>
    <w:rsid w:val="58703EE8"/>
    <w:rsid w:val="58875306"/>
    <w:rsid w:val="588A2BD6"/>
    <w:rsid w:val="589C5CDB"/>
    <w:rsid w:val="58B0FA19"/>
    <w:rsid w:val="58BA2BDA"/>
    <w:rsid w:val="58DCC7D5"/>
    <w:rsid w:val="58FD2420"/>
    <w:rsid w:val="590BBBFA"/>
    <w:rsid w:val="591F1421"/>
    <w:rsid w:val="59552DEC"/>
    <w:rsid w:val="5997E69D"/>
    <w:rsid w:val="59A1F5A3"/>
    <w:rsid w:val="59A3E8CF"/>
    <w:rsid w:val="59BC3CDC"/>
    <w:rsid w:val="59BD0CBE"/>
    <w:rsid w:val="59CF0CEC"/>
    <w:rsid w:val="59EF0F1B"/>
    <w:rsid w:val="5A03E0A6"/>
    <w:rsid w:val="5A061594"/>
    <w:rsid w:val="5A1A14ED"/>
    <w:rsid w:val="5A1A742E"/>
    <w:rsid w:val="5A344DD3"/>
    <w:rsid w:val="5A72B71E"/>
    <w:rsid w:val="5A9C0FDB"/>
    <w:rsid w:val="5AC212DA"/>
    <w:rsid w:val="5AC423BF"/>
    <w:rsid w:val="5AD2BB64"/>
    <w:rsid w:val="5AE4B937"/>
    <w:rsid w:val="5AE86739"/>
    <w:rsid w:val="5AED85F8"/>
    <w:rsid w:val="5AF667B0"/>
    <w:rsid w:val="5B17B87C"/>
    <w:rsid w:val="5B3D9D3B"/>
    <w:rsid w:val="5B612547"/>
    <w:rsid w:val="5B6CD8A2"/>
    <w:rsid w:val="5B7FD844"/>
    <w:rsid w:val="5B9203F4"/>
    <w:rsid w:val="5B9B6F72"/>
    <w:rsid w:val="5BB87B98"/>
    <w:rsid w:val="5BF8906A"/>
    <w:rsid w:val="5C02E788"/>
    <w:rsid w:val="5C07357B"/>
    <w:rsid w:val="5C09A016"/>
    <w:rsid w:val="5C1567A8"/>
    <w:rsid w:val="5C2BDFA0"/>
    <w:rsid w:val="5C33E309"/>
    <w:rsid w:val="5C3C0368"/>
    <w:rsid w:val="5C4C6DA0"/>
    <w:rsid w:val="5C4CFCF0"/>
    <w:rsid w:val="5C4E8892"/>
    <w:rsid w:val="5C62FF6C"/>
    <w:rsid w:val="5C6ED881"/>
    <w:rsid w:val="5C80894E"/>
    <w:rsid w:val="5C856A0C"/>
    <w:rsid w:val="5C9A67D2"/>
    <w:rsid w:val="5C9CA142"/>
    <w:rsid w:val="5CB58621"/>
    <w:rsid w:val="5CDABE70"/>
    <w:rsid w:val="5CE6F641"/>
    <w:rsid w:val="5D185067"/>
    <w:rsid w:val="5D3152F3"/>
    <w:rsid w:val="5D3B180F"/>
    <w:rsid w:val="5D444193"/>
    <w:rsid w:val="5D47CFD9"/>
    <w:rsid w:val="5D4D99D5"/>
    <w:rsid w:val="5D51F740"/>
    <w:rsid w:val="5D90EEE1"/>
    <w:rsid w:val="5D9D4206"/>
    <w:rsid w:val="5DB67391"/>
    <w:rsid w:val="5DB764B5"/>
    <w:rsid w:val="5DBCDF5C"/>
    <w:rsid w:val="5DC20F19"/>
    <w:rsid w:val="5DD51B40"/>
    <w:rsid w:val="5DF0F7D9"/>
    <w:rsid w:val="5E06F923"/>
    <w:rsid w:val="5E2D69CF"/>
    <w:rsid w:val="5E311F74"/>
    <w:rsid w:val="5E613F27"/>
    <w:rsid w:val="5E6DBE2A"/>
    <w:rsid w:val="5E712C86"/>
    <w:rsid w:val="5E91C9FA"/>
    <w:rsid w:val="5EAB561A"/>
    <w:rsid w:val="5EBC30FE"/>
    <w:rsid w:val="5ECD8C09"/>
    <w:rsid w:val="5EDDC5B5"/>
    <w:rsid w:val="5EDE9463"/>
    <w:rsid w:val="5EE7A0EC"/>
    <w:rsid w:val="5EEFF537"/>
    <w:rsid w:val="5EF79772"/>
    <w:rsid w:val="5EFFF804"/>
    <w:rsid w:val="5F117242"/>
    <w:rsid w:val="5F16084A"/>
    <w:rsid w:val="5F228582"/>
    <w:rsid w:val="5F467CB9"/>
    <w:rsid w:val="5F469965"/>
    <w:rsid w:val="5F508E5C"/>
    <w:rsid w:val="5F5D8D58"/>
    <w:rsid w:val="5F6DB162"/>
    <w:rsid w:val="5F78A72E"/>
    <w:rsid w:val="5F8A1FB7"/>
    <w:rsid w:val="5F935C3C"/>
    <w:rsid w:val="5F9D58E2"/>
    <w:rsid w:val="5FC5471B"/>
    <w:rsid w:val="5FD829C7"/>
    <w:rsid w:val="5FF1D241"/>
    <w:rsid w:val="5FF315F6"/>
    <w:rsid w:val="5FFE97B2"/>
    <w:rsid w:val="6016EE9F"/>
    <w:rsid w:val="6017C497"/>
    <w:rsid w:val="60186237"/>
    <w:rsid w:val="6019D44A"/>
    <w:rsid w:val="602B2AC8"/>
    <w:rsid w:val="603B57AC"/>
    <w:rsid w:val="60550FC2"/>
    <w:rsid w:val="605A3684"/>
    <w:rsid w:val="60737F85"/>
    <w:rsid w:val="60765F9B"/>
    <w:rsid w:val="607B9715"/>
    <w:rsid w:val="60946E46"/>
    <w:rsid w:val="609D4AAB"/>
    <w:rsid w:val="60B48FAE"/>
    <w:rsid w:val="60D3A864"/>
    <w:rsid w:val="60DC53A6"/>
    <w:rsid w:val="60DFD47E"/>
    <w:rsid w:val="60E86BE5"/>
    <w:rsid w:val="60FFCAB1"/>
    <w:rsid w:val="610B4707"/>
    <w:rsid w:val="61223660"/>
    <w:rsid w:val="612AE1D2"/>
    <w:rsid w:val="6137657D"/>
    <w:rsid w:val="6149B6C0"/>
    <w:rsid w:val="61588B24"/>
    <w:rsid w:val="615B7E28"/>
    <w:rsid w:val="6179A358"/>
    <w:rsid w:val="619DF0DD"/>
    <w:rsid w:val="61D7E130"/>
    <w:rsid w:val="61E98CFC"/>
    <w:rsid w:val="61EA49C5"/>
    <w:rsid w:val="6221BA86"/>
    <w:rsid w:val="6225CCB3"/>
    <w:rsid w:val="622B02EA"/>
    <w:rsid w:val="622EBEA3"/>
    <w:rsid w:val="623725C9"/>
    <w:rsid w:val="624EA251"/>
    <w:rsid w:val="62540574"/>
    <w:rsid w:val="6256C0B1"/>
    <w:rsid w:val="6262A488"/>
    <w:rsid w:val="62637676"/>
    <w:rsid w:val="6278F94D"/>
    <w:rsid w:val="629338AC"/>
    <w:rsid w:val="62B061D0"/>
    <w:rsid w:val="62B24FEC"/>
    <w:rsid w:val="62BA4000"/>
    <w:rsid w:val="62CA5EBE"/>
    <w:rsid w:val="62D6FE70"/>
    <w:rsid w:val="62D9DCA5"/>
    <w:rsid w:val="62EEBEC9"/>
    <w:rsid w:val="63031436"/>
    <w:rsid w:val="632C069B"/>
    <w:rsid w:val="63315C43"/>
    <w:rsid w:val="6332CBC0"/>
    <w:rsid w:val="6333F691"/>
    <w:rsid w:val="633DAD2E"/>
    <w:rsid w:val="63482A84"/>
    <w:rsid w:val="6357748C"/>
    <w:rsid w:val="639D9CCF"/>
    <w:rsid w:val="63B8F7F9"/>
    <w:rsid w:val="63BADD3E"/>
    <w:rsid w:val="63DDFD38"/>
    <w:rsid w:val="63E6813B"/>
    <w:rsid w:val="641792C9"/>
    <w:rsid w:val="64243950"/>
    <w:rsid w:val="644A52A7"/>
    <w:rsid w:val="64601F32"/>
    <w:rsid w:val="64639F7C"/>
    <w:rsid w:val="646EC0CA"/>
    <w:rsid w:val="64772738"/>
    <w:rsid w:val="64818C61"/>
    <w:rsid w:val="649B7DCB"/>
    <w:rsid w:val="64B35294"/>
    <w:rsid w:val="64B547F6"/>
    <w:rsid w:val="64CF6174"/>
    <w:rsid w:val="64DD6B5C"/>
    <w:rsid w:val="64ECC0AA"/>
    <w:rsid w:val="64FDBCB5"/>
    <w:rsid w:val="6507E9E8"/>
    <w:rsid w:val="653029DC"/>
    <w:rsid w:val="65512288"/>
    <w:rsid w:val="6554CB0F"/>
    <w:rsid w:val="658AE82A"/>
    <w:rsid w:val="659AF853"/>
    <w:rsid w:val="65A39955"/>
    <w:rsid w:val="65AC3ABB"/>
    <w:rsid w:val="65C0F803"/>
    <w:rsid w:val="65CF3452"/>
    <w:rsid w:val="65D9061E"/>
    <w:rsid w:val="65F30AF9"/>
    <w:rsid w:val="6606E99D"/>
    <w:rsid w:val="662D791C"/>
    <w:rsid w:val="66303EAB"/>
    <w:rsid w:val="66317254"/>
    <w:rsid w:val="665179E9"/>
    <w:rsid w:val="6666CA89"/>
    <w:rsid w:val="666940BC"/>
    <w:rsid w:val="6673A7A9"/>
    <w:rsid w:val="667D0440"/>
    <w:rsid w:val="6692E600"/>
    <w:rsid w:val="6693106B"/>
    <w:rsid w:val="66A8E9B8"/>
    <w:rsid w:val="66A9778C"/>
    <w:rsid w:val="66E80B15"/>
    <w:rsid w:val="66EDA0E5"/>
    <w:rsid w:val="675C8A52"/>
    <w:rsid w:val="678A7755"/>
    <w:rsid w:val="679542B8"/>
    <w:rsid w:val="67ACFEBD"/>
    <w:rsid w:val="67CA6636"/>
    <w:rsid w:val="67D95A76"/>
    <w:rsid w:val="67E1B230"/>
    <w:rsid w:val="67E92F67"/>
    <w:rsid w:val="67E97E41"/>
    <w:rsid w:val="684FB8A2"/>
    <w:rsid w:val="6850DBC7"/>
    <w:rsid w:val="6853C99E"/>
    <w:rsid w:val="6859D1F1"/>
    <w:rsid w:val="6859EF00"/>
    <w:rsid w:val="686EDA45"/>
    <w:rsid w:val="6870D367"/>
    <w:rsid w:val="68731CA1"/>
    <w:rsid w:val="687CFE22"/>
    <w:rsid w:val="688CE058"/>
    <w:rsid w:val="68980B6E"/>
    <w:rsid w:val="68A07B85"/>
    <w:rsid w:val="68B34F09"/>
    <w:rsid w:val="68C423B1"/>
    <w:rsid w:val="68D6E3F9"/>
    <w:rsid w:val="68D8612C"/>
    <w:rsid w:val="68DFAD10"/>
    <w:rsid w:val="68E23B95"/>
    <w:rsid w:val="68FFA7F4"/>
    <w:rsid w:val="6901A55A"/>
    <w:rsid w:val="6914FFD7"/>
    <w:rsid w:val="6915169F"/>
    <w:rsid w:val="6917767E"/>
    <w:rsid w:val="691BBF35"/>
    <w:rsid w:val="693E2633"/>
    <w:rsid w:val="693F8944"/>
    <w:rsid w:val="6948B32E"/>
    <w:rsid w:val="69559888"/>
    <w:rsid w:val="69618450"/>
    <w:rsid w:val="69897761"/>
    <w:rsid w:val="698D97F8"/>
    <w:rsid w:val="69B4D88E"/>
    <w:rsid w:val="69B586DA"/>
    <w:rsid w:val="69B5FBC0"/>
    <w:rsid w:val="69BFA71A"/>
    <w:rsid w:val="69C2D850"/>
    <w:rsid w:val="69C89D1E"/>
    <w:rsid w:val="69E7DF6B"/>
    <w:rsid w:val="69EA83E4"/>
    <w:rsid w:val="6A005AD4"/>
    <w:rsid w:val="6A04D417"/>
    <w:rsid w:val="6A0B85C7"/>
    <w:rsid w:val="6A0ED392"/>
    <w:rsid w:val="6A127D9E"/>
    <w:rsid w:val="6A22061D"/>
    <w:rsid w:val="6A25DDBD"/>
    <w:rsid w:val="6A327DE2"/>
    <w:rsid w:val="6A4777DD"/>
    <w:rsid w:val="6A4D2B56"/>
    <w:rsid w:val="6A51C87D"/>
    <w:rsid w:val="6A8A4EA2"/>
    <w:rsid w:val="6A912226"/>
    <w:rsid w:val="6A97A983"/>
    <w:rsid w:val="6AA35201"/>
    <w:rsid w:val="6AA4F962"/>
    <w:rsid w:val="6AB0D18F"/>
    <w:rsid w:val="6ABB4ED9"/>
    <w:rsid w:val="6AC11B02"/>
    <w:rsid w:val="6ADBF1F7"/>
    <w:rsid w:val="6AE4F551"/>
    <w:rsid w:val="6AEEE6B0"/>
    <w:rsid w:val="6B22F12C"/>
    <w:rsid w:val="6B23C3A1"/>
    <w:rsid w:val="6B3AE752"/>
    <w:rsid w:val="6B4013FC"/>
    <w:rsid w:val="6B477F0F"/>
    <w:rsid w:val="6B48DC11"/>
    <w:rsid w:val="6B5ABD18"/>
    <w:rsid w:val="6B6D20FF"/>
    <w:rsid w:val="6B8A1BEB"/>
    <w:rsid w:val="6B9BE65C"/>
    <w:rsid w:val="6BD21A62"/>
    <w:rsid w:val="6BE13A51"/>
    <w:rsid w:val="6BE4FDE0"/>
    <w:rsid w:val="6BF3374E"/>
    <w:rsid w:val="6BF84103"/>
    <w:rsid w:val="6C070F85"/>
    <w:rsid w:val="6C1437D0"/>
    <w:rsid w:val="6C1B4CCE"/>
    <w:rsid w:val="6C1BCBDC"/>
    <w:rsid w:val="6C282E57"/>
    <w:rsid w:val="6C351B02"/>
    <w:rsid w:val="6C3D826F"/>
    <w:rsid w:val="6C456320"/>
    <w:rsid w:val="6C560B60"/>
    <w:rsid w:val="6C589126"/>
    <w:rsid w:val="6C718033"/>
    <w:rsid w:val="6C8710E1"/>
    <w:rsid w:val="6C8ED4BF"/>
    <w:rsid w:val="6C9A50A5"/>
    <w:rsid w:val="6CBC06B8"/>
    <w:rsid w:val="6CCE3C2B"/>
    <w:rsid w:val="6CCEE62D"/>
    <w:rsid w:val="6CD3E86B"/>
    <w:rsid w:val="6CDFFB85"/>
    <w:rsid w:val="6CE94E33"/>
    <w:rsid w:val="6CEADC92"/>
    <w:rsid w:val="6CEB5FDA"/>
    <w:rsid w:val="6CF0FA71"/>
    <w:rsid w:val="6D0A7E28"/>
    <w:rsid w:val="6D462753"/>
    <w:rsid w:val="6D672602"/>
    <w:rsid w:val="6D75BED6"/>
    <w:rsid w:val="6D8CD890"/>
    <w:rsid w:val="6D90A5C4"/>
    <w:rsid w:val="6D99E1CE"/>
    <w:rsid w:val="6DA31C71"/>
    <w:rsid w:val="6DC24E89"/>
    <w:rsid w:val="6DC667BB"/>
    <w:rsid w:val="6DDE4969"/>
    <w:rsid w:val="6E0D159B"/>
    <w:rsid w:val="6E0EDFA7"/>
    <w:rsid w:val="6E1B473A"/>
    <w:rsid w:val="6E26C73E"/>
    <w:rsid w:val="6E2F1B9D"/>
    <w:rsid w:val="6E3FEF4D"/>
    <w:rsid w:val="6E413A4F"/>
    <w:rsid w:val="6E4378F7"/>
    <w:rsid w:val="6E44AB0C"/>
    <w:rsid w:val="6E4AA31C"/>
    <w:rsid w:val="6E6A2926"/>
    <w:rsid w:val="6E6C776B"/>
    <w:rsid w:val="6E77A79D"/>
    <w:rsid w:val="6E8C3411"/>
    <w:rsid w:val="6E91DE43"/>
    <w:rsid w:val="6E93AD08"/>
    <w:rsid w:val="6EB41969"/>
    <w:rsid w:val="6EB951F7"/>
    <w:rsid w:val="6ECE4449"/>
    <w:rsid w:val="6ED260C6"/>
    <w:rsid w:val="6ED8E4D3"/>
    <w:rsid w:val="6EF16548"/>
    <w:rsid w:val="6EFD8D35"/>
    <w:rsid w:val="6F026101"/>
    <w:rsid w:val="6F19E264"/>
    <w:rsid w:val="6F458E05"/>
    <w:rsid w:val="6F4F67BB"/>
    <w:rsid w:val="6F55E6B0"/>
    <w:rsid w:val="6F599B90"/>
    <w:rsid w:val="6F6EED5F"/>
    <w:rsid w:val="6FC64AEB"/>
    <w:rsid w:val="6FC70AE8"/>
    <w:rsid w:val="6FCBD905"/>
    <w:rsid w:val="6FD0EDCA"/>
    <w:rsid w:val="6FD67F6D"/>
    <w:rsid w:val="6FE590B9"/>
    <w:rsid w:val="7016AF63"/>
    <w:rsid w:val="703139D0"/>
    <w:rsid w:val="703AD8E4"/>
    <w:rsid w:val="7056607B"/>
    <w:rsid w:val="70598109"/>
    <w:rsid w:val="70855E04"/>
    <w:rsid w:val="70871814"/>
    <w:rsid w:val="708F56E2"/>
    <w:rsid w:val="70933252"/>
    <w:rsid w:val="7095AF6C"/>
    <w:rsid w:val="70B562CD"/>
    <w:rsid w:val="70D0D82B"/>
    <w:rsid w:val="70D78073"/>
    <w:rsid w:val="70DACC7A"/>
    <w:rsid w:val="70F4F71D"/>
    <w:rsid w:val="712638AF"/>
    <w:rsid w:val="717A56E2"/>
    <w:rsid w:val="718CE3DD"/>
    <w:rsid w:val="71A59313"/>
    <w:rsid w:val="71AF37F9"/>
    <w:rsid w:val="71BFE4B7"/>
    <w:rsid w:val="71CEEEE1"/>
    <w:rsid w:val="71CF065B"/>
    <w:rsid w:val="71CF1D61"/>
    <w:rsid w:val="71D543D6"/>
    <w:rsid w:val="71D5F1D3"/>
    <w:rsid w:val="71F28B29"/>
    <w:rsid w:val="71F4F690"/>
    <w:rsid w:val="71F4FB60"/>
    <w:rsid w:val="720B5081"/>
    <w:rsid w:val="7241A4BA"/>
    <w:rsid w:val="7252C988"/>
    <w:rsid w:val="7260BDE3"/>
    <w:rsid w:val="7281C9D0"/>
    <w:rsid w:val="7281F263"/>
    <w:rsid w:val="729ADC3A"/>
    <w:rsid w:val="72BA611E"/>
    <w:rsid w:val="72D46A9F"/>
    <w:rsid w:val="72E6D449"/>
    <w:rsid w:val="72EDE364"/>
    <w:rsid w:val="72EE083E"/>
    <w:rsid w:val="72F5769D"/>
    <w:rsid w:val="7300EA89"/>
    <w:rsid w:val="7317CAAD"/>
    <w:rsid w:val="731B26BF"/>
    <w:rsid w:val="732751A9"/>
    <w:rsid w:val="73360E73"/>
    <w:rsid w:val="73835578"/>
    <w:rsid w:val="739B14B3"/>
    <w:rsid w:val="73CFDFC8"/>
    <w:rsid w:val="73E2A8C2"/>
    <w:rsid w:val="73F4DAE2"/>
    <w:rsid w:val="74227474"/>
    <w:rsid w:val="7428EF64"/>
    <w:rsid w:val="742A6CD0"/>
    <w:rsid w:val="743E592F"/>
    <w:rsid w:val="7459E516"/>
    <w:rsid w:val="745BCB08"/>
    <w:rsid w:val="74634E34"/>
    <w:rsid w:val="74772E34"/>
    <w:rsid w:val="74B6E03E"/>
    <w:rsid w:val="74DBC6E9"/>
    <w:rsid w:val="74E0002C"/>
    <w:rsid w:val="74E45725"/>
    <w:rsid w:val="74F42D88"/>
    <w:rsid w:val="74F7C77C"/>
    <w:rsid w:val="75155260"/>
    <w:rsid w:val="751A1150"/>
    <w:rsid w:val="751EC640"/>
    <w:rsid w:val="7527B23A"/>
    <w:rsid w:val="7529EA69"/>
    <w:rsid w:val="7559580C"/>
    <w:rsid w:val="755E5FD9"/>
    <w:rsid w:val="755F3BA1"/>
    <w:rsid w:val="756D0BD4"/>
    <w:rsid w:val="7570E591"/>
    <w:rsid w:val="75771C9B"/>
    <w:rsid w:val="75848413"/>
    <w:rsid w:val="758D2EDC"/>
    <w:rsid w:val="75941503"/>
    <w:rsid w:val="7599F492"/>
    <w:rsid w:val="75A2CF7D"/>
    <w:rsid w:val="75B3A099"/>
    <w:rsid w:val="75B57D38"/>
    <w:rsid w:val="75CE3917"/>
    <w:rsid w:val="761F3540"/>
    <w:rsid w:val="7629A6EF"/>
    <w:rsid w:val="7629E169"/>
    <w:rsid w:val="762F996F"/>
    <w:rsid w:val="76338B70"/>
    <w:rsid w:val="7639A9B8"/>
    <w:rsid w:val="7646D162"/>
    <w:rsid w:val="764F8EDA"/>
    <w:rsid w:val="765A2098"/>
    <w:rsid w:val="7661A88F"/>
    <w:rsid w:val="766A628D"/>
    <w:rsid w:val="76852B3C"/>
    <w:rsid w:val="769FB0F6"/>
    <w:rsid w:val="76A9C16C"/>
    <w:rsid w:val="76B33070"/>
    <w:rsid w:val="76B89B70"/>
    <w:rsid w:val="76D2AD48"/>
    <w:rsid w:val="76E071E1"/>
    <w:rsid w:val="76EA0532"/>
    <w:rsid w:val="77083330"/>
    <w:rsid w:val="77276801"/>
    <w:rsid w:val="7728C289"/>
    <w:rsid w:val="773A1073"/>
    <w:rsid w:val="773EB98E"/>
    <w:rsid w:val="7742FBD9"/>
    <w:rsid w:val="77585538"/>
    <w:rsid w:val="7764A623"/>
    <w:rsid w:val="777DC98D"/>
    <w:rsid w:val="777E4087"/>
    <w:rsid w:val="7799E874"/>
    <w:rsid w:val="77A184FC"/>
    <w:rsid w:val="77B4844E"/>
    <w:rsid w:val="77BF1F77"/>
    <w:rsid w:val="77D6CF36"/>
    <w:rsid w:val="77EFBB6E"/>
    <w:rsid w:val="77F8B73D"/>
    <w:rsid w:val="78035C23"/>
    <w:rsid w:val="780978EA"/>
    <w:rsid w:val="782DE559"/>
    <w:rsid w:val="783EAA8A"/>
    <w:rsid w:val="784F06CE"/>
    <w:rsid w:val="7862E62D"/>
    <w:rsid w:val="78636DFA"/>
    <w:rsid w:val="786648C0"/>
    <w:rsid w:val="786FEAF8"/>
    <w:rsid w:val="788942A3"/>
    <w:rsid w:val="78899AC8"/>
    <w:rsid w:val="78A3FA59"/>
    <w:rsid w:val="78BF25F5"/>
    <w:rsid w:val="78DBD895"/>
    <w:rsid w:val="78DDF3FA"/>
    <w:rsid w:val="78E3EAE6"/>
    <w:rsid w:val="790710BA"/>
    <w:rsid w:val="79383DCC"/>
    <w:rsid w:val="794122BA"/>
    <w:rsid w:val="7942CF3D"/>
    <w:rsid w:val="794786B9"/>
    <w:rsid w:val="79626E9B"/>
    <w:rsid w:val="79896168"/>
    <w:rsid w:val="799BE8AD"/>
    <w:rsid w:val="79F3F939"/>
    <w:rsid w:val="7A1D750B"/>
    <w:rsid w:val="7A465194"/>
    <w:rsid w:val="7A4923DD"/>
    <w:rsid w:val="7A5A8FBE"/>
    <w:rsid w:val="7A6A1A53"/>
    <w:rsid w:val="7A9F5FF3"/>
    <w:rsid w:val="7ABC2A13"/>
    <w:rsid w:val="7AD10A91"/>
    <w:rsid w:val="7AE3AACB"/>
    <w:rsid w:val="7B08E9A5"/>
    <w:rsid w:val="7B0CF050"/>
    <w:rsid w:val="7B1B67A0"/>
    <w:rsid w:val="7B220390"/>
    <w:rsid w:val="7B280B1B"/>
    <w:rsid w:val="7B3B36A2"/>
    <w:rsid w:val="7B3D48FE"/>
    <w:rsid w:val="7B3FAA58"/>
    <w:rsid w:val="7B495C80"/>
    <w:rsid w:val="7B539ECD"/>
    <w:rsid w:val="7B565475"/>
    <w:rsid w:val="7B58617D"/>
    <w:rsid w:val="7B5A272B"/>
    <w:rsid w:val="7B68D78E"/>
    <w:rsid w:val="7B878819"/>
    <w:rsid w:val="7B937D83"/>
    <w:rsid w:val="7B95789D"/>
    <w:rsid w:val="7B9F7377"/>
    <w:rsid w:val="7BBA0389"/>
    <w:rsid w:val="7BCC0E47"/>
    <w:rsid w:val="7BCC6ACB"/>
    <w:rsid w:val="7BE17D5E"/>
    <w:rsid w:val="7BFAAA63"/>
    <w:rsid w:val="7BFE3DA7"/>
    <w:rsid w:val="7C1973D7"/>
    <w:rsid w:val="7C446FFC"/>
    <w:rsid w:val="7C4E8E36"/>
    <w:rsid w:val="7C740993"/>
    <w:rsid w:val="7C7D7BD3"/>
    <w:rsid w:val="7C9908B4"/>
    <w:rsid w:val="7CAD16A4"/>
    <w:rsid w:val="7CC35D0F"/>
    <w:rsid w:val="7CDD6E4E"/>
    <w:rsid w:val="7CDD9D2E"/>
    <w:rsid w:val="7CE91DEE"/>
    <w:rsid w:val="7D027ADB"/>
    <w:rsid w:val="7D173C88"/>
    <w:rsid w:val="7D1E5E9C"/>
    <w:rsid w:val="7D2E8DB4"/>
    <w:rsid w:val="7D31157B"/>
    <w:rsid w:val="7D4CE22A"/>
    <w:rsid w:val="7D559A98"/>
    <w:rsid w:val="7D587F97"/>
    <w:rsid w:val="7D5B847B"/>
    <w:rsid w:val="7D5FA4DA"/>
    <w:rsid w:val="7D6F3D4E"/>
    <w:rsid w:val="7D7DE156"/>
    <w:rsid w:val="7D80A21A"/>
    <w:rsid w:val="7D9D818F"/>
    <w:rsid w:val="7DA5FA9A"/>
    <w:rsid w:val="7DBBEEBA"/>
    <w:rsid w:val="7DCA854A"/>
    <w:rsid w:val="7DCD42AF"/>
    <w:rsid w:val="7DE7738C"/>
    <w:rsid w:val="7E02863C"/>
    <w:rsid w:val="7E0E39E9"/>
    <w:rsid w:val="7E2997E2"/>
    <w:rsid w:val="7E3B3567"/>
    <w:rsid w:val="7E44AAB4"/>
    <w:rsid w:val="7E493B7F"/>
    <w:rsid w:val="7E5588B2"/>
    <w:rsid w:val="7E57A518"/>
    <w:rsid w:val="7E602EEC"/>
    <w:rsid w:val="7E6F0F7A"/>
    <w:rsid w:val="7E8E6DF9"/>
    <w:rsid w:val="7E9171BE"/>
    <w:rsid w:val="7EAB6D19"/>
    <w:rsid w:val="7EB37D9C"/>
    <w:rsid w:val="7EBAC79E"/>
    <w:rsid w:val="7ED9F60A"/>
    <w:rsid w:val="7EED5B88"/>
    <w:rsid w:val="7EF5ECA8"/>
    <w:rsid w:val="7EF715B2"/>
    <w:rsid w:val="7EFFC05E"/>
    <w:rsid w:val="7F009BBA"/>
    <w:rsid w:val="7F19FFE0"/>
    <w:rsid w:val="7F1E3833"/>
    <w:rsid w:val="7F2B5BFE"/>
    <w:rsid w:val="7F3D49BF"/>
    <w:rsid w:val="7F3EA893"/>
    <w:rsid w:val="7F400F77"/>
    <w:rsid w:val="7F4BEB28"/>
    <w:rsid w:val="7F4D51C5"/>
    <w:rsid w:val="7F57C471"/>
    <w:rsid w:val="7F660F56"/>
    <w:rsid w:val="7F855F81"/>
    <w:rsid w:val="7F88EACF"/>
    <w:rsid w:val="7FD9B331"/>
    <w:rsid w:val="7FDE0B09"/>
    <w:rsid w:val="7FEF37F9"/>
    <w:rsid w:val="7FF4F571"/>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B0D52CE"/>
  <w15:chartTrackingRefBased/>
  <w15:docId w15:val="{45A04C96-DBD5-497C-8756-47DA7197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24BE"/>
  </w:style>
  <w:style w:type="paragraph" w:styleId="Heading1">
    <w:name w:val="heading 1"/>
    <w:basedOn w:val="Normal"/>
    <w:next w:val="Normal"/>
    <w:link w:val="Heading1Char"/>
    <w:uiPriority w:val="9"/>
    <w:qFormat/>
    <w:rsid w:val="009B7A0D"/>
    <w:pPr>
      <w:jc w:val="center"/>
      <w:outlineLvl w:val="0"/>
    </w:pPr>
    <w:rPr>
      <w:rFonts w:ascii="Times New Roman" w:hAnsi="Times New Roman" w:cs="Times New Roman"/>
      <w:b/>
      <w:bCs/>
      <w:sz w:val="36"/>
      <w:szCs w:val="36"/>
    </w:rPr>
  </w:style>
  <w:style w:type="paragraph" w:styleId="Heading2">
    <w:name w:val="heading 2"/>
    <w:basedOn w:val="Normal"/>
    <w:next w:val="Normal"/>
    <w:link w:val="Heading2Char"/>
    <w:autoRedefine/>
    <w:uiPriority w:val="9"/>
    <w:unhideWhenUsed/>
    <w:qFormat/>
    <w:rsid w:val="00C07306"/>
    <w:pPr>
      <w:keepNext/>
      <w:keepLines/>
      <w:spacing w:after="0" w:line="240" w:lineRule="auto"/>
      <w:outlineLvl w:val="1"/>
    </w:pPr>
    <w:rPr>
      <w:rFonts w:ascii="Times New Roman" w:hAnsi="Times New Roman" w:eastAsiaTheme="majorEastAsia" w:cs="Times New Roman"/>
      <w:bCs/>
    </w:rPr>
  </w:style>
  <w:style w:type="paragraph" w:styleId="Heading3">
    <w:name w:val="heading 3"/>
    <w:basedOn w:val="Normal"/>
    <w:link w:val="Heading3Char"/>
    <w:uiPriority w:val="9"/>
    <w:unhideWhenUsed/>
    <w:qFormat/>
    <w:rsid w:val="00435210"/>
    <w:pPr>
      <w:widowControl w:val="0"/>
      <w:autoSpaceDE w:val="0"/>
      <w:autoSpaceDN w:val="0"/>
      <w:spacing w:after="0" w:line="240" w:lineRule="auto"/>
      <w:ind w:left="1000" w:hanging="721"/>
      <w:outlineLvl w:val="2"/>
    </w:pPr>
    <w:rPr>
      <w:rFonts w:ascii="Calibri" w:eastAsia="Calibri" w:hAnsi="Calibri" w:cs="Calibri"/>
      <w:b/>
      <w:bCs/>
      <w:sz w:val="24"/>
      <w:szCs w:val="24"/>
      <w:lang w:bidi="en-US"/>
    </w:rPr>
  </w:style>
  <w:style w:type="paragraph" w:styleId="Heading4">
    <w:name w:val="heading 4"/>
    <w:basedOn w:val="Normal"/>
    <w:next w:val="Normal"/>
    <w:link w:val="Heading4Char"/>
    <w:uiPriority w:val="9"/>
    <w:unhideWhenUsed/>
    <w:qFormat/>
    <w:rsid w:val="0043521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D47B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7A0D"/>
    <w:rPr>
      <w:rFonts w:ascii="Times New Roman" w:hAnsi="Times New Roman" w:cs="Times New Roman"/>
      <w:b/>
      <w:bCs/>
      <w:sz w:val="36"/>
      <w:szCs w:val="36"/>
    </w:rPr>
  </w:style>
  <w:style w:type="character" w:customStyle="1" w:styleId="Heading2Char">
    <w:name w:val="Heading 2 Char"/>
    <w:basedOn w:val="DefaultParagraphFont"/>
    <w:link w:val="Heading2"/>
    <w:uiPriority w:val="9"/>
    <w:rsid w:val="00C07306"/>
    <w:rPr>
      <w:rFonts w:ascii="Times New Roman" w:hAnsi="Times New Roman" w:eastAsiaTheme="majorEastAsia" w:cs="Times New Roman"/>
      <w:bCs/>
    </w:rPr>
  </w:style>
  <w:style w:type="character" w:customStyle="1" w:styleId="Heading3Char">
    <w:name w:val="Heading 3 Char"/>
    <w:basedOn w:val="DefaultParagraphFont"/>
    <w:link w:val="Heading3"/>
    <w:uiPriority w:val="9"/>
    <w:rsid w:val="00435210"/>
    <w:rPr>
      <w:rFonts w:ascii="Calibri" w:eastAsia="Calibri" w:hAnsi="Calibri" w:cs="Calibri"/>
      <w:b/>
      <w:bCs/>
      <w:sz w:val="24"/>
      <w:szCs w:val="24"/>
      <w:lang w:bidi="en-US"/>
    </w:rPr>
  </w:style>
  <w:style w:type="character" w:customStyle="1" w:styleId="Heading4Char">
    <w:name w:val="Heading 4 Char"/>
    <w:basedOn w:val="DefaultParagraphFont"/>
    <w:link w:val="Heading4"/>
    <w:uiPriority w:val="9"/>
    <w:rsid w:val="00435210"/>
    <w:rPr>
      <w:rFonts w:asciiTheme="majorHAnsi" w:eastAsiaTheme="majorEastAsia" w:hAnsiTheme="majorHAnsi" w:cstheme="majorBidi"/>
      <w:i/>
      <w:iCs/>
      <w:color w:val="2F5496" w:themeColor="accent1" w:themeShade="BF"/>
    </w:rPr>
  </w:style>
  <w:style w:type="paragraph" w:customStyle="1" w:styleId="Default">
    <w:name w:val="Default"/>
    <w:rsid w:val="009B7A0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B7A0D"/>
    <w:rPr>
      <w:color w:val="0563C1" w:themeColor="hyperlink"/>
      <w:u w:val="single"/>
    </w:rPr>
  </w:style>
  <w:style w:type="paragraph" w:styleId="TOCHeading">
    <w:name w:val="TOC Heading"/>
    <w:basedOn w:val="Heading1"/>
    <w:next w:val="Normal"/>
    <w:uiPriority w:val="39"/>
    <w:unhideWhenUsed/>
    <w:qFormat/>
    <w:rsid w:val="009B7A0D"/>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Default"/>
    <w:next w:val="Normal"/>
    <w:autoRedefine/>
    <w:uiPriority w:val="39"/>
    <w:unhideWhenUsed/>
    <w:qFormat/>
    <w:rsid w:val="00800925"/>
    <w:pPr>
      <w:tabs>
        <w:tab w:val="right" w:leader="dot" w:pos="9970"/>
      </w:tabs>
      <w:autoSpaceDE/>
      <w:autoSpaceDN/>
      <w:adjustRightInd/>
      <w:spacing w:before="360" w:line="259" w:lineRule="auto"/>
      <w:ind w:left="360" w:hanging="360"/>
    </w:pPr>
    <w:rPr>
      <w:rFonts w:ascii="Times New Roman" w:hAnsi="Times New Roman" w:cs="Times New Roman"/>
      <w:b/>
      <w:bCs/>
      <w:caps/>
      <w:noProof/>
      <w:color w:val="auto"/>
    </w:rPr>
  </w:style>
  <w:style w:type="paragraph" w:styleId="TOC2">
    <w:name w:val="toc 2"/>
    <w:basedOn w:val="Default"/>
    <w:next w:val="Default"/>
    <w:autoRedefine/>
    <w:uiPriority w:val="39"/>
    <w:unhideWhenUsed/>
    <w:qFormat/>
    <w:rsid w:val="003B3BBF"/>
    <w:pPr>
      <w:tabs>
        <w:tab w:val="right" w:leader="dot" w:pos="9970"/>
      </w:tabs>
      <w:autoSpaceDE/>
      <w:autoSpaceDN/>
      <w:adjustRightInd/>
    </w:pPr>
    <w:rPr>
      <w:rFonts w:ascii="Times New Roman" w:hAnsi="Times New Roman" w:cs="Times New Roman"/>
      <w:noProof/>
      <w:color w:val="auto"/>
      <w:sz w:val="18"/>
      <w:szCs w:val="18"/>
    </w:rPr>
  </w:style>
  <w:style w:type="paragraph" w:styleId="ListParagraph">
    <w:name w:val="List Paragraph"/>
    <w:basedOn w:val="Normal"/>
    <w:uiPriority w:val="34"/>
    <w:qFormat/>
    <w:rsid w:val="00093C0A"/>
    <w:pPr>
      <w:ind w:left="720"/>
      <w:contextualSpacing/>
    </w:pPr>
  </w:style>
  <w:style w:type="paragraph" w:styleId="FootnoteText">
    <w:name w:val="footnote text"/>
    <w:aliases w:val="ALTS FOOTNOTE,Char,Char2,Char3,Char4,Footnote Text - Preamble,Footnote Text - Preamble1,Footnote Text Char Char,Footnote Text Char Char Char Char,Footnote Text Char Char1,Footnote Text Char1 Char Char,MC-PRE,MC-PRE Footnote Text,f,fn,fn1"/>
    <w:basedOn w:val="Normal"/>
    <w:link w:val="FootnoteTextChar"/>
    <w:uiPriority w:val="99"/>
    <w:unhideWhenUsed/>
    <w:qFormat/>
    <w:rsid w:val="00093C0A"/>
    <w:pPr>
      <w:spacing w:after="0" w:line="240" w:lineRule="auto"/>
    </w:pPr>
    <w:rPr>
      <w:sz w:val="20"/>
      <w:szCs w:val="20"/>
    </w:rPr>
  </w:style>
  <w:style w:type="character" w:customStyle="1" w:styleId="FootnoteTextChar">
    <w:name w:val="Footnote Text Char"/>
    <w:aliases w:val="ALTS FOOTNOTE Char,Char Char,Char2 Char,Char3 Char,Char4 Char,Footnote Text - Preamble Char,Footnote Text - Preamble1 Char,Footnote Text Char Char Char,Footnote Text Char Char Char Char Char,Footnote Text Char Char1 Char,MC-PRE Char"/>
    <w:basedOn w:val="DefaultParagraphFont"/>
    <w:link w:val="FootnoteText"/>
    <w:uiPriority w:val="99"/>
    <w:rsid w:val="00093C0A"/>
    <w:rPr>
      <w:sz w:val="20"/>
      <w:szCs w:val="20"/>
    </w:rPr>
  </w:style>
  <w:style w:type="character" w:styleId="FootnoteReference">
    <w:name w:val="footnote reference"/>
    <w:aliases w:val="MC-PRE Footnote Reference"/>
    <w:basedOn w:val="DefaultParagraphFont"/>
    <w:uiPriority w:val="99"/>
    <w:unhideWhenUsed/>
    <w:qFormat/>
    <w:rsid w:val="00093C0A"/>
    <w:rPr>
      <w:vertAlign w:val="superscript"/>
    </w:rPr>
  </w:style>
  <w:style w:type="character" w:styleId="CommentReference">
    <w:name w:val="annotation reference"/>
    <w:basedOn w:val="DefaultParagraphFont"/>
    <w:uiPriority w:val="99"/>
    <w:unhideWhenUsed/>
    <w:rsid w:val="00093C0A"/>
    <w:rPr>
      <w:sz w:val="16"/>
      <w:szCs w:val="16"/>
    </w:rPr>
  </w:style>
  <w:style w:type="paragraph" w:styleId="CommentText">
    <w:name w:val="annotation text"/>
    <w:basedOn w:val="Normal"/>
    <w:link w:val="CommentTextChar"/>
    <w:uiPriority w:val="99"/>
    <w:unhideWhenUsed/>
    <w:rsid w:val="00093C0A"/>
    <w:pPr>
      <w:spacing w:line="240" w:lineRule="auto"/>
    </w:pPr>
    <w:rPr>
      <w:sz w:val="20"/>
      <w:szCs w:val="20"/>
    </w:rPr>
  </w:style>
  <w:style w:type="character" w:customStyle="1" w:styleId="CommentTextChar">
    <w:name w:val="Comment Text Char"/>
    <w:basedOn w:val="DefaultParagraphFont"/>
    <w:link w:val="CommentText"/>
    <w:uiPriority w:val="99"/>
    <w:rsid w:val="00093C0A"/>
    <w:rPr>
      <w:sz w:val="20"/>
      <w:szCs w:val="20"/>
    </w:rPr>
  </w:style>
  <w:style w:type="paragraph" w:styleId="CommentSubject">
    <w:name w:val="annotation subject"/>
    <w:basedOn w:val="CommentText"/>
    <w:next w:val="CommentText"/>
    <w:link w:val="CommentSubjectChar"/>
    <w:uiPriority w:val="99"/>
    <w:unhideWhenUsed/>
    <w:rsid w:val="00266F43"/>
    <w:rPr>
      <w:b/>
      <w:bCs/>
    </w:rPr>
  </w:style>
  <w:style w:type="character" w:customStyle="1" w:styleId="CommentSubjectChar">
    <w:name w:val="Comment Subject Char"/>
    <w:basedOn w:val="CommentTextChar"/>
    <w:link w:val="CommentSubject"/>
    <w:uiPriority w:val="99"/>
    <w:rsid w:val="00266F43"/>
    <w:rPr>
      <w:b/>
      <w:bCs/>
      <w:sz w:val="20"/>
      <w:szCs w:val="20"/>
    </w:rPr>
  </w:style>
  <w:style w:type="character" w:styleId="Mention">
    <w:name w:val="Mention"/>
    <w:basedOn w:val="DefaultParagraphFont"/>
    <w:uiPriority w:val="99"/>
    <w:unhideWhenUsed/>
    <w:rsid w:val="0075046B"/>
    <w:rPr>
      <w:color w:val="2B579A"/>
      <w:shd w:val="clear" w:color="auto" w:fill="E1DFDD"/>
    </w:rPr>
  </w:style>
  <w:style w:type="paragraph" w:customStyle="1" w:styleId="TableParagraph">
    <w:name w:val="Table Paragraph"/>
    <w:basedOn w:val="Normal"/>
    <w:uiPriority w:val="1"/>
    <w:qFormat/>
    <w:rsid w:val="0075046B"/>
    <w:pPr>
      <w:widowControl w:val="0"/>
      <w:autoSpaceDE w:val="0"/>
      <w:autoSpaceDN w:val="0"/>
      <w:spacing w:before="18" w:after="0" w:line="240" w:lineRule="auto"/>
      <w:jc w:val="center"/>
    </w:pPr>
    <w:rPr>
      <w:rFonts w:ascii="Calibri" w:eastAsia="Calibri" w:hAnsi="Calibri" w:cs="Calibri"/>
      <w:lang w:bidi="en-US"/>
    </w:rPr>
  </w:style>
  <w:style w:type="paragraph" w:styleId="BodyText">
    <w:name w:val="Body Text"/>
    <w:basedOn w:val="Normal"/>
    <w:link w:val="BodyTextChar"/>
    <w:uiPriority w:val="1"/>
    <w:qFormat/>
    <w:rsid w:val="00C5384D"/>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C5384D"/>
    <w:rPr>
      <w:rFonts w:ascii="Calibri" w:eastAsia="Calibri" w:hAnsi="Calibri" w:cs="Calibri"/>
      <w:lang w:bidi="en-US"/>
    </w:rPr>
  </w:style>
  <w:style w:type="paragraph" w:styleId="TOC3">
    <w:name w:val="toc 3"/>
    <w:basedOn w:val="Normal"/>
    <w:uiPriority w:val="39"/>
    <w:qFormat/>
    <w:rsid w:val="00435210"/>
    <w:pPr>
      <w:spacing w:after="0"/>
      <w:ind w:left="220"/>
    </w:pPr>
    <w:rPr>
      <w:rFonts w:cstheme="minorHAnsi"/>
      <w:sz w:val="20"/>
      <w:szCs w:val="20"/>
    </w:rPr>
  </w:style>
  <w:style w:type="paragraph" w:styleId="TOC4">
    <w:name w:val="toc 4"/>
    <w:basedOn w:val="Normal"/>
    <w:uiPriority w:val="39"/>
    <w:qFormat/>
    <w:rsid w:val="00435210"/>
    <w:pPr>
      <w:spacing w:after="0"/>
      <w:ind w:left="440"/>
    </w:pPr>
    <w:rPr>
      <w:rFonts w:cstheme="minorHAnsi"/>
      <w:sz w:val="20"/>
      <w:szCs w:val="20"/>
    </w:rPr>
  </w:style>
  <w:style w:type="paragraph" w:styleId="Header">
    <w:name w:val="header"/>
    <w:basedOn w:val="Normal"/>
    <w:link w:val="HeaderChar"/>
    <w:uiPriority w:val="99"/>
    <w:unhideWhenUsed/>
    <w:rsid w:val="00435210"/>
    <w:pPr>
      <w:widowControl w:val="0"/>
      <w:tabs>
        <w:tab w:val="center" w:pos="4680"/>
        <w:tab w:val="right" w:pos="9360"/>
      </w:tabs>
      <w:autoSpaceDE w:val="0"/>
      <w:autoSpaceDN w:val="0"/>
      <w:spacing w:after="0" w:line="240" w:lineRule="auto"/>
    </w:pPr>
    <w:rPr>
      <w:rFonts w:ascii="Calibri" w:eastAsia="Calibri" w:hAnsi="Calibri" w:cs="Calibri"/>
      <w:lang w:bidi="en-US"/>
    </w:rPr>
  </w:style>
  <w:style w:type="character" w:customStyle="1" w:styleId="HeaderChar">
    <w:name w:val="Header Char"/>
    <w:basedOn w:val="DefaultParagraphFont"/>
    <w:link w:val="Header"/>
    <w:uiPriority w:val="99"/>
    <w:rsid w:val="00435210"/>
    <w:rPr>
      <w:rFonts w:ascii="Calibri" w:eastAsia="Calibri" w:hAnsi="Calibri" w:cs="Calibri"/>
      <w:lang w:bidi="en-US"/>
    </w:rPr>
  </w:style>
  <w:style w:type="paragraph" w:styleId="Footer">
    <w:name w:val="footer"/>
    <w:basedOn w:val="Normal"/>
    <w:link w:val="FooterChar"/>
    <w:uiPriority w:val="99"/>
    <w:unhideWhenUsed/>
    <w:rsid w:val="00435210"/>
    <w:pPr>
      <w:widowControl w:val="0"/>
      <w:tabs>
        <w:tab w:val="center" w:pos="4680"/>
        <w:tab w:val="right" w:pos="9360"/>
      </w:tabs>
      <w:autoSpaceDE w:val="0"/>
      <w:autoSpaceDN w:val="0"/>
      <w:spacing w:after="0" w:line="240" w:lineRule="auto"/>
    </w:pPr>
    <w:rPr>
      <w:rFonts w:ascii="Calibri" w:eastAsia="Calibri" w:hAnsi="Calibri" w:cs="Calibri"/>
      <w:lang w:bidi="en-US"/>
    </w:rPr>
  </w:style>
  <w:style w:type="character" w:customStyle="1" w:styleId="FooterChar">
    <w:name w:val="Footer Char"/>
    <w:basedOn w:val="DefaultParagraphFont"/>
    <w:link w:val="Footer"/>
    <w:uiPriority w:val="99"/>
    <w:rsid w:val="00435210"/>
    <w:rPr>
      <w:rFonts w:ascii="Calibri" w:eastAsia="Calibri" w:hAnsi="Calibri" w:cs="Calibri"/>
      <w:lang w:bidi="en-US"/>
    </w:rPr>
  </w:style>
  <w:style w:type="character" w:styleId="UnresolvedMention">
    <w:name w:val="Unresolved Mention"/>
    <w:basedOn w:val="DefaultParagraphFont"/>
    <w:uiPriority w:val="99"/>
    <w:unhideWhenUsed/>
    <w:rsid w:val="00CF2457"/>
    <w:rPr>
      <w:color w:val="605E5C"/>
      <w:shd w:val="clear" w:color="auto" w:fill="E1DFDD"/>
    </w:rPr>
  </w:style>
  <w:style w:type="paragraph" w:styleId="TOC5">
    <w:name w:val="toc 5"/>
    <w:basedOn w:val="Normal"/>
    <w:uiPriority w:val="39"/>
    <w:qFormat/>
    <w:rsid w:val="00E93325"/>
    <w:pPr>
      <w:spacing w:after="0"/>
      <w:ind w:left="660"/>
    </w:pPr>
    <w:rPr>
      <w:rFonts w:cstheme="minorHAnsi"/>
      <w:sz w:val="20"/>
      <w:szCs w:val="20"/>
    </w:rPr>
  </w:style>
  <w:style w:type="paragraph" w:styleId="TOC6">
    <w:name w:val="toc 6"/>
    <w:basedOn w:val="Normal"/>
    <w:uiPriority w:val="39"/>
    <w:qFormat/>
    <w:rsid w:val="00E93325"/>
    <w:pPr>
      <w:spacing w:after="0"/>
      <w:ind w:left="880"/>
    </w:pPr>
    <w:rPr>
      <w:rFonts w:cstheme="minorHAnsi"/>
      <w:sz w:val="20"/>
      <w:szCs w:val="20"/>
    </w:rPr>
  </w:style>
  <w:style w:type="paragraph" w:styleId="Revision">
    <w:name w:val="Revision"/>
    <w:hidden/>
    <w:uiPriority w:val="99"/>
    <w:semiHidden/>
    <w:rsid w:val="00E93325"/>
    <w:pPr>
      <w:spacing w:after="0" w:line="240" w:lineRule="auto"/>
    </w:pPr>
    <w:rPr>
      <w:rFonts w:ascii="Calibri" w:eastAsia="Calibri" w:hAnsi="Calibri" w:cs="Calibri"/>
      <w:lang w:bidi="en-US"/>
    </w:rPr>
  </w:style>
  <w:style w:type="table" w:styleId="TableGrid">
    <w:name w:val="Table Grid"/>
    <w:basedOn w:val="TableNormal"/>
    <w:uiPriority w:val="59"/>
    <w:rsid w:val="00504CA3"/>
    <w:pPr>
      <w:spacing w:after="0" w:line="264"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link w:val="TableTitleChar"/>
    <w:rsid w:val="00504CA3"/>
    <w:pPr>
      <w:keepNext/>
      <w:keepLines/>
      <w:spacing w:before="60" w:after="60" w:line="264" w:lineRule="auto"/>
    </w:pPr>
    <w:rPr>
      <w:rFonts w:ascii="Times New Roman" w:eastAsia="Times New Roman" w:hAnsi="Times New Roman" w:cs="Times New Roman"/>
      <w:b/>
      <w:sz w:val="24"/>
    </w:rPr>
  </w:style>
  <w:style w:type="character" w:customStyle="1" w:styleId="TableTitleChar">
    <w:name w:val="Table Title Char"/>
    <w:link w:val="TableTitle"/>
    <w:locked/>
    <w:rsid w:val="00504CA3"/>
    <w:rPr>
      <w:rFonts w:ascii="Times New Roman" w:eastAsia="Times New Roman" w:hAnsi="Times New Roman" w:cs="Times New Roman"/>
      <w:b/>
      <w:sz w:val="24"/>
    </w:rPr>
  </w:style>
  <w:style w:type="character" w:styleId="Strong">
    <w:name w:val="Strong"/>
    <w:uiPriority w:val="22"/>
    <w:qFormat/>
    <w:rsid w:val="00504CA3"/>
    <w:rPr>
      <w:b/>
      <w:bCs/>
    </w:rPr>
  </w:style>
  <w:style w:type="paragraph" w:customStyle="1" w:styleId="paragraph">
    <w:name w:val="paragraph"/>
    <w:basedOn w:val="Normal"/>
    <w:rsid w:val="00C378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37813"/>
  </w:style>
  <w:style w:type="character" w:customStyle="1" w:styleId="eop">
    <w:name w:val="eop"/>
    <w:basedOn w:val="DefaultParagraphFont"/>
    <w:rsid w:val="00C37813"/>
  </w:style>
  <w:style w:type="paragraph" w:styleId="TOC7">
    <w:name w:val="toc 7"/>
    <w:basedOn w:val="Normal"/>
    <w:next w:val="Normal"/>
    <w:autoRedefine/>
    <w:uiPriority w:val="39"/>
    <w:unhideWhenUsed/>
    <w:rsid w:val="00244CF6"/>
    <w:pPr>
      <w:spacing w:after="0"/>
      <w:ind w:left="1100"/>
    </w:pPr>
    <w:rPr>
      <w:rFonts w:cstheme="minorHAnsi"/>
      <w:sz w:val="20"/>
      <w:szCs w:val="20"/>
    </w:rPr>
  </w:style>
  <w:style w:type="paragraph" w:styleId="TOC8">
    <w:name w:val="toc 8"/>
    <w:basedOn w:val="Normal"/>
    <w:next w:val="Normal"/>
    <w:autoRedefine/>
    <w:uiPriority w:val="39"/>
    <w:unhideWhenUsed/>
    <w:rsid w:val="00244CF6"/>
    <w:pPr>
      <w:spacing w:after="0"/>
      <w:ind w:left="1320"/>
    </w:pPr>
    <w:rPr>
      <w:rFonts w:cstheme="minorHAnsi"/>
      <w:sz w:val="20"/>
      <w:szCs w:val="20"/>
    </w:rPr>
  </w:style>
  <w:style w:type="paragraph" w:styleId="TOC9">
    <w:name w:val="toc 9"/>
    <w:basedOn w:val="Normal"/>
    <w:next w:val="Normal"/>
    <w:autoRedefine/>
    <w:uiPriority w:val="39"/>
    <w:unhideWhenUsed/>
    <w:rsid w:val="00244CF6"/>
    <w:pPr>
      <w:spacing w:after="0"/>
      <w:ind w:left="1540"/>
    </w:pPr>
    <w:rPr>
      <w:rFonts w:cstheme="minorHAnsi"/>
      <w:sz w:val="20"/>
      <w:szCs w:val="20"/>
    </w:rPr>
  </w:style>
  <w:style w:type="paragraph" w:styleId="NoSpacing">
    <w:name w:val="No Spacing"/>
    <w:uiPriority w:val="1"/>
    <w:qFormat/>
    <w:rsid w:val="003B5828"/>
    <w:pPr>
      <w:spacing w:after="0" w:line="240" w:lineRule="auto"/>
    </w:pPr>
  </w:style>
  <w:style w:type="paragraph" w:styleId="BalloonText">
    <w:name w:val="Balloon Text"/>
    <w:basedOn w:val="Normal"/>
    <w:link w:val="BalloonTextChar"/>
    <w:uiPriority w:val="99"/>
    <w:semiHidden/>
    <w:unhideWhenUsed/>
    <w:rsid w:val="00AE4E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EDB"/>
    <w:rPr>
      <w:rFonts w:ascii="Segoe UI" w:hAnsi="Segoe UI" w:cs="Segoe UI"/>
      <w:sz w:val="18"/>
      <w:szCs w:val="18"/>
    </w:rPr>
  </w:style>
  <w:style w:type="table" w:customStyle="1" w:styleId="TableGrid1">
    <w:name w:val="Table Grid1"/>
    <w:basedOn w:val="TableNormal"/>
    <w:next w:val="TableGrid"/>
    <w:uiPriority w:val="39"/>
    <w:rsid w:val="00AA5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626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BibliographyChar">
    <w:name w:val="EndNote Bibliography Char"/>
    <w:basedOn w:val="DefaultParagraphFont"/>
    <w:link w:val="EndNoteBibliography"/>
    <w:uiPriority w:val="99"/>
    <w:locked/>
    <w:rsid w:val="00961293"/>
    <w:rPr>
      <w:rFonts w:ascii="Times New Roman" w:eastAsia="STIXSizeThreeSym" w:hAnsi="Times New Roman" w:cs="Times New Roman"/>
      <w:noProof/>
      <w:sz w:val="24"/>
      <w:szCs w:val="24"/>
    </w:rPr>
  </w:style>
  <w:style w:type="paragraph" w:customStyle="1" w:styleId="EndNoteBibliography">
    <w:name w:val="EndNote Bibliography"/>
    <w:basedOn w:val="Normal"/>
    <w:link w:val="EndNoteBibliographyChar"/>
    <w:uiPriority w:val="99"/>
    <w:rsid w:val="00961293"/>
    <w:pPr>
      <w:spacing w:after="0" w:line="240" w:lineRule="auto"/>
      <w:jc w:val="both"/>
    </w:pPr>
    <w:rPr>
      <w:rFonts w:ascii="Times New Roman" w:eastAsia="STIXSizeThreeSym" w:hAnsi="Times New Roman" w:cs="Times New Roman"/>
      <w:noProof/>
      <w:sz w:val="24"/>
      <w:szCs w:val="24"/>
    </w:rPr>
  </w:style>
  <w:style w:type="paragraph" w:styleId="Caption">
    <w:name w:val="caption"/>
    <w:basedOn w:val="Normal"/>
    <w:next w:val="Normal"/>
    <w:uiPriority w:val="35"/>
    <w:unhideWhenUsed/>
    <w:qFormat/>
    <w:rsid w:val="00514BC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46C18"/>
    <w:pPr>
      <w:spacing w:after="0"/>
    </w:pPr>
  </w:style>
  <w:style w:type="character" w:styleId="FollowedHyperlink">
    <w:name w:val="FollowedHyperlink"/>
    <w:basedOn w:val="DefaultParagraphFont"/>
    <w:uiPriority w:val="99"/>
    <w:semiHidden/>
    <w:unhideWhenUsed/>
    <w:rsid w:val="005440C3"/>
    <w:rPr>
      <w:color w:val="954F72" w:themeColor="followedHyperlink"/>
      <w:u w:val="single"/>
    </w:rPr>
  </w:style>
  <w:style w:type="paragraph" w:styleId="EndnoteText">
    <w:name w:val="endnote text"/>
    <w:basedOn w:val="Normal"/>
    <w:link w:val="EndnoteTextChar"/>
    <w:uiPriority w:val="99"/>
    <w:semiHidden/>
    <w:unhideWhenUsed/>
    <w:rsid w:val="00EB08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08C3"/>
    <w:rPr>
      <w:sz w:val="20"/>
      <w:szCs w:val="20"/>
    </w:rPr>
  </w:style>
  <w:style w:type="character" w:styleId="EndnoteReference">
    <w:name w:val="endnote reference"/>
    <w:basedOn w:val="DefaultParagraphFont"/>
    <w:uiPriority w:val="99"/>
    <w:semiHidden/>
    <w:unhideWhenUsed/>
    <w:rsid w:val="00EB08C3"/>
    <w:rPr>
      <w:vertAlign w:val="superscript"/>
    </w:rPr>
  </w:style>
  <w:style w:type="table" w:styleId="GridTableLight">
    <w:name w:val="Grid Table Light"/>
    <w:basedOn w:val="TableNormal"/>
    <w:uiPriority w:val="40"/>
    <w:rsid w:val="00D84EC7"/>
    <w:pPr>
      <w:spacing w:after="0" w:line="240" w:lineRule="auto"/>
    </w:pPr>
    <w:rPr>
      <w:rFonts w:eastAsiaTheme="minorEastAsia"/>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E92277"/>
    <w:rPr>
      <w:color w:val="808080"/>
    </w:rPr>
  </w:style>
  <w:style w:type="character" w:styleId="Emphasis">
    <w:name w:val="Emphasis"/>
    <w:basedOn w:val="DefaultParagraphFont"/>
    <w:uiPriority w:val="20"/>
    <w:qFormat/>
    <w:rsid w:val="003B13FB"/>
    <w:rPr>
      <w:i/>
      <w:iCs/>
    </w:rPr>
  </w:style>
  <w:style w:type="paragraph" w:customStyle="1" w:styleId="pf0">
    <w:name w:val="pf0"/>
    <w:basedOn w:val="Normal"/>
    <w:rsid w:val="003B1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B13FB"/>
    <w:rPr>
      <w:rFonts w:ascii="Segoe UI" w:hAnsi="Segoe UI" w:cs="Segoe UI" w:hint="default"/>
      <w:sz w:val="18"/>
      <w:szCs w:val="18"/>
    </w:rPr>
  </w:style>
  <w:style w:type="character" w:customStyle="1" w:styleId="cf11">
    <w:name w:val="cf11"/>
    <w:basedOn w:val="DefaultParagraphFont"/>
    <w:rsid w:val="008704C0"/>
    <w:rPr>
      <w:rFonts w:ascii="Segoe UI" w:hAnsi="Segoe UI" w:cs="Segoe UI" w:hint="default"/>
      <w:sz w:val="18"/>
      <w:szCs w:val="18"/>
    </w:rPr>
  </w:style>
  <w:style w:type="character" w:customStyle="1" w:styleId="Heading5Char">
    <w:name w:val="Heading 5 Char"/>
    <w:basedOn w:val="DefaultParagraphFont"/>
    <w:link w:val="Heading5"/>
    <w:uiPriority w:val="9"/>
    <w:rsid w:val="000D47B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image" Target="media/image1.png" /><Relationship Id="rId18" Type="http://schemas.openxmlformats.org/officeDocument/2006/relationships/chart" Target="charts/chart1.xml" /><Relationship Id="rId19" Type="http://schemas.openxmlformats.org/officeDocument/2006/relationships/chart" Target="charts/chart2.xml" /><Relationship Id="rId2" Type="http://schemas.openxmlformats.org/officeDocument/2006/relationships/settings" Target="settings.xml" /><Relationship Id="rId20" Type="http://schemas.openxmlformats.org/officeDocument/2006/relationships/image" Target="media/image2.emf" /><Relationship Id="rId21" Type="http://schemas.openxmlformats.org/officeDocument/2006/relationships/image" Target="media/image3.emf" /><Relationship Id="rId22" Type="http://schemas.openxmlformats.org/officeDocument/2006/relationships/hyperlink" Target="https://www.csb.gov/tpc-group-explosion-and-fire/" TargetMode="External" /><Relationship Id="rId23" Type="http://schemas.openxmlformats.org/officeDocument/2006/relationships/hyperlink" Target="https://www.bls.gov/oes/2022/may/oes_nat.htm" TargetMode="External" /><Relationship Id="rId24" Type="http://schemas.openxmlformats.org/officeDocument/2006/relationships/hyperlink" Target="http://www.bls.gov/news.release/ecec.nr0.htm." TargetMode="External" /><Relationship Id="rId25" Type="http://schemas.openxmlformats.org/officeDocument/2006/relationships/footer" Target="footer5.xml" /><Relationship Id="rId26" Type="http://schemas.openxmlformats.org/officeDocument/2006/relationships/image" Target="media/image4.png" /><Relationship Id="rId27" Type="http://schemas.openxmlformats.org/officeDocument/2006/relationships/footer" Target="footer6.xml" /><Relationship Id="rId28" Type="http://schemas.openxmlformats.org/officeDocument/2006/relationships/hyperlink" Target="https://www.marsh.com/us/industries/energy-and-power/insights/100-largest-losses/100-largest-losses-report-download.html" TargetMode="External" /><Relationship Id="rId29" Type="http://schemas.openxmlformats.org/officeDocument/2006/relationships/hyperlink" Target="https://www.marsh.com/us/industries/energy-and-power/insights/100-largest-losses-in-the-hydrocarbon-industry.html" TargetMode="External" /><Relationship Id="rId3" Type="http://schemas.openxmlformats.org/officeDocument/2006/relationships/webSettings" Target="webSettings.xml" /><Relationship Id="rId30" Type="http://schemas.openxmlformats.org/officeDocument/2006/relationships/hyperlink" Target="https://enatech.jrc.ec.europa.eu/download/attachment/244" TargetMode="External" /><Relationship Id="rId31" Type="http://schemas.openxmlformats.org/officeDocument/2006/relationships/footer" Target="footer7.xml" /><Relationship Id="rId32" Type="http://schemas.openxmlformats.org/officeDocument/2006/relationships/hyperlink" Target="https://www.primatech.com/technical/safer-technologies-and-alternative-analysis" TargetMode="External" /><Relationship Id="rId33" Type="http://schemas.openxmlformats.org/officeDocument/2006/relationships/hyperlink" Target="https://www.halvorsenusa.com/resources/pressure-vessel-cost-estimations-pricing-rates-expenses/" TargetMode="External" /><Relationship Id="rId34" Type="http://schemas.openxmlformats.org/officeDocument/2006/relationships/hyperlink" Target="https://www.maintenanceandengineering.com/2020/04/15/what-is-the-real-cost-of-pressure-vessel-repair/" TargetMode="External" /><Relationship Id="rId35" Type="http://schemas.openxmlformats.org/officeDocument/2006/relationships/hyperlink" Target="https://safety.blr.com/workplace-safety-news/safety-administration/OSHA-and-state-safety-compliance-enforcement/Chevron-to-pay-1-million-to-settle-Richmond-Refine/" TargetMode="External" /><Relationship Id="rId36" Type="http://schemas.openxmlformats.org/officeDocument/2006/relationships/hyperlink" Target="https://chevroncorp.gcs-web.com/static-files/87b5b33d-4328-494b-afe9-6a0dc01dd556" TargetMode="External" /><Relationship Id="rId37" Type="http://schemas.openxmlformats.org/officeDocument/2006/relationships/hyperlink" Target="https://www.regulations.gov/document/EPA-HQ-OAR-2017-0357-0015" TargetMode="External" /><Relationship Id="rId38" Type="http://schemas.openxmlformats.org/officeDocument/2006/relationships/hyperlink" Target="https://www.regulations.gov/document/EPA-HQ-OAR-2010-0682-0194" TargetMode="External" /><Relationship Id="rId39" Type="http://schemas.openxmlformats.org/officeDocument/2006/relationships/hyperlink" Target="https://www.flir.com/products/gfx320/?model=74902-0102&amp;vertical=optical+gas&amp;segment=solutions" TargetMode="External" /><Relationship Id="rId4" Type="http://schemas.openxmlformats.org/officeDocument/2006/relationships/fontTable" Target="fontTable.xml" /><Relationship Id="rId40" Type="http://schemas.openxmlformats.org/officeDocument/2006/relationships/hyperlink" Target="https://www.regulations.gov/document/EPA-HQ-OEM-2015-0725-0029" TargetMode="External" /><Relationship Id="rId41" Type="http://schemas.openxmlformats.org/officeDocument/2006/relationships/hyperlink" Target="https://vdoc.pub/documents/plant-design-and-economics-for-chemical-engineers-2e23idrq1qf0" TargetMode="External" /><Relationship Id="rId42" Type="http://schemas.openxmlformats.org/officeDocument/2006/relationships/hyperlink" Target="https://www.turi.org/content/download/9921/168937/file/Columbia+Manufacturing+OTA.+2015.pdf" TargetMode="External" /><Relationship Id="rId43" Type="http://schemas.openxmlformats.org/officeDocument/2006/relationships/hyperlink" Target="https://www.mass.gov/files/2017_competitiveness_report_ota_and_turi_6.pdf" TargetMode="External" /><Relationship Id="rId44" Type="http://schemas.openxmlformats.org/officeDocument/2006/relationships/hyperlink" Target="https://www.epa.gov/economic-and-cost-analysis-air-pollution-regulations/cost-reports-and-guidance-air-pollution" TargetMode="External" /><Relationship Id="rId45" Type="http://schemas.openxmlformats.org/officeDocument/2006/relationships/hyperlink" Target="https://www.epa.gov/sites/default/files/2020-07/documents/cs2ch4.pdf" TargetMode="External" /><Relationship Id="rId46" Type="http://schemas.openxmlformats.org/officeDocument/2006/relationships/hyperlink" Target="https://nap.nationalacademies.org/resource/13385/MIC-Summary-Final.pdf" TargetMode="External" /><Relationship Id="rId47" Type="http://schemas.openxmlformats.org/officeDocument/2006/relationships/hyperlink" Target="https://www.eia.gov/consumption/manufacturing/data/2010/pdf/Table9_1.pdf" TargetMode="External" /><Relationship Id="rId48" Type="http://schemas.openxmlformats.org/officeDocument/2006/relationships/hyperlink" Target="https://smokeguard.com/blog/2022/february/02/what-is-the-cost-of-a-commercial-fire-sprinkler-system" TargetMode="External" /><Relationship Id="rId49" Type="http://schemas.openxmlformats.org/officeDocument/2006/relationships/hyperlink" Target="https://www.costowl.com/b2b/security/security-fire-sprinkler-system/" TargetMode="External" /><Relationship Id="rId5" Type="http://schemas.openxmlformats.org/officeDocument/2006/relationships/customXml" Target="../customXml/item1.xml" /><Relationship Id="rId50" Type="http://schemas.openxmlformats.org/officeDocument/2006/relationships/hyperlink" Target="https://www.icheme.org/media/9602/xxi-paper-106.pdf" TargetMode="External" /><Relationship Id="rId51" Type="http://schemas.openxmlformats.org/officeDocument/2006/relationships/hyperlink" Target="https://gasgenerationsolutions.com/nitrogen-generator-price/" TargetMode="External" /><Relationship Id="rId52" Type="http://schemas.openxmlformats.org/officeDocument/2006/relationships/hyperlink" Target="https://nitrogen-generators.com/nitrogen-generator-price/" TargetMode="External" /><Relationship Id="rId53" Type="http://schemas.openxmlformats.org/officeDocument/2006/relationships/hyperlink" Target="https://www.chemengonline.com/combustible-dust-explosions-inerting/?pagenum=1" TargetMode="External" /><Relationship Id="rId54" Type="http://schemas.openxmlformats.org/officeDocument/2006/relationships/hyperlink" Target="https://www.epa.gov/sites/default/files/2017-12/documents/refrigeratedcondenserschapter_7thedition_final.pdf" TargetMode="External" /><Relationship Id="rId55" Type="http://schemas.openxmlformats.org/officeDocument/2006/relationships/hyperlink" Target="https://www.mass.gov/files/chemgenes_corp_-_2018.pdf" TargetMode="External" /><Relationship Id="rId56" Type="http://schemas.openxmlformats.org/officeDocument/2006/relationships/hyperlink" Target="https://www.mass.gov/files/acushnet-rubber-company_5.pdf" TargetMode="External" /><Relationship Id="rId57" Type="http://schemas.openxmlformats.org/officeDocument/2006/relationships/hyperlink" Target="https://instantgmp.com/support/gmp-compliance/gmp-compliance-cost/" TargetMode="External" /><Relationship Id="rId58" Type="http://schemas.openxmlformats.org/officeDocument/2006/relationships/hyperlink" Target="https://totalequipmenttraining.com/blog/how-much-does-heavy-equipment-operator-training-cost/" TargetMode="External" /><Relationship Id="rId59" Type="http://schemas.openxmlformats.org/officeDocument/2006/relationships/hyperlink" Target="https://www.cat.com/en_US/support/cat-training/Heavy-Equipment-Operator-Training.html" TargetMode="External" /><Relationship Id="rId6" Type="http://schemas.openxmlformats.org/officeDocument/2006/relationships/customXml" Target="../customXml/item2.xml" /><Relationship Id="rId60" Type="http://schemas.openxmlformats.org/officeDocument/2006/relationships/hyperlink" Target="https://www.isa.org/intech-home/2020/march-april/features/alarm-management-questions-that-everyone-asks" TargetMode="External" /><Relationship Id="rId61" Type="http://schemas.openxmlformats.org/officeDocument/2006/relationships/hyperlink" Target="https://www.energy.gov/sites/default/files/2016/09/f33/fcto_h2_storage_700bar_workshop_2_james.pdf" TargetMode="External" /><Relationship Id="rId62" Type="http://schemas.openxmlformats.org/officeDocument/2006/relationships/hyperlink" Target="https://store.interstateproducts.com/products/ultratech-modular-gorilla-spill-containment-berm-55-x-55-x-6.html" TargetMode="External" /><Relationship Id="rId63" Type="http://schemas.openxmlformats.org/officeDocument/2006/relationships/hyperlink" Target="https://store.interstateproducts.com/products/one-step-spill-containment-berm-12-x-36-x-24.html" TargetMode="External" /><Relationship Id="rId64" Type="http://schemas.openxmlformats.org/officeDocument/2006/relationships/hyperlink" Target="https://store.interstateproducts.com/products/ultra-containment-wall-system-61-x-61-x-3-8795.html" TargetMode="External" /><Relationship Id="rId65" Type="http://schemas.openxmlformats.org/officeDocument/2006/relationships/hyperlink" Target="https://blog.redguard.com/blast-resistant-building-cost" TargetMode="External" /><Relationship Id="rId66" Type="http://schemas.openxmlformats.org/officeDocument/2006/relationships/hyperlink" Target="https://www.thepricer.org/commercial-fire-alarm-system-cost/" TargetMode="External" /><Relationship Id="rId67" Type="http://schemas.openxmlformats.org/officeDocument/2006/relationships/hyperlink" Target="https://www.costowl.com/b2b/security/security-fire-alarm-system/" TargetMode="External" /><Relationship Id="rId68" Type="http://schemas.openxmlformats.org/officeDocument/2006/relationships/hyperlink" Target="https://p2infohouse.org/ref/34/33463.pdf" TargetMode="External" /><Relationship Id="rId69" Type="http://schemas.openxmlformats.org/officeDocument/2006/relationships/theme" Target="theme/theme1.xml" /><Relationship Id="rId7" Type="http://schemas.openxmlformats.org/officeDocument/2006/relationships/customXml" Target="../customXml/item3.xml" /><Relationship Id="rId70" Type="http://schemas.openxmlformats.org/officeDocument/2006/relationships/numbering" Target="numbering.xml" /><Relationship Id="rId71" Type="http://schemas.openxmlformats.org/officeDocument/2006/relationships/styles" Target="styles.xml" /><Relationship Id="rId72" Type="http://schemas.microsoft.com/office/2011/relationships/people" Target="people.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s://www.epa.gov/rmp/guidance-facilities-risk-management-programs-rmp" TargetMode="External" /><Relationship Id="rId10" Type="http://schemas.openxmlformats.org/officeDocument/2006/relationships/hyperlink" Target="https://whyy.org/articles/pes-refinery-redevelopment-community-benefits-agreement/" TargetMode="External" /><Relationship Id="rId11" Type="http://schemas.openxmlformats.org/officeDocument/2006/relationships/hyperlink" Target="https://www.csb.gov/recommendations/?F_InvestigationId=3604" TargetMode="External" /><Relationship Id="rId12" Type="http://schemas.openxmlformats.org/officeDocument/2006/relationships/hyperlink" Target="https://www.chron.com/news/article/The-latest-Explosion-at-Port-Neches-plant-14866093.php" TargetMode="External" /><Relationship Id="rId13" Type="http://schemas.openxmlformats.org/officeDocument/2006/relationships/hyperlink" Target="https://www.npr.org/2019/11/27/783263942/massive-explosion-rips-through-texas-chemical-plant" TargetMode="External" /><Relationship Id="rId14" Type="http://schemas.openxmlformats.org/officeDocument/2006/relationships/hyperlink" Target="https://www.cbsnews.com/news/explosion-texas-plant-port-neches-chemical-plant-texas-tcp-fire-lanxess-charleston-south-carolina-emergency-today/" TargetMode="External" /><Relationship Id="rId15" Type="http://schemas.openxmlformats.org/officeDocument/2006/relationships/hyperlink" Target="https://www.nytimes.com/2019/11/27/us/texas-explosion-port-neches-tpc.html" TargetMode="External" /><Relationship Id="rId16" Type="http://schemas.openxmlformats.org/officeDocument/2006/relationships/hyperlink" Target="https://www.theguardian.com/us-news/2019/dec/05/texas-port-neches-evacuation-air-quality-chemical-plant-explosions" TargetMode="External" /><Relationship Id="rId17" Type="http://schemas.openxmlformats.org/officeDocument/2006/relationships/hyperlink" Target="https://www.kqed.org/news/11756861/after-two-major-refinery-accidents-valero-and-benicia-take-steps-to-work-better-together" TargetMode="External" /><Relationship Id="rId18" Type="http://schemas.openxmlformats.org/officeDocument/2006/relationships/hyperlink" Target="http://hcupnet.ahrq.gov/" TargetMode="External" /><Relationship Id="rId19" Type="http://schemas.openxmlformats.org/officeDocument/2006/relationships/hyperlink" Target="https://www.epa.gov/environmental-economics/epa-valuing-time-handbook-2020" TargetMode="External" /><Relationship Id="rId2" Type="http://schemas.openxmlformats.org/officeDocument/2006/relationships/hyperlink" Target="https://www.whitehouse.gov/the-press-office/2013/08/01/executive-order-improving-chemical-facility-safety-and-security" TargetMode="External" /><Relationship Id="rId20" Type="http://schemas.openxmlformats.org/officeDocument/2006/relationships/hyperlink" Target="http://www.bls.gov/news.release/ecec.t01.htm" TargetMode="External" /><Relationship Id="rId21" Type="http://schemas.openxmlformats.org/officeDocument/2006/relationships/hyperlink" Target="https://www.census.gov/data/tables/2022/demo/income-poverty/p60-276.html" TargetMode="External" /><Relationship Id="rId22" Type="http://schemas.openxmlformats.org/officeDocument/2006/relationships/hyperlink" Target="http://hcupnet.ahrq.gov" TargetMode="External" /><Relationship Id="rId23" Type="http://schemas.openxmlformats.org/officeDocument/2006/relationships/hyperlink" Target="https://emergency.cdc.gov/planning/Shelteringfacts.asp" TargetMode="External" /><Relationship Id="rId24" Type="http://schemas.openxmlformats.org/officeDocument/2006/relationships/hyperlink" Target="https://www.cdc.gov/mmwr/pdf/ss/ss6402.pdf" TargetMode="External" /><Relationship Id="rId25" Type="http://schemas.openxmlformats.org/officeDocument/2006/relationships/hyperlink" Target="https://pubmed.ncbi.nlm.nih.gov/33339315/" TargetMode="External" /><Relationship Id="rId26" Type="http://schemas.openxmlformats.org/officeDocument/2006/relationships/hyperlink" Target="https://www.regulations.gov/document/EPA-HQ-OEM-2015-0725-2089" TargetMode="External" /><Relationship Id="rId27" Type="http://schemas.openxmlformats.org/officeDocument/2006/relationships/hyperlink" Target="https://www.regulations.gov/document/EPA-HQ-OEM-2015-0725-0734" TargetMode="External" /><Relationship Id="rId28" Type="http://schemas.openxmlformats.org/officeDocument/2006/relationships/hyperlink" Target="https://www.regulations.gov/document/EPA-HQ-OAR-2004-0365-0066" TargetMode="External" /><Relationship Id="rId29" Type="http://schemas.openxmlformats.org/officeDocument/2006/relationships/hyperlink" Target="https://www.bls.gov/oes/2022/may/oes_nat.htm" TargetMode="External" /><Relationship Id="rId3" Type="http://schemas.openxmlformats.org/officeDocument/2006/relationships/hyperlink" Target="https://www.regulations.gov/search?filter=DHS-2013-0075" TargetMode="External" /><Relationship Id="rId30" Type="http://schemas.openxmlformats.org/officeDocument/2006/relationships/hyperlink" Target="http://www.enthalpy.com.au/wp-content/uploads/2013/09/The-Use-and-Abuse-of-Feasibility-Studies-Enthalpy.pdf" TargetMode="External" /><Relationship Id="rId31" Type="http://schemas.openxmlformats.org/officeDocument/2006/relationships/hyperlink" Target="https://www.regulations.gov/document/EPA-HQ-OAR-2022-0730-0073" TargetMode="External" /><Relationship Id="rId32" Type="http://schemas.openxmlformats.org/officeDocument/2006/relationships/hyperlink" Target="https://www.epa.gov/economic-and-cost-analysis-air-pollution-regulations/cost-reports-and-guidance-air-pollution" TargetMode="External" /><Relationship Id="rId33" Type="http://schemas.openxmlformats.org/officeDocument/2006/relationships/hyperlink" Target="https://www.regulations.gov/document/EPA-HQ-OAR-2010-0682-0194" TargetMode="External" /><Relationship Id="rId34" Type="http://schemas.openxmlformats.org/officeDocument/2006/relationships/hyperlink" Target="https://p2infohouse.org/ref/34/33463.pdf" TargetMode="External" /><Relationship Id="rId35" Type="http://schemas.openxmlformats.org/officeDocument/2006/relationships/hyperlink" Target="https://www.turi.org/content/download/9921/168937/file/Columbia+Manufacturing+OTA.+2015.pdf" TargetMode="External" /><Relationship Id="rId36" Type="http://schemas.openxmlformats.org/officeDocument/2006/relationships/hyperlink" Target="https://www.mass.gov/files/2017_competitiveness_report_ota_and_turi_6.pdf" TargetMode="External" /><Relationship Id="rId37" Type="http://schemas.openxmlformats.org/officeDocument/2006/relationships/hyperlink" Target="https://www.mass.gov/files/chemgenes_corp_-_2018.pdf" TargetMode="External" /><Relationship Id="rId38" Type="http://schemas.openxmlformats.org/officeDocument/2006/relationships/hyperlink" Target="https://www.mass.gov/files/acushnet-rubber-company_5.pdf" TargetMode="External" /><Relationship Id="rId39" Type="http://schemas.openxmlformats.org/officeDocument/2006/relationships/hyperlink" Target="https://www.primatech.com/technical/safer-technologies-and-alternative-analysis" TargetMode="External" /><Relationship Id="rId4" Type="http://schemas.openxmlformats.org/officeDocument/2006/relationships/hyperlink" Target="https://www.whitehouse.gov/briefing-room/presidential-actions/2021/01/20/executive-order-protecting-public-health-and-environment-and-restoring-science-to-tackle-climate-crisis/" TargetMode="External" /><Relationship Id="rId40" Type="http://schemas.openxmlformats.org/officeDocument/2006/relationships/hyperlink" Target="https://nap.nationalacademies.org/resource/13385/MIC-Summary-Final.pdf" TargetMode="External" /><Relationship Id="rId41" Type="http://schemas.openxmlformats.org/officeDocument/2006/relationships/hyperlink" Target="https://safety.blr.com/workplace-safety-news/safety-administration/OSHA-and-state-safety-compliance-enforcement/Chevron-to-pay-1-million-to-settle-Richmond-Refine/" TargetMode="External" /><Relationship Id="rId42" Type="http://schemas.openxmlformats.org/officeDocument/2006/relationships/hyperlink" Target="https://apps.bea.gov/iTable/iTable.cfm?reqid=19&amp;step=3&amp;isuri=1&amp;nipa_table_list=13&amp;categories=survey" TargetMode="External" /><Relationship Id="rId43" Type="http://schemas.openxmlformats.org/officeDocument/2006/relationships/hyperlink" Target="https://www.epa.gov/emc/emc-continuous-emission-monitoring-systems" TargetMode="External" /><Relationship Id="rId44" Type="http://schemas.openxmlformats.org/officeDocument/2006/relationships/hyperlink" Target="http://www.epa.gov/sites/default/files/2020-08/documents/04-nh3_cems.pdf" TargetMode="External" /><Relationship Id="rId45" Type="http://schemas.openxmlformats.org/officeDocument/2006/relationships/hyperlink" Target="https://www.rkiinstruments.com/product/gd-70d-sample-draw-gas-detector/" TargetMode="External" /><Relationship Id="rId46" Type="http://schemas.openxmlformats.org/officeDocument/2006/relationships/hyperlink" Target="https://www.rkiinstruments.com/product/mc-6400-fixed-systems-controller/" TargetMode="External" /><Relationship Id="rId47" Type="http://schemas.openxmlformats.org/officeDocument/2006/relationships/hyperlink" Target="https://storymaps.arcgis.com/stories/9cc8aa37cb34444dbb053a097c22ba07" TargetMode="External" /><Relationship Id="rId48" Type="http://schemas.openxmlformats.org/officeDocument/2006/relationships/hyperlink" Target="https://norwall.com/categories/Standby-Generators/" TargetMode="External" /><Relationship Id="rId49" Type="http://schemas.openxmlformats.org/officeDocument/2006/relationships/hyperlink" Target="https://www.fema.gov/emergency-managers/practitioners/integrated-public-alert-warning-system" TargetMode="External" /><Relationship Id="rId5" Type="http://schemas.openxmlformats.org/officeDocument/2006/relationships/hyperlink" Target="https://www.epa.gov/rmp/accessing-rmp-data" TargetMode="External" /><Relationship Id="rId50" Type="http://schemas.openxmlformats.org/officeDocument/2006/relationships/hyperlink" Target="https://www.osha.gov/sites/default/files/2020-04/Sample%20SDS%20Handout.pdf" TargetMode="External" /><Relationship Id="rId51" Type="http://schemas.openxmlformats.org/officeDocument/2006/relationships/hyperlink" Target="https://www.bls.gov/ecec/tables.htm" TargetMode="External" /><Relationship Id="rId52" Type="http://schemas.openxmlformats.org/officeDocument/2006/relationships/hyperlink" Target="https://www.bls.gov/news.release/ecec.t01.htm" TargetMode="External" /><Relationship Id="rId53" Type="http://schemas.openxmlformats.org/officeDocument/2006/relationships/hyperlink" Target="https://www.irs.gov/newsroom/irs-issues-standard-mileage-rates-for-2023-business-use-increases-3-cents-per-mile" TargetMode="External" /><Relationship Id="rId54" Type="http://schemas.openxmlformats.org/officeDocument/2006/relationships/hyperlink" Target="https://esfccompany.com/en/projects/oil-and-gas/refineries-lending-and-financing/" TargetMode="External" /><Relationship Id="rId55" Type="http://schemas.openxmlformats.org/officeDocument/2006/relationships/hyperlink" Target="https://www.csb.gov/formosa-plastics-vinyl-chloride-explosion/" TargetMode="External" /><Relationship Id="rId56" Type="http://schemas.openxmlformats.org/officeDocument/2006/relationships/hyperlink" Target="https://www.csb.gov/bp-america-refinery-explosion/" TargetMode="External" /><Relationship Id="rId57" Type="http://schemas.openxmlformats.org/officeDocument/2006/relationships/hyperlink" Target="https://www.csb.gov/millard-refrigerated-services-ammonia-release/" TargetMode="External" /><Relationship Id="rId58" Type="http://schemas.openxmlformats.org/officeDocument/2006/relationships/hyperlink" Target="http://www.sciencedirect.com/science/article/pii/S0095069615000194" TargetMode="External" /><Relationship Id="rId59" Type="http://schemas.openxmlformats.org/officeDocument/2006/relationships/hyperlink" Target="http://www.epa.gov/rmp/rmpesubmit-users-manual" TargetMode="External" /><Relationship Id="rId6" Type="http://schemas.openxmlformats.org/officeDocument/2006/relationships/hyperlink" Target="https://www.phila.gov/media/20191204161826/US-CSB-PES-Factual-Update.pdf" TargetMode="External" /><Relationship Id="rId60" Type="http://schemas.openxmlformats.org/officeDocument/2006/relationships/hyperlink" Target="https://www.marsh.com/uk/industries/energy-and-power/insights/100-largest-losses.html" TargetMode="External" /><Relationship Id="rId61" Type="http://schemas.openxmlformats.org/officeDocument/2006/relationships/hyperlink" Target="https://enatech.jrc.ec.europa.eu/download/attachment/123" TargetMode="External" /><Relationship Id="rId62" Type="http://schemas.openxmlformats.org/officeDocument/2006/relationships/hyperlink" Target="https://www.rand.org/content/dam/rand/pubs/research_reports/RR1400/RR1421/RAND_RR1421.pdf" TargetMode="External" /><Relationship Id="rId63" Type="http://schemas.openxmlformats.org/officeDocument/2006/relationships/hyperlink" Target="http://www.nytimes.com/1989/10/25/us/reverberations-for-industries-but-not-for-us-households.html" TargetMode="External" /><Relationship Id="rId64" Type="http://schemas.openxmlformats.org/officeDocument/2006/relationships/hyperlink" Target="https://papers.ssrn.com/sol3/papers.cfm?abstract_id=4116305" TargetMode="External" /><Relationship Id="rId65" Type="http://schemas.openxmlformats.org/officeDocument/2006/relationships/hyperlink" Target="https://www.costar.com/article/78750475/str-us-hotel-rate-revenue-per-available-room-improve-in-september" TargetMode="External" /><Relationship Id="rId66" Type="http://schemas.openxmlformats.org/officeDocument/2006/relationships/hyperlink" Target="https://doi.org/10.1177/1529100610387086" TargetMode="External" /><Relationship Id="rId67" Type="http://schemas.openxmlformats.org/officeDocument/2006/relationships/hyperlink" Target="https://journals.sagepub.com/doi/10.1177/1529100610387086" TargetMode="External" /><Relationship Id="rId68" Type="http://schemas.openxmlformats.org/officeDocument/2006/relationships/hyperlink" Target="https://www.cambridge.org/core/journals/journal-of-benefit-cost-analysis/article/monetizing-bowser-a-contingent-valuation-of-the-statistical-value-of-dog-life/86EB120F86F7376DC366F6578C8CFEF1" TargetMode="External" /><Relationship Id="rId69" Type="http://schemas.openxmlformats.org/officeDocument/2006/relationships/hyperlink" Target="https://agupubs.onlinelibrary.wiley.com/doi/full/10.1029/2008WR007427" TargetMode="External" /><Relationship Id="rId7" Type="http://schemas.openxmlformats.org/officeDocument/2006/relationships/hyperlink" Target="https://www.csb.gov/philadelphia-energy-solutions-pes-refinery-fire-and-explosions-/" TargetMode="External" /><Relationship Id="rId70" Type="http://schemas.openxmlformats.org/officeDocument/2006/relationships/hyperlink" Target="http://www.epa.gov/rfa/documents/Guidance-RegFlexAct.pdf" TargetMode="External" /><Relationship Id="rId71" Type="http://schemas.openxmlformats.org/officeDocument/2006/relationships/hyperlink" Target="http://www.usda.gov/wps/portal/usda/usdahome?contentid=2013/10/0199.xml" TargetMode="External" /><Relationship Id="rId72" Type="http://schemas.openxmlformats.org/officeDocument/2006/relationships/hyperlink" Target="https://www.sba.gov/document/support-table-size-standards" TargetMode="External" /><Relationship Id="rId73" Type="http://schemas.openxmlformats.org/officeDocument/2006/relationships/hyperlink" Target="https://www.census.gov/programs-surveys/gov-finances/data/historical-data.html" TargetMode="External" /><Relationship Id="rId74" Type="http://schemas.openxmlformats.org/officeDocument/2006/relationships/hyperlink" Target="https://www.nortonva.gov/72/CNW-Sewer-Authority" TargetMode="External" /><Relationship Id="rId75" Type="http://schemas.openxmlformats.org/officeDocument/2006/relationships/hyperlink" Target="https://www.census.gov/quickfacts/fact/table/edencitynorthcarolina/BZA210219" TargetMode="External" /><Relationship Id="rId76" Type="http://schemas.openxmlformats.org/officeDocument/2006/relationships/hyperlink" Target="https://www.edennc.us/home/showpublishe%20ddocument/3781/637623947334730000" TargetMode="External" /><Relationship Id="rId77" Type="http://schemas.openxmlformats.org/officeDocument/2006/relationships/hyperlink" Target="https://www.epa.gov/environmentaljustice/learn-about-environmental-justice" TargetMode="External" /><Relationship Id="rId78" Type="http://schemas.openxmlformats.org/officeDocument/2006/relationships/hyperlink" Target="https://www.epa.gov/sites/production/files/2016-06/documents/ejtg_5_6_16_v5.1.pdf" TargetMode="External" /><Relationship Id="rId79" Type="http://schemas.openxmlformats.org/officeDocument/2006/relationships/hyperlink" Target="https://usepa.sharepoint.com/sites/RMPRetrospectionRule/Shared%20Documents/General/RIA%20Documents/.%20https:/www.epa.gov/sites/default/files/2015-06/documents/considering-ej-in-rulemaking-guide-final.pdf" TargetMode="External" /><Relationship Id="rId8" Type="http://schemas.openxmlformats.org/officeDocument/2006/relationships/hyperlink" Target="https://www.cnn.com/2019/06/21/us/philadelphia-refinery-fire/index.html" TargetMode="External" /><Relationship Id="rId80" Type="http://schemas.openxmlformats.org/officeDocument/2006/relationships/hyperlink" Target="https://icfonline.sharepoint.com/teams/RMPRulemakingSupport/Shared%20Documents/RMP%20SCCAP%20Rule%20(2021_2023)/Economic%20Analysis/Updated%20EJ%20Analysis%20-%20Final%20Rule/EPA%20(2016).%20Technical%20Guidance%20for%20Assessing%20Environmental%20Justice%20in%20Regulatory%20Analysis.%20https:/www.epa.gov/sites/production/files/2016-06/documents/ejtg_5_6_16_v5.1.pdf" TargetMode="External" /><Relationship Id="rId81" Type="http://schemas.openxmlformats.org/officeDocument/2006/relationships/hyperlink" Target="https://doi.org/10.1126/science.aap7711" TargetMode="External" /><Relationship Id="rId82" Type="http://schemas.openxmlformats.org/officeDocument/2006/relationships/hyperlink" Target="https://publicintegrity.org/inequality-poverty-opportunity/workers-rights/worker-health-and-safety/fueling-fears/new-oil-refinery-in-south-dakota-says-it-will-use-alternative-to-toxic-acid/" TargetMode="External" /><Relationship Id="rId83" Type="http://schemas.openxmlformats.org/officeDocument/2006/relationships/hyperlink" Target="https://www.ogj.com/refining-processing/article/17250762/chevrons-salt-lake-city-refinery-plans-alkylation-unit-revamp" TargetMode="External" /><Relationship Id="rId84" Type="http://schemas.openxmlformats.org/officeDocument/2006/relationships/hyperlink" Target="https://www.ogj.com/refining-processing/article/17290342/chevrons-utah-refinery-lets-contract-for-alkylation-technology-retrofit" TargetMode="External" /><Relationship Id="rId85" Type="http://schemas.openxmlformats.org/officeDocument/2006/relationships/hyperlink" Target="https://torrancerefinery.com/wp-content/uploads/2018/03/TORC-Comment-Letter-with-Attachments-Agenda-Item-No.-K.11.pdf" TargetMode="External" /><Relationship Id="rId86" Type="http://schemas.openxmlformats.org/officeDocument/2006/relationships/hyperlink" Target="http://www.aqmd.gov/docs/default-source/Agendas/Governing-Board/2019/2019-feb1-025.pdf?sfvrsn=6" TargetMode="External" /><Relationship Id="rId87" Type="http://schemas.openxmlformats.org/officeDocument/2006/relationships/hyperlink" Target="https://undark.org/2018/10/10/hydrofluoric-acid-oil-refining-explosion/" TargetMode="External" /><Relationship Id="rId88" Type="http://schemas.openxmlformats.org/officeDocument/2006/relationships/hyperlink" Target="https://www.cbecal.org/wp-content/uploads/2019/02/CBE-fact-sheet-MHF-replacement-COST-greatly-exagerated-01312019.pdf" TargetMode="External" /><Relationship Id="rId89" Type="http://schemas.openxmlformats.org/officeDocument/2006/relationships/hyperlink" Target="https://www.icis.com/explore/resources/news/2018/01/16/10183692/us-delek-holdings-to-add-alkylation-unit-at-louisiana-refinery/" TargetMode="External" /><Relationship Id="rId9" Type="http://schemas.openxmlformats.org/officeDocument/2006/relationships/hyperlink" Target="https://www.marsh.com/us/industries/energy-and-power/insights/100-largest-losses/100-largest-losses-report-download.html" TargetMode="External" /><Relationship Id="rId90" Type="http://schemas.openxmlformats.org/officeDocument/2006/relationships/hyperlink" Target="https://www.globenewswire.com/news-release/2016/05/03/835929/0/en/Valero-Energy-Reports-First-Quarter-2016-Results.html" TargetMode="External" /><Relationship Id="rId91" Type="http://schemas.openxmlformats.org/officeDocument/2006/relationships/hyperlink" Target="https://www.globenewswire.com/new%20s-release/2016/05/03/835929/0/en/Valero-Energy-Reports-First-Quarter-2016-Results.html" TargetMode="External" /><Relationship Id="rId92" Type="http://schemas.openxmlformats.org/officeDocument/2006/relationships/hyperlink" Target="https://www.aqmd.gov/docs/default-source/permitting/alkylation-technology-study-final-report.pdf" TargetMode="External"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hart/colors1.xml" /><Relationship Id="rId3" Type="http://schemas.microsoft.com/office/2011/relationships/chartStyle" Target="chart/style1.xml" /></Relationships>
</file>

<file path=word/charts/_rels/chart2.xml.rels><?xml version="1.0" encoding="utf-8" standalone="yes"?><Relationships xmlns="http://schemas.openxmlformats.org/package/2006/relationships"><Relationship Id="rId1" Type="http://schemas.openxmlformats.org/officeDocument/2006/relationships/oleObject" Target="../embeddings/OleObject1.bin" /><Relationship Id="rId2" Type="http://schemas.openxmlformats.org/officeDocument/2006/relationships/themeOverride" Target="../theme/themeOverride1.xml" /><Relationship Id="rId3" Type="http://schemas.microsoft.com/office/2011/relationships/chartColorStyle" Target="chart/colors2.xml" /><Relationship Id="rId4" Type="http://schemas.microsoft.com/office/2011/relationships/chartStyle" Target="chart/style2.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4453140487348454"/>
          <c:y val="0.017714948185903467"/>
          <c:w val="0.90213526179318215"/>
          <c:h val="0.5888992248062016"/>
        </c:manualLayout>
      </c:layout>
      <c:barChart>
        <c:barDir val="col"/>
        <c:grouping val="clustered"/>
        <c:varyColors val="0"/>
        <c:ser>
          <c:idx val="0"/>
          <c:order val="0"/>
          <c:tx>
            <c:strRef>
              <c:f>Sheet1!$B$1</c:f>
              <c:strCache>
                <c:ptCount val="1"/>
                <c:pt idx="0">
                  <c:v>Number of Facilities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Sheet1!$A$2:$A$16</c:f>
              <c:strCache>
                <c:ptCount val="15"/>
                <c:pt idx="0">
                  <c:v>Governments</c:v>
                </c:pt>
                <c:pt idx="1">
                  <c:v>Government-owned water</c:v>
                </c:pt>
                <c:pt idx="2">
                  <c:v>Agricultural chemical distributor/wholesale</c:v>
                </c:pt>
                <c:pt idx="3">
                  <c:v>Chemical manufacturing</c:v>
                </c:pt>
                <c:pt idx="4">
                  <c:v>Chemical wholesalers</c:v>
                </c:pt>
                <c:pt idx="5">
                  <c:v>Food and beverage manufacturing</c:v>
                </c:pt>
                <c:pt idx="6">
                  <c:v>Oil and gas extraction</c:v>
                </c:pt>
                <c:pt idx="7">
                  <c:v>Other</c:v>
                </c:pt>
                <c:pt idx="8">
                  <c:v>Other manufacturing</c:v>
                </c:pt>
                <c:pt idx="9">
                  <c:v>Other wholesale</c:v>
                </c:pt>
                <c:pt idx="10">
                  <c:v>Paper manufacturing</c:v>
                </c:pt>
                <c:pt idx="11">
                  <c:v>Petroleum &amp; coal product manufacturing</c:v>
                </c:pt>
                <c:pt idx="12">
                  <c:v>Petroleum wholesalers</c:v>
                </c:pt>
                <c:pt idx="13">
                  <c:v>Utilities/water/wastewater</c:v>
                </c:pt>
                <c:pt idx="14">
                  <c:v>Warehousing and storage</c:v>
                </c:pt>
              </c:strCache>
            </c:strRef>
          </c:cat>
          <c:val>
            <c:numRef>
              <c:f>Sheet1!$B$2:$B$16</c:f>
              <c:numCache>
                <c:formatCode>#,##0</c:formatCode>
                <c:ptCount val="15"/>
                <c:pt idx="0" formatCode="General">
                  <c:v>10</c:v>
                </c:pt>
                <c:pt idx="1">
                  <c:v>1439</c:v>
                </c:pt>
                <c:pt idx="2">
                  <c:v>3315</c:v>
                </c:pt>
                <c:pt idx="3">
                  <c:v>1502</c:v>
                </c:pt>
                <c:pt idx="4" formatCode="General">
                  <c:v>317</c:v>
                </c:pt>
                <c:pt idx="5">
                  <c:v>1571</c:v>
                </c:pt>
                <c:pt idx="6" formatCode="General">
                  <c:v>719</c:v>
                </c:pt>
                <c:pt idx="7" formatCode="General">
                  <c:v>246</c:v>
                </c:pt>
                <c:pt idx="8" formatCode="General">
                  <c:v>375</c:v>
                </c:pt>
                <c:pt idx="9" formatCode="General">
                  <c:v>39</c:v>
                </c:pt>
                <c:pt idx="10" formatCode="General">
                  <c:v>55</c:v>
                </c:pt>
                <c:pt idx="11" formatCode="General">
                  <c:v>156</c:v>
                </c:pt>
                <c:pt idx="12" formatCode="General">
                  <c:v>367</c:v>
                </c:pt>
                <c:pt idx="13" formatCode="General">
                  <c:v>519</c:v>
                </c:pt>
                <c:pt idx="14">
                  <c:v>1110</c:v>
                </c:pt>
              </c:numCache>
            </c:numRef>
          </c:val>
          <c:extLst>
            <c:ext xmlns:c16="http://schemas.microsoft.com/office/drawing/2014/chart" uri="{C3380CC4-5D6E-409C-BE32-E72D297353CC}">
              <c16:uniqueId val="{00000000-F115-49CA-957A-70C10974BBB9}"/>
            </c:ext>
          </c:extLst>
        </c:ser>
        <c:dLbls>
          <c:dLblPos val="outEnd"/>
          <c:showLegendKey val="0"/>
          <c:showVal val="1"/>
          <c:showCatName val="0"/>
          <c:showSerName val="0"/>
          <c:showPercent val="0"/>
          <c:showBubbleSize val="0"/>
        </c:dLbls>
        <c:gapWidth val="219"/>
        <c:overlap val="-27"/>
        <c:axId val="1194865583"/>
        <c:axId val="1194866543"/>
      </c:barChart>
      <c:catAx>
        <c:axId val="1194865583"/>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866543"/>
        <c:crosses val="autoZero"/>
        <c:auto val="1"/>
        <c:lblAlgn val="ctr"/>
        <c:lblOffset val="100"/>
        <c:noMultiLvlLbl val="0"/>
      </c:catAx>
      <c:valAx>
        <c:axId val="1194866543"/>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865583"/>
        <c:crosses val="autoZero"/>
        <c:crossBetween val="between"/>
      </c:valAx>
      <c:spPr>
        <a:noFill/>
        <a:ln>
          <a:noFill/>
        </a:ln>
        <a:effectLst/>
      </c:spPr>
    </c:plotArea>
    <c:legend>
      <c:legendPos val="b"/>
      <c:layout>
        <c:manualLayout>
          <c:xMode val="edge"/>
          <c:yMode val="edge"/>
          <c:x val="0.4045839726030841"/>
          <c:y val="0.045718051571565173"/>
          <c:w val="0.20072983324214383"/>
          <c:h val="0.0513936899961511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3F-4422-B604-F468961802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3F-4422-B604-F468961802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3F-4422-B604-F468961802A9}"/>
              </c:ext>
            </c:extLst>
          </c:dPt>
          <c:dLbls>
            <c:dLbl>
              <c:idx val="0"/>
              <c:layout>
                <c:manualLayout>
                  <c:x val="-0.020273148995910394"/>
                  <c:y val="0.1152770762145297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3F-4422-B604-F468961802A9}"/>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'[EPA RMP Retrospection Rule_Accident and Facility Analysis_Feb 2022.xlsx]Tables-working'!$B$156:$B$158</c:f>
              <c:strCache>
                <c:ptCount val="3"/>
                <c:pt idx="0">
                  <c:v>P1 Facilities </c:v>
                </c:pt>
                <c:pt idx="1">
                  <c:v>P2 Facilities </c:v>
                </c:pt>
                <c:pt idx="2">
                  <c:v>P3 Facilities </c:v>
                </c:pt>
              </c:strCache>
            </c:strRef>
          </c:cat>
          <c:val>
            <c:numRef>
              <c:f>'[EPA RMP Retrospection Rule_Accident and Facility Analysis_Feb 2022.xlsx]Tables-working'!$D$177:$F$177</c:f>
              <c:numCache>
                <c:formatCode>General</c:formatCode>
                <c:ptCount val="3"/>
                <c:pt idx="0">
                  <c:v>660</c:v>
                </c:pt>
                <c:pt idx="1">
                  <c:v>3975</c:v>
                </c:pt>
                <c:pt idx="2">
                  <c:v>7105</c:v>
                </c:pt>
              </c:numCache>
            </c:numRef>
          </c:val>
          <c:extLst>
            <c:ext xmlns:c16="http://schemas.microsoft.com/office/drawing/2014/chart" uri="{C3380CC4-5D6E-409C-BE32-E72D297353CC}">
              <c16:uniqueId val="{00000006-E13F-4422-B604-F468961802A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fa91fb-a0ff-4ac5-b2db-65c790d184a4" xsi:nil="true"/>
    <lcf76f155ced4ddcb4097134ff3c332f xmlns="f681fe1a-6f3a-4bc8-bd95-a336c6044f0b">
      <Terms xmlns="http://schemas.microsoft.com/office/infopath/2007/PartnerControls"/>
    </lcf76f155ced4ddcb4097134ff3c332f>
    <SharedWithUsers xmlns="770616d2-97d1-4359-9fe0-fce270a195bc">
      <UserInfo>
        <DisplayName>Jenkins, Robin</DisplayName>
        <AccountId>38</AccountId>
        <AccountType/>
      </UserInfo>
      <UserInfo>
        <DisplayName>Hoffman, Wendy</DisplayName>
        <AccountId>16</AccountId>
        <AccountType/>
      </UserInfo>
    </SharedWithUsers>
    <_Source xmlns="http://schemas.microsoft.com/sharepoint/v3/fields" xsi:nil="true"/>
    <Language xmlns="http://schemas.microsoft.com/sharepoint/v3">English</Language>
    <DateandTime xmlns="f681fe1a-6f3a-4bc8-bd95-a336c6044f0b" xsi:nil="tru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2024-02-08T15:34:56+00:00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6F4FF33A1A1F409242C0E212D83C63" ma:contentTypeVersion="17" ma:contentTypeDescription="Create a new document." ma:contentTypeScope="" ma:versionID="90ed6b408deb94bad1bdc62131fc18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f681fe1a-6f3a-4bc8-bd95-a336c6044f0b" xmlns:ns6="770616d2-97d1-4359-9fe0-fce270a195bc" targetNamespace="http://schemas.microsoft.com/office/2006/metadata/properties" ma:root="true" ma:fieldsID="b0a7b269ab80a74f87b347c49801d1cb" ns1:_="" ns2:_="" ns3:_="" ns4:_="" ns5:_="" ns6:_="">
    <xsd:import namespace="http://schemas.microsoft.com/sharepoint/v3"/>
    <xsd:import namespace="4ffa91fb-a0ff-4ac5-b2db-65c790d184a4"/>
    <xsd:import namespace="http://schemas.microsoft.com/sharepoint.v3"/>
    <xsd:import namespace="http://schemas.microsoft.com/sharepoint/v3/fields"/>
    <xsd:import namespace="f681fe1a-6f3a-4bc8-bd95-a336c6044f0b"/>
    <xsd:import namespace="770616d2-97d1-4359-9fe0-fce270a195b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DateTaken" minOccurs="0"/>
                <xsd:element ref="ns5:MediaLengthInSeconds" minOccurs="0"/>
                <xsd:element ref="ns5:MediaServiceAutoTags" minOccurs="0"/>
                <xsd:element ref="ns5:MediaServiceOCR" minOccurs="0"/>
                <xsd:element ref="ns5:MediaServiceGenerationTime" minOccurs="0"/>
                <xsd:element ref="ns5:MediaServiceEventHashCode" minOccurs="0"/>
                <xsd:element ref="ns6:SharedWithUsers" minOccurs="0"/>
                <xsd:element ref="ns6:SharedWithDetails" minOccurs="0"/>
                <xsd:element ref="ns5:lcf76f155ced4ddcb4097134ff3c332f" minOccurs="0"/>
                <xsd:element ref="ns5:MediaServiceObjectDetectorVersions" minOccurs="0"/>
                <xsd:element ref="ns5:DateandTime"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c23ce1b3-5a1c-4dcb-8a6d-bf4647a78b84}" ma:internalName="TaxCatchAllLabel" ma:readOnly="true" ma:showField="CatchAllDataLabel" ma:web="770616d2-97d1-4359-9fe0-fce270a195bc">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c23ce1b3-5a1c-4dcb-8a6d-bf4647a78b84}" ma:internalName="TaxCatchAll" ma:showField="CatchAllData" ma:web="770616d2-97d1-4359-9fe0-fce270a195b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1fe1a-6f3a-4bc8-bd95-a336c6044f0b"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LengthInSeconds" ma:index="31" nillable="true" ma:displayName="Length (seconds)" ma:internalName="MediaLengthInSeconds" ma:readOnly="true">
      <xsd:simpleType>
        <xsd:restriction base="dms:Unknow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DateandTime" ma:index="41" nillable="true" ma:displayName="Date and Time" ma:format="DateTime" ma:internalName="DateandTime">
      <xsd:simpleType>
        <xsd:restriction base="dms:DateTime"/>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0616d2-97d1-4359-9fe0-fce270a195bc"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29f62856-1543-49d4-a736-4569d363f533"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B9B6D9-84EE-4F68-B3A9-00212448F233}">
  <ds:schemaRefs>
    <ds:schemaRef ds:uri="http://purl.org/dc/dcmitype/"/>
    <ds:schemaRef ds:uri="http://schemas.microsoft.com/office/2006/metadata/properties"/>
    <ds:schemaRef ds:uri="http://schemas.openxmlformats.org/package/2006/metadata/core-properties"/>
    <ds:schemaRef ds:uri="http://schemas.microsoft.com/sharepoint/v3"/>
    <ds:schemaRef ds:uri="http://purl.org/dc/elements/1.1/"/>
    <ds:schemaRef ds:uri="http://schemas.microsoft.com/office/infopath/2007/PartnerControls"/>
    <ds:schemaRef ds:uri="770616d2-97d1-4359-9fe0-fce270a195bc"/>
    <ds:schemaRef ds:uri="http://schemas.microsoft.com/office/2006/documentManagement/types"/>
    <ds:schemaRef ds:uri="f681fe1a-6f3a-4bc8-bd95-a336c6044f0b"/>
    <ds:schemaRef ds:uri="http://purl.org/dc/terms/"/>
    <ds:schemaRef ds:uri="http://www.w3.org/XML/1998/namespace"/>
    <ds:schemaRef ds:uri="http://schemas.microsoft.com/sharepoint/v3/fields"/>
    <ds:schemaRef ds:uri="http://schemas.microsoft.com/sharepoint.v3"/>
    <ds:schemaRef ds:uri="4ffa91fb-a0ff-4ac5-b2db-65c790d184a4"/>
  </ds:schemaRefs>
</ds:datastoreItem>
</file>

<file path=customXml/itemProps2.xml><?xml version="1.0" encoding="utf-8"?>
<ds:datastoreItem xmlns:ds="http://schemas.openxmlformats.org/officeDocument/2006/customXml" ds:itemID="{C5734D34-B1B4-4D60-A1E7-D848BB76D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681fe1a-6f3a-4bc8-bd95-a336c6044f0b"/>
    <ds:schemaRef ds:uri="770616d2-97d1-4359-9fe0-fce270a19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978E0-70E4-403A-8DBE-68F074438A37}">
  <ds:schemaRefs>
    <ds:schemaRef ds:uri="http://schemas.openxmlformats.org/officeDocument/2006/bibliography"/>
  </ds:schemaRefs>
</ds:datastoreItem>
</file>

<file path=customXml/itemProps4.xml><?xml version="1.0" encoding="utf-8"?>
<ds:datastoreItem xmlns:ds="http://schemas.openxmlformats.org/officeDocument/2006/customXml" ds:itemID="{E7C75880-8924-488D-B05D-A37AB8E03EFD}">
  <ds:schemaRefs>
    <ds:schemaRef ds:uri="Microsoft.SharePoint.Taxonomy.ContentTypeSync"/>
  </ds:schemaRefs>
</ds:datastoreItem>
</file>

<file path=customXml/itemProps5.xml><?xml version="1.0" encoding="utf-8"?>
<ds:datastoreItem xmlns:ds="http://schemas.openxmlformats.org/officeDocument/2006/customXml" ds:itemID="{EC205DC6-770B-4753-B030-954C7B135241}">
  <ds:schemaRefs>
    <ds:schemaRef ds:uri="http://schemas.microsoft.com/sharepoint/v3/contenttype/forms"/>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168</Pages>
  <Words>64310</Words>
  <Characters>366572</Characters>
  <Application>Microsoft Office Word</Application>
  <DocSecurity>0</DocSecurity>
  <Lines>3054</Lines>
  <Paragraphs>860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Hoffman</dc:creator>
  <cp:lastModifiedBy>McGrath, Daniel (he/him/his)</cp:lastModifiedBy>
  <cp:revision>3</cp:revision>
  <dcterms:created xsi:type="dcterms:W3CDTF">2024-02-09T00:34:00Z</dcterms:created>
  <dcterms:modified xsi:type="dcterms:W3CDTF">2024-02-22T15:31:00Z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0x010100196F4FF33A1A1F409242C0E212D83C63</vt:lpwstr>
  </property>
  <property fmtid="{D5CDD505-2E9C-101B-9397-08002B2CF9AE}" pid="3" name="Document Type">
    <vt:lpwstr/>
  </property>
  <property fmtid="{D5CDD505-2E9C-101B-9397-08002B2CF9AE}" pid="4" name="e3f09c3df709400db2417a7161762d62">
    <vt:lpwstr/>
  </property>
  <property fmtid="{D5CDD505-2E9C-101B-9397-08002B2CF9AE}" pid="5" name="EPA Subject">
    <vt:lpwstr/>
  </property>
  <property fmtid="{D5CDD505-2E9C-101B-9397-08002B2CF9AE}" pid="6" name="EPA_x0020_Subject">
    <vt:lpwstr/>
  </property>
  <property fmtid="{D5CDD505-2E9C-101B-9397-08002B2CF9AE}" pid="7" name="MediaServiceImageTags">
    <vt:lpwstr/>
  </property>
  <property fmtid="{D5CDD505-2E9C-101B-9397-08002B2CF9AE}" pid="8" name="TaxKeyword">
    <vt:lpwstr/>
  </property>
</Properties>
</file>